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0E5AC5">
      <w:pPr>
        <w:spacing w:before="120" w:beforeLines="50" w:after="120" w:afterLines="50"/>
        <w:rPr>
          <w:bCs/>
        </w:rPr>
      </w:pPr>
      <w:sdt>
        <w:sdtPr>
          <w:tag w:val="_PLD_1949c108a8da4292a0058e3719689765"/>
          <w:id w:val="-1040040886"/>
        </w:sdtPr>
        <w:sdtContent>
          <w:r>
            <w:rPr>
              <w:rFonts w:hint="eastAsia"/>
              <w:bCs/>
            </w:rPr>
            <w:t>公司代码：</w:t>
          </w:r>
        </w:sdtContent>
      </w:sdt>
      <w:sdt>
        <w:sdtPr>
          <w:rPr>
            <w:rFonts w:hint="eastAsia"/>
            <w:bCs/>
          </w:rPr>
          <w:alias w:val="公司代码"/>
          <w:tag w:val="_GBC_704b7b03ea3f4a93b8d4655a09b2ff61"/>
          <w:id w:val="1197196675"/>
          <w:placeholder>
            <w:docPart w:val="GBC22222222222222222222222222222"/>
          </w:placeholder>
        </w:sdtPr>
        <w:sdtEndPr>
          <w:rPr>
            <w:rFonts w:hint="eastAsia"/>
            <w:bCs/>
          </w:rPr>
        </w:sdtEndPr>
        <w:sdtContent>
          <w:r>
            <w:rPr>
              <w:bCs/>
            </w:rPr>
            <w:t>600867</w:t>
          </w:r>
        </w:sdtContent>
      </w:sdt>
      <w:r>
        <w:rPr>
          <w:rFonts w:hint="eastAsia"/>
          <w:bCs/>
        </w:rPr>
        <w:t xml:space="preserve">                                           </w:t>
      </w:r>
      <w:sdt>
        <w:sdtPr>
          <w:tag w:val="_PLD_fdb42a71c1cc4dc59fad3ee29e241a4f"/>
          <w:id w:val="-1936970700"/>
        </w:sdtPr>
        <w:sdtContent>
          <w:r>
            <w:rPr>
              <w:rFonts w:hint="eastAsia"/>
              <w:bCs/>
            </w:rPr>
            <w:t>公司简称：</w:t>
          </w:r>
        </w:sdtContent>
      </w:sdt>
      <w:sdt>
        <w:sdtPr>
          <w:rPr>
            <w:rFonts w:hint="eastAsia"/>
            <w:bCs/>
          </w:rPr>
          <w:alias w:val="公司简称"/>
          <w:tag w:val="_GBC_0384ae715a1e4b4894a29e4d27f5bef4"/>
          <w:id w:val="534619798"/>
          <w:placeholder>
            <w:docPart w:val="GBC22222222222222222222222222222"/>
          </w:placeholder>
        </w:sdtPr>
        <w:sdtEndPr>
          <w:rPr>
            <w:rFonts w:hint="eastAsia"/>
            <w:bCs/>
          </w:rPr>
        </w:sdtEndPr>
        <w:sdtContent>
          <w:r>
            <w:rPr>
              <w:rFonts w:hint="eastAsia"/>
              <w:bCs/>
            </w:rPr>
            <w:t>通化东宝</w:t>
          </w:r>
        </w:sdtContent>
      </w:sdt>
    </w:p>
    <w:p w14:paraId="544D712B">
      <w:pPr>
        <w:pStyle w:val="48"/>
      </w:pPr>
    </w:p>
    <w:p w14:paraId="0ACD8618">
      <w:pPr>
        <w:pStyle w:val="48"/>
      </w:pPr>
    </w:p>
    <w:p w14:paraId="5C5171F6">
      <w:pPr>
        <w:pStyle w:val="48"/>
      </w:pPr>
    </w:p>
    <w:p w14:paraId="10185A81">
      <w:pPr>
        <w:pStyle w:val="48"/>
      </w:pPr>
    </w:p>
    <w:p w14:paraId="07CC33AF">
      <w:pPr>
        <w:pStyle w:val="48"/>
      </w:pPr>
    </w:p>
    <w:p w14:paraId="46237F47">
      <w:pPr>
        <w:pStyle w:val="48"/>
      </w:pPr>
    </w:p>
    <w:p w14:paraId="1DA18D38">
      <w:pPr>
        <w:pStyle w:val="48"/>
      </w:pPr>
    </w:p>
    <w:p w14:paraId="1D2ABEE7">
      <w:pPr>
        <w:pStyle w:val="48"/>
      </w:pPr>
    </w:p>
    <w:p w14:paraId="7E15DCF6">
      <w:pPr>
        <w:pStyle w:val="48"/>
      </w:pPr>
    </w:p>
    <w:p w14:paraId="0A1A653B">
      <w:pPr>
        <w:pStyle w:val="48"/>
      </w:pPr>
    </w:p>
    <w:p w14:paraId="0578F8B2">
      <w:pPr>
        <w:pStyle w:val="48"/>
      </w:pPr>
    </w:p>
    <w:p w14:paraId="26DE56DC">
      <w:pPr>
        <w:jc w:val="center"/>
        <w:rPr>
          <w:b/>
          <w:bCs/>
        </w:rPr>
      </w:pPr>
    </w:p>
    <w:p w14:paraId="2C9182C3">
      <w:pPr>
        <w:jc w:val="center"/>
        <w:rPr>
          <w:b/>
          <w:bCs/>
        </w:rPr>
      </w:pPr>
      <w:r>
        <w:drawing>
          <wp:inline distT="0" distB="0" distL="0" distR="0">
            <wp:extent cx="2273935" cy="15792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73935" cy="1579245"/>
                    </a:xfrm>
                    <a:prstGeom prst="rect">
                      <a:avLst/>
                    </a:prstGeom>
                    <a:noFill/>
                  </pic:spPr>
                </pic:pic>
              </a:graphicData>
            </a:graphic>
          </wp:inline>
        </w:drawing>
      </w:r>
    </w:p>
    <w:p w14:paraId="28DA0B3E">
      <w:pPr>
        <w:jc w:val="center"/>
        <w:rPr>
          <w:rFonts w:ascii="黑体" w:hAnsi="黑体" w:eastAsia="黑体"/>
          <w:b/>
          <w:bCs/>
          <w:color w:val="FF0000"/>
          <w:sz w:val="44"/>
          <w:szCs w:val="44"/>
        </w:rPr>
      </w:pPr>
      <w:sdt>
        <w:sdtPr>
          <w:rPr>
            <w:rFonts w:hint="eastAsia" w:ascii="黑体" w:hAnsi="黑体" w:eastAsia="黑体"/>
            <w:b/>
            <w:bCs/>
            <w:color w:val="FF0000"/>
            <w:sz w:val="44"/>
            <w:szCs w:val="44"/>
          </w:rPr>
          <w:alias w:val="公司法定中文名称"/>
          <w:tag w:val="_GBC_47adbfeb6fae494fb72f2a2b2c73d969"/>
          <w:id w:val="672535581"/>
          <w:placeholder>
            <w:docPart w:val="GBC22222222222222222222222222222"/>
          </w:placeholder>
          <w:dataBinding w:prefixMappings="xmlns:clcid-cgi='clcid-cgi'" w:xpath="/*/clcid-cgi:GongSiFaDingZhongWenMingCheng[not(@periodRef)]" w:storeItemID="{89EBAB94-44A0-46A2-B712-30D997D04A6D}"/>
          <w:text/>
        </w:sdtPr>
        <w:sdtEndPr>
          <w:rPr>
            <w:rFonts w:hint="eastAsia" w:ascii="黑体" w:hAnsi="黑体" w:eastAsia="黑体"/>
            <w:b/>
            <w:bCs/>
            <w:color w:val="FF0000"/>
            <w:sz w:val="44"/>
            <w:szCs w:val="44"/>
          </w:rPr>
        </w:sdtEndPr>
        <w:sdtContent>
          <w:r>
            <w:rPr>
              <w:rFonts w:hint="eastAsia" w:ascii="黑体" w:hAnsi="黑体" w:eastAsia="黑体"/>
              <w:b/>
              <w:bCs/>
              <w:color w:val="FF0000"/>
              <w:sz w:val="44"/>
              <w:szCs w:val="44"/>
            </w:rPr>
            <w:t>通化东宝药业股份有限公司</w:t>
          </w:r>
        </w:sdtContent>
      </w:sdt>
    </w:p>
    <w:p w14:paraId="30F38415">
      <w:pPr>
        <w:jc w:val="center"/>
        <w:rPr>
          <w:rFonts w:ascii="黑体" w:hAnsi="黑体" w:eastAsia="黑体"/>
          <w:b/>
          <w:bCs/>
          <w:color w:val="FF0000"/>
          <w:sz w:val="44"/>
          <w:szCs w:val="44"/>
        </w:rPr>
      </w:pPr>
      <w:r>
        <w:rPr>
          <w:rFonts w:ascii="黑体" w:hAnsi="黑体" w:eastAsia="黑体"/>
          <w:b/>
          <w:bCs/>
          <w:color w:val="FF0000"/>
          <w:sz w:val="44"/>
          <w:szCs w:val="44"/>
        </w:rPr>
        <w:t>2025</w:t>
      </w:r>
      <w:r>
        <w:rPr>
          <w:rFonts w:hint="eastAsia" w:ascii="黑体" w:hAnsi="黑体" w:eastAsia="黑体"/>
          <w:b/>
          <w:bCs/>
          <w:color w:val="FF0000"/>
          <w:sz w:val="44"/>
          <w:szCs w:val="44"/>
        </w:rPr>
        <w:t>年年度报告</w:t>
      </w:r>
    </w:p>
    <w:p w14:paraId="7C6B8EFB">
      <w:pPr>
        <w:pStyle w:val="48"/>
      </w:pPr>
    </w:p>
    <w:p w14:paraId="1C863725">
      <w:pPr>
        <w:rPr>
          <w:rFonts w:ascii="黑体" w:hAnsi="黑体" w:eastAsia="黑体"/>
          <w:b/>
          <w:bCs/>
          <w:color w:val="FF0000"/>
          <w:sz w:val="44"/>
          <w:szCs w:val="44"/>
        </w:rPr>
        <w:sectPr>
          <w:headerReference r:id="rId3" w:type="default"/>
          <w:footerReference r:id="rId4" w:type="default"/>
          <w:pgSz w:w="11906" w:h="16838"/>
          <w:pgMar w:top="1525" w:right="1276" w:bottom="1440" w:left="1797" w:header="855" w:footer="992" w:gutter="0"/>
          <w:cols w:space="425" w:num="1"/>
          <w:docGrid w:linePitch="312" w:charSpace="0"/>
        </w:sectPr>
      </w:pPr>
    </w:p>
    <w:p w14:paraId="3E154394">
      <w:pPr>
        <w:pStyle w:val="48"/>
      </w:pPr>
    </w:p>
    <w:sdt>
      <w:sdtPr>
        <w:tag w:val="_PLD_429fee330a4a46d2822ec08d94ecdb3f"/>
        <w:id w:val="-598419029"/>
      </w:sdtPr>
      <w:sdtContent>
        <w:p w14:paraId="23C8E577">
          <w:pPr>
            <w:spacing w:before="100" w:beforeAutospacing="1" w:after="100" w:afterAutospacing="1" w:line="360" w:lineRule="auto"/>
            <w:jc w:val="center"/>
            <w:rPr>
              <w:rFonts w:ascii="黑体" w:hAnsi="黑体" w:eastAsia="黑体"/>
              <w:b/>
              <w:bCs/>
              <w:sz w:val="28"/>
              <w:szCs w:val="28"/>
            </w:rPr>
          </w:pPr>
          <w:bookmarkStart w:id="0" w:name="_Toc387656034"/>
          <w:r>
            <w:rPr>
              <w:rFonts w:hint="eastAsia" w:ascii="黑体" w:hAnsi="黑体" w:eastAsia="黑体"/>
              <w:b/>
              <w:bCs/>
              <w:sz w:val="28"/>
              <w:szCs w:val="28"/>
            </w:rPr>
            <w:t>重要提示</w:t>
          </w:r>
        </w:p>
      </w:sdtContent>
    </w:sdt>
    <w:bookmarkEnd w:id="0"/>
    <w:sdt>
      <w:sdtPr>
        <w:rPr>
          <w:rFonts w:hint="eastAsia" w:ascii="宋体" w:hAnsi="宋体" w:cs="宋体"/>
          <w:b w:val="0"/>
          <w:bCs w:val="0"/>
          <w:kern w:val="0"/>
          <w:szCs w:val="24"/>
        </w:rPr>
        <w:alias w:val="选项模块:董事会及董事声明"/>
        <w:tag w:val="_SEC_7d2cef92505949c6b5bd6a9bd88e1b07"/>
        <w:id w:val="1986817111"/>
        <w:placeholder>
          <w:docPart w:val="GBC22222222222222222222222222222"/>
        </w:placeholder>
      </w:sdtPr>
      <w:sdtEndPr>
        <w:rPr>
          <w:rFonts w:hint="default" w:ascii="Times New Roman" w:hAnsi="Times New Roman" w:cs="Times New Roman"/>
          <w:b w:val="0"/>
          <w:bCs w:val="0"/>
          <w:kern w:val="0"/>
          <w:szCs w:val="20"/>
        </w:rPr>
      </w:sdtEndPr>
      <w:sdtContent>
        <w:sdt>
          <w:sdtPr>
            <w:rPr>
              <w:rFonts w:hint="eastAsia" w:ascii="宋体" w:hAnsi="宋体" w:cs="宋体"/>
              <w:b w:val="0"/>
              <w:bCs w:val="0"/>
              <w:kern w:val="0"/>
              <w:szCs w:val="24"/>
            </w:rPr>
            <w:alias w:val="董事会及董事声明"/>
            <w:tag w:val="_GBC_7a4abe6548364d7e8583e54b6ff64105"/>
            <w:id w:val="-750273671"/>
            <w:placeholder>
              <w:docPart w:val="GBC22222222222222222222222222222"/>
            </w:placeholder>
          </w:sdtPr>
          <w:sdtEndPr>
            <w:rPr>
              <w:rFonts w:hint="eastAsia" w:ascii="Arial" w:hAnsi="Arial" w:cs="Times New Roman"/>
              <w:b/>
              <w:bCs/>
              <w:kern w:val="2"/>
              <w:szCs w:val="21"/>
            </w:rPr>
          </w:sdtEndPr>
          <w:sdtContent>
            <w:p w14:paraId="4F91FA36">
              <w:pPr>
                <w:pStyle w:val="3"/>
                <w:numPr>
                  <w:ilvl w:val="0"/>
                  <w:numId w:val="1"/>
                </w:numPr>
                <w:tabs>
                  <w:tab w:val="left" w:pos="434"/>
                </w:tabs>
                <w:spacing w:before="0"/>
                <w:rPr>
                  <w:rFonts w:ascii="Times New Roman" w:hAnsi="宋体" w:cs="宋体"/>
                  <w:bCs w:val="0"/>
                </w:rPr>
              </w:pPr>
              <w:r>
                <w:rPr>
                  <w:rFonts w:ascii="Times New Roman" w:hAnsi="宋体" w:cs="宋体"/>
                  <w:bCs w:val="0"/>
                </w:rPr>
                <w:t>本公司董事会及董事、高级管理人员保证年度报告内容的真实</w:t>
              </w:r>
              <w:r>
                <w:rPr>
                  <w:rFonts w:hint="eastAsia" w:ascii="Times New Roman" w:hAnsi="宋体" w:cs="宋体"/>
                  <w:bCs w:val="0"/>
                </w:rPr>
                <w:t>性</w:t>
              </w:r>
              <w:r>
                <w:rPr>
                  <w:rFonts w:ascii="Times New Roman" w:hAnsi="宋体" w:cs="宋体"/>
                  <w:bCs w:val="0"/>
                </w:rPr>
                <w:t>、准确</w:t>
              </w:r>
              <w:r>
                <w:rPr>
                  <w:rFonts w:hint="eastAsia" w:ascii="Times New Roman" w:hAnsi="宋体" w:cs="宋体"/>
                  <w:bCs w:val="0"/>
                </w:rPr>
                <w:t>性</w:t>
              </w:r>
              <w:r>
                <w:rPr>
                  <w:rFonts w:ascii="Times New Roman" w:hAnsi="宋体" w:cs="宋体"/>
                  <w:bCs w:val="0"/>
                </w:rPr>
                <w:t>、完整</w:t>
              </w:r>
              <w:r>
                <w:rPr>
                  <w:rFonts w:hint="eastAsia" w:ascii="Times New Roman" w:hAnsi="宋体" w:cs="宋体"/>
                  <w:bCs w:val="0"/>
                </w:rPr>
                <w:t>性</w:t>
              </w:r>
              <w:r>
                <w:rPr>
                  <w:rFonts w:ascii="Times New Roman" w:hAnsi="宋体" w:cs="宋体"/>
                  <w:bCs w:val="0"/>
                </w:rPr>
                <w:t>，不存在虚假记载、误导性陈述或重大遗漏，并承担个别和连带的法律责任。</w:t>
              </w:r>
            </w:p>
          </w:sdtContent>
        </w:sdt>
        <w:p w14:paraId="00F1E333">
          <w:pPr>
            <w:pStyle w:val="48"/>
          </w:pPr>
        </w:p>
      </w:sdtContent>
    </w:sdt>
    <w:sdt>
      <w:sdtPr>
        <w:rPr>
          <w:rFonts w:hint="eastAsia" w:ascii="Calibri" w:hAnsi="Calibri" w:cs="宋体"/>
          <w:b w:val="0"/>
          <w:bCs w:val="0"/>
          <w:kern w:val="0"/>
          <w:sz w:val="24"/>
          <w:szCs w:val="22"/>
        </w:rPr>
        <w:alias w:val="选项模块:公司全体董事出席董事会会议。"/>
        <w:tag w:val="_SEC_22f2821f4b8f443f90d5135b8aaff83a"/>
        <w:id w:val="1337885442"/>
        <w:placeholder>
          <w:docPart w:val="GBC22222222222222222222222222222"/>
        </w:placeholder>
      </w:sdtPr>
      <w:sdtEndPr>
        <w:rPr>
          <w:rFonts w:hint="default" w:ascii="Times New Roman" w:hAnsi="Times New Roman" w:cs="Times New Roman"/>
          <w:b w:val="0"/>
          <w:bCs w:val="0"/>
          <w:kern w:val="0"/>
          <w:sz w:val="21"/>
          <w:szCs w:val="21"/>
        </w:rPr>
      </w:sdtEndPr>
      <w:sdtContent>
        <w:p w14:paraId="3066A408">
          <w:pPr>
            <w:pStyle w:val="3"/>
            <w:numPr>
              <w:ilvl w:val="0"/>
              <w:numId w:val="1"/>
            </w:numPr>
            <w:tabs>
              <w:tab w:val="left" w:pos="434"/>
            </w:tabs>
            <w:spacing w:before="0"/>
            <w:rPr>
              <w:rFonts w:ascii="Times New Roman" w:hAnsi="宋体" w:cs="宋体"/>
              <w:bCs w:val="0"/>
            </w:rPr>
          </w:pPr>
          <w:r>
            <w:rPr>
              <w:rFonts w:ascii="Times New Roman" w:hAnsi="宋体" w:cs="宋体"/>
              <w:bCs w:val="0"/>
            </w:rPr>
            <w:t>公司</w:t>
          </w:r>
          <w:sdt>
            <w:sdtPr>
              <w:tag w:val="_PLD_67dfe594d3e24f69b6f9757d86ded61b"/>
              <w:id w:val="-1616055608"/>
            </w:sdtPr>
            <w:sdtContent>
              <w:r>
                <w:rPr>
                  <w:rFonts w:ascii="Times New Roman" w:hAnsi="宋体" w:cs="宋体"/>
                  <w:bCs w:val="0"/>
                </w:rPr>
                <w:t>全体董事出席</w:t>
              </w:r>
            </w:sdtContent>
          </w:sdt>
          <w:r>
            <w:rPr>
              <w:rFonts w:ascii="Times New Roman" w:hAnsi="宋体" w:cs="宋体"/>
              <w:bCs w:val="0"/>
            </w:rPr>
            <w:t>董事会会议。</w:t>
          </w:r>
        </w:p>
        <w:p w14:paraId="6C2B4876">
          <w:pPr>
            <w:pStyle w:val="48"/>
          </w:pPr>
        </w:p>
      </w:sdtContent>
    </w:sdt>
    <w:sdt>
      <w:sdtPr>
        <w:rPr>
          <w:rFonts w:hint="eastAsia" w:ascii="Calibri" w:hAnsi="Calibri" w:cs="宋体"/>
          <w:b w:val="0"/>
          <w:bCs w:val="0"/>
          <w:kern w:val="0"/>
          <w:sz w:val="24"/>
          <w:szCs w:val="24"/>
        </w:rPr>
        <w:alias w:val="选项模块:事务所为本公司出具了标准无保留意见的审计报告。"/>
        <w:tag w:val="_SEC_40fba4905c084fec81ccf5c248050f25"/>
        <w:id w:val="-1706474147"/>
        <w:placeholder>
          <w:docPart w:val="GBC22222222222222222222222222222"/>
        </w:placeholder>
      </w:sdtPr>
      <w:sdtEndPr>
        <w:rPr>
          <w:rFonts w:hint="default" w:ascii="Times New Roman" w:hAnsi="Times New Roman" w:cs="Times New Roman"/>
          <w:b w:val="0"/>
          <w:bCs w:val="0"/>
          <w:kern w:val="0"/>
          <w:sz w:val="21"/>
          <w:szCs w:val="20"/>
        </w:rPr>
      </w:sdtEndPr>
      <w:sdtContent>
        <w:p w14:paraId="1CC3E304">
          <w:pPr>
            <w:pStyle w:val="3"/>
            <w:numPr>
              <w:ilvl w:val="0"/>
              <w:numId w:val="1"/>
            </w:numPr>
            <w:tabs>
              <w:tab w:val="left" w:pos="434"/>
            </w:tabs>
            <w:spacing w:before="0"/>
            <w:rPr>
              <w:rFonts w:ascii="Times New Roman" w:hAnsi="宋体" w:cs="宋体"/>
              <w:bCs w:val="0"/>
            </w:rPr>
          </w:pPr>
          <w:sdt>
            <w:sdtPr>
              <w:rPr>
                <w:rFonts w:hint="eastAsia" w:ascii="宋体" w:hAnsi="宋体"/>
              </w:rPr>
              <w:alias w:val="公司聘请的境内会计师事务所名称"/>
              <w:tag w:val="_GBC_ad504284986e4ab994733d7125ba1c33"/>
              <w:id w:val="1004467184"/>
              <w:placeholder>
                <w:docPart w:val="GBC22222222222222222222222222222"/>
              </w:placeholder>
            </w:sdtPr>
            <w:sdtEndPr>
              <w:rPr>
                <w:rFonts w:hint="eastAsia" w:ascii="宋体" w:hAnsi="宋体"/>
              </w:rPr>
            </w:sdtEndPr>
            <w:sdtContent>
              <w:r>
                <w:rPr>
                  <w:rFonts w:ascii="Times New Roman" w:hAnsi="宋体" w:cs="宋体"/>
                  <w:bCs w:val="0"/>
                </w:rPr>
                <w:t>大信会计师事务所（特殊普通合伙）</w:t>
              </w:r>
            </w:sdtContent>
          </w:sdt>
          <w:r>
            <w:rPr>
              <w:rFonts w:ascii="Times New Roman" w:hAnsi="宋体" w:cs="宋体"/>
              <w:bCs w:val="0"/>
            </w:rPr>
            <w:t>为本公司出具了</w:t>
          </w:r>
          <w:sdt>
            <w:sdtPr>
              <w:rPr>
                <w:rFonts w:hint="eastAsia" w:ascii="宋体" w:hAnsi="宋体"/>
              </w:rPr>
              <w:alias w:val="会计师事务所审计意见类型"/>
              <w:tag w:val="_GBC_fc66ac35f9514436909a413223854389"/>
              <w:id w:val="-1253735395"/>
              <w:placeholder>
                <w:docPart w:val="GBC22222222222222222222222222222"/>
              </w:placeholder>
            </w:sdtPr>
            <w:sdtEndPr>
              <w:rPr>
                <w:rFonts w:hint="eastAsia" w:ascii="宋体" w:hAnsi="宋体"/>
              </w:rPr>
            </w:sdtEndPr>
            <w:sdtContent>
              <w:r>
                <w:rPr>
                  <w:rFonts w:ascii="Times New Roman" w:hAnsi="宋体" w:cs="宋体"/>
                  <w:bCs w:val="0"/>
                </w:rPr>
                <w:t>标准无保留意见</w:t>
              </w:r>
            </w:sdtContent>
          </w:sdt>
          <w:r>
            <w:rPr>
              <w:rFonts w:ascii="Times New Roman" w:hAnsi="宋体" w:cs="宋体"/>
              <w:bCs w:val="0"/>
            </w:rPr>
            <w:t>的审计报告。</w:t>
          </w:r>
        </w:p>
        <w:p w14:paraId="6F248FE6">
          <w:pPr>
            <w:pStyle w:val="48"/>
          </w:pPr>
        </w:p>
      </w:sdtContent>
    </w:sdt>
    <w:p w14:paraId="292A809E">
      <w:pPr>
        <w:pStyle w:val="3"/>
        <w:numPr>
          <w:ilvl w:val="0"/>
          <w:numId w:val="1"/>
        </w:numPr>
        <w:tabs>
          <w:tab w:val="left" w:pos="434"/>
        </w:tabs>
        <w:spacing w:before="0"/>
        <w:rPr>
          <w:rFonts w:ascii="Times New Roman" w:hAnsi="宋体" w:cs="宋体"/>
          <w:bCs w:val="0"/>
        </w:rPr>
      </w:pPr>
      <w:r>
        <w:rPr>
          <w:rFonts w:ascii="Times New Roman" w:hAnsi="宋体" w:cs="宋体"/>
          <w:bCs w:val="0"/>
        </w:rPr>
        <w:t>公司负责人</w:t>
      </w:r>
      <w:sdt>
        <w:sdtPr>
          <w:rPr>
            <w:rFonts w:hint="eastAsia" w:ascii="宋体" w:hAnsi="宋体"/>
          </w:rPr>
          <w:alias w:val="公司负责人姓名"/>
          <w:tag w:val="_GBC_ba0728eaa9a342098d20addcde59ed31"/>
          <w:id w:val="1105618108"/>
          <w:placeholder>
            <w:docPart w:val="GBC22222222222222222222222222222"/>
          </w:placeholder>
          <w:dataBinding w:prefixMappings="xmlns:clcid-mr='clcid-mr'" w:xpath="/*/clcid-mr:GongSiFuZeRenXingMing[not(@periodRef)]" w:storeItemID="{89EBAB94-44A0-46A2-B712-30D997D04A6D}"/>
          <w:text/>
        </w:sdtPr>
        <w:sdtEndPr>
          <w:rPr>
            <w:rFonts w:hint="eastAsia" w:ascii="宋体" w:hAnsi="宋体"/>
          </w:rPr>
        </w:sdtEndPr>
        <w:sdtContent>
          <w:r>
            <w:rPr>
              <w:rFonts w:hint="eastAsia" w:ascii="宋体" w:hAnsi="宋体"/>
            </w:rPr>
            <w:t>李佳鸿</w:t>
          </w:r>
        </w:sdtContent>
      </w:sdt>
      <w:r>
        <w:rPr>
          <w:rFonts w:ascii="Times New Roman" w:hAnsi="宋体" w:cs="宋体"/>
          <w:bCs w:val="0"/>
        </w:rPr>
        <w:t>、主管会计工作负责人</w:t>
      </w:r>
      <w:sdt>
        <w:sdtPr>
          <w:rPr>
            <w:rFonts w:hint="eastAsia" w:ascii="宋体" w:hAnsi="宋体"/>
          </w:rPr>
          <w:alias w:val="主管会计工作负责人姓名"/>
          <w:tag w:val="_GBC_9ac791ae357946e68402505d2aa6b3b9"/>
          <w:id w:val="-448702112"/>
          <w:placeholder>
            <w:docPart w:val="GBC22222222222222222222222222222"/>
          </w:placeholder>
          <w:dataBinding w:prefixMappings="xmlns:clcid-mr='clcid-mr'" w:xpath="/*/clcid-mr:ZhuGuanKuaiJiGongZuoFuZeRenXingMing[not(@periodRef)]" w:storeItemID="{89EBAB94-44A0-46A2-B712-30D997D04A6D}"/>
          <w:text/>
        </w:sdtPr>
        <w:sdtEndPr>
          <w:rPr>
            <w:rFonts w:hint="eastAsia" w:ascii="宋体" w:hAnsi="宋体"/>
          </w:rPr>
        </w:sdtEndPr>
        <w:sdtContent>
          <w:r>
            <w:rPr>
              <w:rFonts w:hint="eastAsia" w:ascii="宋体" w:hAnsi="宋体"/>
            </w:rPr>
            <w:t>迟军玉</w:t>
          </w:r>
        </w:sdtContent>
      </w:sdt>
      <w:r>
        <w:rPr>
          <w:rFonts w:ascii="Times New Roman" w:hAnsi="宋体" w:cs="宋体"/>
          <w:bCs w:val="0"/>
        </w:rPr>
        <w:t>及会计机构负责人（会计主管人员）</w:t>
      </w:r>
      <w:sdt>
        <w:sdtPr>
          <w:rPr>
            <w:rFonts w:hint="eastAsia" w:ascii="宋体" w:hAnsi="宋体"/>
          </w:rPr>
          <w:alias w:val="会计机构负责人姓名"/>
          <w:tag w:val="_GBC_c6edcd184788428d9dc08d896d5d98a9"/>
          <w:id w:val="207768055"/>
          <w:placeholder>
            <w:docPart w:val="GBC22222222222222222222222222222"/>
          </w:placeholder>
          <w:dataBinding w:prefixMappings="xmlns:clcid-mr='clcid-mr'" w:xpath="/*/clcid-mr:KuaiJiJiGouFuZeRenXingMing[not(@periodRef)]" w:storeItemID="{89EBAB94-44A0-46A2-B712-30D997D04A6D}"/>
          <w:text/>
        </w:sdtPr>
        <w:sdtEndPr>
          <w:rPr>
            <w:rFonts w:hint="eastAsia" w:ascii="宋体" w:hAnsi="宋体"/>
          </w:rPr>
        </w:sdtEndPr>
        <w:sdtContent>
          <w:r>
            <w:rPr>
              <w:rFonts w:hint="eastAsia" w:ascii="宋体" w:hAnsi="宋体"/>
            </w:rPr>
            <w:t>樊鸿宇</w:t>
          </w:r>
        </w:sdtContent>
      </w:sdt>
      <w:r>
        <w:rPr>
          <w:rFonts w:ascii="Times New Roman" w:hAnsi="宋体" w:cs="宋体"/>
          <w:bCs w:val="0"/>
        </w:rPr>
        <w:t>声明：保证年度报告中财务报告的真实、准确、完整。</w:t>
      </w:r>
    </w:p>
    <w:p w14:paraId="20E70A89">
      <w:pPr>
        <w:pStyle w:val="48"/>
      </w:pPr>
    </w:p>
    <w:p w14:paraId="297B407E">
      <w:pPr>
        <w:pStyle w:val="3"/>
        <w:numPr>
          <w:ilvl w:val="0"/>
          <w:numId w:val="1"/>
        </w:numPr>
        <w:tabs>
          <w:tab w:val="left" w:pos="434"/>
        </w:tabs>
        <w:spacing w:before="0"/>
        <w:rPr>
          <w:rFonts w:ascii="Times New Roman" w:hAnsi="宋体" w:cs="宋体"/>
          <w:bCs w:val="0"/>
        </w:rPr>
      </w:pPr>
      <w:r>
        <w:rPr>
          <w:rFonts w:ascii="Times New Roman" w:hAnsi="宋体" w:cs="宋体"/>
          <w:bCs w:val="0"/>
        </w:rPr>
        <w:t>董事会决议通过的本报告期利润分配预案或公积金转增股本预案</w:t>
      </w:r>
    </w:p>
    <w:sdt>
      <w:sdtPr>
        <w:rPr>
          <w:rFonts w:hint="eastAsia"/>
        </w:rPr>
        <w:alias w:val="经董事会审议的报告期利润分配预案或公积金转增股本预案"/>
        <w:tag w:val="_GBC_87fdd30c16df49cc824b47e55e4be6d9"/>
        <w:id w:val="-316960477"/>
        <w:placeholder>
          <w:docPart w:val="GBC22222222222222222222222222222"/>
        </w:placeholder>
      </w:sdtPr>
      <w:sdtEndPr>
        <w:rPr>
          <w:rFonts w:hint="eastAsia"/>
        </w:rPr>
      </w:sdtEndPr>
      <w:sdtContent>
        <w:p w14:paraId="33639C52">
          <w:pPr>
            <w:autoSpaceDE w:val="0"/>
            <w:spacing w:line="360" w:lineRule="auto"/>
            <w:ind w:firstLine="420" w:firstLineChars="200"/>
            <w:jc w:val="both"/>
            <w:rPr>
              <w:rFonts w:ascii="宋体" w:hAnsi="宋体"/>
              <w:color w:val="000000"/>
            </w:rPr>
          </w:pPr>
          <w:r>
            <w:rPr>
              <w:rFonts w:hint="eastAsia" w:ascii="宋体" w:hAnsi="宋体"/>
              <w:color w:val="000000"/>
            </w:rPr>
            <w:t>经</w:t>
          </w:r>
          <w:r>
            <w:rPr>
              <w:rFonts w:hint="eastAsia" w:ascii="宋体" w:hAnsi="宋体"/>
              <w:bCs/>
              <w:kern w:val="2"/>
            </w:rPr>
            <w:t>大信会计师事务所</w:t>
          </w:r>
          <w:r>
            <w:rPr>
              <w:rFonts w:hint="eastAsia" w:ascii="宋体" w:hAnsi="宋体"/>
              <w:color w:val="000000"/>
            </w:rPr>
            <w:t>（特殊普通合伙）审计，公司2025年度实现归属于母公司所有者的净利润1,219,052,875.25元，</w:t>
          </w:r>
          <w:r>
            <w:rPr>
              <w:rFonts w:hint="eastAsia" w:ascii="宋体" w:hAnsi="宋体"/>
              <w:kern w:val="2"/>
            </w:rPr>
            <w:t>母公司报表中期末未分配利润为人民币4,304,411,708.85元。</w:t>
          </w:r>
          <w:r>
            <w:rPr>
              <w:rFonts w:hint="eastAsia" w:ascii="宋体" w:hAnsi="宋体"/>
              <w:color w:val="000000"/>
            </w:rPr>
            <w:t>经公司第十一届董事会第二十四次会议决议，本次利润分配方案如下：</w:t>
          </w:r>
        </w:p>
        <w:p w14:paraId="0992CA4F">
          <w:pPr>
            <w:topLinePunct/>
            <w:autoSpaceDE w:val="0"/>
            <w:spacing w:line="360" w:lineRule="auto"/>
            <w:ind w:firstLine="420" w:firstLineChars="200"/>
            <w:jc w:val="both"/>
            <w:rPr>
              <w:rFonts w:ascii="宋体" w:hAnsi="宋体"/>
              <w:kern w:val="2"/>
            </w:rPr>
          </w:pPr>
          <w:r>
            <w:rPr>
              <w:rFonts w:hint="eastAsia"/>
              <w:kern w:val="2"/>
            </w:rPr>
            <w:t>公司拟以实施权益分派股权登记日的总股本为基数（扣除存放于回购专用证券账户全部股份），向全体股东每10股派发现金红利</w:t>
          </w:r>
          <w:r>
            <w:rPr>
              <w:kern w:val="2"/>
            </w:rPr>
            <w:t>3.0</w:t>
          </w:r>
          <w:r>
            <w:rPr>
              <w:rFonts w:hint="eastAsia"/>
              <w:kern w:val="2"/>
            </w:rPr>
            <w:t>0元（含税）。</w:t>
          </w:r>
          <w:r>
            <w:rPr>
              <w:rFonts w:hint="eastAsia" w:ascii="宋体" w:hAnsi="宋体"/>
            </w:rPr>
            <w:t>截至本报告披露日，公司总股本1,958,542,829股,扣除回购专用证券账户上已回购股份2,417,817股后股本数为1,956,125,012股，以此计算合计拟派发现金红利</w:t>
          </w:r>
          <w:r>
            <w:rPr>
              <w:rFonts w:ascii="宋体" w:hAnsi="宋体"/>
            </w:rPr>
            <w:t>586,837,503.60</w:t>
          </w:r>
          <w:r>
            <w:rPr>
              <w:rFonts w:hint="eastAsia" w:ascii="宋体" w:hAnsi="宋体"/>
            </w:rPr>
            <w:t>元（含税）。</w:t>
          </w:r>
          <w:r>
            <w:rPr>
              <w:rFonts w:hint="eastAsia" w:ascii="宋体" w:hAnsi="宋体"/>
              <w:kern w:val="2"/>
            </w:rPr>
            <w:t>尚余未分配利润</w:t>
          </w:r>
          <w:r>
            <w:rPr>
              <w:rFonts w:ascii="宋体" w:hAnsi="宋体"/>
              <w:kern w:val="2"/>
            </w:rPr>
            <w:t>3,717,574,205.25</w:t>
          </w:r>
          <w:r>
            <w:rPr>
              <w:rFonts w:hint="eastAsia" w:ascii="宋体" w:hAnsi="宋体"/>
              <w:kern w:val="2"/>
            </w:rPr>
            <w:t>元，结转以后年度分配。</w:t>
          </w:r>
        </w:p>
        <w:p w14:paraId="24EEE47F">
          <w:pPr>
            <w:topLinePunct/>
            <w:autoSpaceDE w:val="0"/>
            <w:spacing w:line="360" w:lineRule="auto"/>
            <w:ind w:firstLine="420" w:firstLineChars="200"/>
            <w:jc w:val="both"/>
            <w:rPr>
              <w:rFonts w:ascii="宋体" w:hAnsi="宋体"/>
            </w:rPr>
          </w:pPr>
          <w:r>
            <w:rPr>
              <w:rFonts w:hint="eastAsia"/>
              <w:kern w:val="2"/>
            </w:rPr>
            <w:t>本年度公司现金分红占202</w:t>
          </w:r>
          <w:r>
            <w:rPr>
              <w:kern w:val="2"/>
            </w:rPr>
            <w:t>5</w:t>
          </w:r>
          <w:r>
            <w:rPr>
              <w:rFonts w:hint="eastAsia"/>
              <w:kern w:val="2"/>
            </w:rPr>
            <w:t>年度合并报表中归属于上市公司股东的净利润的比例为</w:t>
          </w:r>
          <w:r>
            <w:rPr>
              <w:kern w:val="2"/>
            </w:rPr>
            <w:t>48.14</w:t>
          </w:r>
          <w:r>
            <w:rPr>
              <w:rFonts w:hint="eastAsia"/>
              <w:kern w:val="2"/>
            </w:rPr>
            <w:t>%。</w:t>
          </w:r>
          <w:r>
            <w:rPr>
              <w:rFonts w:hint="eastAsia" w:ascii="宋体" w:hAnsi="宋体"/>
            </w:rPr>
            <w:t>2</w:t>
          </w:r>
          <w:r>
            <w:rPr>
              <w:rFonts w:ascii="宋体" w:hAnsi="宋体"/>
            </w:rPr>
            <w:t>025</w:t>
          </w:r>
          <w:r>
            <w:rPr>
              <w:rFonts w:hint="eastAsia" w:ascii="宋体" w:hAnsi="宋体"/>
            </w:rPr>
            <w:t>年度以现金为对价，采用集中竞价方式已实施的股份回购金额27,574,286.00元，现金分红和回购金额合计</w:t>
          </w:r>
          <w:r>
            <w:rPr>
              <w:rFonts w:ascii="宋体" w:hAnsi="宋体"/>
            </w:rPr>
            <w:t>614,411,789.60</w:t>
          </w:r>
          <w:r>
            <w:rPr>
              <w:rFonts w:hint="eastAsia" w:ascii="宋体" w:hAnsi="宋体"/>
            </w:rPr>
            <w:t>元，占本年度归属于上市公司股东净利润的比例为</w:t>
          </w:r>
          <w:r>
            <w:rPr>
              <w:rFonts w:ascii="宋体" w:hAnsi="宋体"/>
            </w:rPr>
            <w:t>50.40</w:t>
          </w:r>
          <w:r>
            <w:rPr>
              <w:rFonts w:hint="eastAsia" w:ascii="宋体" w:hAnsi="宋体"/>
            </w:rPr>
            <w:t>%。其中，以现金为对价，采用集中竞价方式回购股份并注销的回购金额180,041,028.40元，现金分红和回购并注销金额合计</w:t>
          </w:r>
          <w:r>
            <w:rPr>
              <w:rFonts w:ascii="宋体" w:hAnsi="宋体"/>
            </w:rPr>
            <w:t>766,878,532.00</w:t>
          </w:r>
          <w:r>
            <w:rPr>
              <w:rFonts w:hint="eastAsia" w:ascii="宋体" w:hAnsi="宋体"/>
            </w:rPr>
            <w:t>元，占2025年度归属于上市公司股东净利润的比例为</w:t>
          </w:r>
          <w:r>
            <w:rPr>
              <w:rFonts w:ascii="宋体" w:hAnsi="宋体"/>
            </w:rPr>
            <w:t>62.91</w:t>
          </w:r>
          <w:r>
            <w:rPr>
              <w:rFonts w:hint="eastAsia" w:ascii="宋体" w:hAnsi="宋体"/>
            </w:rPr>
            <w:t>%。</w:t>
          </w:r>
        </w:p>
        <w:p w14:paraId="323C1A7D">
          <w:pPr>
            <w:spacing w:line="360" w:lineRule="auto"/>
            <w:ind w:firstLine="420" w:firstLineChars="200"/>
            <w:jc w:val="both"/>
            <w:rPr>
              <w:rFonts w:ascii="宋体" w:hAnsi="宋体"/>
              <w:kern w:val="2"/>
            </w:rPr>
          </w:pPr>
          <w:r>
            <w:rPr>
              <w:rFonts w:hint="eastAsia" w:ascii="宋体" w:hAnsi="宋体"/>
              <w:kern w:val="2"/>
            </w:rPr>
            <w:t>如在实施权益分派的股权登记日前公司总股本发生变动的，拟维持每股分配比例不变，相应调整分配总额，公司将另行公告具体调整情况。</w:t>
          </w:r>
        </w:p>
        <w:p w14:paraId="301A890F">
          <w:pPr>
            <w:spacing w:line="360" w:lineRule="auto"/>
            <w:ind w:firstLine="420" w:firstLineChars="200"/>
            <w:jc w:val="both"/>
            <w:rPr>
              <w:rFonts w:ascii="宋体" w:hAnsi="宋体"/>
              <w:kern w:val="2"/>
            </w:rPr>
          </w:pPr>
          <w:r>
            <w:rPr>
              <w:rFonts w:hint="eastAsia" w:ascii="宋体" w:hAnsi="宋体"/>
              <w:kern w:val="2"/>
            </w:rPr>
            <w:t>本年度不送股，也不进行公积金转增股本。</w:t>
          </w:r>
        </w:p>
        <w:p w14:paraId="7313F721">
          <w:pPr>
            <w:kinsoku w:val="0"/>
            <w:overflowPunct w:val="0"/>
            <w:autoSpaceDE w:val="0"/>
            <w:autoSpaceDN w:val="0"/>
            <w:adjustRightInd w:val="0"/>
            <w:snapToGrid w:val="0"/>
            <w:spacing w:line="360" w:lineRule="auto"/>
            <w:ind w:firstLine="420" w:firstLineChars="200"/>
            <w:jc w:val="both"/>
          </w:pPr>
          <w:r>
            <w:rPr>
              <w:rFonts w:hint="eastAsia" w:ascii="宋体" w:hAnsi="宋体" w:cs="宋体"/>
              <w:kern w:val="2"/>
            </w:rPr>
            <w:t>本次利润分配方案尚需公司2025年年度股东会审议通过后方可实施。</w:t>
          </w:r>
        </w:p>
      </w:sdtContent>
    </w:sdt>
    <w:p w14:paraId="0A29929A">
      <w:pPr>
        <w:kinsoku w:val="0"/>
        <w:overflowPunct w:val="0"/>
        <w:autoSpaceDE w:val="0"/>
        <w:autoSpaceDN w:val="0"/>
        <w:adjustRightInd w:val="0"/>
        <w:snapToGrid w:val="0"/>
        <w:spacing w:line="360" w:lineRule="exact"/>
      </w:pPr>
    </w:p>
    <w:p w14:paraId="4DFEE6A0">
      <w:pPr>
        <w:kinsoku w:val="0"/>
        <w:overflowPunct w:val="0"/>
        <w:autoSpaceDE w:val="0"/>
        <w:autoSpaceDN w:val="0"/>
        <w:adjustRightInd w:val="0"/>
        <w:snapToGrid w:val="0"/>
        <w:spacing w:line="360" w:lineRule="exact"/>
        <w:rPr>
          <w:rFonts w:ascii="Calibri" w:hAnsi="Calibri"/>
          <w:b/>
          <w:bCs/>
        </w:rPr>
      </w:pPr>
      <w:bookmarkStart w:id="1" w:name="_Hlk188283359"/>
      <w:r>
        <w:rPr>
          <w:rFonts w:hint="eastAsia" w:ascii="Calibri" w:hAnsi="Calibri"/>
          <w:b/>
          <w:bCs/>
        </w:rPr>
        <w:t>截至报告期末，母公司存在未弥补亏损的相关情况及其对公司分红等事项的影响</w:t>
      </w:r>
    </w:p>
    <w:sdt>
      <w:sdtPr>
        <w:rPr>
          <w:rFonts w:hint="eastAsia"/>
        </w:rPr>
        <w:alias w:val="是否适用：母公司存在未弥补亏损的相关情况及对公司分红等事项的影响[双击切换]"/>
        <w:tag w:val="_GBC_f4072938560548dfb5ebe61b52489b8c"/>
        <w:id w:val="982743435"/>
        <w:placeholder>
          <w:docPart w:val="GBC22222222222222222222222222222"/>
        </w:placeholder>
      </w:sdtPr>
      <w:sdtEndPr>
        <w:rPr>
          <w:rFonts w:hint="eastAsia"/>
        </w:rPr>
      </w:sdtEndPr>
      <w:sdtContent>
        <w:p w14:paraId="0EBFCBA0">
          <w:pPr>
            <w:pStyle w:val="48"/>
            <w:rPr>
              <w:rFonts w:asciiTheme="minorEastAsia" w:hAnsiTheme="minorEastAsia" w:eastAsiaTheme="minorEastAsia"/>
            </w:rPr>
          </w:pPr>
          <w:r>
            <w:rPr>
              <w:rFonts w:hint="eastAsia" w:ascii="宋体" w:hAnsi="宋体"/>
            </w:rPr>
            <w:fldChar w:fldCharType="begin"/>
          </w:r>
          <w:r>
            <w:rPr>
              <w:rFonts w:ascii="宋体" w:hAnsi="宋体"/>
            </w:rPr>
            <w:instrText xml:space="preserve"> MACROBUTTON  SnrToggleCheckbox □适用 </w:instrText>
          </w:r>
          <w:r>
            <w:rPr>
              <w:rFonts w:hint="eastAsia" w:ascii="宋体" w:hAnsi="宋体"/>
            </w:rPr>
            <w:fldChar w:fldCharType="end"/>
          </w:r>
          <w:r>
            <w:rPr>
              <w:rFonts w:hint="eastAsia" w:ascii="宋体" w:hAnsi="宋体"/>
            </w:rPr>
            <w:fldChar w:fldCharType="begin"/>
          </w:r>
          <w:r>
            <w:rPr>
              <w:rFonts w:ascii="宋体" w:hAnsi="宋体"/>
            </w:rPr>
            <w:instrText xml:space="preserve"> MACROBUTTON  SnrToggleCheckbox √不适用 </w:instrText>
          </w:r>
          <w:r>
            <w:rPr>
              <w:rFonts w:hint="eastAsia" w:ascii="宋体" w:hAnsi="宋体"/>
            </w:rPr>
            <w:fldChar w:fldCharType="end"/>
          </w:r>
        </w:p>
      </w:sdtContent>
    </w:sdt>
    <w:p w14:paraId="18E8B1B2">
      <w:pPr>
        <w:kinsoku w:val="0"/>
        <w:overflowPunct w:val="0"/>
        <w:autoSpaceDE w:val="0"/>
        <w:autoSpaceDN w:val="0"/>
        <w:adjustRightInd w:val="0"/>
        <w:snapToGrid w:val="0"/>
        <w:spacing w:line="360" w:lineRule="exact"/>
        <w:rPr>
          <w:rFonts w:asciiTheme="minorEastAsia" w:hAnsiTheme="minorEastAsia" w:eastAsiaTheme="minorEastAsia"/>
        </w:rPr>
      </w:pPr>
    </w:p>
    <w:bookmarkEnd w:id="1"/>
    <w:p w14:paraId="6E6F0216">
      <w:pPr>
        <w:pStyle w:val="3"/>
        <w:numPr>
          <w:ilvl w:val="0"/>
          <w:numId w:val="1"/>
        </w:numPr>
        <w:tabs>
          <w:tab w:val="left" w:pos="434"/>
        </w:tabs>
        <w:spacing w:before="0"/>
        <w:rPr>
          <w:rFonts w:ascii="Times New Roman" w:hAnsi="宋体" w:cs="宋体"/>
          <w:bCs w:val="0"/>
        </w:rPr>
      </w:pPr>
      <w:r>
        <w:rPr>
          <w:rFonts w:ascii="Times New Roman" w:hAnsi="宋体" w:cs="宋体"/>
          <w:bCs w:val="0"/>
        </w:rPr>
        <w:t>前瞻性陈述的风险声明</w:t>
      </w:r>
    </w:p>
    <w:sdt>
      <w:sdtPr>
        <w:alias w:val="是否适用：前瞻性陈述的风险声明[双击切换]"/>
        <w:tag w:val="_GBC_5e5553f9f96e47e8b5eded9c0e6a26c0"/>
        <w:id w:val="1140621102"/>
        <w:placeholder>
          <w:docPart w:val="GBC22222222222222222222222222222"/>
        </w:placeholder>
      </w:sdtPr>
      <w:sdtContent>
        <w:p w14:paraId="6CBE703A">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对报告涉及未来计划等前瞻性陈述的声明"/>
        <w:tag w:val="_GBC_1f83625afa8e46e9bb2a951797b077a3"/>
        <w:id w:val="-2108333909"/>
        <w:placeholder>
          <w:docPart w:val="GBC22222222222222222222222222222"/>
        </w:placeholder>
      </w:sdtPr>
      <w:sdtEndPr>
        <w:rPr>
          <w:rFonts w:hint="eastAsia"/>
        </w:rPr>
      </w:sdtEndPr>
      <w:sdtContent>
        <w:p w14:paraId="63D45A95">
          <w:pPr>
            <w:kinsoku w:val="0"/>
            <w:overflowPunct w:val="0"/>
            <w:autoSpaceDE w:val="0"/>
            <w:autoSpaceDN w:val="0"/>
            <w:adjustRightInd w:val="0"/>
            <w:snapToGrid w:val="0"/>
            <w:spacing w:line="360" w:lineRule="auto"/>
            <w:ind w:firstLine="420" w:firstLineChars="200"/>
          </w:pPr>
          <w:sdt>
            <w:sdtPr>
              <w:alias w:val="公司对报告涉及未来计划等前瞻性陈述的声明"/>
              <w:tag w:val="_GBC_1f83625afa8e46e9bb2a951797b077a3"/>
              <w:id w:val="1563750559"/>
            </w:sdtPr>
            <w:sdtContent>
              <w:r>
                <w:rPr>
                  <w:rFonts w:hint="eastAsia"/>
                </w:rPr>
                <w:t>本报告中所涉及的未来计划、发展战略等前瞻性描述不构成公司对投资者的实质承诺，敬请投资者注意投资风险。</w:t>
              </w:r>
            </w:sdtContent>
          </w:sdt>
        </w:p>
      </w:sdtContent>
    </w:sdt>
    <w:p w14:paraId="77BB13F7">
      <w:pPr>
        <w:kinsoku w:val="0"/>
        <w:overflowPunct w:val="0"/>
        <w:autoSpaceDE w:val="0"/>
        <w:autoSpaceDN w:val="0"/>
        <w:adjustRightInd w:val="0"/>
        <w:snapToGrid w:val="0"/>
        <w:spacing w:line="360" w:lineRule="exact"/>
      </w:pPr>
    </w:p>
    <w:p w14:paraId="222BFA6B">
      <w:pPr>
        <w:pStyle w:val="3"/>
        <w:numPr>
          <w:ilvl w:val="0"/>
          <w:numId w:val="1"/>
        </w:numPr>
        <w:tabs>
          <w:tab w:val="left" w:pos="434"/>
        </w:tabs>
        <w:spacing w:before="0"/>
        <w:rPr>
          <w:rFonts w:ascii="Times New Roman" w:hAnsi="宋体" w:cs="宋体"/>
          <w:bCs w:val="0"/>
        </w:rPr>
      </w:pPr>
      <w:r>
        <w:rPr>
          <w:rFonts w:ascii="Times New Roman" w:hAnsi="宋体" w:cs="宋体"/>
          <w:bCs w:val="0"/>
        </w:rPr>
        <w:t>是否存在被控股股东及其他关联方非经营性占用资金情况</w:t>
      </w:r>
    </w:p>
    <w:sdt>
      <w:sdtPr>
        <w:rPr>
          <w:rFonts w:hint="eastAsia" w:ascii="Arial" w:hAnsi="Arial"/>
          <w:bCs/>
        </w:rPr>
        <w:alias w:val="本公司是否存在大股东占用资金情况"/>
        <w:tag w:val="_GBC_a9b8d3170fbb4d50a645223c117f8b30"/>
        <w:id w:val="-442607974"/>
        <w:placeholder>
          <w:docPart w:val="GBC22222222222222222222222222222"/>
        </w:placeholder>
        <w:comboBox>
          <w:listItem w:displayText="是" w:value="true"/>
          <w:listItem w:displayText="否" w:value="false"/>
        </w:comboBox>
      </w:sdtPr>
      <w:sdtEndPr>
        <w:rPr>
          <w:rFonts w:hint="eastAsia" w:ascii="Arial" w:hAnsi="Arial"/>
          <w:bCs/>
        </w:rPr>
      </w:sdtEndPr>
      <w:sdtContent>
        <w:p w14:paraId="1B7133A4">
          <w:pPr>
            <w:kinsoku w:val="0"/>
            <w:overflowPunct w:val="0"/>
            <w:autoSpaceDE w:val="0"/>
            <w:autoSpaceDN w:val="0"/>
            <w:adjustRightInd w:val="0"/>
            <w:snapToGrid w:val="0"/>
            <w:spacing w:line="360" w:lineRule="exact"/>
            <w:rPr>
              <w:rFonts w:ascii="Arial" w:hAnsi="Arial"/>
              <w:bCs/>
            </w:rPr>
          </w:pPr>
          <w:r>
            <w:rPr>
              <w:rFonts w:hint="eastAsia" w:ascii="Arial" w:hAnsi="Arial"/>
              <w:bCs/>
            </w:rPr>
            <w:t>是</w:t>
          </w:r>
        </w:p>
      </w:sdtContent>
    </w:sdt>
    <w:p w14:paraId="527593B0">
      <w:pPr>
        <w:kinsoku w:val="0"/>
        <w:overflowPunct w:val="0"/>
        <w:autoSpaceDE w:val="0"/>
        <w:autoSpaceDN w:val="0"/>
        <w:adjustRightInd w:val="0"/>
        <w:snapToGrid w:val="0"/>
        <w:spacing w:line="360" w:lineRule="exact"/>
        <w:rPr>
          <w:rFonts w:ascii="Arial" w:hAnsi="Arial"/>
          <w:bCs/>
        </w:rPr>
      </w:pPr>
    </w:p>
    <w:p w14:paraId="5D992D9F">
      <w:pPr>
        <w:pStyle w:val="3"/>
        <w:numPr>
          <w:ilvl w:val="0"/>
          <w:numId w:val="1"/>
        </w:numPr>
        <w:tabs>
          <w:tab w:val="left" w:pos="434"/>
        </w:tabs>
        <w:spacing w:before="0"/>
        <w:rPr>
          <w:rFonts w:ascii="Times New Roman" w:hAnsi="宋体" w:cs="宋体"/>
          <w:bCs w:val="0"/>
        </w:rPr>
      </w:pPr>
      <w:r>
        <w:rPr>
          <w:rFonts w:ascii="Times New Roman" w:hAnsi="宋体" w:cs="宋体"/>
          <w:bCs w:val="0"/>
        </w:rPr>
        <w:t>是否存在违反规定决策程序对外提供担保的情况</w:t>
      </w:r>
    </w:p>
    <w:sdt>
      <w:sdtPr>
        <w:rPr>
          <w:rFonts w:hint="eastAsia"/>
        </w:rPr>
        <w:alias w:val="本公司是否存在违反规定决策程序对外提供担保的情况"/>
        <w:tag w:val="_GBC_aef7ac6bbdf043bc8051c4f9fb55e5ea"/>
        <w:id w:val="-1368531761"/>
        <w:placeholder>
          <w:docPart w:val="GBC22222222222222222222222222222"/>
        </w:placeholder>
        <w:comboBox>
          <w:listItem w:displayText="是" w:value="true"/>
          <w:listItem w:displayText="否" w:value="false"/>
        </w:comboBox>
      </w:sdtPr>
      <w:sdtEndPr>
        <w:rPr>
          <w:rFonts w:hint="eastAsia"/>
        </w:rPr>
      </w:sdtEndPr>
      <w:sdtContent>
        <w:p w14:paraId="56616130">
          <w:pPr>
            <w:pStyle w:val="48"/>
          </w:pPr>
          <w:r>
            <w:rPr>
              <w:rFonts w:hint="eastAsia"/>
            </w:rPr>
            <w:t>否</w:t>
          </w:r>
        </w:p>
      </w:sdtContent>
    </w:sdt>
    <w:p w14:paraId="0742D19C">
      <w:pPr>
        <w:pStyle w:val="48"/>
      </w:pPr>
    </w:p>
    <w:p w14:paraId="49861C84">
      <w:pPr>
        <w:pStyle w:val="3"/>
        <w:numPr>
          <w:ilvl w:val="0"/>
          <w:numId w:val="1"/>
        </w:numPr>
        <w:tabs>
          <w:tab w:val="left" w:pos="434"/>
        </w:tabs>
        <w:spacing w:before="0"/>
        <w:rPr>
          <w:rFonts w:ascii="Times New Roman" w:hAnsi="宋体" w:cs="宋体"/>
          <w:bCs w:val="0"/>
        </w:rPr>
      </w:pPr>
      <w:bookmarkStart w:id="2" w:name="_Hlk61881950"/>
      <w:r>
        <w:rPr>
          <w:rFonts w:ascii="Times New Roman" w:hAnsi="宋体" w:cs="宋体"/>
          <w:bCs w:val="0"/>
        </w:rPr>
        <w:t>是否存在半数以上董事无法保证公司所披露年度报告的真实性、准确性和完整性</w:t>
      </w:r>
      <w:bookmarkEnd w:id="2"/>
    </w:p>
    <w:sdt>
      <w:sdtPr>
        <w:rPr>
          <w:rFonts w:hint="eastAsia"/>
        </w:rPr>
        <w:alias w:val="是否存在半数以上董事无法保证公司所披露年度报告的真实性、准确性和完整性"/>
        <w:tag w:val="_GBC_abc43c78fabf487d8ee599f7fe1628a3"/>
        <w:id w:val="1690332844"/>
        <w:placeholder>
          <w:docPart w:val="GBC22222222222222222222222222222"/>
        </w:placeholder>
        <w:comboBox>
          <w:listItem w:displayText="是" w:value="是"/>
          <w:listItem w:displayText="否" w:value="否"/>
        </w:comboBox>
      </w:sdtPr>
      <w:sdtEndPr>
        <w:rPr>
          <w:rFonts w:hint="eastAsia"/>
        </w:rPr>
      </w:sdtEndPr>
      <w:sdtContent>
        <w:p w14:paraId="2F6C2720">
          <w:pPr>
            <w:pStyle w:val="48"/>
          </w:pPr>
          <w:r>
            <w:rPr>
              <w:rFonts w:hint="eastAsia"/>
            </w:rPr>
            <w:t>否</w:t>
          </w:r>
        </w:p>
      </w:sdtContent>
    </w:sdt>
    <w:p w14:paraId="09477C16">
      <w:pPr>
        <w:pStyle w:val="3"/>
        <w:numPr>
          <w:ilvl w:val="0"/>
          <w:numId w:val="1"/>
        </w:numPr>
        <w:tabs>
          <w:tab w:val="left" w:pos="434"/>
        </w:tabs>
        <w:spacing w:before="0"/>
        <w:rPr>
          <w:rFonts w:ascii="Times New Roman" w:hAnsi="宋体" w:cs="宋体"/>
          <w:bCs w:val="0"/>
        </w:rPr>
      </w:pPr>
      <w:r>
        <w:rPr>
          <w:rFonts w:ascii="Times New Roman" w:hAnsi="宋体" w:cs="宋体"/>
          <w:bCs w:val="0"/>
        </w:rPr>
        <w:t>重大风险提示</w:t>
      </w:r>
    </w:p>
    <w:p w14:paraId="289BFC54">
      <w:pPr>
        <w:spacing w:line="360" w:lineRule="auto"/>
        <w:ind w:firstLine="420" w:firstLineChars="200"/>
      </w:pPr>
      <w:sdt>
        <w:sdtPr>
          <w:alias w:val="重大风险提示"/>
          <w:tag w:val="_GBC_43a6b8847e0241f1af5326af848c7cec"/>
          <w:id w:val="-403771587"/>
          <w:placeholder>
            <w:docPart w:val="GBC22222222222222222222222222222"/>
          </w:placeholder>
        </w:sdtPr>
        <w:sdtContent>
          <w:sdt>
            <w:sdtPr>
              <w:alias w:val="重大风险提示"/>
              <w:tag w:val="_GBC_43a6b8847e0241f1af5326af848c7cec"/>
              <w:id w:val="551898919"/>
            </w:sdtPr>
            <w:sdtContent>
              <w:r>
                <w:rPr>
                  <w:rFonts w:hint="eastAsia"/>
                </w:rPr>
                <w:t>报告期内，不存在对公司生产经营产生实质性影响的特别重大风险。公司已在本报告中详细阐述在生产经营过程中可能面临的各种风险，详见“第三节</w:t>
              </w:r>
              <w:r>
                <w:t xml:space="preserve"> 管理层讨论与分析”之</w:t>
              </w:r>
              <w:r>
                <w:rPr>
                  <w:rFonts w:hint="eastAsia"/>
                </w:rPr>
                <w:t>（六）</w:t>
              </w:r>
              <w:r>
                <w:t>公司可能面</w:t>
              </w:r>
              <w:r>
                <w:rPr>
                  <w:rFonts w:hint="eastAsia"/>
                </w:rPr>
                <w:t>对</w:t>
              </w:r>
              <w:r>
                <w:t>的风险。</w:t>
              </w:r>
            </w:sdtContent>
          </w:sdt>
        </w:sdtContent>
      </w:sdt>
    </w:p>
    <w:p w14:paraId="7C618CFD">
      <w:pPr>
        <w:pStyle w:val="48"/>
      </w:pPr>
    </w:p>
    <w:p w14:paraId="4BA6CEB5">
      <w:pPr>
        <w:pStyle w:val="3"/>
        <w:numPr>
          <w:ilvl w:val="0"/>
          <w:numId w:val="1"/>
        </w:numPr>
        <w:tabs>
          <w:tab w:val="left" w:pos="434"/>
        </w:tabs>
        <w:spacing w:before="0"/>
        <w:rPr>
          <w:rFonts w:ascii="Times New Roman" w:hAnsi="宋体" w:cs="宋体"/>
          <w:bCs w:val="0"/>
        </w:rPr>
      </w:pPr>
      <w:r>
        <w:rPr>
          <w:rFonts w:ascii="Times New Roman" w:hAnsi="宋体" w:cs="宋体"/>
          <w:bCs w:val="0"/>
        </w:rPr>
        <w:t>其他</w:t>
      </w:r>
    </w:p>
    <w:sdt>
      <w:sdtPr>
        <w:alias w:val="是否适用：其他重要提示[双击切换]"/>
        <w:tag w:val="_GBC_0eafa210a73340628544c13dacbc7643"/>
        <w:id w:val="1528372499"/>
        <w:placeholder>
          <w:docPart w:val="GBC22222222222222222222222222222"/>
        </w:placeholder>
      </w:sdtPr>
      <w:sdtContent>
        <w:p w14:paraId="0C7E41D3">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0C6EA10">
      <w:pPr>
        <w:pStyle w:val="48"/>
      </w:pPr>
    </w:p>
    <w:p w14:paraId="33E0B47F">
      <w:pPr>
        <w:pStyle w:val="48"/>
      </w:pPr>
      <w:r>
        <w:br w:type="page"/>
      </w:r>
    </w:p>
    <w:p w14:paraId="430AA026">
      <w:pPr>
        <w:spacing w:line="480" w:lineRule="auto"/>
        <w:jc w:val="center"/>
        <w:rPr>
          <w:b/>
          <w:sz w:val="28"/>
          <w:szCs w:val="28"/>
        </w:rPr>
      </w:pPr>
      <w:r>
        <w:rPr>
          <w:rFonts w:hint="eastAsia"/>
          <w:b/>
          <w:sz w:val="28"/>
          <w:szCs w:val="28"/>
          <w:shd w:val="solid" w:color="FFFFFF" w:fill="auto"/>
        </w:rPr>
        <w:t>目录</w:t>
      </w:r>
    </w:p>
    <w:p w14:paraId="02DF4323">
      <w:pPr>
        <w:pStyle w:val="16"/>
        <w:rPr>
          <w:rFonts w:asciiTheme="minorHAnsi" w:hAnsiTheme="minorHAnsi" w:eastAsiaTheme="minorEastAsia" w:cstheme="minorBidi"/>
          <w:b/>
          <w:bCs/>
          <w:sz w:val="22"/>
          <w:szCs w:val="24"/>
          <w14:ligatures w14:val="standardContextual"/>
        </w:rPr>
      </w:pPr>
      <w:r>
        <w:fldChar w:fldCharType="begin"/>
      </w:r>
      <w:r>
        <w:instrText xml:space="preserve"> TOC \o "1-1" \h \z \u </w:instrText>
      </w:r>
      <w:r>
        <w:fldChar w:fldCharType="separate"/>
      </w:r>
      <w:r>
        <w:fldChar w:fldCharType="begin"/>
      </w:r>
      <w:r>
        <w:instrText xml:space="preserve"> HYPERLINK \l "_Toc191024256" </w:instrText>
      </w:r>
      <w:r>
        <w:fldChar w:fldCharType="separate"/>
      </w:r>
      <w:r>
        <w:rPr>
          <w:rFonts w:hint="eastAsia"/>
          <w:b/>
          <w:bCs/>
        </w:rPr>
        <w:t>第一节</w:t>
      </w:r>
      <w:r>
        <w:rPr>
          <w:rFonts w:hint="eastAsia" w:asciiTheme="minorHAnsi" w:hAnsiTheme="minorHAnsi" w:eastAsiaTheme="minorEastAsia" w:cstheme="minorBidi"/>
          <w:b/>
          <w:bCs/>
          <w:sz w:val="22"/>
          <w:szCs w:val="24"/>
          <w14:ligatures w14:val="standardContextual"/>
        </w:rPr>
        <w:tab/>
      </w:r>
      <w:r>
        <w:rPr>
          <w:rFonts w:hint="eastAsia"/>
          <w:b/>
          <w:bCs/>
        </w:rPr>
        <w:t>释义</w:t>
      </w:r>
      <w:r>
        <w:rPr>
          <w:rFonts w:hint="eastAsia"/>
          <w:b/>
          <w:bCs/>
        </w:rPr>
        <w:tab/>
      </w:r>
      <w:r>
        <w:rPr>
          <w:rFonts w:hint="eastAsia"/>
          <w:b/>
          <w:bCs/>
        </w:rPr>
        <w:fldChar w:fldCharType="begin"/>
      </w:r>
      <w:r>
        <w:rPr>
          <w:rFonts w:hint="eastAsia"/>
          <w:b/>
          <w:bCs/>
        </w:rPr>
        <w:instrText xml:space="preserve"> </w:instrText>
      </w:r>
      <w:r>
        <w:rPr>
          <w:b/>
          <w:bCs/>
        </w:rPr>
        <w:instrText xml:space="preserve">PAGEREF _Toc191024256 \h</w:instrText>
      </w:r>
      <w:r>
        <w:rPr>
          <w:rFonts w:hint="eastAsia"/>
          <w:b/>
          <w:bCs/>
        </w:rPr>
        <w:instrText xml:space="preserve"> </w:instrText>
      </w:r>
      <w:r>
        <w:rPr>
          <w:rFonts w:hint="eastAsia"/>
          <w:b/>
          <w:bCs/>
        </w:rPr>
        <w:fldChar w:fldCharType="separate"/>
      </w:r>
      <w:r>
        <w:rPr>
          <w:b/>
          <w:bCs/>
        </w:rPr>
        <w:t>5</w:t>
      </w:r>
      <w:r>
        <w:rPr>
          <w:rFonts w:hint="eastAsia"/>
          <w:b/>
          <w:bCs/>
        </w:rPr>
        <w:fldChar w:fldCharType="end"/>
      </w:r>
      <w:r>
        <w:rPr>
          <w:rFonts w:hint="eastAsia"/>
          <w:b/>
          <w:bCs/>
        </w:rPr>
        <w:fldChar w:fldCharType="end"/>
      </w:r>
    </w:p>
    <w:p w14:paraId="08316C88">
      <w:pPr>
        <w:pStyle w:val="16"/>
        <w:rPr>
          <w:rFonts w:asciiTheme="minorHAnsi" w:hAnsiTheme="minorHAnsi" w:eastAsiaTheme="minorEastAsia" w:cstheme="minorBidi"/>
          <w:b/>
          <w:bCs/>
          <w:sz w:val="22"/>
          <w:szCs w:val="24"/>
          <w14:ligatures w14:val="standardContextual"/>
        </w:rPr>
      </w:pPr>
      <w:r>
        <w:fldChar w:fldCharType="begin"/>
      </w:r>
      <w:r>
        <w:instrText xml:space="preserve"> HYPERLINK \l "_Toc191024257" </w:instrText>
      </w:r>
      <w:r>
        <w:fldChar w:fldCharType="separate"/>
      </w:r>
      <w:r>
        <w:rPr>
          <w:rFonts w:hint="eastAsia"/>
          <w:b/>
          <w:bCs/>
        </w:rPr>
        <w:t>第二节</w:t>
      </w:r>
      <w:r>
        <w:rPr>
          <w:rFonts w:hint="eastAsia" w:asciiTheme="minorHAnsi" w:hAnsiTheme="minorHAnsi" w:eastAsiaTheme="minorEastAsia" w:cstheme="minorBidi"/>
          <w:b/>
          <w:bCs/>
          <w:sz w:val="22"/>
          <w:szCs w:val="24"/>
          <w14:ligatures w14:val="standardContextual"/>
        </w:rPr>
        <w:tab/>
      </w:r>
      <w:r>
        <w:rPr>
          <w:rFonts w:hint="eastAsia"/>
          <w:b/>
          <w:bCs/>
        </w:rPr>
        <w:t>公司简介和主要财务指标</w:t>
      </w:r>
      <w:r>
        <w:rPr>
          <w:rFonts w:hint="eastAsia"/>
          <w:b/>
          <w:bCs/>
        </w:rPr>
        <w:tab/>
      </w:r>
      <w:r>
        <w:rPr>
          <w:b/>
          <w:bCs/>
        </w:rPr>
        <w:t>6</w:t>
      </w:r>
      <w:r>
        <w:rPr>
          <w:b/>
          <w:bCs/>
        </w:rPr>
        <w:fldChar w:fldCharType="end"/>
      </w:r>
    </w:p>
    <w:p w14:paraId="3B4715C4">
      <w:pPr>
        <w:pStyle w:val="16"/>
        <w:rPr>
          <w:rFonts w:asciiTheme="minorHAnsi" w:hAnsiTheme="minorHAnsi" w:eastAsiaTheme="minorEastAsia" w:cstheme="minorBidi"/>
          <w:b/>
          <w:bCs/>
          <w:sz w:val="22"/>
          <w:szCs w:val="24"/>
          <w14:ligatures w14:val="standardContextual"/>
        </w:rPr>
      </w:pPr>
      <w:r>
        <w:fldChar w:fldCharType="begin"/>
      </w:r>
      <w:r>
        <w:instrText xml:space="preserve"> HYPERLINK \l "_Toc191024258" </w:instrText>
      </w:r>
      <w:r>
        <w:fldChar w:fldCharType="separate"/>
      </w:r>
      <w:r>
        <w:rPr>
          <w:rFonts w:hint="eastAsia"/>
          <w:b/>
          <w:bCs/>
        </w:rPr>
        <w:t>第三节</w:t>
      </w:r>
      <w:r>
        <w:rPr>
          <w:rFonts w:hint="eastAsia" w:asciiTheme="minorHAnsi" w:hAnsiTheme="minorHAnsi" w:eastAsiaTheme="minorEastAsia" w:cstheme="minorBidi"/>
          <w:b/>
          <w:bCs/>
          <w:sz w:val="22"/>
          <w:szCs w:val="24"/>
          <w14:ligatures w14:val="standardContextual"/>
        </w:rPr>
        <w:tab/>
      </w:r>
      <w:r>
        <w:rPr>
          <w:rFonts w:hint="eastAsia"/>
          <w:b/>
          <w:bCs/>
        </w:rPr>
        <w:t>管理层讨论与分析</w:t>
      </w:r>
      <w:r>
        <w:rPr>
          <w:rFonts w:hint="eastAsia"/>
          <w:b/>
          <w:bCs/>
        </w:rPr>
        <w:tab/>
      </w:r>
      <w:r>
        <w:rPr>
          <w:rFonts w:hint="eastAsia"/>
          <w:b/>
          <w:bCs/>
        </w:rPr>
        <w:fldChar w:fldCharType="begin"/>
      </w:r>
      <w:r>
        <w:rPr>
          <w:rFonts w:hint="eastAsia"/>
          <w:b/>
          <w:bCs/>
        </w:rPr>
        <w:instrText xml:space="preserve"> </w:instrText>
      </w:r>
      <w:r>
        <w:rPr>
          <w:b/>
          <w:bCs/>
        </w:rPr>
        <w:instrText xml:space="preserve">PAGEREF _Toc191024258 \h</w:instrText>
      </w:r>
      <w:r>
        <w:rPr>
          <w:rFonts w:hint="eastAsia"/>
          <w:b/>
          <w:bCs/>
        </w:rPr>
        <w:instrText xml:space="preserve"> </w:instrText>
      </w:r>
      <w:r>
        <w:rPr>
          <w:rFonts w:hint="eastAsia"/>
          <w:b/>
          <w:bCs/>
        </w:rPr>
        <w:fldChar w:fldCharType="separate"/>
      </w:r>
      <w:r>
        <w:rPr>
          <w:b/>
          <w:bCs/>
        </w:rPr>
        <w:t>11</w:t>
      </w:r>
      <w:r>
        <w:rPr>
          <w:rFonts w:hint="eastAsia"/>
          <w:b/>
          <w:bCs/>
        </w:rPr>
        <w:fldChar w:fldCharType="end"/>
      </w:r>
      <w:r>
        <w:rPr>
          <w:rFonts w:hint="eastAsia"/>
          <w:b/>
          <w:bCs/>
        </w:rPr>
        <w:fldChar w:fldCharType="end"/>
      </w:r>
    </w:p>
    <w:p w14:paraId="6EFD184F">
      <w:pPr>
        <w:pStyle w:val="16"/>
        <w:rPr>
          <w:rFonts w:asciiTheme="minorHAnsi" w:hAnsiTheme="minorHAnsi" w:eastAsiaTheme="minorEastAsia" w:cstheme="minorBidi"/>
          <w:b/>
          <w:bCs/>
          <w:sz w:val="22"/>
          <w:szCs w:val="24"/>
          <w14:ligatures w14:val="standardContextual"/>
        </w:rPr>
      </w:pPr>
      <w:r>
        <w:fldChar w:fldCharType="begin"/>
      </w:r>
      <w:r>
        <w:instrText xml:space="preserve"> HYPERLINK \l "_Toc191024259" </w:instrText>
      </w:r>
      <w:r>
        <w:fldChar w:fldCharType="separate"/>
      </w:r>
      <w:r>
        <w:rPr>
          <w:rFonts w:hint="eastAsia"/>
          <w:b/>
          <w:bCs/>
        </w:rPr>
        <w:t>第四节</w:t>
      </w:r>
      <w:r>
        <w:rPr>
          <w:rFonts w:hint="eastAsia" w:asciiTheme="minorHAnsi" w:hAnsiTheme="minorHAnsi" w:eastAsiaTheme="minorEastAsia" w:cstheme="minorBidi"/>
          <w:b/>
          <w:bCs/>
          <w:sz w:val="22"/>
          <w:szCs w:val="24"/>
          <w14:ligatures w14:val="standardContextual"/>
        </w:rPr>
        <w:tab/>
      </w:r>
      <w:r>
        <w:rPr>
          <w:rFonts w:hint="eastAsia"/>
          <w:b/>
          <w:bCs/>
        </w:rPr>
        <w:t>公司治理、环境和社会</w:t>
      </w:r>
      <w:r>
        <w:rPr>
          <w:rFonts w:hint="eastAsia"/>
          <w:b/>
          <w:bCs/>
        </w:rPr>
        <w:tab/>
      </w:r>
      <w:r>
        <w:rPr>
          <w:b/>
          <w:bCs/>
        </w:rPr>
        <w:t>49</w:t>
      </w:r>
      <w:r>
        <w:rPr>
          <w:b/>
          <w:bCs/>
        </w:rPr>
        <w:fldChar w:fldCharType="end"/>
      </w:r>
    </w:p>
    <w:p w14:paraId="5F12F665">
      <w:pPr>
        <w:pStyle w:val="16"/>
        <w:rPr>
          <w:rFonts w:asciiTheme="minorHAnsi" w:hAnsiTheme="minorHAnsi" w:eastAsiaTheme="minorEastAsia" w:cstheme="minorBidi"/>
          <w:b/>
          <w:bCs/>
          <w:sz w:val="22"/>
          <w:szCs w:val="24"/>
          <w14:ligatures w14:val="standardContextual"/>
        </w:rPr>
      </w:pPr>
      <w:r>
        <w:fldChar w:fldCharType="begin"/>
      </w:r>
      <w:r>
        <w:instrText xml:space="preserve"> HYPERLINK \l "_Toc191024260" </w:instrText>
      </w:r>
      <w:r>
        <w:fldChar w:fldCharType="separate"/>
      </w:r>
      <w:r>
        <w:rPr>
          <w:rFonts w:hint="eastAsia"/>
          <w:b/>
          <w:bCs/>
        </w:rPr>
        <w:t>第五节</w:t>
      </w:r>
      <w:r>
        <w:rPr>
          <w:rFonts w:hint="eastAsia" w:asciiTheme="minorHAnsi" w:hAnsiTheme="minorHAnsi" w:eastAsiaTheme="minorEastAsia" w:cstheme="minorBidi"/>
          <w:b/>
          <w:bCs/>
          <w:sz w:val="22"/>
          <w:szCs w:val="24"/>
          <w14:ligatures w14:val="standardContextual"/>
        </w:rPr>
        <w:tab/>
      </w:r>
      <w:r>
        <w:rPr>
          <w:rFonts w:hint="eastAsia"/>
          <w:b/>
          <w:bCs/>
        </w:rPr>
        <w:t>重要事项</w:t>
      </w:r>
      <w:r>
        <w:rPr>
          <w:rFonts w:hint="eastAsia"/>
          <w:b/>
          <w:bCs/>
        </w:rPr>
        <w:tab/>
      </w:r>
      <w:r>
        <w:rPr>
          <w:rFonts w:hint="eastAsia"/>
          <w:b/>
          <w:bCs/>
        </w:rPr>
        <w:fldChar w:fldCharType="begin"/>
      </w:r>
      <w:r>
        <w:rPr>
          <w:rFonts w:hint="eastAsia"/>
          <w:b/>
          <w:bCs/>
        </w:rPr>
        <w:instrText xml:space="preserve"> </w:instrText>
      </w:r>
      <w:r>
        <w:rPr>
          <w:b/>
          <w:bCs/>
        </w:rPr>
        <w:instrText xml:space="preserve">PAGEREF _Toc191024260 \h</w:instrText>
      </w:r>
      <w:r>
        <w:rPr>
          <w:rFonts w:hint="eastAsia"/>
          <w:b/>
          <w:bCs/>
        </w:rPr>
        <w:instrText xml:space="preserve"> </w:instrText>
      </w:r>
      <w:r>
        <w:rPr>
          <w:rFonts w:hint="eastAsia"/>
          <w:b/>
          <w:bCs/>
        </w:rPr>
        <w:fldChar w:fldCharType="separate"/>
      </w:r>
      <w:r>
        <w:rPr>
          <w:b/>
          <w:bCs/>
        </w:rPr>
        <w:t>73</w:t>
      </w:r>
      <w:r>
        <w:rPr>
          <w:rFonts w:hint="eastAsia"/>
          <w:b/>
          <w:bCs/>
        </w:rPr>
        <w:fldChar w:fldCharType="end"/>
      </w:r>
      <w:r>
        <w:rPr>
          <w:rFonts w:hint="eastAsia"/>
          <w:b/>
          <w:bCs/>
        </w:rPr>
        <w:fldChar w:fldCharType="end"/>
      </w:r>
    </w:p>
    <w:p w14:paraId="5D178D11">
      <w:pPr>
        <w:pStyle w:val="16"/>
        <w:rPr>
          <w:rFonts w:asciiTheme="minorHAnsi" w:hAnsiTheme="minorHAnsi" w:eastAsiaTheme="minorEastAsia" w:cstheme="minorBidi"/>
          <w:b/>
          <w:bCs/>
          <w:sz w:val="22"/>
          <w:szCs w:val="24"/>
          <w14:ligatures w14:val="standardContextual"/>
        </w:rPr>
      </w:pPr>
      <w:r>
        <w:fldChar w:fldCharType="begin"/>
      </w:r>
      <w:r>
        <w:instrText xml:space="preserve"> HYPERLINK \l "_Toc191024261" </w:instrText>
      </w:r>
      <w:r>
        <w:fldChar w:fldCharType="separate"/>
      </w:r>
      <w:r>
        <w:rPr>
          <w:rFonts w:hint="eastAsia"/>
          <w:b/>
          <w:bCs/>
        </w:rPr>
        <w:t>第六节</w:t>
      </w:r>
      <w:r>
        <w:rPr>
          <w:rFonts w:hint="eastAsia" w:asciiTheme="minorHAnsi" w:hAnsiTheme="minorHAnsi" w:eastAsiaTheme="minorEastAsia" w:cstheme="minorBidi"/>
          <w:b/>
          <w:bCs/>
          <w:sz w:val="22"/>
          <w:szCs w:val="24"/>
          <w14:ligatures w14:val="standardContextual"/>
        </w:rPr>
        <w:tab/>
      </w:r>
      <w:r>
        <w:rPr>
          <w:rFonts w:hint="eastAsia"/>
          <w:b/>
          <w:bCs/>
        </w:rPr>
        <w:t>股份变动及股东情况</w:t>
      </w:r>
      <w:r>
        <w:rPr>
          <w:rFonts w:hint="eastAsia"/>
          <w:b/>
          <w:bCs/>
        </w:rPr>
        <w:tab/>
      </w:r>
      <w:r>
        <w:rPr>
          <w:rFonts w:hint="eastAsia"/>
          <w:b/>
          <w:bCs/>
        </w:rPr>
        <w:fldChar w:fldCharType="begin"/>
      </w:r>
      <w:r>
        <w:rPr>
          <w:rFonts w:hint="eastAsia"/>
          <w:b/>
          <w:bCs/>
        </w:rPr>
        <w:instrText xml:space="preserve"> </w:instrText>
      </w:r>
      <w:r>
        <w:rPr>
          <w:b/>
          <w:bCs/>
        </w:rPr>
        <w:instrText xml:space="preserve">PAGEREF _Toc191024261 \h</w:instrText>
      </w:r>
      <w:r>
        <w:rPr>
          <w:rFonts w:hint="eastAsia"/>
          <w:b/>
          <w:bCs/>
        </w:rPr>
        <w:instrText xml:space="preserve"> </w:instrText>
      </w:r>
      <w:r>
        <w:rPr>
          <w:rFonts w:hint="eastAsia"/>
          <w:b/>
          <w:bCs/>
        </w:rPr>
        <w:fldChar w:fldCharType="separate"/>
      </w:r>
      <w:r>
        <w:rPr>
          <w:b/>
          <w:bCs/>
        </w:rPr>
        <w:t>82</w:t>
      </w:r>
      <w:r>
        <w:rPr>
          <w:rFonts w:hint="eastAsia"/>
          <w:b/>
          <w:bCs/>
        </w:rPr>
        <w:fldChar w:fldCharType="end"/>
      </w:r>
      <w:r>
        <w:rPr>
          <w:rFonts w:hint="eastAsia"/>
          <w:b/>
          <w:bCs/>
        </w:rPr>
        <w:fldChar w:fldCharType="end"/>
      </w:r>
    </w:p>
    <w:p w14:paraId="69133AA3">
      <w:pPr>
        <w:pStyle w:val="16"/>
        <w:rPr>
          <w:rFonts w:asciiTheme="minorHAnsi" w:hAnsiTheme="minorHAnsi" w:eastAsiaTheme="minorEastAsia" w:cstheme="minorBidi"/>
          <w:b/>
          <w:bCs/>
          <w:sz w:val="22"/>
          <w:szCs w:val="24"/>
          <w14:ligatures w14:val="standardContextual"/>
        </w:rPr>
      </w:pPr>
      <w:r>
        <w:fldChar w:fldCharType="begin"/>
      </w:r>
      <w:r>
        <w:instrText xml:space="preserve"> HYPERLINK \l "_Toc191024262" </w:instrText>
      </w:r>
      <w:r>
        <w:fldChar w:fldCharType="separate"/>
      </w:r>
      <w:r>
        <w:rPr>
          <w:rFonts w:hint="eastAsia"/>
          <w:b/>
          <w:bCs/>
        </w:rPr>
        <w:t>第七节</w:t>
      </w:r>
      <w:r>
        <w:rPr>
          <w:rFonts w:hint="eastAsia" w:asciiTheme="minorHAnsi" w:hAnsiTheme="minorHAnsi" w:eastAsiaTheme="minorEastAsia" w:cstheme="minorBidi"/>
          <w:b/>
          <w:bCs/>
          <w:sz w:val="22"/>
          <w:szCs w:val="24"/>
          <w14:ligatures w14:val="standardContextual"/>
        </w:rPr>
        <w:tab/>
      </w:r>
      <w:r>
        <w:rPr>
          <w:rFonts w:hint="eastAsia"/>
          <w:b/>
          <w:bCs/>
        </w:rPr>
        <w:t>债券相关情况</w:t>
      </w:r>
      <w:r>
        <w:rPr>
          <w:rFonts w:hint="eastAsia"/>
          <w:b/>
          <w:bCs/>
        </w:rPr>
        <w:tab/>
      </w:r>
      <w:r>
        <w:rPr>
          <w:rFonts w:hint="eastAsia"/>
          <w:b/>
          <w:bCs/>
        </w:rPr>
        <w:fldChar w:fldCharType="begin"/>
      </w:r>
      <w:r>
        <w:rPr>
          <w:rFonts w:hint="eastAsia"/>
          <w:b/>
          <w:bCs/>
        </w:rPr>
        <w:instrText xml:space="preserve"> </w:instrText>
      </w:r>
      <w:r>
        <w:rPr>
          <w:b/>
          <w:bCs/>
        </w:rPr>
        <w:instrText xml:space="preserve">PAGEREF _Toc191024262 \h</w:instrText>
      </w:r>
      <w:r>
        <w:rPr>
          <w:rFonts w:hint="eastAsia"/>
          <w:b/>
          <w:bCs/>
        </w:rPr>
        <w:instrText xml:space="preserve"> </w:instrText>
      </w:r>
      <w:r>
        <w:rPr>
          <w:rFonts w:hint="eastAsia"/>
          <w:b/>
          <w:bCs/>
        </w:rPr>
        <w:fldChar w:fldCharType="separate"/>
      </w:r>
      <w:r>
        <w:rPr>
          <w:b/>
          <w:bCs/>
        </w:rPr>
        <w:t>89</w:t>
      </w:r>
      <w:r>
        <w:rPr>
          <w:rFonts w:hint="eastAsia"/>
          <w:b/>
          <w:bCs/>
        </w:rPr>
        <w:fldChar w:fldCharType="end"/>
      </w:r>
      <w:r>
        <w:rPr>
          <w:rFonts w:hint="eastAsia"/>
          <w:b/>
          <w:bCs/>
        </w:rPr>
        <w:fldChar w:fldCharType="end"/>
      </w:r>
    </w:p>
    <w:p w14:paraId="3582688E">
      <w:pPr>
        <w:pStyle w:val="16"/>
        <w:rPr>
          <w:rFonts w:asciiTheme="minorHAnsi" w:hAnsiTheme="minorHAnsi" w:eastAsiaTheme="minorEastAsia" w:cstheme="minorBidi"/>
          <w:sz w:val="22"/>
          <w:szCs w:val="24"/>
          <w14:ligatures w14:val="standardContextual"/>
        </w:rPr>
      </w:pPr>
      <w:r>
        <w:fldChar w:fldCharType="begin"/>
      </w:r>
      <w:r>
        <w:instrText xml:space="preserve"> HYPERLINK \l "_Toc191024263" </w:instrText>
      </w:r>
      <w:r>
        <w:fldChar w:fldCharType="separate"/>
      </w:r>
      <w:r>
        <w:rPr>
          <w:rFonts w:hint="eastAsia"/>
          <w:b/>
          <w:bCs/>
        </w:rPr>
        <w:t>第八节</w:t>
      </w:r>
      <w:r>
        <w:rPr>
          <w:rFonts w:hint="eastAsia" w:asciiTheme="minorHAnsi" w:hAnsiTheme="minorHAnsi" w:eastAsiaTheme="minorEastAsia" w:cstheme="minorBidi"/>
          <w:b/>
          <w:bCs/>
          <w:sz w:val="22"/>
          <w:szCs w:val="24"/>
          <w14:ligatures w14:val="standardContextual"/>
        </w:rPr>
        <w:tab/>
      </w:r>
      <w:r>
        <w:rPr>
          <w:rFonts w:hint="eastAsia"/>
          <w:b/>
          <w:bCs/>
        </w:rPr>
        <w:t>财务报告</w:t>
      </w:r>
      <w:r>
        <w:rPr>
          <w:rFonts w:hint="eastAsia"/>
          <w:b/>
          <w:bCs/>
        </w:rPr>
        <w:tab/>
      </w:r>
      <w:r>
        <w:rPr>
          <w:rFonts w:hint="eastAsia"/>
          <w:b/>
          <w:bCs/>
        </w:rPr>
        <w:fldChar w:fldCharType="begin"/>
      </w:r>
      <w:r>
        <w:rPr>
          <w:rFonts w:hint="eastAsia"/>
          <w:b/>
          <w:bCs/>
        </w:rPr>
        <w:instrText xml:space="preserve"> </w:instrText>
      </w:r>
      <w:r>
        <w:rPr>
          <w:b/>
          <w:bCs/>
        </w:rPr>
        <w:instrText xml:space="preserve">PAGEREF _Toc191024263 \h</w:instrText>
      </w:r>
      <w:r>
        <w:rPr>
          <w:rFonts w:hint="eastAsia"/>
          <w:b/>
          <w:bCs/>
        </w:rPr>
        <w:instrText xml:space="preserve"> </w:instrText>
      </w:r>
      <w:r>
        <w:rPr>
          <w:rFonts w:hint="eastAsia"/>
          <w:b/>
          <w:bCs/>
        </w:rPr>
        <w:fldChar w:fldCharType="separate"/>
      </w:r>
      <w:r>
        <w:rPr>
          <w:b/>
          <w:bCs/>
        </w:rPr>
        <w:t>90</w:t>
      </w:r>
      <w:r>
        <w:rPr>
          <w:rFonts w:hint="eastAsia"/>
          <w:b/>
          <w:bCs/>
        </w:rPr>
        <w:fldChar w:fldCharType="end"/>
      </w:r>
      <w:r>
        <w:rPr>
          <w:rFonts w:hint="eastAsia"/>
          <w:b/>
          <w:bCs/>
        </w:rPr>
        <w:fldChar w:fldCharType="end"/>
      </w:r>
    </w:p>
    <w:p w14:paraId="593BB98D">
      <w:pPr>
        <w:pStyle w:val="48"/>
      </w:pPr>
      <w:r>
        <w:fldChar w:fldCharType="end"/>
      </w:r>
      <w:bookmarkStart w:id="3" w:name="_Toc436392761"/>
      <w:bookmarkStart w:id="4" w:name="_Toc437440708"/>
      <w:bookmarkStart w:id="5" w:name="_Toc407111354"/>
    </w:p>
    <w:p w14:paraId="3C0F82D2">
      <w:pPr>
        <w:spacing w:line="360" w:lineRule="exact"/>
        <w:ind w:right="5"/>
        <w:rPr>
          <w:b/>
          <w:bCs/>
          <w:sz w:val="24"/>
        </w:rPr>
      </w:pPr>
      <w:bookmarkStart w:id="6" w:name="_Hlk90893687"/>
      <w:bookmarkStart w:id="7" w:name="_Hlk90888086"/>
      <w:bookmarkStart w:id="8" w:name="_Hlk90891770"/>
    </w:p>
    <w:tbl>
      <w:tblPr>
        <w:tblStyle w:val="57"/>
        <w:tblW w:w="8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2294"/>
        <w:gridCol w:w="6598"/>
      </w:tblGrid>
      <w:sdt>
        <w:sdtPr>
          <w:alias w:val="备查文件情况"/>
          <w:tag w:val="_TUP_bb3c6eba15bb4f89aaabf5b28bea5766"/>
          <w:id w:val="2134519881"/>
        </w:sdtPr>
        <w:sdtContent>
          <w:tr w14:paraId="5D6E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294" w:type="dxa"/>
                <w:vMerge w:val="restart"/>
                <w:tcBorders>
                  <w:top w:val="single" w:color="auto" w:sz="4" w:space="0"/>
                  <w:left w:val="single" w:color="auto" w:sz="4" w:space="0"/>
                  <w:bottom w:val="single" w:color="auto" w:sz="4" w:space="0"/>
                  <w:right w:val="single" w:color="auto" w:sz="4" w:space="0"/>
                </w:tcBorders>
                <w:vAlign w:val="center"/>
              </w:tcPr>
              <w:sdt>
                <w:sdtPr>
                  <w:tag w:val="_PLD_a77548a64feb4f70a4cecbb587219734"/>
                  <w:id w:val="-1566186221"/>
                </w:sdtPr>
                <w:sdtContent>
                  <w:p w14:paraId="22AE5E43">
                    <w:pPr>
                      <w:autoSpaceDE w:val="0"/>
                      <w:autoSpaceDN w:val="0"/>
                      <w:adjustRightInd w:val="0"/>
                      <w:jc w:val="center"/>
                      <w:rPr>
                        <w:rFonts w:ascii="Calibri" w:hAnsi="Calibri"/>
                        <w:sz w:val="20"/>
                        <w:szCs w:val="20"/>
                      </w:rPr>
                    </w:pPr>
                    <w:r>
                      <w:rPr>
                        <w:rFonts w:ascii="Calibri" w:hAnsi="Calibri"/>
                        <w:sz w:val="20"/>
                        <w:szCs w:val="20"/>
                      </w:rPr>
                      <w:t>备查文件目录</w:t>
                    </w:r>
                  </w:p>
                </w:sdtContent>
              </w:sdt>
            </w:tc>
            <w:tc>
              <w:tcPr>
                <w:tcW w:w="6598" w:type="dxa"/>
                <w:tcBorders>
                  <w:top w:val="single" w:color="auto" w:sz="4" w:space="0"/>
                  <w:left w:val="single" w:color="auto" w:sz="4" w:space="0"/>
                  <w:bottom w:val="single" w:color="auto" w:sz="4" w:space="0"/>
                  <w:right w:val="single" w:color="auto" w:sz="4" w:space="0"/>
                </w:tcBorders>
                <w:vAlign w:val="center"/>
              </w:tcPr>
              <w:p w14:paraId="25D7EC00">
                <w:pPr>
                  <w:spacing w:line="360" w:lineRule="auto"/>
                  <w:rPr>
                    <w:rFonts w:ascii="Calibri" w:hAnsi="Calibri"/>
                    <w:sz w:val="20"/>
                    <w:szCs w:val="20"/>
                  </w:rPr>
                </w:pPr>
                <w:r>
                  <w:rPr>
                    <w:rFonts w:ascii="Calibri" w:hAnsi="Calibri"/>
                    <w:sz w:val="20"/>
                    <w:szCs w:val="20"/>
                  </w:rPr>
                  <w:t>一、载有法定代表人、主管会计工作负责人、会计机构负责人签字并盖章的会计报表；</w:t>
                </w:r>
              </w:p>
            </w:tc>
          </w:tr>
        </w:sdtContent>
      </w:sdt>
      <w:tr w14:paraId="2EC1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294" w:type="dxa"/>
            <w:vMerge w:val="continue"/>
            <w:tcBorders>
              <w:top w:val="single" w:color="auto" w:sz="4" w:space="0"/>
              <w:left w:val="single" w:color="auto" w:sz="4" w:space="0"/>
              <w:bottom w:val="single" w:color="auto" w:sz="4" w:space="0"/>
              <w:right w:val="single" w:color="auto" w:sz="4" w:space="0"/>
            </w:tcBorders>
            <w:vAlign w:val="center"/>
          </w:tcPr>
          <w:p w14:paraId="200FCDF9">
            <w:pPr>
              <w:pStyle w:val="48"/>
              <w:rPr>
                <w:sz w:val="20"/>
                <w:szCs w:val="20"/>
              </w:rPr>
            </w:pPr>
          </w:p>
        </w:tc>
        <w:tc>
          <w:tcPr>
            <w:tcW w:w="6598" w:type="dxa"/>
            <w:tcBorders>
              <w:top w:val="single" w:color="auto" w:sz="4" w:space="0"/>
              <w:left w:val="single" w:color="auto" w:sz="4" w:space="0"/>
              <w:bottom w:val="single" w:color="auto" w:sz="4" w:space="0"/>
              <w:right w:val="single" w:color="auto" w:sz="4" w:space="0"/>
            </w:tcBorders>
            <w:vAlign w:val="center"/>
          </w:tcPr>
          <w:p w14:paraId="0449F107">
            <w:pPr>
              <w:spacing w:line="360" w:lineRule="auto"/>
              <w:rPr>
                <w:rFonts w:ascii="Calibri" w:hAnsi="Calibri"/>
                <w:sz w:val="20"/>
                <w:szCs w:val="20"/>
              </w:rPr>
            </w:pPr>
            <w:r>
              <w:rPr>
                <w:rFonts w:ascii="Calibri" w:hAnsi="Calibri"/>
                <w:sz w:val="20"/>
                <w:szCs w:val="20"/>
              </w:rPr>
              <w:t>二、载有会计师事务所盖章、注册会计师签名并盖章的审计报告原件；</w:t>
            </w:r>
          </w:p>
        </w:tc>
      </w:tr>
      <w:tr w14:paraId="3868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294" w:type="dxa"/>
            <w:vMerge w:val="continue"/>
            <w:tcBorders>
              <w:top w:val="single" w:color="auto" w:sz="4" w:space="0"/>
              <w:left w:val="single" w:color="auto" w:sz="4" w:space="0"/>
              <w:bottom w:val="single" w:color="auto" w:sz="4" w:space="0"/>
              <w:right w:val="single" w:color="auto" w:sz="4" w:space="0"/>
            </w:tcBorders>
            <w:vAlign w:val="center"/>
          </w:tcPr>
          <w:p w14:paraId="55C5541A">
            <w:pPr>
              <w:pStyle w:val="48"/>
              <w:rPr>
                <w:sz w:val="20"/>
                <w:szCs w:val="20"/>
              </w:rPr>
            </w:pPr>
          </w:p>
        </w:tc>
        <w:tc>
          <w:tcPr>
            <w:tcW w:w="6598" w:type="dxa"/>
            <w:tcBorders>
              <w:top w:val="single" w:color="auto" w:sz="4" w:space="0"/>
              <w:left w:val="single" w:color="auto" w:sz="4" w:space="0"/>
              <w:bottom w:val="single" w:color="auto" w:sz="4" w:space="0"/>
              <w:right w:val="single" w:color="auto" w:sz="4" w:space="0"/>
            </w:tcBorders>
            <w:vAlign w:val="center"/>
          </w:tcPr>
          <w:p w14:paraId="45B94DA1">
            <w:pPr>
              <w:spacing w:line="360" w:lineRule="auto"/>
              <w:rPr>
                <w:rFonts w:ascii="Calibri" w:hAnsi="Calibri"/>
                <w:sz w:val="20"/>
                <w:szCs w:val="20"/>
              </w:rPr>
            </w:pPr>
            <w:r>
              <w:rPr>
                <w:rFonts w:ascii="Calibri" w:hAnsi="Calibri"/>
                <w:sz w:val="20"/>
                <w:szCs w:val="20"/>
              </w:rPr>
              <w:t>三、报告期内在中国证监会指定报纸上公开披露的所有公司文件的正本及公司原稿。</w:t>
            </w:r>
          </w:p>
        </w:tc>
      </w:tr>
      <w:bookmarkEnd w:id="6"/>
      <w:bookmarkEnd w:id="7"/>
    </w:tbl>
    <w:p w14:paraId="61D50549">
      <w:pPr>
        <w:pStyle w:val="48"/>
      </w:pPr>
    </w:p>
    <w:bookmarkEnd w:id="8"/>
    <w:p w14:paraId="714837C0">
      <w:pPr>
        <w:sectPr>
          <w:pgSz w:w="11906" w:h="16838"/>
          <w:pgMar w:top="1440" w:right="1797" w:bottom="1525" w:left="1276" w:header="855" w:footer="992" w:gutter="0"/>
          <w:cols w:space="425" w:num="1"/>
          <w:docGrid w:linePitch="312" w:charSpace="0"/>
        </w:sectPr>
      </w:pPr>
    </w:p>
    <w:p w14:paraId="29726C5F">
      <w:pPr>
        <w:pStyle w:val="2"/>
        <w:numPr>
          <w:ilvl w:val="0"/>
          <w:numId w:val="2"/>
        </w:numPr>
      </w:pPr>
      <w:bookmarkStart w:id="9" w:name="_Toc191024256"/>
      <w:r>
        <w:rPr>
          <w:rFonts w:hint="eastAsia"/>
        </w:rPr>
        <w:t>释义</w:t>
      </w:r>
    </w:p>
    <w:bookmarkEnd w:id="3"/>
    <w:bookmarkEnd w:id="4"/>
    <w:bookmarkEnd w:id="5"/>
    <w:bookmarkEnd w:id="9"/>
    <w:p w14:paraId="4469147C">
      <w:pPr>
        <w:pStyle w:val="3"/>
        <w:numPr>
          <w:ilvl w:val="0"/>
          <w:numId w:val="3"/>
        </w:numPr>
        <w:tabs>
          <w:tab w:val="left" w:pos="588"/>
        </w:tabs>
        <w:ind w:left="369" w:hanging="369" w:hangingChars="175"/>
      </w:pPr>
      <w:r>
        <w:t>释义</w:t>
      </w:r>
    </w:p>
    <w:p w14:paraId="3238EFDF">
      <w:pPr>
        <w:pStyle w:val="48"/>
        <w:spacing w:line="360" w:lineRule="auto"/>
      </w:pPr>
      <w:r>
        <w:t>在本报告书中，除非文义另有所指，下列词语具有如下含义：</w:t>
      </w:r>
    </w:p>
    <w:tbl>
      <w:tblPr>
        <w:tblStyle w:val="20"/>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851"/>
        <w:gridCol w:w="5000"/>
      </w:tblGrid>
      <w:tr w14:paraId="0368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bf37a984a1d34209a94aac58652eb6b9"/>
            <w:id w:val="-1107196504"/>
          </w:sdtPr>
          <w:sdtContent>
            <w:tc>
              <w:tcPr>
                <w:tcW w:w="9112" w:type="dxa"/>
                <w:gridSpan w:val="3"/>
                <w:vAlign w:val="center"/>
              </w:tcPr>
              <w:p w14:paraId="56A6AF63">
                <w:pPr>
                  <w:pStyle w:val="48"/>
                </w:pPr>
                <w:bookmarkStart w:id="10" w:name="_Toc407111355"/>
                <w:bookmarkStart w:id="11" w:name="_Toc436392762"/>
                <w:bookmarkStart w:id="12" w:name="_Toc191024257"/>
                <w:bookmarkStart w:id="13" w:name="_Toc437440709"/>
                <w:r>
                  <w:t>常用词语释义</w:t>
                </w:r>
              </w:p>
            </w:tc>
          </w:sdtContent>
        </w:sdt>
      </w:tr>
      <w:tr w14:paraId="25FB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6784511F">
            <w:pPr>
              <w:widowControl w:val="0"/>
              <w:spacing w:line="360" w:lineRule="auto"/>
              <w:jc w:val="both"/>
            </w:pPr>
            <w:r>
              <w:t>公司、本公司、通化东宝</w:t>
            </w:r>
          </w:p>
        </w:tc>
        <w:tc>
          <w:tcPr>
            <w:tcW w:w="851" w:type="dxa"/>
            <w:vAlign w:val="center"/>
          </w:tcPr>
          <w:p w14:paraId="7E623D9F">
            <w:pPr>
              <w:widowControl w:val="0"/>
              <w:spacing w:line="360" w:lineRule="auto"/>
              <w:jc w:val="center"/>
              <w:rPr>
                <w:highlight w:val="lightGray"/>
              </w:rPr>
            </w:pPr>
            <w:r>
              <w:rPr>
                <w:rFonts w:hint="eastAsia"/>
              </w:rPr>
              <w:t>指</w:t>
            </w:r>
          </w:p>
        </w:tc>
        <w:tc>
          <w:tcPr>
            <w:tcW w:w="5000" w:type="dxa"/>
            <w:vAlign w:val="center"/>
          </w:tcPr>
          <w:p w14:paraId="62D1AFEB">
            <w:pPr>
              <w:widowControl w:val="0"/>
              <w:spacing w:line="360" w:lineRule="auto"/>
              <w:jc w:val="both"/>
            </w:pPr>
            <w:r>
              <w:t>通化东宝药业股份有限公司</w:t>
            </w:r>
          </w:p>
        </w:tc>
      </w:tr>
      <w:tr w14:paraId="3105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06615ACF">
            <w:pPr>
              <w:widowControl w:val="0"/>
              <w:spacing w:line="360" w:lineRule="auto"/>
              <w:jc w:val="both"/>
            </w:pPr>
            <w:r>
              <w:t>东宝集团</w:t>
            </w:r>
          </w:p>
        </w:tc>
        <w:tc>
          <w:tcPr>
            <w:tcW w:w="851" w:type="dxa"/>
            <w:vAlign w:val="center"/>
          </w:tcPr>
          <w:p w14:paraId="50692E1A">
            <w:pPr>
              <w:widowControl w:val="0"/>
              <w:spacing w:line="360" w:lineRule="auto"/>
              <w:jc w:val="center"/>
              <w:rPr>
                <w:highlight w:val="lightGray"/>
              </w:rPr>
            </w:pPr>
            <w:r>
              <w:rPr>
                <w:rFonts w:hint="eastAsia"/>
              </w:rPr>
              <w:t>指</w:t>
            </w:r>
          </w:p>
        </w:tc>
        <w:tc>
          <w:tcPr>
            <w:tcW w:w="5000" w:type="dxa"/>
            <w:vAlign w:val="center"/>
          </w:tcPr>
          <w:p w14:paraId="61D6441B">
            <w:pPr>
              <w:widowControl w:val="0"/>
              <w:spacing w:line="360" w:lineRule="auto"/>
              <w:jc w:val="both"/>
            </w:pPr>
            <w:r>
              <w:t>东宝实业集团股份有限公司</w:t>
            </w:r>
          </w:p>
        </w:tc>
      </w:tr>
      <w:tr w14:paraId="4C19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03128EFF">
            <w:pPr>
              <w:widowControl w:val="0"/>
              <w:spacing w:line="360" w:lineRule="auto"/>
              <w:jc w:val="both"/>
            </w:pPr>
            <w:r>
              <w:t>盛汇企业管理中心</w:t>
            </w:r>
          </w:p>
        </w:tc>
        <w:tc>
          <w:tcPr>
            <w:tcW w:w="851" w:type="dxa"/>
            <w:vAlign w:val="center"/>
          </w:tcPr>
          <w:p w14:paraId="043E5EEB">
            <w:pPr>
              <w:widowControl w:val="0"/>
              <w:spacing w:line="360" w:lineRule="auto"/>
              <w:jc w:val="center"/>
            </w:pPr>
            <w:r>
              <w:rPr>
                <w:rFonts w:hint="eastAsia"/>
              </w:rPr>
              <w:t>指</w:t>
            </w:r>
          </w:p>
        </w:tc>
        <w:tc>
          <w:tcPr>
            <w:tcW w:w="5000" w:type="dxa"/>
            <w:vAlign w:val="center"/>
          </w:tcPr>
          <w:p w14:paraId="78B3B504">
            <w:pPr>
              <w:widowControl w:val="0"/>
              <w:spacing w:line="360" w:lineRule="auto"/>
              <w:jc w:val="both"/>
            </w:pPr>
            <w:r>
              <w:t>通化盛汇企业管理中心（有限合伙）</w:t>
            </w:r>
          </w:p>
        </w:tc>
      </w:tr>
      <w:tr w14:paraId="653C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5347A302">
            <w:pPr>
              <w:widowControl w:val="0"/>
              <w:spacing w:line="360" w:lineRule="auto"/>
              <w:jc w:val="both"/>
            </w:pPr>
            <w:r>
              <w:t>特宝生物</w:t>
            </w:r>
          </w:p>
        </w:tc>
        <w:tc>
          <w:tcPr>
            <w:tcW w:w="851" w:type="dxa"/>
            <w:vAlign w:val="center"/>
          </w:tcPr>
          <w:p w14:paraId="3D47F874">
            <w:pPr>
              <w:widowControl w:val="0"/>
              <w:spacing w:line="360" w:lineRule="auto"/>
              <w:jc w:val="center"/>
              <w:rPr>
                <w:highlight w:val="lightGray"/>
              </w:rPr>
            </w:pPr>
            <w:r>
              <w:rPr>
                <w:rFonts w:hint="eastAsia"/>
              </w:rPr>
              <w:t>指</w:t>
            </w:r>
          </w:p>
        </w:tc>
        <w:tc>
          <w:tcPr>
            <w:tcW w:w="5000" w:type="dxa"/>
            <w:vAlign w:val="center"/>
          </w:tcPr>
          <w:p w14:paraId="19F61754">
            <w:pPr>
              <w:widowControl w:val="0"/>
              <w:spacing w:line="360" w:lineRule="auto"/>
              <w:jc w:val="both"/>
            </w:pPr>
            <w:r>
              <w:t>厦门特宝生物工程股份有限公司</w:t>
            </w:r>
          </w:p>
        </w:tc>
      </w:tr>
      <w:tr w14:paraId="5438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1" w:type="dxa"/>
            <w:vAlign w:val="center"/>
          </w:tcPr>
          <w:p w14:paraId="1AEE4D5E">
            <w:pPr>
              <w:widowControl w:val="0"/>
              <w:spacing w:line="360" w:lineRule="auto"/>
              <w:jc w:val="both"/>
            </w:pPr>
            <w:r>
              <w:t>科兴制药</w:t>
            </w:r>
          </w:p>
        </w:tc>
        <w:tc>
          <w:tcPr>
            <w:tcW w:w="851" w:type="dxa"/>
            <w:vAlign w:val="center"/>
          </w:tcPr>
          <w:p w14:paraId="7A793D09">
            <w:pPr>
              <w:widowControl w:val="0"/>
              <w:spacing w:line="360" w:lineRule="auto"/>
              <w:jc w:val="center"/>
              <w:rPr>
                <w:highlight w:val="lightGray"/>
              </w:rPr>
            </w:pPr>
            <w:r>
              <w:rPr>
                <w:rFonts w:hint="eastAsia"/>
              </w:rPr>
              <w:t>指</w:t>
            </w:r>
          </w:p>
        </w:tc>
        <w:tc>
          <w:tcPr>
            <w:tcW w:w="5000" w:type="dxa"/>
            <w:vAlign w:val="center"/>
          </w:tcPr>
          <w:p w14:paraId="2803C3CF">
            <w:pPr>
              <w:widowControl w:val="0"/>
              <w:spacing w:line="360" w:lineRule="auto"/>
              <w:jc w:val="both"/>
            </w:pPr>
            <w:r>
              <w:t>科兴生物制药股份有限公司</w:t>
            </w:r>
          </w:p>
        </w:tc>
      </w:tr>
      <w:tr w14:paraId="25C4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0E3BA101">
            <w:pPr>
              <w:widowControl w:val="0"/>
              <w:spacing w:line="360" w:lineRule="auto"/>
              <w:jc w:val="both"/>
            </w:pPr>
            <w:r>
              <w:t>健友股份</w:t>
            </w:r>
          </w:p>
        </w:tc>
        <w:tc>
          <w:tcPr>
            <w:tcW w:w="851" w:type="dxa"/>
            <w:vAlign w:val="center"/>
          </w:tcPr>
          <w:p w14:paraId="503B2BBD">
            <w:pPr>
              <w:widowControl w:val="0"/>
              <w:spacing w:line="360" w:lineRule="auto"/>
              <w:jc w:val="center"/>
              <w:rPr>
                <w:highlight w:val="lightGray"/>
              </w:rPr>
            </w:pPr>
            <w:r>
              <w:rPr>
                <w:rFonts w:hint="eastAsia"/>
              </w:rPr>
              <w:t>指</w:t>
            </w:r>
          </w:p>
        </w:tc>
        <w:tc>
          <w:tcPr>
            <w:tcW w:w="5000" w:type="dxa"/>
            <w:vAlign w:val="center"/>
          </w:tcPr>
          <w:p w14:paraId="609DF8CF">
            <w:pPr>
              <w:widowControl w:val="0"/>
              <w:spacing w:line="360" w:lineRule="auto"/>
              <w:jc w:val="both"/>
            </w:pPr>
            <w:r>
              <w:t>南京健友生化制药股份有限公司</w:t>
            </w:r>
          </w:p>
        </w:tc>
      </w:tr>
      <w:tr w14:paraId="0C93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4A05343D">
            <w:pPr>
              <w:widowControl w:val="0"/>
              <w:spacing w:line="360" w:lineRule="auto"/>
              <w:jc w:val="both"/>
            </w:pPr>
            <w:r>
              <w:t>质肽生物</w:t>
            </w:r>
          </w:p>
        </w:tc>
        <w:tc>
          <w:tcPr>
            <w:tcW w:w="851" w:type="dxa"/>
            <w:vAlign w:val="center"/>
          </w:tcPr>
          <w:p w14:paraId="71BD049E">
            <w:pPr>
              <w:widowControl w:val="0"/>
              <w:spacing w:line="360" w:lineRule="auto"/>
              <w:jc w:val="center"/>
              <w:rPr>
                <w:highlight w:val="lightGray"/>
              </w:rPr>
            </w:pPr>
            <w:r>
              <w:rPr>
                <w:rFonts w:hint="eastAsia"/>
              </w:rPr>
              <w:t>指</w:t>
            </w:r>
          </w:p>
        </w:tc>
        <w:tc>
          <w:tcPr>
            <w:tcW w:w="5000" w:type="dxa"/>
            <w:vAlign w:val="center"/>
          </w:tcPr>
          <w:p w14:paraId="6AE56814">
            <w:pPr>
              <w:widowControl w:val="0"/>
              <w:spacing w:line="360" w:lineRule="auto"/>
              <w:jc w:val="both"/>
            </w:pPr>
            <w:r>
              <w:t>北京质肽生物医药科技有限公司</w:t>
            </w:r>
          </w:p>
        </w:tc>
      </w:tr>
      <w:tr w14:paraId="1D49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1" w:type="dxa"/>
            <w:vAlign w:val="center"/>
          </w:tcPr>
          <w:p w14:paraId="76B838D0">
            <w:pPr>
              <w:widowControl w:val="0"/>
              <w:spacing w:line="360" w:lineRule="auto"/>
              <w:jc w:val="both"/>
            </w:pPr>
            <w:r>
              <w:rPr>
                <w:rFonts w:hint="eastAsia"/>
              </w:rPr>
              <w:t>大信</w:t>
            </w:r>
            <w:r>
              <w:t>会计师事务所</w:t>
            </w:r>
          </w:p>
        </w:tc>
        <w:tc>
          <w:tcPr>
            <w:tcW w:w="851" w:type="dxa"/>
            <w:vAlign w:val="center"/>
          </w:tcPr>
          <w:p w14:paraId="79F433C3">
            <w:pPr>
              <w:widowControl w:val="0"/>
              <w:spacing w:line="360" w:lineRule="auto"/>
              <w:jc w:val="center"/>
            </w:pPr>
            <w:r>
              <w:rPr>
                <w:rFonts w:hint="eastAsia"/>
              </w:rPr>
              <w:t>指</w:t>
            </w:r>
          </w:p>
        </w:tc>
        <w:tc>
          <w:tcPr>
            <w:tcW w:w="5000" w:type="dxa"/>
            <w:vAlign w:val="center"/>
          </w:tcPr>
          <w:p w14:paraId="14F3C434">
            <w:pPr>
              <w:widowControl w:val="0"/>
              <w:spacing w:line="360" w:lineRule="auto"/>
              <w:jc w:val="both"/>
            </w:pPr>
            <w:r>
              <w:rPr>
                <w:rFonts w:hint="eastAsia"/>
              </w:rPr>
              <w:t>大信</w:t>
            </w:r>
            <w:r>
              <w:t>会计师事务所（特殊普通合伙）</w:t>
            </w:r>
          </w:p>
        </w:tc>
      </w:tr>
      <w:tr w14:paraId="331A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2859006B">
            <w:pPr>
              <w:widowControl w:val="0"/>
              <w:spacing w:line="360" w:lineRule="auto"/>
              <w:jc w:val="both"/>
            </w:pPr>
            <w:r>
              <w:rPr>
                <w:rFonts w:hint="eastAsia"/>
              </w:rPr>
              <w:t>德弘资本</w:t>
            </w:r>
          </w:p>
        </w:tc>
        <w:tc>
          <w:tcPr>
            <w:tcW w:w="851" w:type="dxa"/>
            <w:vAlign w:val="center"/>
          </w:tcPr>
          <w:p w14:paraId="100C0F81">
            <w:pPr>
              <w:widowControl w:val="0"/>
              <w:spacing w:line="360" w:lineRule="auto"/>
              <w:jc w:val="center"/>
            </w:pPr>
            <w:r>
              <w:rPr>
                <w:rFonts w:hint="eastAsia"/>
              </w:rPr>
              <w:t>指</w:t>
            </w:r>
          </w:p>
        </w:tc>
        <w:tc>
          <w:tcPr>
            <w:tcW w:w="5000" w:type="dxa"/>
            <w:vAlign w:val="center"/>
          </w:tcPr>
          <w:p w14:paraId="738E5EBE">
            <w:pPr>
              <w:widowControl w:val="0"/>
              <w:spacing w:line="360" w:lineRule="auto"/>
              <w:jc w:val="both"/>
            </w:pPr>
            <w:r>
              <w:rPr>
                <w:rFonts w:hint="eastAsia"/>
              </w:rPr>
              <w:t>珠海德弘投资有限公司</w:t>
            </w:r>
          </w:p>
        </w:tc>
      </w:tr>
      <w:tr w14:paraId="221F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7E3B6C69">
            <w:pPr>
              <w:widowControl w:val="0"/>
              <w:spacing w:line="360" w:lineRule="auto"/>
              <w:jc w:val="both"/>
            </w:pPr>
            <w:r>
              <w:t>《公司章程》</w:t>
            </w:r>
          </w:p>
        </w:tc>
        <w:tc>
          <w:tcPr>
            <w:tcW w:w="851" w:type="dxa"/>
            <w:vAlign w:val="center"/>
          </w:tcPr>
          <w:p w14:paraId="4FF0C843">
            <w:pPr>
              <w:widowControl w:val="0"/>
              <w:spacing w:line="360" w:lineRule="auto"/>
              <w:jc w:val="center"/>
            </w:pPr>
            <w:r>
              <w:rPr>
                <w:rFonts w:hint="eastAsia"/>
              </w:rPr>
              <w:t>指</w:t>
            </w:r>
          </w:p>
        </w:tc>
        <w:tc>
          <w:tcPr>
            <w:tcW w:w="5000" w:type="dxa"/>
            <w:vAlign w:val="center"/>
          </w:tcPr>
          <w:p w14:paraId="4A80F952">
            <w:pPr>
              <w:widowControl w:val="0"/>
              <w:spacing w:line="360" w:lineRule="auto"/>
              <w:jc w:val="both"/>
            </w:pPr>
            <w:r>
              <w:t>《通化东宝药业股份有限公司章程》</w:t>
            </w:r>
          </w:p>
        </w:tc>
      </w:tr>
      <w:tr w14:paraId="1E65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398AAFA7">
            <w:pPr>
              <w:widowControl w:val="0"/>
              <w:spacing w:line="360" w:lineRule="auto"/>
              <w:jc w:val="both"/>
            </w:pPr>
            <w:r>
              <w:t>证监会</w:t>
            </w:r>
          </w:p>
        </w:tc>
        <w:tc>
          <w:tcPr>
            <w:tcW w:w="851" w:type="dxa"/>
            <w:vAlign w:val="center"/>
          </w:tcPr>
          <w:p w14:paraId="3E32522E">
            <w:pPr>
              <w:widowControl w:val="0"/>
              <w:spacing w:line="360" w:lineRule="auto"/>
              <w:jc w:val="center"/>
            </w:pPr>
            <w:r>
              <w:rPr>
                <w:rFonts w:hint="eastAsia"/>
              </w:rPr>
              <w:t>指</w:t>
            </w:r>
          </w:p>
        </w:tc>
        <w:tc>
          <w:tcPr>
            <w:tcW w:w="5000" w:type="dxa"/>
            <w:vAlign w:val="center"/>
          </w:tcPr>
          <w:p w14:paraId="29B508D0">
            <w:pPr>
              <w:widowControl w:val="0"/>
              <w:spacing w:line="360" w:lineRule="auto"/>
              <w:jc w:val="both"/>
            </w:pPr>
            <w:r>
              <w:t>中国证券监督管理委员会</w:t>
            </w:r>
          </w:p>
        </w:tc>
      </w:tr>
      <w:tr w14:paraId="19DA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1" w:type="dxa"/>
            <w:vAlign w:val="center"/>
          </w:tcPr>
          <w:p w14:paraId="6B02DF39">
            <w:pPr>
              <w:widowControl w:val="0"/>
              <w:spacing w:line="360" w:lineRule="auto"/>
              <w:jc w:val="both"/>
            </w:pPr>
            <w:r>
              <w:t>交易所、上交所</w:t>
            </w:r>
          </w:p>
        </w:tc>
        <w:tc>
          <w:tcPr>
            <w:tcW w:w="851" w:type="dxa"/>
            <w:vAlign w:val="center"/>
          </w:tcPr>
          <w:p w14:paraId="7C5E6300">
            <w:pPr>
              <w:widowControl w:val="0"/>
              <w:spacing w:line="360" w:lineRule="auto"/>
              <w:jc w:val="center"/>
            </w:pPr>
            <w:r>
              <w:rPr>
                <w:rFonts w:hint="eastAsia"/>
              </w:rPr>
              <w:t>指</w:t>
            </w:r>
          </w:p>
        </w:tc>
        <w:tc>
          <w:tcPr>
            <w:tcW w:w="5000" w:type="dxa"/>
            <w:vAlign w:val="center"/>
          </w:tcPr>
          <w:p w14:paraId="67E35D25">
            <w:pPr>
              <w:widowControl w:val="0"/>
              <w:spacing w:line="360" w:lineRule="auto"/>
              <w:jc w:val="both"/>
            </w:pPr>
            <w:r>
              <w:t>上海证券交易所</w:t>
            </w:r>
          </w:p>
        </w:tc>
      </w:tr>
      <w:tr w14:paraId="3FB18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4AC5870B">
            <w:pPr>
              <w:widowControl w:val="0"/>
              <w:spacing w:line="360" w:lineRule="auto"/>
              <w:jc w:val="both"/>
            </w:pPr>
            <w:r>
              <w:t>国家药监局</w:t>
            </w:r>
          </w:p>
        </w:tc>
        <w:tc>
          <w:tcPr>
            <w:tcW w:w="851" w:type="dxa"/>
            <w:vAlign w:val="center"/>
          </w:tcPr>
          <w:p w14:paraId="5F0AF376">
            <w:pPr>
              <w:widowControl w:val="0"/>
              <w:spacing w:line="360" w:lineRule="auto"/>
              <w:jc w:val="center"/>
            </w:pPr>
            <w:r>
              <w:rPr>
                <w:rFonts w:hint="eastAsia"/>
              </w:rPr>
              <w:t>指</w:t>
            </w:r>
          </w:p>
        </w:tc>
        <w:tc>
          <w:tcPr>
            <w:tcW w:w="5000" w:type="dxa"/>
            <w:vAlign w:val="center"/>
          </w:tcPr>
          <w:p w14:paraId="1BA8B3B3">
            <w:pPr>
              <w:widowControl w:val="0"/>
              <w:spacing w:line="360" w:lineRule="auto"/>
              <w:jc w:val="both"/>
            </w:pPr>
            <w:r>
              <w:t>国家药品监督管理局</w:t>
            </w:r>
          </w:p>
        </w:tc>
      </w:tr>
      <w:tr w14:paraId="174B8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4AFBEA73">
            <w:pPr>
              <w:widowControl w:val="0"/>
              <w:spacing w:line="360" w:lineRule="auto"/>
              <w:jc w:val="both"/>
            </w:pPr>
            <w:r>
              <w:t>GMP</w:t>
            </w:r>
          </w:p>
        </w:tc>
        <w:tc>
          <w:tcPr>
            <w:tcW w:w="851" w:type="dxa"/>
            <w:vAlign w:val="center"/>
          </w:tcPr>
          <w:p w14:paraId="7C2C24FD">
            <w:pPr>
              <w:widowControl w:val="0"/>
              <w:spacing w:line="360" w:lineRule="auto"/>
              <w:jc w:val="center"/>
            </w:pPr>
            <w:r>
              <w:rPr>
                <w:rFonts w:hint="eastAsia"/>
              </w:rPr>
              <w:t>指</w:t>
            </w:r>
          </w:p>
        </w:tc>
        <w:tc>
          <w:tcPr>
            <w:tcW w:w="5000" w:type="dxa"/>
            <w:vAlign w:val="center"/>
          </w:tcPr>
          <w:p w14:paraId="4780CDCF">
            <w:pPr>
              <w:widowControl w:val="0"/>
              <w:spacing w:line="360" w:lineRule="auto"/>
              <w:jc w:val="both"/>
            </w:pPr>
            <w:r>
              <w:t>药品生产质量管理规范</w:t>
            </w:r>
          </w:p>
        </w:tc>
      </w:tr>
      <w:tr w14:paraId="0426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658B77AE">
            <w:pPr>
              <w:widowControl w:val="0"/>
              <w:spacing w:line="360" w:lineRule="auto"/>
              <w:jc w:val="both"/>
            </w:pPr>
            <w:r>
              <w:rPr>
                <w:rFonts w:hint="eastAsia"/>
              </w:rPr>
              <w:t>B</w:t>
            </w:r>
            <w:r>
              <w:t>LA</w:t>
            </w:r>
            <w:r>
              <w:rPr>
                <w:rFonts w:hint="eastAsia"/>
              </w:rPr>
              <w:t>、美国B</w:t>
            </w:r>
            <w:r>
              <w:t>LA</w:t>
            </w:r>
          </w:p>
        </w:tc>
        <w:tc>
          <w:tcPr>
            <w:tcW w:w="851" w:type="dxa"/>
            <w:vAlign w:val="center"/>
          </w:tcPr>
          <w:p w14:paraId="1064C38A">
            <w:pPr>
              <w:widowControl w:val="0"/>
              <w:spacing w:line="360" w:lineRule="auto"/>
              <w:jc w:val="center"/>
            </w:pPr>
            <w:r>
              <w:rPr>
                <w:rFonts w:hint="eastAsia"/>
              </w:rPr>
              <w:t>指</w:t>
            </w:r>
          </w:p>
        </w:tc>
        <w:tc>
          <w:tcPr>
            <w:tcW w:w="5000" w:type="dxa"/>
            <w:vAlign w:val="center"/>
          </w:tcPr>
          <w:p w14:paraId="79C9B3DD">
            <w:pPr>
              <w:widowControl w:val="0"/>
              <w:spacing w:line="360" w:lineRule="auto"/>
              <w:jc w:val="both"/>
            </w:pPr>
            <w:r>
              <w:rPr>
                <w:rFonts w:hint="eastAsia"/>
              </w:rPr>
              <w:t>生物制品许可申请</w:t>
            </w:r>
          </w:p>
        </w:tc>
      </w:tr>
      <w:tr w14:paraId="4D0FE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512BF22D">
            <w:pPr>
              <w:widowControl w:val="0"/>
              <w:spacing w:line="360" w:lineRule="auto"/>
              <w:jc w:val="both"/>
            </w:pPr>
            <w:r>
              <w:t>FDA</w:t>
            </w:r>
            <w:r>
              <w:rPr>
                <w:rFonts w:hint="eastAsia"/>
              </w:rPr>
              <w:t>、美国</w:t>
            </w:r>
            <w:r>
              <w:t>FD</w:t>
            </w:r>
            <w:r>
              <w:rPr>
                <w:rFonts w:hint="eastAsia"/>
              </w:rPr>
              <w:t>A</w:t>
            </w:r>
          </w:p>
        </w:tc>
        <w:tc>
          <w:tcPr>
            <w:tcW w:w="851" w:type="dxa"/>
            <w:vAlign w:val="center"/>
          </w:tcPr>
          <w:p w14:paraId="52F4B027">
            <w:pPr>
              <w:widowControl w:val="0"/>
              <w:spacing w:line="360" w:lineRule="auto"/>
              <w:jc w:val="center"/>
            </w:pPr>
            <w:r>
              <w:rPr>
                <w:rFonts w:hint="eastAsia"/>
              </w:rPr>
              <w:t>指</w:t>
            </w:r>
          </w:p>
        </w:tc>
        <w:tc>
          <w:tcPr>
            <w:tcW w:w="5000" w:type="dxa"/>
            <w:vAlign w:val="center"/>
          </w:tcPr>
          <w:p w14:paraId="511C5C78">
            <w:pPr>
              <w:widowControl w:val="0"/>
              <w:spacing w:line="360" w:lineRule="auto"/>
              <w:jc w:val="both"/>
            </w:pPr>
            <w:r>
              <w:t>美国食品药品监督管理局</w:t>
            </w:r>
          </w:p>
        </w:tc>
      </w:tr>
      <w:tr w14:paraId="291B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18E6A382">
            <w:pPr>
              <w:widowControl w:val="0"/>
              <w:spacing w:line="360" w:lineRule="auto"/>
              <w:jc w:val="both"/>
            </w:pPr>
            <w:r>
              <w:t>NDA</w:t>
            </w:r>
          </w:p>
        </w:tc>
        <w:tc>
          <w:tcPr>
            <w:tcW w:w="851" w:type="dxa"/>
            <w:vAlign w:val="center"/>
          </w:tcPr>
          <w:p w14:paraId="6178910B">
            <w:pPr>
              <w:widowControl w:val="0"/>
              <w:spacing w:line="360" w:lineRule="auto"/>
              <w:jc w:val="center"/>
            </w:pPr>
            <w:r>
              <w:rPr>
                <w:rFonts w:hint="eastAsia"/>
              </w:rPr>
              <w:t>指</w:t>
            </w:r>
          </w:p>
        </w:tc>
        <w:tc>
          <w:tcPr>
            <w:tcW w:w="5000" w:type="dxa"/>
            <w:vAlign w:val="center"/>
          </w:tcPr>
          <w:p w14:paraId="62FB2201">
            <w:pPr>
              <w:widowControl w:val="0"/>
              <w:spacing w:line="360" w:lineRule="auto"/>
              <w:jc w:val="both"/>
            </w:pPr>
            <w:r>
              <w:t>药物通过临床研究后，申报申请注册上市的环节</w:t>
            </w:r>
          </w:p>
        </w:tc>
      </w:tr>
      <w:tr w14:paraId="7F05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6336D17E">
            <w:pPr>
              <w:widowControl w:val="0"/>
              <w:spacing w:line="276" w:lineRule="auto"/>
              <w:jc w:val="both"/>
            </w:pPr>
            <w:r>
              <w:t>胰岛素专项集采</w:t>
            </w:r>
          </w:p>
        </w:tc>
        <w:tc>
          <w:tcPr>
            <w:tcW w:w="851" w:type="dxa"/>
            <w:vAlign w:val="center"/>
          </w:tcPr>
          <w:p w14:paraId="45DC3EBA">
            <w:pPr>
              <w:widowControl w:val="0"/>
              <w:spacing w:line="276" w:lineRule="auto"/>
              <w:jc w:val="center"/>
            </w:pPr>
            <w:r>
              <w:rPr>
                <w:rFonts w:hint="eastAsia"/>
              </w:rPr>
              <w:t>指</w:t>
            </w:r>
          </w:p>
        </w:tc>
        <w:tc>
          <w:tcPr>
            <w:tcW w:w="5000" w:type="dxa"/>
            <w:vAlign w:val="center"/>
          </w:tcPr>
          <w:p w14:paraId="56D1A111">
            <w:pPr>
              <w:widowControl w:val="0"/>
              <w:spacing w:line="276" w:lineRule="auto"/>
              <w:jc w:val="both"/>
            </w:pPr>
            <w:r>
              <w:t>2021年11月，国家组织药品联合采购办公室发布《全国药品集中采购文件（胰岛素专项）（GY-YD2021-3）》，开展第六批国家组织药品集中带量采购（胰岛素专项）工作。国家组织药品联合采购办公室 2022 年1月通知要求“本次胰岛素专项集采中选结果于2022年5月开始实施，本次集采周期为2年。</w:t>
            </w:r>
          </w:p>
        </w:tc>
      </w:tr>
      <w:tr w14:paraId="1E70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vAlign w:val="center"/>
          </w:tcPr>
          <w:p w14:paraId="0A37C133">
            <w:pPr>
              <w:widowControl w:val="0"/>
              <w:spacing w:line="276" w:lineRule="auto"/>
              <w:jc w:val="both"/>
            </w:pPr>
            <w:r>
              <w:t>胰岛素专项集采接续、集采续标</w:t>
            </w:r>
          </w:p>
        </w:tc>
        <w:tc>
          <w:tcPr>
            <w:tcW w:w="851" w:type="dxa"/>
            <w:vAlign w:val="center"/>
          </w:tcPr>
          <w:p w14:paraId="35144A68">
            <w:pPr>
              <w:widowControl w:val="0"/>
              <w:spacing w:line="276" w:lineRule="auto"/>
              <w:jc w:val="center"/>
              <w:rPr>
                <w:highlight w:val="lightGray"/>
              </w:rPr>
            </w:pPr>
            <w:r>
              <w:rPr>
                <w:rFonts w:hint="eastAsia"/>
              </w:rPr>
              <w:t>指</w:t>
            </w:r>
          </w:p>
        </w:tc>
        <w:tc>
          <w:tcPr>
            <w:tcW w:w="5000" w:type="dxa"/>
            <w:vAlign w:val="center"/>
          </w:tcPr>
          <w:p w14:paraId="77E5AEBF">
            <w:pPr>
              <w:widowControl w:val="0"/>
              <w:spacing w:line="276" w:lineRule="auto"/>
              <w:jc w:val="both"/>
            </w:pPr>
            <w:r>
              <w:t>2024年3月，发布了《全国药品集中采购文件（胰岛素专项接续）GY-YD2024-1》，本次集采周期3.5年，自中选结果执行之日起至2027年12月31日结束。</w:t>
            </w:r>
          </w:p>
        </w:tc>
      </w:tr>
    </w:tbl>
    <w:p w14:paraId="31CA3E93">
      <w:pPr>
        <w:pStyle w:val="48"/>
        <w:sectPr>
          <w:pgSz w:w="11906" w:h="16838"/>
          <w:pgMar w:top="1525" w:right="1276" w:bottom="1440" w:left="1797" w:header="855" w:footer="992" w:gutter="0"/>
          <w:cols w:space="425" w:num="1"/>
          <w:docGrid w:linePitch="312" w:charSpace="0"/>
        </w:sectPr>
      </w:pPr>
    </w:p>
    <w:p w14:paraId="5C2DADD4">
      <w:pPr>
        <w:pStyle w:val="48"/>
      </w:pPr>
    </w:p>
    <w:p w14:paraId="01CA0275">
      <w:pPr>
        <w:pStyle w:val="2"/>
        <w:numPr>
          <w:ilvl w:val="0"/>
          <w:numId w:val="2"/>
        </w:numPr>
      </w:pPr>
      <w:r>
        <w:rPr>
          <w:rFonts w:hint="eastAsia"/>
        </w:rPr>
        <w:t>公司简介</w:t>
      </w:r>
      <w:bookmarkEnd w:id="10"/>
      <w:bookmarkEnd w:id="11"/>
      <w:r>
        <w:rPr>
          <w:rFonts w:hint="eastAsia"/>
        </w:rPr>
        <w:t>和主要财务指标</w:t>
      </w:r>
    </w:p>
    <w:bookmarkEnd w:id="12"/>
    <w:bookmarkEnd w:id="13"/>
    <w:p w14:paraId="2C63D557">
      <w:pPr>
        <w:pStyle w:val="3"/>
        <w:numPr>
          <w:ilvl w:val="1"/>
          <w:numId w:val="4"/>
        </w:numPr>
        <w:ind w:left="498" w:hanging="498" w:hangingChars="236"/>
        <w:rPr>
          <w:u w:val="single"/>
        </w:rPr>
      </w:pPr>
      <w:bookmarkStart w:id="14" w:name="_Toc342051041"/>
      <w:bookmarkStart w:id="15" w:name="_Toc342565881"/>
      <w:r>
        <w:rPr>
          <w:rFonts w:hint="eastAsia"/>
        </w:rPr>
        <w:t>公司信息</w:t>
      </w:r>
      <w:bookmarkEnd w:id="14"/>
      <w:bookmarkEnd w:id="15"/>
    </w:p>
    <w:tbl>
      <w:tblPr>
        <w:tblStyle w:val="57"/>
        <w:tblW w:w="889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3397"/>
        <w:gridCol w:w="5495"/>
      </w:tblGrid>
      <w:tr w14:paraId="57E32C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76a4e08611bc46959c5497248a51b877"/>
            <w:id w:val="-367058280"/>
          </w:sdtPr>
          <w:sdtContent>
            <w:tc>
              <w:tcPr>
                <w:tcW w:w="3397" w:type="dxa"/>
                <w:tcBorders>
                  <w:top w:val="single" w:color="auto" w:sz="4" w:space="0"/>
                  <w:bottom w:val="single" w:color="auto" w:sz="4" w:space="0"/>
                  <w:right w:val="single" w:color="auto" w:sz="4" w:space="0"/>
                </w:tcBorders>
                <w:vAlign w:val="center"/>
              </w:tcPr>
              <w:p w14:paraId="5B7B02F9">
                <w:pPr>
                  <w:kinsoku w:val="0"/>
                  <w:overflowPunct w:val="0"/>
                  <w:autoSpaceDE w:val="0"/>
                  <w:autoSpaceDN w:val="0"/>
                  <w:adjustRightInd w:val="0"/>
                  <w:snapToGrid w:val="0"/>
                  <w:spacing w:line="360" w:lineRule="auto"/>
                  <w:rPr>
                    <w:rFonts w:ascii="Calibri" w:hAnsi="Calibri"/>
                    <w:sz w:val="20"/>
                    <w:szCs w:val="20"/>
                  </w:rPr>
                </w:pPr>
                <w:r>
                  <w:rPr>
                    <w:rFonts w:hint="eastAsia" w:ascii="Calibri" w:hAnsi="Calibri"/>
                    <w:sz w:val="20"/>
                    <w:szCs w:val="20"/>
                  </w:rPr>
                  <w:t>公司的中文名称</w:t>
                </w:r>
              </w:p>
            </w:tc>
          </w:sdtContent>
        </w:sdt>
        <w:sdt>
          <w:sdtPr>
            <w:rPr>
              <w:rFonts w:hint="eastAsia" w:ascii="Calibri" w:hAnsi="Calibri"/>
              <w:sz w:val="20"/>
              <w:szCs w:val="20"/>
            </w:rPr>
            <w:alias w:val="公司法定中文名称"/>
            <w:tag w:val="_GBC_7adfc39908d049d2970c391497a360e4"/>
            <w:id w:val="2031137580"/>
            <w:dataBinding w:prefixMappings="xmlns:clcid-cgi='clcid-cgi'" w:xpath="/*/clcid-cgi:GongSiFaDingZhongWenMingCheng[not(@periodRef)]" w:storeItemID="{89EBAB94-44A0-46A2-B712-30D997D04A6D}"/>
            <w:text/>
          </w:sdtPr>
          <w:sdtEndPr>
            <w:rPr>
              <w:rFonts w:hint="eastAsia" w:ascii="Calibri" w:hAnsi="Calibri"/>
              <w:sz w:val="20"/>
              <w:szCs w:val="20"/>
            </w:rPr>
          </w:sdtEndPr>
          <w:sdtContent>
            <w:tc>
              <w:tcPr>
                <w:tcW w:w="5495" w:type="dxa"/>
                <w:tcBorders>
                  <w:top w:val="single" w:color="auto" w:sz="4" w:space="0"/>
                  <w:left w:val="single" w:color="auto" w:sz="4" w:space="0"/>
                  <w:bottom w:val="single" w:color="auto" w:sz="4" w:space="0"/>
                </w:tcBorders>
                <w:vAlign w:val="center"/>
              </w:tcPr>
              <w:p w14:paraId="26F48696">
                <w:pPr>
                  <w:kinsoku w:val="0"/>
                  <w:overflowPunct w:val="0"/>
                  <w:autoSpaceDE w:val="0"/>
                  <w:autoSpaceDN w:val="0"/>
                  <w:adjustRightInd w:val="0"/>
                  <w:snapToGrid w:val="0"/>
                  <w:spacing w:line="360" w:lineRule="auto"/>
                  <w:rPr>
                    <w:rFonts w:ascii="Calibri" w:hAnsi="Calibri"/>
                    <w:color w:val="FFC000"/>
                    <w:sz w:val="20"/>
                    <w:szCs w:val="20"/>
                  </w:rPr>
                </w:pPr>
                <w:r>
                  <w:rPr>
                    <w:rFonts w:hint="eastAsia" w:ascii="Calibri" w:hAnsi="Calibri"/>
                    <w:sz w:val="20"/>
                    <w:szCs w:val="20"/>
                  </w:rPr>
                  <w:t>通化东宝药业股份有限公司</w:t>
                </w:r>
              </w:p>
            </w:tc>
          </w:sdtContent>
        </w:sdt>
      </w:tr>
      <w:tr w14:paraId="003E62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397" w:type="dxa"/>
            <w:tcBorders>
              <w:top w:val="single" w:color="auto" w:sz="4" w:space="0"/>
              <w:bottom w:val="single" w:color="auto" w:sz="4" w:space="0"/>
              <w:right w:val="single" w:color="auto" w:sz="4" w:space="0"/>
            </w:tcBorders>
            <w:vAlign w:val="center"/>
          </w:tcPr>
          <w:p w14:paraId="7289BDBB">
            <w:pPr>
              <w:kinsoku w:val="0"/>
              <w:overflowPunct w:val="0"/>
              <w:autoSpaceDE w:val="0"/>
              <w:autoSpaceDN w:val="0"/>
              <w:adjustRightInd w:val="0"/>
              <w:snapToGrid w:val="0"/>
              <w:spacing w:line="360" w:lineRule="auto"/>
              <w:rPr>
                <w:rFonts w:ascii="Calibri" w:hAnsi="Calibri"/>
                <w:sz w:val="20"/>
                <w:szCs w:val="20"/>
              </w:rPr>
            </w:pPr>
            <w:r>
              <w:rPr>
                <w:rFonts w:hint="eastAsia" w:ascii="Calibri" w:hAnsi="Calibri"/>
                <w:sz w:val="20"/>
                <w:szCs w:val="20"/>
              </w:rPr>
              <w:t>公司的中文简称</w:t>
            </w:r>
          </w:p>
        </w:tc>
        <w:tc>
          <w:tcPr>
            <w:tcW w:w="5495" w:type="dxa"/>
            <w:tcBorders>
              <w:top w:val="single" w:color="auto" w:sz="4" w:space="0"/>
              <w:left w:val="single" w:color="auto" w:sz="4" w:space="0"/>
              <w:bottom w:val="single" w:color="auto" w:sz="4" w:space="0"/>
            </w:tcBorders>
            <w:vAlign w:val="center"/>
          </w:tcPr>
          <w:p w14:paraId="026866E5">
            <w:pPr>
              <w:spacing w:line="360" w:lineRule="auto"/>
              <w:rPr>
                <w:rFonts w:ascii="Calibri" w:hAnsi="Calibri"/>
                <w:sz w:val="20"/>
                <w:szCs w:val="20"/>
              </w:rPr>
            </w:pPr>
            <w:r>
              <w:rPr>
                <w:rFonts w:ascii="Calibri" w:hAnsi="Calibri"/>
                <w:sz w:val="20"/>
                <w:szCs w:val="20"/>
              </w:rPr>
              <w:t>通化东宝</w:t>
            </w:r>
          </w:p>
        </w:tc>
      </w:tr>
      <w:tr w14:paraId="007D9B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397" w:type="dxa"/>
            <w:tcBorders>
              <w:top w:val="single" w:color="auto" w:sz="4" w:space="0"/>
              <w:bottom w:val="single" w:color="auto" w:sz="4" w:space="0"/>
              <w:right w:val="single" w:color="auto" w:sz="4" w:space="0"/>
            </w:tcBorders>
            <w:vAlign w:val="center"/>
          </w:tcPr>
          <w:p w14:paraId="13ED9D7F">
            <w:pPr>
              <w:kinsoku w:val="0"/>
              <w:overflowPunct w:val="0"/>
              <w:autoSpaceDE w:val="0"/>
              <w:autoSpaceDN w:val="0"/>
              <w:adjustRightInd w:val="0"/>
              <w:snapToGrid w:val="0"/>
              <w:spacing w:line="360" w:lineRule="auto"/>
              <w:rPr>
                <w:rFonts w:ascii="Calibri" w:hAnsi="Calibri"/>
                <w:sz w:val="20"/>
                <w:szCs w:val="20"/>
              </w:rPr>
            </w:pPr>
            <w:r>
              <w:rPr>
                <w:rFonts w:ascii="Calibri" w:hAnsi="Calibri"/>
                <w:sz w:val="20"/>
                <w:szCs w:val="20"/>
              </w:rPr>
              <w:t>公司的外文名称</w:t>
            </w:r>
          </w:p>
        </w:tc>
        <w:tc>
          <w:tcPr>
            <w:tcW w:w="5495" w:type="dxa"/>
            <w:tcBorders>
              <w:top w:val="single" w:color="auto" w:sz="4" w:space="0"/>
              <w:left w:val="single" w:color="auto" w:sz="4" w:space="0"/>
              <w:bottom w:val="single" w:color="auto" w:sz="4" w:space="0"/>
            </w:tcBorders>
            <w:vAlign w:val="center"/>
          </w:tcPr>
          <w:p w14:paraId="31F65090">
            <w:pPr>
              <w:spacing w:line="360" w:lineRule="auto"/>
              <w:rPr>
                <w:rFonts w:ascii="Calibri" w:hAnsi="Calibri"/>
                <w:sz w:val="20"/>
                <w:szCs w:val="20"/>
              </w:rPr>
            </w:pPr>
            <w:r>
              <w:rPr>
                <w:rFonts w:ascii="Calibri" w:hAnsi="Calibri"/>
                <w:sz w:val="20"/>
                <w:szCs w:val="20"/>
              </w:rPr>
              <w:t>TONGHUA DONGBAO PHARMACEUTICAL CO.，LTD.</w:t>
            </w:r>
          </w:p>
        </w:tc>
      </w:tr>
      <w:tr w14:paraId="3989B6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397" w:type="dxa"/>
            <w:tcBorders>
              <w:top w:val="single" w:color="auto" w:sz="4" w:space="0"/>
              <w:bottom w:val="single" w:color="auto" w:sz="4" w:space="0"/>
              <w:right w:val="single" w:color="auto" w:sz="4" w:space="0"/>
            </w:tcBorders>
            <w:vAlign w:val="center"/>
          </w:tcPr>
          <w:p w14:paraId="65C0362E">
            <w:pPr>
              <w:kinsoku w:val="0"/>
              <w:overflowPunct w:val="0"/>
              <w:autoSpaceDE w:val="0"/>
              <w:autoSpaceDN w:val="0"/>
              <w:adjustRightInd w:val="0"/>
              <w:snapToGrid w:val="0"/>
              <w:spacing w:line="360" w:lineRule="auto"/>
              <w:rPr>
                <w:rFonts w:ascii="Calibri" w:hAnsi="Calibri"/>
                <w:sz w:val="20"/>
                <w:szCs w:val="20"/>
              </w:rPr>
            </w:pPr>
            <w:r>
              <w:rPr>
                <w:rFonts w:ascii="Calibri" w:hAnsi="Calibri"/>
                <w:sz w:val="20"/>
                <w:szCs w:val="20"/>
              </w:rPr>
              <w:t>公司的外文名称缩写</w:t>
            </w:r>
          </w:p>
        </w:tc>
        <w:tc>
          <w:tcPr>
            <w:tcW w:w="5495" w:type="dxa"/>
            <w:tcBorders>
              <w:top w:val="single" w:color="auto" w:sz="4" w:space="0"/>
              <w:left w:val="single" w:color="auto" w:sz="4" w:space="0"/>
              <w:bottom w:val="single" w:color="auto" w:sz="4" w:space="0"/>
            </w:tcBorders>
            <w:vAlign w:val="center"/>
          </w:tcPr>
          <w:p w14:paraId="31476950">
            <w:pPr>
              <w:spacing w:line="360" w:lineRule="auto"/>
              <w:rPr>
                <w:rFonts w:ascii="Calibri" w:hAnsi="Calibri"/>
                <w:sz w:val="20"/>
                <w:szCs w:val="20"/>
              </w:rPr>
            </w:pPr>
            <w:r>
              <w:rPr>
                <w:rFonts w:ascii="Calibri" w:hAnsi="Calibri"/>
                <w:sz w:val="20"/>
                <w:szCs w:val="20"/>
              </w:rPr>
              <w:t>THDB</w:t>
            </w:r>
          </w:p>
        </w:tc>
      </w:tr>
      <w:tr w14:paraId="54D6AC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397" w:type="dxa"/>
            <w:tcBorders>
              <w:top w:val="single" w:color="auto" w:sz="4" w:space="0"/>
              <w:bottom w:val="single" w:color="auto" w:sz="4" w:space="0"/>
              <w:right w:val="single" w:color="auto" w:sz="4" w:space="0"/>
            </w:tcBorders>
            <w:vAlign w:val="center"/>
          </w:tcPr>
          <w:p w14:paraId="50E56A10">
            <w:pPr>
              <w:kinsoku w:val="0"/>
              <w:overflowPunct w:val="0"/>
              <w:autoSpaceDE w:val="0"/>
              <w:autoSpaceDN w:val="0"/>
              <w:adjustRightInd w:val="0"/>
              <w:snapToGrid w:val="0"/>
              <w:spacing w:line="360" w:lineRule="auto"/>
              <w:rPr>
                <w:rFonts w:ascii="Calibri" w:hAnsi="Calibri"/>
                <w:sz w:val="20"/>
                <w:szCs w:val="20"/>
              </w:rPr>
            </w:pPr>
            <w:r>
              <w:rPr>
                <w:rFonts w:ascii="Calibri" w:hAnsi="Calibri"/>
                <w:sz w:val="20"/>
                <w:szCs w:val="20"/>
              </w:rPr>
              <w:t>公司的法定代表人</w:t>
            </w:r>
          </w:p>
        </w:tc>
        <w:tc>
          <w:tcPr>
            <w:tcW w:w="5495" w:type="dxa"/>
            <w:tcBorders>
              <w:top w:val="single" w:color="auto" w:sz="4" w:space="0"/>
              <w:left w:val="single" w:color="auto" w:sz="4" w:space="0"/>
              <w:bottom w:val="single" w:color="auto" w:sz="4" w:space="0"/>
            </w:tcBorders>
            <w:vAlign w:val="center"/>
          </w:tcPr>
          <w:p w14:paraId="61AF77C7">
            <w:pPr>
              <w:spacing w:line="360" w:lineRule="auto"/>
              <w:rPr>
                <w:rFonts w:ascii="Calibri" w:hAnsi="Calibri"/>
                <w:sz w:val="20"/>
                <w:szCs w:val="20"/>
              </w:rPr>
            </w:pPr>
            <w:r>
              <w:rPr>
                <w:rFonts w:ascii="Calibri" w:hAnsi="Calibri"/>
                <w:sz w:val="20"/>
                <w:szCs w:val="20"/>
              </w:rPr>
              <w:t>李佳鸿</w:t>
            </w:r>
          </w:p>
        </w:tc>
      </w:tr>
    </w:tbl>
    <w:p w14:paraId="0102AD74">
      <w:pPr>
        <w:pStyle w:val="48"/>
      </w:pPr>
    </w:p>
    <w:p w14:paraId="0281A5D5">
      <w:pPr>
        <w:pStyle w:val="3"/>
        <w:numPr>
          <w:ilvl w:val="1"/>
          <w:numId w:val="4"/>
        </w:numPr>
        <w:ind w:left="498" w:hanging="498" w:hangingChars="236"/>
        <w:rPr>
          <w:u w:val="single"/>
        </w:rPr>
      </w:pPr>
      <w:r>
        <w:rPr>
          <w:rFonts w:hint="eastAsia"/>
        </w:rPr>
        <w:t>联系人和联系方式</w:t>
      </w:r>
    </w:p>
    <w:tbl>
      <w:tblPr>
        <w:tblStyle w:val="57"/>
        <w:tblW w:w="889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2424"/>
        <w:gridCol w:w="3503"/>
        <w:gridCol w:w="2964"/>
      </w:tblGrid>
      <w:tr w14:paraId="7D12FE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2424" w:type="dxa"/>
            <w:tcBorders>
              <w:top w:val="single" w:color="auto" w:sz="4" w:space="0"/>
              <w:bottom w:val="single" w:color="auto" w:sz="4" w:space="0"/>
              <w:right w:val="single" w:color="auto" w:sz="4" w:space="0"/>
            </w:tcBorders>
            <w:vAlign w:val="center"/>
          </w:tcPr>
          <w:p w14:paraId="287EA944">
            <w:pPr>
              <w:kinsoku w:val="0"/>
              <w:overflowPunct w:val="0"/>
              <w:autoSpaceDE w:val="0"/>
              <w:autoSpaceDN w:val="0"/>
              <w:adjustRightInd w:val="0"/>
              <w:snapToGrid w:val="0"/>
              <w:rPr>
                <w:rFonts w:ascii="Calibri" w:hAnsi="Calibri"/>
                <w:sz w:val="20"/>
                <w:szCs w:val="20"/>
              </w:rPr>
            </w:pPr>
            <w:bookmarkStart w:id="16" w:name="_Toc342565882"/>
            <w:bookmarkEnd w:id="16"/>
            <w:bookmarkStart w:id="17" w:name="_Toc342051042"/>
            <w:bookmarkEnd w:id="17"/>
            <w:bookmarkStart w:id="18" w:name="_Hlk186115833"/>
            <w:bookmarkStart w:id="19" w:name="_Hlk186115772"/>
            <w:bookmarkStart w:id="20" w:name="_Hlk186112521"/>
          </w:p>
        </w:tc>
        <w:tc>
          <w:tcPr>
            <w:tcW w:w="3503" w:type="dxa"/>
            <w:tcBorders>
              <w:top w:val="single" w:color="auto" w:sz="4" w:space="0"/>
              <w:left w:val="single" w:color="auto" w:sz="4" w:space="0"/>
              <w:bottom w:val="single" w:color="auto" w:sz="4" w:space="0"/>
              <w:right w:val="single" w:color="auto" w:sz="4" w:space="0"/>
            </w:tcBorders>
            <w:vAlign w:val="center"/>
          </w:tcPr>
          <w:p w14:paraId="329E0457">
            <w:pPr>
              <w:pStyle w:val="11"/>
              <w:kinsoku w:val="0"/>
              <w:overflowPunct w:val="0"/>
              <w:autoSpaceDE w:val="0"/>
              <w:autoSpaceDN w:val="0"/>
              <w:adjustRightInd w:val="0"/>
              <w:snapToGrid w:val="0"/>
              <w:spacing w:line="360" w:lineRule="auto"/>
              <w:jc w:val="center"/>
              <w:rPr>
                <w:rFonts w:ascii="宋体" w:hAnsi="宋体"/>
                <w:color w:val="008000"/>
                <w:sz w:val="20"/>
                <w:szCs w:val="20"/>
              </w:rPr>
            </w:pPr>
            <w:sdt>
              <w:sdtPr>
                <w:tag w:val="_PLD_2c78c38f6b284d4589a2a9ae76ce4059"/>
                <w:id w:val="269057988"/>
              </w:sdtPr>
              <w:sdtContent>
                <w:r>
                  <w:rPr>
                    <w:rFonts w:hint="eastAsia" w:ascii="宋体" w:hAnsi="宋体" w:cs="宋体"/>
                    <w:sz w:val="20"/>
                    <w:szCs w:val="20"/>
                  </w:rPr>
                  <w:t>董事会秘书</w:t>
                </w:r>
              </w:sdtContent>
            </w:sdt>
          </w:p>
        </w:tc>
        <w:sdt>
          <w:sdtPr>
            <w:tag w:val="_PLD_8425474fc03f4f31a663ee46b4c6fa3a"/>
            <w:id w:val="-383649977"/>
          </w:sdtPr>
          <w:sdtContent>
            <w:tc>
              <w:tcPr>
                <w:tcW w:w="2964" w:type="dxa"/>
                <w:tcBorders>
                  <w:top w:val="single" w:color="auto" w:sz="4" w:space="0"/>
                  <w:left w:val="single" w:color="auto" w:sz="4" w:space="0"/>
                  <w:bottom w:val="single" w:color="auto" w:sz="4" w:space="0"/>
                </w:tcBorders>
                <w:vAlign w:val="center"/>
              </w:tcPr>
              <w:p w14:paraId="79D2EBF7">
                <w:pPr>
                  <w:pStyle w:val="11"/>
                  <w:kinsoku w:val="0"/>
                  <w:overflowPunct w:val="0"/>
                  <w:autoSpaceDE w:val="0"/>
                  <w:autoSpaceDN w:val="0"/>
                  <w:adjustRightInd w:val="0"/>
                  <w:snapToGrid w:val="0"/>
                  <w:spacing w:line="360" w:lineRule="auto"/>
                  <w:jc w:val="center"/>
                  <w:rPr>
                    <w:rFonts w:ascii="宋体" w:hAnsi="宋体" w:cs="宋体"/>
                    <w:sz w:val="20"/>
                    <w:szCs w:val="20"/>
                  </w:rPr>
                </w:pPr>
                <w:r>
                  <w:rPr>
                    <w:rFonts w:hint="eastAsia" w:ascii="宋体" w:hAnsi="宋体" w:cs="宋体"/>
                    <w:sz w:val="20"/>
                    <w:szCs w:val="20"/>
                  </w:rPr>
                  <w:t>证券事务代表</w:t>
                </w:r>
              </w:p>
            </w:tc>
          </w:sdtContent>
        </w:sdt>
      </w:tr>
      <w:tr w14:paraId="310B5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2424" w:type="dxa"/>
            <w:tcBorders>
              <w:top w:val="single" w:color="auto" w:sz="4" w:space="0"/>
              <w:bottom w:val="single" w:color="auto" w:sz="4" w:space="0"/>
              <w:right w:val="single" w:color="auto" w:sz="4" w:space="0"/>
            </w:tcBorders>
            <w:vAlign w:val="center"/>
          </w:tcPr>
          <w:p w14:paraId="3ED71F57">
            <w:pPr>
              <w:kinsoku w:val="0"/>
              <w:overflowPunct w:val="0"/>
              <w:autoSpaceDE w:val="0"/>
              <w:autoSpaceDN w:val="0"/>
              <w:adjustRightInd w:val="0"/>
              <w:snapToGrid w:val="0"/>
              <w:rPr>
                <w:rFonts w:ascii="Calibri" w:hAnsi="Calibri"/>
                <w:sz w:val="20"/>
                <w:szCs w:val="20"/>
              </w:rPr>
            </w:pPr>
            <w:r>
              <w:rPr>
                <w:rFonts w:hint="eastAsia" w:ascii="Calibri" w:hAnsi="Calibri"/>
                <w:sz w:val="20"/>
                <w:szCs w:val="20"/>
              </w:rPr>
              <w:t>姓名</w:t>
            </w:r>
          </w:p>
        </w:tc>
        <w:tc>
          <w:tcPr>
            <w:tcW w:w="3503" w:type="dxa"/>
            <w:tcBorders>
              <w:top w:val="single" w:color="auto" w:sz="4" w:space="0"/>
              <w:left w:val="single" w:color="auto" w:sz="4" w:space="0"/>
              <w:bottom w:val="single" w:color="auto" w:sz="4" w:space="0"/>
              <w:right w:val="single" w:color="auto" w:sz="4" w:space="0"/>
            </w:tcBorders>
            <w:vAlign w:val="center"/>
          </w:tcPr>
          <w:p w14:paraId="65A16F29">
            <w:pPr>
              <w:kinsoku w:val="0"/>
              <w:overflowPunct w:val="0"/>
              <w:autoSpaceDE w:val="0"/>
              <w:autoSpaceDN w:val="0"/>
              <w:adjustRightInd w:val="0"/>
              <w:snapToGrid w:val="0"/>
              <w:spacing w:line="360" w:lineRule="auto"/>
              <w:rPr>
                <w:rFonts w:ascii="Calibri" w:hAnsi="Calibri"/>
                <w:sz w:val="20"/>
                <w:szCs w:val="20"/>
              </w:rPr>
            </w:pPr>
            <w:r>
              <w:rPr>
                <w:rFonts w:hint="eastAsia" w:ascii="Calibri" w:hAnsi="Calibri"/>
                <w:sz w:val="20"/>
                <w:szCs w:val="20"/>
              </w:rPr>
              <w:t>李佳鸿（董事长代行董事会秘书职责）</w:t>
            </w:r>
          </w:p>
        </w:tc>
        <w:tc>
          <w:tcPr>
            <w:tcW w:w="2964" w:type="dxa"/>
            <w:tcBorders>
              <w:top w:val="single" w:color="auto" w:sz="4" w:space="0"/>
              <w:left w:val="single" w:color="auto" w:sz="4" w:space="0"/>
              <w:bottom w:val="single" w:color="auto" w:sz="4" w:space="0"/>
            </w:tcBorders>
            <w:vAlign w:val="center"/>
          </w:tcPr>
          <w:p w14:paraId="7C889BEB">
            <w:pPr>
              <w:spacing w:line="360" w:lineRule="auto"/>
              <w:rPr>
                <w:rFonts w:ascii="Calibri" w:hAnsi="Calibri"/>
                <w:sz w:val="20"/>
                <w:szCs w:val="20"/>
              </w:rPr>
            </w:pPr>
            <w:r>
              <w:rPr>
                <w:rFonts w:ascii="Calibri" w:hAnsi="Calibri"/>
                <w:sz w:val="20"/>
                <w:szCs w:val="20"/>
              </w:rPr>
              <w:t>谷丽萍</w:t>
            </w:r>
          </w:p>
        </w:tc>
      </w:tr>
      <w:tr w14:paraId="69ABA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2424" w:type="dxa"/>
            <w:tcBorders>
              <w:top w:val="single" w:color="auto" w:sz="4" w:space="0"/>
              <w:bottom w:val="single" w:color="auto" w:sz="4" w:space="0"/>
              <w:right w:val="single" w:color="auto" w:sz="4" w:space="0"/>
            </w:tcBorders>
            <w:vAlign w:val="center"/>
          </w:tcPr>
          <w:p w14:paraId="45DDD375">
            <w:pPr>
              <w:kinsoku w:val="0"/>
              <w:overflowPunct w:val="0"/>
              <w:autoSpaceDE w:val="0"/>
              <w:autoSpaceDN w:val="0"/>
              <w:adjustRightInd w:val="0"/>
              <w:snapToGrid w:val="0"/>
              <w:rPr>
                <w:rFonts w:ascii="Calibri" w:hAnsi="Calibri"/>
                <w:sz w:val="20"/>
                <w:szCs w:val="20"/>
              </w:rPr>
            </w:pPr>
            <w:r>
              <w:rPr>
                <w:rFonts w:hint="eastAsia" w:ascii="Calibri" w:hAnsi="Calibri"/>
                <w:sz w:val="20"/>
                <w:szCs w:val="20"/>
              </w:rPr>
              <w:t>联系地址</w:t>
            </w:r>
          </w:p>
        </w:tc>
        <w:tc>
          <w:tcPr>
            <w:tcW w:w="3503" w:type="dxa"/>
            <w:tcBorders>
              <w:top w:val="single" w:color="auto" w:sz="4" w:space="0"/>
              <w:left w:val="single" w:color="auto" w:sz="4" w:space="0"/>
              <w:bottom w:val="single" w:color="auto" w:sz="4" w:space="0"/>
              <w:right w:val="single" w:color="auto" w:sz="4" w:space="0"/>
            </w:tcBorders>
            <w:vAlign w:val="center"/>
          </w:tcPr>
          <w:p w14:paraId="47CA5177">
            <w:pPr>
              <w:spacing w:line="360" w:lineRule="auto"/>
              <w:rPr>
                <w:rFonts w:ascii="Calibri" w:hAnsi="Calibri"/>
                <w:sz w:val="20"/>
                <w:szCs w:val="20"/>
              </w:rPr>
            </w:pPr>
            <w:r>
              <w:rPr>
                <w:rFonts w:ascii="Calibri" w:hAnsi="Calibri"/>
                <w:sz w:val="20"/>
                <w:szCs w:val="20"/>
              </w:rPr>
              <w:t>吉林省通化县东宝新村</w:t>
            </w:r>
          </w:p>
        </w:tc>
        <w:tc>
          <w:tcPr>
            <w:tcW w:w="2964" w:type="dxa"/>
            <w:tcBorders>
              <w:top w:val="single" w:color="auto" w:sz="4" w:space="0"/>
              <w:left w:val="single" w:color="auto" w:sz="4" w:space="0"/>
              <w:bottom w:val="single" w:color="auto" w:sz="4" w:space="0"/>
            </w:tcBorders>
            <w:vAlign w:val="center"/>
          </w:tcPr>
          <w:p w14:paraId="27FD433A">
            <w:pPr>
              <w:spacing w:line="360" w:lineRule="auto"/>
              <w:rPr>
                <w:rFonts w:ascii="Calibri" w:hAnsi="Calibri"/>
                <w:sz w:val="20"/>
                <w:szCs w:val="20"/>
              </w:rPr>
            </w:pPr>
            <w:r>
              <w:rPr>
                <w:rFonts w:ascii="Calibri" w:hAnsi="Calibri"/>
                <w:sz w:val="20"/>
                <w:szCs w:val="20"/>
              </w:rPr>
              <w:t>吉林省通化县东宝新村证券部</w:t>
            </w:r>
          </w:p>
        </w:tc>
      </w:tr>
      <w:tr w14:paraId="1D555A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2424" w:type="dxa"/>
            <w:tcBorders>
              <w:top w:val="single" w:color="auto" w:sz="4" w:space="0"/>
              <w:bottom w:val="single" w:color="auto" w:sz="4" w:space="0"/>
              <w:right w:val="single" w:color="auto" w:sz="4" w:space="0"/>
            </w:tcBorders>
            <w:vAlign w:val="center"/>
          </w:tcPr>
          <w:p w14:paraId="2DFA8F68">
            <w:pPr>
              <w:kinsoku w:val="0"/>
              <w:overflowPunct w:val="0"/>
              <w:autoSpaceDE w:val="0"/>
              <w:autoSpaceDN w:val="0"/>
              <w:adjustRightInd w:val="0"/>
              <w:snapToGrid w:val="0"/>
              <w:rPr>
                <w:rFonts w:ascii="Calibri" w:hAnsi="Calibri"/>
                <w:sz w:val="20"/>
                <w:szCs w:val="20"/>
              </w:rPr>
            </w:pPr>
            <w:r>
              <w:rPr>
                <w:rFonts w:ascii="Calibri" w:hAnsi="Calibri"/>
                <w:sz w:val="20"/>
                <w:szCs w:val="20"/>
              </w:rPr>
              <w:t>电话</w:t>
            </w:r>
          </w:p>
        </w:tc>
        <w:tc>
          <w:tcPr>
            <w:tcW w:w="3503" w:type="dxa"/>
            <w:tcBorders>
              <w:top w:val="single" w:color="auto" w:sz="4" w:space="0"/>
              <w:left w:val="single" w:color="auto" w:sz="4" w:space="0"/>
              <w:bottom w:val="single" w:color="auto" w:sz="4" w:space="0"/>
              <w:right w:val="single" w:color="auto" w:sz="4" w:space="0"/>
            </w:tcBorders>
            <w:vAlign w:val="center"/>
          </w:tcPr>
          <w:p w14:paraId="2D367DB7">
            <w:pPr>
              <w:spacing w:line="360" w:lineRule="auto"/>
              <w:rPr>
                <w:rFonts w:ascii="Calibri" w:hAnsi="Calibri"/>
                <w:sz w:val="20"/>
                <w:szCs w:val="20"/>
              </w:rPr>
            </w:pPr>
            <w:r>
              <w:rPr>
                <w:rFonts w:ascii="Calibri" w:hAnsi="Calibri"/>
                <w:sz w:val="20"/>
                <w:szCs w:val="20"/>
              </w:rPr>
              <w:t>0435-5088025</w:t>
            </w:r>
          </w:p>
        </w:tc>
        <w:tc>
          <w:tcPr>
            <w:tcW w:w="2964" w:type="dxa"/>
            <w:tcBorders>
              <w:top w:val="single" w:color="auto" w:sz="4" w:space="0"/>
              <w:left w:val="single" w:color="auto" w:sz="4" w:space="0"/>
              <w:bottom w:val="single" w:color="auto" w:sz="4" w:space="0"/>
            </w:tcBorders>
            <w:vAlign w:val="center"/>
          </w:tcPr>
          <w:p w14:paraId="5B3897DA">
            <w:pPr>
              <w:spacing w:line="360" w:lineRule="auto"/>
              <w:rPr>
                <w:rFonts w:ascii="Calibri" w:hAnsi="Calibri"/>
                <w:sz w:val="20"/>
                <w:szCs w:val="20"/>
              </w:rPr>
            </w:pPr>
            <w:r>
              <w:rPr>
                <w:rFonts w:ascii="Calibri" w:hAnsi="Calibri"/>
                <w:sz w:val="20"/>
                <w:szCs w:val="20"/>
              </w:rPr>
              <w:t>0435-5088126</w:t>
            </w:r>
          </w:p>
        </w:tc>
      </w:tr>
      <w:tr w14:paraId="033998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2424" w:type="dxa"/>
            <w:tcBorders>
              <w:top w:val="single" w:color="auto" w:sz="4" w:space="0"/>
              <w:bottom w:val="single" w:color="auto" w:sz="4" w:space="0"/>
              <w:right w:val="single" w:color="auto" w:sz="4" w:space="0"/>
            </w:tcBorders>
            <w:vAlign w:val="center"/>
          </w:tcPr>
          <w:p w14:paraId="78316243">
            <w:pPr>
              <w:kinsoku w:val="0"/>
              <w:overflowPunct w:val="0"/>
              <w:autoSpaceDE w:val="0"/>
              <w:autoSpaceDN w:val="0"/>
              <w:adjustRightInd w:val="0"/>
              <w:snapToGrid w:val="0"/>
              <w:rPr>
                <w:rFonts w:ascii="Calibri" w:hAnsi="Calibri"/>
                <w:sz w:val="20"/>
                <w:szCs w:val="20"/>
              </w:rPr>
            </w:pPr>
            <w:r>
              <w:rPr>
                <w:rFonts w:ascii="Calibri" w:hAnsi="Calibri"/>
                <w:sz w:val="20"/>
                <w:szCs w:val="20"/>
              </w:rPr>
              <w:t>传真</w:t>
            </w:r>
          </w:p>
        </w:tc>
        <w:tc>
          <w:tcPr>
            <w:tcW w:w="3503" w:type="dxa"/>
            <w:tcBorders>
              <w:top w:val="single" w:color="auto" w:sz="4" w:space="0"/>
              <w:left w:val="single" w:color="auto" w:sz="4" w:space="0"/>
              <w:bottom w:val="single" w:color="auto" w:sz="4" w:space="0"/>
              <w:right w:val="single" w:color="auto" w:sz="4" w:space="0"/>
            </w:tcBorders>
            <w:vAlign w:val="center"/>
          </w:tcPr>
          <w:p w14:paraId="42BA7A2D">
            <w:pPr>
              <w:spacing w:line="360" w:lineRule="auto"/>
              <w:rPr>
                <w:rFonts w:ascii="Calibri" w:hAnsi="Calibri"/>
                <w:sz w:val="20"/>
                <w:szCs w:val="20"/>
              </w:rPr>
            </w:pPr>
            <w:r>
              <w:rPr>
                <w:rFonts w:ascii="Calibri" w:hAnsi="Calibri"/>
                <w:sz w:val="20"/>
                <w:szCs w:val="20"/>
              </w:rPr>
              <w:t>0435-5088002</w:t>
            </w:r>
          </w:p>
        </w:tc>
        <w:tc>
          <w:tcPr>
            <w:tcW w:w="2964" w:type="dxa"/>
            <w:tcBorders>
              <w:top w:val="single" w:color="auto" w:sz="4" w:space="0"/>
              <w:left w:val="single" w:color="auto" w:sz="4" w:space="0"/>
              <w:bottom w:val="single" w:color="auto" w:sz="4" w:space="0"/>
            </w:tcBorders>
            <w:vAlign w:val="center"/>
          </w:tcPr>
          <w:p w14:paraId="336452D7">
            <w:pPr>
              <w:spacing w:line="360" w:lineRule="auto"/>
              <w:rPr>
                <w:rFonts w:ascii="Calibri" w:hAnsi="Calibri"/>
                <w:sz w:val="20"/>
                <w:szCs w:val="20"/>
              </w:rPr>
            </w:pPr>
            <w:r>
              <w:rPr>
                <w:rFonts w:ascii="Calibri" w:hAnsi="Calibri"/>
                <w:sz w:val="20"/>
                <w:szCs w:val="20"/>
              </w:rPr>
              <w:t>0435-5088002</w:t>
            </w:r>
          </w:p>
        </w:tc>
      </w:tr>
      <w:tr w14:paraId="157957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2424" w:type="dxa"/>
            <w:tcBorders>
              <w:top w:val="single" w:color="auto" w:sz="4" w:space="0"/>
              <w:bottom w:val="single" w:color="auto" w:sz="4" w:space="0"/>
              <w:right w:val="single" w:color="auto" w:sz="4" w:space="0"/>
            </w:tcBorders>
            <w:vAlign w:val="center"/>
          </w:tcPr>
          <w:p w14:paraId="467C7A52">
            <w:pPr>
              <w:kinsoku w:val="0"/>
              <w:overflowPunct w:val="0"/>
              <w:autoSpaceDE w:val="0"/>
              <w:autoSpaceDN w:val="0"/>
              <w:adjustRightInd w:val="0"/>
              <w:snapToGrid w:val="0"/>
              <w:rPr>
                <w:rFonts w:ascii="Calibri" w:hAnsi="Calibri"/>
                <w:sz w:val="20"/>
                <w:szCs w:val="20"/>
              </w:rPr>
            </w:pPr>
            <w:r>
              <w:rPr>
                <w:rFonts w:ascii="Calibri" w:hAnsi="Calibri"/>
                <w:sz w:val="20"/>
                <w:szCs w:val="20"/>
              </w:rPr>
              <w:t>电子信箱</w:t>
            </w:r>
          </w:p>
        </w:tc>
        <w:tc>
          <w:tcPr>
            <w:tcW w:w="3503" w:type="dxa"/>
            <w:tcBorders>
              <w:top w:val="single" w:color="auto" w:sz="4" w:space="0"/>
              <w:left w:val="single" w:color="auto" w:sz="4" w:space="0"/>
              <w:bottom w:val="single" w:color="auto" w:sz="4" w:space="0"/>
              <w:right w:val="single" w:color="auto" w:sz="4" w:space="0"/>
            </w:tcBorders>
            <w:vAlign w:val="center"/>
          </w:tcPr>
          <w:p w14:paraId="02E52077">
            <w:pPr>
              <w:kinsoku w:val="0"/>
              <w:overflowPunct w:val="0"/>
              <w:autoSpaceDE w:val="0"/>
              <w:autoSpaceDN w:val="0"/>
              <w:adjustRightInd w:val="0"/>
              <w:snapToGrid w:val="0"/>
              <w:spacing w:line="360" w:lineRule="auto"/>
              <w:rPr>
                <w:rFonts w:ascii="Calibri" w:hAnsi="Calibri"/>
                <w:sz w:val="20"/>
                <w:szCs w:val="20"/>
              </w:rPr>
            </w:pPr>
            <w:r>
              <w:rPr>
                <w:rFonts w:ascii="Calibri" w:hAnsi="Calibri"/>
                <w:sz w:val="20"/>
                <w:szCs w:val="20"/>
              </w:rPr>
              <w:t>thdb600867@thdb.com</w:t>
            </w:r>
          </w:p>
        </w:tc>
        <w:tc>
          <w:tcPr>
            <w:tcW w:w="2964" w:type="dxa"/>
            <w:tcBorders>
              <w:top w:val="single" w:color="auto" w:sz="4" w:space="0"/>
              <w:left w:val="single" w:color="auto" w:sz="4" w:space="0"/>
              <w:bottom w:val="single" w:color="auto" w:sz="4" w:space="0"/>
            </w:tcBorders>
            <w:vAlign w:val="center"/>
          </w:tcPr>
          <w:p w14:paraId="3412FBAF">
            <w:pPr>
              <w:spacing w:line="360" w:lineRule="auto"/>
              <w:rPr>
                <w:rFonts w:ascii="Calibri" w:hAnsi="Calibri"/>
                <w:sz w:val="20"/>
                <w:szCs w:val="20"/>
              </w:rPr>
            </w:pPr>
            <w:r>
              <w:rPr>
                <w:rFonts w:ascii="Calibri" w:hAnsi="Calibri"/>
                <w:sz w:val="20"/>
                <w:szCs w:val="20"/>
              </w:rPr>
              <w:t>guliping@thdb.com</w:t>
            </w:r>
          </w:p>
        </w:tc>
      </w:tr>
    </w:tbl>
    <w:p w14:paraId="0D2386E8">
      <w:pPr>
        <w:pStyle w:val="48"/>
      </w:pPr>
    </w:p>
    <w:bookmarkEnd w:id="18"/>
    <w:bookmarkEnd w:id="19"/>
    <w:bookmarkEnd w:id="20"/>
    <w:p w14:paraId="5A364D77">
      <w:pPr>
        <w:pStyle w:val="3"/>
        <w:numPr>
          <w:ilvl w:val="1"/>
          <w:numId w:val="4"/>
        </w:numPr>
        <w:ind w:left="498" w:hanging="498" w:hangingChars="236"/>
        <w:rPr>
          <w:u w:val="single"/>
        </w:rPr>
      </w:pPr>
      <w:r>
        <w:rPr>
          <w:rFonts w:hint="eastAsia"/>
        </w:rPr>
        <w:t>基本情况简介</w:t>
      </w:r>
    </w:p>
    <w:tbl>
      <w:tblPr>
        <w:tblStyle w:val="57"/>
        <w:tblW w:w="889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3857"/>
        <w:gridCol w:w="5035"/>
      </w:tblGrid>
      <w:tr w14:paraId="291208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65800154c9f246eeaabfb6d49f89b105"/>
            <w:id w:val="-1081147473"/>
          </w:sdtPr>
          <w:sdtContent>
            <w:tc>
              <w:tcPr>
                <w:tcW w:w="3857" w:type="dxa"/>
                <w:tcBorders>
                  <w:top w:val="single" w:color="auto" w:sz="4" w:space="0"/>
                  <w:bottom w:val="single" w:color="auto" w:sz="4" w:space="0"/>
                  <w:right w:val="single" w:color="auto" w:sz="4" w:space="0"/>
                </w:tcBorders>
                <w:vAlign w:val="center"/>
              </w:tcPr>
              <w:p w14:paraId="6ECD2E78">
                <w:pPr>
                  <w:kinsoku w:val="0"/>
                  <w:overflowPunct w:val="0"/>
                  <w:autoSpaceDE w:val="0"/>
                  <w:autoSpaceDN w:val="0"/>
                  <w:adjustRightInd w:val="0"/>
                  <w:snapToGrid w:val="0"/>
                  <w:rPr>
                    <w:rFonts w:ascii="Calibri" w:hAnsi="Calibri"/>
                    <w:sz w:val="20"/>
                    <w:szCs w:val="20"/>
                  </w:rPr>
                </w:pPr>
                <w:r>
                  <w:rPr>
                    <w:rFonts w:ascii="Calibri" w:hAnsi="Calibri"/>
                    <w:sz w:val="20"/>
                    <w:szCs w:val="20"/>
                  </w:rPr>
                  <w:t>公司注册地址</w:t>
                </w:r>
              </w:p>
            </w:tc>
          </w:sdtContent>
        </w:sdt>
        <w:tc>
          <w:tcPr>
            <w:tcW w:w="5035" w:type="dxa"/>
            <w:tcBorders>
              <w:top w:val="single" w:color="auto" w:sz="4" w:space="0"/>
              <w:left w:val="single" w:color="auto" w:sz="4" w:space="0"/>
              <w:bottom w:val="single" w:color="auto" w:sz="4" w:space="0"/>
            </w:tcBorders>
            <w:vAlign w:val="center"/>
          </w:tcPr>
          <w:p w14:paraId="69F6C66A">
            <w:pPr>
              <w:spacing w:line="360" w:lineRule="auto"/>
              <w:rPr>
                <w:rFonts w:ascii="Calibri" w:hAnsi="Calibri"/>
                <w:sz w:val="20"/>
                <w:szCs w:val="20"/>
              </w:rPr>
            </w:pPr>
            <w:r>
              <w:rPr>
                <w:rFonts w:ascii="Calibri" w:hAnsi="Calibri"/>
                <w:sz w:val="20"/>
                <w:szCs w:val="20"/>
              </w:rPr>
              <w:t>吉林省通化县东宝新村</w:t>
            </w:r>
          </w:p>
        </w:tc>
      </w:tr>
      <w:tr w14:paraId="3977AB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857" w:type="dxa"/>
            <w:tcBorders>
              <w:top w:val="single" w:color="auto" w:sz="4" w:space="0"/>
              <w:bottom w:val="single" w:color="auto" w:sz="4" w:space="0"/>
              <w:right w:val="single" w:color="auto" w:sz="4" w:space="0"/>
            </w:tcBorders>
            <w:vAlign w:val="center"/>
          </w:tcPr>
          <w:p w14:paraId="786FCB5E">
            <w:pPr>
              <w:kinsoku w:val="0"/>
              <w:overflowPunct w:val="0"/>
              <w:autoSpaceDE w:val="0"/>
              <w:autoSpaceDN w:val="0"/>
              <w:adjustRightInd w:val="0"/>
              <w:snapToGrid w:val="0"/>
              <w:rPr>
                <w:rFonts w:ascii="Calibri" w:hAnsi="Calibri"/>
                <w:sz w:val="20"/>
                <w:szCs w:val="20"/>
              </w:rPr>
            </w:pPr>
            <w:r>
              <w:rPr>
                <w:rFonts w:hint="eastAsia" w:ascii="Calibri" w:hAnsi="Calibri"/>
                <w:sz w:val="20"/>
                <w:szCs w:val="20"/>
              </w:rPr>
              <w:t>公司注册地址的历史变更情况</w:t>
            </w:r>
          </w:p>
        </w:tc>
        <w:tc>
          <w:tcPr>
            <w:tcW w:w="5035" w:type="dxa"/>
            <w:tcBorders>
              <w:top w:val="single" w:color="auto" w:sz="4" w:space="0"/>
              <w:left w:val="single" w:color="auto" w:sz="4" w:space="0"/>
              <w:bottom w:val="single" w:color="auto" w:sz="4" w:space="0"/>
            </w:tcBorders>
            <w:vAlign w:val="center"/>
          </w:tcPr>
          <w:p w14:paraId="23D5D867">
            <w:pPr>
              <w:spacing w:line="360" w:lineRule="auto"/>
              <w:rPr>
                <w:rFonts w:ascii="Calibri" w:hAnsi="Calibri"/>
                <w:sz w:val="20"/>
                <w:szCs w:val="20"/>
              </w:rPr>
            </w:pPr>
            <w:r>
              <w:rPr>
                <w:rFonts w:ascii="Calibri" w:hAnsi="Calibri"/>
                <w:sz w:val="20"/>
                <w:szCs w:val="20"/>
              </w:rPr>
              <w:t>无变更</w:t>
            </w:r>
          </w:p>
        </w:tc>
      </w:tr>
      <w:tr w14:paraId="4ACEBC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857" w:type="dxa"/>
            <w:tcBorders>
              <w:top w:val="single" w:color="auto" w:sz="4" w:space="0"/>
              <w:bottom w:val="single" w:color="auto" w:sz="4" w:space="0"/>
              <w:right w:val="single" w:color="auto" w:sz="4" w:space="0"/>
            </w:tcBorders>
            <w:vAlign w:val="center"/>
          </w:tcPr>
          <w:p w14:paraId="12090470">
            <w:pPr>
              <w:kinsoku w:val="0"/>
              <w:overflowPunct w:val="0"/>
              <w:autoSpaceDE w:val="0"/>
              <w:autoSpaceDN w:val="0"/>
              <w:adjustRightInd w:val="0"/>
              <w:snapToGrid w:val="0"/>
              <w:rPr>
                <w:rFonts w:ascii="Calibri" w:hAnsi="Calibri"/>
                <w:sz w:val="20"/>
                <w:szCs w:val="20"/>
              </w:rPr>
            </w:pPr>
            <w:r>
              <w:rPr>
                <w:rFonts w:ascii="Calibri" w:hAnsi="Calibri"/>
                <w:sz w:val="20"/>
                <w:szCs w:val="20"/>
              </w:rPr>
              <w:t>公司办公地址</w:t>
            </w:r>
          </w:p>
        </w:tc>
        <w:tc>
          <w:tcPr>
            <w:tcW w:w="5035" w:type="dxa"/>
            <w:tcBorders>
              <w:top w:val="single" w:color="auto" w:sz="4" w:space="0"/>
              <w:left w:val="single" w:color="auto" w:sz="4" w:space="0"/>
              <w:bottom w:val="single" w:color="auto" w:sz="4" w:space="0"/>
            </w:tcBorders>
            <w:vAlign w:val="center"/>
          </w:tcPr>
          <w:p w14:paraId="506EBEEA">
            <w:pPr>
              <w:spacing w:line="360" w:lineRule="auto"/>
              <w:rPr>
                <w:rFonts w:ascii="Calibri" w:hAnsi="Calibri"/>
                <w:sz w:val="20"/>
                <w:szCs w:val="20"/>
              </w:rPr>
            </w:pPr>
            <w:r>
              <w:rPr>
                <w:rFonts w:ascii="Calibri" w:hAnsi="Calibri"/>
                <w:sz w:val="20"/>
                <w:szCs w:val="20"/>
              </w:rPr>
              <w:t>吉林省通化县东宝新村</w:t>
            </w:r>
          </w:p>
        </w:tc>
      </w:tr>
      <w:tr w14:paraId="34CAAC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857" w:type="dxa"/>
            <w:tcBorders>
              <w:top w:val="single" w:color="auto" w:sz="4" w:space="0"/>
              <w:bottom w:val="single" w:color="auto" w:sz="4" w:space="0"/>
              <w:right w:val="single" w:color="auto" w:sz="4" w:space="0"/>
            </w:tcBorders>
            <w:vAlign w:val="center"/>
          </w:tcPr>
          <w:p w14:paraId="7AD58505">
            <w:pPr>
              <w:kinsoku w:val="0"/>
              <w:overflowPunct w:val="0"/>
              <w:autoSpaceDE w:val="0"/>
              <w:autoSpaceDN w:val="0"/>
              <w:adjustRightInd w:val="0"/>
              <w:snapToGrid w:val="0"/>
              <w:rPr>
                <w:rFonts w:ascii="Calibri" w:hAnsi="Calibri"/>
                <w:sz w:val="20"/>
                <w:szCs w:val="20"/>
              </w:rPr>
            </w:pPr>
            <w:r>
              <w:rPr>
                <w:rFonts w:ascii="Calibri" w:hAnsi="Calibri"/>
                <w:sz w:val="20"/>
                <w:szCs w:val="20"/>
              </w:rPr>
              <w:t>公司办公地址的邮政编码</w:t>
            </w:r>
          </w:p>
        </w:tc>
        <w:tc>
          <w:tcPr>
            <w:tcW w:w="5035" w:type="dxa"/>
            <w:tcBorders>
              <w:top w:val="single" w:color="auto" w:sz="4" w:space="0"/>
              <w:left w:val="single" w:color="auto" w:sz="4" w:space="0"/>
              <w:bottom w:val="single" w:color="auto" w:sz="4" w:space="0"/>
            </w:tcBorders>
            <w:vAlign w:val="center"/>
          </w:tcPr>
          <w:p w14:paraId="6CDEB556">
            <w:pPr>
              <w:spacing w:line="360" w:lineRule="auto"/>
              <w:rPr>
                <w:rFonts w:ascii="Calibri" w:hAnsi="Calibri"/>
                <w:sz w:val="20"/>
                <w:szCs w:val="20"/>
              </w:rPr>
            </w:pPr>
            <w:r>
              <w:rPr>
                <w:rFonts w:ascii="Calibri" w:hAnsi="Calibri"/>
                <w:sz w:val="20"/>
                <w:szCs w:val="20"/>
              </w:rPr>
              <w:t>134123</w:t>
            </w:r>
          </w:p>
        </w:tc>
      </w:tr>
      <w:tr w14:paraId="637CA7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857" w:type="dxa"/>
            <w:tcBorders>
              <w:top w:val="single" w:color="auto" w:sz="4" w:space="0"/>
              <w:bottom w:val="single" w:color="auto" w:sz="4" w:space="0"/>
              <w:right w:val="single" w:color="auto" w:sz="4" w:space="0"/>
            </w:tcBorders>
            <w:vAlign w:val="center"/>
          </w:tcPr>
          <w:p w14:paraId="383E3DEB">
            <w:pPr>
              <w:kinsoku w:val="0"/>
              <w:overflowPunct w:val="0"/>
              <w:autoSpaceDE w:val="0"/>
              <w:autoSpaceDN w:val="0"/>
              <w:adjustRightInd w:val="0"/>
              <w:snapToGrid w:val="0"/>
              <w:rPr>
                <w:rFonts w:ascii="Calibri" w:hAnsi="Calibri"/>
                <w:sz w:val="20"/>
                <w:szCs w:val="20"/>
              </w:rPr>
            </w:pPr>
            <w:r>
              <w:rPr>
                <w:rFonts w:ascii="Calibri" w:hAnsi="Calibri"/>
                <w:sz w:val="20"/>
                <w:szCs w:val="20"/>
              </w:rPr>
              <w:t>公司网址</w:t>
            </w:r>
          </w:p>
        </w:tc>
        <w:tc>
          <w:tcPr>
            <w:tcW w:w="5035" w:type="dxa"/>
            <w:tcBorders>
              <w:top w:val="single" w:color="auto" w:sz="4" w:space="0"/>
              <w:left w:val="single" w:color="auto" w:sz="4" w:space="0"/>
              <w:bottom w:val="single" w:color="auto" w:sz="4" w:space="0"/>
            </w:tcBorders>
            <w:vAlign w:val="center"/>
          </w:tcPr>
          <w:p w14:paraId="23885A22">
            <w:pPr>
              <w:spacing w:line="360" w:lineRule="auto"/>
              <w:rPr>
                <w:rFonts w:ascii="Calibri" w:hAnsi="Calibri"/>
                <w:sz w:val="20"/>
                <w:szCs w:val="20"/>
              </w:rPr>
            </w:pPr>
            <w:r>
              <w:rPr>
                <w:rFonts w:ascii="Calibri" w:hAnsi="Calibri"/>
                <w:sz w:val="20"/>
                <w:szCs w:val="20"/>
              </w:rPr>
              <w:t>http：//www.thdb.com</w:t>
            </w:r>
          </w:p>
        </w:tc>
      </w:tr>
      <w:tr w14:paraId="512E80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857" w:type="dxa"/>
            <w:tcBorders>
              <w:top w:val="single" w:color="auto" w:sz="4" w:space="0"/>
              <w:bottom w:val="single" w:color="auto" w:sz="4" w:space="0"/>
              <w:right w:val="single" w:color="auto" w:sz="4" w:space="0"/>
            </w:tcBorders>
            <w:vAlign w:val="center"/>
          </w:tcPr>
          <w:p w14:paraId="06DBF305">
            <w:pPr>
              <w:kinsoku w:val="0"/>
              <w:overflowPunct w:val="0"/>
              <w:autoSpaceDE w:val="0"/>
              <w:autoSpaceDN w:val="0"/>
              <w:adjustRightInd w:val="0"/>
              <w:snapToGrid w:val="0"/>
              <w:rPr>
                <w:rFonts w:ascii="Calibri" w:hAnsi="Calibri"/>
                <w:sz w:val="20"/>
                <w:szCs w:val="20"/>
              </w:rPr>
            </w:pPr>
            <w:r>
              <w:rPr>
                <w:rFonts w:ascii="Calibri" w:hAnsi="Calibri"/>
                <w:sz w:val="20"/>
                <w:szCs w:val="20"/>
              </w:rPr>
              <w:t>电子信箱</w:t>
            </w:r>
          </w:p>
        </w:tc>
        <w:tc>
          <w:tcPr>
            <w:tcW w:w="5035" w:type="dxa"/>
            <w:tcBorders>
              <w:top w:val="single" w:color="auto" w:sz="4" w:space="0"/>
              <w:left w:val="single" w:color="auto" w:sz="4" w:space="0"/>
              <w:bottom w:val="single" w:color="auto" w:sz="4" w:space="0"/>
            </w:tcBorders>
            <w:vAlign w:val="center"/>
          </w:tcPr>
          <w:p w14:paraId="235911C1">
            <w:pPr>
              <w:spacing w:line="360" w:lineRule="auto"/>
              <w:rPr>
                <w:rFonts w:ascii="Calibri" w:hAnsi="Calibri"/>
                <w:sz w:val="20"/>
                <w:szCs w:val="20"/>
              </w:rPr>
            </w:pPr>
            <w:r>
              <w:rPr>
                <w:rFonts w:ascii="Calibri" w:hAnsi="Calibri"/>
                <w:sz w:val="20"/>
                <w:szCs w:val="20"/>
              </w:rPr>
              <w:t>thdb600867@thdb.com</w:t>
            </w:r>
          </w:p>
        </w:tc>
      </w:tr>
    </w:tbl>
    <w:p w14:paraId="0486BAFB">
      <w:pPr>
        <w:pStyle w:val="48"/>
      </w:pPr>
    </w:p>
    <w:p w14:paraId="2BFBCEDE">
      <w:pPr>
        <w:pStyle w:val="3"/>
        <w:numPr>
          <w:ilvl w:val="1"/>
          <w:numId w:val="4"/>
        </w:numPr>
        <w:ind w:left="498" w:hanging="498" w:hangingChars="236"/>
        <w:rPr>
          <w:u w:val="single"/>
        </w:rPr>
      </w:pPr>
      <w:r>
        <w:rPr>
          <w:rFonts w:hint="eastAsia"/>
        </w:rPr>
        <w:t>信息披露及备置地点</w:t>
      </w:r>
    </w:p>
    <w:tbl>
      <w:tblPr>
        <w:tblStyle w:val="57"/>
        <w:tblW w:w="889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4140"/>
        <w:gridCol w:w="4752"/>
      </w:tblGrid>
      <w:tr w14:paraId="0A56DD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bbba55a3ebda46da946a09caf15c63b6"/>
            <w:id w:val="1109385618"/>
          </w:sdtPr>
          <w:sdtEndPr>
            <w:rPr>
              <w:rFonts w:ascii="Calibri" w:hAnsi="Calibri"/>
              <w:sz w:val="20"/>
              <w:szCs w:val="20"/>
              <w:highlight w:val="yellow"/>
            </w:rPr>
          </w:sdtEndPr>
          <w:sdtContent>
            <w:tc>
              <w:tcPr>
                <w:tcW w:w="4140" w:type="dxa"/>
                <w:tcBorders>
                  <w:top w:val="single" w:color="auto" w:sz="4" w:space="0"/>
                  <w:bottom w:val="single" w:color="auto" w:sz="4" w:space="0"/>
                  <w:right w:val="single" w:color="auto" w:sz="4" w:space="0"/>
                </w:tcBorders>
                <w:vAlign w:val="center"/>
              </w:tcPr>
              <w:p w14:paraId="799DCDD3">
                <w:pPr>
                  <w:kinsoku w:val="0"/>
                  <w:overflowPunct w:val="0"/>
                  <w:autoSpaceDE w:val="0"/>
                  <w:autoSpaceDN w:val="0"/>
                  <w:adjustRightInd w:val="0"/>
                  <w:snapToGrid w:val="0"/>
                  <w:rPr>
                    <w:rFonts w:ascii="Calibri" w:hAnsi="Calibri"/>
                    <w:sz w:val="20"/>
                    <w:szCs w:val="20"/>
                  </w:rPr>
                </w:pPr>
                <w:r>
                  <w:rPr>
                    <w:rFonts w:ascii="Calibri" w:hAnsi="Calibri"/>
                    <w:sz w:val="20"/>
                    <w:szCs w:val="20"/>
                  </w:rPr>
                  <w:t>公司</w:t>
                </w:r>
                <w:r>
                  <w:rPr>
                    <w:rFonts w:hint="eastAsia" w:ascii="Calibri" w:hAnsi="Calibri"/>
                    <w:sz w:val="20"/>
                    <w:szCs w:val="20"/>
                  </w:rPr>
                  <w:t>披露年度报告的媒体</w:t>
                </w:r>
                <w:r>
                  <w:rPr>
                    <w:rFonts w:ascii="Calibri" w:hAnsi="Calibri"/>
                    <w:sz w:val="20"/>
                    <w:szCs w:val="20"/>
                  </w:rPr>
                  <w:t>名称</w:t>
                </w:r>
                <w:r>
                  <w:rPr>
                    <w:rFonts w:hint="eastAsia" w:ascii="Calibri" w:hAnsi="Calibri"/>
                    <w:sz w:val="20"/>
                    <w:szCs w:val="20"/>
                  </w:rPr>
                  <w:t>及网址</w:t>
                </w:r>
              </w:p>
            </w:tc>
          </w:sdtContent>
        </w:sdt>
        <w:tc>
          <w:tcPr>
            <w:tcW w:w="4752" w:type="dxa"/>
            <w:tcBorders>
              <w:top w:val="single" w:color="auto" w:sz="4" w:space="0"/>
              <w:left w:val="single" w:color="auto" w:sz="4" w:space="0"/>
              <w:bottom w:val="single" w:color="auto" w:sz="4" w:space="0"/>
            </w:tcBorders>
            <w:vAlign w:val="center"/>
          </w:tcPr>
          <w:p w14:paraId="28EA58C6">
            <w:pPr>
              <w:spacing w:line="360" w:lineRule="auto"/>
              <w:rPr>
                <w:rFonts w:ascii="Calibri" w:hAnsi="Calibri"/>
                <w:sz w:val="20"/>
                <w:szCs w:val="20"/>
              </w:rPr>
            </w:pPr>
            <w:r>
              <w:rPr>
                <w:rFonts w:ascii="Calibri" w:hAnsi="Calibri"/>
                <w:sz w:val="20"/>
                <w:szCs w:val="20"/>
              </w:rPr>
              <w:t>《中国证券报》</w:t>
            </w:r>
            <w:r>
              <w:rPr>
                <w:rFonts w:hint="eastAsia" w:ascii="Calibri" w:hAnsi="Calibri"/>
                <w:sz w:val="20"/>
                <w:szCs w:val="20"/>
              </w:rPr>
              <w:t>（</w:t>
            </w:r>
            <w:r>
              <w:rPr>
                <w:rFonts w:ascii="Calibri" w:hAnsi="Calibri"/>
                <w:sz w:val="20"/>
                <w:szCs w:val="20"/>
              </w:rPr>
              <w:t>www.cs.com.cn</w:t>
            </w:r>
            <w:r>
              <w:rPr>
                <w:rFonts w:hint="eastAsia" w:ascii="Calibri" w:hAnsi="Calibri"/>
                <w:sz w:val="20"/>
                <w:szCs w:val="20"/>
              </w:rPr>
              <w:t>）</w:t>
            </w:r>
          </w:p>
          <w:p w14:paraId="41DC4560">
            <w:pPr>
              <w:spacing w:line="360" w:lineRule="auto"/>
              <w:rPr>
                <w:rFonts w:ascii="Calibri" w:hAnsi="Calibri"/>
                <w:sz w:val="20"/>
                <w:szCs w:val="20"/>
              </w:rPr>
            </w:pPr>
            <w:r>
              <w:rPr>
                <w:rFonts w:ascii="Calibri" w:hAnsi="Calibri"/>
                <w:sz w:val="20"/>
                <w:szCs w:val="20"/>
              </w:rPr>
              <w:t>《上海证券报》</w:t>
            </w:r>
            <w:r>
              <w:rPr>
                <w:rFonts w:hint="eastAsia" w:ascii="Calibri" w:hAnsi="Calibri"/>
                <w:sz w:val="20"/>
                <w:szCs w:val="20"/>
              </w:rPr>
              <w:t>（</w:t>
            </w:r>
            <w:r>
              <w:rPr>
                <w:rFonts w:ascii="Calibri" w:hAnsi="Calibri"/>
                <w:sz w:val="20"/>
                <w:szCs w:val="20"/>
              </w:rPr>
              <w:t>www.cnstock.com</w:t>
            </w:r>
            <w:r>
              <w:rPr>
                <w:rFonts w:hint="eastAsia" w:ascii="Calibri" w:hAnsi="Calibri"/>
                <w:sz w:val="20"/>
                <w:szCs w:val="20"/>
              </w:rPr>
              <w:t>）</w:t>
            </w:r>
          </w:p>
        </w:tc>
      </w:tr>
      <w:tr w14:paraId="338EFC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4140" w:type="dxa"/>
            <w:tcBorders>
              <w:top w:val="single" w:color="auto" w:sz="4" w:space="0"/>
              <w:bottom w:val="single" w:color="auto" w:sz="4" w:space="0"/>
              <w:right w:val="single" w:color="auto" w:sz="4" w:space="0"/>
            </w:tcBorders>
            <w:vAlign w:val="center"/>
          </w:tcPr>
          <w:p w14:paraId="3F3896EC">
            <w:pPr>
              <w:kinsoku w:val="0"/>
              <w:overflowPunct w:val="0"/>
              <w:autoSpaceDE w:val="0"/>
              <w:autoSpaceDN w:val="0"/>
              <w:adjustRightInd w:val="0"/>
              <w:snapToGrid w:val="0"/>
              <w:rPr>
                <w:rFonts w:ascii="Calibri" w:hAnsi="Calibri"/>
                <w:sz w:val="20"/>
                <w:szCs w:val="20"/>
              </w:rPr>
            </w:pPr>
            <w:r>
              <w:rPr>
                <w:rFonts w:hint="eastAsia" w:ascii="Calibri" w:hAnsi="Calibri"/>
                <w:sz w:val="20"/>
                <w:szCs w:val="20"/>
              </w:rPr>
              <w:t>公司披露年度报告的证券交易所</w:t>
            </w:r>
            <w:r>
              <w:rPr>
                <w:rFonts w:ascii="Calibri" w:hAnsi="Calibri"/>
                <w:sz w:val="20"/>
                <w:szCs w:val="20"/>
              </w:rPr>
              <w:t>网址</w:t>
            </w:r>
          </w:p>
        </w:tc>
        <w:tc>
          <w:tcPr>
            <w:tcW w:w="4752" w:type="dxa"/>
            <w:tcBorders>
              <w:top w:val="single" w:color="auto" w:sz="4" w:space="0"/>
              <w:left w:val="single" w:color="auto" w:sz="4" w:space="0"/>
              <w:bottom w:val="single" w:color="auto" w:sz="4" w:space="0"/>
            </w:tcBorders>
            <w:vAlign w:val="center"/>
          </w:tcPr>
          <w:p w14:paraId="28E0F444">
            <w:pPr>
              <w:spacing w:line="360" w:lineRule="auto"/>
              <w:rPr>
                <w:rFonts w:ascii="Calibri" w:hAnsi="Calibri"/>
                <w:sz w:val="20"/>
                <w:szCs w:val="20"/>
              </w:rPr>
            </w:pPr>
            <w:r>
              <w:rPr>
                <w:rFonts w:ascii="Calibri" w:hAnsi="Calibri"/>
                <w:sz w:val="20"/>
                <w:szCs w:val="20"/>
              </w:rPr>
              <w:t>http://www.sse.com.cn</w:t>
            </w:r>
          </w:p>
        </w:tc>
      </w:tr>
      <w:tr w14:paraId="3B2474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4140" w:type="dxa"/>
            <w:tcBorders>
              <w:top w:val="single" w:color="auto" w:sz="4" w:space="0"/>
              <w:bottom w:val="single" w:color="auto" w:sz="4" w:space="0"/>
              <w:right w:val="single" w:color="auto" w:sz="4" w:space="0"/>
            </w:tcBorders>
            <w:vAlign w:val="center"/>
          </w:tcPr>
          <w:p w14:paraId="0F3E7BBF">
            <w:pPr>
              <w:kinsoku w:val="0"/>
              <w:overflowPunct w:val="0"/>
              <w:autoSpaceDE w:val="0"/>
              <w:autoSpaceDN w:val="0"/>
              <w:adjustRightInd w:val="0"/>
              <w:snapToGrid w:val="0"/>
              <w:rPr>
                <w:rFonts w:ascii="Calibri" w:hAnsi="Calibri"/>
                <w:sz w:val="20"/>
                <w:szCs w:val="20"/>
              </w:rPr>
            </w:pPr>
            <w:r>
              <w:rPr>
                <w:rFonts w:ascii="Calibri" w:hAnsi="Calibri"/>
                <w:sz w:val="20"/>
                <w:szCs w:val="20"/>
              </w:rPr>
              <w:t>公司年度报告备置地点</w:t>
            </w:r>
          </w:p>
        </w:tc>
        <w:tc>
          <w:tcPr>
            <w:tcW w:w="4752" w:type="dxa"/>
            <w:tcBorders>
              <w:top w:val="single" w:color="auto" w:sz="4" w:space="0"/>
              <w:left w:val="single" w:color="auto" w:sz="4" w:space="0"/>
              <w:bottom w:val="single" w:color="auto" w:sz="4" w:space="0"/>
            </w:tcBorders>
            <w:vAlign w:val="center"/>
          </w:tcPr>
          <w:p w14:paraId="212AD389">
            <w:pPr>
              <w:spacing w:line="360" w:lineRule="auto"/>
              <w:rPr>
                <w:rFonts w:ascii="Calibri" w:hAnsi="Calibri"/>
                <w:sz w:val="20"/>
                <w:szCs w:val="20"/>
              </w:rPr>
            </w:pPr>
            <w:r>
              <w:rPr>
                <w:rFonts w:ascii="Calibri" w:hAnsi="Calibri"/>
                <w:sz w:val="20"/>
                <w:szCs w:val="20"/>
              </w:rPr>
              <w:t>公司证券部</w:t>
            </w:r>
          </w:p>
        </w:tc>
      </w:tr>
    </w:tbl>
    <w:p w14:paraId="0824A9F3">
      <w:pPr>
        <w:pStyle w:val="48"/>
      </w:pPr>
    </w:p>
    <w:p w14:paraId="14CC1E94">
      <w:pPr>
        <w:pStyle w:val="3"/>
        <w:numPr>
          <w:ilvl w:val="1"/>
          <w:numId w:val="4"/>
        </w:numPr>
        <w:ind w:left="498" w:hanging="498" w:hangingChars="236"/>
        <w:rPr>
          <w:u w:val="single"/>
        </w:rPr>
      </w:pPr>
      <w:bookmarkStart w:id="21" w:name="_Toc342051045"/>
      <w:bookmarkStart w:id="22" w:name="_Toc342565885"/>
      <w:r>
        <w:rPr>
          <w:rFonts w:hint="eastAsia"/>
        </w:rPr>
        <w:t>公司股票简况</w:t>
      </w:r>
      <w:bookmarkEnd w:id="21"/>
      <w:bookmarkEnd w:id="22"/>
    </w:p>
    <w:tbl>
      <w:tblPr>
        <w:tblStyle w:val="57"/>
        <w:tblW w:w="89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2134"/>
        <w:gridCol w:w="2134"/>
        <w:gridCol w:w="2134"/>
        <w:gridCol w:w="2524"/>
      </w:tblGrid>
      <w:tr w14:paraId="67B928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71e874b79d5946dfbee802d1ebcf10a8"/>
            <w:id w:val="-99719773"/>
          </w:sdtPr>
          <w:sdtContent>
            <w:tc>
              <w:tcPr>
                <w:tcW w:w="8926" w:type="dxa"/>
                <w:gridSpan w:val="4"/>
                <w:tcBorders>
                  <w:top w:val="single" w:color="auto" w:sz="4" w:space="0"/>
                  <w:bottom w:val="single" w:color="auto" w:sz="4" w:space="0"/>
                </w:tcBorders>
                <w:vAlign w:val="center"/>
              </w:tcPr>
              <w:p w14:paraId="32E04578">
                <w:pPr>
                  <w:kinsoku w:val="0"/>
                  <w:overflowPunct w:val="0"/>
                  <w:autoSpaceDE w:val="0"/>
                  <w:autoSpaceDN w:val="0"/>
                  <w:adjustRightInd w:val="0"/>
                  <w:snapToGrid w:val="0"/>
                  <w:spacing w:line="360" w:lineRule="auto"/>
                  <w:jc w:val="center"/>
                  <w:rPr>
                    <w:rFonts w:ascii="Calibri" w:hAnsi="Calibri"/>
                    <w:sz w:val="20"/>
                    <w:szCs w:val="20"/>
                  </w:rPr>
                </w:pPr>
                <w:r>
                  <w:rPr>
                    <w:rFonts w:hint="eastAsia" w:ascii="Calibri" w:hAnsi="Calibri"/>
                    <w:sz w:val="20"/>
                    <w:szCs w:val="20"/>
                  </w:rPr>
                  <w:t>公司股票简况</w:t>
                </w:r>
              </w:p>
            </w:tc>
          </w:sdtContent>
        </w:sdt>
      </w:tr>
      <w:tr w14:paraId="064A95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8c7d8e96d5f4491aa9e7c3c601503603"/>
            <w:id w:val="1985270796"/>
          </w:sdtPr>
          <w:sdtContent>
            <w:tc>
              <w:tcPr>
                <w:tcW w:w="2134" w:type="dxa"/>
                <w:tcBorders>
                  <w:top w:val="single" w:color="auto" w:sz="4" w:space="0"/>
                  <w:bottom w:val="single" w:color="auto" w:sz="4" w:space="0"/>
                  <w:right w:val="single" w:color="auto" w:sz="4" w:space="0"/>
                </w:tcBorders>
                <w:vAlign w:val="center"/>
              </w:tcPr>
              <w:p w14:paraId="0FF695A7">
                <w:pPr>
                  <w:kinsoku w:val="0"/>
                  <w:overflowPunct w:val="0"/>
                  <w:autoSpaceDE w:val="0"/>
                  <w:autoSpaceDN w:val="0"/>
                  <w:adjustRightInd w:val="0"/>
                  <w:snapToGrid w:val="0"/>
                  <w:spacing w:line="360" w:lineRule="auto"/>
                  <w:jc w:val="center"/>
                  <w:rPr>
                    <w:rFonts w:ascii="Calibri" w:hAnsi="Calibri"/>
                    <w:sz w:val="20"/>
                    <w:szCs w:val="20"/>
                  </w:rPr>
                </w:pPr>
                <w:r>
                  <w:rPr>
                    <w:rFonts w:hint="eastAsia" w:ascii="Calibri" w:hAnsi="Calibri"/>
                    <w:sz w:val="20"/>
                    <w:szCs w:val="20"/>
                  </w:rPr>
                  <w:t>股票种类</w:t>
                </w:r>
              </w:p>
            </w:tc>
          </w:sdtContent>
        </w:sdt>
        <w:sdt>
          <w:sdtPr>
            <w:tag w:val="_PLD_b56a72f5279041b38925f5228f2089f6"/>
            <w:id w:val="829491849"/>
          </w:sdtPr>
          <w:sdtContent>
            <w:tc>
              <w:tcPr>
                <w:tcW w:w="2134" w:type="dxa"/>
                <w:tcBorders>
                  <w:top w:val="single" w:color="auto" w:sz="4" w:space="0"/>
                  <w:left w:val="single" w:color="auto" w:sz="4" w:space="0"/>
                  <w:bottom w:val="single" w:color="auto" w:sz="4" w:space="0"/>
                  <w:right w:val="single" w:color="auto" w:sz="4" w:space="0"/>
                </w:tcBorders>
                <w:vAlign w:val="center"/>
              </w:tcPr>
              <w:p w14:paraId="2999CA9F">
                <w:pPr>
                  <w:kinsoku w:val="0"/>
                  <w:overflowPunct w:val="0"/>
                  <w:autoSpaceDE w:val="0"/>
                  <w:autoSpaceDN w:val="0"/>
                  <w:adjustRightInd w:val="0"/>
                  <w:snapToGrid w:val="0"/>
                  <w:spacing w:line="360" w:lineRule="auto"/>
                  <w:jc w:val="center"/>
                  <w:rPr>
                    <w:rFonts w:ascii="Calibri" w:hAnsi="Calibri"/>
                    <w:sz w:val="20"/>
                    <w:szCs w:val="20"/>
                  </w:rPr>
                </w:pPr>
                <w:r>
                  <w:rPr>
                    <w:rFonts w:hint="eastAsia" w:ascii="Calibri" w:hAnsi="Calibri"/>
                    <w:sz w:val="20"/>
                    <w:szCs w:val="20"/>
                  </w:rPr>
                  <w:t>股票上市交易所</w:t>
                </w:r>
              </w:p>
            </w:tc>
          </w:sdtContent>
        </w:sdt>
        <w:sdt>
          <w:sdtPr>
            <w:tag w:val="_PLD_6dd4e584e21c4367b3dfe6f7f5c64696"/>
            <w:id w:val="1931627758"/>
          </w:sdtPr>
          <w:sdtContent>
            <w:tc>
              <w:tcPr>
                <w:tcW w:w="2134" w:type="dxa"/>
                <w:tcBorders>
                  <w:top w:val="single" w:color="auto" w:sz="4" w:space="0"/>
                  <w:left w:val="single" w:color="auto" w:sz="4" w:space="0"/>
                  <w:bottom w:val="single" w:color="auto" w:sz="4" w:space="0"/>
                  <w:right w:val="single" w:color="auto" w:sz="4" w:space="0"/>
                </w:tcBorders>
                <w:vAlign w:val="center"/>
              </w:tcPr>
              <w:p w14:paraId="6B7DF9AC">
                <w:pPr>
                  <w:kinsoku w:val="0"/>
                  <w:overflowPunct w:val="0"/>
                  <w:autoSpaceDE w:val="0"/>
                  <w:autoSpaceDN w:val="0"/>
                  <w:adjustRightInd w:val="0"/>
                  <w:snapToGrid w:val="0"/>
                  <w:spacing w:line="360" w:lineRule="auto"/>
                  <w:jc w:val="center"/>
                  <w:rPr>
                    <w:rFonts w:ascii="Calibri" w:hAnsi="Calibri"/>
                    <w:sz w:val="20"/>
                    <w:szCs w:val="20"/>
                  </w:rPr>
                </w:pPr>
                <w:r>
                  <w:rPr>
                    <w:rFonts w:hint="eastAsia" w:ascii="Calibri" w:hAnsi="Calibri"/>
                    <w:sz w:val="20"/>
                    <w:szCs w:val="20"/>
                  </w:rPr>
                  <w:t>股票简称</w:t>
                </w:r>
              </w:p>
            </w:tc>
          </w:sdtContent>
        </w:sdt>
        <w:sdt>
          <w:sdtPr>
            <w:tag w:val="_PLD_e6f819a9bdc4409c94aa103da8c19dc3"/>
            <w:id w:val="-1660216344"/>
          </w:sdtPr>
          <w:sdtContent>
            <w:tc>
              <w:tcPr>
                <w:tcW w:w="2524" w:type="dxa"/>
                <w:tcBorders>
                  <w:top w:val="single" w:color="auto" w:sz="4" w:space="0"/>
                  <w:left w:val="single" w:color="auto" w:sz="4" w:space="0"/>
                  <w:bottom w:val="single" w:color="auto" w:sz="4" w:space="0"/>
                  <w:right w:val="single" w:color="auto" w:sz="4" w:space="0"/>
                </w:tcBorders>
                <w:vAlign w:val="center"/>
              </w:tcPr>
              <w:p w14:paraId="01F5F77F">
                <w:pPr>
                  <w:kinsoku w:val="0"/>
                  <w:overflowPunct w:val="0"/>
                  <w:autoSpaceDE w:val="0"/>
                  <w:autoSpaceDN w:val="0"/>
                  <w:adjustRightInd w:val="0"/>
                  <w:snapToGrid w:val="0"/>
                  <w:spacing w:line="360" w:lineRule="auto"/>
                  <w:jc w:val="center"/>
                  <w:rPr>
                    <w:rFonts w:ascii="Calibri" w:hAnsi="Calibri"/>
                    <w:sz w:val="20"/>
                    <w:szCs w:val="20"/>
                  </w:rPr>
                </w:pPr>
                <w:r>
                  <w:rPr>
                    <w:rFonts w:hint="eastAsia" w:ascii="Calibri" w:hAnsi="Calibri"/>
                    <w:sz w:val="20"/>
                    <w:szCs w:val="20"/>
                  </w:rPr>
                  <w:t>股票代码</w:t>
                </w:r>
              </w:p>
            </w:tc>
          </w:sdtContent>
        </w:sdt>
      </w:tr>
      <w:tr w14:paraId="5C0728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34" w:type="dxa"/>
            <w:tcBorders>
              <w:top w:val="single" w:color="auto" w:sz="4" w:space="0"/>
              <w:bottom w:val="single" w:color="auto" w:sz="4" w:space="0"/>
              <w:right w:val="single" w:color="auto" w:sz="4" w:space="0"/>
            </w:tcBorders>
            <w:vAlign w:val="center"/>
          </w:tcPr>
          <w:p w14:paraId="0F1CF757">
            <w:pPr>
              <w:kinsoku w:val="0"/>
              <w:overflowPunct w:val="0"/>
              <w:autoSpaceDE w:val="0"/>
              <w:autoSpaceDN w:val="0"/>
              <w:adjustRightInd w:val="0"/>
              <w:snapToGrid w:val="0"/>
              <w:spacing w:line="360" w:lineRule="auto"/>
              <w:jc w:val="center"/>
              <w:rPr>
                <w:rFonts w:ascii="Calibri" w:hAnsi="Calibri"/>
                <w:sz w:val="20"/>
                <w:szCs w:val="20"/>
              </w:rPr>
            </w:pPr>
            <w:r>
              <w:rPr>
                <w:rFonts w:ascii="Calibri" w:hAnsi="Calibri"/>
                <w:sz w:val="20"/>
                <w:szCs w:val="20"/>
              </w:rPr>
              <w:t>A股</w:t>
            </w:r>
          </w:p>
        </w:tc>
        <w:tc>
          <w:tcPr>
            <w:tcW w:w="2134" w:type="dxa"/>
            <w:tcBorders>
              <w:top w:val="single" w:color="auto" w:sz="4" w:space="0"/>
              <w:left w:val="single" w:color="auto" w:sz="4" w:space="0"/>
              <w:bottom w:val="single" w:color="auto" w:sz="4" w:space="0"/>
              <w:right w:val="single" w:color="auto" w:sz="4" w:space="0"/>
            </w:tcBorders>
            <w:vAlign w:val="center"/>
          </w:tcPr>
          <w:p w14:paraId="482DE516">
            <w:pPr>
              <w:kinsoku w:val="0"/>
              <w:overflowPunct w:val="0"/>
              <w:autoSpaceDE w:val="0"/>
              <w:autoSpaceDN w:val="0"/>
              <w:adjustRightInd w:val="0"/>
              <w:snapToGrid w:val="0"/>
              <w:spacing w:line="360" w:lineRule="auto"/>
              <w:jc w:val="center"/>
              <w:rPr>
                <w:rFonts w:ascii="Calibri" w:hAnsi="Calibri"/>
                <w:sz w:val="20"/>
                <w:szCs w:val="20"/>
              </w:rPr>
            </w:pPr>
            <w:r>
              <w:rPr>
                <w:rFonts w:ascii="Calibri" w:hAnsi="Calibri"/>
                <w:sz w:val="20"/>
                <w:szCs w:val="20"/>
              </w:rPr>
              <w:t>上海证券交易所</w:t>
            </w:r>
          </w:p>
        </w:tc>
        <w:tc>
          <w:tcPr>
            <w:tcW w:w="2134" w:type="dxa"/>
            <w:tcBorders>
              <w:top w:val="single" w:color="auto" w:sz="4" w:space="0"/>
              <w:left w:val="single" w:color="auto" w:sz="4" w:space="0"/>
              <w:bottom w:val="single" w:color="auto" w:sz="4" w:space="0"/>
              <w:right w:val="single" w:color="auto" w:sz="4" w:space="0"/>
            </w:tcBorders>
            <w:vAlign w:val="center"/>
          </w:tcPr>
          <w:p w14:paraId="2D5F0BC9">
            <w:pPr>
              <w:kinsoku w:val="0"/>
              <w:overflowPunct w:val="0"/>
              <w:autoSpaceDE w:val="0"/>
              <w:autoSpaceDN w:val="0"/>
              <w:adjustRightInd w:val="0"/>
              <w:snapToGrid w:val="0"/>
              <w:spacing w:line="360" w:lineRule="auto"/>
              <w:jc w:val="center"/>
              <w:rPr>
                <w:rFonts w:ascii="Calibri" w:hAnsi="Calibri"/>
                <w:sz w:val="20"/>
                <w:szCs w:val="20"/>
              </w:rPr>
            </w:pPr>
            <w:r>
              <w:rPr>
                <w:rFonts w:ascii="Calibri" w:hAnsi="Calibri"/>
                <w:sz w:val="20"/>
                <w:szCs w:val="20"/>
              </w:rPr>
              <w:t>通化东宝</w:t>
            </w:r>
          </w:p>
        </w:tc>
        <w:tc>
          <w:tcPr>
            <w:tcW w:w="2524" w:type="dxa"/>
            <w:tcBorders>
              <w:top w:val="single" w:color="auto" w:sz="4" w:space="0"/>
              <w:left w:val="single" w:color="auto" w:sz="4" w:space="0"/>
              <w:bottom w:val="single" w:color="auto" w:sz="4" w:space="0"/>
              <w:right w:val="single" w:color="auto" w:sz="4" w:space="0"/>
            </w:tcBorders>
            <w:vAlign w:val="center"/>
          </w:tcPr>
          <w:p w14:paraId="0DCF8211">
            <w:pPr>
              <w:kinsoku w:val="0"/>
              <w:overflowPunct w:val="0"/>
              <w:autoSpaceDE w:val="0"/>
              <w:autoSpaceDN w:val="0"/>
              <w:adjustRightInd w:val="0"/>
              <w:snapToGrid w:val="0"/>
              <w:spacing w:line="360" w:lineRule="auto"/>
              <w:jc w:val="center"/>
              <w:rPr>
                <w:rFonts w:ascii="Calibri" w:hAnsi="Calibri"/>
                <w:sz w:val="20"/>
                <w:szCs w:val="20"/>
              </w:rPr>
            </w:pPr>
            <w:r>
              <w:rPr>
                <w:rFonts w:ascii="Calibri" w:hAnsi="Calibri"/>
                <w:sz w:val="20"/>
                <w:szCs w:val="20"/>
              </w:rPr>
              <w:t>600867</w:t>
            </w:r>
          </w:p>
        </w:tc>
      </w:tr>
    </w:tbl>
    <w:p w14:paraId="22147023">
      <w:pPr>
        <w:pStyle w:val="48"/>
      </w:pPr>
    </w:p>
    <w:p w14:paraId="1C31EF4A">
      <w:pPr>
        <w:pStyle w:val="3"/>
        <w:numPr>
          <w:ilvl w:val="1"/>
          <w:numId w:val="4"/>
        </w:numPr>
        <w:ind w:left="498" w:hanging="498" w:hangingChars="236"/>
        <w:rPr>
          <w:u w:val="single"/>
        </w:rPr>
      </w:pPr>
      <w:r>
        <w:rPr>
          <w:rFonts w:hint="eastAsia"/>
        </w:rPr>
        <w:t>其他相关资料</w:t>
      </w:r>
    </w:p>
    <w:tbl>
      <w:tblPr>
        <w:tblStyle w:val="20"/>
        <w:tblW w:w="9335"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0"/>
        <w:gridCol w:w="1793"/>
        <w:gridCol w:w="4262"/>
      </w:tblGrid>
      <w:tr w14:paraId="12E2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tag w:val="_PLD_e6bf57c678134e2ab9f21f313ee3de3c"/>
            <w:id w:val="-524561154"/>
          </w:sdtPr>
          <w:sdtContent>
            <w:tc>
              <w:tcPr>
                <w:tcW w:w="3280" w:type="dxa"/>
                <w:vMerge w:val="restart"/>
                <w:vAlign w:val="center"/>
              </w:tcPr>
              <w:p w14:paraId="3AD1EB16">
                <w:pPr>
                  <w:pStyle w:val="48"/>
                </w:pPr>
                <w:r>
                  <w:rPr>
                    <w:rFonts w:hint="eastAsia"/>
                  </w:rPr>
                  <w:t>公司聘请的会计师事务所（境内）</w:t>
                </w:r>
              </w:p>
            </w:tc>
          </w:sdtContent>
        </w:sdt>
        <w:sdt>
          <w:sdtPr>
            <w:tag w:val="_PLD_8ca47cc04c324c599365d04f46dbfb0f"/>
            <w:id w:val="2141763995"/>
          </w:sdtPr>
          <w:sdtContent>
            <w:tc>
              <w:tcPr>
                <w:tcW w:w="1793" w:type="dxa"/>
                <w:vAlign w:val="center"/>
              </w:tcPr>
              <w:p w14:paraId="1B310F48">
                <w:pPr>
                  <w:widowControl w:val="0"/>
                  <w:spacing w:line="360" w:lineRule="auto"/>
                  <w:jc w:val="both"/>
                </w:pPr>
                <w:r>
                  <w:rPr>
                    <w:rFonts w:hint="eastAsia"/>
                  </w:rPr>
                  <w:t>名称</w:t>
                </w:r>
              </w:p>
            </w:tc>
          </w:sdtContent>
        </w:sdt>
        <w:sdt>
          <w:sdtPr>
            <w:rPr>
              <w:rFonts w:hint="eastAsia"/>
            </w:rPr>
            <w:alias w:val="公司聘请的境内会计师事务所明细-名称"/>
            <w:tag w:val="_GBC_5e101497eaf44ba79cb610647f4aa3d5"/>
            <w:id w:val="-661542072"/>
          </w:sdtPr>
          <w:sdtEndPr>
            <w:rPr>
              <w:rFonts w:hint="eastAsia"/>
            </w:rPr>
          </w:sdtEndPr>
          <w:sdtContent>
            <w:tc>
              <w:tcPr>
                <w:tcW w:w="4262" w:type="dxa"/>
                <w:vAlign w:val="center"/>
              </w:tcPr>
              <w:p w14:paraId="7D0A6F15">
                <w:pPr>
                  <w:widowControl w:val="0"/>
                  <w:spacing w:line="360" w:lineRule="auto"/>
                  <w:jc w:val="both"/>
                </w:pPr>
                <w:r>
                  <w:rPr>
                    <w:rFonts w:hint="eastAsia"/>
                  </w:rPr>
                  <w:t>大信会计师事务所（特殊普通合伙）</w:t>
                </w:r>
              </w:p>
            </w:tc>
          </w:sdtContent>
        </w:sdt>
      </w:tr>
      <w:tr w14:paraId="6BA9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80" w:type="dxa"/>
            <w:vMerge w:val="continue"/>
            <w:vAlign w:val="center"/>
          </w:tcPr>
          <w:p w14:paraId="5163E960">
            <w:pPr>
              <w:pStyle w:val="48"/>
            </w:pPr>
          </w:p>
        </w:tc>
        <w:tc>
          <w:tcPr>
            <w:tcW w:w="1793" w:type="dxa"/>
            <w:vAlign w:val="center"/>
          </w:tcPr>
          <w:p w14:paraId="64016248">
            <w:pPr>
              <w:widowControl w:val="0"/>
              <w:spacing w:line="360" w:lineRule="auto"/>
              <w:jc w:val="both"/>
            </w:pPr>
            <w:r>
              <w:rPr>
                <w:rFonts w:hint="eastAsia"/>
              </w:rPr>
              <w:t>办公地址</w:t>
            </w:r>
          </w:p>
        </w:tc>
        <w:tc>
          <w:tcPr>
            <w:tcW w:w="4262" w:type="dxa"/>
            <w:vAlign w:val="center"/>
          </w:tcPr>
          <w:p w14:paraId="563323A1">
            <w:pPr>
              <w:widowControl w:val="0"/>
              <w:spacing w:line="360" w:lineRule="auto"/>
              <w:jc w:val="both"/>
            </w:pPr>
            <w:r>
              <w:rPr>
                <w:rFonts w:hint="eastAsia"/>
              </w:rPr>
              <w:t>北京市海淀区知春路1号22层2206</w:t>
            </w:r>
          </w:p>
        </w:tc>
      </w:tr>
      <w:tr w14:paraId="626E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3280" w:type="dxa"/>
            <w:vMerge w:val="continue"/>
            <w:vAlign w:val="center"/>
          </w:tcPr>
          <w:p w14:paraId="59AA19B2">
            <w:pPr>
              <w:pStyle w:val="48"/>
            </w:pPr>
          </w:p>
        </w:tc>
        <w:tc>
          <w:tcPr>
            <w:tcW w:w="1793" w:type="dxa"/>
            <w:vAlign w:val="center"/>
          </w:tcPr>
          <w:p w14:paraId="14DCFD3C">
            <w:pPr>
              <w:widowControl w:val="0"/>
              <w:spacing w:line="360" w:lineRule="auto"/>
              <w:jc w:val="both"/>
            </w:pPr>
            <w:r>
              <w:rPr>
                <w:rFonts w:hint="eastAsia"/>
              </w:rPr>
              <w:t>签字会计师姓名</w:t>
            </w:r>
          </w:p>
        </w:tc>
        <w:tc>
          <w:tcPr>
            <w:tcW w:w="4262" w:type="dxa"/>
            <w:vAlign w:val="center"/>
          </w:tcPr>
          <w:p w14:paraId="279578A1">
            <w:pPr>
              <w:widowControl w:val="0"/>
              <w:spacing w:line="360" w:lineRule="auto"/>
              <w:jc w:val="both"/>
            </w:pPr>
            <w:r>
              <w:rPr>
                <w:rFonts w:hint="eastAsia"/>
              </w:rPr>
              <w:t>王树奇、张忠伟</w:t>
            </w:r>
          </w:p>
        </w:tc>
      </w:tr>
    </w:tbl>
    <w:p w14:paraId="45C9E9CA">
      <w:pPr>
        <w:pStyle w:val="48"/>
      </w:pPr>
    </w:p>
    <w:p w14:paraId="092DBF87">
      <w:pPr>
        <w:pStyle w:val="3"/>
        <w:numPr>
          <w:ilvl w:val="1"/>
          <w:numId w:val="4"/>
        </w:numPr>
        <w:ind w:left="498" w:hanging="498" w:hangingChars="236"/>
        <w:rPr>
          <w:u w:val="single"/>
        </w:rPr>
      </w:pPr>
      <w:bookmarkStart w:id="23" w:name="_Toc342565889"/>
      <w:bookmarkStart w:id="24" w:name="_Toc342056397"/>
      <w:r>
        <w:rPr>
          <w:rFonts w:hint="eastAsia"/>
        </w:rPr>
        <w:t>近三年主要会计数据和财务指标</w:t>
      </w:r>
      <w:bookmarkEnd w:id="23"/>
      <w:bookmarkEnd w:id="24"/>
    </w:p>
    <w:p w14:paraId="335B90E3">
      <w:pPr>
        <w:pStyle w:val="4"/>
        <w:numPr>
          <w:ilvl w:val="1"/>
          <w:numId w:val="5"/>
        </w:numPr>
      </w:pPr>
      <w:r>
        <w:rPr>
          <w:rFonts w:hint="eastAsia"/>
        </w:rPr>
        <w:t>主要会计数据</w:t>
      </w:r>
    </w:p>
    <w:p w14:paraId="42CE065B">
      <w:pPr>
        <w:jc w:val="right"/>
      </w:pPr>
      <w:r>
        <w:rPr>
          <w:rFonts w:hint="eastAsia"/>
        </w:rPr>
        <w:t>单位：</w:t>
      </w:r>
      <w:sdt>
        <w:sdtPr>
          <w:rPr>
            <w:rFonts w:hint="eastAsia"/>
          </w:rPr>
          <w:alias w:val="单位：报告期末公司前三年主要会计数据和财务指标"/>
          <w:tag w:val="_GBC_831bf622af014dd988d7abf34a230ded"/>
          <w:id w:val="12316584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报告期末公司前三年主要会计数据和财务指标"/>
          <w:tag w:val="_GBC_966177366f0d4256ae6aac54dd779761"/>
          <w:id w:val="-12801775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20"/>
        <w:tblW w:w="10349"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843"/>
        <w:gridCol w:w="1701"/>
        <w:gridCol w:w="1842"/>
        <w:gridCol w:w="1418"/>
        <w:gridCol w:w="1701"/>
      </w:tblGrid>
      <w:tr w14:paraId="493E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sdt>
          <w:sdtPr>
            <w:tag w:val="_PLD_f2865f336c964ecfbe3990ad2909f018"/>
            <w:id w:val="-475759003"/>
          </w:sdtPr>
          <w:sdtContent>
            <w:tc>
              <w:tcPr>
                <w:tcW w:w="1844" w:type="dxa"/>
                <w:vMerge w:val="restart"/>
                <w:vAlign w:val="center"/>
              </w:tcPr>
              <w:p w14:paraId="7D832A6D">
                <w:pPr>
                  <w:widowControl w:val="0"/>
                  <w:kinsoku w:val="0"/>
                  <w:overflowPunct w:val="0"/>
                  <w:autoSpaceDE w:val="0"/>
                  <w:autoSpaceDN w:val="0"/>
                  <w:adjustRightInd w:val="0"/>
                  <w:snapToGrid w:val="0"/>
                  <w:jc w:val="center"/>
                </w:pPr>
                <w:bookmarkStart w:id="25" w:name="_Hlk61879976"/>
                <w:bookmarkEnd w:id="25"/>
                <w:r>
                  <w:rPr>
                    <w:rFonts w:hint="eastAsia"/>
                  </w:rPr>
                  <w:t>主要会计数据</w:t>
                </w:r>
              </w:p>
            </w:tc>
          </w:sdtContent>
        </w:sdt>
        <w:sdt>
          <w:sdtPr>
            <w:tag w:val="_PLD_ef420d4b863240bb8f4e82deb040a172"/>
            <w:id w:val="1386674446"/>
          </w:sdtPr>
          <w:sdtContent>
            <w:tc>
              <w:tcPr>
                <w:tcW w:w="1843" w:type="dxa"/>
                <w:vMerge w:val="restart"/>
                <w:vAlign w:val="center"/>
              </w:tcPr>
              <w:p w14:paraId="65D03C79">
                <w:pPr>
                  <w:widowControl w:val="0"/>
                  <w:kinsoku w:val="0"/>
                  <w:overflowPunct w:val="0"/>
                  <w:autoSpaceDE w:val="0"/>
                  <w:autoSpaceDN w:val="0"/>
                  <w:adjustRightInd w:val="0"/>
                  <w:snapToGrid w:val="0"/>
                  <w:jc w:val="center"/>
                </w:pPr>
                <w:r>
                  <w:rPr>
                    <w:rFonts w:hint="eastAsia"/>
                  </w:rPr>
                  <w:t>2025年</w:t>
                </w:r>
              </w:p>
            </w:tc>
          </w:sdtContent>
        </w:sdt>
        <w:sdt>
          <w:sdtPr>
            <w:tag w:val="_PLD_913caae39f3a4fa29202dd6c71d0df21"/>
            <w:id w:val="-19626387"/>
          </w:sdtPr>
          <w:sdtContent>
            <w:tc>
              <w:tcPr>
                <w:tcW w:w="3543" w:type="dxa"/>
                <w:gridSpan w:val="2"/>
                <w:vAlign w:val="center"/>
              </w:tcPr>
              <w:p w14:paraId="778F372A">
                <w:pPr>
                  <w:widowControl w:val="0"/>
                  <w:kinsoku w:val="0"/>
                  <w:overflowPunct w:val="0"/>
                  <w:autoSpaceDE w:val="0"/>
                  <w:autoSpaceDN w:val="0"/>
                  <w:adjustRightInd w:val="0"/>
                  <w:snapToGrid w:val="0"/>
                  <w:jc w:val="center"/>
                </w:pPr>
                <w:r>
                  <w:rPr>
                    <w:rFonts w:hint="eastAsia"/>
                  </w:rPr>
                  <w:t>2024年</w:t>
                </w:r>
              </w:p>
            </w:tc>
          </w:sdtContent>
        </w:sdt>
        <w:sdt>
          <w:sdtPr>
            <w:tag w:val="_PLD_954d72c94f3143339a9aca944e196ee0"/>
            <w:id w:val="1589958416"/>
          </w:sdtPr>
          <w:sdtContent>
            <w:tc>
              <w:tcPr>
                <w:tcW w:w="1418" w:type="dxa"/>
                <w:vMerge w:val="restart"/>
                <w:vAlign w:val="center"/>
              </w:tcPr>
              <w:p w14:paraId="7A2813C5">
                <w:pPr>
                  <w:widowControl w:val="0"/>
                  <w:kinsoku w:val="0"/>
                  <w:overflowPunct w:val="0"/>
                  <w:autoSpaceDE w:val="0"/>
                  <w:autoSpaceDN w:val="0"/>
                  <w:adjustRightInd w:val="0"/>
                  <w:snapToGrid w:val="0"/>
                  <w:jc w:val="center"/>
                </w:pPr>
                <w:r>
                  <w:rPr>
                    <w:rFonts w:hint="eastAsia"/>
                  </w:rPr>
                  <w:t>本期比上年同期增减</w:t>
                </w:r>
                <w:r>
                  <w:t>(%)</w:t>
                </w:r>
              </w:p>
            </w:tc>
          </w:sdtContent>
        </w:sdt>
        <w:sdt>
          <w:sdtPr>
            <w:tag w:val="_PLD_c2c0c0753b58481c81d2baafa7bd334d"/>
            <w:id w:val="-256213667"/>
          </w:sdtPr>
          <w:sdtContent>
            <w:tc>
              <w:tcPr>
                <w:tcW w:w="1701" w:type="dxa"/>
                <w:vMerge w:val="restart"/>
                <w:vAlign w:val="center"/>
              </w:tcPr>
              <w:p w14:paraId="10C5957C">
                <w:pPr>
                  <w:widowControl w:val="0"/>
                  <w:kinsoku w:val="0"/>
                  <w:overflowPunct w:val="0"/>
                  <w:autoSpaceDE w:val="0"/>
                  <w:autoSpaceDN w:val="0"/>
                  <w:adjustRightInd w:val="0"/>
                  <w:snapToGrid w:val="0"/>
                  <w:jc w:val="center"/>
                </w:pPr>
                <w:r>
                  <w:rPr>
                    <w:rFonts w:hint="eastAsia"/>
                  </w:rPr>
                  <w:t>2023年</w:t>
                </w:r>
              </w:p>
            </w:tc>
          </w:sdtContent>
        </w:sdt>
      </w:tr>
      <w:tr w14:paraId="0FB3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844" w:type="dxa"/>
            <w:vMerge w:val="continue"/>
            <w:vAlign w:val="center"/>
          </w:tcPr>
          <w:p w14:paraId="22CBB18E">
            <w:pPr>
              <w:widowControl w:val="0"/>
              <w:kinsoku w:val="0"/>
              <w:overflowPunct w:val="0"/>
              <w:autoSpaceDE w:val="0"/>
              <w:autoSpaceDN w:val="0"/>
              <w:adjustRightInd w:val="0"/>
              <w:snapToGrid w:val="0"/>
              <w:jc w:val="both"/>
            </w:pPr>
          </w:p>
        </w:tc>
        <w:tc>
          <w:tcPr>
            <w:tcW w:w="1843" w:type="dxa"/>
            <w:vMerge w:val="continue"/>
            <w:vAlign w:val="center"/>
          </w:tcPr>
          <w:p w14:paraId="534AD262">
            <w:pPr>
              <w:widowControl w:val="0"/>
              <w:kinsoku w:val="0"/>
              <w:overflowPunct w:val="0"/>
              <w:autoSpaceDE w:val="0"/>
              <w:autoSpaceDN w:val="0"/>
              <w:adjustRightInd w:val="0"/>
              <w:snapToGrid w:val="0"/>
              <w:jc w:val="both"/>
            </w:pPr>
          </w:p>
        </w:tc>
        <w:sdt>
          <w:sdtPr>
            <w:tag w:val="_PLD_6ecfafc3ddcb4e17b1bd5ef03db9068b"/>
            <w:id w:val="-1260603269"/>
          </w:sdtPr>
          <w:sdtContent>
            <w:tc>
              <w:tcPr>
                <w:tcW w:w="1701" w:type="dxa"/>
                <w:vAlign w:val="center"/>
              </w:tcPr>
              <w:p w14:paraId="4065BC53">
                <w:pPr>
                  <w:widowControl w:val="0"/>
                  <w:kinsoku w:val="0"/>
                  <w:overflowPunct w:val="0"/>
                  <w:autoSpaceDE w:val="0"/>
                  <w:autoSpaceDN w:val="0"/>
                  <w:adjustRightInd w:val="0"/>
                  <w:snapToGrid w:val="0"/>
                  <w:jc w:val="center"/>
                </w:pPr>
                <w:r>
                  <w:rPr>
                    <w:rFonts w:hint="eastAsia"/>
                  </w:rPr>
                  <w:t>调整后</w:t>
                </w:r>
              </w:p>
            </w:tc>
          </w:sdtContent>
        </w:sdt>
        <w:sdt>
          <w:sdtPr>
            <w:tag w:val="_PLD_a5264459dd3f4fd69060341ca6c3753d"/>
            <w:id w:val="-1496723533"/>
          </w:sdtPr>
          <w:sdtContent>
            <w:tc>
              <w:tcPr>
                <w:tcW w:w="1842" w:type="dxa"/>
                <w:vAlign w:val="center"/>
              </w:tcPr>
              <w:p w14:paraId="6CB4E642">
                <w:pPr>
                  <w:widowControl w:val="0"/>
                  <w:kinsoku w:val="0"/>
                  <w:overflowPunct w:val="0"/>
                  <w:autoSpaceDE w:val="0"/>
                  <w:autoSpaceDN w:val="0"/>
                  <w:adjustRightInd w:val="0"/>
                  <w:snapToGrid w:val="0"/>
                  <w:jc w:val="center"/>
                </w:pPr>
                <w:r>
                  <w:rPr>
                    <w:rFonts w:hint="eastAsia"/>
                  </w:rPr>
                  <w:t>调整前</w:t>
                </w:r>
              </w:p>
            </w:tc>
          </w:sdtContent>
        </w:sdt>
        <w:tc>
          <w:tcPr>
            <w:tcW w:w="1418" w:type="dxa"/>
            <w:vMerge w:val="continue"/>
            <w:vAlign w:val="center"/>
          </w:tcPr>
          <w:p w14:paraId="795D3AC6">
            <w:pPr>
              <w:widowControl w:val="0"/>
              <w:kinsoku w:val="0"/>
              <w:overflowPunct w:val="0"/>
              <w:autoSpaceDE w:val="0"/>
              <w:autoSpaceDN w:val="0"/>
              <w:adjustRightInd w:val="0"/>
              <w:snapToGrid w:val="0"/>
              <w:jc w:val="both"/>
            </w:pPr>
          </w:p>
        </w:tc>
        <w:tc>
          <w:tcPr>
            <w:tcW w:w="1701" w:type="dxa"/>
            <w:vMerge w:val="continue"/>
            <w:vAlign w:val="center"/>
          </w:tcPr>
          <w:p w14:paraId="7E58CB3C">
            <w:pPr>
              <w:widowControl w:val="0"/>
              <w:kinsoku w:val="0"/>
              <w:overflowPunct w:val="0"/>
              <w:autoSpaceDE w:val="0"/>
              <w:autoSpaceDN w:val="0"/>
              <w:adjustRightInd w:val="0"/>
              <w:snapToGrid w:val="0"/>
              <w:jc w:val="both"/>
            </w:pPr>
          </w:p>
        </w:tc>
      </w:tr>
      <w:tr w14:paraId="03A6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844" w:type="dxa"/>
            <w:vAlign w:val="center"/>
          </w:tcPr>
          <w:p w14:paraId="0479ACF6">
            <w:pPr>
              <w:widowControl w:val="0"/>
              <w:kinsoku w:val="0"/>
              <w:overflowPunct w:val="0"/>
              <w:autoSpaceDE w:val="0"/>
              <w:autoSpaceDN w:val="0"/>
              <w:adjustRightInd w:val="0"/>
              <w:snapToGrid w:val="0"/>
              <w:jc w:val="both"/>
            </w:pPr>
            <w:r>
              <w:rPr>
                <w:rFonts w:hint="eastAsia"/>
              </w:rPr>
              <w:t>营业收入</w:t>
            </w:r>
          </w:p>
        </w:tc>
        <w:tc>
          <w:tcPr>
            <w:tcW w:w="1843" w:type="dxa"/>
            <w:vAlign w:val="center"/>
          </w:tcPr>
          <w:p w14:paraId="41D1BE95">
            <w:pPr>
              <w:widowControl w:val="0"/>
              <w:kinsoku w:val="0"/>
              <w:overflowPunct w:val="0"/>
              <w:autoSpaceDE w:val="0"/>
              <w:autoSpaceDN w:val="0"/>
              <w:adjustRightInd w:val="0"/>
              <w:snapToGrid w:val="0"/>
              <w:jc w:val="right"/>
            </w:pPr>
            <w:r>
              <w:rPr>
                <w:rFonts w:hint="eastAsia"/>
              </w:rPr>
              <w:t>2,947,228,797.15</w:t>
            </w:r>
          </w:p>
        </w:tc>
        <w:tc>
          <w:tcPr>
            <w:tcW w:w="1701" w:type="dxa"/>
            <w:vAlign w:val="center"/>
          </w:tcPr>
          <w:p w14:paraId="01F76803">
            <w:pPr>
              <w:widowControl w:val="0"/>
              <w:kinsoku w:val="0"/>
              <w:overflowPunct w:val="0"/>
              <w:autoSpaceDE w:val="0"/>
              <w:autoSpaceDN w:val="0"/>
              <w:adjustRightInd w:val="0"/>
              <w:snapToGrid w:val="0"/>
              <w:jc w:val="right"/>
            </w:pPr>
            <w:r>
              <w:rPr>
                <w:rFonts w:hint="eastAsia"/>
              </w:rPr>
              <w:t>2,009,601,059.43</w:t>
            </w:r>
          </w:p>
        </w:tc>
        <w:tc>
          <w:tcPr>
            <w:tcW w:w="1842" w:type="dxa"/>
            <w:vAlign w:val="center"/>
          </w:tcPr>
          <w:p w14:paraId="379B54EB">
            <w:pPr>
              <w:widowControl w:val="0"/>
              <w:kinsoku w:val="0"/>
              <w:overflowPunct w:val="0"/>
              <w:autoSpaceDE w:val="0"/>
              <w:autoSpaceDN w:val="0"/>
              <w:adjustRightInd w:val="0"/>
              <w:snapToGrid w:val="0"/>
              <w:jc w:val="right"/>
            </w:pPr>
            <w:r>
              <w:t>2,009,514,604.92</w:t>
            </w:r>
          </w:p>
        </w:tc>
        <w:tc>
          <w:tcPr>
            <w:tcW w:w="1418" w:type="dxa"/>
            <w:vAlign w:val="center"/>
          </w:tcPr>
          <w:p w14:paraId="0A473577">
            <w:pPr>
              <w:widowControl w:val="0"/>
              <w:kinsoku w:val="0"/>
              <w:overflowPunct w:val="0"/>
              <w:autoSpaceDE w:val="0"/>
              <w:autoSpaceDN w:val="0"/>
              <w:adjustRightInd w:val="0"/>
              <w:snapToGrid w:val="0"/>
              <w:jc w:val="right"/>
            </w:pPr>
            <w:r>
              <w:rPr>
                <w:rFonts w:hint="eastAsia"/>
              </w:rPr>
              <w:t>46.66</w:t>
            </w:r>
          </w:p>
        </w:tc>
        <w:tc>
          <w:tcPr>
            <w:tcW w:w="1701" w:type="dxa"/>
            <w:vAlign w:val="center"/>
          </w:tcPr>
          <w:p w14:paraId="790D7448">
            <w:pPr>
              <w:widowControl w:val="0"/>
              <w:kinsoku w:val="0"/>
              <w:overflowPunct w:val="0"/>
              <w:autoSpaceDE w:val="0"/>
              <w:autoSpaceDN w:val="0"/>
              <w:adjustRightInd w:val="0"/>
              <w:snapToGrid w:val="0"/>
              <w:jc w:val="right"/>
            </w:pPr>
            <w:r>
              <w:rPr>
                <w:rFonts w:hint="eastAsia"/>
              </w:rPr>
              <w:t>3,075,416,029.21</w:t>
            </w:r>
          </w:p>
        </w:tc>
      </w:tr>
      <w:tr w14:paraId="222F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844" w:type="dxa"/>
            <w:vAlign w:val="center"/>
          </w:tcPr>
          <w:p w14:paraId="388C8844">
            <w:pPr>
              <w:widowControl w:val="0"/>
              <w:kinsoku w:val="0"/>
              <w:overflowPunct w:val="0"/>
              <w:autoSpaceDE w:val="0"/>
              <w:autoSpaceDN w:val="0"/>
              <w:adjustRightInd w:val="0"/>
              <w:snapToGrid w:val="0"/>
              <w:jc w:val="both"/>
            </w:pPr>
            <w:r>
              <w:rPr>
                <w:rFonts w:hint="eastAsia"/>
              </w:rPr>
              <w:t>利润总额</w:t>
            </w:r>
          </w:p>
        </w:tc>
        <w:tc>
          <w:tcPr>
            <w:tcW w:w="1843" w:type="dxa"/>
            <w:vAlign w:val="center"/>
          </w:tcPr>
          <w:p w14:paraId="4F20E7A7">
            <w:pPr>
              <w:widowControl w:val="0"/>
              <w:kinsoku w:val="0"/>
              <w:overflowPunct w:val="0"/>
              <w:autoSpaceDE w:val="0"/>
              <w:autoSpaceDN w:val="0"/>
              <w:adjustRightInd w:val="0"/>
              <w:snapToGrid w:val="0"/>
              <w:jc w:val="right"/>
            </w:pPr>
            <w:r>
              <w:rPr>
                <w:rFonts w:hint="eastAsia"/>
              </w:rPr>
              <w:t>1,477,252,153.34</w:t>
            </w:r>
          </w:p>
        </w:tc>
        <w:tc>
          <w:tcPr>
            <w:tcW w:w="1701" w:type="dxa"/>
            <w:vAlign w:val="center"/>
          </w:tcPr>
          <w:p w14:paraId="2685B02A">
            <w:pPr>
              <w:widowControl w:val="0"/>
              <w:kinsoku w:val="0"/>
              <w:overflowPunct w:val="0"/>
              <w:autoSpaceDE w:val="0"/>
              <w:autoSpaceDN w:val="0"/>
              <w:adjustRightInd w:val="0"/>
              <w:snapToGrid w:val="0"/>
              <w:jc w:val="right"/>
            </w:pPr>
            <w:r>
              <w:rPr>
                <w:rFonts w:hint="eastAsia"/>
              </w:rPr>
              <w:t>-142,278,747.12</w:t>
            </w:r>
          </w:p>
        </w:tc>
        <w:tc>
          <w:tcPr>
            <w:tcW w:w="1842" w:type="dxa"/>
            <w:vAlign w:val="center"/>
          </w:tcPr>
          <w:p w14:paraId="2F5F34EC">
            <w:pPr>
              <w:widowControl w:val="0"/>
              <w:kinsoku w:val="0"/>
              <w:overflowPunct w:val="0"/>
              <w:autoSpaceDE w:val="0"/>
              <w:autoSpaceDN w:val="0"/>
              <w:adjustRightInd w:val="0"/>
              <w:snapToGrid w:val="0"/>
              <w:jc w:val="right"/>
            </w:pPr>
            <w:r>
              <w:t>-143,753,762.31</w:t>
            </w:r>
          </w:p>
        </w:tc>
        <w:tc>
          <w:tcPr>
            <w:tcW w:w="1418" w:type="dxa"/>
            <w:vAlign w:val="center"/>
          </w:tcPr>
          <w:p w14:paraId="45509844">
            <w:pPr>
              <w:widowControl w:val="0"/>
              <w:kinsoku w:val="0"/>
              <w:overflowPunct w:val="0"/>
              <w:autoSpaceDE w:val="0"/>
              <w:autoSpaceDN w:val="0"/>
              <w:adjustRightInd w:val="0"/>
              <w:snapToGrid w:val="0"/>
              <w:jc w:val="right"/>
            </w:pPr>
            <w:r>
              <w:rPr>
                <w:rFonts w:hint="eastAsia"/>
              </w:rPr>
              <w:t>不适用</w:t>
            </w:r>
          </w:p>
        </w:tc>
        <w:tc>
          <w:tcPr>
            <w:tcW w:w="1701" w:type="dxa"/>
            <w:vAlign w:val="center"/>
          </w:tcPr>
          <w:p w14:paraId="40666B6F">
            <w:pPr>
              <w:widowControl w:val="0"/>
              <w:kinsoku w:val="0"/>
              <w:overflowPunct w:val="0"/>
              <w:autoSpaceDE w:val="0"/>
              <w:autoSpaceDN w:val="0"/>
              <w:adjustRightInd w:val="0"/>
              <w:snapToGrid w:val="0"/>
              <w:jc w:val="right"/>
            </w:pPr>
            <w:r>
              <w:rPr>
                <w:rFonts w:hint="eastAsia"/>
              </w:rPr>
              <w:t>1,365,896,807.39</w:t>
            </w:r>
          </w:p>
        </w:tc>
      </w:tr>
      <w:tr w14:paraId="2E34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844" w:type="dxa"/>
            <w:vAlign w:val="center"/>
          </w:tcPr>
          <w:p w14:paraId="14A5D39F">
            <w:pPr>
              <w:widowControl w:val="0"/>
              <w:kinsoku w:val="0"/>
              <w:overflowPunct w:val="0"/>
              <w:autoSpaceDE w:val="0"/>
              <w:autoSpaceDN w:val="0"/>
              <w:adjustRightInd w:val="0"/>
              <w:snapToGrid w:val="0"/>
              <w:jc w:val="both"/>
            </w:pPr>
            <w:r>
              <w:rPr>
                <w:rFonts w:hint="eastAsia"/>
              </w:rPr>
              <w:t>归属于上市公司股东的净利润</w:t>
            </w:r>
          </w:p>
        </w:tc>
        <w:tc>
          <w:tcPr>
            <w:tcW w:w="1843" w:type="dxa"/>
            <w:vAlign w:val="center"/>
          </w:tcPr>
          <w:p w14:paraId="5576173E">
            <w:pPr>
              <w:widowControl w:val="0"/>
              <w:kinsoku w:val="0"/>
              <w:overflowPunct w:val="0"/>
              <w:autoSpaceDE w:val="0"/>
              <w:autoSpaceDN w:val="0"/>
              <w:adjustRightInd w:val="0"/>
              <w:snapToGrid w:val="0"/>
              <w:jc w:val="right"/>
            </w:pPr>
            <w:r>
              <w:rPr>
                <w:rFonts w:hint="eastAsia"/>
              </w:rPr>
              <w:t>1,219,052,875.25</w:t>
            </w:r>
          </w:p>
        </w:tc>
        <w:tc>
          <w:tcPr>
            <w:tcW w:w="1701" w:type="dxa"/>
            <w:vAlign w:val="center"/>
          </w:tcPr>
          <w:p w14:paraId="2D6E17BB">
            <w:pPr>
              <w:widowControl w:val="0"/>
              <w:kinsoku w:val="0"/>
              <w:overflowPunct w:val="0"/>
              <w:autoSpaceDE w:val="0"/>
              <w:autoSpaceDN w:val="0"/>
              <w:adjustRightInd w:val="0"/>
              <w:snapToGrid w:val="0"/>
              <w:jc w:val="right"/>
            </w:pPr>
            <w:r>
              <w:rPr>
                <w:rFonts w:hint="eastAsia"/>
              </w:rPr>
              <w:t>-41,954,827.09</w:t>
            </w:r>
          </w:p>
        </w:tc>
        <w:tc>
          <w:tcPr>
            <w:tcW w:w="1842" w:type="dxa"/>
            <w:vAlign w:val="center"/>
          </w:tcPr>
          <w:p w14:paraId="62A1522B">
            <w:pPr>
              <w:widowControl w:val="0"/>
              <w:kinsoku w:val="0"/>
              <w:overflowPunct w:val="0"/>
              <w:autoSpaceDE w:val="0"/>
              <w:autoSpaceDN w:val="0"/>
              <w:adjustRightInd w:val="0"/>
              <w:snapToGrid w:val="0"/>
              <w:jc w:val="right"/>
            </w:pPr>
            <w:r>
              <w:t>-42,723,162.30</w:t>
            </w:r>
          </w:p>
        </w:tc>
        <w:tc>
          <w:tcPr>
            <w:tcW w:w="1418" w:type="dxa"/>
            <w:vAlign w:val="center"/>
          </w:tcPr>
          <w:p w14:paraId="1B378EE2">
            <w:pPr>
              <w:widowControl w:val="0"/>
              <w:kinsoku w:val="0"/>
              <w:overflowPunct w:val="0"/>
              <w:autoSpaceDE w:val="0"/>
              <w:autoSpaceDN w:val="0"/>
              <w:adjustRightInd w:val="0"/>
              <w:snapToGrid w:val="0"/>
              <w:jc w:val="right"/>
            </w:pPr>
            <w:r>
              <w:rPr>
                <w:rFonts w:hint="eastAsia"/>
              </w:rPr>
              <w:t>不适用</w:t>
            </w:r>
          </w:p>
        </w:tc>
        <w:tc>
          <w:tcPr>
            <w:tcW w:w="1701" w:type="dxa"/>
            <w:vAlign w:val="center"/>
          </w:tcPr>
          <w:p w14:paraId="432E70CD">
            <w:pPr>
              <w:widowControl w:val="0"/>
              <w:kinsoku w:val="0"/>
              <w:overflowPunct w:val="0"/>
              <w:autoSpaceDE w:val="0"/>
              <w:autoSpaceDN w:val="0"/>
              <w:adjustRightInd w:val="0"/>
              <w:snapToGrid w:val="0"/>
              <w:jc w:val="right"/>
            </w:pPr>
            <w:r>
              <w:rPr>
                <w:rFonts w:hint="eastAsia"/>
              </w:rPr>
              <w:t>1,167,835,317.79</w:t>
            </w:r>
          </w:p>
        </w:tc>
      </w:tr>
      <w:tr w14:paraId="5BAE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844" w:type="dxa"/>
            <w:vAlign w:val="center"/>
          </w:tcPr>
          <w:p w14:paraId="428742C7">
            <w:pPr>
              <w:widowControl w:val="0"/>
              <w:kinsoku w:val="0"/>
              <w:overflowPunct w:val="0"/>
              <w:autoSpaceDE w:val="0"/>
              <w:autoSpaceDN w:val="0"/>
              <w:adjustRightInd w:val="0"/>
              <w:snapToGrid w:val="0"/>
              <w:jc w:val="both"/>
            </w:pPr>
            <w:r>
              <w:rPr>
                <w:rFonts w:hint="eastAsia"/>
              </w:rPr>
              <w:t>归属于上市公司股东的扣除非经常性损益的净利润</w:t>
            </w:r>
          </w:p>
        </w:tc>
        <w:tc>
          <w:tcPr>
            <w:tcW w:w="1843" w:type="dxa"/>
            <w:vAlign w:val="center"/>
          </w:tcPr>
          <w:p w14:paraId="7E0C0DC6">
            <w:pPr>
              <w:widowControl w:val="0"/>
              <w:kinsoku w:val="0"/>
              <w:overflowPunct w:val="0"/>
              <w:autoSpaceDE w:val="0"/>
              <w:autoSpaceDN w:val="0"/>
              <w:adjustRightInd w:val="0"/>
              <w:snapToGrid w:val="0"/>
              <w:jc w:val="right"/>
            </w:pPr>
            <w:r>
              <w:rPr>
                <w:rFonts w:hint="eastAsia"/>
              </w:rPr>
              <w:t>374,958,312.39</w:t>
            </w:r>
          </w:p>
        </w:tc>
        <w:tc>
          <w:tcPr>
            <w:tcW w:w="1701" w:type="dxa"/>
            <w:vAlign w:val="center"/>
          </w:tcPr>
          <w:p w14:paraId="5B32666B">
            <w:pPr>
              <w:widowControl w:val="0"/>
              <w:kinsoku w:val="0"/>
              <w:overflowPunct w:val="0"/>
              <w:autoSpaceDE w:val="0"/>
              <w:autoSpaceDN w:val="0"/>
              <w:adjustRightInd w:val="0"/>
              <w:snapToGrid w:val="0"/>
              <w:jc w:val="right"/>
            </w:pPr>
            <w:r>
              <w:rPr>
                <w:rFonts w:hint="eastAsia"/>
              </w:rPr>
              <w:t>-10,042,017.21</w:t>
            </w:r>
          </w:p>
        </w:tc>
        <w:tc>
          <w:tcPr>
            <w:tcW w:w="1842" w:type="dxa"/>
            <w:vAlign w:val="center"/>
          </w:tcPr>
          <w:p w14:paraId="6BF05DD3">
            <w:pPr>
              <w:widowControl w:val="0"/>
              <w:kinsoku w:val="0"/>
              <w:overflowPunct w:val="0"/>
              <w:autoSpaceDE w:val="0"/>
              <w:autoSpaceDN w:val="0"/>
              <w:adjustRightInd w:val="0"/>
              <w:snapToGrid w:val="0"/>
              <w:jc w:val="right"/>
            </w:pPr>
            <w:r>
              <w:t>-9,195,350.93</w:t>
            </w:r>
          </w:p>
        </w:tc>
        <w:tc>
          <w:tcPr>
            <w:tcW w:w="1418" w:type="dxa"/>
            <w:vAlign w:val="center"/>
          </w:tcPr>
          <w:p w14:paraId="7173A748">
            <w:pPr>
              <w:widowControl w:val="0"/>
              <w:kinsoku w:val="0"/>
              <w:overflowPunct w:val="0"/>
              <w:autoSpaceDE w:val="0"/>
              <w:autoSpaceDN w:val="0"/>
              <w:adjustRightInd w:val="0"/>
              <w:snapToGrid w:val="0"/>
              <w:jc w:val="right"/>
            </w:pPr>
            <w:r>
              <w:rPr>
                <w:rFonts w:hint="eastAsia"/>
              </w:rPr>
              <w:t>不适用</w:t>
            </w:r>
          </w:p>
        </w:tc>
        <w:tc>
          <w:tcPr>
            <w:tcW w:w="1701" w:type="dxa"/>
            <w:vAlign w:val="center"/>
          </w:tcPr>
          <w:p w14:paraId="62468EFA">
            <w:pPr>
              <w:widowControl w:val="0"/>
              <w:kinsoku w:val="0"/>
              <w:overflowPunct w:val="0"/>
              <w:autoSpaceDE w:val="0"/>
              <w:autoSpaceDN w:val="0"/>
              <w:adjustRightInd w:val="0"/>
              <w:snapToGrid w:val="0"/>
              <w:jc w:val="right"/>
            </w:pPr>
            <w:r>
              <w:rPr>
                <w:rFonts w:hint="eastAsia"/>
              </w:rPr>
              <w:t>1,167,513,268.73</w:t>
            </w:r>
          </w:p>
        </w:tc>
      </w:tr>
      <w:tr w14:paraId="2DF3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844" w:type="dxa"/>
            <w:vAlign w:val="center"/>
          </w:tcPr>
          <w:p w14:paraId="5E2DBD5C">
            <w:pPr>
              <w:widowControl w:val="0"/>
              <w:kinsoku w:val="0"/>
              <w:overflowPunct w:val="0"/>
              <w:autoSpaceDE w:val="0"/>
              <w:autoSpaceDN w:val="0"/>
              <w:adjustRightInd w:val="0"/>
              <w:snapToGrid w:val="0"/>
              <w:jc w:val="both"/>
            </w:pPr>
            <w:r>
              <w:rPr>
                <w:rFonts w:hint="eastAsia"/>
              </w:rPr>
              <w:t>经营活动产生的现金流量净额</w:t>
            </w:r>
          </w:p>
        </w:tc>
        <w:tc>
          <w:tcPr>
            <w:tcW w:w="1843" w:type="dxa"/>
            <w:vAlign w:val="center"/>
          </w:tcPr>
          <w:p w14:paraId="47C5997F">
            <w:pPr>
              <w:widowControl w:val="0"/>
              <w:kinsoku w:val="0"/>
              <w:overflowPunct w:val="0"/>
              <w:autoSpaceDE w:val="0"/>
              <w:autoSpaceDN w:val="0"/>
              <w:adjustRightInd w:val="0"/>
              <w:snapToGrid w:val="0"/>
              <w:jc w:val="right"/>
            </w:pPr>
            <w:r>
              <w:rPr>
                <w:rFonts w:hint="eastAsia"/>
              </w:rPr>
              <w:t>689,225,249.83</w:t>
            </w:r>
          </w:p>
        </w:tc>
        <w:tc>
          <w:tcPr>
            <w:tcW w:w="1701" w:type="dxa"/>
            <w:vAlign w:val="center"/>
          </w:tcPr>
          <w:p w14:paraId="046F237A">
            <w:pPr>
              <w:widowControl w:val="0"/>
              <w:kinsoku w:val="0"/>
              <w:overflowPunct w:val="0"/>
              <w:autoSpaceDE w:val="0"/>
              <w:autoSpaceDN w:val="0"/>
              <w:adjustRightInd w:val="0"/>
              <w:snapToGrid w:val="0"/>
              <w:jc w:val="right"/>
            </w:pPr>
            <w:r>
              <w:rPr>
                <w:rFonts w:hint="eastAsia"/>
              </w:rPr>
              <w:t>462,328,859.95</w:t>
            </w:r>
          </w:p>
        </w:tc>
        <w:tc>
          <w:tcPr>
            <w:tcW w:w="1842" w:type="dxa"/>
            <w:vAlign w:val="center"/>
          </w:tcPr>
          <w:p w14:paraId="6C9E26AB">
            <w:pPr>
              <w:widowControl w:val="0"/>
              <w:kinsoku w:val="0"/>
              <w:overflowPunct w:val="0"/>
              <w:autoSpaceDE w:val="0"/>
              <w:autoSpaceDN w:val="0"/>
              <w:adjustRightInd w:val="0"/>
              <w:snapToGrid w:val="0"/>
              <w:jc w:val="right"/>
            </w:pPr>
            <w:r>
              <w:t>459,740,577.53</w:t>
            </w:r>
          </w:p>
        </w:tc>
        <w:tc>
          <w:tcPr>
            <w:tcW w:w="1418" w:type="dxa"/>
            <w:vAlign w:val="center"/>
          </w:tcPr>
          <w:p w14:paraId="25F8DE1A">
            <w:pPr>
              <w:widowControl w:val="0"/>
              <w:kinsoku w:val="0"/>
              <w:overflowPunct w:val="0"/>
              <w:autoSpaceDE w:val="0"/>
              <w:autoSpaceDN w:val="0"/>
              <w:adjustRightInd w:val="0"/>
              <w:snapToGrid w:val="0"/>
              <w:jc w:val="right"/>
            </w:pPr>
            <w:r>
              <w:rPr>
                <w:rFonts w:hint="eastAsia"/>
              </w:rPr>
              <w:t>49.08</w:t>
            </w:r>
          </w:p>
        </w:tc>
        <w:tc>
          <w:tcPr>
            <w:tcW w:w="1701" w:type="dxa"/>
            <w:vAlign w:val="center"/>
          </w:tcPr>
          <w:p w14:paraId="3D5493AC">
            <w:pPr>
              <w:widowControl w:val="0"/>
              <w:kinsoku w:val="0"/>
              <w:overflowPunct w:val="0"/>
              <w:autoSpaceDE w:val="0"/>
              <w:autoSpaceDN w:val="0"/>
              <w:adjustRightInd w:val="0"/>
              <w:snapToGrid w:val="0"/>
              <w:jc w:val="right"/>
            </w:pPr>
            <w:r>
              <w:rPr>
                <w:rFonts w:hint="eastAsia"/>
              </w:rPr>
              <w:t>861,521,518.57</w:t>
            </w:r>
          </w:p>
        </w:tc>
      </w:tr>
      <w:tr w14:paraId="084F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844" w:type="dxa"/>
            <w:vMerge w:val="restart"/>
            <w:vAlign w:val="center"/>
          </w:tcPr>
          <w:p w14:paraId="1FE79D47">
            <w:pPr>
              <w:widowControl w:val="0"/>
              <w:kinsoku w:val="0"/>
              <w:overflowPunct w:val="0"/>
              <w:autoSpaceDE w:val="0"/>
              <w:autoSpaceDN w:val="0"/>
              <w:adjustRightInd w:val="0"/>
              <w:snapToGrid w:val="0"/>
              <w:jc w:val="both"/>
            </w:pPr>
          </w:p>
        </w:tc>
        <w:sdt>
          <w:sdtPr>
            <w:tag w:val="_PLD_c341795a38b24cf193cd2875d52b557c"/>
            <w:id w:val="1535536420"/>
          </w:sdtPr>
          <w:sdtContent>
            <w:tc>
              <w:tcPr>
                <w:tcW w:w="1843" w:type="dxa"/>
                <w:vMerge w:val="restart"/>
                <w:vAlign w:val="center"/>
              </w:tcPr>
              <w:p w14:paraId="16AC254E">
                <w:pPr>
                  <w:widowControl w:val="0"/>
                  <w:kinsoku w:val="0"/>
                  <w:overflowPunct w:val="0"/>
                  <w:autoSpaceDE w:val="0"/>
                  <w:autoSpaceDN w:val="0"/>
                  <w:adjustRightInd w:val="0"/>
                  <w:snapToGrid w:val="0"/>
                  <w:jc w:val="center"/>
                </w:pPr>
                <w:r>
                  <w:rPr>
                    <w:rFonts w:hint="eastAsia"/>
                  </w:rPr>
                  <w:t>2025年末</w:t>
                </w:r>
              </w:p>
            </w:tc>
          </w:sdtContent>
        </w:sdt>
        <w:sdt>
          <w:sdtPr>
            <w:tag w:val="_PLD_2867dcbbb7b64e1fa99df651246dd90e"/>
            <w:id w:val="1216775941"/>
          </w:sdtPr>
          <w:sdtContent>
            <w:tc>
              <w:tcPr>
                <w:tcW w:w="3543" w:type="dxa"/>
                <w:gridSpan w:val="2"/>
                <w:vAlign w:val="center"/>
              </w:tcPr>
              <w:p w14:paraId="03D2EFC8">
                <w:pPr>
                  <w:widowControl w:val="0"/>
                  <w:kinsoku w:val="0"/>
                  <w:overflowPunct w:val="0"/>
                  <w:autoSpaceDE w:val="0"/>
                  <w:autoSpaceDN w:val="0"/>
                  <w:adjustRightInd w:val="0"/>
                  <w:snapToGrid w:val="0"/>
                  <w:jc w:val="center"/>
                </w:pPr>
                <w:r>
                  <w:rPr>
                    <w:rFonts w:hint="eastAsia"/>
                  </w:rPr>
                  <w:t>2024年末</w:t>
                </w:r>
              </w:p>
            </w:tc>
          </w:sdtContent>
        </w:sdt>
        <w:sdt>
          <w:sdtPr>
            <w:tag w:val="_PLD_ca48e7771d3b49a995d854326bd214db"/>
            <w:id w:val="550579743"/>
          </w:sdtPr>
          <w:sdtContent>
            <w:tc>
              <w:tcPr>
                <w:tcW w:w="1418" w:type="dxa"/>
                <w:vMerge w:val="restart"/>
                <w:vAlign w:val="center"/>
              </w:tcPr>
              <w:p w14:paraId="68463162">
                <w:pPr>
                  <w:widowControl w:val="0"/>
                  <w:kinsoku w:val="0"/>
                  <w:overflowPunct w:val="0"/>
                  <w:autoSpaceDE w:val="0"/>
                  <w:autoSpaceDN w:val="0"/>
                  <w:adjustRightInd w:val="0"/>
                  <w:snapToGrid w:val="0"/>
                  <w:jc w:val="center"/>
                </w:pPr>
                <w:r>
                  <w:t>本期末比上年同期末增减（</w:t>
                </w:r>
                <w:r>
                  <w:rPr>
                    <w:rFonts w:hint="eastAsia"/>
                  </w:rPr>
                  <w:t>%</w:t>
                </w:r>
                <w:r>
                  <w:t>）</w:t>
                </w:r>
              </w:p>
            </w:tc>
          </w:sdtContent>
        </w:sdt>
        <w:sdt>
          <w:sdtPr>
            <w:tag w:val="_PLD_b57cc2fbf04b4bd0901fcde95140beb4"/>
            <w:id w:val="-1551294650"/>
          </w:sdtPr>
          <w:sdtContent>
            <w:tc>
              <w:tcPr>
                <w:tcW w:w="1701" w:type="dxa"/>
                <w:vMerge w:val="restart"/>
                <w:vAlign w:val="center"/>
              </w:tcPr>
              <w:p w14:paraId="4FC42E7C">
                <w:pPr>
                  <w:widowControl w:val="0"/>
                  <w:kinsoku w:val="0"/>
                  <w:overflowPunct w:val="0"/>
                  <w:autoSpaceDE w:val="0"/>
                  <w:autoSpaceDN w:val="0"/>
                  <w:adjustRightInd w:val="0"/>
                  <w:snapToGrid w:val="0"/>
                  <w:jc w:val="center"/>
                </w:pPr>
                <w:r>
                  <w:rPr>
                    <w:rFonts w:hint="eastAsia"/>
                  </w:rPr>
                  <w:t>2023年末</w:t>
                </w:r>
              </w:p>
            </w:tc>
          </w:sdtContent>
        </w:sdt>
      </w:tr>
      <w:tr w14:paraId="6A47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844" w:type="dxa"/>
            <w:vMerge w:val="continue"/>
            <w:vAlign w:val="center"/>
          </w:tcPr>
          <w:p w14:paraId="53A5929C">
            <w:pPr>
              <w:widowControl w:val="0"/>
              <w:kinsoku w:val="0"/>
              <w:overflowPunct w:val="0"/>
              <w:autoSpaceDE w:val="0"/>
              <w:autoSpaceDN w:val="0"/>
              <w:adjustRightInd w:val="0"/>
              <w:snapToGrid w:val="0"/>
              <w:jc w:val="both"/>
            </w:pPr>
          </w:p>
        </w:tc>
        <w:tc>
          <w:tcPr>
            <w:tcW w:w="1843" w:type="dxa"/>
            <w:vMerge w:val="continue"/>
            <w:vAlign w:val="center"/>
          </w:tcPr>
          <w:p w14:paraId="5590933A">
            <w:pPr>
              <w:widowControl w:val="0"/>
              <w:kinsoku w:val="0"/>
              <w:overflowPunct w:val="0"/>
              <w:autoSpaceDE w:val="0"/>
              <w:autoSpaceDN w:val="0"/>
              <w:adjustRightInd w:val="0"/>
              <w:snapToGrid w:val="0"/>
              <w:jc w:val="right"/>
            </w:pPr>
          </w:p>
        </w:tc>
        <w:sdt>
          <w:sdtPr>
            <w:tag w:val="_PLD_7b3c37a33e654b1b9d665f5687ac346f"/>
            <w:id w:val="155113233"/>
          </w:sdtPr>
          <w:sdtContent>
            <w:tc>
              <w:tcPr>
                <w:tcW w:w="1701" w:type="dxa"/>
                <w:vAlign w:val="center"/>
              </w:tcPr>
              <w:p w14:paraId="7AF00D45">
                <w:pPr>
                  <w:widowControl w:val="0"/>
                  <w:kinsoku w:val="0"/>
                  <w:overflowPunct w:val="0"/>
                  <w:autoSpaceDE w:val="0"/>
                  <w:autoSpaceDN w:val="0"/>
                  <w:adjustRightInd w:val="0"/>
                  <w:snapToGrid w:val="0"/>
                  <w:jc w:val="center"/>
                </w:pPr>
                <w:r>
                  <w:rPr>
                    <w:rFonts w:hint="eastAsia"/>
                  </w:rPr>
                  <w:t>调整后</w:t>
                </w:r>
              </w:p>
            </w:tc>
          </w:sdtContent>
        </w:sdt>
        <w:sdt>
          <w:sdtPr>
            <w:tag w:val="_PLD_252b67c74ca7425d8bcc195eecc3f6e7"/>
            <w:id w:val="11736354"/>
          </w:sdtPr>
          <w:sdtContent>
            <w:tc>
              <w:tcPr>
                <w:tcW w:w="1842" w:type="dxa"/>
                <w:vAlign w:val="center"/>
              </w:tcPr>
              <w:p w14:paraId="09DE1DB6">
                <w:pPr>
                  <w:widowControl w:val="0"/>
                  <w:kinsoku w:val="0"/>
                  <w:overflowPunct w:val="0"/>
                  <w:autoSpaceDE w:val="0"/>
                  <w:autoSpaceDN w:val="0"/>
                  <w:adjustRightInd w:val="0"/>
                  <w:snapToGrid w:val="0"/>
                  <w:jc w:val="center"/>
                </w:pPr>
                <w:r>
                  <w:rPr>
                    <w:rFonts w:hint="eastAsia"/>
                  </w:rPr>
                  <w:t>调整前</w:t>
                </w:r>
              </w:p>
            </w:tc>
          </w:sdtContent>
        </w:sdt>
        <w:tc>
          <w:tcPr>
            <w:tcW w:w="1418" w:type="dxa"/>
            <w:vMerge w:val="continue"/>
            <w:vAlign w:val="center"/>
          </w:tcPr>
          <w:p w14:paraId="04D5B26A">
            <w:pPr>
              <w:widowControl w:val="0"/>
              <w:kinsoku w:val="0"/>
              <w:overflowPunct w:val="0"/>
              <w:autoSpaceDE w:val="0"/>
              <w:autoSpaceDN w:val="0"/>
              <w:adjustRightInd w:val="0"/>
              <w:snapToGrid w:val="0"/>
              <w:jc w:val="right"/>
            </w:pPr>
          </w:p>
        </w:tc>
        <w:tc>
          <w:tcPr>
            <w:tcW w:w="1701" w:type="dxa"/>
            <w:vMerge w:val="continue"/>
            <w:vAlign w:val="center"/>
          </w:tcPr>
          <w:p w14:paraId="58C254A3">
            <w:pPr>
              <w:widowControl w:val="0"/>
              <w:kinsoku w:val="0"/>
              <w:overflowPunct w:val="0"/>
              <w:autoSpaceDE w:val="0"/>
              <w:autoSpaceDN w:val="0"/>
              <w:adjustRightInd w:val="0"/>
              <w:snapToGrid w:val="0"/>
              <w:jc w:val="right"/>
            </w:pPr>
          </w:p>
        </w:tc>
      </w:tr>
      <w:tr w14:paraId="558E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844" w:type="dxa"/>
            <w:vAlign w:val="center"/>
          </w:tcPr>
          <w:p w14:paraId="1241492B">
            <w:pPr>
              <w:widowControl w:val="0"/>
              <w:kinsoku w:val="0"/>
              <w:overflowPunct w:val="0"/>
              <w:autoSpaceDE w:val="0"/>
              <w:autoSpaceDN w:val="0"/>
              <w:adjustRightInd w:val="0"/>
              <w:snapToGrid w:val="0"/>
              <w:jc w:val="both"/>
            </w:pPr>
            <w:r>
              <w:rPr>
                <w:rFonts w:hint="eastAsia"/>
              </w:rPr>
              <w:t>归属于上市公司股东的净资产</w:t>
            </w:r>
          </w:p>
        </w:tc>
        <w:tc>
          <w:tcPr>
            <w:tcW w:w="1843" w:type="dxa"/>
            <w:vAlign w:val="center"/>
          </w:tcPr>
          <w:p w14:paraId="20941927">
            <w:pPr>
              <w:widowControl w:val="0"/>
              <w:kinsoku w:val="0"/>
              <w:overflowPunct w:val="0"/>
              <w:autoSpaceDE w:val="0"/>
              <w:autoSpaceDN w:val="0"/>
              <w:adjustRightInd w:val="0"/>
              <w:snapToGrid w:val="0"/>
              <w:jc w:val="right"/>
            </w:pPr>
            <w:r>
              <w:rPr>
                <w:rFonts w:hint="eastAsia"/>
              </w:rPr>
              <w:t>7,103,143,159.92</w:t>
            </w:r>
          </w:p>
        </w:tc>
        <w:tc>
          <w:tcPr>
            <w:tcW w:w="1701" w:type="dxa"/>
            <w:vAlign w:val="center"/>
          </w:tcPr>
          <w:p w14:paraId="1CA483F6">
            <w:pPr>
              <w:widowControl w:val="0"/>
              <w:kinsoku w:val="0"/>
              <w:overflowPunct w:val="0"/>
              <w:autoSpaceDE w:val="0"/>
              <w:autoSpaceDN w:val="0"/>
              <w:adjustRightInd w:val="0"/>
              <w:snapToGrid w:val="0"/>
              <w:jc w:val="right"/>
            </w:pPr>
            <w:r>
              <w:rPr>
                <w:rFonts w:hint="eastAsia"/>
              </w:rPr>
              <w:t>6,384,858,693.36</w:t>
            </w:r>
          </w:p>
        </w:tc>
        <w:tc>
          <w:tcPr>
            <w:tcW w:w="1842" w:type="dxa"/>
            <w:vAlign w:val="center"/>
          </w:tcPr>
          <w:p w14:paraId="564C4F15">
            <w:pPr>
              <w:widowControl w:val="0"/>
              <w:kinsoku w:val="0"/>
              <w:overflowPunct w:val="0"/>
              <w:autoSpaceDE w:val="0"/>
              <w:autoSpaceDN w:val="0"/>
              <w:adjustRightInd w:val="0"/>
              <w:snapToGrid w:val="0"/>
              <w:jc w:val="right"/>
            </w:pPr>
            <w:r>
              <w:t>6,383,540,358.15</w:t>
            </w:r>
          </w:p>
        </w:tc>
        <w:tc>
          <w:tcPr>
            <w:tcW w:w="1418" w:type="dxa"/>
            <w:vAlign w:val="center"/>
          </w:tcPr>
          <w:p w14:paraId="107CDF0C">
            <w:pPr>
              <w:widowControl w:val="0"/>
              <w:kinsoku w:val="0"/>
              <w:overflowPunct w:val="0"/>
              <w:autoSpaceDE w:val="0"/>
              <w:autoSpaceDN w:val="0"/>
              <w:adjustRightInd w:val="0"/>
              <w:snapToGrid w:val="0"/>
              <w:jc w:val="right"/>
            </w:pPr>
            <w:r>
              <w:rPr>
                <w:rFonts w:hint="eastAsia"/>
              </w:rPr>
              <w:t>11.25</w:t>
            </w:r>
          </w:p>
        </w:tc>
        <w:tc>
          <w:tcPr>
            <w:tcW w:w="1701" w:type="dxa"/>
            <w:vAlign w:val="center"/>
          </w:tcPr>
          <w:p w14:paraId="74D08144">
            <w:pPr>
              <w:widowControl w:val="0"/>
              <w:kinsoku w:val="0"/>
              <w:overflowPunct w:val="0"/>
              <w:autoSpaceDE w:val="0"/>
              <w:autoSpaceDN w:val="0"/>
              <w:adjustRightInd w:val="0"/>
              <w:snapToGrid w:val="0"/>
              <w:jc w:val="right"/>
            </w:pPr>
            <w:r>
              <w:rPr>
                <w:rFonts w:hint="eastAsia"/>
              </w:rPr>
              <w:t>7,211,198,787.69</w:t>
            </w:r>
          </w:p>
        </w:tc>
      </w:tr>
      <w:tr w14:paraId="467B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844" w:type="dxa"/>
            <w:vAlign w:val="center"/>
          </w:tcPr>
          <w:p w14:paraId="4CB18422">
            <w:pPr>
              <w:widowControl w:val="0"/>
              <w:kinsoku w:val="0"/>
              <w:overflowPunct w:val="0"/>
              <w:autoSpaceDE w:val="0"/>
              <w:autoSpaceDN w:val="0"/>
              <w:adjustRightInd w:val="0"/>
              <w:snapToGrid w:val="0"/>
              <w:jc w:val="both"/>
            </w:pPr>
            <w:r>
              <w:rPr>
                <w:rFonts w:hint="eastAsia"/>
              </w:rPr>
              <w:t>总资产</w:t>
            </w:r>
          </w:p>
        </w:tc>
        <w:tc>
          <w:tcPr>
            <w:tcW w:w="1843" w:type="dxa"/>
            <w:vAlign w:val="center"/>
          </w:tcPr>
          <w:p w14:paraId="5E58C743">
            <w:pPr>
              <w:widowControl w:val="0"/>
              <w:kinsoku w:val="0"/>
              <w:overflowPunct w:val="0"/>
              <w:autoSpaceDE w:val="0"/>
              <w:autoSpaceDN w:val="0"/>
              <w:adjustRightInd w:val="0"/>
              <w:snapToGrid w:val="0"/>
              <w:jc w:val="right"/>
            </w:pPr>
            <w:r>
              <w:rPr>
                <w:rFonts w:hint="eastAsia"/>
              </w:rPr>
              <w:t>7,906,401,122.95</w:t>
            </w:r>
          </w:p>
        </w:tc>
        <w:tc>
          <w:tcPr>
            <w:tcW w:w="1701" w:type="dxa"/>
            <w:vAlign w:val="center"/>
          </w:tcPr>
          <w:p w14:paraId="7C5DC733">
            <w:pPr>
              <w:widowControl w:val="0"/>
              <w:kinsoku w:val="0"/>
              <w:overflowPunct w:val="0"/>
              <w:autoSpaceDE w:val="0"/>
              <w:autoSpaceDN w:val="0"/>
              <w:adjustRightInd w:val="0"/>
              <w:snapToGrid w:val="0"/>
              <w:jc w:val="right"/>
            </w:pPr>
            <w:r>
              <w:rPr>
                <w:rFonts w:hint="eastAsia"/>
              </w:rPr>
              <w:t>7,382,110,787.11</w:t>
            </w:r>
          </w:p>
        </w:tc>
        <w:tc>
          <w:tcPr>
            <w:tcW w:w="1842" w:type="dxa"/>
            <w:vAlign w:val="center"/>
          </w:tcPr>
          <w:p w14:paraId="46981B6E">
            <w:pPr>
              <w:widowControl w:val="0"/>
              <w:kinsoku w:val="0"/>
              <w:overflowPunct w:val="0"/>
              <w:autoSpaceDE w:val="0"/>
              <w:autoSpaceDN w:val="0"/>
              <w:adjustRightInd w:val="0"/>
              <w:snapToGrid w:val="0"/>
              <w:jc w:val="right"/>
            </w:pPr>
            <w:r>
              <w:t>7,378,510,669.69</w:t>
            </w:r>
          </w:p>
        </w:tc>
        <w:tc>
          <w:tcPr>
            <w:tcW w:w="1418" w:type="dxa"/>
            <w:vAlign w:val="center"/>
          </w:tcPr>
          <w:p w14:paraId="14E4AF69">
            <w:pPr>
              <w:widowControl w:val="0"/>
              <w:kinsoku w:val="0"/>
              <w:overflowPunct w:val="0"/>
              <w:autoSpaceDE w:val="0"/>
              <w:autoSpaceDN w:val="0"/>
              <w:adjustRightInd w:val="0"/>
              <w:snapToGrid w:val="0"/>
              <w:jc w:val="right"/>
            </w:pPr>
            <w:r>
              <w:rPr>
                <w:rFonts w:hint="eastAsia"/>
              </w:rPr>
              <w:t>7.10</w:t>
            </w:r>
          </w:p>
        </w:tc>
        <w:tc>
          <w:tcPr>
            <w:tcW w:w="1701" w:type="dxa"/>
            <w:vAlign w:val="center"/>
          </w:tcPr>
          <w:p w14:paraId="6D4FFA7B">
            <w:pPr>
              <w:widowControl w:val="0"/>
              <w:kinsoku w:val="0"/>
              <w:overflowPunct w:val="0"/>
              <w:autoSpaceDE w:val="0"/>
              <w:autoSpaceDN w:val="0"/>
              <w:adjustRightInd w:val="0"/>
              <w:snapToGrid w:val="0"/>
              <w:jc w:val="right"/>
            </w:pPr>
            <w:r>
              <w:rPr>
                <w:rFonts w:hint="eastAsia"/>
              </w:rPr>
              <w:t>7,771,366,505.90</w:t>
            </w:r>
          </w:p>
        </w:tc>
      </w:tr>
    </w:tbl>
    <w:p w14:paraId="066DAA3F">
      <w:pPr>
        <w:spacing w:line="360" w:lineRule="auto"/>
        <w:ind w:firstLine="420" w:firstLineChars="200"/>
        <w:jc w:val="both"/>
      </w:pPr>
      <w:r>
        <w:t>2024</w:t>
      </w:r>
      <w:r>
        <w:rPr>
          <w:rFonts w:hint="eastAsia"/>
        </w:rPr>
        <w:t>年会计数据调整说明：2025年7月7日，本公司从控股股东的子公司通化东宝集团进出口有限公司处购买了东宝进出口贸易（海南）有限公司55%股权，形成同一控制下企业合并，故调整了期初数。</w:t>
      </w:r>
    </w:p>
    <w:p w14:paraId="2F08F010">
      <w:pPr>
        <w:kinsoku w:val="0"/>
        <w:overflowPunct w:val="0"/>
        <w:autoSpaceDE w:val="0"/>
        <w:autoSpaceDN w:val="0"/>
        <w:adjustRightInd w:val="0"/>
        <w:snapToGrid w:val="0"/>
      </w:pPr>
      <w:bookmarkStart w:id="26" w:name="_Hlk61879983"/>
      <w:bookmarkEnd w:id="26"/>
    </w:p>
    <w:p w14:paraId="341AFF34">
      <w:pPr>
        <w:pStyle w:val="4"/>
        <w:numPr>
          <w:ilvl w:val="1"/>
          <w:numId w:val="5"/>
        </w:numPr>
      </w:pPr>
      <w:bookmarkStart w:id="27" w:name="_Hlk61879994"/>
      <w:bookmarkEnd w:id="27"/>
      <w:r>
        <w:rPr>
          <w:rFonts w:hint="eastAsia"/>
        </w:rPr>
        <w:t>主要财务指标</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1134"/>
        <w:gridCol w:w="993"/>
        <w:gridCol w:w="1075"/>
        <w:gridCol w:w="1276"/>
        <w:gridCol w:w="1231"/>
      </w:tblGrid>
      <w:tr w14:paraId="16AA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sdt>
          <w:sdtPr>
            <w:tag w:val="_PLD_1fde00f08a3840b5ab1e2e57c15fb21d"/>
            <w:id w:val="-2004356338"/>
          </w:sdtPr>
          <w:sdtContent>
            <w:tc>
              <w:tcPr>
                <w:tcW w:w="3114" w:type="dxa"/>
                <w:vMerge w:val="restart"/>
                <w:vAlign w:val="center"/>
              </w:tcPr>
              <w:p w14:paraId="36629117">
                <w:pPr>
                  <w:widowControl w:val="0"/>
                  <w:kinsoku w:val="0"/>
                  <w:overflowPunct w:val="0"/>
                  <w:autoSpaceDE w:val="0"/>
                  <w:autoSpaceDN w:val="0"/>
                  <w:adjustRightInd w:val="0"/>
                  <w:snapToGrid w:val="0"/>
                  <w:jc w:val="center"/>
                </w:pPr>
                <w:bookmarkStart w:id="28" w:name="_Hlk25325424"/>
                <w:bookmarkEnd w:id="28"/>
                <w:r>
                  <w:t>主要财务指标</w:t>
                </w:r>
              </w:p>
            </w:tc>
          </w:sdtContent>
        </w:sdt>
        <w:sdt>
          <w:sdtPr>
            <w:tag w:val="_PLD_d5f2e97bf6dd49b38f3cb8415fe5c6f2"/>
            <w:id w:val="-560784687"/>
          </w:sdtPr>
          <w:sdtContent>
            <w:tc>
              <w:tcPr>
                <w:tcW w:w="1134" w:type="dxa"/>
                <w:vMerge w:val="restart"/>
                <w:vAlign w:val="center"/>
              </w:tcPr>
              <w:p w14:paraId="62B7ACFE">
                <w:pPr>
                  <w:widowControl w:val="0"/>
                  <w:kinsoku w:val="0"/>
                  <w:overflowPunct w:val="0"/>
                  <w:autoSpaceDE w:val="0"/>
                  <w:autoSpaceDN w:val="0"/>
                  <w:adjustRightInd w:val="0"/>
                  <w:snapToGrid w:val="0"/>
                  <w:jc w:val="center"/>
                </w:pPr>
                <w:r>
                  <w:rPr>
                    <w:rFonts w:hint="eastAsia"/>
                  </w:rPr>
                  <w:t>2025年</w:t>
                </w:r>
              </w:p>
            </w:tc>
          </w:sdtContent>
        </w:sdt>
        <w:sdt>
          <w:sdtPr>
            <w:tag w:val="_PLD_0d250d42b9de43eeab5b24d73b5d0365"/>
            <w:id w:val="266118858"/>
          </w:sdtPr>
          <w:sdtContent>
            <w:tc>
              <w:tcPr>
                <w:tcW w:w="2068" w:type="dxa"/>
                <w:gridSpan w:val="2"/>
                <w:vAlign w:val="center"/>
              </w:tcPr>
              <w:p w14:paraId="5FDB3888">
                <w:pPr>
                  <w:widowControl w:val="0"/>
                  <w:kinsoku w:val="0"/>
                  <w:overflowPunct w:val="0"/>
                  <w:autoSpaceDE w:val="0"/>
                  <w:autoSpaceDN w:val="0"/>
                  <w:adjustRightInd w:val="0"/>
                  <w:snapToGrid w:val="0"/>
                  <w:jc w:val="center"/>
                </w:pPr>
                <w:r>
                  <w:rPr>
                    <w:rFonts w:hint="eastAsia"/>
                  </w:rPr>
                  <w:t>2024年</w:t>
                </w:r>
              </w:p>
            </w:tc>
          </w:sdtContent>
        </w:sdt>
        <w:sdt>
          <w:sdtPr>
            <w:tag w:val="_PLD_eb1c6927a5d748fd8ca98b794c0be4e3"/>
            <w:id w:val="-27567676"/>
          </w:sdtPr>
          <w:sdtContent>
            <w:tc>
              <w:tcPr>
                <w:tcW w:w="1276" w:type="dxa"/>
                <w:vMerge w:val="restart"/>
                <w:vAlign w:val="center"/>
              </w:tcPr>
              <w:p w14:paraId="602770E0">
                <w:pPr>
                  <w:widowControl w:val="0"/>
                  <w:kinsoku w:val="0"/>
                  <w:overflowPunct w:val="0"/>
                  <w:autoSpaceDE w:val="0"/>
                  <w:autoSpaceDN w:val="0"/>
                  <w:adjustRightInd w:val="0"/>
                  <w:snapToGrid w:val="0"/>
                  <w:jc w:val="center"/>
                </w:pPr>
                <w:r>
                  <w:t>本期比上年同期增减(%)</w:t>
                </w:r>
              </w:p>
            </w:tc>
          </w:sdtContent>
        </w:sdt>
        <w:sdt>
          <w:sdtPr>
            <w:tag w:val="_PLD_56f9f684ec6d4da9a54aee02994d99db"/>
            <w:id w:val="113800004"/>
          </w:sdtPr>
          <w:sdtContent>
            <w:tc>
              <w:tcPr>
                <w:tcW w:w="1231" w:type="dxa"/>
                <w:vMerge w:val="restart"/>
                <w:vAlign w:val="center"/>
              </w:tcPr>
              <w:p w14:paraId="7613F57E">
                <w:pPr>
                  <w:widowControl w:val="0"/>
                  <w:kinsoku w:val="0"/>
                  <w:overflowPunct w:val="0"/>
                  <w:autoSpaceDE w:val="0"/>
                  <w:autoSpaceDN w:val="0"/>
                  <w:adjustRightInd w:val="0"/>
                  <w:snapToGrid w:val="0"/>
                  <w:jc w:val="center"/>
                </w:pPr>
                <w:r>
                  <w:rPr>
                    <w:rFonts w:hint="eastAsia"/>
                  </w:rPr>
                  <w:t>2023年</w:t>
                </w:r>
              </w:p>
            </w:tc>
          </w:sdtContent>
        </w:sdt>
      </w:tr>
      <w:tr w14:paraId="37CB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3114" w:type="dxa"/>
            <w:vMerge w:val="continue"/>
            <w:vAlign w:val="center"/>
          </w:tcPr>
          <w:p w14:paraId="65CE306D">
            <w:pPr>
              <w:widowControl w:val="0"/>
              <w:kinsoku w:val="0"/>
              <w:overflowPunct w:val="0"/>
              <w:autoSpaceDE w:val="0"/>
              <w:autoSpaceDN w:val="0"/>
              <w:adjustRightInd w:val="0"/>
              <w:snapToGrid w:val="0"/>
              <w:jc w:val="both"/>
            </w:pPr>
          </w:p>
        </w:tc>
        <w:tc>
          <w:tcPr>
            <w:tcW w:w="1134" w:type="dxa"/>
            <w:vMerge w:val="continue"/>
            <w:vAlign w:val="center"/>
          </w:tcPr>
          <w:p w14:paraId="32D1E542">
            <w:pPr>
              <w:widowControl w:val="0"/>
              <w:kinsoku w:val="0"/>
              <w:overflowPunct w:val="0"/>
              <w:autoSpaceDE w:val="0"/>
              <w:autoSpaceDN w:val="0"/>
              <w:adjustRightInd w:val="0"/>
              <w:snapToGrid w:val="0"/>
              <w:jc w:val="both"/>
            </w:pPr>
          </w:p>
        </w:tc>
        <w:sdt>
          <w:sdtPr>
            <w:tag w:val="_PLD_1ba50cb7903148e4a9030c936f229d5e"/>
            <w:id w:val="1223569822"/>
          </w:sdtPr>
          <w:sdtContent>
            <w:tc>
              <w:tcPr>
                <w:tcW w:w="993" w:type="dxa"/>
                <w:vAlign w:val="center"/>
              </w:tcPr>
              <w:p w14:paraId="68EBC3CA">
                <w:pPr>
                  <w:widowControl w:val="0"/>
                  <w:kinsoku w:val="0"/>
                  <w:overflowPunct w:val="0"/>
                  <w:autoSpaceDE w:val="0"/>
                  <w:autoSpaceDN w:val="0"/>
                  <w:adjustRightInd w:val="0"/>
                  <w:snapToGrid w:val="0"/>
                  <w:jc w:val="center"/>
                </w:pPr>
                <w:r>
                  <w:rPr>
                    <w:rFonts w:hint="eastAsia"/>
                  </w:rPr>
                  <w:t>调整后</w:t>
                </w:r>
              </w:p>
            </w:tc>
          </w:sdtContent>
        </w:sdt>
        <w:sdt>
          <w:sdtPr>
            <w:tag w:val="_PLD_722ed88d5ed64d7b9b5fd3aafc159b4b"/>
            <w:id w:val="-968753186"/>
          </w:sdtPr>
          <w:sdtContent>
            <w:tc>
              <w:tcPr>
                <w:tcW w:w="1075" w:type="dxa"/>
                <w:vAlign w:val="center"/>
              </w:tcPr>
              <w:p w14:paraId="14907AE9">
                <w:pPr>
                  <w:widowControl w:val="0"/>
                  <w:kinsoku w:val="0"/>
                  <w:overflowPunct w:val="0"/>
                  <w:autoSpaceDE w:val="0"/>
                  <w:autoSpaceDN w:val="0"/>
                  <w:adjustRightInd w:val="0"/>
                  <w:snapToGrid w:val="0"/>
                  <w:jc w:val="center"/>
                </w:pPr>
                <w:r>
                  <w:rPr>
                    <w:rFonts w:hint="eastAsia"/>
                  </w:rPr>
                  <w:t>调整前</w:t>
                </w:r>
              </w:p>
            </w:tc>
          </w:sdtContent>
        </w:sdt>
        <w:tc>
          <w:tcPr>
            <w:tcW w:w="1276" w:type="dxa"/>
            <w:vMerge w:val="continue"/>
            <w:vAlign w:val="center"/>
          </w:tcPr>
          <w:p w14:paraId="31FEA876">
            <w:pPr>
              <w:widowControl w:val="0"/>
              <w:kinsoku w:val="0"/>
              <w:overflowPunct w:val="0"/>
              <w:autoSpaceDE w:val="0"/>
              <w:autoSpaceDN w:val="0"/>
              <w:adjustRightInd w:val="0"/>
              <w:snapToGrid w:val="0"/>
              <w:jc w:val="both"/>
            </w:pPr>
          </w:p>
        </w:tc>
        <w:tc>
          <w:tcPr>
            <w:tcW w:w="1231" w:type="dxa"/>
            <w:vMerge w:val="continue"/>
            <w:vAlign w:val="center"/>
          </w:tcPr>
          <w:p w14:paraId="638139D4">
            <w:pPr>
              <w:widowControl w:val="0"/>
              <w:kinsoku w:val="0"/>
              <w:overflowPunct w:val="0"/>
              <w:autoSpaceDE w:val="0"/>
              <w:autoSpaceDN w:val="0"/>
              <w:adjustRightInd w:val="0"/>
              <w:snapToGrid w:val="0"/>
              <w:jc w:val="both"/>
            </w:pPr>
          </w:p>
        </w:tc>
      </w:tr>
      <w:tr w14:paraId="2600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3114" w:type="dxa"/>
            <w:vAlign w:val="center"/>
          </w:tcPr>
          <w:p w14:paraId="30E27762">
            <w:pPr>
              <w:widowControl w:val="0"/>
              <w:kinsoku w:val="0"/>
              <w:overflowPunct w:val="0"/>
              <w:autoSpaceDE w:val="0"/>
              <w:autoSpaceDN w:val="0"/>
              <w:adjustRightInd w:val="0"/>
              <w:snapToGrid w:val="0"/>
              <w:jc w:val="both"/>
            </w:pPr>
            <w:r>
              <w:t>基本每股收益（元／股）</w:t>
            </w:r>
          </w:p>
        </w:tc>
        <w:tc>
          <w:tcPr>
            <w:tcW w:w="1134" w:type="dxa"/>
            <w:vAlign w:val="center"/>
          </w:tcPr>
          <w:p w14:paraId="5117E106">
            <w:pPr>
              <w:widowControl w:val="0"/>
              <w:kinsoku w:val="0"/>
              <w:overflowPunct w:val="0"/>
              <w:autoSpaceDE w:val="0"/>
              <w:autoSpaceDN w:val="0"/>
              <w:adjustRightInd w:val="0"/>
              <w:snapToGrid w:val="0"/>
              <w:jc w:val="right"/>
            </w:pPr>
            <w:r>
              <w:rPr>
                <w:rFonts w:hint="eastAsia"/>
              </w:rPr>
              <w:t>0.62</w:t>
            </w:r>
          </w:p>
        </w:tc>
        <w:tc>
          <w:tcPr>
            <w:tcW w:w="993" w:type="dxa"/>
            <w:vAlign w:val="center"/>
          </w:tcPr>
          <w:p w14:paraId="3E6B4D62">
            <w:pPr>
              <w:widowControl w:val="0"/>
              <w:kinsoku w:val="0"/>
              <w:overflowPunct w:val="0"/>
              <w:autoSpaceDE w:val="0"/>
              <w:autoSpaceDN w:val="0"/>
              <w:adjustRightInd w:val="0"/>
              <w:snapToGrid w:val="0"/>
              <w:jc w:val="right"/>
            </w:pPr>
            <w:r>
              <w:rPr>
                <w:rFonts w:hint="eastAsia"/>
              </w:rPr>
              <w:t>-0.02</w:t>
            </w:r>
          </w:p>
        </w:tc>
        <w:tc>
          <w:tcPr>
            <w:tcW w:w="1075" w:type="dxa"/>
            <w:vAlign w:val="center"/>
          </w:tcPr>
          <w:p w14:paraId="2007929D">
            <w:pPr>
              <w:widowControl w:val="0"/>
              <w:kinsoku w:val="0"/>
              <w:overflowPunct w:val="0"/>
              <w:autoSpaceDE w:val="0"/>
              <w:autoSpaceDN w:val="0"/>
              <w:adjustRightInd w:val="0"/>
              <w:snapToGrid w:val="0"/>
              <w:jc w:val="right"/>
            </w:pPr>
            <w:r>
              <w:t>-0.02</w:t>
            </w:r>
          </w:p>
        </w:tc>
        <w:tc>
          <w:tcPr>
            <w:tcW w:w="1276" w:type="dxa"/>
            <w:vAlign w:val="center"/>
          </w:tcPr>
          <w:p w14:paraId="38FEFAE0">
            <w:pPr>
              <w:widowControl w:val="0"/>
              <w:kinsoku w:val="0"/>
              <w:overflowPunct w:val="0"/>
              <w:autoSpaceDE w:val="0"/>
              <w:autoSpaceDN w:val="0"/>
              <w:adjustRightInd w:val="0"/>
              <w:snapToGrid w:val="0"/>
              <w:jc w:val="right"/>
            </w:pPr>
            <w:r>
              <w:rPr>
                <w:rFonts w:hint="eastAsia"/>
              </w:rPr>
              <w:t>不适用</w:t>
            </w:r>
          </w:p>
        </w:tc>
        <w:tc>
          <w:tcPr>
            <w:tcW w:w="1231" w:type="dxa"/>
            <w:vAlign w:val="center"/>
          </w:tcPr>
          <w:p w14:paraId="64EEEF19">
            <w:pPr>
              <w:widowControl w:val="0"/>
              <w:kinsoku w:val="0"/>
              <w:overflowPunct w:val="0"/>
              <w:autoSpaceDE w:val="0"/>
              <w:autoSpaceDN w:val="0"/>
              <w:adjustRightInd w:val="0"/>
              <w:snapToGrid w:val="0"/>
              <w:jc w:val="right"/>
            </w:pPr>
            <w:r>
              <w:rPr>
                <w:rFonts w:hint="eastAsia"/>
              </w:rPr>
              <w:t>0.59</w:t>
            </w:r>
          </w:p>
        </w:tc>
      </w:tr>
      <w:tr w14:paraId="1D91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114" w:type="dxa"/>
            <w:vAlign w:val="center"/>
          </w:tcPr>
          <w:p w14:paraId="2273875A">
            <w:pPr>
              <w:widowControl w:val="0"/>
              <w:kinsoku w:val="0"/>
              <w:overflowPunct w:val="0"/>
              <w:autoSpaceDE w:val="0"/>
              <w:autoSpaceDN w:val="0"/>
              <w:adjustRightInd w:val="0"/>
              <w:snapToGrid w:val="0"/>
              <w:jc w:val="both"/>
            </w:pPr>
            <w:r>
              <w:t>稀释每股收益（元／股）</w:t>
            </w:r>
          </w:p>
        </w:tc>
        <w:tc>
          <w:tcPr>
            <w:tcW w:w="1134" w:type="dxa"/>
            <w:vAlign w:val="center"/>
          </w:tcPr>
          <w:p w14:paraId="0C13D6D2">
            <w:pPr>
              <w:widowControl w:val="0"/>
              <w:kinsoku w:val="0"/>
              <w:overflowPunct w:val="0"/>
              <w:autoSpaceDE w:val="0"/>
              <w:autoSpaceDN w:val="0"/>
              <w:adjustRightInd w:val="0"/>
              <w:snapToGrid w:val="0"/>
              <w:jc w:val="right"/>
            </w:pPr>
            <w:r>
              <w:rPr>
                <w:rFonts w:hint="eastAsia"/>
              </w:rPr>
              <w:t>0.62</w:t>
            </w:r>
          </w:p>
        </w:tc>
        <w:tc>
          <w:tcPr>
            <w:tcW w:w="993" w:type="dxa"/>
            <w:vAlign w:val="center"/>
          </w:tcPr>
          <w:p w14:paraId="366D7629">
            <w:pPr>
              <w:widowControl w:val="0"/>
              <w:kinsoku w:val="0"/>
              <w:overflowPunct w:val="0"/>
              <w:autoSpaceDE w:val="0"/>
              <w:autoSpaceDN w:val="0"/>
              <w:adjustRightInd w:val="0"/>
              <w:snapToGrid w:val="0"/>
              <w:jc w:val="right"/>
            </w:pPr>
            <w:r>
              <w:rPr>
                <w:rFonts w:hint="eastAsia"/>
              </w:rPr>
              <w:t>-0.02</w:t>
            </w:r>
          </w:p>
        </w:tc>
        <w:tc>
          <w:tcPr>
            <w:tcW w:w="1075" w:type="dxa"/>
            <w:vAlign w:val="center"/>
          </w:tcPr>
          <w:p w14:paraId="4B954C19">
            <w:pPr>
              <w:widowControl w:val="0"/>
              <w:kinsoku w:val="0"/>
              <w:overflowPunct w:val="0"/>
              <w:autoSpaceDE w:val="0"/>
              <w:autoSpaceDN w:val="0"/>
              <w:adjustRightInd w:val="0"/>
              <w:snapToGrid w:val="0"/>
              <w:jc w:val="right"/>
            </w:pPr>
            <w:r>
              <w:t>-0.02</w:t>
            </w:r>
          </w:p>
        </w:tc>
        <w:tc>
          <w:tcPr>
            <w:tcW w:w="1276" w:type="dxa"/>
            <w:vAlign w:val="center"/>
          </w:tcPr>
          <w:p w14:paraId="6DF22959">
            <w:pPr>
              <w:widowControl w:val="0"/>
              <w:kinsoku w:val="0"/>
              <w:overflowPunct w:val="0"/>
              <w:autoSpaceDE w:val="0"/>
              <w:autoSpaceDN w:val="0"/>
              <w:adjustRightInd w:val="0"/>
              <w:snapToGrid w:val="0"/>
              <w:jc w:val="right"/>
            </w:pPr>
            <w:r>
              <w:rPr>
                <w:rFonts w:hint="eastAsia"/>
              </w:rPr>
              <w:t>不适用</w:t>
            </w:r>
          </w:p>
        </w:tc>
        <w:tc>
          <w:tcPr>
            <w:tcW w:w="1231" w:type="dxa"/>
            <w:vAlign w:val="center"/>
          </w:tcPr>
          <w:p w14:paraId="35C23F6C">
            <w:pPr>
              <w:widowControl w:val="0"/>
              <w:kinsoku w:val="0"/>
              <w:overflowPunct w:val="0"/>
              <w:autoSpaceDE w:val="0"/>
              <w:autoSpaceDN w:val="0"/>
              <w:adjustRightInd w:val="0"/>
              <w:snapToGrid w:val="0"/>
              <w:jc w:val="right"/>
            </w:pPr>
            <w:r>
              <w:rPr>
                <w:rFonts w:hint="eastAsia"/>
              </w:rPr>
              <w:t>0.59</w:t>
            </w:r>
          </w:p>
        </w:tc>
      </w:tr>
      <w:tr w14:paraId="1984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3114" w:type="dxa"/>
            <w:vAlign w:val="center"/>
          </w:tcPr>
          <w:p w14:paraId="2AAE7684">
            <w:pPr>
              <w:widowControl w:val="0"/>
              <w:kinsoku w:val="0"/>
              <w:overflowPunct w:val="0"/>
              <w:autoSpaceDE w:val="0"/>
              <w:autoSpaceDN w:val="0"/>
              <w:adjustRightInd w:val="0"/>
              <w:snapToGrid w:val="0"/>
              <w:jc w:val="both"/>
            </w:pPr>
            <w:r>
              <w:t>扣除非经常性损益后的基本每股收益（元／股）</w:t>
            </w:r>
          </w:p>
        </w:tc>
        <w:tc>
          <w:tcPr>
            <w:tcW w:w="1134" w:type="dxa"/>
            <w:vAlign w:val="center"/>
          </w:tcPr>
          <w:p w14:paraId="5E11D676">
            <w:pPr>
              <w:widowControl w:val="0"/>
              <w:kinsoku w:val="0"/>
              <w:overflowPunct w:val="0"/>
              <w:autoSpaceDE w:val="0"/>
              <w:autoSpaceDN w:val="0"/>
              <w:adjustRightInd w:val="0"/>
              <w:snapToGrid w:val="0"/>
              <w:jc w:val="right"/>
            </w:pPr>
            <w:r>
              <w:rPr>
                <w:rFonts w:hint="eastAsia"/>
              </w:rPr>
              <w:t>0.19</w:t>
            </w:r>
          </w:p>
        </w:tc>
        <w:tc>
          <w:tcPr>
            <w:tcW w:w="993" w:type="dxa"/>
            <w:vAlign w:val="center"/>
          </w:tcPr>
          <w:p w14:paraId="5F8D7B9D">
            <w:pPr>
              <w:widowControl w:val="0"/>
              <w:kinsoku w:val="0"/>
              <w:overflowPunct w:val="0"/>
              <w:autoSpaceDE w:val="0"/>
              <w:autoSpaceDN w:val="0"/>
              <w:adjustRightInd w:val="0"/>
              <w:snapToGrid w:val="0"/>
              <w:jc w:val="right"/>
            </w:pPr>
            <w:r>
              <w:t>-</w:t>
            </w:r>
            <w:r>
              <w:rPr>
                <w:rFonts w:hint="eastAsia"/>
              </w:rPr>
              <w:t>0.0</w:t>
            </w:r>
            <w:r>
              <w:t>1</w:t>
            </w:r>
          </w:p>
        </w:tc>
        <w:tc>
          <w:tcPr>
            <w:tcW w:w="1075" w:type="dxa"/>
            <w:vAlign w:val="center"/>
          </w:tcPr>
          <w:p w14:paraId="4C3E2690">
            <w:pPr>
              <w:widowControl w:val="0"/>
              <w:kinsoku w:val="0"/>
              <w:overflowPunct w:val="0"/>
              <w:autoSpaceDE w:val="0"/>
              <w:autoSpaceDN w:val="0"/>
              <w:adjustRightInd w:val="0"/>
              <w:snapToGrid w:val="0"/>
              <w:jc w:val="right"/>
            </w:pPr>
            <w:r>
              <w:t>0.00</w:t>
            </w:r>
          </w:p>
        </w:tc>
        <w:tc>
          <w:tcPr>
            <w:tcW w:w="1276" w:type="dxa"/>
            <w:vAlign w:val="center"/>
          </w:tcPr>
          <w:p w14:paraId="5BB21C44">
            <w:pPr>
              <w:widowControl w:val="0"/>
              <w:kinsoku w:val="0"/>
              <w:overflowPunct w:val="0"/>
              <w:autoSpaceDE w:val="0"/>
              <w:autoSpaceDN w:val="0"/>
              <w:adjustRightInd w:val="0"/>
              <w:snapToGrid w:val="0"/>
              <w:jc w:val="right"/>
            </w:pPr>
            <w:r>
              <w:rPr>
                <w:rFonts w:hint="eastAsia"/>
              </w:rPr>
              <w:t>不适用</w:t>
            </w:r>
          </w:p>
        </w:tc>
        <w:tc>
          <w:tcPr>
            <w:tcW w:w="1231" w:type="dxa"/>
            <w:vAlign w:val="center"/>
          </w:tcPr>
          <w:p w14:paraId="21A9306F">
            <w:pPr>
              <w:widowControl w:val="0"/>
              <w:kinsoku w:val="0"/>
              <w:overflowPunct w:val="0"/>
              <w:autoSpaceDE w:val="0"/>
              <w:autoSpaceDN w:val="0"/>
              <w:adjustRightInd w:val="0"/>
              <w:snapToGrid w:val="0"/>
              <w:jc w:val="right"/>
            </w:pPr>
            <w:r>
              <w:rPr>
                <w:rFonts w:hint="eastAsia"/>
              </w:rPr>
              <w:t>0.59</w:t>
            </w:r>
          </w:p>
        </w:tc>
      </w:tr>
      <w:tr w14:paraId="431A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114" w:type="dxa"/>
            <w:vAlign w:val="center"/>
          </w:tcPr>
          <w:p w14:paraId="18E0A899">
            <w:pPr>
              <w:widowControl w:val="0"/>
              <w:kinsoku w:val="0"/>
              <w:overflowPunct w:val="0"/>
              <w:autoSpaceDE w:val="0"/>
              <w:autoSpaceDN w:val="0"/>
              <w:adjustRightInd w:val="0"/>
              <w:snapToGrid w:val="0"/>
              <w:jc w:val="both"/>
            </w:pPr>
            <w:r>
              <w:t>加权平均净资产收益率（%）</w:t>
            </w:r>
          </w:p>
        </w:tc>
        <w:tc>
          <w:tcPr>
            <w:tcW w:w="1134" w:type="dxa"/>
            <w:vAlign w:val="center"/>
          </w:tcPr>
          <w:p w14:paraId="7527E468">
            <w:pPr>
              <w:widowControl w:val="0"/>
              <w:kinsoku w:val="0"/>
              <w:overflowPunct w:val="0"/>
              <w:autoSpaceDE w:val="0"/>
              <w:autoSpaceDN w:val="0"/>
              <w:adjustRightInd w:val="0"/>
              <w:snapToGrid w:val="0"/>
              <w:jc w:val="right"/>
            </w:pPr>
            <w:r>
              <w:rPr>
                <w:rFonts w:hint="eastAsia"/>
              </w:rPr>
              <w:t>18.36</w:t>
            </w:r>
          </w:p>
        </w:tc>
        <w:tc>
          <w:tcPr>
            <w:tcW w:w="993" w:type="dxa"/>
            <w:vAlign w:val="center"/>
          </w:tcPr>
          <w:p w14:paraId="3068A333">
            <w:pPr>
              <w:widowControl w:val="0"/>
              <w:kinsoku w:val="0"/>
              <w:overflowPunct w:val="0"/>
              <w:autoSpaceDE w:val="0"/>
              <w:autoSpaceDN w:val="0"/>
              <w:adjustRightInd w:val="0"/>
              <w:snapToGrid w:val="0"/>
              <w:jc w:val="right"/>
            </w:pPr>
            <w:r>
              <w:rPr>
                <w:rFonts w:hint="eastAsia"/>
              </w:rPr>
              <w:t>-0.6</w:t>
            </w:r>
            <w:r>
              <w:t>2</w:t>
            </w:r>
          </w:p>
        </w:tc>
        <w:tc>
          <w:tcPr>
            <w:tcW w:w="1075" w:type="dxa"/>
            <w:vAlign w:val="center"/>
          </w:tcPr>
          <w:p w14:paraId="44BFB8E4">
            <w:pPr>
              <w:widowControl w:val="0"/>
              <w:kinsoku w:val="0"/>
              <w:overflowPunct w:val="0"/>
              <w:autoSpaceDE w:val="0"/>
              <w:autoSpaceDN w:val="0"/>
              <w:adjustRightInd w:val="0"/>
              <w:snapToGrid w:val="0"/>
              <w:jc w:val="right"/>
            </w:pPr>
            <w:r>
              <w:rPr>
                <w:rFonts w:hint="eastAsia"/>
              </w:rPr>
              <w:t>-</w:t>
            </w:r>
            <w:r>
              <w:t>0.63</w:t>
            </w:r>
          </w:p>
        </w:tc>
        <w:tc>
          <w:tcPr>
            <w:tcW w:w="1276" w:type="dxa"/>
            <w:vAlign w:val="center"/>
          </w:tcPr>
          <w:p w14:paraId="73D93970">
            <w:pPr>
              <w:widowControl w:val="0"/>
              <w:kinsoku w:val="0"/>
              <w:overflowPunct w:val="0"/>
              <w:autoSpaceDE w:val="0"/>
              <w:autoSpaceDN w:val="0"/>
              <w:adjustRightInd w:val="0"/>
              <w:snapToGrid w:val="0"/>
              <w:jc w:val="right"/>
            </w:pPr>
            <w:r>
              <w:rPr>
                <w:rFonts w:hint="eastAsia"/>
              </w:rPr>
              <w:t>增加18.98个百分点</w:t>
            </w:r>
          </w:p>
        </w:tc>
        <w:tc>
          <w:tcPr>
            <w:tcW w:w="1231" w:type="dxa"/>
            <w:vAlign w:val="center"/>
          </w:tcPr>
          <w:p w14:paraId="049F35E0">
            <w:pPr>
              <w:widowControl w:val="0"/>
              <w:kinsoku w:val="0"/>
              <w:overflowPunct w:val="0"/>
              <w:autoSpaceDE w:val="0"/>
              <w:autoSpaceDN w:val="0"/>
              <w:adjustRightInd w:val="0"/>
              <w:snapToGrid w:val="0"/>
              <w:jc w:val="right"/>
            </w:pPr>
            <w:r>
              <w:rPr>
                <w:rFonts w:hint="eastAsia"/>
              </w:rPr>
              <w:t>17.09</w:t>
            </w:r>
          </w:p>
        </w:tc>
      </w:tr>
      <w:tr w14:paraId="1E67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114" w:type="dxa"/>
            <w:vAlign w:val="center"/>
          </w:tcPr>
          <w:p w14:paraId="33BB2FD9">
            <w:pPr>
              <w:widowControl w:val="0"/>
              <w:kinsoku w:val="0"/>
              <w:overflowPunct w:val="0"/>
              <w:autoSpaceDE w:val="0"/>
              <w:autoSpaceDN w:val="0"/>
              <w:adjustRightInd w:val="0"/>
              <w:snapToGrid w:val="0"/>
              <w:jc w:val="both"/>
            </w:pPr>
            <w:r>
              <w:t>扣除非经常性损益后的加权平均净资产收益率（%）</w:t>
            </w:r>
          </w:p>
        </w:tc>
        <w:tc>
          <w:tcPr>
            <w:tcW w:w="1134" w:type="dxa"/>
            <w:vAlign w:val="center"/>
          </w:tcPr>
          <w:p w14:paraId="49AA0993">
            <w:pPr>
              <w:widowControl w:val="0"/>
              <w:kinsoku w:val="0"/>
              <w:overflowPunct w:val="0"/>
              <w:autoSpaceDE w:val="0"/>
              <w:autoSpaceDN w:val="0"/>
              <w:adjustRightInd w:val="0"/>
              <w:snapToGrid w:val="0"/>
              <w:jc w:val="right"/>
            </w:pPr>
            <w:r>
              <w:rPr>
                <w:rFonts w:hint="eastAsia"/>
              </w:rPr>
              <w:t>6.03</w:t>
            </w:r>
          </w:p>
        </w:tc>
        <w:tc>
          <w:tcPr>
            <w:tcW w:w="993" w:type="dxa"/>
            <w:vAlign w:val="center"/>
          </w:tcPr>
          <w:p w14:paraId="0D332D98">
            <w:pPr>
              <w:widowControl w:val="0"/>
              <w:kinsoku w:val="0"/>
              <w:overflowPunct w:val="0"/>
              <w:autoSpaceDE w:val="0"/>
              <w:autoSpaceDN w:val="0"/>
              <w:adjustRightInd w:val="0"/>
              <w:snapToGrid w:val="0"/>
              <w:jc w:val="right"/>
            </w:pPr>
            <w:r>
              <w:rPr>
                <w:rFonts w:hint="eastAsia"/>
              </w:rPr>
              <w:t>-0.1</w:t>
            </w:r>
            <w:r>
              <w:t>6</w:t>
            </w:r>
          </w:p>
        </w:tc>
        <w:tc>
          <w:tcPr>
            <w:tcW w:w="1075" w:type="dxa"/>
            <w:vAlign w:val="center"/>
          </w:tcPr>
          <w:p w14:paraId="72C01180">
            <w:pPr>
              <w:widowControl w:val="0"/>
              <w:kinsoku w:val="0"/>
              <w:overflowPunct w:val="0"/>
              <w:autoSpaceDE w:val="0"/>
              <w:autoSpaceDN w:val="0"/>
              <w:adjustRightInd w:val="0"/>
              <w:snapToGrid w:val="0"/>
              <w:jc w:val="right"/>
            </w:pPr>
            <w:r>
              <w:rPr>
                <w:rFonts w:hint="eastAsia"/>
              </w:rPr>
              <w:t>-</w:t>
            </w:r>
            <w:r>
              <w:t>0.14</w:t>
            </w:r>
          </w:p>
        </w:tc>
        <w:tc>
          <w:tcPr>
            <w:tcW w:w="1276" w:type="dxa"/>
            <w:vAlign w:val="center"/>
          </w:tcPr>
          <w:p w14:paraId="3F9B0083">
            <w:pPr>
              <w:widowControl w:val="0"/>
              <w:kinsoku w:val="0"/>
              <w:overflowPunct w:val="0"/>
              <w:autoSpaceDE w:val="0"/>
              <w:autoSpaceDN w:val="0"/>
              <w:adjustRightInd w:val="0"/>
              <w:snapToGrid w:val="0"/>
              <w:jc w:val="right"/>
            </w:pPr>
            <w:r>
              <w:rPr>
                <w:rFonts w:hint="eastAsia"/>
              </w:rPr>
              <w:t>增加6.19个百分点</w:t>
            </w:r>
          </w:p>
        </w:tc>
        <w:tc>
          <w:tcPr>
            <w:tcW w:w="1231" w:type="dxa"/>
            <w:vAlign w:val="center"/>
          </w:tcPr>
          <w:p w14:paraId="45F98CF6">
            <w:pPr>
              <w:widowControl w:val="0"/>
              <w:kinsoku w:val="0"/>
              <w:overflowPunct w:val="0"/>
              <w:autoSpaceDE w:val="0"/>
              <w:autoSpaceDN w:val="0"/>
              <w:adjustRightInd w:val="0"/>
              <w:snapToGrid w:val="0"/>
              <w:jc w:val="right"/>
            </w:pPr>
            <w:r>
              <w:rPr>
                <w:rFonts w:hint="eastAsia"/>
              </w:rPr>
              <w:t>17.08</w:t>
            </w:r>
          </w:p>
        </w:tc>
      </w:tr>
    </w:tbl>
    <w:p w14:paraId="72448777"/>
    <w:p w14:paraId="43015C3F">
      <w:pPr>
        <w:pStyle w:val="48"/>
      </w:pPr>
      <w:r>
        <w:rPr>
          <w:rFonts w:hint="eastAsia"/>
        </w:rPr>
        <w:t>报告期末公司前三年主要会计数据和财务指标的说明</w:t>
      </w:r>
    </w:p>
    <w:sdt>
      <w:sdtPr>
        <w:alias w:val="是否适用：报告期末公司前三年主要会计数据和财务指标的说明[双击切换]"/>
        <w:tag w:val="_GBC_d855ab48af34454bb263a03266267a43"/>
        <w:id w:val="-699476465"/>
        <w:placeholder>
          <w:docPart w:val="GBC22222222222222222222222222222"/>
        </w:placeholder>
      </w:sdtPr>
      <w:sdtContent>
        <w:p w14:paraId="40AB6F52">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Calibri" w:hAnsi="Calibri"/>
          <w:kern w:val="2"/>
        </w:rPr>
        <w:alias w:val="报告期末公司前三年主要会计数据和财务指标的说明"/>
        <w:tag w:val="_GBC_3f6a388b622d4cda9ea66de381322aa3"/>
        <w:id w:val="1464918844"/>
        <w:placeholder>
          <w:docPart w:val="GBC22222222222222222222222222222"/>
        </w:placeholder>
      </w:sdtPr>
      <w:sdtEndPr>
        <w:rPr>
          <w:rFonts w:ascii="Calibri" w:hAnsi="Calibri"/>
          <w:kern w:val="2"/>
          <w:highlight w:val="yellow"/>
        </w:rPr>
      </w:sdtEndPr>
      <w:sdtContent>
        <w:p w14:paraId="20D12DB5">
          <w:pPr>
            <w:spacing w:line="360" w:lineRule="auto"/>
            <w:ind w:firstLine="420" w:firstLineChars="200"/>
            <w:jc w:val="both"/>
            <w:rPr>
              <w:rFonts w:ascii="宋体" w:hAnsi="宋体" w:cs="宋体"/>
              <w:szCs w:val="24"/>
            </w:rPr>
          </w:pPr>
          <w:r>
            <w:rPr>
              <w:rFonts w:hint="eastAsia" w:ascii="宋体" w:hAnsi="宋体" w:cs="宋体"/>
              <w:szCs w:val="24"/>
            </w:rPr>
            <w:t>营业收入变动原因说明：主要系报告期胰岛素类似物产品销量增长显著，带动国内销售收入增长，同时上年同期在胰岛素注射液系列产品集采续标实施前，商业公司对库存进行控制与调整，使公司发货减少致同期收入减少所致。</w:t>
          </w:r>
        </w:p>
        <w:p w14:paraId="6ABD5FA8">
          <w:pPr>
            <w:spacing w:line="360" w:lineRule="auto"/>
            <w:ind w:firstLine="420" w:firstLineChars="200"/>
            <w:jc w:val="both"/>
            <w:rPr>
              <w:rFonts w:ascii="宋体" w:hAnsi="宋体" w:cs="宋体"/>
              <w:szCs w:val="24"/>
            </w:rPr>
          </w:pPr>
          <w:r>
            <w:rPr>
              <w:rFonts w:hint="eastAsia" w:ascii="宋体" w:hAnsi="宋体" w:cs="宋体"/>
              <w:szCs w:val="24"/>
            </w:rPr>
            <w:t>利润总额变动原因说明：主要系报告期营业收入增长及转让特宝生物股份，且上年同期研发项目终止，确认研发损失金额较大所致。</w:t>
          </w:r>
        </w:p>
        <w:p w14:paraId="20BC933C">
          <w:pPr>
            <w:spacing w:line="360" w:lineRule="auto"/>
            <w:ind w:firstLine="420" w:firstLineChars="200"/>
            <w:jc w:val="both"/>
            <w:rPr>
              <w:rFonts w:ascii="宋体" w:hAnsi="宋体" w:cs="宋体"/>
              <w:szCs w:val="24"/>
            </w:rPr>
          </w:pPr>
          <w:r>
            <w:rPr>
              <w:rFonts w:hint="eastAsia" w:ascii="宋体" w:hAnsi="宋体" w:cs="宋体"/>
              <w:szCs w:val="24"/>
            </w:rPr>
            <w:t>归属于上市公司股东的净利润变动原因说明：主要系报告期营业收入增长及转让特宝生物股份，且上年同期研发项目终止，确认研发损失金额较大所致。</w:t>
          </w:r>
        </w:p>
        <w:p w14:paraId="0AC38822">
          <w:pPr>
            <w:spacing w:line="360" w:lineRule="auto"/>
            <w:ind w:firstLine="420" w:firstLineChars="200"/>
            <w:jc w:val="both"/>
            <w:rPr>
              <w:rFonts w:ascii="宋体" w:hAnsi="宋体" w:cs="宋体"/>
              <w:szCs w:val="24"/>
            </w:rPr>
          </w:pPr>
          <w:r>
            <w:rPr>
              <w:rFonts w:hint="eastAsia" w:ascii="宋体" w:hAnsi="宋体" w:cs="宋体"/>
              <w:szCs w:val="24"/>
            </w:rPr>
            <w:t>归属于上市公司股东的扣除非经常性损益的净利润变动原因说明：主要系报告期营业收入增长及上年同期研发项目终止，确认研发损失金额较大所致。</w:t>
          </w:r>
        </w:p>
        <w:p w14:paraId="6AF2FD03">
          <w:pPr>
            <w:spacing w:line="360" w:lineRule="auto"/>
            <w:ind w:firstLine="420" w:firstLineChars="200"/>
            <w:jc w:val="both"/>
            <w:rPr>
              <w:rFonts w:ascii="宋体" w:hAnsi="宋体" w:cs="宋体"/>
              <w:szCs w:val="24"/>
            </w:rPr>
          </w:pPr>
          <w:r>
            <w:rPr>
              <w:rFonts w:hint="eastAsia" w:ascii="宋体" w:hAnsi="宋体" w:cs="宋体"/>
              <w:szCs w:val="24"/>
            </w:rPr>
            <w:t>经营活动产生的现金流量净额变动原因说明：主要系报告期销售商品、提供劳务收到的现金增加所致。</w:t>
          </w:r>
        </w:p>
        <w:p w14:paraId="3E6ED50C">
          <w:pPr>
            <w:spacing w:line="360" w:lineRule="auto"/>
            <w:ind w:firstLine="420" w:firstLineChars="200"/>
            <w:jc w:val="both"/>
            <w:rPr>
              <w:rFonts w:ascii="宋体" w:hAnsi="宋体" w:cs="宋体"/>
              <w:szCs w:val="24"/>
            </w:rPr>
          </w:pPr>
          <w:r>
            <w:rPr>
              <w:rFonts w:hint="eastAsia" w:ascii="宋体" w:hAnsi="宋体" w:cs="宋体"/>
              <w:szCs w:val="24"/>
            </w:rPr>
            <w:t>基本每股收益变动原因说明：主要系报告期归属于上市公司股东的净利润增加所致。</w:t>
          </w:r>
        </w:p>
        <w:p w14:paraId="5D689E4D">
          <w:pPr>
            <w:spacing w:line="360" w:lineRule="auto"/>
            <w:ind w:firstLine="420" w:firstLineChars="200"/>
            <w:jc w:val="both"/>
            <w:rPr>
              <w:rFonts w:ascii="宋体" w:hAnsi="宋体" w:cs="宋体"/>
              <w:szCs w:val="24"/>
            </w:rPr>
          </w:pPr>
          <w:r>
            <w:rPr>
              <w:rFonts w:hint="eastAsia" w:ascii="宋体" w:hAnsi="宋体" w:cs="宋体"/>
              <w:szCs w:val="24"/>
            </w:rPr>
            <w:t>稀释每股收益变动原因说明：主要系报告期归属于上市公司股东的净利润增加所致。</w:t>
          </w:r>
        </w:p>
        <w:p w14:paraId="4994CB9E">
          <w:pPr>
            <w:pStyle w:val="48"/>
            <w:spacing w:line="360" w:lineRule="auto"/>
            <w:ind w:firstLine="420" w:firstLineChars="200"/>
          </w:pPr>
          <w:r>
            <w:rPr>
              <w:rFonts w:hint="eastAsia" w:ascii="宋体" w:hAnsi="宋体" w:cs="宋体"/>
              <w:kern w:val="0"/>
              <w:szCs w:val="24"/>
            </w:rPr>
            <w:t>扣除非经常性损益后的基本每股收益变动原因说明：主要系报告期归属于上市公司股东扣除非经常性损益的净利润增加所致。</w:t>
          </w:r>
        </w:p>
      </w:sdtContent>
    </w:sdt>
    <w:p w14:paraId="6375A009">
      <w:pPr>
        <w:pStyle w:val="48"/>
      </w:pPr>
    </w:p>
    <w:p w14:paraId="13C99F24">
      <w:pPr>
        <w:pStyle w:val="3"/>
        <w:numPr>
          <w:ilvl w:val="1"/>
          <w:numId w:val="4"/>
        </w:numPr>
        <w:ind w:left="498" w:hanging="498" w:hangingChars="236"/>
        <w:rPr>
          <w:u w:val="single"/>
        </w:rPr>
      </w:pPr>
      <w:r>
        <w:rPr>
          <w:rFonts w:hint="eastAsia"/>
        </w:rPr>
        <w:t>境内外会计准则下会计数据差异</w:t>
      </w:r>
    </w:p>
    <w:p w14:paraId="6558A0EA">
      <w:pPr>
        <w:pStyle w:val="4"/>
        <w:numPr>
          <w:ilvl w:val="0"/>
          <w:numId w:val="6"/>
        </w:numPr>
        <w:ind w:left="0" w:firstLine="0"/>
        <w:rPr>
          <w:szCs w:val="21"/>
        </w:rPr>
      </w:pPr>
      <w:r>
        <w:rPr>
          <w:rFonts w:hint="eastAsia"/>
          <w:szCs w:val="21"/>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bb9cf96a724c468d909aca01e1066e6b"/>
        <w:id w:val="-275101734"/>
        <w:placeholder>
          <w:docPart w:val="GBC22222222222222222222222222222"/>
        </w:placeholder>
      </w:sdtPr>
      <w:sdtContent>
        <w:p w14:paraId="5EE096DB">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FF6D9E8">
      <w:pPr>
        <w:pStyle w:val="48"/>
      </w:pPr>
    </w:p>
    <w:p w14:paraId="56282598">
      <w:pPr>
        <w:pStyle w:val="4"/>
        <w:numPr>
          <w:ilvl w:val="0"/>
          <w:numId w:val="6"/>
        </w:numPr>
        <w:ind w:left="0" w:firstLine="0"/>
        <w:rPr>
          <w:szCs w:val="21"/>
        </w:rPr>
      </w:pPr>
      <w:r>
        <w:rPr>
          <w:rFonts w:hint="eastAsia"/>
          <w:szCs w:val="21"/>
        </w:rPr>
        <w:t>同时按照境外会计准则与按中国会计准则披露的财务报告中净利润和归属于上市公司股东的净资产差异情况</w:t>
      </w:r>
    </w:p>
    <w:sdt>
      <w:sdtPr>
        <w:alias w:val="是否适用：同时按照境外会计准则与按中国会计准则披露的财务报告中净利润和净资产差异情况[双击切换]"/>
        <w:tag w:val="_GBC_a97367c44d2842a1bfb53d78727711bb"/>
        <w:id w:val="-924640394"/>
        <w:placeholder>
          <w:docPart w:val="GBC22222222222222222222222222222"/>
        </w:placeholder>
      </w:sdtPr>
      <w:sdtContent>
        <w:p w14:paraId="0675E1D7">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55C5E3">
      <w:pPr>
        <w:pStyle w:val="48"/>
      </w:pPr>
    </w:p>
    <w:p w14:paraId="61F64B14">
      <w:pPr>
        <w:pStyle w:val="4"/>
        <w:numPr>
          <w:ilvl w:val="0"/>
          <w:numId w:val="6"/>
        </w:numPr>
        <w:ind w:left="0" w:firstLine="0"/>
        <w:rPr>
          <w:szCs w:val="21"/>
        </w:rPr>
      </w:pPr>
      <w:r>
        <w:rPr>
          <w:rFonts w:hint="eastAsia"/>
          <w:szCs w:val="21"/>
        </w:rPr>
        <w:t>境内外会计准则差异的说明：</w:t>
      </w:r>
    </w:p>
    <w:sdt>
      <w:sdtPr>
        <w:alias w:val="是否适用：境内外会计准则差异的说明[双击切换]"/>
        <w:tag w:val="_GBC_fb9a5edc484f49ab948423fc0bade519"/>
        <w:id w:val="-563716971"/>
        <w:placeholder>
          <w:docPart w:val="GBC22222222222222222222222222222"/>
        </w:placeholder>
      </w:sdtPr>
      <w:sdtContent>
        <w:p w14:paraId="5794DB70">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B5A11DC">
      <w:pPr>
        <w:pStyle w:val="48"/>
      </w:pPr>
    </w:p>
    <w:p w14:paraId="35CE9F34">
      <w:pPr>
        <w:pStyle w:val="3"/>
        <w:numPr>
          <w:ilvl w:val="1"/>
          <w:numId w:val="4"/>
        </w:numPr>
        <w:ind w:left="498" w:hanging="498" w:hangingChars="236"/>
        <w:rPr>
          <w:u w:val="single"/>
        </w:rPr>
      </w:pPr>
      <w:r>
        <w:rPr>
          <w:rFonts w:hint="eastAsia"/>
        </w:rPr>
        <w:t>2025年分季度主要财务数据</w:t>
      </w:r>
    </w:p>
    <w:p w14:paraId="3A87D376">
      <w:pPr>
        <w:jc w:val="right"/>
      </w:pPr>
      <w:r>
        <w:rPr>
          <w:rFonts w:hint="eastAsia"/>
        </w:rPr>
        <w:t>单位：</w:t>
      </w:r>
      <w:sdt>
        <w:sdtPr>
          <w:rPr>
            <w:rFonts w:hint="eastAsia"/>
          </w:rPr>
          <w:alias w:val="单位：分季度主要财务数据"/>
          <w:tag w:val="_GBC_c7bf8a69799342519e2da375e77f8d89"/>
          <w:id w:val="1391662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分季度主要财务数据"/>
          <w:tag w:val="_GBC_e825fbcd15674ffd86165e4ed7dcbbaf"/>
          <w:id w:val="2036086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842"/>
        <w:gridCol w:w="1558"/>
        <w:gridCol w:w="1558"/>
        <w:gridCol w:w="1683"/>
      </w:tblGrid>
      <w:tr w14:paraId="0F9F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529DF33A">
            <w:pPr>
              <w:widowControl w:val="0"/>
              <w:spacing w:line="360" w:lineRule="auto"/>
              <w:jc w:val="center"/>
              <w:rPr>
                <w:rFonts w:ascii="Calibri" w:hAnsi="Calibri"/>
                <w:sz w:val="20"/>
                <w:szCs w:val="20"/>
              </w:rPr>
            </w:pPr>
          </w:p>
        </w:tc>
        <w:sdt>
          <w:sdtPr>
            <w:tag w:val="_PLD_2d7ae3b1c4bd43a98e284f10d0bdc51f"/>
            <w:id w:val="-905142827"/>
          </w:sdtPr>
          <w:sdtContent>
            <w:tc>
              <w:tcPr>
                <w:tcW w:w="1842" w:type="dxa"/>
                <w:vAlign w:val="center"/>
              </w:tcPr>
              <w:p w14:paraId="727BCE59">
                <w:pPr>
                  <w:widowControl w:val="0"/>
                  <w:spacing w:line="360" w:lineRule="auto"/>
                  <w:jc w:val="center"/>
                  <w:rPr>
                    <w:rFonts w:ascii="Calibri" w:hAnsi="Calibri"/>
                    <w:sz w:val="20"/>
                    <w:szCs w:val="20"/>
                  </w:rPr>
                </w:pPr>
                <w:r>
                  <w:rPr>
                    <w:rFonts w:hint="eastAsia" w:ascii="Calibri" w:hAnsi="Calibri"/>
                    <w:sz w:val="20"/>
                    <w:szCs w:val="20"/>
                  </w:rPr>
                  <w:t>第一季度</w:t>
                </w:r>
              </w:p>
              <w:p w14:paraId="236D0519">
                <w:pPr>
                  <w:widowControl w:val="0"/>
                  <w:spacing w:line="360" w:lineRule="auto"/>
                  <w:jc w:val="center"/>
                  <w:rPr>
                    <w:rFonts w:ascii="Calibri" w:hAnsi="Calibri"/>
                    <w:sz w:val="20"/>
                    <w:szCs w:val="20"/>
                  </w:rPr>
                </w:pPr>
                <w:r>
                  <w:rPr>
                    <w:rFonts w:hint="eastAsia" w:ascii="Calibri" w:hAnsi="Calibri"/>
                    <w:sz w:val="20"/>
                    <w:szCs w:val="20"/>
                  </w:rPr>
                  <w:t>（1-3月份）</w:t>
                </w:r>
              </w:p>
            </w:tc>
          </w:sdtContent>
        </w:sdt>
        <w:sdt>
          <w:sdtPr>
            <w:tag w:val="_PLD_07258d0e3e7e4393960c3400b24cda70"/>
            <w:id w:val="1525364381"/>
          </w:sdtPr>
          <w:sdtContent>
            <w:tc>
              <w:tcPr>
                <w:tcW w:w="1558" w:type="dxa"/>
                <w:vAlign w:val="center"/>
              </w:tcPr>
              <w:p w14:paraId="791F1729">
                <w:pPr>
                  <w:widowControl w:val="0"/>
                  <w:spacing w:line="360" w:lineRule="auto"/>
                  <w:jc w:val="center"/>
                  <w:rPr>
                    <w:rFonts w:ascii="Calibri" w:hAnsi="Calibri"/>
                    <w:sz w:val="20"/>
                    <w:szCs w:val="20"/>
                  </w:rPr>
                </w:pPr>
                <w:r>
                  <w:rPr>
                    <w:rFonts w:hint="eastAsia" w:ascii="Calibri" w:hAnsi="Calibri"/>
                    <w:sz w:val="20"/>
                    <w:szCs w:val="20"/>
                  </w:rPr>
                  <w:t>第二季度</w:t>
                </w:r>
              </w:p>
              <w:p w14:paraId="549064C9">
                <w:pPr>
                  <w:widowControl w:val="0"/>
                  <w:spacing w:line="360" w:lineRule="auto"/>
                  <w:jc w:val="center"/>
                  <w:rPr>
                    <w:rFonts w:ascii="Calibri" w:hAnsi="Calibri"/>
                    <w:sz w:val="20"/>
                    <w:szCs w:val="20"/>
                  </w:rPr>
                </w:pPr>
                <w:r>
                  <w:rPr>
                    <w:rFonts w:hint="eastAsia" w:ascii="Calibri" w:hAnsi="Calibri"/>
                    <w:sz w:val="20"/>
                    <w:szCs w:val="20"/>
                  </w:rPr>
                  <w:t>（4-6月份）</w:t>
                </w:r>
              </w:p>
            </w:tc>
          </w:sdtContent>
        </w:sdt>
        <w:sdt>
          <w:sdtPr>
            <w:tag w:val="_PLD_f34790307d174eceaa953001c5186096"/>
            <w:id w:val="1749606096"/>
          </w:sdtPr>
          <w:sdtContent>
            <w:tc>
              <w:tcPr>
                <w:tcW w:w="1558" w:type="dxa"/>
                <w:vAlign w:val="center"/>
              </w:tcPr>
              <w:p w14:paraId="1E3AF6AE">
                <w:pPr>
                  <w:widowControl w:val="0"/>
                  <w:spacing w:line="360" w:lineRule="auto"/>
                  <w:jc w:val="center"/>
                  <w:rPr>
                    <w:rFonts w:ascii="Calibri" w:hAnsi="Calibri"/>
                    <w:sz w:val="20"/>
                    <w:szCs w:val="20"/>
                  </w:rPr>
                </w:pPr>
                <w:r>
                  <w:rPr>
                    <w:rFonts w:hint="eastAsia" w:ascii="Calibri" w:hAnsi="Calibri"/>
                    <w:sz w:val="20"/>
                    <w:szCs w:val="20"/>
                  </w:rPr>
                  <w:t>第三季度</w:t>
                </w:r>
              </w:p>
              <w:p w14:paraId="4B990EA2">
                <w:pPr>
                  <w:widowControl w:val="0"/>
                  <w:spacing w:line="360" w:lineRule="auto"/>
                  <w:jc w:val="center"/>
                  <w:rPr>
                    <w:rFonts w:ascii="Calibri" w:hAnsi="Calibri"/>
                    <w:sz w:val="20"/>
                    <w:szCs w:val="20"/>
                  </w:rPr>
                </w:pPr>
                <w:r>
                  <w:rPr>
                    <w:rFonts w:hint="eastAsia" w:ascii="Calibri" w:hAnsi="Calibri"/>
                    <w:sz w:val="20"/>
                    <w:szCs w:val="20"/>
                  </w:rPr>
                  <w:t>（7-9月份）</w:t>
                </w:r>
              </w:p>
            </w:tc>
          </w:sdtContent>
        </w:sdt>
        <w:sdt>
          <w:sdtPr>
            <w:tag w:val="_PLD_18cc80c8863d4859a79676f49ef83412"/>
            <w:id w:val="924460953"/>
          </w:sdtPr>
          <w:sdtContent>
            <w:tc>
              <w:tcPr>
                <w:tcW w:w="1683" w:type="dxa"/>
                <w:vAlign w:val="center"/>
              </w:tcPr>
              <w:p w14:paraId="6967A0F5">
                <w:pPr>
                  <w:widowControl w:val="0"/>
                  <w:spacing w:line="360" w:lineRule="auto"/>
                  <w:jc w:val="center"/>
                  <w:rPr>
                    <w:rFonts w:ascii="Calibri" w:hAnsi="Calibri"/>
                    <w:sz w:val="20"/>
                    <w:szCs w:val="20"/>
                  </w:rPr>
                </w:pPr>
                <w:r>
                  <w:rPr>
                    <w:rFonts w:hint="eastAsia" w:ascii="Calibri" w:hAnsi="Calibri"/>
                    <w:sz w:val="20"/>
                    <w:szCs w:val="20"/>
                  </w:rPr>
                  <w:t>第四季度</w:t>
                </w:r>
              </w:p>
              <w:p w14:paraId="26D2D5C5">
                <w:pPr>
                  <w:widowControl w:val="0"/>
                  <w:spacing w:line="360" w:lineRule="auto"/>
                  <w:jc w:val="center"/>
                  <w:rPr>
                    <w:rFonts w:ascii="Calibri" w:hAnsi="Calibri"/>
                    <w:sz w:val="20"/>
                    <w:szCs w:val="20"/>
                  </w:rPr>
                </w:pPr>
                <w:r>
                  <w:rPr>
                    <w:rFonts w:hint="eastAsia" w:ascii="Calibri" w:hAnsi="Calibri"/>
                    <w:sz w:val="20"/>
                    <w:szCs w:val="20"/>
                  </w:rPr>
                  <w:t>（10-12月份）</w:t>
                </w:r>
              </w:p>
            </w:tc>
          </w:sdtContent>
        </w:sdt>
      </w:tr>
      <w:tr w14:paraId="6BF7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429C9CA5">
            <w:pPr>
              <w:widowControl w:val="0"/>
              <w:spacing w:line="360" w:lineRule="auto"/>
              <w:jc w:val="both"/>
              <w:rPr>
                <w:rFonts w:ascii="Calibri" w:hAnsi="Calibri"/>
                <w:sz w:val="20"/>
                <w:szCs w:val="20"/>
              </w:rPr>
            </w:pPr>
            <w:r>
              <w:rPr>
                <w:rFonts w:hint="eastAsia" w:ascii="Calibri" w:hAnsi="Calibri"/>
                <w:sz w:val="20"/>
                <w:szCs w:val="20"/>
              </w:rPr>
              <w:t>营业收入</w:t>
            </w:r>
          </w:p>
        </w:tc>
        <w:tc>
          <w:tcPr>
            <w:tcW w:w="1842" w:type="dxa"/>
            <w:vAlign w:val="center"/>
          </w:tcPr>
          <w:p w14:paraId="7F7BE29A">
            <w:pPr>
              <w:widowControl w:val="0"/>
              <w:spacing w:line="360" w:lineRule="auto"/>
              <w:jc w:val="right"/>
              <w:rPr>
                <w:rFonts w:ascii="Calibri" w:hAnsi="Calibri"/>
                <w:sz w:val="20"/>
                <w:szCs w:val="20"/>
              </w:rPr>
            </w:pPr>
            <w:r>
              <w:rPr>
                <w:rFonts w:ascii="Calibri" w:hAnsi="Calibri"/>
                <w:sz w:val="20"/>
                <w:szCs w:val="20"/>
              </w:rPr>
              <w:t>651,502,983.92</w:t>
            </w:r>
          </w:p>
        </w:tc>
        <w:tc>
          <w:tcPr>
            <w:tcW w:w="1558" w:type="dxa"/>
            <w:vAlign w:val="center"/>
          </w:tcPr>
          <w:p w14:paraId="36C08A83">
            <w:pPr>
              <w:widowControl w:val="0"/>
              <w:spacing w:line="360" w:lineRule="auto"/>
              <w:jc w:val="right"/>
              <w:rPr>
                <w:rFonts w:ascii="Calibri" w:hAnsi="Calibri"/>
                <w:sz w:val="20"/>
                <w:szCs w:val="20"/>
              </w:rPr>
            </w:pPr>
            <w:r>
              <w:rPr>
                <w:rFonts w:ascii="Calibri" w:hAnsi="Calibri"/>
                <w:sz w:val="20"/>
                <w:szCs w:val="20"/>
              </w:rPr>
              <w:t>721,987,584.37</w:t>
            </w:r>
          </w:p>
        </w:tc>
        <w:tc>
          <w:tcPr>
            <w:tcW w:w="1558" w:type="dxa"/>
            <w:vAlign w:val="center"/>
          </w:tcPr>
          <w:p w14:paraId="327F2F79">
            <w:pPr>
              <w:widowControl w:val="0"/>
              <w:spacing w:line="360" w:lineRule="auto"/>
              <w:jc w:val="right"/>
              <w:rPr>
                <w:rFonts w:ascii="Calibri" w:hAnsi="Calibri"/>
                <w:sz w:val="20"/>
                <w:szCs w:val="20"/>
              </w:rPr>
            </w:pPr>
            <w:r>
              <w:rPr>
                <w:rFonts w:ascii="Calibri" w:hAnsi="Calibri"/>
                <w:sz w:val="20"/>
                <w:szCs w:val="20"/>
              </w:rPr>
              <w:t>806,097,911.72</w:t>
            </w:r>
          </w:p>
        </w:tc>
        <w:tc>
          <w:tcPr>
            <w:tcW w:w="1683" w:type="dxa"/>
            <w:vAlign w:val="center"/>
          </w:tcPr>
          <w:p w14:paraId="71BB11E6">
            <w:pPr>
              <w:widowControl w:val="0"/>
              <w:spacing w:line="360" w:lineRule="auto"/>
              <w:jc w:val="right"/>
              <w:rPr>
                <w:rFonts w:ascii="Calibri" w:hAnsi="Calibri"/>
                <w:sz w:val="20"/>
                <w:szCs w:val="20"/>
              </w:rPr>
            </w:pPr>
            <w:r>
              <w:rPr>
                <w:rFonts w:ascii="Calibri" w:hAnsi="Calibri"/>
                <w:sz w:val="20"/>
                <w:szCs w:val="20"/>
              </w:rPr>
              <w:t>767,640,317.14</w:t>
            </w:r>
          </w:p>
        </w:tc>
      </w:tr>
      <w:tr w14:paraId="1B8C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229D5823">
            <w:pPr>
              <w:widowControl w:val="0"/>
              <w:spacing w:line="276" w:lineRule="auto"/>
              <w:jc w:val="both"/>
              <w:rPr>
                <w:rFonts w:ascii="Calibri" w:hAnsi="Calibri"/>
                <w:sz w:val="20"/>
                <w:szCs w:val="20"/>
              </w:rPr>
            </w:pPr>
            <w:r>
              <w:rPr>
                <w:rFonts w:hint="eastAsia" w:ascii="Calibri" w:hAnsi="Calibri"/>
                <w:sz w:val="20"/>
                <w:szCs w:val="20"/>
              </w:rPr>
              <w:t>归属于上市公司股东的净利润</w:t>
            </w:r>
          </w:p>
        </w:tc>
        <w:tc>
          <w:tcPr>
            <w:tcW w:w="1842" w:type="dxa"/>
            <w:vAlign w:val="center"/>
          </w:tcPr>
          <w:p w14:paraId="351C677F">
            <w:pPr>
              <w:widowControl w:val="0"/>
              <w:spacing w:line="360" w:lineRule="auto"/>
              <w:jc w:val="right"/>
              <w:rPr>
                <w:rFonts w:ascii="Calibri" w:hAnsi="Calibri"/>
                <w:sz w:val="20"/>
                <w:szCs w:val="20"/>
              </w:rPr>
            </w:pPr>
            <w:r>
              <w:rPr>
                <w:rFonts w:ascii="Calibri" w:hAnsi="Calibri"/>
                <w:sz w:val="20"/>
                <w:szCs w:val="20"/>
              </w:rPr>
              <w:t>109,164,049.37</w:t>
            </w:r>
          </w:p>
        </w:tc>
        <w:tc>
          <w:tcPr>
            <w:tcW w:w="1558" w:type="dxa"/>
            <w:vAlign w:val="center"/>
          </w:tcPr>
          <w:p w14:paraId="7AED3D87">
            <w:pPr>
              <w:widowControl w:val="0"/>
              <w:spacing w:line="360" w:lineRule="auto"/>
              <w:jc w:val="right"/>
              <w:rPr>
                <w:rFonts w:ascii="Calibri" w:hAnsi="Calibri"/>
                <w:sz w:val="20"/>
                <w:szCs w:val="20"/>
              </w:rPr>
            </w:pPr>
            <w:r>
              <w:rPr>
                <w:rFonts w:ascii="Calibri" w:hAnsi="Calibri"/>
                <w:sz w:val="20"/>
                <w:szCs w:val="20"/>
              </w:rPr>
              <w:t>108,594,014.46</w:t>
            </w:r>
          </w:p>
        </w:tc>
        <w:tc>
          <w:tcPr>
            <w:tcW w:w="1558" w:type="dxa"/>
            <w:vAlign w:val="center"/>
          </w:tcPr>
          <w:p w14:paraId="1528F35E">
            <w:pPr>
              <w:widowControl w:val="0"/>
              <w:spacing w:line="360" w:lineRule="auto"/>
              <w:jc w:val="right"/>
              <w:rPr>
                <w:rFonts w:ascii="Calibri" w:hAnsi="Calibri"/>
                <w:sz w:val="20"/>
                <w:szCs w:val="20"/>
              </w:rPr>
            </w:pPr>
            <w:r>
              <w:rPr>
                <w:rFonts w:ascii="Calibri" w:hAnsi="Calibri"/>
                <w:sz w:val="20"/>
                <w:szCs w:val="20"/>
              </w:rPr>
              <w:t>984,476,304.01</w:t>
            </w:r>
          </w:p>
        </w:tc>
        <w:tc>
          <w:tcPr>
            <w:tcW w:w="1683" w:type="dxa"/>
            <w:vAlign w:val="center"/>
          </w:tcPr>
          <w:p w14:paraId="0CFB90D3">
            <w:pPr>
              <w:widowControl w:val="0"/>
              <w:spacing w:line="360" w:lineRule="auto"/>
              <w:jc w:val="right"/>
              <w:rPr>
                <w:rFonts w:ascii="Calibri" w:hAnsi="Calibri"/>
                <w:sz w:val="20"/>
                <w:szCs w:val="20"/>
              </w:rPr>
            </w:pPr>
            <w:r>
              <w:rPr>
                <w:rFonts w:ascii="Calibri" w:hAnsi="Calibri"/>
                <w:sz w:val="20"/>
                <w:szCs w:val="20"/>
              </w:rPr>
              <w:t>16,818,507.41</w:t>
            </w:r>
          </w:p>
        </w:tc>
      </w:tr>
      <w:tr w14:paraId="70D1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727170FA">
            <w:pPr>
              <w:widowControl w:val="0"/>
              <w:spacing w:line="276" w:lineRule="auto"/>
              <w:jc w:val="both"/>
              <w:rPr>
                <w:rFonts w:ascii="Calibri" w:hAnsi="Calibri"/>
                <w:sz w:val="20"/>
                <w:szCs w:val="20"/>
              </w:rPr>
            </w:pPr>
            <w:r>
              <w:rPr>
                <w:rFonts w:hint="eastAsia" w:ascii="Calibri" w:hAnsi="Calibri"/>
                <w:sz w:val="20"/>
                <w:szCs w:val="20"/>
              </w:rPr>
              <w:t>归属于上市公司股东的扣除非经常性损益后的净利润</w:t>
            </w:r>
          </w:p>
        </w:tc>
        <w:tc>
          <w:tcPr>
            <w:tcW w:w="1842" w:type="dxa"/>
            <w:vAlign w:val="center"/>
          </w:tcPr>
          <w:p w14:paraId="7A787F48">
            <w:pPr>
              <w:widowControl w:val="0"/>
              <w:spacing w:line="276" w:lineRule="auto"/>
              <w:jc w:val="right"/>
              <w:rPr>
                <w:rFonts w:ascii="Calibri" w:hAnsi="Calibri"/>
                <w:sz w:val="20"/>
                <w:szCs w:val="20"/>
              </w:rPr>
            </w:pPr>
            <w:r>
              <w:rPr>
                <w:rFonts w:ascii="Calibri" w:hAnsi="Calibri"/>
                <w:sz w:val="20"/>
                <w:szCs w:val="20"/>
              </w:rPr>
              <w:t>109,974,010.73</w:t>
            </w:r>
          </w:p>
        </w:tc>
        <w:tc>
          <w:tcPr>
            <w:tcW w:w="1558" w:type="dxa"/>
            <w:vAlign w:val="center"/>
          </w:tcPr>
          <w:p w14:paraId="452E741B">
            <w:pPr>
              <w:widowControl w:val="0"/>
              <w:spacing w:line="276" w:lineRule="auto"/>
              <w:jc w:val="right"/>
              <w:rPr>
                <w:rFonts w:ascii="Calibri" w:hAnsi="Calibri"/>
                <w:sz w:val="20"/>
                <w:szCs w:val="20"/>
              </w:rPr>
            </w:pPr>
            <w:r>
              <w:rPr>
                <w:rFonts w:ascii="Calibri" w:hAnsi="Calibri"/>
                <w:sz w:val="20"/>
                <w:szCs w:val="20"/>
              </w:rPr>
              <w:t>110,845,391.32</w:t>
            </w:r>
          </w:p>
        </w:tc>
        <w:tc>
          <w:tcPr>
            <w:tcW w:w="1558" w:type="dxa"/>
            <w:vAlign w:val="center"/>
          </w:tcPr>
          <w:p w14:paraId="607CB7A6">
            <w:pPr>
              <w:widowControl w:val="0"/>
              <w:spacing w:line="276" w:lineRule="auto"/>
              <w:jc w:val="right"/>
              <w:rPr>
                <w:rFonts w:ascii="Calibri" w:hAnsi="Calibri"/>
                <w:sz w:val="20"/>
                <w:szCs w:val="20"/>
              </w:rPr>
            </w:pPr>
            <w:r>
              <w:rPr>
                <w:rFonts w:ascii="Calibri" w:hAnsi="Calibri"/>
                <w:sz w:val="20"/>
                <w:szCs w:val="20"/>
              </w:rPr>
              <w:t>100,539,622.11</w:t>
            </w:r>
          </w:p>
        </w:tc>
        <w:tc>
          <w:tcPr>
            <w:tcW w:w="1683" w:type="dxa"/>
            <w:vAlign w:val="center"/>
          </w:tcPr>
          <w:p w14:paraId="13BB9846">
            <w:pPr>
              <w:widowControl w:val="0"/>
              <w:spacing w:line="276" w:lineRule="auto"/>
              <w:jc w:val="right"/>
              <w:rPr>
                <w:rFonts w:ascii="Calibri" w:hAnsi="Calibri"/>
                <w:sz w:val="20"/>
                <w:szCs w:val="20"/>
              </w:rPr>
            </w:pPr>
            <w:r>
              <w:rPr>
                <w:rFonts w:ascii="Calibri" w:hAnsi="Calibri"/>
                <w:sz w:val="20"/>
                <w:szCs w:val="20"/>
              </w:rPr>
              <w:t>53,599,288.23</w:t>
            </w:r>
          </w:p>
        </w:tc>
      </w:tr>
      <w:tr w14:paraId="6E45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10B5FB44">
            <w:pPr>
              <w:widowControl w:val="0"/>
              <w:spacing w:line="276" w:lineRule="auto"/>
              <w:jc w:val="both"/>
              <w:rPr>
                <w:rFonts w:ascii="Calibri" w:hAnsi="Calibri"/>
                <w:sz w:val="20"/>
                <w:szCs w:val="20"/>
              </w:rPr>
            </w:pPr>
            <w:r>
              <w:rPr>
                <w:rFonts w:hint="eastAsia" w:ascii="Calibri" w:hAnsi="Calibri"/>
                <w:sz w:val="20"/>
                <w:szCs w:val="20"/>
              </w:rPr>
              <w:t>经营活动产生的现金流量净额</w:t>
            </w:r>
          </w:p>
        </w:tc>
        <w:tc>
          <w:tcPr>
            <w:tcW w:w="1842" w:type="dxa"/>
            <w:vAlign w:val="center"/>
          </w:tcPr>
          <w:p w14:paraId="38FC3CCD">
            <w:pPr>
              <w:widowControl w:val="0"/>
              <w:spacing w:line="276" w:lineRule="auto"/>
              <w:jc w:val="right"/>
              <w:rPr>
                <w:rFonts w:ascii="Calibri" w:hAnsi="Calibri"/>
                <w:sz w:val="20"/>
                <w:szCs w:val="20"/>
              </w:rPr>
            </w:pPr>
            <w:r>
              <w:rPr>
                <w:rFonts w:ascii="Calibri" w:hAnsi="Calibri"/>
                <w:sz w:val="20"/>
                <w:szCs w:val="20"/>
              </w:rPr>
              <w:t>98,975,496.92</w:t>
            </w:r>
          </w:p>
        </w:tc>
        <w:tc>
          <w:tcPr>
            <w:tcW w:w="1558" w:type="dxa"/>
            <w:vAlign w:val="center"/>
          </w:tcPr>
          <w:p w14:paraId="59E59983">
            <w:pPr>
              <w:widowControl w:val="0"/>
              <w:spacing w:line="276" w:lineRule="auto"/>
              <w:jc w:val="right"/>
              <w:rPr>
                <w:rFonts w:ascii="Calibri" w:hAnsi="Calibri"/>
                <w:sz w:val="20"/>
                <w:szCs w:val="20"/>
              </w:rPr>
            </w:pPr>
            <w:r>
              <w:rPr>
                <w:rFonts w:ascii="Calibri" w:hAnsi="Calibri"/>
                <w:sz w:val="20"/>
                <w:szCs w:val="20"/>
              </w:rPr>
              <w:t>218,385,038.73</w:t>
            </w:r>
          </w:p>
        </w:tc>
        <w:tc>
          <w:tcPr>
            <w:tcW w:w="1558" w:type="dxa"/>
            <w:vAlign w:val="center"/>
          </w:tcPr>
          <w:p w14:paraId="6A1C94FA">
            <w:pPr>
              <w:widowControl w:val="0"/>
              <w:spacing w:line="276" w:lineRule="auto"/>
              <w:jc w:val="right"/>
              <w:rPr>
                <w:rFonts w:ascii="Calibri" w:hAnsi="Calibri"/>
                <w:sz w:val="20"/>
                <w:szCs w:val="20"/>
              </w:rPr>
            </w:pPr>
            <w:r>
              <w:rPr>
                <w:rFonts w:ascii="Calibri" w:hAnsi="Calibri"/>
                <w:sz w:val="20"/>
                <w:szCs w:val="20"/>
              </w:rPr>
              <w:t>62,887,069.56</w:t>
            </w:r>
          </w:p>
        </w:tc>
        <w:tc>
          <w:tcPr>
            <w:tcW w:w="1683" w:type="dxa"/>
            <w:vAlign w:val="center"/>
          </w:tcPr>
          <w:p w14:paraId="784F69B9">
            <w:pPr>
              <w:widowControl w:val="0"/>
              <w:spacing w:line="276" w:lineRule="auto"/>
              <w:jc w:val="right"/>
              <w:rPr>
                <w:rFonts w:ascii="Calibri" w:hAnsi="Calibri"/>
                <w:sz w:val="20"/>
                <w:szCs w:val="20"/>
              </w:rPr>
            </w:pPr>
            <w:r>
              <w:rPr>
                <w:rFonts w:ascii="Calibri" w:hAnsi="Calibri"/>
                <w:sz w:val="20"/>
                <w:szCs w:val="20"/>
              </w:rPr>
              <w:t>308,977,644.62</w:t>
            </w:r>
          </w:p>
        </w:tc>
      </w:tr>
    </w:tbl>
    <w:p w14:paraId="7D82AA62">
      <w:pPr>
        <w:pStyle w:val="48"/>
      </w:pPr>
    </w:p>
    <w:p w14:paraId="656443F0">
      <w:pPr>
        <w:rPr>
          <w:rFonts w:ascii="Calibri" w:hAnsi="Calibri"/>
          <w:bCs/>
          <w:kern w:val="2"/>
          <w:szCs w:val="32"/>
        </w:rPr>
      </w:pPr>
      <w:r>
        <w:rPr>
          <w:rFonts w:hint="eastAsia" w:ascii="Calibri" w:hAnsi="Calibri"/>
          <w:bCs/>
          <w:kern w:val="2"/>
          <w:szCs w:val="32"/>
        </w:rPr>
        <w:t>季度数据与已披露定期报告数据差异说明</w:t>
      </w:r>
    </w:p>
    <w:sdt>
      <w:sdtPr>
        <w:alias w:val="是否适用：季度数据与已披露定期报告数据差异说明[双击切换]"/>
        <w:tag w:val="_GBC_90abe51569fb4ccda7eaf6149fe8f3a9"/>
        <w:id w:val="1623883673"/>
        <w:placeholder>
          <w:docPart w:val="GBC22222222222222222222222222222"/>
        </w:placeholder>
      </w:sdtPr>
      <w:sdtContent>
        <w:p w14:paraId="65FC2D4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B25A0C3">
      <w:pPr>
        <w:pStyle w:val="48"/>
      </w:pPr>
    </w:p>
    <w:p w14:paraId="56CB1168">
      <w:pPr>
        <w:pStyle w:val="3"/>
        <w:numPr>
          <w:ilvl w:val="1"/>
          <w:numId w:val="4"/>
        </w:numPr>
        <w:ind w:left="498" w:hanging="498" w:hangingChars="236"/>
        <w:rPr>
          <w:u w:val="single"/>
        </w:rPr>
      </w:pPr>
      <w:bookmarkStart w:id="29" w:name="_Hlk24640273"/>
      <w:bookmarkStart w:id="30" w:name="_Hlk152579713"/>
      <w:r>
        <w:rPr>
          <w:rFonts w:hint="eastAsia"/>
        </w:rPr>
        <w:t>非经常性损益项目和金额</w:t>
      </w:r>
    </w:p>
    <w:sdt>
      <w:sdtPr>
        <w:alias w:val="是否适用：扣除非经常性损益项目和金额[双击切换]"/>
        <w:tag w:val="_GBC_d311c3479a4945ceb1266734910915b6"/>
        <w:id w:val="917373186"/>
        <w:placeholder>
          <w:docPart w:val="GBC22222222222222222222222222222"/>
        </w:placeholder>
      </w:sdtPr>
      <w:sdtContent>
        <w:p w14:paraId="48E4F519">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F6C84A9">
      <w:pPr>
        <w:jc w:val="right"/>
      </w:pPr>
      <w:r>
        <w:rPr>
          <w:rFonts w:hint="eastAsia"/>
        </w:rPr>
        <w:t>单位：</w:t>
      </w:r>
      <w:sdt>
        <w:sdtPr>
          <w:rPr>
            <w:rFonts w:hint="eastAsia"/>
          </w:rPr>
          <w:alias w:val="单位：扣除非经常性损益项目和金额"/>
          <w:tag w:val="_GBC_120471c8e4434d7bbf8c91141121ab39"/>
          <w:id w:val="-166021138"/>
          <w:placeholder>
            <w:docPart w:val="GBC22222222222222222222222222222"/>
          </w:placeholder>
          <w:dataBinding w:prefixMappings="xmlns:clcid-ci-ar='clcid-ci-ar'" w:xpath="/*/clcid-ci-ar:DanWeiKouChuFeiJingChangXingSunYiXiangMuHeJin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default"/>
              <w:lang w:val="en-US"/>
            </w:rPr>
            <w:t>元</w:t>
          </w:r>
        </w:sdtContent>
      </w:sdt>
      <w:r>
        <w:rPr>
          <w:rFonts w:hint="eastAsia"/>
        </w:rPr>
        <w:t xml:space="preserve">  币种：</w:t>
      </w:r>
      <w:sdt>
        <w:sdtPr>
          <w:rPr>
            <w:rFonts w:hint="eastAsia"/>
          </w:rPr>
          <w:alias w:val="币种：扣除非经常性损益项目和金额"/>
          <w:tag w:val="_GBC_8d756f42e06c4610a2149f35e1d51a62"/>
          <w:id w:val="-2087068658"/>
          <w:placeholder>
            <w:docPart w:val="GBC22222222222222222222222222222"/>
          </w:placeholder>
          <w:dataBinding w:prefixMappings="xmlns:clcid-ci-ar='clcid-ci-ar'" w:xpath="/*/clcid-ci-ar:BiZhongKouChuFeiJingChangXingSunYiXiangMuHeJinE[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default"/>
              <w:lang w:val="en-US"/>
            </w:rPr>
            <w:t>人民币</w:t>
          </w:r>
        </w:sdtContent>
      </w:sdt>
    </w:p>
    <w:tbl>
      <w:tblPr>
        <w:tblStyle w:val="20"/>
        <w:tblW w:w="949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701"/>
        <w:gridCol w:w="1134"/>
        <w:gridCol w:w="1517"/>
        <w:gridCol w:w="1460"/>
      </w:tblGrid>
      <w:tr w14:paraId="35BB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51a5b1d22614c45b1fbba1d8acc3cbb"/>
            <w:id w:val="1635514325"/>
          </w:sdtPr>
          <w:sdtContent>
            <w:tc>
              <w:tcPr>
                <w:tcW w:w="3686" w:type="dxa"/>
                <w:vAlign w:val="center"/>
              </w:tcPr>
              <w:p w14:paraId="1E8E3FB5">
                <w:pPr>
                  <w:pStyle w:val="30"/>
                  <w:ind w:firstLine="0" w:firstLineChars="0"/>
                  <w:jc w:val="center"/>
                  <w:rPr>
                    <w:rFonts w:ascii="宋体" w:hAnsi="宋体"/>
                    <w:szCs w:val="21"/>
                  </w:rPr>
                </w:pPr>
                <w:r>
                  <w:rPr>
                    <w:rFonts w:hint="eastAsia" w:ascii="宋体" w:hAnsi="宋体"/>
                    <w:szCs w:val="21"/>
                  </w:rPr>
                  <w:t>非经常性损益项目</w:t>
                </w:r>
              </w:p>
            </w:tc>
          </w:sdtContent>
        </w:sdt>
        <w:sdt>
          <w:sdtPr>
            <w:tag w:val="_PLD_75a853b22038430db055de446a19d683"/>
            <w:id w:val="563920355"/>
          </w:sdtPr>
          <w:sdtContent>
            <w:tc>
              <w:tcPr>
                <w:tcW w:w="1701" w:type="dxa"/>
                <w:vAlign w:val="center"/>
              </w:tcPr>
              <w:p w14:paraId="675B76A4">
                <w:pPr>
                  <w:pStyle w:val="30"/>
                  <w:ind w:firstLine="0" w:firstLineChars="0"/>
                  <w:jc w:val="center"/>
                  <w:rPr>
                    <w:rFonts w:ascii="宋体" w:hAnsi="宋体"/>
                    <w:szCs w:val="21"/>
                  </w:rPr>
                </w:pPr>
                <w:r>
                  <w:rPr>
                    <w:rFonts w:hint="eastAsia" w:ascii="宋体" w:hAnsi="宋体"/>
                    <w:szCs w:val="21"/>
                  </w:rPr>
                  <w:t>2025年金额</w:t>
                </w:r>
              </w:p>
            </w:tc>
          </w:sdtContent>
        </w:sdt>
        <w:sdt>
          <w:sdtPr>
            <w:tag w:val="_PLD_c571f80c57314d5cbbb4106b26568a8c"/>
            <w:id w:val="257870525"/>
          </w:sdtPr>
          <w:sdtContent>
            <w:tc>
              <w:tcPr>
                <w:tcW w:w="1134" w:type="dxa"/>
                <w:vAlign w:val="center"/>
              </w:tcPr>
              <w:p w14:paraId="7AD62A93">
                <w:pPr>
                  <w:pStyle w:val="30"/>
                  <w:ind w:firstLine="0" w:firstLineChars="0"/>
                  <w:jc w:val="center"/>
                  <w:rPr>
                    <w:rFonts w:ascii="宋体" w:hAnsi="宋体"/>
                    <w:szCs w:val="21"/>
                  </w:rPr>
                </w:pPr>
                <w:r>
                  <w:rPr>
                    <w:rFonts w:hint="eastAsia" w:ascii="宋体" w:hAnsi="宋体"/>
                    <w:szCs w:val="21"/>
                  </w:rPr>
                  <w:t>附注（如适用）</w:t>
                </w:r>
              </w:p>
            </w:tc>
          </w:sdtContent>
        </w:sdt>
        <w:sdt>
          <w:sdtPr>
            <w:tag w:val="_PLD_7178520950424696adfe1eb7e010035c"/>
            <w:id w:val="527527924"/>
          </w:sdtPr>
          <w:sdtContent>
            <w:tc>
              <w:tcPr>
                <w:tcW w:w="1517" w:type="dxa"/>
                <w:vAlign w:val="center"/>
              </w:tcPr>
              <w:p w14:paraId="634EC8A8">
                <w:pPr>
                  <w:pStyle w:val="30"/>
                  <w:ind w:firstLine="0" w:firstLineChars="0"/>
                  <w:jc w:val="center"/>
                  <w:rPr>
                    <w:rFonts w:ascii="宋体" w:hAnsi="宋体"/>
                    <w:szCs w:val="21"/>
                  </w:rPr>
                </w:pPr>
                <w:r>
                  <w:rPr>
                    <w:rFonts w:hint="eastAsia" w:ascii="宋体" w:hAnsi="宋体"/>
                    <w:szCs w:val="21"/>
                  </w:rPr>
                  <w:t>2024年金额</w:t>
                </w:r>
              </w:p>
            </w:tc>
          </w:sdtContent>
        </w:sdt>
        <w:sdt>
          <w:sdtPr>
            <w:tag w:val="_PLD_870e9453ef9d4928968c60216a29f211"/>
            <w:id w:val="980120868"/>
          </w:sdtPr>
          <w:sdtContent>
            <w:tc>
              <w:tcPr>
                <w:tcW w:w="1460" w:type="dxa"/>
                <w:vAlign w:val="center"/>
              </w:tcPr>
              <w:p w14:paraId="7D4FE56D">
                <w:pPr>
                  <w:pStyle w:val="30"/>
                  <w:ind w:firstLine="0" w:firstLineChars="0"/>
                  <w:jc w:val="center"/>
                  <w:rPr>
                    <w:rFonts w:ascii="宋体" w:hAnsi="宋体"/>
                    <w:szCs w:val="21"/>
                  </w:rPr>
                </w:pPr>
                <w:r>
                  <w:rPr>
                    <w:rFonts w:hint="eastAsia" w:ascii="宋体" w:hAnsi="宋体"/>
                    <w:szCs w:val="21"/>
                  </w:rPr>
                  <w:t>2023年金额</w:t>
                </w:r>
              </w:p>
            </w:tc>
          </w:sdtContent>
        </w:sdt>
      </w:tr>
      <w:tr w14:paraId="0618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13C10BA6">
            <w:pPr>
              <w:pStyle w:val="30"/>
              <w:ind w:firstLine="0" w:firstLineChars="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1701" w:type="dxa"/>
            <w:vAlign w:val="center"/>
          </w:tcPr>
          <w:p w14:paraId="11397B79">
            <w:pPr>
              <w:widowControl w:val="0"/>
              <w:jc w:val="right"/>
            </w:pPr>
            <w:r>
              <w:t>1,096,066,753.16</w:t>
            </w:r>
          </w:p>
        </w:tc>
        <w:tc>
          <w:tcPr>
            <w:tcW w:w="1134" w:type="dxa"/>
            <w:vAlign w:val="center"/>
          </w:tcPr>
          <w:p w14:paraId="20E8417A">
            <w:pPr>
              <w:pStyle w:val="48"/>
            </w:pPr>
            <w:r>
              <w:rPr>
                <w:rFonts w:hint="eastAsia"/>
              </w:rPr>
              <w:t>　</w:t>
            </w:r>
          </w:p>
        </w:tc>
        <w:tc>
          <w:tcPr>
            <w:tcW w:w="1517" w:type="dxa"/>
            <w:vAlign w:val="center"/>
          </w:tcPr>
          <w:p w14:paraId="00221FBA">
            <w:pPr>
              <w:widowControl w:val="0"/>
              <w:jc w:val="right"/>
            </w:pPr>
            <w:r>
              <w:t>15,128,834.28</w:t>
            </w:r>
          </w:p>
        </w:tc>
        <w:tc>
          <w:tcPr>
            <w:tcW w:w="1460" w:type="dxa"/>
            <w:vAlign w:val="center"/>
          </w:tcPr>
          <w:p w14:paraId="0FEEC08A">
            <w:pPr>
              <w:widowControl w:val="0"/>
              <w:jc w:val="right"/>
            </w:pPr>
            <w:r>
              <w:t>3,455.10</w:t>
            </w:r>
          </w:p>
        </w:tc>
      </w:tr>
      <w:tr w14:paraId="2D6B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6C97131E">
            <w:pPr>
              <w:pStyle w:val="30"/>
              <w:ind w:firstLine="0" w:firstLineChars="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1701" w:type="dxa"/>
            <w:vAlign w:val="center"/>
          </w:tcPr>
          <w:p w14:paraId="4B90CCA2">
            <w:pPr>
              <w:widowControl w:val="0"/>
              <w:jc w:val="right"/>
            </w:pPr>
            <w:r>
              <w:t>12,737,199.37</w:t>
            </w:r>
          </w:p>
        </w:tc>
        <w:tc>
          <w:tcPr>
            <w:tcW w:w="1134" w:type="dxa"/>
            <w:vAlign w:val="center"/>
          </w:tcPr>
          <w:p w14:paraId="7D4BA88D">
            <w:pPr>
              <w:pStyle w:val="48"/>
            </w:pPr>
            <w:r>
              <w:rPr>
                <w:rFonts w:hint="eastAsia"/>
              </w:rPr>
              <w:t>　</w:t>
            </w:r>
          </w:p>
        </w:tc>
        <w:tc>
          <w:tcPr>
            <w:tcW w:w="1517" w:type="dxa"/>
            <w:vAlign w:val="center"/>
          </w:tcPr>
          <w:p w14:paraId="4C94F177">
            <w:pPr>
              <w:widowControl w:val="0"/>
              <w:jc w:val="right"/>
            </w:pPr>
            <w:r>
              <w:t>3,673,422.69</w:t>
            </w:r>
          </w:p>
        </w:tc>
        <w:tc>
          <w:tcPr>
            <w:tcW w:w="1460" w:type="dxa"/>
            <w:vAlign w:val="center"/>
          </w:tcPr>
          <w:p w14:paraId="4FEDA01A">
            <w:pPr>
              <w:widowControl w:val="0"/>
              <w:jc w:val="right"/>
            </w:pPr>
            <w:r>
              <w:t>3,841,674.34</w:t>
            </w:r>
          </w:p>
        </w:tc>
      </w:tr>
      <w:tr w14:paraId="614E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120DD9FA">
            <w:pPr>
              <w:pStyle w:val="30"/>
              <w:ind w:firstLine="0" w:firstLineChars="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701" w:type="dxa"/>
            <w:vAlign w:val="center"/>
          </w:tcPr>
          <w:p w14:paraId="5FC2C0B1">
            <w:pPr>
              <w:widowControl w:val="0"/>
              <w:jc w:val="right"/>
            </w:pPr>
            <w:r>
              <w:t>1,270,368.79</w:t>
            </w:r>
          </w:p>
        </w:tc>
        <w:tc>
          <w:tcPr>
            <w:tcW w:w="1134" w:type="dxa"/>
            <w:vAlign w:val="center"/>
          </w:tcPr>
          <w:p w14:paraId="2FC4B61F">
            <w:pPr>
              <w:pStyle w:val="48"/>
            </w:pPr>
            <w:r>
              <w:rPr>
                <w:rFonts w:hint="eastAsia"/>
              </w:rPr>
              <w:t>　</w:t>
            </w:r>
          </w:p>
        </w:tc>
        <w:tc>
          <w:tcPr>
            <w:tcW w:w="1517" w:type="dxa"/>
            <w:vAlign w:val="center"/>
          </w:tcPr>
          <w:p w14:paraId="70932D71">
            <w:pPr>
              <w:widowControl w:val="0"/>
              <w:jc w:val="right"/>
            </w:pPr>
            <w:r>
              <w:t>1,095,798.00</w:t>
            </w:r>
          </w:p>
        </w:tc>
        <w:tc>
          <w:tcPr>
            <w:tcW w:w="1460" w:type="dxa"/>
            <w:vAlign w:val="center"/>
          </w:tcPr>
          <w:p w14:paraId="7CA779C4">
            <w:pPr>
              <w:widowControl w:val="0"/>
              <w:jc w:val="right"/>
            </w:pPr>
          </w:p>
        </w:tc>
      </w:tr>
      <w:tr w14:paraId="3653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34C46BF6">
            <w:pPr>
              <w:pStyle w:val="30"/>
              <w:ind w:firstLine="0" w:firstLineChars="0"/>
              <w:jc w:val="left"/>
              <w:rPr>
                <w:szCs w:val="21"/>
              </w:rPr>
            </w:pPr>
            <w:r>
              <w:rPr>
                <w:szCs w:val="21"/>
              </w:rPr>
              <w:t>计入当期损益的对非金融企业收取的资金占用费</w:t>
            </w:r>
          </w:p>
        </w:tc>
        <w:tc>
          <w:tcPr>
            <w:tcW w:w="1701" w:type="dxa"/>
            <w:vAlign w:val="center"/>
          </w:tcPr>
          <w:p w14:paraId="71BD7E7A">
            <w:pPr>
              <w:widowControl w:val="0"/>
              <w:jc w:val="right"/>
            </w:pPr>
            <w:r>
              <w:rPr>
                <w:rFonts w:hint="eastAsia"/>
              </w:rPr>
              <w:t>　</w:t>
            </w:r>
          </w:p>
        </w:tc>
        <w:tc>
          <w:tcPr>
            <w:tcW w:w="1134" w:type="dxa"/>
            <w:vAlign w:val="center"/>
          </w:tcPr>
          <w:p w14:paraId="59FB19A6">
            <w:pPr>
              <w:pStyle w:val="48"/>
            </w:pPr>
            <w:r>
              <w:rPr>
                <w:rFonts w:hint="eastAsia"/>
              </w:rPr>
              <w:t>　</w:t>
            </w:r>
          </w:p>
        </w:tc>
        <w:tc>
          <w:tcPr>
            <w:tcW w:w="1517" w:type="dxa"/>
            <w:vAlign w:val="center"/>
          </w:tcPr>
          <w:p w14:paraId="4AE3070A">
            <w:pPr>
              <w:widowControl w:val="0"/>
              <w:jc w:val="right"/>
            </w:pPr>
          </w:p>
        </w:tc>
        <w:tc>
          <w:tcPr>
            <w:tcW w:w="1460" w:type="dxa"/>
            <w:vAlign w:val="center"/>
          </w:tcPr>
          <w:p w14:paraId="7D7F30D8">
            <w:pPr>
              <w:widowControl w:val="0"/>
              <w:jc w:val="right"/>
            </w:pPr>
          </w:p>
        </w:tc>
      </w:tr>
      <w:tr w14:paraId="63C6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56C22880">
            <w:pPr>
              <w:pStyle w:val="30"/>
              <w:ind w:firstLine="0" w:firstLineChars="0"/>
              <w:jc w:val="left"/>
              <w:rPr>
                <w:szCs w:val="21"/>
              </w:rPr>
            </w:pPr>
            <w:r>
              <w:rPr>
                <w:szCs w:val="21"/>
              </w:rPr>
              <w:t>委托他人投资或管理资产的损益</w:t>
            </w:r>
          </w:p>
        </w:tc>
        <w:tc>
          <w:tcPr>
            <w:tcW w:w="1701" w:type="dxa"/>
            <w:vAlign w:val="center"/>
          </w:tcPr>
          <w:p w14:paraId="6E577F38">
            <w:pPr>
              <w:widowControl w:val="0"/>
              <w:jc w:val="right"/>
            </w:pPr>
            <w:r>
              <w:rPr>
                <w:rFonts w:hint="eastAsia"/>
              </w:rPr>
              <w:t>　</w:t>
            </w:r>
          </w:p>
        </w:tc>
        <w:tc>
          <w:tcPr>
            <w:tcW w:w="1134" w:type="dxa"/>
            <w:vAlign w:val="center"/>
          </w:tcPr>
          <w:p w14:paraId="00F1F527">
            <w:pPr>
              <w:pStyle w:val="48"/>
            </w:pPr>
            <w:r>
              <w:rPr>
                <w:rFonts w:hint="eastAsia"/>
              </w:rPr>
              <w:t>　</w:t>
            </w:r>
          </w:p>
        </w:tc>
        <w:tc>
          <w:tcPr>
            <w:tcW w:w="1517" w:type="dxa"/>
            <w:vAlign w:val="center"/>
          </w:tcPr>
          <w:p w14:paraId="086DC67A">
            <w:pPr>
              <w:widowControl w:val="0"/>
              <w:jc w:val="right"/>
            </w:pPr>
          </w:p>
        </w:tc>
        <w:tc>
          <w:tcPr>
            <w:tcW w:w="1460" w:type="dxa"/>
            <w:vAlign w:val="center"/>
          </w:tcPr>
          <w:p w14:paraId="54E0EA07">
            <w:pPr>
              <w:widowControl w:val="0"/>
              <w:jc w:val="right"/>
            </w:pPr>
          </w:p>
        </w:tc>
      </w:tr>
      <w:tr w14:paraId="61AD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62C89559">
            <w:pPr>
              <w:pStyle w:val="30"/>
              <w:ind w:firstLine="0" w:firstLineChars="0"/>
              <w:jc w:val="left"/>
              <w:rPr>
                <w:szCs w:val="21"/>
              </w:rPr>
            </w:pPr>
            <w:r>
              <w:rPr>
                <w:szCs w:val="21"/>
              </w:rPr>
              <w:t>对外委托贷款取得的损益</w:t>
            </w:r>
          </w:p>
        </w:tc>
        <w:tc>
          <w:tcPr>
            <w:tcW w:w="1701" w:type="dxa"/>
            <w:vAlign w:val="center"/>
          </w:tcPr>
          <w:p w14:paraId="6C04DEC8">
            <w:pPr>
              <w:widowControl w:val="0"/>
              <w:jc w:val="right"/>
            </w:pPr>
            <w:r>
              <w:rPr>
                <w:rFonts w:hint="eastAsia"/>
              </w:rPr>
              <w:t>　</w:t>
            </w:r>
          </w:p>
        </w:tc>
        <w:tc>
          <w:tcPr>
            <w:tcW w:w="1134" w:type="dxa"/>
            <w:vAlign w:val="center"/>
          </w:tcPr>
          <w:p w14:paraId="2A291319">
            <w:pPr>
              <w:pStyle w:val="48"/>
            </w:pPr>
            <w:r>
              <w:rPr>
                <w:rFonts w:hint="eastAsia"/>
              </w:rPr>
              <w:t>　</w:t>
            </w:r>
          </w:p>
        </w:tc>
        <w:tc>
          <w:tcPr>
            <w:tcW w:w="1517" w:type="dxa"/>
            <w:vAlign w:val="center"/>
          </w:tcPr>
          <w:p w14:paraId="3FD07653">
            <w:pPr>
              <w:widowControl w:val="0"/>
              <w:jc w:val="right"/>
            </w:pPr>
          </w:p>
        </w:tc>
        <w:tc>
          <w:tcPr>
            <w:tcW w:w="1460" w:type="dxa"/>
            <w:vAlign w:val="center"/>
          </w:tcPr>
          <w:p w14:paraId="07D49C75">
            <w:pPr>
              <w:widowControl w:val="0"/>
              <w:jc w:val="right"/>
            </w:pPr>
          </w:p>
        </w:tc>
      </w:tr>
      <w:tr w14:paraId="57EC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56D7E0AD">
            <w:pPr>
              <w:pStyle w:val="30"/>
              <w:ind w:firstLine="0" w:firstLineChars="0"/>
              <w:jc w:val="left"/>
              <w:rPr>
                <w:szCs w:val="21"/>
              </w:rPr>
            </w:pPr>
            <w:r>
              <w:rPr>
                <w:szCs w:val="21"/>
              </w:rPr>
              <w:t>因不可抗力因</w:t>
            </w:r>
            <w:r>
              <w:rPr>
                <w:rFonts w:hint="eastAsia"/>
                <w:szCs w:val="21"/>
              </w:rPr>
              <w:t>素，如遭受自然灾害而产生的各项资产损失</w:t>
            </w:r>
          </w:p>
        </w:tc>
        <w:tc>
          <w:tcPr>
            <w:tcW w:w="1701" w:type="dxa"/>
            <w:vAlign w:val="center"/>
          </w:tcPr>
          <w:p w14:paraId="6886926B">
            <w:pPr>
              <w:widowControl w:val="0"/>
              <w:jc w:val="right"/>
            </w:pPr>
            <w:r>
              <w:rPr>
                <w:rFonts w:hint="eastAsia"/>
              </w:rPr>
              <w:t>　</w:t>
            </w:r>
          </w:p>
        </w:tc>
        <w:tc>
          <w:tcPr>
            <w:tcW w:w="1134" w:type="dxa"/>
            <w:vAlign w:val="center"/>
          </w:tcPr>
          <w:p w14:paraId="12ECEB8E">
            <w:pPr>
              <w:pStyle w:val="48"/>
            </w:pPr>
            <w:r>
              <w:rPr>
                <w:rFonts w:hint="eastAsia"/>
              </w:rPr>
              <w:t>　</w:t>
            </w:r>
          </w:p>
        </w:tc>
        <w:tc>
          <w:tcPr>
            <w:tcW w:w="1517" w:type="dxa"/>
            <w:vAlign w:val="center"/>
          </w:tcPr>
          <w:p w14:paraId="47A6B837">
            <w:pPr>
              <w:widowControl w:val="0"/>
              <w:jc w:val="right"/>
            </w:pPr>
          </w:p>
        </w:tc>
        <w:tc>
          <w:tcPr>
            <w:tcW w:w="1460" w:type="dxa"/>
            <w:vAlign w:val="center"/>
          </w:tcPr>
          <w:p w14:paraId="227C3159">
            <w:pPr>
              <w:widowControl w:val="0"/>
              <w:jc w:val="right"/>
            </w:pPr>
          </w:p>
        </w:tc>
      </w:tr>
      <w:tr w14:paraId="06F4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5A212DBA">
            <w:pPr>
              <w:pStyle w:val="30"/>
              <w:ind w:firstLine="0" w:firstLineChars="0"/>
              <w:jc w:val="left"/>
            </w:pPr>
            <w:r>
              <w:rPr>
                <w:rFonts w:hint="eastAsia"/>
              </w:rPr>
              <w:t>单独进行减值测试的应收款项减值准备转回</w:t>
            </w:r>
          </w:p>
        </w:tc>
        <w:tc>
          <w:tcPr>
            <w:tcW w:w="1701" w:type="dxa"/>
            <w:vAlign w:val="center"/>
          </w:tcPr>
          <w:p w14:paraId="7146A571">
            <w:pPr>
              <w:widowControl w:val="0"/>
              <w:jc w:val="right"/>
            </w:pPr>
            <w:r>
              <w:t>151,567.65</w:t>
            </w:r>
          </w:p>
        </w:tc>
        <w:tc>
          <w:tcPr>
            <w:tcW w:w="1134" w:type="dxa"/>
            <w:vAlign w:val="center"/>
          </w:tcPr>
          <w:p w14:paraId="502B0294">
            <w:pPr>
              <w:pStyle w:val="48"/>
            </w:pPr>
            <w:r>
              <w:rPr>
                <w:rFonts w:hint="eastAsia"/>
              </w:rPr>
              <w:t>　</w:t>
            </w:r>
          </w:p>
        </w:tc>
        <w:tc>
          <w:tcPr>
            <w:tcW w:w="1517" w:type="dxa"/>
            <w:vAlign w:val="center"/>
          </w:tcPr>
          <w:p w14:paraId="4F514295">
            <w:pPr>
              <w:widowControl w:val="0"/>
              <w:jc w:val="right"/>
            </w:pPr>
          </w:p>
        </w:tc>
        <w:tc>
          <w:tcPr>
            <w:tcW w:w="1460" w:type="dxa"/>
            <w:vAlign w:val="center"/>
          </w:tcPr>
          <w:p w14:paraId="1D179739">
            <w:pPr>
              <w:widowControl w:val="0"/>
              <w:jc w:val="right"/>
            </w:pPr>
          </w:p>
        </w:tc>
      </w:tr>
      <w:tr w14:paraId="2C8E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0756060A">
            <w:pPr>
              <w:pStyle w:val="30"/>
              <w:ind w:firstLine="0" w:firstLineChars="0"/>
              <w:jc w:val="left"/>
              <w:rPr>
                <w:szCs w:val="21"/>
              </w:rPr>
            </w:pPr>
            <w:r>
              <w:rPr>
                <w:szCs w:val="21"/>
              </w:rPr>
              <w:t>企业取得子公司、联营企业及合营企业的投资成本小于取得投资时应享有被投资单位可辨认净资产公允价值产生的收益</w:t>
            </w:r>
          </w:p>
        </w:tc>
        <w:tc>
          <w:tcPr>
            <w:tcW w:w="1701" w:type="dxa"/>
            <w:vAlign w:val="center"/>
          </w:tcPr>
          <w:p w14:paraId="5C54FDA4">
            <w:pPr>
              <w:widowControl w:val="0"/>
              <w:jc w:val="right"/>
            </w:pPr>
          </w:p>
        </w:tc>
        <w:tc>
          <w:tcPr>
            <w:tcW w:w="1134" w:type="dxa"/>
            <w:vAlign w:val="center"/>
          </w:tcPr>
          <w:p w14:paraId="5D6344C6">
            <w:pPr>
              <w:pStyle w:val="48"/>
            </w:pPr>
            <w:r>
              <w:rPr>
                <w:rFonts w:hint="eastAsia"/>
              </w:rPr>
              <w:t>　</w:t>
            </w:r>
          </w:p>
        </w:tc>
        <w:tc>
          <w:tcPr>
            <w:tcW w:w="1517" w:type="dxa"/>
            <w:vAlign w:val="center"/>
          </w:tcPr>
          <w:p w14:paraId="0B22EB71">
            <w:pPr>
              <w:widowControl w:val="0"/>
              <w:jc w:val="right"/>
            </w:pPr>
            <w:r>
              <w:t>2,690,806.50</w:t>
            </w:r>
          </w:p>
        </w:tc>
        <w:tc>
          <w:tcPr>
            <w:tcW w:w="1460" w:type="dxa"/>
            <w:vAlign w:val="center"/>
          </w:tcPr>
          <w:p w14:paraId="24BB8A91">
            <w:pPr>
              <w:widowControl w:val="0"/>
              <w:jc w:val="right"/>
            </w:pPr>
          </w:p>
        </w:tc>
      </w:tr>
      <w:tr w14:paraId="52B8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4B50938D">
            <w:pPr>
              <w:pStyle w:val="30"/>
              <w:ind w:firstLine="0" w:firstLineChars="0"/>
              <w:jc w:val="left"/>
              <w:rPr>
                <w:szCs w:val="21"/>
              </w:rPr>
            </w:pPr>
            <w:r>
              <w:rPr>
                <w:szCs w:val="21"/>
              </w:rPr>
              <w:t>同一控制下企业合并产生的子公司期初至合并日的当期净损益</w:t>
            </w:r>
          </w:p>
        </w:tc>
        <w:tc>
          <w:tcPr>
            <w:tcW w:w="1701" w:type="dxa"/>
            <w:vAlign w:val="center"/>
          </w:tcPr>
          <w:p w14:paraId="2BF2CF77">
            <w:pPr>
              <w:widowControl w:val="0"/>
              <w:jc w:val="right"/>
            </w:pPr>
            <w:r>
              <w:t>4,043,180.46</w:t>
            </w:r>
          </w:p>
        </w:tc>
        <w:tc>
          <w:tcPr>
            <w:tcW w:w="1134" w:type="dxa"/>
            <w:vAlign w:val="center"/>
          </w:tcPr>
          <w:p w14:paraId="486E9B1B">
            <w:pPr>
              <w:pStyle w:val="48"/>
            </w:pPr>
            <w:r>
              <w:rPr>
                <w:rFonts w:hint="eastAsia"/>
              </w:rPr>
              <w:t>　</w:t>
            </w:r>
          </w:p>
        </w:tc>
        <w:tc>
          <w:tcPr>
            <w:tcW w:w="1517" w:type="dxa"/>
            <w:vAlign w:val="center"/>
          </w:tcPr>
          <w:p w14:paraId="34BAA92F">
            <w:pPr>
              <w:widowControl w:val="0"/>
              <w:jc w:val="right"/>
            </w:pPr>
          </w:p>
        </w:tc>
        <w:tc>
          <w:tcPr>
            <w:tcW w:w="1460" w:type="dxa"/>
            <w:vAlign w:val="center"/>
          </w:tcPr>
          <w:p w14:paraId="119009DD">
            <w:pPr>
              <w:widowControl w:val="0"/>
              <w:jc w:val="right"/>
            </w:pPr>
          </w:p>
        </w:tc>
      </w:tr>
      <w:tr w14:paraId="79AC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0BB36C14">
            <w:pPr>
              <w:pStyle w:val="30"/>
              <w:ind w:firstLine="0" w:firstLineChars="0"/>
              <w:jc w:val="left"/>
              <w:rPr>
                <w:szCs w:val="21"/>
              </w:rPr>
            </w:pPr>
            <w:r>
              <w:rPr>
                <w:szCs w:val="21"/>
              </w:rPr>
              <w:t>非货币性资产交换损益</w:t>
            </w:r>
          </w:p>
        </w:tc>
        <w:tc>
          <w:tcPr>
            <w:tcW w:w="1701" w:type="dxa"/>
            <w:vAlign w:val="center"/>
          </w:tcPr>
          <w:p w14:paraId="79C70E2E">
            <w:pPr>
              <w:widowControl w:val="0"/>
              <w:jc w:val="right"/>
            </w:pPr>
            <w:r>
              <w:rPr>
                <w:rFonts w:hint="eastAsia"/>
              </w:rPr>
              <w:t>　</w:t>
            </w:r>
          </w:p>
        </w:tc>
        <w:tc>
          <w:tcPr>
            <w:tcW w:w="1134" w:type="dxa"/>
            <w:vAlign w:val="center"/>
          </w:tcPr>
          <w:p w14:paraId="69579367">
            <w:pPr>
              <w:pStyle w:val="48"/>
            </w:pPr>
            <w:r>
              <w:rPr>
                <w:rFonts w:hint="eastAsia"/>
              </w:rPr>
              <w:t>　</w:t>
            </w:r>
          </w:p>
        </w:tc>
        <w:tc>
          <w:tcPr>
            <w:tcW w:w="1517" w:type="dxa"/>
            <w:vAlign w:val="center"/>
          </w:tcPr>
          <w:p w14:paraId="4755F926">
            <w:pPr>
              <w:widowControl w:val="0"/>
              <w:jc w:val="right"/>
            </w:pPr>
          </w:p>
        </w:tc>
        <w:tc>
          <w:tcPr>
            <w:tcW w:w="1460" w:type="dxa"/>
            <w:vAlign w:val="center"/>
          </w:tcPr>
          <w:p w14:paraId="6FBC8D65">
            <w:pPr>
              <w:widowControl w:val="0"/>
              <w:jc w:val="right"/>
            </w:pPr>
          </w:p>
        </w:tc>
      </w:tr>
      <w:tr w14:paraId="4F298DD9">
        <w:tblPrEx>
          <w:tblCellMar>
            <w:top w:w="0" w:type="dxa"/>
            <w:left w:w="108" w:type="dxa"/>
            <w:bottom w:w="0" w:type="dxa"/>
            <w:right w:w="108" w:type="dxa"/>
          </w:tblCellMar>
        </w:tblPrEx>
        <w:tc>
          <w:tcPr>
            <w:tcW w:w="3686" w:type="dxa"/>
            <w:vAlign w:val="center"/>
          </w:tcPr>
          <w:p w14:paraId="038D143B">
            <w:pPr>
              <w:pStyle w:val="30"/>
              <w:ind w:firstLine="0" w:firstLineChars="0"/>
              <w:jc w:val="left"/>
              <w:rPr>
                <w:szCs w:val="21"/>
              </w:rPr>
            </w:pPr>
            <w:r>
              <w:rPr>
                <w:szCs w:val="21"/>
              </w:rPr>
              <w:t>债务重组损益</w:t>
            </w:r>
          </w:p>
        </w:tc>
        <w:tc>
          <w:tcPr>
            <w:tcW w:w="1701" w:type="dxa"/>
            <w:vAlign w:val="center"/>
          </w:tcPr>
          <w:p w14:paraId="1B186C06">
            <w:pPr>
              <w:widowControl w:val="0"/>
              <w:jc w:val="right"/>
            </w:pPr>
            <w:r>
              <w:rPr>
                <w:rFonts w:hint="eastAsia"/>
              </w:rPr>
              <w:t>　</w:t>
            </w:r>
          </w:p>
        </w:tc>
        <w:tc>
          <w:tcPr>
            <w:tcW w:w="1134" w:type="dxa"/>
            <w:vAlign w:val="center"/>
          </w:tcPr>
          <w:p w14:paraId="21D3F967">
            <w:pPr>
              <w:pStyle w:val="48"/>
            </w:pPr>
            <w:r>
              <w:rPr>
                <w:rFonts w:hint="eastAsia"/>
              </w:rPr>
              <w:t>　</w:t>
            </w:r>
          </w:p>
        </w:tc>
        <w:tc>
          <w:tcPr>
            <w:tcW w:w="1517" w:type="dxa"/>
            <w:vAlign w:val="center"/>
          </w:tcPr>
          <w:p w14:paraId="65EDB2AE">
            <w:pPr>
              <w:widowControl w:val="0"/>
              <w:jc w:val="right"/>
            </w:pPr>
          </w:p>
        </w:tc>
        <w:tc>
          <w:tcPr>
            <w:tcW w:w="1460" w:type="dxa"/>
            <w:vAlign w:val="center"/>
          </w:tcPr>
          <w:p w14:paraId="3060AF3B">
            <w:pPr>
              <w:widowControl w:val="0"/>
              <w:jc w:val="right"/>
            </w:pPr>
          </w:p>
        </w:tc>
      </w:tr>
      <w:tr w14:paraId="4F24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4473B969">
            <w:pPr>
              <w:pStyle w:val="30"/>
              <w:ind w:firstLine="0" w:firstLineChars="0"/>
              <w:jc w:val="left"/>
              <w:rPr>
                <w:szCs w:val="21"/>
              </w:rPr>
            </w:pPr>
            <w:r>
              <w:rPr>
                <w:szCs w:val="21"/>
              </w:rPr>
              <w:t>企业</w:t>
            </w:r>
            <w:r>
              <w:rPr>
                <w:rFonts w:hint="eastAsia"/>
                <w:szCs w:val="21"/>
              </w:rPr>
              <w:t>因相关经营活动不再持续而发生的一次性费用，如安置职工的支出等</w:t>
            </w:r>
          </w:p>
        </w:tc>
        <w:tc>
          <w:tcPr>
            <w:tcW w:w="1701" w:type="dxa"/>
            <w:vAlign w:val="center"/>
          </w:tcPr>
          <w:p w14:paraId="5F91B407">
            <w:pPr>
              <w:widowControl w:val="0"/>
              <w:jc w:val="right"/>
            </w:pPr>
            <w:r>
              <w:rPr>
                <w:rFonts w:hint="eastAsia"/>
              </w:rPr>
              <w:t>　</w:t>
            </w:r>
          </w:p>
        </w:tc>
        <w:tc>
          <w:tcPr>
            <w:tcW w:w="1134" w:type="dxa"/>
            <w:vAlign w:val="center"/>
          </w:tcPr>
          <w:p w14:paraId="3F20DB47">
            <w:pPr>
              <w:pStyle w:val="48"/>
            </w:pPr>
            <w:r>
              <w:rPr>
                <w:rFonts w:hint="eastAsia"/>
              </w:rPr>
              <w:t>　</w:t>
            </w:r>
          </w:p>
        </w:tc>
        <w:tc>
          <w:tcPr>
            <w:tcW w:w="1517" w:type="dxa"/>
            <w:vAlign w:val="center"/>
          </w:tcPr>
          <w:p w14:paraId="60CB3262">
            <w:pPr>
              <w:widowControl w:val="0"/>
              <w:jc w:val="right"/>
            </w:pPr>
          </w:p>
        </w:tc>
        <w:tc>
          <w:tcPr>
            <w:tcW w:w="1460" w:type="dxa"/>
            <w:vAlign w:val="center"/>
          </w:tcPr>
          <w:p w14:paraId="452FBFEA">
            <w:pPr>
              <w:widowControl w:val="0"/>
              <w:jc w:val="right"/>
            </w:pPr>
          </w:p>
        </w:tc>
      </w:tr>
      <w:tr w14:paraId="5D8A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1F38D65C">
            <w:pPr>
              <w:pStyle w:val="30"/>
              <w:ind w:firstLine="0" w:firstLineChars="0"/>
              <w:jc w:val="left"/>
              <w:rPr>
                <w:szCs w:val="21"/>
              </w:rPr>
            </w:pPr>
            <w:r>
              <w:rPr>
                <w:szCs w:val="21"/>
              </w:rPr>
              <w:t>因税收、会计等法律、法规</w:t>
            </w:r>
            <w:r>
              <w:rPr>
                <w:rFonts w:hint="eastAsia"/>
                <w:szCs w:val="21"/>
              </w:rPr>
              <w:t>的调整对当期损益产生的一次性影响</w:t>
            </w:r>
          </w:p>
        </w:tc>
        <w:tc>
          <w:tcPr>
            <w:tcW w:w="1701" w:type="dxa"/>
            <w:vAlign w:val="center"/>
          </w:tcPr>
          <w:p w14:paraId="46AFA302">
            <w:pPr>
              <w:widowControl w:val="0"/>
              <w:jc w:val="right"/>
            </w:pPr>
            <w:r>
              <w:rPr>
                <w:rFonts w:hint="eastAsia"/>
              </w:rPr>
              <w:t>　</w:t>
            </w:r>
          </w:p>
        </w:tc>
        <w:tc>
          <w:tcPr>
            <w:tcW w:w="1134" w:type="dxa"/>
            <w:vAlign w:val="center"/>
          </w:tcPr>
          <w:p w14:paraId="6272B837">
            <w:pPr>
              <w:pStyle w:val="48"/>
            </w:pPr>
            <w:r>
              <w:rPr>
                <w:rFonts w:hint="eastAsia"/>
              </w:rPr>
              <w:t>　</w:t>
            </w:r>
          </w:p>
        </w:tc>
        <w:tc>
          <w:tcPr>
            <w:tcW w:w="1517" w:type="dxa"/>
            <w:vAlign w:val="center"/>
          </w:tcPr>
          <w:p w14:paraId="2665C00B">
            <w:pPr>
              <w:widowControl w:val="0"/>
              <w:jc w:val="right"/>
            </w:pPr>
          </w:p>
        </w:tc>
        <w:tc>
          <w:tcPr>
            <w:tcW w:w="1460" w:type="dxa"/>
            <w:vAlign w:val="center"/>
          </w:tcPr>
          <w:p w14:paraId="6C5505CE">
            <w:pPr>
              <w:widowControl w:val="0"/>
              <w:jc w:val="right"/>
            </w:pPr>
          </w:p>
        </w:tc>
      </w:tr>
      <w:tr w14:paraId="50AC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2D4B08C3">
            <w:pPr>
              <w:pStyle w:val="30"/>
              <w:ind w:firstLine="0" w:firstLineChars="0"/>
              <w:jc w:val="left"/>
            </w:pPr>
            <w:r>
              <w:t>因取消、修改股权激励计划一次性确认的股份支付费用</w:t>
            </w:r>
          </w:p>
        </w:tc>
        <w:tc>
          <w:tcPr>
            <w:tcW w:w="1701" w:type="dxa"/>
            <w:vAlign w:val="center"/>
          </w:tcPr>
          <w:p w14:paraId="33C1E2EE">
            <w:pPr>
              <w:widowControl w:val="0"/>
              <w:jc w:val="right"/>
            </w:pPr>
            <w:r>
              <w:rPr>
                <w:rFonts w:hint="eastAsia"/>
              </w:rPr>
              <w:t>　</w:t>
            </w:r>
          </w:p>
        </w:tc>
        <w:tc>
          <w:tcPr>
            <w:tcW w:w="1134" w:type="dxa"/>
            <w:vAlign w:val="center"/>
          </w:tcPr>
          <w:p w14:paraId="585C7FA8">
            <w:pPr>
              <w:pStyle w:val="48"/>
            </w:pPr>
          </w:p>
        </w:tc>
        <w:tc>
          <w:tcPr>
            <w:tcW w:w="1517" w:type="dxa"/>
            <w:vAlign w:val="center"/>
          </w:tcPr>
          <w:p w14:paraId="4B9B94B2">
            <w:pPr>
              <w:widowControl w:val="0"/>
              <w:jc w:val="right"/>
            </w:pPr>
          </w:p>
        </w:tc>
        <w:tc>
          <w:tcPr>
            <w:tcW w:w="1460" w:type="dxa"/>
            <w:vAlign w:val="center"/>
          </w:tcPr>
          <w:p w14:paraId="78A972E4">
            <w:pPr>
              <w:widowControl w:val="0"/>
              <w:jc w:val="right"/>
            </w:pPr>
          </w:p>
        </w:tc>
      </w:tr>
      <w:tr w14:paraId="744A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71A4A774">
            <w:pPr>
              <w:pStyle w:val="30"/>
              <w:ind w:firstLine="0" w:firstLineChars="0"/>
              <w:jc w:val="left"/>
            </w:pPr>
            <w:r>
              <w:t>对于现金结算的股份支付，在可行权日之后，应付职工薪酬的公允价值变动产生的损益</w:t>
            </w:r>
          </w:p>
        </w:tc>
        <w:tc>
          <w:tcPr>
            <w:tcW w:w="1701" w:type="dxa"/>
            <w:vAlign w:val="center"/>
          </w:tcPr>
          <w:p w14:paraId="2704540E">
            <w:pPr>
              <w:widowControl w:val="0"/>
              <w:jc w:val="right"/>
            </w:pPr>
            <w:r>
              <w:rPr>
                <w:rFonts w:hint="eastAsia"/>
              </w:rPr>
              <w:t>　</w:t>
            </w:r>
          </w:p>
        </w:tc>
        <w:tc>
          <w:tcPr>
            <w:tcW w:w="1134" w:type="dxa"/>
            <w:vAlign w:val="center"/>
          </w:tcPr>
          <w:p w14:paraId="134FF13F">
            <w:pPr>
              <w:pStyle w:val="48"/>
            </w:pPr>
          </w:p>
        </w:tc>
        <w:tc>
          <w:tcPr>
            <w:tcW w:w="1517" w:type="dxa"/>
            <w:vAlign w:val="center"/>
          </w:tcPr>
          <w:p w14:paraId="7E1B1DB3">
            <w:pPr>
              <w:widowControl w:val="0"/>
              <w:jc w:val="right"/>
            </w:pPr>
          </w:p>
        </w:tc>
        <w:tc>
          <w:tcPr>
            <w:tcW w:w="1460" w:type="dxa"/>
            <w:vAlign w:val="center"/>
          </w:tcPr>
          <w:p w14:paraId="5942A6AE">
            <w:pPr>
              <w:widowControl w:val="0"/>
              <w:jc w:val="right"/>
            </w:pPr>
          </w:p>
        </w:tc>
      </w:tr>
      <w:tr w14:paraId="4465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2A68F19E">
            <w:pPr>
              <w:pStyle w:val="30"/>
              <w:ind w:firstLine="0" w:firstLineChars="0"/>
              <w:jc w:val="left"/>
              <w:rPr>
                <w:szCs w:val="21"/>
              </w:rPr>
            </w:pPr>
            <w:r>
              <w:rPr>
                <w:szCs w:val="21"/>
              </w:rPr>
              <w:t>采用公允价值模式进行后续计量的投资性房地产公允价值变动产生的损益</w:t>
            </w:r>
          </w:p>
        </w:tc>
        <w:tc>
          <w:tcPr>
            <w:tcW w:w="1701" w:type="dxa"/>
            <w:vAlign w:val="center"/>
          </w:tcPr>
          <w:p w14:paraId="039F4789">
            <w:pPr>
              <w:widowControl w:val="0"/>
              <w:jc w:val="right"/>
            </w:pPr>
            <w:r>
              <w:rPr>
                <w:rFonts w:hint="eastAsia"/>
              </w:rPr>
              <w:t>　</w:t>
            </w:r>
          </w:p>
        </w:tc>
        <w:tc>
          <w:tcPr>
            <w:tcW w:w="1134" w:type="dxa"/>
            <w:vAlign w:val="center"/>
          </w:tcPr>
          <w:p w14:paraId="4D76B322">
            <w:pPr>
              <w:pStyle w:val="48"/>
            </w:pPr>
            <w:r>
              <w:rPr>
                <w:rFonts w:hint="eastAsia"/>
              </w:rPr>
              <w:t>　</w:t>
            </w:r>
          </w:p>
        </w:tc>
        <w:tc>
          <w:tcPr>
            <w:tcW w:w="1517" w:type="dxa"/>
            <w:vAlign w:val="center"/>
          </w:tcPr>
          <w:p w14:paraId="5CFB2C42">
            <w:pPr>
              <w:widowControl w:val="0"/>
              <w:jc w:val="right"/>
            </w:pPr>
          </w:p>
        </w:tc>
        <w:tc>
          <w:tcPr>
            <w:tcW w:w="1460" w:type="dxa"/>
            <w:vAlign w:val="center"/>
          </w:tcPr>
          <w:p w14:paraId="339C3165">
            <w:pPr>
              <w:widowControl w:val="0"/>
              <w:jc w:val="right"/>
            </w:pPr>
          </w:p>
        </w:tc>
      </w:tr>
      <w:tr w14:paraId="5921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29634125">
            <w:pPr>
              <w:pStyle w:val="30"/>
              <w:ind w:firstLine="0" w:firstLineChars="0"/>
              <w:jc w:val="left"/>
              <w:rPr>
                <w:szCs w:val="21"/>
              </w:rPr>
            </w:pPr>
            <w:r>
              <w:rPr>
                <w:rFonts w:hint="eastAsia"/>
                <w:szCs w:val="21"/>
              </w:rPr>
              <w:t>交易价格显失公允的交易产生的收益</w:t>
            </w:r>
          </w:p>
        </w:tc>
        <w:tc>
          <w:tcPr>
            <w:tcW w:w="1701" w:type="dxa"/>
            <w:vAlign w:val="center"/>
          </w:tcPr>
          <w:p w14:paraId="3BDECB7C">
            <w:pPr>
              <w:widowControl w:val="0"/>
              <w:jc w:val="right"/>
            </w:pPr>
            <w:r>
              <w:rPr>
                <w:rFonts w:hint="eastAsia"/>
              </w:rPr>
              <w:t>　</w:t>
            </w:r>
          </w:p>
        </w:tc>
        <w:tc>
          <w:tcPr>
            <w:tcW w:w="1134" w:type="dxa"/>
            <w:vAlign w:val="center"/>
          </w:tcPr>
          <w:p w14:paraId="09D75F5C">
            <w:pPr>
              <w:pStyle w:val="48"/>
            </w:pPr>
            <w:r>
              <w:rPr>
                <w:rFonts w:hint="eastAsia"/>
              </w:rPr>
              <w:t>　</w:t>
            </w:r>
          </w:p>
        </w:tc>
        <w:tc>
          <w:tcPr>
            <w:tcW w:w="1517" w:type="dxa"/>
            <w:vAlign w:val="center"/>
          </w:tcPr>
          <w:p w14:paraId="56CD2238">
            <w:pPr>
              <w:widowControl w:val="0"/>
              <w:jc w:val="right"/>
            </w:pPr>
          </w:p>
        </w:tc>
        <w:tc>
          <w:tcPr>
            <w:tcW w:w="1460" w:type="dxa"/>
            <w:vAlign w:val="center"/>
          </w:tcPr>
          <w:p w14:paraId="33926EFA">
            <w:pPr>
              <w:widowControl w:val="0"/>
              <w:jc w:val="right"/>
            </w:pPr>
          </w:p>
        </w:tc>
      </w:tr>
      <w:tr w14:paraId="50AD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31F73102">
            <w:pPr>
              <w:pStyle w:val="30"/>
              <w:ind w:firstLine="0" w:firstLineChars="0"/>
              <w:jc w:val="left"/>
              <w:rPr>
                <w:szCs w:val="21"/>
              </w:rPr>
            </w:pPr>
            <w:r>
              <w:rPr>
                <w:szCs w:val="21"/>
              </w:rPr>
              <w:t>与公司正常经营业务无关的或有事项产生的损益</w:t>
            </w:r>
          </w:p>
        </w:tc>
        <w:tc>
          <w:tcPr>
            <w:tcW w:w="1701" w:type="dxa"/>
            <w:vAlign w:val="center"/>
          </w:tcPr>
          <w:p w14:paraId="701DD20C">
            <w:pPr>
              <w:widowControl w:val="0"/>
              <w:jc w:val="right"/>
            </w:pPr>
          </w:p>
        </w:tc>
        <w:tc>
          <w:tcPr>
            <w:tcW w:w="1134" w:type="dxa"/>
            <w:vAlign w:val="center"/>
          </w:tcPr>
          <w:p w14:paraId="63924419">
            <w:pPr>
              <w:pStyle w:val="48"/>
            </w:pPr>
            <w:r>
              <w:rPr>
                <w:rFonts w:hint="eastAsia"/>
              </w:rPr>
              <w:t>　</w:t>
            </w:r>
          </w:p>
        </w:tc>
        <w:tc>
          <w:tcPr>
            <w:tcW w:w="1517" w:type="dxa"/>
            <w:vAlign w:val="center"/>
          </w:tcPr>
          <w:p w14:paraId="30ED37A9">
            <w:pPr>
              <w:widowControl w:val="0"/>
              <w:jc w:val="right"/>
            </w:pPr>
            <w:r>
              <w:t>-60,816,238.80</w:t>
            </w:r>
          </w:p>
        </w:tc>
        <w:tc>
          <w:tcPr>
            <w:tcW w:w="1460" w:type="dxa"/>
            <w:vAlign w:val="center"/>
          </w:tcPr>
          <w:p w14:paraId="09C5F923">
            <w:pPr>
              <w:widowControl w:val="0"/>
              <w:jc w:val="right"/>
            </w:pPr>
          </w:p>
        </w:tc>
      </w:tr>
      <w:tr w14:paraId="346B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35D2151F">
            <w:pPr>
              <w:pStyle w:val="30"/>
              <w:ind w:firstLine="0" w:firstLineChars="0"/>
              <w:jc w:val="left"/>
              <w:rPr>
                <w:szCs w:val="21"/>
              </w:rPr>
            </w:pPr>
            <w:r>
              <w:rPr>
                <w:szCs w:val="21"/>
              </w:rPr>
              <w:t>受托经营取得的托管费收入</w:t>
            </w:r>
          </w:p>
        </w:tc>
        <w:tc>
          <w:tcPr>
            <w:tcW w:w="1701" w:type="dxa"/>
            <w:vAlign w:val="center"/>
          </w:tcPr>
          <w:p w14:paraId="6F7132A3">
            <w:pPr>
              <w:widowControl w:val="0"/>
              <w:jc w:val="right"/>
            </w:pPr>
            <w:r>
              <w:rPr>
                <w:rFonts w:hint="eastAsia"/>
              </w:rPr>
              <w:t>　</w:t>
            </w:r>
          </w:p>
        </w:tc>
        <w:tc>
          <w:tcPr>
            <w:tcW w:w="1134" w:type="dxa"/>
            <w:vAlign w:val="center"/>
          </w:tcPr>
          <w:p w14:paraId="21739DF4">
            <w:pPr>
              <w:pStyle w:val="48"/>
            </w:pPr>
            <w:r>
              <w:rPr>
                <w:rFonts w:hint="eastAsia"/>
              </w:rPr>
              <w:t>　</w:t>
            </w:r>
          </w:p>
        </w:tc>
        <w:tc>
          <w:tcPr>
            <w:tcW w:w="1517" w:type="dxa"/>
            <w:vAlign w:val="center"/>
          </w:tcPr>
          <w:p w14:paraId="7A591DAD">
            <w:pPr>
              <w:widowControl w:val="0"/>
              <w:jc w:val="right"/>
            </w:pPr>
          </w:p>
        </w:tc>
        <w:tc>
          <w:tcPr>
            <w:tcW w:w="1460" w:type="dxa"/>
            <w:vAlign w:val="center"/>
          </w:tcPr>
          <w:p w14:paraId="65DFFF4C">
            <w:pPr>
              <w:widowControl w:val="0"/>
              <w:jc w:val="right"/>
            </w:pPr>
          </w:p>
        </w:tc>
      </w:tr>
      <w:tr w14:paraId="6A02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5EFF42E7">
            <w:pPr>
              <w:pStyle w:val="30"/>
              <w:ind w:firstLine="0" w:firstLineChars="0"/>
              <w:jc w:val="left"/>
              <w:rPr>
                <w:szCs w:val="21"/>
              </w:rPr>
            </w:pPr>
            <w:r>
              <w:rPr>
                <w:szCs w:val="21"/>
              </w:rPr>
              <w:t>除上述各项之外的其他营业外收入和支出</w:t>
            </w:r>
          </w:p>
        </w:tc>
        <w:tc>
          <w:tcPr>
            <w:tcW w:w="1701" w:type="dxa"/>
            <w:vAlign w:val="center"/>
          </w:tcPr>
          <w:p w14:paraId="237C78D5">
            <w:pPr>
              <w:widowControl w:val="0"/>
              <w:jc w:val="right"/>
            </w:pPr>
            <w:r>
              <w:t>-97,279,024.05</w:t>
            </w:r>
          </w:p>
        </w:tc>
        <w:tc>
          <w:tcPr>
            <w:tcW w:w="1134" w:type="dxa"/>
            <w:vAlign w:val="center"/>
          </w:tcPr>
          <w:p w14:paraId="0D1E7657">
            <w:pPr>
              <w:pStyle w:val="48"/>
            </w:pPr>
            <w:r>
              <w:rPr>
                <w:rFonts w:hint="eastAsia"/>
              </w:rPr>
              <w:t>　</w:t>
            </w:r>
          </w:p>
        </w:tc>
        <w:tc>
          <w:tcPr>
            <w:tcW w:w="1517" w:type="dxa"/>
            <w:vAlign w:val="center"/>
          </w:tcPr>
          <w:p w14:paraId="66B814A4">
            <w:pPr>
              <w:widowControl w:val="0"/>
              <w:jc w:val="right"/>
            </w:pPr>
            <w:r>
              <w:t>-285,089.88</w:t>
            </w:r>
          </w:p>
        </w:tc>
        <w:tc>
          <w:tcPr>
            <w:tcW w:w="1460" w:type="dxa"/>
            <w:vAlign w:val="center"/>
          </w:tcPr>
          <w:p w14:paraId="70F97417">
            <w:pPr>
              <w:widowControl w:val="0"/>
              <w:jc w:val="right"/>
            </w:pPr>
            <w:r>
              <w:t>813,534.24</w:t>
            </w:r>
          </w:p>
        </w:tc>
      </w:tr>
      <w:tr w14:paraId="0A21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74D3E201">
            <w:pPr>
              <w:pStyle w:val="30"/>
              <w:ind w:firstLine="0" w:firstLineChars="0"/>
              <w:jc w:val="left"/>
              <w:rPr>
                <w:szCs w:val="21"/>
              </w:rPr>
            </w:pPr>
            <w:r>
              <w:rPr>
                <w:szCs w:val="21"/>
              </w:rPr>
              <w:t>其他符合非经常性损益定义的损益项目</w:t>
            </w:r>
          </w:p>
        </w:tc>
        <w:tc>
          <w:tcPr>
            <w:tcW w:w="1701" w:type="dxa"/>
            <w:vAlign w:val="center"/>
          </w:tcPr>
          <w:p w14:paraId="5A5DB555">
            <w:pPr>
              <w:widowControl w:val="0"/>
              <w:jc w:val="right"/>
            </w:pPr>
            <w:r>
              <w:t>-26,847,992.60</w:t>
            </w:r>
          </w:p>
        </w:tc>
        <w:tc>
          <w:tcPr>
            <w:tcW w:w="1134" w:type="dxa"/>
            <w:vAlign w:val="center"/>
          </w:tcPr>
          <w:p w14:paraId="2B253AFA">
            <w:pPr>
              <w:pStyle w:val="48"/>
            </w:pPr>
            <w:r>
              <w:rPr>
                <w:rFonts w:hint="eastAsia"/>
              </w:rPr>
              <w:t>　</w:t>
            </w:r>
          </w:p>
        </w:tc>
        <w:tc>
          <w:tcPr>
            <w:tcW w:w="1517" w:type="dxa"/>
            <w:vAlign w:val="center"/>
          </w:tcPr>
          <w:p w14:paraId="2C5D53EB">
            <w:pPr>
              <w:widowControl w:val="0"/>
              <w:jc w:val="right"/>
            </w:pPr>
            <w:r>
              <w:t>1,499,142.51</w:t>
            </w:r>
          </w:p>
        </w:tc>
        <w:tc>
          <w:tcPr>
            <w:tcW w:w="1460" w:type="dxa"/>
            <w:vAlign w:val="center"/>
          </w:tcPr>
          <w:p w14:paraId="6B56416F">
            <w:pPr>
              <w:widowControl w:val="0"/>
              <w:jc w:val="right"/>
            </w:pPr>
            <w:r>
              <w:t>-3,837,088.23</w:t>
            </w:r>
          </w:p>
        </w:tc>
      </w:tr>
      <w:tr w14:paraId="6829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67113A3E">
            <w:pPr>
              <w:pStyle w:val="30"/>
              <w:ind w:firstLine="0" w:firstLineChars="0"/>
              <w:jc w:val="left"/>
              <w:rPr>
                <w:szCs w:val="21"/>
              </w:rPr>
            </w:pPr>
            <w:r>
              <w:rPr>
                <w:rFonts w:hint="eastAsia"/>
              </w:rPr>
              <w:t>减：</w:t>
            </w:r>
            <w:r>
              <w:rPr>
                <w:szCs w:val="21"/>
              </w:rPr>
              <w:t>所得税影响额</w:t>
            </w:r>
          </w:p>
        </w:tc>
        <w:tc>
          <w:tcPr>
            <w:tcW w:w="1701" w:type="dxa"/>
            <w:vAlign w:val="center"/>
          </w:tcPr>
          <w:p w14:paraId="3B81F21A">
            <w:pPr>
              <w:widowControl w:val="0"/>
              <w:jc w:val="right"/>
            </w:pPr>
            <w:r>
              <w:t>145,922,739.47</w:t>
            </w:r>
          </w:p>
        </w:tc>
        <w:tc>
          <w:tcPr>
            <w:tcW w:w="1134" w:type="dxa"/>
            <w:vAlign w:val="center"/>
          </w:tcPr>
          <w:p w14:paraId="6281ABAF">
            <w:pPr>
              <w:pStyle w:val="48"/>
            </w:pPr>
            <w:r>
              <w:rPr>
                <w:rFonts w:hint="eastAsia"/>
              </w:rPr>
              <w:t>　</w:t>
            </w:r>
          </w:p>
        </w:tc>
        <w:tc>
          <w:tcPr>
            <w:tcW w:w="1517" w:type="dxa"/>
            <w:vAlign w:val="center"/>
          </w:tcPr>
          <w:p w14:paraId="1F9FE6EB">
            <w:pPr>
              <w:widowControl w:val="0"/>
              <w:jc w:val="right"/>
            </w:pPr>
            <w:r>
              <w:t>-5,609,187.67</w:t>
            </w:r>
          </w:p>
        </w:tc>
        <w:tc>
          <w:tcPr>
            <w:tcW w:w="1460" w:type="dxa"/>
            <w:vAlign w:val="center"/>
          </w:tcPr>
          <w:p w14:paraId="7B8B45A7">
            <w:pPr>
              <w:widowControl w:val="0"/>
              <w:jc w:val="right"/>
            </w:pPr>
            <w:r>
              <w:t>392,150.67</w:t>
            </w:r>
          </w:p>
        </w:tc>
      </w:tr>
      <w:tr w14:paraId="4921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vAlign w:val="center"/>
          </w:tcPr>
          <w:p w14:paraId="03AD3D82">
            <w:pPr>
              <w:pStyle w:val="30"/>
              <w:jc w:val="left"/>
              <w:rPr>
                <w:szCs w:val="21"/>
              </w:rPr>
            </w:pPr>
            <w:r>
              <w:rPr>
                <w:szCs w:val="21"/>
              </w:rPr>
              <w:t>少数股东权益影响额</w:t>
            </w:r>
            <w:r>
              <w:rPr>
                <w:rFonts w:hint="eastAsia"/>
                <w:szCs w:val="21"/>
              </w:rPr>
              <w:t>（税后）</w:t>
            </w:r>
          </w:p>
        </w:tc>
        <w:tc>
          <w:tcPr>
            <w:tcW w:w="1701" w:type="dxa"/>
            <w:vAlign w:val="center"/>
          </w:tcPr>
          <w:p w14:paraId="512299C9">
            <w:pPr>
              <w:widowControl w:val="0"/>
              <w:jc w:val="right"/>
            </w:pPr>
            <w:r>
              <w:t>124,750.45</w:t>
            </w:r>
          </w:p>
        </w:tc>
        <w:tc>
          <w:tcPr>
            <w:tcW w:w="1134" w:type="dxa"/>
            <w:vAlign w:val="center"/>
          </w:tcPr>
          <w:p w14:paraId="59A8480B">
            <w:pPr>
              <w:pStyle w:val="48"/>
            </w:pPr>
            <w:r>
              <w:rPr>
                <w:rFonts w:hint="eastAsia"/>
              </w:rPr>
              <w:t>　</w:t>
            </w:r>
          </w:p>
        </w:tc>
        <w:tc>
          <w:tcPr>
            <w:tcW w:w="1517" w:type="dxa"/>
            <w:vAlign w:val="center"/>
          </w:tcPr>
          <w:p w14:paraId="7559AFDA">
            <w:pPr>
              <w:widowControl w:val="0"/>
              <w:jc w:val="right"/>
            </w:pPr>
            <w:r>
              <w:t>508,672.85</w:t>
            </w:r>
          </w:p>
        </w:tc>
        <w:tc>
          <w:tcPr>
            <w:tcW w:w="1460" w:type="dxa"/>
            <w:vAlign w:val="center"/>
          </w:tcPr>
          <w:p w14:paraId="10235CE3">
            <w:pPr>
              <w:widowControl w:val="0"/>
              <w:jc w:val="right"/>
            </w:pPr>
            <w:r>
              <w:t>107,375.72</w:t>
            </w:r>
          </w:p>
        </w:tc>
      </w:tr>
      <w:tr w14:paraId="0DD8AE01">
        <w:tblPrEx>
          <w:tblCellMar>
            <w:top w:w="0" w:type="dxa"/>
            <w:left w:w="108" w:type="dxa"/>
            <w:bottom w:w="0" w:type="dxa"/>
            <w:right w:w="108" w:type="dxa"/>
          </w:tblCellMar>
        </w:tblPrEx>
        <w:tc>
          <w:tcPr>
            <w:tcW w:w="3686" w:type="dxa"/>
            <w:vAlign w:val="center"/>
          </w:tcPr>
          <w:p w14:paraId="08F7FA44">
            <w:pPr>
              <w:pStyle w:val="30"/>
              <w:ind w:firstLine="0" w:firstLineChars="0"/>
              <w:jc w:val="center"/>
              <w:rPr>
                <w:szCs w:val="21"/>
              </w:rPr>
            </w:pPr>
            <w:r>
              <w:rPr>
                <w:szCs w:val="21"/>
              </w:rPr>
              <w:t>合计</w:t>
            </w:r>
          </w:p>
        </w:tc>
        <w:tc>
          <w:tcPr>
            <w:tcW w:w="1701" w:type="dxa"/>
            <w:vAlign w:val="center"/>
          </w:tcPr>
          <w:p w14:paraId="0CDCF7AE">
            <w:pPr>
              <w:widowControl w:val="0"/>
              <w:jc w:val="right"/>
            </w:pPr>
            <w:r>
              <w:t>844,094,562.86</w:t>
            </w:r>
          </w:p>
        </w:tc>
        <w:tc>
          <w:tcPr>
            <w:tcW w:w="1134" w:type="dxa"/>
            <w:vAlign w:val="center"/>
          </w:tcPr>
          <w:p w14:paraId="76CBDD94">
            <w:pPr>
              <w:pStyle w:val="48"/>
            </w:pPr>
            <w:r>
              <w:rPr>
                <w:rFonts w:hint="eastAsia"/>
              </w:rPr>
              <w:t>　</w:t>
            </w:r>
          </w:p>
        </w:tc>
        <w:tc>
          <w:tcPr>
            <w:tcW w:w="1517" w:type="dxa"/>
            <w:vAlign w:val="center"/>
          </w:tcPr>
          <w:p w14:paraId="0E5CD08B">
            <w:pPr>
              <w:widowControl w:val="0"/>
              <w:jc w:val="right"/>
            </w:pPr>
            <w:r>
              <w:t>-31,912,809.88</w:t>
            </w:r>
          </w:p>
        </w:tc>
        <w:tc>
          <w:tcPr>
            <w:tcW w:w="1460" w:type="dxa"/>
            <w:vAlign w:val="center"/>
          </w:tcPr>
          <w:p w14:paraId="356BC4DD">
            <w:pPr>
              <w:widowControl w:val="0"/>
              <w:jc w:val="right"/>
            </w:pPr>
            <w:r>
              <w:t>322,049.06</w:t>
            </w:r>
          </w:p>
        </w:tc>
      </w:tr>
    </w:tbl>
    <w:p w14:paraId="32CC0B59">
      <w:pPr>
        <w:pStyle w:val="48"/>
      </w:pPr>
    </w:p>
    <w:bookmarkEnd w:id="29"/>
    <w:bookmarkEnd w:id="30"/>
    <w:p w14:paraId="57A340EA">
      <w:pPr>
        <w:pStyle w:val="12"/>
        <w:adjustRightInd w:val="0"/>
        <w:snapToGrid w:val="0"/>
        <w:spacing w:line="200" w:lineRule="atLeast"/>
        <w:rPr>
          <w:rFonts w:hAnsi="宋体"/>
          <w:kern w:val="0"/>
        </w:rPr>
      </w:pPr>
      <w:bookmarkStart w:id="31" w:name="_Hlk41379873"/>
      <w:bookmarkStart w:id="32" w:name="_Hlk89096484"/>
      <w:r>
        <w:rPr>
          <w:rFonts w:hint="eastAsia" w:hAnsi="宋体" w:cs="宋体"/>
          <w:kern w:val="0"/>
        </w:rPr>
        <w:t>对公司</w:t>
      </w:r>
      <w:r>
        <w:rPr>
          <w:rFonts w:hint="eastAsia"/>
        </w:rPr>
        <w:t>将《公开发行证券的公司信息披露解释性公告第</w:t>
      </w:r>
      <w:r>
        <w:t>1号——非经常性损益》未列举的项目认定为非经常性损益项目且金额重大的，以及将《公开发行证券的公司信息披露解释性公告第1号——非经常性损益》中列举的非经常性损益项目界定为经常性损益的项目，</w:t>
      </w:r>
      <w:r>
        <w:rPr>
          <w:rFonts w:hAnsi="宋体" w:cs="宋体"/>
          <w:kern w:val="0"/>
        </w:rPr>
        <w:t>应说明原因。</w:t>
      </w:r>
    </w:p>
    <w:sdt>
      <w:sdtPr>
        <w:alias w:val="是否适用：将非经常性损益项目界定为经常性损益项目[双击切换]"/>
        <w:tag w:val="_GBC_a4930715ddcb47d484e7fbd516fb3ac1"/>
        <w:id w:val="1050430020"/>
        <w:placeholder>
          <w:docPart w:val="GBC22222222222222222222222222222"/>
        </w:placeholder>
      </w:sdtPr>
      <w:sdtContent>
        <w:p w14:paraId="7C216BA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1"/>
    <w:bookmarkEnd w:id="32"/>
    <w:p w14:paraId="62A11505">
      <w:pPr>
        <w:jc w:val="right"/>
      </w:pPr>
      <w:r>
        <w:rPr>
          <w:rFonts w:hint="eastAsia"/>
        </w:rPr>
        <w:t>单位：</w:t>
      </w:r>
      <w:sdt>
        <w:sdtPr>
          <w:rPr>
            <w:rFonts w:hint="eastAsia"/>
          </w:rPr>
          <w:alias w:val="单位：财务附注：将非经常性损益项目界定为经常性损益项目"/>
          <w:tag w:val="_GBC_8dfd250d782042eb820d8cbafc3ace6f"/>
          <w:id w:val="2085491723"/>
          <w:placeholder>
            <w:docPart w:val="12AABB149B3F4AC1A4C9BC28D9C6A4F7"/>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w:t>
      </w:r>
      <w:r>
        <w:rPr>
          <w:rFonts w:hint="eastAsia"/>
        </w:rPr>
        <w:t>币种：</w:t>
      </w:r>
      <w:sdt>
        <w:sdtPr>
          <w:rPr>
            <w:rFonts w:hint="eastAsia"/>
          </w:rPr>
          <w:alias w:val="币种：财务附注：将非经常性损益项目界定为经常性损益项目"/>
          <w:tag w:val="_GBC_0b48b6cdee9b42c997d9db3bad4e6fc2"/>
          <w:id w:val="933473989"/>
          <w:placeholder>
            <w:docPart w:val="12AABB149B3F4AC1A4C9BC28D9C6A4F7"/>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9"/>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1"/>
        <w:gridCol w:w="2050"/>
        <w:gridCol w:w="2957"/>
      </w:tblGrid>
      <w:tr w14:paraId="43CE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bb60fbca07c4c88a916b14f69cfc1a3"/>
            <w:id w:val="-412082576"/>
          </w:sdtPr>
          <w:sdtContent>
            <w:tc>
              <w:tcPr>
                <w:tcW w:w="4041" w:type="dxa"/>
                <w:vAlign w:val="center"/>
              </w:tcPr>
              <w:p w14:paraId="0019AA80">
                <w:pPr>
                  <w:jc w:val="center"/>
                </w:pPr>
                <w:r>
                  <w:rPr>
                    <w:rFonts w:hint="eastAsia"/>
                  </w:rPr>
                  <w:t>项目</w:t>
                </w:r>
              </w:p>
            </w:tc>
          </w:sdtContent>
        </w:sdt>
        <w:sdt>
          <w:sdtPr>
            <w:tag w:val="_PLD_82e343552aca4d8e95c2416d487f6839"/>
            <w:id w:val="-74910208"/>
          </w:sdtPr>
          <w:sdtContent>
            <w:tc>
              <w:tcPr>
                <w:tcW w:w="2050" w:type="dxa"/>
                <w:vAlign w:val="center"/>
              </w:tcPr>
              <w:p w14:paraId="594FF41C">
                <w:pPr>
                  <w:jc w:val="center"/>
                </w:pPr>
                <w:r>
                  <w:rPr>
                    <w:rFonts w:hint="eastAsia"/>
                  </w:rPr>
                  <w:t>涉及金额</w:t>
                </w:r>
              </w:p>
            </w:tc>
          </w:sdtContent>
        </w:sdt>
        <w:sdt>
          <w:sdtPr>
            <w:tag w:val="_PLD_611c973049f54ee3bc558dcd1e930bc5"/>
            <w:id w:val="-945222075"/>
          </w:sdtPr>
          <w:sdtContent>
            <w:tc>
              <w:tcPr>
                <w:tcW w:w="2957" w:type="dxa"/>
                <w:vAlign w:val="center"/>
              </w:tcPr>
              <w:p w14:paraId="625EDF83">
                <w:pPr>
                  <w:jc w:val="center"/>
                </w:pPr>
                <w:r>
                  <w:rPr>
                    <w:rFonts w:hint="eastAsia"/>
                  </w:rPr>
                  <w:t>原因</w:t>
                </w:r>
              </w:p>
            </w:tc>
          </w:sdtContent>
        </w:sdt>
      </w:tr>
      <w:tr w14:paraId="4EE0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1" w:type="dxa"/>
            <w:vAlign w:val="center"/>
          </w:tcPr>
          <w:p w14:paraId="1BA110FD">
            <w:r>
              <w:t>权益法核算的投资收益中属于非经常性损益的部分</w:t>
            </w:r>
          </w:p>
        </w:tc>
        <w:tc>
          <w:tcPr>
            <w:tcW w:w="2050" w:type="dxa"/>
            <w:vAlign w:val="center"/>
          </w:tcPr>
          <w:p w14:paraId="0EF19E1A">
            <w:pPr>
              <w:jc w:val="right"/>
            </w:pPr>
            <w:r>
              <w:t>-26,847,992.60</w:t>
            </w:r>
          </w:p>
        </w:tc>
        <w:tc>
          <w:tcPr>
            <w:tcW w:w="2957" w:type="dxa"/>
            <w:vAlign w:val="center"/>
          </w:tcPr>
          <w:p w14:paraId="3C1CC517">
            <w:r>
              <w:t>基于交易和事项的经济性质判断并遵循重要性原则。</w:t>
            </w:r>
          </w:p>
        </w:tc>
      </w:tr>
      <w:tr w14:paraId="2697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1" w:type="dxa"/>
            <w:vAlign w:val="center"/>
          </w:tcPr>
          <w:p w14:paraId="6EBC97B1">
            <w:pPr>
              <w:jc w:val="center"/>
            </w:pPr>
            <w:r>
              <w:t>合计</w:t>
            </w:r>
          </w:p>
        </w:tc>
        <w:tc>
          <w:tcPr>
            <w:tcW w:w="2050" w:type="dxa"/>
            <w:vAlign w:val="center"/>
          </w:tcPr>
          <w:p w14:paraId="40BE12D6">
            <w:pPr>
              <w:jc w:val="right"/>
            </w:pPr>
            <w:r>
              <w:t>-26,847,992.60</w:t>
            </w:r>
          </w:p>
        </w:tc>
        <w:tc>
          <w:tcPr>
            <w:tcW w:w="2957" w:type="dxa"/>
            <w:vAlign w:val="center"/>
          </w:tcPr>
          <w:p w14:paraId="682E6142"/>
        </w:tc>
      </w:tr>
    </w:tbl>
    <w:p w14:paraId="67C803D8"/>
    <w:p w14:paraId="15BE8B3F">
      <w:pPr>
        <w:pStyle w:val="48"/>
      </w:pPr>
    </w:p>
    <w:p w14:paraId="243E77A2">
      <w:pPr>
        <w:pStyle w:val="3"/>
        <w:numPr>
          <w:ilvl w:val="1"/>
          <w:numId w:val="4"/>
        </w:numPr>
        <w:ind w:left="498" w:hanging="498" w:hangingChars="236"/>
        <w:rPr>
          <w:u w:val="single"/>
        </w:rPr>
      </w:pPr>
      <w:bookmarkStart w:id="33" w:name="_Hlk190177857"/>
      <w:bookmarkEnd w:id="33"/>
      <w:bookmarkStart w:id="34" w:name="_Hlk89957177"/>
      <w:bookmarkEnd w:id="34"/>
      <w:bookmarkStart w:id="35" w:name="_Hlk188284396"/>
      <w:bookmarkEnd w:id="35"/>
      <w:bookmarkStart w:id="36" w:name="_Hlk189833556"/>
      <w:r>
        <w:rPr>
          <w:rFonts w:hint="eastAsia"/>
        </w:rPr>
        <w:t>存在股权激励、员工持股计划的公司可选择披露扣除股份支付影响后的净利润</w:t>
      </w:r>
    </w:p>
    <w:sdt>
      <w:sdtPr>
        <w:rPr>
          <w:rFonts w:hint="eastAsia"/>
        </w:rPr>
        <w:alias w:val="是否适用：扣除股份支付影响后的净利润[双击切换]"/>
        <w:tag w:val="_GBC_71c3b526e4394d84a9836f3f981280a3"/>
        <w:id w:val="1869024647"/>
        <w:lock w:val="contentLocked"/>
        <w:placeholder>
          <w:docPart w:val="GBC22222222222222222222222222222"/>
        </w:placeholder>
      </w:sdtPr>
      <w:sdtEndPr>
        <w:rPr>
          <w:rFonts w:hint="eastAsia"/>
        </w:rPr>
      </w:sdtEndPr>
      <w:sdtContent>
        <w:p w14:paraId="6EEB7558">
          <w:pPr>
            <w:pStyle w:val="48"/>
          </w:pPr>
          <w:r>
            <w:rPr>
              <w:rFonts w:hint="eastAsia" w:ascii="宋体" w:hAnsi="宋体"/>
            </w:rPr>
            <w:fldChar w:fldCharType="begin"/>
          </w:r>
          <w:r>
            <w:rPr>
              <w:rFonts w:hint="eastAsia" w:ascii="宋体" w:hAnsi="宋体"/>
            </w:rPr>
            <w:instrText xml:space="preserve"> MACROBUTTON  SnrToggleCheckbox √适用 </w:instrText>
          </w:r>
          <w:r>
            <w:rPr>
              <w:rFonts w:hint="eastAsia" w:ascii="宋体" w:hAnsi="宋体"/>
            </w:rPr>
            <w:fldChar w:fldCharType="end"/>
          </w:r>
          <w:r>
            <w:rPr>
              <w:rFonts w:hint="eastAsia" w:ascii="宋体" w:hAnsi="宋体"/>
            </w:rPr>
            <w:fldChar w:fldCharType="begin"/>
          </w:r>
          <w:r>
            <w:rPr>
              <w:rFonts w:hint="eastAsia" w:ascii="宋体" w:hAnsi="宋体"/>
            </w:rPr>
            <w:instrText xml:space="preserve"> MACROBUTTON  SnrToggleCheckbox □不适用 </w:instrText>
          </w:r>
          <w:r>
            <w:rPr>
              <w:rFonts w:hint="eastAsia" w:ascii="宋体" w:hAnsi="宋体"/>
            </w:rPr>
            <w:fldChar w:fldCharType="end"/>
          </w:r>
        </w:p>
      </w:sdtContent>
    </w:sdt>
    <w:bookmarkEnd w:id="36"/>
    <w:p w14:paraId="55710483">
      <w:pPr>
        <w:jc w:val="right"/>
      </w:pPr>
      <w:bookmarkStart w:id="37" w:name="_Hlk191559048"/>
      <w:bookmarkEnd w:id="37"/>
      <w:bookmarkStart w:id="38" w:name="_Hlk191559014"/>
      <w:bookmarkEnd w:id="38"/>
      <w:bookmarkStart w:id="39" w:name="_Hlk191559067"/>
      <w:bookmarkEnd w:id="39"/>
      <w:r>
        <w:rPr>
          <w:rFonts w:hint="eastAsia"/>
        </w:rPr>
        <w:t>单位：</w:t>
      </w:r>
      <w:sdt>
        <w:sdtPr>
          <w:rPr>
            <w:rFonts w:hint="eastAsia"/>
          </w:rPr>
          <w:alias w:val="单位：扣除股份支付影响后的净利润"/>
          <w:tag w:val="_GBC_e0b0070c4f5644b3ba02a1748a70ea9c"/>
          <w:id w:val="-1692062966"/>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扣除股份支付影响后的净利润"/>
          <w:tag w:val="_GBC_59e82a9f947446a7a8f992a4fc280733"/>
          <w:id w:val="1530683375"/>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rPr>
        </w:sdtEndPr>
        <w:sdtContent>
          <w:r>
            <w:rPr>
              <w:rFonts w:hint="eastAsia"/>
            </w:rPr>
            <w:t>人民币</w:t>
          </w:r>
        </w:sdtContent>
      </w:sdt>
    </w:p>
    <w:tbl>
      <w:tblPr>
        <w:tblStyle w:val="19"/>
        <w:tblW w:w="9620"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701"/>
        <w:gridCol w:w="1559"/>
        <w:gridCol w:w="1524"/>
        <w:gridCol w:w="1109"/>
        <w:gridCol w:w="1742"/>
      </w:tblGrid>
      <w:tr w14:paraId="175B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sdt>
          <w:sdtPr>
            <w:tag w:val="_PLD_4c31fd6f8fba4b838014b9a16416b448"/>
            <w:id w:val="-1103723113"/>
          </w:sdtPr>
          <w:sdtContent>
            <w:tc>
              <w:tcPr>
                <w:tcW w:w="1985" w:type="dxa"/>
                <w:vMerge w:val="restart"/>
                <w:vAlign w:val="center"/>
              </w:tcPr>
              <w:p w14:paraId="11E7973E">
                <w:pPr>
                  <w:kinsoku w:val="0"/>
                  <w:overflowPunct w:val="0"/>
                  <w:autoSpaceDE w:val="0"/>
                  <w:autoSpaceDN w:val="0"/>
                  <w:adjustRightInd w:val="0"/>
                  <w:snapToGrid w:val="0"/>
                  <w:jc w:val="center"/>
                </w:pPr>
                <w:r>
                  <w:rPr>
                    <w:rFonts w:hint="eastAsia"/>
                  </w:rPr>
                  <w:t>主要会计数据</w:t>
                </w:r>
              </w:p>
            </w:tc>
          </w:sdtContent>
        </w:sdt>
        <w:sdt>
          <w:sdtPr>
            <w:tag w:val="_PLD_5c5d55e2c9d44e5a97622a9b17bd164e"/>
            <w:id w:val="1014494437"/>
          </w:sdtPr>
          <w:sdtContent>
            <w:tc>
              <w:tcPr>
                <w:tcW w:w="1701" w:type="dxa"/>
                <w:vMerge w:val="restart"/>
                <w:vAlign w:val="center"/>
              </w:tcPr>
              <w:p w14:paraId="3D3DA8B5">
                <w:pPr>
                  <w:kinsoku w:val="0"/>
                  <w:overflowPunct w:val="0"/>
                  <w:autoSpaceDE w:val="0"/>
                  <w:autoSpaceDN w:val="0"/>
                  <w:adjustRightInd w:val="0"/>
                  <w:snapToGrid w:val="0"/>
                  <w:jc w:val="center"/>
                </w:pPr>
                <w:r>
                  <w:rPr>
                    <w:rFonts w:hint="eastAsia"/>
                  </w:rPr>
                  <w:t>2025年</w:t>
                </w:r>
              </w:p>
            </w:tc>
          </w:sdtContent>
        </w:sdt>
        <w:sdt>
          <w:sdtPr>
            <w:tag w:val="_PLD_64f958e3a7c4401db92e36358ac360ee"/>
            <w:id w:val="1962070274"/>
          </w:sdtPr>
          <w:sdtContent>
            <w:tc>
              <w:tcPr>
                <w:tcW w:w="3083" w:type="dxa"/>
                <w:gridSpan w:val="2"/>
                <w:vAlign w:val="center"/>
              </w:tcPr>
              <w:p w14:paraId="3526C67C">
                <w:pPr>
                  <w:kinsoku w:val="0"/>
                  <w:overflowPunct w:val="0"/>
                  <w:autoSpaceDE w:val="0"/>
                  <w:autoSpaceDN w:val="0"/>
                  <w:adjustRightInd w:val="0"/>
                  <w:snapToGrid w:val="0"/>
                  <w:jc w:val="center"/>
                </w:pPr>
                <w:r>
                  <w:rPr>
                    <w:rFonts w:hint="eastAsia"/>
                  </w:rPr>
                  <w:t>2024年</w:t>
                </w:r>
              </w:p>
            </w:tc>
          </w:sdtContent>
        </w:sdt>
        <w:sdt>
          <w:sdtPr>
            <w:tag w:val="_PLD_1d430764b79e4e24a0d5e7af3406bca0"/>
            <w:id w:val="-1588378602"/>
          </w:sdtPr>
          <w:sdtContent>
            <w:tc>
              <w:tcPr>
                <w:tcW w:w="1109" w:type="dxa"/>
                <w:vMerge w:val="restart"/>
                <w:vAlign w:val="center"/>
              </w:tcPr>
              <w:p w14:paraId="7669AFE1">
                <w:pPr>
                  <w:kinsoku w:val="0"/>
                  <w:overflowPunct w:val="0"/>
                  <w:autoSpaceDE w:val="0"/>
                  <w:autoSpaceDN w:val="0"/>
                  <w:adjustRightInd w:val="0"/>
                  <w:snapToGrid w:val="0"/>
                  <w:jc w:val="center"/>
                </w:pPr>
                <w:r>
                  <w:rPr>
                    <w:rFonts w:hint="eastAsia"/>
                  </w:rPr>
                  <w:t>本期比上年同期增减</w:t>
                </w:r>
                <w:r>
                  <w:t>(%)</w:t>
                </w:r>
              </w:p>
            </w:tc>
          </w:sdtContent>
        </w:sdt>
        <w:sdt>
          <w:sdtPr>
            <w:tag w:val="_PLD_b6a995dac2964562b78ea5c7b23484e9"/>
            <w:id w:val="1494379056"/>
          </w:sdtPr>
          <w:sdtContent>
            <w:tc>
              <w:tcPr>
                <w:tcW w:w="1742" w:type="dxa"/>
                <w:vMerge w:val="restart"/>
                <w:vAlign w:val="center"/>
              </w:tcPr>
              <w:p w14:paraId="5455E56F">
                <w:pPr>
                  <w:kinsoku w:val="0"/>
                  <w:overflowPunct w:val="0"/>
                  <w:autoSpaceDE w:val="0"/>
                  <w:autoSpaceDN w:val="0"/>
                  <w:adjustRightInd w:val="0"/>
                  <w:snapToGrid w:val="0"/>
                  <w:jc w:val="center"/>
                </w:pPr>
                <w:r>
                  <w:rPr>
                    <w:rFonts w:hint="eastAsia"/>
                  </w:rPr>
                  <w:t>2023年</w:t>
                </w:r>
              </w:p>
            </w:tc>
          </w:sdtContent>
        </w:sdt>
      </w:tr>
      <w:tr w14:paraId="2436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85" w:type="dxa"/>
            <w:vMerge w:val="continue"/>
            <w:vAlign w:val="center"/>
          </w:tcPr>
          <w:p w14:paraId="7812503F">
            <w:pPr>
              <w:kinsoku w:val="0"/>
              <w:overflowPunct w:val="0"/>
              <w:autoSpaceDE w:val="0"/>
              <w:autoSpaceDN w:val="0"/>
              <w:adjustRightInd w:val="0"/>
              <w:snapToGrid w:val="0"/>
            </w:pPr>
          </w:p>
        </w:tc>
        <w:tc>
          <w:tcPr>
            <w:tcW w:w="1701" w:type="dxa"/>
            <w:vMerge w:val="continue"/>
            <w:vAlign w:val="center"/>
          </w:tcPr>
          <w:p w14:paraId="54D4944A">
            <w:pPr>
              <w:kinsoku w:val="0"/>
              <w:overflowPunct w:val="0"/>
              <w:autoSpaceDE w:val="0"/>
              <w:autoSpaceDN w:val="0"/>
              <w:adjustRightInd w:val="0"/>
              <w:snapToGrid w:val="0"/>
              <w:jc w:val="right"/>
            </w:pPr>
          </w:p>
        </w:tc>
        <w:sdt>
          <w:sdtPr>
            <w:tag w:val="_PLD_0fb3e3c375944c3991b6c4fe43c23241"/>
            <w:id w:val="530227678"/>
          </w:sdtPr>
          <w:sdtContent>
            <w:tc>
              <w:tcPr>
                <w:tcW w:w="1559" w:type="dxa"/>
                <w:vAlign w:val="center"/>
              </w:tcPr>
              <w:p w14:paraId="29741B57">
                <w:pPr>
                  <w:kinsoku w:val="0"/>
                  <w:overflowPunct w:val="0"/>
                  <w:autoSpaceDE w:val="0"/>
                  <w:autoSpaceDN w:val="0"/>
                  <w:adjustRightInd w:val="0"/>
                  <w:snapToGrid w:val="0"/>
                  <w:jc w:val="center"/>
                  <w:rPr>
                    <w:bCs/>
                  </w:rPr>
                </w:pPr>
                <w:r>
                  <w:rPr>
                    <w:rFonts w:hint="eastAsia"/>
                    <w:bCs/>
                  </w:rPr>
                  <w:t>调整后</w:t>
                </w:r>
              </w:p>
            </w:tc>
          </w:sdtContent>
        </w:sdt>
        <w:sdt>
          <w:sdtPr>
            <w:tag w:val="_PLD_14bcfc025e8f4cf6ba9fa53f2afbf575"/>
            <w:id w:val="353158185"/>
          </w:sdtPr>
          <w:sdtContent>
            <w:tc>
              <w:tcPr>
                <w:tcW w:w="1524" w:type="dxa"/>
                <w:vAlign w:val="center"/>
              </w:tcPr>
              <w:p w14:paraId="235AD1F3">
                <w:pPr>
                  <w:kinsoku w:val="0"/>
                  <w:overflowPunct w:val="0"/>
                  <w:autoSpaceDE w:val="0"/>
                  <w:autoSpaceDN w:val="0"/>
                  <w:adjustRightInd w:val="0"/>
                  <w:snapToGrid w:val="0"/>
                  <w:jc w:val="center"/>
                </w:pPr>
                <w:r>
                  <w:rPr>
                    <w:rFonts w:hint="eastAsia"/>
                  </w:rPr>
                  <w:t>调整前</w:t>
                </w:r>
              </w:p>
            </w:tc>
          </w:sdtContent>
        </w:sdt>
        <w:tc>
          <w:tcPr>
            <w:tcW w:w="1109" w:type="dxa"/>
            <w:vMerge w:val="continue"/>
            <w:vAlign w:val="center"/>
          </w:tcPr>
          <w:p w14:paraId="1AA8BF89">
            <w:pPr>
              <w:kinsoku w:val="0"/>
              <w:overflowPunct w:val="0"/>
              <w:autoSpaceDE w:val="0"/>
              <w:autoSpaceDN w:val="0"/>
              <w:adjustRightInd w:val="0"/>
              <w:snapToGrid w:val="0"/>
              <w:jc w:val="right"/>
            </w:pPr>
          </w:p>
        </w:tc>
        <w:tc>
          <w:tcPr>
            <w:tcW w:w="1742" w:type="dxa"/>
            <w:vMerge w:val="continue"/>
            <w:vAlign w:val="center"/>
          </w:tcPr>
          <w:p w14:paraId="153788D2">
            <w:pPr>
              <w:kinsoku w:val="0"/>
              <w:overflowPunct w:val="0"/>
              <w:autoSpaceDE w:val="0"/>
              <w:autoSpaceDN w:val="0"/>
              <w:adjustRightInd w:val="0"/>
              <w:snapToGrid w:val="0"/>
              <w:jc w:val="right"/>
            </w:pPr>
          </w:p>
        </w:tc>
      </w:tr>
      <w:tr w14:paraId="3BFC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85" w:type="dxa"/>
            <w:vAlign w:val="center"/>
          </w:tcPr>
          <w:p w14:paraId="1BB99540">
            <w:pPr>
              <w:kinsoku w:val="0"/>
              <w:overflowPunct w:val="0"/>
              <w:autoSpaceDE w:val="0"/>
              <w:autoSpaceDN w:val="0"/>
              <w:adjustRightInd w:val="0"/>
              <w:snapToGrid w:val="0"/>
            </w:pPr>
            <w:r>
              <w:rPr>
                <w:rFonts w:hint="eastAsia"/>
              </w:rPr>
              <w:t>扣除股份支付影响后的净利润</w:t>
            </w:r>
          </w:p>
        </w:tc>
        <w:tc>
          <w:tcPr>
            <w:tcW w:w="1701" w:type="dxa"/>
            <w:vAlign w:val="center"/>
          </w:tcPr>
          <w:p w14:paraId="3AC1C68F">
            <w:pPr>
              <w:kinsoku w:val="0"/>
              <w:overflowPunct w:val="0"/>
              <w:autoSpaceDE w:val="0"/>
              <w:autoSpaceDN w:val="0"/>
              <w:adjustRightInd w:val="0"/>
              <w:snapToGrid w:val="0"/>
              <w:jc w:val="right"/>
            </w:pPr>
            <w:r>
              <w:rPr>
                <w:rFonts w:hint="eastAsia"/>
              </w:rPr>
              <w:t>1,202,771,445.80</w:t>
            </w:r>
          </w:p>
        </w:tc>
        <w:tc>
          <w:tcPr>
            <w:tcW w:w="1559" w:type="dxa"/>
            <w:vAlign w:val="center"/>
          </w:tcPr>
          <w:p w14:paraId="54913A61">
            <w:pPr>
              <w:kinsoku w:val="0"/>
              <w:overflowPunct w:val="0"/>
              <w:autoSpaceDE w:val="0"/>
              <w:autoSpaceDN w:val="0"/>
              <w:adjustRightInd w:val="0"/>
              <w:snapToGrid w:val="0"/>
              <w:jc w:val="right"/>
              <w:rPr>
                <w:bCs/>
              </w:rPr>
            </w:pPr>
            <w:r>
              <w:t>-42,725,901.50</w:t>
            </w:r>
          </w:p>
        </w:tc>
        <w:tc>
          <w:tcPr>
            <w:tcW w:w="1524" w:type="dxa"/>
            <w:vAlign w:val="center"/>
          </w:tcPr>
          <w:p w14:paraId="41641DAA">
            <w:pPr>
              <w:kinsoku w:val="0"/>
              <w:overflowPunct w:val="0"/>
              <w:autoSpaceDE w:val="0"/>
              <w:autoSpaceDN w:val="0"/>
              <w:adjustRightInd w:val="0"/>
              <w:snapToGrid w:val="0"/>
              <w:jc w:val="right"/>
            </w:pPr>
            <w:r>
              <w:t>-44,122,874.60</w:t>
            </w:r>
          </w:p>
        </w:tc>
        <w:tc>
          <w:tcPr>
            <w:tcW w:w="1109" w:type="dxa"/>
            <w:vAlign w:val="center"/>
          </w:tcPr>
          <w:p w14:paraId="3D2F044D">
            <w:pPr>
              <w:kinsoku w:val="0"/>
              <w:overflowPunct w:val="0"/>
              <w:autoSpaceDE w:val="0"/>
              <w:autoSpaceDN w:val="0"/>
              <w:adjustRightInd w:val="0"/>
              <w:snapToGrid w:val="0"/>
              <w:jc w:val="right"/>
            </w:pPr>
            <w:r>
              <w:rPr>
                <w:rFonts w:hint="eastAsia"/>
              </w:rPr>
              <w:t>不适用</w:t>
            </w:r>
          </w:p>
        </w:tc>
        <w:tc>
          <w:tcPr>
            <w:tcW w:w="1742" w:type="dxa"/>
            <w:vAlign w:val="center"/>
          </w:tcPr>
          <w:p w14:paraId="5591468D">
            <w:pPr>
              <w:kinsoku w:val="0"/>
              <w:overflowPunct w:val="0"/>
              <w:autoSpaceDE w:val="0"/>
              <w:autoSpaceDN w:val="0"/>
              <w:adjustRightInd w:val="0"/>
              <w:snapToGrid w:val="0"/>
              <w:jc w:val="right"/>
            </w:pPr>
            <w:r>
              <w:rPr>
                <w:rFonts w:hint="eastAsia"/>
              </w:rPr>
              <w:t>1,1</w:t>
            </w:r>
            <w:r>
              <w:t>51</w:t>
            </w:r>
            <w:r>
              <w:rPr>
                <w:rFonts w:hint="eastAsia"/>
              </w:rPr>
              <w:t>,</w:t>
            </w:r>
            <w:r>
              <w:t>158</w:t>
            </w:r>
            <w:r>
              <w:rPr>
                <w:rFonts w:hint="eastAsia"/>
              </w:rPr>
              <w:t>,</w:t>
            </w:r>
            <w:r>
              <w:t>396</w:t>
            </w:r>
            <w:r>
              <w:rPr>
                <w:rFonts w:hint="eastAsia"/>
              </w:rPr>
              <w:t>.</w:t>
            </w:r>
            <w:r>
              <w:t>61</w:t>
            </w:r>
          </w:p>
        </w:tc>
      </w:tr>
    </w:tbl>
    <w:p w14:paraId="6E4E9FFD"/>
    <w:p w14:paraId="203F7CB2">
      <w:pPr>
        <w:pStyle w:val="3"/>
        <w:numPr>
          <w:ilvl w:val="1"/>
          <w:numId w:val="4"/>
        </w:numPr>
        <w:ind w:left="498" w:hanging="498" w:hangingChars="236"/>
        <w:rPr>
          <w:u w:val="single"/>
        </w:rPr>
      </w:pPr>
      <w:r>
        <w:rPr>
          <w:rFonts w:hint="eastAsia"/>
        </w:rPr>
        <w:t>采用公允价值计量的项目</w:t>
      </w:r>
    </w:p>
    <w:sdt>
      <w:sdtPr>
        <w:alias w:val="是否适用：采用公允价值计量的项目[双击切换]"/>
        <w:tag w:val="_GBC_e89d76d7486246e0ac1d3db15e4df008"/>
        <w:id w:val="1793248369"/>
        <w:placeholder>
          <w:docPart w:val="GBC22222222222222222222222222222"/>
        </w:placeholder>
      </w:sdtPr>
      <w:sdtContent>
        <w:p w14:paraId="0D01C5B3">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4B3E1DF">
      <w:pPr>
        <w:wordWrap w:val="0"/>
        <w:jc w:val="right"/>
        <w:rPr>
          <w:rFonts w:asciiTheme="minorEastAsia" w:hAnsiTheme="minorEastAsia" w:eastAsiaTheme="minorEastAsia"/>
        </w:rPr>
      </w:pPr>
      <w:r>
        <w:rPr>
          <w:rFonts w:hint="eastAsia" w:asciiTheme="minorEastAsia" w:hAnsiTheme="minorEastAsia" w:eastAsiaTheme="minorEastAsia"/>
        </w:rPr>
        <w:t>单位：</w:t>
      </w:r>
      <w:sdt>
        <w:sdtPr>
          <w:rPr>
            <w:rFonts w:hint="eastAsia" w:asciiTheme="minorEastAsia" w:hAnsiTheme="minorEastAsia" w:eastAsiaTheme="minorEastAsia"/>
          </w:rPr>
          <w:alias w:val="单位：采用公允价值计量的项目"/>
          <w:tag w:val="_GBC_3db790decc6f48c79df9bb825ea34c80"/>
          <w:id w:val="20431642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Theme="minorEastAsia" w:hAnsiTheme="minorEastAsia" w:eastAsiaTheme="minorEastAsia"/>
          </w:rPr>
        </w:sdtEndPr>
        <w:sdtContent>
          <w:r>
            <w:rPr>
              <w:rFonts w:hint="eastAsia" w:asciiTheme="minorEastAsia" w:hAnsiTheme="minorEastAsia" w:eastAsiaTheme="minorEastAsia"/>
            </w:rPr>
            <w:t>元</w:t>
          </w:r>
        </w:sdtContent>
      </w:sdt>
      <w:r>
        <w:rPr>
          <w:rFonts w:hint="eastAsia" w:asciiTheme="minorEastAsia" w:hAnsiTheme="minorEastAsia" w:eastAsiaTheme="minorEastAsia"/>
        </w:rPr>
        <w:t xml:space="preserve">  币种：</w:t>
      </w:r>
      <w:sdt>
        <w:sdtPr>
          <w:rPr>
            <w:rFonts w:hint="eastAsia" w:asciiTheme="minorEastAsia" w:hAnsiTheme="minorEastAsia" w:eastAsiaTheme="minorEastAsia"/>
          </w:rPr>
          <w:alias w:val="币种：采用公允价值计量的项目"/>
          <w:tag w:val="_GBC_6f16a5f9084343f1b7cf46e770d31080"/>
          <w:id w:val="-9073787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rPr>
        </w:sdtEndPr>
        <w:sdtContent>
          <w:r>
            <w:rPr>
              <w:rFonts w:hint="eastAsia" w:asciiTheme="minorEastAsia" w:hAnsiTheme="minorEastAsia" w:eastAsiaTheme="minorEastAsia"/>
            </w:rPr>
            <w:t>人民币</w:t>
          </w:r>
        </w:sdtContent>
      </w:sdt>
    </w:p>
    <w:tbl>
      <w:tblPr>
        <w:tblStyle w:val="20"/>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1701"/>
        <w:gridCol w:w="1710"/>
        <w:gridCol w:w="1695"/>
        <w:gridCol w:w="1992"/>
      </w:tblGrid>
      <w:tr w14:paraId="2A81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sdt>
          <w:sdtPr>
            <w:tag w:val="_PLD_7afb41bb6f11412490d2cf97e6a8af4a"/>
            <w:id w:val="-825511486"/>
          </w:sdtPr>
          <w:sdtContent>
            <w:tc>
              <w:tcPr>
                <w:tcW w:w="1949" w:type="dxa"/>
                <w:vAlign w:val="center"/>
              </w:tcPr>
              <w:p w14:paraId="49C6BF1F">
                <w:pPr>
                  <w:widowControl w:val="0"/>
                  <w:jc w:val="center"/>
                  <w:rPr>
                    <w:rFonts w:asciiTheme="minorEastAsia" w:hAnsiTheme="minorEastAsia" w:eastAsiaTheme="minorEastAsia"/>
                  </w:rPr>
                </w:pPr>
                <w:r>
                  <w:rPr>
                    <w:rFonts w:hint="eastAsia" w:asciiTheme="minorEastAsia" w:hAnsiTheme="minorEastAsia" w:eastAsiaTheme="minorEastAsia"/>
                  </w:rPr>
                  <w:t>项目名称</w:t>
                </w:r>
              </w:p>
            </w:tc>
          </w:sdtContent>
        </w:sdt>
        <w:sdt>
          <w:sdtPr>
            <w:tag w:val="_PLD_da0df6228e264965b54ebbf01610457e"/>
            <w:id w:val="-852800848"/>
          </w:sdtPr>
          <w:sdtContent>
            <w:tc>
              <w:tcPr>
                <w:tcW w:w="1701" w:type="dxa"/>
                <w:vAlign w:val="center"/>
              </w:tcPr>
              <w:p w14:paraId="151DD96D">
                <w:pPr>
                  <w:widowControl w:val="0"/>
                  <w:jc w:val="center"/>
                  <w:rPr>
                    <w:rFonts w:asciiTheme="minorEastAsia" w:hAnsiTheme="minorEastAsia" w:eastAsiaTheme="minorEastAsia"/>
                  </w:rPr>
                </w:pPr>
                <w:r>
                  <w:rPr>
                    <w:rFonts w:hint="eastAsia" w:asciiTheme="minorEastAsia" w:hAnsiTheme="minorEastAsia" w:eastAsiaTheme="minorEastAsia"/>
                  </w:rPr>
                  <w:t>期初余额</w:t>
                </w:r>
              </w:p>
            </w:tc>
          </w:sdtContent>
        </w:sdt>
        <w:sdt>
          <w:sdtPr>
            <w:tag w:val="_PLD_32f24a9a3da24799945b9be672e1778c"/>
            <w:id w:val="-1509900499"/>
          </w:sdtPr>
          <w:sdtContent>
            <w:tc>
              <w:tcPr>
                <w:tcW w:w="1710" w:type="dxa"/>
                <w:vAlign w:val="center"/>
              </w:tcPr>
              <w:p w14:paraId="7202A132">
                <w:pPr>
                  <w:widowControl w:val="0"/>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tag w:val="_PLD_e96c7ea54e9845adafdee1a3e4d1777a"/>
            <w:id w:val="-1857963632"/>
          </w:sdtPr>
          <w:sdtContent>
            <w:tc>
              <w:tcPr>
                <w:tcW w:w="1695" w:type="dxa"/>
                <w:vAlign w:val="center"/>
              </w:tcPr>
              <w:p w14:paraId="7F1087DB">
                <w:pPr>
                  <w:widowControl w:val="0"/>
                  <w:jc w:val="center"/>
                  <w:rPr>
                    <w:rFonts w:asciiTheme="minorEastAsia" w:hAnsiTheme="minorEastAsia" w:eastAsiaTheme="minorEastAsia"/>
                  </w:rPr>
                </w:pPr>
                <w:r>
                  <w:rPr>
                    <w:rFonts w:hint="eastAsia" w:asciiTheme="minorEastAsia" w:hAnsiTheme="minorEastAsia" w:eastAsiaTheme="minorEastAsia"/>
                  </w:rPr>
                  <w:t>当期变动</w:t>
                </w:r>
              </w:p>
            </w:tc>
          </w:sdtContent>
        </w:sdt>
        <w:sdt>
          <w:sdtPr>
            <w:tag w:val="_PLD_1472a884c9f543dba7a82865e73f1536"/>
            <w:id w:val="845519564"/>
          </w:sdtPr>
          <w:sdtContent>
            <w:tc>
              <w:tcPr>
                <w:tcW w:w="1992" w:type="dxa"/>
                <w:vAlign w:val="center"/>
              </w:tcPr>
              <w:p w14:paraId="25B726DD">
                <w:pPr>
                  <w:widowControl w:val="0"/>
                  <w:jc w:val="center"/>
                  <w:rPr>
                    <w:rFonts w:asciiTheme="minorEastAsia" w:hAnsiTheme="minorEastAsia" w:eastAsiaTheme="minorEastAsia"/>
                  </w:rPr>
                </w:pPr>
                <w:r>
                  <w:rPr>
                    <w:rFonts w:hint="eastAsia" w:asciiTheme="minorEastAsia" w:hAnsiTheme="minorEastAsia" w:eastAsiaTheme="minorEastAsia"/>
                  </w:rPr>
                  <w:t>对当期利润的影响金额</w:t>
                </w:r>
              </w:p>
            </w:tc>
          </w:sdtContent>
        </w:sdt>
      </w:tr>
      <w:tr w14:paraId="705B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49" w:type="dxa"/>
            <w:vAlign w:val="center"/>
          </w:tcPr>
          <w:p w14:paraId="31E3D9C8">
            <w:pPr>
              <w:widowControl w:val="0"/>
              <w:jc w:val="both"/>
              <w:rPr>
                <w:rFonts w:asciiTheme="minorEastAsia" w:hAnsiTheme="minorEastAsia" w:eastAsiaTheme="minorEastAsia"/>
              </w:rPr>
            </w:pPr>
            <w:r>
              <w:t>交易性金融资产</w:t>
            </w:r>
          </w:p>
        </w:tc>
        <w:tc>
          <w:tcPr>
            <w:tcW w:w="1701" w:type="dxa"/>
            <w:vAlign w:val="center"/>
          </w:tcPr>
          <w:p w14:paraId="1D858448">
            <w:pPr>
              <w:widowControl w:val="0"/>
              <w:jc w:val="right"/>
            </w:pPr>
            <w:r>
              <w:t>55,400,927.52</w:t>
            </w:r>
          </w:p>
        </w:tc>
        <w:tc>
          <w:tcPr>
            <w:tcW w:w="1710" w:type="dxa"/>
            <w:vAlign w:val="center"/>
          </w:tcPr>
          <w:p w14:paraId="678CF340">
            <w:pPr>
              <w:widowControl w:val="0"/>
              <w:jc w:val="right"/>
              <w:rPr>
                <w:rFonts w:eastAsiaTheme="minorEastAsia"/>
              </w:rPr>
            </w:pPr>
            <w:r>
              <w:rPr>
                <w:rFonts w:eastAsiaTheme="minorEastAsia"/>
              </w:rPr>
              <w:t>63,218,438.36</w:t>
            </w:r>
          </w:p>
        </w:tc>
        <w:tc>
          <w:tcPr>
            <w:tcW w:w="1695" w:type="dxa"/>
            <w:vAlign w:val="center"/>
          </w:tcPr>
          <w:p w14:paraId="29E91B38">
            <w:pPr>
              <w:widowControl w:val="0"/>
              <w:jc w:val="right"/>
              <w:rPr>
                <w:rFonts w:eastAsiaTheme="minorEastAsia"/>
              </w:rPr>
            </w:pPr>
            <w:r>
              <w:rPr>
                <w:rFonts w:eastAsiaTheme="minorEastAsia"/>
              </w:rPr>
              <w:t>7,817,510.84</w:t>
            </w:r>
          </w:p>
        </w:tc>
        <w:tc>
          <w:tcPr>
            <w:tcW w:w="1992" w:type="dxa"/>
            <w:vAlign w:val="center"/>
          </w:tcPr>
          <w:p w14:paraId="3BF53CB1">
            <w:pPr>
              <w:widowControl w:val="0"/>
              <w:jc w:val="right"/>
              <w:rPr>
                <w:rFonts w:eastAsiaTheme="minorEastAsia"/>
              </w:rPr>
            </w:pPr>
            <w:r>
              <w:rPr>
                <w:rFonts w:eastAsiaTheme="minorEastAsia"/>
              </w:rPr>
              <w:t>1,270,368.79</w:t>
            </w:r>
          </w:p>
        </w:tc>
      </w:tr>
      <w:tr w14:paraId="5D44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49" w:type="dxa"/>
            <w:vAlign w:val="center"/>
          </w:tcPr>
          <w:p w14:paraId="5B744A90">
            <w:pPr>
              <w:widowControl w:val="0"/>
              <w:jc w:val="both"/>
              <w:rPr>
                <w:rFonts w:asciiTheme="minorEastAsia" w:hAnsiTheme="minorEastAsia" w:eastAsiaTheme="minorEastAsia"/>
              </w:rPr>
            </w:pPr>
            <w:r>
              <w:t>应收款项融资</w:t>
            </w:r>
          </w:p>
        </w:tc>
        <w:tc>
          <w:tcPr>
            <w:tcW w:w="1701" w:type="dxa"/>
            <w:vAlign w:val="center"/>
          </w:tcPr>
          <w:p w14:paraId="0232CBB7">
            <w:pPr>
              <w:widowControl w:val="0"/>
              <w:jc w:val="right"/>
            </w:pPr>
            <w:r>
              <w:t>54,419,623.26</w:t>
            </w:r>
          </w:p>
        </w:tc>
        <w:tc>
          <w:tcPr>
            <w:tcW w:w="1710" w:type="dxa"/>
            <w:vAlign w:val="center"/>
          </w:tcPr>
          <w:p w14:paraId="5C182AE4">
            <w:pPr>
              <w:widowControl w:val="0"/>
              <w:jc w:val="right"/>
              <w:rPr>
                <w:rFonts w:eastAsiaTheme="minorEastAsia"/>
              </w:rPr>
            </w:pPr>
            <w:r>
              <w:rPr>
                <w:rFonts w:eastAsiaTheme="minorEastAsia"/>
              </w:rPr>
              <w:t>58,067,116.90</w:t>
            </w:r>
          </w:p>
        </w:tc>
        <w:tc>
          <w:tcPr>
            <w:tcW w:w="1695" w:type="dxa"/>
            <w:vAlign w:val="center"/>
          </w:tcPr>
          <w:p w14:paraId="3FB1F343">
            <w:pPr>
              <w:widowControl w:val="0"/>
              <w:jc w:val="right"/>
              <w:rPr>
                <w:rFonts w:eastAsiaTheme="minorEastAsia"/>
              </w:rPr>
            </w:pPr>
            <w:r>
              <w:t>3,647,493.64</w:t>
            </w:r>
          </w:p>
        </w:tc>
        <w:tc>
          <w:tcPr>
            <w:tcW w:w="1992" w:type="dxa"/>
            <w:vAlign w:val="center"/>
          </w:tcPr>
          <w:p w14:paraId="188B0A98">
            <w:pPr>
              <w:widowControl w:val="0"/>
              <w:jc w:val="right"/>
              <w:rPr>
                <w:rFonts w:asciiTheme="minorEastAsia" w:hAnsiTheme="minorEastAsia" w:eastAsiaTheme="minorEastAsia"/>
              </w:rPr>
            </w:pPr>
          </w:p>
        </w:tc>
      </w:tr>
      <w:tr w14:paraId="0AFD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49" w:type="dxa"/>
            <w:vAlign w:val="center"/>
          </w:tcPr>
          <w:p w14:paraId="5974CCA9">
            <w:pPr>
              <w:widowControl w:val="0"/>
              <w:jc w:val="both"/>
              <w:rPr>
                <w:rFonts w:asciiTheme="minorEastAsia" w:hAnsiTheme="minorEastAsia" w:eastAsiaTheme="minorEastAsia"/>
              </w:rPr>
            </w:pPr>
            <w:r>
              <w:t>其他权益工具投资</w:t>
            </w:r>
          </w:p>
        </w:tc>
        <w:tc>
          <w:tcPr>
            <w:tcW w:w="1701" w:type="dxa"/>
            <w:vAlign w:val="center"/>
          </w:tcPr>
          <w:p w14:paraId="37B460B6">
            <w:pPr>
              <w:widowControl w:val="0"/>
              <w:jc w:val="right"/>
            </w:pPr>
            <w:r>
              <w:t>36,200,000.00</w:t>
            </w:r>
          </w:p>
        </w:tc>
        <w:tc>
          <w:tcPr>
            <w:tcW w:w="1710" w:type="dxa"/>
            <w:vAlign w:val="center"/>
          </w:tcPr>
          <w:p w14:paraId="2577DB37">
            <w:pPr>
              <w:widowControl w:val="0"/>
              <w:jc w:val="right"/>
              <w:rPr>
                <w:rFonts w:eastAsiaTheme="minorEastAsia"/>
              </w:rPr>
            </w:pPr>
            <w:r>
              <w:rPr>
                <w:rFonts w:eastAsiaTheme="minorEastAsia"/>
              </w:rPr>
              <w:t>68,693,369.96</w:t>
            </w:r>
          </w:p>
        </w:tc>
        <w:tc>
          <w:tcPr>
            <w:tcW w:w="1695" w:type="dxa"/>
            <w:vAlign w:val="center"/>
          </w:tcPr>
          <w:p w14:paraId="4E53306C">
            <w:pPr>
              <w:widowControl w:val="0"/>
              <w:jc w:val="right"/>
              <w:rPr>
                <w:rFonts w:eastAsiaTheme="minorEastAsia"/>
              </w:rPr>
            </w:pPr>
            <w:r>
              <w:t>32,493,369.96</w:t>
            </w:r>
          </w:p>
        </w:tc>
        <w:tc>
          <w:tcPr>
            <w:tcW w:w="1992" w:type="dxa"/>
            <w:vAlign w:val="center"/>
          </w:tcPr>
          <w:p w14:paraId="3D8CAB9B">
            <w:pPr>
              <w:widowControl w:val="0"/>
              <w:jc w:val="right"/>
              <w:rPr>
                <w:rFonts w:asciiTheme="minorEastAsia" w:hAnsiTheme="minorEastAsia" w:eastAsiaTheme="minorEastAsia"/>
              </w:rPr>
            </w:pPr>
          </w:p>
        </w:tc>
      </w:tr>
      <w:tr w14:paraId="3FE3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949" w:type="dxa"/>
            <w:tcBorders>
              <w:bottom w:val="single" w:color="auto" w:sz="4" w:space="0"/>
            </w:tcBorders>
            <w:vAlign w:val="center"/>
          </w:tcPr>
          <w:p w14:paraId="6C499D9F">
            <w:pPr>
              <w:widowControl w:val="0"/>
              <w:jc w:val="center"/>
              <w:rPr>
                <w:rFonts w:asciiTheme="minorEastAsia" w:hAnsiTheme="minorEastAsia" w:eastAsiaTheme="minorEastAsia"/>
              </w:rPr>
            </w:pPr>
            <w:r>
              <w:rPr>
                <w:rFonts w:hint="eastAsia" w:asciiTheme="minorEastAsia" w:hAnsiTheme="minorEastAsia" w:eastAsiaTheme="minorEastAsia"/>
              </w:rPr>
              <w:t>合计</w:t>
            </w:r>
          </w:p>
        </w:tc>
        <w:tc>
          <w:tcPr>
            <w:tcW w:w="1701" w:type="dxa"/>
            <w:vAlign w:val="center"/>
          </w:tcPr>
          <w:p w14:paraId="78BA6344">
            <w:pPr>
              <w:widowControl w:val="0"/>
              <w:jc w:val="right"/>
            </w:pPr>
            <w:r>
              <w:t>146,020,550.78</w:t>
            </w:r>
          </w:p>
        </w:tc>
        <w:tc>
          <w:tcPr>
            <w:tcW w:w="1710" w:type="dxa"/>
            <w:vAlign w:val="center"/>
          </w:tcPr>
          <w:p w14:paraId="1D5EFDD6">
            <w:pPr>
              <w:widowControl w:val="0"/>
              <w:jc w:val="right"/>
              <w:rPr>
                <w:rFonts w:eastAsiaTheme="minorEastAsia"/>
              </w:rPr>
            </w:pPr>
            <w:r>
              <w:rPr>
                <w:rFonts w:eastAsiaTheme="minorEastAsia"/>
              </w:rPr>
              <w:t>189,978,925.22</w:t>
            </w:r>
          </w:p>
        </w:tc>
        <w:tc>
          <w:tcPr>
            <w:tcW w:w="1695" w:type="dxa"/>
            <w:vAlign w:val="center"/>
          </w:tcPr>
          <w:p w14:paraId="14825A86">
            <w:pPr>
              <w:widowControl w:val="0"/>
              <w:jc w:val="right"/>
              <w:rPr>
                <w:rFonts w:eastAsiaTheme="minorEastAsia"/>
              </w:rPr>
            </w:pPr>
            <w:r>
              <w:t>43,958,374.44</w:t>
            </w:r>
          </w:p>
        </w:tc>
        <w:tc>
          <w:tcPr>
            <w:tcW w:w="1992" w:type="dxa"/>
            <w:vAlign w:val="center"/>
          </w:tcPr>
          <w:p w14:paraId="6AD79568">
            <w:pPr>
              <w:widowControl w:val="0"/>
              <w:jc w:val="right"/>
              <w:rPr>
                <w:rFonts w:eastAsiaTheme="minorEastAsia"/>
              </w:rPr>
            </w:pPr>
            <w:r>
              <w:rPr>
                <w:rFonts w:eastAsiaTheme="minorEastAsia"/>
              </w:rPr>
              <w:t>1,270,368.79</w:t>
            </w:r>
          </w:p>
        </w:tc>
      </w:tr>
    </w:tbl>
    <w:p w14:paraId="4E22BCDD">
      <w:pPr>
        <w:pStyle w:val="48"/>
      </w:pPr>
    </w:p>
    <w:p w14:paraId="37A387C9">
      <w:pPr>
        <w:pStyle w:val="3"/>
        <w:numPr>
          <w:ilvl w:val="1"/>
          <w:numId w:val="4"/>
        </w:numPr>
        <w:ind w:left="498" w:hanging="498" w:hangingChars="236"/>
        <w:rPr>
          <w:u w:val="single"/>
        </w:rPr>
      </w:pPr>
      <w:r>
        <w:rPr>
          <w:rFonts w:hint="eastAsia"/>
        </w:rPr>
        <w:t>其他</w:t>
      </w:r>
    </w:p>
    <w:sdt>
      <w:sdtPr>
        <w:alias w:val="是否适用：公司简介和主要财务指标其他说明[双击切换]"/>
        <w:tag w:val="_GBC_ac20c9ad49eb470dba71a763f930572f"/>
        <w:id w:val="-410934306"/>
        <w:placeholder>
          <w:docPart w:val="GBC22222222222222222222222222222"/>
        </w:placeholder>
      </w:sdtPr>
      <w:sdtContent>
        <w:p w14:paraId="2EC7137F">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BBB34E4">
      <w:pPr>
        <w:pStyle w:val="48"/>
      </w:pPr>
      <w:r>
        <w:br w:type="page"/>
      </w:r>
    </w:p>
    <w:p w14:paraId="4FD12933">
      <w:pPr>
        <w:pStyle w:val="48"/>
      </w:pPr>
    </w:p>
    <w:p w14:paraId="5F1FBE95">
      <w:pPr>
        <w:pStyle w:val="2"/>
        <w:numPr>
          <w:ilvl w:val="0"/>
          <w:numId w:val="2"/>
        </w:numPr>
      </w:pPr>
      <w:bookmarkStart w:id="40" w:name="_Toc191024258"/>
      <w:r>
        <w:rPr>
          <w:rFonts w:hint="eastAsia"/>
        </w:rPr>
        <w:t>管理层讨论与分析</w:t>
      </w:r>
    </w:p>
    <w:bookmarkEnd w:id="40"/>
    <w:p w14:paraId="7DEC2EBB">
      <w:pPr>
        <w:pStyle w:val="3"/>
        <w:numPr>
          <w:ilvl w:val="0"/>
          <w:numId w:val="7"/>
        </w:numPr>
        <w:ind w:left="369" w:hanging="369" w:hangingChars="175"/>
      </w:pPr>
      <w:r>
        <w:t>报告期内公司从事的业务情况</w:t>
      </w:r>
    </w:p>
    <w:sdt>
      <w:sdtPr>
        <w:alias w:val="报告期内公司从事的业务情况 "/>
        <w:tag w:val="_GBC_5c2ed6623d994f569eb07915af842807"/>
        <w:id w:val="-833525297"/>
        <w:placeholder>
          <w:docPart w:val="GBC22222222222222222222222222222"/>
        </w:placeholder>
      </w:sdtPr>
      <w:sdtContent>
        <w:p w14:paraId="10215DC5">
          <w:pPr>
            <w:spacing w:line="360" w:lineRule="auto"/>
            <w:ind w:firstLine="420" w:firstLineChars="200"/>
            <w:jc w:val="both"/>
            <w:rPr>
              <w:b/>
            </w:rPr>
          </w:pPr>
          <w:r>
            <w:rPr>
              <w:rFonts w:hint="eastAsia"/>
              <w:b/>
            </w:rPr>
            <w:t>（一）公司所属行业</w:t>
          </w:r>
        </w:p>
        <w:p w14:paraId="5A1629A2">
          <w:pPr>
            <w:spacing w:line="360" w:lineRule="auto"/>
            <w:ind w:firstLine="420" w:firstLineChars="200"/>
            <w:jc w:val="both"/>
          </w:pPr>
          <w:r>
            <w:rPr>
              <w:rFonts w:hint="eastAsia"/>
            </w:rPr>
            <w:t>通化东宝所处行业为医药制造业，主要从事药品研发、生产和销售，</w:t>
          </w:r>
          <w:r>
            <w:t>主要业务涵盖生物制品、中成药、化学药，治疗领域以糖尿病及内分泌、心脑血管为主，公司拥有国家级企业技术中心、国家</w:t>
          </w:r>
          <w:r>
            <w:rPr>
              <w:rFonts w:hint="eastAsia"/>
            </w:rPr>
            <w:t>GMP</w:t>
          </w:r>
          <w:r>
            <w:t>和欧盟</w:t>
          </w:r>
          <w:r>
            <w:rPr>
              <w:rFonts w:hint="eastAsia"/>
            </w:rPr>
            <w:t>GMP</w:t>
          </w:r>
          <w:r>
            <w:t>认证的生产车间。被国家认定为高新技术企业、国家技术创新示范企业、</w:t>
          </w:r>
          <w:r>
            <w:rPr>
              <w:rFonts w:hint="eastAsia"/>
            </w:rPr>
            <w:t>ISO14001</w:t>
          </w:r>
          <w:r>
            <w:t>环境体系认证企业。</w:t>
          </w:r>
        </w:p>
        <w:p w14:paraId="787652F4">
          <w:pPr>
            <w:spacing w:line="360" w:lineRule="auto"/>
            <w:ind w:firstLine="422" w:firstLineChars="200"/>
            <w:jc w:val="both"/>
            <w:rPr>
              <w:b/>
            </w:rPr>
          </w:pPr>
          <w:r>
            <w:rPr>
              <w:rFonts w:hint="eastAsia"/>
              <w:b/>
            </w:rPr>
            <w:t>（二）主营业务情况说明</w:t>
          </w:r>
        </w:p>
        <w:p w14:paraId="0A5E7160">
          <w:pPr>
            <w:spacing w:line="360" w:lineRule="auto"/>
            <w:ind w:firstLine="422" w:firstLineChars="200"/>
            <w:jc w:val="both"/>
            <w:rPr>
              <w:b/>
            </w:rPr>
          </w:pPr>
          <w:r>
            <w:rPr>
              <w:b/>
            </w:rPr>
            <w:t>1、公司主要业务及主要产品情况</w:t>
          </w:r>
        </w:p>
        <w:p w14:paraId="537630A1">
          <w:pPr>
            <w:spacing w:line="360" w:lineRule="auto"/>
            <w:ind w:firstLine="420" w:firstLineChars="200"/>
            <w:jc w:val="both"/>
          </w:pPr>
          <w:r>
            <w:rPr>
              <w:rFonts w:hint="eastAsia"/>
            </w:rPr>
            <w:t>公司致力于糖尿病及其他内分泌领域药物的研究与开发，为糖尿病及内分泌病病人提供综合解决方案。治疗领域以糖尿病及内分泌、心脑血管为主，主要产品包括人胰岛素原料药、人胰岛素注射剂（注册商标：甘舒霖）、甘精胰岛素原料药、甘精胰岛素注射液（注册商标：平舒霖）、门冬胰岛素原料药、门冬胰岛素注射液、预混型门冬胰岛素（门冬胰岛素</w:t>
          </w:r>
          <w:r>
            <w:t>30注射液</w:t>
          </w:r>
          <w:r>
            <w:rPr>
              <w:rFonts w:hint="eastAsia"/>
            </w:rPr>
            <w:t>与</w:t>
          </w:r>
          <w:r>
            <w:t>门冬胰岛素50注射液</w:t>
          </w:r>
          <w:r>
            <w:rPr>
              <w:rFonts w:hint="eastAsia"/>
            </w:rPr>
            <w:t>）</w:t>
          </w:r>
          <w:r>
            <w:t>（注册商标：锐舒霖）、</w:t>
          </w:r>
          <w:r>
            <w:rPr>
              <w:rFonts w:hint="eastAsia"/>
            </w:rPr>
            <w:t>利拉鲁肽注射液（注册商标：统博力）、恩格列净片（注册商标：唐捷恩）、</w:t>
          </w:r>
          <w:r>
            <w:t>镇脑宁胶囊、糖尿病相关的医疗器械等。</w:t>
          </w:r>
        </w:p>
        <w:p w14:paraId="600BDBB1">
          <w:pPr>
            <w:spacing w:line="360" w:lineRule="auto"/>
            <w:ind w:firstLine="420" w:firstLineChars="200"/>
            <w:jc w:val="both"/>
            <w:rPr>
              <w:b/>
            </w:rPr>
          </w:pPr>
          <w:r>
            <w:rPr>
              <w:rFonts w:hint="eastAsia"/>
            </w:rPr>
            <w:t>公司拥有治疗糖尿病领域的系列产品，以发展糖尿病治疗领域为核心，丰富糖尿病治疗领域产品线，通过完备的胰岛素笔及针的注射系统，高品质血糖监测系统，结合线上和线下的患者管理，为患者提供一体化解决方案与完善的售后服务，使通化东宝成为国内糖尿病治疗领域的龙头企业。</w:t>
          </w:r>
        </w:p>
        <w:p w14:paraId="12A9E6E4">
          <w:pPr>
            <w:spacing w:line="360" w:lineRule="auto"/>
            <w:ind w:firstLine="422" w:firstLineChars="200"/>
            <w:jc w:val="both"/>
          </w:pPr>
          <w:r>
            <w:rPr>
              <w:rFonts w:hint="eastAsia"/>
              <w:b/>
            </w:rPr>
            <w:t>主要产品及其用途：</w:t>
          </w:r>
        </w:p>
        <w:tbl>
          <w:tblPr>
            <w:tblStyle w:val="57"/>
            <w:tblW w:w="5129"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633"/>
            <w:gridCol w:w="2157"/>
            <w:gridCol w:w="1572"/>
            <w:gridCol w:w="4168"/>
          </w:tblGrid>
          <w:tr w14:paraId="574F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5" w:type="pct"/>
                <w:tcBorders>
                  <w:top w:val="single" w:color="auto" w:sz="4" w:space="0"/>
                  <w:left w:val="single" w:color="auto" w:sz="4" w:space="0"/>
                  <w:bottom w:val="single" w:color="auto" w:sz="4" w:space="0"/>
                  <w:right w:val="single" w:color="auto" w:sz="4" w:space="0"/>
                </w:tcBorders>
                <w:vAlign w:val="center"/>
              </w:tcPr>
              <w:p w14:paraId="0E106114">
                <w:pPr>
                  <w:jc w:val="center"/>
                  <w:rPr>
                    <w:rFonts w:ascii="Calibri" w:hAnsi="Calibri"/>
                    <w:bCs/>
                    <w:sz w:val="20"/>
                    <w:szCs w:val="20"/>
                  </w:rPr>
                </w:pPr>
                <w:r>
                  <w:rPr>
                    <w:rFonts w:hint="eastAsia" w:ascii="Calibri" w:hAnsi="Calibri"/>
                    <w:bCs/>
                    <w:sz w:val="20"/>
                    <w:szCs w:val="20"/>
                  </w:rPr>
                  <w:t>细分行业</w:t>
                </w:r>
              </w:p>
            </w:tc>
            <w:tc>
              <w:tcPr>
                <w:tcW w:w="341" w:type="pct"/>
                <w:tcBorders>
                  <w:top w:val="single" w:color="auto" w:sz="4" w:space="0"/>
                  <w:left w:val="nil"/>
                  <w:bottom w:val="single" w:color="auto" w:sz="4" w:space="0"/>
                  <w:right w:val="single" w:color="auto" w:sz="4" w:space="0"/>
                </w:tcBorders>
                <w:vAlign w:val="center"/>
              </w:tcPr>
              <w:p w14:paraId="14A44E3E">
                <w:pPr>
                  <w:jc w:val="center"/>
                  <w:rPr>
                    <w:rFonts w:ascii="Calibri" w:hAnsi="Calibri"/>
                    <w:bCs/>
                    <w:sz w:val="20"/>
                    <w:szCs w:val="20"/>
                  </w:rPr>
                </w:pPr>
                <w:r>
                  <w:rPr>
                    <w:rFonts w:hint="eastAsia" w:ascii="Calibri" w:hAnsi="Calibri"/>
                    <w:bCs/>
                    <w:sz w:val="20"/>
                    <w:szCs w:val="20"/>
                  </w:rPr>
                  <w:t>主要治疗领域</w:t>
                </w:r>
              </w:p>
            </w:tc>
            <w:tc>
              <w:tcPr>
                <w:tcW w:w="1162" w:type="pct"/>
                <w:tcBorders>
                  <w:top w:val="single" w:color="auto" w:sz="4" w:space="0"/>
                  <w:left w:val="nil"/>
                  <w:bottom w:val="single" w:color="auto" w:sz="4" w:space="0"/>
                  <w:right w:val="single" w:color="auto" w:sz="4" w:space="0"/>
                </w:tcBorders>
                <w:vAlign w:val="center"/>
              </w:tcPr>
              <w:p w14:paraId="47235E2E">
                <w:pPr>
                  <w:jc w:val="center"/>
                  <w:rPr>
                    <w:rFonts w:ascii="Calibri" w:hAnsi="Calibri"/>
                    <w:bCs/>
                    <w:sz w:val="20"/>
                    <w:szCs w:val="20"/>
                  </w:rPr>
                </w:pPr>
                <w:r>
                  <w:rPr>
                    <w:rFonts w:hint="eastAsia" w:ascii="Calibri" w:hAnsi="Calibri"/>
                    <w:bCs/>
                    <w:sz w:val="20"/>
                    <w:szCs w:val="20"/>
                  </w:rPr>
                  <w:t>药（产）品名称</w:t>
                </w:r>
              </w:p>
            </w:tc>
            <w:tc>
              <w:tcPr>
                <w:tcW w:w="847" w:type="pct"/>
                <w:tcBorders>
                  <w:top w:val="single" w:color="auto" w:sz="4" w:space="0"/>
                  <w:left w:val="nil"/>
                  <w:bottom w:val="single" w:color="auto" w:sz="4" w:space="0"/>
                  <w:right w:val="single" w:color="auto" w:sz="4" w:space="0"/>
                </w:tcBorders>
                <w:vAlign w:val="center"/>
              </w:tcPr>
              <w:p w14:paraId="58CA3C6E">
                <w:pPr>
                  <w:jc w:val="center"/>
                  <w:rPr>
                    <w:rFonts w:ascii="Calibri" w:hAnsi="Calibri"/>
                    <w:bCs/>
                    <w:sz w:val="20"/>
                    <w:szCs w:val="20"/>
                  </w:rPr>
                </w:pPr>
                <w:r>
                  <w:rPr>
                    <w:rFonts w:hint="eastAsia" w:ascii="Calibri" w:hAnsi="Calibri"/>
                    <w:bCs/>
                    <w:sz w:val="20"/>
                    <w:szCs w:val="20"/>
                  </w:rPr>
                  <w:t>注册分类</w:t>
                </w:r>
              </w:p>
            </w:tc>
            <w:tc>
              <w:tcPr>
                <w:tcW w:w="2245" w:type="pct"/>
                <w:tcBorders>
                  <w:top w:val="single" w:color="auto" w:sz="4" w:space="0"/>
                  <w:left w:val="nil"/>
                  <w:bottom w:val="single" w:color="auto" w:sz="4" w:space="0"/>
                  <w:right w:val="single" w:color="auto" w:sz="4" w:space="0"/>
                </w:tcBorders>
                <w:vAlign w:val="center"/>
              </w:tcPr>
              <w:p w14:paraId="6AB4AD43">
                <w:pPr>
                  <w:jc w:val="center"/>
                  <w:rPr>
                    <w:rFonts w:ascii="Calibri" w:hAnsi="Calibri"/>
                    <w:bCs/>
                    <w:sz w:val="20"/>
                    <w:szCs w:val="20"/>
                  </w:rPr>
                </w:pPr>
                <w:r>
                  <w:rPr>
                    <w:rFonts w:hint="eastAsia" w:ascii="Calibri" w:hAnsi="Calibri"/>
                    <w:bCs/>
                    <w:sz w:val="20"/>
                    <w:szCs w:val="20"/>
                  </w:rPr>
                  <w:t>适应症或功能主治</w:t>
                </w:r>
              </w:p>
            </w:tc>
          </w:tr>
          <w:tr w14:paraId="2D37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5" w:type="pct"/>
                <w:vMerge w:val="restart"/>
                <w:tcBorders>
                  <w:top w:val="nil"/>
                  <w:left w:val="single" w:color="auto" w:sz="4" w:space="0"/>
                  <w:right w:val="single" w:color="auto" w:sz="4" w:space="0"/>
                </w:tcBorders>
                <w:textDirection w:val="tbRlV"/>
                <w:vAlign w:val="center"/>
              </w:tcPr>
              <w:p w14:paraId="206F4815">
                <w:pPr>
                  <w:ind w:left="113" w:right="113"/>
                  <w:jc w:val="center"/>
                  <w:rPr>
                    <w:rFonts w:ascii="Calibri" w:hAnsi="Calibri"/>
                    <w:bCs/>
                    <w:sz w:val="20"/>
                    <w:szCs w:val="20"/>
                  </w:rPr>
                </w:pPr>
                <w:r>
                  <w:rPr>
                    <w:rFonts w:hint="eastAsia" w:ascii="Calibri" w:hAnsi="Calibri"/>
                    <w:bCs/>
                    <w:sz w:val="20"/>
                    <w:szCs w:val="20"/>
                  </w:rPr>
                  <w:t>胰岛素</w:t>
                </w:r>
              </w:p>
            </w:tc>
            <w:tc>
              <w:tcPr>
                <w:tcW w:w="341" w:type="pct"/>
                <w:vMerge w:val="restart"/>
                <w:tcBorders>
                  <w:top w:val="nil"/>
                  <w:left w:val="nil"/>
                  <w:right w:val="single" w:color="auto" w:sz="4" w:space="0"/>
                </w:tcBorders>
                <w:textDirection w:val="tbRlV"/>
                <w:vAlign w:val="center"/>
              </w:tcPr>
              <w:p w14:paraId="64905394">
                <w:pPr>
                  <w:ind w:left="113" w:right="113"/>
                  <w:jc w:val="center"/>
                  <w:rPr>
                    <w:rFonts w:ascii="Calibri" w:hAnsi="Calibri"/>
                    <w:bCs/>
                    <w:sz w:val="20"/>
                    <w:szCs w:val="20"/>
                  </w:rPr>
                </w:pPr>
                <w:r>
                  <w:rPr>
                    <w:rFonts w:hint="eastAsia" w:ascii="Calibri" w:hAnsi="Calibri"/>
                    <w:bCs/>
                    <w:sz w:val="20"/>
                    <w:szCs w:val="20"/>
                  </w:rPr>
                  <w:t>糖尿病</w:t>
                </w:r>
              </w:p>
            </w:tc>
            <w:tc>
              <w:tcPr>
                <w:tcW w:w="1162" w:type="pct"/>
                <w:tcBorders>
                  <w:top w:val="single" w:color="auto" w:sz="4" w:space="0"/>
                  <w:left w:val="nil"/>
                  <w:bottom w:val="single" w:color="auto" w:sz="4" w:space="0"/>
                  <w:right w:val="single" w:color="auto" w:sz="4" w:space="0"/>
                </w:tcBorders>
                <w:vAlign w:val="center"/>
              </w:tcPr>
              <w:p w14:paraId="2C1947F1">
                <w:pPr>
                  <w:rPr>
                    <w:rFonts w:ascii="Calibri" w:hAnsi="Calibri"/>
                    <w:bCs/>
                    <w:sz w:val="20"/>
                    <w:szCs w:val="20"/>
                  </w:rPr>
                </w:pPr>
                <w:r>
                  <w:rPr>
                    <w:rFonts w:hint="eastAsia" w:ascii="Calibri" w:hAnsi="Calibri"/>
                    <w:bCs/>
                    <w:sz w:val="20"/>
                    <w:szCs w:val="20"/>
                  </w:rPr>
                  <w:t>精蛋白人胰岛素混合注射液（</w:t>
                </w:r>
                <w:r>
                  <w:rPr>
                    <w:rFonts w:ascii="Calibri" w:hAnsi="Calibri"/>
                    <w:bCs/>
                    <w:sz w:val="20"/>
                    <w:szCs w:val="20"/>
                  </w:rPr>
                  <w:t>30R</w:t>
                </w:r>
                <w:r>
                  <w:rPr>
                    <w:rFonts w:hint="eastAsia" w:ascii="Calibri" w:hAnsi="Calibri"/>
                    <w:bCs/>
                    <w:sz w:val="20"/>
                    <w:szCs w:val="20"/>
                  </w:rPr>
                  <w:t>）</w:t>
                </w:r>
              </w:p>
            </w:tc>
            <w:tc>
              <w:tcPr>
                <w:tcW w:w="847" w:type="pct"/>
                <w:tcBorders>
                  <w:top w:val="single" w:color="auto" w:sz="4" w:space="0"/>
                  <w:left w:val="nil"/>
                  <w:bottom w:val="single" w:color="auto" w:sz="4" w:space="0"/>
                  <w:right w:val="single" w:color="auto" w:sz="4" w:space="0"/>
                </w:tcBorders>
                <w:vAlign w:val="center"/>
              </w:tcPr>
              <w:p w14:paraId="1A59D7E0">
                <w:pPr>
                  <w:rPr>
                    <w:rFonts w:ascii="Calibri" w:hAnsi="Calibri"/>
                    <w:bCs/>
                    <w:sz w:val="20"/>
                    <w:szCs w:val="20"/>
                  </w:rPr>
                </w:pPr>
                <w:r>
                  <w:rPr>
                    <w:rFonts w:hint="eastAsia" w:ascii="Calibri" w:hAnsi="Calibri"/>
                    <w:bCs/>
                    <w:sz w:val="20"/>
                    <w:szCs w:val="20"/>
                  </w:rPr>
                  <w:t>生物制品</w:t>
                </w:r>
              </w:p>
            </w:tc>
            <w:tc>
              <w:tcPr>
                <w:tcW w:w="2245" w:type="pct"/>
                <w:tcBorders>
                  <w:top w:val="single" w:color="auto" w:sz="4" w:space="0"/>
                  <w:left w:val="nil"/>
                  <w:bottom w:val="single" w:color="auto" w:sz="4" w:space="0"/>
                  <w:right w:val="single" w:color="auto" w:sz="4" w:space="0"/>
                </w:tcBorders>
                <w:vAlign w:val="center"/>
              </w:tcPr>
              <w:p w14:paraId="1EAAF3E1">
                <w:pPr>
                  <w:rPr>
                    <w:rFonts w:ascii="Calibri" w:hAnsi="Calibri"/>
                    <w:bCs/>
                    <w:sz w:val="20"/>
                    <w:szCs w:val="20"/>
                  </w:rPr>
                </w:pPr>
                <w:r>
                  <w:rPr>
                    <w:rFonts w:ascii="Calibri" w:hAnsi="Calibri"/>
                    <w:bCs/>
                    <w:sz w:val="20"/>
                    <w:szCs w:val="20"/>
                  </w:rPr>
                  <w:t>1</w:t>
                </w:r>
                <w:r>
                  <w:rPr>
                    <w:rFonts w:hint="eastAsia" w:ascii="Calibri" w:hAnsi="Calibri"/>
                    <w:bCs/>
                    <w:sz w:val="20"/>
                    <w:szCs w:val="20"/>
                  </w:rPr>
                  <w:t>型或</w:t>
                </w:r>
                <w:r>
                  <w:rPr>
                    <w:rFonts w:ascii="Calibri" w:hAnsi="Calibri"/>
                    <w:bCs/>
                    <w:sz w:val="20"/>
                    <w:szCs w:val="20"/>
                  </w:rPr>
                  <w:t>2</w:t>
                </w:r>
                <w:r>
                  <w:rPr>
                    <w:rFonts w:hint="eastAsia" w:ascii="Calibri" w:hAnsi="Calibri"/>
                    <w:bCs/>
                    <w:sz w:val="20"/>
                    <w:szCs w:val="20"/>
                  </w:rPr>
                  <w:t>型糖尿病</w:t>
                </w:r>
              </w:p>
            </w:tc>
          </w:tr>
          <w:tr w14:paraId="2EB1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5" w:type="pct"/>
                <w:vMerge w:val="continue"/>
                <w:tcBorders>
                  <w:left w:val="single" w:color="auto" w:sz="4" w:space="0"/>
                  <w:right w:val="single" w:color="auto" w:sz="4" w:space="0"/>
                </w:tcBorders>
                <w:vAlign w:val="center"/>
              </w:tcPr>
              <w:p w14:paraId="291A3828">
                <w:pPr>
                  <w:rPr>
                    <w:rFonts w:ascii="Calibri" w:hAnsi="Calibri"/>
                    <w:bCs/>
                    <w:sz w:val="20"/>
                    <w:szCs w:val="20"/>
                  </w:rPr>
                </w:pPr>
              </w:p>
            </w:tc>
            <w:tc>
              <w:tcPr>
                <w:tcW w:w="341" w:type="pct"/>
                <w:vMerge w:val="continue"/>
                <w:tcBorders>
                  <w:left w:val="nil"/>
                  <w:right w:val="single" w:color="auto" w:sz="4" w:space="0"/>
                </w:tcBorders>
                <w:vAlign w:val="center"/>
              </w:tcPr>
              <w:p w14:paraId="2588096C">
                <w:pPr>
                  <w:rPr>
                    <w:rFonts w:ascii="Calibri" w:hAnsi="Calibri"/>
                    <w:bCs/>
                    <w:sz w:val="20"/>
                    <w:szCs w:val="20"/>
                  </w:rPr>
                </w:pPr>
              </w:p>
            </w:tc>
            <w:tc>
              <w:tcPr>
                <w:tcW w:w="1162" w:type="pct"/>
                <w:tcBorders>
                  <w:top w:val="single" w:color="auto" w:sz="4" w:space="0"/>
                  <w:left w:val="nil"/>
                  <w:bottom w:val="single" w:color="auto" w:sz="4" w:space="0"/>
                  <w:right w:val="single" w:color="auto" w:sz="4" w:space="0"/>
                </w:tcBorders>
                <w:vAlign w:val="center"/>
              </w:tcPr>
              <w:p w14:paraId="376F167F">
                <w:pPr>
                  <w:rPr>
                    <w:rFonts w:ascii="Calibri" w:hAnsi="Calibri"/>
                    <w:bCs/>
                    <w:sz w:val="20"/>
                    <w:szCs w:val="20"/>
                  </w:rPr>
                </w:pPr>
                <w:r>
                  <w:rPr>
                    <w:rFonts w:hint="eastAsia" w:ascii="Calibri" w:hAnsi="Calibri"/>
                    <w:bCs/>
                    <w:sz w:val="20"/>
                    <w:szCs w:val="20"/>
                  </w:rPr>
                  <w:t>精蛋白人胰岛素混合注射液（</w:t>
                </w:r>
                <w:r>
                  <w:rPr>
                    <w:rFonts w:ascii="Calibri" w:hAnsi="Calibri"/>
                    <w:bCs/>
                    <w:sz w:val="20"/>
                    <w:szCs w:val="20"/>
                  </w:rPr>
                  <w:t>40</w:t>
                </w:r>
                <w:r>
                  <w:rPr>
                    <w:rFonts w:hint="eastAsia" w:ascii="Calibri" w:hAnsi="Calibri"/>
                    <w:bCs/>
                    <w:sz w:val="20"/>
                    <w:szCs w:val="20"/>
                  </w:rPr>
                  <w:t>R）</w:t>
                </w:r>
              </w:p>
            </w:tc>
            <w:tc>
              <w:tcPr>
                <w:tcW w:w="847" w:type="pct"/>
                <w:tcBorders>
                  <w:top w:val="single" w:color="auto" w:sz="4" w:space="0"/>
                  <w:left w:val="nil"/>
                  <w:bottom w:val="single" w:color="auto" w:sz="4" w:space="0"/>
                  <w:right w:val="single" w:color="auto" w:sz="4" w:space="0"/>
                </w:tcBorders>
                <w:vAlign w:val="center"/>
              </w:tcPr>
              <w:p w14:paraId="03E2B9D9">
                <w:pPr>
                  <w:rPr>
                    <w:rFonts w:ascii="Calibri" w:hAnsi="Calibri"/>
                    <w:bCs/>
                    <w:sz w:val="20"/>
                    <w:szCs w:val="20"/>
                  </w:rPr>
                </w:pPr>
                <w:r>
                  <w:rPr>
                    <w:rFonts w:hint="eastAsia" w:ascii="Calibri" w:hAnsi="Calibri"/>
                    <w:bCs/>
                    <w:sz w:val="20"/>
                    <w:szCs w:val="20"/>
                  </w:rPr>
                  <w:t>生物制品</w:t>
                </w:r>
              </w:p>
            </w:tc>
            <w:tc>
              <w:tcPr>
                <w:tcW w:w="2245" w:type="pct"/>
                <w:tcBorders>
                  <w:top w:val="single" w:color="auto" w:sz="4" w:space="0"/>
                  <w:left w:val="nil"/>
                  <w:bottom w:val="single" w:color="auto" w:sz="4" w:space="0"/>
                  <w:right w:val="single" w:color="auto" w:sz="4" w:space="0"/>
                </w:tcBorders>
                <w:vAlign w:val="center"/>
              </w:tcPr>
              <w:p w14:paraId="0DF104DF">
                <w:pPr>
                  <w:rPr>
                    <w:rFonts w:ascii="Calibri" w:hAnsi="Calibri"/>
                    <w:bCs/>
                    <w:sz w:val="20"/>
                    <w:szCs w:val="20"/>
                  </w:rPr>
                </w:pPr>
                <w:r>
                  <w:rPr>
                    <w:rFonts w:hint="eastAsia" w:ascii="Calibri" w:hAnsi="Calibri"/>
                    <w:bCs/>
                    <w:sz w:val="20"/>
                    <w:szCs w:val="20"/>
                  </w:rPr>
                  <w:t>需用胰岛素治疗的糖尿病</w:t>
                </w:r>
              </w:p>
            </w:tc>
          </w:tr>
          <w:tr w14:paraId="4FC5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5" w:type="pct"/>
                <w:vMerge w:val="continue"/>
                <w:tcBorders>
                  <w:left w:val="single" w:color="auto" w:sz="4" w:space="0"/>
                  <w:right w:val="single" w:color="auto" w:sz="4" w:space="0"/>
                </w:tcBorders>
                <w:vAlign w:val="center"/>
              </w:tcPr>
              <w:p w14:paraId="48F8466E">
                <w:pPr>
                  <w:rPr>
                    <w:rFonts w:ascii="Calibri" w:hAnsi="Calibri"/>
                    <w:bCs/>
                    <w:sz w:val="20"/>
                    <w:szCs w:val="20"/>
                  </w:rPr>
                </w:pPr>
              </w:p>
            </w:tc>
            <w:tc>
              <w:tcPr>
                <w:tcW w:w="341" w:type="pct"/>
                <w:vMerge w:val="continue"/>
                <w:tcBorders>
                  <w:left w:val="nil"/>
                  <w:right w:val="single" w:color="auto" w:sz="4" w:space="0"/>
                </w:tcBorders>
                <w:vAlign w:val="center"/>
              </w:tcPr>
              <w:p w14:paraId="30A10A3D">
                <w:pPr>
                  <w:rPr>
                    <w:rFonts w:ascii="Calibri" w:hAnsi="Calibri"/>
                    <w:bCs/>
                    <w:sz w:val="20"/>
                    <w:szCs w:val="20"/>
                  </w:rPr>
                </w:pPr>
              </w:p>
            </w:tc>
            <w:tc>
              <w:tcPr>
                <w:tcW w:w="1162" w:type="pct"/>
                <w:tcBorders>
                  <w:top w:val="single" w:color="auto" w:sz="4" w:space="0"/>
                  <w:left w:val="nil"/>
                  <w:bottom w:val="single" w:color="auto" w:sz="4" w:space="0"/>
                  <w:right w:val="single" w:color="auto" w:sz="4" w:space="0"/>
                </w:tcBorders>
                <w:vAlign w:val="center"/>
              </w:tcPr>
              <w:p w14:paraId="49490262">
                <w:pPr>
                  <w:rPr>
                    <w:rFonts w:ascii="Calibri" w:hAnsi="Calibri"/>
                    <w:bCs/>
                    <w:sz w:val="20"/>
                    <w:szCs w:val="20"/>
                  </w:rPr>
                </w:pPr>
                <w:r>
                  <w:rPr>
                    <w:rFonts w:hint="eastAsia" w:ascii="Calibri" w:hAnsi="Calibri"/>
                    <w:bCs/>
                    <w:sz w:val="20"/>
                    <w:szCs w:val="20"/>
                  </w:rPr>
                  <w:t>精蛋白人胰岛素混合注射液（</w:t>
                </w:r>
                <w:r>
                  <w:rPr>
                    <w:rFonts w:ascii="Calibri" w:hAnsi="Calibri"/>
                    <w:bCs/>
                    <w:sz w:val="20"/>
                    <w:szCs w:val="20"/>
                  </w:rPr>
                  <w:t>50R</w:t>
                </w:r>
                <w:r>
                  <w:rPr>
                    <w:rFonts w:hint="eastAsia" w:ascii="Calibri" w:hAnsi="Calibri"/>
                    <w:bCs/>
                    <w:sz w:val="20"/>
                    <w:szCs w:val="20"/>
                  </w:rPr>
                  <w:t>）</w:t>
                </w:r>
              </w:p>
            </w:tc>
            <w:tc>
              <w:tcPr>
                <w:tcW w:w="847" w:type="pct"/>
                <w:tcBorders>
                  <w:top w:val="single" w:color="auto" w:sz="4" w:space="0"/>
                  <w:left w:val="nil"/>
                  <w:bottom w:val="single" w:color="auto" w:sz="4" w:space="0"/>
                  <w:right w:val="single" w:color="auto" w:sz="4" w:space="0"/>
                </w:tcBorders>
                <w:vAlign w:val="center"/>
              </w:tcPr>
              <w:p w14:paraId="50310F34">
                <w:pPr>
                  <w:rPr>
                    <w:rFonts w:ascii="Calibri" w:hAnsi="Calibri"/>
                    <w:bCs/>
                    <w:sz w:val="20"/>
                    <w:szCs w:val="20"/>
                  </w:rPr>
                </w:pPr>
                <w:r>
                  <w:rPr>
                    <w:rFonts w:hint="eastAsia" w:ascii="Calibri" w:hAnsi="Calibri"/>
                    <w:bCs/>
                    <w:sz w:val="20"/>
                    <w:szCs w:val="20"/>
                  </w:rPr>
                  <w:t>生物制品</w:t>
                </w:r>
              </w:p>
            </w:tc>
            <w:tc>
              <w:tcPr>
                <w:tcW w:w="2245" w:type="pct"/>
                <w:tcBorders>
                  <w:top w:val="single" w:color="auto" w:sz="4" w:space="0"/>
                  <w:left w:val="nil"/>
                  <w:bottom w:val="single" w:color="auto" w:sz="4" w:space="0"/>
                  <w:right w:val="single" w:color="auto" w:sz="4" w:space="0"/>
                </w:tcBorders>
                <w:vAlign w:val="center"/>
              </w:tcPr>
              <w:p w14:paraId="1DB4CDCA">
                <w:pPr>
                  <w:rPr>
                    <w:rFonts w:ascii="Calibri" w:hAnsi="Calibri"/>
                    <w:bCs/>
                    <w:sz w:val="20"/>
                    <w:szCs w:val="20"/>
                  </w:rPr>
                </w:pPr>
                <w:r>
                  <w:rPr>
                    <w:rFonts w:ascii="Calibri" w:hAnsi="Calibri"/>
                    <w:bCs/>
                    <w:sz w:val="20"/>
                    <w:szCs w:val="20"/>
                  </w:rPr>
                  <w:t>1</w:t>
                </w:r>
                <w:r>
                  <w:rPr>
                    <w:rFonts w:hint="eastAsia" w:ascii="Calibri" w:hAnsi="Calibri"/>
                    <w:bCs/>
                    <w:sz w:val="20"/>
                    <w:szCs w:val="20"/>
                  </w:rPr>
                  <w:t>型或</w:t>
                </w:r>
                <w:r>
                  <w:rPr>
                    <w:rFonts w:ascii="Calibri" w:hAnsi="Calibri"/>
                    <w:bCs/>
                    <w:sz w:val="20"/>
                    <w:szCs w:val="20"/>
                  </w:rPr>
                  <w:t>2</w:t>
                </w:r>
                <w:r>
                  <w:rPr>
                    <w:rFonts w:hint="eastAsia" w:ascii="Calibri" w:hAnsi="Calibri"/>
                    <w:bCs/>
                    <w:sz w:val="20"/>
                    <w:szCs w:val="20"/>
                  </w:rPr>
                  <w:t>型糖尿病</w:t>
                </w:r>
              </w:p>
            </w:tc>
          </w:tr>
          <w:tr w14:paraId="455D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5" w:type="pct"/>
                <w:vMerge w:val="continue"/>
                <w:tcBorders>
                  <w:left w:val="single" w:color="auto" w:sz="4" w:space="0"/>
                  <w:right w:val="single" w:color="auto" w:sz="4" w:space="0"/>
                </w:tcBorders>
                <w:vAlign w:val="center"/>
              </w:tcPr>
              <w:p w14:paraId="40FDB37B">
                <w:pPr>
                  <w:rPr>
                    <w:rFonts w:ascii="Calibri" w:hAnsi="Calibri"/>
                    <w:bCs/>
                    <w:sz w:val="20"/>
                    <w:szCs w:val="20"/>
                  </w:rPr>
                </w:pPr>
              </w:p>
            </w:tc>
            <w:tc>
              <w:tcPr>
                <w:tcW w:w="341" w:type="pct"/>
                <w:vMerge w:val="continue"/>
                <w:tcBorders>
                  <w:left w:val="nil"/>
                  <w:right w:val="single" w:color="auto" w:sz="4" w:space="0"/>
                </w:tcBorders>
                <w:vAlign w:val="center"/>
              </w:tcPr>
              <w:p w14:paraId="33BC5BD0">
                <w:pPr>
                  <w:rPr>
                    <w:rFonts w:ascii="Calibri" w:hAnsi="Calibri"/>
                    <w:bCs/>
                    <w:sz w:val="20"/>
                    <w:szCs w:val="20"/>
                  </w:rPr>
                </w:pPr>
              </w:p>
            </w:tc>
            <w:tc>
              <w:tcPr>
                <w:tcW w:w="1162" w:type="pct"/>
                <w:tcBorders>
                  <w:top w:val="single" w:color="auto" w:sz="4" w:space="0"/>
                  <w:left w:val="nil"/>
                  <w:bottom w:val="single" w:color="auto" w:sz="4" w:space="0"/>
                  <w:right w:val="single" w:color="auto" w:sz="4" w:space="0"/>
                </w:tcBorders>
                <w:vAlign w:val="center"/>
              </w:tcPr>
              <w:p w14:paraId="4BB19A27">
                <w:pPr>
                  <w:rPr>
                    <w:rFonts w:ascii="Calibri" w:hAnsi="Calibri"/>
                    <w:bCs/>
                    <w:sz w:val="20"/>
                    <w:szCs w:val="20"/>
                  </w:rPr>
                </w:pPr>
                <w:r>
                  <w:rPr>
                    <w:rFonts w:hint="eastAsia" w:ascii="Calibri" w:hAnsi="Calibri"/>
                    <w:bCs/>
                    <w:sz w:val="20"/>
                    <w:szCs w:val="20"/>
                  </w:rPr>
                  <w:t>人胰岛素注射液</w:t>
                </w:r>
              </w:p>
            </w:tc>
            <w:tc>
              <w:tcPr>
                <w:tcW w:w="847" w:type="pct"/>
                <w:tcBorders>
                  <w:top w:val="single" w:color="auto" w:sz="4" w:space="0"/>
                  <w:left w:val="nil"/>
                  <w:bottom w:val="single" w:color="auto" w:sz="4" w:space="0"/>
                  <w:right w:val="single" w:color="auto" w:sz="4" w:space="0"/>
                </w:tcBorders>
                <w:vAlign w:val="center"/>
              </w:tcPr>
              <w:p w14:paraId="51DDBE53">
                <w:pPr>
                  <w:rPr>
                    <w:rFonts w:ascii="Calibri" w:hAnsi="Calibri"/>
                    <w:bCs/>
                    <w:sz w:val="20"/>
                    <w:szCs w:val="20"/>
                  </w:rPr>
                </w:pPr>
                <w:r>
                  <w:rPr>
                    <w:rFonts w:hint="eastAsia" w:ascii="Calibri" w:hAnsi="Calibri"/>
                    <w:bCs/>
                    <w:sz w:val="20"/>
                    <w:szCs w:val="20"/>
                  </w:rPr>
                  <w:t>生物制品</w:t>
                </w:r>
              </w:p>
            </w:tc>
            <w:tc>
              <w:tcPr>
                <w:tcW w:w="2245" w:type="pct"/>
                <w:tcBorders>
                  <w:top w:val="single" w:color="auto" w:sz="4" w:space="0"/>
                  <w:left w:val="nil"/>
                  <w:bottom w:val="single" w:color="auto" w:sz="4" w:space="0"/>
                  <w:right w:val="single" w:color="auto" w:sz="4" w:space="0"/>
                </w:tcBorders>
                <w:vAlign w:val="center"/>
              </w:tcPr>
              <w:p w14:paraId="1040BF97">
                <w:pPr>
                  <w:rPr>
                    <w:rFonts w:ascii="Calibri" w:hAnsi="Calibri"/>
                    <w:bCs/>
                    <w:sz w:val="20"/>
                    <w:szCs w:val="20"/>
                  </w:rPr>
                </w:pPr>
                <w:r>
                  <w:rPr>
                    <w:rFonts w:ascii="Calibri" w:hAnsi="Calibri"/>
                    <w:bCs/>
                    <w:sz w:val="20"/>
                    <w:szCs w:val="20"/>
                  </w:rPr>
                  <w:t>1</w:t>
                </w:r>
                <w:r>
                  <w:rPr>
                    <w:rFonts w:hint="eastAsia" w:ascii="Calibri" w:hAnsi="Calibri"/>
                    <w:bCs/>
                    <w:sz w:val="20"/>
                    <w:szCs w:val="20"/>
                  </w:rPr>
                  <w:t>型或</w:t>
                </w:r>
                <w:r>
                  <w:rPr>
                    <w:rFonts w:ascii="Calibri" w:hAnsi="Calibri"/>
                    <w:bCs/>
                    <w:sz w:val="20"/>
                    <w:szCs w:val="20"/>
                  </w:rPr>
                  <w:t>2</w:t>
                </w:r>
                <w:r>
                  <w:rPr>
                    <w:rFonts w:hint="eastAsia" w:ascii="Calibri" w:hAnsi="Calibri"/>
                    <w:bCs/>
                    <w:sz w:val="20"/>
                    <w:szCs w:val="20"/>
                  </w:rPr>
                  <w:t>型糖尿病</w:t>
                </w:r>
              </w:p>
            </w:tc>
          </w:tr>
          <w:tr w14:paraId="019F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5" w:type="pct"/>
                <w:vMerge w:val="continue"/>
                <w:tcBorders>
                  <w:left w:val="single" w:color="auto" w:sz="4" w:space="0"/>
                  <w:right w:val="single" w:color="auto" w:sz="4" w:space="0"/>
                </w:tcBorders>
                <w:vAlign w:val="center"/>
              </w:tcPr>
              <w:p w14:paraId="00893298">
                <w:pPr>
                  <w:rPr>
                    <w:rFonts w:ascii="Calibri" w:hAnsi="Calibri"/>
                    <w:bCs/>
                    <w:sz w:val="20"/>
                    <w:szCs w:val="20"/>
                  </w:rPr>
                </w:pPr>
              </w:p>
            </w:tc>
            <w:tc>
              <w:tcPr>
                <w:tcW w:w="341" w:type="pct"/>
                <w:vMerge w:val="continue"/>
                <w:tcBorders>
                  <w:left w:val="nil"/>
                  <w:right w:val="single" w:color="auto" w:sz="4" w:space="0"/>
                </w:tcBorders>
                <w:vAlign w:val="center"/>
              </w:tcPr>
              <w:p w14:paraId="6F7A1FEC">
                <w:pPr>
                  <w:rPr>
                    <w:rFonts w:ascii="Calibri" w:hAnsi="Calibri"/>
                    <w:bCs/>
                    <w:sz w:val="20"/>
                    <w:szCs w:val="20"/>
                  </w:rPr>
                </w:pPr>
              </w:p>
            </w:tc>
            <w:tc>
              <w:tcPr>
                <w:tcW w:w="1162" w:type="pct"/>
                <w:tcBorders>
                  <w:top w:val="single" w:color="auto" w:sz="4" w:space="0"/>
                  <w:left w:val="nil"/>
                  <w:bottom w:val="single" w:color="auto" w:sz="4" w:space="0"/>
                  <w:right w:val="single" w:color="auto" w:sz="4" w:space="0"/>
                </w:tcBorders>
                <w:vAlign w:val="center"/>
              </w:tcPr>
              <w:p w14:paraId="650F5BBA">
                <w:pPr>
                  <w:rPr>
                    <w:rFonts w:ascii="Calibri" w:hAnsi="Calibri"/>
                    <w:bCs/>
                    <w:sz w:val="20"/>
                    <w:szCs w:val="20"/>
                  </w:rPr>
                </w:pPr>
                <w:r>
                  <w:rPr>
                    <w:rFonts w:hint="eastAsia" w:ascii="Calibri" w:hAnsi="Calibri"/>
                    <w:bCs/>
                    <w:sz w:val="20"/>
                    <w:szCs w:val="20"/>
                  </w:rPr>
                  <w:t>精蛋白人胰岛素注射液</w:t>
                </w:r>
              </w:p>
            </w:tc>
            <w:tc>
              <w:tcPr>
                <w:tcW w:w="847" w:type="pct"/>
                <w:tcBorders>
                  <w:top w:val="single" w:color="auto" w:sz="4" w:space="0"/>
                  <w:left w:val="nil"/>
                  <w:bottom w:val="single" w:color="auto" w:sz="4" w:space="0"/>
                  <w:right w:val="single" w:color="auto" w:sz="4" w:space="0"/>
                </w:tcBorders>
                <w:vAlign w:val="center"/>
              </w:tcPr>
              <w:p w14:paraId="079AEC74">
                <w:pPr>
                  <w:rPr>
                    <w:rFonts w:ascii="Calibri" w:hAnsi="Calibri"/>
                    <w:bCs/>
                    <w:sz w:val="20"/>
                    <w:szCs w:val="20"/>
                  </w:rPr>
                </w:pPr>
                <w:r>
                  <w:rPr>
                    <w:rFonts w:hint="eastAsia" w:ascii="Calibri" w:hAnsi="Calibri"/>
                    <w:bCs/>
                    <w:sz w:val="20"/>
                    <w:szCs w:val="20"/>
                  </w:rPr>
                  <w:t>生物制品</w:t>
                </w:r>
              </w:p>
            </w:tc>
            <w:tc>
              <w:tcPr>
                <w:tcW w:w="2245" w:type="pct"/>
                <w:tcBorders>
                  <w:top w:val="single" w:color="auto" w:sz="4" w:space="0"/>
                  <w:left w:val="nil"/>
                  <w:bottom w:val="single" w:color="auto" w:sz="4" w:space="0"/>
                  <w:right w:val="single" w:color="auto" w:sz="4" w:space="0"/>
                </w:tcBorders>
                <w:vAlign w:val="center"/>
              </w:tcPr>
              <w:p w14:paraId="11C3B711">
                <w:pPr>
                  <w:rPr>
                    <w:rFonts w:ascii="Calibri" w:hAnsi="Calibri"/>
                    <w:bCs/>
                    <w:sz w:val="20"/>
                    <w:szCs w:val="20"/>
                  </w:rPr>
                </w:pPr>
                <w:r>
                  <w:rPr>
                    <w:rFonts w:ascii="Calibri" w:hAnsi="Calibri"/>
                    <w:bCs/>
                    <w:sz w:val="20"/>
                    <w:szCs w:val="20"/>
                  </w:rPr>
                  <w:t>1</w:t>
                </w:r>
                <w:r>
                  <w:rPr>
                    <w:rFonts w:hint="eastAsia" w:ascii="Calibri" w:hAnsi="Calibri"/>
                    <w:bCs/>
                    <w:sz w:val="20"/>
                    <w:szCs w:val="20"/>
                  </w:rPr>
                  <w:t>型或</w:t>
                </w:r>
                <w:r>
                  <w:rPr>
                    <w:rFonts w:ascii="Calibri" w:hAnsi="Calibri"/>
                    <w:bCs/>
                    <w:sz w:val="20"/>
                    <w:szCs w:val="20"/>
                  </w:rPr>
                  <w:t>2</w:t>
                </w:r>
                <w:r>
                  <w:rPr>
                    <w:rFonts w:hint="eastAsia" w:ascii="Calibri" w:hAnsi="Calibri"/>
                    <w:bCs/>
                    <w:sz w:val="20"/>
                    <w:szCs w:val="20"/>
                  </w:rPr>
                  <w:t>型糖尿病</w:t>
                </w:r>
              </w:p>
            </w:tc>
          </w:tr>
          <w:tr w14:paraId="6844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5" w:type="pct"/>
                <w:vMerge w:val="continue"/>
                <w:tcBorders>
                  <w:left w:val="single" w:color="auto" w:sz="4" w:space="0"/>
                  <w:right w:val="single" w:color="auto" w:sz="4" w:space="0"/>
                </w:tcBorders>
                <w:vAlign w:val="center"/>
              </w:tcPr>
              <w:p w14:paraId="70AD6E23">
                <w:pPr>
                  <w:rPr>
                    <w:rFonts w:ascii="Calibri" w:hAnsi="Calibri"/>
                    <w:bCs/>
                    <w:sz w:val="20"/>
                    <w:szCs w:val="20"/>
                  </w:rPr>
                </w:pPr>
              </w:p>
            </w:tc>
            <w:tc>
              <w:tcPr>
                <w:tcW w:w="341" w:type="pct"/>
                <w:vMerge w:val="continue"/>
                <w:tcBorders>
                  <w:left w:val="nil"/>
                  <w:right w:val="single" w:color="auto" w:sz="4" w:space="0"/>
                </w:tcBorders>
                <w:vAlign w:val="center"/>
              </w:tcPr>
              <w:p w14:paraId="10F49CEA">
                <w:pPr>
                  <w:rPr>
                    <w:rFonts w:ascii="Calibri" w:hAnsi="Calibri"/>
                    <w:bCs/>
                    <w:sz w:val="20"/>
                    <w:szCs w:val="20"/>
                  </w:rPr>
                </w:pPr>
              </w:p>
            </w:tc>
            <w:tc>
              <w:tcPr>
                <w:tcW w:w="1162" w:type="pct"/>
                <w:tcBorders>
                  <w:top w:val="single" w:color="auto" w:sz="4" w:space="0"/>
                  <w:left w:val="nil"/>
                  <w:bottom w:val="single" w:color="auto" w:sz="4" w:space="0"/>
                  <w:right w:val="single" w:color="auto" w:sz="4" w:space="0"/>
                </w:tcBorders>
                <w:vAlign w:val="center"/>
              </w:tcPr>
              <w:p w14:paraId="5B547A77">
                <w:pPr>
                  <w:rPr>
                    <w:rFonts w:ascii="Calibri" w:hAnsi="Calibri"/>
                    <w:bCs/>
                    <w:sz w:val="20"/>
                    <w:szCs w:val="20"/>
                  </w:rPr>
                </w:pPr>
                <w:r>
                  <w:rPr>
                    <w:rFonts w:hint="eastAsia" w:ascii="Calibri" w:hAnsi="Calibri"/>
                    <w:bCs/>
                    <w:sz w:val="20"/>
                    <w:szCs w:val="20"/>
                  </w:rPr>
                  <w:t>甘精胰岛素注射液</w:t>
                </w:r>
              </w:p>
            </w:tc>
            <w:tc>
              <w:tcPr>
                <w:tcW w:w="847" w:type="pct"/>
                <w:tcBorders>
                  <w:top w:val="single" w:color="auto" w:sz="4" w:space="0"/>
                  <w:left w:val="nil"/>
                  <w:bottom w:val="single" w:color="auto" w:sz="4" w:space="0"/>
                  <w:right w:val="single" w:color="auto" w:sz="4" w:space="0"/>
                </w:tcBorders>
                <w:vAlign w:val="center"/>
              </w:tcPr>
              <w:p w14:paraId="7C8E3A10">
                <w:pPr>
                  <w:rPr>
                    <w:rFonts w:ascii="Calibri" w:hAnsi="Calibri"/>
                    <w:bCs/>
                    <w:sz w:val="20"/>
                    <w:szCs w:val="20"/>
                  </w:rPr>
                </w:pPr>
                <w:r>
                  <w:rPr>
                    <w:rFonts w:hint="eastAsia" w:ascii="Calibri" w:hAnsi="Calibri"/>
                    <w:bCs/>
                    <w:sz w:val="20"/>
                    <w:szCs w:val="20"/>
                  </w:rPr>
                  <w:t>生物制品</w:t>
                </w:r>
              </w:p>
            </w:tc>
            <w:tc>
              <w:tcPr>
                <w:tcW w:w="2245" w:type="pct"/>
                <w:tcBorders>
                  <w:top w:val="single" w:color="auto" w:sz="4" w:space="0"/>
                  <w:left w:val="nil"/>
                  <w:bottom w:val="single" w:color="auto" w:sz="4" w:space="0"/>
                  <w:right w:val="single" w:color="auto" w:sz="4" w:space="0"/>
                </w:tcBorders>
                <w:vAlign w:val="center"/>
              </w:tcPr>
              <w:p w14:paraId="0EDCDC34">
                <w:pPr>
                  <w:rPr>
                    <w:rFonts w:ascii="Calibri" w:hAnsi="Calibri"/>
                    <w:bCs/>
                    <w:sz w:val="20"/>
                    <w:szCs w:val="20"/>
                  </w:rPr>
                </w:pPr>
                <w:r>
                  <w:rPr>
                    <w:rFonts w:hint="eastAsia" w:ascii="Calibri" w:hAnsi="Calibri"/>
                    <w:bCs/>
                    <w:sz w:val="20"/>
                    <w:szCs w:val="20"/>
                  </w:rPr>
                  <w:t>需用胰岛素治疗的糖尿病</w:t>
                </w:r>
              </w:p>
            </w:tc>
          </w:tr>
          <w:tr w14:paraId="7874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5" w:type="pct"/>
                <w:vMerge w:val="continue"/>
                <w:tcBorders>
                  <w:left w:val="single" w:color="auto" w:sz="4" w:space="0"/>
                  <w:right w:val="single" w:color="auto" w:sz="4" w:space="0"/>
                </w:tcBorders>
                <w:vAlign w:val="center"/>
              </w:tcPr>
              <w:p w14:paraId="6852EEA9">
                <w:pPr>
                  <w:rPr>
                    <w:rFonts w:ascii="Calibri" w:hAnsi="Calibri"/>
                    <w:bCs/>
                    <w:sz w:val="20"/>
                    <w:szCs w:val="20"/>
                  </w:rPr>
                </w:pPr>
              </w:p>
            </w:tc>
            <w:tc>
              <w:tcPr>
                <w:tcW w:w="341" w:type="pct"/>
                <w:vMerge w:val="continue"/>
                <w:tcBorders>
                  <w:left w:val="nil"/>
                  <w:right w:val="single" w:color="auto" w:sz="4" w:space="0"/>
                </w:tcBorders>
                <w:vAlign w:val="center"/>
              </w:tcPr>
              <w:p w14:paraId="19C931B4">
                <w:pPr>
                  <w:rPr>
                    <w:rFonts w:ascii="Calibri" w:hAnsi="Calibri"/>
                    <w:bCs/>
                    <w:sz w:val="20"/>
                    <w:szCs w:val="20"/>
                  </w:rPr>
                </w:pPr>
              </w:p>
            </w:tc>
            <w:tc>
              <w:tcPr>
                <w:tcW w:w="1162" w:type="pct"/>
                <w:tcBorders>
                  <w:top w:val="single" w:color="auto" w:sz="4" w:space="0"/>
                  <w:left w:val="nil"/>
                  <w:bottom w:val="single" w:color="auto" w:sz="4" w:space="0"/>
                  <w:right w:val="single" w:color="auto" w:sz="4" w:space="0"/>
                </w:tcBorders>
                <w:vAlign w:val="center"/>
              </w:tcPr>
              <w:p w14:paraId="6645C1C2">
                <w:pPr>
                  <w:rPr>
                    <w:rFonts w:ascii="Calibri" w:hAnsi="Calibri"/>
                    <w:bCs/>
                    <w:sz w:val="20"/>
                    <w:szCs w:val="20"/>
                  </w:rPr>
                </w:pPr>
                <w:r>
                  <w:rPr>
                    <w:rFonts w:hint="eastAsia" w:ascii="Calibri" w:hAnsi="Calibri"/>
                    <w:bCs/>
                    <w:sz w:val="20"/>
                    <w:szCs w:val="20"/>
                  </w:rPr>
                  <w:t>门冬胰岛素注射液</w:t>
                </w:r>
              </w:p>
            </w:tc>
            <w:tc>
              <w:tcPr>
                <w:tcW w:w="847" w:type="pct"/>
                <w:tcBorders>
                  <w:top w:val="single" w:color="auto" w:sz="4" w:space="0"/>
                  <w:left w:val="nil"/>
                  <w:bottom w:val="single" w:color="auto" w:sz="4" w:space="0"/>
                  <w:right w:val="single" w:color="auto" w:sz="4" w:space="0"/>
                </w:tcBorders>
                <w:vAlign w:val="center"/>
              </w:tcPr>
              <w:p w14:paraId="40BDC81A">
                <w:pPr>
                  <w:rPr>
                    <w:rFonts w:ascii="Calibri" w:hAnsi="Calibri"/>
                    <w:bCs/>
                    <w:sz w:val="20"/>
                    <w:szCs w:val="20"/>
                  </w:rPr>
                </w:pPr>
                <w:r>
                  <w:rPr>
                    <w:rFonts w:hint="eastAsia" w:ascii="Calibri" w:hAnsi="Calibri"/>
                    <w:bCs/>
                    <w:sz w:val="20"/>
                    <w:szCs w:val="20"/>
                  </w:rPr>
                  <w:t>生物制品</w:t>
                </w:r>
              </w:p>
            </w:tc>
            <w:tc>
              <w:tcPr>
                <w:tcW w:w="2245" w:type="pct"/>
                <w:tcBorders>
                  <w:top w:val="single" w:color="auto" w:sz="4" w:space="0"/>
                  <w:left w:val="nil"/>
                  <w:bottom w:val="single" w:color="auto" w:sz="4" w:space="0"/>
                  <w:right w:val="single" w:color="auto" w:sz="4" w:space="0"/>
                </w:tcBorders>
                <w:vAlign w:val="center"/>
              </w:tcPr>
              <w:p w14:paraId="44E03453">
                <w:pPr>
                  <w:rPr>
                    <w:rFonts w:ascii="Calibri" w:hAnsi="Calibri"/>
                    <w:bCs/>
                    <w:sz w:val="20"/>
                    <w:szCs w:val="20"/>
                  </w:rPr>
                </w:pPr>
                <w:r>
                  <w:rPr>
                    <w:rFonts w:hint="eastAsia" w:ascii="Calibri" w:hAnsi="Calibri"/>
                    <w:bCs/>
                    <w:sz w:val="20"/>
                    <w:szCs w:val="20"/>
                  </w:rPr>
                  <w:t>用于治疗糖尿病</w:t>
                </w:r>
              </w:p>
            </w:tc>
          </w:tr>
          <w:tr w14:paraId="3336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5" w:type="pct"/>
                <w:vMerge w:val="continue"/>
                <w:tcBorders>
                  <w:left w:val="single" w:color="auto" w:sz="4" w:space="0"/>
                  <w:right w:val="single" w:color="auto" w:sz="4" w:space="0"/>
                </w:tcBorders>
                <w:vAlign w:val="center"/>
              </w:tcPr>
              <w:p w14:paraId="58B3D89F">
                <w:pPr>
                  <w:rPr>
                    <w:rFonts w:ascii="Calibri" w:hAnsi="Calibri"/>
                    <w:bCs/>
                    <w:sz w:val="20"/>
                    <w:szCs w:val="20"/>
                  </w:rPr>
                </w:pPr>
              </w:p>
            </w:tc>
            <w:tc>
              <w:tcPr>
                <w:tcW w:w="341" w:type="pct"/>
                <w:vMerge w:val="continue"/>
                <w:tcBorders>
                  <w:left w:val="nil"/>
                  <w:right w:val="single" w:color="auto" w:sz="4" w:space="0"/>
                </w:tcBorders>
                <w:vAlign w:val="center"/>
              </w:tcPr>
              <w:p w14:paraId="683FC45C">
                <w:pPr>
                  <w:rPr>
                    <w:rFonts w:ascii="Calibri" w:hAnsi="Calibri"/>
                    <w:bCs/>
                    <w:sz w:val="20"/>
                    <w:szCs w:val="20"/>
                  </w:rPr>
                </w:pPr>
              </w:p>
            </w:tc>
            <w:tc>
              <w:tcPr>
                <w:tcW w:w="1162" w:type="pct"/>
                <w:tcBorders>
                  <w:top w:val="single" w:color="auto" w:sz="4" w:space="0"/>
                  <w:left w:val="nil"/>
                  <w:bottom w:val="single" w:color="auto" w:sz="4" w:space="0"/>
                  <w:right w:val="single" w:color="auto" w:sz="4" w:space="0"/>
                </w:tcBorders>
                <w:vAlign w:val="center"/>
              </w:tcPr>
              <w:p w14:paraId="189FF85D">
                <w:pPr>
                  <w:rPr>
                    <w:rFonts w:ascii="Calibri" w:hAnsi="Calibri"/>
                    <w:bCs/>
                    <w:sz w:val="20"/>
                    <w:szCs w:val="20"/>
                  </w:rPr>
                </w:pPr>
                <w:r>
                  <w:rPr>
                    <w:rFonts w:hint="eastAsia" w:ascii="Calibri" w:hAnsi="Calibri"/>
                    <w:bCs/>
                    <w:sz w:val="20"/>
                    <w:szCs w:val="20"/>
                  </w:rPr>
                  <w:t>门冬胰岛素</w:t>
                </w:r>
                <w:r>
                  <w:rPr>
                    <w:rFonts w:ascii="Calibri" w:hAnsi="Calibri"/>
                    <w:bCs/>
                    <w:sz w:val="20"/>
                    <w:szCs w:val="20"/>
                  </w:rPr>
                  <w:t>30</w:t>
                </w:r>
                <w:r>
                  <w:rPr>
                    <w:rFonts w:hint="eastAsia" w:ascii="Calibri" w:hAnsi="Calibri"/>
                    <w:bCs/>
                    <w:sz w:val="20"/>
                    <w:szCs w:val="20"/>
                  </w:rPr>
                  <w:t>注射液</w:t>
                </w:r>
              </w:p>
            </w:tc>
            <w:tc>
              <w:tcPr>
                <w:tcW w:w="847" w:type="pct"/>
                <w:tcBorders>
                  <w:top w:val="single" w:color="auto" w:sz="4" w:space="0"/>
                  <w:left w:val="nil"/>
                  <w:bottom w:val="single" w:color="auto" w:sz="4" w:space="0"/>
                  <w:right w:val="single" w:color="auto" w:sz="4" w:space="0"/>
                </w:tcBorders>
                <w:vAlign w:val="center"/>
              </w:tcPr>
              <w:p w14:paraId="1D53E55B">
                <w:pPr>
                  <w:rPr>
                    <w:rFonts w:ascii="Calibri" w:hAnsi="Calibri"/>
                    <w:bCs/>
                    <w:sz w:val="20"/>
                    <w:szCs w:val="20"/>
                  </w:rPr>
                </w:pPr>
                <w:r>
                  <w:rPr>
                    <w:rFonts w:hint="eastAsia" w:ascii="Calibri" w:hAnsi="Calibri"/>
                    <w:bCs/>
                    <w:sz w:val="20"/>
                    <w:szCs w:val="20"/>
                  </w:rPr>
                  <w:t>生物制品</w:t>
                </w:r>
              </w:p>
            </w:tc>
            <w:tc>
              <w:tcPr>
                <w:tcW w:w="2245" w:type="pct"/>
                <w:tcBorders>
                  <w:top w:val="single" w:color="auto" w:sz="4" w:space="0"/>
                  <w:left w:val="nil"/>
                  <w:bottom w:val="single" w:color="auto" w:sz="4" w:space="0"/>
                  <w:right w:val="single" w:color="auto" w:sz="4" w:space="0"/>
                </w:tcBorders>
                <w:vAlign w:val="center"/>
              </w:tcPr>
              <w:p w14:paraId="6AADACF4">
                <w:pPr>
                  <w:rPr>
                    <w:rFonts w:ascii="Calibri" w:hAnsi="Calibri"/>
                    <w:bCs/>
                    <w:sz w:val="20"/>
                    <w:szCs w:val="20"/>
                  </w:rPr>
                </w:pPr>
                <w:r>
                  <w:rPr>
                    <w:rFonts w:hint="eastAsia" w:ascii="Calibri" w:hAnsi="Calibri"/>
                    <w:bCs/>
                    <w:sz w:val="20"/>
                    <w:szCs w:val="20"/>
                  </w:rPr>
                  <w:t>用于治疗糖尿病</w:t>
                </w:r>
              </w:p>
            </w:tc>
          </w:tr>
          <w:tr w14:paraId="59BA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5" w:type="pct"/>
                <w:vMerge w:val="continue"/>
                <w:tcBorders>
                  <w:left w:val="single" w:color="auto" w:sz="4" w:space="0"/>
                  <w:bottom w:val="single" w:color="auto" w:sz="4" w:space="0"/>
                  <w:right w:val="single" w:color="auto" w:sz="4" w:space="0"/>
                </w:tcBorders>
                <w:vAlign w:val="center"/>
              </w:tcPr>
              <w:p w14:paraId="3558896C">
                <w:pPr>
                  <w:rPr>
                    <w:rFonts w:ascii="Calibri" w:hAnsi="Calibri"/>
                    <w:bCs/>
                    <w:sz w:val="20"/>
                    <w:szCs w:val="20"/>
                  </w:rPr>
                </w:pPr>
              </w:p>
            </w:tc>
            <w:tc>
              <w:tcPr>
                <w:tcW w:w="341" w:type="pct"/>
                <w:vMerge w:val="continue"/>
                <w:tcBorders>
                  <w:left w:val="nil"/>
                  <w:right w:val="single" w:color="auto" w:sz="4" w:space="0"/>
                </w:tcBorders>
                <w:vAlign w:val="center"/>
              </w:tcPr>
              <w:p w14:paraId="02B8EAE0">
                <w:pPr>
                  <w:rPr>
                    <w:rFonts w:ascii="Calibri" w:hAnsi="Calibri"/>
                    <w:bCs/>
                    <w:sz w:val="20"/>
                    <w:szCs w:val="20"/>
                  </w:rPr>
                </w:pPr>
              </w:p>
            </w:tc>
            <w:tc>
              <w:tcPr>
                <w:tcW w:w="1162" w:type="pct"/>
                <w:tcBorders>
                  <w:top w:val="single" w:color="auto" w:sz="4" w:space="0"/>
                  <w:left w:val="nil"/>
                  <w:bottom w:val="single" w:color="auto" w:sz="4" w:space="0"/>
                  <w:right w:val="single" w:color="auto" w:sz="4" w:space="0"/>
                </w:tcBorders>
                <w:vAlign w:val="center"/>
              </w:tcPr>
              <w:p w14:paraId="276202C8">
                <w:pPr>
                  <w:rPr>
                    <w:rFonts w:ascii="Calibri" w:hAnsi="Calibri"/>
                    <w:bCs/>
                    <w:sz w:val="20"/>
                    <w:szCs w:val="20"/>
                  </w:rPr>
                </w:pPr>
                <w:r>
                  <w:rPr>
                    <w:rFonts w:hint="eastAsia" w:ascii="Calibri" w:hAnsi="Calibri"/>
                    <w:bCs/>
                    <w:sz w:val="20"/>
                    <w:szCs w:val="20"/>
                  </w:rPr>
                  <w:t>门冬胰岛素</w:t>
                </w:r>
                <w:r>
                  <w:rPr>
                    <w:rFonts w:ascii="Calibri" w:hAnsi="Calibri"/>
                    <w:bCs/>
                    <w:sz w:val="20"/>
                    <w:szCs w:val="20"/>
                  </w:rPr>
                  <w:t>50</w:t>
                </w:r>
                <w:r>
                  <w:rPr>
                    <w:rFonts w:hint="eastAsia" w:ascii="Calibri" w:hAnsi="Calibri"/>
                    <w:bCs/>
                    <w:sz w:val="20"/>
                    <w:szCs w:val="20"/>
                  </w:rPr>
                  <w:t>注射液</w:t>
                </w:r>
              </w:p>
            </w:tc>
            <w:tc>
              <w:tcPr>
                <w:tcW w:w="847" w:type="pct"/>
                <w:tcBorders>
                  <w:top w:val="single" w:color="auto" w:sz="4" w:space="0"/>
                  <w:left w:val="nil"/>
                  <w:bottom w:val="single" w:color="auto" w:sz="4" w:space="0"/>
                  <w:right w:val="single" w:color="auto" w:sz="4" w:space="0"/>
                </w:tcBorders>
                <w:vAlign w:val="center"/>
              </w:tcPr>
              <w:p w14:paraId="745AEF17">
                <w:pPr>
                  <w:rPr>
                    <w:rFonts w:ascii="Calibri" w:hAnsi="Calibri"/>
                    <w:bCs/>
                    <w:sz w:val="20"/>
                    <w:szCs w:val="20"/>
                  </w:rPr>
                </w:pPr>
                <w:r>
                  <w:rPr>
                    <w:rFonts w:hint="eastAsia" w:ascii="Calibri" w:hAnsi="Calibri"/>
                    <w:bCs/>
                    <w:sz w:val="20"/>
                    <w:szCs w:val="20"/>
                  </w:rPr>
                  <w:t>生物制品</w:t>
                </w:r>
              </w:p>
            </w:tc>
            <w:tc>
              <w:tcPr>
                <w:tcW w:w="2245" w:type="pct"/>
                <w:tcBorders>
                  <w:top w:val="single" w:color="auto" w:sz="4" w:space="0"/>
                  <w:left w:val="nil"/>
                  <w:bottom w:val="single" w:color="auto" w:sz="4" w:space="0"/>
                  <w:right w:val="single" w:color="auto" w:sz="4" w:space="0"/>
                </w:tcBorders>
                <w:vAlign w:val="center"/>
              </w:tcPr>
              <w:p w14:paraId="337AE8BE">
                <w:pPr>
                  <w:rPr>
                    <w:rFonts w:ascii="Calibri" w:hAnsi="Calibri"/>
                    <w:bCs/>
                    <w:sz w:val="20"/>
                    <w:szCs w:val="20"/>
                  </w:rPr>
                </w:pPr>
                <w:r>
                  <w:rPr>
                    <w:rFonts w:hint="eastAsia" w:ascii="Calibri" w:hAnsi="Calibri"/>
                    <w:bCs/>
                    <w:sz w:val="20"/>
                    <w:szCs w:val="20"/>
                  </w:rPr>
                  <w:t>用于治疗糖尿病</w:t>
                </w:r>
              </w:p>
            </w:tc>
          </w:tr>
          <w:tr w14:paraId="5291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405" w:type="pct"/>
                <w:tcBorders>
                  <w:top w:val="single" w:color="auto" w:sz="4" w:space="0"/>
                  <w:left w:val="single" w:color="auto" w:sz="4" w:space="0"/>
                  <w:bottom w:val="nil"/>
                  <w:right w:val="single" w:color="auto" w:sz="4" w:space="0"/>
                </w:tcBorders>
                <w:vAlign w:val="center"/>
              </w:tcPr>
              <w:p w14:paraId="74E59DE3">
                <w:pPr>
                  <w:rPr>
                    <w:rFonts w:ascii="Calibri" w:hAnsi="Calibri"/>
                    <w:bCs/>
                    <w:sz w:val="20"/>
                    <w:szCs w:val="20"/>
                  </w:rPr>
                </w:pPr>
                <w:r>
                  <w:rPr>
                    <w:rFonts w:hint="eastAsia" w:ascii="Calibri" w:hAnsi="Calibri"/>
                    <w:bCs/>
                    <w:sz w:val="20"/>
                    <w:szCs w:val="20"/>
                  </w:rPr>
                  <w:t>G</w:t>
                </w:r>
                <w:r>
                  <w:rPr>
                    <w:rFonts w:ascii="Calibri" w:hAnsi="Calibri"/>
                    <w:bCs/>
                    <w:sz w:val="20"/>
                    <w:szCs w:val="20"/>
                  </w:rPr>
                  <w:t>LP-1</w:t>
                </w:r>
              </w:p>
            </w:tc>
            <w:tc>
              <w:tcPr>
                <w:tcW w:w="341" w:type="pct"/>
                <w:vMerge w:val="continue"/>
                <w:tcBorders>
                  <w:left w:val="nil"/>
                  <w:right w:val="single" w:color="auto" w:sz="4" w:space="0"/>
                </w:tcBorders>
                <w:vAlign w:val="center"/>
              </w:tcPr>
              <w:p w14:paraId="61197DC5">
                <w:pPr>
                  <w:rPr>
                    <w:rFonts w:ascii="Calibri" w:hAnsi="Calibri"/>
                    <w:bCs/>
                    <w:sz w:val="20"/>
                    <w:szCs w:val="20"/>
                  </w:rPr>
                </w:pPr>
              </w:p>
            </w:tc>
            <w:tc>
              <w:tcPr>
                <w:tcW w:w="1162" w:type="pct"/>
                <w:vMerge w:val="restart"/>
                <w:tcBorders>
                  <w:top w:val="single" w:color="auto" w:sz="4" w:space="0"/>
                  <w:left w:val="nil"/>
                  <w:right w:val="single" w:color="auto" w:sz="4" w:space="0"/>
                </w:tcBorders>
                <w:vAlign w:val="center"/>
              </w:tcPr>
              <w:p w14:paraId="27333C59">
                <w:pPr>
                  <w:rPr>
                    <w:rFonts w:ascii="Calibri" w:hAnsi="Calibri"/>
                    <w:bCs/>
                    <w:sz w:val="20"/>
                    <w:szCs w:val="20"/>
                  </w:rPr>
                </w:pPr>
                <w:r>
                  <w:rPr>
                    <w:rFonts w:ascii="Calibri" w:hAnsi="Calibri"/>
                    <w:bCs/>
                    <w:sz w:val="20"/>
                    <w:szCs w:val="20"/>
                  </w:rPr>
                  <w:t>利拉鲁肽注射液</w:t>
                </w:r>
              </w:p>
            </w:tc>
            <w:tc>
              <w:tcPr>
                <w:tcW w:w="847" w:type="pct"/>
                <w:vMerge w:val="restart"/>
                <w:tcBorders>
                  <w:top w:val="single" w:color="auto" w:sz="4" w:space="0"/>
                  <w:left w:val="nil"/>
                  <w:right w:val="single" w:color="auto" w:sz="4" w:space="0"/>
                </w:tcBorders>
                <w:vAlign w:val="center"/>
              </w:tcPr>
              <w:p w14:paraId="589EEE0E">
                <w:pPr>
                  <w:rPr>
                    <w:rFonts w:ascii="Calibri" w:hAnsi="Calibri"/>
                    <w:bCs/>
                    <w:sz w:val="20"/>
                    <w:szCs w:val="20"/>
                  </w:rPr>
                </w:pPr>
                <w:r>
                  <w:rPr>
                    <w:rFonts w:hint="eastAsia" w:ascii="Calibri" w:hAnsi="Calibri"/>
                    <w:bCs/>
                    <w:sz w:val="20"/>
                    <w:szCs w:val="20"/>
                  </w:rPr>
                  <w:t>生物制品</w:t>
                </w:r>
              </w:p>
            </w:tc>
            <w:tc>
              <w:tcPr>
                <w:tcW w:w="2245" w:type="pct"/>
                <w:vMerge w:val="restart"/>
                <w:tcBorders>
                  <w:top w:val="single" w:color="auto" w:sz="4" w:space="0"/>
                  <w:left w:val="nil"/>
                  <w:right w:val="single" w:color="auto" w:sz="4" w:space="0"/>
                </w:tcBorders>
                <w:vAlign w:val="center"/>
              </w:tcPr>
              <w:p w14:paraId="2C0D7EC3">
                <w:pPr>
                  <w:jc w:val="both"/>
                  <w:rPr>
                    <w:rFonts w:ascii="Calibri" w:hAnsi="Calibri"/>
                    <w:bCs/>
                    <w:sz w:val="20"/>
                    <w:szCs w:val="20"/>
                  </w:rPr>
                </w:pPr>
                <w:r>
                  <w:rPr>
                    <w:rFonts w:hint="eastAsia" w:ascii="Calibri" w:hAnsi="Calibri"/>
                    <w:bCs/>
                    <w:sz w:val="20"/>
                    <w:szCs w:val="20"/>
                  </w:rPr>
                  <w:t>用于成人2型</w:t>
                </w:r>
                <w:r>
                  <w:rPr>
                    <w:rFonts w:ascii="Calibri" w:hAnsi="Calibri"/>
                    <w:bCs/>
                    <w:sz w:val="20"/>
                    <w:szCs w:val="20"/>
                  </w:rPr>
                  <w:t>糖尿病</w:t>
                </w:r>
                <w:r>
                  <w:rPr>
                    <w:rFonts w:hint="eastAsia" w:ascii="Calibri" w:hAnsi="Calibri"/>
                    <w:bCs/>
                    <w:sz w:val="20"/>
                    <w:szCs w:val="20"/>
                  </w:rPr>
                  <w:t>患者控制血糖</w:t>
                </w:r>
              </w:p>
            </w:tc>
          </w:tr>
          <w:tr w14:paraId="26EE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7" w:hRule="atLeast"/>
            </w:trPr>
            <w:tc>
              <w:tcPr>
                <w:tcW w:w="405" w:type="pct"/>
                <w:tcBorders>
                  <w:top w:val="nil"/>
                  <w:left w:val="single" w:color="auto" w:sz="4" w:space="0"/>
                  <w:bottom w:val="single" w:color="auto" w:sz="4" w:space="0"/>
                  <w:right w:val="single" w:color="auto" w:sz="4" w:space="0"/>
                </w:tcBorders>
                <w:textDirection w:val="tbRlV"/>
                <w:vAlign w:val="center"/>
              </w:tcPr>
              <w:p w14:paraId="089F84A9">
                <w:pPr>
                  <w:ind w:left="113" w:right="113"/>
                  <w:rPr>
                    <w:rFonts w:ascii="Calibri" w:hAnsi="Calibri"/>
                    <w:bCs/>
                    <w:sz w:val="20"/>
                    <w:szCs w:val="20"/>
                  </w:rPr>
                </w:pPr>
                <w:r>
                  <w:rPr>
                    <w:rFonts w:hint="eastAsia" w:ascii="Calibri" w:hAnsi="Calibri"/>
                    <w:bCs/>
                    <w:sz w:val="20"/>
                    <w:szCs w:val="20"/>
                  </w:rPr>
                  <w:t>受体激动剂</w:t>
                </w:r>
              </w:p>
            </w:tc>
            <w:tc>
              <w:tcPr>
                <w:tcW w:w="341" w:type="pct"/>
                <w:vMerge w:val="continue"/>
                <w:tcBorders>
                  <w:left w:val="nil"/>
                  <w:right w:val="single" w:color="auto" w:sz="4" w:space="0"/>
                </w:tcBorders>
                <w:vAlign w:val="center"/>
              </w:tcPr>
              <w:p w14:paraId="4EDBDAB1">
                <w:pPr>
                  <w:rPr>
                    <w:rFonts w:ascii="Calibri" w:hAnsi="Calibri"/>
                    <w:bCs/>
                    <w:sz w:val="20"/>
                    <w:szCs w:val="20"/>
                  </w:rPr>
                </w:pPr>
              </w:p>
            </w:tc>
            <w:tc>
              <w:tcPr>
                <w:tcW w:w="1162" w:type="pct"/>
                <w:vMerge w:val="continue"/>
                <w:tcBorders>
                  <w:left w:val="nil"/>
                  <w:bottom w:val="single" w:color="auto" w:sz="4" w:space="0"/>
                  <w:right w:val="single" w:color="auto" w:sz="4" w:space="0"/>
                </w:tcBorders>
                <w:vAlign w:val="center"/>
              </w:tcPr>
              <w:p w14:paraId="3FFFEECF">
                <w:pPr>
                  <w:rPr>
                    <w:rFonts w:ascii="Calibri" w:hAnsi="Calibri"/>
                    <w:bCs/>
                    <w:sz w:val="20"/>
                    <w:szCs w:val="20"/>
                  </w:rPr>
                </w:pPr>
              </w:p>
            </w:tc>
            <w:tc>
              <w:tcPr>
                <w:tcW w:w="847" w:type="pct"/>
                <w:vMerge w:val="continue"/>
                <w:tcBorders>
                  <w:left w:val="nil"/>
                  <w:bottom w:val="single" w:color="auto" w:sz="4" w:space="0"/>
                  <w:right w:val="single" w:color="auto" w:sz="4" w:space="0"/>
                </w:tcBorders>
                <w:vAlign w:val="center"/>
              </w:tcPr>
              <w:p w14:paraId="45804BC3">
                <w:pPr>
                  <w:rPr>
                    <w:rFonts w:ascii="Calibri" w:hAnsi="Calibri"/>
                    <w:bCs/>
                    <w:sz w:val="20"/>
                    <w:szCs w:val="20"/>
                  </w:rPr>
                </w:pPr>
              </w:p>
            </w:tc>
            <w:tc>
              <w:tcPr>
                <w:tcW w:w="2245" w:type="pct"/>
                <w:vMerge w:val="continue"/>
                <w:tcBorders>
                  <w:left w:val="nil"/>
                  <w:bottom w:val="single" w:color="auto" w:sz="4" w:space="0"/>
                  <w:right w:val="single" w:color="auto" w:sz="4" w:space="0"/>
                </w:tcBorders>
                <w:vAlign w:val="center"/>
              </w:tcPr>
              <w:p w14:paraId="15B0FF25">
                <w:pPr>
                  <w:jc w:val="both"/>
                  <w:rPr>
                    <w:rFonts w:ascii="Calibri" w:hAnsi="Calibri"/>
                    <w:bCs/>
                    <w:sz w:val="20"/>
                    <w:szCs w:val="20"/>
                  </w:rPr>
                </w:pPr>
              </w:p>
            </w:tc>
          </w:tr>
          <w:tr w14:paraId="0224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5" w:type="pct"/>
                <w:vMerge w:val="restart"/>
                <w:tcBorders>
                  <w:top w:val="nil"/>
                  <w:left w:val="single" w:color="auto" w:sz="4" w:space="0"/>
                  <w:right w:val="single" w:color="auto" w:sz="4" w:space="0"/>
                </w:tcBorders>
                <w:textDirection w:val="tbRlV"/>
                <w:vAlign w:val="center"/>
              </w:tcPr>
              <w:p w14:paraId="420D1FF4">
                <w:pPr>
                  <w:ind w:left="113" w:right="113"/>
                  <w:rPr>
                    <w:rFonts w:ascii="Calibri" w:hAnsi="Calibri"/>
                    <w:bCs/>
                    <w:sz w:val="20"/>
                    <w:szCs w:val="20"/>
                  </w:rPr>
                </w:pPr>
                <w:r>
                  <w:rPr>
                    <w:rFonts w:hint="eastAsia" w:ascii="Calibri" w:hAnsi="Calibri"/>
                    <w:bCs/>
                    <w:sz w:val="20"/>
                    <w:szCs w:val="20"/>
                  </w:rPr>
                  <w:t>口服降血糖药</w:t>
                </w:r>
              </w:p>
            </w:tc>
            <w:tc>
              <w:tcPr>
                <w:tcW w:w="341" w:type="pct"/>
                <w:vMerge w:val="continue"/>
                <w:tcBorders>
                  <w:left w:val="nil"/>
                  <w:right w:val="single" w:color="auto" w:sz="4" w:space="0"/>
                </w:tcBorders>
                <w:vAlign w:val="center"/>
              </w:tcPr>
              <w:p w14:paraId="0274DD1C">
                <w:pPr>
                  <w:rPr>
                    <w:rFonts w:ascii="Calibri" w:hAnsi="Calibri"/>
                    <w:bCs/>
                    <w:sz w:val="20"/>
                    <w:szCs w:val="20"/>
                  </w:rPr>
                </w:pPr>
              </w:p>
            </w:tc>
            <w:tc>
              <w:tcPr>
                <w:tcW w:w="1162" w:type="pct"/>
                <w:tcBorders>
                  <w:top w:val="single" w:color="auto" w:sz="4" w:space="0"/>
                  <w:left w:val="nil"/>
                  <w:bottom w:val="single" w:color="auto" w:sz="4" w:space="0"/>
                  <w:right w:val="single" w:color="auto" w:sz="4" w:space="0"/>
                </w:tcBorders>
                <w:vAlign w:val="center"/>
              </w:tcPr>
              <w:p w14:paraId="4A4169C1">
                <w:pPr>
                  <w:rPr>
                    <w:rFonts w:ascii="Calibri" w:hAnsi="Calibri"/>
                    <w:bCs/>
                    <w:sz w:val="20"/>
                    <w:szCs w:val="20"/>
                  </w:rPr>
                </w:pPr>
                <w:r>
                  <w:rPr>
                    <w:rFonts w:hint="eastAsia" w:ascii="Calibri" w:hAnsi="Calibri"/>
                    <w:bCs/>
                    <w:sz w:val="20"/>
                    <w:szCs w:val="20"/>
                  </w:rPr>
                  <w:t>恩格列净片</w:t>
                </w:r>
              </w:p>
            </w:tc>
            <w:tc>
              <w:tcPr>
                <w:tcW w:w="847" w:type="pct"/>
                <w:tcBorders>
                  <w:top w:val="single" w:color="auto" w:sz="4" w:space="0"/>
                  <w:left w:val="nil"/>
                  <w:bottom w:val="single" w:color="auto" w:sz="4" w:space="0"/>
                  <w:right w:val="single" w:color="auto" w:sz="4" w:space="0"/>
                </w:tcBorders>
                <w:vAlign w:val="center"/>
              </w:tcPr>
              <w:p w14:paraId="744FFBF6">
                <w:pPr>
                  <w:rPr>
                    <w:rFonts w:ascii="Calibri" w:hAnsi="Calibri"/>
                    <w:bCs/>
                    <w:sz w:val="20"/>
                    <w:szCs w:val="20"/>
                  </w:rPr>
                </w:pPr>
                <w:r>
                  <w:rPr>
                    <w:rFonts w:hint="eastAsia" w:ascii="Calibri" w:hAnsi="Calibri"/>
                    <w:bCs/>
                    <w:sz w:val="20"/>
                    <w:szCs w:val="20"/>
                  </w:rPr>
                  <w:t>化学药品</w:t>
                </w:r>
              </w:p>
            </w:tc>
            <w:tc>
              <w:tcPr>
                <w:tcW w:w="2245" w:type="pct"/>
                <w:tcBorders>
                  <w:top w:val="single" w:color="auto" w:sz="4" w:space="0"/>
                  <w:left w:val="nil"/>
                  <w:bottom w:val="single" w:color="auto" w:sz="4" w:space="0"/>
                  <w:right w:val="single" w:color="auto" w:sz="4" w:space="0"/>
                </w:tcBorders>
                <w:vAlign w:val="center"/>
              </w:tcPr>
              <w:p w14:paraId="0A2C0128">
                <w:pPr>
                  <w:rPr>
                    <w:rFonts w:ascii="Calibri" w:hAnsi="Calibri"/>
                    <w:bCs/>
                    <w:sz w:val="20"/>
                    <w:szCs w:val="20"/>
                  </w:rPr>
                </w:pPr>
                <w:r>
                  <w:rPr>
                    <w:rFonts w:hint="eastAsia" w:ascii="Calibri" w:hAnsi="Calibri"/>
                    <w:bCs/>
                    <w:sz w:val="20"/>
                    <w:szCs w:val="20"/>
                  </w:rPr>
                  <w:t>治疗2型糖尿病</w:t>
                </w:r>
              </w:p>
            </w:tc>
          </w:tr>
          <w:tr w14:paraId="506B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5" w:type="pct"/>
                <w:vMerge w:val="continue"/>
                <w:tcBorders>
                  <w:left w:val="single" w:color="auto" w:sz="4" w:space="0"/>
                  <w:right w:val="single" w:color="auto" w:sz="4" w:space="0"/>
                </w:tcBorders>
                <w:vAlign w:val="center"/>
              </w:tcPr>
              <w:p w14:paraId="33EBD0B2">
                <w:pPr>
                  <w:rPr>
                    <w:rFonts w:ascii="Calibri" w:hAnsi="Calibri"/>
                    <w:bCs/>
                    <w:sz w:val="20"/>
                    <w:szCs w:val="20"/>
                  </w:rPr>
                </w:pPr>
              </w:p>
            </w:tc>
            <w:tc>
              <w:tcPr>
                <w:tcW w:w="341" w:type="pct"/>
                <w:vMerge w:val="continue"/>
                <w:tcBorders>
                  <w:left w:val="nil"/>
                  <w:right w:val="single" w:color="auto" w:sz="4" w:space="0"/>
                </w:tcBorders>
                <w:vAlign w:val="center"/>
              </w:tcPr>
              <w:p w14:paraId="3AA7CAFB">
                <w:pPr>
                  <w:rPr>
                    <w:rFonts w:ascii="Calibri" w:hAnsi="Calibri"/>
                    <w:bCs/>
                    <w:sz w:val="20"/>
                    <w:szCs w:val="20"/>
                  </w:rPr>
                </w:pPr>
              </w:p>
            </w:tc>
            <w:tc>
              <w:tcPr>
                <w:tcW w:w="1162" w:type="pct"/>
                <w:tcBorders>
                  <w:top w:val="single" w:color="auto" w:sz="4" w:space="0"/>
                  <w:left w:val="nil"/>
                  <w:bottom w:val="single" w:color="auto" w:sz="4" w:space="0"/>
                  <w:right w:val="single" w:color="auto" w:sz="4" w:space="0"/>
                </w:tcBorders>
                <w:vAlign w:val="center"/>
              </w:tcPr>
              <w:p w14:paraId="031AB9A1">
                <w:pPr>
                  <w:rPr>
                    <w:rFonts w:ascii="Calibri" w:hAnsi="Calibri"/>
                    <w:bCs/>
                    <w:sz w:val="20"/>
                    <w:szCs w:val="20"/>
                  </w:rPr>
                </w:pPr>
                <w:r>
                  <w:rPr>
                    <w:rFonts w:hint="eastAsia" w:ascii="Calibri" w:hAnsi="Calibri"/>
                    <w:bCs/>
                    <w:sz w:val="20"/>
                    <w:szCs w:val="20"/>
                  </w:rPr>
                  <w:t>磷酸西格列汀片</w:t>
                </w:r>
              </w:p>
            </w:tc>
            <w:tc>
              <w:tcPr>
                <w:tcW w:w="847" w:type="pct"/>
                <w:tcBorders>
                  <w:top w:val="single" w:color="auto" w:sz="4" w:space="0"/>
                  <w:left w:val="nil"/>
                  <w:bottom w:val="single" w:color="auto" w:sz="4" w:space="0"/>
                  <w:right w:val="single" w:color="auto" w:sz="4" w:space="0"/>
                </w:tcBorders>
                <w:vAlign w:val="center"/>
              </w:tcPr>
              <w:p w14:paraId="4A78A435">
                <w:pPr>
                  <w:rPr>
                    <w:rFonts w:ascii="Calibri" w:hAnsi="Calibri"/>
                    <w:bCs/>
                    <w:sz w:val="20"/>
                    <w:szCs w:val="20"/>
                  </w:rPr>
                </w:pPr>
                <w:r>
                  <w:rPr>
                    <w:rFonts w:hint="eastAsia" w:ascii="Calibri" w:hAnsi="Calibri"/>
                    <w:bCs/>
                    <w:sz w:val="20"/>
                    <w:szCs w:val="20"/>
                  </w:rPr>
                  <w:t>化学药品</w:t>
                </w:r>
              </w:p>
            </w:tc>
            <w:tc>
              <w:tcPr>
                <w:tcW w:w="2245" w:type="pct"/>
                <w:tcBorders>
                  <w:top w:val="single" w:color="auto" w:sz="4" w:space="0"/>
                  <w:left w:val="nil"/>
                  <w:bottom w:val="single" w:color="auto" w:sz="4" w:space="0"/>
                  <w:right w:val="single" w:color="auto" w:sz="4" w:space="0"/>
                </w:tcBorders>
                <w:vAlign w:val="center"/>
              </w:tcPr>
              <w:p w14:paraId="634BB2F1">
                <w:pPr>
                  <w:rPr>
                    <w:rFonts w:ascii="Calibri" w:hAnsi="Calibri"/>
                    <w:bCs/>
                    <w:sz w:val="20"/>
                    <w:szCs w:val="20"/>
                  </w:rPr>
                </w:pPr>
                <w:r>
                  <w:rPr>
                    <w:rFonts w:ascii="Calibri" w:hAnsi="Calibri"/>
                    <w:bCs/>
                    <w:sz w:val="20"/>
                    <w:szCs w:val="20"/>
                  </w:rPr>
                  <w:t>治疗2型糖尿病</w:t>
                </w:r>
              </w:p>
            </w:tc>
          </w:tr>
          <w:tr w14:paraId="0C31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5" w:type="pct"/>
                <w:vMerge w:val="continue"/>
                <w:tcBorders>
                  <w:left w:val="single" w:color="auto" w:sz="4" w:space="0"/>
                  <w:right w:val="single" w:color="auto" w:sz="4" w:space="0"/>
                </w:tcBorders>
                <w:vAlign w:val="center"/>
              </w:tcPr>
              <w:p w14:paraId="5FA72680">
                <w:pPr>
                  <w:rPr>
                    <w:rFonts w:ascii="Calibri" w:hAnsi="Calibri"/>
                    <w:bCs/>
                    <w:sz w:val="20"/>
                    <w:szCs w:val="20"/>
                  </w:rPr>
                </w:pPr>
              </w:p>
            </w:tc>
            <w:tc>
              <w:tcPr>
                <w:tcW w:w="341" w:type="pct"/>
                <w:vMerge w:val="continue"/>
                <w:tcBorders>
                  <w:left w:val="nil"/>
                  <w:bottom w:val="single" w:color="auto" w:sz="4" w:space="0"/>
                  <w:right w:val="single" w:color="auto" w:sz="4" w:space="0"/>
                </w:tcBorders>
                <w:vAlign w:val="center"/>
              </w:tcPr>
              <w:p w14:paraId="404D81B0">
                <w:pPr>
                  <w:rPr>
                    <w:rFonts w:ascii="Calibri" w:hAnsi="Calibri"/>
                    <w:bCs/>
                    <w:sz w:val="20"/>
                    <w:szCs w:val="20"/>
                  </w:rPr>
                </w:pPr>
              </w:p>
            </w:tc>
            <w:tc>
              <w:tcPr>
                <w:tcW w:w="1162" w:type="pct"/>
                <w:tcBorders>
                  <w:top w:val="single" w:color="auto" w:sz="4" w:space="0"/>
                  <w:left w:val="nil"/>
                  <w:bottom w:val="single" w:color="auto" w:sz="4" w:space="0"/>
                  <w:right w:val="single" w:color="auto" w:sz="4" w:space="0"/>
                </w:tcBorders>
                <w:vAlign w:val="center"/>
              </w:tcPr>
              <w:p w14:paraId="71C19BD8">
                <w:pPr>
                  <w:rPr>
                    <w:rFonts w:ascii="Calibri" w:hAnsi="Calibri"/>
                    <w:bCs/>
                    <w:sz w:val="20"/>
                    <w:szCs w:val="20"/>
                  </w:rPr>
                </w:pPr>
                <w:r>
                  <w:rPr>
                    <w:rFonts w:hint="eastAsia" w:ascii="Calibri" w:hAnsi="Calibri"/>
                    <w:bCs/>
                    <w:sz w:val="20"/>
                    <w:szCs w:val="20"/>
                  </w:rPr>
                  <w:t>瑞格列奈片</w:t>
                </w:r>
              </w:p>
            </w:tc>
            <w:tc>
              <w:tcPr>
                <w:tcW w:w="847" w:type="pct"/>
                <w:tcBorders>
                  <w:top w:val="single" w:color="auto" w:sz="4" w:space="0"/>
                  <w:left w:val="nil"/>
                  <w:bottom w:val="single" w:color="auto" w:sz="4" w:space="0"/>
                  <w:right w:val="single" w:color="auto" w:sz="4" w:space="0"/>
                </w:tcBorders>
                <w:vAlign w:val="center"/>
              </w:tcPr>
              <w:p w14:paraId="0CA21488">
                <w:pPr>
                  <w:rPr>
                    <w:rFonts w:ascii="Calibri" w:hAnsi="Calibri"/>
                    <w:bCs/>
                    <w:sz w:val="20"/>
                    <w:szCs w:val="20"/>
                  </w:rPr>
                </w:pPr>
                <w:r>
                  <w:rPr>
                    <w:rFonts w:hint="eastAsia" w:ascii="Calibri" w:hAnsi="Calibri"/>
                    <w:bCs/>
                    <w:sz w:val="20"/>
                    <w:szCs w:val="20"/>
                  </w:rPr>
                  <w:t>化学药品</w:t>
                </w:r>
              </w:p>
            </w:tc>
            <w:tc>
              <w:tcPr>
                <w:tcW w:w="2245" w:type="pct"/>
                <w:tcBorders>
                  <w:top w:val="single" w:color="auto" w:sz="4" w:space="0"/>
                  <w:left w:val="nil"/>
                  <w:bottom w:val="single" w:color="auto" w:sz="4" w:space="0"/>
                  <w:right w:val="single" w:color="auto" w:sz="4" w:space="0"/>
                </w:tcBorders>
                <w:vAlign w:val="center"/>
              </w:tcPr>
              <w:p w14:paraId="2A5B864D">
                <w:pPr>
                  <w:jc w:val="both"/>
                  <w:rPr>
                    <w:rFonts w:ascii="Calibri" w:hAnsi="Calibri"/>
                    <w:bCs/>
                    <w:sz w:val="20"/>
                    <w:szCs w:val="20"/>
                  </w:rPr>
                </w:pPr>
                <w:r>
                  <w:rPr>
                    <w:rFonts w:hint="eastAsia" w:ascii="Calibri" w:hAnsi="Calibri"/>
                    <w:bCs/>
                    <w:sz w:val="20"/>
                    <w:szCs w:val="20"/>
                  </w:rPr>
                  <w:t>用于饮食控制、减轻体重及运动锻炼不能有效控制其高血糖的成人2型糖尿病患者</w:t>
                </w:r>
              </w:p>
            </w:tc>
          </w:tr>
          <w:tr w14:paraId="57627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1" w:hRule="atLeast"/>
            </w:trPr>
            <w:tc>
              <w:tcPr>
                <w:tcW w:w="405" w:type="pct"/>
                <w:tcBorders>
                  <w:left w:val="single" w:color="auto" w:sz="4" w:space="0"/>
                  <w:bottom w:val="single" w:color="auto" w:sz="4" w:space="0"/>
                  <w:right w:val="single" w:color="auto" w:sz="4" w:space="0"/>
                </w:tcBorders>
                <w:textDirection w:val="tbRlV"/>
                <w:vAlign w:val="center"/>
              </w:tcPr>
              <w:p w14:paraId="7A658B3A">
                <w:pPr>
                  <w:ind w:left="113" w:right="113"/>
                  <w:rPr>
                    <w:rFonts w:ascii="Calibri" w:hAnsi="Calibri"/>
                    <w:bCs/>
                    <w:sz w:val="20"/>
                    <w:szCs w:val="20"/>
                  </w:rPr>
                </w:pPr>
                <w:r>
                  <w:rPr>
                    <w:rFonts w:hint="eastAsia" w:ascii="Calibri" w:hAnsi="Calibri"/>
                    <w:bCs/>
                    <w:sz w:val="20"/>
                    <w:szCs w:val="20"/>
                  </w:rPr>
                  <w:t>抗炎止痛</w:t>
                </w:r>
              </w:p>
            </w:tc>
            <w:tc>
              <w:tcPr>
                <w:tcW w:w="341" w:type="pct"/>
                <w:tcBorders>
                  <w:top w:val="single" w:color="auto" w:sz="4" w:space="0"/>
                  <w:left w:val="nil"/>
                  <w:bottom w:val="single" w:color="auto" w:sz="4" w:space="0"/>
                  <w:right w:val="single" w:color="auto" w:sz="4" w:space="0"/>
                </w:tcBorders>
                <w:textDirection w:val="tbRlV"/>
                <w:vAlign w:val="center"/>
              </w:tcPr>
              <w:p w14:paraId="62028979">
                <w:pPr>
                  <w:ind w:left="113" w:right="113"/>
                  <w:rPr>
                    <w:rFonts w:ascii="Calibri" w:hAnsi="Calibri"/>
                    <w:bCs/>
                    <w:sz w:val="20"/>
                    <w:szCs w:val="20"/>
                  </w:rPr>
                </w:pPr>
                <w:r>
                  <w:rPr>
                    <w:rFonts w:hint="eastAsia" w:ascii="Calibri" w:hAnsi="Calibri"/>
                    <w:bCs/>
                    <w:sz w:val="20"/>
                    <w:szCs w:val="20"/>
                  </w:rPr>
                  <w:t>痛风/骨关节炎</w:t>
                </w:r>
              </w:p>
            </w:tc>
            <w:tc>
              <w:tcPr>
                <w:tcW w:w="1162" w:type="pct"/>
                <w:tcBorders>
                  <w:top w:val="single" w:color="auto" w:sz="4" w:space="0"/>
                  <w:left w:val="nil"/>
                  <w:bottom w:val="single" w:color="auto" w:sz="4" w:space="0"/>
                  <w:right w:val="single" w:color="auto" w:sz="4" w:space="0"/>
                </w:tcBorders>
                <w:vAlign w:val="center"/>
              </w:tcPr>
              <w:p w14:paraId="0DCD113E">
                <w:pPr>
                  <w:rPr>
                    <w:rFonts w:ascii="Calibri" w:hAnsi="Calibri"/>
                    <w:bCs/>
                    <w:sz w:val="20"/>
                    <w:szCs w:val="20"/>
                  </w:rPr>
                </w:pPr>
                <w:r>
                  <w:rPr>
                    <w:rFonts w:hint="eastAsia" w:ascii="Calibri" w:hAnsi="Calibri"/>
                    <w:bCs/>
                    <w:sz w:val="20"/>
                    <w:szCs w:val="20"/>
                  </w:rPr>
                  <w:t>依托考昔片</w:t>
                </w:r>
              </w:p>
            </w:tc>
            <w:tc>
              <w:tcPr>
                <w:tcW w:w="847" w:type="pct"/>
                <w:tcBorders>
                  <w:top w:val="single" w:color="auto" w:sz="4" w:space="0"/>
                  <w:left w:val="nil"/>
                  <w:bottom w:val="single" w:color="auto" w:sz="4" w:space="0"/>
                  <w:right w:val="single" w:color="auto" w:sz="4" w:space="0"/>
                </w:tcBorders>
                <w:vAlign w:val="center"/>
              </w:tcPr>
              <w:p w14:paraId="2393152F">
                <w:pPr>
                  <w:rPr>
                    <w:rFonts w:ascii="Calibri" w:hAnsi="Calibri"/>
                    <w:bCs/>
                    <w:sz w:val="20"/>
                    <w:szCs w:val="20"/>
                  </w:rPr>
                </w:pPr>
                <w:r>
                  <w:rPr>
                    <w:rFonts w:hint="eastAsia" w:ascii="Calibri" w:hAnsi="Calibri"/>
                    <w:bCs/>
                    <w:sz w:val="20"/>
                    <w:szCs w:val="20"/>
                  </w:rPr>
                  <w:t>化学药品</w:t>
                </w:r>
              </w:p>
            </w:tc>
            <w:tc>
              <w:tcPr>
                <w:tcW w:w="2245" w:type="pct"/>
                <w:tcBorders>
                  <w:top w:val="single" w:color="auto" w:sz="4" w:space="0"/>
                  <w:left w:val="nil"/>
                  <w:bottom w:val="single" w:color="auto" w:sz="4" w:space="0"/>
                  <w:right w:val="single" w:color="auto" w:sz="4" w:space="0"/>
                </w:tcBorders>
                <w:vAlign w:val="center"/>
              </w:tcPr>
              <w:p w14:paraId="4EDCD9A9">
                <w:pPr>
                  <w:jc w:val="both"/>
                  <w:rPr>
                    <w:rFonts w:ascii="Calibri" w:hAnsi="Calibri"/>
                    <w:bCs/>
                    <w:sz w:val="20"/>
                    <w:szCs w:val="20"/>
                  </w:rPr>
                </w:pPr>
                <w:r>
                  <w:rPr>
                    <w:rFonts w:hint="eastAsia" w:ascii="Calibri" w:hAnsi="Calibri"/>
                    <w:bCs/>
                    <w:sz w:val="20"/>
                    <w:szCs w:val="20"/>
                  </w:rPr>
                  <w:t>治疗急性痛风性关节炎</w:t>
                </w:r>
              </w:p>
              <w:p w14:paraId="26D97881">
                <w:pPr>
                  <w:jc w:val="both"/>
                  <w:rPr>
                    <w:rFonts w:ascii="Calibri" w:hAnsi="Calibri"/>
                    <w:bCs/>
                    <w:sz w:val="20"/>
                    <w:szCs w:val="20"/>
                  </w:rPr>
                </w:pPr>
                <w:r>
                  <w:rPr>
                    <w:rFonts w:hint="eastAsia" w:ascii="Calibri" w:hAnsi="Calibri"/>
                    <w:bCs/>
                    <w:sz w:val="20"/>
                    <w:szCs w:val="20"/>
                  </w:rPr>
                  <w:t>治疗骨关节炎急性期和慢性期的症状和体征</w:t>
                </w:r>
              </w:p>
              <w:p w14:paraId="157B3653">
                <w:pPr>
                  <w:jc w:val="both"/>
                  <w:rPr>
                    <w:rFonts w:ascii="Calibri" w:hAnsi="Calibri"/>
                    <w:bCs/>
                    <w:sz w:val="20"/>
                    <w:szCs w:val="20"/>
                  </w:rPr>
                </w:pPr>
                <w:r>
                  <w:rPr>
                    <w:rFonts w:hint="eastAsia" w:ascii="Calibri" w:hAnsi="Calibri"/>
                    <w:bCs/>
                    <w:sz w:val="20"/>
                    <w:szCs w:val="20"/>
                  </w:rPr>
                  <w:t>治疗原发性痛经</w:t>
                </w:r>
              </w:p>
            </w:tc>
          </w:tr>
          <w:tr w14:paraId="72AF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405" w:type="pct"/>
                <w:tcBorders>
                  <w:top w:val="single" w:color="auto" w:sz="4" w:space="0"/>
                  <w:left w:val="single" w:color="auto" w:sz="4" w:space="0"/>
                  <w:bottom w:val="single" w:color="auto" w:sz="4" w:space="0"/>
                  <w:right w:val="single" w:color="auto" w:sz="4" w:space="0"/>
                </w:tcBorders>
                <w:textDirection w:val="tbRlV"/>
                <w:vAlign w:val="center"/>
              </w:tcPr>
              <w:p w14:paraId="00E6CB0C">
                <w:pPr>
                  <w:ind w:left="113" w:right="113"/>
                  <w:rPr>
                    <w:rFonts w:ascii="Calibri" w:hAnsi="Calibri"/>
                    <w:bCs/>
                    <w:sz w:val="20"/>
                    <w:szCs w:val="20"/>
                  </w:rPr>
                </w:pPr>
                <w:r>
                  <w:rPr>
                    <w:rFonts w:hint="eastAsia" w:ascii="Calibri" w:hAnsi="Calibri"/>
                    <w:bCs/>
                    <w:sz w:val="20"/>
                    <w:szCs w:val="20"/>
                  </w:rPr>
                  <w:t>中成药</w:t>
                </w:r>
              </w:p>
            </w:tc>
            <w:tc>
              <w:tcPr>
                <w:tcW w:w="341" w:type="pct"/>
                <w:tcBorders>
                  <w:top w:val="single" w:color="auto" w:sz="4" w:space="0"/>
                  <w:left w:val="nil"/>
                  <w:bottom w:val="single" w:color="auto" w:sz="4" w:space="0"/>
                  <w:right w:val="single" w:color="auto" w:sz="4" w:space="0"/>
                </w:tcBorders>
                <w:textDirection w:val="tbRlV"/>
                <w:vAlign w:val="center"/>
              </w:tcPr>
              <w:p w14:paraId="2D3FB2B9">
                <w:pPr>
                  <w:ind w:left="113" w:right="113"/>
                  <w:rPr>
                    <w:rFonts w:ascii="Calibri" w:hAnsi="Calibri"/>
                    <w:bCs/>
                    <w:sz w:val="20"/>
                    <w:szCs w:val="20"/>
                  </w:rPr>
                </w:pPr>
                <w:r>
                  <w:rPr>
                    <w:rFonts w:hint="eastAsia" w:ascii="Calibri" w:hAnsi="Calibri"/>
                    <w:bCs/>
                    <w:sz w:val="20"/>
                    <w:szCs w:val="20"/>
                  </w:rPr>
                  <w:t>心脑血管</w:t>
                </w:r>
              </w:p>
            </w:tc>
            <w:tc>
              <w:tcPr>
                <w:tcW w:w="1162" w:type="pct"/>
                <w:tcBorders>
                  <w:top w:val="single" w:color="auto" w:sz="4" w:space="0"/>
                  <w:left w:val="nil"/>
                  <w:bottom w:val="single" w:color="auto" w:sz="4" w:space="0"/>
                  <w:right w:val="single" w:color="auto" w:sz="4" w:space="0"/>
                </w:tcBorders>
                <w:vAlign w:val="center"/>
              </w:tcPr>
              <w:p w14:paraId="2EFEA3BF">
                <w:pPr>
                  <w:rPr>
                    <w:rFonts w:ascii="Calibri" w:hAnsi="Calibri"/>
                    <w:bCs/>
                    <w:sz w:val="20"/>
                    <w:szCs w:val="20"/>
                  </w:rPr>
                </w:pPr>
                <w:r>
                  <w:rPr>
                    <w:rFonts w:hint="eastAsia" w:ascii="Calibri" w:hAnsi="Calibri"/>
                    <w:bCs/>
                    <w:sz w:val="20"/>
                    <w:szCs w:val="20"/>
                  </w:rPr>
                  <w:t>镇脑宁胶囊</w:t>
                </w:r>
              </w:p>
            </w:tc>
            <w:tc>
              <w:tcPr>
                <w:tcW w:w="847" w:type="pct"/>
                <w:tcBorders>
                  <w:top w:val="single" w:color="auto" w:sz="4" w:space="0"/>
                  <w:left w:val="nil"/>
                  <w:bottom w:val="single" w:color="auto" w:sz="4" w:space="0"/>
                  <w:right w:val="single" w:color="auto" w:sz="4" w:space="0"/>
                </w:tcBorders>
                <w:vAlign w:val="center"/>
              </w:tcPr>
              <w:p w14:paraId="178D490C">
                <w:pPr>
                  <w:rPr>
                    <w:rFonts w:ascii="Calibri" w:hAnsi="Calibri"/>
                    <w:bCs/>
                    <w:sz w:val="20"/>
                    <w:szCs w:val="20"/>
                  </w:rPr>
                </w:pPr>
                <w:r>
                  <w:rPr>
                    <w:rFonts w:hint="eastAsia" w:ascii="Calibri" w:hAnsi="Calibri"/>
                    <w:bCs/>
                    <w:sz w:val="20"/>
                    <w:szCs w:val="20"/>
                  </w:rPr>
                  <w:t>原中药新药</w:t>
                </w:r>
              </w:p>
            </w:tc>
            <w:tc>
              <w:tcPr>
                <w:tcW w:w="2245" w:type="pct"/>
                <w:tcBorders>
                  <w:top w:val="single" w:color="auto" w:sz="4" w:space="0"/>
                  <w:left w:val="nil"/>
                  <w:bottom w:val="single" w:color="auto" w:sz="4" w:space="0"/>
                  <w:right w:val="single" w:color="auto" w:sz="4" w:space="0"/>
                </w:tcBorders>
                <w:vAlign w:val="center"/>
              </w:tcPr>
              <w:p w14:paraId="47AAB067">
                <w:pPr>
                  <w:jc w:val="both"/>
                  <w:rPr>
                    <w:rFonts w:ascii="Calibri" w:hAnsi="Calibri"/>
                    <w:bCs/>
                    <w:sz w:val="20"/>
                    <w:szCs w:val="20"/>
                  </w:rPr>
                </w:pPr>
                <w:r>
                  <w:rPr>
                    <w:rFonts w:hint="eastAsia" w:ascii="Calibri" w:hAnsi="Calibri"/>
                    <w:bCs/>
                    <w:sz w:val="20"/>
                    <w:szCs w:val="20"/>
                  </w:rPr>
                  <w:t>熄风通络。用于风邪上扰所致的头痛头昏、恶心呕吐、视物不清、肢体麻木、耳鸣；血管神经性头痛、高血压、动脉硬化见上述证候者。</w:t>
                </w:r>
              </w:p>
            </w:tc>
          </w:tr>
        </w:tbl>
        <w:p w14:paraId="55C940C2">
          <w:pPr>
            <w:pStyle w:val="48"/>
          </w:pPr>
          <w:r>
            <w:t xml:space="preserve"> </w:t>
          </w:r>
        </w:p>
        <w:p w14:paraId="40826F16">
          <w:pPr>
            <w:spacing w:line="360" w:lineRule="auto"/>
            <w:ind w:firstLine="422" w:firstLineChars="200"/>
            <w:jc w:val="both"/>
            <w:rPr>
              <w:b/>
            </w:rPr>
          </w:pPr>
          <w:r>
            <w:rPr>
              <w:b/>
            </w:rPr>
            <w:t>2、公司经营模式</w:t>
          </w:r>
        </w:p>
        <w:p w14:paraId="340A7F9C">
          <w:pPr>
            <w:spacing w:line="360" w:lineRule="auto"/>
            <w:ind w:firstLine="420" w:firstLineChars="200"/>
            <w:jc w:val="both"/>
          </w:pPr>
          <w:r>
            <w:rPr>
              <w:rFonts w:hint="eastAsia"/>
            </w:rPr>
            <w:t>公司主要从事糖尿病及内分泌治疗领域生物制品、中成药、化学药等药品的研发、生产和销售，具有完整的研发、采购、生产和销售模式。</w:t>
          </w:r>
        </w:p>
        <w:p w14:paraId="107B24FA">
          <w:pPr>
            <w:spacing w:line="360" w:lineRule="auto"/>
            <w:ind w:firstLine="420" w:firstLineChars="200"/>
            <w:jc w:val="both"/>
          </w:pPr>
          <w:r>
            <w:rPr>
              <w:rFonts w:hint="eastAsia"/>
            </w:rPr>
            <w:t>（</w:t>
          </w:r>
          <w:r>
            <w:t>1）研发模式</w:t>
          </w:r>
        </w:p>
        <w:p w14:paraId="5155F141">
          <w:pPr>
            <w:spacing w:line="360" w:lineRule="auto"/>
            <w:ind w:firstLine="420" w:firstLineChars="200"/>
            <w:jc w:val="both"/>
          </w:pPr>
          <w:r>
            <w:rPr>
              <w:rFonts w:hint="eastAsia"/>
            </w:rPr>
            <w:t>公司采用以临床需求为导向，自主研发和对外合作相结合的研发模式。为推进新产品研发，公司在北京、上海、杭州、通化等多地建立研发机构，主要职能涵盖新药研发、成果转化、注册申报、海外事务及国际注册、产业化生产等。公司视研发效率为生命线，围绕糖尿病以及内分泌治疗领域的前沿治疗技术，不断推动公司科技创新，提高新药研发创新能力，全力打造成糖尿病治疗领域的龙头企业，并致力于成为“内分泌领域创新医药研发的探索者和引领者”。</w:t>
          </w:r>
        </w:p>
        <w:p w14:paraId="3D3335DB">
          <w:pPr>
            <w:spacing w:line="360" w:lineRule="auto"/>
            <w:ind w:firstLine="420" w:firstLineChars="200"/>
            <w:jc w:val="both"/>
          </w:pPr>
          <w:r>
            <w:rPr>
              <w:rFonts w:hint="eastAsia"/>
            </w:rPr>
            <w:t>（</w:t>
          </w:r>
          <w:r>
            <w:t>2）采购模式</w:t>
          </w:r>
        </w:p>
        <w:p w14:paraId="67DFC72A">
          <w:pPr>
            <w:spacing w:line="360" w:lineRule="auto"/>
            <w:ind w:firstLine="420" w:firstLineChars="200"/>
            <w:jc w:val="both"/>
          </w:pPr>
          <w:r>
            <w:rPr>
              <w:rFonts w:hint="eastAsia"/>
            </w:rPr>
            <w:t>公司采购部拥有一套系统的供应商评价系统，通过对供应商的质量水平、交货能力、价格水平、技术能力、后援服务等多项指标进行全面、具体、客观的评价，筛选出优质供应商，并建立供应商阶段性评价体系，根据公司所在的发展阶段与实际需求选择合适、合格的供应商，以确保公司各项原辅料与设备的供应及时、充足与品质优良、稳定。</w:t>
          </w:r>
        </w:p>
        <w:p w14:paraId="7D84903E">
          <w:pPr>
            <w:spacing w:line="360" w:lineRule="auto"/>
            <w:ind w:firstLine="420" w:firstLineChars="200"/>
            <w:jc w:val="both"/>
          </w:pPr>
          <w:r>
            <w:rPr>
              <w:rFonts w:hint="eastAsia"/>
            </w:rPr>
            <w:t>（</w:t>
          </w:r>
          <w:r>
            <w:t>3）生产模式</w:t>
          </w:r>
        </w:p>
        <w:p w14:paraId="36BBCDE0">
          <w:pPr>
            <w:spacing w:line="360" w:lineRule="auto"/>
            <w:ind w:firstLine="420" w:firstLineChars="200"/>
            <w:jc w:val="both"/>
          </w:pPr>
          <w:r>
            <w:rPr>
              <w:rFonts w:hint="eastAsia"/>
            </w:rPr>
            <w:t>公司根据市场需求采用以销定产的生产模式，基于各产品销售计划以及月度发货情况，科学合理地制定与调整生产计划，保持库存处于健康水平。生产部门拥有从原料药到制剂的一体化生产体系，严格按照</w:t>
          </w:r>
          <w:r>
            <w:t>GMP和公司质量管理要求进行生产，确保产品质量可靠稳定。同时，公司在生产过程中持续进行精益生产管理，不断优化流程和降低损耗，提高劳动生产率和设备利用率。</w:t>
          </w:r>
        </w:p>
        <w:p w14:paraId="7DF563AC">
          <w:pPr>
            <w:spacing w:line="360" w:lineRule="auto"/>
            <w:ind w:firstLine="420" w:firstLineChars="200"/>
            <w:jc w:val="both"/>
          </w:pPr>
          <w:r>
            <w:rPr>
              <w:rFonts w:hint="eastAsia"/>
            </w:rPr>
            <w:t>（</w:t>
          </w:r>
          <w:r>
            <w:t>4）销售模式</w:t>
          </w:r>
        </w:p>
        <w:p w14:paraId="70DE49AB">
          <w:pPr>
            <w:spacing w:line="360" w:lineRule="auto"/>
            <w:ind w:firstLine="420" w:firstLineChars="200"/>
            <w:jc w:val="both"/>
          </w:pPr>
          <w:r>
            <w:rPr>
              <w:rFonts w:hint="eastAsia"/>
            </w:rPr>
            <w:t>考虑到胰岛素产品的销售专业性比较强，公司自建专业化销售团队，在糖尿病领域创立自运营模式。通过学术活动引导的专业化市场推广等形式，公司不断提高产品的区域覆盖率和市场占有率。另外公司自建商务团队，负责和医药商业公司签订销售合同，提供相应服务，负责回款等。产品由医药商业公司配售到医院及零售渠道，最终完成整个销售流程。</w:t>
          </w:r>
        </w:p>
        <w:p w14:paraId="75C61F84">
          <w:pPr>
            <w:spacing w:line="360" w:lineRule="auto"/>
            <w:ind w:firstLine="422" w:firstLineChars="200"/>
            <w:rPr>
              <w:b/>
            </w:rPr>
          </w:pPr>
          <w:r>
            <w:rPr>
              <w:b/>
            </w:rPr>
            <w:t>3、主要业绩驱动因素</w:t>
          </w:r>
        </w:p>
        <w:p w14:paraId="262D205E">
          <w:pPr>
            <w:spacing w:line="360" w:lineRule="auto"/>
            <w:ind w:firstLine="420" w:firstLineChars="200"/>
            <w:jc w:val="both"/>
          </w:pPr>
          <w:r>
            <w:t>2022年5月</w:t>
          </w:r>
          <w:r>
            <w:rPr>
              <w:rFonts w:hint="eastAsia"/>
            </w:rPr>
            <w:t>以</w:t>
          </w:r>
          <w:r>
            <w:t>来国家胰岛素专项集采正式在全国范围内陆续执行，</w:t>
          </w:r>
          <w:r>
            <w:rPr>
              <w:rFonts w:hint="eastAsia"/>
            </w:rPr>
            <w:t>在</w:t>
          </w:r>
          <w:r>
            <w:t>受到产品价格下降等诸多因素的影响</w:t>
          </w:r>
          <w:r>
            <w:rPr>
              <w:rFonts w:hint="eastAsia"/>
            </w:rPr>
            <w:t>下</w:t>
          </w:r>
          <w:r>
            <w:t>，公司凭借优化销售策略、加强渠道推广，不断拓展签约量外的市场，</w:t>
          </w:r>
          <w:r>
            <w:rPr>
              <w:rFonts w:hint="eastAsia"/>
            </w:rPr>
            <w:t>实现了</w:t>
          </w:r>
          <w:r>
            <w:t>市场份额</w:t>
          </w:r>
          <w:r>
            <w:rPr>
              <w:rFonts w:hint="eastAsia"/>
            </w:rPr>
            <w:t>的进一步提升</w:t>
          </w:r>
          <w:r>
            <w:t>，</w:t>
          </w:r>
          <w:r>
            <w:rPr>
              <w:rFonts w:hint="eastAsia"/>
            </w:rPr>
            <w:t>同时</w:t>
          </w:r>
          <w:r>
            <w:t>开展各项线上线下学术活动、持续深耕基层市场并完善售后服务体系、深化商业合作、提升产品品质，加强品牌建设，科学布局市场，为业绩不断提供新动能。</w:t>
          </w:r>
          <w:r>
            <w:rPr>
              <w:rFonts w:hint="eastAsia"/>
            </w:rPr>
            <w:t>2024年4月23日，在胰岛素专项集采接续采购中，为了响应国家政策，降低医保费用支出，减轻患者用药负担，公司产品中选价格与原价格相比有一定幅度下降，价格的下降将对销售收入产生一定压力，但根据集采续约规则和中选结果，公司全线产品均以A</w:t>
          </w:r>
          <w:r>
            <w:t>/A1</w:t>
          </w:r>
          <w:r>
            <w:rPr>
              <w:rFonts w:hint="eastAsia"/>
            </w:rPr>
            <w:t>类中选，其中甘精胰岛素和预混型门冬胰岛素系列产品以A1类中选，因此公司获得了产品首年采购需求量的90%或100%，还额外获得全国集采二次分配量中的30%以上。这有利于公司产品市场份额进一步提升，尤其是胰岛素类似物产品继续加速放量，大幅加快了产品在全国范围内的准入与放量速度。除胰岛素外，公司新产品利拉鲁肽注射液、恩格列净片与磷酸西格列汀片贡献增量销售收入。</w:t>
          </w:r>
        </w:p>
      </w:sdtContent>
    </w:sdt>
    <w:p w14:paraId="2ECB0114">
      <w:pPr>
        <w:pStyle w:val="48"/>
      </w:pPr>
    </w:p>
    <w:p w14:paraId="1409DE75">
      <w:pPr>
        <w:rPr>
          <w:rFonts w:ascii="Calibri" w:hAnsi="Calibri"/>
          <w:bCs/>
          <w:kern w:val="2"/>
        </w:rPr>
      </w:pPr>
      <w:bookmarkStart w:id="41" w:name="_Hlk188285089"/>
      <w:r>
        <w:rPr>
          <w:rFonts w:hint="eastAsia" w:ascii="Calibri" w:hAnsi="Calibri"/>
          <w:bCs/>
          <w:kern w:val="2"/>
        </w:rPr>
        <w:t>报告期内公司新增重要非主营业务的说明</w:t>
      </w:r>
    </w:p>
    <w:sdt>
      <w:sdtPr>
        <w:rPr>
          <w:rFonts w:hint="eastAsia"/>
        </w:rPr>
        <w:alias w:val="是否适用：报告期内公司新增重要非主营业务的说明[双击切换]"/>
        <w:tag w:val="_GBC_1c91810887d14c3fad60346b43671230"/>
        <w:id w:val="-1778477623"/>
        <w:placeholder>
          <w:docPart w:val="GBC22222222222222222222222222222"/>
        </w:placeholder>
      </w:sdtPr>
      <w:sdtEndPr>
        <w:rPr>
          <w:rFonts w:hint="eastAsia"/>
        </w:rPr>
      </w:sdtEndPr>
      <w:sdtContent>
        <w:p w14:paraId="461AC1C8">
          <w:pPr>
            <w:pStyle w:val="48"/>
          </w:pPr>
          <w:r>
            <w:rPr>
              <w:rFonts w:hint="eastAsia" w:ascii="宋体" w:hAnsi="宋体"/>
            </w:rPr>
            <w:fldChar w:fldCharType="begin"/>
          </w:r>
          <w:r>
            <w:rPr>
              <w:rFonts w:ascii="宋体" w:hAnsi="宋体"/>
            </w:rPr>
            <w:instrText xml:space="preserve"> MACROBUTTON  SnrToggleCheckbox □适用 </w:instrText>
          </w:r>
          <w:r>
            <w:rPr>
              <w:rFonts w:hint="eastAsia" w:ascii="宋体" w:hAnsi="宋体"/>
            </w:rPr>
            <w:fldChar w:fldCharType="end"/>
          </w:r>
          <w:r>
            <w:rPr>
              <w:rFonts w:hint="eastAsia" w:ascii="宋体" w:hAnsi="宋体"/>
            </w:rPr>
            <w:fldChar w:fldCharType="begin"/>
          </w:r>
          <w:r>
            <w:rPr>
              <w:rFonts w:ascii="宋体" w:hAnsi="宋体"/>
            </w:rPr>
            <w:instrText xml:space="preserve"> MACROBUTTON  SnrToggleCheckbox √不适用 </w:instrText>
          </w:r>
          <w:r>
            <w:rPr>
              <w:rFonts w:hint="eastAsia" w:ascii="宋体" w:hAnsi="宋体"/>
            </w:rPr>
            <w:fldChar w:fldCharType="end"/>
          </w:r>
        </w:p>
      </w:sdtContent>
    </w:sdt>
    <w:p w14:paraId="34AEDC12">
      <w:pPr>
        <w:pStyle w:val="48"/>
      </w:pPr>
    </w:p>
    <w:bookmarkEnd w:id="41"/>
    <w:p w14:paraId="66F3DCD9">
      <w:pPr>
        <w:pStyle w:val="3"/>
        <w:numPr>
          <w:ilvl w:val="0"/>
          <w:numId w:val="7"/>
        </w:numPr>
        <w:ind w:left="369" w:hanging="369" w:hangingChars="175"/>
      </w:pPr>
      <w:r>
        <w:t>报告期内公司所处行业情况</w:t>
      </w:r>
    </w:p>
    <w:sdt>
      <w:sdtPr>
        <w:rPr>
          <w:rFonts w:hint="eastAsia"/>
        </w:rPr>
        <w:alias w:val="报告期内公司所处行业情况 "/>
        <w:tag w:val="_GBC_62343dd2540e4e58bef438888246bd32"/>
        <w:id w:val="1490594076"/>
        <w:placeholder>
          <w:docPart w:val="GBC22222222222222222222222222222"/>
        </w:placeholder>
      </w:sdtPr>
      <w:sdtEndPr>
        <w:rPr>
          <w:rFonts w:hint="eastAsia"/>
          <w:highlight w:val="yellow"/>
        </w:rPr>
      </w:sdtEndPr>
      <w:sdtContent>
        <w:p w14:paraId="4D07CF52">
          <w:pPr>
            <w:spacing w:line="360" w:lineRule="auto"/>
            <w:ind w:firstLine="420" w:firstLineChars="200"/>
            <w:jc w:val="both"/>
          </w:pPr>
          <w:r>
            <w:rPr>
              <w:rFonts w:hint="eastAsia"/>
            </w:rPr>
            <w:t>医药行业作为关系国计民生、经济发展和国家安全的战略性产业，始终伴随着我国经济的快速发展、政府医疗卫生健康投入的持续增长以及医药卫生体系改革的不断深化而蓬勃前进。</w:t>
          </w:r>
        </w:p>
        <w:p w14:paraId="25C40979">
          <w:pPr>
            <w:spacing w:line="360" w:lineRule="auto"/>
            <w:ind w:firstLine="420" w:firstLineChars="200"/>
            <w:jc w:val="both"/>
          </w:pPr>
          <w:r>
            <w:rPr>
              <w:rFonts w:hint="eastAsia"/>
            </w:rPr>
            <w:t>随着我国城镇化的加速推进、人口老龄化的日益加剧以及居民生活方式的深刻改变，我国人口的疾病谱系发生了显著变化，逐步从以传染性疾病为主转变为以慢性病为主。近年来，糖尿病、痛风、高血压高血脂、慢性肾病、心脑血管疾病、肿瘤等慢性病的发病率持续攀升，人们对慢性疾病治疗药物的需求也随之迅速增长，推动了慢病治疗市场的不断扩容。</w:t>
          </w:r>
        </w:p>
        <w:p w14:paraId="7B9F653E">
          <w:pPr>
            <w:spacing w:line="360" w:lineRule="auto"/>
            <w:ind w:firstLine="420" w:firstLineChars="200"/>
            <w:jc w:val="both"/>
          </w:pPr>
          <w:r>
            <w:rPr>
              <w:rFonts w:hint="eastAsia"/>
            </w:rPr>
            <w:t>糖尿病作为全球性的健康问题，其患者人数在全球范围内持续增长。根据国际糖尿病联盟（IDF）全球糖尿病地图（第11版）估算，2024年全球成人（20～79岁）糖尿病患者总数约为5.89亿，占该年龄段总人口的11.1%；预计到2050年，全球成人糖尿病患者总数将进一步增至8.53亿。我国是全球糖尿病患者数量最多的国家，糖尿病相关卫生总支出位居全球第二。2024年，中国成人糖尿病患者总数约为1.48亿；预计到2050年，患者人数将进一步增至1.68亿。尽管我国糖尿病患病人数庞大，但与欧美发达国家相比，我国在糖尿病知晓率、治疗率、控制率方面仍处于较低水平，尤其是基层地区的糖尿病防治形势依然严峻。然而，随着我国医疗水平的不断进步和国民健康意识的日益增强，未来糖尿病的临床诊断率和治疗率有望持续提升，糖尿病治疗市场也将随之持续增长。</w:t>
          </w:r>
        </w:p>
        <w:p w14:paraId="695823B3">
          <w:pPr>
            <w:spacing w:line="360" w:lineRule="auto"/>
            <w:ind w:firstLine="420" w:firstLineChars="200"/>
            <w:jc w:val="both"/>
          </w:pPr>
          <w:r>
            <w:rPr>
              <w:rFonts w:hint="eastAsia"/>
            </w:rPr>
            <w:t>超重和肥胖作为多种慢性病的主要危险因素，其全球发病率持续攀升。根据世界肥胖联盟（World Obesity Federation）公布的《2025年世界肥胖报告》，预计全球成年人超重及肥胖率（BMI≥25）2030年将提升到约50%，对应超重及肥胖成年人数量将达到近30亿。近年来，我国超重和肥胖人群的患病率同样呈持续上升趋势。根据国家卫生健康委员会发布的《肥胖症诊疗指南（2024年版）》，按我国标准，我国18岁及以上成年人超重率为34.3%，肥胖患病率为16.4%，成人超重肥胖率已超过50%。超重和肥胖症会对健康造成严重影响，并引发一系列疾病，这些疾病会导致严重残疾和过早死亡。GLP-1类产品因其在降糖、减重等领域展现出的显著临床优势与治疗潜力，已逐渐成为治疗的主流靶点。公司目前在研的两款GLP-1类创新药，将积极探索与挖掘产品在包括降糖、减重等多项适应症的治疗潜力。</w:t>
          </w:r>
        </w:p>
        <w:p w14:paraId="757DBF09">
          <w:pPr>
            <w:spacing w:line="360" w:lineRule="auto"/>
            <w:ind w:firstLine="420" w:firstLineChars="200"/>
            <w:jc w:val="both"/>
          </w:pPr>
          <w:r>
            <w:rPr>
              <w:rFonts w:hint="eastAsia"/>
            </w:rPr>
            <w:t>痛风/高尿酸血症患者人数同样庞大，并且呈逐年上升和年轻化趋势。根据国家卫生健康委员会发布的《成人高尿酸血症与痛风食养指南（2024年版）》，我国成人居民高尿酸血症患病率为14%，痛风患病率为0.86%～2.20%。当前已上市药物在安全性上仍有提升空间，安全有效的创新药物未来将拥有广阔的市场前景。公司目前在研的一类创新药，旨在为患者提供安全性更高、效果更为显著的药品，以满足大量未被满足的临床需求。</w:t>
          </w:r>
        </w:p>
        <w:p w14:paraId="2FC3F800">
          <w:pPr>
            <w:spacing w:line="360" w:lineRule="auto"/>
            <w:ind w:firstLine="422" w:firstLineChars="200"/>
            <w:jc w:val="both"/>
            <w:rPr>
              <w:b/>
            </w:rPr>
          </w:pPr>
          <w:r>
            <w:rPr>
              <w:rFonts w:hint="eastAsia"/>
              <w:b/>
            </w:rPr>
            <w:t>（二）行业相关政策法规</w:t>
          </w:r>
        </w:p>
        <w:p w14:paraId="05DFD967">
          <w:pPr>
            <w:spacing w:line="360" w:lineRule="auto"/>
            <w:ind w:firstLine="420" w:firstLineChars="200"/>
            <w:jc w:val="both"/>
          </w:pPr>
          <w:r>
            <w:rPr>
              <w:rFonts w:hint="eastAsia"/>
            </w:rPr>
            <w:t>国家持续深化医药卫生体制改革，围绕“健康中国2030”战略目标，在药品审评审批、集中带量采购、医保支付方式、创新药全链条支持等方面形成系统化政策体系，推动医药行业向高质量发展方向加速转型。</w:t>
          </w:r>
        </w:p>
        <w:p w14:paraId="70F0B03B">
          <w:pPr>
            <w:spacing w:line="360" w:lineRule="auto"/>
            <w:ind w:firstLine="420" w:firstLineChars="200"/>
            <w:jc w:val="both"/>
          </w:pPr>
          <w:r>
            <w:rPr>
              <w:rFonts w:hint="eastAsia"/>
            </w:rPr>
            <w:t>2025年1月，国务院办公厅发布《关于全面深化药品医疗器械监管改革促进医药产业高质量发展的意见》，明确提出加快创新药审评审批、提升仿制药质量、促进医药产业创新发展。2025年全国两会政府工作报告提出制定创新药目录、健全药品价格形成机制，为创新药产业发展提供顶层政策支持。2025年6月，国家医保局、国家卫健委联合印发《支持创新药高质量发展的若干措施》，进一步完善创新药审批、入院、支付全链条支持体系，为医药企业的研发创新提供了更加明确的回报预期和制度保障。</w:t>
          </w:r>
        </w:p>
        <w:p w14:paraId="7480AD25">
          <w:pPr>
            <w:spacing w:line="360" w:lineRule="auto"/>
            <w:ind w:firstLine="420" w:firstLineChars="200"/>
            <w:jc w:val="both"/>
          </w:pPr>
          <w:r>
            <w:rPr>
              <w:rFonts w:hint="eastAsia"/>
            </w:rPr>
            <w:t>2025年，药品集中带量采购保持常态化、制度化运行。在规则层面，第十一批集采按照“稳临床、保质量、防围标、反内卷”原则推进，此次集采的调整标志着集采政策导向向“质量优先、科学竞价”方向转变，有利于品质优良的国产药企在集采中获得更合理的竞争地位。</w:t>
          </w:r>
        </w:p>
        <w:p w14:paraId="1C748FFA">
          <w:pPr>
            <w:spacing w:line="360" w:lineRule="auto"/>
            <w:ind w:firstLine="420" w:firstLineChars="200"/>
            <w:jc w:val="both"/>
          </w:pPr>
          <w:r>
            <w:rPr>
              <w:rFonts w:hint="eastAsia"/>
            </w:rPr>
            <w:t>胰岛素专项集采是与公司业务最为密切相关的政策。2021年11月，国家组织开展第六批药品集中带量采购(胰岛素专项)，首次将生物药纳入国家组织药品集采范围，中选结果于2022年5月起在全国各省市陆续落地执行。2024年3月，国家组织发布胰岛素专项接续采购文件，并于同年4月公布中选结果，采购周期自中选结果执行之日起至2027年12月31日，标期长达约三年半，为参与企业提升了中短期经营可预期性。本次接续集采中，公司全系列胰岛素产品以A类/A1类中选，总签约量约4,500万支，较首轮集采实现大幅增长；凭借更高的中选类别，公司可获得更高比例的集采报量及分配量，有助于国产胰岛素市场份额的持续提升。接续集采落地后，公司三代胰岛素产品院内覆盖显著扩大，为相关产品的持续放量奠定了坚实基础。</w:t>
          </w:r>
        </w:p>
        <w:p w14:paraId="12BDD768">
          <w:pPr>
            <w:spacing w:line="360" w:lineRule="auto"/>
            <w:ind w:firstLine="420" w:firstLineChars="200"/>
            <w:jc w:val="both"/>
          </w:pPr>
          <w:r>
            <w:rPr>
              <w:rFonts w:hint="eastAsia"/>
            </w:rPr>
            <w:t>2025年12月，新版国家医保药品目录发布，114种药品新增纳入，目录总量扩至3,253种，其中12个糖尿病等慢性病用药被纳入，替尔泊肽等慢性病新药成功入围。本次调整的重要创新在于首次同步发布首版《商业健康保险创新药品目录》，与基本目录形成“双目录”并行格局。商保创新药目录聚焦临床价值高、超出基本医保保障范围的创新药，推荐商业健康保险等多层次医疗保障体系参考使用，为相关创新药提供了基本医保之外的重要支付路径。</w:t>
          </w:r>
        </w:p>
        <w:p w14:paraId="73497DA1">
          <w:pPr>
            <w:spacing w:line="360" w:lineRule="auto"/>
            <w:ind w:firstLine="420" w:firstLineChars="200"/>
            <w:jc w:val="both"/>
          </w:pPr>
          <w:r>
            <w:rPr>
              <w:rFonts w:hint="eastAsia"/>
            </w:rPr>
            <w:t>2024年7月，国家卫健委等14个部门联合印发《健康中国行动——糖尿病防治行动实施方案（2024—2030年）》，提出到2030年18岁及以上居民糖尿病知晓率达60%及以上，2型糖尿病患者基层规范管理服务率达70%及以上，并明确推动糖尿病治疗新技术新项目纳入医保支付，鼓励商业保险机构开发糖尿病防治相关产品，提高药物供应保障水平。2025年12月，《国家基层糖尿病防治管理指南（2025）》发布，明确了九类降糖药物的临床选择路径，对GLP-1受体激动剂类药物的临床地位给予充分认可，同步强化了糖尿病患者 “三高共管” 的核心理念，为公司GLP-1类在研产品的临床推广提供了学术支撑和政策保障。</w:t>
          </w:r>
        </w:p>
        <w:p w14:paraId="60834AFF">
          <w:pPr>
            <w:spacing w:line="360" w:lineRule="auto"/>
            <w:ind w:firstLine="420" w:firstLineChars="200"/>
            <w:jc w:val="both"/>
          </w:pPr>
          <w:r>
            <w:rPr>
              <w:rFonts w:hint="eastAsia"/>
            </w:rPr>
            <w:t>据国际糖尿病联盟（IDF）发布的第 11 版《全球糖尿病地图》数据，2024 年我国 20-79 岁成人糖尿病患者人数已达1.48亿，而国内胰岛素临床使用渗透率仍处于较低水平，市场空间仍有较大提升潜力。上述政策的持续推进将进一步扩大糖尿病治疗药物的市场需求，为公司胰岛素核心业务的长期增长提供坚实的需求基础。</w:t>
          </w:r>
        </w:p>
        <w:p w14:paraId="4AEE3D4E">
          <w:pPr>
            <w:spacing w:line="360" w:lineRule="auto"/>
            <w:ind w:firstLine="420" w:firstLineChars="200"/>
            <w:jc w:val="both"/>
          </w:pPr>
          <w:r>
            <w:rPr>
              <w:rFonts w:hint="eastAsia"/>
            </w:rPr>
            <w:t>GLP-1类药物凭借“降糖+减重”双效机制，已成为全球增长最快的药物品类之一。世界卫生组织已将肥胖症列为全球健康危机，国内GLP-1赛道竞争格局加速形成。2024年5月，国家药监局批准替尔泊肽2型糖尿病适应症，同年7月批准其长期体重管理新适应症，是全球首个获批的GIP/GLP-1双靶点受体激动剂。在国际市场，司美格鲁肽与替尔泊肽等GLP-1产品销售持续大幅增长，显示出巨大的市场需求。公司在研的GLP-1/GIP双靶点受体激动剂（注射用THDBH120）、口服小分子GLP-1受体激动剂（THDBH110胶囊）、司美格鲁肽注射液（THDB0225注射液）及德谷胰岛素利拉鲁肽复方制剂等产品，将在上述有利政策与市场环境下加快推进研发及未来商业化进程。</w:t>
          </w:r>
        </w:p>
        <w:p w14:paraId="5D142927">
          <w:pPr>
            <w:spacing w:line="360" w:lineRule="auto"/>
            <w:ind w:firstLine="420" w:firstLineChars="200"/>
            <w:jc w:val="both"/>
          </w:pPr>
          <w:r>
            <w:rPr>
              <w:rFonts w:hint="eastAsia"/>
            </w:rPr>
            <w:t>2025年6月，国家卫健委等多部门联合印发《2025年纠正医药购销领域和医疗服务中不正之风工作要点》，持续推进医药领域合规治理，要求加快集采提质扩面、深化挂网药品价格治理，发挥穿透式审计监督优势，将监管重点向生产端延伸，推动医药追溯码全场景采集应用，并加强医药代表在医疗机构内的合规管理。上述监管政策的持续深化，对医药企业在合规经营、学术推广、产品质量等方面提出了更高要求，有利于具备优质产品和规范经营管理体系的企业获得更强的市场竞争优势。</w:t>
          </w:r>
        </w:p>
        <w:p w14:paraId="6BD55AF9">
          <w:pPr>
            <w:spacing w:line="360" w:lineRule="auto"/>
            <w:ind w:firstLine="420" w:firstLineChars="200"/>
            <w:jc w:val="both"/>
            <w:rPr>
              <w:highlight w:val="yellow"/>
            </w:rPr>
          </w:pPr>
          <w:r>
            <w:rPr>
              <w:rFonts w:hint="eastAsia"/>
            </w:rPr>
            <w:t>面对上述政策环境，公司将继续秉承“坚持自主创新，创造世界品牌”的发展理念，紧抓国家鼓励创新药发展的战略机遇，在巩固胰岛素核心业务的同时，加快推进创新产品研发，积极推进产品国际化进程，持续深耕内分泌代谢治疗领域，努力实现高质量发展。</w:t>
          </w:r>
        </w:p>
        <w:p w14:paraId="6640A9D8">
          <w:pPr>
            <w:spacing w:line="360" w:lineRule="auto"/>
            <w:ind w:firstLine="422" w:firstLineChars="200"/>
            <w:jc w:val="both"/>
            <w:rPr>
              <w:b/>
            </w:rPr>
          </w:pPr>
          <w:r>
            <w:rPr>
              <w:rFonts w:hint="eastAsia"/>
              <w:b/>
            </w:rPr>
            <w:t>（三）公司所处行业地位</w:t>
          </w:r>
        </w:p>
        <w:p w14:paraId="1FA4C3FA">
          <w:pPr>
            <w:spacing w:line="360" w:lineRule="auto"/>
            <w:ind w:firstLine="420" w:firstLineChars="200"/>
            <w:jc w:val="both"/>
          </w:pPr>
          <w:r>
            <w:rPr>
              <w:rFonts w:hint="eastAsia"/>
            </w:rPr>
            <w:t>作为国内糖尿病领域的领军企业，已构建了丰富多元的产品线，涵盖了人胰岛素、胰岛素类似物、GLP-1受体激动剂以及口服降糖药等全方位治疗药物。2025年，公司把握新一轮胰岛素集采续标带来的战略机遇，迅速推进胰岛素系列产品的医院准入与销售放量，产品结构实现从以人胰岛素为主向人胰岛素、胰岛素类似物均衡发展的优化升级，胰岛素类似物全年销量同比增幅超100%，2025年胰岛素类似物制剂收入超越人胰岛素，标志着公司产品结构升级取得重要突破。根据医药魔方2025年销量数据，公司人胰岛素及胰岛素类似物销量市场份额继续位列行业第二，仅次于诺和诺德；各类胰岛素市场份额均实现进一步提升，其中人胰岛素市占率继续攀升至45%以上，稳居国内第一；甘精胰岛素市占率稳步提升至15%以上；门冬系列胰岛素市占率正迅速扩大。</w:t>
          </w:r>
        </w:p>
        <w:p w14:paraId="04EC86F3">
          <w:pPr>
            <w:spacing w:line="360" w:lineRule="auto"/>
            <w:ind w:firstLine="420" w:firstLineChars="200"/>
            <w:jc w:val="both"/>
          </w:pPr>
          <w:r>
            <w:rPr>
              <w:rFonts w:hint="eastAsia"/>
            </w:rPr>
            <w:t>在国际化战略方面，公司持续扩面提速，海外业务收入保持快速增长态势，成为公司业绩的重要增长极。2025年至本报告披露日，公司胰岛素产品获得多个国家的上市许可与国际注册进展，海外布局范围持续拓宽。胰岛素类似物方面，门冬胰岛素美国BLA获FDA受理，欧盟MAA获EMA受理，同时在印度尼西亚、多米尼加获批上市；甘精胰岛素在缅甸获批上市。人胰岛素方面，分别在乌兹别克斯坦和尼加拉瓜获批上市，并获得马来西亚GMP证书；GLP-1类产品方面，利拉鲁肽注射液在秘鲁获批上市，获得哥伦比亚、巴西GMP证书，并已接受埃及GMP现场审计。公司逐步构建起覆盖法规市场与新兴市场的</w:t>
          </w:r>
          <w:r>
            <w:rPr>
              <w:rFonts w:hint="eastAsia" w:asciiTheme="minorEastAsia" w:hAnsiTheme="minorEastAsia" w:eastAsiaTheme="minorEastAsia"/>
            </w:rPr>
            <w:t>"原料药＋制剂"</w:t>
          </w:r>
          <w:r>
            <w:rPr>
              <w:rFonts w:hint="eastAsia"/>
            </w:rPr>
            <w:t>全链条海外产品体系。</w:t>
          </w:r>
        </w:p>
        <w:p w14:paraId="0F40A041">
          <w:pPr>
            <w:spacing w:line="360" w:lineRule="auto"/>
            <w:ind w:firstLine="420" w:firstLineChars="200"/>
            <w:jc w:val="both"/>
          </w:pPr>
          <w:r>
            <w:rPr>
              <w:rFonts w:hint="eastAsia"/>
            </w:rPr>
            <w:t>研发创新是公司发展的核心驱动力。公司已布局GLP-1、DPP-4、SGLT-2等降糖产品并获得上市批准。同时，公司坚定不移地深化创新转型，基于广大未满足的临床需求，积极布局多款一类创新药。GLP-1类药物作为当前市场潜力巨大的降糖与减重产品，公司通过"自主研发＋对外合作"的双轮驱动模式，构建起包括利拉鲁肽、德谷胰岛素利拉鲁肽注射液、司美格鲁肽、口服小分子GLP-1受体激动剂（THDBH110胶囊）、GLP-1/GIP双靶点受体激动剂在内的多层次、多样化GLP-1产品梯队。</w:t>
          </w:r>
        </w:p>
        <w:p w14:paraId="64E6CF4A">
          <w:pPr>
            <w:spacing w:line="360" w:lineRule="auto"/>
            <w:ind w:firstLine="420" w:firstLineChars="200"/>
            <w:jc w:val="both"/>
          </w:pPr>
          <w:r>
            <w:rPr>
              <w:rFonts w:hint="eastAsia"/>
            </w:rPr>
            <w:t>2025年，公司核心研发管线取得多项重要进展：2025年6月，司美格鲁肽（THDB0225注射液）顺利完成III期临床试验所有受试者的末次给药访视，目前正在准备NDA申请相关资料。2025年3月，德谷胰岛素利拉鲁肽注射液完成III期临床试验首例受试者给药，目前已完成全部受试者入组，临床观察正在顺利进行。2025年2月，GLP-1/GIP双靶点受体激动剂（注射用THDBH120）获得降糖和减重Ib期临床试验积极的顶线结果，减重适应症II期临床试验已完成受试者入组，临床观察正在顺利进行。THDBH120降糖适应症Ib期临床数据显示，受试者6周内HbA1c平均降低1.38%；减重适应症Ib期临床数据显示，受试者6周内平均减重9.36%，且具备双周给药的潜力，展现出良好的安全性、耐受性及显著的临床优势，公司将进一步探索和挖掘该产品在其他适应症的潜力。</w:t>
          </w:r>
        </w:p>
        <w:p w14:paraId="425B17B1">
          <w:pPr>
            <w:spacing w:line="360" w:lineRule="auto"/>
            <w:ind w:firstLine="420" w:firstLineChars="200"/>
            <w:jc w:val="both"/>
          </w:pPr>
          <w:r>
            <w:rPr>
              <w:rFonts w:hint="eastAsia"/>
            </w:rPr>
            <w:t>除糖尿病外，公司积极开拓发展边界，延伸至痛风/高尿酸血症治疗领域，2025年4月，XO/URAT1双靶点抑制剂（THDBH151片）IIa期临床试验结果达到主要终点目标，目前正开展下一步临床开发工作。2025年1月，痛风化学口服药物依托考昔片获得上市许可，公司业务版图从糖尿病进一步拓宽至更大的内分泌代谢疾病治疗领域。</w:t>
          </w:r>
        </w:p>
        <w:p w14:paraId="0809ACFE">
          <w:pPr>
            <w:spacing w:line="360" w:lineRule="auto"/>
            <w:ind w:firstLine="420" w:firstLineChars="200"/>
            <w:jc w:val="both"/>
          </w:pPr>
          <w:r>
            <w:rPr>
              <w:rFonts w:hint="eastAsia"/>
            </w:rPr>
            <w:t>公司将继续深耕糖尿病及内分泌代谢疾病领域，在保持国内市场优势的基础上，坚持开拓海外市场，加快药品的国际注册和上市步伐，提升公司全球竞争力；同时坚定不移创新转型，持续提升研发实力，在激烈的市场竞争中保持领先地位，为广大患者提供更安全、更有效、更可及的治疗方案。</w:t>
          </w:r>
        </w:p>
      </w:sdtContent>
    </w:sdt>
    <w:p w14:paraId="7F607BA2">
      <w:pPr>
        <w:pStyle w:val="48"/>
      </w:pPr>
    </w:p>
    <w:p w14:paraId="329797E3">
      <w:pPr>
        <w:pStyle w:val="3"/>
        <w:numPr>
          <w:ilvl w:val="0"/>
          <w:numId w:val="7"/>
        </w:numPr>
        <w:ind w:left="369" w:hanging="369" w:hangingChars="175"/>
      </w:pPr>
      <w:r>
        <w:rPr>
          <w:rFonts w:hint="eastAsia"/>
        </w:rPr>
        <w:t>经营情况</w:t>
      </w:r>
      <w:r>
        <w:t>讨论与分析</w:t>
      </w:r>
    </w:p>
    <w:sdt>
      <w:sdtPr>
        <w:rPr>
          <w:rFonts w:hint="eastAsia" w:asciiTheme="minorEastAsia" w:hAnsiTheme="minorEastAsia" w:eastAsiaTheme="minorEastAsia"/>
        </w:rPr>
        <w:alias w:val="管理层讨论与分析"/>
        <w:tag w:val="_GBC_75862f3cb18e486fb20eb44dbcc462a9"/>
        <w:id w:val="-168949537"/>
        <w:placeholder>
          <w:docPart w:val="GBC22222222222222222222222222222"/>
        </w:placeholder>
      </w:sdtPr>
      <w:sdtEndPr>
        <w:rPr>
          <w:rFonts w:hint="eastAsia" w:asciiTheme="minorEastAsia" w:hAnsiTheme="minorEastAsia" w:eastAsiaTheme="minorEastAsia"/>
        </w:rPr>
      </w:sdtEndPr>
      <w:sdtContent>
        <w:sdt>
          <w:sdtPr>
            <w:rPr>
              <w:rFonts w:hint="eastAsia" w:cs="宋体" w:asciiTheme="minorEastAsia" w:hAnsiTheme="minorEastAsia" w:eastAsiaTheme="minorEastAsia"/>
              <w:szCs w:val="24"/>
            </w:rPr>
            <w:alias w:val="管理层讨论与分析"/>
            <w:tag w:val="_GBC_75862f3cb18e486fb20eb44dbcc462a9"/>
            <w:id w:val="-1462338064"/>
            <w:placeholder>
              <w:docPart w:val="BEAC835B411041E1AE463A98650D8EDB"/>
            </w:placeholder>
          </w:sdtPr>
          <w:sdtEndPr>
            <w:rPr>
              <w:rFonts w:hint="eastAsia" w:cs="宋体" w:asciiTheme="minorEastAsia" w:hAnsiTheme="minorEastAsia" w:eastAsiaTheme="minorEastAsia"/>
              <w:szCs w:val="24"/>
              <w:highlight w:val="yellow"/>
            </w:rPr>
          </w:sdtEndPr>
          <w:sdtContent>
            <w:p w14:paraId="5FFB7D51">
              <w:pPr>
                <w:spacing w:line="360" w:lineRule="auto"/>
                <w:ind w:firstLine="480"/>
                <w:jc w:val="both"/>
                <w:rPr>
                  <w:kern w:val="2"/>
                </w:rPr>
              </w:pPr>
              <w:r>
                <w:rPr>
                  <w:rFonts w:hint="eastAsia"/>
                  <w:kern w:val="2"/>
                </w:rPr>
                <w:t>2025年，面对复杂多变的外部环境，公司紧紧围绕整体发展战略，积极部署并落实各项经营应对措施，把握新一轮集采A类中标所带来的发展机遇，迅速推进公司胰岛素系列产品的医院准入，扩大覆盖范围，为产品放量奠定牢固基础，推动公司销售和业绩得以恢复和增长，使公司业绩实现了较大的提升。报告期内，公司把握行业发展变化，继续积极推进创新转型，适应新型市场格局的要求，优化加速研发管线，延伸拓展治疗领域，提升公司核心竞争力，为高质量发展奠定坚实的基础。</w:t>
              </w:r>
            </w:p>
            <w:p w14:paraId="39D05DD3">
              <w:pPr>
                <w:spacing w:line="360" w:lineRule="auto"/>
                <w:ind w:firstLine="480"/>
                <w:jc w:val="both"/>
                <w:rPr>
                  <w:kern w:val="2"/>
                </w:rPr>
              </w:pPr>
              <w:r>
                <w:rPr>
                  <w:rFonts w:hint="eastAsia"/>
                  <w:kern w:val="2"/>
                </w:rPr>
                <w:t>与此同时，公司董事会秉持“创新+国际化”长远发展战略，持续加强业务开拓能力，坚定不移加快公司海外市场拓展与创新药研发，提升公司核心竞争力，为高质量发展奠定坚实的基础。</w:t>
              </w:r>
            </w:p>
            <w:p w14:paraId="06D2E911">
              <w:pPr>
                <w:spacing w:line="360" w:lineRule="auto"/>
                <w:ind w:firstLine="480"/>
                <w:jc w:val="both"/>
                <w:rPr>
                  <w:kern w:val="2"/>
                </w:rPr>
              </w:pPr>
              <w:r>
                <w:rPr>
                  <w:rFonts w:hint="eastAsia"/>
                  <w:kern w:val="2"/>
                </w:rPr>
                <w:t>公司治理方面，公司继续深度优化管理体系，提升公司资源配置，以确保各职能部门协同配合，全面提升管理效能。</w:t>
              </w:r>
            </w:p>
            <w:p w14:paraId="4234FBEC">
              <w:pPr>
                <w:spacing w:line="360" w:lineRule="auto"/>
                <w:ind w:firstLine="480"/>
                <w:jc w:val="both"/>
                <w:rPr>
                  <w:kern w:val="2"/>
                </w:rPr>
              </w:pPr>
              <w:r>
                <w:rPr>
                  <w:rFonts w:hint="eastAsia"/>
                  <w:kern w:val="2"/>
                </w:rPr>
                <w:t>2025年，公司实现营业收入294,722.88万元，比上年同期增长46.66%；实现利润总额147,725.22万元；实现归属于上市公司股东的净利润121,905.29万元；实现归属于上市公司股东的扣除非经常性损益的净利润37,</w:t>
              </w:r>
              <w:r>
                <w:rPr>
                  <w:kern w:val="2"/>
                </w:rPr>
                <w:t>495</w:t>
              </w:r>
              <w:r>
                <w:rPr>
                  <w:rFonts w:hint="eastAsia"/>
                  <w:kern w:val="2"/>
                </w:rPr>
                <w:t>.</w:t>
              </w:r>
              <w:r>
                <w:rPr>
                  <w:kern w:val="2"/>
                </w:rPr>
                <w:t>83</w:t>
              </w:r>
              <w:r>
                <w:rPr>
                  <w:rFonts w:hint="eastAsia"/>
                  <w:kern w:val="2"/>
                </w:rPr>
                <w:t>万元。公司经营业绩实现扭亏为盈，业绩大幅回升。</w:t>
              </w:r>
            </w:p>
            <w:p w14:paraId="65C2C816">
              <w:pPr>
                <w:spacing w:line="360" w:lineRule="auto"/>
                <w:ind w:firstLine="480"/>
                <w:jc w:val="both"/>
                <w:rPr>
                  <w:rFonts w:asciiTheme="minorEastAsia" w:hAnsiTheme="minorEastAsia" w:eastAsiaTheme="minorEastAsia"/>
                  <w:kern w:val="2"/>
                </w:rPr>
              </w:pPr>
              <w:r>
                <w:rPr>
                  <w:rFonts w:asciiTheme="minorEastAsia" w:hAnsiTheme="minorEastAsia" w:eastAsiaTheme="minorEastAsia"/>
                  <w:kern w:val="2"/>
                </w:rPr>
                <w:t>2025年，公司主要完成和重点推进了以下工作：</w:t>
              </w:r>
            </w:p>
            <w:p w14:paraId="5A107A10">
              <w:pPr>
                <w:spacing w:line="360" w:lineRule="auto"/>
                <w:ind w:firstLine="422" w:firstLineChars="200"/>
                <w:jc w:val="both"/>
                <w:rPr>
                  <w:rFonts w:ascii="宋体" w:hAnsi="宋体"/>
                  <w:b/>
                  <w:kern w:val="2"/>
                </w:rPr>
              </w:pPr>
              <w:r>
                <w:rPr>
                  <w:rFonts w:hint="eastAsia" w:ascii="宋体" w:hAnsi="宋体"/>
                  <w:b/>
                  <w:kern w:val="2"/>
                </w:rPr>
                <w:t>（一）深化学术引领,不断优化产品结构，全方位拓展销售渠道</w:t>
              </w:r>
            </w:p>
            <w:p w14:paraId="15992335">
              <w:pPr>
                <w:spacing w:line="360" w:lineRule="auto"/>
                <w:ind w:firstLine="420" w:firstLineChars="200"/>
                <w:jc w:val="both"/>
                <w:rPr>
                  <w:rFonts w:ascii="宋体" w:hAnsi="宋体"/>
                  <w:kern w:val="2"/>
                </w:rPr>
              </w:pPr>
              <w:r>
                <w:rPr>
                  <w:rFonts w:hint="eastAsia" w:ascii="宋体" w:hAnsi="宋体"/>
                  <w:kern w:val="2"/>
                </w:rPr>
                <w:t>公司不断强化营销队伍的组织建设，提升专业化水平，持续优化产品结构，夯实基层医院覆盖的广度和深度。公司紧紧把握国家胰岛素集采（专项接续）A类中标的政策机遇，全面推进“保量拓增”策略，在确保约4,500万支协议量执行的基础上，重点突破零售终端与空白区域市场，全力开拓集采标外增量空间。报告期内，公司积极开展各项市场营销与多形式学术推广工作，加强与大型三甲医院的开发和合作，促进产品销售量提升。公司围绕工作重点，秉持以患者为中心，以学术为基石的理念，开展多场次的线上、线下学术活动，东宝学糖、基层糖尿病管理赋能项目、医药聚力项目等，增加基层医师病案讨论会和典型病例会诊的学术讨论，不断提高基层医生的诊疗水平，对企业形象和产品品牌宣传起到了良好的效果。继续通过白求恩基层行项目、北京中关村精准医学基金会合作开展的公益性学术等项目，加强与省市级专家的交流，打通了省、市（县）、基层（乡镇、社区）与三甲医院的学术交流通道，通过点对点帮扶，赋能基层医院，不断助力提升基层医师的诊疗水平和药物应用规范。通过专业化的学术交流、公益活动与品牌宣传，传递公司产品核心信息，推广慢病疾病用药理念，进一步提升医生、患者对公司产品的认知度及公司品牌形象，有效传递了通化东宝在糖尿病治疗领域专业声音。同时，也为未来上市的其他产品做好市场开拓的铺垫工作。</w:t>
              </w:r>
            </w:p>
            <w:p w14:paraId="67469762">
              <w:pPr>
                <w:spacing w:line="360" w:lineRule="auto"/>
                <w:ind w:firstLine="420" w:firstLineChars="200"/>
                <w:jc w:val="both"/>
                <w:rPr>
                  <w:rFonts w:ascii="宋体" w:hAnsi="宋体"/>
                  <w:kern w:val="2"/>
                </w:rPr>
              </w:pPr>
              <w:r>
                <w:rPr>
                  <w:rFonts w:hint="eastAsia" w:ascii="宋体" w:hAnsi="宋体"/>
                  <w:kern w:val="2"/>
                </w:rPr>
                <w:t>根据医药魔方胰岛素销量数据，2025年公司人胰岛素市场份额45%以上，稳居行业第一；甘精胰岛素市场份额超15%；门冬胰岛素系列正处于快速放量过程中，已成为公司新的业绩增长动力。</w:t>
              </w:r>
            </w:p>
            <w:p w14:paraId="582EA0E3">
              <w:pPr>
                <w:spacing w:line="360" w:lineRule="auto"/>
                <w:ind w:firstLine="420" w:firstLineChars="200"/>
                <w:jc w:val="both"/>
                <w:rPr>
                  <w:rFonts w:ascii="宋体" w:hAnsi="宋体"/>
                  <w:kern w:val="2"/>
                </w:rPr>
              </w:pPr>
              <w:r>
                <w:rPr>
                  <w:rFonts w:hint="eastAsia" w:ascii="宋体" w:hAnsi="宋体"/>
                  <w:kern w:val="2"/>
                </w:rPr>
                <w:t>公司其他新品与胰岛素产品形成产品梯队，逐步放量助力增长，并赋能基层医疗。2025年是GLP-1受体激动剂利拉鲁肽注射液（注册商标：统博力）全面推进的一年。部分县级医院对利拉鲁肽的使用需进一步规范和提升。针对利拉鲁肽产品，在全国范围开展了培训会、病例讨论会、学习班、专家巡讲、专家下基层等学术活动约500场。这些活动通过上下联动的形式，传递糖尿病糖心肾综合管理的治疗理念，推进GLP-1RA规范化应用信息，分享成熟的用药经验，助力提升基层医师的诊疗水平，推进产品在不同层级医院的规范化应用。</w:t>
              </w:r>
            </w:p>
            <w:p w14:paraId="6838EA12">
              <w:pPr>
                <w:spacing w:line="360" w:lineRule="auto"/>
                <w:ind w:firstLine="420" w:firstLineChars="200"/>
                <w:jc w:val="both"/>
                <w:rPr>
                  <w:rFonts w:ascii="宋体" w:hAnsi="宋体"/>
                  <w:kern w:val="2"/>
                </w:rPr>
              </w:pPr>
              <w:r>
                <w:rPr>
                  <w:rFonts w:hint="eastAsia" w:ascii="宋体" w:hAnsi="宋体"/>
                  <w:kern w:val="2"/>
                </w:rPr>
                <w:t>新型口服降糖药SGLT-2抑制剂恩格列净片（注册商标：唐捷恩）和DPP-4抑制剂磷酸西格列汀片（注册商标：唐捷安）也正逐步放量。公司通过举办多种形式的学术活动，加强市场推广力度，旨在通过这些学术活动，提升品牌知名度，深化市场对产品的认知，从而有效提高市场渗透率和接受度，并有效加快产品的市场准入和销售放量。</w:t>
              </w:r>
            </w:p>
            <w:p w14:paraId="4ADECA9D">
              <w:pPr>
                <w:spacing w:line="360" w:lineRule="auto"/>
                <w:ind w:firstLine="420" w:firstLineChars="200"/>
                <w:jc w:val="both"/>
                <w:rPr>
                  <w:rFonts w:ascii="宋体" w:hAnsi="宋体"/>
                  <w:kern w:val="2"/>
                  <w:highlight w:val="yellow"/>
                </w:rPr>
              </w:pPr>
              <w:r>
                <w:rPr>
                  <w:rFonts w:hint="eastAsia" w:ascii="宋体" w:hAnsi="宋体"/>
                  <w:kern w:val="2"/>
                </w:rPr>
                <w:t>此外，公司持续推进糖尿病全病程一体化管理平台及POCT项目（床旁血糖检测系统）的建设，打通院内外患者管理壁垒，实现了患者从入院到出院的闭环血糖管理目标。提升患者的粘性，为公司产品在院内院外的同步推广创造了协同效应。同时公司引进新款的胰岛素注射针，进一步完善产品矩阵，更好服务于糖尿病患者。</w:t>
              </w:r>
            </w:p>
            <w:p w14:paraId="6F5551C4">
              <w:pPr>
                <w:spacing w:line="360" w:lineRule="auto"/>
                <w:ind w:firstLine="422" w:firstLineChars="200"/>
                <w:jc w:val="both"/>
                <w:rPr>
                  <w:rFonts w:ascii="宋体" w:hAnsi="宋体" w:cs="宋体"/>
                  <w:b/>
                </w:rPr>
              </w:pPr>
              <w:r>
                <w:rPr>
                  <w:rFonts w:hint="eastAsia" w:ascii="宋体" w:hAnsi="宋体" w:cs="宋体"/>
                  <w:b/>
                </w:rPr>
                <w:t>（二）聚焦内分泌代谢，拓展治疗领域，挖掘多适应症潜力</w:t>
              </w:r>
            </w:p>
            <w:p w14:paraId="12BA0841">
              <w:pPr>
                <w:spacing w:line="360" w:lineRule="auto"/>
                <w:ind w:firstLine="420" w:firstLineChars="200"/>
                <w:jc w:val="both"/>
                <w:rPr>
                  <w:rFonts w:ascii="宋体" w:hAnsi="宋体" w:cs="宋体"/>
                </w:rPr>
              </w:pPr>
              <w:r>
                <w:rPr>
                  <w:rFonts w:hint="eastAsia" w:ascii="宋体" w:hAnsi="宋体" w:cs="宋体"/>
                </w:rPr>
                <w:t>公司始终秉承着“坚持自主创新，创造世界品牌”的发展理念，并为成为“内分泌领域创新医药研发的探索者和引领者”而不懈奋斗。近年来，公司持续拓宽内分泌代谢治疗领域的研发边界，目前已将治疗领域由糖尿病拓展至减重、痛风/高尿酸血症等领域，公司积极推进创新药研发进程。</w:t>
              </w:r>
            </w:p>
            <w:p w14:paraId="1A24B107">
              <w:pPr>
                <w:spacing w:line="360" w:lineRule="auto"/>
                <w:ind w:firstLine="422" w:firstLineChars="200"/>
                <w:jc w:val="both"/>
                <w:rPr>
                  <w:rFonts w:ascii="宋体" w:hAnsi="宋体" w:cs="宋体"/>
                  <w:b/>
                </w:rPr>
              </w:pPr>
              <w:r>
                <w:rPr>
                  <w:rFonts w:hint="eastAsia" w:ascii="宋体" w:hAnsi="宋体" w:cs="宋体"/>
                  <w:b/>
                </w:rPr>
                <w:t>1、GLP-1受体激动剂创新药：THDBH120/注射用THDBH120、THDBH110/THDBH110胶囊</w:t>
              </w:r>
            </w:p>
            <w:p w14:paraId="426103F3">
              <w:pPr>
                <w:spacing w:line="360" w:lineRule="auto"/>
                <w:ind w:firstLine="420" w:firstLineChars="200"/>
                <w:jc w:val="both"/>
                <w:rPr>
                  <w:rFonts w:ascii="宋体" w:hAnsi="宋体" w:cs="宋体"/>
                </w:rPr>
              </w:pPr>
              <w:r>
                <w:rPr>
                  <w:rFonts w:hint="eastAsia" w:ascii="宋体" w:hAnsi="宋体" w:cs="宋体"/>
                </w:rPr>
                <w:t>2021年3月通过合作开发、技术转让等方式引入糖尿病治疗领域的一类新药：GLP-1/GIP双靶点激动剂THDBH120/注射用THDBH120、口服小分子GLP-1受体激动剂THDBH110/THDBH110胶囊。</w:t>
              </w:r>
            </w:p>
            <w:p w14:paraId="44D49FC1">
              <w:pPr>
                <w:spacing w:line="360" w:lineRule="auto"/>
                <w:ind w:firstLine="420" w:firstLineChars="200"/>
                <w:jc w:val="both"/>
                <w:rPr>
                  <w:rFonts w:ascii="宋体" w:hAnsi="宋体" w:cs="宋体"/>
                </w:rPr>
              </w:pPr>
              <w:r>
                <w:rPr>
                  <w:rFonts w:hint="eastAsia" w:ascii="宋体" w:hAnsi="宋体" w:cs="宋体"/>
                </w:rPr>
                <w:t>THDBH120/注射用THDBH120是胰高血糖素样肽-1（GLP-1）受体和葡萄糖促胰岛素分泌多肽（GIP）受体双靶点激动剂，其将GLP-1和GIP这两种促胰岛素的作用整合至一个多肽单分子中，且通过分子设计进一步提高代谢稳定性，具有协同促进血糖控制、体重减轻以及调节脂质代谢等功能，满足单一分子靶点或复方制剂治疗效果不佳的糖尿病患者的临床需求，有望成为更长效的治疗糖尿病和肥胖的重磅药物。</w:t>
              </w:r>
            </w:p>
            <w:p w14:paraId="3680CCF7">
              <w:pPr>
                <w:spacing w:line="360" w:lineRule="auto"/>
                <w:ind w:firstLine="420" w:firstLineChars="200"/>
                <w:jc w:val="both"/>
                <w:rPr>
                  <w:rFonts w:ascii="宋体" w:hAnsi="宋体" w:cs="宋体"/>
                </w:rPr>
              </w:pPr>
              <w:r>
                <w:rPr>
                  <w:rFonts w:hint="eastAsia" w:ascii="宋体" w:hAnsi="宋体" w:cs="宋体"/>
                </w:rPr>
                <w:t>该产品在2023年12月获得国家药监局签发的降糖适应症药物临床试验批准通知书并于当月完成Ⅰa期临床试验首例受试者给药，2024年4月又获得国家药监局签发的减重适应症药物临床试验批准通知书。随着Ia期临床试验的顺利开展，2024年6月完成了降糖适应症Ⅰb期首例患者给药，并于2024年7月又完成了减重适应症Ⅰb期首例患者给药。2024年12月，获得Ia期临床试验总结报告。2025年2月，获得降糖和减重Ib期临床试验积极的顶线结果，2025年1月，减重适应症II期临床试验完成首例患者给药，2025年8月完成全部病例入组，目前处于病例访视阶段，显示出良好的安全、耐受性和积极的疗效趋势。该项目早期临床开发的历程，体现出研发工作聚焦、提速、增效的良好态势。</w:t>
              </w:r>
            </w:p>
            <w:p w14:paraId="18F9F0E2">
              <w:pPr>
                <w:spacing w:line="360" w:lineRule="auto"/>
                <w:ind w:firstLine="420" w:firstLineChars="200"/>
                <w:jc w:val="both"/>
                <w:rPr>
                  <w:rFonts w:ascii="宋体" w:hAnsi="宋体" w:cs="宋体"/>
                </w:rPr>
              </w:pPr>
              <w:r>
                <w:rPr>
                  <w:rFonts w:hint="eastAsia" w:ascii="宋体" w:hAnsi="宋体" w:cs="宋体"/>
                </w:rPr>
                <w:t>THDBH110分子是一种口服非肽类、小分子GLP-1受体激动剂。临床前研究结果显示，THDBH110胶囊生物利用度高，表现出较好的降糖减重性能。该品种将在降糖、减重以及降低心血管风险等方面为2型糖尿病患者和肥胖患者提供全新的选择，同时能够有效提升患者用药便利性与依从性。</w:t>
              </w:r>
            </w:p>
            <w:p w14:paraId="5D8A251C">
              <w:pPr>
                <w:spacing w:line="360" w:lineRule="auto"/>
                <w:ind w:firstLine="420" w:firstLineChars="200"/>
                <w:jc w:val="both"/>
                <w:rPr>
                  <w:rFonts w:ascii="宋体" w:hAnsi="宋体" w:cs="宋体"/>
                </w:rPr>
              </w:pPr>
              <w:r>
                <w:rPr>
                  <w:rFonts w:hint="eastAsia" w:ascii="宋体" w:hAnsi="宋体" w:cs="宋体"/>
                </w:rPr>
                <w:t>该产品在2023年11月获得国家药监局签发的关于口服小分子GLP-1受体激动剂（THDBH110胶囊）药物临床试验批准通知书，并于2023年12月完成Ⅰa期临床试验首例受试者入组，Ia期临床已经顺利完成给药观察，正在进行数据分析和试验总结工作，并策划下一步的临床开发工作。</w:t>
              </w:r>
            </w:p>
            <w:p w14:paraId="3578D4E2">
              <w:pPr>
                <w:spacing w:line="360" w:lineRule="auto"/>
                <w:ind w:firstLine="422" w:firstLineChars="200"/>
                <w:jc w:val="both"/>
                <w:rPr>
                  <w:rFonts w:ascii="宋体" w:hAnsi="宋体" w:cs="宋体"/>
                  <w:b/>
                </w:rPr>
              </w:pPr>
              <w:r>
                <w:rPr>
                  <w:rFonts w:hint="eastAsia" w:ascii="宋体" w:hAnsi="宋体" w:cs="宋体"/>
                  <w:b/>
                </w:rPr>
                <w:t>2、GLP-1受体激动剂类相关品种：THDB0225注射液、德谷胰岛素利拉鲁肽注射液</w:t>
              </w:r>
            </w:p>
            <w:p w14:paraId="61018E8D">
              <w:pPr>
                <w:spacing w:line="360" w:lineRule="auto"/>
                <w:ind w:firstLine="420" w:firstLineChars="200"/>
                <w:jc w:val="both"/>
                <w:rPr>
                  <w:rFonts w:ascii="宋体" w:hAnsi="宋体" w:cs="宋体"/>
                </w:rPr>
              </w:pPr>
              <w:r>
                <w:rPr>
                  <w:rFonts w:hint="eastAsia" w:ascii="宋体" w:hAnsi="宋体" w:cs="宋体"/>
                </w:rPr>
                <w:t>THDB0225注射液（曾用名：ZT001注射液）属于司美格鲁肽（Semaglutide），是一种长效GLP-1（胰高血糖素样肽-1）类似物。GLP-1药物通过模拟人体内GLP-1的作用，不仅能有效降低血糖水平，还具有减重效果，以及在其他心肾代谢类慢性疾病中也展现出诸多潜在治疗价值。</w:t>
              </w:r>
            </w:p>
            <w:p w14:paraId="790EBD9D">
              <w:pPr>
                <w:spacing w:line="360" w:lineRule="auto"/>
                <w:ind w:firstLine="420" w:firstLineChars="200"/>
                <w:jc w:val="both"/>
                <w:rPr>
                  <w:rFonts w:ascii="宋体" w:hAnsi="宋体" w:cs="宋体"/>
                </w:rPr>
              </w:pPr>
              <w:r>
                <w:rPr>
                  <w:rFonts w:hint="eastAsia" w:ascii="宋体" w:hAnsi="宋体" w:cs="宋体"/>
                </w:rPr>
                <w:t>2024年5月，公司与质肽生物关于GLP-1产品司美格鲁肽注射液签署了《商业化授权及MAH合作协议》。根据协议约定，公司将获得质肽生物临床在研产品ZT001司美格鲁肽注射液（适应症：成人2型糖尿病，现用名：THDB0225注射液）中国大陆地区独占商业化权益，以及共同合作开发海外市场权利。</w:t>
              </w:r>
            </w:p>
            <w:p w14:paraId="00EA230D">
              <w:pPr>
                <w:spacing w:line="360" w:lineRule="auto"/>
                <w:ind w:firstLine="420" w:firstLineChars="200"/>
                <w:jc w:val="both"/>
                <w:rPr>
                  <w:rFonts w:ascii="宋体" w:hAnsi="宋体" w:cs="宋体"/>
                </w:rPr>
              </w:pPr>
              <w:r>
                <w:rPr>
                  <w:rFonts w:hint="eastAsia" w:ascii="宋体" w:hAnsi="宋体" w:cs="宋体"/>
                </w:rPr>
                <w:t>THDB0225注射液在中国大陆地区已完成I期临床试验，试验结果显示THDB0225注射液和对照药诺和泰®具有生物等效性，在安全性方面未发现具有临床意义且与研究药物相关的变化或趋势，未发现非预期的安全性风险。公司与质肽生物签署协议后，即刻启动中国III期临床试验，继2024年7月成功完成首例患者给药，并于2024年10月顺利完成末例患者入选，2025年6月顺利完成所有受试者的末次给药访视，2025年10月完成数据库锁定，2026年2月完成临床试验总结报告，2026年2月13日提交Pre-NDA申请，正在准备NDA申请相关资料。彰显了公司对该赛道重磅生物类似药产品研发和商业化的前瞻布局与快速推进。</w:t>
              </w:r>
            </w:p>
            <w:p w14:paraId="7EE71C46">
              <w:pPr>
                <w:spacing w:line="360" w:lineRule="auto"/>
                <w:ind w:firstLine="420" w:firstLineChars="200"/>
                <w:jc w:val="both"/>
                <w:rPr>
                  <w:rFonts w:ascii="宋体" w:hAnsi="宋体" w:cs="宋体"/>
                </w:rPr>
              </w:pPr>
              <w:r>
                <w:rPr>
                  <w:rFonts w:hint="eastAsia" w:ascii="宋体" w:hAnsi="宋体" w:cs="宋体"/>
                </w:rPr>
                <w:t>德谷胰岛素利拉鲁肽注射液是一种胰岛素类似物 GLP-1RA 复方制剂。胰岛素类似物和 GLP-1 受体激动剂互为补充靶向，作用于Ⅱ型糖尿病发病机制，相较于其单组份胰岛素类似物和 GLP-1 受体激动剂，两者构成的新药组合会为患者带来更多临床获益。德谷胰岛素利拉鲁肽注射液是全球首个上市的胰岛素类似物 GLP-1RA 复方制剂，突破性融合了两种药物的双组分优势，调节葡萄糖稳态。</w:t>
              </w:r>
            </w:p>
            <w:p w14:paraId="538129B4">
              <w:pPr>
                <w:spacing w:line="360" w:lineRule="auto"/>
                <w:ind w:firstLine="420" w:firstLineChars="200"/>
                <w:jc w:val="both"/>
                <w:rPr>
                  <w:rFonts w:ascii="宋体" w:hAnsi="宋体" w:cs="宋体"/>
                </w:rPr>
              </w:pPr>
              <w:r>
                <w:rPr>
                  <w:rFonts w:hint="eastAsia" w:ascii="宋体" w:hAnsi="宋体" w:cs="宋体"/>
                </w:rPr>
                <w:t>德谷胰岛素利拉鲁肽注射液于2024年4月获得国家药监局签发的药物临床试验批准通知书，2024年5月Ⅰ期临床试验完成首例受试者给药，2024年11月Ⅰ期临床试验获得总结报告。2025年3月完成III期临床试验首例患者给药，2025年12月完成全部病例入组，目前临床观察正在顺利进行。</w:t>
              </w:r>
            </w:p>
            <w:p w14:paraId="4414B2DE">
              <w:pPr>
                <w:spacing w:line="360" w:lineRule="auto"/>
                <w:ind w:firstLine="422" w:firstLineChars="200"/>
                <w:jc w:val="both"/>
                <w:rPr>
                  <w:rFonts w:ascii="宋体" w:hAnsi="宋体" w:cs="宋体"/>
                  <w:b/>
                </w:rPr>
              </w:pPr>
              <w:r>
                <w:rPr>
                  <w:rFonts w:hint="eastAsia" w:ascii="宋体" w:hAnsi="宋体" w:cs="宋体"/>
                  <w:b/>
                </w:rPr>
                <w:t>3、胰岛素类似物品种：THDB0206、赖脯胰岛素注射液 25R</w:t>
              </w:r>
            </w:p>
            <w:p w14:paraId="1605FD88">
              <w:pPr>
                <w:spacing w:line="360" w:lineRule="auto"/>
                <w:ind w:firstLine="420" w:firstLineChars="200"/>
                <w:jc w:val="both"/>
                <w:rPr>
                  <w:rFonts w:ascii="宋体" w:hAnsi="宋体" w:cs="宋体"/>
                </w:rPr>
              </w:pPr>
              <w:r>
                <w:rPr>
                  <w:rFonts w:hint="eastAsia" w:ascii="宋体" w:hAnsi="宋体" w:cs="宋体"/>
                </w:rPr>
                <w:t>THDB0206（超速效赖脯胰岛素注射液），继2022年5月完成Ⅲ期临床试验首例患者给药后，已于2024年7月完成末例患者入选，目前所有病例的给药和临床观察均已顺利结束，2025年9月完成数据库锁定，目前T2DM和T1DM两个适应症的III期试验均已完成总结报告，正在准备NDA申请相关资料。</w:t>
              </w:r>
            </w:p>
            <w:p w14:paraId="4392E88D">
              <w:pPr>
                <w:spacing w:line="360" w:lineRule="auto"/>
                <w:ind w:firstLine="420" w:firstLineChars="200"/>
                <w:jc w:val="both"/>
                <w:rPr>
                  <w:rFonts w:ascii="宋体" w:hAnsi="宋体" w:cs="宋体"/>
                </w:rPr>
              </w:pPr>
              <w:r>
                <w:rPr>
                  <w:rFonts w:hint="eastAsia" w:ascii="宋体" w:hAnsi="宋体" w:cs="宋体"/>
                </w:rPr>
                <w:t>精蛋白锌重组赖脯胰岛素混合注射液（25R）于2024年3月获得Ⅲ期临床试验总结报告，2024年7月完成上市许可申请前会议（Pre-NDA），目前处于准备上市许可申请（NDA）申报资料阶段。</w:t>
              </w:r>
            </w:p>
            <w:p w14:paraId="735E8B9D">
              <w:pPr>
                <w:spacing w:line="360" w:lineRule="auto"/>
                <w:ind w:firstLine="422" w:firstLineChars="200"/>
                <w:jc w:val="both"/>
                <w:rPr>
                  <w:rFonts w:ascii="宋体" w:hAnsi="宋体" w:cs="宋体"/>
                  <w:b/>
                </w:rPr>
              </w:pPr>
              <w:r>
                <w:rPr>
                  <w:rFonts w:hint="eastAsia" w:ascii="宋体" w:hAnsi="宋体" w:cs="宋体"/>
                  <w:b/>
                </w:rPr>
                <w:t>4、痛风病治疗领域创新药及相关品种：THDBH150/THDBH151片、依托考昔片</w:t>
              </w:r>
            </w:p>
            <w:p w14:paraId="47507531">
              <w:pPr>
                <w:spacing w:line="360" w:lineRule="auto"/>
                <w:ind w:firstLine="420" w:firstLineChars="200"/>
                <w:jc w:val="both"/>
                <w:rPr>
                  <w:rFonts w:ascii="宋体" w:hAnsi="宋体" w:cs="宋体"/>
                </w:rPr>
              </w:pPr>
              <w:r>
                <w:rPr>
                  <w:rFonts w:hint="eastAsia" w:ascii="宋体" w:hAnsi="宋体" w:cs="宋体"/>
                </w:rPr>
                <w:t>2021年7月，公司布局痛风/高尿酸血症治疗领域的一类新药（THDBH150/THDBH151片）。THDBH150/ THDBH151片是痛风双靶点抑制剂，因其在机制上的特殊优势，既能抑制黄嘌呤氧化酶（XO），从源头上减少尿酸的产生，也可抑制肾小管URAT1转运体对尿酸重吸收，加快尿酸排出。此外，THDBH150/THDBH151片通过平衡好XO/URAT1在降尿酸中的作用，在提高药效的同时降低副作用，大幅提高患者依从性。</w:t>
              </w:r>
            </w:p>
            <w:p w14:paraId="7F4946F8">
              <w:pPr>
                <w:spacing w:line="360" w:lineRule="auto"/>
                <w:ind w:firstLine="420" w:firstLineChars="200"/>
                <w:jc w:val="both"/>
                <w:rPr>
                  <w:rFonts w:ascii="宋体" w:hAnsi="宋体" w:cs="宋体"/>
                </w:rPr>
              </w:pPr>
              <w:r>
                <w:rPr>
                  <w:rFonts w:hint="eastAsia" w:ascii="宋体" w:hAnsi="宋体" w:cs="宋体"/>
                </w:rPr>
                <w:t>该产品于2024年2月完成Ⅰ期临床试验总结报告，显示出良好的安全性和耐受性，且在两个靶点的协同作用下可以显著的降低健康受试者的血清尿酸水平，量效关系明确。2024年5月，Ⅱa期临床试验完成首例患者给药，2024年8月完成末例患者入选，2024年11月顺利进行数据库锁定，2025年4月获得IIa期临床试验总结报告，研究结果显示达到主要终点目标。目前正在推进下一步的临床开发工作。</w:t>
              </w:r>
            </w:p>
            <w:p w14:paraId="2B890B6C">
              <w:pPr>
                <w:spacing w:line="360" w:lineRule="auto"/>
                <w:ind w:firstLine="420" w:firstLineChars="200"/>
                <w:jc w:val="both"/>
                <w:rPr>
                  <w:rFonts w:ascii="宋体" w:hAnsi="宋体" w:cs="宋体"/>
                </w:rPr>
              </w:pPr>
              <w:r>
                <w:rPr>
                  <w:rFonts w:hint="eastAsia" w:ascii="宋体" w:hAnsi="宋体" w:cs="宋体"/>
                </w:rPr>
                <w:t>此外，公司还进行了痛风治疗领域化学口服药物依托考昔片的研发，该产品是最新一代的选择性环氧化酶-2（COX-2）抑制剂，具有抗炎、镇痛和解热作用，胃肠道不良反应较小。主要用于治疗骨关节炎急性期和慢性期的症状和体征、治疗急性痛风性关节炎、治疗原发性痛经。2025年1月获得上市许可。</w:t>
              </w:r>
            </w:p>
            <w:p w14:paraId="1990C459">
              <w:pPr>
                <w:widowControl w:val="0"/>
                <w:spacing w:line="360" w:lineRule="auto"/>
                <w:ind w:firstLine="480"/>
                <w:jc w:val="both"/>
                <w:rPr>
                  <w:b/>
                  <w:kern w:val="2"/>
                </w:rPr>
              </w:pPr>
              <w:r>
                <w:rPr>
                  <w:rFonts w:hint="eastAsia" w:ascii="宋体" w:hAnsi="宋体"/>
                  <w:b/>
                  <w:kern w:val="2"/>
                </w:rPr>
                <w:t>（</w:t>
              </w:r>
              <w:r>
                <w:rPr>
                  <w:rFonts w:hint="eastAsia" w:ascii="宋体" w:hAnsi="宋体"/>
                  <w:b/>
                  <w:kern w:val="2"/>
                  <w:lang w:val="en-US" w:eastAsia="zh-CN"/>
                </w:rPr>
                <w:t>三</w:t>
              </w:r>
              <w:r>
                <w:rPr>
                  <w:rFonts w:hint="eastAsia" w:ascii="宋体" w:hAnsi="宋体"/>
                  <w:b/>
                  <w:kern w:val="2"/>
                </w:rPr>
                <w:t>）国际化战略稳步推进，持续扩大产品海外布局</w:t>
              </w:r>
            </w:p>
            <w:p w14:paraId="1B9B1A4E">
              <w:pPr>
                <w:spacing w:line="360" w:lineRule="auto"/>
                <w:ind w:firstLine="420" w:firstLineChars="200"/>
                <w:jc w:val="both"/>
                <w:rPr>
                  <w:rFonts w:ascii="宋体" w:hAnsi="宋体" w:cs="宋体"/>
                </w:rPr>
              </w:pPr>
              <w:r>
                <w:rPr>
                  <w:rFonts w:hint="eastAsia" w:ascii="宋体" w:hAnsi="宋体" w:cs="宋体"/>
                </w:rPr>
                <w:t>公司加速推进多款产品的海外商业化进程，依托稳定可靠的产品质量和不断丰富的产品体系，积极拓展国际市场。2025年海外市场实现收入2.03亿元，同比增长97%。</w:t>
              </w:r>
            </w:p>
            <w:p w14:paraId="7AD1B58B">
              <w:pPr>
                <w:spacing w:line="360" w:lineRule="auto"/>
                <w:ind w:firstLine="420" w:firstLineChars="200"/>
                <w:jc w:val="both"/>
                <w:rPr>
                  <w:rFonts w:ascii="宋体" w:hAnsi="宋体" w:cs="宋体"/>
                </w:rPr>
              </w:pPr>
              <w:r>
                <w:rPr>
                  <w:rFonts w:hint="eastAsia" w:ascii="宋体" w:hAnsi="宋体" w:cs="宋体"/>
                </w:rPr>
                <w:t>胰岛素产品方面，公司已与健友股份达成战略合作，共同进军美国胰岛素市场，其中门冬胰岛素美国BLA获FDA受理，目前处于官方申报审评阶段；门冬胰岛素欧盟MAA获EMA受理，在印度尼西亚、多米尼加获批上市；甘精胰岛素在缅甸获批上市；公司人胰岛素原料药的生产设施已通过欧洲药品管理局(EMA)现场检查，符合欧盟GMP法规的要求，具备欧盟商业化生产条件；人胰岛素混合注射液（30R）在乌兹别克斯坦获批上市、精蛋白人胰岛素注射液在尼加拉瓜获批上市，人胰岛素注射液系列产品获得马来西亚GMP证书。</w:t>
              </w:r>
            </w:p>
            <w:p w14:paraId="4B42B3A4">
              <w:pPr>
                <w:spacing w:line="360" w:lineRule="auto"/>
                <w:ind w:firstLine="420" w:firstLineChars="200"/>
                <w:jc w:val="both"/>
                <w:rPr>
                  <w:color w:val="000000"/>
                  <w:kern w:val="2"/>
                  <w:shd w:val="clear" w:color="auto" w:fill="F1F1F1"/>
                </w:rPr>
              </w:pPr>
              <w:r>
                <w:rPr>
                  <w:rFonts w:hint="eastAsia" w:ascii="宋体" w:hAnsi="宋体" w:cs="宋体"/>
                </w:rPr>
                <w:t>GLP-1产品方面，公司利拉鲁肽注射液国内已获批上市，并与科兴制药合作加快推动其在海外17个新兴市场的注册和申报进程，目前已完成多个国家的注册申请文件提交，并已接受其中埃及卫生部GMP现场审计、通过巴西GMP现场审计、获哥伦比亚GMP证书，成功在秘鲁获批上市，为公司开拓海外市场奠定了坚实基础。</w:t>
              </w:r>
            </w:p>
            <w:p w14:paraId="48426E75">
              <w:pPr>
                <w:widowControl w:val="0"/>
                <w:spacing w:line="360" w:lineRule="auto"/>
                <w:ind w:firstLine="480"/>
                <w:jc w:val="both"/>
                <w:rPr>
                  <w:b/>
                  <w:color w:val="000000"/>
                  <w:kern w:val="2"/>
                </w:rPr>
              </w:pPr>
              <w:r>
                <w:rPr>
                  <w:rFonts w:ascii="宋体" w:hAnsi="宋体"/>
                  <w:b/>
                  <w:color w:val="000000"/>
                  <w:kern w:val="2"/>
                </w:rPr>
                <w:t>（</w:t>
              </w:r>
              <w:r>
                <w:rPr>
                  <w:rFonts w:hint="eastAsia" w:ascii="宋体" w:hAnsi="宋体"/>
                  <w:b/>
                  <w:color w:val="000000"/>
                  <w:kern w:val="2"/>
                  <w:lang w:val="en-US" w:eastAsia="zh-CN"/>
                </w:rPr>
                <w:t>四</w:t>
              </w:r>
              <w:r>
                <w:rPr>
                  <w:rFonts w:ascii="宋体" w:hAnsi="宋体"/>
                  <w:b/>
                  <w:color w:val="000000"/>
                  <w:kern w:val="2"/>
                </w:rPr>
                <w:t>）</w:t>
              </w:r>
              <w:r>
                <w:rPr>
                  <w:rFonts w:hint="eastAsia" w:ascii="宋体" w:hAnsi="宋体"/>
                  <w:b/>
                  <w:color w:val="000000"/>
                  <w:kern w:val="2"/>
                </w:rPr>
                <w:t>深化运营管理与数智化转型，全面提升管理效能</w:t>
              </w:r>
            </w:p>
            <w:p w14:paraId="3A17A3E1">
              <w:pPr>
                <w:widowControl w:val="0"/>
                <w:spacing w:line="360" w:lineRule="auto"/>
                <w:ind w:firstLine="480"/>
                <w:jc w:val="both"/>
                <w:rPr>
                  <w:rFonts w:ascii="宋体" w:hAnsi="宋体"/>
                  <w:color w:val="000000"/>
                  <w:kern w:val="2"/>
                </w:rPr>
              </w:pPr>
              <w:r>
                <w:rPr>
                  <w:rFonts w:hint="eastAsia" w:ascii="宋体" w:hAnsi="宋体"/>
                  <w:color w:val="000000"/>
                  <w:kern w:val="2"/>
                </w:rPr>
                <w:t>公司持续优化管理架构，提升公司管理效能，通过构建战略与经营管理体系，加强数智化建设和流程管理，增强各部门协同工作效率，为公司发展提供有力保障。</w:t>
              </w:r>
            </w:p>
            <w:p w14:paraId="5920DD30">
              <w:pPr>
                <w:widowControl w:val="0"/>
                <w:spacing w:line="360" w:lineRule="auto"/>
                <w:ind w:firstLine="480"/>
                <w:jc w:val="both"/>
                <w:rPr>
                  <w:kern w:val="2"/>
                </w:rPr>
              </w:pPr>
              <w:r>
                <w:rPr>
                  <w:rFonts w:hint="eastAsia" w:ascii="宋体" w:hAnsi="宋体"/>
                  <w:color w:val="000000"/>
                  <w:kern w:val="2"/>
                </w:rPr>
                <w:t>一是持续构建并完善战略管理体系，强化各职能部门管理能力，优化职能配置，强化部门协同，确保各项业务高效便捷运行；二是持续加强流程与数字化建设，用数据赋能业务决策，提升运营效率；三是强化合规风控，在安全生产、环境保护、信息安全、合规管理和风险防控等方面不断加强体系建设；四是持续完善质量管理体系，从研发、生产到产品上市全流程管控，以高标准、严要求进行全方位产品质量管控；五是持续深化运营管理，实行全面预算管理，降本增效，精益运营，为公司高质量发展奠定坚实基础。</w:t>
              </w:r>
            </w:p>
            <w:p w14:paraId="1353AD2F">
              <w:pPr>
                <w:widowControl w:val="0"/>
                <w:spacing w:line="360" w:lineRule="auto"/>
                <w:ind w:firstLine="480"/>
                <w:jc w:val="both"/>
                <w:rPr>
                  <w:rFonts w:ascii="宋体" w:hAnsi="宋体" w:cs="宋体"/>
                  <w:b/>
                  <w:kern w:val="2"/>
                </w:rPr>
              </w:pPr>
              <w:r>
                <w:rPr>
                  <w:rFonts w:hint="eastAsia" w:ascii="宋体" w:hAnsi="宋体" w:cs="宋体"/>
                  <w:b/>
                  <w:kern w:val="2"/>
                </w:rPr>
                <w:t>（</w:t>
              </w:r>
              <w:r>
                <w:rPr>
                  <w:rFonts w:hint="eastAsia" w:ascii="宋体" w:hAnsi="宋体" w:cs="宋体"/>
                  <w:b/>
                  <w:kern w:val="2"/>
                  <w:lang w:val="en-US" w:eastAsia="zh-CN"/>
                </w:rPr>
                <w:t>五</w:t>
              </w:r>
              <w:r>
                <w:rPr>
                  <w:rFonts w:hint="eastAsia" w:ascii="宋体" w:hAnsi="宋体" w:cs="宋体"/>
                  <w:b/>
                  <w:kern w:val="2"/>
                </w:rPr>
                <w:t>）持续强化人力资本建设，优化绩效管理体系，为企业发展注入新动能</w:t>
              </w:r>
            </w:p>
            <w:p w14:paraId="1CA284ED">
              <w:pPr>
                <w:spacing w:line="360" w:lineRule="auto"/>
                <w:ind w:firstLine="420" w:firstLineChars="200"/>
                <w:jc w:val="both"/>
                <w:rPr>
                  <w:rFonts w:ascii="宋体" w:hAnsi="宋体" w:cs="宋体"/>
                  <w:kern w:val="2"/>
                </w:rPr>
              </w:pPr>
              <w:r>
                <w:rPr>
                  <w:rFonts w:hint="eastAsia" w:ascii="宋体" w:hAnsi="宋体" w:cs="宋体"/>
                  <w:kern w:val="2"/>
                </w:rPr>
                <w:t>一是系统推进关键岗位人才招聘。通过拓宽多元渠道、强化自主招聘与内部推荐激励，提升招聘效能与响应速度，围绕国际化战略、创新药研发等核心业务需求，构建高质量人才供应链，为重大战略落地提供有力支撑；二是在人才激励机制建设上取得阶段性进展。优化职级架构、晋升通道及薪酬体系，兼顾内部公平与外部竞争性，实施更具激励性的薪酬激励政策，有效激发员工积极性与创造力，提升人才吸引与保留能力，增强组织整体竞争力；三是深化绩效考核评价优化。完善绩效考核管理，科学梳理、量化并分解年度绩效目标，优化中高层管理人员考核实施方式，推动考评体系更加科学严谨，确保绩效管理与组织目标精准对接，促进公司目标高效达成；四是全面推进人才队伍建设。围绕员工职业发展与岗位适配性，构建内部人才培养机制，通过“双通道、多路径”策略，加强关键岗位人才储备与培养。注重员工能力素质提升，并将其作为选拔基础；同时实行多元评价，在述职答辩中考虑创新思维与专业素养，为各类人才提供系统化发展路径，持续提升公司管理水平。未来将进一步加大骨干培训力度，满足组织发展与梯队建设需要。</w:t>
              </w:r>
            </w:p>
            <w:p w14:paraId="16AF11BB">
              <w:pPr>
                <w:spacing w:line="360" w:lineRule="auto"/>
                <w:ind w:firstLine="422" w:firstLineChars="200"/>
                <w:jc w:val="both"/>
                <w:rPr>
                  <w:rFonts w:ascii="宋体" w:hAnsi="宋体" w:cs="宋体"/>
                  <w:b/>
                </w:rPr>
              </w:pPr>
              <w:r>
                <w:rPr>
                  <w:rFonts w:hint="eastAsia" w:ascii="宋体" w:hAnsi="宋体" w:cs="宋体"/>
                  <w:b/>
                  <w:kern w:val="2"/>
                </w:rPr>
                <w:t>（</w:t>
              </w:r>
              <w:r>
                <w:rPr>
                  <w:rFonts w:hint="eastAsia" w:ascii="宋体" w:hAnsi="宋体" w:cs="宋体"/>
                  <w:b/>
                  <w:kern w:val="2"/>
                  <w:lang w:val="en-US" w:eastAsia="zh-CN"/>
                </w:rPr>
                <w:t>六</w:t>
              </w:r>
              <w:r>
                <w:rPr>
                  <w:rFonts w:hint="eastAsia" w:ascii="宋体" w:hAnsi="宋体" w:cs="宋体"/>
                  <w:b/>
                  <w:kern w:val="2"/>
                </w:rPr>
                <w:t>）</w:t>
              </w:r>
              <w:r>
                <w:rPr>
                  <w:rFonts w:hint="eastAsia" w:ascii="宋体" w:hAnsi="宋体" w:cs="宋体"/>
                  <w:b/>
                </w:rPr>
                <w:t>实施“提质增效重回报”行动方案，提振投资者信心</w:t>
              </w:r>
            </w:p>
            <w:p w14:paraId="3F38D569">
              <w:pPr>
                <w:spacing w:line="360" w:lineRule="auto"/>
                <w:ind w:firstLine="420" w:firstLineChars="200"/>
                <w:jc w:val="both"/>
                <w:rPr>
                  <w:rFonts w:cs="宋体" w:asciiTheme="minorEastAsia" w:hAnsiTheme="minorEastAsia"/>
                  <w:szCs w:val="24"/>
                  <w:highlight w:val="yellow"/>
                </w:rPr>
              </w:pPr>
              <w:r>
                <w:rPr>
                  <w:rFonts w:hint="eastAsia" w:ascii="宋体" w:hAnsi="宋体" w:cs="宋体"/>
                </w:rPr>
                <w:t>通过聚焦主业，积极创新研发，持续推进国际化战略，不断完善公司治理结构，稳定股东回报，提升治理效率和抗风险能力，实现公司稳定发展。同时做好投资者保护各项工作，实施股份回购，提升企业价值，增强投资者信任和满意度，以实际行动支持并推动“提质增效重回报”的战略行动。同时将回购股份用于员工持股计划，2025年公司推出两期员工持股计划，有效地将核心团队利益和公司整体利益紧密结合，进一步提升员工和核心团队的积极性，对公司业绩提升发挥积极作用，促进公司战略目标的实现。</w:t>
              </w:r>
              <w:bookmarkStart w:id="439" w:name="_GoBack"/>
              <w:bookmarkEnd w:id="439"/>
            </w:p>
          </w:sdtContent>
        </w:sdt>
        <w:p w14:paraId="6E77DA9D">
          <w:pPr>
            <w:rPr>
              <w:rFonts w:asciiTheme="minorEastAsia" w:hAnsiTheme="minorEastAsia" w:eastAsiaTheme="minorEastAsia"/>
            </w:rPr>
          </w:pPr>
        </w:p>
      </w:sdtContent>
    </w:sdt>
    <w:p w14:paraId="188EC60D">
      <w:pPr>
        <w:rPr>
          <w:rFonts w:asciiTheme="minorEastAsia" w:hAnsiTheme="minorEastAsia" w:eastAsiaTheme="minorEastAsia"/>
        </w:rPr>
      </w:pPr>
    </w:p>
    <w:p w14:paraId="29186A2A">
      <w:pPr>
        <w:pStyle w:val="3"/>
        <w:numPr>
          <w:ilvl w:val="0"/>
          <w:numId w:val="7"/>
        </w:numPr>
        <w:ind w:left="369" w:hanging="369" w:hangingChars="175"/>
      </w:pPr>
      <w:r>
        <w:rPr>
          <w:rFonts w:hint="eastAsia"/>
        </w:rPr>
        <w:t>报告期内核心竞争力分析</w:t>
      </w:r>
    </w:p>
    <w:sdt>
      <w:sdtPr>
        <w:alias w:val="是否适用：报告期内核心竞争力分析[双击切换]"/>
        <w:tag w:val="_GBC_a03591f0f7444c9b8f5c55d6f75c3136"/>
        <w:id w:val="-1802839803"/>
        <w:placeholder>
          <w:docPart w:val="GBC22222222222222222222222222222"/>
        </w:placeholder>
      </w:sdtPr>
      <w:sdtContent>
        <w:p w14:paraId="1831E6FF">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报告期内核心竞争力分析"/>
        <w:tag w:val="_GBC_956a57b53cd74344a32f2309bcc5f344"/>
        <w:id w:val="71178426"/>
        <w:placeholder>
          <w:docPart w:val="GBC22222222222222222222222222222"/>
        </w:placeholder>
      </w:sdtPr>
      <w:sdtEndPr>
        <w:rPr>
          <w:rFonts w:hint="eastAsia"/>
        </w:rPr>
      </w:sdtEndPr>
      <w:sdtContent>
        <w:p w14:paraId="1840581D">
          <w:pPr>
            <w:spacing w:line="360" w:lineRule="auto"/>
            <w:ind w:firstLine="480"/>
            <w:rPr>
              <w:rFonts w:ascii="Calibri" w:hAnsi="Calibri"/>
              <w:b/>
              <w:kern w:val="2"/>
            </w:rPr>
          </w:pPr>
          <w:r>
            <w:rPr>
              <w:rFonts w:ascii="Calibri" w:hAnsi="Calibri"/>
              <w:b/>
              <w:kern w:val="2"/>
            </w:rPr>
            <w:t>1、品牌竞争力</w:t>
          </w:r>
        </w:p>
        <w:p w14:paraId="2F0B9C5A">
          <w:pPr>
            <w:widowControl w:val="0"/>
            <w:topLinePunct/>
            <w:spacing w:line="360" w:lineRule="auto"/>
            <w:ind w:firstLine="480"/>
            <w:jc w:val="both"/>
            <w:rPr>
              <w:rFonts w:ascii="Calibri" w:hAnsi="Calibri"/>
              <w:kern w:val="2"/>
            </w:rPr>
          </w:pPr>
          <w:r>
            <w:rPr>
              <w:rFonts w:hint="eastAsia" w:ascii="Calibri" w:hAnsi="Calibri"/>
              <w:kern w:val="2"/>
            </w:rPr>
            <w:t>通化东宝凭借优良的产品质量和良好的市场服务赢得了市场的认可，树立了企业品牌形象。公司</w:t>
          </w:r>
          <w:r>
            <w:rPr>
              <w:rFonts w:hint="eastAsia" w:asciiTheme="minorEastAsia" w:hAnsiTheme="minorEastAsia" w:eastAsiaTheme="minorEastAsia"/>
              <w:kern w:val="2"/>
            </w:rPr>
            <w:t>“</w:t>
          </w:r>
          <w:r>
            <w:rPr>
              <w:rFonts w:asciiTheme="minorEastAsia" w:hAnsiTheme="minorEastAsia" w:eastAsiaTheme="minorEastAsia"/>
              <w:kern w:val="2"/>
            </w:rPr>
            <w:t>东宝</w:t>
          </w:r>
          <w:r>
            <w:rPr>
              <w:rFonts w:hint="eastAsia" w:asciiTheme="minorEastAsia" w:hAnsiTheme="minorEastAsia" w:eastAsiaTheme="minorEastAsia"/>
              <w:kern w:val="2"/>
            </w:rPr>
            <w:t>”</w:t>
          </w:r>
          <w:r>
            <w:rPr>
              <w:rFonts w:ascii="Calibri" w:hAnsi="Calibri"/>
              <w:kern w:val="2"/>
            </w:rPr>
            <w:t>商标被国家工商总局认定为中国驰名商标。公司拥有以人胰岛素（注册商标：甘舒霖）</w:t>
          </w:r>
          <w:r>
            <w:rPr>
              <w:rFonts w:hint="eastAsia" w:ascii="Calibri" w:hAnsi="Calibri"/>
              <w:kern w:val="2"/>
            </w:rPr>
            <w:t>、</w:t>
          </w:r>
          <w:r>
            <w:rPr>
              <w:rFonts w:ascii="Calibri" w:hAnsi="Calibri"/>
              <w:kern w:val="2"/>
            </w:rPr>
            <w:t>甘精胰岛素（注册商标：平舒霖）</w:t>
          </w:r>
          <w:r>
            <w:rPr>
              <w:rFonts w:hint="eastAsia" w:ascii="Calibri" w:hAnsi="Calibri"/>
              <w:kern w:val="2"/>
            </w:rPr>
            <w:t>和门冬胰岛素（注册商标：锐舒霖）</w:t>
          </w:r>
          <w:r>
            <w:rPr>
              <w:rFonts w:ascii="Calibri" w:hAnsi="Calibri"/>
              <w:kern w:val="2"/>
            </w:rPr>
            <w:t>为代表的系列产品。</w:t>
          </w:r>
          <w:r>
            <w:rPr>
              <w:rFonts w:hint="eastAsia"/>
              <w:kern w:val="2"/>
            </w:rPr>
            <w:t>同时</w:t>
          </w:r>
          <w:r>
            <w:rPr>
              <w:kern w:val="2"/>
            </w:rPr>
            <w:t>，公司利拉</w:t>
          </w:r>
          <w:r>
            <w:rPr>
              <w:rFonts w:hint="eastAsia"/>
              <w:kern w:val="2"/>
            </w:rPr>
            <w:t>鲁</w:t>
          </w:r>
          <w:r>
            <w:rPr>
              <w:kern w:val="2"/>
            </w:rPr>
            <w:t>肽注射</w:t>
          </w:r>
          <w:r>
            <w:rPr>
              <w:rFonts w:hint="eastAsia"/>
              <w:kern w:val="2"/>
            </w:rPr>
            <w:t>液（注册商标：统博力）</w:t>
          </w:r>
          <w:r>
            <w:rPr>
              <w:kern w:val="2"/>
            </w:rPr>
            <w:t>于</w:t>
          </w:r>
          <w:r>
            <w:rPr>
              <w:rFonts w:hint="eastAsia"/>
              <w:kern w:val="2"/>
            </w:rPr>
            <w:t>2023年12月</w:t>
          </w:r>
          <w:r>
            <w:rPr>
              <w:kern w:val="2"/>
            </w:rPr>
            <w:t>取得药品注册证</w:t>
          </w:r>
          <w:r>
            <w:rPr>
              <w:rFonts w:hint="eastAsia"/>
              <w:kern w:val="2"/>
            </w:rPr>
            <w:t>书</w:t>
          </w:r>
          <w:r>
            <w:rPr>
              <w:kern w:val="2"/>
            </w:rPr>
            <w:t>。</w:t>
          </w:r>
          <w:r>
            <w:rPr>
              <w:rFonts w:ascii="Calibri" w:hAnsi="Calibri"/>
              <w:kern w:val="2"/>
            </w:rPr>
            <w:t>秉承</w:t>
          </w:r>
          <w:r>
            <w:rPr>
              <w:rFonts w:asciiTheme="minorEastAsia" w:hAnsiTheme="minorEastAsia" w:eastAsiaTheme="minorEastAsia"/>
              <w:kern w:val="2"/>
            </w:rPr>
            <w:t>“坚持自主创新、创造世界品牌”</w:t>
          </w:r>
          <w:r>
            <w:rPr>
              <w:rFonts w:ascii="Calibri" w:hAnsi="Calibri"/>
              <w:kern w:val="2"/>
            </w:rPr>
            <w:t>的发展理念，努力提高企业核心竞争力。</w:t>
          </w:r>
        </w:p>
        <w:p w14:paraId="6EC40795">
          <w:pPr>
            <w:widowControl w:val="0"/>
            <w:spacing w:line="360" w:lineRule="auto"/>
            <w:ind w:firstLine="420" w:firstLineChars="200"/>
            <w:jc w:val="both"/>
            <w:rPr>
              <w:rFonts w:ascii="Calibri" w:hAnsi="Calibri"/>
              <w:kern w:val="2"/>
            </w:rPr>
          </w:pPr>
          <w:r>
            <w:rPr>
              <w:rFonts w:ascii="Calibri" w:hAnsi="Calibri"/>
              <w:kern w:val="2"/>
            </w:rPr>
            <w:t>人胰岛素的科研成果获得国家科技进步二等奖；人胰岛素项目产业化获得全国工商联科技进步一等奖；人胰岛素注射剂甘舒霖 30R 获得吉林省名牌产品；人胰岛素注射剂出口示范项目被国家科学技术部评为国家火炬计划项目；人胰岛素吨级产业关键</w:t>
          </w:r>
          <w:r>
            <w:rPr>
              <w:rFonts w:hint="eastAsia" w:ascii="Calibri" w:hAnsi="Calibri"/>
              <w:kern w:val="2"/>
            </w:rPr>
            <w:t>技术创新与应用获得吉林省科学技术进步一等奖。公司被工信部、财政部认定为国家技术创新示范企业。</w:t>
          </w:r>
          <w:r>
            <w:rPr>
              <w:rFonts w:ascii="Calibri" w:hAnsi="Calibri"/>
              <w:kern w:val="2"/>
            </w:rPr>
            <w:t>2023年被再次认定为国家高新技术企业。</w:t>
          </w:r>
        </w:p>
        <w:p w14:paraId="730464D0">
          <w:pPr>
            <w:widowControl w:val="0"/>
            <w:spacing w:line="360" w:lineRule="auto"/>
            <w:ind w:firstLine="480"/>
            <w:jc w:val="both"/>
            <w:rPr>
              <w:rFonts w:ascii="Calibri" w:hAnsi="Calibri"/>
              <w:b/>
              <w:kern w:val="2"/>
            </w:rPr>
          </w:pPr>
          <w:r>
            <w:rPr>
              <w:rFonts w:hint="eastAsia" w:ascii="Calibri" w:hAnsi="Calibri"/>
              <w:b/>
              <w:kern w:val="2"/>
            </w:rPr>
            <w:t>2、研发竞争力</w:t>
          </w:r>
        </w:p>
        <w:p w14:paraId="5C5850D4">
          <w:pPr>
            <w:widowControl w:val="0"/>
            <w:spacing w:line="360" w:lineRule="auto"/>
            <w:ind w:firstLine="480"/>
            <w:jc w:val="both"/>
            <w:rPr>
              <w:rFonts w:ascii="Calibri" w:hAnsi="Calibri"/>
              <w:bCs/>
              <w:kern w:val="2"/>
            </w:rPr>
          </w:pPr>
          <w:r>
            <w:rPr>
              <w:rFonts w:hint="eastAsia" w:ascii="Calibri" w:hAnsi="Calibri"/>
              <w:bCs/>
              <w:kern w:val="2"/>
            </w:rPr>
            <w:t>一是重视产品管线规划和产品组合开发，并拓宽疾病治疗领域：对口服降糖药、胰岛素及其类似物、GLP-1RA等糖尿病治疗药物进行了全面的覆盖，为糖尿病临床诊疗和广大患者提供了丰富的、高质量的、安全有效的、可及的、个体化治疗药物和管理方案。此外，充分洞察患者未被满足的临床需求，从糖尿病治疗领域拓宽至更大的心、肾、代谢类慢性疾病治疗领域，涵盖了糖尿病、肥胖、代谢相关脂肪性肝炎（MASH）、痛风/高尿酸血症等适应症。</w:t>
          </w:r>
        </w:p>
        <w:p w14:paraId="2CE792C3">
          <w:pPr>
            <w:widowControl w:val="0"/>
            <w:spacing w:line="360" w:lineRule="auto"/>
            <w:ind w:firstLine="480"/>
            <w:jc w:val="both"/>
            <w:rPr>
              <w:rFonts w:ascii="Calibri" w:hAnsi="Calibri"/>
              <w:bCs/>
              <w:kern w:val="2"/>
            </w:rPr>
          </w:pPr>
          <w:r>
            <w:rPr>
              <w:rFonts w:hint="eastAsia" w:ascii="Calibri" w:hAnsi="Calibri"/>
              <w:bCs/>
              <w:kern w:val="2"/>
            </w:rPr>
            <w:t>二是通过搭建更完善的研发体系，精益化内部管理：加强研发体系建设，优化研发中心管理分工，调整人员结构，建设外部专家库，完善研发人才培训体系；建立高效的全生命周期创新药研发和仿制药研发管理模式；树立高质量研发理念，深植聚焦、提速、增效管理文化，加强研发人员的使命感和责任心；培养专业型人才和跨专业复合型人才。</w:t>
          </w:r>
        </w:p>
        <w:p w14:paraId="1B129903">
          <w:pPr>
            <w:widowControl w:val="0"/>
            <w:spacing w:line="360" w:lineRule="auto"/>
            <w:ind w:firstLine="480"/>
            <w:jc w:val="both"/>
            <w:rPr>
              <w:rFonts w:ascii="Calibri" w:hAnsi="Calibri"/>
              <w:bCs/>
              <w:kern w:val="2"/>
            </w:rPr>
          </w:pPr>
          <w:r>
            <w:rPr>
              <w:rFonts w:hint="eastAsia" w:ascii="Calibri" w:hAnsi="Calibri"/>
              <w:bCs/>
              <w:kern w:val="2"/>
            </w:rPr>
            <w:t>三是深耕激活生物类似药开发效率，探索优化创新药的研发，提高公司核心竞争力。在已有优势生物类似药开发的基础上，进一步提速增质，并对已上市生物类似药产品降本增效进行精益求精的研究；近年开启的创新药研发，取得了阶段性研发成果。对已经布局的创新药产品管线，基于临床价值和开发经验，并结合内、外部丰富、灵活的资源，推动商业化成功一代、上市一代、研发一代、立项一代的良性循环。</w:t>
          </w:r>
        </w:p>
        <w:p w14:paraId="1CBC677B">
          <w:pPr>
            <w:widowControl w:val="0"/>
            <w:spacing w:line="360" w:lineRule="auto"/>
            <w:ind w:firstLine="480"/>
            <w:jc w:val="both"/>
            <w:rPr>
              <w:rFonts w:ascii="Calibri" w:hAnsi="Calibri"/>
              <w:bCs/>
              <w:kern w:val="2"/>
            </w:rPr>
          </w:pPr>
          <w:r>
            <w:rPr>
              <w:rFonts w:hint="eastAsia" w:ascii="Calibri" w:hAnsi="Calibri"/>
              <w:bCs/>
              <w:kern w:val="2"/>
            </w:rPr>
            <w:t>四是加强对外合作，拓宽国际视野：与国内外各类研发机构联合开发新项目，共同探索新的治疗方案、创新技术与平台。建设利用好“中南大学湘雅二院&amp;通化东宝产学研医战略合作基地”、“通化东宝博士后科研工作站”、“蛋白质生物药发酵体系创新创业平台”和“蛋白质生物药质量检测科技创新中心”、“吉林省代谢性疾病创新药研发重点实验室”五大高端技术创新研发平台，广泛地与高校和科研院所开展产、学、研活动交流，整合学术界和国内外内分泌专家等各方资源助力药物作用机制与临床应用的探索，更为稳步高效地推进研发进程。此外，通过自研或者合作的方式，积极推进国内已上市产品管线在全球新兴市场的新药注册和商业化，并寻求多种途径实现优秀的创新药产品管线在全球的同步研发，致力于成为一家在代谢类慢性疾病治疗领域有影响力的国际化企业。</w:t>
          </w:r>
        </w:p>
        <w:p w14:paraId="600E8EF3">
          <w:pPr>
            <w:widowControl w:val="0"/>
            <w:spacing w:line="360" w:lineRule="auto"/>
            <w:ind w:firstLine="480"/>
            <w:jc w:val="both"/>
            <w:rPr>
              <w:rFonts w:ascii="Calibri" w:hAnsi="Calibri"/>
              <w:bCs/>
              <w:kern w:val="2"/>
            </w:rPr>
          </w:pPr>
          <w:r>
            <w:rPr>
              <w:rFonts w:hint="eastAsia" w:ascii="Calibri" w:hAnsi="Calibri"/>
              <w:bCs/>
              <w:kern w:val="2"/>
            </w:rPr>
            <w:t>公司现有上市产品和在研管线产品在糖尿病、减重和心肾代谢类疾病治疗领域布局丰富全面，涵盖长效、中效、速效、超速效胰岛素类产品，GLP-1RA、长效GLP-1RA，长效GLP-1/GIP RA双靶点、胰岛素类似物GLP-1RA复方制剂，其它多靶点1类创新药（包括在痛风/高尿酸血症治疗领域在研口服1类化学创新药以及一款口服化学仿制药）等产品。此外，公司将积极布局和稳步拓展至更大的代谢类慢性疾病治疗领域，并关注全球最前沿的治疗手段和可成药技术平台。</w:t>
          </w:r>
        </w:p>
        <w:p w14:paraId="36F4B056">
          <w:pPr>
            <w:widowControl w:val="0"/>
            <w:spacing w:line="360" w:lineRule="auto"/>
            <w:ind w:firstLine="480"/>
            <w:jc w:val="both"/>
            <w:rPr>
              <w:rFonts w:ascii="Calibri" w:hAnsi="Calibri"/>
              <w:bCs/>
              <w:kern w:val="2"/>
            </w:rPr>
          </w:pPr>
          <w:r>
            <w:rPr>
              <w:rFonts w:hint="eastAsia" w:ascii="Calibri" w:hAnsi="Calibri"/>
              <w:bCs/>
              <w:kern w:val="2"/>
            </w:rPr>
            <w:t>未来，公司将抓住国家鼓励创新药的历史机遇和政策法规利好指引，以及全球新兴市场未满足的临床和商业化需求，秉承“坚持自主创新，创造世界品牌”的发展理念，围绕糖尿病和内分泌治疗领域以及心肾代谢类慢性疾病的前沿治疗技术和突破性治疗药物，不断推动公司科技创新和智造变革，提高新药研发创新能力和商业化能力，继续致力于打造成为“内分泌领域创新医药研发的探索者和引领者”和在代谢类慢性疾病治疗领域有影响力的国际化企业，推动企业专业化、高质量、可持续发展。</w:t>
          </w:r>
        </w:p>
        <w:p w14:paraId="4A8895C2">
          <w:pPr>
            <w:widowControl w:val="0"/>
            <w:spacing w:line="360" w:lineRule="auto"/>
            <w:ind w:firstLine="480"/>
            <w:jc w:val="both"/>
            <w:rPr>
              <w:rFonts w:ascii="Calibri" w:hAnsi="Calibri"/>
              <w:b/>
              <w:kern w:val="2"/>
            </w:rPr>
          </w:pPr>
          <w:r>
            <w:rPr>
              <w:rFonts w:hint="eastAsia" w:ascii="Calibri" w:hAnsi="Calibri"/>
              <w:b/>
              <w:kern w:val="2"/>
            </w:rPr>
            <w:t>3、生产工艺技术优势</w:t>
          </w:r>
        </w:p>
        <w:p w14:paraId="1604268B">
          <w:pPr>
            <w:widowControl w:val="0"/>
            <w:spacing w:line="360" w:lineRule="auto"/>
            <w:ind w:firstLine="480"/>
            <w:jc w:val="both"/>
            <w:rPr>
              <w:rFonts w:ascii="Calibri" w:hAnsi="Calibri"/>
              <w:kern w:val="2"/>
            </w:rPr>
          </w:pPr>
          <w:r>
            <w:rPr>
              <w:rFonts w:ascii="Calibri" w:hAnsi="Calibri"/>
              <w:kern w:val="2"/>
            </w:rPr>
            <w:t>2008</w:t>
          </w:r>
          <w:r>
            <w:rPr>
              <w:rFonts w:hint="eastAsia" w:ascii="Calibri" w:hAnsi="Calibri"/>
              <w:kern w:val="2"/>
            </w:rPr>
            <w:t>年，通化东宝历经 10 年攻关，攻克了产能、产率、生产时间等产业化技术难题，建成了年产 3</w:t>
          </w:r>
          <w:r>
            <w:rPr>
              <w:rFonts w:ascii="Calibri" w:hAnsi="Calibri"/>
              <w:kern w:val="2"/>
            </w:rPr>
            <w:t>,</w:t>
          </w:r>
          <w:r>
            <w:rPr>
              <w:rFonts w:hint="eastAsia" w:ascii="Calibri" w:hAnsi="Calibri"/>
              <w:kern w:val="2"/>
            </w:rPr>
            <w:t>000 公斤的吨级胰岛素原料药生产线，公司工艺步骤更少、收率更高、产品质量更高，技术达国际先进水平。由此，我国成为世界上第三个可以工业化生产胰岛素原料药的国家，打破了国外企业对市场的垄断。该生产基地还成为了中国第一个通过欧盟认证的生物车间，公司不仅实现了由中试技术向产业化的转型飞跃，更由此完成了产业化、规模化、国际化的进程，使自身具备了国际竞争力，使品牌更具竞争力。2014 年人胰岛素注射液三车间通过新版 GMP 认证，能够满足国内市场需求的同时也能够适应市场对新剂型变化的需求。</w:t>
          </w:r>
        </w:p>
        <w:p w14:paraId="452C4A56">
          <w:pPr>
            <w:widowControl w:val="0"/>
            <w:spacing w:line="360" w:lineRule="auto"/>
            <w:ind w:firstLine="480"/>
            <w:jc w:val="both"/>
            <w:rPr>
              <w:rFonts w:ascii="Calibri" w:hAnsi="Calibri"/>
              <w:kern w:val="2"/>
            </w:rPr>
          </w:pPr>
          <w:r>
            <w:rPr>
              <w:rFonts w:hint="eastAsia" w:ascii="Calibri" w:hAnsi="Calibri"/>
              <w:kern w:val="2"/>
            </w:rPr>
            <w:t>通化东宝人胰岛素的生产工艺在发酵、表达、收率、纯度、检测等多方面都处于世界领先水平。公司拥有目前中国人胰岛素生产企业中规模最大的发酵系统，建立了人胰岛素高负载量、高回收的分离纯化工艺技术，解决了吨级产业技术的生产周期长及产品收率低的难题。人胰岛素原料药生产基地已通过欧盟认证，且经国家权威机构鉴定，公司人胰岛素产品质量、疗效同进口产品一致。</w:t>
          </w:r>
        </w:p>
        <w:p w14:paraId="5CA525B2">
          <w:pPr>
            <w:widowControl w:val="0"/>
            <w:spacing w:line="360" w:lineRule="auto"/>
            <w:ind w:firstLine="422" w:firstLineChars="200"/>
            <w:jc w:val="both"/>
            <w:rPr>
              <w:rFonts w:ascii="Calibri" w:hAnsi="Calibri"/>
              <w:b/>
              <w:kern w:val="2"/>
            </w:rPr>
          </w:pPr>
          <w:r>
            <w:rPr>
              <w:rFonts w:hint="eastAsia" w:ascii="Calibri" w:hAnsi="Calibri"/>
              <w:b/>
              <w:kern w:val="2"/>
            </w:rPr>
            <w:t>4、营销优势</w:t>
          </w:r>
        </w:p>
        <w:p w14:paraId="70904619">
          <w:pPr>
            <w:widowControl w:val="0"/>
            <w:spacing w:line="360" w:lineRule="auto"/>
            <w:ind w:firstLine="420" w:firstLineChars="200"/>
            <w:jc w:val="both"/>
            <w:rPr>
              <w:rFonts w:ascii="Calibri" w:hAnsi="Calibri"/>
              <w:kern w:val="2"/>
            </w:rPr>
          </w:pPr>
          <w:r>
            <w:rPr>
              <w:rFonts w:hint="eastAsia" w:ascii="Calibri" w:hAnsi="Calibri"/>
              <w:kern w:val="2"/>
            </w:rPr>
            <w:t>公司自建专业化销售团队，多年来坚持学术推广模式，鉴于人胰岛素产品（注册商标：甘舒霖）、甘精胰岛素（注册商标：平舒霖）、门冬胰岛素（注册商标：锐舒霖）、利拉鲁肽注射液（注册商标：统博力）的销售专业性比较强，公司在糖尿病领域创立自身运营模式，建立糖尿病慢病管理平台与专业化学术推广的营销团队，为糖尿病诊疗提供一体化解决方案。</w:t>
          </w:r>
        </w:p>
        <w:p w14:paraId="626FF3BB">
          <w:pPr>
            <w:spacing w:line="360" w:lineRule="auto"/>
            <w:ind w:firstLine="420" w:firstLineChars="200"/>
            <w:jc w:val="both"/>
            <w:rPr>
              <w:rFonts w:cs="宋体"/>
              <w:color w:val="000000" w:themeColor="text1"/>
              <w14:textFill>
                <w14:solidFill>
                  <w14:schemeClr w14:val="tx1"/>
                </w14:solidFill>
              </w14:textFill>
            </w:rPr>
          </w:pPr>
          <w:r>
            <w:rPr>
              <w:rFonts w:hint="eastAsia" w:ascii="Calibri" w:hAnsi="Calibri"/>
              <w:kern w:val="2"/>
            </w:rPr>
            <w:t>公司销售团队以基层市场为核心开展市场推广，采用多种形式对基层医师进行宣教，通过开展各种活动提升县级医院和乡镇医院等基层医疗机构医师的诊疗水平，探索出符合中国糖尿病分级诊疗模式与利于产品放量的市场推广方案，巩固品牌影响力，树立产品形象。</w:t>
          </w:r>
        </w:p>
      </w:sdtContent>
    </w:sdt>
    <w:p w14:paraId="004DB26E">
      <w:pPr>
        <w:rPr>
          <w:rFonts w:asciiTheme="minorEastAsia" w:hAnsiTheme="minorEastAsia" w:eastAsiaTheme="minorEastAsia"/>
        </w:rPr>
      </w:pPr>
    </w:p>
    <w:p w14:paraId="75052473">
      <w:pPr>
        <w:pStyle w:val="3"/>
        <w:numPr>
          <w:ilvl w:val="0"/>
          <w:numId w:val="7"/>
        </w:numPr>
        <w:ind w:left="369" w:hanging="369" w:hangingChars="175"/>
      </w:pPr>
      <w:r>
        <w:rPr>
          <w:rFonts w:hint="eastAsia"/>
        </w:rPr>
        <w:t>报告期内主要经营情况</w:t>
      </w:r>
    </w:p>
    <w:sdt>
      <w:sdtPr>
        <w:rPr>
          <w:rFonts w:hint="eastAsia"/>
        </w:rPr>
        <w:alias w:val="报告期内主要经营情况"/>
        <w:tag w:val="_GBC_655a1c6ffd2a454085e53e5538e3b2ef"/>
        <w:id w:val="-1489327212"/>
        <w:placeholder>
          <w:docPart w:val="GBC22222222222222222222222222222"/>
        </w:placeholder>
      </w:sdtPr>
      <w:sdtEndPr>
        <w:rPr>
          <w:rFonts w:hint="eastAsia"/>
        </w:rPr>
      </w:sdtEndPr>
      <w:sdtContent>
        <w:p w14:paraId="1C52B575">
          <w:pPr>
            <w:spacing w:line="360" w:lineRule="auto"/>
            <w:ind w:firstLine="420" w:firstLineChars="200"/>
            <w:jc w:val="both"/>
          </w:pPr>
          <w:sdt>
            <w:sdtPr>
              <w:rPr>
                <w:rFonts w:hint="eastAsia"/>
              </w:rPr>
              <w:alias w:val="报告期内主要经营情况"/>
              <w:tag w:val="_GBC_655a1c6ffd2a454085e53e5538e3b2ef"/>
              <w:id w:val="-766619199"/>
            </w:sdtPr>
            <w:sdtEndPr>
              <w:rPr>
                <w:rFonts w:hint="eastAsia"/>
                <w:highlight w:val="yellow"/>
              </w:rPr>
            </w:sdtEndPr>
            <w:sdtContent>
              <w:r>
                <w:rPr>
                  <w:rFonts w:hint="eastAsia"/>
                </w:rPr>
                <w:t>2025年，公司实现营业收入294,722.88万元，比上年同期增长46.66%；实现利润总额147,725.22万元；实现归属于上市公司股东的净利润121,905.29万元；实现归属于上市公司股东的扣除非经常性损益的净利润37,</w:t>
              </w:r>
              <w:r>
                <w:t>495</w:t>
              </w:r>
              <w:r>
                <w:rPr>
                  <w:rFonts w:hint="eastAsia"/>
                </w:rPr>
                <w:t>.</w:t>
              </w:r>
              <w:r>
                <w:t>83</w:t>
              </w:r>
              <w:r>
                <w:rPr>
                  <w:rFonts w:hint="eastAsia"/>
                </w:rPr>
                <w:t>万元。公司经营业绩实现扭亏为盈，业绩大幅回升。</w:t>
              </w:r>
            </w:sdtContent>
          </w:sdt>
        </w:p>
      </w:sdtContent>
    </w:sdt>
    <w:p w14:paraId="6E8A5C98">
      <w:pPr>
        <w:pStyle w:val="48"/>
      </w:pPr>
    </w:p>
    <w:p w14:paraId="061AA3B9">
      <w:pPr>
        <w:pStyle w:val="4"/>
        <w:numPr>
          <w:ilvl w:val="0"/>
          <w:numId w:val="8"/>
        </w:numPr>
        <w:ind w:left="0" w:firstLine="0"/>
        <w:rPr>
          <w:szCs w:val="21"/>
        </w:rPr>
      </w:pPr>
      <w:bookmarkStart w:id="42" w:name="_Toc342559738"/>
      <w:bookmarkStart w:id="43" w:name="_Toc342565895"/>
      <w:r>
        <w:rPr>
          <w:rFonts w:hint="eastAsia"/>
          <w:szCs w:val="21"/>
        </w:rPr>
        <w:t>主营业务分析</w:t>
      </w:r>
      <w:bookmarkEnd w:id="42"/>
      <w:bookmarkEnd w:id="43"/>
    </w:p>
    <w:p w14:paraId="7A9EAA51">
      <w:pPr>
        <w:pStyle w:val="5"/>
        <w:numPr>
          <w:ilvl w:val="0"/>
          <w:numId w:val="9"/>
        </w:numPr>
      </w:pPr>
      <w:r>
        <w:t>利润表及现金流量表相关科目变动分析表</w:t>
      </w:r>
    </w:p>
    <w:p w14:paraId="712CCF82">
      <w:pPr>
        <w:pStyle w:val="30"/>
        <w:ind w:left="360" w:firstLine="0" w:firstLineChars="0"/>
        <w:jc w:val="right"/>
        <w:rPr>
          <w:rFonts w:ascii="宋体" w:hAnsi="宋体"/>
        </w:rPr>
      </w:pPr>
      <w:bookmarkStart w:id="44" w:name="_Hlk89098131"/>
      <w:bookmarkStart w:id="45" w:name="_Hlk10208083"/>
      <w:r>
        <w:rPr>
          <w:rFonts w:hint="eastAsia" w:ascii="宋体" w:hAnsi="宋体"/>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5270125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szCs w:val="21"/>
          </w:rPr>
        </w:sdtEndPr>
        <w:sdtContent>
          <w:r>
            <w:rPr>
              <w:rFonts w:ascii="宋体" w:hAnsi="宋体"/>
              <w:szCs w:val="21"/>
            </w:rPr>
            <w:t>元</w:t>
          </w:r>
        </w:sdtContent>
      </w:sdt>
      <w:r>
        <w:rPr>
          <w:rFonts w:hint="eastAsia" w:ascii="宋体" w:hAnsi="宋体"/>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3082147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szCs w:val="21"/>
          </w:rPr>
        </w:sdtEndPr>
        <w:sdtContent>
          <w:r>
            <w:rPr>
              <w:rFonts w:ascii="宋体" w:hAnsi="宋体"/>
              <w:szCs w:val="21"/>
            </w:rPr>
            <w:t>人民币</w:t>
          </w:r>
        </w:sdtContent>
      </w:sdt>
    </w:p>
    <w:tbl>
      <w:tblPr>
        <w:tblStyle w:val="20"/>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9"/>
        <w:gridCol w:w="2128"/>
        <w:gridCol w:w="1987"/>
        <w:gridCol w:w="1844"/>
      </w:tblGrid>
      <w:tr w14:paraId="0CBD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184eafc8be3478d9fc8a544274385f7"/>
            <w:id w:val="1218782939"/>
          </w:sdtPr>
          <w:sdtContent>
            <w:tc>
              <w:tcPr>
                <w:tcW w:w="3089" w:type="dxa"/>
                <w:vAlign w:val="center"/>
              </w:tcPr>
              <w:p w14:paraId="242E50B0">
                <w:pPr>
                  <w:pStyle w:val="30"/>
                  <w:ind w:firstLine="0" w:firstLineChars="0"/>
                  <w:jc w:val="center"/>
                  <w:rPr>
                    <w:rFonts w:ascii="宋体" w:hAnsi="宋体"/>
                    <w:szCs w:val="21"/>
                  </w:rPr>
                </w:pPr>
                <w:bookmarkStart w:id="46" w:name="_Hlk10208057"/>
                <w:r>
                  <w:rPr>
                    <w:rFonts w:hint="eastAsia" w:ascii="宋体" w:hAnsi="宋体"/>
                    <w:szCs w:val="21"/>
                  </w:rPr>
                  <w:t>科目</w:t>
                </w:r>
              </w:p>
            </w:tc>
          </w:sdtContent>
        </w:sdt>
        <w:sdt>
          <w:sdtPr>
            <w:tag w:val="_PLD_c49cd176da60479fbcfeedd35cc9f509"/>
            <w:id w:val="-533958066"/>
          </w:sdtPr>
          <w:sdtContent>
            <w:tc>
              <w:tcPr>
                <w:tcW w:w="2128" w:type="dxa"/>
                <w:vAlign w:val="center"/>
              </w:tcPr>
              <w:p w14:paraId="18D98CDC">
                <w:pPr>
                  <w:pStyle w:val="30"/>
                  <w:ind w:firstLine="0" w:firstLineChars="0"/>
                  <w:jc w:val="center"/>
                  <w:rPr>
                    <w:rFonts w:ascii="宋体" w:hAnsi="宋体"/>
                    <w:szCs w:val="21"/>
                  </w:rPr>
                </w:pPr>
                <w:r>
                  <w:rPr>
                    <w:rFonts w:hint="eastAsia" w:ascii="宋体" w:hAnsi="宋体"/>
                    <w:szCs w:val="21"/>
                  </w:rPr>
                  <w:t>本期数</w:t>
                </w:r>
              </w:p>
            </w:tc>
          </w:sdtContent>
        </w:sdt>
        <w:sdt>
          <w:sdtPr>
            <w:tag w:val="_PLD_0b6df7534554463db9f304bbe9b6a71e"/>
            <w:id w:val="1834178553"/>
          </w:sdtPr>
          <w:sdtContent>
            <w:tc>
              <w:tcPr>
                <w:tcW w:w="1987" w:type="dxa"/>
                <w:vAlign w:val="center"/>
              </w:tcPr>
              <w:p w14:paraId="1EAAD6A8">
                <w:pPr>
                  <w:pStyle w:val="30"/>
                  <w:ind w:firstLine="0" w:firstLineChars="0"/>
                  <w:jc w:val="center"/>
                  <w:rPr>
                    <w:rFonts w:ascii="宋体" w:hAnsi="宋体"/>
                    <w:szCs w:val="21"/>
                  </w:rPr>
                </w:pPr>
                <w:r>
                  <w:rPr>
                    <w:rFonts w:hint="eastAsia" w:ascii="宋体" w:hAnsi="宋体"/>
                    <w:szCs w:val="21"/>
                  </w:rPr>
                  <w:t>上年同期数</w:t>
                </w:r>
              </w:p>
            </w:tc>
          </w:sdtContent>
        </w:sdt>
        <w:sdt>
          <w:sdtPr>
            <w:tag w:val="_PLD_a903eeff1728490ba821c9389249303c"/>
            <w:id w:val="1128205277"/>
          </w:sdtPr>
          <w:sdtContent>
            <w:tc>
              <w:tcPr>
                <w:tcW w:w="1844" w:type="dxa"/>
                <w:vAlign w:val="center"/>
              </w:tcPr>
              <w:p w14:paraId="4FA9CAA2">
                <w:pPr>
                  <w:pStyle w:val="30"/>
                  <w:ind w:firstLine="0" w:firstLineChars="0"/>
                  <w:jc w:val="center"/>
                  <w:rPr>
                    <w:rFonts w:ascii="宋体" w:hAnsi="宋体"/>
                    <w:szCs w:val="21"/>
                  </w:rPr>
                </w:pPr>
                <w:r>
                  <w:rPr>
                    <w:rFonts w:hint="eastAsia" w:ascii="宋体" w:hAnsi="宋体"/>
                    <w:szCs w:val="21"/>
                  </w:rPr>
                  <w:t>变动比例（%）</w:t>
                </w:r>
              </w:p>
            </w:tc>
          </w:sdtContent>
        </w:sdt>
      </w:tr>
      <w:tr w14:paraId="7BC4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vAlign w:val="center"/>
          </w:tcPr>
          <w:p w14:paraId="46768645">
            <w:pPr>
              <w:pStyle w:val="30"/>
              <w:ind w:firstLine="0" w:firstLineChars="0"/>
              <w:rPr>
                <w:rFonts w:ascii="宋体" w:hAnsi="宋体"/>
                <w:szCs w:val="21"/>
              </w:rPr>
            </w:pPr>
            <w:r>
              <w:rPr>
                <w:rFonts w:hint="eastAsia" w:ascii="宋体" w:hAnsi="宋体"/>
                <w:szCs w:val="21"/>
              </w:rPr>
              <w:t>营业收入</w:t>
            </w:r>
          </w:p>
        </w:tc>
        <w:tc>
          <w:tcPr>
            <w:tcW w:w="2128" w:type="dxa"/>
            <w:vAlign w:val="center"/>
          </w:tcPr>
          <w:p w14:paraId="34BBC7A8">
            <w:pPr>
              <w:pStyle w:val="30"/>
              <w:ind w:firstLine="0" w:firstLineChars="0"/>
              <w:jc w:val="right"/>
              <w:rPr>
                <w:rFonts w:ascii="Times New Roman" w:hAnsi="Times New Roman"/>
                <w:szCs w:val="21"/>
              </w:rPr>
            </w:pPr>
            <w:r>
              <w:rPr>
                <w:rFonts w:ascii="Times New Roman" w:hAnsi="Times New Roman"/>
                <w:szCs w:val="21"/>
              </w:rPr>
              <w:t>2,947,228,797.15</w:t>
            </w:r>
          </w:p>
        </w:tc>
        <w:tc>
          <w:tcPr>
            <w:tcW w:w="1987" w:type="dxa"/>
            <w:vAlign w:val="center"/>
          </w:tcPr>
          <w:p w14:paraId="569EEC95">
            <w:pPr>
              <w:widowControl w:val="0"/>
              <w:jc w:val="right"/>
            </w:pPr>
            <w:r>
              <w:t>2,009,601,059.43</w:t>
            </w:r>
          </w:p>
        </w:tc>
        <w:tc>
          <w:tcPr>
            <w:tcW w:w="1844" w:type="dxa"/>
            <w:vAlign w:val="center"/>
          </w:tcPr>
          <w:p w14:paraId="435FD592">
            <w:pPr>
              <w:pStyle w:val="30"/>
              <w:ind w:firstLine="0" w:firstLineChars="0"/>
              <w:jc w:val="right"/>
              <w:rPr>
                <w:rFonts w:ascii="宋体" w:hAnsi="宋体"/>
                <w:szCs w:val="21"/>
              </w:rPr>
            </w:pPr>
            <w:r>
              <w:rPr>
                <w:rFonts w:hint="eastAsia" w:ascii="宋体" w:hAnsi="宋体"/>
                <w:szCs w:val="21"/>
              </w:rPr>
              <w:t>4</w:t>
            </w:r>
            <w:r>
              <w:rPr>
                <w:rFonts w:ascii="宋体" w:hAnsi="宋体"/>
                <w:szCs w:val="21"/>
              </w:rPr>
              <w:t>6.66</w:t>
            </w:r>
          </w:p>
        </w:tc>
      </w:tr>
      <w:tr w14:paraId="01F9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vAlign w:val="center"/>
          </w:tcPr>
          <w:p w14:paraId="2DF8159E">
            <w:pPr>
              <w:pStyle w:val="30"/>
              <w:ind w:firstLine="0" w:firstLineChars="0"/>
              <w:rPr>
                <w:rFonts w:ascii="宋体" w:hAnsi="宋体"/>
                <w:szCs w:val="21"/>
              </w:rPr>
            </w:pPr>
            <w:r>
              <w:rPr>
                <w:rFonts w:ascii="宋体" w:hAnsi="宋体"/>
                <w:szCs w:val="21"/>
              </w:rPr>
              <w:t>营业成本</w:t>
            </w:r>
          </w:p>
        </w:tc>
        <w:tc>
          <w:tcPr>
            <w:tcW w:w="2128" w:type="dxa"/>
            <w:vAlign w:val="center"/>
          </w:tcPr>
          <w:p w14:paraId="50799A7E">
            <w:pPr>
              <w:pStyle w:val="30"/>
              <w:ind w:firstLine="0" w:firstLineChars="0"/>
              <w:jc w:val="right"/>
              <w:rPr>
                <w:rFonts w:ascii="Times New Roman" w:hAnsi="Times New Roman"/>
                <w:szCs w:val="21"/>
              </w:rPr>
            </w:pPr>
            <w:r>
              <w:rPr>
                <w:rFonts w:ascii="Times New Roman" w:hAnsi="Times New Roman"/>
              </w:rPr>
              <w:t>874,496,476.58</w:t>
            </w:r>
          </w:p>
        </w:tc>
        <w:tc>
          <w:tcPr>
            <w:tcW w:w="1987" w:type="dxa"/>
            <w:vAlign w:val="center"/>
          </w:tcPr>
          <w:p w14:paraId="0D927284">
            <w:pPr>
              <w:widowControl w:val="0"/>
              <w:jc w:val="right"/>
            </w:pPr>
            <w:r>
              <w:t>524,515,529.58</w:t>
            </w:r>
          </w:p>
        </w:tc>
        <w:tc>
          <w:tcPr>
            <w:tcW w:w="1844" w:type="dxa"/>
            <w:vAlign w:val="center"/>
          </w:tcPr>
          <w:p w14:paraId="5B5789B2">
            <w:pPr>
              <w:pStyle w:val="30"/>
              <w:ind w:firstLine="0" w:firstLineChars="0"/>
              <w:jc w:val="right"/>
              <w:rPr>
                <w:rFonts w:ascii="Times New Roman" w:hAnsi="Times New Roman"/>
                <w:szCs w:val="21"/>
              </w:rPr>
            </w:pPr>
            <w:r>
              <w:rPr>
                <w:rFonts w:ascii="Times New Roman" w:hAnsi="Times New Roman"/>
              </w:rPr>
              <w:t>66.72</w:t>
            </w:r>
          </w:p>
        </w:tc>
      </w:tr>
      <w:tr w14:paraId="790D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vAlign w:val="center"/>
          </w:tcPr>
          <w:p w14:paraId="5F6950A1">
            <w:pPr>
              <w:pStyle w:val="30"/>
              <w:ind w:firstLine="0" w:firstLineChars="0"/>
              <w:rPr>
                <w:rFonts w:ascii="宋体" w:hAnsi="宋体"/>
                <w:szCs w:val="21"/>
              </w:rPr>
            </w:pPr>
            <w:r>
              <w:rPr>
                <w:rFonts w:ascii="宋体" w:hAnsi="宋体"/>
                <w:szCs w:val="21"/>
              </w:rPr>
              <w:t>销售费用</w:t>
            </w:r>
          </w:p>
        </w:tc>
        <w:tc>
          <w:tcPr>
            <w:tcW w:w="2128" w:type="dxa"/>
            <w:vAlign w:val="center"/>
          </w:tcPr>
          <w:p w14:paraId="71AD828E">
            <w:pPr>
              <w:pStyle w:val="30"/>
              <w:ind w:firstLine="0" w:firstLineChars="0"/>
              <w:jc w:val="right"/>
              <w:rPr>
                <w:rFonts w:ascii="Times New Roman" w:hAnsi="Times New Roman"/>
                <w:szCs w:val="21"/>
              </w:rPr>
            </w:pPr>
            <w:r>
              <w:rPr>
                <w:rFonts w:ascii="Times New Roman" w:hAnsi="Times New Roman"/>
              </w:rPr>
              <w:t>1,108,127,227.86</w:t>
            </w:r>
          </w:p>
        </w:tc>
        <w:tc>
          <w:tcPr>
            <w:tcW w:w="1987" w:type="dxa"/>
            <w:vAlign w:val="center"/>
          </w:tcPr>
          <w:p w14:paraId="12077B3A">
            <w:pPr>
              <w:widowControl w:val="0"/>
              <w:jc w:val="right"/>
            </w:pPr>
            <w:r>
              <w:t>1,068,146,639.12</w:t>
            </w:r>
          </w:p>
        </w:tc>
        <w:tc>
          <w:tcPr>
            <w:tcW w:w="1844" w:type="dxa"/>
            <w:vAlign w:val="center"/>
          </w:tcPr>
          <w:p w14:paraId="0A32FDDA">
            <w:pPr>
              <w:pStyle w:val="30"/>
              <w:ind w:firstLine="0" w:firstLineChars="0"/>
              <w:jc w:val="right"/>
              <w:rPr>
                <w:rFonts w:ascii="Times New Roman" w:hAnsi="Times New Roman"/>
                <w:szCs w:val="21"/>
              </w:rPr>
            </w:pPr>
            <w:r>
              <w:rPr>
                <w:rFonts w:ascii="Times New Roman" w:hAnsi="Times New Roman"/>
              </w:rPr>
              <w:t>3.74</w:t>
            </w:r>
          </w:p>
        </w:tc>
      </w:tr>
      <w:tr w14:paraId="29F6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vAlign w:val="center"/>
          </w:tcPr>
          <w:p w14:paraId="65DF83FE">
            <w:pPr>
              <w:pStyle w:val="30"/>
              <w:ind w:firstLine="0" w:firstLineChars="0"/>
              <w:rPr>
                <w:rFonts w:ascii="宋体" w:hAnsi="宋体"/>
                <w:szCs w:val="21"/>
              </w:rPr>
            </w:pPr>
            <w:r>
              <w:rPr>
                <w:rFonts w:ascii="宋体" w:hAnsi="宋体"/>
                <w:szCs w:val="21"/>
              </w:rPr>
              <w:t>管理费用</w:t>
            </w:r>
          </w:p>
        </w:tc>
        <w:tc>
          <w:tcPr>
            <w:tcW w:w="2128" w:type="dxa"/>
            <w:vAlign w:val="center"/>
          </w:tcPr>
          <w:p w14:paraId="2CBAA7F2">
            <w:pPr>
              <w:pStyle w:val="30"/>
              <w:ind w:firstLine="0" w:firstLineChars="0"/>
              <w:jc w:val="right"/>
              <w:rPr>
                <w:rFonts w:ascii="Times New Roman" w:hAnsi="Times New Roman"/>
                <w:szCs w:val="21"/>
              </w:rPr>
            </w:pPr>
            <w:r>
              <w:rPr>
                <w:rFonts w:ascii="Times New Roman" w:hAnsi="Times New Roman"/>
              </w:rPr>
              <w:t>180,884,327.64</w:t>
            </w:r>
          </w:p>
        </w:tc>
        <w:tc>
          <w:tcPr>
            <w:tcW w:w="1987" w:type="dxa"/>
            <w:vAlign w:val="center"/>
          </w:tcPr>
          <w:p w14:paraId="5B304524">
            <w:pPr>
              <w:widowControl w:val="0"/>
              <w:jc w:val="right"/>
            </w:pPr>
            <w:r>
              <w:t>182,626,722.10</w:t>
            </w:r>
          </w:p>
        </w:tc>
        <w:tc>
          <w:tcPr>
            <w:tcW w:w="1844" w:type="dxa"/>
            <w:vAlign w:val="center"/>
          </w:tcPr>
          <w:p w14:paraId="6B5E181D">
            <w:pPr>
              <w:pStyle w:val="30"/>
              <w:ind w:firstLine="0" w:firstLineChars="0"/>
              <w:jc w:val="right"/>
              <w:rPr>
                <w:rFonts w:ascii="Times New Roman" w:hAnsi="Times New Roman"/>
                <w:szCs w:val="21"/>
              </w:rPr>
            </w:pPr>
            <w:r>
              <w:rPr>
                <w:rFonts w:ascii="Times New Roman" w:hAnsi="Times New Roman"/>
              </w:rPr>
              <w:t>-0.95</w:t>
            </w:r>
          </w:p>
        </w:tc>
      </w:tr>
      <w:tr w14:paraId="5B4E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vAlign w:val="center"/>
          </w:tcPr>
          <w:p w14:paraId="0A9C197B">
            <w:pPr>
              <w:pStyle w:val="30"/>
              <w:ind w:firstLine="0" w:firstLineChars="0"/>
              <w:rPr>
                <w:rFonts w:ascii="宋体" w:hAnsi="宋体"/>
                <w:szCs w:val="21"/>
              </w:rPr>
            </w:pPr>
            <w:r>
              <w:rPr>
                <w:rFonts w:ascii="宋体" w:hAnsi="宋体"/>
                <w:szCs w:val="21"/>
              </w:rPr>
              <w:t>财务费用</w:t>
            </w:r>
          </w:p>
        </w:tc>
        <w:tc>
          <w:tcPr>
            <w:tcW w:w="2128" w:type="dxa"/>
            <w:vAlign w:val="center"/>
          </w:tcPr>
          <w:p w14:paraId="68093C3D">
            <w:pPr>
              <w:pStyle w:val="30"/>
              <w:ind w:firstLine="0" w:firstLineChars="0"/>
              <w:jc w:val="right"/>
              <w:rPr>
                <w:rFonts w:ascii="Times New Roman" w:hAnsi="Times New Roman"/>
                <w:szCs w:val="21"/>
              </w:rPr>
            </w:pPr>
            <w:r>
              <w:rPr>
                <w:rFonts w:ascii="Times New Roman" w:hAnsi="Times New Roman"/>
              </w:rPr>
              <w:t>18,743,448.23</w:t>
            </w:r>
          </w:p>
        </w:tc>
        <w:tc>
          <w:tcPr>
            <w:tcW w:w="1987" w:type="dxa"/>
            <w:vAlign w:val="center"/>
          </w:tcPr>
          <w:p w14:paraId="0E899362">
            <w:pPr>
              <w:widowControl w:val="0"/>
              <w:jc w:val="right"/>
            </w:pPr>
            <w:r>
              <w:t>6,239,703.08</w:t>
            </w:r>
          </w:p>
        </w:tc>
        <w:tc>
          <w:tcPr>
            <w:tcW w:w="1844" w:type="dxa"/>
            <w:vAlign w:val="center"/>
          </w:tcPr>
          <w:p w14:paraId="7E052BC4">
            <w:pPr>
              <w:pStyle w:val="30"/>
              <w:ind w:firstLine="0" w:firstLineChars="0"/>
              <w:jc w:val="right"/>
              <w:rPr>
                <w:rFonts w:ascii="Times New Roman" w:hAnsi="Times New Roman"/>
                <w:szCs w:val="21"/>
              </w:rPr>
            </w:pPr>
            <w:r>
              <w:rPr>
                <w:rFonts w:ascii="Times New Roman" w:hAnsi="Times New Roman"/>
              </w:rPr>
              <w:t>200.39</w:t>
            </w:r>
          </w:p>
        </w:tc>
      </w:tr>
      <w:tr w14:paraId="72F6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vAlign w:val="center"/>
          </w:tcPr>
          <w:p w14:paraId="36D6E503">
            <w:pPr>
              <w:pStyle w:val="30"/>
              <w:ind w:firstLine="0" w:firstLineChars="0"/>
              <w:rPr>
                <w:rFonts w:ascii="宋体" w:hAnsi="宋体"/>
                <w:szCs w:val="21"/>
              </w:rPr>
            </w:pPr>
            <w:r>
              <w:rPr>
                <w:rFonts w:hint="eastAsia" w:ascii="宋体" w:hAnsi="宋体"/>
                <w:szCs w:val="21"/>
              </w:rPr>
              <w:t>研发费用</w:t>
            </w:r>
          </w:p>
        </w:tc>
        <w:tc>
          <w:tcPr>
            <w:tcW w:w="2128" w:type="dxa"/>
            <w:vAlign w:val="center"/>
          </w:tcPr>
          <w:p w14:paraId="182975A4">
            <w:pPr>
              <w:pStyle w:val="30"/>
              <w:ind w:firstLine="0" w:firstLineChars="0"/>
              <w:jc w:val="right"/>
              <w:rPr>
                <w:rFonts w:ascii="Times New Roman" w:hAnsi="Times New Roman"/>
                <w:szCs w:val="21"/>
              </w:rPr>
            </w:pPr>
            <w:r>
              <w:rPr>
                <w:rFonts w:ascii="Times New Roman" w:hAnsi="Times New Roman"/>
              </w:rPr>
              <w:t>167,122,024.63</w:t>
            </w:r>
          </w:p>
        </w:tc>
        <w:tc>
          <w:tcPr>
            <w:tcW w:w="1987" w:type="dxa"/>
            <w:vAlign w:val="center"/>
          </w:tcPr>
          <w:p w14:paraId="4259012D">
            <w:pPr>
              <w:widowControl w:val="0"/>
              <w:jc w:val="right"/>
            </w:pPr>
            <w:r>
              <w:t>99,304,946.78</w:t>
            </w:r>
          </w:p>
        </w:tc>
        <w:tc>
          <w:tcPr>
            <w:tcW w:w="1844" w:type="dxa"/>
            <w:vAlign w:val="center"/>
          </w:tcPr>
          <w:p w14:paraId="5D74724C">
            <w:pPr>
              <w:pStyle w:val="30"/>
              <w:ind w:firstLine="0" w:firstLineChars="0"/>
              <w:jc w:val="right"/>
              <w:rPr>
                <w:rFonts w:ascii="Times New Roman" w:hAnsi="Times New Roman"/>
                <w:szCs w:val="21"/>
              </w:rPr>
            </w:pPr>
            <w:r>
              <w:rPr>
                <w:rFonts w:ascii="Times New Roman" w:hAnsi="Times New Roman"/>
              </w:rPr>
              <w:t>68.29</w:t>
            </w:r>
          </w:p>
        </w:tc>
      </w:tr>
      <w:tr w14:paraId="2890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vAlign w:val="center"/>
          </w:tcPr>
          <w:p w14:paraId="229C5276">
            <w:pPr>
              <w:pStyle w:val="30"/>
              <w:ind w:firstLine="0" w:firstLineChars="0"/>
              <w:rPr>
                <w:rFonts w:ascii="宋体" w:hAnsi="宋体"/>
                <w:szCs w:val="21"/>
              </w:rPr>
            </w:pPr>
            <w:r>
              <w:rPr>
                <w:rFonts w:ascii="宋体" w:hAnsi="宋体"/>
                <w:szCs w:val="21"/>
              </w:rPr>
              <w:t>经营活动产生的现金流量净额</w:t>
            </w:r>
          </w:p>
        </w:tc>
        <w:tc>
          <w:tcPr>
            <w:tcW w:w="2128" w:type="dxa"/>
            <w:vAlign w:val="center"/>
          </w:tcPr>
          <w:p w14:paraId="1C1A5750">
            <w:pPr>
              <w:pStyle w:val="30"/>
              <w:ind w:firstLine="0" w:firstLineChars="0"/>
              <w:jc w:val="right"/>
              <w:rPr>
                <w:rFonts w:ascii="Times New Roman" w:hAnsi="Times New Roman"/>
                <w:szCs w:val="21"/>
              </w:rPr>
            </w:pPr>
            <w:r>
              <w:rPr>
                <w:rFonts w:ascii="Times New Roman" w:hAnsi="Times New Roman"/>
              </w:rPr>
              <w:t>689,225,249.83</w:t>
            </w:r>
          </w:p>
        </w:tc>
        <w:tc>
          <w:tcPr>
            <w:tcW w:w="1987" w:type="dxa"/>
            <w:vAlign w:val="center"/>
          </w:tcPr>
          <w:p w14:paraId="2190D2EF">
            <w:pPr>
              <w:widowControl w:val="0"/>
              <w:jc w:val="right"/>
            </w:pPr>
            <w:r>
              <w:t>462,328,859.95</w:t>
            </w:r>
          </w:p>
        </w:tc>
        <w:tc>
          <w:tcPr>
            <w:tcW w:w="1844" w:type="dxa"/>
            <w:vAlign w:val="center"/>
          </w:tcPr>
          <w:p w14:paraId="7479FE34">
            <w:pPr>
              <w:pStyle w:val="30"/>
              <w:ind w:firstLine="0" w:firstLineChars="0"/>
              <w:jc w:val="right"/>
              <w:rPr>
                <w:rFonts w:ascii="Times New Roman" w:hAnsi="Times New Roman"/>
                <w:szCs w:val="21"/>
              </w:rPr>
            </w:pPr>
            <w:r>
              <w:rPr>
                <w:rFonts w:ascii="Times New Roman" w:hAnsi="Times New Roman"/>
              </w:rPr>
              <w:t>49.08</w:t>
            </w:r>
          </w:p>
        </w:tc>
      </w:tr>
      <w:tr w14:paraId="4940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vAlign w:val="center"/>
          </w:tcPr>
          <w:p w14:paraId="3EA5C261">
            <w:pPr>
              <w:pStyle w:val="30"/>
              <w:ind w:firstLine="0" w:firstLineChars="0"/>
              <w:rPr>
                <w:rFonts w:ascii="宋体" w:hAnsi="宋体"/>
                <w:szCs w:val="21"/>
              </w:rPr>
            </w:pPr>
            <w:r>
              <w:rPr>
                <w:rFonts w:ascii="宋体" w:hAnsi="宋体"/>
                <w:szCs w:val="21"/>
              </w:rPr>
              <w:t>投资活动产生的现金流量净额</w:t>
            </w:r>
          </w:p>
        </w:tc>
        <w:tc>
          <w:tcPr>
            <w:tcW w:w="2128" w:type="dxa"/>
            <w:vAlign w:val="center"/>
          </w:tcPr>
          <w:p w14:paraId="6B6B73B3">
            <w:pPr>
              <w:pStyle w:val="30"/>
              <w:ind w:firstLine="0" w:firstLineChars="0"/>
              <w:jc w:val="right"/>
              <w:rPr>
                <w:rFonts w:ascii="Times New Roman" w:hAnsi="Times New Roman"/>
                <w:szCs w:val="21"/>
              </w:rPr>
            </w:pPr>
            <w:r>
              <w:rPr>
                <w:rFonts w:ascii="Times New Roman" w:hAnsi="Times New Roman"/>
              </w:rPr>
              <w:t>785,125,511.46</w:t>
            </w:r>
          </w:p>
        </w:tc>
        <w:tc>
          <w:tcPr>
            <w:tcW w:w="1987" w:type="dxa"/>
            <w:vAlign w:val="center"/>
          </w:tcPr>
          <w:p w14:paraId="54AC23EB">
            <w:pPr>
              <w:widowControl w:val="0"/>
              <w:jc w:val="right"/>
            </w:pPr>
            <w:r>
              <w:t>-568,921,382.68</w:t>
            </w:r>
          </w:p>
        </w:tc>
        <w:tc>
          <w:tcPr>
            <w:tcW w:w="1844" w:type="dxa"/>
            <w:vAlign w:val="center"/>
          </w:tcPr>
          <w:p w14:paraId="67036E61">
            <w:pPr>
              <w:pStyle w:val="30"/>
              <w:ind w:firstLine="0" w:firstLineChars="0"/>
              <w:jc w:val="right"/>
              <w:rPr>
                <w:rFonts w:ascii="宋体" w:hAnsi="宋体"/>
                <w:szCs w:val="21"/>
              </w:rPr>
            </w:pPr>
            <w:r>
              <w:t>不适用</w:t>
            </w:r>
          </w:p>
        </w:tc>
      </w:tr>
      <w:tr w14:paraId="45D5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vAlign w:val="center"/>
          </w:tcPr>
          <w:p w14:paraId="455549A6">
            <w:pPr>
              <w:pStyle w:val="30"/>
              <w:ind w:firstLine="0" w:firstLineChars="0"/>
              <w:rPr>
                <w:rFonts w:ascii="宋体" w:hAnsi="宋体"/>
                <w:szCs w:val="21"/>
              </w:rPr>
            </w:pPr>
            <w:r>
              <w:rPr>
                <w:rFonts w:ascii="宋体" w:hAnsi="宋体"/>
                <w:szCs w:val="21"/>
              </w:rPr>
              <w:t>筹资活动产生的现金流量净额</w:t>
            </w:r>
          </w:p>
        </w:tc>
        <w:tc>
          <w:tcPr>
            <w:tcW w:w="2128" w:type="dxa"/>
            <w:vAlign w:val="center"/>
          </w:tcPr>
          <w:p w14:paraId="3C73CA5D">
            <w:pPr>
              <w:pStyle w:val="30"/>
              <w:ind w:firstLine="0" w:firstLineChars="0"/>
              <w:jc w:val="right"/>
              <w:rPr>
                <w:rFonts w:ascii="Times New Roman" w:hAnsi="Times New Roman"/>
                <w:szCs w:val="21"/>
              </w:rPr>
            </w:pPr>
            <w:r>
              <w:rPr>
                <w:rFonts w:ascii="Times New Roman" w:hAnsi="Times New Roman"/>
              </w:rPr>
              <w:t>-639,436,055.28</w:t>
            </w:r>
          </w:p>
        </w:tc>
        <w:tc>
          <w:tcPr>
            <w:tcW w:w="1987" w:type="dxa"/>
            <w:vAlign w:val="center"/>
          </w:tcPr>
          <w:p w14:paraId="03C07ABE">
            <w:pPr>
              <w:widowControl w:val="0"/>
              <w:jc w:val="right"/>
            </w:pPr>
            <w:r>
              <w:t>-407,760,884.49</w:t>
            </w:r>
          </w:p>
        </w:tc>
        <w:tc>
          <w:tcPr>
            <w:tcW w:w="1844" w:type="dxa"/>
            <w:vAlign w:val="center"/>
          </w:tcPr>
          <w:p w14:paraId="3F634A0D">
            <w:pPr>
              <w:pStyle w:val="30"/>
              <w:ind w:firstLine="0" w:firstLineChars="0"/>
              <w:jc w:val="right"/>
              <w:rPr>
                <w:rFonts w:ascii="宋体" w:hAnsi="宋体"/>
                <w:szCs w:val="21"/>
              </w:rPr>
            </w:pPr>
            <w:r>
              <w:t>不适用</w:t>
            </w:r>
          </w:p>
        </w:tc>
      </w:tr>
      <w:bookmarkEnd w:id="46"/>
    </w:tbl>
    <w:p w14:paraId="78710559">
      <w:pPr>
        <w:pStyle w:val="30"/>
        <w:spacing w:line="360" w:lineRule="auto"/>
        <w:ind w:firstLine="0" w:firstLineChars="0"/>
        <w:jc w:val="left"/>
        <w:rPr>
          <w:rFonts w:ascii="宋体" w:hAnsi="宋体"/>
        </w:rPr>
      </w:pPr>
      <w:r>
        <w:rPr>
          <w:rFonts w:hint="eastAsia" w:ascii="宋体" w:hAnsi="宋体"/>
        </w:rPr>
        <w:t>营业收入变动原因说明：</w:t>
      </w:r>
      <w:sdt>
        <w:sdtPr>
          <w:rPr>
            <w:rFonts w:ascii="宋体" w:hAnsi="宋体"/>
            <w:szCs w:val="21"/>
          </w:rPr>
          <w:alias w:val="营业收入变动原因说明"/>
          <w:tag w:val="_GBC_02f544181db247728469e929886776a1"/>
          <w:id w:val="1796635379"/>
          <w:placeholder>
            <w:docPart w:val="GBC22222222222222222222222222222"/>
          </w:placeholder>
        </w:sdtPr>
        <w:sdtEndPr>
          <w:rPr>
            <w:rFonts w:ascii="宋体" w:hAnsi="宋体"/>
            <w:szCs w:val="21"/>
          </w:rPr>
        </w:sdtEndPr>
        <w:sdtContent>
          <w:r>
            <w:rPr>
              <w:rFonts w:hint="eastAsia" w:ascii="宋体" w:hAnsi="宋体"/>
              <w:szCs w:val="21"/>
            </w:rPr>
            <w:t>主要系报告期胰岛素类似物产品销量增长显著，带动国内销售收入增长，同时上年同期在胰岛素注射液系列产品集采续标实施前，商业公司对库存进行控制与调整，使公司发货减少致同期收入减少所致。</w:t>
          </w:r>
        </w:sdtContent>
      </w:sdt>
    </w:p>
    <w:p w14:paraId="04071D8E">
      <w:pPr>
        <w:pStyle w:val="30"/>
        <w:spacing w:line="360" w:lineRule="auto"/>
        <w:ind w:firstLine="0" w:firstLineChars="0"/>
        <w:jc w:val="left"/>
        <w:rPr>
          <w:rFonts w:ascii="宋体" w:hAnsi="宋体"/>
        </w:rPr>
      </w:pPr>
      <w:r>
        <w:rPr>
          <w:rFonts w:hint="eastAsia" w:ascii="宋体" w:hAnsi="宋体"/>
        </w:rPr>
        <w:t>营业成本变动原因说明：</w:t>
      </w:r>
      <w:sdt>
        <w:sdtPr>
          <w:rPr>
            <w:rFonts w:hint="eastAsia" w:ascii="宋体" w:hAnsi="宋体"/>
          </w:rPr>
          <w:alias w:val="营业成本变动原因说明"/>
          <w:tag w:val="_GBC_cc56ae4655044c7092acfc9c59da077d"/>
          <w:id w:val="382076273"/>
          <w:placeholder>
            <w:docPart w:val="GBC22222222222222222222222222222"/>
          </w:placeholder>
        </w:sdtPr>
        <w:sdtEndPr>
          <w:rPr>
            <w:rFonts w:hint="eastAsia" w:ascii="宋体" w:hAnsi="宋体"/>
          </w:rPr>
        </w:sdtEndPr>
        <w:sdtContent>
          <w:r>
            <w:rPr>
              <w:rFonts w:hint="eastAsia" w:ascii="宋体" w:hAnsi="宋体"/>
            </w:rPr>
            <w:t>主要系报告期公司胰岛素系列产品销量较同期增长显著，其营业收入大幅增加，营业成本随之变动所致。</w:t>
          </w:r>
        </w:sdtContent>
      </w:sdt>
    </w:p>
    <w:p w14:paraId="7E71B09F">
      <w:pPr>
        <w:pStyle w:val="30"/>
        <w:spacing w:line="360" w:lineRule="auto"/>
        <w:ind w:firstLine="0" w:firstLineChars="0"/>
        <w:jc w:val="left"/>
        <w:rPr>
          <w:rFonts w:ascii="宋体" w:hAnsi="宋体"/>
        </w:rPr>
      </w:pPr>
      <w:r>
        <w:rPr>
          <w:rFonts w:hint="eastAsia" w:ascii="宋体" w:hAnsi="宋体"/>
        </w:rPr>
        <w:t>销售费用变动原因说明：</w:t>
      </w:r>
      <w:sdt>
        <w:sdtPr>
          <w:rPr>
            <w:rFonts w:hint="eastAsia" w:ascii="宋体" w:hAnsi="宋体"/>
          </w:rPr>
          <w:alias w:val="销售费用变动原因说明"/>
          <w:tag w:val="_GBC_c5a5f680c2ee494fb0392b5c43f82ada"/>
          <w:id w:val="120666517"/>
          <w:placeholder>
            <w:docPart w:val="GBC22222222222222222222222222222"/>
          </w:placeholder>
        </w:sdtPr>
        <w:sdtEndPr>
          <w:rPr>
            <w:rFonts w:hint="eastAsia" w:ascii="宋体" w:hAnsi="宋体"/>
          </w:rPr>
        </w:sdtEndPr>
        <w:sdtContent>
          <w:r>
            <w:rPr>
              <w:rFonts w:hint="eastAsia" w:ascii="宋体" w:hAnsi="宋体"/>
            </w:rPr>
            <w:t>主要系报告期销售人员薪酬增加所致。</w:t>
          </w:r>
        </w:sdtContent>
      </w:sdt>
    </w:p>
    <w:p w14:paraId="37A4E795">
      <w:pPr>
        <w:pStyle w:val="30"/>
        <w:spacing w:line="360" w:lineRule="auto"/>
        <w:ind w:firstLine="0" w:firstLineChars="0"/>
        <w:jc w:val="left"/>
        <w:rPr>
          <w:rFonts w:ascii="宋体" w:hAnsi="宋体"/>
        </w:rPr>
      </w:pPr>
      <w:r>
        <w:rPr>
          <w:rFonts w:hint="eastAsia" w:ascii="宋体" w:hAnsi="宋体"/>
        </w:rPr>
        <w:t>管理费用变动原因说明：</w:t>
      </w:r>
      <w:sdt>
        <w:sdtPr>
          <w:rPr>
            <w:rFonts w:hint="eastAsia" w:ascii="宋体" w:hAnsi="宋体"/>
          </w:rPr>
          <w:alias w:val="管理费用变动原因说明"/>
          <w:tag w:val="_GBC_706b1fc7f80c45629d6554f783797e4f"/>
          <w:id w:val="1359389514"/>
          <w:placeholder>
            <w:docPart w:val="GBC22222222222222222222222222222"/>
          </w:placeholder>
        </w:sdtPr>
        <w:sdtEndPr>
          <w:rPr>
            <w:rFonts w:hint="eastAsia" w:ascii="宋体" w:hAnsi="宋体"/>
          </w:rPr>
        </w:sdtEndPr>
        <w:sdtContent>
          <w:r>
            <w:rPr>
              <w:rFonts w:hint="eastAsia" w:ascii="宋体" w:hAnsi="宋体"/>
            </w:rPr>
            <w:t>主要系报告期折旧费用及维修费用较同期减少所致。</w:t>
          </w:r>
        </w:sdtContent>
      </w:sdt>
    </w:p>
    <w:p w14:paraId="6113987C">
      <w:pPr>
        <w:pStyle w:val="30"/>
        <w:spacing w:line="360" w:lineRule="auto"/>
        <w:ind w:firstLine="0" w:firstLineChars="0"/>
        <w:jc w:val="left"/>
        <w:rPr>
          <w:rFonts w:ascii="宋体" w:hAnsi="宋体"/>
        </w:rPr>
      </w:pPr>
      <w:r>
        <w:rPr>
          <w:rFonts w:hint="eastAsia" w:ascii="宋体" w:hAnsi="宋体"/>
        </w:rPr>
        <w:t>财务费用变动原因说明：</w:t>
      </w:r>
      <w:sdt>
        <w:sdtPr>
          <w:rPr>
            <w:rFonts w:hint="eastAsia" w:ascii="宋体" w:hAnsi="宋体"/>
          </w:rPr>
          <w:alias w:val="财务费用变动原因说明"/>
          <w:tag w:val="_GBC_ae0e447440184dbb94565c35b97d07a6"/>
          <w:id w:val="-1644119808"/>
          <w:placeholder>
            <w:docPart w:val="GBC22222222222222222222222222222"/>
          </w:placeholder>
        </w:sdtPr>
        <w:sdtEndPr>
          <w:rPr>
            <w:rFonts w:hint="eastAsia" w:ascii="宋体" w:hAnsi="宋体"/>
          </w:rPr>
        </w:sdtEndPr>
        <w:sdtContent>
          <w:r>
            <w:rPr>
              <w:rFonts w:hint="eastAsia" w:ascii="宋体" w:hAnsi="宋体"/>
            </w:rPr>
            <w:t>主要系报告期银行借款利息支出较同期增加所致。</w:t>
          </w:r>
        </w:sdtContent>
      </w:sdt>
    </w:p>
    <w:p w14:paraId="7C4D8C52">
      <w:pPr>
        <w:pStyle w:val="30"/>
        <w:spacing w:line="360" w:lineRule="auto"/>
        <w:ind w:firstLine="0" w:firstLineChars="0"/>
        <w:jc w:val="left"/>
        <w:rPr>
          <w:rFonts w:ascii="宋体" w:hAnsi="宋体"/>
        </w:rPr>
      </w:pPr>
      <w:r>
        <w:rPr>
          <w:rFonts w:hint="eastAsia" w:ascii="宋体" w:hAnsi="宋体"/>
        </w:rPr>
        <w:t>研发费用变动原因说明</w:t>
      </w:r>
      <w:r>
        <w:rPr>
          <w:rFonts w:ascii="宋体" w:hAnsi="宋体"/>
        </w:rPr>
        <w:t>：</w:t>
      </w:r>
      <w:sdt>
        <w:sdtPr>
          <w:rPr>
            <w:rFonts w:ascii="宋体" w:hAnsi="宋体"/>
          </w:rPr>
          <w:alias w:val="研发费用变动原因说明"/>
          <w:tag w:val="_GBC_310391efac0f4742813d80035c784df4"/>
          <w:id w:val="-1904748092"/>
          <w:placeholder>
            <w:docPart w:val="GBC22222222222222222222222222222"/>
          </w:placeholder>
        </w:sdtPr>
        <w:sdtEndPr>
          <w:rPr>
            <w:rFonts w:ascii="宋体" w:hAnsi="宋体"/>
          </w:rPr>
        </w:sdtEndPr>
        <w:sdtContent>
          <w:r>
            <w:rPr>
              <w:rFonts w:hint="eastAsia" w:ascii="宋体" w:hAnsi="宋体"/>
            </w:rPr>
            <w:t>主要系报告期母公司及子公司上海隆棵药业有限公司费用化投入较同期增加所致。</w:t>
          </w:r>
        </w:sdtContent>
      </w:sdt>
    </w:p>
    <w:p w14:paraId="4AA9660E">
      <w:pPr>
        <w:pStyle w:val="30"/>
        <w:spacing w:line="360" w:lineRule="auto"/>
        <w:ind w:firstLine="0" w:firstLineChars="0"/>
        <w:jc w:val="left"/>
        <w:rPr>
          <w:rFonts w:ascii="宋体" w:hAnsi="宋体"/>
        </w:rPr>
      </w:pPr>
      <w:r>
        <w:rPr>
          <w:rFonts w:ascii="宋体" w:hAnsi="宋体"/>
          <w:szCs w:val="21"/>
        </w:rPr>
        <w:t>经营活动产生的现金流量净额</w:t>
      </w:r>
      <w:r>
        <w:rPr>
          <w:rFonts w:hint="eastAsia" w:ascii="宋体" w:hAnsi="宋体"/>
          <w:szCs w:val="21"/>
        </w:rPr>
        <w:t>变动原因说明：</w:t>
      </w:r>
      <w:sdt>
        <w:sdtPr>
          <w:rPr>
            <w:rFonts w:hint="eastAsia" w:ascii="宋体" w:hAnsi="宋体"/>
            <w:szCs w:val="21"/>
          </w:rPr>
          <w:alias w:val="经营活动产生的现金流量净额变动原因说明"/>
          <w:tag w:val="_GBC_5968661d4f024738ae5c039168b68a45"/>
          <w:id w:val="-1706326420"/>
          <w:placeholder>
            <w:docPart w:val="GBC22222222222222222222222222222"/>
          </w:placeholder>
        </w:sdtPr>
        <w:sdtEndPr>
          <w:rPr>
            <w:rFonts w:hint="eastAsia" w:ascii="宋体" w:hAnsi="宋体"/>
            <w:szCs w:val="21"/>
          </w:rPr>
        </w:sdtEndPr>
        <w:sdtContent>
          <w:r>
            <w:rPr>
              <w:rFonts w:hint="eastAsia" w:ascii="宋体" w:hAnsi="宋体"/>
              <w:szCs w:val="21"/>
            </w:rPr>
            <w:t>主要系报告期销售商品、提供劳务收到的现金增加所致。</w:t>
          </w:r>
        </w:sdtContent>
      </w:sdt>
    </w:p>
    <w:p w14:paraId="0E439346">
      <w:pPr>
        <w:pStyle w:val="30"/>
        <w:spacing w:line="360" w:lineRule="auto"/>
        <w:ind w:firstLine="0" w:firstLineChars="0"/>
        <w:jc w:val="left"/>
        <w:rPr>
          <w:rFonts w:ascii="宋体" w:hAnsi="宋体"/>
        </w:rPr>
      </w:pPr>
      <w:r>
        <w:rPr>
          <w:rFonts w:ascii="宋体" w:hAnsi="宋体"/>
          <w:szCs w:val="21"/>
        </w:rPr>
        <w:t>投资活动产生的现金流量净额</w:t>
      </w:r>
      <w:r>
        <w:rPr>
          <w:rFonts w:hint="eastAsia" w:ascii="宋体" w:hAnsi="宋体"/>
          <w:szCs w:val="21"/>
        </w:rPr>
        <w:t>变动原因说明：</w:t>
      </w:r>
      <w:sdt>
        <w:sdtPr>
          <w:rPr>
            <w:rFonts w:hint="eastAsia" w:ascii="宋体" w:hAnsi="宋体"/>
            <w:szCs w:val="21"/>
          </w:rPr>
          <w:alias w:val="投资活动产生的现金流量净额变动原因说明"/>
          <w:tag w:val="_GBC_08880b3f89054510a8ebc03403516e54"/>
          <w:id w:val="1216236698"/>
          <w:placeholder>
            <w:docPart w:val="GBC22222222222222222222222222222"/>
          </w:placeholder>
        </w:sdtPr>
        <w:sdtEndPr>
          <w:rPr>
            <w:rFonts w:hint="eastAsia" w:ascii="宋体" w:hAnsi="宋体"/>
            <w:szCs w:val="21"/>
          </w:rPr>
        </w:sdtEndPr>
        <w:sdtContent>
          <w:r>
            <w:rPr>
              <w:rFonts w:hint="eastAsia" w:ascii="宋体" w:hAnsi="宋体"/>
              <w:szCs w:val="21"/>
            </w:rPr>
            <w:t>主要系报告期内收到转让特宝生物股份款项所致。</w:t>
          </w:r>
        </w:sdtContent>
      </w:sdt>
    </w:p>
    <w:p w14:paraId="66232EE2">
      <w:pPr>
        <w:pStyle w:val="30"/>
        <w:spacing w:line="360" w:lineRule="auto"/>
        <w:ind w:firstLine="0" w:firstLineChars="0"/>
        <w:jc w:val="left"/>
        <w:rPr>
          <w:rFonts w:ascii="宋体" w:hAnsi="宋体"/>
        </w:rPr>
      </w:pPr>
      <w:r>
        <w:rPr>
          <w:rFonts w:ascii="宋体" w:hAnsi="宋体"/>
          <w:szCs w:val="21"/>
        </w:rPr>
        <w:t>筹资活动产生的现金流量净额</w:t>
      </w:r>
      <w:r>
        <w:rPr>
          <w:rFonts w:hint="eastAsia" w:ascii="宋体" w:hAnsi="宋体"/>
          <w:szCs w:val="21"/>
        </w:rPr>
        <w:t>变动原因说明：</w:t>
      </w:r>
      <w:sdt>
        <w:sdtPr>
          <w:rPr>
            <w:rFonts w:hint="eastAsia" w:ascii="宋体" w:hAnsi="宋体"/>
            <w:szCs w:val="21"/>
          </w:rPr>
          <w:alias w:val="筹资活动产生的现金流量净额变动原因说明"/>
          <w:tag w:val="_GBC_69e60bcce703432885fa32dfc7a0a266"/>
          <w:id w:val="246073832"/>
          <w:placeholder>
            <w:docPart w:val="GBC22222222222222222222222222222"/>
          </w:placeholder>
        </w:sdtPr>
        <w:sdtEndPr>
          <w:rPr>
            <w:rFonts w:hint="eastAsia" w:ascii="宋体" w:hAnsi="宋体"/>
            <w:szCs w:val="21"/>
          </w:rPr>
        </w:sdtEndPr>
        <w:sdtContent>
          <w:r>
            <w:rPr>
              <w:rFonts w:hint="eastAsia" w:ascii="宋体" w:hAnsi="宋体"/>
              <w:szCs w:val="21"/>
            </w:rPr>
            <w:t>主要系报告期取得银行借款较同期减少同时偿还银行借款较同期增加，以及上年同期归还应收账款保理融资款项所致。</w:t>
          </w:r>
        </w:sdtContent>
      </w:sdt>
    </w:p>
    <w:bookmarkEnd w:id="44"/>
    <w:bookmarkEnd w:id="45"/>
    <w:p w14:paraId="2F7F1CD5">
      <w:pPr>
        <w:pStyle w:val="48"/>
      </w:pPr>
    </w:p>
    <w:p w14:paraId="6867CD3C">
      <w:pPr>
        <w:pStyle w:val="48"/>
      </w:pPr>
      <w:bookmarkStart w:id="47" w:name="_Hlk89098827"/>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886924792"/>
        <w:placeholder>
          <w:docPart w:val="GBC22222222222222222222222222222"/>
        </w:placeholder>
      </w:sdtPr>
      <w:sdtContent>
        <w:p w14:paraId="12F03EF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DF1E492">
      <w:pPr>
        <w:pStyle w:val="48"/>
      </w:pPr>
    </w:p>
    <w:bookmarkEnd w:id="47"/>
    <w:p w14:paraId="2853F58F">
      <w:pPr>
        <w:pStyle w:val="5"/>
        <w:numPr>
          <w:ilvl w:val="0"/>
          <w:numId w:val="9"/>
        </w:numPr>
      </w:pPr>
      <w:r>
        <w:rPr>
          <w:rFonts w:hint="eastAsia"/>
        </w:rPr>
        <w:t>收入和成本分析</w:t>
      </w:r>
    </w:p>
    <w:sdt>
      <w:sdtPr>
        <w:alias w:val="是否适用：收入和成本分析[双击切换]"/>
        <w:tag w:val="_GBC_c1a771ff956341da84dd26322335800f"/>
        <w:id w:val="-718271612"/>
        <w:placeholder>
          <w:docPart w:val="GBC22222222222222222222222222222"/>
        </w:placeholder>
      </w:sdtPr>
      <w:sdtContent>
        <w:p w14:paraId="1B752F22">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收入和成本分析情况说明"/>
        <w:tag w:val="_GBC_131edb1aaeab4cb388abf65651cf901e"/>
        <w:id w:val="1203358335"/>
        <w:placeholder>
          <w:docPart w:val="GBC22222222222222222222222222222"/>
        </w:placeholder>
      </w:sdtPr>
      <w:sdtEndPr>
        <w:rPr>
          <w:rFonts w:hint="eastAsia"/>
        </w:rPr>
      </w:sdtEndPr>
      <w:sdtContent>
        <w:p w14:paraId="198A79E4">
          <w:pPr>
            <w:tabs>
              <w:tab w:val="left" w:pos="851"/>
            </w:tabs>
            <w:spacing w:line="360" w:lineRule="auto"/>
            <w:ind w:firstLine="420" w:firstLineChars="200"/>
            <w:jc w:val="both"/>
          </w:pPr>
          <w:sdt>
            <w:sdtPr>
              <w:alias w:val="收入和成本分析情况说明"/>
              <w:tag w:val="_GBC_131edb1aaeab4cb388abf65651cf901e"/>
              <w:id w:val="4795632"/>
            </w:sdtPr>
            <w:sdtContent>
              <w:r>
                <w:rPr>
                  <w:rFonts w:hint="eastAsia"/>
                </w:rPr>
                <w:t>202</w:t>
              </w:r>
              <w:r>
                <w:t>5</w:t>
              </w:r>
              <w:r>
                <w:rPr>
                  <w:rFonts w:hint="eastAsia"/>
                </w:rPr>
                <w:t>年，公司认真贯彻落实董事会制定的发展目标，积极应对医药行业的政策变化及</w:t>
              </w:r>
              <w:r>
                <w:t>胰岛素</w:t>
              </w:r>
              <w:r>
                <w:rPr>
                  <w:rFonts w:hint="eastAsia"/>
                </w:rPr>
                <w:t>集</w:t>
              </w:r>
              <w:r>
                <w:t>采</w:t>
              </w:r>
              <w:r>
                <w:rPr>
                  <w:rFonts w:hint="eastAsia"/>
                </w:rPr>
                <w:t>价格</w:t>
              </w:r>
              <w:r>
                <w:t>下降的影响</w:t>
              </w:r>
              <w:r>
                <w:rPr>
                  <w:rFonts w:hint="eastAsia"/>
                </w:rPr>
                <w:t>，不断深化营销网络，抓好重点品种人胰岛素（注册商标：甘舒霖）、甘精胰岛素（注册商标：平舒霖）、门冬胰岛素（注册商标：锐舒霖）、利拉鲁肽注射液（注册商标：统博力）、恩格列净片（注册商标：唐捷恩）的销售工作，深耕基层市场，加强学术推广，提升企业品牌和树立产品形象，促进胰</w:t>
              </w:r>
              <w:r>
                <w:t>岛素产品</w:t>
              </w:r>
              <w:r>
                <w:rPr>
                  <w:rFonts w:hint="eastAsia"/>
                </w:rPr>
                <w:t>销量稳定增长，保持了企业健康稳定的发展态势。</w:t>
              </w:r>
            </w:sdtContent>
          </w:sdt>
        </w:p>
      </w:sdtContent>
    </w:sdt>
    <w:p w14:paraId="1B8E230C">
      <w:pPr>
        <w:tabs>
          <w:tab w:val="left" w:pos="851"/>
        </w:tabs>
      </w:pPr>
    </w:p>
    <w:p w14:paraId="439719DF">
      <w:pPr>
        <w:pStyle w:val="6"/>
        <w:numPr>
          <w:ilvl w:val="0"/>
          <w:numId w:val="10"/>
        </w:numPr>
        <w:tabs>
          <w:tab w:val="left" w:pos="567"/>
        </w:tabs>
        <w:ind w:leftChars="0"/>
      </w:pPr>
      <w:bookmarkStart w:id="48" w:name="_Toc340829716"/>
      <w:bookmarkStart w:id="49" w:name="_Toc342565904"/>
      <w:bookmarkStart w:id="50" w:name="_Toc342559756"/>
      <w:bookmarkStart w:id="51" w:name="_Hlk89876312"/>
      <w:r>
        <w:t>主营业务</w:t>
      </w:r>
      <w:r>
        <w:rPr>
          <w:rFonts w:hint="eastAsia"/>
        </w:rPr>
        <w:t>分</w:t>
      </w:r>
      <w:r>
        <w:t>行业</w:t>
      </w:r>
      <w:r>
        <w:rPr>
          <w:rFonts w:hint="eastAsia"/>
        </w:rPr>
        <w:t>、分</w:t>
      </w:r>
      <w:r>
        <w:t>产品</w:t>
      </w:r>
      <w:r>
        <w:rPr>
          <w:rFonts w:hint="eastAsia"/>
        </w:rPr>
        <w:t>、分地区、分销售模式情况</w:t>
      </w:r>
      <w:bookmarkEnd w:id="48"/>
      <w:bookmarkEnd w:id="49"/>
      <w:bookmarkEnd w:id="50"/>
    </w:p>
    <w:p w14:paraId="0F44091B">
      <w:pPr>
        <w:jc w:val="right"/>
      </w:pPr>
      <w:r>
        <w:rPr>
          <w:rFonts w:hint="eastAsia"/>
        </w:rPr>
        <w:t>单位：</w:t>
      </w:r>
      <w:sdt>
        <w:sdtPr>
          <w:alias w:val="单位：主营业务分行业、分产品情况表"/>
          <w:tag w:val="_GBC_f77c8e6b92b44adf9014b95a44af704b"/>
          <w:id w:val="-8793205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alias w:val="币种：主营业务分行业、分产品情况表"/>
          <w:tag w:val="_GBC_3341f58078504155bf0c18cadb3b7f9d"/>
          <w:id w:val="10823387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20"/>
        <w:tblW w:w="9480"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60"/>
        <w:gridCol w:w="1421"/>
        <w:gridCol w:w="1236"/>
        <w:gridCol w:w="1236"/>
        <w:gridCol w:w="1236"/>
        <w:gridCol w:w="1231"/>
      </w:tblGrid>
      <w:tr w14:paraId="70FD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033a4d190942bd99650d59a8d741f9"/>
            <w:id w:val="-1240016484"/>
          </w:sdtPr>
          <w:sdtContent>
            <w:tc>
              <w:tcPr>
                <w:tcW w:w="9480" w:type="dxa"/>
                <w:gridSpan w:val="7"/>
                <w:vAlign w:val="center"/>
              </w:tcPr>
              <w:p w14:paraId="47DBB4AF">
                <w:pPr>
                  <w:widowControl w:val="0"/>
                  <w:jc w:val="center"/>
                </w:pPr>
                <w:r>
                  <w:rPr>
                    <w:rFonts w:hint="eastAsia"/>
                  </w:rPr>
                  <w:t>主营业务分行业情况</w:t>
                </w:r>
              </w:p>
            </w:tc>
          </w:sdtContent>
        </w:sdt>
      </w:tr>
      <w:tr w14:paraId="4B04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b888f46a9d64f09b94dccfab854ad45"/>
            <w:id w:val="-1533333727"/>
          </w:sdtPr>
          <w:sdtContent>
            <w:tc>
              <w:tcPr>
                <w:tcW w:w="1560" w:type="dxa"/>
                <w:vAlign w:val="center"/>
              </w:tcPr>
              <w:p w14:paraId="095A3F4F">
                <w:pPr>
                  <w:widowControl w:val="0"/>
                  <w:jc w:val="center"/>
                </w:pPr>
                <w:r>
                  <w:t>分行业</w:t>
                </w:r>
              </w:p>
            </w:tc>
          </w:sdtContent>
        </w:sdt>
        <w:sdt>
          <w:sdtPr>
            <w:tag w:val="_PLD_7fe8bd490c23482eac6c726b40c3125c"/>
            <w:id w:val="1666508623"/>
          </w:sdtPr>
          <w:sdtContent>
            <w:tc>
              <w:tcPr>
                <w:tcW w:w="1560" w:type="dxa"/>
                <w:vAlign w:val="center"/>
              </w:tcPr>
              <w:p w14:paraId="00A1D114">
                <w:pPr>
                  <w:widowControl w:val="0"/>
                  <w:jc w:val="center"/>
                </w:pPr>
                <w:r>
                  <w:t>营业收入</w:t>
                </w:r>
              </w:p>
            </w:tc>
          </w:sdtContent>
        </w:sdt>
        <w:sdt>
          <w:sdtPr>
            <w:tag w:val="_PLD_43ea5bcd646542838f56af8b6a2863cb"/>
            <w:id w:val="758339150"/>
          </w:sdtPr>
          <w:sdtContent>
            <w:tc>
              <w:tcPr>
                <w:tcW w:w="1421" w:type="dxa"/>
                <w:vAlign w:val="center"/>
              </w:tcPr>
              <w:p w14:paraId="73CC49EC">
                <w:pPr>
                  <w:widowControl w:val="0"/>
                  <w:jc w:val="center"/>
                </w:pPr>
                <w:r>
                  <w:t>营业成本</w:t>
                </w:r>
              </w:p>
            </w:tc>
          </w:sdtContent>
        </w:sdt>
        <w:sdt>
          <w:sdtPr>
            <w:tag w:val="_PLD_2beea8e29ca14ce68ca930225f6b78ba"/>
            <w:id w:val="1293250812"/>
          </w:sdtPr>
          <w:sdtContent>
            <w:tc>
              <w:tcPr>
                <w:tcW w:w="1236" w:type="dxa"/>
                <w:vAlign w:val="center"/>
              </w:tcPr>
              <w:p w14:paraId="58E2628F">
                <w:pPr>
                  <w:widowControl w:val="0"/>
                  <w:jc w:val="center"/>
                </w:pPr>
                <w:r>
                  <w:rPr>
                    <w:rFonts w:hint="eastAsia"/>
                  </w:rPr>
                  <w:t>毛利率</w:t>
                </w:r>
                <w:r>
                  <w:t>（</w:t>
                </w:r>
                <w:r>
                  <w:rPr>
                    <w:rFonts w:hint="eastAsia"/>
                  </w:rPr>
                  <w:t>%</w:t>
                </w:r>
                <w:r>
                  <w:t>）</w:t>
                </w:r>
              </w:p>
            </w:tc>
          </w:sdtContent>
        </w:sdt>
        <w:sdt>
          <w:sdtPr>
            <w:tag w:val="_PLD_f9dadced328346f0b76bc97b709dc071"/>
            <w:id w:val="-661544460"/>
          </w:sdtPr>
          <w:sdtContent>
            <w:tc>
              <w:tcPr>
                <w:tcW w:w="1236" w:type="dxa"/>
                <w:vAlign w:val="center"/>
              </w:tcPr>
              <w:p w14:paraId="0BD8F310">
                <w:pPr>
                  <w:widowControl w:val="0"/>
                  <w:jc w:val="center"/>
                </w:pPr>
                <w:r>
                  <w:t>营业收入比上年增减（</w:t>
                </w:r>
                <w:r>
                  <w:rPr>
                    <w:rFonts w:hint="eastAsia"/>
                  </w:rPr>
                  <w:t>%</w:t>
                </w:r>
                <w:r>
                  <w:t>）</w:t>
                </w:r>
              </w:p>
            </w:tc>
          </w:sdtContent>
        </w:sdt>
        <w:sdt>
          <w:sdtPr>
            <w:tag w:val="_PLD_c02171812b4a4964854b289e6b6282d1"/>
            <w:id w:val="2084797932"/>
          </w:sdtPr>
          <w:sdtContent>
            <w:tc>
              <w:tcPr>
                <w:tcW w:w="1236" w:type="dxa"/>
                <w:vAlign w:val="center"/>
              </w:tcPr>
              <w:p w14:paraId="2298D393">
                <w:pPr>
                  <w:widowControl w:val="0"/>
                  <w:jc w:val="center"/>
                </w:pPr>
                <w:r>
                  <w:t>营业成本比上年增减（</w:t>
                </w:r>
                <w:r>
                  <w:rPr>
                    <w:rFonts w:hint="eastAsia"/>
                  </w:rPr>
                  <w:t>%</w:t>
                </w:r>
                <w:r>
                  <w:t>）</w:t>
                </w:r>
              </w:p>
            </w:tc>
          </w:sdtContent>
        </w:sdt>
        <w:sdt>
          <w:sdtPr>
            <w:tag w:val="_PLD_6ec6853f40254c1e8badc94bd41729ab"/>
            <w:id w:val="315920579"/>
          </w:sdtPr>
          <w:sdtContent>
            <w:tc>
              <w:tcPr>
                <w:tcW w:w="1231" w:type="dxa"/>
                <w:vAlign w:val="center"/>
              </w:tcPr>
              <w:p w14:paraId="7EA37575">
                <w:pPr>
                  <w:widowControl w:val="0"/>
                  <w:jc w:val="center"/>
                </w:pPr>
                <w:r>
                  <w:rPr>
                    <w:rFonts w:hint="eastAsia"/>
                  </w:rPr>
                  <w:t>毛利率</w:t>
                </w:r>
                <w:r>
                  <w:t>比上年增减（</w:t>
                </w:r>
                <w:r>
                  <w:rPr>
                    <w:rFonts w:hint="eastAsia"/>
                  </w:rPr>
                  <w:t>%</w:t>
                </w:r>
                <w:r>
                  <w:t>）</w:t>
                </w:r>
              </w:p>
            </w:tc>
          </w:sdtContent>
        </w:sdt>
      </w:tr>
      <w:tr w14:paraId="78A0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AC6EF02">
            <w:pPr>
              <w:pStyle w:val="30"/>
              <w:ind w:firstLine="0" w:firstLineChars="0"/>
              <w:jc w:val="left"/>
              <w:rPr>
                <w:rFonts w:ascii="宋体" w:hAnsi="宋体" w:cs="宋体"/>
              </w:rPr>
            </w:pPr>
            <w:r>
              <w:t>医药行业</w:t>
            </w:r>
          </w:p>
        </w:tc>
        <w:tc>
          <w:tcPr>
            <w:tcW w:w="1560" w:type="dxa"/>
            <w:vAlign w:val="center"/>
          </w:tcPr>
          <w:p w14:paraId="48176F1F">
            <w:pPr>
              <w:widowControl w:val="0"/>
              <w:jc w:val="right"/>
              <w:rPr>
                <w:sz w:val="18"/>
                <w:szCs w:val="18"/>
              </w:rPr>
            </w:pPr>
            <w:r>
              <w:rPr>
                <w:sz w:val="18"/>
                <w:szCs w:val="18"/>
              </w:rPr>
              <w:t>2,903,482,610.16</w:t>
            </w:r>
          </w:p>
        </w:tc>
        <w:tc>
          <w:tcPr>
            <w:tcW w:w="1421" w:type="dxa"/>
            <w:vAlign w:val="center"/>
          </w:tcPr>
          <w:p w14:paraId="411C7E49">
            <w:pPr>
              <w:widowControl w:val="0"/>
              <w:jc w:val="right"/>
              <w:rPr>
                <w:sz w:val="18"/>
                <w:szCs w:val="18"/>
              </w:rPr>
            </w:pPr>
            <w:r>
              <w:rPr>
                <w:sz w:val="18"/>
                <w:szCs w:val="18"/>
              </w:rPr>
              <w:t>848,714,408.49</w:t>
            </w:r>
          </w:p>
        </w:tc>
        <w:tc>
          <w:tcPr>
            <w:tcW w:w="1236" w:type="dxa"/>
            <w:vAlign w:val="center"/>
          </w:tcPr>
          <w:p w14:paraId="462A65A3">
            <w:pPr>
              <w:widowControl w:val="0"/>
              <w:jc w:val="right"/>
              <w:rPr>
                <w:sz w:val="18"/>
                <w:szCs w:val="18"/>
              </w:rPr>
            </w:pPr>
            <w:r>
              <w:rPr>
                <w:rFonts w:hint="eastAsia"/>
                <w:sz w:val="18"/>
                <w:szCs w:val="18"/>
              </w:rPr>
              <w:t>7</w:t>
            </w:r>
            <w:r>
              <w:rPr>
                <w:sz w:val="18"/>
                <w:szCs w:val="18"/>
              </w:rPr>
              <w:t>0.77</w:t>
            </w:r>
          </w:p>
        </w:tc>
        <w:tc>
          <w:tcPr>
            <w:tcW w:w="1236" w:type="dxa"/>
            <w:vAlign w:val="center"/>
          </w:tcPr>
          <w:p w14:paraId="77FB6C6C">
            <w:pPr>
              <w:widowControl w:val="0"/>
              <w:jc w:val="right"/>
              <w:rPr>
                <w:sz w:val="18"/>
                <w:szCs w:val="18"/>
              </w:rPr>
            </w:pPr>
            <w:r>
              <w:rPr>
                <w:sz w:val="18"/>
                <w:szCs w:val="18"/>
              </w:rPr>
              <w:t>47.10</w:t>
            </w:r>
          </w:p>
        </w:tc>
        <w:tc>
          <w:tcPr>
            <w:tcW w:w="1236" w:type="dxa"/>
            <w:vAlign w:val="center"/>
          </w:tcPr>
          <w:p w14:paraId="74479A4E">
            <w:pPr>
              <w:widowControl w:val="0"/>
              <w:jc w:val="right"/>
              <w:rPr>
                <w:sz w:val="18"/>
                <w:szCs w:val="18"/>
              </w:rPr>
            </w:pPr>
            <w:r>
              <w:rPr>
                <w:sz w:val="18"/>
                <w:szCs w:val="18"/>
              </w:rPr>
              <w:t>66.80</w:t>
            </w:r>
          </w:p>
        </w:tc>
        <w:tc>
          <w:tcPr>
            <w:tcW w:w="1231" w:type="dxa"/>
            <w:vAlign w:val="center"/>
          </w:tcPr>
          <w:p w14:paraId="683F66D3">
            <w:pPr>
              <w:widowControl w:val="0"/>
              <w:jc w:val="right"/>
              <w:rPr>
                <w:sz w:val="18"/>
                <w:szCs w:val="18"/>
              </w:rPr>
            </w:pPr>
            <w:r>
              <w:rPr>
                <w:rFonts w:hint="eastAsia"/>
                <w:sz w:val="18"/>
                <w:szCs w:val="18"/>
              </w:rPr>
              <w:t>减少3.45个百分点</w:t>
            </w:r>
          </w:p>
        </w:tc>
      </w:tr>
      <w:tr w14:paraId="3445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00FEDE41">
            <w:pPr>
              <w:pStyle w:val="30"/>
              <w:ind w:firstLine="0" w:firstLineChars="0"/>
              <w:jc w:val="left"/>
              <w:rPr>
                <w:rFonts w:ascii="宋体" w:hAnsi="宋体" w:cs="宋体"/>
              </w:rPr>
            </w:pPr>
            <w:r>
              <w:t>房地产行业</w:t>
            </w:r>
          </w:p>
        </w:tc>
        <w:tc>
          <w:tcPr>
            <w:tcW w:w="1560" w:type="dxa"/>
            <w:vAlign w:val="center"/>
          </w:tcPr>
          <w:p w14:paraId="59504C64">
            <w:pPr>
              <w:widowControl w:val="0"/>
              <w:jc w:val="right"/>
              <w:rPr>
                <w:sz w:val="18"/>
                <w:szCs w:val="18"/>
              </w:rPr>
            </w:pPr>
            <w:r>
              <w:rPr>
                <w:sz w:val="18"/>
                <w:szCs w:val="18"/>
              </w:rPr>
              <w:t>7,341,024.80</w:t>
            </w:r>
          </w:p>
        </w:tc>
        <w:tc>
          <w:tcPr>
            <w:tcW w:w="1421" w:type="dxa"/>
            <w:vAlign w:val="center"/>
          </w:tcPr>
          <w:p w14:paraId="541B14BC">
            <w:pPr>
              <w:widowControl w:val="0"/>
              <w:jc w:val="right"/>
              <w:rPr>
                <w:sz w:val="18"/>
                <w:szCs w:val="18"/>
              </w:rPr>
            </w:pPr>
            <w:r>
              <w:rPr>
                <w:sz w:val="18"/>
                <w:szCs w:val="18"/>
              </w:rPr>
              <w:t>5,913,463.41</w:t>
            </w:r>
          </w:p>
        </w:tc>
        <w:tc>
          <w:tcPr>
            <w:tcW w:w="1236" w:type="dxa"/>
            <w:vAlign w:val="center"/>
          </w:tcPr>
          <w:p w14:paraId="2150D184">
            <w:pPr>
              <w:widowControl w:val="0"/>
              <w:jc w:val="right"/>
              <w:rPr>
                <w:sz w:val="18"/>
                <w:szCs w:val="18"/>
              </w:rPr>
            </w:pPr>
            <w:r>
              <w:rPr>
                <w:rFonts w:hint="eastAsia"/>
                <w:sz w:val="18"/>
                <w:szCs w:val="18"/>
              </w:rPr>
              <w:t>1</w:t>
            </w:r>
            <w:r>
              <w:rPr>
                <w:sz w:val="18"/>
                <w:szCs w:val="18"/>
              </w:rPr>
              <w:t>9.45</w:t>
            </w:r>
          </w:p>
        </w:tc>
        <w:tc>
          <w:tcPr>
            <w:tcW w:w="1236" w:type="dxa"/>
            <w:vAlign w:val="center"/>
          </w:tcPr>
          <w:p w14:paraId="1EE515A2">
            <w:pPr>
              <w:widowControl w:val="0"/>
              <w:jc w:val="right"/>
              <w:rPr>
                <w:sz w:val="18"/>
                <w:szCs w:val="18"/>
              </w:rPr>
            </w:pPr>
            <w:r>
              <w:rPr>
                <w:sz w:val="18"/>
                <w:szCs w:val="18"/>
              </w:rPr>
              <w:t>172.88</w:t>
            </w:r>
          </w:p>
        </w:tc>
        <w:tc>
          <w:tcPr>
            <w:tcW w:w="1236" w:type="dxa"/>
            <w:vAlign w:val="center"/>
          </w:tcPr>
          <w:p w14:paraId="70308903">
            <w:pPr>
              <w:widowControl w:val="0"/>
              <w:jc w:val="right"/>
              <w:rPr>
                <w:sz w:val="18"/>
                <w:szCs w:val="18"/>
              </w:rPr>
            </w:pPr>
            <w:r>
              <w:rPr>
                <w:sz w:val="18"/>
                <w:szCs w:val="18"/>
              </w:rPr>
              <w:t>245.96</w:t>
            </w:r>
          </w:p>
        </w:tc>
        <w:tc>
          <w:tcPr>
            <w:tcW w:w="1231" w:type="dxa"/>
            <w:vAlign w:val="center"/>
          </w:tcPr>
          <w:p w14:paraId="5243ECD0">
            <w:pPr>
              <w:widowControl w:val="0"/>
              <w:jc w:val="right"/>
              <w:rPr>
                <w:sz w:val="18"/>
                <w:szCs w:val="18"/>
              </w:rPr>
            </w:pPr>
            <w:r>
              <w:rPr>
                <w:rFonts w:hint="eastAsia"/>
                <w:sz w:val="18"/>
                <w:szCs w:val="18"/>
              </w:rPr>
              <w:t>减少17.01个百分点</w:t>
            </w:r>
          </w:p>
        </w:tc>
      </w:tr>
      <w:tr w14:paraId="5965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258193d94b4f5fa47e482cd615784f"/>
            <w:id w:val="-545681999"/>
          </w:sdtPr>
          <w:sdtContent>
            <w:tc>
              <w:tcPr>
                <w:tcW w:w="9480" w:type="dxa"/>
                <w:gridSpan w:val="7"/>
                <w:vAlign w:val="center"/>
              </w:tcPr>
              <w:p w14:paraId="219C205E">
                <w:pPr>
                  <w:widowControl w:val="0"/>
                  <w:jc w:val="center"/>
                </w:pPr>
                <w:r>
                  <w:rPr>
                    <w:rFonts w:hint="eastAsia"/>
                  </w:rPr>
                  <w:t>主营业务分产品情况</w:t>
                </w:r>
              </w:p>
            </w:tc>
          </w:sdtContent>
        </w:sdt>
      </w:tr>
      <w:tr w14:paraId="65D1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d72749a5d4248359cb1b92e381ef722"/>
            <w:id w:val="374822502"/>
          </w:sdtPr>
          <w:sdtContent>
            <w:tc>
              <w:tcPr>
                <w:tcW w:w="1560" w:type="dxa"/>
                <w:vAlign w:val="center"/>
              </w:tcPr>
              <w:p w14:paraId="4C2AFC24">
                <w:pPr>
                  <w:pStyle w:val="30"/>
                  <w:ind w:firstLine="0" w:firstLineChars="0"/>
                  <w:jc w:val="center"/>
                </w:pPr>
                <w:r>
                  <w:rPr>
                    <w:rFonts w:hint="eastAsia"/>
                  </w:rPr>
                  <w:t>分产品</w:t>
                </w:r>
              </w:p>
            </w:tc>
          </w:sdtContent>
        </w:sdt>
        <w:sdt>
          <w:sdtPr>
            <w:tag w:val="_PLD_5e318ae25ee540258ffd6821c201e0af"/>
            <w:id w:val="-785346483"/>
          </w:sdtPr>
          <w:sdtContent>
            <w:tc>
              <w:tcPr>
                <w:tcW w:w="1560" w:type="dxa"/>
                <w:vAlign w:val="center"/>
              </w:tcPr>
              <w:p w14:paraId="7F1D4270">
                <w:pPr>
                  <w:widowControl w:val="0"/>
                  <w:jc w:val="center"/>
                </w:pPr>
                <w:r>
                  <w:rPr>
                    <w:rFonts w:hint="eastAsia"/>
                  </w:rPr>
                  <w:t>营业收入</w:t>
                </w:r>
              </w:p>
            </w:tc>
          </w:sdtContent>
        </w:sdt>
        <w:sdt>
          <w:sdtPr>
            <w:tag w:val="_PLD_d7023b8e0b18494eaae569b7bcd4781f"/>
            <w:id w:val="998780304"/>
          </w:sdtPr>
          <w:sdtContent>
            <w:tc>
              <w:tcPr>
                <w:tcW w:w="1421" w:type="dxa"/>
                <w:vAlign w:val="center"/>
              </w:tcPr>
              <w:p w14:paraId="691F633C">
                <w:pPr>
                  <w:widowControl w:val="0"/>
                  <w:jc w:val="center"/>
                </w:pPr>
                <w:r>
                  <w:rPr>
                    <w:rFonts w:hint="eastAsia"/>
                  </w:rPr>
                  <w:t>营业成本</w:t>
                </w:r>
              </w:p>
            </w:tc>
          </w:sdtContent>
        </w:sdt>
        <w:sdt>
          <w:sdtPr>
            <w:tag w:val="_PLD_c7e7c31f672744488b53ec34a4e0abde"/>
            <w:id w:val="1090127269"/>
          </w:sdtPr>
          <w:sdtContent>
            <w:tc>
              <w:tcPr>
                <w:tcW w:w="1236" w:type="dxa"/>
                <w:vAlign w:val="center"/>
              </w:tcPr>
              <w:p w14:paraId="79D9CC97">
                <w:pPr>
                  <w:widowControl w:val="0"/>
                  <w:jc w:val="center"/>
                </w:pPr>
                <w:r>
                  <w:rPr>
                    <w:rFonts w:hint="eastAsia"/>
                  </w:rPr>
                  <w:t>毛利率（%）</w:t>
                </w:r>
              </w:p>
            </w:tc>
          </w:sdtContent>
        </w:sdt>
        <w:sdt>
          <w:sdtPr>
            <w:tag w:val="_PLD_0ca65e94b76d4933977b3fe13864caf2"/>
            <w:id w:val="-875536231"/>
          </w:sdtPr>
          <w:sdtContent>
            <w:tc>
              <w:tcPr>
                <w:tcW w:w="1236" w:type="dxa"/>
                <w:vAlign w:val="center"/>
              </w:tcPr>
              <w:p w14:paraId="13F7DF8E">
                <w:pPr>
                  <w:widowControl w:val="0"/>
                  <w:jc w:val="center"/>
                </w:pPr>
                <w:r>
                  <w:rPr>
                    <w:rFonts w:hint="eastAsia"/>
                  </w:rPr>
                  <w:t>营业收入比上年增减（%）</w:t>
                </w:r>
              </w:p>
            </w:tc>
          </w:sdtContent>
        </w:sdt>
        <w:sdt>
          <w:sdtPr>
            <w:tag w:val="_PLD_0fcddf8af1ce40e3bbe0b8e78c8c2496"/>
            <w:id w:val="563918840"/>
          </w:sdtPr>
          <w:sdtContent>
            <w:tc>
              <w:tcPr>
                <w:tcW w:w="1236" w:type="dxa"/>
                <w:vAlign w:val="center"/>
              </w:tcPr>
              <w:p w14:paraId="4B6269E4">
                <w:pPr>
                  <w:widowControl w:val="0"/>
                  <w:jc w:val="center"/>
                </w:pPr>
                <w:r>
                  <w:rPr>
                    <w:rFonts w:hint="eastAsia"/>
                  </w:rPr>
                  <w:t>营业成本比上年增减（%）</w:t>
                </w:r>
              </w:p>
            </w:tc>
          </w:sdtContent>
        </w:sdt>
        <w:sdt>
          <w:sdtPr>
            <w:tag w:val="_PLD_fd695ef26ff948df8cd16c66ef5ffea9"/>
            <w:id w:val="345990069"/>
          </w:sdtPr>
          <w:sdtContent>
            <w:tc>
              <w:tcPr>
                <w:tcW w:w="1231" w:type="dxa"/>
                <w:vAlign w:val="center"/>
              </w:tcPr>
              <w:p w14:paraId="78F4BBB9">
                <w:pPr>
                  <w:widowControl w:val="0"/>
                  <w:jc w:val="center"/>
                </w:pPr>
                <w:r>
                  <w:rPr>
                    <w:rFonts w:hint="eastAsia"/>
                  </w:rPr>
                  <w:t>毛利率</w:t>
                </w:r>
                <w:r>
                  <w:t>比上年增减（</w:t>
                </w:r>
                <w:r>
                  <w:rPr>
                    <w:rFonts w:hint="eastAsia"/>
                  </w:rPr>
                  <w:t>%</w:t>
                </w:r>
                <w:r>
                  <w:t>）</w:t>
                </w:r>
              </w:p>
            </w:tc>
          </w:sdtContent>
        </w:sdt>
      </w:tr>
      <w:tr w14:paraId="5E54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07FD41A8">
            <w:pPr>
              <w:pStyle w:val="30"/>
              <w:ind w:firstLine="0" w:firstLineChars="0"/>
              <w:jc w:val="left"/>
              <w:rPr>
                <w:rFonts w:ascii="宋体" w:hAnsi="宋体" w:cs="宋体"/>
              </w:rPr>
            </w:pPr>
            <w:r>
              <w:t>生物制品（原料药及制剂产品）</w:t>
            </w:r>
          </w:p>
        </w:tc>
        <w:tc>
          <w:tcPr>
            <w:tcW w:w="1560" w:type="dxa"/>
            <w:vAlign w:val="center"/>
          </w:tcPr>
          <w:p w14:paraId="7883181D">
            <w:pPr>
              <w:widowControl w:val="0"/>
              <w:jc w:val="right"/>
              <w:rPr>
                <w:sz w:val="18"/>
                <w:szCs w:val="18"/>
              </w:rPr>
            </w:pPr>
            <w:r>
              <w:rPr>
                <w:sz w:val="18"/>
                <w:szCs w:val="18"/>
              </w:rPr>
              <w:t>2,668,400,780.59</w:t>
            </w:r>
          </w:p>
        </w:tc>
        <w:tc>
          <w:tcPr>
            <w:tcW w:w="1421" w:type="dxa"/>
            <w:vAlign w:val="center"/>
          </w:tcPr>
          <w:p w14:paraId="632E46B1">
            <w:pPr>
              <w:widowControl w:val="0"/>
              <w:jc w:val="right"/>
              <w:rPr>
                <w:sz w:val="18"/>
                <w:szCs w:val="18"/>
              </w:rPr>
            </w:pPr>
            <w:r>
              <w:rPr>
                <w:sz w:val="18"/>
                <w:szCs w:val="18"/>
              </w:rPr>
              <w:t>724,713,002.20</w:t>
            </w:r>
          </w:p>
        </w:tc>
        <w:tc>
          <w:tcPr>
            <w:tcW w:w="1236" w:type="dxa"/>
            <w:vAlign w:val="center"/>
          </w:tcPr>
          <w:p w14:paraId="5FFE4165">
            <w:pPr>
              <w:widowControl w:val="0"/>
              <w:jc w:val="right"/>
              <w:rPr>
                <w:sz w:val="18"/>
                <w:szCs w:val="18"/>
              </w:rPr>
            </w:pPr>
            <w:r>
              <w:rPr>
                <w:sz w:val="18"/>
                <w:szCs w:val="18"/>
              </w:rPr>
              <w:t>72.84</w:t>
            </w:r>
          </w:p>
        </w:tc>
        <w:tc>
          <w:tcPr>
            <w:tcW w:w="1236" w:type="dxa"/>
            <w:vAlign w:val="center"/>
          </w:tcPr>
          <w:p w14:paraId="14D7213A">
            <w:pPr>
              <w:widowControl w:val="0"/>
              <w:jc w:val="right"/>
              <w:rPr>
                <w:sz w:val="18"/>
                <w:szCs w:val="18"/>
              </w:rPr>
            </w:pPr>
            <w:r>
              <w:rPr>
                <w:sz w:val="18"/>
                <w:szCs w:val="18"/>
              </w:rPr>
              <w:t>52.79</w:t>
            </w:r>
          </w:p>
        </w:tc>
        <w:tc>
          <w:tcPr>
            <w:tcW w:w="1236" w:type="dxa"/>
            <w:vAlign w:val="center"/>
          </w:tcPr>
          <w:p w14:paraId="348049EF">
            <w:pPr>
              <w:widowControl w:val="0"/>
              <w:jc w:val="right"/>
              <w:rPr>
                <w:sz w:val="18"/>
                <w:szCs w:val="18"/>
              </w:rPr>
            </w:pPr>
            <w:r>
              <w:rPr>
                <w:sz w:val="18"/>
                <w:szCs w:val="18"/>
              </w:rPr>
              <w:t>81.22</w:t>
            </w:r>
          </w:p>
        </w:tc>
        <w:tc>
          <w:tcPr>
            <w:tcW w:w="1231" w:type="dxa"/>
            <w:vAlign w:val="center"/>
          </w:tcPr>
          <w:p w14:paraId="30CE771E">
            <w:pPr>
              <w:widowControl w:val="0"/>
              <w:jc w:val="right"/>
              <w:rPr>
                <w:sz w:val="18"/>
                <w:szCs w:val="18"/>
              </w:rPr>
            </w:pPr>
            <w:r>
              <w:rPr>
                <w:rFonts w:hint="eastAsia"/>
                <w:sz w:val="18"/>
                <w:szCs w:val="18"/>
              </w:rPr>
              <w:t>减少4.26个百分点</w:t>
            </w:r>
          </w:p>
        </w:tc>
      </w:tr>
      <w:tr w14:paraId="2758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6110C80B">
            <w:pPr>
              <w:pStyle w:val="30"/>
              <w:ind w:firstLine="0" w:firstLineChars="0"/>
              <w:jc w:val="left"/>
              <w:rPr>
                <w:rFonts w:ascii="宋体" w:hAnsi="宋体" w:cs="宋体"/>
              </w:rPr>
            </w:pPr>
            <w:r>
              <w:t>注射用笔、血糖试纸等医疗器械</w:t>
            </w:r>
          </w:p>
        </w:tc>
        <w:tc>
          <w:tcPr>
            <w:tcW w:w="1560" w:type="dxa"/>
            <w:vAlign w:val="center"/>
          </w:tcPr>
          <w:p w14:paraId="1BD1B78F">
            <w:pPr>
              <w:widowControl w:val="0"/>
              <w:jc w:val="right"/>
              <w:rPr>
                <w:sz w:val="18"/>
                <w:szCs w:val="18"/>
              </w:rPr>
            </w:pPr>
            <w:r>
              <w:rPr>
                <w:sz w:val="18"/>
                <w:szCs w:val="18"/>
              </w:rPr>
              <w:t>164,131,576.10</w:t>
            </w:r>
          </w:p>
        </w:tc>
        <w:tc>
          <w:tcPr>
            <w:tcW w:w="1421" w:type="dxa"/>
            <w:vAlign w:val="center"/>
          </w:tcPr>
          <w:p w14:paraId="50D7C306">
            <w:pPr>
              <w:widowControl w:val="0"/>
              <w:jc w:val="right"/>
              <w:rPr>
                <w:sz w:val="18"/>
                <w:szCs w:val="18"/>
              </w:rPr>
            </w:pPr>
            <w:r>
              <w:rPr>
                <w:sz w:val="18"/>
                <w:szCs w:val="18"/>
              </w:rPr>
              <w:t>78,098,270.25</w:t>
            </w:r>
          </w:p>
        </w:tc>
        <w:tc>
          <w:tcPr>
            <w:tcW w:w="1236" w:type="dxa"/>
            <w:vAlign w:val="center"/>
          </w:tcPr>
          <w:p w14:paraId="2163157B">
            <w:pPr>
              <w:widowControl w:val="0"/>
              <w:jc w:val="right"/>
              <w:rPr>
                <w:sz w:val="18"/>
                <w:szCs w:val="18"/>
              </w:rPr>
            </w:pPr>
            <w:r>
              <w:rPr>
                <w:sz w:val="18"/>
                <w:szCs w:val="18"/>
              </w:rPr>
              <w:t>52.42</w:t>
            </w:r>
          </w:p>
        </w:tc>
        <w:tc>
          <w:tcPr>
            <w:tcW w:w="1236" w:type="dxa"/>
            <w:vAlign w:val="center"/>
          </w:tcPr>
          <w:p w14:paraId="10B14E20">
            <w:pPr>
              <w:widowControl w:val="0"/>
              <w:jc w:val="right"/>
              <w:rPr>
                <w:sz w:val="18"/>
                <w:szCs w:val="18"/>
              </w:rPr>
            </w:pPr>
            <w:r>
              <w:rPr>
                <w:sz w:val="18"/>
                <w:szCs w:val="18"/>
              </w:rPr>
              <w:t>-9.21</w:t>
            </w:r>
          </w:p>
        </w:tc>
        <w:tc>
          <w:tcPr>
            <w:tcW w:w="1236" w:type="dxa"/>
            <w:vAlign w:val="center"/>
          </w:tcPr>
          <w:p w14:paraId="222E688F">
            <w:pPr>
              <w:widowControl w:val="0"/>
              <w:jc w:val="right"/>
              <w:rPr>
                <w:sz w:val="18"/>
                <w:szCs w:val="18"/>
              </w:rPr>
            </w:pPr>
            <w:r>
              <w:rPr>
                <w:sz w:val="18"/>
                <w:szCs w:val="18"/>
              </w:rPr>
              <w:t>-8.98</w:t>
            </w:r>
          </w:p>
        </w:tc>
        <w:tc>
          <w:tcPr>
            <w:tcW w:w="1231" w:type="dxa"/>
            <w:vAlign w:val="center"/>
          </w:tcPr>
          <w:p w14:paraId="00FBF89B">
            <w:pPr>
              <w:widowControl w:val="0"/>
              <w:jc w:val="right"/>
              <w:rPr>
                <w:sz w:val="18"/>
                <w:szCs w:val="18"/>
              </w:rPr>
            </w:pPr>
            <w:r>
              <w:rPr>
                <w:rFonts w:hint="eastAsia"/>
                <w:sz w:val="18"/>
                <w:szCs w:val="18"/>
              </w:rPr>
              <w:t>减少0.12个百分点</w:t>
            </w:r>
          </w:p>
        </w:tc>
      </w:tr>
      <w:tr w14:paraId="2D6F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62E30F27">
            <w:pPr>
              <w:pStyle w:val="30"/>
              <w:ind w:firstLine="0" w:firstLineChars="0"/>
              <w:jc w:val="left"/>
              <w:rPr>
                <w:rFonts w:ascii="宋体" w:hAnsi="宋体" w:cs="宋体"/>
              </w:rPr>
            </w:pPr>
            <w:r>
              <w:t>中成药和化药</w:t>
            </w:r>
          </w:p>
        </w:tc>
        <w:tc>
          <w:tcPr>
            <w:tcW w:w="1560" w:type="dxa"/>
            <w:vAlign w:val="center"/>
          </w:tcPr>
          <w:p w14:paraId="3D9ED9A0">
            <w:pPr>
              <w:widowControl w:val="0"/>
              <w:jc w:val="right"/>
              <w:rPr>
                <w:sz w:val="18"/>
                <w:szCs w:val="18"/>
              </w:rPr>
            </w:pPr>
            <w:r>
              <w:rPr>
                <w:sz w:val="18"/>
                <w:szCs w:val="18"/>
              </w:rPr>
              <w:t>70,950,253.47</w:t>
            </w:r>
          </w:p>
        </w:tc>
        <w:tc>
          <w:tcPr>
            <w:tcW w:w="1421" w:type="dxa"/>
            <w:vAlign w:val="center"/>
          </w:tcPr>
          <w:p w14:paraId="523C9A66">
            <w:pPr>
              <w:widowControl w:val="0"/>
              <w:jc w:val="right"/>
              <w:rPr>
                <w:sz w:val="18"/>
                <w:szCs w:val="18"/>
              </w:rPr>
            </w:pPr>
            <w:r>
              <w:rPr>
                <w:sz w:val="18"/>
                <w:szCs w:val="18"/>
              </w:rPr>
              <w:t>45,903,136.04</w:t>
            </w:r>
          </w:p>
        </w:tc>
        <w:tc>
          <w:tcPr>
            <w:tcW w:w="1236" w:type="dxa"/>
            <w:vAlign w:val="center"/>
          </w:tcPr>
          <w:p w14:paraId="19057343">
            <w:pPr>
              <w:widowControl w:val="0"/>
              <w:jc w:val="right"/>
              <w:rPr>
                <w:sz w:val="18"/>
                <w:szCs w:val="18"/>
              </w:rPr>
            </w:pPr>
            <w:r>
              <w:rPr>
                <w:sz w:val="18"/>
                <w:szCs w:val="18"/>
              </w:rPr>
              <w:t>35.30</w:t>
            </w:r>
          </w:p>
        </w:tc>
        <w:tc>
          <w:tcPr>
            <w:tcW w:w="1236" w:type="dxa"/>
            <w:vAlign w:val="center"/>
          </w:tcPr>
          <w:p w14:paraId="7E0A5E37">
            <w:pPr>
              <w:widowControl w:val="0"/>
              <w:jc w:val="right"/>
              <w:rPr>
                <w:sz w:val="18"/>
                <w:szCs w:val="18"/>
              </w:rPr>
            </w:pPr>
            <w:r>
              <w:rPr>
                <w:sz w:val="18"/>
                <w:szCs w:val="18"/>
              </w:rPr>
              <w:t>52.57</w:t>
            </w:r>
          </w:p>
        </w:tc>
        <w:tc>
          <w:tcPr>
            <w:tcW w:w="1236" w:type="dxa"/>
            <w:vAlign w:val="center"/>
          </w:tcPr>
          <w:p w14:paraId="09305069">
            <w:pPr>
              <w:widowControl w:val="0"/>
              <w:jc w:val="right"/>
              <w:rPr>
                <w:sz w:val="18"/>
                <w:szCs w:val="18"/>
              </w:rPr>
            </w:pPr>
            <w:r>
              <w:rPr>
                <w:sz w:val="18"/>
                <w:szCs w:val="18"/>
              </w:rPr>
              <w:t>98.67</w:t>
            </w:r>
          </w:p>
        </w:tc>
        <w:tc>
          <w:tcPr>
            <w:tcW w:w="1231" w:type="dxa"/>
            <w:vAlign w:val="center"/>
          </w:tcPr>
          <w:p w14:paraId="706B1DC2">
            <w:pPr>
              <w:widowControl w:val="0"/>
              <w:jc w:val="right"/>
              <w:rPr>
                <w:sz w:val="18"/>
                <w:szCs w:val="18"/>
              </w:rPr>
            </w:pPr>
            <w:r>
              <w:rPr>
                <w:rFonts w:hint="eastAsia"/>
                <w:sz w:val="18"/>
                <w:szCs w:val="18"/>
              </w:rPr>
              <w:t>减少15.02个百分点</w:t>
            </w:r>
          </w:p>
        </w:tc>
      </w:tr>
      <w:tr w14:paraId="0C21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A4458C5">
            <w:pPr>
              <w:pStyle w:val="30"/>
              <w:ind w:firstLine="0" w:firstLineChars="0"/>
              <w:jc w:val="left"/>
              <w:rPr>
                <w:rFonts w:ascii="宋体" w:hAnsi="宋体" w:cs="宋体"/>
              </w:rPr>
            </w:pPr>
            <w:r>
              <w:rPr>
                <w:rFonts w:hint="eastAsia" w:ascii="宋体" w:hAnsi="宋体" w:cs="宋体"/>
              </w:rPr>
              <w:t>丽景花园小区房产租售</w:t>
            </w:r>
          </w:p>
        </w:tc>
        <w:tc>
          <w:tcPr>
            <w:tcW w:w="1560" w:type="dxa"/>
            <w:vAlign w:val="center"/>
          </w:tcPr>
          <w:p w14:paraId="5A094270">
            <w:pPr>
              <w:widowControl w:val="0"/>
              <w:jc w:val="right"/>
              <w:rPr>
                <w:sz w:val="18"/>
                <w:szCs w:val="18"/>
              </w:rPr>
            </w:pPr>
            <w:r>
              <w:rPr>
                <w:sz w:val="18"/>
                <w:szCs w:val="18"/>
              </w:rPr>
              <w:t>7,341,024.80</w:t>
            </w:r>
          </w:p>
        </w:tc>
        <w:tc>
          <w:tcPr>
            <w:tcW w:w="1421" w:type="dxa"/>
            <w:vAlign w:val="center"/>
          </w:tcPr>
          <w:p w14:paraId="3EBE541C">
            <w:pPr>
              <w:widowControl w:val="0"/>
              <w:jc w:val="right"/>
              <w:rPr>
                <w:sz w:val="18"/>
                <w:szCs w:val="18"/>
              </w:rPr>
            </w:pPr>
            <w:r>
              <w:rPr>
                <w:sz w:val="18"/>
                <w:szCs w:val="18"/>
              </w:rPr>
              <w:t>5,913,463.41</w:t>
            </w:r>
          </w:p>
        </w:tc>
        <w:tc>
          <w:tcPr>
            <w:tcW w:w="1236" w:type="dxa"/>
            <w:vAlign w:val="center"/>
          </w:tcPr>
          <w:p w14:paraId="09FB96EE">
            <w:pPr>
              <w:widowControl w:val="0"/>
              <w:jc w:val="right"/>
              <w:rPr>
                <w:sz w:val="18"/>
                <w:szCs w:val="18"/>
              </w:rPr>
            </w:pPr>
            <w:r>
              <w:rPr>
                <w:rFonts w:hint="eastAsia"/>
                <w:sz w:val="18"/>
                <w:szCs w:val="18"/>
              </w:rPr>
              <w:t>1</w:t>
            </w:r>
            <w:r>
              <w:rPr>
                <w:sz w:val="18"/>
                <w:szCs w:val="18"/>
              </w:rPr>
              <w:t>9.45</w:t>
            </w:r>
          </w:p>
        </w:tc>
        <w:tc>
          <w:tcPr>
            <w:tcW w:w="1236" w:type="dxa"/>
            <w:vAlign w:val="center"/>
          </w:tcPr>
          <w:p w14:paraId="6A5F88A3">
            <w:pPr>
              <w:widowControl w:val="0"/>
              <w:jc w:val="right"/>
              <w:rPr>
                <w:sz w:val="18"/>
                <w:szCs w:val="18"/>
              </w:rPr>
            </w:pPr>
            <w:r>
              <w:rPr>
                <w:sz w:val="18"/>
                <w:szCs w:val="18"/>
              </w:rPr>
              <w:t>172.88</w:t>
            </w:r>
          </w:p>
        </w:tc>
        <w:tc>
          <w:tcPr>
            <w:tcW w:w="1236" w:type="dxa"/>
            <w:vAlign w:val="center"/>
          </w:tcPr>
          <w:p w14:paraId="039905CF">
            <w:pPr>
              <w:widowControl w:val="0"/>
              <w:jc w:val="right"/>
              <w:rPr>
                <w:sz w:val="18"/>
                <w:szCs w:val="18"/>
              </w:rPr>
            </w:pPr>
            <w:r>
              <w:rPr>
                <w:sz w:val="18"/>
                <w:szCs w:val="18"/>
              </w:rPr>
              <w:t>245.96</w:t>
            </w:r>
          </w:p>
        </w:tc>
        <w:tc>
          <w:tcPr>
            <w:tcW w:w="1231" w:type="dxa"/>
            <w:vAlign w:val="center"/>
          </w:tcPr>
          <w:p w14:paraId="1CF2A81A">
            <w:pPr>
              <w:widowControl w:val="0"/>
              <w:jc w:val="right"/>
              <w:rPr>
                <w:sz w:val="18"/>
                <w:szCs w:val="18"/>
              </w:rPr>
            </w:pPr>
            <w:r>
              <w:rPr>
                <w:rFonts w:hint="eastAsia"/>
                <w:sz w:val="18"/>
                <w:szCs w:val="18"/>
              </w:rPr>
              <w:t>减少17.01个百分点</w:t>
            </w:r>
          </w:p>
        </w:tc>
      </w:tr>
      <w:tr w14:paraId="47FC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e4b98c3f70c495d9eb9797ce0f7b5f6"/>
            <w:id w:val="1698583223"/>
          </w:sdtPr>
          <w:sdtContent>
            <w:tc>
              <w:tcPr>
                <w:tcW w:w="9480" w:type="dxa"/>
                <w:gridSpan w:val="7"/>
                <w:vAlign w:val="center"/>
              </w:tcPr>
              <w:p w14:paraId="180EB536">
                <w:pPr>
                  <w:widowControl w:val="0"/>
                  <w:jc w:val="center"/>
                </w:pPr>
                <w:r>
                  <w:rPr>
                    <w:rFonts w:hint="eastAsia"/>
                  </w:rPr>
                  <w:t>主营业务分地区情况</w:t>
                </w:r>
              </w:p>
            </w:tc>
          </w:sdtContent>
        </w:sdt>
      </w:tr>
      <w:tr w14:paraId="524D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8d8ea3d867f4a97a5a66d059c2a507e"/>
            <w:id w:val="-1766530017"/>
          </w:sdtPr>
          <w:sdtContent>
            <w:tc>
              <w:tcPr>
                <w:tcW w:w="1560" w:type="dxa"/>
                <w:vAlign w:val="center"/>
              </w:tcPr>
              <w:p w14:paraId="5249553E">
                <w:pPr>
                  <w:widowControl w:val="0"/>
                  <w:jc w:val="center"/>
                </w:pPr>
                <w:r>
                  <w:rPr>
                    <w:rFonts w:hint="eastAsia"/>
                  </w:rPr>
                  <w:t>分地区</w:t>
                </w:r>
              </w:p>
            </w:tc>
          </w:sdtContent>
        </w:sdt>
        <w:sdt>
          <w:sdtPr>
            <w:tag w:val="_PLD_d960c947c6424e2a87acbd6f4d534b0a"/>
            <w:id w:val="-316569074"/>
          </w:sdtPr>
          <w:sdtContent>
            <w:tc>
              <w:tcPr>
                <w:tcW w:w="1560" w:type="dxa"/>
                <w:vAlign w:val="center"/>
              </w:tcPr>
              <w:p w14:paraId="28ACA497">
                <w:pPr>
                  <w:widowControl w:val="0"/>
                  <w:jc w:val="center"/>
                </w:pPr>
                <w:r>
                  <w:rPr>
                    <w:rFonts w:hint="eastAsia"/>
                  </w:rPr>
                  <w:t>营业收入</w:t>
                </w:r>
              </w:p>
            </w:tc>
          </w:sdtContent>
        </w:sdt>
        <w:sdt>
          <w:sdtPr>
            <w:tag w:val="_PLD_0cab657ed1664cda8d161069df0d4ffe"/>
            <w:id w:val="-1588375282"/>
          </w:sdtPr>
          <w:sdtContent>
            <w:tc>
              <w:tcPr>
                <w:tcW w:w="1421" w:type="dxa"/>
                <w:vAlign w:val="center"/>
              </w:tcPr>
              <w:p w14:paraId="6C2E0C2E">
                <w:pPr>
                  <w:widowControl w:val="0"/>
                  <w:jc w:val="center"/>
                </w:pPr>
                <w:r>
                  <w:rPr>
                    <w:rFonts w:hint="eastAsia"/>
                  </w:rPr>
                  <w:t>营业成本</w:t>
                </w:r>
              </w:p>
            </w:tc>
          </w:sdtContent>
        </w:sdt>
        <w:sdt>
          <w:sdtPr>
            <w:tag w:val="_PLD_de52f565c0c94f5f8930a8d275890566"/>
            <w:id w:val="-671261011"/>
          </w:sdtPr>
          <w:sdtContent>
            <w:tc>
              <w:tcPr>
                <w:tcW w:w="1236" w:type="dxa"/>
                <w:vAlign w:val="center"/>
              </w:tcPr>
              <w:p w14:paraId="041FADB7">
                <w:pPr>
                  <w:widowControl w:val="0"/>
                  <w:jc w:val="center"/>
                </w:pPr>
                <w:r>
                  <w:rPr>
                    <w:rFonts w:hint="eastAsia"/>
                  </w:rPr>
                  <w:t>毛利率（%）</w:t>
                </w:r>
              </w:p>
            </w:tc>
          </w:sdtContent>
        </w:sdt>
        <w:sdt>
          <w:sdtPr>
            <w:tag w:val="_PLD_66acbff90fbb46ac8fc6c5840a2a1352"/>
            <w:id w:val="2004160141"/>
          </w:sdtPr>
          <w:sdtContent>
            <w:tc>
              <w:tcPr>
                <w:tcW w:w="1236" w:type="dxa"/>
                <w:vAlign w:val="center"/>
              </w:tcPr>
              <w:p w14:paraId="074D53A4">
                <w:pPr>
                  <w:widowControl w:val="0"/>
                  <w:jc w:val="center"/>
                </w:pPr>
                <w:r>
                  <w:rPr>
                    <w:rFonts w:hint="eastAsia"/>
                  </w:rPr>
                  <w:t>营业收入比上年增减（%）</w:t>
                </w:r>
              </w:p>
            </w:tc>
          </w:sdtContent>
        </w:sdt>
        <w:sdt>
          <w:sdtPr>
            <w:tag w:val="_PLD_24222e0fb06f4b87bb8e6a25bfc923a9"/>
            <w:id w:val="-2085524075"/>
          </w:sdtPr>
          <w:sdtContent>
            <w:tc>
              <w:tcPr>
                <w:tcW w:w="1236" w:type="dxa"/>
                <w:vAlign w:val="center"/>
              </w:tcPr>
              <w:p w14:paraId="72CCD9FE">
                <w:pPr>
                  <w:widowControl w:val="0"/>
                  <w:jc w:val="center"/>
                </w:pPr>
                <w:r>
                  <w:rPr>
                    <w:rFonts w:hint="eastAsia"/>
                  </w:rPr>
                  <w:t>营业成本比上年增减（%）</w:t>
                </w:r>
              </w:p>
            </w:tc>
          </w:sdtContent>
        </w:sdt>
        <w:sdt>
          <w:sdtPr>
            <w:tag w:val="_PLD_055160da443c4e4a8c520dbbde5baec3"/>
            <w:id w:val="912044157"/>
          </w:sdtPr>
          <w:sdtContent>
            <w:tc>
              <w:tcPr>
                <w:tcW w:w="1231" w:type="dxa"/>
                <w:vAlign w:val="center"/>
              </w:tcPr>
              <w:p w14:paraId="419DFA30">
                <w:pPr>
                  <w:widowControl w:val="0"/>
                  <w:jc w:val="center"/>
                </w:pPr>
                <w:r>
                  <w:rPr>
                    <w:rFonts w:hint="eastAsia"/>
                  </w:rPr>
                  <w:t>毛利率</w:t>
                </w:r>
                <w:r>
                  <w:t>比上年增减（</w:t>
                </w:r>
                <w:r>
                  <w:rPr>
                    <w:rFonts w:hint="eastAsia"/>
                  </w:rPr>
                  <w:t>%</w:t>
                </w:r>
                <w:r>
                  <w:t>）</w:t>
                </w:r>
              </w:p>
            </w:tc>
          </w:sdtContent>
        </w:sdt>
      </w:tr>
      <w:tr w14:paraId="4CF0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6DC04EF">
            <w:pPr>
              <w:pStyle w:val="30"/>
              <w:ind w:firstLine="0" w:firstLineChars="0"/>
              <w:jc w:val="left"/>
              <w:rPr>
                <w:rFonts w:ascii="宋体" w:hAnsi="宋体" w:cs="宋体"/>
              </w:rPr>
            </w:pPr>
            <w:r>
              <w:t>国内</w:t>
            </w:r>
          </w:p>
        </w:tc>
        <w:tc>
          <w:tcPr>
            <w:tcW w:w="1560" w:type="dxa"/>
            <w:vAlign w:val="center"/>
          </w:tcPr>
          <w:p w14:paraId="58361C49">
            <w:pPr>
              <w:widowControl w:val="0"/>
              <w:jc w:val="right"/>
              <w:rPr>
                <w:sz w:val="18"/>
                <w:szCs w:val="18"/>
              </w:rPr>
            </w:pPr>
            <w:r>
              <w:rPr>
                <w:sz w:val="18"/>
                <w:szCs w:val="18"/>
              </w:rPr>
              <w:t>2,707,547,123.58</w:t>
            </w:r>
          </w:p>
        </w:tc>
        <w:tc>
          <w:tcPr>
            <w:tcW w:w="1421" w:type="dxa"/>
            <w:vAlign w:val="center"/>
          </w:tcPr>
          <w:p w14:paraId="322DDEDA">
            <w:pPr>
              <w:widowControl w:val="0"/>
              <w:jc w:val="right"/>
              <w:rPr>
                <w:sz w:val="18"/>
                <w:szCs w:val="18"/>
              </w:rPr>
            </w:pPr>
            <w:r>
              <w:rPr>
                <w:sz w:val="18"/>
                <w:szCs w:val="18"/>
              </w:rPr>
              <w:t>734,784,498.76</w:t>
            </w:r>
          </w:p>
        </w:tc>
        <w:tc>
          <w:tcPr>
            <w:tcW w:w="1236" w:type="dxa"/>
            <w:vAlign w:val="center"/>
          </w:tcPr>
          <w:p w14:paraId="79428CBF">
            <w:pPr>
              <w:widowControl w:val="0"/>
              <w:jc w:val="right"/>
              <w:rPr>
                <w:sz w:val="18"/>
                <w:szCs w:val="18"/>
              </w:rPr>
            </w:pPr>
            <w:r>
              <w:rPr>
                <w:sz w:val="18"/>
                <w:szCs w:val="18"/>
              </w:rPr>
              <w:t>72.86</w:t>
            </w:r>
          </w:p>
        </w:tc>
        <w:tc>
          <w:tcPr>
            <w:tcW w:w="1236" w:type="dxa"/>
            <w:vAlign w:val="center"/>
          </w:tcPr>
          <w:p w14:paraId="5E1EECC1">
            <w:pPr>
              <w:widowControl w:val="0"/>
              <w:jc w:val="right"/>
              <w:rPr>
                <w:sz w:val="18"/>
                <w:szCs w:val="18"/>
              </w:rPr>
            </w:pPr>
            <w:r>
              <w:rPr>
                <w:sz w:val="18"/>
                <w:szCs w:val="18"/>
              </w:rPr>
              <w:t>44.53</w:t>
            </w:r>
          </w:p>
        </w:tc>
        <w:tc>
          <w:tcPr>
            <w:tcW w:w="1236" w:type="dxa"/>
            <w:vAlign w:val="center"/>
          </w:tcPr>
          <w:p w14:paraId="22FDD101">
            <w:pPr>
              <w:widowControl w:val="0"/>
              <w:jc w:val="right"/>
              <w:rPr>
                <w:sz w:val="18"/>
                <w:szCs w:val="18"/>
              </w:rPr>
            </w:pPr>
            <w:r>
              <w:rPr>
                <w:sz w:val="18"/>
                <w:szCs w:val="18"/>
              </w:rPr>
              <w:t>61.73</w:t>
            </w:r>
          </w:p>
        </w:tc>
        <w:tc>
          <w:tcPr>
            <w:tcW w:w="1231" w:type="dxa"/>
            <w:vAlign w:val="center"/>
          </w:tcPr>
          <w:p w14:paraId="200CE295">
            <w:pPr>
              <w:widowControl w:val="0"/>
              <w:jc w:val="right"/>
              <w:rPr>
                <w:sz w:val="18"/>
                <w:szCs w:val="18"/>
              </w:rPr>
            </w:pPr>
            <w:r>
              <w:rPr>
                <w:rFonts w:hint="eastAsia"/>
                <w:sz w:val="18"/>
                <w:szCs w:val="18"/>
              </w:rPr>
              <w:t>减少2.89个百分点</w:t>
            </w:r>
          </w:p>
        </w:tc>
      </w:tr>
      <w:tr w14:paraId="4543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5C76860A">
            <w:pPr>
              <w:pStyle w:val="30"/>
              <w:ind w:firstLine="0" w:firstLineChars="0"/>
              <w:jc w:val="left"/>
              <w:rPr>
                <w:rFonts w:ascii="宋体" w:hAnsi="宋体" w:cs="宋体"/>
              </w:rPr>
            </w:pPr>
            <w:r>
              <w:t>国外</w:t>
            </w:r>
          </w:p>
        </w:tc>
        <w:tc>
          <w:tcPr>
            <w:tcW w:w="1560" w:type="dxa"/>
            <w:vAlign w:val="center"/>
          </w:tcPr>
          <w:p w14:paraId="21F8D771">
            <w:pPr>
              <w:widowControl w:val="0"/>
              <w:jc w:val="right"/>
              <w:rPr>
                <w:sz w:val="18"/>
                <w:szCs w:val="18"/>
              </w:rPr>
            </w:pPr>
            <w:r>
              <w:rPr>
                <w:sz w:val="18"/>
                <w:szCs w:val="18"/>
              </w:rPr>
              <w:t>203,276,511.38</w:t>
            </w:r>
          </w:p>
        </w:tc>
        <w:tc>
          <w:tcPr>
            <w:tcW w:w="1421" w:type="dxa"/>
            <w:vAlign w:val="center"/>
          </w:tcPr>
          <w:p w14:paraId="311626E4">
            <w:pPr>
              <w:widowControl w:val="0"/>
              <w:jc w:val="right"/>
              <w:rPr>
                <w:sz w:val="18"/>
                <w:szCs w:val="18"/>
              </w:rPr>
            </w:pPr>
            <w:r>
              <w:rPr>
                <w:sz w:val="18"/>
                <w:szCs w:val="18"/>
              </w:rPr>
              <w:t>119,843,373.14</w:t>
            </w:r>
          </w:p>
        </w:tc>
        <w:tc>
          <w:tcPr>
            <w:tcW w:w="1236" w:type="dxa"/>
            <w:vAlign w:val="center"/>
          </w:tcPr>
          <w:p w14:paraId="0A6340C1">
            <w:pPr>
              <w:widowControl w:val="0"/>
              <w:jc w:val="right"/>
              <w:rPr>
                <w:sz w:val="18"/>
                <w:szCs w:val="18"/>
              </w:rPr>
            </w:pPr>
            <w:r>
              <w:rPr>
                <w:sz w:val="18"/>
                <w:szCs w:val="18"/>
              </w:rPr>
              <w:t>41.04</w:t>
            </w:r>
          </w:p>
        </w:tc>
        <w:tc>
          <w:tcPr>
            <w:tcW w:w="1236" w:type="dxa"/>
            <w:vAlign w:val="center"/>
          </w:tcPr>
          <w:p w14:paraId="4D56B456">
            <w:pPr>
              <w:widowControl w:val="0"/>
              <w:jc w:val="right"/>
              <w:rPr>
                <w:sz w:val="18"/>
                <w:szCs w:val="18"/>
              </w:rPr>
            </w:pPr>
            <w:r>
              <w:rPr>
                <w:sz w:val="18"/>
                <w:szCs w:val="18"/>
              </w:rPr>
              <w:t>97.16</w:t>
            </w:r>
          </w:p>
        </w:tc>
        <w:tc>
          <w:tcPr>
            <w:tcW w:w="1236" w:type="dxa"/>
            <w:vAlign w:val="center"/>
          </w:tcPr>
          <w:p w14:paraId="427A66A4">
            <w:pPr>
              <w:widowControl w:val="0"/>
              <w:jc w:val="right"/>
              <w:rPr>
                <w:sz w:val="18"/>
                <w:szCs w:val="18"/>
              </w:rPr>
            </w:pPr>
            <w:r>
              <w:rPr>
                <w:sz w:val="18"/>
                <w:szCs w:val="18"/>
              </w:rPr>
              <w:t>113.25</w:t>
            </w:r>
          </w:p>
        </w:tc>
        <w:tc>
          <w:tcPr>
            <w:tcW w:w="1231" w:type="dxa"/>
            <w:vAlign w:val="center"/>
          </w:tcPr>
          <w:p w14:paraId="25711839">
            <w:pPr>
              <w:widowControl w:val="0"/>
              <w:jc w:val="right"/>
              <w:rPr>
                <w:sz w:val="18"/>
                <w:szCs w:val="18"/>
              </w:rPr>
            </w:pPr>
            <w:r>
              <w:rPr>
                <w:rFonts w:hint="eastAsia"/>
                <w:sz w:val="18"/>
                <w:szCs w:val="18"/>
              </w:rPr>
              <w:t>减少4.4个百分点</w:t>
            </w:r>
          </w:p>
        </w:tc>
      </w:tr>
      <w:tr w14:paraId="06B4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0" w:type="dxa"/>
            <w:gridSpan w:val="7"/>
            <w:vAlign w:val="center"/>
          </w:tcPr>
          <w:p w14:paraId="1A95AF67">
            <w:pPr>
              <w:widowControl w:val="0"/>
              <w:jc w:val="center"/>
            </w:pPr>
            <w:sdt>
              <w:sdtPr>
                <w:tag w:val="_PLD_4be57b876a364ef5aee49673f139ef4a"/>
                <w:id w:val="243619568"/>
              </w:sdtPr>
              <w:sdtContent>
                <w:r>
                  <w:rPr>
                    <w:rFonts w:hint="eastAsia"/>
                  </w:rPr>
                  <w:t>主营业务分销售模式情况</w:t>
                </w:r>
              </w:sdtContent>
            </w:sdt>
          </w:p>
        </w:tc>
      </w:tr>
      <w:tr w14:paraId="1BE2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e8c7b7bf3a444db814cf5c56b1b72e0"/>
            <w:id w:val="2137598833"/>
          </w:sdtPr>
          <w:sdtContent>
            <w:tc>
              <w:tcPr>
                <w:tcW w:w="1560" w:type="dxa"/>
                <w:vAlign w:val="center"/>
              </w:tcPr>
              <w:p w14:paraId="05ADF0DB">
                <w:pPr>
                  <w:pStyle w:val="30"/>
                  <w:ind w:firstLine="0" w:firstLineChars="0"/>
                  <w:jc w:val="center"/>
                  <w:rPr>
                    <w:rFonts w:ascii="宋体" w:hAnsi="宋体" w:cs="宋体"/>
                  </w:rPr>
                </w:pPr>
                <w:r>
                  <w:rPr>
                    <w:rFonts w:hint="eastAsia" w:ascii="宋体" w:hAnsi="宋体" w:cs="宋体"/>
                  </w:rPr>
                  <w:t>销售模式</w:t>
                </w:r>
              </w:p>
            </w:tc>
          </w:sdtContent>
        </w:sdt>
        <w:sdt>
          <w:sdtPr>
            <w:tag w:val="_PLD_a8a3a2b010534c9d820c7f9b6fd92caf"/>
            <w:id w:val="-601723907"/>
          </w:sdtPr>
          <w:sdtContent>
            <w:tc>
              <w:tcPr>
                <w:tcW w:w="1560" w:type="dxa"/>
                <w:vAlign w:val="center"/>
              </w:tcPr>
              <w:p w14:paraId="55073090">
                <w:pPr>
                  <w:widowControl w:val="0"/>
                  <w:jc w:val="center"/>
                </w:pPr>
                <w:r>
                  <w:rPr>
                    <w:rFonts w:hint="eastAsia"/>
                  </w:rPr>
                  <w:t>营业收入</w:t>
                </w:r>
              </w:p>
            </w:tc>
          </w:sdtContent>
        </w:sdt>
        <w:sdt>
          <w:sdtPr>
            <w:tag w:val="_PLD_cc237396dacd4c16b49a8294763c220b"/>
            <w:id w:val="377206981"/>
          </w:sdtPr>
          <w:sdtContent>
            <w:tc>
              <w:tcPr>
                <w:tcW w:w="1421" w:type="dxa"/>
                <w:vAlign w:val="center"/>
              </w:tcPr>
              <w:p w14:paraId="1B63C3C5">
                <w:pPr>
                  <w:widowControl w:val="0"/>
                  <w:jc w:val="center"/>
                </w:pPr>
                <w:r>
                  <w:rPr>
                    <w:rFonts w:hint="eastAsia"/>
                  </w:rPr>
                  <w:t>营业成本</w:t>
                </w:r>
              </w:p>
            </w:tc>
          </w:sdtContent>
        </w:sdt>
        <w:sdt>
          <w:sdtPr>
            <w:tag w:val="_PLD_941b22ab04a244cdbd8aa22ae424dacb"/>
            <w:id w:val="-880020925"/>
          </w:sdtPr>
          <w:sdtContent>
            <w:tc>
              <w:tcPr>
                <w:tcW w:w="1236" w:type="dxa"/>
                <w:vAlign w:val="center"/>
              </w:tcPr>
              <w:p w14:paraId="3BB3B0EE">
                <w:pPr>
                  <w:widowControl w:val="0"/>
                  <w:jc w:val="center"/>
                </w:pPr>
                <w:r>
                  <w:rPr>
                    <w:rFonts w:hint="eastAsia"/>
                  </w:rPr>
                  <w:t>毛利率（</w:t>
                </w:r>
                <w:r>
                  <w:t>%）</w:t>
                </w:r>
              </w:p>
            </w:tc>
          </w:sdtContent>
        </w:sdt>
        <w:sdt>
          <w:sdtPr>
            <w:tag w:val="_PLD_e219c48b013d406696797c069f5c1054"/>
            <w:id w:val="1522362487"/>
          </w:sdtPr>
          <w:sdtContent>
            <w:tc>
              <w:tcPr>
                <w:tcW w:w="1236" w:type="dxa"/>
                <w:vAlign w:val="center"/>
              </w:tcPr>
              <w:p w14:paraId="6836BBF0">
                <w:pPr>
                  <w:widowControl w:val="0"/>
                  <w:jc w:val="center"/>
                </w:pPr>
                <w:r>
                  <w:rPr>
                    <w:rFonts w:hint="eastAsia"/>
                  </w:rPr>
                  <w:t>营业收入比上年增减（</w:t>
                </w:r>
                <w:r>
                  <w:t>%）</w:t>
                </w:r>
              </w:p>
            </w:tc>
          </w:sdtContent>
        </w:sdt>
        <w:sdt>
          <w:sdtPr>
            <w:tag w:val="_PLD_ea6dd0b86c3c4f81ac1d0aab660982a0"/>
            <w:id w:val="-129092405"/>
          </w:sdtPr>
          <w:sdtContent>
            <w:tc>
              <w:tcPr>
                <w:tcW w:w="1236" w:type="dxa"/>
                <w:vAlign w:val="center"/>
              </w:tcPr>
              <w:p w14:paraId="2DB0025A">
                <w:pPr>
                  <w:widowControl w:val="0"/>
                  <w:jc w:val="center"/>
                </w:pPr>
                <w:r>
                  <w:rPr>
                    <w:rFonts w:hint="eastAsia"/>
                  </w:rPr>
                  <w:t>营业成本比上年增减（</w:t>
                </w:r>
                <w:r>
                  <w:t>%）</w:t>
                </w:r>
              </w:p>
            </w:tc>
          </w:sdtContent>
        </w:sdt>
        <w:sdt>
          <w:sdtPr>
            <w:tag w:val="_PLD_b228d83849d948259a50feeb3c8039e4"/>
            <w:id w:val="-1737545230"/>
          </w:sdtPr>
          <w:sdtContent>
            <w:tc>
              <w:tcPr>
                <w:tcW w:w="1231" w:type="dxa"/>
                <w:vAlign w:val="center"/>
              </w:tcPr>
              <w:p w14:paraId="0DCEA5CB">
                <w:pPr>
                  <w:widowControl w:val="0"/>
                  <w:jc w:val="center"/>
                </w:pPr>
                <w:r>
                  <w:rPr>
                    <w:rFonts w:hint="eastAsia"/>
                  </w:rPr>
                  <w:t>毛利率比上年增减（</w:t>
                </w:r>
                <w:r>
                  <w:t>%）</w:t>
                </w:r>
              </w:p>
            </w:tc>
          </w:sdtContent>
        </w:sdt>
      </w:tr>
      <w:tr w14:paraId="771B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081F02A">
            <w:pPr>
              <w:pStyle w:val="30"/>
              <w:ind w:firstLine="0" w:firstLineChars="0"/>
              <w:jc w:val="left"/>
              <w:rPr>
                <w:rFonts w:ascii="宋体" w:hAnsi="宋体" w:cs="宋体"/>
              </w:rPr>
            </w:pPr>
            <w:r>
              <w:rPr>
                <w:rFonts w:cs="Arial"/>
              </w:rPr>
              <w:t>终端推广模式</w:t>
            </w:r>
          </w:p>
        </w:tc>
        <w:tc>
          <w:tcPr>
            <w:tcW w:w="1560" w:type="dxa"/>
            <w:vAlign w:val="center"/>
          </w:tcPr>
          <w:p w14:paraId="1C811EA3">
            <w:pPr>
              <w:widowControl w:val="0"/>
              <w:jc w:val="right"/>
              <w:rPr>
                <w:sz w:val="18"/>
                <w:szCs w:val="18"/>
              </w:rPr>
            </w:pPr>
            <w:r>
              <w:rPr>
                <w:sz w:val="18"/>
                <w:szCs w:val="18"/>
              </w:rPr>
              <w:t>2,910,823,634.96</w:t>
            </w:r>
          </w:p>
        </w:tc>
        <w:tc>
          <w:tcPr>
            <w:tcW w:w="1421" w:type="dxa"/>
            <w:vAlign w:val="center"/>
          </w:tcPr>
          <w:p w14:paraId="10DE19BA">
            <w:pPr>
              <w:widowControl w:val="0"/>
              <w:jc w:val="right"/>
              <w:rPr>
                <w:sz w:val="18"/>
                <w:szCs w:val="18"/>
              </w:rPr>
            </w:pPr>
            <w:r>
              <w:rPr>
                <w:sz w:val="18"/>
                <w:szCs w:val="18"/>
              </w:rPr>
              <w:t>854,627,871.90</w:t>
            </w:r>
          </w:p>
        </w:tc>
        <w:tc>
          <w:tcPr>
            <w:tcW w:w="1236" w:type="dxa"/>
            <w:vAlign w:val="center"/>
          </w:tcPr>
          <w:p w14:paraId="399E5704">
            <w:pPr>
              <w:widowControl w:val="0"/>
              <w:jc w:val="right"/>
              <w:rPr>
                <w:sz w:val="18"/>
                <w:szCs w:val="18"/>
              </w:rPr>
            </w:pPr>
            <w:r>
              <w:rPr>
                <w:rFonts w:hint="eastAsia"/>
                <w:sz w:val="18"/>
                <w:szCs w:val="18"/>
              </w:rPr>
              <w:t>7</w:t>
            </w:r>
            <w:r>
              <w:rPr>
                <w:sz w:val="18"/>
                <w:szCs w:val="18"/>
              </w:rPr>
              <w:t>0.64</w:t>
            </w:r>
          </w:p>
        </w:tc>
        <w:tc>
          <w:tcPr>
            <w:tcW w:w="1236" w:type="dxa"/>
            <w:vAlign w:val="center"/>
          </w:tcPr>
          <w:p w14:paraId="60CF7EC7">
            <w:pPr>
              <w:widowControl w:val="0"/>
              <w:jc w:val="right"/>
              <w:rPr>
                <w:sz w:val="18"/>
                <w:szCs w:val="18"/>
              </w:rPr>
            </w:pPr>
            <w:r>
              <w:rPr>
                <w:rFonts w:hint="eastAsia"/>
                <w:sz w:val="18"/>
                <w:szCs w:val="18"/>
              </w:rPr>
              <w:t>4</w:t>
            </w:r>
            <w:r>
              <w:rPr>
                <w:sz w:val="18"/>
                <w:szCs w:val="18"/>
              </w:rPr>
              <w:t>7.28</w:t>
            </w:r>
          </w:p>
        </w:tc>
        <w:tc>
          <w:tcPr>
            <w:tcW w:w="1236" w:type="dxa"/>
            <w:vAlign w:val="center"/>
          </w:tcPr>
          <w:p w14:paraId="0AEC7833">
            <w:pPr>
              <w:widowControl w:val="0"/>
              <w:jc w:val="right"/>
              <w:rPr>
                <w:sz w:val="18"/>
                <w:szCs w:val="18"/>
              </w:rPr>
            </w:pPr>
            <w:r>
              <w:rPr>
                <w:sz w:val="18"/>
                <w:szCs w:val="18"/>
              </w:rPr>
              <w:t>67.40</w:t>
            </w:r>
          </w:p>
        </w:tc>
        <w:tc>
          <w:tcPr>
            <w:tcW w:w="1231" w:type="dxa"/>
            <w:vAlign w:val="center"/>
          </w:tcPr>
          <w:p w14:paraId="1F419E6D">
            <w:pPr>
              <w:widowControl w:val="0"/>
              <w:jc w:val="right"/>
              <w:rPr>
                <w:sz w:val="18"/>
                <w:szCs w:val="18"/>
              </w:rPr>
            </w:pPr>
            <w:r>
              <w:rPr>
                <w:rFonts w:hint="eastAsia"/>
                <w:sz w:val="18"/>
                <w:szCs w:val="18"/>
              </w:rPr>
              <w:t>减少3.53个百分点</w:t>
            </w:r>
          </w:p>
        </w:tc>
      </w:tr>
    </w:tbl>
    <w:p w14:paraId="60450C46"/>
    <w:p w14:paraId="7A40DBBB">
      <w:pPr>
        <w:pStyle w:val="48"/>
      </w:pPr>
      <w:r>
        <w:t>主营业务分行业</w:t>
      </w:r>
      <w:r>
        <w:rPr>
          <w:rFonts w:hint="eastAsia"/>
        </w:rPr>
        <w:t>、</w:t>
      </w:r>
      <w:r>
        <w:t>分产品、分地区</w:t>
      </w:r>
      <w:r>
        <w:rPr>
          <w:rFonts w:hint="eastAsia"/>
        </w:rPr>
        <w:t>、分销售模式</w:t>
      </w:r>
      <w:r>
        <w:t>情况的说明</w:t>
      </w:r>
    </w:p>
    <w:sdt>
      <w:sdtPr>
        <w:rPr>
          <w:rFonts w:hint="eastAsia"/>
        </w:rPr>
        <w:alias w:val="主营业务分行业和分产品情况的说明"/>
        <w:tag w:val="_GBC_81b87428f4384bf2959419c3aea2dad2"/>
        <w:id w:val="-1958947502"/>
        <w:placeholder>
          <w:docPart w:val="GBC22222222222222222222222222222"/>
        </w:placeholder>
      </w:sdtPr>
      <w:sdtEndPr>
        <w:rPr>
          <w:rFonts w:hint="eastAsia"/>
        </w:rPr>
      </w:sdtEndPr>
      <w:sdtContent>
        <w:p w14:paraId="2A749D60">
          <w:pPr>
            <w:pStyle w:val="48"/>
            <w:spacing w:line="360" w:lineRule="auto"/>
            <w:ind w:firstLine="420" w:firstLineChars="200"/>
          </w:pPr>
          <w:r>
            <w:rPr>
              <w:rFonts w:hint="eastAsia"/>
            </w:rPr>
            <w:t>报告期内，公司实现生物制品制剂收入25.22亿元，较上年增加8.57亿元，其中销量影响和价格影响分别为10.29亿元、-1.72亿元，报告期内，生物制品（原料药及制剂产品）的毛利率减少了</w:t>
          </w:r>
          <w:r>
            <w:t>4.26</w:t>
          </w:r>
          <w:r>
            <w:rPr>
              <w:rFonts w:hint="eastAsia"/>
            </w:rPr>
            <w:t>个百分点，主要系公司主要产品人胰岛素注射剂产品及胰岛素类似物产品实施集采后产品销售单价降低所致；注射用笔、血糖试纸等医疗器械的毛利率减少了0.</w:t>
          </w:r>
          <w:r>
            <w:t>12</w:t>
          </w:r>
          <w:r>
            <w:rPr>
              <w:rFonts w:hint="eastAsia"/>
            </w:rPr>
            <w:t>个百分点，主要是外购原料成本有所增加所致。报告期内，公司销售模式全部为终端推广模式。</w:t>
          </w:r>
        </w:p>
      </w:sdtContent>
    </w:sdt>
    <w:bookmarkEnd w:id="51"/>
    <w:p w14:paraId="28895B6D">
      <w:pPr>
        <w:pStyle w:val="48"/>
      </w:pPr>
    </w:p>
    <w:p w14:paraId="73A02767">
      <w:pPr>
        <w:pStyle w:val="6"/>
        <w:numPr>
          <w:ilvl w:val="0"/>
          <w:numId w:val="10"/>
        </w:numPr>
        <w:tabs>
          <w:tab w:val="left" w:pos="567"/>
        </w:tabs>
        <w:ind w:leftChars="0"/>
      </w:pPr>
      <w:r>
        <w:rPr>
          <w:rFonts w:hint="eastAsia" w:ascii="宋体" w:hAnsi="宋体" w:cs="宋体"/>
          <w:kern w:val="0"/>
          <w:szCs w:val="24"/>
        </w:rPr>
        <w:t>产销量情况</w:t>
      </w:r>
      <w:r>
        <w:rPr>
          <w:rFonts w:ascii="宋体" w:hAnsi="宋体" w:cs="宋体"/>
          <w:kern w:val="0"/>
          <w:szCs w:val="24"/>
        </w:rPr>
        <w:t>分析表</w:t>
      </w:r>
    </w:p>
    <w:sdt>
      <w:sdtPr>
        <w:alias w:val="是否适用：产销量情况分析表[双击切换]"/>
        <w:tag w:val="_GBC_6ff51c492b3040799712ea51f78bdcc0"/>
        <w:id w:val="38488627"/>
        <w:placeholder>
          <w:docPart w:val="GBC22222222222222222222222222222"/>
        </w:placeholder>
      </w:sdtPr>
      <w:sdtContent>
        <w:p w14:paraId="2F2F7654">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20"/>
        <w:tblW w:w="90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845"/>
        <w:gridCol w:w="1129"/>
        <w:gridCol w:w="1131"/>
        <w:gridCol w:w="1131"/>
        <w:gridCol w:w="1131"/>
        <w:gridCol w:w="1131"/>
        <w:gridCol w:w="1131"/>
      </w:tblGrid>
      <w:tr w14:paraId="21E8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59e79e9293847dfb1bd7816b6ad48e6"/>
            <w:id w:val="-1924711276"/>
          </w:sdtPr>
          <w:sdtContent>
            <w:tc>
              <w:tcPr>
                <w:tcW w:w="1413" w:type="dxa"/>
                <w:vAlign w:val="center"/>
              </w:tcPr>
              <w:p w14:paraId="3EBBB6B2">
                <w:pPr>
                  <w:widowControl w:val="0"/>
                  <w:jc w:val="center"/>
                </w:pPr>
                <w:r>
                  <w:rPr>
                    <w:rFonts w:hint="eastAsia"/>
                  </w:rPr>
                  <w:t>主要产品</w:t>
                </w:r>
              </w:p>
            </w:tc>
          </w:sdtContent>
        </w:sdt>
        <w:tc>
          <w:tcPr>
            <w:tcW w:w="845" w:type="dxa"/>
            <w:vAlign w:val="center"/>
          </w:tcPr>
          <w:sdt>
            <w:sdtPr>
              <w:tag w:val="_PLD_6d13c84fd3694535a3f1b6bcdd58d107"/>
              <w:id w:val="1265120931"/>
            </w:sdtPr>
            <w:sdtContent>
              <w:p w14:paraId="25134A7A">
                <w:pPr>
                  <w:widowControl w:val="0"/>
                  <w:jc w:val="center"/>
                </w:pPr>
                <w:r>
                  <w:rPr>
                    <w:rFonts w:hint="eastAsia"/>
                  </w:rPr>
                  <w:t>单位</w:t>
                </w:r>
              </w:p>
            </w:sdtContent>
          </w:sdt>
        </w:tc>
        <w:sdt>
          <w:sdtPr>
            <w:tag w:val="_PLD_3645c9ae184248f6bd2dda9de0540406"/>
            <w:id w:val="1411279152"/>
          </w:sdtPr>
          <w:sdtContent>
            <w:tc>
              <w:tcPr>
                <w:tcW w:w="1129" w:type="dxa"/>
                <w:vAlign w:val="center"/>
              </w:tcPr>
              <w:p w14:paraId="6664B3CE">
                <w:pPr>
                  <w:widowControl w:val="0"/>
                  <w:jc w:val="center"/>
                </w:pPr>
                <w:r>
                  <w:rPr>
                    <w:rFonts w:hint="eastAsia"/>
                  </w:rPr>
                  <w:t>生产量</w:t>
                </w:r>
              </w:p>
            </w:tc>
          </w:sdtContent>
        </w:sdt>
        <w:sdt>
          <w:sdtPr>
            <w:tag w:val="_PLD_b4bd7da564c3452cb40ff15542829b7a"/>
            <w:id w:val="-1395114892"/>
          </w:sdtPr>
          <w:sdtContent>
            <w:tc>
              <w:tcPr>
                <w:tcW w:w="1131" w:type="dxa"/>
                <w:vAlign w:val="center"/>
              </w:tcPr>
              <w:p w14:paraId="008E426C">
                <w:pPr>
                  <w:widowControl w:val="0"/>
                  <w:jc w:val="center"/>
                </w:pPr>
                <w:r>
                  <w:rPr>
                    <w:rFonts w:hint="eastAsia"/>
                  </w:rPr>
                  <w:t>销售量</w:t>
                </w:r>
              </w:p>
            </w:tc>
          </w:sdtContent>
        </w:sdt>
        <w:sdt>
          <w:sdtPr>
            <w:tag w:val="_PLD_4f74a09ae16245a3a6e2c536c1266361"/>
            <w:id w:val="-2117588216"/>
          </w:sdtPr>
          <w:sdtContent>
            <w:tc>
              <w:tcPr>
                <w:tcW w:w="1131" w:type="dxa"/>
                <w:vAlign w:val="center"/>
              </w:tcPr>
              <w:p w14:paraId="2984E225">
                <w:pPr>
                  <w:widowControl w:val="0"/>
                  <w:jc w:val="center"/>
                </w:pPr>
                <w:r>
                  <w:rPr>
                    <w:rFonts w:hint="eastAsia"/>
                  </w:rPr>
                  <w:t>库存量</w:t>
                </w:r>
              </w:p>
            </w:tc>
          </w:sdtContent>
        </w:sdt>
        <w:sdt>
          <w:sdtPr>
            <w:tag w:val="_PLD_21bd7a4d992742feb4b83db592f976fd"/>
            <w:id w:val="676310989"/>
          </w:sdtPr>
          <w:sdtContent>
            <w:tc>
              <w:tcPr>
                <w:tcW w:w="1131" w:type="dxa"/>
                <w:vAlign w:val="center"/>
              </w:tcPr>
              <w:p w14:paraId="3290B15B">
                <w:pPr>
                  <w:widowControl w:val="0"/>
                  <w:jc w:val="center"/>
                </w:pPr>
                <w:r>
                  <w:rPr>
                    <w:rFonts w:hint="eastAsia"/>
                  </w:rPr>
                  <w:t>生产量比上年增减（%）</w:t>
                </w:r>
              </w:p>
            </w:tc>
          </w:sdtContent>
        </w:sdt>
        <w:sdt>
          <w:sdtPr>
            <w:tag w:val="_PLD_37e055a5474a4aac989b4e3a88756935"/>
            <w:id w:val="-1312951878"/>
          </w:sdtPr>
          <w:sdtContent>
            <w:tc>
              <w:tcPr>
                <w:tcW w:w="1131" w:type="dxa"/>
                <w:vAlign w:val="center"/>
              </w:tcPr>
              <w:p w14:paraId="5C99C98C">
                <w:pPr>
                  <w:widowControl w:val="0"/>
                  <w:jc w:val="center"/>
                </w:pPr>
                <w:r>
                  <w:rPr>
                    <w:rFonts w:hint="eastAsia"/>
                  </w:rPr>
                  <w:t>销售量比上年增减（%）</w:t>
                </w:r>
              </w:p>
            </w:tc>
          </w:sdtContent>
        </w:sdt>
        <w:sdt>
          <w:sdtPr>
            <w:tag w:val="_PLD_d03cdf85475e4722ae39e10ea525eee5"/>
            <w:id w:val="-635719537"/>
          </w:sdtPr>
          <w:sdtContent>
            <w:tc>
              <w:tcPr>
                <w:tcW w:w="1131" w:type="dxa"/>
                <w:vAlign w:val="center"/>
              </w:tcPr>
              <w:p w14:paraId="021D5A91">
                <w:pPr>
                  <w:widowControl w:val="0"/>
                  <w:jc w:val="center"/>
                </w:pPr>
                <w:r>
                  <w:rPr>
                    <w:rFonts w:hint="eastAsia"/>
                  </w:rPr>
                  <w:t>库存量比上年增减（%）</w:t>
                </w:r>
              </w:p>
            </w:tc>
          </w:sdtContent>
        </w:sdt>
      </w:tr>
      <w:tr w14:paraId="54E8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413" w:type="dxa"/>
            <w:vAlign w:val="center"/>
          </w:tcPr>
          <w:p w14:paraId="184778F1">
            <w:pPr>
              <w:pStyle w:val="48"/>
            </w:pPr>
            <w:r>
              <w:t>生物制品（制剂产品）</w:t>
            </w:r>
          </w:p>
        </w:tc>
        <w:tc>
          <w:tcPr>
            <w:tcW w:w="845" w:type="dxa"/>
            <w:vAlign w:val="center"/>
          </w:tcPr>
          <w:p w14:paraId="3A200327">
            <w:pPr>
              <w:pStyle w:val="48"/>
            </w:pPr>
            <w:r>
              <w:t>万支</w:t>
            </w:r>
          </w:p>
        </w:tc>
        <w:tc>
          <w:tcPr>
            <w:tcW w:w="1129" w:type="dxa"/>
            <w:vAlign w:val="center"/>
          </w:tcPr>
          <w:p w14:paraId="31FD16DC">
            <w:pPr>
              <w:widowControl w:val="0"/>
              <w:jc w:val="right"/>
            </w:pPr>
            <w:r>
              <w:t>8,710.27</w:t>
            </w:r>
          </w:p>
        </w:tc>
        <w:tc>
          <w:tcPr>
            <w:tcW w:w="1131" w:type="dxa"/>
            <w:vAlign w:val="center"/>
          </w:tcPr>
          <w:p w14:paraId="0C0DB50A">
            <w:pPr>
              <w:widowControl w:val="0"/>
              <w:jc w:val="right"/>
            </w:pPr>
            <w:r>
              <w:t>9,009.67</w:t>
            </w:r>
          </w:p>
        </w:tc>
        <w:tc>
          <w:tcPr>
            <w:tcW w:w="1131" w:type="dxa"/>
            <w:vAlign w:val="center"/>
          </w:tcPr>
          <w:p w14:paraId="670413D3">
            <w:pPr>
              <w:widowControl w:val="0"/>
              <w:jc w:val="right"/>
            </w:pPr>
            <w:r>
              <w:t>1,414.55</w:t>
            </w:r>
          </w:p>
        </w:tc>
        <w:tc>
          <w:tcPr>
            <w:tcW w:w="1131" w:type="dxa"/>
            <w:vAlign w:val="center"/>
          </w:tcPr>
          <w:p w14:paraId="54A73213">
            <w:pPr>
              <w:widowControl w:val="0"/>
              <w:jc w:val="right"/>
            </w:pPr>
            <w:r>
              <w:t>26.29</w:t>
            </w:r>
          </w:p>
        </w:tc>
        <w:tc>
          <w:tcPr>
            <w:tcW w:w="1131" w:type="dxa"/>
            <w:vAlign w:val="center"/>
          </w:tcPr>
          <w:p w14:paraId="717C65C6">
            <w:pPr>
              <w:widowControl w:val="0"/>
              <w:jc w:val="right"/>
            </w:pPr>
            <w:r>
              <w:t>56.15</w:t>
            </w:r>
          </w:p>
        </w:tc>
        <w:tc>
          <w:tcPr>
            <w:tcW w:w="1131" w:type="dxa"/>
            <w:vAlign w:val="center"/>
          </w:tcPr>
          <w:p w14:paraId="2EDB4076">
            <w:pPr>
              <w:widowControl w:val="0"/>
              <w:jc w:val="right"/>
            </w:pPr>
            <w:r>
              <w:t>-15.38</w:t>
            </w:r>
          </w:p>
        </w:tc>
      </w:tr>
      <w:tr w14:paraId="304C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413" w:type="dxa"/>
            <w:vAlign w:val="center"/>
          </w:tcPr>
          <w:p w14:paraId="0AF41C54">
            <w:pPr>
              <w:pStyle w:val="48"/>
            </w:pPr>
            <w:r>
              <w:t>镇脑宁胶囊</w:t>
            </w:r>
          </w:p>
        </w:tc>
        <w:tc>
          <w:tcPr>
            <w:tcW w:w="845" w:type="dxa"/>
            <w:vAlign w:val="center"/>
          </w:tcPr>
          <w:p w14:paraId="0DEAB81B">
            <w:pPr>
              <w:pStyle w:val="48"/>
            </w:pPr>
            <w:r>
              <w:t>万盒</w:t>
            </w:r>
          </w:p>
        </w:tc>
        <w:tc>
          <w:tcPr>
            <w:tcW w:w="1129" w:type="dxa"/>
            <w:vAlign w:val="center"/>
          </w:tcPr>
          <w:p w14:paraId="7384AE34">
            <w:pPr>
              <w:widowControl w:val="0"/>
              <w:jc w:val="right"/>
            </w:pPr>
            <w:r>
              <w:t>123.12</w:t>
            </w:r>
          </w:p>
        </w:tc>
        <w:tc>
          <w:tcPr>
            <w:tcW w:w="1131" w:type="dxa"/>
            <w:vAlign w:val="center"/>
          </w:tcPr>
          <w:p w14:paraId="118C4B84">
            <w:pPr>
              <w:widowControl w:val="0"/>
              <w:jc w:val="right"/>
            </w:pPr>
            <w:r>
              <w:t>194.39</w:t>
            </w:r>
          </w:p>
        </w:tc>
        <w:tc>
          <w:tcPr>
            <w:tcW w:w="1131" w:type="dxa"/>
            <w:vAlign w:val="center"/>
          </w:tcPr>
          <w:p w14:paraId="3F22A954">
            <w:pPr>
              <w:widowControl w:val="0"/>
              <w:jc w:val="right"/>
            </w:pPr>
            <w:r>
              <w:t>41.96</w:t>
            </w:r>
          </w:p>
        </w:tc>
        <w:tc>
          <w:tcPr>
            <w:tcW w:w="1131" w:type="dxa"/>
            <w:vAlign w:val="center"/>
          </w:tcPr>
          <w:p w14:paraId="4D639D96">
            <w:pPr>
              <w:widowControl w:val="0"/>
              <w:jc w:val="right"/>
            </w:pPr>
            <w:r>
              <w:t>-43.89</w:t>
            </w:r>
          </w:p>
        </w:tc>
        <w:tc>
          <w:tcPr>
            <w:tcW w:w="1131" w:type="dxa"/>
            <w:vAlign w:val="center"/>
          </w:tcPr>
          <w:p w14:paraId="19308206">
            <w:pPr>
              <w:widowControl w:val="0"/>
              <w:jc w:val="right"/>
            </w:pPr>
            <w:r>
              <w:t>66.59</w:t>
            </w:r>
          </w:p>
        </w:tc>
        <w:tc>
          <w:tcPr>
            <w:tcW w:w="1131" w:type="dxa"/>
            <w:vAlign w:val="center"/>
          </w:tcPr>
          <w:p w14:paraId="027A1D6D">
            <w:pPr>
              <w:widowControl w:val="0"/>
              <w:jc w:val="right"/>
            </w:pPr>
            <w:r>
              <w:t>-62.96</w:t>
            </w:r>
          </w:p>
        </w:tc>
      </w:tr>
    </w:tbl>
    <w:p w14:paraId="23FEFC32"/>
    <w:p w14:paraId="386868BC">
      <w:pPr>
        <w:pStyle w:val="48"/>
      </w:pPr>
      <w:r>
        <w:rPr>
          <w:rFonts w:hint="eastAsia"/>
        </w:rPr>
        <w:t>产销量情况说明</w:t>
      </w:r>
    </w:p>
    <w:sdt>
      <w:sdtPr>
        <w:rPr>
          <w:rFonts w:hint="eastAsia"/>
        </w:rPr>
        <w:alias w:val="产销量情况说明"/>
        <w:tag w:val="_GBC_1aea839efa9940859168bf3f05061254"/>
        <w:id w:val="-336542051"/>
        <w:placeholder>
          <w:docPart w:val="GBC22222222222222222222222222222"/>
        </w:placeholder>
      </w:sdtPr>
      <w:sdtEndPr>
        <w:rPr>
          <w:rFonts w:hint="eastAsia"/>
        </w:rPr>
      </w:sdtEndPr>
      <w:sdtContent>
        <w:p w14:paraId="2413405F">
          <w:pPr>
            <w:pStyle w:val="48"/>
            <w:spacing w:line="360" w:lineRule="auto"/>
            <w:ind w:firstLine="420" w:firstLineChars="200"/>
          </w:pPr>
          <w:r>
            <w:rPr>
              <w:rFonts w:hint="eastAsia"/>
            </w:rPr>
            <w:t>报告期公司对新产品加速市场推广，胰岛素类似物注射剂产品销量大幅增加，同时根据销售计划调整生产量，并适当降低年末库存储备。</w:t>
          </w:r>
        </w:p>
      </w:sdtContent>
    </w:sdt>
    <w:p w14:paraId="59E335CF">
      <w:pPr>
        <w:pStyle w:val="48"/>
      </w:pPr>
    </w:p>
    <w:p w14:paraId="2EF3877C">
      <w:pPr>
        <w:pStyle w:val="6"/>
        <w:numPr>
          <w:ilvl w:val="0"/>
          <w:numId w:val="10"/>
        </w:numPr>
        <w:tabs>
          <w:tab w:val="left" w:pos="567"/>
        </w:tabs>
        <w:ind w:leftChars="0"/>
      </w:pPr>
      <w:bookmarkStart w:id="52" w:name="_Hlk89876471"/>
      <w:r>
        <w:rPr>
          <w:rFonts w:hint="eastAsia" w:ascii="宋体" w:hAnsi="宋体" w:cs="宋体"/>
          <w:kern w:val="0"/>
          <w:szCs w:val="24"/>
        </w:rPr>
        <w:t>重大采购合同、重大销售合同的履行情况</w:t>
      </w:r>
    </w:p>
    <w:sdt>
      <w:sdtPr>
        <w:rPr>
          <w:rFonts w:hint="eastAsia"/>
        </w:rPr>
        <w:alias w:val="是否适用：重大采购合同、重大销售合同的履行情况 [双击切换]"/>
        <w:tag w:val="_GBC_7db64bb10282470b9d1599cd986236d4"/>
        <w:id w:val="-316962854"/>
        <w:placeholder>
          <w:docPart w:val="GBC22222222222222222222222222222"/>
        </w:placeholder>
      </w:sdtPr>
      <w:sdtEndPr>
        <w:rPr>
          <w:rFonts w:hint="eastAsia"/>
        </w:rPr>
      </w:sdtEndPr>
      <w:sdtContent>
        <w:p w14:paraId="15FB11F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4211FA0">
      <w:pPr>
        <w:pStyle w:val="48"/>
      </w:pPr>
    </w:p>
    <w:bookmarkEnd w:id="52"/>
    <w:p w14:paraId="4F75798B">
      <w:pPr>
        <w:pStyle w:val="6"/>
        <w:numPr>
          <w:ilvl w:val="0"/>
          <w:numId w:val="10"/>
        </w:numPr>
        <w:tabs>
          <w:tab w:val="left" w:pos="567"/>
        </w:tabs>
        <w:ind w:leftChars="0"/>
      </w:pPr>
      <w:r>
        <w:rPr>
          <w:rFonts w:ascii="宋体" w:hAnsi="宋体" w:cs="宋体"/>
          <w:kern w:val="0"/>
          <w:szCs w:val="24"/>
        </w:rPr>
        <w:t>成本分析表</w:t>
      </w:r>
    </w:p>
    <w:p w14:paraId="1A2CA7B3">
      <w:pPr>
        <w:pStyle w:val="30"/>
        <w:wordWrap w:val="0"/>
        <w:ind w:firstLine="0" w:firstLineChars="0"/>
        <w:jc w:val="right"/>
        <w:rPr>
          <w:szCs w:val="21"/>
        </w:rPr>
      </w:pPr>
      <w:r>
        <w:rPr>
          <w:rFonts w:hint="eastAsia"/>
          <w:szCs w:val="21"/>
        </w:rPr>
        <w:t>单位：</w:t>
      </w:r>
      <w:sdt>
        <w:sdtPr>
          <w:rPr>
            <w:rFonts w:hint="eastAsia"/>
            <w:szCs w:val="21"/>
          </w:rPr>
          <w:alias w:val="单位：成本分析表"/>
          <w:tag w:val="_GBC_b04622a3125b4989a822b6e63bf483c3"/>
          <w:id w:val="522831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成本分析表"/>
          <w:tag w:val="_GBC_5c55578755b74bb6835d3a10e2d5f7d9"/>
          <w:id w:val="5356299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20"/>
        <w:tblW w:w="9480"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697"/>
        <w:gridCol w:w="1843"/>
        <w:gridCol w:w="850"/>
        <w:gridCol w:w="1559"/>
        <w:gridCol w:w="851"/>
        <w:gridCol w:w="960"/>
        <w:gridCol w:w="1006"/>
      </w:tblGrid>
      <w:tr w14:paraId="188B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sdt>
          <w:sdtPr>
            <w:tag w:val="_PLD_23eca1a24a6a46819aede5056d21b4e0"/>
            <w:id w:val="918208812"/>
          </w:sdtPr>
          <w:sdtContent>
            <w:tc>
              <w:tcPr>
                <w:tcW w:w="9480" w:type="dxa"/>
                <w:gridSpan w:val="8"/>
                <w:vAlign w:val="center"/>
              </w:tcPr>
              <w:p w14:paraId="4411CA88">
                <w:pPr>
                  <w:widowControl w:val="0"/>
                  <w:jc w:val="center"/>
                </w:pPr>
                <w:r>
                  <w:t>分行业情况</w:t>
                </w:r>
              </w:p>
            </w:tc>
          </w:sdtContent>
        </w:sdt>
      </w:tr>
      <w:tr w14:paraId="459E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6ed773a4437a4fe9b33abca9c4813940"/>
            <w:id w:val="209080737"/>
          </w:sdtPr>
          <w:sdtContent>
            <w:tc>
              <w:tcPr>
                <w:tcW w:w="1714" w:type="dxa"/>
                <w:vAlign w:val="center"/>
              </w:tcPr>
              <w:p w14:paraId="6FC004C2">
                <w:pPr>
                  <w:widowControl w:val="0"/>
                  <w:jc w:val="center"/>
                </w:pPr>
                <w:r>
                  <w:t>分行业</w:t>
                </w:r>
              </w:p>
            </w:tc>
          </w:sdtContent>
        </w:sdt>
        <w:sdt>
          <w:sdtPr>
            <w:tag w:val="_PLD_11eb33bcb20d4489a1b9fff2216d0a84"/>
            <w:id w:val="-645284412"/>
          </w:sdtPr>
          <w:sdtContent>
            <w:tc>
              <w:tcPr>
                <w:tcW w:w="697" w:type="dxa"/>
                <w:vAlign w:val="center"/>
              </w:tcPr>
              <w:p w14:paraId="3D6BECD6">
                <w:pPr>
                  <w:widowControl w:val="0"/>
                  <w:jc w:val="center"/>
                </w:pPr>
                <w:r>
                  <w:t>成本构成项目</w:t>
                </w:r>
              </w:p>
            </w:tc>
          </w:sdtContent>
        </w:sdt>
        <w:sdt>
          <w:sdtPr>
            <w:tag w:val="_PLD_25c03477e66a432199f6493c38aaca71"/>
            <w:id w:val="1788075857"/>
          </w:sdtPr>
          <w:sdtContent>
            <w:tc>
              <w:tcPr>
                <w:tcW w:w="1843" w:type="dxa"/>
                <w:vAlign w:val="center"/>
              </w:tcPr>
              <w:p w14:paraId="3E21CA1E">
                <w:pPr>
                  <w:widowControl w:val="0"/>
                  <w:jc w:val="center"/>
                </w:pPr>
                <w:r>
                  <w:t>本期金额</w:t>
                </w:r>
              </w:p>
            </w:tc>
          </w:sdtContent>
        </w:sdt>
        <w:sdt>
          <w:sdtPr>
            <w:tag w:val="_PLD_29b86b13ed1449cfb64b8547d9ed08a7"/>
            <w:id w:val="-2041499309"/>
          </w:sdtPr>
          <w:sdtContent>
            <w:tc>
              <w:tcPr>
                <w:tcW w:w="850" w:type="dxa"/>
                <w:vAlign w:val="center"/>
              </w:tcPr>
              <w:p w14:paraId="32F5D857">
                <w:pPr>
                  <w:widowControl w:val="0"/>
                  <w:jc w:val="center"/>
                </w:pPr>
                <w:r>
                  <w:t>本期占总成本比例(</w:t>
                </w:r>
                <w:r>
                  <w:rPr>
                    <w:rFonts w:hint="eastAsia"/>
                  </w:rPr>
                  <w:t>%</w:t>
                </w:r>
                <w:r>
                  <w:t>)</w:t>
                </w:r>
              </w:p>
            </w:tc>
          </w:sdtContent>
        </w:sdt>
        <w:sdt>
          <w:sdtPr>
            <w:tag w:val="_PLD_5ff02c2ae2d941d5bb2ed5b1e6bfa8e6"/>
            <w:id w:val="-1622671248"/>
          </w:sdtPr>
          <w:sdtContent>
            <w:tc>
              <w:tcPr>
                <w:tcW w:w="1559" w:type="dxa"/>
                <w:vAlign w:val="center"/>
              </w:tcPr>
              <w:p w14:paraId="672BBEBD">
                <w:pPr>
                  <w:widowControl w:val="0"/>
                  <w:jc w:val="center"/>
                </w:pPr>
                <w:r>
                  <w:t>上年同期金额</w:t>
                </w:r>
              </w:p>
            </w:tc>
          </w:sdtContent>
        </w:sdt>
        <w:sdt>
          <w:sdtPr>
            <w:tag w:val="_PLD_517f7979a01748fba12b11d5561fdcdd"/>
            <w:id w:val="320780705"/>
          </w:sdtPr>
          <w:sdtContent>
            <w:tc>
              <w:tcPr>
                <w:tcW w:w="851" w:type="dxa"/>
                <w:vAlign w:val="center"/>
              </w:tcPr>
              <w:p w14:paraId="05839608">
                <w:pPr>
                  <w:widowControl w:val="0"/>
                  <w:jc w:val="center"/>
                </w:pPr>
                <w:r>
                  <w:t>上年同期占总成本比例(</w:t>
                </w:r>
                <w:r>
                  <w:rPr>
                    <w:rFonts w:hint="eastAsia"/>
                  </w:rPr>
                  <w:t>%</w:t>
                </w:r>
                <w:r>
                  <w:t>)</w:t>
                </w:r>
              </w:p>
            </w:tc>
          </w:sdtContent>
        </w:sdt>
        <w:sdt>
          <w:sdtPr>
            <w:tag w:val="_PLD_51133d067ddc4eeda00133d4c26d206f"/>
            <w:id w:val="-1268925218"/>
          </w:sdtPr>
          <w:sdtContent>
            <w:tc>
              <w:tcPr>
                <w:tcW w:w="960" w:type="dxa"/>
                <w:vAlign w:val="center"/>
              </w:tcPr>
              <w:p w14:paraId="242EBCB0">
                <w:pPr>
                  <w:widowControl w:val="0"/>
                  <w:jc w:val="center"/>
                </w:pPr>
                <w:r>
                  <w:t>本期金额较上年同期变动比例(</w:t>
                </w:r>
                <w:r>
                  <w:rPr>
                    <w:rFonts w:hint="eastAsia"/>
                  </w:rPr>
                  <w:t>%</w:t>
                </w:r>
                <w:r>
                  <w:t>)</w:t>
                </w:r>
              </w:p>
            </w:tc>
          </w:sdtContent>
        </w:sdt>
        <w:sdt>
          <w:sdtPr>
            <w:tag w:val="_PLD_88c2b4dabd62472381be05c0702377e2"/>
            <w:id w:val="-301544556"/>
          </w:sdtPr>
          <w:sdtContent>
            <w:tc>
              <w:tcPr>
                <w:tcW w:w="1006" w:type="dxa"/>
                <w:vAlign w:val="center"/>
              </w:tcPr>
              <w:p w14:paraId="6363A99D">
                <w:pPr>
                  <w:widowControl w:val="0"/>
                  <w:jc w:val="center"/>
                </w:pPr>
                <w:r>
                  <w:t>情况</w:t>
                </w:r>
              </w:p>
              <w:p w14:paraId="618BF9F0">
                <w:pPr>
                  <w:widowControl w:val="0"/>
                  <w:jc w:val="center"/>
                </w:pPr>
                <w:r>
                  <w:t>说明</w:t>
                </w:r>
              </w:p>
            </w:tc>
          </w:sdtContent>
        </w:sdt>
      </w:tr>
      <w:tr w14:paraId="5A1C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714" w:type="dxa"/>
            <w:vMerge w:val="restart"/>
            <w:vAlign w:val="center"/>
          </w:tcPr>
          <w:p w14:paraId="414B8336">
            <w:pPr>
              <w:pStyle w:val="48"/>
            </w:pPr>
            <w:r>
              <w:rPr>
                <w:rFonts w:hint="eastAsia"/>
              </w:rPr>
              <w:t>医药行业</w:t>
            </w:r>
          </w:p>
        </w:tc>
        <w:tc>
          <w:tcPr>
            <w:tcW w:w="697" w:type="dxa"/>
            <w:vAlign w:val="center"/>
          </w:tcPr>
          <w:p w14:paraId="0F7788D3">
            <w:pPr>
              <w:pStyle w:val="48"/>
            </w:pPr>
            <w:r>
              <w:t>产品成本</w:t>
            </w:r>
          </w:p>
        </w:tc>
        <w:tc>
          <w:tcPr>
            <w:tcW w:w="1843" w:type="dxa"/>
            <w:vAlign w:val="center"/>
          </w:tcPr>
          <w:p w14:paraId="3EB540BB">
            <w:pPr>
              <w:widowControl w:val="0"/>
              <w:jc w:val="right"/>
            </w:pPr>
            <w:r>
              <w:t>800,458,441.83</w:t>
            </w:r>
          </w:p>
        </w:tc>
        <w:tc>
          <w:tcPr>
            <w:tcW w:w="850" w:type="dxa"/>
            <w:vAlign w:val="center"/>
          </w:tcPr>
          <w:p w14:paraId="680F36BA">
            <w:pPr>
              <w:widowControl w:val="0"/>
              <w:jc w:val="right"/>
            </w:pPr>
            <w:r>
              <w:t>91.53</w:t>
            </w:r>
          </w:p>
        </w:tc>
        <w:tc>
          <w:tcPr>
            <w:tcW w:w="1559" w:type="dxa"/>
            <w:vAlign w:val="center"/>
          </w:tcPr>
          <w:p w14:paraId="7C95EB60">
            <w:pPr>
              <w:widowControl w:val="0"/>
              <w:jc w:val="right"/>
            </w:pPr>
            <w:r>
              <w:t>453,453,781.88</w:t>
            </w:r>
          </w:p>
        </w:tc>
        <w:tc>
          <w:tcPr>
            <w:tcW w:w="851" w:type="dxa"/>
            <w:vAlign w:val="center"/>
          </w:tcPr>
          <w:p w14:paraId="0A45E85A">
            <w:pPr>
              <w:widowControl w:val="0"/>
              <w:jc w:val="right"/>
            </w:pPr>
            <w:r>
              <w:t>86.45</w:t>
            </w:r>
          </w:p>
        </w:tc>
        <w:tc>
          <w:tcPr>
            <w:tcW w:w="960" w:type="dxa"/>
            <w:vAlign w:val="center"/>
          </w:tcPr>
          <w:p w14:paraId="0F3A831A">
            <w:pPr>
              <w:widowControl w:val="0"/>
              <w:jc w:val="right"/>
            </w:pPr>
            <w:r>
              <w:t>76.52</w:t>
            </w:r>
          </w:p>
        </w:tc>
        <w:tc>
          <w:tcPr>
            <w:tcW w:w="1006" w:type="dxa"/>
            <w:vAlign w:val="center"/>
          </w:tcPr>
          <w:p w14:paraId="6BC99803">
            <w:pPr>
              <w:pStyle w:val="48"/>
            </w:pPr>
            <w:r>
              <w:t>营业收入增加导致成本增加</w:t>
            </w:r>
          </w:p>
        </w:tc>
      </w:tr>
      <w:tr w14:paraId="4968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714" w:type="dxa"/>
            <w:vMerge w:val="continue"/>
            <w:vAlign w:val="center"/>
          </w:tcPr>
          <w:p w14:paraId="5C8D45B7">
            <w:pPr>
              <w:pStyle w:val="48"/>
            </w:pPr>
          </w:p>
        </w:tc>
        <w:tc>
          <w:tcPr>
            <w:tcW w:w="697" w:type="dxa"/>
            <w:vAlign w:val="center"/>
          </w:tcPr>
          <w:p w14:paraId="19F59981">
            <w:pPr>
              <w:pStyle w:val="48"/>
            </w:pPr>
            <w:r>
              <w:t>商品成本</w:t>
            </w:r>
          </w:p>
        </w:tc>
        <w:tc>
          <w:tcPr>
            <w:tcW w:w="1843" w:type="dxa"/>
            <w:vAlign w:val="center"/>
          </w:tcPr>
          <w:p w14:paraId="2F1295BF">
            <w:pPr>
              <w:widowControl w:val="0"/>
              <w:jc w:val="right"/>
            </w:pPr>
            <w:r>
              <w:t>48,255,966.66</w:t>
            </w:r>
          </w:p>
        </w:tc>
        <w:tc>
          <w:tcPr>
            <w:tcW w:w="850" w:type="dxa"/>
            <w:vAlign w:val="center"/>
          </w:tcPr>
          <w:p w14:paraId="23645B47">
            <w:pPr>
              <w:widowControl w:val="0"/>
              <w:jc w:val="right"/>
            </w:pPr>
            <w:r>
              <w:t>5.52</w:t>
            </w:r>
          </w:p>
        </w:tc>
        <w:tc>
          <w:tcPr>
            <w:tcW w:w="1559" w:type="dxa"/>
            <w:vAlign w:val="center"/>
          </w:tcPr>
          <w:p w14:paraId="7D6364C0">
            <w:pPr>
              <w:widowControl w:val="0"/>
              <w:jc w:val="right"/>
            </w:pPr>
            <w:r>
              <w:t>55,367,739.51</w:t>
            </w:r>
          </w:p>
        </w:tc>
        <w:tc>
          <w:tcPr>
            <w:tcW w:w="851" w:type="dxa"/>
            <w:vAlign w:val="center"/>
          </w:tcPr>
          <w:p w14:paraId="16BFA7FF">
            <w:pPr>
              <w:widowControl w:val="0"/>
              <w:jc w:val="right"/>
            </w:pPr>
            <w:r>
              <w:t>10.56</w:t>
            </w:r>
          </w:p>
        </w:tc>
        <w:tc>
          <w:tcPr>
            <w:tcW w:w="960" w:type="dxa"/>
            <w:vAlign w:val="center"/>
          </w:tcPr>
          <w:p w14:paraId="2F377900">
            <w:pPr>
              <w:widowControl w:val="0"/>
              <w:jc w:val="right"/>
            </w:pPr>
            <w:r>
              <w:t>-12.84</w:t>
            </w:r>
          </w:p>
        </w:tc>
        <w:tc>
          <w:tcPr>
            <w:tcW w:w="1006" w:type="dxa"/>
            <w:vAlign w:val="center"/>
          </w:tcPr>
          <w:p w14:paraId="380B827E">
            <w:pPr>
              <w:pStyle w:val="48"/>
            </w:pPr>
            <w:r>
              <w:t>营业收入减少导致成本减少</w:t>
            </w:r>
          </w:p>
        </w:tc>
      </w:tr>
      <w:tr w14:paraId="1E11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714" w:type="dxa"/>
            <w:vAlign w:val="center"/>
          </w:tcPr>
          <w:p w14:paraId="5331CB76">
            <w:pPr>
              <w:pStyle w:val="48"/>
            </w:pPr>
            <w:r>
              <w:t>房地产行业</w:t>
            </w:r>
          </w:p>
        </w:tc>
        <w:tc>
          <w:tcPr>
            <w:tcW w:w="697" w:type="dxa"/>
            <w:vAlign w:val="center"/>
          </w:tcPr>
          <w:p w14:paraId="53491EBA">
            <w:pPr>
              <w:pStyle w:val="48"/>
            </w:pPr>
            <w:r>
              <w:t>开发成本</w:t>
            </w:r>
          </w:p>
        </w:tc>
        <w:tc>
          <w:tcPr>
            <w:tcW w:w="1843" w:type="dxa"/>
            <w:vAlign w:val="center"/>
          </w:tcPr>
          <w:p w14:paraId="159411B0">
            <w:pPr>
              <w:widowControl w:val="0"/>
              <w:jc w:val="right"/>
            </w:pPr>
            <w:r>
              <w:t>5,913,463.41</w:t>
            </w:r>
          </w:p>
        </w:tc>
        <w:tc>
          <w:tcPr>
            <w:tcW w:w="850" w:type="dxa"/>
            <w:vAlign w:val="center"/>
          </w:tcPr>
          <w:p w14:paraId="759F0616">
            <w:pPr>
              <w:widowControl w:val="0"/>
              <w:jc w:val="right"/>
            </w:pPr>
            <w:r>
              <w:t>0.68</w:t>
            </w:r>
          </w:p>
        </w:tc>
        <w:tc>
          <w:tcPr>
            <w:tcW w:w="1559" w:type="dxa"/>
            <w:vAlign w:val="center"/>
          </w:tcPr>
          <w:p w14:paraId="429A4B44">
            <w:pPr>
              <w:widowControl w:val="0"/>
              <w:jc w:val="right"/>
            </w:pPr>
            <w:r>
              <w:t>1,709,300.46</w:t>
            </w:r>
          </w:p>
        </w:tc>
        <w:tc>
          <w:tcPr>
            <w:tcW w:w="851" w:type="dxa"/>
            <w:vAlign w:val="center"/>
          </w:tcPr>
          <w:p w14:paraId="01E6D044">
            <w:pPr>
              <w:widowControl w:val="0"/>
              <w:jc w:val="right"/>
            </w:pPr>
            <w:r>
              <w:t>0.33</w:t>
            </w:r>
          </w:p>
        </w:tc>
        <w:tc>
          <w:tcPr>
            <w:tcW w:w="960" w:type="dxa"/>
            <w:vAlign w:val="center"/>
          </w:tcPr>
          <w:p w14:paraId="7251F8CB">
            <w:pPr>
              <w:widowControl w:val="0"/>
              <w:jc w:val="right"/>
            </w:pPr>
            <w:r>
              <w:t>245.96</w:t>
            </w:r>
          </w:p>
        </w:tc>
        <w:tc>
          <w:tcPr>
            <w:tcW w:w="1006" w:type="dxa"/>
            <w:vAlign w:val="center"/>
          </w:tcPr>
          <w:p w14:paraId="3F9EA2CD">
            <w:pPr>
              <w:pStyle w:val="48"/>
            </w:pPr>
            <w:r>
              <w:t>营业收入增加导致成本增加</w:t>
            </w:r>
          </w:p>
        </w:tc>
      </w:tr>
      <w:tr w14:paraId="5C42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sdt>
          <w:sdtPr>
            <w:tag w:val="_PLD_0092d9f33f1f4ccb96da6cc52c190e39"/>
            <w:id w:val="1705361560"/>
          </w:sdtPr>
          <w:sdtContent>
            <w:tc>
              <w:tcPr>
                <w:tcW w:w="9480" w:type="dxa"/>
                <w:gridSpan w:val="8"/>
                <w:vAlign w:val="center"/>
              </w:tcPr>
              <w:p w14:paraId="7D620C77">
                <w:pPr>
                  <w:widowControl w:val="0"/>
                  <w:jc w:val="center"/>
                </w:pPr>
                <w:r>
                  <w:t>分产品情况</w:t>
                </w:r>
              </w:p>
            </w:tc>
          </w:sdtContent>
        </w:sdt>
      </w:tr>
      <w:tr w14:paraId="7ECA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tag w:val="_PLD_c196e3eb716a4b75bda8de0a1a1a5780"/>
            <w:id w:val="-207335259"/>
          </w:sdtPr>
          <w:sdtContent>
            <w:tc>
              <w:tcPr>
                <w:tcW w:w="1714" w:type="dxa"/>
                <w:vAlign w:val="center"/>
              </w:tcPr>
              <w:p w14:paraId="5E0740D4">
                <w:pPr>
                  <w:widowControl w:val="0"/>
                  <w:jc w:val="center"/>
                </w:pPr>
                <w:r>
                  <w:t>分</w:t>
                </w:r>
                <w:r>
                  <w:rPr>
                    <w:rFonts w:hint="eastAsia"/>
                  </w:rPr>
                  <w:t>产品</w:t>
                </w:r>
              </w:p>
            </w:tc>
          </w:sdtContent>
        </w:sdt>
        <w:sdt>
          <w:sdtPr>
            <w:tag w:val="_PLD_9a4782df875a421fa22d5bb28b135494"/>
            <w:id w:val="423608959"/>
          </w:sdtPr>
          <w:sdtContent>
            <w:tc>
              <w:tcPr>
                <w:tcW w:w="697" w:type="dxa"/>
                <w:vAlign w:val="center"/>
              </w:tcPr>
              <w:p w14:paraId="38D3E112">
                <w:pPr>
                  <w:widowControl w:val="0"/>
                  <w:jc w:val="center"/>
                </w:pPr>
                <w:r>
                  <w:t>成本构成项目</w:t>
                </w:r>
              </w:p>
            </w:tc>
          </w:sdtContent>
        </w:sdt>
        <w:sdt>
          <w:sdtPr>
            <w:tag w:val="_PLD_3ddf6750761e4cb5a3c10274752059ad"/>
            <w:id w:val="-681974894"/>
          </w:sdtPr>
          <w:sdtContent>
            <w:tc>
              <w:tcPr>
                <w:tcW w:w="1843" w:type="dxa"/>
                <w:vAlign w:val="center"/>
              </w:tcPr>
              <w:p w14:paraId="545E5EBC">
                <w:pPr>
                  <w:widowControl w:val="0"/>
                  <w:jc w:val="center"/>
                </w:pPr>
                <w:r>
                  <w:t>本期金额</w:t>
                </w:r>
              </w:p>
            </w:tc>
          </w:sdtContent>
        </w:sdt>
        <w:sdt>
          <w:sdtPr>
            <w:tag w:val="_PLD_dcb03e51a739483781a7336e1a9b6c53"/>
            <w:id w:val="-1142266664"/>
          </w:sdtPr>
          <w:sdtContent>
            <w:tc>
              <w:tcPr>
                <w:tcW w:w="850" w:type="dxa"/>
                <w:vAlign w:val="center"/>
              </w:tcPr>
              <w:p w14:paraId="1758844A">
                <w:pPr>
                  <w:widowControl w:val="0"/>
                  <w:jc w:val="center"/>
                </w:pPr>
                <w:r>
                  <w:t>本期占总成本比例(</w:t>
                </w:r>
                <w:r>
                  <w:rPr>
                    <w:rFonts w:hint="eastAsia"/>
                  </w:rPr>
                  <w:t>%</w:t>
                </w:r>
                <w:r>
                  <w:t>)</w:t>
                </w:r>
              </w:p>
            </w:tc>
          </w:sdtContent>
        </w:sdt>
        <w:sdt>
          <w:sdtPr>
            <w:tag w:val="_PLD_fe6b2171d862410980857c00f504b451"/>
            <w:id w:val="192896436"/>
          </w:sdtPr>
          <w:sdtContent>
            <w:tc>
              <w:tcPr>
                <w:tcW w:w="1559" w:type="dxa"/>
                <w:vAlign w:val="center"/>
              </w:tcPr>
              <w:p w14:paraId="20C011E7">
                <w:pPr>
                  <w:widowControl w:val="0"/>
                  <w:jc w:val="center"/>
                </w:pPr>
                <w:r>
                  <w:t>上年同期金额</w:t>
                </w:r>
              </w:p>
            </w:tc>
          </w:sdtContent>
        </w:sdt>
        <w:sdt>
          <w:sdtPr>
            <w:tag w:val="_PLD_4cf5110e7be04df78012e249a0900292"/>
            <w:id w:val="447437092"/>
          </w:sdtPr>
          <w:sdtContent>
            <w:tc>
              <w:tcPr>
                <w:tcW w:w="851" w:type="dxa"/>
                <w:vAlign w:val="center"/>
              </w:tcPr>
              <w:p w14:paraId="3AADC628">
                <w:pPr>
                  <w:widowControl w:val="0"/>
                  <w:jc w:val="center"/>
                </w:pPr>
                <w:r>
                  <w:t>上年同期占总成本比例(</w:t>
                </w:r>
                <w:r>
                  <w:rPr>
                    <w:rFonts w:hint="eastAsia"/>
                  </w:rPr>
                  <w:t>%</w:t>
                </w:r>
                <w:r>
                  <w:t>)</w:t>
                </w:r>
              </w:p>
            </w:tc>
          </w:sdtContent>
        </w:sdt>
        <w:sdt>
          <w:sdtPr>
            <w:tag w:val="_PLD_efbc8491fdf34506bf7690ab3a8f6402"/>
            <w:id w:val="44563186"/>
          </w:sdtPr>
          <w:sdtContent>
            <w:tc>
              <w:tcPr>
                <w:tcW w:w="960" w:type="dxa"/>
                <w:vAlign w:val="center"/>
              </w:tcPr>
              <w:p w14:paraId="3DD00709">
                <w:pPr>
                  <w:widowControl w:val="0"/>
                  <w:jc w:val="center"/>
                </w:pPr>
                <w:r>
                  <w:t>本期金额较上年同期变动比例(</w:t>
                </w:r>
                <w:r>
                  <w:rPr>
                    <w:rFonts w:hint="eastAsia"/>
                  </w:rPr>
                  <w:t>%</w:t>
                </w:r>
                <w:r>
                  <w:t>)</w:t>
                </w:r>
              </w:p>
            </w:tc>
          </w:sdtContent>
        </w:sdt>
        <w:sdt>
          <w:sdtPr>
            <w:tag w:val="_PLD_b8e943b8220340c7810a554346594426"/>
            <w:id w:val="1954899880"/>
          </w:sdtPr>
          <w:sdtContent>
            <w:tc>
              <w:tcPr>
                <w:tcW w:w="1006" w:type="dxa"/>
                <w:vAlign w:val="center"/>
              </w:tcPr>
              <w:p w14:paraId="0AFDC1B2">
                <w:pPr>
                  <w:widowControl w:val="0"/>
                  <w:jc w:val="center"/>
                </w:pPr>
                <w:r>
                  <w:t>情况</w:t>
                </w:r>
              </w:p>
              <w:p w14:paraId="7A2C6AFF">
                <w:pPr>
                  <w:widowControl w:val="0"/>
                  <w:jc w:val="center"/>
                </w:pPr>
                <w:r>
                  <w:t>说明</w:t>
                </w:r>
              </w:p>
            </w:tc>
          </w:sdtContent>
        </w:sdt>
      </w:tr>
      <w:tr w14:paraId="4157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714" w:type="dxa"/>
            <w:tcBorders>
              <w:bottom w:val="single" w:color="auto" w:sz="4" w:space="0"/>
            </w:tcBorders>
            <w:vAlign w:val="center"/>
          </w:tcPr>
          <w:p w14:paraId="1FFD467F">
            <w:pPr>
              <w:pStyle w:val="48"/>
            </w:pPr>
            <w:r>
              <w:t>生物制品（原料药及制剂产品）</w:t>
            </w:r>
          </w:p>
        </w:tc>
        <w:tc>
          <w:tcPr>
            <w:tcW w:w="697" w:type="dxa"/>
            <w:tcBorders>
              <w:bottom w:val="single" w:color="auto" w:sz="4" w:space="0"/>
            </w:tcBorders>
            <w:vAlign w:val="center"/>
          </w:tcPr>
          <w:p w14:paraId="4392CD8E">
            <w:pPr>
              <w:pStyle w:val="48"/>
            </w:pPr>
            <w:r>
              <w:t>产品成本</w:t>
            </w:r>
          </w:p>
        </w:tc>
        <w:tc>
          <w:tcPr>
            <w:tcW w:w="1843" w:type="dxa"/>
            <w:tcBorders>
              <w:bottom w:val="single" w:color="auto" w:sz="4" w:space="0"/>
            </w:tcBorders>
            <w:vAlign w:val="center"/>
          </w:tcPr>
          <w:p w14:paraId="75EA96DA">
            <w:pPr>
              <w:widowControl w:val="0"/>
              <w:jc w:val="right"/>
            </w:pPr>
            <w:r>
              <w:t>724,713,002.20</w:t>
            </w:r>
          </w:p>
        </w:tc>
        <w:tc>
          <w:tcPr>
            <w:tcW w:w="850" w:type="dxa"/>
            <w:tcBorders>
              <w:bottom w:val="single" w:color="auto" w:sz="4" w:space="0"/>
            </w:tcBorders>
            <w:vAlign w:val="center"/>
          </w:tcPr>
          <w:p w14:paraId="02485877">
            <w:pPr>
              <w:widowControl w:val="0"/>
              <w:jc w:val="right"/>
            </w:pPr>
            <w:r>
              <w:t>82.87</w:t>
            </w:r>
          </w:p>
        </w:tc>
        <w:tc>
          <w:tcPr>
            <w:tcW w:w="1559" w:type="dxa"/>
            <w:tcBorders>
              <w:bottom w:val="single" w:color="auto" w:sz="4" w:space="0"/>
            </w:tcBorders>
            <w:vAlign w:val="center"/>
          </w:tcPr>
          <w:p w14:paraId="7E093665">
            <w:pPr>
              <w:widowControl w:val="0"/>
              <w:jc w:val="right"/>
            </w:pPr>
            <w:r>
              <w:t>399,917,534.29</w:t>
            </w:r>
          </w:p>
        </w:tc>
        <w:tc>
          <w:tcPr>
            <w:tcW w:w="851" w:type="dxa"/>
            <w:tcBorders>
              <w:bottom w:val="single" w:color="auto" w:sz="4" w:space="0"/>
            </w:tcBorders>
            <w:vAlign w:val="center"/>
          </w:tcPr>
          <w:p w14:paraId="470C15BA">
            <w:pPr>
              <w:widowControl w:val="0"/>
              <w:jc w:val="right"/>
            </w:pPr>
            <w:r>
              <w:t>76.25</w:t>
            </w:r>
          </w:p>
        </w:tc>
        <w:tc>
          <w:tcPr>
            <w:tcW w:w="960" w:type="dxa"/>
            <w:tcBorders>
              <w:bottom w:val="single" w:color="auto" w:sz="4" w:space="0"/>
            </w:tcBorders>
            <w:vAlign w:val="center"/>
          </w:tcPr>
          <w:p w14:paraId="402FABE9">
            <w:pPr>
              <w:widowControl w:val="0"/>
              <w:jc w:val="right"/>
            </w:pPr>
            <w:r>
              <w:t>81.22</w:t>
            </w:r>
          </w:p>
        </w:tc>
        <w:tc>
          <w:tcPr>
            <w:tcW w:w="1006" w:type="dxa"/>
            <w:tcBorders>
              <w:bottom w:val="single" w:color="auto" w:sz="4" w:space="0"/>
            </w:tcBorders>
            <w:vAlign w:val="center"/>
          </w:tcPr>
          <w:p w14:paraId="3C248120">
            <w:pPr>
              <w:pStyle w:val="48"/>
            </w:pPr>
            <w:r>
              <w:t>营业收入增加导致成本增加</w:t>
            </w:r>
          </w:p>
        </w:tc>
      </w:tr>
      <w:tr w14:paraId="639C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714" w:type="dxa"/>
            <w:vMerge w:val="restart"/>
            <w:vAlign w:val="center"/>
          </w:tcPr>
          <w:p w14:paraId="1C300D08">
            <w:pPr>
              <w:pStyle w:val="48"/>
            </w:pPr>
            <w:r>
              <w:rPr>
                <w:rFonts w:hint="eastAsia"/>
              </w:rPr>
              <w:t>注射用笔、血糖试纸、采血针等医疗器械</w:t>
            </w:r>
          </w:p>
        </w:tc>
        <w:tc>
          <w:tcPr>
            <w:tcW w:w="697" w:type="dxa"/>
            <w:vAlign w:val="center"/>
          </w:tcPr>
          <w:p w14:paraId="45BA23ED">
            <w:pPr>
              <w:pStyle w:val="48"/>
            </w:pPr>
            <w:r>
              <w:t>产品成本</w:t>
            </w:r>
          </w:p>
        </w:tc>
        <w:tc>
          <w:tcPr>
            <w:tcW w:w="1843" w:type="dxa"/>
            <w:vAlign w:val="center"/>
          </w:tcPr>
          <w:p w14:paraId="4B1DA20A">
            <w:pPr>
              <w:widowControl w:val="0"/>
              <w:jc w:val="right"/>
            </w:pPr>
            <w:r>
              <w:t>29,842,303.59</w:t>
            </w:r>
          </w:p>
        </w:tc>
        <w:tc>
          <w:tcPr>
            <w:tcW w:w="850" w:type="dxa"/>
            <w:vAlign w:val="center"/>
          </w:tcPr>
          <w:p w14:paraId="42EEAE2C">
            <w:pPr>
              <w:widowControl w:val="0"/>
              <w:jc w:val="right"/>
            </w:pPr>
            <w:r>
              <w:t>3.41</w:t>
            </w:r>
          </w:p>
        </w:tc>
        <w:tc>
          <w:tcPr>
            <w:tcW w:w="1559" w:type="dxa"/>
            <w:vAlign w:val="center"/>
          </w:tcPr>
          <w:p w14:paraId="26F3E74A">
            <w:pPr>
              <w:widowControl w:val="0"/>
              <w:jc w:val="right"/>
            </w:pPr>
            <w:r>
              <w:t>30,431,426.15</w:t>
            </w:r>
          </w:p>
        </w:tc>
        <w:tc>
          <w:tcPr>
            <w:tcW w:w="851" w:type="dxa"/>
            <w:vAlign w:val="center"/>
          </w:tcPr>
          <w:p w14:paraId="3D289DB7">
            <w:pPr>
              <w:widowControl w:val="0"/>
              <w:jc w:val="right"/>
            </w:pPr>
            <w:r>
              <w:t>5.80</w:t>
            </w:r>
          </w:p>
        </w:tc>
        <w:tc>
          <w:tcPr>
            <w:tcW w:w="960" w:type="dxa"/>
            <w:vAlign w:val="center"/>
          </w:tcPr>
          <w:p w14:paraId="28EBAA71">
            <w:pPr>
              <w:widowControl w:val="0"/>
              <w:jc w:val="right"/>
            </w:pPr>
            <w:r>
              <w:t>-1.94</w:t>
            </w:r>
          </w:p>
        </w:tc>
        <w:tc>
          <w:tcPr>
            <w:tcW w:w="1006" w:type="dxa"/>
            <w:vAlign w:val="center"/>
          </w:tcPr>
          <w:p w14:paraId="68D19EDF">
            <w:pPr>
              <w:pStyle w:val="48"/>
            </w:pPr>
            <w:r>
              <w:t>营业收入减少导致成本减少</w:t>
            </w:r>
          </w:p>
        </w:tc>
      </w:tr>
      <w:tr w14:paraId="2DE5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714" w:type="dxa"/>
            <w:vMerge w:val="continue"/>
            <w:vAlign w:val="center"/>
          </w:tcPr>
          <w:p w14:paraId="212A2595">
            <w:pPr>
              <w:pStyle w:val="48"/>
            </w:pPr>
          </w:p>
        </w:tc>
        <w:tc>
          <w:tcPr>
            <w:tcW w:w="697" w:type="dxa"/>
            <w:vAlign w:val="center"/>
          </w:tcPr>
          <w:p w14:paraId="79B5F6D7">
            <w:pPr>
              <w:pStyle w:val="48"/>
            </w:pPr>
            <w:r>
              <w:t>商品成本</w:t>
            </w:r>
          </w:p>
        </w:tc>
        <w:tc>
          <w:tcPr>
            <w:tcW w:w="1843" w:type="dxa"/>
            <w:vAlign w:val="center"/>
          </w:tcPr>
          <w:p w14:paraId="63448D8E">
            <w:pPr>
              <w:widowControl w:val="0"/>
              <w:jc w:val="right"/>
            </w:pPr>
            <w:r>
              <w:t>48,255,966.66</w:t>
            </w:r>
          </w:p>
        </w:tc>
        <w:tc>
          <w:tcPr>
            <w:tcW w:w="850" w:type="dxa"/>
            <w:vAlign w:val="center"/>
          </w:tcPr>
          <w:p w14:paraId="5CEE16FF">
            <w:pPr>
              <w:widowControl w:val="0"/>
              <w:jc w:val="right"/>
            </w:pPr>
            <w:r>
              <w:t>5.52</w:t>
            </w:r>
          </w:p>
        </w:tc>
        <w:tc>
          <w:tcPr>
            <w:tcW w:w="1559" w:type="dxa"/>
            <w:vAlign w:val="center"/>
          </w:tcPr>
          <w:p w14:paraId="1E27B78C">
            <w:pPr>
              <w:widowControl w:val="0"/>
              <w:jc w:val="right"/>
            </w:pPr>
            <w:r>
              <w:t>55,367,739.51</w:t>
            </w:r>
          </w:p>
        </w:tc>
        <w:tc>
          <w:tcPr>
            <w:tcW w:w="851" w:type="dxa"/>
            <w:vAlign w:val="center"/>
          </w:tcPr>
          <w:p w14:paraId="6EDAE7F6">
            <w:pPr>
              <w:widowControl w:val="0"/>
              <w:jc w:val="right"/>
            </w:pPr>
            <w:r>
              <w:t>10.56</w:t>
            </w:r>
          </w:p>
        </w:tc>
        <w:tc>
          <w:tcPr>
            <w:tcW w:w="960" w:type="dxa"/>
            <w:vAlign w:val="center"/>
          </w:tcPr>
          <w:p w14:paraId="1D244086">
            <w:pPr>
              <w:widowControl w:val="0"/>
              <w:jc w:val="right"/>
            </w:pPr>
            <w:r>
              <w:t>-12.84</w:t>
            </w:r>
          </w:p>
        </w:tc>
        <w:tc>
          <w:tcPr>
            <w:tcW w:w="1006" w:type="dxa"/>
            <w:vAlign w:val="center"/>
          </w:tcPr>
          <w:p w14:paraId="3303395C">
            <w:pPr>
              <w:pStyle w:val="48"/>
            </w:pPr>
            <w:r>
              <w:t>营业收入减少导致成本减少</w:t>
            </w:r>
          </w:p>
        </w:tc>
      </w:tr>
      <w:tr w14:paraId="28EB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714" w:type="dxa"/>
            <w:vAlign w:val="center"/>
          </w:tcPr>
          <w:p w14:paraId="4E0E0726">
            <w:pPr>
              <w:pStyle w:val="48"/>
            </w:pPr>
            <w:r>
              <w:t>中成药和化药</w:t>
            </w:r>
          </w:p>
        </w:tc>
        <w:tc>
          <w:tcPr>
            <w:tcW w:w="697" w:type="dxa"/>
            <w:vAlign w:val="center"/>
          </w:tcPr>
          <w:p w14:paraId="0D832287">
            <w:pPr>
              <w:pStyle w:val="48"/>
            </w:pPr>
            <w:r>
              <w:t>产品成本</w:t>
            </w:r>
          </w:p>
        </w:tc>
        <w:tc>
          <w:tcPr>
            <w:tcW w:w="1843" w:type="dxa"/>
            <w:vAlign w:val="center"/>
          </w:tcPr>
          <w:p w14:paraId="6904A754">
            <w:pPr>
              <w:widowControl w:val="0"/>
              <w:jc w:val="right"/>
            </w:pPr>
            <w:r>
              <w:t>45,903,136.04</w:t>
            </w:r>
          </w:p>
        </w:tc>
        <w:tc>
          <w:tcPr>
            <w:tcW w:w="850" w:type="dxa"/>
            <w:vAlign w:val="center"/>
          </w:tcPr>
          <w:p w14:paraId="2C33288D">
            <w:pPr>
              <w:widowControl w:val="0"/>
              <w:jc w:val="right"/>
            </w:pPr>
            <w:r>
              <w:t>5.25</w:t>
            </w:r>
          </w:p>
        </w:tc>
        <w:tc>
          <w:tcPr>
            <w:tcW w:w="1559" w:type="dxa"/>
            <w:vAlign w:val="center"/>
          </w:tcPr>
          <w:p w14:paraId="1C4B4F12">
            <w:pPr>
              <w:widowControl w:val="0"/>
              <w:jc w:val="right"/>
            </w:pPr>
            <w:r>
              <w:t>23,104,821.44</w:t>
            </w:r>
          </w:p>
        </w:tc>
        <w:tc>
          <w:tcPr>
            <w:tcW w:w="851" w:type="dxa"/>
            <w:vAlign w:val="center"/>
          </w:tcPr>
          <w:p w14:paraId="18161ABF">
            <w:pPr>
              <w:widowControl w:val="0"/>
              <w:jc w:val="right"/>
            </w:pPr>
            <w:r>
              <w:t>4.40</w:t>
            </w:r>
          </w:p>
        </w:tc>
        <w:tc>
          <w:tcPr>
            <w:tcW w:w="960" w:type="dxa"/>
            <w:vAlign w:val="center"/>
          </w:tcPr>
          <w:p w14:paraId="7C9BAA17">
            <w:pPr>
              <w:widowControl w:val="0"/>
              <w:jc w:val="right"/>
            </w:pPr>
            <w:r>
              <w:t>98.67</w:t>
            </w:r>
          </w:p>
        </w:tc>
        <w:tc>
          <w:tcPr>
            <w:tcW w:w="1006" w:type="dxa"/>
            <w:vAlign w:val="center"/>
          </w:tcPr>
          <w:p w14:paraId="44681EFB">
            <w:pPr>
              <w:pStyle w:val="48"/>
            </w:pPr>
            <w:r>
              <w:t>营业收入增加导致成本增加</w:t>
            </w:r>
          </w:p>
        </w:tc>
      </w:tr>
      <w:tr w14:paraId="5265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714" w:type="dxa"/>
            <w:tcBorders>
              <w:bottom w:val="single" w:color="auto" w:sz="4" w:space="0"/>
            </w:tcBorders>
            <w:vAlign w:val="center"/>
          </w:tcPr>
          <w:p w14:paraId="1334372D">
            <w:pPr>
              <w:pStyle w:val="48"/>
            </w:pPr>
            <w:r>
              <w:t>丽景花园小区房产租售</w:t>
            </w:r>
          </w:p>
        </w:tc>
        <w:tc>
          <w:tcPr>
            <w:tcW w:w="697" w:type="dxa"/>
            <w:tcBorders>
              <w:bottom w:val="single" w:color="auto" w:sz="4" w:space="0"/>
            </w:tcBorders>
            <w:vAlign w:val="center"/>
          </w:tcPr>
          <w:p w14:paraId="36733726">
            <w:pPr>
              <w:pStyle w:val="48"/>
            </w:pPr>
            <w:r>
              <w:t>开发成本</w:t>
            </w:r>
          </w:p>
        </w:tc>
        <w:tc>
          <w:tcPr>
            <w:tcW w:w="1843" w:type="dxa"/>
            <w:tcBorders>
              <w:bottom w:val="single" w:color="auto" w:sz="4" w:space="0"/>
            </w:tcBorders>
            <w:vAlign w:val="center"/>
          </w:tcPr>
          <w:p w14:paraId="3432509B">
            <w:pPr>
              <w:widowControl w:val="0"/>
              <w:jc w:val="right"/>
            </w:pPr>
            <w:r>
              <w:t>5,913,463.41</w:t>
            </w:r>
          </w:p>
        </w:tc>
        <w:tc>
          <w:tcPr>
            <w:tcW w:w="850" w:type="dxa"/>
            <w:tcBorders>
              <w:bottom w:val="single" w:color="auto" w:sz="4" w:space="0"/>
            </w:tcBorders>
            <w:vAlign w:val="center"/>
          </w:tcPr>
          <w:p w14:paraId="6BBB31F6">
            <w:pPr>
              <w:widowControl w:val="0"/>
              <w:jc w:val="right"/>
            </w:pPr>
            <w:r>
              <w:t>0.68</w:t>
            </w:r>
          </w:p>
        </w:tc>
        <w:tc>
          <w:tcPr>
            <w:tcW w:w="1559" w:type="dxa"/>
            <w:tcBorders>
              <w:bottom w:val="single" w:color="auto" w:sz="4" w:space="0"/>
            </w:tcBorders>
            <w:vAlign w:val="center"/>
          </w:tcPr>
          <w:p w14:paraId="4FE8CC14">
            <w:pPr>
              <w:widowControl w:val="0"/>
              <w:jc w:val="right"/>
            </w:pPr>
            <w:r>
              <w:t>1,709,300.46</w:t>
            </w:r>
          </w:p>
        </w:tc>
        <w:tc>
          <w:tcPr>
            <w:tcW w:w="851" w:type="dxa"/>
            <w:tcBorders>
              <w:bottom w:val="single" w:color="auto" w:sz="4" w:space="0"/>
            </w:tcBorders>
            <w:vAlign w:val="center"/>
          </w:tcPr>
          <w:p w14:paraId="2B3F8C22">
            <w:pPr>
              <w:widowControl w:val="0"/>
              <w:jc w:val="right"/>
            </w:pPr>
            <w:r>
              <w:t>0.33</w:t>
            </w:r>
          </w:p>
        </w:tc>
        <w:tc>
          <w:tcPr>
            <w:tcW w:w="960" w:type="dxa"/>
            <w:tcBorders>
              <w:bottom w:val="single" w:color="auto" w:sz="4" w:space="0"/>
            </w:tcBorders>
            <w:vAlign w:val="center"/>
          </w:tcPr>
          <w:p w14:paraId="6A459F0C">
            <w:pPr>
              <w:widowControl w:val="0"/>
              <w:jc w:val="right"/>
            </w:pPr>
            <w:r>
              <w:t>245.96</w:t>
            </w:r>
          </w:p>
        </w:tc>
        <w:tc>
          <w:tcPr>
            <w:tcW w:w="1006" w:type="dxa"/>
            <w:tcBorders>
              <w:bottom w:val="single" w:color="auto" w:sz="4" w:space="0"/>
            </w:tcBorders>
            <w:vAlign w:val="center"/>
          </w:tcPr>
          <w:p w14:paraId="7668300D">
            <w:pPr>
              <w:pStyle w:val="48"/>
            </w:pPr>
            <w:r>
              <w:t>营业收入增加导致成本增加</w:t>
            </w:r>
          </w:p>
        </w:tc>
      </w:tr>
    </w:tbl>
    <w:p w14:paraId="6EB0ACC3"/>
    <w:p w14:paraId="698B2399">
      <w:pPr>
        <w:pStyle w:val="48"/>
        <w:spacing w:line="360" w:lineRule="auto"/>
        <w:ind w:firstLine="420" w:firstLineChars="200"/>
      </w:pPr>
      <w:r>
        <w:rPr>
          <w:rFonts w:hint="eastAsia"/>
        </w:rPr>
        <w:t>报告期内，产品成本主要是销量增加所致；商品成本主要是销量有所下降所致。</w:t>
      </w:r>
    </w:p>
    <w:p w14:paraId="255EBFBA">
      <w:pPr>
        <w:pStyle w:val="6"/>
        <w:numPr>
          <w:ilvl w:val="0"/>
          <w:numId w:val="10"/>
        </w:numPr>
        <w:tabs>
          <w:tab w:val="left" w:pos="567"/>
        </w:tabs>
        <w:ind w:leftChars="0"/>
      </w:pPr>
      <w:bookmarkStart w:id="53" w:name="_Hlk89876513"/>
      <w:r>
        <w:rPr>
          <w:rFonts w:ascii="宋体" w:hAnsi="宋体" w:cs="宋体"/>
          <w:kern w:val="0"/>
          <w:szCs w:val="24"/>
        </w:rPr>
        <w:t>报告期主要子公司股权变动导致合并范围变化</w:t>
      </w:r>
    </w:p>
    <w:sdt>
      <w:sdtPr>
        <w:alias w:val="是否适用：报告期主要子公司股权变动导致合并范围变化 [双击切换]"/>
        <w:tag w:val="_GBC_f684be8377fd464e8fc7d9a0e6df7b78"/>
        <w:id w:val="619189662"/>
        <w:placeholder>
          <w:docPart w:val="GBC22222222222222222222222222222"/>
        </w:placeholder>
      </w:sdtPr>
      <w:sdtContent>
        <w:p w14:paraId="778A72D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2E5BBE">
      <w:pPr>
        <w:spacing w:line="360" w:lineRule="auto"/>
        <w:ind w:firstLine="420" w:firstLineChars="200"/>
        <w:jc w:val="both"/>
        <w:rPr>
          <w:color w:val="FF0000"/>
        </w:rPr>
      </w:pPr>
      <w:sdt>
        <w:sdtPr>
          <w:rPr>
            <w:rFonts w:hint="eastAsia"/>
          </w:rPr>
          <w:alias w:val="报告期主要子公司股权变动导致合并范围变化 "/>
          <w:tag w:val="_GBC_f76ab547bfda48a7bfad4c28f29bb995"/>
          <w:id w:val="-1675792593"/>
          <w:placeholder>
            <w:docPart w:val="GBC22222222222222222222222222222"/>
          </w:placeholder>
        </w:sdtPr>
        <w:sdtEndPr>
          <w:rPr>
            <w:rFonts w:hint="eastAsia"/>
            <w:color w:val="FF0000"/>
          </w:rPr>
        </w:sdtEndPr>
        <w:sdtContent>
          <w:r>
            <w:rPr>
              <w:rFonts w:hint="eastAsia"/>
            </w:rPr>
            <w:t>2025年7月7日，本公司从控股股东的子公司通化东宝集团进出口有限公司处购买了东宝进出口贸易（海南）有限公司55%股权，形成同一控制下企业合并，合并成本3,591,500.00元。被合并方在合并当期期初至合并日前实现的净利润为4,043,180.46元，被合并方上期实现的净利润为1,396,973.10元。</w:t>
          </w:r>
        </w:sdtContent>
      </w:sdt>
    </w:p>
    <w:p w14:paraId="65285354">
      <w:pPr>
        <w:pStyle w:val="48"/>
      </w:pPr>
    </w:p>
    <w:p w14:paraId="2201B474">
      <w:pPr>
        <w:pStyle w:val="6"/>
        <w:numPr>
          <w:ilvl w:val="0"/>
          <w:numId w:val="10"/>
        </w:numPr>
        <w:tabs>
          <w:tab w:val="left" w:pos="567"/>
        </w:tabs>
        <w:ind w:leftChars="0"/>
      </w:pPr>
      <w:r>
        <w:rPr>
          <w:rFonts w:ascii="宋体" w:hAnsi="宋体" w:cs="宋体"/>
          <w:kern w:val="0"/>
          <w:szCs w:val="24"/>
        </w:rPr>
        <w:t>公司报告期内业务、产品或服务发生重大变化或调整有关情况</w:t>
      </w:r>
    </w:p>
    <w:sdt>
      <w:sdtPr>
        <w:alias w:val="是否适用：公司报告期内业务、产品或服务发生重大变化或调整有关情况  [双击切换]"/>
        <w:tag w:val="_GBC_f5a966f2eb244fd68a4bc2176691f92b"/>
        <w:id w:val="-1023941379"/>
        <w:placeholder>
          <w:docPart w:val="GBC22222222222222222222222222222"/>
        </w:placeholder>
      </w:sdtPr>
      <w:sdtContent>
        <w:p w14:paraId="3546E0A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72A9BBA">
      <w:pPr>
        <w:pStyle w:val="48"/>
      </w:pPr>
    </w:p>
    <w:bookmarkEnd w:id="53"/>
    <w:p w14:paraId="3DE52584">
      <w:pPr>
        <w:pStyle w:val="6"/>
        <w:numPr>
          <w:ilvl w:val="0"/>
          <w:numId w:val="10"/>
        </w:numPr>
        <w:tabs>
          <w:tab w:val="left" w:pos="567"/>
        </w:tabs>
        <w:ind w:leftChars="0"/>
      </w:pPr>
      <w:r>
        <w:rPr>
          <w:rFonts w:ascii="宋体" w:hAnsi="宋体" w:cs="宋体"/>
          <w:kern w:val="0"/>
          <w:szCs w:val="24"/>
        </w:rPr>
        <w:t>主要销售客户及主要供应商情况</w:t>
      </w:r>
    </w:p>
    <w:p w14:paraId="3768FCF2">
      <w:pPr>
        <w:pStyle w:val="30"/>
        <w:ind w:firstLine="0" w:firstLineChars="0"/>
        <w:rPr>
          <w:rFonts w:ascii="宋体" w:hAnsi="宋体" w:cs="宋体"/>
          <w:szCs w:val="24"/>
        </w:rPr>
      </w:pPr>
      <w:bookmarkStart w:id="54" w:name="_Hlk41745860"/>
      <w:r>
        <w:rPr>
          <w:rFonts w:hint="eastAsia" w:ascii="宋体" w:hAnsi="宋体" w:cs="宋体"/>
          <w:szCs w:val="24"/>
        </w:rPr>
        <w:t>属于同一控制人控制的客户或供应商视为同一客户或供应商合并列示，受同一国有资产管理机构实际控制的除外。</w:t>
      </w:r>
    </w:p>
    <w:p w14:paraId="13BCC99C">
      <w:pPr>
        <w:pStyle w:val="30"/>
        <w:ind w:firstLine="0" w:firstLineChars="0"/>
        <w:rPr>
          <w:rFonts w:ascii="宋体" w:hAnsi="宋体" w:cs="宋体"/>
          <w:szCs w:val="24"/>
        </w:rPr>
      </w:pPr>
      <w:r>
        <w:rPr>
          <w:rFonts w:hint="eastAsia" w:ascii="宋体" w:hAnsi="宋体" w:cs="宋体"/>
          <w:szCs w:val="24"/>
        </w:rPr>
        <w:t>下列客户及供应商信息按照同一控制口径合并计算列示的情况说明</w:t>
      </w:r>
    </w:p>
    <w:sdt>
      <w:sdtPr>
        <w:alias w:val="客户及供应商信息按照同一控制口径合并计算列示的情况说明"/>
        <w:tag w:val="_GBC_dd94aac1da8743acb71de21c4b1691df"/>
        <w:id w:val="791398822"/>
        <w:placeholder>
          <w:docPart w:val="GBC22222222222222222222222222222"/>
        </w:placeholder>
      </w:sdtPr>
      <w:sdtContent>
        <w:p w14:paraId="560E7848">
          <w:pPr>
            <w:pStyle w:val="48"/>
          </w:pPr>
          <w:r>
            <w:rPr>
              <w:rFonts w:hint="eastAsia"/>
            </w:rPr>
            <w:t>无</w:t>
          </w:r>
        </w:p>
      </w:sdtContent>
    </w:sdt>
    <w:p w14:paraId="54DC73F7">
      <w:pPr>
        <w:pStyle w:val="48"/>
      </w:pPr>
    </w:p>
    <w:bookmarkEnd w:id="54"/>
    <w:p w14:paraId="47865B6D">
      <w:pPr>
        <w:autoSpaceDE w:val="0"/>
        <w:autoSpaceDN w:val="0"/>
        <w:adjustRightInd w:val="0"/>
        <w:rPr>
          <w:b/>
          <w:szCs w:val="22"/>
          <w:lang w:val="zh-CN"/>
        </w:rPr>
      </w:pPr>
      <w:r>
        <w:rPr>
          <w:rFonts w:hint="eastAsia"/>
          <w:b/>
        </w:rPr>
        <w:t>A.</w:t>
      </w:r>
      <w:r>
        <w:rPr>
          <w:rFonts w:hint="eastAsia"/>
          <w:b/>
          <w:lang w:val="zh-CN"/>
        </w:rPr>
        <w:t>公司主要销售客户及主要供应商情况</w:t>
      </w:r>
    </w:p>
    <w:sdt>
      <w:sdtPr>
        <w:alias w:val="是否适用：主要销售客户情况[双击切换]"/>
        <w:tag w:val="_GBC_a2403594b48a40da9560c8bc71e01f56"/>
        <w:id w:val="1155952216"/>
        <w:lock w:val="contentLocked"/>
        <w:placeholder>
          <w:docPart w:val="GBC22222222222222222222222222222"/>
        </w:placeholder>
      </w:sdtPr>
      <w:sdtContent>
        <w:p w14:paraId="7F15BD5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BEEEF31">
      <w:pPr>
        <w:pStyle w:val="48"/>
      </w:pPr>
      <w:r>
        <w:rPr>
          <w:rFonts w:hint="eastAsia"/>
        </w:rPr>
        <w:t>前五名客户销售额</w:t>
      </w:r>
      <w:sdt>
        <w:sdtPr>
          <w:rPr>
            <w:rFonts w:hint="eastAsia"/>
          </w:rPr>
          <w:alias w:val="前五名客户销售额"/>
          <w:tag w:val="_GBC_e497000fdfbc4e548555b7f8ddf9780c"/>
          <w:id w:val="-1860502867"/>
          <w:placeholder>
            <w:docPart w:val="GBC22222222222222222222222222222"/>
          </w:placeholder>
        </w:sdtPr>
        <w:sdtEndPr>
          <w:rPr>
            <w:rFonts w:hint="eastAsia"/>
          </w:rPr>
        </w:sdtEndPr>
        <w:sdtContent>
          <w:r>
            <w:t>132,803.18</w:t>
          </w:r>
        </w:sdtContent>
      </w:sdt>
      <w:sdt>
        <w:sdtPr>
          <w:rPr>
            <w:rFonts w:hint="eastAsia"/>
          </w:rPr>
          <w:alias w:val="单位：前五名客户销售额"/>
          <w:tag w:val="_GBC_4bd6620b209a4bae8dc3404e8b89ea35"/>
          <w:id w:val="8493770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t>，占年度销售总额</w:t>
      </w:r>
      <w:sdt>
        <w:sdtPr>
          <w:alias w:val="前五名客户销售额占年度销售总额比例"/>
          <w:tag w:val="_GBC_68b3c8b493d04b6c9db16e7e475d7b35"/>
          <w:id w:val="-1274241402"/>
          <w:placeholder>
            <w:docPart w:val="GBC22222222222222222222222222222"/>
          </w:placeholder>
        </w:sdtPr>
        <w:sdtContent>
          <w:r>
            <w:t>45.06</w:t>
          </w:r>
          <w:r>
            <w:rPr>
              <w:rFonts w:hint="eastAsia"/>
            </w:rPr>
            <w:t>%</w:t>
          </w:r>
        </w:sdtContent>
      </w:sdt>
      <w:r>
        <w:t>；其中前五名客户销售额中关联方销售额</w:t>
      </w:r>
      <w:sdt>
        <w:sdtPr>
          <w:alias w:val="前五名客户销售额中关联方销售额"/>
          <w:tag w:val="_GBC_bfa0971257a44f65996f01cfb0497b07"/>
          <w:id w:val="-344791054"/>
          <w:placeholder>
            <w:docPart w:val="GBC22222222222222222222222222222"/>
          </w:placeholder>
        </w:sdtPr>
        <w:sdtContent>
          <w:r>
            <w:t>0</w:t>
          </w:r>
        </w:sdtContent>
      </w:sdt>
      <w:sdt>
        <w:sdtPr>
          <w:alias w:val="单位：前五名客户销售额中关联方销售额"/>
          <w:tag w:val="_GBC_f3c03afc93a5429f9fa45fc25f9018ab"/>
          <w:id w:val="-18187936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万元</w:t>
          </w:r>
        </w:sdtContent>
      </w:sdt>
      <w:r>
        <w:t>，占年度销售总额</w:t>
      </w:r>
      <w:sdt>
        <w:sdtPr>
          <w:alias w:val="前五名客户销售额中关联方销售额占年度销售总额比例"/>
          <w:tag w:val="_GBC_a84a9f2fd5cd467fa7226eab846a8fd4"/>
          <w:id w:val="-720434725"/>
          <w:placeholder>
            <w:docPart w:val="GBC22222222222222222222222222222"/>
          </w:placeholder>
        </w:sdtPr>
        <w:sdtContent>
          <w:r>
            <w:t>0</w:t>
          </w:r>
          <w:r>
            <w:rPr>
              <w:rFonts w:hint="eastAsia"/>
            </w:rPr>
            <w:t>%</w:t>
          </w:r>
        </w:sdtContent>
      </w:sdt>
      <w:r>
        <w:t>。</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678"/>
        <w:gridCol w:w="1866"/>
        <w:gridCol w:w="1575"/>
      </w:tblGrid>
      <w:tr w14:paraId="6F5B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08E39CA">
            <w:pPr>
              <w:pStyle w:val="48"/>
              <w:jc w:val="center"/>
            </w:pPr>
            <w:r>
              <w:t>序号</w:t>
            </w:r>
          </w:p>
        </w:tc>
        <w:tc>
          <w:tcPr>
            <w:tcW w:w="4678" w:type="dxa"/>
            <w:vAlign w:val="center"/>
          </w:tcPr>
          <w:p w14:paraId="5FEA4B13">
            <w:pPr>
              <w:pStyle w:val="48"/>
              <w:jc w:val="center"/>
            </w:pPr>
            <w:r>
              <w:t>客户名称</w:t>
            </w:r>
          </w:p>
        </w:tc>
        <w:tc>
          <w:tcPr>
            <w:tcW w:w="1866" w:type="dxa"/>
            <w:vAlign w:val="center"/>
          </w:tcPr>
          <w:p w14:paraId="193CD368">
            <w:pPr>
              <w:pStyle w:val="48"/>
              <w:jc w:val="center"/>
            </w:pPr>
            <w:r>
              <w:t>销售额</w:t>
            </w:r>
            <w:r>
              <w:rPr>
                <w:rFonts w:hint="eastAsia"/>
              </w:rPr>
              <w:t>（元）</w:t>
            </w:r>
          </w:p>
        </w:tc>
        <w:tc>
          <w:tcPr>
            <w:tcW w:w="1575" w:type="dxa"/>
          </w:tcPr>
          <w:p w14:paraId="6B19BCAB">
            <w:pPr>
              <w:pStyle w:val="48"/>
              <w:jc w:val="center"/>
            </w:pPr>
            <w:r>
              <w:t>占年度销售总额比例（%）</w:t>
            </w:r>
          </w:p>
        </w:tc>
      </w:tr>
      <w:tr w14:paraId="457A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D88940B">
            <w:pPr>
              <w:pStyle w:val="48"/>
              <w:jc w:val="center"/>
            </w:pPr>
            <w:r>
              <w:t>1</w:t>
            </w:r>
          </w:p>
        </w:tc>
        <w:tc>
          <w:tcPr>
            <w:tcW w:w="4678" w:type="dxa"/>
            <w:vAlign w:val="center"/>
          </w:tcPr>
          <w:p w14:paraId="37187560">
            <w:pPr>
              <w:pStyle w:val="48"/>
            </w:pPr>
            <w:r>
              <w:rPr>
                <w:rFonts w:hint="eastAsia"/>
                <w:color w:val="000000"/>
                <w:sz w:val="22"/>
                <w:szCs w:val="22"/>
              </w:rPr>
              <w:t>国药控股股份有限公司</w:t>
            </w:r>
          </w:p>
        </w:tc>
        <w:tc>
          <w:tcPr>
            <w:tcW w:w="1866" w:type="dxa"/>
            <w:vAlign w:val="center"/>
          </w:tcPr>
          <w:p w14:paraId="22D4F1F7">
            <w:pPr>
              <w:pStyle w:val="48"/>
              <w:jc w:val="right"/>
            </w:pPr>
            <w:r>
              <w:t>721,069,131.57</w:t>
            </w:r>
          </w:p>
        </w:tc>
        <w:tc>
          <w:tcPr>
            <w:tcW w:w="1575" w:type="dxa"/>
            <w:vAlign w:val="center"/>
          </w:tcPr>
          <w:p w14:paraId="00B2D986">
            <w:pPr>
              <w:pStyle w:val="48"/>
              <w:jc w:val="right"/>
            </w:pPr>
            <w:r>
              <w:t>24.47</w:t>
            </w:r>
          </w:p>
        </w:tc>
      </w:tr>
      <w:tr w14:paraId="55F5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B068A54">
            <w:pPr>
              <w:pStyle w:val="48"/>
              <w:jc w:val="center"/>
            </w:pPr>
            <w:r>
              <w:t>2</w:t>
            </w:r>
          </w:p>
        </w:tc>
        <w:tc>
          <w:tcPr>
            <w:tcW w:w="4678" w:type="dxa"/>
            <w:vAlign w:val="center"/>
          </w:tcPr>
          <w:p w14:paraId="72CA7A4C">
            <w:pPr>
              <w:pStyle w:val="48"/>
            </w:pPr>
            <w:r>
              <w:rPr>
                <w:rFonts w:hint="eastAsia"/>
                <w:color w:val="000000"/>
                <w:sz w:val="22"/>
                <w:szCs w:val="22"/>
              </w:rPr>
              <w:t>华润医药商业集团有限公司</w:t>
            </w:r>
          </w:p>
        </w:tc>
        <w:tc>
          <w:tcPr>
            <w:tcW w:w="1866" w:type="dxa"/>
          </w:tcPr>
          <w:p w14:paraId="6C58EAFD">
            <w:pPr>
              <w:pStyle w:val="48"/>
              <w:jc w:val="right"/>
            </w:pPr>
            <w:r>
              <w:t>295,521,093.37</w:t>
            </w:r>
          </w:p>
        </w:tc>
        <w:tc>
          <w:tcPr>
            <w:tcW w:w="1575" w:type="dxa"/>
          </w:tcPr>
          <w:p w14:paraId="000BEC2C">
            <w:pPr>
              <w:pStyle w:val="48"/>
              <w:jc w:val="right"/>
            </w:pPr>
            <w:r>
              <w:t>10.03</w:t>
            </w:r>
          </w:p>
        </w:tc>
      </w:tr>
      <w:tr w14:paraId="63AB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4297485">
            <w:pPr>
              <w:pStyle w:val="48"/>
              <w:jc w:val="center"/>
            </w:pPr>
            <w:r>
              <w:t>3</w:t>
            </w:r>
          </w:p>
        </w:tc>
        <w:tc>
          <w:tcPr>
            <w:tcW w:w="4678" w:type="dxa"/>
            <w:vAlign w:val="center"/>
          </w:tcPr>
          <w:p w14:paraId="42423E97">
            <w:pPr>
              <w:pStyle w:val="48"/>
            </w:pPr>
            <w:r>
              <w:rPr>
                <w:rFonts w:hint="eastAsia"/>
                <w:color w:val="000000"/>
                <w:sz w:val="22"/>
                <w:szCs w:val="22"/>
              </w:rPr>
              <w:t>九州通医药集团股份有限公司</w:t>
            </w:r>
          </w:p>
        </w:tc>
        <w:tc>
          <w:tcPr>
            <w:tcW w:w="1866" w:type="dxa"/>
          </w:tcPr>
          <w:p w14:paraId="12AFC175">
            <w:pPr>
              <w:pStyle w:val="48"/>
              <w:jc w:val="right"/>
            </w:pPr>
            <w:r>
              <w:t>126,273,916.17</w:t>
            </w:r>
          </w:p>
        </w:tc>
        <w:tc>
          <w:tcPr>
            <w:tcW w:w="1575" w:type="dxa"/>
          </w:tcPr>
          <w:p w14:paraId="633069C6">
            <w:pPr>
              <w:pStyle w:val="48"/>
              <w:jc w:val="right"/>
            </w:pPr>
            <w:r>
              <w:t>4.28</w:t>
            </w:r>
          </w:p>
        </w:tc>
      </w:tr>
      <w:tr w14:paraId="688F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A6365DC">
            <w:pPr>
              <w:pStyle w:val="48"/>
              <w:jc w:val="center"/>
            </w:pPr>
            <w:r>
              <w:t>4</w:t>
            </w:r>
          </w:p>
        </w:tc>
        <w:tc>
          <w:tcPr>
            <w:tcW w:w="4678" w:type="dxa"/>
            <w:vAlign w:val="center"/>
          </w:tcPr>
          <w:p w14:paraId="20CA88CA">
            <w:pPr>
              <w:pStyle w:val="48"/>
            </w:pPr>
            <w:r>
              <w:rPr>
                <w:rFonts w:hint="eastAsia"/>
                <w:color w:val="000000"/>
                <w:sz w:val="22"/>
                <w:szCs w:val="22"/>
              </w:rPr>
              <w:t>上药控股有限公司</w:t>
            </w:r>
          </w:p>
        </w:tc>
        <w:tc>
          <w:tcPr>
            <w:tcW w:w="1866" w:type="dxa"/>
          </w:tcPr>
          <w:p w14:paraId="130F5917">
            <w:pPr>
              <w:pStyle w:val="48"/>
              <w:jc w:val="right"/>
            </w:pPr>
            <w:r>
              <w:t>123,177,599.74</w:t>
            </w:r>
          </w:p>
        </w:tc>
        <w:tc>
          <w:tcPr>
            <w:tcW w:w="1575" w:type="dxa"/>
          </w:tcPr>
          <w:p w14:paraId="7C81EB01">
            <w:pPr>
              <w:pStyle w:val="48"/>
              <w:jc w:val="right"/>
            </w:pPr>
            <w:r>
              <w:t>4.18</w:t>
            </w:r>
          </w:p>
        </w:tc>
      </w:tr>
      <w:tr w14:paraId="2AB7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5879FBB">
            <w:pPr>
              <w:pStyle w:val="48"/>
              <w:jc w:val="center"/>
            </w:pPr>
            <w:r>
              <w:t>5</w:t>
            </w:r>
          </w:p>
        </w:tc>
        <w:tc>
          <w:tcPr>
            <w:tcW w:w="4678" w:type="dxa"/>
            <w:vAlign w:val="center"/>
          </w:tcPr>
          <w:p w14:paraId="49E9513B">
            <w:pPr>
              <w:pStyle w:val="48"/>
            </w:pPr>
            <w:r>
              <w:rPr>
                <w:rFonts w:hint="eastAsia"/>
                <w:color w:val="000000"/>
                <w:sz w:val="22"/>
                <w:szCs w:val="22"/>
              </w:rPr>
              <w:t>MINISTÉRIO DA SAÚDE ，SECRETARIA EXECUTIVA，DEPARTAMENTO DE LOGÍSTICA</w:t>
            </w:r>
          </w:p>
        </w:tc>
        <w:tc>
          <w:tcPr>
            <w:tcW w:w="1866" w:type="dxa"/>
            <w:vAlign w:val="center"/>
          </w:tcPr>
          <w:p w14:paraId="30C16D26">
            <w:pPr>
              <w:pStyle w:val="48"/>
              <w:jc w:val="right"/>
            </w:pPr>
            <w:r>
              <w:t>61,990,096.67</w:t>
            </w:r>
          </w:p>
        </w:tc>
        <w:tc>
          <w:tcPr>
            <w:tcW w:w="1575" w:type="dxa"/>
            <w:vAlign w:val="center"/>
          </w:tcPr>
          <w:p w14:paraId="060F1CD5">
            <w:pPr>
              <w:pStyle w:val="48"/>
              <w:jc w:val="right"/>
            </w:pPr>
            <w:r>
              <w:t>2.10</w:t>
            </w:r>
          </w:p>
        </w:tc>
      </w:tr>
      <w:tr w14:paraId="2328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gridSpan w:val="2"/>
          </w:tcPr>
          <w:p w14:paraId="42FF2495">
            <w:pPr>
              <w:pStyle w:val="48"/>
              <w:jc w:val="center"/>
            </w:pPr>
            <w:r>
              <w:rPr>
                <w:rFonts w:hint="eastAsia"/>
              </w:rPr>
              <w:t>合计</w:t>
            </w:r>
          </w:p>
        </w:tc>
        <w:tc>
          <w:tcPr>
            <w:tcW w:w="1866" w:type="dxa"/>
          </w:tcPr>
          <w:p w14:paraId="1A0BE485">
            <w:pPr>
              <w:pStyle w:val="48"/>
              <w:jc w:val="right"/>
            </w:pPr>
            <w:r>
              <w:t>1,328,031,837.52</w:t>
            </w:r>
          </w:p>
        </w:tc>
        <w:tc>
          <w:tcPr>
            <w:tcW w:w="1575" w:type="dxa"/>
          </w:tcPr>
          <w:p w14:paraId="6A259FED">
            <w:pPr>
              <w:pStyle w:val="48"/>
              <w:jc w:val="right"/>
            </w:pPr>
            <w:r>
              <w:t>45.06</w:t>
            </w:r>
          </w:p>
        </w:tc>
      </w:tr>
    </w:tbl>
    <w:p w14:paraId="68927198"/>
    <w:p w14:paraId="7C835388">
      <w:pPr>
        <w:pStyle w:val="48"/>
      </w:pPr>
      <w:r>
        <w:rPr>
          <w:rFonts w:hint="eastAsia"/>
        </w:rPr>
        <w:t>前五名供应商采购额</w:t>
      </w:r>
      <w:sdt>
        <w:sdtPr>
          <w:rPr>
            <w:rFonts w:hint="eastAsia"/>
          </w:rPr>
          <w:alias w:val="前五名供应商采购额"/>
          <w:tag w:val="_GBC_4552254972a04ec6983b359a0f18d4bf"/>
          <w:id w:val="1547645376"/>
          <w:placeholder>
            <w:docPart w:val="GBC22222222222222222222222222222"/>
          </w:placeholder>
        </w:sdtPr>
        <w:sdtEndPr>
          <w:rPr>
            <w:rFonts w:hint="eastAsia"/>
          </w:rPr>
        </w:sdtEndPr>
        <w:sdtContent>
          <w:r>
            <w:t>25,162.18</w:t>
          </w:r>
        </w:sdtContent>
      </w:sdt>
      <w:sdt>
        <w:sdtPr>
          <w:rPr>
            <w:rFonts w:hint="eastAsia"/>
          </w:rPr>
          <w:alias w:val="单位：前五名供应商采购额"/>
          <w:tag w:val="_GBC_418fcbdb1c1a4643afb7cce014bdeca2"/>
          <w:id w:val="-3651379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t>，占年度采购总额</w:t>
      </w:r>
      <w:sdt>
        <w:sdtPr>
          <w:alias w:val="前五名供应商采购额占年度采购总额比例"/>
          <w:tag w:val="_GBC_f32c49f691154cc4b6ba587f4a582958"/>
          <w:id w:val="-79914589"/>
          <w:placeholder>
            <w:docPart w:val="GBC22222222222222222222222222222"/>
          </w:placeholder>
        </w:sdtPr>
        <w:sdtContent>
          <w:r>
            <w:t>48.13</w:t>
          </w:r>
          <w:r>
            <w:rPr>
              <w:rFonts w:hint="eastAsia"/>
            </w:rPr>
            <w:t>%</w:t>
          </w:r>
        </w:sdtContent>
      </w:sdt>
      <w:r>
        <w:t>；其中前五名供应商采购额中关联方采购额</w:t>
      </w:r>
      <w:sdt>
        <w:sdtPr>
          <w:alias w:val="前五名供应商采购额中关联方采购额"/>
          <w:tag w:val="_GBC_b4791060802442e186017fdd5f31805a"/>
          <w:id w:val="1332640429"/>
          <w:placeholder>
            <w:docPart w:val="GBC22222222222222222222222222222"/>
          </w:placeholder>
        </w:sdtPr>
        <w:sdtContent>
          <w:r>
            <w:t>0</w:t>
          </w:r>
        </w:sdtContent>
      </w:sdt>
      <w:sdt>
        <w:sdtPr>
          <w:alias w:val="单位：前五名供应商采购额中关联方采购额"/>
          <w:tag w:val="_GBC_bac6c3f63a9a4b0db685f5ee8e883818"/>
          <w:id w:val="-19859996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万元</w:t>
          </w:r>
        </w:sdtContent>
      </w:sdt>
      <w:r>
        <w:t>，占年度采购总额</w:t>
      </w:r>
      <w:sdt>
        <w:sdtPr>
          <w:alias w:val="前五名供应商采购额中关联方采购额占年度采购总额比例"/>
          <w:tag w:val="_GBC_41b2f0a67a5743e1a4ccf8f427eec0a3"/>
          <w:id w:val="-1550676869"/>
          <w:placeholder>
            <w:docPart w:val="GBC22222222222222222222222222222"/>
          </w:placeholder>
        </w:sdtPr>
        <w:sdtContent>
          <w:r>
            <w:t>0</w:t>
          </w:r>
          <w:r>
            <w:rPr>
              <w:rFonts w:hint="eastAsia"/>
            </w:rPr>
            <w:t>%</w:t>
          </w:r>
        </w:sdtContent>
      </w:sdt>
      <w:r>
        <w:rPr>
          <w:rFonts w:hint="eastAsia"/>
        </w:rPr>
        <w:t>。</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536"/>
        <w:gridCol w:w="1843"/>
        <w:gridCol w:w="1598"/>
      </w:tblGrid>
      <w:tr w14:paraId="6CAE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C2DBBB8">
            <w:pPr>
              <w:pStyle w:val="48"/>
              <w:jc w:val="center"/>
            </w:pPr>
            <w:bookmarkStart w:id="55" w:name="_Hlk190092068"/>
            <w:r>
              <w:t>序号</w:t>
            </w:r>
          </w:p>
        </w:tc>
        <w:tc>
          <w:tcPr>
            <w:tcW w:w="4536" w:type="dxa"/>
            <w:vAlign w:val="center"/>
          </w:tcPr>
          <w:p w14:paraId="1038B187">
            <w:pPr>
              <w:pStyle w:val="48"/>
              <w:jc w:val="center"/>
            </w:pPr>
            <w:r>
              <w:t>供应商名称</w:t>
            </w:r>
          </w:p>
        </w:tc>
        <w:tc>
          <w:tcPr>
            <w:tcW w:w="1843" w:type="dxa"/>
            <w:vAlign w:val="center"/>
          </w:tcPr>
          <w:p w14:paraId="1BBE2622">
            <w:pPr>
              <w:pStyle w:val="48"/>
              <w:jc w:val="center"/>
            </w:pPr>
            <w:r>
              <w:t>采购额</w:t>
            </w:r>
            <w:r>
              <w:rPr>
                <w:rFonts w:hint="eastAsia"/>
              </w:rPr>
              <w:t>（元）</w:t>
            </w:r>
          </w:p>
        </w:tc>
        <w:tc>
          <w:tcPr>
            <w:tcW w:w="1598" w:type="dxa"/>
            <w:vAlign w:val="center"/>
          </w:tcPr>
          <w:p w14:paraId="17BD0EC8">
            <w:pPr>
              <w:pStyle w:val="48"/>
              <w:jc w:val="center"/>
            </w:pPr>
            <w:r>
              <w:t>占年度采购总额比例（%）</w:t>
            </w:r>
          </w:p>
        </w:tc>
      </w:tr>
      <w:tr w14:paraId="5B1BB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45B148C">
            <w:pPr>
              <w:pStyle w:val="48"/>
              <w:jc w:val="center"/>
            </w:pPr>
            <w:r>
              <w:t>1</w:t>
            </w:r>
          </w:p>
        </w:tc>
        <w:tc>
          <w:tcPr>
            <w:tcW w:w="4536" w:type="dxa"/>
          </w:tcPr>
          <w:p w14:paraId="123FC01A">
            <w:pPr>
              <w:pStyle w:val="48"/>
            </w:pPr>
            <w:r>
              <w:t>医沛生股份有限公司 Ypsomed AG</w:t>
            </w:r>
          </w:p>
        </w:tc>
        <w:tc>
          <w:tcPr>
            <w:tcW w:w="1843" w:type="dxa"/>
            <w:vAlign w:val="center"/>
          </w:tcPr>
          <w:p w14:paraId="5C4F1F32">
            <w:pPr>
              <w:pStyle w:val="48"/>
              <w:jc w:val="right"/>
            </w:pPr>
            <w:r>
              <w:t>111,244,379.00</w:t>
            </w:r>
          </w:p>
        </w:tc>
        <w:tc>
          <w:tcPr>
            <w:tcW w:w="1598" w:type="dxa"/>
            <w:vAlign w:val="center"/>
          </w:tcPr>
          <w:p w14:paraId="3B9079F3">
            <w:pPr>
              <w:pStyle w:val="48"/>
              <w:jc w:val="right"/>
            </w:pPr>
            <w:r>
              <w:t>21.28</w:t>
            </w:r>
          </w:p>
        </w:tc>
      </w:tr>
      <w:tr w14:paraId="6EF3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C5B12F2">
            <w:pPr>
              <w:pStyle w:val="48"/>
              <w:jc w:val="center"/>
            </w:pPr>
            <w:r>
              <w:t>2</w:t>
            </w:r>
          </w:p>
        </w:tc>
        <w:tc>
          <w:tcPr>
            <w:tcW w:w="4536" w:type="dxa"/>
          </w:tcPr>
          <w:p w14:paraId="03174167">
            <w:pPr>
              <w:pStyle w:val="48"/>
            </w:pPr>
            <w:r>
              <w:t>Luckfurt Industrie Handels GmbH德国拉克福特工业贸易有限公司</w:t>
            </w:r>
          </w:p>
        </w:tc>
        <w:tc>
          <w:tcPr>
            <w:tcW w:w="1843" w:type="dxa"/>
            <w:vAlign w:val="center"/>
          </w:tcPr>
          <w:p w14:paraId="5D87BAE6">
            <w:pPr>
              <w:pStyle w:val="48"/>
              <w:jc w:val="right"/>
            </w:pPr>
            <w:r>
              <w:t>54,031,763.88</w:t>
            </w:r>
          </w:p>
        </w:tc>
        <w:tc>
          <w:tcPr>
            <w:tcW w:w="1598" w:type="dxa"/>
            <w:vAlign w:val="center"/>
          </w:tcPr>
          <w:p w14:paraId="70923333">
            <w:pPr>
              <w:pStyle w:val="48"/>
              <w:jc w:val="right"/>
            </w:pPr>
            <w:r>
              <w:t>10.33</w:t>
            </w:r>
          </w:p>
        </w:tc>
      </w:tr>
      <w:tr w14:paraId="2BF7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464A796">
            <w:pPr>
              <w:pStyle w:val="48"/>
              <w:jc w:val="center"/>
            </w:pPr>
            <w:r>
              <w:t>3</w:t>
            </w:r>
          </w:p>
        </w:tc>
        <w:tc>
          <w:tcPr>
            <w:tcW w:w="4536" w:type="dxa"/>
          </w:tcPr>
          <w:p w14:paraId="485D7CAF">
            <w:pPr>
              <w:pStyle w:val="48"/>
            </w:pPr>
            <w:r>
              <w:t>上海倍莱弗科技有限公司</w:t>
            </w:r>
          </w:p>
        </w:tc>
        <w:tc>
          <w:tcPr>
            <w:tcW w:w="1843" w:type="dxa"/>
            <w:vAlign w:val="center"/>
          </w:tcPr>
          <w:p w14:paraId="059F71A6">
            <w:pPr>
              <w:pStyle w:val="48"/>
              <w:jc w:val="right"/>
            </w:pPr>
            <w:r>
              <w:t>41,663,666.88</w:t>
            </w:r>
          </w:p>
        </w:tc>
        <w:tc>
          <w:tcPr>
            <w:tcW w:w="1598" w:type="dxa"/>
            <w:vAlign w:val="center"/>
          </w:tcPr>
          <w:p w14:paraId="7EE988FD">
            <w:pPr>
              <w:pStyle w:val="48"/>
              <w:jc w:val="right"/>
            </w:pPr>
            <w:r>
              <w:t>7.97</w:t>
            </w:r>
          </w:p>
        </w:tc>
      </w:tr>
      <w:tr w14:paraId="27F4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F46A191">
            <w:pPr>
              <w:pStyle w:val="48"/>
              <w:jc w:val="center"/>
            </w:pPr>
            <w:r>
              <w:t>4</w:t>
            </w:r>
          </w:p>
        </w:tc>
        <w:tc>
          <w:tcPr>
            <w:tcW w:w="4536" w:type="dxa"/>
          </w:tcPr>
          <w:p w14:paraId="5E429A7C">
            <w:pPr>
              <w:pStyle w:val="48"/>
            </w:pPr>
            <w:r>
              <w:t>HTL-STREFA S.A.</w:t>
            </w:r>
          </w:p>
        </w:tc>
        <w:tc>
          <w:tcPr>
            <w:tcW w:w="1843" w:type="dxa"/>
            <w:vAlign w:val="center"/>
          </w:tcPr>
          <w:p w14:paraId="3F6C4D63">
            <w:pPr>
              <w:pStyle w:val="48"/>
              <w:jc w:val="right"/>
            </w:pPr>
            <w:r>
              <w:t>25,722,413.25</w:t>
            </w:r>
          </w:p>
        </w:tc>
        <w:tc>
          <w:tcPr>
            <w:tcW w:w="1598" w:type="dxa"/>
            <w:vAlign w:val="center"/>
          </w:tcPr>
          <w:p w14:paraId="25EEFB1C">
            <w:pPr>
              <w:pStyle w:val="48"/>
              <w:jc w:val="right"/>
            </w:pPr>
            <w:r>
              <w:t>4.92</w:t>
            </w:r>
          </w:p>
        </w:tc>
      </w:tr>
      <w:tr w14:paraId="26A4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4347C6B">
            <w:pPr>
              <w:pStyle w:val="48"/>
              <w:jc w:val="center"/>
            </w:pPr>
            <w:r>
              <w:t>5</w:t>
            </w:r>
          </w:p>
        </w:tc>
        <w:tc>
          <w:tcPr>
            <w:tcW w:w="4536" w:type="dxa"/>
          </w:tcPr>
          <w:p w14:paraId="0E7427B1">
            <w:pPr>
              <w:pStyle w:val="48"/>
            </w:pPr>
            <w:r>
              <w:t>NOURYON Pulp and Performance Chemicals AB</w:t>
            </w:r>
          </w:p>
        </w:tc>
        <w:tc>
          <w:tcPr>
            <w:tcW w:w="1843" w:type="dxa"/>
            <w:vAlign w:val="center"/>
          </w:tcPr>
          <w:p w14:paraId="6E077D87">
            <w:pPr>
              <w:pStyle w:val="48"/>
              <w:jc w:val="right"/>
            </w:pPr>
            <w:r>
              <w:t>18,959,545.21</w:t>
            </w:r>
          </w:p>
        </w:tc>
        <w:tc>
          <w:tcPr>
            <w:tcW w:w="1598" w:type="dxa"/>
            <w:vAlign w:val="center"/>
          </w:tcPr>
          <w:p w14:paraId="721AE99D">
            <w:pPr>
              <w:pStyle w:val="48"/>
              <w:jc w:val="right"/>
            </w:pPr>
            <w:r>
              <w:t>3.63</w:t>
            </w:r>
          </w:p>
        </w:tc>
      </w:tr>
      <w:tr w14:paraId="5EED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gridSpan w:val="2"/>
          </w:tcPr>
          <w:p w14:paraId="0B097D8E">
            <w:pPr>
              <w:pStyle w:val="48"/>
              <w:jc w:val="center"/>
            </w:pPr>
            <w:r>
              <w:rPr>
                <w:rFonts w:hint="eastAsia"/>
              </w:rPr>
              <w:t>合计</w:t>
            </w:r>
          </w:p>
        </w:tc>
        <w:tc>
          <w:tcPr>
            <w:tcW w:w="1843" w:type="dxa"/>
          </w:tcPr>
          <w:p w14:paraId="76266EBD">
            <w:pPr>
              <w:pStyle w:val="48"/>
              <w:jc w:val="right"/>
            </w:pPr>
            <w:r>
              <w:t>251,621,768.22</w:t>
            </w:r>
          </w:p>
        </w:tc>
        <w:tc>
          <w:tcPr>
            <w:tcW w:w="1598" w:type="dxa"/>
          </w:tcPr>
          <w:p w14:paraId="5A110949">
            <w:pPr>
              <w:pStyle w:val="48"/>
              <w:jc w:val="right"/>
            </w:pPr>
            <w:r>
              <w:t>48.13</w:t>
            </w:r>
          </w:p>
        </w:tc>
      </w:tr>
    </w:tbl>
    <w:p w14:paraId="211A572C"/>
    <w:p w14:paraId="6FA55296">
      <w:pPr>
        <w:rPr>
          <w:b/>
          <w:bCs/>
        </w:rPr>
      </w:pPr>
      <w:r>
        <w:rPr>
          <w:rFonts w:hint="eastAsia"/>
          <w:b/>
          <w:bCs/>
        </w:rPr>
        <w:t>B.报告期内向单个客户的销售比例超过总额的</w:t>
      </w:r>
      <w:r>
        <w:rPr>
          <w:b/>
          <w:bCs/>
        </w:rPr>
        <w:t>50%、前</w:t>
      </w:r>
      <w:r>
        <w:rPr>
          <w:rFonts w:hint="eastAsia"/>
          <w:b/>
          <w:bCs/>
        </w:rPr>
        <w:t>5</w:t>
      </w:r>
      <w:r>
        <w:rPr>
          <w:b/>
          <w:bCs/>
        </w:rPr>
        <w:t>名客户中存在新增客户的或严重依赖于少数客户的情形</w:t>
      </w:r>
    </w:p>
    <w:sdt>
      <w:sdtPr>
        <w:alias w:val="是否适用：前5名销售客户中存在新增客户的或严重依赖于少数客户的情形表[双击切换]"/>
        <w:tag w:val="_GBC_9335bc17e9fb4b00a212f4c3a2cf1884"/>
        <w:id w:val="-1665933873"/>
        <w:placeholder>
          <w:docPart w:val="GBC22222222222222222222222222222"/>
        </w:placeholder>
      </w:sdtPr>
      <w:sdtContent>
        <w:p w14:paraId="4F39547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66C5780">
      <w:pPr>
        <w:pStyle w:val="48"/>
      </w:pPr>
    </w:p>
    <w:bookmarkEnd w:id="55"/>
    <w:p w14:paraId="3C379F8E">
      <w:pPr>
        <w:rPr>
          <w:b/>
          <w:bCs/>
        </w:rPr>
      </w:pPr>
      <w:r>
        <w:rPr>
          <w:b/>
          <w:bCs/>
        </w:rP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474909513"/>
        <w:placeholder>
          <w:docPart w:val="GBC22222222222222222222222222222"/>
        </w:placeholder>
      </w:sdtPr>
      <w:sdtContent>
        <w:p w14:paraId="5348A8A8">
          <w:pPr>
            <w:rPr>
              <w:bCs/>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7D604C7">
      <w:pPr>
        <w:pStyle w:val="48"/>
      </w:pPr>
    </w:p>
    <w:p w14:paraId="7BF6346E">
      <w:pPr>
        <w:rPr>
          <w:b/>
          <w:bCs/>
        </w:rPr>
      </w:pPr>
      <w:r>
        <w:rPr>
          <w:rFonts w:hint="eastAsia"/>
          <w:b/>
          <w:bCs/>
        </w:rPr>
        <w:t>C. 报告期内公司股票被实施退市风险警示或其他风险警示</w:t>
      </w:r>
    </w:p>
    <w:p w14:paraId="5280C47C">
      <w:pPr>
        <w:autoSpaceDE w:val="0"/>
        <w:autoSpaceDN w:val="0"/>
        <w:adjustRightInd w:val="0"/>
        <w:spacing w:line="276" w:lineRule="auto"/>
        <w:rPr>
          <w:b/>
          <w:lang w:val="zh-CN"/>
        </w:rPr>
      </w:pPr>
      <w:bookmarkStart w:id="56" w:name="_Hlk189836187"/>
      <w:r>
        <w:rPr>
          <w:rFonts w:hint="eastAsia"/>
          <w:bCs/>
          <w:lang w:val="zh-CN"/>
        </w:rPr>
        <w:t>前五名销售客户</w:t>
      </w:r>
    </w:p>
    <w:sdt>
      <w:sdtPr>
        <w:rPr>
          <w:rFonts w:hint="eastAsia"/>
          <w:bCs/>
          <w:lang w:val="zh-CN"/>
        </w:rPr>
        <w:alias w:val="是否适用：公司前五名主要销售客户情况[双击切换]"/>
        <w:tag w:val="_GBC_f8b3ab4836d84d3db48e52713048016f"/>
        <w:id w:val="-2018298605"/>
        <w:placeholder>
          <w:docPart w:val="GBC22222222222222222222222222222"/>
        </w:placeholder>
      </w:sdtPr>
      <w:sdtEndPr>
        <w:rPr>
          <w:rFonts w:hint="eastAsia"/>
          <w:bCs/>
          <w:lang w:val="zh-CN"/>
        </w:rPr>
      </w:sdtEndPr>
      <w:sdtContent>
        <w:p w14:paraId="3DA2DD24">
          <w:pPr>
            <w:autoSpaceDE w:val="0"/>
            <w:autoSpaceDN w:val="0"/>
            <w:adjustRightInd w:val="0"/>
            <w:spacing w:line="276" w:lineRule="auto"/>
            <w:rPr>
              <w:bCs/>
              <w:lang w:val="zh-CN"/>
            </w:rPr>
          </w:pPr>
          <w:r>
            <w:rPr>
              <w:rFonts w:ascii="宋体" w:hAnsi="宋体"/>
              <w:bCs/>
              <w:lang w:val="zh-CN"/>
            </w:rPr>
            <w:fldChar w:fldCharType="begin"/>
          </w:r>
          <w:r>
            <w:rPr>
              <w:rFonts w:ascii="宋体" w:hAnsi="宋体"/>
              <w:bCs/>
              <w:lang w:val="zh-CN"/>
            </w:rPr>
            <w:instrText xml:space="preserve"> MACROBUTTON  SnrToggleCheckbox □适用 </w:instrText>
          </w:r>
          <w:r>
            <w:rPr>
              <w:rFonts w:ascii="宋体" w:hAnsi="宋体"/>
              <w:bCs/>
              <w:lang w:val="zh-CN"/>
            </w:rPr>
            <w:fldChar w:fldCharType="end"/>
          </w:r>
          <w:r>
            <w:rPr>
              <w:rFonts w:ascii="宋体" w:hAnsi="宋体"/>
              <w:bCs/>
              <w:lang w:val="zh-CN"/>
            </w:rPr>
            <w:fldChar w:fldCharType="begin"/>
          </w:r>
          <w:r>
            <w:rPr>
              <w:rFonts w:ascii="宋体" w:hAnsi="宋体"/>
              <w:bCs/>
              <w:lang w:val="zh-CN"/>
            </w:rPr>
            <w:instrText xml:space="preserve"> MACROBUTTON  SnrToggleCheckbox √不适用 </w:instrText>
          </w:r>
          <w:r>
            <w:rPr>
              <w:rFonts w:ascii="宋体" w:hAnsi="宋体"/>
              <w:bCs/>
              <w:lang w:val="zh-CN"/>
            </w:rPr>
            <w:fldChar w:fldCharType="end"/>
          </w:r>
        </w:p>
      </w:sdtContent>
    </w:sdt>
    <w:p w14:paraId="298453B3">
      <w:pPr>
        <w:autoSpaceDE w:val="0"/>
        <w:autoSpaceDN w:val="0"/>
        <w:adjustRightInd w:val="0"/>
        <w:spacing w:line="276" w:lineRule="auto"/>
      </w:pPr>
    </w:p>
    <w:bookmarkEnd w:id="56"/>
    <w:p w14:paraId="5C9022AE">
      <w:pPr>
        <w:pStyle w:val="48"/>
      </w:pPr>
      <w:bookmarkStart w:id="57" w:name="_Hlk25832335"/>
      <w:bookmarkStart w:id="58" w:name="_Hlk189836300"/>
      <w:r>
        <w:rPr>
          <w:rFonts w:hint="eastAsia"/>
        </w:rPr>
        <w:t>前五名供应商</w:t>
      </w:r>
    </w:p>
    <w:sdt>
      <w:sdtPr>
        <w:rPr>
          <w:rFonts w:hint="eastAsia"/>
        </w:rPr>
        <w:alias w:val="是否适用：公司前五名主要供应商情况[双击切换]"/>
        <w:tag w:val="_GBC_d692c103c2cd4a4abe724b21a91c3790"/>
        <w:id w:val="1532459937"/>
        <w:placeholder>
          <w:docPart w:val="GBC22222222222222222222222222222"/>
        </w:placeholder>
      </w:sdtPr>
      <w:sdtEndPr>
        <w:rPr>
          <w:rFonts w:hint="eastAsia"/>
        </w:rPr>
      </w:sdtEndPr>
      <w:sdtContent>
        <w:p w14:paraId="328EF7B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95381E2">
      <w:pPr>
        <w:pStyle w:val="48"/>
      </w:pPr>
    </w:p>
    <w:bookmarkEnd w:id="57"/>
    <w:bookmarkEnd w:id="58"/>
    <w:p w14:paraId="2DBBC2F6">
      <w:pPr>
        <w:rPr>
          <w:b/>
          <w:bCs/>
        </w:rPr>
      </w:pPr>
      <w:bookmarkStart w:id="59" w:name="_Hlk217463331"/>
      <w:r>
        <w:rPr>
          <w:rFonts w:hint="eastAsia"/>
          <w:b/>
          <w:bCs/>
        </w:rPr>
        <w:t>D. 报告期内公司存在贸易业务收入</w:t>
      </w:r>
    </w:p>
    <w:sdt>
      <w:sdtPr>
        <w:rPr>
          <w:rFonts w:hint="eastAsia"/>
        </w:rPr>
        <w:alias w:val="报告期内公司是否存在贸易业务收入[双击切换]"/>
        <w:tag w:val="_GBC_3ae6eb2d9c104edd9c836e1bf671669f"/>
        <w:id w:val="812140910"/>
        <w:placeholder>
          <w:docPart w:val="GBC22222222222222222222222222222"/>
        </w:placeholder>
      </w:sdtPr>
      <w:sdtEndPr>
        <w:rPr>
          <w:rFonts w:hint="eastAsia"/>
        </w:rPr>
      </w:sdtEndPr>
      <w:sdtContent>
        <w:p w14:paraId="14D73113">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4AD591">
      <w:pPr>
        <w:wordWrap w:val="0"/>
        <w:ind w:right="210"/>
        <w:jc w:val="right"/>
      </w:pPr>
      <w:r>
        <w:rPr>
          <w:rFonts w:hint="eastAsia"/>
        </w:rPr>
        <w:t>单位：</w:t>
      </w:r>
      <w:sdt>
        <w:sdtPr>
          <w:rPr>
            <w:rFonts w:hint="eastAsia"/>
          </w:rPr>
          <w:alias w:val="单位：报告期内公司存在贸易业务收入"/>
          <w:tag w:val="_GBC_8399b16ff3a64a0c851a96c6db3917fc"/>
          <w:id w:val="17163833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报告期内公司存在贸易业务收入"/>
          <w:tag w:val="_GBC_3a2f8df4d41349669c80c60ee63b1fd7"/>
          <w:id w:val="-8305912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t xml:space="preserve"> </w:t>
      </w:r>
    </w:p>
    <w:bookmarkEnd w:id="59"/>
    <w:tbl>
      <w:tblPr>
        <w:tblStyle w:val="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2262"/>
        <w:gridCol w:w="2262"/>
        <w:gridCol w:w="2263"/>
      </w:tblGrid>
      <w:tr w14:paraId="4830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dab337ea0e24924b6a493547fbf30ce"/>
            <w:id w:val="-1079507175"/>
          </w:sdtPr>
          <w:sdtContent>
            <w:tc>
              <w:tcPr>
                <w:tcW w:w="1250" w:type="pct"/>
                <w:vAlign w:val="center"/>
              </w:tcPr>
              <w:p w14:paraId="18C551E3">
                <w:pPr>
                  <w:jc w:val="center"/>
                  <w:rPr>
                    <w:rFonts w:ascii="Calibri" w:hAnsi="Calibri"/>
                    <w:sz w:val="20"/>
                    <w:szCs w:val="20"/>
                  </w:rPr>
                </w:pPr>
                <w:bookmarkStart w:id="60" w:name="_Hlk188285406"/>
                <w:r>
                  <w:rPr>
                    <w:rFonts w:hint="eastAsia" w:ascii="Calibri" w:hAnsi="Calibri"/>
                    <w:sz w:val="20"/>
                    <w:szCs w:val="20"/>
                  </w:rPr>
                  <w:t>贸易业务开展情况</w:t>
                </w:r>
              </w:p>
            </w:tc>
          </w:sdtContent>
        </w:sdt>
        <w:sdt>
          <w:sdtPr>
            <w:tag w:val="_PLD_d9e442e4b06c40aeb11dfb13b703ef08"/>
            <w:id w:val="-1936982220"/>
          </w:sdtPr>
          <w:sdtContent>
            <w:tc>
              <w:tcPr>
                <w:tcW w:w="1250" w:type="pct"/>
                <w:vAlign w:val="center"/>
              </w:tcPr>
              <w:p w14:paraId="3D2D7731">
                <w:pPr>
                  <w:jc w:val="center"/>
                  <w:rPr>
                    <w:rFonts w:ascii="Calibri" w:hAnsi="Calibri"/>
                    <w:sz w:val="20"/>
                    <w:szCs w:val="20"/>
                  </w:rPr>
                </w:pPr>
                <w:r>
                  <w:rPr>
                    <w:rFonts w:hint="eastAsia" w:ascii="Calibri" w:hAnsi="Calibri"/>
                    <w:sz w:val="20"/>
                    <w:szCs w:val="20"/>
                  </w:rPr>
                  <w:t>本期营业收入</w:t>
                </w:r>
              </w:p>
            </w:tc>
          </w:sdtContent>
        </w:sdt>
        <w:sdt>
          <w:sdtPr>
            <w:tag w:val="_PLD_accdefafc03d4db5a863164684606991"/>
            <w:id w:val="-694534679"/>
          </w:sdtPr>
          <w:sdtContent>
            <w:tc>
              <w:tcPr>
                <w:tcW w:w="1250" w:type="pct"/>
                <w:vAlign w:val="center"/>
              </w:tcPr>
              <w:p w14:paraId="3E7552E7">
                <w:pPr>
                  <w:jc w:val="center"/>
                  <w:rPr>
                    <w:rFonts w:ascii="Calibri" w:hAnsi="Calibri"/>
                    <w:sz w:val="20"/>
                    <w:szCs w:val="20"/>
                  </w:rPr>
                </w:pPr>
                <w:r>
                  <w:rPr>
                    <w:rFonts w:hint="eastAsia" w:ascii="Calibri" w:hAnsi="Calibri"/>
                    <w:sz w:val="20"/>
                    <w:szCs w:val="20"/>
                  </w:rPr>
                  <w:t>上期营业收入</w:t>
                </w:r>
              </w:p>
            </w:tc>
          </w:sdtContent>
        </w:sdt>
        <w:sdt>
          <w:sdtPr>
            <w:tag w:val="_PLD_0dab91b865db4b598830a70dc6b556eb"/>
            <w:id w:val="1595745641"/>
          </w:sdtPr>
          <w:sdtContent>
            <w:tc>
              <w:tcPr>
                <w:tcW w:w="1250" w:type="pct"/>
                <w:vAlign w:val="center"/>
              </w:tcPr>
              <w:p w14:paraId="1114D4B9">
                <w:pPr>
                  <w:jc w:val="center"/>
                  <w:rPr>
                    <w:rFonts w:ascii="Calibri" w:hAnsi="Calibri"/>
                    <w:sz w:val="20"/>
                    <w:szCs w:val="20"/>
                  </w:rPr>
                </w:pPr>
                <w:r>
                  <w:rPr>
                    <w:rFonts w:hint="eastAsia" w:ascii="Calibri" w:hAnsi="Calibri"/>
                    <w:sz w:val="20"/>
                    <w:szCs w:val="20"/>
                  </w:rPr>
                  <w:t>本期营业收入比上年同期增减（</w:t>
                </w:r>
                <w:r>
                  <w:rPr>
                    <w:rFonts w:ascii="Calibri" w:hAnsi="Calibri"/>
                    <w:sz w:val="20"/>
                    <w:szCs w:val="20"/>
                  </w:rPr>
                  <w:t>%）</w:t>
                </w:r>
              </w:p>
            </w:tc>
          </w:sdtContent>
        </w:sdt>
      </w:tr>
      <w:tr w14:paraId="3241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14:paraId="4DF5ADC4">
            <w:pPr>
              <w:pStyle w:val="48"/>
              <w:rPr>
                <w:sz w:val="20"/>
                <w:szCs w:val="20"/>
              </w:rPr>
            </w:pPr>
            <w:r>
              <w:rPr>
                <w:sz w:val="20"/>
                <w:szCs w:val="20"/>
              </w:rPr>
              <w:t>注射用笔、血糖试纸、采血针等医疗器械</w:t>
            </w:r>
          </w:p>
        </w:tc>
        <w:tc>
          <w:tcPr>
            <w:tcW w:w="1250" w:type="pct"/>
            <w:vAlign w:val="center"/>
          </w:tcPr>
          <w:p w14:paraId="1C51A895">
            <w:pPr>
              <w:jc w:val="right"/>
              <w:rPr>
                <w:rFonts w:ascii="Calibri" w:hAnsi="Calibri"/>
                <w:sz w:val="20"/>
                <w:szCs w:val="20"/>
              </w:rPr>
            </w:pPr>
            <w:r>
              <w:rPr>
                <w:rFonts w:ascii="Calibri" w:hAnsi="Calibri"/>
                <w:sz w:val="20"/>
                <w:szCs w:val="20"/>
              </w:rPr>
              <w:t>12,927.17</w:t>
            </w:r>
          </w:p>
        </w:tc>
        <w:tc>
          <w:tcPr>
            <w:tcW w:w="1250" w:type="pct"/>
            <w:vAlign w:val="center"/>
          </w:tcPr>
          <w:p w14:paraId="442F44F0">
            <w:pPr>
              <w:jc w:val="right"/>
              <w:rPr>
                <w:rFonts w:ascii="Calibri" w:hAnsi="Calibri"/>
                <w:sz w:val="20"/>
                <w:szCs w:val="20"/>
              </w:rPr>
            </w:pPr>
            <w:r>
              <w:rPr>
                <w:rFonts w:ascii="Calibri" w:hAnsi="Calibri"/>
                <w:sz w:val="20"/>
                <w:szCs w:val="20"/>
              </w:rPr>
              <w:t>14,942.89</w:t>
            </w:r>
          </w:p>
        </w:tc>
        <w:tc>
          <w:tcPr>
            <w:tcW w:w="1250" w:type="pct"/>
            <w:vAlign w:val="center"/>
          </w:tcPr>
          <w:p w14:paraId="3A0556E3">
            <w:pPr>
              <w:jc w:val="right"/>
              <w:rPr>
                <w:rFonts w:ascii="Calibri" w:hAnsi="Calibri"/>
                <w:sz w:val="20"/>
                <w:szCs w:val="20"/>
              </w:rPr>
            </w:pPr>
            <w:r>
              <w:rPr>
                <w:rFonts w:ascii="Calibri" w:hAnsi="Calibri"/>
                <w:sz w:val="20"/>
                <w:szCs w:val="20"/>
              </w:rPr>
              <w:t>-13.49</w:t>
            </w:r>
          </w:p>
        </w:tc>
      </w:tr>
    </w:tbl>
    <w:p w14:paraId="49E85671"/>
    <w:p w14:paraId="533CEF70">
      <w:pPr>
        <w:pStyle w:val="48"/>
      </w:pPr>
      <w:r>
        <w:rPr>
          <w:rFonts w:hint="eastAsia"/>
        </w:rPr>
        <w:t>贸易业务占营业收入比例超过10%前五名销售客户</w:t>
      </w:r>
    </w:p>
    <w:sdt>
      <w:sdtPr>
        <w:rPr>
          <w:rFonts w:hint="eastAsia"/>
        </w:rPr>
        <w:alias w:val="是否适用：报告期内公司贸易业务收入占营业收入比例超过10%的贸易业务前5名销售客户[双击切换]"/>
        <w:tag w:val="_GBC_874060c7be284e34b677814c97469999"/>
        <w:id w:val="418921465"/>
        <w:placeholder>
          <w:docPart w:val="GBC22222222222222222222222222222"/>
        </w:placeholder>
      </w:sdtPr>
      <w:sdtEndPr>
        <w:rPr>
          <w:rFonts w:hint="eastAsia"/>
        </w:rPr>
      </w:sdtEndPr>
      <w:sdtContent>
        <w:p w14:paraId="7D517E3F">
          <w:pPr>
            <w:pStyle w:val="48"/>
          </w:pPr>
          <w:r>
            <w:rPr>
              <w:rFonts w:hint="eastAsia" w:ascii="宋体" w:hAnsi="宋体"/>
            </w:rPr>
            <w:fldChar w:fldCharType="begin"/>
          </w:r>
          <w:r>
            <w:rPr>
              <w:rFonts w:ascii="宋体" w:hAnsi="宋体"/>
            </w:rPr>
            <w:instrText xml:space="preserve"> MACROBUTTON  SnrToggleCheckbox □适用 </w:instrText>
          </w:r>
          <w:r>
            <w:rPr>
              <w:rFonts w:hint="eastAsia" w:ascii="宋体" w:hAnsi="宋体"/>
            </w:rPr>
            <w:fldChar w:fldCharType="end"/>
          </w:r>
          <w:r>
            <w:rPr>
              <w:rFonts w:hint="eastAsia" w:ascii="宋体" w:hAnsi="宋体"/>
            </w:rPr>
            <w:fldChar w:fldCharType="begin"/>
          </w:r>
          <w:r>
            <w:rPr>
              <w:rFonts w:ascii="宋体" w:hAnsi="宋体"/>
            </w:rPr>
            <w:instrText xml:space="preserve"> MACROBUTTON  SnrToggleCheckbox √不适用 </w:instrText>
          </w:r>
          <w:r>
            <w:rPr>
              <w:rFonts w:hint="eastAsia" w:ascii="宋体" w:hAnsi="宋体"/>
            </w:rPr>
            <w:fldChar w:fldCharType="end"/>
          </w:r>
        </w:p>
      </w:sdtContent>
    </w:sdt>
    <w:p w14:paraId="1B7539BB">
      <w:pPr>
        <w:pStyle w:val="48"/>
      </w:pPr>
    </w:p>
    <w:bookmarkEnd w:id="60"/>
    <w:p w14:paraId="19577DB6">
      <w:pPr>
        <w:pStyle w:val="48"/>
      </w:pPr>
      <w:bookmarkStart w:id="61" w:name="_Hlk188285949"/>
      <w:r>
        <w:rPr>
          <w:rFonts w:hint="eastAsia"/>
        </w:rPr>
        <w:t>贸易业务收入占营业收入比例超过10%前五名</w:t>
      </w:r>
      <w:r>
        <w:t>供应商</w:t>
      </w:r>
    </w:p>
    <w:sdt>
      <w:sdtPr>
        <w:rPr>
          <w:rFonts w:hint="eastAsia"/>
        </w:rPr>
        <w:alias w:val="是否适用：报告期内公司贸易业务收入占营业收入比例超过10%的贸易业务前5名供应商[双击切换]"/>
        <w:tag w:val="_GBC_3d816dcc13274eeeafda04c5590e4ca9"/>
        <w:id w:val="541945820"/>
        <w:placeholder>
          <w:docPart w:val="GBC22222222222222222222222222222"/>
        </w:placeholder>
      </w:sdtPr>
      <w:sdtEndPr>
        <w:rPr>
          <w:rFonts w:hint="eastAsia"/>
        </w:rPr>
      </w:sdtEndPr>
      <w:sdtContent>
        <w:p w14:paraId="10BF7758">
          <w:pPr>
            <w:pStyle w:val="48"/>
          </w:pPr>
          <w:r>
            <w:rPr>
              <w:rFonts w:hint="eastAsia" w:ascii="宋体" w:hAnsi="宋体"/>
            </w:rPr>
            <w:fldChar w:fldCharType="begin"/>
          </w:r>
          <w:r>
            <w:rPr>
              <w:rFonts w:ascii="宋体" w:hAnsi="宋体"/>
            </w:rPr>
            <w:instrText xml:space="preserve"> MACROBUTTON  SnrToggleCheckbox □适用 </w:instrText>
          </w:r>
          <w:r>
            <w:rPr>
              <w:rFonts w:hint="eastAsia" w:ascii="宋体" w:hAnsi="宋体"/>
            </w:rPr>
            <w:fldChar w:fldCharType="end"/>
          </w:r>
          <w:r>
            <w:rPr>
              <w:rFonts w:hint="eastAsia" w:ascii="宋体" w:hAnsi="宋体"/>
            </w:rPr>
            <w:fldChar w:fldCharType="begin"/>
          </w:r>
          <w:r>
            <w:rPr>
              <w:rFonts w:ascii="宋体" w:hAnsi="宋体"/>
            </w:rPr>
            <w:instrText xml:space="preserve"> MACROBUTTON  SnrToggleCheckbox √不适用 </w:instrText>
          </w:r>
          <w:r>
            <w:rPr>
              <w:rFonts w:hint="eastAsia" w:ascii="宋体" w:hAnsi="宋体"/>
            </w:rPr>
            <w:fldChar w:fldCharType="end"/>
          </w:r>
        </w:p>
      </w:sdtContent>
    </w:sdt>
    <w:bookmarkEnd w:id="61"/>
    <w:p w14:paraId="6D22B7E4">
      <w:pPr>
        <w:pStyle w:val="48"/>
      </w:pPr>
      <w:bookmarkStart w:id="62" w:name="_Hlk188286201"/>
      <w:bookmarkEnd w:id="62"/>
      <w:bookmarkStart w:id="63" w:name="_Hlk184741846"/>
    </w:p>
    <w:p w14:paraId="24BB1E0C">
      <w:pPr>
        <w:pStyle w:val="48"/>
      </w:pPr>
    </w:p>
    <w:bookmarkEnd w:id="63"/>
    <w:p w14:paraId="55275788">
      <w:pPr>
        <w:pStyle w:val="5"/>
        <w:numPr>
          <w:ilvl w:val="0"/>
          <w:numId w:val="9"/>
        </w:numPr>
      </w:pPr>
      <w:r>
        <w:rPr>
          <w:rFonts w:hint="eastAsia"/>
        </w:rPr>
        <w:t>费用</w:t>
      </w:r>
    </w:p>
    <w:sdt>
      <w:sdtPr>
        <w:alias w:val="是否适用：费用[双击切换]"/>
        <w:tag w:val="_GBC_fa9cd5e43a8f426c8b793a737190d8db"/>
        <w:id w:val="-473293788"/>
        <w:placeholder>
          <w:docPart w:val="GBC22222222222222222222222222222"/>
        </w:placeholder>
      </w:sdtPr>
      <w:sdtContent>
        <w:p w14:paraId="493E57EC">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Calibri" w:hAnsi="Calibri"/>
          <w:kern w:val="2"/>
        </w:rPr>
        <w:alias w:val="费用情况说明"/>
        <w:tag w:val="_GBC_02a46af1e8d349d8b753768e17da35a1"/>
        <w:id w:val="-791510373"/>
        <w:placeholder>
          <w:docPart w:val="GBC22222222222222222222222222222"/>
        </w:placeholder>
      </w:sdtPr>
      <w:sdtEndPr>
        <w:rPr>
          <w:rFonts w:hint="eastAsia" w:ascii="Calibri" w:hAnsi="Calibri"/>
          <w:kern w:val="2"/>
        </w:rPr>
      </w:sdtEndPr>
      <w:sdtContent>
        <w:p w14:paraId="641D9ABB">
          <w:pPr>
            <w:ind w:firstLine="480"/>
            <w:jc w:val="right"/>
            <w:rPr>
              <w:rFonts w:ascii="Calibri" w:hAnsi="Calibri"/>
              <w:kern w:val="2"/>
            </w:rPr>
          </w:pPr>
          <w:r>
            <w:rPr>
              <w:rFonts w:hint="eastAsia" w:ascii="Calibri" w:hAnsi="Calibri"/>
              <w:kern w:val="2"/>
            </w:rPr>
            <w:t>单位：元</w:t>
          </w:r>
        </w:p>
        <w:tbl>
          <w:tblPr>
            <w:tblStyle w:val="43"/>
            <w:tblW w:w="5058" w:type="pct"/>
            <w:tblInd w:w="0" w:type="dxa"/>
            <w:tblLayout w:type="autofit"/>
            <w:tblCellMar>
              <w:top w:w="57" w:type="dxa"/>
              <w:left w:w="108" w:type="dxa"/>
              <w:bottom w:w="57" w:type="dxa"/>
              <w:right w:w="108" w:type="dxa"/>
            </w:tblCellMar>
          </w:tblPr>
          <w:tblGrid>
            <w:gridCol w:w="1452"/>
            <w:gridCol w:w="1743"/>
            <w:gridCol w:w="1743"/>
            <w:gridCol w:w="1168"/>
            <w:gridCol w:w="3048"/>
          </w:tblGrid>
          <w:tr w14:paraId="2181FF5C">
            <w:tblPrEx>
              <w:tblCellMar>
                <w:top w:w="57" w:type="dxa"/>
                <w:left w:w="108" w:type="dxa"/>
                <w:bottom w:w="57" w:type="dxa"/>
                <w:right w:w="108" w:type="dxa"/>
              </w:tblCellMar>
            </w:tblPrEx>
            <w:trPr>
              <w:trHeight w:val="454" w:hRule="atLeast"/>
            </w:trPr>
            <w:tc>
              <w:tcPr>
                <w:tcW w:w="793" w:type="pct"/>
                <w:tcBorders>
                  <w:top w:val="single" w:color="auto" w:sz="4" w:space="0"/>
                  <w:left w:val="single" w:color="auto" w:sz="4" w:space="0"/>
                  <w:bottom w:val="single" w:color="auto" w:sz="4" w:space="0"/>
                  <w:right w:val="single" w:color="auto" w:sz="4" w:space="0"/>
                </w:tcBorders>
                <w:vAlign w:val="center"/>
              </w:tcPr>
              <w:p w14:paraId="2EE025A3">
                <w:pPr>
                  <w:jc w:val="center"/>
                  <w:rPr>
                    <w:rFonts w:ascii="宋体" w:hAnsi="宋体" w:cs="宋体"/>
                    <w:kern w:val="2"/>
                    <w:sz w:val="20"/>
                    <w:szCs w:val="24"/>
                  </w:rPr>
                </w:pPr>
                <w:r>
                  <w:rPr>
                    <w:rFonts w:hint="eastAsia" w:ascii="宋体" w:hAnsi="宋体" w:cs="宋体"/>
                    <w:kern w:val="2"/>
                    <w:sz w:val="20"/>
                    <w:szCs w:val="24"/>
                  </w:rPr>
                  <w:t>项目</w:t>
                </w:r>
              </w:p>
            </w:tc>
            <w:tc>
              <w:tcPr>
                <w:tcW w:w="952" w:type="pct"/>
                <w:tcBorders>
                  <w:top w:val="single" w:color="auto" w:sz="4" w:space="0"/>
                  <w:left w:val="nil"/>
                  <w:bottom w:val="single" w:color="auto" w:sz="4" w:space="0"/>
                  <w:right w:val="single" w:color="auto" w:sz="4" w:space="0"/>
                </w:tcBorders>
                <w:vAlign w:val="center"/>
              </w:tcPr>
              <w:p w14:paraId="12661FB1">
                <w:pPr>
                  <w:jc w:val="center"/>
                  <w:rPr>
                    <w:rFonts w:ascii="宋体" w:hAnsi="宋体" w:cs="宋体"/>
                    <w:kern w:val="2"/>
                    <w:sz w:val="20"/>
                    <w:szCs w:val="24"/>
                  </w:rPr>
                </w:pPr>
                <w:r>
                  <w:rPr>
                    <w:rFonts w:hint="eastAsia" w:ascii="宋体" w:hAnsi="宋体" w:cs="宋体"/>
                    <w:kern w:val="2"/>
                    <w:sz w:val="20"/>
                    <w:szCs w:val="24"/>
                  </w:rPr>
                  <w:t>2</w:t>
                </w:r>
                <w:r>
                  <w:rPr>
                    <w:rFonts w:ascii="宋体" w:hAnsi="宋体" w:cs="宋体"/>
                    <w:kern w:val="2"/>
                    <w:sz w:val="20"/>
                    <w:szCs w:val="24"/>
                  </w:rPr>
                  <w:t>025</w:t>
                </w:r>
                <w:r>
                  <w:rPr>
                    <w:rFonts w:hint="eastAsia" w:ascii="宋体" w:hAnsi="宋体" w:cs="宋体"/>
                    <w:kern w:val="2"/>
                    <w:sz w:val="20"/>
                    <w:szCs w:val="24"/>
                  </w:rPr>
                  <w:t>年度</w:t>
                </w:r>
              </w:p>
            </w:tc>
            <w:tc>
              <w:tcPr>
                <w:tcW w:w="952" w:type="pct"/>
                <w:tcBorders>
                  <w:top w:val="single" w:color="auto" w:sz="4" w:space="0"/>
                  <w:left w:val="single" w:color="auto" w:sz="4" w:space="0"/>
                  <w:bottom w:val="single" w:color="auto" w:sz="4" w:space="0"/>
                  <w:right w:val="single" w:color="auto" w:sz="4" w:space="0"/>
                </w:tcBorders>
                <w:vAlign w:val="center"/>
              </w:tcPr>
              <w:p w14:paraId="75AF8042">
                <w:pPr>
                  <w:jc w:val="center"/>
                  <w:rPr>
                    <w:rFonts w:ascii="宋体" w:hAnsi="宋体" w:cs="宋体"/>
                    <w:kern w:val="2"/>
                    <w:sz w:val="20"/>
                    <w:szCs w:val="24"/>
                  </w:rPr>
                </w:pPr>
                <w:r>
                  <w:rPr>
                    <w:rFonts w:ascii="宋体" w:hAnsi="宋体" w:cs="宋体"/>
                    <w:kern w:val="2"/>
                    <w:sz w:val="20"/>
                    <w:szCs w:val="24"/>
                  </w:rPr>
                  <w:t>2024年度</w:t>
                </w:r>
              </w:p>
            </w:tc>
            <w:tc>
              <w:tcPr>
                <w:tcW w:w="638" w:type="pct"/>
                <w:tcBorders>
                  <w:top w:val="single" w:color="auto" w:sz="4" w:space="0"/>
                  <w:left w:val="nil"/>
                  <w:bottom w:val="single" w:color="auto" w:sz="4" w:space="0"/>
                  <w:right w:val="single" w:color="auto" w:sz="4" w:space="0"/>
                </w:tcBorders>
                <w:vAlign w:val="center"/>
              </w:tcPr>
              <w:p w14:paraId="4A2CD9CF">
                <w:pPr>
                  <w:jc w:val="center"/>
                  <w:rPr>
                    <w:rFonts w:ascii="宋体" w:hAnsi="宋体" w:cs="宋体"/>
                    <w:kern w:val="2"/>
                    <w:sz w:val="20"/>
                    <w:szCs w:val="24"/>
                  </w:rPr>
                </w:pPr>
                <w:r>
                  <w:rPr>
                    <w:rFonts w:hint="eastAsia" w:ascii="宋体" w:hAnsi="宋体" w:cs="宋体"/>
                    <w:kern w:val="2"/>
                    <w:sz w:val="20"/>
                    <w:szCs w:val="24"/>
                  </w:rPr>
                  <w:t>增减比例（</w:t>
                </w:r>
                <w:r>
                  <w:rPr>
                    <w:rFonts w:ascii="宋体" w:hAnsi="宋体" w:cs="宋体"/>
                    <w:kern w:val="2"/>
                    <w:sz w:val="20"/>
                    <w:szCs w:val="24"/>
                  </w:rPr>
                  <w:t>%</w:t>
                </w:r>
                <w:r>
                  <w:rPr>
                    <w:rFonts w:hint="eastAsia" w:ascii="宋体" w:hAnsi="宋体" w:cs="宋体"/>
                    <w:kern w:val="2"/>
                    <w:sz w:val="20"/>
                    <w:szCs w:val="24"/>
                  </w:rPr>
                  <w:t>）</w:t>
                </w:r>
              </w:p>
            </w:tc>
            <w:tc>
              <w:tcPr>
                <w:tcW w:w="1665" w:type="pct"/>
                <w:tcBorders>
                  <w:top w:val="single" w:color="auto" w:sz="4" w:space="0"/>
                  <w:left w:val="nil"/>
                  <w:bottom w:val="single" w:color="auto" w:sz="4" w:space="0"/>
                  <w:right w:val="single" w:color="auto" w:sz="4" w:space="0"/>
                </w:tcBorders>
                <w:vAlign w:val="center"/>
              </w:tcPr>
              <w:p w14:paraId="67A30B42">
                <w:pPr>
                  <w:jc w:val="center"/>
                  <w:rPr>
                    <w:rFonts w:ascii="宋体" w:hAnsi="宋体" w:cs="宋体"/>
                    <w:kern w:val="2"/>
                    <w:sz w:val="20"/>
                    <w:szCs w:val="24"/>
                  </w:rPr>
                </w:pPr>
                <w:r>
                  <w:rPr>
                    <w:rFonts w:hint="eastAsia" w:ascii="宋体" w:hAnsi="宋体" w:cs="宋体"/>
                    <w:kern w:val="2"/>
                    <w:sz w:val="20"/>
                    <w:szCs w:val="24"/>
                  </w:rPr>
                  <w:t>情况说明</w:t>
                </w:r>
              </w:p>
            </w:tc>
          </w:tr>
          <w:tr w14:paraId="5CA024F3">
            <w:tblPrEx>
              <w:tblCellMar>
                <w:top w:w="57" w:type="dxa"/>
                <w:left w:w="108" w:type="dxa"/>
                <w:bottom w:w="57" w:type="dxa"/>
                <w:right w:w="108" w:type="dxa"/>
              </w:tblCellMar>
            </w:tblPrEx>
            <w:trPr>
              <w:trHeight w:val="454" w:hRule="atLeast"/>
            </w:trPr>
            <w:tc>
              <w:tcPr>
                <w:tcW w:w="793" w:type="pct"/>
                <w:tcBorders>
                  <w:top w:val="single" w:color="auto" w:sz="4" w:space="0"/>
                  <w:left w:val="single" w:color="auto" w:sz="4" w:space="0"/>
                  <w:bottom w:val="single" w:color="auto" w:sz="4" w:space="0"/>
                  <w:right w:val="single" w:color="auto" w:sz="4" w:space="0"/>
                </w:tcBorders>
                <w:vAlign w:val="center"/>
              </w:tcPr>
              <w:p w14:paraId="4F296E21">
                <w:pPr>
                  <w:rPr>
                    <w:rFonts w:ascii="宋体" w:hAnsi="宋体" w:cs="宋体"/>
                    <w:kern w:val="2"/>
                    <w:sz w:val="20"/>
                    <w:szCs w:val="24"/>
                  </w:rPr>
                </w:pPr>
                <w:r>
                  <w:rPr>
                    <w:rFonts w:hint="eastAsia" w:ascii="宋体" w:hAnsi="宋体" w:cs="宋体"/>
                    <w:kern w:val="2"/>
                    <w:sz w:val="20"/>
                    <w:szCs w:val="24"/>
                  </w:rPr>
                  <w:t>管理费用</w:t>
                </w:r>
              </w:p>
            </w:tc>
            <w:tc>
              <w:tcPr>
                <w:tcW w:w="952" w:type="pct"/>
                <w:tcBorders>
                  <w:top w:val="single" w:color="auto" w:sz="4" w:space="0"/>
                  <w:left w:val="nil"/>
                  <w:bottom w:val="single" w:color="auto" w:sz="4" w:space="0"/>
                  <w:right w:val="single" w:color="auto" w:sz="4" w:space="0"/>
                </w:tcBorders>
                <w:vAlign w:val="center"/>
              </w:tcPr>
              <w:p w14:paraId="65185611">
                <w:pPr>
                  <w:jc w:val="right"/>
                  <w:rPr>
                    <w:rFonts w:ascii="宋体" w:hAnsi="宋体" w:cs="宋体"/>
                    <w:kern w:val="2"/>
                    <w:sz w:val="20"/>
                    <w:szCs w:val="24"/>
                  </w:rPr>
                </w:pPr>
                <w:r>
                  <w:rPr>
                    <w:sz w:val="20"/>
                    <w:szCs w:val="20"/>
                  </w:rPr>
                  <w:t>180,884,327.64</w:t>
                </w:r>
              </w:p>
            </w:tc>
            <w:tc>
              <w:tcPr>
                <w:tcW w:w="952" w:type="pct"/>
                <w:tcBorders>
                  <w:top w:val="single" w:color="auto" w:sz="4" w:space="0"/>
                  <w:left w:val="single" w:color="auto" w:sz="4" w:space="0"/>
                  <w:bottom w:val="single" w:color="auto" w:sz="4" w:space="0"/>
                  <w:right w:val="single" w:color="auto" w:sz="4" w:space="0"/>
                </w:tcBorders>
                <w:vAlign w:val="center"/>
              </w:tcPr>
              <w:p w14:paraId="3B518311">
                <w:pPr>
                  <w:jc w:val="right"/>
                  <w:rPr>
                    <w:kern w:val="2"/>
                    <w:sz w:val="20"/>
                    <w:szCs w:val="24"/>
                  </w:rPr>
                </w:pPr>
                <w:r>
                  <w:rPr>
                    <w:kern w:val="2"/>
                    <w:sz w:val="20"/>
                    <w:szCs w:val="24"/>
                  </w:rPr>
                  <w:t>182,626,722.10</w:t>
                </w:r>
              </w:p>
            </w:tc>
            <w:tc>
              <w:tcPr>
                <w:tcW w:w="638" w:type="pct"/>
                <w:tcBorders>
                  <w:top w:val="single" w:color="auto" w:sz="4" w:space="0"/>
                  <w:left w:val="nil"/>
                  <w:bottom w:val="single" w:color="auto" w:sz="4" w:space="0"/>
                  <w:right w:val="single" w:color="auto" w:sz="4" w:space="0"/>
                </w:tcBorders>
                <w:vAlign w:val="center"/>
              </w:tcPr>
              <w:p w14:paraId="460F2E36">
                <w:pPr>
                  <w:jc w:val="right"/>
                  <w:rPr>
                    <w:kern w:val="2"/>
                    <w:sz w:val="20"/>
                    <w:szCs w:val="24"/>
                  </w:rPr>
                </w:pPr>
                <w:r>
                  <w:rPr>
                    <w:kern w:val="2"/>
                    <w:sz w:val="20"/>
                    <w:szCs w:val="24"/>
                  </w:rPr>
                  <w:t>-0.95</w:t>
                </w:r>
              </w:p>
            </w:tc>
            <w:tc>
              <w:tcPr>
                <w:tcW w:w="1665" w:type="pct"/>
                <w:tcBorders>
                  <w:top w:val="single" w:color="auto" w:sz="4" w:space="0"/>
                  <w:left w:val="nil"/>
                  <w:bottom w:val="single" w:color="auto" w:sz="4" w:space="0"/>
                  <w:right w:val="single" w:color="auto" w:sz="4" w:space="0"/>
                </w:tcBorders>
                <w:vAlign w:val="center"/>
              </w:tcPr>
              <w:p w14:paraId="280A459D">
                <w:pPr>
                  <w:jc w:val="both"/>
                  <w:rPr>
                    <w:rFonts w:ascii="宋体" w:hAnsi="宋体" w:cs="宋体"/>
                    <w:kern w:val="2"/>
                    <w:sz w:val="20"/>
                    <w:szCs w:val="20"/>
                    <w:highlight w:val="yellow"/>
                  </w:rPr>
                </w:pPr>
                <w:r>
                  <w:rPr>
                    <w:rFonts w:hint="eastAsia" w:ascii="宋体" w:hAnsi="宋体" w:cs="宋体"/>
                    <w:kern w:val="2"/>
                    <w:sz w:val="20"/>
                    <w:szCs w:val="20"/>
                  </w:rPr>
                  <w:t>主要系报告期折旧费用及维修费用较同期减少所致。</w:t>
                </w:r>
              </w:p>
            </w:tc>
          </w:tr>
          <w:tr w14:paraId="7465A332">
            <w:tblPrEx>
              <w:tblCellMar>
                <w:top w:w="57" w:type="dxa"/>
                <w:left w:w="108" w:type="dxa"/>
                <w:bottom w:w="57" w:type="dxa"/>
                <w:right w:w="108" w:type="dxa"/>
              </w:tblCellMar>
            </w:tblPrEx>
            <w:trPr>
              <w:trHeight w:val="454" w:hRule="atLeast"/>
            </w:trPr>
            <w:tc>
              <w:tcPr>
                <w:tcW w:w="793" w:type="pct"/>
                <w:tcBorders>
                  <w:top w:val="single" w:color="auto" w:sz="4" w:space="0"/>
                  <w:left w:val="single" w:color="auto" w:sz="4" w:space="0"/>
                  <w:bottom w:val="single" w:color="auto" w:sz="4" w:space="0"/>
                  <w:right w:val="single" w:color="auto" w:sz="4" w:space="0"/>
                </w:tcBorders>
                <w:vAlign w:val="center"/>
              </w:tcPr>
              <w:p w14:paraId="3293532D">
                <w:pPr>
                  <w:rPr>
                    <w:rFonts w:ascii="宋体" w:hAnsi="宋体" w:cs="宋体"/>
                    <w:kern w:val="2"/>
                    <w:sz w:val="20"/>
                    <w:szCs w:val="24"/>
                  </w:rPr>
                </w:pPr>
                <w:r>
                  <w:rPr>
                    <w:rFonts w:hint="eastAsia" w:ascii="宋体" w:hAnsi="宋体" w:cs="宋体"/>
                    <w:kern w:val="2"/>
                    <w:sz w:val="20"/>
                    <w:szCs w:val="24"/>
                  </w:rPr>
                  <w:t>销售费用</w:t>
                </w:r>
              </w:p>
            </w:tc>
            <w:tc>
              <w:tcPr>
                <w:tcW w:w="952" w:type="pct"/>
                <w:tcBorders>
                  <w:top w:val="single" w:color="auto" w:sz="4" w:space="0"/>
                  <w:left w:val="nil"/>
                  <w:bottom w:val="single" w:color="auto" w:sz="4" w:space="0"/>
                  <w:right w:val="single" w:color="auto" w:sz="4" w:space="0"/>
                </w:tcBorders>
                <w:vAlign w:val="center"/>
              </w:tcPr>
              <w:p w14:paraId="6BBE4F24">
                <w:pPr>
                  <w:jc w:val="right"/>
                  <w:rPr>
                    <w:rFonts w:ascii="宋体" w:hAnsi="宋体" w:cs="宋体"/>
                    <w:kern w:val="2"/>
                    <w:sz w:val="20"/>
                    <w:szCs w:val="24"/>
                  </w:rPr>
                </w:pPr>
                <w:r>
                  <w:rPr>
                    <w:sz w:val="20"/>
                    <w:szCs w:val="20"/>
                  </w:rPr>
                  <w:t>1,108,127,227.86</w:t>
                </w:r>
              </w:p>
            </w:tc>
            <w:tc>
              <w:tcPr>
                <w:tcW w:w="952" w:type="pct"/>
                <w:tcBorders>
                  <w:top w:val="single" w:color="auto" w:sz="4" w:space="0"/>
                  <w:left w:val="single" w:color="auto" w:sz="4" w:space="0"/>
                  <w:bottom w:val="single" w:color="auto" w:sz="4" w:space="0"/>
                  <w:right w:val="single" w:color="auto" w:sz="4" w:space="0"/>
                </w:tcBorders>
                <w:vAlign w:val="center"/>
              </w:tcPr>
              <w:p w14:paraId="37AF6931">
                <w:pPr>
                  <w:jc w:val="right"/>
                  <w:rPr>
                    <w:kern w:val="2"/>
                    <w:sz w:val="20"/>
                    <w:szCs w:val="24"/>
                  </w:rPr>
                </w:pPr>
                <w:r>
                  <w:rPr>
                    <w:kern w:val="2"/>
                    <w:sz w:val="20"/>
                    <w:szCs w:val="24"/>
                  </w:rPr>
                  <w:t>1,068,146,639.12</w:t>
                </w:r>
              </w:p>
            </w:tc>
            <w:tc>
              <w:tcPr>
                <w:tcW w:w="638" w:type="pct"/>
                <w:tcBorders>
                  <w:top w:val="single" w:color="auto" w:sz="4" w:space="0"/>
                  <w:left w:val="nil"/>
                  <w:bottom w:val="single" w:color="auto" w:sz="4" w:space="0"/>
                  <w:right w:val="single" w:color="auto" w:sz="4" w:space="0"/>
                </w:tcBorders>
                <w:vAlign w:val="center"/>
              </w:tcPr>
              <w:p w14:paraId="1228AC9C">
                <w:pPr>
                  <w:jc w:val="right"/>
                  <w:rPr>
                    <w:kern w:val="2"/>
                    <w:sz w:val="20"/>
                    <w:szCs w:val="24"/>
                  </w:rPr>
                </w:pPr>
                <w:r>
                  <w:rPr>
                    <w:kern w:val="2"/>
                    <w:sz w:val="20"/>
                    <w:szCs w:val="24"/>
                  </w:rPr>
                  <w:t>3.74</w:t>
                </w:r>
              </w:p>
            </w:tc>
            <w:tc>
              <w:tcPr>
                <w:tcW w:w="1665" w:type="pct"/>
                <w:tcBorders>
                  <w:top w:val="single" w:color="auto" w:sz="4" w:space="0"/>
                  <w:left w:val="nil"/>
                  <w:bottom w:val="single" w:color="auto" w:sz="4" w:space="0"/>
                  <w:right w:val="single" w:color="auto" w:sz="4" w:space="0"/>
                </w:tcBorders>
                <w:vAlign w:val="center"/>
              </w:tcPr>
              <w:p w14:paraId="1DB01C56">
                <w:pPr>
                  <w:jc w:val="both"/>
                  <w:rPr>
                    <w:rFonts w:ascii="宋体" w:hAnsi="宋体" w:cs="宋体"/>
                    <w:kern w:val="2"/>
                    <w:sz w:val="20"/>
                    <w:szCs w:val="24"/>
                    <w:highlight w:val="yellow"/>
                  </w:rPr>
                </w:pPr>
                <w:r>
                  <w:rPr>
                    <w:rFonts w:hint="eastAsia" w:ascii="宋体" w:hAnsi="宋体" w:cs="宋体"/>
                    <w:kern w:val="2"/>
                    <w:sz w:val="20"/>
                    <w:szCs w:val="24"/>
                  </w:rPr>
                  <w:t>主要系报告期销售人员薪酬增加所致。</w:t>
                </w:r>
              </w:p>
            </w:tc>
          </w:tr>
          <w:tr w14:paraId="1A3EC804">
            <w:tblPrEx>
              <w:tblCellMar>
                <w:top w:w="57" w:type="dxa"/>
                <w:left w:w="108" w:type="dxa"/>
                <w:bottom w:w="57" w:type="dxa"/>
                <w:right w:w="108" w:type="dxa"/>
              </w:tblCellMar>
            </w:tblPrEx>
            <w:trPr>
              <w:trHeight w:val="454" w:hRule="atLeast"/>
            </w:trPr>
            <w:tc>
              <w:tcPr>
                <w:tcW w:w="793" w:type="pct"/>
                <w:tcBorders>
                  <w:top w:val="single" w:color="auto" w:sz="4" w:space="0"/>
                  <w:left w:val="single" w:color="auto" w:sz="4" w:space="0"/>
                  <w:bottom w:val="single" w:color="auto" w:sz="4" w:space="0"/>
                  <w:right w:val="single" w:color="auto" w:sz="4" w:space="0"/>
                </w:tcBorders>
                <w:vAlign w:val="center"/>
              </w:tcPr>
              <w:p w14:paraId="6E74AEBD">
                <w:pPr>
                  <w:rPr>
                    <w:rFonts w:ascii="宋体" w:hAnsi="宋体" w:cs="宋体"/>
                    <w:kern w:val="2"/>
                    <w:sz w:val="20"/>
                    <w:szCs w:val="24"/>
                  </w:rPr>
                </w:pPr>
                <w:r>
                  <w:rPr>
                    <w:rFonts w:hint="eastAsia" w:ascii="宋体" w:hAnsi="宋体" w:cs="宋体"/>
                    <w:kern w:val="2"/>
                    <w:sz w:val="20"/>
                    <w:szCs w:val="24"/>
                  </w:rPr>
                  <w:t>财务费用</w:t>
                </w:r>
              </w:p>
            </w:tc>
            <w:tc>
              <w:tcPr>
                <w:tcW w:w="952" w:type="pct"/>
                <w:tcBorders>
                  <w:top w:val="single" w:color="auto" w:sz="4" w:space="0"/>
                  <w:left w:val="nil"/>
                  <w:bottom w:val="single" w:color="auto" w:sz="4" w:space="0"/>
                  <w:right w:val="single" w:color="auto" w:sz="4" w:space="0"/>
                </w:tcBorders>
                <w:vAlign w:val="center"/>
              </w:tcPr>
              <w:p w14:paraId="05A45327">
                <w:pPr>
                  <w:jc w:val="right"/>
                  <w:rPr>
                    <w:rFonts w:ascii="宋体" w:hAnsi="宋体" w:cs="宋体"/>
                    <w:kern w:val="2"/>
                    <w:sz w:val="20"/>
                    <w:szCs w:val="24"/>
                  </w:rPr>
                </w:pPr>
                <w:r>
                  <w:rPr>
                    <w:sz w:val="20"/>
                    <w:szCs w:val="20"/>
                  </w:rPr>
                  <w:t>18,743,448.23</w:t>
                </w:r>
              </w:p>
            </w:tc>
            <w:tc>
              <w:tcPr>
                <w:tcW w:w="952" w:type="pct"/>
                <w:tcBorders>
                  <w:top w:val="single" w:color="auto" w:sz="4" w:space="0"/>
                  <w:left w:val="single" w:color="auto" w:sz="4" w:space="0"/>
                  <w:bottom w:val="single" w:color="auto" w:sz="4" w:space="0"/>
                  <w:right w:val="single" w:color="auto" w:sz="4" w:space="0"/>
                </w:tcBorders>
                <w:vAlign w:val="center"/>
              </w:tcPr>
              <w:p w14:paraId="68B321A3">
                <w:pPr>
                  <w:jc w:val="right"/>
                  <w:rPr>
                    <w:kern w:val="2"/>
                    <w:sz w:val="20"/>
                    <w:szCs w:val="24"/>
                  </w:rPr>
                </w:pPr>
                <w:r>
                  <w:rPr>
                    <w:kern w:val="2"/>
                    <w:sz w:val="20"/>
                    <w:szCs w:val="24"/>
                  </w:rPr>
                  <w:t>6,239,703.08</w:t>
                </w:r>
              </w:p>
            </w:tc>
            <w:tc>
              <w:tcPr>
                <w:tcW w:w="638" w:type="pct"/>
                <w:tcBorders>
                  <w:top w:val="single" w:color="auto" w:sz="4" w:space="0"/>
                  <w:left w:val="nil"/>
                  <w:bottom w:val="single" w:color="auto" w:sz="4" w:space="0"/>
                  <w:right w:val="single" w:color="auto" w:sz="4" w:space="0"/>
                </w:tcBorders>
                <w:vAlign w:val="center"/>
              </w:tcPr>
              <w:p w14:paraId="52ACAF64">
                <w:pPr>
                  <w:jc w:val="right"/>
                  <w:rPr>
                    <w:kern w:val="2"/>
                    <w:sz w:val="20"/>
                    <w:szCs w:val="24"/>
                  </w:rPr>
                </w:pPr>
                <w:r>
                  <w:rPr>
                    <w:kern w:val="2"/>
                    <w:sz w:val="20"/>
                    <w:szCs w:val="24"/>
                  </w:rPr>
                  <w:t>200.39</w:t>
                </w:r>
              </w:p>
            </w:tc>
            <w:tc>
              <w:tcPr>
                <w:tcW w:w="1665" w:type="pct"/>
                <w:tcBorders>
                  <w:top w:val="single" w:color="auto" w:sz="4" w:space="0"/>
                  <w:left w:val="nil"/>
                  <w:bottom w:val="single" w:color="auto" w:sz="4" w:space="0"/>
                  <w:right w:val="single" w:color="auto" w:sz="4" w:space="0"/>
                </w:tcBorders>
                <w:vAlign w:val="center"/>
              </w:tcPr>
              <w:p w14:paraId="64212831">
                <w:pPr>
                  <w:jc w:val="both"/>
                  <w:rPr>
                    <w:rFonts w:ascii="宋体" w:hAnsi="宋体" w:cs="宋体"/>
                    <w:kern w:val="2"/>
                    <w:sz w:val="20"/>
                    <w:szCs w:val="24"/>
                  </w:rPr>
                </w:pPr>
                <w:r>
                  <w:rPr>
                    <w:rFonts w:hint="eastAsia" w:ascii="宋体" w:hAnsi="宋体" w:cs="宋体"/>
                    <w:kern w:val="2"/>
                    <w:sz w:val="20"/>
                    <w:szCs w:val="24"/>
                  </w:rPr>
                  <w:t>主要系报告期银行借款利息支出较同期增加所致。</w:t>
                </w:r>
              </w:p>
            </w:tc>
          </w:tr>
          <w:tr w14:paraId="72F49658">
            <w:tblPrEx>
              <w:tblCellMar>
                <w:top w:w="57" w:type="dxa"/>
                <w:left w:w="108" w:type="dxa"/>
                <w:bottom w:w="57" w:type="dxa"/>
                <w:right w:w="108" w:type="dxa"/>
              </w:tblCellMar>
            </w:tblPrEx>
            <w:trPr>
              <w:trHeight w:val="454" w:hRule="atLeast"/>
            </w:trPr>
            <w:tc>
              <w:tcPr>
                <w:tcW w:w="793" w:type="pct"/>
                <w:tcBorders>
                  <w:top w:val="single" w:color="auto" w:sz="4" w:space="0"/>
                  <w:left w:val="single" w:color="auto" w:sz="4" w:space="0"/>
                  <w:bottom w:val="single" w:color="auto" w:sz="4" w:space="0"/>
                  <w:right w:val="single" w:color="auto" w:sz="4" w:space="0"/>
                </w:tcBorders>
                <w:vAlign w:val="center"/>
              </w:tcPr>
              <w:p w14:paraId="4E71797E">
                <w:pPr>
                  <w:rPr>
                    <w:rFonts w:ascii="宋体" w:hAnsi="宋体" w:cs="宋体"/>
                    <w:kern w:val="2"/>
                    <w:sz w:val="20"/>
                    <w:szCs w:val="24"/>
                  </w:rPr>
                </w:pPr>
                <w:r>
                  <w:rPr>
                    <w:sz w:val="20"/>
                    <w:szCs w:val="20"/>
                  </w:rPr>
                  <w:t>研发费用</w:t>
                </w:r>
              </w:p>
            </w:tc>
            <w:tc>
              <w:tcPr>
                <w:tcW w:w="952" w:type="pct"/>
                <w:tcBorders>
                  <w:top w:val="single" w:color="auto" w:sz="4" w:space="0"/>
                  <w:left w:val="nil"/>
                  <w:bottom w:val="single" w:color="auto" w:sz="4" w:space="0"/>
                  <w:right w:val="single" w:color="auto" w:sz="4" w:space="0"/>
                </w:tcBorders>
                <w:vAlign w:val="center"/>
              </w:tcPr>
              <w:p w14:paraId="15C67EAE">
                <w:pPr>
                  <w:jc w:val="right"/>
                  <w:rPr>
                    <w:sz w:val="20"/>
                    <w:szCs w:val="20"/>
                  </w:rPr>
                </w:pPr>
                <w:r>
                  <w:rPr>
                    <w:sz w:val="20"/>
                    <w:szCs w:val="20"/>
                  </w:rPr>
                  <w:t>167,122,024.63</w:t>
                </w:r>
              </w:p>
            </w:tc>
            <w:tc>
              <w:tcPr>
                <w:tcW w:w="952" w:type="pct"/>
                <w:tcBorders>
                  <w:top w:val="single" w:color="auto" w:sz="4" w:space="0"/>
                  <w:left w:val="single" w:color="auto" w:sz="4" w:space="0"/>
                  <w:bottom w:val="single" w:color="auto" w:sz="4" w:space="0"/>
                  <w:right w:val="single" w:color="auto" w:sz="4" w:space="0"/>
                </w:tcBorders>
                <w:vAlign w:val="center"/>
              </w:tcPr>
              <w:p w14:paraId="42EE89A7">
                <w:pPr>
                  <w:jc w:val="right"/>
                  <w:rPr>
                    <w:kern w:val="2"/>
                    <w:sz w:val="20"/>
                    <w:szCs w:val="24"/>
                  </w:rPr>
                </w:pPr>
                <w:r>
                  <w:rPr>
                    <w:sz w:val="20"/>
                    <w:szCs w:val="20"/>
                  </w:rPr>
                  <w:t>99,304,946.78</w:t>
                </w:r>
              </w:p>
            </w:tc>
            <w:tc>
              <w:tcPr>
                <w:tcW w:w="638" w:type="pct"/>
                <w:tcBorders>
                  <w:top w:val="single" w:color="auto" w:sz="4" w:space="0"/>
                  <w:left w:val="nil"/>
                  <w:bottom w:val="single" w:color="auto" w:sz="4" w:space="0"/>
                  <w:right w:val="single" w:color="auto" w:sz="4" w:space="0"/>
                </w:tcBorders>
                <w:vAlign w:val="center"/>
              </w:tcPr>
              <w:p w14:paraId="36BAABC4">
                <w:pPr>
                  <w:jc w:val="right"/>
                  <w:rPr>
                    <w:kern w:val="2"/>
                    <w:sz w:val="20"/>
                    <w:szCs w:val="24"/>
                  </w:rPr>
                </w:pPr>
                <w:r>
                  <w:rPr>
                    <w:kern w:val="2"/>
                    <w:sz w:val="20"/>
                    <w:szCs w:val="24"/>
                  </w:rPr>
                  <w:t>68.29</w:t>
                </w:r>
              </w:p>
            </w:tc>
            <w:tc>
              <w:tcPr>
                <w:tcW w:w="1665" w:type="pct"/>
                <w:tcBorders>
                  <w:top w:val="single" w:color="auto" w:sz="4" w:space="0"/>
                  <w:left w:val="nil"/>
                  <w:bottom w:val="single" w:color="auto" w:sz="4" w:space="0"/>
                  <w:right w:val="single" w:color="auto" w:sz="4" w:space="0"/>
                </w:tcBorders>
                <w:vAlign w:val="center"/>
              </w:tcPr>
              <w:p w14:paraId="1939D478">
                <w:pPr>
                  <w:jc w:val="both"/>
                  <w:rPr>
                    <w:rFonts w:ascii="宋体" w:hAnsi="宋体" w:cs="宋体"/>
                    <w:kern w:val="2"/>
                    <w:sz w:val="20"/>
                    <w:szCs w:val="24"/>
                  </w:rPr>
                </w:pPr>
                <w:r>
                  <w:rPr>
                    <w:rFonts w:hint="eastAsia" w:ascii="宋体" w:hAnsi="宋体" w:cs="宋体"/>
                    <w:kern w:val="2"/>
                    <w:sz w:val="20"/>
                    <w:szCs w:val="24"/>
                  </w:rPr>
                  <w:t>主要系报告期母公司及子公司上海隆棵药业有限公司费用化投入较同期增加所致。</w:t>
                </w:r>
              </w:p>
            </w:tc>
          </w:tr>
          <w:tr w14:paraId="7968A0F1">
            <w:tblPrEx>
              <w:tblCellMar>
                <w:top w:w="57" w:type="dxa"/>
                <w:left w:w="108" w:type="dxa"/>
                <w:bottom w:w="57" w:type="dxa"/>
                <w:right w:w="108" w:type="dxa"/>
              </w:tblCellMar>
            </w:tblPrEx>
            <w:trPr>
              <w:trHeight w:val="454" w:hRule="atLeast"/>
            </w:trPr>
            <w:tc>
              <w:tcPr>
                <w:tcW w:w="793" w:type="pct"/>
                <w:tcBorders>
                  <w:top w:val="single" w:color="auto" w:sz="4" w:space="0"/>
                  <w:left w:val="single" w:color="auto" w:sz="4" w:space="0"/>
                  <w:bottom w:val="single" w:color="auto" w:sz="4" w:space="0"/>
                  <w:right w:val="single" w:color="auto" w:sz="4" w:space="0"/>
                </w:tcBorders>
                <w:vAlign w:val="center"/>
              </w:tcPr>
              <w:p w14:paraId="1E28AF2A">
                <w:pPr>
                  <w:rPr>
                    <w:rFonts w:ascii="宋体" w:hAnsi="宋体" w:cs="宋体"/>
                    <w:kern w:val="2"/>
                    <w:sz w:val="20"/>
                    <w:szCs w:val="24"/>
                  </w:rPr>
                </w:pPr>
                <w:r>
                  <w:rPr>
                    <w:rFonts w:hint="eastAsia" w:ascii="宋体" w:hAnsi="宋体" w:cs="宋体"/>
                    <w:kern w:val="2"/>
                    <w:sz w:val="20"/>
                    <w:szCs w:val="24"/>
                  </w:rPr>
                  <w:t>所得税费用</w:t>
                </w:r>
              </w:p>
            </w:tc>
            <w:tc>
              <w:tcPr>
                <w:tcW w:w="952" w:type="pct"/>
                <w:tcBorders>
                  <w:top w:val="single" w:color="auto" w:sz="4" w:space="0"/>
                  <w:left w:val="nil"/>
                  <w:bottom w:val="single" w:color="auto" w:sz="4" w:space="0"/>
                  <w:right w:val="single" w:color="auto" w:sz="4" w:space="0"/>
                </w:tcBorders>
                <w:vAlign w:val="center"/>
              </w:tcPr>
              <w:p w14:paraId="5DB10236">
                <w:pPr>
                  <w:jc w:val="right"/>
                  <w:rPr>
                    <w:rFonts w:ascii="宋体" w:hAnsi="宋体" w:cs="宋体"/>
                    <w:kern w:val="2"/>
                    <w:sz w:val="20"/>
                    <w:szCs w:val="24"/>
                  </w:rPr>
                </w:pPr>
                <w:r>
                  <w:rPr>
                    <w:sz w:val="20"/>
                    <w:szCs w:val="20"/>
                  </w:rPr>
                  <w:t>280,054,707.54</w:t>
                </w:r>
              </w:p>
            </w:tc>
            <w:tc>
              <w:tcPr>
                <w:tcW w:w="952" w:type="pct"/>
                <w:tcBorders>
                  <w:top w:val="single" w:color="auto" w:sz="4" w:space="0"/>
                  <w:left w:val="single" w:color="auto" w:sz="4" w:space="0"/>
                  <w:bottom w:val="single" w:color="auto" w:sz="4" w:space="0"/>
                  <w:right w:val="single" w:color="auto" w:sz="4" w:space="0"/>
                </w:tcBorders>
                <w:vAlign w:val="center"/>
              </w:tcPr>
              <w:p w14:paraId="09588AB4">
                <w:pPr>
                  <w:jc w:val="right"/>
                  <w:rPr>
                    <w:kern w:val="2"/>
                    <w:sz w:val="20"/>
                    <w:szCs w:val="24"/>
                  </w:rPr>
                </w:pPr>
                <w:r>
                  <w:rPr>
                    <w:kern w:val="2"/>
                    <w:sz w:val="20"/>
                    <w:szCs w:val="24"/>
                  </w:rPr>
                  <w:t>-99,552,845.62</w:t>
                </w:r>
              </w:p>
            </w:tc>
            <w:tc>
              <w:tcPr>
                <w:tcW w:w="638" w:type="pct"/>
                <w:tcBorders>
                  <w:top w:val="single" w:color="auto" w:sz="4" w:space="0"/>
                  <w:left w:val="nil"/>
                  <w:bottom w:val="single" w:color="auto" w:sz="4" w:space="0"/>
                  <w:right w:val="single" w:color="auto" w:sz="4" w:space="0"/>
                </w:tcBorders>
                <w:vAlign w:val="center"/>
              </w:tcPr>
              <w:p w14:paraId="6AC8D352">
                <w:pPr>
                  <w:jc w:val="right"/>
                  <w:rPr>
                    <w:kern w:val="2"/>
                    <w:sz w:val="20"/>
                    <w:szCs w:val="24"/>
                  </w:rPr>
                </w:pPr>
                <w:r>
                  <w:rPr>
                    <w:kern w:val="2"/>
                    <w:sz w:val="20"/>
                    <w:szCs w:val="24"/>
                  </w:rPr>
                  <w:t>不适用</w:t>
                </w:r>
              </w:p>
            </w:tc>
            <w:tc>
              <w:tcPr>
                <w:tcW w:w="1665" w:type="pct"/>
                <w:tcBorders>
                  <w:top w:val="single" w:color="auto" w:sz="4" w:space="0"/>
                  <w:left w:val="nil"/>
                  <w:bottom w:val="single" w:color="auto" w:sz="4" w:space="0"/>
                  <w:right w:val="single" w:color="auto" w:sz="4" w:space="0"/>
                </w:tcBorders>
                <w:vAlign w:val="center"/>
              </w:tcPr>
              <w:p w14:paraId="0410E1AB">
                <w:pPr>
                  <w:jc w:val="both"/>
                  <w:rPr>
                    <w:rFonts w:ascii="宋体" w:hAnsi="宋体" w:cs="宋体"/>
                    <w:kern w:val="2"/>
                    <w:sz w:val="20"/>
                    <w:szCs w:val="24"/>
                    <w:highlight w:val="yellow"/>
                  </w:rPr>
                </w:pPr>
                <w:r>
                  <w:rPr>
                    <w:rFonts w:hint="eastAsia" w:ascii="宋体" w:hAnsi="宋体" w:cs="宋体"/>
                    <w:kern w:val="2"/>
                    <w:sz w:val="20"/>
                    <w:szCs w:val="24"/>
                  </w:rPr>
                  <w:t>主要系报告期营业收入增长及转让特宝生物股份导致利润总额增长，且上年同期亏损所致。</w:t>
                </w:r>
              </w:p>
            </w:tc>
          </w:tr>
        </w:tbl>
        <w:p w14:paraId="77FC4572"/>
        <w:p w14:paraId="326961DE">
          <w:pPr>
            <w:pStyle w:val="48"/>
          </w:pPr>
        </w:p>
      </w:sdtContent>
    </w:sdt>
    <w:p w14:paraId="317FA923">
      <w:pPr>
        <w:pStyle w:val="5"/>
        <w:numPr>
          <w:ilvl w:val="0"/>
          <w:numId w:val="9"/>
        </w:numPr>
      </w:pPr>
      <w:r>
        <w:rPr>
          <w:rFonts w:hint="eastAsia"/>
        </w:rPr>
        <w:t>研发投入</w:t>
      </w:r>
    </w:p>
    <w:p w14:paraId="565AC432">
      <w:pPr>
        <w:pStyle w:val="30"/>
        <w:numPr>
          <w:ilvl w:val="0"/>
          <w:numId w:val="11"/>
        </w:numPr>
        <w:spacing w:before="60" w:after="60"/>
        <w:ind w:firstLineChars="0"/>
        <w:rPr>
          <w:rStyle w:val="27"/>
          <w:szCs w:val="21"/>
        </w:rPr>
      </w:pPr>
      <w:r>
        <w:rPr>
          <w:rStyle w:val="27"/>
          <w:szCs w:val="21"/>
        </w:rPr>
        <w:t>研发</w:t>
      </w:r>
      <w:r>
        <w:rPr>
          <w:rStyle w:val="27"/>
          <w:rFonts w:hint="eastAsia"/>
          <w:szCs w:val="21"/>
        </w:rPr>
        <w:t>投入</w:t>
      </w:r>
      <w:r>
        <w:rPr>
          <w:rStyle w:val="27"/>
          <w:szCs w:val="21"/>
        </w:rPr>
        <w:t>情况表</w:t>
      </w:r>
    </w:p>
    <w:sdt>
      <w:sdtPr>
        <w:rPr>
          <w:rStyle w:val="27"/>
          <w:rFonts w:hint="eastAsia"/>
          <w:b w:val="0"/>
          <w:szCs w:val="21"/>
        </w:rPr>
        <w:alias w:val="是否适用：研发投入情况表[双击切换]"/>
        <w:tag w:val="_GBC_b745f9cad6de412690fcb0f363f3eadb"/>
        <w:id w:val="-534889605"/>
        <w:placeholder>
          <w:docPart w:val="GBC22222222222222222222222222222"/>
        </w:placeholder>
      </w:sdtPr>
      <w:sdtEndPr>
        <w:rPr>
          <w:rStyle w:val="27"/>
          <w:rFonts w:hint="eastAsia"/>
          <w:b w:val="0"/>
          <w:szCs w:val="21"/>
        </w:rPr>
      </w:sdtEndPr>
      <w:sdtContent>
        <w:p w14:paraId="15E08578">
          <w:pPr>
            <w:rPr>
              <w:rStyle w:val="27"/>
              <w:b w:val="0"/>
              <w:szCs w:val="21"/>
            </w:rPr>
          </w:pPr>
          <w:r>
            <w:rPr>
              <w:rStyle w:val="27"/>
              <w:rFonts w:ascii="宋体" w:hAnsi="宋体"/>
              <w:b w:val="0"/>
              <w:szCs w:val="21"/>
            </w:rPr>
            <w:fldChar w:fldCharType="begin"/>
          </w:r>
          <w:r>
            <w:rPr>
              <w:rStyle w:val="27"/>
              <w:rFonts w:ascii="宋体" w:hAnsi="宋体"/>
              <w:b w:val="0"/>
              <w:szCs w:val="21"/>
            </w:rPr>
            <w:instrText xml:space="preserve"> </w:instrText>
          </w:r>
          <w:r>
            <w:rPr>
              <w:rStyle w:val="27"/>
              <w:rFonts w:hint="eastAsia" w:ascii="宋体" w:hAnsi="宋体"/>
              <w:b w:val="0"/>
              <w:szCs w:val="21"/>
            </w:rPr>
            <w:instrText xml:space="preserve">MACROBUTTON  SnrToggleCheckbox √适用 </w:instrText>
          </w:r>
          <w:r>
            <w:rPr>
              <w:rStyle w:val="27"/>
              <w:rFonts w:ascii="宋体" w:hAnsi="宋体"/>
              <w:b w:val="0"/>
              <w:szCs w:val="21"/>
            </w:rPr>
            <w:instrText xml:space="preserve"> </w:instrText>
          </w:r>
          <w:r>
            <w:rPr>
              <w:rStyle w:val="27"/>
              <w:rFonts w:ascii="宋体" w:hAnsi="宋体"/>
              <w:b w:val="0"/>
              <w:szCs w:val="21"/>
            </w:rPr>
            <w:fldChar w:fldCharType="end"/>
          </w:r>
          <w:r>
            <w:rPr>
              <w:rStyle w:val="27"/>
              <w:rFonts w:ascii="宋体" w:hAnsi="宋体"/>
              <w:b w:val="0"/>
              <w:szCs w:val="21"/>
            </w:rPr>
            <w:fldChar w:fldCharType="begin"/>
          </w:r>
          <w:r>
            <w:rPr>
              <w:rStyle w:val="27"/>
              <w:rFonts w:ascii="宋体" w:hAnsi="宋体"/>
              <w:b w:val="0"/>
              <w:szCs w:val="21"/>
            </w:rPr>
            <w:instrText xml:space="preserve"> MACROBUTTON  SnrToggleCheckbox □不适用 </w:instrText>
          </w:r>
          <w:r>
            <w:rPr>
              <w:rStyle w:val="27"/>
              <w:rFonts w:ascii="宋体" w:hAnsi="宋体"/>
              <w:b w:val="0"/>
              <w:szCs w:val="21"/>
            </w:rPr>
            <w:fldChar w:fldCharType="end"/>
          </w:r>
        </w:p>
      </w:sdtContent>
    </w:sdt>
    <w:p w14:paraId="43EA0451">
      <w:pPr>
        <w:wordWrap w:val="0"/>
        <w:jc w:val="right"/>
        <w:rPr>
          <w:rStyle w:val="27"/>
          <w:b w:val="0"/>
          <w:szCs w:val="21"/>
        </w:rPr>
      </w:pPr>
      <w:r>
        <w:rPr>
          <w:rFonts w:hint="eastAsia"/>
        </w:rPr>
        <w:t>单位：</w:t>
      </w:r>
      <w:sdt>
        <w:sdtPr>
          <w:rPr>
            <w:rFonts w:hint="eastAsia"/>
          </w:rPr>
          <w:alias w:val="单位：研发投入"/>
          <w:tag w:val="_GBC_74cd81424a3c41dd9b3b9f335eae8c21"/>
          <w:id w:val="5152760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研发投入"/>
          <w:tag w:val="_GBC_14c25dd039ff47d0b183ae532ee32cd2"/>
          <w:id w:val="-14043673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20"/>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5"/>
        <w:gridCol w:w="5253"/>
      </w:tblGrid>
      <w:tr w14:paraId="4981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34e4faf6ae244cfbac1fd41757cfe96b"/>
            <w:id w:val="-316032324"/>
          </w:sdtPr>
          <w:sdtContent>
            <w:tc>
              <w:tcPr>
                <w:tcW w:w="3795" w:type="dxa"/>
                <w:vAlign w:val="center"/>
              </w:tcPr>
              <w:p w14:paraId="6EBB70B0">
                <w:pPr>
                  <w:widowControl w:val="0"/>
                  <w:jc w:val="both"/>
                  <w:rPr>
                    <w:rStyle w:val="27"/>
                    <w:b w:val="0"/>
                    <w:bCs w:val="0"/>
                    <w:szCs w:val="21"/>
                  </w:rPr>
                </w:pPr>
                <w:r>
                  <w:t>本期费用化研发</w:t>
                </w:r>
                <w:r>
                  <w:rPr>
                    <w:rFonts w:hint="eastAsia"/>
                  </w:rPr>
                  <w:t>投入</w:t>
                </w:r>
              </w:p>
            </w:tc>
          </w:sdtContent>
        </w:sdt>
        <w:tc>
          <w:tcPr>
            <w:tcW w:w="5253" w:type="dxa"/>
            <w:vAlign w:val="center"/>
          </w:tcPr>
          <w:p w14:paraId="63A8B06C">
            <w:pPr>
              <w:widowControl w:val="0"/>
              <w:jc w:val="right"/>
            </w:pPr>
            <w:r>
              <w:t>167,122,024.63</w:t>
            </w:r>
          </w:p>
        </w:tc>
      </w:tr>
      <w:tr w14:paraId="37BD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3795" w:type="dxa"/>
            <w:vAlign w:val="center"/>
          </w:tcPr>
          <w:p w14:paraId="44A855E8">
            <w:pPr>
              <w:widowControl w:val="0"/>
              <w:jc w:val="both"/>
              <w:rPr>
                <w:rStyle w:val="27"/>
                <w:szCs w:val="21"/>
              </w:rPr>
            </w:pPr>
            <w:r>
              <w:t>本期资本化研发</w:t>
            </w:r>
            <w:r>
              <w:rPr>
                <w:rFonts w:hint="eastAsia"/>
              </w:rPr>
              <w:t>投入</w:t>
            </w:r>
          </w:p>
        </w:tc>
        <w:tc>
          <w:tcPr>
            <w:tcW w:w="5253" w:type="dxa"/>
            <w:vAlign w:val="center"/>
          </w:tcPr>
          <w:p w14:paraId="5A8773D8">
            <w:pPr>
              <w:widowControl w:val="0"/>
              <w:jc w:val="right"/>
            </w:pPr>
            <w:r>
              <w:t>338,732,090.33</w:t>
            </w:r>
          </w:p>
        </w:tc>
      </w:tr>
      <w:tr w14:paraId="4BA4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3795" w:type="dxa"/>
            <w:vAlign w:val="center"/>
          </w:tcPr>
          <w:p w14:paraId="3AE803C9">
            <w:pPr>
              <w:widowControl w:val="0"/>
              <w:jc w:val="both"/>
              <w:rPr>
                <w:rStyle w:val="27"/>
                <w:szCs w:val="21"/>
              </w:rPr>
            </w:pPr>
            <w:r>
              <w:t>研发</w:t>
            </w:r>
            <w:r>
              <w:rPr>
                <w:rFonts w:hint="eastAsia"/>
              </w:rPr>
              <w:t>投入</w:t>
            </w:r>
            <w:r>
              <w:t>合计</w:t>
            </w:r>
          </w:p>
        </w:tc>
        <w:tc>
          <w:tcPr>
            <w:tcW w:w="5253" w:type="dxa"/>
            <w:vAlign w:val="center"/>
          </w:tcPr>
          <w:p w14:paraId="703A487B">
            <w:pPr>
              <w:widowControl w:val="0"/>
              <w:jc w:val="right"/>
            </w:pPr>
            <w:r>
              <w:t>505,854,114.96</w:t>
            </w:r>
          </w:p>
        </w:tc>
      </w:tr>
      <w:tr w14:paraId="4DEC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3795" w:type="dxa"/>
            <w:vAlign w:val="center"/>
          </w:tcPr>
          <w:p w14:paraId="2B1BC8E3">
            <w:pPr>
              <w:widowControl w:val="0"/>
              <w:jc w:val="both"/>
              <w:rPr>
                <w:rStyle w:val="27"/>
                <w:szCs w:val="21"/>
              </w:rPr>
            </w:pPr>
            <w:r>
              <w:t>研发</w:t>
            </w:r>
            <w:r>
              <w:rPr>
                <w:rFonts w:hint="eastAsia"/>
              </w:rPr>
              <w:t>投入</w:t>
            </w:r>
            <w:r>
              <w:t>总额占营业收入比例（%）</w:t>
            </w:r>
          </w:p>
        </w:tc>
        <w:tc>
          <w:tcPr>
            <w:tcW w:w="5253" w:type="dxa"/>
            <w:vAlign w:val="center"/>
          </w:tcPr>
          <w:p w14:paraId="2C70A761">
            <w:pPr>
              <w:widowControl w:val="0"/>
              <w:jc w:val="right"/>
            </w:pPr>
            <w:r>
              <w:rPr>
                <w:rFonts w:hint="eastAsia"/>
              </w:rPr>
              <w:t>1</w:t>
            </w:r>
            <w:r>
              <w:t>7.16</w:t>
            </w:r>
          </w:p>
        </w:tc>
      </w:tr>
      <w:tr w14:paraId="0B84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3795" w:type="dxa"/>
            <w:vAlign w:val="center"/>
          </w:tcPr>
          <w:p w14:paraId="0137C207">
            <w:pPr>
              <w:pStyle w:val="48"/>
            </w:pPr>
            <w:r>
              <w:rPr>
                <w:rFonts w:hint="eastAsia"/>
              </w:rPr>
              <w:t>研发投入资本化的比重</w:t>
            </w:r>
            <w:r>
              <w:t>（%）</w:t>
            </w:r>
          </w:p>
        </w:tc>
        <w:tc>
          <w:tcPr>
            <w:tcW w:w="5253" w:type="dxa"/>
            <w:vAlign w:val="center"/>
          </w:tcPr>
          <w:p w14:paraId="2A739A73">
            <w:pPr>
              <w:widowControl w:val="0"/>
              <w:jc w:val="right"/>
              <w:rPr>
                <w:bCs/>
              </w:rPr>
            </w:pPr>
            <w:r>
              <w:rPr>
                <w:rFonts w:hint="eastAsia"/>
                <w:bCs/>
              </w:rPr>
              <w:t>6</w:t>
            </w:r>
            <w:r>
              <w:rPr>
                <w:bCs/>
              </w:rPr>
              <w:t>6.96</w:t>
            </w:r>
          </w:p>
        </w:tc>
      </w:tr>
    </w:tbl>
    <w:p w14:paraId="39DD95DD">
      <w:pPr>
        <w:pStyle w:val="48"/>
      </w:pPr>
    </w:p>
    <w:p w14:paraId="5BF52F1A">
      <w:pPr>
        <w:pStyle w:val="30"/>
        <w:numPr>
          <w:ilvl w:val="0"/>
          <w:numId w:val="11"/>
        </w:numPr>
        <w:spacing w:before="60" w:after="60"/>
        <w:ind w:firstLineChars="0"/>
        <w:rPr>
          <w:rStyle w:val="27"/>
          <w:szCs w:val="21"/>
        </w:rPr>
      </w:pPr>
      <w:bookmarkStart w:id="64" w:name="_Hlk89876622"/>
      <w:r>
        <w:rPr>
          <w:rStyle w:val="27"/>
          <w:szCs w:val="21"/>
        </w:rPr>
        <w:t>研发人员情况表</w:t>
      </w:r>
    </w:p>
    <w:sdt>
      <w:sdtPr>
        <w:rPr>
          <w:rFonts w:hint="eastAsia"/>
        </w:rPr>
        <w:alias w:val="是否适用：研发人员情况[双击切换]"/>
        <w:tag w:val="_GBC_ef3f376f125b4e219be789ed3078c140"/>
        <w:id w:val="-2060160094"/>
        <w:placeholder>
          <w:docPart w:val="GBC22222222222222222222222222222"/>
        </w:placeholder>
      </w:sdtPr>
      <w:sdtEndPr>
        <w:rPr>
          <w:rFonts w:hint="eastAsia"/>
        </w:rPr>
      </w:sdtEndPr>
      <w:sdtContent>
        <w:p w14:paraId="308BAF93">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0369662">
      <w:pPr>
        <w:pStyle w:val="48"/>
      </w:pPr>
    </w:p>
    <w:tbl>
      <w:tblPr>
        <w:tblStyle w:val="57"/>
        <w:tblW w:w="9049" w:type="dxa"/>
        <w:jc w:val="center"/>
        <w:tblLayout w:type="fixed"/>
        <w:tblCellMar>
          <w:top w:w="0" w:type="dxa"/>
          <w:left w:w="108" w:type="dxa"/>
          <w:bottom w:w="0" w:type="dxa"/>
          <w:right w:w="108" w:type="dxa"/>
        </w:tblCellMar>
      </w:tblPr>
      <w:tblGrid>
        <w:gridCol w:w="5744"/>
        <w:gridCol w:w="3305"/>
      </w:tblGrid>
      <w:tr w14:paraId="0ACA20CC">
        <w:tblPrEx>
          <w:tblCellMar>
            <w:top w:w="0" w:type="dxa"/>
            <w:left w:w="108" w:type="dxa"/>
            <w:bottom w:w="0" w:type="dxa"/>
            <w:right w:w="108" w:type="dxa"/>
          </w:tblCellMar>
        </w:tblPrEx>
        <w:trPr>
          <w:trHeight w:val="270" w:hRule="atLeast"/>
          <w:jc w:val="center"/>
        </w:trPr>
        <w:sdt>
          <w:sdtPr>
            <w:tag w:val="_PLD_13cec8f1a3504661b1b570efe7519fa3"/>
            <w:id w:val="1659488982"/>
          </w:sdtPr>
          <w:sdtContent>
            <w:tc>
              <w:tcPr>
                <w:tcW w:w="5744" w:type="dxa"/>
                <w:tcBorders>
                  <w:top w:val="single" w:color="auto" w:sz="4" w:space="0"/>
                  <w:left w:val="single" w:color="auto" w:sz="4" w:space="0"/>
                  <w:bottom w:val="single" w:color="auto" w:sz="4" w:space="0"/>
                  <w:right w:val="single" w:color="auto" w:sz="4" w:space="0"/>
                </w:tcBorders>
                <w:vAlign w:val="center"/>
              </w:tcPr>
              <w:p w14:paraId="25D0CDD6">
                <w:pPr>
                  <w:pStyle w:val="48"/>
                  <w:rPr>
                    <w:sz w:val="20"/>
                    <w:szCs w:val="20"/>
                  </w:rPr>
                </w:pPr>
                <w:r>
                  <w:rPr>
                    <w:rFonts w:hint="eastAsia"/>
                    <w:sz w:val="20"/>
                    <w:szCs w:val="20"/>
                  </w:rPr>
                  <w:t>公司研发人员的数量</w:t>
                </w:r>
              </w:p>
            </w:tc>
          </w:sdtContent>
        </w:sdt>
        <w:sdt>
          <w:sdtPr>
            <w:rPr>
              <w:rFonts w:hint="eastAsia" w:ascii="Calibri" w:hAnsi="Calibri"/>
              <w:sz w:val="20"/>
              <w:szCs w:val="20"/>
            </w:rPr>
            <w:alias w:val="公司研发人员的数量"/>
            <w:tag w:val="_GBC_a84a5cadb95b4b7595981b8f24d727c8"/>
            <w:id w:val="-326441164"/>
          </w:sdtPr>
          <w:sdtEndPr>
            <w:rPr>
              <w:rFonts w:hint="eastAsia" w:ascii="Calibri" w:hAnsi="Calibri"/>
              <w:sz w:val="20"/>
              <w:szCs w:val="20"/>
            </w:rPr>
          </w:sdtEndPr>
          <w:sdtContent>
            <w:tc>
              <w:tcPr>
                <w:tcW w:w="3305" w:type="dxa"/>
                <w:tcBorders>
                  <w:top w:val="single" w:color="auto" w:sz="4" w:space="0"/>
                  <w:left w:val="nil"/>
                  <w:bottom w:val="single" w:color="auto" w:sz="4" w:space="0"/>
                  <w:right w:val="single" w:color="auto" w:sz="4" w:space="0"/>
                </w:tcBorders>
                <w:vAlign w:val="center"/>
              </w:tcPr>
              <w:p w14:paraId="214BDEA3">
                <w:pPr>
                  <w:jc w:val="right"/>
                  <w:rPr>
                    <w:rFonts w:ascii="Calibri" w:hAnsi="Calibri"/>
                    <w:sz w:val="20"/>
                    <w:szCs w:val="20"/>
                  </w:rPr>
                </w:pPr>
                <w:r>
                  <w:rPr>
                    <w:rFonts w:ascii="Calibri" w:hAnsi="Calibri"/>
                    <w:sz w:val="20"/>
                    <w:szCs w:val="20"/>
                  </w:rPr>
                  <w:t>384</w:t>
                </w:r>
              </w:p>
            </w:tc>
          </w:sdtContent>
        </w:sdt>
      </w:tr>
      <w:tr w14:paraId="4062CCEB">
        <w:tblPrEx>
          <w:tblCellMar>
            <w:top w:w="0" w:type="dxa"/>
            <w:left w:w="108" w:type="dxa"/>
            <w:bottom w:w="0" w:type="dxa"/>
            <w:right w:w="108" w:type="dxa"/>
          </w:tblCellMar>
        </w:tblPrEx>
        <w:trPr>
          <w:trHeight w:val="270" w:hRule="atLeast"/>
          <w:jc w:val="center"/>
        </w:trPr>
        <w:tc>
          <w:tcPr>
            <w:tcW w:w="5744" w:type="dxa"/>
            <w:tcBorders>
              <w:top w:val="nil"/>
              <w:left w:val="single" w:color="auto" w:sz="4" w:space="0"/>
              <w:bottom w:val="single" w:color="auto" w:sz="4" w:space="0"/>
              <w:right w:val="single" w:color="auto" w:sz="4" w:space="0"/>
            </w:tcBorders>
            <w:vAlign w:val="center"/>
          </w:tcPr>
          <w:p w14:paraId="3E3BBF6C">
            <w:pPr>
              <w:pStyle w:val="48"/>
              <w:rPr>
                <w:sz w:val="20"/>
                <w:szCs w:val="20"/>
              </w:rPr>
            </w:pPr>
            <w:r>
              <w:rPr>
                <w:rFonts w:hint="eastAsia"/>
                <w:sz w:val="20"/>
                <w:szCs w:val="20"/>
              </w:rPr>
              <w:t>研发人员数量占公司总人数的比例（%）</w:t>
            </w:r>
          </w:p>
        </w:tc>
        <w:tc>
          <w:tcPr>
            <w:tcW w:w="3305" w:type="dxa"/>
            <w:tcBorders>
              <w:top w:val="nil"/>
              <w:left w:val="nil"/>
              <w:bottom w:val="single" w:color="auto" w:sz="4" w:space="0"/>
              <w:right w:val="single" w:color="auto" w:sz="4" w:space="0"/>
            </w:tcBorders>
            <w:vAlign w:val="center"/>
          </w:tcPr>
          <w:p w14:paraId="1EC08032">
            <w:pPr>
              <w:jc w:val="right"/>
              <w:rPr>
                <w:rFonts w:ascii="Calibri" w:hAnsi="Calibri"/>
                <w:sz w:val="20"/>
                <w:szCs w:val="20"/>
              </w:rPr>
            </w:pPr>
            <w:r>
              <w:rPr>
                <w:rFonts w:hint="eastAsia" w:ascii="Calibri" w:hAnsi="Calibri"/>
                <w:sz w:val="20"/>
                <w:szCs w:val="20"/>
              </w:rPr>
              <w:t>1</w:t>
            </w:r>
            <w:r>
              <w:rPr>
                <w:rFonts w:ascii="Calibri" w:hAnsi="Calibri"/>
                <w:sz w:val="20"/>
                <w:szCs w:val="20"/>
              </w:rPr>
              <w:t>1.45</w:t>
            </w:r>
          </w:p>
        </w:tc>
      </w:tr>
      <w:tr w14:paraId="011D0508">
        <w:tblPrEx>
          <w:tblCellMar>
            <w:top w:w="0" w:type="dxa"/>
            <w:left w:w="108" w:type="dxa"/>
            <w:bottom w:w="0" w:type="dxa"/>
            <w:right w:w="108" w:type="dxa"/>
          </w:tblCellMar>
        </w:tblPrEx>
        <w:trPr>
          <w:trHeight w:val="270" w:hRule="atLeast"/>
          <w:jc w:val="center"/>
        </w:trPr>
        <w:sdt>
          <w:sdtPr>
            <w:tag w:val="_PLD_b048dc379aae455a86f744476f1bb4a1"/>
            <w:id w:val="718873570"/>
          </w:sdtPr>
          <w:sdtContent>
            <w:tc>
              <w:tcPr>
                <w:tcW w:w="9049" w:type="dxa"/>
                <w:gridSpan w:val="2"/>
                <w:tcBorders>
                  <w:top w:val="single" w:color="auto" w:sz="4" w:space="0"/>
                  <w:left w:val="single" w:color="auto" w:sz="4" w:space="0"/>
                  <w:bottom w:val="single" w:color="auto" w:sz="4" w:space="0"/>
                  <w:right w:val="single" w:color="auto" w:sz="4" w:space="0"/>
                </w:tcBorders>
                <w:vAlign w:val="center"/>
              </w:tcPr>
              <w:p w14:paraId="4577FFA1">
                <w:pPr>
                  <w:jc w:val="center"/>
                  <w:rPr>
                    <w:rFonts w:ascii="Calibri" w:hAnsi="Calibri"/>
                    <w:sz w:val="20"/>
                    <w:szCs w:val="20"/>
                  </w:rPr>
                </w:pPr>
                <w:r>
                  <w:rPr>
                    <w:rFonts w:hint="eastAsia" w:ascii="Calibri" w:hAnsi="Calibri"/>
                    <w:sz w:val="20"/>
                    <w:szCs w:val="20"/>
                  </w:rPr>
                  <w:t>研发人员学历结构</w:t>
                </w:r>
              </w:p>
            </w:tc>
          </w:sdtContent>
        </w:sdt>
      </w:tr>
      <w:tr w14:paraId="046409F1">
        <w:tblPrEx>
          <w:tblCellMar>
            <w:top w:w="0" w:type="dxa"/>
            <w:left w:w="108" w:type="dxa"/>
            <w:bottom w:w="0" w:type="dxa"/>
            <w:right w:w="108" w:type="dxa"/>
          </w:tblCellMar>
        </w:tblPrEx>
        <w:trPr>
          <w:trHeight w:val="270" w:hRule="atLeast"/>
          <w:jc w:val="center"/>
        </w:trPr>
        <w:sdt>
          <w:sdtPr>
            <w:tag w:val="_PLD_f770501e43654648a563d2a86970204f"/>
            <w:id w:val="-252983092"/>
          </w:sdtPr>
          <w:sdtContent>
            <w:tc>
              <w:tcPr>
                <w:tcW w:w="5744" w:type="dxa"/>
                <w:tcBorders>
                  <w:top w:val="nil"/>
                  <w:left w:val="single" w:color="auto" w:sz="4" w:space="0"/>
                  <w:bottom w:val="single" w:color="auto" w:sz="4" w:space="0"/>
                  <w:right w:val="single" w:color="auto" w:sz="4" w:space="0"/>
                </w:tcBorders>
                <w:vAlign w:val="center"/>
              </w:tcPr>
              <w:p w14:paraId="2D30C8D1">
                <w:pPr>
                  <w:pStyle w:val="48"/>
                  <w:rPr>
                    <w:sz w:val="20"/>
                    <w:szCs w:val="20"/>
                  </w:rPr>
                </w:pPr>
                <w:r>
                  <w:rPr>
                    <w:rFonts w:hint="eastAsia"/>
                    <w:sz w:val="20"/>
                    <w:szCs w:val="20"/>
                  </w:rPr>
                  <w:t>学历结构类别</w:t>
                </w:r>
              </w:p>
            </w:tc>
          </w:sdtContent>
        </w:sdt>
        <w:tc>
          <w:tcPr>
            <w:tcW w:w="3305" w:type="dxa"/>
            <w:tcBorders>
              <w:top w:val="nil"/>
              <w:left w:val="nil"/>
              <w:bottom w:val="single" w:color="auto" w:sz="4" w:space="0"/>
              <w:right w:val="single" w:color="auto" w:sz="4" w:space="0"/>
            </w:tcBorders>
            <w:noWrap/>
            <w:vAlign w:val="center"/>
          </w:tcPr>
          <w:p w14:paraId="73BC4EC0">
            <w:pPr>
              <w:jc w:val="center"/>
              <w:rPr>
                <w:rFonts w:ascii="Calibri" w:hAnsi="Calibri"/>
                <w:sz w:val="20"/>
                <w:szCs w:val="20"/>
              </w:rPr>
            </w:pPr>
            <w:r>
              <w:rPr>
                <w:rFonts w:hint="eastAsia" w:ascii="Calibri" w:hAnsi="Calibri"/>
                <w:sz w:val="20"/>
                <w:szCs w:val="20"/>
              </w:rPr>
              <w:t>学历结构人数</w:t>
            </w:r>
          </w:p>
        </w:tc>
      </w:tr>
      <w:tr w14:paraId="3621FF84">
        <w:tblPrEx>
          <w:tblCellMar>
            <w:top w:w="0" w:type="dxa"/>
            <w:left w:w="108" w:type="dxa"/>
            <w:bottom w:w="0" w:type="dxa"/>
            <w:right w:w="108" w:type="dxa"/>
          </w:tblCellMar>
        </w:tblPrEx>
        <w:trPr>
          <w:trHeight w:val="270" w:hRule="atLeast"/>
          <w:jc w:val="center"/>
        </w:trPr>
        <w:tc>
          <w:tcPr>
            <w:tcW w:w="5744" w:type="dxa"/>
            <w:tcBorders>
              <w:top w:val="nil"/>
              <w:left w:val="single" w:color="auto" w:sz="4" w:space="0"/>
              <w:bottom w:val="single" w:color="auto" w:sz="4" w:space="0"/>
              <w:right w:val="single" w:color="auto" w:sz="4" w:space="0"/>
            </w:tcBorders>
            <w:vAlign w:val="center"/>
          </w:tcPr>
          <w:p w14:paraId="4CC7D4EB">
            <w:pPr>
              <w:pStyle w:val="48"/>
              <w:rPr>
                <w:sz w:val="20"/>
                <w:szCs w:val="20"/>
              </w:rPr>
            </w:pPr>
            <w:r>
              <w:rPr>
                <w:rFonts w:hint="eastAsia"/>
                <w:sz w:val="20"/>
                <w:szCs w:val="20"/>
              </w:rPr>
              <w:t>博士研究生</w:t>
            </w:r>
          </w:p>
        </w:tc>
        <w:tc>
          <w:tcPr>
            <w:tcW w:w="3305" w:type="dxa"/>
            <w:tcBorders>
              <w:top w:val="nil"/>
              <w:left w:val="nil"/>
              <w:bottom w:val="single" w:color="auto" w:sz="4" w:space="0"/>
              <w:right w:val="single" w:color="auto" w:sz="4" w:space="0"/>
            </w:tcBorders>
            <w:noWrap/>
            <w:vAlign w:val="center"/>
          </w:tcPr>
          <w:p w14:paraId="65668D1D">
            <w:pPr>
              <w:jc w:val="right"/>
              <w:rPr>
                <w:rFonts w:ascii="Calibri" w:hAnsi="Calibri"/>
                <w:sz w:val="20"/>
                <w:szCs w:val="20"/>
              </w:rPr>
            </w:pPr>
            <w:r>
              <w:rPr>
                <w:rFonts w:hint="eastAsia" w:ascii="Calibri" w:hAnsi="Calibri"/>
                <w:sz w:val="20"/>
                <w:szCs w:val="20"/>
              </w:rPr>
              <w:t>4</w:t>
            </w:r>
          </w:p>
        </w:tc>
      </w:tr>
      <w:tr w14:paraId="3881EF2B">
        <w:tblPrEx>
          <w:tblCellMar>
            <w:top w:w="0" w:type="dxa"/>
            <w:left w:w="108" w:type="dxa"/>
            <w:bottom w:w="0" w:type="dxa"/>
            <w:right w:w="108" w:type="dxa"/>
          </w:tblCellMar>
        </w:tblPrEx>
        <w:trPr>
          <w:trHeight w:val="270" w:hRule="atLeast"/>
          <w:jc w:val="center"/>
        </w:trPr>
        <w:tc>
          <w:tcPr>
            <w:tcW w:w="5744" w:type="dxa"/>
            <w:tcBorders>
              <w:top w:val="nil"/>
              <w:left w:val="single" w:color="auto" w:sz="4" w:space="0"/>
              <w:bottom w:val="single" w:color="auto" w:sz="4" w:space="0"/>
              <w:right w:val="single" w:color="auto" w:sz="4" w:space="0"/>
            </w:tcBorders>
            <w:vAlign w:val="center"/>
          </w:tcPr>
          <w:p w14:paraId="570358E9">
            <w:pPr>
              <w:pStyle w:val="48"/>
              <w:rPr>
                <w:sz w:val="20"/>
                <w:szCs w:val="20"/>
              </w:rPr>
            </w:pPr>
            <w:r>
              <w:rPr>
                <w:rFonts w:hint="eastAsia"/>
                <w:sz w:val="20"/>
                <w:szCs w:val="20"/>
              </w:rPr>
              <w:t>硕士研究生</w:t>
            </w:r>
          </w:p>
        </w:tc>
        <w:tc>
          <w:tcPr>
            <w:tcW w:w="3305" w:type="dxa"/>
            <w:tcBorders>
              <w:top w:val="nil"/>
              <w:left w:val="nil"/>
              <w:bottom w:val="single" w:color="auto" w:sz="4" w:space="0"/>
              <w:right w:val="single" w:color="auto" w:sz="4" w:space="0"/>
            </w:tcBorders>
            <w:noWrap/>
            <w:vAlign w:val="center"/>
          </w:tcPr>
          <w:p w14:paraId="6F1436E7">
            <w:pPr>
              <w:jc w:val="right"/>
              <w:rPr>
                <w:rFonts w:ascii="Calibri" w:hAnsi="Calibri"/>
                <w:sz w:val="20"/>
                <w:szCs w:val="20"/>
              </w:rPr>
            </w:pPr>
            <w:r>
              <w:rPr>
                <w:rFonts w:hint="eastAsia" w:ascii="Calibri" w:hAnsi="Calibri"/>
                <w:sz w:val="20"/>
                <w:szCs w:val="20"/>
              </w:rPr>
              <w:t>5</w:t>
            </w:r>
            <w:r>
              <w:rPr>
                <w:rFonts w:ascii="Calibri" w:hAnsi="Calibri"/>
                <w:sz w:val="20"/>
                <w:szCs w:val="20"/>
              </w:rPr>
              <w:t>0</w:t>
            </w:r>
          </w:p>
        </w:tc>
      </w:tr>
      <w:tr w14:paraId="7E259F73">
        <w:tblPrEx>
          <w:tblCellMar>
            <w:top w:w="0" w:type="dxa"/>
            <w:left w:w="108" w:type="dxa"/>
            <w:bottom w:w="0" w:type="dxa"/>
            <w:right w:w="108" w:type="dxa"/>
          </w:tblCellMar>
        </w:tblPrEx>
        <w:trPr>
          <w:trHeight w:val="270" w:hRule="atLeast"/>
          <w:jc w:val="center"/>
        </w:trPr>
        <w:tc>
          <w:tcPr>
            <w:tcW w:w="5744" w:type="dxa"/>
            <w:tcBorders>
              <w:top w:val="nil"/>
              <w:left w:val="single" w:color="auto" w:sz="4" w:space="0"/>
              <w:bottom w:val="single" w:color="auto" w:sz="4" w:space="0"/>
              <w:right w:val="single" w:color="auto" w:sz="4" w:space="0"/>
            </w:tcBorders>
            <w:vAlign w:val="center"/>
          </w:tcPr>
          <w:p w14:paraId="20BA0E82">
            <w:pPr>
              <w:pStyle w:val="48"/>
              <w:rPr>
                <w:sz w:val="20"/>
                <w:szCs w:val="20"/>
              </w:rPr>
            </w:pPr>
            <w:r>
              <w:rPr>
                <w:rFonts w:hint="eastAsia"/>
                <w:sz w:val="20"/>
                <w:szCs w:val="20"/>
              </w:rPr>
              <w:t>本科</w:t>
            </w:r>
          </w:p>
        </w:tc>
        <w:tc>
          <w:tcPr>
            <w:tcW w:w="3305" w:type="dxa"/>
            <w:tcBorders>
              <w:top w:val="nil"/>
              <w:left w:val="nil"/>
              <w:bottom w:val="single" w:color="auto" w:sz="4" w:space="0"/>
              <w:right w:val="single" w:color="auto" w:sz="4" w:space="0"/>
            </w:tcBorders>
            <w:noWrap/>
            <w:vAlign w:val="center"/>
          </w:tcPr>
          <w:p w14:paraId="74BF8447">
            <w:pPr>
              <w:jc w:val="right"/>
              <w:rPr>
                <w:rFonts w:ascii="Calibri" w:hAnsi="Calibri"/>
                <w:sz w:val="20"/>
                <w:szCs w:val="20"/>
              </w:rPr>
            </w:pPr>
            <w:r>
              <w:rPr>
                <w:rFonts w:hint="eastAsia" w:ascii="Calibri" w:hAnsi="Calibri"/>
                <w:sz w:val="20"/>
                <w:szCs w:val="20"/>
              </w:rPr>
              <w:t>2</w:t>
            </w:r>
            <w:r>
              <w:rPr>
                <w:rFonts w:ascii="Calibri" w:hAnsi="Calibri"/>
                <w:sz w:val="20"/>
                <w:szCs w:val="20"/>
              </w:rPr>
              <w:t>54</w:t>
            </w:r>
          </w:p>
        </w:tc>
      </w:tr>
      <w:tr w14:paraId="0AF79EED">
        <w:tblPrEx>
          <w:tblCellMar>
            <w:top w:w="0" w:type="dxa"/>
            <w:left w:w="108" w:type="dxa"/>
            <w:bottom w:w="0" w:type="dxa"/>
            <w:right w:w="108" w:type="dxa"/>
          </w:tblCellMar>
        </w:tblPrEx>
        <w:trPr>
          <w:trHeight w:val="270" w:hRule="atLeast"/>
          <w:jc w:val="center"/>
        </w:trPr>
        <w:tc>
          <w:tcPr>
            <w:tcW w:w="5744" w:type="dxa"/>
            <w:tcBorders>
              <w:top w:val="nil"/>
              <w:left w:val="single" w:color="auto" w:sz="4" w:space="0"/>
              <w:bottom w:val="single" w:color="auto" w:sz="4" w:space="0"/>
              <w:right w:val="single" w:color="auto" w:sz="4" w:space="0"/>
            </w:tcBorders>
            <w:vAlign w:val="center"/>
          </w:tcPr>
          <w:p w14:paraId="156A80C0">
            <w:pPr>
              <w:pStyle w:val="48"/>
              <w:rPr>
                <w:sz w:val="20"/>
                <w:szCs w:val="20"/>
              </w:rPr>
            </w:pPr>
            <w:r>
              <w:rPr>
                <w:rFonts w:hint="eastAsia"/>
                <w:sz w:val="20"/>
                <w:szCs w:val="20"/>
              </w:rPr>
              <w:t>专科</w:t>
            </w:r>
          </w:p>
        </w:tc>
        <w:tc>
          <w:tcPr>
            <w:tcW w:w="3305" w:type="dxa"/>
            <w:tcBorders>
              <w:top w:val="nil"/>
              <w:left w:val="nil"/>
              <w:bottom w:val="single" w:color="auto" w:sz="4" w:space="0"/>
              <w:right w:val="single" w:color="auto" w:sz="4" w:space="0"/>
            </w:tcBorders>
            <w:noWrap/>
            <w:vAlign w:val="center"/>
          </w:tcPr>
          <w:p w14:paraId="053DFF44">
            <w:pPr>
              <w:jc w:val="right"/>
              <w:rPr>
                <w:rFonts w:ascii="Calibri" w:hAnsi="Calibri"/>
                <w:sz w:val="20"/>
                <w:szCs w:val="20"/>
              </w:rPr>
            </w:pPr>
            <w:r>
              <w:rPr>
                <w:rFonts w:hint="eastAsia" w:ascii="Calibri" w:hAnsi="Calibri"/>
                <w:sz w:val="20"/>
                <w:szCs w:val="20"/>
              </w:rPr>
              <w:t>7</w:t>
            </w:r>
            <w:r>
              <w:rPr>
                <w:rFonts w:ascii="Calibri" w:hAnsi="Calibri"/>
                <w:sz w:val="20"/>
                <w:szCs w:val="20"/>
              </w:rPr>
              <w:t>6</w:t>
            </w:r>
          </w:p>
        </w:tc>
      </w:tr>
      <w:tr w14:paraId="7EF82B3E">
        <w:tblPrEx>
          <w:tblCellMar>
            <w:top w:w="0" w:type="dxa"/>
            <w:left w:w="108" w:type="dxa"/>
            <w:bottom w:w="0" w:type="dxa"/>
            <w:right w:w="108" w:type="dxa"/>
          </w:tblCellMar>
        </w:tblPrEx>
        <w:trPr>
          <w:trHeight w:val="270" w:hRule="atLeast"/>
          <w:jc w:val="center"/>
        </w:trPr>
        <w:tc>
          <w:tcPr>
            <w:tcW w:w="5744" w:type="dxa"/>
            <w:tcBorders>
              <w:top w:val="nil"/>
              <w:left w:val="single" w:color="auto" w:sz="4" w:space="0"/>
              <w:bottom w:val="single" w:color="auto" w:sz="4" w:space="0"/>
              <w:right w:val="single" w:color="auto" w:sz="4" w:space="0"/>
            </w:tcBorders>
            <w:vAlign w:val="center"/>
          </w:tcPr>
          <w:p w14:paraId="154220BE">
            <w:pPr>
              <w:pStyle w:val="48"/>
              <w:rPr>
                <w:sz w:val="20"/>
                <w:szCs w:val="20"/>
              </w:rPr>
            </w:pPr>
            <w:r>
              <w:rPr>
                <w:rFonts w:hint="eastAsia"/>
                <w:sz w:val="20"/>
                <w:szCs w:val="20"/>
              </w:rPr>
              <w:t>高中及以下</w:t>
            </w:r>
          </w:p>
        </w:tc>
        <w:tc>
          <w:tcPr>
            <w:tcW w:w="3305" w:type="dxa"/>
            <w:tcBorders>
              <w:top w:val="nil"/>
              <w:left w:val="nil"/>
              <w:bottom w:val="single" w:color="auto" w:sz="4" w:space="0"/>
              <w:right w:val="single" w:color="auto" w:sz="4" w:space="0"/>
            </w:tcBorders>
            <w:noWrap/>
            <w:vAlign w:val="center"/>
          </w:tcPr>
          <w:p w14:paraId="7B829FFC">
            <w:pPr>
              <w:jc w:val="right"/>
              <w:rPr>
                <w:rFonts w:ascii="Calibri" w:hAnsi="Calibri"/>
                <w:sz w:val="20"/>
                <w:szCs w:val="20"/>
              </w:rPr>
            </w:pPr>
            <w:r>
              <w:rPr>
                <w:rFonts w:hint="eastAsia" w:ascii="Calibri" w:hAnsi="Calibri"/>
                <w:sz w:val="20"/>
                <w:szCs w:val="20"/>
              </w:rPr>
              <w:t>0</w:t>
            </w:r>
          </w:p>
        </w:tc>
      </w:tr>
      <w:tr w14:paraId="4FD90245">
        <w:tblPrEx>
          <w:tblCellMar>
            <w:top w:w="0" w:type="dxa"/>
            <w:left w:w="108" w:type="dxa"/>
            <w:bottom w:w="0" w:type="dxa"/>
            <w:right w:w="108" w:type="dxa"/>
          </w:tblCellMar>
        </w:tblPrEx>
        <w:trPr>
          <w:trHeight w:val="270" w:hRule="atLeast"/>
          <w:jc w:val="center"/>
        </w:trPr>
        <w:sdt>
          <w:sdtPr>
            <w:tag w:val="_PLD_10352dc928264c50aa8776e0ae8ec569"/>
            <w:id w:val="-1420246889"/>
          </w:sdtPr>
          <w:sdtContent>
            <w:tc>
              <w:tcPr>
                <w:tcW w:w="9049" w:type="dxa"/>
                <w:gridSpan w:val="2"/>
                <w:tcBorders>
                  <w:top w:val="nil"/>
                  <w:left w:val="single" w:color="auto" w:sz="4" w:space="0"/>
                  <w:bottom w:val="single" w:color="auto" w:sz="4" w:space="0"/>
                  <w:right w:val="single" w:color="auto" w:sz="4" w:space="0"/>
                </w:tcBorders>
                <w:vAlign w:val="center"/>
              </w:tcPr>
              <w:p w14:paraId="1415411D">
                <w:pPr>
                  <w:jc w:val="center"/>
                  <w:rPr>
                    <w:rFonts w:ascii="Calibri" w:hAnsi="Calibri"/>
                    <w:sz w:val="20"/>
                    <w:szCs w:val="20"/>
                  </w:rPr>
                </w:pPr>
                <w:r>
                  <w:rPr>
                    <w:rFonts w:hint="eastAsia" w:ascii="Calibri" w:hAnsi="Calibri"/>
                    <w:sz w:val="20"/>
                    <w:szCs w:val="20"/>
                  </w:rPr>
                  <w:t>研发人员年龄结构</w:t>
                </w:r>
              </w:p>
            </w:tc>
          </w:sdtContent>
        </w:sdt>
      </w:tr>
      <w:tr w14:paraId="277CDFCC">
        <w:tblPrEx>
          <w:tblCellMar>
            <w:top w:w="0" w:type="dxa"/>
            <w:left w:w="108" w:type="dxa"/>
            <w:bottom w:w="0" w:type="dxa"/>
            <w:right w:w="108" w:type="dxa"/>
          </w:tblCellMar>
        </w:tblPrEx>
        <w:trPr>
          <w:trHeight w:val="270" w:hRule="atLeast"/>
          <w:jc w:val="center"/>
        </w:trPr>
        <w:sdt>
          <w:sdtPr>
            <w:tag w:val="_PLD_b9dd411387bd4ae4b04fe660cc0aac1b"/>
            <w:id w:val="-841553968"/>
          </w:sdtPr>
          <w:sdtContent>
            <w:tc>
              <w:tcPr>
                <w:tcW w:w="5744" w:type="dxa"/>
                <w:tcBorders>
                  <w:top w:val="nil"/>
                  <w:left w:val="single" w:color="auto" w:sz="4" w:space="0"/>
                  <w:bottom w:val="single" w:color="auto" w:sz="4" w:space="0"/>
                  <w:right w:val="single" w:color="auto" w:sz="4" w:space="0"/>
                </w:tcBorders>
                <w:vAlign w:val="center"/>
              </w:tcPr>
              <w:p w14:paraId="4DA06275">
                <w:pPr>
                  <w:pStyle w:val="48"/>
                  <w:rPr>
                    <w:sz w:val="20"/>
                    <w:szCs w:val="20"/>
                  </w:rPr>
                </w:pPr>
                <w:r>
                  <w:rPr>
                    <w:rFonts w:hint="eastAsia"/>
                    <w:sz w:val="20"/>
                    <w:szCs w:val="20"/>
                  </w:rPr>
                  <w:t>年龄结构类别</w:t>
                </w:r>
              </w:p>
            </w:tc>
          </w:sdtContent>
        </w:sdt>
        <w:tc>
          <w:tcPr>
            <w:tcW w:w="3305" w:type="dxa"/>
            <w:tcBorders>
              <w:top w:val="nil"/>
              <w:left w:val="nil"/>
              <w:bottom w:val="single" w:color="auto" w:sz="4" w:space="0"/>
              <w:right w:val="single" w:color="auto" w:sz="4" w:space="0"/>
            </w:tcBorders>
            <w:noWrap/>
            <w:vAlign w:val="center"/>
          </w:tcPr>
          <w:p w14:paraId="45024F7B">
            <w:pPr>
              <w:jc w:val="center"/>
              <w:rPr>
                <w:rFonts w:ascii="Calibri" w:hAnsi="Calibri"/>
                <w:sz w:val="20"/>
                <w:szCs w:val="20"/>
              </w:rPr>
            </w:pPr>
            <w:r>
              <w:rPr>
                <w:rFonts w:hint="eastAsia" w:ascii="Calibri" w:hAnsi="Calibri"/>
                <w:sz w:val="20"/>
                <w:szCs w:val="20"/>
              </w:rPr>
              <w:t>年龄结构人数</w:t>
            </w:r>
          </w:p>
        </w:tc>
      </w:tr>
      <w:tr w14:paraId="23671F05">
        <w:tblPrEx>
          <w:tblCellMar>
            <w:top w:w="0" w:type="dxa"/>
            <w:left w:w="108" w:type="dxa"/>
            <w:bottom w:w="0" w:type="dxa"/>
            <w:right w:w="108" w:type="dxa"/>
          </w:tblCellMar>
        </w:tblPrEx>
        <w:trPr>
          <w:trHeight w:val="270" w:hRule="atLeast"/>
          <w:jc w:val="center"/>
        </w:trPr>
        <w:tc>
          <w:tcPr>
            <w:tcW w:w="5744" w:type="dxa"/>
            <w:tcBorders>
              <w:top w:val="nil"/>
              <w:left w:val="single" w:color="auto" w:sz="4" w:space="0"/>
              <w:bottom w:val="single" w:color="auto" w:sz="4" w:space="0"/>
              <w:right w:val="single" w:color="auto" w:sz="4" w:space="0"/>
            </w:tcBorders>
            <w:vAlign w:val="center"/>
          </w:tcPr>
          <w:p w14:paraId="11F21F14">
            <w:pPr>
              <w:pStyle w:val="48"/>
              <w:rPr>
                <w:sz w:val="20"/>
                <w:szCs w:val="20"/>
              </w:rPr>
            </w:pPr>
            <w:r>
              <w:rPr>
                <w:rFonts w:hint="eastAsia"/>
                <w:sz w:val="20"/>
                <w:szCs w:val="20"/>
              </w:rPr>
              <w:t>30岁以下（不含30岁）</w:t>
            </w:r>
          </w:p>
        </w:tc>
        <w:tc>
          <w:tcPr>
            <w:tcW w:w="3305" w:type="dxa"/>
            <w:tcBorders>
              <w:top w:val="nil"/>
              <w:left w:val="nil"/>
              <w:bottom w:val="single" w:color="auto" w:sz="4" w:space="0"/>
              <w:right w:val="single" w:color="auto" w:sz="4" w:space="0"/>
            </w:tcBorders>
            <w:noWrap/>
            <w:vAlign w:val="center"/>
          </w:tcPr>
          <w:p w14:paraId="632F97D6">
            <w:pPr>
              <w:jc w:val="right"/>
              <w:rPr>
                <w:rFonts w:ascii="Calibri" w:hAnsi="Calibri"/>
                <w:sz w:val="20"/>
                <w:szCs w:val="20"/>
              </w:rPr>
            </w:pPr>
            <w:r>
              <w:rPr>
                <w:rFonts w:ascii="Calibri" w:hAnsi="Calibri"/>
                <w:sz w:val="20"/>
                <w:szCs w:val="20"/>
              </w:rPr>
              <w:t>119</w:t>
            </w:r>
          </w:p>
        </w:tc>
      </w:tr>
      <w:tr w14:paraId="603E3F5C">
        <w:tblPrEx>
          <w:tblCellMar>
            <w:top w:w="0" w:type="dxa"/>
            <w:left w:w="108" w:type="dxa"/>
            <w:bottom w:w="0" w:type="dxa"/>
            <w:right w:w="108" w:type="dxa"/>
          </w:tblCellMar>
        </w:tblPrEx>
        <w:trPr>
          <w:trHeight w:val="270" w:hRule="atLeast"/>
          <w:jc w:val="center"/>
        </w:trPr>
        <w:tc>
          <w:tcPr>
            <w:tcW w:w="5744" w:type="dxa"/>
            <w:tcBorders>
              <w:top w:val="nil"/>
              <w:left w:val="single" w:color="auto" w:sz="4" w:space="0"/>
              <w:bottom w:val="single" w:color="auto" w:sz="4" w:space="0"/>
              <w:right w:val="single" w:color="auto" w:sz="4" w:space="0"/>
            </w:tcBorders>
            <w:vAlign w:val="center"/>
          </w:tcPr>
          <w:p w14:paraId="6E96311F">
            <w:pPr>
              <w:pStyle w:val="48"/>
              <w:rPr>
                <w:sz w:val="20"/>
                <w:szCs w:val="20"/>
              </w:rPr>
            </w:pPr>
            <w:r>
              <w:rPr>
                <w:rFonts w:hint="eastAsia"/>
                <w:sz w:val="20"/>
                <w:szCs w:val="20"/>
              </w:rPr>
              <w:t>30-40岁（含30岁，不含40岁）</w:t>
            </w:r>
          </w:p>
        </w:tc>
        <w:tc>
          <w:tcPr>
            <w:tcW w:w="3305" w:type="dxa"/>
            <w:tcBorders>
              <w:top w:val="nil"/>
              <w:left w:val="nil"/>
              <w:bottom w:val="single" w:color="auto" w:sz="4" w:space="0"/>
              <w:right w:val="single" w:color="auto" w:sz="4" w:space="0"/>
            </w:tcBorders>
            <w:noWrap/>
            <w:vAlign w:val="center"/>
          </w:tcPr>
          <w:p w14:paraId="6C0BECE0">
            <w:pPr>
              <w:jc w:val="right"/>
              <w:rPr>
                <w:rFonts w:ascii="Calibri" w:hAnsi="Calibri"/>
                <w:sz w:val="20"/>
                <w:szCs w:val="20"/>
              </w:rPr>
            </w:pPr>
            <w:r>
              <w:rPr>
                <w:rFonts w:ascii="Calibri" w:hAnsi="Calibri"/>
                <w:sz w:val="20"/>
                <w:szCs w:val="20"/>
              </w:rPr>
              <w:t>204</w:t>
            </w:r>
          </w:p>
        </w:tc>
      </w:tr>
      <w:tr w14:paraId="0ED893AA">
        <w:tblPrEx>
          <w:tblCellMar>
            <w:top w:w="0" w:type="dxa"/>
            <w:left w:w="108" w:type="dxa"/>
            <w:bottom w:w="0" w:type="dxa"/>
            <w:right w:w="108" w:type="dxa"/>
          </w:tblCellMar>
        </w:tblPrEx>
        <w:trPr>
          <w:trHeight w:val="270" w:hRule="atLeast"/>
          <w:jc w:val="center"/>
        </w:trPr>
        <w:tc>
          <w:tcPr>
            <w:tcW w:w="5744" w:type="dxa"/>
            <w:tcBorders>
              <w:top w:val="nil"/>
              <w:left w:val="single" w:color="auto" w:sz="4" w:space="0"/>
              <w:bottom w:val="single" w:color="auto" w:sz="4" w:space="0"/>
              <w:right w:val="single" w:color="auto" w:sz="4" w:space="0"/>
            </w:tcBorders>
            <w:vAlign w:val="center"/>
          </w:tcPr>
          <w:p w14:paraId="6C968BA0">
            <w:pPr>
              <w:pStyle w:val="48"/>
              <w:rPr>
                <w:sz w:val="20"/>
                <w:szCs w:val="20"/>
              </w:rPr>
            </w:pPr>
            <w:r>
              <w:rPr>
                <w:rFonts w:hint="eastAsia"/>
                <w:sz w:val="20"/>
                <w:szCs w:val="20"/>
              </w:rPr>
              <w:t>40-50岁（含40岁，不含50岁）</w:t>
            </w:r>
          </w:p>
        </w:tc>
        <w:tc>
          <w:tcPr>
            <w:tcW w:w="3305" w:type="dxa"/>
            <w:tcBorders>
              <w:top w:val="nil"/>
              <w:left w:val="nil"/>
              <w:bottom w:val="single" w:color="auto" w:sz="4" w:space="0"/>
              <w:right w:val="single" w:color="auto" w:sz="4" w:space="0"/>
            </w:tcBorders>
            <w:noWrap/>
            <w:vAlign w:val="center"/>
          </w:tcPr>
          <w:p w14:paraId="73A9AFFE">
            <w:pPr>
              <w:jc w:val="right"/>
              <w:rPr>
                <w:rFonts w:ascii="Calibri" w:hAnsi="Calibri"/>
                <w:sz w:val="20"/>
                <w:szCs w:val="20"/>
              </w:rPr>
            </w:pPr>
            <w:r>
              <w:rPr>
                <w:rFonts w:ascii="Calibri" w:hAnsi="Calibri"/>
                <w:sz w:val="20"/>
                <w:szCs w:val="20"/>
              </w:rPr>
              <w:t>58</w:t>
            </w:r>
          </w:p>
        </w:tc>
      </w:tr>
      <w:tr w14:paraId="549F41D5">
        <w:tblPrEx>
          <w:tblCellMar>
            <w:top w:w="0" w:type="dxa"/>
            <w:left w:w="108" w:type="dxa"/>
            <w:bottom w:w="0" w:type="dxa"/>
            <w:right w:w="108" w:type="dxa"/>
          </w:tblCellMar>
        </w:tblPrEx>
        <w:trPr>
          <w:trHeight w:val="270" w:hRule="atLeast"/>
          <w:jc w:val="center"/>
        </w:trPr>
        <w:tc>
          <w:tcPr>
            <w:tcW w:w="5744" w:type="dxa"/>
            <w:tcBorders>
              <w:top w:val="nil"/>
              <w:left w:val="single" w:color="auto" w:sz="4" w:space="0"/>
              <w:bottom w:val="single" w:color="auto" w:sz="4" w:space="0"/>
              <w:right w:val="single" w:color="auto" w:sz="4" w:space="0"/>
            </w:tcBorders>
            <w:vAlign w:val="center"/>
          </w:tcPr>
          <w:p w14:paraId="78D97150">
            <w:pPr>
              <w:pStyle w:val="48"/>
              <w:rPr>
                <w:sz w:val="20"/>
                <w:szCs w:val="20"/>
              </w:rPr>
            </w:pPr>
            <w:r>
              <w:rPr>
                <w:rFonts w:hint="eastAsia"/>
                <w:sz w:val="20"/>
                <w:szCs w:val="20"/>
              </w:rPr>
              <w:t>50-60岁（含50岁，不含60岁）</w:t>
            </w:r>
          </w:p>
        </w:tc>
        <w:tc>
          <w:tcPr>
            <w:tcW w:w="3305" w:type="dxa"/>
            <w:tcBorders>
              <w:top w:val="nil"/>
              <w:left w:val="nil"/>
              <w:bottom w:val="single" w:color="auto" w:sz="4" w:space="0"/>
              <w:right w:val="single" w:color="auto" w:sz="4" w:space="0"/>
            </w:tcBorders>
            <w:noWrap/>
            <w:vAlign w:val="center"/>
          </w:tcPr>
          <w:p w14:paraId="00C3C93B">
            <w:pPr>
              <w:jc w:val="right"/>
              <w:rPr>
                <w:rFonts w:ascii="Calibri" w:hAnsi="Calibri"/>
                <w:sz w:val="20"/>
                <w:szCs w:val="20"/>
              </w:rPr>
            </w:pPr>
            <w:r>
              <w:rPr>
                <w:rFonts w:ascii="Calibri" w:hAnsi="Calibri"/>
                <w:sz w:val="20"/>
                <w:szCs w:val="20"/>
              </w:rPr>
              <w:t>3</w:t>
            </w:r>
          </w:p>
        </w:tc>
      </w:tr>
      <w:tr w14:paraId="020A3041">
        <w:tblPrEx>
          <w:tblCellMar>
            <w:top w:w="0" w:type="dxa"/>
            <w:left w:w="108" w:type="dxa"/>
            <w:bottom w:w="0" w:type="dxa"/>
            <w:right w:w="108" w:type="dxa"/>
          </w:tblCellMar>
        </w:tblPrEx>
        <w:trPr>
          <w:trHeight w:val="270" w:hRule="atLeast"/>
          <w:jc w:val="center"/>
        </w:trPr>
        <w:tc>
          <w:tcPr>
            <w:tcW w:w="5744" w:type="dxa"/>
            <w:tcBorders>
              <w:top w:val="nil"/>
              <w:left w:val="single" w:color="auto" w:sz="4" w:space="0"/>
              <w:bottom w:val="single" w:color="auto" w:sz="4" w:space="0"/>
              <w:right w:val="single" w:color="auto" w:sz="4" w:space="0"/>
            </w:tcBorders>
            <w:vAlign w:val="center"/>
          </w:tcPr>
          <w:p w14:paraId="206400EC">
            <w:pPr>
              <w:pStyle w:val="48"/>
              <w:rPr>
                <w:sz w:val="20"/>
                <w:szCs w:val="20"/>
              </w:rPr>
            </w:pPr>
            <w:r>
              <w:rPr>
                <w:rFonts w:hint="eastAsia"/>
                <w:sz w:val="20"/>
                <w:szCs w:val="20"/>
              </w:rPr>
              <w:t>60岁及以上</w:t>
            </w:r>
          </w:p>
        </w:tc>
        <w:tc>
          <w:tcPr>
            <w:tcW w:w="3305" w:type="dxa"/>
            <w:tcBorders>
              <w:top w:val="nil"/>
              <w:left w:val="nil"/>
              <w:bottom w:val="single" w:color="auto" w:sz="4" w:space="0"/>
              <w:right w:val="single" w:color="auto" w:sz="4" w:space="0"/>
            </w:tcBorders>
            <w:noWrap/>
            <w:vAlign w:val="center"/>
          </w:tcPr>
          <w:p w14:paraId="3999D005">
            <w:pPr>
              <w:jc w:val="right"/>
              <w:rPr>
                <w:rFonts w:ascii="Calibri" w:hAnsi="Calibri"/>
                <w:sz w:val="20"/>
                <w:szCs w:val="20"/>
              </w:rPr>
            </w:pPr>
            <w:r>
              <w:rPr>
                <w:rFonts w:ascii="Calibri" w:hAnsi="Calibri"/>
                <w:sz w:val="20"/>
                <w:szCs w:val="20"/>
              </w:rPr>
              <w:t>0</w:t>
            </w:r>
          </w:p>
        </w:tc>
      </w:tr>
    </w:tbl>
    <w:p w14:paraId="2FD69C1D">
      <w:pPr>
        <w:pStyle w:val="48"/>
      </w:pPr>
    </w:p>
    <w:bookmarkEnd w:id="64"/>
    <w:p w14:paraId="2CEA9DB6">
      <w:pPr>
        <w:pStyle w:val="30"/>
        <w:numPr>
          <w:ilvl w:val="0"/>
          <w:numId w:val="11"/>
        </w:numPr>
        <w:spacing w:before="60" w:after="60"/>
        <w:ind w:firstLineChars="0"/>
        <w:rPr>
          <w:rStyle w:val="27"/>
          <w:szCs w:val="21"/>
        </w:rPr>
      </w:pPr>
      <w:r>
        <w:rPr>
          <w:rStyle w:val="27"/>
          <w:szCs w:val="21"/>
        </w:rPr>
        <w:t>情况说明</w:t>
      </w:r>
    </w:p>
    <w:sdt>
      <w:sdtPr>
        <w:rPr>
          <w:rStyle w:val="27"/>
          <w:b w:val="0"/>
          <w:szCs w:val="21"/>
        </w:rPr>
        <w:alias w:val="是否适用：研发投入情况说明[双击切换]"/>
        <w:tag w:val="_GBC_b983f5c63407411d82434ca6547deae8"/>
        <w:id w:val="-2066476444"/>
        <w:placeholder>
          <w:docPart w:val="GBC22222222222222222222222222222"/>
        </w:placeholder>
      </w:sdtPr>
      <w:sdtEndPr>
        <w:rPr>
          <w:rStyle w:val="27"/>
          <w:b w:val="0"/>
          <w:szCs w:val="21"/>
        </w:rPr>
      </w:sdtEndPr>
      <w:sdtContent>
        <w:p w14:paraId="624FA4F7">
          <w:pPr>
            <w:spacing w:before="60" w:after="60"/>
            <w:rPr>
              <w:rStyle w:val="27"/>
              <w:b w:val="0"/>
              <w:szCs w:val="21"/>
            </w:rPr>
          </w:pPr>
          <w:r>
            <w:rPr>
              <w:rStyle w:val="27"/>
              <w:rFonts w:ascii="宋体" w:hAnsi="宋体"/>
              <w:b w:val="0"/>
              <w:szCs w:val="21"/>
            </w:rPr>
            <w:fldChar w:fldCharType="begin"/>
          </w:r>
          <w:r>
            <w:rPr>
              <w:rStyle w:val="27"/>
              <w:rFonts w:hint="eastAsia" w:ascii="宋体" w:hAnsi="宋体"/>
              <w:b w:val="0"/>
              <w:szCs w:val="21"/>
            </w:rPr>
            <w:instrText xml:space="preserve">MACROBUTTON  SnrToggleCheckbox √适用 </w:instrText>
          </w:r>
          <w:r>
            <w:rPr>
              <w:rStyle w:val="27"/>
              <w:rFonts w:ascii="宋体" w:hAnsi="宋体"/>
              <w:b w:val="0"/>
              <w:szCs w:val="21"/>
            </w:rPr>
            <w:fldChar w:fldCharType="end"/>
          </w:r>
          <w:r>
            <w:rPr>
              <w:rStyle w:val="27"/>
              <w:rFonts w:ascii="宋体" w:hAnsi="宋体"/>
              <w:b w:val="0"/>
              <w:szCs w:val="21"/>
            </w:rPr>
            <w:fldChar w:fldCharType="begin"/>
          </w:r>
          <w:r>
            <w:rPr>
              <w:rStyle w:val="27"/>
              <w:rFonts w:ascii="宋体" w:hAnsi="宋体"/>
              <w:b w:val="0"/>
              <w:szCs w:val="21"/>
            </w:rPr>
            <w:instrText xml:space="preserve"> MACROBUTTON  SnrToggleCheckbox □不适用 </w:instrText>
          </w:r>
          <w:r>
            <w:rPr>
              <w:rStyle w:val="27"/>
              <w:rFonts w:ascii="宋体" w:hAnsi="宋体"/>
              <w:b w:val="0"/>
              <w:szCs w:val="21"/>
            </w:rPr>
            <w:fldChar w:fldCharType="end"/>
          </w:r>
        </w:p>
      </w:sdtContent>
    </w:sdt>
    <w:sdt>
      <w:sdtPr>
        <w:rPr>
          <w:rStyle w:val="27"/>
          <w:rFonts w:hint="eastAsia"/>
          <w:b w:val="0"/>
          <w:szCs w:val="21"/>
        </w:rPr>
        <w:alias w:val="研发投入情况说明"/>
        <w:tag w:val="_GBC_29b7bc5a44244641bea57d5a14dde83b"/>
        <w:id w:val="1524207642"/>
        <w:placeholder>
          <w:docPart w:val="GBC22222222222222222222222222222"/>
        </w:placeholder>
      </w:sdtPr>
      <w:sdtEndPr>
        <w:rPr>
          <w:rStyle w:val="27"/>
          <w:rFonts w:hint="eastAsia"/>
          <w:b/>
          <w:szCs w:val="21"/>
        </w:rPr>
      </w:sdtEndPr>
      <w:sdtContent>
        <w:p w14:paraId="3D6CFACB">
          <w:pPr>
            <w:spacing w:line="360" w:lineRule="auto"/>
            <w:ind w:firstLine="420" w:firstLineChars="200"/>
            <w:jc w:val="both"/>
            <w:rPr>
              <w:rStyle w:val="27"/>
              <w:szCs w:val="21"/>
            </w:rPr>
          </w:pPr>
          <w:sdt>
            <w:sdtPr>
              <w:rPr>
                <w:rFonts w:hint="eastAsia" w:ascii="Calibri" w:hAnsi="Calibri"/>
                <w:b/>
                <w:bCs/>
                <w:kern w:val="2"/>
                <w:szCs w:val="28"/>
              </w:rPr>
              <w:alias w:val="研发投入情况说明"/>
              <w:tag w:val="_GBC_29b7bc5a44244641bea57d5a14dde83b"/>
              <w:id w:val="-954325342"/>
            </w:sdtPr>
            <w:sdtEndPr>
              <w:rPr>
                <w:rFonts w:hint="eastAsia" w:ascii="Calibri" w:hAnsi="Calibri"/>
                <w:b/>
                <w:bCs/>
                <w:kern w:val="2"/>
                <w:szCs w:val="28"/>
              </w:rPr>
            </w:sdtEndPr>
            <w:sdtContent>
              <w:r>
                <w:rPr>
                  <w:rFonts w:hint="eastAsia" w:ascii="Calibri" w:hAnsi="Calibri"/>
                  <w:bCs/>
                  <w:kern w:val="2"/>
                  <w:szCs w:val="28"/>
                </w:rPr>
                <w:t>报告期内，公司直接用于研发方面的投入总额为</w:t>
              </w:r>
              <w:r>
                <w:rPr>
                  <w:bCs/>
                  <w:kern w:val="2"/>
                  <w:szCs w:val="28"/>
                </w:rPr>
                <w:t>50,585.41</w:t>
              </w:r>
              <w:r>
                <w:rPr>
                  <w:rFonts w:hint="eastAsia" w:ascii="Calibri" w:hAnsi="Calibri"/>
                  <w:bCs/>
                  <w:kern w:val="2"/>
                  <w:szCs w:val="28"/>
                </w:rPr>
                <w:t>万元，占营业收入的1</w:t>
              </w:r>
              <w:r>
                <w:rPr>
                  <w:rFonts w:ascii="Calibri" w:hAnsi="Calibri"/>
                  <w:bCs/>
                  <w:kern w:val="2"/>
                  <w:szCs w:val="28"/>
                </w:rPr>
                <w:t>7.16</w:t>
              </w:r>
              <w:r>
                <w:rPr>
                  <w:rFonts w:hint="eastAsia" w:ascii="Calibri" w:hAnsi="Calibri"/>
                  <w:bCs/>
                  <w:kern w:val="2"/>
                  <w:szCs w:val="28"/>
                </w:rPr>
                <w:t>%。</w:t>
              </w:r>
              <w:r>
                <w:rPr>
                  <w:kern w:val="2"/>
                </w:rPr>
                <w:t>公司投入的研发费用主要依托生物制药</w:t>
              </w:r>
              <w:r>
                <w:rPr>
                  <w:rFonts w:hint="eastAsia"/>
                  <w:kern w:val="2"/>
                </w:rPr>
                <w:t>、化学药</w:t>
              </w:r>
              <w:r>
                <w:rPr>
                  <w:kern w:val="2"/>
                </w:rPr>
                <w:t>和中药研究发展平台，逐渐探索出适应公司自身发展特点的多元化科研管理模式，保障公司战略目标的实现。</w:t>
              </w:r>
            </w:sdtContent>
          </w:sdt>
        </w:p>
      </w:sdtContent>
    </w:sdt>
    <w:p w14:paraId="58A571C7">
      <w:pPr>
        <w:rPr>
          <w:rStyle w:val="27"/>
          <w:b w:val="0"/>
          <w:bCs w:val="0"/>
          <w:szCs w:val="21"/>
        </w:rPr>
      </w:pPr>
    </w:p>
    <w:p w14:paraId="57501B39">
      <w:pPr>
        <w:pStyle w:val="30"/>
        <w:numPr>
          <w:ilvl w:val="0"/>
          <w:numId w:val="11"/>
        </w:numPr>
        <w:spacing w:before="60" w:after="60"/>
        <w:ind w:firstLineChars="0"/>
        <w:rPr>
          <w:rStyle w:val="27"/>
          <w:szCs w:val="21"/>
        </w:rPr>
      </w:pPr>
      <w:bookmarkStart w:id="65" w:name="_Hlk89876701"/>
      <w:r>
        <w:rPr>
          <w:rStyle w:val="27"/>
          <w:szCs w:val="21"/>
        </w:rPr>
        <w:t>研发人员构成发生重大变化的原因及对公司未来发展的影响</w:t>
      </w:r>
    </w:p>
    <w:p w14:paraId="7950BAEC">
      <w:pPr>
        <w:spacing w:before="60" w:after="60"/>
      </w:pPr>
      <w:sdt>
        <w:sdtPr>
          <w:alias w:val="是否适用：研发人员构成发生重大变化的原因及对公司未来发展的影响 [双击切换]"/>
          <w:tag w:val="_GBC_03b44883afff4742a08c198d082c26b3"/>
          <w:id w:val="-1642110821"/>
          <w:placeholder>
            <w:docPart w:val="GBC22222222222222222222222222222"/>
          </w:placeholder>
        </w:sdtPr>
        <w:sdtContent>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5D00FD71">
      <w:pPr>
        <w:pStyle w:val="48"/>
      </w:pPr>
    </w:p>
    <w:bookmarkEnd w:id="65"/>
    <w:p w14:paraId="0CC3412A">
      <w:pPr>
        <w:pStyle w:val="5"/>
        <w:numPr>
          <w:ilvl w:val="0"/>
          <w:numId w:val="9"/>
        </w:numPr>
      </w:pPr>
      <w:r>
        <w:rPr>
          <w:rFonts w:hint="eastAsia"/>
        </w:rPr>
        <w:t>现金流</w:t>
      </w:r>
    </w:p>
    <w:sdt>
      <w:sdtPr>
        <w:alias w:val="是否适用：现金流[双击切换]"/>
        <w:tag w:val="_GBC_3340f2fc4f854cc1882e18412cf992f6"/>
        <w:id w:val="1740824640"/>
        <w:placeholder>
          <w:docPart w:val="GBC22222222222222222222222222222"/>
        </w:placeholder>
      </w:sdtPr>
      <w:sdtContent>
        <w:p w14:paraId="2816B0E8">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现金流的影响分析"/>
        <w:tag w:val="_GBC_586311c345aa4f48bab3f8f8d5347f93"/>
        <w:id w:val="-639494230"/>
        <w:placeholder>
          <w:docPart w:val="GBC22222222222222222222222222222"/>
        </w:placeholder>
      </w:sdtPr>
      <w:sdtEndPr>
        <w:rPr>
          <w:rFonts w:hint="eastAsia"/>
        </w:rPr>
      </w:sdtEndPr>
      <w:sdtContent>
        <w:sdt>
          <w:sdtPr>
            <w:rPr>
              <w:rFonts w:hint="eastAsia" w:ascii="Calibri" w:hAnsi="Calibri"/>
              <w:kern w:val="2"/>
            </w:rPr>
            <w:alias w:val="现金流的影响分析"/>
            <w:tag w:val="_GBC_586311c345aa4f48bab3f8f8d5347f93"/>
            <w:id w:val="1849670804"/>
          </w:sdtPr>
          <w:sdtEndPr>
            <w:rPr>
              <w:rFonts w:hint="eastAsia" w:ascii="Calibri" w:hAnsi="Calibri"/>
              <w:kern w:val="2"/>
            </w:rPr>
          </w:sdtEndPr>
          <w:sdtContent>
            <w:p w14:paraId="2019A3C3">
              <w:pPr>
                <w:ind w:firstLine="480"/>
                <w:jc w:val="right"/>
                <w:rPr>
                  <w:rFonts w:ascii="Calibri" w:hAnsi="Calibri"/>
                  <w:kern w:val="2"/>
                </w:rPr>
              </w:pPr>
              <w:r>
                <w:rPr>
                  <w:rFonts w:hint="eastAsia" w:ascii="Calibri" w:hAnsi="Calibri"/>
                  <w:kern w:val="2"/>
                </w:rPr>
                <w:t>单位：元</w:t>
              </w:r>
            </w:p>
            <w:tbl>
              <w:tblPr>
                <w:tblStyle w:val="43"/>
                <w:tblW w:w="9781" w:type="dxa"/>
                <w:tblInd w:w="-572" w:type="dxa"/>
                <w:tblLayout w:type="fixed"/>
                <w:tblCellMar>
                  <w:top w:w="28" w:type="dxa"/>
                  <w:left w:w="108" w:type="dxa"/>
                  <w:bottom w:w="28" w:type="dxa"/>
                  <w:right w:w="108" w:type="dxa"/>
                </w:tblCellMar>
              </w:tblPr>
              <w:tblGrid>
                <w:gridCol w:w="1701"/>
                <w:gridCol w:w="1843"/>
                <w:gridCol w:w="1843"/>
                <w:gridCol w:w="1134"/>
                <w:gridCol w:w="3260"/>
              </w:tblGrid>
              <w:tr w14:paraId="199E147F">
                <w:tblPrEx>
                  <w:tblCellMar>
                    <w:top w:w="28" w:type="dxa"/>
                    <w:left w:w="108" w:type="dxa"/>
                    <w:bottom w:w="28" w:type="dxa"/>
                    <w:right w:w="108" w:type="dxa"/>
                  </w:tblCellMar>
                </w:tblPrEx>
                <w:trPr>
                  <w:trHeight w:val="454" w:hRule="atLeast"/>
                </w:trPr>
                <w:tc>
                  <w:tcPr>
                    <w:tcW w:w="1701" w:type="dxa"/>
                    <w:tcBorders>
                      <w:top w:val="single" w:color="auto" w:sz="4" w:space="0"/>
                      <w:left w:val="single" w:color="auto" w:sz="4" w:space="0"/>
                      <w:bottom w:val="single" w:color="auto" w:sz="4" w:space="0"/>
                      <w:right w:val="single" w:color="auto" w:sz="4" w:space="0"/>
                    </w:tcBorders>
                    <w:vAlign w:val="center"/>
                  </w:tcPr>
                  <w:p w14:paraId="213DF05E">
                    <w:pPr>
                      <w:jc w:val="center"/>
                      <w:rPr>
                        <w:rFonts w:ascii="宋体" w:hAnsi="宋体" w:cs="宋体"/>
                        <w:kern w:val="2"/>
                        <w:sz w:val="20"/>
                        <w:szCs w:val="24"/>
                      </w:rPr>
                    </w:pPr>
                    <w:r>
                      <w:rPr>
                        <w:rFonts w:hint="eastAsia" w:ascii="宋体" w:hAnsi="宋体" w:cs="宋体"/>
                        <w:kern w:val="2"/>
                        <w:sz w:val="20"/>
                        <w:szCs w:val="24"/>
                      </w:rPr>
                      <w:t>项目</w:t>
                    </w:r>
                  </w:p>
                </w:tc>
                <w:tc>
                  <w:tcPr>
                    <w:tcW w:w="1843" w:type="dxa"/>
                    <w:tcBorders>
                      <w:top w:val="single" w:color="auto" w:sz="4" w:space="0"/>
                      <w:left w:val="nil"/>
                      <w:bottom w:val="single" w:color="auto" w:sz="4" w:space="0"/>
                      <w:right w:val="single" w:color="auto" w:sz="4" w:space="0"/>
                    </w:tcBorders>
                    <w:vAlign w:val="center"/>
                  </w:tcPr>
                  <w:p w14:paraId="2A47C36D">
                    <w:pPr>
                      <w:jc w:val="center"/>
                      <w:rPr>
                        <w:rFonts w:ascii="宋体" w:hAnsi="宋体" w:cs="宋体"/>
                        <w:kern w:val="2"/>
                        <w:sz w:val="20"/>
                        <w:szCs w:val="24"/>
                      </w:rPr>
                    </w:pPr>
                    <w:r>
                      <w:rPr>
                        <w:rFonts w:hint="eastAsia" w:ascii="宋体" w:hAnsi="宋体" w:cs="宋体"/>
                        <w:kern w:val="2"/>
                        <w:sz w:val="20"/>
                        <w:szCs w:val="24"/>
                      </w:rPr>
                      <w:t>本期数</w:t>
                    </w:r>
                  </w:p>
                </w:tc>
                <w:tc>
                  <w:tcPr>
                    <w:tcW w:w="1843" w:type="dxa"/>
                    <w:tcBorders>
                      <w:top w:val="single" w:color="auto" w:sz="4" w:space="0"/>
                      <w:left w:val="nil"/>
                      <w:bottom w:val="single" w:color="auto" w:sz="4" w:space="0"/>
                      <w:right w:val="single" w:color="auto" w:sz="4" w:space="0"/>
                    </w:tcBorders>
                    <w:vAlign w:val="center"/>
                  </w:tcPr>
                  <w:p w14:paraId="672F4725">
                    <w:pPr>
                      <w:jc w:val="center"/>
                      <w:rPr>
                        <w:rFonts w:ascii="宋体" w:hAnsi="宋体" w:cs="宋体"/>
                        <w:kern w:val="2"/>
                        <w:sz w:val="20"/>
                        <w:szCs w:val="24"/>
                      </w:rPr>
                    </w:pPr>
                    <w:r>
                      <w:rPr>
                        <w:rFonts w:hint="eastAsia" w:ascii="宋体" w:hAnsi="宋体" w:cs="宋体"/>
                        <w:kern w:val="2"/>
                        <w:sz w:val="20"/>
                        <w:szCs w:val="24"/>
                      </w:rPr>
                      <w:t>上期数</w:t>
                    </w:r>
                  </w:p>
                </w:tc>
                <w:tc>
                  <w:tcPr>
                    <w:tcW w:w="1134" w:type="dxa"/>
                    <w:tcBorders>
                      <w:top w:val="single" w:color="auto" w:sz="4" w:space="0"/>
                      <w:left w:val="nil"/>
                      <w:bottom w:val="single" w:color="auto" w:sz="4" w:space="0"/>
                      <w:right w:val="single" w:color="auto" w:sz="4" w:space="0"/>
                    </w:tcBorders>
                    <w:vAlign w:val="center"/>
                  </w:tcPr>
                  <w:p w14:paraId="7ACB73BF">
                    <w:pPr>
                      <w:jc w:val="center"/>
                      <w:rPr>
                        <w:rFonts w:ascii="宋体" w:hAnsi="宋体" w:cs="宋体"/>
                        <w:kern w:val="2"/>
                        <w:sz w:val="20"/>
                        <w:szCs w:val="24"/>
                      </w:rPr>
                    </w:pPr>
                    <w:r>
                      <w:rPr>
                        <w:rFonts w:hint="eastAsia" w:ascii="宋体" w:hAnsi="宋体" w:cs="宋体"/>
                        <w:kern w:val="2"/>
                        <w:sz w:val="20"/>
                        <w:szCs w:val="24"/>
                      </w:rPr>
                      <w:t>增减比例（</w:t>
                    </w:r>
                    <w:r>
                      <w:rPr>
                        <w:rFonts w:ascii="宋体" w:hAnsi="宋体" w:cs="宋体"/>
                        <w:kern w:val="2"/>
                        <w:sz w:val="20"/>
                        <w:szCs w:val="24"/>
                      </w:rPr>
                      <w:t>%</w:t>
                    </w:r>
                    <w:r>
                      <w:rPr>
                        <w:rFonts w:hint="eastAsia" w:ascii="宋体" w:hAnsi="宋体" w:cs="宋体"/>
                        <w:kern w:val="2"/>
                        <w:sz w:val="20"/>
                        <w:szCs w:val="24"/>
                      </w:rPr>
                      <w:t>）</w:t>
                    </w:r>
                  </w:p>
                </w:tc>
                <w:tc>
                  <w:tcPr>
                    <w:tcW w:w="3260" w:type="dxa"/>
                    <w:tcBorders>
                      <w:top w:val="single" w:color="auto" w:sz="4" w:space="0"/>
                      <w:left w:val="nil"/>
                      <w:bottom w:val="single" w:color="auto" w:sz="4" w:space="0"/>
                      <w:right w:val="single" w:color="auto" w:sz="4" w:space="0"/>
                    </w:tcBorders>
                    <w:vAlign w:val="center"/>
                  </w:tcPr>
                  <w:p w14:paraId="7CF44375">
                    <w:pPr>
                      <w:jc w:val="center"/>
                      <w:rPr>
                        <w:rFonts w:ascii="宋体" w:hAnsi="宋体" w:cs="宋体"/>
                        <w:kern w:val="2"/>
                        <w:sz w:val="20"/>
                        <w:szCs w:val="24"/>
                      </w:rPr>
                    </w:pPr>
                    <w:r>
                      <w:rPr>
                        <w:rFonts w:hint="eastAsia" w:ascii="宋体" w:hAnsi="宋体" w:cs="宋体"/>
                        <w:kern w:val="2"/>
                        <w:sz w:val="20"/>
                        <w:szCs w:val="24"/>
                      </w:rPr>
                      <w:t>情况说明</w:t>
                    </w:r>
                  </w:p>
                </w:tc>
              </w:tr>
              <w:tr w14:paraId="32325FA3">
                <w:tblPrEx>
                  <w:tblCellMar>
                    <w:top w:w="28" w:type="dxa"/>
                    <w:left w:w="108" w:type="dxa"/>
                    <w:bottom w:w="28" w:type="dxa"/>
                    <w:right w:w="108" w:type="dxa"/>
                  </w:tblCellMar>
                </w:tblPrEx>
                <w:trPr>
                  <w:trHeight w:val="454" w:hRule="atLeast"/>
                </w:trPr>
                <w:tc>
                  <w:tcPr>
                    <w:tcW w:w="1701" w:type="dxa"/>
                    <w:tcBorders>
                      <w:top w:val="single" w:color="auto" w:sz="4" w:space="0"/>
                      <w:left w:val="single" w:color="auto" w:sz="4" w:space="0"/>
                      <w:bottom w:val="single" w:color="auto" w:sz="4" w:space="0"/>
                      <w:right w:val="single" w:color="auto" w:sz="4" w:space="0"/>
                    </w:tcBorders>
                    <w:vAlign w:val="center"/>
                  </w:tcPr>
                  <w:p w14:paraId="7C45488E">
                    <w:pPr>
                      <w:jc w:val="both"/>
                      <w:rPr>
                        <w:rFonts w:ascii="宋体" w:hAnsi="宋体" w:cs="宋体"/>
                        <w:kern w:val="2"/>
                        <w:sz w:val="20"/>
                        <w:szCs w:val="24"/>
                      </w:rPr>
                    </w:pPr>
                    <w:r>
                      <w:rPr>
                        <w:rFonts w:hint="eastAsia" w:ascii="宋体" w:hAnsi="宋体" w:cs="宋体"/>
                        <w:kern w:val="2"/>
                        <w:sz w:val="20"/>
                        <w:szCs w:val="24"/>
                      </w:rPr>
                      <w:t>经营活动产生的现金流量净额</w:t>
                    </w:r>
                  </w:p>
                </w:tc>
                <w:tc>
                  <w:tcPr>
                    <w:tcW w:w="1843" w:type="dxa"/>
                    <w:tcBorders>
                      <w:top w:val="single" w:color="auto" w:sz="4" w:space="0"/>
                      <w:left w:val="nil"/>
                      <w:bottom w:val="single" w:color="auto" w:sz="4" w:space="0"/>
                      <w:right w:val="single" w:color="auto" w:sz="4" w:space="0"/>
                    </w:tcBorders>
                    <w:vAlign w:val="center"/>
                  </w:tcPr>
                  <w:p w14:paraId="59AEFCB5">
                    <w:pPr>
                      <w:jc w:val="right"/>
                      <w:rPr>
                        <w:kern w:val="2"/>
                        <w:sz w:val="20"/>
                        <w:szCs w:val="24"/>
                      </w:rPr>
                    </w:pPr>
                    <w:r>
                      <w:rPr>
                        <w:sz w:val="20"/>
                        <w:szCs w:val="20"/>
                      </w:rPr>
                      <w:t>689,225,249.83</w:t>
                    </w:r>
                  </w:p>
                </w:tc>
                <w:tc>
                  <w:tcPr>
                    <w:tcW w:w="1843" w:type="dxa"/>
                    <w:tcBorders>
                      <w:top w:val="single" w:color="auto" w:sz="4" w:space="0"/>
                      <w:left w:val="nil"/>
                      <w:bottom w:val="single" w:color="auto" w:sz="4" w:space="0"/>
                      <w:right w:val="single" w:color="auto" w:sz="4" w:space="0"/>
                    </w:tcBorders>
                    <w:vAlign w:val="center"/>
                  </w:tcPr>
                  <w:p w14:paraId="526B80FD">
                    <w:pPr>
                      <w:jc w:val="right"/>
                      <w:rPr>
                        <w:kern w:val="2"/>
                        <w:sz w:val="20"/>
                        <w:szCs w:val="24"/>
                      </w:rPr>
                    </w:pPr>
                    <w:r>
                      <w:rPr>
                        <w:sz w:val="20"/>
                        <w:szCs w:val="24"/>
                      </w:rPr>
                      <w:t>462,328,859.95</w:t>
                    </w:r>
                  </w:p>
                </w:tc>
                <w:tc>
                  <w:tcPr>
                    <w:tcW w:w="1134" w:type="dxa"/>
                    <w:tcBorders>
                      <w:top w:val="single" w:color="auto" w:sz="4" w:space="0"/>
                      <w:left w:val="nil"/>
                      <w:bottom w:val="single" w:color="auto" w:sz="4" w:space="0"/>
                      <w:right w:val="single" w:color="auto" w:sz="4" w:space="0"/>
                    </w:tcBorders>
                    <w:vAlign w:val="center"/>
                  </w:tcPr>
                  <w:p w14:paraId="59075C1F">
                    <w:pPr>
                      <w:jc w:val="right"/>
                      <w:rPr>
                        <w:rFonts w:ascii="宋体" w:hAnsi="宋体" w:cs="宋体"/>
                        <w:kern w:val="2"/>
                        <w:sz w:val="20"/>
                        <w:szCs w:val="24"/>
                      </w:rPr>
                    </w:pPr>
                    <w:r>
                      <w:rPr>
                        <w:sz w:val="20"/>
                        <w:szCs w:val="20"/>
                      </w:rPr>
                      <w:t>49.08</w:t>
                    </w:r>
                  </w:p>
                </w:tc>
                <w:tc>
                  <w:tcPr>
                    <w:tcW w:w="3260" w:type="dxa"/>
                    <w:tcBorders>
                      <w:top w:val="single" w:color="auto" w:sz="4" w:space="0"/>
                      <w:left w:val="nil"/>
                      <w:bottom w:val="single" w:color="auto" w:sz="4" w:space="0"/>
                      <w:right w:val="single" w:color="auto" w:sz="4" w:space="0"/>
                    </w:tcBorders>
                    <w:vAlign w:val="center"/>
                  </w:tcPr>
                  <w:p w14:paraId="039C7D0C">
                    <w:pPr>
                      <w:jc w:val="both"/>
                      <w:rPr>
                        <w:rFonts w:ascii="宋体" w:hAnsi="宋体" w:cs="宋体"/>
                        <w:kern w:val="2"/>
                        <w:sz w:val="20"/>
                        <w:szCs w:val="24"/>
                        <w:highlight w:val="yellow"/>
                      </w:rPr>
                    </w:pPr>
                    <w:r>
                      <w:rPr>
                        <w:rFonts w:hint="eastAsia" w:ascii="宋体" w:hAnsi="宋体" w:cs="宋体"/>
                        <w:kern w:val="2"/>
                        <w:sz w:val="20"/>
                        <w:szCs w:val="24"/>
                      </w:rPr>
                      <w:t>主要系报告期销售商品、提供劳务收到的现金增加所致。</w:t>
                    </w:r>
                  </w:p>
                </w:tc>
              </w:tr>
              <w:tr w14:paraId="31C78EF9">
                <w:tblPrEx>
                  <w:tblCellMar>
                    <w:top w:w="28" w:type="dxa"/>
                    <w:left w:w="108" w:type="dxa"/>
                    <w:bottom w:w="28" w:type="dxa"/>
                    <w:right w:w="108" w:type="dxa"/>
                  </w:tblCellMar>
                </w:tblPrEx>
                <w:trPr>
                  <w:trHeight w:val="454" w:hRule="atLeast"/>
                </w:trPr>
                <w:tc>
                  <w:tcPr>
                    <w:tcW w:w="1701" w:type="dxa"/>
                    <w:tcBorders>
                      <w:top w:val="single" w:color="auto" w:sz="4" w:space="0"/>
                      <w:left w:val="single" w:color="auto" w:sz="4" w:space="0"/>
                      <w:bottom w:val="single" w:color="auto" w:sz="4" w:space="0"/>
                      <w:right w:val="single" w:color="auto" w:sz="4" w:space="0"/>
                    </w:tcBorders>
                    <w:vAlign w:val="center"/>
                  </w:tcPr>
                  <w:p w14:paraId="77DC7DD3">
                    <w:pPr>
                      <w:jc w:val="both"/>
                      <w:rPr>
                        <w:rFonts w:ascii="宋体" w:hAnsi="宋体" w:cs="宋体"/>
                        <w:kern w:val="2"/>
                        <w:sz w:val="20"/>
                        <w:szCs w:val="24"/>
                      </w:rPr>
                    </w:pPr>
                    <w:r>
                      <w:rPr>
                        <w:rFonts w:hint="eastAsia" w:ascii="宋体" w:hAnsi="宋体" w:cs="宋体"/>
                        <w:kern w:val="2"/>
                        <w:sz w:val="20"/>
                        <w:szCs w:val="24"/>
                      </w:rPr>
                      <w:t>投资活动产生的现金流量净额</w:t>
                    </w:r>
                  </w:p>
                </w:tc>
                <w:tc>
                  <w:tcPr>
                    <w:tcW w:w="1843" w:type="dxa"/>
                    <w:tcBorders>
                      <w:top w:val="single" w:color="auto" w:sz="4" w:space="0"/>
                      <w:left w:val="nil"/>
                      <w:bottom w:val="single" w:color="auto" w:sz="4" w:space="0"/>
                      <w:right w:val="single" w:color="auto" w:sz="4" w:space="0"/>
                    </w:tcBorders>
                    <w:vAlign w:val="center"/>
                  </w:tcPr>
                  <w:p w14:paraId="561EEF08">
                    <w:pPr>
                      <w:jc w:val="right"/>
                      <w:rPr>
                        <w:kern w:val="2"/>
                        <w:sz w:val="20"/>
                        <w:szCs w:val="24"/>
                      </w:rPr>
                    </w:pPr>
                    <w:r>
                      <w:rPr>
                        <w:sz w:val="20"/>
                        <w:szCs w:val="20"/>
                      </w:rPr>
                      <w:t>785,125,511.46</w:t>
                    </w:r>
                  </w:p>
                </w:tc>
                <w:tc>
                  <w:tcPr>
                    <w:tcW w:w="1843" w:type="dxa"/>
                    <w:tcBorders>
                      <w:top w:val="single" w:color="auto" w:sz="4" w:space="0"/>
                      <w:left w:val="nil"/>
                      <w:bottom w:val="single" w:color="auto" w:sz="4" w:space="0"/>
                      <w:right w:val="single" w:color="auto" w:sz="4" w:space="0"/>
                    </w:tcBorders>
                    <w:vAlign w:val="center"/>
                  </w:tcPr>
                  <w:p w14:paraId="4A403E98">
                    <w:pPr>
                      <w:jc w:val="right"/>
                      <w:rPr>
                        <w:kern w:val="2"/>
                        <w:sz w:val="20"/>
                        <w:szCs w:val="24"/>
                      </w:rPr>
                    </w:pPr>
                    <w:r>
                      <w:rPr>
                        <w:sz w:val="20"/>
                        <w:szCs w:val="24"/>
                      </w:rPr>
                      <w:t>-568,921,382.68</w:t>
                    </w:r>
                  </w:p>
                </w:tc>
                <w:tc>
                  <w:tcPr>
                    <w:tcW w:w="1134" w:type="dxa"/>
                    <w:tcBorders>
                      <w:top w:val="single" w:color="auto" w:sz="4" w:space="0"/>
                      <w:left w:val="nil"/>
                      <w:bottom w:val="single" w:color="auto" w:sz="4" w:space="0"/>
                      <w:right w:val="single" w:color="auto" w:sz="4" w:space="0"/>
                    </w:tcBorders>
                    <w:vAlign w:val="center"/>
                  </w:tcPr>
                  <w:p w14:paraId="1120F86D">
                    <w:pPr>
                      <w:jc w:val="right"/>
                      <w:rPr>
                        <w:rFonts w:ascii="宋体" w:hAnsi="宋体" w:cs="宋体"/>
                        <w:kern w:val="2"/>
                        <w:sz w:val="20"/>
                        <w:szCs w:val="24"/>
                      </w:rPr>
                    </w:pPr>
                    <w:r>
                      <w:rPr>
                        <w:sz w:val="20"/>
                        <w:szCs w:val="20"/>
                      </w:rPr>
                      <w:t>不适用</w:t>
                    </w:r>
                  </w:p>
                </w:tc>
                <w:tc>
                  <w:tcPr>
                    <w:tcW w:w="3260" w:type="dxa"/>
                    <w:tcBorders>
                      <w:top w:val="single" w:color="auto" w:sz="4" w:space="0"/>
                      <w:left w:val="nil"/>
                      <w:bottom w:val="single" w:color="auto" w:sz="4" w:space="0"/>
                      <w:right w:val="single" w:color="auto" w:sz="4" w:space="0"/>
                    </w:tcBorders>
                    <w:vAlign w:val="center"/>
                  </w:tcPr>
                  <w:p w14:paraId="0CCACF2D">
                    <w:pPr>
                      <w:jc w:val="both"/>
                      <w:rPr>
                        <w:rFonts w:ascii="宋体" w:hAnsi="宋体" w:cs="宋体"/>
                        <w:kern w:val="2"/>
                        <w:sz w:val="20"/>
                        <w:szCs w:val="24"/>
                        <w:highlight w:val="yellow"/>
                      </w:rPr>
                    </w:pPr>
                    <w:r>
                      <w:rPr>
                        <w:rFonts w:hint="eastAsia" w:ascii="宋体" w:hAnsi="宋体" w:cs="宋体"/>
                        <w:kern w:val="2"/>
                        <w:sz w:val="20"/>
                        <w:szCs w:val="24"/>
                      </w:rPr>
                      <w:t>主要系报告期内收到转让特宝生物股份款项所致。</w:t>
                    </w:r>
                  </w:p>
                </w:tc>
              </w:tr>
              <w:tr w14:paraId="7039979A">
                <w:tblPrEx>
                  <w:tblCellMar>
                    <w:top w:w="28" w:type="dxa"/>
                    <w:left w:w="108" w:type="dxa"/>
                    <w:bottom w:w="28" w:type="dxa"/>
                    <w:right w:w="108" w:type="dxa"/>
                  </w:tblCellMar>
                </w:tblPrEx>
                <w:trPr>
                  <w:trHeight w:val="454" w:hRule="atLeast"/>
                </w:trPr>
                <w:tc>
                  <w:tcPr>
                    <w:tcW w:w="1701" w:type="dxa"/>
                    <w:tcBorders>
                      <w:top w:val="single" w:color="auto" w:sz="4" w:space="0"/>
                      <w:left w:val="single" w:color="auto" w:sz="4" w:space="0"/>
                      <w:bottom w:val="single" w:color="auto" w:sz="4" w:space="0"/>
                      <w:right w:val="single" w:color="auto" w:sz="4" w:space="0"/>
                    </w:tcBorders>
                    <w:vAlign w:val="center"/>
                  </w:tcPr>
                  <w:p w14:paraId="43DD9B9A">
                    <w:pPr>
                      <w:jc w:val="both"/>
                      <w:rPr>
                        <w:rFonts w:ascii="宋体" w:hAnsi="宋体" w:cs="宋体"/>
                        <w:kern w:val="2"/>
                        <w:sz w:val="20"/>
                        <w:szCs w:val="24"/>
                      </w:rPr>
                    </w:pPr>
                    <w:r>
                      <w:rPr>
                        <w:rFonts w:hint="eastAsia" w:ascii="宋体" w:hAnsi="宋体" w:cs="宋体"/>
                        <w:kern w:val="2"/>
                        <w:sz w:val="20"/>
                        <w:szCs w:val="24"/>
                      </w:rPr>
                      <w:t>筹资活动产生的现金流量净额</w:t>
                    </w:r>
                  </w:p>
                </w:tc>
                <w:tc>
                  <w:tcPr>
                    <w:tcW w:w="1843" w:type="dxa"/>
                    <w:tcBorders>
                      <w:top w:val="single" w:color="auto" w:sz="4" w:space="0"/>
                      <w:left w:val="nil"/>
                      <w:bottom w:val="single" w:color="auto" w:sz="4" w:space="0"/>
                      <w:right w:val="single" w:color="auto" w:sz="4" w:space="0"/>
                    </w:tcBorders>
                    <w:vAlign w:val="center"/>
                  </w:tcPr>
                  <w:p w14:paraId="48F6988B">
                    <w:pPr>
                      <w:jc w:val="right"/>
                      <w:rPr>
                        <w:kern w:val="2"/>
                        <w:sz w:val="20"/>
                        <w:szCs w:val="24"/>
                      </w:rPr>
                    </w:pPr>
                    <w:r>
                      <w:rPr>
                        <w:sz w:val="20"/>
                        <w:szCs w:val="20"/>
                      </w:rPr>
                      <w:t>-639,436,055.28</w:t>
                    </w:r>
                  </w:p>
                </w:tc>
                <w:tc>
                  <w:tcPr>
                    <w:tcW w:w="1843" w:type="dxa"/>
                    <w:tcBorders>
                      <w:top w:val="single" w:color="auto" w:sz="4" w:space="0"/>
                      <w:left w:val="nil"/>
                      <w:bottom w:val="single" w:color="auto" w:sz="4" w:space="0"/>
                      <w:right w:val="single" w:color="auto" w:sz="4" w:space="0"/>
                    </w:tcBorders>
                    <w:vAlign w:val="center"/>
                  </w:tcPr>
                  <w:p w14:paraId="51299D0A">
                    <w:pPr>
                      <w:jc w:val="right"/>
                      <w:rPr>
                        <w:kern w:val="2"/>
                        <w:sz w:val="20"/>
                        <w:szCs w:val="24"/>
                      </w:rPr>
                    </w:pPr>
                    <w:r>
                      <w:rPr>
                        <w:sz w:val="20"/>
                        <w:szCs w:val="24"/>
                      </w:rPr>
                      <w:t>-407,760,884.49</w:t>
                    </w:r>
                  </w:p>
                </w:tc>
                <w:tc>
                  <w:tcPr>
                    <w:tcW w:w="1134" w:type="dxa"/>
                    <w:tcBorders>
                      <w:top w:val="single" w:color="auto" w:sz="4" w:space="0"/>
                      <w:left w:val="nil"/>
                      <w:bottom w:val="single" w:color="auto" w:sz="4" w:space="0"/>
                      <w:right w:val="single" w:color="auto" w:sz="4" w:space="0"/>
                    </w:tcBorders>
                    <w:vAlign w:val="center"/>
                  </w:tcPr>
                  <w:p w14:paraId="20D4ADA7">
                    <w:pPr>
                      <w:jc w:val="right"/>
                      <w:rPr>
                        <w:rFonts w:ascii="宋体" w:hAnsi="宋体" w:cs="宋体"/>
                        <w:kern w:val="2"/>
                        <w:sz w:val="20"/>
                        <w:szCs w:val="24"/>
                      </w:rPr>
                    </w:pPr>
                    <w:r>
                      <w:rPr>
                        <w:sz w:val="20"/>
                        <w:szCs w:val="20"/>
                      </w:rPr>
                      <w:t>不适用</w:t>
                    </w:r>
                  </w:p>
                </w:tc>
                <w:tc>
                  <w:tcPr>
                    <w:tcW w:w="3260" w:type="dxa"/>
                    <w:tcBorders>
                      <w:top w:val="single" w:color="auto" w:sz="4" w:space="0"/>
                      <w:left w:val="nil"/>
                      <w:bottom w:val="single" w:color="auto" w:sz="4" w:space="0"/>
                      <w:right w:val="single" w:color="auto" w:sz="4" w:space="0"/>
                    </w:tcBorders>
                    <w:vAlign w:val="center"/>
                  </w:tcPr>
                  <w:p w14:paraId="639B9D6E">
                    <w:pPr>
                      <w:jc w:val="both"/>
                      <w:rPr>
                        <w:rFonts w:ascii="宋体" w:hAnsi="宋体" w:cs="宋体"/>
                        <w:kern w:val="2"/>
                        <w:sz w:val="20"/>
                        <w:szCs w:val="24"/>
                        <w:highlight w:val="yellow"/>
                      </w:rPr>
                    </w:pPr>
                    <w:r>
                      <w:rPr>
                        <w:rFonts w:hint="eastAsia" w:ascii="宋体" w:hAnsi="宋体" w:cs="宋体"/>
                        <w:kern w:val="2"/>
                        <w:sz w:val="20"/>
                        <w:szCs w:val="24"/>
                      </w:rPr>
                      <w:t>主要系报告期取得银行借款较同期减少同时偿还银行借款较同期增加，以及上年同期归还应收账款保理融资款项所致。</w:t>
                    </w:r>
                  </w:p>
                </w:tc>
              </w:tr>
            </w:tbl>
            <w:p w14:paraId="2151BABF">
              <w:pPr>
                <w:widowControl w:val="0"/>
                <w:jc w:val="both"/>
                <w:rPr>
                  <w:rFonts w:ascii="Calibri" w:hAnsi="Calibri"/>
                  <w:kern w:val="2"/>
                </w:rPr>
              </w:pPr>
            </w:p>
          </w:sdtContent>
        </w:sdt>
      </w:sdtContent>
    </w:sdt>
    <w:p w14:paraId="6F49772D">
      <w:pPr>
        <w:pStyle w:val="48"/>
      </w:pPr>
    </w:p>
    <w:p w14:paraId="28578099">
      <w:pPr>
        <w:pStyle w:val="4"/>
        <w:numPr>
          <w:ilvl w:val="0"/>
          <w:numId w:val="8"/>
        </w:numPr>
        <w:ind w:left="0" w:firstLine="0"/>
        <w:rPr>
          <w:szCs w:val="21"/>
        </w:rPr>
      </w:pPr>
      <w:r>
        <w:rPr>
          <w:rFonts w:hint="eastAsia"/>
          <w:szCs w:val="21"/>
        </w:rPr>
        <w:t>非主营业务导致利润重大变化的说明</w:t>
      </w:r>
    </w:p>
    <w:sdt>
      <w:sdtPr>
        <w:alias w:val="是否适用：非主营业务来源分析[双击切换]"/>
        <w:tag w:val="_GBC_e76b46ce658b44e591e71db49febe73d"/>
        <w:id w:val="555290233"/>
        <w:placeholder>
          <w:docPart w:val="GBC22222222222222222222222222222"/>
        </w:placeholder>
      </w:sdtPr>
      <w:sdtContent>
        <w:p w14:paraId="511293EE">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907F434">
      <w:pPr>
        <w:pStyle w:val="48"/>
        <w:spacing w:line="360" w:lineRule="auto"/>
        <w:ind w:firstLine="420" w:firstLineChars="200"/>
        <w:rPr>
          <w:rFonts w:ascii="Times New Roman" w:hAnsi="Times New Roman"/>
          <w:kern w:val="0"/>
        </w:rPr>
      </w:pPr>
      <w:r>
        <w:rPr>
          <w:rFonts w:hint="eastAsia" w:ascii="Times New Roman" w:hAnsi="Times New Roman"/>
          <w:kern w:val="0"/>
        </w:rPr>
        <w:t>公司于2025年5月22日与西藏信托有限公司（代表“西藏信托-金桐35号集合资金信托计划”）签署了《股份转让协议》，以协议转让方式转让特宝生物无限售条件流通股股份23,187,600股，占特宝生物当前总股本的5.70%，转让价格56.12元/股，转让价款总额为人民币1,301,288,112元。</w:t>
      </w:r>
    </w:p>
    <w:p w14:paraId="7F9F1173">
      <w:pPr>
        <w:pStyle w:val="48"/>
        <w:spacing w:line="360" w:lineRule="auto"/>
        <w:ind w:firstLine="420" w:firstLineChars="200"/>
        <w:rPr>
          <w:rFonts w:ascii="Times New Roman" w:hAnsi="Times New Roman"/>
          <w:kern w:val="0"/>
        </w:rPr>
      </w:pPr>
      <w:r>
        <w:rPr>
          <w:rFonts w:hint="eastAsia" w:ascii="Times New Roman" w:hAnsi="Times New Roman"/>
          <w:kern w:val="0"/>
        </w:rPr>
        <w:t>本次股份协议转让过户登记手续已办理完毕，于2025年7月3日取得中国证券登记结算有限责任公司出具的《证券过户登记确认书》。本次股权转让产生的投资收益10.99亿元，致使公司净利润大幅增加。</w:t>
      </w:r>
    </w:p>
    <w:p w14:paraId="1C350567">
      <w:pPr>
        <w:pStyle w:val="4"/>
        <w:numPr>
          <w:ilvl w:val="0"/>
          <w:numId w:val="8"/>
        </w:numPr>
        <w:ind w:left="0" w:firstLine="0"/>
        <w:rPr>
          <w:szCs w:val="21"/>
        </w:rPr>
      </w:pPr>
      <w:r>
        <w:rPr>
          <w:rFonts w:hint="eastAsia"/>
          <w:szCs w:val="21"/>
        </w:rPr>
        <w:t>资产、负债情况分析</w:t>
      </w:r>
    </w:p>
    <w:p w14:paraId="709F9252">
      <w:pPr>
        <w:pStyle w:val="48"/>
      </w:pPr>
      <w:sdt>
        <w:sdtPr>
          <w:rPr>
            <w:rFonts w:hint="eastAsia"/>
          </w:rPr>
          <w:alias w:val="是否适用：资产、负债情况分析[双击切换]"/>
          <w:tag w:val="_GBC_73f72b786f764d01bef1bb70d2d6e5c6"/>
          <w:id w:val="2079238698"/>
          <w:lock w:val="contentLocked"/>
          <w:placeholder>
            <w:docPart w:val="GBC22222222222222222222222222222"/>
          </w:placeholder>
        </w:sdtPr>
        <w:sdtEndPr>
          <w:rPr>
            <w:rFonts w:hint="eastAsia"/>
          </w:rPr>
        </w:sdtEndPr>
        <w:sdtContent>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3AE0586D">
      <w:pPr>
        <w:pStyle w:val="5"/>
        <w:numPr>
          <w:ilvl w:val="0"/>
          <w:numId w:val="12"/>
        </w:numPr>
      </w:pPr>
      <w:r>
        <w:t>资产</w:t>
      </w:r>
      <w:r>
        <w:rPr>
          <w:rFonts w:hint="eastAsia"/>
        </w:rPr>
        <w:t>及</w:t>
      </w:r>
      <w:r>
        <w:t>负债</w:t>
      </w:r>
      <w:r>
        <w:rPr>
          <w:rFonts w:hint="eastAsia"/>
          <w:szCs w:val="21"/>
        </w:rPr>
        <w:t>状</w:t>
      </w:r>
      <w:r>
        <w:rPr>
          <w:szCs w:val="21"/>
        </w:rPr>
        <w:t>况</w:t>
      </w:r>
    </w:p>
    <w:p w14:paraId="77FEE90A">
      <w:pPr>
        <w:wordWrap w:val="0"/>
        <w:jc w:val="right"/>
      </w:pPr>
      <w:r>
        <w:rPr>
          <w:rFonts w:hint="eastAsia"/>
        </w:rPr>
        <w:t>单位：</w:t>
      </w:r>
      <w:sdt>
        <w:sdtPr>
          <w:rPr>
            <w:rFonts w:hint="eastAsia"/>
          </w:rPr>
          <w:alias w:val="单位：资产负债状况分析"/>
          <w:tag w:val="_GBC_f016c1cffd884dd784e4fb134fd0d4df"/>
          <w:id w:val="17862266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资产负债状况分析"/>
          <w:tag w:val="_GBC_18960409397a4cf093654b8114508f4b"/>
          <w:id w:val="-334309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20"/>
        <w:tblW w:w="11057" w:type="dxa"/>
        <w:tblInd w:w="-12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1701"/>
        <w:gridCol w:w="850"/>
        <w:gridCol w:w="1560"/>
        <w:gridCol w:w="850"/>
        <w:gridCol w:w="1134"/>
        <w:gridCol w:w="2835"/>
      </w:tblGrid>
      <w:tr w14:paraId="13C4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sdt>
          <w:sdtPr>
            <w:tag w:val="_PLD_8f1f37d9a09f4bf3a8f4c407297e58ed"/>
            <w:id w:val="849989033"/>
          </w:sdtPr>
          <w:sdtContent>
            <w:tc>
              <w:tcPr>
                <w:tcW w:w="2127" w:type="dxa"/>
                <w:vAlign w:val="center"/>
              </w:tcPr>
              <w:p w14:paraId="1F914F1C">
                <w:pPr>
                  <w:widowControl w:val="0"/>
                  <w:jc w:val="center"/>
                  <w:rPr>
                    <w:rStyle w:val="27"/>
                  </w:rPr>
                </w:pPr>
                <w:r>
                  <w:t>项目名称</w:t>
                </w:r>
              </w:p>
            </w:tc>
          </w:sdtContent>
        </w:sdt>
        <w:sdt>
          <w:sdtPr>
            <w:tag w:val="_PLD_a4c00a3d0d0a42e28bc6a14dd6d26320"/>
            <w:id w:val="931404433"/>
          </w:sdtPr>
          <w:sdtContent>
            <w:tc>
              <w:tcPr>
                <w:tcW w:w="1701" w:type="dxa"/>
                <w:vAlign w:val="center"/>
              </w:tcPr>
              <w:p w14:paraId="719B2E81">
                <w:pPr>
                  <w:widowControl w:val="0"/>
                  <w:jc w:val="center"/>
                  <w:rPr>
                    <w:rStyle w:val="27"/>
                  </w:rPr>
                </w:pPr>
                <w:r>
                  <w:t>本期期末数</w:t>
                </w:r>
              </w:p>
            </w:tc>
          </w:sdtContent>
        </w:sdt>
        <w:sdt>
          <w:sdtPr>
            <w:tag w:val="_PLD_17de20223ad64b528b824744807b0036"/>
            <w:id w:val="-2133475191"/>
          </w:sdtPr>
          <w:sdtContent>
            <w:tc>
              <w:tcPr>
                <w:tcW w:w="850" w:type="dxa"/>
                <w:vAlign w:val="center"/>
              </w:tcPr>
              <w:p w14:paraId="352EC326">
                <w:pPr>
                  <w:widowControl w:val="0"/>
                  <w:jc w:val="center"/>
                  <w:rPr>
                    <w:rStyle w:val="27"/>
                  </w:rPr>
                </w:pPr>
                <w:r>
                  <w:t>本期期末数占总资产的比例（%）</w:t>
                </w:r>
              </w:p>
            </w:tc>
          </w:sdtContent>
        </w:sdt>
        <w:sdt>
          <w:sdtPr>
            <w:tag w:val="_PLD_d1b9e9483c3a41358f877758b5adb0fb"/>
            <w:id w:val="-1204705616"/>
          </w:sdtPr>
          <w:sdtContent>
            <w:tc>
              <w:tcPr>
                <w:tcW w:w="1560" w:type="dxa"/>
                <w:vAlign w:val="center"/>
              </w:tcPr>
              <w:p w14:paraId="67DD27D5">
                <w:pPr>
                  <w:widowControl w:val="0"/>
                  <w:jc w:val="center"/>
                  <w:rPr>
                    <w:rStyle w:val="27"/>
                  </w:rPr>
                </w:pPr>
                <w:r>
                  <w:t>上期期末数</w:t>
                </w:r>
              </w:p>
            </w:tc>
          </w:sdtContent>
        </w:sdt>
        <w:sdt>
          <w:sdtPr>
            <w:tag w:val="_PLD_3a8a8577e1a84f26856a900f7202f9a8"/>
            <w:id w:val="303743774"/>
          </w:sdtPr>
          <w:sdtContent>
            <w:tc>
              <w:tcPr>
                <w:tcW w:w="850" w:type="dxa"/>
                <w:vAlign w:val="center"/>
              </w:tcPr>
              <w:p w14:paraId="329F9DB1">
                <w:pPr>
                  <w:widowControl w:val="0"/>
                  <w:jc w:val="center"/>
                  <w:rPr>
                    <w:rStyle w:val="27"/>
                  </w:rPr>
                </w:pPr>
                <w:r>
                  <w:t>上期期末数占总资产的比例（%）</w:t>
                </w:r>
              </w:p>
            </w:tc>
          </w:sdtContent>
        </w:sdt>
        <w:sdt>
          <w:sdtPr>
            <w:tag w:val="_PLD_8af1894621b84d44aec1deba51e3a7da"/>
            <w:id w:val="-1007588641"/>
          </w:sdtPr>
          <w:sdtContent>
            <w:tc>
              <w:tcPr>
                <w:tcW w:w="1134" w:type="dxa"/>
                <w:vAlign w:val="center"/>
              </w:tcPr>
              <w:p w14:paraId="5F664EB0">
                <w:pPr>
                  <w:widowControl w:val="0"/>
                  <w:jc w:val="center"/>
                  <w:rPr>
                    <w:rStyle w:val="27"/>
                  </w:rPr>
                </w:pPr>
                <w:r>
                  <w:t>本期期末金额较上期期末变动比例（%）</w:t>
                </w:r>
              </w:p>
            </w:tc>
          </w:sdtContent>
        </w:sdt>
        <w:sdt>
          <w:sdtPr>
            <w:tag w:val="_PLD_495436d1d45e4a9391194459a895631e"/>
            <w:id w:val="1462761909"/>
          </w:sdtPr>
          <w:sdtContent>
            <w:tc>
              <w:tcPr>
                <w:tcW w:w="2835" w:type="dxa"/>
                <w:vAlign w:val="center"/>
              </w:tcPr>
              <w:p w14:paraId="0F3E7E36">
                <w:pPr>
                  <w:widowControl w:val="0"/>
                  <w:jc w:val="center"/>
                  <w:rPr>
                    <w:rStyle w:val="27"/>
                  </w:rPr>
                </w:pPr>
                <w:r>
                  <w:t>情况说明</w:t>
                </w:r>
              </w:p>
            </w:tc>
          </w:sdtContent>
        </w:sdt>
      </w:tr>
      <w:tr w14:paraId="2D1E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3DD671C6">
            <w:pPr>
              <w:pStyle w:val="48"/>
            </w:pPr>
            <w:r>
              <w:t>货币资金</w:t>
            </w:r>
          </w:p>
        </w:tc>
        <w:tc>
          <w:tcPr>
            <w:tcW w:w="1701" w:type="dxa"/>
            <w:vAlign w:val="center"/>
          </w:tcPr>
          <w:p w14:paraId="75777C80">
            <w:pPr>
              <w:widowControl w:val="0"/>
              <w:jc w:val="right"/>
            </w:pPr>
            <w:r>
              <w:t>1,433,834,623.49</w:t>
            </w:r>
          </w:p>
        </w:tc>
        <w:tc>
          <w:tcPr>
            <w:tcW w:w="850" w:type="dxa"/>
            <w:vAlign w:val="center"/>
          </w:tcPr>
          <w:p w14:paraId="7747E3CD">
            <w:pPr>
              <w:widowControl w:val="0"/>
              <w:jc w:val="right"/>
            </w:pPr>
            <w:r>
              <w:t>18.14</w:t>
            </w:r>
          </w:p>
        </w:tc>
        <w:tc>
          <w:tcPr>
            <w:tcW w:w="1560" w:type="dxa"/>
            <w:vAlign w:val="center"/>
          </w:tcPr>
          <w:p w14:paraId="31E92A07">
            <w:pPr>
              <w:widowControl w:val="0"/>
              <w:jc w:val="right"/>
            </w:pPr>
            <w:r>
              <w:t>590,195,292.13</w:t>
            </w:r>
          </w:p>
        </w:tc>
        <w:tc>
          <w:tcPr>
            <w:tcW w:w="850" w:type="dxa"/>
            <w:vAlign w:val="center"/>
          </w:tcPr>
          <w:p w14:paraId="42CA1331">
            <w:pPr>
              <w:widowControl w:val="0"/>
              <w:jc w:val="right"/>
            </w:pPr>
            <w:r>
              <w:t>7.99</w:t>
            </w:r>
          </w:p>
        </w:tc>
        <w:tc>
          <w:tcPr>
            <w:tcW w:w="1134" w:type="dxa"/>
            <w:vAlign w:val="center"/>
          </w:tcPr>
          <w:p w14:paraId="711B67BB">
            <w:pPr>
              <w:widowControl w:val="0"/>
              <w:jc w:val="right"/>
            </w:pPr>
            <w:r>
              <w:t>142.94</w:t>
            </w:r>
          </w:p>
        </w:tc>
        <w:tc>
          <w:tcPr>
            <w:tcW w:w="2835" w:type="dxa"/>
            <w:vAlign w:val="center"/>
          </w:tcPr>
          <w:p w14:paraId="1E336650">
            <w:pPr>
              <w:pStyle w:val="48"/>
            </w:pPr>
            <w:r>
              <w:t>主要系报告期内收到转让特宝生物股份款项及营业收入增加所致</w:t>
            </w:r>
            <w:r>
              <w:rPr>
                <w:rFonts w:hint="eastAsia"/>
              </w:rPr>
              <w:t>。</w:t>
            </w:r>
          </w:p>
        </w:tc>
      </w:tr>
      <w:tr w14:paraId="3040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1EF2CAC2">
            <w:pPr>
              <w:pStyle w:val="48"/>
            </w:pPr>
            <w:r>
              <w:t>应收票据</w:t>
            </w:r>
          </w:p>
        </w:tc>
        <w:tc>
          <w:tcPr>
            <w:tcW w:w="1701" w:type="dxa"/>
            <w:vAlign w:val="center"/>
          </w:tcPr>
          <w:p w14:paraId="577C6CEE">
            <w:pPr>
              <w:widowControl w:val="0"/>
              <w:jc w:val="right"/>
            </w:pPr>
            <w:r>
              <w:t>16,074,681.54</w:t>
            </w:r>
          </w:p>
        </w:tc>
        <w:tc>
          <w:tcPr>
            <w:tcW w:w="850" w:type="dxa"/>
            <w:vAlign w:val="center"/>
          </w:tcPr>
          <w:p w14:paraId="0E98D16C">
            <w:pPr>
              <w:widowControl w:val="0"/>
              <w:jc w:val="right"/>
            </w:pPr>
            <w:r>
              <w:t>0.20</w:t>
            </w:r>
          </w:p>
        </w:tc>
        <w:tc>
          <w:tcPr>
            <w:tcW w:w="1560" w:type="dxa"/>
            <w:vAlign w:val="center"/>
          </w:tcPr>
          <w:p w14:paraId="3D4B1232">
            <w:pPr>
              <w:widowControl w:val="0"/>
              <w:jc w:val="right"/>
            </w:pPr>
            <w:r>
              <w:t>6,634,809.89</w:t>
            </w:r>
          </w:p>
        </w:tc>
        <w:tc>
          <w:tcPr>
            <w:tcW w:w="850" w:type="dxa"/>
            <w:vAlign w:val="center"/>
          </w:tcPr>
          <w:p w14:paraId="07357398">
            <w:pPr>
              <w:widowControl w:val="0"/>
              <w:jc w:val="right"/>
            </w:pPr>
            <w:r>
              <w:t>0.09</w:t>
            </w:r>
          </w:p>
        </w:tc>
        <w:tc>
          <w:tcPr>
            <w:tcW w:w="1134" w:type="dxa"/>
            <w:vAlign w:val="center"/>
          </w:tcPr>
          <w:p w14:paraId="073F62D3">
            <w:pPr>
              <w:widowControl w:val="0"/>
              <w:jc w:val="right"/>
            </w:pPr>
            <w:r>
              <w:t>142.28</w:t>
            </w:r>
          </w:p>
        </w:tc>
        <w:tc>
          <w:tcPr>
            <w:tcW w:w="2835" w:type="dxa"/>
            <w:vAlign w:val="center"/>
          </w:tcPr>
          <w:p w14:paraId="028A530F">
            <w:pPr>
              <w:pStyle w:val="48"/>
            </w:pPr>
            <w:r>
              <w:t>主要系报告期客户使用银行承兑汇票结算货款增加所致</w:t>
            </w:r>
            <w:r>
              <w:rPr>
                <w:rFonts w:hint="eastAsia"/>
              </w:rPr>
              <w:t>。</w:t>
            </w:r>
          </w:p>
        </w:tc>
      </w:tr>
      <w:tr w14:paraId="42D5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4BE65D73">
            <w:pPr>
              <w:pStyle w:val="48"/>
            </w:pPr>
            <w:r>
              <w:t>预付款项</w:t>
            </w:r>
          </w:p>
        </w:tc>
        <w:tc>
          <w:tcPr>
            <w:tcW w:w="1701" w:type="dxa"/>
            <w:vAlign w:val="center"/>
          </w:tcPr>
          <w:p w14:paraId="0EB1C791">
            <w:pPr>
              <w:widowControl w:val="0"/>
              <w:jc w:val="right"/>
            </w:pPr>
            <w:r>
              <w:t>38,911,571.05</w:t>
            </w:r>
          </w:p>
        </w:tc>
        <w:tc>
          <w:tcPr>
            <w:tcW w:w="850" w:type="dxa"/>
            <w:vAlign w:val="center"/>
          </w:tcPr>
          <w:p w14:paraId="1A33FF99">
            <w:pPr>
              <w:widowControl w:val="0"/>
              <w:jc w:val="right"/>
            </w:pPr>
            <w:r>
              <w:t>0.49</w:t>
            </w:r>
          </w:p>
        </w:tc>
        <w:tc>
          <w:tcPr>
            <w:tcW w:w="1560" w:type="dxa"/>
            <w:vAlign w:val="center"/>
          </w:tcPr>
          <w:p w14:paraId="5257EC87">
            <w:pPr>
              <w:widowControl w:val="0"/>
              <w:jc w:val="right"/>
            </w:pPr>
            <w:r>
              <w:t>28,365,363.12</w:t>
            </w:r>
          </w:p>
        </w:tc>
        <w:tc>
          <w:tcPr>
            <w:tcW w:w="850" w:type="dxa"/>
            <w:vAlign w:val="center"/>
          </w:tcPr>
          <w:p w14:paraId="6BC1DEF7">
            <w:pPr>
              <w:widowControl w:val="0"/>
              <w:jc w:val="right"/>
            </w:pPr>
            <w:r>
              <w:t>0.38</w:t>
            </w:r>
          </w:p>
        </w:tc>
        <w:tc>
          <w:tcPr>
            <w:tcW w:w="1134" w:type="dxa"/>
            <w:vAlign w:val="center"/>
          </w:tcPr>
          <w:p w14:paraId="6B679423">
            <w:pPr>
              <w:widowControl w:val="0"/>
              <w:jc w:val="right"/>
            </w:pPr>
            <w:r>
              <w:t>37.18</w:t>
            </w:r>
          </w:p>
        </w:tc>
        <w:tc>
          <w:tcPr>
            <w:tcW w:w="2835" w:type="dxa"/>
            <w:vAlign w:val="center"/>
          </w:tcPr>
          <w:p w14:paraId="4E1CD08E">
            <w:pPr>
              <w:pStyle w:val="48"/>
            </w:pPr>
            <w:r>
              <w:t>主要系报告期预付采购货款增加所致</w:t>
            </w:r>
            <w:r>
              <w:rPr>
                <w:rFonts w:hint="eastAsia"/>
              </w:rPr>
              <w:t>。</w:t>
            </w:r>
          </w:p>
        </w:tc>
      </w:tr>
      <w:tr w14:paraId="1794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6C3252A7">
            <w:pPr>
              <w:pStyle w:val="48"/>
            </w:pPr>
            <w:r>
              <w:t>其他应收款</w:t>
            </w:r>
          </w:p>
        </w:tc>
        <w:tc>
          <w:tcPr>
            <w:tcW w:w="1701" w:type="dxa"/>
            <w:vAlign w:val="center"/>
          </w:tcPr>
          <w:p w14:paraId="57E469EF">
            <w:pPr>
              <w:widowControl w:val="0"/>
              <w:jc w:val="right"/>
            </w:pPr>
            <w:r>
              <w:t>10,524,522.55</w:t>
            </w:r>
          </w:p>
        </w:tc>
        <w:tc>
          <w:tcPr>
            <w:tcW w:w="850" w:type="dxa"/>
            <w:vAlign w:val="center"/>
          </w:tcPr>
          <w:p w14:paraId="6DA12226">
            <w:pPr>
              <w:widowControl w:val="0"/>
              <w:jc w:val="right"/>
            </w:pPr>
            <w:r>
              <w:t>0.13</w:t>
            </w:r>
          </w:p>
        </w:tc>
        <w:tc>
          <w:tcPr>
            <w:tcW w:w="1560" w:type="dxa"/>
            <w:vAlign w:val="center"/>
          </w:tcPr>
          <w:p w14:paraId="07EEC79C">
            <w:pPr>
              <w:widowControl w:val="0"/>
              <w:jc w:val="right"/>
            </w:pPr>
            <w:r>
              <w:t>7,881,764.21</w:t>
            </w:r>
          </w:p>
        </w:tc>
        <w:tc>
          <w:tcPr>
            <w:tcW w:w="850" w:type="dxa"/>
            <w:vAlign w:val="center"/>
          </w:tcPr>
          <w:p w14:paraId="4229E9AE">
            <w:pPr>
              <w:widowControl w:val="0"/>
              <w:jc w:val="right"/>
            </w:pPr>
            <w:r>
              <w:t>0.11</w:t>
            </w:r>
          </w:p>
        </w:tc>
        <w:tc>
          <w:tcPr>
            <w:tcW w:w="1134" w:type="dxa"/>
            <w:vAlign w:val="center"/>
          </w:tcPr>
          <w:p w14:paraId="4492331F">
            <w:pPr>
              <w:widowControl w:val="0"/>
              <w:jc w:val="right"/>
            </w:pPr>
            <w:r>
              <w:t>33.53</w:t>
            </w:r>
          </w:p>
        </w:tc>
        <w:tc>
          <w:tcPr>
            <w:tcW w:w="2835" w:type="dxa"/>
            <w:vAlign w:val="center"/>
          </w:tcPr>
          <w:p w14:paraId="452C9861">
            <w:pPr>
              <w:pStyle w:val="48"/>
            </w:pPr>
            <w:r>
              <w:t>主要系报告期支付租赁押金及履约保证金增加所致</w:t>
            </w:r>
            <w:r>
              <w:rPr>
                <w:rFonts w:hint="eastAsia"/>
              </w:rPr>
              <w:t>。</w:t>
            </w:r>
          </w:p>
        </w:tc>
      </w:tr>
      <w:tr w14:paraId="3DCB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08268DFE">
            <w:pPr>
              <w:pStyle w:val="48"/>
            </w:pPr>
            <w:r>
              <w:t>其他流动资产</w:t>
            </w:r>
          </w:p>
        </w:tc>
        <w:tc>
          <w:tcPr>
            <w:tcW w:w="1701" w:type="dxa"/>
            <w:vAlign w:val="center"/>
          </w:tcPr>
          <w:p w14:paraId="63A4FE21">
            <w:pPr>
              <w:widowControl w:val="0"/>
              <w:jc w:val="right"/>
            </w:pPr>
            <w:r>
              <w:t>12,852,814.19</w:t>
            </w:r>
          </w:p>
        </w:tc>
        <w:tc>
          <w:tcPr>
            <w:tcW w:w="850" w:type="dxa"/>
            <w:vAlign w:val="center"/>
          </w:tcPr>
          <w:p w14:paraId="39A2D2D4">
            <w:pPr>
              <w:widowControl w:val="0"/>
              <w:jc w:val="right"/>
            </w:pPr>
            <w:r>
              <w:t>0.16</w:t>
            </w:r>
          </w:p>
        </w:tc>
        <w:tc>
          <w:tcPr>
            <w:tcW w:w="1560" w:type="dxa"/>
            <w:vAlign w:val="center"/>
          </w:tcPr>
          <w:p w14:paraId="29F3DD92">
            <w:pPr>
              <w:widowControl w:val="0"/>
              <w:jc w:val="right"/>
            </w:pPr>
            <w:r>
              <w:t>44,197,024.41</w:t>
            </w:r>
          </w:p>
        </w:tc>
        <w:tc>
          <w:tcPr>
            <w:tcW w:w="850" w:type="dxa"/>
            <w:vAlign w:val="center"/>
          </w:tcPr>
          <w:p w14:paraId="0EB5D9CF">
            <w:pPr>
              <w:widowControl w:val="0"/>
              <w:jc w:val="right"/>
            </w:pPr>
            <w:r>
              <w:t>0.60</w:t>
            </w:r>
          </w:p>
        </w:tc>
        <w:tc>
          <w:tcPr>
            <w:tcW w:w="1134" w:type="dxa"/>
            <w:vAlign w:val="center"/>
          </w:tcPr>
          <w:p w14:paraId="0A1BB8AE">
            <w:pPr>
              <w:widowControl w:val="0"/>
              <w:jc w:val="right"/>
            </w:pPr>
            <w:r>
              <w:t>-70.92</w:t>
            </w:r>
          </w:p>
        </w:tc>
        <w:tc>
          <w:tcPr>
            <w:tcW w:w="2835" w:type="dxa"/>
            <w:vAlign w:val="center"/>
          </w:tcPr>
          <w:p w14:paraId="7A8A3F94">
            <w:pPr>
              <w:pStyle w:val="48"/>
            </w:pPr>
            <w:r>
              <w:t>主要系报告期预交企业所得税减少所致</w:t>
            </w:r>
            <w:r>
              <w:rPr>
                <w:rFonts w:hint="eastAsia"/>
              </w:rPr>
              <w:t>。</w:t>
            </w:r>
          </w:p>
        </w:tc>
      </w:tr>
      <w:tr w14:paraId="7A5D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7CBB750A">
            <w:pPr>
              <w:pStyle w:val="48"/>
            </w:pPr>
            <w:r>
              <w:t>其他权益工具投资</w:t>
            </w:r>
          </w:p>
        </w:tc>
        <w:tc>
          <w:tcPr>
            <w:tcW w:w="1701" w:type="dxa"/>
            <w:vAlign w:val="center"/>
          </w:tcPr>
          <w:p w14:paraId="0A6AF2B3">
            <w:pPr>
              <w:widowControl w:val="0"/>
              <w:jc w:val="right"/>
            </w:pPr>
            <w:r>
              <w:t>68,693,369.96</w:t>
            </w:r>
          </w:p>
        </w:tc>
        <w:tc>
          <w:tcPr>
            <w:tcW w:w="850" w:type="dxa"/>
            <w:vAlign w:val="center"/>
          </w:tcPr>
          <w:p w14:paraId="67370606">
            <w:pPr>
              <w:widowControl w:val="0"/>
              <w:jc w:val="right"/>
            </w:pPr>
            <w:r>
              <w:t>0.87</w:t>
            </w:r>
          </w:p>
        </w:tc>
        <w:tc>
          <w:tcPr>
            <w:tcW w:w="1560" w:type="dxa"/>
            <w:vAlign w:val="center"/>
          </w:tcPr>
          <w:p w14:paraId="3C8C644F">
            <w:pPr>
              <w:widowControl w:val="0"/>
              <w:jc w:val="right"/>
            </w:pPr>
            <w:r>
              <w:t>36,200,000.00</w:t>
            </w:r>
          </w:p>
        </w:tc>
        <w:tc>
          <w:tcPr>
            <w:tcW w:w="850" w:type="dxa"/>
            <w:vAlign w:val="center"/>
          </w:tcPr>
          <w:p w14:paraId="63FD2637">
            <w:pPr>
              <w:widowControl w:val="0"/>
              <w:jc w:val="right"/>
            </w:pPr>
            <w:r>
              <w:t>0.49</w:t>
            </w:r>
          </w:p>
        </w:tc>
        <w:tc>
          <w:tcPr>
            <w:tcW w:w="1134" w:type="dxa"/>
            <w:vAlign w:val="center"/>
          </w:tcPr>
          <w:p w14:paraId="06C0DFAA">
            <w:pPr>
              <w:widowControl w:val="0"/>
              <w:jc w:val="right"/>
            </w:pPr>
            <w:r>
              <w:t>89.76</w:t>
            </w:r>
          </w:p>
        </w:tc>
        <w:tc>
          <w:tcPr>
            <w:tcW w:w="2835" w:type="dxa"/>
            <w:vAlign w:val="center"/>
          </w:tcPr>
          <w:p w14:paraId="5844409F">
            <w:pPr>
              <w:pStyle w:val="48"/>
            </w:pPr>
            <w:r>
              <w:t>主要系报告期新增上海新耀湃科医疗科技股份有限公司投资所致</w:t>
            </w:r>
            <w:r>
              <w:rPr>
                <w:rFonts w:hint="eastAsia"/>
              </w:rPr>
              <w:t>。</w:t>
            </w:r>
          </w:p>
        </w:tc>
      </w:tr>
      <w:tr w14:paraId="75E5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66975913">
            <w:pPr>
              <w:pStyle w:val="48"/>
            </w:pPr>
            <w:r>
              <w:t>使用权资产</w:t>
            </w:r>
          </w:p>
        </w:tc>
        <w:tc>
          <w:tcPr>
            <w:tcW w:w="1701" w:type="dxa"/>
            <w:vAlign w:val="center"/>
          </w:tcPr>
          <w:p w14:paraId="680C0C6D">
            <w:pPr>
              <w:widowControl w:val="0"/>
              <w:jc w:val="right"/>
            </w:pPr>
            <w:r>
              <w:t>32,601,515.94</w:t>
            </w:r>
          </w:p>
        </w:tc>
        <w:tc>
          <w:tcPr>
            <w:tcW w:w="850" w:type="dxa"/>
            <w:vAlign w:val="center"/>
          </w:tcPr>
          <w:p w14:paraId="2705144E">
            <w:pPr>
              <w:widowControl w:val="0"/>
              <w:jc w:val="right"/>
            </w:pPr>
            <w:r>
              <w:t>0.41</w:t>
            </w:r>
          </w:p>
        </w:tc>
        <w:tc>
          <w:tcPr>
            <w:tcW w:w="1560" w:type="dxa"/>
            <w:vAlign w:val="center"/>
          </w:tcPr>
          <w:p w14:paraId="6309682B">
            <w:pPr>
              <w:widowControl w:val="0"/>
              <w:jc w:val="right"/>
            </w:pPr>
            <w:r>
              <w:t>23,680,025.11</w:t>
            </w:r>
          </w:p>
        </w:tc>
        <w:tc>
          <w:tcPr>
            <w:tcW w:w="850" w:type="dxa"/>
            <w:vAlign w:val="center"/>
          </w:tcPr>
          <w:p w14:paraId="3C1C4F5C">
            <w:pPr>
              <w:widowControl w:val="0"/>
              <w:jc w:val="right"/>
            </w:pPr>
            <w:r>
              <w:t>0.32</w:t>
            </w:r>
          </w:p>
        </w:tc>
        <w:tc>
          <w:tcPr>
            <w:tcW w:w="1134" w:type="dxa"/>
            <w:vAlign w:val="center"/>
          </w:tcPr>
          <w:p w14:paraId="314A98CD">
            <w:pPr>
              <w:widowControl w:val="0"/>
              <w:jc w:val="right"/>
            </w:pPr>
            <w:r>
              <w:t>37.68</w:t>
            </w:r>
          </w:p>
        </w:tc>
        <w:tc>
          <w:tcPr>
            <w:tcW w:w="2835" w:type="dxa"/>
            <w:vAlign w:val="center"/>
          </w:tcPr>
          <w:p w14:paraId="1388C52A">
            <w:pPr>
              <w:pStyle w:val="48"/>
            </w:pPr>
            <w:r>
              <w:t>主要系报告期新增房屋租赁所致</w:t>
            </w:r>
            <w:r>
              <w:rPr>
                <w:rFonts w:hint="eastAsia"/>
              </w:rPr>
              <w:t>。</w:t>
            </w:r>
          </w:p>
        </w:tc>
      </w:tr>
      <w:tr w14:paraId="676E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2DCC85CD">
            <w:pPr>
              <w:pStyle w:val="48"/>
            </w:pPr>
            <w:r>
              <w:t>长期待摊费用</w:t>
            </w:r>
          </w:p>
        </w:tc>
        <w:tc>
          <w:tcPr>
            <w:tcW w:w="1701" w:type="dxa"/>
            <w:vAlign w:val="center"/>
          </w:tcPr>
          <w:p w14:paraId="78191C88">
            <w:pPr>
              <w:widowControl w:val="0"/>
              <w:jc w:val="right"/>
            </w:pPr>
            <w:r>
              <w:t>53,552,058.32</w:t>
            </w:r>
          </w:p>
        </w:tc>
        <w:tc>
          <w:tcPr>
            <w:tcW w:w="850" w:type="dxa"/>
            <w:vAlign w:val="center"/>
          </w:tcPr>
          <w:p w14:paraId="7605D562">
            <w:pPr>
              <w:widowControl w:val="0"/>
              <w:jc w:val="right"/>
            </w:pPr>
            <w:r>
              <w:t>0.68</w:t>
            </w:r>
          </w:p>
        </w:tc>
        <w:tc>
          <w:tcPr>
            <w:tcW w:w="1560" w:type="dxa"/>
            <w:vAlign w:val="center"/>
          </w:tcPr>
          <w:p w14:paraId="27E3827F">
            <w:pPr>
              <w:widowControl w:val="0"/>
              <w:jc w:val="right"/>
            </w:pPr>
            <w:r>
              <w:t>25,676,912.56</w:t>
            </w:r>
          </w:p>
        </w:tc>
        <w:tc>
          <w:tcPr>
            <w:tcW w:w="850" w:type="dxa"/>
            <w:vAlign w:val="center"/>
          </w:tcPr>
          <w:p w14:paraId="076D3E6F">
            <w:pPr>
              <w:widowControl w:val="0"/>
              <w:jc w:val="right"/>
            </w:pPr>
            <w:r>
              <w:t>0.35</w:t>
            </w:r>
          </w:p>
        </w:tc>
        <w:tc>
          <w:tcPr>
            <w:tcW w:w="1134" w:type="dxa"/>
            <w:vAlign w:val="center"/>
          </w:tcPr>
          <w:p w14:paraId="4BE8A76F">
            <w:pPr>
              <w:widowControl w:val="0"/>
              <w:jc w:val="right"/>
            </w:pPr>
            <w:r>
              <w:t>108.56</w:t>
            </w:r>
          </w:p>
        </w:tc>
        <w:tc>
          <w:tcPr>
            <w:tcW w:w="2835" w:type="dxa"/>
            <w:vAlign w:val="center"/>
          </w:tcPr>
          <w:p w14:paraId="4EDB9BCE">
            <w:pPr>
              <w:pStyle w:val="48"/>
            </w:pPr>
            <w:r>
              <w:t>主要系报告期生物制品原料药生产待摊物料本期领用增加所致</w:t>
            </w:r>
            <w:r>
              <w:rPr>
                <w:rFonts w:hint="eastAsia"/>
              </w:rPr>
              <w:t>。</w:t>
            </w:r>
          </w:p>
        </w:tc>
      </w:tr>
      <w:tr w14:paraId="2A92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528C24D8">
            <w:pPr>
              <w:pStyle w:val="48"/>
            </w:pPr>
            <w:r>
              <w:t>递延所得税资产</w:t>
            </w:r>
          </w:p>
        </w:tc>
        <w:tc>
          <w:tcPr>
            <w:tcW w:w="1701" w:type="dxa"/>
            <w:vAlign w:val="center"/>
          </w:tcPr>
          <w:p w14:paraId="3BFD1C2D">
            <w:pPr>
              <w:widowControl w:val="0"/>
              <w:jc w:val="right"/>
            </w:pPr>
            <w:r>
              <w:t>66,352,638.10</w:t>
            </w:r>
          </w:p>
        </w:tc>
        <w:tc>
          <w:tcPr>
            <w:tcW w:w="850" w:type="dxa"/>
            <w:vAlign w:val="center"/>
          </w:tcPr>
          <w:p w14:paraId="59B4DD5A">
            <w:pPr>
              <w:widowControl w:val="0"/>
              <w:jc w:val="right"/>
            </w:pPr>
            <w:r>
              <w:t>0.84</w:t>
            </w:r>
          </w:p>
        </w:tc>
        <w:tc>
          <w:tcPr>
            <w:tcW w:w="1560" w:type="dxa"/>
            <w:vAlign w:val="center"/>
          </w:tcPr>
          <w:p w14:paraId="2B64D02D">
            <w:pPr>
              <w:widowControl w:val="0"/>
              <w:jc w:val="right"/>
            </w:pPr>
            <w:r>
              <w:t>142,910,830.12</w:t>
            </w:r>
          </w:p>
        </w:tc>
        <w:tc>
          <w:tcPr>
            <w:tcW w:w="850" w:type="dxa"/>
            <w:vAlign w:val="center"/>
          </w:tcPr>
          <w:p w14:paraId="500872CD">
            <w:pPr>
              <w:widowControl w:val="0"/>
              <w:jc w:val="right"/>
            </w:pPr>
            <w:r>
              <w:t>1.94</w:t>
            </w:r>
          </w:p>
        </w:tc>
        <w:tc>
          <w:tcPr>
            <w:tcW w:w="1134" w:type="dxa"/>
            <w:vAlign w:val="center"/>
          </w:tcPr>
          <w:p w14:paraId="6199D16E">
            <w:pPr>
              <w:widowControl w:val="0"/>
              <w:jc w:val="right"/>
            </w:pPr>
            <w:r>
              <w:t>-53.57</w:t>
            </w:r>
          </w:p>
        </w:tc>
        <w:tc>
          <w:tcPr>
            <w:tcW w:w="2835" w:type="dxa"/>
            <w:vAlign w:val="center"/>
          </w:tcPr>
          <w:p w14:paraId="021FAF5E">
            <w:pPr>
              <w:pStyle w:val="48"/>
            </w:pPr>
            <w:r>
              <w:rPr>
                <w:rFonts w:hint="eastAsia"/>
              </w:rPr>
              <w:t>主要系结转上期可弥补亏损确认的递延所得税资产所致。</w:t>
            </w:r>
          </w:p>
        </w:tc>
      </w:tr>
      <w:tr w14:paraId="0AA4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3B49B07B">
            <w:pPr>
              <w:pStyle w:val="48"/>
            </w:pPr>
            <w:r>
              <w:t>短期借款</w:t>
            </w:r>
          </w:p>
        </w:tc>
        <w:tc>
          <w:tcPr>
            <w:tcW w:w="1701" w:type="dxa"/>
            <w:vAlign w:val="center"/>
          </w:tcPr>
          <w:p w14:paraId="74959F3B">
            <w:pPr>
              <w:widowControl w:val="0"/>
              <w:jc w:val="right"/>
            </w:pPr>
            <w:r>
              <w:t>33,024,236.11</w:t>
            </w:r>
          </w:p>
        </w:tc>
        <w:tc>
          <w:tcPr>
            <w:tcW w:w="850" w:type="dxa"/>
            <w:vAlign w:val="center"/>
          </w:tcPr>
          <w:p w14:paraId="4EC48229">
            <w:pPr>
              <w:widowControl w:val="0"/>
              <w:jc w:val="right"/>
            </w:pPr>
            <w:r>
              <w:t>0.42</w:t>
            </w:r>
          </w:p>
        </w:tc>
        <w:tc>
          <w:tcPr>
            <w:tcW w:w="1560" w:type="dxa"/>
            <w:vAlign w:val="center"/>
          </w:tcPr>
          <w:p w14:paraId="091C387E">
            <w:pPr>
              <w:widowControl w:val="0"/>
              <w:jc w:val="right"/>
            </w:pPr>
            <w:r>
              <w:t>416,758,991.22</w:t>
            </w:r>
          </w:p>
        </w:tc>
        <w:tc>
          <w:tcPr>
            <w:tcW w:w="850" w:type="dxa"/>
            <w:vAlign w:val="center"/>
          </w:tcPr>
          <w:p w14:paraId="1B28D100">
            <w:pPr>
              <w:widowControl w:val="0"/>
              <w:jc w:val="right"/>
            </w:pPr>
            <w:r>
              <w:t>5.65</w:t>
            </w:r>
          </w:p>
        </w:tc>
        <w:tc>
          <w:tcPr>
            <w:tcW w:w="1134" w:type="dxa"/>
            <w:vAlign w:val="center"/>
          </w:tcPr>
          <w:p w14:paraId="18FC3A72">
            <w:pPr>
              <w:widowControl w:val="0"/>
              <w:jc w:val="right"/>
            </w:pPr>
            <w:r>
              <w:t>-92.08</w:t>
            </w:r>
          </w:p>
        </w:tc>
        <w:tc>
          <w:tcPr>
            <w:tcW w:w="2835" w:type="dxa"/>
            <w:vAlign w:val="center"/>
          </w:tcPr>
          <w:p w14:paraId="59EE87AF">
            <w:pPr>
              <w:pStyle w:val="48"/>
            </w:pPr>
            <w:r>
              <w:t>主要系报告期短期银行信用借款减少所致</w:t>
            </w:r>
            <w:r>
              <w:rPr>
                <w:rFonts w:hint="eastAsia"/>
              </w:rPr>
              <w:t>。</w:t>
            </w:r>
          </w:p>
        </w:tc>
      </w:tr>
      <w:tr w14:paraId="2EA6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2E010FF4">
            <w:pPr>
              <w:pStyle w:val="48"/>
            </w:pPr>
            <w:r>
              <w:t>应付票据</w:t>
            </w:r>
          </w:p>
        </w:tc>
        <w:tc>
          <w:tcPr>
            <w:tcW w:w="1701" w:type="dxa"/>
            <w:vAlign w:val="center"/>
          </w:tcPr>
          <w:p w14:paraId="72BB80E4">
            <w:pPr>
              <w:widowControl w:val="0"/>
              <w:jc w:val="right"/>
            </w:pPr>
            <w:r>
              <w:t>8,657,093.67</w:t>
            </w:r>
          </w:p>
        </w:tc>
        <w:tc>
          <w:tcPr>
            <w:tcW w:w="850" w:type="dxa"/>
            <w:vAlign w:val="center"/>
          </w:tcPr>
          <w:p w14:paraId="56D04C54">
            <w:pPr>
              <w:widowControl w:val="0"/>
              <w:jc w:val="right"/>
            </w:pPr>
            <w:r>
              <w:t>0.11</w:t>
            </w:r>
          </w:p>
        </w:tc>
        <w:tc>
          <w:tcPr>
            <w:tcW w:w="1560" w:type="dxa"/>
            <w:vAlign w:val="center"/>
          </w:tcPr>
          <w:p w14:paraId="415C6882">
            <w:pPr>
              <w:widowControl w:val="0"/>
              <w:jc w:val="right"/>
            </w:pPr>
            <w:r>
              <w:t>10,000.00</w:t>
            </w:r>
          </w:p>
        </w:tc>
        <w:tc>
          <w:tcPr>
            <w:tcW w:w="850" w:type="dxa"/>
            <w:vAlign w:val="center"/>
          </w:tcPr>
          <w:p w14:paraId="7CF6B83B">
            <w:pPr>
              <w:widowControl w:val="0"/>
              <w:jc w:val="right"/>
            </w:pPr>
            <w:r>
              <w:t>0.00</w:t>
            </w:r>
          </w:p>
        </w:tc>
        <w:tc>
          <w:tcPr>
            <w:tcW w:w="1134" w:type="dxa"/>
            <w:vAlign w:val="center"/>
          </w:tcPr>
          <w:p w14:paraId="0C3E3E00">
            <w:pPr>
              <w:widowControl w:val="0"/>
              <w:jc w:val="right"/>
            </w:pPr>
            <w:r>
              <w:t>86,470.94</w:t>
            </w:r>
          </w:p>
        </w:tc>
        <w:tc>
          <w:tcPr>
            <w:tcW w:w="2835" w:type="dxa"/>
            <w:vAlign w:val="center"/>
          </w:tcPr>
          <w:p w14:paraId="354B417C">
            <w:pPr>
              <w:pStyle w:val="48"/>
            </w:pPr>
            <w:r>
              <w:t>主要系报告期使用票据支付电费所致</w:t>
            </w:r>
            <w:r>
              <w:rPr>
                <w:rFonts w:hint="eastAsia"/>
              </w:rPr>
              <w:t>。</w:t>
            </w:r>
          </w:p>
        </w:tc>
      </w:tr>
      <w:tr w14:paraId="6C52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7C68FBD4">
            <w:pPr>
              <w:pStyle w:val="48"/>
            </w:pPr>
            <w:r>
              <w:t>合同负债</w:t>
            </w:r>
          </w:p>
        </w:tc>
        <w:tc>
          <w:tcPr>
            <w:tcW w:w="1701" w:type="dxa"/>
            <w:vAlign w:val="center"/>
          </w:tcPr>
          <w:p w14:paraId="15E11E9B">
            <w:pPr>
              <w:widowControl w:val="0"/>
              <w:jc w:val="right"/>
            </w:pPr>
            <w:r>
              <w:t>7,133,699.66</w:t>
            </w:r>
          </w:p>
        </w:tc>
        <w:tc>
          <w:tcPr>
            <w:tcW w:w="850" w:type="dxa"/>
            <w:vAlign w:val="center"/>
          </w:tcPr>
          <w:p w14:paraId="7EFD83D0">
            <w:pPr>
              <w:widowControl w:val="0"/>
              <w:jc w:val="right"/>
            </w:pPr>
            <w:r>
              <w:t>0.09</w:t>
            </w:r>
          </w:p>
        </w:tc>
        <w:tc>
          <w:tcPr>
            <w:tcW w:w="1560" w:type="dxa"/>
            <w:vAlign w:val="center"/>
          </w:tcPr>
          <w:p w14:paraId="7B1E0997">
            <w:pPr>
              <w:widowControl w:val="0"/>
              <w:jc w:val="right"/>
            </w:pPr>
            <w:r>
              <w:t>14,359,574.01</w:t>
            </w:r>
          </w:p>
        </w:tc>
        <w:tc>
          <w:tcPr>
            <w:tcW w:w="850" w:type="dxa"/>
            <w:vAlign w:val="center"/>
          </w:tcPr>
          <w:p w14:paraId="1ADD6316">
            <w:pPr>
              <w:widowControl w:val="0"/>
              <w:jc w:val="right"/>
            </w:pPr>
            <w:r>
              <w:t>0.19</w:t>
            </w:r>
          </w:p>
        </w:tc>
        <w:tc>
          <w:tcPr>
            <w:tcW w:w="1134" w:type="dxa"/>
            <w:vAlign w:val="center"/>
          </w:tcPr>
          <w:p w14:paraId="141B9C81">
            <w:pPr>
              <w:widowControl w:val="0"/>
              <w:jc w:val="right"/>
            </w:pPr>
            <w:r>
              <w:t>-50.32</w:t>
            </w:r>
          </w:p>
        </w:tc>
        <w:tc>
          <w:tcPr>
            <w:tcW w:w="2835" w:type="dxa"/>
            <w:vAlign w:val="center"/>
          </w:tcPr>
          <w:p w14:paraId="545B19A3">
            <w:pPr>
              <w:pStyle w:val="48"/>
            </w:pPr>
            <w:r>
              <w:t>主要系期末预收款项较期初减少所致</w:t>
            </w:r>
            <w:r>
              <w:rPr>
                <w:rFonts w:hint="eastAsia"/>
              </w:rPr>
              <w:t>。</w:t>
            </w:r>
          </w:p>
        </w:tc>
      </w:tr>
      <w:tr w14:paraId="2843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67C932EA">
            <w:pPr>
              <w:pStyle w:val="48"/>
            </w:pPr>
            <w:r>
              <w:t>应付职工薪酬</w:t>
            </w:r>
          </w:p>
        </w:tc>
        <w:tc>
          <w:tcPr>
            <w:tcW w:w="1701" w:type="dxa"/>
            <w:vAlign w:val="center"/>
          </w:tcPr>
          <w:p w14:paraId="1E0EA60A">
            <w:pPr>
              <w:widowControl w:val="0"/>
              <w:jc w:val="right"/>
            </w:pPr>
            <w:r>
              <w:t>8,907,724.14</w:t>
            </w:r>
          </w:p>
        </w:tc>
        <w:tc>
          <w:tcPr>
            <w:tcW w:w="850" w:type="dxa"/>
            <w:vAlign w:val="center"/>
          </w:tcPr>
          <w:p w14:paraId="116014D7">
            <w:pPr>
              <w:widowControl w:val="0"/>
              <w:jc w:val="right"/>
            </w:pPr>
            <w:r>
              <w:t>0.11</w:t>
            </w:r>
          </w:p>
        </w:tc>
        <w:tc>
          <w:tcPr>
            <w:tcW w:w="1560" w:type="dxa"/>
            <w:vAlign w:val="center"/>
          </w:tcPr>
          <w:p w14:paraId="600FD53C">
            <w:pPr>
              <w:widowControl w:val="0"/>
              <w:jc w:val="right"/>
            </w:pPr>
            <w:r>
              <w:t>2,795,566.00</w:t>
            </w:r>
          </w:p>
        </w:tc>
        <w:tc>
          <w:tcPr>
            <w:tcW w:w="850" w:type="dxa"/>
            <w:vAlign w:val="center"/>
          </w:tcPr>
          <w:p w14:paraId="3428FB17">
            <w:pPr>
              <w:widowControl w:val="0"/>
              <w:jc w:val="right"/>
            </w:pPr>
            <w:r>
              <w:t>0.04</w:t>
            </w:r>
          </w:p>
        </w:tc>
        <w:tc>
          <w:tcPr>
            <w:tcW w:w="1134" w:type="dxa"/>
            <w:vAlign w:val="center"/>
          </w:tcPr>
          <w:p w14:paraId="6CFCC7C1">
            <w:pPr>
              <w:widowControl w:val="0"/>
              <w:jc w:val="right"/>
            </w:pPr>
            <w:r>
              <w:t>218.64</w:t>
            </w:r>
          </w:p>
        </w:tc>
        <w:tc>
          <w:tcPr>
            <w:tcW w:w="2835" w:type="dxa"/>
            <w:vAlign w:val="center"/>
          </w:tcPr>
          <w:p w14:paraId="6BE5FC62">
            <w:pPr>
              <w:pStyle w:val="48"/>
            </w:pPr>
            <w:r>
              <w:t>主要系期末短期薪酬余额增加所致</w:t>
            </w:r>
            <w:r>
              <w:rPr>
                <w:rFonts w:hint="eastAsia"/>
              </w:rPr>
              <w:t>。</w:t>
            </w:r>
          </w:p>
        </w:tc>
      </w:tr>
      <w:tr w14:paraId="726F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70FF046D">
            <w:pPr>
              <w:pStyle w:val="48"/>
            </w:pPr>
            <w:r>
              <w:t>应交税费</w:t>
            </w:r>
          </w:p>
        </w:tc>
        <w:tc>
          <w:tcPr>
            <w:tcW w:w="1701" w:type="dxa"/>
            <w:vAlign w:val="center"/>
          </w:tcPr>
          <w:p w14:paraId="595D49C5">
            <w:pPr>
              <w:widowControl w:val="0"/>
              <w:jc w:val="right"/>
            </w:pPr>
            <w:r>
              <w:t>35,228,938.25</w:t>
            </w:r>
          </w:p>
        </w:tc>
        <w:tc>
          <w:tcPr>
            <w:tcW w:w="850" w:type="dxa"/>
            <w:vAlign w:val="center"/>
          </w:tcPr>
          <w:p w14:paraId="26898FA5">
            <w:pPr>
              <w:widowControl w:val="0"/>
              <w:jc w:val="right"/>
            </w:pPr>
            <w:r>
              <w:t>0.45</w:t>
            </w:r>
          </w:p>
        </w:tc>
        <w:tc>
          <w:tcPr>
            <w:tcW w:w="1560" w:type="dxa"/>
            <w:vAlign w:val="center"/>
          </w:tcPr>
          <w:p w14:paraId="5A01FF2E">
            <w:pPr>
              <w:widowControl w:val="0"/>
              <w:jc w:val="right"/>
            </w:pPr>
            <w:r>
              <w:t>53,514,180.70</w:t>
            </w:r>
          </w:p>
        </w:tc>
        <w:tc>
          <w:tcPr>
            <w:tcW w:w="850" w:type="dxa"/>
            <w:vAlign w:val="center"/>
          </w:tcPr>
          <w:p w14:paraId="2A94C744">
            <w:pPr>
              <w:widowControl w:val="0"/>
              <w:jc w:val="right"/>
            </w:pPr>
            <w:r>
              <w:t>0.72</w:t>
            </w:r>
          </w:p>
        </w:tc>
        <w:tc>
          <w:tcPr>
            <w:tcW w:w="1134" w:type="dxa"/>
            <w:vAlign w:val="center"/>
          </w:tcPr>
          <w:p w14:paraId="6881466F">
            <w:pPr>
              <w:widowControl w:val="0"/>
              <w:jc w:val="right"/>
            </w:pPr>
            <w:r>
              <w:t>-34.17</w:t>
            </w:r>
          </w:p>
        </w:tc>
        <w:tc>
          <w:tcPr>
            <w:tcW w:w="2835" w:type="dxa"/>
            <w:vAlign w:val="center"/>
          </w:tcPr>
          <w:p w14:paraId="07ED6405">
            <w:pPr>
              <w:pStyle w:val="48"/>
            </w:pPr>
            <w:r>
              <w:t>主要系期末应交增值税金额较期初减少以及个人所得税金额较期初增加所致</w:t>
            </w:r>
            <w:r>
              <w:rPr>
                <w:rFonts w:hint="eastAsia"/>
              </w:rPr>
              <w:t>。</w:t>
            </w:r>
          </w:p>
        </w:tc>
      </w:tr>
      <w:tr w14:paraId="4E0F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2B059F06">
            <w:pPr>
              <w:pStyle w:val="48"/>
            </w:pPr>
            <w:r>
              <w:t>一年内到期的非流动负债</w:t>
            </w:r>
          </w:p>
        </w:tc>
        <w:tc>
          <w:tcPr>
            <w:tcW w:w="1701" w:type="dxa"/>
            <w:vAlign w:val="center"/>
          </w:tcPr>
          <w:p w14:paraId="3933AE88">
            <w:pPr>
              <w:widowControl w:val="0"/>
              <w:jc w:val="right"/>
            </w:pPr>
            <w:r>
              <w:t>275,341,852.90</w:t>
            </w:r>
          </w:p>
        </w:tc>
        <w:tc>
          <w:tcPr>
            <w:tcW w:w="850" w:type="dxa"/>
            <w:vAlign w:val="center"/>
          </w:tcPr>
          <w:p w14:paraId="7A47A7F5">
            <w:pPr>
              <w:widowControl w:val="0"/>
              <w:jc w:val="right"/>
            </w:pPr>
            <w:r>
              <w:t>3.48</w:t>
            </w:r>
          </w:p>
        </w:tc>
        <w:tc>
          <w:tcPr>
            <w:tcW w:w="1560" w:type="dxa"/>
            <w:vAlign w:val="center"/>
          </w:tcPr>
          <w:p w14:paraId="6D6B3D6F">
            <w:pPr>
              <w:widowControl w:val="0"/>
              <w:jc w:val="right"/>
            </w:pPr>
            <w:r>
              <w:t>4,396,642.54</w:t>
            </w:r>
          </w:p>
        </w:tc>
        <w:tc>
          <w:tcPr>
            <w:tcW w:w="850" w:type="dxa"/>
            <w:vAlign w:val="center"/>
          </w:tcPr>
          <w:p w14:paraId="36813870">
            <w:pPr>
              <w:widowControl w:val="0"/>
              <w:jc w:val="right"/>
            </w:pPr>
            <w:r>
              <w:t>0.06</w:t>
            </w:r>
          </w:p>
        </w:tc>
        <w:tc>
          <w:tcPr>
            <w:tcW w:w="1134" w:type="dxa"/>
            <w:vAlign w:val="center"/>
          </w:tcPr>
          <w:p w14:paraId="035EC1EB">
            <w:pPr>
              <w:widowControl w:val="0"/>
              <w:jc w:val="right"/>
            </w:pPr>
            <w:r>
              <w:t>6,162.55</w:t>
            </w:r>
          </w:p>
        </w:tc>
        <w:tc>
          <w:tcPr>
            <w:tcW w:w="2835" w:type="dxa"/>
            <w:vAlign w:val="center"/>
          </w:tcPr>
          <w:p w14:paraId="157FABA6">
            <w:pPr>
              <w:pStyle w:val="48"/>
            </w:pPr>
            <w:r>
              <w:t>主要系期末一年内到期的长期借款余额增加所致</w:t>
            </w:r>
            <w:r>
              <w:rPr>
                <w:rFonts w:hint="eastAsia"/>
              </w:rPr>
              <w:t>。</w:t>
            </w:r>
          </w:p>
        </w:tc>
      </w:tr>
      <w:tr w14:paraId="7434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0FFB23AF">
            <w:pPr>
              <w:pStyle w:val="48"/>
            </w:pPr>
            <w:r>
              <w:t>其他流动负债</w:t>
            </w:r>
          </w:p>
        </w:tc>
        <w:tc>
          <w:tcPr>
            <w:tcW w:w="1701" w:type="dxa"/>
            <w:vAlign w:val="center"/>
          </w:tcPr>
          <w:p w14:paraId="4B805181">
            <w:pPr>
              <w:widowControl w:val="0"/>
              <w:jc w:val="right"/>
            </w:pPr>
            <w:r>
              <w:t>10,058,581.03</w:t>
            </w:r>
          </w:p>
        </w:tc>
        <w:tc>
          <w:tcPr>
            <w:tcW w:w="850" w:type="dxa"/>
            <w:vAlign w:val="center"/>
          </w:tcPr>
          <w:p w14:paraId="0A183288">
            <w:pPr>
              <w:widowControl w:val="0"/>
              <w:jc w:val="right"/>
            </w:pPr>
            <w:r>
              <w:t>0.13</w:t>
            </w:r>
          </w:p>
        </w:tc>
        <w:tc>
          <w:tcPr>
            <w:tcW w:w="1560" w:type="dxa"/>
            <w:vAlign w:val="center"/>
          </w:tcPr>
          <w:p w14:paraId="03E199A0">
            <w:pPr>
              <w:widowControl w:val="0"/>
              <w:jc w:val="right"/>
            </w:pPr>
            <w:r>
              <w:t>2,638,442.65</w:t>
            </w:r>
          </w:p>
        </w:tc>
        <w:tc>
          <w:tcPr>
            <w:tcW w:w="850" w:type="dxa"/>
            <w:vAlign w:val="center"/>
          </w:tcPr>
          <w:p w14:paraId="07ADEE56">
            <w:pPr>
              <w:widowControl w:val="0"/>
              <w:jc w:val="right"/>
            </w:pPr>
            <w:r>
              <w:t>0.04</w:t>
            </w:r>
          </w:p>
        </w:tc>
        <w:tc>
          <w:tcPr>
            <w:tcW w:w="1134" w:type="dxa"/>
            <w:vAlign w:val="center"/>
          </w:tcPr>
          <w:p w14:paraId="01C34D63">
            <w:pPr>
              <w:widowControl w:val="0"/>
              <w:jc w:val="right"/>
            </w:pPr>
            <w:r>
              <w:t>281.23</w:t>
            </w:r>
          </w:p>
        </w:tc>
        <w:tc>
          <w:tcPr>
            <w:tcW w:w="2835" w:type="dxa"/>
            <w:vAlign w:val="center"/>
          </w:tcPr>
          <w:p w14:paraId="06CD26AC">
            <w:pPr>
              <w:pStyle w:val="48"/>
            </w:pPr>
            <w:r>
              <w:t>主要系期末未终止确认的已背书未到期的银行承兑汇票增加所致</w:t>
            </w:r>
            <w:r>
              <w:rPr>
                <w:rFonts w:hint="eastAsia"/>
              </w:rPr>
              <w:t>。</w:t>
            </w:r>
          </w:p>
        </w:tc>
      </w:tr>
      <w:tr w14:paraId="152D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1BF20D47">
            <w:pPr>
              <w:pStyle w:val="48"/>
            </w:pPr>
            <w:r>
              <w:t>递延所得税负债</w:t>
            </w:r>
          </w:p>
        </w:tc>
        <w:tc>
          <w:tcPr>
            <w:tcW w:w="1701" w:type="dxa"/>
            <w:vAlign w:val="center"/>
          </w:tcPr>
          <w:p w14:paraId="4C8F8D16">
            <w:pPr>
              <w:widowControl w:val="0"/>
              <w:jc w:val="right"/>
            </w:pPr>
            <w:r>
              <w:t>7,396,615.69</w:t>
            </w:r>
          </w:p>
        </w:tc>
        <w:tc>
          <w:tcPr>
            <w:tcW w:w="850" w:type="dxa"/>
            <w:vAlign w:val="center"/>
          </w:tcPr>
          <w:p w14:paraId="0C3213E8">
            <w:pPr>
              <w:widowControl w:val="0"/>
              <w:jc w:val="right"/>
            </w:pPr>
            <w:r>
              <w:t>0.09</w:t>
            </w:r>
          </w:p>
        </w:tc>
        <w:tc>
          <w:tcPr>
            <w:tcW w:w="1560" w:type="dxa"/>
            <w:vAlign w:val="center"/>
          </w:tcPr>
          <w:p w14:paraId="5CBBED7F">
            <w:pPr>
              <w:widowControl w:val="0"/>
              <w:jc w:val="right"/>
            </w:pPr>
            <w:r>
              <w:t>11,993,083.41</w:t>
            </w:r>
          </w:p>
        </w:tc>
        <w:tc>
          <w:tcPr>
            <w:tcW w:w="850" w:type="dxa"/>
            <w:vAlign w:val="center"/>
          </w:tcPr>
          <w:p w14:paraId="19FB59B7">
            <w:pPr>
              <w:widowControl w:val="0"/>
              <w:jc w:val="right"/>
            </w:pPr>
            <w:r>
              <w:t>0.16</w:t>
            </w:r>
          </w:p>
        </w:tc>
        <w:tc>
          <w:tcPr>
            <w:tcW w:w="1134" w:type="dxa"/>
            <w:vAlign w:val="center"/>
          </w:tcPr>
          <w:p w14:paraId="3F7BFAC1">
            <w:pPr>
              <w:widowControl w:val="0"/>
              <w:jc w:val="right"/>
            </w:pPr>
            <w:r>
              <w:t>-38.33</w:t>
            </w:r>
          </w:p>
        </w:tc>
        <w:tc>
          <w:tcPr>
            <w:tcW w:w="2835" w:type="dxa"/>
            <w:vAlign w:val="center"/>
          </w:tcPr>
          <w:p w14:paraId="3C9AF3FA">
            <w:pPr>
              <w:pStyle w:val="48"/>
            </w:pPr>
            <w:r>
              <w:t>主要系期末母公司及子公司上海隆棵药业有限公司的使用权资产确认递延所得税负债报表按照净额列示所致</w:t>
            </w:r>
            <w:r>
              <w:rPr>
                <w:rFonts w:hint="eastAsia"/>
              </w:rPr>
              <w:t>。</w:t>
            </w:r>
          </w:p>
        </w:tc>
      </w:tr>
      <w:tr w14:paraId="2BAA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11A33C2F">
            <w:pPr>
              <w:pStyle w:val="48"/>
            </w:pPr>
            <w:r>
              <w:t>资本公积</w:t>
            </w:r>
          </w:p>
        </w:tc>
        <w:tc>
          <w:tcPr>
            <w:tcW w:w="1701" w:type="dxa"/>
            <w:vAlign w:val="center"/>
          </w:tcPr>
          <w:p w14:paraId="3B336493">
            <w:pPr>
              <w:widowControl w:val="0"/>
              <w:jc w:val="right"/>
            </w:pPr>
            <w:r>
              <w:t>301,674,654.99</w:t>
            </w:r>
          </w:p>
        </w:tc>
        <w:tc>
          <w:tcPr>
            <w:tcW w:w="850" w:type="dxa"/>
            <w:vAlign w:val="center"/>
          </w:tcPr>
          <w:p w14:paraId="4C28CFF9">
            <w:pPr>
              <w:widowControl w:val="0"/>
              <w:jc w:val="right"/>
            </w:pPr>
            <w:r>
              <w:t>3.82</w:t>
            </w:r>
          </w:p>
        </w:tc>
        <w:tc>
          <w:tcPr>
            <w:tcW w:w="1560" w:type="dxa"/>
            <w:vAlign w:val="center"/>
          </w:tcPr>
          <w:p w14:paraId="3A77BA22">
            <w:pPr>
              <w:widowControl w:val="0"/>
              <w:jc w:val="right"/>
            </w:pPr>
            <w:r>
              <w:t>509,315,505.46</w:t>
            </w:r>
          </w:p>
        </w:tc>
        <w:tc>
          <w:tcPr>
            <w:tcW w:w="850" w:type="dxa"/>
            <w:vAlign w:val="center"/>
          </w:tcPr>
          <w:p w14:paraId="43EF8D0B">
            <w:pPr>
              <w:widowControl w:val="0"/>
              <w:jc w:val="right"/>
            </w:pPr>
            <w:r>
              <w:t>6.90</w:t>
            </w:r>
          </w:p>
        </w:tc>
        <w:tc>
          <w:tcPr>
            <w:tcW w:w="1134" w:type="dxa"/>
            <w:vAlign w:val="center"/>
          </w:tcPr>
          <w:p w14:paraId="045A7BC3">
            <w:pPr>
              <w:widowControl w:val="0"/>
              <w:jc w:val="right"/>
            </w:pPr>
            <w:r>
              <w:t>-40.77</w:t>
            </w:r>
          </w:p>
        </w:tc>
        <w:tc>
          <w:tcPr>
            <w:tcW w:w="2835" w:type="dxa"/>
            <w:vAlign w:val="center"/>
          </w:tcPr>
          <w:p w14:paraId="7CDE5F56">
            <w:pPr>
              <w:pStyle w:val="48"/>
            </w:pPr>
            <w:r>
              <w:t>主要系报告期注销库存股、实施员工持股计划以及转让特宝生物股份所致</w:t>
            </w:r>
            <w:r>
              <w:rPr>
                <w:rFonts w:hint="eastAsia"/>
              </w:rPr>
              <w:t>。</w:t>
            </w:r>
          </w:p>
        </w:tc>
      </w:tr>
      <w:tr w14:paraId="5861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18D74138">
            <w:pPr>
              <w:pStyle w:val="48"/>
            </w:pPr>
            <w:r>
              <w:t>库存股</w:t>
            </w:r>
          </w:p>
        </w:tc>
        <w:tc>
          <w:tcPr>
            <w:tcW w:w="1701" w:type="dxa"/>
            <w:vAlign w:val="center"/>
          </w:tcPr>
          <w:p w14:paraId="1E1537AB">
            <w:pPr>
              <w:widowControl w:val="0"/>
              <w:jc w:val="right"/>
            </w:pPr>
            <w:r>
              <w:t>88,109,902.16</w:t>
            </w:r>
          </w:p>
        </w:tc>
        <w:tc>
          <w:tcPr>
            <w:tcW w:w="850" w:type="dxa"/>
            <w:vAlign w:val="center"/>
          </w:tcPr>
          <w:p w14:paraId="7384D0A1">
            <w:pPr>
              <w:widowControl w:val="0"/>
              <w:jc w:val="right"/>
            </w:pPr>
            <w:r>
              <w:t>1.11</w:t>
            </w:r>
          </w:p>
        </w:tc>
        <w:tc>
          <w:tcPr>
            <w:tcW w:w="1560" w:type="dxa"/>
            <w:vAlign w:val="center"/>
          </w:tcPr>
          <w:p w14:paraId="2ADEAF89">
            <w:pPr>
              <w:widowControl w:val="0"/>
              <w:jc w:val="right"/>
            </w:pPr>
            <w:r>
              <w:t>300,279,281.09</w:t>
            </w:r>
          </w:p>
        </w:tc>
        <w:tc>
          <w:tcPr>
            <w:tcW w:w="850" w:type="dxa"/>
            <w:vAlign w:val="center"/>
          </w:tcPr>
          <w:p w14:paraId="7F047AF9">
            <w:pPr>
              <w:widowControl w:val="0"/>
              <w:jc w:val="right"/>
            </w:pPr>
            <w:r>
              <w:t>4.07</w:t>
            </w:r>
          </w:p>
        </w:tc>
        <w:tc>
          <w:tcPr>
            <w:tcW w:w="1134" w:type="dxa"/>
            <w:vAlign w:val="center"/>
          </w:tcPr>
          <w:p w14:paraId="70E6EED5">
            <w:pPr>
              <w:widowControl w:val="0"/>
              <w:jc w:val="right"/>
            </w:pPr>
            <w:r>
              <w:t>-70.66</w:t>
            </w:r>
          </w:p>
        </w:tc>
        <w:tc>
          <w:tcPr>
            <w:tcW w:w="2835" w:type="dxa"/>
            <w:vAlign w:val="center"/>
          </w:tcPr>
          <w:p w14:paraId="2E97A931">
            <w:pPr>
              <w:pStyle w:val="48"/>
            </w:pPr>
            <w:r>
              <w:t>主要系报告期实施员工持股计划并确认的股权激励回购义务所致</w:t>
            </w:r>
            <w:r>
              <w:rPr>
                <w:rFonts w:hint="eastAsia"/>
              </w:rPr>
              <w:t>。</w:t>
            </w:r>
          </w:p>
        </w:tc>
      </w:tr>
      <w:tr w14:paraId="5370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231EAAC1">
            <w:pPr>
              <w:pStyle w:val="48"/>
            </w:pPr>
            <w:r>
              <w:t>其他综合收益</w:t>
            </w:r>
          </w:p>
        </w:tc>
        <w:tc>
          <w:tcPr>
            <w:tcW w:w="1701" w:type="dxa"/>
            <w:vAlign w:val="center"/>
          </w:tcPr>
          <w:p w14:paraId="6E7CACAB">
            <w:pPr>
              <w:widowControl w:val="0"/>
              <w:jc w:val="right"/>
            </w:pPr>
            <w:r>
              <w:t>10,670,784.43</w:t>
            </w:r>
          </w:p>
        </w:tc>
        <w:tc>
          <w:tcPr>
            <w:tcW w:w="850" w:type="dxa"/>
            <w:vAlign w:val="center"/>
          </w:tcPr>
          <w:p w14:paraId="0A55310C">
            <w:pPr>
              <w:widowControl w:val="0"/>
              <w:jc w:val="right"/>
            </w:pPr>
            <w:r>
              <w:t>0.13</w:t>
            </w:r>
          </w:p>
        </w:tc>
        <w:tc>
          <w:tcPr>
            <w:tcW w:w="1560" w:type="dxa"/>
            <w:vAlign w:val="center"/>
          </w:tcPr>
          <w:p w14:paraId="10AD037C">
            <w:pPr>
              <w:widowControl w:val="0"/>
              <w:jc w:val="right"/>
            </w:pPr>
            <w:r>
              <w:t>6,910,223.58</w:t>
            </w:r>
          </w:p>
        </w:tc>
        <w:tc>
          <w:tcPr>
            <w:tcW w:w="850" w:type="dxa"/>
            <w:vAlign w:val="center"/>
          </w:tcPr>
          <w:p w14:paraId="2015784A">
            <w:pPr>
              <w:widowControl w:val="0"/>
              <w:jc w:val="right"/>
            </w:pPr>
            <w:r>
              <w:t>0.09</w:t>
            </w:r>
          </w:p>
        </w:tc>
        <w:tc>
          <w:tcPr>
            <w:tcW w:w="1134" w:type="dxa"/>
            <w:vAlign w:val="center"/>
          </w:tcPr>
          <w:p w14:paraId="0E5A9074">
            <w:pPr>
              <w:widowControl w:val="0"/>
              <w:jc w:val="right"/>
            </w:pPr>
            <w:r>
              <w:t>54.42</w:t>
            </w:r>
          </w:p>
        </w:tc>
        <w:tc>
          <w:tcPr>
            <w:tcW w:w="2835" w:type="dxa"/>
            <w:vAlign w:val="center"/>
          </w:tcPr>
          <w:p w14:paraId="1B1D9233">
            <w:pPr>
              <w:pStyle w:val="48"/>
            </w:pPr>
            <w:r>
              <w:t>主要系报告期对其他权益工具投资确认公允价值变动及按照投资比例确认联营企业华广生技股份有限公司外币财务报表折算差额所致</w:t>
            </w:r>
            <w:r>
              <w:rPr>
                <w:rFonts w:hint="eastAsia"/>
              </w:rPr>
              <w:t>。</w:t>
            </w:r>
          </w:p>
        </w:tc>
      </w:tr>
      <w:tr w14:paraId="0A1E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27" w:type="dxa"/>
            <w:vAlign w:val="center"/>
          </w:tcPr>
          <w:p w14:paraId="7369263B">
            <w:pPr>
              <w:pStyle w:val="48"/>
            </w:pPr>
            <w:r>
              <w:t>少数股东权益</w:t>
            </w:r>
          </w:p>
        </w:tc>
        <w:tc>
          <w:tcPr>
            <w:tcW w:w="1701" w:type="dxa"/>
            <w:vAlign w:val="center"/>
          </w:tcPr>
          <w:p w14:paraId="22F5753E">
            <w:pPr>
              <w:widowControl w:val="0"/>
              <w:jc w:val="right"/>
            </w:pPr>
            <w:r>
              <w:t>4,417,561.17</w:t>
            </w:r>
          </w:p>
        </w:tc>
        <w:tc>
          <w:tcPr>
            <w:tcW w:w="850" w:type="dxa"/>
            <w:vAlign w:val="center"/>
          </w:tcPr>
          <w:p w14:paraId="609D5C5B">
            <w:pPr>
              <w:widowControl w:val="0"/>
              <w:jc w:val="right"/>
            </w:pPr>
            <w:r>
              <w:t>0.06</w:t>
            </w:r>
          </w:p>
        </w:tc>
        <w:tc>
          <w:tcPr>
            <w:tcW w:w="1560" w:type="dxa"/>
            <w:vAlign w:val="center"/>
          </w:tcPr>
          <w:p w14:paraId="7CB25CF6">
            <w:pPr>
              <w:widowControl w:val="0"/>
              <w:jc w:val="right"/>
            </w:pPr>
            <w:r>
              <w:t>17,964,657.02</w:t>
            </w:r>
          </w:p>
        </w:tc>
        <w:tc>
          <w:tcPr>
            <w:tcW w:w="850" w:type="dxa"/>
            <w:vAlign w:val="center"/>
          </w:tcPr>
          <w:p w14:paraId="61B9FDCE">
            <w:pPr>
              <w:widowControl w:val="0"/>
              <w:jc w:val="right"/>
            </w:pPr>
            <w:r>
              <w:t>0.24</w:t>
            </w:r>
          </w:p>
        </w:tc>
        <w:tc>
          <w:tcPr>
            <w:tcW w:w="1134" w:type="dxa"/>
            <w:vAlign w:val="center"/>
          </w:tcPr>
          <w:p w14:paraId="5D02D2EE">
            <w:pPr>
              <w:widowControl w:val="0"/>
              <w:jc w:val="right"/>
            </w:pPr>
            <w:r>
              <w:t>-75.41</w:t>
            </w:r>
          </w:p>
        </w:tc>
        <w:tc>
          <w:tcPr>
            <w:tcW w:w="2835" w:type="dxa"/>
            <w:vAlign w:val="center"/>
          </w:tcPr>
          <w:p w14:paraId="62627494">
            <w:pPr>
              <w:pStyle w:val="48"/>
            </w:pPr>
            <w:r>
              <w:t>主要系</w:t>
            </w:r>
            <w:r>
              <w:rPr>
                <w:rFonts w:hint="eastAsia"/>
              </w:rPr>
              <w:t>非全资子公司上海隆棵药业有限公司亏损所致。</w:t>
            </w:r>
          </w:p>
        </w:tc>
      </w:tr>
    </w:tbl>
    <w:p w14:paraId="538AEBE5"/>
    <w:p w14:paraId="37C624F2">
      <w:pPr>
        <w:pStyle w:val="5"/>
        <w:numPr>
          <w:ilvl w:val="0"/>
          <w:numId w:val="12"/>
        </w:numPr>
      </w:pPr>
      <w:bookmarkStart w:id="66" w:name="_Hlk89877438"/>
      <w:r>
        <w:rPr>
          <w:rFonts w:hint="eastAsia" w:ascii="宋体" w:hAnsi="宋体" w:eastAsia="宋体" w:cs="宋体"/>
          <w:kern w:val="0"/>
          <w:szCs w:val="21"/>
        </w:rPr>
        <w:t>境外资产情况</w:t>
      </w:r>
    </w:p>
    <w:sdt>
      <w:sdtPr>
        <w:rPr>
          <w:rFonts w:hint="eastAsia"/>
        </w:rPr>
        <w:alias w:val="是否适用：境外资产情况 [双击切换]"/>
        <w:tag w:val="_GBC_7c019689b55740839a263ecc68721e10"/>
        <w:id w:val="-582061810"/>
        <w:placeholder>
          <w:docPart w:val="GBC22222222222222222222222222222"/>
        </w:placeholder>
      </w:sdtPr>
      <w:sdtEndPr>
        <w:rPr>
          <w:rFonts w:hint="eastAsia"/>
        </w:rPr>
      </w:sdtEndPr>
      <w:sdtContent>
        <w:p w14:paraId="416B2A1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BED7051">
      <w:pPr>
        <w:pStyle w:val="48"/>
      </w:pPr>
      <w:bookmarkStart w:id="67" w:name="_Hlk89176028"/>
    </w:p>
    <w:bookmarkEnd w:id="66"/>
    <w:bookmarkEnd w:id="67"/>
    <w:p w14:paraId="53357318">
      <w:pPr>
        <w:pStyle w:val="5"/>
        <w:numPr>
          <w:ilvl w:val="0"/>
          <w:numId w:val="12"/>
        </w:numPr>
      </w:pPr>
      <w:r>
        <w:t>截至报告期末主要资产受限情</w:t>
      </w:r>
      <w:r>
        <w:rPr>
          <w:rFonts w:hint="eastAsia"/>
        </w:rPr>
        <w:t>况</w:t>
      </w:r>
    </w:p>
    <w:sdt>
      <w:sdtPr>
        <w:rPr>
          <w:rFonts w:hint="eastAsia"/>
        </w:rPr>
        <w:alias w:val="是否适用：主要资产受限情况[双击切换]"/>
        <w:tag w:val="_GBC_01311ee451194f52a953344cf249b1b9"/>
        <w:id w:val="1847050499"/>
        <w:placeholder>
          <w:docPart w:val="GBC22222222222222222222222222222"/>
        </w:placeholder>
      </w:sdtPr>
      <w:sdtEndPr>
        <w:rPr>
          <w:rFonts w:hint="eastAsia"/>
        </w:rPr>
      </w:sdtEndPr>
      <w:sdtContent>
        <w:p w14:paraId="4C13CB6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主要资产受限情况"/>
        <w:tag w:val="_GBC_cb7fe3db517742e2a0cff2593f270f8e"/>
        <w:id w:val="-1781708208"/>
        <w:placeholder>
          <w:docPart w:val="0FCC44E07BFD409DB84BBC264D5F32A2"/>
        </w:placeholder>
      </w:sdtPr>
      <w:sdtContent>
        <w:p w14:paraId="02226E44">
          <w:pPr>
            <w:spacing w:line="360" w:lineRule="auto"/>
            <w:ind w:firstLine="420" w:firstLineChars="200"/>
            <w:jc w:val="both"/>
          </w:pPr>
          <w:r>
            <w:rPr>
              <w:rFonts w:hint="eastAsia"/>
            </w:rPr>
            <w:t>内容详见第八节 七、合并财务报表项目注释31、所有权或使用权受限资产。</w:t>
          </w:r>
        </w:p>
      </w:sdtContent>
    </w:sdt>
    <w:p w14:paraId="6E2099BA">
      <w:pPr>
        <w:pStyle w:val="48"/>
      </w:pPr>
    </w:p>
    <w:p w14:paraId="53BF22EA">
      <w:pPr>
        <w:pStyle w:val="5"/>
        <w:numPr>
          <w:ilvl w:val="0"/>
          <w:numId w:val="12"/>
        </w:numPr>
      </w:pPr>
      <w:r>
        <w:t>其他说明</w:t>
      </w:r>
    </w:p>
    <w:sdt>
      <w:sdtPr>
        <w:rPr>
          <w:rFonts w:hint="eastAsia"/>
        </w:rPr>
        <w:alias w:val="是否适用：资产及负债状况的其他说明[双击切换]"/>
        <w:tag w:val="_GBC_364e24c8cf1a4469ba88a4ae16e0417f"/>
        <w:id w:val="-46760572"/>
        <w:placeholder>
          <w:docPart w:val="GBC22222222222222222222222222222"/>
        </w:placeholder>
      </w:sdtPr>
      <w:sdtEndPr>
        <w:rPr>
          <w:rFonts w:hint="eastAsia"/>
        </w:rPr>
      </w:sdtEndPr>
      <w:sdtContent>
        <w:p w14:paraId="7243C4A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2BD809">
      <w:pPr>
        <w:pStyle w:val="48"/>
      </w:pPr>
    </w:p>
    <w:p w14:paraId="54EA763E">
      <w:pPr>
        <w:pStyle w:val="4"/>
        <w:numPr>
          <w:ilvl w:val="0"/>
          <w:numId w:val="8"/>
        </w:numPr>
        <w:ind w:left="0" w:firstLine="0"/>
        <w:rPr>
          <w:szCs w:val="21"/>
        </w:rPr>
      </w:pPr>
      <w:r>
        <w:rPr>
          <w:rFonts w:hint="eastAsia"/>
          <w:szCs w:val="21"/>
        </w:rPr>
        <w:t>行业经营性信息分析</w:t>
      </w:r>
    </w:p>
    <w:sdt>
      <w:sdtPr>
        <w:rPr>
          <w:rFonts w:hint="eastAsia"/>
        </w:rPr>
        <w:alias w:val="是否适用：行业经营性信息分析[双击切换]"/>
        <w:tag w:val="_GBC_8a02ac4934eb426ab273323b8694d88c"/>
        <w:id w:val="-1989083923"/>
        <w:placeholder>
          <w:docPart w:val="GBC22222222222222222222222222222"/>
        </w:placeholder>
      </w:sdtPr>
      <w:sdtEndPr>
        <w:rPr>
          <w:rFonts w:hint="eastAsia"/>
        </w:rPr>
      </w:sdtEndPr>
      <w:sdtContent>
        <w:p w14:paraId="1973F9D1">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行业经营性信息分析"/>
        <w:tag w:val="_GBC_e16bc1aa6d5e4cdd94278d9bb9b9d44b"/>
        <w:id w:val="-525028274"/>
        <w:placeholder>
          <w:docPart w:val="GBC22222222222222222222222222222"/>
        </w:placeholder>
      </w:sdtPr>
      <w:sdtEndPr>
        <w:rPr>
          <w:rFonts w:hint="eastAsia"/>
        </w:rPr>
      </w:sdtEndPr>
      <w:sdtContent>
        <w:p w14:paraId="066EBCBE">
          <w:pPr>
            <w:spacing w:line="360" w:lineRule="auto"/>
            <w:ind w:firstLine="420" w:firstLineChars="200"/>
            <w:jc w:val="both"/>
          </w:pPr>
          <w:sdt>
            <w:sdtPr>
              <w:alias w:val="行业经营性信息分析"/>
              <w:tag w:val="_GBC_e16bc1aa6d5e4cdd94278d9bb9b9d44b"/>
              <w:id w:val="2107223367"/>
            </w:sdtPr>
            <w:sdtContent>
              <w:r>
                <w:rPr>
                  <w:rFonts w:hint="eastAsia"/>
                </w:rPr>
                <w:t>根据中国证监会颁布的《上市公司行业分类指引》，本公司所处行业为医药制造业。公司根据《上海证券交易所上市公司自律监管指引第</w:t>
              </w:r>
              <w:r>
                <w:t xml:space="preserve"> 3 号——行业信息披露》和《上海证券交易所上市公司自律监管指引第 3 号》附件第六号—医药制造等相关规定披露医药制造行业经营性信息。</w:t>
              </w:r>
            </w:sdtContent>
          </w:sdt>
        </w:p>
      </w:sdtContent>
    </w:sdt>
    <w:p w14:paraId="15665596">
      <w:pPr>
        <w:pStyle w:val="48"/>
      </w:pPr>
    </w:p>
    <w:p w14:paraId="79C68BD5">
      <w:pPr>
        <w:sectPr>
          <w:pgSz w:w="11906" w:h="16838"/>
          <w:pgMar w:top="1525" w:right="1276" w:bottom="1440" w:left="1797" w:header="855" w:footer="992" w:gutter="0"/>
          <w:cols w:space="425" w:num="1"/>
          <w:docGrid w:linePitch="312" w:charSpace="0"/>
        </w:sectPr>
      </w:pPr>
    </w:p>
    <w:p w14:paraId="4CDDC678">
      <w:pPr>
        <w:pStyle w:val="5"/>
        <w:ind w:left="360" w:hanging="360"/>
      </w:pPr>
      <w:r>
        <w:rPr>
          <w:rFonts w:hint="eastAsia"/>
        </w:rPr>
        <w:t>医药制造行业经营性信息分析</w:t>
      </w:r>
    </w:p>
    <w:p w14:paraId="7E8EA4FE">
      <w:pPr>
        <w:pStyle w:val="6"/>
        <w:numPr>
          <w:ilvl w:val="0"/>
          <w:numId w:val="13"/>
        </w:numPr>
        <w:ind w:leftChars="0"/>
      </w:pPr>
      <w:r>
        <w:rPr>
          <w:rFonts w:hint="eastAsia"/>
        </w:rPr>
        <w:t>行业和主要药(产)品基本情况</w:t>
      </w:r>
    </w:p>
    <w:p w14:paraId="1DEC1C0B">
      <w:pPr>
        <w:pStyle w:val="7"/>
        <w:numPr>
          <w:ilvl w:val="0"/>
          <w:numId w:val="14"/>
        </w:numPr>
      </w:pPr>
      <w:r>
        <w:rPr>
          <w:rFonts w:hint="eastAsia"/>
        </w:rPr>
        <w:t>行业基本情况</w:t>
      </w:r>
    </w:p>
    <w:sdt>
      <w:sdtPr>
        <w:alias w:val="是否适用：医药制造行业基本情况[双击切换]"/>
        <w:tag w:val="_GBC_be34e9719782472e8a17f20d1e43213e"/>
        <w:id w:val="-2034186762"/>
        <w:placeholder>
          <w:docPart w:val="GBC22222222222222222222222222222"/>
        </w:placeholder>
      </w:sdtPr>
      <w:sdtContent>
        <w:p w14:paraId="66B1E92B">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医药制造行业基本情况说明"/>
        <w:tag w:val="_GBC_3414451a5e9445d6950fa8f535db7b94"/>
        <w:id w:val="147725102"/>
        <w:placeholder>
          <w:docPart w:val="GBC22222222222222222222222222222"/>
        </w:placeholder>
      </w:sdtPr>
      <w:sdtEndPr>
        <w:rPr>
          <w:rFonts w:hint="eastAsia"/>
        </w:rPr>
      </w:sdtEndPr>
      <w:sdtContent>
        <w:sdt>
          <w:sdtPr>
            <w:rPr>
              <w:rFonts w:ascii="Calibri" w:hAnsi="Calibri"/>
              <w:kern w:val="2"/>
            </w:rPr>
            <w:alias w:val="医药制造行业基本情况说明"/>
            <w:tag w:val="_GBC_3414451a5e9445d6950fa8f535db7b94"/>
            <w:id w:val="-510296223"/>
          </w:sdtPr>
          <w:sdtEndPr>
            <w:rPr>
              <w:rFonts w:hint="eastAsia" w:ascii="Calibri" w:hAnsi="Calibri"/>
              <w:kern w:val="2"/>
            </w:rPr>
          </w:sdtEndPr>
          <w:sdtContent>
            <w:p w14:paraId="0D189788">
              <w:pPr>
                <w:spacing w:line="360" w:lineRule="auto"/>
                <w:ind w:firstLine="482"/>
                <w:rPr>
                  <w:rFonts w:ascii="Calibri" w:hAnsi="Calibri"/>
                  <w:kern w:val="2"/>
                </w:rPr>
              </w:pPr>
              <w:r>
                <w:rPr>
                  <w:rFonts w:hint="eastAsia" w:ascii="Calibri" w:hAnsi="Calibri"/>
                  <w:kern w:val="2"/>
                </w:rPr>
                <w:t>请见“第三节 管理层讨论与分析”之“二、报告期内公司所处行业情况”。</w:t>
              </w:r>
            </w:p>
          </w:sdtContent>
        </w:sdt>
      </w:sdtContent>
    </w:sdt>
    <w:p w14:paraId="5DCE3369">
      <w:pPr>
        <w:pStyle w:val="48"/>
      </w:pPr>
    </w:p>
    <w:p w14:paraId="0F71CE36">
      <w:pPr>
        <w:pStyle w:val="7"/>
        <w:numPr>
          <w:ilvl w:val="0"/>
          <w:numId w:val="14"/>
        </w:numPr>
      </w:pPr>
      <w:r>
        <w:rPr>
          <w:rFonts w:hint="eastAsia"/>
        </w:rPr>
        <w:t>主要药（产）品基本情况</w:t>
      </w:r>
    </w:p>
    <w:p w14:paraId="4FED0641">
      <w:pPr>
        <w:pStyle w:val="48"/>
      </w:pPr>
      <w:sdt>
        <w:sdtPr>
          <w:alias w:val="是否适用：主要药（产）品基本情况[双击切换]"/>
          <w:tag w:val="_GBC_c11fd5a9927e42da9ea465ea23d12dfc"/>
          <w:id w:val="264421351"/>
          <w:placeholder>
            <w:docPart w:val="GBC22222222222222222222222222222"/>
          </w:placeholder>
        </w:sdt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42DB4348">
      <w:pPr>
        <w:rPr>
          <w:b/>
          <w:bCs/>
          <w:kern w:val="2"/>
        </w:rPr>
      </w:pPr>
      <w:r>
        <w:rPr>
          <w:rFonts w:hint="eastAsia"/>
          <w:b/>
          <w:bCs/>
          <w:kern w:val="2"/>
        </w:rPr>
        <w:t>按细分行业、治疗领域划分的主要药（产）品基本情况</w:t>
      </w:r>
    </w:p>
    <w:sdt>
      <w:sdtPr>
        <w:rPr>
          <w:rFonts w:hint="eastAsia"/>
        </w:rPr>
        <w:alias w:val="是否适用：按细分行业、治疗领域划分的主要药（产）品基本情况 [双击切换]"/>
        <w:tag w:val="_GBC_b18060f2804b4e7583e7b5e9b35c2c4e"/>
        <w:id w:val="1703442119"/>
        <w:placeholder>
          <w:docPart w:val="GBC22222222222222222222222222222"/>
        </w:placeholder>
      </w:sdtPr>
      <w:sdtEndPr>
        <w:rPr>
          <w:rFonts w:hint="default"/>
        </w:rPr>
      </w:sdtEndPr>
      <w:sdtContent>
        <w:p w14:paraId="5B36316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57"/>
        <w:tblW w:w="10065"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10"/>
        <w:gridCol w:w="2268"/>
        <w:gridCol w:w="1134"/>
        <w:gridCol w:w="1275"/>
        <w:gridCol w:w="567"/>
        <w:gridCol w:w="709"/>
        <w:gridCol w:w="709"/>
        <w:gridCol w:w="425"/>
        <w:gridCol w:w="425"/>
        <w:gridCol w:w="567"/>
        <w:gridCol w:w="567"/>
      </w:tblGrid>
      <w:tr w14:paraId="0144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8bf4e916c44173b025de1584e23a1e"/>
            <w:id w:val="32323264"/>
          </w:sdtPr>
          <w:sdtContent>
            <w:tc>
              <w:tcPr>
                <w:tcW w:w="709" w:type="dxa"/>
                <w:vAlign w:val="center"/>
              </w:tcPr>
              <w:p w14:paraId="17CBA347">
                <w:pPr>
                  <w:jc w:val="center"/>
                  <w:rPr>
                    <w:rFonts w:ascii="Calibri" w:hAnsi="Calibri"/>
                    <w:sz w:val="20"/>
                    <w:szCs w:val="20"/>
                  </w:rPr>
                </w:pPr>
                <w:r>
                  <w:rPr>
                    <w:rFonts w:hint="eastAsia" w:ascii="Calibri" w:hAnsi="Calibri"/>
                    <w:sz w:val="20"/>
                    <w:szCs w:val="20"/>
                  </w:rPr>
                  <w:t>细分行业</w:t>
                </w:r>
              </w:p>
            </w:tc>
          </w:sdtContent>
        </w:sdt>
        <w:sdt>
          <w:sdtPr>
            <w:tag w:val="_PLD_0a0f6c57f933449eab110087897eaa9f"/>
            <w:id w:val="-176505305"/>
          </w:sdtPr>
          <w:sdtContent>
            <w:sdt>
              <w:sdtPr>
                <w:tag w:val="_PLD_9aad13329d3c4fefbadd44b94754a9f4"/>
                <w:id w:val="-1397659422"/>
              </w:sdtPr>
              <w:sdtContent>
                <w:tc>
                  <w:tcPr>
                    <w:tcW w:w="710" w:type="dxa"/>
                    <w:vAlign w:val="center"/>
                  </w:tcPr>
                  <w:p w14:paraId="0C4C90FA">
                    <w:pPr>
                      <w:jc w:val="center"/>
                      <w:rPr>
                        <w:rFonts w:ascii="Calibri" w:hAnsi="Calibri"/>
                        <w:sz w:val="20"/>
                        <w:szCs w:val="20"/>
                      </w:rPr>
                    </w:pPr>
                    <w:r>
                      <w:rPr>
                        <w:rFonts w:hint="eastAsia" w:ascii="Calibri" w:hAnsi="Calibri"/>
                        <w:sz w:val="20"/>
                        <w:szCs w:val="20"/>
                      </w:rPr>
                      <w:t>主要治疗领域</w:t>
                    </w:r>
                  </w:p>
                </w:tc>
              </w:sdtContent>
            </w:sdt>
          </w:sdtContent>
        </w:sdt>
        <w:sdt>
          <w:sdtPr>
            <w:tag w:val="_PLD_a7232ab0d3f145a4a353fe2ebb7b0aae"/>
            <w:id w:val="-910233657"/>
          </w:sdtPr>
          <w:sdtContent>
            <w:sdt>
              <w:sdtPr>
                <w:tag w:val="_PLD_3b44df69786e45109d6f986a519740d7"/>
                <w:id w:val="960235457"/>
              </w:sdtPr>
              <w:sdtContent>
                <w:tc>
                  <w:tcPr>
                    <w:tcW w:w="2268" w:type="dxa"/>
                    <w:vAlign w:val="center"/>
                  </w:tcPr>
                  <w:p w14:paraId="1E2A5E9F">
                    <w:pPr>
                      <w:jc w:val="center"/>
                      <w:rPr>
                        <w:rFonts w:ascii="Calibri" w:hAnsi="Calibri"/>
                        <w:sz w:val="20"/>
                        <w:szCs w:val="20"/>
                      </w:rPr>
                    </w:pPr>
                    <w:r>
                      <w:rPr>
                        <w:rFonts w:hint="eastAsia" w:ascii="Calibri" w:hAnsi="Calibri"/>
                        <w:sz w:val="20"/>
                        <w:szCs w:val="20"/>
                      </w:rPr>
                      <w:t>药（产）品名称</w:t>
                    </w:r>
                  </w:p>
                </w:tc>
              </w:sdtContent>
            </w:sdt>
          </w:sdtContent>
        </w:sdt>
        <w:sdt>
          <w:sdtPr>
            <w:tag w:val="_PLD_7cd7ca74e0c143f89fae425cc71fab7e"/>
            <w:id w:val="1305821666"/>
          </w:sdtPr>
          <w:sdtContent>
            <w:sdt>
              <w:sdtPr>
                <w:tag w:val="_PLD_ecc4956e29694a90a68718b5926fe428"/>
                <w:id w:val="92593826"/>
              </w:sdtPr>
              <w:sdtContent>
                <w:tc>
                  <w:tcPr>
                    <w:tcW w:w="1134" w:type="dxa"/>
                    <w:vAlign w:val="center"/>
                  </w:tcPr>
                  <w:p w14:paraId="3CBE95B6">
                    <w:pPr>
                      <w:jc w:val="center"/>
                      <w:rPr>
                        <w:rFonts w:ascii="Calibri" w:hAnsi="Calibri"/>
                        <w:sz w:val="20"/>
                        <w:szCs w:val="20"/>
                      </w:rPr>
                    </w:pPr>
                    <w:r>
                      <w:rPr>
                        <w:rFonts w:hint="eastAsia" w:ascii="Calibri" w:hAnsi="Calibri"/>
                        <w:sz w:val="20"/>
                        <w:szCs w:val="20"/>
                      </w:rPr>
                      <w:t>注册分类</w:t>
                    </w:r>
                  </w:p>
                </w:tc>
              </w:sdtContent>
            </w:sdt>
          </w:sdtContent>
        </w:sdt>
        <w:sdt>
          <w:sdtPr>
            <w:tag w:val="_PLD_ac011416ccbe4979999bd83d4d985c31"/>
            <w:id w:val="-914853640"/>
          </w:sdtPr>
          <w:sdtContent>
            <w:tc>
              <w:tcPr>
                <w:tcW w:w="1275" w:type="dxa"/>
                <w:vAlign w:val="center"/>
              </w:tcPr>
              <w:p w14:paraId="5CCD0D21">
                <w:pPr>
                  <w:jc w:val="center"/>
                  <w:rPr>
                    <w:rFonts w:ascii="Calibri" w:hAnsi="Calibri"/>
                    <w:sz w:val="20"/>
                    <w:szCs w:val="20"/>
                  </w:rPr>
                </w:pPr>
                <w:r>
                  <w:rPr>
                    <w:rFonts w:hint="eastAsia" w:ascii="Calibri" w:hAnsi="Calibri"/>
                    <w:sz w:val="20"/>
                    <w:szCs w:val="20"/>
                  </w:rPr>
                  <w:t>适应症或功能主治</w:t>
                </w:r>
              </w:p>
            </w:tc>
          </w:sdtContent>
        </w:sdt>
        <w:sdt>
          <w:sdtPr>
            <w:tag w:val="_PLD_7999374fa35442f1ae28572550103423"/>
            <w:id w:val="574865757"/>
          </w:sdtPr>
          <w:sdtContent>
            <w:tc>
              <w:tcPr>
                <w:tcW w:w="567" w:type="dxa"/>
                <w:vAlign w:val="center"/>
              </w:tcPr>
              <w:p w14:paraId="4C4FA8E5">
                <w:pPr>
                  <w:jc w:val="center"/>
                  <w:rPr>
                    <w:rFonts w:ascii="Calibri" w:hAnsi="Calibri"/>
                    <w:sz w:val="20"/>
                    <w:szCs w:val="20"/>
                  </w:rPr>
                </w:pPr>
                <w:r>
                  <w:rPr>
                    <w:rFonts w:hint="eastAsia" w:ascii="Calibri" w:hAnsi="Calibri"/>
                    <w:sz w:val="20"/>
                    <w:szCs w:val="20"/>
                  </w:rPr>
                  <w:t>是否处方药</w:t>
                </w:r>
              </w:p>
            </w:tc>
          </w:sdtContent>
        </w:sdt>
        <w:sdt>
          <w:sdtPr>
            <w:tag w:val="_PLD_43404b5b4ea44dc3b24acaabce96ce53"/>
            <w:id w:val="1763264460"/>
          </w:sdtPr>
          <w:sdtContent>
            <w:tc>
              <w:tcPr>
                <w:tcW w:w="709" w:type="dxa"/>
                <w:vAlign w:val="center"/>
              </w:tcPr>
              <w:p w14:paraId="1AE67D77">
                <w:pPr>
                  <w:jc w:val="center"/>
                  <w:rPr>
                    <w:rFonts w:ascii="Calibri" w:hAnsi="Calibri"/>
                    <w:sz w:val="20"/>
                    <w:szCs w:val="20"/>
                  </w:rPr>
                </w:pPr>
                <w:r>
                  <w:rPr>
                    <w:rFonts w:hint="eastAsia" w:ascii="Calibri" w:hAnsi="Calibri"/>
                    <w:sz w:val="20"/>
                    <w:szCs w:val="20"/>
                  </w:rPr>
                  <w:t>是否属于中药保护品种（如涉及）</w:t>
                </w:r>
              </w:p>
            </w:tc>
          </w:sdtContent>
        </w:sdt>
        <w:sdt>
          <w:sdtPr>
            <w:tag w:val="_PLD_f71fac18bf12494fa15259091731f98f"/>
            <w:id w:val="-1028944064"/>
          </w:sdtPr>
          <w:sdtContent>
            <w:tc>
              <w:tcPr>
                <w:tcW w:w="709" w:type="dxa"/>
                <w:vAlign w:val="center"/>
              </w:tcPr>
              <w:p w14:paraId="391D4A78">
                <w:pPr>
                  <w:jc w:val="center"/>
                  <w:rPr>
                    <w:rFonts w:ascii="Calibri" w:hAnsi="Calibri"/>
                    <w:sz w:val="20"/>
                    <w:szCs w:val="20"/>
                  </w:rPr>
                </w:pPr>
                <w:r>
                  <w:rPr>
                    <w:rFonts w:hint="eastAsia" w:ascii="Calibri" w:hAnsi="Calibri"/>
                    <w:sz w:val="20"/>
                    <w:szCs w:val="20"/>
                  </w:rPr>
                  <w:t>发明专利起止期限（如适用）</w:t>
                </w:r>
              </w:p>
            </w:tc>
          </w:sdtContent>
        </w:sdt>
        <w:sdt>
          <w:sdtPr>
            <w:tag w:val="_PLD_cb2ec05b3d8148c7a3df22b11c77bf70"/>
            <w:id w:val="192965034"/>
          </w:sdtPr>
          <w:sdtContent>
            <w:sdt>
              <w:sdtPr>
                <w:tag w:val="_PLD_25f96fd7dfe946899014199fa2f802f4"/>
                <w:id w:val="-87780373"/>
              </w:sdtPr>
              <w:sdtContent>
                <w:tc>
                  <w:tcPr>
                    <w:tcW w:w="425" w:type="dxa"/>
                    <w:vAlign w:val="center"/>
                  </w:tcPr>
                  <w:p w14:paraId="3DFB67A8">
                    <w:pPr>
                      <w:jc w:val="center"/>
                      <w:rPr>
                        <w:rFonts w:ascii="Calibri" w:hAnsi="Calibri"/>
                        <w:sz w:val="20"/>
                        <w:szCs w:val="20"/>
                      </w:rPr>
                    </w:pPr>
                    <w:r>
                      <w:rPr>
                        <w:rFonts w:hint="eastAsia" w:ascii="Calibri" w:hAnsi="Calibri"/>
                        <w:sz w:val="20"/>
                        <w:szCs w:val="20"/>
                      </w:rPr>
                      <w:t>是否属于报告期内推出的新药（产）品</w:t>
                    </w:r>
                  </w:p>
                </w:tc>
              </w:sdtContent>
            </w:sdt>
          </w:sdtContent>
        </w:sdt>
        <w:sdt>
          <w:sdtPr>
            <w:tag w:val="_PLD_6cb133def50a4099be46758ac805317c"/>
            <w:id w:val="-172341580"/>
          </w:sdtPr>
          <w:sdtContent>
            <w:tc>
              <w:tcPr>
                <w:tcW w:w="425" w:type="dxa"/>
                <w:vAlign w:val="center"/>
              </w:tcPr>
              <w:p w14:paraId="535E4718">
                <w:pPr>
                  <w:jc w:val="center"/>
                  <w:rPr>
                    <w:rFonts w:ascii="Calibri" w:hAnsi="Calibri"/>
                    <w:sz w:val="20"/>
                    <w:szCs w:val="20"/>
                  </w:rPr>
                </w:pPr>
                <w:r>
                  <w:rPr>
                    <w:rFonts w:ascii="Calibri" w:hAnsi="Calibri"/>
                    <w:sz w:val="20"/>
                    <w:szCs w:val="20"/>
                  </w:rPr>
                  <w:t>是否纳入国家基药目录</w:t>
                </w:r>
              </w:p>
            </w:tc>
          </w:sdtContent>
        </w:sdt>
        <w:sdt>
          <w:sdtPr>
            <w:tag w:val="_PLD_422decdb7f60414ba3be2b5138849224"/>
            <w:id w:val="-983314290"/>
          </w:sdtPr>
          <w:sdtContent>
            <w:tc>
              <w:tcPr>
                <w:tcW w:w="567" w:type="dxa"/>
                <w:vAlign w:val="center"/>
              </w:tcPr>
              <w:p w14:paraId="50C8B6A4">
                <w:pPr>
                  <w:jc w:val="center"/>
                  <w:rPr>
                    <w:rFonts w:ascii="Calibri" w:hAnsi="Calibri"/>
                    <w:sz w:val="20"/>
                    <w:szCs w:val="20"/>
                  </w:rPr>
                </w:pPr>
                <w:r>
                  <w:rPr>
                    <w:rFonts w:ascii="Calibri" w:hAnsi="Calibri"/>
                    <w:sz w:val="20"/>
                    <w:szCs w:val="20"/>
                  </w:rPr>
                  <w:t>是否纳入国家医保目录</w:t>
                </w:r>
              </w:p>
            </w:tc>
          </w:sdtContent>
        </w:sdt>
        <w:sdt>
          <w:sdtPr>
            <w:tag w:val="_PLD_01e32bebef3b4be19aa01bc4044c39ec"/>
            <w:id w:val="1078485263"/>
          </w:sdtPr>
          <w:sdtContent>
            <w:tc>
              <w:tcPr>
                <w:tcW w:w="567" w:type="dxa"/>
                <w:vAlign w:val="center"/>
              </w:tcPr>
              <w:p w14:paraId="00135FC9">
                <w:pPr>
                  <w:jc w:val="center"/>
                  <w:rPr>
                    <w:rFonts w:ascii="Calibri" w:hAnsi="Calibri"/>
                    <w:sz w:val="20"/>
                    <w:szCs w:val="20"/>
                  </w:rPr>
                </w:pPr>
                <w:r>
                  <w:rPr>
                    <w:rFonts w:ascii="Calibri" w:hAnsi="Calibri"/>
                    <w:sz w:val="20"/>
                    <w:szCs w:val="20"/>
                  </w:rPr>
                  <w:t>是否纳入省级医保目录</w:t>
                </w:r>
              </w:p>
            </w:tc>
          </w:sdtContent>
        </w:sdt>
      </w:tr>
      <w:tr w14:paraId="6C32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09" w:type="dxa"/>
            <w:vMerge w:val="restart"/>
            <w:textDirection w:val="tbRlV"/>
            <w:vAlign w:val="center"/>
          </w:tcPr>
          <w:p w14:paraId="024A466F">
            <w:pPr>
              <w:ind w:left="113" w:right="113"/>
              <w:jc w:val="center"/>
              <w:rPr>
                <w:rFonts w:ascii="Calibri" w:hAnsi="Calibri"/>
                <w:sz w:val="20"/>
                <w:szCs w:val="20"/>
              </w:rPr>
            </w:pPr>
            <w:r>
              <w:rPr>
                <w:rFonts w:hint="eastAsia" w:ascii="Calibri" w:hAnsi="Calibri"/>
                <w:sz w:val="20"/>
                <w:szCs w:val="20"/>
              </w:rPr>
              <w:t>胰岛素</w:t>
            </w:r>
          </w:p>
        </w:tc>
        <w:tc>
          <w:tcPr>
            <w:tcW w:w="710" w:type="dxa"/>
            <w:vMerge w:val="restart"/>
            <w:textDirection w:val="tbRlV"/>
            <w:vAlign w:val="center"/>
          </w:tcPr>
          <w:p w14:paraId="7850F3E7">
            <w:pPr>
              <w:ind w:left="113" w:right="113"/>
              <w:jc w:val="center"/>
              <w:rPr>
                <w:rFonts w:ascii="Calibri" w:hAnsi="Calibri"/>
                <w:sz w:val="20"/>
                <w:szCs w:val="20"/>
              </w:rPr>
            </w:pPr>
            <w:r>
              <w:rPr>
                <w:rFonts w:hint="eastAsia" w:ascii="Calibri" w:hAnsi="Calibri"/>
                <w:sz w:val="20"/>
                <w:szCs w:val="20"/>
              </w:rPr>
              <w:t>糖尿病</w:t>
            </w:r>
          </w:p>
        </w:tc>
        <w:tc>
          <w:tcPr>
            <w:tcW w:w="2268" w:type="dxa"/>
            <w:vAlign w:val="center"/>
          </w:tcPr>
          <w:p w14:paraId="56BC7C67">
            <w:pPr>
              <w:pStyle w:val="48"/>
              <w:rPr>
                <w:sz w:val="20"/>
                <w:szCs w:val="20"/>
              </w:rPr>
            </w:pPr>
            <w:r>
              <w:rPr>
                <w:sz w:val="20"/>
                <w:szCs w:val="20"/>
              </w:rPr>
              <w:t>精蛋白人胰岛素混合注射液（30R）</w:t>
            </w:r>
          </w:p>
        </w:tc>
        <w:tc>
          <w:tcPr>
            <w:tcW w:w="1134" w:type="dxa"/>
            <w:vAlign w:val="center"/>
          </w:tcPr>
          <w:p w14:paraId="483CE619">
            <w:pPr>
              <w:jc w:val="center"/>
              <w:rPr>
                <w:rFonts w:ascii="Calibri" w:hAnsi="Calibri"/>
                <w:sz w:val="20"/>
                <w:szCs w:val="20"/>
              </w:rPr>
            </w:pPr>
            <w:r>
              <w:rPr>
                <w:rFonts w:ascii="Calibri" w:hAnsi="Calibri"/>
                <w:sz w:val="20"/>
                <w:szCs w:val="20"/>
              </w:rPr>
              <w:t>生物制品</w:t>
            </w:r>
          </w:p>
        </w:tc>
        <w:tc>
          <w:tcPr>
            <w:tcW w:w="1275" w:type="dxa"/>
            <w:vAlign w:val="center"/>
          </w:tcPr>
          <w:p w14:paraId="744B57C5">
            <w:pPr>
              <w:jc w:val="both"/>
              <w:rPr>
                <w:rFonts w:ascii="Calibri" w:hAnsi="Calibri"/>
                <w:sz w:val="20"/>
                <w:szCs w:val="20"/>
              </w:rPr>
            </w:pPr>
            <w:r>
              <w:rPr>
                <w:rFonts w:ascii="Calibri" w:hAnsi="Calibri"/>
                <w:sz w:val="20"/>
                <w:szCs w:val="20"/>
              </w:rPr>
              <w:t>1型或2型糖尿病</w:t>
            </w:r>
          </w:p>
        </w:tc>
        <w:tc>
          <w:tcPr>
            <w:tcW w:w="567" w:type="dxa"/>
            <w:vAlign w:val="center"/>
          </w:tcPr>
          <w:p w14:paraId="63B0C4B1">
            <w:pPr>
              <w:jc w:val="center"/>
              <w:rPr>
                <w:rFonts w:ascii="Calibri" w:hAnsi="Calibri"/>
                <w:sz w:val="20"/>
                <w:szCs w:val="20"/>
              </w:rPr>
            </w:pPr>
            <w:r>
              <w:rPr>
                <w:rFonts w:ascii="Calibri" w:hAnsi="Calibri"/>
                <w:sz w:val="20"/>
                <w:szCs w:val="20"/>
              </w:rPr>
              <w:t>是</w:t>
            </w:r>
          </w:p>
        </w:tc>
        <w:tc>
          <w:tcPr>
            <w:tcW w:w="709" w:type="dxa"/>
            <w:vAlign w:val="center"/>
          </w:tcPr>
          <w:p w14:paraId="79672ADE">
            <w:pPr>
              <w:jc w:val="center"/>
              <w:rPr>
                <w:rFonts w:ascii="Calibri" w:hAnsi="Calibri"/>
                <w:sz w:val="20"/>
                <w:szCs w:val="20"/>
              </w:rPr>
            </w:pPr>
            <w:r>
              <w:rPr>
                <w:rFonts w:ascii="Calibri" w:hAnsi="Calibri"/>
                <w:sz w:val="20"/>
                <w:szCs w:val="20"/>
              </w:rPr>
              <w:t>否</w:t>
            </w:r>
          </w:p>
        </w:tc>
        <w:tc>
          <w:tcPr>
            <w:tcW w:w="709" w:type="dxa"/>
            <w:vAlign w:val="center"/>
          </w:tcPr>
          <w:p w14:paraId="32778DBC">
            <w:pPr>
              <w:jc w:val="center"/>
              <w:rPr>
                <w:rFonts w:ascii="Calibri" w:hAnsi="Calibri"/>
                <w:sz w:val="20"/>
                <w:szCs w:val="20"/>
              </w:rPr>
            </w:pPr>
            <w:r>
              <w:rPr>
                <w:rFonts w:ascii="Calibri" w:hAnsi="Calibri"/>
                <w:sz w:val="20"/>
                <w:szCs w:val="20"/>
              </w:rPr>
              <w:t>无</w:t>
            </w:r>
          </w:p>
        </w:tc>
        <w:tc>
          <w:tcPr>
            <w:tcW w:w="425" w:type="dxa"/>
            <w:vAlign w:val="center"/>
          </w:tcPr>
          <w:p w14:paraId="61E01C3A">
            <w:pPr>
              <w:jc w:val="center"/>
              <w:rPr>
                <w:rFonts w:ascii="Calibri" w:hAnsi="Calibri"/>
                <w:sz w:val="20"/>
                <w:szCs w:val="20"/>
              </w:rPr>
            </w:pPr>
            <w:r>
              <w:rPr>
                <w:rFonts w:ascii="Calibri" w:hAnsi="Calibri"/>
                <w:sz w:val="20"/>
                <w:szCs w:val="20"/>
              </w:rPr>
              <w:t>否</w:t>
            </w:r>
          </w:p>
        </w:tc>
        <w:tc>
          <w:tcPr>
            <w:tcW w:w="425" w:type="dxa"/>
            <w:vAlign w:val="center"/>
          </w:tcPr>
          <w:p w14:paraId="56271AF1">
            <w:pPr>
              <w:jc w:val="center"/>
              <w:rPr>
                <w:rFonts w:ascii="Calibri" w:hAnsi="Calibri"/>
                <w:sz w:val="20"/>
                <w:szCs w:val="20"/>
              </w:rPr>
            </w:pPr>
            <w:r>
              <w:rPr>
                <w:rFonts w:ascii="Calibri" w:hAnsi="Calibri"/>
                <w:sz w:val="20"/>
                <w:szCs w:val="20"/>
              </w:rPr>
              <w:t>是</w:t>
            </w:r>
          </w:p>
        </w:tc>
        <w:tc>
          <w:tcPr>
            <w:tcW w:w="567" w:type="dxa"/>
            <w:vAlign w:val="center"/>
          </w:tcPr>
          <w:p w14:paraId="3B0A3CDF">
            <w:pPr>
              <w:jc w:val="center"/>
              <w:rPr>
                <w:rFonts w:ascii="Calibri" w:hAnsi="Calibri"/>
                <w:sz w:val="20"/>
                <w:szCs w:val="20"/>
              </w:rPr>
            </w:pPr>
            <w:r>
              <w:rPr>
                <w:rFonts w:ascii="Calibri" w:hAnsi="Calibri"/>
                <w:sz w:val="20"/>
                <w:szCs w:val="20"/>
              </w:rPr>
              <w:t>是</w:t>
            </w:r>
          </w:p>
        </w:tc>
        <w:tc>
          <w:tcPr>
            <w:tcW w:w="567" w:type="dxa"/>
            <w:vAlign w:val="center"/>
          </w:tcPr>
          <w:p w14:paraId="070EB487">
            <w:pPr>
              <w:jc w:val="center"/>
              <w:rPr>
                <w:rFonts w:ascii="Calibri" w:hAnsi="Calibri"/>
                <w:sz w:val="20"/>
                <w:szCs w:val="20"/>
              </w:rPr>
            </w:pPr>
            <w:r>
              <w:rPr>
                <w:rFonts w:ascii="Calibri" w:hAnsi="Calibri"/>
                <w:sz w:val="20"/>
                <w:szCs w:val="20"/>
              </w:rPr>
              <w:t>是</w:t>
            </w:r>
          </w:p>
        </w:tc>
      </w:tr>
      <w:tr w14:paraId="551B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09" w:type="dxa"/>
            <w:vMerge w:val="continue"/>
            <w:textDirection w:val="tbRlV"/>
            <w:vAlign w:val="center"/>
          </w:tcPr>
          <w:p w14:paraId="669D3519">
            <w:pPr>
              <w:ind w:left="113" w:right="113"/>
              <w:jc w:val="center"/>
              <w:rPr>
                <w:rFonts w:ascii="Calibri" w:hAnsi="Calibri"/>
                <w:sz w:val="20"/>
                <w:szCs w:val="20"/>
              </w:rPr>
            </w:pPr>
          </w:p>
        </w:tc>
        <w:tc>
          <w:tcPr>
            <w:tcW w:w="710" w:type="dxa"/>
            <w:vMerge w:val="continue"/>
            <w:textDirection w:val="tbRlV"/>
            <w:vAlign w:val="center"/>
          </w:tcPr>
          <w:p w14:paraId="49645A96">
            <w:pPr>
              <w:ind w:left="113" w:right="113"/>
              <w:jc w:val="center"/>
              <w:rPr>
                <w:rFonts w:ascii="Calibri" w:hAnsi="Calibri"/>
                <w:sz w:val="20"/>
                <w:szCs w:val="20"/>
              </w:rPr>
            </w:pPr>
          </w:p>
        </w:tc>
        <w:tc>
          <w:tcPr>
            <w:tcW w:w="2268" w:type="dxa"/>
            <w:vAlign w:val="center"/>
          </w:tcPr>
          <w:p w14:paraId="3699ED1F">
            <w:pPr>
              <w:pStyle w:val="48"/>
              <w:rPr>
                <w:sz w:val="20"/>
                <w:szCs w:val="20"/>
              </w:rPr>
            </w:pPr>
            <w:r>
              <w:rPr>
                <w:sz w:val="20"/>
                <w:szCs w:val="20"/>
              </w:rPr>
              <w:t>精蛋白人胰岛素混合注射液（40R）</w:t>
            </w:r>
          </w:p>
        </w:tc>
        <w:tc>
          <w:tcPr>
            <w:tcW w:w="1134" w:type="dxa"/>
            <w:vAlign w:val="center"/>
          </w:tcPr>
          <w:p w14:paraId="4D9E2614">
            <w:pPr>
              <w:jc w:val="center"/>
              <w:rPr>
                <w:rFonts w:ascii="Calibri" w:hAnsi="Calibri"/>
                <w:sz w:val="20"/>
                <w:szCs w:val="20"/>
              </w:rPr>
            </w:pPr>
            <w:r>
              <w:rPr>
                <w:rFonts w:ascii="Calibri" w:hAnsi="Calibri"/>
                <w:sz w:val="20"/>
                <w:szCs w:val="20"/>
              </w:rPr>
              <w:t>生物制品</w:t>
            </w:r>
          </w:p>
        </w:tc>
        <w:tc>
          <w:tcPr>
            <w:tcW w:w="1275" w:type="dxa"/>
            <w:vAlign w:val="center"/>
          </w:tcPr>
          <w:p w14:paraId="12FB90D1">
            <w:pPr>
              <w:jc w:val="both"/>
              <w:rPr>
                <w:rFonts w:ascii="Calibri" w:hAnsi="Calibri"/>
                <w:sz w:val="20"/>
                <w:szCs w:val="20"/>
              </w:rPr>
            </w:pPr>
            <w:r>
              <w:rPr>
                <w:rFonts w:ascii="Calibri" w:hAnsi="Calibri"/>
                <w:sz w:val="20"/>
                <w:szCs w:val="20"/>
              </w:rPr>
              <w:t>需用胰岛素治疗的糖尿病</w:t>
            </w:r>
          </w:p>
        </w:tc>
        <w:tc>
          <w:tcPr>
            <w:tcW w:w="567" w:type="dxa"/>
            <w:vAlign w:val="center"/>
          </w:tcPr>
          <w:p w14:paraId="40B680E1">
            <w:pPr>
              <w:jc w:val="center"/>
              <w:rPr>
                <w:rFonts w:ascii="Calibri" w:hAnsi="Calibri"/>
                <w:sz w:val="20"/>
                <w:szCs w:val="20"/>
              </w:rPr>
            </w:pPr>
            <w:r>
              <w:rPr>
                <w:rFonts w:ascii="Calibri" w:hAnsi="Calibri"/>
                <w:sz w:val="20"/>
                <w:szCs w:val="20"/>
              </w:rPr>
              <w:t>是</w:t>
            </w:r>
          </w:p>
        </w:tc>
        <w:tc>
          <w:tcPr>
            <w:tcW w:w="709" w:type="dxa"/>
            <w:vAlign w:val="center"/>
          </w:tcPr>
          <w:p w14:paraId="320E60AE">
            <w:pPr>
              <w:jc w:val="center"/>
              <w:rPr>
                <w:rFonts w:ascii="Calibri" w:hAnsi="Calibri"/>
                <w:sz w:val="20"/>
                <w:szCs w:val="20"/>
              </w:rPr>
            </w:pPr>
            <w:r>
              <w:rPr>
                <w:rFonts w:ascii="Calibri" w:hAnsi="Calibri"/>
                <w:sz w:val="20"/>
                <w:szCs w:val="20"/>
              </w:rPr>
              <w:t>否</w:t>
            </w:r>
          </w:p>
        </w:tc>
        <w:tc>
          <w:tcPr>
            <w:tcW w:w="709" w:type="dxa"/>
            <w:vAlign w:val="center"/>
          </w:tcPr>
          <w:p w14:paraId="72E7665F">
            <w:pPr>
              <w:jc w:val="center"/>
              <w:rPr>
                <w:rFonts w:ascii="Calibri" w:hAnsi="Calibri"/>
                <w:sz w:val="20"/>
                <w:szCs w:val="20"/>
              </w:rPr>
            </w:pPr>
            <w:r>
              <w:rPr>
                <w:rFonts w:ascii="Calibri" w:hAnsi="Calibri"/>
                <w:sz w:val="20"/>
                <w:szCs w:val="20"/>
              </w:rPr>
              <w:t>无</w:t>
            </w:r>
          </w:p>
        </w:tc>
        <w:tc>
          <w:tcPr>
            <w:tcW w:w="425" w:type="dxa"/>
            <w:vAlign w:val="center"/>
          </w:tcPr>
          <w:p w14:paraId="47A5452C">
            <w:pPr>
              <w:jc w:val="center"/>
              <w:rPr>
                <w:rFonts w:ascii="Calibri" w:hAnsi="Calibri"/>
                <w:sz w:val="20"/>
                <w:szCs w:val="20"/>
              </w:rPr>
            </w:pPr>
            <w:r>
              <w:rPr>
                <w:rFonts w:ascii="Calibri" w:hAnsi="Calibri"/>
                <w:sz w:val="20"/>
                <w:szCs w:val="20"/>
              </w:rPr>
              <w:t>否</w:t>
            </w:r>
          </w:p>
        </w:tc>
        <w:tc>
          <w:tcPr>
            <w:tcW w:w="425" w:type="dxa"/>
            <w:vAlign w:val="center"/>
          </w:tcPr>
          <w:p w14:paraId="67CA12FE">
            <w:pPr>
              <w:jc w:val="center"/>
              <w:rPr>
                <w:rFonts w:ascii="Calibri" w:hAnsi="Calibri"/>
                <w:sz w:val="20"/>
                <w:szCs w:val="20"/>
              </w:rPr>
            </w:pPr>
            <w:r>
              <w:rPr>
                <w:rFonts w:ascii="Calibri" w:hAnsi="Calibri"/>
                <w:sz w:val="20"/>
                <w:szCs w:val="20"/>
              </w:rPr>
              <w:t>否</w:t>
            </w:r>
          </w:p>
        </w:tc>
        <w:tc>
          <w:tcPr>
            <w:tcW w:w="567" w:type="dxa"/>
            <w:vAlign w:val="center"/>
          </w:tcPr>
          <w:p w14:paraId="11985231">
            <w:pPr>
              <w:jc w:val="center"/>
              <w:rPr>
                <w:rFonts w:ascii="Calibri" w:hAnsi="Calibri"/>
                <w:sz w:val="20"/>
                <w:szCs w:val="20"/>
              </w:rPr>
            </w:pPr>
            <w:r>
              <w:rPr>
                <w:rFonts w:ascii="Calibri" w:hAnsi="Calibri"/>
                <w:sz w:val="20"/>
                <w:szCs w:val="20"/>
              </w:rPr>
              <w:t>是</w:t>
            </w:r>
          </w:p>
        </w:tc>
        <w:tc>
          <w:tcPr>
            <w:tcW w:w="567" w:type="dxa"/>
            <w:vAlign w:val="center"/>
          </w:tcPr>
          <w:p w14:paraId="15D87F00">
            <w:pPr>
              <w:jc w:val="center"/>
              <w:rPr>
                <w:rFonts w:ascii="Calibri" w:hAnsi="Calibri"/>
                <w:sz w:val="20"/>
                <w:szCs w:val="20"/>
              </w:rPr>
            </w:pPr>
            <w:r>
              <w:rPr>
                <w:rFonts w:ascii="Calibri" w:hAnsi="Calibri"/>
                <w:sz w:val="20"/>
                <w:szCs w:val="20"/>
              </w:rPr>
              <w:t>是</w:t>
            </w:r>
          </w:p>
        </w:tc>
      </w:tr>
      <w:tr w14:paraId="0409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09" w:type="dxa"/>
            <w:vMerge w:val="continue"/>
            <w:textDirection w:val="tbRlV"/>
            <w:vAlign w:val="center"/>
          </w:tcPr>
          <w:p w14:paraId="7807300E">
            <w:pPr>
              <w:ind w:left="113" w:right="113"/>
              <w:jc w:val="center"/>
              <w:rPr>
                <w:rFonts w:ascii="Calibri" w:hAnsi="Calibri"/>
                <w:sz w:val="20"/>
                <w:szCs w:val="20"/>
              </w:rPr>
            </w:pPr>
          </w:p>
        </w:tc>
        <w:tc>
          <w:tcPr>
            <w:tcW w:w="710" w:type="dxa"/>
            <w:vMerge w:val="continue"/>
            <w:textDirection w:val="tbRlV"/>
            <w:vAlign w:val="center"/>
          </w:tcPr>
          <w:p w14:paraId="62135F2F">
            <w:pPr>
              <w:ind w:left="113" w:right="113"/>
              <w:jc w:val="center"/>
              <w:rPr>
                <w:rFonts w:ascii="Calibri" w:hAnsi="Calibri"/>
                <w:sz w:val="20"/>
                <w:szCs w:val="20"/>
              </w:rPr>
            </w:pPr>
          </w:p>
        </w:tc>
        <w:tc>
          <w:tcPr>
            <w:tcW w:w="2268" w:type="dxa"/>
            <w:vAlign w:val="center"/>
          </w:tcPr>
          <w:p w14:paraId="57E82E70">
            <w:pPr>
              <w:pStyle w:val="48"/>
              <w:rPr>
                <w:sz w:val="20"/>
                <w:szCs w:val="20"/>
              </w:rPr>
            </w:pPr>
            <w:r>
              <w:rPr>
                <w:sz w:val="20"/>
                <w:szCs w:val="20"/>
              </w:rPr>
              <w:t>精蛋白人胰岛素混合注射液（50R）</w:t>
            </w:r>
          </w:p>
        </w:tc>
        <w:tc>
          <w:tcPr>
            <w:tcW w:w="1134" w:type="dxa"/>
            <w:vAlign w:val="center"/>
          </w:tcPr>
          <w:p w14:paraId="1070C743">
            <w:pPr>
              <w:jc w:val="center"/>
              <w:rPr>
                <w:rFonts w:ascii="Calibri" w:hAnsi="Calibri"/>
                <w:sz w:val="20"/>
                <w:szCs w:val="20"/>
              </w:rPr>
            </w:pPr>
            <w:r>
              <w:rPr>
                <w:rFonts w:ascii="Calibri" w:hAnsi="Calibri"/>
                <w:sz w:val="20"/>
                <w:szCs w:val="20"/>
              </w:rPr>
              <w:t>生物制品</w:t>
            </w:r>
          </w:p>
        </w:tc>
        <w:tc>
          <w:tcPr>
            <w:tcW w:w="1275" w:type="dxa"/>
            <w:vAlign w:val="center"/>
          </w:tcPr>
          <w:p w14:paraId="7F276E59">
            <w:pPr>
              <w:jc w:val="both"/>
              <w:rPr>
                <w:rFonts w:ascii="Calibri" w:hAnsi="Calibri"/>
                <w:sz w:val="20"/>
                <w:szCs w:val="20"/>
              </w:rPr>
            </w:pPr>
            <w:r>
              <w:rPr>
                <w:rFonts w:ascii="Calibri" w:hAnsi="Calibri"/>
                <w:sz w:val="20"/>
                <w:szCs w:val="20"/>
              </w:rPr>
              <w:t>1型或2型糖尿病</w:t>
            </w:r>
          </w:p>
        </w:tc>
        <w:tc>
          <w:tcPr>
            <w:tcW w:w="567" w:type="dxa"/>
            <w:vAlign w:val="center"/>
          </w:tcPr>
          <w:p w14:paraId="34429D0F">
            <w:pPr>
              <w:jc w:val="center"/>
              <w:rPr>
                <w:rFonts w:ascii="Calibri" w:hAnsi="Calibri"/>
                <w:sz w:val="20"/>
                <w:szCs w:val="20"/>
              </w:rPr>
            </w:pPr>
            <w:r>
              <w:rPr>
                <w:rFonts w:ascii="Calibri" w:hAnsi="Calibri"/>
                <w:sz w:val="20"/>
                <w:szCs w:val="20"/>
              </w:rPr>
              <w:t>是</w:t>
            </w:r>
          </w:p>
        </w:tc>
        <w:tc>
          <w:tcPr>
            <w:tcW w:w="709" w:type="dxa"/>
            <w:vAlign w:val="center"/>
          </w:tcPr>
          <w:p w14:paraId="16B0F521">
            <w:pPr>
              <w:jc w:val="center"/>
              <w:rPr>
                <w:rFonts w:ascii="Calibri" w:hAnsi="Calibri"/>
                <w:sz w:val="20"/>
                <w:szCs w:val="20"/>
              </w:rPr>
            </w:pPr>
            <w:r>
              <w:rPr>
                <w:rFonts w:ascii="Calibri" w:hAnsi="Calibri"/>
                <w:sz w:val="20"/>
                <w:szCs w:val="20"/>
              </w:rPr>
              <w:t>否</w:t>
            </w:r>
          </w:p>
        </w:tc>
        <w:tc>
          <w:tcPr>
            <w:tcW w:w="709" w:type="dxa"/>
            <w:vAlign w:val="center"/>
          </w:tcPr>
          <w:p w14:paraId="7CF10273">
            <w:pPr>
              <w:jc w:val="center"/>
              <w:rPr>
                <w:rFonts w:ascii="Calibri" w:hAnsi="Calibri"/>
                <w:sz w:val="20"/>
                <w:szCs w:val="20"/>
              </w:rPr>
            </w:pPr>
            <w:r>
              <w:rPr>
                <w:rFonts w:ascii="Calibri" w:hAnsi="Calibri"/>
                <w:sz w:val="20"/>
                <w:szCs w:val="20"/>
              </w:rPr>
              <w:t>无</w:t>
            </w:r>
          </w:p>
        </w:tc>
        <w:tc>
          <w:tcPr>
            <w:tcW w:w="425" w:type="dxa"/>
            <w:vAlign w:val="center"/>
          </w:tcPr>
          <w:p w14:paraId="461ECC52">
            <w:pPr>
              <w:jc w:val="center"/>
              <w:rPr>
                <w:rFonts w:ascii="Calibri" w:hAnsi="Calibri"/>
                <w:sz w:val="20"/>
                <w:szCs w:val="20"/>
              </w:rPr>
            </w:pPr>
            <w:r>
              <w:rPr>
                <w:rFonts w:ascii="Calibri" w:hAnsi="Calibri"/>
                <w:sz w:val="20"/>
                <w:szCs w:val="20"/>
              </w:rPr>
              <w:t>否</w:t>
            </w:r>
          </w:p>
        </w:tc>
        <w:tc>
          <w:tcPr>
            <w:tcW w:w="425" w:type="dxa"/>
            <w:vAlign w:val="center"/>
          </w:tcPr>
          <w:p w14:paraId="3526C223">
            <w:pPr>
              <w:jc w:val="center"/>
              <w:rPr>
                <w:rFonts w:ascii="Calibri" w:hAnsi="Calibri"/>
                <w:sz w:val="20"/>
                <w:szCs w:val="20"/>
              </w:rPr>
            </w:pPr>
            <w:r>
              <w:rPr>
                <w:rFonts w:ascii="Calibri" w:hAnsi="Calibri"/>
                <w:sz w:val="20"/>
                <w:szCs w:val="20"/>
              </w:rPr>
              <w:t>否</w:t>
            </w:r>
          </w:p>
        </w:tc>
        <w:tc>
          <w:tcPr>
            <w:tcW w:w="567" w:type="dxa"/>
            <w:vAlign w:val="center"/>
          </w:tcPr>
          <w:p w14:paraId="408FFCFE">
            <w:pPr>
              <w:jc w:val="center"/>
              <w:rPr>
                <w:rFonts w:ascii="Calibri" w:hAnsi="Calibri"/>
                <w:sz w:val="20"/>
                <w:szCs w:val="20"/>
              </w:rPr>
            </w:pPr>
            <w:r>
              <w:rPr>
                <w:rFonts w:ascii="Calibri" w:hAnsi="Calibri"/>
                <w:sz w:val="20"/>
                <w:szCs w:val="20"/>
              </w:rPr>
              <w:t>是</w:t>
            </w:r>
          </w:p>
        </w:tc>
        <w:tc>
          <w:tcPr>
            <w:tcW w:w="567" w:type="dxa"/>
            <w:vAlign w:val="center"/>
          </w:tcPr>
          <w:p w14:paraId="03B0A3BE">
            <w:pPr>
              <w:jc w:val="center"/>
              <w:rPr>
                <w:rFonts w:ascii="Calibri" w:hAnsi="Calibri"/>
                <w:sz w:val="20"/>
                <w:szCs w:val="20"/>
              </w:rPr>
            </w:pPr>
            <w:r>
              <w:rPr>
                <w:rFonts w:ascii="Calibri" w:hAnsi="Calibri"/>
                <w:sz w:val="20"/>
                <w:szCs w:val="20"/>
              </w:rPr>
              <w:t>是</w:t>
            </w:r>
          </w:p>
        </w:tc>
      </w:tr>
      <w:tr w14:paraId="0A2A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09" w:type="dxa"/>
            <w:vMerge w:val="continue"/>
            <w:textDirection w:val="tbRlV"/>
            <w:vAlign w:val="center"/>
          </w:tcPr>
          <w:p w14:paraId="1F54C24F">
            <w:pPr>
              <w:ind w:left="113" w:right="113"/>
              <w:jc w:val="center"/>
              <w:rPr>
                <w:rFonts w:ascii="Calibri" w:hAnsi="Calibri"/>
                <w:sz w:val="20"/>
                <w:szCs w:val="20"/>
              </w:rPr>
            </w:pPr>
          </w:p>
        </w:tc>
        <w:tc>
          <w:tcPr>
            <w:tcW w:w="710" w:type="dxa"/>
            <w:vMerge w:val="continue"/>
            <w:textDirection w:val="tbRlV"/>
            <w:vAlign w:val="center"/>
          </w:tcPr>
          <w:p w14:paraId="7F8CF447">
            <w:pPr>
              <w:ind w:left="113" w:right="113"/>
              <w:jc w:val="center"/>
              <w:rPr>
                <w:rFonts w:ascii="Calibri" w:hAnsi="Calibri"/>
                <w:sz w:val="20"/>
                <w:szCs w:val="20"/>
              </w:rPr>
            </w:pPr>
          </w:p>
        </w:tc>
        <w:tc>
          <w:tcPr>
            <w:tcW w:w="2268" w:type="dxa"/>
            <w:vAlign w:val="center"/>
          </w:tcPr>
          <w:p w14:paraId="21D6B6A9">
            <w:pPr>
              <w:pStyle w:val="48"/>
              <w:rPr>
                <w:sz w:val="20"/>
                <w:szCs w:val="20"/>
              </w:rPr>
            </w:pPr>
            <w:r>
              <w:rPr>
                <w:sz w:val="20"/>
                <w:szCs w:val="20"/>
              </w:rPr>
              <w:t>人胰岛素注射液</w:t>
            </w:r>
          </w:p>
        </w:tc>
        <w:tc>
          <w:tcPr>
            <w:tcW w:w="1134" w:type="dxa"/>
            <w:vAlign w:val="center"/>
          </w:tcPr>
          <w:p w14:paraId="6AEE6F6C">
            <w:pPr>
              <w:jc w:val="center"/>
              <w:rPr>
                <w:rFonts w:ascii="Calibri" w:hAnsi="Calibri"/>
                <w:sz w:val="20"/>
                <w:szCs w:val="20"/>
              </w:rPr>
            </w:pPr>
            <w:r>
              <w:rPr>
                <w:rFonts w:ascii="Calibri" w:hAnsi="Calibri"/>
                <w:sz w:val="20"/>
                <w:szCs w:val="20"/>
              </w:rPr>
              <w:t>生物制品</w:t>
            </w:r>
          </w:p>
        </w:tc>
        <w:tc>
          <w:tcPr>
            <w:tcW w:w="1275" w:type="dxa"/>
            <w:vAlign w:val="center"/>
          </w:tcPr>
          <w:p w14:paraId="5374C5E9">
            <w:pPr>
              <w:jc w:val="both"/>
              <w:rPr>
                <w:rFonts w:ascii="Calibri" w:hAnsi="Calibri"/>
                <w:sz w:val="20"/>
                <w:szCs w:val="20"/>
              </w:rPr>
            </w:pPr>
            <w:r>
              <w:rPr>
                <w:rFonts w:ascii="Calibri" w:hAnsi="Calibri"/>
                <w:sz w:val="20"/>
                <w:szCs w:val="20"/>
              </w:rPr>
              <w:t>1型或2型糖尿病</w:t>
            </w:r>
          </w:p>
        </w:tc>
        <w:tc>
          <w:tcPr>
            <w:tcW w:w="567" w:type="dxa"/>
            <w:vAlign w:val="center"/>
          </w:tcPr>
          <w:p w14:paraId="431C459D">
            <w:pPr>
              <w:jc w:val="center"/>
              <w:rPr>
                <w:rFonts w:ascii="Calibri" w:hAnsi="Calibri"/>
                <w:sz w:val="20"/>
                <w:szCs w:val="20"/>
              </w:rPr>
            </w:pPr>
            <w:r>
              <w:rPr>
                <w:rFonts w:ascii="Calibri" w:hAnsi="Calibri"/>
                <w:sz w:val="20"/>
                <w:szCs w:val="20"/>
              </w:rPr>
              <w:t>是</w:t>
            </w:r>
          </w:p>
        </w:tc>
        <w:tc>
          <w:tcPr>
            <w:tcW w:w="709" w:type="dxa"/>
            <w:vAlign w:val="center"/>
          </w:tcPr>
          <w:p w14:paraId="06A2283E">
            <w:pPr>
              <w:jc w:val="center"/>
              <w:rPr>
                <w:rFonts w:ascii="Calibri" w:hAnsi="Calibri"/>
                <w:sz w:val="20"/>
                <w:szCs w:val="20"/>
              </w:rPr>
            </w:pPr>
            <w:r>
              <w:rPr>
                <w:rFonts w:ascii="Calibri" w:hAnsi="Calibri"/>
                <w:sz w:val="20"/>
                <w:szCs w:val="20"/>
              </w:rPr>
              <w:t>否</w:t>
            </w:r>
          </w:p>
        </w:tc>
        <w:tc>
          <w:tcPr>
            <w:tcW w:w="709" w:type="dxa"/>
            <w:vAlign w:val="center"/>
          </w:tcPr>
          <w:p w14:paraId="32B78FD6">
            <w:pPr>
              <w:jc w:val="center"/>
              <w:rPr>
                <w:rFonts w:ascii="Calibri" w:hAnsi="Calibri"/>
                <w:sz w:val="20"/>
                <w:szCs w:val="20"/>
              </w:rPr>
            </w:pPr>
            <w:r>
              <w:rPr>
                <w:rFonts w:ascii="Calibri" w:hAnsi="Calibri"/>
                <w:sz w:val="20"/>
                <w:szCs w:val="20"/>
              </w:rPr>
              <w:t>无</w:t>
            </w:r>
          </w:p>
        </w:tc>
        <w:tc>
          <w:tcPr>
            <w:tcW w:w="425" w:type="dxa"/>
            <w:vAlign w:val="center"/>
          </w:tcPr>
          <w:p w14:paraId="041AFD48">
            <w:pPr>
              <w:jc w:val="center"/>
              <w:rPr>
                <w:rFonts w:ascii="Calibri" w:hAnsi="Calibri"/>
                <w:sz w:val="20"/>
                <w:szCs w:val="20"/>
              </w:rPr>
            </w:pPr>
            <w:r>
              <w:rPr>
                <w:rFonts w:ascii="Calibri" w:hAnsi="Calibri"/>
                <w:sz w:val="20"/>
                <w:szCs w:val="20"/>
              </w:rPr>
              <w:t>否</w:t>
            </w:r>
          </w:p>
        </w:tc>
        <w:tc>
          <w:tcPr>
            <w:tcW w:w="425" w:type="dxa"/>
            <w:vAlign w:val="center"/>
          </w:tcPr>
          <w:p w14:paraId="70278071">
            <w:pPr>
              <w:jc w:val="center"/>
              <w:rPr>
                <w:rFonts w:ascii="Calibri" w:hAnsi="Calibri"/>
                <w:sz w:val="20"/>
                <w:szCs w:val="20"/>
              </w:rPr>
            </w:pPr>
            <w:r>
              <w:rPr>
                <w:rFonts w:ascii="Calibri" w:hAnsi="Calibri"/>
                <w:sz w:val="20"/>
                <w:szCs w:val="20"/>
              </w:rPr>
              <w:t>是</w:t>
            </w:r>
          </w:p>
        </w:tc>
        <w:tc>
          <w:tcPr>
            <w:tcW w:w="567" w:type="dxa"/>
            <w:vAlign w:val="center"/>
          </w:tcPr>
          <w:p w14:paraId="456D65F8">
            <w:pPr>
              <w:jc w:val="center"/>
              <w:rPr>
                <w:rFonts w:ascii="Calibri" w:hAnsi="Calibri"/>
                <w:sz w:val="20"/>
                <w:szCs w:val="20"/>
              </w:rPr>
            </w:pPr>
            <w:r>
              <w:rPr>
                <w:rFonts w:ascii="Calibri" w:hAnsi="Calibri"/>
                <w:sz w:val="20"/>
                <w:szCs w:val="20"/>
              </w:rPr>
              <w:t>是</w:t>
            </w:r>
          </w:p>
        </w:tc>
        <w:tc>
          <w:tcPr>
            <w:tcW w:w="567" w:type="dxa"/>
            <w:vAlign w:val="center"/>
          </w:tcPr>
          <w:p w14:paraId="285CB5C2">
            <w:pPr>
              <w:jc w:val="center"/>
              <w:rPr>
                <w:rFonts w:ascii="Calibri" w:hAnsi="Calibri"/>
                <w:sz w:val="20"/>
                <w:szCs w:val="20"/>
              </w:rPr>
            </w:pPr>
            <w:r>
              <w:rPr>
                <w:rFonts w:ascii="Calibri" w:hAnsi="Calibri"/>
                <w:sz w:val="20"/>
                <w:szCs w:val="20"/>
              </w:rPr>
              <w:t>是</w:t>
            </w:r>
          </w:p>
        </w:tc>
      </w:tr>
      <w:tr w14:paraId="337F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09" w:type="dxa"/>
            <w:vMerge w:val="continue"/>
            <w:textDirection w:val="tbRlV"/>
            <w:vAlign w:val="center"/>
          </w:tcPr>
          <w:p w14:paraId="0CD8FEDF">
            <w:pPr>
              <w:ind w:left="113" w:right="113"/>
              <w:jc w:val="center"/>
              <w:rPr>
                <w:rFonts w:ascii="Calibri" w:hAnsi="Calibri"/>
                <w:sz w:val="20"/>
                <w:szCs w:val="20"/>
              </w:rPr>
            </w:pPr>
          </w:p>
        </w:tc>
        <w:tc>
          <w:tcPr>
            <w:tcW w:w="710" w:type="dxa"/>
            <w:vMerge w:val="continue"/>
            <w:textDirection w:val="tbRlV"/>
            <w:vAlign w:val="center"/>
          </w:tcPr>
          <w:p w14:paraId="0234991C">
            <w:pPr>
              <w:ind w:left="113" w:right="113"/>
              <w:jc w:val="center"/>
              <w:rPr>
                <w:rFonts w:ascii="Calibri" w:hAnsi="Calibri"/>
                <w:sz w:val="20"/>
                <w:szCs w:val="20"/>
              </w:rPr>
            </w:pPr>
          </w:p>
        </w:tc>
        <w:tc>
          <w:tcPr>
            <w:tcW w:w="2268" w:type="dxa"/>
            <w:vAlign w:val="center"/>
          </w:tcPr>
          <w:p w14:paraId="701031B7">
            <w:pPr>
              <w:pStyle w:val="48"/>
              <w:rPr>
                <w:sz w:val="20"/>
                <w:szCs w:val="20"/>
              </w:rPr>
            </w:pPr>
            <w:r>
              <w:rPr>
                <w:sz w:val="20"/>
                <w:szCs w:val="20"/>
              </w:rPr>
              <w:t>精蛋白人胰岛素注射液</w:t>
            </w:r>
          </w:p>
        </w:tc>
        <w:tc>
          <w:tcPr>
            <w:tcW w:w="1134" w:type="dxa"/>
            <w:vAlign w:val="center"/>
          </w:tcPr>
          <w:p w14:paraId="69B08F9E">
            <w:pPr>
              <w:jc w:val="center"/>
              <w:rPr>
                <w:rFonts w:ascii="Calibri" w:hAnsi="Calibri"/>
                <w:sz w:val="20"/>
                <w:szCs w:val="20"/>
              </w:rPr>
            </w:pPr>
            <w:r>
              <w:rPr>
                <w:rFonts w:ascii="Calibri" w:hAnsi="Calibri"/>
                <w:sz w:val="20"/>
                <w:szCs w:val="20"/>
              </w:rPr>
              <w:t>生物制品</w:t>
            </w:r>
          </w:p>
        </w:tc>
        <w:tc>
          <w:tcPr>
            <w:tcW w:w="1275" w:type="dxa"/>
            <w:vAlign w:val="center"/>
          </w:tcPr>
          <w:p w14:paraId="312F9F11">
            <w:pPr>
              <w:jc w:val="both"/>
              <w:rPr>
                <w:rFonts w:ascii="Calibri" w:hAnsi="Calibri"/>
                <w:sz w:val="20"/>
                <w:szCs w:val="20"/>
              </w:rPr>
            </w:pPr>
            <w:r>
              <w:rPr>
                <w:rFonts w:ascii="Calibri" w:hAnsi="Calibri"/>
                <w:sz w:val="20"/>
                <w:szCs w:val="20"/>
              </w:rPr>
              <w:t>1型或2型糖尿病</w:t>
            </w:r>
          </w:p>
        </w:tc>
        <w:tc>
          <w:tcPr>
            <w:tcW w:w="567" w:type="dxa"/>
            <w:vAlign w:val="center"/>
          </w:tcPr>
          <w:p w14:paraId="3050DEB7">
            <w:pPr>
              <w:jc w:val="center"/>
              <w:rPr>
                <w:rFonts w:ascii="Calibri" w:hAnsi="Calibri"/>
                <w:sz w:val="20"/>
                <w:szCs w:val="20"/>
              </w:rPr>
            </w:pPr>
            <w:r>
              <w:rPr>
                <w:rFonts w:ascii="Calibri" w:hAnsi="Calibri"/>
                <w:sz w:val="20"/>
                <w:szCs w:val="20"/>
              </w:rPr>
              <w:t>是</w:t>
            </w:r>
          </w:p>
        </w:tc>
        <w:tc>
          <w:tcPr>
            <w:tcW w:w="709" w:type="dxa"/>
            <w:vAlign w:val="center"/>
          </w:tcPr>
          <w:p w14:paraId="08E1A98A">
            <w:pPr>
              <w:jc w:val="center"/>
              <w:rPr>
                <w:rFonts w:ascii="Calibri" w:hAnsi="Calibri"/>
                <w:sz w:val="20"/>
                <w:szCs w:val="20"/>
              </w:rPr>
            </w:pPr>
            <w:r>
              <w:rPr>
                <w:rFonts w:ascii="Calibri" w:hAnsi="Calibri"/>
                <w:sz w:val="20"/>
                <w:szCs w:val="20"/>
              </w:rPr>
              <w:t>否</w:t>
            </w:r>
          </w:p>
        </w:tc>
        <w:tc>
          <w:tcPr>
            <w:tcW w:w="709" w:type="dxa"/>
            <w:vAlign w:val="center"/>
          </w:tcPr>
          <w:p w14:paraId="37D840C2">
            <w:pPr>
              <w:jc w:val="center"/>
              <w:rPr>
                <w:rFonts w:ascii="Calibri" w:hAnsi="Calibri"/>
                <w:sz w:val="20"/>
                <w:szCs w:val="20"/>
              </w:rPr>
            </w:pPr>
            <w:r>
              <w:rPr>
                <w:rFonts w:ascii="Calibri" w:hAnsi="Calibri"/>
                <w:sz w:val="20"/>
                <w:szCs w:val="20"/>
              </w:rPr>
              <w:t>无</w:t>
            </w:r>
          </w:p>
        </w:tc>
        <w:tc>
          <w:tcPr>
            <w:tcW w:w="425" w:type="dxa"/>
            <w:vAlign w:val="center"/>
          </w:tcPr>
          <w:p w14:paraId="57C06AC4">
            <w:pPr>
              <w:jc w:val="center"/>
              <w:rPr>
                <w:rFonts w:ascii="Calibri" w:hAnsi="Calibri"/>
                <w:sz w:val="20"/>
                <w:szCs w:val="20"/>
              </w:rPr>
            </w:pPr>
            <w:r>
              <w:rPr>
                <w:rFonts w:ascii="Calibri" w:hAnsi="Calibri"/>
                <w:sz w:val="20"/>
                <w:szCs w:val="20"/>
              </w:rPr>
              <w:t>否</w:t>
            </w:r>
          </w:p>
        </w:tc>
        <w:tc>
          <w:tcPr>
            <w:tcW w:w="425" w:type="dxa"/>
            <w:vAlign w:val="center"/>
          </w:tcPr>
          <w:p w14:paraId="38D77491">
            <w:pPr>
              <w:jc w:val="center"/>
              <w:rPr>
                <w:rFonts w:ascii="Calibri" w:hAnsi="Calibri"/>
                <w:sz w:val="20"/>
                <w:szCs w:val="20"/>
              </w:rPr>
            </w:pPr>
            <w:r>
              <w:rPr>
                <w:rFonts w:ascii="Calibri" w:hAnsi="Calibri"/>
                <w:sz w:val="20"/>
                <w:szCs w:val="20"/>
              </w:rPr>
              <w:t>是</w:t>
            </w:r>
          </w:p>
        </w:tc>
        <w:tc>
          <w:tcPr>
            <w:tcW w:w="567" w:type="dxa"/>
            <w:vAlign w:val="center"/>
          </w:tcPr>
          <w:p w14:paraId="0E7199B8">
            <w:pPr>
              <w:jc w:val="center"/>
              <w:rPr>
                <w:rFonts w:ascii="Calibri" w:hAnsi="Calibri"/>
                <w:sz w:val="20"/>
                <w:szCs w:val="20"/>
              </w:rPr>
            </w:pPr>
            <w:r>
              <w:rPr>
                <w:rFonts w:ascii="Calibri" w:hAnsi="Calibri"/>
                <w:sz w:val="20"/>
                <w:szCs w:val="20"/>
              </w:rPr>
              <w:t>是</w:t>
            </w:r>
          </w:p>
        </w:tc>
        <w:tc>
          <w:tcPr>
            <w:tcW w:w="567" w:type="dxa"/>
            <w:vAlign w:val="center"/>
          </w:tcPr>
          <w:p w14:paraId="31929E06">
            <w:pPr>
              <w:jc w:val="center"/>
              <w:rPr>
                <w:rFonts w:ascii="Calibri" w:hAnsi="Calibri"/>
                <w:sz w:val="20"/>
                <w:szCs w:val="20"/>
              </w:rPr>
            </w:pPr>
            <w:r>
              <w:rPr>
                <w:rFonts w:ascii="Calibri" w:hAnsi="Calibri"/>
                <w:sz w:val="20"/>
                <w:szCs w:val="20"/>
              </w:rPr>
              <w:t>是</w:t>
            </w:r>
          </w:p>
        </w:tc>
      </w:tr>
      <w:tr w14:paraId="5FD7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09" w:type="dxa"/>
            <w:vMerge w:val="continue"/>
            <w:textDirection w:val="tbRlV"/>
            <w:vAlign w:val="center"/>
          </w:tcPr>
          <w:p w14:paraId="75D7D2C5">
            <w:pPr>
              <w:ind w:left="113" w:right="113"/>
              <w:jc w:val="center"/>
              <w:rPr>
                <w:rFonts w:ascii="Calibri" w:hAnsi="Calibri"/>
                <w:sz w:val="20"/>
                <w:szCs w:val="20"/>
              </w:rPr>
            </w:pPr>
          </w:p>
        </w:tc>
        <w:tc>
          <w:tcPr>
            <w:tcW w:w="710" w:type="dxa"/>
            <w:vMerge w:val="continue"/>
            <w:textDirection w:val="tbRlV"/>
            <w:vAlign w:val="center"/>
          </w:tcPr>
          <w:p w14:paraId="0941FC69">
            <w:pPr>
              <w:ind w:left="113" w:right="113"/>
              <w:jc w:val="center"/>
              <w:rPr>
                <w:rFonts w:ascii="Calibri" w:hAnsi="Calibri"/>
                <w:sz w:val="20"/>
                <w:szCs w:val="20"/>
              </w:rPr>
            </w:pPr>
          </w:p>
        </w:tc>
        <w:tc>
          <w:tcPr>
            <w:tcW w:w="2268" w:type="dxa"/>
            <w:vAlign w:val="center"/>
          </w:tcPr>
          <w:p w14:paraId="7D769377">
            <w:pPr>
              <w:pStyle w:val="48"/>
              <w:rPr>
                <w:sz w:val="20"/>
                <w:szCs w:val="20"/>
              </w:rPr>
            </w:pPr>
            <w:r>
              <w:rPr>
                <w:sz w:val="20"/>
                <w:szCs w:val="20"/>
              </w:rPr>
              <w:t>甘精胰岛素注射液</w:t>
            </w:r>
          </w:p>
        </w:tc>
        <w:tc>
          <w:tcPr>
            <w:tcW w:w="1134" w:type="dxa"/>
            <w:vAlign w:val="center"/>
          </w:tcPr>
          <w:p w14:paraId="6175A628">
            <w:pPr>
              <w:jc w:val="center"/>
              <w:rPr>
                <w:rFonts w:ascii="Calibri" w:hAnsi="Calibri"/>
                <w:sz w:val="20"/>
                <w:szCs w:val="20"/>
              </w:rPr>
            </w:pPr>
            <w:r>
              <w:rPr>
                <w:rFonts w:ascii="Calibri" w:hAnsi="Calibri"/>
                <w:sz w:val="20"/>
                <w:szCs w:val="20"/>
              </w:rPr>
              <w:t>生物制品</w:t>
            </w:r>
          </w:p>
        </w:tc>
        <w:tc>
          <w:tcPr>
            <w:tcW w:w="1275" w:type="dxa"/>
            <w:vAlign w:val="center"/>
          </w:tcPr>
          <w:p w14:paraId="76A57727">
            <w:pPr>
              <w:jc w:val="both"/>
              <w:rPr>
                <w:rFonts w:ascii="Calibri" w:hAnsi="Calibri"/>
                <w:sz w:val="20"/>
                <w:szCs w:val="20"/>
              </w:rPr>
            </w:pPr>
            <w:r>
              <w:rPr>
                <w:rFonts w:ascii="Calibri" w:hAnsi="Calibri"/>
                <w:sz w:val="20"/>
                <w:szCs w:val="20"/>
              </w:rPr>
              <w:t>需用胰岛素治疗的糖尿病</w:t>
            </w:r>
          </w:p>
        </w:tc>
        <w:tc>
          <w:tcPr>
            <w:tcW w:w="567" w:type="dxa"/>
            <w:vAlign w:val="center"/>
          </w:tcPr>
          <w:p w14:paraId="6DCC8B91">
            <w:pPr>
              <w:jc w:val="center"/>
              <w:rPr>
                <w:rFonts w:ascii="Calibri" w:hAnsi="Calibri"/>
                <w:sz w:val="20"/>
                <w:szCs w:val="20"/>
              </w:rPr>
            </w:pPr>
            <w:r>
              <w:rPr>
                <w:rFonts w:ascii="Calibri" w:hAnsi="Calibri"/>
                <w:sz w:val="20"/>
                <w:szCs w:val="20"/>
              </w:rPr>
              <w:t>是</w:t>
            </w:r>
          </w:p>
        </w:tc>
        <w:tc>
          <w:tcPr>
            <w:tcW w:w="709" w:type="dxa"/>
            <w:vAlign w:val="center"/>
          </w:tcPr>
          <w:p w14:paraId="0E180606">
            <w:pPr>
              <w:jc w:val="center"/>
              <w:rPr>
                <w:rFonts w:ascii="Calibri" w:hAnsi="Calibri"/>
                <w:sz w:val="20"/>
                <w:szCs w:val="20"/>
              </w:rPr>
            </w:pPr>
            <w:r>
              <w:rPr>
                <w:rFonts w:ascii="Calibri" w:hAnsi="Calibri"/>
                <w:sz w:val="20"/>
                <w:szCs w:val="20"/>
              </w:rPr>
              <w:t>否</w:t>
            </w:r>
          </w:p>
        </w:tc>
        <w:tc>
          <w:tcPr>
            <w:tcW w:w="709" w:type="dxa"/>
            <w:vAlign w:val="center"/>
          </w:tcPr>
          <w:p w14:paraId="42D379C8">
            <w:pPr>
              <w:jc w:val="center"/>
              <w:rPr>
                <w:rFonts w:ascii="Calibri" w:hAnsi="Calibri"/>
                <w:sz w:val="20"/>
                <w:szCs w:val="20"/>
              </w:rPr>
            </w:pPr>
            <w:r>
              <w:rPr>
                <w:rFonts w:ascii="Calibri" w:hAnsi="Calibri"/>
                <w:sz w:val="20"/>
                <w:szCs w:val="20"/>
              </w:rPr>
              <w:t>无</w:t>
            </w:r>
          </w:p>
        </w:tc>
        <w:tc>
          <w:tcPr>
            <w:tcW w:w="425" w:type="dxa"/>
            <w:vAlign w:val="center"/>
          </w:tcPr>
          <w:p w14:paraId="11B3B025">
            <w:pPr>
              <w:jc w:val="center"/>
              <w:rPr>
                <w:rFonts w:ascii="Calibri" w:hAnsi="Calibri"/>
                <w:sz w:val="20"/>
                <w:szCs w:val="20"/>
              </w:rPr>
            </w:pPr>
            <w:r>
              <w:rPr>
                <w:rFonts w:ascii="Calibri" w:hAnsi="Calibri"/>
                <w:sz w:val="20"/>
                <w:szCs w:val="20"/>
              </w:rPr>
              <w:t>否</w:t>
            </w:r>
          </w:p>
        </w:tc>
        <w:tc>
          <w:tcPr>
            <w:tcW w:w="425" w:type="dxa"/>
            <w:vAlign w:val="center"/>
          </w:tcPr>
          <w:p w14:paraId="38FB9778">
            <w:pPr>
              <w:jc w:val="center"/>
              <w:rPr>
                <w:rFonts w:ascii="Calibri" w:hAnsi="Calibri"/>
                <w:sz w:val="20"/>
                <w:szCs w:val="20"/>
              </w:rPr>
            </w:pPr>
            <w:r>
              <w:rPr>
                <w:rFonts w:ascii="Calibri" w:hAnsi="Calibri"/>
                <w:sz w:val="20"/>
                <w:szCs w:val="20"/>
              </w:rPr>
              <w:t>是</w:t>
            </w:r>
          </w:p>
        </w:tc>
        <w:tc>
          <w:tcPr>
            <w:tcW w:w="567" w:type="dxa"/>
            <w:vAlign w:val="center"/>
          </w:tcPr>
          <w:p w14:paraId="6C668A34">
            <w:pPr>
              <w:jc w:val="center"/>
              <w:rPr>
                <w:rFonts w:ascii="Calibri" w:hAnsi="Calibri"/>
                <w:sz w:val="20"/>
                <w:szCs w:val="20"/>
              </w:rPr>
            </w:pPr>
            <w:r>
              <w:rPr>
                <w:rFonts w:ascii="Calibri" w:hAnsi="Calibri"/>
                <w:sz w:val="20"/>
                <w:szCs w:val="20"/>
              </w:rPr>
              <w:t>是</w:t>
            </w:r>
          </w:p>
        </w:tc>
        <w:tc>
          <w:tcPr>
            <w:tcW w:w="567" w:type="dxa"/>
            <w:vAlign w:val="center"/>
          </w:tcPr>
          <w:p w14:paraId="35E27861">
            <w:pPr>
              <w:jc w:val="center"/>
              <w:rPr>
                <w:rFonts w:ascii="Calibri" w:hAnsi="Calibri"/>
                <w:sz w:val="20"/>
                <w:szCs w:val="20"/>
              </w:rPr>
            </w:pPr>
            <w:r>
              <w:rPr>
                <w:rFonts w:ascii="Calibri" w:hAnsi="Calibri"/>
                <w:sz w:val="20"/>
                <w:szCs w:val="20"/>
              </w:rPr>
              <w:t>是</w:t>
            </w:r>
          </w:p>
        </w:tc>
      </w:tr>
      <w:tr w14:paraId="0CAB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09" w:type="dxa"/>
            <w:vMerge w:val="continue"/>
            <w:textDirection w:val="tbRlV"/>
            <w:vAlign w:val="center"/>
          </w:tcPr>
          <w:p w14:paraId="02B9EACA">
            <w:pPr>
              <w:ind w:left="113" w:right="113"/>
              <w:jc w:val="center"/>
              <w:rPr>
                <w:rFonts w:ascii="Calibri" w:hAnsi="Calibri"/>
                <w:sz w:val="20"/>
                <w:szCs w:val="20"/>
              </w:rPr>
            </w:pPr>
          </w:p>
        </w:tc>
        <w:tc>
          <w:tcPr>
            <w:tcW w:w="710" w:type="dxa"/>
            <w:vMerge w:val="continue"/>
            <w:textDirection w:val="tbRlV"/>
            <w:vAlign w:val="center"/>
          </w:tcPr>
          <w:p w14:paraId="3BFFC71B">
            <w:pPr>
              <w:ind w:left="113" w:right="113"/>
              <w:jc w:val="center"/>
              <w:rPr>
                <w:rFonts w:ascii="Calibri" w:hAnsi="Calibri"/>
                <w:sz w:val="20"/>
                <w:szCs w:val="20"/>
              </w:rPr>
            </w:pPr>
          </w:p>
        </w:tc>
        <w:tc>
          <w:tcPr>
            <w:tcW w:w="2268" w:type="dxa"/>
            <w:vAlign w:val="center"/>
          </w:tcPr>
          <w:p w14:paraId="668D4FB7">
            <w:pPr>
              <w:pStyle w:val="48"/>
              <w:rPr>
                <w:sz w:val="20"/>
                <w:szCs w:val="20"/>
              </w:rPr>
            </w:pPr>
            <w:r>
              <w:rPr>
                <w:sz w:val="20"/>
                <w:szCs w:val="20"/>
              </w:rPr>
              <w:t>门冬胰岛素注射液</w:t>
            </w:r>
          </w:p>
        </w:tc>
        <w:tc>
          <w:tcPr>
            <w:tcW w:w="1134" w:type="dxa"/>
            <w:vAlign w:val="center"/>
          </w:tcPr>
          <w:p w14:paraId="114561AC">
            <w:pPr>
              <w:jc w:val="center"/>
              <w:rPr>
                <w:rFonts w:ascii="Calibri" w:hAnsi="Calibri"/>
                <w:sz w:val="20"/>
                <w:szCs w:val="20"/>
              </w:rPr>
            </w:pPr>
            <w:r>
              <w:rPr>
                <w:rFonts w:ascii="Calibri" w:hAnsi="Calibri"/>
                <w:sz w:val="20"/>
                <w:szCs w:val="20"/>
              </w:rPr>
              <w:t>生物制品</w:t>
            </w:r>
          </w:p>
        </w:tc>
        <w:tc>
          <w:tcPr>
            <w:tcW w:w="1275" w:type="dxa"/>
            <w:vAlign w:val="center"/>
          </w:tcPr>
          <w:p w14:paraId="4C834680">
            <w:pPr>
              <w:jc w:val="both"/>
              <w:rPr>
                <w:rFonts w:ascii="Calibri" w:hAnsi="Calibri"/>
                <w:sz w:val="20"/>
                <w:szCs w:val="20"/>
              </w:rPr>
            </w:pPr>
            <w:r>
              <w:rPr>
                <w:rFonts w:ascii="Calibri" w:hAnsi="Calibri"/>
                <w:sz w:val="20"/>
                <w:szCs w:val="20"/>
              </w:rPr>
              <w:t>用于治疗糖尿病</w:t>
            </w:r>
          </w:p>
        </w:tc>
        <w:tc>
          <w:tcPr>
            <w:tcW w:w="567" w:type="dxa"/>
            <w:vAlign w:val="center"/>
          </w:tcPr>
          <w:p w14:paraId="25B10348">
            <w:pPr>
              <w:jc w:val="center"/>
              <w:rPr>
                <w:rFonts w:ascii="Calibri" w:hAnsi="Calibri"/>
                <w:sz w:val="20"/>
                <w:szCs w:val="20"/>
              </w:rPr>
            </w:pPr>
            <w:r>
              <w:rPr>
                <w:rFonts w:ascii="Calibri" w:hAnsi="Calibri"/>
                <w:sz w:val="20"/>
                <w:szCs w:val="20"/>
              </w:rPr>
              <w:t>是</w:t>
            </w:r>
          </w:p>
        </w:tc>
        <w:tc>
          <w:tcPr>
            <w:tcW w:w="709" w:type="dxa"/>
            <w:vAlign w:val="center"/>
          </w:tcPr>
          <w:p w14:paraId="51F33BD6">
            <w:pPr>
              <w:jc w:val="center"/>
              <w:rPr>
                <w:rFonts w:ascii="Calibri" w:hAnsi="Calibri"/>
                <w:sz w:val="20"/>
                <w:szCs w:val="20"/>
              </w:rPr>
            </w:pPr>
            <w:r>
              <w:rPr>
                <w:rFonts w:ascii="Calibri" w:hAnsi="Calibri"/>
                <w:sz w:val="20"/>
                <w:szCs w:val="20"/>
              </w:rPr>
              <w:t>否</w:t>
            </w:r>
          </w:p>
        </w:tc>
        <w:tc>
          <w:tcPr>
            <w:tcW w:w="709" w:type="dxa"/>
            <w:vAlign w:val="center"/>
          </w:tcPr>
          <w:p w14:paraId="50741706">
            <w:pPr>
              <w:jc w:val="center"/>
              <w:rPr>
                <w:rFonts w:ascii="Calibri" w:hAnsi="Calibri"/>
                <w:sz w:val="20"/>
                <w:szCs w:val="20"/>
              </w:rPr>
            </w:pPr>
            <w:r>
              <w:rPr>
                <w:rFonts w:ascii="Calibri" w:hAnsi="Calibri"/>
                <w:sz w:val="20"/>
                <w:szCs w:val="20"/>
              </w:rPr>
              <w:t>无</w:t>
            </w:r>
          </w:p>
        </w:tc>
        <w:tc>
          <w:tcPr>
            <w:tcW w:w="425" w:type="dxa"/>
            <w:vAlign w:val="center"/>
          </w:tcPr>
          <w:p w14:paraId="7A322334">
            <w:pPr>
              <w:jc w:val="center"/>
              <w:rPr>
                <w:rFonts w:ascii="Calibri" w:hAnsi="Calibri"/>
                <w:sz w:val="20"/>
                <w:szCs w:val="20"/>
              </w:rPr>
            </w:pPr>
            <w:r>
              <w:rPr>
                <w:rFonts w:ascii="Calibri" w:hAnsi="Calibri"/>
                <w:sz w:val="20"/>
                <w:szCs w:val="20"/>
              </w:rPr>
              <w:t>否</w:t>
            </w:r>
          </w:p>
        </w:tc>
        <w:tc>
          <w:tcPr>
            <w:tcW w:w="425" w:type="dxa"/>
            <w:vAlign w:val="center"/>
          </w:tcPr>
          <w:p w14:paraId="55065F62">
            <w:pPr>
              <w:jc w:val="center"/>
              <w:rPr>
                <w:rFonts w:ascii="Calibri" w:hAnsi="Calibri"/>
                <w:sz w:val="20"/>
                <w:szCs w:val="20"/>
              </w:rPr>
            </w:pPr>
            <w:r>
              <w:rPr>
                <w:rFonts w:ascii="Calibri" w:hAnsi="Calibri"/>
                <w:sz w:val="20"/>
                <w:szCs w:val="20"/>
              </w:rPr>
              <w:t>否</w:t>
            </w:r>
          </w:p>
        </w:tc>
        <w:tc>
          <w:tcPr>
            <w:tcW w:w="567" w:type="dxa"/>
            <w:vAlign w:val="center"/>
          </w:tcPr>
          <w:p w14:paraId="22CE7262">
            <w:pPr>
              <w:jc w:val="center"/>
              <w:rPr>
                <w:rFonts w:ascii="Calibri" w:hAnsi="Calibri"/>
                <w:sz w:val="20"/>
                <w:szCs w:val="20"/>
              </w:rPr>
            </w:pPr>
            <w:r>
              <w:rPr>
                <w:rFonts w:ascii="Calibri" w:hAnsi="Calibri"/>
                <w:sz w:val="20"/>
                <w:szCs w:val="20"/>
              </w:rPr>
              <w:t>是</w:t>
            </w:r>
          </w:p>
        </w:tc>
        <w:tc>
          <w:tcPr>
            <w:tcW w:w="567" w:type="dxa"/>
            <w:vAlign w:val="center"/>
          </w:tcPr>
          <w:p w14:paraId="3DF5FCBE">
            <w:pPr>
              <w:jc w:val="center"/>
              <w:rPr>
                <w:rFonts w:ascii="Calibri" w:hAnsi="Calibri"/>
                <w:sz w:val="20"/>
                <w:szCs w:val="20"/>
              </w:rPr>
            </w:pPr>
            <w:r>
              <w:rPr>
                <w:rFonts w:ascii="Calibri" w:hAnsi="Calibri"/>
                <w:sz w:val="20"/>
                <w:szCs w:val="20"/>
              </w:rPr>
              <w:t>是</w:t>
            </w:r>
          </w:p>
        </w:tc>
      </w:tr>
      <w:tr w14:paraId="51CE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09" w:type="dxa"/>
            <w:vMerge w:val="continue"/>
            <w:textDirection w:val="tbRlV"/>
            <w:vAlign w:val="center"/>
          </w:tcPr>
          <w:p w14:paraId="58623C5F">
            <w:pPr>
              <w:ind w:left="113" w:right="113"/>
              <w:jc w:val="center"/>
              <w:rPr>
                <w:rFonts w:ascii="Calibri" w:hAnsi="Calibri"/>
                <w:sz w:val="20"/>
                <w:szCs w:val="20"/>
              </w:rPr>
            </w:pPr>
          </w:p>
        </w:tc>
        <w:tc>
          <w:tcPr>
            <w:tcW w:w="710" w:type="dxa"/>
            <w:vMerge w:val="continue"/>
            <w:textDirection w:val="tbRlV"/>
            <w:vAlign w:val="center"/>
          </w:tcPr>
          <w:p w14:paraId="3B33BD0B">
            <w:pPr>
              <w:ind w:left="113" w:right="113"/>
              <w:jc w:val="center"/>
              <w:rPr>
                <w:rFonts w:ascii="Calibri" w:hAnsi="Calibri"/>
                <w:sz w:val="20"/>
                <w:szCs w:val="20"/>
              </w:rPr>
            </w:pPr>
          </w:p>
        </w:tc>
        <w:tc>
          <w:tcPr>
            <w:tcW w:w="2268" w:type="dxa"/>
            <w:vAlign w:val="center"/>
          </w:tcPr>
          <w:p w14:paraId="029845D8">
            <w:pPr>
              <w:pStyle w:val="48"/>
              <w:rPr>
                <w:sz w:val="20"/>
                <w:szCs w:val="20"/>
              </w:rPr>
            </w:pPr>
            <w:r>
              <w:rPr>
                <w:sz w:val="20"/>
                <w:szCs w:val="20"/>
              </w:rPr>
              <w:t>门冬胰岛素30注射液</w:t>
            </w:r>
          </w:p>
        </w:tc>
        <w:tc>
          <w:tcPr>
            <w:tcW w:w="1134" w:type="dxa"/>
            <w:vAlign w:val="center"/>
          </w:tcPr>
          <w:p w14:paraId="5628B356">
            <w:pPr>
              <w:jc w:val="center"/>
              <w:rPr>
                <w:rFonts w:ascii="Calibri" w:hAnsi="Calibri"/>
                <w:sz w:val="20"/>
                <w:szCs w:val="20"/>
              </w:rPr>
            </w:pPr>
            <w:r>
              <w:rPr>
                <w:rFonts w:ascii="Calibri" w:hAnsi="Calibri"/>
                <w:sz w:val="20"/>
                <w:szCs w:val="20"/>
              </w:rPr>
              <w:t>生物制品</w:t>
            </w:r>
          </w:p>
        </w:tc>
        <w:tc>
          <w:tcPr>
            <w:tcW w:w="1275" w:type="dxa"/>
            <w:vAlign w:val="center"/>
          </w:tcPr>
          <w:p w14:paraId="47D26866">
            <w:pPr>
              <w:jc w:val="both"/>
              <w:rPr>
                <w:rFonts w:ascii="Calibri" w:hAnsi="Calibri"/>
                <w:sz w:val="20"/>
                <w:szCs w:val="20"/>
              </w:rPr>
            </w:pPr>
            <w:r>
              <w:rPr>
                <w:rFonts w:ascii="Calibri" w:hAnsi="Calibri"/>
                <w:sz w:val="20"/>
                <w:szCs w:val="20"/>
              </w:rPr>
              <w:t>用于治疗糖尿病</w:t>
            </w:r>
          </w:p>
        </w:tc>
        <w:tc>
          <w:tcPr>
            <w:tcW w:w="567" w:type="dxa"/>
            <w:vAlign w:val="center"/>
          </w:tcPr>
          <w:p w14:paraId="1FF740E6">
            <w:pPr>
              <w:jc w:val="center"/>
              <w:rPr>
                <w:rFonts w:ascii="Calibri" w:hAnsi="Calibri"/>
                <w:sz w:val="20"/>
                <w:szCs w:val="20"/>
              </w:rPr>
            </w:pPr>
            <w:r>
              <w:rPr>
                <w:rFonts w:ascii="Calibri" w:hAnsi="Calibri"/>
                <w:sz w:val="20"/>
                <w:szCs w:val="20"/>
              </w:rPr>
              <w:t>是</w:t>
            </w:r>
          </w:p>
        </w:tc>
        <w:tc>
          <w:tcPr>
            <w:tcW w:w="709" w:type="dxa"/>
            <w:vAlign w:val="center"/>
          </w:tcPr>
          <w:p w14:paraId="00BD8B16">
            <w:pPr>
              <w:jc w:val="center"/>
              <w:rPr>
                <w:rFonts w:ascii="Calibri" w:hAnsi="Calibri"/>
                <w:sz w:val="20"/>
                <w:szCs w:val="20"/>
              </w:rPr>
            </w:pPr>
            <w:r>
              <w:rPr>
                <w:rFonts w:ascii="Calibri" w:hAnsi="Calibri"/>
                <w:sz w:val="20"/>
                <w:szCs w:val="20"/>
              </w:rPr>
              <w:t>否</w:t>
            </w:r>
          </w:p>
        </w:tc>
        <w:tc>
          <w:tcPr>
            <w:tcW w:w="709" w:type="dxa"/>
            <w:vAlign w:val="center"/>
          </w:tcPr>
          <w:p w14:paraId="23038E57">
            <w:pPr>
              <w:jc w:val="center"/>
              <w:rPr>
                <w:rFonts w:ascii="Calibri" w:hAnsi="Calibri"/>
                <w:sz w:val="20"/>
                <w:szCs w:val="20"/>
              </w:rPr>
            </w:pPr>
            <w:r>
              <w:rPr>
                <w:rFonts w:ascii="Calibri" w:hAnsi="Calibri"/>
                <w:sz w:val="20"/>
                <w:szCs w:val="20"/>
              </w:rPr>
              <w:t>无</w:t>
            </w:r>
          </w:p>
        </w:tc>
        <w:tc>
          <w:tcPr>
            <w:tcW w:w="425" w:type="dxa"/>
            <w:vAlign w:val="center"/>
          </w:tcPr>
          <w:p w14:paraId="60915864">
            <w:pPr>
              <w:jc w:val="center"/>
              <w:rPr>
                <w:rFonts w:ascii="Calibri" w:hAnsi="Calibri"/>
                <w:sz w:val="20"/>
                <w:szCs w:val="20"/>
              </w:rPr>
            </w:pPr>
            <w:r>
              <w:rPr>
                <w:rFonts w:ascii="Calibri" w:hAnsi="Calibri"/>
                <w:sz w:val="20"/>
                <w:szCs w:val="20"/>
              </w:rPr>
              <w:t>否</w:t>
            </w:r>
          </w:p>
        </w:tc>
        <w:tc>
          <w:tcPr>
            <w:tcW w:w="425" w:type="dxa"/>
            <w:vAlign w:val="center"/>
          </w:tcPr>
          <w:p w14:paraId="2D8DDFC1">
            <w:pPr>
              <w:jc w:val="center"/>
              <w:rPr>
                <w:rFonts w:ascii="Calibri" w:hAnsi="Calibri"/>
                <w:sz w:val="20"/>
                <w:szCs w:val="20"/>
              </w:rPr>
            </w:pPr>
            <w:r>
              <w:rPr>
                <w:rFonts w:ascii="Calibri" w:hAnsi="Calibri"/>
                <w:sz w:val="20"/>
                <w:szCs w:val="20"/>
              </w:rPr>
              <w:t>否</w:t>
            </w:r>
          </w:p>
        </w:tc>
        <w:tc>
          <w:tcPr>
            <w:tcW w:w="567" w:type="dxa"/>
            <w:vAlign w:val="center"/>
          </w:tcPr>
          <w:p w14:paraId="34D02DFE">
            <w:pPr>
              <w:jc w:val="center"/>
              <w:rPr>
                <w:rFonts w:ascii="Calibri" w:hAnsi="Calibri"/>
                <w:sz w:val="20"/>
                <w:szCs w:val="20"/>
              </w:rPr>
            </w:pPr>
            <w:r>
              <w:rPr>
                <w:rFonts w:ascii="Calibri" w:hAnsi="Calibri"/>
                <w:sz w:val="20"/>
                <w:szCs w:val="20"/>
              </w:rPr>
              <w:t>是</w:t>
            </w:r>
          </w:p>
        </w:tc>
        <w:tc>
          <w:tcPr>
            <w:tcW w:w="567" w:type="dxa"/>
            <w:vAlign w:val="center"/>
          </w:tcPr>
          <w:p w14:paraId="3005F242">
            <w:pPr>
              <w:jc w:val="center"/>
              <w:rPr>
                <w:rFonts w:ascii="Calibri" w:hAnsi="Calibri"/>
                <w:sz w:val="20"/>
                <w:szCs w:val="20"/>
              </w:rPr>
            </w:pPr>
            <w:r>
              <w:rPr>
                <w:rFonts w:ascii="Calibri" w:hAnsi="Calibri"/>
                <w:sz w:val="20"/>
                <w:szCs w:val="20"/>
              </w:rPr>
              <w:t>是</w:t>
            </w:r>
          </w:p>
        </w:tc>
      </w:tr>
      <w:tr w14:paraId="627B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09" w:type="dxa"/>
            <w:vMerge w:val="continue"/>
            <w:tcBorders>
              <w:bottom w:val="single" w:color="auto" w:sz="4" w:space="0"/>
            </w:tcBorders>
            <w:textDirection w:val="tbRlV"/>
            <w:vAlign w:val="center"/>
          </w:tcPr>
          <w:p w14:paraId="54FD6E20">
            <w:pPr>
              <w:ind w:left="113" w:right="113"/>
              <w:jc w:val="center"/>
              <w:rPr>
                <w:rFonts w:ascii="Calibri" w:hAnsi="Calibri"/>
                <w:sz w:val="20"/>
                <w:szCs w:val="20"/>
              </w:rPr>
            </w:pPr>
          </w:p>
        </w:tc>
        <w:tc>
          <w:tcPr>
            <w:tcW w:w="710" w:type="dxa"/>
            <w:vMerge w:val="continue"/>
            <w:textDirection w:val="tbRlV"/>
            <w:vAlign w:val="center"/>
          </w:tcPr>
          <w:p w14:paraId="5575AED7">
            <w:pPr>
              <w:ind w:left="113" w:right="113"/>
              <w:jc w:val="center"/>
              <w:rPr>
                <w:rFonts w:ascii="Calibri" w:hAnsi="Calibri"/>
                <w:sz w:val="20"/>
                <w:szCs w:val="20"/>
              </w:rPr>
            </w:pPr>
          </w:p>
        </w:tc>
        <w:tc>
          <w:tcPr>
            <w:tcW w:w="2268" w:type="dxa"/>
            <w:vAlign w:val="center"/>
          </w:tcPr>
          <w:p w14:paraId="5B25587E">
            <w:pPr>
              <w:pStyle w:val="48"/>
              <w:rPr>
                <w:sz w:val="20"/>
                <w:szCs w:val="20"/>
              </w:rPr>
            </w:pPr>
            <w:r>
              <w:rPr>
                <w:sz w:val="20"/>
                <w:szCs w:val="20"/>
              </w:rPr>
              <w:t>门冬胰岛素50注射液</w:t>
            </w:r>
          </w:p>
        </w:tc>
        <w:tc>
          <w:tcPr>
            <w:tcW w:w="1134" w:type="dxa"/>
            <w:vAlign w:val="center"/>
          </w:tcPr>
          <w:p w14:paraId="4CF90E52">
            <w:pPr>
              <w:jc w:val="center"/>
              <w:rPr>
                <w:rFonts w:ascii="Calibri" w:hAnsi="Calibri"/>
                <w:sz w:val="20"/>
                <w:szCs w:val="20"/>
              </w:rPr>
            </w:pPr>
            <w:r>
              <w:rPr>
                <w:rFonts w:ascii="Calibri" w:hAnsi="Calibri"/>
                <w:sz w:val="20"/>
                <w:szCs w:val="20"/>
              </w:rPr>
              <w:t>生物制品</w:t>
            </w:r>
          </w:p>
        </w:tc>
        <w:tc>
          <w:tcPr>
            <w:tcW w:w="1275" w:type="dxa"/>
            <w:vAlign w:val="center"/>
          </w:tcPr>
          <w:p w14:paraId="1CC4FE7C">
            <w:pPr>
              <w:jc w:val="both"/>
              <w:rPr>
                <w:rFonts w:ascii="Calibri" w:hAnsi="Calibri"/>
                <w:sz w:val="20"/>
                <w:szCs w:val="20"/>
              </w:rPr>
            </w:pPr>
            <w:r>
              <w:rPr>
                <w:rFonts w:ascii="Calibri" w:hAnsi="Calibri"/>
                <w:sz w:val="20"/>
                <w:szCs w:val="20"/>
              </w:rPr>
              <w:t>用于治疗糖尿病</w:t>
            </w:r>
          </w:p>
        </w:tc>
        <w:tc>
          <w:tcPr>
            <w:tcW w:w="567" w:type="dxa"/>
            <w:vAlign w:val="center"/>
          </w:tcPr>
          <w:p w14:paraId="6178AE27">
            <w:pPr>
              <w:jc w:val="center"/>
              <w:rPr>
                <w:rFonts w:ascii="Calibri" w:hAnsi="Calibri"/>
                <w:sz w:val="20"/>
                <w:szCs w:val="20"/>
              </w:rPr>
            </w:pPr>
            <w:r>
              <w:rPr>
                <w:rFonts w:ascii="Calibri" w:hAnsi="Calibri"/>
                <w:sz w:val="20"/>
                <w:szCs w:val="20"/>
              </w:rPr>
              <w:t>是</w:t>
            </w:r>
          </w:p>
        </w:tc>
        <w:tc>
          <w:tcPr>
            <w:tcW w:w="709" w:type="dxa"/>
            <w:vAlign w:val="center"/>
          </w:tcPr>
          <w:p w14:paraId="3496C4B7">
            <w:pPr>
              <w:jc w:val="center"/>
              <w:rPr>
                <w:rFonts w:ascii="Calibri" w:hAnsi="Calibri"/>
                <w:sz w:val="20"/>
                <w:szCs w:val="20"/>
              </w:rPr>
            </w:pPr>
            <w:r>
              <w:rPr>
                <w:rFonts w:ascii="Calibri" w:hAnsi="Calibri"/>
                <w:sz w:val="20"/>
                <w:szCs w:val="20"/>
              </w:rPr>
              <w:t>否</w:t>
            </w:r>
          </w:p>
        </w:tc>
        <w:tc>
          <w:tcPr>
            <w:tcW w:w="709" w:type="dxa"/>
            <w:vAlign w:val="center"/>
          </w:tcPr>
          <w:p w14:paraId="5BA59BE2">
            <w:pPr>
              <w:jc w:val="center"/>
              <w:rPr>
                <w:rFonts w:ascii="Calibri" w:hAnsi="Calibri"/>
                <w:sz w:val="20"/>
                <w:szCs w:val="20"/>
              </w:rPr>
            </w:pPr>
            <w:r>
              <w:rPr>
                <w:rFonts w:ascii="Calibri" w:hAnsi="Calibri"/>
                <w:sz w:val="20"/>
                <w:szCs w:val="20"/>
              </w:rPr>
              <w:t>无</w:t>
            </w:r>
          </w:p>
        </w:tc>
        <w:tc>
          <w:tcPr>
            <w:tcW w:w="425" w:type="dxa"/>
            <w:vAlign w:val="center"/>
          </w:tcPr>
          <w:p w14:paraId="57D77F9C">
            <w:pPr>
              <w:jc w:val="center"/>
              <w:rPr>
                <w:rFonts w:ascii="Calibri" w:hAnsi="Calibri"/>
                <w:sz w:val="20"/>
                <w:szCs w:val="20"/>
              </w:rPr>
            </w:pPr>
            <w:r>
              <w:rPr>
                <w:rFonts w:ascii="Calibri" w:hAnsi="Calibri"/>
                <w:sz w:val="20"/>
                <w:szCs w:val="20"/>
              </w:rPr>
              <w:t>否</w:t>
            </w:r>
          </w:p>
        </w:tc>
        <w:tc>
          <w:tcPr>
            <w:tcW w:w="425" w:type="dxa"/>
            <w:vAlign w:val="center"/>
          </w:tcPr>
          <w:p w14:paraId="349150CB">
            <w:pPr>
              <w:jc w:val="center"/>
              <w:rPr>
                <w:rFonts w:ascii="Calibri" w:hAnsi="Calibri"/>
                <w:sz w:val="20"/>
                <w:szCs w:val="20"/>
              </w:rPr>
            </w:pPr>
            <w:r>
              <w:rPr>
                <w:rFonts w:ascii="Calibri" w:hAnsi="Calibri"/>
                <w:sz w:val="20"/>
                <w:szCs w:val="20"/>
              </w:rPr>
              <w:t>否</w:t>
            </w:r>
          </w:p>
        </w:tc>
        <w:tc>
          <w:tcPr>
            <w:tcW w:w="567" w:type="dxa"/>
            <w:vAlign w:val="center"/>
          </w:tcPr>
          <w:p w14:paraId="364E3F6F">
            <w:pPr>
              <w:jc w:val="center"/>
              <w:rPr>
                <w:rFonts w:ascii="Calibri" w:hAnsi="Calibri"/>
                <w:sz w:val="20"/>
                <w:szCs w:val="20"/>
              </w:rPr>
            </w:pPr>
            <w:r>
              <w:rPr>
                <w:rFonts w:ascii="Calibri" w:hAnsi="Calibri"/>
                <w:sz w:val="20"/>
                <w:szCs w:val="20"/>
              </w:rPr>
              <w:t>是</w:t>
            </w:r>
          </w:p>
        </w:tc>
        <w:tc>
          <w:tcPr>
            <w:tcW w:w="567" w:type="dxa"/>
            <w:vAlign w:val="center"/>
          </w:tcPr>
          <w:p w14:paraId="24B0FD5F">
            <w:pPr>
              <w:jc w:val="center"/>
              <w:rPr>
                <w:rFonts w:ascii="Calibri" w:hAnsi="Calibri"/>
                <w:sz w:val="20"/>
                <w:szCs w:val="20"/>
              </w:rPr>
            </w:pPr>
            <w:r>
              <w:rPr>
                <w:rFonts w:ascii="Calibri" w:hAnsi="Calibri"/>
                <w:sz w:val="20"/>
                <w:szCs w:val="20"/>
              </w:rPr>
              <w:t>是</w:t>
            </w:r>
          </w:p>
        </w:tc>
      </w:tr>
      <w:tr w14:paraId="101E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trPr>
        <w:tc>
          <w:tcPr>
            <w:tcW w:w="709" w:type="dxa"/>
            <w:tcBorders>
              <w:bottom w:val="nil"/>
            </w:tcBorders>
            <w:vAlign w:val="center"/>
          </w:tcPr>
          <w:p w14:paraId="45D173B2">
            <w:pPr>
              <w:jc w:val="center"/>
              <w:rPr>
                <w:rFonts w:ascii="Calibri" w:hAnsi="Calibri"/>
                <w:sz w:val="20"/>
                <w:szCs w:val="20"/>
              </w:rPr>
            </w:pPr>
            <w:r>
              <w:rPr>
                <w:rFonts w:hint="eastAsia" w:ascii="Calibri" w:hAnsi="Calibri"/>
                <w:sz w:val="20"/>
                <w:szCs w:val="20"/>
              </w:rPr>
              <w:t>G</w:t>
            </w:r>
            <w:r>
              <w:rPr>
                <w:rFonts w:ascii="Calibri" w:hAnsi="Calibri"/>
                <w:sz w:val="20"/>
                <w:szCs w:val="20"/>
              </w:rPr>
              <w:t>LP-1</w:t>
            </w:r>
          </w:p>
        </w:tc>
        <w:tc>
          <w:tcPr>
            <w:tcW w:w="710" w:type="dxa"/>
            <w:vMerge w:val="continue"/>
            <w:textDirection w:val="tbRlV"/>
            <w:vAlign w:val="center"/>
          </w:tcPr>
          <w:p w14:paraId="56B11DDE">
            <w:pPr>
              <w:ind w:left="113" w:right="113"/>
              <w:jc w:val="center"/>
              <w:rPr>
                <w:rFonts w:ascii="Calibri" w:hAnsi="Calibri"/>
                <w:sz w:val="20"/>
                <w:szCs w:val="20"/>
              </w:rPr>
            </w:pPr>
          </w:p>
        </w:tc>
        <w:tc>
          <w:tcPr>
            <w:tcW w:w="2268" w:type="dxa"/>
            <w:vMerge w:val="restart"/>
            <w:vAlign w:val="center"/>
          </w:tcPr>
          <w:p w14:paraId="7FA7A596">
            <w:pPr>
              <w:pStyle w:val="48"/>
              <w:rPr>
                <w:sz w:val="20"/>
                <w:szCs w:val="20"/>
              </w:rPr>
            </w:pPr>
            <w:r>
              <w:rPr>
                <w:sz w:val="20"/>
                <w:szCs w:val="20"/>
              </w:rPr>
              <w:t>利拉鲁肽注射液</w:t>
            </w:r>
          </w:p>
        </w:tc>
        <w:tc>
          <w:tcPr>
            <w:tcW w:w="1134" w:type="dxa"/>
            <w:vMerge w:val="restart"/>
            <w:vAlign w:val="center"/>
          </w:tcPr>
          <w:p w14:paraId="48271676">
            <w:pPr>
              <w:jc w:val="center"/>
              <w:rPr>
                <w:rFonts w:ascii="Calibri" w:hAnsi="Calibri"/>
                <w:sz w:val="20"/>
                <w:szCs w:val="20"/>
              </w:rPr>
            </w:pPr>
            <w:r>
              <w:rPr>
                <w:rFonts w:ascii="Calibri" w:hAnsi="Calibri"/>
                <w:sz w:val="20"/>
                <w:szCs w:val="20"/>
              </w:rPr>
              <w:t>生物制品</w:t>
            </w:r>
          </w:p>
        </w:tc>
        <w:tc>
          <w:tcPr>
            <w:tcW w:w="1275" w:type="dxa"/>
            <w:vMerge w:val="restart"/>
            <w:vAlign w:val="center"/>
          </w:tcPr>
          <w:p w14:paraId="51084C2B">
            <w:pPr>
              <w:jc w:val="both"/>
              <w:rPr>
                <w:rFonts w:ascii="Calibri" w:hAnsi="Calibri"/>
                <w:sz w:val="20"/>
                <w:szCs w:val="20"/>
              </w:rPr>
            </w:pPr>
            <w:r>
              <w:rPr>
                <w:rFonts w:ascii="Calibri" w:hAnsi="Calibri"/>
                <w:sz w:val="20"/>
                <w:szCs w:val="20"/>
              </w:rPr>
              <w:t>用于成人2型糖尿病患者控制血糖</w:t>
            </w:r>
          </w:p>
        </w:tc>
        <w:tc>
          <w:tcPr>
            <w:tcW w:w="567" w:type="dxa"/>
            <w:vMerge w:val="restart"/>
            <w:vAlign w:val="center"/>
          </w:tcPr>
          <w:p w14:paraId="686F2E53">
            <w:pPr>
              <w:jc w:val="center"/>
              <w:rPr>
                <w:rFonts w:ascii="Calibri" w:hAnsi="Calibri"/>
                <w:sz w:val="20"/>
                <w:szCs w:val="20"/>
              </w:rPr>
            </w:pPr>
            <w:r>
              <w:rPr>
                <w:rFonts w:ascii="Calibri" w:hAnsi="Calibri"/>
                <w:sz w:val="20"/>
                <w:szCs w:val="20"/>
              </w:rPr>
              <w:t>是</w:t>
            </w:r>
          </w:p>
        </w:tc>
        <w:tc>
          <w:tcPr>
            <w:tcW w:w="709" w:type="dxa"/>
            <w:vMerge w:val="restart"/>
            <w:vAlign w:val="center"/>
          </w:tcPr>
          <w:p w14:paraId="01D06BB8">
            <w:pPr>
              <w:jc w:val="center"/>
              <w:rPr>
                <w:rFonts w:ascii="Calibri" w:hAnsi="Calibri"/>
                <w:sz w:val="20"/>
                <w:szCs w:val="20"/>
              </w:rPr>
            </w:pPr>
            <w:r>
              <w:rPr>
                <w:rFonts w:ascii="Calibri" w:hAnsi="Calibri"/>
                <w:sz w:val="20"/>
                <w:szCs w:val="20"/>
              </w:rPr>
              <w:t>否</w:t>
            </w:r>
          </w:p>
        </w:tc>
        <w:tc>
          <w:tcPr>
            <w:tcW w:w="709" w:type="dxa"/>
            <w:vMerge w:val="restart"/>
            <w:vAlign w:val="center"/>
          </w:tcPr>
          <w:p w14:paraId="3383FDC2">
            <w:pPr>
              <w:jc w:val="center"/>
              <w:rPr>
                <w:rFonts w:ascii="Calibri" w:hAnsi="Calibri"/>
                <w:sz w:val="20"/>
                <w:szCs w:val="20"/>
              </w:rPr>
            </w:pPr>
            <w:r>
              <w:rPr>
                <w:rFonts w:ascii="Calibri" w:hAnsi="Calibri"/>
                <w:sz w:val="20"/>
                <w:szCs w:val="20"/>
              </w:rPr>
              <w:t>无</w:t>
            </w:r>
          </w:p>
        </w:tc>
        <w:tc>
          <w:tcPr>
            <w:tcW w:w="425" w:type="dxa"/>
            <w:vMerge w:val="restart"/>
            <w:vAlign w:val="center"/>
          </w:tcPr>
          <w:p w14:paraId="67EE940C">
            <w:pPr>
              <w:jc w:val="center"/>
              <w:rPr>
                <w:rFonts w:ascii="Calibri" w:hAnsi="Calibri"/>
                <w:sz w:val="20"/>
                <w:szCs w:val="20"/>
              </w:rPr>
            </w:pPr>
            <w:r>
              <w:rPr>
                <w:rFonts w:ascii="Calibri" w:hAnsi="Calibri"/>
                <w:sz w:val="20"/>
                <w:szCs w:val="20"/>
              </w:rPr>
              <w:t>否</w:t>
            </w:r>
          </w:p>
        </w:tc>
        <w:tc>
          <w:tcPr>
            <w:tcW w:w="425" w:type="dxa"/>
            <w:vMerge w:val="restart"/>
            <w:vAlign w:val="center"/>
          </w:tcPr>
          <w:p w14:paraId="4A2267FD">
            <w:pPr>
              <w:jc w:val="center"/>
              <w:rPr>
                <w:rFonts w:ascii="Calibri" w:hAnsi="Calibri"/>
                <w:sz w:val="20"/>
                <w:szCs w:val="20"/>
              </w:rPr>
            </w:pPr>
            <w:r>
              <w:rPr>
                <w:rFonts w:ascii="Calibri" w:hAnsi="Calibri"/>
                <w:sz w:val="20"/>
                <w:szCs w:val="20"/>
              </w:rPr>
              <w:t>是</w:t>
            </w:r>
          </w:p>
        </w:tc>
        <w:tc>
          <w:tcPr>
            <w:tcW w:w="567" w:type="dxa"/>
            <w:vMerge w:val="restart"/>
            <w:vAlign w:val="center"/>
          </w:tcPr>
          <w:p w14:paraId="5AA8EF63">
            <w:pPr>
              <w:jc w:val="center"/>
              <w:rPr>
                <w:rFonts w:ascii="Calibri" w:hAnsi="Calibri"/>
                <w:sz w:val="20"/>
                <w:szCs w:val="20"/>
              </w:rPr>
            </w:pPr>
            <w:r>
              <w:rPr>
                <w:rFonts w:ascii="Calibri" w:hAnsi="Calibri"/>
                <w:sz w:val="20"/>
                <w:szCs w:val="20"/>
              </w:rPr>
              <w:t>是</w:t>
            </w:r>
          </w:p>
        </w:tc>
        <w:tc>
          <w:tcPr>
            <w:tcW w:w="567" w:type="dxa"/>
            <w:vMerge w:val="restart"/>
            <w:vAlign w:val="center"/>
          </w:tcPr>
          <w:p w14:paraId="4F4E8053">
            <w:pPr>
              <w:jc w:val="center"/>
              <w:rPr>
                <w:rFonts w:ascii="Calibri" w:hAnsi="Calibri"/>
                <w:sz w:val="20"/>
                <w:szCs w:val="20"/>
              </w:rPr>
            </w:pPr>
            <w:r>
              <w:rPr>
                <w:rFonts w:ascii="Calibri" w:hAnsi="Calibri"/>
                <w:sz w:val="20"/>
                <w:szCs w:val="20"/>
              </w:rPr>
              <w:t>是</w:t>
            </w:r>
          </w:p>
        </w:tc>
      </w:tr>
      <w:tr w14:paraId="1FFD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trPr>
        <w:tc>
          <w:tcPr>
            <w:tcW w:w="709" w:type="dxa"/>
            <w:tcBorders>
              <w:top w:val="nil"/>
            </w:tcBorders>
            <w:textDirection w:val="tbRlV"/>
            <w:vAlign w:val="center"/>
          </w:tcPr>
          <w:p w14:paraId="7EAFFE68">
            <w:pPr>
              <w:ind w:left="113" w:right="113"/>
              <w:jc w:val="center"/>
              <w:rPr>
                <w:rFonts w:ascii="Calibri" w:hAnsi="Calibri"/>
                <w:sz w:val="20"/>
                <w:szCs w:val="20"/>
              </w:rPr>
            </w:pPr>
            <w:r>
              <w:rPr>
                <w:rFonts w:hint="eastAsia" w:ascii="Calibri" w:hAnsi="Calibri"/>
                <w:sz w:val="20"/>
                <w:szCs w:val="20"/>
              </w:rPr>
              <w:t>受体激动剂</w:t>
            </w:r>
          </w:p>
        </w:tc>
        <w:tc>
          <w:tcPr>
            <w:tcW w:w="710" w:type="dxa"/>
            <w:vMerge w:val="continue"/>
            <w:textDirection w:val="tbRlV"/>
            <w:vAlign w:val="center"/>
          </w:tcPr>
          <w:p w14:paraId="2E88270C">
            <w:pPr>
              <w:ind w:left="113" w:right="113"/>
              <w:jc w:val="center"/>
              <w:rPr>
                <w:rFonts w:ascii="Calibri" w:hAnsi="Calibri"/>
                <w:sz w:val="20"/>
                <w:szCs w:val="20"/>
              </w:rPr>
            </w:pPr>
          </w:p>
        </w:tc>
        <w:tc>
          <w:tcPr>
            <w:tcW w:w="2268" w:type="dxa"/>
            <w:vMerge w:val="continue"/>
            <w:vAlign w:val="center"/>
          </w:tcPr>
          <w:p w14:paraId="3876D0F1">
            <w:pPr>
              <w:pStyle w:val="48"/>
              <w:rPr>
                <w:sz w:val="20"/>
                <w:szCs w:val="20"/>
              </w:rPr>
            </w:pPr>
          </w:p>
        </w:tc>
        <w:tc>
          <w:tcPr>
            <w:tcW w:w="1134" w:type="dxa"/>
            <w:vMerge w:val="continue"/>
            <w:vAlign w:val="center"/>
          </w:tcPr>
          <w:p w14:paraId="243B7378">
            <w:pPr>
              <w:jc w:val="center"/>
              <w:rPr>
                <w:rFonts w:ascii="Calibri" w:hAnsi="Calibri"/>
                <w:sz w:val="20"/>
                <w:szCs w:val="20"/>
              </w:rPr>
            </w:pPr>
          </w:p>
        </w:tc>
        <w:tc>
          <w:tcPr>
            <w:tcW w:w="1275" w:type="dxa"/>
            <w:vMerge w:val="continue"/>
            <w:vAlign w:val="center"/>
          </w:tcPr>
          <w:p w14:paraId="0B51BC26">
            <w:pPr>
              <w:jc w:val="both"/>
              <w:rPr>
                <w:rFonts w:ascii="Calibri" w:hAnsi="Calibri"/>
                <w:sz w:val="20"/>
                <w:szCs w:val="20"/>
              </w:rPr>
            </w:pPr>
          </w:p>
        </w:tc>
        <w:tc>
          <w:tcPr>
            <w:tcW w:w="567" w:type="dxa"/>
            <w:vMerge w:val="continue"/>
            <w:vAlign w:val="center"/>
          </w:tcPr>
          <w:p w14:paraId="3240935E">
            <w:pPr>
              <w:jc w:val="center"/>
              <w:rPr>
                <w:rFonts w:ascii="Calibri" w:hAnsi="Calibri"/>
                <w:sz w:val="20"/>
                <w:szCs w:val="20"/>
              </w:rPr>
            </w:pPr>
          </w:p>
        </w:tc>
        <w:tc>
          <w:tcPr>
            <w:tcW w:w="709" w:type="dxa"/>
            <w:vMerge w:val="continue"/>
            <w:vAlign w:val="center"/>
          </w:tcPr>
          <w:p w14:paraId="46E79DBA">
            <w:pPr>
              <w:jc w:val="center"/>
              <w:rPr>
                <w:rFonts w:ascii="Calibri" w:hAnsi="Calibri"/>
                <w:sz w:val="20"/>
                <w:szCs w:val="20"/>
              </w:rPr>
            </w:pPr>
          </w:p>
        </w:tc>
        <w:tc>
          <w:tcPr>
            <w:tcW w:w="709" w:type="dxa"/>
            <w:vMerge w:val="continue"/>
            <w:vAlign w:val="center"/>
          </w:tcPr>
          <w:p w14:paraId="0DA3341C">
            <w:pPr>
              <w:jc w:val="center"/>
              <w:rPr>
                <w:rFonts w:ascii="Calibri" w:hAnsi="Calibri"/>
                <w:sz w:val="20"/>
                <w:szCs w:val="20"/>
              </w:rPr>
            </w:pPr>
          </w:p>
        </w:tc>
        <w:tc>
          <w:tcPr>
            <w:tcW w:w="425" w:type="dxa"/>
            <w:vMerge w:val="continue"/>
            <w:vAlign w:val="center"/>
          </w:tcPr>
          <w:p w14:paraId="576EF4A1">
            <w:pPr>
              <w:jc w:val="center"/>
              <w:rPr>
                <w:rFonts w:ascii="Calibri" w:hAnsi="Calibri"/>
                <w:sz w:val="20"/>
                <w:szCs w:val="20"/>
              </w:rPr>
            </w:pPr>
          </w:p>
        </w:tc>
        <w:tc>
          <w:tcPr>
            <w:tcW w:w="425" w:type="dxa"/>
            <w:vMerge w:val="continue"/>
            <w:vAlign w:val="center"/>
          </w:tcPr>
          <w:p w14:paraId="1013B21F">
            <w:pPr>
              <w:jc w:val="center"/>
              <w:rPr>
                <w:rFonts w:ascii="Calibri" w:hAnsi="Calibri"/>
                <w:sz w:val="20"/>
                <w:szCs w:val="20"/>
              </w:rPr>
            </w:pPr>
          </w:p>
        </w:tc>
        <w:tc>
          <w:tcPr>
            <w:tcW w:w="567" w:type="dxa"/>
            <w:vMerge w:val="continue"/>
            <w:vAlign w:val="center"/>
          </w:tcPr>
          <w:p w14:paraId="4488ED41">
            <w:pPr>
              <w:jc w:val="center"/>
              <w:rPr>
                <w:rFonts w:ascii="Calibri" w:hAnsi="Calibri"/>
                <w:sz w:val="20"/>
                <w:szCs w:val="20"/>
              </w:rPr>
            </w:pPr>
          </w:p>
        </w:tc>
        <w:tc>
          <w:tcPr>
            <w:tcW w:w="567" w:type="dxa"/>
            <w:vMerge w:val="continue"/>
            <w:vAlign w:val="center"/>
          </w:tcPr>
          <w:p w14:paraId="3F79A82A">
            <w:pPr>
              <w:jc w:val="center"/>
              <w:rPr>
                <w:rFonts w:ascii="Calibri" w:hAnsi="Calibri"/>
                <w:sz w:val="20"/>
                <w:szCs w:val="20"/>
              </w:rPr>
            </w:pPr>
          </w:p>
        </w:tc>
      </w:tr>
      <w:tr w14:paraId="209B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09" w:type="dxa"/>
            <w:vMerge w:val="restart"/>
            <w:textDirection w:val="tbRlV"/>
            <w:vAlign w:val="center"/>
          </w:tcPr>
          <w:p w14:paraId="0FDDACCD">
            <w:pPr>
              <w:ind w:left="113" w:right="113"/>
              <w:jc w:val="center"/>
              <w:rPr>
                <w:rFonts w:ascii="Calibri" w:hAnsi="Calibri"/>
                <w:sz w:val="20"/>
                <w:szCs w:val="20"/>
              </w:rPr>
            </w:pPr>
            <w:r>
              <w:rPr>
                <w:rFonts w:hint="eastAsia" w:ascii="Calibri" w:hAnsi="Calibri"/>
                <w:sz w:val="20"/>
                <w:szCs w:val="20"/>
              </w:rPr>
              <w:t>口服降血糖药</w:t>
            </w:r>
          </w:p>
        </w:tc>
        <w:tc>
          <w:tcPr>
            <w:tcW w:w="710" w:type="dxa"/>
            <w:vMerge w:val="continue"/>
            <w:textDirection w:val="tbRlV"/>
            <w:vAlign w:val="center"/>
          </w:tcPr>
          <w:p w14:paraId="135ED7EF">
            <w:pPr>
              <w:ind w:left="113" w:right="113"/>
              <w:jc w:val="center"/>
              <w:rPr>
                <w:rFonts w:ascii="Calibri" w:hAnsi="Calibri"/>
                <w:sz w:val="20"/>
                <w:szCs w:val="20"/>
              </w:rPr>
            </w:pPr>
          </w:p>
        </w:tc>
        <w:tc>
          <w:tcPr>
            <w:tcW w:w="2268" w:type="dxa"/>
            <w:vAlign w:val="center"/>
          </w:tcPr>
          <w:p w14:paraId="4E00C8F2">
            <w:pPr>
              <w:pStyle w:val="48"/>
              <w:rPr>
                <w:sz w:val="20"/>
                <w:szCs w:val="20"/>
              </w:rPr>
            </w:pPr>
            <w:r>
              <w:rPr>
                <w:sz w:val="20"/>
                <w:szCs w:val="20"/>
              </w:rPr>
              <w:t>瑞格列奈片</w:t>
            </w:r>
          </w:p>
        </w:tc>
        <w:tc>
          <w:tcPr>
            <w:tcW w:w="1134" w:type="dxa"/>
            <w:vAlign w:val="center"/>
          </w:tcPr>
          <w:p w14:paraId="500D8266">
            <w:pPr>
              <w:jc w:val="center"/>
              <w:rPr>
                <w:rFonts w:ascii="Calibri" w:hAnsi="Calibri"/>
                <w:sz w:val="20"/>
                <w:szCs w:val="20"/>
              </w:rPr>
            </w:pPr>
            <w:r>
              <w:rPr>
                <w:rFonts w:ascii="Calibri" w:hAnsi="Calibri"/>
                <w:sz w:val="20"/>
                <w:szCs w:val="20"/>
              </w:rPr>
              <w:t>化学药品</w:t>
            </w:r>
          </w:p>
        </w:tc>
        <w:tc>
          <w:tcPr>
            <w:tcW w:w="1275" w:type="dxa"/>
            <w:vAlign w:val="center"/>
          </w:tcPr>
          <w:p w14:paraId="70D32E06">
            <w:pPr>
              <w:jc w:val="both"/>
              <w:rPr>
                <w:rFonts w:ascii="Calibri" w:hAnsi="Calibri"/>
                <w:sz w:val="20"/>
                <w:szCs w:val="20"/>
              </w:rPr>
            </w:pPr>
            <w:r>
              <w:rPr>
                <w:rFonts w:ascii="Calibri" w:hAnsi="Calibri"/>
                <w:sz w:val="20"/>
                <w:szCs w:val="20"/>
              </w:rPr>
              <w:t>用于饮食控制、减轻体重及运动锻炼不能有效控制其高血糖的成人2型糖尿病患者</w:t>
            </w:r>
          </w:p>
        </w:tc>
        <w:tc>
          <w:tcPr>
            <w:tcW w:w="567" w:type="dxa"/>
            <w:vAlign w:val="center"/>
          </w:tcPr>
          <w:p w14:paraId="07A5675C">
            <w:pPr>
              <w:jc w:val="center"/>
              <w:rPr>
                <w:rFonts w:ascii="Calibri" w:hAnsi="Calibri"/>
                <w:sz w:val="20"/>
                <w:szCs w:val="20"/>
              </w:rPr>
            </w:pPr>
            <w:r>
              <w:rPr>
                <w:rFonts w:ascii="Calibri" w:hAnsi="Calibri"/>
                <w:sz w:val="20"/>
                <w:szCs w:val="20"/>
              </w:rPr>
              <w:t>是</w:t>
            </w:r>
          </w:p>
        </w:tc>
        <w:tc>
          <w:tcPr>
            <w:tcW w:w="709" w:type="dxa"/>
            <w:vAlign w:val="center"/>
          </w:tcPr>
          <w:p w14:paraId="63A422C7">
            <w:pPr>
              <w:jc w:val="center"/>
              <w:rPr>
                <w:rFonts w:ascii="Calibri" w:hAnsi="Calibri"/>
                <w:sz w:val="20"/>
                <w:szCs w:val="20"/>
              </w:rPr>
            </w:pPr>
            <w:r>
              <w:rPr>
                <w:rFonts w:ascii="Calibri" w:hAnsi="Calibri"/>
                <w:sz w:val="20"/>
                <w:szCs w:val="20"/>
              </w:rPr>
              <w:t>否</w:t>
            </w:r>
          </w:p>
        </w:tc>
        <w:tc>
          <w:tcPr>
            <w:tcW w:w="709" w:type="dxa"/>
            <w:vAlign w:val="center"/>
          </w:tcPr>
          <w:p w14:paraId="014CB776">
            <w:pPr>
              <w:jc w:val="center"/>
              <w:rPr>
                <w:rFonts w:ascii="Calibri" w:hAnsi="Calibri"/>
                <w:sz w:val="20"/>
                <w:szCs w:val="20"/>
              </w:rPr>
            </w:pPr>
            <w:r>
              <w:rPr>
                <w:rFonts w:ascii="Calibri" w:hAnsi="Calibri"/>
                <w:sz w:val="20"/>
                <w:szCs w:val="20"/>
              </w:rPr>
              <w:t>无</w:t>
            </w:r>
          </w:p>
        </w:tc>
        <w:tc>
          <w:tcPr>
            <w:tcW w:w="425" w:type="dxa"/>
            <w:vAlign w:val="center"/>
          </w:tcPr>
          <w:p w14:paraId="708E2809">
            <w:pPr>
              <w:jc w:val="center"/>
              <w:rPr>
                <w:rFonts w:ascii="Calibri" w:hAnsi="Calibri"/>
                <w:sz w:val="20"/>
                <w:szCs w:val="20"/>
              </w:rPr>
            </w:pPr>
            <w:r>
              <w:rPr>
                <w:rFonts w:ascii="Calibri" w:hAnsi="Calibri"/>
                <w:sz w:val="20"/>
                <w:szCs w:val="20"/>
              </w:rPr>
              <w:t>否</w:t>
            </w:r>
          </w:p>
        </w:tc>
        <w:tc>
          <w:tcPr>
            <w:tcW w:w="425" w:type="dxa"/>
            <w:vAlign w:val="center"/>
          </w:tcPr>
          <w:p w14:paraId="604C6FBD">
            <w:pPr>
              <w:jc w:val="center"/>
              <w:rPr>
                <w:rFonts w:ascii="Calibri" w:hAnsi="Calibri"/>
                <w:sz w:val="20"/>
                <w:szCs w:val="20"/>
              </w:rPr>
            </w:pPr>
            <w:r>
              <w:rPr>
                <w:rFonts w:hint="eastAsia" w:ascii="Calibri" w:hAnsi="Calibri"/>
                <w:sz w:val="20"/>
                <w:szCs w:val="20"/>
              </w:rPr>
              <w:t>是</w:t>
            </w:r>
          </w:p>
        </w:tc>
        <w:tc>
          <w:tcPr>
            <w:tcW w:w="567" w:type="dxa"/>
            <w:vAlign w:val="center"/>
          </w:tcPr>
          <w:p w14:paraId="2FD7FDF9">
            <w:pPr>
              <w:jc w:val="center"/>
              <w:rPr>
                <w:rFonts w:ascii="Calibri" w:hAnsi="Calibri"/>
                <w:sz w:val="20"/>
                <w:szCs w:val="20"/>
              </w:rPr>
            </w:pPr>
            <w:r>
              <w:rPr>
                <w:rFonts w:ascii="Calibri" w:hAnsi="Calibri"/>
                <w:sz w:val="20"/>
                <w:szCs w:val="20"/>
              </w:rPr>
              <w:t>是</w:t>
            </w:r>
          </w:p>
        </w:tc>
        <w:tc>
          <w:tcPr>
            <w:tcW w:w="567" w:type="dxa"/>
            <w:vAlign w:val="center"/>
          </w:tcPr>
          <w:p w14:paraId="44BA2F43">
            <w:pPr>
              <w:jc w:val="center"/>
              <w:rPr>
                <w:rFonts w:ascii="Calibri" w:hAnsi="Calibri"/>
                <w:sz w:val="20"/>
                <w:szCs w:val="20"/>
              </w:rPr>
            </w:pPr>
            <w:r>
              <w:rPr>
                <w:rFonts w:ascii="Calibri" w:hAnsi="Calibri"/>
                <w:sz w:val="20"/>
                <w:szCs w:val="20"/>
              </w:rPr>
              <w:t>是</w:t>
            </w:r>
          </w:p>
        </w:tc>
      </w:tr>
      <w:tr w14:paraId="1EB6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09" w:type="dxa"/>
            <w:vMerge w:val="continue"/>
            <w:textDirection w:val="tbRlV"/>
            <w:vAlign w:val="center"/>
          </w:tcPr>
          <w:p w14:paraId="6D94D84A">
            <w:pPr>
              <w:ind w:left="113" w:right="113"/>
              <w:jc w:val="center"/>
              <w:rPr>
                <w:rFonts w:ascii="Calibri" w:hAnsi="Calibri"/>
                <w:sz w:val="20"/>
                <w:szCs w:val="20"/>
              </w:rPr>
            </w:pPr>
          </w:p>
        </w:tc>
        <w:tc>
          <w:tcPr>
            <w:tcW w:w="710" w:type="dxa"/>
            <w:vMerge w:val="continue"/>
            <w:textDirection w:val="tbRlV"/>
            <w:vAlign w:val="center"/>
          </w:tcPr>
          <w:p w14:paraId="1625550E">
            <w:pPr>
              <w:ind w:left="113" w:right="113"/>
              <w:jc w:val="center"/>
              <w:rPr>
                <w:rFonts w:ascii="Calibri" w:hAnsi="Calibri"/>
                <w:sz w:val="20"/>
                <w:szCs w:val="20"/>
              </w:rPr>
            </w:pPr>
          </w:p>
        </w:tc>
        <w:tc>
          <w:tcPr>
            <w:tcW w:w="2268" w:type="dxa"/>
            <w:vAlign w:val="center"/>
          </w:tcPr>
          <w:p w14:paraId="49B622F8">
            <w:pPr>
              <w:pStyle w:val="48"/>
              <w:rPr>
                <w:sz w:val="20"/>
                <w:szCs w:val="20"/>
              </w:rPr>
            </w:pPr>
            <w:r>
              <w:rPr>
                <w:sz w:val="20"/>
                <w:szCs w:val="20"/>
              </w:rPr>
              <w:t>恩格列净片</w:t>
            </w:r>
          </w:p>
        </w:tc>
        <w:tc>
          <w:tcPr>
            <w:tcW w:w="1134" w:type="dxa"/>
            <w:vAlign w:val="center"/>
          </w:tcPr>
          <w:p w14:paraId="409B9702">
            <w:pPr>
              <w:jc w:val="center"/>
              <w:rPr>
                <w:rFonts w:ascii="Calibri" w:hAnsi="Calibri"/>
                <w:sz w:val="20"/>
                <w:szCs w:val="20"/>
              </w:rPr>
            </w:pPr>
            <w:r>
              <w:rPr>
                <w:rFonts w:ascii="Calibri" w:hAnsi="Calibri"/>
                <w:sz w:val="20"/>
                <w:szCs w:val="20"/>
              </w:rPr>
              <w:t>化学药品</w:t>
            </w:r>
          </w:p>
        </w:tc>
        <w:tc>
          <w:tcPr>
            <w:tcW w:w="1275" w:type="dxa"/>
            <w:vAlign w:val="center"/>
          </w:tcPr>
          <w:p w14:paraId="12AB2E0E">
            <w:pPr>
              <w:jc w:val="both"/>
              <w:rPr>
                <w:rFonts w:ascii="Calibri" w:hAnsi="Calibri"/>
                <w:sz w:val="20"/>
                <w:szCs w:val="20"/>
              </w:rPr>
            </w:pPr>
            <w:r>
              <w:rPr>
                <w:rFonts w:ascii="Calibri" w:hAnsi="Calibri"/>
                <w:sz w:val="20"/>
                <w:szCs w:val="20"/>
              </w:rPr>
              <w:t>治疗2型糖尿病</w:t>
            </w:r>
          </w:p>
        </w:tc>
        <w:tc>
          <w:tcPr>
            <w:tcW w:w="567" w:type="dxa"/>
            <w:vAlign w:val="center"/>
          </w:tcPr>
          <w:p w14:paraId="761E2D9D">
            <w:pPr>
              <w:jc w:val="center"/>
              <w:rPr>
                <w:rFonts w:ascii="Calibri" w:hAnsi="Calibri"/>
                <w:sz w:val="20"/>
                <w:szCs w:val="20"/>
              </w:rPr>
            </w:pPr>
            <w:r>
              <w:rPr>
                <w:rFonts w:ascii="Calibri" w:hAnsi="Calibri"/>
                <w:sz w:val="20"/>
                <w:szCs w:val="20"/>
              </w:rPr>
              <w:t>是</w:t>
            </w:r>
          </w:p>
        </w:tc>
        <w:tc>
          <w:tcPr>
            <w:tcW w:w="709" w:type="dxa"/>
            <w:vAlign w:val="center"/>
          </w:tcPr>
          <w:p w14:paraId="7898C4AF">
            <w:pPr>
              <w:jc w:val="center"/>
              <w:rPr>
                <w:rFonts w:ascii="Calibri" w:hAnsi="Calibri"/>
                <w:sz w:val="20"/>
                <w:szCs w:val="20"/>
              </w:rPr>
            </w:pPr>
            <w:r>
              <w:rPr>
                <w:rFonts w:ascii="Calibri" w:hAnsi="Calibri"/>
                <w:sz w:val="20"/>
                <w:szCs w:val="20"/>
              </w:rPr>
              <w:t>否</w:t>
            </w:r>
          </w:p>
        </w:tc>
        <w:tc>
          <w:tcPr>
            <w:tcW w:w="709" w:type="dxa"/>
            <w:vAlign w:val="center"/>
          </w:tcPr>
          <w:p w14:paraId="5FD4273B">
            <w:pPr>
              <w:jc w:val="center"/>
              <w:rPr>
                <w:rFonts w:ascii="Calibri" w:hAnsi="Calibri"/>
                <w:sz w:val="20"/>
                <w:szCs w:val="20"/>
              </w:rPr>
            </w:pPr>
            <w:r>
              <w:rPr>
                <w:rFonts w:ascii="Calibri" w:hAnsi="Calibri"/>
                <w:sz w:val="20"/>
                <w:szCs w:val="20"/>
              </w:rPr>
              <w:t>无</w:t>
            </w:r>
          </w:p>
        </w:tc>
        <w:tc>
          <w:tcPr>
            <w:tcW w:w="425" w:type="dxa"/>
            <w:vAlign w:val="center"/>
          </w:tcPr>
          <w:p w14:paraId="106A2AC2">
            <w:pPr>
              <w:jc w:val="center"/>
              <w:rPr>
                <w:rFonts w:ascii="Calibri" w:hAnsi="Calibri"/>
                <w:sz w:val="20"/>
                <w:szCs w:val="20"/>
              </w:rPr>
            </w:pPr>
            <w:r>
              <w:rPr>
                <w:rFonts w:ascii="Calibri" w:hAnsi="Calibri"/>
                <w:sz w:val="20"/>
                <w:szCs w:val="20"/>
              </w:rPr>
              <w:t>否</w:t>
            </w:r>
          </w:p>
        </w:tc>
        <w:tc>
          <w:tcPr>
            <w:tcW w:w="425" w:type="dxa"/>
            <w:vAlign w:val="center"/>
          </w:tcPr>
          <w:p w14:paraId="2ECE30D4">
            <w:pPr>
              <w:jc w:val="center"/>
              <w:rPr>
                <w:rFonts w:ascii="Calibri" w:hAnsi="Calibri"/>
                <w:sz w:val="20"/>
                <w:szCs w:val="20"/>
              </w:rPr>
            </w:pPr>
            <w:r>
              <w:rPr>
                <w:rFonts w:ascii="Calibri" w:hAnsi="Calibri"/>
                <w:sz w:val="20"/>
                <w:szCs w:val="20"/>
              </w:rPr>
              <w:t>否</w:t>
            </w:r>
          </w:p>
        </w:tc>
        <w:tc>
          <w:tcPr>
            <w:tcW w:w="567" w:type="dxa"/>
            <w:vAlign w:val="center"/>
          </w:tcPr>
          <w:p w14:paraId="3465A5FF">
            <w:pPr>
              <w:jc w:val="center"/>
              <w:rPr>
                <w:rFonts w:ascii="Calibri" w:hAnsi="Calibri"/>
                <w:sz w:val="20"/>
                <w:szCs w:val="20"/>
              </w:rPr>
            </w:pPr>
            <w:r>
              <w:rPr>
                <w:rFonts w:ascii="Calibri" w:hAnsi="Calibri"/>
                <w:sz w:val="20"/>
                <w:szCs w:val="20"/>
              </w:rPr>
              <w:t>是</w:t>
            </w:r>
          </w:p>
        </w:tc>
        <w:tc>
          <w:tcPr>
            <w:tcW w:w="567" w:type="dxa"/>
            <w:vAlign w:val="center"/>
          </w:tcPr>
          <w:p w14:paraId="2ADF8445">
            <w:pPr>
              <w:jc w:val="center"/>
              <w:rPr>
                <w:rFonts w:ascii="Calibri" w:hAnsi="Calibri"/>
                <w:sz w:val="20"/>
                <w:szCs w:val="20"/>
              </w:rPr>
            </w:pPr>
            <w:r>
              <w:rPr>
                <w:rFonts w:ascii="Calibri" w:hAnsi="Calibri"/>
                <w:sz w:val="20"/>
                <w:szCs w:val="20"/>
              </w:rPr>
              <w:t>是</w:t>
            </w:r>
          </w:p>
        </w:tc>
      </w:tr>
      <w:tr w14:paraId="6F20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09" w:type="dxa"/>
            <w:vMerge w:val="continue"/>
            <w:textDirection w:val="tbRlV"/>
            <w:vAlign w:val="center"/>
          </w:tcPr>
          <w:p w14:paraId="22C25973">
            <w:pPr>
              <w:ind w:left="113" w:right="113"/>
              <w:jc w:val="center"/>
              <w:rPr>
                <w:rFonts w:ascii="Calibri" w:hAnsi="Calibri"/>
                <w:sz w:val="20"/>
                <w:szCs w:val="20"/>
              </w:rPr>
            </w:pPr>
          </w:p>
        </w:tc>
        <w:tc>
          <w:tcPr>
            <w:tcW w:w="710" w:type="dxa"/>
            <w:vMerge w:val="continue"/>
            <w:textDirection w:val="tbRlV"/>
            <w:vAlign w:val="center"/>
          </w:tcPr>
          <w:p w14:paraId="0285871E">
            <w:pPr>
              <w:ind w:left="113" w:right="113"/>
              <w:jc w:val="center"/>
              <w:rPr>
                <w:rFonts w:ascii="Calibri" w:hAnsi="Calibri"/>
                <w:sz w:val="20"/>
                <w:szCs w:val="20"/>
              </w:rPr>
            </w:pPr>
          </w:p>
        </w:tc>
        <w:tc>
          <w:tcPr>
            <w:tcW w:w="2268" w:type="dxa"/>
            <w:vAlign w:val="center"/>
          </w:tcPr>
          <w:p w14:paraId="2F394091">
            <w:pPr>
              <w:pStyle w:val="48"/>
              <w:rPr>
                <w:sz w:val="20"/>
                <w:szCs w:val="20"/>
              </w:rPr>
            </w:pPr>
            <w:r>
              <w:rPr>
                <w:sz w:val="20"/>
                <w:szCs w:val="20"/>
              </w:rPr>
              <w:t>磷酸西格列汀片</w:t>
            </w:r>
          </w:p>
        </w:tc>
        <w:tc>
          <w:tcPr>
            <w:tcW w:w="1134" w:type="dxa"/>
            <w:vAlign w:val="center"/>
          </w:tcPr>
          <w:p w14:paraId="4F6598CF">
            <w:pPr>
              <w:pStyle w:val="48"/>
              <w:jc w:val="center"/>
              <w:rPr>
                <w:sz w:val="20"/>
                <w:szCs w:val="20"/>
              </w:rPr>
            </w:pPr>
            <w:r>
              <w:rPr>
                <w:sz w:val="20"/>
                <w:szCs w:val="20"/>
              </w:rPr>
              <w:t>化学药品</w:t>
            </w:r>
          </w:p>
        </w:tc>
        <w:tc>
          <w:tcPr>
            <w:tcW w:w="1275" w:type="dxa"/>
            <w:vAlign w:val="center"/>
          </w:tcPr>
          <w:p w14:paraId="23D9B479">
            <w:pPr>
              <w:jc w:val="both"/>
              <w:rPr>
                <w:rFonts w:ascii="Calibri" w:hAnsi="Calibri"/>
                <w:sz w:val="20"/>
                <w:szCs w:val="20"/>
              </w:rPr>
            </w:pPr>
            <w:r>
              <w:rPr>
                <w:rFonts w:ascii="Calibri" w:hAnsi="Calibri"/>
                <w:sz w:val="20"/>
                <w:szCs w:val="20"/>
              </w:rPr>
              <w:t>治疗2型糖尿病</w:t>
            </w:r>
          </w:p>
        </w:tc>
        <w:tc>
          <w:tcPr>
            <w:tcW w:w="567" w:type="dxa"/>
            <w:vAlign w:val="center"/>
          </w:tcPr>
          <w:p w14:paraId="3FB55EF0">
            <w:pPr>
              <w:jc w:val="center"/>
              <w:rPr>
                <w:rFonts w:ascii="Calibri" w:hAnsi="Calibri"/>
                <w:sz w:val="20"/>
                <w:szCs w:val="20"/>
              </w:rPr>
            </w:pPr>
            <w:r>
              <w:rPr>
                <w:rFonts w:ascii="Calibri" w:hAnsi="Calibri"/>
                <w:sz w:val="20"/>
                <w:szCs w:val="20"/>
              </w:rPr>
              <w:t>是</w:t>
            </w:r>
          </w:p>
        </w:tc>
        <w:tc>
          <w:tcPr>
            <w:tcW w:w="709" w:type="dxa"/>
            <w:vAlign w:val="center"/>
          </w:tcPr>
          <w:p w14:paraId="7ABCE236">
            <w:pPr>
              <w:jc w:val="center"/>
              <w:rPr>
                <w:rFonts w:ascii="Calibri" w:hAnsi="Calibri"/>
                <w:sz w:val="20"/>
                <w:szCs w:val="20"/>
              </w:rPr>
            </w:pPr>
            <w:r>
              <w:rPr>
                <w:rFonts w:ascii="Calibri" w:hAnsi="Calibri"/>
                <w:sz w:val="20"/>
                <w:szCs w:val="20"/>
              </w:rPr>
              <w:t>否</w:t>
            </w:r>
          </w:p>
        </w:tc>
        <w:tc>
          <w:tcPr>
            <w:tcW w:w="709" w:type="dxa"/>
            <w:vAlign w:val="center"/>
          </w:tcPr>
          <w:p w14:paraId="29CFB672">
            <w:pPr>
              <w:jc w:val="center"/>
              <w:rPr>
                <w:rFonts w:ascii="Calibri" w:hAnsi="Calibri"/>
                <w:sz w:val="20"/>
                <w:szCs w:val="20"/>
              </w:rPr>
            </w:pPr>
            <w:r>
              <w:rPr>
                <w:rFonts w:ascii="Calibri" w:hAnsi="Calibri"/>
                <w:sz w:val="20"/>
                <w:szCs w:val="20"/>
              </w:rPr>
              <w:t>无</w:t>
            </w:r>
          </w:p>
        </w:tc>
        <w:tc>
          <w:tcPr>
            <w:tcW w:w="425" w:type="dxa"/>
            <w:vAlign w:val="center"/>
          </w:tcPr>
          <w:p w14:paraId="6F18FAFC">
            <w:pPr>
              <w:jc w:val="center"/>
              <w:rPr>
                <w:rFonts w:ascii="Calibri" w:hAnsi="Calibri"/>
                <w:sz w:val="20"/>
                <w:szCs w:val="20"/>
              </w:rPr>
            </w:pPr>
            <w:r>
              <w:rPr>
                <w:rFonts w:ascii="Calibri" w:hAnsi="Calibri"/>
                <w:sz w:val="20"/>
                <w:szCs w:val="20"/>
              </w:rPr>
              <w:t>否</w:t>
            </w:r>
          </w:p>
        </w:tc>
        <w:tc>
          <w:tcPr>
            <w:tcW w:w="425" w:type="dxa"/>
            <w:vAlign w:val="center"/>
          </w:tcPr>
          <w:p w14:paraId="0BDB8F6A">
            <w:pPr>
              <w:jc w:val="center"/>
              <w:rPr>
                <w:rFonts w:ascii="Calibri" w:hAnsi="Calibri"/>
                <w:sz w:val="20"/>
                <w:szCs w:val="20"/>
              </w:rPr>
            </w:pPr>
            <w:r>
              <w:rPr>
                <w:rFonts w:ascii="Calibri" w:hAnsi="Calibri"/>
                <w:sz w:val="20"/>
                <w:szCs w:val="20"/>
              </w:rPr>
              <w:t>是</w:t>
            </w:r>
          </w:p>
        </w:tc>
        <w:tc>
          <w:tcPr>
            <w:tcW w:w="567" w:type="dxa"/>
            <w:vAlign w:val="center"/>
          </w:tcPr>
          <w:p w14:paraId="0C697642">
            <w:pPr>
              <w:jc w:val="center"/>
              <w:rPr>
                <w:rFonts w:ascii="Calibri" w:hAnsi="Calibri"/>
                <w:sz w:val="20"/>
                <w:szCs w:val="20"/>
              </w:rPr>
            </w:pPr>
            <w:r>
              <w:rPr>
                <w:rFonts w:ascii="Calibri" w:hAnsi="Calibri"/>
                <w:sz w:val="20"/>
                <w:szCs w:val="20"/>
              </w:rPr>
              <w:t>是</w:t>
            </w:r>
          </w:p>
        </w:tc>
        <w:tc>
          <w:tcPr>
            <w:tcW w:w="567" w:type="dxa"/>
            <w:vAlign w:val="center"/>
          </w:tcPr>
          <w:p w14:paraId="77997A44">
            <w:pPr>
              <w:jc w:val="center"/>
              <w:rPr>
                <w:rFonts w:ascii="Calibri" w:hAnsi="Calibri"/>
                <w:sz w:val="20"/>
                <w:szCs w:val="20"/>
              </w:rPr>
            </w:pPr>
            <w:r>
              <w:rPr>
                <w:rFonts w:ascii="Calibri" w:hAnsi="Calibri"/>
                <w:sz w:val="20"/>
                <w:szCs w:val="20"/>
              </w:rPr>
              <w:t>是</w:t>
            </w:r>
          </w:p>
        </w:tc>
      </w:tr>
      <w:tr w14:paraId="5CE0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09" w:type="dxa"/>
            <w:textDirection w:val="tbRlV"/>
            <w:vAlign w:val="center"/>
          </w:tcPr>
          <w:p w14:paraId="77B47BA5">
            <w:pPr>
              <w:ind w:left="113" w:right="113"/>
              <w:jc w:val="center"/>
              <w:rPr>
                <w:rFonts w:ascii="Calibri" w:hAnsi="Calibri"/>
                <w:sz w:val="20"/>
                <w:szCs w:val="20"/>
              </w:rPr>
            </w:pPr>
            <w:r>
              <w:rPr>
                <w:rFonts w:hint="eastAsia" w:ascii="Calibri" w:hAnsi="Calibri"/>
                <w:sz w:val="20"/>
                <w:szCs w:val="20"/>
              </w:rPr>
              <w:t>抗炎止痛</w:t>
            </w:r>
          </w:p>
        </w:tc>
        <w:tc>
          <w:tcPr>
            <w:tcW w:w="710" w:type="dxa"/>
            <w:textDirection w:val="tbRlV"/>
            <w:vAlign w:val="center"/>
          </w:tcPr>
          <w:p w14:paraId="468814B5">
            <w:pPr>
              <w:ind w:left="113" w:right="113"/>
              <w:jc w:val="center"/>
              <w:rPr>
                <w:rFonts w:ascii="Calibri" w:hAnsi="Calibri"/>
                <w:sz w:val="20"/>
                <w:szCs w:val="20"/>
              </w:rPr>
            </w:pPr>
            <w:r>
              <w:rPr>
                <w:rFonts w:hint="eastAsia" w:ascii="Calibri" w:hAnsi="Calibri"/>
                <w:sz w:val="20"/>
                <w:szCs w:val="20"/>
              </w:rPr>
              <w:t>痛风/骨关节炎</w:t>
            </w:r>
          </w:p>
        </w:tc>
        <w:tc>
          <w:tcPr>
            <w:tcW w:w="2268" w:type="dxa"/>
            <w:vAlign w:val="center"/>
          </w:tcPr>
          <w:p w14:paraId="33B7637F">
            <w:pPr>
              <w:pStyle w:val="48"/>
              <w:rPr>
                <w:sz w:val="20"/>
                <w:szCs w:val="20"/>
              </w:rPr>
            </w:pPr>
            <w:r>
              <w:rPr>
                <w:sz w:val="20"/>
                <w:szCs w:val="20"/>
              </w:rPr>
              <w:t>依托考昔片</w:t>
            </w:r>
          </w:p>
        </w:tc>
        <w:tc>
          <w:tcPr>
            <w:tcW w:w="1134" w:type="dxa"/>
            <w:vAlign w:val="center"/>
          </w:tcPr>
          <w:p w14:paraId="53CBDDE7">
            <w:pPr>
              <w:jc w:val="center"/>
              <w:rPr>
                <w:rFonts w:ascii="Calibri" w:hAnsi="Calibri"/>
                <w:sz w:val="20"/>
                <w:szCs w:val="20"/>
              </w:rPr>
            </w:pPr>
            <w:r>
              <w:rPr>
                <w:rFonts w:ascii="Calibri" w:hAnsi="Calibri"/>
                <w:sz w:val="20"/>
                <w:szCs w:val="20"/>
              </w:rPr>
              <w:t>化学药品</w:t>
            </w:r>
          </w:p>
        </w:tc>
        <w:tc>
          <w:tcPr>
            <w:tcW w:w="1275" w:type="dxa"/>
            <w:vAlign w:val="center"/>
          </w:tcPr>
          <w:p w14:paraId="272825F7">
            <w:pPr>
              <w:jc w:val="both"/>
              <w:rPr>
                <w:rFonts w:ascii="Calibri" w:hAnsi="Calibri"/>
                <w:bCs/>
                <w:sz w:val="20"/>
                <w:szCs w:val="20"/>
              </w:rPr>
            </w:pPr>
            <w:r>
              <w:rPr>
                <w:rFonts w:hint="eastAsia" w:ascii="Calibri" w:hAnsi="Calibri"/>
                <w:bCs/>
                <w:sz w:val="20"/>
                <w:szCs w:val="20"/>
              </w:rPr>
              <w:t>治疗急性痛风性关节炎</w:t>
            </w:r>
          </w:p>
          <w:p w14:paraId="35722C35">
            <w:pPr>
              <w:jc w:val="both"/>
              <w:rPr>
                <w:rFonts w:ascii="Calibri" w:hAnsi="Calibri"/>
                <w:bCs/>
                <w:sz w:val="20"/>
                <w:szCs w:val="20"/>
              </w:rPr>
            </w:pPr>
            <w:r>
              <w:rPr>
                <w:rFonts w:hint="eastAsia" w:ascii="Calibri" w:hAnsi="Calibri"/>
                <w:bCs/>
                <w:sz w:val="20"/>
                <w:szCs w:val="20"/>
              </w:rPr>
              <w:t>治疗骨关节炎急性期和慢性期的症状和体征</w:t>
            </w:r>
          </w:p>
          <w:p w14:paraId="658DB9A4">
            <w:pPr>
              <w:jc w:val="both"/>
              <w:rPr>
                <w:rFonts w:ascii="Calibri" w:hAnsi="Calibri"/>
                <w:sz w:val="20"/>
                <w:szCs w:val="20"/>
              </w:rPr>
            </w:pPr>
            <w:r>
              <w:rPr>
                <w:rFonts w:hint="eastAsia" w:ascii="Calibri" w:hAnsi="Calibri"/>
                <w:bCs/>
                <w:sz w:val="20"/>
                <w:szCs w:val="20"/>
              </w:rPr>
              <w:t>治疗原发性痛经</w:t>
            </w:r>
          </w:p>
        </w:tc>
        <w:tc>
          <w:tcPr>
            <w:tcW w:w="567" w:type="dxa"/>
            <w:vAlign w:val="center"/>
          </w:tcPr>
          <w:p w14:paraId="2A6A536E">
            <w:pPr>
              <w:jc w:val="center"/>
              <w:rPr>
                <w:rFonts w:ascii="Calibri" w:hAnsi="Calibri"/>
                <w:sz w:val="20"/>
                <w:szCs w:val="20"/>
              </w:rPr>
            </w:pPr>
            <w:r>
              <w:rPr>
                <w:rFonts w:ascii="Calibri" w:hAnsi="Calibri"/>
                <w:sz w:val="20"/>
                <w:szCs w:val="20"/>
              </w:rPr>
              <w:t>是</w:t>
            </w:r>
          </w:p>
        </w:tc>
        <w:tc>
          <w:tcPr>
            <w:tcW w:w="709" w:type="dxa"/>
            <w:vAlign w:val="center"/>
          </w:tcPr>
          <w:p w14:paraId="30BB5DF9">
            <w:pPr>
              <w:jc w:val="center"/>
              <w:rPr>
                <w:rFonts w:ascii="Calibri" w:hAnsi="Calibri"/>
                <w:sz w:val="20"/>
                <w:szCs w:val="20"/>
              </w:rPr>
            </w:pPr>
            <w:r>
              <w:rPr>
                <w:rFonts w:ascii="Calibri" w:hAnsi="Calibri"/>
                <w:sz w:val="20"/>
                <w:szCs w:val="20"/>
              </w:rPr>
              <w:t>否</w:t>
            </w:r>
          </w:p>
        </w:tc>
        <w:tc>
          <w:tcPr>
            <w:tcW w:w="709" w:type="dxa"/>
            <w:vAlign w:val="center"/>
          </w:tcPr>
          <w:p w14:paraId="36BFE543">
            <w:pPr>
              <w:jc w:val="center"/>
              <w:rPr>
                <w:rFonts w:ascii="Calibri" w:hAnsi="Calibri"/>
                <w:sz w:val="20"/>
                <w:szCs w:val="20"/>
              </w:rPr>
            </w:pPr>
            <w:r>
              <w:rPr>
                <w:rFonts w:ascii="Calibri" w:hAnsi="Calibri"/>
                <w:sz w:val="20"/>
                <w:szCs w:val="20"/>
              </w:rPr>
              <w:t>无</w:t>
            </w:r>
          </w:p>
        </w:tc>
        <w:tc>
          <w:tcPr>
            <w:tcW w:w="425" w:type="dxa"/>
            <w:vAlign w:val="center"/>
          </w:tcPr>
          <w:p w14:paraId="626DDFBB">
            <w:pPr>
              <w:jc w:val="center"/>
              <w:rPr>
                <w:rFonts w:ascii="Calibri" w:hAnsi="Calibri"/>
                <w:sz w:val="20"/>
                <w:szCs w:val="20"/>
              </w:rPr>
            </w:pPr>
            <w:r>
              <w:rPr>
                <w:rFonts w:ascii="Calibri" w:hAnsi="Calibri"/>
                <w:sz w:val="20"/>
                <w:szCs w:val="20"/>
              </w:rPr>
              <w:t>是</w:t>
            </w:r>
          </w:p>
        </w:tc>
        <w:tc>
          <w:tcPr>
            <w:tcW w:w="425" w:type="dxa"/>
            <w:vAlign w:val="center"/>
          </w:tcPr>
          <w:p w14:paraId="03C21C39">
            <w:pPr>
              <w:jc w:val="center"/>
              <w:rPr>
                <w:rFonts w:ascii="Calibri" w:hAnsi="Calibri"/>
                <w:sz w:val="20"/>
                <w:szCs w:val="20"/>
              </w:rPr>
            </w:pPr>
            <w:r>
              <w:rPr>
                <w:rFonts w:ascii="Calibri" w:hAnsi="Calibri"/>
                <w:sz w:val="20"/>
                <w:szCs w:val="20"/>
              </w:rPr>
              <w:t>否</w:t>
            </w:r>
          </w:p>
        </w:tc>
        <w:tc>
          <w:tcPr>
            <w:tcW w:w="567" w:type="dxa"/>
            <w:vAlign w:val="center"/>
          </w:tcPr>
          <w:p w14:paraId="0756556D">
            <w:pPr>
              <w:jc w:val="center"/>
              <w:rPr>
                <w:rFonts w:ascii="Calibri" w:hAnsi="Calibri"/>
                <w:sz w:val="20"/>
                <w:szCs w:val="20"/>
              </w:rPr>
            </w:pPr>
            <w:r>
              <w:rPr>
                <w:rFonts w:ascii="Calibri" w:hAnsi="Calibri"/>
                <w:sz w:val="20"/>
                <w:szCs w:val="20"/>
              </w:rPr>
              <w:t>是</w:t>
            </w:r>
          </w:p>
        </w:tc>
        <w:tc>
          <w:tcPr>
            <w:tcW w:w="567" w:type="dxa"/>
            <w:vAlign w:val="center"/>
          </w:tcPr>
          <w:p w14:paraId="34F71396">
            <w:pPr>
              <w:jc w:val="center"/>
              <w:rPr>
                <w:rFonts w:ascii="Calibri" w:hAnsi="Calibri"/>
                <w:sz w:val="20"/>
                <w:szCs w:val="20"/>
              </w:rPr>
            </w:pPr>
            <w:r>
              <w:rPr>
                <w:rFonts w:ascii="Calibri" w:hAnsi="Calibri"/>
                <w:sz w:val="20"/>
                <w:szCs w:val="20"/>
              </w:rPr>
              <w:t>是</w:t>
            </w:r>
          </w:p>
        </w:tc>
      </w:tr>
      <w:tr w14:paraId="66AFC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709" w:type="dxa"/>
            <w:textDirection w:val="tbRlV"/>
            <w:vAlign w:val="center"/>
          </w:tcPr>
          <w:p w14:paraId="29855042">
            <w:pPr>
              <w:ind w:left="113" w:right="113"/>
              <w:jc w:val="center"/>
              <w:rPr>
                <w:rFonts w:ascii="Calibri" w:hAnsi="Calibri"/>
                <w:sz w:val="20"/>
                <w:szCs w:val="20"/>
              </w:rPr>
            </w:pPr>
            <w:r>
              <w:rPr>
                <w:rFonts w:ascii="Calibri" w:hAnsi="Calibri"/>
                <w:sz w:val="20"/>
                <w:szCs w:val="20"/>
              </w:rPr>
              <w:t>中成药</w:t>
            </w:r>
          </w:p>
        </w:tc>
        <w:tc>
          <w:tcPr>
            <w:tcW w:w="710" w:type="dxa"/>
            <w:textDirection w:val="tbRlV"/>
            <w:vAlign w:val="center"/>
          </w:tcPr>
          <w:p w14:paraId="7A4D64EB">
            <w:pPr>
              <w:ind w:left="113" w:right="113"/>
              <w:jc w:val="center"/>
              <w:rPr>
                <w:rFonts w:ascii="Calibri" w:hAnsi="Calibri"/>
                <w:sz w:val="20"/>
                <w:szCs w:val="20"/>
              </w:rPr>
            </w:pPr>
            <w:r>
              <w:rPr>
                <w:rFonts w:ascii="Calibri" w:hAnsi="Calibri"/>
                <w:sz w:val="20"/>
                <w:szCs w:val="20"/>
              </w:rPr>
              <w:t>心脑血管</w:t>
            </w:r>
          </w:p>
        </w:tc>
        <w:tc>
          <w:tcPr>
            <w:tcW w:w="2268" w:type="dxa"/>
            <w:vAlign w:val="center"/>
          </w:tcPr>
          <w:p w14:paraId="3577E8A7">
            <w:pPr>
              <w:pStyle w:val="48"/>
              <w:rPr>
                <w:sz w:val="20"/>
                <w:szCs w:val="20"/>
              </w:rPr>
            </w:pPr>
            <w:r>
              <w:rPr>
                <w:sz w:val="20"/>
                <w:szCs w:val="20"/>
              </w:rPr>
              <w:t>镇脑宁胶囊</w:t>
            </w:r>
          </w:p>
        </w:tc>
        <w:tc>
          <w:tcPr>
            <w:tcW w:w="1134" w:type="dxa"/>
            <w:vAlign w:val="center"/>
          </w:tcPr>
          <w:p w14:paraId="34DF4929">
            <w:pPr>
              <w:jc w:val="center"/>
              <w:rPr>
                <w:rFonts w:ascii="Calibri" w:hAnsi="Calibri"/>
                <w:sz w:val="20"/>
                <w:szCs w:val="20"/>
              </w:rPr>
            </w:pPr>
            <w:r>
              <w:rPr>
                <w:rFonts w:ascii="Calibri" w:hAnsi="Calibri"/>
                <w:sz w:val="20"/>
                <w:szCs w:val="20"/>
              </w:rPr>
              <w:t>原中药新药</w:t>
            </w:r>
          </w:p>
        </w:tc>
        <w:tc>
          <w:tcPr>
            <w:tcW w:w="1275" w:type="dxa"/>
            <w:vAlign w:val="center"/>
          </w:tcPr>
          <w:p w14:paraId="6CDB0785">
            <w:pPr>
              <w:jc w:val="both"/>
              <w:rPr>
                <w:rFonts w:ascii="Calibri" w:hAnsi="Calibri"/>
                <w:sz w:val="20"/>
                <w:szCs w:val="20"/>
              </w:rPr>
            </w:pPr>
            <w:r>
              <w:rPr>
                <w:rFonts w:ascii="Calibri" w:hAnsi="Calibri"/>
                <w:sz w:val="20"/>
                <w:szCs w:val="20"/>
              </w:rPr>
              <w:t>熄风通络。用于风邪上扰所致的头痛头昏、恶心呕吐、视物不清、肢体麻木、耳鸣；血管神经性头痛、高血压、动脉硬化见上述证候者。</w:t>
            </w:r>
          </w:p>
        </w:tc>
        <w:tc>
          <w:tcPr>
            <w:tcW w:w="567" w:type="dxa"/>
            <w:vAlign w:val="center"/>
          </w:tcPr>
          <w:p w14:paraId="2A1102A5">
            <w:pPr>
              <w:jc w:val="center"/>
              <w:rPr>
                <w:rFonts w:ascii="Calibri" w:hAnsi="Calibri"/>
                <w:sz w:val="20"/>
                <w:szCs w:val="20"/>
              </w:rPr>
            </w:pPr>
            <w:r>
              <w:rPr>
                <w:rFonts w:ascii="Calibri" w:hAnsi="Calibri"/>
                <w:sz w:val="20"/>
                <w:szCs w:val="20"/>
              </w:rPr>
              <w:t>是</w:t>
            </w:r>
          </w:p>
        </w:tc>
        <w:tc>
          <w:tcPr>
            <w:tcW w:w="709" w:type="dxa"/>
            <w:vAlign w:val="center"/>
          </w:tcPr>
          <w:p w14:paraId="657B07AF">
            <w:pPr>
              <w:jc w:val="center"/>
              <w:rPr>
                <w:rFonts w:ascii="Calibri" w:hAnsi="Calibri"/>
                <w:sz w:val="20"/>
                <w:szCs w:val="20"/>
              </w:rPr>
            </w:pPr>
            <w:r>
              <w:rPr>
                <w:rFonts w:ascii="Calibri" w:hAnsi="Calibri"/>
                <w:sz w:val="20"/>
                <w:szCs w:val="20"/>
              </w:rPr>
              <w:t>否</w:t>
            </w:r>
          </w:p>
        </w:tc>
        <w:tc>
          <w:tcPr>
            <w:tcW w:w="709" w:type="dxa"/>
            <w:vAlign w:val="center"/>
          </w:tcPr>
          <w:p w14:paraId="014EE18A">
            <w:pPr>
              <w:jc w:val="center"/>
              <w:rPr>
                <w:rFonts w:ascii="Calibri" w:hAnsi="Calibri"/>
                <w:sz w:val="20"/>
                <w:szCs w:val="20"/>
              </w:rPr>
            </w:pPr>
            <w:r>
              <w:rPr>
                <w:rFonts w:hint="eastAsia" w:ascii="Calibri" w:hAnsi="Calibri"/>
                <w:sz w:val="20"/>
                <w:szCs w:val="20"/>
              </w:rPr>
              <w:t>无</w:t>
            </w:r>
          </w:p>
        </w:tc>
        <w:tc>
          <w:tcPr>
            <w:tcW w:w="425" w:type="dxa"/>
            <w:vAlign w:val="center"/>
          </w:tcPr>
          <w:p w14:paraId="2AB95AFD">
            <w:pPr>
              <w:jc w:val="center"/>
              <w:rPr>
                <w:rFonts w:ascii="Calibri" w:hAnsi="Calibri"/>
                <w:sz w:val="20"/>
                <w:szCs w:val="20"/>
              </w:rPr>
            </w:pPr>
            <w:r>
              <w:rPr>
                <w:rFonts w:ascii="Calibri" w:hAnsi="Calibri"/>
                <w:sz w:val="20"/>
                <w:szCs w:val="20"/>
              </w:rPr>
              <w:t>否</w:t>
            </w:r>
          </w:p>
        </w:tc>
        <w:tc>
          <w:tcPr>
            <w:tcW w:w="425" w:type="dxa"/>
            <w:vAlign w:val="center"/>
          </w:tcPr>
          <w:p w14:paraId="0C482D7C">
            <w:pPr>
              <w:jc w:val="center"/>
              <w:rPr>
                <w:rFonts w:ascii="Calibri" w:hAnsi="Calibri"/>
                <w:sz w:val="20"/>
                <w:szCs w:val="20"/>
              </w:rPr>
            </w:pPr>
            <w:r>
              <w:rPr>
                <w:rFonts w:ascii="Calibri" w:hAnsi="Calibri"/>
                <w:sz w:val="20"/>
                <w:szCs w:val="20"/>
              </w:rPr>
              <w:t>否</w:t>
            </w:r>
          </w:p>
        </w:tc>
        <w:tc>
          <w:tcPr>
            <w:tcW w:w="567" w:type="dxa"/>
            <w:vAlign w:val="center"/>
          </w:tcPr>
          <w:p w14:paraId="092EC3EF">
            <w:pPr>
              <w:jc w:val="center"/>
              <w:rPr>
                <w:rFonts w:ascii="Calibri" w:hAnsi="Calibri"/>
                <w:sz w:val="20"/>
                <w:szCs w:val="20"/>
              </w:rPr>
            </w:pPr>
            <w:r>
              <w:rPr>
                <w:rFonts w:ascii="Calibri" w:hAnsi="Calibri"/>
                <w:sz w:val="20"/>
                <w:szCs w:val="20"/>
              </w:rPr>
              <w:t>是</w:t>
            </w:r>
          </w:p>
        </w:tc>
        <w:tc>
          <w:tcPr>
            <w:tcW w:w="567" w:type="dxa"/>
            <w:vAlign w:val="center"/>
          </w:tcPr>
          <w:p w14:paraId="2E583AFA">
            <w:pPr>
              <w:jc w:val="center"/>
              <w:rPr>
                <w:rFonts w:ascii="Calibri" w:hAnsi="Calibri"/>
                <w:sz w:val="20"/>
                <w:szCs w:val="20"/>
              </w:rPr>
            </w:pPr>
            <w:r>
              <w:rPr>
                <w:rFonts w:ascii="Calibri" w:hAnsi="Calibri"/>
                <w:sz w:val="20"/>
                <w:szCs w:val="20"/>
              </w:rPr>
              <w:t>是</w:t>
            </w:r>
          </w:p>
        </w:tc>
      </w:tr>
    </w:tbl>
    <w:p w14:paraId="6DC4FC4A">
      <w:pPr>
        <w:pStyle w:val="48"/>
      </w:pPr>
    </w:p>
    <w:p w14:paraId="41EBEB4E">
      <w:pPr>
        <w:pStyle w:val="38"/>
        <w:rPr>
          <w:b/>
          <w:szCs w:val="21"/>
        </w:rPr>
      </w:pPr>
      <w:r>
        <w:rPr>
          <w:rFonts w:hint="eastAsia"/>
          <w:b/>
        </w:rPr>
        <w:t>报告期内主要药品新进入和退出基药目录、医保目录的情况</w:t>
      </w:r>
    </w:p>
    <w:sdt>
      <w:sdtPr>
        <w:rPr>
          <w:rFonts w:hint="eastAsia"/>
        </w:rPr>
        <w:alias w:val="是否适用：报告期内纳入、新进入和退出基药目录、医保目录的主要药（产）品情况[双击切换]"/>
        <w:tag w:val="_GBC_60ef0d4c8cfd458fafc454c34612dd45"/>
        <w:id w:val="-553841967"/>
        <w:placeholder>
          <w:docPart w:val="GBC22222222222222222222222222222"/>
        </w:placeholder>
      </w:sdtPr>
      <w:sdtEndPr>
        <w:rPr>
          <w:rFonts w:hint="default"/>
        </w:rPr>
      </w:sdtEndPr>
      <w:sdtContent>
        <w:p w14:paraId="7DD45CB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A4370E4">
      <w:pPr>
        <w:adjustRightInd w:val="0"/>
        <w:snapToGrid w:val="0"/>
        <w:rPr>
          <w:b/>
          <w:bCs/>
          <w:kern w:val="2"/>
        </w:rPr>
      </w:pPr>
    </w:p>
    <w:p w14:paraId="17CC495A">
      <w:pPr>
        <w:pStyle w:val="38"/>
        <w:rPr>
          <w:b/>
        </w:rPr>
      </w:pPr>
      <w:r>
        <w:rPr>
          <w:rFonts w:hint="eastAsia"/>
          <w:b/>
        </w:rPr>
        <w:t>报告期内主要药品在药品集中招标采购中的中标情况</w:t>
      </w:r>
    </w:p>
    <w:sdt>
      <w:sdtPr>
        <w:rPr>
          <w:rFonts w:hint="eastAsia"/>
        </w:rPr>
        <w:alias w:val="是否适用：在药品集中招标采购中的中标情况[双击切换]"/>
        <w:tag w:val="_GBC_4ce5c18fbe954c349b39022f83fdf392"/>
        <w:id w:val="838653804"/>
        <w:placeholder>
          <w:docPart w:val="GBC22222222222222222222222222222"/>
        </w:placeholder>
      </w:sdtPr>
      <w:sdtEndPr>
        <w:rPr>
          <w:rFonts w:hint="default"/>
        </w:rPr>
      </w:sdtEndPr>
      <w:sdtContent>
        <w:p w14:paraId="6E87588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3C0F7DF">
      <w:pPr>
        <w:rPr>
          <w:color w:val="7030A0"/>
        </w:rPr>
      </w:pPr>
    </w:p>
    <w:p w14:paraId="4F237078">
      <w:pPr>
        <w:pStyle w:val="48"/>
      </w:pPr>
      <w:r>
        <w:rPr>
          <w:rFonts w:hint="eastAsia"/>
        </w:rPr>
        <w:t>情况说明</w:t>
      </w:r>
    </w:p>
    <w:sdt>
      <w:sdtPr>
        <w:rPr>
          <w:rFonts w:hint="eastAsia"/>
        </w:rPr>
        <w:alias w:val="是否适用：在药品集中招标采购中的中标情况说明[双击切换]"/>
        <w:tag w:val="_GBC_7d10b8fa236f4a44b70a1cccac71ee23"/>
        <w:id w:val="-1100253888"/>
        <w:placeholder>
          <w:docPart w:val="GBC22222222222222222222222222222"/>
        </w:placeholder>
      </w:sdtPr>
      <w:sdtEndPr>
        <w:rPr>
          <w:rFonts w:hint="eastAsia"/>
        </w:rPr>
      </w:sdtEndPr>
      <w:sdtContent>
        <w:p w14:paraId="157ECD9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20204D3">
      <w:pPr>
        <w:adjustRightInd w:val="0"/>
        <w:snapToGrid w:val="0"/>
      </w:pPr>
    </w:p>
    <w:p w14:paraId="0F07BA9E">
      <w:pPr>
        <w:rPr>
          <w:b/>
          <w:bCs/>
          <w:kern w:val="2"/>
        </w:rPr>
      </w:pPr>
      <w:r>
        <w:rPr>
          <w:b/>
          <w:bCs/>
          <w:kern w:val="2"/>
        </w:rPr>
        <w:t>按治疗领域</w:t>
      </w:r>
      <w:r>
        <w:rPr>
          <w:rFonts w:hint="eastAsia"/>
          <w:b/>
          <w:bCs/>
          <w:kern w:val="2"/>
        </w:rPr>
        <w:t>或主要药（产）品等分类</w:t>
      </w:r>
      <w:r>
        <w:rPr>
          <w:b/>
          <w:bCs/>
          <w:kern w:val="2"/>
        </w:rPr>
        <w:t>划分的</w:t>
      </w:r>
      <w:r>
        <w:rPr>
          <w:rFonts w:hint="eastAsia"/>
          <w:b/>
          <w:bCs/>
          <w:kern w:val="2"/>
        </w:rPr>
        <w:t>经营数据</w:t>
      </w:r>
      <w:r>
        <w:rPr>
          <w:b/>
          <w:bCs/>
          <w:kern w:val="2"/>
        </w:rPr>
        <w:t>情况</w:t>
      </w:r>
    </w:p>
    <w:sdt>
      <w:sdtPr>
        <w:rPr>
          <w:rFonts w:hint="eastAsia"/>
        </w:rPr>
        <w:alias w:val="是否适用：按治疗领域划分的公司主营业务基本情况[双击切换]"/>
        <w:tag w:val="_GBC_3687f433fb7647d5b54164abdc3d6b09"/>
        <w:id w:val="-2136944057"/>
        <w:placeholder>
          <w:docPart w:val="GBC22222222222222222222222222222"/>
        </w:placeholder>
      </w:sdtPr>
      <w:sdtEndPr>
        <w:rPr>
          <w:rFonts w:hint="default"/>
        </w:rPr>
      </w:sdtEndPr>
      <w:sdtContent>
        <w:p w14:paraId="0AF22D2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15C97D2">
      <w:pPr>
        <w:wordWrap w:val="0"/>
        <w:adjustRightInd w:val="0"/>
        <w:snapToGrid w:val="0"/>
        <w:jc w:val="right"/>
      </w:pPr>
      <w:r>
        <w:rPr>
          <w:rFonts w:hint="eastAsia"/>
        </w:rPr>
        <w:t>单位：</w:t>
      </w:r>
      <w:sdt>
        <w:sdtPr>
          <w:rPr>
            <w:rFonts w:hint="eastAsia"/>
          </w:rPr>
          <w:alias w:val="单位：按治疗领域划分的公司主营业务基本情况"/>
          <w:tag w:val="_GBC_73faf56ee6244eb693bc60e7bdf942d3"/>
          <w:id w:val="11710744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万元</w:t>
          </w:r>
        </w:sdtContent>
      </w:sdt>
      <w:r>
        <w:rPr>
          <w:rFonts w:hint="eastAsia"/>
        </w:rPr>
        <w:t xml:space="preserve">  币种：</w:t>
      </w:r>
      <w:sdt>
        <w:sdtPr>
          <w:rPr>
            <w:rFonts w:hint="eastAsia"/>
          </w:rPr>
          <w:alias w:val="币种：按治疗领域划分的公司主营业务基本情况"/>
          <w:tag w:val="_GBC_a3f321e0c506464fb8169a420e670dc1"/>
          <w:id w:val="17314939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Style w:val="57"/>
        <w:tblW w:w="9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433"/>
        <w:gridCol w:w="1276"/>
        <w:gridCol w:w="850"/>
        <w:gridCol w:w="1134"/>
        <w:gridCol w:w="1158"/>
        <w:gridCol w:w="1394"/>
        <w:gridCol w:w="1260"/>
      </w:tblGrid>
      <w:tr w14:paraId="351C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sdt>
          <w:sdtPr>
            <w:tag w:val="_PLD_95c09aa416db4f88b9eadd8480cc205e"/>
            <w:id w:val="-2082125341"/>
          </w:sdtPr>
          <w:sdtContent>
            <w:tc>
              <w:tcPr>
                <w:tcW w:w="1114" w:type="dxa"/>
                <w:vAlign w:val="center"/>
              </w:tcPr>
              <w:p w14:paraId="55FA27AA">
                <w:pPr>
                  <w:adjustRightInd w:val="0"/>
                  <w:snapToGrid w:val="0"/>
                  <w:jc w:val="center"/>
                  <w:rPr>
                    <w:rFonts w:ascii="Calibri" w:hAnsi="Calibri"/>
                    <w:sz w:val="20"/>
                    <w:szCs w:val="20"/>
                  </w:rPr>
                </w:pPr>
                <w:r>
                  <w:rPr>
                    <w:rFonts w:hint="eastAsia" w:ascii="Calibri" w:hAnsi="Calibri"/>
                    <w:sz w:val="20"/>
                    <w:szCs w:val="20"/>
                  </w:rPr>
                  <w:t>治疗领域</w:t>
                </w:r>
              </w:p>
            </w:tc>
          </w:sdtContent>
        </w:sdt>
        <w:sdt>
          <w:sdtPr>
            <w:tag w:val="_PLD_bbb89436f97a4a8dbf0679fcd8061462"/>
            <w:id w:val="1114788229"/>
          </w:sdtPr>
          <w:sdtContent>
            <w:tc>
              <w:tcPr>
                <w:tcW w:w="1433" w:type="dxa"/>
                <w:vAlign w:val="center"/>
              </w:tcPr>
              <w:p w14:paraId="2BAD663C">
                <w:pPr>
                  <w:adjustRightInd w:val="0"/>
                  <w:snapToGrid w:val="0"/>
                  <w:jc w:val="center"/>
                  <w:rPr>
                    <w:rFonts w:ascii="Calibri" w:hAnsi="Calibri"/>
                    <w:sz w:val="20"/>
                    <w:szCs w:val="20"/>
                  </w:rPr>
                </w:pPr>
                <w:r>
                  <w:rPr>
                    <w:rFonts w:hint="eastAsia" w:ascii="Calibri" w:hAnsi="Calibri"/>
                    <w:sz w:val="20"/>
                    <w:szCs w:val="20"/>
                  </w:rPr>
                  <w:t>营业收入</w:t>
                </w:r>
              </w:p>
            </w:tc>
          </w:sdtContent>
        </w:sdt>
        <w:sdt>
          <w:sdtPr>
            <w:tag w:val="_PLD_78aed7f1f5084a4a98c033c46faee5f1"/>
            <w:id w:val="-1631013139"/>
          </w:sdtPr>
          <w:sdtContent>
            <w:tc>
              <w:tcPr>
                <w:tcW w:w="1276" w:type="dxa"/>
                <w:vAlign w:val="center"/>
              </w:tcPr>
              <w:p w14:paraId="35B53575">
                <w:pPr>
                  <w:adjustRightInd w:val="0"/>
                  <w:snapToGrid w:val="0"/>
                  <w:jc w:val="center"/>
                  <w:rPr>
                    <w:rFonts w:ascii="Calibri" w:hAnsi="Calibri"/>
                    <w:sz w:val="20"/>
                    <w:szCs w:val="20"/>
                  </w:rPr>
                </w:pPr>
                <w:r>
                  <w:rPr>
                    <w:rFonts w:hint="eastAsia" w:ascii="Calibri" w:hAnsi="Calibri"/>
                    <w:sz w:val="20"/>
                    <w:szCs w:val="20"/>
                  </w:rPr>
                  <w:t>营业成本</w:t>
                </w:r>
              </w:p>
            </w:tc>
          </w:sdtContent>
        </w:sdt>
        <w:sdt>
          <w:sdtPr>
            <w:tag w:val="_PLD_c8c48dcd4add41e296e4c8926779eed7"/>
            <w:id w:val="335198842"/>
          </w:sdtPr>
          <w:sdtContent>
            <w:tc>
              <w:tcPr>
                <w:tcW w:w="850" w:type="dxa"/>
                <w:vAlign w:val="center"/>
              </w:tcPr>
              <w:p w14:paraId="0897B603">
                <w:pPr>
                  <w:adjustRightInd w:val="0"/>
                  <w:snapToGrid w:val="0"/>
                  <w:jc w:val="center"/>
                  <w:rPr>
                    <w:rFonts w:ascii="Calibri" w:hAnsi="Calibri"/>
                    <w:sz w:val="20"/>
                    <w:szCs w:val="20"/>
                  </w:rPr>
                </w:pPr>
                <w:r>
                  <w:rPr>
                    <w:rFonts w:hint="eastAsia" w:ascii="Calibri" w:hAnsi="Calibri"/>
                    <w:sz w:val="20"/>
                    <w:szCs w:val="20"/>
                  </w:rPr>
                  <w:t>毛利率(%)</w:t>
                </w:r>
              </w:p>
            </w:tc>
          </w:sdtContent>
        </w:sdt>
        <w:sdt>
          <w:sdtPr>
            <w:tag w:val="_PLD_66f04e32897548f4b2cdbf34287cb151"/>
            <w:id w:val="1295338784"/>
          </w:sdtPr>
          <w:sdtContent>
            <w:tc>
              <w:tcPr>
                <w:tcW w:w="1134" w:type="dxa"/>
                <w:vAlign w:val="center"/>
              </w:tcPr>
              <w:p w14:paraId="14204E62">
                <w:pPr>
                  <w:adjustRightInd w:val="0"/>
                  <w:snapToGrid w:val="0"/>
                  <w:jc w:val="center"/>
                  <w:rPr>
                    <w:rFonts w:ascii="Calibri" w:hAnsi="Calibri"/>
                    <w:sz w:val="20"/>
                    <w:szCs w:val="20"/>
                  </w:rPr>
                </w:pPr>
                <w:r>
                  <w:rPr>
                    <w:rFonts w:hint="eastAsia" w:ascii="Calibri" w:hAnsi="Calibri"/>
                    <w:sz w:val="20"/>
                    <w:szCs w:val="20"/>
                  </w:rPr>
                  <w:t>营业收入比上年增减（%）</w:t>
                </w:r>
              </w:p>
            </w:tc>
          </w:sdtContent>
        </w:sdt>
        <w:sdt>
          <w:sdtPr>
            <w:tag w:val="_PLD_ef2519d1644c4dcf9f3622c86e1bae88"/>
            <w:id w:val="232284187"/>
          </w:sdtPr>
          <w:sdtContent>
            <w:tc>
              <w:tcPr>
                <w:tcW w:w="1158" w:type="dxa"/>
                <w:vAlign w:val="center"/>
              </w:tcPr>
              <w:p w14:paraId="273296DA">
                <w:pPr>
                  <w:adjustRightInd w:val="0"/>
                  <w:snapToGrid w:val="0"/>
                  <w:jc w:val="center"/>
                  <w:rPr>
                    <w:rFonts w:ascii="Calibri" w:hAnsi="Calibri"/>
                    <w:sz w:val="20"/>
                    <w:szCs w:val="20"/>
                  </w:rPr>
                </w:pPr>
                <w:r>
                  <w:rPr>
                    <w:rFonts w:hint="eastAsia" w:ascii="Calibri" w:hAnsi="Calibri"/>
                    <w:sz w:val="20"/>
                    <w:szCs w:val="20"/>
                  </w:rPr>
                  <w:t>营业成本比上年增减（%）</w:t>
                </w:r>
              </w:p>
            </w:tc>
          </w:sdtContent>
        </w:sdt>
        <w:sdt>
          <w:sdtPr>
            <w:tag w:val="_PLD_4d3bb9a2633b483fa75167cfacd9affa"/>
            <w:id w:val="1450981780"/>
          </w:sdtPr>
          <w:sdtContent>
            <w:tc>
              <w:tcPr>
                <w:tcW w:w="1394" w:type="dxa"/>
                <w:vAlign w:val="center"/>
              </w:tcPr>
              <w:p w14:paraId="7824F6CE">
                <w:pPr>
                  <w:adjustRightInd w:val="0"/>
                  <w:snapToGrid w:val="0"/>
                  <w:jc w:val="center"/>
                  <w:rPr>
                    <w:rFonts w:ascii="Calibri" w:hAnsi="Calibri"/>
                    <w:sz w:val="20"/>
                    <w:szCs w:val="20"/>
                  </w:rPr>
                </w:pPr>
                <w:r>
                  <w:rPr>
                    <w:rFonts w:hint="eastAsia" w:ascii="Calibri" w:hAnsi="Calibri"/>
                    <w:sz w:val="20"/>
                    <w:szCs w:val="20"/>
                  </w:rPr>
                  <w:t>毛利率比上年增减（%）</w:t>
                </w:r>
              </w:p>
            </w:tc>
          </w:sdtContent>
        </w:sdt>
        <w:sdt>
          <w:sdtPr>
            <w:tag w:val="_PLD_28ffda8529c54811a832cea2dab7bfcb"/>
            <w:id w:val="659120739"/>
          </w:sdtPr>
          <w:sdtContent>
            <w:tc>
              <w:tcPr>
                <w:tcW w:w="1260" w:type="dxa"/>
                <w:vAlign w:val="center"/>
              </w:tcPr>
              <w:p w14:paraId="238F8CB2">
                <w:pPr>
                  <w:adjustRightInd w:val="0"/>
                  <w:snapToGrid w:val="0"/>
                  <w:jc w:val="center"/>
                  <w:rPr>
                    <w:rFonts w:ascii="Calibri" w:hAnsi="Calibri"/>
                    <w:sz w:val="20"/>
                    <w:szCs w:val="20"/>
                  </w:rPr>
                </w:pPr>
                <w:r>
                  <w:rPr>
                    <w:rFonts w:hint="eastAsia" w:ascii="Calibri" w:hAnsi="Calibri"/>
                    <w:sz w:val="20"/>
                    <w:szCs w:val="20"/>
                  </w:rPr>
                  <w:t>同行业同领域产品毛利率情况</w:t>
                </w:r>
              </w:p>
            </w:tc>
          </w:sdtContent>
        </w:sdt>
      </w:tr>
      <w:tr w14:paraId="719B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14" w:type="dxa"/>
            <w:vAlign w:val="center"/>
          </w:tcPr>
          <w:p w14:paraId="6485F821">
            <w:pPr>
              <w:adjustRightInd w:val="0"/>
              <w:snapToGrid w:val="0"/>
              <w:rPr>
                <w:rFonts w:ascii="Calibri" w:hAnsi="Calibri"/>
                <w:sz w:val="20"/>
                <w:szCs w:val="20"/>
              </w:rPr>
            </w:pPr>
            <w:r>
              <w:rPr>
                <w:rFonts w:ascii="Calibri" w:hAnsi="Calibri"/>
                <w:sz w:val="20"/>
                <w:szCs w:val="20"/>
              </w:rPr>
              <w:t>糖尿病</w:t>
            </w:r>
          </w:p>
        </w:tc>
        <w:tc>
          <w:tcPr>
            <w:tcW w:w="1433" w:type="dxa"/>
            <w:vAlign w:val="center"/>
          </w:tcPr>
          <w:p w14:paraId="2277F146">
            <w:pPr>
              <w:adjustRightInd w:val="0"/>
              <w:snapToGrid w:val="0"/>
              <w:jc w:val="right"/>
              <w:rPr>
                <w:rFonts w:ascii="Calibri" w:hAnsi="Calibri"/>
                <w:sz w:val="20"/>
                <w:szCs w:val="20"/>
              </w:rPr>
            </w:pPr>
            <w:r>
              <w:rPr>
                <w:rFonts w:ascii="Calibri" w:hAnsi="Calibri"/>
                <w:sz w:val="20"/>
                <w:szCs w:val="20"/>
              </w:rPr>
              <w:t>255,392.96</w:t>
            </w:r>
          </w:p>
        </w:tc>
        <w:tc>
          <w:tcPr>
            <w:tcW w:w="1276" w:type="dxa"/>
            <w:vAlign w:val="center"/>
          </w:tcPr>
          <w:p w14:paraId="6D1196CB">
            <w:pPr>
              <w:adjustRightInd w:val="0"/>
              <w:snapToGrid w:val="0"/>
              <w:jc w:val="right"/>
              <w:rPr>
                <w:rFonts w:ascii="Calibri" w:hAnsi="Calibri"/>
                <w:sz w:val="20"/>
                <w:szCs w:val="20"/>
              </w:rPr>
            </w:pPr>
            <w:r>
              <w:rPr>
                <w:rFonts w:ascii="Calibri" w:hAnsi="Calibri"/>
                <w:sz w:val="20"/>
                <w:szCs w:val="20"/>
              </w:rPr>
              <w:t>56,404.26</w:t>
            </w:r>
          </w:p>
        </w:tc>
        <w:tc>
          <w:tcPr>
            <w:tcW w:w="850" w:type="dxa"/>
            <w:vAlign w:val="center"/>
          </w:tcPr>
          <w:p w14:paraId="725DD717">
            <w:pPr>
              <w:adjustRightInd w:val="0"/>
              <w:snapToGrid w:val="0"/>
              <w:jc w:val="right"/>
              <w:rPr>
                <w:rFonts w:ascii="Calibri" w:hAnsi="Calibri"/>
                <w:sz w:val="20"/>
                <w:szCs w:val="20"/>
              </w:rPr>
            </w:pPr>
            <w:r>
              <w:rPr>
                <w:rFonts w:ascii="Calibri" w:hAnsi="Calibri"/>
                <w:sz w:val="20"/>
                <w:szCs w:val="20"/>
              </w:rPr>
              <w:t>77.91</w:t>
            </w:r>
          </w:p>
        </w:tc>
        <w:tc>
          <w:tcPr>
            <w:tcW w:w="1134" w:type="dxa"/>
            <w:vAlign w:val="center"/>
          </w:tcPr>
          <w:p w14:paraId="772CA35B">
            <w:pPr>
              <w:adjustRightInd w:val="0"/>
              <w:snapToGrid w:val="0"/>
              <w:jc w:val="right"/>
              <w:rPr>
                <w:rFonts w:ascii="Calibri" w:hAnsi="Calibri"/>
                <w:sz w:val="20"/>
                <w:szCs w:val="20"/>
              </w:rPr>
            </w:pPr>
            <w:r>
              <w:rPr>
                <w:rFonts w:ascii="Calibri" w:hAnsi="Calibri"/>
                <w:sz w:val="20"/>
                <w:szCs w:val="20"/>
              </w:rPr>
              <w:t>50.55</w:t>
            </w:r>
          </w:p>
        </w:tc>
        <w:tc>
          <w:tcPr>
            <w:tcW w:w="1158" w:type="dxa"/>
            <w:vAlign w:val="center"/>
          </w:tcPr>
          <w:p w14:paraId="6A7CEC58">
            <w:pPr>
              <w:adjustRightInd w:val="0"/>
              <w:snapToGrid w:val="0"/>
              <w:jc w:val="right"/>
              <w:rPr>
                <w:rFonts w:ascii="Calibri" w:hAnsi="Calibri"/>
                <w:sz w:val="20"/>
                <w:szCs w:val="20"/>
              </w:rPr>
            </w:pPr>
            <w:r>
              <w:rPr>
                <w:rFonts w:ascii="Calibri" w:hAnsi="Calibri"/>
                <w:sz w:val="20"/>
                <w:szCs w:val="20"/>
              </w:rPr>
              <w:t>59.29</w:t>
            </w:r>
          </w:p>
        </w:tc>
        <w:tc>
          <w:tcPr>
            <w:tcW w:w="1394" w:type="dxa"/>
            <w:vAlign w:val="center"/>
          </w:tcPr>
          <w:p w14:paraId="22C1C5E7">
            <w:pPr>
              <w:adjustRightInd w:val="0"/>
              <w:snapToGrid w:val="0"/>
              <w:jc w:val="right"/>
              <w:rPr>
                <w:rFonts w:ascii="Calibri" w:hAnsi="Calibri"/>
                <w:sz w:val="20"/>
                <w:szCs w:val="20"/>
              </w:rPr>
            </w:pPr>
            <w:r>
              <w:rPr>
                <w:rFonts w:hint="eastAsia" w:ascii="Calibri" w:hAnsi="Calibri"/>
                <w:color w:val="000000"/>
              </w:rPr>
              <w:t>减少1.21个百分点</w:t>
            </w:r>
          </w:p>
        </w:tc>
        <w:tc>
          <w:tcPr>
            <w:tcW w:w="1260" w:type="dxa"/>
            <w:vAlign w:val="center"/>
          </w:tcPr>
          <w:p w14:paraId="166ABCE9">
            <w:pPr>
              <w:adjustRightInd w:val="0"/>
              <w:snapToGrid w:val="0"/>
              <w:jc w:val="right"/>
              <w:rPr>
                <w:rFonts w:ascii="Calibri" w:hAnsi="Calibri"/>
                <w:sz w:val="20"/>
                <w:szCs w:val="20"/>
              </w:rPr>
            </w:pPr>
            <w:r>
              <w:rPr>
                <w:rFonts w:ascii="Calibri" w:hAnsi="Calibri"/>
                <w:sz w:val="20"/>
                <w:szCs w:val="20"/>
              </w:rPr>
              <w:t>74.83%</w:t>
            </w:r>
          </w:p>
        </w:tc>
      </w:tr>
      <w:tr w14:paraId="72CB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14" w:type="dxa"/>
            <w:vAlign w:val="center"/>
          </w:tcPr>
          <w:p w14:paraId="785B7FDC">
            <w:pPr>
              <w:adjustRightInd w:val="0"/>
              <w:snapToGrid w:val="0"/>
              <w:rPr>
                <w:rFonts w:ascii="Calibri" w:hAnsi="Calibri"/>
                <w:sz w:val="20"/>
                <w:szCs w:val="20"/>
              </w:rPr>
            </w:pPr>
            <w:r>
              <w:rPr>
                <w:rFonts w:ascii="Calibri" w:hAnsi="Calibri"/>
                <w:sz w:val="20"/>
                <w:szCs w:val="20"/>
              </w:rPr>
              <w:t>心脑血管</w:t>
            </w:r>
          </w:p>
        </w:tc>
        <w:tc>
          <w:tcPr>
            <w:tcW w:w="1433" w:type="dxa"/>
            <w:vAlign w:val="center"/>
          </w:tcPr>
          <w:p w14:paraId="6D0AD8B1">
            <w:pPr>
              <w:adjustRightInd w:val="0"/>
              <w:snapToGrid w:val="0"/>
              <w:jc w:val="right"/>
              <w:rPr>
                <w:rFonts w:ascii="Calibri" w:hAnsi="Calibri"/>
                <w:sz w:val="20"/>
                <w:szCs w:val="20"/>
              </w:rPr>
            </w:pPr>
            <w:r>
              <w:rPr>
                <w:rFonts w:ascii="Calibri" w:hAnsi="Calibri"/>
                <w:sz w:val="20"/>
                <w:szCs w:val="20"/>
              </w:rPr>
              <w:t>2,857.69</w:t>
            </w:r>
          </w:p>
        </w:tc>
        <w:tc>
          <w:tcPr>
            <w:tcW w:w="1276" w:type="dxa"/>
            <w:vAlign w:val="center"/>
          </w:tcPr>
          <w:p w14:paraId="0B048651">
            <w:pPr>
              <w:adjustRightInd w:val="0"/>
              <w:snapToGrid w:val="0"/>
              <w:jc w:val="right"/>
              <w:rPr>
                <w:rFonts w:ascii="Calibri" w:hAnsi="Calibri"/>
                <w:sz w:val="20"/>
                <w:szCs w:val="20"/>
              </w:rPr>
            </w:pPr>
            <w:r>
              <w:rPr>
                <w:rFonts w:ascii="Calibri" w:hAnsi="Calibri"/>
                <w:sz w:val="20"/>
                <w:szCs w:val="20"/>
              </w:rPr>
              <w:t>1,480.09</w:t>
            </w:r>
          </w:p>
        </w:tc>
        <w:tc>
          <w:tcPr>
            <w:tcW w:w="850" w:type="dxa"/>
            <w:vAlign w:val="center"/>
          </w:tcPr>
          <w:p w14:paraId="37E0FF4B">
            <w:pPr>
              <w:adjustRightInd w:val="0"/>
              <w:snapToGrid w:val="0"/>
              <w:jc w:val="right"/>
              <w:rPr>
                <w:rFonts w:ascii="Calibri" w:hAnsi="Calibri"/>
                <w:sz w:val="20"/>
                <w:szCs w:val="20"/>
              </w:rPr>
            </w:pPr>
            <w:r>
              <w:rPr>
                <w:rFonts w:ascii="Calibri" w:hAnsi="Calibri"/>
                <w:sz w:val="20"/>
                <w:szCs w:val="20"/>
              </w:rPr>
              <w:t>48.21</w:t>
            </w:r>
          </w:p>
        </w:tc>
        <w:tc>
          <w:tcPr>
            <w:tcW w:w="1134" w:type="dxa"/>
            <w:vAlign w:val="center"/>
          </w:tcPr>
          <w:p w14:paraId="0C59341A">
            <w:pPr>
              <w:adjustRightInd w:val="0"/>
              <w:snapToGrid w:val="0"/>
              <w:jc w:val="right"/>
              <w:rPr>
                <w:rFonts w:ascii="Calibri" w:hAnsi="Calibri"/>
                <w:sz w:val="20"/>
                <w:szCs w:val="20"/>
              </w:rPr>
            </w:pPr>
            <w:r>
              <w:rPr>
                <w:rFonts w:ascii="Calibri" w:hAnsi="Calibri"/>
                <w:sz w:val="20"/>
                <w:szCs w:val="20"/>
              </w:rPr>
              <w:t>68.67</w:t>
            </w:r>
          </w:p>
        </w:tc>
        <w:tc>
          <w:tcPr>
            <w:tcW w:w="1158" w:type="dxa"/>
            <w:vAlign w:val="center"/>
          </w:tcPr>
          <w:p w14:paraId="513FAC88">
            <w:pPr>
              <w:adjustRightInd w:val="0"/>
              <w:snapToGrid w:val="0"/>
              <w:jc w:val="right"/>
              <w:rPr>
                <w:rFonts w:ascii="Calibri" w:hAnsi="Calibri"/>
                <w:sz w:val="20"/>
                <w:szCs w:val="20"/>
              </w:rPr>
            </w:pPr>
            <w:r>
              <w:rPr>
                <w:rFonts w:ascii="Calibri" w:hAnsi="Calibri"/>
                <w:sz w:val="20"/>
                <w:szCs w:val="20"/>
              </w:rPr>
              <w:t>31.82</w:t>
            </w:r>
          </w:p>
        </w:tc>
        <w:tc>
          <w:tcPr>
            <w:tcW w:w="1394" w:type="dxa"/>
            <w:vAlign w:val="center"/>
          </w:tcPr>
          <w:p w14:paraId="0FAEA6C5">
            <w:pPr>
              <w:adjustRightInd w:val="0"/>
              <w:snapToGrid w:val="0"/>
              <w:jc w:val="right"/>
              <w:rPr>
                <w:rFonts w:ascii="Calibri" w:hAnsi="Calibri"/>
                <w:sz w:val="20"/>
                <w:szCs w:val="20"/>
              </w:rPr>
            </w:pPr>
            <w:r>
              <w:rPr>
                <w:rFonts w:hint="eastAsia" w:ascii="Calibri" w:hAnsi="Calibri"/>
                <w:color w:val="000000"/>
              </w:rPr>
              <w:t>增加</w:t>
            </w:r>
            <w:r>
              <w:rPr>
                <w:rFonts w:ascii="Calibri" w:hAnsi="Calibri"/>
                <w:color w:val="000000"/>
              </w:rPr>
              <w:t>14.48</w:t>
            </w:r>
            <w:r>
              <w:rPr>
                <w:rFonts w:hint="eastAsia" w:ascii="Calibri" w:hAnsi="Calibri"/>
                <w:color w:val="000000"/>
              </w:rPr>
              <w:t>个百分点</w:t>
            </w:r>
          </w:p>
        </w:tc>
        <w:tc>
          <w:tcPr>
            <w:tcW w:w="1260" w:type="dxa"/>
            <w:vAlign w:val="center"/>
          </w:tcPr>
          <w:p w14:paraId="56A89ED1">
            <w:pPr>
              <w:adjustRightInd w:val="0"/>
              <w:snapToGrid w:val="0"/>
              <w:jc w:val="right"/>
              <w:rPr>
                <w:rFonts w:ascii="Calibri" w:hAnsi="Calibri"/>
                <w:sz w:val="20"/>
                <w:szCs w:val="20"/>
              </w:rPr>
            </w:pPr>
            <w:r>
              <w:rPr>
                <w:rFonts w:ascii="Calibri" w:hAnsi="Calibri"/>
                <w:sz w:val="20"/>
                <w:szCs w:val="20"/>
              </w:rPr>
              <w:t>70.26%</w:t>
            </w:r>
          </w:p>
        </w:tc>
      </w:tr>
    </w:tbl>
    <w:p w14:paraId="7F688998">
      <w:pPr>
        <w:pStyle w:val="48"/>
      </w:pPr>
    </w:p>
    <w:p w14:paraId="41A35660">
      <w:pPr>
        <w:pStyle w:val="48"/>
      </w:pPr>
      <w:r>
        <w:rPr>
          <w:rFonts w:hint="eastAsia"/>
        </w:rPr>
        <w:t>情况说明</w:t>
      </w:r>
    </w:p>
    <w:sdt>
      <w:sdtPr>
        <w:rPr>
          <w:rFonts w:hint="eastAsia"/>
        </w:rPr>
        <w:alias w:val="是否适用：按治疗领域划分的公司主营业务基本情况说明[双击切换]"/>
        <w:tag w:val="_GBC_de4b194a86804141804df438e75c9f78"/>
        <w:id w:val="-979385230"/>
        <w:placeholder>
          <w:docPart w:val="GBC22222222222222222222222222222"/>
        </w:placeholder>
      </w:sdtPr>
      <w:sdtEndPr>
        <w:rPr>
          <w:rFonts w:hint="default"/>
        </w:rPr>
      </w:sdtEndPr>
      <w:sdtContent>
        <w:p w14:paraId="10D7FD6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按治疗领域划分的公司主营业务基本情况说明"/>
        <w:tag w:val="_GBC_c809bf0b68c2446d9aa149fc9f9f9658"/>
        <w:id w:val="1545178206"/>
        <w:placeholder>
          <w:docPart w:val="GBC22222222222222222222222222222"/>
        </w:placeholder>
      </w:sdtPr>
      <w:sdtEndPr>
        <w:rPr>
          <w:rFonts w:hint="eastAsia"/>
        </w:rPr>
      </w:sdtEndPr>
      <w:sdtContent>
        <w:sdt>
          <w:sdtPr>
            <w:rPr>
              <w:rFonts w:hint="eastAsia" w:cs="宋体"/>
              <w:szCs w:val="24"/>
            </w:rPr>
            <w:alias w:val="按治疗领域划分的公司主营业务基本情况说明"/>
            <w:tag w:val="_GBC_c809bf0b68c2446d9aa149fc9f9f9658"/>
            <w:id w:val="-1341765473"/>
          </w:sdtPr>
          <w:sdtEndPr>
            <w:rPr>
              <w:rFonts w:hint="eastAsia" w:cs="Times New Roman"/>
              <w:szCs w:val="22"/>
            </w:rPr>
          </w:sdtEndPr>
          <w:sdtContent>
            <w:p w14:paraId="0BA6B642">
              <w:pPr>
                <w:pStyle w:val="30"/>
                <w:numPr>
                  <w:ilvl w:val="0"/>
                  <w:numId w:val="15"/>
                </w:numPr>
                <w:spacing w:line="360" w:lineRule="auto"/>
                <w:ind w:left="0" w:firstLine="420"/>
              </w:pPr>
              <w:r>
                <w:rPr>
                  <w:rFonts w:hint="eastAsia"/>
                </w:rPr>
                <w:t>糖尿病用药的同行业同领域产品毛利率数据来源于甘李药业股份有限公司</w:t>
              </w:r>
              <w:r>
                <w:rPr>
                  <w:rFonts w:ascii="Times New Roman" w:hAnsi="Times New Roman"/>
                </w:rPr>
                <w:t>2024</w:t>
              </w:r>
              <w:r>
                <w:rPr>
                  <w:rFonts w:hint="eastAsia"/>
                </w:rPr>
                <w:t>年年度报告中“糖尿病”类产品的毛利率。</w:t>
              </w:r>
            </w:p>
            <w:p w14:paraId="6904D0A7">
              <w:pPr>
                <w:pStyle w:val="30"/>
                <w:numPr>
                  <w:ilvl w:val="0"/>
                  <w:numId w:val="15"/>
                </w:numPr>
                <w:spacing w:line="360" w:lineRule="auto"/>
                <w:ind w:left="0" w:firstLine="420"/>
              </w:pPr>
              <w:r>
                <w:rPr>
                  <w:rFonts w:hint="eastAsia"/>
                </w:rPr>
                <w:t>心脑血管用药的同行业同领域产品毛利率数据来源于哈药集团股份有限公司202</w:t>
              </w:r>
              <w:r>
                <w:t>4</w:t>
              </w:r>
              <w:r>
                <w:rPr>
                  <w:rFonts w:hint="eastAsia"/>
                </w:rPr>
                <w:t>年年度报告中“心脑血管”类产品的毛利率。</w:t>
              </w:r>
            </w:p>
          </w:sdtContent>
        </w:sdt>
      </w:sdtContent>
    </w:sdt>
    <w:p w14:paraId="50C7CF96">
      <w:pPr>
        <w:adjustRightInd w:val="0"/>
        <w:snapToGrid w:val="0"/>
      </w:pPr>
    </w:p>
    <w:p w14:paraId="549A5696">
      <w:pPr>
        <w:pStyle w:val="6"/>
        <w:numPr>
          <w:ilvl w:val="0"/>
          <w:numId w:val="13"/>
        </w:numPr>
        <w:ind w:leftChars="0"/>
      </w:pPr>
      <w:r>
        <w:rPr>
          <w:rFonts w:hint="eastAsia"/>
        </w:rPr>
        <w:t>公司药（产）品研发情况</w:t>
      </w:r>
    </w:p>
    <w:p w14:paraId="2B8BCF40">
      <w:pPr>
        <w:pStyle w:val="7"/>
        <w:numPr>
          <w:ilvl w:val="0"/>
          <w:numId w:val="16"/>
        </w:numPr>
      </w:pPr>
      <w:r>
        <w:rPr>
          <w:rFonts w:hint="eastAsia"/>
        </w:rPr>
        <w:t>研发总体情况</w:t>
      </w:r>
    </w:p>
    <w:sdt>
      <w:sdtPr>
        <w:rPr>
          <w:rFonts w:hint="eastAsia"/>
        </w:rPr>
        <w:alias w:val="是否适用：公司药（产）品研发总体情况[双击切换]"/>
        <w:tag w:val="_GBC_5fe5314077c743c7bbf7022e5795b554"/>
        <w:id w:val="1525743264"/>
        <w:placeholder>
          <w:docPart w:val="GBC22222222222222222222222222222"/>
        </w:placeholder>
      </w:sdtPr>
      <w:sdtEndPr>
        <w:rPr>
          <w:rFonts w:hint="eastAsia"/>
        </w:rPr>
      </w:sdtEndPr>
      <w:sdtContent>
        <w:p w14:paraId="22BDED78">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公司药（产）品研发总体情况说明"/>
        <w:tag w:val="_GBC_8dfa3f03e6e64661b4f8e4efd2b280f7"/>
        <w:id w:val="-2045040101"/>
        <w:placeholder>
          <w:docPart w:val="GBC22222222222222222222222222222"/>
        </w:placeholder>
      </w:sdtPr>
      <w:sdtEndPr>
        <w:rPr>
          <w:rFonts w:hint="eastAsia"/>
        </w:rPr>
      </w:sdtEndPr>
      <w:sdtContent>
        <w:sdt>
          <w:sdtPr>
            <w:rPr>
              <w:rFonts w:ascii="Calibri" w:hAnsi="Calibri"/>
              <w:kern w:val="2"/>
            </w:rPr>
            <w:alias w:val="公司药（产）品研发总体情况说明"/>
            <w:tag w:val="_GBC_8dfa3f03e6e64661b4f8e4efd2b280f7"/>
            <w:id w:val="-1474443167"/>
          </w:sdtPr>
          <w:sdtEndPr>
            <w:rPr>
              <w:rFonts w:hint="eastAsia" w:ascii="Calibri" w:hAnsi="Calibri"/>
              <w:kern w:val="2"/>
              <w:highlight w:val="yellow"/>
            </w:rPr>
          </w:sdtEndPr>
          <w:sdtContent>
            <w:p w14:paraId="56357B58">
              <w:pPr>
                <w:spacing w:line="360" w:lineRule="auto"/>
                <w:ind w:firstLine="420" w:firstLineChars="200"/>
                <w:jc w:val="both"/>
                <w:rPr>
                  <w:rFonts w:ascii="Calibri" w:hAnsi="Calibri"/>
                  <w:kern w:val="2"/>
                </w:rPr>
              </w:pPr>
              <w:r>
                <w:rPr>
                  <w:rFonts w:hint="eastAsia" w:ascii="Calibri" w:hAnsi="Calibri"/>
                  <w:kern w:val="2"/>
                </w:rPr>
                <w:t>研发创新是公司发展的核心驱动力。在GLP-1、DPP-4、SGLT-2等降糖药物市场持续增长的背景下，公司均已布局相应产品并获得上市批准。同时，公司坚定不移地深化创新转型，基于广大未满足的临床需求，积极布局多款一类创新药。GLP-1类药物作为当前市场潜力巨大的降糖与减重产品，公司通过“自主研发+对外合作”的双轮驱动模式，构建起了包括利拉鲁肽、德谷胰岛素利拉鲁肽注射液、司美格鲁肽、口服小分子GLP-1、GLP-1/GIP双靶点受体激动剂在内的多层次、多样化的GLP-1产品梯队。截至目前，公司利拉鲁肽产品已上市销售，德谷胰岛素利拉鲁肽注射液与司美格鲁肽均已处于III期临床阶段。公司在研的两款GLP-1创新药物中，GLP-1/GIP双靶点受体激动剂（注射用THDBH120）取得重要进展，在2025年2月完成了降糖与减重适应症Ib期临床试验，并达到主要终点目标，显示出良好的安全性和耐受性，且显著降低受试者的糖化血红蛋白（HbA1c）水平与体重，目前减重适应症II期临床试验已完成全部病例入组，目前处于病例访视阶段，显示出良好的安全、耐受性和积极的疗效趋势，未来公司将进一步探索和挖掘产品在其他适应症的潜力。</w:t>
              </w:r>
            </w:p>
            <w:p w14:paraId="3CA3EE33">
              <w:pPr>
                <w:spacing w:line="360" w:lineRule="auto"/>
                <w:ind w:firstLine="420" w:firstLineChars="200"/>
                <w:jc w:val="both"/>
                <w:rPr>
                  <w:rFonts w:ascii="Calibri" w:hAnsi="Calibri"/>
                  <w:kern w:val="2"/>
                </w:rPr>
              </w:pPr>
              <w:r>
                <w:rPr>
                  <w:rFonts w:hint="eastAsia" w:ascii="Calibri" w:hAnsi="Calibri"/>
                  <w:kern w:val="2"/>
                </w:rPr>
                <w:t>除糖尿病外，公司积极开拓发展边界，延伸至痛风/高尿酸血症治疗领域，目前在研的XO/URAT1痛风双靶点抑制剂（THDBH151片）已进行至II期临床阶段，在2025年4月完成了IIa期临床试验并达到主要终点目标，为公司未来发展注入新的增长动力。</w:t>
              </w:r>
            </w:p>
            <w:p w14:paraId="6C5BFDED">
              <w:pPr>
                <w:spacing w:line="360" w:lineRule="auto"/>
                <w:ind w:firstLine="420" w:firstLineChars="200"/>
                <w:jc w:val="both"/>
                <w:rPr>
                  <w:rFonts w:ascii="Calibri" w:hAnsi="Calibri"/>
                  <w:kern w:val="2"/>
                  <w:highlight w:val="yellow"/>
                </w:rPr>
              </w:pPr>
              <w:r>
                <w:rPr>
                  <w:rFonts w:hint="eastAsia" w:ascii="Calibri" w:hAnsi="Calibri"/>
                  <w:kern w:val="2"/>
                </w:rPr>
                <w:t>公司将继续深耕糖尿病等内分泌代谢疾病领域，在保持国内市场优势的基础上，坚持开拓海外市场，加快药品的国际注册和上市步伐，提升公司全球竞争力；同时坚定不移创新转型，持续提升研发实力，在激烈的市场竞争中保持领先地位，为广大患者提供更安全、更有效、更可及的治疗方案。</w:t>
              </w:r>
            </w:p>
          </w:sdtContent>
        </w:sdt>
      </w:sdtContent>
    </w:sdt>
    <w:p w14:paraId="182881F9">
      <w:pPr>
        <w:adjustRightInd w:val="0"/>
        <w:snapToGrid w:val="0"/>
        <w:rPr>
          <w:color w:val="7030A0"/>
        </w:rPr>
      </w:pPr>
    </w:p>
    <w:p w14:paraId="03749AA4">
      <w:pPr>
        <w:pStyle w:val="7"/>
        <w:numPr>
          <w:ilvl w:val="0"/>
          <w:numId w:val="16"/>
        </w:numPr>
      </w:pPr>
      <w:r>
        <w:rPr>
          <w:rFonts w:hint="eastAsia"/>
        </w:rPr>
        <w:t>主要研发项目基本情况</w:t>
      </w:r>
    </w:p>
    <w:sdt>
      <w:sdtPr>
        <w:alias w:val="是否适用：报告期内主要研发项目具体情况[双击切换]"/>
        <w:tag w:val="_GBC_279f118f657141748dc8ac289a89e7d8"/>
        <w:id w:val="-1812632551"/>
        <w:placeholder>
          <w:docPart w:val="GBC22222222222222222222222222222"/>
        </w:placeholder>
      </w:sdtPr>
      <w:sdtContent>
        <w:p w14:paraId="65AA954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57"/>
        <w:tblW w:w="100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0"/>
        <w:gridCol w:w="1850"/>
        <w:gridCol w:w="742"/>
        <w:gridCol w:w="1686"/>
        <w:gridCol w:w="858"/>
        <w:gridCol w:w="1326"/>
        <w:gridCol w:w="1483"/>
      </w:tblGrid>
      <w:tr w14:paraId="6061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sdt>
          <w:sdtPr>
            <w:tag w:val="_PLD_9b978258e5324d00b621b0a0c93a1eeb"/>
            <w:id w:val="1473558925"/>
          </w:sdtPr>
          <w:sdtContent>
            <w:tc>
              <w:tcPr>
                <w:tcW w:w="2120" w:type="dxa"/>
                <w:vAlign w:val="center"/>
              </w:tcPr>
              <w:p w14:paraId="50A4CCB2">
                <w:pPr>
                  <w:jc w:val="center"/>
                  <w:rPr>
                    <w:rFonts w:ascii="Calibri" w:hAnsi="Calibri"/>
                    <w:sz w:val="20"/>
                    <w:szCs w:val="20"/>
                  </w:rPr>
                </w:pPr>
                <w:r>
                  <w:rPr>
                    <w:rFonts w:hint="eastAsia" w:ascii="Calibri" w:hAnsi="Calibri"/>
                    <w:sz w:val="20"/>
                    <w:szCs w:val="20"/>
                  </w:rPr>
                  <w:t>研发项目（含一致性评价项目）</w:t>
                </w:r>
              </w:p>
            </w:tc>
          </w:sdtContent>
        </w:sdt>
        <w:sdt>
          <w:sdtPr>
            <w:tag w:val="_PLD_d102906decb94157a8e4098e482f6341"/>
            <w:id w:val="-1226456002"/>
          </w:sdtPr>
          <w:sdtContent>
            <w:tc>
              <w:tcPr>
                <w:tcW w:w="1850" w:type="dxa"/>
                <w:vAlign w:val="center"/>
              </w:tcPr>
              <w:p w14:paraId="54399374">
                <w:pPr>
                  <w:jc w:val="center"/>
                  <w:rPr>
                    <w:rFonts w:ascii="Calibri" w:hAnsi="Calibri"/>
                    <w:sz w:val="20"/>
                    <w:szCs w:val="20"/>
                  </w:rPr>
                </w:pPr>
                <w:r>
                  <w:rPr>
                    <w:rFonts w:hint="eastAsia" w:ascii="Calibri" w:hAnsi="Calibri"/>
                    <w:sz w:val="20"/>
                    <w:szCs w:val="20"/>
                  </w:rPr>
                  <w:t>药（产）品名称</w:t>
                </w:r>
              </w:p>
            </w:tc>
          </w:sdtContent>
        </w:sdt>
        <w:sdt>
          <w:sdtPr>
            <w:tag w:val="_PLD_21bee7299bcb4e1c917d96dde3ce916f"/>
            <w:id w:val="-501196345"/>
          </w:sdtPr>
          <w:sdtContent>
            <w:tc>
              <w:tcPr>
                <w:tcW w:w="742" w:type="dxa"/>
                <w:vAlign w:val="center"/>
              </w:tcPr>
              <w:p w14:paraId="4B7DE14C">
                <w:pPr>
                  <w:jc w:val="center"/>
                  <w:rPr>
                    <w:rFonts w:ascii="Calibri" w:hAnsi="Calibri"/>
                    <w:sz w:val="20"/>
                    <w:szCs w:val="20"/>
                  </w:rPr>
                </w:pPr>
                <w:r>
                  <w:rPr>
                    <w:rFonts w:hint="eastAsia" w:ascii="Calibri" w:hAnsi="Calibri"/>
                    <w:sz w:val="20"/>
                    <w:szCs w:val="20"/>
                  </w:rPr>
                  <w:t>注册分类</w:t>
                </w:r>
              </w:p>
            </w:tc>
          </w:sdtContent>
        </w:sdt>
        <w:sdt>
          <w:sdtPr>
            <w:tag w:val="_PLD_46eccf501b59414181f4c7435e0f9837"/>
            <w:id w:val="2075625549"/>
          </w:sdtPr>
          <w:sdtContent>
            <w:tc>
              <w:tcPr>
                <w:tcW w:w="1686" w:type="dxa"/>
                <w:vAlign w:val="center"/>
              </w:tcPr>
              <w:p w14:paraId="19B6045C">
                <w:pPr>
                  <w:jc w:val="center"/>
                  <w:rPr>
                    <w:rFonts w:ascii="Calibri" w:hAnsi="Calibri"/>
                    <w:sz w:val="20"/>
                    <w:szCs w:val="20"/>
                  </w:rPr>
                </w:pPr>
                <w:r>
                  <w:rPr>
                    <w:rFonts w:hint="eastAsia" w:ascii="Calibri" w:hAnsi="Calibri"/>
                    <w:sz w:val="20"/>
                    <w:szCs w:val="20"/>
                  </w:rPr>
                  <w:t>适应症或功能主治</w:t>
                </w:r>
              </w:p>
            </w:tc>
          </w:sdtContent>
        </w:sdt>
        <w:sdt>
          <w:sdtPr>
            <w:tag w:val="_PLD_ddd014d0dfde40d6b8e44158a1246010"/>
            <w:id w:val="1050887389"/>
          </w:sdtPr>
          <w:sdtContent>
            <w:tc>
              <w:tcPr>
                <w:tcW w:w="858" w:type="dxa"/>
                <w:vAlign w:val="center"/>
              </w:tcPr>
              <w:p w14:paraId="3FADD6AE">
                <w:pPr>
                  <w:jc w:val="center"/>
                  <w:rPr>
                    <w:rFonts w:ascii="Calibri" w:hAnsi="Calibri"/>
                    <w:sz w:val="20"/>
                    <w:szCs w:val="20"/>
                  </w:rPr>
                </w:pPr>
                <w:r>
                  <w:rPr>
                    <w:rFonts w:hint="eastAsia" w:ascii="Calibri" w:hAnsi="Calibri"/>
                    <w:sz w:val="20"/>
                    <w:szCs w:val="20"/>
                  </w:rPr>
                  <w:t>是否处方药</w:t>
                </w:r>
              </w:p>
            </w:tc>
          </w:sdtContent>
        </w:sdt>
        <w:sdt>
          <w:sdtPr>
            <w:tag w:val="_PLD_4207c5790ee54716b172ebbde5caada2"/>
            <w:id w:val="872726227"/>
          </w:sdtPr>
          <w:sdtContent>
            <w:tc>
              <w:tcPr>
                <w:tcW w:w="1326" w:type="dxa"/>
                <w:vAlign w:val="center"/>
              </w:tcPr>
              <w:p w14:paraId="11AC116B">
                <w:pPr>
                  <w:jc w:val="center"/>
                  <w:rPr>
                    <w:rFonts w:ascii="Calibri" w:hAnsi="Calibri"/>
                    <w:sz w:val="20"/>
                    <w:szCs w:val="20"/>
                  </w:rPr>
                </w:pPr>
                <w:r>
                  <w:rPr>
                    <w:rFonts w:hint="eastAsia" w:ascii="Calibri" w:hAnsi="Calibri"/>
                    <w:sz w:val="20"/>
                    <w:szCs w:val="20"/>
                  </w:rPr>
                  <w:t>是否属于中药保护品种（如涉及）</w:t>
                </w:r>
              </w:p>
            </w:tc>
          </w:sdtContent>
        </w:sdt>
        <w:sdt>
          <w:sdtPr>
            <w:tag w:val="_PLD_dd75e1d4bf164ce98278311fdf0f5ad8"/>
            <w:id w:val="68238055"/>
          </w:sdtPr>
          <w:sdtContent>
            <w:tc>
              <w:tcPr>
                <w:tcW w:w="1483" w:type="dxa"/>
                <w:vAlign w:val="center"/>
              </w:tcPr>
              <w:p w14:paraId="4388C089">
                <w:pPr>
                  <w:jc w:val="center"/>
                  <w:rPr>
                    <w:rFonts w:ascii="Calibri" w:hAnsi="Calibri"/>
                    <w:sz w:val="20"/>
                    <w:szCs w:val="20"/>
                  </w:rPr>
                </w:pPr>
                <w:r>
                  <w:rPr>
                    <w:rFonts w:hint="eastAsia" w:ascii="Calibri" w:hAnsi="Calibri"/>
                    <w:sz w:val="20"/>
                    <w:szCs w:val="20"/>
                  </w:rPr>
                  <w:t>研发（注册）所处阶段</w:t>
                </w:r>
              </w:p>
            </w:tc>
          </w:sdtContent>
        </w:sdt>
      </w:tr>
      <w:tr w14:paraId="618A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120" w:type="dxa"/>
            <w:vAlign w:val="center"/>
          </w:tcPr>
          <w:p w14:paraId="665449D4">
            <w:pPr>
              <w:jc w:val="both"/>
              <w:rPr>
                <w:rFonts w:ascii="Calibri" w:hAnsi="Calibri"/>
                <w:sz w:val="20"/>
                <w:szCs w:val="20"/>
              </w:rPr>
            </w:pPr>
            <w:r>
              <w:rPr>
                <w:rFonts w:ascii="Calibri" w:hAnsi="Calibri"/>
                <w:sz w:val="20"/>
                <w:szCs w:val="20"/>
              </w:rPr>
              <w:t>赖脯胰岛素注射液（25R）(DB042)</w:t>
            </w:r>
          </w:p>
        </w:tc>
        <w:tc>
          <w:tcPr>
            <w:tcW w:w="1850" w:type="dxa"/>
            <w:vAlign w:val="center"/>
          </w:tcPr>
          <w:p w14:paraId="1D67D9DE">
            <w:pPr>
              <w:jc w:val="both"/>
              <w:rPr>
                <w:rFonts w:ascii="Calibri" w:hAnsi="Calibri"/>
                <w:sz w:val="20"/>
                <w:szCs w:val="20"/>
              </w:rPr>
            </w:pPr>
            <w:r>
              <w:rPr>
                <w:rFonts w:ascii="Calibri" w:hAnsi="Calibri"/>
                <w:sz w:val="20"/>
                <w:szCs w:val="20"/>
              </w:rPr>
              <w:t>精蛋白锌重组赖脯胰岛素混合注射液（25R）</w:t>
            </w:r>
          </w:p>
        </w:tc>
        <w:tc>
          <w:tcPr>
            <w:tcW w:w="742" w:type="dxa"/>
            <w:vAlign w:val="center"/>
          </w:tcPr>
          <w:p w14:paraId="524D2A37">
            <w:pPr>
              <w:jc w:val="center"/>
              <w:rPr>
                <w:rFonts w:ascii="Calibri" w:hAnsi="Calibri"/>
                <w:sz w:val="20"/>
                <w:szCs w:val="20"/>
              </w:rPr>
            </w:pPr>
            <w:r>
              <w:rPr>
                <w:rFonts w:ascii="Calibri" w:hAnsi="Calibri"/>
                <w:sz w:val="20"/>
                <w:szCs w:val="20"/>
              </w:rPr>
              <w:t>治疗用生物制品3.3类</w:t>
            </w:r>
          </w:p>
        </w:tc>
        <w:tc>
          <w:tcPr>
            <w:tcW w:w="1686" w:type="dxa"/>
            <w:vAlign w:val="center"/>
          </w:tcPr>
          <w:p w14:paraId="7776F943">
            <w:pPr>
              <w:jc w:val="center"/>
              <w:rPr>
                <w:rFonts w:ascii="Calibri" w:hAnsi="Calibri"/>
                <w:sz w:val="20"/>
                <w:szCs w:val="20"/>
              </w:rPr>
            </w:pPr>
            <w:r>
              <w:rPr>
                <w:rFonts w:ascii="Calibri" w:hAnsi="Calibri"/>
                <w:sz w:val="20"/>
                <w:szCs w:val="20"/>
              </w:rPr>
              <w:t>适应症：需要胰岛素治疗的糖尿病</w:t>
            </w:r>
          </w:p>
        </w:tc>
        <w:tc>
          <w:tcPr>
            <w:tcW w:w="858" w:type="dxa"/>
            <w:vAlign w:val="center"/>
          </w:tcPr>
          <w:p w14:paraId="6631C7D1">
            <w:pPr>
              <w:jc w:val="center"/>
              <w:rPr>
                <w:rFonts w:ascii="Calibri" w:hAnsi="Calibri"/>
                <w:sz w:val="20"/>
                <w:szCs w:val="20"/>
              </w:rPr>
            </w:pPr>
            <w:r>
              <w:rPr>
                <w:rFonts w:ascii="Calibri" w:hAnsi="Calibri"/>
                <w:sz w:val="20"/>
                <w:szCs w:val="20"/>
              </w:rPr>
              <w:t>是</w:t>
            </w:r>
          </w:p>
        </w:tc>
        <w:tc>
          <w:tcPr>
            <w:tcW w:w="1326" w:type="dxa"/>
            <w:vAlign w:val="center"/>
          </w:tcPr>
          <w:p w14:paraId="4077102B">
            <w:pPr>
              <w:jc w:val="center"/>
              <w:rPr>
                <w:rFonts w:ascii="Calibri" w:hAnsi="Calibri"/>
                <w:sz w:val="20"/>
                <w:szCs w:val="20"/>
              </w:rPr>
            </w:pPr>
            <w:r>
              <w:rPr>
                <w:rFonts w:ascii="Calibri" w:hAnsi="Calibri"/>
                <w:sz w:val="20"/>
                <w:szCs w:val="20"/>
              </w:rPr>
              <w:t>否</w:t>
            </w:r>
          </w:p>
        </w:tc>
        <w:tc>
          <w:tcPr>
            <w:tcW w:w="1483" w:type="dxa"/>
            <w:vAlign w:val="center"/>
          </w:tcPr>
          <w:p w14:paraId="3F337585">
            <w:pPr>
              <w:jc w:val="both"/>
              <w:rPr>
                <w:rFonts w:asciiTheme="minorEastAsia" w:hAnsiTheme="minorEastAsia" w:eastAsiaTheme="minorEastAsia"/>
                <w:sz w:val="20"/>
                <w:szCs w:val="20"/>
              </w:rPr>
            </w:pPr>
            <w:r>
              <w:rPr>
                <w:rFonts w:asciiTheme="minorEastAsia" w:hAnsiTheme="minorEastAsia" w:eastAsiaTheme="minorEastAsia"/>
                <w:sz w:val="20"/>
                <w:szCs w:val="20"/>
              </w:rPr>
              <w:t>III期临床试验阶段</w:t>
            </w:r>
          </w:p>
        </w:tc>
      </w:tr>
      <w:tr w14:paraId="1388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120" w:type="dxa"/>
            <w:vAlign w:val="center"/>
          </w:tcPr>
          <w:p w14:paraId="0E2AAE8C">
            <w:pPr>
              <w:jc w:val="both"/>
              <w:rPr>
                <w:rFonts w:ascii="Calibri" w:hAnsi="Calibri"/>
                <w:sz w:val="20"/>
                <w:szCs w:val="20"/>
              </w:rPr>
            </w:pPr>
            <w:r>
              <w:rPr>
                <w:rFonts w:ascii="Calibri" w:hAnsi="Calibri"/>
                <w:sz w:val="20"/>
                <w:szCs w:val="20"/>
              </w:rPr>
              <w:t>超速效型胰岛素类似物的研究与开发（BC Lispro）（THDB0206）</w:t>
            </w:r>
          </w:p>
        </w:tc>
        <w:tc>
          <w:tcPr>
            <w:tcW w:w="1850" w:type="dxa"/>
            <w:vAlign w:val="center"/>
          </w:tcPr>
          <w:p w14:paraId="2852707F">
            <w:pPr>
              <w:jc w:val="both"/>
              <w:rPr>
                <w:rFonts w:ascii="Calibri" w:hAnsi="Calibri"/>
                <w:sz w:val="20"/>
                <w:szCs w:val="20"/>
              </w:rPr>
            </w:pPr>
            <w:r>
              <w:rPr>
                <w:rFonts w:ascii="Calibri" w:hAnsi="Calibri"/>
                <w:sz w:val="20"/>
                <w:szCs w:val="20"/>
              </w:rPr>
              <w:t>超速效赖脯胰岛素注射液</w:t>
            </w:r>
          </w:p>
        </w:tc>
        <w:tc>
          <w:tcPr>
            <w:tcW w:w="742" w:type="dxa"/>
            <w:vAlign w:val="center"/>
          </w:tcPr>
          <w:p w14:paraId="74AC6EE4">
            <w:pPr>
              <w:jc w:val="center"/>
              <w:rPr>
                <w:rFonts w:ascii="Calibri" w:hAnsi="Calibri"/>
                <w:sz w:val="20"/>
                <w:szCs w:val="20"/>
              </w:rPr>
            </w:pPr>
            <w:r>
              <w:rPr>
                <w:rFonts w:ascii="Calibri" w:hAnsi="Calibri"/>
                <w:sz w:val="20"/>
                <w:szCs w:val="20"/>
              </w:rPr>
              <w:t>治疗用生物制品2.1类</w:t>
            </w:r>
          </w:p>
        </w:tc>
        <w:tc>
          <w:tcPr>
            <w:tcW w:w="1686" w:type="dxa"/>
            <w:vAlign w:val="center"/>
          </w:tcPr>
          <w:p w14:paraId="0CBE2C09">
            <w:pPr>
              <w:jc w:val="center"/>
              <w:rPr>
                <w:rFonts w:ascii="Calibri" w:hAnsi="Calibri"/>
                <w:sz w:val="20"/>
                <w:szCs w:val="20"/>
              </w:rPr>
            </w:pPr>
            <w:r>
              <w:rPr>
                <w:rFonts w:ascii="Calibri" w:hAnsi="Calibri"/>
                <w:sz w:val="20"/>
                <w:szCs w:val="20"/>
              </w:rPr>
              <w:t>成人1型、2型糖尿病</w:t>
            </w:r>
          </w:p>
        </w:tc>
        <w:tc>
          <w:tcPr>
            <w:tcW w:w="858" w:type="dxa"/>
            <w:vAlign w:val="center"/>
          </w:tcPr>
          <w:p w14:paraId="2188D903">
            <w:pPr>
              <w:jc w:val="center"/>
              <w:rPr>
                <w:rFonts w:ascii="Calibri" w:hAnsi="Calibri"/>
                <w:sz w:val="20"/>
                <w:szCs w:val="20"/>
              </w:rPr>
            </w:pPr>
            <w:r>
              <w:rPr>
                <w:rFonts w:ascii="Calibri" w:hAnsi="Calibri"/>
                <w:sz w:val="20"/>
                <w:szCs w:val="20"/>
              </w:rPr>
              <w:t>是</w:t>
            </w:r>
          </w:p>
        </w:tc>
        <w:tc>
          <w:tcPr>
            <w:tcW w:w="1326" w:type="dxa"/>
            <w:vAlign w:val="center"/>
          </w:tcPr>
          <w:p w14:paraId="12041EEE">
            <w:pPr>
              <w:jc w:val="center"/>
              <w:rPr>
                <w:rFonts w:ascii="Calibri" w:hAnsi="Calibri"/>
                <w:sz w:val="20"/>
                <w:szCs w:val="20"/>
              </w:rPr>
            </w:pPr>
            <w:r>
              <w:rPr>
                <w:rFonts w:ascii="Calibri" w:hAnsi="Calibri"/>
                <w:sz w:val="20"/>
                <w:szCs w:val="20"/>
              </w:rPr>
              <w:t>否</w:t>
            </w:r>
          </w:p>
        </w:tc>
        <w:tc>
          <w:tcPr>
            <w:tcW w:w="1483" w:type="dxa"/>
            <w:vAlign w:val="center"/>
          </w:tcPr>
          <w:p w14:paraId="6CAF1C73">
            <w:pPr>
              <w:jc w:val="both"/>
              <w:rPr>
                <w:rFonts w:asciiTheme="minorEastAsia" w:hAnsiTheme="minorEastAsia" w:eastAsiaTheme="minorEastAsia"/>
                <w:sz w:val="20"/>
                <w:szCs w:val="20"/>
              </w:rPr>
            </w:pPr>
            <w:r>
              <w:rPr>
                <w:rFonts w:asciiTheme="minorEastAsia" w:hAnsiTheme="minorEastAsia" w:eastAsiaTheme="minorEastAsia"/>
                <w:sz w:val="20"/>
                <w:szCs w:val="20"/>
              </w:rPr>
              <w:t>III期临床试验阶段</w:t>
            </w:r>
          </w:p>
        </w:tc>
      </w:tr>
      <w:tr w14:paraId="2D7F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120" w:type="dxa"/>
            <w:vAlign w:val="center"/>
          </w:tcPr>
          <w:p w14:paraId="2367B180">
            <w:pPr>
              <w:jc w:val="both"/>
              <w:rPr>
                <w:rFonts w:ascii="Calibri" w:hAnsi="Calibri"/>
                <w:sz w:val="20"/>
                <w:szCs w:val="20"/>
              </w:rPr>
            </w:pPr>
            <w:r>
              <w:rPr>
                <w:rFonts w:ascii="Calibri" w:hAnsi="Calibri"/>
                <w:sz w:val="20"/>
                <w:szCs w:val="20"/>
              </w:rPr>
              <w:t>胰岛素类似物GLP-1受体激动剂复方制剂研究与开发</w:t>
            </w:r>
            <w:r>
              <w:rPr>
                <w:rFonts w:hint="eastAsia" w:ascii="Calibri" w:hAnsi="Calibri"/>
                <w:sz w:val="20"/>
                <w:szCs w:val="20"/>
              </w:rPr>
              <w:t>（THDB0213）</w:t>
            </w:r>
          </w:p>
        </w:tc>
        <w:tc>
          <w:tcPr>
            <w:tcW w:w="1850" w:type="dxa"/>
            <w:vAlign w:val="center"/>
          </w:tcPr>
          <w:p w14:paraId="13271B1F">
            <w:pPr>
              <w:jc w:val="both"/>
              <w:rPr>
                <w:rFonts w:ascii="Calibri" w:hAnsi="Calibri"/>
                <w:sz w:val="20"/>
                <w:szCs w:val="20"/>
              </w:rPr>
            </w:pPr>
            <w:r>
              <w:rPr>
                <w:rFonts w:hint="eastAsia" w:ascii="Calibri" w:hAnsi="Calibri"/>
                <w:sz w:val="20"/>
                <w:szCs w:val="20"/>
              </w:rPr>
              <w:t>德谷胰岛素/利拉鲁肽复方注射液</w:t>
            </w:r>
          </w:p>
        </w:tc>
        <w:tc>
          <w:tcPr>
            <w:tcW w:w="742" w:type="dxa"/>
            <w:vAlign w:val="center"/>
          </w:tcPr>
          <w:p w14:paraId="6C4715F3">
            <w:pPr>
              <w:jc w:val="center"/>
              <w:rPr>
                <w:rFonts w:ascii="Calibri" w:hAnsi="Calibri"/>
                <w:sz w:val="20"/>
                <w:szCs w:val="20"/>
              </w:rPr>
            </w:pPr>
            <w:r>
              <w:rPr>
                <w:rFonts w:ascii="Calibri" w:hAnsi="Calibri"/>
                <w:sz w:val="20"/>
                <w:szCs w:val="20"/>
              </w:rPr>
              <w:t>治疗用生物制品3.3类</w:t>
            </w:r>
          </w:p>
        </w:tc>
        <w:tc>
          <w:tcPr>
            <w:tcW w:w="1686" w:type="dxa"/>
            <w:vAlign w:val="center"/>
          </w:tcPr>
          <w:p w14:paraId="0C0F5994">
            <w:pPr>
              <w:jc w:val="center"/>
              <w:rPr>
                <w:rFonts w:ascii="Calibri" w:hAnsi="Calibri"/>
                <w:sz w:val="20"/>
                <w:szCs w:val="20"/>
              </w:rPr>
            </w:pPr>
            <w:r>
              <w:rPr>
                <w:rFonts w:ascii="Calibri" w:hAnsi="Calibri"/>
                <w:sz w:val="20"/>
                <w:szCs w:val="20"/>
              </w:rPr>
              <w:t>成人2型糖尿病</w:t>
            </w:r>
          </w:p>
        </w:tc>
        <w:tc>
          <w:tcPr>
            <w:tcW w:w="858" w:type="dxa"/>
            <w:vAlign w:val="center"/>
          </w:tcPr>
          <w:p w14:paraId="049391D8">
            <w:pPr>
              <w:jc w:val="center"/>
              <w:rPr>
                <w:rFonts w:ascii="Calibri" w:hAnsi="Calibri"/>
                <w:sz w:val="20"/>
                <w:szCs w:val="20"/>
              </w:rPr>
            </w:pPr>
            <w:r>
              <w:rPr>
                <w:rFonts w:ascii="Calibri" w:hAnsi="Calibri"/>
                <w:sz w:val="20"/>
                <w:szCs w:val="20"/>
              </w:rPr>
              <w:t>是</w:t>
            </w:r>
          </w:p>
        </w:tc>
        <w:tc>
          <w:tcPr>
            <w:tcW w:w="1326" w:type="dxa"/>
            <w:vAlign w:val="center"/>
          </w:tcPr>
          <w:p w14:paraId="0230F213">
            <w:pPr>
              <w:jc w:val="center"/>
              <w:rPr>
                <w:rFonts w:ascii="Calibri" w:hAnsi="Calibri"/>
                <w:sz w:val="20"/>
                <w:szCs w:val="20"/>
              </w:rPr>
            </w:pPr>
            <w:r>
              <w:rPr>
                <w:rFonts w:ascii="Calibri" w:hAnsi="Calibri"/>
                <w:sz w:val="20"/>
                <w:szCs w:val="20"/>
              </w:rPr>
              <w:t>否</w:t>
            </w:r>
          </w:p>
        </w:tc>
        <w:tc>
          <w:tcPr>
            <w:tcW w:w="1483" w:type="dxa"/>
            <w:vAlign w:val="center"/>
          </w:tcPr>
          <w:p w14:paraId="58F28B4A">
            <w:pPr>
              <w:jc w:val="both"/>
              <w:rPr>
                <w:rFonts w:asciiTheme="minorEastAsia" w:hAnsiTheme="minorEastAsia" w:eastAsiaTheme="minorEastAsia"/>
                <w:sz w:val="20"/>
                <w:szCs w:val="20"/>
              </w:rPr>
            </w:pPr>
            <w:r>
              <w:rPr>
                <w:rFonts w:asciiTheme="minorEastAsia" w:hAnsiTheme="minorEastAsia" w:eastAsiaTheme="minorEastAsia"/>
                <w:sz w:val="20"/>
                <w:szCs w:val="20"/>
              </w:rPr>
              <w:t>III期临床试验阶段</w:t>
            </w:r>
          </w:p>
        </w:tc>
      </w:tr>
      <w:tr w14:paraId="3E4A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120" w:type="dxa"/>
            <w:vAlign w:val="center"/>
          </w:tcPr>
          <w:p w14:paraId="4A88448B">
            <w:pPr>
              <w:jc w:val="both"/>
              <w:rPr>
                <w:rFonts w:ascii="Calibri" w:hAnsi="Calibri"/>
                <w:sz w:val="20"/>
                <w:szCs w:val="20"/>
              </w:rPr>
            </w:pPr>
            <w:r>
              <w:rPr>
                <w:rFonts w:ascii="Calibri" w:hAnsi="Calibri"/>
                <w:sz w:val="20"/>
                <w:szCs w:val="20"/>
              </w:rPr>
              <w:t>GLP-1受体激动剂司美格鲁肽注射液制剂研究与开发</w:t>
            </w:r>
          </w:p>
        </w:tc>
        <w:tc>
          <w:tcPr>
            <w:tcW w:w="1850" w:type="dxa"/>
            <w:vAlign w:val="center"/>
          </w:tcPr>
          <w:p w14:paraId="2092DD32">
            <w:pPr>
              <w:jc w:val="both"/>
              <w:rPr>
                <w:rFonts w:ascii="Calibri" w:hAnsi="Calibri"/>
                <w:sz w:val="20"/>
                <w:szCs w:val="20"/>
              </w:rPr>
            </w:pPr>
            <w:r>
              <w:rPr>
                <w:rFonts w:ascii="Calibri" w:hAnsi="Calibri"/>
                <w:sz w:val="20"/>
                <w:szCs w:val="20"/>
              </w:rPr>
              <w:t>司美格鲁肽注射液</w:t>
            </w:r>
          </w:p>
        </w:tc>
        <w:tc>
          <w:tcPr>
            <w:tcW w:w="742" w:type="dxa"/>
            <w:vAlign w:val="center"/>
          </w:tcPr>
          <w:p w14:paraId="7E9301DE">
            <w:pPr>
              <w:jc w:val="center"/>
              <w:rPr>
                <w:rFonts w:ascii="Calibri" w:hAnsi="Calibri"/>
                <w:sz w:val="20"/>
                <w:szCs w:val="20"/>
              </w:rPr>
            </w:pPr>
            <w:r>
              <w:rPr>
                <w:rFonts w:ascii="Calibri" w:hAnsi="Calibri"/>
                <w:sz w:val="20"/>
                <w:szCs w:val="20"/>
              </w:rPr>
              <w:t>治疗用生物制品3.3类</w:t>
            </w:r>
          </w:p>
        </w:tc>
        <w:tc>
          <w:tcPr>
            <w:tcW w:w="1686" w:type="dxa"/>
            <w:vAlign w:val="center"/>
          </w:tcPr>
          <w:p w14:paraId="666C3243">
            <w:pPr>
              <w:jc w:val="center"/>
              <w:rPr>
                <w:rFonts w:ascii="Calibri" w:hAnsi="Calibri"/>
                <w:sz w:val="20"/>
                <w:szCs w:val="20"/>
              </w:rPr>
            </w:pPr>
            <w:r>
              <w:rPr>
                <w:rFonts w:ascii="Calibri" w:hAnsi="Calibri"/>
                <w:sz w:val="20"/>
                <w:szCs w:val="20"/>
              </w:rPr>
              <w:t>成人2型糖尿病</w:t>
            </w:r>
          </w:p>
        </w:tc>
        <w:tc>
          <w:tcPr>
            <w:tcW w:w="858" w:type="dxa"/>
            <w:vAlign w:val="center"/>
          </w:tcPr>
          <w:p w14:paraId="0E283C70">
            <w:pPr>
              <w:jc w:val="center"/>
              <w:rPr>
                <w:rFonts w:ascii="Calibri" w:hAnsi="Calibri"/>
                <w:sz w:val="20"/>
                <w:szCs w:val="20"/>
              </w:rPr>
            </w:pPr>
            <w:r>
              <w:rPr>
                <w:rFonts w:ascii="Calibri" w:hAnsi="Calibri"/>
                <w:sz w:val="20"/>
                <w:szCs w:val="20"/>
              </w:rPr>
              <w:t>是</w:t>
            </w:r>
          </w:p>
        </w:tc>
        <w:tc>
          <w:tcPr>
            <w:tcW w:w="1326" w:type="dxa"/>
            <w:vAlign w:val="center"/>
          </w:tcPr>
          <w:p w14:paraId="36927E22">
            <w:pPr>
              <w:jc w:val="center"/>
              <w:rPr>
                <w:rFonts w:ascii="Calibri" w:hAnsi="Calibri"/>
                <w:sz w:val="20"/>
                <w:szCs w:val="20"/>
              </w:rPr>
            </w:pPr>
            <w:r>
              <w:rPr>
                <w:rFonts w:ascii="Calibri" w:hAnsi="Calibri"/>
                <w:sz w:val="20"/>
                <w:szCs w:val="20"/>
              </w:rPr>
              <w:t>否</w:t>
            </w:r>
          </w:p>
        </w:tc>
        <w:tc>
          <w:tcPr>
            <w:tcW w:w="1483" w:type="dxa"/>
            <w:vAlign w:val="center"/>
          </w:tcPr>
          <w:p w14:paraId="6D70867E">
            <w:pPr>
              <w:jc w:val="both"/>
              <w:rPr>
                <w:rFonts w:asciiTheme="minorEastAsia" w:hAnsiTheme="minorEastAsia" w:eastAsiaTheme="minorEastAsia"/>
                <w:sz w:val="20"/>
                <w:szCs w:val="20"/>
              </w:rPr>
            </w:pPr>
            <w:r>
              <w:rPr>
                <w:rFonts w:asciiTheme="minorEastAsia" w:hAnsiTheme="minorEastAsia" w:eastAsiaTheme="minorEastAsia"/>
                <w:sz w:val="20"/>
                <w:szCs w:val="20"/>
              </w:rPr>
              <w:t>III期临床试验阶段</w:t>
            </w:r>
          </w:p>
        </w:tc>
      </w:tr>
      <w:tr w14:paraId="65F6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120" w:type="dxa"/>
            <w:vAlign w:val="center"/>
          </w:tcPr>
          <w:p w14:paraId="5F3B6357">
            <w:pPr>
              <w:jc w:val="both"/>
              <w:rPr>
                <w:rFonts w:ascii="Calibri" w:hAnsi="Calibri"/>
                <w:sz w:val="20"/>
                <w:szCs w:val="20"/>
              </w:rPr>
            </w:pPr>
            <w:r>
              <w:rPr>
                <w:rFonts w:ascii="Calibri" w:hAnsi="Calibri"/>
                <w:sz w:val="20"/>
                <w:szCs w:val="20"/>
              </w:rPr>
              <w:t>小分子GLP-1激动剂用于糖尿病治疗</w:t>
            </w:r>
          </w:p>
        </w:tc>
        <w:tc>
          <w:tcPr>
            <w:tcW w:w="1850" w:type="dxa"/>
            <w:vAlign w:val="center"/>
          </w:tcPr>
          <w:p w14:paraId="3AA858B0">
            <w:pPr>
              <w:jc w:val="both"/>
              <w:rPr>
                <w:rFonts w:ascii="Calibri" w:hAnsi="Calibri"/>
                <w:sz w:val="20"/>
                <w:szCs w:val="20"/>
              </w:rPr>
            </w:pPr>
            <w:r>
              <w:rPr>
                <w:rFonts w:ascii="Calibri" w:hAnsi="Calibri"/>
                <w:sz w:val="20"/>
                <w:szCs w:val="20"/>
              </w:rPr>
              <w:t>THDBH110/THDBH110胶囊</w:t>
            </w:r>
          </w:p>
        </w:tc>
        <w:tc>
          <w:tcPr>
            <w:tcW w:w="742" w:type="dxa"/>
            <w:vAlign w:val="center"/>
          </w:tcPr>
          <w:p w14:paraId="0BE12B43">
            <w:pPr>
              <w:jc w:val="center"/>
              <w:rPr>
                <w:rFonts w:ascii="Calibri" w:hAnsi="Calibri"/>
                <w:sz w:val="20"/>
                <w:szCs w:val="20"/>
              </w:rPr>
            </w:pPr>
            <w:r>
              <w:rPr>
                <w:rFonts w:ascii="Calibri" w:hAnsi="Calibri"/>
                <w:sz w:val="20"/>
                <w:szCs w:val="20"/>
              </w:rPr>
              <w:t>化学药品1类</w:t>
            </w:r>
          </w:p>
        </w:tc>
        <w:tc>
          <w:tcPr>
            <w:tcW w:w="1686" w:type="dxa"/>
            <w:vAlign w:val="center"/>
          </w:tcPr>
          <w:p w14:paraId="2DA34E0C">
            <w:pPr>
              <w:jc w:val="center"/>
              <w:rPr>
                <w:rFonts w:ascii="Calibri" w:hAnsi="Calibri"/>
                <w:sz w:val="20"/>
                <w:szCs w:val="20"/>
              </w:rPr>
            </w:pPr>
            <w:r>
              <w:rPr>
                <w:rFonts w:ascii="Calibri" w:hAnsi="Calibri"/>
                <w:sz w:val="20"/>
                <w:szCs w:val="20"/>
              </w:rPr>
              <w:t>成人2型糖尿病</w:t>
            </w:r>
          </w:p>
        </w:tc>
        <w:tc>
          <w:tcPr>
            <w:tcW w:w="858" w:type="dxa"/>
            <w:vAlign w:val="center"/>
          </w:tcPr>
          <w:p w14:paraId="27757F7A">
            <w:pPr>
              <w:jc w:val="center"/>
              <w:rPr>
                <w:rFonts w:ascii="Calibri" w:hAnsi="Calibri"/>
                <w:sz w:val="20"/>
                <w:szCs w:val="20"/>
              </w:rPr>
            </w:pPr>
            <w:r>
              <w:rPr>
                <w:rFonts w:ascii="Calibri" w:hAnsi="Calibri"/>
                <w:sz w:val="20"/>
                <w:szCs w:val="20"/>
              </w:rPr>
              <w:t>是</w:t>
            </w:r>
          </w:p>
        </w:tc>
        <w:tc>
          <w:tcPr>
            <w:tcW w:w="1326" w:type="dxa"/>
            <w:vAlign w:val="center"/>
          </w:tcPr>
          <w:p w14:paraId="700E8ADC">
            <w:pPr>
              <w:jc w:val="center"/>
              <w:rPr>
                <w:rFonts w:ascii="Calibri" w:hAnsi="Calibri"/>
                <w:sz w:val="20"/>
                <w:szCs w:val="20"/>
              </w:rPr>
            </w:pPr>
            <w:r>
              <w:rPr>
                <w:rFonts w:ascii="Calibri" w:hAnsi="Calibri"/>
                <w:sz w:val="20"/>
                <w:szCs w:val="20"/>
              </w:rPr>
              <w:t>否</w:t>
            </w:r>
          </w:p>
        </w:tc>
        <w:tc>
          <w:tcPr>
            <w:tcW w:w="1483" w:type="dxa"/>
            <w:vAlign w:val="center"/>
          </w:tcPr>
          <w:p w14:paraId="34CE82B2">
            <w:pPr>
              <w:jc w:val="both"/>
              <w:rPr>
                <w:rFonts w:asciiTheme="minorEastAsia" w:hAnsiTheme="minorEastAsia" w:eastAsiaTheme="minorEastAsia"/>
                <w:sz w:val="20"/>
                <w:szCs w:val="20"/>
              </w:rPr>
            </w:pPr>
            <w:r>
              <w:rPr>
                <w:rFonts w:asciiTheme="minorEastAsia" w:hAnsiTheme="minorEastAsia" w:eastAsiaTheme="minorEastAsia"/>
                <w:sz w:val="20"/>
                <w:szCs w:val="20"/>
              </w:rPr>
              <w:t>Ⅰ期临床试验阶段</w:t>
            </w:r>
          </w:p>
        </w:tc>
      </w:tr>
      <w:tr w14:paraId="22CE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120" w:type="dxa"/>
            <w:vMerge w:val="restart"/>
            <w:vAlign w:val="center"/>
          </w:tcPr>
          <w:p w14:paraId="10652B82">
            <w:pPr>
              <w:jc w:val="both"/>
              <w:rPr>
                <w:rFonts w:ascii="Calibri" w:hAnsi="Calibri"/>
                <w:sz w:val="20"/>
                <w:szCs w:val="20"/>
              </w:rPr>
            </w:pPr>
            <w:r>
              <w:rPr>
                <w:rFonts w:ascii="Calibri" w:hAnsi="Calibri"/>
                <w:sz w:val="20"/>
                <w:szCs w:val="20"/>
              </w:rPr>
              <w:t>GIP/GLP-1用于糖尿病治疗</w:t>
            </w:r>
            <w:r>
              <w:rPr>
                <w:rFonts w:hint="eastAsia" w:ascii="Calibri" w:hAnsi="Calibri"/>
                <w:sz w:val="20"/>
                <w:szCs w:val="20"/>
              </w:rPr>
              <w:t>和减重</w:t>
            </w:r>
          </w:p>
        </w:tc>
        <w:tc>
          <w:tcPr>
            <w:tcW w:w="1850" w:type="dxa"/>
            <w:vAlign w:val="center"/>
          </w:tcPr>
          <w:p w14:paraId="47728180">
            <w:pPr>
              <w:jc w:val="both"/>
              <w:rPr>
                <w:rFonts w:ascii="Calibri" w:hAnsi="Calibri"/>
                <w:sz w:val="20"/>
                <w:szCs w:val="20"/>
              </w:rPr>
            </w:pPr>
            <w:r>
              <w:rPr>
                <w:rFonts w:hint="eastAsia" w:ascii="Calibri" w:hAnsi="Calibri"/>
                <w:sz w:val="20"/>
                <w:szCs w:val="20"/>
              </w:rPr>
              <w:t>THDBH120/注射用THDBH120</w:t>
            </w:r>
          </w:p>
        </w:tc>
        <w:tc>
          <w:tcPr>
            <w:tcW w:w="742" w:type="dxa"/>
            <w:vAlign w:val="center"/>
          </w:tcPr>
          <w:p w14:paraId="2E3D0D1D">
            <w:pPr>
              <w:jc w:val="center"/>
              <w:rPr>
                <w:rFonts w:ascii="Calibri" w:hAnsi="Calibri"/>
                <w:sz w:val="20"/>
                <w:szCs w:val="20"/>
              </w:rPr>
            </w:pPr>
            <w:r>
              <w:rPr>
                <w:rFonts w:ascii="Calibri" w:hAnsi="Calibri"/>
                <w:sz w:val="20"/>
                <w:szCs w:val="20"/>
              </w:rPr>
              <w:t>化学药品1类</w:t>
            </w:r>
          </w:p>
        </w:tc>
        <w:tc>
          <w:tcPr>
            <w:tcW w:w="1686" w:type="dxa"/>
            <w:vAlign w:val="center"/>
          </w:tcPr>
          <w:p w14:paraId="42E02E0E">
            <w:pPr>
              <w:jc w:val="center"/>
              <w:rPr>
                <w:rFonts w:ascii="Calibri" w:hAnsi="Calibri"/>
                <w:sz w:val="20"/>
                <w:szCs w:val="20"/>
              </w:rPr>
            </w:pPr>
            <w:r>
              <w:rPr>
                <w:rFonts w:ascii="Calibri" w:hAnsi="Calibri"/>
                <w:sz w:val="20"/>
                <w:szCs w:val="20"/>
              </w:rPr>
              <w:t>2型糖尿病</w:t>
            </w:r>
          </w:p>
        </w:tc>
        <w:tc>
          <w:tcPr>
            <w:tcW w:w="858" w:type="dxa"/>
            <w:vAlign w:val="center"/>
          </w:tcPr>
          <w:p w14:paraId="67366E46">
            <w:pPr>
              <w:jc w:val="center"/>
              <w:rPr>
                <w:rFonts w:ascii="Calibri" w:hAnsi="Calibri"/>
                <w:sz w:val="20"/>
                <w:szCs w:val="20"/>
              </w:rPr>
            </w:pPr>
            <w:r>
              <w:rPr>
                <w:rFonts w:ascii="Calibri" w:hAnsi="Calibri"/>
                <w:sz w:val="20"/>
                <w:szCs w:val="20"/>
              </w:rPr>
              <w:t>是</w:t>
            </w:r>
          </w:p>
        </w:tc>
        <w:tc>
          <w:tcPr>
            <w:tcW w:w="1326" w:type="dxa"/>
            <w:vAlign w:val="center"/>
          </w:tcPr>
          <w:p w14:paraId="15BE6890">
            <w:pPr>
              <w:jc w:val="center"/>
              <w:rPr>
                <w:rFonts w:ascii="Calibri" w:hAnsi="Calibri"/>
                <w:sz w:val="20"/>
                <w:szCs w:val="20"/>
              </w:rPr>
            </w:pPr>
            <w:r>
              <w:rPr>
                <w:rFonts w:ascii="Calibri" w:hAnsi="Calibri"/>
                <w:sz w:val="20"/>
                <w:szCs w:val="20"/>
              </w:rPr>
              <w:t>否</w:t>
            </w:r>
          </w:p>
        </w:tc>
        <w:tc>
          <w:tcPr>
            <w:tcW w:w="1483" w:type="dxa"/>
            <w:vAlign w:val="center"/>
          </w:tcPr>
          <w:p w14:paraId="09ECBFB9">
            <w:pPr>
              <w:jc w:val="both"/>
              <w:rPr>
                <w:rFonts w:asciiTheme="minorEastAsia" w:hAnsiTheme="minorEastAsia" w:eastAsiaTheme="minorEastAsia"/>
                <w:sz w:val="20"/>
                <w:szCs w:val="20"/>
              </w:rPr>
            </w:pPr>
            <w:r>
              <w:rPr>
                <w:rFonts w:asciiTheme="minorEastAsia" w:hAnsiTheme="minorEastAsia" w:eastAsiaTheme="minorEastAsia"/>
                <w:sz w:val="20"/>
                <w:szCs w:val="20"/>
              </w:rPr>
              <w:t>Ⅰ期临床试验阶段</w:t>
            </w:r>
          </w:p>
        </w:tc>
      </w:tr>
      <w:tr w14:paraId="7364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120" w:type="dxa"/>
            <w:vMerge w:val="continue"/>
            <w:vAlign w:val="center"/>
          </w:tcPr>
          <w:p w14:paraId="51175C91">
            <w:pPr>
              <w:jc w:val="both"/>
              <w:rPr>
                <w:rFonts w:ascii="Calibri" w:hAnsi="Calibri"/>
                <w:sz w:val="20"/>
                <w:szCs w:val="20"/>
              </w:rPr>
            </w:pPr>
          </w:p>
        </w:tc>
        <w:tc>
          <w:tcPr>
            <w:tcW w:w="1850" w:type="dxa"/>
            <w:vAlign w:val="center"/>
          </w:tcPr>
          <w:p w14:paraId="0EFB18B4">
            <w:pPr>
              <w:jc w:val="both"/>
              <w:rPr>
                <w:rFonts w:ascii="Calibri" w:hAnsi="Calibri"/>
                <w:sz w:val="20"/>
                <w:szCs w:val="20"/>
              </w:rPr>
            </w:pPr>
            <w:r>
              <w:rPr>
                <w:rFonts w:ascii="Calibri" w:hAnsi="Calibri"/>
                <w:sz w:val="20"/>
                <w:szCs w:val="20"/>
              </w:rPr>
              <w:t>THDBH120/注射用THDBH120</w:t>
            </w:r>
          </w:p>
        </w:tc>
        <w:tc>
          <w:tcPr>
            <w:tcW w:w="742" w:type="dxa"/>
            <w:vAlign w:val="center"/>
          </w:tcPr>
          <w:p w14:paraId="4BDEBD21">
            <w:pPr>
              <w:jc w:val="center"/>
              <w:rPr>
                <w:rFonts w:ascii="Calibri" w:hAnsi="Calibri"/>
                <w:sz w:val="20"/>
                <w:szCs w:val="20"/>
              </w:rPr>
            </w:pPr>
            <w:r>
              <w:rPr>
                <w:rFonts w:ascii="Calibri" w:hAnsi="Calibri"/>
                <w:sz w:val="20"/>
                <w:szCs w:val="20"/>
              </w:rPr>
              <w:t>化学药品1类</w:t>
            </w:r>
          </w:p>
        </w:tc>
        <w:tc>
          <w:tcPr>
            <w:tcW w:w="1686" w:type="dxa"/>
            <w:vAlign w:val="center"/>
          </w:tcPr>
          <w:p w14:paraId="4D046871">
            <w:pPr>
              <w:jc w:val="center"/>
              <w:rPr>
                <w:rFonts w:ascii="Calibri" w:hAnsi="Calibri"/>
                <w:sz w:val="20"/>
                <w:szCs w:val="20"/>
              </w:rPr>
            </w:pPr>
            <w:r>
              <w:rPr>
                <w:rFonts w:ascii="Calibri" w:hAnsi="Calibri"/>
                <w:sz w:val="20"/>
                <w:szCs w:val="20"/>
              </w:rPr>
              <w:t>超重或肥胖患者</w:t>
            </w:r>
          </w:p>
        </w:tc>
        <w:tc>
          <w:tcPr>
            <w:tcW w:w="858" w:type="dxa"/>
            <w:vAlign w:val="center"/>
          </w:tcPr>
          <w:p w14:paraId="2C26981E">
            <w:pPr>
              <w:jc w:val="center"/>
              <w:rPr>
                <w:rFonts w:ascii="Calibri" w:hAnsi="Calibri"/>
                <w:sz w:val="20"/>
                <w:szCs w:val="20"/>
              </w:rPr>
            </w:pPr>
            <w:r>
              <w:rPr>
                <w:rFonts w:ascii="Calibri" w:hAnsi="Calibri"/>
                <w:sz w:val="20"/>
                <w:szCs w:val="20"/>
              </w:rPr>
              <w:t>是</w:t>
            </w:r>
          </w:p>
        </w:tc>
        <w:tc>
          <w:tcPr>
            <w:tcW w:w="1326" w:type="dxa"/>
            <w:vAlign w:val="center"/>
          </w:tcPr>
          <w:p w14:paraId="1B44AD56">
            <w:pPr>
              <w:jc w:val="center"/>
              <w:rPr>
                <w:rFonts w:ascii="Calibri" w:hAnsi="Calibri"/>
                <w:sz w:val="20"/>
                <w:szCs w:val="20"/>
              </w:rPr>
            </w:pPr>
            <w:r>
              <w:rPr>
                <w:rFonts w:ascii="Calibri" w:hAnsi="Calibri"/>
                <w:sz w:val="20"/>
                <w:szCs w:val="20"/>
              </w:rPr>
              <w:t>否</w:t>
            </w:r>
          </w:p>
        </w:tc>
        <w:tc>
          <w:tcPr>
            <w:tcW w:w="1483" w:type="dxa"/>
            <w:vAlign w:val="center"/>
          </w:tcPr>
          <w:p w14:paraId="71FF817C">
            <w:pPr>
              <w:jc w:val="both"/>
              <w:rPr>
                <w:rFonts w:asciiTheme="minorEastAsia" w:hAnsiTheme="minorEastAsia" w:eastAsiaTheme="minorEastAsia"/>
                <w:sz w:val="20"/>
                <w:szCs w:val="20"/>
              </w:rPr>
            </w:pPr>
            <w:r>
              <w:rPr>
                <w:rFonts w:asciiTheme="minorEastAsia" w:hAnsiTheme="minorEastAsia" w:eastAsiaTheme="minorEastAsia"/>
                <w:sz w:val="20"/>
                <w:szCs w:val="20"/>
              </w:rPr>
              <w:t>Ⅱ期临床试验阶段</w:t>
            </w:r>
          </w:p>
        </w:tc>
      </w:tr>
      <w:tr w14:paraId="0BC6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120" w:type="dxa"/>
            <w:vAlign w:val="center"/>
          </w:tcPr>
          <w:p w14:paraId="2C0CDD9E">
            <w:pPr>
              <w:jc w:val="both"/>
              <w:rPr>
                <w:rFonts w:ascii="Calibri" w:hAnsi="Calibri"/>
                <w:sz w:val="20"/>
                <w:szCs w:val="20"/>
              </w:rPr>
            </w:pPr>
            <w:r>
              <w:rPr>
                <w:rFonts w:hint="eastAsia" w:ascii="Calibri" w:hAnsi="Calibri"/>
                <w:sz w:val="20"/>
                <w:szCs w:val="20"/>
              </w:rPr>
              <w:t>痛风XO/URAT1项目</w:t>
            </w:r>
          </w:p>
        </w:tc>
        <w:tc>
          <w:tcPr>
            <w:tcW w:w="1850" w:type="dxa"/>
            <w:vAlign w:val="center"/>
          </w:tcPr>
          <w:p w14:paraId="480385C3">
            <w:pPr>
              <w:jc w:val="both"/>
              <w:rPr>
                <w:rFonts w:ascii="Calibri" w:hAnsi="Calibri"/>
                <w:sz w:val="20"/>
                <w:szCs w:val="20"/>
              </w:rPr>
            </w:pPr>
            <w:r>
              <w:rPr>
                <w:rFonts w:ascii="Calibri" w:hAnsi="Calibri"/>
                <w:sz w:val="20"/>
                <w:szCs w:val="20"/>
              </w:rPr>
              <w:t>THDBH150/THDBH151片</w:t>
            </w:r>
          </w:p>
        </w:tc>
        <w:tc>
          <w:tcPr>
            <w:tcW w:w="742" w:type="dxa"/>
            <w:vAlign w:val="center"/>
          </w:tcPr>
          <w:p w14:paraId="61C0C269">
            <w:pPr>
              <w:jc w:val="center"/>
              <w:rPr>
                <w:rFonts w:ascii="Calibri" w:hAnsi="Calibri"/>
                <w:sz w:val="20"/>
                <w:szCs w:val="20"/>
              </w:rPr>
            </w:pPr>
            <w:r>
              <w:rPr>
                <w:rFonts w:ascii="Calibri" w:hAnsi="Calibri"/>
                <w:sz w:val="20"/>
                <w:szCs w:val="20"/>
              </w:rPr>
              <w:t>化学药品1类</w:t>
            </w:r>
          </w:p>
        </w:tc>
        <w:tc>
          <w:tcPr>
            <w:tcW w:w="1686" w:type="dxa"/>
            <w:vAlign w:val="center"/>
          </w:tcPr>
          <w:p w14:paraId="69999578">
            <w:pPr>
              <w:jc w:val="center"/>
              <w:rPr>
                <w:rFonts w:ascii="Calibri" w:hAnsi="Calibri"/>
                <w:sz w:val="20"/>
                <w:szCs w:val="20"/>
              </w:rPr>
            </w:pPr>
            <w:r>
              <w:rPr>
                <w:rFonts w:ascii="Calibri" w:hAnsi="Calibri"/>
                <w:sz w:val="20"/>
                <w:szCs w:val="20"/>
              </w:rPr>
              <w:t>痛风/高尿酸血症</w:t>
            </w:r>
          </w:p>
        </w:tc>
        <w:tc>
          <w:tcPr>
            <w:tcW w:w="858" w:type="dxa"/>
            <w:vAlign w:val="center"/>
          </w:tcPr>
          <w:p w14:paraId="5D934441">
            <w:pPr>
              <w:jc w:val="center"/>
              <w:rPr>
                <w:rFonts w:ascii="Calibri" w:hAnsi="Calibri"/>
                <w:sz w:val="20"/>
                <w:szCs w:val="20"/>
              </w:rPr>
            </w:pPr>
            <w:r>
              <w:rPr>
                <w:rFonts w:ascii="Calibri" w:hAnsi="Calibri"/>
                <w:sz w:val="20"/>
                <w:szCs w:val="20"/>
              </w:rPr>
              <w:t>是</w:t>
            </w:r>
          </w:p>
        </w:tc>
        <w:tc>
          <w:tcPr>
            <w:tcW w:w="1326" w:type="dxa"/>
            <w:vAlign w:val="center"/>
          </w:tcPr>
          <w:p w14:paraId="5D3A8700">
            <w:pPr>
              <w:jc w:val="center"/>
              <w:rPr>
                <w:rFonts w:ascii="Calibri" w:hAnsi="Calibri"/>
                <w:sz w:val="20"/>
                <w:szCs w:val="20"/>
              </w:rPr>
            </w:pPr>
            <w:r>
              <w:rPr>
                <w:rFonts w:ascii="Calibri" w:hAnsi="Calibri"/>
                <w:sz w:val="20"/>
                <w:szCs w:val="20"/>
              </w:rPr>
              <w:t>否</w:t>
            </w:r>
          </w:p>
        </w:tc>
        <w:tc>
          <w:tcPr>
            <w:tcW w:w="1483" w:type="dxa"/>
            <w:vAlign w:val="center"/>
          </w:tcPr>
          <w:p w14:paraId="5F7EE8AE">
            <w:pPr>
              <w:jc w:val="both"/>
              <w:rPr>
                <w:rFonts w:ascii="宋体" w:hAnsi="宋体"/>
                <w:sz w:val="20"/>
                <w:szCs w:val="20"/>
              </w:rPr>
            </w:pPr>
            <w:r>
              <w:rPr>
                <w:rFonts w:ascii="宋体" w:hAnsi="宋体"/>
                <w:sz w:val="20"/>
                <w:szCs w:val="20"/>
              </w:rPr>
              <w:t>Ⅱ期临床试验阶段</w:t>
            </w:r>
          </w:p>
        </w:tc>
      </w:tr>
    </w:tbl>
    <w:p w14:paraId="44F78E75">
      <w:pPr>
        <w:pStyle w:val="48"/>
      </w:pPr>
    </w:p>
    <w:p w14:paraId="69864397">
      <w:pPr>
        <w:pStyle w:val="7"/>
        <w:numPr>
          <w:ilvl w:val="0"/>
          <w:numId w:val="16"/>
        </w:numPr>
      </w:pPr>
      <w:r>
        <w:rPr>
          <w:rFonts w:hint="eastAsia"/>
        </w:rPr>
        <w:t>报告期内呈交监管部门审批、通过审批的药（产）品情况</w:t>
      </w:r>
    </w:p>
    <w:sdt>
      <w:sdtPr>
        <w:rPr>
          <w:rFonts w:hint="eastAsia"/>
        </w:rPr>
        <w:alias w:val="是否适用：报告期内呈交监管部门审批、完成注册或取得生产批文的药（产）品情况[双击切换]"/>
        <w:tag w:val="_GBC_5e097795072a4a0e924186aaacdf35d5"/>
        <w:id w:val="-184207108"/>
        <w:placeholder>
          <w:docPart w:val="GBC22222222222222222222222222222"/>
        </w:placeholder>
      </w:sdtPr>
      <w:sdtEndPr>
        <w:rPr>
          <w:rFonts w:hint="default"/>
        </w:rPr>
      </w:sdtEndPr>
      <w:sdtContent>
        <w:p w14:paraId="7801934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报告期内呈交监管部门审批、完成注册或取得生产批文的药（产）品情况说明"/>
        <w:tag w:val="_GBC_e38d205b1cb1486d88abf9e8ccfd608d"/>
        <w:id w:val="291100768"/>
        <w:placeholder>
          <w:docPart w:val="F0392FCB41C545D5BFC8D9D1BD562E85"/>
        </w:placeholder>
      </w:sdtPr>
      <w:sdtEndPr>
        <w:rPr>
          <w:rFonts w:hint="eastAsia"/>
        </w:rPr>
      </w:sdtEndPr>
      <w:sdtContent>
        <w:p w14:paraId="5CFBC347">
          <w:pPr>
            <w:widowControl w:val="0"/>
            <w:spacing w:line="360" w:lineRule="auto"/>
            <w:ind w:firstLine="315"/>
            <w:jc w:val="both"/>
            <w:rPr>
              <w:kern w:val="2"/>
            </w:rPr>
          </w:pPr>
        </w:p>
        <w:tbl>
          <w:tblPr>
            <w:tblStyle w:val="160"/>
            <w:tblW w:w="8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3405"/>
            <w:gridCol w:w="2244"/>
            <w:gridCol w:w="2511"/>
          </w:tblGrid>
          <w:tr w14:paraId="68BD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5" w:type="dxa"/>
                <w:tcBorders>
                  <w:top w:val="single" w:color="auto" w:sz="4" w:space="0"/>
                  <w:left w:val="single" w:color="auto" w:sz="4" w:space="0"/>
                  <w:bottom w:val="single" w:color="auto" w:sz="4" w:space="0"/>
                  <w:right w:val="single" w:color="auto" w:sz="4" w:space="0"/>
                </w:tcBorders>
              </w:tcPr>
              <w:p w14:paraId="6C5D5F13">
                <w:pPr>
                  <w:widowControl w:val="0"/>
                  <w:spacing w:line="360" w:lineRule="auto"/>
                  <w:jc w:val="both"/>
                  <w:rPr>
                    <w:kern w:val="2"/>
                    <w:sz w:val="20"/>
                    <w:szCs w:val="20"/>
                  </w:rPr>
                </w:pPr>
                <w:r>
                  <w:rPr>
                    <w:rFonts w:hint="eastAsia"/>
                    <w:kern w:val="2"/>
                    <w:sz w:val="20"/>
                    <w:szCs w:val="20"/>
                  </w:rPr>
                  <w:t>序号</w:t>
                </w:r>
              </w:p>
            </w:tc>
            <w:tc>
              <w:tcPr>
                <w:tcW w:w="3405" w:type="dxa"/>
                <w:tcBorders>
                  <w:top w:val="single" w:color="auto" w:sz="4" w:space="0"/>
                  <w:left w:val="nil"/>
                  <w:bottom w:val="single" w:color="auto" w:sz="4" w:space="0"/>
                  <w:right w:val="single" w:color="auto" w:sz="4" w:space="0"/>
                </w:tcBorders>
              </w:tcPr>
              <w:p w14:paraId="0B314180">
                <w:pPr>
                  <w:widowControl w:val="0"/>
                  <w:spacing w:line="360" w:lineRule="auto"/>
                  <w:jc w:val="both"/>
                  <w:rPr>
                    <w:kern w:val="2"/>
                    <w:sz w:val="20"/>
                    <w:szCs w:val="20"/>
                  </w:rPr>
                </w:pPr>
                <w:r>
                  <w:rPr>
                    <w:rFonts w:hint="eastAsia"/>
                    <w:kern w:val="2"/>
                    <w:sz w:val="20"/>
                    <w:szCs w:val="20"/>
                  </w:rPr>
                  <w:t>获得生产批文的药品名称</w:t>
                </w:r>
              </w:p>
            </w:tc>
            <w:tc>
              <w:tcPr>
                <w:tcW w:w="2244" w:type="dxa"/>
                <w:tcBorders>
                  <w:top w:val="single" w:color="auto" w:sz="4" w:space="0"/>
                  <w:left w:val="nil"/>
                  <w:bottom w:val="single" w:color="auto" w:sz="4" w:space="0"/>
                  <w:right w:val="single" w:color="auto" w:sz="4" w:space="0"/>
                </w:tcBorders>
              </w:tcPr>
              <w:p w14:paraId="4A700848">
                <w:pPr>
                  <w:widowControl w:val="0"/>
                  <w:spacing w:line="360" w:lineRule="auto"/>
                  <w:jc w:val="center"/>
                  <w:rPr>
                    <w:kern w:val="2"/>
                    <w:sz w:val="20"/>
                    <w:szCs w:val="20"/>
                  </w:rPr>
                </w:pPr>
                <w:r>
                  <w:rPr>
                    <w:rFonts w:hint="eastAsia"/>
                    <w:kern w:val="2"/>
                    <w:sz w:val="20"/>
                    <w:szCs w:val="20"/>
                  </w:rPr>
                  <w:t>注册分类</w:t>
                </w:r>
              </w:p>
            </w:tc>
            <w:tc>
              <w:tcPr>
                <w:tcW w:w="2511" w:type="dxa"/>
                <w:tcBorders>
                  <w:top w:val="single" w:color="auto" w:sz="4" w:space="0"/>
                  <w:left w:val="nil"/>
                  <w:bottom w:val="single" w:color="auto" w:sz="4" w:space="0"/>
                  <w:right w:val="single" w:color="auto" w:sz="4" w:space="0"/>
                </w:tcBorders>
              </w:tcPr>
              <w:p w14:paraId="08A5DECD">
                <w:pPr>
                  <w:widowControl w:val="0"/>
                  <w:spacing w:line="360" w:lineRule="auto"/>
                  <w:jc w:val="center"/>
                  <w:rPr>
                    <w:kern w:val="2"/>
                    <w:sz w:val="20"/>
                    <w:szCs w:val="20"/>
                  </w:rPr>
                </w:pPr>
                <w:r>
                  <w:rPr>
                    <w:rFonts w:hint="eastAsia"/>
                    <w:kern w:val="2"/>
                    <w:sz w:val="20"/>
                    <w:szCs w:val="20"/>
                  </w:rPr>
                  <w:t>适应症</w:t>
                </w:r>
              </w:p>
            </w:tc>
          </w:tr>
          <w:tr w14:paraId="0974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Borders>
                  <w:top w:val="single" w:color="auto" w:sz="4" w:space="0"/>
                  <w:left w:val="single" w:color="auto" w:sz="4" w:space="0"/>
                  <w:bottom w:val="single" w:color="auto" w:sz="4" w:space="0"/>
                  <w:right w:val="single" w:color="auto" w:sz="4" w:space="0"/>
                </w:tcBorders>
              </w:tcPr>
              <w:p w14:paraId="24B0F1CD">
                <w:pPr>
                  <w:widowControl w:val="0"/>
                  <w:spacing w:line="360" w:lineRule="auto"/>
                  <w:jc w:val="center"/>
                  <w:rPr>
                    <w:kern w:val="2"/>
                    <w:sz w:val="20"/>
                    <w:szCs w:val="20"/>
                  </w:rPr>
                </w:pPr>
                <w:r>
                  <w:rPr>
                    <w:kern w:val="2"/>
                    <w:sz w:val="20"/>
                    <w:szCs w:val="20"/>
                  </w:rPr>
                  <w:t>1</w:t>
                </w:r>
              </w:p>
            </w:tc>
            <w:tc>
              <w:tcPr>
                <w:tcW w:w="3405" w:type="dxa"/>
                <w:tcBorders>
                  <w:top w:val="single" w:color="auto" w:sz="4" w:space="0"/>
                  <w:left w:val="nil"/>
                  <w:bottom w:val="single" w:color="auto" w:sz="4" w:space="0"/>
                  <w:right w:val="single" w:color="auto" w:sz="4" w:space="0"/>
                </w:tcBorders>
                <w:vAlign w:val="center"/>
              </w:tcPr>
              <w:p w14:paraId="6BD9C86D">
                <w:pPr>
                  <w:widowControl w:val="0"/>
                  <w:spacing w:line="360" w:lineRule="auto"/>
                  <w:jc w:val="both"/>
                  <w:rPr>
                    <w:kern w:val="2"/>
                    <w:sz w:val="20"/>
                    <w:szCs w:val="20"/>
                  </w:rPr>
                </w:pPr>
                <w:r>
                  <w:rPr>
                    <w:rFonts w:hint="eastAsia"/>
                    <w:kern w:val="2"/>
                    <w:sz w:val="20"/>
                    <w:szCs w:val="20"/>
                  </w:rPr>
                  <w:t>依托考昔片</w:t>
                </w:r>
              </w:p>
            </w:tc>
            <w:tc>
              <w:tcPr>
                <w:tcW w:w="2244" w:type="dxa"/>
                <w:tcBorders>
                  <w:top w:val="single" w:color="auto" w:sz="4" w:space="0"/>
                  <w:left w:val="nil"/>
                  <w:bottom w:val="single" w:color="auto" w:sz="4" w:space="0"/>
                  <w:right w:val="single" w:color="auto" w:sz="4" w:space="0"/>
                </w:tcBorders>
                <w:vAlign w:val="center"/>
              </w:tcPr>
              <w:p w14:paraId="09C4212F">
                <w:pPr>
                  <w:widowControl w:val="0"/>
                  <w:spacing w:line="360" w:lineRule="auto"/>
                  <w:jc w:val="both"/>
                  <w:rPr>
                    <w:kern w:val="2"/>
                    <w:sz w:val="20"/>
                    <w:szCs w:val="20"/>
                  </w:rPr>
                </w:pPr>
                <w:r>
                  <w:rPr>
                    <w:rFonts w:hint="eastAsia"/>
                    <w:kern w:val="2"/>
                    <w:sz w:val="20"/>
                    <w:szCs w:val="20"/>
                  </w:rPr>
                  <w:t>化学药品</w:t>
                </w:r>
                <w:r>
                  <w:rPr>
                    <w:kern w:val="2"/>
                    <w:sz w:val="20"/>
                    <w:szCs w:val="20"/>
                  </w:rPr>
                  <w:t>4</w:t>
                </w:r>
                <w:r>
                  <w:rPr>
                    <w:rFonts w:hint="eastAsia"/>
                    <w:kern w:val="2"/>
                    <w:sz w:val="20"/>
                    <w:szCs w:val="20"/>
                  </w:rPr>
                  <w:t>类</w:t>
                </w:r>
              </w:p>
            </w:tc>
            <w:tc>
              <w:tcPr>
                <w:tcW w:w="2511" w:type="dxa"/>
                <w:tcBorders>
                  <w:top w:val="single" w:color="auto" w:sz="4" w:space="0"/>
                  <w:left w:val="nil"/>
                  <w:bottom w:val="single" w:color="auto" w:sz="4" w:space="0"/>
                  <w:right w:val="single" w:color="auto" w:sz="4" w:space="0"/>
                </w:tcBorders>
                <w:vAlign w:val="center"/>
              </w:tcPr>
              <w:p w14:paraId="25558DF8">
                <w:pPr>
                  <w:widowControl w:val="0"/>
                  <w:spacing w:line="360" w:lineRule="auto"/>
                  <w:jc w:val="both"/>
                  <w:rPr>
                    <w:kern w:val="2"/>
                    <w:sz w:val="20"/>
                    <w:szCs w:val="20"/>
                  </w:rPr>
                </w:pPr>
                <w:r>
                  <w:rPr>
                    <w:rFonts w:hint="eastAsia"/>
                    <w:kern w:val="2"/>
                    <w:sz w:val="20"/>
                    <w:szCs w:val="20"/>
                  </w:rPr>
                  <w:t>治疗急性痛风性关节炎</w:t>
                </w:r>
              </w:p>
            </w:tc>
          </w:tr>
        </w:tbl>
        <w:p w14:paraId="42D11473">
          <w:pPr>
            <w:adjustRightInd w:val="0"/>
            <w:snapToGrid w:val="0"/>
          </w:pPr>
        </w:p>
      </w:sdtContent>
    </w:sdt>
    <w:p w14:paraId="72945D19">
      <w:pPr>
        <w:pStyle w:val="48"/>
      </w:pPr>
    </w:p>
    <w:p w14:paraId="23FEF4ED">
      <w:pPr>
        <w:pStyle w:val="7"/>
        <w:numPr>
          <w:ilvl w:val="0"/>
          <w:numId w:val="16"/>
        </w:numPr>
      </w:pPr>
      <w:r>
        <w:rPr>
          <w:rFonts w:hint="eastAsia"/>
        </w:rPr>
        <w:t>报告期内主要研发项目取消或药（产）品未获得审批情况</w:t>
      </w:r>
    </w:p>
    <w:sdt>
      <w:sdtPr>
        <w:rPr>
          <w:rFonts w:hint="eastAsia"/>
        </w:rPr>
        <w:alias w:val="是否适用：报告期内研发项目取消或药（产）品未获得审批情况[双击切换]"/>
        <w:tag w:val="_GBC_675b0b5430cb49529b28690d28775181"/>
        <w:id w:val="1763101213"/>
        <w:placeholder>
          <w:docPart w:val="GBC22222222222222222222222222222"/>
        </w:placeholder>
      </w:sdtPr>
      <w:sdtEndPr>
        <w:rPr>
          <w:rFonts w:hint="default"/>
        </w:rPr>
      </w:sdtEndPr>
      <w:sdtContent>
        <w:p w14:paraId="7FA91B0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报告期内研发项目取消或药（产）品未获得审批情况说明"/>
        <w:tag w:val="_GBC_89b74874e9a34306a3fa553e1c2f0d24"/>
        <w:id w:val="500545947"/>
        <w:placeholder>
          <w:docPart w:val="GBC22222222222222222222222222222"/>
        </w:placeholder>
      </w:sdtPr>
      <w:sdtEndPr>
        <w:rPr>
          <w:rFonts w:hint="eastAsia"/>
        </w:rPr>
      </w:sdtEndPr>
      <w:sdtContent>
        <w:p w14:paraId="4640D255">
          <w:pPr>
            <w:adjustRightInd w:val="0"/>
            <w:snapToGrid w:val="0"/>
            <w:spacing w:line="360" w:lineRule="auto"/>
            <w:ind w:firstLine="420" w:firstLineChars="200"/>
            <w:jc w:val="both"/>
          </w:pPr>
          <w:r>
            <w:rPr>
              <w:rFonts w:hint="eastAsia"/>
            </w:rPr>
            <w:t>1、2025年8月25日，公司召开第十一届董事会第十六次会议，审议通过了《关于计提资产减值准备的议案》，为合理配置研发资源，聚焦研发管线中的优势项目，经审慎考量，公司决定终止THDBH101胶囊的临床研究开发工作。具体内容详见公司于2025年8月26日在中国证券报、上海证券报及上海证券交易所网站（www.sse.com.cn）披露的《通化东宝关于计提资产减值准备的公告》（公告编号：2025-052）。</w:t>
          </w:r>
        </w:p>
        <w:p w14:paraId="75F8E752">
          <w:pPr>
            <w:adjustRightInd w:val="0"/>
            <w:snapToGrid w:val="0"/>
            <w:spacing w:line="360" w:lineRule="auto"/>
            <w:ind w:firstLine="420" w:firstLineChars="200"/>
            <w:jc w:val="both"/>
          </w:pPr>
          <w:r>
            <w:rPr>
              <w:rFonts w:hint="eastAsia"/>
            </w:rPr>
            <w:t>2、2025年10月27日，公司召开第十一届董事会第十九次会议，审议通过了《关于计提资产减值准备和核销资产的议案》，经过公司调研分析，由欧洲合作伙伴进行制剂开发、相关研究和注册审批，以及未来大规模生产的成本不再具备竞争优势，因此终止人胰岛素注射剂的欧盟注册项目。具体内容详见公司于2025年10月28日在中国证券报、上海证券报及上海证券交易所网站（www.sse.com.cn）披露的《通化东宝关于计提资产减值准备和核销资产的公告》（公告编号：2025-073）。</w:t>
          </w:r>
        </w:p>
        <w:p w14:paraId="2BF3882B">
          <w:pPr>
            <w:adjustRightInd w:val="0"/>
            <w:snapToGrid w:val="0"/>
            <w:spacing w:line="360" w:lineRule="auto"/>
            <w:ind w:firstLine="420" w:firstLineChars="200"/>
            <w:jc w:val="both"/>
          </w:pPr>
          <w:r>
            <w:rPr>
              <w:rFonts w:hint="eastAsia"/>
            </w:rPr>
            <w:t>3、2026年1月26日，公司召开第十一届董事会第二十二次会议，审议通过了《关于计提减值准备的议案》，基于当前可获得的临床试验数据及对机制科学分析，以及考虑到同类及相关机制产品研发进展与竞争环境变化，为合理配置研发资源，聚焦研发管线中的优势项目，经审慎考量，决定终止THDBH130/THDBH130片项目的临床研究开发工作。具体内容详见公司于2026年1月27日在中国证券报、上海证券报及上海证券交易所网站（www.sse.com.cn）披露的《通化东宝关于计提减值准备的公告》（公告编号：2026-009）。</w:t>
          </w:r>
        </w:p>
      </w:sdtContent>
    </w:sdt>
    <w:p w14:paraId="50A48C9F">
      <w:pPr>
        <w:pStyle w:val="48"/>
      </w:pPr>
    </w:p>
    <w:p w14:paraId="0358AF46">
      <w:pPr>
        <w:pStyle w:val="7"/>
        <w:numPr>
          <w:ilvl w:val="0"/>
          <w:numId w:val="16"/>
        </w:numPr>
      </w:pPr>
      <w:r>
        <w:rPr>
          <w:rFonts w:hint="eastAsia"/>
        </w:rPr>
        <w:t>研发会计政策</w:t>
      </w:r>
    </w:p>
    <w:sdt>
      <w:sdtPr>
        <w:alias w:val="是否适用：研发会计政策[双击切换]"/>
        <w:tag w:val="_GBC_63cd0524499d4e65b6e5540bd23cc59e"/>
        <w:id w:val="-1018239299"/>
        <w:placeholder>
          <w:docPart w:val="GBC22222222222222222222222222222"/>
        </w:placeholder>
      </w:sdtPr>
      <w:sdtContent>
        <w:p w14:paraId="5076DD4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研发会计政策"/>
        <w:tag w:val="_GBC_b2f41daf1b7f461a8331a8971b7ad626"/>
        <w:id w:val="1493835730"/>
        <w:placeholder>
          <w:docPart w:val="GBC22222222222222222222222222222"/>
        </w:placeholder>
      </w:sdtPr>
      <w:sdtContent>
        <w:sdt>
          <w:sdtPr>
            <w:rPr>
              <w:rFonts w:ascii="Calibri" w:hAnsi="Calibri"/>
              <w:kern w:val="2"/>
            </w:rPr>
            <w:alias w:val="研发会计政策"/>
            <w:tag w:val="_GBC_b2f41daf1b7f461a8331a8971b7ad626"/>
            <w:id w:val="1556583946"/>
          </w:sdtPr>
          <w:sdtEndPr>
            <w:rPr>
              <w:rFonts w:ascii="Calibri" w:hAnsi="Calibri"/>
              <w:kern w:val="2"/>
            </w:rPr>
          </w:sdtEndPr>
          <w:sdtContent>
            <w:p w14:paraId="3BDB3EC6">
              <w:pPr>
                <w:topLinePunct/>
                <w:adjustRightInd w:val="0"/>
                <w:snapToGrid w:val="0"/>
                <w:spacing w:line="360" w:lineRule="auto"/>
                <w:ind w:firstLine="420" w:firstLineChars="200"/>
                <w:rPr>
                  <w:rFonts w:ascii="Calibri" w:hAnsi="Calibri" w:cs="宋体"/>
                  <w:szCs w:val="24"/>
                </w:rPr>
              </w:pPr>
              <w:r>
                <w:rPr>
                  <w:rFonts w:hint="eastAsia"/>
                  <w:kern w:val="2"/>
                </w:rPr>
                <w:t>详见第八节五、重要会计政策及会计估计 2</w:t>
              </w:r>
              <w:r>
                <w:rPr>
                  <w:kern w:val="2"/>
                </w:rPr>
                <w:t>6</w:t>
              </w:r>
              <w:r>
                <w:rPr>
                  <w:rFonts w:hint="eastAsia"/>
                  <w:kern w:val="2"/>
                </w:rPr>
                <w:t>、无形资产（2）</w:t>
              </w:r>
              <w:r>
                <w:rPr>
                  <w:kern w:val="2"/>
                </w:rPr>
                <w:t>研发支出的归集范围及相关会计处理方法</w:t>
              </w:r>
              <w:r>
                <w:rPr>
                  <w:rFonts w:hint="eastAsia"/>
                  <w:kern w:val="2"/>
                </w:rPr>
                <w:t>。</w:t>
              </w:r>
            </w:p>
          </w:sdtContent>
        </w:sdt>
      </w:sdtContent>
    </w:sdt>
    <w:p w14:paraId="0C04FF85">
      <w:pPr>
        <w:adjustRightInd w:val="0"/>
        <w:snapToGrid w:val="0"/>
        <w:rPr>
          <w:color w:val="333399"/>
        </w:rPr>
      </w:pPr>
    </w:p>
    <w:p w14:paraId="70F2D11F">
      <w:pPr>
        <w:pStyle w:val="7"/>
        <w:numPr>
          <w:ilvl w:val="0"/>
          <w:numId w:val="16"/>
        </w:numPr>
      </w:pPr>
      <w:r>
        <w:rPr>
          <w:rFonts w:hint="eastAsia"/>
        </w:rPr>
        <w:t>研发投入情况</w:t>
      </w:r>
    </w:p>
    <w:p w14:paraId="59752CDB">
      <w:pPr>
        <w:adjustRightInd w:val="0"/>
        <w:snapToGrid w:val="0"/>
      </w:pPr>
      <w:r>
        <w:rPr>
          <w:rFonts w:hint="eastAsia"/>
        </w:rPr>
        <w:t>同行业比较情况</w:t>
      </w:r>
    </w:p>
    <w:sdt>
      <w:sdtPr>
        <w:rPr>
          <w:rFonts w:hint="eastAsia"/>
        </w:rPr>
        <w:alias w:val="是否适用：同行业研发投入比较情况[双击切换]"/>
        <w:tag w:val="_GBC_ebfffb8e72ee46bca95f70b52c3c907d"/>
        <w:id w:val="-70204459"/>
        <w:placeholder>
          <w:docPart w:val="GBC22222222222222222222222222222"/>
        </w:placeholder>
      </w:sdtPr>
      <w:sdtEndPr>
        <w:rPr>
          <w:rFonts w:hint="default"/>
        </w:rPr>
      </w:sdtEndPr>
      <w:sdtContent>
        <w:p w14:paraId="298FF4C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E2BDA0">
      <w:pPr>
        <w:wordWrap w:val="0"/>
        <w:adjustRightInd w:val="0"/>
        <w:snapToGrid w:val="0"/>
        <w:jc w:val="right"/>
      </w:pPr>
      <w:r>
        <w:rPr>
          <w:rFonts w:hint="eastAsia"/>
        </w:rPr>
        <w:t>单位：</w:t>
      </w:r>
      <w:sdt>
        <w:sdtPr>
          <w:rPr>
            <w:rFonts w:hint="eastAsia"/>
          </w:rPr>
          <w:alias w:val="单位：同行业研发投入比较情况"/>
          <w:tag w:val="_GBC_b74fe19a4cd8441ea4d6d9b9484d7877"/>
          <w:id w:val="9795033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万元</w:t>
          </w:r>
        </w:sdtContent>
      </w:sdt>
      <w:r>
        <w:rPr>
          <w:rFonts w:hint="eastAsia"/>
        </w:rPr>
        <w:t xml:space="preserve">  币种：</w:t>
      </w:r>
      <w:sdt>
        <w:sdtPr>
          <w:rPr>
            <w:rFonts w:hint="eastAsia"/>
          </w:rPr>
          <w:alias w:val="币种：同行业研发投入比较情况"/>
          <w:tag w:val="_GBC_ab5cd4bafe6b450da0a0f29c2b759768"/>
          <w:id w:val="9091111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Style w:val="19"/>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668"/>
        <w:gridCol w:w="884"/>
        <w:gridCol w:w="1261"/>
        <w:gridCol w:w="2045"/>
        <w:gridCol w:w="1837"/>
      </w:tblGrid>
      <w:tr w14:paraId="50DE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sdt>
          <w:sdtPr>
            <w:tag w:val="_PLD_cfa93dd59d74406faf7c6523312cd16c"/>
            <w:id w:val="-2079427701"/>
          </w:sdtPr>
          <w:sdtContent>
            <w:tc>
              <w:tcPr>
                <w:tcW w:w="1838" w:type="dxa"/>
                <w:vAlign w:val="center"/>
              </w:tcPr>
              <w:p w14:paraId="522D0B61">
                <w:pPr>
                  <w:adjustRightInd w:val="0"/>
                  <w:snapToGrid w:val="0"/>
                  <w:jc w:val="center"/>
                </w:pPr>
                <w:bookmarkStart w:id="68" w:name="_Hlk60858687"/>
                <w:r>
                  <w:rPr>
                    <w:rFonts w:hint="eastAsia"/>
                  </w:rPr>
                  <w:t>同行业可比公司</w:t>
                </w:r>
              </w:p>
            </w:tc>
          </w:sdtContent>
        </w:sdt>
        <w:sdt>
          <w:sdtPr>
            <w:tag w:val="_PLD_36b15138eba44afb8cccd430a89e41d3"/>
            <w:id w:val="-465513767"/>
          </w:sdtPr>
          <w:sdtContent>
            <w:tc>
              <w:tcPr>
                <w:tcW w:w="1668" w:type="dxa"/>
                <w:vAlign w:val="center"/>
              </w:tcPr>
              <w:p w14:paraId="5DE4A63E">
                <w:pPr>
                  <w:adjustRightInd w:val="0"/>
                  <w:snapToGrid w:val="0"/>
                  <w:jc w:val="center"/>
                </w:pPr>
                <w:r>
                  <w:rPr>
                    <w:rFonts w:hint="eastAsia"/>
                  </w:rPr>
                  <w:t>研发投入金额</w:t>
                </w:r>
              </w:p>
            </w:tc>
          </w:sdtContent>
        </w:sdt>
        <w:sdt>
          <w:sdtPr>
            <w:tag w:val="_PLD_99642aaefead4beca2c949cb0dbebe82"/>
            <w:id w:val="1126050891"/>
          </w:sdtPr>
          <w:sdtContent>
            <w:tc>
              <w:tcPr>
                <w:tcW w:w="2145" w:type="dxa"/>
                <w:gridSpan w:val="2"/>
                <w:vAlign w:val="center"/>
              </w:tcPr>
              <w:p w14:paraId="2984A791">
                <w:pPr>
                  <w:adjustRightInd w:val="0"/>
                  <w:snapToGrid w:val="0"/>
                  <w:jc w:val="center"/>
                </w:pPr>
                <w:r>
                  <w:rPr>
                    <w:rFonts w:hint="eastAsia"/>
                  </w:rPr>
                  <w:t>研发投入占营业收入比例（%）</w:t>
                </w:r>
              </w:p>
            </w:tc>
          </w:sdtContent>
        </w:sdt>
        <w:sdt>
          <w:sdtPr>
            <w:tag w:val="_PLD_386e0f1015d54201851d8997b64d2f9d"/>
            <w:id w:val="-1684656912"/>
          </w:sdtPr>
          <w:sdtContent>
            <w:tc>
              <w:tcPr>
                <w:tcW w:w="2045" w:type="dxa"/>
                <w:vAlign w:val="center"/>
              </w:tcPr>
              <w:p w14:paraId="3B4B8C3D">
                <w:pPr>
                  <w:adjustRightInd w:val="0"/>
                  <w:snapToGrid w:val="0"/>
                  <w:jc w:val="center"/>
                </w:pPr>
                <w:r>
                  <w:rPr>
                    <w:rFonts w:hint="eastAsia"/>
                  </w:rPr>
                  <w:t>研发投入占净资产比例（%）</w:t>
                </w:r>
              </w:p>
            </w:tc>
          </w:sdtContent>
        </w:sdt>
        <w:tc>
          <w:tcPr>
            <w:tcW w:w="1837" w:type="dxa"/>
            <w:vAlign w:val="center"/>
          </w:tcPr>
          <w:sdt>
            <w:sdtPr>
              <w:tag w:val="_PLD_d6f4b2a2c1dc40f0b7b8b92016c6a098"/>
              <w:id w:val="878518737"/>
            </w:sdtPr>
            <w:sdtContent>
              <w:p w14:paraId="78389102">
                <w:pPr>
                  <w:adjustRightInd w:val="0"/>
                  <w:snapToGrid w:val="0"/>
                  <w:jc w:val="center"/>
                </w:pPr>
                <w:r>
                  <w:rPr>
                    <w:rFonts w:hint="eastAsia"/>
                  </w:rPr>
                  <w:t>研发投入资本化比重（%</w:t>
                </w:r>
                <w:r>
                  <w:t>）</w:t>
                </w:r>
              </w:p>
            </w:sdtContent>
          </w:sdt>
        </w:tc>
      </w:tr>
      <w:tr w14:paraId="5A6C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838" w:type="dxa"/>
            <w:vAlign w:val="center"/>
          </w:tcPr>
          <w:p w14:paraId="15ED5050">
            <w:r>
              <w:rPr>
                <w:rFonts w:hint="eastAsia"/>
              </w:rPr>
              <w:t>博雅生物</w:t>
            </w:r>
          </w:p>
        </w:tc>
        <w:tc>
          <w:tcPr>
            <w:tcW w:w="1668" w:type="dxa"/>
            <w:vAlign w:val="center"/>
          </w:tcPr>
          <w:p w14:paraId="6BE420D4">
            <w:pPr>
              <w:jc w:val="right"/>
            </w:pPr>
            <w:r>
              <w:t>9,705.57</w:t>
            </w:r>
          </w:p>
        </w:tc>
        <w:tc>
          <w:tcPr>
            <w:tcW w:w="2145" w:type="dxa"/>
            <w:gridSpan w:val="2"/>
            <w:vAlign w:val="center"/>
          </w:tcPr>
          <w:p w14:paraId="33E044DA">
            <w:pPr>
              <w:jc w:val="right"/>
            </w:pPr>
            <w:r>
              <w:rPr>
                <w:rFonts w:hint="eastAsia"/>
              </w:rPr>
              <w:t>4</w:t>
            </w:r>
            <w:r>
              <w:t>.71</w:t>
            </w:r>
          </w:p>
        </w:tc>
        <w:tc>
          <w:tcPr>
            <w:tcW w:w="2045" w:type="dxa"/>
            <w:vAlign w:val="center"/>
          </w:tcPr>
          <w:p w14:paraId="600CB784">
            <w:pPr>
              <w:jc w:val="right"/>
            </w:pPr>
            <w:r>
              <w:t>1.30</w:t>
            </w:r>
          </w:p>
        </w:tc>
        <w:tc>
          <w:tcPr>
            <w:tcW w:w="1837" w:type="dxa"/>
            <w:vAlign w:val="center"/>
          </w:tcPr>
          <w:p w14:paraId="35F477C0">
            <w:pPr>
              <w:jc w:val="right"/>
            </w:pPr>
            <w:r>
              <w:t>43.79</w:t>
            </w:r>
          </w:p>
        </w:tc>
      </w:tr>
      <w:tr w14:paraId="7940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838" w:type="dxa"/>
            <w:vAlign w:val="center"/>
          </w:tcPr>
          <w:p w14:paraId="3F447640">
            <w:r>
              <w:rPr>
                <w:rFonts w:hint="eastAsia"/>
              </w:rPr>
              <w:t>华润三九</w:t>
            </w:r>
          </w:p>
        </w:tc>
        <w:tc>
          <w:tcPr>
            <w:tcW w:w="1668" w:type="dxa"/>
            <w:vAlign w:val="center"/>
          </w:tcPr>
          <w:p w14:paraId="667EC769">
            <w:pPr>
              <w:jc w:val="right"/>
            </w:pPr>
            <w:r>
              <w:t>173,350.71</w:t>
            </w:r>
          </w:p>
        </w:tc>
        <w:tc>
          <w:tcPr>
            <w:tcW w:w="2145" w:type="dxa"/>
            <w:gridSpan w:val="2"/>
            <w:vAlign w:val="center"/>
          </w:tcPr>
          <w:p w14:paraId="7A723913">
            <w:pPr>
              <w:jc w:val="right"/>
            </w:pPr>
            <w:r>
              <w:rPr>
                <w:rFonts w:hint="eastAsia"/>
              </w:rPr>
              <w:t>5</w:t>
            </w:r>
            <w:r>
              <w:t>.49</w:t>
            </w:r>
          </w:p>
        </w:tc>
        <w:tc>
          <w:tcPr>
            <w:tcW w:w="2045" w:type="dxa"/>
            <w:vAlign w:val="center"/>
          </w:tcPr>
          <w:p w14:paraId="587DEECF">
            <w:pPr>
              <w:jc w:val="right"/>
            </w:pPr>
            <w:r>
              <w:t>7.82</w:t>
            </w:r>
          </w:p>
        </w:tc>
        <w:tc>
          <w:tcPr>
            <w:tcW w:w="1837" w:type="dxa"/>
            <w:vAlign w:val="center"/>
          </w:tcPr>
          <w:p w14:paraId="242DD2A3">
            <w:pPr>
              <w:jc w:val="right"/>
            </w:pPr>
            <w:r>
              <w:t>27.07</w:t>
            </w:r>
          </w:p>
        </w:tc>
      </w:tr>
      <w:tr w14:paraId="25FB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838" w:type="dxa"/>
            <w:vAlign w:val="center"/>
          </w:tcPr>
          <w:p w14:paraId="6D70AE20">
            <w:r>
              <w:rPr>
                <w:rFonts w:hint="eastAsia"/>
              </w:rPr>
              <w:t>复星医药</w:t>
            </w:r>
          </w:p>
        </w:tc>
        <w:tc>
          <w:tcPr>
            <w:tcW w:w="1668" w:type="dxa"/>
            <w:vAlign w:val="center"/>
          </w:tcPr>
          <w:p w14:paraId="7E5ED76A">
            <w:pPr>
              <w:jc w:val="right"/>
            </w:pPr>
            <w:r>
              <w:t>591,225.60</w:t>
            </w:r>
          </w:p>
        </w:tc>
        <w:tc>
          <w:tcPr>
            <w:tcW w:w="2145" w:type="dxa"/>
            <w:gridSpan w:val="2"/>
            <w:vAlign w:val="center"/>
          </w:tcPr>
          <w:p w14:paraId="308933AE">
            <w:pPr>
              <w:jc w:val="right"/>
            </w:pPr>
            <w:r>
              <w:rPr>
                <w:rFonts w:hint="eastAsia"/>
              </w:rPr>
              <w:t>1</w:t>
            </w:r>
            <w:r>
              <w:t>4.19</w:t>
            </w:r>
          </w:p>
        </w:tc>
        <w:tc>
          <w:tcPr>
            <w:tcW w:w="2045" w:type="dxa"/>
            <w:vAlign w:val="center"/>
          </w:tcPr>
          <w:p w14:paraId="36456D24">
            <w:pPr>
              <w:jc w:val="right"/>
            </w:pPr>
            <w:r>
              <w:t>12.13</w:t>
            </w:r>
          </w:p>
        </w:tc>
        <w:tc>
          <w:tcPr>
            <w:tcW w:w="1837" w:type="dxa"/>
            <w:vAlign w:val="center"/>
          </w:tcPr>
          <w:p w14:paraId="0507FC57">
            <w:pPr>
              <w:jc w:val="right"/>
            </w:pPr>
            <w:r>
              <w:t>32.13</w:t>
            </w:r>
          </w:p>
        </w:tc>
      </w:tr>
      <w:tr w14:paraId="1021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838" w:type="dxa"/>
            <w:vAlign w:val="center"/>
          </w:tcPr>
          <w:p w14:paraId="7E1BD296">
            <w:r>
              <w:rPr>
                <w:rFonts w:hint="eastAsia"/>
              </w:rPr>
              <w:t>博瑞医药</w:t>
            </w:r>
          </w:p>
        </w:tc>
        <w:tc>
          <w:tcPr>
            <w:tcW w:w="1668" w:type="dxa"/>
            <w:vAlign w:val="center"/>
          </w:tcPr>
          <w:p w14:paraId="50E6A3AC">
            <w:pPr>
              <w:jc w:val="right"/>
            </w:pPr>
            <w:r>
              <w:t>59,338.37</w:t>
            </w:r>
          </w:p>
        </w:tc>
        <w:tc>
          <w:tcPr>
            <w:tcW w:w="2145" w:type="dxa"/>
            <w:gridSpan w:val="2"/>
            <w:vAlign w:val="center"/>
          </w:tcPr>
          <w:p w14:paraId="5455234B">
            <w:pPr>
              <w:jc w:val="right"/>
            </w:pPr>
            <w:r>
              <w:rPr>
                <w:rFonts w:hint="eastAsia"/>
              </w:rPr>
              <w:t>4</w:t>
            </w:r>
            <w:r>
              <w:t>8.49</w:t>
            </w:r>
          </w:p>
        </w:tc>
        <w:tc>
          <w:tcPr>
            <w:tcW w:w="2045" w:type="dxa"/>
            <w:vAlign w:val="center"/>
          </w:tcPr>
          <w:p w14:paraId="77D0509E">
            <w:pPr>
              <w:jc w:val="right"/>
            </w:pPr>
            <w:r>
              <w:t>23.54</w:t>
            </w:r>
          </w:p>
        </w:tc>
        <w:tc>
          <w:tcPr>
            <w:tcW w:w="1837" w:type="dxa"/>
            <w:vAlign w:val="center"/>
          </w:tcPr>
          <w:p w14:paraId="2CBBB6AE">
            <w:pPr>
              <w:jc w:val="right"/>
            </w:pPr>
            <w:r>
              <w:t>48.61</w:t>
            </w:r>
          </w:p>
        </w:tc>
      </w:tr>
      <w:tr w14:paraId="4366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838" w:type="dxa"/>
            <w:vAlign w:val="center"/>
          </w:tcPr>
          <w:p w14:paraId="4230B8E1">
            <w:r>
              <w:rPr>
                <w:rFonts w:hint="eastAsia"/>
              </w:rPr>
              <w:t>天坛生物</w:t>
            </w:r>
          </w:p>
        </w:tc>
        <w:tc>
          <w:tcPr>
            <w:tcW w:w="1668" w:type="dxa"/>
            <w:vAlign w:val="center"/>
          </w:tcPr>
          <w:p w14:paraId="1542023A">
            <w:pPr>
              <w:jc w:val="right"/>
            </w:pPr>
            <w:r>
              <w:t>35,036.14</w:t>
            </w:r>
          </w:p>
        </w:tc>
        <w:tc>
          <w:tcPr>
            <w:tcW w:w="2145" w:type="dxa"/>
            <w:gridSpan w:val="2"/>
            <w:vAlign w:val="center"/>
          </w:tcPr>
          <w:p w14:paraId="2EF0FC81">
            <w:pPr>
              <w:jc w:val="right"/>
            </w:pPr>
            <w:r>
              <w:rPr>
                <w:rFonts w:hint="eastAsia"/>
              </w:rPr>
              <w:t>5</w:t>
            </w:r>
            <w:r>
              <w:t>.68</w:t>
            </w:r>
          </w:p>
        </w:tc>
        <w:tc>
          <w:tcPr>
            <w:tcW w:w="2045" w:type="dxa"/>
            <w:vAlign w:val="center"/>
          </w:tcPr>
          <w:p w14:paraId="69B68558">
            <w:pPr>
              <w:jc w:val="right"/>
            </w:pPr>
            <w:r>
              <w:t>2.99</w:t>
            </w:r>
          </w:p>
        </w:tc>
        <w:tc>
          <w:tcPr>
            <w:tcW w:w="1837" w:type="dxa"/>
            <w:vAlign w:val="center"/>
          </w:tcPr>
          <w:p w14:paraId="1F8D4EF3">
            <w:pPr>
              <w:jc w:val="right"/>
            </w:pPr>
            <w:r>
              <w:t>58.82</w:t>
            </w:r>
          </w:p>
        </w:tc>
      </w:tr>
      <w:tr w14:paraId="513B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390" w:type="dxa"/>
            <w:gridSpan w:val="3"/>
            <w:vAlign w:val="center"/>
          </w:tcPr>
          <w:p w14:paraId="6FBC8F63">
            <w:pPr>
              <w:adjustRightInd w:val="0"/>
              <w:snapToGrid w:val="0"/>
            </w:pPr>
            <w:r>
              <w:rPr>
                <w:rFonts w:hint="eastAsia"/>
              </w:rPr>
              <w:t>同行业平均研发投入金额</w:t>
            </w:r>
          </w:p>
        </w:tc>
        <w:tc>
          <w:tcPr>
            <w:tcW w:w="5143" w:type="dxa"/>
            <w:gridSpan w:val="3"/>
            <w:vAlign w:val="center"/>
          </w:tcPr>
          <w:p w14:paraId="33400216">
            <w:pPr>
              <w:jc w:val="right"/>
            </w:pPr>
            <w:r>
              <w:t>173,731.28</w:t>
            </w:r>
          </w:p>
        </w:tc>
      </w:tr>
      <w:tr w14:paraId="1266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390" w:type="dxa"/>
            <w:gridSpan w:val="3"/>
            <w:vAlign w:val="center"/>
          </w:tcPr>
          <w:p w14:paraId="23A577F2">
            <w:pPr>
              <w:adjustRightInd w:val="0"/>
              <w:snapToGrid w:val="0"/>
            </w:pPr>
            <w:r>
              <w:rPr>
                <w:rFonts w:hint="eastAsia"/>
              </w:rPr>
              <w:t>公司报告期内研发投入占营业收入比例（%</w:t>
            </w:r>
            <w:r>
              <w:t>）</w:t>
            </w:r>
          </w:p>
        </w:tc>
        <w:tc>
          <w:tcPr>
            <w:tcW w:w="5143" w:type="dxa"/>
            <w:gridSpan w:val="3"/>
            <w:vAlign w:val="center"/>
          </w:tcPr>
          <w:p w14:paraId="130D6E80">
            <w:pPr>
              <w:jc w:val="right"/>
            </w:pPr>
            <w:r>
              <w:rPr>
                <w:rFonts w:hint="eastAsia"/>
              </w:rPr>
              <w:t>1</w:t>
            </w:r>
            <w:r>
              <w:t>7.16</w:t>
            </w:r>
          </w:p>
        </w:tc>
      </w:tr>
      <w:tr w14:paraId="6ABC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390" w:type="dxa"/>
            <w:gridSpan w:val="3"/>
            <w:vAlign w:val="center"/>
          </w:tcPr>
          <w:p w14:paraId="06F6574B">
            <w:pPr>
              <w:adjustRightInd w:val="0"/>
              <w:snapToGrid w:val="0"/>
            </w:pPr>
            <w:r>
              <w:rPr>
                <w:rFonts w:hint="eastAsia"/>
              </w:rPr>
              <w:t>公司报告期内研发投入占净资产比例（%</w:t>
            </w:r>
            <w:r>
              <w:t>）</w:t>
            </w:r>
          </w:p>
        </w:tc>
        <w:tc>
          <w:tcPr>
            <w:tcW w:w="5143" w:type="dxa"/>
            <w:gridSpan w:val="3"/>
            <w:vAlign w:val="center"/>
          </w:tcPr>
          <w:p w14:paraId="0221190D">
            <w:pPr>
              <w:jc w:val="right"/>
            </w:pPr>
            <w:r>
              <w:rPr>
                <w:rFonts w:hint="eastAsia"/>
              </w:rPr>
              <w:t>7</w:t>
            </w:r>
            <w:r>
              <w:t>.12</w:t>
            </w:r>
          </w:p>
        </w:tc>
      </w:tr>
      <w:tr w14:paraId="399A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390" w:type="dxa"/>
            <w:gridSpan w:val="3"/>
            <w:vAlign w:val="center"/>
          </w:tcPr>
          <w:p w14:paraId="602754D8">
            <w:pPr>
              <w:adjustRightInd w:val="0"/>
              <w:snapToGrid w:val="0"/>
            </w:pPr>
            <w:r>
              <w:rPr>
                <w:rFonts w:hint="eastAsia"/>
              </w:rPr>
              <w:t>公司报告期内研发投入资本化比重（%</w:t>
            </w:r>
            <w:r>
              <w:t>）</w:t>
            </w:r>
          </w:p>
        </w:tc>
        <w:tc>
          <w:tcPr>
            <w:tcW w:w="5143" w:type="dxa"/>
            <w:gridSpan w:val="3"/>
            <w:vAlign w:val="center"/>
          </w:tcPr>
          <w:p w14:paraId="54E05D53">
            <w:pPr>
              <w:jc w:val="right"/>
            </w:pPr>
            <w:r>
              <w:rPr>
                <w:rFonts w:hint="eastAsia"/>
              </w:rPr>
              <w:t>6</w:t>
            </w:r>
            <w:r>
              <w:t>6.96</w:t>
            </w:r>
          </w:p>
        </w:tc>
      </w:tr>
    </w:tbl>
    <w:p w14:paraId="31768E39"/>
    <w:p w14:paraId="5E3465AE">
      <w:pPr>
        <w:pStyle w:val="48"/>
        <w:spacing w:line="360" w:lineRule="auto"/>
        <w:ind w:firstLine="420" w:firstLineChars="200"/>
      </w:pPr>
      <w:r>
        <w:rPr>
          <w:rFonts w:hint="eastAsia" w:ascii="Times New Roman" w:hAnsi="Times New Roman"/>
        </w:rPr>
        <w:t>注</w:t>
      </w:r>
      <w:r>
        <w:rPr>
          <w:rFonts w:ascii="Times New Roman" w:hAnsi="Times New Roman"/>
        </w:rPr>
        <w:t>:上述表格中同行业公司数据来源于2025年年度报告；同行业平均研发投入金额为五家同行业公司的平均数。</w:t>
      </w:r>
    </w:p>
    <w:bookmarkEnd w:id="68"/>
    <w:p w14:paraId="0D23DD21">
      <w:pPr>
        <w:pStyle w:val="48"/>
      </w:pPr>
      <w:r>
        <w:rPr>
          <w:rFonts w:hint="eastAsia"/>
        </w:rPr>
        <w:t>研发投入发生重大变化以及研发投入比重、资本化比重合理性的说明</w:t>
      </w:r>
    </w:p>
    <w:sdt>
      <w:sdtPr>
        <w:rPr>
          <w:rFonts w:hint="eastAsia"/>
        </w:rPr>
        <w:alias w:val="是否适用：研发投入发生重大变化以及研发投入比重合理性的说明[双击切换]"/>
        <w:tag w:val="_GBC_bb2c5a3920a9440ca9a423f11f12606e"/>
        <w:id w:val="643858897"/>
        <w:placeholder>
          <w:docPart w:val="GBC22222222222222222222222222222"/>
        </w:placeholder>
      </w:sdtPr>
      <w:sdtEndPr>
        <w:rPr>
          <w:rFonts w:hint="eastAsia"/>
        </w:rPr>
      </w:sdtEndPr>
      <w:sdtContent>
        <w:p w14:paraId="2BFA728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研发投入发生重大变化以及研发投入比重合理性的说明"/>
        <w:tag w:val="_GBC_5e8276ddc3b6491b98892166da53492a"/>
        <w:id w:val="325484156"/>
        <w:placeholder>
          <w:docPart w:val="GBC22222222222222222222222222222"/>
        </w:placeholder>
      </w:sdtPr>
      <w:sdtEndPr>
        <w:rPr>
          <w:rFonts w:hint="eastAsia"/>
        </w:rPr>
      </w:sdtEndPr>
      <w:sdtContent>
        <w:sdt>
          <w:sdtPr>
            <w:rPr>
              <w:rFonts w:ascii="Calibri" w:hAnsi="Calibri"/>
              <w:kern w:val="2"/>
            </w:rPr>
            <w:alias w:val="研发投入发生重大变化以及研发投入比重合理性的说明"/>
            <w:tag w:val="_GBC_5e8276ddc3b6491b98892166da53492a"/>
            <w:id w:val="2117711831"/>
          </w:sdtPr>
          <w:sdtEndPr>
            <w:rPr>
              <w:rFonts w:hint="eastAsia" w:ascii="Calibri" w:hAnsi="Calibri"/>
              <w:kern w:val="2"/>
            </w:rPr>
          </w:sdtEndPr>
          <w:sdtContent>
            <w:p w14:paraId="3AA5E83E">
              <w:pPr>
                <w:adjustRightInd w:val="0"/>
                <w:snapToGrid w:val="0"/>
                <w:spacing w:line="360" w:lineRule="auto"/>
                <w:ind w:firstLine="480"/>
                <w:jc w:val="both"/>
                <w:rPr>
                  <w:rFonts w:ascii="Calibri" w:hAnsi="Calibri"/>
                  <w:kern w:val="2"/>
                </w:rPr>
              </w:pPr>
              <w:r>
                <w:rPr>
                  <w:rFonts w:hint="eastAsia" w:ascii="Calibri" w:hAnsi="Calibri"/>
                  <w:kern w:val="2"/>
                </w:rPr>
                <w:t>报告期，公司研发投入5</w:t>
              </w:r>
              <w:r>
                <w:rPr>
                  <w:rFonts w:ascii="Calibri" w:hAnsi="Calibri"/>
                  <w:kern w:val="2"/>
                </w:rPr>
                <w:t>0,585.41</w:t>
              </w:r>
              <w:r>
                <w:rPr>
                  <w:rFonts w:hint="eastAsia" w:ascii="Calibri" w:hAnsi="Calibri"/>
                  <w:kern w:val="2"/>
                </w:rPr>
                <w:t>万元，较上年增长1</w:t>
              </w:r>
              <w:r>
                <w:rPr>
                  <w:rFonts w:ascii="Calibri" w:hAnsi="Calibri"/>
                  <w:kern w:val="2"/>
                </w:rPr>
                <w:t>2.30%</w:t>
              </w:r>
              <w:r>
                <w:rPr>
                  <w:rFonts w:hint="eastAsia" w:ascii="Calibri" w:hAnsi="Calibri"/>
                  <w:kern w:val="2"/>
                </w:rPr>
                <w:t>。</w:t>
              </w:r>
              <w:r>
                <w:rPr>
                  <w:rFonts w:ascii="Calibri" w:hAnsi="Calibri"/>
                  <w:kern w:val="2"/>
                </w:rPr>
                <w:t>随着医疗卫生体制改革持续深化，医疗保障制度、药品管理制度等新政策，国家医保目录调整，带量采购扩围，对医药行业带来深刻影响，医药行业市场增速已进入平稳增长的阶段，行业内部分化持续加剧，创新成为行业的发展方向，优质创新型企业抓住行业机遇，持续加大研发投入。为增强核心竞争力，公司一直以来高度重视研发投入，每年持续增加研发支出。公司现阶段的研发投入情况能够满足未来发展的需求</w:t>
              </w:r>
              <w:r>
                <w:rPr>
                  <w:rFonts w:hint="eastAsia" w:ascii="Calibri" w:hAnsi="Calibri"/>
                  <w:kern w:val="2"/>
                </w:rPr>
                <w:t>。</w:t>
              </w:r>
            </w:p>
          </w:sdtContent>
        </w:sdt>
      </w:sdtContent>
    </w:sdt>
    <w:p w14:paraId="7580857A">
      <w:pPr>
        <w:pStyle w:val="48"/>
      </w:pPr>
    </w:p>
    <w:p w14:paraId="5BE78F97">
      <w:pPr>
        <w:adjustRightInd w:val="0"/>
        <w:snapToGrid w:val="0"/>
      </w:pPr>
      <w:r>
        <w:rPr>
          <w:rFonts w:hint="eastAsia"/>
        </w:rPr>
        <w:t>主要研发项目投入情况</w:t>
      </w:r>
    </w:p>
    <w:sdt>
      <w:sdtPr>
        <w:rPr>
          <w:rFonts w:hint="eastAsia"/>
        </w:rPr>
        <w:alias w:val="是否适用：主要药（产）品研发投入情况[双击切换]"/>
        <w:tag w:val="_GBC_964f4305221241c3b69c5e2dd89b83f5"/>
        <w:id w:val="-1276935836"/>
        <w:placeholder>
          <w:docPart w:val="GBC22222222222222222222222222222"/>
        </w:placeholder>
      </w:sdtPr>
      <w:sdtEndPr>
        <w:rPr>
          <w:rFonts w:hint="eastAsia"/>
        </w:rPr>
      </w:sdtEndPr>
      <w:sdtContent>
        <w:p w14:paraId="541C655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03B1AAC">
      <w:pPr>
        <w:wordWrap w:val="0"/>
        <w:adjustRightInd w:val="0"/>
        <w:snapToGrid w:val="0"/>
        <w:jc w:val="right"/>
      </w:pPr>
      <w:r>
        <w:rPr>
          <w:rFonts w:hint="eastAsia"/>
        </w:rPr>
        <w:t>单位：</w:t>
      </w:r>
      <w:sdt>
        <w:sdtPr>
          <w:rPr>
            <w:rFonts w:hint="eastAsia"/>
          </w:rPr>
          <w:alias w:val="单位：主要药（产）品研发投入情况"/>
          <w:tag w:val="_GBC_66bee3a4b6894f6695dfd4a42f9e0d93"/>
          <w:id w:val="7916383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万元</w:t>
          </w:r>
        </w:sdtContent>
      </w:sdt>
      <w:r>
        <w:rPr>
          <w:rFonts w:hint="eastAsia"/>
        </w:rPr>
        <w:t xml:space="preserve">  币种：</w:t>
      </w:r>
      <w:sdt>
        <w:sdtPr>
          <w:rPr>
            <w:rFonts w:hint="eastAsia"/>
          </w:rPr>
          <w:alias w:val="币种：主要药（产）品研发投入情况"/>
          <w:tag w:val="_GBC_bbee030f5c4947e18a2d11b37d1f57c0"/>
          <w:id w:val="14297706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Style w:val="57"/>
        <w:tblW w:w="10588"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1559"/>
        <w:gridCol w:w="1276"/>
        <w:gridCol w:w="1276"/>
        <w:gridCol w:w="1275"/>
        <w:gridCol w:w="1134"/>
        <w:gridCol w:w="1090"/>
      </w:tblGrid>
      <w:tr w14:paraId="6760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978" w:type="dxa"/>
            <w:vAlign w:val="center"/>
          </w:tcPr>
          <w:sdt>
            <w:sdtPr>
              <w:tag w:val="_PLD_df4b1c9a0870447f8390568f850bb45d"/>
              <w:id w:val="-1539269403"/>
            </w:sdtPr>
            <w:sdtContent>
              <w:p w14:paraId="7E0124A9">
                <w:pPr>
                  <w:adjustRightInd w:val="0"/>
                  <w:snapToGrid w:val="0"/>
                  <w:jc w:val="center"/>
                  <w:rPr>
                    <w:rFonts w:ascii="Calibri" w:hAnsi="Calibri"/>
                    <w:sz w:val="20"/>
                    <w:szCs w:val="20"/>
                  </w:rPr>
                </w:pPr>
                <w:r>
                  <w:rPr>
                    <w:rFonts w:hint="eastAsia" w:ascii="Calibri" w:hAnsi="Calibri"/>
                    <w:sz w:val="20"/>
                    <w:szCs w:val="20"/>
                  </w:rPr>
                  <w:t>研发项目</w:t>
                </w:r>
              </w:p>
            </w:sdtContent>
          </w:sdt>
        </w:tc>
        <w:sdt>
          <w:sdtPr>
            <w:tag w:val="_PLD_828e60f648b149a1b68f767ebc4af972"/>
            <w:id w:val="1830012390"/>
          </w:sdtPr>
          <w:sdtContent>
            <w:tc>
              <w:tcPr>
                <w:tcW w:w="1559" w:type="dxa"/>
                <w:vAlign w:val="center"/>
              </w:tcPr>
              <w:p w14:paraId="74C8BAF6">
                <w:pPr>
                  <w:adjustRightInd w:val="0"/>
                  <w:snapToGrid w:val="0"/>
                  <w:jc w:val="center"/>
                  <w:rPr>
                    <w:rFonts w:ascii="Calibri" w:hAnsi="Calibri"/>
                    <w:sz w:val="20"/>
                    <w:szCs w:val="20"/>
                  </w:rPr>
                </w:pPr>
                <w:r>
                  <w:rPr>
                    <w:rFonts w:hint="eastAsia" w:ascii="Calibri" w:hAnsi="Calibri"/>
                    <w:sz w:val="20"/>
                    <w:szCs w:val="20"/>
                  </w:rPr>
                  <w:t>研发投入金额</w:t>
                </w:r>
              </w:p>
            </w:tc>
          </w:sdtContent>
        </w:sdt>
        <w:sdt>
          <w:sdtPr>
            <w:tag w:val="_PLD_81dcd26b6a9a4eaaa3c76fbdb0f18e6b"/>
            <w:id w:val="-2144643293"/>
          </w:sdtPr>
          <w:sdtContent>
            <w:tc>
              <w:tcPr>
                <w:tcW w:w="1276" w:type="dxa"/>
                <w:vAlign w:val="center"/>
              </w:tcPr>
              <w:p w14:paraId="6BA7CD9B">
                <w:pPr>
                  <w:adjustRightInd w:val="0"/>
                  <w:snapToGrid w:val="0"/>
                  <w:jc w:val="center"/>
                  <w:rPr>
                    <w:rFonts w:ascii="Calibri" w:hAnsi="Calibri"/>
                    <w:sz w:val="20"/>
                    <w:szCs w:val="20"/>
                  </w:rPr>
                </w:pPr>
                <w:r>
                  <w:rPr>
                    <w:rFonts w:hint="eastAsia" w:ascii="Calibri" w:hAnsi="Calibri"/>
                    <w:sz w:val="20"/>
                    <w:szCs w:val="20"/>
                  </w:rPr>
                  <w:t>研发投入费用化金额</w:t>
                </w:r>
              </w:p>
            </w:tc>
          </w:sdtContent>
        </w:sdt>
        <w:sdt>
          <w:sdtPr>
            <w:tag w:val="_PLD_1b276195168f4ce0940842d33f1d8e8a"/>
            <w:id w:val="699822514"/>
          </w:sdtPr>
          <w:sdtContent>
            <w:tc>
              <w:tcPr>
                <w:tcW w:w="1276" w:type="dxa"/>
                <w:vAlign w:val="center"/>
              </w:tcPr>
              <w:p w14:paraId="1037E6B2">
                <w:pPr>
                  <w:adjustRightInd w:val="0"/>
                  <w:snapToGrid w:val="0"/>
                  <w:jc w:val="center"/>
                  <w:rPr>
                    <w:rFonts w:ascii="Calibri" w:hAnsi="Calibri"/>
                    <w:sz w:val="20"/>
                    <w:szCs w:val="20"/>
                  </w:rPr>
                </w:pPr>
                <w:r>
                  <w:rPr>
                    <w:rFonts w:hint="eastAsia" w:ascii="Calibri" w:hAnsi="Calibri"/>
                    <w:sz w:val="20"/>
                    <w:szCs w:val="20"/>
                  </w:rPr>
                  <w:t>研发投入资本化金额</w:t>
                </w:r>
              </w:p>
            </w:tc>
          </w:sdtContent>
        </w:sdt>
        <w:sdt>
          <w:sdtPr>
            <w:tag w:val="_PLD_f00232e271cc453cb11710c31c92a993"/>
            <w:id w:val="121129170"/>
          </w:sdtPr>
          <w:sdtContent>
            <w:tc>
              <w:tcPr>
                <w:tcW w:w="1275" w:type="dxa"/>
                <w:vAlign w:val="center"/>
              </w:tcPr>
              <w:p w14:paraId="6C0AB94D">
                <w:pPr>
                  <w:adjustRightInd w:val="0"/>
                  <w:snapToGrid w:val="0"/>
                  <w:jc w:val="center"/>
                  <w:rPr>
                    <w:rFonts w:ascii="Calibri" w:hAnsi="Calibri"/>
                    <w:sz w:val="20"/>
                    <w:szCs w:val="20"/>
                  </w:rPr>
                </w:pPr>
                <w:r>
                  <w:rPr>
                    <w:rFonts w:hint="eastAsia" w:ascii="Calibri" w:hAnsi="Calibri"/>
                    <w:sz w:val="20"/>
                    <w:szCs w:val="20"/>
                  </w:rPr>
                  <w:t>研发投入占营业收入比例（%）</w:t>
                </w:r>
              </w:p>
            </w:tc>
          </w:sdtContent>
        </w:sdt>
        <w:sdt>
          <w:sdtPr>
            <w:tag w:val="_PLD_db5a146066ea45218c60a20f4a658a96"/>
            <w:id w:val="-49235572"/>
          </w:sdtPr>
          <w:sdtContent>
            <w:tc>
              <w:tcPr>
                <w:tcW w:w="1134" w:type="dxa"/>
                <w:vAlign w:val="center"/>
              </w:tcPr>
              <w:p w14:paraId="6798548A">
                <w:pPr>
                  <w:adjustRightInd w:val="0"/>
                  <w:snapToGrid w:val="0"/>
                  <w:jc w:val="center"/>
                  <w:rPr>
                    <w:rFonts w:ascii="Calibri" w:hAnsi="Calibri"/>
                    <w:sz w:val="20"/>
                    <w:szCs w:val="20"/>
                  </w:rPr>
                </w:pPr>
                <w:r>
                  <w:rPr>
                    <w:rFonts w:hint="eastAsia" w:ascii="Calibri" w:hAnsi="Calibri"/>
                    <w:sz w:val="20"/>
                    <w:szCs w:val="20"/>
                  </w:rPr>
                  <w:t>本期金额较上年同期变动比例（%）</w:t>
                </w:r>
              </w:p>
            </w:tc>
          </w:sdtContent>
        </w:sdt>
        <w:sdt>
          <w:sdtPr>
            <w:tag w:val="_PLD_9c3ab5849f5f4b8d84f8f3eb602ee609"/>
            <w:id w:val="-1777319854"/>
          </w:sdtPr>
          <w:sdtContent>
            <w:tc>
              <w:tcPr>
                <w:tcW w:w="1090" w:type="dxa"/>
                <w:vAlign w:val="center"/>
              </w:tcPr>
              <w:p w14:paraId="79E373B4">
                <w:pPr>
                  <w:adjustRightInd w:val="0"/>
                  <w:snapToGrid w:val="0"/>
                  <w:jc w:val="center"/>
                  <w:rPr>
                    <w:rFonts w:ascii="Calibri" w:hAnsi="Calibri"/>
                    <w:sz w:val="20"/>
                    <w:szCs w:val="20"/>
                  </w:rPr>
                </w:pPr>
                <w:r>
                  <w:rPr>
                    <w:rFonts w:hint="eastAsia" w:ascii="Calibri" w:hAnsi="Calibri"/>
                    <w:sz w:val="20"/>
                    <w:szCs w:val="20"/>
                  </w:rPr>
                  <w:t>情况说明</w:t>
                </w:r>
              </w:p>
            </w:tc>
          </w:sdtContent>
        </w:sdt>
      </w:tr>
      <w:tr w14:paraId="5C21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978" w:type="dxa"/>
            <w:vAlign w:val="center"/>
          </w:tcPr>
          <w:p w14:paraId="65C917CE">
            <w:pPr>
              <w:adjustRightInd w:val="0"/>
              <w:snapToGrid w:val="0"/>
              <w:jc w:val="both"/>
              <w:rPr>
                <w:rFonts w:ascii="Calibri" w:hAnsi="Calibri"/>
                <w:sz w:val="20"/>
                <w:szCs w:val="20"/>
              </w:rPr>
            </w:pPr>
            <w:r>
              <w:rPr>
                <w:rFonts w:hint="eastAsia" w:ascii="Calibri" w:hAnsi="Calibri"/>
                <w:color w:val="000000"/>
              </w:rPr>
              <w:t>门冬国际注册 （THDB0218）</w:t>
            </w:r>
          </w:p>
        </w:tc>
        <w:tc>
          <w:tcPr>
            <w:tcW w:w="1559" w:type="dxa"/>
            <w:vAlign w:val="center"/>
          </w:tcPr>
          <w:p w14:paraId="4D42EF8F">
            <w:pPr>
              <w:adjustRightInd w:val="0"/>
              <w:snapToGrid w:val="0"/>
              <w:jc w:val="right"/>
              <w:rPr>
                <w:rFonts w:ascii="Calibri" w:hAnsi="Calibri"/>
                <w:sz w:val="20"/>
                <w:szCs w:val="20"/>
              </w:rPr>
            </w:pPr>
            <w:r>
              <w:rPr>
                <w:rFonts w:ascii="Calibri" w:hAnsi="Calibri"/>
                <w:sz w:val="20"/>
                <w:szCs w:val="20"/>
              </w:rPr>
              <w:t>2,083.65</w:t>
            </w:r>
          </w:p>
        </w:tc>
        <w:tc>
          <w:tcPr>
            <w:tcW w:w="1276" w:type="dxa"/>
            <w:vAlign w:val="center"/>
          </w:tcPr>
          <w:p w14:paraId="0813CF86">
            <w:pPr>
              <w:adjustRightInd w:val="0"/>
              <w:snapToGrid w:val="0"/>
              <w:jc w:val="right"/>
              <w:rPr>
                <w:rFonts w:ascii="Calibri" w:hAnsi="Calibri"/>
                <w:sz w:val="20"/>
                <w:szCs w:val="20"/>
              </w:rPr>
            </w:pPr>
          </w:p>
        </w:tc>
        <w:tc>
          <w:tcPr>
            <w:tcW w:w="1276" w:type="dxa"/>
            <w:vAlign w:val="center"/>
          </w:tcPr>
          <w:p w14:paraId="6146896A">
            <w:pPr>
              <w:adjustRightInd w:val="0"/>
              <w:snapToGrid w:val="0"/>
              <w:jc w:val="right"/>
              <w:rPr>
                <w:rFonts w:ascii="Calibri" w:hAnsi="Calibri"/>
                <w:sz w:val="20"/>
                <w:szCs w:val="20"/>
              </w:rPr>
            </w:pPr>
            <w:r>
              <w:rPr>
                <w:rFonts w:ascii="Calibri" w:hAnsi="Calibri"/>
                <w:sz w:val="20"/>
                <w:szCs w:val="20"/>
              </w:rPr>
              <w:t>2,083.65</w:t>
            </w:r>
          </w:p>
        </w:tc>
        <w:tc>
          <w:tcPr>
            <w:tcW w:w="1275" w:type="dxa"/>
            <w:vAlign w:val="center"/>
          </w:tcPr>
          <w:p w14:paraId="34ABD374">
            <w:pPr>
              <w:adjustRightInd w:val="0"/>
              <w:snapToGrid w:val="0"/>
              <w:jc w:val="right"/>
              <w:rPr>
                <w:rFonts w:ascii="Calibri" w:hAnsi="Calibri"/>
                <w:sz w:val="20"/>
                <w:szCs w:val="20"/>
              </w:rPr>
            </w:pPr>
            <w:r>
              <w:rPr>
                <w:rFonts w:ascii="Calibri" w:hAnsi="Calibri"/>
                <w:sz w:val="20"/>
                <w:szCs w:val="20"/>
              </w:rPr>
              <w:t>0.71</w:t>
            </w:r>
          </w:p>
        </w:tc>
        <w:tc>
          <w:tcPr>
            <w:tcW w:w="1134" w:type="dxa"/>
            <w:vAlign w:val="center"/>
          </w:tcPr>
          <w:p w14:paraId="7323F058">
            <w:pPr>
              <w:adjustRightInd w:val="0"/>
              <w:snapToGrid w:val="0"/>
              <w:jc w:val="right"/>
              <w:rPr>
                <w:rFonts w:ascii="Calibri" w:hAnsi="Calibri"/>
                <w:sz w:val="20"/>
                <w:szCs w:val="20"/>
              </w:rPr>
            </w:pPr>
            <w:r>
              <w:rPr>
                <w:rFonts w:ascii="Calibri" w:hAnsi="Calibri"/>
                <w:sz w:val="20"/>
                <w:szCs w:val="20"/>
              </w:rPr>
              <w:t>222.98</w:t>
            </w:r>
          </w:p>
        </w:tc>
        <w:tc>
          <w:tcPr>
            <w:tcW w:w="1090" w:type="dxa"/>
            <w:vAlign w:val="center"/>
          </w:tcPr>
          <w:p w14:paraId="41AA5737">
            <w:pPr>
              <w:adjustRightInd w:val="0"/>
              <w:snapToGrid w:val="0"/>
              <w:rPr>
                <w:rFonts w:ascii="Calibri" w:hAnsi="Calibri"/>
                <w:sz w:val="20"/>
                <w:szCs w:val="20"/>
              </w:rPr>
            </w:pPr>
          </w:p>
        </w:tc>
      </w:tr>
      <w:tr w14:paraId="6CCA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978" w:type="dxa"/>
            <w:vAlign w:val="center"/>
          </w:tcPr>
          <w:p w14:paraId="115CC89B">
            <w:pPr>
              <w:adjustRightInd w:val="0"/>
              <w:snapToGrid w:val="0"/>
              <w:jc w:val="both"/>
              <w:rPr>
                <w:rFonts w:ascii="Calibri" w:hAnsi="Calibri"/>
                <w:sz w:val="20"/>
                <w:szCs w:val="20"/>
              </w:rPr>
            </w:pPr>
            <w:r>
              <w:rPr>
                <w:rFonts w:hint="eastAsia" w:ascii="Calibri" w:hAnsi="Calibri"/>
                <w:color w:val="000000"/>
              </w:rPr>
              <w:t>超速效型胰岛素类似物的研究与开发（BC Lispro）（THDB0206）</w:t>
            </w:r>
          </w:p>
        </w:tc>
        <w:tc>
          <w:tcPr>
            <w:tcW w:w="1559" w:type="dxa"/>
            <w:vAlign w:val="center"/>
          </w:tcPr>
          <w:p w14:paraId="01346979">
            <w:pPr>
              <w:adjustRightInd w:val="0"/>
              <w:snapToGrid w:val="0"/>
              <w:jc w:val="right"/>
              <w:rPr>
                <w:rFonts w:ascii="Calibri" w:hAnsi="Calibri"/>
                <w:sz w:val="20"/>
                <w:szCs w:val="20"/>
              </w:rPr>
            </w:pPr>
            <w:r>
              <w:rPr>
                <w:rFonts w:ascii="Calibri" w:hAnsi="Calibri"/>
                <w:sz w:val="20"/>
                <w:szCs w:val="20"/>
              </w:rPr>
              <w:t>14,332.09</w:t>
            </w:r>
          </w:p>
        </w:tc>
        <w:tc>
          <w:tcPr>
            <w:tcW w:w="1276" w:type="dxa"/>
            <w:vAlign w:val="center"/>
          </w:tcPr>
          <w:p w14:paraId="4CB9516B">
            <w:pPr>
              <w:adjustRightInd w:val="0"/>
              <w:snapToGrid w:val="0"/>
              <w:jc w:val="right"/>
              <w:rPr>
                <w:rFonts w:ascii="Calibri" w:hAnsi="Calibri"/>
                <w:sz w:val="20"/>
                <w:szCs w:val="20"/>
              </w:rPr>
            </w:pPr>
          </w:p>
        </w:tc>
        <w:tc>
          <w:tcPr>
            <w:tcW w:w="1276" w:type="dxa"/>
            <w:vAlign w:val="center"/>
          </w:tcPr>
          <w:p w14:paraId="398D0ED1">
            <w:pPr>
              <w:adjustRightInd w:val="0"/>
              <w:snapToGrid w:val="0"/>
              <w:jc w:val="right"/>
              <w:rPr>
                <w:rFonts w:ascii="Calibri" w:hAnsi="Calibri"/>
                <w:sz w:val="20"/>
                <w:szCs w:val="20"/>
              </w:rPr>
            </w:pPr>
            <w:r>
              <w:rPr>
                <w:rFonts w:ascii="Calibri" w:hAnsi="Calibri"/>
                <w:sz w:val="20"/>
                <w:szCs w:val="20"/>
              </w:rPr>
              <w:t>14,332.09</w:t>
            </w:r>
          </w:p>
        </w:tc>
        <w:tc>
          <w:tcPr>
            <w:tcW w:w="1275" w:type="dxa"/>
            <w:vAlign w:val="center"/>
          </w:tcPr>
          <w:p w14:paraId="6A27FAFA">
            <w:pPr>
              <w:adjustRightInd w:val="0"/>
              <w:snapToGrid w:val="0"/>
              <w:jc w:val="right"/>
              <w:rPr>
                <w:rFonts w:ascii="Calibri" w:hAnsi="Calibri"/>
                <w:sz w:val="20"/>
                <w:szCs w:val="20"/>
              </w:rPr>
            </w:pPr>
            <w:r>
              <w:rPr>
                <w:rFonts w:ascii="Calibri" w:hAnsi="Calibri"/>
                <w:sz w:val="20"/>
                <w:szCs w:val="20"/>
              </w:rPr>
              <w:t>4.86</w:t>
            </w:r>
          </w:p>
        </w:tc>
        <w:tc>
          <w:tcPr>
            <w:tcW w:w="1134" w:type="dxa"/>
            <w:vAlign w:val="center"/>
          </w:tcPr>
          <w:p w14:paraId="4516FECD">
            <w:pPr>
              <w:adjustRightInd w:val="0"/>
              <w:snapToGrid w:val="0"/>
              <w:jc w:val="right"/>
              <w:rPr>
                <w:rFonts w:ascii="Calibri" w:hAnsi="Calibri"/>
                <w:sz w:val="20"/>
                <w:szCs w:val="20"/>
              </w:rPr>
            </w:pPr>
            <w:r>
              <w:rPr>
                <w:rFonts w:ascii="Calibri" w:hAnsi="Calibri"/>
                <w:sz w:val="20"/>
                <w:szCs w:val="20"/>
              </w:rPr>
              <w:t>77.44</w:t>
            </w:r>
          </w:p>
        </w:tc>
        <w:tc>
          <w:tcPr>
            <w:tcW w:w="1090" w:type="dxa"/>
            <w:vAlign w:val="center"/>
          </w:tcPr>
          <w:p w14:paraId="0A07576F">
            <w:pPr>
              <w:adjustRightInd w:val="0"/>
              <w:snapToGrid w:val="0"/>
              <w:rPr>
                <w:rFonts w:ascii="Calibri" w:hAnsi="Calibri"/>
                <w:sz w:val="20"/>
                <w:szCs w:val="20"/>
              </w:rPr>
            </w:pPr>
          </w:p>
        </w:tc>
      </w:tr>
      <w:tr w14:paraId="0CF1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978" w:type="dxa"/>
            <w:vAlign w:val="center"/>
          </w:tcPr>
          <w:p w14:paraId="0F7D6936">
            <w:pPr>
              <w:adjustRightInd w:val="0"/>
              <w:snapToGrid w:val="0"/>
              <w:jc w:val="both"/>
              <w:rPr>
                <w:rFonts w:ascii="Calibri" w:hAnsi="Calibri"/>
                <w:sz w:val="20"/>
                <w:szCs w:val="20"/>
              </w:rPr>
            </w:pPr>
            <w:r>
              <w:rPr>
                <w:rFonts w:hint="eastAsia" w:ascii="Calibri" w:hAnsi="Calibri"/>
                <w:color w:val="000000"/>
              </w:rPr>
              <w:t>赖脯胰岛素注射液（25R）(DB042)</w:t>
            </w:r>
          </w:p>
        </w:tc>
        <w:tc>
          <w:tcPr>
            <w:tcW w:w="1559" w:type="dxa"/>
            <w:vAlign w:val="center"/>
          </w:tcPr>
          <w:p w14:paraId="2911B85F">
            <w:pPr>
              <w:adjustRightInd w:val="0"/>
              <w:snapToGrid w:val="0"/>
              <w:jc w:val="right"/>
              <w:rPr>
                <w:rFonts w:ascii="Calibri" w:hAnsi="Calibri"/>
                <w:sz w:val="20"/>
                <w:szCs w:val="20"/>
              </w:rPr>
            </w:pPr>
            <w:r>
              <w:rPr>
                <w:rFonts w:ascii="Calibri" w:hAnsi="Calibri"/>
                <w:sz w:val="20"/>
                <w:szCs w:val="20"/>
              </w:rPr>
              <w:t>844.42</w:t>
            </w:r>
          </w:p>
        </w:tc>
        <w:tc>
          <w:tcPr>
            <w:tcW w:w="1276" w:type="dxa"/>
            <w:vAlign w:val="center"/>
          </w:tcPr>
          <w:p w14:paraId="4B8F2C5B">
            <w:pPr>
              <w:adjustRightInd w:val="0"/>
              <w:snapToGrid w:val="0"/>
              <w:jc w:val="right"/>
              <w:rPr>
                <w:rFonts w:ascii="Calibri" w:hAnsi="Calibri"/>
                <w:sz w:val="20"/>
                <w:szCs w:val="20"/>
              </w:rPr>
            </w:pPr>
          </w:p>
        </w:tc>
        <w:tc>
          <w:tcPr>
            <w:tcW w:w="1276" w:type="dxa"/>
            <w:vAlign w:val="center"/>
          </w:tcPr>
          <w:p w14:paraId="0D9FE218">
            <w:pPr>
              <w:adjustRightInd w:val="0"/>
              <w:snapToGrid w:val="0"/>
              <w:jc w:val="right"/>
              <w:rPr>
                <w:rFonts w:ascii="Calibri" w:hAnsi="Calibri"/>
                <w:sz w:val="20"/>
                <w:szCs w:val="20"/>
              </w:rPr>
            </w:pPr>
            <w:r>
              <w:rPr>
                <w:rFonts w:ascii="Calibri" w:hAnsi="Calibri"/>
                <w:sz w:val="20"/>
                <w:szCs w:val="20"/>
              </w:rPr>
              <w:t>844.42</w:t>
            </w:r>
          </w:p>
        </w:tc>
        <w:tc>
          <w:tcPr>
            <w:tcW w:w="1275" w:type="dxa"/>
            <w:vAlign w:val="center"/>
          </w:tcPr>
          <w:p w14:paraId="02ECF842">
            <w:pPr>
              <w:adjustRightInd w:val="0"/>
              <w:snapToGrid w:val="0"/>
              <w:jc w:val="right"/>
              <w:rPr>
                <w:rFonts w:ascii="Calibri" w:hAnsi="Calibri"/>
                <w:sz w:val="20"/>
                <w:szCs w:val="20"/>
              </w:rPr>
            </w:pPr>
            <w:r>
              <w:rPr>
                <w:rFonts w:ascii="Calibri" w:hAnsi="Calibri"/>
                <w:sz w:val="20"/>
                <w:szCs w:val="20"/>
              </w:rPr>
              <w:t>0.29</w:t>
            </w:r>
          </w:p>
        </w:tc>
        <w:tc>
          <w:tcPr>
            <w:tcW w:w="1134" w:type="dxa"/>
            <w:vAlign w:val="center"/>
          </w:tcPr>
          <w:p w14:paraId="586BC56E">
            <w:pPr>
              <w:adjustRightInd w:val="0"/>
              <w:snapToGrid w:val="0"/>
              <w:jc w:val="right"/>
              <w:rPr>
                <w:rFonts w:ascii="Calibri" w:hAnsi="Calibri"/>
                <w:sz w:val="20"/>
                <w:szCs w:val="20"/>
              </w:rPr>
            </w:pPr>
            <w:r>
              <w:rPr>
                <w:rFonts w:ascii="Calibri" w:hAnsi="Calibri"/>
                <w:sz w:val="20"/>
                <w:szCs w:val="20"/>
              </w:rPr>
              <w:t>-66.48</w:t>
            </w:r>
          </w:p>
        </w:tc>
        <w:tc>
          <w:tcPr>
            <w:tcW w:w="1090" w:type="dxa"/>
            <w:vAlign w:val="center"/>
          </w:tcPr>
          <w:p w14:paraId="16A81466">
            <w:pPr>
              <w:adjustRightInd w:val="0"/>
              <w:snapToGrid w:val="0"/>
              <w:rPr>
                <w:rFonts w:ascii="Calibri" w:hAnsi="Calibri"/>
                <w:sz w:val="20"/>
                <w:szCs w:val="20"/>
              </w:rPr>
            </w:pPr>
          </w:p>
        </w:tc>
      </w:tr>
      <w:tr w14:paraId="7914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978" w:type="dxa"/>
            <w:vAlign w:val="center"/>
          </w:tcPr>
          <w:p w14:paraId="68E4CC3D">
            <w:pPr>
              <w:adjustRightInd w:val="0"/>
              <w:snapToGrid w:val="0"/>
              <w:jc w:val="both"/>
              <w:rPr>
                <w:rFonts w:ascii="Calibri" w:hAnsi="Calibri"/>
                <w:sz w:val="20"/>
                <w:szCs w:val="20"/>
              </w:rPr>
            </w:pPr>
            <w:r>
              <w:rPr>
                <w:rFonts w:hint="eastAsia" w:ascii="Calibri" w:hAnsi="Calibri"/>
                <w:color w:val="000000"/>
              </w:rPr>
              <w:t>甘精国际注册 （THDB0217）</w:t>
            </w:r>
          </w:p>
        </w:tc>
        <w:tc>
          <w:tcPr>
            <w:tcW w:w="1559" w:type="dxa"/>
            <w:vAlign w:val="center"/>
          </w:tcPr>
          <w:p w14:paraId="368DD83B">
            <w:pPr>
              <w:adjustRightInd w:val="0"/>
              <w:snapToGrid w:val="0"/>
              <w:jc w:val="right"/>
              <w:rPr>
                <w:rFonts w:ascii="Calibri" w:hAnsi="Calibri"/>
                <w:sz w:val="20"/>
                <w:szCs w:val="20"/>
              </w:rPr>
            </w:pPr>
            <w:r>
              <w:rPr>
                <w:rFonts w:ascii="Calibri" w:hAnsi="Calibri"/>
                <w:sz w:val="20"/>
                <w:szCs w:val="20"/>
              </w:rPr>
              <w:t>600.21</w:t>
            </w:r>
          </w:p>
        </w:tc>
        <w:tc>
          <w:tcPr>
            <w:tcW w:w="1276" w:type="dxa"/>
            <w:vAlign w:val="center"/>
          </w:tcPr>
          <w:p w14:paraId="42B15A96">
            <w:pPr>
              <w:adjustRightInd w:val="0"/>
              <w:snapToGrid w:val="0"/>
              <w:jc w:val="right"/>
              <w:rPr>
                <w:rFonts w:ascii="Calibri" w:hAnsi="Calibri"/>
                <w:sz w:val="20"/>
                <w:szCs w:val="20"/>
              </w:rPr>
            </w:pPr>
          </w:p>
        </w:tc>
        <w:tc>
          <w:tcPr>
            <w:tcW w:w="1276" w:type="dxa"/>
            <w:vAlign w:val="center"/>
          </w:tcPr>
          <w:p w14:paraId="2B5F7ACC">
            <w:pPr>
              <w:adjustRightInd w:val="0"/>
              <w:snapToGrid w:val="0"/>
              <w:jc w:val="right"/>
              <w:rPr>
                <w:rFonts w:ascii="Calibri" w:hAnsi="Calibri"/>
                <w:sz w:val="20"/>
                <w:szCs w:val="20"/>
              </w:rPr>
            </w:pPr>
            <w:r>
              <w:rPr>
                <w:rFonts w:ascii="Calibri" w:hAnsi="Calibri"/>
                <w:sz w:val="20"/>
                <w:szCs w:val="20"/>
              </w:rPr>
              <w:t>600.21</w:t>
            </w:r>
          </w:p>
        </w:tc>
        <w:tc>
          <w:tcPr>
            <w:tcW w:w="1275" w:type="dxa"/>
            <w:vAlign w:val="center"/>
          </w:tcPr>
          <w:p w14:paraId="228E8C02">
            <w:pPr>
              <w:adjustRightInd w:val="0"/>
              <w:snapToGrid w:val="0"/>
              <w:jc w:val="right"/>
              <w:rPr>
                <w:rFonts w:ascii="Calibri" w:hAnsi="Calibri"/>
                <w:sz w:val="20"/>
                <w:szCs w:val="20"/>
              </w:rPr>
            </w:pPr>
            <w:r>
              <w:rPr>
                <w:rFonts w:ascii="Calibri" w:hAnsi="Calibri"/>
                <w:sz w:val="20"/>
                <w:szCs w:val="20"/>
              </w:rPr>
              <w:t>0.20</w:t>
            </w:r>
          </w:p>
        </w:tc>
        <w:tc>
          <w:tcPr>
            <w:tcW w:w="1134" w:type="dxa"/>
            <w:vAlign w:val="center"/>
          </w:tcPr>
          <w:p w14:paraId="33819C50">
            <w:pPr>
              <w:adjustRightInd w:val="0"/>
              <w:snapToGrid w:val="0"/>
              <w:jc w:val="right"/>
              <w:rPr>
                <w:rFonts w:ascii="Calibri" w:hAnsi="Calibri"/>
                <w:sz w:val="20"/>
                <w:szCs w:val="20"/>
              </w:rPr>
            </w:pPr>
            <w:r>
              <w:rPr>
                <w:rFonts w:ascii="Calibri" w:hAnsi="Calibri"/>
                <w:sz w:val="20"/>
                <w:szCs w:val="20"/>
              </w:rPr>
              <w:t>9.56</w:t>
            </w:r>
          </w:p>
        </w:tc>
        <w:tc>
          <w:tcPr>
            <w:tcW w:w="1090" w:type="dxa"/>
            <w:vAlign w:val="center"/>
          </w:tcPr>
          <w:p w14:paraId="01DCBD93">
            <w:pPr>
              <w:adjustRightInd w:val="0"/>
              <w:snapToGrid w:val="0"/>
              <w:rPr>
                <w:rFonts w:ascii="Calibri" w:hAnsi="Calibri"/>
                <w:sz w:val="20"/>
                <w:szCs w:val="20"/>
              </w:rPr>
            </w:pPr>
          </w:p>
        </w:tc>
      </w:tr>
      <w:tr w14:paraId="5F92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978" w:type="dxa"/>
            <w:vAlign w:val="center"/>
          </w:tcPr>
          <w:p w14:paraId="57424152">
            <w:pPr>
              <w:adjustRightInd w:val="0"/>
              <w:snapToGrid w:val="0"/>
              <w:jc w:val="both"/>
              <w:rPr>
                <w:rFonts w:ascii="Calibri" w:hAnsi="Calibri"/>
                <w:sz w:val="20"/>
                <w:szCs w:val="20"/>
              </w:rPr>
            </w:pPr>
            <w:r>
              <w:rPr>
                <w:rFonts w:hint="eastAsia" w:ascii="Calibri" w:hAnsi="Calibri"/>
                <w:color w:val="000000"/>
              </w:rPr>
              <w:t>痛风XO/URAT1项目(THDBH150/THDBH151片)</w:t>
            </w:r>
          </w:p>
        </w:tc>
        <w:tc>
          <w:tcPr>
            <w:tcW w:w="1559" w:type="dxa"/>
            <w:vAlign w:val="center"/>
          </w:tcPr>
          <w:p w14:paraId="439E69CB">
            <w:pPr>
              <w:adjustRightInd w:val="0"/>
              <w:snapToGrid w:val="0"/>
              <w:jc w:val="right"/>
              <w:rPr>
                <w:rFonts w:ascii="Calibri" w:hAnsi="Calibri"/>
                <w:sz w:val="20"/>
                <w:szCs w:val="20"/>
              </w:rPr>
            </w:pPr>
            <w:r>
              <w:rPr>
                <w:rFonts w:ascii="Calibri" w:hAnsi="Calibri"/>
                <w:sz w:val="20"/>
                <w:szCs w:val="20"/>
              </w:rPr>
              <w:t>1,027.90</w:t>
            </w:r>
          </w:p>
        </w:tc>
        <w:tc>
          <w:tcPr>
            <w:tcW w:w="1276" w:type="dxa"/>
            <w:vAlign w:val="center"/>
          </w:tcPr>
          <w:p w14:paraId="341F7BC8">
            <w:pPr>
              <w:adjustRightInd w:val="0"/>
              <w:snapToGrid w:val="0"/>
              <w:jc w:val="right"/>
              <w:rPr>
                <w:rFonts w:ascii="Calibri" w:hAnsi="Calibri"/>
                <w:sz w:val="20"/>
                <w:szCs w:val="20"/>
              </w:rPr>
            </w:pPr>
          </w:p>
        </w:tc>
        <w:tc>
          <w:tcPr>
            <w:tcW w:w="1276" w:type="dxa"/>
            <w:vAlign w:val="center"/>
          </w:tcPr>
          <w:p w14:paraId="0E384408">
            <w:pPr>
              <w:adjustRightInd w:val="0"/>
              <w:snapToGrid w:val="0"/>
              <w:jc w:val="right"/>
              <w:rPr>
                <w:rFonts w:ascii="Calibri" w:hAnsi="Calibri"/>
                <w:sz w:val="20"/>
                <w:szCs w:val="20"/>
              </w:rPr>
            </w:pPr>
            <w:r>
              <w:rPr>
                <w:rFonts w:ascii="Calibri" w:hAnsi="Calibri"/>
                <w:sz w:val="20"/>
                <w:szCs w:val="20"/>
              </w:rPr>
              <w:t>1,027.90</w:t>
            </w:r>
          </w:p>
        </w:tc>
        <w:tc>
          <w:tcPr>
            <w:tcW w:w="1275" w:type="dxa"/>
            <w:vAlign w:val="center"/>
          </w:tcPr>
          <w:p w14:paraId="131DAF62">
            <w:pPr>
              <w:adjustRightInd w:val="0"/>
              <w:snapToGrid w:val="0"/>
              <w:jc w:val="right"/>
              <w:rPr>
                <w:rFonts w:ascii="Calibri" w:hAnsi="Calibri"/>
                <w:sz w:val="20"/>
                <w:szCs w:val="20"/>
              </w:rPr>
            </w:pPr>
            <w:r>
              <w:rPr>
                <w:rFonts w:ascii="Calibri" w:hAnsi="Calibri"/>
                <w:sz w:val="20"/>
                <w:szCs w:val="20"/>
              </w:rPr>
              <w:t>0.35</w:t>
            </w:r>
          </w:p>
        </w:tc>
        <w:tc>
          <w:tcPr>
            <w:tcW w:w="1134" w:type="dxa"/>
            <w:vAlign w:val="center"/>
          </w:tcPr>
          <w:p w14:paraId="575318D9">
            <w:pPr>
              <w:adjustRightInd w:val="0"/>
              <w:snapToGrid w:val="0"/>
              <w:jc w:val="right"/>
              <w:rPr>
                <w:rFonts w:ascii="Calibri" w:hAnsi="Calibri"/>
                <w:sz w:val="20"/>
                <w:szCs w:val="20"/>
              </w:rPr>
            </w:pPr>
            <w:r>
              <w:rPr>
                <w:rFonts w:ascii="Calibri" w:hAnsi="Calibri"/>
                <w:sz w:val="20"/>
                <w:szCs w:val="20"/>
              </w:rPr>
              <w:t>-74.71</w:t>
            </w:r>
          </w:p>
        </w:tc>
        <w:tc>
          <w:tcPr>
            <w:tcW w:w="1090" w:type="dxa"/>
            <w:vAlign w:val="center"/>
          </w:tcPr>
          <w:p w14:paraId="4D176540">
            <w:pPr>
              <w:adjustRightInd w:val="0"/>
              <w:snapToGrid w:val="0"/>
              <w:rPr>
                <w:rFonts w:ascii="Calibri" w:hAnsi="Calibri"/>
                <w:sz w:val="20"/>
                <w:szCs w:val="20"/>
              </w:rPr>
            </w:pPr>
          </w:p>
        </w:tc>
      </w:tr>
      <w:tr w14:paraId="4BAE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978" w:type="dxa"/>
            <w:vAlign w:val="center"/>
          </w:tcPr>
          <w:p w14:paraId="4BE8573C">
            <w:pPr>
              <w:adjustRightInd w:val="0"/>
              <w:snapToGrid w:val="0"/>
              <w:jc w:val="both"/>
              <w:rPr>
                <w:rFonts w:ascii="Calibri" w:hAnsi="Calibri"/>
                <w:sz w:val="20"/>
                <w:szCs w:val="20"/>
              </w:rPr>
            </w:pPr>
            <w:r>
              <w:rPr>
                <w:rFonts w:hint="eastAsia" w:ascii="Calibri" w:hAnsi="Calibri"/>
                <w:color w:val="000000"/>
              </w:rPr>
              <w:t>小分子GLP-1激动剂用于糖尿病治疗(THDBH110/THDBH110胶囊)</w:t>
            </w:r>
          </w:p>
        </w:tc>
        <w:tc>
          <w:tcPr>
            <w:tcW w:w="1559" w:type="dxa"/>
            <w:vAlign w:val="center"/>
          </w:tcPr>
          <w:p w14:paraId="5ED5E767">
            <w:pPr>
              <w:adjustRightInd w:val="0"/>
              <w:snapToGrid w:val="0"/>
              <w:jc w:val="right"/>
              <w:rPr>
                <w:rFonts w:ascii="Calibri" w:hAnsi="Calibri"/>
                <w:sz w:val="20"/>
                <w:szCs w:val="20"/>
              </w:rPr>
            </w:pPr>
            <w:r>
              <w:rPr>
                <w:rFonts w:ascii="Calibri" w:hAnsi="Calibri"/>
                <w:sz w:val="20"/>
                <w:szCs w:val="20"/>
              </w:rPr>
              <w:t>168.59</w:t>
            </w:r>
          </w:p>
        </w:tc>
        <w:tc>
          <w:tcPr>
            <w:tcW w:w="1276" w:type="dxa"/>
            <w:vAlign w:val="center"/>
          </w:tcPr>
          <w:p w14:paraId="64EB7EB5">
            <w:pPr>
              <w:adjustRightInd w:val="0"/>
              <w:snapToGrid w:val="0"/>
              <w:jc w:val="right"/>
              <w:rPr>
                <w:rFonts w:ascii="Calibri" w:hAnsi="Calibri"/>
                <w:sz w:val="20"/>
                <w:szCs w:val="20"/>
              </w:rPr>
            </w:pPr>
          </w:p>
        </w:tc>
        <w:tc>
          <w:tcPr>
            <w:tcW w:w="1276" w:type="dxa"/>
            <w:vAlign w:val="center"/>
          </w:tcPr>
          <w:p w14:paraId="1B9F329C">
            <w:pPr>
              <w:adjustRightInd w:val="0"/>
              <w:snapToGrid w:val="0"/>
              <w:jc w:val="right"/>
              <w:rPr>
                <w:rFonts w:ascii="Calibri" w:hAnsi="Calibri"/>
                <w:sz w:val="20"/>
                <w:szCs w:val="20"/>
              </w:rPr>
            </w:pPr>
            <w:r>
              <w:rPr>
                <w:rFonts w:ascii="Calibri" w:hAnsi="Calibri"/>
                <w:sz w:val="20"/>
                <w:szCs w:val="20"/>
              </w:rPr>
              <w:t>168.59</w:t>
            </w:r>
          </w:p>
        </w:tc>
        <w:tc>
          <w:tcPr>
            <w:tcW w:w="1275" w:type="dxa"/>
            <w:vAlign w:val="center"/>
          </w:tcPr>
          <w:p w14:paraId="130B1FFB">
            <w:pPr>
              <w:adjustRightInd w:val="0"/>
              <w:snapToGrid w:val="0"/>
              <w:jc w:val="right"/>
              <w:rPr>
                <w:rFonts w:ascii="Calibri" w:hAnsi="Calibri"/>
                <w:sz w:val="20"/>
                <w:szCs w:val="20"/>
              </w:rPr>
            </w:pPr>
            <w:r>
              <w:rPr>
                <w:rFonts w:ascii="Calibri" w:hAnsi="Calibri"/>
                <w:sz w:val="20"/>
                <w:szCs w:val="20"/>
              </w:rPr>
              <w:t>0.06</w:t>
            </w:r>
          </w:p>
        </w:tc>
        <w:tc>
          <w:tcPr>
            <w:tcW w:w="1134" w:type="dxa"/>
            <w:vAlign w:val="center"/>
          </w:tcPr>
          <w:p w14:paraId="5BFE0EB7">
            <w:pPr>
              <w:adjustRightInd w:val="0"/>
              <w:snapToGrid w:val="0"/>
              <w:jc w:val="right"/>
              <w:rPr>
                <w:rFonts w:ascii="Calibri" w:hAnsi="Calibri"/>
                <w:sz w:val="20"/>
                <w:szCs w:val="20"/>
              </w:rPr>
            </w:pPr>
            <w:r>
              <w:rPr>
                <w:rFonts w:ascii="Calibri" w:hAnsi="Calibri"/>
                <w:sz w:val="20"/>
                <w:szCs w:val="20"/>
              </w:rPr>
              <w:t>-85.76</w:t>
            </w:r>
          </w:p>
        </w:tc>
        <w:tc>
          <w:tcPr>
            <w:tcW w:w="1090" w:type="dxa"/>
            <w:vAlign w:val="center"/>
          </w:tcPr>
          <w:p w14:paraId="6A388F62">
            <w:pPr>
              <w:adjustRightInd w:val="0"/>
              <w:snapToGrid w:val="0"/>
              <w:rPr>
                <w:rFonts w:ascii="Calibri" w:hAnsi="Calibri"/>
                <w:sz w:val="20"/>
                <w:szCs w:val="20"/>
              </w:rPr>
            </w:pPr>
          </w:p>
        </w:tc>
      </w:tr>
      <w:tr w14:paraId="09C5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978" w:type="dxa"/>
            <w:vAlign w:val="center"/>
          </w:tcPr>
          <w:p w14:paraId="4714826F">
            <w:pPr>
              <w:adjustRightInd w:val="0"/>
              <w:snapToGrid w:val="0"/>
              <w:jc w:val="both"/>
              <w:rPr>
                <w:rFonts w:ascii="Calibri" w:hAnsi="Calibri"/>
                <w:sz w:val="20"/>
                <w:szCs w:val="20"/>
              </w:rPr>
            </w:pPr>
            <w:r>
              <w:rPr>
                <w:rFonts w:hint="eastAsia" w:ascii="Calibri" w:hAnsi="Calibri"/>
                <w:color w:val="000000"/>
              </w:rPr>
              <w:t>司美格鲁肽注射液（THDB0225）</w:t>
            </w:r>
          </w:p>
        </w:tc>
        <w:tc>
          <w:tcPr>
            <w:tcW w:w="1559" w:type="dxa"/>
            <w:vAlign w:val="center"/>
          </w:tcPr>
          <w:p w14:paraId="7E038EE3">
            <w:pPr>
              <w:adjustRightInd w:val="0"/>
              <w:snapToGrid w:val="0"/>
              <w:jc w:val="right"/>
              <w:rPr>
                <w:rFonts w:ascii="Calibri" w:hAnsi="Calibri"/>
                <w:sz w:val="20"/>
                <w:szCs w:val="20"/>
              </w:rPr>
            </w:pPr>
            <w:r>
              <w:rPr>
                <w:rFonts w:ascii="Calibri" w:hAnsi="Calibri"/>
                <w:sz w:val="20"/>
                <w:szCs w:val="20"/>
              </w:rPr>
              <w:t>3,663.90</w:t>
            </w:r>
          </w:p>
        </w:tc>
        <w:tc>
          <w:tcPr>
            <w:tcW w:w="1276" w:type="dxa"/>
            <w:vAlign w:val="center"/>
          </w:tcPr>
          <w:p w14:paraId="682A8D75">
            <w:pPr>
              <w:adjustRightInd w:val="0"/>
              <w:snapToGrid w:val="0"/>
              <w:jc w:val="right"/>
              <w:rPr>
                <w:rFonts w:ascii="Calibri" w:hAnsi="Calibri"/>
                <w:sz w:val="20"/>
                <w:szCs w:val="20"/>
              </w:rPr>
            </w:pPr>
          </w:p>
        </w:tc>
        <w:tc>
          <w:tcPr>
            <w:tcW w:w="1276" w:type="dxa"/>
            <w:vAlign w:val="center"/>
          </w:tcPr>
          <w:p w14:paraId="3D987820">
            <w:pPr>
              <w:adjustRightInd w:val="0"/>
              <w:snapToGrid w:val="0"/>
              <w:jc w:val="right"/>
              <w:rPr>
                <w:rFonts w:ascii="Calibri" w:hAnsi="Calibri"/>
                <w:sz w:val="20"/>
                <w:szCs w:val="20"/>
              </w:rPr>
            </w:pPr>
            <w:r>
              <w:rPr>
                <w:rFonts w:ascii="Calibri" w:hAnsi="Calibri"/>
                <w:sz w:val="20"/>
                <w:szCs w:val="20"/>
              </w:rPr>
              <w:t>3,663.90</w:t>
            </w:r>
          </w:p>
        </w:tc>
        <w:tc>
          <w:tcPr>
            <w:tcW w:w="1275" w:type="dxa"/>
            <w:vAlign w:val="center"/>
          </w:tcPr>
          <w:p w14:paraId="4B4B3853">
            <w:pPr>
              <w:adjustRightInd w:val="0"/>
              <w:snapToGrid w:val="0"/>
              <w:jc w:val="right"/>
              <w:rPr>
                <w:rFonts w:ascii="Calibri" w:hAnsi="Calibri"/>
                <w:sz w:val="20"/>
                <w:szCs w:val="20"/>
              </w:rPr>
            </w:pPr>
            <w:r>
              <w:rPr>
                <w:rFonts w:ascii="Calibri" w:hAnsi="Calibri"/>
                <w:sz w:val="20"/>
                <w:szCs w:val="20"/>
              </w:rPr>
              <w:t>1.24</w:t>
            </w:r>
          </w:p>
        </w:tc>
        <w:tc>
          <w:tcPr>
            <w:tcW w:w="1134" w:type="dxa"/>
            <w:vAlign w:val="center"/>
          </w:tcPr>
          <w:p w14:paraId="29E8B5AC">
            <w:pPr>
              <w:adjustRightInd w:val="0"/>
              <w:snapToGrid w:val="0"/>
              <w:jc w:val="right"/>
              <w:rPr>
                <w:rFonts w:ascii="Calibri" w:hAnsi="Calibri"/>
                <w:sz w:val="20"/>
                <w:szCs w:val="20"/>
              </w:rPr>
            </w:pPr>
            <w:r>
              <w:rPr>
                <w:rFonts w:ascii="Calibri" w:hAnsi="Calibri"/>
                <w:sz w:val="20"/>
                <w:szCs w:val="20"/>
              </w:rPr>
              <w:t>-34.43</w:t>
            </w:r>
          </w:p>
        </w:tc>
        <w:tc>
          <w:tcPr>
            <w:tcW w:w="1090" w:type="dxa"/>
            <w:vAlign w:val="center"/>
          </w:tcPr>
          <w:p w14:paraId="337E9156">
            <w:pPr>
              <w:adjustRightInd w:val="0"/>
              <w:snapToGrid w:val="0"/>
              <w:rPr>
                <w:rFonts w:ascii="Calibri" w:hAnsi="Calibri"/>
                <w:sz w:val="20"/>
                <w:szCs w:val="20"/>
              </w:rPr>
            </w:pPr>
          </w:p>
        </w:tc>
      </w:tr>
      <w:tr w14:paraId="154A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978" w:type="dxa"/>
            <w:vAlign w:val="center"/>
          </w:tcPr>
          <w:p w14:paraId="004FEB78">
            <w:pPr>
              <w:adjustRightInd w:val="0"/>
              <w:snapToGrid w:val="0"/>
              <w:jc w:val="both"/>
              <w:rPr>
                <w:rFonts w:ascii="Calibri" w:hAnsi="Calibri"/>
                <w:sz w:val="20"/>
                <w:szCs w:val="20"/>
              </w:rPr>
            </w:pPr>
            <w:r>
              <w:rPr>
                <w:rFonts w:hint="eastAsia" w:ascii="Calibri" w:hAnsi="Calibri"/>
                <w:color w:val="000000"/>
              </w:rPr>
              <w:t>德谷胰岛素/利拉鲁肽复方注射剂（THDB0213）</w:t>
            </w:r>
          </w:p>
        </w:tc>
        <w:tc>
          <w:tcPr>
            <w:tcW w:w="1559" w:type="dxa"/>
            <w:vAlign w:val="center"/>
          </w:tcPr>
          <w:p w14:paraId="70833691">
            <w:pPr>
              <w:adjustRightInd w:val="0"/>
              <w:snapToGrid w:val="0"/>
              <w:jc w:val="right"/>
              <w:rPr>
                <w:rFonts w:ascii="Calibri" w:hAnsi="Calibri"/>
                <w:sz w:val="20"/>
                <w:szCs w:val="20"/>
              </w:rPr>
            </w:pPr>
            <w:r>
              <w:rPr>
                <w:rFonts w:ascii="Calibri" w:hAnsi="Calibri"/>
                <w:sz w:val="20"/>
                <w:szCs w:val="20"/>
              </w:rPr>
              <w:t>5,213.54</w:t>
            </w:r>
          </w:p>
        </w:tc>
        <w:tc>
          <w:tcPr>
            <w:tcW w:w="1276" w:type="dxa"/>
            <w:vAlign w:val="center"/>
          </w:tcPr>
          <w:p w14:paraId="77C47BC2">
            <w:pPr>
              <w:adjustRightInd w:val="0"/>
              <w:snapToGrid w:val="0"/>
              <w:jc w:val="right"/>
              <w:rPr>
                <w:rFonts w:ascii="Calibri" w:hAnsi="Calibri"/>
                <w:sz w:val="20"/>
                <w:szCs w:val="20"/>
              </w:rPr>
            </w:pPr>
            <w:r>
              <w:rPr>
                <w:rFonts w:ascii="Calibri" w:hAnsi="Calibri"/>
                <w:sz w:val="20"/>
                <w:szCs w:val="20"/>
              </w:rPr>
              <w:t>1.09</w:t>
            </w:r>
          </w:p>
        </w:tc>
        <w:tc>
          <w:tcPr>
            <w:tcW w:w="1276" w:type="dxa"/>
            <w:vAlign w:val="center"/>
          </w:tcPr>
          <w:p w14:paraId="5C4504E2">
            <w:pPr>
              <w:adjustRightInd w:val="0"/>
              <w:snapToGrid w:val="0"/>
              <w:jc w:val="right"/>
              <w:rPr>
                <w:rFonts w:ascii="Calibri" w:hAnsi="Calibri"/>
                <w:sz w:val="20"/>
                <w:szCs w:val="20"/>
              </w:rPr>
            </w:pPr>
            <w:r>
              <w:rPr>
                <w:rFonts w:ascii="Calibri" w:hAnsi="Calibri"/>
                <w:sz w:val="20"/>
                <w:szCs w:val="20"/>
              </w:rPr>
              <w:t>5,212.45</w:t>
            </w:r>
          </w:p>
        </w:tc>
        <w:tc>
          <w:tcPr>
            <w:tcW w:w="1275" w:type="dxa"/>
            <w:vAlign w:val="center"/>
          </w:tcPr>
          <w:p w14:paraId="17260176">
            <w:pPr>
              <w:adjustRightInd w:val="0"/>
              <w:snapToGrid w:val="0"/>
              <w:jc w:val="right"/>
              <w:rPr>
                <w:rFonts w:ascii="Calibri" w:hAnsi="Calibri"/>
                <w:sz w:val="20"/>
                <w:szCs w:val="20"/>
              </w:rPr>
            </w:pPr>
            <w:r>
              <w:rPr>
                <w:rFonts w:ascii="Calibri" w:hAnsi="Calibri"/>
                <w:sz w:val="20"/>
                <w:szCs w:val="20"/>
              </w:rPr>
              <w:t>1.77</w:t>
            </w:r>
          </w:p>
        </w:tc>
        <w:tc>
          <w:tcPr>
            <w:tcW w:w="1134" w:type="dxa"/>
            <w:vAlign w:val="center"/>
          </w:tcPr>
          <w:p w14:paraId="7741D38F">
            <w:pPr>
              <w:adjustRightInd w:val="0"/>
              <w:snapToGrid w:val="0"/>
              <w:jc w:val="right"/>
              <w:rPr>
                <w:rFonts w:ascii="Calibri" w:hAnsi="Calibri"/>
                <w:sz w:val="20"/>
                <w:szCs w:val="20"/>
              </w:rPr>
            </w:pPr>
            <w:r>
              <w:rPr>
                <w:rFonts w:ascii="Calibri" w:hAnsi="Calibri"/>
                <w:sz w:val="20"/>
                <w:szCs w:val="20"/>
              </w:rPr>
              <w:t>166.47</w:t>
            </w:r>
          </w:p>
        </w:tc>
        <w:tc>
          <w:tcPr>
            <w:tcW w:w="1090" w:type="dxa"/>
            <w:vAlign w:val="center"/>
          </w:tcPr>
          <w:p w14:paraId="1BB49873">
            <w:pPr>
              <w:adjustRightInd w:val="0"/>
              <w:snapToGrid w:val="0"/>
              <w:rPr>
                <w:rFonts w:ascii="Calibri" w:hAnsi="Calibri"/>
                <w:sz w:val="20"/>
                <w:szCs w:val="20"/>
              </w:rPr>
            </w:pPr>
          </w:p>
        </w:tc>
      </w:tr>
      <w:tr w14:paraId="2B90A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978" w:type="dxa"/>
            <w:vAlign w:val="center"/>
          </w:tcPr>
          <w:p w14:paraId="306DD51E">
            <w:pPr>
              <w:adjustRightInd w:val="0"/>
              <w:snapToGrid w:val="0"/>
              <w:jc w:val="both"/>
              <w:rPr>
                <w:rFonts w:ascii="Calibri" w:hAnsi="Calibri"/>
                <w:sz w:val="20"/>
                <w:szCs w:val="20"/>
              </w:rPr>
            </w:pPr>
            <w:r>
              <w:rPr>
                <w:rFonts w:hint="eastAsia" w:ascii="Calibri" w:hAnsi="Calibri"/>
                <w:color w:val="000000"/>
              </w:rPr>
              <w:t>多肽GIP&amp;GLP-1减重项目（THDBH120/THDBH121）</w:t>
            </w:r>
          </w:p>
        </w:tc>
        <w:tc>
          <w:tcPr>
            <w:tcW w:w="1559" w:type="dxa"/>
            <w:vAlign w:val="center"/>
          </w:tcPr>
          <w:p w14:paraId="3EAB45C6">
            <w:pPr>
              <w:adjustRightInd w:val="0"/>
              <w:snapToGrid w:val="0"/>
              <w:jc w:val="right"/>
              <w:rPr>
                <w:rFonts w:ascii="Calibri" w:hAnsi="Calibri"/>
                <w:sz w:val="20"/>
                <w:szCs w:val="20"/>
              </w:rPr>
            </w:pPr>
            <w:r>
              <w:rPr>
                <w:rFonts w:ascii="Calibri" w:hAnsi="Calibri"/>
                <w:sz w:val="20"/>
                <w:szCs w:val="20"/>
              </w:rPr>
              <w:t>3,800.48</w:t>
            </w:r>
          </w:p>
        </w:tc>
        <w:tc>
          <w:tcPr>
            <w:tcW w:w="1276" w:type="dxa"/>
            <w:vAlign w:val="center"/>
          </w:tcPr>
          <w:p w14:paraId="148D1BC4">
            <w:pPr>
              <w:adjustRightInd w:val="0"/>
              <w:snapToGrid w:val="0"/>
              <w:jc w:val="right"/>
              <w:rPr>
                <w:rFonts w:ascii="Calibri" w:hAnsi="Calibri"/>
                <w:sz w:val="20"/>
                <w:szCs w:val="20"/>
              </w:rPr>
            </w:pPr>
          </w:p>
        </w:tc>
        <w:tc>
          <w:tcPr>
            <w:tcW w:w="1276" w:type="dxa"/>
            <w:vAlign w:val="center"/>
          </w:tcPr>
          <w:p w14:paraId="0F621E4E">
            <w:pPr>
              <w:adjustRightInd w:val="0"/>
              <w:snapToGrid w:val="0"/>
              <w:jc w:val="right"/>
              <w:rPr>
                <w:rFonts w:ascii="Calibri" w:hAnsi="Calibri"/>
                <w:sz w:val="20"/>
                <w:szCs w:val="20"/>
              </w:rPr>
            </w:pPr>
            <w:r>
              <w:rPr>
                <w:rFonts w:ascii="Calibri" w:hAnsi="Calibri"/>
                <w:sz w:val="20"/>
                <w:szCs w:val="20"/>
              </w:rPr>
              <w:t>3,800.48</w:t>
            </w:r>
          </w:p>
        </w:tc>
        <w:tc>
          <w:tcPr>
            <w:tcW w:w="1275" w:type="dxa"/>
            <w:vAlign w:val="center"/>
          </w:tcPr>
          <w:p w14:paraId="717E0B11">
            <w:pPr>
              <w:adjustRightInd w:val="0"/>
              <w:snapToGrid w:val="0"/>
              <w:jc w:val="right"/>
              <w:rPr>
                <w:rFonts w:ascii="Calibri" w:hAnsi="Calibri"/>
                <w:sz w:val="20"/>
                <w:szCs w:val="20"/>
              </w:rPr>
            </w:pPr>
            <w:r>
              <w:rPr>
                <w:rFonts w:ascii="Calibri" w:hAnsi="Calibri"/>
                <w:sz w:val="20"/>
                <w:szCs w:val="20"/>
              </w:rPr>
              <w:t>1.29</w:t>
            </w:r>
          </w:p>
        </w:tc>
        <w:tc>
          <w:tcPr>
            <w:tcW w:w="1134" w:type="dxa"/>
            <w:vAlign w:val="center"/>
          </w:tcPr>
          <w:p w14:paraId="366BF580">
            <w:pPr>
              <w:adjustRightInd w:val="0"/>
              <w:snapToGrid w:val="0"/>
              <w:jc w:val="right"/>
              <w:rPr>
                <w:rFonts w:ascii="Calibri" w:hAnsi="Calibri"/>
                <w:sz w:val="20"/>
                <w:szCs w:val="20"/>
              </w:rPr>
            </w:pPr>
            <w:r>
              <w:rPr>
                <w:rFonts w:ascii="Calibri" w:hAnsi="Calibri"/>
                <w:sz w:val="20"/>
                <w:szCs w:val="20"/>
              </w:rPr>
              <w:t>329.95</w:t>
            </w:r>
          </w:p>
        </w:tc>
        <w:tc>
          <w:tcPr>
            <w:tcW w:w="1090" w:type="dxa"/>
            <w:vAlign w:val="center"/>
          </w:tcPr>
          <w:p w14:paraId="6B8E4CBF">
            <w:pPr>
              <w:adjustRightInd w:val="0"/>
              <w:snapToGrid w:val="0"/>
              <w:rPr>
                <w:rFonts w:ascii="Calibri" w:hAnsi="Calibri"/>
                <w:sz w:val="20"/>
                <w:szCs w:val="20"/>
              </w:rPr>
            </w:pPr>
          </w:p>
        </w:tc>
      </w:tr>
      <w:tr w14:paraId="088D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978" w:type="dxa"/>
            <w:vAlign w:val="center"/>
          </w:tcPr>
          <w:p w14:paraId="7DA46519">
            <w:pPr>
              <w:adjustRightInd w:val="0"/>
              <w:snapToGrid w:val="0"/>
              <w:jc w:val="both"/>
              <w:rPr>
                <w:rFonts w:ascii="Calibri" w:hAnsi="Calibri"/>
                <w:color w:val="000000"/>
              </w:rPr>
            </w:pPr>
            <w:r>
              <w:rPr>
                <w:rFonts w:hint="eastAsia" w:ascii="Calibri" w:hAnsi="Calibri"/>
                <w:color w:val="000000"/>
              </w:rPr>
              <w:t>GIP&amp;GLP-1用于糖尿病治疗(THDBH120/注射用THDBH120)</w:t>
            </w:r>
          </w:p>
        </w:tc>
        <w:tc>
          <w:tcPr>
            <w:tcW w:w="1559" w:type="dxa"/>
            <w:vAlign w:val="center"/>
          </w:tcPr>
          <w:p w14:paraId="19584097">
            <w:pPr>
              <w:adjustRightInd w:val="0"/>
              <w:snapToGrid w:val="0"/>
              <w:jc w:val="right"/>
              <w:rPr>
                <w:rFonts w:ascii="Calibri" w:hAnsi="Calibri"/>
                <w:sz w:val="20"/>
                <w:szCs w:val="20"/>
              </w:rPr>
            </w:pPr>
            <w:r>
              <w:rPr>
                <w:rFonts w:ascii="Calibri" w:hAnsi="Calibri"/>
                <w:sz w:val="20"/>
                <w:szCs w:val="20"/>
              </w:rPr>
              <w:t>920.00</w:t>
            </w:r>
          </w:p>
        </w:tc>
        <w:tc>
          <w:tcPr>
            <w:tcW w:w="1276" w:type="dxa"/>
            <w:vAlign w:val="center"/>
          </w:tcPr>
          <w:p w14:paraId="6855D836">
            <w:pPr>
              <w:adjustRightInd w:val="0"/>
              <w:snapToGrid w:val="0"/>
              <w:jc w:val="right"/>
              <w:rPr>
                <w:rFonts w:ascii="Calibri" w:hAnsi="Calibri"/>
                <w:sz w:val="20"/>
                <w:szCs w:val="20"/>
              </w:rPr>
            </w:pPr>
          </w:p>
        </w:tc>
        <w:tc>
          <w:tcPr>
            <w:tcW w:w="1276" w:type="dxa"/>
            <w:vAlign w:val="center"/>
          </w:tcPr>
          <w:p w14:paraId="0E623487">
            <w:pPr>
              <w:adjustRightInd w:val="0"/>
              <w:snapToGrid w:val="0"/>
              <w:jc w:val="right"/>
              <w:rPr>
                <w:rFonts w:ascii="Calibri" w:hAnsi="Calibri"/>
                <w:sz w:val="20"/>
                <w:szCs w:val="20"/>
              </w:rPr>
            </w:pPr>
            <w:r>
              <w:rPr>
                <w:rFonts w:ascii="Calibri" w:hAnsi="Calibri"/>
                <w:sz w:val="20"/>
                <w:szCs w:val="20"/>
              </w:rPr>
              <w:t>920.00</w:t>
            </w:r>
          </w:p>
        </w:tc>
        <w:tc>
          <w:tcPr>
            <w:tcW w:w="1275" w:type="dxa"/>
            <w:vAlign w:val="center"/>
          </w:tcPr>
          <w:p w14:paraId="5505713D">
            <w:pPr>
              <w:adjustRightInd w:val="0"/>
              <w:snapToGrid w:val="0"/>
              <w:jc w:val="right"/>
              <w:rPr>
                <w:rFonts w:ascii="Calibri" w:hAnsi="Calibri"/>
                <w:sz w:val="20"/>
                <w:szCs w:val="20"/>
              </w:rPr>
            </w:pPr>
            <w:r>
              <w:rPr>
                <w:rFonts w:ascii="Calibri" w:hAnsi="Calibri"/>
                <w:sz w:val="20"/>
                <w:szCs w:val="20"/>
              </w:rPr>
              <w:t>0.31</w:t>
            </w:r>
          </w:p>
        </w:tc>
        <w:tc>
          <w:tcPr>
            <w:tcW w:w="1134" w:type="dxa"/>
            <w:vAlign w:val="center"/>
          </w:tcPr>
          <w:p w14:paraId="6032712F">
            <w:pPr>
              <w:adjustRightInd w:val="0"/>
              <w:snapToGrid w:val="0"/>
              <w:jc w:val="right"/>
              <w:rPr>
                <w:rFonts w:ascii="Calibri" w:hAnsi="Calibri"/>
                <w:sz w:val="20"/>
                <w:szCs w:val="20"/>
              </w:rPr>
            </w:pPr>
            <w:r>
              <w:rPr>
                <w:rFonts w:ascii="Calibri" w:hAnsi="Calibri"/>
                <w:sz w:val="20"/>
                <w:szCs w:val="20"/>
              </w:rPr>
              <w:t>-76.24</w:t>
            </w:r>
          </w:p>
        </w:tc>
        <w:tc>
          <w:tcPr>
            <w:tcW w:w="1090" w:type="dxa"/>
            <w:vAlign w:val="center"/>
          </w:tcPr>
          <w:p w14:paraId="2816A912">
            <w:pPr>
              <w:adjustRightInd w:val="0"/>
              <w:snapToGrid w:val="0"/>
              <w:rPr>
                <w:rFonts w:ascii="Calibri" w:hAnsi="Calibri"/>
                <w:sz w:val="20"/>
                <w:szCs w:val="20"/>
              </w:rPr>
            </w:pPr>
          </w:p>
        </w:tc>
      </w:tr>
    </w:tbl>
    <w:p w14:paraId="43D6870A">
      <w:pPr>
        <w:pStyle w:val="48"/>
      </w:pPr>
    </w:p>
    <w:p w14:paraId="66A36079">
      <w:pPr>
        <w:pStyle w:val="6"/>
        <w:numPr>
          <w:ilvl w:val="0"/>
          <w:numId w:val="13"/>
        </w:numPr>
        <w:ind w:leftChars="0"/>
      </w:pPr>
      <w:r>
        <w:rPr>
          <w:rFonts w:hint="eastAsia"/>
        </w:rPr>
        <w:t>公司药（产）品销售情况</w:t>
      </w:r>
    </w:p>
    <w:p w14:paraId="62DFA773">
      <w:pPr>
        <w:pStyle w:val="7"/>
        <w:numPr>
          <w:ilvl w:val="0"/>
          <w:numId w:val="17"/>
        </w:numPr>
        <w:rPr>
          <w:b w:val="0"/>
          <w:bCs w:val="0"/>
        </w:rPr>
      </w:pPr>
      <w:r>
        <w:rPr>
          <w:rFonts w:hint="eastAsia"/>
          <w:bCs w:val="0"/>
        </w:rPr>
        <w:t>主要销售模式分析</w:t>
      </w:r>
    </w:p>
    <w:sdt>
      <w:sdtPr>
        <w:rPr>
          <w:rFonts w:hint="eastAsia"/>
        </w:rPr>
        <w:alias w:val="是否适用：公司主要销售模式分析[双击切换]"/>
        <w:tag w:val="_GBC_4b4a29d930ce4047b048f9405bc8011f"/>
        <w:id w:val="-694996004"/>
        <w:placeholder>
          <w:docPart w:val="GBC22222222222222222222222222222"/>
        </w:placeholder>
      </w:sdtPr>
      <w:sdtEndPr>
        <w:rPr>
          <w:rFonts w:hint="eastAsia"/>
        </w:rPr>
      </w:sdtEndPr>
      <w:sdtContent>
        <w:p w14:paraId="2F7EA52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公司主要销售模式分析说明"/>
        <w:tag w:val="_GBC_ba92943c5a6844b38974c04acaa82673"/>
        <w:id w:val="-919631709"/>
        <w:placeholder>
          <w:docPart w:val="GBC22222222222222222222222222222"/>
        </w:placeholder>
      </w:sdtPr>
      <w:sdtEndPr>
        <w:rPr>
          <w:rFonts w:hint="eastAsia"/>
        </w:rPr>
      </w:sdtEndPr>
      <w:sdtContent>
        <w:sdt>
          <w:sdtPr>
            <w:rPr>
              <w:kern w:val="2"/>
            </w:rPr>
            <w:alias w:val="公司主要销售模式分析说明"/>
            <w:tag w:val="_GBC_ba92943c5a6844b38974c04acaa82673"/>
            <w:id w:val="-1042051158"/>
          </w:sdtPr>
          <w:sdtEndPr>
            <w:rPr>
              <w:rFonts w:hint="eastAsia"/>
              <w:kern w:val="2"/>
            </w:rPr>
          </w:sdtEndPr>
          <w:sdtContent>
            <w:p w14:paraId="219CA22C">
              <w:pPr>
                <w:adjustRightInd w:val="0"/>
                <w:snapToGrid w:val="0"/>
                <w:spacing w:line="360" w:lineRule="auto"/>
                <w:ind w:firstLine="420" w:firstLineChars="200"/>
                <w:jc w:val="both"/>
                <w:rPr>
                  <w:kern w:val="2"/>
                </w:rPr>
              </w:pPr>
              <w:r>
                <w:rPr>
                  <w:rFonts w:hint="eastAsia"/>
                  <w:kern w:val="2"/>
                </w:rPr>
                <w:t>基于人胰岛素（注册商标：甘舒霖）、甘精胰岛素（注册商标：平舒霖）、门冬胰岛素（注册商标：锐舒霖）、利拉鲁肽注射液（注册商标：统博力）的销售专业性比较强，公司自建专业化销售团队，在糖尿病领域创立自身运营模式。以学术活动引导的专业化市场推广等形式，按照所有市场活动需要不断提高地区覆盖率和市场占有率。另外公司自建商务团队，负责和商业公司签订销售合同，提供相应服务，负责回款等。产品再由商业公司配售到医院，完成整个销售环节。</w:t>
              </w:r>
            </w:p>
          </w:sdtContent>
        </w:sdt>
        <w:p w14:paraId="6C73E843">
          <w:pPr>
            <w:adjustRightInd w:val="0"/>
            <w:snapToGrid w:val="0"/>
          </w:pPr>
        </w:p>
      </w:sdtContent>
    </w:sdt>
    <w:p w14:paraId="70E87C11">
      <w:pPr>
        <w:adjustRightInd w:val="0"/>
        <w:snapToGrid w:val="0"/>
      </w:pPr>
    </w:p>
    <w:p w14:paraId="756D5A95">
      <w:pPr>
        <w:pStyle w:val="7"/>
        <w:numPr>
          <w:ilvl w:val="0"/>
          <w:numId w:val="17"/>
        </w:numPr>
        <w:rPr>
          <w:b w:val="0"/>
          <w:bCs w:val="0"/>
        </w:rPr>
      </w:pPr>
      <w:r>
        <w:rPr>
          <w:rFonts w:hint="eastAsia"/>
          <w:bCs w:val="0"/>
        </w:rPr>
        <w:t>销售费用情况分析</w:t>
      </w:r>
    </w:p>
    <w:p w14:paraId="4DB2B0DE">
      <w:pPr>
        <w:adjustRightInd w:val="0"/>
        <w:snapToGrid w:val="0"/>
      </w:pPr>
      <w:r>
        <w:rPr>
          <w:rFonts w:hint="eastAsia"/>
        </w:rPr>
        <w:t>销售费用具体构成</w:t>
      </w:r>
    </w:p>
    <w:sdt>
      <w:sdtPr>
        <w:rPr>
          <w:rFonts w:hint="eastAsia"/>
        </w:rPr>
        <w:alias w:val="是否适用：医药制造业销售费用具体构成[双击切换]"/>
        <w:tag w:val="_GBC_5897002bfaf746e58f10411a366a6b21"/>
        <w:id w:val="830496413"/>
        <w:placeholder>
          <w:docPart w:val="GBC22222222222222222222222222222"/>
        </w:placeholder>
      </w:sdtPr>
      <w:sdtEndPr>
        <w:rPr>
          <w:rFonts w:hint="default"/>
        </w:rPr>
      </w:sdtEndPr>
      <w:sdtContent>
        <w:p w14:paraId="4B2F845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7CA7D28">
      <w:pPr>
        <w:wordWrap w:val="0"/>
        <w:adjustRightInd w:val="0"/>
        <w:snapToGrid w:val="0"/>
        <w:jc w:val="right"/>
      </w:pPr>
      <w:r>
        <w:rPr>
          <w:rFonts w:hint="eastAsia"/>
        </w:rPr>
        <w:t>单位：</w:t>
      </w:r>
      <w:sdt>
        <w:sdtPr>
          <w:rPr>
            <w:rFonts w:hint="eastAsia"/>
          </w:rPr>
          <w:alias w:val="单位：医药制造业销售费用具体构成"/>
          <w:tag w:val="_GBC_c0cd4b5aa79744ea9e67e7958457ade0"/>
          <w:id w:val="-1004928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元</w:t>
          </w:r>
        </w:sdtContent>
      </w:sdt>
      <w:r>
        <w:rPr>
          <w:rFonts w:hint="eastAsia"/>
        </w:rPr>
        <w:t xml:space="preserve">  币种：</w:t>
      </w:r>
      <w:sdt>
        <w:sdtPr>
          <w:rPr>
            <w:rFonts w:hint="eastAsia"/>
          </w:rPr>
          <w:alias w:val="币种：医药制造业销售费用具体构成"/>
          <w:tag w:val="_GBC_af70ff8ba1384498946544f1c2ecd3f2"/>
          <w:id w:val="10494901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Style w:val="57"/>
        <w:tblW w:w="9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4"/>
        <w:gridCol w:w="2674"/>
        <w:gridCol w:w="3988"/>
      </w:tblGrid>
      <w:tr w14:paraId="0418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sdt>
          <w:sdtPr>
            <w:tag w:val="_PLD_c7ec123516fe4f468fede219b178be82"/>
            <w:id w:val="1978417944"/>
          </w:sdtPr>
          <w:sdtContent>
            <w:tc>
              <w:tcPr>
                <w:tcW w:w="3104" w:type="dxa"/>
                <w:vAlign w:val="center"/>
              </w:tcPr>
              <w:p w14:paraId="0968C3EF">
                <w:pPr>
                  <w:adjustRightInd w:val="0"/>
                  <w:snapToGrid w:val="0"/>
                  <w:jc w:val="center"/>
                  <w:rPr>
                    <w:rFonts w:ascii="Calibri" w:hAnsi="Calibri"/>
                    <w:sz w:val="20"/>
                    <w:szCs w:val="20"/>
                  </w:rPr>
                </w:pPr>
                <w:r>
                  <w:rPr>
                    <w:rFonts w:hint="eastAsia" w:ascii="Calibri" w:hAnsi="Calibri"/>
                    <w:sz w:val="20"/>
                    <w:szCs w:val="20"/>
                  </w:rPr>
                  <w:t>具体项目名称</w:t>
                </w:r>
              </w:p>
            </w:tc>
          </w:sdtContent>
        </w:sdt>
        <w:sdt>
          <w:sdtPr>
            <w:tag w:val="_PLD_a3d04549d3db4861854e84a95c5b81a7"/>
            <w:id w:val="1062522853"/>
          </w:sdtPr>
          <w:sdtContent>
            <w:tc>
              <w:tcPr>
                <w:tcW w:w="2674" w:type="dxa"/>
                <w:vAlign w:val="center"/>
              </w:tcPr>
              <w:p w14:paraId="461BE3B9">
                <w:pPr>
                  <w:adjustRightInd w:val="0"/>
                  <w:snapToGrid w:val="0"/>
                  <w:jc w:val="center"/>
                  <w:rPr>
                    <w:rFonts w:ascii="Calibri" w:hAnsi="Calibri"/>
                    <w:sz w:val="20"/>
                    <w:szCs w:val="20"/>
                  </w:rPr>
                </w:pPr>
                <w:r>
                  <w:rPr>
                    <w:rFonts w:hint="eastAsia" w:ascii="Calibri" w:hAnsi="Calibri"/>
                    <w:sz w:val="20"/>
                    <w:szCs w:val="20"/>
                  </w:rPr>
                  <w:t>本期发生额</w:t>
                </w:r>
              </w:p>
            </w:tc>
          </w:sdtContent>
        </w:sdt>
        <w:sdt>
          <w:sdtPr>
            <w:tag w:val="_PLD_84a14f219ff44cd9b0c8917a10060fe6"/>
            <w:id w:val="-349570962"/>
          </w:sdtPr>
          <w:sdtContent>
            <w:tc>
              <w:tcPr>
                <w:tcW w:w="3988" w:type="dxa"/>
                <w:vAlign w:val="center"/>
              </w:tcPr>
              <w:p w14:paraId="36E22790">
                <w:pPr>
                  <w:adjustRightInd w:val="0"/>
                  <w:snapToGrid w:val="0"/>
                  <w:jc w:val="center"/>
                  <w:rPr>
                    <w:rFonts w:ascii="Calibri" w:hAnsi="Calibri"/>
                    <w:sz w:val="20"/>
                    <w:szCs w:val="20"/>
                  </w:rPr>
                </w:pPr>
                <w:r>
                  <w:rPr>
                    <w:rFonts w:hint="eastAsia" w:ascii="Calibri" w:hAnsi="Calibri"/>
                    <w:sz w:val="20"/>
                    <w:szCs w:val="20"/>
                  </w:rPr>
                  <w:t>本期发生额占销售费用总额比例（%）</w:t>
                </w:r>
              </w:p>
            </w:tc>
          </w:sdtContent>
        </w:sdt>
      </w:tr>
      <w:tr w14:paraId="548D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104" w:type="dxa"/>
            <w:vAlign w:val="center"/>
          </w:tcPr>
          <w:p w14:paraId="5C91B771">
            <w:pPr>
              <w:adjustRightInd w:val="0"/>
              <w:snapToGrid w:val="0"/>
              <w:rPr>
                <w:rFonts w:ascii="Calibri" w:hAnsi="Calibri"/>
                <w:sz w:val="20"/>
                <w:szCs w:val="20"/>
              </w:rPr>
            </w:pPr>
            <w:r>
              <w:rPr>
                <w:rFonts w:ascii="Calibri" w:hAnsi="Calibri"/>
                <w:sz w:val="20"/>
                <w:szCs w:val="20"/>
              </w:rPr>
              <w:t>职工薪酬</w:t>
            </w:r>
          </w:p>
        </w:tc>
        <w:tc>
          <w:tcPr>
            <w:tcW w:w="2674" w:type="dxa"/>
            <w:vAlign w:val="center"/>
          </w:tcPr>
          <w:p w14:paraId="68B2DAA5">
            <w:pPr>
              <w:adjustRightInd w:val="0"/>
              <w:snapToGrid w:val="0"/>
              <w:jc w:val="right"/>
              <w:rPr>
                <w:rFonts w:ascii="Calibri" w:hAnsi="Calibri"/>
                <w:sz w:val="20"/>
                <w:szCs w:val="20"/>
              </w:rPr>
            </w:pPr>
            <w:r>
              <w:rPr>
                <w:rFonts w:ascii="Calibri" w:hAnsi="Calibri"/>
                <w:sz w:val="20"/>
                <w:szCs w:val="20"/>
              </w:rPr>
              <w:t>388,715,715.51</w:t>
            </w:r>
          </w:p>
        </w:tc>
        <w:tc>
          <w:tcPr>
            <w:tcW w:w="3988" w:type="dxa"/>
            <w:vAlign w:val="center"/>
          </w:tcPr>
          <w:p w14:paraId="5C47B1A1">
            <w:pPr>
              <w:adjustRightInd w:val="0"/>
              <w:snapToGrid w:val="0"/>
              <w:jc w:val="right"/>
              <w:rPr>
                <w:rFonts w:ascii="Calibri" w:hAnsi="Calibri"/>
                <w:sz w:val="20"/>
                <w:szCs w:val="20"/>
              </w:rPr>
            </w:pPr>
            <w:r>
              <w:rPr>
                <w:rFonts w:ascii="Calibri" w:hAnsi="Calibri"/>
                <w:sz w:val="20"/>
                <w:szCs w:val="20"/>
              </w:rPr>
              <w:t>35.08</w:t>
            </w:r>
          </w:p>
        </w:tc>
      </w:tr>
      <w:tr w14:paraId="4F65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104" w:type="dxa"/>
            <w:vAlign w:val="center"/>
          </w:tcPr>
          <w:p w14:paraId="5622F190">
            <w:pPr>
              <w:adjustRightInd w:val="0"/>
              <w:snapToGrid w:val="0"/>
              <w:rPr>
                <w:rFonts w:ascii="Calibri" w:hAnsi="Calibri"/>
                <w:sz w:val="20"/>
                <w:szCs w:val="20"/>
              </w:rPr>
            </w:pPr>
            <w:r>
              <w:rPr>
                <w:rFonts w:ascii="Calibri" w:hAnsi="Calibri"/>
                <w:sz w:val="20"/>
                <w:szCs w:val="20"/>
              </w:rPr>
              <w:t>折旧费</w:t>
            </w:r>
          </w:p>
        </w:tc>
        <w:tc>
          <w:tcPr>
            <w:tcW w:w="2674" w:type="dxa"/>
            <w:vAlign w:val="center"/>
          </w:tcPr>
          <w:p w14:paraId="45FC78C8">
            <w:pPr>
              <w:adjustRightInd w:val="0"/>
              <w:snapToGrid w:val="0"/>
              <w:jc w:val="right"/>
              <w:rPr>
                <w:rFonts w:ascii="Calibri" w:hAnsi="Calibri"/>
                <w:sz w:val="20"/>
                <w:szCs w:val="20"/>
              </w:rPr>
            </w:pPr>
            <w:r>
              <w:rPr>
                <w:rFonts w:ascii="Calibri" w:hAnsi="Calibri"/>
                <w:sz w:val="20"/>
                <w:szCs w:val="20"/>
              </w:rPr>
              <w:t>393,779.59</w:t>
            </w:r>
          </w:p>
        </w:tc>
        <w:tc>
          <w:tcPr>
            <w:tcW w:w="3988" w:type="dxa"/>
            <w:vAlign w:val="center"/>
          </w:tcPr>
          <w:p w14:paraId="0CAB6D4F">
            <w:pPr>
              <w:adjustRightInd w:val="0"/>
              <w:snapToGrid w:val="0"/>
              <w:jc w:val="right"/>
              <w:rPr>
                <w:rFonts w:ascii="Calibri" w:hAnsi="Calibri"/>
                <w:sz w:val="20"/>
                <w:szCs w:val="20"/>
              </w:rPr>
            </w:pPr>
            <w:r>
              <w:rPr>
                <w:rFonts w:ascii="Calibri" w:hAnsi="Calibri"/>
                <w:sz w:val="20"/>
                <w:szCs w:val="20"/>
              </w:rPr>
              <w:t>0.04</w:t>
            </w:r>
          </w:p>
        </w:tc>
      </w:tr>
      <w:tr w14:paraId="307B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104" w:type="dxa"/>
            <w:vAlign w:val="center"/>
          </w:tcPr>
          <w:p w14:paraId="71F514F7">
            <w:pPr>
              <w:adjustRightInd w:val="0"/>
              <w:snapToGrid w:val="0"/>
              <w:rPr>
                <w:rFonts w:ascii="Calibri" w:hAnsi="Calibri"/>
                <w:sz w:val="20"/>
                <w:szCs w:val="20"/>
              </w:rPr>
            </w:pPr>
            <w:r>
              <w:rPr>
                <w:rFonts w:ascii="Calibri" w:hAnsi="Calibri"/>
                <w:sz w:val="20"/>
                <w:szCs w:val="20"/>
              </w:rPr>
              <w:t>差旅费</w:t>
            </w:r>
          </w:p>
        </w:tc>
        <w:tc>
          <w:tcPr>
            <w:tcW w:w="2674" w:type="dxa"/>
            <w:vAlign w:val="center"/>
          </w:tcPr>
          <w:p w14:paraId="5256484D">
            <w:pPr>
              <w:adjustRightInd w:val="0"/>
              <w:snapToGrid w:val="0"/>
              <w:jc w:val="right"/>
              <w:rPr>
                <w:rFonts w:ascii="Calibri" w:hAnsi="Calibri"/>
                <w:sz w:val="20"/>
                <w:szCs w:val="20"/>
              </w:rPr>
            </w:pPr>
            <w:r>
              <w:rPr>
                <w:rFonts w:ascii="Calibri" w:hAnsi="Calibri"/>
                <w:sz w:val="20"/>
                <w:szCs w:val="20"/>
              </w:rPr>
              <w:t>248,159,514.49</w:t>
            </w:r>
          </w:p>
        </w:tc>
        <w:tc>
          <w:tcPr>
            <w:tcW w:w="3988" w:type="dxa"/>
            <w:vAlign w:val="center"/>
          </w:tcPr>
          <w:p w14:paraId="56E583FF">
            <w:pPr>
              <w:adjustRightInd w:val="0"/>
              <w:snapToGrid w:val="0"/>
              <w:jc w:val="right"/>
              <w:rPr>
                <w:rFonts w:ascii="Calibri" w:hAnsi="Calibri"/>
                <w:sz w:val="20"/>
                <w:szCs w:val="20"/>
              </w:rPr>
            </w:pPr>
            <w:r>
              <w:rPr>
                <w:rFonts w:ascii="Calibri" w:hAnsi="Calibri"/>
                <w:sz w:val="20"/>
                <w:szCs w:val="20"/>
              </w:rPr>
              <w:t>22.39</w:t>
            </w:r>
          </w:p>
        </w:tc>
      </w:tr>
      <w:tr w14:paraId="3BF7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104" w:type="dxa"/>
            <w:vAlign w:val="center"/>
          </w:tcPr>
          <w:p w14:paraId="2E985D39">
            <w:pPr>
              <w:adjustRightInd w:val="0"/>
              <w:snapToGrid w:val="0"/>
              <w:rPr>
                <w:rFonts w:ascii="Calibri" w:hAnsi="Calibri"/>
                <w:sz w:val="20"/>
                <w:szCs w:val="20"/>
              </w:rPr>
            </w:pPr>
            <w:r>
              <w:rPr>
                <w:rFonts w:ascii="Calibri" w:hAnsi="Calibri"/>
                <w:sz w:val="20"/>
                <w:szCs w:val="20"/>
              </w:rPr>
              <w:t>办公费</w:t>
            </w:r>
          </w:p>
        </w:tc>
        <w:tc>
          <w:tcPr>
            <w:tcW w:w="2674" w:type="dxa"/>
            <w:vAlign w:val="center"/>
          </w:tcPr>
          <w:p w14:paraId="01431023">
            <w:pPr>
              <w:adjustRightInd w:val="0"/>
              <w:snapToGrid w:val="0"/>
              <w:jc w:val="right"/>
              <w:rPr>
                <w:rFonts w:ascii="Calibri" w:hAnsi="Calibri"/>
                <w:sz w:val="20"/>
                <w:szCs w:val="20"/>
              </w:rPr>
            </w:pPr>
            <w:r>
              <w:rPr>
                <w:rFonts w:ascii="Calibri" w:hAnsi="Calibri"/>
                <w:sz w:val="20"/>
                <w:szCs w:val="20"/>
              </w:rPr>
              <w:t>21,601,966.44</w:t>
            </w:r>
          </w:p>
        </w:tc>
        <w:tc>
          <w:tcPr>
            <w:tcW w:w="3988" w:type="dxa"/>
            <w:vAlign w:val="center"/>
          </w:tcPr>
          <w:p w14:paraId="58C4B2EB">
            <w:pPr>
              <w:adjustRightInd w:val="0"/>
              <w:snapToGrid w:val="0"/>
              <w:jc w:val="right"/>
              <w:rPr>
                <w:rFonts w:ascii="Calibri" w:hAnsi="Calibri"/>
                <w:sz w:val="20"/>
                <w:szCs w:val="20"/>
              </w:rPr>
            </w:pPr>
            <w:r>
              <w:rPr>
                <w:rFonts w:ascii="Calibri" w:hAnsi="Calibri"/>
                <w:sz w:val="20"/>
                <w:szCs w:val="20"/>
              </w:rPr>
              <w:t>1.95</w:t>
            </w:r>
          </w:p>
        </w:tc>
      </w:tr>
      <w:tr w14:paraId="30EA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104" w:type="dxa"/>
            <w:vAlign w:val="center"/>
          </w:tcPr>
          <w:p w14:paraId="4322FA41">
            <w:pPr>
              <w:adjustRightInd w:val="0"/>
              <w:snapToGrid w:val="0"/>
              <w:rPr>
                <w:rFonts w:ascii="Calibri" w:hAnsi="Calibri"/>
                <w:sz w:val="20"/>
                <w:szCs w:val="20"/>
              </w:rPr>
            </w:pPr>
            <w:r>
              <w:rPr>
                <w:rFonts w:ascii="Calibri" w:hAnsi="Calibri"/>
                <w:sz w:val="20"/>
                <w:szCs w:val="20"/>
              </w:rPr>
              <w:t>邮电费</w:t>
            </w:r>
          </w:p>
        </w:tc>
        <w:tc>
          <w:tcPr>
            <w:tcW w:w="2674" w:type="dxa"/>
            <w:vAlign w:val="center"/>
          </w:tcPr>
          <w:p w14:paraId="5CC1BA55">
            <w:pPr>
              <w:adjustRightInd w:val="0"/>
              <w:snapToGrid w:val="0"/>
              <w:jc w:val="right"/>
              <w:rPr>
                <w:rFonts w:ascii="Calibri" w:hAnsi="Calibri"/>
                <w:sz w:val="20"/>
                <w:szCs w:val="20"/>
              </w:rPr>
            </w:pPr>
            <w:r>
              <w:rPr>
                <w:rFonts w:ascii="Calibri" w:hAnsi="Calibri"/>
                <w:sz w:val="20"/>
                <w:szCs w:val="20"/>
              </w:rPr>
              <w:t>837,541.32</w:t>
            </w:r>
          </w:p>
        </w:tc>
        <w:tc>
          <w:tcPr>
            <w:tcW w:w="3988" w:type="dxa"/>
            <w:vAlign w:val="center"/>
          </w:tcPr>
          <w:p w14:paraId="6D807F17">
            <w:pPr>
              <w:adjustRightInd w:val="0"/>
              <w:snapToGrid w:val="0"/>
              <w:jc w:val="right"/>
              <w:rPr>
                <w:rFonts w:ascii="Calibri" w:hAnsi="Calibri"/>
                <w:sz w:val="20"/>
                <w:szCs w:val="20"/>
              </w:rPr>
            </w:pPr>
            <w:r>
              <w:rPr>
                <w:rFonts w:ascii="Calibri" w:hAnsi="Calibri"/>
                <w:sz w:val="20"/>
                <w:szCs w:val="20"/>
              </w:rPr>
              <w:t>0.08</w:t>
            </w:r>
          </w:p>
        </w:tc>
      </w:tr>
      <w:tr w14:paraId="627B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104" w:type="dxa"/>
            <w:vAlign w:val="center"/>
          </w:tcPr>
          <w:p w14:paraId="2587AE0C">
            <w:pPr>
              <w:adjustRightInd w:val="0"/>
              <w:snapToGrid w:val="0"/>
              <w:rPr>
                <w:rFonts w:ascii="Calibri" w:hAnsi="Calibri"/>
                <w:sz w:val="20"/>
                <w:szCs w:val="20"/>
              </w:rPr>
            </w:pPr>
            <w:r>
              <w:rPr>
                <w:rFonts w:ascii="Calibri" w:hAnsi="Calibri"/>
                <w:sz w:val="20"/>
                <w:szCs w:val="20"/>
              </w:rPr>
              <w:t>宣传费</w:t>
            </w:r>
          </w:p>
        </w:tc>
        <w:tc>
          <w:tcPr>
            <w:tcW w:w="2674" w:type="dxa"/>
            <w:vAlign w:val="center"/>
          </w:tcPr>
          <w:p w14:paraId="7920536F">
            <w:pPr>
              <w:adjustRightInd w:val="0"/>
              <w:snapToGrid w:val="0"/>
              <w:jc w:val="right"/>
              <w:rPr>
                <w:rFonts w:ascii="Calibri" w:hAnsi="Calibri"/>
                <w:sz w:val="20"/>
                <w:szCs w:val="20"/>
              </w:rPr>
            </w:pPr>
            <w:r>
              <w:rPr>
                <w:rFonts w:ascii="Calibri" w:hAnsi="Calibri"/>
                <w:sz w:val="20"/>
                <w:szCs w:val="20"/>
              </w:rPr>
              <w:t>74,430,884.95</w:t>
            </w:r>
          </w:p>
        </w:tc>
        <w:tc>
          <w:tcPr>
            <w:tcW w:w="3988" w:type="dxa"/>
            <w:vAlign w:val="center"/>
          </w:tcPr>
          <w:p w14:paraId="18B3B861">
            <w:pPr>
              <w:adjustRightInd w:val="0"/>
              <w:snapToGrid w:val="0"/>
              <w:jc w:val="right"/>
              <w:rPr>
                <w:rFonts w:ascii="Calibri" w:hAnsi="Calibri"/>
                <w:sz w:val="20"/>
                <w:szCs w:val="20"/>
              </w:rPr>
            </w:pPr>
            <w:r>
              <w:rPr>
                <w:rFonts w:ascii="Calibri" w:hAnsi="Calibri"/>
                <w:sz w:val="20"/>
                <w:szCs w:val="20"/>
              </w:rPr>
              <w:t>6.72</w:t>
            </w:r>
          </w:p>
        </w:tc>
      </w:tr>
      <w:tr w14:paraId="1928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104" w:type="dxa"/>
            <w:vAlign w:val="center"/>
          </w:tcPr>
          <w:p w14:paraId="0B171702">
            <w:pPr>
              <w:adjustRightInd w:val="0"/>
              <w:snapToGrid w:val="0"/>
              <w:rPr>
                <w:rFonts w:ascii="Calibri" w:hAnsi="Calibri"/>
                <w:sz w:val="20"/>
                <w:szCs w:val="20"/>
              </w:rPr>
            </w:pPr>
            <w:r>
              <w:rPr>
                <w:rFonts w:ascii="Calibri" w:hAnsi="Calibri"/>
                <w:sz w:val="20"/>
                <w:szCs w:val="20"/>
              </w:rPr>
              <w:t>咨询费及市场开发费</w:t>
            </w:r>
          </w:p>
        </w:tc>
        <w:tc>
          <w:tcPr>
            <w:tcW w:w="2674" w:type="dxa"/>
            <w:vAlign w:val="center"/>
          </w:tcPr>
          <w:p w14:paraId="00293321">
            <w:pPr>
              <w:adjustRightInd w:val="0"/>
              <w:snapToGrid w:val="0"/>
              <w:jc w:val="right"/>
              <w:rPr>
                <w:rFonts w:ascii="Calibri" w:hAnsi="Calibri"/>
                <w:sz w:val="20"/>
                <w:szCs w:val="20"/>
              </w:rPr>
            </w:pPr>
            <w:r>
              <w:rPr>
                <w:rFonts w:ascii="Calibri" w:hAnsi="Calibri"/>
                <w:sz w:val="20"/>
                <w:szCs w:val="20"/>
              </w:rPr>
              <w:t>336,299,339.92</w:t>
            </w:r>
          </w:p>
        </w:tc>
        <w:tc>
          <w:tcPr>
            <w:tcW w:w="3988" w:type="dxa"/>
            <w:vAlign w:val="center"/>
          </w:tcPr>
          <w:p w14:paraId="27FDFB38">
            <w:pPr>
              <w:adjustRightInd w:val="0"/>
              <w:snapToGrid w:val="0"/>
              <w:jc w:val="right"/>
              <w:rPr>
                <w:rFonts w:ascii="Calibri" w:hAnsi="Calibri"/>
                <w:sz w:val="20"/>
                <w:szCs w:val="20"/>
              </w:rPr>
            </w:pPr>
            <w:r>
              <w:rPr>
                <w:rFonts w:ascii="Calibri" w:hAnsi="Calibri"/>
                <w:sz w:val="20"/>
                <w:szCs w:val="20"/>
              </w:rPr>
              <w:t>30.35</w:t>
            </w:r>
          </w:p>
        </w:tc>
      </w:tr>
      <w:tr w14:paraId="302D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104" w:type="dxa"/>
            <w:vAlign w:val="center"/>
          </w:tcPr>
          <w:p w14:paraId="561AB072">
            <w:pPr>
              <w:adjustRightInd w:val="0"/>
              <w:snapToGrid w:val="0"/>
              <w:rPr>
                <w:rFonts w:ascii="Calibri" w:hAnsi="Calibri"/>
                <w:sz w:val="20"/>
                <w:szCs w:val="20"/>
              </w:rPr>
            </w:pPr>
            <w:r>
              <w:rPr>
                <w:rFonts w:ascii="Calibri" w:hAnsi="Calibri"/>
                <w:sz w:val="20"/>
                <w:szCs w:val="20"/>
              </w:rPr>
              <w:t>境外销售服务费</w:t>
            </w:r>
          </w:p>
        </w:tc>
        <w:tc>
          <w:tcPr>
            <w:tcW w:w="2674" w:type="dxa"/>
            <w:vAlign w:val="center"/>
          </w:tcPr>
          <w:p w14:paraId="67F76B23">
            <w:pPr>
              <w:adjustRightInd w:val="0"/>
              <w:snapToGrid w:val="0"/>
              <w:jc w:val="right"/>
              <w:rPr>
                <w:rFonts w:ascii="Calibri" w:hAnsi="Calibri"/>
                <w:sz w:val="20"/>
                <w:szCs w:val="20"/>
              </w:rPr>
            </w:pPr>
            <w:r>
              <w:rPr>
                <w:rFonts w:ascii="Calibri" w:hAnsi="Calibri"/>
                <w:sz w:val="20"/>
                <w:szCs w:val="20"/>
              </w:rPr>
              <w:t>8,389,173.13</w:t>
            </w:r>
          </w:p>
        </w:tc>
        <w:tc>
          <w:tcPr>
            <w:tcW w:w="3988" w:type="dxa"/>
            <w:vAlign w:val="center"/>
          </w:tcPr>
          <w:p w14:paraId="4F1B5211">
            <w:pPr>
              <w:adjustRightInd w:val="0"/>
              <w:snapToGrid w:val="0"/>
              <w:jc w:val="right"/>
              <w:rPr>
                <w:rFonts w:ascii="Calibri" w:hAnsi="Calibri"/>
                <w:sz w:val="20"/>
                <w:szCs w:val="20"/>
              </w:rPr>
            </w:pPr>
            <w:r>
              <w:rPr>
                <w:rFonts w:ascii="Calibri" w:hAnsi="Calibri"/>
                <w:sz w:val="20"/>
                <w:szCs w:val="20"/>
              </w:rPr>
              <w:t>0.76</w:t>
            </w:r>
          </w:p>
        </w:tc>
      </w:tr>
      <w:tr w14:paraId="4999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104" w:type="dxa"/>
            <w:vAlign w:val="center"/>
          </w:tcPr>
          <w:p w14:paraId="20608827">
            <w:pPr>
              <w:adjustRightInd w:val="0"/>
              <w:snapToGrid w:val="0"/>
              <w:rPr>
                <w:rFonts w:ascii="Calibri" w:hAnsi="Calibri"/>
                <w:sz w:val="20"/>
                <w:szCs w:val="20"/>
              </w:rPr>
            </w:pPr>
            <w:r>
              <w:rPr>
                <w:rFonts w:ascii="Calibri" w:hAnsi="Calibri"/>
                <w:sz w:val="20"/>
                <w:szCs w:val="20"/>
              </w:rPr>
              <w:t>会议费</w:t>
            </w:r>
          </w:p>
        </w:tc>
        <w:tc>
          <w:tcPr>
            <w:tcW w:w="2674" w:type="dxa"/>
            <w:vAlign w:val="center"/>
          </w:tcPr>
          <w:p w14:paraId="0ADF14C4">
            <w:pPr>
              <w:adjustRightInd w:val="0"/>
              <w:snapToGrid w:val="0"/>
              <w:jc w:val="right"/>
              <w:rPr>
                <w:rFonts w:ascii="Calibri" w:hAnsi="Calibri"/>
                <w:sz w:val="20"/>
                <w:szCs w:val="20"/>
              </w:rPr>
            </w:pPr>
            <w:r>
              <w:rPr>
                <w:rFonts w:ascii="Calibri" w:hAnsi="Calibri"/>
                <w:sz w:val="20"/>
                <w:szCs w:val="20"/>
              </w:rPr>
              <w:t>7,965,396.87</w:t>
            </w:r>
          </w:p>
        </w:tc>
        <w:tc>
          <w:tcPr>
            <w:tcW w:w="3988" w:type="dxa"/>
            <w:vAlign w:val="center"/>
          </w:tcPr>
          <w:p w14:paraId="488277E3">
            <w:pPr>
              <w:adjustRightInd w:val="0"/>
              <w:snapToGrid w:val="0"/>
              <w:jc w:val="right"/>
              <w:rPr>
                <w:rFonts w:ascii="Calibri" w:hAnsi="Calibri"/>
                <w:sz w:val="20"/>
                <w:szCs w:val="20"/>
              </w:rPr>
            </w:pPr>
            <w:r>
              <w:rPr>
                <w:rFonts w:ascii="Calibri" w:hAnsi="Calibri"/>
                <w:sz w:val="20"/>
                <w:szCs w:val="20"/>
              </w:rPr>
              <w:t>0.72</w:t>
            </w:r>
          </w:p>
        </w:tc>
      </w:tr>
      <w:tr w14:paraId="3BC9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104" w:type="dxa"/>
            <w:vAlign w:val="center"/>
          </w:tcPr>
          <w:p w14:paraId="7A75C57E">
            <w:pPr>
              <w:adjustRightInd w:val="0"/>
              <w:snapToGrid w:val="0"/>
              <w:rPr>
                <w:rFonts w:ascii="Calibri" w:hAnsi="Calibri"/>
                <w:sz w:val="20"/>
                <w:szCs w:val="20"/>
              </w:rPr>
            </w:pPr>
            <w:r>
              <w:rPr>
                <w:rFonts w:ascii="Calibri" w:hAnsi="Calibri"/>
                <w:sz w:val="20"/>
                <w:szCs w:val="20"/>
              </w:rPr>
              <w:t>其他</w:t>
            </w:r>
          </w:p>
        </w:tc>
        <w:tc>
          <w:tcPr>
            <w:tcW w:w="2674" w:type="dxa"/>
            <w:vAlign w:val="center"/>
          </w:tcPr>
          <w:p w14:paraId="1FC236EF">
            <w:pPr>
              <w:adjustRightInd w:val="0"/>
              <w:snapToGrid w:val="0"/>
              <w:jc w:val="right"/>
              <w:rPr>
                <w:rFonts w:ascii="Calibri" w:hAnsi="Calibri"/>
                <w:sz w:val="20"/>
                <w:szCs w:val="20"/>
              </w:rPr>
            </w:pPr>
            <w:r>
              <w:rPr>
                <w:rFonts w:ascii="Calibri" w:hAnsi="Calibri"/>
                <w:sz w:val="20"/>
                <w:szCs w:val="20"/>
              </w:rPr>
              <w:t>21,333,915.64</w:t>
            </w:r>
          </w:p>
        </w:tc>
        <w:tc>
          <w:tcPr>
            <w:tcW w:w="3988" w:type="dxa"/>
            <w:vAlign w:val="center"/>
          </w:tcPr>
          <w:p w14:paraId="0FA80DDB">
            <w:pPr>
              <w:adjustRightInd w:val="0"/>
              <w:snapToGrid w:val="0"/>
              <w:jc w:val="right"/>
              <w:rPr>
                <w:rFonts w:ascii="Calibri" w:hAnsi="Calibri"/>
                <w:sz w:val="20"/>
                <w:szCs w:val="20"/>
              </w:rPr>
            </w:pPr>
            <w:r>
              <w:rPr>
                <w:rFonts w:ascii="Calibri" w:hAnsi="Calibri"/>
                <w:sz w:val="20"/>
                <w:szCs w:val="20"/>
              </w:rPr>
              <w:t>1.93</w:t>
            </w:r>
          </w:p>
        </w:tc>
      </w:tr>
      <w:tr w14:paraId="5988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104" w:type="dxa"/>
            <w:vAlign w:val="center"/>
          </w:tcPr>
          <w:p w14:paraId="1F5D2CEA">
            <w:pPr>
              <w:adjustRightInd w:val="0"/>
              <w:snapToGrid w:val="0"/>
              <w:jc w:val="center"/>
              <w:rPr>
                <w:rFonts w:ascii="Calibri" w:hAnsi="Calibri"/>
                <w:sz w:val="20"/>
                <w:szCs w:val="20"/>
              </w:rPr>
            </w:pPr>
            <w:r>
              <w:rPr>
                <w:rFonts w:hint="eastAsia" w:ascii="Calibri" w:hAnsi="Calibri"/>
                <w:sz w:val="20"/>
                <w:szCs w:val="20"/>
              </w:rPr>
              <w:t>合计</w:t>
            </w:r>
          </w:p>
        </w:tc>
        <w:tc>
          <w:tcPr>
            <w:tcW w:w="2674" w:type="dxa"/>
            <w:vAlign w:val="center"/>
          </w:tcPr>
          <w:p w14:paraId="050148EF">
            <w:pPr>
              <w:adjustRightInd w:val="0"/>
              <w:snapToGrid w:val="0"/>
              <w:jc w:val="right"/>
              <w:rPr>
                <w:rFonts w:ascii="Calibri" w:hAnsi="Calibri"/>
                <w:sz w:val="20"/>
                <w:szCs w:val="20"/>
              </w:rPr>
            </w:pPr>
            <w:r>
              <w:rPr>
                <w:rFonts w:ascii="Calibri" w:hAnsi="Calibri"/>
                <w:sz w:val="20"/>
                <w:szCs w:val="20"/>
              </w:rPr>
              <w:t>1,108,127,227.86</w:t>
            </w:r>
          </w:p>
        </w:tc>
        <w:tc>
          <w:tcPr>
            <w:tcW w:w="3988" w:type="dxa"/>
            <w:vAlign w:val="center"/>
          </w:tcPr>
          <w:p w14:paraId="509A722B">
            <w:pPr>
              <w:adjustRightInd w:val="0"/>
              <w:snapToGrid w:val="0"/>
              <w:jc w:val="right"/>
              <w:rPr>
                <w:rFonts w:ascii="Calibri" w:hAnsi="Calibri"/>
                <w:sz w:val="20"/>
                <w:szCs w:val="20"/>
              </w:rPr>
            </w:pPr>
            <w:r>
              <w:rPr>
                <w:rFonts w:hint="eastAsia" w:ascii="Calibri" w:hAnsi="Calibri"/>
                <w:sz w:val="20"/>
                <w:szCs w:val="20"/>
              </w:rPr>
              <w:t>1</w:t>
            </w:r>
            <w:r>
              <w:rPr>
                <w:rFonts w:ascii="Calibri" w:hAnsi="Calibri"/>
                <w:sz w:val="20"/>
                <w:szCs w:val="20"/>
              </w:rPr>
              <w:t>00.00</w:t>
            </w:r>
          </w:p>
        </w:tc>
      </w:tr>
    </w:tbl>
    <w:p w14:paraId="0A6C7F1A"/>
    <w:p w14:paraId="5F91E15B">
      <w:pPr>
        <w:pStyle w:val="48"/>
      </w:pPr>
      <w:r>
        <w:rPr>
          <w:rFonts w:hint="eastAsia"/>
        </w:rPr>
        <w:t>同行业比较情况</w:t>
      </w:r>
    </w:p>
    <w:sdt>
      <w:sdtPr>
        <w:rPr>
          <w:rFonts w:hint="eastAsia"/>
        </w:rPr>
        <w:alias w:val="是否适用：医药制造业同行业比较情况[双击切换]"/>
        <w:tag w:val="_GBC_c607acdf9728424cbb80cb59c60062ed"/>
        <w:id w:val="-475608319"/>
        <w:placeholder>
          <w:docPart w:val="GBC22222222222222222222222222222"/>
        </w:placeholder>
      </w:sdtPr>
      <w:sdtEndPr>
        <w:rPr>
          <w:rFonts w:hint="default"/>
        </w:rPr>
      </w:sdtEndPr>
      <w:sdtContent>
        <w:p w14:paraId="529C09D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8098FCD">
      <w:pPr>
        <w:wordWrap w:val="0"/>
        <w:adjustRightInd w:val="0"/>
        <w:snapToGrid w:val="0"/>
        <w:jc w:val="right"/>
      </w:pPr>
      <w:r>
        <w:rPr>
          <w:rFonts w:hint="eastAsia"/>
        </w:rPr>
        <w:t>单位：</w:t>
      </w:r>
      <w:sdt>
        <w:sdtPr>
          <w:rPr>
            <w:rFonts w:hint="eastAsia"/>
          </w:rPr>
          <w:alias w:val="单位：医药制造业同行业比较情况"/>
          <w:tag w:val="_GBC_b9f7c2a8d5eb479c9e1437904a57b1a5"/>
          <w:id w:val="15979066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万元</w:t>
          </w:r>
        </w:sdtContent>
      </w:sdt>
      <w:r>
        <w:rPr>
          <w:rFonts w:hint="eastAsia"/>
        </w:rPr>
        <w:t xml:space="preserve">  币种：</w:t>
      </w:r>
      <w:sdt>
        <w:sdtPr>
          <w:rPr>
            <w:rFonts w:hint="eastAsia"/>
          </w:rPr>
          <w:alias w:val="币种：医药制造业同行业比较情况"/>
          <w:tag w:val="_GBC_8ecffb5c8bb54f3587f626ba6fc04450"/>
          <w:id w:val="-18347547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Style w:val="57"/>
        <w:tblW w:w="9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1"/>
        <w:gridCol w:w="2927"/>
        <w:gridCol w:w="3711"/>
      </w:tblGrid>
      <w:tr w14:paraId="3C63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sdt>
          <w:sdtPr>
            <w:tag w:val="_PLD_d9e84a6dabdb4264a99224a79fd5353a"/>
            <w:id w:val="-2052141207"/>
          </w:sdtPr>
          <w:sdtContent>
            <w:tc>
              <w:tcPr>
                <w:tcW w:w="3161" w:type="dxa"/>
                <w:vAlign w:val="center"/>
              </w:tcPr>
              <w:p w14:paraId="04DAB96D">
                <w:pPr>
                  <w:adjustRightInd w:val="0"/>
                  <w:snapToGrid w:val="0"/>
                  <w:jc w:val="center"/>
                  <w:rPr>
                    <w:rFonts w:ascii="Calibri" w:hAnsi="Calibri"/>
                    <w:sz w:val="20"/>
                    <w:szCs w:val="20"/>
                  </w:rPr>
                </w:pPr>
                <w:r>
                  <w:rPr>
                    <w:rFonts w:hint="eastAsia" w:ascii="Calibri" w:hAnsi="Calibri"/>
                    <w:sz w:val="20"/>
                    <w:szCs w:val="20"/>
                  </w:rPr>
                  <w:t>同行业可比公司</w:t>
                </w:r>
              </w:p>
            </w:tc>
          </w:sdtContent>
        </w:sdt>
        <w:sdt>
          <w:sdtPr>
            <w:tag w:val="_PLD_9ba2b46ab19642e5b6eff0cd6e68514d"/>
            <w:id w:val="1233121019"/>
          </w:sdtPr>
          <w:sdtContent>
            <w:tc>
              <w:tcPr>
                <w:tcW w:w="2927" w:type="dxa"/>
                <w:vAlign w:val="center"/>
              </w:tcPr>
              <w:p w14:paraId="75D94252">
                <w:pPr>
                  <w:adjustRightInd w:val="0"/>
                  <w:snapToGrid w:val="0"/>
                  <w:jc w:val="center"/>
                  <w:rPr>
                    <w:rFonts w:ascii="Calibri" w:hAnsi="Calibri"/>
                    <w:sz w:val="20"/>
                    <w:szCs w:val="20"/>
                  </w:rPr>
                </w:pPr>
                <w:r>
                  <w:rPr>
                    <w:rFonts w:hint="eastAsia" w:ascii="Calibri" w:hAnsi="Calibri"/>
                    <w:sz w:val="20"/>
                    <w:szCs w:val="20"/>
                  </w:rPr>
                  <w:t>销售费用</w:t>
                </w:r>
              </w:p>
            </w:tc>
          </w:sdtContent>
        </w:sdt>
        <w:sdt>
          <w:sdtPr>
            <w:tag w:val="_PLD_0c6a194787f74175a46de6dcb723a23d"/>
            <w:id w:val="2047561263"/>
          </w:sdtPr>
          <w:sdtContent>
            <w:tc>
              <w:tcPr>
                <w:tcW w:w="3711" w:type="dxa"/>
                <w:vAlign w:val="center"/>
              </w:tcPr>
              <w:p w14:paraId="15341A36">
                <w:pPr>
                  <w:adjustRightInd w:val="0"/>
                  <w:snapToGrid w:val="0"/>
                  <w:jc w:val="center"/>
                  <w:rPr>
                    <w:rFonts w:ascii="Calibri" w:hAnsi="Calibri"/>
                    <w:sz w:val="20"/>
                    <w:szCs w:val="20"/>
                  </w:rPr>
                </w:pPr>
                <w:r>
                  <w:rPr>
                    <w:rFonts w:hint="eastAsia" w:ascii="Calibri" w:hAnsi="Calibri"/>
                    <w:sz w:val="20"/>
                    <w:szCs w:val="20"/>
                  </w:rPr>
                  <w:t>销售费用占营业收入比例（%）</w:t>
                </w:r>
              </w:p>
            </w:tc>
          </w:sdtContent>
        </w:sdt>
      </w:tr>
      <w:tr w14:paraId="32BF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161" w:type="dxa"/>
            <w:vAlign w:val="center"/>
          </w:tcPr>
          <w:p w14:paraId="3E69C160">
            <w:pPr>
              <w:adjustRightInd w:val="0"/>
              <w:snapToGrid w:val="0"/>
              <w:jc w:val="both"/>
              <w:rPr>
                <w:rFonts w:ascii="Calibri" w:hAnsi="Calibri"/>
                <w:sz w:val="20"/>
                <w:szCs w:val="20"/>
              </w:rPr>
            </w:pPr>
            <w:r>
              <w:rPr>
                <w:rFonts w:hint="eastAsia" w:ascii="Calibri" w:hAnsi="Calibri"/>
                <w:sz w:val="20"/>
                <w:szCs w:val="20"/>
              </w:rPr>
              <w:t>博雅生物</w:t>
            </w:r>
          </w:p>
        </w:tc>
        <w:tc>
          <w:tcPr>
            <w:tcW w:w="2927" w:type="dxa"/>
            <w:vAlign w:val="center"/>
          </w:tcPr>
          <w:p w14:paraId="1378BE47">
            <w:pPr>
              <w:adjustRightInd w:val="0"/>
              <w:snapToGrid w:val="0"/>
              <w:jc w:val="right"/>
              <w:rPr>
                <w:rFonts w:ascii="Calibri" w:hAnsi="Calibri"/>
                <w:sz w:val="20"/>
                <w:szCs w:val="20"/>
              </w:rPr>
            </w:pPr>
            <w:r>
              <w:rPr>
                <w:rFonts w:ascii="Calibri" w:hAnsi="Calibri"/>
                <w:sz w:val="20"/>
                <w:szCs w:val="20"/>
              </w:rPr>
              <w:t>41,267.18</w:t>
            </w:r>
          </w:p>
        </w:tc>
        <w:tc>
          <w:tcPr>
            <w:tcW w:w="3711" w:type="dxa"/>
            <w:vAlign w:val="center"/>
          </w:tcPr>
          <w:p w14:paraId="4A10579B">
            <w:pPr>
              <w:adjustRightInd w:val="0"/>
              <w:snapToGrid w:val="0"/>
              <w:jc w:val="right"/>
              <w:rPr>
                <w:rFonts w:ascii="Calibri" w:hAnsi="Calibri"/>
                <w:sz w:val="20"/>
                <w:szCs w:val="20"/>
              </w:rPr>
            </w:pPr>
            <w:r>
              <w:rPr>
                <w:rFonts w:hint="eastAsia" w:ascii="Calibri" w:hAnsi="Calibri"/>
                <w:sz w:val="20"/>
                <w:szCs w:val="20"/>
              </w:rPr>
              <w:t>2</w:t>
            </w:r>
            <w:r>
              <w:rPr>
                <w:rFonts w:ascii="Calibri" w:hAnsi="Calibri"/>
                <w:sz w:val="20"/>
                <w:szCs w:val="20"/>
              </w:rPr>
              <w:t>0.04</w:t>
            </w:r>
          </w:p>
        </w:tc>
      </w:tr>
      <w:tr w14:paraId="422F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161" w:type="dxa"/>
            <w:vAlign w:val="center"/>
          </w:tcPr>
          <w:p w14:paraId="39F79CE9">
            <w:pPr>
              <w:adjustRightInd w:val="0"/>
              <w:snapToGrid w:val="0"/>
              <w:jc w:val="both"/>
              <w:rPr>
                <w:rFonts w:ascii="Calibri" w:hAnsi="Calibri"/>
                <w:sz w:val="20"/>
                <w:szCs w:val="20"/>
              </w:rPr>
            </w:pPr>
            <w:r>
              <w:rPr>
                <w:rFonts w:hint="eastAsia" w:ascii="Calibri" w:hAnsi="Calibri"/>
                <w:sz w:val="20"/>
                <w:szCs w:val="20"/>
              </w:rPr>
              <w:t>华润三九</w:t>
            </w:r>
          </w:p>
        </w:tc>
        <w:tc>
          <w:tcPr>
            <w:tcW w:w="2927" w:type="dxa"/>
            <w:vAlign w:val="center"/>
          </w:tcPr>
          <w:p w14:paraId="1A9B475B">
            <w:pPr>
              <w:adjustRightInd w:val="0"/>
              <w:snapToGrid w:val="0"/>
              <w:jc w:val="right"/>
              <w:rPr>
                <w:rFonts w:ascii="Calibri" w:hAnsi="Calibri"/>
                <w:sz w:val="20"/>
                <w:szCs w:val="20"/>
              </w:rPr>
            </w:pPr>
            <w:r>
              <w:rPr>
                <w:rFonts w:ascii="Calibri" w:hAnsi="Calibri"/>
                <w:sz w:val="20"/>
                <w:szCs w:val="20"/>
              </w:rPr>
              <w:t>908,858.43</w:t>
            </w:r>
          </w:p>
        </w:tc>
        <w:tc>
          <w:tcPr>
            <w:tcW w:w="3711" w:type="dxa"/>
            <w:vAlign w:val="center"/>
          </w:tcPr>
          <w:p w14:paraId="1B8EC29F">
            <w:pPr>
              <w:adjustRightInd w:val="0"/>
              <w:snapToGrid w:val="0"/>
              <w:jc w:val="right"/>
              <w:rPr>
                <w:rFonts w:ascii="Calibri" w:hAnsi="Calibri"/>
                <w:sz w:val="20"/>
                <w:szCs w:val="20"/>
              </w:rPr>
            </w:pPr>
            <w:r>
              <w:rPr>
                <w:rFonts w:hint="eastAsia" w:ascii="Calibri" w:hAnsi="Calibri"/>
                <w:sz w:val="20"/>
                <w:szCs w:val="20"/>
              </w:rPr>
              <w:t>2</w:t>
            </w:r>
            <w:r>
              <w:rPr>
                <w:rFonts w:ascii="Calibri" w:hAnsi="Calibri"/>
                <w:sz w:val="20"/>
                <w:szCs w:val="20"/>
              </w:rPr>
              <w:t>8.76</w:t>
            </w:r>
          </w:p>
        </w:tc>
      </w:tr>
      <w:tr w14:paraId="422D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161" w:type="dxa"/>
            <w:vAlign w:val="center"/>
          </w:tcPr>
          <w:p w14:paraId="4E40FC14">
            <w:pPr>
              <w:adjustRightInd w:val="0"/>
              <w:snapToGrid w:val="0"/>
              <w:jc w:val="both"/>
              <w:rPr>
                <w:rFonts w:ascii="Calibri" w:hAnsi="Calibri"/>
                <w:sz w:val="20"/>
                <w:szCs w:val="20"/>
              </w:rPr>
            </w:pPr>
            <w:r>
              <w:rPr>
                <w:rFonts w:hint="eastAsia" w:ascii="Calibri" w:hAnsi="Calibri"/>
                <w:sz w:val="20"/>
                <w:szCs w:val="20"/>
              </w:rPr>
              <w:t>复星医药</w:t>
            </w:r>
          </w:p>
        </w:tc>
        <w:tc>
          <w:tcPr>
            <w:tcW w:w="2927" w:type="dxa"/>
            <w:vAlign w:val="center"/>
          </w:tcPr>
          <w:p w14:paraId="3F556DE2">
            <w:pPr>
              <w:adjustRightInd w:val="0"/>
              <w:snapToGrid w:val="0"/>
              <w:jc w:val="right"/>
              <w:rPr>
                <w:rFonts w:ascii="Calibri" w:hAnsi="Calibri"/>
                <w:sz w:val="20"/>
                <w:szCs w:val="20"/>
              </w:rPr>
            </w:pPr>
            <w:r>
              <w:rPr>
                <w:rFonts w:ascii="Calibri" w:hAnsi="Calibri"/>
                <w:sz w:val="20"/>
                <w:szCs w:val="20"/>
              </w:rPr>
              <w:t>919,302.20</w:t>
            </w:r>
          </w:p>
        </w:tc>
        <w:tc>
          <w:tcPr>
            <w:tcW w:w="3711" w:type="dxa"/>
            <w:vAlign w:val="center"/>
          </w:tcPr>
          <w:p w14:paraId="0F0F7EAC">
            <w:pPr>
              <w:adjustRightInd w:val="0"/>
              <w:snapToGrid w:val="0"/>
              <w:jc w:val="right"/>
              <w:rPr>
                <w:rFonts w:ascii="Calibri" w:hAnsi="Calibri"/>
                <w:sz w:val="20"/>
                <w:szCs w:val="20"/>
              </w:rPr>
            </w:pPr>
            <w:r>
              <w:rPr>
                <w:rFonts w:hint="eastAsia" w:ascii="Calibri" w:hAnsi="Calibri"/>
                <w:sz w:val="20"/>
                <w:szCs w:val="20"/>
              </w:rPr>
              <w:t>2</w:t>
            </w:r>
            <w:r>
              <w:rPr>
                <w:rFonts w:ascii="Calibri" w:hAnsi="Calibri"/>
                <w:sz w:val="20"/>
                <w:szCs w:val="20"/>
              </w:rPr>
              <w:t>2.07</w:t>
            </w:r>
          </w:p>
        </w:tc>
      </w:tr>
      <w:tr w14:paraId="0DD4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161" w:type="dxa"/>
            <w:vAlign w:val="center"/>
          </w:tcPr>
          <w:p w14:paraId="40D94DC4">
            <w:pPr>
              <w:adjustRightInd w:val="0"/>
              <w:snapToGrid w:val="0"/>
              <w:jc w:val="both"/>
              <w:rPr>
                <w:rFonts w:ascii="Calibri" w:hAnsi="Calibri"/>
                <w:sz w:val="20"/>
                <w:szCs w:val="20"/>
              </w:rPr>
            </w:pPr>
            <w:r>
              <w:rPr>
                <w:rFonts w:hint="eastAsia" w:ascii="Calibri" w:hAnsi="Calibri"/>
                <w:sz w:val="20"/>
                <w:szCs w:val="20"/>
              </w:rPr>
              <w:t>博瑞医药</w:t>
            </w:r>
          </w:p>
        </w:tc>
        <w:tc>
          <w:tcPr>
            <w:tcW w:w="2927" w:type="dxa"/>
            <w:vAlign w:val="center"/>
          </w:tcPr>
          <w:p w14:paraId="512873B8">
            <w:pPr>
              <w:adjustRightInd w:val="0"/>
              <w:snapToGrid w:val="0"/>
              <w:jc w:val="right"/>
              <w:rPr>
                <w:rFonts w:ascii="Calibri" w:hAnsi="Calibri"/>
                <w:sz w:val="20"/>
                <w:szCs w:val="20"/>
              </w:rPr>
            </w:pPr>
            <w:r>
              <w:rPr>
                <w:rFonts w:ascii="Calibri" w:hAnsi="Calibri"/>
                <w:sz w:val="20"/>
                <w:szCs w:val="20"/>
              </w:rPr>
              <w:t>7,802.15</w:t>
            </w:r>
          </w:p>
        </w:tc>
        <w:tc>
          <w:tcPr>
            <w:tcW w:w="3711" w:type="dxa"/>
            <w:vAlign w:val="center"/>
          </w:tcPr>
          <w:p w14:paraId="4081B2A7">
            <w:pPr>
              <w:adjustRightInd w:val="0"/>
              <w:snapToGrid w:val="0"/>
              <w:jc w:val="right"/>
              <w:rPr>
                <w:rFonts w:ascii="Calibri" w:hAnsi="Calibri"/>
                <w:sz w:val="20"/>
                <w:szCs w:val="20"/>
              </w:rPr>
            </w:pPr>
            <w:r>
              <w:rPr>
                <w:rFonts w:hint="eastAsia" w:ascii="Calibri" w:hAnsi="Calibri"/>
                <w:sz w:val="20"/>
                <w:szCs w:val="20"/>
              </w:rPr>
              <w:t>6</w:t>
            </w:r>
            <w:r>
              <w:rPr>
                <w:rFonts w:ascii="Calibri" w:hAnsi="Calibri"/>
                <w:sz w:val="20"/>
                <w:szCs w:val="20"/>
              </w:rPr>
              <w:t>.38</w:t>
            </w:r>
          </w:p>
        </w:tc>
      </w:tr>
      <w:tr w14:paraId="76F1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161" w:type="dxa"/>
            <w:vAlign w:val="center"/>
          </w:tcPr>
          <w:p w14:paraId="47626785">
            <w:pPr>
              <w:adjustRightInd w:val="0"/>
              <w:snapToGrid w:val="0"/>
              <w:jc w:val="both"/>
              <w:rPr>
                <w:rFonts w:ascii="Calibri" w:hAnsi="Calibri"/>
                <w:sz w:val="20"/>
                <w:szCs w:val="20"/>
              </w:rPr>
            </w:pPr>
            <w:r>
              <w:rPr>
                <w:rFonts w:hint="eastAsia" w:ascii="Calibri" w:hAnsi="Calibri"/>
                <w:sz w:val="20"/>
                <w:szCs w:val="20"/>
              </w:rPr>
              <w:t>天坛生物</w:t>
            </w:r>
          </w:p>
        </w:tc>
        <w:tc>
          <w:tcPr>
            <w:tcW w:w="2927" w:type="dxa"/>
            <w:vAlign w:val="center"/>
          </w:tcPr>
          <w:p w14:paraId="14F4620C">
            <w:pPr>
              <w:adjustRightInd w:val="0"/>
              <w:snapToGrid w:val="0"/>
              <w:jc w:val="right"/>
              <w:rPr>
                <w:rFonts w:ascii="Calibri" w:hAnsi="Calibri"/>
                <w:sz w:val="20"/>
                <w:szCs w:val="20"/>
              </w:rPr>
            </w:pPr>
            <w:r>
              <w:rPr>
                <w:rFonts w:ascii="Calibri" w:hAnsi="Calibri"/>
                <w:sz w:val="20"/>
                <w:szCs w:val="20"/>
              </w:rPr>
              <w:t>12,490.31</w:t>
            </w:r>
          </w:p>
        </w:tc>
        <w:tc>
          <w:tcPr>
            <w:tcW w:w="3711" w:type="dxa"/>
            <w:vAlign w:val="center"/>
          </w:tcPr>
          <w:p w14:paraId="64678A88">
            <w:pPr>
              <w:adjustRightInd w:val="0"/>
              <w:snapToGrid w:val="0"/>
              <w:jc w:val="right"/>
              <w:rPr>
                <w:rFonts w:ascii="Calibri" w:hAnsi="Calibri"/>
                <w:sz w:val="20"/>
                <w:szCs w:val="20"/>
              </w:rPr>
            </w:pPr>
            <w:r>
              <w:rPr>
                <w:rFonts w:hint="eastAsia" w:ascii="Calibri" w:hAnsi="Calibri"/>
                <w:sz w:val="20"/>
                <w:szCs w:val="20"/>
              </w:rPr>
              <w:t>2</w:t>
            </w:r>
            <w:r>
              <w:rPr>
                <w:rFonts w:ascii="Calibri" w:hAnsi="Calibri"/>
                <w:sz w:val="20"/>
                <w:szCs w:val="20"/>
              </w:rPr>
              <w:t>.03</w:t>
            </w:r>
          </w:p>
        </w:tc>
      </w:tr>
      <w:tr w14:paraId="207C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088" w:type="dxa"/>
            <w:gridSpan w:val="2"/>
            <w:vAlign w:val="center"/>
          </w:tcPr>
          <w:p w14:paraId="1FC74711">
            <w:pPr>
              <w:adjustRightInd w:val="0"/>
              <w:snapToGrid w:val="0"/>
              <w:jc w:val="both"/>
              <w:rPr>
                <w:rFonts w:ascii="Calibri" w:hAnsi="Calibri"/>
                <w:sz w:val="20"/>
                <w:szCs w:val="20"/>
              </w:rPr>
            </w:pPr>
            <w:r>
              <w:rPr>
                <w:rFonts w:hint="eastAsia" w:ascii="Calibri" w:hAnsi="Calibri"/>
                <w:sz w:val="20"/>
                <w:szCs w:val="20"/>
              </w:rPr>
              <w:t>公司报告期内销售费用总额</w:t>
            </w:r>
          </w:p>
        </w:tc>
        <w:tc>
          <w:tcPr>
            <w:tcW w:w="3711" w:type="dxa"/>
            <w:vAlign w:val="center"/>
          </w:tcPr>
          <w:p w14:paraId="3E998F11">
            <w:pPr>
              <w:adjustRightInd w:val="0"/>
              <w:snapToGrid w:val="0"/>
              <w:jc w:val="right"/>
              <w:rPr>
                <w:rFonts w:ascii="Calibri" w:hAnsi="Calibri"/>
                <w:sz w:val="20"/>
                <w:szCs w:val="20"/>
              </w:rPr>
            </w:pPr>
            <w:r>
              <w:rPr>
                <w:rFonts w:ascii="Calibri" w:hAnsi="Calibri"/>
                <w:sz w:val="20"/>
                <w:szCs w:val="20"/>
              </w:rPr>
              <w:t>110,812.72</w:t>
            </w:r>
          </w:p>
        </w:tc>
      </w:tr>
      <w:tr w14:paraId="6B5E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088" w:type="dxa"/>
            <w:gridSpan w:val="2"/>
            <w:vAlign w:val="center"/>
          </w:tcPr>
          <w:p w14:paraId="62E715E6">
            <w:pPr>
              <w:adjustRightInd w:val="0"/>
              <w:snapToGrid w:val="0"/>
              <w:jc w:val="both"/>
              <w:rPr>
                <w:rFonts w:ascii="Calibri" w:hAnsi="Calibri"/>
                <w:sz w:val="20"/>
                <w:szCs w:val="20"/>
              </w:rPr>
            </w:pPr>
            <w:r>
              <w:rPr>
                <w:rFonts w:hint="eastAsia" w:ascii="Calibri" w:hAnsi="Calibri"/>
                <w:sz w:val="20"/>
                <w:szCs w:val="20"/>
              </w:rPr>
              <w:t>公司报告期内销售费用占营业收入比例（%</w:t>
            </w:r>
            <w:r>
              <w:rPr>
                <w:rFonts w:ascii="Calibri" w:hAnsi="Calibri"/>
                <w:sz w:val="20"/>
                <w:szCs w:val="20"/>
              </w:rPr>
              <w:t>）</w:t>
            </w:r>
          </w:p>
        </w:tc>
        <w:tc>
          <w:tcPr>
            <w:tcW w:w="3711" w:type="dxa"/>
            <w:vAlign w:val="center"/>
          </w:tcPr>
          <w:p w14:paraId="6B51A9D5">
            <w:pPr>
              <w:adjustRightInd w:val="0"/>
              <w:snapToGrid w:val="0"/>
              <w:jc w:val="right"/>
              <w:rPr>
                <w:rFonts w:ascii="Calibri" w:hAnsi="Calibri"/>
                <w:sz w:val="20"/>
                <w:szCs w:val="20"/>
              </w:rPr>
            </w:pPr>
            <w:r>
              <w:rPr>
                <w:rFonts w:hint="eastAsia" w:ascii="Calibri" w:hAnsi="Calibri"/>
                <w:sz w:val="20"/>
                <w:szCs w:val="20"/>
              </w:rPr>
              <w:t>3</w:t>
            </w:r>
            <w:r>
              <w:rPr>
                <w:rFonts w:ascii="Calibri" w:hAnsi="Calibri"/>
                <w:sz w:val="20"/>
                <w:szCs w:val="20"/>
              </w:rPr>
              <w:t>7.60</w:t>
            </w:r>
          </w:p>
        </w:tc>
      </w:tr>
    </w:tbl>
    <w:p w14:paraId="012071D0">
      <w:pPr>
        <w:pStyle w:val="48"/>
      </w:pPr>
    </w:p>
    <w:p w14:paraId="44BEF33E">
      <w:pPr>
        <w:pStyle w:val="48"/>
      </w:pPr>
      <w:r>
        <w:rPr>
          <w:rFonts w:hint="eastAsia"/>
        </w:rPr>
        <w:t>销售费用发生重大变化以及销售费用合理性的说明</w:t>
      </w:r>
    </w:p>
    <w:sdt>
      <w:sdtPr>
        <w:rPr>
          <w:rFonts w:hint="eastAsia"/>
        </w:rPr>
        <w:alias w:val="是否适用：医药制造业销售费用发生重大变化以及销售费用合理性的说明[双击切换]"/>
        <w:tag w:val="_GBC_e2b009a1b0164d83bb5274fa51db6f46"/>
        <w:id w:val="-1334834155"/>
        <w:placeholder>
          <w:docPart w:val="GBC22222222222222222222222222222"/>
        </w:placeholder>
      </w:sdtPr>
      <w:sdtEndPr>
        <w:rPr>
          <w:rFonts w:hint="eastAsia"/>
        </w:rPr>
      </w:sdtEndPr>
      <w:sdtContent>
        <w:p w14:paraId="31B371F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医药制造业销售费用发生重大变化以及销售费用合理性的说明"/>
        <w:tag w:val="_GBC_39e7d3d0591d4544a388c5328023d472"/>
        <w:id w:val="1115871658"/>
        <w:placeholder>
          <w:docPart w:val="GBC22222222222222222222222222222"/>
        </w:placeholder>
      </w:sdtPr>
      <w:sdtEndPr>
        <w:rPr>
          <w:rFonts w:hint="eastAsia"/>
        </w:rPr>
      </w:sdtEndPr>
      <w:sdtContent>
        <w:p w14:paraId="1E7D3622">
          <w:pPr>
            <w:adjustRightInd w:val="0"/>
            <w:snapToGrid w:val="0"/>
            <w:spacing w:line="360" w:lineRule="auto"/>
            <w:ind w:firstLine="420" w:firstLineChars="200"/>
            <w:rPr>
              <w:kern w:val="2"/>
            </w:rPr>
          </w:pPr>
          <w:sdt>
            <w:sdtPr>
              <w:rPr>
                <w:kern w:val="2"/>
              </w:rPr>
              <w:alias w:val="医药制造业销售费用发生重大变化以及销售费用合理性的说明"/>
              <w:tag w:val="_GBC_39e7d3d0591d4544a388c5328023d472"/>
              <w:id w:val="-1118450857"/>
            </w:sdtPr>
            <w:sdtEndPr>
              <w:rPr>
                <w:rFonts w:hint="eastAsia"/>
                <w:kern w:val="2"/>
              </w:rPr>
            </w:sdtEndPr>
            <w:sdtContent>
              <w:r>
                <w:rPr>
                  <w:rFonts w:hint="eastAsia"/>
                  <w:kern w:val="2"/>
                </w:rPr>
                <w:t>报告期销售费用同比增长3</w:t>
              </w:r>
              <w:r>
                <w:rPr>
                  <w:kern w:val="2"/>
                </w:rPr>
                <w:t>.74</w:t>
              </w:r>
              <w:r>
                <w:rPr>
                  <w:rFonts w:hint="eastAsia"/>
                  <w:kern w:val="2"/>
                </w:rPr>
                <w:t>%，主要原因是报告期销售人员薪酬增加导致。</w:t>
              </w:r>
            </w:sdtContent>
          </w:sdt>
        </w:p>
      </w:sdtContent>
    </w:sdt>
    <w:p w14:paraId="367F15AF">
      <w:pPr>
        <w:adjustRightInd w:val="0"/>
        <w:snapToGrid w:val="0"/>
        <w:rPr>
          <w:color w:val="7030A0"/>
        </w:rPr>
      </w:pPr>
    </w:p>
    <w:p w14:paraId="20508593">
      <w:pPr>
        <w:pStyle w:val="6"/>
        <w:numPr>
          <w:ilvl w:val="0"/>
          <w:numId w:val="13"/>
        </w:numPr>
        <w:ind w:leftChars="0"/>
      </w:pPr>
      <w:r>
        <w:rPr>
          <w:rFonts w:hint="eastAsia"/>
        </w:rPr>
        <w:t>其他说明</w:t>
      </w:r>
    </w:p>
    <w:sdt>
      <w:sdtPr>
        <w:rPr>
          <w:rFonts w:hint="eastAsia"/>
        </w:rPr>
        <w:alias w:val="是否适用：医药制造行业经营性信息分析其他情况说明[双击切换]"/>
        <w:tag w:val="_GBC_c5ccef64656541a095f3875d6962bcd8"/>
        <w:id w:val="-1235555001"/>
        <w:placeholder>
          <w:docPart w:val="GBC22222222222222222222222222222"/>
        </w:placeholder>
      </w:sdtPr>
      <w:sdtEndPr>
        <w:rPr>
          <w:rFonts w:hint="eastAsia"/>
        </w:rPr>
      </w:sdtEndPr>
      <w:sdtContent>
        <w:p w14:paraId="46C49B7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F33DC99">
      <w:pPr>
        <w:sectPr>
          <w:pgSz w:w="11906" w:h="16838"/>
          <w:pgMar w:top="1525" w:right="1276" w:bottom="1440" w:left="1797" w:header="855" w:footer="992" w:gutter="0"/>
          <w:cols w:space="425" w:num="1"/>
          <w:docGrid w:linePitch="312" w:charSpace="0"/>
        </w:sectPr>
      </w:pPr>
    </w:p>
    <w:p w14:paraId="32D8DBF3">
      <w:pPr>
        <w:pStyle w:val="38"/>
      </w:pPr>
      <w:bookmarkStart w:id="69" w:name="_Hlk41836274"/>
      <w:bookmarkEnd w:id="69"/>
      <w:bookmarkStart w:id="70" w:name="_Hlk41835841"/>
      <w:bookmarkEnd w:id="70"/>
      <w:bookmarkStart w:id="71" w:name="_Hlk41835872"/>
      <w:bookmarkEnd w:id="71"/>
    </w:p>
    <w:p w14:paraId="455DCAAF">
      <w:pPr>
        <w:pStyle w:val="4"/>
        <w:numPr>
          <w:ilvl w:val="0"/>
          <w:numId w:val="8"/>
        </w:numPr>
        <w:ind w:left="0" w:firstLine="0"/>
        <w:rPr>
          <w:szCs w:val="21"/>
        </w:rPr>
      </w:pPr>
      <w:bookmarkStart w:id="72" w:name="_Hlk533435027"/>
      <w:bookmarkEnd w:id="72"/>
      <w:bookmarkStart w:id="73" w:name="_Hlk533435467"/>
      <w:bookmarkEnd w:id="73"/>
      <w:bookmarkStart w:id="74" w:name="_Hlk533667031"/>
      <w:bookmarkEnd w:id="74"/>
      <w:bookmarkStart w:id="75" w:name="_Hlk533666971"/>
      <w:bookmarkEnd w:id="75"/>
      <w:bookmarkStart w:id="76" w:name="_Hlk533436182"/>
      <w:bookmarkEnd w:id="76"/>
      <w:bookmarkStart w:id="77" w:name="_Hlk533435176"/>
      <w:bookmarkEnd w:id="77"/>
      <w:bookmarkStart w:id="78" w:name="_Hlk533433706"/>
      <w:bookmarkEnd w:id="78"/>
      <w:bookmarkStart w:id="79" w:name="_Hlk533435130"/>
      <w:bookmarkEnd w:id="79"/>
      <w:bookmarkStart w:id="80" w:name="_Hlk533434947"/>
      <w:bookmarkEnd w:id="80"/>
      <w:bookmarkStart w:id="81" w:name="_Hlk533435360"/>
      <w:bookmarkEnd w:id="81"/>
      <w:bookmarkStart w:id="82" w:name="_Hlk533666837"/>
      <w:bookmarkEnd w:id="82"/>
      <w:bookmarkStart w:id="83" w:name="_Hlk533435074"/>
      <w:bookmarkEnd w:id="83"/>
      <w:r>
        <w:rPr>
          <w:rFonts w:hint="eastAsia"/>
          <w:szCs w:val="21"/>
        </w:rPr>
        <w:t>投资状况分析</w:t>
      </w:r>
    </w:p>
    <w:p w14:paraId="540328F3">
      <w:pPr>
        <w:rPr>
          <w:b/>
          <w:bCs/>
        </w:rPr>
      </w:pPr>
      <w:r>
        <w:rPr>
          <w:b/>
          <w:bCs/>
        </w:rPr>
        <w:t>对外股权投资总体分析</w:t>
      </w:r>
    </w:p>
    <w:sdt>
      <w:sdtPr>
        <w:alias w:val="是否适用：对外股权投资总体分析[双击切换]"/>
        <w:tag w:val="_GBC_cfb706fadf2c47bbbaf1bf90c054ccaf"/>
        <w:id w:val="638390625"/>
        <w:placeholder>
          <w:docPart w:val="GBC22222222222222222222222222222"/>
        </w:placeholder>
      </w:sdtPr>
      <w:sdtContent>
        <w:p w14:paraId="122B99FB">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对外股权投资总体分析"/>
        <w:tag w:val="_GBC_fe6d59343f314ea694416d2e9d0fcf01"/>
        <w:id w:val="1007870362"/>
        <w:placeholder>
          <w:docPart w:val="F156AB95B5B94D4CBAA3A2E39DEDD469"/>
        </w:placeholder>
      </w:sdtPr>
      <w:sdtContent>
        <w:p w14:paraId="2F8AD274">
          <w:pPr>
            <w:jc w:val="right"/>
          </w:pPr>
          <w:r>
            <w:rPr>
              <w:rFonts w:hint="eastAsia"/>
            </w:rPr>
            <w:t xml:space="preserve">单位：元 </w:t>
          </w:r>
          <w:r>
            <w:t xml:space="preserve"> </w:t>
          </w:r>
          <w:r>
            <w:rPr>
              <w:rFonts w:hint="eastAsia"/>
            </w:rPr>
            <w:t>币种：人民币</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0"/>
            <w:gridCol w:w="2310"/>
            <w:gridCol w:w="2310"/>
            <w:gridCol w:w="2311"/>
            <w:gridCol w:w="2311"/>
            <w:gridCol w:w="2311"/>
          </w:tblGrid>
          <w:tr w14:paraId="6403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0" w:type="dxa"/>
              </w:tcPr>
              <w:p w14:paraId="378B3B70">
                <w:pPr>
                  <w:widowControl w:val="0"/>
                  <w:spacing w:line="276" w:lineRule="auto"/>
                  <w:jc w:val="center"/>
                </w:pPr>
                <w:r>
                  <w:rPr>
                    <w:rFonts w:hint="eastAsia"/>
                  </w:rPr>
                  <w:t>被投资单位</w:t>
                </w:r>
              </w:p>
            </w:tc>
            <w:tc>
              <w:tcPr>
                <w:tcW w:w="2310" w:type="dxa"/>
              </w:tcPr>
              <w:p w14:paraId="4A9F9F2B">
                <w:pPr>
                  <w:widowControl w:val="0"/>
                  <w:jc w:val="center"/>
                </w:pPr>
                <w:r>
                  <w:rPr>
                    <w:rFonts w:hint="eastAsia"/>
                  </w:rPr>
                  <w:t>持有被投资单位比例</w:t>
                </w:r>
              </w:p>
            </w:tc>
            <w:tc>
              <w:tcPr>
                <w:tcW w:w="2310" w:type="dxa"/>
              </w:tcPr>
              <w:p w14:paraId="42026A64">
                <w:pPr>
                  <w:widowControl w:val="0"/>
                  <w:jc w:val="center"/>
                </w:pPr>
                <w:r>
                  <w:rPr>
                    <w:rFonts w:hint="eastAsia"/>
                  </w:rPr>
                  <w:t>期初余额</w:t>
                </w:r>
              </w:p>
            </w:tc>
            <w:tc>
              <w:tcPr>
                <w:tcW w:w="2311" w:type="dxa"/>
              </w:tcPr>
              <w:p w14:paraId="721D17E4">
                <w:pPr>
                  <w:widowControl w:val="0"/>
                  <w:jc w:val="center"/>
                </w:pPr>
                <w:r>
                  <w:rPr>
                    <w:rFonts w:hint="eastAsia"/>
                  </w:rPr>
                  <w:t>本期增减变动</w:t>
                </w:r>
              </w:p>
            </w:tc>
            <w:tc>
              <w:tcPr>
                <w:tcW w:w="2311" w:type="dxa"/>
              </w:tcPr>
              <w:p w14:paraId="0F3EC58A">
                <w:pPr>
                  <w:widowControl w:val="0"/>
                  <w:jc w:val="center"/>
                </w:pPr>
                <w:r>
                  <w:rPr>
                    <w:rFonts w:hint="eastAsia"/>
                  </w:rPr>
                  <w:t>期末余额</w:t>
                </w:r>
              </w:p>
            </w:tc>
            <w:tc>
              <w:tcPr>
                <w:tcW w:w="2311" w:type="dxa"/>
              </w:tcPr>
              <w:p w14:paraId="3AA95CB1">
                <w:pPr>
                  <w:widowControl w:val="0"/>
                  <w:jc w:val="center"/>
                </w:pPr>
                <w:r>
                  <w:rPr>
                    <w:rFonts w:hint="eastAsia"/>
                  </w:rPr>
                  <w:t>会计科目</w:t>
                </w:r>
              </w:p>
            </w:tc>
          </w:tr>
          <w:tr w14:paraId="32C7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0" w:type="dxa"/>
              </w:tcPr>
              <w:p w14:paraId="508DDF39">
                <w:pPr>
                  <w:widowControl w:val="0"/>
                  <w:jc w:val="both"/>
                </w:pPr>
                <w:r>
                  <w:rPr>
                    <w:rFonts w:hint="eastAsia"/>
                  </w:rPr>
                  <w:t>东宝进出口贸易（海南）有限公司</w:t>
                </w:r>
              </w:p>
            </w:tc>
            <w:tc>
              <w:tcPr>
                <w:tcW w:w="2310" w:type="dxa"/>
                <w:vAlign w:val="center"/>
              </w:tcPr>
              <w:p w14:paraId="2905F14D">
                <w:pPr>
                  <w:widowControl w:val="0"/>
                  <w:jc w:val="right"/>
                </w:pPr>
                <w:r>
                  <w:rPr>
                    <w:rFonts w:hint="eastAsia"/>
                  </w:rPr>
                  <w:t>5</w:t>
                </w:r>
                <w:r>
                  <w:t>5.00</w:t>
                </w:r>
                <w:r>
                  <w:rPr>
                    <w:rFonts w:hint="eastAsia"/>
                  </w:rPr>
                  <w:t>%</w:t>
                </w:r>
              </w:p>
            </w:tc>
            <w:tc>
              <w:tcPr>
                <w:tcW w:w="2310" w:type="dxa"/>
                <w:vAlign w:val="center"/>
              </w:tcPr>
              <w:p w14:paraId="7CCAD029">
                <w:pPr>
                  <w:widowControl w:val="0"/>
                  <w:jc w:val="right"/>
                </w:pPr>
              </w:p>
            </w:tc>
            <w:tc>
              <w:tcPr>
                <w:tcW w:w="2311" w:type="dxa"/>
                <w:vAlign w:val="center"/>
              </w:tcPr>
              <w:p w14:paraId="6381FF3A">
                <w:pPr>
                  <w:widowControl w:val="0"/>
                  <w:jc w:val="right"/>
                </w:pPr>
                <w:r>
                  <w:t>3,542,466.78</w:t>
                </w:r>
              </w:p>
            </w:tc>
            <w:tc>
              <w:tcPr>
                <w:tcW w:w="2311" w:type="dxa"/>
                <w:vAlign w:val="center"/>
              </w:tcPr>
              <w:p w14:paraId="1C02E678">
                <w:pPr>
                  <w:widowControl w:val="0"/>
                  <w:jc w:val="right"/>
                </w:pPr>
                <w:r>
                  <w:t>3,542,466.78</w:t>
                </w:r>
              </w:p>
            </w:tc>
            <w:tc>
              <w:tcPr>
                <w:tcW w:w="2311" w:type="dxa"/>
                <w:vAlign w:val="center"/>
              </w:tcPr>
              <w:p w14:paraId="5989BDC5">
                <w:pPr>
                  <w:widowControl w:val="0"/>
                  <w:jc w:val="center"/>
                </w:pPr>
                <w:r>
                  <w:rPr>
                    <w:rFonts w:hint="eastAsia"/>
                  </w:rPr>
                  <w:t>长期股权投资</w:t>
                </w:r>
              </w:p>
            </w:tc>
          </w:tr>
          <w:tr w14:paraId="6608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0" w:type="dxa"/>
              </w:tcPr>
              <w:p w14:paraId="4EB4E33F">
                <w:pPr>
                  <w:widowControl w:val="0"/>
                  <w:jc w:val="both"/>
                </w:pPr>
                <w:r>
                  <w:rPr>
                    <w:rFonts w:hint="eastAsia"/>
                  </w:rPr>
                  <w:t>上海新耀湃科医疗科技股份有限公司</w:t>
                </w:r>
              </w:p>
            </w:tc>
            <w:tc>
              <w:tcPr>
                <w:tcW w:w="2310" w:type="dxa"/>
                <w:vAlign w:val="center"/>
              </w:tcPr>
              <w:p w14:paraId="5095C61C">
                <w:pPr>
                  <w:widowControl w:val="0"/>
                  <w:jc w:val="right"/>
                </w:pPr>
                <w:r>
                  <w:t>2.29</w:t>
                </w:r>
                <w:r>
                  <w:rPr>
                    <w:rFonts w:hint="eastAsia"/>
                  </w:rPr>
                  <w:t>%</w:t>
                </w:r>
              </w:p>
            </w:tc>
            <w:tc>
              <w:tcPr>
                <w:tcW w:w="2310" w:type="dxa"/>
                <w:vAlign w:val="center"/>
              </w:tcPr>
              <w:p w14:paraId="40E2D808">
                <w:pPr>
                  <w:widowControl w:val="0"/>
                  <w:jc w:val="right"/>
                </w:pPr>
              </w:p>
            </w:tc>
            <w:tc>
              <w:tcPr>
                <w:tcW w:w="2311" w:type="dxa"/>
                <w:vAlign w:val="center"/>
              </w:tcPr>
              <w:p w14:paraId="1880FC3A">
                <w:pPr>
                  <w:widowControl w:val="0"/>
                  <w:jc w:val="right"/>
                </w:pPr>
                <w:r>
                  <w:t>30,877,168.56</w:t>
                </w:r>
              </w:p>
            </w:tc>
            <w:tc>
              <w:tcPr>
                <w:tcW w:w="2311" w:type="dxa"/>
                <w:vAlign w:val="center"/>
              </w:tcPr>
              <w:p w14:paraId="4EB6D335">
                <w:pPr>
                  <w:widowControl w:val="0"/>
                  <w:jc w:val="right"/>
                </w:pPr>
                <w:r>
                  <w:t>30,877,168.56</w:t>
                </w:r>
              </w:p>
            </w:tc>
            <w:tc>
              <w:tcPr>
                <w:tcW w:w="2311" w:type="dxa"/>
                <w:vAlign w:val="center"/>
              </w:tcPr>
              <w:p w14:paraId="385157C9">
                <w:pPr>
                  <w:widowControl w:val="0"/>
                  <w:jc w:val="center"/>
                </w:pPr>
                <w:r>
                  <w:rPr>
                    <w:rFonts w:hint="eastAsia"/>
                  </w:rPr>
                  <w:t>其他权益工具投资</w:t>
                </w:r>
              </w:p>
            </w:tc>
          </w:tr>
        </w:tbl>
        <w:p w14:paraId="3F2AD58D"/>
      </w:sdtContent>
    </w:sdt>
    <w:p w14:paraId="3C1F9A50">
      <w:pPr>
        <w:rPr>
          <w:rFonts w:asciiTheme="minorEastAsia" w:hAnsiTheme="minorEastAsia" w:eastAsiaTheme="minorEastAsia"/>
        </w:rPr>
      </w:pPr>
    </w:p>
    <w:p w14:paraId="3DF2AE46">
      <w:pPr>
        <w:pStyle w:val="5"/>
        <w:numPr>
          <w:ilvl w:val="0"/>
          <w:numId w:val="18"/>
        </w:numPr>
      </w:pPr>
      <w:r>
        <w:rPr>
          <w:rFonts w:hint="eastAsia"/>
        </w:rPr>
        <w:t>重大的股权投资</w:t>
      </w:r>
    </w:p>
    <w:sdt>
      <w:sdtPr>
        <w:rPr>
          <w:rFonts w:hint="eastAsia"/>
        </w:rPr>
        <w:alias w:val="是否适用：重大的股权投资[双击切换]"/>
        <w:tag w:val="_GBC_b20506918d854c13b13a3b89dd84c7d3"/>
        <w:id w:val="86893525"/>
        <w:placeholder>
          <w:docPart w:val="GBC22222222222222222222222222222"/>
        </w:placeholder>
      </w:sdtPr>
      <w:sdtEndPr>
        <w:rPr>
          <w:rFonts w:hint="eastAsia"/>
        </w:rPr>
      </w:sdtEndPr>
      <w:sdtContent>
        <w:p w14:paraId="757787A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41B8D48">
      <w:pPr>
        <w:pStyle w:val="48"/>
      </w:pPr>
    </w:p>
    <w:p w14:paraId="32FF3090">
      <w:pPr>
        <w:pStyle w:val="5"/>
        <w:numPr>
          <w:ilvl w:val="0"/>
          <w:numId w:val="18"/>
        </w:numPr>
      </w:pPr>
      <w:r>
        <w:rPr>
          <w:rFonts w:hint="eastAsia"/>
        </w:rPr>
        <w:t>重大的非股权投资</w:t>
      </w:r>
    </w:p>
    <w:sdt>
      <w:sdtPr>
        <w:rPr>
          <w:rFonts w:hint="eastAsia"/>
        </w:rPr>
        <w:alias w:val="是否适用：重大的非股权投资[双击切换]"/>
        <w:tag w:val="_GBC_fbd46075a5b9414d9e28cd2404e5d47c"/>
        <w:id w:val="-944852121"/>
        <w:placeholder>
          <w:docPart w:val="GBC22222222222222222222222222222"/>
        </w:placeholder>
      </w:sdtPr>
      <w:sdtEndPr>
        <w:rPr>
          <w:rFonts w:hint="eastAsia"/>
        </w:rPr>
      </w:sdtEndPr>
      <w:sdtContent>
        <w:p w14:paraId="372CC7E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9C609E">
      <w:pPr>
        <w:pStyle w:val="48"/>
      </w:pPr>
    </w:p>
    <w:p w14:paraId="401F213F">
      <w:pPr>
        <w:pStyle w:val="5"/>
        <w:numPr>
          <w:ilvl w:val="0"/>
          <w:numId w:val="18"/>
        </w:numPr>
      </w:pPr>
      <w:bookmarkStart w:id="84" w:name="_Hlk40532846"/>
      <w:r>
        <w:rPr>
          <w:rFonts w:hint="eastAsia"/>
        </w:rPr>
        <w:t>以公允价值计量的金融资产</w:t>
      </w:r>
    </w:p>
    <w:sdt>
      <w:sdtPr>
        <w:rPr>
          <w:rFonts w:hint="eastAsia"/>
        </w:rPr>
        <w:alias w:val="是否适用：以公允价值计量的金融资产[双击切换]"/>
        <w:tag w:val="_GBC_27fa42d1c8fd489d9e8648bed00ddd53"/>
        <w:id w:val="-399364142"/>
        <w:placeholder>
          <w:docPart w:val="GBC22222222222222222222222222222"/>
        </w:placeholder>
      </w:sdtPr>
      <w:sdtEndPr>
        <w:rPr>
          <w:rFonts w:hint="eastAsia"/>
        </w:rPr>
      </w:sdtEndPr>
      <w:sdtContent>
        <w:p w14:paraId="21671261">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8526AFE">
      <w:pPr>
        <w:pStyle w:val="41"/>
        <w:wordWrap w:val="0"/>
        <w:ind w:left="360" w:firstLine="0" w:firstLineChars="0"/>
        <w:jc w:val="right"/>
      </w:pPr>
      <w:r>
        <w:rPr>
          <w:rFonts w:hint="eastAsia"/>
        </w:rPr>
        <w:t>单位：</w:t>
      </w:r>
      <w:sdt>
        <w:sdtPr>
          <w:rPr>
            <w:rFonts w:hint="eastAsia"/>
          </w:rPr>
          <w:alias w:val="单位：以公允价值计量的金融资产"/>
          <w:tag w:val="_GBC_b2e3ce23c85c488ab3fa1ba1294ef546"/>
          <w:id w:val="-32591123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以公允价值计量的金融资产"/>
          <w:tag w:val="_GBC_77ed3303d22c48dc98ae781142db662c"/>
          <w:id w:val="9222268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84"/>
    <w:tbl>
      <w:tblPr>
        <w:tblStyle w:val="57"/>
        <w:tblW w:w="1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556"/>
        <w:gridCol w:w="1555"/>
        <w:gridCol w:w="1556"/>
        <w:gridCol w:w="1555"/>
        <w:gridCol w:w="1556"/>
        <w:gridCol w:w="1555"/>
        <w:gridCol w:w="1556"/>
        <w:gridCol w:w="1556"/>
      </w:tblGrid>
      <w:tr w14:paraId="055C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c54b9fd583d4e649fc12d33a6f94086"/>
            <w:id w:val="-1285429564"/>
          </w:sdtPr>
          <w:sdtContent>
            <w:tc>
              <w:tcPr>
                <w:tcW w:w="1555" w:type="dxa"/>
                <w:vAlign w:val="center"/>
              </w:tcPr>
              <w:p w14:paraId="2399779B">
                <w:pPr>
                  <w:jc w:val="center"/>
                  <w:rPr>
                    <w:rFonts w:ascii="Calibri" w:hAnsi="Calibri"/>
                    <w:sz w:val="20"/>
                    <w:szCs w:val="20"/>
                  </w:rPr>
                </w:pPr>
                <w:r>
                  <w:rPr>
                    <w:rFonts w:hint="eastAsia" w:ascii="Calibri" w:hAnsi="Calibri"/>
                    <w:kern w:val="2"/>
                    <w:sz w:val="20"/>
                    <w:szCs w:val="22"/>
                  </w:rPr>
                  <w:t>资产类别</w:t>
                </w:r>
              </w:p>
            </w:tc>
          </w:sdtContent>
        </w:sdt>
        <w:sdt>
          <w:sdtPr>
            <w:tag w:val="_PLD_4b84ad0ddc154021b1b8d9a6bffa6c39"/>
            <w:id w:val="1576392371"/>
          </w:sdtPr>
          <w:sdtContent>
            <w:tc>
              <w:tcPr>
                <w:tcW w:w="1556" w:type="dxa"/>
                <w:vAlign w:val="center"/>
              </w:tcPr>
              <w:p w14:paraId="339D2F53">
                <w:pPr>
                  <w:jc w:val="center"/>
                  <w:rPr>
                    <w:rFonts w:ascii="Calibri" w:hAnsi="Calibri"/>
                    <w:sz w:val="20"/>
                    <w:szCs w:val="20"/>
                  </w:rPr>
                </w:pPr>
                <w:r>
                  <w:rPr>
                    <w:rFonts w:hint="eastAsia" w:ascii="Calibri" w:hAnsi="Calibri"/>
                    <w:sz w:val="20"/>
                    <w:szCs w:val="20"/>
                  </w:rPr>
                  <w:t>期初数</w:t>
                </w:r>
              </w:p>
            </w:tc>
          </w:sdtContent>
        </w:sdt>
        <w:sdt>
          <w:sdtPr>
            <w:tag w:val="_PLD_fa8919b699f843d2b03f2004a27810b6"/>
            <w:id w:val="-349171876"/>
          </w:sdtPr>
          <w:sdtContent>
            <w:tc>
              <w:tcPr>
                <w:tcW w:w="1555" w:type="dxa"/>
                <w:vAlign w:val="center"/>
              </w:tcPr>
              <w:p w14:paraId="125B2F5E">
                <w:pPr>
                  <w:jc w:val="center"/>
                  <w:rPr>
                    <w:rFonts w:ascii="Calibri" w:hAnsi="Calibri"/>
                    <w:b/>
                    <w:sz w:val="20"/>
                    <w:szCs w:val="20"/>
                  </w:rPr>
                </w:pPr>
                <w:r>
                  <w:rPr>
                    <w:rFonts w:hint="eastAsia" w:ascii="Calibri" w:hAnsi="Calibri"/>
                    <w:sz w:val="20"/>
                    <w:szCs w:val="20"/>
                  </w:rPr>
                  <w:t>本期公允价值变动损益</w:t>
                </w:r>
              </w:p>
            </w:tc>
          </w:sdtContent>
        </w:sdt>
        <w:sdt>
          <w:sdtPr>
            <w:tag w:val="_PLD_81fc9fd2b35c49e2bfd3b55b8724ae1d"/>
            <w:id w:val="-2027468062"/>
          </w:sdtPr>
          <w:sdtContent>
            <w:tc>
              <w:tcPr>
                <w:tcW w:w="1556" w:type="dxa"/>
                <w:vAlign w:val="center"/>
              </w:tcPr>
              <w:p w14:paraId="68A0B791">
                <w:pPr>
                  <w:jc w:val="center"/>
                  <w:rPr>
                    <w:rFonts w:ascii="Calibri" w:hAnsi="Calibri"/>
                    <w:sz w:val="20"/>
                    <w:szCs w:val="20"/>
                  </w:rPr>
                </w:pPr>
                <w:r>
                  <w:rPr>
                    <w:rFonts w:hint="eastAsia" w:ascii="Calibri" w:hAnsi="Calibri"/>
                    <w:sz w:val="20"/>
                    <w:szCs w:val="20"/>
                  </w:rPr>
                  <w:t>计入权益的累计公允价值变动</w:t>
                </w:r>
              </w:p>
            </w:tc>
          </w:sdtContent>
        </w:sdt>
        <w:sdt>
          <w:sdtPr>
            <w:tag w:val="_PLD_d6f12030ef654b5cad4265cc31977836"/>
            <w:id w:val="487068437"/>
          </w:sdtPr>
          <w:sdtContent>
            <w:tc>
              <w:tcPr>
                <w:tcW w:w="1555" w:type="dxa"/>
                <w:vAlign w:val="center"/>
              </w:tcPr>
              <w:p w14:paraId="6EBA6DF4">
                <w:pPr>
                  <w:jc w:val="center"/>
                  <w:rPr>
                    <w:rFonts w:ascii="Calibri" w:hAnsi="Calibri"/>
                    <w:sz w:val="20"/>
                    <w:szCs w:val="20"/>
                  </w:rPr>
                </w:pPr>
                <w:r>
                  <w:rPr>
                    <w:rFonts w:hint="eastAsia" w:ascii="Calibri" w:hAnsi="Calibri"/>
                    <w:sz w:val="20"/>
                    <w:szCs w:val="20"/>
                  </w:rPr>
                  <w:t>本期计提的减值</w:t>
                </w:r>
              </w:p>
            </w:tc>
          </w:sdtContent>
        </w:sdt>
        <w:sdt>
          <w:sdtPr>
            <w:tag w:val="_PLD_8693ec76f7f14d898c4b16665659ded9"/>
            <w:id w:val="1662884210"/>
          </w:sdtPr>
          <w:sdtContent>
            <w:tc>
              <w:tcPr>
                <w:tcW w:w="1556" w:type="dxa"/>
                <w:vAlign w:val="center"/>
              </w:tcPr>
              <w:p w14:paraId="2536A1D5">
                <w:pPr>
                  <w:jc w:val="center"/>
                  <w:rPr>
                    <w:rFonts w:ascii="Calibri" w:hAnsi="Calibri"/>
                    <w:sz w:val="20"/>
                    <w:szCs w:val="20"/>
                  </w:rPr>
                </w:pPr>
                <w:r>
                  <w:rPr>
                    <w:rFonts w:hint="eastAsia" w:ascii="Calibri" w:hAnsi="Calibri"/>
                    <w:sz w:val="20"/>
                    <w:szCs w:val="20"/>
                  </w:rPr>
                  <w:t>本期购买金额</w:t>
                </w:r>
              </w:p>
            </w:tc>
          </w:sdtContent>
        </w:sdt>
        <w:sdt>
          <w:sdtPr>
            <w:tag w:val="_PLD_ba0671fda1cb4d8c8d3c1e5b16cc6e5a"/>
            <w:id w:val="8108173"/>
          </w:sdtPr>
          <w:sdtContent>
            <w:tc>
              <w:tcPr>
                <w:tcW w:w="1555" w:type="dxa"/>
                <w:vAlign w:val="center"/>
              </w:tcPr>
              <w:p w14:paraId="73C30D26">
                <w:pPr>
                  <w:jc w:val="center"/>
                  <w:rPr>
                    <w:rFonts w:ascii="Calibri" w:hAnsi="Calibri"/>
                    <w:sz w:val="20"/>
                    <w:szCs w:val="20"/>
                  </w:rPr>
                </w:pPr>
                <w:r>
                  <w:rPr>
                    <w:rFonts w:hint="eastAsia" w:ascii="Calibri" w:hAnsi="Calibri"/>
                    <w:sz w:val="20"/>
                    <w:szCs w:val="20"/>
                  </w:rPr>
                  <w:t>本期出售/赎回金额</w:t>
                </w:r>
              </w:p>
            </w:tc>
          </w:sdtContent>
        </w:sdt>
        <w:sdt>
          <w:sdtPr>
            <w:tag w:val="_PLD_50b7e7d4561f48f190f80d486d12a170"/>
            <w:id w:val="1448345220"/>
          </w:sdtPr>
          <w:sdtContent>
            <w:tc>
              <w:tcPr>
                <w:tcW w:w="1556" w:type="dxa"/>
                <w:vAlign w:val="center"/>
              </w:tcPr>
              <w:p w14:paraId="1BBE034E">
                <w:pPr>
                  <w:jc w:val="center"/>
                  <w:rPr>
                    <w:rFonts w:ascii="Calibri" w:hAnsi="Calibri"/>
                    <w:sz w:val="20"/>
                    <w:szCs w:val="20"/>
                  </w:rPr>
                </w:pPr>
                <w:r>
                  <w:rPr>
                    <w:rFonts w:hint="eastAsia" w:ascii="Calibri" w:hAnsi="Calibri"/>
                    <w:sz w:val="20"/>
                    <w:szCs w:val="20"/>
                  </w:rPr>
                  <w:t>其他变动</w:t>
                </w:r>
              </w:p>
            </w:tc>
          </w:sdtContent>
        </w:sdt>
        <w:sdt>
          <w:sdtPr>
            <w:tag w:val="_PLD_816d427a273240d9af67db4a5feee586"/>
            <w:id w:val="-1982446281"/>
          </w:sdtPr>
          <w:sdtContent>
            <w:tc>
              <w:tcPr>
                <w:tcW w:w="1556" w:type="dxa"/>
                <w:vAlign w:val="center"/>
              </w:tcPr>
              <w:p w14:paraId="7AB51B82">
                <w:pPr>
                  <w:jc w:val="center"/>
                  <w:rPr>
                    <w:rFonts w:ascii="Calibri" w:hAnsi="Calibri"/>
                    <w:sz w:val="20"/>
                    <w:szCs w:val="20"/>
                  </w:rPr>
                </w:pPr>
                <w:r>
                  <w:rPr>
                    <w:rFonts w:hint="eastAsia" w:ascii="Calibri" w:hAnsi="Calibri"/>
                    <w:sz w:val="20"/>
                    <w:szCs w:val="20"/>
                  </w:rPr>
                  <w:t>期末数</w:t>
                </w:r>
              </w:p>
            </w:tc>
          </w:sdtContent>
        </w:sdt>
      </w:tr>
      <w:tr w14:paraId="454A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alias w:val="以公允价值计量的金融资产情况明细_资产类别"/>
            <w:tag w:val="_GBC_cc72d7a8c8f74a64a251dbd2114ca4fe"/>
            <w:id w:val="-1412387693"/>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Content>
            <w:tc>
              <w:tcPr>
                <w:tcW w:w="1555" w:type="dxa"/>
                <w:vAlign w:val="center"/>
              </w:tcPr>
              <w:p w14:paraId="414BB73D">
                <w:pPr>
                  <w:rPr>
                    <w:rFonts w:ascii="Calibri" w:hAnsi="Calibri"/>
                    <w:sz w:val="20"/>
                    <w:szCs w:val="20"/>
                  </w:rPr>
                </w:pPr>
                <w:r>
                  <w:rPr>
                    <w:rFonts w:ascii="Calibri" w:hAnsi="Calibri"/>
                    <w:sz w:val="20"/>
                    <w:szCs w:val="20"/>
                  </w:rPr>
                  <w:t>交易性金融资产</w:t>
                </w:r>
              </w:p>
            </w:tc>
          </w:sdtContent>
        </w:sdt>
        <w:tc>
          <w:tcPr>
            <w:tcW w:w="1556" w:type="dxa"/>
            <w:vAlign w:val="center"/>
          </w:tcPr>
          <w:p w14:paraId="3ED47FF5">
            <w:pPr>
              <w:jc w:val="right"/>
              <w:rPr>
                <w:rFonts w:ascii="Calibri" w:hAnsi="Calibri"/>
                <w:sz w:val="20"/>
                <w:szCs w:val="20"/>
              </w:rPr>
            </w:pPr>
            <w:r>
              <w:rPr>
                <w:rFonts w:ascii="Calibri" w:hAnsi="Calibri"/>
                <w:sz w:val="20"/>
                <w:szCs w:val="20"/>
              </w:rPr>
              <w:t>55,400,927.52</w:t>
            </w:r>
          </w:p>
        </w:tc>
        <w:tc>
          <w:tcPr>
            <w:tcW w:w="1555" w:type="dxa"/>
            <w:vAlign w:val="center"/>
          </w:tcPr>
          <w:p w14:paraId="41C969E9">
            <w:pPr>
              <w:jc w:val="right"/>
              <w:rPr>
                <w:rFonts w:ascii="Calibri" w:hAnsi="Calibri"/>
                <w:sz w:val="20"/>
                <w:szCs w:val="20"/>
              </w:rPr>
            </w:pPr>
            <w:r>
              <w:rPr>
                <w:rFonts w:ascii="Calibri" w:hAnsi="Calibri"/>
                <w:sz w:val="20"/>
                <w:szCs w:val="20"/>
              </w:rPr>
              <w:t>-182,489.16</w:t>
            </w:r>
          </w:p>
        </w:tc>
        <w:tc>
          <w:tcPr>
            <w:tcW w:w="1556" w:type="dxa"/>
            <w:vAlign w:val="center"/>
          </w:tcPr>
          <w:p w14:paraId="695F4FF4">
            <w:pPr>
              <w:jc w:val="right"/>
              <w:rPr>
                <w:rFonts w:ascii="Calibri" w:hAnsi="Calibri"/>
                <w:sz w:val="20"/>
                <w:szCs w:val="20"/>
              </w:rPr>
            </w:pPr>
          </w:p>
        </w:tc>
        <w:tc>
          <w:tcPr>
            <w:tcW w:w="1555" w:type="dxa"/>
            <w:vAlign w:val="center"/>
          </w:tcPr>
          <w:p w14:paraId="67399384">
            <w:pPr>
              <w:jc w:val="right"/>
              <w:rPr>
                <w:rFonts w:ascii="Calibri" w:hAnsi="Calibri"/>
                <w:sz w:val="20"/>
                <w:szCs w:val="20"/>
              </w:rPr>
            </w:pPr>
          </w:p>
        </w:tc>
        <w:tc>
          <w:tcPr>
            <w:tcW w:w="1556" w:type="dxa"/>
            <w:vAlign w:val="center"/>
          </w:tcPr>
          <w:p w14:paraId="3B278C51">
            <w:pPr>
              <w:jc w:val="right"/>
              <w:rPr>
                <w:rFonts w:ascii="Calibri" w:hAnsi="Calibri"/>
                <w:sz w:val="20"/>
                <w:szCs w:val="20"/>
              </w:rPr>
            </w:pPr>
            <w:r>
              <w:rPr>
                <w:rFonts w:ascii="Calibri" w:hAnsi="Calibri"/>
                <w:sz w:val="20"/>
                <w:szCs w:val="20"/>
              </w:rPr>
              <w:t>224,000,000.00</w:t>
            </w:r>
          </w:p>
        </w:tc>
        <w:tc>
          <w:tcPr>
            <w:tcW w:w="1555" w:type="dxa"/>
            <w:vAlign w:val="center"/>
          </w:tcPr>
          <w:p w14:paraId="630C14F8">
            <w:pPr>
              <w:jc w:val="right"/>
              <w:rPr>
                <w:rFonts w:ascii="Calibri" w:hAnsi="Calibri"/>
                <w:sz w:val="20"/>
                <w:szCs w:val="20"/>
              </w:rPr>
            </w:pPr>
            <w:r>
              <w:rPr>
                <w:rFonts w:ascii="Calibri" w:hAnsi="Calibri"/>
                <w:sz w:val="20"/>
                <w:szCs w:val="20"/>
              </w:rPr>
              <w:t>216,000,000.00</w:t>
            </w:r>
          </w:p>
        </w:tc>
        <w:tc>
          <w:tcPr>
            <w:tcW w:w="1556" w:type="dxa"/>
            <w:vAlign w:val="center"/>
          </w:tcPr>
          <w:p w14:paraId="12CB3A38">
            <w:pPr>
              <w:jc w:val="right"/>
              <w:rPr>
                <w:rFonts w:ascii="Calibri" w:hAnsi="Calibri"/>
                <w:sz w:val="20"/>
                <w:szCs w:val="20"/>
              </w:rPr>
            </w:pPr>
          </w:p>
        </w:tc>
        <w:tc>
          <w:tcPr>
            <w:tcW w:w="1556" w:type="dxa"/>
            <w:vAlign w:val="center"/>
          </w:tcPr>
          <w:p w14:paraId="60011CCE">
            <w:pPr>
              <w:jc w:val="right"/>
              <w:rPr>
                <w:rFonts w:ascii="Calibri" w:hAnsi="Calibri"/>
                <w:sz w:val="20"/>
                <w:szCs w:val="20"/>
              </w:rPr>
            </w:pPr>
            <w:r>
              <w:rPr>
                <w:rFonts w:ascii="Calibri" w:hAnsi="Calibri"/>
                <w:sz w:val="20"/>
                <w:szCs w:val="20"/>
              </w:rPr>
              <w:t>63,218,438.36</w:t>
            </w:r>
          </w:p>
        </w:tc>
      </w:tr>
      <w:tr w14:paraId="52D7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alias w:val="以公允价值计量的金融资产情况明细_资产类别"/>
            <w:tag w:val="_GBC_cc72d7a8c8f74a64a251dbd2114ca4fe"/>
            <w:id w:val="-695849114"/>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Content>
            <w:tc>
              <w:tcPr>
                <w:tcW w:w="1555" w:type="dxa"/>
                <w:vAlign w:val="center"/>
              </w:tcPr>
              <w:p w14:paraId="6F1D0CFE">
                <w:pPr>
                  <w:rPr>
                    <w:rFonts w:ascii="Calibri" w:hAnsi="Calibri"/>
                    <w:sz w:val="20"/>
                    <w:szCs w:val="20"/>
                  </w:rPr>
                </w:pPr>
                <w:r>
                  <w:rPr>
                    <w:rFonts w:ascii="Calibri" w:hAnsi="Calibri"/>
                    <w:sz w:val="20"/>
                    <w:szCs w:val="20"/>
                  </w:rPr>
                  <w:t>应收款项融资</w:t>
                </w:r>
              </w:p>
            </w:tc>
          </w:sdtContent>
        </w:sdt>
        <w:tc>
          <w:tcPr>
            <w:tcW w:w="1556" w:type="dxa"/>
            <w:vAlign w:val="center"/>
          </w:tcPr>
          <w:p w14:paraId="78261455">
            <w:pPr>
              <w:jc w:val="right"/>
              <w:rPr>
                <w:rFonts w:ascii="Calibri" w:hAnsi="Calibri"/>
                <w:sz w:val="20"/>
                <w:szCs w:val="20"/>
              </w:rPr>
            </w:pPr>
            <w:r>
              <w:rPr>
                <w:rFonts w:ascii="Calibri" w:hAnsi="Calibri"/>
                <w:sz w:val="20"/>
                <w:szCs w:val="20"/>
              </w:rPr>
              <w:t>54,419,623.26</w:t>
            </w:r>
          </w:p>
        </w:tc>
        <w:tc>
          <w:tcPr>
            <w:tcW w:w="1555" w:type="dxa"/>
            <w:vAlign w:val="center"/>
          </w:tcPr>
          <w:p w14:paraId="366E7E91">
            <w:pPr>
              <w:jc w:val="right"/>
              <w:rPr>
                <w:rFonts w:ascii="Calibri" w:hAnsi="Calibri"/>
                <w:sz w:val="20"/>
                <w:szCs w:val="20"/>
              </w:rPr>
            </w:pPr>
          </w:p>
        </w:tc>
        <w:tc>
          <w:tcPr>
            <w:tcW w:w="1556" w:type="dxa"/>
            <w:vAlign w:val="center"/>
          </w:tcPr>
          <w:p w14:paraId="1BE0E1C8">
            <w:pPr>
              <w:jc w:val="right"/>
              <w:rPr>
                <w:rFonts w:ascii="Calibri" w:hAnsi="Calibri"/>
                <w:sz w:val="20"/>
                <w:szCs w:val="20"/>
              </w:rPr>
            </w:pPr>
          </w:p>
        </w:tc>
        <w:tc>
          <w:tcPr>
            <w:tcW w:w="1555" w:type="dxa"/>
            <w:vAlign w:val="center"/>
          </w:tcPr>
          <w:p w14:paraId="33F98839">
            <w:pPr>
              <w:jc w:val="right"/>
              <w:rPr>
                <w:rFonts w:ascii="Calibri" w:hAnsi="Calibri"/>
                <w:sz w:val="20"/>
                <w:szCs w:val="20"/>
              </w:rPr>
            </w:pPr>
          </w:p>
        </w:tc>
        <w:tc>
          <w:tcPr>
            <w:tcW w:w="1556" w:type="dxa"/>
            <w:vAlign w:val="center"/>
          </w:tcPr>
          <w:p w14:paraId="14E0D0B9">
            <w:pPr>
              <w:jc w:val="right"/>
              <w:rPr>
                <w:rFonts w:ascii="Calibri" w:hAnsi="Calibri"/>
                <w:sz w:val="20"/>
                <w:szCs w:val="20"/>
              </w:rPr>
            </w:pPr>
          </w:p>
        </w:tc>
        <w:tc>
          <w:tcPr>
            <w:tcW w:w="1555" w:type="dxa"/>
            <w:vAlign w:val="center"/>
          </w:tcPr>
          <w:p w14:paraId="6E4E4857">
            <w:pPr>
              <w:jc w:val="right"/>
              <w:rPr>
                <w:rFonts w:ascii="Calibri" w:hAnsi="Calibri"/>
                <w:sz w:val="20"/>
                <w:szCs w:val="20"/>
              </w:rPr>
            </w:pPr>
          </w:p>
        </w:tc>
        <w:tc>
          <w:tcPr>
            <w:tcW w:w="1556" w:type="dxa"/>
            <w:vAlign w:val="center"/>
          </w:tcPr>
          <w:p w14:paraId="01DF5C9D">
            <w:pPr>
              <w:jc w:val="right"/>
              <w:rPr>
                <w:rFonts w:ascii="Calibri" w:hAnsi="Calibri"/>
                <w:sz w:val="20"/>
                <w:szCs w:val="20"/>
              </w:rPr>
            </w:pPr>
            <w:r>
              <w:rPr>
                <w:rFonts w:ascii="Calibri" w:hAnsi="Calibri"/>
                <w:sz w:val="20"/>
                <w:szCs w:val="20"/>
              </w:rPr>
              <w:t>3,647,493.64</w:t>
            </w:r>
          </w:p>
        </w:tc>
        <w:tc>
          <w:tcPr>
            <w:tcW w:w="1556" w:type="dxa"/>
            <w:vAlign w:val="center"/>
          </w:tcPr>
          <w:p w14:paraId="245DDA8B">
            <w:pPr>
              <w:jc w:val="right"/>
              <w:rPr>
                <w:rFonts w:ascii="Calibri" w:hAnsi="Calibri"/>
                <w:sz w:val="20"/>
                <w:szCs w:val="20"/>
              </w:rPr>
            </w:pPr>
            <w:r>
              <w:rPr>
                <w:rFonts w:ascii="Calibri" w:hAnsi="Calibri"/>
                <w:sz w:val="20"/>
                <w:szCs w:val="20"/>
              </w:rPr>
              <w:t>58,067,116.90</w:t>
            </w:r>
          </w:p>
        </w:tc>
      </w:tr>
      <w:tr w14:paraId="1478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alias w:val="以公允价值计量的金融资产情况明细_资产类别"/>
            <w:tag w:val="_GBC_cc72d7a8c8f74a64a251dbd2114ca4fe"/>
            <w:id w:val="-1637489508"/>
            <w:placeholder>
              <w:docPart w:val="833E759572894D82A0688A7C0B09E651"/>
            </w:placeholder>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Content>
            <w:tc>
              <w:tcPr>
                <w:tcW w:w="1555" w:type="dxa"/>
                <w:vAlign w:val="center"/>
              </w:tcPr>
              <w:p w14:paraId="22E97FCB">
                <w:pPr>
                  <w:rPr>
                    <w:rFonts w:ascii="Calibri" w:hAnsi="Calibri"/>
                    <w:sz w:val="20"/>
                    <w:szCs w:val="20"/>
                  </w:rPr>
                </w:pPr>
                <w:r>
                  <w:rPr>
                    <w:rFonts w:ascii="Calibri" w:hAnsi="Calibri"/>
                    <w:sz w:val="20"/>
                    <w:szCs w:val="20"/>
                  </w:rPr>
                  <w:t>其他权益工具投资</w:t>
                </w:r>
              </w:p>
            </w:tc>
          </w:sdtContent>
        </w:sdt>
        <w:tc>
          <w:tcPr>
            <w:tcW w:w="1556" w:type="dxa"/>
            <w:vAlign w:val="center"/>
          </w:tcPr>
          <w:p w14:paraId="250EDD09">
            <w:pPr>
              <w:jc w:val="right"/>
              <w:rPr>
                <w:rFonts w:ascii="Calibri" w:hAnsi="Calibri"/>
                <w:sz w:val="20"/>
                <w:szCs w:val="20"/>
              </w:rPr>
            </w:pPr>
            <w:r>
              <w:rPr>
                <w:rFonts w:ascii="Calibri" w:hAnsi="Calibri"/>
                <w:sz w:val="20"/>
                <w:szCs w:val="20"/>
              </w:rPr>
              <w:t>36,200,000.00</w:t>
            </w:r>
          </w:p>
        </w:tc>
        <w:tc>
          <w:tcPr>
            <w:tcW w:w="1555" w:type="dxa"/>
            <w:vAlign w:val="center"/>
          </w:tcPr>
          <w:p w14:paraId="6AB140E3">
            <w:pPr>
              <w:jc w:val="right"/>
              <w:rPr>
                <w:rFonts w:ascii="Calibri" w:hAnsi="Calibri"/>
                <w:sz w:val="20"/>
                <w:szCs w:val="20"/>
              </w:rPr>
            </w:pPr>
            <w:r>
              <w:rPr>
                <w:rFonts w:ascii="Calibri" w:hAnsi="Calibri"/>
                <w:sz w:val="20"/>
                <w:szCs w:val="20"/>
              </w:rPr>
              <w:t>2,493,369.96</w:t>
            </w:r>
          </w:p>
        </w:tc>
        <w:tc>
          <w:tcPr>
            <w:tcW w:w="1556" w:type="dxa"/>
            <w:vAlign w:val="center"/>
          </w:tcPr>
          <w:p w14:paraId="2D1C0634">
            <w:pPr>
              <w:jc w:val="right"/>
              <w:rPr>
                <w:rFonts w:ascii="Calibri" w:hAnsi="Calibri"/>
                <w:sz w:val="20"/>
                <w:szCs w:val="20"/>
              </w:rPr>
            </w:pPr>
          </w:p>
        </w:tc>
        <w:tc>
          <w:tcPr>
            <w:tcW w:w="1555" w:type="dxa"/>
            <w:vAlign w:val="center"/>
          </w:tcPr>
          <w:p w14:paraId="293E4986">
            <w:pPr>
              <w:jc w:val="right"/>
              <w:rPr>
                <w:rFonts w:ascii="Calibri" w:hAnsi="Calibri"/>
                <w:sz w:val="20"/>
                <w:szCs w:val="20"/>
              </w:rPr>
            </w:pPr>
          </w:p>
        </w:tc>
        <w:tc>
          <w:tcPr>
            <w:tcW w:w="1556" w:type="dxa"/>
            <w:vAlign w:val="center"/>
          </w:tcPr>
          <w:p w14:paraId="1DD9E2A4">
            <w:pPr>
              <w:jc w:val="right"/>
              <w:rPr>
                <w:rFonts w:ascii="Calibri" w:hAnsi="Calibri"/>
                <w:sz w:val="20"/>
                <w:szCs w:val="20"/>
              </w:rPr>
            </w:pPr>
            <w:r>
              <w:rPr>
                <w:rFonts w:ascii="Calibri" w:hAnsi="Calibri"/>
                <w:sz w:val="20"/>
                <w:szCs w:val="20"/>
              </w:rPr>
              <w:t>30,000,000.00</w:t>
            </w:r>
          </w:p>
        </w:tc>
        <w:tc>
          <w:tcPr>
            <w:tcW w:w="1555" w:type="dxa"/>
            <w:vAlign w:val="center"/>
          </w:tcPr>
          <w:p w14:paraId="72E67371">
            <w:pPr>
              <w:jc w:val="right"/>
              <w:rPr>
                <w:rFonts w:ascii="Calibri" w:hAnsi="Calibri"/>
                <w:sz w:val="20"/>
                <w:szCs w:val="20"/>
              </w:rPr>
            </w:pPr>
          </w:p>
        </w:tc>
        <w:tc>
          <w:tcPr>
            <w:tcW w:w="1556" w:type="dxa"/>
            <w:vAlign w:val="center"/>
          </w:tcPr>
          <w:p w14:paraId="51FB4CDA">
            <w:pPr>
              <w:jc w:val="right"/>
              <w:rPr>
                <w:rFonts w:ascii="Calibri" w:hAnsi="Calibri"/>
                <w:sz w:val="20"/>
                <w:szCs w:val="20"/>
              </w:rPr>
            </w:pPr>
          </w:p>
        </w:tc>
        <w:tc>
          <w:tcPr>
            <w:tcW w:w="1556" w:type="dxa"/>
            <w:vAlign w:val="center"/>
          </w:tcPr>
          <w:p w14:paraId="6E2B0EBD">
            <w:pPr>
              <w:jc w:val="right"/>
              <w:rPr>
                <w:rFonts w:ascii="Calibri" w:hAnsi="Calibri"/>
                <w:sz w:val="20"/>
                <w:szCs w:val="20"/>
              </w:rPr>
            </w:pPr>
            <w:r>
              <w:rPr>
                <w:rFonts w:ascii="Calibri" w:hAnsi="Calibri"/>
                <w:sz w:val="20"/>
                <w:szCs w:val="20"/>
              </w:rPr>
              <w:t>68,693,369.96</w:t>
            </w:r>
          </w:p>
        </w:tc>
      </w:tr>
      <w:tr w14:paraId="02B4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56259BFB">
            <w:pPr>
              <w:jc w:val="center"/>
              <w:rPr>
                <w:rFonts w:ascii="Calibri" w:hAnsi="Calibri"/>
                <w:sz w:val="20"/>
                <w:szCs w:val="20"/>
              </w:rPr>
            </w:pPr>
            <w:r>
              <w:rPr>
                <w:rFonts w:ascii="Calibri" w:hAnsi="Calibri"/>
                <w:sz w:val="20"/>
                <w:szCs w:val="20"/>
              </w:rPr>
              <w:t>合计</w:t>
            </w:r>
          </w:p>
        </w:tc>
        <w:tc>
          <w:tcPr>
            <w:tcW w:w="1556" w:type="dxa"/>
            <w:vAlign w:val="center"/>
          </w:tcPr>
          <w:p w14:paraId="584544B5">
            <w:pPr>
              <w:jc w:val="right"/>
              <w:rPr>
                <w:rFonts w:ascii="Calibri" w:hAnsi="Calibri"/>
                <w:sz w:val="20"/>
                <w:szCs w:val="20"/>
              </w:rPr>
            </w:pPr>
            <w:r>
              <w:rPr>
                <w:rFonts w:ascii="Calibri" w:hAnsi="Calibri"/>
                <w:sz w:val="20"/>
                <w:szCs w:val="20"/>
              </w:rPr>
              <w:t>146,020,550.78</w:t>
            </w:r>
          </w:p>
        </w:tc>
        <w:tc>
          <w:tcPr>
            <w:tcW w:w="1555" w:type="dxa"/>
            <w:vAlign w:val="center"/>
          </w:tcPr>
          <w:p w14:paraId="3F9A9168">
            <w:pPr>
              <w:jc w:val="right"/>
              <w:rPr>
                <w:rFonts w:ascii="Calibri" w:hAnsi="Calibri"/>
                <w:sz w:val="20"/>
                <w:szCs w:val="20"/>
              </w:rPr>
            </w:pPr>
            <w:r>
              <w:rPr>
                <w:rFonts w:ascii="Calibri" w:hAnsi="Calibri"/>
                <w:sz w:val="20"/>
                <w:szCs w:val="20"/>
              </w:rPr>
              <w:t>2,310,880.80</w:t>
            </w:r>
          </w:p>
        </w:tc>
        <w:tc>
          <w:tcPr>
            <w:tcW w:w="1556" w:type="dxa"/>
            <w:vAlign w:val="center"/>
          </w:tcPr>
          <w:p w14:paraId="2C30A06C">
            <w:pPr>
              <w:jc w:val="right"/>
              <w:rPr>
                <w:rFonts w:ascii="Calibri" w:hAnsi="Calibri"/>
                <w:sz w:val="20"/>
                <w:szCs w:val="20"/>
              </w:rPr>
            </w:pPr>
          </w:p>
        </w:tc>
        <w:tc>
          <w:tcPr>
            <w:tcW w:w="1555" w:type="dxa"/>
            <w:vAlign w:val="center"/>
          </w:tcPr>
          <w:p w14:paraId="15D292CC">
            <w:pPr>
              <w:jc w:val="right"/>
              <w:rPr>
                <w:rFonts w:ascii="Calibri" w:hAnsi="Calibri"/>
                <w:sz w:val="20"/>
                <w:szCs w:val="20"/>
              </w:rPr>
            </w:pPr>
          </w:p>
        </w:tc>
        <w:tc>
          <w:tcPr>
            <w:tcW w:w="1556" w:type="dxa"/>
            <w:vAlign w:val="center"/>
          </w:tcPr>
          <w:p w14:paraId="5191908D">
            <w:pPr>
              <w:jc w:val="right"/>
              <w:rPr>
                <w:rFonts w:ascii="Calibri" w:hAnsi="Calibri"/>
                <w:sz w:val="20"/>
                <w:szCs w:val="20"/>
              </w:rPr>
            </w:pPr>
            <w:r>
              <w:rPr>
                <w:rFonts w:ascii="Calibri" w:hAnsi="Calibri"/>
                <w:sz w:val="20"/>
                <w:szCs w:val="20"/>
              </w:rPr>
              <w:t>254,000,000.00</w:t>
            </w:r>
          </w:p>
        </w:tc>
        <w:tc>
          <w:tcPr>
            <w:tcW w:w="1555" w:type="dxa"/>
            <w:vAlign w:val="center"/>
          </w:tcPr>
          <w:p w14:paraId="6C341E3C">
            <w:pPr>
              <w:jc w:val="right"/>
              <w:rPr>
                <w:rFonts w:ascii="Calibri" w:hAnsi="Calibri"/>
                <w:sz w:val="20"/>
                <w:szCs w:val="20"/>
              </w:rPr>
            </w:pPr>
            <w:r>
              <w:rPr>
                <w:rFonts w:ascii="Calibri" w:hAnsi="Calibri"/>
                <w:sz w:val="20"/>
                <w:szCs w:val="20"/>
              </w:rPr>
              <w:t>216,000,000.00</w:t>
            </w:r>
          </w:p>
        </w:tc>
        <w:tc>
          <w:tcPr>
            <w:tcW w:w="1556" w:type="dxa"/>
            <w:vAlign w:val="center"/>
          </w:tcPr>
          <w:p w14:paraId="7FD5837D">
            <w:pPr>
              <w:jc w:val="right"/>
              <w:rPr>
                <w:rFonts w:ascii="Calibri" w:hAnsi="Calibri"/>
                <w:sz w:val="20"/>
                <w:szCs w:val="20"/>
              </w:rPr>
            </w:pPr>
            <w:r>
              <w:rPr>
                <w:rFonts w:ascii="Calibri" w:hAnsi="Calibri"/>
                <w:sz w:val="20"/>
                <w:szCs w:val="20"/>
              </w:rPr>
              <w:t>3,647,493.64</w:t>
            </w:r>
          </w:p>
        </w:tc>
        <w:tc>
          <w:tcPr>
            <w:tcW w:w="1556" w:type="dxa"/>
            <w:vAlign w:val="center"/>
          </w:tcPr>
          <w:p w14:paraId="756F5789">
            <w:pPr>
              <w:jc w:val="right"/>
              <w:rPr>
                <w:rFonts w:ascii="Calibri" w:hAnsi="Calibri"/>
                <w:sz w:val="20"/>
                <w:szCs w:val="20"/>
              </w:rPr>
            </w:pPr>
            <w:r>
              <w:rPr>
                <w:rFonts w:ascii="Calibri" w:hAnsi="Calibri"/>
                <w:sz w:val="20"/>
                <w:szCs w:val="20"/>
              </w:rPr>
              <w:t>189,978,925.22</w:t>
            </w:r>
          </w:p>
        </w:tc>
      </w:tr>
    </w:tbl>
    <w:p w14:paraId="5D6FFCB9"/>
    <w:p w14:paraId="69291375">
      <w:pPr>
        <w:pStyle w:val="48"/>
      </w:pPr>
      <w:r>
        <w:rPr>
          <w:rFonts w:hint="eastAsia"/>
        </w:rPr>
        <w:t>证券投资情况</w:t>
      </w:r>
    </w:p>
    <w:sdt>
      <w:sdtPr>
        <w:alias w:val="是否适用：证券投资情况[双击切换]"/>
        <w:tag w:val="_GBC_7d04680e71454924aa49897089c6ec88"/>
        <w:id w:val="-1686813283"/>
        <w:placeholder>
          <w:docPart w:val="GBC22222222222222222222222222222"/>
        </w:placeholder>
      </w:sdtPr>
      <w:sdtContent>
        <w:p w14:paraId="3BB08B8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8176A9D">
      <w:pPr>
        <w:pStyle w:val="48"/>
      </w:pPr>
      <w:bookmarkStart w:id="85" w:name="_Hlk40533881"/>
    </w:p>
    <w:bookmarkEnd w:id="85"/>
    <w:p w14:paraId="7A2A3188">
      <w:pPr>
        <w:pStyle w:val="48"/>
      </w:pPr>
      <w:bookmarkStart w:id="86" w:name="_Hlk151135120"/>
      <w:r>
        <w:rPr>
          <w:rFonts w:hint="eastAsia"/>
        </w:rPr>
        <w:t>证券投资情况的说明</w:t>
      </w:r>
    </w:p>
    <w:sdt>
      <w:sdtPr>
        <w:alias w:val="是否适用：证券投资情况的说明[双击切换]"/>
        <w:tag w:val="_GBC_846a2917c37545bbb004e11b14dfefbc"/>
        <w:id w:val="-258373726"/>
        <w:placeholder>
          <w:docPart w:val="GBC22222222222222222222222222222"/>
        </w:placeholder>
      </w:sdtPr>
      <w:sdtContent>
        <w:p w14:paraId="00A96D3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6327451">
      <w:pPr>
        <w:pStyle w:val="48"/>
      </w:pPr>
    </w:p>
    <w:bookmarkEnd w:id="86"/>
    <w:p w14:paraId="73A29659">
      <w:pPr>
        <w:pStyle w:val="48"/>
      </w:pPr>
      <w:bookmarkStart w:id="87" w:name="_Hlk40534809"/>
      <w:r>
        <w:rPr>
          <w:rFonts w:hint="eastAsia"/>
        </w:rPr>
        <w:t>私募基金投资情况</w:t>
      </w:r>
    </w:p>
    <w:sdt>
      <w:sdtPr>
        <w:alias w:val="是否适用：私募基金投资情况[双击切换]"/>
        <w:tag w:val="_GBC_6e916a873a4e4af3a90d6fc81d187ac8"/>
        <w:id w:val="-1108116819"/>
        <w:placeholder>
          <w:docPart w:val="GBC22222222222222222222222222222"/>
        </w:placeholder>
      </w:sdtPr>
      <w:sdtContent>
        <w:p w14:paraId="5EC6545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FC0855">
      <w:pPr>
        <w:pStyle w:val="48"/>
      </w:pPr>
    </w:p>
    <w:bookmarkEnd w:id="87"/>
    <w:p w14:paraId="1FFB95BF">
      <w:pPr>
        <w:pStyle w:val="48"/>
      </w:pPr>
      <w:r>
        <w:rPr>
          <w:rFonts w:hint="eastAsia"/>
        </w:rPr>
        <w:t>衍生品投资情况</w:t>
      </w:r>
    </w:p>
    <w:sdt>
      <w:sdtPr>
        <w:rPr>
          <w:rFonts w:hint="eastAsia"/>
        </w:rPr>
        <w:alias w:val="是否适用：衍生品投资情况  [双击切换]"/>
        <w:tag w:val="_GBC_0155f13d04cb48bc8f6a2a16edfe26b3"/>
        <w:id w:val="-1641410550"/>
        <w:placeholder>
          <w:docPart w:val="GBC22222222222222222222222222222"/>
        </w:placeholder>
      </w:sdtPr>
      <w:sdtEndPr>
        <w:rPr>
          <w:rFonts w:hint="eastAsia"/>
        </w:rPr>
      </w:sdtEndPr>
      <w:sdtContent>
        <w:p w14:paraId="578AD5A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7FF1404">
      <w:pPr>
        <w:pStyle w:val="48"/>
        <w:sectPr>
          <w:pgSz w:w="16838" w:h="11906" w:orient="landscape"/>
          <w:pgMar w:top="1797" w:right="1525" w:bottom="1276" w:left="1440" w:header="855" w:footer="992" w:gutter="0"/>
          <w:cols w:space="425" w:num="1"/>
          <w:docGrid w:linePitch="312" w:charSpace="0"/>
        </w:sectPr>
      </w:pPr>
      <w:bookmarkStart w:id="88" w:name="_Hlk155617745"/>
      <w:bookmarkStart w:id="89" w:name="_Hlk94111679"/>
    </w:p>
    <w:bookmarkEnd w:id="88"/>
    <w:p w14:paraId="207B26CB">
      <w:pPr>
        <w:pStyle w:val="5"/>
        <w:numPr>
          <w:ilvl w:val="0"/>
          <w:numId w:val="18"/>
        </w:numPr>
      </w:pPr>
      <w:r>
        <w:rPr>
          <w:rFonts w:hint="eastAsia"/>
        </w:rPr>
        <w:t>报告期内重大资产重组整合的具体进展情况</w:t>
      </w:r>
    </w:p>
    <w:sdt>
      <w:sdtPr>
        <w:alias w:val="是否适用：报告期内重大资产重组整合的具体进展情况[双击切换]"/>
        <w:tag w:val="_GBC_c52695d1957b4fa89b0b7326da1f5a10"/>
        <w:id w:val="-1781711092"/>
        <w:placeholder>
          <w:docPart w:val="GBC22222222222222222222222222222"/>
        </w:placeholder>
      </w:sdtPr>
      <w:sdtContent>
        <w:p w14:paraId="3D9DBCA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D3C4D65">
      <w:pPr>
        <w:pStyle w:val="48"/>
      </w:pPr>
    </w:p>
    <w:bookmarkEnd w:id="89"/>
    <w:p w14:paraId="5D2F6406">
      <w:pPr>
        <w:pStyle w:val="4"/>
        <w:numPr>
          <w:ilvl w:val="0"/>
          <w:numId w:val="8"/>
        </w:numPr>
        <w:ind w:left="0" w:firstLine="0"/>
        <w:rPr>
          <w:szCs w:val="21"/>
        </w:rPr>
      </w:pPr>
      <w:r>
        <w:rPr>
          <w:rFonts w:hint="eastAsia"/>
          <w:szCs w:val="21"/>
        </w:rPr>
        <w:t>重大资产和股权出售</w:t>
      </w:r>
    </w:p>
    <w:sdt>
      <w:sdtPr>
        <w:rPr>
          <w:rFonts w:hint="eastAsia"/>
        </w:rPr>
        <w:alias w:val="是否适用：重大资产和股权出售[双击切换]"/>
        <w:tag w:val="_GBC_949dc5a581604be69ba935fceadc4b1d"/>
        <w:id w:val="-77750165"/>
        <w:placeholder>
          <w:docPart w:val="GBC22222222222222222222222222222"/>
        </w:placeholder>
      </w:sdtPr>
      <w:sdtEndPr>
        <w:rPr>
          <w:rFonts w:hint="eastAsia"/>
        </w:rPr>
      </w:sdtEndPr>
      <w:sdtContent>
        <w:p w14:paraId="6D2E97CF">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重大资产和股权出售情况"/>
        <w:tag w:val="_GBC_9387662ed6544d1b86957fb4888cd3d9"/>
        <w:id w:val="-1947532328"/>
        <w:placeholder>
          <w:docPart w:val="GBC22222222222222222222222222222"/>
        </w:placeholder>
      </w:sdtPr>
      <w:sdtEndPr>
        <w:rPr>
          <w:rFonts w:hint="eastAsia"/>
        </w:rPr>
      </w:sdtEndPr>
      <w:sdtContent>
        <w:p w14:paraId="0F84F289">
          <w:pPr>
            <w:spacing w:line="360" w:lineRule="auto"/>
            <w:ind w:firstLine="420" w:firstLineChars="200"/>
            <w:jc w:val="both"/>
          </w:pPr>
          <w:r>
            <w:rPr>
              <w:rFonts w:hint="eastAsia"/>
            </w:rPr>
            <w:t>公司分别于</w:t>
          </w:r>
          <w:r>
            <w:t>2025</w:t>
          </w:r>
          <w:r>
            <w:rPr>
              <w:rFonts w:hint="eastAsia"/>
            </w:rPr>
            <w:t>年5月22日、2025年6月9日召开了第十一届董事会第十五次会议、2025年第一次临时股东会，审议通过了《关于协议转让特宝生物部分股份的议案》。通化东宝持有厦门特宝生物工程股份有限公司（证券代码：688278）股份65,200,114股，占特宝生物总股本的16.03%。根据公司经营发展需要，为集中力量加速向创新型药企转型，为企业中长期发展奠定坚实基础，以及维护上市公司全体股东利益，通化东宝决定以协议转让方式转让特宝生物部分股份。公司于2025年5月22日与西藏信托有限公司（代表“西藏信托-金桐35号集合资金信托计划”）签署了《股份转让协议》，以协议转让方式转让特宝生物无限售条件流通股股份23,187,600股，占特宝生物当前总股本的5.70%，转让价格56.12元/股，转让价款总额为人民币1,301,288,112元。</w:t>
          </w:r>
        </w:p>
        <w:p w14:paraId="634B2BD6">
          <w:pPr>
            <w:spacing w:line="360" w:lineRule="auto"/>
            <w:ind w:firstLine="420" w:firstLineChars="200"/>
            <w:jc w:val="both"/>
          </w:pPr>
          <w:r>
            <w:rPr>
              <w:rFonts w:hint="eastAsia"/>
            </w:rPr>
            <w:t>公司于2025年7月3日取得中国证券登记结算有限责任公司出具的《证券过户登记确认书》，过户日期为2025年7月2日，过户数量23,187,600股，股份性质为无限售流通股，股份协议转让过户登记手续办理完毕。</w:t>
          </w:r>
        </w:p>
        <w:p w14:paraId="0E07BAFA">
          <w:pPr>
            <w:spacing w:line="360" w:lineRule="auto"/>
            <w:ind w:firstLine="420" w:firstLineChars="200"/>
            <w:jc w:val="both"/>
          </w:pPr>
          <w:r>
            <w:rPr>
              <w:rFonts w:hint="eastAsia"/>
            </w:rPr>
            <w:t>内容详见公司分别于2025年5月23日、2025年7月4日在中国证券报、上海证券报及上海证券交易所网站（www.sse.com.cn）披露的《通化东宝关于协议转让特宝生物部分股份的公告》（公告编号：2025-037）、《通化东宝关于协议转让特宝生物部分股份完成过户登记的公告》（公告编号：2025-045）。</w:t>
          </w:r>
        </w:p>
      </w:sdtContent>
    </w:sdt>
    <w:p w14:paraId="4D045AB3">
      <w:pPr>
        <w:pStyle w:val="48"/>
      </w:pPr>
    </w:p>
    <w:p w14:paraId="164A57E9">
      <w:pPr>
        <w:pStyle w:val="4"/>
        <w:numPr>
          <w:ilvl w:val="0"/>
          <w:numId w:val="8"/>
        </w:numPr>
        <w:ind w:left="0" w:firstLine="0"/>
        <w:rPr>
          <w:szCs w:val="21"/>
        </w:rPr>
      </w:pPr>
      <w:bookmarkStart w:id="90" w:name="_Hlk213662043"/>
      <w:bookmarkStart w:id="91" w:name="_Hlk200011206"/>
      <w:r>
        <w:rPr>
          <w:rFonts w:hint="eastAsia"/>
          <w:szCs w:val="21"/>
        </w:rPr>
        <w:t>主要控股参股公司分析</w:t>
      </w:r>
    </w:p>
    <w:sdt>
      <w:sdtPr>
        <w:rPr>
          <w:color w:val="000000" w:themeColor="text1"/>
          <w14:textFill>
            <w14:solidFill>
              <w14:schemeClr w14:val="tx1"/>
            </w14:solidFill>
          </w14:textFill>
        </w:rPr>
        <w:alias w:val="是否适用：主要控股参股公司分析[双击切换]"/>
        <w:tag w:val="_GBC_c05ac32e7acf4aa08c3b1b389547fce0"/>
        <w:id w:val="-855268775"/>
        <w:placeholder>
          <w:docPart w:val="GBC22222222222222222222222222222"/>
        </w:placeholder>
      </w:sdtPr>
      <w:sdtEndPr>
        <w:rPr>
          <w:color w:val="000000" w:themeColor="text1"/>
          <w14:textFill>
            <w14:solidFill>
              <w14:schemeClr w14:val="tx1"/>
            </w14:solidFill>
          </w14:textFill>
        </w:rPr>
      </w:sdtEndPr>
      <w:sdtContent>
        <w:p w14:paraId="2D26F72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017879F">
      <w:pPr>
        <w:pStyle w:val="48"/>
      </w:pPr>
      <w:r>
        <w:rPr>
          <w:rFonts w:hint="eastAsia"/>
        </w:rPr>
        <w:t>主要子公司及对公司净利润影响达10%以上的参股公司情况</w:t>
      </w:r>
    </w:p>
    <w:sdt>
      <w:sdtPr>
        <w:rPr>
          <w:rFonts w:hint="eastAsia"/>
          <w:color w:val="000000"/>
        </w:rPr>
        <w:alias w:val="是否适用：主要子公司及对公司净利润影响达10%以上的参股公司情况[双击切换]"/>
        <w:tag w:val="_GBC_9d434b01b56f4e79bcdfcac696798730"/>
        <w:id w:val="-2116969119"/>
        <w:placeholder>
          <w:docPart w:val="GBC22222222222222222222222222222"/>
        </w:placeholder>
      </w:sdtPr>
      <w:sdtEndPr>
        <w:rPr>
          <w:rFonts w:hint="eastAsia"/>
          <w:color w:val="000000"/>
        </w:rPr>
      </w:sdtEndPr>
      <w:sdtContent>
        <w:p w14:paraId="7472D303">
          <w:pPr>
            <w:rPr>
              <w:color w:val="000000"/>
            </w:rPr>
          </w:pPr>
          <w:r>
            <w:rPr>
              <w:rFonts w:hint="eastAsia" w:ascii="宋体" w:hAnsi="宋体"/>
              <w:color w:val="000000"/>
            </w:rPr>
            <w:fldChar w:fldCharType="begin"/>
          </w:r>
          <w:r>
            <w:rPr>
              <w:rFonts w:hint="eastAsia" w:ascii="宋体" w:hAnsi="宋体"/>
              <w:color w:val="000000"/>
            </w:rPr>
            <w:instrText xml:space="preserve"> MACROBUTTON  SnrToggleCheckbox √适用 </w:instrText>
          </w:r>
          <w:r>
            <w:rPr>
              <w:rFonts w:hint="eastAsia" w:ascii="宋体" w:hAnsi="宋体"/>
              <w:color w:val="000000"/>
            </w:rPr>
            <w:fldChar w:fldCharType="end"/>
          </w:r>
          <w:r>
            <w:rPr>
              <w:rFonts w:hint="eastAsia" w:ascii="宋体" w:hAnsi="宋体"/>
              <w:color w:val="000000"/>
            </w:rPr>
            <w:fldChar w:fldCharType="begin"/>
          </w:r>
          <w:r>
            <w:rPr>
              <w:rFonts w:hint="eastAsia" w:ascii="宋体" w:hAnsi="宋体"/>
              <w:color w:val="000000"/>
            </w:rPr>
            <w:instrText xml:space="preserve"> MACROBUTTON  SnrToggleCheckbox □不适用 </w:instrText>
          </w:r>
          <w:r>
            <w:rPr>
              <w:rFonts w:hint="eastAsia" w:ascii="宋体" w:hAnsi="宋体"/>
              <w:color w:val="000000"/>
            </w:rPr>
            <w:fldChar w:fldCharType="end"/>
          </w:r>
        </w:p>
      </w:sdtContent>
    </w:sdt>
    <w:p w14:paraId="46112716">
      <w:pPr>
        <w:jc w:val="right"/>
        <w:rPr>
          <w:color w:val="000000"/>
        </w:rPr>
      </w:pPr>
      <w:r>
        <w:rPr>
          <w:rFonts w:hint="eastAsia"/>
          <w:color w:val="000000"/>
        </w:rPr>
        <w:t>单位：</w:t>
      </w:r>
      <w:sdt>
        <w:sdtPr>
          <w:rPr>
            <w:rFonts w:hint="eastAsia"/>
            <w:color w:val="000000"/>
          </w:rPr>
          <w:alias w:val="单位：主要控股参股公司分析"/>
          <w:tag w:val="_GBC_8d5082a3ef1247029bfec10b09878a74"/>
          <w:id w:val="-4748382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rPr>
        </w:sdtEndPr>
        <w:sdtContent>
          <w:r>
            <w:rPr>
              <w:rFonts w:hint="eastAsia"/>
              <w:color w:val="000000"/>
            </w:rPr>
            <w:t>万元</w:t>
          </w:r>
        </w:sdtContent>
      </w:sdt>
      <w:r>
        <w:rPr>
          <w:rFonts w:hint="eastAsia"/>
          <w:color w:val="000000"/>
        </w:rPr>
        <w:t xml:space="preserve">  币种：</w:t>
      </w:r>
      <w:sdt>
        <w:sdtPr>
          <w:rPr>
            <w:rFonts w:hint="eastAsia"/>
            <w:color w:val="000000"/>
          </w:rPr>
          <w:alias w:val="币种：主要控股参股公司分析"/>
          <w:tag w:val="_GBC_27853eae803847d39b60d39456b72571"/>
          <w:id w:val="6215796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rPr>
        </w:sdtEndPr>
        <w:sdtContent>
          <w:r>
            <w:rPr>
              <w:rFonts w:hint="eastAsia"/>
              <w:color w:val="000000"/>
            </w:rPr>
            <w:t>人民币</w:t>
          </w:r>
        </w:sdtContent>
      </w:sdt>
      <w:r>
        <w:rPr>
          <w:rFonts w:hint="eastAsia"/>
          <w:color w:val="000000"/>
        </w:rPr>
        <w:t xml:space="preserve"> </w:t>
      </w:r>
    </w:p>
    <w:tbl>
      <w:tblPr>
        <w:tblStyle w:val="57"/>
        <w:tblW w:w="10026"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418"/>
        <w:gridCol w:w="594"/>
        <w:gridCol w:w="1744"/>
        <w:gridCol w:w="1034"/>
        <w:gridCol w:w="1034"/>
        <w:gridCol w:w="1034"/>
        <w:gridCol w:w="1034"/>
        <w:gridCol w:w="1032"/>
        <w:gridCol w:w="1102"/>
      </w:tblGrid>
      <w:tr w14:paraId="5A6F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25" w:hRule="atLeast"/>
        </w:trPr>
        <w:sdt>
          <w:sdtPr>
            <w:tag w:val="_PLD_77d1b0f0ca10428db347fba0d0883430"/>
            <w:id w:val="-438604552"/>
          </w:sdtPr>
          <w:sdtContent>
            <w:tc>
              <w:tcPr>
                <w:tcW w:w="1418" w:type="dxa"/>
                <w:vAlign w:val="center"/>
              </w:tcPr>
              <w:p w14:paraId="57C97141">
                <w:pPr>
                  <w:kinsoku w:val="0"/>
                  <w:overflowPunct w:val="0"/>
                  <w:autoSpaceDE w:val="0"/>
                  <w:autoSpaceDN w:val="0"/>
                  <w:adjustRightInd w:val="0"/>
                  <w:snapToGrid w:val="0"/>
                  <w:jc w:val="center"/>
                  <w:rPr>
                    <w:rFonts w:ascii="Calibri" w:hAnsi="Calibri"/>
                    <w:sz w:val="20"/>
                    <w:szCs w:val="20"/>
                  </w:rPr>
                </w:pPr>
                <w:r>
                  <w:rPr>
                    <w:rFonts w:ascii="Calibri" w:hAnsi="Calibri"/>
                    <w:sz w:val="20"/>
                    <w:szCs w:val="20"/>
                  </w:rPr>
                  <w:t>公司名称</w:t>
                </w:r>
              </w:p>
            </w:tc>
          </w:sdtContent>
        </w:sdt>
        <w:sdt>
          <w:sdtPr>
            <w:tag w:val="_PLD_39a34b0234774dd4a02351974d6690de"/>
            <w:id w:val="-1391180657"/>
          </w:sdtPr>
          <w:sdtContent>
            <w:tc>
              <w:tcPr>
                <w:tcW w:w="594" w:type="dxa"/>
                <w:vAlign w:val="center"/>
              </w:tcPr>
              <w:p w14:paraId="247697C0">
                <w:pPr>
                  <w:kinsoku w:val="0"/>
                  <w:overflowPunct w:val="0"/>
                  <w:autoSpaceDE w:val="0"/>
                  <w:autoSpaceDN w:val="0"/>
                  <w:adjustRightInd w:val="0"/>
                  <w:snapToGrid w:val="0"/>
                  <w:jc w:val="center"/>
                  <w:rPr>
                    <w:rFonts w:ascii="Calibri" w:hAnsi="Calibri"/>
                    <w:sz w:val="20"/>
                    <w:szCs w:val="20"/>
                  </w:rPr>
                </w:pPr>
                <w:r>
                  <w:rPr>
                    <w:rFonts w:ascii="Calibri" w:hAnsi="Calibri"/>
                    <w:sz w:val="20"/>
                    <w:szCs w:val="20"/>
                  </w:rPr>
                  <w:t>公司类型</w:t>
                </w:r>
              </w:p>
            </w:tc>
          </w:sdtContent>
        </w:sdt>
        <w:sdt>
          <w:sdtPr>
            <w:tag w:val="_PLD_f896bd671d5344dc9566b8fb48245b72"/>
            <w:id w:val="2143843941"/>
          </w:sdtPr>
          <w:sdtContent>
            <w:tc>
              <w:tcPr>
                <w:tcW w:w="1744" w:type="dxa"/>
                <w:vAlign w:val="center"/>
              </w:tcPr>
              <w:p w14:paraId="4A072B0F">
                <w:pPr>
                  <w:kinsoku w:val="0"/>
                  <w:overflowPunct w:val="0"/>
                  <w:autoSpaceDE w:val="0"/>
                  <w:autoSpaceDN w:val="0"/>
                  <w:adjustRightInd w:val="0"/>
                  <w:snapToGrid w:val="0"/>
                  <w:jc w:val="center"/>
                  <w:rPr>
                    <w:rFonts w:ascii="Calibri" w:hAnsi="Calibri"/>
                    <w:sz w:val="20"/>
                    <w:szCs w:val="20"/>
                  </w:rPr>
                </w:pPr>
                <w:r>
                  <w:rPr>
                    <w:rFonts w:ascii="Calibri" w:hAnsi="Calibri"/>
                    <w:sz w:val="20"/>
                    <w:szCs w:val="20"/>
                  </w:rPr>
                  <w:t>主要业务</w:t>
                </w:r>
              </w:p>
            </w:tc>
          </w:sdtContent>
        </w:sdt>
        <w:sdt>
          <w:sdtPr>
            <w:tag w:val="_PLD_28c765f0770d4489b0ac7af726b78d3c"/>
            <w:id w:val="1549336367"/>
          </w:sdtPr>
          <w:sdtContent>
            <w:tc>
              <w:tcPr>
                <w:tcW w:w="1034" w:type="dxa"/>
                <w:vAlign w:val="center"/>
              </w:tcPr>
              <w:p w14:paraId="6ABB4290">
                <w:pPr>
                  <w:kinsoku w:val="0"/>
                  <w:overflowPunct w:val="0"/>
                  <w:autoSpaceDE w:val="0"/>
                  <w:autoSpaceDN w:val="0"/>
                  <w:adjustRightInd w:val="0"/>
                  <w:snapToGrid w:val="0"/>
                  <w:jc w:val="center"/>
                  <w:rPr>
                    <w:rFonts w:ascii="Calibri" w:hAnsi="Calibri"/>
                    <w:sz w:val="20"/>
                    <w:szCs w:val="20"/>
                  </w:rPr>
                </w:pPr>
                <w:r>
                  <w:rPr>
                    <w:rFonts w:ascii="Calibri" w:hAnsi="Calibri"/>
                    <w:sz w:val="20"/>
                    <w:szCs w:val="20"/>
                  </w:rPr>
                  <w:t>注册资本</w:t>
                </w:r>
              </w:p>
            </w:tc>
          </w:sdtContent>
        </w:sdt>
        <w:sdt>
          <w:sdtPr>
            <w:tag w:val="_PLD_8dfb8195bf8042eab9afd470bd721131"/>
            <w:id w:val="307375010"/>
          </w:sdtPr>
          <w:sdtContent>
            <w:tc>
              <w:tcPr>
                <w:tcW w:w="1034" w:type="dxa"/>
                <w:vAlign w:val="center"/>
              </w:tcPr>
              <w:p w14:paraId="11211E87">
                <w:pPr>
                  <w:kinsoku w:val="0"/>
                  <w:overflowPunct w:val="0"/>
                  <w:autoSpaceDE w:val="0"/>
                  <w:autoSpaceDN w:val="0"/>
                  <w:adjustRightInd w:val="0"/>
                  <w:snapToGrid w:val="0"/>
                  <w:jc w:val="center"/>
                  <w:rPr>
                    <w:rFonts w:ascii="Calibri" w:hAnsi="Calibri"/>
                    <w:sz w:val="20"/>
                    <w:szCs w:val="20"/>
                  </w:rPr>
                </w:pPr>
                <w:r>
                  <w:rPr>
                    <w:rFonts w:ascii="Calibri" w:hAnsi="Calibri"/>
                    <w:sz w:val="20"/>
                    <w:szCs w:val="20"/>
                  </w:rPr>
                  <w:t>总资产</w:t>
                </w:r>
              </w:p>
            </w:tc>
          </w:sdtContent>
        </w:sdt>
        <w:sdt>
          <w:sdtPr>
            <w:tag w:val="_PLD_568be9ac045440aeaf1bfa59ac4c13ce"/>
            <w:id w:val="-84691886"/>
          </w:sdtPr>
          <w:sdtContent>
            <w:tc>
              <w:tcPr>
                <w:tcW w:w="1034" w:type="dxa"/>
                <w:vAlign w:val="center"/>
              </w:tcPr>
              <w:p w14:paraId="630A7D61">
                <w:pPr>
                  <w:kinsoku w:val="0"/>
                  <w:overflowPunct w:val="0"/>
                  <w:autoSpaceDE w:val="0"/>
                  <w:autoSpaceDN w:val="0"/>
                  <w:adjustRightInd w:val="0"/>
                  <w:snapToGrid w:val="0"/>
                  <w:jc w:val="center"/>
                  <w:rPr>
                    <w:rFonts w:ascii="Calibri" w:hAnsi="Calibri"/>
                    <w:sz w:val="20"/>
                    <w:szCs w:val="20"/>
                  </w:rPr>
                </w:pPr>
                <w:r>
                  <w:rPr>
                    <w:rFonts w:ascii="Calibri" w:hAnsi="Calibri"/>
                    <w:sz w:val="20"/>
                    <w:szCs w:val="20"/>
                  </w:rPr>
                  <w:t>净资产</w:t>
                </w:r>
              </w:p>
            </w:tc>
          </w:sdtContent>
        </w:sdt>
        <w:sdt>
          <w:sdtPr>
            <w:tag w:val="_PLD_5b0234e93edf4d4eba9ba1632349de01"/>
            <w:id w:val="289251467"/>
          </w:sdtPr>
          <w:sdtContent>
            <w:tc>
              <w:tcPr>
                <w:tcW w:w="1034" w:type="dxa"/>
                <w:vAlign w:val="center"/>
              </w:tcPr>
              <w:p w14:paraId="431FBB8B">
                <w:pPr>
                  <w:kinsoku w:val="0"/>
                  <w:overflowPunct w:val="0"/>
                  <w:autoSpaceDE w:val="0"/>
                  <w:autoSpaceDN w:val="0"/>
                  <w:adjustRightInd w:val="0"/>
                  <w:snapToGrid w:val="0"/>
                  <w:jc w:val="center"/>
                  <w:rPr>
                    <w:rFonts w:ascii="Calibri" w:hAnsi="Calibri"/>
                    <w:sz w:val="20"/>
                    <w:szCs w:val="20"/>
                  </w:rPr>
                </w:pPr>
                <w:r>
                  <w:rPr>
                    <w:rFonts w:ascii="Calibri" w:hAnsi="Calibri"/>
                    <w:sz w:val="20"/>
                    <w:szCs w:val="20"/>
                  </w:rPr>
                  <w:t>营业收入</w:t>
                </w:r>
              </w:p>
            </w:tc>
          </w:sdtContent>
        </w:sdt>
        <w:sdt>
          <w:sdtPr>
            <w:tag w:val="_PLD_ba045ffba7c14248ae76aaccea04d750"/>
            <w:id w:val="1363787151"/>
          </w:sdtPr>
          <w:sdtContent>
            <w:tc>
              <w:tcPr>
                <w:tcW w:w="1032" w:type="dxa"/>
                <w:vAlign w:val="center"/>
              </w:tcPr>
              <w:p w14:paraId="0AF3D033">
                <w:pPr>
                  <w:kinsoku w:val="0"/>
                  <w:overflowPunct w:val="0"/>
                  <w:autoSpaceDE w:val="0"/>
                  <w:autoSpaceDN w:val="0"/>
                  <w:adjustRightInd w:val="0"/>
                  <w:snapToGrid w:val="0"/>
                  <w:jc w:val="center"/>
                  <w:rPr>
                    <w:rFonts w:ascii="Calibri" w:hAnsi="Calibri"/>
                    <w:sz w:val="20"/>
                    <w:szCs w:val="20"/>
                  </w:rPr>
                </w:pPr>
                <w:r>
                  <w:rPr>
                    <w:rFonts w:ascii="Calibri" w:hAnsi="Calibri"/>
                    <w:sz w:val="20"/>
                    <w:szCs w:val="20"/>
                  </w:rPr>
                  <w:t>营业利润</w:t>
                </w:r>
              </w:p>
            </w:tc>
          </w:sdtContent>
        </w:sdt>
        <w:sdt>
          <w:sdtPr>
            <w:tag w:val="_PLD_e15dc49d121b480aa6e96a30e17a5359"/>
            <w:id w:val="-1984685732"/>
          </w:sdtPr>
          <w:sdtContent>
            <w:tc>
              <w:tcPr>
                <w:tcW w:w="1102" w:type="dxa"/>
                <w:vAlign w:val="center"/>
              </w:tcPr>
              <w:p w14:paraId="29603254">
                <w:pPr>
                  <w:kinsoku w:val="0"/>
                  <w:overflowPunct w:val="0"/>
                  <w:autoSpaceDE w:val="0"/>
                  <w:autoSpaceDN w:val="0"/>
                  <w:adjustRightInd w:val="0"/>
                  <w:snapToGrid w:val="0"/>
                  <w:jc w:val="center"/>
                  <w:rPr>
                    <w:rFonts w:ascii="Calibri" w:hAnsi="Calibri"/>
                    <w:sz w:val="20"/>
                    <w:szCs w:val="20"/>
                  </w:rPr>
                </w:pPr>
                <w:r>
                  <w:rPr>
                    <w:rFonts w:ascii="Calibri" w:hAnsi="Calibri"/>
                    <w:sz w:val="20"/>
                    <w:szCs w:val="20"/>
                  </w:rPr>
                  <w:t>净利润</w:t>
                </w:r>
              </w:p>
            </w:tc>
          </w:sdtContent>
        </w:sdt>
      </w:tr>
      <w:tr w14:paraId="4A1F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802" w:hRule="atLeast"/>
        </w:trPr>
        <w:tc>
          <w:tcPr>
            <w:tcW w:w="1418" w:type="dxa"/>
            <w:vAlign w:val="center"/>
          </w:tcPr>
          <w:p w14:paraId="25AE578C">
            <w:pPr>
              <w:kinsoku w:val="0"/>
              <w:overflowPunct w:val="0"/>
              <w:autoSpaceDE w:val="0"/>
              <w:autoSpaceDN w:val="0"/>
              <w:adjustRightInd w:val="0"/>
              <w:snapToGrid w:val="0"/>
              <w:jc w:val="both"/>
              <w:rPr>
                <w:rFonts w:ascii="Calibri" w:hAnsi="Calibri"/>
                <w:sz w:val="20"/>
                <w:szCs w:val="20"/>
              </w:rPr>
            </w:pPr>
            <w:r>
              <w:rPr>
                <w:rFonts w:ascii="Calibri" w:hAnsi="Calibri"/>
                <w:sz w:val="20"/>
                <w:szCs w:val="20"/>
              </w:rPr>
              <w:t>厦门特宝生物工程股份有限公司</w:t>
            </w:r>
          </w:p>
        </w:tc>
        <w:sdt>
          <w:sdtPr>
            <w:rPr>
              <w:rFonts w:hint="eastAsia" w:ascii="Calibri" w:hAnsi="Calibri"/>
              <w:sz w:val="20"/>
              <w:szCs w:val="20"/>
            </w:rPr>
            <w:alias w:val="主要控股参股公司分析明细_公司类型"/>
            <w:tag w:val="_GBC_9e936313969142599bc0a5fab0441112"/>
            <w:id w:val="1012184330"/>
            <w:comboBox>
              <w:listItem w:displayText="子公司" w:value="子公司"/>
              <w:listItem w:displayText="参股公司" w:value="参股公司"/>
            </w:comboBox>
          </w:sdtPr>
          <w:sdtEndPr>
            <w:rPr>
              <w:rFonts w:hint="eastAsia" w:ascii="Calibri" w:hAnsi="Calibri"/>
              <w:sz w:val="20"/>
              <w:szCs w:val="20"/>
            </w:rPr>
          </w:sdtEndPr>
          <w:sdtContent>
            <w:tc>
              <w:tcPr>
                <w:tcW w:w="594" w:type="dxa"/>
                <w:vAlign w:val="center"/>
              </w:tcPr>
              <w:p w14:paraId="5ABF4D2C">
                <w:pPr>
                  <w:kinsoku w:val="0"/>
                  <w:overflowPunct w:val="0"/>
                  <w:autoSpaceDE w:val="0"/>
                  <w:autoSpaceDN w:val="0"/>
                  <w:adjustRightInd w:val="0"/>
                  <w:snapToGrid w:val="0"/>
                  <w:jc w:val="center"/>
                  <w:rPr>
                    <w:rFonts w:ascii="Calibri" w:hAnsi="Calibri"/>
                    <w:sz w:val="20"/>
                    <w:szCs w:val="20"/>
                  </w:rPr>
                </w:pPr>
                <w:r>
                  <w:rPr>
                    <w:rFonts w:hint="eastAsia" w:ascii="Calibri" w:hAnsi="Calibri"/>
                    <w:sz w:val="20"/>
                    <w:szCs w:val="20"/>
                  </w:rPr>
                  <w:t>参股公司</w:t>
                </w:r>
              </w:p>
            </w:tc>
          </w:sdtContent>
        </w:sdt>
        <w:tc>
          <w:tcPr>
            <w:tcW w:w="1744" w:type="dxa"/>
            <w:vAlign w:val="center"/>
          </w:tcPr>
          <w:p w14:paraId="14EC42BA">
            <w:pPr>
              <w:kinsoku w:val="0"/>
              <w:overflowPunct w:val="0"/>
              <w:autoSpaceDE w:val="0"/>
              <w:autoSpaceDN w:val="0"/>
              <w:adjustRightInd w:val="0"/>
              <w:snapToGrid w:val="0"/>
              <w:jc w:val="both"/>
              <w:rPr>
                <w:rFonts w:ascii="Calibri" w:hAnsi="Calibri"/>
                <w:sz w:val="20"/>
                <w:szCs w:val="20"/>
              </w:rPr>
            </w:pPr>
            <w:r>
              <w:rPr>
                <w:rFonts w:ascii="Calibri" w:hAnsi="Calibri"/>
                <w:sz w:val="20"/>
                <w:szCs w:val="20"/>
              </w:rPr>
              <w:t>生物药品制造、生物技术推广服务、经营各类商品和技术的进出口</w:t>
            </w:r>
          </w:p>
        </w:tc>
        <w:tc>
          <w:tcPr>
            <w:tcW w:w="1034" w:type="dxa"/>
            <w:vAlign w:val="center"/>
          </w:tcPr>
          <w:p w14:paraId="3F2D7881">
            <w:pPr>
              <w:kinsoku w:val="0"/>
              <w:overflowPunct w:val="0"/>
              <w:autoSpaceDE w:val="0"/>
              <w:autoSpaceDN w:val="0"/>
              <w:adjustRightInd w:val="0"/>
              <w:snapToGrid w:val="0"/>
              <w:jc w:val="right"/>
              <w:rPr>
                <w:rFonts w:ascii="Calibri" w:hAnsi="Calibri"/>
                <w:sz w:val="20"/>
                <w:szCs w:val="20"/>
              </w:rPr>
            </w:pPr>
            <w:r>
              <w:rPr>
                <w:rFonts w:ascii="Calibri" w:hAnsi="Calibri"/>
                <w:sz w:val="20"/>
                <w:szCs w:val="20"/>
              </w:rPr>
              <w:t xml:space="preserve">40,818.948 </w:t>
            </w:r>
          </w:p>
        </w:tc>
        <w:tc>
          <w:tcPr>
            <w:tcW w:w="1034" w:type="dxa"/>
            <w:vAlign w:val="center"/>
          </w:tcPr>
          <w:p w14:paraId="44A8C96A">
            <w:pPr>
              <w:kinsoku w:val="0"/>
              <w:overflowPunct w:val="0"/>
              <w:autoSpaceDE w:val="0"/>
              <w:autoSpaceDN w:val="0"/>
              <w:adjustRightInd w:val="0"/>
              <w:snapToGrid w:val="0"/>
              <w:jc w:val="right"/>
              <w:rPr>
                <w:rFonts w:ascii="Calibri" w:hAnsi="Calibri"/>
                <w:sz w:val="20"/>
                <w:szCs w:val="20"/>
              </w:rPr>
            </w:pPr>
            <w:r>
              <w:rPr>
                <w:rFonts w:ascii="Calibri" w:hAnsi="Calibri"/>
                <w:sz w:val="20"/>
                <w:szCs w:val="20"/>
              </w:rPr>
              <w:t>437,352.06</w:t>
            </w:r>
          </w:p>
        </w:tc>
        <w:tc>
          <w:tcPr>
            <w:tcW w:w="1034" w:type="dxa"/>
            <w:vAlign w:val="center"/>
          </w:tcPr>
          <w:p w14:paraId="57ECF4C7">
            <w:pPr>
              <w:kinsoku w:val="0"/>
              <w:overflowPunct w:val="0"/>
              <w:autoSpaceDE w:val="0"/>
              <w:autoSpaceDN w:val="0"/>
              <w:adjustRightInd w:val="0"/>
              <w:snapToGrid w:val="0"/>
              <w:jc w:val="right"/>
              <w:rPr>
                <w:rFonts w:ascii="Calibri" w:hAnsi="Calibri"/>
                <w:sz w:val="20"/>
                <w:szCs w:val="20"/>
              </w:rPr>
            </w:pPr>
            <w:r>
              <w:rPr>
                <w:rFonts w:ascii="Calibri" w:hAnsi="Calibri"/>
                <w:sz w:val="20"/>
                <w:szCs w:val="20"/>
              </w:rPr>
              <w:t>344,957.87</w:t>
            </w:r>
          </w:p>
        </w:tc>
        <w:tc>
          <w:tcPr>
            <w:tcW w:w="1034" w:type="dxa"/>
            <w:vAlign w:val="center"/>
          </w:tcPr>
          <w:p w14:paraId="3C002CBC">
            <w:pPr>
              <w:kinsoku w:val="0"/>
              <w:overflowPunct w:val="0"/>
              <w:autoSpaceDE w:val="0"/>
              <w:autoSpaceDN w:val="0"/>
              <w:adjustRightInd w:val="0"/>
              <w:snapToGrid w:val="0"/>
              <w:jc w:val="right"/>
              <w:rPr>
                <w:rFonts w:ascii="Calibri" w:hAnsi="Calibri"/>
                <w:sz w:val="20"/>
                <w:szCs w:val="20"/>
              </w:rPr>
            </w:pPr>
            <w:r>
              <w:rPr>
                <w:rFonts w:ascii="Calibri" w:hAnsi="Calibri"/>
                <w:sz w:val="20"/>
                <w:szCs w:val="20"/>
              </w:rPr>
              <w:t>369,556.79</w:t>
            </w:r>
          </w:p>
        </w:tc>
        <w:tc>
          <w:tcPr>
            <w:tcW w:w="1032" w:type="dxa"/>
            <w:vAlign w:val="center"/>
          </w:tcPr>
          <w:p w14:paraId="4FD307F0">
            <w:pPr>
              <w:kinsoku w:val="0"/>
              <w:overflowPunct w:val="0"/>
              <w:autoSpaceDE w:val="0"/>
              <w:autoSpaceDN w:val="0"/>
              <w:adjustRightInd w:val="0"/>
              <w:snapToGrid w:val="0"/>
              <w:jc w:val="right"/>
              <w:rPr>
                <w:rFonts w:ascii="Calibri" w:hAnsi="Calibri"/>
                <w:sz w:val="20"/>
                <w:szCs w:val="20"/>
              </w:rPr>
            </w:pPr>
            <w:r>
              <w:rPr>
                <w:rFonts w:ascii="Calibri" w:hAnsi="Calibri"/>
                <w:sz w:val="20"/>
                <w:szCs w:val="20"/>
              </w:rPr>
              <w:t>125,064.30</w:t>
            </w:r>
          </w:p>
        </w:tc>
        <w:tc>
          <w:tcPr>
            <w:tcW w:w="1102" w:type="dxa"/>
            <w:vAlign w:val="center"/>
          </w:tcPr>
          <w:p w14:paraId="2C0E4E03">
            <w:pPr>
              <w:kinsoku w:val="0"/>
              <w:overflowPunct w:val="0"/>
              <w:autoSpaceDE w:val="0"/>
              <w:autoSpaceDN w:val="0"/>
              <w:adjustRightInd w:val="0"/>
              <w:snapToGrid w:val="0"/>
              <w:jc w:val="right"/>
              <w:rPr>
                <w:rFonts w:ascii="Calibri" w:hAnsi="Calibri"/>
                <w:sz w:val="20"/>
                <w:szCs w:val="20"/>
              </w:rPr>
            </w:pPr>
            <w:r>
              <w:rPr>
                <w:rFonts w:ascii="Calibri" w:hAnsi="Calibri"/>
                <w:sz w:val="20"/>
                <w:szCs w:val="20"/>
              </w:rPr>
              <w:t>103,123.63</w:t>
            </w:r>
          </w:p>
        </w:tc>
      </w:tr>
    </w:tbl>
    <w:p w14:paraId="7542E47A">
      <w:pPr>
        <w:pStyle w:val="48"/>
        <w:sectPr>
          <w:pgSz w:w="11906" w:h="16838"/>
          <w:pgMar w:top="1525" w:right="1276" w:bottom="1440" w:left="1797" w:header="855" w:footer="992" w:gutter="0"/>
          <w:cols w:space="425" w:num="1"/>
          <w:docGrid w:linePitch="312" w:charSpace="0"/>
        </w:sectPr>
      </w:pPr>
    </w:p>
    <w:p w14:paraId="63FF3FAB">
      <w:pPr>
        <w:pStyle w:val="48"/>
      </w:pPr>
    </w:p>
    <w:p w14:paraId="40CA4127">
      <w:pPr>
        <w:pStyle w:val="48"/>
      </w:pPr>
      <w:r>
        <w:rPr>
          <w:rFonts w:hint="eastAsia"/>
        </w:rPr>
        <w:t>报告期内取得和处置子公司的情况</w:t>
      </w:r>
    </w:p>
    <w:sdt>
      <w:sdtPr>
        <w:rPr>
          <w:rFonts w:hint="eastAsia"/>
          <w:color w:val="000000"/>
        </w:rPr>
        <w:alias w:val="是否适用：报告期内取得和处置子公司的情况[双击切换]"/>
        <w:tag w:val="_GBC_8383e40750d74718b38f01647f22c9e6"/>
        <w:id w:val="1980263038"/>
        <w:placeholder>
          <w:docPart w:val="GBC22222222222222222222222222222"/>
        </w:placeholder>
      </w:sdtPr>
      <w:sdtEndPr>
        <w:rPr>
          <w:rFonts w:hint="eastAsia"/>
          <w:color w:val="000000"/>
        </w:rPr>
      </w:sdtEndPr>
      <w:sdtContent>
        <w:p w14:paraId="09F33C7B">
          <w:pPr>
            <w:rPr>
              <w:color w:val="000000"/>
            </w:rPr>
          </w:pPr>
          <w:r>
            <w:rPr>
              <w:rFonts w:hint="eastAsia" w:ascii="宋体" w:hAnsi="宋体"/>
              <w:color w:val="000000"/>
            </w:rPr>
            <w:fldChar w:fldCharType="begin"/>
          </w:r>
          <w:r>
            <w:rPr>
              <w:rFonts w:ascii="宋体" w:hAnsi="宋体"/>
              <w:color w:val="000000"/>
            </w:rPr>
            <w:instrText xml:space="preserve"> MACROBUTTON  SnrToggleCheckbox √适用 </w:instrText>
          </w:r>
          <w:r>
            <w:rPr>
              <w:rFonts w:hint="eastAsia" w:ascii="宋体" w:hAnsi="宋体"/>
              <w:color w:val="000000"/>
            </w:rPr>
            <w:fldChar w:fldCharType="end"/>
          </w:r>
          <w:r>
            <w:rPr>
              <w:rFonts w:hint="eastAsia" w:ascii="宋体" w:hAnsi="宋体"/>
              <w:color w:val="000000"/>
            </w:rPr>
            <w:fldChar w:fldCharType="begin"/>
          </w:r>
          <w:r>
            <w:rPr>
              <w:rFonts w:ascii="宋体" w:hAnsi="宋体"/>
              <w:color w:val="000000"/>
            </w:rPr>
            <w:instrText xml:space="preserve"> MACROBUTTON  SnrToggleCheckbox □不适用 </w:instrText>
          </w:r>
          <w:r>
            <w:rPr>
              <w:rFonts w:hint="eastAsia" w:ascii="宋体" w:hAnsi="宋体"/>
              <w:color w:val="000000"/>
            </w:rPr>
            <w:fldChar w:fldCharType="end"/>
          </w:r>
        </w:p>
      </w:sdtContent>
    </w:sdt>
    <w:tbl>
      <w:tblPr>
        <w:tblStyle w:val="19"/>
        <w:tblW w:w="139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4578"/>
        <w:gridCol w:w="4826"/>
        <w:gridCol w:w="4528"/>
      </w:tblGrid>
      <w:tr w14:paraId="3DA7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2d034ed94ce04d9eb110d2aff1c94fd4"/>
            <w:id w:val="-421727792"/>
          </w:sdtPr>
          <w:sdtContent>
            <w:tc>
              <w:tcPr>
                <w:tcW w:w="4578" w:type="dxa"/>
                <w:vAlign w:val="center"/>
              </w:tcPr>
              <w:p w14:paraId="7E064693">
                <w:pPr>
                  <w:kinsoku w:val="0"/>
                  <w:overflowPunct w:val="0"/>
                  <w:autoSpaceDE w:val="0"/>
                  <w:autoSpaceDN w:val="0"/>
                  <w:adjustRightInd w:val="0"/>
                  <w:snapToGrid w:val="0"/>
                  <w:jc w:val="center"/>
                </w:pPr>
                <w:r>
                  <w:t>公司名称</w:t>
                </w:r>
              </w:p>
            </w:tc>
          </w:sdtContent>
        </w:sdt>
        <w:sdt>
          <w:sdtPr>
            <w:tag w:val="_PLD_849498aa2cf54d3a9966096634347592"/>
            <w:id w:val="708837279"/>
          </w:sdtPr>
          <w:sdtContent>
            <w:tc>
              <w:tcPr>
                <w:tcW w:w="4826" w:type="dxa"/>
                <w:vAlign w:val="center"/>
              </w:tcPr>
              <w:p w14:paraId="316B08F5">
                <w:pPr>
                  <w:kinsoku w:val="0"/>
                  <w:overflowPunct w:val="0"/>
                  <w:autoSpaceDE w:val="0"/>
                  <w:autoSpaceDN w:val="0"/>
                  <w:adjustRightInd w:val="0"/>
                  <w:snapToGrid w:val="0"/>
                  <w:jc w:val="center"/>
                </w:pPr>
                <w:r>
                  <w:t>报告期内取得和处置子公司方式</w:t>
                </w:r>
              </w:p>
            </w:tc>
          </w:sdtContent>
        </w:sdt>
        <w:sdt>
          <w:sdtPr>
            <w:tag w:val="_PLD_a616762339ba4d9794a4fc9a395e6c92"/>
            <w:id w:val="-364218605"/>
          </w:sdtPr>
          <w:sdtContent>
            <w:tc>
              <w:tcPr>
                <w:tcW w:w="4528" w:type="dxa"/>
                <w:vAlign w:val="center"/>
              </w:tcPr>
              <w:p w14:paraId="23DA175B">
                <w:pPr>
                  <w:kinsoku w:val="0"/>
                  <w:overflowPunct w:val="0"/>
                  <w:autoSpaceDE w:val="0"/>
                  <w:autoSpaceDN w:val="0"/>
                  <w:adjustRightInd w:val="0"/>
                  <w:snapToGrid w:val="0"/>
                  <w:jc w:val="center"/>
                  <w:rPr>
                    <w:highlight w:val="cyan"/>
                  </w:rPr>
                </w:pPr>
                <w:r>
                  <w:t>对整体生产经营和业绩的影响</w:t>
                </w:r>
              </w:p>
            </w:tc>
          </w:sdtContent>
        </w:sdt>
      </w:tr>
      <w:tr w14:paraId="67F9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4578" w:type="dxa"/>
            <w:vAlign w:val="center"/>
          </w:tcPr>
          <w:p w14:paraId="56AF6456">
            <w:pPr>
              <w:kinsoku w:val="0"/>
              <w:overflowPunct w:val="0"/>
              <w:autoSpaceDE w:val="0"/>
              <w:autoSpaceDN w:val="0"/>
              <w:adjustRightInd w:val="0"/>
              <w:snapToGrid w:val="0"/>
            </w:pPr>
            <w:r>
              <w:rPr>
                <w:rFonts w:hint="eastAsia"/>
              </w:rPr>
              <w:t>东宝进出口贸易（海南）有限公司</w:t>
            </w:r>
          </w:p>
        </w:tc>
        <w:tc>
          <w:tcPr>
            <w:tcW w:w="4826" w:type="dxa"/>
            <w:vAlign w:val="center"/>
          </w:tcPr>
          <w:p w14:paraId="74AFE5D2">
            <w:pPr>
              <w:kinsoku w:val="0"/>
              <w:overflowPunct w:val="0"/>
              <w:autoSpaceDE w:val="0"/>
              <w:autoSpaceDN w:val="0"/>
              <w:adjustRightInd w:val="0"/>
              <w:snapToGrid w:val="0"/>
            </w:pPr>
            <w:r>
              <w:rPr>
                <w:rFonts w:hint="eastAsia"/>
              </w:rPr>
              <w:t>同一控制下企业合并</w:t>
            </w:r>
          </w:p>
        </w:tc>
        <w:tc>
          <w:tcPr>
            <w:tcW w:w="4528" w:type="dxa"/>
            <w:vAlign w:val="center"/>
          </w:tcPr>
          <w:p w14:paraId="2C4611E6">
            <w:pPr>
              <w:kinsoku w:val="0"/>
              <w:overflowPunct w:val="0"/>
              <w:autoSpaceDE w:val="0"/>
              <w:autoSpaceDN w:val="0"/>
              <w:adjustRightInd w:val="0"/>
              <w:snapToGrid w:val="0"/>
            </w:pPr>
            <w:r>
              <w:rPr>
                <w:rFonts w:hint="eastAsia"/>
              </w:rPr>
              <w:t>对本公司经营业绩不构成重大影响</w:t>
            </w:r>
          </w:p>
        </w:tc>
      </w:tr>
    </w:tbl>
    <w:p w14:paraId="3B7B4420"/>
    <w:p w14:paraId="4493532B">
      <w:pPr>
        <w:pStyle w:val="48"/>
      </w:pPr>
    </w:p>
    <w:p w14:paraId="335B38F5">
      <w:pPr>
        <w:pStyle w:val="48"/>
      </w:pPr>
      <w:r>
        <w:rPr>
          <w:rFonts w:hint="eastAsia"/>
        </w:rPr>
        <w:t>其他说明</w:t>
      </w:r>
    </w:p>
    <w:sdt>
      <w:sdtPr>
        <w:rPr>
          <w:rFonts w:hint="eastAsia"/>
          <w:color w:val="000000"/>
        </w:rPr>
        <w:alias w:val="是否适用：主要控股参股公司分析其他说明[双击切换]"/>
        <w:tag w:val="_GBC_c4a3529b582540698fd8e7e129c87fbc"/>
        <w:id w:val="-1247349375"/>
        <w:placeholder>
          <w:docPart w:val="GBC22222222222222222222222222222"/>
        </w:placeholder>
      </w:sdtPr>
      <w:sdtEndPr>
        <w:rPr>
          <w:rFonts w:hint="eastAsia"/>
          <w:color w:val="000000"/>
        </w:rPr>
      </w:sdtEndPr>
      <w:sdtContent>
        <w:p w14:paraId="591A6344">
          <w:pPr>
            <w:rPr>
              <w:color w:val="000000" w:themeColor="text1"/>
              <w14:textFill>
                <w14:solidFill>
                  <w14:schemeClr w14:val="tx1"/>
                </w14:solidFill>
              </w14:textFill>
            </w:rPr>
          </w:pPr>
          <w:r>
            <w:rPr>
              <w:rFonts w:hint="eastAsia" w:ascii="宋体" w:hAnsi="宋体"/>
              <w:color w:val="000000"/>
            </w:rPr>
            <w:fldChar w:fldCharType="begin"/>
          </w:r>
          <w:r>
            <w:rPr>
              <w:rFonts w:ascii="宋体" w:hAnsi="宋体"/>
              <w:color w:val="000000"/>
            </w:rPr>
            <w:instrText xml:space="preserve"> MACROBUTTON  SnrToggleCheckbox □适用 </w:instrText>
          </w:r>
          <w:r>
            <w:rPr>
              <w:rFonts w:hint="eastAsia" w:ascii="宋体" w:hAnsi="宋体"/>
              <w:color w:val="000000"/>
            </w:rPr>
            <w:fldChar w:fldCharType="end"/>
          </w:r>
          <w:r>
            <w:rPr>
              <w:rFonts w:hint="eastAsia" w:ascii="宋体" w:hAnsi="宋体"/>
              <w:color w:val="000000"/>
            </w:rPr>
            <w:fldChar w:fldCharType="begin"/>
          </w:r>
          <w:r>
            <w:rPr>
              <w:rFonts w:ascii="宋体" w:hAnsi="宋体"/>
              <w:color w:val="000000"/>
            </w:rPr>
            <w:instrText xml:space="preserve"> MACROBUTTON  SnrToggleCheckbox √不适用 </w:instrText>
          </w:r>
          <w:r>
            <w:rPr>
              <w:rFonts w:hint="eastAsia" w:ascii="宋体" w:hAnsi="宋体"/>
              <w:color w:val="000000"/>
            </w:rPr>
            <w:fldChar w:fldCharType="end"/>
          </w:r>
        </w:p>
      </w:sdtContent>
    </w:sdt>
    <w:p w14:paraId="4E0E7E48">
      <w:pPr>
        <w:rPr>
          <w:color w:val="000000" w:themeColor="text1"/>
          <w14:textFill>
            <w14:solidFill>
              <w14:schemeClr w14:val="tx1"/>
            </w14:solidFill>
          </w14:textFill>
        </w:rPr>
      </w:pPr>
    </w:p>
    <w:bookmarkEnd w:id="90"/>
    <w:bookmarkEnd w:id="91"/>
    <w:p w14:paraId="05DD81C2">
      <w:pPr>
        <w:pStyle w:val="4"/>
        <w:numPr>
          <w:ilvl w:val="0"/>
          <w:numId w:val="8"/>
        </w:numPr>
        <w:ind w:left="0" w:firstLine="0"/>
        <w:rPr>
          <w:szCs w:val="21"/>
        </w:rPr>
      </w:pPr>
      <w:r>
        <w:rPr>
          <w:rFonts w:hint="eastAsia"/>
          <w:szCs w:val="21"/>
        </w:rPr>
        <w:t>公司控制的结构化主体情况</w:t>
      </w:r>
    </w:p>
    <w:sdt>
      <w:sdtPr>
        <w:rPr>
          <w:rFonts w:hint="eastAsia"/>
        </w:rPr>
        <w:alias w:val="是否适用：公司控制的结构化主体情况[双击切换]"/>
        <w:tag w:val="_GBC_844e5a5ece8c488e933f7fbfd0650339"/>
        <w:id w:val="-1274322483"/>
        <w:placeholder>
          <w:docPart w:val="GBC22222222222222222222222222222"/>
        </w:placeholder>
      </w:sdtPr>
      <w:sdtEndPr>
        <w:rPr>
          <w:rFonts w:hint="eastAsia"/>
        </w:rPr>
      </w:sdtEndPr>
      <w:sdtContent>
        <w:p w14:paraId="2BB63FC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CE91B3F">
      <w:pPr>
        <w:pStyle w:val="48"/>
      </w:pPr>
    </w:p>
    <w:p w14:paraId="771C0EAE">
      <w:pPr>
        <w:sectPr>
          <w:pgSz w:w="16838" w:h="11906" w:orient="landscape"/>
          <w:pgMar w:top="1797" w:right="1525" w:bottom="1276" w:left="1440" w:header="855" w:footer="992" w:gutter="0"/>
          <w:cols w:space="425" w:num="1"/>
          <w:docGrid w:linePitch="312" w:charSpace="0"/>
        </w:sectPr>
      </w:pPr>
    </w:p>
    <w:p w14:paraId="47F86005">
      <w:pPr>
        <w:pStyle w:val="3"/>
        <w:numPr>
          <w:ilvl w:val="0"/>
          <w:numId w:val="7"/>
        </w:numPr>
        <w:ind w:left="369" w:hanging="369" w:hangingChars="175"/>
      </w:pPr>
      <w:r>
        <w:rPr>
          <w:rFonts w:hint="eastAsia"/>
        </w:rPr>
        <w:t>公司</w:t>
      </w:r>
      <w:r>
        <w:t>关于公司未来发展的讨论与分析</w:t>
      </w:r>
    </w:p>
    <w:p w14:paraId="013F27DB">
      <w:pPr>
        <w:pStyle w:val="4"/>
        <w:numPr>
          <w:ilvl w:val="3"/>
          <w:numId w:val="19"/>
        </w:numPr>
        <w:rPr>
          <w:szCs w:val="21"/>
        </w:rPr>
      </w:pPr>
      <w:r>
        <w:rPr>
          <w:szCs w:val="21"/>
        </w:rPr>
        <w:t>行业格局和趋势</w:t>
      </w:r>
    </w:p>
    <w:sdt>
      <w:sdtPr>
        <w:rPr>
          <w:rFonts w:hint="eastAsia"/>
        </w:rPr>
        <w:alias w:val="是否适用：行业格局和趋势[双击切换]"/>
        <w:tag w:val="_GBC_da53e2a4423f4116b5d03ba76b630af9"/>
        <w:id w:val="1051577981"/>
        <w:placeholder>
          <w:docPart w:val="GBC22222222222222222222222222222"/>
        </w:placeholder>
      </w:sdtPr>
      <w:sdtEndPr>
        <w:rPr>
          <w:rFonts w:hint="eastAsia"/>
        </w:rPr>
      </w:sdtEndPr>
      <w:sdtContent>
        <w:p w14:paraId="3C8BBF7A">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行业竞争格局和发展趋势"/>
        <w:tag w:val="_GBC_c38788dc300c4c4592543c5db64e9308"/>
        <w:id w:val="1347983408"/>
        <w:placeholder>
          <w:docPart w:val="GBC22222222222222222222222222222"/>
        </w:placeholder>
      </w:sdtPr>
      <w:sdtEndPr>
        <w:rPr>
          <w:rFonts w:hint="eastAsia"/>
        </w:rPr>
      </w:sdtEndPr>
      <w:sdtContent>
        <w:sdt>
          <w:sdtPr>
            <w:rPr>
              <w:rFonts w:hint="eastAsia" w:ascii="Calibri" w:hAnsi="Calibri"/>
              <w:kern w:val="2"/>
            </w:rPr>
            <w:alias w:val="行业竞争格局和发展趋势"/>
            <w:tag w:val="_GBC_c38788dc300c4c4592543c5db64e9308"/>
            <w:id w:val="-195005855"/>
          </w:sdtPr>
          <w:sdtEndPr>
            <w:rPr>
              <w:rFonts w:hint="eastAsia" w:ascii="Calibri" w:hAnsi="Calibri"/>
              <w:kern w:val="2"/>
            </w:rPr>
          </w:sdtEndPr>
          <w:sdtContent>
            <w:p w14:paraId="7E0AF905">
              <w:pPr>
                <w:spacing w:line="360" w:lineRule="auto"/>
                <w:ind w:firstLine="420" w:firstLineChars="200"/>
                <w:jc w:val="both"/>
                <w:rPr>
                  <w:rFonts w:ascii="Calibri" w:hAnsi="Calibri"/>
                  <w:kern w:val="2"/>
                </w:rPr>
              </w:pPr>
              <w:r>
                <w:rPr>
                  <w:rFonts w:ascii="Calibri" w:hAnsi="Calibri"/>
                  <w:kern w:val="2"/>
                </w:rPr>
                <w:t>1、</w:t>
              </w:r>
              <w:r>
                <w:rPr>
                  <w:rFonts w:hint="eastAsia" w:ascii="Calibri" w:hAnsi="Calibri"/>
                  <w:kern w:val="2"/>
                </w:rPr>
                <w:t>医药工业是关系国计民生、经济发展和国家安全的战略性产业，是健康中国建设的重要基础。</w:t>
              </w:r>
              <w:r>
                <w:rPr>
                  <w:rFonts w:ascii="Calibri" w:hAnsi="Calibri"/>
                  <w:kern w:val="2"/>
                </w:rPr>
                <w:t>近年来在医保支付改革、带量采购、药品审评等一系列政策的宏观背景下，医药企业面临价格体系重构与营销模式变化的双重挑战。医药企业亟需转变经营思路，多措并举推动业务发展与降本增效，以适应不断变化的市场环境。随着医药卫生体制改革全面深化，医药企业在监管要求、市场竞争等方面将面对更多的压力和挑战。从医药研发、生产直至流通的整个产业链，各环节标准的提升和监管的强化，进一步抬高了医药行业的准入门槛，推动行业向更健康、更高质量的方向发展。</w:t>
              </w:r>
              <w:r>
                <w:rPr>
                  <w:rFonts w:hint="eastAsia" w:ascii="Calibri" w:hAnsi="Calibri"/>
                  <w:kern w:val="2"/>
                </w:rPr>
                <w:t>2026年政府工作报告将生物医药列入新兴支柱产业，继续提出健全基本医保参保长效机制，优化医药集采措施，推出商业健康保险创新药目录等多项目标，体现我国对发展医药产业、建设健康中国的高度重视，为医药行业的创新升级、可持续发展注入强劲动能。</w:t>
              </w:r>
            </w:p>
            <w:p w14:paraId="68B9E0D3">
              <w:pPr>
                <w:spacing w:line="360" w:lineRule="auto"/>
                <w:ind w:firstLine="420" w:firstLineChars="200"/>
                <w:jc w:val="both"/>
                <w:rPr>
                  <w:rFonts w:ascii="Calibri" w:hAnsi="Calibri"/>
                  <w:kern w:val="2"/>
                </w:rPr>
              </w:pPr>
              <w:r>
                <w:rPr>
                  <w:rFonts w:ascii="Calibri" w:hAnsi="Calibri"/>
                  <w:kern w:val="2"/>
                </w:rPr>
                <w:t>2、国家多部门出台多项政策，大力鼓励创新药物研发，积极引导我国创新医药产业加速发展。在国家政策的引导和新市场环境的共同作用下，医药企业进一步加大在创新领域的投入。未来，临床疗效显著、具备高壁垒和高附加值的创新药，以及通过一致性评价、临床价值突出的仿制药品，将在市场中占据更大份额，推动行业加速优胜劣汰和转型升级。当前，医药产业正朝着高端化、智能化和绿色化的方向快速发展，智能制造技术的深度应用和数字化转型进程的持续加速，正在重塑行业生态格局，创新驱动已成为产业升级的核心引擎。</w:t>
              </w:r>
            </w:p>
            <w:p w14:paraId="5E346DC7">
              <w:pPr>
                <w:spacing w:line="360" w:lineRule="auto"/>
                <w:ind w:firstLine="420" w:firstLineChars="200"/>
                <w:jc w:val="both"/>
                <w:rPr>
                  <w:rFonts w:ascii="Calibri" w:hAnsi="Calibri" w:cs="宋体"/>
                  <w:kern w:val="2"/>
                  <w:szCs w:val="24"/>
                </w:rPr>
              </w:pPr>
              <w:r>
                <w:rPr>
                  <w:rFonts w:ascii="Calibri" w:hAnsi="Calibri"/>
                  <w:kern w:val="2"/>
                </w:rPr>
                <w:t>3、随着社会经济的持续发展和人民生活水平的显著提高，我国人口的疾病谱系也发生了重大变化，已由传染性疾病为主转为以慢性病为主。尤其近十年来，伴随人口老龄化进程的加快及人们生活方式的变化，糖尿病、痛风、高血压高血脂、慢性肾病、心脑血管疾病、肿瘤等慢性病发病率不断攀升，相关治疗药物市场呈现出巨大的发展潜力，人们对慢性疾病治疗药物的需求和与之对应的市场空间也随之快速扩大，为医药企业带来了新的发展机遇。</w:t>
              </w:r>
            </w:p>
          </w:sdtContent>
        </w:sdt>
      </w:sdtContent>
    </w:sdt>
    <w:p w14:paraId="14CD5587">
      <w:pPr>
        <w:pStyle w:val="48"/>
      </w:pPr>
    </w:p>
    <w:p w14:paraId="6E45A53E">
      <w:pPr>
        <w:pStyle w:val="4"/>
        <w:numPr>
          <w:ilvl w:val="3"/>
          <w:numId w:val="19"/>
        </w:numPr>
        <w:rPr>
          <w:szCs w:val="21"/>
        </w:rPr>
      </w:pPr>
      <w:r>
        <w:rPr>
          <w:szCs w:val="21"/>
        </w:rPr>
        <w:t>公司发展战略</w:t>
      </w:r>
    </w:p>
    <w:sdt>
      <w:sdtPr>
        <w:rPr>
          <w:rFonts w:hint="eastAsia"/>
        </w:rPr>
        <w:alias w:val="是否适用：公司发展战略[双击切换]"/>
        <w:tag w:val="_GBC_5cdf4718a6044c1fbf76e22df729f9b7"/>
        <w:id w:val="-892738395"/>
        <w:placeholder>
          <w:docPart w:val="GBC22222222222222222222222222222"/>
        </w:placeholder>
      </w:sdtPr>
      <w:sdtEndPr>
        <w:rPr>
          <w:rFonts w:hint="eastAsia"/>
        </w:rPr>
      </w:sdtEndPr>
      <w:sdtContent>
        <w:p w14:paraId="37CE02A2">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发展战略"/>
        <w:tag w:val="_GBC_afe9ed534944441fae5223f90c2521f1"/>
        <w:id w:val="-896207380"/>
        <w:placeholder>
          <w:docPart w:val="GBC22222222222222222222222222222"/>
        </w:placeholder>
      </w:sdtPr>
      <w:sdtEndPr>
        <w:rPr>
          <w:rFonts w:hint="eastAsia"/>
        </w:rPr>
      </w:sdtEndPr>
      <w:sdtContent>
        <w:sdt>
          <w:sdtPr>
            <w:rPr>
              <w:rFonts w:ascii="宋体" w:hAnsi="宋体" w:cs="宋体"/>
              <w:sz w:val="24"/>
              <w:szCs w:val="24"/>
            </w:rPr>
            <w:alias w:val="公司发展战略"/>
            <w:tag w:val="_GBC_afe9ed534944441fae5223f90c2521f1"/>
            <w:id w:val="77418659"/>
          </w:sdtPr>
          <w:sdtEndPr>
            <w:rPr>
              <w:rFonts w:cs="宋体" w:asciiTheme="minorEastAsia" w:hAnsiTheme="minorEastAsia" w:eastAsiaTheme="minorEastAsia"/>
              <w:sz w:val="24"/>
              <w:szCs w:val="24"/>
            </w:rPr>
          </w:sdtEndPr>
          <w:sdtContent>
            <w:p w14:paraId="34FE35F6">
              <w:pPr>
                <w:spacing w:line="360" w:lineRule="auto"/>
                <w:ind w:firstLine="420" w:firstLineChars="200"/>
                <w:rPr>
                  <w:rFonts w:asciiTheme="minorEastAsia" w:hAnsiTheme="minorEastAsia" w:eastAsiaTheme="minorEastAsia"/>
                  <w:kern w:val="2"/>
                </w:rPr>
              </w:pPr>
              <w:r>
                <w:rPr>
                  <w:rFonts w:hint="eastAsia" w:asciiTheme="minorEastAsia" w:hAnsiTheme="minorEastAsia" w:eastAsiaTheme="minorEastAsia"/>
                  <w:kern w:val="2"/>
                </w:rPr>
                <w:t>公司将秉承“坚持自主创新，创造世界品牌”的发展理念，不断提高全球商业化能力与新药创新研发能力，为企业成为“内分泌领域创新医药研发的探索者和引领者”的愿景不懈奋斗。</w:t>
              </w:r>
            </w:p>
            <w:p w14:paraId="5FA8E46C">
              <w:pPr>
                <w:widowControl w:val="0"/>
                <w:spacing w:line="360" w:lineRule="auto"/>
                <w:ind w:firstLine="422" w:firstLineChars="200"/>
                <w:jc w:val="both"/>
                <w:rPr>
                  <w:rFonts w:asciiTheme="minorEastAsia" w:hAnsiTheme="minorEastAsia" w:eastAsiaTheme="minorEastAsia"/>
                  <w:kern w:val="2"/>
                </w:rPr>
              </w:pPr>
              <w:r>
                <w:rPr>
                  <w:rFonts w:hint="eastAsia" w:asciiTheme="minorEastAsia" w:hAnsiTheme="minorEastAsia" w:eastAsiaTheme="minorEastAsia"/>
                  <w:b/>
                  <w:bCs/>
                  <w:kern w:val="2"/>
                </w:rPr>
                <w:t>研发创新战略：</w:t>
              </w:r>
              <w:r>
                <w:rPr>
                  <w:rFonts w:hint="eastAsia" w:asciiTheme="minorEastAsia" w:hAnsiTheme="minorEastAsia" w:eastAsiaTheme="minorEastAsia"/>
                  <w:kern w:val="2"/>
                </w:rPr>
                <w:t>公司将继续加大研发投入，聚焦糖尿病及内分泌代谢疾病领域的前沿治疗技术，与国内外企业、科研机构合作开展前沿研究，引进高端人才壮大创新研发团队，提升创新实力，加快立项并推进创新药物的研发与上市。同时，通过“自主研发+对外合作”双轮驱动，拓宽疾病治疗领域，从糖尿病延伸至包括肥胖、代谢相关脂肪性肝炎(MASH)、痛风/高尿酸血症等更广阔的内分泌代谢疾病治疗领域。</w:t>
              </w:r>
            </w:p>
            <w:p w14:paraId="7557CD0F">
              <w:pPr>
                <w:widowControl w:val="0"/>
                <w:spacing w:line="360" w:lineRule="auto"/>
                <w:ind w:firstLine="422" w:firstLineChars="200"/>
                <w:jc w:val="both"/>
                <w:rPr>
                  <w:rFonts w:asciiTheme="minorEastAsia" w:hAnsiTheme="minorEastAsia" w:eastAsiaTheme="minorEastAsia"/>
                  <w:kern w:val="2"/>
                </w:rPr>
              </w:pPr>
              <w:r>
                <w:rPr>
                  <w:rFonts w:hint="eastAsia" w:asciiTheme="minorEastAsia" w:hAnsiTheme="minorEastAsia" w:eastAsiaTheme="minorEastAsia"/>
                  <w:b/>
                  <w:bCs/>
                  <w:kern w:val="2"/>
                </w:rPr>
                <w:t>国际化战略：</w:t>
              </w:r>
              <w:r>
                <w:rPr>
                  <w:rFonts w:hint="eastAsia" w:asciiTheme="minorEastAsia" w:hAnsiTheme="minorEastAsia" w:eastAsiaTheme="minorEastAsia"/>
                  <w:kern w:val="2"/>
                </w:rPr>
                <w:t>公司在持续出口原料药的同时，不断加大胰岛素制剂在海外的注册申报与销售。根据目标国家或地区的市场规模与潜力、医疗保障体系、用药需求和习惯等不同特点，量身定制了差异化的“出海”策略，通过原料药出口、原料药</w:t>
              </w:r>
              <w:r>
                <w:rPr>
                  <w:rFonts w:hint="eastAsia" w:cs="Calibri" w:asciiTheme="minorEastAsia" w:hAnsiTheme="minorEastAsia" w:eastAsiaTheme="minorEastAsia"/>
                  <w:kern w:val="2"/>
                </w:rPr>
                <w:t>+</w:t>
              </w:r>
              <w:r>
                <w:rPr>
                  <w:rFonts w:hint="eastAsia" w:asciiTheme="minorEastAsia" w:hAnsiTheme="minorEastAsia" w:eastAsiaTheme="minorEastAsia"/>
                  <w:kern w:val="2"/>
                </w:rPr>
                <w:t>技术转移、制剂出口等不同模式，有针对性的与具有丰富当地经验的合作伙伴共同开发市场，全面加快公司胰岛素系列产品、</w:t>
              </w:r>
              <w:r>
                <w:rPr>
                  <w:rFonts w:hint="eastAsia" w:cs="Calibri" w:asciiTheme="minorEastAsia" w:hAnsiTheme="minorEastAsia" w:eastAsiaTheme="minorEastAsia"/>
                  <w:kern w:val="2"/>
                </w:rPr>
                <w:t>GLP-1</w:t>
              </w:r>
              <w:r>
                <w:rPr>
                  <w:rFonts w:hint="eastAsia" w:asciiTheme="minorEastAsia" w:hAnsiTheme="minorEastAsia" w:eastAsiaTheme="minorEastAsia"/>
                  <w:kern w:val="2"/>
                </w:rPr>
                <w:t>类产品在欧美发达地区、东南亚、南美等广大发展中国家与地区的注册申报与商业化进程。</w:t>
              </w:r>
            </w:p>
            <w:p w14:paraId="05F3300A">
              <w:pPr>
                <w:widowControl w:val="0"/>
                <w:spacing w:line="360" w:lineRule="auto"/>
                <w:ind w:firstLine="422" w:firstLineChars="200"/>
                <w:jc w:val="both"/>
                <w:rPr>
                  <w:rFonts w:asciiTheme="minorEastAsia" w:hAnsiTheme="minorEastAsia" w:eastAsiaTheme="minorEastAsia"/>
                  <w:kern w:val="2"/>
                </w:rPr>
              </w:pPr>
              <w:r>
                <w:rPr>
                  <w:rFonts w:hint="eastAsia" w:asciiTheme="minorEastAsia" w:hAnsiTheme="minorEastAsia" w:eastAsiaTheme="minorEastAsia"/>
                  <w:b/>
                  <w:bCs/>
                  <w:kern w:val="2"/>
                </w:rPr>
                <w:t>国内市场战略：</w:t>
              </w:r>
              <w:r>
                <w:rPr>
                  <w:rFonts w:hint="eastAsia" w:asciiTheme="minorEastAsia" w:hAnsiTheme="minorEastAsia" w:eastAsiaTheme="minorEastAsia"/>
                  <w:kern w:val="2"/>
                </w:rPr>
                <w:t>营销团队将继续坚持深耕细作，发挥营销团队协同作战的优势，推进胰岛素系列产品、利拉鲁肽、恩格列净、磷酸西格列汀的销量提升。在学术推广上，以内分泌学科为基础，拓宽合作科室。在推广渠道上，巩固核心医院、地市级医院、县级医院、基层医院为主阵地的基础上，拓宽院外销售渠道和线上销售渠道，形成多渠道销售。引进新商业化产品，丰富产品线。实现公司业绩的持续增长。</w:t>
              </w:r>
            </w:p>
            <w:p w14:paraId="3C2C3371">
              <w:pPr>
                <w:widowControl w:val="0"/>
                <w:spacing w:line="360" w:lineRule="auto"/>
                <w:ind w:firstLine="422" w:firstLineChars="200"/>
                <w:jc w:val="both"/>
                <w:rPr>
                  <w:rFonts w:asciiTheme="minorEastAsia" w:hAnsiTheme="minorEastAsia" w:eastAsiaTheme="minorEastAsia"/>
                  <w:kern w:val="2"/>
                </w:rPr>
              </w:pPr>
              <w:r>
                <w:rPr>
                  <w:rFonts w:hint="eastAsia" w:asciiTheme="minorEastAsia" w:hAnsiTheme="minorEastAsia" w:eastAsiaTheme="minorEastAsia"/>
                  <w:b/>
                  <w:bCs/>
                  <w:kern w:val="2"/>
                </w:rPr>
                <w:t>精益生产战略：</w:t>
              </w:r>
              <w:r>
                <w:rPr>
                  <w:rFonts w:hint="eastAsia" w:asciiTheme="minorEastAsia" w:hAnsiTheme="minorEastAsia" w:eastAsiaTheme="minorEastAsia"/>
                  <w:kern w:val="2"/>
                </w:rPr>
                <w:t>随着产品体系的持续丰富以及产品出海的进程推进，公司前瞻性规划并扩大产能，严格对标国际顶尖的药品生产质量管理规范，建设未来新产品与海外市场生产线，系统推进生物药生产基地建设与升级。同时，公司将进一步推动精益管理与降本增效，提升生产效率与成本优势，并</w:t>
              </w:r>
              <w:r>
                <w:rPr>
                  <w:rFonts w:asciiTheme="minorEastAsia" w:hAnsiTheme="minorEastAsia" w:eastAsiaTheme="minorEastAsia"/>
                  <w:kern w:val="2"/>
                </w:rPr>
                <w:t>通过持续的技术创新与工艺改进，</w:t>
              </w:r>
              <w:r>
                <w:rPr>
                  <w:rFonts w:hint="eastAsia" w:asciiTheme="minorEastAsia" w:hAnsiTheme="minorEastAsia" w:eastAsiaTheme="minorEastAsia"/>
                  <w:kern w:val="2"/>
                </w:rPr>
                <w:t>不断提高产品质量以及市场竞争力。</w:t>
              </w:r>
            </w:p>
            <w:p w14:paraId="1BFD6EE2">
              <w:pPr>
                <w:spacing w:line="360" w:lineRule="auto"/>
                <w:ind w:firstLine="422" w:firstLineChars="200"/>
                <w:jc w:val="both"/>
                <w:rPr>
                  <w:rFonts w:cs="宋体" w:asciiTheme="minorEastAsia" w:hAnsiTheme="minorEastAsia" w:eastAsiaTheme="minorEastAsia"/>
                  <w:sz w:val="24"/>
                  <w:szCs w:val="24"/>
                </w:rPr>
              </w:pPr>
              <w:r>
                <w:rPr>
                  <w:rFonts w:hint="eastAsia" w:asciiTheme="minorEastAsia" w:hAnsiTheme="minorEastAsia" w:eastAsiaTheme="minorEastAsia"/>
                  <w:b/>
                  <w:bCs/>
                  <w:kern w:val="2"/>
                </w:rPr>
                <w:t>人才发展战略：</w:t>
              </w:r>
              <w:r>
                <w:rPr>
                  <w:rFonts w:hint="eastAsia" w:asciiTheme="minorEastAsia" w:hAnsiTheme="minorEastAsia" w:eastAsiaTheme="minorEastAsia"/>
                  <w:kern w:val="2"/>
                </w:rPr>
                <w:t>充足、优秀的人才供给是实现公司战略目标的重要基石。公司将持续强化人才团队建设与管理，通过制定具有竞争力的人才政策，广泛吸引研发、生产、销售、管理等领域的优秀人才，并加大招聘力度，重点引进创新药研发、生物制药生产与质量、市场开拓等关键领域的专业人才。 同时，公司将建立健全人才培养体系，为在职员工持续开展技能提升、管理能力等培训，并鼓励员工积极参与学术交流与行业学习。 此外，公司将进一步完善绩效考核与激励机制，持续增强员工的归属感与凝聚力。</w:t>
              </w:r>
            </w:p>
          </w:sdtContent>
        </w:sdt>
      </w:sdtContent>
    </w:sdt>
    <w:p w14:paraId="41E91CCC">
      <w:pPr>
        <w:pStyle w:val="4"/>
        <w:numPr>
          <w:ilvl w:val="3"/>
          <w:numId w:val="19"/>
        </w:numPr>
        <w:rPr>
          <w:szCs w:val="21"/>
        </w:rPr>
      </w:pPr>
      <w:r>
        <w:rPr>
          <w:szCs w:val="21"/>
        </w:rPr>
        <w:t>经营计划</w:t>
      </w:r>
    </w:p>
    <w:sdt>
      <w:sdtPr>
        <w:rPr>
          <w:rFonts w:hint="eastAsia"/>
        </w:rPr>
        <w:alias w:val="是否适用：经营计划[双击切换]"/>
        <w:tag w:val="_GBC_871dbf3fc5a0422cadcc3452003278de"/>
        <w:id w:val="-709498081"/>
        <w:placeholder>
          <w:docPart w:val="GBC22222222222222222222222222222"/>
        </w:placeholder>
      </w:sdtPr>
      <w:sdtEndPr>
        <w:rPr>
          <w:rFonts w:hint="eastAsia"/>
        </w:rPr>
      </w:sdtEndPr>
      <w:sdtContent>
        <w:p w14:paraId="0DCB7DD9">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经营计划"/>
        <w:tag w:val="_GBC_3f9bf7d7a36444cab37005d22ebc798c"/>
        <w:id w:val="1086199050"/>
        <w:placeholder>
          <w:docPart w:val="GBC22222222222222222222222222222"/>
        </w:placeholder>
      </w:sdtPr>
      <w:sdtEndPr>
        <w:rPr>
          <w:rFonts w:hint="eastAsia"/>
        </w:rPr>
      </w:sdtEndPr>
      <w:sdtContent>
        <w:sdt>
          <w:sdtPr>
            <w:rPr>
              <w:rFonts w:hint="eastAsia" w:ascii="Calibri" w:hAnsi="Calibri"/>
              <w:kern w:val="2"/>
            </w:rPr>
            <w:alias w:val="公司经营计划"/>
            <w:tag w:val="_GBC_3f9bf7d7a36444cab37005d22ebc798c"/>
            <w:id w:val="2118631585"/>
          </w:sdtPr>
          <w:sdtEndPr>
            <w:rPr>
              <w:rFonts w:hint="eastAsia" w:ascii="Calibri" w:hAnsi="Calibri"/>
              <w:kern w:val="2"/>
            </w:rPr>
          </w:sdtEndPr>
          <w:sdtContent>
            <w:p w14:paraId="1D5C6356">
              <w:pPr>
                <w:spacing w:line="360" w:lineRule="auto"/>
                <w:ind w:firstLine="420" w:firstLineChars="200"/>
                <w:jc w:val="both"/>
                <w:rPr>
                  <w:kern w:val="2"/>
                </w:rPr>
              </w:pPr>
              <w:r>
                <w:rPr>
                  <w:rFonts w:hint="eastAsia"/>
                  <w:kern w:val="2"/>
                </w:rPr>
                <w:t>202</w:t>
              </w:r>
              <w:r>
                <w:rPr>
                  <w:kern w:val="2"/>
                </w:rPr>
                <w:t>6</w:t>
              </w:r>
              <w:r>
                <w:rPr>
                  <w:rFonts w:hint="eastAsia"/>
                  <w:kern w:val="2"/>
                </w:rPr>
                <w:t>年，医药行业格局调整延续，胰岛素集采继续实施。面对日趋激烈的市场竞争，202</w:t>
              </w:r>
              <w:r>
                <w:rPr>
                  <w:kern w:val="2"/>
                </w:rPr>
                <w:t>6</w:t>
              </w:r>
              <w:r>
                <w:rPr>
                  <w:rFonts w:hint="eastAsia"/>
                  <w:kern w:val="2"/>
                </w:rPr>
                <w:t>年公司将按照董事会的战略部署，牢牢把握医药行业深度变革机遇，顺应产业格局变化趋势，继续秉承“坚持自主创新，创造世界品牌”的发展理念，围绕“提高全员素质、强化环境理念、实行数字管理，打造百年基业”的企业发展目标，创新经营模式，做精做强主业，传承升华企业精神，持续加大市场拓展、科研创新、品牌建设、持续提升抗风险能力，使企业步入新的发展时期。公司将重点继续围绕糖尿病领域药物、痛风/高尿酸血症领域药物进行产品开发和生产，加快成果转化步伐，同时不断深入调整营销机制，落实目标与责任，狠抓企业内部管理，提升公司经营业绩，确保公司高质量发展。</w:t>
              </w:r>
            </w:p>
            <w:p w14:paraId="5EE1B554">
              <w:pPr>
                <w:widowControl w:val="0"/>
                <w:spacing w:line="360" w:lineRule="auto"/>
                <w:ind w:firstLine="420" w:firstLineChars="200"/>
                <w:jc w:val="both"/>
                <w:rPr>
                  <w:kern w:val="2"/>
                </w:rPr>
              </w:pPr>
              <w:r>
                <w:rPr>
                  <w:rFonts w:hint="eastAsia"/>
                  <w:kern w:val="2"/>
                </w:rPr>
                <w:t>为实现上述目标，公司将着重做好以下几个方面的工作：</w:t>
              </w:r>
            </w:p>
            <w:p w14:paraId="5FF45045">
              <w:pPr>
                <w:widowControl w:val="0"/>
                <w:spacing w:line="360" w:lineRule="auto"/>
                <w:ind w:firstLine="420" w:firstLineChars="200"/>
                <w:jc w:val="both"/>
                <w:rPr>
                  <w:kern w:val="2"/>
                </w:rPr>
              </w:pPr>
              <w:r>
                <w:rPr>
                  <w:rFonts w:hint="eastAsia"/>
                  <w:kern w:val="2"/>
                </w:rPr>
                <w:t>1、销售方面，公司将持续关注国家相关行业政策及市场环境变化，根据公司不断丰富的产品体系与市场渠道，对各产品进行精准市场定位，制定针对性的产品与渠道推广方案。一方面，将进一步推动渠道的下沉，持续深耕基层市场，开发增量空间，通过继续在基层开展符合国家糖尿病分级诊疗政策的学术活动，在帮助提高基层医师诊疗水平的同时，提升基层患者对于糖尿病的知晓率，治疗率和控制率。另一方面，继续推进甘精胰岛素和门冬胰岛素的入院和放量工作，同时做好利拉鲁肽、恩格列净、磷酸西格列汀等新产品的市场销售和推广，加强市场细分和产品定位的培训，明确各规格产品的目标客户群体，扩大品牌知名度与影响力，通过加速产品的商业化，为公司业绩贡献强劲的增长动能。与此同时，公司将进一步完善售后服务体系，线下继续增加售后服务点数量，丰富服务内容，线上持续推进慢病平台建设与POCT项目开展，加强线上线下结合互补，进一步提高售后服务水平与患者满意度。</w:t>
              </w:r>
            </w:p>
            <w:p w14:paraId="71C98E78">
              <w:pPr>
                <w:widowControl w:val="0"/>
                <w:spacing w:line="360" w:lineRule="auto"/>
                <w:ind w:firstLine="420" w:firstLineChars="200"/>
                <w:jc w:val="both"/>
                <w:rPr>
                  <w:kern w:val="2"/>
                </w:rPr>
              </w:pPr>
              <w:r>
                <w:rPr>
                  <w:rFonts w:hint="eastAsia"/>
                  <w:kern w:val="2"/>
                </w:rPr>
                <w:t>2、研发方面，公司将继续对创新药领域的研发投入，坚定不移加速向创新型药企转型，以提高研发效率为核心，通过加强自主研发能力与增加外部合作并举的方式，丰富研发管线，提升公司研发水平；以新品研发中心为基础，不断优化创新研发体系，对标国际标准，自主探索和研发新靶点、新领域药物；发挥公司四大高端技术创新研发平台效能，加深加强与高校和科研院所的产、学、研、医交流合作，以未满足的临床需求为导向，更高效地推进研发进程；同时加快进行多品种海外注册，推进生产基地的欧盟和美国FDA符合性检查的工作，为拓展海外市场做好准备工作。</w:t>
              </w:r>
            </w:p>
            <w:p w14:paraId="7479EE01">
              <w:pPr>
                <w:widowControl w:val="0"/>
                <w:spacing w:line="360" w:lineRule="auto"/>
                <w:ind w:firstLine="420" w:firstLineChars="200"/>
                <w:jc w:val="both"/>
                <w:rPr>
                  <w:kern w:val="2"/>
                </w:rPr>
              </w:pPr>
              <w:r>
                <w:rPr>
                  <w:rFonts w:hint="eastAsia"/>
                  <w:kern w:val="2"/>
                </w:rPr>
                <w:t>3、国际化方面，全面推进产品出海战略，布局海外大市场，孕育新动力。随着公司管线的不断兑现与产品体系的日益丰富，公司将持续稳步推进人胰岛素、胰岛素类似物产品（甘精胰岛素、速效及预混型门冬胰岛素）以及GLP-1RA利拉鲁肽注射液在海外市场的注册等工作，并不断推进生产基地的欧盟和美国FDA符合性的工作。此外，公司数个拥有自主知识产权的一类创新药已经陆续进入临床试验阶段，随着这些创新药临床试验的推进以及分阶段到达主要试验终点，公司积极寻求海外合作伙伴，并与海外大型药企接洽，以期共同开拓广大的国际市场，加速产品出海进程，逐步推进公司国际化战略，打造公司第二增长曲线。</w:t>
              </w:r>
            </w:p>
            <w:p w14:paraId="250DD171">
              <w:pPr>
                <w:widowControl w:val="0"/>
                <w:spacing w:line="360" w:lineRule="auto"/>
                <w:ind w:firstLine="420" w:firstLineChars="200"/>
                <w:jc w:val="both"/>
                <w:rPr>
                  <w:kern w:val="2"/>
                </w:rPr>
              </w:pPr>
              <w:r>
                <w:rPr>
                  <w:rFonts w:hint="eastAsia"/>
                  <w:kern w:val="2"/>
                </w:rPr>
                <w:t>4、生产方面，公司将持续加强质量管控，继续提升产品品质与稳定性，通过科学排产，精益生产管理，实现降本增效；完善安全质量管理体系，将安全生产纳入企业年度经营目标和长期战略规划，加强质量安全培训，提高员工意识；继续加大环境保护投入，落实环保责任，实施环境保护项目的技改和提能升级工作；持续优化供应链管理，根据公司当前发展目标动态评估与选择优质供应商，确保生产供应的及时性与稳定性。</w:t>
              </w:r>
            </w:p>
            <w:p w14:paraId="18E06F29">
              <w:pPr>
                <w:widowControl w:val="0"/>
                <w:spacing w:line="360" w:lineRule="auto"/>
                <w:ind w:firstLine="420" w:firstLineChars="200"/>
                <w:jc w:val="both"/>
                <w:rPr>
                  <w:kern w:val="2"/>
                </w:rPr>
              </w:pPr>
              <w:r>
                <w:rPr>
                  <w:rFonts w:hint="eastAsia"/>
                  <w:kern w:val="2"/>
                </w:rPr>
                <w:t>5、运营管理方面，持续加强资金的计划和统筹管理体系，完善预算管理，优化资金配置，严格控制预算费用开支，提升公司核算及财务管理，助力公司精细化管理及降本增效。继续加强信息化建设，全面提升数字化水平。持续挖掘采购、生产、销售、财务、研发等各方面数据的价值，推动公司进一步精细化运营与管理，优化各流程环节，提升公司运营管理效率；同时将全面加强企业核心文化建设，激发员工的使命感，增强员工的归属感，提高公司整体的凝聚力和战斗力，在公司新的发展时期勠力同心，努力拼搏，共同实现通化东宝持续高质量发展。</w:t>
              </w:r>
            </w:p>
            <w:p w14:paraId="334C6156">
              <w:pPr>
                <w:widowControl w:val="0"/>
                <w:spacing w:line="360" w:lineRule="auto"/>
                <w:ind w:firstLine="482"/>
                <w:jc w:val="both"/>
                <w:rPr>
                  <w:rFonts w:ascii="Calibri" w:hAnsi="Calibri"/>
                  <w:kern w:val="2"/>
                </w:rPr>
              </w:pPr>
              <w:r>
                <w:rPr>
                  <w:rFonts w:hint="eastAsia"/>
                  <w:kern w:val="2"/>
                </w:rPr>
                <w:t>6、人力资源方面，公司将持续深化人力资源管理体系，紧密围绕战略目标推进组织变革与人员结构优化，系统布局人才培养、引进与激励。通过外部招聘吸纳市场化、专业化高端人才，优化团队构成；同时加强内部培训，提升员工专业能力与综合素质，为公司发展储备持续人才动力。此外，公司将完善绩效考核与激励体系，强化薪酬福利管理，充分激发员工积极性和创造力，实现公司利益与个人发展协同，提升整体运营效率。</w:t>
              </w:r>
            </w:p>
          </w:sdtContent>
        </w:sdt>
      </w:sdtContent>
    </w:sdt>
    <w:p w14:paraId="316838C7">
      <w:pPr>
        <w:pStyle w:val="48"/>
      </w:pPr>
    </w:p>
    <w:p w14:paraId="1ADEE33B">
      <w:pPr>
        <w:pStyle w:val="4"/>
        <w:numPr>
          <w:ilvl w:val="3"/>
          <w:numId w:val="19"/>
        </w:numPr>
        <w:rPr>
          <w:szCs w:val="21"/>
        </w:rPr>
      </w:pPr>
      <w:r>
        <w:rPr>
          <w:szCs w:val="21"/>
        </w:rPr>
        <w:t>可能面对的风险</w:t>
      </w:r>
    </w:p>
    <w:sdt>
      <w:sdtPr>
        <w:rPr>
          <w:rFonts w:hint="eastAsia"/>
        </w:rPr>
        <w:alias w:val="是否适用：可能面对的风险[双击切换]"/>
        <w:tag w:val="_GBC_1b74f2e1039c4fe9acc819e860071020"/>
        <w:id w:val="2133745705"/>
        <w:placeholder>
          <w:docPart w:val="GBC22222222222222222222222222222"/>
        </w:placeholder>
      </w:sdtPr>
      <w:sdtEndPr>
        <w:rPr>
          <w:rFonts w:hint="eastAsia"/>
        </w:rPr>
      </w:sdtEndPr>
      <w:sdtContent>
        <w:p w14:paraId="54CF3A09">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Calibri" w:hAnsi="Calibri"/>
          <w:kern w:val="2"/>
        </w:rPr>
        <w:alias w:val="公司可能面对的风险"/>
        <w:tag w:val="_GBC_c62723d12603412ba692148cd4961de5"/>
        <w:id w:val="-1602645316"/>
        <w:placeholder>
          <w:docPart w:val="GBC22222222222222222222222222222"/>
        </w:placeholder>
      </w:sdtPr>
      <w:sdtEndPr>
        <w:rPr>
          <w:rFonts w:hint="eastAsia" w:ascii="Calibri" w:hAnsi="Calibri"/>
          <w:kern w:val="2"/>
        </w:rPr>
      </w:sdtEndPr>
      <w:sdtContent>
        <w:sdt>
          <w:sdtPr>
            <w:rPr>
              <w:rFonts w:hint="eastAsia" w:ascii="宋体" w:hAnsi="宋体" w:cs="宋体"/>
            </w:rPr>
            <w:alias w:val="公司可能面对的风险"/>
            <w:tag w:val="_GBC_c62723d12603412ba692148cd4961de5"/>
            <w:id w:val="1617109117"/>
          </w:sdtPr>
          <w:sdtEndPr>
            <w:rPr>
              <w:rFonts w:hint="eastAsia" w:ascii="宋体" w:hAnsi="宋体" w:cs="宋体"/>
            </w:rPr>
          </w:sdtEndPr>
          <w:sdtContent>
            <w:p w14:paraId="05AD4B72">
              <w:pPr>
                <w:spacing w:line="360" w:lineRule="auto"/>
                <w:ind w:firstLine="482"/>
                <w:jc w:val="both"/>
                <w:rPr>
                  <w:rFonts w:ascii="Calibri" w:hAnsi="Calibri"/>
                  <w:kern w:val="2"/>
                </w:rPr>
              </w:pPr>
              <w:r>
                <w:rPr>
                  <w:rFonts w:hint="eastAsia" w:ascii="Calibri" w:hAnsi="Calibri"/>
                  <w:kern w:val="2"/>
                </w:rPr>
                <w:t>1、行业政策风险</w:t>
              </w:r>
            </w:p>
            <w:p w14:paraId="3C8E870C">
              <w:pPr>
                <w:spacing w:line="360" w:lineRule="auto"/>
                <w:ind w:firstLine="482"/>
                <w:jc w:val="both"/>
                <w:rPr>
                  <w:rFonts w:ascii="Calibri" w:hAnsi="Calibri"/>
                  <w:kern w:val="2"/>
                </w:rPr>
              </w:pPr>
              <w:r>
                <w:rPr>
                  <w:rFonts w:hint="eastAsia" w:ascii="Calibri" w:hAnsi="Calibri"/>
                  <w:kern w:val="2"/>
                </w:rPr>
                <w:t>公司所处的行业受国家相关法律法规及政策的影响较大，近年来，随着医药体制改革不断深入，国家对医药行业的监管力度不断加大。药品审批、质量监管、药品招标、医保控费、药品集中带量采购等系列政策措施的实施，为整个医药行业的未来发展带来重大影响，使公司面临行业政策变化的风险。</w:t>
              </w:r>
            </w:p>
            <w:p w14:paraId="517425C4">
              <w:pPr>
                <w:spacing w:line="360" w:lineRule="auto"/>
                <w:ind w:firstLine="482"/>
                <w:jc w:val="both"/>
                <w:rPr>
                  <w:rFonts w:ascii="Calibri" w:hAnsi="Calibri"/>
                  <w:kern w:val="2"/>
                </w:rPr>
              </w:pPr>
              <w:r>
                <w:rPr>
                  <w:rFonts w:hint="eastAsia" w:ascii="Calibri" w:hAnsi="Calibri"/>
                  <w:kern w:val="2"/>
                </w:rPr>
                <w:t>公司全线胰岛素产品参与国家药品集中采购。面临药品价格下降，公司精简冗余，剥离非主营业务、细化包括成本、能耗、质量合格率等方面的考核，堵塞管理漏洞，通过精密管理，实现了降本增效。同时加速研发管线进程，布局创新药等方面持续推进，用现代化管理手段促进创新转型升级。凭借优良的产品品质和售后服务，以及后续新品的陆续上市，争取更多集采范围外的市场份额，增强市场竞争力，以销量的增长来弥补价格下降带来的影响，降低生产经营风险。</w:t>
              </w:r>
            </w:p>
            <w:p w14:paraId="71BA2FA4">
              <w:pPr>
                <w:spacing w:line="360" w:lineRule="auto"/>
                <w:ind w:firstLine="482"/>
                <w:jc w:val="both"/>
                <w:rPr>
                  <w:rFonts w:ascii="Calibri" w:hAnsi="Calibri"/>
                  <w:kern w:val="2"/>
                </w:rPr>
              </w:pPr>
              <w:r>
                <w:rPr>
                  <w:rFonts w:hint="eastAsia" w:ascii="Calibri" w:hAnsi="Calibri"/>
                  <w:kern w:val="2"/>
                </w:rPr>
                <w:t>2、药品研发风险</w:t>
              </w:r>
            </w:p>
            <w:p w14:paraId="4A1F3D85">
              <w:pPr>
                <w:spacing w:line="360" w:lineRule="auto"/>
                <w:ind w:firstLine="482"/>
                <w:jc w:val="both"/>
                <w:rPr>
                  <w:rFonts w:ascii="Calibri" w:hAnsi="Calibri"/>
                  <w:kern w:val="2"/>
                </w:rPr>
              </w:pPr>
              <w:r>
                <w:rPr>
                  <w:rFonts w:hint="eastAsia" w:ascii="Calibri" w:hAnsi="Calibri"/>
                  <w:kern w:val="2"/>
                </w:rPr>
                <w:t>新药研发是一项高投入、高风险、开发周期长且对人员素质要求高的工作，易受到技术、审批、行业政策、宏观经济、市场环境等多方面的影响，可能导致公司研发项目的实施不如预期。近年来，频繁推出药品研发相关政策，对药品研发各个阶段的技术审评标准不断提高，新药研发及其上市后的推广也会受到行业政策、市场环境等客观因素的影响，存在新药研发不能如期上市、上市后成长慢等各种潜在风险。公司密切关注医药行业政策及形势的变化，积极强化新药研发的针对性，不断完善科学的研发评估和决策体系，根据企业发展战略和市场需求选择研发项目，加强对外合作，与国内外各类研发机构联合开发新项目，持续丰富优化产品管线，并不断提升自主研发实力。公司重点开发糖尿病治疗领域以及痛风/高尿酸血症治疗领域产品，新产品如按计划推向市场，新加入的治疗糖尿病产品和痛风药产品将带来新的增长点。</w:t>
              </w:r>
            </w:p>
            <w:p w14:paraId="5173A518">
              <w:pPr>
                <w:spacing w:line="360" w:lineRule="auto"/>
                <w:ind w:firstLine="482"/>
                <w:jc w:val="both"/>
                <w:rPr>
                  <w:rFonts w:ascii="Calibri" w:hAnsi="Calibri"/>
                  <w:kern w:val="2"/>
                </w:rPr>
              </w:pPr>
              <w:r>
                <w:rPr>
                  <w:rFonts w:hint="eastAsia" w:ascii="Calibri" w:hAnsi="Calibri"/>
                  <w:kern w:val="2"/>
                </w:rPr>
                <w:t>3、其他因素面临的风险</w:t>
              </w:r>
            </w:p>
            <w:p w14:paraId="06F66094">
              <w:pPr>
                <w:spacing w:line="360" w:lineRule="auto"/>
                <w:ind w:firstLine="482"/>
                <w:jc w:val="both"/>
                <w:rPr>
                  <w:rFonts w:ascii="宋体" w:hAnsi="宋体" w:cs="宋体"/>
                </w:rPr>
              </w:pPr>
              <w:r>
                <w:rPr>
                  <w:rFonts w:hint="eastAsia" w:ascii="Calibri" w:hAnsi="Calibri"/>
                  <w:kern w:val="2"/>
                </w:rPr>
                <w:t>随着经济社会的发展，国家对环境整治力度不断加大，环保标准明显提高；药品质量监督日趋严格，生产质量的投入将导致企业成本上升。随着公司规模的不断扩大，资产、业务、机构和人员的不断扩张，公司在战略规划、制度制订、组织搭建、运营管理和内部控制等方面将面临更大的挑战，需要建立适应公司长远发展的管理体系、内控制度、组织架构、人才储备以及业务流程，公司存在现有管理体系不能完全适应未来公司快速扩张的可能性，给企业正常的生产经营带来风险。同时，生产原材料、能源、动力和人工成本上涨，都将带来产品盈利能力下降风险。</w:t>
              </w:r>
            </w:p>
          </w:sdtContent>
        </w:sdt>
        <w:p w14:paraId="624069A9">
          <w:pPr>
            <w:pStyle w:val="48"/>
          </w:pPr>
        </w:p>
      </w:sdtContent>
    </w:sdt>
    <w:p w14:paraId="7243BDBE">
      <w:pPr>
        <w:pStyle w:val="48"/>
      </w:pPr>
    </w:p>
    <w:p w14:paraId="64EEEE29">
      <w:pPr>
        <w:pStyle w:val="4"/>
        <w:numPr>
          <w:ilvl w:val="3"/>
          <w:numId w:val="19"/>
        </w:numPr>
        <w:rPr>
          <w:szCs w:val="21"/>
        </w:rPr>
      </w:pPr>
      <w:r>
        <w:rPr>
          <w:szCs w:val="21"/>
        </w:rPr>
        <w:t>其他</w:t>
      </w:r>
    </w:p>
    <w:sdt>
      <w:sdtPr>
        <w:rPr>
          <w:rFonts w:hint="eastAsia"/>
        </w:rPr>
        <w:alias w:val="是否适用：公司其他未来发展的讨论和分析[双击切换]"/>
        <w:tag w:val="_GBC_aad5c59ba9344d37bc5cc7a8eba5f048"/>
        <w:id w:val="-2017150440"/>
        <w:placeholder>
          <w:docPart w:val="GBC22222222222222222222222222222"/>
        </w:placeholder>
      </w:sdtPr>
      <w:sdtEndPr>
        <w:rPr>
          <w:rFonts w:hint="eastAsia"/>
        </w:rPr>
      </w:sdtEndPr>
      <w:sdtContent>
        <w:p w14:paraId="212CE7C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F17EDF6">
      <w:pPr>
        <w:pStyle w:val="48"/>
      </w:pPr>
    </w:p>
    <w:p w14:paraId="654E3797">
      <w:pPr>
        <w:pStyle w:val="3"/>
        <w:numPr>
          <w:ilvl w:val="0"/>
          <w:numId w:val="7"/>
        </w:numPr>
        <w:ind w:left="369" w:hanging="369" w:hangingChars="175"/>
      </w:pPr>
      <w:r>
        <w:rPr>
          <w:rFonts w:hint="eastAsia" w:ascii="Cambria" w:hAnsi="Cambr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710260303"/>
        <w:placeholder>
          <w:docPart w:val="GBC22222222222222222222222222222"/>
        </w:placeholder>
      </w:sdtPr>
      <w:sdtEndPr>
        <w:rPr>
          <w:rFonts w:hint="eastAsia"/>
        </w:rPr>
      </w:sdtEndPr>
      <w:sdtContent>
        <w:p w14:paraId="6E4EF48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373C5E7">
      <w:pPr>
        <w:pStyle w:val="48"/>
      </w:pPr>
    </w:p>
    <w:p w14:paraId="50A52A97">
      <w:pPr>
        <w:pStyle w:val="48"/>
      </w:pPr>
      <w:r>
        <w:br w:type="page"/>
      </w:r>
    </w:p>
    <w:p w14:paraId="7E20595E">
      <w:pPr>
        <w:pStyle w:val="48"/>
      </w:pPr>
    </w:p>
    <w:p w14:paraId="6343B3CF">
      <w:pPr>
        <w:pStyle w:val="2"/>
        <w:numPr>
          <w:ilvl w:val="0"/>
          <w:numId w:val="2"/>
        </w:numPr>
      </w:pPr>
      <w:bookmarkStart w:id="92" w:name="_Toc437440716"/>
      <w:bookmarkStart w:id="93" w:name="_Toc409437610"/>
      <w:bookmarkStart w:id="94" w:name="_Toc191024259"/>
      <w:r>
        <w:rPr>
          <w:rFonts w:hint="eastAsia"/>
        </w:rPr>
        <w:t>公司治理</w:t>
      </w:r>
      <w:bookmarkEnd w:id="92"/>
      <w:bookmarkEnd w:id="93"/>
      <w:r>
        <w:rPr>
          <w:rFonts w:hint="eastAsia"/>
        </w:rPr>
        <w:t>、环境和社会</w:t>
      </w:r>
    </w:p>
    <w:bookmarkEnd w:id="94"/>
    <w:p w14:paraId="4E9B38E4">
      <w:pPr>
        <w:pStyle w:val="3"/>
        <w:numPr>
          <w:ilvl w:val="0"/>
          <w:numId w:val="20"/>
        </w:numPr>
      </w:pPr>
      <w:r>
        <w:t>公司治理相关情况说明</w:t>
      </w:r>
    </w:p>
    <w:sdt>
      <w:sdtPr>
        <w:rPr>
          <w:rFonts w:hint="eastAsia"/>
        </w:rPr>
        <w:alias w:val="是否适用：公司治理相关情况说明[双击切换]"/>
        <w:tag w:val="_GBC_fcded3e74c5842408b5da723b3a757fa"/>
        <w:id w:val="341361828"/>
        <w:placeholder>
          <w:docPart w:val="GBC22222222222222222222222222222"/>
        </w:placeholder>
      </w:sdtPr>
      <w:sdtEndPr>
        <w:rPr>
          <w:rFonts w:hint="eastAsia"/>
        </w:rPr>
      </w:sdtEndPr>
      <w:sdtContent>
        <w:p w14:paraId="75C0C52B">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公司治理相关情况说明"/>
        <w:tag w:val="_GBC_b4d29a30dc2b4ea6b942196a3b52c2d0"/>
        <w:id w:val="839976233"/>
        <w:placeholder>
          <w:docPart w:val="GBC22222222222222222222222222222"/>
        </w:placeholder>
      </w:sdtPr>
      <w:sdtContent>
        <w:p w14:paraId="38D02303">
          <w:pPr>
            <w:spacing w:line="360" w:lineRule="auto"/>
            <w:ind w:firstLine="420" w:firstLineChars="200"/>
            <w:jc w:val="both"/>
          </w:pPr>
          <w:r>
            <w:rPr>
              <w:rFonts w:hint="eastAsia"/>
            </w:rPr>
            <w:t xml:space="preserve">报告期内，公司严格按照《公司法》《证券法》《上市公司治理准则》《上海证券交易所股票上市规则》等法律法规的要求，结合本公司实际情况，不断完善公司治理结构和内部管理制度。公司的实际运作情况符合中国证监会发布的有关上市公司治理规范的要求，公司治理情况具体如下： </w:t>
          </w:r>
        </w:p>
        <w:p w14:paraId="3775EC26">
          <w:pPr>
            <w:spacing w:line="360" w:lineRule="auto"/>
            <w:ind w:firstLine="420" w:firstLineChars="200"/>
            <w:jc w:val="both"/>
          </w:pPr>
          <w:r>
            <w:rPr>
              <w:rFonts w:hint="eastAsia"/>
            </w:rPr>
            <w:t xml:space="preserve">1、关于股东与股东会 </w:t>
          </w:r>
        </w:p>
        <w:p w14:paraId="067F5BAA">
          <w:pPr>
            <w:spacing w:line="360" w:lineRule="auto"/>
            <w:ind w:firstLine="420" w:firstLineChars="200"/>
            <w:jc w:val="both"/>
          </w:pPr>
          <w:r>
            <w:rPr>
              <w:rFonts w:hint="eastAsia"/>
            </w:rPr>
            <w:t xml:space="preserve">公司严格按照《公司章程》《股东会议事规则》等法律法规的要求及相关规定和程序召集、召开股东会，聘请律师对股东会作现场见证，并出具相关法律意见书，充分保障所有股东特别是中小股东的平等权利。报告期内，公司共召开1次年度股东会，4次临时股东会，会议召集召开符合《公司法》《公司章程》等相关规定。 </w:t>
          </w:r>
        </w:p>
        <w:p w14:paraId="320E099D">
          <w:pPr>
            <w:spacing w:line="360" w:lineRule="auto"/>
            <w:ind w:firstLine="420" w:firstLineChars="200"/>
            <w:jc w:val="both"/>
          </w:pPr>
          <w:r>
            <w:rPr>
              <w:rFonts w:hint="eastAsia"/>
            </w:rPr>
            <w:t xml:space="preserve">2、关于控股股东与上市公司 </w:t>
          </w:r>
        </w:p>
        <w:p w14:paraId="07CB4DC4">
          <w:pPr>
            <w:spacing w:line="360" w:lineRule="auto"/>
            <w:ind w:firstLine="420" w:firstLineChars="200"/>
            <w:jc w:val="both"/>
          </w:pPr>
          <w:r>
            <w:rPr>
              <w:rFonts w:hint="eastAsia"/>
            </w:rPr>
            <w:t>报告期内，公司控股股东严格规范自身行为，并依法行使权利、履行义务。针对此前与控股股东存在房产互相混用、未签订租赁协议的问题，公司已完成全面整改，与控股股东东宝集团签订《财产租赁合同》，明确双方房产使用范围、市场化租金标准及结算方式，租金分别结算、不可抵减。目前不存在利用其特殊地位谋取额外利益的行为，2</w:t>
          </w:r>
          <w:r>
            <w:t>025</w:t>
          </w:r>
          <w:r>
            <w:rPr>
              <w:rFonts w:hint="eastAsia"/>
            </w:rPr>
            <w:t>年度控股股东下属公司非经营性占用公司资金2</w:t>
          </w:r>
          <w:r>
            <w:t>.31</w:t>
          </w:r>
          <w:r>
            <w:rPr>
              <w:rFonts w:hint="eastAsia"/>
            </w:rPr>
            <w:t>万元，报告期末已归还。</w:t>
          </w:r>
        </w:p>
        <w:p w14:paraId="51B37A2E">
          <w:pPr>
            <w:spacing w:line="360" w:lineRule="auto"/>
            <w:ind w:firstLine="420" w:firstLineChars="200"/>
            <w:jc w:val="both"/>
          </w:pPr>
          <w:r>
            <w:rPr>
              <w:rFonts w:hint="eastAsia"/>
            </w:rPr>
            <w:t xml:space="preserve">3、关于董事与董事会 </w:t>
          </w:r>
        </w:p>
        <w:p w14:paraId="7D83DE85">
          <w:pPr>
            <w:spacing w:line="360" w:lineRule="auto"/>
            <w:ind w:firstLine="420" w:firstLineChars="200"/>
            <w:jc w:val="both"/>
          </w:pPr>
          <w:r>
            <w:rPr>
              <w:rFonts w:hint="eastAsia"/>
            </w:rPr>
            <w:t>公司严格按照《公司法》《公司章程》的规定选聘董事，公司董事会由9人组成，其中独立董事3人，职工代表董事1人，董事会的人数和人员构成符合法律、法规的要求。报告期内，董事严格按照《公司章程》《董事会议事规则》的要求，按时出席董事会、股东会，履行职责，认真表决，并就会议中相关重大决策提出意见和建议，使公司的决策更加规范科学。报告期内，公司共召开了7次董事会，并按规定及时披露相关信息。董事会下设战略、审计、薪酬与考核、提名四个专门委员会，均严格按照《公司章程》及各专门委员会工作细则的有关要求规范运作。</w:t>
          </w:r>
        </w:p>
        <w:p w14:paraId="10A5CFB3">
          <w:pPr>
            <w:spacing w:line="360" w:lineRule="auto"/>
            <w:ind w:firstLine="420" w:firstLineChars="200"/>
            <w:jc w:val="both"/>
          </w:pPr>
          <w:r>
            <w:rPr>
              <w:rFonts w:hint="eastAsia"/>
            </w:rPr>
            <w:t>4、关于取消监事会</w:t>
          </w:r>
        </w:p>
        <w:p w14:paraId="15C7035F">
          <w:pPr>
            <w:spacing w:line="360" w:lineRule="auto"/>
            <w:ind w:firstLine="420" w:firstLineChars="200"/>
            <w:jc w:val="both"/>
          </w:pPr>
          <w:r>
            <w:rPr>
              <w:rFonts w:hint="eastAsia"/>
            </w:rPr>
            <w:t>根据《公司法》《上市公司章程指引》等相关法律法规、规范性文件的规定，公司取消了监事会及监事设置，由董事会审计委员会行使《公司法》规定的监事会职权。公司于2025年10月17日、2025年11月3日分别召开了第十一届董事会第十八次会议、2025年第三次临时股东会，审议通过了《关于取消监事会并修订&lt;公司章程&gt;的议案》，公司修订了《公司章程》及其他相关制度文件，公司《监事会议事规则》等监事会相关制度废止。</w:t>
          </w:r>
        </w:p>
        <w:p w14:paraId="3B78164B">
          <w:pPr>
            <w:spacing w:line="360" w:lineRule="auto"/>
            <w:ind w:firstLine="420" w:firstLineChars="200"/>
            <w:jc w:val="both"/>
          </w:pPr>
          <w:r>
            <w:rPr>
              <w:rFonts w:hint="eastAsia"/>
            </w:rPr>
            <w:t xml:space="preserve">5、关于信息披露与透明度 </w:t>
          </w:r>
        </w:p>
        <w:p w14:paraId="5A72FF13">
          <w:pPr>
            <w:spacing w:line="360" w:lineRule="auto"/>
            <w:ind w:firstLine="420" w:firstLineChars="200"/>
            <w:jc w:val="both"/>
          </w:pPr>
          <w:r>
            <w:rPr>
              <w:rFonts w:hint="eastAsia"/>
            </w:rPr>
            <w:t xml:space="preserve">报告期内公司全年完成了4期定期报告和87个临时公告的披露，使投资者能及时、公平、真实、准确、完整地了解公司状况。 </w:t>
          </w:r>
        </w:p>
        <w:p w14:paraId="7D07A678">
          <w:pPr>
            <w:spacing w:line="360" w:lineRule="auto"/>
            <w:ind w:firstLine="420" w:firstLineChars="200"/>
            <w:jc w:val="both"/>
          </w:pPr>
          <w:r>
            <w:t>6</w:t>
          </w:r>
          <w:r>
            <w:rPr>
              <w:rFonts w:hint="eastAsia"/>
            </w:rPr>
            <w:t>、关于投资者关系及其他相关方</w:t>
          </w:r>
        </w:p>
        <w:p w14:paraId="2DFCFE5F">
          <w:pPr>
            <w:spacing w:line="360" w:lineRule="auto"/>
            <w:ind w:firstLine="420" w:firstLineChars="200"/>
            <w:jc w:val="both"/>
          </w:pPr>
          <w:r>
            <w:rPr>
              <w:rFonts w:hint="eastAsia"/>
            </w:rPr>
            <w:t>报告期内，公司通过定期报告、临时公告、业绩说明会、上交所e互动、邮件、电话、接待调研等方式，积极为投资者提供服务，公平对待每个投资者，维护投资者的合法权益。</w:t>
          </w:r>
        </w:p>
        <w:p w14:paraId="0AED0BAC">
          <w:pPr>
            <w:spacing w:line="360" w:lineRule="auto"/>
            <w:ind w:firstLine="420" w:firstLineChars="200"/>
            <w:jc w:val="both"/>
          </w:pPr>
          <w:r>
            <w:t>7</w:t>
          </w:r>
          <w:r>
            <w:rPr>
              <w:rFonts w:hint="eastAsia"/>
            </w:rPr>
            <w:t xml:space="preserve">、关于内控规范 </w:t>
          </w:r>
        </w:p>
        <w:p w14:paraId="4BE6077A">
          <w:pPr>
            <w:spacing w:line="360" w:lineRule="auto"/>
            <w:ind w:firstLine="420" w:firstLineChars="200"/>
            <w:jc w:val="both"/>
          </w:pPr>
          <w:r>
            <w:rPr>
              <w:rFonts w:hint="eastAsia"/>
            </w:rPr>
            <w:t>公司根据国家相关要求和规定，结合自身实际情况，积极开展内控建设工作，建立健全内部控制制度，并对相关管理制度、管理流程进行梳理优化，以便提高公司的风险防范能力和规范运作水平。</w:t>
          </w:r>
        </w:p>
      </w:sdtContent>
    </w:sdt>
    <w:p w14:paraId="112DCCA2">
      <w:pPr>
        <w:pStyle w:val="48"/>
      </w:pPr>
    </w:p>
    <w:p w14:paraId="768CFC40">
      <w:pPr>
        <w:pStyle w:val="48"/>
      </w:pPr>
      <w:r>
        <w:t>公司治理</w:t>
      </w:r>
      <w:r>
        <w:rPr>
          <w:rFonts w:hint="eastAsia"/>
        </w:rPr>
        <w:t>与法律、行政法规和中国证监会关于上市公司治理的规定</w:t>
      </w:r>
      <w:r>
        <w:t>是否存在</w:t>
      </w:r>
      <w:r>
        <w:rPr>
          <w:rFonts w:hint="eastAsia"/>
        </w:rPr>
        <w:t>重大</w:t>
      </w:r>
      <w:r>
        <w:t>差异；如有</w:t>
      </w:r>
      <w:r>
        <w:rPr>
          <w:rFonts w:hint="eastAsia"/>
        </w:rPr>
        <w:t>重大</w:t>
      </w:r>
      <w:r>
        <w:t>差异，应当说明原因</w:t>
      </w:r>
    </w:p>
    <w:sdt>
      <w:sdtPr>
        <w:alias w:val="是否适用：公司治理与中国证监会相关规定的要求是否存在重大差异[双击切换]"/>
        <w:tag w:val="_GBC_19571e68abe346ceb8159aac5aa1b941"/>
        <w:id w:val="759415504"/>
        <w:placeholder>
          <w:docPart w:val="GBC22222222222222222222222222222"/>
        </w:placeholder>
      </w:sdtPr>
      <w:sdtContent>
        <w:p w14:paraId="452A7065">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431AA0">
      <w:pPr>
        <w:pStyle w:val="48"/>
      </w:pPr>
    </w:p>
    <w:p w14:paraId="356B8A10">
      <w:pPr>
        <w:pStyle w:val="3"/>
        <w:numPr>
          <w:ilvl w:val="0"/>
          <w:numId w:val="20"/>
        </w:numPr>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rPr>
        <w:alias w:val="是否适用：公司就其与控股股东在业务、人员、资产、机构、财务等方面存在的不能保证独立性、不能保持自主经营能力的情况说明[双击切换]"/>
        <w:tag w:val="_GBC_50c3f410fb5f41fcb5dafe7e6ee9876f"/>
        <w:id w:val="-35663597"/>
        <w:placeholder>
          <w:docPart w:val="GBC22222222222222222222222222222"/>
        </w:placeholder>
      </w:sdtPr>
      <w:sdtEndPr>
        <w:rPr>
          <w:rFonts w:hint="eastAsia"/>
        </w:rPr>
      </w:sdtEndPr>
      <w:sdtContent>
        <w:p w14:paraId="5224FA48">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就其与控股股东在业务、人员、资产、机构、财务等方面存在的不能保证独立性、不能保持自主经营能力的情况说明"/>
        <w:tag w:val="_GBC_70c36110d2e1487fb53e14e63f815473"/>
        <w:id w:val="571469693"/>
        <w:placeholder>
          <w:docPart w:val="GBC22222222222222222222222222222"/>
        </w:placeholder>
      </w:sdtPr>
      <w:sdtEndPr>
        <w:rPr>
          <w:rFonts w:hint="eastAsia"/>
        </w:rPr>
      </w:sdtEndPr>
      <w:sdtContent>
        <w:p w14:paraId="2D911F12">
          <w:pPr>
            <w:spacing w:line="360" w:lineRule="auto"/>
            <w:ind w:firstLine="420" w:firstLineChars="200"/>
            <w:jc w:val="both"/>
          </w:pPr>
          <w:r>
            <w:rPr>
              <w:rFonts w:hint="eastAsia"/>
            </w:rPr>
            <w:t>针对公司控股股东董事长、实际控制人的一致行动人李佳鸿担任公司董事长的情况，公司采取多项措施，已按照《公司章程》《董事会议事规则》及相关内控制度，建立健全决策与审批机制，公司实际控制人在经营管理过程中严格履行股东会、董事会授权及决策程序，其相关职务行为均在公司治理框架内规范运作，严格保障资产、人员、财务、机构、业务等方面的独立性，规范法人治理，杜绝关联方违规干预，具体措施如下：</w:t>
          </w:r>
        </w:p>
        <w:p w14:paraId="697E6FC9">
          <w:pPr>
            <w:spacing w:line="360" w:lineRule="auto"/>
            <w:ind w:firstLine="420" w:firstLineChars="200"/>
            <w:jc w:val="both"/>
          </w:pPr>
          <w:r>
            <w:rPr>
              <w:rFonts w:hint="eastAsia"/>
            </w:rPr>
            <w:t>1.资产独立：针对此前与控股股东存在房产互相混用、未签订租赁协议的问题，公司已完成全面整改，与控股股东东宝集团签订《财产租赁合同》，明确双方房产使用范围、市场化租金标准及结算方式，租金分别结算、不可抵减，确保公司资产与控股股东资产清晰分离、权属明确，杜绝资产混用、无偿占用等情况，保障公司资产独立完整。</w:t>
          </w:r>
        </w:p>
        <w:p w14:paraId="4D742E2E">
          <w:pPr>
            <w:spacing w:line="360" w:lineRule="auto"/>
            <w:ind w:firstLine="420" w:firstLineChars="200"/>
            <w:jc w:val="both"/>
          </w:pPr>
          <w:r>
            <w:rPr>
              <w:rFonts w:hint="eastAsia"/>
            </w:rPr>
            <w:t>2.人员独立：公司建立独立的人事管理制度，高管人员、核心技术人员及关键岗位员工均与公司签订劳动合同，薪酬福利、社保缴纳均由公司独立承担，与控股股东无关联依附关系；明确控股股东人员不得干预公司人事任免，确保公司人员聘用、考核、晋升等均独立决策，不受控股股东影响。</w:t>
          </w:r>
        </w:p>
        <w:p w14:paraId="1649B3FB">
          <w:pPr>
            <w:spacing w:line="360" w:lineRule="auto"/>
            <w:ind w:firstLine="420" w:firstLineChars="200"/>
            <w:jc w:val="both"/>
          </w:pPr>
          <w:r>
            <w:rPr>
              <w:rFonts w:hint="eastAsia"/>
            </w:rPr>
            <w:t>3.财务独立：公司设立独立的财务部门，配备专职财务人员，建立独立的财务核算体系和财务管理制度，严格依据税收法规与会计准则开展财务工作，研发费用、营收利润等单独核算、规范归集，不与控股股东共用财务账户、混同核算；财务决策（如融资、投资、资金使用等）由公司董事会、股东会独立审议决策，控股股东不干预公司资金调度、财务核算等核心财务事项，确保财务运作独立合规。</w:t>
          </w:r>
        </w:p>
        <w:p w14:paraId="4FD77574">
          <w:pPr>
            <w:spacing w:line="360" w:lineRule="auto"/>
            <w:ind w:firstLine="420" w:firstLineChars="200"/>
            <w:jc w:val="both"/>
          </w:pPr>
          <w:r>
            <w:rPr>
              <w:rFonts w:hint="eastAsia"/>
            </w:rPr>
            <w:t>4.机构独立：公司设立完整、独立的内部管理机构，包括研发、生产、销售、财务、审计等职能部门，各机构职责清晰、运作独立，与控股股东的机构完全分离，不存在机构混同、人员交叉任职导致的管理混乱问题；充分发挥内部审计部门作用，强化内部控制审计及合规专项审计，借助内外部审计力量查漏补缺，保障机构独立运作。</w:t>
          </w:r>
        </w:p>
        <w:p w14:paraId="0D94C046">
          <w:pPr>
            <w:spacing w:line="360" w:lineRule="auto"/>
            <w:ind w:firstLine="420" w:firstLineChars="200"/>
            <w:jc w:val="both"/>
          </w:pPr>
          <w:r>
            <w:rPr>
              <w:rFonts w:hint="eastAsia"/>
            </w:rPr>
            <w:t>5.业务独立：公司拥有独立的研发、生产、销售体系，专注于糖尿病、肥胖、痛风等内分泌代谢疾病领域的药物研发、生产和销售，业务流程独立完整；与控股股东明确业务边界，不存在同业竞争，关联交易严格按照市场化原则定价、履行合规审批程序；公司独立开拓市场，拥有自主的客户资源和销售渠道，不依赖控股股东开展业务，确保业务独立运营。</w:t>
          </w:r>
        </w:p>
        <w:p w14:paraId="244360B4">
          <w:pPr>
            <w:spacing w:line="360" w:lineRule="auto"/>
            <w:ind w:firstLine="420" w:firstLineChars="200"/>
            <w:jc w:val="both"/>
          </w:pPr>
          <w:r>
            <w:rPr>
              <w:rFonts w:hint="eastAsia"/>
            </w:rPr>
            <w:t>此外，公司将不断加强合规培训，定期组织控股股东、实际控制人及公司高管、相关部门负责人学习《公司法》《证券法》《上市公司治理准则》等法律法规，增强合规意识；完善内部控制体系并严格落实，持续提升规范化治理水平，保障公司独立性。</w:t>
          </w:r>
        </w:p>
      </w:sdtContent>
    </w:sdt>
    <w:p w14:paraId="400D5DC1">
      <w:pPr>
        <w:pStyle w:val="48"/>
      </w:pPr>
    </w:p>
    <w:p w14:paraId="71A7ECD9">
      <w:pPr>
        <w:pStyle w:val="48"/>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rPr>
        <w:alias w:val="是否适用：存在同业竞争的，公司相应的解决措施、工作进度及后续工作计划[双击切换]"/>
        <w:tag w:val="_GBC_1883b6583caa4429822c73ae5e75f9f4"/>
        <w:id w:val="-262913951"/>
        <w:placeholder>
          <w:docPart w:val="GBC22222222222222222222222222222"/>
        </w:placeholder>
      </w:sdtPr>
      <w:sdtEndPr>
        <w:rPr>
          <w:rFonts w:hint="eastAsia"/>
        </w:rPr>
      </w:sdtEndPr>
      <w:sdtContent>
        <w:p w14:paraId="1C521C6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7C48C94">
      <w:pPr>
        <w:pStyle w:val="48"/>
      </w:pPr>
    </w:p>
    <w:p w14:paraId="3FB75155">
      <w:pPr>
        <w:sectPr>
          <w:pgSz w:w="11906" w:h="16838"/>
          <w:pgMar w:top="1525" w:right="1276" w:bottom="1440" w:left="1797" w:header="855" w:footer="992" w:gutter="0"/>
          <w:cols w:space="425" w:num="1"/>
          <w:docGrid w:linePitch="312" w:charSpace="0"/>
        </w:sectPr>
      </w:pPr>
    </w:p>
    <w:p w14:paraId="43695401">
      <w:pPr>
        <w:pStyle w:val="3"/>
        <w:numPr>
          <w:ilvl w:val="0"/>
          <w:numId w:val="20"/>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1235903822"/>
        <w:placeholder>
          <w:docPart w:val="GBC22222222222222222222222222222"/>
        </w:placeholder>
      </w:sdtPr>
      <w:sdtEndPr>
        <w:rPr>
          <w:rFonts w:ascii="Calibri" w:hAnsi="Calibri" w:cs="Times New Roman"/>
          <w:b w:val="0"/>
          <w:bCs w:val="0"/>
          <w:kern w:val="2"/>
          <w:szCs w:val="21"/>
        </w:rPr>
      </w:sdtEndPr>
      <w:sdtContent>
        <w:p w14:paraId="76ABBBE1">
          <w:pPr>
            <w:pStyle w:val="51"/>
            <w:numPr>
              <w:ilvl w:val="0"/>
              <w:numId w:val="21"/>
            </w:numPr>
          </w:pPr>
          <w:r>
            <w:t>董事参加董事会和</w:t>
          </w:r>
          <w:sdt>
            <w:sdtPr>
              <w:tag w:val="_PLD_47828a77321a429297b4f49878c0e2f1"/>
              <w:id w:val="-1136339427"/>
            </w:sdtPr>
            <w:sdtContent>
              <w:r>
                <w:t>股东会</w:t>
              </w:r>
            </w:sdtContent>
          </w:sdt>
          <w:r>
            <w:t>的情况</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845"/>
            <w:gridCol w:w="1098"/>
            <w:gridCol w:w="852"/>
            <w:gridCol w:w="968"/>
            <w:gridCol w:w="904"/>
            <w:gridCol w:w="845"/>
            <w:gridCol w:w="1294"/>
            <w:gridCol w:w="1261"/>
          </w:tblGrid>
          <w:tr w14:paraId="6608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sdt>
              <w:sdtPr>
                <w:tag w:val="_PLD_fdf987702b2e46a4aaa1e3f20787a76c"/>
                <w:id w:val="-1874297657"/>
              </w:sdtPr>
              <w:sdtContent>
                <w:tc>
                  <w:tcPr>
                    <w:tcW w:w="979" w:type="dxa"/>
                    <w:vMerge w:val="restart"/>
                    <w:vAlign w:val="center"/>
                  </w:tcPr>
                  <w:p w14:paraId="0BA96321">
                    <w:pPr>
                      <w:widowControl w:val="0"/>
                      <w:jc w:val="center"/>
                    </w:pPr>
                    <w:r>
                      <w:rPr>
                        <w:rFonts w:hint="eastAsia"/>
                      </w:rPr>
                      <w:t>董事</w:t>
                    </w:r>
                  </w:p>
                  <w:p w14:paraId="683AD037">
                    <w:pPr>
                      <w:widowControl w:val="0"/>
                      <w:jc w:val="center"/>
                    </w:pPr>
                    <w:r>
                      <w:rPr>
                        <w:rFonts w:hint="eastAsia"/>
                      </w:rPr>
                      <w:t>姓名</w:t>
                    </w:r>
                  </w:p>
                </w:tc>
              </w:sdtContent>
            </w:sdt>
            <w:sdt>
              <w:sdtPr>
                <w:tag w:val="_PLD_8c944f740a3a4784938038ab19e3a6ed"/>
                <w:id w:val="768507344"/>
              </w:sdtPr>
              <w:sdtContent>
                <w:tc>
                  <w:tcPr>
                    <w:tcW w:w="845" w:type="dxa"/>
                    <w:vMerge w:val="restart"/>
                    <w:vAlign w:val="center"/>
                  </w:tcPr>
                  <w:p w14:paraId="11F6C0E6">
                    <w:pPr>
                      <w:widowControl w:val="0"/>
                      <w:jc w:val="center"/>
                    </w:pPr>
                    <w:r>
                      <w:t>是否独立董事</w:t>
                    </w:r>
                  </w:p>
                </w:tc>
              </w:sdtContent>
            </w:sdt>
            <w:sdt>
              <w:sdtPr>
                <w:tag w:val="_PLD_41002b55426142459adadb76d790d586"/>
                <w:id w:val="-468894803"/>
              </w:sdtPr>
              <w:sdtContent>
                <w:tc>
                  <w:tcPr>
                    <w:tcW w:w="5961" w:type="dxa"/>
                    <w:gridSpan w:val="6"/>
                    <w:vAlign w:val="center"/>
                  </w:tcPr>
                  <w:p w14:paraId="5474A2A7">
                    <w:pPr>
                      <w:widowControl w:val="0"/>
                      <w:jc w:val="center"/>
                    </w:pPr>
                    <w:r>
                      <w:t>参加董事会情况</w:t>
                    </w:r>
                  </w:p>
                </w:tc>
              </w:sdtContent>
            </w:sdt>
            <w:sdt>
              <w:sdtPr>
                <w:tag w:val="_PLD_a86ab0ba65874193bf46821cd6a13f4f"/>
                <w:id w:val="-1586069693"/>
              </w:sdtPr>
              <w:sdtContent>
                <w:tc>
                  <w:tcPr>
                    <w:tcW w:w="1261" w:type="dxa"/>
                    <w:vAlign w:val="center"/>
                  </w:tcPr>
                  <w:p w14:paraId="53A8C306">
                    <w:pPr>
                      <w:widowControl w:val="0"/>
                      <w:jc w:val="center"/>
                    </w:pPr>
                    <w:r>
                      <w:t>参加股东会情况</w:t>
                    </w:r>
                  </w:p>
                </w:tc>
              </w:sdtContent>
            </w:sdt>
          </w:tr>
          <w:tr w14:paraId="23D1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979" w:type="dxa"/>
                <w:vMerge w:val="continue"/>
                <w:vAlign w:val="center"/>
              </w:tcPr>
              <w:p w14:paraId="154CFD86">
                <w:pPr>
                  <w:widowControl w:val="0"/>
                  <w:jc w:val="center"/>
                </w:pPr>
              </w:p>
            </w:tc>
            <w:tc>
              <w:tcPr>
                <w:tcW w:w="845" w:type="dxa"/>
                <w:vMerge w:val="continue"/>
                <w:vAlign w:val="center"/>
              </w:tcPr>
              <w:p w14:paraId="7AD480B0">
                <w:pPr>
                  <w:widowControl w:val="0"/>
                  <w:jc w:val="center"/>
                </w:pPr>
              </w:p>
            </w:tc>
            <w:sdt>
              <w:sdtPr>
                <w:tag w:val="_PLD_1be3bc3a3d894e22b017b70a7c691233"/>
                <w:id w:val="-1673946585"/>
              </w:sdtPr>
              <w:sdtContent>
                <w:tc>
                  <w:tcPr>
                    <w:tcW w:w="1098" w:type="dxa"/>
                    <w:vAlign w:val="center"/>
                  </w:tcPr>
                  <w:p w14:paraId="29339301">
                    <w:pPr>
                      <w:widowControl w:val="0"/>
                      <w:jc w:val="center"/>
                    </w:pPr>
                    <w:r>
                      <w:t>本年应参加董事会次数</w:t>
                    </w:r>
                  </w:p>
                </w:tc>
              </w:sdtContent>
            </w:sdt>
            <w:sdt>
              <w:sdtPr>
                <w:tag w:val="_PLD_3e45fc9802f241cb8e17735983417e9b"/>
                <w:id w:val="723871731"/>
              </w:sdtPr>
              <w:sdtContent>
                <w:tc>
                  <w:tcPr>
                    <w:tcW w:w="852" w:type="dxa"/>
                    <w:vAlign w:val="center"/>
                  </w:tcPr>
                  <w:p w14:paraId="5B162DB6">
                    <w:pPr>
                      <w:widowControl w:val="0"/>
                      <w:jc w:val="center"/>
                    </w:pPr>
                    <w:r>
                      <w:t>亲自出席次数</w:t>
                    </w:r>
                  </w:p>
                </w:tc>
              </w:sdtContent>
            </w:sdt>
            <w:sdt>
              <w:sdtPr>
                <w:tag w:val="_PLD_5b2f1e699fe34def868fe8b765d768ba"/>
                <w:id w:val="749467706"/>
              </w:sdtPr>
              <w:sdtContent>
                <w:tc>
                  <w:tcPr>
                    <w:tcW w:w="968" w:type="dxa"/>
                    <w:vAlign w:val="center"/>
                  </w:tcPr>
                  <w:p w14:paraId="7ACDE2AC">
                    <w:pPr>
                      <w:widowControl w:val="0"/>
                      <w:jc w:val="center"/>
                    </w:pPr>
                    <w:r>
                      <w:t>以通讯方式参加次数</w:t>
                    </w:r>
                  </w:p>
                </w:tc>
              </w:sdtContent>
            </w:sdt>
            <w:sdt>
              <w:sdtPr>
                <w:tag w:val="_PLD_981a0cb863d94703a5482c1ca67d4cb5"/>
                <w:id w:val="1005328211"/>
              </w:sdtPr>
              <w:sdtContent>
                <w:tc>
                  <w:tcPr>
                    <w:tcW w:w="904" w:type="dxa"/>
                    <w:vAlign w:val="center"/>
                  </w:tcPr>
                  <w:p w14:paraId="2D561383">
                    <w:pPr>
                      <w:widowControl w:val="0"/>
                      <w:jc w:val="center"/>
                    </w:pPr>
                    <w:r>
                      <w:t>委托出席次数</w:t>
                    </w:r>
                  </w:p>
                </w:tc>
              </w:sdtContent>
            </w:sdt>
            <w:sdt>
              <w:sdtPr>
                <w:tag w:val="_PLD_e955143b8973461bb11aa6e64e6bb542"/>
                <w:id w:val="101770081"/>
              </w:sdtPr>
              <w:sdtContent>
                <w:tc>
                  <w:tcPr>
                    <w:tcW w:w="845" w:type="dxa"/>
                    <w:vAlign w:val="center"/>
                  </w:tcPr>
                  <w:p w14:paraId="79213A96">
                    <w:pPr>
                      <w:widowControl w:val="0"/>
                      <w:jc w:val="center"/>
                    </w:pPr>
                    <w:r>
                      <w:t>缺席</w:t>
                    </w:r>
                  </w:p>
                  <w:p w14:paraId="7AF57B78">
                    <w:pPr>
                      <w:widowControl w:val="0"/>
                      <w:jc w:val="center"/>
                    </w:pPr>
                    <w:r>
                      <w:t>次数</w:t>
                    </w:r>
                  </w:p>
                </w:tc>
              </w:sdtContent>
            </w:sdt>
            <w:sdt>
              <w:sdtPr>
                <w:tag w:val="_PLD_c94de7a455d94af5b8ffe4cc736c4b46"/>
                <w:id w:val="1638757276"/>
              </w:sdtPr>
              <w:sdtContent>
                <w:tc>
                  <w:tcPr>
                    <w:tcW w:w="1292" w:type="dxa"/>
                    <w:vAlign w:val="center"/>
                  </w:tcPr>
                  <w:p w14:paraId="28395585">
                    <w:pPr>
                      <w:widowControl w:val="0"/>
                      <w:jc w:val="center"/>
                    </w:pPr>
                    <w:r>
                      <w:t>是否连续两次未亲自参加会议</w:t>
                    </w:r>
                  </w:p>
                </w:tc>
              </w:sdtContent>
            </w:sdt>
            <w:sdt>
              <w:sdtPr>
                <w:tag w:val="_PLD_7f17c2a5ff9540709fafff9460b0756d"/>
                <w:id w:val="1946187892"/>
              </w:sdtPr>
              <w:sdtContent>
                <w:tc>
                  <w:tcPr>
                    <w:tcW w:w="1261" w:type="dxa"/>
                    <w:vAlign w:val="center"/>
                  </w:tcPr>
                  <w:p w14:paraId="3CFDE7DB">
                    <w:pPr>
                      <w:widowControl w:val="0"/>
                      <w:jc w:val="center"/>
                      <w:rPr>
                        <w:b/>
                      </w:rPr>
                    </w:pPr>
                    <w:r>
                      <w:t>出席股东会的次数</w:t>
                    </w:r>
                  </w:p>
                </w:tc>
              </w:sdtContent>
            </w:sdt>
          </w:tr>
          <w:tr w14:paraId="1638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979" w:type="dxa"/>
                <w:vAlign w:val="center"/>
              </w:tcPr>
              <w:p w14:paraId="2974DDEA">
                <w:pPr>
                  <w:pStyle w:val="48"/>
                </w:pPr>
                <w:r>
                  <w:t>李佳鸿</w:t>
                </w:r>
              </w:p>
            </w:tc>
            <w:sdt>
              <w:sdtPr>
                <w:rPr>
                  <w:rFonts w:hint="eastAsia"/>
                </w:rPr>
                <w:alias w:val="董事参加董事会的出席情况明细-是否独立董事"/>
                <w:tag w:val="_GBC_8f65cf2d483747a58ee92c8a36ee6375"/>
                <w:id w:val="1257794067"/>
                <w:comboBox>
                  <w:listItem w:displayText="是" w:value="true"/>
                  <w:listItem w:displayText="否" w:value="false"/>
                </w:comboBox>
              </w:sdtPr>
              <w:sdtEndPr>
                <w:rPr>
                  <w:rFonts w:hint="eastAsia"/>
                </w:rPr>
              </w:sdtEndPr>
              <w:sdtContent>
                <w:tc>
                  <w:tcPr>
                    <w:tcW w:w="845" w:type="dxa"/>
                    <w:vAlign w:val="center"/>
                  </w:tcPr>
                  <w:p w14:paraId="6D4C14C8">
                    <w:pPr>
                      <w:widowControl w:val="0"/>
                      <w:jc w:val="center"/>
                    </w:pPr>
                    <w:r>
                      <w:rPr>
                        <w:rFonts w:hint="eastAsia"/>
                      </w:rPr>
                      <w:t>否</w:t>
                    </w:r>
                  </w:p>
                </w:tc>
              </w:sdtContent>
            </w:sdt>
            <w:tc>
              <w:tcPr>
                <w:tcW w:w="1098" w:type="dxa"/>
                <w:vAlign w:val="center"/>
              </w:tcPr>
              <w:p w14:paraId="7381CE76">
                <w:pPr>
                  <w:widowControl w:val="0"/>
                  <w:jc w:val="right"/>
                </w:pPr>
                <w:r>
                  <w:rPr>
                    <w:rFonts w:hint="eastAsia"/>
                  </w:rPr>
                  <w:t>7</w:t>
                </w:r>
              </w:p>
            </w:tc>
            <w:tc>
              <w:tcPr>
                <w:tcW w:w="852" w:type="dxa"/>
                <w:vAlign w:val="center"/>
              </w:tcPr>
              <w:p w14:paraId="7980A89C">
                <w:pPr>
                  <w:widowControl w:val="0"/>
                  <w:jc w:val="right"/>
                </w:pPr>
                <w:r>
                  <w:t>7</w:t>
                </w:r>
              </w:p>
            </w:tc>
            <w:tc>
              <w:tcPr>
                <w:tcW w:w="968" w:type="dxa"/>
                <w:vAlign w:val="center"/>
              </w:tcPr>
              <w:p w14:paraId="046B79E3">
                <w:pPr>
                  <w:widowControl w:val="0"/>
                  <w:jc w:val="right"/>
                </w:pPr>
                <w:r>
                  <w:rPr>
                    <w:rFonts w:hint="eastAsia"/>
                  </w:rPr>
                  <w:t>2</w:t>
                </w:r>
              </w:p>
            </w:tc>
            <w:tc>
              <w:tcPr>
                <w:tcW w:w="904" w:type="dxa"/>
                <w:vAlign w:val="center"/>
              </w:tcPr>
              <w:p w14:paraId="4B552DA3">
                <w:pPr>
                  <w:widowControl w:val="0"/>
                  <w:jc w:val="right"/>
                </w:pPr>
                <w:r>
                  <w:rPr>
                    <w:rFonts w:hint="eastAsia"/>
                  </w:rPr>
                  <w:t>0</w:t>
                </w:r>
              </w:p>
            </w:tc>
            <w:tc>
              <w:tcPr>
                <w:tcW w:w="845" w:type="dxa"/>
                <w:vAlign w:val="center"/>
              </w:tcPr>
              <w:p w14:paraId="2B0EC26D">
                <w:pPr>
                  <w:widowControl w:val="0"/>
                  <w:jc w:val="right"/>
                </w:pPr>
                <w:r>
                  <w:rPr>
                    <w:rFonts w:hint="eastAsia"/>
                  </w:rPr>
                  <w:t>0</w:t>
                </w:r>
              </w:p>
            </w:tc>
            <w:sdt>
              <w:sdtPr>
                <w:rPr>
                  <w:rFonts w:hint="eastAsia"/>
                </w:rPr>
                <w:alias w:val="董事参加董事会的出席情况明细-是否连续两次未亲自参加会议"/>
                <w:tag w:val="_GBC_4748dc7c4f9b495f9d97d5c22a5e08e6"/>
                <w:id w:val="-1590919830"/>
                <w:comboBox>
                  <w:listItem w:displayText="是" w:value="true"/>
                  <w:listItem w:displayText="否" w:value="false"/>
                </w:comboBox>
              </w:sdtPr>
              <w:sdtEndPr>
                <w:rPr>
                  <w:rFonts w:hint="eastAsia"/>
                </w:rPr>
              </w:sdtEndPr>
              <w:sdtContent>
                <w:tc>
                  <w:tcPr>
                    <w:tcW w:w="1292" w:type="dxa"/>
                    <w:vAlign w:val="center"/>
                  </w:tcPr>
                  <w:p w14:paraId="35C9EBD5">
                    <w:pPr>
                      <w:widowControl w:val="0"/>
                      <w:jc w:val="right"/>
                    </w:pPr>
                    <w:r>
                      <w:rPr>
                        <w:rFonts w:hint="eastAsia"/>
                      </w:rPr>
                      <w:t>否</w:t>
                    </w:r>
                  </w:p>
                </w:tc>
              </w:sdtContent>
            </w:sdt>
            <w:tc>
              <w:tcPr>
                <w:tcW w:w="1261" w:type="dxa"/>
                <w:vAlign w:val="center"/>
              </w:tcPr>
              <w:p w14:paraId="79B6D344">
                <w:pPr>
                  <w:widowControl w:val="0"/>
                  <w:jc w:val="right"/>
                </w:pPr>
                <w:r>
                  <w:rPr>
                    <w:rFonts w:hint="eastAsia"/>
                  </w:rPr>
                  <w:t>5</w:t>
                </w:r>
              </w:p>
            </w:tc>
          </w:tr>
          <w:tr w14:paraId="7B30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979" w:type="dxa"/>
                <w:vAlign w:val="center"/>
              </w:tcPr>
              <w:p w14:paraId="4DC32077">
                <w:pPr>
                  <w:pStyle w:val="48"/>
                </w:pPr>
                <w:r>
                  <w:t>冷春生</w:t>
                </w:r>
              </w:p>
            </w:tc>
            <w:sdt>
              <w:sdtPr>
                <w:rPr>
                  <w:rFonts w:hint="eastAsia"/>
                </w:rPr>
                <w:alias w:val="董事参加董事会的出席情况明细-是否独立董事"/>
                <w:tag w:val="_GBC_8f65cf2d483747a58ee92c8a36ee6375"/>
                <w:id w:val="-1594853582"/>
                <w:comboBox>
                  <w:listItem w:displayText="是" w:value="true"/>
                  <w:listItem w:displayText="否" w:value="false"/>
                </w:comboBox>
              </w:sdtPr>
              <w:sdtEndPr>
                <w:rPr>
                  <w:rFonts w:hint="eastAsia"/>
                </w:rPr>
              </w:sdtEndPr>
              <w:sdtContent>
                <w:tc>
                  <w:tcPr>
                    <w:tcW w:w="845" w:type="dxa"/>
                    <w:vAlign w:val="center"/>
                  </w:tcPr>
                  <w:p w14:paraId="0AC71549">
                    <w:pPr>
                      <w:widowControl w:val="0"/>
                      <w:jc w:val="center"/>
                    </w:pPr>
                    <w:r>
                      <w:rPr>
                        <w:rFonts w:hint="eastAsia"/>
                      </w:rPr>
                      <w:t>否</w:t>
                    </w:r>
                  </w:p>
                </w:tc>
              </w:sdtContent>
            </w:sdt>
            <w:tc>
              <w:tcPr>
                <w:tcW w:w="1098" w:type="dxa"/>
                <w:vAlign w:val="center"/>
              </w:tcPr>
              <w:p w14:paraId="6DDF745D">
                <w:pPr>
                  <w:widowControl w:val="0"/>
                  <w:jc w:val="right"/>
                </w:pPr>
                <w:r>
                  <w:rPr>
                    <w:rFonts w:hint="eastAsia"/>
                  </w:rPr>
                  <w:t>7</w:t>
                </w:r>
              </w:p>
            </w:tc>
            <w:tc>
              <w:tcPr>
                <w:tcW w:w="852" w:type="dxa"/>
                <w:vAlign w:val="center"/>
              </w:tcPr>
              <w:p w14:paraId="1AAEC85C">
                <w:pPr>
                  <w:widowControl w:val="0"/>
                  <w:jc w:val="right"/>
                </w:pPr>
                <w:r>
                  <w:t>7</w:t>
                </w:r>
              </w:p>
            </w:tc>
            <w:tc>
              <w:tcPr>
                <w:tcW w:w="968" w:type="dxa"/>
                <w:vAlign w:val="center"/>
              </w:tcPr>
              <w:p w14:paraId="08F4BF01">
                <w:pPr>
                  <w:widowControl w:val="0"/>
                  <w:jc w:val="right"/>
                </w:pPr>
                <w:r>
                  <w:rPr>
                    <w:rFonts w:hint="eastAsia"/>
                  </w:rPr>
                  <w:t>4</w:t>
                </w:r>
              </w:p>
            </w:tc>
            <w:tc>
              <w:tcPr>
                <w:tcW w:w="904" w:type="dxa"/>
                <w:vAlign w:val="center"/>
              </w:tcPr>
              <w:p w14:paraId="6A0CD17D">
                <w:pPr>
                  <w:widowControl w:val="0"/>
                  <w:jc w:val="right"/>
                </w:pPr>
                <w:r>
                  <w:rPr>
                    <w:rFonts w:hint="eastAsia"/>
                  </w:rPr>
                  <w:t>0</w:t>
                </w:r>
              </w:p>
            </w:tc>
            <w:tc>
              <w:tcPr>
                <w:tcW w:w="845" w:type="dxa"/>
                <w:vAlign w:val="center"/>
              </w:tcPr>
              <w:p w14:paraId="64B8FD50">
                <w:pPr>
                  <w:widowControl w:val="0"/>
                  <w:jc w:val="right"/>
                </w:pPr>
                <w:r>
                  <w:rPr>
                    <w:rFonts w:hint="eastAsia"/>
                  </w:rPr>
                  <w:t>0</w:t>
                </w:r>
              </w:p>
            </w:tc>
            <w:sdt>
              <w:sdtPr>
                <w:rPr>
                  <w:rFonts w:hint="eastAsia"/>
                </w:rPr>
                <w:alias w:val="董事参加董事会的出席情况明细-是否连续两次未亲自参加会议"/>
                <w:tag w:val="_GBC_4748dc7c4f9b495f9d97d5c22a5e08e6"/>
                <w:id w:val="432246996"/>
                <w:comboBox>
                  <w:listItem w:displayText="是" w:value="true"/>
                  <w:listItem w:displayText="否" w:value="false"/>
                </w:comboBox>
              </w:sdtPr>
              <w:sdtEndPr>
                <w:rPr>
                  <w:rFonts w:hint="eastAsia"/>
                </w:rPr>
              </w:sdtEndPr>
              <w:sdtContent>
                <w:tc>
                  <w:tcPr>
                    <w:tcW w:w="1292" w:type="dxa"/>
                    <w:vAlign w:val="center"/>
                  </w:tcPr>
                  <w:p w14:paraId="68668B64">
                    <w:pPr>
                      <w:widowControl w:val="0"/>
                      <w:jc w:val="right"/>
                    </w:pPr>
                    <w:r>
                      <w:rPr>
                        <w:rFonts w:hint="eastAsia"/>
                      </w:rPr>
                      <w:t>否</w:t>
                    </w:r>
                  </w:p>
                </w:tc>
              </w:sdtContent>
            </w:sdt>
            <w:tc>
              <w:tcPr>
                <w:tcW w:w="1261" w:type="dxa"/>
                <w:vAlign w:val="center"/>
              </w:tcPr>
              <w:p w14:paraId="780ED859">
                <w:pPr>
                  <w:widowControl w:val="0"/>
                  <w:jc w:val="right"/>
                </w:pPr>
                <w:r>
                  <w:rPr>
                    <w:rFonts w:hint="eastAsia"/>
                  </w:rPr>
                  <w:t>5</w:t>
                </w:r>
              </w:p>
            </w:tc>
          </w:tr>
          <w:tr w14:paraId="0017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979" w:type="dxa"/>
                <w:vAlign w:val="center"/>
              </w:tcPr>
              <w:p w14:paraId="2CC9FFBF">
                <w:pPr>
                  <w:pStyle w:val="48"/>
                </w:pPr>
                <w:r>
                  <w:t>张国栋</w:t>
                </w:r>
              </w:p>
            </w:tc>
            <w:sdt>
              <w:sdtPr>
                <w:rPr>
                  <w:rFonts w:hint="eastAsia"/>
                </w:rPr>
                <w:alias w:val="董事参加董事会的出席情况明细-是否独立董事"/>
                <w:tag w:val="_GBC_8f65cf2d483747a58ee92c8a36ee6375"/>
                <w:id w:val="2092271042"/>
                <w:comboBox>
                  <w:listItem w:displayText="是" w:value="true"/>
                  <w:listItem w:displayText="否" w:value="false"/>
                </w:comboBox>
              </w:sdtPr>
              <w:sdtEndPr>
                <w:rPr>
                  <w:rFonts w:hint="eastAsia"/>
                </w:rPr>
              </w:sdtEndPr>
              <w:sdtContent>
                <w:tc>
                  <w:tcPr>
                    <w:tcW w:w="845" w:type="dxa"/>
                    <w:vAlign w:val="center"/>
                  </w:tcPr>
                  <w:p w14:paraId="5C3DB6FD">
                    <w:pPr>
                      <w:widowControl w:val="0"/>
                      <w:jc w:val="center"/>
                    </w:pPr>
                    <w:r>
                      <w:rPr>
                        <w:rFonts w:hint="eastAsia"/>
                      </w:rPr>
                      <w:t>否</w:t>
                    </w:r>
                  </w:p>
                </w:tc>
              </w:sdtContent>
            </w:sdt>
            <w:tc>
              <w:tcPr>
                <w:tcW w:w="1098" w:type="dxa"/>
                <w:vAlign w:val="center"/>
              </w:tcPr>
              <w:p w14:paraId="669F853B">
                <w:pPr>
                  <w:widowControl w:val="0"/>
                  <w:jc w:val="right"/>
                </w:pPr>
                <w:r>
                  <w:rPr>
                    <w:rFonts w:hint="eastAsia"/>
                  </w:rPr>
                  <w:t>7</w:t>
                </w:r>
              </w:p>
            </w:tc>
            <w:tc>
              <w:tcPr>
                <w:tcW w:w="852" w:type="dxa"/>
                <w:vAlign w:val="center"/>
              </w:tcPr>
              <w:p w14:paraId="742D20D9">
                <w:pPr>
                  <w:widowControl w:val="0"/>
                  <w:jc w:val="right"/>
                </w:pPr>
                <w:bookmarkStart w:id="95" w:name="OLE_LINK63"/>
                <w:bookmarkStart w:id="96" w:name="OLE_LINK64"/>
                <w:r>
                  <w:rPr>
                    <w:rFonts w:hint="eastAsia"/>
                  </w:rPr>
                  <w:t>7</w:t>
                </w:r>
                <w:bookmarkEnd w:id="95"/>
                <w:bookmarkEnd w:id="96"/>
              </w:p>
            </w:tc>
            <w:tc>
              <w:tcPr>
                <w:tcW w:w="968" w:type="dxa"/>
                <w:vAlign w:val="center"/>
              </w:tcPr>
              <w:p w14:paraId="6603CC97">
                <w:pPr>
                  <w:widowControl w:val="0"/>
                  <w:jc w:val="right"/>
                </w:pPr>
                <w:r>
                  <w:rPr>
                    <w:rFonts w:hint="eastAsia"/>
                  </w:rPr>
                  <w:t>7</w:t>
                </w:r>
              </w:p>
            </w:tc>
            <w:tc>
              <w:tcPr>
                <w:tcW w:w="904" w:type="dxa"/>
                <w:vAlign w:val="center"/>
              </w:tcPr>
              <w:p w14:paraId="120E5129">
                <w:pPr>
                  <w:widowControl w:val="0"/>
                  <w:jc w:val="right"/>
                </w:pPr>
                <w:r>
                  <w:rPr>
                    <w:rFonts w:hint="eastAsia"/>
                  </w:rPr>
                  <w:t>0</w:t>
                </w:r>
              </w:p>
            </w:tc>
            <w:tc>
              <w:tcPr>
                <w:tcW w:w="845" w:type="dxa"/>
                <w:vAlign w:val="center"/>
              </w:tcPr>
              <w:p w14:paraId="20F0D002">
                <w:pPr>
                  <w:widowControl w:val="0"/>
                  <w:jc w:val="right"/>
                </w:pPr>
                <w:r>
                  <w:rPr>
                    <w:rFonts w:hint="eastAsia"/>
                  </w:rPr>
                  <w:t>0</w:t>
                </w:r>
              </w:p>
            </w:tc>
            <w:sdt>
              <w:sdtPr>
                <w:rPr>
                  <w:rFonts w:hint="eastAsia"/>
                </w:rPr>
                <w:alias w:val="董事参加董事会的出席情况明细-是否连续两次未亲自参加会议"/>
                <w:tag w:val="_GBC_4748dc7c4f9b495f9d97d5c22a5e08e6"/>
                <w:id w:val="-849711150"/>
                <w:comboBox>
                  <w:listItem w:displayText="是" w:value="true"/>
                  <w:listItem w:displayText="否" w:value="false"/>
                </w:comboBox>
              </w:sdtPr>
              <w:sdtEndPr>
                <w:rPr>
                  <w:rFonts w:hint="eastAsia"/>
                </w:rPr>
              </w:sdtEndPr>
              <w:sdtContent>
                <w:tc>
                  <w:tcPr>
                    <w:tcW w:w="1292" w:type="dxa"/>
                    <w:vAlign w:val="center"/>
                  </w:tcPr>
                  <w:p w14:paraId="581DF672">
                    <w:pPr>
                      <w:widowControl w:val="0"/>
                      <w:jc w:val="right"/>
                    </w:pPr>
                    <w:r>
                      <w:rPr>
                        <w:rFonts w:hint="eastAsia"/>
                      </w:rPr>
                      <w:t>否</w:t>
                    </w:r>
                  </w:p>
                </w:tc>
              </w:sdtContent>
            </w:sdt>
            <w:tc>
              <w:tcPr>
                <w:tcW w:w="1261" w:type="dxa"/>
                <w:vAlign w:val="center"/>
              </w:tcPr>
              <w:p w14:paraId="63FCE198">
                <w:pPr>
                  <w:widowControl w:val="0"/>
                  <w:jc w:val="right"/>
                </w:pPr>
                <w:r>
                  <w:rPr>
                    <w:rFonts w:hint="eastAsia"/>
                  </w:rPr>
                  <w:t>5</w:t>
                </w:r>
              </w:p>
            </w:tc>
          </w:tr>
          <w:tr w14:paraId="0049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979" w:type="dxa"/>
                <w:vAlign w:val="center"/>
              </w:tcPr>
              <w:p w14:paraId="1DDB0460">
                <w:pPr>
                  <w:pStyle w:val="48"/>
                </w:pPr>
                <w:r>
                  <w:t>张文海</w:t>
                </w:r>
              </w:p>
            </w:tc>
            <w:sdt>
              <w:sdtPr>
                <w:rPr>
                  <w:rFonts w:hint="eastAsia"/>
                </w:rPr>
                <w:alias w:val="董事参加董事会的出席情况明细-是否独立董事"/>
                <w:tag w:val="_GBC_8f65cf2d483747a58ee92c8a36ee6375"/>
                <w:id w:val="392322462"/>
                <w:comboBox>
                  <w:listItem w:displayText="是" w:value="true"/>
                  <w:listItem w:displayText="否" w:value="false"/>
                </w:comboBox>
              </w:sdtPr>
              <w:sdtEndPr>
                <w:rPr>
                  <w:rFonts w:hint="eastAsia"/>
                </w:rPr>
              </w:sdtEndPr>
              <w:sdtContent>
                <w:tc>
                  <w:tcPr>
                    <w:tcW w:w="845" w:type="dxa"/>
                    <w:vAlign w:val="center"/>
                  </w:tcPr>
                  <w:p w14:paraId="5F808183">
                    <w:pPr>
                      <w:widowControl w:val="0"/>
                      <w:jc w:val="center"/>
                    </w:pPr>
                    <w:r>
                      <w:rPr>
                        <w:rFonts w:hint="eastAsia"/>
                      </w:rPr>
                      <w:t>否</w:t>
                    </w:r>
                  </w:p>
                </w:tc>
              </w:sdtContent>
            </w:sdt>
            <w:tc>
              <w:tcPr>
                <w:tcW w:w="1098" w:type="dxa"/>
                <w:vAlign w:val="center"/>
              </w:tcPr>
              <w:p w14:paraId="0AB92F00">
                <w:pPr>
                  <w:widowControl w:val="0"/>
                  <w:jc w:val="right"/>
                </w:pPr>
                <w:r>
                  <w:rPr>
                    <w:rFonts w:hint="eastAsia"/>
                  </w:rPr>
                  <w:t>7</w:t>
                </w:r>
              </w:p>
            </w:tc>
            <w:tc>
              <w:tcPr>
                <w:tcW w:w="852" w:type="dxa"/>
                <w:vAlign w:val="center"/>
              </w:tcPr>
              <w:p w14:paraId="4D21FA84">
                <w:pPr>
                  <w:widowControl w:val="0"/>
                  <w:jc w:val="right"/>
                </w:pPr>
                <w:r>
                  <w:t>7</w:t>
                </w:r>
              </w:p>
            </w:tc>
            <w:tc>
              <w:tcPr>
                <w:tcW w:w="968" w:type="dxa"/>
                <w:vAlign w:val="center"/>
              </w:tcPr>
              <w:p w14:paraId="2A0402D0">
                <w:pPr>
                  <w:widowControl w:val="0"/>
                  <w:jc w:val="right"/>
                </w:pPr>
                <w:r>
                  <w:t>7</w:t>
                </w:r>
              </w:p>
            </w:tc>
            <w:tc>
              <w:tcPr>
                <w:tcW w:w="904" w:type="dxa"/>
                <w:vAlign w:val="center"/>
              </w:tcPr>
              <w:p w14:paraId="54538097">
                <w:pPr>
                  <w:widowControl w:val="0"/>
                  <w:jc w:val="right"/>
                </w:pPr>
                <w:r>
                  <w:rPr>
                    <w:rFonts w:hint="eastAsia"/>
                  </w:rPr>
                  <w:t>0</w:t>
                </w:r>
              </w:p>
            </w:tc>
            <w:tc>
              <w:tcPr>
                <w:tcW w:w="845" w:type="dxa"/>
                <w:vAlign w:val="center"/>
              </w:tcPr>
              <w:p w14:paraId="7AE15DC3">
                <w:pPr>
                  <w:widowControl w:val="0"/>
                  <w:jc w:val="right"/>
                </w:pPr>
                <w:r>
                  <w:rPr>
                    <w:rFonts w:hint="eastAsia"/>
                  </w:rPr>
                  <w:t>0</w:t>
                </w:r>
              </w:p>
            </w:tc>
            <w:sdt>
              <w:sdtPr>
                <w:rPr>
                  <w:rFonts w:hint="eastAsia"/>
                </w:rPr>
                <w:alias w:val="董事参加董事会的出席情况明细-是否连续两次未亲自参加会议"/>
                <w:tag w:val="_GBC_4748dc7c4f9b495f9d97d5c22a5e08e6"/>
                <w:id w:val="-872454927"/>
                <w:comboBox>
                  <w:listItem w:displayText="是" w:value="true"/>
                  <w:listItem w:displayText="否" w:value="false"/>
                </w:comboBox>
              </w:sdtPr>
              <w:sdtEndPr>
                <w:rPr>
                  <w:rFonts w:hint="eastAsia"/>
                </w:rPr>
              </w:sdtEndPr>
              <w:sdtContent>
                <w:tc>
                  <w:tcPr>
                    <w:tcW w:w="1292" w:type="dxa"/>
                    <w:vAlign w:val="center"/>
                  </w:tcPr>
                  <w:p w14:paraId="7242BC4E">
                    <w:pPr>
                      <w:widowControl w:val="0"/>
                      <w:jc w:val="right"/>
                    </w:pPr>
                    <w:r>
                      <w:rPr>
                        <w:rFonts w:hint="eastAsia"/>
                      </w:rPr>
                      <w:t>否</w:t>
                    </w:r>
                  </w:p>
                </w:tc>
              </w:sdtContent>
            </w:sdt>
            <w:tc>
              <w:tcPr>
                <w:tcW w:w="1261" w:type="dxa"/>
                <w:vAlign w:val="center"/>
              </w:tcPr>
              <w:p w14:paraId="69F97BB1">
                <w:pPr>
                  <w:widowControl w:val="0"/>
                  <w:jc w:val="right"/>
                </w:pPr>
                <w:r>
                  <w:rPr>
                    <w:rFonts w:hint="eastAsia"/>
                  </w:rPr>
                  <w:t>5</w:t>
                </w:r>
              </w:p>
            </w:tc>
          </w:tr>
          <w:tr w14:paraId="0DAE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979" w:type="dxa"/>
                <w:vAlign w:val="center"/>
              </w:tcPr>
              <w:p w14:paraId="50084815">
                <w:pPr>
                  <w:pStyle w:val="48"/>
                </w:pPr>
                <w:r>
                  <w:t>王玮</w:t>
                </w:r>
              </w:p>
            </w:tc>
            <w:sdt>
              <w:sdtPr>
                <w:rPr>
                  <w:rFonts w:hint="eastAsia"/>
                </w:rPr>
                <w:alias w:val="董事参加董事会的出席情况明细-是否独立董事"/>
                <w:tag w:val="_GBC_8f65cf2d483747a58ee92c8a36ee6375"/>
                <w:id w:val="-1030566866"/>
                <w:comboBox>
                  <w:listItem w:displayText="是" w:value="true"/>
                  <w:listItem w:displayText="否" w:value="false"/>
                </w:comboBox>
              </w:sdtPr>
              <w:sdtEndPr>
                <w:rPr>
                  <w:rFonts w:hint="eastAsia"/>
                </w:rPr>
              </w:sdtEndPr>
              <w:sdtContent>
                <w:tc>
                  <w:tcPr>
                    <w:tcW w:w="845" w:type="dxa"/>
                    <w:vAlign w:val="center"/>
                  </w:tcPr>
                  <w:p w14:paraId="4CD011B6">
                    <w:pPr>
                      <w:widowControl w:val="0"/>
                      <w:jc w:val="center"/>
                    </w:pPr>
                    <w:r>
                      <w:rPr>
                        <w:rFonts w:hint="eastAsia"/>
                      </w:rPr>
                      <w:t>否</w:t>
                    </w:r>
                  </w:p>
                </w:tc>
              </w:sdtContent>
            </w:sdt>
            <w:tc>
              <w:tcPr>
                <w:tcW w:w="1098" w:type="dxa"/>
                <w:vAlign w:val="center"/>
              </w:tcPr>
              <w:p w14:paraId="40909583">
                <w:pPr>
                  <w:widowControl w:val="0"/>
                  <w:jc w:val="right"/>
                </w:pPr>
                <w:r>
                  <w:rPr>
                    <w:rFonts w:hint="eastAsia"/>
                  </w:rPr>
                  <w:t>7</w:t>
                </w:r>
              </w:p>
            </w:tc>
            <w:tc>
              <w:tcPr>
                <w:tcW w:w="852" w:type="dxa"/>
                <w:vAlign w:val="center"/>
              </w:tcPr>
              <w:p w14:paraId="14FB563C">
                <w:pPr>
                  <w:widowControl w:val="0"/>
                  <w:jc w:val="right"/>
                </w:pPr>
                <w:r>
                  <w:t>7</w:t>
                </w:r>
              </w:p>
            </w:tc>
            <w:tc>
              <w:tcPr>
                <w:tcW w:w="968" w:type="dxa"/>
                <w:vAlign w:val="center"/>
              </w:tcPr>
              <w:p w14:paraId="6B5EE79C">
                <w:pPr>
                  <w:widowControl w:val="0"/>
                  <w:jc w:val="right"/>
                </w:pPr>
                <w:r>
                  <w:t>7</w:t>
                </w:r>
              </w:p>
            </w:tc>
            <w:tc>
              <w:tcPr>
                <w:tcW w:w="904" w:type="dxa"/>
                <w:vAlign w:val="center"/>
              </w:tcPr>
              <w:p w14:paraId="4E94A562">
                <w:pPr>
                  <w:widowControl w:val="0"/>
                  <w:jc w:val="right"/>
                </w:pPr>
                <w:r>
                  <w:rPr>
                    <w:rFonts w:hint="eastAsia"/>
                  </w:rPr>
                  <w:t>0</w:t>
                </w:r>
              </w:p>
            </w:tc>
            <w:tc>
              <w:tcPr>
                <w:tcW w:w="845" w:type="dxa"/>
                <w:vAlign w:val="center"/>
              </w:tcPr>
              <w:p w14:paraId="7247C0F6">
                <w:pPr>
                  <w:widowControl w:val="0"/>
                  <w:jc w:val="right"/>
                </w:pPr>
                <w:r>
                  <w:rPr>
                    <w:rFonts w:hint="eastAsia"/>
                  </w:rPr>
                  <w:t>0</w:t>
                </w:r>
              </w:p>
            </w:tc>
            <w:sdt>
              <w:sdtPr>
                <w:rPr>
                  <w:rFonts w:hint="eastAsia"/>
                </w:rPr>
                <w:alias w:val="董事参加董事会的出席情况明细-是否连续两次未亲自参加会议"/>
                <w:tag w:val="_GBC_4748dc7c4f9b495f9d97d5c22a5e08e6"/>
                <w:id w:val="1553967343"/>
                <w:comboBox>
                  <w:listItem w:displayText="是" w:value="true"/>
                  <w:listItem w:displayText="否" w:value="false"/>
                </w:comboBox>
              </w:sdtPr>
              <w:sdtEndPr>
                <w:rPr>
                  <w:rFonts w:hint="eastAsia"/>
                </w:rPr>
              </w:sdtEndPr>
              <w:sdtContent>
                <w:tc>
                  <w:tcPr>
                    <w:tcW w:w="1292" w:type="dxa"/>
                    <w:vAlign w:val="center"/>
                  </w:tcPr>
                  <w:p w14:paraId="549C12DB">
                    <w:pPr>
                      <w:widowControl w:val="0"/>
                      <w:jc w:val="right"/>
                    </w:pPr>
                    <w:r>
                      <w:rPr>
                        <w:rFonts w:hint="eastAsia"/>
                      </w:rPr>
                      <w:t>否</w:t>
                    </w:r>
                  </w:p>
                </w:tc>
              </w:sdtContent>
            </w:sdt>
            <w:tc>
              <w:tcPr>
                <w:tcW w:w="1261" w:type="dxa"/>
                <w:vAlign w:val="center"/>
              </w:tcPr>
              <w:p w14:paraId="464FFB4C">
                <w:pPr>
                  <w:widowControl w:val="0"/>
                  <w:jc w:val="right"/>
                </w:pPr>
                <w:r>
                  <w:rPr>
                    <w:rFonts w:hint="eastAsia"/>
                  </w:rPr>
                  <w:t>5</w:t>
                </w:r>
              </w:p>
            </w:tc>
          </w:tr>
          <w:tr w14:paraId="6E22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979" w:type="dxa"/>
                <w:vAlign w:val="center"/>
              </w:tcPr>
              <w:p w14:paraId="1AC93460">
                <w:pPr>
                  <w:pStyle w:val="48"/>
                </w:pPr>
                <w:r>
                  <w:t>曾健纯</w:t>
                </w:r>
              </w:p>
            </w:tc>
            <w:sdt>
              <w:sdtPr>
                <w:rPr>
                  <w:rFonts w:hint="eastAsia"/>
                </w:rPr>
                <w:alias w:val="董事参加董事会的出席情况明细-是否独立董事"/>
                <w:tag w:val="_GBC_8f65cf2d483747a58ee92c8a36ee6375"/>
                <w:id w:val="745538512"/>
                <w:comboBox>
                  <w:listItem w:displayText="是" w:value="true"/>
                  <w:listItem w:displayText="否" w:value="false"/>
                </w:comboBox>
              </w:sdtPr>
              <w:sdtEndPr>
                <w:rPr>
                  <w:rFonts w:hint="eastAsia"/>
                </w:rPr>
              </w:sdtEndPr>
              <w:sdtContent>
                <w:tc>
                  <w:tcPr>
                    <w:tcW w:w="845" w:type="dxa"/>
                    <w:vAlign w:val="center"/>
                  </w:tcPr>
                  <w:p w14:paraId="61B2E8E1">
                    <w:pPr>
                      <w:widowControl w:val="0"/>
                      <w:jc w:val="center"/>
                    </w:pPr>
                    <w:r>
                      <w:rPr>
                        <w:rFonts w:hint="eastAsia"/>
                      </w:rPr>
                      <w:t>否</w:t>
                    </w:r>
                  </w:p>
                </w:tc>
              </w:sdtContent>
            </w:sdt>
            <w:tc>
              <w:tcPr>
                <w:tcW w:w="1098" w:type="dxa"/>
                <w:vAlign w:val="center"/>
              </w:tcPr>
              <w:p w14:paraId="598B2660">
                <w:pPr>
                  <w:widowControl w:val="0"/>
                  <w:jc w:val="right"/>
                </w:pPr>
                <w:r>
                  <w:rPr>
                    <w:rFonts w:hint="eastAsia"/>
                  </w:rPr>
                  <w:t>7</w:t>
                </w:r>
              </w:p>
            </w:tc>
            <w:tc>
              <w:tcPr>
                <w:tcW w:w="852" w:type="dxa"/>
                <w:vAlign w:val="center"/>
              </w:tcPr>
              <w:p w14:paraId="6FD0656E">
                <w:pPr>
                  <w:widowControl w:val="0"/>
                  <w:jc w:val="right"/>
                </w:pPr>
                <w:r>
                  <w:t>7</w:t>
                </w:r>
              </w:p>
            </w:tc>
            <w:tc>
              <w:tcPr>
                <w:tcW w:w="968" w:type="dxa"/>
                <w:vAlign w:val="center"/>
              </w:tcPr>
              <w:p w14:paraId="0841EBAA">
                <w:pPr>
                  <w:widowControl w:val="0"/>
                  <w:jc w:val="right"/>
                </w:pPr>
                <w:r>
                  <w:t>7</w:t>
                </w:r>
              </w:p>
            </w:tc>
            <w:tc>
              <w:tcPr>
                <w:tcW w:w="904" w:type="dxa"/>
                <w:vAlign w:val="center"/>
              </w:tcPr>
              <w:p w14:paraId="6B85C08D">
                <w:pPr>
                  <w:widowControl w:val="0"/>
                  <w:jc w:val="right"/>
                </w:pPr>
                <w:r>
                  <w:rPr>
                    <w:rFonts w:hint="eastAsia"/>
                  </w:rPr>
                  <w:t>0</w:t>
                </w:r>
              </w:p>
            </w:tc>
            <w:tc>
              <w:tcPr>
                <w:tcW w:w="845" w:type="dxa"/>
                <w:vAlign w:val="center"/>
              </w:tcPr>
              <w:p w14:paraId="76CE9CC2">
                <w:pPr>
                  <w:widowControl w:val="0"/>
                  <w:jc w:val="right"/>
                </w:pPr>
                <w:r>
                  <w:rPr>
                    <w:rFonts w:hint="eastAsia"/>
                  </w:rPr>
                  <w:t>0</w:t>
                </w:r>
              </w:p>
            </w:tc>
            <w:sdt>
              <w:sdtPr>
                <w:rPr>
                  <w:rFonts w:hint="eastAsia"/>
                </w:rPr>
                <w:alias w:val="董事参加董事会的出席情况明细-是否连续两次未亲自参加会议"/>
                <w:tag w:val="_GBC_4748dc7c4f9b495f9d97d5c22a5e08e6"/>
                <w:id w:val="2137069327"/>
                <w:comboBox>
                  <w:listItem w:displayText="是" w:value="true"/>
                  <w:listItem w:displayText="否" w:value="false"/>
                </w:comboBox>
              </w:sdtPr>
              <w:sdtEndPr>
                <w:rPr>
                  <w:rFonts w:hint="eastAsia"/>
                </w:rPr>
              </w:sdtEndPr>
              <w:sdtContent>
                <w:tc>
                  <w:tcPr>
                    <w:tcW w:w="1292" w:type="dxa"/>
                    <w:vAlign w:val="center"/>
                  </w:tcPr>
                  <w:p w14:paraId="73A5F3CD">
                    <w:pPr>
                      <w:widowControl w:val="0"/>
                      <w:jc w:val="right"/>
                    </w:pPr>
                    <w:r>
                      <w:rPr>
                        <w:rFonts w:hint="eastAsia"/>
                      </w:rPr>
                      <w:t>否</w:t>
                    </w:r>
                  </w:p>
                </w:tc>
              </w:sdtContent>
            </w:sdt>
            <w:tc>
              <w:tcPr>
                <w:tcW w:w="1261" w:type="dxa"/>
                <w:vAlign w:val="center"/>
              </w:tcPr>
              <w:p w14:paraId="6AC85F9D">
                <w:pPr>
                  <w:widowControl w:val="0"/>
                  <w:jc w:val="right"/>
                </w:pPr>
                <w:r>
                  <w:rPr>
                    <w:rFonts w:hint="eastAsia"/>
                  </w:rPr>
                  <w:t>5</w:t>
                </w:r>
              </w:p>
            </w:tc>
          </w:tr>
          <w:tr w14:paraId="0003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979" w:type="dxa"/>
                <w:vAlign w:val="center"/>
              </w:tcPr>
              <w:p w14:paraId="4E51B264">
                <w:pPr>
                  <w:pStyle w:val="48"/>
                </w:pPr>
                <w:r>
                  <w:t>毕焱</w:t>
                </w:r>
              </w:p>
            </w:tc>
            <w:sdt>
              <w:sdtPr>
                <w:rPr>
                  <w:rFonts w:hint="eastAsia"/>
                </w:rPr>
                <w:alias w:val="董事参加董事会的出席情况明细-是否独立董事"/>
                <w:tag w:val="_GBC_8f65cf2d483747a58ee92c8a36ee6375"/>
                <w:id w:val="-398440586"/>
                <w:comboBox>
                  <w:listItem w:displayText="是" w:value="true"/>
                  <w:listItem w:displayText="否" w:value="false"/>
                </w:comboBox>
              </w:sdtPr>
              <w:sdtEndPr>
                <w:rPr>
                  <w:rFonts w:hint="eastAsia"/>
                </w:rPr>
              </w:sdtEndPr>
              <w:sdtContent>
                <w:tc>
                  <w:tcPr>
                    <w:tcW w:w="845" w:type="dxa"/>
                    <w:vAlign w:val="center"/>
                  </w:tcPr>
                  <w:p w14:paraId="46813E28">
                    <w:pPr>
                      <w:widowControl w:val="0"/>
                      <w:jc w:val="center"/>
                    </w:pPr>
                    <w:r>
                      <w:rPr>
                        <w:rFonts w:hint="eastAsia"/>
                      </w:rPr>
                      <w:t>是</w:t>
                    </w:r>
                  </w:p>
                </w:tc>
              </w:sdtContent>
            </w:sdt>
            <w:tc>
              <w:tcPr>
                <w:tcW w:w="1098" w:type="dxa"/>
                <w:vAlign w:val="center"/>
              </w:tcPr>
              <w:p w14:paraId="30102C50">
                <w:pPr>
                  <w:widowControl w:val="0"/>
                  <w:jc w:val="right"/>
                </w:pPr>
                <w:r>
                  <w:rPr>
                    <w:rFonts w:hint="eastAsia"/>
                  </w:rPr>
                  <w:t>7</w:t>
                </w:r>
              </w:p>
            </w:tc>
            <w:tc>
              <w:tcPr>
                <w:tcW w:w="852" w:type="dxa"/>
                <w:vAlign w:val="center"/>
              </w:tcPr>
              <w:p w14:paraId="6C3D1C4F">
                <w:pPr>
                  <w:widowControl w:val="0"/>
                  <w:jc w:val="right"/>
                </w:pPr>
                <w:r>
                  <w:t>7</w:t>
                </w:r>
              </w:p>
            </w:tc>
            <w:tc>
              <w:tcPr>
                <w:tcW w:w="968" w:type="dxa"/>
                <w:vAlign w:val="center"/>
              </w:tcPr>
              <w:p w14:paraId="0868B069">
                <w:pPr>
                  <w:widowControl w:val="0"/>
                  <w:jc w:val="right"/>
                </w:pPr>
                <w:r>
                  <w:t>5</w:t>
                </w:r>
              </w:p>
            </w:tc>
            <w:tc>
              <w:tcPr>
                <w:tcW w:w="904" w:type="dxa"/>
                <w:vAlign w:val="center"/>
              </w:tcPr>
              <w:p w14:paraId="669AB06F">
                <w:pPr>
                  <w:widowControl w:val="0"/>
                  <w:jc w:val="right"/>
                </w:pPr>
                <w:r>
                  <w:rPr>
                    <w:rFonts w:hint="eastAsia"/>
                  </w:rPr>
                  <w:t>0</w:t>
                </w:r>
              </w:p>
            </w:tc>
            <w:tc>
              <w:tcPr>
                <w:tcW w:w="845" w:type="dxa"/>
                <w:vAlign w:val="center"/>
              </w:tcPr>
              <w:p w14:paraId="044EA8ED">
                <w:pPr>
                  <w:widowControl w:val="0"/>
                  <w:jc w:val="right"/>
                </w:pPr>
                <w:r>
                  <w:rPr>
                    <w:rFonts w:hint="eastAsia"/>
                  </w:rPr>
                  <w:t>0</w:t>
                </w:r>
              </w:p>
            </w:tc>
            <w:sdt>
              <w:sdtPr>
                <w:rPr>
                  <w:rFonts w:hint="eastAsia"/>
                </w:rPr>
                <w:alias w:val="董事参加董事会的出席情况明细-是否连续两次未亲自参加会议"/>
                <w:tag w:val="_GBC_4748dc7c4f9b495f9d97d5c22a5e08e6"/>
                <w:id w:val="-790815960"/>
                <w:comboBox>
                  <w:listItem w:displayText="是" w:value="true"/>
                  <w:listItem w:displayText="否" w:value="false"/>
                </w:comboBox>
              </w:sdtPr>
              <w:sdtEndPr>
                <w:rPr>
                  <w:rFonts w:hint="eastAsia"/>
                </w:rPr>
              </w:sdtEndPr>
              <w:sdtContent>
                <w:tc>
                  <w:tcPr>
                    <w:tcW w:w="1292" w:type="dxa"/>
                    <w:vAlign w:val="center"/>
                  </w:tcPr>
                  <w:p w14:paraId="472A7129">
                    <w:pPr>
                      <w:widowControl w:val="0"/>
                      <w:jc w:val="right"/>
                    </w:pPr>
                    <w:r>
                      <w:rPr>
                        <w:rFonts w:hint="eastAsia"/>
                      </w:rPr>
                      <w:t>否</w:t>
                    </w:r>
                  </w:p>
                </w:tc>
              </w:sdtContent>
            </w:sdt>
            <w:tc>
              <w:tcPr>
                <w:tcW w:w="1261" w:type="dxa"/>
                <w:vAlign w:val="center"/>
              </w:tcPr>
              <w:p w14:paraId="6B6112C6">
                <w:pPr>
                  <w:widowControl w:val="0"/>
                  <w:jc w:val="right"/>
                </w:pPr>
                <w:r>
                  <w:rPr>
                    <w:rFonts w:hint="eastAsia"/>
                  </w:rPr>
                  <w:t>5</w:t>
                </w:r>
              </w:p>
            </w:tc>
          </w:tr>
          <w:tr w14:paraId="6C5E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979" w:type="dxa"/>
                <w:vAlign w:val="center"/>
              </w:tcPr>
              <w:p w14:paraId="02483B51">
                <w:pPr>
                  <w:pStyle w:val="48"/>
                </w:pPr>
                <w:r>
                  <w:t>徐岱</w:t>
                </w:r>
              </w:p>
            </w:tc>
            <w:sdt>
              <w:sdtPr>
                <w:rPr>
                  <w:rFonts w:hint="eastAsia"/>
                </w:rPr>
                <w:alias w:val="董事参加董事会的出席情况明细-是否独立董事"/>
                <w:tag w:val="_GBC_8f65cf2d483747a58ee92c8a36ee6375"/>
                <w:id w:val="160747595"/>
                <w:comboBox>
                  <w:listItem w:displayText="是" w:value="true"/>
                  <w:listItem w:displayText="否" w:value="false"/>
                </w:comboBox>
              </w:sdtPr>
              <w:sdtEndPr>
                <w:rPr>
                  <w:rFonts w:hint="eastAsia"/>
                </w:rPr>
              </w:sdtEndPr>
              <w:sdtContent>
                <w:tc>
                  <w:tcPr>
                    <w:tcW w:w="845" w:type="dxa"/>
                    <w:vAlign w:val="center"/>
                  </w:tcPr>
                  <w:p w14:paraId="38363E91">
                    <w:pPr>
                      <w:widowControl w:val="0"/>
                      <w:jc w:val="center"/>
                    </w:pPr>
                    <w:r>
                      <w:rPr>
                        <w:rFonts w:hint="eastAsia"/>
                      </w:rPr>
                      <w:t>是</w:t>
                    </w:r>
                  </w:p>
                </w:tc>
              </w:sdtContent>
            </w:sdt>
            <w:tc>
              <w:tcPr>
                <w:tcW w:w="1098" w:type="dxa"/>
                <w:vAlign w:val="center"/>
              </w:tcPr>
              <w:p w14:paraId="74642088">
                <w:pPr>
                  <w:widowControl w:val="0"/>
                  <w:jc w:val="right"/>
                </w:pPr>
                <w:r>
                  <w:rPr>
                    <w:rFonts w:hint="eastAsia"/>
                  </w:rPr>
                  <w:t>7</w:t>
                </w:r>
              </w:p>
            </w:tc>
            <w:tc>
              <w:tcPr>
                <w:tcW w:w="852" w:type="dxa"/>
                <w:vAlign w:val="center"/>
              </w:tcPr>
              <w:p w14:paraId="08F088D8">
                <w:pPr>
                  <w:widowControl w:val="0"/>
                  <w:jc w:val="right"/>
                </w:pPr>
                <w:r>
                  <w:t>7</w:t>
                </w:r>
              </w:p>
            </w:tc>
            <w:tc>
              <w:tcPr>
                <w:tcW w:w="968" w:type="dxa"/>
                <w:vAlign w:val="center"/>
              </w:tcPr>
              <w:p w14:paraId="2D5FE8F6">
                <w:pPr>
                  <w:widowControl w:val="0"/>
                  <w:jc w:val="right"/>
                </w:pPr>
                <w:r>
                  <w:t>5</w:t>
                </w:r>
              </w:p>
            </w:tc>
            <w:tc>
              <w:tcPr>
                <w:tcW w:w="904" w:type="dxa"/>
                <w:vAlign w:val="center"/>
              </w:tcPr>
              <w:p w14:paraId="1E63D84E">
                <w:pPr>
                  <w:widowControl w:val="0"/>
                  <w:jc w:val="right"/>
                </w:pPr>
                <w:r>
                  <w:rPr>
                    <w:rFonts w:hint="eastAsia"/>
                  </w:rPr>
                  <w:t>0</w:t>
                </w:r>
              </w:p>
            </w:tc>
            <w:tc>
              <w:tcPr>
                <w:tcW w:w="845" w:type="dxa"/>
                <w:vAlign w:val="center"/>
              </w:tcPr>
              <w:p w14:paraId="4F5E243A">
                <w:pPr>
                  <w:widowControl w:val="0"/>
                  <w:jc w:val="right"/>
                </w:pPr>
                <w:r>
                  <w:rPr>
                    <w:rFonts w:hint="eastAsia"/>
                  </w:rPr>
                  <w:t>0</w:t>
                </w:r>
              </w:p>
            </w:tc>
            <w:sdt>
              <w:sdtPr>
                <w:rPr>
                  <w:rFonts w:hint="eastAsia"/>
                </w:rPr>
                <w:alias w:val="董事参加董事会的出席情况明细-是否连续两次未亲自参加会议"/>
                <w:tag w:val="_GBC_4748dc7c4f9b495f9d97d5c22a5e08e6"/>
                <w:id w:val="691350299"/>
                <w:comboBox>
                  <w:listItem w:displayText="是" w:value="true"/>
                  <w:listItem w:displayText="否" w:value="false"/>
                </w:comboBox>
              </w:sdtPr>
              <w:sdtEndPr>
                <w:rPr>
                  <w:rFonts w:hint="eastAsia"/>
                </w:rPr>
              </w:sdtEndPr>
              <w:sdtContent>
                <w:tc>
                  <w:tcPr>
                    <w:tcW w:w="1292" w:type="dxa"/>
                    <w:vAlign w:val="center"/>
                  </w:tcPr>
                  <w:p w14:paraId="122EF222">
                    <w:pPr>
                      <w:widowControl w:val="0"/>
                      <w:jc w:val="right"/>
                    </w:pPr>
                    <w:r>
                      <w:rPr>
                        <w:rFonts w:hint="eastAsia"/>
                      </w:rPr>
                      <w:t>否</w:t>
                    </w:r>
                  </w:p>
                </w:tc>
              </w:sdtContent>
            </w:sdt>
            <w:tc>
              <w:tcPr>
                <w:tcW w:w="1261" w:type="dxa"/>
                <w:vAlign w:val="center"/>
              </w:tcPr>
              <w:p w14:paraId="5CE0B117">
                <w:pPr>
                  <w:widowControl w:val="0"/>
                  <w:jc w:val="right"/>
                </w:pPr>
                <w:r>
                  <w:rPr>
                    <w:rFonts w:hint="eastAsia"/>
                  </w:rPr>
                  <w:t>5</w:t>
                </w:r>
              </w:p>
            </w:tc>
          </w:tr>
          <w:tr w14:paraId="6E4E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979" w:type="dxa"/>
                <w:vAlign w:val="center"/>
              </w:tcPr>
              <w:p w14:paraId="682C20E7">
                <w:pPr>
                  <w:pStyle w:val="48"/>
                </w:pPr>
                <w:r>
                  <w:t>徐力</w:t>
                </w:r>
              </w:p>
            </w:tc>
            <w:sdt>
              <w:sdtPr>
                <w:rPr>
                  <w:rFonts w:hint="eastAsia"/>
                </w:rPr>
                <w:alias w:val="董事参加董事会的出席情况明细-是否独立董事"/>
                <w:tag w:val="_GBC_8f65cf2d483747a58ee92c8a36ee6375"/>
                <w:id w:val="-202641080"/>
                <w:comboBox>
                  <w:listItem w:displayText="是" w:value="true"/>
                  <w:listItem w:displayText="否" w:value="false"/>
                </w:comboBox>
              </w:sdtPr>
              <w:sdtEndPr>
                <w:rPr>
                  <w:rFonts w:hint="eastAsia"/>
                </w:rPr>
              </w:sdtEndPr>
              <w:sdtContent>
                <w:tc>
                  <w:tcPr>
                    <w:tcW w:w="845" w:type="dxa"/>
                    <w:vAlign w:val="center"/>
                  </w:tcPr>
                  <w:p w14:paraId="63F0562A">
                    <w:pPr>
                      <w:widowControl w:val="0"/>
                      <w:jc w:val="center"/>
                    </w:pPr>
                    <w:r>
                      <w:rPr>
                        <w:rFonts w:hint="eastAsia"/>
                      </w:rPr>
                      <w:t>是</w:t>
                    </w:r>
                  </w:p>
                </w:tc>
              </w:sdtContent>
            </w:sdt>
            <w:tc>
              <w:tcPr>
                <w:tcW w:w="1098" w:type="dxa"/>
                <w:vAlign w:val="center"/>
              </w:tcPr>
              <w:p w14:paraId="512F5945">
                <w:pPr>
                  <w:widowControl w:val="0"/>
                  <w:jc w:val="right"/>
                </w:pPr>
                <w:r>
                  <w:rPr>
                    <w:rFonts w:hint="eastAsia"/>
                  </w:rPr>
                  <w:t>7</w:t>
                </w:r>
              </w:p>
            </w:tc>
            <w:tc>
              <w:tcPr>
                <w:tcW w:w="852" w:type="dxa"/>
                <w:vAlign w:val="center"/>
              </w:tcPr>
              <w:p w14:paraId="7BD8356B">
                <w:pPr>
                  <w:widowControl w:val="0"/>
                  <w:jc w:val="right"/>
                </w:pPr>
                <w:r>
                  <w:t>7</w:t>
                </w:r>
              </w:p>
            </w:tc>
            <w:tc>
              <w:tcPr>
                <w:tcW w:w="968" w:type="dxa"/>
                <w:vAlign w:val="center"/>
              </w:tcPr>
              <w:p w14:paraId="35EE3A43">
                <w:pPr>
                  <w:widowControl w:val="0"/>
                  <w:jc w:val="right"/>
                </w:pPr>
                <w:r>
                  <w:t>5</w:t>
                </w:r>
              </w:p>
            </w:tc>
            <w:tc>
              <w:tcPr>
                <w:tcW w:w="904" w:type="dxa"/>
                <w:vAlign w:val="center"/>
              </w:tcPr>
              <w:p w14:paraId="10D89228">
                <w:pPr>
                  <w:widowControl w:val="0"/>
                  <w:jc w:val="right"/>
                </w:pPr>
                <w:r>
                  <w:rPr>
                    <w:rFonts w:hint="eastAsia"/>
                  </w:rPr>
                  <w:t>0</w:t>
                </w:r>
              </w:p>
            </w:tc>
            <w:tc>
              <w:tcPr>
                <w:tcW w:w="845" w:type="dxa"/>
                <w:vAlign w:val="center"/>
              </w:tcPr>
              <w:p w14:paraId="360972FF">
                <w:pPr>
                  <w:widowControl w:val="0"/>
                  <w:jc w:val="right"/>
                </w:pPr>
                <w:r>
                  <w:rPr>
                    <w:rFonts w:hint="eastAsia"/>
                  </w:rPr>
                  <w:t>0</w:t>
                </w:r>
              </w:p>
            </w:tc>
            <w:sdt>
              <w:sdtPr>
                <w:rPr>
                  <w:rFonts w:hint="eastAsia"/>
                </w:rPr>
                <w:alias w:val="董事参加董事会的出席情况明细-是否连续两次未亲自参加会议"/>
                <w:tag w:val="_GBC_4748dc7c4f9b495f9d97d5c22a5e08e6"/>
                <w:id w:val="-1090619081"/>
                <w:comboBox>
                  <w:listItem w:displayText="是" w:value="true"/>
                  <w:listItem w:displayText="否" w:value="false"/>
                </w:comboBox>
              </w:sdtPr>
              <w:sdtEndPr>
                <w:rPr>
                  <w:rFonts w:hint="eastAsia"/>
                </w:rPr>
              </w:sdtEndPr>
              <w:sdtContent>
                <w:tc>
                  <w:tcPr>
                    <w:tcW w:w="1292" w:type="dxa"/>
                    <w:vAlign w:val="center"/>
                  </w:tcPr>
                  <w:p w14:paraId="77F89668">
                    <w:pPr>
                      <w:widowControl w:val="0"/>
                      <w:jc w:val="right"/>
                    </w:pPr>
                    <w:r>
                      <w:rPr>
                        <w:rFonts w:hint="eastAsia"/>
                      </w:rPr>
                      <w:t>否</w:t>
                    </w:r>
                  </w:p>
                </w:tc>
              </w:sdtContent>
            </w:sdt>
            <w:tc>
              <w:tcPr>
                <w:tcW w:w="1261" w:type="dxa"/>
                <w:vAlign w:val="center"/>
              </w:tcPr>
              <w:p w14:paraId="2080F571">
                <w:pPr>
                  <w:widowControl w:val="0"/>
                  <w:jc w:val="right"/>
                </w:pPr>
                <w:r>
                  <w:rPr>
                    <w:rFonts w:hint="eastAsia"/>
                  </w:rPr>
                  <w:t>5</w:t>
                </w:r>
              </w:p>
            </w:tc>
          </w:tr>
        </w:tbl>
        <w:p w14:paraId="7961A197">
          <w:pPr>
            <w:pStyle w:val="48"/>
          </w:pPr>
        </w:p>
        <w:p w14:paraId="2E6C5630">
          <w:pPr>
            <w:pStyle w:val="48"/>
          </w:pPr>
          <w:r>
            <w:t>连续两次未亲自出席董事会会议的说明</w:t>
          </w:r>
        </w:p>
        <w:sdt>
          <w:sdtPr>
            <w:alias w:val="是否适用：连续两次未亲自出席董事会会议的说明[双击切换]"/>
            <w:tag w:val="_GBC_866534c9760844d1a6f6fa69c39ae52d"/>
            <w:id w:val="-1993632200"/>
            <w:placeholder>
              <w:docPart w:val="GBC22222222222222222222222222222"/>
            </w:placeholder>
          </w:sdtPr>
          <w:sdtContent>
            <w:p w14:paraId="74C39044">
              <w:pPr>
                <w:pStyle w:val="48"/>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FDD7032">
      <w:pPr>
        <w:pStyle w:val="48"/>
      </w:pPr>
    </w:p>
    <w:sdt>
      <w:sdtPr>
        <w:alias w:val="模块:召开董事会会议次数"/>
        <w:tag w:val="_SEC_2e2eb2c5022048f7a720555ef5553771"/>
        <w:id w:val="1115561630"/>
        <w:placeholder>
          <w:docPart w:val="GBC22222222222222222222222222222"/>
        </w:placeholder>
      </w:sdtPr>
      <w:sdtContent>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4"/>
            <w:gridCol w:w="4525"/>
          </w:tblGrid>
          <w:tr w14:paraId="47B3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fc68bf164f04edda97a907df4cc747d"/>
                <w:id w:val="-946544788"/>
              </w:sdtPr>
              <w:sdtContent>
                <w:tc>
                  <w:tcPr>
                    <w:tcW w:w="4524" w:type="dxa"/>
                    <w:vAlign w:val="center"/>
                  </w:tcPr>
                  <w:p w14:paraId="468D5DEE">
                    <w:pPr>
                      <w:pStyle w:val="48"/>
                    </w:pPr>
                    <w:r>
                      <w:t>年内召开董事会会议次数</w:t>
                    </w:r>
                  </w:p>
                </w:tc>
              </w:sdtContent>
            </w:sdt>
            <w:sdt>
              <w:sdtPr>
                <w:rPr>
                  <w:rFonts w:hint="eastAsia"/>
                </w:rPr>
                <w:alias w:val="报告期内召开董事会会议次数"/>
                <w:tag w:val="_GBC_cabd294ab90e40d0afb59e61df002667"/>
                <w:id w:val="-1820570735"/>
              </w:sdtPr>
              <w:sdtEndPr>
                <w:rPr>
                  <w:rFonts w:hint="eastAsia"/>
                </w:rPr>
              </w:sdtEndPr>
              <w:sdtContent>
                <w:tc>
                  <w:tcPr>
                    <w:tcW w:w="4525" w:type="dxa"/>
                    <w:vAlign w:val="center"/>
                  </w:tcPr>
                  <w:p w14:paraId="086BA208">
                    <w:pPr>
                      <w:pStyle w:val="48"/>
                    </w:pPr>
                    <w:r>
                      <w:t>7</w:t>
                    </w:r>
                  </w:p>
                </w:tc>
              </w:sdtContent>
            </w:sdt>
          </w:tr>
          <w:tr w14:paraId="3C52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vAlign w:val="center"/>
              </w:tcPr>
              <w:p w14:paraId="5BF20402">
                <w:pPr>
                  <w:pStyle w:val="48"/>
                </w:pPr>
                <w:r>
                  <w:t>其中：现场会议次数</w:t>
                </w:r>
              </w:p>
            </w:tc>
            <w:tc>
              <w:tcPr>
                <w:tcW w:w="4525" w:type="dxa"/>
                <w:vAlign w:val="center"/>
              </w:tcPr>
              <w:p w14:paraId="18F71970">
                <w:pPr>
                  <w:pStyle w:val="48"/>
                </w:pPr>
                <w:r>
                  <w:rPr>
                    <w:rFonts w:hint="eastAsia"/>
                  </w:rPr>
                  <w:t>0</w:t>
                </w:r>
              </w:p>
            </w:tc>
          </w:tr>
          <w:tr w14:paraId="3C9B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vAlign w:val="center"/>
              </w:tcPr>
              <w:p w14:paraId="78D43ABE">
                <w:pPr>
                  <w:pStyle w:val="48"/>
                </w:pPr>
                <w:r>
                  <w:t>通讯方式召开会议次数</w:t>
                </w:r>
              </w:p>
            </w:tc>
            <w:tc>
              <w:tcPr>
                <w:tcW w:w="4525" w:type="dxa"/>
                <w:vAlign w:val="center"/>
              </w:tcPr>
              <w:p w14:paraId="1A81D8D7">
                <w:pPr>
                  <w:pStyle w:val="48"/>
                </w:pPr>
                <w:r>
                  <w:t>2</w:t>
                </w:r>
              </w:p>
            </w:tc>
          </w:tr>
          <w:tr w14:paraId="62BC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vAlign w:val="center"/>
              </w:tcPr>
              <w:p w14:paraId="7E0A79B3">
                <w:pPr>
                  <w:pStyle w:val="48"/>
                </w:pPr>
                <w:r>
                  <w:t>现场结合通讯方式召开会议次数</w:t>
                </w:r>
              </w:p>
            </w:tc>
            <w:tc>
              <w:tcPr>
                <w:tcW w:w="4525" w:type="dxa"/>
                <w:vAlign w:val="center"/>
              </w:tcPr>
              <w:p w14:paraId="03F07AFD">
                <w:pPr>
                  <w:pStyle w:val="48"/>
                </w:pPr>
                <w:r>
                  <w:rPr>
                    <w:rFonts w:hint="eastAsia"/>
                  </w:rPr>
                  <w:t>5</w:t>
                </w:r>
              </w:p>
            </w:tc>
          </w:tr>
        </w:tbl>
        <w:p w14:paraId="43D42748">
          <w:pPr>
            <w:pStyle w:val="48"/>
          </w:pPr>
        </w:p>
      </w:sdtContent>
    </w:sdt>
    <w:sdt>
      <w:sdtPr>
        <w:rPr>
          <w:rFonts w:ascii="宋体" w:hAnsi="宋体" w:cs="宋体"/>
          <w:b w:val="0"/>
          <w:bCs w:val="0"/>
          <w:kern w:val="0"/>
          <w:szCs w:val="21"/>
        </w:rPr>
        <w:alias w:val="模块:独立董事对公司有关事项提出异议的情况"/>
        <w:tag w:val="_SEC_b081c22d491d456ea3f9900a0a6757d2"/>
        <w:id w:val="-981839894"/>
        <w:placeholder>
          <w:docPart w:val="GBC22222222222222222222222222222"/>
        </w:placeholder>
      </w:sdtPr>
      <w:sdtEndPr>
        <w:rPr>
          <w:rFonts w:ascii="Calibri" w:hAnsi="Calibri" w:cs="Times New Roman"/>
          <w:b w:val="0"/>
          <w:bCs w:val="0"/>
          <w:kern w:val="2"/>
          <w:szCs w:val="21"/>
        </w:rPr>
      </w:sdtEndPr>
      <w:sdtContent>
        <w:p w14:paraId="12F153AA">
          <w:pPr>
            <w:pStyle w:val="51"/>
            <w:numPr>
              <w:ilvl w:val="0"/>
              <w:numId w:val="21"/>
            </w:numPr>
          </w:pPr>
          <w:r>
            <w:rPr>
              <w:szCs w:val="21"/>
            </w:rPr>
            <w:t>董事对公司有关事项提出异议的情况</w:t>
          </w:r>
        </w:p>
        <w:sdt>
          <w:sdtPr>
            <w:alias w:val="是否适用：独立董事对公司有关事项提出异议的情况[双击切换]"/>
            <w:tag w:val="_GBC_1369df39a53747ff843be7f892cb0cbd"/>
            <w:id w:val="-490403055"/>
            <w:placeholder>
              <w:docPart w:val="GBC22222222222222222222222222222"/>
            </w:placeholder>
          </w:sdtPr>
          <w:sdtContent>
            <w:p w14:paraId="5FF79861">
              <w:pPr>
                <w:pStyle w:val="48"/>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084CDF0">
          <w:pPr>
            <w:pStyle w:val="48"/>
          </w:pPr>
        </w:p>
      </w:sdtContent>
    </w:sdt>
    <w:p w14:paraId="535F32BD">
      <w:pPr>
        <w:pStyle w:val="48"/>
      </w:pPr>
    </w:p>
    <w:sdt>
      <w:sdtPr>
        <w:rPr>
          <w:rFonts w:ascii="宋体" w:hAnsi="宋体" w:cs="宋体"/>
          <w:b w:val="0"/>
          <w:bCs w:val="0"/>
          <w:kern w:val="0"/>
          <w:szCs w:val="21"/>
        </w:rPr>
        <w:alias w:val="模块:其他"/>
        <w:tag w:val="_SEC_bbf6d8e9e0c34286a1bb4f1de8b79fa7"/>
        <w:id w:val="-1852097087"/>
        <w:placeholder>
          <w:docPart w:val="GBC22222222222222222222222222222"/>
        </w:placeholder>
      </w:sdtPr>
      <w:sdtEndPr>
        <w:rPr>
          <w:rFonts w:ascii="Calibri" w:hAnsi="Calibri" w:cs="Times New Roman"/>
          <w:b w:val="0"/>
          <w:bCs w:val="0"/>
          <w:kern w:val="2"/>
          <w:szCs w:val="21"/>
        </w:rPr>
      </w:sdtEndPr>
      <w:sdtContent>
        <w:p w14:paraId="754EEF1E">
          <w:pPr>
            <w:pStyle w:val="51"/>
            <w:numPr>
              <w:ilvl w:val="0"/>
              <w:numId w:val="21"/>
            </w:numPr>
          </w:pPr>
          <w:r>
            <w:rPr>
              <w:szCs w:val="21"/>
            </w:rPr>
            <w:t>其他</w:t>
          </w:r>
        </w:p>
        <w:sdt>
          <w:sdtPr>
            <w:rPr>
              <w:rFonts w:hint="eastAsia"/>
            </w:rPr>
            <w:alias w:val="是否适用：其他董事履行职责情况说明[双击切换]"/>
            <w:tag w:val="_GBC_ba1a70dda14046559f72c5b524ca1125"/>
            <w:id w:val="466947645"/>
            <w:placeholder>
              <w:docPart w:val="GBC22222222222222222222222222222"/>
            </w:placeholder>
          </w:sdtPr>
          <w:sdtEndPr>
            <w:rPr>
              <w:rFonts w:hint="eastAsia"/>
            </w:rPr>
          </w:sdtEndPr>
          <w:sdtContent>
            <w:p w14:paraId="75AC4BBA">
              <w:pPr>
                <w:pStyle w:val="48"/>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E22380D">
      <w:pPr>
        <w:pStyle w:val="48"/>
      </w:pPr>
    </w:p>
    <w:sdt>
      <w:sdtPr>
        <w:tag w:val="_PLD_51f1c635fe1d40e18fec65dfb0947575"/>
        <w:id w:val="1695964200"/>
      </w:sdtPr>
      <w:sdtContent>
        <w:p w14:paraId="1BFA049A">
          <w:pPr>
            <w:pStyle w:val="3"/>
            <w:numPr>
              <w:ilvl w:val="0"/>
              <w:numId w:val="20"/>
            </w:numPr>
          </w:pPr>
          <w:r>
            <w:rPr>
              <w:rFonts w:hint="eastAsia"/>
            </w:rPr>
            <w:t>董事会下设专门委员会情况</w:t>
          </w:r>
        </w:p>
      </w:sdtContent>
    </w:sdt>
    <w:sdt>
      <w:sdtPr>
        <w:rPr>
          <w:rFonts w:hint="eastAsia"/>
        </w:rPr>
        <w:alias w:val="是否适用：董事会下设专门委员会情况[双击切换]"/>
        <w:tag w:val="_GBC_88389a2d52e44644a2332ba32500fe69"/>
        <w:id w:val="-1206633056"/>
        <w:lock w:val="contentLocked"/>
        <w:placeholder>
          <w:docPart w:val="GBC22222222222222222222222222222"/>
        </w:placeholder>
      </w:sdtPr>
      <w:sdtEndPr>
        <w:rPr>
          <w:rFonts w:hint="eastAsia"/>
        </w:rPr>
      </w:sdtEndPr>
      <w:sdtContent>
        <w:p w14:paraId="5CB4E288">
          <w:pPr>
            <w:pStyle w:val="48"/>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cs="宋体"/>
          <w:b w:val="0"/>
          <w:bCs w:val="0"/>
          <w:kern w:val="0"/>
          <w:szCs w:val="24"/>
        </w:rPr>
        <w:alias w:val="模块:董事会下设专门委员会成员情况"/>
        <w:tag w:val="_SEC_63280ca6bc7d4a03bf45626bc1c8022c"/>
        <w:id w:val="-523238578"/>
        <w:placeholder>
          <w:docPart w:val="GBC22222222222222222222222222222"/>
        </w:placeholder>
      </w:sdtPr>
      <w:sdtEndPr>
        <w:rPr>
          <w:rFonts w:hint="eastAsia" w:ascii="Calibri" w:hAnsi="Calibri" w:cs="Times New Roman"/>
          <w:b w:val="0"/>
          <w:bCs w:val="0"/>
          <w:kern w:val="2"/>
          <w:szCs w:val="21"/>
        </w:rPr>
      </w:sdtEndPr>
      <w:sdtContent>
        <w:p w14:paraId="68EAFC89">
          <w:pPr>
            <w:pStyle w:val="51"/>
            <w:numPr>
              <w:ilvl w:val="0"/>
              <w:numId w:val="22"/>
            </w:numPr>
          </w:pPr>
          <w:r>
            <w:rPr>
              <w:rFonts w:hint="eastAsia"/>
            </w:rPr>
            <w:t>董事会下设专门委员会成员情况</w:t>
          </w:r>
        </w:p>
        <w:tbl>
          <w:tblPr>
            <w:tblStyle w:val="46"/>
            <w:tblW w:w="9051" w:type="dxa"/>
            <w:jc w:val="center"/>
            <w:tblLayout w:type="fixed"/>
            <w:tblCellMar>
              <w:top w:w="0" w:type="dxa"/>
              <w:left w:w="108" w:type="dxa"/>
              <w:bottom w:w="0" w:type="dxa"/>
              <w:right w:w="108" w:type="dxa"/>
            </w:tblCellMar>
          </w:tblPr>
          <w:tblGrid>
            <w:gridCol w:w="2586"/>
            <w:gridCol w:w="6465"/>
          </w:tblGrid>
          <w:tr w14:paraId="25CA7C37">
            <w:tblPrEx>
              <w:tblCellMar>
                <w:top w:w="0" w:type="dxa"/>
                <w:left w:w="108" w:type="dxa"/>
                <w:bottom w:w="0" w:type="dxa"/>
                <w:right w:w="108" w:type="dxa"/>
              </w:tblCellMar>
            </w:tblPrEx>
            <w:trPr>
              <w:trHeight w:val="270" w:hRule="atLeast"/>
              <w:jc w:val="center"/>
            </w:trPr>
            <w:sdt>
              <w:sdtPr>
                <w:tag w:val="_PLD_d469fc77cfdc44b0b043e0b1ab52e604"/>
                <w:id w:val="1902796005"/>
              </w:sdtPr>
              <w:sdtContent>
                <w:tc>
                  <w:tcPr>
                    <w:tcW w:w="2586" w:type="dxa"/>
                    <w:tcBorders>
                      <w:top w:val="single" w:color="auto" w:sz="4" w:space="0"/>
                      <w:left w:val="single" w:color="auto" w:sz="4" w:space="0"/>
                      <w:bottom w:val="single" w:color="auto" w:sz="4" w:space="0"/>
                      <w:right w:val="single" w:color="auto" w:sz="4" w:space="0"/>
                    </w:tcBorders>
                    <w:noWrap/>
                    <w:vAlign w:val="center"/>
                  </w:tcPr>
                  <w:p w14:paraId="0F1ECEAF">
                    <w:pPr>
                      <w:jc w:val="center"/>
                      <w:rPr>
                        <w:rFonts w:ascii="Calibri" w:hAnsi="Calibri"/>
                        <w:color w:val="000000"/>
                        <w:sz w:val="22"/>
                        <w:szCs w:val="20"/>
                      </w:rPr>
                    </w:pPr>
                    <w:r>
                      <w:rPr>
                        <w:rFonts w:hint="eastAsia" w:ascii="Calibri" w:hAnsi="Calibri"/>
                        <w:color w:val="000000"/>
                        <w:sz w:val="22"/>
                        <w:szCs w:val="20"/>
                      </w:rPr>
                      <w:t>专门委员会类别</w:t>
                    </w:r>
                  </w:p>
                </w:tc>
              </w:sdtContent>
            </w:sdt>
            <w:sdt>
              <w:sdtPr>
                <w:tag w:val="_PLD_32d037161ea94d0eb907c4e766b75044"/>
                <w:id w:val="350221951"/>
              </w:sdtPr>
              <w:sdtContent>
                <w:tc>
                  <w:tcPr>
                    <w:tcW w:w="6465" w:type="dxa"/>
                    <w:tcBorders>
                      <w:top w:val="single" w:color="auto" w:sz="4" w:space="0"/>
                      <w:left w:val="nil"/>
                      <w:bottom w:val="single" w:color="auto" w:sz="4" w:space="0"/>
                      <w:right w:val="single" w:color="auto" w:sz="4" w:space="0"/>
                    </w:tcBorders>
                    <w:noWrap/>
                    <w:vAlign w:val="center"/>
                  </w:tcPr>
                  <w:p w14:paraId="086F7195">
                    <w:pPr>
                      <w:jc w:val="center"/>
                      <w:rPr>
                        <w:rFonts w:ascii="Calibri" w:hAnsi="Calibri"/>
                        <w:color w:val="000000"/>
                        <w:sz w:val="22"/>
                        <w:szCs w:val="20"/>
                      </w:rPr>
                    </w:pPr>
                    <w:r>
                      <w:rPr>
                        <w:rFonts w:hint="eastAsia" w:ascii="Calibri" w:hAnsi="Calibri"/>
                        <w:color w:val="000000"/>
                        <w:sz w:val="22"/>
                        <w:szCs w:val="20"/>
                      </w:rPr>
                      <w:t>成员姓名</w:t>
                    </w:r>
                  </w:p>
                </w:tc>
              </w:sdtContent>
            </w:sdt>
          </w:tr>
          <w:tr w14:paraId="5CD4F034">
            <w:tblPrEx>
              <w:tblCellMar>
                <w:top w:w="0" w:type="dxa"/>
                <w:left w:w="108" w:type="dxa"/>
                <w:bottom w:w="0" w:type="dxa"/>
                <w:right w:w="108" w:type="dxa"/>
              </w:tblCellMar>
            </w:tblPrEx>
            <w:trPr>
              <w:trHeight w:val="270" w:hRule="atLeast"/>
              <w:jc w:val="center"/>
            </w:trPr>
            <w:tc>
              <w:tcPr>
                <w:tcW w:w="2586" w:type="dxa"/>
                <w:tcBorders>
                  <w:top w:val="nil"/>
                  <w:left w:val="single" w:color="auto" w:sz="4" w:space="0"/>
                  <w:bottom w:val="single" w:color="auto" w:sz="4" w:space="0"/>
                  <w:right w:val="single" w:color="auto" w:sz="4" w:space="0"/>
                </w:tcBorders>
                <w:noWrap/>
                <w:vAlign w:val="center"/>
              </w:tcPr>
              <w:p w14:paraId="28518D7F">
                <w:pPr>
                  <w:rPr>
                    <w:rFonts w:ascii="Calibri" w:hAnsi="Calibri"/>
                    <w:color w:val="000000"/>
                    <w:sz w:val="22"/>
                    <w:szCs w:val="20"/>
                  </w:rPr>
                </w:pPr>
                <w:r>
                  <w:rPr>
                    <w:rFonts w:hint="eastAsia" w:ascii="Calibri" w:hAnsi="Calibri"/>
                    <w:color w:val="000000"/>
                    <w:sz w:val="22"/>
                    <w:szCs w:val="20"/>
                  </w:rPr>
                  <w:t>审计委员会</w:t>
                </w:r>
              </w:p>
            </w:tc>
            <w:tc>
              <w:tcPr>
                <w:tcW w:w="6465" w:type="dxa"/>
                <w:tcBorders>
                  <w:top w:val="nil"/>
                  <w:left w:val="nil"/>
                  <w:bottom w:val="single" w:color="auto" w:sz="4" w:space="0"/>
                  <w:right w:val="single" w:color="auto" w:sz="4" w:space="0"/>
                </w:tcBorders>
                <w:noWrap/>
                <w:vAlign w:val="center"/>
              </w:tcPr>
              <w:p w14:paraId="2C7564D1">
                <w:pPr>
                  <w:rPr>
                    <w:rFonts w:ascii="Calibri" w:hAnsi="Calibri"/>
                    <w:sz w:val="24"/>
                    <w:szCs w:val="24"/>
                  </w:rPr>
                </w:pPr>
                <w:r>
                  <w:rPr>
                    <w:rFonts w:hint="eastAsia" w:ascii="Calibri" w:hAnsi="Calibri"/>
                    <w:sz w:val="20"/>
                    <w:szCs w:val="20"/>
                  </w:rPr>
                  <w:t>冷春生</w:t>
                </w:r>
                <w:r>
                  <w:rPr>
                    <w:rFonts w:ascii="Calibri" w:hAnsi="Calibri"/>
                    <w:sz w:val="20"/>
                    <w:szCs w:val="20"/>
                  </w:rPr>
                  <w:t>、王玮、毕焱、徐岱、徐力           召集人：毕焱</w:t>
                </w:r>
              </w:p>
            </w:tc>
          </w:tr>
          <w:tr w14:paraId="35EC54D3">
            <w:tblPrEx>
              <w:tblCellMar>
                <w:top w:w="0" w:type="dxa"/>
                <w:left w:w="108" w:type="dxa"/>
                <w:bottom w:w="0" w:type="dxa"/>
                <w:right w:w="108" w:type="dxa"/>
              </w:tblCellMar>
            </w:tblPrEx>
            <w:trPr>
              <w:trHeight w:val="270" w:hRule="atLeast"/>
              <w:jc w:val="center"/>
            </w:trPr>
            <w:tc>
              <w:tcPr>
                <w:tcW w:w="2586" w:type="dxa"/>
                <w:tcBorders>
                  <w:top w:val="nil"/>
                  <w:left w:val="single" w:color="auto" w:sz="4" w:space="0"/>
                  <w:bottom w:val="single" w:color="auto" w:sz="4" w:space="0"/>
                  <w:right w:val="single" w:color="auto" w:sz="4" w:space="0"/>
                </w:tcBorders>
                <w:noWrap/>
                <w:vAlign w:val="center"/>
              </w:tcPr>
              <w:p w14:paraId="6BC0D6A4">
                <w:pPr>
                  <w:rPr>
                    <w:rFonts w:ascii="Calibri" w:hAnsi="Calibri"/>
                    <w:color w:val="000000"/>
                    <w:sz w:val="22"/>
                    <w:szCs w:val="20"/>
                  </w:rPr>
                </w:pPr>
                <w:r>
                  <w:rPr>
                    <w:rFonts w:hint="eastAsia" w:ascii="Calibri" w:hAnsi="Calibri"/>
                    <w:color w:val="000000"/>
                    <w:sz w:val="22"/>
                    <w:szCs w:val="20"/>
                  </w:rPr>
                  <w:t>提名委员会</w:t>
                </w:r>
              </w:p>
            </w:tc>
            <w:tc>
              <w:tcPr>
                <w:tcW w:w="6465" w:type="dxa"/>
                <w:tcBorders>
                  <w:top w:val="nil"/>
                  <w:left w:val="nil"/>
                  <w:bottom w:val="single" w:color="auto" w:sz="4" w:space="0"/>
                  <w:right w:val="single" w:color="auto" w:sz="4" w:space="0"/>
                </w:tcBorders>
                <w:noWrap/>
                <w:vAlign w:val="center"/>
              </w:tcPr>
              <w:p w14:paraId="34AFEA83">
                <w:pPr>
                  <w:pStyle w:val="48"/>
                  <w:rPr>
                    <w:sz w:val="20"/>
                    <w:szCs w:val="20"/>
                  </w:rPr>
                </w:pPr>
                <w:r>
                  <w:rPr>
                    <w:sz w:val="20"/>
                    <w:szCs w:val="20"/>
                  </w:rPr>
                  <w:t>李佳鸿、冷春生、毕焱、徐岱、徐力          召集人：徐力</w:t>
                </w:r>
              </w:p>
            </w:tc>
          </w:tr>
          <w:tr w14:paraId="0A0692EC">
            <w:tblPrEx>
              <w:tblCellMar>
                <w:top w:w="0" w:type="dxa"/>
                <w:left w:w="108" w:type="dxa"/>
                <w:bottom w:w="0" w:type="dxa"/>
                <w:right w:w="108" w:type="dxa"/>
              </w:tblCellMar>
            </w:tblPrEx>
            <w:trPr>
              <w:trHeight w:val="270" w:hRule="atLeast"/>
              <w:jc w:val="center"/>
            </w:trPr>
            <w:tc>
              <w:tcPr>
                <w:tcW w:w="2586" w:type="dxa"/>
                <w:tcBorders>
                  <w:top w:val="nil"/>
                  <w:left w:val="single" w:color="auto" w:sz="4" w:space="0"/>
                  <w:bottom w:val="single" w:color="auto" w:sz="4" w:space="0"/>
                  <w:right w:val="single" w:color="auto" w:sz="4" w:space="0"/>
                </w:tcBorders>
                <w:noWrap/>
                <w:vAlign w:val="center"/>
              </w:tcPr>
              <w:p w14:paraId="2B993DD5">
                <w:pPr>
                  <w:rPr>
                    <w:rFonts w:ascii="Calibri" w:hAnsi="Calibri"/>
                    <w:color w:val="000000"/>
                    <w:sz w:val="22"/>
                    <w:szCs w:val="20"/>
                  </w:rPr>
                </w:pPr>
                <w:r>
                  <w:rPr>
                    <w:rFonts w:hint="eastAsia" w:ascii="Calibri" w:hAnsi="Calibri"/>
                    <w:color w:val="000000"/>
                    <w:sz w:val="22"/>
                    <w:szCs w:val="20"/>
                  </w:rPr>
                  <w:t>薪酬与考核委员会</w:t>
                </w:r>
              </w:p>
            </w:tc>
            <w:tc>
              <w:tcPr>
                <w:tcW w:w="6465" w:type="dxa"/>
                <w:tcBorders>
                  <w:top w:val="nil"/>
                  <w:left w:val="nil"/>
                  <w:bottom w:val="single" w:color="auto" w:sz="4" w:space="0"/>
                  <w:right w:val="single" w:color="auto" w:sz="4" w:space="0"/>
                </w:tcBorders>
                <w:noWrap/>
                <w:vAlign w:val="center"/>
              </w:tcPr>
              <w:p w14:paraId="6E577D35">
                <w:pPr>
                  <w:pStyle w:val="48"/>
                  <w:rPr>
                    <w:sz w:val="20"/>
                    <w:szCs w:val="20"/>
                  </w:rPr>
                </w:pPr>
                <w:r>
                  <w:rPr>
                    <w:sz w:val="20"/>
                    <w:szCs w:val="20"/>
                  </w:rPr>
                  <w:t>李佳鸿、冷春生、毕焱、徐岱、徐力          召集人：徐岱</w:t>
                </w:r>
              </w:p>
            </w:tc>
          </w:tr>
          <w:tr w14:paraId="07FE39A1">
            <w:tblPrEx>
              <w:tblCellMar>
                <w:top w:w="0" w:type="dxa"/>
                <w:left w:w="108" w:type="dxa"/>
                <w:bottom w:w="0" w:type="dxa"/>
                <w:right w:w="108" w:type="dxa"/>
              </w:tblCellMar>
            </w:tblPrEx>
            <w:trPr>
              <w:trHeight w:val="270" w:hRule="atLeast"/>
              <w:jc w:val="center"/>
            </w:trPr>
            <w:tc>
              <w:tcPr>
                <w:tcW w:w="2586" w:type="dxa"/>
                <w:tcBorders>
                  <w:top w:val="single" w:color="auto" w:sz="4" w:space="0"/>
                  <w:left w:val="single" w:color="auto" w:sz="4" w:space="0"/>
                  <w:bottom w:val="single" w:color="auto" w:sz="4" w:space="0"/>
                  <w:right w:val="single" w:color="auto" w:sz="4" w:space="0"/>
                </w:tcBorders>
                <w:noWrap/>
                <w:vAlign w:val="center"/>
              </w:tcPr>
              <w:p w14:paraId="1CBD1B74">
                <w:pPr>
                  <w:rPr>
                    <w:rFonts w:ascii="Calibri" w:hAnsi="Calibri"/>
                    <w:color w:val="000000"/>
                    <w:sz w:val="22"/>
                    <w:szCs w:val="20"/>
                  </w:rPr>
                </w:pPr>
                <w:r>
                  <w:rPr>
                    <w:rFonts w:hint="eastAsia" w:ascii="Calibri" w:hAnsi="Calibri"/>
                    <w:color w:val="000000"/>
                    <w:sz w:val="22"/>
                    <w:szCs w:val="20"/>
                  </w:rPr>
                  <w:t>战略委员会</w:t>
                </w:r>
              </w:p>
            </w:tc>
            <w:tc>
              <w:tcPr>
                <w:tcW w:w="6465" w:type="dxa"/>
                <w:tcBorders>
                  <w:top w:val="single" w:color="auto" w:sz="4" w:space="0"/>
                  <w:left w:val="nil"/>
                  <w:bottom w:val="single" w:color="auto" w:sz="4" w:space="0"/>
                  <w:right w:val="single" w:color="auto" w:sz="4" w:space="0"/>
                </w:tcBorders>
                <w:noWrap/>
                <w:vAlign w:val="center"/>
              </w:tcPr>
              <w:p w14:paraId="202D8BB9">
                <w:pPr>
                  <w:pStyle w:val="48"/>
                  <w:rPr>
                    <w:sz w:val="20"/>
                    <w:szCs w:val="20"/>
                  </w:rPr>
                </w:pPr>
                <w:r>
                  <w:rPr>
                    <w:sz w:val="20"/>
                    <w:szCs w:val="20"/>
                  </w:rPr>
                  <w:t>李佳鸿、冷春生、王玮、曾健纯、徐岱        召集人：李佳鸿</w:t>
                </w:r>
              </w:p>
            </w:tc>
          </w:tr>
        </w:tbl>
        <w:p w14:paraId="5C5FC4BB">
          <w:pPr>
            <w:pStyle w:val="48"/>
          </w:pPr>
        </w:p>
      </w:sdtContent>
    </w:sdt>
    <w:p w14:paraId="195FFC40">
      <w:pPr>
        <w:pStyle w:val="51"/>
        <w:numPr>
          <w:ilvl w:val="0"/>
          <w:numId w:val="22"/>
        </w:numPr>
      </w:pPr>
      <w:r>
        <w:rPr>
          <w:rFonts w:hint="eastAsia"/>
        </w:rPr>
        <w:t>报告期内</w:t>
      </w:r>
      <w:sdt>
        <w:sdtPr>
          <w:rPr>
            <w:rFonts w:hint="eastAsia" w:ascii="宋体" w:hAnsi="宋体" w:cs="宋体"/>
            <w:kern w:val="0"/>
            <w:szCs w:val="24"/>
          </w:rPr>
          <w:alias w:val="召开会议的专门委员会类别"/>
          <w:tag w:val="_GBC_adf76ecbe3584f07b573642215a867bd"/>
          <w:id w:val="552506342"/>
          <w:placeholder>
            <w:docPart w:val="GBC22222222222222222222222222222"/>
          </w:placeholder>
        </w:sdtPr>
        <w:sdtEndPr>
          <w:rPr>
            <w:rFonts w:hint="eastAsia" w:ascii="宋体" w:hAnsi="宋体" w:cs="宋体"/>
            <w:kern w:val="0"/>
            <w:szCs w:val="24"/>
          </w:rPr>
        </w:sdtEndPr>
        <w:sdtContent>
          <w:r>
            <w:rPr>
              <w:rFonts w:hint="eastAsia"/>
            </w:rPr>
            <w:t>审计</w:t>
          </w:r>
        </w:sdtContent>
      </w:sdt>
      <w:r>
        <w:rPr>
          <w:rFonts w:hint="eastAsia"/>
        </w:rPr>
        <w:t>委员会召开</w:t>
      </w:r>
      <w:sdt>
        <w:sdtPr>
          <w:rPr>
            <w:rFonts w:hint="eastAsia" w:ascii="宋体" w:hAnsi="宋体" w:cs="宋体"/>
            <w:kern w:val="0"/>
            <w:szCs w:val="24"/>
          </w:rPr>
          <w:alias w:val="报告期内召开专门委员会会议次数"/>
          <w:tag w:val="_GBC_7bf2cd7c3a6a4685ac9c89ee396352a0"/>
          <w:id w:val="1287623341"/>
          <w:placeholder>
            <w:docPart w:val="GBC22222222222222222222222222222"/>
          </w:placeholder>
        </w:sdtPr>
        <w:sdtEndPr>
          <w:rPr>
            <w:rFonts w:hint="eastAsia" w:ascii="宋体" w:hAnsi="宋体" w:cs="宋体"/>
            <w:kern w:val="0"/>
            <w:szCs w:val="24"/>
          </w:rPr>
        </w:sdtEndPr>
        <w:sdtContent>
          <w:r>
            <w:rPr>
              <w:rFonts w:hint="eastAsia"/>
            </w:rPr>
            <w:t>七</w:t>
          </w:r>
        </w:sdtContent>
      </w:sdt>
      <w:r>
        <w:rPr>
          <w:rFonts w:hint="eastAsia"/>
        </w:rPr>
        <w:t>次会议</w:t>
      </w:r>
    </w:p>
    <w:tbl>
      <w:tblPr>
        <w:tblStyle w:val="46"/>
        <w:tblW w:w="10207"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410"/>
        <w:gridCol w:w="4678"/>
        <w:gridCol w:w="1134"/>
      </w:tblGrid>
      <w:tr w14:paraId="4681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1aefc289fbf48b1865138608d8bd14f"/>
            <w:id w:val="1263262409"/>
          </w:sdtPr>
          <w:sdtContent>
            <w:tc>
              <w:tcPr>
                <w:tcW w:w="1985" w:type="dxa"/>
                <w:vAlign w:val="center"/>
              </w:tcPr>
              <w:p w14:paraId="28E2FA68">
                <w:pPr>
                  <w:jc w:val="center"/>
                  <w:rPr>
                    <w:rFonts w:ascii="Calibri" w:hAnsi="Calibri"/>
                    <w:sz w:val="20"/>
                    <w:szCs w:val="20"/>
                  </w:rPr>
                </w:pPr>
                <w:r>
                  <w:rPr>
                    <w:rFonts w:hint="eastAsia" w:ascii="Calibri" w:hAnsi="Calibri"/>
                    <w:sz w:val="20"/>
                    <w:szCs w:val="20"/>
                  </w:rPr>
                  <w:t>召开日期</w:t>
                </w:r>
              </w:p>
            </w:tc>
          </w:sdtContent>
        </w:sdt>
        <w:sdt>
          <w:sdtPr>
            <w:tag w:val="_PLD_9d24b601ec70414eb969daf6b393edc8"/>
            <w:id w:val="-1143276933"/>
          </w:sdtPr>
          <w:sdtContent>
            <w:tc>
              <w:tcPr>
                <w:tcW w:w="2410" w:type="dxa"/>
                <w:vAlign w:val="center"/>
              </w:tcPr>
              <w:p w14:paraId="39DF0887">
                <w:pPr>
                  <w:jc w:val="center"/>
                  <w:rPr>
                    <w:rFonts w:ascii="Calibri" w:hAnsi="Calibri"/>
                    <w:sz w:val="20"/>
                    <w:szCs w:val="20"/>
                  </w:rPr>
                </w:pPr>
                <w:r>
                  <w:rPr>
                    <w:rFonts w:hint="eastAsia" w:ascii="Calibri" w:hAnsi="Calibri"/>
                    <w:sz w:val="20"/>
                    <w:szCs w:val="20"/>
                  </w:rPr>
                  <w:t>会议内容</w:t>
                </w:r>
              </w:p>
            </w:tc>
          </w:sdtContent>
        </w:sdt>
        <w:sdt>
          <w:sdtPr>
            <w:tag w:val="_PLD_6ea19dadc3684e98a6d98faaf035a9d9"/>
            <w:id w:val="-1582830945"/>
          </w:sdtPr>
          <w:sdtContent>
            <w:tc>
              <w:tcPr>
                <w:tcW w:w="4678" w:type="dxa"/>
                <w:vAlign w:val="center"/>
              </w:tcPr>
              <w:p w14:paraId="470F72F4">
                <w:pPr>
                  <w:jc w:val="center"/>
                  <w:rPr>
                    <w:rFonts w:ascii="Calibri" w:hAnsi="Calibri"/>
                    <w:sz w:val="20"/>
                    <w:szCs w:val="20"/>
                  </w:rPr>
                </w:pPr>
                <w:r>
                  <w:rPr>
                    <w:rFonts w:hint="eastAsia" w:ascii="Calibri" w:hAnsi="Calibri"/>
                    <w:sz w:val="20"/>
                    <w:szCs w:val="20"/>
                  </w:rPr>
                  <w:t>重要意见和建议</w:t>
                </w:r>
              </w:p>
            </w:tc>
          </w:sdtContent>
        </w:sdt>
        <w:sdt>
          <w:sdtPr>
            <w:tag w:val="_PLD_ef03d3ffb00740008011022cb6a96805"/>
            <w:id w:val="975415112"/>
          </w:sdtPr>
          <w:sdtContent>
            <w:tc>
              <w:tcPr>
                <w:tcW w:w="1134" w:type="dxa"/>
                <w:vAlign w:val="center"/>
              </w:tcPr>
              <w:p w14:paraId="15C9F5BC">
                <w:pPr>
                  <w:jc w:val="center"/>
                  <w:rPr>
                    <w:rFonts w:ascii="Calibri" w:hAnsi="Calibri"/>
                    <w:sz w:val="20"/>
                    <w:szCs w:val="20"/>
                  </w:rPr>
                </w:pPr>
                <w:r>
                  <w:rPr>
                    <w:rFonts w:hint="eastAsia" w:ascii="Calibri" w:hAnsi="Calibri"/>
                    <w:sz w:val="20"/>
                    <w:szCs w:val="20"/>
                  </w:rPr>
                  <w:t>其他履行职责情况</w:t>
                </w:r>
              </w:p>
            </w:tc>
          </w:sdtContent>
        </w:sdt>
      </w:tr>
      <w:tr w14:paraId="5AC3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1421A323">
            <w:pPr>
              <w:pStyle w:val="48"/>
              <w:rPr>
                <w:sz w:val="20"/>
                <w:szCs w:val="20"/>
              </w:rPr>
            </w:pPr>
            <w:r>
              <w:rPr>
                <w:rFonts w:hint="eastAsia"/>
                <w:sz w:val="20"/>
                <w:szCs w:val="20"/>
              </w:rPr>
              <w:t>2</w:t>
            </w:r>
            <w:r>
              <w:rPr>
                <w:sz w:val="20"/>
                <w:szCs w:val="20"/>
              </w:rPr>
              <w:t>025</w:t>
            </w:r>
            <w:r>
              <w:rPr>
                <w:rFonts w:hint="eastAsia"/>
                <w:sz w:val="20"/>
                <w:szCs w:val="20"/>
              </w:rPr>
              <w:t>年1月2</w:t>
            </w:r>
            <w:r>
              <w:rPr>
                <w:sz w:val="20"/>
                <w:szCs w:val="20"/>
              </w:rPr>
              <w:t>4</w:t>
            </w:r>
            <w:r>
              <w:rPr>
                <w:rFonts w:hint="eastAsia"/>
                <w:sz w:val="20"/>
                <w:szCs w:val="20"/>
              </w:rPr>
              <w:t>日</w:t>
            </w:r>
          </w:p>
        </w:tc>
        <w:tc>
          <w:tcPr>
            <w:tcW w:w="2410" w:type="dxa"/>
            <w:vAlign w:val="center"/>
          </w:tcPr>
          <w:p w14:paraId="189D5165">
            <w:pPr>
              <w:pStyle w:val="48"/>
              <w:rPr>
                <w:sz w:val="20"/>
                <w:szCs w:val="20"/>
              </w:rPr>
            </w:pPr>
            <w:r>
              <w:rPr>
                <w:rFonts w:hint="eastAsia"/>
                <w:sz w:val="20"/>
                <w:szCs w:val="20"/>
              </w:rPr>
              <w:t>审议公司2024年度未经审计财务报表</w:t>
            </w:r>
          </w:p>
        </w:tc>
        <w:tc>
          <w:tcPr>
            <w:tcW w:w="4678" w:type="dxa"/>
            <w:vAlign w:val="center"/>
          </w:tcPr>
          <w:p w14:paraId="078D917A">
            <w:pPr>
              <w:pStyle w:val="48"/>
              <w:rPr>
                <w:sz w:val="20"/>
                <w:szCs w:val="20"/>
              </w:rPr>
            </w:pPr>
            <w:bookmarkStart w:id="97" w:name="OLE_LINK13"/>
            <w:bookmarkStart w:id="98" w:name="OLE_LINK12"/>
            <w:r>
              <w:rPr>
                <w:rFonts w:hint="eastAsia"/>
                <w:sz w:val="20"/>
                <w:szCs w:val="20"/>
              </w:rPr>
              <w:t>公司财务决算依据充分，会计记录真实可信，公司的财务决算报告能全面、客观、真实反映企业财务状况、经营成果、现金流量和资产质量。</w:t>
            </w:r>
            <w:bookmarkEnd w:id="97"/>
            <w:bookmarkEnd w:id="98"/>
          </w:p>
        </w:tc>
        <w:tc>
          <w:tcPr>
            <w:tcW w:w="1134" w:type="dxa"/>
            <w:vAlign w:val="center"/>
          </w:tcPr>
          <w:p w14:paraId="4CBFC6AB">
            <w:pPr>
              <w:jc w:val="center"/>
              <w:rPr>
                <w:rFonts w:ascii="Calibri" w:hAnsi="Calibri"/>
                <w:sz w:val="20"/>
                <w:szCs w:val="20"/>
              </w:rPr>
            </w:pPr>
            <w:r>
              <w:rPr>
                <w:rFonts w:hint="eastAsia" w:ascii="Calibri" w:hAnsi="Calibri"/>
                <w:sz w:val="20"/>
                <w:szCs w:val="20"/>
              </w:rPr>
              <w:t>无</w:t>
            </w:r>
          </w:p>
        </w:tc>
      </w:tr>
      <w:tr w14:paraId="775E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1D4294E0">
            <w:pPr>
              <w:pStyle w:val="48"/>
              <w:rPr>
                <w:sz w:val="20"/>
                <w:szCs w:val="20"/>
              </w:rPr>
            </w:pPr>
            <w:r>
              <w:rPr>
                <w:rFonts w:hint="eastAsia"/>
                <w:sz w:val="20"/>
                <w:szCs w:val="20"/>
              </w:rPr>
              <w:t>2</w:t>
            </w:r>
            <w:r>
              <w:rPr>
                <w:sz w:val="20"/>
                <w:szCs w:val="20"/>
              </w:rPr>
              <w:t>025</w:t>
            </w:r>
            <w:r>
              <w:rPr>
                <w:rFonts w:hint="eastAsia"/>
                <w:sz w:val="20"/>
                <w:szCs w:val="20"/>
              </w:rPr>
              <w:t>年4月1</w:t>
            </w:r>
            <w:r>
              <w:rPr>
                <w:sz w:val="20"/>
                <w:szCs w:val="20"/>
              </w:rPr>
              <w:t>8</w:t>
            </w:r>
            <w:r>
              <w:rPr>
                <w:rFonts w:hint="eastAsia"/>
                <w:sz w:val="20"/>
                <w:szCs w:val="20"/>
              </w:rPr>
              <w:t>日</w:t>
            </w:r>
          </w:p>
        </w:tc>
        <w:tc>
          <w:tcPr>
            <w:tcW w:w="2410" w:type="dxa"/>
            <w:vAlign w:val="center"/>
          </w:tcPr>
          <w:p w14:paraId="260D52CA">
            <w:pPr>
              <w:pStyle w:val="48"/>
              <w:rPr>
                <w:sz w:val="20"/>
                <w:szCs w:val="20"/>
              </w:rPr>
            </w:pPr>
            <w:r>
              <w:rPr>
                <w:rFonts w:hint="eastAsia"/>
                <w:sz w:val="20"/>
                <w:szCs w:val="20"/>
              </w:rPr>
              <w:t>审阅了由北京德皓国际会计师事务所（特殊普通合伙）出具的2024年度审计报告初稿</w:t>
            </w:r>
          </w:p>
        </w:tc>
        <w:tc>
          <w:tcPr>
            <w:tcW w:w="4678" w:type="dxa"/>
            <w:vAlign w:val="center"/>
          </w:tcPr>
          <w:p w14:paraId="5432AECF">
            <w:pPr>
              <w:pStyle w:val="48"/>
              <w:rPr>
                <w:sz w:val="20"/>
                <w:szCs w:val="20"/>
              </w:rPr>
            </w:pPr>
            <w:r>
              <w:rPr>
                <w:rFonts w:hint="eastAsia"/>
                <w:sz w:val="20"/>
                <w:szCs w:val="20"/>
              </w:rPr>
              <w:t>年审注册会计师经过恰当的审计程序出具了审计报告初稿，对公司财务报告合法性和公允性发表了明确的审议意见，在审计过程中提出的重点关注事项以及建议均与公司管理层达成一致。本委员会同意审计报告初稿，并敦促年审注册会计师进一步复核后在审计计划规定时限内提交审计报告。</w:t>
            </w:r>
          </w:p>
        </w:tc>
        <w:tc>
          <w:tcPr>
            <w:tcW w:w="1134" w:type="dxa"/>
            <w:vAlign w:val="center"/>
          </w:tcPr>
          <w:p w14:paraId="19A87C53">
            <w:pPr>
              <w:jc w:val="center"/>
              <w:rPr>
                <w:rFonts w:ascii="Calibri" w:hAnsi="Calibri"/>
                <w:sz w:val="20"/>
                <w:szCs w:val="20"/>
              </w:rPr>
            </w:pPr>
            <w:r>
              <w:rPr>
                <w:rFonts w:hint="eastAsia" w:ascii="Calibri" w:hAnsi="Calibri"/>
                <w:sz w:val="20"/>
                <w:szCs w:val="20"/>
              </w:rPr>
              <w:t>无</w:t>
            </w:r>
          </w:p>
        </w:tc>
      </w:tr>
      <w:tr w14:paraId="14A5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56A51728">
            <w:pPr>
              <w:pStyle w:val="48"/>
              <w:rPr>
                <w:sz w:val="20"/>
                <w:szCs w:val="20"/>
              </w:rPr>
            </w:pPr>
            <w:bookmarkStart w:id="99" w:name="OLE_LINK58"/>
            <w:r>
              <w:rPr>
                <w:sz w:val="20"/>
                <w:szCs w:val="20"/>
              </w:rPr>
              <w:t>2025年4月28日</w:t>
            </w:r>
            <w:bookmarkEnd w:id="99"/>
          </w:p>
        </w:tc>
        <w:tc>
          <w:tcPr>
            <w:tcW w:w="2410" w:type="dxa"/>
            <w:vAlign w:val="center"/>
          </w:tcPr>
          <w:p w14:paraId="7F6AF88E">
            <w:pPr>
              <w:pStyle w:val="48"/>
              <w:rPr>
                <w:sz w:val="20"/>
                <w:szCs w:val="20"/>
              </w:rPr>
            </w:pPr>
            <w:r>
              <w:rPr>
                <w:rFonts w:hint="eastAsia"/>
                <w:sz w:val="20"/>
                <w:szCs w:val="20"/>
              </w:rPr>
              <w:t>审阅了由北京德皓国际会计师事务所（特殊普通合伙）从事本公司</w:t>
            </w:r>
            <w:r>
              <w:rPr>
                <w:sz w:val="20"/>
                <w:szCs w:val="20"/>
              </w:rPr>
              <w:t>2024年度审计工作的总结报告</w:t>
            </w:r>
            <w:r>
              <w:rPr>
                <w:rFonts w:hint="eastAsia"/>
                <w:sz w:val="20"/>
                <w:szCs w:val="20"/>
              </w:rPr>
              <w:t>，审议《</w:t>
            </w:r>
            <w:r>
              <w:rPr>
                <w:sz w:val="20"/>
                <w:szCs w:val="20"/>
              </w:rPr>
              <w:t>2024年年度报告及报告摘要》</w:t>
            </w:r>
            <w:r>
              <w:rPr>
                <w:rFonts w:hint="eastAsia"/>
                <w:sz w:val="20"/>
                <w:szCs w:val="20"/>
              </w:rPr>
              <w:t>《</w:t>
            </w:r>
            <w:r>
              <w:rPr>
                <w:sz w:val="20"/>
                <w:szCs w:val="20"/>
              </w:rPr>
              <w:t>2024年度财务决算报告》</w:t>
            </w:r>
            <w:r>
              <w:rPr>
                <w:rFonts w:hint="eastAsia"/>
                <w:sz w:val="20"/>
                <w:szCs w:val="20"/>
              </w:rPr>
              <w:t>《公司</w:t>
            </w:r>
            <w:r>
              <w:rPr>
                <w:sz w:val="20"/>
                <w:szCs w:val="20"/>
              </w:rPr>
              <w:t>2024年度内部控制评价报告》</w:t>
            </w:r>
            <w:r>
              <w:rPr>
                <w:rFonts w:hint="eastAsia"/>
                <w:sz w:val="20"/>
                <w:szCs w:val="20"/>
              </w:rPr>
              <w:t>《公司董事会审计委员会</w:t>
            </w:r>
            <w:r>
              <w:rPr>
                <w:sz w:val="20"/>
                <w:szCs w:val="20"/>
              </w:rPr>
              <w:t>2024年度履职情况报告》</w:t>
            </w:r>
            <w:r>
              <w:rPr>
                <w:rFonts w:hint="eastAsia"/>
                <w:sz w:val="20"/>
                <w:szCs w:val="20"/>
              </w:rPr>
              <w:t>《公司</w:t>
            </w:r>
            <w:r>
              <w:rPr>
                <w:sz w:val="20"/>
                <w:szCs w:val="20"/>
              </w:rPr>
              <w:t>2024年度会计师事务所履职情况评估报告》</w:t>
            </w:r>
            <w:r>
              <w:rPr>
                <w:rFonts w:hint="eastAsia"/>
                <w:sz w:val="20"/>
                <w:szCs w:val="20"/>
              </w:rPr>
              <w:t>《公司董事会审计委员会对会计师事务所</w:t>
            </w:r>
            <w:r>
              <w:rPr>
                <w:sz w:val="20"/>
                <w:szCs w:val="20"/>
              </w:rPr>
              <w:t>2024年度履职情况评估及履行监督职责情况报告》</w:t>
            </w:r>
            <w:r>
              <w:rPr>
                <w:rFonts w:hint="eastAsia"/>
                <w:sz w:val="20"/>
                <w:szCs w:val="20"/>
              </w:rPr>
              <w:t>《</w:t>
            </w:r>
            <w:r>
              <w:rPr>
                <w:sz w:val="20"/>
                <w:szCs w:val="20"/>
              </w:rPr>
              <w:t>2025年第一季度报告》</w:t>
            </w:r>
          </w:p>
        </w:tc>
        <w:tc>
          <w:tcPr>
            <w:tcW w:w="4678" w:type="dxa"/>
            <w:vAlign w:val="center"/>
          </w:tcPr>
          <w:p w14:paraId="68D56189">
            <w:pPr>
              <w:pStyle w:val="48"/>
              <w:rPr>
                <w:sz w:val="20"/>
                <w:szCs w:val="20"/>
              </w:rPr>
            </w:pPr>
            <w:r>
              <w:rPr>
                <w:rFonts w:hint="eastAsia"/>
                <w:sz w:val="20"/>
                <w:szCs w:val="20"/>
              </w:rPr>
              <w:t>审计委员会严格按照法律、法规及相关规章制度开展工作，勤勉尽责，</w:t>
            </w:r>
            <w:bookmarkStart w:id="100" w:name="OLE_LINK75"/>
            <w:r>
              <w:rPr>
                <w:rFonts w:hint="eastAsia"/>
                <w:sz w:val="20"/>
                <w:szCs w:val="20"/>
              </w:rPr>
              <w:t>根据公司的实际情况，经过充分沟通讨论，一致通过并同意将议案提交公司董事会审议。</w:t>
            </w:r>
            <w:bookmarkEnd w:id="100"/>
          </w:p>
        </w:tc>
        <w:tc>
          <w:tcPr>
            <w:tcW w:w="1134" w:type="dxa"/>
            <w:vAlign w:val="center"/>
          </w:tcPr>
          <w:p w14:paraId="1471EA84">
            <w:pPr>
              <w:jc w:val="center"/>
              <w:rPr>
                <w:rFonts w:ascii="Calibri" w:hAnsi="Calibri"/>
                <w:sz w:val="20"/>
                <w:szCs w:val="20"/>
              </w:rPr>
            </w:pPr>
            <w:r>
              <w:rPr>
                <w:rFonts w:hint="eastAsia" w:ascii="Calibri" w:hAnsi="Calibri"/>
                <w:sz w:val="20"/>
                <w:szCs w:val="20"/>
              </w:rPr>
              <w:t>无</w:t>
            </w:r>
          </w:p>
        </w:tc>
      </w:tr>
      <w:tr w14:paraId="096E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5DB4676B">
            <w:pPr>
              <w:pStyle w:val="48"/>
              <w:rPr>
                <w:sz w:val="20"/>
                <w:szCs w:val="20"/>
              </w:rPr>
            </w:pPr>
            <w:r>
              <w:rPr>
                <w:sz w:val="20"/>
                <w:szCs w:val="20"/>
              </w:rPr>
              <w:t>2025年7月11日</w:t>
            </w:r>
          </w:p>
        </w:tc>
        <w:tc>
          <w:tcPr>
            <w:tcW w:w="2410" w:type="dxa"/>
            <w:vAlign w:val="center"/>
          </w:tcPr>
          <w:p w14:paraId="0F47F1B1">
            <w:pPr>
              <w:pStyle w:val="48"/>
              <w:rPr>
                <w:sz w:val="20"/>
                <w:szCs w:val="20"/>
              </w:rPr>
            </w:pPr>
            <w:r>
              <w:rPr>
                <w:rFonts w:hint="eastAsia"/>
                <w:sz w:val="20"/>
                <w:szCs w:val="20"/>
              </w:rPr>
              <w:t>审议了关于上海证券交易所对公司</w:t>
            </w:r>
            <w:r>
              <w:rPr>
                <w:sz w:val="20"/>
                <w:szCs w:val="20"/>
              </w:rPr>
              <w:t xml:space="preserve"> 2024 年年度报告信息披露监管问询函中相关问题的回复意见</w:t>
            </w:r>
          </w:p>
        </w:tc>
        <w:tc>
          <w:tcPr>
            <w:tcW w:w="4678" w:type="dxa"/>
            <w:vAlign w:val="center"/>
          </w:tcPr>
          <w:p w14:paraId="31DBC512">
            <w:pPr>
              <w:pStyle w:val="48"/>
              <w:rPr>
                <w:sz w:val="20"/>
                <w:szCs w:val="20"/>
              </w:rPr>
            </w:pPr>
            <w:r>
              <w:rPr>
                <w:rFonts w:hint="eastAsia"/>
                <w:sz w:val="20"/>
                <w:szCs w:val="20"/>
              </w:rPr>
              <w:t>公司董事会审计委员会根据《上海证券交易所股票上市规则》《上海证券交易所自律监管指引第1号--规范运作》《通化东宝董事会审计委员会工作细则》等有关规定，对公司业绩变更事项进行核查，了解业绩变更的原因及会计处理合理性，与管理层、财务部门及相关部门进行访谈交流，审计委员会认为公司两次业绩变更事项，均是财务人员根据当时获取的相关信息所进行的财务处理并根据对公司经营成果的影响，及时进行了业绩预告更正。公司按照《企业内部控制基本规范》 《企业内部控制应用指引》等规定，已构建财务会计制度及内部控制制度。整体而言，公司财务核算秉持谨慎原则，内部控制执行有效。我们要求公司以此次事件为戒，深刻反思问题根源。后续将强化重大事项全流程动态跟踪，建立跨部门信息共享机制；与此同时，提高财务人员在研发项目转让处理、非经常性损益认定等方面的专业能力；针对复杂的财务问题，加强与会计师事务所的沟通协作，特别是在业绩预告编制阶段，提前引入会计师事务所审核，以确保会计处理合规，进而保障信息披露质量。</w:t>
            </w:r>
          </w:p>
        </w:tc>
        <w:tc>
          <w:tcPr>
            <w:tcW w:w="1134" w:type="dxa"/>
            <w:vAlign w:val="center"/>
          </w:tcPr>
          <w:p w14:paraId="0C15530B">
            <w:pPr>
              <w:jc w:val="center"/>
              <w:rPr>
                <w:rFonts w:ascii="Calibri" w:hAnsi="Calibri"/>
                <w:sz w:val="20"/>
                <w:szCs w:val="20"/>
              </w:rPr>
            </w:pPr>
            <w:r>
              <w:rPr>
                <w:rFonts w:hint="eastAsia" w:ascii="Calibri" w:hAnsi="Calibri"/>
                <w:sz w:val="20"/>
                <w:szCs w:val="20"/>
              </w:rPr>
              <w:t>无</w:t>
            </w:r>
          </w:p>
        </w:tc>
      </w:tr>
      <w:tr w14:paraId="3A99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620456B7">
            <w:pPr>
              <w:pStyle w:val="48"/>
              <w:rPr>
                <w:sz w:val="20"/>
                <w:szCs w:val="20"/>
              </w:rPr>
            </w:pPr>
            <w:bookmarkStart w:id="101" w:name="OLE_LINK65"/>
            <w:bookmarkStart w:id="102" w:name="OLE_LINK62"/>
            <w:r>
              <w:rPr>
                <w:sz w:val="20"/>
                <w:szCs w:val="20"/>
              </w:rPr>
              <w:t>2025年8月25日</w:t>
            </w:r>
            <w:bookmarkEnd w:id="101"/>
            <w:bookmarkEnd w:id="102"/>
          </w:p>
        </w:tc>
        <w:tc>
          <w:tcPr>
            <w:tcW w:w="2410" w:type="dxa"/>
            <w:vAlign w:val="center"/>
          </w:tcPr>
          <w:p w14:paraId="5FACC331">
            <w:pPr>
              <w:pStyle w:val="48"/>
              <w:rPr>
                <w:sz w:val="20"/>
                <w:szCs w:val="20"/>
              </w:rPr>
            </w:pPr>
            <w:r>
              <w:rPr>
                <w:rFonts w:hint="eastAsia"/>
                <w:sz w:val="20"/>
                <w:szCs w:val="20"/>
              </w:rPr>
              <w:t>审议《2025年半年度报告及报告摘要》 《关于计提资产减值准备的议案》</w:t>
            </w:r>
          </w:p>
        </w:tc>
        <w:tc>
          <w:tcPr>
            <w:tcW w:w="4678" w:type="dxa"/>
            <w:vAlign w:val="center"/>
          </w:tcPr>
          <w:p w14:paraId="75AA733F">
            <w:pPr>
              <w:pStyle w:val="48"/>
              <w:rPr>
                <w:sz w:val="20"/>
                <w:szCs w:val="20"/>
              </w:rPr>
            </w:pPr>
            <w:r>
              <w:rPr>
                <w:rFonts w:hint="eastAsia"/>
                <w:sz w:val="20"/>
                <w:szCs w:val="20"/>
              </w:rPr>
              <w:t>审计委员会严格按照法律、法规及相关规章制度开展工作，勤勉尽责，公司202</w:t>
            </w:r>
            <w:r>
              <w:rPr>
                <w:sz w:val="20"/>
                <w:szCs w:val="20"/>
              </w:rPr>
              <w:t>5</w:t>
            </w:r>
            <w:r>
              <w:rPr>
                <w:rFonts w:hint="eastAsia"/>
                <w:sz w:val="20"/>
                <w:szCs w:val="20"/>
              </w:rPr>
              <w:t>年半年度会计报告真实、准确、完整地反映了公司的整体财务状况和经营成果，不存在重大会计差错调整、重大会计政策及估计变更、涉及重要会计判断的事项，不存在与财务报告相关的欺诈、舞弊行为及重大错报的可能性。</w:t>
            </w:r>
          </w:p>
          <w:p w14:paraId="02F87ADD">
            <w:pPr>
              <w:pStyle w:val="48"/>
              <w:rPr>
                <w:sz w:val="20"/>
                <w:szCs w:val="20"/>
              </w:rPr>
            </w:pPr>
            <w:r>
              <w:rPr>
                <w:rFonts w:hint="eastAsia"/>
                <w:sz w:val="20"/>
                <w:szCs w:val="20"/>
              </w:rPr>
              <w:t>本次公司计提减值准备是符合《企业会计准则》及公司会计政策的相关规定，符合公司资产实际情况，能够公允地反映公司的财务状况和经营成果，不存在损害公司及全体股东利益的情况。一致通过并同意将议案提交公司董事会审议。</w:t>
            </w:r>
          </w:p>
        </w:tc>
        <w:tc>
          <w:tcPr>
            <w:tcW w:w="1134" w:type="dxa"/>
            <w:vAlign w:val="center"/>
          </w:tcPr>
          <w:p w14:paraId="209CE57F">
            <w:pPr>
              <w:jc w:val="center"/>
              <w:rPr>
                <w:rFonts w:ascii="Calibri" w:hAnsi="Calibri"/>
                <w:sz w:val="20"/>
                <w:szCs w:val="20"/>
              </w:rPr>
            </w:pPr>
            <w:r>
              <w:rPr>
                <w:rFonts w:hint="eastAsia" w:ascii="Calibri" w:hAnsi="Calibri"/>
                <w:sz w:val="20"/>
                <w:szCs w:val="20"/>
              </w:rPr>
              <w:t>无</w:t>
            </w:r>
          </w:p>
        </w:tc>
      </w:tr>
      <w:tr w14:paraId="66E7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B4587AE">
            <w:pPr>
              <w:pStyle w:val="48"/>
              <w:rPr>
                <w:sz w:val="20"/>
                <w:szCs w:val="20"/>
              </w:rPr>
            </w:pPr>
            <w:r>
              <w:rPr>
                <w:sz w:val="20"/>
                <w:szCs w:val="20"/>
              </w:rPr>
              <w:t>2025年10月17日</w:t>
            </w:r>
          </w:p>
        </w:tc>
        <w:tc>
          <w:tcPr>
            <w:tcW w:w="2410" w:type="dxa"/>
            <w:vAlign w:val="center"/>
          </w:tcPr>
          <w:p w14:paraId="22B7D239">
            <w:pPr>
              <w:pStyle w:val="48"/>
              <w:rPr>
                <w:sz w:val="20"/>
                <w:szCs w:val="20"/>
              </w:rPr>
            </w:pPr>
            <w:r>
              <w:rPr>
                <w:rFonts w:hint="eastAsia"/>
                <w:sz w:val="20"/>
                <w:szCs w:val="20"/>
              </w:rPr>
              <w:t>审议《关于变更会计师事务所的议案》</w:t>
            </w:r>
          </w:p>
        </w:tc>
        <w:tc>
          <w:tcPr>
            <w:tcW w:w="4678" w:type="dxa"/>
            <w:vAlign w:val="center"/>
          </w:tcPr>
          <w:p w14:paraId="35F0BB74">
            <w:pPr>
              <w:jc w:val="both"/>
              <w:rPr>
                <w:rFonts w:ascii="宋体" w:hAnsi="宋体"/>
                <w:sz w:val="20"/>
                <w:szCs w:val="20"/>
              </w:rPr>
            </w:pPr>
            <w:r>
              <w:rPr>
                <w:rFonts w:hint="eastAsia" w:ascii="宋体" w:hAnsi="宋体"/>
                <w:sz w:val="20"/>
                <w:szCs w:val="20"/>
              </w:rPr>
              <w:t>公司董事会审计委员会已对大信会计师事务所（特殊普通合伙）的专业胜任能力、投资者保护能力、诚信状况、独立性等信息进行审查，认为，大信会计师事务所（特殊普通合伙）具备为上市公司提供审计服务的执业资质和胜任能力，具备足够的独立性、诚信状况和投资者保护能力，能够满足公司 202</w:t>
            </w:r>
            <w:r>
              <w:rPr>
                <w:rFonts w:ascii="宋体" w:hAnsi="宋体"/>
                <w:sz w:val="20"/>
                <w:szCs w:val="20"/>
              </w:rPr>
              <w:t>5</w:t>
            </w:r>
            <w:r>
              <w:rPr>
                <w:rFonts w:hint="eastAsia" w:ascii="宋体" w:hAnsi="宋体"/>
                <w:sz w:val="20"/>
                <w:szCs w:val="20"/>
              </w:rPr>
              <w:t xml:space="preserve"> 年年度财务审计和内部控制审计工作的需求。审计委员会同意向董事会提议选聘大信会计师事务所（特殊普通合伙）为公司2025年度财务报告审计机构和内部控制审计机构,聘期一年。2025年度审计费用150万元（含税），其中：财务报告审计费用100万元（含税），内控审计费用50万元（含税）。同意将上述议案提交公司董事会审议。</w:t>
            </w:r>
          </w:p>
        </w:tc>
        <w:tc>
          <w:tcPr>
            <w:tcW w:w="1134" w:type="dxa"/>
            <w:vAlign w:val="center"/>
          </w:tcPr>
          <w:p w14:paraId="70980F67">
            <w:pPr>
              <w:jc w:val="center"/>
              <w:rPr>
                <w:rFonts w:ascii="Calibri" w:hAnsi="Calibri"/>
                <w:sz w:val="20"/>
                <w:szCs w:val="20"/>
              </w:rPr>
            </w:pPr>
            <w:r>
              <w:rPr>
                <w:rFonts w:hint="eastAsia" w:ascii="Calibri" w:hAnsi="Calibri"/>
                <w:sz w:val="20"/>
                <w:szCs w:val="20"/>
              </w:rPr>
              <w:t>无</w:t>
            </w:r>
          </w:p>
        </w:tc>
      </w:tr>
      <w:tr w14:paraId="7943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24F44212">
            <w:pPr>
              <w:pStyle w:val="48"/>
              <w:rPr>
                <w:sz w:val="20"/>
                <w:szCs w:val="20"/>
              </w:rPr>
            </w:pPr>
            <w:r>
              <w:rPr>
                <w:sz w:val="20"/>
                <w:szCs w:val="20"/>
              </w:rPr>
              <w:t>2025年10月27日</w:t>
            </w:r>
          </w:p>
        </w:tc>
        <w:tc>
          <w:tcPr>
            <w:tcW w:w="2410" w:type="dxa"/>
            <w:vAlign w:val="center"/>
          </w:tcPr>
          <w:p w14:paraId="3D351E18">
            <w:pPr>
              <w:pStyle w:val="48"/>
              <w:rPr>
                <w:sz w:val="20"/>
                <w:szCs w:val="20"/>
              </w:rPr>
            </w:pPr>
            <w:r>
              <w:rPr>
                <w:rFonts w:hint="eastAsia"/>
                <w:sz w:val="20"/>
                <w:szCs w:val="20"/>
              </w:rPr>
              <w:t>审议《</w:t>
            </w:r>
            <w:r>
              <w:rPr>
                <w:sz w:val="20"/>
                <w:szCs w:val="20"/>
              </w:rPr>
              <w:t>2025年第三季度报告》</w:t>
            </w:r>
            <w:r>
              <w:rPr>
                <w:rFonts w:hint="eastAsia"/>
                <w:sz w:val="20"/>
                <w:szCs w:val="20"/>
              </w:rPr>
              <w:t xml:space="preserve"> 《关于计提资产减值准备和核销资产的议案》</w:t>
            </w:r>
          </w:p>
        </w:tc>
        <w:tc>
          <w:tcPr>
            <w:tcW w:w="4678" w:type="dxa"/>
            <w:vAlign w:val="center"/>
          </w:tcPr>
          <w:p w14:paraId="0E377ABF">
            <w:pPr>
              <w:autoSpaceDE w:val="0"/>
              <w:adjustRightInd w:val="0"/>
              <w:snapToGrid w:val="0"/>
              <w:jc w:val="both"/>
              <w:rPr>
                <w:rFonts w:ascii="Calibri" w:hAnsi="Calibri"/>
                <w:sz w:val="20"/>
                <w:szCs w:val="20"/>
              </w:rPr>
            </w:pPr>
            <w:r>
              <w:rPr>
                <w:rFonts w:hint="eastAsia" w:ascii="Calibri" w:hAnsi="Calibri"/>
                <w:sz w:val="20"/>
                <w:szCs w:val="20"/>
              </w:rPr>
              <w:t>审计委员会严格按照法律、法规及相关规章制度开展工作，勤勉尽责，公司《202</w:t>
            </w:r>
            <w:r>
              <w:rPr>
                <w:rFonts w:ascii="Calibri" w:hAnsi="Calibri"/>
                <w:sz w:val="20"/>
                <w:szCs w:val="20"/>
              </w:rPr>
              <w:t>5</w:t>
            </w:r>
            <w:r>
              <w:rPr>
                <w:rFonts w:hint="eastAsia" w:ascii="Calibri" w:hAnsi="Calibri"/>
                <w:sz w:val="20"/>
                <w:szCs w:val="20"/>
              </w:rPr>
              <w:t>年第三季度报告》真实、准确、完整地反映了公司的整体财务状况和经营成果，不存在重大会计差错调整、重大会计政策及估计变更、涉及重要会计判断的事项，不存在与财务报告相关的欺诈、舞弊行为及重大错报的可能性。</w:t>
            </w:r>
          </w:p>
          <w:p w14:paraId="22E25728">
            <w:pPr>
              <w:autoSpaceDE w:val="0"/>
              <w:adjustRightInd w:val="0"/>
              <w:snapToGrid w:val="0"/>
              <w:jc w:val="both"/>
              <w:rPr>
                <w:rFonts w:ascii="Calibri" w:hAnsi="Calibri"/>
                <w:sz w:val="20"/>
                <w:szCs w:val="20"/>
              </w:rPr>
            </w:pPr>
            <w:r>
              <w:rPr>
                <w:rFonts w:hint="eastAsia" w:ascii="宋体" w:hAnsi="宋体"/>
                <w:sz w:val="20"/>
                <w:szCs w:val="20"/>
              </w:rPr>
              <w:t>公司此次计提资产减值准备，符合《企业会计准则》等相关规定，计提减值准备及核销资产后，更能公允反映公司资产状况，资产价值的会计信息更加真实可靠，符合相关法律法规的规定和公司实际情况，不存在损害公司及股东利益的情形</w:t>
            </w:r>
            <w:r>
              <w:rPr>
                <w:rFonts w:ascii="宋体" w:hAnsi="宋体"/>
                <w:sz w:val="20"/>
                <w:szCs w:val="20"/>
              </w:rPr>
              <w:t>。</w:t>
            </w:r>
            <w:r>
              <w:rPr>
                <w:rFonts w:hint="eastAsia" w:ascii="Calibri" w:hAnsi="Calibri"/>
                <w:sz w:val="20"/>
                <w:szCs w:val="20"/>
              </w:rPr>
              <w:t>一致通过并同意将议案提交公司董事会审议。</w:t>
            </w:r>
          </w:p>
        </w:tc>
        <w:tc>
          <w:tcPr>
            <w:tcW w:w="1134" w:type="dxa"/>
            <w:vAlign w:val="center"/>
          </w:tcPr>
          <w:p w14:paraId="1F8CD227">
            <w:pPr>
              <w:jc w:val="center"/>
              <w:rPr>
                <w:rFonts w:ascii="Calibri" w:hAnsi="Calibri"/>
                <w:sz w:val="20"/>
                <w:szCs w:val="20"/>
              </w:rPr>
            </w:pPr>
            <w:r>
              <w:rPr>
                <w:rFonts w:hint="eastAsia" w:ascii="Calibri" w:hAnsi="Calibri"/>
                <w:sz w:val="20"/>
                <w:szCs w:val="20"/>
              </w:rPr>
              <w:t>无</w:t>
            </w:r>
          </w:p>
        </w:tc>
      </w:tr>
    </w:tbl>
    <w:p w14:paraId="2492187F">
      <w:pPr>
        <w:pStyle w:val="51"/>
        <w:numPr>
          <w:ilvl w:val="0"/>
          <w:numId w:val="22"/>
        </w:numPr>
      </w:pPr>
      <w:r>
        <w:rPr>
          <w:rFonts w:hint="eastAsia"/>
        </w:rPr>
        <w:t>报告期内</w:t>
      </w:r>
      <w:sdt>
        <w:sdtPr>
          <w:rPr>
            <w:rFonts w:hint="eastAsia" w:ascii="宋体" w:hAnsi="宋体" w:cs="宋体"/>
            <w:kern w:val="0"/>
            <w:szCs w:val="24"/>
          </w:rPr>
          <w:alias w:val="召开会议的专门委员会类别"/>
          <w:tag w:val="_GBC_adf76ecbe3584f07b573642215a867bd"/>
          <w:id w:val="-858129399"/>
        </w:sdtPr>
        <w:sdtEndPr>
          <w:rPr>
            <w:rFonts w:hint="eastAsia" w:ascii="宋体" w:hAnsi="宋体" w:cs="宋体"/>
            <w:kern w:val="0"/>
            <w:szCs w:val="24"/>
          </w:rPr>
        </w:sdtEndPr>
        <w:sdtContent>
          <w:r>
            <w:rPr>
              <w:rFonts w:hint="eastAsia"/>
            </w:rPr>
            <w:t>提名</w:t>
          </w:r>
        </w:sdtContent>
      </w:sdt>
      <w:r>
        <w:rPr>
          <w:rFonts w:hint="eastAsia"/>
        </w:rPr>
        <w:t>委员会召开</w:t>
      </w:r>
      <w:sdt>
        <w:sdtPr>
          <w:rPr>
            <w:rFonts w:hint="eastAsia" w:ascii="宋体" w:hAnsi="宋体" w:cs="宋体"/>
            <w:kern w:val="0"/>
            <w:szCs w:val="24"/>
          </w:rPr>
          <w:alias w:val="报告期内召开专门委员会会议次数"/>
          <w:tag w:val="_GBC_7bf2cd7c3a6a4685ac9c89ee396352a0"/>
          <w:id w:val="1728725019"/>
        </w:sdtPr>
        <w:sdtEndPr>
          <w:rPr>
            <w:rFonts w:hint="eastAsia" w:ascii="宋体" w:hAnsi="宋体" w:cs="宋体"/>
            <w:kern w:val="0"/>
            <w:szCs w:val="24"/>
          </w:rPr>
        </w:sdtEndPr>
        <w:sdtContent>
          <w:r>
            <w:rPr>
              <w:rFonts w:hint="eastAsia"/>
            </w:rPr>
            <w:t>一</w:t>
          </w:r>
        </w:sdtContent>
      </w:sdt>
      <w:r>
        <w:rPr>
          <w:rFonts w:hint="eastAsia"/>
        </w:rPr>
        <w:t>次会议</w:t>
      </w:r>
    </w:p>
    <w:tbl>
      <w:tblPr>
        <w:tblStyle w:val="46"/>
        <w:tblW w:w="10207"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577"/>
        <w:gridCol w:w="4394"/>
        <w:gridCol w:w="1418"/>
      </w:tblGrid>
      <w:tr w14:paraId="234A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1aefc289fbf48b1865138608d8bd14f"/>
            <w:id w:val="-1916545308"/>
          </w:sdtPr>
          <w:sdtContent>
            <w:tc>
              <w:tcPr>
                <w:tcW w:w="1818" w:type="dxa"/>
                <w:vAlign w:val="center"/>
              </w:tcPr>
              <w:p w14:paraId="2C068C9F">
                <w:pPr>
                  <w:jc w:val="center"/>
                  <w:rPr>
                    <w:rFonts w:ascii="Calibri" w:hAnsi="Calibri"/>
                    <w:sz w:val="20"/>
                    <w:szCs w:val="20"/>
                  </w:rPr>
                </w:pPr>
                <w:r>
                  <w:rPr>
                    <w:rFonts w:hint="eastAsia" w:ascii="Calibri" w:hAnsi="Calibri"/>
                    <w:sz w:val="20"/>
                    <w:szCs w:val="20"/>
                  </w:rPr>
                  <w:t>召开日期</w:t>
                </w:r>
              </w:p>
            </w:tc>
          </w:sdtContent>
        </w:sdt>
        <w:sdt>
          <w:sdtPr>
            <w:tag w:val="_PLD_9d24b601ec70414eb969daf6b393edc8"/>
            <w:id w:val="1608781003"/>
          </w:sdtPr>
          <w:sdtContent>
            <w:tc>
              <w:tcPr>
                <w:tcW w:w="2577" w:type="dxa"/>
                <w:vAlign w:val="center"/>
              </w:tcPr>
              <w:p w14:paraId="10736528">
                <w:pPr>
                  <w:jc w:val="center"/>
                  <w:rPr>
                    <w:rFonts w:ascii="Calibri" w:hAnsi="Calibri"/>
                    <w:sz w:val="20"/>
                    <w:szCs w:val="20"/>
                  </w:rPr>
                </w:pPr>
                <w:r>
                  <w:rPr>
                    <w:rFonts w:hint="eastAsia" w:ascii="Calibri" w:hAnsi="Calibri"/>
                    <w:sz w:val="20"/>
                    <w:szCs w:val="20"/>
                  </w:rPr>
                  <w:t>会议内容</w:t>
                </w:r>
              </w:p>
            </w:tc>
          </w:sdtContent>
        </w:sdt>
        <w:sdt>
          <w:sdtPr>
            <w:tag w:val="_PLD_6ea19dadc3684e98a6d98faaf035a9d9"/>
            <w:id w:val="501392091"/>
          </w:sdtPr>
          <w:sdtContent>
            <w:tc>
              <w:tcPr>
                <w:tcW w:w="4394" w:type="dxa"/>
                <w:vAlign w:val="center"/>
              </w:tcPr>
              <w:p w14:paraId="5040D844">
                <w:pPr>
                  <w:jc w:val="center"/>
                  <w:rPr>
                    <w:rFonts w:ascii="Calibri" w:hAnsi="Calibri"/>
                    <w:sz w:val="20"/>
                    <w:szCs w:val="20"/>
                  </w:rPr>
                </w:pPr>
                <w:r>
                  <w:rPr>
                    <w:rFonts w:hint="eastAsia" w:ascii="Calibri" w:hAnsi="Calibri"/>
                    <w:sz w:val="20"/>
                    <w:szCs w:val="20"/>
                  </w:rPr>
                  <w:t>重要意见和建议</w:t>
                </w:r>
              </w:p>
            </w:tc>
          </w:sdtContent>
        </w:sdt>
        <w:sdt>
          <w:sdtPr>
            <w:tag w:val="_PLD_ef03d3ffb00740008011022cb6a96805"/>
            <w:id w:val="349312319"/>
          </w:sdtPr>
          <w:sdtContent>
            <w:tc>
              <w:tcPr>
                <w:tcW w:w="1418" w:type="dxa"/>
                <w:vAlign w:val="center"/>
              </w:tcPr>
              <w:p w14:paraId="4539158E">
                <w:pPr>
                  <w:jc w:val="center"/>
                  <w:rPr>
                    <w:rFonts w:ascii="Calibri" w:hAnsi="Calibri"/>
                    <w:sz w:val="20"/>
                    <w:szCs w:val="20"/>
                  </w:rPr>
                </w:pPr>
                <w:r>
                  <w:rPr>
                    <w:rFonts w:hint="eastAsia" w:ascii="Calibri" w:hAnsi="Calibri"/>
                    <w:sz w:val="20"/>
                    <w:szCs w:val="20"/>
                  </w:rPr>
                  <w:t>其他履行职责情况</w:t>
                </w:r>
              </w:p>
            </w:tc>
          </w:sdtContent>
        </w:sdt>
      </w:tr>
      <w:tr w14:paraId="2038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vAlign w:val="center"/>
          </w:tcPr>
          <w:p w14:paraId="0D76D090">
            <w:pPr>
              <w:pStyle w:val="48"/>
              <w:rPr>
                <w:sz w:val="20"/>
                <w:szCs w:val="20"/>
              </w:rPr>
            </w:pPr>
            <w:r>
              <w:rPr>
                <w:sz w:val="20"/>
                <w:szCs w:val="20"/>
              </w:rPr>
              <w:t>2025年8月25日</w:t>
            </w:r>
          </w:p>
        </w:tc>
        <w:tc>
          <w:tcPr>
            <w:tcW w:w="2577" w:type="dxa"/>
            <w:vAlign w:val="center"/>
          </w:tcPr>
          <w:p w14:paraId="5DC6A544">
            <w:pPr>
              <w:pStyle w:val="48"/>
              <w:rPr>
                <w:sz w:val="20"/>
                <w:szCs w:val="20"/>
              </w:rPr>
            </w:pPr>
            <w:r>
              <w:rPr>
                <w:rFonts w:hint="eastAsia" w:ascii="宋体" w:hAnsi="宋体"/>
                <w:sz w:val="20"/>
                <w:szCs w:val="20"/>
              </w:rPr>
              <w:t>审议《关于聘任公司总经理的议案》</w:t>
            </w:r>
          </w:p>
        </w:tc>
        <w:tc>
          <w:tcPr>
            <w:tcW w:w="4394" w:type="dxa"/>
            <w:vAlign w:val="center"/>
          </w:tcPr>
          <w:p w14:paraId="5042CC67">
            <w:pPr>
              <w:pStyle w:val="48"/>
              <w:rPr>
                <w:sz w:val="20"/>
                <w:szCs w:val="20"/>
              </w:rPr>
            </w:pPr>
            <w:r>
              <w:rPr>
                <w:rFonts w:hint="eastAsia" w:ascii="宋体" w:hAnsi="宋体"/>
                <w:sz w:val="20"/>
                <w:szCs w:val="20"/>
              </w:rPr>
              <w:t>由于冷春生先生辞去总经理职务，聘任李佳鸿先生为公司总经理。任期自董事会审议通过之日起至第十一届董事会任期届满时止。李佳鸿先生具备所聘岗位必需的专业知识、职业素养和管理经验等职责要求，不存在《公司法》《上海证券交易所股票上市规则》《上海证券交易所上市公司自律监管指引第1号——规范运作》及公司章程等规定的不得担任公司高级管理人员的情形；不存在被中国证监会采取不得担任上市公司董事的市场禁入措施期限尚未届满的情形；不存在被证券交易所公开认定为不适合担任上市公司高级管理人员期限尚未届满的情形。</w:t>
            </w:r>
            <w:r>
              <w:rPr>
                <w:rFonts w:hint="eastAsia"/>
                <w:sz w:val="20"/>
                <w:szCs w:val="20"/>
              </w:rPr>
              <w:t>一致通过并同意将该议案提交公司董事会审议。</w:t>
            </w:r>
          </w:p>
        </w:tc>
        <w:tc>
          <w:tcPr>
            <w:tcW w:w="1418" w:type="dxa"/>
            <w:vAlign w:val="center"/>
          </w:tcPr>
          <w:p w14:paraId="6557839B">
            <w:pPr>
              <w:jc w:val="center"/>
              <w:rPr>
                <w:rFonts w:ascii="Calibri" w:hAnsi="Calibri"/>
                <w:sz w:val="20"/>
                <w:szCs w:val="20"/>
              </w:rPr>
            </w:pPr>
            <w:r>
              <w:rPr>
                <w:rFonts w:hint="eastAsia" w:ascii="Calibri" w:hAnsi="Calibri"/>
                <w:sz w:val="20"/>
                <w:szCs w:val="20"/>
              </w:rPr>
              <w:t>无</w:t>
            </w:r>
          </w:p>
        </w:tc>
      </w:tr>
    </w:tbl>
    <w:sdt>
      <w:sdtPr>
        <w:rPr>
          <w:rFonts w:hint="eastAsia" w:ascii="宋体" w:hAnsi="宋体" w:cs="宋体"/>
          <w:b w:val="0"/>
          <w:bCs w:val="0"/>
          <w:kern w:val="0"/>
          <w:szCs w:val="24"/>
        </w:rPr>
        <w:alias w:val="模块:专门委员会召开会议情况"/>
        <w:tag w:val="_SEC_1e3a9c0a15ba40d1bda51574352f1bf7"/>
        <w:id w:val="2066140470"/>
      </w:sdtPr>
      <w:sdtEndPr>
        <w:rPr>
          <w:rFonts w:hint="eastAsia" w:ascii="Calibri" w:hAnsi="Calibri" w:cs="Times New Roman"/>
          <w:b w:val="0"/>
          <w:bCs w:val="0"/>
          <w:kern w:val="2"/>
          <w:szCs w:val="21"/>
        </w:rPr>
      </w:sdtEndPr>
      <w:sdtContent>
        <w:p w14:paraId="0484549C">
          <w:pPr>
            <w:pStyle w:val="51"/>
            <w:numPr>
              <w:ilvl w:val="0"/>
              <w:numId w:val="22"/>
            </w:numPr>
          </w:pPr>
          <w:r>
            <w:rPr>
              <w:rFonts w:hint="eastAsia"/>
            </w:rPr>
            <w:t>报告期内</w:t>
          </w:r>
          <w:sdt>
            <w:sdtPr>
              <w:rPr>
                <w:rFonts w:hint="eastAsia" w:ascii="宋体" w:hAnsi="宋体" w:cs="宋体"/>
                <w:kern w:val="0"/>
                <w:szCs w:val="24"/>
              </w:rPr>
              <w:alias w:val="召开会议的专门委员会类别"/>
              <w:tag w:val="_GBC_adf76ecbe3584f07b573642215a867bd"/>
              <w:id w:val="1881440118"/>
            </w:sdtPr>
            <w:sdtEndPr>
              <w:rPr>
                <w:rFonts w:hint="eastAsia" w:ascii="宋体" w:hAnsi="宋体" w:cs="宋体"/>
                <w:kern w:val="0"/>
                <w:szCs w:val="24"/>
              </w:rPr>
            </w:sdtEndPr>
            <w:sdtContent>
              <w:r>
                <w:rPr>
                  <w:rFonts w:hint="eastAsia"/>
                </w:rPr>
                <w:t>薪酬与考核</w:t>
              </w:r>
            </w:sdtContent>
          </w:sdt>
          <w:r>
            <w:rPr>
              <w:rFonts w:hint="eastAsia"/>
            </w:rPr>
            <w:t>委员会召开</w:t>
          </w:r>
          <w:sdt>
            <w:sdtPr>
              <w:rPr>
                <w:rFonts w:hint="eastAsia" w:ascii="宋体" w:hAnsi="宋体" w:cs="宋体"/>
                <w:kern w:val="0"/>
                <w:szCs w:val="24"/>
              </w:rPr>
              <w:alias w:val="报告期内召开专门委员会会议次数"/>
              <w:tag w:val="_GBC_7bf2cd7c3a6a4685ac9c89ee396352a0"/>
              <w:id w:val="531230846"/>
            </w:sdtPr>
            <w:sdtEndPr>
              <w:rPr>
                <w:rFonts w:hint="eastAsia" w:ascii="宋体" w:hAnsi="宋体" w:cs="宋体"/>
                <w:kern w:val="0"/>
                <w:szCs w:val="24"/>
              </w:rPr>
            </w:sdtEndPr>
            <w:sdtContent>
              <w:r>
                <w:rPr>
                  <w:rFonts w:hint="eastAsia"/>
                </w:rPr>
                <w:t>三</w:t>
              </w:r>
            </w:sdtContent>
          </w:sdt>
          <w:r>
            <w:rPr>
              <w:rFonts w:hint="eastAsia"/>
            </w:rPr>
            <w:t>次会议</w:t>
          </w:r>
        </w:p>
        <w:tbl>
          <w:tblPr>
            <w:tblStyle w:val="46"/>
            <w:tblW w:w="10207"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410"/>
            <w:gridCol w:w="4394"/>
            <w:gridCol w:w="1418"/>
          </w:tblGrid>
          <w:tr w14:paraId="38A9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1aefc289fbf48b1865138608d8bd14f"/>
                <w:id w:val="1974636192"/>
              </w:sdtPr>
              <w:sdtContent>
                <w:tc>
                  <w:tcPr>
                    <w:tcW w:w="1985" w:type="dxa"/>
                    <w:vAlign w:val="center"/>
                  </w:tcPr>
                  <w:p w14:paraId="5A760DB3">
                    <w:pPr>
                      <w:jc w:val="center"/>
                      <w:rPr>
                        <w:rFonts w:ascii="Calibri" w:hAnsi="Calibri"/>
                        <w:sz w:val="20"/>
                        <w:szCs w:val="20"/>
                      </w:rPr>
                    </w:pPr>
                    <w:r>
                      <w:rPr>
                        <w:rFonts w:hint="eastAsia" w:ascii="Calibri" w:hAnsi="Calibri"/>
                        <w:sz w:val="20"/>
                        <w:szCs w:val="20"/>
                      </w:rPr>
                      <w:t>召开日期</w:t>
                    </w:r>
                  </w:p>
                </w:tc>
              </w:sdtContent>
            </w:sdt>
            <w:sdt>
              <w:sdtPr>
                <w:tag w:val="_PLD_9d24b601ec70414eb969daf6b393edc8"/>
                <w:id w:val="-568034347"/>
              </w:sdtPr>
              <w:sdtContent>
                <w:tc>
                  <w:tcPr>
                    <w:tcW w:w="2410" w:type="dxa"/>
                    <w:vAlign w:val="center"/>
                  </w:tcPr>
                  <w:p w14:paraId="52FBC432">
                    <w:pPr>
                      <w:jc w:val="center"/>
                      <w:rPr>
                        <w:rFonts w:ascii="Calibri" w:hAnsi="Calibri"/>
                        <w:sz w:val="20"/>
                        <w:szCs w:val="20"/>
                      </w:rPr>
                    </w:pPr>
                    <w:r>
                      <w:rPr>
                        <w:rFonts w:hint="eastAsia" w:ascii="Calibri" w:hAnsi="Calibri"/>
                        <w:sz w:val="20"/>
                        <w:szCs w:val="20"/>
                      </w:rPr>
                      <w:t>会议内容</w:t>
                    </w:r>
                  </w:p>
                </w:tc>
              </w:sdtContent>
            </w:sdt>
            <w:sdt>
              <w:sdtPr>
                <w:tag w:val="_PLD_6ea19dadc3684e98a6d98faaf035a9d9"/>
                <w:id w:val="35244300"/>
              </w:sdtPr>
              <w:sdtContent>
                <w:tc>
                  <w:tcPr>
                    <w:tcW w:w="4394" w:type="dxa"/>
                    <w:vAlign w:val="center"/>
                  </w:tcPr>
                  <w:p w14:paraId="1DF661C5">
                    <w:pPr>
                      <w:jc w:val="center"/>
                      <w:rPr>
                        <w:rFonts w:ascii="Calibri" w:hAnsi="Calibri"/>
                        <w:sz w:val="20"/>
                        <w:szCs w:val="20"/>
                      </w:rPr>
                    </w:pPr>
                    <w:r>
                      <w:rPr>
                        <w:rFonts w:hint="eastAsia" w:ascii="Calibri" w:hAnsi="Calibri"/>
                        <w:sz w:val="20"/>
                        <w:szCs w:val="20"/>
                      </w:rPr>
                      <w:t>重要意见和建议</w:t>
                    </w:r>
                  </w:p>
                </w:tc>
              </w:sdtContent>
            </w:sdt>
            <w:sdt>
              <w:sdtPr>
                <w:tag w:val="_PLD_ef03d3ffb00740008011022cb6a96805"/>
                <w:id w:val="749161335"/>
              </w:sdtPr>
              <w:sdtContent>
                <w:tc>
                  <w:tcPr>
                    <w:tcW w:w="1418" w:type="dxa"/>
                    <w:vAlign w:val="center"/>
                  </w:tcPr>
                  <w:p w14:paraId="60FC8087">
                    <w:pPr>
                      <w:jc w:val="center"/>
                      <w:rPr>
                        <w:rFonts w:ascii="Calibri" w:hAnsi="Calibri"/>
                        <w:sz w:val="20"/>
                        <w:szCs w:val="20"/>
                      </w:rPr>
                    </w:pPr>
                    <w:r>
                      <w:rPr>
                        <w:rFonts w:hint="eastAsia" w:ascii="Calibri" w:hAnsi="Calibri"/>
                        <w:sz w:val="20"/>
                        <w:szCs w:val="20"/>
                      </w:rPr>
                      <w:t>其他履行职责情况</w:t>
                    </w:r>
                  </w:p>
                </w:tc>
              </w:sdtContent>
            </w:sdt>
          </w:tr>
          <w:tr w14:paraId="30AC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35C5D28">
                <w:pPr>
                  <w:pStyle w:val="48"/>
                  <w:rPr>
                    <w:sz w:val="20"/>
                    <w:szCs w:val="20"/>
                  </w:rPr>
                </w:pPr>
                <w:r>
                  <w:rPr>
                    <w:sz w:val="20"/>
                    <w:szCs w:val="20"/>
                  </w:rPr>
                  <w:t>2025年4月28日</w:t>
                </w:r>
              </w:p>
            </w:tc>
            <w:tc>
              <w:tcPr>
                <w:tcW w:w="2410" w:type="dxa"/>
                <w:vAlign w:val="center"/>
              </w:tcPr>
              <w:p w14:paraId="343B3DF5">
                <w:pPr>
                  <w:pStyle w:val="48"/>
                  <w:rPr>
                    <w:sz w:val="20"/>
                    <w:szCs w:val="20"/>
                  </w:rPr>
                </w:pPr>
                <w:bookmarkStart w:id="103" w:name="OLE_LINK68"/>
                <w:r>
                  <w:rPr>
                    <w:rFonts w:hint="eastAsia"/>
                    <w:sz w:val="20"/>
                    <w:szCs w:val="20"/>
                  </w:rPr>
                  <w:t>审议</w:t>
                </w:r>
                <w:bookmarkEnd w:id="103"/>
                <w:r>
                  <w:rPr>
                    <w:rFonts w:hint="eastAsia"/>
                    <w:sz w:val="20"/>
                    <w:szCs w:val="20"/>
                  </w:rPr>
                  <w:t>《关于公司董事</w:t>
                </w:r>
                <w:r>
                  <w:rPr>
                    <w:sz w:val="20"/>
                    <w:szCs w:val="20"/>
                  </w:rPr>
                  <w:t xml:space="preserve"> 2024 年度薪酬的议案》</w:t>
                </w:r>
                <w:r>
                  <w:rPr>
                    <w:rFonts w:hint="eastAsia"/>
                    <w:sz w:val="20"/>
                    <w:szCs w:val="20"/>
                  </w:rPr>
                  <w:t>《关于公司高级管理人员2024年度薪酬的议案》</w:t>
                </w:r>
              </w:p>
            </w:tc>
            <w:tc>
              <w:tcPr>
                <w:tcW w:w="4394" w:type="dxa"/>
                <w:vAlign w:val="center"/>
              </w:tcPr>
              <w:p w14:paraId="04E139C7">
                <w:pPr>
                  <w:pStyle w:val="48"/>
                  <w:rPr>
                    <w:sz w:val="20"/>
                    <w:szCs w:val="20"/>
                  </w:rPr>
                </w:pPr>
                <w:r>
                  <w:rPr>
                    <w:rFonts w:hint="eastAsia"/>
                    <w:sz w:val="20"/>
                    <w:szCs w:val="20"/>
                  </w:rPr>
                  <w:t>薪酬与考核委员会严格按照法律、法规及相关规章制度开展工作，勤勉尽责。根据公司的实际情况，经过充分沟通讨论，一致通过并同意将议案提交公司董事会审议。</w:t>
                </w:r>
              </w:p>
            </w:tc>
            <w:tc>
              <w:tcPr>
                <w:tcW w:w="1418" w:type="dxa"/>
                <w:vAlign w:val="center"/>
              </w:tcPr>
              <w:p w14:paraId="0E5AAE8C">
                <w:pPr>
                  <w:jc w:val="center"/>
                  <w:rPr>
                    <w:rFonts w:ascii="Calibri" w:hAnsi="Calibri"/>
                    <w:sz w:val="20"/>
                    <w:szCs w:val="20"/>
                  </w:rPr>
                </w:pPr>
                <w:r>
                  <w:rPr>
                    <w:rFonts w:hint="eastAsia" w:ascii="Calibri" w:hAnsi="Calibri"/>
                    <w:sz w:val="20"/>
                    <w:szCs w:val="20"/>
                  </w:rPr>
                  <w:t>无</w:t>
                </w:r>
              </w:p>
            </w:tc>
          </w:tr>
          <w:tr w14:paraId="227A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35ACDDD5">
                <w:pPr>
                  <w:pStyle w:val="48"/>
                  <w:rPr>
                    <w:sz w:val="20"/>
                    <w:szCs w:val="20"/>
                  </w:rPr>
                </w:pPr>
                <w:r>
                  <w:rPr>
                    <w:rFonts w:hint="eastAsia"/>
                    <w:sz w:val="20"/>
                    <w:szCs w:val="20"/>
                  </w:rPr>
                  <w:t>2025年9月2日</w:t>
                </w:r>
              </w:p>
            </w:tc>
            <w:tc>
              <w:tcPr>
                <w:tcW w:w="2410" w:type="dxa"/>
                <w:vAlign w:val="center"/>
              </w:tcPr>
              <w:p w14:paraId="0A352933">
                <w:pPr>
                  <w:pStyle w:val="48"/>
                  <w:rPr>
                    <w:sz w:val="20"/>
                    <w:szCs w:val="20"/>
                  </w:rPr>
                </w:pPr>
                <w:r>
                  <w:rPr>
                    <w:rFonts w:hint="eastAsia"/>
                    <w:sz w:val="20"/>
                    <w:szCs w:val="20"/>
                  </w:rPr>
                  <w:t>审议《关于〈通化东宝</w:t>
                </w:r>
                <w:r>
                  <w:rPr>
                    <w:sz w:val="20"/>
                    <w:szCs w:val="20"/>
                  </w:rPr>
                  <w:t>2025年员工持股计划（草案）〉及其摘要的议案》</w:t>
                </w:r>
                <w:r>
                  <w:rPr>
                    <w:rFonts w:hint="eastAsia"/>
                    <w:sz w:val="20"/>
                    <w:szCs w:val="20"/>
                  </w:rPr>
                  <w:t>《关于&lt;通化东宝2025年员工持股计划管理办法&gt;的议案》</w:t>
                </w:r>
              </w:p>
            </w:tc>
            <w:tc>
              <w:tcPr>
                <w:tcW w:w="4394" w:type="dxa"/>
                <w:vAlign w:val="center"/>
              </w:tcPr>
              <w:p w14:paraId="58210473">
                <w:pPr>
                  <w:pStyle w:val="48"/>
                  <w:rPr>
                    <w:sz w:val="20"/>
                    <w:szCs w:val="20"/>
                  </w:rPr>
                </w:pPr>
                <w:r>
                  <w:rPr>
                    <w:rFonts w:hint="eastAsia"/>
                    <w:sz w:val="20"/>
                    <w:szCs w:val="20"/>
                  </w:rPr>
                  <w:t>薪酬与考核委员会严格按照法律、法规及相关规章制度开展工作，勤勉尽责。本次员工持股计划</w:t>
                </w:r>
                <w:r>
                  <w:rPr>
                    <w:rFonts w:hint="eastAsia" w:ascii="宋体" w:hAnsi="宋体"/>
                    <w:spacing w:val="-19"/>
                    <w:sz w:val="20"/>
                    <w:szCs w:val="20"/>
                  </w:rPr>
                  <w:t xml:space="preserve">符合《公司法》 《证券法》 </w:t>
                </w:r>
                <w:r>
                  <w:rPr>
                    <w:rFonts w:hint="eastAsia" w:ascii="宋体" w:hAnsi="宋体"/>
                    <w:spacing w:val="-3"/>
                    <w:sz w:val="20"/>
                    <w:szCs w:val="20"/>
                  </w:rPr>
                  <w:t>《关于上市公司实施员工持股计划试点的指导意见》等有关法律、法规及规范性文件以及《公司章程》的规定，不存在</w:t>
                </w:r>
                <w:r>
                  <w:rPr>
                    <w:rFonts w:hint="eastAsia" w:ascii="宋体" w:hAnsi="宋体"/>
                    <w:spacing w:val="-1"/>
                    <w:sz w:val="20"/>
                    <w:szCs w:val="20"/>
                  </w:rPr>
                  <w:t>损害公司及全体股东利益的情形。</w:t>
                </w:r>
                <w:r>
                  <w:rPr>
                    <w:rFonts w:hint="eastAsia"/>
                    <w:sz w:val="20"/>
                    <w:szCs w:val="20"/>
                  </w:rPr>
                  <w:t>经过充分沟通讨论，一致通过并同意将议案提交公司董事会审议。</w:t>
                </w:r>
              </w:p>
            </w:tc>
            <w:tc>
              <w:tcPr>
                <w:tcW w:w="1418" w:type="dxa"/>
                <w:vAlign w:val="center"/>
              </w:tcPr>
              <w:p w14:paraId="069EAC8A">
                <w:pPr>
                  <w:jc w:val="center"/>
                  <w:rPr>
                    <w:rFonts w:ascii="Calibri" w:hAnsi="Calibri"/>
                    <w:sz w:val="20"/>
                    <w:szCs w:val="20"/>
                  </w:rPr>
                </w:pPr>
                <w:r>
                  <w:rPr>
                    <w:rFonts w:hint="eastAsia" w:ascii="Calibri" w:hAnsi="Calibri"/>
                    <w:sz w:val="20"/>
                    <w:szCs w:val="20"/>
                  </w:rPr>
                  <w:t>无</w:t>
                </w:r>
              </w:p>
            </w:tc>
          </w:tr>
          <w:tr w14:paraId="3BD5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674968CA">
                <w:pPr>
                  <w:pStyle w:val="48"/>
                  <w:rPr>
                    <w:sz w:val="20"/>
                    <w:szCs w:val="20"/>
                  </w:rPr>
                </w:pPr>
                <w:r>
                  <w:rPr>
                    <w:rFonts w:hint="eastAsia"/>
                    <w:sz w:val="20"/>
                    <w:szCs w:val="20"/>
                  </w:rPr>
                  <w:t>2025年11月28日</w:t>
                </w:r>
              </w:p>
            </w:tc>
            <w:tc>
              <w:tcPr>
                <w:tcW w:w="2410" w:type="dxa"/>
                <w:vAlign w:val="center"/>
              </w:tcPr>
              <w:p w14:paraId="0A58769B">
                <w:pPr>
                  <w:pStyle w:val="48"/>
                  <w:rPr>
                    <w:sz w:val="20"/>
                    <w:szCs w:val="20"/>
                  </w:rPr>
                </w:pPr>
                <w:r>
                  <w:rPr>
                    <w:rFonts w:hint="eastAsia"/>
                    <w:sz w:val="20"/>
                    <w:szCs w:val="20"/>
                  </w:rPr>
                  <w:t>审议《关于〈通化东宝研发生产系统员工持股计划（草案）〉及其摘要的议案》《关于&lt;通化东宝研发生产系统员工持股计划管理办法&gt;的议案》</w:t>
                </w:r>
              </w:p>
            </w:tc>
            <w:tc>
              <w:tcPr>
                <w:tcW w:w="4394" w:type="dxa"/>
                <w:vAlign w:val="center"/>
              </w:tcPr>
              <w:p w14:paraId="14414FBC">
                <w:pPr>
                  <w:pStyle w:val="48"/>
                  <w:rPr>
                    <w:sz w:val="20"/>
                    <w:szCs w:val="20"/>
                  </w:rPr>
                </w:pPr>
                <w:r>
                  <w:rPr>
                    <w:rFonts w:hint="eastAsia"/>
                    <w:sz w:val="20"/>
                    <w:szCs w:val="20"/>
                  </w:rPr>
                  <w:t>薪酬与考核委员会严格按照法律、法规及相关规章制度开展工作，勤勉尽责。本次员工持股计划符合《公司法》 《证券法》 《</w:t>
                </w:r>
                <w:r>
                  <w:rPr>
                    <w:rFonts w:hint="eastAsia" w:ascii="宋体" w:hAnsi="宋体"/>
                    <w:spacing w:val="-3"/>
                    <w:sz w:val="20"/>
                    <w:szCs w:val="20"/>
                  </w:rPr>
                  <w:t>关于上市公司实施员工持股计划试点的指导意见</w:t>
                </w:r>
                <w:r>
                  <w:rPr>
                    <w:rFonts w:hint="eastAsia"/>
                    <w:sz w:val="20"/>
                    <w:szCs w:val="20"/>
                  </w:rPr>
                  <w:t>》等有关法律、法规及规范性文件以及《公司章程》的规定，不存在损害公司及全体股东利益的情形。经过充分沟通讨论，一致通过并同意将议案提交公司董事会审议。</w:t>
                </w:r>
              </w:p>
            </w:tc>
            <w:tc>
              <w:tcPr>
                <w:tcW w:w="1418" w:type="dxa"/>
                <w:vAlign w:val="center"/>
              </w:tcPr>
              <w:p w14:paraId="533D5C4B">
                <w:pPr>
                  <w:jc w:val="center"/>
                  <w:rPr>
                    <w:rFonts w:ascii="Calibri" w:hAnsi="Calibri"/>
                    <w:sz w:val="20"/>
                    <w:szCs w:val="20"/>
                  </w:rPr>
                </w:pPr>
                <w:r>
                  <w:rPr>
                    <w:rFonts w:hint="eastAsia" w:ascii="Calibri" w:hAnsi="Calibri"/>
                    <w:sz w:val="20"/>
                    <w:szCs w:val="20"/>
                  </w:rPr>
                  <w:t>无</w:t>
                </w:r>
              </w:p>
            </w:tc>
          </w:tr>
        </w:tbl>
        <w:p w14:paraId="70226277">
          <w:pPr>
            <w:pStyle w:val="48"/>
          </w:pPr>
        </w:p>
      </w:sdtContent>
    </w:sdt>
    <w:sdt>
      <w:sdtPr>
        <w:rPr>
          <w:rFonts w:hint="eastAsia" w:ascii="宋体" w:hAnsi="宋体" w:cs="宋体"/>
          <w:b w:val="0"/>
          <w:bCs w:val="0"/>
          <w:kern w:val="0"/>
          <w:szCs w:val="24"/>
        </w:rPr>
        <w:alias w:val="模块:专门委员会召开会议情况"/>
        <w:tag w:val="_SEC_1e3a9c0a15ba40d1bda51574352f1bf7"/>
        <w:id w:val="1818752962"/>
      </w:sdtPr>
      <w:sdtEndPr>
        <w:rPr>
          <w:rFonts w:hint="eastAsia" w:ascii="Calibri" w:hAnsi="Calibri" w:cs="Times New Roman"/>
          <w:b w:val="0"/>
          <w:bCs w:val="0"/>
          <w:kern w:val="2"/>
          <w:szCs w:val="21"/>
        </w:rPr>
      </w:sdtEndPr>
      <w:sdtContent>
        <w:p w14:paraId="53E686D6">
          <w:pPr>
            <w:pStyle w:val="51"/>
            <w:numPr>
              <w:ilvl w:val="0"/>
              <w:numId w:val="22"/>
            </w:numPr>
          </w:pPr>
          <w:r>
            <w:rPr>
              <w:rFonts w:hint="eastAsia"/>
            </w:rPr>
            <w:t>报告期内</w:t>
          </w:r>
          <w:sdt>
            <w:sdtPr>
              <w:rPr>
                <w:rFonts w:hint="eastAsia" w:ascii="宋体" w:hAnsi="宋体" w:cs="宋体"/>
                <w:kern w:val="0"/>
                <w:szCs w:val="24"/>
              </w:rPr>
              <w:alias w:val="召开会议的专门委员会类别"/>
              <w:tag w:val="_GBC_adf76ecbe3584f07b573642215a867bd"/>
              <w:id w:val="-144428924"/>
            </w:sdtPr>
            <w:sdtEndPr>
              <w:rPr>
                <w:rFonts w:hint="eastAsia" w:ascii="宋体" w:hAnsi="宋体" w:cs="宋体"/>
                <w:kern w:val="0"/>
                <w:szCs w:val="24"/>
              </w:rPr>
            </w:sdtEndPr>
            <w:sdtContent>
              <w:r>
                <w:rPr>
                  <w:rFonts w:hint="eastAsia"/>
                </w:rPr>
                <w:t>战略</w:t>
              </w:r>
            </w:sdtContent>
          </w:sdt>
          <w:r>
            <w:rPr>
              <w:rFonts w:hint="eastAsia"/>
            </w:rPr>
            <w:t>委员会召开</w:t>
          </w:r>
          <w:sdt>
            <w:sdtPr>
              <w:rPr>
                <w:rFonts w:hint="eastAsia" w:ascii="宋体" w:hAnsi="宋体" w:cs="宋体"/>
                <w:kern w:val="0"/>
                <w:szCs w:val="24"/>
              </w:rPr>
              <w:alias w:val="报告期内召开专门委员会会议次数"/>
              <w:tag w:val="_GBC_7bf2cd7c3a6a4685ac9c89ee396352a0"/>
              <w:id w:val="-1769143847"/>
            </w:sdtPr>
            <w:sdtEndPr>
              <w:rPr>
                <w:rFonts w:hint="eastAsia" w:ascii="宋体" w:hAnsi="宋体" w:cs="宋体"/>
                <w:kern w:val="0"/>
                <w:szCs w:val="24"/>
              </w:rPr>
            </w:sdtEndPr>
            <w:sdtContent>
              <w:r>
                <w:rPr>
                  <w:rFonts w:hint="eastAsia"/>
                </w:rPr>
                <w:t>一</w:t>
              </w:r>
            </w:sdtContent>
          </w:sdt>
          <w:r>
            <w:rPr>
              <w:rFonts w:hint="eastAsia"/>
            </w:rPr>
            <w:t>次会议</w:t>
          </w:r>
        </w:p>
        <w:tbl>
          <w:tblPr>
            <w:tblStyle w:val="46"/>
            <w:tblW w:w="10207"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410"/>
            <w:gridCol w:w="4394"/>
            <w:gridCol w:w="1418"/>
          </w:tblGrid>
          <w:tr w14:paraId="72E2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1aefc289fbf48b1865138608d8bd14f"/>
                <w:id w:val="935102853"/>
              </w:sdtPr>
              <w:sdtContent>
                <w:tc>
                  <w:tcPr>
                    <w:tcW w:w="1985" w:type="dxa"/>
                    <w:vAlign w:val="center"/>
                  </w:tcPr>
                  <w:p w14:paraId="52C3EDBE">
                    <w:pPr>
                      <w:jc w:val="center"/>
                      <w:rPr>
                        <w:rFonts w:ascii="Calibri" w:hAnsi="Calibri"/>
                        <w:sz w:val="20"/>
                        <w:szCs w:val="20"/>
                      </w:rPr>
                    </w:pPr>
                    <w:r>
                      <w:rPr>
                        <w:rFonts w:hint="eastAsia" w:ascii="Calibri" w:hAnsi="Calibri"/>
                        <w:sz w:val="20"/>
                        <w:szCs w:val="20"/>
                      </w:rPr>
                      <w:t>召开日期</w:t>
                    </w:r>
                  </w:p>
                </w:tc>
              </w:sdtContent>
            </w:sdt>
            <w:sdt>
              <w:sdtPr>
                <w:tag w:val="_PLD_9d24b601ec70414eb969daf6b393edc8"/>
                <w:id w:val="530378073"/>
              </w:sdtPr>
              <w:sdtContent>
                <w:tc>
                  <w:tcPr>
                    <w:tcW w:w="2410" w:type="dxa"/>
                    <w:vAlign w:val="center"/>
                  </w:tcPr>
                  <w:p w14:paraId="20257307">
                    <w:pPr>
                      <w:jc w:val="center"/>
                      <w:rPr>
                        <w:rFonts w:ascii="Calibri" w:hAnsi="Calibri"/>
                        <w:sz w:val="20"/>
                        <w:szCs w:val="20"/>
                      </w:rPr>
                    </w:pPr>
                    <w:r>
                      <w:rPr>
                        <w:rFonts w:hint="eastAsia" w:ascii="Calibri" w:hAnsi="Calibri"/>
                        <w:sz w:val="20"/>
                        <w:szCs w:val="20"/>
                      </w:rPr>
                      <w:t>会议内容</w:t>
                    </w:r>
                  </w:p>
                </w:tc>
              </w:sdtContent>
            </w:sdt>
            <w:sdt>
              <w:sdtPr>
                <w:tag w:val="_PLD_6ea19dadc3684e98a6d98faaf035a9d9"/>
                <w:id w:val="-723215927"/>
              </w:sdtPr>
              <w:sdtContent>
                <w:tc>
                  <w:tcPr>
                    <w:tcW w:w="4394" w:type="dxa"/>
                    <w:vAlign w:val="center"/>
                  </w:tcPr>
                  <w:p w14:paraId="5B75B890">
                    <w:pPr>
                      <w:jc w:val="center"/>
                      <w:rPr>
                        <w:rFonts w:ascii="Calibri" w:hAnsi="Calibri"/>
                        <w:sz w:val="20"/>
                        <w:szCs w:val="20"/>
                      </w:rPr>
                    </w:pPr>
                    <w:r>
                      <w:rPr>
                        <w:rFonts w:hint="eastAsia" w:ascii="Calibri" w:hAnsi="Calibri"/>
                        <w:sz w:val="20"/>
                        <w:szCs w:val="20"/>
                      </w:rPr>
                      <w:t>重要意见和建议</w:t>
                    </w:r>
                  </w:p>
                </w:tc>
              </w:sdtContent>
            </w:sdt>
            <w:sdt>
              <w:sdtPr>
                <w:tag w:val="_PLD_ef03d3ffb00740008011022cb6a96805"/>
                <w:id w:val="425305985"/>
              </w:sdtPr>
              <w:sdtContent>
                <w:tc>
                  <w:tcPr>
                    <w:tcW w:w="1418" w:type="dxa"/>
                    <w:vAlign w:val="center"/>
                  </w:tcPr>
                  <w:p w14:paraId="34F198F4">
                    <w:pPr>
                      <w:jc w:val="center"/>
                      <w:rPr>
                        <w:rFonts w:ascii="Calibri" w:hAnsi="Calibri"/>
                        <w:sz w:val="20"/>
                        <w:szCs w:val="20"/>
                      </w:rPr>
                    </w:pPr>
                    <w:r>
                      <w:rPr>
                        <w:rFonts w:hint="eastAsia" w:ascii="Calibri" w:hAnsi="Calibri"/>
                        <w:sz w:val="20"/>
                        <w:szCs w:val="20"/>
                      </w:rPr>
                      <w:t>其他履行职责情况</w:t>
                    </w:r>
                  </w:p>
                </w:tc>
              </w:sdtContent>
            </w:sdt>
          </w:tr>
          <w:tr w14:paraId="07B8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6D73A88F">
                <w:pPr>
                  <w:pStyle w:val="48"/>
                  <w:rPr>
                    <w:sz w:val="20"/>
                    <w:szCs w:val="20"/>
                  </w:rPr>
                </w:pPr>
                <w:r>
                  <w:rPr>
                    <w:rFonts w:hint="eastAsia"/>
                    <w:sz w:val="20"/>
                    <w:szCs w:val="20"/>
                  </w:rPr>
                  <w:t>2025年5月22日</w:t>
                </w:r>
              </w:p>
            </w:tc>
            <w:tc>
              <w:tcPr>
                <w:tcW w:w="2410" w:type="dxa"/>
                <w:vAlign w:val="center"/>
              </w:tcPr>
              <w:p w14:paraId="2143961F">
                <w:pPr>
                  <w:pStyle w:val="48"/>
                  <w:rPr>
                    <w:sz w:val="20"/>
                    <w:szCs w:val="20"/>
                  </w:rPr>
                </w:pPr>
                <w:r>
                  <w:rPr>
                    <w:rFonts w:hint="eastAsia"/>
                    <w:sz w:val="20"/>
                    <w:szCs w:val="20"/>
                  </w:rPr>
                  <w:t>审议《关于协议转让特宝生物部分股份的议案》</w:t>
                </w:r>
              </w:p>
            </w:tc>
            <w:tc>
              <w:tcPr>
                <w:tcW w:w="4394" w:type="dxa"/>
                <w:vAlign w:val="center"/>
              </w:tcPr>
              <w:p w14:paraId="18FC110E">
                <w:pPr>
                  <w:pStyle w:val="48"/>
                  <w:rPr>
                    <w:sz w:val="20"/>
                    <w:szCs w:val="20"/>
                  </w:rPr>
                </w:pPr>
                <w:bookmarkStart w:id="104" w:name="OLE_LINK37"/>
                <w:bookmarkStart w:id="105" w:name="OLE_LINK36"/>
                <w:r>
                  <w:rPr>
                    <w:rFonts w:hint="eastAsia"/>
                    <w:sz w:val="20"/>
                    <w:szCs w:val="20"/>
                  </w:rPr>
                  <w:t>战略委员会严格按照法律、法规及相关规章制度开展工作，勤勉尽责。</w:t>
                </w:r>
                <w:bookmarkEnd w:id="104"/>
                <w:bookmarkEnd w:id="105"/>
                <w:r>
                  <w:rPr>
                    <w:rFonts w:hint="eastAsia"/>
                    <w:sz w:val="20"/>
                    <w:szCs w:val="20"/>
                  </w:rPr>
                  <w:t>根据公司的实际情况，经过充分沟通讨论，一致通过并同意将该议案提交公司董事会审议。</w:t>
                </w:r>
              </w:p>
            </w:tc>
            <w:tc>
              <w:tcPr>
                <w:tcW w:w="1418" w:type="dxa"/>
                <w:vAlign w:val="center"/>
              </w:tcPr>
              <w:p w14:paraId="06DE6592">
                <w:pPr>
                  <w:jc w:val="center"/>
                  <w:rPr>
                    <w:rFonts w:ascii="Calibri" w:hAnsi="Calibri"/>
                    <w:sz w:val="20"/>
                    <w:szCs w:val="20"/>
                  </w:rPr>
                </w:pPr>
                <w:r>
                  <w:rPr>
                    <w:rFonts w:hint="eastAsia" w:ascii="Calibri" w:hAnsi="Calibri"/>
                    <w:sz w:val="20"/>
                    <w:szCs w:val="20"/>
                  </w:rPr>
                  <w:t>无</w:t>
                </w:r>
              </w:p>
            </w:tc>
          </w:tr>
        </w:tbl>
        <w:p w14:paraId="5C55E684">
          <w:pPr>
            <w:pStyle w:val="48"/>
          </w:pPr>
        </w:p>
      </w:sdtContent>
    </w:sdt>
    <w:sdt>
      <w:sdtPr>
        <w:rPr>
          <w:rFonts w:hint="eastAsia" w:ascii="宋体" w:hAnsi="宋体" w:cs="宋体"/>
          <w:b w:val="0"/>
          <w:bCs w:val="0"/>
          <w:kern w:val="0"/>
          <w:szCs w:val="24"/>
        </w:rPr>
        <w:alias w:val="模块:存在异议事项的具体情况"/>
        <w:tag w:val="_SEC_400f0a7634114d80939ab87276db7db7"/>
        <w:id w:val="2097360214"/>
        <w:placeholder>
          <w:docPart w:val="GBC22222222222222222222222222222"/>
        </w:placeholder>
      </w:sdtPr>
      <w:sdtEndPr>
        <w:rPr>
          <w:rFonts w:hint="default" w:ascii="Calibri" w:hAnsi="Calibri" w:cs="Times New Roman"/>
          <w:b w:val="0"/>
          <w:bCs w:val="0"/>
          <w:kern w:val="2"/>
          <w:szCs w:val="21"/>
        </w:rPr>
      </w:sdtEndPr>
      <w:sdtContent>
        <w:p w14:paraId="19FF7CFC">
          <w:pPr>
            <w:pStyle w:val="51"/>
            <w:numPr>
              <w:ilvl w:val="0"/>
              <w:numId w:val="22"/>
            </w:numPr>
          </w:pPr>
          <w:r>
            <w:rPr>
              <w:rFonts w:hint="eastAsia"/>
            </w:rPr>
            <w:t>存在异议事项的具体情况</w:t>
          </w:r>
        </w:p>
        <w:sdt>
          <w:sdtPr>
            <w:rPr>
              <w:rFonts w:hint="eastAsia"/>
            </w:rPr>
            <w:alias w:val="是否适用：董事会下设专门委员会在报告期内履行职责时所提出的重要意见和建议[双击切换]"/>
            <w:tag w:val="_GBC_f61de8443c9e4bc6b27047ea31f34f46"/>
            <w:id w:val="706455160"/>
            <w:placeholder>
              <w:docPart w:val="GBC22222222222222222222222222222"/>
            </w:placeholder>
          </w:sdtPr>
          <w:sdtEndPr>
            <w:rPr>
              <w:rFonts w:hint="eastAsia"/>
            </w:rPr>
          </w:sdtEndPr>
          <w:sdtContent>
            <w:p w14:paraId="3F030C8A">
              <w:pPr>
                <w:pStyle w:val="48"/>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p w14:paraId="4C8EA907">
      <w:pPr>
        <w:pStyle w:val="48"/>
      </w:pPr>
    </w:p>
    <w:p w14:paraId="77FA6B98">
      <w:pPr>
        <w:pStyle w:val="3"/>
        <w:numPr>
          <w:ilvl w:val="0"/>
          <w:numId w:val="20"/>
        </w:numPr>
      </w:pPr>
      <w:r>
        <w:rPr>
          <w:rFonts w:hint="eastAsia" w:ascii="宋体" w:hAnsi="宋体" w:cs="宋体"/>
          <w:kern w:val="0"/>
          <w:szCs w:val="24"/>
        </w:rPr>
        <w:t>报告期末</w:t>
      </w:r>
      <w:r>
        <w:rPr>
          <w:rFonts w:ascii="宋体" w:hAnsi="宋体" w:cs="宋体"/>
          <w:kern w:val="0"/>
          <w:szCs w:val="24"/>
        </w:rPr>
        <w:t>母公司和主要子公司的员工情况</w:t>
      </w:r>
    </w:p>
    <w:sdt>
      <w:sdtPr>
        <w:rPr>
          <w:rFonts w:ascii="宋体" w:hAnsi="宋体" w:cs="宋体"/>
          <w:b w:val="0"/>
          <w:bCs w:val="0"/>
          <w:kern w:val="0"/>
          <w:szCs w:val="21"/>
        </w:rPr>
        <w:alias w:val="模块:员工情况"/>
        <w:tag w:val="_SEC_5d36f6c19ead44619fb5fc47e8c54f50"/>
        <w:id w:val="1067920850"/>
        <w:placeholder>
          <w:docPart w:val="GBC22222222222222222222222222222"/>
        </w:placeholder>
      </w:sdtPr>
      <w:sdtEndPr>
        <w:rPr>
          <w:rFonts w:ascii="Calibri" w:hAnsi="Calibri" w:cs="Times New Roman"/>
          <w:b w:val="0"/>
          <w:bCs w:val="0"/>
          <w:kern w:val="2"/>
          <w:szCs w:val="21"/>
        </w:rPr>
      </w:sdtEndPr>
      <w:sdtContent>
        <w:p w14:paraId="3AC3BE76">
          <w:pPr>
            <w:pStyle w:val="51"/>
            <w:numPr>
              <w:ilvl w:val="0"/>
              <w:numId w:val="23"/>
            </w:numPr>
            <w:rPr>
              <w:szCs w:val="21"/>
            </w:rPr>
          </w:pPr>
          <w:bookmarkStart w:id="106" w:name="_Hlk89184114"/>
          <w:r>
            <w:rPr>
              <w:szCs w:val="21"/>
            </w:rPr>
            <w:t>员工情况</w:t>
          </w:r>
        </w:p>
        <w:tbl>
          <w:tblPr>
            <w:tblStyle w:val="4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4"/>
            <w:gridCol w:w="433"/>
            <w:gridCol w:w="4092"/>
          </w:tblGrid>
          <w:tr w14:paraId="6FF6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cff5d8823807446facbb16ac3f50949e"/>
                <w:id w:val="522143101"/>
              </w:sdtPr>
              <w:sdtContent>
                <w:tc>
                  <w:tcPr>
                    <w:tcW w:w="4957" w:type="dxa"/>
                    <w:gridSpan w:val="2"/>
                    <w:vAlign w:val="center"/>
                  </w:tcPr>
                  <w:p w14:paraId="6FFC8198">
                    <w:pPr>
                      <w:widowControl w:val="0"/>
                      <w:jc w:val="both"/>
                    </w:pPr>
                    <w:r>
                      <w:t>母公司在职员工的数量</w:t>
                    </w:r>
                  </w:p>
                </w:tc>
              </w:sdtContent>
            </w:sdt>
            <w:sdt>
              <w:sdtPr>
                <w:alias w:val="母公司在职员工的数量"/>
                <w:tag w:val="_GBC_abd1eca65c1c4a43937ae4fdd8599b5b"/>
                <w:id w:val="828484339"/>
              </w:sdtPr>
              <w:sdtContent>
                <w:tc>
                  <w:tcPr>
                    <w:tcW w:w="4092" w:type="dxa"/>
                    <w:vAlign w:val="center"/>
                  </w:tcPr>
                  <w:p w14:paraId="6B78E3FF">
                    <w:pPr>
                      <w:widowControl w:val="0"/>
                      <w:jc w:val="right"/>
                    </w:pPr>
                    <w:r>
                      <w:t>3,238</w:t>
                    </w:r>
                  </w:p>
                </w:tc>
              </w:sdtContent>
            </w:sdt>
          </w:tr>
          <w:tr w14:paraId="431A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957" w:type="dxa"/>
                <w:gridSpan w:val="2"/>
                <w:vAlign w:val="center"/>
              </w:tcPr>
              <w:p w14:paraId="1AF56627">
                <w:pPr>
                  <w:widowControl w:val="0"/>
                  <w:jc w:val="both"/>
                </w:pPr>
                <w:r>
                  <w:t>主要子公司在职员工的数量</w:t>
                </w:r>
              </w:p>
            </w:tc>
            <w:tc>
              <w:tcPr>
                <w:tcW w:w="4092" w:type="dxa"/>
                <w:vAlign w:val="center"/>
              </w:tcPr>
              <w:p w14:paraId="6865B614">
                <w:pPr>
                  <w:widowControl w:val="0"/>
                  <w:jc w:val="right"/>
                </w:pPr>
                <w:r>
                  <w:rPr>
                    <w:rFonts w:hint="eastAsia"/>
                  </w:rPr>
                  <w:t>1</w:t>
                </w:r>
                <w:r>
                  <w:t>16</w:t>
                </w:r>
              </w:p>
            </w:tc>
          </w:tr>
          <w:tr w14:paraId="6FEE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4957" w:type="dxa"/>
                <w:gridSpan w:val="2"/>
                <w:vAlign w:val="center"/>
              </w:tcPr>
              <w:p w14:paraId="6C4D974A">
                <w:pPr>
                  <w:widowControl w:val="0"/>
                  <w:jc w:val="both"/>
                </w:pPr>
                <w:r>
                  <w:t>在职员工的数量合计</w:t>
                </w:r>
              </w:p>
            </w:tc>
            <w:tc>
              <w:tcPr>
                <w:tcW w:w="4092" w:type="dxa"/>
                <w:vAlign w:val="center"/>
              </w:tcPr>
              <w:p w14:paraId="46599448">
                <w:pPr>
                  <w:widowControl w:val="0"/>
                  <w:jc w:val="right"/>
                </w:pPr>
                <w:r>
                  <w:t>3,354</w:t>
                </w:r>
              </w:p>
            </w:tc>
          </w:tr>
          <w:tr w14:paraId="72BC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957" w:type="dxa"/>
                <w:gridSpan w:val="2"/>
                <w:vAlign w:val="center"/>
              </w:tcPr>
              <w:p w14:paraId="762431DB">
                <w:pPr>
                  <w:widowControl w:val="0"/>
                  <w:jc w:val="both"/>
                </w:pPr>
                <w:r>
                  <w:t>母公司及主要子公司需承担费用的离退休职工人数</w:t>
                </w:r>
              </w:p>
            </w:tc>
            <w:tc>
              <w:tcPr>
                <w:tcW w:w="4092" w:type="dxa"/>
                <w:vAlign w:val="center"/>
              </w:tcPr>
              <w:p w14:paraId="36BC8E97">
                <w:pPr>
                  <w:widowControl w:val="0"/>
                  <w:jc w:val="right"/>
                </w:pPr>
                <w:r>
                  <w:rPr>
                    <w:rFonts w:hint="eastAsia"/>
                  </w:rPr>
                  <w:t>2</w:t>
                </w:r>
              </w:p>
            </w:tc>
          </w:tr>
          <w:tr w14:paraId="0B27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sdt>
              <w:sdtPr>
                <w:tag w:val="_PLD_f37d0297c6bb44dea272632ad4d910e4"/>
                <w:id w:val="-2093076849"/>
              </w:sdtPr>
              <w:sdtContent>
                <w:tc>
                  <w:tcPr>
                    <w:tcW w:w="9049" w:type="dxa"/>
                    <w:gridSpan w:val="3"/>
                    <w:vAlign w:val="center"/>
                  </w:tcPr>
                  <w:p w14:paraId="0DE5511D">
                    <w:pPr>
                      <w:widowControl w:val="0"/>
                      <w:jc w:val="center"/>
                    </w:pPr>
                    <w:r>
                      <w:t>专业构成</w:t>
                    </w:r>
                  </w:p>
                </w:tc>
              </w:sdtContent>
            </w:sdt>
          </w:tr>
          <w:tr w14:paraId="6D85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90bef974c0c14508b11a7e84e6f364c5"/>
                <w:id w:val="1765256012"/>
              </w:sdtPr>
              <w:sdtContent>
                <w:tc>
                  <w:tcPr>
                    <w:tcW w:w="4524" w:type="dxa"/>
                    <w:vAlign w:val="center"/>
                  </w:tcPr>
                  <w:p w14:paraId="07D26235">
                    <w:pPr>
                      <w:widowControl w:val="0"/>
                      <w:jc w:val="center"/>
                    </w:pPr>
                    <w:r>
                      <w:t>专业构成类别</w:t>
                    </w:r>
                  </w:p>
                </w:tc>
              </w:sdtContent>
            </w:sdt>
            <w:sdt>
              <w:sdtPr>
                <w:tag w:val="_PLD_a5f175a6b2a94ee7a70936fbe5cbc8da"/>
                <w:id w:val="-171335821"/>
              </w:sdtPr>
              <w:sdtContent>
                <w:tc>
                  <w:tcPr>
                    <w:tcW w:w="4525" w:type="dxa"/>
                    <w:gridSpan w:val="2"/>
                    <w:vAlign w:val="center"/>
                  </w:tcPr>
                  <w:p w14:paraId="5245DB3E">
                    <w:pPr>
                      <w:widowControl w:val="0"/>
                      <w:jc w:val="center"/>
                    </w:pPr>
                    <w:r>
                      <w:t>专业构成人数</w:t>
                    </w:r>
                  </w:p>
                </w:tc>
              </w:sdtContent>
            </w:sdt>
          </w:tr>
          <w:tr w14:paraId="08F3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524" w:type="dxa"/>
                <w:vAlign w:val="center"/>
              </w:tcPr>
              <w:p w14:paraId="696197B4">
                <w:pPr>
                  <w:widowControl w:val="0"/>
                  <w:jc w:val="center"/>
                </w:pPr>
                <w:r>
                  <w:t>生产人员</w:t>
                </w:r>
              </w:p>
            </w:tc>
            <w:tc>
              <w:tcPr>
                <w:tcW w:w="4525" w:type="dxa"/>
                <w:gridSpan w:val="2"/>
                <w:vAlign w:val="center"/>
              </w:tcPr>
              <w:p w14:paraId="546ACD0A">
                <w:pPr>
                  <w:widowControl w:val="0"/>
                  <w:jc w:val="right"/>
                </w:pPr>
                <w:r>
                  <w:t>964</w:t>
                </w:r>
              </w:p>
            </w:tc>
          </w:tr>
          <w:tr w14:paraId="34EB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524" w:type="dxa"/>
                <w:vAlign w:val="center"/>
              </w:tcPr>
              <w:p w14:paraId="0A73064D">
                <w:pPr>
                  <w:widowControl w:val="0"/>
                  <w:jc w:val="center"/>
                </w:pPr>
                <w:r>
                  <w:t>销售人员</w:t>
                </w:r>
              </w:p>
            </w:tc>
            <w:tc>
              <w:tcPr>
                <w:tcW w:w="4525" w:type="dxa"/>
                <w:gridSpan w:val="2"/>
                <w:vAlign w:val="center"/>
              </w:tcPr>
              <w:p w14:paraId="3900DC73">
                <w:pPr>
                  <w:widowControl w:val="0"/>
                  <w:jc w:val="right"/>
                </w:pPr>
                <w:r>
                  <w:t>1,321</w:t>
                </w:r>
              </w:p>
            </w:tc>
          </w:tr>
          <w:tr w14:paraId="7CE8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4524" w:type="dxa"/>
                <w:vAlign w:val="center"/>
              </w:tcPr>
              <w:p w14:paraId="6475A81F">
                <w:pPr>
                  <w:widowControl w:val="0"/>
                  <w:jc w:val="center"/>
                </w:pPr>
                <w:r>
                  <w:t>技术人员</w:t>
                </w:r>
              </w:p>
            </w:tc>
            <w:tc>
              <w:tcPr>
                <w:tcW w:w="4525" w:type="dxa"/>
                <w:gridSpan w:val="2"/>
                <w:vAlign w:val="center"/>
              </w:tcPr>
              <w:p w14:paraId="671119E6">
                <w:pPr>
                  <w:widowControl w:val="0"/>
                  <w:jc w:val="right"/>
                </w:pPr>
                <w:r>
                  <w:t>751</w:t>
                </w:r>
              </w:p>
            </w:tc>
          </w:tr>
          <w:tr w14:paraId="5124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4524" w:type="dxa"/>
                <w:vAlign w:val="center"/>
              </w:tcPr>
              <w:p w14:paraId="2AA0203F">
                <w:pPr>
                  <w:widowControl w:val="0"/>
                  <w:jc w:val="center"/>
                </w:pPr>
                <w:r>
                  <w:t>财务人员</w:t>
                </w:r>
              </w:p>
            </w:tc>
            <w:tc>
              <w:tcPr>
                <w:tcW w:w="4525" w:type="dxa"/>
                <w:gridSpan w:val="2"/>
                <w:vAlign w:val="center"/>
              </w:tcPr>
              <w:p w14:paraId="6A2C6407">
                <w:pPr>
                  <w:widowControl w:val="0"/>
                  <w:jc w:val="right"/>
                </w:pPr>
                <w:r>
                  <w:t>31</w:t>
                </w:r>
              </w:p>
            </w:tc>
          </w:tr>
          <w:tr w14:paraId="1038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524" w:type="dxa"/>
                <w:vAlign w:val="center"/>
              </w:tcPr>
              <w:p w14:paraId="70CEB0E3">
                <w:pPr>
                  <w:widowControl w:val="0"/>
                  <w:jc w:val="center"/>
                </w:pPr>
                <w:r>
                  <w:t>行政人员</w:t>
                </w:r>
              </w:p>
            </w:tc>
            <w:tc>
              <w:tcPr>
                <w:tcW w:w="4525" w:type="dxa"/>
                <w:gridSpan w:val="2"/>
                <w:vAlign w:val="center"/>
              </w:tcPr>
              <w:p w14:paraId="498B5C8D">
                <w:pPr>
                  <w:widowControl w:val="0"/>
                  <w:jc w:val="right"/>
                </w:pPr>
                <w:r>
                  <w:t>171</w:t>
                </w:r>
              </w:p>
            </w:tc>
          </w:tr>
          <w:tr w14:paraId="799C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4524" w:type="dxa"/>
                <w:vAlign w:val="center"/>
              </w:tcPr>
              <w:p w14:paraId="598FD3CD">
                <w:pPr>
                  <w:widowControl w:val="0"/>
                  <w:jc w:val="center"/>
                </w:pPr>
                <w:r>
                  <w:t>合计</w:t>
                </w:r>
              </w:p>
            </w:tc>
            <w:tc>
              <w:tcPr>
                <w:tcW w:w="4525" w:type="dxa"/>
                <w:gridSpan w:val="2"/>
                <w:vAlign w:val="center"/>
              </w:tcPr>
              <w:p w14:paraId="27B04D17">
                <w:pPr>
                  <w:widowControl w:val="0"/>
                  <w:jc w:val="right"/>
                </w:pPr>
                <w:r>
                  <w:t>3,238</w:t>
                </w:r>
              </w:p>
            </w:tc>
          </w:tr>
          <w:tr w14:paraId="1A82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sdt>
              <w:sdtPr>
                <w:tag w:val="_PLD_ea58f2d9c900463a8694fdc78940295e"/>
                <w:id w:val="1524202415"/>
              </w:sdtPr>
              <w:sdtContent>
                <w:tc>
                  <w:tcPr>
                    <w:tcW w:w="9049" w:type="dxa"/>
                    <w:gridSpan w:val="3"/>
                    <w:vAlign w:val="center"/>
                  </w:tcPr>
                  <w:p w14:paraId="401DACF2">
                    <w:pPr>
                      <w:widowControl w:val="0"/>
                      <w:jc w:val="center"/>
                    </w:pPr>
                    <w:r>
                      <w:t>教育程度</w:t>
                    </w:r>
                  </w:p>
                </w:tc>
              </w:sdtContent>
            </w:sdt>
          </w:tr>
          <w:tr w14:paraId="05B7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sdt>
              <w:sdtPr>
                <w:tag w:val="_PLD_92fefeded22c454881177d08c5c97d97"/>
                <w:id w:val="1085883845"/>
              </w:sdtPr>
              <w:sdtContent>
                <w:tc>
                  <w:tcPr>
                    <w:tcW w:w="4524" w:type="dxa"/>
                    <w:vAlign w:val="center"/>
                  </w:tcPr>
                  <w:p w14:paraId="3317CAB2">
                    <w:pPr>
                      <w:widowControl w:val="0"/>
                      <w:jc w:val="center"/>
                    </w:pPr>
                    <w:r>
                      <w:t>教育程度类别</w:t>
                    </w:r>
                  </w:p>
                </w:tc>
              </w:sdtContent>
            </w:sdt>
            <w:sdt>
              <w:sdtPr>
                <w:tag w:val="_PLD_2a8ff2c52daa4348bedf7a0e6951a5c6"/>
                <w:id w:val="-256360171"/>
              </w:sdtPr>
              <w:sdtContent>
                <w:tc>
                  <w:tcPr>
                    <w:tcW w:w="4525" w:type="dxa"/>
                    <w:gridSpan w:val="2"/>
                    <w:vAlign w:val="center"/>
                  </w:tcPr>
                  <w:p w14:paraId="46D03D1F">
                    <w:pPr>
                      <w:widowControl w:val="0"/>
                      <w:jc w:val="center"/>
                    </w:pPr>
                    <w:r>
                      <w:t>数量（人）</w:t>
                    </w:r>
                  </w:p>
                </w:tc>
              </w:sdtContent>
            </w:sdt>
          </w:tr>
          <w:tr w14:paraId="3A12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524" w:type="dxa"/>
                <w:vAlign w:val="center"/>
              </w:tcPr>
              <w:p w14:paraId="669840C4">
                <w:pPr>
                  <w:widowControl w:val="0"/>
                  <w:jc w:val="center"/>
                </w:pPr>
                <w:r>
                  <w:t>大学以上文化</w:t>
                </w:r>
              </w:p>
            </w:tc>
            <w:tc>
              <w:tcPr>
                <w:tcW w:w="4525" w:type="dxa"/>
                <w:gridSpan w:val="2"/>
                <w:vAlign w:val="center"/>
              </w:tcPr>
              <w:p w14:paraId="5E58431A">
                <w:pPr>
                  <w:widowControl w:val="0"/>
                  <w:jc w:val="right"/>
                </w:pPr>
                <w:r>
                  <w:t>1,533</w:t>
                </w:r>
              </w:p>
            </w:tc>
          </w:tr>
          <w:tr w14:paraId="0DAA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524" w:type="dxa"/>
                <w:vAlign w:val="center"/>
              </w:tcPr>
              <w:p w14:paraId="1BC8BC10">
                <w:pPr>
                  <w:widowControl w:val="0"/>
                  <w:jc w:val="center"/>
                </w:pPr>
                <w:r>
                  <w:t>大专文化</w:t>
                </w:r>
              </w:p>
            </w:tc>
            <w:tc>
              <w:tcPr>
                <w:tcW w:w="4525" w:type="dxa"/>
                <w:gridSpan w:val="2"/>
                <w:vAlign w:val="center"/>
              </w:tcPr>
              <w:p w14:paraId="0F374F24">
                <w:pPr>
                  <w:widowControl w:val="0"/>
                  <w:jc w:val="right"/>
                </w:pPr>
                <w:r>
                  <w:t>1,313</w:t>
                </w:r>
              </w:p>
            </w:tc>
          </w:tr>
          <w:tr w14:paraId="3D41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524" w:type="dxa"/>
                <w:vAlign w:val="center"/>
              </w:tcPr>
              <w:p w14:paraId="3032023A">
                <w:pPr>
                  <w:widowControl w:val="0"/>
                  <w:jc w:val="center"/>
                </w:pPr>
                <w:r>
                  <w:t>中专文化</w:t>
                </w:r>
              </w:p>
            </w:tc>
            <w:tc>
              <w:tcPr>
                <w:tcW w:w="4525" w:type="dxa"/>
                <w:gridSpan w:val="2"/>
                <w:vAlign w:val="center"/>
              </w:tcPr>
              <w:p w14:paraId="2F5BE4BE">
                <w:pPr>
                  <w:widowControl w:val="0"/>
                  <w:jc w:val="right"/>
                </w:pPr>
                <w:r>
                  <w:t>160</w:t>
                </w:r>
              </w:p>
            </w:tc>
          </w:tr>
          <w:tr w14:paraId="70B4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524" w:type="dxa"/>
                <w:vAlign w:val="center"/>
              </w:tcPr>
              <w:p w14:paraId="1E20AF7C">
                <w:pPr>
                  <w:widowControl w:val="0"/>
                  <w:jc w:val="center"/>
                </w:pPr>
                <w:r>
                  <w:t>高中以下</w:t>
                </w:r>
              </w:p>
            </w:tc>
            <w:tc>
              <w:tcPr>
                <w:tcW w:w="4525" w:type="dxa"/>
                <w:gridSpan w:val="2"/>
                <w:vAlign w:val="center"/>
              </w:tcPr>
              <w:p w14:paraId="61A4A42F">
                <w:pPr>
                  <w:widowControl w:val="0"/>
                  <w:jc w:val="right"/>
                </w:pPr>
                <w:r>
                  <w:t>232</w:t>
                </w:r>
              </w:p>
            </w:tc>
          </w:tr>
          <w:tr w14:paraId="4865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524" w:type="dxa"/>
                <w:tcBorders>
                  <w:bottom w:val="single" w:color="auto" w:sz="4" w:space="0"/>
                </w:tcBorders>
                <w:vAlign w:val="center"/>
              </w:tcPr>
              <w:p w14:paraId="74F48131">
                <w:pPr>
                  <w:widowControl w:val="0"/>
                  <w:jc w:val="center"/>
                </w:pPr>
                <w:r>
                  <w:t>合计</w:t>
                </w:r>
              </w:p>
            </w:tc>
            <w:tc>
              <w:tcPr>
                <w:tcW w:w="4525" w:type="dxa"/>
                <w:gridSpan w:val="2"/>
                <w:tcBorders>
                  <w:bottom w:val="single" w:color="auto" w:sz="4" w:space="0"/>
                </w:tcBorders>
                <w:vAlign w:val="center"/>
              </w:tcPr>
              <w:p w14:paraId="0A49C02E">
                <w:pPr>
                  <w:widowControl w:val="0"/>
                  <w:jc w:val="right"/>
                </w:pPr>
                <w:r>
                  <w:t>3,238</w:t>
                </w:r>
              </w:p>
            </w:tc>
          </w:tr>
        </w:tbl>
        <w:p w14:paraId="2ED6BFEB"/>
        <w:p w14:paraId="0E82839A">
          <w:pPr>
            <w:pStyle w:val="48"/>
          </w:pPr>
        </w:p>
      </w:sdtContent>
    </w:sdt>
    <w:bookmarkEnd w:id="106"/>
    <w:sdt>
      <w:sdtPr>
        <w:rPr>
          <w:rFonts w:ascii="宋体" w:hAnsi="宋体" w:cs="宋体"/>
          <w:b w:val="0"/>
          <w:bCs w:val="0"/>
          <w:kern w:val="0"/>
          <w:szCs w:val="24"/>
        </w:rPr>
        <w:alias w:val="模块:薪酬政策"/>
        <w:tag w:val="_SEC_fc732f9b506646da9d52a592974e5004"/>
        <w:id w:val="-1161541373"/>
        <w:placeholder>
          <w:docPart w:val="GBC22222222222222222222222222222"/>
        </w:placeholder>
      </w:sdtPr>
      <w:sdtEndPr>
        <w:rPr>
          <w:rFonts w:hint="eastAsia" w:ascii="Calibri" w:hAnsi="Calibri" w:cs="Times New Roman"/>
          <w:b w:val="0"/>
          <w:bCs w:val="0"/>
          <w:kern w:val="2"/>
          <w:szCs w:val="21"/>
        </w:rPr>
      </w:sdtEndPr>
      <w:sdtContent>
        <w:p w14:paraId="05B5F06D">
          <w:pPr>
            <w:pStyle w:val="51"/>
            <w:numPr>
              <w:ilvl w:val="0"/>
              <w:numId w:val="23"/>
            </w:numPr>
            <w:rPr>
              <w:szCs w:val="21"/>
            </w:rPr>
          </w:pPr>
          <w:r>
            <w:rPr>
              <w:szCs w:val="21"/>
            </w:rPr>
            <w:t>薪酬政策</w:t>
          </w:r>
        </w:p>
        <w:sdt>
          <w:sdtPr>
            <w:rPr>
              <w:rFonts w:hint="eastAsia"/>
            </w:rPr>
            <w:alias w:val="是否适用：薪酬政策[双击切换]"/>
            <w:tag w:val="_GBC_13404877597d44c38f554884f31b3123"/>
            <w:id w:val="638616679"/>
            <w:placeholder>
              <w:docPart w:val="GBC22222222222222222222222222222"/>
            </w:placeholder>
          </w:sdtPr>
          <w:sdtEndPr>
            <w:rPr>
              <w:rFonts w:hint="eastAsia"/>
            </w:rPr>
          </w:sdtEndPr>
          <w:sdtContent>
            <w:p w14:paraId="045D6063">
              <w:pPr>
                <w:pStyle w:val="48"/>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员工薪酬政策"/>
            <w:tag w:val="_GBC_c66914a8847a42b2b50437dbe93cdad1"/>
            <w:id w:val="217245369"/>
            <w:placeholder>
              <w:docPart w:val="GBC22222222222222222222222222222"/>
            </w:placeholder>
          </w:sdtPr>
          <w:sdtEndPr>
            <w:rPr>
              <w:rFonts w:hint="eastAsia"/>
            </w:rPr>
          </w:sdtEndPr>
          <w:sdtContent>
            <w:sdt>
              <w:sdtPr>
                <w:rPr>
                  <w:rFonts w:hint="eastAsia"/>
                </w:rPr>
                <w:alias w:val="员工薪酬政策"/>
                <w:tag w:val="_GBC_c66914a8847a42b2b50437dbe93cdad1"/>
                <w:id w:val="-1063719676"/>
              </w:sdtPr>
              <w:sdtEndPr>
                <w:rPr>
                  <w:rFonts w:hint="eastAsia"/>
                </w:rPr>
              </w:sdtEndPr>
              <w:sdtContent>
                <w:p w14:paraId="02B7C4FE">
                  <w:pPr>
                    <w:spacing w:line="360" w:lineRule="auto"/>
                    <w:ind w:firstLine="420" w:firstLineChars="200"/>
                  </w:pPr>
                  <w:r>
                    <w:rPr>
                      <w:rFonts w:hint="eastAsia"/>
                    </w:rPr>
                    <w:t>根据企业实际情况与发展目标确定薪酬方案，秉持劳资兼顾、互助互惠的原则，综合考虑公司支付能力、员工素质、知识技能与工作业绩等因素，给予员工合理待遇，实现薪酬与福利有机结合，充分调动员工积极性。依据员工学识经历、能力水平及岗位性质，适时优化薪酬结构和标准，确保员工收入与岗位职责、能力素质及业绩贡献紧密挂钩。薪资调整方案由人力资源部综合各部门意见后拟定。</w:t>
                  </w:r>
                </w:p>
              </w:sdtContent>
            </w:sdt>
          </w:sdtContent>
        </w:sdt>
      </w:sdtContent>
    </w:sdt>
    <w:p w14:paraId="57D29803">
      <w:pPr>
        <w:pStyle w:val="48"/>
      </w:pPr>
    </w:p>
    <w:sdt>
      <w:sdtPr>
        <w:rPr>
          <w:rFonts w:ascii="宋体" w:hAnsi="宋体" w:cs="宋体"/>
          <w:b w:val="0"/>
          <w:bCs w:val="0"/>
          <w:kern w:val="0"/>
          <w:szCs w:val="21"/>
        </w:rPr>
        <w:alias w:val="模块:培训计划"/>
        <w:tag w:val="_SEC_e8ed83989c604c839daf59b1ac5b558c"/>
        <w:id w:val="-1274471020"/>
        <w:placeholder>
          <w:docPart w:val="GBC22222222222222222222222222222"/>
        </w:placeholder>
      </w:sdtPr>
      <w:sdtEndPr>
        <w:rPr>
          <w:rFonts w:hint="eastAsia" w:ascii="Calibri" w:hAnsi="Calibri" w:cs="Times New Roman"/>
          <w:b w:val="0"/>
          <w:bCs w:val="0"/>
          <w:kern w:val="2"/>
          <w:szCs w:val="21"/>
        </w:rPr>
      </w:sdtEndPr>
      <w:sdtContent>
        <w:p w14:paraId="742D3268">
          <w:pPr>
            <w:pStyle w:val="51"/>
            <w:numPr>
              <w:ilvl w:val="0"/>
              <w:numId w:val="23"/>
            </w:numPr>
            <w:rPr>
              <w:szCs w:val="21"/>
            </w:rPr>
          </w:pPr>
          <w:r>
            <w:rPr>
              <w:szCs w:val="21"/>
            </w:rPr>
            <w:t>培训计划</w:t>
          </w:r>
        </w:p>
        <w:sdt>
          <w:sdtPr>
            <w:rPr>
              <w:rFonts w:hint="eastAsia"/>
            </w:rPr>
            <w:alias w:val="是否适用：培训计划[双击切换]"/>
            <w:tag w:val="_GBC_123cfa2c006d4970ae10b316c2c1f95a"/>
            <w:id w:val="1016203306"/>
            <w:placeholder>
              <w:docPart w:val="GBC22222222222222222222222222222"/>
            </w:placeholder>
          </w:sdtPr>
          <w:sdtEndPr>
            <w:rPr>
              <w:rFonts w:hint="eastAsia"/>
            </w:rPr>
          </w:sdtEndPr>
          <w:sdtContent>
            <w:p w14:paraId="68B25C91">
              <w:pPr>
                <w:pStyle w:val="48"/>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ascii="Calibri" w:hAnsi="Calibri"/>
              <w:kern w:val="2"/>
            </w:rPr>
            <w:alias w:val="员工培训计划"/>
            <w:tag w:val="_GBC_266f6e1d93824387ae96645a471738b7"/>
            <w:id w:val="-1791972560"/>
            <w:placeholder>
              <w:docPart w:val="GBC22222222222222222222222222222"/>
            </w:placeholder>
          </w:sdtPr>
          <w:sdtEndPr>
            <w:rPr>
              <w:rFonts w:hint="eastAsia" w:ascii="Calibri" w:hAnsi="Calibri"/>
              <w:kern w:val="2"/>
            </w:rPr>
          </w:sdtEndPr>
          <w:sdtContent>
            <w:sdt>
              <w:sdtPr>
                <w:rPr>
                  <w:rFonts w:hint="eastAsia"/>
                </w:rPr>
                <w:alias w:val="员工培训计划"/>
                <w:tag w:val="_GBC_266f6e1d93824387ae96645a471738b7"/>
                <w:id w:val="2038700543"/>
              </w:sdtPr>
              <w:sdtEndPr>
                <w:rPr>
                  <w:rFonts w:hint="eastAsia"/>
                </w:rPr>
              </w:sdtEndPr>
              <w:sdtContent>
                <w:p w14:paraId="446D246B">
                  <w:pPr>
                    <w:spacing w:line="360" w:lineRule="auto"/>
                    <w:ind w:firstLine="420" w:firstLineChars="200"/>
                    <w:jc w:val="both"/>
                  </w:pPr>
                  <w:r>
                    <w:rPr>
                      <w:rFonts w:hint="eastAsia"/>
                    </w:rPr>
                    <w:t>公司致力于提升员工整体素质与工作效率，构建学习型组织。为此，公司每年系统制定培训计划，内容涵盖新员工入职培训、岗前培训、转岗培训及外部人员培训。针对不同岗位人员特点，包括管理人员、技术人员和一线员工，公司采取多元化的培训形式，开展了GMP规范、岗位操作技能、生产过程质量控制、风险管理与防范、消防安全、生产安全、销售技巧等多方面培训，旨在全面提升员工的综合素质、业务能力及团队协作意识，推动公司生产质量、工作效率和经营管理水平持续进步，实现企业与员工的共同成长。公司依据培训内容与实际需求，采用笔试与现场操作考核相结合的方式，对各部门及个人的培训效果进行系统评估。培训结束后，相关培训资料按要求整理保存。</w:t>
                  </w:r>
                </w:p>
                <w:p w14:paraId="7D2C1291">
                  <w:pPr>
                    <w:spacing w:line="360" w:lineRule="auto"/>
                    <w:ind w:firstLine="420" w:firstLineChars="200"/>
                    <w:jc w:val="both"/>
                  </w:pPr>
                  <w:r>
                    <w:rPr>
                      <w:rFonts w:hint="eastAsia"/>
                    </w:rPr>
                    <w:t>2025年，公司通过多种形式积极推进人才培养工作。总部人力资源部组织新员工入职培训4期，内容包括厂规厂纪、安全知识、岗位技能等课程，累计培训150人。此外，对于总部生产质量核心骨干开展了系统性的专业知识培训，旨在帮助骨干人员及时应对法规政策更新带来的合规挑战，持续构建与国际标准接轨的专业化人才梯队；销售重点聚焦团队建设与能力提升，系统开展了多层次、多形式的培训工作。营销团队在新员工入职培训方面，全年共举办6期，累计培训243人，有效帮助新员工快速融入团队并掌握岗位基础技能。针对晋升人员的能力提升，全年组织了3场专项培训，参训70人，助力其适应新岗位要求，提升管理与业务能力。此外，还开展了一线核心产品推广、区域数据管理提升、储备干部培养、销售精英经验分享等多项专题培训，累计培训千余人次，覆盖全员。有助于持续提升销售人员的专业技能与实战能力，助力销售业绩稳步增长。</w:t>
                  </w:r>
                </w:p>
              </w:sdtContent>
            </w:sdt>
            <w:p w14:paraId="478F0E9B">
              <w:pPr>
                <w:pStyle w:val="48"/>
              </w:pPr>
            </w:p>
          </w:sdtContent>
        </w:sdt>
      </w:sdtContent>
    </w:sdt>
    <w:p w14:paraId="1B80BF96">
      <w:pPr>
        <w:pStyle w:val="48"/>
      </w:pPr>
    </w:p>
    <w:sdt>
      <w:sdtPr>
        <w:rPr>
          <w:rFonts w:ascii="宋体" w:hAnsi="宋体" w:cs="宋体"/>
          <w:b w:val="0"/>
          <w:bCs w:val="0"/>
          <w:kern w:val="0"/>
          <w:szCs w:val="21"/>
        </w:rPr>
        <w:alias w:val="模块:劳务外包情况"/>
        <w:tag w:val="_SEC_8f49545f8cf4433d99b6d5c9014b9ec4"/>
        <w:id w:val="-1357490910"/>
        <w:placeholder>
          <w:docPart w:val="GBC22222222222222222222222222222"/>
        </w:placeholder>
      </w:sdtPr>
      <w:sdtEndPr>
        <w:rPr>
          <w:rFonts w:ascii="Calibri" w:hAnsi="Calibri" w:cs="Times New Roman"/>
          <w:b w:val="0"/>
          <w:bCs w:val="0"/>
          <w:kern w:val="2"/>
          <w:szCs w:val="21"/>
        </w:rPr>
      </w:sdtEndPr>
      <w:sdtContent>
        <w:p w14:paraId="01AC9F3F">
          <w:pPr>
            <w:pStyle w:val="51"/>
            <w:numPr>
              <w:ilvl w:val="0"/>
              <w:numId w:val="23"/>
            </w:numPr>
            <w:rPr>
              <w:szCs w:val="21"/>
            </w:rPr>
          </w:pPr>
          <w:bookmarkStart w:id="107" w:name="_Hlk184285495"/>
          <w:r>
            <w:rPr>
              <w:szCs w:val="21"/>
            </w:rPr>
            <w:t>劳务外包情况</w:t>
          </w:r>
        </w:p>
        <w:sdt>
          <w:sdtPr>
            <w:alias w:val="是否适用：劳务外包情况[双击切换]"/>
            <w:tag w:val="_GBC_7647f15955ca4a4f9916c280d684fbc0"/>
            <w:id w:val="-57563007"/>
            <w:placeholder>
              <w:docPart w:val="GBC22222222222222222222222222222"/>
            </w:placeholder>
          </w:sdtPr>
          <w:sdtContent>
            <w:p w14:paraId="0BDADC7B">
              <w:pPr>
                <w:pStyle w:val="48"/>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bookmarkEnd w:id="107"/>
    <w:sdt>
      <w:sdtPr>
        <w:tag w:val="_PLD_031b2f9722ea40d4bdf50519f56bc6d5"/>
        <w:id w:val="1056351587"/>
      </w:sdtPr>
      <w:sdtContent>
        <w:p w14:paraId="13BE632B">
          <w:pPr>
            <w:pStyle w:val="3"/>
            <w:numPr>
              <w:ilvl w:val="0"/>
              <w:numId w:val="20"/>
            </w:numPr>
          </w:pPr>
          <w:r>
            <w:t>利润分配或资本公积金转增预案</w:t>
          </w:r>
        </w:p>
      </w:sdtContent>
    </w:sdt>
    <w:sdt>
      <w:sdtPr>
        <w:rPr>
          <w:rFonts w:hint="eastAsia" w:ascii="宋体" w:hAnsi="宋体" w:cs="宋体"/>
          <w:b w:val="0"/>
          <w:bCs w:val="0"/>
          <w:kern w:val="0"/>
          <w:szCs w:val="24"/>
        </w:rPr>
        <w:alias w:val="模块:现金分红政策的制定、执行或调整情况"/>
        <w:tag w:val="_SEC_56f603efa27346f7af316ef98db0d157"/>
        <w:id w:val="-1075431717"/>
        <w:placeholder>
          <w:docPart w:val="GBC22222222222222222222222222222"/>
        </w:placeholder>
      </w:sdtPr>
      <w:sdtEndPr>
        <w:rPr>
          <w:rFonts w:hint="default" w:ascii="Calibri" w:hAnsi="Calibri" w:cs="Times New Roman"/>
          <w:b w:val="0"/>
          <w:bCs w:val="0"/>
          <w:kern w:val="2"/>
          <w:szCs w:val="21"/>
        </w:rPr>
      </w:sdtEndPr>
      <w:sdtContent>
        <w:p w14:paraId="6E71F527">
          <w:pPr>
            <w:pStyle w:val="51"/>
            <w:numPr>
              <w:ilvl w:val="0"/>
              <w:numId w:val="24"/>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908427753"/>
            <w:placeholder>
              <w:docPart w:val="GBC22222222222222222222222222222"/>
            </w:placeholder>
          </w:sdtPr>
          <w:sdtEndPr>
            <w:rPr>
              <w:rFonts w:hint="eastAsia"/>
            </w:rPr>
          </w:sdtEndPr>
          <w:sdtContent>
            <w:p w14:paraId="23F4AEB9">
              <w:pPr>
                <w:pStyle w:val="48"/>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kern w:val="0"/>
              <w:szCs w:val="21"/>
            </w:rPr>
            <w:alias w:val="现金分红政策的执行情况"/>
            <w:tag w:val="_GBC_0ba57968760941749cc2f420644f2599"/>
            <w:id w:val="564467063"/>
            <w:placeholder>
              <w:docPart w:val="GBC22222222222222222222222222222"/>
            </w:placeholder>
          </w:sdtPr>
          <w:sdtEndPr>
            <w:rPr>
              <w:rFonts w:ascii="Calibri" w:hAnsi="Calibri"/>
              <w:kern w:val="0"/>
              <w:szCs w:val="21"/>
            </w:rPr>
          </w:sdtEndPr>
          <w:sdtContent>
            <w:p w14:paraId="427FCA8B">
              <w:pPr>
                <w:pStyle w:val="156"/>
                <w:spacing w:line="360" w:lineRule="auto"/>
                <w:rPr>
                  <w:rFonts w:ascii="宋体" w:hAnsi="宋体"/>
                </w:rPr>
              </w:pPr>
              <w:r>
                <w:rPr>
                  <w:rFonts w:ascii="宋体" w:hAnsi="宋体"/>
                </w:rPr>
                <w:t>1</w:t>
              </w:r>
              <w:r>
                <w:rPr>
                  <w:rFonts w:hint="eastAsia" w:ascii="宋体" w:hAnsi="宋体"/>
                </w:rPr>
                <w:t>、公司现金分红政策的制定严格执行《上市公司监管指引第3号一一上市公司现金分红》等法律法规和相关规定，并在《公司章程》中对利润分配的原则、形式和条件、分红比例和时间作出了明确的规定和要求，相关的决策程序和机制完备、合规，独立董事履职尽责并发挥了应有的作用，充分保护中小股东的合法权益。</w:t>
              </w:r>
            </w:p>
            <w:p w14:paraId="00295EBF">
              <w:pPr>
                <w:spacing w:line="360" w:lineRule="auto"/>
                <w:ind w:firstLine="420" w:firstLineChars="200"/>
                <w:jc w:val="both"/>
              </w:pPr>
              <w:r>
                <w:t>2</w:t>
              </w:r>
              <w:r>
                <w:rPr>
                  <w:rFonts w:hint="eastAsia"/>
                </w:rPr>
                <w:t>、</w:t>
              </w:r>
              <w:r>
                <w:t>公司</w:t>
              </w:r>
              <w:r>
                <w:rPr>
                  <w:rFonts w:hint="eastAsia"/>
                </w:rPr>
                <w:t>于202</w:t>
              </w:r>
              <w:r>
                <w:t>5</w:t>
              </w:r>
              <w:r>
                <w:rPr>
                  <w:rFonts w:hint="eastAsia"/>
                </w:rPr>
                <w:t>年</w:t>
              </w:r>
              <w:r>
                <w:t>4</w:t>
              </w:r>
              <w:r>
                <w:rPr>
                  <w:rFonts w:hint="eastAsia"/>
                </w:rPr>
                <w:t>月</w:t>
              </w:r>
              <w:r>
                <w:t>28</w:t>
              </w:r>
              <w:r>
                <w:rPr>
                  <w:rFonts w:hint="eastAsia"/>
                </w:rPr>
                <w:t>日、20</w:t>
              </w:r>
              <w:r>
                <w:t>25</w:t>
              </w:r>
              <w:r>
                <w:rPr>
                  <w:rFonts w:hint="eastAsia"/>
                </w:rPr>
                <w:t>年5月21日分别召开</w:t>
              </w:r>
              <w:r>
                <w:t>了</w:t>
              </w:r>
              <w:r>
                <w:rPr>
                  <w:rFonts w:hint="eastAsia"/>
                </w:rPr>
                <w:t>第十一</w:t>
              </w:r>
              <w:r>
                <w:t>届董事会</w:t>
              </w:r>
              <w:r>
                <w:rPr>
                  <w:rFonts w:hint="eastAsia"/>
                </w:rPr>
                <w:t>第十四</w:t>
              </w:r>
              <w:r>
                <w:t>次会议</w:t>
              </w:r>
              <w:r>
                <w:rPr>
                  <w:rFonts w:hint="eastAsia"/>
                </w:rPr>
                <w:t>、2024年年度</w:t>
              </w:r>
              <w:r>
                <w:t>股东大会，审议通过了公司《</w:t>
              </w:r>
              <w:r>
                <w:rPr>
                  <w:rFonts w:hint="eastAsia"/>
                </w:rPr>
                <w:t>202</w:t>
              </w:r>
              <w:r>
                <w:t>4</w:t>
              </w:r>
              <w:r>
                <w:rPr>
                  <w:rFonts w:hint="eastAsia"/>
                </w:rPr>
                <w:t>年</w:t>
              </w:r>
              <w:r>
                <w:t>度利润</w:t>
              </w:r>
              <w:r>
                <w:rPr>
                  <w:rFonts w:hint="eastAsia"/>
                </w:rPr>
                <w:t>分</w:t>
              </w:r>
              <w:r>
                <w:t>配</w:t>
              </w:r>
              <w:r>
                <w:rPr>
                  <w:rFonts w:hint="eastAsia"/>
                </w:rPr>
                <w:t>的</w:t>
              </w:r>
              <w:r>
                <w:t>预案》</w:t>
              </w:r>
              <w:r>
                <w:rPr>
                  <w:rFonts w:hint="eastAsia"/>
                </w:rPr>
                <w:t>，该议案符合《公司法》《证券法》《公司章程》的相关规定，公司总股本</w:t>
              </w:r>
              <w:r>
                <w:t>1,958,542,829股,扣除回购专用证券</w:t>
              </w:r>
              <w:r>
                <w:rPr>
                  <w:rFonts w:hint="eastAsia"/>
                </w:rPr>
                <w:t>账</w:t>
              </w:r>
              <w:r>
                <w:t>户上已回购股份15,077,817股后股本数为1,943,465,012股，以此为基数向全体股东每10股派发现金红利</w:t>
              </w:r>
              <w:r>
                <w:rPr>
                  <w:rFonts w:hint="eastAsia"/>
                </w:rPr>
                <w:t>2.50</w:t>
              </w:r>
              <w:r>
                <w:t>元(含税),共计派发现金红利</w:t>
              </w:r>
              <w:bookmarkStart w:id="108" w:name="OLE_LINK20"/>
              <w:r>
                <w:rPr>
                  <w:rFonts w:hint="eastAsia"/>
                </w:rPr>
                <w:t>485,866,253</w:t>
              </w:r>
              <w:bookmarkEnd w:id="108"/>
              <w:r>
                <w:t>元（含税）。本次利润分配不送股，也不进行资本公积金转增股本。</w:t>
              </w:r>
              <w:r>
                <w:rPr>
                  <w:rFonts w:hint="eastAsia"/>
                </w:rPr>
                <w:t>截至2025年6月25日，该利润分配已实施完毕。</w:t>
              </w:r>
            </w:p>
            <w:p w14:paraId="4A9E3B19">
              <w:pPr>
                <w:spacing w:line="360" w:lineRule="auto"/>
                <w:ind w:firstLine="420" w:firstLineChars="200"/>
                <w:jc w:val="both"/>
                <w:rPr>
                  <w:rFonts w:ascii="Calibri" w:hAnsi="Calibri"/>
                </w:rPr>
              </w:pPr>
              <w:r>
                <w:t>3</w:t>
              </w:r>
              <w:r>
                <w:rPr>
                  <w:rFonts w:hint="eastAsia"/>
                </w:rPr>
                <w:t>、</w:t>
              </w:r>
              <w:r>
                <w:rPr>
                  <w:rFonts w:hint="eastAsia" w:ascii="宋体" w:hAnsi="宋体"/>
                </w:rPr>
                <w:t>2</w:t>
              </w:r>
              <w:r>
                <w:rPr>
                  <w:rFonts w:ascii="宋体" w:hAnsi="宋体"/>
                </w:rPr>
                <w:t>026</w:t>
              </w:r>
              <w:r>
                <w:rPr>
                  <w:rFonts w:hint="eastAsia" w:ascii="宋体" w:hAnsi="宋体"/>
                </w:rPr>
                <w:t>年</w:t>
              </w:r>
              <w:r>
                <w:rPr>
                  <w:rFonts w:ascii="宋体" w:hAnsi="宋体"/>
                </w:rPr>
                <w:t>4</w:t>
              </w:r>
              <w:r>
                <w:rPr>
                  <w:rFonts w:hint="eastAsia" w:ascii="宋体" w:hAnsi="宋体"/>
                </w:rPr>
                <w:t>月</w:t>
              </w:r>
              <w:r>
                <w:rPr>
                  <w:rFonts w:ascii="宋体" w:hAnsi="宋体"/>
                </w:rPr>
                <w:t>1</w:t>
              </w:r>
              <w:r>
                <w:rPr>
                  <w:rFonts w:hint="eastAsia" w:ascii="宋体" w:hAnsi="宋体"/>
                </w:rPr>
                <w:t>7日公司召开第十一届董事会第二十四次会议，审议通过了《202</w:t>
              </w:r>
              <w:r>
                <w:rPr>
                  <w:rFonts w:ascii="宋体" w:hAnsi="宋体"/>
                </w:rPr>
                <w:t>5</w:t>
              </w:r>
              <w:r>
                <w:rPr>
                  <w:rFonts w:hint="eastAsia" w:ascii="宋体" w:hAnsi="宋体"/>
                </w:rPr>
                <w:t>年年度利润分配的预案》，同意以实施权益分派股权登记日的总股本1,958,542,829</w:t>
              </w:r>
              <w:r>
                <w:rPr>
                  <w:rFonts w:ascii="宋体" w:hAnsi="宋体"/>
                </w:rPr>
                <w:t>股,扣除回购专用证券</w:t>
              </w:r>
              <w:r>
                <w:rPr>
                  <w:rFonts w:hint="eastAsia" w:ascii="宋体" w:hAnsi="宋体"/>
                </w:rPr>
                <w:t>账</w:t>
              </w:r>
              <w:r>
                <w:rPr>
                  <w:rFonts w:ascii="宋体" w:hAnsi="宋体"/>
                </w:rPr>
                <w:t>户上已回购股份2,417,817股后股本数为</w:t>
              </w:r>
              <w:r>
                <w:rPr>
                  <w:rFonts w:hint="eastAsia" w:ascii="宋体" w:hAnsi="宋体"/>
                </w:rPr>
                <w:t>1,9</w:t>
              </w:r>
              <w:r>
                <w:rPr>
                  <w:rFonts w:ascii="宋体" w:hAnsi="宋体"/>
                </w:rPr>
                <w:t>56</w:t>
              </w:r>
              <w:r>
                <w:rPr>
                  <w:rFonts w:hint="eastAsia" w:ascii="宋体" w:hAnsi="宋体"/>
                </w:rPr>
                <w:t>,</w:t>
              </w:r>
              <w:r>
                <w:rPr>
                  <w:rFonts w:ascii="宋体" w:hAnsi="宋体"/>
                </w:rPr>
                <w:t>125</w:t>
              </w:r>
              <w:r>
                <w:rPr>
                  <w:rFonts w:hint="eastAsia" w:ascii="宋体" w:hAnsi="宋体"/>
                </w:rPr>
                <w:t>,012</w:t>
              </w:r>
              <w:r>
                <w:rPr>
                  <w:rFonts w:ascii="宋体" w:hAnsi="宋体"/>
                </w:rPr>
                <w:t>股，以此为基数向全体股东每10股派发现金红利3.00元(含税)</w:t>
              </w:r>
              <w:r>
                <w:rPr>
                  <w:rFonts w:hint="eastAsia" w:ascii="宋体" w:hAnsi="宋体"/>
                </w:rPr>
                <w:t>。共计派发现金红利</w:t>
              </w:r>
              <w:r>
                <w:rPr>
                  <w:rFonts w:ascii="宋体" w:hAnsi="宋体"/>
                </w:rPr>
                <w:t>586,837,503.60</w:t>
              </w:r>
              <w:r>
                <w:rPr>
                  <w:rFonts w:hint="eastAsia" w:ascii="宋体" w:hAnsi="宋体"/>
                </w:rPr>
                <w:t>元（含税）。该议案尚需提交股东会审议。</w:t>
              </w:r>
            </w:p>
          </w:sdtContent>
        </w:sdt>
        <w:p w14:paraId="512CDCA3">
          <w:pPr>
            <w:spacing w:line="360" w:lineRule="auto"/>
            <w:ind w:firstLine="420" w:firstLineChars="200"/>
            <w:rPr>
              <w:rFonts w:ascii="Calibri" w:hAnsi="Calibri"/>
            </w:rPr>
          </w:pPr>
          <w:r>
            <w:t>报告期内，公司严格执行了有关分红原则及政策，分红标准及比例清晰明确，相关的决策程序和监督机制完备，中小投资者有充分表达意见和诉求的机会，切实维护了中小投资者的合法权益。</w:t>
          </w:r>
        </w:p>
        <w:p w14:paraId="34AED5B1">
          <w:pPr>
            <w:pStyle w:val="48"/>
          </w:pPr>
        </w:p>
      </w:sdtContent>
    </w:sdt>
    <w:sdt>
      <w:sdtPr>
        <w:rPr>
          <w:rFonts w:ascii="宋体" w:hAnsi="宋体" w:cs="宋体"/>
          <w:b w:val="0"/>
          <w:bCs w:val="0"/>
          <w:kern w:val="0"/>
          <w:szCs w:val="24"/>
        </w:rPr>
        <w:alias w:val="模块:现金分红政策的专项说明"/>
        <w:tag w:val="_SEC_1a77bbccdee34f4bacdd389ca95234c8"/>
        <w:id w:val="-535735425"/>
        <w:placeholder>
          <w:docPart w:val="GBC22222222222222222222222222222"/>
        </w:placeholder>
      </w:sdtPr>
      <w:sdtEndPr>
        <w:rPr>
          <w:rFonts w:ascii="Calibri" w:hAnsi="Calibri" w:cs="Times New Roman"/>
          <w:b w:val="0"/>
          <w:bCs w:val="0"/>
          <w:kern w:val="2"/>
          <w:szCs w:val="21"/>
        </w:rPr>
      </w:sdtEndPr>
      <w:sdtContent>
        <w:p w14:paraId="0BB71A1E">
          <w:pPr>
            <w:pStyle w:val="51"/>
            <w:numPr>
              <w:ilvl w:val="0"/>
              <w:numId w:val="24"/>
            </w:numPr>
          </w:pPr>
          <w:bookmarkStart w:id="109" w:name="_Hlk89446160"/>
          <w:r>
            <w:rPr>
              <w:rFonts w:hint="eastAsia"/>
            </w:rPr>
            <w:t>现金分红政策的专项说明</w:t>
          </w:r>
        </w:p>
        <w:sdt>
          <w:sdtPr>
            <w:alias w:val="是否适用：现金分红政策的专项说明 [双击切换]"/>
            <w:tag w:val="_GBC_715d8b6c04924cf19dcd2347ae32471f"/>
            <w:id w:val="-1196145338"/>
            <w:placeholder>
              <w:docPart w:val="GBC22222222222222222222222222222"/>
            </w:placeholder>
          </w:sdtPr>
          <w:sdtContent>
            <w:p w14:paraId="4B05A796">
              <w:pPr>
                <w:pStyle w:val="48"/>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46"/>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6"/>
            <w:gridCol w:w="1682"/>
          </w:tblGrid>
          <w:tr w14:paraId="2D69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e5b642d619e47719375899ad34c31f6"/>
                <w:id w:val="-213281501"/>
              </w:sdtPr>
              <w:sdtContent>
                <w:tc>
                  <w:tcPr>
                    <w:tcW w:w="7366" w:type="dxa"/>
                    <w:vAlign w:val="center"/>
                  </w:tcPr>
                  <w:p w14:paraId="00FA361C">
                    <w:pPr>
                      <w:pStyle w:val="48"/>
                      <w:rPr>
                        <w:sz w:val="20"/>
                        <w:szCs w:val="20"/>
                      </w:rPr>
                    </w:pPr>
                    <w:r>
                      <w:rPr>
                        <w:rFonts w:hint="eastAsia"/>
                        <w:sz w:val="20"/>
                        <w:szCs w:val="20"/>
                      </w:rPr>
                      <w:t>是否符合公司章程的规定或股东会决议的要求</w:t>
                    </w:r>
                  </w:p>
                </w:tc>
              </w:sdtContent>
            </w:sdt>
            <w:sdt>
              <w:sdtPr>
                <w:rPr>
                  <w:rFonts w:asciiTheme="minorEastAsia" w:hAnsiTheme="minorEastAsia" w:eastAsiaTheme="minorEastAsia"/>
                  <w:sz w:val="20"/>
                  <w:szCs w:val="20"/>
                </w:rPr>
                <w:alias w:val="是否符合公司章程的规定或股东大会决议的要求[双击切换]"/>
                <w:tag w:val="_GBC_c4c31977f51f4fa0a4f1f65cff248b5c"/>
                <w:id w:val="-809788130"/>
              </w:sdtPr>
              <w:sdtEndPr>
                <w:rPr>
                  <w:rFonts w:asciiTheme="minorEastAsia" w:hAnsiTheme="minorEastAsia" w:eastAsiaTheme="minorEastAsia"/>
                  <w:sz w:val="20"/>
                  <w:szCs w:val="20"/>
                </w:rPr>
              </w:sdtEndPr>
              <w:sdtContent>
                <w:tc>
                  <w:tcPr>
                    <w:tcW w:w="1682" w:type="dxa"/>
                    <w:vAlign w:val="center"/>
                  </w:tcPr>
                  <w:p w14:paraId="320A5F8C">
                    <w:pPr>
                      <w:jc w:val="center"/>
                      <w:rPr>
                        <w:rFonts w:asciiTheme="minorEastAsia" w:hAnsiTheme="minorEastAsia" w:eastAsiaTheme="minorEastAsia"/>
                        <w:sz w:val="20"/>
                        <w:szCs w:val="20"/>
                      </w:rPr>
                    </w:pPr>
                    <w:r>
                      <w:rPr>
                        <w:rFonts w:asciiTheme="minorEastAsia" w:hAnsiTheme="minorEastAsia" w:eastAsiaTheme="minorEastAsia"/>
                        <w:sz w:val="20"/>
                        <w:szCs w:val="20"/>
                      </w:rPr>
                      <w:fldChar w:fldCharType="begin"/>
                    </w:r>
                    <w:r>
                      <w:rPr>
                        <w:rFonts w:asciiTheme="minorEastAsia" w:hAnsiTheme="minorEastAsia" w:eastAsiaTheme="minorEastAsia"/>
                        <w:sz w:val="20"/>
                        <w:szCs w:val="20"/>
                      </w:rPr>
                      <w:instrText xml:space="preserve"> MACROBUTTON  SnrToggleCheckbox √是 </w:instrText>
                    </w:r>
                    <w:r>
                      <w:rPr>
                        <w:rFonts w:asciiTheme="minorEastAsia" w:hAnsiTheme="minorEastAsia" w:eastAsiaTheme="minorEastAsia"/>
                        <w:sz w:val="20"/>
                        <w:szCs w:val="20"/>
                      </w:rPr>
                      <w:fldChar w:fldCharType="end"/>
                    </w:r>
                    <w:r>
                      <w:rPr>
                        <w:rFonts w:asciiTheme="minorEastAsia" w:hAnsiTheme="minorEastAsia" w:eastAsiaTheme="minorEastAsia"/>
                        <w:sz w:val="20"/>
                        <w:szCs w:val="20"/>
                      </w:rPr>
                      <w:fldChar w:fldCharType="begin"/>
                    </w:r>
                    <w:r>
                      <w:rPr>
                        <w:rFonts w:asciiTheme="minorEastAsia" w:hAnsiTheme="minorEastAsia" w:eastAsiaTheme="minorEastAsia"/>
                        <w:sz w:val="20"/>
                        <w:szCs w:val="20"/>
                      </w:rPr>
                      <w:instrText xml:space="preserve"> MACROBUTTON  SnrToggleCheckbox □否 </w:instrText>
                    </w:r>
                    <w:r>
                      <w:rPr>
                        <w:rFonts w:asciiTheme="minorEastAsia" w:hAnsiTheme="minorEastAsia" w:eastAsiaTheme="minorEastAsia"/>
                        <w:sz w:val="20"/>
                        <w:szCs w:val="20"/>
                      </w:rPr>
                      <w:fldChar w:fldCharType="end"/>
                    </w:r>
                  </w:p>
                </w:tc>
              </w:sdtContent>
            </w:sdt>
          </w:tr>
          <w:tr w14:paraId="29D2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vAlign w:val="center"/>
              </w:tcPr>
              <w:p w14:paraId="751E66EA">
                <w:pPr>
                  <w:pStyle w:val="48"/>
                  <w:rPr>
                    <w:sz w:val="20"/>
                    <w:szCs w:val="20"/>
                  </w:rPr>
                </w:pPr>
                <w:r>
                  <w:rPr>
                    <w:rFonts w:hint="eastAsia"/>
                    <w:sz w:val="20"/>
                    <w:szCs w:val="20"/>
                  </w:rPr>
                  <w:t>分红标准和比例是否明确和清晰</w:t>
                </w:r>
              </w:p>
            </w:tc>
            <w:sdt>
              <w:sdtPr>
                <w:rPr>
                  <w:rFonts w:asciiTheme="minorEastAsia" w:hAnsiTheme="minorEastAsia" w:eastAsiaTheme="minorEastAsia"/>
                  <w:sz w:val="20"/>
                  <w:szCs w:val="20"/>
                </w:rPr>
                <w:alias w:val="分红标准和比例是否明确和清晰[双击切换]"/>
                <w:tag w:val="_GBC_c8bbad0601c544fca3faeac3b11ee218"/>
                <w:id w:val="-112519178"/>
              </w:sdtPr>
              <w:sdtEndPr>
                <w:rPr>
                  <w:rFonts w:asciiTheme="minorEastAsia" w:hAnsiTheme="minorEastAsia" w:eastAsiaTheme="minorEastAsia"/>
                  <w:sz w:val="20"/>
                  <w:szCs w:val="20"/>
                </w:rPr>
              </w:sdtEndPr>
              <w:sdtContent>
                <w:tc>
                  <w:tcPr>
                    <w:tcW w:w="1682" w:type="dxa"/>
                    <w:vAlign w:val="center"/>
                  </w:tcPr>
                  <w:p w14:paraId="237B6E89">
                    <w:pPr>
                      <w:jc w:val="center"/>
                      <w:rPr>
                        <w:rFonts w:asciiTheme="minorEastAsia" w:hAnsiTheme="minorEastAsia" w:eastAsiaTheme="minorEastAsia"/>
                        <w:sz w:val="20"/>
                        <w:szCs w:val="20"/>
                      </w:rPr>
                    </w:pPr>
                    <w:r>
                      <w:rPr>
                        <w:rFonts w:asciiTheme="minorEastAsia" w:hAnsiTheme="minorEastAsia" w:eastAsiaTheme="minorEastAsia"/>
                        <w:sz w:val="20"/>
                        <w:szCs w:val="20"/>
                      </w:rPr>
                      <w:fldChar w:fldCharType="begin"/>
                    </w:r>
                    <w:r>
                      <w:rPr>
                        <w:rFonts w:asciiTheme="minorEastAsia" w:hAnsiTheme="minorEastAsia" w:eastAsiaTheme="minorEastAsia"/>
                        <w:sz w:val="20"/>
                        <w:szCs w:val="20"/>
                      </w:rPr>
                      <w:instrText xml:space="preserve"> MACROBUTTON  SnrToggleCheckbox √是 </w:instrText>
                    </w:r>
                    <w:r>
                      <w:rPr>
                        <w:rFonts w:asciiTheme="minorEastAsia" w:hAnsiTheme="minorEastAsia" w:eastAsiaTheme="minorEastAsia"/>
                        <w:sz w:val="20"/>
                        <w:szCs w:val="20"/>
                      </w:rPr>
                      <w:fldChar w:fldCharType="end"/>
                    </w:r>
                    <w:r>
                      <w:rPr>
                        <w:rFonts w:asciiTheme="minorEastAsia" w:hAnsiTheme="minorEastAsia" w:eastAsiaTheme="minorEastAsia"/>
                        <w:sz w:val="20"/>
                        <w:szCs w:val="20"/>
                      </w:rPr>
                      <w:fldChar w:fldCharType="begin"/>
                    </w:r>
                    <w:r>
                      <w:rPr>
                        <w:rFonts w:asciiTheme="minorEastAsia" w:hAnsiTheme="minorEastAsia" w:eastAsiaTheme="minorEastAsia"/>
                        <w:sz w:val="20"/>
                        <w:szCs w:val="20"/>
                      </w:rPr>
                      <w:instrText xml:space="preserve"> MACROBUTTON  SnrToggleCheckbox □否 </w:instrText>
                    </w:r>
                    <w:r>
                      <w:rPr>
                        <w:rFonts w:asciiTheme="minorEastAsia" w:hAnsiTheme="minorEastAsia" w:eastAsiaTheme="minorEastAsia"/>
                        <w:sz w:val="20"/>
                        <w:szCs w:val="20"/>
                      </w:rPr>
                      <w:fldChar w:fldCharType="end"/>
                    </w:r>
                  </w:p>
                </w:tc>
              </w:sdtContent>
            </w:sdt>
          </w:tr>
          <w:tr w14:paraId="41FD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Borders>
                  <w:top w:val="single" w:color="auto" w:sz="4" w:space="0"/>
                  <w:left w:val="single" w:color="auto" w:sz="4" w:space="0"/>
                  <w:bottom w:val="single" w:color="auto" w:sz="4" w:space="0"/>
                  <w:right w:val="single" w:color="auto" w:sz="4" w:space="0"/>
                </w:tcBorders>
                <w:vAlign w:val="center"/>
              </w:tcPr>
              <w:p w14:paraId="6FDE90C3">
                <w:pPr>
                  <w:pStyle w:val="48"/>
                  <w:rPr>
                    <w:sz w:val="20"/>
                    <w:szCs w:val="20"/>
                  </w:rPr>
                </w:pPr>
                <w:r>
                  <w:rPr>
                    <w:rFonts w:hint="eastAsia"/>
                    <w:sz w:val="20"/>
                    <w:szCs w:val="20"/>
                  </w:rPr>
                  <w:t>相关的决策程序和机制是否完备</w:t>
                </w:r>
              </w:p>
            </w:tc>
            <w:sdt>
              <w:sdtPr>
                <w:rPr>
                  <w:rFonts w:asciiTheme="minorEastAsia" w:hAnsiTheme="minorEastAsia" w:eastAsiaTheme="minorEastAsia"/>
                  <w:sz w:val="20"/>
                  <w:szCs w:val="20"/>
                </w:rPr>
                <w:alias w:val="相关的决策程序和机制是否完备[双击切换]"/>
                <w:tag w:val="_GBC_b2d0d75abb6f4f14a51595902d0ad7b9"/>
                <w:id w:val="-1990704523"/>
              </w:sdtPr>
              <w:sdtEndPr>
                <w:rPr>
                  <w:rFonts w:asciiTheme="minorEastAsia" w:hAnsiTheme="minorEastAsia" w:eastAsiaTheme="minorEastAsia"/>
                  <w:sz w:val="20"/>
                  <w:szCs w:val="20"/>
                </w:rPr>
              </w:sdtEndPr>
              <w:sdtContent>
                <w:tc>
                  <w:tcPr>
                    <w:tcW w:w="1682" w:type="dxa"/>
                    <w:tcBorders>
                      <w:top w:val="single" w:color="auto" w:sz="4" w:space="0"/>
                      <w:left w:val="single" w:color="auto" w:sz="4" w:space="0"/>
                      <w:bottom w:val="single" w:color="auto" w:sz="4" w:space="0"/>
                      <w:right w:val="single" w:color="auto" w:sz="4" w:space="0"/>
                    </w:tcBorders>
                    <w:vAlign w:val="center"/>
                  </w:tcPr>
                  <w:p w14:paraId="77C0C98B">
                    <w:pPr>
                      <w:jc w:val="center"/>
                      <w:rPr>
                        <w:rFonts w:asciiTheme="minorEastAsia" w:hAnsiTheme="minorEastAsia" w:eastAsiaTheme="minorEastAsia"/>
                        <w:sz w:val="20"/>
                        <w:szCs w:val="20"/>
                      </w:rPr>
                    </w:pPr>
                    <w:r>
                      <w:rPr>
                        <w:rFonts w:asciiTheme="minorEastAsia" w:hAnsiTheme="minorEastAsia" w:eastAsiaTheme="minorEastAsia"/>
                        <w:sz w:val="20"/>
                        <w:szCs w:val="20"/>
                      </w:rPr>
                      <w:fldChar w:fldCharType="begin"/>
                    </w:r>
                    <w:r>
                      <w:rPr>
                        <w:rFonts w:asciiTheme="minorEastAsia" w:hAnsiTheme="minorEastAsia" w:eastAsiaTheme="minorEastAsia"/>
                        <w:sz w:val="20"/>
                        <w:szCs w:val="20"/>
                      </w:rPr>
                      <w:instrText xml:space="preserve"> MACROBUTTON  SnrToggleCheckbox √是 </w:instrText>
                    </w:r>
                    <w:r>
                      <w:rPr>
                        <w:rFonts w:asciiTheme="minorEastAsia" w:hAnsiTheme="minorEastAsia" w:eastAsiaTheme="minorEastAsia"/>
                        <w:sz w:val="20"/>
                        <w:szCs w:val="20"/>
                      </w:rPr>
                      <w:fldChar w:fldCharType="end"/>
                    </w:r>
                    <w:r>
                      <w:rPr>
                        <w:rFonts w:asciiTheme="minorEastAsia" w:hAnsiTheme="minorEastAsia" w:eastAsiaTheme="minorEastAsia"/>
                        <w:sz w:val="20"/>
                        <w:szCs w:val="20"/>
                      </w:rPr>
                      <w:fldChar w:fldCharType="begin"/>
                    </w:r>
                    <w:r>
                      <w:rPr>
                        <w:rFonts w:asciiTheme="minorEastAsia" w:hAnsiTheme="minorEastAsia" w:eastAsiaTheme="minorEastAsia"/>
                        <w:sz w:val="20"/>
                        <w:szCs w:val="20"/>
                      </w:rPr>
                      <w:instrText xml:space="preserve"> MACROBUTTON  SnrToggleCheckbox □否 </w:instrText>
                    </w:r>
                    <w:r>
                      <w:rPr>
                        <w:rFonts w:asciiTheme="minorEastAsia" w:hAnsiTheme="minorEastAsia" w:eastAsiaTheme="minorEastAsia"/>
                        <w:sz w:val="20"/>
                        <w:szCs w:val="20"/>
                      </w:rPr>
                      <w:fldChar w:fldCharType="end"/>
                    </w:r>
                  </w:p>
                </w:tc>
              </w:sdtContent>
            </w:sdt>
          </w:tr>
          <w:tr w14:paraId="671A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Borders>
                  <w:top w:val="single" w:color="auto" w:sz="4" w:space="0"/>
                  <w:left w:val="single" w:color="auto" w:sz="4" w:space="0"/>
                  <w:bottom w:val="single" w:color="auto" w:sz="4" w:space="0"/>
                  <w:right w:val="single" w:color="auto" w:sz="4" w:space="0"/>
                </w:tcBorders>
                <w:vAlign w:val="center"/>
              </w:tcPr>
              <w:p w14:paraId="000A75A6">
                <w:pPr>
                  <w:pStyle w:val="48"/>
                  <w:rPr>
                    <w:sz w:val="20"/>
                    <w:szCs w:val="20"/>
                  </w:rPr>
                </w:pPr>
                <w:r>
                  <w:rPr>
                    <w:rFonts w:hint="eastAsia"/>
                    <w:sz w:val="20"/>
                    <w:szCs w:val="20"/>
                  </w:rPr>
                  <w:t>独立董事是否履职尽责并发挥了应有的作用</w:t>
                </w:r>
              </w:p>
            </w:tc>
            <w:sdt>
              <w:sdtPr>
                <w:rPr>
                  <w:rFonts w:asciiTheme="minorEastAsia" w:hAnsiTheme="minorEastAsia" w:eastAsiaTheme="minorEastAsia"/>
                  <w:sz w:val="20"/>
                  <w:szCs w:val="20"/>
                </w:rPr>
                <w:alias w:val="独立董事是否履职尽责并发挥了应有的作用[双击切换]"/>
                <w:tag w:val="_GBC_0b8d249fbcc74af893077c4c7eee16ef"/>
                <w:id w:val="-988169446"/>
              </w:sdtPr>
              <w:sdtEndPr>
                <w:rPr>
                  <w:rFonts w:asciiTheme="minorEastAsia" w:hAnsiTheme="minorEastAsia" w:eastAsiaTheme="minorEastAsia"/>
                  <w:sz w:val="20"/>
                  <w:szCs w:val="20"/>
                </w:rPr>
              </w:sdtEndPr>
              <w:sdtContent>
                <w:tc>
                  <w:tcPr>
                    <w:tcW w:w="1682" w:type="dxa"/>
                    <w:tcBorders>
                      <w:top w:val="single" w:color="auto" w:sz="4" w:space="0"/>
                      <w:left w:val="single" w:color="auto" w:sz="4" w:space="0"/>
                      <w:bottom w:val="single" w:color="auto" w:sz="4" w:space="0"/>
                      <w:right w:val="single" w:color="auto" w:sz="4" w:space="0"/>
                    </w:tcBorders>
                    <w:vAlign w:val="center"/>
                  </w:tcPr>
                  <w:p w14:paraId="723CCD6A">
                    <w:pPr>
                      <w:jc w:val="center"/>
                      <w:rPr>
                        <w:rFonts w:asciiTheme="minorEastAsia" w:hAnsiTheme="minorEastAsia" w:eastAsiaTheme="minorEastAsia"/>
                        <w:sz w:val="20"/>
                        <w:szCs w:val="20"/>
                      </w:rPr>
                    </w:pPr>
                    <w:r>
                      <w:rPr>
                        <w:rFonts w:asciiTheme="minorEastAsia" w:hAnsiTheme="minorEastAsia" w:eastAsiaTheme="minorEastAsia"/>
                        <w:sz w:val="20"/>
                        <w:szCs w:val="20"/>
                      </w:rPr>
                      <w:fldChar w:fldCharType="begin"/>
                    </w:r>
                    <w:r>
                      <w:rPr>
                        <w:rFonts w:asciiTheme="minorEastAsia" w:hAnsiTheme="minorEastAsia" w:eastAsiaTheme="minorEastAsia"/>
                        <w:sz w:val="20"/>
                        <w:szCs w:val="20"/>
                      </w:rPr>
                      <w:instrText xml:space="preserve"> MACROBUTTON  SnrToggleCheckbox √是 </w:instrText>
                    </w:r>
                    <w:r>
                      <w:rPr>
                        <w:rFonts w:asciiTheme="minorEastAsia" w:hAnsiTheme="minorEastAsia" w:eastAsiaTheme="minorEastAsia"/>
                        <w:sz w:val="20"/>
                        <w:szCs w:val="20"/>
                      </w:rPr>
                      <w:fldChar w:fldCharType="end"/>
                    </w:r>
                    <w:r>
                      <w:rPr>
                        <w:rFonts w:asciiTheme="minorEastAsia" w:hAnsiTheme="minorEastAsia" w:eastAsiaTheme="minorEastAsia"/>
                        <w:sz w:val="20"/>
                        <w:szCs w:val="20"/>
                      </w:rPr>
                      <w:fldChar w:fldCharType="begin"/>
                    </w:r>
                    <w:r>
                      <w:rPr>
                        <w:rFonts w:asciiTheme="minorEastAsia" w:hAnsiTheme="minorEastAsia" w:eastAsiaTheme="minorEastAsia"/>
                        <w:sz w:val="20"/>
                        <w:szCs w:val="20"/>
                      </w:rPr>
                      <w:instrText xml:space="preserve"> MACROBUTTON  SnrToggleCheckbox □否 </w:instrText>
                    </w:r>
                    <w:r>
                      <w:rPr>
                        <w:rFonts w:asciiTheme="minorEastAsia" w:hAnsiTheme="minorEastAsia" w:eastAsiaTheme="minorEastAsia"/>
                        <w:sz w:val="20"/>
                        <w:szCs w:val="20"/>
                      </w:rPr>
                      <w:fldChar w:fldCharType="end"/>
                    </w:r>
                  </w:p>
                </w:tc>
              </w:sdtContent>
            </w:sdt>
          </w:tr>
          <w:tr w14:paraId="61EE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Borders>
                  <w:top w:val="single" w:color="auto" w:sz="4" w:space="0"/>
                  <w:left w:val="single" w:color="auto" w:sz="4" w:space="0"/>
                  <w:bottom w:val="single" w:color="auto" w:sz="4" w:space="0"/>
                  <w:right w:val="single" w:color="auto" w:sz="4" w:space="0"/>
                </w:tcBorders>
                <w:vAlign w:val="center"/>
              </w:tcPr>
              <w:p w14:paraId="3C0E26B6">
                <w:pPr>
                  <w:pStyle w:val="48"/>
                  <w:rPr>
                    <w:sz w:val="20"/>
                    <w:szCs w:val="20"/>
                  </w:rPr>
                </w:pPr>
                <w:r>
                  <w:rPr>
                    <w:rFonts w:hint="eastAsia"/>
                    <w:sz w:val="20"/>
                    <w:szCs w:val="20"/>
                  </w:rPr>
                  <w:t>中小股东是否有充分表达意见和诉求的机会，其合法权益是否得到了充分保护</w:t>
                </w:r>
              </w:p>
            </w:tc>
            <w:sdt>
              <w:sdtPr>
                <w:rPr>
                  <w:rFonts w:asciiTheme="minorEastAsia" w:hAnsiTheme="minorEastAsia" w:eastAsiaTheme="minorEastAsia"/>
                  <w:sz w:val="20"/>
                  <w:szCs w:val="20"/>
                </w:rPr>
                <w:alias w:val="中小股东是否有充分表达意见和诉求的机会，其合法权益是否得到了充分保护[双击切换]"/>
                <w:tag w:val="_GBC_827122507d054bfd80b4c5e8d243a91b"/>
                <w:id w:val="1214236204"/>
              </w:sdtPr>
              <w:sdtEndPr>
                <w:rPr>
                  <w:rFonts w:asciiTheme="minorEastAsia" w:hAnsiTheme="minorEastAsia" w:eastAsiaTheme="minorEastAsia"/>
                  <w:sz w:val="20"/>
                  <w:szCs w:val="20"/>
                </w:rPr>
              </w:sdtEndPr>
              <w:sdtContent>
                <w:tc>
                  <w:tcPr>
                    <w:tcW w:w="1682" w:type="dxa"/>
                    <w:tcBorders>
                      <w:top w:val="single" w:color="auto" w:sz="4" w:space="0"/>
                      <w:left w:val="single" w:color="auto" w:sz="4" w:space="0"/>
                      <w:bottom w:val="single" w:color="auto" w:sz="4" w:space="0"/>
                      <w:right w:val="single" w:color="auto" w:sz="4" w:space="0"/>
                    </w:tcBorders>
                    <w:vAlign w:val="center"/>
                  </w:tcPr>
                  <w:p w14:paraId="3A731FCF">
                    <w:pPr>
                      <w:jc w:val="center"/>
                      <w:rPr>
                        <w:rFonts w:asciiTheme="minorEastAsia" w:hAnsiTheme="minorEastAsia" w:eastAsiaTheme="minorEastAsia"/>
                        <w:sz w:val="20"/>
                        <w:szCs w:val="20"/>
                      </w:rPr>
                    </w:pPr>
                    <w:r>
                      <w:rPr>
                        <w:rFonts w:asciiTheme="minorEastAsia" w:hAnsiTheme="minorEastAsia" w:eastAsiaTheme="minorEastAsia"/>
                        <w:sz w:val="20"/>
                        <w:szCs w:val="20"/>
                      </w:rPr>
                      <w:fldChar w:fldCharType="begin"/>
                    </w:r>
                    <w:r>
                      <w:rPr>
                        <w:rFonts w:asciiTheme="minorEastAsia" w:hAnsiTheme="minorEastAsia" w:eastAsiaTheme="minorEastAsia"/>
                        <w:sz w:val="20"/>
                        <w:szCs w:val="20"/>
                      </w:rPr>
                      <w:instrText xml:space="preserve"> MACROBUTTON  SnrToggleCheckbox √是 </w:instrText>
                    </w:r>
                    <w:r>
                      <w:rPr>
                        <w:rFonts w:asciiTheme="minorEastAsia" w:hAnsiTheme="minorEastAsia" w:eastAsiaTheme="minorEastAsia"/>
                        <w:sz w:val="20"/>
                        <w:szCs w:val="20"/>
                      </w:rPr>
                      <w:fldChar w:fldCharType="end"/>
                    </w:r>
                    <w:r>
                      <w:rPr>
                        <w:rFonts w:asciiTheme="minorEastAsia" w:hAnsiTheme="minorEastAsia" w:eastAsiaTheme="minorEastAsia"/>
                        <w:sz w:val="20"/>
                        <w:szCs w:val="20"/>
                      </w:rPr>
                      <w:fldChar w:fldCharType="begin"/>
                    </w:r>
                    <w:r>
                      <w:rPr>
                        <w:rFonts w:asciiTheme="minorEastAsia" w:hAnsiTheme="minorEastAsia" w:eastAsiaTheme="minorEastAsia"/>
                        <w:sz w:val="20"/>
                        <w:szCs w:val="20"/>
                      </w:rPr>
                      <w:instrText xml:space="preserve"> MACROBUTTON  SnrToggleCheckbox □否 </w:instrText>
                    </w:r>
                    <w:r>
                      <w:rPr>
                        <w:rFonts w:asciiTheme="minorEastAsia" w:hAnsiTheme="minorEastAsia" w:eastAsiaTheme="minorEastAsia"/>
                        <w:sz w:val="20"/>
                        <w:szCs w:val="20"/>
                      </w:rPr>
                      <w:fldChar w:fldCharType="end"/>
                    </w:r>
                  </w:p>
                </w:tc>
              </w:sdtContent>
            </w:sdt>
          </w:tr>
        </w:tbl>
        <w:p w14:paraId="267E3941">
          <w:pPr>
            <w:pStyle w:val="48"/>
          </w:pPr>
        </w:p>
      </w:sdtContent>
    </w:sdt>
    <w:bookmarkEnd w:id="109"/>
    <w:sdt>
      <w:sdtPr>
        <w:rPr>
          <w:rFonts w:hint="eastAsia" w:ascii="宋体" w:hAnsi="宋体" w:cs="宋体"/>
          <w:b w:val="0"/>
          <w:bCs w:val="0"/>
          <w:kern w:val="0"/>
          <w:szCs w:val="24"/>
        </w:rPr>
        <w:alias w:val="模块:报告期内盈利且母公司可供普通股股东分配利润为正，但未提出普通股现金利润分配预案的，公司应当详细披露原因以及未分配利润的用途和使用计划"/>
        <w:tag w:val="_SEC_338bc2c40b994349907ff9b7484876e4"/>
        <w:id w:val="429403478"/>
        <w:placeholder>
          <w:docPart w:val="GBC22222222222222222222222222222"/>
        </w:placeholder>
      </w:sdtPr>
      <w:sdtEndPr>
        <w:rPr>
          <w:rFonts w:hint="eastAsia" w:ascii="Calibri" w:hAnsi="Calibri" w:cs="Times New Roman"/>
          <w:b w:val="0"/>
          <w:bCs w:val="0"/>
          <w:kern w:val="2"/>
          <w:szCs w:val="21"/>
        </w:rPr>
      </w:sdtEndPr>
      <w:sdtContent>
        <w:p w14:paraId="1FCC58F3">
          <w:pPr>
            <w:pStyle w:val="51"/>
            <w:numPr>
              <w:ilvl w:val="0"/>
              <w:numId w:val="24"/>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935628353"/>
            <w:placeholder>
              <w:docPart w:val="GBC22222222222222222222222222222"/>
            </w:placeholder>
          </w:sdtPr>
          <w:sdtContent>
            <w:p w14:paraId="59C6C7EB">
              <w:pPr>
                <w:pStyle w:val="48"/>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sdt>
      <w:sdtPr>
        <w:rPr>
          <w:rFonts w:hint="eastAsia" w:ascii="宋体" w:hAnsi="宋体" w:cs="宋体"/>
          <w:b w:val="0"/>
          <w:bCs w:val="0"/>
          <w:kern w:val="0"/>
          <w:szCs w:val="24"/>
        </w:rPr>
        <w:alias w:val="模块:本报告期利润分配及资本公积金转增股本情况"/>
        <w:tag w:val="_SEC_f9c6ff4ef7894ae299ea3ba0e7324a26"/>
        <w:id w:val="-988319240"/>
        <w:placeholder>
          <w:docPart w:val="GBC22222222222222222222222222222"/>
        </w:placeholder>
      </w:sdtPr>
      <w:sdtEndPr>
        <w:rPr>
          <w:rFonts w:hint="eastAsia" w:ascii="Calibri" w:hAnsi="Calibri" w:cs="Times New Roman"/>
          <w:b w:val="0"/>
          <w:bCs w:val="0"/>
          <w:kern w:val="2"/>
          <w:szCs w:val="21"/>
        </w:rPr>
      </w:sdtEndPr>
      <w:sdtContent>
        <w:p w14:paraId="15DC57B0">
          <w:pPr>
            <w:pStyle w:val="51"/>
            <w:numPr>
              <w:ilvl w:val="0"/>
              <w:numId w:val="24"/>
            </w:numPr>
          </w:pPr>
          <w:r>
            <w:rPr>
              <w:rFonts w:hint="eastAsia"/>
            </w:rPr>
            <w:t>本报告期利润分配及资本公积金转增股本预案</w:t>
          </w:r>
        </w:p>
        <w:sdt>
          <w:sdtPr>
            <w:alias w:val="是否适用：利润分配及资本公积金转增股本情况[双击切换]"/>
            <w:tag w:val="_GBC_495a4ba42a0f42f09a8ad4b2fade6559"/>
            <w:id w:val="-1929183083"/>
            <w:placeholder>
              <w:docPart w:val="GBC22222222222222222222222222222"/>
            </w:placeholder>
          </w:sdtPr>
          <w:sdtContent>
            <w:p w14:paraId="751EC3C4">
              <w:pPr>
                <w:pStyle w:val="48"/>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90A7AC">
          <w:pPr>
            <w:jc w:val="right"/>
          </w:pPr>
          <w:r>
            <w:rPr>
              <w:rFonts w:hint="eastAsia"/>
            </w:rPr>
            <w:t>单位：</w:t>
          </w:r>
          <w:sdt>
            <w:sdtPr>
              <w:rPr>
                <w:rFonts w:hint="eastAsia"/>
              </w:rPr>
              <w:alias w:val="单位：利润分配及资本公积金转增股本情况"/>
              <w:tag w:val="_GBC_13401d941a944aa6845e12add2d0dd0e"/>
              <w:id w:val="-166153708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利润分配及资本公积金转增股本情况"/>
              <w:tag w:val="_GBC_7b66af31a51f46208037a812a69070e9"/>
              <w:id w:val="10774804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46"/>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4527"/>
            <w:gridCol w:w="4531"/>
          </w:tblGrid>
          <w:tr w14:paraId="5D1D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80" w:hRule="atLeast"/>
            </w:trPr>
            <w:sdt>
              <w:sdtPr>
                <w:tag w:val="_PLD_28cd685f5155420cab6b327b3f81025e"/>
                <w:id w:val="257651237"/>
              </w:sdtPr>
              <w:sdtContent>
                <w:tc>
                  <w:tcPr>
                    <w:tcW w:w="4527" w:type="dxa"/>
                    <w:vAlign w:val="center"/>
                  </w:tcPr>
                  <w:p w14:paraId="0DD8041E">
                    <w:pPr>
                      <w:pStyle w:val="48"/>
                      <w:rPr>
                        <w:sz w:val="20"/>
                        <w:szCs w:val="20"/>
                      </w:rPr>
                    </w:pPr>
                    <w:r>
                      <w:rPr>
                        <w:sz w:val="20"/>
                        <w:szCs w:val="20"/>
                      </w:rPr>
                      <w:t>每10股送红股数（股）</w:t>
                    </w:r>
                  </w:p>
                </w:tc>
              </w:sdtContent>
            </w:sdt>
            <w:sdt>
              <w:sdtPr>
                <w:alias w:val="每10股送红股数"/>
                <w:tag w:val="_GBC_58f0c45405b7481688ebf758a6c2771d"/>
                <w:id w:val="1325003207"/>
              </w:sdtPr>
              <w:sdtContent>
                <w:tc>
                  <w:tcPr>
                    <w:tcW w:w="4531" w:type="dxa"/>
                    <w:vAlign w:val="center"/>
                  </w:tcPr>
                  <w:p w14:paraId="15B61AC1">
                    <w:pPr>
                      <w:jc w:val="right"/>
                      <w:rPr>
                        <w:rFonts w:ascii="Calibri" w:hAnsi="Calibri"/>
                        <w:sz w:val="20"/>
                        <w:szCs w:val="20"/>
                      </w:rPr>
                    </w:pPr>
                    <w:r>
                      <w:rPr>
                        <w:rFonts w:ascii="Calibri" w:hAnsi="Calibri"/>
                        <w:sz w:val="20"/>
                        <w:szCs w:val="20"/>
                      </w:rPr>
                      <w:t>0</w:t>
                    </w:r>
                  </w:p>
                </w:tc>
              </w:sdtContent>
            </w:sdt>
          </w:tr>
          <w:tr w14:paraId="065B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4527" w:type="dxa"/>
                <w:vAlign w:val="center"/>
              </w:tcPr>
              <w:p w14:paraId="441C73B3">
                <w:pPr>
                  <w:pStyle w:val="48"/>
                  <w:rPr>
                    <w:sz w:val="20"/>
                    <w:szCs w:val="20"/>
                  </w:rPr>
                </w:pPr>
                <w:r>
                  <w:rPr>
                    <w:rFonts w:hint="eastAsia"/>
                    <w:sz w:val="20"/>
                    <w:szCs w:val="20"/>
                  </w:rPr>
                  <w:t>每</w:t>
                </w:r>
                <w:r>
                  <w:rPr>
                    <w:sz w:val="20"/>
                    <w:szCs w:val="20"/>
                  </w:rPr>
                  <w:t>10</w:t>
                </w:r>
                <w:r>
                  <w:rPr>
                    <w:rFonts w:hint="eastAsia"/>
                    <w:sz w:val="20"/>
                    <w:szCs w:val="20"/>
                  </w:rPr>
                  <w:t>股派息数（元）（含税）</w:t>
                </w:r>
              </w:p>
            </w:tc>
            <w:tc>
              <w:tcPr>
                <w:tcW w:w="4531" w:type="dxa"/>
                <w:vAlign w:val="center"/>
              </w:tcPr>
              <w:p w14:paraId="04AD0B8E">
                <w:pPr>
                  <w:jc w:val="right"/>
                  <w:rPr>
                    <w:rFonts w:ascii="Calibri" w:hAnsi="Calibri"/>
                    <w:sz w:val="20"/>
                    <w:szCs w:val="20"/>
                  </w:rPr>
                </w:pPr>
                <w:r>
                  <w:rPr>
                    <w:rFonts w:ascii="Calibri" w:hAnsi="Calibri"/>
                    <w:sz w:val="20"/>
                    <w:szCs w:val="20"/>
                  </w:rPr>
                  <w:t>3.00</w:t>
                </w:r>
              </w:p>
            </w:tc>
          </w:tr>
          <w:tr w14:paraId="2726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4527" w:type="dxa"/>
                <w:vAlign w:val="center"/>
              </w:tcPr>
              <w:p w14:paraId="128B2E9E">
                <w:pPr>
                  <w:pStyle w:val="48"/>
                  <w:rPr>
                    <w:sz w:val="20"/>
                    <w:szCs w:val="20"/>
                  </w:rPr>
                </w:pPr>
                <w:r>
                  <w:rPr>
                    <w:rFonts w:hint="eastAsia"/>
                    <w:sz w:val="20"/>
                    <w:szCs w:val="20"/>
                  </w:rPr>
                  <w:t>每</w:t>
                </w:r>
                <w:r>
                  <w:rPr>
                    <w:sz w:val="20"/>
                    <w:szCs w:val="20"/>
                  </w:rPr>
                  <w:t>10</w:t>
                </w:r>
                <w:r>
                  <w:rPr>
                    <w:rFonts w:hint="eastAsia"/>
                    <w:sz w:val="20"/>
                    <w:szCs w:val="20"/>
                  </w:rPr>
                  <w:t>股转增数（股）</w:t>
                </w:r>
              </w:p>
            </w:tc>
            <w:tc>
              <w:tcPr>
                <w:tcW w:w="4531" w:type="dxa"/>
                <w:vAlign w:val="center"/>
              </w:tcPr>
              <w:p w14:paraId="7DF0D9D4">
                <w:pPr>
                  <w:jc w:val="right"/>
                  <w:rPr>
                    <w:rFonts w:ascii="Calibri" w:hAnsi="Calibri"/>
                    <w:sz w:val="20"/>
                    <w:szCs w:val="20"/>
                  </w:rPr>
                </w:pPr>
                <w:r>
                  <w:rPr>
                    <w:rFonts w:hint="eastAsia" w:ascii="Calibri" w:hAnsi="Calibri"/>
                    <w:sz w:val="20"/>
                    <w:szCs w:val="20"/>
                  </w:rPr>
                  <w:t>0</w:t>
                </w:r>
              </w:p>
            </w:tc>
          </w:tr>
          <w:tr w14:paraId="7CDD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4527" w:type="dxa"/>
                <w:vAlign w:val="center"/>
              </w:tcPr>
              <w:p w14:paraId="59B60642">
                <w:pPr>
                  <w:pStyle w:val="48"/>
                  <w:rPr>
                    <w:sz w:val="20"/>
                    <w:szCs w:val="20"/>
                  </w:rPr>
                </w:pPr>
                <w:r>
                  <w:rPr>
                    <w:rFonts w:hint="eastAsia"/>
                    <w:sz w:val="20"/>
                    <w:szCs w:val="20"/>
                  </w:rPr>
                  <w:t>现金分红金额（含税）</w:t>
                </w:r>
              </w:p>
            </w:tc>
            <w:tc>
              <w:tcPr>
                <w:tcW w:w="4531" w:type="dxa"/>
                <w:vAlign w:val="center"/>
              </w:tcPr>
              <w:p w14:paraId="22E108B4">
                <w:pPr>
                  <w:jc w:val="right"/>
                  <w:rPr>
                    <w:rFonts w:ascii="Calibri" w:hAnsi="Calibri"/>
                    <w:sz w:val="20"/>
                    <w:szCs w:val="20"/>
                  </w:rPr>
                </w:pPr>
                <w:r>
                  <w:rPr>
                    <w:rFonts w:ascii="Calibri" w:hAnsi="Calibri"/>
                    <w:sz w:val="20"/>
                    <w:szCs w:val="20"/>
                  </w:rPr>
                  <w:t>586,837,503.60</w:t>
                </w:r>
              </w:p>
            </w:tc>
          </w:tr>
          <w:tr w14:paraId="4D3E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4527" w:type="dxa"/>
                <w:tcBorders>
                  <w:top w:val="single" w:color="auto" w:sz="4" w:space="0"/>
                  <w:left w:val="single" w:color="auto" w:sz="4" w:space="0"/>
                  <w:bottom w:val="single" w:color="auto" w:sz="4" w:space="0"/>
                  <w:right w:val="single" w:color="auto" w:sz="4" w:space="0"/>
                </w:tcBorders>
                <w:vAlign w:val="center"/>
              </w:tcPr>
              <w:p w14:paraId="1092EB45">
                <w:pPr>
                  <w:pStyle w:val="48"/>
                  <w:rPr>
                    <w:sz w:val="20"/>
                    <w:szCs w:val="20"/>
                  </w:rPr>
                </w:pPr>
                <w:r>
                  <w:rPr>
                    <w:sz w:val="20"/>
                    <w:szCs w:val="20"/>
                  </w:rPr>
                  <w:t>合并报表中归属于上市公司</w:t>
                </w:r>
                <w:r>
                  <w:rPr>
                    <w:rFonts w:hint="eastAsia"/>
                    <w:sz w:val="20"/>
                    <w:szCs w:val="20"/>
                  </w:rPr>
                  <w:t>普通股</w:t>
                </w:r>
                <w:r>
                  <w:rPr>
                    <w:sz w:val="20"/>
                    <w:szCs w:val="20"/>
                  </w:rPr>
                  <w:t>股东的净利润</w:t>
                </w:r>
              </w:p>
            </w:tc>
            <w:tc>
              <w:tcPr>
                <w:tcW w:w="4531" w:type="dxa"/>
                <w:tcBorders>
                  <w:top w:val="single" w:color="auto" w:sz="4" w:space="0"/>
                  <w:left w:val="single" w:color="auto" w:sz="4" w:space="0"/>
                  <w:bottom w:val="single" w:color="auto" w:sz="4" w:space="0"/>
                  <w:right w:val="single" w:color="auto" w:sz="4" w:space="0"/>
                </w:tcBorders>
                <w:vAlign w:val="center"/>
              </w:tcPr>
              <w:p w14:paraId="58079304">
                <w:pPr>
                  <w:jc w:val="right"/>
                  <w:rPr>
                    <w:rFonts w:ascii="Calibri" w:hAnsi="Calibri"/>
                    <w:sz w:val="20"/>
                    <w:szCs w:val="20"/>
                  </w:rPr>
                </w:pPr>
                <w:r>
                  <w:rPr>
                    <w:rFonts w:ascii="Calibri" w:hAnsi="Calibri"/>
                    <w:sz w:val="20"/>
                    <w:szCs w:val="20"/>
                  </w:rPr>
                  <w:t>1,219,052,875.25</w:t>
                </w:r>
              </w:p>
            </w:tc>
          </w:tr>
          <w:tr w14:paraId="55B9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4527" w:type="dxa"/>
                <w:tcBorders>
                  <w:top w:val="single" w:color="auto" w:sz="4" w:space="0"/>
                  <w:left w:val="single" w:color="auto" w:sz="4" w:space="0"/>
                  <w:bottom w:val="single" w:color="auto" w:sz="4" w:space="0"/>
                  <w:right w:val="single" w:color="auto" w:sz="4" w:space="0"/>
                </w:tcBorders>
                <w:vAlign w:val="center"/>
              </w:tcPr>
              <w:p w14:paraId="00A6D4C0">
                <w:pPr>
                  <w:pStyle w:val="48"/>
                  <w:rPr>
                    <w:sz w:val="20"/>
                    <w:szCs w:val="20"/>
                  </w:rPr>
                </w:pPr>
                <w:r>
                  <w:rPr>
                    <w:rFonts w:hint="eastAsia"/>
                    <w:sz w:val="20"/>
                    <w:szCs w:val="20"/>
                  </w:rPr>
                  <w:t>现金分红金额</w:t>
                </w:r>
                <w:r>
                  <w:rPr>
                    <w:sz w:val="20"/>
                    <w:szCs w:val="20"/>
                  </w:rPr>
                  <w:t>占合并报表中归属于上市公司</w:t>
                </w:r>
                <w:r>
                  <w:rPr>
                    <w:rFonts w:hint="eastAsia"/>
                    <w:sz w:val="20"/>
                    <w:szCs w:val="20"/>
                  </w:rPr>
                  <w:t>普通股</w:t>
                </w:r>
                <w:r>
                  <w:rPr>
                    <w:sz w:val="20"/>
                    <w:szCs w:val="20"/>
                  </w:rPr>
                  <w:t>股东的净利润的比率</w:t>
                </w:r>
                <w:bookmarkStart w:id="110" w:name="OLE_LINK4"/>
                <w:r>
                  <w:rPr>
                    <w:rFonts w:hint="eastAsia"/>
                    <w:sz w:val="20"/>
                    <w:szCs w:val="20"/>
                  </w:rPr>
                  <w:t>（%）</w:t>
                </w:r>
              </w:p>
              <w:bookmarkEnd w:id="110"/>
            </w:tc>
            <w:tc>
              <w:tcPr>
                <w:tcW w:w="4531" w:type="dxa"/>
                <w:tcBorders>
                  <w:top w:val="single" w:color="auto" w:sz="4" w:space="0"/>
                  <w:left w:val="single" w:color="auto" w:sz="4" w:space="0"/>
                  <w:bottom w:val="single" w:color="auto" w:sz="4" w:space="0"/>
                  <w:right w:val="single" w:color="auto" w:sz="4" w:space="0"/>
                </w:tcBorders>
                <w:vAlign w:val="center"/>
              </w:tcPr>
              <w:p w14:paraId="155BC6B9">
                <w:pPr>
                  <w:jc w:val="right"/>
                  <w:rPr>
                    <w:rFonts w:ascii="Calibri" w:hAnsi="Calibri"/>
                    <w:sz w:val="20"/>
                    <w:szCs w:val="20"/>
                  </w:rPr>
                </w:pPr>
                <w:r>
                  <w:rPr>
                    <w:rFonts w:ascii="Calibri" w:hAnsi="Calibri"/>
                    <w:sz w:val="20"/>
                    <w:szCs w:val="20"/>
                  </w:rPr>
                  <w:t>48.14</w:t>
                </w:r>
              </w:p>
            </w:tc>
          </w:tr>
          <w:tr w14:paraId="157F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4527" w:type="dxa"/>
                <w:vAlign w:val="center"/>
              </w:tcPr>
              <w:p w14:paraId="30C48BDF">
                <w:pPr>
                  <w:pStyle w:val="48"/>
                  <w:rPr>
                    <w:sz w:val="20"/>
                    <w:szCs w:val="20"/>
                  </w:rPr>
                </w:pPr>
                <w:r>
                  <w:rPr>
                    <w:rFonts w:hint="eastAsia"/>
                    <w:sz w:val="20"/>
                    <w:szCs w:val="20"/>
                  </w:rPr>
                  <w:t>以</w:t>
                </w:r>
                <w:r>
                  <w:rPr>
                    <w:sz w:val="20"/>
                    <w:szCs w:val="20"/>
                  </w:rPr>
                  <w:t>现金方式回购股份计入现金分红的</w:t>
                </w:r>
                <w:r>
                  <w:rPr>
                    <w:rFonts w:hint="eastAsia"/>
                    <w:sz w:val="20"/>
                    <w:szCs w:val="20"/>
                  </w:rPr>
                  <w:t>金额</w:t>
                </w:r>
              </w:p>
            </w:tc>
            <w:tc>
              <w:tcPr>
                <w:tcW w:w="4531" w:type="dxa"/>
                <w:vAlign w:val="center"/>
              </w:tcPr>
              <w:p w14:paraId="4374E627">
                <w:pPr>
                  <w:jc w:val="right"/>
                  <w:rPr>
                    <w:rFonts w:ascii="Calibri" w:hAnsi="Calibri"/>
                    <w:sz w:val="20"/>
                    <w:szCs w:val="20"/>
                  </w:rPr>
                </w:pPr>
                <w:r>
                  <w:rPr>
                    <w:rFonts w:ascii="Calibri" w:hAnsi="Calibri"/>
                    <w:sz w:val="20"/>
                    <w:szCs w:val="20"/>
                  </w:rPr>
                  <w:t>27,574,286.00</w:t>
                </w:r>
              </w:p>
            </w:tc>
          </w:tr>
          <w:tr w14:paraId="3E3F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4527" w:type="dxa"/>
                <w:vAlign w:val="center"/>
              </w:tcPr>
              <w:p w14:paraId="398FC240">
                <w:pPr>
                  <w:pStyle w:val="48"/>
                  <w:rPr>
                    <w:sz w:val="20"/>
                    <w:szCs w:val="20"/>
                  </w:rPr>
                </w:pPr>
                <w:r>
                  <w:rPr>
                    <w:rFonts w:hint="eastAsia"/>
                    <w:sz w:val="20"/>
                    <w:szCs w:val="20"/>
                  </w:rPr>
                  <w:t>合计分红金额（含税）</w:t>
                </w:r>
              </w:p>
            </w:tc>
            <w:tc>
              <w:tcPr>
                <w:tcW w:w="4531" w:type="dxa"/>
                <w:vAlign w:val="center"/>
              </w:tcPr>
              <w:p w14:paraId="52FAAAD7">
                <w:pPr>
                  <w:jc w:val="right"/>
                  <w:rPr>
                    <w:rFonts w:ascii="Calibri" w:hAnsi="Calibri"/>
                    <w:sz w:val="20"/>
                    <w:szCs w:val="20"/>
                  </w:rPr>
                </w:pPr>
                <w:r>
                  <w:rPr>
                    <w:rFonts w:ascii="Calibri" w:hAnsi="Calibri"/>
                    <w:sz w:val="20"/>
                    <w:szCs w:val="20"/>
                  </w:rPr>
                  <w:t>614,411,789.60</w:t>
                </w:r>
              </w:p>
            </w:tc>
          </w:tr>
          <w:tr w14:paraId="3ED4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4527" w:type="dxa"/>
                <w:vAlign w:val="center"/>
              </w:tcPr>
              <w:p w14:paraId="607279E1">
                <w:pPr>
                  <w:pStyle w:val="48"/>
                  <w:rPr>
                    <w:sz w:val="20"/>
                    <w:szCs w:val="20"/>
                  </w:rPr>
                </w:pPr>
                <w:r>
                  <w:rPr>
                    <w:rFonts w:hint="eastAsia"/>
                    <w:sz w:val="20"/>
                    <w:szCs w:val="20"/>
                  </w:rPr>
                  <w:t>合计分红金额</w:t>
                </w:r>
                <w:r>
                  <w:rPr>
                    <w:sz w:val="20"/>
                    <w:szCs w:val="20"/>
                  </w:rPr>
                  <w:t>占合并报表中归属于上市公司</w:t>
                </w:r>
                <w:r>
                  <w:rPr>
                    <w:rFonts w:hint="eastAsia"/>
                    <w:sz w:val="20"/>
                    <w:szCs w:val="20"/>
                  </w:rPr>
                  <w:t>普通股</w:t>
                </w:r>
                <w:r>
                  <w:rPr>
                    <w:sz w:val="20"/>
                    <w:szCs w:val="20"/>
                  </w:rPr>
                  <w:t>股东的净利润的比率</w:t>
                </w:r>
                <w:r>
                  <w:rPr>
                    <w:rFonts w:hint="eastAsia"/>
                    <w:sz w:val="20"/>
                    <w:szCs w:val="20"/>
                  </w:rPr>
                  <w:t>（%）</w:t>
                </w:r>
              </w:p>
            </w:tc>
            <w:tc>
              <w:tcPr>
                <w:tcW w:w="4531" w:type="dxa"/>
                <w:vAlign w:val="center"/>
              </w:tcPr>
              <w:p w14:paraId="50D030EF">
                <w:pPr>
                  <w:jc w:val="right"/>
                  <w:rPr>
                    <w:rFonts w:ascii="Calibri" w:hAnsi="Calibri"/>
                    <w:sz w:val="20"/>
                    <w:szCs w:val="20"/>
                  </w:rPr>
                </w:pPr>
                <w:r>
                  <w:rPr>
                    <w:rFonts w:ascii="Calibri" w:hAnsi="Calibri"/>
                    <w:sz w:val="20"/>
                    <w:szCs w:val="20"/>
                  </w:rPr>
                  <w:t>50.40</w:t>
                </w:r>
              </w:p>
            </w:tc>
          </w:tr>
        </w:tbl>
        <w:p w14:paraId="7FDA01F1">
          <w:pPr>
            <w:spacing w:line="360" w:lineRule="auto"/>
            <w:ind w:firstLine="420" w:firstLineChars="200"/>
            <w:jc w:val="both"/>
            <w:rPr>
              <w:rFonts w:ascii="宋体" w:hAnsi="宋体"/>
            </w:rPr>
          </w:pPr>
          <w:r>
            <w:rPr>
              <w:rFonts w:hint="eastAsia" w:ascii="宋体" w:hAnsi="宋体"/>
            </w:rPr>
            <w:t>注：</w:t>
          </w:r>
          <w:r>
            <w:rPr>
              <w:rFonts w:ascii="宋体" w:hAnsi="宋体"/>
            </w:rPr>
            <w:t>1</w:t>
          </w:r>
          <w:r>
            <w:rPr>
              <w:rFonts w:hint="eastAsia" w:ascii="宋体" w:hAnsi="宋体"/>
            </w:rPr>
            <w:t>、2</w:t>
          </w:r>
          <w:r>
            <w:rPr>
              <w:rFonts w:ascii="宋体" w:hAnsi="宋体"/>
            </w:rPr>
            <w:t>026</w:t>
          </w:r>
          <w:r>
            <w:rPr>
              <w:rFonts w:hint="eastAsia" w:ascii="宋体" w:hAnsi="宋体"/>
            </w:rPr>
            <w:t>年</w:t>
          </w:r>
          <w:r>
            <w:rPr>
              <w:rFonts w:ascii="宋体" w:hAnsi="宋体"/>
            </w:rPr>
            <w:t>4</w:t>
          </w:r>
          <w:r>
            <w:rPr>
              <w:rFonts w:hint="eastAsia" w:ascii="宋体" w:hAnsi="宋体"/>
            </w:rPr>
            <w:t>月</w:t>
          </w:r>
          <w:r>
            <w:rPr>
              <w:rFonts w:ascii="宋体" w:hAnsi="宋体"/>
            </w:rPr>
            <w:t>17</w:t>
          </w:r>
          <w:r>
            <w:rPr>
              <w:rFonts w:hint="eastAsia" w:ascii="宋体" w:hAnsi="宋体"/>
            </w:rPr>
            <w:t>日公司召开第十一届董事会第二十四次会议，审议通过了《202</w:t>
          </w:r>
          <w:r>
            <w:rPr>
              <w:rFonts w:ascii="宋体" w:hAnsi="宋体"/>
            </w:rPr>
            <w:t>5</w:t>
          </w:r>
          <w:r>
            <w:rPr>
              <w:rFonts w:hint="eastAsia" w:ascii="宋体" w:hAnsi="宋体"/>
            </w:rPr>
            <w:t>年年度利润分配的预案》，同意以实施权益分派股权登记日的总股本1,958,542,829</w:t>
          </w:r>
          <w:r>
            <w:rPr>
              <w:rFonts w:ascii="宋体" w:hAnsi="宋体"/>
            </w:rPr>
            <w:t>股,扣除回购专用证券</w:t>
          </w:r>
          <w:r>
            <w:rPr>
              <w:rFonts w:hint="eastAsia" w:ascii="宋体" w:hAnsi="宋体"/>
            </w:rPr>
            <w:t>账</w:t>
          </w:r>
          <w:r>
            <w:rPr>
              <w:rFonts w:ascii="宋体" w:hAnsi="宋体"/>
            </w:rPr>
            <w:t>户上已回购股份2,417,817股后股本数为</w:t>
          </w:r>
          <w:r>
            <w:rPr>
              <w:rFonts w:hint="eastAsia" w:ascii="宋体" w:hAnsi="宋体"/>
            </w:rPr>
            <w:t>1,9</w:t>
          </w:r>
          <w:r>
            <w:rPr>
              <w:rFonts w:ascii="宋体" w:hAnsi="宋体"/>
            </w:rPr>
            <w:t>56</w:t>
          </w:r>
          <w:r>
            <w:rPr>
              <w:rFonts w:hint="eastAsia" w:ascii="宋体" w:hAnsi="宋体"/>
            </w:rPr>
            <w:t>,</w:t>
          </w:r>
          <w:r>
            <w:rPr>
              <w:rFonts w:ascii="宋体" w:hAnsi="宋体"/>
            </w:rPr>
            <w:t>125</w:t>
          </w:r>
          <w:r>
            <w:rPr>
              <w:rFonts w:hint="eastAsia" w:ascii="宋体" w:hAnsi="宋体"/>
            </w:rPr>
            <w:t>,012</w:t>
          </w:r>
          <w:r>
            <w:rPr>
              <w:rFonts w:ascii="宋体" w:hAnsi="宋体"/>
            </w:rPr>
            <w:t>股，以此为基数向全体股东每10股派发现金红利3.00元(含税)</w:t>
          </w:r>
          <w:r>
            <w:rPr>
              <w:rFonts w:hint="eastAsia" w:ascii="宋体" w:hAnsi="宋体"/>
            </w:rPr>
            <w:t>。共计派发现金红利</w:t>
          </w:r>
          <w:r>
            <w:rPr>
              <w:rFonts w:ascii="宋体" w:hAnsi="宋体"/>
            </w:rPr>
            <w:t>586,837,503.60</w:t>
          </w:r>
          <w:r>
            <w:rPr>
              <w:rFonts w:hint="eastAsia" w:ascii="宋体" w:hAnsi="宋体"/>
            </w:rPr>
            <w:t>元（含税）。</w:t>
          </w:r>
        </w:p>
        <w:p w14:paraId="2BF0DF73">
          <w:pPr>
            <w:widowControl w:val="0"/>
            <w:spacing w:line="360" w:lineRule="auto"/>
            <w:ind w:firstLine="420" w:firstLineChars="200"/>
            <w:jc w:val="both"/>
            <w:rPr>
              <w:rFonts w:ascii="宋体" w:hAnsi="宋体"/>
            </w:rPr>
          </w:pPr>
          <w:r>
            <w:rPr>
              <w:rFonts w:ascii="宋体" w:hAnsi="宋体"/>
            </w:rPr>
            <w:t>2</w:t>
          </w:r>
          <w:r>
            <w:rPr>
              <w:rFonts w:hint="eastAsia" w:ascii="宋体" w:hAnsi="宋体"/>
            </w:rPr>
            <w:t>、202</w:t>
          </w:r>
          <w:r>
            <w:rPr>
              <w:rFonts w:ascii="宋体" w:hAnsi="宋体"/>
            </w:rPr>
            <w:t>5</w:t>
          </w:r>
          <w:r>
            <w:rPr>
              <w:rFonts w:hint="eastAsia" w:ascii="宋体" w:hAnsi="宋体"/>
            </w:rPr>
            <w:t>年度以集中竞价交易方式回购股份情况</w:t>
          </w:r>
        </w:p>
        <w:p w14:paraId="6C0B29B9">
          <w:pPr>
            <w:widowControl w:val="0"/>
            <w:spacing w:line="360" w:lineRule="auto"/>
            <w:ind w:firstLine="420" w:firstLineChars="200"/>
            <w:jc w:val="both"/>
            <w:rPr>
              <w:rFonts w:ascii="宋体" w:hAnsi="宋体"/>
              <w:sz w:val="24"/>
              <w:szCs w:val="24"/>
            </w:rPr>
          </w:pPr>
          <w:r>
            <w:rPr>
              <w:rFonts w:hint="eastAsia" w:ascii="宋体" w:hAnsi="宋体"/>
            </w:rPr>
            <w:t>公司于2025年10月17日召开第十一届董事会第十八次会议，</w:t>
          </w:r>
          <w:r>
            <w:rPr>
              <w:rFonts w:ascii="宋体" w:hAnsi="宋体"/>
            </w:rPr>
            <w:t>审议通过了</w:t>
          </w:r>
          <w:r>
            <w:rPr>
              <w:rFonts w:hint="eastAsia" w:ascii="宋体" w:hAnsi="宋体"/>
            </w:rPr>
            <w:t>《关于以集中竞价交易方式回购公司股份方案的议案》，同意公司使用自有资金以集中竞价交易方式回购公司股份，回购后的股份将用于员工持股计划及/或股权激励。回购股份价格不超过人民币10元/股（含），资金总额不低于人民币2,000万元（含），不超过人民币4,000万元（含）。回购期限为自公司董事会审议通过回购股份方案之日起6个月内。截至2025年1</w:t>
          </w:r>
          <w:r>
            <w:rPr>
              <w:rFonts w:ascii="宋体" w:hAnsi="宋体"/>
            </w:rPr>
            <w:t>2</w:t>
          </w:r>
          <w:r>
            <w:rPr>
              <w:rFonts w:hint="eastAsia" w:ascii="宋体" w:hAnsi="宋体"/>
            </w:rPr>
            <w:t>月3</w:t>
          </w:r>
          <w:r>
            <w:rPr>
              <w:rFonts w:ascii="宋体" w:hAnsi="宋体"/>
            </w:rPr>
            <w:t>1</w:t>
          </w:r>
          <w:r>
            <w:rPr>
              <w:rFonts w:hint="eastAsia" w:ascii="宋体" w:hAnsi="宋体"/>
            </w:rPr>
            <w:t>日，公司通过集中竞价交易方式已累计回购股份数量为3,000,000股，占公司目前总股本的比例为0.15%</w:t>
          </w:r>
          <w:r>
            <w:rPr>
              <w:rFonts w:ascii="宋体" w:hAnsi="宋体"/>
            </w:rPr>
            <w:t>,</w:t>
          </w:r>
          <w:r>
            <w:rPr>
              <w:rFonts w:hint="eastAsia" w:ascii="宋体" w:hAnsi="宋体"/>
            </w:rPr>
            <w:t>累计成交的总金额为</w:t>
          </w:r>
          <w:bookmarkStart w:id="111" w:name="OLE_LINK76"/>
          <w:bookmarkStart w:id="112" w:name="OLE_LINK77"/>
          <w:r>
            <w:rPr>
              <w:rFonts w:hint="eastAsia" w:ascii="宋体" w:hAnsi="宋体"/>
            </w:rPr>
            <w:t>27,574,286.00</w:t>
          </w:r>
          <w:bookmarkEnd w:id="111"/>
          <w:bookmarkEnd w:id="112"/>
          <w:r>
            <w:rPr>
              <w:rFonts w:hint="eastAsia" w:ascii="宋体" w:hAnsi="宋体"/>
            </w:rPr>
            <w:t>元（不含交易费用）。</w:t>
          </w:r>
        </w:p>
      </w:sdtContent>
    </w:sdt>
    <w:sdt>
      <w:sdtPr>
        <w:rPr>
          <w:rFonts w:hint="eastAsia" w:ascii="宋体" w:hAnsi="宋体" w:cs="宋体"/>
          <w:b w:val="0"/>
          <w:bCs w:val="0"/>
          <w:kern w:val="0"/>
          <w:szCs w:val="24"/>
        </w:rPr>
        <w:alias w:val="模块:最近三个会计年度现金分红情况"/>
        <w:tag w:val="_SEC_c1a4a20437c24f8681a54af4fa8a8fe4"/>
        <w:id w:val="347599982"/>
        <w:placeholder>
          <w:docPart w:val="GBC22222222222222222222222222222"/>
        </w:placeholder>
      </w:sdtPr>
      <w:sdtEndPr>
        <w:rPr>
          <w:rFonts w:hint="eastAsia" w:ascii="Calibri" w:hAnsi="Calibri" w:cs="Times New Roman"/>
          <w:b w:val="0"/>
          <w:bCs w:val="0"/>
          <w:kern w:val="2"/>
          <w:szCs w:val="21"/>
        </w:rPr>
      </w:sdtEndPr>
      <w:sdtContent>
        <w:p w14:paraId="4EBD9CFD">
          <w:pPr>
            <w:pStyle w:val="51"/>
            <w:numPr>
              <w:ilvl w:val="0"/>
              <w:numId w:val="24"/>
            </w:numPr>
          </w:pPr>
          <w:bookmarkStart w:id="113" w:name="_Hlk183089680"/>
          <w:r>
            <w:rPr>
              <w:rFonts w:hint="eastAsia"/>
            </w:rPr>
            <w:t>最近三个会计年度现金分红情况</w:t>
          </w:r>
        </w:p>
        <w:sdt>
          <w:sdtPr>
            <w:rPr>
              <w:rFonts w:hint="eastAsia"/>
            </w:rPr>
            <w:alias w:val="是否适用：最近三个会计年度现金分红情况[双击切换]"/>
            <w:tag w:val="_GBC_28e549783f2141f4b4d8c360788bf33d"/>
            <w:id w:val="-2120902040"/>
            <w:placeholder>
              <w:docPart w:val="GBC22222222222222222222222222222"/>
            </w:placeholder>
          </w:sdtPr>
          <w:sdtEndPr>
            <w:rPr>
              <w:rFonts w:hint="eastAsia"/>
            </w:rPr>
          </w:sdtEndPr>
          <w:sdtContent>
            <w:p w14:paraId="63F6434F">
              <w:pPr>
                <w:pStyle w:val="48"/>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0674B19B">
          <w:pPr>
            <w:jc w:val="right"/>
          </w:pPr>
          <w:r>
            <w:rPr>
              <w:rFonts w:hint="eastAsia"/>
            </w:rPr>
            <w:t>单位：</w:t>
          </w:r>
          <w:sdt>
            <w:sdtPr>
              <w:rPr>
                <w:rFonts w:hint="eastAsia"/>
              </w:rPr>
              <w:alias w:val="单位：最近三个会计年度现金分红情况"/>
              <w:tag w:val="_GBC_b8634c7351cc405bb925f28f0a63105b"/>
              <w:id w:val="-33468572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最近三个会计年度现金分红情况"/>
              <w:tag w:val="_GBC_f92d810bf34147c190eacf6f794855d7"/>
              <w:id w:val="9330916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 xml:space="preserve"> </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5075"/>
            <w:gridCol w:w="3978"/>
          </w:tblGrid>
          <w:tr w14:paraId="7E66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sdt>
              <w:sdtPr>
                <w:tag w:val="_PLD_f2d866feb6ed4bba8cf4399521757247"/>
                <w:id w:val="-1562627333"/>
              </w:sdtPr>
              <w:sdtContent>
                <w:tc>
                  <w:tcPr>
                    <w:tcW w:w="5075" w:type="dxa"/>
                    <w:vAlign w:val="center"/>
                  </w:tcPr>
                  <w:p w14:paraId="3165592C">
                    <w:pPr>
                      <w:pStyle w:val="48"/>
                      <w:rPr>
                        <w:sz w:val="20"/>
                        <w:szCs w:val="20"/>
                      </w:rPr>
                    </w:pPr>
                    <w:r>
                      <w:rPr>
                        <w:rFonts w:hint="eastAsia"/>
                        <w:sz w:val="20"/>
                        <w:szCs w:val="20"/>
                      </w:rPr>
                      <w:t>最近三个会计年度累计现金分红金额（含税）(1)</w:t>
                    </w:r>
                  </w:p>
                </w:tc>
              </w:sdtContent>
            </w:sdt>
            <w:tc>
              <w:tcPr>
                <w:tcW w:w="3978" w:type="dxa"/>
                <w:vAlign w:val="center"/>
              </w:tcPr>
              <w:p w14:paraId="4C2603A8">
                <w:pPr>
                  <w:jc w:val="right"/>
                  <w:rPr>
                    <w:rFonts w:ascii="Calibri" w:hAnsi="Calibri"/>
                    <w:sz w:val="20"/>
                    <w:szCs w:val="20"/>
                  </w:rPr>
                </w:pPr>
                <w:r>
                  <w:rPr>
                    <w:rFonts w:ascii="Calibri" w:hAnsi="Calibri"/>
                    <w:sz w:val="20"/>
                    <w:szCs w:val="20"/>
                  </w:rPr>
                  <w:t>1,568,137,275.10</w:t>
                </w:r>
              </w:p>
            </w:tc>
          </w:tr>
          <w:tr w14:paraId="0A43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5075" w:type="dxa"/>
                <w:vAlign w:val="center"/>
              </w:tcPr>
              <w:p w14:paraId="3C7D7DF6">
                <w:pPr>
                  <w:pStyle w:val="48"/>
                  <w:rPr>
                    <w:sz w:val="20"/>
                    <w:szCs w:val="20"/>
                  </w:rPr>
                </w:pPr>
                <w:r>
                  <w:rPr>
                    <w:rFonts w:hint="eastAsia"/>
                    <w:sz w:val="20"/>
                    <w:szCs w:val="20"/>
                  </w:rPr>
                  <w:t>最近三个会计年度累计回购并注销金额</w:t>
                </w:r>
                <w:r>
                  <w:rPr>
                    <w:sz w:val="20"/>
                    <w:szCs w:val="20"/>
                  </w:rPr>
                  <w:t>(</w:t>
                </w:r>
                <w:r>
                  <w:rPr>
                    <w:rFonts w:hint="eastAsia"/>
                    <w:sz w:val="20"/>
                    <w:szCs w:val="20"/>
                  </w:rPr>
                  <w:t>2</w:t>
                </w:r>
                <w:r>
                  <w:rPr>
                    <w:sz w:val="20"/>
                    <w:szCs w:val="20"/>
                  </w:rPr>
                  <w:t>)</w:t>
                </w:r>
              </w:p>
            </w:tc>
            <w:tc>
              <w:tcPr>
                <w:tcW w:w="3978" w:type="dxa"/>
                <w:vAlign w:val="center"/>
              </w:tcPr>
              <w:p w14:paraId="1F8234D7">
                <w:pPr>
                  <w:jc w:val="right"/>
                  <w:rPr>
                    <w:rFonts w:ascii="Calibri" w:hAnsi="Calibri"/>
                    <w:sz w:val="20"/>
                    <w:szCs w:val="20"/>
                  </w:rPr>
                </w:pPr>
                <w:r>
                  <w:rPr>
                    <w:rFonts w:ascii="Calibri" w:hAnsi="Calibri"/>
                    <w:sz w:val="20"/>
                    <w:szCs w:val="20"/>
                  </w:rPr>
                  <w:t>300,665,419.96</w:t>
                </w:r>
              </w:p>
            </w:tc>
          </w:tr>
          <w:tr w14:paraId="67BF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5075" w:type="dxa"/>
                <w:vAlign w:val="center"/>
              </w:tcPr>
              <w:p w14:paraId="23870EC1">
                <w:pPr>
                  <w:pStyle w:val="48"/>
                  <w:rPr>
                    <w:sz w:val="20"/>
                    <w:szCs w:val="20"/>
                  </w:rPr>
                </w:pPr>
                <w:r>
                  <w:rPr>
                    <w:rFonts w:hint="eastAsia"/>
                    <w:sz w:val="20"/>
                    <w:szCs w:val="20"/>
                  </w:rPr>
                  <w:t>最近三个会计年度现金分红和回购并注销累计金额</w:t>
                </w:r>
                <w:r>
                  <w:rPr>
                    <w:sz w:val="20"/>
                    <w:szCs w:val="20"/>
                  </w:rPr>
                  <w:t>(</w:t>
                </w:r>
                <w:r>
                  <w:rPr>
                    <w:rFonts w:hint="eastAsia"/>
                    <w:sz w:val="20"/>
                    <w:szCs w:val="20"/>
                  </w:rPr>
                  <w:t>3</w:t>
                </w:r>
                <w:r>
                  <w:rPr>
                    <w:sz w:val="20"/>
                    <w:szCs w:val="20"/>
                  </w:rPr>
                  <w:t>)=(1)+(</w:t>
                </w:r>
                <w:r>
                  <w:rPr>
                    <w:rFonts w:hint="eastAsia"/>
                    <w:sz w:val="20"/>
                    <w:szCs w:val="20"/>
                  </w:rPr>
                  <w:t>2</w:t>
                </w:r>
                <w:r>
                  <w:rPr>
                    <w:sz w:val="20"/>
                    <w:szCs w:val="20"/>
                  </w:rPr>
                  <w:t>)</w:t>
                </w:r>
              </w:p>
            </w:tc>
            <w:tc>
              <w:tcPr>
                <w:tcW w:w="3978" w:type="dxa"/>
                <w:vAlign w:val="center"/>
              </w:tcPr>
              <w:p w14:paraId="560B8293">
                <w:pPr>
                  <w:jc w:val="right"/>
                  <w:rPr>
                    <w:rFonts w:ascii="Calibri" w:hAnsi="Calibri"/>
                    <w:sz w:val="20"/>
                    <w:szCs w:val="20"/>
                  </w:rPr>
                </w:pPr>
                <w:r>
                  <w:rPr>
                    <w:rFonts w:ascii="Calibri" w:hAnsi="Calibri"/>
                    <w:sz w:val="20"/>
                    <w:szCs w:val="20"/>
                  </w:rPr>
                  <w:t>1,868,802,695.06</w:t>
                </w:r>
              </w:p>
            </w:tc>
          </w:tr>
          <w:tr w14:paraId="7238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5075" w:type="dxa"/>
                <w:vAlign w:val="center"/>
              </w:tcPr>
              <w:p w14:paraId="60F45F62">
                <w:pPr>
                  <w:pStyle w:val="48"/>
                  <w:rPr>
                    <w:sz w:val="20"/>
                    <w:szCs w:val="20"/>
                  </w:rPr>
                </w:pPr>
                <w:r>
                  <w:rPr>
                    <w:rFonts w:hint="eastAsia"/>
                    <w:sz w:val="20"/>
                    <w:szCs w:val="20"/>
                  </w:rPr>
                  <w:t>最近三个会计年度年均净利润金额</w:t>
                </w:r>
                <w:r>
                  <w:rPr>
                    <w:sz w:val="20"/>
                    <w:szCs w:val="20"/>
                  </w:rPr>
                  <w:t>(</w:t>
                </w:r>
                <w:r>
                  <w:rPr>
                    <w:rFonts w:hint="eastAsia"/>
                    <w:sz w:val="20"/>
                    <w:szCs w:val="20"/>
                  </w:rPr>
                  <w:t>4</w:t>
                </w:r>
                <w:r>
                  <w:rPr>
                    <w:sz w:val="20"/>
                    <w:szCs w:val="20"/>
                  </w:rPr>
                  <w:t>)</w:t>
                </w:r>
              </w:p>
            </w:tc>
            <w:tc>
              <w:tcPr>
                <w:tcW w:w="3978" w:type="dxa"/>
                <w:vAlign w:val="center"/>
              </w:tcPr>
              <w:p w14:paraId="5D2BE929">
                <w:pPr>
                  <w:jc w:val="right"/>
                  <w:rPr>
                    <w:rFonts w:ascii="Calibri" w:hAnsi="Calibri"/>
                    <w:sz w:val="20"/>
                    <w:szCs w:val="20"/>
                  </w:rPr>
                </w:pPr>
                <w:r>
                  <w:rPr>
                    <w:rFonts w:ascii="Calibri" w:hAnsi="Calibri"/>
                    <w:sz w:val="20"/>
                    <w:szCs w:val="20"/>
                  </w:rPr>
                  <w:t>781,388,343.58</w:t>
                </w:r>
              </w:p>
            </w:tc>
          </w:tr>
          <w:tr w14:paraId="5D34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5075" w:type="dxa"/>
                <w:vAlign w:val="center"/>
              </w:tcPr>
              <w:p w14:paraId="1CD4C7CE">
                <w:pPr>
                  <w:pStyle w:val="48"/>
                  <w:rPr>
                    <w:sz w:val="20"/>
                    <w:szCs w:val="20"/>
                  </w:rPr>
                </w:pPr>
                <w:r>
                  <w:rPr>
                    <w:rFonts w:hint="eastAsia"/>
                    <w:sz w:val="20"/>
                    <w:szCs w:val="20"/>
                  </w:rPr>
                  <w:t>最近三个会计年度现金分红比例（%）</w:t>
                </w:r>
                <w:r>
                  <w:rPr>
                    <w:sz w:val="20"/>
                    <w:szCs w:val="20"/>
                  </w:rPr>
                  <w:t>(5)=(3)/(4)</w:t>
                </w:r>
              </w:p>
            </w:tc>
            <w:tc>
              <w:tcPr>
                <w:tcW w:w="3978" w:type="dxa"/>
                <w:vAlign w:val="center"/>
              </w:tcPr>
              <w:p w14:paraId="570DEDAE">
                <w:pPr>
                  <w:jc w:val="right"/>
                  <w:rPr>
                    <w:rFonts w:ascii="Calibri" w:hAnsi="Calibri"/>
                    <w:sz w:val="20"/>
                    <w:szCs w:val="20"/>
                  </w:rPr>
                </w:pPr>
                <w:r>
                  <w:rPr>
                    <w:rFonts w:ascii="Calibri" w:hAnsi="Calibri"/>
                    <w:sz w:val="20"/>
                    <w:szCs w:val="20"/>
                  </w:rPr>
                  <w:t>239.16</w:t>
                </w:r>
              </w:p>
            </w:tc>
          </w:tr>
          <w:tr w14:paraId="5472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5075" w:type="dxa"/>
                <w:vAlign w:val="center"/>
              </w:tcPr>
              <w:p w14:paraId="48227EEB">
                <w:pPr>
                  <w:pStyle w:val="48"/>
                  <w:rPr>
                    <w:sz w:val="20"/>
                    <w:szCs w:val="20"/>
                  </w:rPr>
                </w:pPr>
                <w:r>
                  <w:rPr>
                    <w:rFonts w:hint="eastAsia"/>
                    <w:sz w:val="20"/>
                    <w:szCs w:val="20"/>
                  </w:rPr>
                  <w:t>最近一个会计年度</w:t>
                </w:r>
                <w:r>
                  <w:rPr>
                    <w:sz w:val="20"/>
                    <w:szCs w:val="20"/>
                  </w:rPr>
                  <w:t>合并报表</w:t>
                </w:r>
                <w:r>
                  <w:rPr>
                    <w:rFonts w:hint="eastAsia"/>
                    <w:sz w:val="20"/>
                    <w:szCs w:val="20"/>
                  </w:rPr>
                  <w:t>中</w:t>
                </w:r>
                <w:r>
                  <w:rPr>
                    <w:sz w:val="20"/>
                    <w:szCs w:val="20"/>
                  </w:rPr>
                  <w:t>归属于上市公司</w:t>
                </w:r>
                <w:r>
                  <w:rPr>
                    <w:rFonts w:hint="eastAsia"/>
                    <w:sz w:val="20"/>
                    <w:szCs w:val="20"/>
                  </w:rPr>
                  <w:t>普通股</w:t>
                </w:r>
                <w:r>
                  <w:rPr>
                    <w:sz w:val="20"/>
                    <w:szCs w:val="20"/>
                  </w:rPr>
                  <w:t>股东的净利润</w:t>
                </w:r>
              </w:p>
            </w:tc>
            <w:tc>
              <w:tcPr>
                <w:tcW w:w="3978" w:type="dxa"/>
                <w:vAlign w:val="center"/>
              </w:tcPr>
              <w:p w14:paraId="4B7A379B">
                <w:pPr>
                  <w:jc w:val="right"/>
                  <w:rPr>
                    <w:rFonts w:ascii="Calibri" w:hAnsi="Calibri"/>
                    <w:sz w:val="20"/>
                    <w:szCs w:val="20"/>
                  </w:rPr>
                </w:pPr>
                <w:r>
                  <w:rPr>
                    <w:rFonts w:ascii="Calibri" w:hAnsi="Calibri"/>
                    <w:sz w:val="20"/>
                    <w:szCs w:val="20"/>
                  </w:rPr>
                  <w:t>1,219,052,875.25</w:t>
                </w:r>
              </w:p>
            </w:tc>
          </w:tr>
          <w:tr w14:paraId="6742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5075" w:type="dxa"/>
                <w:vAlign w:val="center"/>
              </w:tcPr>
              <w:p w14:paraId="3987CE5C">
                <w:pPr>
                  <w:pStyle w:val="48"/>
                  <w:rPr>
                    <w:sz w:val="20"/>
                    <w:szCs w:val="20"/>
                  </w:rPr>
                </w:pPr>
                <w:r>
                  <w:rPr>
                    <w:rFonts w:hint="eastAsia"/>
                    <w:sz w:val="20"/>
                    <w:szCs w:val="20"/>
                  </w:rPr>
                  <w:t>最近一个会计年度母公司报表年度末未分配利润</w:t>
                </w:r>
              </w:p>
            </w:tc>
            <w:tc>
              <w:tcPr>
                <w:tcW w:w="3978" w:type="dxa"/>
                <w:vAlign w:val="center"/>
              </w:tcPr>
              <w:p w14:paraId="4E4A8846">
                <w:pPr>
                  <w:jc w:val="right"/>
                  <w:rPr>
                    <w:rFonts w:ascii="Calibri" w:hAnsi="Calibri"/>
                    <w:sz w:val="20"/>
                    <w:szCs w:val="20"/>
                  </w:rPr>
                </w:pPr>
                <w:r>
                  <w:rPr>
                    <w:rFonts w:ascii="Calibri" w:hAnsi="Calibri"/>
                    <w:sz w:val="20"/>
                    <w:szCs w:val="20"/>
                  </w:rPr>
                  <w:t>4,304,411,708.85</w:t>
                </w:r>
              </w:p>
            </w:tc>
          </w:tr>
        </w:tbl>
        <w:p w14:paraId="3601B2BC">
          <w:pPr>
            <w:pStyle w:val="48"/>
          </w:pPr>
        </w:p>
      </w:sdtContent>
    </w:sdt>
    <w:bookmarkEnd w:id="113"/>
    <w:p w14:paraId="2FA136E0">
      <w:pPr>
        <w:pStyle w:val="3"/>
        <w:numPr>
          <w:ilvl w:val="0"/>
          <w:numId w:val="20"/>
        </w:numPr>
      </w:pPr>
      <w:bookmarkStart w:id="114" w:name="_Toc342491956"/>
      <w:bookmarkStart w:id="115" w:name="_Toc342565948"/>
      <w:r>
        <w:rPr>
          <w:rFonts w:hint="eastAsia"/>
        </w:rPr>
        <w:t>公司股权激励计划、员工持股计划或其他员工激励措施的情况及其影响</w:t>
      </w:r>
      <w:bookmarkEnd w:id="114"/>
      <w:bookmarkEnd w:id="115"/>
    </w:p>
    <w:sdt>
      <w:sdtPr>
        <w:rPr>
          <w:rFonts w:hint="eastAsia" w:ascii="宋体" w:hAnsi="宋体" w:cs="宋体"/>
          <w:b w:val="0"/>
          <w:bCs w:val="0"/>
          <w:kern w:val="44"/>
          <w:sz w:val="24"/>
          <w:szCs w:val="21"/>
        </w:rPr>
        <w:alias w:val="模块:相关股权激励事项已在临时公告披露且后续实施无进展或变化"/>
        <w:tag w:val="_SEC_0fef5a8a9a1f47b5be982489f74109f3"/>
        <w:id w:val="1527824543"/>
        <w:placeholder>
          <w:docPart w:val="GBC22222222222222222222222222222"/>
        </w:placeholder>
      </w:sdtPr>
      <w:sdtEndPr>
        <w:rPr>
          <w:rFonts w:hint="default" w:ascii="Calibri" w:hAnsi="Calibri" w:cs="Times New Roman"/>
          <w:b w:val="0"/>
          <w:bCs w:val="0"/>
          <w:kern w:val="2"/>
          <w:sz w:val="21"/>
          <w:szCs w:val="21"/>
        </w:rPr>
      </w:sdtEndPr>
      <w:sdtContent>
        <w:p w14:paraId="764A8D11">
          <w:pPr>
            <w:pStyle w:val="51"/>
            <w:numPr>
              <w:ilvl w:val="1"/>
              <w:numId w:val="25"/>
            </w:numPr>
            <w:rPr>
              <w:kern w:val="44"/>
              <w:szCs w:val="21"/>
            </w:rPr>
          </w:pPr>
          <w:bookmarkStart w:id="116" w:name="_Toc342491957"/>
          <w:bookmarkStart w:id="117" w:name="_Toc342565949"/>
          <w:r>
            <w:rPr>
              <w:rFonts w:hint="eastAsia"/>
              <w:kern w:val="44"/>
              <w:szCs w:val="21"/>
            </w:rPr>
            <w:t>相关激励事项已在临时公告披露且后续实施无进展或变化的</w:t>
          </w:r>
          <w:bookmarkEnd w:id="116"/>
          <w:bookmarkEnd w:id="117"/>
        </w:p>
        <w:sdt>
          <w:sdtPr>
            <w:alias w:val="是否适用：相关激励事项已在临时公告披露且后续实施无进展或变化的[双击切换]"/>
            <w:tag w:val="_GBC_0af9dca2858d42619c57d7878f3a7792"/>
            <w:id w:val="-2004726964"/>
            <w:placeholder>
              <w:docPart w:val="GBC22222222222222222222222222222"/>
            </w:placeholder>
          </w:sdtPr>
          <w:sdtContent>
            <w:p w14:paraId="5E51FBE4">
              <w:pPr>
                <w:pStyle w:val="48"/>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46"/>
            <w:tblW w:w="8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2"/>
            <w:gridCol w:w="3586"/>
          </w:tblGrid>
          <w:tr w14:paraId="24CB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decbe6d8ce743f4b13927063683e8b3"/>
                <w:id w:val="-192463586"/>
              </w:sdtPr>
              <w:sdtContent>
                <w:tc>
                  <w:tcPr>
                    <w:tcW w:w="5382" w:type="dxa"/>
                    <w:vAlign w:val="center"/>
                  </w:tcPr>
                  <w:p w14:paraId="668A2B13">
                    <w:pPr>
                      <w:jc w:val="center"/>
                      <w:rPr>
                        <w:rFonts w:ascii="Calibri" w:hAnsi="Calibri"/>
                        <w:bCs/>
                        <w:kern w:val="44"/>
                        <w:sz w:val="20"/>
                        <w:szCs w:val="20"/>
                      </w:rPr>
                    </w:pPr>
                    <w:r>
                      <w:rPr>
                        <w:rFonts w:hint="eastAsia" w:ascii="Calibri" w:hAnsi="Calibri"/>
                        <w:bCs/>
                        <w:kern w:val="44"/>
                        <w:sz w:val="20"/>
                        <w:szCs w:val="20"/>
                      </w:rPr>
                      <w:t>事项概述</w:t>
                    </w:r>
                  </w:p>
                </w:tc>
              </w:sdtContent>
            </w:sdt>
            <w:sdt>
              <w:sdtPr>
                <w:tag w:val="_PLD_6c5a6ae67a584eab9a29fd8b549ac825"/>
                <w:id w:val="-14004358"/>
              </w:sdtPr>
              <w:sdtContent>
                <w:tc>
                  <w:tcPr>
                    <w:tcW w:w="3586" w:type="dxa"/>
                    <w:vAlign w:val="center"/>
                  </w:tcPr>
                  <w:p w14:paraId="58A9F854">
                    <w:pPr>
                      <w:jc w:val="center"/>
                      <w:rPr>
                        <w:rFonts w:ascii="Calibri" w:hAnsi="Calibri"/>
                        <w:bCs/>
                        <w:kern w:val="44"/>
                        <w:sz w:val="20"/>
                        <w:szCs w:val="20"/>
                      </w:rPr>
                    </w:pPr>
                    <w:r>
                      <w:rPr>
                        <w:rFonts w:hint="eastAsia" w:ascii="Calibri" w:hAnsi="Calibri"/>
                        <w:bCs/>
                        <w:kern w:val="44"/>
                        <w:sz w:val="20"/>
                        <w:szCs w:val="20"/>
                      </w:rPr>
                      <w:t>查询索引</w:t>
                    </w:r>
                  </w:p>
                </w:tc>
              </w:sdtContent>
            </w:sdt>
          </w:tr>
          <w:tr w14:paraId="7105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vAlign w:val="center"/>
              </w:tcPr>
              <w:p w14:paraId="3F2DA2F7">
                <w:pPr>
                  <w:rPr>
                    <w:rFonts w:asciiTheme="minorEastAsia" w:hAnsiTheme="minorEastAsia" w:eastAsiaTheme="minorEastAsia"/>
                    <w:bCs/>
                    <w:kern w:val="44"/>
                    <w:sz w:val="20"/>
                    <w:szCs w:val="20"/>
                  </w:rPr>
                </w:pPr>
                <w:r>
                  <w:rPr>
                    <w:rFonts w:hint="eastAsia" w:asciiTheme="minorEastAsia" w:hAnsiTheme="minorEastAsia" w:eastAsiaTheme="minorEastAsia"/>
                    <w:bCs/>
                    <w:kern w:val="44"/>
                    <w:sz w:val="20"/>
                    <w:szCs w:val="20"/>
                  </w:rPr>
                  <w:t>为充分调动核心骨干员工的积极性，有效地将股东利益、公司利益和员工个人利益紧密结合在一起，提高员工凝聚力和公司竞争力，建立和完善利益共享机制，促进公司健康可持续发展。公司召开了第十一届董事会第十七次会议、第十一届监事会第十一次会议、2025年第二次临时股东会，审议通过了《关于&lt;通化东宝2025年员工持股计划（草案）&gt;及其摘要的议案》、《关于&lt;通化东宝2025年员工持股计划管理办法&gt;的议案》等相关议案。</w:t>
                </w:r>
              </w:p>
            </w:tc>
            <w:tc>
              <w:tcPr>
                <w:tcW w:w="3586" w:type="dxa"/>
                <w:vAlign w:val="center"/>
              </w:tcPr>
              <w:p w14:paraId="215C21C5">
                <w:pPr>
                  <w:jc w:val="both"/>
                  <w:rPr>
                    <w:rFonts w:asciiTheme="minorEastAsia" w:hAnsiTheme="minorEastAsia" w:eastAsiaTheme="minorEastAsia"/>
                    <w:bCs/>
                    <w:kern w:val="44"/>
                    <w:sz w:val="20"/>
                    <w:szCs w:val="20"/>
                  </w:rPr>
                </w:pPr>
                <w:r>
                  <w:rPr>
                    <w:rFonts w:hint="eastAsia" w:asciiTheme="minorEastAsia" w:hAnsiTheme="minorEastAsia" w:eastAsiaTheme="minorEastAsia"/>
                    <w:bCs/>
                    <w:kern w:val="44"/>
                    <w:sz w:val="20"/>
                    <w:szCs w:val="20"/>
                  </w:rPr>
                  <w:t>内容详见公司于202</w:t>
                </w:r>
                <w:r>
                  <w:rPr>
                    <w:rFonts w:asciiTheme="minorEastAsia" w:hAnsiTheme="minorEastAsia" w:eastAsiaTheme="minorEastAsia"/>
                    <w:bCs/>
                    <w:kern w:val="44"/>
                    <w:sz w:val="20"/>
                    <w:szCs w:val="20"/>
                  </w:rPr>
                  <w:t>5</w:t>
                </w:r>
                <w:r>
                  <w:rPr>
                    <w:rFonts w:hint="eastAsia" w:asciiTheme="minorEastAsia" w:hAnsiTheme="minorEastAsia" w:eastAsiaTheme="minorEastAsia"/>
                    <w:bCs/>
                    <w:kern w:val="44"/>
                    <w:sz w:val="20"/>
                    <w:szCs w:val="20"/>
                  </w:rPr>
                  <w:t>年</w:t>
                </w:r>
                <w:r>
                  <w:rPr>
                    <w:rFonts w:asciiTheme="minorEastAsia" w:hAnsiTheme="minorEastAsia" w:eastAsiaTheme="minorEastAsia"/>
                    <w:bCs/>
                    <w:kern w:val="44"/>
                    <w:sz w:val="20"/>
                    <w:szCs w:val="20"/>
                  </w:rPr>
                  <w:t>9</w:t>
                </w:r>
                <w:r>
                  <w:rPr>
                    <w:rFonts w:hint="eastAsia" w:asciiTheme="minorEastAsia" w:hAnsiTheme="minorEastAsia" w:eastAsiaTheme="minorEastAsia"/>
                    <w:bCs/>
                    <w:kern w:val="44"/>
                    <w:sz w:val="20"/>
                    <w:szCs w:val="20"/>
                  </w:rPr>
                  <w:t>月</w:t>
                </w:r>
                <w:r>
                  <w:rPr>
                    <w:rFonts w:asciiTheme="minorEastAsia" w:hAnsiTheme="minorEastAsia" w:eastAsiaTheme="minorEastAsia"/>
                    <w:bCs/>
                    <w:kern w:val="44"/>
                    <w:sz w:val="20"/>
                    <w:szCs w:val="20"/>
                  </w:rPr>
                  <w:t>3</w:t>
                </w:r>
                <w:r>
                  <w:rPr>
                    <w:rFonts w:hint="eastAsia" w:asciiTheme="minorEastAsia" w:hAnsiTheme="minorEastAsia" w:eastAsiaTheme="minorEastAsia"/>
                    <w:bCs/>
                    <w:kern w:val="44"/>
                    <w:sz w:val="20"/>
                    <w:szCs w:val="20"/>
                  </w:rPr>
                  <w:t>日在上海证券交易所网站（www.sse.com.cn）披露的《通化东宝2025年员工持股计划（草案）及其摘要》等文件；2025年9月19日在中国证券报、上海证券报及上海证券交易所网站（www.sse.com.cn）披露的《通化东宝202</w:t>
                </w:r>
                <w:r>
                  <w:rPr>
                    <w:rFonts w:asciiTheme="minorEastAsia" w:hAnsiTheme="minorEastAsia" w:eastAsiaTheme="minorEastAsia"/>
                    <w:bCs/>
                    <w:kern w:val="44"/>
                    <w:sz w:val="20"/>
                    <w:szCs w:val="20"/>
                  </w:rPr>
                  <w:t>5</w:t>
                </w:r>
                <w:r>
                  <w:rPr>
                    <w:rFonts w:hint="eastAsia" w:asciiTheme="minorEastAsia" w:hAnsiTheme="minorEastAsia" w:eastAsiaTheme="minorEastAsia"/>
                    <w:bCs/>
                    <w:kern w:val="44"/>
                    <w:sz w:val="20"/>
                    <w:szCs w:val="20"/>
                  </w:rPr>
                  <w:t>年第二次临时股东会决议公告》。</w:t>
                </w:r>
              </w:p>
            </w:tc>
          </w:tr>
          <w:tr w14:paraId="7E0C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vAlign w:val="center"/>
              </w:tcPr>
              <w:p w14:paraId="7EEF1DC9">
                <w:pPr>
                  <w:autoSpaceDE w:val="0"/>
                  <w:rPr>
                    <w:rFonts w:ascii="宋体" w:hAnsi="宋体"/>
                    <w:sz w:val="20"/>
                    <w:szCs w:val="20"/>
                  </w:rPr>
                </w:pPr>
                <w:r>
                  <w:rPr>
                    <w:rFonts w:ascii="宋体" w:hAnsi="宋体"/>
                    <w:sz w:val="20"/>
                    <w:szCs w:val="20"/>
                  </w:rPr>
                  <w:t>202</w:t>
                </w:r>
                <w:r>
                  <w:rPr>
                    <w:rFonts w:hint="eastAsia" w:ascii="宋体" w:hAnsi="宋体"/>
                    <w:sz w:val="20"/>
                    <w:szCs w:val="20"/>
                  </w:rPr>
                  <w:t>5</w:t>
                </w:r>
                <w:r>
                  <w:rPr>
                    <w:rFonts w:ascii="宋体" w:hAnsi="宋体"/>
                    <w:sz w:val="20"/>
                    <w:szCs w:val="20"/>
                  </w:rPr>
                  <w:t>年</w:t>
                </w:r>
                <w:r>
                  <w:rPr>
                    <w:rFonts w:hint="eastAsia" w:ascii="宋体" w:hAnsi="宋体"/>
                    <w:sz w:val="20"/>
                    <w:szCs w:val="20"/>
                  </w:rPr>
                  <w:t>9</w:t>
                </w:r>
                <w:r>
                  <w:rPr>
                    <w:rFonts w:ascii="宋体" w:hAnsi="宋体"/>
                    <w:sz w:val="20"/>
                    <w:szCs w:val="20"/>
                  </w:rPr>
                  <w:t>月</w:t>
                </w:r>
                <w:r>
                  <w:rPr>
                    <w:rFonts w:hint="eastAsia" w:ascii="宋体" w:hAnsi="宋体"/>
                    <w:sz w:val="20"/>
                    <w:szCs w:val="20"/>
                  </w:rPr>
                  <w:t>30</w:t>
                </w:r>
                <w:r>
                  <w:rPr>
                    <w:rFonts w:ascii="宋体" w:hAnsi="宋体"/>
                    <w:sz w:val="20"/>
                    <w:szCs w:val="20"/>
                  </w:rPr>
                  <w:t>日，</w:t>
                </w:r>
                <w:r>
                  <w:rPr>
                    <w:rFonts w:hint="eastAsia" w:ascii="宋体" w:hAnsi="宋体"/>
                    <w:bCs/>
                    <w:kern w:val="2"/>
                    <w:sz w:val="20"/>
                    <w:szCs w:val="20"/>
                    <w:lang w:bidi="ar"/>
                  </w:rPr>
                  <w:t>公司完成了员工持股计划的非交易过户登记工作。</w:t>
                </w:r>
                <w:r>
                  <w:rPr>
                    <w:rFonts w:hint="eastAsia" w:ascii="宋体" w:hAnsi="宋体"/>
                    <w:sz w:val="20"/>
                    <w:szCs w:val="20"/>
                  </w:rPr>
                  <w:t>确认</w:t>
                </w:r>
                <w:r>
                  <w:rPr>
                    <w:rFonts w:ascii="宋体" w:hAnsi="宋体"/>
                    <w:sz w:val="20"/>
                    <w:szCs w:val="20"/>
                  </w:rPr>
                  <w:t>公司回购专用</w:t>
                </w:r>
                <w:r>
                  <w:rPr>
                    <w:rFonts w:hint="eastAsia" w:ascii="宋体" w:hAnsi="宋体"/>
                    <w:sz w:val="20"/>
                    <w:szCs w:val="20"/>
                  </w:rPr>
                  <w:t>证券</w:t>
                </w:r>
                <w:r>
                  <w:rPr>
                    <w:rFonts w:ascii="宋体" w:hAnsi="宋体"/>
                    <w:sz w:val="20"/>
                    <w:szCs w:val="20"/>
                  </w:rPr>
                  <w:t>账户所持有的</w:t>
                </w:r>
                <w:r>
                  <w:rPr>
                    <w:rFonts w:hint="eastAsia" w:ascii="宋体" w:hAnsi="宋体"/>
                    <w:sz w:val="20"/>
                    <w:szCs w:val="20"/>
                  </w:rPr>
                  <w:t>929.00</w:t>
                </w:r>
                <w:r>
                  <w:rPr>
                    <w:rFonts w:ascii="宋体" w:hAnsi="宋体"/>
                    <w:sz w:val="20"/>
                    <w:szCs w:val="20"/>
                  </w:rPr>
                  <w:t>万股公司</w:t>
                </w:r>
                <w:r>
                  <w:rPr>
                    <w:rFonts w:hint="eastAsia" w:ascii="宋体" w:hAnsi="宋体"/>
                    <w:sz w:val="20"/>
                    <w:szCs w:val="20"/>
                  </w:rPr>
                  <w:t>标的</w:t>
                </w:r>
                <w:r>
                  <w:rPr>
                    <w:rFonts w:ascii="宋体" w:hAnsi="宋体"/>
                    <w:sz w:val="20"/>
                    <w:szCs w:val="20"/>
                  </w:rPr>
                  <w:t>股票已于202</w:t>
                </w:r>
                <w:r>
                  <w:rPr>
                    <w:rFonts w:hint="eastAsia" w:ascii="宋体" w:hAnsi="宋体"/>
                    <w:sz w:val="20"/>
                    <w:szCs w:val="20"/>
                  </w:rPr>
                  <w:t>5</w:t>
                </w:r>
                <w:r>
                  <w:rPr>
                    <w:rFonts w:ascii="宋体" w:hAnsi="宋体"/>
                    <w:sz w:val="20"/>
                    <w:szCs w:val="20"/>
                  </w:rPr>
                  <w:t>年</w:t>
                </w:r>
                <w:r>
                  <w:rPr>
                    <w:rFonts w:hint="eastAsia" w:ascii="宋体" w:hAnsi="宋体"/>
                    <w:sz w:val="20"/>
                    <w:szCs w:val="20"/>
                  </w:rPr>
                  <w:t>9</w:t>
                </w:r>
                <w:r>
                  <w:rPr>
                    <w:rFonts w:ascii="宋体" w:hAnsi="宋体"/>
                    <w:sz w:val="20"/>
                    <w:szCs w:val="20"/>
                  </w:rPr>
                  <w:t>月</w:t>
                </w:r>
                <w:r>
                  <w:rPr>
                    <w:rFonts w:hint="eastAsia" w:ascii="宋体" w:hAnsi="宋体"/>
                    <w:sz w:val="20"/>
                    <w:szCs w:val="20"/>
                  </w:rPr>
                  <w:t>30</w:t>
                </w:r>
                <w:r>
                  <w:rPr>
                    <w:rFonts w:ascii="宋体" w:hAnsi="宋体"/>
                    <w:sz w:val="20"/>
                    <w:szCs w:val="20"/>
                  </w:rPr>
                  <w:t>日非交易过户至</w:t>
                </w:r>
                <w:r>
                  <w:rPr>
                    <w:rFonts w:hint="eastAsia" w:ascii="宋体" w:hAnsi="宋体"/>
                    <w:sz w:val="20"/>
                    <w:szCs w:val="20"/>
                  </w:rPr>
                  <w:t>“通化东宝药业股份有限公司-2025年员工持股计划”</w:t>
                </w:r>
                <w:r>
                  <w:rPr>
                    <w:rFonts w:ascii="宋体" w:hAnsi="宋体"/>
                    <w:sz w:val="20"/>
                    <w:szCs w:val="20"/>
                  </w:rPr>
                  <w:t>，过户价格为</w:t>
                </w:r>
                <w:r>
                  <w:rPr>
                    <w:rFonts w:hint="eastAsia" w:ascii="宋体" w:hAnsi="宋体"/>
                    <w:sz w:val="20"/>
                    <w:szCs w:val="20"/>
                  </w:rPr>
                  <w:t>4.29</w:t>
                </w:r>
                <w:r>
                  <w:rPr>
                    <w:rFonts w:ascii="宋体" w:hAnsi="宋体"/>
                    <w:sz w:val="20"/>
                    <w:szCs w:val="20"/>
                  </w:rPr>
                  <w:t>元/股。</w:t>
                </w:r>
              </w:p>
            </w:tc>
            <w:tc>
              <w:tcPr>
                <w:tcW w:w="3586" w:type="dxa"/>
                <w:vAlign w:val="center"/>
              </w:tcPr>
              <w:p w14:paraId="16BC8399">
                <w:pPr>
                  <w:autoSpaceDE w:val="0"/>
                  <w:jc w:val="both"/>
                  <w:rPr>
                    <w:rFonts w:asciiTheme="minorEastAsia" w:hAnsiTheme="minorEastAsia" w:eastAsiaTheme="minorEastAsia"/>
                    <w:bCs/>
                    <w:kern w:val="44"/>
                    <w:sz w:val="20"/>
                    <w:szCs w:val="20"/>
                  </w:rPr>
                </w:pPr>
                <w:r>
                  <w:rPr>
                    <w:rFonts w:hint="eastAsia" w:asciiTheme="minorEastAsia" w:hAnsiTheme="minorEastAsia" w:eastAsiaTheme="minorEastAsia"/>
                    <w:bCs/>
                    <w:kern w:val="44"/>
                    <w:sz w:val="20"/>
                    <w:szCs w:val="20"/>
                  </w:rPr>
                  <w:t>内容详见公司于2025年10月10日在中国证券报、上海证券报及上海证券交易所网站（www.sse.com.cn）披露的《通化东宝关于2025年员工持股计划完成股票非交易过户的公告》。</w:t>
                </w:r>
              </w:p>
            </w:tc>
          </w:tr>
          <w:tr w14:paraId="2B4B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vAlign w:val="center"/>
              </w:tcPr>
              <w:p w14:paraId="4398EB01">
                <w:pPr>
                  <w:rPr>
                    <w:rFonts w:ascii="等线" w:hAnsi="等线" w:eastAsia="等线"/>
                    <w:sz w:val="20"/>
                    <w:szCs w:val="20"/>
                  </w:rPr>
                </w:pPr>
                <w:r>
                  <w:rPr>
                    <w:rFonts w:hint="eastAsia" w:cs="仿宋_GB2312" w:asciiTheme="minorEastAsia" w:hAnsiTheme="minorEastAsia" w:eastAsiaTheme="minorEastAsia"/>
                    <w:sz w:val="20"/>
                    <w:szCs w:val="20"/>
                  </w:rPr>
                  <w:t>为充分调动核心骨干员工的积极性，有效地将股东利益、公司利益和员工个人利益紧密结合在一起，提高员工凝聚力和公司竞争力，建立和完善利益共享机制，促进公司健康可持续发展。公司召开了第十一届董事会第二十次会议、2025年第四次临时股东会，审议通过了《关于&lt;通化东宝研发生产系统员工持股计划（草案）&gt;及其摘要的议案》、《关于&lt;通化东宝研发生产系统员工持股计划管理办法&gt;的议案》等相关议案。</w:t>
                </w:r>
              </w:p>
            </w:tc>
            <w:tc>
              <w:tcPr>
                <w:tcW w:w="3586" w:type="dxa"/>
                <w:vAlign w:val="center"/>
              </w:tcPr>
              <w:p w14:paraId="0BDA2BD2">
                <w:pPr>
                  <w:jc w:val="both"/>
                  <w:rPr>
                    <w:rFonts w:asciiTheme="minorEastAsia" w:hAnsiTheme="minorEastAsia" w:eastAsiaTheme="minorEastAsia"/>
                    <w:sz w:val="20"/>
                    <w:szCs w:val="20"/>
                  </w:rPr>
                </w:pPr>
                <w:r>
                  <w:rPr>
                    <w:rFonts w:hint="eastAsia" w:asciiTheme="minorEastAsia" w:hAnsiTheme="minorEastAsia" w:eastAsiaTheme="minorEastAsia"/>
                    <w:bCs/>
                    <w:kern w:val="44"/>
                    <w:sz w:val="20"/>
                    <w:szCs w:val="20"/>
                  </w:rPr>
                  <w:t>内容详见公司于</w:t>
                </w:r>
                <w:r>
                  <w:rPr>
                    <w:rFonts w:hint="eastAsia" w:cs="仿宋_GB2312" w:asciiTheme="minorEastAsia" w:hAnsiTheme="minorEastAsia" w:eastAsiaTheme="minorEastAsia"/>
                    <w:sz w:val="20"/>
                    <w:szCs w:val="20"/>
                  </w:rPr>
                  <w:t>2025年11月29日公司在上海证券交易所网站（www.sse.com.cn）披露的《通化东宝研发生产系统员工持股计划（草案）及其摘要》等文件；2025年12月16日在中国证券报、上海证券报及上海证券交易所网站（www.sse.com.cn）披露的《通化东宝2025年第四次临时股东会决议公告》。</w:t>
                </w:r>
              </w:p>
            </w:tc>
          </w:tr>
          <w:tr w14:paraId="5248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vAlign w:val="center"/>
              </w:tcPr>
              <w:p w14:paraId="19169952">
                <w:pPr>
                  <w:adjustRightInd w:val="0"/>
                  <w:snapToGrid w:val="0"/>
                  <w:rPr>
                    <w:rFonts w:ascii="宋体" w:hAnsi="宋体" w:cs="仿宋_GB2312"/>
                    <w:sz w:val="20"/>
                    <w:szCs w:val="20"/>
                  </w:rPr>
                </w:pPr>
                <w:r>
                  <w:rPr>
                    <w:rFonts w:hint="eastAsia" w:ascii="宋体" w:hAnsi="宋体" w:cs="仿宋_GB2312"/>
                    <w:sz w:val="20"/>
                    <w:szCs w:val="20"/>
                  </w:rPr>
                  <w:t>2025年12月26日，</w:t>
                </w:r>
                <w:r>
                  <w:rPr>
                    <w:rFonts w:hint="eastAsia" w:ascii="宋体" w:hAnsi="宋体"/>
                    <w:bCs/>
                    <w:kern w:val="2"/>
                    <w:sz w:val="20"/>
                    <w:szCs w:val="20"/>
                    <w:lang w:bidi="ar"/>
                  </w:rPr>
                  <w:t>公司完成了员工持股计划的非交易过户登记工作。</w:t>
                </w:r>
                <w:r>
                  <w:rPr>
                    <w:rFonts w:hint="eastAsia" w:ascii="宋体" w:hAnsi="宋体" w:cs="仿宋_GB2312"/>
                    <w:sz w:val="20"/>
                    <w:szCs w:val="20"/>
                  </w:rPr>
                  <w:t>确认公司回购专用证券账户所持有的637.00万股公司标的股票已于2025年12月26日非交易过户至“通化东宝药业股份有限公司-研发生产系统员工持股计划”，过户价格为4.39元/股。</w:t>
                </w:r>
              </w:p>
            </w:tc>
            <w:tc>
              <w:tcPr>
                <w:tcW w:w="3586" w:type="dxa"/>
                <w:vAlign w:val="center"/>
              </w:tcPr>
              <w:p w14:paraId="677090C0">
                <w:pPr>
                  <w:jc w:val="both"/>
                  <w:rPr>
                    <w:rFonts w:asciiTheme="minorEastAsia" w:hAnsiTheme="minorEastAsia" w:eastAsiaTheme="minorEastAsia"/>
                    <w:bCs/>
                    <w:kern w:val="44"/>
                    <w:sz w:val="20"/>
                    <w:szCs w:val="20"/>
                  </w:rPr>
                </w:pPr>
                <w:r>
                  <w:rPr>
                    <w:rFonts w:hint="eastAsia" w:asciiTheme="minorEastAsia" w:hAnsiTheme="minorEastAsia" w:eastAsiaTheme="minorEastAsia"/>
                    <w:bCs/>
                    <w:kern w:val="44"/>
                    <w:sz w:val="20"/>
                    <w:szCs w:val="20"/>
                  </w:rPr>
                  <w:t>内容详见公司于</w:t>
                </w:r>
                <w:r>
                  <w:rPr>
                    <w:rFonts w:asciiTheme="minorEastAsia" w:hAnsiTheme="minorEastAsia" w:eastAsiaTheme="minorEastAsia"/>
                    <w:bCs/>
                    <w:kern w:val="44"/>
                    <w:sz w:val="20"/>
                    <w:szCs w:val="20"/>
                  </w:rPr>
                  <w:t>2025年12月30日在中国证券报、上海证券报及上海证券交易所网站（www.sse.com.cn）披露的《通化东宝关于</w:t>
                </w:r>
                <w:r>
                  <w:rPr>
                    <w:rFonts w:hint="eastAsia" w:asciiTheme="minorEastAsia" w:hAnsiTheme="minorEastAsia" w:eastAsiaTheme="minorEastAsia"/>
                    <w:bCs/>
                    <w:kern w:val="44"/>
                    <w:sz w:val="20"/>
                    <w:szCs w:val="20"/>
                  </w:rPr>
                  <w:t>研发生产系统员工持股计划</w:t>
                </w:r>
                <w:r>
                  <w:rPr>
                    <w:rFonts w:asciiTheme="minorEastAsia" w:hAnsiTheme="minorEastAsia" w:eastAsiaTheme="minorEastAsia"/>
                    <w:bCs/>
                    <w:kern w:val="44"/>
                    <w:sz w:val="20"/>
                    <w:szCs w:val="20"/>
                  </w:rPr>
                  <w:t>完成股票非交易过户的公告》</w:t>
                </w:r>
                <w:r>
                  <w:rPr>
                    <w:rFonts w:hint="eastAsia" w:asciiTheme="minorEastAsia" w:hAnsiTheme="minorEastAsia" w:eastAsiaTheme="minorEastAsia"/>
                    <w:bCs/>
                    <w:kern w:val="44"/>
                    <w:sz w:val="20"/>
                    <w:szCs w:val="20"/>
                  </w:rPr>
                  <w:t>。</w:t>
                </w:r>
              </w:p>
            </w:tc>
          </w:tr>
        </w:tbl>
        <w:p w14:paraId="5961AC96">
          <w:pPr>
            <w:pStyle w:val="48"/>
          </w:pPr>
        </w:p>
      </w:sdtContent>
    </w:sdt>
    <w:p w14:paraId="7411C121">
      <w:pPr>
        <w:pStyle w:val="51"/>
        <w:numPr>
          <w:ilvl w:val="1"/>
          <w:numId w:val="25"/>
        </w:numPr>
        <w:rPr>
          <w:kern w:val="44"/>
          <w:szCs w:val="21"/>
        </w:rPr>
      </w:pPr>
      <w:r>
        <w:rPr>
          <w:rFonts w:hint="eastAsia"/>
          <w:kern w:val="44"/>
          <w:szCs w:val="21"/>
        </w:rPr>
        <w:t>临时公告未披露或有后续进展的激励情况</w:t>
      </w:r>
    </w:p>
    <w:p w14:paraId="1AC70C00">
      <w:pPr>
        <w:pStyle w:val="48"/>
      </w:pPr>
      <w:r>
        <w:rPr>
          <w:rFonts w:hint="eastAsia"/>
        </w:rPr>
        <w:t>股权激励情况</w:t>
      </w:r>
    </w:p>
    <w:p w14:paraId="1256F911">
      <w:pPr>
        <w:pStyle w:val="48"/>
      </w:pPr>
      <w:sdt>
        <w:sdtPr>
          <w:alias w:val="是否适用：股权激励情况[双击切换]"/>
          <w:tag w:val="_GBC_002ad948ce1449c2a805bfbb132b2202"/>
          <w:id w:val="-175274856"/>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14:paraId="6A93B3CD">
      <w:pPr>
        <w:pStyle w:val="48"/>
      </w:pPr>
    </w:p>
    <w:sdt>
      <w:sdtPr>
        <w:rPr>
          <w:rFonts w:hint="eastAsia"/>
        </w:rPr>
        <w:alias w:val="模块:其他说明  "/>
        <w:tag w:val="_SEC_12c50bf247d34661bdbc91376a5f0abc"/>
        <w:id w:val="87350471"/>
        <w:placeholder>
          <w:docPart w:val="GBC22222222222222222222222222222"/>
        </w:placeholder>
      </w:sdtPr>
      <w:sdtEndPr>
        <w:rPr>
          <w:rFonts w:hint="default"/>
        </w:rPr>
      </w:sdtEndPr>
      <w:sdtContent>
        <w:p w14:paraId="6DD02531">
          <w:pPr>
            <w:pStyle w:val="48"/>
          </w:pPr>
          <w:r>
            <w:rPr>
              <w:rFonts w:hint="eastAsia"/>
            </w:rPr>
            <w:t>其他说明：</w:t>
          </w:r>
        </w:p>
        <w:sdt>
          <w:sdtPr>
            <w:rPr>
              <w:rFonts w:hint="eastAsia"/>
            </w:rPr>
            <w:alias w:val="是否适用：股权激励情况的说明[双击切换]"/>
            <w:tag w:val="_GBC_67421581adf34d0f9f06e3042b8d7199"/>
            <w:id w:val="527527849"/>
            <w:placeholder>
              <w:docPart w:val="GBC22222222222222222222222222222"/>
            </w:placeholder>
          </w:sdtPr>
          <w:sdtEndPr>
            <w:rPr>
              <w:rFonts w:hint="eastAsia"/>
            </w:rPr>
          </w:sdtEndPr>
          <w:sdtContent>
            <w:p w14:paraId="56DEC041">
              <w:pPr>
                <w:pStyle w:val="48"/>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p w14:paraId="7969B0C8">
      <w:pPr>
        <w:pStyle w:val="48"/>
      </w:pPr>
    </w:p>
    <w:sdt>
      <w:sdtPr>
        <w:rPr>
          <w:rFonts w:hint="eastAsia"/>
          <w:bCs/>
        </w:rPr>
        <w:alias w:val="模块:员工持股计划情况"/>
        <w:tag w:val="_SEC_e76ced04f0774d5494f667355c3809ba"/>
        <w:id w:val="-324045849"/>
        <w:placeholder>
          <w:docPart w:val="GBC22222222222222222222222222222"/>
        </w:placeholder>
      </w:sdtPr>
      <w:sdtEndPr>
        <w:rPr>
          <w:rFonts w:hint="eastAsia"/>
          <w:bCs/>
        </w:rPr>
      </w:sdtEndPr>
      <w:sdtContent>
        <w:p w14:paraId="2C1A8427">
          <w:pPr>
            <w:rPr>
              <w:bCs/>
            </w:rPr>
          </w:pPr>
          <w:r>
            <w:rPr>
              <w:rFonts w:hint="eastAsia"/>
              <w:bCs/>
            </w:rPr>
            <w:t>员工持股计划情况</w:t>
          </w:r>
        </w:p>
        <w:sdt>
          <w:sdtPr>
            <w:rPr>
              <w:rFonts w:hint="eastAsia"/>
              <w:bCs/>
            </w:rPr>
            <w:alias w:val="是否适用：员工持股计划情况[双击切换]"/>
            <w:tag w:val="_GBC_58bc54aaaba24427a2a569de76f7f83e"/>
            <w:id w:val="862792775"/>
            <w:placeholder>
              <w:docPart w:val="GBC22222222222222222222222222222"/>
            </w:placeholder>
          </w:sdtPr>
          <w:sdtEndPr>
            <w:rPr>
              <w:rFonts w:hint="eastAsia"/>
              <w:bCs/>
            </w:rPr>
          </w:sdtEndPr>
          <w:sdtContent>
            <w:p w14:paraId="28375909">
              <w:pPr>
                <w:rPr>
                  <w:bCs/>
                </w:rPr>
              </w:pPr>
              <w:r>
                <w:rPr>
                  <w:bCs/>
                </w:rPr>
                <w:fldChar w:fldCharType="begin"/>
              </w:r>
              <w:r>
                <w:rPr>
                  <w:rFonts w:hint="eastAsia"/>
                  <w:bCs/>
                </w:rPr>
                <w:instrText xml:space="preserve"> MACROBUTTON  SnrToggleCheckbox □适用  </w:instrText>
              </w:r>
              <w:r>
                <w:rPr>
                  <w:bCs/>
                </w:rPr>
                <w:fldChar w:fldCharType="end"/>
              </w:r>
              <w:r>
                <w:rPr>
                  <w:bCs/>
                </w:rPr>
                <w:fldChar w:fldCharType="begin"/>
              </w:r>
              <w:r>
                <w:rPr>
                  <w:rFonts w:hint="eastAsia"/>
                  <w:bCs/>
                </w:rPr>
                <w:instrText xml:space="preserve"> MACROBUTTON  SnrToggleCheckbox √不适用 </w:instrText>
              </w:r>
              <w:r>
                <w:rPr>
                  <w:bCs/>
                </w:rPr>
                <w:fldChar w:fldCharType="end"/>
              </w:r>
            </w:p>
          </w:sdtContent>
        </w:sdt>
        <w:p w14:paraId="7289202B">
          <w:pPr>
            <w:ind w:firstLine="420" w:firstLineChars="200"/>
            <w:rPr>
              <w:bCs/>
            </w:rPr>
          </w:pPr>
        </w:p>
        <w:p w14:paraId="37C5B8C8">
          <w:pPr>
            <w:rPr>
              <w:bCs/>
            </w:rPr>
          </w:pPr>
        </w:p>
      </w:sdtContent>
    </w:sdt>
    <w:sdt>
      <w:sdtPr>
        <w:rPr>
          <w:rFonts w:hint="eastAsia" w:ascii="Calibri" w:hAnsi="Calibri"/>
          <w:bCs/>
          <w:kern w:val="2"/>
        </w:rPr>
        <w:alias w:val="模块:其他激励措施"/>
        <w:tag w:val="_SEC_614d59c9502f4f76b99b0f6a5227009b"/>
        <w:id w:val="-2033025629"/>
        <w:placeholder>
          <w:docPart w:val="GBC22222222222222222222222222222"/>
        </w:placeholder>
      </w:sdtPr>
      <w:sdtEndPr>
        <w:rPr>
          <w:rFonts w:hint="eastAsia" w:ascii="Calibri" w:hAnsi="Calibri"/>
          <w:bCs/>
          <w:kern w:val="2"/>
        </w:rPr>
      </w:sdtEndPr>
      <w:sdtContent>
        <w:p w14:paraId="221BA0AF">
          <w:pPr>
            <w:rPr>
              <w:bCs/>
            </w:rPr>
          </w:pPr>
          <w:r>
            <w:rPr>
              <w:rFonts w:hint="eastAsia"/>
              <w:bCs/>
            </w:rPr>
            <w:t>其他激励措施</w:t>
          </w:r>
        </w:p>
        <w:sdt>
          <w:sdtPr>
            <w:alias w:val="是否适用：其他激励措施[双击切换]"/>
            <w:tag w:val="_GBC_1273f753309d4658962c7982b10fa010"/>
            <w:id w:val="-877236164"/>
            <w:placeholder>
              <w:docPart w:val="GBC22222222222222222222222222222"/>
            </w:placeholder>
          </w:sdtPr>
          <w:sdtContent>
            <w:p w14:paraId="4F9F3F53">
              <w:pPr>
                <w:pStyle w:val="48"/>
                <w:rPr>
                  <w:bCs/>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p w14:paraId="13BB2455">
      <w:pPr>
        <w:rPr>
          <w:bCs/>
        </w:rPr>
      </w:pPr>
    </w:p>
    <w:sdt>
      <w:sdtPr>
        <w:rPr>
          <w:rFonts w:hint="eastAsia" w:ascii="宋体" w:hAnsi="宋体" w:cs="宋体"/>
          <w:b w:val="0"/>
          <w:bCs w:val="0"/>
          <w:kern w:val="0"/>
          <w:szCs w:val="21"/>
        </w:rPr>
        <w:alias w:val="模块:董事、高级管理人员报告期内被授予的股权激励情况"/>
        <w:tag w:val="_SEC_8787cb19f2c64d4e8ac89d031e52cc9e"/>
        <w:id w:val="-1658922002"/>
        <w:placeholder>
          <w:docPart w:val="GBC22222222222222222222222222222"/>
        </w:placeholder>
      </w:sdtPr>
      <w:sdtEndPr>
        <w:rPr>
          <w:rFonts w:hint="eastAsia" w:ascii="Calibri" w:hAnsi="Calibri" w:cs="Times New Roman"/>
          <w:b w:val="0"/>
          <w:bCs w:val="0"/>
          <w:kern w:val="2"/>
          <w:szCs w:val="21"/>
        </w:rPr>
      </w:sdtEndPr>
      <w:sdtContent>
        <w:p w14:paraId="48403119">
          <w:pPr>
            <w:pStyle w:val="51"/>
            <w:numPr>
              <w:ilvl w:val="1"/>
              <w:numId w:val="25"/>
            </w:numPr>
            <w:rPr>
              <w:kern w:val="44"/>
              <w:szCs w:val="21"/>
            </w:rPr>
          </w:pPr>
          <w:bookmarkStart w:id="118" w:name="_Toc342057945"/>
          <w:bookmarkStart w:id="119" w:name="_Toc342566005"/>
          <w:r>
            <w:rPr>
              <w:rFonts w:hint="eastAsia"/>
              <w:kern w:val="44"/>
              <w:szCs w:val="21"/>
            </w:rPr>
            <w:t>董事、高级管理人员报告期内被授予的股权激励情况</w:t>
          </w:r>
          <w:bookmarkEnd w:id="118"/>
          <w:bookmarkEnd w:id="119"/>
        </w:p>
        <w:p w14:paraId="595812A6">
          <w:pPr>
            <w:kinsoku w:val="0"/>
            <w:overflowPunct w:val="0"/>
            <w:autoSpaceDE w:val="0"/>
            <w:autoSpaceDN w:val="0"/>
            <w:adjustRightInd w:val="0"/>
            <w:snapToGrid w:val="0"/>
          </w:pPr>
          <w:sdt>
            <w:sdtPr>
              <w:rPr>
                <w:rFonts w:hint="eastAsia"/>
              </w:rPr>
              <w:alias w:val="是否适用：董事、监事、高级管理人员报告期内被授予的股权激励情况[双击切换]"/>
              <w:tag w:val="_GBC_c2d0a53ac8044ce0b5022c6f5ccdc0a9"/>
              <w:id w:val="855703995"/>
              <w:placeholder>
                <w:docPart w:val="GBC22222222222222222222222222222"/>
              </w:placeholder>
            </w:sdtPr>
            <w:sdtEndPr>
              <w:rPr>
                <w:rFonts w:hint="eastAsia"/>
              </w:rPr>
            </w:sdtEnd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sdtContent>
    </w:sdt>
    <w:p w14:paraId="1DF26B49">
      <w:pPr>
        <w:pStyle w:val="48"/>
        <w:sectPr>
          <w:pgSz w:w="11906" w:h="16838"/>
          <w:pgMar w:top="1525" w:right="1276" w:bottom="1440" w:left="1797" w:header="851" w:footer="992" w:gutter="0"/>
          <w:cols w:space="425" w:num="1"/>
          <w:docGrid w:linePitch="312" w:charSpace="0"/>
        </w:sectPr>
      </w:pPr>
      <w:bookmarkStart w:id="120" w:name="_Hlk56780992"/>
    </w:p>
    <w:p w14:paraId="5BBE22BB">
      <w:pPr>
        <w:pStyle w:val="48"/>
      </w:pPr>
    </w:p>
    <w:bookmarkEnd w:id="120"/>
    <w:sdt>
      <w:sdtPr>
        <w:rPr>
          <w:rFonts w:ascii="宋体" w:hAnsi="宋体" w:cs="宋体"/>
          <w:b w:val="0"/>
          <w:bCs w:val="0"/>
          <w:kern w:val="0"/>
          <w:szCs w:val="24"/>
        </w:rPr>
        <w:alias w:val="模块:报告期内对高级管理人员的考评机制，以及激励机制的建立、实施情况"/>
        <w:tag w:val="_SEC_e7128a1764624077b0f90f676a73dd15"/>
        <w:id w:val="-784959141"/>
        <w:placeholder>
          <w:docPart w:val="GBC22222222222222222222222222222"/>
        </w:placeholder>
      </w:sdtPr>
      <w:sdtEndPr>
        <w:rPr>
          <w:rFonts w:ascii="Calibri" w:hAnsi="Calibri" w:cs="Times New Roman"/>
          <w:b w:val="0"/>
          <w:bCs w:val="0"/>
          <w:kern w:val="2"/>
          <w:szCs w:val="21"/>
          <w:highlight w:val="yellow"/>
        </w:rPr>
      </w:sdtEndPr>
      <w:sdtContent>
        <w:p w14:paraId="3A062D44">
          <w:pPr>
            <w:pStyle w:val="51"/>
            <w:numPr>
              <w:ilvl w:val="1"/>
              <w:numId w:val="25"/>
            </w:numPr>
            <w:rPr>
              <w:kern w:val="44"/>
              <w:szCs w:val="21"/>
            </w:rPr>
          </w:pPr>
          <w:r>
            <w:rPr>
              <w:rFonts w:hint="eastAsia"/>
              <w:kern w:val="44"/>
              <w:szCs w:val="21"/>
            </w:rPr>
            <w:t>报告期内对高级管理人员的考评机制，以及激励机制的建立、实施情况</w:t>
          </w:r>
        </w:p>
        <w:sdt>
          <w:sdtPr>
            <w:rPr>
              <w:rFonts w:hint="eastAsia"/>
            </w:rPr>
            <w:alias w:val="是否适用：报告期内对高级管理人员的考评机制，以及激励机制的建立、实施情况[双击切换]"/>
            <w:tag w:val="_GBC_f7215667d17c45e88748740889bab9b8"/>
            <w:id w:val="-1641959326"/>
            <w:placeholder>
              <w:docPart w:val="GBC22222222222222222222222222222"/>
            </w:placeholder>
          </w:sdtPr>
          <w:sdtEndPr>
            <w:rPr>
              <w:rFonts w:hint="eastAsia"/>
            </w:rPr>
          </w:sdtEndPr>
          <w:sdtContent>
            <w:p w14:paraId="09D9D3AF">
              <w:pPr>
                <w:pStyle w:val="48"/>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公司对高级管理人员的考评及激励情况"/>
            <w:tag w:val="_GBC_ff8dc93589b2464ba735502bf6a2a8ca"/>
            <w:id w:val="-236315125"/>
          </w:sdtPr>
          <w:sdtEndPr>
            <w:rPr>
              <w:rFonts w:hint="eastAsia"/>
              <w:highlight w:val="yellow"/>
            </w:rPr>
          </w:sdtEndPr>
          <w:sdtContent>
            <w:sdt>
              <w:sdtPr>
                <w:rPr>
                  <w:rFonts w:hint="eastAsia"/>
                  <w:b/>
                  <w:sz w:val="18"/>
                </w:rPr>
                <w:alias w:val="内部控制自我评价报告"/>
                <w:tag w:val="_GBC_7ec2120247b647e18f5670c0a1211280"/>
                <w:id w:val="-1429350106"/>
              </w:sdtPr>
              <w:sdtEndPr>
                <w:rPr>
                  <w:rFonts w:hint="eastAsia"/>
                  <w:b w:val="0"/>
                  <w:sz w:val="21"/>
                  <w:highlight w:val="yellow"/>
                </w:rPr>
              </w:sdtEndPr>
              <w:sdtContent>
                <w:sdt>
                  <w:sdtPr>
                    <w:rPr>
                      <w:rFonts w:hint="eastAsia"/>
                    </w:rPr>
                    <w:alias w:val="内部控制自我评价报告"/>
                    <w:tag w:val="_GBC_7ec2120247b647e18f5670c0a1211280"/>
                    <w:id w:val="155197812"/>
                  </w:sdtPr>
                  <w:sdtEndPr>
                    <w:rPr>
                      <w:rFonts w:hint="eastAsia"/>
                      <w:highlight w:val="yellow"/>
                    </w:rPr>
                  </w:sdtEndPr>
                  <w:sdtContent>
                    <w:p w14:paraId="3DD3D749">
                      <w:pPr>
                        <w:spacing w:line="360" w:lineRule="auto"/>
                        <w:ind w:firstLine="420" w:firstLineChars="200"/>
                        <w:jc w:val="both"/>
                      </w:pPr>
                      <w:r>
                        <w:rPr>
                          <w:rFonts w:hint="eastAsia"/>
                        </w:rPr>
                        <w:t>董事会薪酬与考核委员会依据公司薪酬体系制定方案，经董事会审核确认。高级管理人员薪酬由基本薪酬和绩效薪酬组成。基本薪酬结合行业薪酬水平、岗位职责和履职情况确定，绩效薪酬根据董事会确定的经营目标及公司实际经营业绩核定。公司也可以根据经营情况和市场情况，对高级管理人员采取中长期激励措施，充分调动高级管理人员的积极性和稳定性。</w:t>
                      </w:r>
                    </w:p>
                  </w:sdtContent>
                </w:sdt>
              </w:sdtContent>
            </w:sdt>
          </w:sdtContent>
        </w:sdt>
      </w:sdtContent>
    </w:sdt>
    <w:p w14:paraId="04677883">
      <w:pPr>
        <w:pStyle w:val="48"/>
      </w:pPr>
    </w:p>
    <w:sdt>
      <w:sdtPr>
        <w:rPr>
          <w:rFonts w:hint="eastAsia" w:ascii="宋体" w:hAnsi="宋体" w:cs="宋体"/>
          <w:b w:val="0"/>
          <w:bCs w:val="0"/>
          <w:kern w:val="0"/>
          <w:szCs w:val="24"/>
        </w:rPr>
        <w:alias w:val="模块:报告期内的内部控制制度建设及实施情况"/>
        <w:tag w:val="_SEC_4f62c5a91f184e9083e54ebccf8fe563"/>
        <w:id w:val="1407418591"/>
        <w:placeholder>
          <w:docPart w:val="GBC22222222222222222222222222222"/>
        </w:placeholder>
      </w:sdtPr>
      <w:sdtEndPr>
        <w:rPr>
          <w:rFonts w:hint="default" w:ascii="Calibri" w:hAnsi="Calibri" w:cs="Times New Roman"/>
          <w:b w:val="0"/>
          <w:bCs w:val="0"/>
          <w:kern w:val="2"/>
          <w:szCs w:val="21"/>
        </w:rPr>
      </w:sdtEndPr>
      <w:sdtContent>
        <w:sdt>
          <w:sdtPr>
            <w:tag w:val="_PLD_6520f692713e4c77b5e46c2540ced29c"/>
            <w:id w:val="-493959525"/>
          </w:sdtPr>
          <w:sdtContent>
            <w:p w14:paraId="38E35A68">
              <w:pPr>
                <w:pStyle w:val="3"/>
                <w:numPr>
                  <w:ilvl w:val="0"/>
                  <w:numId w:val="20"/>
                </w:numPr>
              </w:pPr>
              <w:r>
                <w:rPr>
                  <w:rFonts w:hint="eastAsia"/>
                </w:rPr>
                <w:t>报告期内的内部控制制度建设及实施情况</w:t>
              </w:r>
            </w:p>
          </w:sdtContent>
        </w:sdt>
        <w:sdt>
          <w:sdtPr>
            <w:alias w:val="是否适用：报告期内的内部控制制度建设及实施情况[双击切换]"/>
            <w:tag w:val="_GBC_f76747fb26ee47cfb00fc8ad5592b038"/>
            <w:id w:val="-1943135063"/>
            <w:placeholder>
              <w:docPart w:val="GBC22222222222222222222222222222"/>
            </w:placeholder>
          </w:sdtPr>
          <w:sdtContent>
            <w:p w14:paraId="0BE0491F">
              <w:pPr>
                <w:pStyle w:val="48"/>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内部控制自我评价报告"/>
            <w:tag w:val="_GBC_7ec2120247b647e18f5670c0a1211280"/>
            <w:id w:val="-1283419181"/>
            <w:placeholder>
              <w:docPart w:val="GBC22222222222222222222222222222"/>
            </w:placeholder>
          </w:sdtPr>
          <w:sdtEndPr>
            <w:rPr>
              <w:rFonts w:hint="eastAsia"/>
            </w:rPr>
          </w:sdtEndPr>
          <w:sdtContent>
            <w:sdt>
              <w:sdtPr>
                <w:rPr>
                  <w:rFonts w:hint="eastAsia"/>
                </w:rPr>
                <w:alias w:val="报告期内对子公司的管理控制情况"/>
                <w:tag w:val="_GBC_c42acb3ad0ff45a1891fd8fa03ee78a2"/>
                <w:id w:val="-342706473"/>
              </w:sdtPr>
              <w:sdtEndPr>
                <w:rPr>
                  <w:rFonts w:hint="eastAsia"/>
                </w:rPr>
              </w:sdtEndPr>
              <w:sdtContent>
                <w:p w14:paraId="35692F61">
                  <w:pPr>
                    <w:spacing w:line="360" w:lineRule="auto"/>
                    <w:ind w:firstLine="420" w:firstLineChars="200"/>
                  </w:pPr>
                  <w:sdt>
                    <w:sdtPr>
                      <w:rPr>
                        <w:rFonts w:hint="eastAsia"/>
                      </w:rPr>
                      <w:alias w:val="内部控制自我评价报告"/>
                      <w:tag w:val="_GBC_7ec2120247b647e18f5670c0a1211280"/>
                      <w:id w:val="-583449574"/>
                    </w:sdtPr>
                    <w:sdtEndPr>
                      <w:rPr>
                        <w:rFonts w:hint="eastAsia"/>
                      </w:rPr>
                    </w:sdtEndPr>
                    <w:sdtContent>
                      <w:r>
                        <w:rPr>
                          <w:rFonts w:hint="eastAsia"/>
                        </w:rPr>
                        <w:t>内容详见公司于</w:t>
                      </w:r>
                      <w:r>
                        <w:t>2026年4月20日在上海证券交易所网站</w:t>
                      </w:r>
                      <w:r>
                        <w:rPr>
                          <w:rFonts w:hint="eastAsia"/>
                        </w:rPr>
                        <w:t>（www.sse.com.cn）</w:t>
                      </w:r>
                      <w:r>
                        <w:t>披露的《通化东宝2025年度内部控制评价报告》。</w:t>
                      </w:r>
                    </w:sdtContent>
                  </w:sdt>
                </w:p>
              </w:sdtContent>
            </w:sdt>
          </w:sdtContent>
        </w:sdt>
      </w:sdtContent>
    </w:sdt>
    <w:sdt>
      <w:sdtPr>
        <w:rPr>
          <w:rFonts w:hint="eastAsia" w:ascii="Calibri" w:hAnsi="Calibri"/>
          <w:kern w:val="2"/>
        </w:rPr>
        <w:alias w:val="模块:报告期内部控制存在重大缺陷情况的说明"/>
        <w:tag w:val="_SEC_2ee2e77432cb43f3b2547fcae2c176b7"/>
        <w:id w:val="113340637"/>
        <w:placeholder>
          <w:docPart w:val="GBC22222222222222222222222222222"/>
        </w:placeholder>
      </w:sdtPr>
      <w:sdtEndPr>
        <w:rPr>
          <w:rFonts w:hint="default" w:ascii="Calibri" w:hAnsi="Calibri"/>
          <w:kern w:val="2"/>
        </w:rPr>
      </w:sdtEndPr>
      <w:sdtContent>
        <w:p w14:paraId="5BF51978">
          <w:pPr>
            <w:tabs>
              <w:tab w:val="left" w:pos="2760"/>
            </w:tabs>
          </w:pPr>
          <w:r>
            <w:rPr>
              <w:rFonts w:hint="eastAsia"/>
            </w:rPr>
            <w:t>报告期内部控制存在重大缺陷情况的说明</w:t>
          </w:r>
        </w:p>
        <w:sdt>
          <w:sdtPr>
            <w:alias w:val="是否适用：报告期内部控制存在重大缺陷情况的说明[双击切换]"/>
            <w:tag w:val="_GBC_cad036bd9fe3409f906985f824010f6a"/>
            <w:id w:val="1275141053"/>
            <w:placeholder>
              <w:docPart w:val="GBC22222222222222222222222222222"/>
            </w:placeholder>
          </w:sdtPr>
          <w:sdtContent>
            <w:p w14:paraId="3F14B709">
              <w:pPr>
                <w:pStyle w:val="48"/>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sdt>
      <w:sdtPr>
        <w:rPr>
          <w:rFonts w:hint="eastAsia" w:ascii="宋体" w:hAnsi="宋体" w:cs="宋体"/>
          <w:b w:val="0"/>
          <w:bCs w:val="0"/>
          <w:kern w:val="0"/>
          <w:szCs w:val="24"/>
        </w:rPr>
        <w:alias w:val="模块:报告期内对子公司的管理控制情况"/>
        <w:tag w:val="_SEC_01b27291a2ca4176b79ce579d14bbcee"/>
        <w:id w:val="-1753041828"/>
        <w:placeholder>
          <w:docPart w:val="GBC22222222222222222222222222222"/>
        </w:placeholder>
      </w:sdtPr>
      <w:sdtEndPr>
        <w:rPr>
          <w:rFonts w:hint="eastAsia" w:ascii="Calibri" w:hAnsi="Calibri" w:cs="Times New Roman"/>
          <w:b w:val="0"/>
          <w:bCs w:val="0"/>
          <w:kern w:val="2"/>
          <w:szCs w:val="21"/>
        </w:rPr>
      </w:sdtEndPr>
      <w:sdtContent>
        <w:p w14:paraId="163882F0">
          <w:pPr>
            <w:pStyle w:val="3"/>
            <w:numPr>
              <w:ilvl w:val="0"/>
              <w:numId w:val="20"/>
            </w:numPr>
          </w:pPr>
          <w:r>
            <w:rPr>
              <w:rFonts w:hint="eastAsia"/>
            </w:rPr>
            <w:t>报告期内对子公司的管理控制情况</w:t>
          </w:r>
        </w:p>
        <w:sdt>
          <w:sdtPr>
            <w:rPr>
              <w:rFonts w:hint="eastAsia"/>
            </w:rPr>
            <w:alias w:val="是否适用：报告期内对子公司的管理控制情况[双击切换]"/>
            <w:tag w:val="_GBC_3c41db66329f4aabb0fd91423cfeac3f"/>
            <w:id w:val="375670120"/>
            <w:placeholder>
              <w:docPart w:val="GBC22222222222222222222222222222"/>
            </w:placeholder>
          </w:sdtPr>
          <w:sdtEndPr>
            <w:rPr>
              <w:rFonts w:hint="eastAsia"/>
            </w:rPr>
          </w:sdtEndPr>
          <w:sdtContent>
            <w:p w14:paraId="6BEA6538">
              <w:pPr>
                <w:pStyle w:val="48"/>
              </w:pPr>
              <w:r>
                <w:fldChar w:fldCharType="begin"/>
              </w:r>
              <w:r>
                <w:instrText xml:space="preserve"> </w:instrText>
              </w:r>
              <w:r>
                <w:rPr>
                  <w:rFonts w:hint="eastAsia"/>
                </w:rPr>
                <w:instrText xml:space="preserve">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对子公司的管理控制情况"/>
            <w:tag w:val="_GBC_c42acb3ad0ff45a1891fd8fa03ee78a2"/>
            <w:id w:val="264737154"/>
            <w:placeholder>
              <w:docPart w:val="GBC22222222222222222222222222222"/>
            </w:placeholder>
          </w:sdtPr>
          <w:sdtEndPr>
            <w:rPr>
              <w:rFonts w:hint="eastAsia"/>
            </w:rPr>
          </w:sdtEndPr>
          <w:sdtContent>
            <w:p w14:paraId="237AA2D4">
              <w:pPr>
                <w:spacing w:line="360" w:lineRule="auto"/>
                <w:ind w:firstLine="420" w:firstLineChars="200"/>
              </w:pPr>
              <w:sdt>
                <w:sdtPr>
                  <w:rPr>
                    <w:rFonts w:hint="eastAsia"/>
                  </w:rPr>
                  <w:alias w:val="报告期内对子公司的管理控制情况"/>
                  <w:tag w:val="_GBC_c42acb3ad0ff45a1891fd8fa03ee78a2"/>
                  <w:id w:val="-319195002"/>
                </w:sdtPr>
                <w:sdtEndPr>
                  <w:rPr>
                    <w:rFonts w:hint="eastAsia"/>
                  </w:rPr>
                </w:sdtEndPr>
                <w:sdtContent>
                  <w:r>
                    <w:rPr>
                      <w:rFonts w:hint="eastAsia"/>
                    </w:rPr>
                    <w:t>公司根据《公司法》</w:t>
                  </w:r>
                  <w:r>
                    <w:t xml:space="preserve"> 《公司章程》等相关法律法规与规章制度的规定，对子公司实施管理控制，按照相关法律法规，指导子公司健全法人治理结构，完善现代企业制度，明确规定子公司规范运作、财务管理、经营决策管理、重大事项及信息披露、审计监督等各项制度。</w:t>
                  </w:r>
                </w:sdtContent>
              </w:sdt>
            </w:p>
          </w:sdtContent>
        </w:sdt>
      </w:sdtContent>
    </w:sdt>
    <w:sdt>
      <w:sdtPr>
        <w:rPr>
          <w:rFonts w:hint="eastAsia" w:ascii="Calibri" w:hAnsi="Calibri"/>
          <w:kern w:val="2"/>
        </w:rPr>
        <w:alias w:val="模块:对子公司的管理控制存在异常的风险提示"/>
        <w:tag w:val="_SEC_141611c61c0c433ea63e7b274f47380c"/>
        <w:id w:val="758029286"/>
        <w:placeholder>
          <w:docPart w:val="GBC22222222222222222222222222222"/>
        </w:placeholder>
      </w:sdtPr>
      <w:sdtEndPr>
        <w:rPr>
          <w:rFonts w:hint="eastAsia" w:ascii="Calibri" w:hAnsi="Calibri"/>
          <w:kern w:val="2"/>
        </w:rPr>
      </w:sdtEndPr>
      <w:sdtContent>
        <w:p w14:paraId="4DFC52D4">
          <w:pPr>
            <w:tabs>
              <w:tab w:val="left" w:pos="2760"/>
            </w:tabs>
          </w:pPr>
          <w:bookmarkStart w:id="121" w:name="_Hlk190432193"/>
          <w:r>
            <w:rPr>
              <w:rFonts w:hint="eastAsia"/>
            </w:rPr>
            <w:t>对子公司的管理控制存在异常的风险提示</w:t>
          </w:r>
        </w:p>
        <w:sdt>
          <w:sdtPr>
            <w:rPr>
              <w:rFonts w:hint="eastAsia"/>
            </w:rPr>
            <w:alias w:val="是否适用：对子公司的管理控制存在异常的风险提示[双击切换]"/>
            <w:tag w:val="_GBC_edc1e7805eef4d0d8cc96ae5ea6f3fa6"/>
            <w:id w:val="-2107030854"/>
            <w:placeholder>
              <w:docPart w:val="GBC22222222222222222222222222222"/>
            </w:placeholder>
          </w:sdtPr>
          <w:sdtEndPr>
            <w:rPr>
              <w:rFonts w:hint="eastAsia"/>
            </w:rPr>
          </w:sdtEndPr>
          <w:sdtContent>
            <w:p w14:paraId="0A7AE30D">
              <w:pPr>
                <w:pStyle w:val="48"/>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74362E01">
          <w:pPr>
            <w:pStyle w:val="48"/>
          </w:pPr>
        </w:p>
      </w:sdtContent>
    </w:sdt>
    <w:bookmarkEnd w:id="121"/>
    <w:sdt>
      <w:sdtPr>
        <w:rPr>
          <w:rFonts w:hint="eastAsia" w:ascii="宋体" w:hAnsi="宋体" w:cs="宋体"/>
          <w:b w:val="0"/>
          <w:bCs w:val="0"/>
          <w:kern w:val="0"/>
          <w:szCs w:val="24"/>
        </w:rPr>
        <w:alias w:val="模块:内部控制审计报告的相关情况说明"/>
        <w:tag w:val="_SEC_2d6e7b1f7b054f2fbca2d55832fe79ef"/>
        <w:id w:val="-1042275360"/>
        <w:lock w:val="sdtLocked"/>
        <w:placeholder>
          <w:docPart w:val="GBC22222222222222222222222222222"/>
        </w:placeholder>
      </w:sdtPr>
      <w:sdtEndPr>
        <w:rPr>
          <w:rFonts w:hint="eastAsia" w:ascii="Calibri" w:hAnsi="Calibri" w:cs="Times New Roman"/>
          <w:b w:val="0"/>
          <w:bCs w:val="0"/>
          <w:kern w:val="2"/>
          <w:szCs w:val="21"/>
        </w:rPr>
      </w:sdtEndPr>
      <w:sdtContent>
        <w:p w14:paraId="0973D068">
          <w:pPr>
            <w:pStyle w:val="3"/>
            <w:numPr>
              <w:ilvl w:val="0"/>
              <w:numId w:val="20"/>
            </w:numPr>
          </w:pPr>
          <w:r>
            <w:rPr>
              <w:rFonts w:hint="eastAsia"/>
            </w:rPr>
            <w:t>内部控制审计报告的相关情况说明</w:t>
          </w:r>
        </w:p>
        <w:sdt>
          <w:sdtPr>
            <w:rPr>
              <w:rFonts w:hint="eastAsia"/>
            </w:rPr>
            <w:alias w:val="是否适用：内部控制审计报告的相关情况说明[双击切换]"/>
            <w:tag w:val="_GBC_f9211f94ca4347ababf36cfb6829169a"/>
            <w:id w:val="428929798"/>
            <w:placeholder>
              <w:docPart w:val="GBC22222222222222222222222222222"/>
            </w:placeholder>
          </w:sdtPr>
          <w:sdtEndPr>
            <w:rPr>
              <w:rFonts w:hint="eastAsia"/>
            </w:rPr>
          </w:sdtEndPr>
          <w:sdtContent>
            <w:p w14:paraId="2996E9CC">
              <w:pPr>
                <w:pStyle w:val="48"/>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与公司自我评价意见不一致情况"/>
            <w:tag w:val="_GBC_1abfe1ce3c2044e1a311865463691e52"/>
            <w:id w:val="335116682"/>
            <w:placeholder>
              <w:docPart w:val="GBC22222222222222222222222222222"/>
            </w:placeholder>
          </w:sdtPr>
          <w:sdtEndPr>
            <w:rPr>
              <w:rFonts w:hint="eastAsia"/>
            </w:rPr>
          </w:sdtEndPr>
          <w:sdtContent>
            <w:sdt>
              <w:sdtPr>
                <w:alias w:val="审计报告与公司自我评价意见不一致情况"/>
                <w:tag w:val="_GBC_1abfe1ce3c2044e1a311865463691e52"/>
                <w:id w:val="-1999871554"/>
              </w:sdtPr>
              <w:sdtContent>
                <w:p w14:paraId="36DC9107">
                  <w:pPr>
                    <w:spacing w:line="360" w:lineRule="auto"/>
                    <w:ind w:firstLine="420" w:firstLineChars="200"/>
                    <w:jc w:val="both"/>
                  </w:pPr>
                  <w:r>
                    <w:rPr>
                      <w:rFonts w:hint="eastAsia" w:ascii="宋体" w:hAnsi="宋体"/>
                    </w:rPr>
                    <w:t>报告期内，公司聘请大信会计师事务所（特殊普通合伙）对公司</w:t>
                  </w:r>
                  <w:r>
                    <w:rPr>
                      <w:rFonts w:ascii="宋体" w:hAnsi="宋体"/>
                    </w:rPr>
                    <w:t>2025</w:t>
                  </w:r>
                  <w:r>
                    <w:rPr>
                      <w:rFonts w:hint="eastAsia" w:ascii="宋体" w:hAnsi="宋体"/>
                    </w:rPr>
                    <w:t>年</w:t>
                  </w:r>
                  <w:r>
                    <w:rPr>
                      <w:rFonts w:ascii="宋体" w:hAnsi="宋体"/>
                    </w:rPr>
                    <w:t>12</w:t>
                  </w:r>
                  <w:r>
                    <w:rPr>
                      <w:rFonts w:hint="eastAsia" w:ascii="宋体" w:hAnsi="宋体"/>
                    </w:rPr>
                    <w:t>月</w:t>
                  </w:r>
                  <w:r>
                    <w:rPr>
                      <w:rFonts w:ascii="宋体" w:hAnsi="宋体"/>
                    </w:rPr>
                    <w:t>31</w:t>
                  </w:r>
                  <w:r>
                    <w:rPr>
                      <w:rFonts w:hint="eastAsia" w:ascii="宋体" w:hAnsi="宋体"/>
                    </w:rPr>
                    <w:t>日的财务报告内部控制的有效性进行审计并出具了《内部控制审计报告》（大信审字[2026]第7-00008号），认为：通化东宝按照《企业内部控制基本规范》和相关规定在所有重大方面保持了有效的财务报告内部控制。内容详见公司于</w:t>
                  </w:r>
                  <w:r>
                    <w:rPr>
                      <w:rFonts w:ascii="宋体" w:hAnsi="宋体"/>
                    </w:rPr>
                    <w:t>2026</w:t>
                  </w:r>
                  <w:r>
                    <w:rPr>
                      <w:rFonts w:hint="eastAsia" w:ascii="宋体" w:hAnsi="宋体"/>
                    </w:rPr>
                    <w:t>年</w:t>
                  </w:r>
                  <w:r>
                    <w:rPr>
                      <w:rFonts w:ascii="宋体" w:hAnsi="宋体"/>
                    </w:rPr>
                    <w:t>4</w:t>
                  </w:r>
                  <w:r>
                    <w:rPr>
                      <w:rFonts w:hint="eastAsia" w:ascii="宋体" w:hAnsi="宋体"/>
                    </w:rPr>
                    <w:t>月</w:t>
                  </w:r>
                  <w:r>
                    <w:rPr>
                      <w:rFonts w:ascii="宋体" w:hAnsi="宋体"/>
                    </w:rPr>
                    <w:t>20</w:t>
                  </w:r>
                  <w:r>
                    <w:rPr>
                      <w:rFonts w:hint="eastAsia" w:ascii="宋体" w:hAnsi="宋体"/>
                    </w:rPr>
                    <w:t>日在上海证券交易所网站（www.sse.com.cn）披露的《通化东宝</w:t>
                  </w:r>
                  <w:r>
                    <w:rPr>
                      <w:rFonts w:ascii="宋体" w:hAnsi="宋体"/>
                    </w:rPr>
                    <w:t>2025</w:t>
                  </w:r>
                  <w:r>
                    <w:rPr>
                      <w:rFonts w:hint="eastAsia" w:ascii="宋体" w:hAnsi="宋体"/>
                    </w:rPr>
                    <w:t>年度内部控制评价报告》。</w:t>
                  </w:r>
                </w:p>
              </w:sdtContent>
            </w:sdt>
          </w:sdtContent>
        </w:sdt>
        <w:p w14:paraId="11400129">
          <w:pPr>
            <w:pStyle w:val="48"/>
          </w:pPr>
          <w:r>
            <w:t>是否披露内部控制审计报告：</w:t>
          </w:r>
          <w:sdt>
            <w:sdtPr>
              <w:alias w:val="审计机构是否对公司内部控制出具核实评价意见"/>
              <w:tag w:val="_GBC_c9f332f7c06944ebbd339ca86944d1e2"/>
              <w:id w:val="-290983562"/>
              <w:placeholder>
                <w:docPart w:val="GBC22222222222222222222222222222"/>
              </w:placeholder>
              <w:comboBox>
                <w:listItem w:displayText="是" w:value="true"/>
                <w:listItem w:displayText="否" w:value="false"/>
              </w:comboBox>
            </w:sdtPr>
            <w:sdtContent>
              <w:r>
                <w:t>是</w:t>
              </w:r>
            </w:sdtContent>
          </w:sdt>
        </w:p>
        <w:p w14:paraId="0BC04EC5">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1724667975"/>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EndPr>
              <w:rPr>
                <w:rFonts w:hint="eastAsia"/>
                <w:lang w:val="zh-CN"/>
              </w:rPr>
            </w:sdtEndPr>
            <w:sdtContent>
              <w:r>
                <w:rPr>
                  <w:rFonts w:hint="eastAsia"/>
                  <w:lang w:val="zh-CN"/>
                </w:rPr>
                <w:t>标准的无保留意见</w:t>
              </w:r>
            </w:sdtContent>
          </w:sdt>
        </w:p>
      </w:sdtContent>
    </w:sdt>
    <w:sdt>
      <w:sdtPr>
        <w:rPr>
          <w:rFonts w:hint="eastAsia"/>
        </w:rPr>
        <w:alias w:val="模块:报告期或上年度是否被出具内部控制非标准审计意见"/>
        <w:tag w:val="_SEC_051231e6bee24f6e996e7d05f60defc5"/>
        <w:id w:val="137853327"/>
        <w:placeholder>
          <w:docPart w:val="GBC22222222222222222222222222222"/>
        </w:placeholder>
      </w:sdtPr>
      <w:sdtEndPr>
        <w:rPr>
          <w:rFonts w:hint="eastAsia"/>
        </w:rPr>
      </w:sdtEndPr>
      <w:sdtContent>
        <w:p w14:paraId="45D66767">
          <w:pPr>
            <w:pStyle w:val="48"/>
          </w:pPr>
          <w:bookmarkStart w:id="122" w:name="_Hlk219122302"/>
          <w:r>
            <w:rPr>
              <w:rFonts w:hint="eastAsia"/>
            </w:rPr>
            <w:t>报告期或上年度是否被出具内部控制非标准审计意见</w:t>
          </w:r>
        </w:p>
        <w:p w14:paraId="74CCA444">
          <w:pPr>
            <w:pStyle w:val="48"/>
          </w:pPr>
          <w:sdt>
            <w:sdtPr>
              <w:rPr>
                <w:rFonts w:hint="eastAsia"/>
              </w:rPr>
              <w:alias w:val="报告期或上年度是否被出具内部控制非标准审计意见[双击切换]"/>
              <w:tag w:val="_GBC_36a55dc92df44223953ae0ab74b84a2c"/>
              <w:id w:val="-1840457073"/>
              <w:placeholder>
                <w:docPart w:val="GBC22222222222222222222222222222"/>
              </w:placeholder>
            </w:sdtPr>
            <w:sdtEndPr>
              <w:rPr>
                <w:rFonts w:hint="eastAsia"/>
              </w:rPr>
            </w:sdtEndPr>
            <w:sdtContent>
              <w:r>
                <w:fldChar w:fldCharType="begin"/>
              </w:r>
              <w:r>
                <w:rPr>
                  <w:rFonts w:hint="eastAsia"/>
                </w:rPr>
                <w:instrText xml:space="preserve"> MACROBUTTON  SnrToggleCheckbox □是 </w:instrText>
              </w:r>
              <w:r>
                <w:fldChar w:fldCharType="end"/>
              </w:r>
              <w:r>
                <w:fldChar w:fldCharType="begin"/>
              </w:r>
              <w:r>
                <w:rPr>
                  <w:rFonts w:hint="eastAsia"/>
                </w:rPr>
                <w:instrText xml:space="preserve"> MACROBUTTON  SnrToggleCheckbox √否 </w:instrText>
              </w:r>
              <w:r>
                <w:fldChar w:fldCharType="end"/>
              </w:r>
            </w:sdtContent>
          </w:sdt>
        </w:p>
        <w:p w14:paraId="433AA7E8">
          <w:pPr>
            <w:pStyle w:val="48"/>
          </w:pPr>
        </w:p>
      </w:sdtContent>
    </w:sdt>
    <w:bookmarkEnd w:id="122"/>
    <w:p w14:paraId="24B6AA11">
      <w:pPr>
        <w:pStyle w:val="48"/>
      </w:pPr>
    </w:p>
    <w:sdt>
      <w:sdtPr>
        <w:rPr>
          <w:rFonts w:ascii="宋体" w:hAnsi="宋体" w:cs="宋体"/>
          <w:b w:val="0"/>
          <w:bCs w:val="0"/>
          <w:kern w:val="0"/>
          <w:szCs w:val="24"/>
        </w:rPr>
        <w:alias w:val="模块:上市公司治理专项行动自查问题整改情况"/>
        <w:tag w:val="_SEC_f84d29ebbfd8434d8d55e144204ae2b0"/>
        <w:id w:val="-1130468255"/>
        <w:placeholder>
          <w:docPart w:val="GBC22222222222222222222222222222"/>
        </w:placeholder>
      </w:sdtPr>
      <w:sdtEndPr>
        <w:rPr>
          <w:rFonts w:ascii="Calibri" w:hAnsi="Calibri" w:cs="Times New Roman"/>
          <w:b w:val="0"/>
          <w:bCs w:val="0"/>
          <w:kern w:val="2"/>
          <w:szCs w:val="21"/>
        </w:rPr>
      </w:sdtEndPr>
      <w:sdtContent>
        <w:p w14:paraId="54CBC723">
          <w:pPr>
            <w:pStyle w:val="3"/>
            <w:numPr>
              <w:ilvl w:val="0"/>
              <w:numId w:val="20"/>
            </w:numPr>
          </w:pPr>
          <w:bookmarkStart w:id="123" w:name="_Hlk40625199"/>
          <w:bookmarkStart w:id="124" w:name="_Hlk40625163"/>
          <w:r>
            <w:rPr>
              <w:rFonts w:ascii="宋体" w:hAnsi="宋体" w:cs="宋体"/>
              <w:kern w:val="0"/>
              <w:szCs w:val="24"/>
            </w:rPr>
            <w:t>上市公司治理专项行动自查问题整改情况</w:t>
          </w:r>
        </w:p>
        <w:sdt>
          <w:sdtPr>
            <w:alias w:val="上市公司治理专项行动自查问题整改情况"/>
            <w:tag w:val="_GBC_05eb1501ffbf4b83acf20965ad06a2e0"/>
            <w:id w:val="-814877411"/>
            <w:placeholder>
              <w:docPart w:val="GBC22222222222222222222222222222"/>
            </w:placeholder>
          </w:sdtPr>
          <w:sdtContent>
            <w:p w14:paraId="5BC2F3AF">
              <w:pPr>
                <w:pStyle w:val="48"/>
              </w:pPr>
              <w:r>
                <w:rPr>
                  <w:rFonts w:hint="eastAsia"/>
                </w:rPr>
                <w:t>无</w:t>
              </w:r>
            </w:p>
          </w:sdtContent>
        </w:sdt>
        <w:p w14:paraId="2FE39C81">
          <w:pPr>
            <w:pStyle w:val="48"/>
          </w:pPr>
        </w:p>
      </w:sdtContent>
    </w:sdt>
    <w:bookmarkEnd w:id="123"/>
    <w:bookmarkEnd w:id="124"/>
    <w:sdt>
      <w:sdtPr>
        <w:rPr>
          <w:rFonts w:ascii="宋体" w:hAnsi="宋体" w:cs="宋体"/>
          <w:b w:val="0"/>
          <w:bCs w:val="0"/>
          <w:kern w:val="0"/>
          <w:szCs w:val="24"/>
        </w:rPr>
        <w:alias w:val="模块:监事会发现公司存在风险的说明（标题）"/>
        <w:tag w:val="_SEC_4dbac71000bd4ea4b0d0f802befda046"/>
        <w:id w:val="1084722031"/>
        <w:placeholder>
          <w:docPart w:val="GBC22222222222222222222222222222"/>
        </w:placeholder>
      </w:sdtPr>
      <w:sdtEndPr>
        <w:rPr>
          <w:rFonts w:ascii="Calibri" w:hAnsi="Calibri" w:cs="Times New Roman"/>
          <w:b w:val="0"/>
          <w:bCs w:val="0"/>
          <w:kern w:val="2"/>
          <w:szCs w:val="21"/>
        </w:rPr>
      </w:sdtEndPr>
      <w:sdtContent>
        <w:p w14:paraId="635AC674">
          <w:pPr>
            <w:pStyle w:val="3"/>
            <w:numPr>
              <w:ilvl w:val="0"/>
              <w:numId w:val="20"/>
            </w:numPr>
          </w:pPr>
          <w:sdt>
            <w:sdtPr>
              <w:tag w:val="_PLD_08578e06fdb54f5b8a01e86947c21e71"/>
              <w:id w:val="823170523"/>
            </w:sdtPr>
            <w:sdtEndPr>
              <w:rPr>
                <w:rFonts w:hint="eastAsia"/>
              </w:rPr>
            </w:sdtEndPr>
            <w:sdtContent>
              <w:r>
                <w:rPr>
                  <w:rFonts w:hint="eastAsia"/>
                </w:rPr>
                <w:t>审计委员会</w:t>
              </w:r>
            </w:sdtContent>
          </w:sdt>
          <w:r>
            <w:t>发现公司存在风险的说明</w:t>
          </w:r>
        </w:p>
        <w:sdt>
          <w:sdtPr>
            <w:alias w:val="是否适用：监事会发现公司存在风险的说明[双击切换]"/>
            <w:tag w:val="_GBC_987bc6e795084351a58e9d0bca47f246"/>
            <w:id w:val="1222868327"/>
            <w:placeholder>
              <w:docPart w:val="GBC22222222222222222222222222222"/>
            </w:placeholder>
          </w:sdtPr>
          <w:sdtContent>
            <w:p w14:paraId="35E76CC4">
              <w:pPr>
                <w:pStyle w:val="48"/>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p w14:paraId="231D6D7E">
      <w:pPr>
        <w:pStyle w:val="3"/>
        <w:numPr>
          <w:ilvl w:val="0"/>
          <w:numId w:val="20"/>
        </w:numPr>
      </w:pPr>
      <w:bookmarkStart w:id="125" w:name="_Hlk200011887"/>
      <w:bookmarkStart w:id="126" w:name="_Hlk217315508"/>
      <w:bookmarkStart w:id="127" w:name="_Hlk89187025"/>
      <w:bookmarkStart w:id="128" w:name="_Hlk89187063"/>
      <w:r>
        <w:rPr>
          <w:rFonts w:ascii="宋体" w:hAnsi="宋体" w:cs="宋体"/>
          <w:kern w:val="0"/>
          <w:szCs w:val="24"/>
        </w:rPr>
        <w:t>纳入环境信息依法披露企业名单的上市公司及其</w:t>
      </w:r>
      <w:r>
        <w:rPr>
          <w:rFonts w:hint="eastAsia" w:ascii="宋体" w:hAnsi="宋体" w:cs="宋体"/>
          <w:kern w:val="0"/>
          <w:szCs w:val="24"/>
        </w:rPr>
        <w:t>主要</w:t>
      </w:r>
      <w:r>
        <w:rPr>
          <w:rFonts w:ascii="宋体" w:hAnsi="宋体" w:cs="宋体"/>
          <w:kern w:val="0"/>
          <w:szCs w:val="24"/>
        </w:rPr>
        <w:t>子公司的环</w:t>
      </w:r>
      <w:r>
        <w:rPr>
          <w:rFonts w:hint="eastAsia" w:ascii="宋体" w:hAnsi="宋体" w:cs="宋体"/>
          <w:kern w:val="0"/>
          <w:szCs w:val="24"/>
        </w:rPr>
        <w:t>境</w:t>
      </w:r>
      <w:r>
        <w:rPr>
          <w:rFonts w:ascii="宋体" w:hAnsi="宋体" w:cs="宋体"/>
          <w:kern w:val="0"/>
          <w:szCs w:val="24"/>
        </w:rPr>
        <w:t>信息情况</w:t>
      </w:r>
    </w:p>
    <w:sdt>
      <w:sdtPr>
        <w:rPr>
          <w:rFonts w:hint="eastAsia"/>
          <w:color w:val="000000"/>
        </w:rPr>
        <w:alias w:val="是否适用：纳入环境信息依法披露企业名单的上市公司及其主要子公司的环境信息情况[双击切换]"/>
        <w:tag w:val="_GBC_6553e3da66c54f77a89d044d325fe993"/>
        <w:id w:val="-1932349867"/>
        <w:placeholder>
          <w:docPart w:val="GBC22222222222222222222222222222"/>
        </w:placeholder>
      </w:sdtPr>
      <w:sdtEndPr>
        <w:rPr>
          <w:rFonts w:hint="eastAsia"/>
          <w:color w:val="000000"/>
        </w:rPr>
      </w:sdtEndPr>
      <w:sdtContent>
        <w:p w14:paraId="58E568EE">
          <w:pPr>
            <w:rPr>
              <w:color w:val="000000"/>
            </w:rPr>
          </w:pPr>
          <w:r>
            <w:rPr>
              <w:rFonts w:hint="eastAsia" w:ascii="宋体" w:hAnsi="宋体"/>
              <w:color w:val="000000"/>
            </w:rPr>
            <w:fldChar w:fldCharType="begin"/>
          </w:r>
          <w:r>
            <w:rPr>
              <w:rFonts w:hint="eastAsia" w:ascii="宋体" w:hAnsi="宋体"/>
              <w:color w:val="000000"/>
            </w:rPr>
            <w:instrText xml:space="preserve"> MACROBUTTON  SnrToggleCheckbox √适用 </w:instrText>
          </w:r>
          <w:r>
            <w:rPr>
              <w:rFonts w:hint="eastAsia" w:ascii="宋体" w:hAnsi="宋体"/>
              <w:color w:val="000000"/>
            </w:rPr>
            <w:fldChar w:fldCharType="end"/>
          </w:r>
          <w:r>
            <w:rPr>
              <w:rFonts w:hint="eastAsia" w:ascii="宋体" w:hAnsi="宋体"/>
              <w:color w:val="000000"/>
            </w:rPr>
            <w:fldChar w:fldCharType="begin"/>
          </w:r>
          <w:r>
            <w:rPr>
              <w:rFonts w:hint="eastAsia" w:ascii="宋体" w:hAnsi="宋体"/>
              <w:color w:val="000000"/>
            </w:rPr>
            <w:instrText xml:space="preserve"> MACROBUTTON  SnrToggleCheckbox □不适用 </w:instrText>
          </w:r>
          <w:r>
            <w:rPr>
              <w:rFonts w:hint="eastAsia" w:ascii="宋体" w:hAnsi="宋体"/>
              <w:color w:val="000000"/>
            </w:rPr>
            <w:fldChar w:fldCharType="end"/>
          </w:r>
        </w:p>
      </w:sdtContent>
    </w:sdt>
    <w:p w14:paraId="71468BE7">
      <w:pPr>
        <w:pStyle w:val="48"/>
      </w:pPr>
    </w:p>
    <w:tbl>
      <w:tblPr>
        <w:tblStyle w:val="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4217"/>
        <w:gridCol w:w="3674"/>
      </w:tblGrid>
      <w:tr w14:paraId="15AF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sdt>
          <w:sdtPr>
            <w:tag w:val="_PLD_e65592890892416c8d7c50ff79b106ab"/>
            <w:id w:val="1156496945"/>
          </w:sdtPr>
          <w:sdtEndPr>
            <w:rPr>
              <w:rFonts w:hint="eastAsia" w:ascii="Calibri" w:hAnsi="Calibri"/>
              <w:sz w:val="20"/>
              <w:szCs w:val="20"/>
            </w:rPr>
          </w:sdtEndPr>
          <w:sdtContent>
            <w:tc>
              <w:tcPr>
                <w:tcW w:w="2970" w:type="pct"/>
                <w:gridSpan w:val="2"/>
                <w:vAlign w:val="center"/>
              </w:tcPr>
              <w:p w14:paraId="032702E6">
                <w:pPr>
                  <w:rPr>
                    <w:rFonts w:ascii="Calibri" w:hAnsi="Calibri"/>
                    <w:color w:val="000000"/>
                    <w:sz w:val="20"/>
                    <w:szCs w:val="20"/>
                  </w:rPr>
                </w:pPr>
                <w:r>
                  <w:rPr>
                    <w:rFonts w:ascii="Calibri" w:hAnsi="Calibri"/>
                    <w:color w:val="000000"/>
                    <w:sz w:val="20"/>
                    <w:szCs w:val="20"/>
                  </w:rPr>
                  <w:t>纳入环境信息依法披露企业名单中的企业数量</w:t>
                </w:r>
                <w:r>
                  <w:rPr>
                    <w:rFonts w:hint="eastAsia" w:ascii="Calibri" w:hAnsi="Calibri"/>
                    <w:color w:val="000000"/>
                    <w:sz w:val="20"/>
                    <w:szCs w:val="20"/>
                  </w:rPr>
                  <w:t>（个）</w:t>
                </w:r>
              </w:p>
            </w:tc>
          </w:sdtContent>
        </w:sdt>
        <w:sdt>
          <w:sdtPr>
            <w:rPr>
              <w:rFonts w:hint="eastAsia" w:ascii="Calibri" w:hAnsi="Calibri"/>
              <w:color w:val="000000"/>
              <w:sz w:val="20"/>
              <w:szCs w:val="20"/>
            </w:rPr>
            <w:alias w:val="纳入环境信息依法披露企业名单中的企业数量"/>
            <w:tag w:val="_GBC_7baa182ec31f4a64ab363ea9eeb644b7"/>
            <w:id w:val="-1101643451"/>
          </w:sdtPr>
          <w:sdtEndPr>
            <w:rPr>
              <w:rFonts w:hint="eastAsia" w:ascii="Calibri" w:hAnsi="Calibri"/>
              <w:color w:val="000000"/>
              <w:sz w:val="20"/>
              <w:szCs w:val="20"/>
            </w:rPr>
          </w:sdtEndPr>
          <w:sdtContent>
            <w:tc>
              <w:tcPr>
                <w:tcW w:w="2030" w:type="pct"/>
                <w:vAlign w:val="center"/>
              </w:tcPr>
              <w:p w14:paraId="35E7E062">
                <w:pPr>
                  <w:jc w:val="right"/>
                  <w:rPr>
                    <w:rFonts w:ascii="Calibri" w:hAnsi="Calibri"/>
                    <w:color w:val="000000"/>
                    <w:sz w:val="20"/>
                    <w:szCs w:val="20"/>
                  </w:rPr>
                </w:pPr>
                <w:r>
                  <w:rPr>
                    <w:rFonts w:ascii="Calibri" w:hAnsi="Calibri"/>
                    <w:color w:val="000000"/>
                    <w:sz w:val="20"/>
                    <w:szCs w:val="20"/>
                  </w:rPr>
                  <w:t>1</w:t>
                </w:r>
              </w:p>
            </w:tc>
          </w:sdtContent>
        </w:sdt>
      </w:tr>
      <w:tr w14:paraId="0E03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sdt>
          <w:sdtPr>
            <w:tag w:val="_PLD_aa5264c7cdd741a288e8817aeed291ec"/>
            <w:id w:val="1326707638"/>
          </w:sdtPr>
          <w:sdtContent>
            <w:tc>
              <w:tcPr>
                <w:tcW w:w="640" w:type="pct"/>
              </w:tcPr>
              <w:p w14:paraId="71255A98">
                <w:pPr>
                  <w:jc w:val="center"/>
                  <w:rPr>
                    <w:rFonts w:ascii="Calibri" w:hAnsi="Calibri"/>
                    <w:color w:val="000000"/>
                    <w:sz w:val="20"/>
                    <w:szCs w:val="20"/>
                  </w:rPr>
                </w:pPr>
                <w:r>
                  <w:rPr>
                    <w:rFonts w:hint="eastAsia" w:ascii="Calibri" w:hAnsi="Calibri"/>
                    <w:color w:val="000000"/>
                    <w:sz w:val="20"/>
                    <w:szCs w:val="20"/>
                  </w:rPr>
                  <w:t>序号</w:t>
                </w:r>
              </w:p>
            </w:tc>
          </w:sdtContent>
        </w:sdt>
        <w:sdt>
          <w:sdtPr>
            <w:tag w:val="_PLD_ea61f68d8edd490bba2d24075e39baf4"/>
            <w:id w:val="-353341821"/>
          </w:sdtPr>
          <w:sdtContent>
            <w:tc>
              <w:tcPr>
                <w:tcW w:w="2330" w:type="pct"/>
                <w:vAlign w:val="center"/>
              </w:tcPr>
              <w:p w14:paraId="67927AD9">
                <w:pPr>
                  <w:jc w:val="center"/>
                  <w:rPr>
                    <w:rFonts w:ascii="Calibri" w:hAnsi="Calibri"/>
                    <w:color w:val="000000"/>
                    <w:sz w:val="20"/>
                    <w:szCs w:val="20"/>
                  </w:rPr>
                </w:pPr>
                <w:r>
                  <w:rPr>
                    <w:rFonts w:hint="eastAsia" w:ascii="Calibri" w:hAnsi="Calibri"/>
                    <w:color w:val="000000"/>
                    <w:sz w:val="20"/>
                    <w:szCs w:val="20"/>
                  </w:rPr>
                  <w:t>企业名称</w:t>
                </w:r>
              </w:p>
            </w:tc>
          </w:sdtContent>
        </w:sdt>
        <w:sdt>
          <w:sdtPr>
            <w:tag w:val="_PLD_ea32e24ff0034b8f8356ec47b456df6a"/>
            <w:id w:val="-1279633383"/>
          </w:sdtPr>
          <w:sdtContent>
            <w:tc>
              <w:tcPr>
                <w:tcW w:w="2030" w:type="pct"/>
                <w:vAlign w:val="center"/>
              </w:tcPr>
              <w:p w14:paraId="686AC21C">
                <w:pPr>
                  <w:jc w:val="center"/>
                  <w:rPr>
                    <w:rFonts w:ascii="Calibri" w:hAnsi="Calibri"/>
                    <w:iCs/>
                    <w:color w:val="000000"/>
                    <w:sz w:val="20"/>
                    <w:szCs w:val="20"/>
                  </w:rPr>
                </w:pPr>
                <w:r>
                  <w:rPr>
                    <w:rFonts w:hint="eastAsia" w:ascii="Calibri" w:hAnsi="Calibri"/>
                    <w:iCs/>
                    <w:color w:val="000000"/>
                    <w:sz w:val="20"/>
                    <w:szCs w:val="20"/>
                  </w:rPr>
                  <w:t>环境信息依法披露报告的查询索引</w:t>
                </w:r>
              </w:p>
            </w:tc>
          </w:sdtContent>
        </w:sdt>
      </w:tr>
      <w:tr w14:paraId="0763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0" w:type="pct"/>
            <w:vAlign w:val="center"/>
          </w:tcPr>
          <w:p w14:paraId="58F68029">
            <w:pPr>
              <w:pStyle w:val="48"/>
              <w:rPr>
                <w:sz w:val="20"/>
                <w:szCs w:val="20"/>
              </w:rPr>
            </w:pPr>
            <w:r>
              <w:rPr>
                <w:rFonts w:hint="eastAsia"/>
                <w:sz w:val="20"/>
                <w:szCs w:val="20"/>
              </w:rPr>
              <w:t>1</w:t>
            </w:r>
          </w:p>
        </w:tc>
        <w:tc>
          <w:tcPr>
            <w:tcW w:w="2330" w:type="pct"/>
            <w:vAlign w:val="center"/>
          </w:tcPr>
          <w:p w14:paraId="7C0D174E">
            <w:pPr>
              <w:pStyle w:val="48"/>
              <w:rPr>
                <w:sz w:val="20"/>
                <w:szCs w:val="20"/>
              </w:rPr>
            </w:pPr>
            <w:r>
              <w:rPr>
                <w:rFonts w:hint="eastAsia"/>
                <w:sz w:val="20"/>
                <w:szCs w:val="20"/>
              </w:rPr>
              <w:t>通化东宝药业股份有限公司</w:t>
            </w:r>
          </w:p>
        </w:tc>
        <w:tc>
          <w:tcPr>
            <w:tcW w:w="2030" w:type="pct"/>
            <w:vAlign w:val="center"/>
          </w:tcPr>
          <w:p w14:paraId="3EE4F15B">
            <w:pPr>
              <w:pStyle w:val="48"/>
              <w:rPr>
                <w:sz w:val="20"/>
                <w:szCs w:val="20"/>
              </w:rPr>
            </w:pPr>
            <w:r>
              <w:rPr>
                <w:rFonts w:hint="eastAsia"/>
                <w:sz w:val="20"/>
                <w:szCs w:val="20"/>
              </w:rPr>
              <w:t>企业环境信息依法披露系统（吉林）</w:t>
            </w:r>
          </w:p>
          <w:p w14:paraId="0E027110">
            <w:pPr>
              <w:pStyle w:val="48"/>
              <w:rPr>
                <w:sz w:val="20"/>
                <w:szCs w:val="20"/>
              </w:rPr>
            </w:pPr>
            <w:r>
              <w:rPr>
                <w:sz w:val="20"/>
                <w:szCs w:val="20"/>
              </w:rPr>
              <w:t>http://36.135.7.198:9015/index</w:t>
            </w:r>
          </w:p>
        </w:tc>
      </w:tr>
    </w:tbl>
    <w:p w14:paraId="602B2706">
      <w:pPr>
        <w:pStyle w:val="48"/>
      </w:pPr>
    </w:p>
    <w:p w14:paraId="13B93077">
      <w:pPr>
        <w:rPr>
          <w:color w:val="000000"/>
        </w:rPr>
      </w:pPr>
      <w:r>
        <w:rPr>
          <w:rFonts w:hint="eastAsia"/>
          <w:color w:val="000000"/>
        </w:rPr>
        <w:t>其他说明</w:t>
      </w:r>
    </w:p>
    <w:sdt>
      <w:sdtPr>
        <w:rPr>
          <w:rFonts w:hint="eastAsia"/>
          <w:color w:val="000000"/>
        </w:rPr>
        <w:alias w:val="是否适用：纳入环境信息依法披露企业名单的上市公司及其主要子公司的环境信息情况其他说明[双击切换]"/>
        <w:tag w:val="_GBC_abd5627e0eb0427eb278825f1b086dc3"/>
        <w:id w:val="-71902370"/>
        <w:placeholder>
          <w:docPart w:val="GBC22222222222222222222222222222"/>
        </w:placeholder>
      </w:sdtPr>
      <w:sdtEndPr>
        <w:rPr>
          <w:rFonts w:hint="eastAsia"/>
          <w:color w:val="000000"/>
        </w:rPr>
      </w:sdtEndPr>
      <w:sdtContent>
        <w:p w14:paraId="56EE5355">
          <w:pPr>
            <w:rPr>
              <w:color w:val="000000"/>
            </w:rPr>
          </w:pPr>
          <w:r>
            <w:rPr>
              <w:rFonts w:hint="eastAsia" w:ascii="宋体" w:hAnsi="宋体"/>
              <w:color w:val="000000"/>
            </w:rPr>
            <w:fldChar w:fldCharType="begin"/>
          </w:r>
          <w:r>
            <w:rPr>
              <w:rFonts w:ascii="宋体" w:hAnsi="宋体"/>
              <w:color w:val="000000"/>
            </w:rPr>
            <w:instrText xml:space="preserve"> MACROBUTTON  SnrToggleCheckbox □适用 </w:instrText>
          </w:r>
          <w:r>
            <w:rPr>
              <w:rFonts w:hint="eastAsia" w:ascii="宋体" w:hAnsi="宋体"/>
              <w:color w:val="000000"/>
            </w:rPr>
            <w:fldChar w:fldCharType="end"/>
          </w:r>
          <w:r>
            <w:rPr>
              <w:rFonts w:hint="eastAsia" w:ascii="宋体" w:hAnsi="宋体"/>
              <w:color w:val="000000"/>
            </w:rPr>
            <w:fldChar w:fldCharType="begin"/>
          </w:r>
          <w:r>
            <w:rPr>
              <w:rFonts w:ascii="宋体" w:hAnsi="宋体"/>
              <w:color w:val="000000"/>
            </w:rPr>
            <w:instrText xml:space="preserve"> MACROBUTTON  SnrToggleCheckbox √不适用 </w:instrText>
          </w:r>
          <w:r>
            <w:rPr>
              <w:rFonts w:hint="eastAsia" w:ascii="宋体" w:hAnsi="宋体"/>
              <w:color w:val="000000"/>
            </w:rPr>
            <w:fldChar w:fldCharType="end"/>
          </w:r>
        </w:p>
      </w:sdtContent>
    </w:sdt>
    <w:p w14:paraId="3680A945">
      <w:pPr>
        <w:rPr>
          <w:color w:val="000000" w:themeColor="text1"/>
          <w14:textFill>
            <w14:solidFill>
              <w14:schemeClr w14:val="tx1"/>
            </w14:solidFill>
          </w14:textFill>
        </w:rPr>
      </w:pPr>
    </w:p>
    <w:bookmarkEnd w:id="125"/>
    <w:bookmarkEnd w:id="126"/>
    <w:p w14:paraId="0207856E">
      <w:pPr>
        <w:pStyle w:val="3"/>
        <w:numPr>
          <w:ilvl w:val="0"/>
          <w:numId w:val="20"/>
        </w:numPr>
      </w:pPr>
      <w:r>
        <w:rPr>
          <w:rFonts w:ascii="宋体" w:hAnsi="宋体" w:cs="宋体"/>
          <w:kern w:val="0"/>
          <w:szCs w:val="24"/>
        </w:rPr>
        <w:t>社会责任工作情况</w:t>
      </w:r>
    </w:p>
    <w:p w14:paraId="5082E8A3">
      <w:pPr>
        <w:pStyle w:val="4"/>
        <w:numPr>
          <w:ilvl w:val="0"/>
          <w:numId w:val="26"/>
        </w:numPr>
        <w:rPr>
          <w:rFonts w:ascii="宋体" w:hAnsi="宋体"/>
        </w:rPr>
      </w:pPr>
      <w:r>
        <w:rPr>
          <w:rFonts w:hint="eastAsia" w:ascii="宋体" w:hAnsi="宋体"/>
        </w:rPr>
        <w:t>是否单独披露社会责任报告、可持续发展报告或ESG报告</w:t>
      </w:r>
    </w:p>
    <w:sdt>
      <w:sdtPr>
        <w:alias w:val="是否适用：是否单独披露社会责任报告、可持续发展报告或ESG报告[双击切换]"/>
        <w:tag w:val="_GBC_9e7dd53d4e6f44ea9f272442eb9babac"/>
        <w:id w:val="402107606"/>
        <w:placeholder>
          <w:docPart w:val="GBC22222222222222222222222222222"/>
        </w:placeholder>
      </w:sdtPr>
      <w:sdtContent>
        <w:p w14:paraId="62C13EB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是否单独披露社会责任报告、可持续发展报告或ESG报告"/>
        <w:tag w:val="_GBC_e26ad08dba0e483a908a6ff4e6e74e3f"/>
        <w:id w:val="259802171"/>
        <w:placeholder>
          <w:docPart w:val="GBC22222222222222222222222222222"/>
        </w:placeholder>
      </w:sdtPr>
      <w:sdtContent>
        <w:sdt>
          <w:sdtPr>
            <w:rPr>
              <w:kern w:val="2"/>
            </w:rPr>
            <w:alias w:val="是否单独披露社会责任报告、可持续发展报告或ESG报告"/>
            <w:tag w:val="_GBC_e26ad08dba0e483a908a6ff4e6e74e3f"/>
            <w:id w:val="-364989738"/>
          </w:sdtPr>
          <w:sdtEndPr>
            <w:rPr>
              <w:kern w:val="2"/>
            </w:rPr>
          </w:sdtEndPr>
          <w:sdtContent>
            <w:p w14:paraId="15BAC83C">
              <w:pPr>
                <w:spacing w:line="360" w:lineRule="auto"/>
                <w:ind w:firstLine="420" w:firstLineChars="200"/>
                <w:rPr>
                  <w:rFonts w:ascii="宋体" w:hAnsi="宋体" w:cs="宋体"/>
                  <w:kern w:val="2"/>
                  <w:szCs w:val="24"/>
                </w:rPr>
              </w:pPr>
              <w:r>
                <w:rPr>
                  <w:rFonts w:hint="eastAsia"/>
                  <w:kern w:val="2"/>
                </w:rPr>
                <w:t>本公司《202</w:t>
              </w:r>
              <w:r>
                <w:rPr>
                  <w:kern w:val="2"/>
                </w:rPr>
                <w:t>5</w:t>
              </w:r>
              <w:r>
                <w:rPr>
                  <w:rFonts w:hint="eastAsia"/>
                  <w:kern w:val="2"/>
                </w:rPr>
                <w:t>年度可持续发展报告》详见上海证券交易所网站（www.sse.com.cn）。</w:t>
              </w:r>
            </w:p>
          </w:sdtContent>
        </w:sdt>
      </w:sdtContent>
    </w:sdt>
    <w:p w14:paraId="485D8EB3">
      <w:pPr>
        <w:pStyle w:val="4"/>
        <w:numPr>
          <w:ilvl w:val="0"/>
          <w:numId w:val="26"/>
        </w:numPr>
        <w:rPr>
          <w:rFonts w:ascii="宋体" w:hAnsi="宋体"/>
        </w:rPr>
      </w:pPr>
      <w:r>
        <w:rPr>
          <w:rFonts w:hint="eastAsia" w:ascii="宋体" w:hAnsi="宋体"/>
        </w:rPr>
        <w:t>社会责任工作具体情况</w:t>
      </w:r>
    </w:p>
    <w:sdt>
      <w:sdtPr>
        <w:alias w:val="是否适用：社会责任工作具体情况[双击切换]"/>
        <w:tag w:val="_GBC_2bbbff88e2744d6dbb21a0a502bf51cf"/>
        <w:id w:val="-662156393"/>
        <w:placeholder>
          <w:docPart w:val="GBC22222222222222222222222222222"/>
        </w:placeholder>
      </w:sdtPr>
      <w:sdtContent>
        <w:p w14:paraId="243408E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3E2194F">
      <w:pPr>
        <w:pStyle w:val="48"/>
      </w:pPr>
    </w:p>
    <w:p w14:paraId="4DD2F09D">
      <w:pPr>
        <w:pStyle w:val="48"/>
      </w:pPr>
      <w:r>
        <w:rPr>
          <w:rFonts w:hint="eastAsia"/>
        </w:rPr>
        <w:t>具体说明</w:t>
      </w:r>
    </w:p>
    <w:sdt>
      <w:sdtPr>
        <w:rPr>
          <w:rFonts w:hint="eastAsia"/>
        </w:rPr>
        <w:alias w:val="是否适用：社会责任工作情况[双击切换]"/>
        <w:tag w:val="_GBC_193e5fab56724eddabaa8d0d74a4b129"/>
        <w:id w:val="746855846"/>
        <w:placeholder>
          <w:docPart w:val="GBC22222222222222222222222222222"/>
        </w:placeholder>
      </w:sdtPr>
      <w:sdtEndPr>
        <w:rPr>
          <w:rFonts w:hint="eastAsia"/>
        </w:rPr>
      </w:sdtEndPr>
      <w:sdtContent>
        <w:p w14:paraId="106FB2B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94C8008">
      <w:pPr>
        <w:pStyle w:val="48"/>
      </w:pPr>
    </w:p>
    <w:p w14:paraId="72919039">
      <w:pPr>
        <w:pStyle w:val="3"/>
        <w:numPr>
          <w:ilvl w:val="0"/>
          <w:numId w:val="20"/>
        </w:numPr>
      </w:pPr>
      <w:r>
        <w:rPr>
          <w:rFonts w:hint="eastAsia" w:ascii="宋体" w:hAnsi="宋体" w:cs="宋体"/>
          <w:kern w:val="0"/>
          <w:szCs w:val="24"/>
        </w:rPr>
        <w:t>巩固拓展脱贫攻坚成果、乡村振兴等工作具体情况</w:t>
      </w:r>
    </w:p>
    <w:sdt>
      <w:sdtPr>
        <w:alias w:val="是否适用：巩固拓展脱贫攻坚成果、乡村振兴工作具体情况[双击切换]"/>
        <w:tag w:val="_GBC_94f5c59c87964f1f83743f3f44109e91"/>
        <w:id w:val="-976213152"/>
        <w:placeholder>
          <w:docPart w:val="GBC22222222222222222222222222222"/>
        </w:placeholder>
      </w:sdtPr>
      <w:sdtContent>
        <w:p w14:paraId="090854E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3EDBED">
      <w:pPr>
        <w:pStyle w:val="48"/>
      </w:pPr>
    </w:p>
    <w:p w14:paraId="62C3173B">
      <w:pPr>
        <w:pStyle w:val="48"/>
      </w:pPr>
      <w:r>
        <w:t>具体说明</w:t>
      </w:r>
    </w:p>
    <w:sdt>
      <w:sdtPr>
        <w:alias w:val="是否适用：巩固拓展脱贫攻坚成果、乡村振兴等工作具体情况其他说明[双击切换]"/>
        <w:tag w:val="_GBC_da0a87234d174e509f00e24b4a8320dc"/>
        <w:id w:val="1060361878"/>
        <w:placeholder>
          <w:docPart w:val="GBC22222222222222222222222222222"/>
        </w:placeholder>
      </w:sdtPr>
      <w:sdtContent>
        <w:p w14:paraId="4F0D550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B2954BC">
      <w:pPr>
        <w:pStyle w:val="48"/>
      </w:pPr>
    </w:p>
    <w:p w14:paraId="5C067EFA">
      <w:pPr>
        <w:pStyle w:val="3"/>
        <w:numPr>
          <w:ilvl w:val="0"/>
          <w:numId w:val="20"/>
        </w:numPr>
      </w:pPr>
      <w:r>
        <w:t>其他</w:t>
      </w:r>
    </w:p>
    <w:sdt>
      <w:sdtPr>
        <w:rPr>
          <w:rFonts w:hint="eastAsia"/>
        </w:rPr>
        <w:alias w:val="是否适用：其他公司治理情况说明[双击切换]"/>
        <w:tag w:val="_GBC_dc91085943bb4d4ab22a79a9ba7014df"/>
        <w:id w:val="-1321348815"/>
        <w:placeholder>
          <w:docPart w:val="GBC22222222222222222222222222222"/>
        </w:placeholder>
      </w:sdtPr>
      <w:sdtEndPr>
        <w:rPr>
          <w:rFonts w:hint="eastAsia"/>
        </w:rPr>
      </w:sdtEndPr>
      <w:sdtContent>
        <w:p w14:paraId="455CB6D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FD7315F">
      <w:pPr>
        <w:pStyle w:val="48"/>
      </w:pPr>
    </w:p>
    <w:p w14:paraId="360791A7">
      <w:pPr>
        <w:sectPr>
          <w:pgSz w:w="11906" w:h="16838"/>
          <w:pgMar w:top="1525" w:right="1276" w:bottom="1440" w:left="1797" w:header="851" w:footer="992" w:gutter="0"/>
          <w:cols w:space="425" w:num="1"/>
          <w:docGrid w:linePitch="312" w:charSpace="0"/>
        </w:sectPr>
      </w:pPr>
    </w:p>
    <w:bookmarkEnd w:id="127"/>
    <w:p w14:paraId="6F6885DD">
      <w:pPr>
        <w:pStyle w:val="48"/>
      </w:pPr>
    </w:p>
    <w:sdt>
      <w:sdtPr>
        <w:tag w:val="_PLD_68425cdd1596424d9c247a797a338a5b"/>
        <w:id w:val="-1181659412"/>
      </w:sdtPr>
      <w:sdtContent>
        <w:p w14:paraId="08495973">
          <w:pPr>
            <w:pStyle w:val="3"/>
            <w:numPr>
              <w:ilvl w:val="0"/>
              <w:numId w:val="20"/>
            </w:numPr>
          </w:pPr>
          <w:r>
            <w:t>董事和高级管理人员的情况</w:t>
          </w:r>
        </w:p>
      </w:sdtContent>
    </w:sdt>
    <w:p w14:paraId="6CB3039E">
      <w:pPr>
        <w:pStyle w:val="51"/>
        <w:numPr>
          <w:ilvl w:val="0"/>
          <w:numId w:val="27"/>
        </w:numPr>
        <w:ind w:left="0" w:firstLine="0"/>
      </w:pPr>
      <w:r>
        <w:rPr>
          <w:rFonts w:hint="eastAsia"/>
        </w:rPr>
        <w:t xml:space="preserve"> </w:t>
      </w:r>
      <w:r>
        <w:t>现任及报告期内离任董事</w:t>
      </w:r>
      <w:r>
        <w:rPr>
          <w:rFonts w:hint="eastAsia"/>
        </w:rPr>
        <w:t>和</w:t>
      </w:r>
      <w:r>
        <w:t>高级管理人员持股变动及</w:t>
      </w:r>
      <w:r>
        <w:rPr>
          <w:rFonts w:hint="eastAsia"/>
        </w:rPr>
        <w:t>薪</w:t>
      </w:r>
      <w:r>
        <w:t>酬情况</w:t>
      </w:r>
    </w:p>
    <w:sdt>
      <w:sdtPr>
        <w:alias w:val="是否适用：董事、监事和高级管理人员持股变动[双击切换]"/>
        <w:tag w:val="_GBC_336639f5f1254c87a3d81a366e432afd"/>
        <w:id w:val="83652945"/>
        <w:lock w:val="contentLocked"/>
        <w:placeholder>
          <w:docPart w:val="GBC22222222222222222222222222222"/>
        </w:placeholder>
      </w:sdtPr>
      <w:sdtContent>
        <w:p w14:paraId="7D96604C">
          <w:pPr>
            <w:pStyle w:val="48"/>
          </w:pPr>
          <w:bookmarkStart w:id="129" w:name="_Hlk89179934"/>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Calibri" w:hAnsi="Calibri"/>
          <w:kern w:val="2"/>
        </w:rPr>
        <w:alias w:val="模块:现任及报告期内离任董事、监事和高级管理人员持股变动及报酬情况"/>
        <w:tag w:val="_SEC_a6180d3a8c86483c97b760133a0dc1df"/>
        <w:id w:val="-1326056242"/>
        <w:placeholder>
          <w:docPart w:val="GBC22222222222222222222222222222"/>
        </w:placeholder>
      </w:sdtPr>
      <w:sdtEndPr>
        <w:rPr>
          <w:rFonts w:hint="default" w:ascii="Calibri" w:hAnsi="Calibri"/>
          <w:kern w:val="2"/>
        </w:rPr>
      </w:sdtEndPr>
      <w:sdtContent>
        <w:p w14:paraId="2FBAFD80">
          <w:pPr>
            <w:jc w:val="right"/>
          </w:pPr>
          <w:r>
            <w:rPr>
              <w:rFonts w:hint="eastAsia"/>
            </w:rPr>
            <w:t>单位：</w:t>
          </w:r>
          <w:sdt>
            <w:sdtPr>
              <w:rPr>
                <w:rFonts w:hint="eastAsia"/>
              </w:rPr>
              <w:alias w:val="单位：董事、监事、高级管理人员基本情况"/>
              <w:tag w:val="_GBC_3851936d51d842bf9f2c82131d0787cc"/>
              <w:id w:val="213405705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hint="eastAsia"/>
              </w:rPr>
            </w:sdtEndPr>
            <w:sdtContent>
              <w:r>
                <w:rPr>
                  <w:rFonts w:hint="eastAsia"/>
                </w:rPr>
                <w:t>股</w:t>
              </w:r>
            </w:sdtContent>
          </w:sdt>
        </w:p>
        <w:tbl>
          <w:tblPr>
            <w:tblStyle w:val="47"/>
            <w:tblW w:w="14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132"/>
            <w:gridCol w:w="567"/>
            <w:gridCol w:w="567"/>
            <w:gridCol w:w="1417"/>
            <w:gridCol w:w="1276"/>
            <w:gridCol w:w="1276"/>
            <w:gridCol w:w="1276"/>
            <w:gridCol w:w="1275"/>
            <w:gridCol w:w="1985"/>
            <w:gridCol w:w="992"/>
            <w:gridCol w:w="904"/>
          </w:tblGrid>
          <w:tr w14:paraId="0928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8" w:hRule="atLeast"/>
              <w:jc w:val="center"/>
            </w:trPr>
            <w:sdt>
              <w:sdtPr>
                <w:tag w:val="_PLD_3e935958e5b542f38f53ca8a2618690d"/>
                <w:id w:val="1373116890"/>
              </w:sdtPr>
              <w:sdtContent>
                <w:tc>
                  <w:tcPr>
                    <w:tcW w:w="1135" w:type="dxa"/>
                    <w:vAlign w:val="center"/>
                  </w:tcPr>
                  <w:p w14:paraId="2216576F">
                    <w:pPr>
                      <w:widowControl w:val="0"/>
                      <w:jc w:val="center"/>
                    </w:pPr>
                    <w:r>
                      <w:t>姓名</w:t>
                    </w:r>
                  </w:p>
                </w:tc>
              </w:sdtContent>
            </w:sdt>
            <w:sdt>
              <w:sdtPr>
                <w:tag w:val="_PLD_5ecaa59058dd4312acb6ebb4d88eb6c8"/>
                <w:id w:val="313375936"/>
              </w:sdtPr>
              <w:sdtContent>
                <w:tc>
                  <w:tcPr>
                    <w:tcW w:w="2132" w:type="dxa"/>
                    <w:vAlign w:val="center"/>
                  </w:tcPr>
                  <w:p w14:paraId="63DAAD77">
                    <w:pPr>
                      <w:widowControl w:val="0"/>
                      <w:jc w:val="center"/>
                    </w:pPr>
                    <w:r>
                      <w:t>职务</w:t>
                    </w:r>
                  </w:p>
                </w:tc>
              </w:sdtContent>
            </w:sdt>
            <w:sdt>
              <w:sdtPr>
                <w:tag w:val="_PLD_f907f9c5cdf94b2ba9e217c0aaaf2c60"/>
                <w:id w:val="-2021998208"/>
              </w:sdtPr>
              <w:sdtContent>
                <w:tc>
                  <w:tcPr>
                    <w:tcW w:w="567" w:type="dxa"/>
                    <w:vAlign w:val="center"/>
                  </w:tcPr>
                  <w:p w14:paraId="127624B3">
                    <w:pPr>
                      <w:widowControl w:val="0"/>
                      <w:jc w:val="center"/>
                    </w:pPr>
                    <w:r>
                      <w:t>性别</w:t>
                    </w:r>
                  </w:p>
                </w:tc>
              </w:sdtContent>
            </w:sdt>
            <w:sdt>
              <w:sdtPr>
                <w:tag w:val="_PLD_9b2689bca35f4a3ebc7adf135b295bd6"/>
                <w:id w:val="-1032418355"/>
              </w:sdtPr>
              <w:sdtContent>
                <w:tc>
                  <w:tcPr>
                    <w:tcW w:w="567" w:type="dxa"/>
                    <w:vAlign w:val="center"/>
                  </w:tcPr>
                  <w:p w14:paraId="50F777BF">
                    <w:pPr>
                      <w:widowControl w:val="0"/>
                      <w:jc w:val="center"/>
                    </w:pPr>
                    <w:r>
                      <w:t>年龄</w:t>
                    </w:r>
                  </w:p>
                </w:tc>
              </w:sdtContent>
            </w:sdt>
            <w:sdt>
              <w:sdtPr>
                <w:tag w:val="_PLD_3844eb481c79444fba199a9d3c3b8bf7"/>
                <w:id w:val="-1631383800"/>
              </w:sdtPr>
              <w:sdtContent>
                <w:tc>
                  <w:tcPr>
                    <w:tcW w:w="1417" w:type="dxa"/>
                    <w:vAlign w:val="center"/>
                  </w:tcPr>
                  <w:p w14:paraId="38994516">
                    <w:pPr>
                      <w:widowControl w:val="0"/>
                      <w:jc w:val="center"/>
                    </w:pPr>
                    <w:r>
                      <w:t>任期起始日期</w:t>
                    </w:r>
                  </w:p>
                </w:tc>
              </w:sdtContent>
            </w:sdt>
            <w:sdt>
              <w:sdtPr>
                <w:tag w:val="_PLD_94806df607544b4b97b389da94daaf66"/>
                <w:id w:val="-38125773"/>
              </w:sdtPr>
              <w:sdtContent>
                <w:tc>
                  <w:tcPr>
                    <w:tcW w:w="1276" w:type="dxa"/>
                    <w:vAlign w:val="center"/>
                  </w:tcPr>
                  <w:p w14:paraId="7480E144">
                    <w:pPr>
                      <w:widowControl w:val="0"/>
                      <w:jc w:val="center"/>
                    </w:pPr>
                    <w:r>
                      <w:t>任期终止日期</w:t>
                    </w:r>
                  </w:p>
                </w:tc>
              </w:sdtContent>
            </w:sdt>
            <w:sdt>
              <w:sdtPr>
                <w:tag w:val="_PLD_5e35d588fd7f4cb3af49fcbd9e313ac2"/>
                <w:id w:val="-450086949"/>
              </w:sdtPr>
              <w:sdtContent>
                <w:tc>
                  <w:tcPr>
                    <w:tcW w:w="1276" w:type="dxa"/>
                    <w:vAlign w:val="center"/>
                  </w:tcPr>
                  <w:p w14:paraId="6C4E253A">
                    <w:pPr>
                      <w:widowControl w:val="0"/>
                      <w:jc w:val="center"/>
                    </w:pPr>
                    <w:r>
                      <w:t>年初持股数</w:t>
                    </w:r>
                  </w:p>
                </w:tc>
              </w:sdtContent>
            </w:sdt>
            <w:sdt>
              <w:sdtPr>
                <w:tag w:val="_PLD_af0cabd7e3f44b95b26464bc652333c2"/>
                <w:id w:val="315614797"/>
              </w:sdtPr>
              <w:sdtContent>
                <w:tc>
                  <w:tcPr>
                    <w:tcW w:w="1276" w:type="dxa"/>
                    <w:vAlign w:val="center"/>
                  </w:tcPr>
                  <w:p w14:paraId="58DDEDEE">
                    <w:pPr>
                      <w:widowControl w:val="0"/>
                      <w:jc w:val="center"/>
                    </w:pPr>
                    <w:r>
                      <w:t>年末持股数</w:t>
                    </w:r>
                  </w:p>
                </w:tc>
              </w:sdtContent>
            </w:sdt>
            <w:sdt>
              <w:sdtPr>
                <w:tag w:val="_PLD_0b9453da77b34ba68718efe69463399a"/>
                <w:id w:val="-2034960106"/>
              </w:sdtPr>
              <w:sdtContent>
                <w:tc>
                  <w:tcPr>
                    <w:tcW w:w="1275" w:type="dxa"/>
                    <w:vAlign w:val="center"/>
                  </w:tcPr>
                  <w:p w14:paraId="737D8428">
                    <w:pPr>
                      <w:widowControl w:val="0"/>
                      <w:jc w:val="center"/>
                    </w:pPr>
                    <w:r>
                      <w:t>年度内股份增减变动量</w:t>
                    </w:r>
                  </w:p>
                </w:tc>
              </w:sdtContent>
            </w:sdt>
            <w:sdt>
              <w:sdtPr>
                <w:tag w:val="_PLD_32c045d1529e42b7999b1f0c6b6e43a6"/>
                <w:id w:val="964388249"/>
              </w:sdtPr>
              <w:sdtContent>
                <w:tc>
                  <w:tcPr>
                    <w:tcW w:w="1985" w:type="dxa"/>
                    <w:vAlign w:val="center"/>
                  </w:tcPr>
                  <w:p w14:paraId="2DBCDC30">
                    <w:pPr>
                      <w:widowControl w:val="0"/>
                      <w:jc w:val="center"/>
                    </w:pPr>
                    <w:r>
                      <w:t>增减变动原因</w:t>
                    </w:r>
                  </w:p>
                </w:tc>
              </w:sdtContent>
            </w:sdt>
            <w:sdt>
              <w:sdtPr>
                <w:tag w:val="_PLD_47ee572944fa4c8098ef9eeca67d2eb2"/>
                <w:id w:val="29927152"/>
              </w:sdtPr>
              <w:sdtContent>
                <w:tc>
                  <w:tcPr>
                    <w:tcW w:w="992" w:type="dxa"/>
                    <w:vAlign w:val="center"/>
                  </w:tcPr>
                  <w:p w14:paraId="7CCF579F">
                    <w:pPr>
                      <w:widowControl w:val="0"/>
                      <w:jc w:val="center"/>
                    </w:pPr>
                    <w:r>
                      <w:rPr>
                        <w:rFonts w:hint="eastAsia"/>
                      </w:rPr>
                      <w:t>报告期内从公司获得的税前薪酬总额（</w:t>
                    </w:r>
                    <w:sdt>
                      <w:sdtPr>
                        <w:rPr>
                          <w:rFonts w:hint="eastAsia"/>
                        </w:rPr>
                        <w:alias w:val="单位：报告期内从公司获得的税前报酬总额"/>
                        <w:tag w:val="_GBC_84bf98b6209e4e62813239bd0860e78d"/>
                        <w:id w:val="15823689"/>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w:t>
                    </w:r>
                  </w:p>
                </w:tc>
              </w:sdtContent>
            </w:sdt>
            <w:sdt>
              <w:sdtPr>
                <w:tag w:val="_PLD_efdfb631398b46bfa3656e39fd8c5fca"/>
                <w:id w:val="-1595469052"/>
              </w:sdtPr>
              <w:sdtContent>
                <w:tc>
                  <w:tcPr>
                    <w:tcW w:w="904" w:type="dxa"/>
                    <w:vAlign w:val="center"/>
                  </w:tcPr>
                  <w:p w14:paraId="61450B27">
                    <w:pPr>
                      <w:widowControl w:val="0"/>
                      <w:jc w:val="center"/>
                    </w:pPr>
                    <w:r>
                      <w:rPr>
                        <w:rFonts w:hint="eastAsia"/>
                      </w:rPr>
                      <w:t>是否在公司关联方获取薪酬</w:t>
                    </w:r>
                  </w:p>
                </w:tc>
              </w:sdtContent>
            </w:sdt>
          </w:tr>
          <w:tr w14:paraId="319C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135" w:type="dxa"/>
                <w:vMerge w:val="restart"/>
                <w:vAlign w:val="center"/>
              </w:tcPr>
              <w:p w14:paraId="34687D56">
                <w:pPr>
                  <w:pStyle w:val="48"/>
                </w:pPr>
                <w:r>
                  <w:rPr>
                    <w:rFonts w:hint="eastAsia"/>
                  </w:rPr>
                  <w:t>李佳鸿</w:t>
                </w:r>
              </w:p>
            </w:tc>
            <w:tc>
              <w:tcPr>
                <w:tcW w:w="2132" w:type="dxa"/>
                <w:vAlign w:val="center"/>
              </w:tcPr>
              <w:p w14:paraId="754A3028">
                <w:pPr>
                  <w:pStyle w:val="48"/>
                </w:pPr>
                <w:r>
                  <w:rPr>
                    <w:rFonts w:hint="eastAsia"/>
                  </w:rPr>
                  <w:t>董事长</w:t>
                </w:r>
              </w:p>
            </w:tc>
            <w:tc>
              <w:tcPr>
                <w:tcW w:w="567" w:type="dxa"/>
                <w:vMerge w:val="restart"/>
                <w:vAlign w:val="center"/>
              </w:tcPr>
              <w:p w14:paraId="0B77B24E">
                <w:pPr>
                  <w:widowControl w:val="0"/>
                  <w:jc w:val="center"/>
                </w:pPr>
                <w:r>
                  <w:rPr>
                    <w:rFonts w:hint="eastAsia"/>
                  </w:rPr>
                  <w:t>男</w:t>
                </w:r>
              </w:p>
            </w:tc>
            <w:tc>
              <w:tcPr>
                <w:tcW w:w="567" w:type="dxa"/>
                <w:vMerge w:val="restart"/>
                <w:vAlign w:val="center"/>
              </w:tcPr>
              <w:p w14:paraId="2DD67AC9">
                <w:pPr>
                  <w:pStyle w:val="48"/>
                </w:pPr>
                <w:r>
                  <w:rPr>
                    <w:rFonts w:hint="eastAsia"/>
                  </w:rPr>
                  <w:t>38</w:t>
                </w:r>
              </w:p>
            </w:tc>
            <w:tc>
              <w:tcPr>
                <w:tcW w:w="1417" w:type="dxa"/>
                <w:vAlign w:val="center"/>
              </w:tcPr>
              <w:p w14:paraId="7B329B63">
                <w:pPr>
                  <w:pStyle w:val="48"/>
                  <w:rPr>
                    <w:rFonts w:ascii="Times New Roman" w:hAnsi="Times New Roman"/>
                  </w:rPr>
                </w:pPr>
                <w:r>
                  <w:rPr>
                    <w:rFonts w:ascii="Times New Roman" w:hAnsi="Times New Roman"/>
                  </w:rPr>
                  <w:t>2024-03-27</w:t>
                </w:r>
              </w:p>
            </w:tc>
            <w:tc>
              <w:tcPr>
                <w:tcW w:w="1276" w:type="dxa"/>
                <w:vAlign w:val="center"/>
              </w:tcPr>
              <w:p w14:paraId="4B082D30">
                <w:pPr>
                  <w:pStyle w:val="48"/>
                  <w:rPr>
                    <w:rFonts w:ascii="Times New Roman" w:hAnsi="Times New Roman"/>
                  </w:rPr>
                </w:pPr>
                <w:r>
                  <w:rPr>
                    <w:rFonts w:ascii="Times New Roman" w:hAnsi="Times New Roman"/>
                  </w:rPr>
                  <w:t>2026-09-07</w:t>
                </w:r>
              </w:p>
            </w:tc>
            <w:tc>
              <w:tcPr>
                <w:tcW w:w="1276" w:type="dxa"/>
                <w:vMerge w:val="restart"/>
                <w:vAlign w:val="center"/>
              </w:tcPr>
              <w:p w14:paraId="76971538">
                <w:pPr>
                  <w:widowControl w:val="0"/>
                  <w:jc w:val="right"/>
                </w:pPr>
                <w:r>
                  <w:t>5,279,900</w:t>
                </w:r>
              </w:p>
            </w:tc>
            <w:tc>
              <w:tcPr>
                <w:tcW w:w="1276" w:type="dxa"/>
                <w:vMerge w:val="restart"/>
                <w:vAlign w:val="center"/>
              </w:tcPr>
              <w:p w14:paraId="6219610B">
                <w:pPr>
                  <w:widowControl w:val="0"/>
                  <w:jc w:val="right"/>
                </w:pPr>
                <w:r>
                  <w:t>5,279,900</w:t>
                </w:r>
              </w:p>
            </w:tc>
            <w:tc>
              <w:tcPr>
                <w:tcW w:w="1275" w:type="dxa"/>
                <w:vMerge w:val="restart"/>
                <w:vAlign w:val="center"/>
              </w:tcPr>
              <w:p w14:paraId="02C845CB">
                <w:pPr>
                  <w:widowControl w:val="0"/>
                  <w:jc w:val="right"/>
                </w:pPr>
                <w:r>
                  <w:rPr>
                    <w:rFonts w:hint="eastAsia"/>
                  </w:rPr>
                  <w:t>0</w:t>
                </w:r>
              </w:p>
            </w:tc>
            <w:tc>
              <w:tcPr>
                <w:tcW w:w="1985" w:type="dxa"/>
                <w:vMerge w:val="restart"/>
                <w:vAlign w:val="center"/>
              </w:tcPr>
              <w:p w14:paraId="698BF0FE">
                <w:pPr>
                  <w:pStyle w:val="48"/>
                  <w:jc w:val="center"/>
                </w:pPr>
                <w:r>
                  <w:rPr>
                    <w:rFonts w:hint="eastAsia"/>
                  </w:rPr>
                  <w:t>不适用</w:t>
                </w:r>
              </w:p>
            </w:tc>
            <w:tc>
              <w:tcPr>
                <w:tcW w:w="992" w:type="dxa"/>
                <w:vMerge w:val="restart"/>
                <w:vAlign w:val="center"/>
              </w:tcPr>
              <w:p w14:paraId="17970896">
                <w:pPr>
                  <w:widowControl w:val="0"/>
                  <w:jc w:val="right"/>
                </w:pPr>
                <w:r>
                  <w:t>331.56</w:t>
                </w:r>
              </w:p>
            </w:tc>
            <w:tc>
              <w:tcPr>
                <w:tcW w:w="904" w:type="dxa"/>
                <w:vMerge w:val="restart"/>
                <w:vAlign w:val="center"/>
              </w:tcPr>
              <w:sdt>
                <w:sdtPr>
                  <w:rPr>
                    <w14:ligatures w14:val="standardContextual"/>
                  </w:rPr>
                  <w:alias w:val="董事、监事、高级管理人员是否在公司关联方获取报酬"/>
                  <w:tag w:val="_GBC_ca79c4e139754ecd84ca3e60eb23b31d"/>
                  <w:id w:val="-1031496924"/>
                  <w:comboBox>
                    <w:listItem w:displayText="是" w:value="是"/>
                    <w:listItem w:displayText="否" w:value="否"/>
                  </w:comboBox>
                </w:sdtPr>
                <w:sdtEndPr>
                  <w:rPr>
                    <w14:ligatures w14:val="standardContextual"/>
                  </w:rPr>
                </w:sdtEndPr>
                <w:sdtContent>
                  <w:p w14:paraId="23A4447A">
                    <w:pPr>
                      <w:widowControl w:val="0"/>
                      <w:jc w:val="center"/>
                      <w:rPr>
                        <w:rFonts w:asciiTheme="minorHAnsi" w:hAnsiTheme="minorHAnsi" w:eastAsiaTheme="minorEastAsia" w:cstheme="minorBidi"/>
                        <w14:ligatures w14:val="standardContextual"/>
                      </w:rPr>
                    </w:pPr>
                    <w:r>
                      <w:rPr>
                        <w14:ligatures w14:val="standardContextual"/>
                      </w:rPr>
                      <w:t>是</w:t>
                    </w:r>
                  </w:p>
                </w:sdtContent>
              </w:sdt>
            </w:tc>
          </w:tr>
          <w:tr w14:paraId="383E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135" w:type="dxa"/>
                <w:vMerge w:val="continue"/>
                <w:vAlign w:val="center"/>
              </w:tcPr>
              <w:p w14:paraId="53D67E2F">
                <w:pPr>
                  <w:pStyle w:val="48"/>
                </w:pPr>
              </w:p>
            </w:tc>
            <w:tc>
              <w:tcPr>
                <w:tcW w:w="2132" w:type="dxa"/>
                <w:vAlign w:val="center"/>
              </w:tcPr>
              <w:p w14:paraId="6D84A2D6">
                <w:pPr>
                  <w:pStyle w:val="48"/>
                </w:pPr>
                <w:r>
                  <w:rPr>
                    <w:rFonts w:hint="eastAsia"/>
                  </w:rPr>
                  <w:t>总裁</w:t>
                </w:r>
              </w:p>
            </w:tc>
            <w:tc>
              <w:tcPr>
                <w:tcW w:w="567" w:type="dxa"/>
                <w:vMerge w:val="continue"/>
                <w:vAlign w:val="center"/>
              </w:tcPr>
              <w:p w14:paraId="626724DC">
                <w:pPr>
                  <w:widowControl w:val="0"/>
                  <w:jc w:val="center"/>
                </w:pPr>
              </w:p>
            </w:tc>
            <w:tc>
              <w:tcPr>
                <w:tcW w:w="567" w:type="dxa"/>
                <w:vMerge w:val="continue"/>
                <w:vAlign w:val="center"/>
              </w:tcPr>
              <w:p w14:paraId="7E26C4F9">
                <w:pPr>
                  <w:pStyle w:val="48"/>
                </w:pPr>
              </w:p>
            </w:tc>
            <w:tc>
              <w:tcPr>
                <w:tcW w:w="1417" w:type="dxa"/>
                <w:shd w:val="clear" w:color="auto" w:fill="auto"/>
                <w:vAlign w:val="center"/>
              </w:tcPr>
              <w:p w14:paraId="3EA5C342">
                <w:pPr>
                  <w:pStyle w:val="48"/>
                  <w:rPr>
                    <w:rFonts w:ascii="Times New Roman" w:hAnsi="Times New Roman"/>
                  </w:rPr>
                </w:pPr>
                <w:r>
                  <w:rPr>
                    <w:rFonts w:ascii="Times New Roman" w:hAnsi="Times New Roman"/>
                  </w:rPr>
                  <w:t>2025-08-25</w:t>
                </w:r>
              </w:p>
            </w:tc>
            <w:tc>
              <w:tcPr>
                <w:tcW w:w="1276" w:type="dxa"/>
                <w:shd w:val="clear" w:color="auto" w:fill="auto"/>
                <w:vAlign w:val="center"/>
              </w:tcPr>
              <w:p w14:paraId="6BE2992B">
                <w:pPr>
                  <w:pStyle w:val="48"/>
                  <w:rPr>
                    <w:rFonts w:ascii="Times New Roman" w:hAnsi="Times New Roman"/>
                  </w:rPr>
                </w:pPr>
                <w:r>
                  <w:rPr>
                    <w:rFonts w:ascii="Times New Roman" w:hAnsi="Times New Roman"/>
                  </w:rPr>
                  <w:t>2026-09-07</w:t>
                </w:r>
              </w:p>
            </w:tc>
            <w:tc>
              <w:tcPr>
                <w:tcW w:w="1276" w:type="dxa"/>
                <w:vMerge w:val="continue"/>
                <w:vAlign w:val="center"/>
              </w:tcPr>
              <w:p w14:paraId="6760167B">
                <w:pPr>
                  <w:widowControl w:val="0"/>
                  <w:jc w:val="right"/>
                </w:pPr>
              </w:p>
            </w:tc>
            <w:tc>
              <w:tcPr>
                <w:tcW w:w="1276" w:type="dxa"/>
                <w:vMerge w:val="continue"/>
                <w:vAlign w:val="center"/>
              </w:tcPr>
              <w:p w14:paraId="067A6CF1">
                <w:pPr>
                  <w:widowControl w:val="0"/>
                  <w:jc w:val="right"/>
                </w:pPr>
              </w:p>
            </w:tc>
            <w:tc>
              <w:tcPr>
                <w:tcW w:w="1275" w:type="dxa"/>
                <w:vMerge w:val="continue"/>
                <w:vAlign w:val="center"/>
              </w:tcPr>
              <w:p w14:paraId="4D8DB1AB">
                <w:pPr>
                  <w:widowControl w:val="0"/>
                  <w:jc w:val="right"/>
                </w:pPr>
              </w:p>
            </w:tc>
            <w:tc>
              <w:tcPr>
                <w:tcW w:w="1985" w:type="dxa"/>
                <w:vMerge w:val="continue"/>
                <w:vAlign w:val="center"/>
              </w:tcPr>
              <w:p w14:paraId="6EB173A0">
                <w:pPr>
                  <w:pStyle w:val="48"/>
                  <w:jc w:val="center"/>
                </w:pPr>
              </w:p>
            </w:tc>
            <w:tc>
              <w:tcPr>
                <w:tcW w:w="992" w:type="dxa"/>
                <w:vMerge w:val="continue"/>
                <w:vAlign w:val="center"/>
              </w:tcPr>
              <w:p w14:paraId="7354BC27">
                <w:pPr>
                  <w:widowControl w:val="0"/>
                  <w:jc w:val="right"/>
                </w:pPr>
              </w:p>
            </w:tc>
            <w:tc>
              <w:tcPr>
                <w:tcW w:w="904" w:type="dxa"/>
                <w:vMerge w:val="continue"/>
                <w:vAlign w:val="center"/>
              </w:tcPr>
              <w:p w14:paraId="07FA1B23">
                <w:pPr>
                  <w:pStyle w:val="48"/>
                  <w:jc w:val="center"/>
                  <w:rPr>
                    <w14:ligatures w14:val="standardContextual"/>
                  </w:rPr>
                </w:pPr>
              </w:p>
            </w:tc>
          </w:tr>
          <w:tr w14:paraId="415B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1135" w:type="dxa"/>
                <w:vMerge w:val="restart"/>
                <w:vAlign w:val="center"/>
              </w:tcPr>
              <w:p w14:paraId="4180620C">
                <w:pPr>
                  <w:pStyle w:val="48"/>
                </w:pPr>
                <w:r>
                  <w:rPr>
                    <w:rFonts w:hint="eastAsia"/>
                  </w:rPr>
                  <w:t>冷春生</w:t>
                </w:r>
              </w:p>
            </w:tc>
            <w:tc>
              <w:tcPr>
                <w:tcW w:w="2132" w:type="dxa"/>
                <w:vAlign w:val="center"/>
              </w:tcPr>
              <w:p w14:paraId="77CD9C5D">
                <w:pPr>
                  <w:pStyle w:val="48"/>
                </w:pPr>
                <w:r>
                  <w:rPr>
                    <w:rFonts w:hint="eastAsia"/>
                  </w:rPr>
                  <w:t>副董事长</w:t>
                </w:r>
              </w:p>
            </w:tc>
            <w:tc>
              <w:tcPr>
                <w:tcW w:w="567" w:type="dxa"/>
                <w:vMerge w:val="restart"/>
                <w:vAlign w:val="center"/>
              </w:tcPr>
              <w:p w14:paraId="50019854">
                <w:pPr>
                  <w:widowControl w:val="0"/>
                  <w:jc w:val="center"/>
                </w:pPr>
                <w:r>
                  <w:rPr>
                    <w:rFonts w:hint="eastAsia"/>
                  </w:rPr>
                  <w:t>男</w:t>
                </w:r>
              </w:p>
            </w:tc>
            <w:tc>
              <w:tcPr>
                <w:tcW w:w="567" w:type="dxa"/>
                <w:vMerge w:val="restart"/>
                <w:vAlign w:val="center"/>
              </w:tcPr>
              <w:p w14:paraId="0A847DEF">
                <w:pPr>
                  <w:pStyle w:val="48"/>
                </w:pPr>
                <w:r>
                  <w:rPr>
                    <w:rFonts w:hint="eastAsia"/>
                  </w:rPr>
                  <w:t>52</w:t>
                </w:r>
              </w:p>
            </w:tc>
            <w:tc>
              <w:tcPr>
                <w:tcW w:w="1417" w:type="dxa"/>
                <w:vAlign w:val="center"/>
              </w:tcPr>
              <w:p w14:paraId="0FCA6478">
                <w:pPr>
                  <w:pStyle w:val="48"/>
                  <w:rPr>
                    <w:rFonts w:ascii="Times New Roman" w:hAnsi="Times New Roman"/>
                  </w:rPr>
                </w:pPr>
                <w:r>
                  <w:rPr>
                    <w:rFonts w:ascii="Times New Roman" w:hAnsi="Times New Roman"/>
                  </w:rPr>
                  <w:t>2024-04-19</w:t>
                </w:r>
              </w:p>
            </w:tc>
            <w:tc>
              <w:tcPr>
                <w:tcW w:w="1276" w:type="dxa"/>
                <w:vAlign w:val="center"/>
              </w:tcPr>
              <w:p w14:paraId="142E0C80">
                <w:pPr>
                  <w:pStyle w:val="48"/>
                  <w:rPr>
                    <w:rFonts w:ascii="Times New Roman" w:hAnsi="Times New Roman"/>
                  </w:rPr>
                </w:pPr>
                <w:r>
                  <w:rPr>
                    <w:rFonts w:ascii="Times New Roman" w:hAnsi="Times New Roman"/>
                  </w:rPr>
                  <w:t>2026-09-07</w:t>
                </w:r>
              </w:p>
            </w:tc>
            <w:tc>
              <w:tcPr>
                <w:tcW w:w="1276" w:type="dxa"/>
                <w:vMerge w:val="restart"/>
                <w:vAlign w:val="center"/>
              </w:tcPr>
              <w:p w14:paraId="7AB5B523">
                <w:pPr>
                  <w:widowControl w:val="0"/>
                  <w:jc w:val="right"/>
                </w:pPr>
                <w:r>
                  <w:t>2,280,960</w:t>
                </w:r>
              </w:p>
            </w:tc>
            <w:tc>
              <w:tcPr>
                <w:tcW w:w="1276" w:type="dxa"/>
                <w:vMerge w:val="restart"/>
                <w:vAlign w:val="center"/>
              </w:tcPr>
              <w:p w14:paraId="6C53ADB4">
                <w:pPr>
                  <w:widowControl w:val="0"/>
                  <w:jc w:val="right"/>
                </w:pPr>
                <w:r>
                  <w:t>2,280,960</w:t>
                </w:r>
              </w:p>
            </w:tc>
            <w:tc>
              <w:tcPr>
                <w:tcW w:w="1275" w:type="dxa"/>
                <w:vMerge w:val="restart"/>
                <w:vAlign w:val="center"/>
              </w:tcPr>
              <w:p w14:paraId="221FCB58">
                <w:pPr>
                  <w:widowControl w:val="0"/>
                  <w:jc w:val="right"/>
                </w:pPr>
                <w:r>
                  <w:rPr>
                    <w:rFonts w:hint="eastAsia"/>
                  </w:rPr>
                  <w:t>0</w:t>
                </w:r>
              </w:p>
            </w:tc>
            <w:tc>
              <w:tcPr>
                <w:tcW w:w="1985" w:type="dxa"/>
                <w:vMerge w:val="restart"/>
                <w:vAlign w:val="center"/>
              </w:tcPr>
              <w:p w14:paraId="242B2C9D">
                <w:pPr>
                  <w:pStyle w:val="48"/>
                  <w:jc w:val="center"/>
                </w:pPr>
                <w:r>
                  <w:rPr>
                    <w:rFonts w:hint="eastAsia"/>
                  </w:rPr>
                  <w:t>不适用</w:t>
                </w:r>
              </w:p>
            </w:tc>
            <w:tc>
              <w:tcPr>
                <w:tcW w:w="992" w:type="dxa"/>
                <w:vMerge w:val="restart"/>
                <w:vAlign w:val="center"/>
              </w:tcPr>
              <w:p w14:paraId="47356FE8">
                <w:pPr>
                  <w:widowControl w:val="0"/>
                  <w:jc w:val="right"/>
                </w:pPr>
                <w:r>
                  <w:t>300.33</w:t>
                </w:r>
              </w:p>
            </w:tc>
            <w:sdt>
              <w:sdtPr>
                <w:rPr>
                  <w14:ligatures w14:val="standardContextual"/>
                </w:rPr>
                <w:alias w:val="董事、监事、高级管理人员是否在公司关联方获取报酬"/>
                <w:tag w:val="_GBC_ca79c4e139754ecd84ca3e60eb23b31d"/>
                <w:id w:val="212850315"/>
                <w:comboBox>
                  <w:listItem w:displayText="是" w:value="是"/>
                  <w:listItem w:displayText="否" w:value="否"/>
                </w:comboBox>
              </w:sdtPr>
              <w:sdtEndPr>
                <w:rPr>
                  <w14:ligatures w14:val="standardContextual"/>
                </w:rPr>
              </w:sdtEndPr>
              <w:sdtContent>
                <w:tc>
                  <w:tcPr>
                    <w:tcW w:w="904" w:type="dxa"/>
                    <w:vMerge w:val="restart"/>
                    <w:vAlign w:val="center"/>
                  </w:tcPr>
                  <w:p w14:paraId="5D2CAF1A">
                    <w:pPr>
                      <w:pStyle w:val="48"/>
                      <w:jc w:val="center"/>
                    </w:pPr>
                    <w:r>
                      <w:rPr>
                        <w14:ligatures w14:val="standardContextual"/>
                      </w:rPr>
                      <w:t>是</w:t>
                    </w:r>
                  </w:p>
                </w:tc>
              </w:sdtContent>
            </w:sdt>
          </w:tr>
          <w:tr w14:paraId="242B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1135" w:type="dxa"/>
                <w:vMerge w:val="continue"/>
                <w:vAlign w:val="center"/>
              </w:tcPr>
              <w:p w14:paraId="02999831">
                <w:pPr>
                  <w:pStyle w:val="48"/>
                </w:pPr>
              </w:p>
            </w:tc>
            <w:tc>
              <w:tcPr>
                <w:tcW w:w="2132" w:type="dxa"/>
                <w:vAlign w:val="center"/>
              </w:tcPr>
              <w:p w14:paraId="3862CB0B">
                <w:pPr>
                  <w:pStyle w:val="48"/>
                </w:pPr>
                <w:r>
                  <w:rPr>
                    <w:rFonts w:hint="eastAsia"/>
                  </w:rPr>
                  <w:t>总经理（已离任）</w:t>
                </w:r>
              </w:p>
            </w:tc>
            <w:tc>
              <w:tcPr>
                <w:tcW w:w="567" w:type="dxa"/>
                <w:vMerge w:val="continue"/>
                <w:vAlign w:val="center"/>
              </w:tcPr>
              <w:p w14:paraId="5EDFCE46">
                <w:pPr>
                  <w:widowControl w:val="0"/>
                  <w:jc w:val="center"/>
                </w:pPr>
              </w:p>
            </w:tc>
            <w:tc>
              <w:tcPr>
                <w:tcW w:w="567" w:type="dxa"/>
                <w:vMerge w:val="continue"/>
                <w:vAlign w:val="center"/>
              </w:tcPr>
              <w:p w14:paraId="01B2AC02">
                <w:pPr>
                  <w:pStyle w:val="48"/>
                </w:pPr>
              </w:p>
            </w:tc>
            <w:tc>
              <w:tcPr>
                <w:tcW w:w="1417" w:type="dxa"/>
                <w:vAlign w:val="center"/>
              </w:tcPr>
              <w:p w14:paraId="45449C21">
                <w:pPr>
                  <w:pStyle w:val="48"/>
                  <w:rPr>
                    <w:rFonts w:ascii="Times New Roman" w:hAnsi="Times New Roman"/>
                  </w:rPr>
                </w:pPr>
                <w:r>
                  <w:rPr>
                    <w:rFonts w:hint="eastAsia" w:ascii="Times New Roman" w:hAnsi="Times New Roman"/>
                  </w:rPr>
                  <w:t>2</w:t>
                </w:r>
                <w:r>
                  <w:rPr>
                    <w:rFonts w:ascii="Times New Roman" w:hAnsi="Times New Roman"/>
                  </w:rPr>
                  <w:t>019-03-04</w:t>
                </w:r>
              </w:p>
            </w:tc>
            <w:tc>
              <w:tcPr>
                <w:tcW w:w="1276" w:type="dxa"/>
                <w:vAlign w:val="center"/>
              </w:tcPr>
              <w:p w14:paraId="5662F988">
                <w:pPr>
                  <w:pStyle w:val="48"/>
                  <w:rPr>
                    <w:rFonts w:ascii="Times New Roman" w:hAnsi="Times New Roman"/>
                  </w:rPr>
                </w:pPr>
                <w:r>
                  <w:rPr>
                    <w:rFonts w:hint="eastAsia" w:ascii="Times New Roman" w:hAnsi="Times New Roman"/>
                  </w:rPr>
                  <w:t>2</w:t>
                </w:r>
                <w:r>
                  <w:rPr>
                    <w:rFonts w:ascii="Times New Roman" w:hAnsi="Times New Roman"/>
                  </w:rPr>
                  <w:t>025-08-25</w:t>
                </w:r>
              </w:p>
            </w:tc>
            <w:tc>
              <w:tcPr>
                <w:tcW w:w="1276" w:type="dxa"/>
                <w:vMerge w:val="continue"/>
                <w:vAlign w:val="center"/>
              </w:tcPr>
              <w:p w14:paraId="543DACA4">
                <w:pPr>
                  <w:widowControl w:val="0"/>
                  <w:jc w:val="right"/>
                </w:pPr>
              </w:p>
            </w:tc>
            <w:tc>
              <w:tcPr>
                <w:tcW w:w="1276" w:type="dxa"/>
                <w:vMerge w:val="continue"/>
                <w:vAlign w:val="center"/>
              </w:tcPr>
              <w:p w14:paraId="14493A24">
                <w:pPr>
                  <w:widowControl w:val="0"/>
                  <w:jc w:val="right"/>
                </w:pPr>
              </w:p>
            </w:tc>
            <w:tc>
              <w:tcPr>
                <w:tcW w:w="1275" w:type="dxa"/>
                <w:vMerge w:val="continue"/>
                <w:vAlign w:val="center"/>
              </w:tcPr>
              <w:p w14:paraId="2D253E44">
                <w:pPr>
                  <w:widowControl w:val="0"/>
                  <w:jc w:val="right"/>
                </w:pPr>
              </w:p>
            </w:tc>
            <w:tc>
              <w:tcPr>
                <w:tcW w:w="1985" w:type="dxa"/>
                <w:vMerge w:val="continue"/>
                <w:vAlign w:val="center"/>
              </w:tcPr>
              <w:p w14:paraId="0CA37CB7">
                <w:pPr>
                  <w:pStyle w:val="48"/>
                  <w:jc w:val="center"/>
                </w:pPr>
              </w:p>
            </w:tc>
            <w:tc>
              <w:tcPr>
                <w:tcW w:w="992" w:type="dxa"/>
                <w:vMerge w:val="continue"/>
                <w:vAlign w:val="center"/>
              </w:tcPr>
              <w:p w14:paraId="243F0006">
                <w:pPr>
                  <w:widowControl w:val="0"/>
                  <w:jc w:val="right"/>
                </w:pPr>
              </w:p>
            </w:tc>
            <w:tc>
              <w:tcPr>
                <w:tcW w:w="904" w:type="dxa"/>
                <w:vMerge w:val="continue"/>
                <w:vAlign w:val="center"/>
              </w:tcPr>
              <w:p w14:paraId="75E285EE">
                <w:pPr>
                  <w:pStyle w:val="48"/>
                  <w:jc w:val="center"/>
                  <w:rPr>
                    <w14:ligatures w14:val="standardContextual"/>
                  </w:rPr>
                </w:pPr>
              </w:p>
            </w:tc>
          </w:tr>
          <w:tr w14:paraId="51EB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5" w:type="dxa"/>
                <w:vMerge w:val="restart"/>
                <w:vAlign w:val="center"/>
              </w:tcPr>
              <w:p w14:paraId="319BCAE5">
                <w:pPr>
                  <w:widowControl w:val="0"/>
                  <w:jc w:val="both"/>
                </w:pPr>
                <w:r>
                  <w:t>张国栋</w:t>
                </w:r>
              </w:p>
            </w:tc>
            <w:tc>
              <w:tcPr>
                <w:tcW w:w="2132" w:type="dxa"/>
                <w:vAlign w:val="center"/>
              </w:tcPr>
              <w:p w14:paraId="0A92DAD6">
                <w:pPr>
                  <w:pStyle w:val="48"/>
                </w:pPr>
                <w:r>
                  <w:rPr>
                    <w:rFonts w:hint="eastAsia"/>
                  </w:rPr>
                  <w:t>董事</w:t>
                </w:r>
              </w:p>
            </w:tc>
            <w:tc>
              <w:tcPr>
                <w:tcW w:w="567" w:type="dxa"/>
                <w:vMerge w:val="restart"/>
                <w:vAlign w:val="center"/>
              </w:tcPr>
              <w:p w14:paraId="6128AF28">
                <w:pPr>
                  <w:widowControl w:val="0"/>
                  <w:jc w:val="center"/>
                </w:pPr>
                <w:r>
                  <w:rPr>
                    <w:rFonts w:hint="eastAsia"/>
                  </w:rPr>
                  <w:t>男</w:t>
                </w:r>
              </w:p>
            </w:tc>
            <w:tc>
              <w:tcPr>
                <w:tcW w:w="567" w:type="dxa"/>
                <w:vMerge w:val="restart"/>
                <w:vAlign w:val="center"/>
              </w:tcPr>
              <w:p w14:paraId="3CA71F02">
                <w:pPr>
                  <w:pStyle w:val="48"/>
                </w:pPr>
                <w:r>
                  <w:rPr>
                    <w:rFonts w:hint="eastAsia"/>
                  </w:rPr>
                  <w:t>50</w:t>
                </w:r>
              </w:p>
            </w:tc>
            <w:tc>
              <w:tcPr>
                <w:tcW w:w="1417" w:type="dxa"/>
                <w:vAlign w:val="center"/>
              </w:tcPr>
              <w:p w14:paraId="56785B2F">
                <w:pPr>
                  <w:widowControl w:val="0"/>
                  <w:jc w:val="both"/>
                  <w:rPr>
                    <w:sz w:val="24"/>
                  </w:rPr>
                </w:pPr>
                <w:r>
                  <w:t>2019-05-10</w:t>
                </w:r>
              </w:p>
            </w:tc>
            <w:tc>
              <w:tcPr>
                <w:tcW w:w="1276" w:type="dxa"/>
                <w:vAlign w:val="center"/>
              </w:tcPr>
              <w:p w14:paraId="49EE4E5F">
                <w:pPr>
                  <w:pStyle w:val="48"/>
                  <w:rPr>
                    <w:rFonts w:ascii="Times New Roman" w:hAnsi="Times New Roman"/>
                  </w:rPr>
                </w:pPr>
                <w:r>
                  <w:rPr>
                    <w:rFonts w:ascii="Times New Roman" w:hAnsi="Times New Roman"/>
                  </w:rPr>
                  <w:t>2025-11-03</w:t>
                </w:r>
              </w:p>
            </w:tc>
            <w:tc>
              <w:tcPr>
                <w:tcW w:w="1276" w:type="dxa"/>
                <w:vMerge w:val="restart"/>
                <w:vAlign w:val="center"/>
              </w:tcPr>
              <w:p w14:paraId="6AE595DB">
                <w:pPr>
                  <w:widowControl w:val="0"/>
                  <w:jc w:val="right"/>
                  <w:rPr>
                    <w:sz w:val="24"/>
                  </w:rPr>
                </w:pPr>
                <w:r>
                  <w:t>264,120</w:t>
                </w:r>
              </w:p>
            </w:tc>
            <w:tc>
              <w:tcPr>
                <w:tcW w:w="1276" w:type="dxa"/>
                <w:vMerge w:val="restart"/>
                <w:vAlign w:val="center"/>
              </w:tcPr>
              <w:p w14:paraId="4C03739D">
                <w:pPr>
                  <w:widowControl w:val="0"/>
                  <w:jc w:val="right"/>
                </w:pPr>
                <w:r>
                  <w:t>264,120</w:t>
                </w:r>
              </w:p>
            </w:tc>
            <w:tc>
              <w:tcPr>
                <w:tcW w:w="1275" w:type="dxa"/>
                <w:vMerge w:val="restart"/>
                <w:vAlign w:val="center"/>
              </w:tcPr>
              <w:p w14:paraId="1AE2FFDA">
                <w:pPr>
                  <w:widowControl w:val="0"/>
                  <w:jc w:val="right"/>
                </w:pPr>
                <w:r>
                  <w:t>0</w:t>
                </w:r>
              </w:p>
            </w:tc>
            <w:tc>
              <w:tcPr>
                <w:tcW w:w="1985" w:type="dxa"/>
                <w:vMerge w:val="restart"/>
                <w:vAlign w:val="center"/>
              </w:tcPr>
              <w:p w14:paraId="68E38BB0">
                <w:pPr>
                  <w:pStyle w:val="48"/>
                  <w:jc w:val="center"/>
                </w:pPr>
                <w:r>
                  <w:rPr>
                    <w:rFonts w:hint="eastAsia"/>
                  </w:rPr>
                  <w:t>不适用</w:t>
                </w:r>
              </w:p>
            </w:tc>
            <w:tc>
              <w:tcPr>
                <w:tcW w:w="992" w:type="dxa"/>
                <w:vMerge w:val="restart"/>
                <w:vAlign w:val="center"/>
              </w:tcPr>
              <w:p w14:paraId="2ACAE288">
                <w:pPr>
                  <w:widowControl w:val="0"/>
                  <w:jc w:val="right"/>
                </w:pPr>
                <w:r>
                  <w:t>214.32</w:t>
                </w:r>
              </w:p>
            </w:tc>
            <w:sdt>
              <w:sdtPr>
                <w:rPr>
                  <w14:ligatures w14:val="standardContextual"/>
                </w:rPr>
                <w:alias w:val="董事、监事、高级管理人员是否在公司关联方获取报酬"/>
                <w:tag w:val="_GBC_ca79c4e139754ecd84ca3e60eb23b31d"/>
                <w:id w:val="209693586"/>
                <w:comboBox>
                  <w:listItem w:displayText="是" w:value="是"/>
                  <w:listItem w:displayText="否" w:value="否"/>
                </w:comboBox>
              </w:sdtPr>
              <w:sdtEndPr>
                <w:rPr>
                  <w14:ligatures w14:val="standardContextual"/>
                </w:rPr>
              </w:sdtEndPr>
              <w:sdtContent>
                <w:tc>
                  <w:tcPr>
                    <w:tcW w:w="904" w:type="dxa"/>
                    <w:vMerge w:val="restart"/>
                    <w:vAlign w:val="center"/>
                  </w:tcPr>
                  <w:p w14:paraId="3CD2B75E">
                    <w:pPr>
                      <w:widowControl w:val="0"/>
                      <w:jc w:val="center"/>
                      <w:rPr>
                        <w:rFonts w:eastAsia="Times New Roman"/>
                      </w:rPr>
                    </w:pPr>
                    <w:r>
                      <w:rPr>
                        <w14:ligatures w14:val="standardContextual"/>
                      </w:rPr>
                      <w:t>否</w:t>
                    </w:r>
                  </w:p>
                </w:tc>
              </w:sdtContent>
            </w:sdt>
          </w:tr>
          <w:tr w14:paraId="6A12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135" w:type="dxa"/>
                <w:vMerge w:val="continue"/>
                <w:vAlign w:val="center"/>
              </w:tcPr>
              <w:p w14:paraId="04E9ECFC">
                <w:pPr>
                  <w:widowControl w:val="0"/>
                  <w:jc w:val="both"/>
                </w:pPr>
              </w:p>
            </w:tc>
            <w:tc>
              <w:tcPr>
                <w:tcW w:w="2132" w:type="dxa"/>
                <w:vAlign w:val="center"/>
              </w:tcPr>
              <w:p w14:paraId="18DBD76F">
                <w:pPr>
                  <w:pStyle w:val="48"/>
                </w:pPr>
                <w:r>
                  <w:rPr>
                    <w:rFonts w:hint="eastAsia"/>
                  </w:rPr>
                  <w:t>职工代表董事</w:t>
                </w:r>
              </w:p>
            </w:tc>
            <w:tc>
              <w:tcPr>
                <w:tcW w:w="567" w:type="dxa"/>
                <w:vMerge w:val="continue"/>
                <w:vAlign w:val="center"/>
              </w:tcPr>
              <w:p w14:paraId="071E493A">
                <w:pPr>
                  <w:widowControl w:val="0"/>
                  <w:jc w:val="center"/>
                </w:pPr>
              </w:p>
            </w:tc>
            <w:tc>
              <w:tcPr>
                <w:tcW w:w="567" w:type="dxa"/>
                <w:vMerge w:val="continue"/>
                <w:vAlign w:val="center"/>
              </w:tcPr>
              <w:p w14:paraId="4EC86834">
                <w:pPr>
                  <w:pStyle w:val="48"/>
                </w:pPr>
              </w:p>
            </w:tc>
            <w:tc>
              <w:tcPr>
                <w:tcW w:w="1417" w:type="dxa"/>
                <w:vAlign w:val="center"/>
              </w:tcPr>
              <w:p w14:paraId="090A887F">
                <w:pPr>
                  <w:widowControl w:val="0"/>
                  <w:jc w:val="both"/>
                </w:pPr>
                <w:r>
                  <w:t>2025-11-03</w:t>
                </w:r>
              </w:p>
            </w:tc>
            <w:tc>
              <w:tcPr>
                <w:tcW w:w="1276" w:type="dxa"/>
                <w:vAlign w:val="center"/>
              </w:tcPr>
              <w:p w14:paraId="5E7921DA">
                <w:pPr>
                  <w:pStyle w:val="48"/>
                  <w:rPr>
                    <w:rFonts w:ascii="Times New Roman" w:hAnsi="Times New Roman"/>
                  </w:rPr>
                </w:pPr>
                <w:r>
                  <w:rPr>
                    <w:rFonts w:ascii="Times New Roman" w:hAnsi="Times New Roman"/>
                  </w:rPr>
                  <w:t>2026-09-07</w:t>
                </w:r>
              </w:p>
            </w:tc>
            <w:tc>
              <w:tcPr>
                <w:tcW w:w="1276" w:type="dxa"/>
                <w:vMerge w:val="continue"/>
                <w:vAlign w:val="center"/>
              </w:tcPr>
              <w:p w14:paraId="41E17EF9">
                <w:pPr>
                  <w:widowControl w:val="0"/>
                  <w:jc w:val="right"/>
                </w:pPr>
              </w:p>
            </w:tc>
            <w:tc>
              <w:tcPr>
                <w:tcW w:w="1276" w:type="dxa"/>
                <w:vMerge w:val="continue"/>
                <w:vAlign w:val="center"/>
              </w:tcPr>
              <w:p w14:paraId="39B0A9A2">
                <w:pPr>
                  <w:widowControl w:val="0"/>
                  <w:jc w:val="right"/>
                </w:pPr>
              </w:p>
            </w:tc>
            <w:tc>
              <w:tcPr>
                <w:tcW w:w="1275" w:type="dxa"/>
                <w:vMerge w:val="continue"/>
                <w:vAlign w:val="center"/>
              </w:tcPr>
              <w:p w14:paraId="28042704">
                <w:pPr>
                  <w:widowControl w:val="0"/>
                  <w:jc w:val="right"/>
                </w:pPr>
              </w:p>
            </w:tc>
            <w:tc>
              <w:tcPr>
                <w:tcW w:w="1985" w:type="dxa"/>
                <w:vMerge w:val="continue"/>
                <w:vAlign w:val="center"/>
              </w:tcPr>
              <w:p w14:paraId="19A29843">
                <w:pPr>
                  <w:pStyle w:val="48"/>
                  <w:jc w:val="center"/>
                </w:pPr>
              </w:p>
            </w:tc>
            <w:tc>
              <w:tcPr>
                <w:tcW w:w="992" w:type="dxa"/>
                <w:vMerge w:val="continue"/>
                <w:vAlign w:val="center"/>
              </w:tcPr>
              <w:p w14:paraId="3A99B4C2">
                <w:pPr>
                  <w:widowControl w:val="0"/>
                  <w:jc w:val="right"/>
                </w:pPr>
              </w:p>
            </w:tc>
            <w:tc>
              <w:tcPr>
                <w:tcW w:w="904" w:type="dxa"/>
                <w:vMerge w:val="continue"/>
                <w:vAlign w:val="center"/>
              </w:tcPr>
              <w:p w14:paraId="7212174A">
                <w:pPr>
                  <w:widowControl w:val="0"/>
                  <w:jc w:val="center"/>
                  <w:rPr>
                    <w14:ligatures w14:val="standardContextual"/>
                  </w:rPr>
                </w:pPr>
              </w:p>
            </w:tc>
          </w:tr>
          <w:tr w14:paraId="70D6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135" w:type="dxa"/>
                <w:vMerge w:val="continue"/>
                <w:vAlign w:val="center"/>
              </w:tcPr>
              <w:p w14:paraId="2F9DA12A">
                <w:pPr>
                  <w:widowControl w:val="0"/>
                  <w:jc w:val="both"/>
                </w:pPr>
              </w:p>
            </w:tc>
            <w:tc>
              <w:tcPr>
                <w:tcW w:w="2132" w:type="dxa"/>
                <w:vAlign w:val="center"/>
              </w:tcPr>
              <w:p w14:paraId="44BBF23E">
                <w:pPr>
                  <w:pStyle w:val="48"/>
                </w:pPr>
                <w:r>
                  <w:rPr>
                    <w:rFonts w:hint="eastAsia"/>
                  </w:rPr>
                  <w:t>副总裁</w:t>
                </w:r>
              </w:p>
            </w:tc>
            <w:tc>
              <w:tcPr>
                <w:tcW w:w="567" w:type="dxa"/>
                <w:vMerge w:val="continue"/>
                <w:vAlign w:val="center"/>
              </w:tcPr>
              <w:p w14:paraId="07A6389A">
                <w:pPr>
                  <w:widowControl w:val="0"/>
                  <w:jc w:val="center"/>
                </w:pPr>
              </w:p>
            </w:tc>
            <w:tc>
              <w:tcPr>
                <w:tcW w:w="567" w:type="dxa"/>
                <w:vMerge w:val="continue"/>
                <w:vAlign w:val="center"/>
              </w:tcPr>
              <w:p w14:paraId="408F4B6A">
                <w:pPr>
                  <w:pStyle w:val="48"/>
                </w:pPr>
              </w:p>
            </w:tc>
            <w:tc>
              <w:tcPr>
                <w:tcW w:w="1417" w:type="dxa"/>
                <w:vAlign w:val="center"/>
              </w:tcPr>
              <w:p w14:paraId="38B94547">
                <w:pPr>
                  <w:widowControl w:val="0"/>
                  <w:jc w:val="both"/>
                </w:pPr>
                <w:r>
                  <w:t>2018-05-13</w:t>
                </w:r>
              </w:p>
            </w:tc>
            <w:tc>
              <w:tcPr>
                <w:tcW w:w="1276" w:type="dxa"/>
                <w:vAlign w:val="center"/>
              </w:tcPr>
              <w:p w14:paraId="3FBAC7EB">
                <w:pPr>
                  <w:pStyle w:val="48"/>
                  <w:rPr>
                    <w:rFonts w:ascii="Times New Roman" w:hAnsi="Times New Roman"/>
                  </w:rPr>
                </w:pPr>
                <w:r>
                  <w:rPr>
                    <w:rFonts w:ascii="Times New Roman" w:hAnsi="Times New Roman"/>
                  </w:rPr>
                  <w:t>2026-09-07</w:t>
                </w:r>
              </w:p>
            </w:tc>
            <w:tc>
              <w:tcPr>
                <w:tcW w:w="1276" w:type="dxa"/>
                <w:vMerge w:val="continue"/>
                <w:vAlign w:val="center"/>
              </w:tcPr>
              <w:p w14:paraId="6CEF98E8">
                <w:pPr>
                  <w:widowControl w:val="0"/>
                  <w:jc w:val="right"/>
                </w:pPr>
              </w:p>
            </w:tc>
            <w:tc>
              <w:tcPr>
                <w:tcW w:w="1276" w:type="dxa"/>
                <w:vMerge w:val="continue"/>
                <w:vAlign w:val="center"/>
              </w:tcPr>
              <w:p w14:paraId="096291F5">
                <w:pPr>
                  <w:widowControl w:val="0"/>
                  <w:jc w:val="right"/>
                </w:pPr>
              </w:p>
            </w:tc>
            <w:tc>
              <w:tcPr>
                <w:tcW w:w="1275" w:type="dxa"/>
                <w:vMerge w:val="continue"/>
                <w:vAlign w:val="center"/>
              </w:tcPr>
              <w:p w14:paraId="664DF23D">
                <w:pPr>
                  <w:widowControl w:val="0"/>
                  <w:jc w:val="right"/>
                </w:pPr>
              </w:p>
            </w:tc>
            <w:tc>
              <w:tcPr>
                <w:tcW w:w="1985" w:type="dxa"/>
                <w:vMerge w:val="continue"/>
                <w:vAlign w:val="center"/>
              </w:tcPr>
              <w:p w14:paraId="36B0DC27">
                <w:pPr>
                  <w:pStyle w:val="48"/>
                  <w:jc w:val="center"/>
                </w:pPr>
              </w:p>
            </w:tc>
            <w:tc>
              <w:tcPr>
                <w:tcW w:w="992" w:type="dxa"/>
                <w:vMerge w:val="continue"/>
                <w:vAlign w:val="center"/>
              </w:tcPr>
              <w:p w14:paraId="253F0A85">
                <w:pPr>
                  <w:widowControl w:val="0"/>
                  <w:jc w:val="right"/>
                </w:pPr>
              </w:p>
            </w:tc>
            <w:tc>
              <w:tcPr>
                <w:tcW w:w="904" w:type="dxa"/>
                <w:vMerge w:val="continue"/>
                <w:vAlign w:val="center"/>
              </w:tcPr>
              <w:p w14:paraId="48806853">
                <w:pPr>
                  <w:widowControl w:val="0"/>
                  <w:jc w:val="center"/>
                  <w:rPr>
                    <w14:ligatures w14:val="standardContextual"/>
                  </w:rPr>
                </w:pPr>
              </w:p>
            </w:tc>
          </w:tr>
          <w:tr w14:paraId="665A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135" w:type="dxa"/>
                <w:vAlign w:val="center"/>
              </w:tcPr>
              <w:p w14:paraId="61BF4662">
                <w:pPr>
                  <w:pStyle w:val="48"/>
                </w:pPr>
                <w:r>
                  <w:t>张文海</w:t>
                </w:r>
              </w:p>
            </w:tc>
            <w:tc>
              <w:tcPr>
                <w:tcW w:w="2132" w:type="dxa"/>
                <w:vAlign w:val="center"/>
              </w:tcPr>
              <w:p w14:paraId="4CCB499D">
                <w:pPr>
                  <w:pStyle w:val="48"/>
                </w:pPr>
                <w:r>
                  <w:rPr>
                    <w:rFonts w:hint="eastAsia"/>
                  </w:rPr>
                  <w:t>董事、副总裁</w:t>
                </w:r>
              </w:p>
            </w:tc>
            <w:tc>
              <w:tcPr>
                <w:tcW w:w="567" w:type="dxa"/>
                <w:vAlign w:val="center"/>
              </w:tcPr>
              <w:p w14:paraId="03945F1D">
                <w:pPr>
                  <w:widowControl w:val="0"/>
                  <w:jc w:val="center"/>
                </w:pPr>
                <w:r>
                  <w:rPr>
                    <w:rFonts w:hint="eastAsia"/>
                  </w:rPr>
                  <w:t>男</w:t>
                </w:r>
              </w:p>
            </w:tc>
            <w:tc>
              <w:tcPr>
                <w:tcW w:w="567" w:type="dxa"/>
                <w:vAlign w:val="center"/>
              </w:tcPr>
              <w:p w14:paraId="6239A41B">
                <w:pPr>
                  <w:pStyle w:val="48"/>
                </w:pPr>
                <w:r>
                  <w:rPr>
                    <w:rFonts w:hint="eastAsia"/>
                  </w:rPr>
                  <w:t>52</w:t>
                </w:r>
              </w:p>
            </w:tc>
            <w:tc>
              <w:tcPr>
                <w:tcW w:w="1417" w:type="dxa"/>
                <w:vAlign w:val="center"/>
              </w:tcPr>
              <w:p w14:paraId="7494C913">
                <w:pPr>
                  <w:pStyle w:val="48"/>
                  <w:rPr>
                    <w:rFonts w:ascii="Times New Roman" w:hAnsi="Times New Roman"/>
                  </w:rPr>
                </w:pPr>
                <w:r>
                  <w:rPr>
                    <w:rFonts w:ascii="Times New Roman" w:hAnsi="Times New Roman"/>
                  </w:rPr>
                  <w:t>2018-05-13</w:t>
                </w:r>
              </w:p>
            </w:tc>
            <w:tc>
              <w:tcPr>
                <w:tcW w:w="1276" w:type="dxa"/>
                <w:vAlign w:val="center"/>
              </w:tcPr>
              <w:p w14:paraId="6B5AE165">
                <w:pPr>
                  <w:pStyle w:val="48"/>
                  <w:rPr>
                    <w:rFonts w:ascii="Times New Roman" w:hAnsi="Times New Roman"/>
                  </w:rPr>
                </w:pPr>
                <w:r>
                  <w:rPr>
                    <w:rFonts w:ascii="Times New Roman" w:hAnsi="Times New Roman"/>
                  </w:rPr>
                  <w:t>2026-09-07</w:t>
                </w:r>
              </w:p>
            </w:tc>
            <w:tc>
              <w:tcPr>
                <w:tcW w:w="1276" w:type="dxa"/>
                <w:vAlign w:val="center"/>
              </w:tcPr>
              <w:p w14:paraId="4E4B8E55">
                <w:pPr>
                  <w:widowControl w:val="0"/>
                  <w:jc w:val="right"/>
                </w:pPr>
                <w:r>
                  <w:t>597,067</w:t>
                </w:r>
              </w:p>
            </w:tc>
            <w:tc>
              <w:tcPr>
                <w:tcW w:w="1276" w:type="dxa"/>
                <w:vAlign w:val="center"/>
              </w:tcPr>
              <w:p w14:paraId="528F59AB">
                <w:pPr>
                  <w:widowControl w:val="0"/>
                  <w:jc w:val="right"/>
                </w:pPr>
                <w:r>
                  <w:t>597,067</w:t>
                </w:r>
              </w:p>
            </w:tc>
            <w:tc>
              <w:tcPr>
                <w:tcW w:w="1275" w:type="dxa"/>
                <w:vAlign w:val="center"/>
              </w:tcPr>
              <w:p w14:paraId="62C3F9FB">
                <w:pPr>
                  <w:widowControl w:val="0"/>
                  <w:jc w:val="right"/>
                </w:pPr>
                <w:r>
                  <w:t>0</w:t>
                </w:r>
              </w:p>
            </w:tc>
            <w:tc>
              <w:tcPr>
                <w:tcW w:w="1985" w:type="dxa"/>
                <w:vAlign w:val="center"/>
              </w:tcPr>
              <w:p w14:paraId="12B8BE04">
                <w:pPr>
                  <w:pStyle w:val="48"/>
                  <w:jc w:val="center"/>
                </w:pPr>
                <w:r>
                  <w:rPr>
                    <w:rFonts w:hint="eastAsia"/>
                  </w:rPr>
                  <w:t>不适用</w:t>
                </w:r>
              </w:p>
            </w:tc>
            <w:tc>
              <w:tcPr>
                <w:tcW w:w="992" w:type="dxa"/>
                <w:vAlign w:val="center"/>
              </w:tcPr>
              <w:p w14:paraId="31854F4B">
                <w:pPr>
                  <w:widowControl w:val="0"/>
                  <w:jc w:val="right"/>
                </w:pPr>
                <w:r>
                  <w:t>184.32</w:t>
                </w:r>
              </w:p>
            </w:tc>
            <w:sdt>
              <w:sdtPr>
                <w:rPr>
                  <w14:ligatures w14:val="standardContextual"/>
                </w:rPr>
                <w:alias w:val="董事、监事、高级管理人员是否在公司关联方获取报酬"/>
                <w:tag w:val="_GBC_ca79c4e139754ecd84ca3e60eb23b31d"/>
                <w:id w:val="1839258611"/>
                <w:comboBox>
                  <w:listItem w:displayText="是" w:value="是"/>
                  <w:listItem w:displayText="否" w:value="否"/>
                </w:comboBox>
              </w:sdtPr>
              <w:sdtEndPr>
                <w:rPr>
                  <w14:ligatures w14:val="standardContextual"/>
                </w:rPr>
              </w:sdtEndPr>
              <w:sdtContent>
                <w:tc>
                  <w:tcPr>
                    <w:tcW w:w="904" w:type="dxa"/>
                    <w:vAlign w:val="center"/>
                  </w:tcPr>
                  <w:p w14:paraId="3036B68C">
                    <w:pPr>
                      <w:widowControl w:val="0"/>
                      <w:jc w:val="center"/>
                      <w:rPr>
                        <w:rFonts w:asciiTheme="minorHAnsi" w:hAnsiTheme="minorHAnsi" w:eastAsiaTheme="minorEastAsia" w:cstheme="minorBidi"/>
                        <w14:ligatures w14:val="standardContextual"/>
                      </w:rPr>
                    </w:pPr>
                    <w:r>
                      <w:rPr>
                        <w14:ligatures w14:val="standardContextual"/>
                      </w:rPr>
                      <w:t>否</w:t>
                    </w:r>
                  </w:p>
                </w:tc>
              </w:sdtContent>
            </w:sdt>
          </w:tr>
          <w:tr w14:paraId="1F28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135" w:type="dxa"/>
                <w:vAlign w:val="center"/>
              </w:tcPr>
              <w:p w14:paraId="6DC6072F">
                <w:pPr>
                  <w:pStyle w:val="48"/>
                </w:pPr>
                <w:r>
                  <w:t>王玮</w:t>
                </w:r>
              </w:p>
            </w:tc>
            <w:tc>
              <w:tcPr>
                <w:tcW w:w="2132" w:type="dxa"/>
                <w:vAlign w:val="center"/>
              </w:tcPr>
              <w:p w14:paraId="57DCCEB5">
                <w:pPr>
                  <w:pStyle w:val="48"/>
                </w:pPr>
                <w:r>
                  <w:t>董事</w:t>
                </w:r>
              </w:p>
            </w:tc>
            <w:tc>
              <w:tcPr>
                <w:tcW w:w="567" w:type="dxa"/>
                <w:vAlign w:val="center"/>
              </w:tcPr>
              <w:p w14:paraId="0BC07EFE">
                <w:pPr>
                  <w:widowControl w:val="0"/>
                  <w:jc w:val="center"/>
                </w:pPr>
                <w:r>
                  <w:rPr>
                    <w:rFonts w:hint="eastAsia"/>
                  </w:rPr>
                  <w:t>男</w:t>
                </w:r>
              </w:p>
            </w:tc>
            <w:tc>
              <w:tcPr>
                <w:tcW w:w="567" w:type="dxa"/>
                <w:vAlign w:val="center"/>
              </w:tcPr>
              <w:p w14:paraId="6D73C7E8">
                <w:pPr>
                  <w:pStyle w:val="48"/>
                </w:pPr>
                <w:r>
                  <w:rPr>
                    <w:rFonts w:hint="eastAsia"/>
                  </w:rPr>
                  <w:t>43</w:t>
                </w:r>
              </w:p>
            </w:tc>
            <w:tc>
              <w:tcPr>
                <w:tcW w:w="1417" w:type="dxa"/>
                <w:vAlign w:val="center"/>
              </w:tcPr>
              <w:p w14:paraId="60BEA410">
                <w:pPr>
                  <w:pStyle w:val="48"/>
                  <w:rPr>
                    <w:rFonts w:ascii="Times New Roman" w:hAnsi="Times New Roman"/>
                  </w:rPr>
                </w:pPr>
                <w:r>
                  <w:rPr>
                    <w:rFonts w:ascii="Times New Roman" w:hAnsi="Times New Roman"/>
                  </w:rPr>
                  <w:t>2020-09-28</w:t>
                </w:r>
              </w:p>
            </w:tc>
            <w:tc>
              <w:tcPr>
                <w:tcW w:w="1276" w:type="dxa"/>
                <w:vAlign w:val="center"/>
              </w:tcPr>
              <w:p w14:paraId="7A66981B">
                <w:pPr>
                  <w:pStyle w:val="48"/>
                  <w:rPr>
                    <w:rFonts w:ascii="Times New Roman" w:hAnsi="Times New Roman"/>
                  </w:rPr>
                </w:pPr>
                <w:r>
                  <w:rPr>
                    <w:rFonts w:ascii="Times New Roman" w:hAnsi="Times New Roman"/>
                  </w:rPr>
                  <w:t>2026-09-07</w:t>
                </w:r>
              </w:p>
            </w:tc>
            <w:tc>
              <w:tcPr>
                <w:tcW w:w="1276" w:type="dxa"/>
                <w:vAlign w:val="center"/>
              </w:tcPr>
              <w:p w14:paraId="40340646">
                <w:pPr>
                  <w:pStyle w:val="48"/>
                  <w:jc w:val="right"/>
                  <w:rPr>
                    <w:rFonts w:ascii="Times New Roman" w:hAnsi="Times New Roman"/>
                  </w:rPr>
                </w:pPr>
                <w:r>
                  <w:rPr>
                    <w:rFonts w:ascii="Times New Roman" w:hAnsi="Times New Roman"/>
                  </w:rPr>
                  <w:t>0</w:t>
                </w:r>
              </w:p>
            </w:tc>
            <w:tc>
              <w:tcPr>
                <w:tcW w:w="1276" w:type="dxa"/>
                <w:vAlign w:val="center"/>
              </w:tcPr>
              <w:p w14:paraId="390092C6">
                <w:pPr>
                  <w:pStyle w:val="48"/>
                  <w:jc w:val="right"/>
                  <w:rPr>
                    <w:rFonts w:ascii="Times New Roman" w:hAnsi="Times New Roman"/>
                  </w:rPr>
                </w:pPr>
                <w:r>
                  <w:rPr>
                    <w:rFonts w:ascii="Times New Roman" w:hAnsi="Times New Roman"/>
                  </w:rPr>
                  <w:t>0</w:t>
                </w:r>
              </w:p>
            </w:tc>
            <w:tc>
              <w:tcPr>
                <w:tcW w:w="1275" w:type="dxa"/>
                <w:vAlign w:val="center"/>
              </w:tcPr>
              <w:p w14:paraId="102CCE4D">
                <w:pPr>
                  <w:widowControl w:val="0"/>
                  <w:jc w:val="right"/>
                </w:pPr>
                <w:r>
                  <w:t>0</w:t>
                </w:r>
              </w:p>
            </w:tc>
            <w:tc>
              <w:tcPr>
                <w:tcW w:w="1985" w:type="dxa"/>
                <w:vAlign w:val="center"/>
              </w:tcPr>
              <w:p w14:paraId="11DCE844">
                <w:pPr>
                  <w:pStyle w:val="48"/>
                  <w:jc w:val="center"/>
                </w:pPr>
                <w:r>
                  <w:rPr>
                    <w:rFonts w:hint="eastAsia"/>
                  </w:rPr>
                  <w:t>不适用</w:t>
                </w:r>
              </w:p>
            </w:tc>
            <w:tc>
              <w:tcPr>
                <w:tcW w:w="992" w:type="dxa"/>
                <w:vAlign w:val="center"/>
              </w:tcPr>
              <w:p w14:paraId="7246B333">
                <w:pPr>
                  <w:widowControl w:val="0"/>
                  <w:jc w:val="right"/>
                </w:pPr>
                <w:r>
                  <w:t>0</w:t>
                </w:r>
              </w:p>
            </w:tc>
            <w:sdt>
              <w:sdtPr>
                <w:rPr>
                  <w14:ligatures w14:val="standardContextual"/>
                </w:rPr>
                <w:alias w:val="董事、监事、高级管理人员是否在公司关联方获取报酬"/>
                <w:tag w:val="_GBC_ca79c4e139754ecd84ca3e60eb23b31d"/>
                <w:id w:val="1821852649"/>
                <w:comboBox>
                  <w:listItem w:displayText="是" w:value="是"/>
                  <w:listItem w:displayText="否" w:value="否"/>
                </w:comboBox>
              </w:sdtPr>
              <w:sdtEndPr>
                <w:rPr>
                  <w14:ligatures w14:val="standardContextual"/>
                </w:rPr>
              </w:sdtEndPr>
              <w:sdtContent>
                <w:tc>
                  <w:tcPr>
                    <w:tcW w:w="904" w:type="dxa"/>
                    <w:vAlign w:val="center"/>
                  </w:tcPr>
                  <w:p w14:paraId="192AA284">
                    <w:pPr>
                      <w:widowControl w:val="0"/>
                      <w:jc w:val="center"/>
                      <w:rPr>
                        <w:rFonts w:asciiTheme="minorHAnsi" w:hAnsiTheme="minorHAnsi" w:eastAsiaTheme="minorEastAsia" w:cstheme="minorBidi"/>
                        <w14:ligatures w14:val="standardContextual"/>
                      </w:rPr>
                    </w:pPr>
                    <w:r>
                      <w:rPr>
                        <w14:ligatures w14:val="standardContextual"/>
                      </w:rPr>
                      <w:t>否</w:t>
                    </w:r>
                  </w:p>
                </w:tc>
              </w:sdtContent>
            </w:sdt>
          </w:tr>
          <w:tr w14:paraId="3424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135" w:type="dxa"/>
                <w:vAlign w:val="center"/>
              </w:tcPr>
              <w:p w14:paraId="0E9D79FF">
                <w:pPr>
                  <w:pStyle w:val="48"/>
                </w:pPr>
                <w:r>
                  <w:t>曾健纯</w:t>
                </w:r>
              </w:p>
            </w:tc>
            <w:tc>
              <w:tcPr>
                <w:tcW w:w="2132" w:type="dxa"/>
                <w:vAlign w:val="center"/>
              </w:tcPr>
              <w:p w14:paraId="4F126B55">
                <w:pPr>
                  <w:pStyle w:val="48"/>
                </w:pPr>
                <w:r>
                  <w:t>董事</w:t>
                </w:r>
              </w:p>
            </w:tc>
            <w:tc>
              <w:tcPr>
                <w:tcW w:w="567" w:type="dxa"/>
                <w:vAlign w:val="center"/>
              </w:tcPr>
              <w:p w14:paraId="5996E791">
                <w:pPr>
                  <w:widowControl w:val="0"/>
                  <w:jc w:val="center"/>
                </w:pPr>
                <w:r>
                  <w:rPr>
                    <w:rFonts w:hint="eastAsia"/>
                  </w:rPr>
                  <w:t>男</w:t>
                </w:r>
              </w:p>
            </w:tc>
            <w:tc>
              <w:tcPr>
                <w:tcW w:w="567" w:type="dxa"/>
                <w:vAlign w:val="center"/>
              </w:tcPr>
              <w:p w14:paraId="1A479D8F">
                <w:pPr>
                  <w:widowControl w:val="0"/>
                  <w:jc w:val="both"/>
                  <w:rPr>
                    <w:sz w:val="24"/>
                  </w:rPr>
                </w:pPr>
                <w:r>
                  <w:t>36</w:t>
                </w:r>
              </w:p>
            </w:tc>
            <w:tc>
              <w:tcPr>
                <w:tcW w:w="1417" w:type="dxa"/>
                <w:vAlign w:val="center"/>
              </w:tcPr>
              <w:p w14:paraId="7A614F6F">
                <w:pPr>
                  <w:pStyle w:val="48"/>
                  <w:rPr>
                    <w:rFonts w:ascii="Times New Roman" w:hAnsi="Times New Roman"/>
                  </w:rPr>
                </w:pPr>
                <w:r>
                  <w:rPr>
                    <w:rFonts w:ascii="Times New Roman" w:hAnsi="Times New Roman"/>
                  </w:rPr>
                  <w:t>2023-09-07</w:t>
                </w:r>
              </w:p>
            </w:tc>
            <w:tc>
              <w:tcPr>
                <w:tcW w:w="1276" w:type="dxa"/>
                <w:vAlign w:val="center"/>
              </w:tcPr>
              <w:p w14:paraId="160BF9CA">
                <w:pPr>
                  <w:pStyle w:val="48"/>
                  <w:rPr>
                    <w:rFonts w:ascii="Times New Roman" w:hAnsi="Times New Roman"/>
                  </w:rPr>
                </w:pPr>
                <w:r>
                  <w:rPr>
                    <w:rFonts w:ascii="Times New Roman" w:hAnsi="Times New Roman"/>
                  </w:rPr>
                  <w:t>2026-09-07</w:t>
                </w:r>
              </w:p>
            </w:tc>
            <w:tc>
              <w:tcPr>
                <w:tcW w:w="1276" w:type="dxa"/>
                <w:vAlign w:val="center"/>
              </w:tcPr>
              <w:p w14:paraId="135A956D">
                <w:pPr>
                  <w:pStyle w:val="48"/>
                  <w:jc w:val="right"/>
                  <w:rPr>
                    <w:rFonts w:ascii="Times New Roman" w:hAnsi="Times New Roman"/>
                  </w:rPr>
                </w:pPr>
                <w:r>
                  <w:rPr>
                    <w:rFonts w:ascii="Times New Roman" w:hAnsi="Times New Roman"/>
                  </w:rPr>
                  <w:t>0</w:t>
                </w:r>
              </w:p>
            </w:tc>
            <w:tc>
              <w:tcPr>
                <w:tcW w:w="1276" w:type="dxa"/>
                <w:vAlign w:val="center"/>
              </w:tcPr>
              <w:p w14:paraId="1CF0705F">
                <w:pPr>
                  <w:pStyle w:val="48"/>
                  <w:jc w:val="right"/>
                  <w:rPr>
                    <w:rFonts w:ascii="Times New Roman" w:hAnsi="Times New Roman"/>
                  </w:rPr>
                </w:pPr>
                <w:r>
                  <w:rPr>
                    <w:rFonts w:ascii="Times New Roman" w:hAnsi="Times New Roman"/>
                  </w:rPr>
                  <w:t>0</w:t>
                </w:r>
              </w:p>
            </w:tc>
            <w:tc>
              <w:tcPr>
                <w:tcW w:w="1275" w:type="dxa"/>
                <w:vAlign w:val="center"/>
              </w:tcPr>
              <w:p w14:paraId="792588F4">
                <w:pPr>
                  <w:widowControl w:val="0"/>
                  <w:jc w:val="right"/>
                </w:pPr>
                <w:r>
                  <w:t>0</w:t>
                </w:r>
              </w:p>
            </w:tc>
            <w:tc>
              <w:tcPr>
                <w:tcW w:w="1985" w:type="dxa"/>
                <w:vAlign w:val="center"/>
              </w:tcPr>
              <w:p w14:paraId="5AD7788D">
                <w:pPr>
                  <w:pStyle w:val="48"/>
                  <w:jc w:val="center"/>
                </w:pPr>
                <w:r>
                  <w:rPr>
                    <w:rFonts w:hint="eastAsia"/>
                  </w:rPr>
                  <w:t>不适用</w:t>
                </w:r>
              </w:p>
            </w:tc>
            <w:tc>
              <w:tcPr>
                <w:tcW w:w="992" w:type="dxa"/>
                <w:vAlign w:val="center"/>
              </w:tcPr>
              <w:p w14:paraId="30BD5C47">
                <w:pPr>
                  <w:widowControl w:val="0"/>
                  <w:jc w:val="right"/>
                </w:pPr>
                <w:r>
                  <w:t>0</w:t>
                </w:r>
              </w:p>
            </w:tc>
            <w:sdt>
              <w:sdtPr>
                <w:rPr>
                  <w14:ligatures w14:val="standardContextual"/>
                </w:rPr>
                <w:alias w:val="董事、监事、高级管理人员是否在公司关联方获取报酬"/>
                <w:tag w:val="_GBC_ca79c4e139754ecd84ca3e60eb23b31d"/>
                <w:id w:val="-2011430206"/>
                <w:comboBox>
                  <w:listItem w:displayText="是" w:value="是"/>
                  <w:listItem w:displayText="否" w:value="否"/>
                </w:comboBox>
              </w:sdtPr>
              <w:sdtEndPr>
                <w:rPr>
                  <w14:ligatures w14:val="standardContextual"/>
                </w:rPr>
              </w:sdtEndPr>
              <w:sdtContent>
                <w:tc>
                  <w:tcPr>
                    <w:tcW w:w="904" w:type="dxa"/>
                    <w:vAlign w:val="center"/>
                  </w:tcPr>
                  <w:p w14:paraId="1D1D3774">
                    <w:pPr>
                      <w:widowControl w:val="0"/>
                      <w:jc w:val="center"/>
                      <w:rPr>
                        <w:rFonts w:asciiTheme="minorHAnsi" w:hAnsiTheme="minorHAnsi" w:eastAsiaTheme="minorEastAsia" w:cstheme="minorBidi"/>
                        <w14:ligatures w14:val="standardContextual"/>
                      </w:rPr>
                    </w:pPr>
                    <w:r>
                      <w:rPr>
                        <w14:ligatures w14:val="standardContextual"/>
                      </w:rPr>
                      <w:t>否</w:t>
                    </w:r>
                  </w:p>
                </w:tc>
              </w:sdtContent>
            </w:sdt>
          </w:tr>
          <w:tr w14:paraId="2DAC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135" w:type="dxa"/>
                <w:vAlign w:val="center"/>
              </w:tcPr>
              <w:p w14:paraId="1D6AAF3E">
                <w:pPr>
                  <w:pStyle w:val="48"/>
                </w:pPr>
                <w:r>
                  <w:t>毕焱</w:t>
                </w:r>
              </w:p>
            </w:tc>
            <w:tc>
              <w:tcPr>
                <w:tcW w:w="2132" w:type="dxa"/>
                <w:vAlign w:val="center"/>
              </w:tcPr>
              <w:p w14:paraId="0F81F69D">
                <w:pPr>
                  <w:pStyle w:val="48"/>
                </w:pPr>
                <w:r>
                  <w:t>独立董事</w:t>
                </w:r>
              </w:p>
            </w:tc>
            <w:tc>
              <w:tcPr>
                <w:tcW w:w="567" w:type="dxa"/>
                <w:vAlign w:val="center"/>
              </w:tcPr>
              <w:p w14:paraId="7A2D2432">
                <w:pPr>
                  <w:widowControl w:val="0"/>
                  <w:jc w:val="center"/>
                </w:pPr>
                <w:r>
                  <w:rPr>
                    <w:rFonts w:hint="eastAsia"/>
                  </w:rPr>
                  <w:t>女</w:t>
                </w:r>
              </w:p>
            </w:tc>
            <w:tc>
              <w:tcPr>
                <w:tcW w:w="567" w:type="dxa"/>
                <w:vAlign w:val="center"/>
              </w:tcPr>
              <w:p w14:paraId="22B370D1">
                <w:pPr>
                  <w:pStyle w:val="48"/>
                </w:pPr>
                <w:r>
                  <w:t>60</w:t>
                </w:r>
              </w:p>
            </w:tc>
            <w:tc>
              <w:tcPr>
                <w:tcW w:w="1417" w:type="dxa"/>
                <w:vAlign w:val="center"/>
              </w:tcPr>
              <w:p w14:paraId="4CEAF157">
                <w:pPr>
                  <w:pStyle w:val="48"/>
                  <w:rPr>
                    <w:rFonts w:ascii="Times New Roman" w:hAnsi="Times New Roman"/>
                  </w:rPr>
                </w:pPr>
                <w:r>
                  <w:rPr>
                    <w:rFonts w:ascii="Times New Roman" w:hAnsi="Times New Roman"/>
                  </w:rPr>
                  <w:t>2020-09-28</w:t>
                </w:r>
              </w:p>
            </w:tc>
            <w:tc>
              <w:tcPr>
                <w:tcW w:w="1276" w:type="dxa"/>
                <w:vAlign w:val="center"/>
              </w:tcPr>
              <w:p w14:paraId="7EF1D712">
                <w:pPr>
                  <w:pStyle w:val="48"/>
                  <w:rPr>
                    <w:rFonts w:ascii="Times New Roman" w:hAnsi="Times New Roman"/>
                  </w:rPr>
                </w:pPr>
                <w:r>
                  <w:rPr>
                    <w:rFonts w:ascii="Times New Roman" w:hAnsi="Times New Roman"/>
                  </w:rPr>
                  <w:t>2026-09-07</w:t>
                </w:r>
              </w:p>
            </w:tc>
            <w:tc>
              <w:tcPr>
                <w:tcW w:w="1276" w:type="dxa"/>
                <w:vAlign w:val="center"/>
              </w:tcPr>
              <w:p w14:paraId="01E7BCB0">
                <w:pPr>
                  <w:pStyle w:val="48"/>
                  <w:jc w:val="right"/>
                  <w:rPr>
                    <w:rFonts w:ascii="Times New Roman" w:hAnsi="Times New Roman"/>
                  </w:rPr>
                </w:pPr>
                <w:r>
                  <w:rPr>
                    <w:rFonts w:ascii="Times New Roman" w:hAnsi="Times New Roman"/>
                  </w:rPr>
                  <w:t>0</w:t>
                </w:r>
              </w:p>
            </w:tc>
            <w:tc>
              <w:tcPr>
                <w:tcW w:w="1276" w:type="dxa"/>
                <w:vAlign w:val="center"/>
              </w:tcPr>
              <w:p w14:paraId="34D43FB9">
                <w:pPr>
                  <w:pStyle w:val="48"/>
                  <w:jc w:val="right"/>
                  <w:rPr>
                    <w:rFonts w:ascii="Times New Roman" w:hAnsi="Times New Roman"/>
                  </w:rPr>
                </w:pPr>
                <w:r>
                  <w:rPr>
                    <w:rFonts w:ascii="Times New Roman" w:hAnsi="Times New Roman"/>
                  </w:rPr>
                  <w:t>0</w:t>
                </w:r>
              </w:p>
            </w:tc>
            <w:tc>
              <w:tcPr>
                <w:tcW w:w="1275" w:type="dxa"/>
                <w:vAlign w:val="center"/>
              </w:tcPr>
              <w:p w14:paraId="6E9EE4EA">
                <w:pPr>
                  <w:widowControl w:val="0"/>
                  <w:jc w:val="right"/>
                </w:pPr>
                <w:r>
                  <w:t>0</w:t>
                </w:r>
              </w:p>
            </w:tc>
            <w:tc>
              <w:tcPr>
                <w:tcW w:w="1985" w:type="dxa"/>
                <w:vAlign w:val="center"/>
              </w:tcPr>
              <w:p w14:paraId="47C3E242">
                <w:pPr>
                  <w:pStyle w:val="48"/>
                  <w:jc w:val="center"/>
                </w:pPr>
                <w:r>
                  <w:rPr>
                    <w:rFonts w:hint="eastAsia"/>
                  </w:rPr>
                  <w:t>不适用</w:t>
                </w:r>
              </w:p>
            </w:tc>
            <w:tc>
              <w:tcPr>
                <w:tcW w:w="992" w:type="dxa"/>
                <w:vAlign w:val="center"/>
              </w:tcPr>
              <w:p w14:paraId="35261F1B">
                <w:pPr>
                  <w:widowControl w:val="0"/>
                  <w:jc w:val="right"/>
                </w:pPr>
                <w:r>
                  <w:t>10.00</w:t>
                </w:r>
              </w:p>
            </w:tc>
            <w:sdt>
              <w:sdtPr>
                <w:rPr>
                  <w14:ligatures w14:val="standardContextual"/>
                </w:rPr>
                <w:alias w:val="董事、监事、高级管理人员是否在公司关联方获取报酬"/>
                <w:tag w:val="_GBC_ca79c4e139754ecd84ca3e60eb23b31d"/>
                <w:id w:val="693267788"/>
                <w:comboBox>
                  <w:listItem w:displayText="是" w:value="是"/>
                  <w:listItem w:displayText="否" w:value="否"/>
                </w:comboBox>
              </w:sdtPr>
              <w:sdtEndPr>
                <w:rPr>
                  <w14:ligatures w14:val="standardContextual"/>
                </w:rPr>
              </w:sdtEndPr>
              <w:sdtContent>
                <w:tc>
                  <w:tcPr>
                    <w:tcW w:w="904" w:type="dxa"/>
                    <w:vAlign w:val="center"/>
                  </w:tcPr>
                  <w:p w14:paraId="1BF3CBBB">
                    <w:pPr>
                      <w:widowControl w:val="0"/>
                      <w:jc w:val="center"/>
                      <w:rPr>
                        <w:rFonts w:asciiTheme="minorHAnsi" w:hAnsiTheme="minorHAnsi" w:eastAsiaTheme="minorEastAsia" w:cstheme="minorBidi"/>
                        <w14:ligatures w14:val="standardContextual"/>
                      </w:rPr>
                    </w:pPr>
                    <w:r>
                      <w:rPr>
                        <w14:ligatures w14:val="standardContextual"/>
                      </w:rPr>
                      <w:t>否</w:t>
                    </w:r>
                  </w:p>
                </w:tc>
              </w:sdtContent>
            </w:sdt>
          </w:tr>
          <w:tr w14:paraId="4A1C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135" w:type="dxa"/>
                <w:vAlign w:val="center"/>
              </w:tcPr>
              <w:p w14:paraId="4ED89588">
                <w:pPr>
                  <w:pStyle w:val="48"/>
                </w:pPr>
                <w:r>
                  <w:t>徐岱</w:t>
                </w:r>
              </w:p>
            </w:tc>
            <w:tc>
              <w:tcPr>
                <w:tcW w:w="2132" w:type="dxa"/>
                <w:vAlign w:val="center"/>
              </w:tcPr>
              <w:p w14:paraId="4BE0E82B">
                <w:pPr>
                  <w:pStyle w:val="48"/>
                </w:pPr>
                <w:r>
                  <w:t>独立董事</w:t>
                </w:r>
              </w:p>
            </w:tc>
            <w:tc>
              <w:tcPr>
                <w:tcW w:w="567" w:type="dxa"/>
                <w:vAlign w:val="center"/>
              </w:tcPr>
              <w:p w14:paraId="1CF5FD17">
                <w:pPr>
                  <w:widowControl w:val="0"/>
                  <w:jc w:val="center"/>
                </w:pPr>
                <w:r>
                  <w:rPr>
                    <w:rFonts w:hint="eastAsia"/>
                  </w:rPr>
                  <w:t>女</w:t>
                </w:r>
              </w:p>
            </w:tc>
            <w:tc>
              <w:tcPr>
                <w:tcW w:w="567" w:type="dxa"/>
                <w:vAlign w:val="center"/>
              </w:tcPr>
              <w:p w14:paraId="0F7D1FFC">
                <w:pPr>
                  <w:pStyle w:val="48"/>
                </w:pPr>
                <w:r>
                  <w:t>59</w:t>
                </w:r>
              </w:p>
            </w:tc>
            <w:tc>
              <w:tcPr>
                <w:tcW w:w="1417" w:type="dxa"/>
                <w:vAlign w:val="center"/>
              </w:tcPr>
              <w:p w14:paraId="4F4B5402">
                <w:pPr>
                  <w:pStyle w:val="48"/>
                  <w:rPr>
                    <w:rFonts w:ascii="Times New Roman" w:hAnsi="Times New Roman"/>
                  </w:rPr>
                </w:pPr>
                <w:r>
                  <w:rPr>
                    <w:rFonts w:ascii="Times New Roman" w:hAnsi="Times New Roman"/>
                  </w:rPr>
                  <w:t>2022-05-10</w:t>
                </w:r>
              </w:p>
            </w:tc>
            <w:tc>
              <w:tcPr>
                <w:tcW w:w="1276" w:type="dxa"/>
                <w:vAlign w:val="center"/>
              </w:tcPr>
              <w:p w14:paraId="082D41EC">
                <w:pPr>
                  <w:pStyle w:val="48"/>
                  <w:rPr>
                    <w:rFonts w:ascii="Times New Roman" w:hAnsi="Times New Roman"/>
                  </w:rPr>
                </w:pPr>
                <w:r>
                  <w:rPr>
                    <w:rFonts w:ascii="Times New Roman" w:hAnsi="Times New Roman"/>
                  </w:rPr>
                  <w:t>2026-09-07</w:t>
                </w:r>
              </w:p>
            </w:tc>
            <w:tc>
              <w:tcPr>
                <w:tcW w:w="1276" w:type="dxa"/>
                <w:vAlign w:val="center"/>
              </w:tcPr>
              <w:p w14:paraId="2A254DC9">
                <w:pPr>
                  <w:pStyle w:val="48"/>
                  <w:jc w:val="right"/>
                  <w:rPr>
                    <w:rFonts w:ascii="Times New Roman" w:hAnsi="Times New Roman"/>
                  </w:rPr>
                </w:pPr>
                <w:r>
                  <w:rPr>
                    <w:rFonts w:ascii="Times New Roman" w:hAnsi="Times New Roman"/>
                  </w:rPr>
                  <w:t>0</w:t>
                </w:r>
              </w:p>
            </w:tc>
            <w:tc>
              <w:tcPr>
                <w:tcW w:w="1276" w:type="dxa"/>
                <w:vAlign w:val="center"/>
              </w:tcPr>
              <w:p w14:paraId="21CFCC0C">
                <w:pPr>
                  <w:pStyle w:val="48"/>
                  <w:jc w:val="right"/>
                  <w:rPr>
                    <w:rFonts w:ascii="Times New Roman" w:hAnsi="Times New Roman"/>
                  </w:rPr>
                </w:pPr>
                <w:r>
                  <w:rPr>
                    <w:rFonts w:ascii="Times New Roman" w:hAnsi="Times New Roman"/>
                  </w:rPr>
                  <w:t>0</w:t>
                </w:r>
              </w:p>
            </w:tc>
            <w:tc>
              <w:tcPr>
                <w:tcW w:w="1275" w:type="dxa"/>
                <w:vAlign w:val="center"/>
              </w:tcPr>
              <w:p w14:paraId="0B771432">
                <w:pPr>
                  <w:widowControl w:val="0"/>
                  <w:jc w:val="right"/>
                </w:pPr>
                <w:r>
                  <w:t>0</w:t>
                </w:r>
              </w:p>
            </w:tc>
            <w:tc>
              <w:tcPr>
                <w:tcW w:w="1985" w:type="dxa"/>
                <w:vAlign w:val="center"/>
              </w:tcPr>
              <w:p w14:paraId="380524A8">
                <w:pPr>
                  <w:pStyle w:val="48"/>
                  <w:jc w:val="center"/>
                </w:pPr>
                <w:r>
                  <w:rPr>
                    <w:rFonts w:hint="eastAsia"/>
                  </w:rPr>
                  <w:t>不适用</w:t>
                </w:r>
              </w:p>
            </w:tc>
            <w:tc>
              <w:tcPr>
                <w:tcW w:w="992" w:type="dxa"/>
                <w:vAlign w:val="center"/>
              </w:tcPr>
              <w:p w14:paraId="01A93341">
                <w:pPr>
                  <w:widowControl w:val="0"/>
                  <w:jc w:val="right"/>
                </w:pPr>
                <w:r>
                  <w:t>10.00</w:t>
                </w:r>
              </w:p>
            </w:tc>
            <w:sdt>
              <w:sdtPr>
                <w:rPr>
                  <w14:ligatures w14:val="standardContextual"/>
                </w:rPr>
                <w:alias w:val="董事、监事、高级管理人员是否在公司关联方获取报酬"/>
                <w:tag w:val="_GBC_ca79c4e139754ecd84ca3e60eb23b31d"/>
                <w:id w:val="1607544640"/>
                <w:comboBox>
                  <w:listItem w:displayText="是" w:value="是"/>
                  <w:listItem w:displayText="否" w:value="否"/>
                </w:comboBox>
              </w:sdtPr>
              <w:sdtEndPr>
                <w:rPr>
                  <w14:ligatures w14:val="standardContextual"/>
                </w:rPr>
              </w:sdtEndPr>
              <w:sdtContent>
                <w:tc>
                  <w:tcPr>
                    <w:tcW w:w="904" w:type="dxa"/>
                    <w:vAlign w:val="center"/>
                  </w:tcPr>
                  <w:p w14:paraId="40D5E9B9">
                    <w:pPr>
                      <w:widowControl w:val="0"/>
                      <w:jc w:val="center"/>
                      <w:rPr>
                        <w:rFonts w:asciiTheme="minorHAnsi" w:hAnsiTheme="minorHAnsi" w:eastAsiaTheme="minorEastAsia" w:cstheme="minorBidi"/>
                        <w14:ligatures w14:val="standardContextual"/>
                      </w:rPr>
                    </w:pPr>
                    <w:r>
                      <w:rPr>
                        <w14:ligatures w14:val="standardContextual"/>
                      </w:rPr>
                      <w:t>否</w:t>
                    </w:r>
                  </w:p>
                </w:tc>
              </w:sdtContent>
            </w:sdt>
          </w:tr>
          <w:tr w14:paraId="0F57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135" w:type="dxa"/>
                <w:vAlign w:val="center"/>
              </w:tcPr>
              <w:p w14:paraId="4A8BA9CE">
                <w:pPr>
                  <w:pStyle w:val="48"/>
                </w:pPr>
                <w:r>
                  <w:t>徐力</w:t>
                </w:r>
              </w:p>
            </w:tc>
            <w:tc>
              <w:tcPr>
                <w:tcW w:w="2132" w:type="dxa"/>
                <w:vAlign w:val="center"/>
              </w:tcPr>
              <w:p w14:paraId="663E9E62">
                <w:pPr>
                  <w:pStyle w:val="48"/>
                </w:pPr>
                <w:r>
                  <w:t>独立董事</w:t>
                </w:r>
              </w:p>
            </w:tc>
            <w:tc>
              <w:tcPr>
                <w:tcW w:w="567" w:type="dxa"/>
                <w:vAlign w:val="center"/>
              </w:tcPr>
              <w:p w14:paraId="1466B789">
                <w:pPr>
                  <w:widowControl w:val="0"/>
                  <w:jc w:val="center"/>
                </w:pPr>
                <w:r>
                  <w:rPr>
                    <w:rFonts w:hint="eastAsia"/>
                  </w:rPr>
                  <w:t>女</w:t>
                </w:r>
              </w:p>
            </w:tc>
            <w:tc>
              <w:tcPr>
                <w:tcW w:w="567" w:type="dxa"/>
                <w:vAlign w:val="center"/>
              </w:tcPr>
              <w:p w14:paraId="33F7EAA8">
                <w:pPr>
                  <w:pStyle w:val="48"/>
                </w:pPr>
                <w:r>
                  <w:t>59</w:t>
                </w:r>
              </w:p>
            </w:tc>
            <w:tc>
              <w:tcPr>
                <w:tcW w:w="1417" w:type="dxa"/>
                <w:vAlign w:val="center"/>
              </w:tcPr>
              <w:p w14:paraId="5290F301">
                <w:pPr>
                  <w:pStyle w:val="48"/>
                  <w:rPr>
                    <w:rFonts w:ascii="Times New Roman" w:hAnsi="Times New Roman"/>
                  </w:rPr>
                </w:pPr>
                <w:r>
                  <w:rPr>
                    <w:rFonts w:ascii="Times New Roman" w:hAnsi="Times New Roman"/>
                  </w:rPr>
                  <w:t>2022-05-10</w:t>
                </w:r>
              </w:p>
            </w:tc>
            <w:tc>
              <w:tcPr>
                <w:tcW w:w="1276" w:type="dxa"/>
                <w:vAlign w:val="center"/>
              </w:tcPr>
              <w:p w14:paraId="629831B2">
                <w:pPr>
                  <w:pStyle w:val="48"/>
                  <w:rPr>
                    <w:rFonts w:ascii="Times New Roman" w:hAnsi="Times New Roman"/>
                  </w:rPr>
                </w:pPr>
                <w:r>
                  <w:rPr>
                    <w:rFonts w:ascii="Times New Roman" w:hAnsi="Times New Roman"/>
                  </w:rPr>
                  <w:t>2026-09-07</w:t>
                </w:r>
              </w:p>
            </w:tc>
            <w:tc>
              <w:tcPr>
                <w:tcW w:w="1276" w:type="dxa"/>
                <w:vAlign w:val="center"/>
              </w:tcPr>
              <w:p w14:paraId="6521DE3F">
                <w:pPr>
                  <w:pStyle w:val="48"/>
                  <w:jc w:val="right"/>
                  <w:rPr>
                    <w:rFonts w:ascii="Times New Roman" w:hAnsi="Times New Roman"/>
                  </w:rPr>
                </w:pPr>
                <w:r>
                  <w:rPr>
                    <w:rFonts w:ascii="Times New Roman" w:hAnsi="Times New Roman"/>
                  </w:rPr>
                  <w:t>0</w:t>
                </w:r>
              </w:p>
            </w:tc>
            <w:tc>
              <w:tcPr>
                <w:tcW w:w="1276" w:type="dxa"/>
                <w:vAlign w:val="center"/>
              </w:tcPr>
              <w:p w14:paraId="12E662C2">
                <w:pPr>
                  <w:pStyle w:val="48"/>
                  <w:jc w:val="right"/>
                  <w:rPr>
                    <w:rFonts w:ascii="Times New Roman" w:hAnsi="Times New Roman"/>
                  </w:rPr>
                </w:pPr>
                <w:r>
                  <w:rPr>
                    <w:rFonts w:ascii="Times New Roman" w:hAnsi="Times New Roman"/>
                  </w:rPr>
                  <w:t>0</w:t>
                </w:r>
              </w:p>
            </w:tc>
            <w:tc>
              <w:tcPr>
                <w:tcW w:w="1275" w:type="dxa"/>
                <w:vAlign w:val="center"/>
              </w:tcPr>
              <w:p w14:paraId="3FC11463">
                <w:pPr>
                  <w:widowControl w:val="0"/>
                  <w:jc w:val="right"/>
                </w:pPr>
                <w:r>
                  <w:t>0</w:t>
                </w:r>
              </w:p>
            </w:tc>
            <w:tc>
              <w:tcPr>
                <w:tcW w:w="1985" w:type="dxa"/>
                <w:vAlign w:val="center"/>
              </w:tcPr>
              <w:p w14:paraId="2B099C84">
                <w:pPr>
                  <w:pStyle w:val="48"/>
                  <w:jc w:val="center"/>
                </w:pPr>
                <w:r>
                  <w:rPr>
                    <w:rFonts w:hint="eastAsia"/>
                  </w:rPr>
                  <w:t>不适用</w:t>
                </w:r>
              </w:p>
            </w:tc>
            <w:tc>
              <w:tcPr>
                <w:tcW w:w="992" w:type="dxa"/>
                <w:vAlign w:val="center"/>
              </w:tcPr>
              <w:p w14:paraId="2A7843F1">
                <w:pPr>
                  <w:widowControl w:val="0"/>
                  <w:jc w:val="right"/>
                </w:pPr>
                <w:r>
                  <w:t>10.00</w:t>
                </w:r>
              </w:p>
            </w:tc>
            <w:sdt>
              <w:sdtPr>
                <w:rPr>
                  <w14:ligatures w14:val="standardContextual"/>
                </w:rPr>
                <w:alias w:val="董事、监事、高级管理人员是否在公司关联方获取报酬"/>
                <w:tag w:val="_GBC_ca79c4e139754ecd84ca3e60eb23b31d"/>
                <w:id w:val="-271717180"/>
                <w:comboBox>
                  <w:listItem w:displayText="是" w:value="是"/>
                  <w:listItem w:displayText="否" w:value="否"/>
                </w:comboBox>
              </w:sdtPr>
              <w:sdtEndPr>
                <w:rPr>
                  <w14:ligatures w14:val="standardContextual"/>
                </w:rPr>
              </w:sdtEndPr>
              <w:sdtContent>
                <w:tc>
                  <w:tcPr>
                    <w:tcW w:w="904" w:type="dxa"/>
                    <w:vAlign w:val="center"/>
                  </w:tcPr>
                  <w:p w14:paraId="3BD453FC">
                    <w:pPr>
                      <w:widowControl w:val="0"/>
                      <w:jc w:val="center"/>
                      <w:rPr>
                        <w:rFonts w:asciiTheme="minorHAnsi" w:hAnsiTheme="minorHAnsi" w:eastAsiaTheme="minorEastAsia" w:cstheme="minorBidi"/>
                        <w14:ligatures w14:val="standardContextual"/>
                      </w:rPr>
                    </w:pPr>
                    <w:r>
                      <w:rPr>
                        <w14:ligatures w14:val="standardContextual"/>
                      </w:rPr>
                      <w:t>否</w:t>
                    </w:r>
                  </w:p>
                </w:tc>
              </w:sdtContent>
            </w:sdt>
          </w:tr>
          <w:tr w14:paraId="3F25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35" w:type="dxa"/>
                <w:vAlign w:val="center"/>
              </w:tcPr>
              <w:p w14:paraId="71198547">
                <w:pPr>
                  <w:pStyle w:val="48"/>
                </w:pPr>
                <w:r>
                  <w:rPr>
                    <w:rFonts w:hint="eastAsia"/>
                  </w:rPr>
                  <w:t>迟军玉</w:t>
                </w:r>
              </w:p>
            </w:tc>
            <w:tc>
              <w:tcPr>
                <w:tcW w:w="2132" w:type="dxa"/>
                <w:vAlign w:val="center"/>
              </w:tcPr>
              <w:p w14:paraId="43B14DCE">
                <w:pPr>
                  <w:pStyle w:val="48"/>
                </w:pPr>
                <w:r>
                  <w:rPr>
                    <w:rFonts w:hint="eastAsia"/>
                  </w:rPr>
                  <w:t>总会计师</w:t>
                </w:r>
              </w:p>
            </w:tc>
            <w:tc>
              <w:tcPr>
                <w:tcW w:w="567" w:type="dxa"/>
                <w:vAlign w:val="center"/>
              </w:tcPr>
              <w:p w14:paraId="0176F264">
                <w:pPr>
                  <w:widowControl w:val="0"/>
                  <w:jc w:val="center"/>
                </w:pPr>
                <w:r>
                  <w:rPr>
                    <w:rFonts w:hint="eastAsia"/>
                  </w:rPr>
                  <w:t>男</w:t>
                </w:r>
              </w:p>
            </w:tc>
            <w:tc>
              <w:tcPr>
                <w:tcW w:w="567" w:type="dxa"/>
                <w:vAlign w:val="center"/>
              </w:tcPr>
              <w:p w14:paraId="7E514028">
                <w:pPr>
                  <w:pStyle w:val="48"/>
                </w:pPr>
                <w:r>
                  <w:rPr>
                    <w:rFonts w:hint="eastAsia"/>
                  </w:rPr>
                  <w:t>47</w:t>
                </w:r>
              </w:p>
            </w:tc>
            <w:tc>
              <w:tcPr>
                <w:tcW w:w="1417" w:type="dxa"/>
                <w:vAlign w:val="center"/>
              </w:tcPr>
              <w:p w14:paraId="79F6144E">
                <w:pPr>
                  <w:widowControl w:val="0"/>
                  <w:jc w:val="both"/>
                  <w:rPr>
                    <w:sz w:val="24"/>
                  </w:rPr>
                </w:pPr>
                <w:r>
                  <w:t>2020-05-08</w:t>
                </w:r>
              </w:p>
            </w:tc>
            <w:tc>
              <w:tcPr>
                <w:tcW w:w="1276" w:type="dxa"/>
                <w:vAlign w:val="center"/>
              </w:tcPr>
              <w:p w14:paraId="1723ECDB">
                <w:pPr>
                  <w:pStyle w:val="48"/>
                  <w:rPr>
                    <w:rFonts w:ascii="Times New Roman" w:hAnsi="Times New Roman"/>
                  </w:rPr>
                </w:pPr>
                <w:r>
                  <w:rPr>
                    <w:rFonts w:ascii="Times New Roman" w:hAnsi="Times New Roman"/>
                  </w:rPr>
                  <w:t>2026-09-07</w:t>
                </w:r>
              </w:p>
            </w:tc>
            <w:tc>
              <w:tcPr>
                <w:tcW w:w="1276" w:type="dxa"/>
                <w:vAlign w:val="center"/>
              </w:tcPr>
              <w:p w14:paraId="461B528E">
                <w:pPr>
                  <w:widowControl w:val="0"/>
                  <w:jc w:val="right"/>
                  <w:rPr>
                    <w:sz w:val="24"/>
                  </w:rPr>
                </w:pPr>
                <w:r>
                  <w:t>0</w:t>
                </w:r>
              </w:p>
            </w:tc>
            <w:tc>
              <w:tcPr>
                <w:tcW w:w="1276" w:type="dxa"/>
                <w:vAlign w:val="center"/>
              </w:tcPr>
              <w:p w14:paraId="4DA6A360">
                <w:pPr>
                  <w:pStyle w:val="48"/>
                  <w:jc w:val="right"/>
                  <w:rPr>
                    <w:rFonts w:ascii="Times New Roman" w:hAnsi="Times New Roman"/>
                  </w:rPr>
                </w:pPr>
                <w:r>
                  <w:rPr>
                    <w:rFonts w:ascii="Times New Roman" w:hAnsi="Times New Roman"/>
                  </w:rPr>
                  <w:t>0</w:t>
                </w:r>
              </w:p>
            </w:tc>
            <w:tc>
              <w:tcPr>
                <w:tcW w:w="1275" w:type="dxa"/>
                <w:vAlign w:val="center"/>
              </w:tcPr>
              <w:p w14:paraId="6A1AB03D">
                <w:pPr>
                  <w:widowControl w:val="0"/>
                  <w:jc w:val="right"/>
                </w:pPr>
                <w:r>
                  <w:t>0</w:t>
                </w:r>
              </w:p>
            </w:tc>
            <w:tc>
              <w:tcPr>
                <w:tcW w:w="1985" w:type="dxa"/>
                <w:vAlign w:val="center"/>
              </w:tcPr>
              <w:p w14:paraId="416BB0B8">
                <w:pPr>
                  <w:pStyle w:val="48"/>
                  <w:jc w:val="center"/>
                </w:pPr>
                <w:r>
                  <w:rPr>
                    <w:rFonts w:hint="eastAsia"/>
                  </w:rPr>
                  <w:t>不适用</w:t>
                </w:r>
              </w:p>
            </w:tc>
            <w:tc>
              <w:tcPr>
                <w:tcW w:w="992" w:type="dxa"/>
                <w:vAlign w:val="center"/>
              </w:tcPr>
              <w:p w14:paraId="2C5AD6BB">
                <w:pPr>
                  <w:widowControl w:val="0"/>
                  <w:jc w:val="right"/>
                </w:pPr>
                <w:r>
                  <w:t>116.24</w:t>
                </w:r>
              </w:p>
            </w:tc>
            <w:sdt>
              <w:sdtPr>
                <w:rPr>
                  <w14:ligatures w14:val="standardContextual"/>
                </w:rPr>
                <w:alias w:val="董事、监事、高级管理人员是否在公司关联方获取报酬"/>
                <w:tag w:val="_GBC_ca79c4e139754ecd84ca3e60eb23b31d"/>
                <w:id w:val="1988970339"/>
                <w:comboBox>
                  <w:listItem w:displayText="是" w:value="是"/>
                  <w:listItem w:displayText="否" w:value="否"/>
                </w:comboBox>
              </w:sdtPr>
              <w:sdtEndPr>
                <w:rPr>
                  <w14:ligatures w14:val="standardContextual"/>
                </w:rPr>
              </w:sdtEndPr>
              <w:sdtContent>
                <w:tc>
                  <w:tcPr>
                    <w:tcW w:w="904" w:type="dxa"/>
                    <w:vAlign w:val="center"/>
                  </w:tcPr>
                  <w:p w14:paraId="1FA458DC">
                    <w:pPr>
                      <w:widowControl w:val="0"/>
                      <w:jc w:val="center"/>
                      <w:rPr>
                        <w:rFonts w:asciiTheme="minorHAnsi" w:hAnsiTheme="minorHAnsi" w:eastAsiaTheme="minorEastAsia" w:cstheme="minorBidi"/>
                        <w14:ligatures w14:val="standardContextual"/>
                      </w:rPr>
                    </w:pPr>
                    <w:r>
                      <w:rPr>
                        <w14:ligatures w14:val="standardContextual"/>
                      </w:rPr>
                      <w:t>否</w:t>
                    </w:r>
                  </w:p>
                </w:tc>
              </w:sdtContent>
            </w:sdt>
          </w:tr>
          <w:tr w14:paraId="76CE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35" w:type="dxa"/>
                <w:vAlign w:val="center"/>
              </w:tcPr>
              <w:p w14:paraId="62851EF4">
                <w:pPr>
                  <w:pStyle w:val="48"/>
                </w:pPr>
                <w:r>
                  <w:t>范朴</w:t>
                </w:r>
              </w:p>
            </w:tc>
            <w:tc>
              <w:tcPr>
                <w:tcW w:w="2132" w:type="dxa"/>
                <w:vAlign w:val="center"/>
              </w:tcPr>
              <w:p w14:paraId="07167BCD">
                <w:pPr>
                  <w:pStyle w:val="48"/>
                </w:pPr>
                <w:r>
                  <w:t>副总裁</w:t>
                </w:r>
              </w:p>
            </w:tc>
            <w:tc>
              <w:tcPr>
                <w:tcW w:w="567" w:type="dxa"/>
                <w:vAlign w:val="center"/>
              </w:tcPr>
              <w:p w14:paraId="371E6408">
                <w:pPr>
                  <w:widowControl w:val="0"/>
                  <w:jc w:val="center"/>
                </w:pPr>
                <w:r>
                  <w:t>男</w:t>
                </w:r>
              </w:p>
            </w:tc>
            <w:tc>
              <w:tcPr>
                <w:tcW w:w="567" w:type="dxa"/>
                <w:vAlign w:val="center"/>
              </w:tcPr>
              <w:p w14:paraId="18FDF91F">
                <w:pPr>
                  <w:pStyle w:val="48"/>
                </w:pPr>
                <w:r>
                  <w:t>45</w:t>
                </w:r>
              </w:p>
            </w:tc>
            <w:tc>
              <w:tcPr>
                <w:tcW w:w="1417" w:type="dxa"/>
                <w:vAlign w:val="center"/>
              </w:tcPr>
              <w:p w14:paraId="1BC3FAE3">
                <w:pPr>
                  <w:widowControl w:val="0"/>
                  <w:jc w:val="both"/>
                </w:pPr>
                <w:r>
                  <w:t>2026-01-15</w:t>
                </w:r>
              </w:p>
            </w:tc>
            <w:tc>
              <w:tcPr>
                <w:tcW w:w="1276" w:type="dxa"/>
                <w:vAlign w:val="center"/>
              </w:tcPr>
              <w:p w14:paraId="3B248E3F">
                <w:pPr>
                  <w:pStyle w:val="48"/>
                  <w:rPr>
                    <w:rFonts w:ascii="Times New Roman" w:hAnsi="Times New Roman"/>
                  </w:rPr>
                </w:pPr>
                <w:r>
                  <w:t>2026-09-07</w:t>
                </w:r>
              </w:p>
            </w:tc>
            <w:tc>
              <w:tcPr>
                <w:tcW w:w="1276" w:type="dxa"/>
                <w:vAlign w:val="center"/>
              </w:tcPr>
              <w:p w14:paraId="4C6B6DD2">
                <w:pPr>
                  <w:widowControl w:val="0"/>
                  <w:jc w:val="right"/>
                </w:pPr>
                <w:r>
                  <w:t>0</w:t>
                </w:r>
              </w:p>
            </w:tc>
            <w:tc>
              <w:tcPr>
                <w:tcW w:w="1276" w:type="dxa"/>
                <w:vAlign w:val="center"/>
              </w:tcPr>
              <w:p w14:paraId="5D2A9689">
                <w:pPr>
                  <w:pStyle w:val="48"/>
                  <w:jc w:val="right"/>
                  <w:rPr>
                    <w:rFonts w:ascii="Times New Roman" w:hAnsi="Times New Roman"/>
                  </w:rPr>
                </w:pPr>
                <w:r>
                  <w:t>0</w:t>
                </w:r>
              </w:p>
            </w:tc>
            <w:tc>
              <w:tcPr>
                <w:tcW w:w="1275" w:type="dxa"/>
                <w:vAlign w:val="center"/>
              </w:tcPr>
              <w:p w14:paraId="09661A5F">
                <w:pPr>
                  <w:widowControl w:val="0"/>
                  <w:jc w:val="right"/>
                </w:pPr>
                <w:r>
                  <w:t>0</w:t>
                </w:r>
              </w:p>
            </w:tc>
            <w:tc>
              <w:tcPr>
                <w:tcW w:w="1985" w:type="dxa"/>
                <w:vAlign w:val="center"/>
              </w:tcPr>
              <w:p w14:paraId="4BD8E2C8">
                <w:pPr>
                  <w:pStyle w:val="48"/>
                  <w:jc w:val="center"/>
                </w:pPr>
                <w:r>
                  <w:t>不适用</w:t>
                </w:r>
              </w:p>
            </w:tc>
            <w:tc>
              <w:tcPr>
                <w:tcW w:w="992" w:type="dxa"/>
                <w:vAlign w:val="center"/>
              </w:tcPr>
              <w:p w14:paraId="6B6433DE">
                <w:pPr>
                  <w:widowControl w:val="0"/>
                  <w:jc w:val="right"/>
                  <w:rPr>
                    <w:highlight w:val="yellow"/>
                  </w:rPr>
                </w:pPr>
                <w:r>
                  <w:t>不适用</w:t>
                </w:r>
              </w:p>
            </w:tc>
            <w:tc>
              <w:tcPr>
                <w:tcW w:w="904" w:type="dxa"/>
                <w:vAlign w:val="center"/>
              </w:tcPr>
              <w:p w14:paraId="63BD6F9B">
                <w:pPr>
                  <w:widowControl w:val="0"/>
                  <w:jc w:val="center"/>
                  <w:rPr>
                    <w:highlight w:val="yellow"/>
                    <w14:ligatures w14:val="standardContextual"/>
                  </w:rPr>
                </w:pPr>
                <w:r>
                  <w:t>否</w:t>
                </w:r>
              </w:p>
            </w:tc>
          </w:tr>
          <w:tr w14:paraId="56A7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35" w:type="dxa"/>
                <w:vAlign w:val="center"/>
              </w:tcPr>
              <w:p w14:paraId="0E03306C">
                <w:pPr>
                  <w:pStyle w:val="48"/>
                </w:pPr>
                <w:r>
                  <w:t>关东亮</w:t>
                </w:r>
              </w:p>
            </w:tc>
            <w:tc>
              <w:tcPr>
                <w:tcW w:w="2132" w:type="dxa"/>
                <w:vAlign w:val="center"/>
              </w:tcPr>
              <w:p w14:paraId="4E2F7A37">
                <w:pPr>
                  <w:pStyle w:val="48"/>
                </w:pPr>
                <w:r>
                  <w:t>副总裁</w:t>
                </w:r>
              </w:p>
            </w:tc>
            <w:tc>
              <w:tcPr>
                <w:tcW w:w="567" w:type="dxa"/>
                <w:vAlign w:val="center"/>
              </w:tcPr>
              <w:p w14:paraId="6F50ACC6">
                <w:pPr>
                  <w:widowControl w:val="0"/>
                  <w:jc w:val="center"/>
                </w:pPr>
                <w:r>
                  <w:t>男</w:t>
                </w:r>
              </w:p>
            </w:tc>
            <w:tc>
              <w:tcPr>
                <w:tcW w:w="567" w:type="dxa"/>
                <w:vAlign w:val="center"/>
              </w:tcPr>
              <w:p w14:paraId="35E4CA78">
                <w:pPr>
                  <w:pStyle w:val="48"/>
                </w:pPr>
                <w:r>
                  <w:t>42</w:t>
                </w:r>
              </w:p>
            </w:tc>
            <w:tc>
              <w:tcPr>
                <w:tcW w:w="1417" w:type="dxa"/>
                <w:vAlign w:val="center"/>
              </w:tcPr>
              <w:p w14:paraId="34BE3C52">
                <w:pPr>
                  <w:widowControl w:val="0"/>
                  <w:jc w:val="both"/>
                </w:pPr>
                <w:r>
                  <w:t>2026-01-15</w:t>
                </w:r>
              </w:p>
            </w:tc>
            <w:tc>
              <w:tcPr>
                <w:tcW w:w="1276" w:type="dxa"/>
                <w:vAlign w:val="center"/>
              </w:tcPr>
              <w:p w14:paraId="2F4024E6">
                <w:pPr>
                  <w:pStyle w:val="48"/>
                  <w:rPr>
                    <w:rFonts w:ascii="Times New Roman" w:hAnsi="Times New Roman"/>
                  </w:rPr>
                </w:pPr>
                <w:r>
                  <w:t>2026-09-07</w:t>
                </w:r>
              </w:p>
            </w:tc>
            <w:tc>
              <w:tcPr>
                <w:tcW w:w="1276" w:type="dxa"/>
                <w:vAlign w:val="center"/>
              </w:tcPr>
              <w:p w14:paraId="3EDCB1D1">
                <w:pPr>
                  <w:widowControl w:val="0"/>
                  <w:jc w:val="right"/>
                </w:pPr>
                <w:r>
                  <w:t>0</w:t>
                </w:r>
              </w:p>
            </w:tc>
            <w:tc>
              <w:tcPr>
                <w:tcW w:w="1276" w:type="dxa"/>
                <w:vAlign w:val="center"/>
              </w:tcPr>
              <w:p w14:paraId="4A32619E">
                <w:pPr>
                  <w:pStyle w:val="48"/>
                  <w:jc w:val="right"/>
                  <w:rPr>
                    <w:rFonts w:ascii="Times New Roman" w:hAnsi="Times New Roman"/>
                  </w:rPr>
                </w:pPr>
                <w:r>
                  <w:t>0</w:t>
                </w:r>
              </w:p>
            </w:tc>
            <w:tc>
              <w:tcPr>
                <w:tcW w:w="1275" w:type="dxa"/>
                <w:vAlign w:val="center"/>
              </w:tcPr>
              <w:p w14:paraId="2CF4DF19">
                <w:pPr>
                  <w:widowControl w:val="0"/>
                  <w:jc w:val="right"/>
                </w:pPr>
                <w:r>
                  <w:t>0</w:t>
                </w:r>
              </w:p>
            </w:tc>
            <w:tc>
              <w:tcPr>
                <w:tcW w:w="1985" w:type="dxa"/>
                <w:vAlign w:val="center"/>
              </w:tcPr>
              <w:p w14:paraId="6CB6A04E">
                <w:pPr>
                  <w:pStyle w:val="48"/>
                  <w:jc w:val="center"/>
                </w:pPr>
                <w:r>
                  <w:t>不适用</w:t>
                </w:r>
              </w:p>
            </w:tc>
            <w:tc>
              <w:tcPr>
                <w:tcW w:w="992" w:type="dxa"/>
                <w:vAlign w:val="center"/>
              </w:tcPr>
              <w:p w14:paraId="5962937E">
                <w:pPr>
                  <w:widowControl w:val="0"/>
                  <w:jc w:val="right"/>
                  <w:rPr>
                    <w:highlight w:val="yellow"/>
                  </w:rPr>
                </w:pPr>
                <w:r>
                  <w:t>不适用</w:t>
                </w:r>
              </w:p>
            </w:tc>
            <w:tc>
              <w:tcPr>
                <w:tcW w:w="904" w:type="dxa"/>
                <w:vAlign w:val="center"/>
              </w:tcPr>
              <w:p w14:paraId="0A51F357">
                <w:pPr>
                  <w:widowControl w:val="0"/>
                  <w:jc w:val="center"/>
                  <w:rPr>
                    <w:highlight w:val="yellow"/>
                    <w14:ligatures w14:val="standardContextual"/>
                  </w:rPr>
                </w:pPr>
                <w:r>
                  <w:t>否</w:t>
                </w:r>
              </w:p>
            </w:tc>
          </w:tr>
          <w:tr w14:paraId="7C42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135" w:type="dxa"/>
                <w:vMerge w:val="restart"/>
                <w:vAlign w:val="center"/>
              </w:tcPr>
              <w:p w14:paraId="1DC3F295">
                <w:pPr>
                  <w:pStyle w:val="48"/>
                </w:pPr>
                <w:r>
                  <w:t>苏璠</w:t>
                </w:r>
              </w:p>
            </w:tc>
            <w:tc>
              <w:tcPr>
                <w:tcW w:w="2132" w:type="dxa"/>
                <w:vAlign w:val="center"/>
              </w:tcPr>
              <w:p w14:paraId="67E33B85">
                <w:pPr>
                  <w:pStyle w:val="48"/>
                </w:pPr>
                <w:r>
                  <w:rPr>
                    <w:rFonts w:hint="eastAsia"/>
                  </w:rPr>
                  <w:t>副总经理（已离任）</w:t>
                </w:r>
              </w:p>
            </w:tc>
            <w:tc>
              <w:tcPr>
                <w:tcW w:w="567" w:type="dxa"/>
                <w:vMerge w:val="restart"/>
                <w:vAlign w:val="center"/>
              </w:tcPr>
              <w:p w14:paraId="17C176E2">
                <w:pPr>
                  <w:widowControl w:val="0"/>
                  <w:jc w:val="center"/>
                </w:pPr>
                <w:r>
                  <w:t>女</w:t>
                </w:r>
              </w:p>
            </w:tc>
            <w:tc>
              <w:tcPr>
                <w:tcW w:w="567" w:type="dxa"/>
                <w:vMerge w:val="restart"/>
                <w:vAlign w:val="center"/>
              </w:tcPr>
              <w:p w14:paraId="615F045A">
                <w:pPr>
                  <w:pStyle w:val="48"/>
                </w:pPr>
                <w:r>
                  <w:rPr>
                    <w:rFonts w:hint="eastAsia"/>
                  </w:rPr>
                  <w:t>4</w:t>
                </w:r>
                <w:r>
                  <w:t>7</w:t>
                </w:r>
              </w:p>
            </w:tc>
            <w:tc>
              <w:tcPr>
                <w:tcW w:w="1417" w:type="dxa"/>
                <w:vAlign w:val="center"/>
              </w:tcPr>
              <w:p w14:paraId="79798BCD">
                <w:pPr>
                  <w:widowControl w:val="0"/>
                  <w:jc w:val="both"/>
                  <w:rPr>
                    <w:sz w:val="24"/>
                  </w:rPr>
                </w:pPr>
                <w:r>
                  <w:t>2020-06-17</w:t>
                </w:r>
              </w:p>
            </w:tc>
            <w:tc>
              <w:tcPr>
                <w:tcW w:w="1276" w:type="dxa"/>
                <w:vAlign w:val="center"/>
              </w:tcPr>
              <w:p w14:paraId="51518D57">
                <w:pPr>
                  <w:pStyle w:val="48"/>
                  <w:rPr>
                    <w:rFonts w:ascii="Times New Roman" w:hAnsi="Times New Roman"/>
                  </w:rPr>
                </w:pPr>
                <w:r>
                  <w:rPr>
                    <w:rFonts w:ascii="Times New Roman" w:hAnsi="Times New Roman"/>
                  </w:rPr>
                  <w:t>2025-03-31</w:t>
                </w:r>
              </w:p>
            </w:tc>
            <w:tc>
              <w:tcPr>
                <w:tcW w:w="1276" w:type="dxa"/>
                <w:vMerge w:val="restart"/>
                <w:vAlign w:val="center"/>
              </w:tcPr>
              <w:p w14:paraId="5B48D24E">
                <w:pPr>
                  <w:widowControl w:val="0"/>
                  <w:jc w:val="right"/>
                  <w:rPr>
                    <w:sz w:val="24"/>
                  </w:rPr>
                </w:pPr>
                <w:r>
                  <w:t>0</w:t>
                </w:r>
              </w:p>
            </w:tc>
            <w:tc>
              <w:tcPr>
                <w:tcW w:w="1276" w:type="dxa"/>
                <w:vMerge w:val="restart"/>
                <w:vAlign w:val="center"/>
              </w:tcPr>
              <w:p w14:paraId="62303A51">
                <w:pPr>
                  <w:widowControl w:val="0"/>
                  <w:jc w:val="right"/>
                  <w:rPr>
                    <w:sz w:val="24"/>
                  </w:rPr>
                </w:pPr>
                <w:r>
                  <w:t>0</w:t>
                </w:r>
              </w:p>
            </w:tc>
            <w:tc>
              <w:tcPr>
                <w:tcW w:w="1275" w:type="dxa"/>
                <w:vMerge w:val="restart"/>
                <w:vAlign w:val="center"/>
              </w:tcPr>
              <w:p w14:paraId="5E722311">
                <w:pPr>
                  <w:widowControl w:val="0"/>
                  <w:jc w:val="right"/>
                  <w:rPr>
                    <w:sz w:val="24"/>
                  </w:rPr>
                </w:pPr>
                <w:r>
                  <w:t>0</w:t>
                </w:r>
              </w:p>
            </w:tc>
            <w:tc>
              <w:tcPr>
                <w:tcW w:w="1985" w:type="dxa"/>
                <w:vMerge w:val="restart"/>
                <w:vAlign w:val="center"/>
              </w:tcPr>
              <w:p w14:paraId="66A27923">
                <w:pPr>
                  <w:widowControl w:val="0"/>
                  <w:jc w:val="center"/>
                  <w:rPr>
                    <w:sz w:val="24"/>
                  </w:rPr>
                </w:pPr>
                <w:r>
                  <w:t>不适用</w:t>
                </w:r>
              </w:p>
            </w:tc>
            <w:tc>
              <w:tcPr>
                <w:tcW w:w="992" w:type="dxa"/>
                <w:vMerge w:val="restart"/>
                <w:vAlign w:val="center"/>
              </w:tcPr>
              <w:p w14:paraId="1B1C833A">
                <w:pPr>
                  <w:widowControl w:val="0"/>
                  <w:jc w:val="right"/>
                  <w:rPr>
                    <w:sz w:val="24"/>
                    <w:highlight w:val="yellow"/>
                  </w:rPr>
                </w:pPr>
                <w:r>
                  <w:t>113.34</w:t>
                </w:r>
              </w:p>
            </w:tc>
            <w:tc>
              <w:tcPr>
                <w:tcW w:w="904" w:type="dxa"/>
                <w:vMerge w:val="restart"/>
                <w:vAlign w:val="center"/>
              </w:tcPr>
              <w:sdt>
                <w:sdtPr>
                  <w:rPr>
                    <w14:ligatures w14:val="standardContextual"/>
                  </w:rPr>
                  <w:alias w:val="董事、监事、高级管理人员是否在公司关联方获取报酬"/>
                  <w:tag w:val="_GBC_ca79c4e139754ecd84ca3e60eb23b31d"/>
                  <w:id w:val="-12153656"/>
                  <w:comboBox>
                    <w:listItem w:displayText="是" w:value="是"/>
                    <w:listItem w:displayText="否" w:value="否"/>
                  </w:comboBox>
                </w:sdtPr>
                <w:sdtEndPr>
                  <w:rPr>
                    <w14:ligatures w14:val="standardContextual"/>
                  </w:rPr>
                </w:sdtEndPr>
                <w:sdtContent>
                  <w:p w14:paraId="0431DC80">
                    <w:pPr>
                      <w:widowControl w:val="0"/>
                      <w:jc w:val="center"/>
                      <w:rPr>
                        <w:rFonts w:asciiTheme="minorHAnsi" w:hAnsiTheme="minorHAnsi" w:eastAsiaTheme="minorEastAsia" w:cstheme="minorBidi"/>
                        <w14:ligatures w14:val="standardContextual"/>
                      </w:rPr>
                    </w:pPr>
                    <w:r>
                      <w:rPr>
                        <w14:ligatures w14:val="standardContextual"/>
                      </w:rPr>
                      <w:t>否</w:t>
                    </w:r>
                  </w:p>
                </w:sdtContent>
              </w:sdt>
            </w:tc>
          </w:tr>
          <w:tr w14:paraId="4193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135" w:type="dxa"/>
                <w:vMerge w:val="continue"/>
                <w:vAlign w:val="center"/>
              </w:tcPr>
              <w:p w14:paraId="4A8EE15F">
                <w:pPr>
                  <w:pStyle w:val="48"/>
                </w:pPr>
              </w:p>
            </w:tc>
            <w:tc>
              <w:tcPr>
                <w:tcW w:w="2132" w:type="dxa"/>
                <w:vAlign w:val="center"/>
              </w:tcPr>
              <w:p w14:paraId="68A63E8E">
                <w:pPr>
                  <w:pStyle w:val="48"/>
                </w:pPr>
                <w:r>
                  <w:rPr>
                    <w:rFonts w:hint="eastAsia"/>
                  </w:rPr>
                  <w:t>董事会秘书（已离任）</w:t>
                </w:r>
              </w:p>
            </w:tc>
            <w:tc>
              <w:tcPr>
                <w:tcW w:w="567" w:type="dxa"/>
                <w:vMerge w:val="continue"/>
                <w:vAlign w:val="center"/>
              </w:tcPr>
              <w:p w14:paraId="14FB90B1">
                <w:pPr>
                  <w:widowControl w:val="0"/>
                  <w:jc w:val="center"/>
                </w:pPr>
              </w:p>
            </w:tc>
            <w:tc>
              <w:tcPr>
                <w:tcW w:w="567" w:type="dxa"/>
                <w:vMerge w:val="continue"/>
                <w:vAlign w:val="center"/>
              </w:tcPr>
              <w:p w14:paraId="28519BEB">
                <w:pPr>
                  <w:pStyle w:val="48"/>
                </w:pPr>
              </w:p>
            </w:tc>
            <w:tc>
              <w:tcPr>
                <w:tcW w:w="1417" w:type="dxa"/>
                <w:vAlign w:val="center"/>
              </w:tcPr>
              <w:p w14:paraId="7F3FA255">
                <w:pPr>
                  <w:pStyle w:val="48"/>
                  <w:rPr>
                    <w:rFonts w:ascii="Times New Roman" w:hAnsi="Times New Roman"/>
                  </w:rPr>
                </w:pPr>
                <w:r>
                  <w:rPr>
                    <w:rFonts w:ascii="Times New Roman" w:hAnsi="Times New Roman"/>
                  </w:rPr>
                  <w:t>2020-06-17</w:t>
                </w:r>
              </w:p>
            </w:tc>
            <w:tc>
              <w:tcPr>
                <w:tcW w:w="1276" w:type="dxa"/>
                <w:vAlign w:val="center"/>
              </w:tcPr>
              <w:p w14:paraId="146DB169">
                <w:pPr>
                  <w:pStyle w:val="48"/>
                  <w:rPr>
                    <w:rFonts w:ascii="Times New Roman" w:hAnsi="Times New Roman"/>
                  </w:rPr>
                </w:pPr>
                <w:r>
                  <w:rPr>
                    <w:rFonts w:ascii="Times New Roman" w:hAnsi="Times New Roman"/>
                  </w:rPr>
                  <w:t>2025-07-04</w:t>
                </w:r>
              </w:p>
            </w:tc>
            <w:tc>
              <w:tcPr>
                <w:tcW w:w="1276" w:type="dxa"/>
                <w:vMerge w:val="continue"/>
                <w:vAlign w:val="center"/>
              </w:tcPr>
              <w:p w14:paraId="491FD7E7">
                <w:pPr>
                  <w:pStyle w:val="48"/>
                  <w:jc w:val="right"/>
                  <w:rPr>
                    <w:rFonts w:ascii="Times New Roman" w:hAnsi="Times New Roman"/>
                  </w:rPr>
                </w:pPr>
              </w:p>
            </w:tc>
            <w:tc>
              <w:tcPr>
                <w:tcW w:w="1276" w:type="dxa"/>
                <w:vMerge w:val="continue"/>
                <w:vAlign w:val="center"/>
              </w:tcPr>
              <w:p w14:paraId="35A15E63">
                <w:pPr>
                  <w:pStyle w:val="48"/>
                  <w:jc w:val="right"/>
                  <w:rPr>
                    <w:rFonts w:ascii="Times New Roman" w:hAnsi="Times New Roman"/>
                  </w:rPr>
                </w:pPr>
              </w:p>
            </w:tc>
            <w:tc>
              <w:tcPr>
                <w:tcW w:w="1275" w:type="dxa"/>
                <w:vMerge w:val="continue"/>
                <w:vAlign w:val="center"/>
              </w:tcPr>
              <w:p w14:paraId="5A6CD098">
                <w:pPr>
                  <w:widowControl w:val="0"/>
                  <w:jc w:val="right"/>
                </w:pPr>
              </w:p>
            </w:tc>
            <w:tc>
              <w:tcPr>
                <w:tcW w:w="1985" w:type="dxa"/>
                <w:vMerge w:val="continue"/>
                <w:vAlign w:val="center"/>
              </w:tcPr>
              <w:p w14:paraId="4829B0AB">
                <w:pPr>
                  <w:pStyle w:val="48"/>
                  <w:jc w:val="center"/>
                </w:pPr>
              </w:p>
            </w:tc>
            <w:tc>
              <w:tcPr>
                <w:tcW w:w="992" w:type="dxa"/>
                <w:vMerge w:val="continue"/>
                <w:vAlign w:val="center"/>
              </w:tcPr>
              <w:p w14:paraId="1874BE40">
                <w:pPr>
                  <w:widowControl w:val="0"/>
                  <w:jc w:val="right"/>
                  <w:rPr>
                    <w:highlight w:val="yellow"/>
                  </w:rPr>
                </w:pPr>
              </w:p>
            </w:tc>
            <w:tc>
              <w:tcPr>
                <w:tcW w:w="904" w:type="dxa"/>
                <w:vMerge w:val="continue"/>
                <w:vAlign w:val="center"/>
              </w:tcPr>
              <w:p w14:paraId="63C7DC14">
                <w:pPr>
                  <w:widowControl w:val="0"/>
                  <w:jc w:val="center"/>
                  <w:rPr>
                    <w:rFonts w:asciiTheme="minorHAnsi" w:hAnsiTheme="minorHAnsi" w:eastAsiaTheme="minorEastAsia" w:cstheme="minorBidi"/>
                    <w14:ligatures w14:val="standardContextual"/>
                  </w:rPr>
                </w:pPr>
              </w:p>
            </w:tc>
          </w:tr>
          <w:tr w14:paraId="6EFE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135" w:type="dxa"/>
                <w:vAlign w:val="center"/>
              </w:tcPr>
              <w:p w14:paraId="6A96699F">
                <w:pPr>
                  <w:pStyle w:val="48"/>
                </w:pPr>
                <w:r>
                  <w:t>陈红</w:t>
                </w:r>
              </w:p>
            </w:tc>
            <w:tc>
              <w:tcPr>
                <w:tcW w:w="2132" w:type="dxa"/>
                <w:vAlign w:val="center"/>
              </w:tcPr>
              <w:p w14:paraId="586F8D25">
                <w:pPr>
                  <w:pStyle w:val="48"/>
                </w:pPr>
                <w:r>
                  <w:rPr>
                    <w:rFonts w:hint="eastAsia"/>
                  </w:rPr>
                  <w:t>副总经理（已离任）</w:t>
                </w:r>
              </w:p>
            </w:tc>
            <w:tc>
              <w:tcPr>
                <w:tcW w:w="567" w:type="dxa"/>
                <w:vAlign w:val="center"/>
              </w:tcPr>
              <w:p w14:paraId="03B79490">
                <w:pPr>
                  <w:widowControl w:val="0"/>
                  <w:jc w:val="center"/>
                </w:pPr>
                <w:r>
                  <w:t>男</w:t>
                </w:r>
              </w:p>
            </w:tc>
            <w:tc>
              <w:tcPr>
                <w:tcW w:w="567" w:type="dxa"/>
                <w:vAlign w:val="center"/>
              </w:tcPr>
              <w:p w14:paraId="19D2D6D5">
                <w:pPr>
                  <w:pStyle w:val="48"/>
                </w:pPr>
                <w:r>
                  <w:t>52</w:t>
                </w:r>
              </w:p>
            </w:tc>
            <w:tc>
              <w:tcPr>
                <w:tcW w:w="1417" w:type="dxa"/>
                <w:vAlign w:val="center"/>
              </w:tcPr>
              <w:p w14:paraId="1AE06D33">
                <w:pPr>
                  <w:pStyle w:val="48"/>
                  <w:rPr>
                    <w:rFonts w:ascii="Times New Roman" w:hAnsi="Times New Roman"/>
                  </w:rPr>
                </w:pPr>
                <w:r>
                  <w:rPr>
                    <w:rFonts w:ascii="Times New Roman" w:hAnsi="Times New Roman"/>
                  </w:rPr>
                  <w:t>2011-05-06</w:t>
                </w:r>
              </w:p>
            </w:tc>
            <w:tc>
              <w:tcPr>
                <w:tcW w:w="1276" w:type="dxa"/>
                <w:vAlign w:val="center"/>
              </w:tcPr>
              <w:p w14:paraId="5B19F91B">
                <w:pPr>
                  <w:pStyle w:val="48"/>
                  <w:rPr>
                    <w:rFonts w:ascii="Times New Roman" w:hAnsi="Times New Roman"/>
                  </w:rPr>
                </w:pPr>
                <w:r>
                  <w:rPr>
                    <w:rFonts w:ascii="Times New Roman" w:hAnsi="Times New Roman"/>
                  </w:rPr>
                  <w:t>2025-03-31</w:t>
                </w:r>
              </w:p>
            </w:tc>
            <w:tc>
              <w:tcPr>
                <w:tcW w:w="1276" w:type="dxa"/>
                <w:vAlign w:val="center"/>
              </w:tcPr>
              <w:p w14:paraId="19425806">
                <w:pPr>
                  <w:pStyle w:val="48"/>
                  <w:jc w:val="right"/>
                  <w:rPr>
                    <w:rFonts w:ascii="Times New Roman" w:hAnsi="Times New Roman"/>
                  </w:rPr>
                </w:pPr>
                <w:r>
                  <w:rPr>
                    <w:rFonts w:ascii="Times New Roman" w:hAnsi="Times New Roman"/>
                  </w:rPr>
                  <w:t>290,845</w:t>
                </w:r>
              </w:p>
            </w:tc>
            <w:tc>
              <w:tcPr>
                <w:tcW w:w="1276" w:type="dxa"/>
                <w:vAlign w:val="center"/>
              </w:tcPr>
              <w:p w14:paraId="7DD6873D">
                <w:pPr>
                  <w:pStyle w:val="48"/>
                  <w:jc w:val="right"/>
                  <w:rPr>
                    <w:rFonts w:ascii="Times New Roman" w:hAnsi="Times New Roman"/>
                  </w:rPr>
                </w:pPr>
                <w:r>
                  <w:rPr>
                    <w:rFonts w:ascii="Times New Roman" w:hAnsi="Times New Roman"/>
                  </w:rPr>
                  <w:t>218,845</w:t>
                </w:r>
              </w:p>
            </w:tc>
            <w:tc>
              <w:tcPr>
                <w:tcW w:w="1275" w:type="dxa"/>
                <w:vAlign w:val="center"/>
              </w:tcPr>
              <w:p w14:paraId="7E75F2B7">
                <w:pPr>
                  <w:widowControl w:val="0"/>
                  <w:jc w:val="right"/>
                </w:pPr>
                <w:r>
                  <w:t>-72,000</w:t>
                </w:r>
              </w:p>
            </w:tc>
            <w:tc>
              <w:tcPr>
                <w:tcW w:w="1985" w:type="dxa"/>
                <w:vAlign w:val="center"/>
              </w:tcPr>
              <w:p w14:paraId="41E39484">
                <w:pPr>
                  <w:pStyle w:val="48"/>
                </w:pPr>
                <w:r>
                  <w:rPr>
                    <w:rFonts w:hint="eastAsia"/>
                  </w:rPr>
                  <w:t>陈红先生报告期内减持72,000股，为离任6个月后减持。</w:t>
                </w:r>
              </w:p>
            </w:tc>
            <w:tc>
              <w:tcPr>
                <w:tcW w:w="992" w:type="dxa"/>
                <w:vAlign w:val="center"/>
              </w:tcPr>
              <w:p w14:paraId="388AEDFB">
                <w:pPr>
                  <w:widowControl w:val="0"/>
                  <w:jc w:val="right"/>
                  <w:rPr>
                    <w:sz w:val="24"/>
                    <w:highlight w:val="yellow"/>
                  </w:rPr>
                </w:pPr>
                <w:r>
                  <w:t>52.22</w:t>
                </w:r>
              </w:p>
            </w:tc>
            <w:sdt>
              <w:sdtPr>
                <w:rPr>
                  <w14:ligatures w14:val="standardContextual"/>
                </w:rPr>
                <w:alias w:val="董事、监事、高级管理人员是否在公司关联方获取报酬"/>
                <w:tag w:val="_GBC_ca79c4e139754ecd84ca3e60eb23b31d"/>
                <w:id w:val="1059052296"/>
                <w:comboBox>
                  <w:listItem w:displayText="是" w:value="是"/>
                  <w:listItem w:displayText="否" w:value="否"/>
                </w:comboBox>
              </w:sdtPr>
              <w:sdtEndPr>
                <w:rPr>
                  <w14:ligatures w14:val="standardContextual"/>
                </w:rPr>
              </w:sdtEndPr>
              <w:sdtContent>
                <w:tc>
                  <w:tcPr>
                    <w:tcW w:w="904" w:type="dxa"/>
                    <w:vAlign w:val="center"/>
                  </w:tcPr>
                  <w:p w14:paraId="46B14F8F">
                    <w:pPr>
                      <w:widowControl w:val="0"/>
                      <w:jc w:val="center"/>
                      <w:rPr>
                        <w14:ligatures w14:val="standardContextual"/>
                      </w:rPr>
                    </w:pPr>
                    <w:r>
                      <w:rPr>
                        <w14:ligatures w14:val="standardContextual"/>
                      </w:rPr>
                      <w:t>否</w:t>
                    </w:r>
                  </w:p>
                </w:tc>
              </w:sdtContent>
            </w:sdt>
          </w:tr>
          <w:tr w14:paraId="49B5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135" w:type="dxa"/>
                <w:vAlign w:val="center"/>
              </w:tcPr>
              <w:p w14:paraId="7C09F9B3">
                <w:pPr>
                  <w:pStyle w:val="48"/>
                </w:pPr>
                <w:r>
                  <w:t>Du Zhiqiang（杜治强）</w:t>
                </w:r>
              </w:p>
            </w:tc>
            <w:tc>
              <w:tcPr>
                <w:tcW w:w="2132" w:type="dxa"/>
                <w:vAlign w:val="center"/>
              </w:tcPr>
              <w:p w14:paraId="2C2A25B9">
                <w:pPr>
                  <w:pStyle w:val="48"/>
                </w:pPr>
                <w:r>
                  <w:rPr>
                    <w:rFonts w:hint="eastAsia"/>
                  </w:rPr>
                  <w:t>副总经理（已离任）</w:t>
                </w:r>
              </w:p>
            </w:tc>
            <w:tc>
              <w:tcPr>
                <w:tcW w:w="567" w:type="dxa"/>
                <w:vAlign w:val="center"/>
              </w:tcPr>
              <w:p w14:paraId="388F9BC4">
                <w:pPr>
                  <w:widowControl w:val="0"/>
                  <w:jc w:val="center"/>
                </w:pPr>
                <w:r>
                  <w:t>男</w:t>
                </w:r>
              </w:p>
            </w:tc>
            <w:tc>
              <w:tcPr>
                <w:tcW w:w="567" w:type="dxa"/>
                <w:vAlign w:val="center"/>
              </w:tcPr>
              <w:p w14:paraId="45DFF0DE">
                <w:pPr>
                  <w:pStyle w:val="48"/>
                </w:pPr>
                <w:r>
                  <w:t>54</w:t>
                </w:r>
              </w:p>
            </w:tc>
            <w:tc>
              <w:tcPr>
                <w:tcW w:w="1417" w:type="dxa"/>
                <w:vAlign w:val="center"/>
              </w:tcPr>
              <w:p w14:paraId="1F6E9085">
                <w:pPr>
                  <w:pStyle w:val="48"/>
                  <w:rPr>
                    <w:rFonts w:ascii="Times New Roman" w:hAnsi="Times New Roman"/>
                  </w:rPr>
                </w:pPr>
                <w:r>
                  <w:rPr>
                    <w:rFonts w:ascii="Times New Roman" w:hAnsi="Times New Roman"/>
                  </w:rPr>
                  <w:t>2021-11-30</w:t>
                </w:r>
              </w:p>
            </w:tc>
            <w:tc>
              <w:tcPr>
                <w:tcW w:w="1276" w:type="dxa"/>
                <w:vAlign w:val="center"/>
              </w:tcPr>
              <w:p w14:paraId="79EB6109">
                <w:pPr>
                  <w:pStyle w:val="48"/>
                  <w:rPr>
                    <w:rFonts w:ascii="Times New Roman" w:hAnsi="Times New Roman"/>
                  </w:rPr>
                </w:pPr>
                <w:r>
                  <w:rPr>
                    <w:rFonts w:ascii="Times New Roman" w:hAnsi="Times New Roman"/>
                  </w:rPr>
                  <w:t>2025-03-31</w:t>
                </w:r>
              </w:p>
            </w:tc>
            <w:tc>
              <w:tcPr>
                <w:tcW w:w="1276" w:type="dxa"/>
                <w:vAlign w:val="center"/>
              </w:tcPr>
              <w:p w14:paraId="18667C89">
                <w:pPr>
                  <w:pStyle w:val="48"/>
                  <w:jc w:val="right"/>
                  <w:rPr>
                    <w:rFonts w:ascii="Times New Roman" w:hAnsi="Times New Roman"/>
                  </w:rPr>
                </w:pPr>
                <w:r>
                  <w:rPr>
                    <w:rFonts w:ascii="Times New Roman" w:hAnsi="Times New Roman"/>
                  </w:rPr>
                  <w:t>0</w:t>
                </w:r>
              </w:p>
            </w:tc>
            <w:tc>
              <w:tcPr>
                <w:tcW w:w="1276" w:type="dxa"/>
                <w:vAlign w:val="center"/>
              </w:tcPr>
              <w:p w14:paraId="408634C0">
                <w:pPr>
                  <w:pStyle w:val="48"/>
                  <w:jc w:val="right"/>
                  <w:rPr>
                    <w:rFonts w:ascii="Times New Roman" w:hAnsi="Times New Roman"/>
                  </w:rPr>
                </w:pPr>
                <w:r>
                  <w:rPr>
                    <w:rFonts w:ascii="Times New Roman" w:hAnsi="Times New Roman"/>
                  </w:rPr>
                  <w:t>0</w:t>
                </w:r>
              </w:p>
            </w:tc>
            <w:tc>
              <w:tcPr>
                <w:tcW w:w="1275" w:type="dxa"/>
                <w:vAlign w:val="center"/>
              </w:tcPr>
              <w:p w14:paraId="63BAC47E">
                <w:pPr>
                  <w:widowControl w:val="0"/>
                  <w:jc w:val="right"/>
                </w:pPr>
                <w:r>
                  <w:t>0</w:t>
                </w:r>
              </w:p>
            </w:tc>
            <w:tc>
              <w:tcPr>
                <w:tcW w:w="1985" w:type="dxa"/>
                <w:vAlign w:val="center"/>
              </w:tcPr>
              <w:p w14:paraId="6C6E1518">
                <w:pPr>
                  <w:pStyle w:val="48"/>
                  <w:jc w:val="center"/>
                </w:pPr>
                <w:r>
                  <w:t>不适用</w:t>
                </w:r>
              </w:p>
            </w:tc>
            <w:tc>
              <w:tcPr>
                <w:tcW w:w="992" w:type="dxa"/>
                <w:vAlign w:val="center"/>
              </w:tcPr>
              <w:p w14:paraId="4DA4BE46">
                <w:pPr>
                  <w:widowControl w:val="0"/>
                  <w:jc w:val="right"/>
                  <w:rPr>
                    <w:highlight w:val="yellow"/>
                  </w:rPr>
                </w:pPr>
                <w:r>
                  <w:t>77.93</w:t>
                </w:r>
              </w:p>
            </w:tc>
            <w:sdt>
              <w:sdtPr>
                <w:rPr>
                  <w14:ligatures w14:val="standardContextual"/>
                </w:rPr>
                <w:alias w:val="董事、监事、高级管理人员是否在公司关联方获取报酬"/>
                <w:tag w:val="_GBC_ca79c4e139754ecd84ca3e60eb23b31d"/>
                <w:id w:val="811131887"/>
                <w:comboBox>
                  <w:listItem w:displayText="是" w:value="是"/>
                  <w:listItem w:displayText="否" w:value="否"/>
                </w:comboBox>
              </w:sdtPr>
              <w:sdtEndPr>
                <w:rPr>
                  <w14:ligatures w14:val="standardContextual"/>
                </w:rPr>
              </w:sdtEndPr>
              <w:sdtContent>
                <w:tc>
                  <w:tcPr>
                    <w:tcW w:w="904" w:type="dxa"/>
                    <w:vAlign w:val="center"/>
                  </w:tcPr>
                  <w:p w14:paraId="3C61BDCD">
                    <w:pPr>
                      <w:widowControl w:val="0"/>
                      <w:jc w:val="center"/>
                      <w:rPr>
                        <w14:ligatures w14:val="standardContextual"/>
                      </w:rPr>
                    </w:pPr>
                    <w:r>
                      <w:rPr>
                        <w14:ligatures w14:val="standardContextual"/>
                      </w:rPr>
                      <w:t>否</w:t>
                    </w:r>
                  </w:p>
                </w:tc>
              </w:sdtContent>
            </w:sdt>
          </w:tr>
          <w:tr w14:paraId="1FD3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135" w:type="dxa"/>
                <w:tcBorders>
                  <w:bottom w:val="single" w:color="auto" w:sz="4" w:space="0"/>
                </w:tcBorders>
                <w:vAlign w:val="center"/>
              </w:tcPr>
              <w:p w14:paraId="5F6C5616">
                <w:pPr>
                  <w:widowControl w:val="0"/>
                  <w:jc w:val="center"/>
                </w:pPr>
                <w:r>
                  <w:rPr>
                    <w:rFonts w:hint="eastAsia"/>
                  </w:rPr>
                  <w:t>合计</w:t>
                </w:r>
              </w:p>
            </w:tc>
            <w:tc>
              <w:tcPr>
                <w:tcW w:w="2132" w:type="dxa"/>
                <w:tcBorders>
                  <w:bottom w:val="single" w:color="auto" w:sz="4" w:space="0"/>
                </w:tcBorders>
                <w:vAlign w:val="center"/>
              </w:tcPr>
              <w:p w14:paraId="6972E158">
                <w:pPr>
                  <w:widowControl w:val="0"/>
                  <w:jc w:val="center"/>
                </w:pPr>
                <w:r>
                  <w:rPr>
                    <w:rFonts w:hint="eastAsia"/>
                  </w:rPr>
                  <w:t>/</w:t>
                </w:r>
              </w:p>
            </w:tc>
            <w:tc>
              <w:tcPr>
                <w:tcW w:w="567" w:type="dxa"/>
                <w:tcBorders>
                  <w:bottom w:val="single" w:color="auto" w:sz="4" w:space="0"/>
                </w:tcBorders>
                <w:vAlign w:val="center"/>
              </w:tcPr>
              <w:p w14:paraId="1659A7C7">
                <w:pPr>
                  <w:widowControl w:val="0"/>
                  <w:jc w:val="center"/>
                </w:pPr>
                <w:r>
                  <w:rPr>
                    <w:rFonts w:hint="eastAsia"/>
                  </w:rPr>
                  <w:t>/</w:t>
                </w:r>
              </w:p>
            </w:tc>
            <w:tc>
              <w:tcPr>
                <w:tcW w:w="567" w:type="dxa"/>
                <w:tcBorders>
                  <w:bottom w:val="single" w:color="auto" w:sz="4" w:space="0"/>
                </w:tcBorders>
                <w:vAlign w:val="center"/>
              </w:tcPr>
              <w:p w14:paraId="5C9A7DFE">
                <w:pPr>
                  <w:widowControl w:val="0"/>
                  <w:jc w:val="center"/>
                </w:pPr>
                <w:r>
                  <w:rPr>
                    <w:rFonts w:hint="eastAsia"/>
                  </w:rPr>
                  <w:t>/</w:t>
                </w:r>
              </w:p>
            </w:tc>
            <w:tc>
              <w:tcPr>
                <w:tcW w:w="1417" w:type="dxa"/>
                <w:tcBorders>
                  <w:bottom w:val="single" w:color="auto" w:sz="4" w:space="0"/>
                </w:tcBorders>
                <w:vAlign w:val="center"/>
              </w:tcPr>
              <w:p w14:paraId="057E4DBC">
                <w:pPr>
                  <w:widowControl w:val="0"/>
                  <w:jc w:val="center"/>
                </w:pPr>
                <w:r>
                  <w:rPr>
                    <w:rFonts w:hint="eastAsia"/>
                  </w:rPr>
                  <w:t>/</w:t>
                </w:r>
              </w:p>
            </w:tc>
            <w:tc>
              <w:tcPr>
                <w:tcW w:w="1276" w:type="dxa"/>
                <w:tcBorders>
                  <w:bottom w:val="single" w:color="auto" w:sz="4" w:space="0"/>
                </w:tcBorders>
                <w:vAlign w:val="center"/>
              </w:tcPr>
              <w:p w14:paraId="690E1FA0">
                <w:pPr>
                  <w:widowControl w:val="0"/>
                  <w:jc w:val="center"/>
                </w:pPr>
                <w:r>
                  <w:rPr>
                    <w:rFonts w:hint="eastAsia"/>
                  </w:rPr>
                  <w:t>/</w:t>
                </w:r>
              </w:p>
            </w:tc>
            <w:tc>
              <w:tcPr>
                <w:tcW w:w="1276" w:type="dxa"/>
                <w:tcBorders>
                  <w:bottom w:val="single" w:color="auto" w:sz="4" w:space="0"/>
                </w:tcBorders>
                <w:vAlign w:val="center"/>
              </w:tcPr>
              <w:p w14:paraId="59861CA9">
                <w:pPr>
                  <w:widowControl w:val="0"/>
                  <w:jc w:val="right"/>
                </w:pPr>
                <w:r>
                  <w:t>8,712,892</w:t>
                </w:r>
              </w:p>
            </w:tc>
            <w:tc>
              <w:tcPr>
                <w:tcW w:w="1276" w:type="dxa"/>
                <w:tcBorders>
                  <w:bottom w:val="single" w:color="auto" w:sz="4" w:space="0"/>
                </w:tcBorders>
                <w:vAlign w:val="center"/>
              </w:tcPr>
              <w:p w14:paraId="61C00862">
                <w:pPr>
                  <w:widowControl w:val="0"/>
                  <w:jc w:val="right"/>
                </w:pPr>
                <w:r>
                  <w:t>8,640,892</w:t>
                </w:r>
              </w:p>
            </w:tc>
            <w:tc>
              <w:tcPr>
                <w:tcW w:w="1275" w:type="dxa"/>
                <w:tcBorders>
                  <w:bottom w:val="single" w:color="auto" w:sz="4" w:space="0"/>
                </w:tcBorders>
                <w:vAlign w:val="center"/>
              </w:tcPr>
              <w:p w14:paraId="6C51562B">
                <w:pPr>
                  <w:widowControl w:val="0"/>
                  <w:jc w:val="right"/>
                </w:pPr>
                <w:r>
                  <w:rPr>
                    <w:rFonts w:hint="eastAsia"/>
                  </w:rPr>
                  <w:t>-</w:t>
                </w:r>
                <w:r>
                  <w:t>72,000</w:t>
                </w:r>
              </w:p>
            </w:tc>
            <w:tc>
              <w:tcPr>
                <w:tcW w:w="1985" w:type="dxa"/>
                <w:tcBorders>
                  <w:bottom w:val="single" w:color="auto" w:sz="4" w:space="0"/>
                </w:tcBorders>
                <w:vAlign w:val="center"/>
              </w:tcPr>
              <w:p w14:paraId="3933F37C">
                <w:pPr>
                  <w:widowControl w:val="0"/>
                  <w:jc w:val="center"/>
                </w:pPr>
                <w:r>
                  <w:rPr>
                    <w:rFonts w:hint="eastAsia"/>
                  </w:rPr>
                  <w:t>/</w:t>
                </w:r>
              </w:p>
            </w:tc>
            <w:tc>
              <w:tcPr>
                <w:tcW w:w="992" w:type="dxa"/>
                <w:tcBorders>
                  <w:bottom w:val="single" w:color="auto" w:sz="4" w:space="0"/>
                </w:tcBorders>
                <w:vAlign w:val="center"/>
              </w:tcPr>
              <w:p w14:paraId="58C7ADC7">
                <w:pPr>
                  <w:widowControl w:val="0"/>
                  <w:jc w:val="right"/>
                </w:pPr>
                <w:r>
                  <w:t>1,420.26</w:t>
                </w:r>
              </w:p>
            </w:tc>
            <w:tc>
              <w:tcPr>
                <w:tcW w:w="904" w:type="dxa"/>
                <w:tcBorders>
                  <w:bottom w:val="single" w:color="auto" w:sz="4" w:space="0"/>
                </w:tcBorders>
                <w:vAlign w:val="center"/>
              </w:tcPr>
              <w:p w14:paraId="507C98A5">
                <w:pPr>
                  <w:pStyle w:val="48"/>
                </w:pPr>
                <w:r>
                  <w:t>/</w:t>
                </w:r>
              </w:p>
            </w:tc>
          </w:tr>
        </w:tbl>
        <w:p w14:paraId="66FD50CE"/>
        <w:p w14:paraId="205C7A67">
          <w:pPr>
            <w:pStyle w:val="48"/>
          </w:pPr>
        </w:p>
      </w:sdtContent>
    </w:sdt>
    <w:sdt>
      <w:sdtPr>
        <w:rPr>
          <w:rFonts w:hint="eastAsia" w:ascii="Times New Roman" w:hAnsi="Times New Roman"/>
          <w:kern w:val="0"/>
        </w:rPr>
        <w:alias w:val="模块:主要工作经历"/>
        <w:tag w:val="_SEC_5fa5252cb7764db0bc2f7432da44b453"/>
        <w:id w:val="-1654972498"/>
        <w:placeholder>
          <w:docPart w:val="GBC22222222222222222222222222222"/>
        </w:placeholder>
      </w:sdtPr>
      <w:sdtEndPr>
        <w:rPr>
          <w:rFonts w:hint="default" w:ascii="Times New Roman" w:hAnsi="Times New Roman"/>
          <w:kern w:val="0"/>
        </w:rPr>
      </w:sdtEndPr>
      <w:sdtContent>
        <w:p w14:paraId="63AA9ECB">
          <w:pPr>
            <w:pStyle w:val="48"/>
          </w:pPr>
          <w:bookmarkStart w:id="130" w:name="_Hlk155082088"/>
        </w:p>
        <w:tbl>
          <w:tblPr>
            <w:tblStyle w:val="47"/>
            <w:tblW w:w="140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705"/>
          </w:tblGrid>
          <w:tr w14:paraId="3DFB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25b90cb0c248978acb54a7f361f6a2"/>
                <w:id w:val="2079246351"/>
              </w:sdtPr>
              <w:sdtContent>
                <w:tc>
                  <w:tcPr>
                    <w:tcW w:w="1384" w:type="dxa"/>
                    <w:vAlign w:val="center"/>
                  </w:tcPr>
                  <w:p w14:paraId="54912E50">
                    <w:pPr>
                      <w:widowControl w:val="0"/>
                      <w:jc w:val="center"/>
                    </w:pPr>
                    <w:r>
                      <w:rPr>
                        <w:rFonts w:hint="eastAsia"/>
                      </w:rPr>
                      <w:t>姓名</w:t>
                    </w:r>
                  </w:p>
                </w:tc>
              </w:sdtContent>
            </w:sdt>
            <w:sdt>
              <w:sdtPr>
                <w:tag w:val="_PLD_61b466aae87d4dac813a38c2c8e6a492"/>
                <w:id w:val="1245611250"/>
              </w:sdtPr>
              <w:sdtContent>
                <w:tc>
                  <w:tcPr>
                    <w:tcW w:w="12705" w:type="dxa"/>
                    <w:vAlign w:val="center"/>
                  </w:tcPr>
                  <w:p w14:paraId="5FDA652F">
                    <w:pPr>
                      <w:widowControl w:val="0"/>
                      <w:spacing w:line="360" w:lineRule="auto"/>
                      <w:jc w:val="center"/>
                    </w:pPr>
                    <w:r>
                      <w:t>主要工作经历</w:t>
                    </w:r>
                  </w:p>
                </w:tc>
              </w:sdtContent>
            </w:sdt>
          </w:tr>
          <w:tr w14:paraId="4105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59CE5864">
                <w:pPr>
                  <w:pStyle w:val="48"/>
                </w:pPr>
                <w:r>
                  <w:t>李佳鸿</w:t>
                </w:r>
              </w:p>
            </w:tc>
            <w:tc>
              <w:tcPr>
                <w:tcW w:w="12705" w:type="dxa"/>
                <w:vAlign w:val="center"/>
              </w:tcPr>
              <w:p w14:paraId="6433BF0B">
                <w:pPr>
                  <w:pStyle w:val="48"/>
                </w:pPr>
                <w:r>
                  <w:rPr>
                    <w:rFonts w:hint="eastAsia"/>
                  </w:rPr>
                  <w:t>出生于1988年6月，学士学位，2016年毕业于德国伊德施泰因高等专业学院工商管理专业，获学士学位。2016年2月起加入东宝实业集团股份有限公司，历任东宝实业集团股份有限公司董事长秘书、董事长助理、副总经理、总经理。2019年3月起任东宝实业集团股份有限公司董事长；2024年3月起任公司董事长；现任公司董事长兼总经理。</w:t>
                </w:r>
              </w:p>
            </w:tc>
          </w:tr>
          <w:tr w14:paraId="291C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4ED95572">
                <w:pPr>
                  <w:pStyle w:val="48"/>
                </w:pPr>
                <w:r>
                  <w:t>冷春生</w:t>
                </w:r>
              </w:p>
            </w:tc>
            <w:tc>
              <w:tcPr>
                <w:tcW w:w="12705" w:type="dxa"/>
                <w:vAlign w:val="center"/>
              </w:tcPr>
              <w:p w14:paraId="2F3783D6">
                <w:pPr>
                  <w:pStyle w:val="48"/>
                </w:pPr>
                <w:r>
                  <w:rPr>
                    <w:rFonts w:hint="eastAsia"/>
                  </w:rPr>
                  <w:t>出生于1974年9月，中共党员，博士研究生，正高级工程师。1997年毕业于吉林化工学院精细化工专业，获学士学位；2013年毕业于辽宁师范大学细胞生物学专业，获博士学位。1997年加入本公司，从事蛋白质生物药的研究开发及成果产业化等工作。先后获得国家科技进步奖二等奖，享受国务院特殊津贴，被评为全国劳动模范，全国优秀科技工作者。曾任公司董事长、总经理，现任本公司副董事长。</w:t>
                </w:r>
              </w:p>
            </w:tc>
          </w:tr>
          <w:tr w14:paraId="6C6D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74CBF489">
                <w:pPr>
                  <w:pStyle w:val="48"/>
                </w:pPr>
                <w:r>
                  <w:t>张国栋</w:t>
                </w:r>
              </w:p>
            </w:tc>
            <w:tc>
              <w:tcPr>
                <w:tcW w:w="12705" w:type="dxa"/>
                <w:vAlign w:val="center"/>
              </w:tcPr>
              <w:p w14:paraId="16F8CD3D">
                <w:pPr>
                  <w:pStyle w:val="48"/>
                </w:pPr>
                <w:r>
                  <w:rPr>
                    <w:rFonts w:hint="eastAsia"/>
                  </w:rPr>
                  <w:t>出生于1976年8月，本科学历。1999年毕业于同济医科大学临床医学专业；2011年毕业于中国人民大学工商管理专业。2000年-2002年联邦制药北京办事处医药代表；2002年-2005年美国礼来公司医药专员；2005年加入公司，曾任公司大区销售经理、董事，2018年5月起任公司副总经理，负责销售工作。现任公司职工代表董事、副总裁。</w:t>
                </w:r>
              </w:p>
            </w:tc>
          </w:tr>
          <w:tr w14:paraId="065E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4E40102B">
                <w:pPr>
                  <w:pStyle w:val="48"/>
                </w:pPr>
                <w:r>
                  <w:t>张文海</w:t>
                </w:r>
              </w:p>
            </w:tc>
            <w:tc>
              <w:tcPr>
                <w:tcW w:w="12705" w:type="dxa"/>
                <w:vAlign w:val="center"/>
              </w:tcPr>
              <w:p w14:paraId="6794E4A5">
                <w:pPr>
                  <w:pStyle w:val="48"/>
                </w:pPr>
                <w:r>
                  <w:rPr>
                    <w:rFonts w:hint="eastAsia"/>
                  </w:rPr>
                  <w:t>出生于1974年10月，本科学历。1998年7月毕业于哈尔滨商业大学中药制药专业。1998年7月-2002年2月北京市大兴区中医医院药剂科中药师；2002年2月-2004年3月美国礼来亚洲公司北京办事处医药代表；2004年3月-2018年5月任本公司大区经理。2018年5月13日起任本公司副总经理，负责销售工作。现任本公司董事、副总裁。</w:t>
                </w:r>
              </w:p>
            </w:tc>
          </w:tr>
          <w:tr w14:paraId="3B28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4FAA6564">
                <w:pPr>
                  <w:pStyle w:val="48"/>
                </w:pPr>
                <w:r>
                  <w:t>王玮</w:t>
                </w:r>
              </w:p>
            </w:tc>
            <w:tc>
              <w:tcPr>
                <w:tcW w:w="12705" w:type="dxa"/>
                <w:vAlign w:val="center"/>
              </w:tcPr>
              <w:p w14:paraId="72AB2B9C">
                <w:pPr>
                  <w:pStyle w:val="48"/>
                </w:pPr>
                <w:r>
                  <w:rPr>
                    <w:rFonts w:hint="eastAsia"/>
                  </w:rPr>
                  <w:t>出生于1983年2月，本科学历，毕业于上海交通大学。2005年至2007年于麦肯锡咨询公司担任商业分析顾问；2007年至2011年于兰馨亚洲投资集团担任高级投资经理；2011年至2016年于KKR投资集团担任大中华区执行董事；2017年至今，担任德弘资本董事、总经理。在十几年直接投资生涯中，主管消费和医疗健康行业投资业务，曾主导对启明医疗（2500.HK）、青岛海尔（600690.SH）、中国脐带血库（NYSE:CO）、国控租赁、九悦医疗、济时资本、堃博生物、中国服饰控股（1146.HK）、远洋集团（3377.HK）等项目的投资。目前主要担任珠海德弘私募基金管理有限公司董事长兼经理、启明医疗董事、汇成国际控股董事、国耀融汇融资租赁有限公司董事、上海美华沃德医疗董事长。现任本公司董事。</w:t>
                </w:r>
              </w:p>
            </w:tc>
          </w:tr>
          <w:tr w14:paraId="2CD8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71B940D4">
                <w:pPr>
                  <w:pStyle w:val="48"/>
                </w:pPr>
                <w:r>
                  <w:t>曾健纯</w:t>
                </w:r>
              </w:p>
            </w:tc>
            <w:tc>
              <w:tcPr>
                <w:tcW w:w="12705" w:type="dxa"/>
                <w:vAlign w:val="center"/>
              </w:tcPr>
              <w:p w14:paraId="57002046">
                <w:pPr>
                  <w:pStyle w:val="48"/>
                </w:pPr>
                <w:r>
                  <w:rPr>
                    <w:rFonts w:hint="eastAsia"/>
                  </w:rPr>
                  <w:t>出生于1990年12月，研究生学历，2013年毕业于美国圣母大学(University of Notre Dame)，获得物理和经济专业学士学位，2014年毕业于英国伦敦政治经济学院(The London School of Economics and Political Science)，获得金融硕士学位。2014年曾任科尔尼企业管理咨询公司经理，2018年至今就职于德弘资本并担任投后管理执行董事。在过去10年的管理咨询、投资及投后管理经历中，覆盖包括医疗、工业、快消品等多个行业，并参与多家世界500强企业运营转型、企业治理结构与流程优化、企业战略规划等项目。目前主要担任上海美华沃德医疗董事兼首席运营官、杭州贝瑞斯美华妇儿医院有限公司董事。现任本公司董事。</w:t>
                </w:r>
              </w:p>
            </w:tc>
          </w:tr>
          <w:tr w14:paraId="528F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36AEAA6F">
                <w:pPr>
                  <w:pStyle w:val="48"/>
                </w:pPr>
                <w:r>
                  <w:t>毕焱</w:t>
                </w:r>
              </w:p>
            </w:tc>
            <w:tc>
              <w:tcPr>
                <w:tcW w:w="12705" w:type="dxa"/>
                <w:vAlign w:val="center"/>
              </w:tcPr>
              <w:p w14:paraId="7133D7AF">
                <w:pPr>
                  <w:pStyle w:val="48"/>
                </w:pPr>
                <w:r>
                  <w:rPr>
                    <w:rFonts w:hint="eastAsia"/>
                  </w:rPr>
                  <w:t>出生于1966年12月，中共党员，高级会计师、注册会计师，大学本科学历。1989年毕业于吉林财经大学会计学专业（原吉林财贸学院），获经济学学士学位，现任吉林新元会计师事务所有限责任公司主任会计师、本公司独立董事。</w:t>
                </w:r>
              </w:p>
            </w:tc>
          </w:tr>
          <w:tr w14:paraId="7D00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17A5BBC7">
                <w:pPr>
                  <w:pStyle w:val="48"/>
                </w:pPr>
                <w:r>
                  <w:t>徐岱</w:t>
                </w:r>
              </w:p>
            </w:tc>
            <w:tc>
              <w:tcPr>
                <w:tcW w:w="12705" w:type="dxa"/>
                <w:vAlign w:val="center"/>
              </w:tcPr>
              <w:p w14:paraId="01EF5457">
                <w:pPr>
                  <w:widowControl w:val="0"/>
                  <w:spacing w:line="315" w:lineRule="atLeast"/>
                  <w:jc w:val="both"/>
                </w:pPr>
                <w:r>
                  <w:rPr>
                    <w:rFonts w:hint="eastAsia"/>
                  </w:rPr>
                  <w:t>出生于1967年10月，中共党员，法学博士，吉林大学法学院教授、博士生导师，美国杜克大学访问学者，香港大学法律学院访问学者。全国法律专业学位研究生教育指导委员会委员；中国刑法学研究会常务理事；中国犯罪学学会副会长；国际刑法学协会暨中国分会理事；吉林省法学会刑法学研究会副会长；吉林省法学会犯罪预防研究会常务副会长兼秘书长；吉林省法官、检察官遴选委员会委员；吉林省第二届中青年法学家；吉林省第十六批享受省政府津贴专家。现任本公司独立董事。</w:t>
                </w:r>
              </w:p>
            </w:tc>
          </w:tr>
          <w:tr w14:paraId="1338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2D5332A4">
                <w:pPr>
                  <w:pStyle w:val="48"/>
                </w:pPr>
                <w:r>
                  <w:t>徐力</w:t>
                </w:r>
              </w:p>
            </w:tc>
            <w:tc>
              <w:tcPr>
                <w:tcW w:w="12705" w:type="dxa"/>
                <w:vAlign w:val="center"/>
              </w:tcPr>
              <w:p w14:paraId="20424AC9">
                <w:pPr>
                  <w:widowControl w:val="0"/>
                  <w:spacing w:line="315" w:lineRule="atLeast"/>
                  <w:jc w:val="both"/>
                </w:pPr>
                <w:r>
                  <w:rPr>
                    <w:rFonts w:hint="eastAsia"/>
                  </w:rPr>
                  <w:t>出生于1967年8月，物理化学博士，吉林大学生命科学院教授，美国亚利桑那州立大学高级研究学者，美国乔治华盛顿大学高级研究学者，日本关西学院大学客座教授，法国INRA研究院访问学者，从事分子酶学与靶向药物递送等方面研究。负责国家863计划1项、国家自然科学基金项目4项、国家中医药管理局1项以及吉林省科技厅重大专项等多项科研课题，在Biosensors &amp; Bioelectronics、ACS Applied Materials &amp; Interfaces和Journal of the American Chemical Society等国外著名期刊上发表60多篇文章，获得吉林省自然科学二等奖4项，授权专利4项。现任本公司独立董事。</w:t>
                </w:r>
              </w:p>
            </w:tc>
          </w:tr>
          <w:tr w14:paraId="1D09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3B612C2D">
                <w:pPr>
                  <w:pStyle w:val="48"/>
                </w:pPr>
                <w:r>
                  <w:rPr>
                    <w:rFonts w:hint="eastAsia"/>
                  </w:rPr>
                  <w:t>迟军玉</w:t>
                </w:r>
              </w:p>
            </w:tc>
            <w:tc>
              <w:tcPr>
                <w:tcW w:w="12705" w:type="dxa"/>
                <w:vAlign w:val="center"/>
              </w:tcPr>
              <w:p w14:paraId="4FDE06ED">
                <w:pPr>
                  <w:widowControl w:val="0"/>
                  <w:spacing w:line="315" w:lineRule="atLeast"/>
                  <w:jc w:val="both"/>
                </w:pPr>
                <w:r>
                  <w:rPr>
                    <w:rFonts w:hint="eastAsia"/>
                  </w:rPr>
                  <w:t>出生于1979年8月，本科学历，注册会计师、税务师，中级会计师。2002年7月毕业于吉林财税高等专科学校会计电算化专业；2015年7月毕业于长春理工大学法学专业。2002年7月至2009年9月在东宝实业集团股份有限公司从事会计工作；2009年9月至2010年3月在安邦保险通化支公司从事会计工作；2010年3月至2020年4月在通化通达会计师事务所有限责任公司任审计助理/项目经理/所长/主任会计师。2020年5月加入通化东宝。现任本公司总会计师。</w:t>
                </w:r>
              </w:p>
            </w:tc>
          </w:tr>
          <w:tr w14:paraId="5735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3749FC48">
                <w:pPr>
                  <w:pStyle w:val="48"/>
                </w:pPr>
                <w:r>
                  <w:rPr>
                    <w:rFonts w:hint="eastAsia"/>
                  </w:rPr>
                  <w:t>范朴</w:t>
                </w:r>
              </w:p>
            </w:tc>
            <w:tc>
              <w:tcPr>
                <w:tcW w:w="12705" w:type="dxa"/>
                <w:vAlign w:val="center"/>
              </w:tcPr>
              <w:p w14:paraId="72F8AE1A">
                <w:pPr>
                  <w:widowControl w:val="0"/>
                  <w:spacing w:line="315" w:lineRule="atLeast"/>
                  <w:jc w:val="both"/>
                </w:pPr>
                <w:r>
                  <w:rPr>
                    <w:rFonts w:hint="eastAsia"/>
                  </w:rPr>
                  <w:t>出生于1981年12月，硕士研究生学历，注册会计师、特许金融分析师。2004年毕业于中国人民大学会计学专业；2006年毕业于中国人民大学企业管理专业。2006年8月至2010年2月任普华永道中天会计师事务所北京分所资深审计师；2010年2月至2014年3月任华润集团有限公司财务部高级经理；2014年3月至2018年12月任华润医药集团有限公司财务部外派财务总监；2019年1月至2024年9月任华润生物医药有限公司副总经理兼财务总监；2024年9月至2025年3月任悦康药业集团股份有限公司首席财务官；2025年3月加入通化东宝，任通化东宝业财部负责人。现任本公司副总裁，负责投资。</w:t>
                </w:r>
              </w:p>
            </w:tc>
          </w:tr>
          <w:tr w14:paraId="2299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68381498">
                <w:pPr>
                  <w:pStyle w:val="48"/>
                </w:pPr>
                <w:r>
                  <w:rPr>
                    <w:rFonts w:hint="eastAsia"/>
                  </w:rPr>
                  <w:t>关东亮</w:t>
                </w:r>
              </w:p>
            </w:tc>
            <w:tc>
              <w:tcPr>
                <w:tcW w:w="12705" w:type="dxa"/>
                <w:vAlign w:val="center"/>
              </w:tcPr>
              <w:p w14:paraId="2CB2B74D">
                <w:pPr>
                  <w:widowControl w:val="0"/>
                  <w:spacing w:line="315" w:lineRule="atLeast"/>
                  <w:jc w:val="both"/>
                </w:pPr>
                <w:r>
                  <w:rPr>
                    <w:rFonts w:hint="eastAsia"/>
                  </w:rPr>
                  <w:t>出生于1984年4月，硕士研究生学历。2006年毕业于北京大学化学专业，2024年毕业于浙江大学工商管理专业。2006年9月至2010年9月任上海恒瑞医药有限公司药化高级研究员；2010年9月至2013年3月，任北京奥科速医药科技有限公司技术研发总监；2013年6月至2018年3月，任浙江海正药业股份有限公司上海分公司总经理、研究所所长；2018年5月至2020年6月，任北京修正创新药物研究院有限公司副总经理兼国际药物研究院院长；2020年9月至2021年10月，任石药控股集团有限公司新药项目管理总监、高级战略规划经理；2021年10月至2022年2月，任长春金赛药业有限责任公司战略规划副总监；2022年7月至2025年8月任东宝实业集团股份有限公司运营总监，副总经理；2025年8月起，任通化东宝研发及生产负责人。现任本公司副总裁，负责研发及生产。</w:t>
                </w:r>
              </w:p>
            </w:tc>
          </w:tr>
          <w:tr w14:paraId="20F1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4FB2ED23">
                <w:pPr>
                  <w:pStyle w:val="48"/>
                </w:pPr>
                <w:r>
                  <w:t>苏璠（已离任）</w:t>
                </w:r>
              </w:p>
            </w:tc>
            <w:tc>
              <w:tcPr>
                <w:tcW w:w="12705" w:type="dxa"/>
                <w:vAlign w:val="center"/>
              </w:tcPr>
              <w:p w14:paraId="61C65185">
                <w:pPr>
                  <w:widowControl w:val="0"/>
                  <w:spacing w:line="315" w:lineRule="atLeast"/>
                  <w:jc w:val="both"/>
                </w:pPr>
                <w:r>
                  <w:t>出生于1979年11月，硕士研究生。2004 年毕业于中国政法大学并获得法学硕士学位，2012年毕业于伊拉斯姆斯大学鹿特丹管理学院 并获工商管理硕士学位。曾任荷兰鹿特丹昊博律师事务所中国业务经理、美的集 团股份有限公司海外战略经理及投资者关系经理、上海飞科电器股份有限公司董事会秘书、上海豫园旅游商城（集团）股份有限公司投资者关系部总经理。曾任本公司副总经理、董事会秘书。</w:t>
                </w:r>
              </w:p>
            </w:tc>
          </w:tr>
          <w:tr w14:paraId="5D8B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741AB1E3">
                <w:pPr>
                  <w:pStyle w:val="48"/>
                </w:pPr>
                <w:r>
                  <w:t>陈红（已离任）</w:t>
                </w:r>
              </w:p>
            </w:tc>
            <w:tc>
              <w:tcPr>
                <w:tcW w:w="12705" w:type="dxa"/>
                <w:vAlign w:val="center"/>
              </w:tcPr>
              <w:p w14:paraId="057C9181">
                <w:pPr>
                  <w:widowControl w:val="0"/>
                  <w:spacing w:line="315" w:lineRule="atLeast"/>
                  <w:jc w:val="both"/>
                </w:pPr>
                <w:r>
                  <w:t>出生于1974年6月，中共党员，正高级工程师，博士研 究生，执业药师。1998 年毕业于沈阳药科大学药物分析专业；2006 年毕业于吉林大学生物工程硕士研究生专业；2016 年毕业于武汉大学企业管理在职博士。曾从事过中药及生物制品的研究开发工作，主持过重组人胰岛素系列制剂研究与开发、氧化物模拟酶的筛选及应用研究、镇脑宁胶囊改良中药新药研制、镇脑宁胶囊药物经济学评价、珍稀药用植物细胞生物工程技术的开发与应用研究等。曾任公司产品开发部经理/总工程师。现主要负责中药改良型新药和古代经典名方中药复方制剂的开发以及中药生产质量管理等工作。曾任本公司副总经理。</w:t>
                </w:r>
              </w:p>
            </w:tc>
          </w:tr>
          <w:tr w14:paraId="2C52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5BE7227A">
                <w:pPr>
                  <w:pStyle w:val="48"/>
                </w:pPr>
                <w:r>
                  <w:t>Du Zhiqiang（杜治强）（已离任）</w:t>
                </w:r>
              </w:p>
            </w:tc>
            <w:tc>
              <w:tcPr>
                <w:tcW w:w="12705" w:type="dxa"/>
                <w:vAlign w:val="center"/>
              </w:tcPr>
              <w:p w14:paraId="312DA0F9">
                <w:pPr>
                  <w:widowControl w:val="0"/>
                  <w:spacing w:line="315" w:lineRule="atLeast"/>
                  <w:jc w:val="both"/>
                </w:pPr>
                <w:r>
                  <w:t>出生于1972年10月，中国医科大学七年制临床医学硕士，美国德州理工大学生物学博士，美国休斯顿 MD 安德森癌症中心博士后，上海市第五届</w:t>
                </w:r>
                <w:r>
                  <w:rPr>
                    <w:rFonts w:ascii="宋体" w:hAnsi="宋体"/>
                  </w:rPr>
                  <w:t>“张江优秀人才”</w:t>
                </w:r>
                <w:r>
                  <w:t>。2009年-2018年先后在诺华 （中国）研发中心、强生制药中国研发中心、安进亚太研发中心等跨国企业研发中心担任重要岗位，主要研究涉及内分泌代谢、心血管及肿瘤等治疗领域。2018 年-2021 年 8 月任上海仁会生物制药股份有限公司研发副总，曾任本公司副总经理。</w:t>
                </w:r>
              </w:p>
            </w:tc>
          </w:tr>
        </w:tbl>
        <w:p w14:paraId="1D809452"/>
      </w:sdtContent>
    </w:sdt>
    <w:bookmarkEnd w:id="130"/>
    <w:sdt>
      <w:sdtPr>
        <w:rPr>
          <w:rFonts w:ascii="Times New Roman" w:hAnsi="Times New Roman"/>
          <w:kern w:val="0"/>
        </w:rPr>
        <w:alias w:val="模块:其它情况说明"/>
        <w:tag w:val="_SEC_d2c8a0bd19544dc58df7162e09cb3b53"/>
        <w:id w:val="-1041370019"/>
        <w:placeholder>
          <w:docPart w:val="GBC22222222222222222222222222222"/>
        </w:placeholder>
      </w:sdtPr>
      <w:sdtEndPr>
        <w:rPr>
          <w:rFonts w:ascii="Times New Roman" w:hAnsi="Times New Roman"/>
          <w:kern w:val="0"/>
        </w:rPr>
      </w:sdtEndPr>
      <w:sdtContent>
        <w:p w14:paraId="64A20057">
          <w:pPr>
            <w:pStyle w:val="48"/>
          </w:pPr>
          <w:r>
            <w:t>其它情况说明</w:t>
          </w:r>
        </w:p>
        <w:sdt>
          <w:sdtPr>
            <w:alias w:val="是否适用：董事、监事 和高级管理人员持股变动及报酬情况其他情况说明[双击切换]"/>
            <w:tag w:val="_GBC_9b04f21816b544bc9606e29c2556c9ba"/>
            <w:id w:val="-1825578901"/>
            <w:placeholder>
              <w:docPart w:val="GBC22222222222222222222222222222"/>
            </w:placeholder>
          </w:sdtPr>
          <w:sdtContent>
            <w:p w14:paraId="2F391E5C">
              <w:pPr>
                <w:pStyle w:val="48"/>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董事、监事和高级管理人员持股变动及报酬其他情况说明"/>
            <w:tag w:val="_GBC_557fdbc21d794629ab786dcecc519b1c"/>
            <w:id w:val="-875230775"/>
            <w:placeholder>
              <w:docPart w:val="GBC22222222222222222222222222222"/>
            </w:placeholder>
          </w:sdtPr>
          <w:sdtContent>
            <w:p w14:paraId="258B0DAF">
              <w:pPr>
                <w:overflowPunct w:val="0"/>
                <w:spacing w:line="360" w:lineRule="auto"/>
                <w:ind w:firstLine="420" w:firstLineChars="200"/>
                <w:jc w:val="both"/>
              </w:pPr>
              <w:r>
                <w:t>1</w:t>
              </w:r>
              <w:r>
                <w:rPr>
                  <w:rFonts w:hint="eastAsia"/>
                </w:rPr>
                <w:t>、202</w:t>
              </w:r>
              <w:r>
                <w:t>5</w:t>
              </w:r>
              <w:r>
                <w:rPr>
                  <w:rFonts w:hint="eastAsia"/>
                </w:rPr>
                <w:t>年3月3</w:t>
              </w:r>
              <w:r>
                <w:t>1</w:t>
              </w:r>
              <w:r>
                <w:rPr>
                  <w:rFonts w:hint="eastAsia"/>
                </w:rPr>
                <w:t>日，公司董事会收到副总经理Du Zhiqiang（杜治强）先生、苏璠女士、陈红先生递交的书面辞职报告。Du Zhiqiang（杜治强）先生因个人原因，申请辞去公司副总经理的职务。辞职后将不再担任公司任何职务。苏璠女士、陈红先生，因公司组织架构及管理分工安排调整原因,申请辞去副总经理职务。辞职后，苏璠女士继续担任公司董事会秘书职务；陈红先生担任公司其他职务。内容详见公司于2</w:t>
              </w:r>
              <w:r>
                <w:t>025</w:t>
              </w:r>
              <w:r>
                <w:rPr>
                  <w:rFonts w:hint="eastAsia"/>
                </w:rPr>
                <w:t>年4月1日在中国证券报、上海证券报及上海证券交易所网站（www.sse.com.cn）披露的《通化东宝关于高级管理人员辞职的公告</w:t>
              </w:r>
              <w:bookmarkStart w:id="131" w:name="OLE_LINK9"/>
              <w:r>
                <w:rPr>
                  <w:rFonts w:hint="eastAsia"/>
                </w:rPr>
                <w:t>》（公告编号：202</w:t>
              </w:r>
              <w:r>
                <w:t>5</w:t>
              </w:r>
              <w:r>
                <w:rPr>
                  <w:rFonts w:hint="eastAsia"/>
                </w:rPr>
                <w:t>-</w:t>
              </w:r>
              <w:bookmarkEnd w:id="131"/>
              <w:r>
                <w:rPr>
                  <w:rFonts w:hint="eastAsia"/>
                </w:rPr>
                <w:t>0</w:t>
              </w:r>
              <w:r>
                <w:t>21</w:t>
              </w:r>
              <w:r>
                <w:rPr>
                  <w:rFonts w:hint="eastAsia"/>
                </w:rPr>
                <w:t>）。</w:t>
              </w:r>
            </w:p>
            <w:p w14:paraId="71FBEC46">
              <w:pPr>
                <w:overflowPunct w:val="0"/>
                <w:spacing w:line="360" w:lineRule="auto"/>
                <w:ind w:firstLine="420" w:firstLineChars="200"/>
                <w:jc w:val="both"/>
              </w:pPr>
              <w:r>
                <w:rPr>
                  <w:rFonts w:hint="eastAsia"/>
                </w:rPr>
                <w:t>2、202</w:t>
              </w:r>
              <w:r>
                <w:t>5</w:t>
              </w:r>
              <w:r>
                <w:rPr>
                  <w:rFonts w:hint="eastAsia"/>
                </w:rPr>
                <w:t>年</w:t>
              </w:r>
              <w:r>
                <w:t>7</w:t>
              </w:r>
              <w:r>
                <w:rPr>
                  <w:rFonts w:hint="eastAsia"/>
                </w:rPr>
                <w:t>月</w:t>
              </w:r>
              <w:r>
                <w:t>4</w:t>
              </w:r>
              <w:r>
                <w:rPr>
                  <w:rFonts w:hint="eastAsia"/>
                </w:rPr>
                <w:t>日，公司董事会收到董事会秘书苏璠女士递交的书面辞职报告，苏璠女士因个人原因，申请辞去公司董事会秘书的职务。辞职后，苏璠女士将不再担任公司任何职务。内容详见公司于2</w:t>
              </w:r>
              <w:r>
                <w:t>025</w:t>
              </w:r>
              <w:r>
                <w:rPr>
                  <w:rFonts w:hint="eastAsia"/>
                </w:rPr>
                <w:t>年7月5日在中国证券报、上海证券报及上海证券交易所网站（www.sse.com.cn）披露的《通化东宝关于董事会秘书离任的公告》（公告编号：202</w:t>
              </w:r>
              <w:r>
                <w:t>5</w:t>
              </w:r>
              <w:r>
                <w:rPr>
                  <w:rFonts w:hint="eastAsia"/>
                </w:rPr>
                <w:t>-</w:t>
              </w:r>
              <w:r>
                <w:t>046</w:t>
              </w:r>
              <w:r>
                <w:rPr>
                  <w:rFonts w:hint="eastAsia"/>
                </w:rPr>
                <w:t>）。</w:t>
              </w:r>
            </w:p>
            <w:p w14:paraId="48EFB677">
              <w:pPr>
                <w:overflowPunct w:val="0"/>
                <w:spacing w:line="360" w:lineRule="auto"/>
                <w:ind w:firstLine="420" w:firstLineChars="200"/>
                <w:jc w:val="both"/>
              </w:pPr>
              <w:r>
                <w:rPr>
                  <w:rFonts w:hint="eastAsia"/>
                </w:rPr>
                <w:t>3、202</w:t>
              </w:r>
              <w:r>
                <w:t>5</w:t>
              </w:r>
              <w:r>
                <w:rPr>
                  <w:rFonts w:hint="eastAsia"/>
                </w:rPr>
                <w:t>年8月2</w:t>
              </w:r>
              <w:r>
                <w:t>5</w:t>
              </w:r>
              <w:r>
                <w:rPr>
                  <w:rFonts w:hint="eastAsia"/>
                </w:rPr>
                <w:t>日，公司董事会收到</w:t>
              </w:r>
              <w:r>
                <w:t>冷春生</w:t>
              </w:r>
              <w:r>
                <w:rPr>
                  <w:rFonts w:hint="eastAsia"/>
                </w:rPr>
                <w:t>先生递交的书面辞职报告，</w:t>
              </w:r>
              <w:r>
                <w:t>冷春生</w:t>
              </w:r>
              <w:r>
                <w:rPr>
                  <w:rFonts w:hint="eastAsia"/>
                </w:rPr>
                <w:t>先生因工作安排调整，基于参股公司君合盟生物制药（杭州）股份有限公司的发展需要，申请辞去公司总经理的职务。辞职后，</w:t>
              </w:r>
              <w:r>
                <w:t>冷春生</w:t>
              </w:r>
              <w:r>
                <w:rPr>
                  <w:rFonts w:hint="eastAsia"/>
                </w:rPr>
                <w:t>先生继续担任公司副董事长职务并担任董事会战略委员会、薪酬与考核委员会、提名委员会委员和审计委员会委员职务。同时公司决定，聘任冷春生先生为公司首席科学顾问。</w:t>
              </w:r>
            </w:p>
            <w:p w14:paraId="14A17CA9">
              <w:pPr>
                <w:overflowPunct w:val="0"/>
                <w:adjustRightInd w:val="0"/>
                <w:snapToGrid w:val="0"/>
                <w:spacing w:line="360" w:lineRule="auto"/>
                <w:ind w:firstLine="420" w:firstLineChars="200"/>
                <w:jc w:val="both"/>
              </w:pPr>
              <w:r>
                <w:rPr>
                  <w:rFonts w:hint="eastAsia"/>
                </w:rPr>
                <w:t>公司于2</w:t>
              </w:r>
              <w:r>
                <w:t>025</w:t>
              </w:r>
              <w:r>
                <w:rPr>
                  <w:rFonts w:hint="eastAsia"/>
                </w:rPr>
                <w:t>年8月2</w:t>
              </w:r>
              <w:r>
                <w:t>5</w:t>
              </w:r>
              <w:r>
                <w:rPr>
                  <w:rFonts w:hint="eastAsia"/>
                </w:rPr>
                <w:t>日召开了第十一届董事会第十六次会议，审议通过了《关于聘任公司总经理的议案》，同意聘任李佳鸿先生为公司总经理。内容详见公司于2</w:t>
              </w:r>
              <w:r>
                <w:t>025</w:t>
              </w:r>
              <w:r>
                <w:rPr>
                  <w:rFonts w:hint="eastAsia"/>
                </w:rPr>
                <w:t>年</w:t>
              </w:r>
              <w:r>
                <w:t>8</w:t>
              </w:r>
              <w:r>
                <w:rPr>
                  <w:rFonts w:hint="eastAsia"/>
                </w:rPr>
                <w:t>月26日在中国证券报、上海证券报及上海证券交易所网站（www.sse.com.cn）披露的《通化东宝关于总经理辞职暨新任公司总经理的公告》（公告编号：202</w:t>
              </w:r>
              <w:r>
                <w:t>5</w:t>
              </w:r>
              <w:r>
                <w:rPr>
                  <w:rFonts w:hint="eastAsia"/>
                </w:rPr>
                <w:t>-</w:t>
              </w:r>
              <w:r>
                <w:t>051</w:t>
              </w:r>
              <w:r>
                <w:rPr>
                  <w:rFonts w:hint="eastAsia"/>
                </w:rPr>
                <w:t>）。</w:t>
              </w:r>
            </w:p>
            <w:p w14:paraId="26EF51EC">
              <w:pPr>
                <w:spacing w:line="360" w:lineRule="auto"/>
                <w:ind w:firstLine="420" w:firstLineChars="200"/>
                <w:jc w:val="both"/>
              </w:pPr>
              <w:r>
                <w:rPr>
                  <w:rFonts w:hint="eastAsia"/>
                </w:rPr>
                <w:t>4、因公司内部工作调整，张国栋先生于2025年11月3日辞去公司董事的职务。辞职后，张国栋先生继续担任公司副总经理职务。2025年11月3日，公司召开第九届第四次职工代表大会，同意选举张国栋先生为公司第十一届董事会职工代表董事，任期自公司职工代表大会选举之日起至公司第十一届董事会任期届满之日止。内容详见公司于2025年11月4日在中国证券报、上海证券报及上海证券交易所网站（www.sse.com.cn）披露的《通化东宝关于公司董事辞职暨选举职工代表董事的公告》（公告编号：2025-077）。</w:t>
              </w:r>
            </w:p>
            <w:p w14:paraId="6CABCEC1">
              <w:pPr>
                <w:spacing w:line="360" w:lineRule="auto"/>
                <w:ind w:firstLine="420" w:firstLineChars="200"/>
                <w:jc w:val="both"/>
              </w:pPr>
              <w:r>
                <w:rPr>
                  <w:rFonts w:hint="eastAsia"/>
                </w:rPr>
                <w:t>5、公司于2026年1月15日召开了第十一届董事会第二十一次会议，</w:t>
              </w:r>
              <w:r>
                <w:t>会议</w:t>
              </w:r>
              <w:r>
                <w:rPr>
                  <w:rFonts w:hint="eastAsia"/>
                </w:rPr>
                <w:t>审议通过了《关于聘任高级管理人员的议案》，根据公司发展需要，经公司总裁提名，董事会提名委员会审核通</w:t>
              </w:r>
              <w:r>
                <w:t>过</w:t>
              </w:r>
              <w:r>
                <w:rPr>
                  <w:rFonts w:hint="eastAsia"/>
                </w:rPr>
                <w:t>，经与会董事表决，一致同意聘任关东亮先生、范朴先生为公司副总裁。内容详见公司于</w:t>
              </w:r>
              <w:r>
                <w:rPr>
                  <w:bCs/>
                </w:rPr>
                <w:t>202</w:t>
              </w:r>
              <w:r>
                <w:rPr>
                  <w:rFonts w:hint="eastAsia"/>
                  <w:bCs/>
                </w:rPr>
                <w:t>6年1月16日</w:t>
              </w:r>
              <w:r>
                <w:rPr>
                  <w:rFonts w:hint="eastAsia"/>
                </w:rPr>
                <w:t>在中国证券报、上海证券报及上海证券交易所网站（www.sse.com.cn）披露的《通化东宝关于聘任高级管理人员的公告》（公告编号：202</w:t>
              </w:r>
              <w:r>
                <w:t>6</w:t>
              </w:r>
              <w:r>
                <w:rPr>
                  <w:rFonts w:hint="eastAsia"/>
                </w:rPr>
                <w:t>-</w:t>
              </w:r>
              <w:r>
                <w:t>005</w:t>
              </w:r>
              <w:r>
                <w:rPr>
                  <w:rFonts w:hint="eastAsia"/>
                </w:rPr>
                <w:t>）。</w:t>
              </w:r>
            </w:p>
          </w:sdtContent>
        </w:sdt>
      </w:sdtContent>
    </w:sdt>
    <w:bookmarkEnd w:id="129"/>
    <w:p w14:paraId="021545B9">
      <w:pPr>
        <w:pStyle w:val="48"/>
      </w:pPr>
    </w:p>
    <w:p w14:paraId="79E0A103">
      <w:pPr>
        <w:sectPr>
          <w:pgSz w:w="16838" w:h="11906" w:orient="landscape"/>
          <w:pgMar w:top="1797" w:right="1525" w:bottom="1276" w:left="1440" w:header="855" w:footer="992" w:gutter="0"/>
          <w:cols w:space="425" w:num="1"/>
          <w:docGrid w:linePitch="312" w:charSpace="0"/>
        </w:sectPr>
      </w:pPr>
    </w:p>
    <w:p w14:paraId="129B549D">
      <w:pPr>
        <w:pStyle w:val="51"/>
        <w:numPr>
          <w:ilvl w:val="0"/>
          <w:numId w:val="27"/>
        </w:numPr>
        <w:ind w:left="0" w:firstLine="0"/>
      </w:pPr>
      <w:r>
        <w:rPr>
          <w:rFonts w:hint="eastAsia"/>
        </w:rPr>
        <w:t>现任及报告期内离任董事和高级管理人员的任职情况</w:t>
      </w:r>
    </w:p>
    <w:sdt>
      <w:sdtPr>
        <w:rPr>
          <w:rFonts w:ascii="宋体" w:hAnsi="宋体" w:eastAsia="宋体" w:cs="宋体"/>
          <w:b w:val="0"/>
          <w:bCs w:val="0"/>
          <w:kern w:val="0"/>
          <w:szCs w:val="24"/>
        </w:rPr>
        <w:alias w:val="模块:在股东单位任职情况"/>
        <w:tag w:val="_SEC_71174076095e4b3299192300e2845511"/>
        <w:id w:val="-1230999961"/>
        <w:placeholder>
          <w:docPart w:val="GBC22222222222222222222222222222"/>
        </w:placeholder>
      </w:sdtPr>
      <w:sdtEndPr>
        <w:rPr>
          <w:rFonts w:ascii="Calibri" w:hAnsi="Calibri" w:eastAsia="宋体" w:cs="Times New Roman"/>
          <w:b w:val="0"/>
          <w:bCs w:val="0"/>
          <w:kern w:val="2"/>
          <w:szCs w:val="21"/>
        </w:rPr>
      </w:sdtEndPr>
      <w:sdtContent>
        <w:p w14:paraId="3ACC1D60">
          <w:pPr>
            <w:pStyle w:val="52"/>
            <w:numPr>
              <w:ilvl w:val="0"/>
              <w:numId w:val="28"/>
            </w:numPr>
          </w:pPr>
          <w:r>
            <w:t>在股东单位任职情况</w:t>
          </w:r>
        </w:p>
        <w:sdt>
          <w:sdtPr>
            <w:alias w:val="是否适用：在股东单位任职情况[双击切换]"/>
            <w:tag w:val="_GBC_c450b54d9ea443cf85cc614c8528526b"/>
            <w:id w:val="-89778077"/>
            <w:lock w:val="sdtLocked"/>
            <w:placeholder>
              <w:docPart w:val="GBC22222222222222222222222222222"/>
            </w:placeholder>
          </w:sdtPr>
          <w:sdtContent>
            <w:p w14:paraId="048CDE70">
              <w:pPr>
                <w:pStyle w:val="48"/>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47"/>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84"/>
            <w:gridCol w:w="1701"/>
            <w:gridCol w:w="2268"/>
            <w:gridCol w:w="1985"/>
          </w:tblGrid>
          <w:tr w14:paraId="653A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sdt>
              <w:sdtPr>
                <w:tag w:val="_PLD_11f45a37b8cb4cfd8d25787f0979b6e9"/>
                <w:id w:val="-865591418"/>
              </w:sdtPr>
              <w:sdtContent>
                <w:tc>
                  <w:tcPr>
                    <w:tcW w:w="1555" w:type="dxa"/>
                    <w:vAlign w:val="center"/>
                  </w:tcPr>
                  <w:p w14:paraId="12CB791E">
                    <w:pPr>
                      <w:widowControl w:val="0"/>
                      <w:jc w:val="center"/>
                    </w:pPr>
                    <w:r>
                      <w:t>任职人员姓名</w:t>
                    </w:r>
                  </w:p>
                </w:tc>
              </w:sdtContent>
            </w:sdt>
            <w:sdt>
              <w:sdtPr>
                <w:tag w:val="_PLD_174ff645994f420ea5626aa7d6f5ddb5"/>
                <w:id w:val="-1451392335"/>
              </w:sdtPr>
              <w:sdtContent>
                <w:tc>
                  <w:tcPr>
                    <w:tcW w:w="1984" w:type="dxa"/>
                    <w:vAlign w:val="center"/>
                  </w:tcPr>
                  <w:p w14:paraId="00104CCA">
                    <w:pPr>
                      <w:widowControl w:val="0"/>
                      <w:jc w:val="center"/>
                    </w:pPr>
                    <w:r>
                      <w:t>股东单位名称</w:t>
                    </w:r>
                  </w:p>
                </w:tc>
              </w:sdtContent>
            </w:sdt>
            <w:sdt>
              <w:sdtPr>
                <w:tag w:val="_PLD_c5b9ccac06314dc19400d1f75f51ed76"/>
                <w:id w:val="645481721"/>
              </w:sdtPr>
              <w:sdtContent>
                <w:tc>
                  <w:tcPr>
                    <w:tcW w:w="1701" w:type="dxa"/>
                    <w:vAlign w:val="center"/>
                  </w:tcPr>
                  <w:p w14:paraId="15B4BA7C">
                    <w:pPr>
                      <w:widowControl w:val="0"/>
                      <w:jc w:val="center"/>
                    </w:pPr>
                    <w:r>
                      <w:t>在股东单位担任的职务</w:t>
                    </w:r>
                  </w:p>
                </w:tc>
              </w:sdtContent>
            </w:sdt>
            <w:sdt>
              <w:sdtPr>
                <w:tag w:val="_PLD_6d359bac7e194427adef03e3d072f875"/>
                <w:id w:val="1456444236"/>
              </w:sdtPr>
              <w:sdtContent>
                <w:tc>
                  <w:tcPr>
                    <w:tcW w:w="2268" w:type="dxa"/>
                    <w:vAlign w:val="center"/>
                  </w:tcPr>
                  <w:p w14:paraId="5E2069A0">
                    <w:pPr>
                      <w:widowControl w:val="0"/>
                      <w:jc w:val="center"/>
                    </w:pPr>
                    <w:r>
                      <w:t>任期起始日期</w:t>
                    </w:r>
                  </w:p>
                </w:tc>
              </w:sdtContent>
            </w:sdt>
            <w:sdt>
              <w:sdtPr>
                <w:tag w:val="_PLD_ba28085d64d240089bfcbff8c64cf230"/>
                <w:id w:val="757175153"/>
              </w:sdtPr>
              <w:sdtContent>
                <w:tc>
                  <w:tcPr>
                    <w:tcW w:w="1985" w:type="dxa"/>
                    <w:vAlign w:val="center"/>
                  </w:tcPr>
                  <w:p w14:paraId="53FB5AFD">
                    <w:pPr>
                      <w:widowControl w:val="0"/>
                      <w:jc w:val="center"/>
                    </w:pPr>
                    <w:r>
                      <w:t>任期终止日期</w:t>
                    </w:r>
                  </w:p>
                </w:tc>
              </w:sdtContent>
            </w:sdt>
          </w:tr>
          <w:tr w14:paraId="7A0E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555" w:type="dxa"/>
                <w:vMerge w:val="restart"/>
                <w:vAlign w:val="center"/>
              </w:tcPr>
              <w:p w14:paraId="0EC0F703">
                <w:pPr>
                  <w:pStyle w:val="48"/>
                </w:pPr>
                <w:r>
                  <w:rPr>
                    <w:rFonts w:hint="eastAsia"/>
                  </w:rPr>
                  <w:t>李佳鸿</w:t>
                </w:r>
              </w:p>
            </w:tc>
            <w:tc>
              <w:tcPr>
                <w:tcW w:w="1984" w:type="dxa"/>
                <w:vMerge w:val="restart"/>
                <w:vAlign w:val="center"/>
              </w:tcPr>
              <w:p w14:paraId="2FA9DC0C">
                <w:pPr>
                  <w:widowControl w:val="0"/>
                  <w:jc w:val="both"/>
                  <w:rPr>
                    <w:sz w:val="24"/>
                    <w:szCs w:val="24"/>
                  </w:rPr>
                </w:pPr>
                <w:r>
                  <w:t>东宝实业集团股份有限公司</w:t>
                </w:r>
              </w:p>
            </w:tc>
            <w:tc>
              <w:tcPr>
                <w:tcW w:w="1701" w:type="dxa"/>
                <w:vAlign w:val="center"/>
              </w:tcPr>
              <w:p w14:paraId="461D6ED5">
                <w:pPr>
                  <w:pStyle w:val="48"/>
                </w:pPr>
                <w:r>
                  <w:t>董事长</w:t>
                </w:r>
              </w:p>
            </w:tc>
            <w:tc>
              <w:tcPr>
                <w:tcW w:w="2268" w:type="dxa"/>
                <w:vAlign w:val="center"/>
              </w:tcPr>
              <w:p w14:paraId="3CD0AE75">
                <w:pPr>
                  <w:pStyle w:val="48"/>
                </w:pPr>
                <w:r>
                  <w:t>2019</w:t>
                </w:r>
                <w:r>
                  <w:rPr>
                    <w:rFonts w:hint="eastAsia"/>
                  </w:rPr>
                  <w:t>-</w:t>
                </w:r>
                <w:r>
                  <w:t>03</w:t>
                </w:r>
                <w:r>
                  <w:rPr>
                    <w:rFonts w:hint="eastAsia"/>
                  </w:rPr>
                  <w:t>-</w:t>
                </w:r>
                <w:r>
                  <w:t>04</w:t>
                </w:r>
              </w:p>
            </w:tc>
            <w:tc>
              <w:tcPr>
                <w:tcW w:w="1985" w:type="dxa"/>
                <w:vAlign w:val="center"/>
              </w:tcPr>
              <w:p w14:paraId="54431C90">
                <w:pPr>
                  <w:pStyle w:val="48"/>
                </w:pPr>
              </w:p>
            </w:tc>
          </w:tr>
          <w:tr w14:paraId="39A7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555" w:type="dxa"/>
                <w:vMerge w:val="continue"/>
                <w:vAlign w:val="center"/>
              </w:tcPr>
              <w:p w14:paraId="18E81839">
                <w:pPr>
                  <w:pStyle w:val="48"/>
                </w:pPr>
              </w:p>
            </w:tc>
            <w:tc>
              <w:tcPr>
                <w:tcW w:w="1984" w:type="dxa"/>
                <w:vMerge w:val="continue"/>
                <w:vAlign w:val="center"/>
              </w:tcPr>
              <w:p w14:paraId="47FF81AE">
                <w:pPr>
                  <w:widowControl w:val="0"/>
                  <w:jc w:val="both"/>
                </w:pPr>
              </w:p>
            </w:tc>
            <w:tc>
              <w:tcPr>
                <w:tcW w:w="1701" w:type="dxa"/>
                <w:vAlign w:val="center"/>
              </w:tcPr>
              <w:p w14:paraId="068BA2F0">
                <w:pPr>
                  <w:pStyle w:val="48"/>
                </w:pPr>
                <w:r>
                  <w:rPr>
                    <w:rFonts w:hint="eastAsia"/>
                  </w:rPr>
                  <w:t>总经理</w:t>
                </w:r>
              </w:p>
            </w:tc>
            <w:tc>
              <w:tcPr>
                <w:tcW w:w="2268" w:type="dxa"/>
                <w:vAlign w:val="center"/>
              </w:tcPr>
              <w:p w14:paraId="0A6CDC1E">
                <w:pPr>
                  <w:pStyle w:val="48"/>
                </w:pPr>
                <w:r>
                  <w:t>2019</w:t>
                </w:r>
                <w:r>
                  <w:rPr>
                    <w:rFonts w:hint="eastAsia"/>
                  </w:rPr>
                  <w:t>-</w:t>
                </w:r>
                <w:r>
                  <w:t>03</w:t>
                </w:r>
                <w:r>
                  <w:rPr>
                    <w:rFonts w:hint="eastAsia"/>
                  </w:rPr>
                  <w:t>-</w:t>
                </w:r>
                <w:r>
                  <w:t>04</w:t>
                </w:r>
              </w:p>
            </w:tc>
            <w:tc>
              <w:tcPr>
                <w:tcW w:w="1985" w:type="dxa"/>
                <w:vAlign w:val="center"/>
              </w:tcPr>
              <w:p w14:paraId="52F19AF9">
                <w:pPr>
                  <w:pStyle w:val="48"/>
                </w:pPr>
                <w:r>
                  <w:rPr>
                    <w:rFonts w:hint="eastAsia"/>
                  </w:rPr>
                  <w:t>2</w:t>
                </w:r>
                <w:r>
                  <w:t>025-08-22</w:t>
                </w:r>
              </w:p>
            </w:tc>
          </w:tr>
          <w:tr w14:paraId="7E1C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555" w:type="dxa"/>
                <w:vAlign w:val="center"/>
              </w:tcPr>
              <w:p w14:paraId="583C99E5">
                <w:pPr>
                  <w:pStyle w:val="48"/>
                </w:pPr>
                <w:r>
                  <w:t>在股东单位任职情况的说明</w:t>
                </w:r>
              </w:p>
            </w:tc>
            <w:tc>
              <w:tcPr>
                <w:tcW w:w="7938" w:type="dxa"/>
                <w:gridSpan w:val="4"/>
                <w:vAlign w:val="center"/>
              </w:tcPr>
              <w:p w14:paraId="15D71303">
                <w:pPr>
                  <w:pStyle w:val="48"/>
                </w:pPr>
                <w:r>
                  <w:rPr>
                    <w:rFonts w:hint="eastAsia"/>
                  </w:rPr>
                  <w:t>无</w:t>
                </w:r>
              </w:p>
            </w:tc>
          </w:tr>
        </w:tbl>
        <w:p w14:paraId="790EFD39">
          <w:pPr>
            <w:pStyle w:val="48"/>
          </w:pPr>
        </w:p>
      </w:sdtContent>
    </w:sdt>
    <w:sdt>
      <w:sdtPr>
        <w:rPr>
          <w:rFonts w:ascii="宋体" w:hAnsi="宋体" w:eastAsia="宋体" w:cs="宋体"/>
          <w:b w:val="0"/>
          <w:bCs w:val="0"/>
          <w:kern w:val="0"/>
          <w:szCs w:val="24"/>
        </w:rPr>
        <w:alias w:val="模块:在其他单位任职情况"/>
        <w:tag w:val="_SEC_5561131e80ff45818592dc8d1f605cb5"/>
        <w:id w:val="-1806385823"/>
        <w:placeholder>
          <w:docPart w:val="GBC22222222222222222222222222222"/>
        </w:placeholder>
      </w:sdtPr>
      <w:sdtEndPr>
        <w:rPr>
          <w:rFonts w:ascii="Calibri" w:hAnsi="Calibri" w:eastAsia="宋体" w:cs="Times New Roman"/>
          <w:b w:val="0"/>
          <w:bCs w:val="0"/>
          <w:kern w:val="2"/>
          <w:szCs w:val="21"/>
        </w:rPr>
      </w:sdtEndPr>
      <w:sdtContent>
        <w:p w14:paraId="4F0DA391">
          <w:pPr>
            <w:pStyle w:val="52"/>
            <w:numPr>
              <w:ilvl w:val="0"/>
              <w:numId w:val="28"/>
            </w:numPr>
          </w:pPr>
          <w:r>
            <w:rPr>
              <w:rFonts w:ascii="宋体" w:hAnsi="宋体" w:cs="宋体"/>
              <w:kern w:val="0"/>
              <w:szCs w:val="24"/>
            </w:rPr>
            <w:t>在其他单位任职情况</w:t>
          </w:r>
        </w:p>
        <w:sdt>
          <w:sdtPr>
            <w:alias w:val="是否适用：在其他单位任职情况[双击切换]"/>
            <w:tag w:val="_GBC_31c17de709bb42fdb7ba137e843fe054"/>
            <w:id w:val="-1344015027"/>
            <w:lock w:val="sdtLocked"/>
            <w:placeholder>
              <w:docPart w:val="GBC22222222222222222222222222222"/>
            </w:placeholder>
          </w:sdtPr>
          <w:sdtContent>
            <w:p w14:paraId="53A6E34A">
              <w:pPr>
                <w:pStyle w:val="48"/>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4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835"/>
            <w:gridCol w:w="1596"/>
            <w:gridCol w:w="1526"/>
            <w:gridCol w:w="1536"/>
          </w:tblGrid>
          <w:tr w14:paraId="7BCD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84cb4ce7fc4643b1be607267619a4b88"/>
                <w:id w:val="-348871848"/>
                <w:lock w:val="sdtLocked"/>
              </w:sdtPr>
              <w:sdtContent>
                <w:tc>
                  <w:tcPr>
                    <w:tcW w:w="1555" w:type="dxa"/>
                    <w:vAlign w:val="center"/>
                  </w:tcPr>
                  <w:p w14:paraId="1E8355DF">
                    <w:pPr>
                      <w:widowControl w:val="0"/>
                      <w:jc w:val="center"/>
                    </w:pPr>
                    <w:r>
                      <w:t>任职人员姓名</w:t>
                    </w:r>
                  </w:p>
                </w:tc>
              </w:sdtContent>
            </w:sdt>
            <w:sdt>
              <w:sdtPr>
                <w:tag w:val="_PLD_9c5aac001d5a4c2eb3cc0bf1e1f66afe"/>
                <w:id w:val="-1121444417"/>
                <w:lock w:val="sdtLocked"/>
              </w:sdtPr>
              <w:sdtContent>
                <w:tc>
                  <w:tcPr>
                    <w:tcW w:w="2835" w:type="dxa"/>
                    <w:vAlign w:val="center"/>
                  </w:tcPr>
                  <w:p w14:paraId="4BF1ECD1">
                    <w:pPr>
                      <w:widowControl w:val="0"/>
                      <w:jc w:val="center"/>
                    </w:pPr>
                    <w:r>
                      <w:t>其他单位名称</w:t>
                    </w:r>
                  </w:p>
                </w:tc>
              </w:sdtContent>
            </w:sdt>
            <w:sdt>
              <w:sdtPr>
                <w:tag w:val="_PLD_a3a2822cc76542afbd1a58b94268af1d"/>
                <w:id w:val="1917059999"/>
                <w:lock w:val="sdtLocked"/>
              </w:sdtPr>
              <w:sdtContent>
                <w:tc>
                  <w:tcPr>
                    <w:tcW w:w="1596" w:type="dxa"/>
                    <w:vAlign w:val="center"/>
                  </w:tcPr>
                  <w:p w14:paraId="4AB61227">
                    <w:pPr>
                      <w:widowControl w:val="0"/>
                      <w:jc w:val="center"/>
                    </w:pPr>
                    <w:r>
                      <w:t>在其他单位担任的职务</w:t>
                    </w:r>
                  </w:p>
                </w:tc>
              </w:sdtContent>
            </w:sdt>
            <w:sdt>
              <w:sdtPr>
                <w:tag w:val="_PLD_1afbd86b2e47420ca2c5a75f01567f2a"/>
                <w:id w:val="696279336"/>
                <w:lock w:val="sdtLocked"/>
              </w:sdtPr>
              <w:sdtContent>
                <w:tc>
                  <w:tcPr>
                    <w:tcW w:w="1526" w:type="dxa"/>
                    <w:vAlign w:val="center"/>
                  </w:tcPr>
                  <w:p w14:paraId="6615017A">
                    <w:pPr>
                      <w:widowControl w:val="0"/>
                      <w:jc w:val="center"/>
                    </w:pPr>
                    <w:r>
                      <w:t>任期起始日期</w:t>
                    </w:r>
                  </w:p>
                </w:tc>
              </w:sdtContent>
            </w:sdt>
            <w:sdt>
              <w:sdtPr>
                <w:tag w:val="_PLD_677dde6ffbf24692a6c508831a24eef8"/>
                <w:id w:val="-2072957303"/>
                <w:lock w:val="sdtLocked"/>
              </w:sdtPr>
              <w:sdtContent>
                <w:tc>
                  <w:tcPr>
                    <w:tcW w:w="1536" w:type="dxa"/>
                    <w:vAlign w:val="center"/>
                  </w:tcPr>
                  <w:p w14:paraId="35B2130D">
                    <w:pPr>
                      <w:widowControl w:val="0"/>
                      <w:jc w:val="center"/>
                    </w:pPr>
                    <w:r>
                      <w:t>任期终止日期</w:t>
                    </w:r>
                  </w:p>
                </w:tc>
              </w:sdtContent>
            </w:sdt>
          </w:tr>
          <w:tr w14:paraId="6FF2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restart"/>
                <w:vAlign w:val="center"/>
              </w:tcPr>
              <w:p w14:paraId="725361F1">
                <w:pPr>
                  <w:pStyle w:val="48"/>
                </w:pPr>
                <w:r>
                  <w:rPr>
                    <w:rFonts w:hint="eastAsia"/>
                  </w:rPr>
                  <w:t>李佳鸿</w:t>
                </w:r>
              </w:p>
            </w:tc>
            <w:tc>
              <w:tcPr>
                <w:tcW w:w="2835" w:type="dxa"/>
                <w:vAlign w:val="center"/>
              </w:tcPr>
              <w:p w14:paraId="66A5EAA3">
                <w:pPr>
                  <w:widowControl w:val="0"/>
                  <w:jc w:val="both"/>
                  <w:rPr>
                    <w:sz w:val="24"/>
                    <w:szCs w:val="24"/>
                  </w:rPr>
                </w:pPr>
                <w:r>
                  <w:t>通化安睿特生物制药股份有限公司</w:t>
                </w:r>
              </w:p>
            </w:tc>
            <w:tc>
              <w:tcPr>
                <w:tcW w:w="1596" w:type="dxa"/>
                <w:vAlign w:val="center"/>
              </w:tcPr>
              <w:p w14:paraId="0368BA68">
                <w:pPr>
                  <w:pStyle w:val="48"/>
                </w:pPr>
                <w:r>
                  <w:t>董事</w:t>
                </w:r>
              </w:p>
            </w:tc>
            <w:tc>
              <w:tcPr>
                <w:tcW w:w="1526" w:type="dxa"/>
                <w:vAlign w:val="center"/>
              </w:tcPr>
              <w:p w14:paraId="6862C688">
                <w:pPr>
                  <w:pStyle w:val="48"/>
                </w:pPr>
                <w:r>
                  <w:t>2019-09-17</w:t>
                </w:r>
              </w:p>
            </w:tc>
            <w:tc>
              <w:tcPr>
                <w:tcW w:w="1536" w:type="dxa"/>
                <w:vAlign w:val="center"/>
              </w:tcPr>
              <w:p w14:paraId="2A9170A4">
                <w:pPr>
                  <w:pStyle w:val="48"/>
                </w:pPr>
              </w:p>
            </w:tc>
          </w:tr>
          <w:tr w14:paraId="4FC9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1E190DB7">
                <w:pPr>
                  <w:pStyle w:val="48"/>
                </w:pPr>
              </w:p>
            </w:tc>
            <w:tc>
              <w:tcPr>
                <w:tcW w:w="2835" w:type="dxa"/>
                <w:vAlign w:val="center"/>
              </w:tcPr>
              <w:p w14:paraId="6516FF27">
                <w:pPr>
                  <w:pStyle w:val="48"/>
                </w:pPr>
                <w:r>
                  <w:t>厦门特宝生物工程股份有限公司</w:t>
                </w:r>
              </w:p>
            </w:tc>
            <w:tc>
              <w:tcPr>
                <w:tcW w:w="1596" w:type="dxa"/>
                <w:vAlign w:val="center"/>
              </w:tcPr>
              <w:p w14:paraId="495DE571">
                <w:pPr>
                  <w:pStyle w:val="48"/>
                </w:pPr>
                <w:r>
                  <w:t>董事</w:t>
                </w:r>
              </w:p>
            </w:tc>
            <w:tc>
              <w:tcPr>
                <w:tcW w:w="1526" w:type="dxa"/>
                <w:vAlign w:val="center"/>
              </w:tcPr>
              <w:p w14:paraId="1E868E8F">
                <w:pPr>
                  <w:pStyle w:val="48"/>
                </w:pPr>
                <w:r>
                  <w:t>2020-06-29</w:t>
                </w:r>
              </w:p>
            </w:tc>
            <w:tc>
              <w:tcPr>
                <w:tcW w:w="1536" w:type="dxa"/>
                <w:vAlign w:val="center"/>
              </w:tcPr>
              <w:p w14:paraId="3E40F1B8">
                <w:pPr>
                  <w:pStyle w:val="48"/>
                </w:pPr>
              </w:p>
            </w:tc>
          </w:tr>
          <w:tr w14:paraId="5904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533DFBF4">
                <w:pPr>
                  <w:pStyle w:val="48"/>
                </w:pPr>
              </w:p>
            </w:tc>
            <w:tc>
              <w:tcPr>
                <w:tcW w:w="2835" w:type="dxa"/>
                <w:vAlign w:val="center"/>
              </w:tcPr>
              <w:p w14:paraId="0C2C346F">
                <w:pPr>
                  <w:pStyle w:val="48"/>
                </w:pPr>
                <w:r>
                  <w:t>通化恒之企业管理咨询有限公司</w:t>
                </w:r>
              </w:p>
            </w:tc>
            <w:tc>
              <w:tcPr>
                <w:tcW w:w="1596" w:type="dxa"/>
                <w:vAlign w:val="center"/>
              </w:tcPr>
              <w:p w14:paraId="05B6E4C6">
                <w:pPr>
                  <w:pStyle w:val="48"/>
                </w:pPr>
                <w:r>
                  <w:t>执行董事兼总经理</w:t>
                </w:r>
              </w:p>
            </w:tc>
            <w:tc>
              <w:tcPr>
                <w:tcW w:w="1526" w:type="dxa"/>
                <w:vAlign w:val="center"/>
              </w:tcPr>
              <w:p w14:paraId="16324AE6">
                <w:pPr>
                  <w:pStyle w:val="48"/>
                </w:pPr>
                <w:r>
                  <w:t>2022-08-03</w:t>
                </w:r>
              </w:p>
            </w:tc>
            <w:tc>
              <w:tcPr>
                <w:tcW w:w="1536" w:type="dxa"/>
                <w:vAlign w:val="center"/>
              </w:tcPr>
              <w:p w14:paraId="136841A0">
                <w:pPr>
                  <w:pStyle w:val="48"/>
                </w:pPr>
              </w:p>
            </w:tc>
          </w:tr>
          <w:tr w14:paraId="71B9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47D6E30E">
                <w:pPr>
                  <w:pStyle w:val="48"/>
                </w:pPr>
              </w:p>
            </w:tc>
            <w:tc>
              <w:tcPr>
                <w:tcW w:w="2835" w:type="dxa"/>
                <w:vAlign w:val="center"/>
              </w:tcPr>
              <w:p w14:paraId="2DDED1E0">
                <w:pPr>
                  <w:pStyle w:val="48"/>
                </w:pPr>
                <w:r>
                  <w:t>上海隆棵药业有限公司</w:t>
                </w:r>
              </w:p>
            </w:tc>
            <w:tc>
              <w:tcPr>
                <w:tcW w:w="1596" w:type="dxa"/>
                <w:vAlign w:val="center"/>
              </w:tcPr>
              <w:p w14:paraId="0A68C42B">
                <w:pPr>
                  <w:pStyle w:val="48"/>
                </w:pPr>
                <w:r>
                  <w:t>董事</w:t>
                </w:r>
              </w:p>
            </w:tc>
            <w:tc>
              <w:tcPr>
                <w:tcW w:w="1526" w:type="dxa"/>
                <w:vAlign w:val="center"/>
              </w:tcPr>
              <w:p w14:paraId="6132FA20">
                <w:pPr>
                  <w:pStyle w:val="48"/>
                </w:pPr>
                <w:r>
                  <w:t>2024-08-22</w:t>
                </w:r>
              </w:p>
            </w:tc>
            <w:tc>
              <w:tcPr>
                <w:tcW w:w="1536" w:type="dxa"/>
                <w:vAlign w:val="center"/>
              </w:tcPr>
              <w:p w14:paraId="4FEA6E43">
                <w:pPr>
                  <w:pStyle w:val="48"/>
                </w:pPr>
              </w:p>
            </w:tc>
          </w:tr>
          <w:tr w14:paraId="42CE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restart"/>
                <w:vAlign w:val="center"/>
              </w:tcPr>
              <w:p w14:paraId="3DFE9EBF">
                <w:pPr>
                  <w:pStyle w:val="48"/>
                </w:pPr>
                <w:r>
                  <w:rPr>
                    <w:rFonts w:hint="eastAsia"/>
                  </w:rPr>
                  <w:t>冷春生</w:t>
                </w:r>
              </w:p>
            </w:tc>
            <w:tc>
              <w:tcPr>
                <w:tcW w:w="2835" w:type="dxa"/>
                <w:vAlign w:val="center"/>
              </w:tcPr>
              <w:p w14:paraId="0C738F84">
                <w:pPr>
                  <w:widowControl w:val="0"/>
                  <w:jc w:val="both"/>
                  <w:rPr>
                    <w:sz w:val="24"/>
                    <w:szCs w:val="24"/>
                  </w:rPr>
                </w:pPr>
                <w:r>
                  <w:t>北京东宝生物技术有限公司</w:t>
                </w:r>
              </w:p>
            </w:tc>
            <w:tc>
              <w:tcPr>
                <w:tcW w:w="1596" w:type="dxa"/>
                <w:vAlign w:val="center"/>
              </w:tcPr>
              <w:p w14:paraId="3E767648">
                <w:pPr>
                  <w:pStyle w:val="48"/>
                </w:pPr>
                <w:r>
                  <w:t>执行董事兼经理</w:t>
                </w:r>
              </w:p>
            </w:tc>
            <w:tc>
              <w:tcPr>
                <w:tcW w:w="1526" w:type="dxa"/>
                <w:vAlign w:val="center"/>
              </w:tcPr>
              <w:p w14:paraId="77132FEB">
                <w:pPr>
                  <w:pStyle w:val="48"/>
                </w:pPr>
                <w:r>
                  <w:t>2004-11-26</w:t>
                </w:r>
              </w:p>
            </w:tc>
            <w:tc>
              <w:tcPr>
                <w:tcW w:w="1536" w:type="dxa"/>
                <w:vAlign w:val="center"/>
              </w:tcPr>
              <w:p w14:paraId="07CCA09C">
                <w:pPr>
                  <w:pStyle w:val="48"/>
                  <w:rPr>
                    <w:rFonts w:ascii="Times New Roman" w:hAnsi="Times New Roman"/>
                  </w:rPr>
                </w:pPr>
                <w:r>
                  <w:rPr>
                    <w:rFonts w:ascii="Times New Roman" w:hAnsi="Times New Roman"/>
                  </w:rPr>
                  <w:t>2025-09-08</w:t>
                </w:r>
              </w:p>
            </w:tc>
          </w:tr>
          <w:tr w14:paraId="0005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342FC71E">
                <w:pPr>
                  <w:pStyle w:val="48"/>
                </w:pPr>
              </w:p>
            </w:tc>
            <w:tc>
              <w:tcPr>
                <w:tcW w:w="2835" w:type="dxa"/>
                <w:vAlign w:val="center"/>
              </w:tcPr>
              <w:p w14:paraId="6853369C">
                <w:pPr>
                  <w:pStyle w:val="48"/>
                </w:pPr>
                <w:r>
                  <w:t>杭州梓罡企业管理有限公司</w:t>
                </w:r>
              </w:p>
            </w:tc>
            <w:tc>
              <w:tcPr>
                <w:tcW w:w="1596" w:type="dxa"/>
                <w:vAlign w:val="center"/>
              </w:tcPr>
              <w:p w14:paraId="07D1F2A4">
                <w:pPr>
                  <w:pStyle w:val="48"/>
                </w:pPr>
                <w:r>
                  <w:t>经理、董事</w:t>
                </w:r>
              </w:p>
            </w:tc>
            <w:tc>
              <w:tcPr>
                <w:tcW w:w="1526" w:type="dxa"/>
                <w:vAlign w:val="center"/>
              </w:tcPr>
              <w:p w14:paraId="33BD27FB">
                <w:pPr>
                  <w:pStyle w:val="48"/>
                </w:pPr>
                <w:r>
                  <w:t>2020-10-23</w:t>
                </w:r>
              </w:p>
            </w:tc>
            <w:tc>
              <w:tcPr>
                <w:tcW w:w="1536" w:type="dxa"/>
                <w:vAlign w:val="center"/>
              </w:tcPr>
              <w:p w14:paraId="026984C0">
                <w:pPr>
                  <w:pStyle w:val="48"/>
                </w:pPr>
              </w:p>
            </w:tc>
          </w:tr>
          <w:tr w14:paraId="79C1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42123263">
                <w:pPr>
                  <w:pStyle w:val="48"/>
                </w:pPr>
              </w:p>
            </w:tc>
            <w:tc>
              <w:tcPr>
                <w:tcW w:w="2835" w:type="dxa"/>
                <w:vAlign w:val="center"/>
              </w:tcPr>
              <w:p w14:paraId="39818C33">
                <w:pPr>
                  <w:pStyle w:val="48"/>
                </w:pPr>
                <w:r>
                  <w:t>华广生技股份有限公司</w:t>
                </w:r>
              </w:p>
            </w:tc>
            <w:tc>
              <w:tcPr>
                <w:tcW w:w="1596" w:type="dxa"/>
                <w:vAlign w:val="center"/>
              </w:tcPr>
              <w:p w14:paraId="7C7624E4">
                <w:pPr>
                  <w:pStyle w:val="48"/>
                </w:pPr>
                <w:r>
                  <w:t>董事</w:t>
                </w:r>
              </w:p>
            </w:tc>
            <w:tc>
              <w:tcPr>
                <w:tcW w:w="1526" w:type="dxa"/>
                <w:vAlign w:val="center"/>
              </w:tcPr>
              <w:p w14:paraId="45F77BFC">
                <w:pPr>
                  <w:pStyle w:val="48"/>
                </w:pPr>
                <w:r>
                  <w:t>2022-06-22</w:t>
                </w:r>
              </w:p>
            </w:tc>
            <w:tc>
              <w:tcPr>
                <w:tcW w:w="1536" w:type="dxa"/>
                <w:vAlign w:val="center"/>
              </w:tcPr>
              <w:p w14:paraId="46CDF0D0">
                <w:pPr>
                  <w:widowControl w:val="0"/>
                  <w:jc w:val="both"/>
                </w:pPr>
                <w:r>
                  <w:t>2026-02-09</w:t>
                </w:r>
              </w:p>
            </w:tc>
          </w:tr>
          <w:tr w14:paraId="59E5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3C5CA21D">
                <w:pPr>
                  <w:pStyle w:val="48"/>
                </w:pPr>
              </w:p>
            </w:tc>
            <w:tc>
              <w:tcPr>
                <w:tcW w:w="2835" w:type="dxa"/>
                <w:vAlign w:val="center"/>
              </w:tcPr>
              <w:p w14:paraId="0090E2D1">
                <w:pPr>
                  <w:pStyle w:val="48"/>
                </w:pPr>
                <w:r>
                  <w:rPr>
                    <w:rFonts w:hint="eastAsia"/>
                  </w:rPr>
                  <w:t>君合盟生物制药（杭州）股份有限公司</w:t>
                </w:r>
              </w:p>
            </w:tc>
            <w:tc>
              <w:tcPr>
                <w:tcW w:w="1596" w:type="dxa"/>
                <w:vAlign w:val="center"/>
              </w:tcPr>
              <w:p w14:paraId="5903BE27">
                <w:pPr>
                  <w:pStyle w:val="48"/>
                </w:pPr>
                <w:r>
                  <w:rPr>
                    <w:rFonts w:hint="eastAsia"/>
                  </w:rPr>
                  <w:t>董事</w:t>
                </w:r>
              </w:p>
            </w:tc>
            <w:tc>
              <w:tcPr>
                <w:tcW w:w="1526" w:type="dxa"/>
                <w:vAlign w:val="center"/>
              </w:tcPr>
              <w:p w14:paraId="2D0B84C5">
                <w:pPr>
                  <w:pStyle w:val="48"/>
                </w:pPr>
                <w:r>
                  <w:rPr>
                    <w:rFonts w:hint="eastAsia"/>
                  </w:rPr>
                  <w:t>2</w:t>
                </w:r>
                <w:r>
                  <w:t>025-11-10</w:t>
                </w:r>
              </w:p>
            </w:tc>
            <w:tc>
              <w:tcPr>
                <w:tcW w:w="1536" w:type="dxa"/>
                <w:vAlign w:val="center"/>
              </w:tcPr>
              <w:p w14:paraId="6C4B7981">
                <w:pPr>
                  <w:pStyle w:val="48"/>
                </w:pPr>
              </w:p>
            </w:tc>
          </w:tr>
          <w:tr w14:paraId="6F7B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Align w:val="center"/>
              </w:tcPr>
              <w:p w14:paraId="461F910A">
                <w:pPr>
                  <w:pStyle w:val="48"/>
                </w:pPr>
                <w:r>
                  <w:rPr>
                    <w:rFonts w:hint="eastAsia"/>
                  </w:rPr>
                  <w:t>张国栋</w:t>
                </w:r>
              </w:p>
            </w:tc>
            <w:tc>
              <w:tcPr>
                <w:tcW w:w="2835" w:type="dxa"/>
                <w:vAlign w:val="center"/>
              </w:tcPr>
              <w:p w14:paraId="1503A4D9">
                <w:pPr>
                  <w:pStyle w:val="48"/>
                </w:pPr>
                <w:r>
                  <w:rPr>
                    <w:rFonts w:hint="eastAsia"/>
                  </w:rPr>
                  <w:t>君合盟生物制药（杭州）股份有限公司</w:t>
                </w:r>
              </w:p>
            </w:tc>
            <w:tc>
              <w:tcPr>
                <w:tcW w:w="1596" w:type="dxa"/>
                <w:vAlign w:val="center"/>
              </w:tcPr>
              <w:p w14:paraId="5E19359F">
                <w:pPr>
                  <w:pStyle w:val="48"/>
                </w:pPr>
                <w:r>
                  <w:rPr>
                    <w:rFonts w:hint="eastAsia"/>
                  </w:rPr>
                  <w:t>董事</w:t>
                </w:r>
              </w:p>
            </w:tc>
            <w:tc>
              <w:tcPr>
                <w:tcW w:w="1526" w:type="dxa"/>
                <w:vAlign w:val="center"/>
              </w:tcPr>
              <w:p w14:paraId="2DB27134">
                <w:pPr>
                  <w:pStyle w:val="48"/>
                </w:pPr>
                <w:r>
                  <w:t>2025-11-10</w:t>
                </w:r>
              </w:p>
            </w:tc>
            <w:tc>
              <w:tcPr>
                <w:tcW w:w="1536" w:type="dxa"/>
                <w:vAlign w:val="center"/>
              </w:tcPr>
              <w:p w14:paraId="6D3EF250">
                <w:pPr>
                  <w:pStyle w:val="48"/>
                </w:pPr>
              </w:p>
            </w:tc>
          </w:tr>
          <w:tr w14:paraId="7181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restart"/>
                <w:vAlign w:val="center"/>
              </w:tcPr>
              <w:p w14:paraId="64ED820B">
                <w:pPr>
                  <w:pStyle w:val="48"/>
                </w:pPr>
                <w:r>
                  <w:rPr>
                    <w:rFonts w:hint="eastAsia"/>
                  </w:rPr>
                  <w:t>张文海</w:t>
                </w:r>
              </w:p>
            </w:tc>
            <w:tc>
              <w:tcPr>
                <w:tcW w:w="2835" w:type="dxa"/>
                <w:vAlign w:val="center"/>
              </w:tcPr>
              <w:p w14:paraId="1A27A80E">
                <w:pPr>
                  <w:widowControl w:val="0"/>
                  <w:jc w:val="both"/>
                  <w:rPr>
                    <w:sz w:val="24"/>
                    <w:szCs w:val="24"/>
                  </w:rPr>
                </w:pPr>
                <w:r>
                  <w:t>华广生技股份有限公司</w:t>
                </w:r>
              </w:p>
            </w:tc>
            <w:tc>
              <w:tcPr>
                <w:tcW w:w="1596" w:type="dxa"/>
                <w:vAlign w:val="center"/>
              </w:tcPr>
              <w:p w14:paraId="31F9DE7D">
                <w:pPr>
                  <w:pStyle w:val="48"/>
                </w:pPr>
                <w:r>
                  <w:t>董事</w:t>
                </w:r>
              </w:p>
            </w:tc>
            <w:tc>
              <w:tcPr>
                <w:tcW w:w="1526" w:type="dxa"/>
                <w:vAlign w:val="center"/>
              </w:tcPr>
              <w:p w14:paraId="3B269545">
                <w:pPr>
                  <w:pStyle w:val="48"/>
                </w:pPr>
                <w:r>
                  <w:t>2019-06-20</w:t>
                </w:r>
              </w:p>
            </w:tc>
            <w:tc>
              <w:tcPr>
                <w:tcW w:w="1536" w:type="dxa"/>
                <w:vAlign w:val="center"/>
              </w:tcPr>
              <w:p w14:paraId="2B845232">
                <w:pPr>
                  <w:pStyle w:val="48"/>
                </w:pPr>
              </w:p>
            </w:tc>
          </w:tr>
          <w:tr w14:paraId="589D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2C8D2B47">
                <w:pPr>
                  <w:pStyle w:val="48"/>
                </w:pPr>
              </w:p>
            </w:tc>
            <w:tc>
              <w:tcPr>
                <w:tcW w:w="2835" w:type="dxa"/>
                <w:vAlign w:val="center"/>
              </w:tcPr>
              <w:p w14:paraId="5DCA2237">
                <w:pPr>
                  <w:pStyle w:val="48"/>
                </w:pPr>
                <w:r>
                  <w:t>上海桔医网络科技有限公司</w:t>
                </w:r>
              </w:p>
            </w:tc>
            <w:tc>
              <w:tcPr>
                <w:tcW w:w="1596" w:type="dxa"/>
                <w:vAlign w:val="center"/>
              </w:tcPr>
              <w:p w14:paraId="6809C8A7">
                <w:pPr>
                  <w:pStyle w:val="48"/>
                </w:pPr>
                <w:r>
                  <w:t>执行董事</w:t>
                </w:r>
              </w:p>
            </w:tc>
            <w:tc>
              <w:tcPr>
                <w:tcW w:w="1526" w:type="dxa"/>
                <w:vAlign w:val="center"/>
              </w:tcPr>
              <w:p w14:paraId="2F859D4C">
                <w:pPr>
                  <w:pStyle w:val="48"/>
                </w:pPr>
                <w:r>
                  <w:t>2020-09-22</w:t>
                </w:r>
              </w:p>
            </w:tc>
            <w:tc>
              <w:tcPr>
                <w:tcW w:w="1536" w:type="dxa"/>
                <w:vAlign w:val="center"/>
              </w:tcPr>
              <w:p w14:paraId="34C1885F">
                <w:pPr>
                  <w:pStyle w:val="48"/>
                </w:pPr>
              </w:p>
            </w:tc>
          </w:tr>
          <w:tr w14:paraId="536A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restart"/>
                <w:vAlign w:val="center"/>
              </w:tcPr>
              <w:p w14:paraId="2D606943">
                <w:pPr>
                  <w:pStyle w:val="48"/>
                </w:pPr>
                <w:r>
                  <w:rPr>
                    <w:rFonts w:hint="eastAsia"/>
                  </w:rPr>
                  <w:t>王玮</w:t>
                </w:r>
              </w:p>
            </w:tc>
            <w:tc>
              <w:tcPr>
                <w:tcW w:w="2835" w:type="dxa"/>
                <w:vAlign w:val="center"/>
              </w:tcPr>
              <w:p w14:paraId="5B67E882">
                <w:pPr>
                  <w:pStyle w:val="48"/>
                </w:pPr>
                <w:r>
                  <w:rPr>
                    <w:rFonts w:hint="eastAsia"/>
                  </w:rPr>
                  <w:t>汇成国际控股有限公司</w:t>
                </w:r>
              </w:p>
            </w:tc>
            <w:tc>
              <w:tcPr>
                <w:tcW w:w="1596" w:type="dxa"/>
                <w:vAlign w:val="center"/>
              </w:tcPr>
              <w:p w14:paraId="6E77E339">
                <w:pPr>
                  <w:pStyle w:val="48"/>
                </w:pPr>
                <w:r>
                  <w:rPr>
                    <w:rFonts w:hint="eastAsia"/>
                  </w:rPr>
                  <w:t>非执行董事</w:t>
                </w:r>
              </w:p>
            </w:tc>
            <w:tc>
              <w:tcPr>
                <w:tcW w:w="1526" w:type="dxa"/>
                <w:vAlign w:val="center"/>
              </w:tcPr>
              <w:p w14:paraId="4A09CFE1">
                <w:pPr>
                  <w:pStyle w:val="48"/>
                </w:pPr>
                <w:r>
                  <w:rPr>
                    <w:rFonts w:hint="eastAsia"/>
                  </w:rPr>
                  <w:t>2012-</w:t>
                </w:r>
                <w:r>
                  <w:t>0</w:t>
                </w:r>
                <w:r>
                  <w:rPr>
                    <w:rFonts w:hint="eastAsia"/>
                  </w:rPr>
                  <w:t>5-14</w:t>
                </w:r>
              </w:p>
            </w:tc>
            <w:tc>
              <w:tcPr>
                <w:tcW w:w="1536" w:type="dxa"/>
                <w:vAlign w:val="center"/>
              </w:tcPr>
              <w:p w14:paraId="662A1367">
                <w:pPr>
                  <w:pStyle w:val="48"/>
                </w:pPr>
              </w:p>
            </w:tc>
          </w:tr>
          <w:tr w14:paraId="26E8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1555" w:type="dxa"/>
                <w:vMerge w:val="continue"/>
                <w:vAlign w:val="center"/>
              </w:tcPr>
              <w:p w14:paraId="304F19BC">
                <w:pPr>
                  <w:pStyle w:val="48"/>
                </w:pPr>
              </w:p>
            </w:tc>
            <w:tc>
              <w:tcPr>
                <w:tcW w:w="2835" w:type="dxa"/>
                <w:vMerge w:val="restart"/>
                <w:vAlign w:val="center"/>
              </w:tcPr>
              <w:p w14:paraId="133949A2">
                <w:pPr>
                  <w:pStyle w:val="48"/>
                </w:pPr>
                <w:r>
                  <w:t>嘉兴德睦弘私募基金管理有限公司</w:t>
                </w:r>
              </w:p>
            </w:tc>
            <w:tc>
              <w:tcPr>
                <w:tcW w:w="1596" w:type="dxa"/>
                <w:vAlign w:val="center"/>
              </w:tcPr>
              <w:p w14:paraId="5FA7589C">
                <w:pPr>
                  <w:pStyle w:val="48"/>
                </w:pPr>
                <w:r>
                  <w:t>董事长</w:t>
                </w:r>
              </w:p>
            </w:tc>
            <w:tc>
              <w:tcPr>
                <w:tcW w:w="1526" w:type="dxa"/>
                <w:vAlign w:val="center"/>
              </w:tcPr>
              <w:p w14:paraId="76F3D888">
                <w:pPr>
                  <w:pStyle w:val="48"/>
                </w:pPr>
                <w:r>
                  <w:t>2022-12-23</w:t>
                </w:r>
              </w:p>
            </w:tc>
            <w:tc>
              <w:tcPr>
                <w:tcW w:w="1536" w:type="dxa"/>
                <w:vMerge w:val="restart"/>
                <w:vAlign w:val="center"/>
              </w:tcPr>
              <w:p w14:paraId="34F4CCD2">
                <w:pPr>
                  <w:pStyle w:val="48"/>
                </w:pPr>
              </w:p>
              <w:p w14:paraId="4D9D8D2D">
                <w:pPr>
                  <w:pStyle w:val="48"/>
                </w:pPr>
              </w:p>
            </w:tc>
          </w:tr>
          <w:tr w14:paraId="5227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555" w:type="dxa"/>
                <w:vMerge w:val="continue"/>
                <w:vAlign w:val="center"/>
              </w:tcPr>
              <w:p w14:paraId="12966BAB">
                <w:pPr>
                  <w:pStyle w:val="48"/>
                </w:pPr>
              </w:p>
            </w:tc>
            <w:tc>
              <w:tcPr>
                <w:tcW w:w="2835" w:type="dxa"/>
                <w:vMerge w:val="continue"/>
                <w:vAlign w:val="center"/>
              </w:tcPr>
              <w:p w14:paraId="6B62571D">
                <w:pPr>
                  <w:pStyle w:val="48"/>
                </w:pPr>
              </w:p>
            </w:tc>
            <w:tc>
              <w:tcPr>
                <w:tcW w:w="1596" w:type="dxa"/>
                <w:vAlign w:val="center"/>
              </w:tcPr>
              <w:p w14:paraId="400552A1">
                <w:pPr>
                  <w:pStyle w:val="48"/>
                </w:pPr>
                <w:r>
                  <w:rPr>
                    <w:rFonts w:hint="eastAsia"/>
                  </w:rPr>
                  <w:t>总经理</w:t>
                </w:r>
              </w:p>
            </w:tc>
            <w:tc>
              <w:tcPr>
                <w:tcW w:w="1526" w:type="dxa"/>
                <w:vAlign w:val="center"/>
              </w:tcPr>
              <w:p w14:paraId="47F1D7F7">
                <w:pPr>
                  <w:pStyle w:val="48"/>
                </w:pPr>
                <w:r>
                  <w:t>2017-04-01</w:t>
                </w:r>
              </w:p>
            </w:tc>
            <w:tc>
              <w:tcPr>
                <w:tcW w:w="1536" w:type="dxa"/>
                <w:vMerge w:val="continue"/>
                <w:vAlign w:val="center"/>
              </w:tcPr>
              <w:p w14:paraId="5B617231">
                <w:pPr>
                  <w:pStyle w:val="48"/>
                </w:pPr>
              </w:p>
            </w:tc>
          </w:tr>
          <w:tr w14:paraId="2C0C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555" w:type="dxa"/>
                <w:vMerge w:val="continue"/>
                <w:vAlign w:val="center"/>
              </w:tcPr>
              <w:p w14:paraId="0F9B505B">
                <w:pPr>
                  <w:pStyle w:val="48"/>
                </w:pPr>
              </w:p>
            </w:tc>
            <w:tc>
              <w:tcPr>
                <w:tcW w:w="2835" w:type="dxa"/>
                <w:vMerge w:val="continue"/>
                <w:vAlign w:val="center"/>
              </w:tcPr>
              <w:p w14:paraId="66FBF89A">
                <w:pPr>
                  <w:pStyle w:val="48"/>
                </w:pPr>
              </w:p>
            </w:tc>
            <w:tc>
              <w:tcPr>
                <w:tcW w:w="1596" w:type="dxa"/>
                <w:vAlign w:val="center"/>
              </w:tcPr>
              <w:p w14:paraId="2355B910">
                <w:pPr>
                  <w:pStyle w:val="48"/>
                </w:pPr>
                <w:r>
                  <w:rPr>
                    <w:rFonts w:hint="eastAsia"/>
                  </w:rPr>
                  <w:t>法定代表人</w:t>
                </w:r>
              </w:p>
            </w:tc>
            <w:tc>
              <w:tcPr>
                <w:tcW w:w="1526" w:type="dxa"/>
                <w:vAlign w:val="center"/>
              </w:tcPr>
              <w:p w14:paraId="73ACA453">
                <w:pPr>
                  <w:pStyle w:val="48"/>
                </w:pPr>
                <w:r>
                  <w:t>2016-07-07</w:t>
                </w:r>
              </w:p>
            </w:tc>
            <w:tc>
              <w:tcPr>
                <w:tcW w:w="1536" w:type="dxa"/>
                <w:vMerge w:val="continue"/>
                <w:vAlign w:val="center"/>
              </w:tcPr>
              <w:p w14:paraId="09BD4DF1">
                <w:pPr>
                  <w:pStyle w:val="48"/>
                </w:pPr>
              </w:p>
            </w:tc>
          </w:tr>
          <w:tr w14:paraId="0184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1D3F6559">
                <w:pPr>
                  <w:pStyle w:val="48"/>
                </w:pPr>
              </w:p>
            </w:tc>
            <w:tc>
              <w:tcPr>
                <w:tcW w:w="2835" w:type="dxa"/>
                <w:vAlign w:val="center"/>
              </w:tcPr>
              <w:p w14:paraId="5DCB1AF3">
                <w:pPr>
                  <w:pStyle w:val="48"/>
                </w:pPr>
                <w:r>
                  <w:t>嘉兴睦恒投资管理有限公司</w:t>
                </w:r>
              </w:p>
            </w:tc>
            <w:tc>
              <w:tcPr>
                <w:tcW w:w="1596" w:type="dxa"/>
                <w:vAlign w:val="center"/>
              </w:tcPr>
              <w:p w14:paraId="5428B9CE">
                <w:pPr>
                  <w:pStyle w:val="48"/>
                </w:pPr>
                <w:r>
                  <w:t>执行董事</w:t>
                </w:r>
                <w:r>
                  <w:rPr>
                    <w:rFonts w:hint="eastAsia"/>
                  </w:rPr>
                  <w:t>兼</w:t>
                </w:r>
                <w:r>
                  <w:t>经理</w:t>
                </w:r>
                <w:r>
                  <w:rPr>
                    <w:rFonts w:hint="eastAsia"/>
                  </w:rPr>
                  <w:t>、法定代表人</w:t>
                </w:r>
              </w:p>
            </w:tc>
            <w:tc>
              <w:tcPr>
                <w:tcW w:w="1526" w:type="dxa"/>
                <w:vAlign w:val="center"/>
              </w:tcPr>
              <w:p w14:paraId="7539DC99">
                <w:pPr>
                  <w:pStyle w:val="48"/>
                </w:pPr>
                <w:r>
                  <w:t>2016-07-07</w:t>
                </w:r>
              </w:p>
            </w:tc>
            <w:tc>
              <w:tcPr>
                <w:tcW w:w="1536" w:type="dxa"/>
                <w:vAlign w:val="center"/>
              </w:tcPr>
              <w:p w14:paraId="348F1F0E">
                <w:pPr>
                  <w:pStyle w:val="48"/>
                </w:pPr>
              </w:p>
            </w:tc>
          </w:tr>
          <w:tr w14:paraId="688A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25414178">
                <w:pPr>
                  <w:pStyle w:val="48"/>
                </w:pPr>
              </w:p>
            </w:tc>
            <w:tc>
              <w:tcPr>
                <w:tcW w:w="2835" w:type="dxa"/>
                <w:vAlign w:val="center"/>
              </w:tcPr>
              <w:p w14:paraId="64AB2472">
                <w:pPr>
                  <w:pStyle w:val="48"/>
                </w:pPr>
                <w:r>
                  <w:t>嘉兴德泽弘企业管理有限公司</w:t>
                </w:r>
              </w:p>
            </w:tc>
            <w:tc>
              <w:tcPr>
                <w:tcW w:w="1596" w:type="dxa"/>
                <w:vAlign w:val="center"/>
              </w:tcPr>
              <w:p w14:paraId="05CCC882">
                <w:pPr>
                  <w:pStyle w:val="48"/>
                </w:pPr>
                <w:r>
                  <w:t>执行董事</w:t>
                </w:r>
                <w:r>
                  <w:rPr>
                    <w:rFonts w:hint="eastAsia"/>
                  </w:rPr>
                  <w:t>兼</w:t>
                </w:r>
                <w:r>
                  <w:t>经理</w:t>
                </w:r>
                <w:r>
                  <w:rPr>
                    <w:rFonts w:hint="eastAsia"/>
                  </w:rPr>
                  <w:t>、法定代表人</w:t>
                </w:r>
              </w:p>
            </w:tc>
            <w:tc>
              <w:tcPr>
                <w:tcW w:w="1526" w:type="dxa"/>
                <w:vAlign w:val="center"/>
              </w:tcPr>
              <w:p w14:paraId="3407EDC4">
                <w:pPr>
                  <w:pStyle w:val="48"/>
                </w:pPr>
                <w:r>
                  <w:t>2016-12-14</w:t>
                </w:r>
              </w:p>
            </w:tc>
            <w:tc>
              <w:tcPr>
                <w:tcW w:w="1536" w:type="dxa"/>
                <w:vAlign w:val="center"/>
              </w:tcPr>
              <w:p w14:paraId="2B4B59AB">
                <w:pPr>
                  <w:pStyle w:val="48"/>
                </w:pPr>
              </w:p>
            </w:tc>
          </w:tr>
          <w:tr w14:paraId="5131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53C294C7">
                <w:pPr>
                  <w:pStyle w:val="48"/>
                </w:pPr>
              </w:p>
            </w:tc>
            <w:tc>
              <w:tcPr>
                <w:tcW w:w="2835" w:type="dxa"/>
                <w:vAlign w:val="center"/>
              </w:tcPr>
              <w:p w14:paraId="09479A39">
                <w:pPr>
                  <w:pStyle w:val="48"/>
                </w:pPr>
                <w:r>
                  <w:t>德睦弘顾问（北京）有限公司</w:t>
                </w:r>
              </w:p>
            </w:tc>
            <w:tc>
              <w:tcPr>
                <w:tcW w:w="1596" w:type="dxa"/>
                <w:vAlign w:val="center"/>
              </w:tcPr>
              <w:p w14:paraId="516E88E1">
                <w:pPr>
                  <w:pStyle w:val="48"/>
                </w:pPr>
                <w:r>
                  <w:rPr>
                    <w:rFonts w:hint="eastAsia"/>
                  </w:rPr>
                  <w:t>执行董事、</w:t>
                </w:r>
                <w:r>
                  <w:t>经理</w:t>
                </w:r>
                <w:r>
                  <w:rPr>
                    <w:rFonts w:hint="eastAsia"/>
                  </w:rPr>
                  <w:t>、</w:t>
                </w:r>
                <w:r>
                  <w:t>财务负责人</w:t>
                </w:r>
                <w:r>
                  <w:rPr>
                    <w:rFonts w:hint="eastAsia"/>
                  </w:rPr>
                  <w:t>、法定代表人</w:t>
                </w:r>
              </w:p>
            </w:tc>
            <w:tc>
              <w:tcPr>
                <w:tcW w:w="1526" w:type="dxa"/>
                <w:vAlign w:val="center"/>
              </w:tcPr>
              <w:p w14:paraId="19127CF7">
                <w:pPr>
                  <w:pStyle w:val="48"/>
                </w:pPr>
                <w:r>
                  <w:t>2017-01-04</w:t>
                </w:r>
              </w:p>
            </w:tc>
            <w:tc>
              <w:tcPr>
                <w:tcW w:w="1536" w:type="dxa"/>
                <w:vAlign w:val="center"/>
              </w:tcPr>
              <w:p w14:paraId="1AB81126">
                <w:pPr>
                  <w:pStyle w:val="48"/>
                </w:pPr>
              </w:p>
            </w:tc>
          </w:tr>
          <w:tr w14:paraId="7FED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555" w:type="dxa"/>
                <w:vMerge w:val="continue"/>
                <w:vAlign w:val="center"/>
              </w:tcPr>
              <w:p w14:paraId="1B100C44">
                <w:pPr>
                  <w:pStyle w:val="48"/>
                </w:pPr>
              </w:p>
            </w:tc>
            <w:tc>
              <w:tcPr>
                <w:tcW w:w="2835" w:type="dxa"/>
                <w:vMerge w:val="restart"/>
                <w:vAlign w:val="center"/>
              </w:tcPr>
              <w:p w14:paraId="1CA68574">
                <w:pPr>
                  <w:pStyle w:val="48"/>
                </w:pPr>
                <w:r>
                  <w:t>珠海德弘管理顾问有限公司</w:t>
                </w:r>
              </w:p>
            </w:tc>
            <w:tc>
              <w:tcPr>
                <w:tcW w:w="1596" w:type="dxa"/>
                <w:vAlign w:val="center"/>
              </w:tcPr>
              <w:p w14:paraId="0C6F9B99">
                <w:pPr>
                  <w:pStyle w:val="48"/>
                </w:pPr>
                <w:r>
                  <w:t>执行董事</w:t>
                </w:r>
              </w:p>
            </w:tc>
            <w:tc>
              <w:tcPr>
                <w:tcW w:w="1526" w:type="dxa"/>
                <w:vAlign w:val="center"/>
              </w:tcPr>
              <w:p w14:paraId="5F9EE08F">
                <w:pPr>
                  <w:pStyle w:val="48"/>
                </w:pPr>
                <w:r>
                  <w:rPr>
                    <w:rFonts w:hint="eastAsia"/>
                  </w:rPr>
                  <w:t>2</w:t>
                </w:r>
                <w:r>
                  <w:t>023-10-16</w:t>
                </w:r>
              </w:p>
            </w:tc>
            <w:tc>
              <w:tcPr>
                <w:tcW w:w="1536" w:type="dxa"/>
                <w:vMerge w:val="restart"/>
                <w:vAlign w:val="center"/>
              </w:tcPr>
              <w:p w14:paraId="2590D65D">
                <w:pPr>
                  <w:pStyle w:val="48"/>
                </w:pPr>
              </w:p>
            </w:tc>
          </w:tr>
          <w:tr w14:paraId="6571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555" w:type="dxa"/>
                <w:vMerge w:val="continue"/>
                <w:vAlign w:val="center"/>
              </w:tcPr>
              <w:p w14:paraId="5F612C64">
                <w:pPr>
                  <w:pStyle w:val="48"/>
                </w:pPr>
              </w:p>
            </w:tc>
            <w:tc>
              <w:tcPr>
                <w:tcW w:w="2835" w:type="dxa"/>
                <w:vMerge w:val="continue"/>
                <w:vAlign w:val="center"/>
              </w:tcPr>
              <w:p w14:paraId="0AB07FF1">
                <w:pPr>
                  <w:pStyle w:val="48"/>
                </w:pPr>
              </w:p>
            </w:tc>
            <w:tc>
              <w:tcPr>
                <w:tcW w:w="1596" w:type="dxa"/>
                <w:vAlign w:val="center"/>
              </w:tcPr>
              <w:p w14:paraId="442C83D6">
                <w:pPr>
                  <w:pStyle w:val="48"/>
                </w:pPr>
                <w:r>
                  <w:rPr>
                    <w:rFonts w:hint="eastAsia"/>
                  </w:rPr>
                  <w:t>经理、法定代表人</w:t>
                </w:r>
              </w:p>
            </w:tc>
            <w:tc>
              <w:tcPr>
                <w:tcW w:w="1526" w:type="dxa"/>
                <w:vAlign w:val="center"/>
              </w:tcPr>
              <w:p w14:paraId="6A574AD4">
                <w:pPr>
                  <w:pStyle w:val="48"/>
                </w:pPr>
                <w:r>
                  <w:t>2017-05-27</w:t>
                </w:r>
              </w:p>
            </w:tc>
            <w:tc>
              <w:tcPr>
                <w:tcW w:w="1536" w:type="dxa"/>
                <w:vMerge w:val="continue"/>
                <w:vAlign w:val="center"/>
              </w:tcPr>
              <w:p w14:paraId="28F3A168">
                <w:pPr>
                  <w:pStyle w:val="48"/>
                </w:pPr>
              </w:p>
            </w:tc>
          </w:tr>
          <w:tr w14:paraId="065D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555" w:type="dxa"/>
                <w:vMerge w:val="continue"/>
                <w:vAlign w:val="center"/>
              </w:tcPr>
              <w:p w14:paraId="423FADCF">
                <w:pPr>
                  <w:pStyle w:val="48"/>
                </w:pPr>
              </w:p>
            </w:tc>
            <w:tc>
              <w:tcPr>
                <w:tcW w:w="2835" w:type="dxa"/>
                <w:vMerge w:val="restart"/>
                <w:vAlign w:val="center"/>
              </w:tcPr>
              <w:p w14:paraId="36D753BC">
                <w:pPr>
                  <w:pStyle w:val="48"/>
                </w:pPr>
                <w:r>
                  <w:t>珠海德弘私募基金管理有限公司</w:t>
                </w:r>
              </w:p>
            </w:tc>
            <w:tc>
              <w:tcPr>
                <w:tcW w:w="1596" w:type="dxa"/>
                <w:vAlign w:val="center"/>
              </w:tcPr>
              <w:p w14:paraId="69E64FA2">
                <w:pPr>
                  <w:pStyle w:val="48"/>
                </w:pPr>
                <w:r>
                  <w:t>董事长</w:t>
                </w:r>
              </w:p>
            </w:tc>
            <w:tc>
              <w:tcPr>
                <w:tcW w:w="1526" w:type="dxa"/>
                <w:vAlign w:val="center"/>
              </w:tcPr>
              <w:p w14:paraId="121EEFEA">
                <w:pPr>
                  <w:pStyle w:val="48"/>
                </w:pPr>
                <w:r>
                  <w:rPr>
                    <w:rFonts w:hint="eastAsia"/>
                  </w:rPr>
                  <w:t>2</w:t>
                </w:r>
                <w:r>
                  <w:t>022-07-07</w:t>
                </w:r>
              </w:p>
            </w:tc>
            <w:tc>
              <w:tcPr>
                <w:tcW w:w="1536" w:type="dxa"/>
                <w:vMerge w:val="restart"/>
                <w:vAlign w:val="center"/>
              </w:tcPr>
              <w:p w14:paraId="12D2D190">
                <w:pPr>
                  <w:pStyle w:val="48"/>
                </w:pPr>
              </w:p>
            </w:tc>
          </w:tr>
          <w:tr w14:paraId="4777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555" w:type="dxa"/>
                <w:vMerge w:val="continue"/>
                <w:vAlign w:val="center"/>
              </w:tcPr>
              <w:p w14:paraId="33A5DEA7">
                <w:pPr>
                  <w:pStyle w:val="48"/>
                </w:pPr>
              </w:p>
            </w:tc>
            <w:tc>
              <w:tcPr>
                <w:tcW w:w="2835" w:type="dxa"/>
                <w:vMerge w:val="continue"/>
                <w:vAlign w:val="center"/>
              </w:tcPr>
              <w:p w14:paraId="623D01B4">
                <w:pPr>
                  <w:pStyle w:val="48"/>
                </w:pPr>
              </w:p>
            </w:tc>
            <w:tc>
              <w:tcPr>
                <w:tcW w:w="1596" w:type="dxa"/>
                <w:vAlign w:val="center"/>
              </w:tcPr>
              <w:p w14:paraId="35F0F30C">
                <w:pPr>
                  <w:pStyle w:val="48"/>
                </w:pPr>
                <w:r>
                  <w:rPr>
                    <w:rFonts w:hint="eastAsia"/>
                  </w:rPr>
                  <w:t>经理、法定代表人</w:t>
                </w:r>
              </w:p>
            </w:tc>
            <w:tc>
              <w:tcPr>
                <w:tcW w:w="1526" w:type="dxa"/>
                <w:vAlign w:val="center"/>
              </w:tcPr>
              <w:p w14:paraId="553AE1D5">
                <w:pPr>
                  <w:pStyle w:val="48"/>
                </w:pPr>
                <w:r>
                  <w:t>2017-05-31</w:t>
                </w:r>
              </w:p>
            </w:tc>
            <w:tc>
              <w:tcPr>
                <w:tcW w:w="1536" w:type="dxa"/>
                <w:vMerge w:val="continue"/>
                <w:vAlign w:val="center"/>
              </w:tcPr>
              <w:p w14:paraId="2AAD084E">
                <w:pPr>
                  <w:pStyle w:val="48"/>
                </w:pPr>
              </w:p>
            </w:tc>
          </w:tr>
          <w:tr w14:paraId="0115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23ADEED1">
                <w:pPr>
                  <w:pStyle w:val="48"/>
                </w:pPr>
              </w:p>
            </w:tc>
            <w:tc>
              <w:tcPr>
                <w:tcW w:w="2835" w:type="dxa"/>
                <w:vAlign w:val="center"/>
              </w:tcPr>
              <w:p w14:paraId="406DA7F3">
                <w:pPr>
                  <w:pStyle w:val="48"/>
                </w:pPr>
                <w:r>
                  <w:t>上海九悦医疗投资管理有限公司</w:t>
                </w:r>
              </w:p>
            </w:tc>
            <w:tc>
              <w:tcPr>
                <w:tcW w:w="1596" w:type="dxa"/>
                <w:vAlign w:val="center"/>
              </w:tcPr>
              <w:p w14:paraId="61E80CE6">
                <w:pPr>
                  <w:pStyle w:val="48"/>
                </w:pPr>
                <w:r>
                  <w:t>董事</w:t>
                </w:r>
              </w:p>
            </w:tc>
            <w:tc>
              <w:tcPr>
                <w:tcW w:w="1526" w:type="dxa"/>
                <w:vAlign w:val="center"/>
              </w:tcPr>
              <w:p w14:paraId="49D9645B">
                <w:pPr>
                  <w:pStyle w:val="48"/>
                </w:pPr>
                <w:r>
                  <w:t>2017-12-04</w:t>
                </w:r>
              </w:p>
            </w:tc>
            <w:tc>
              <w:tcPr>
                <w:tcW w:w="1536" w:type="dxa"/>
                <w:vAlign w:val="center"/>
              </w:tcPr>
              <w:p w14:paraId="320EE56E">
                <w:pPr>
                  <w:pStyle w:val="48"/>
                </w:pPr>
              </w:p>
            </w:tc>
          </w:tr>
          <w:tr w14:paraId="0350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3486C8C7">
                <w:pPr>
                  <w:pStyle w:val="48"/>
                </w:pPr>
              </w:p>
            </w:tc>
            <w:tc>
              <w:tcPr>
                <w:tcW w:w="2835" w:type="dxa"/>
                <w:vAlign w:val="center"/>
              </w:tcPr>
              <w:p w14:paraId="784F7039">
                <w:pPr>
                  <w:pStyle w:val="48"/>
                </w:pPr>
                <w:r>
                  <w:rPr>
                    <w:rFonts w:hint="eastAsia"/>
                  </w:rPr>
                  <w:t>国耀融汇融资租赁有限公司</w:t>
                </w:r>
              </w:p>
            </w:tc>
            <w:tc>
              <w:tcPr>
                <w:tcW w:w="1596" w:type="dxa"/>
                <w:vAlign w:val="center"/>
              </w:tcPr>
              <w:p w14:paraId="3E780E78">
                <w:pPr>
                  <w:pStyle w:val="48"/>
                </w:pPr>
                <w:r>
                  <w:t>董事</w:t>
                </w:r>
              </w:p>
            </w:tc>
            <w:tc>
              <w:tcPr>
                <w:tcW w:w="1526" w:type="dxa"/>
                <w:vAlign w:val="center"/>
              </w:tcPr>
              <w:p w14:paraId="4E708F68">
                <w:pPr>
                  <w:pStyle w:val="48"/>
                </w:pPr>
                <w:r>
                  <w:t>2019-09-25</w:t>
                </w:r>
              </w:p>
            </w:tc>
            <w:tc>
              <w:tcPr>
                <w:tcW w:w="1536" w:type="dxa"/>
                <w:vAlign w:val="center"/>
              </w:tcPr>
              <w:p w14:paraId="15BC09BA">
                <w:pPr>
                  <w:pStyle w:val="48"/>
                </w:pPr>
              </w:p>
            </w:tc>
          </w:tr>
          <w:tr w14:paraId="7D96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206A019B">
                <w:pPr>
                  <w:pStyle w:val="48"/>
                </w:pPr>
              </w:p>
            </w:tc>
            <w:tc>
              <w:tcPr>
                <w:tcW w:w="2835" w:type="dxa"/>
                <w:vAlign w:val="center"/>
              </w:tcPr>
              <w:p w14:paraId="2EDC9B74">
                <w:pPr>
                  <w:pStyle w:val="48"/>
                </w:pPr>
                <w:r>
                  <w:rPr>
                    <w:rFonts w:hint="eastAsia"/>
                  </w:rPr>
                  <w:t>上海美华沃德医疗管理（集团）有限公司</w:t>
                </w:r>
              </w:p>
            </w:tc>
            <w:tc>
              <w:tcPr>
                <w:tcW w:w="1596" w:type="dxa"/>
                <w:vAlign w:val="center"/>
              </w:tcPr>
              <w:p w14:paraId="43F75C86">
                <w:pPr>
                  <w:pStyle w:val="48"/>
                </w:pPr>
                <w:r>
                  <w:t>董事长</w:t>
                </w:r>
              </w:p>
            </w:tc>
            <w:tc>
              <w:tcPr>
                <w:tcW w:w="1526" w:type="dxa"/>
                <w:vAlign w:val="center"/>
              </w:tcPr>
              <w:p w14:paraId="2B7B518B">
                <w:pPr>
                  <w:pStyle w:val="48"/>
                </w:pPr>
                <w:r>
                  <w:t>2021-02-20</w:t>
                </w:r>
              </w:p>
            </w:tc>
            <w:tc>
              <w:tcPr>
                <w:tcW w:w="1536" w:type="dxa"/>
                <w:vAlign w:val="center"/>
              </w:tcPr>
              <w:p w14:paraId="757B0502">
                <w:pPr>
                  <w:pStyle w:val="48"/>
                </w:pPr>
              </w:p>
            </w:tc>
          </w:tr>
          <w:tr w14:paraId="0DB8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7533C188">
                <w:pPr>
                  <w:pStyle w:val="48"/>
                </w:pPr>
              </w:p>
            </w:tc>
            <w:tc>
              <w:tcPr>
                <w:tcW w:w="2835" w:type="dxa"/>
                <w:vAlign w:val="center"/>
              </w:tcPr>
              <w:p w14:paraId="01FC625C">
                <w:pPr>
                  <w:pStyle w:val="48"/>
                </w:pPr>
                <w:r>
                  <w:t>苏州德睦兴康医疗投资有限公司</w:t>
                </w:r>
              </w:p>
            </w:tc>
            <w:tc>
              <w:tcPr>
                <w:tcW w:w="1596" w:type="dxa"/>
                <w:vAlign w:val="center"/>
              </w:tcPr>
              <w:p w14:paraId="2B68D8FA">
                <w:pPr>
                  <w:pStyle w:val="48"/>
                </w:pPr>
                <w:r>
                  <w:t>执行董事</w:t>
                </w:r>
                <w:r>
                  <w:rPr>
                    <w:rFonts w:hint="eastAsia"/>
                  </w:rPr>
                  <w:t>兼</w:t>
                </w:r>
                <w:r>
                  <w:t>总经理</w:t>
                </w:r>
                <w:r>
                  <w:rPr>
                    <w:rFonts w:hint="eastAsia"/>
                  </w:rPr>
                  <w:t>、法定代表人</w:t>
                </w:r>
              </w:p>
            </w:tc>
            <w:tc>
              <w:tcPr>
                <w:tcW w:w="1526" w:type="dxa"/>
                <w:vAlign w:val="center"/>
              </w:tcPr>
              <w:p w14:paraId="0D057949">
                <w:pPr>
                  <w:pStyle w:val="48"/>
                </w:pPr>
                <w:r>
                  <w:t>2021-02-07</w:t>
                </w:r>
              </w:p>
            </w:tc>
            <w:tc>
              <w:tcPr>
                <w:tcW w:w="1536" w:type="dxa"/>
                <w:vAlign w:val="center"/>
              </w:tcPr>
              <w:p w14:paraId="10806DF8">
                <w:pPr>
                  <w:pStyle w:val="48"/>
                </w:pPr>
              </w:p>
            </w:tc>
          </w:tr>
          <w:tr w14:paraId="020B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06310B45">
                <w:pPr>
                  <w:pStyle w:val="48"/>
                </w:pPr>
              </w:p>
            </w:tc>
            <w:tc>
              <w:tcPr>
                <w:tcW w:w="2835" w:type="dxa"/>
                <w:vAlign w:val="center"/>
              </w:tcPr>
              <w:p w14:paraId="7A09775B">
                <w:pPr>
                  <w:pStyle w:val="48"/>
                </w:pPr>
                <w:r>
                  <w:t>德源弘企业管理顾问咨询（上海）有限公司</w:t>
                </w:r>
              </w:p>
            </w:tc>
            <w:tc>
              <w:tcPr>
                <w:tcW w:w="1596" w:type="dxa"/>
                <w:vAlign w:val="center"/>
              </w:tcPr>
              <w:p w14:paraId="728D9A33">
                <w:pPr>
                  <w:pStyle w:val="48"/>
                </w:pPr>
                <w:r>
                  <w:t>执行董事</w:t>
                </w:r>
                <w:r>
                  <w:rPr>
                    <w:rFonts w:hint="eastAsia"/>
                  </w:rPr>
                  <w:t>、法定代表人</w:t>
                </w:r>
              </w:p>
            </w:tc>
            <w:tc>
              <w:tcPr>
                <w:tcW w:w="1526" w:type="dxa"/>
                <w:vAlign w:val="center"/>
              </w:tcPr>
              <w:p w14:paraId="5E92BA93">
                <w:pPr>
                  <w:pStyle w:val="48"/>
                </w:pPr>
                <w:r>
                  <w:t>2022-06-21</w:t>
                </w:r>
              </w:p>
            </w:tc>
            <w:tc>
              <w:tcPr>
                <w:tcW w:w="1536" w:type="dxa"/>
                <w:vAlign w:val="center"/>
              </w:tcPr>
              <w:p w14:paraId="167AC7A9">
                <w:pPr>
                  <w:pStyle w:val="48"/>
                </w:pPr>
              </w:p>
            </w:tc>
          </w:tr>
          <w:tr w14:paraId="1BF1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555" w:type="dxa"/>
                <w:vMerge w:val="continue"/>
                <w:vAlign w:val="center"/>
              </w:tcPr>
              <w:p w14:paraId="06DDF7C7">
                <w:pPr>
                  <w:pStyle w:val="48"/>
                </w:pPr>
              </w:p>
            </w:tc>
            <w:tc>
              <w:tcPr>
                <w:tcW w:w="2835" w:type="dxa"/>
                <w:vMerge w:val="restart"/>
                <w:vAlign w:val="center"/>
              </w:tcPr>
              <w:p w14:paraId="5E8863CA">
                <w:pPr>
                  <w:pStyle w:val="48"/>
                </w:pPr>
                <w:r>
                  <w:t>珠海德弘投资有限公司</w:t>
                </w:r>
              </w:p>
            </w:tc>
            <w:tc>
              <w:tcPr>
                <w:tcW w:w="1596" w:type="dxa"/>
                <w:vAlign w:val="center"/>
              </w:tcPr>
              <w:p w14:paraId="23560CFF">
                <w:pPr>
                  <w:pStyle w:val="48"/>
                </w:pPr>
                <w:r>
                  <w:t>董事长</w:t>
                </w:r>
              </w:p>
            </w:tc>
            <w:tc>
              <w:tcPr>
                <w:tcW w:w="1526" w:type="dxa"/>
                <w:vAlign w:val="center"/>
              </w:tcPr>
              <w:p w14:paraId="3BF74171">
                <w:pPr>
                  <w:pStyle w:val="48"/>
                </w:pPr>
                <w:r>
                  <w:t>2022-08-25</w:t>
                </w:r>
              </w:p>
            </w:tc>
            <w:tc>
              <w:tcPr>
                <w:tcW w:w="1536" w:type="dxa"/>
                <w:vMerge w:val="restart"/>
                <w:vAlign w:val="center"/>
              </w:tcPr>
              <w:p w14:paraId="39070F73">
                <w:pPr>
                  <w:pStyle w:val="48"/>
                </w:pPr>
              </w:p>
            </w:tc>
          </w:tr>
          <w:tr w14:paraId="0A36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555" w:type="dxa"/>
                <w:vMerge w:val="continue"/>
                <w:vAlign w:val="center"/>
              </w:tcPr>
              <w:p w14:paraId="40BA03ED">
                <w:pPr>
                  <w:pStyle w:val="48"/>
                </w:pPr>
              </w:p>
            </w:tc>
            <w:tc>
              <w:tcPr>
                <w:tcW w:w="2835" w:type="dxa"/>
                <w:vMerge w:val="continue"/>
                <w:vAlign w:val="center"/>
              </w:tcPr>
              <w:p w14:paraId="25427F6B">
                <w:pPr>
                  <w:pStyle w:val="48"/>
                </w:pPr>
              </w:p>
            </w:tc>
            <w:tc>
              <w:tcPr>
                <w:tcW w:w="1596" w:type="dxa"/>
                <w:vAlign w:val="center"/>
              </w:tcPr>
              <w:p w14:paraId="0AEB7AA9">
                <w:pPr>
                  <w:pStyle w:val="48"/>
                </w:pPr>
                <w:r>
                  <w:rPr>
                    <w:rFonts w:hint="eastAsia"/>
                  </w:rPr>
                  <w:t>经理、法定代表人</w:t>
                </w:r>
              </w:p>
            </w:tc>
            <w:tc>
              <w:tcPr>
                <w:tcW w:w="1526" w:type="dxa"/>
                <w:vAlign w:val="center"/>
              </w:tcPr>
              <w:p w14:paraId="58BA3424">
                <w:pPr>
                  <w:pStyle w:val="48"/>
                </w:pPr>
                <w:r>
                  <w:rPr>
                    <w:rFonts w:hint="eastAsia"/>
                  </w:rPr>
                  <w:t>2</w:t>
                </w:r>
                <w:r>
                  <w:t>017-05-05</w:t>
                </w:r>
              </w:p>
            </w:tc>
            <w:tc>
              <w:tcPr>
                <w:tcW w:w="1536" w:type="dxa"/>
                <w:vMerge w:val="continue"/>
                <w:vAlign w:val="center"/>
              </w:tcPr>
              <w:p w14:paraId="31F15138">
                <w:pPr>
                  <w:pStyle w:val="48"/>
                </w:pPr>
              </w:p>
            </w:tc>
          </w:tr>
          <w:tr w14:paraId="173E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2198B2B4">
                <w:pPr>
                  <w:pStyle w:val="48"/>
                </w:pPr>
              </w:p>
            </w:tc>
            <w:tc>
              <w:tcPr>
                <w:tcW w:w="2835" w:type="dxa"/>
                <w:vAlign w:val="center"/>
              </w:tcPr>
              <w:p w14:paraId="138016A0">
                <w:pPr>
                  <w:pStyle w:val="48"/>
                </w:pPr>
                <w:r>
                  <w:t>上海美华妇儿医院有限公司</w:t>
                </w:r>
              </w:p>
            </w:tc>
            <w:tc>
              <w:tcPr>
                <w:tcW w:w="1596" w:type="dxa"/>
                <w:vAlign w:val="center"/>
              </w:tcPr>
              <w:p w14:paraId="3E2ED1E5">
                <w:pPr>
                  <w:pStyle w:val="48"/>
                </w:pPr>
                <w:r>
                  <w:t>执行董事、经理</w:t>
                </w:r>
                <w:r>
                  <w:rPr>
                    <w:rFonts w:hint="eastAsia"/>
                  </w:rPr>
                  <w:t>、法定代表人</w:t>
                </w:r>
              </w:p>
            </w:tc>
            <w:tc>
              <w:tcPr>
                <w:tcW w:w="1526" w:type="dxa"/>
                <w:vAlign w:val="center"/>
              </w:tcPr>
              <w:p w14:paraId="46F2FA77">
                <w:pPr>
                  <w:pStyle w:val="48"/>
                </w:pPr>
                <w:r>
                  <w:t>2023-08-28</w:t>
                </w:r>
              </w:p>
            </w:tc>
            <w:tc>
              <w:tcPr>
                <w:tcW w:w="1536" w:type="dxa"/>
                <w:vAlign w:val="center"/>
              </w:tcPr>
              <w:p w14:paraId="264B1CD6">
                <w:pPr>
                  <w:pStyle w:val="48"/>
                </w:pPr>
              </w:p>
            </w:tc>
          </w:tr>
          <w:tr w14:paraId="5D18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36CA94A1">
                <w:pPr>
                  <w:pStyle w:val="48"/>
                </w:pPr>
              </w:p>
            </w:tc>
            <w:tc>
              <w:tcPr>
                <w:tcW w:w="2835" w:type="dxa"/>
                <w:vAlign w:val="center"/>
              </w:tcPr>
              <w:p w14:paraId="42CECB51">
                <w:pPr>
                  <w:pStyle w:val="48"/>
                </w:pPr>
                <w:r>
                  <w:t>杭州启明医疗器械股份有限公司</w:t>
                </w:r>
              </w:p>
            </w:tc>
            <w:tc>
              <w:tcPr>
                <w:tcW w:w="1596" w:type="dxa"/>
                <w:vAlign w:val="center"/>
              </w:tcPr>
              <w:p w14:paraId="094A65C6">
                <w:pPr>
                  <w:pStyle w:val="48"/>
                </w:pPr>
                <w:r>
                  <w:t>非执行董事</w:t>
                </w:r>
              </w:p>
            </w:tc>
            <w:tc>
              <w:tcPr>
                <w:tcW w:w="1526" w:type="dxa"/>
                <w:vAlign w:val="center"/>
              </w:tcPr>
              <w:p w14:paraId="67935870">
                <w:pPr>
                  <w:pStyle w:val="48"/>
                </w:pPr>
                <w:r>
                  <w:t>2023-12-28</w:t>
                </w:r>
              </w:p>
            </w:tc>
            <w:tc>
              <w:tcPr>
                <w:tcW w:w="1536" w:type="dxa"/>
                <w:vAlign w:val="center"/>
              </w:tcPr>
              <w:p w14:paraId="4D635758">
                <w:pPr>
                  <w:pStyle w:val="48"/>
                </w:pPr>
              </w:p>
            </w:tc>
          </w:tr>
          <w:tr w14:paraId="2785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425C5711">
                <w:pPr>
                  <w:pStyle w:val="48"/>
                </w:pPr>
              </w:p>
            </w:tc>
            <w:tc>
              <w:tcPr>
                <w:tcW w:w="2835" w:type="dxa"/>
                <w:vAlign w:val="center"/>
              </w:tcPr>
              <w:p w14:paraId="77771A75">
                <w:pPr>
                  <w:pStyle w:val="48"/>
                </w:pPr>
                <w:r>
                  <w:rPr>
                    <w:rFonts w:hint="eastAsia"/>
                  </w:rPr>
                  <w:t>苏州安弘投资管理有限公司</w:t>
                </w:r>
              </w:p>
            </w:tc>
            <w:tc>
              <w:tcPr>
                <w:tcW w:w="1596" w:type="dxa"/>
                <w:vAlign w:val="center"/>
              </w:tcPr>
              <w:p w14:paraId="566A92ED">
                <w:pPr>
                  <w:pStyle w:val="48"/>
                </w:pPr>
                <w:r>
                  <w:rPr>
                    <w:rFonts w:hint="eastAsia"/>
                  </w:rPr>
                  <w:t>董事长兼总经理、法定代表人</w:t>
                </w:r>
              </w:p>
            </w:tc>
            <w:tc>
              <w:tcPr>
                <w:tcW w:w="1526" w:type="dxa"/>
                <w:vAlign w:val="center"/>
              </w:tcPr>
              <w:p w14:paraId="00E76763">
                <w:pPr>
                  <w:pStyle w:val="48"/>
                </w:pPr>
                <w:r>
                  <w:rPr>
                    <w:rFonts w:hint="eastAsia"/>
                  </w:rPr>
                  <w:t>2024-</w:t>
                </w:r>
                <w:r>
                  <w:t>0</w:t>
                </w:r>
                <w:r>
                  <w:rPr>
                    <w:rFonts w:hint="eastAsia"/>
                  </w:rPr>
                  <w:t>8-30</w:t>
                </w:r>
              </w:p>
            </w:tc>
            <w:tc>
              <w:tcPr>
                <w:tcW w:w="1536" w:type="dxa"/>
                <w:vAlign w:val="center"/>
              </w:tcPr>
              <w:p w14:paraId="38FCEAD8">
                <w:pPr>
                  <w:pStyle w:val="48"/>
                </w:pPr>
              </w:p>
            </w:tc>
          </w:tr>
          <w:tr w14:paraId="58BF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5078CE39">
                <w:pPr>
                  <w:pStyle w:val="48"/>
                </w:pPr>
              </w:p>
            </w:tc>
            <w:tc>
              <w:tcPr>
                <w:tcW w:w="2835" w:type="dxa"/>
                <w:vAlign w:val="center"/>
              </w:tcPr>
              <w:p w14:paraId="68F8BD20">
                <w:pPr>
                  <w:pStyle w:val="48"/>
                </w:pPr>
                <w:r>
                  <w:rPr>
                    <w:rFonts w:hint="eastAsia"/>
                  </w:rPr>
                  <w:t>苏州德弘臻安投资咨询有限公司</w:t>
                </w:r>
              </w:p>
            </w:tc>
            <w:tc>
              <w:tcPr>
                <w:tcW w:w="1596" w:type="dxa"/>
                <w:vAlign w:val="center"/>
              </w:tcPr>
              <w:p w14:paraId="428BCF36">
                <w:pPr>
                  <w:pStyle w:val="48"/>
                </w:pPr>
                <w:r>
                  <w:rPr>
                    <w:rFonts w:hint="eastAsia"/>
                  </w:rPr>
                  <w:t>董事、经理、法定代表人</w:t>
                </w:r>
              </w:p>
            </w:tc>
            <w:tc>
              <w:tcPr>
                <w:tcW w:w="1526" w:type="dxa"/>
                <w:vAlign w:val="center"/>
              </w:tcPr>
              <w:p w14:paraId="4175769C">
                <w:pPr>
                  <w:pStyle w:val="48"/>
                </w:pPr>
                <w:r>
                  <w:rPr>
                    <w:rFonts w:hint="eastAsia"/>
                  </w:rPr>
                  <w:t>2024-</w:t>
                </w:r>
                <w:r>
                  <w:t>0</w:t>
                </w:r>
                <w:r>
                  <w:rPr>
                    <w:rFonts w:hint="eastAsia"/>
                  </w:rPr>
                  <w:t>7-18</w:t>
                </w:r>
              </w:p>
            </w:tc>
            <w:tc>
              <w:tcPr>
                <w:tcW w:w="1536" w:type="dxa"/>
                <w:vAlign w:val="center"/>
              </w:tcPr>
              <w:p w14:paraId="7D8B4EE1">
                <w:pPr>
                  <w:pStyle w:val="48"/>
                </w:pPr>
              </w:p>
            </w:tc>
          </w:tr>
          <w:tr w14:paraId="772F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3C2EA199">
                <w:pPr>
                  <w:pStyle w:val="48"/>
                </w:pPr>
              </w:p>
            </w:tc>
            <w:tc>
              <w:tcPr>
                <w:tcW w:w="2835" w:type="dxa"/>
                <w:vAlign w:val="center"/>
              </w:tcPr>
              <w:p w14:paraId="170DEBE5">
                <w:pPr>
                  <w:widowControl w:val="0"/>
                  <w:jc w:val="both"/>
                  <w:rPr>
                    <w:sz w:val="24"/>
                    <w:szCs w:val="24"/>
                  </w:rPr>
                </w:pPr>
                <w:r>
                  <w:t>上海沃德医疗有限公司</w:t>
                </w:r>
              </w:p>
            </w:tc>
            <w:tc>
              <w:tcPr>
                <w:tcW w:w="1596" w:type="dxa"/>
                <w:vAlign w:val="center"/>
              </w:tcPr>
              <w:p w14:paraId="73CDC5E9">
                <w:pPr>
                  <w:widowControl w:val="0"/>
                  <w:jc w:val="both"/>
                </w:pPr>
                <w:r>
                  <w:t>董事、经理</w:t>
                </w:r>
                <w:r>
                  <w:rPr>
                    <w:rFonts w:hint="eastAsia"/>
                  </w:rPr>
                  <w:t>、法定代表人</w:t>
                </w:r>
              </w:p>
            </w:tc>
            <w:tc>
              <w:tcPr>
                <w:tcW w:w="1526" w:type="dxa"/>
                <w:vAlign w:val="center"/>
              </w:tcPr>
              <w:p w14:paraId="108E66CF">
                <w:pPr>
                  <w:widowControl w:val="0"/>
                  <w:jc w:val="both"/>
                </w:pPr>
                <w:r>
                  <w:t>2025-01-23</w:t>
                </w:r>
              </w:p>
            </w:tc>
            <w:tc>
              <w:tcPr>
                <w:tcW w:w="1536" w:type="dxa"/>
                <w:vAlign w:val="center"/>
              </w:tcPr>
              <w:p w14:paraId="473834F8">
                <w:pPr>
                  <w:pStyle w:val="48"/>
                </w:pPr>
              </w:p>
            </w:tc>
          </w:tr>
          <w:tr w14:paraId="6833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555" w:type="dxa"/>
                <w:vMerge w:val="continue"/>
                <w:vAlign w:val="center"/>
              </w:tcPr>
              <w:p w14:paraId="1FC03D7E">
                <w:pPr>
                  <w:pStyle w:val="48"/>
                </w:pPr>
              </w:p>
            </w:tc>
            <w:tc>
              <w:tcPr>
                <w:tcW w:w="2835" w:type="dxa"/>
                <w:vAlign w:val="center"/>
              </w:tcPr>
              <w:p w14:paraId="4D35FDE2">
                <w:pPr>
                  <w:widowControl w:val="0"/>
                  <w:jc w:val="both"/>
                </w:pPr>
                <w:r>
                  <w:rPr>
                    <w:rFonts w:hint="eastAsia"/>
                  </w:rPr>
                  <w:t>苏州德昭璟弘管理咨询有限公司</w:t>
                </w:r>
              </w:p>
            </w:tc>
            <w:tc>
              <w:tcPr>
                <w:tcW w:w="1596" w:type="dxa"/>
                <w:vAlign w:val="center"/>
              </w:tcPr>
              <w:p w14:paraId="2002730D">
                <w:pPr>
                  <w:widowControl w:val="0"/>
                  <w:jc w:val="both"/>
                </w:pPr>
                <w:r>
                  <w:rPr>
                    <w:rFonts w:hint="eastAsia"/>
                  </w:rPr>
                  <w:t>董事、经理、法定代表人</w:t>
                </w:r>
              </w:p>
            </w:tc>
            <w:tc>
              <w:tcPr>
                <w:tcW w:w="1526" w:type="dxa"/>
                <w:vAlign w:val="center"/>
              </w:tcPr>
              <w:p w14:paraId="3DA33C50">
                <w:pPr>
                  <w:widowControl w:val="0"/>
                  <w:jc w:val="both"/>
                </w:pPr>
                <w:r>
                  <w:rPr>
                    <w:rFonts w:hint="eastAsia"/>
                  </w:rPr>
                  <w:t>20</w:t>
                </w:r>
                <w:r>
                  <w:t>25-09-04</w:t>
                </w:r>
              </w:p>
            </w:tc>
            <w:tc>
              <w:tcPr>
                <w:tcW w:w="1536" w:type="dxa"/>
                <w:vMerge w:val="restart"/>
                <w:vAlign w:val="center"/>
              </w:tcPr>
              <w:p w14:paraId="2A381A93">
                <w:pPr>
                  <w:pStyle w:val="48"/>
                </w:pPr>
              </w:p>
            </w:tc>
          </w:tr>
          <w:tr w14:paraId="6288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555" w:type="dxa"/>
                <w:vMerge w:val="continue"/>
                <w:vAlign w:val="center"/>
              </w:tcPr>
              <w:p w14:paraId="70CB2BF3">
                <w:pPr>
                  <w:pStyle w:val="48"/>
                </w:pPr>
              </w:p>
            </w:tc>
            <w:tc>
              <w:tcPr>
                <w:tcW w:w="2835" w:type="dxa"/>
                <w:vAlign w:val="center"/>
              </w:tcPr>
              <w:p w14:paraId="2612BE75">
                <w:pPr>
                  <w:widowControl w:val="0"/>
                  <w:jc w:val="both"/>
                  <w:rPr>
                    <w:highlight w:val="yellow"/>
                  </w:rPr>
                </w:pPr>
                <w:r>
                  <w:t>上海睦恒企业管理中心</w:t>
                </w:r>
              </w:p>
            </w:tc>
            <w:tc>
              <w:tcPr>
                <w:tcW w:w="1596" w:type="dxa"/>
                <w:vAlign w:val="center"/>
              </w:tcPr>
              <w:p w14:paraId="7EC415CD">
                <w:pPr>
                  <w:widowControl w:val="0"/>
                  <w:jc w:val="both"/>
                  <w:rPr>
                    <w:highlight w:val="yellow"/>
                  </w:rPr>
                </w:pPr>
                <w:r>
                  <w:t>投资人</w:t>
                </w:r>
              </w:p>
            </w:tc>
            <w:tc>
              <w:tcPr>
                <w:tcW w:w="1526" w:type="dxa"/>
                <w:vAlign w:val="center"/>
              </w:tcPr>
              <w:p w14:paraId="5CA20F7C">
                <w:pPr>
                  <w:widowControl w:val="0"/>
                  <w:jc w:val="both"/>
                  <w:rPr>
                    <w:highlight w:val="yellow"/>
                  </w:rPr>
                </w:pPr>
                <w:r>
                  <w:t>2019-02-22</w:t>
                </w:r>
              </w:p>
            </w:tc>
            <w:tc>
              <w:tcPr>
                <w:tcW w:w="1536" w:type="dxa"/>
                <w:vMerge w:val="continue"/>
                <w:vAlign w:val="center"/>
              </w:tcPr>
              <w:p w14:paraId="409DCC0C">
                <w:pPr>
                  <w:pStyle w:val="48"/>
                </w:pPr>
              </w:p>
            </w:tc>
          </w:tr>
          <w:tr w14:paraId="6E51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restart"/>
                <w:vAlign w:val="center"/>
              </w:tcPr>
              <w:p w14:paraId="00131A6C">
                <w:pPr>
                  <w:pStyle w:val="48"/>
                </w:pPr>
                <w:r>
                  <w:rPr>
                    <w:rFonts w:hint="eastAsia"/>
                  </w:rPr>
                  <w:t>曾健纯</w:t>
                </w:r>
              </w:p>
            </w:tc>
            <w:tc>
              <w:tcPr>
                <w:tcW w:w="2835" w:type="dxa"/>
                <w:vAlign w:val="center"/>
              </w:tcPr>
              <w:p w14:paraId="1E5D0470">
                <w:pPr>
                  <w:widowControl w:val="0"/>
                  <w:jc w:val="both"/>
                  <w:rPr>
                    <w:sz w:val="24"/>
                    <w:szCs w:val="24"/>
                  </w:rPr>
                </w:pPr>
                <w:r>
                  <w:t>德源弘企业管理顾问咨询（上海）有限公司</w:t>
                </w:r>
              </w:p>
            </w:tc>
            <w:tc>
              <w:tcPr>
                <w:tcW w:w="1596" w:type="dxa"/>
                <w:vAlign w:val="center"/>
              </w:tcPr>
              <w:p w14:paraId="07E2818F">
                <w:pPr>
                  <w:pStyle w:val="48"/>
                </w:pPr>
                <w:r>
                  <w:rPr>
                    <w:rFonts w:hint="eastAsia"/>
                  </w:rPr>
                  <w:t>监事</w:t>
                </w:r>
              </w:p>
            </w:tc>
            <w:tc>
              <w:tcPr>
                <w:tcW w:w="1526" w:type="dxa"/>
                <w:vAlign w:val="center"/>
              </w:tcPr>
              <w:p w14:paraId="19180CA8">
                <w:pPr>
                  <w:pStyle w:val="48"/>
                </w:pPr>
                <w:r>
                  <w:t>2022-06-21</w:t>
                </w:r>
              </w:p>
            </w:tc>
            <w:tc>
              <w:tcPr>
                <w:tcW w:w="1536" w:type="dxa"/>
                <w:vAlign w:val="center"/>
              </w:tcPr>
              <w:p w14:paraId="1292E335">
                <w:pPr>
                  <w:pStyle w:val="48"/>
                </w:pPr>
              </w:p>
            </w:tc>
          </w:tr>
          <w:tr w14:paraId="5CE6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300D7E3D">
                <w:pPr>
                  <w:pStyle w:val="48"/>
                </w:pPr>
              </w:p>
            </w:tc>
            <w:tc>
              <w:tcPr>
                <w:tcW w:w="2835" w:type="dxa"/>
                <w:vAlign w:val="center"/>
              </w:tcPr>
              <w:p w14:paraId="19DE93E5">
                <w:pPr>
                  <w:pStyle w:val="48"/>
                </w:pPr>
                <w:r>
                  <w:t>珠海德弘投资有限公司</w:t>
                </w:r>
              </w:p>
            </w:tc>
            <w:tc>
              <w:tcPr>
                <w:tcW w:w="1596" w:type="dxa"/>
                <w:vAlign w:val="center"/>
              </w:tcPr>
              <w:p w14:paraId="7B366480">
                <w:pPr>
                  <w:pStyle w:val="48"/>
                </w:pPr>
                <w:r>
                  <w:t>董事</w:t>
                </w:r>
              </w:p>
            </w:tc>
            <w:tc>
              <w:tcPr>
                <w:tcW w:w="1526" w:type="dxa"/>
                <w:vAlign w:val="center"/>
              </w:tcPr>
              <w:p w14:paraId="13F3E521">
                <w:pPr>
                  <w:pStyle w:val="48"/>
                </w:pPr>
                <w:r>
                  <w:t>2022-08-25</w:t>
                </w:r>
              </w:p>
            </w:tc>
            <w:tc>
              <w:tcPr>
                <w:tcW w:w="1536" w:type="dxa"/>
                <w:vAlign w:val="center"/>
              </w:tcPr>
              <w:p w14:paraId="2D3F1DF7">
                <w:pPr>
                  <w:pStyle w:val="48"/>
                </w:pPr>
              </w:p>
            </w:tc>
          </w:tr>
          <w:tr w14:paraId="2C52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35167F91">
                <w:pPr>
                  <w:pStyle w:val="48"/>
                </w:pPr>
              </w:p>
            </w:tc>
            <w:tc>
              <w:tcPr>
                <w:tcW w:w="2835" w:type="dxa"/>
                <w:vAlign w:val="center"/>
              </w:tcPr>
              <w:p w14:paraId="2BAE7E11">
                <w:pPr>
                  <w:pStyle w:val="48"/>
                </w:pPr>
                <w:r>
                  <w:t>上海美华沃德医疗管理（集团）有限公司</w:t>
                </w:r>
              </w:p>
            </w:tc>
            <w:tc>
              <w:tcPr>
                <w:tcW w:w="1596" w:type="dxa"/>
                <w:vAlign w:val="center"/>
              </w:tcPr>
              <w:p w14:paraId="049E8086">
                <w:pPr>
                  <w:pStyle w:val="48"/>
                </w:pPr>
                <w:r>
                  <w:t>董事兼总经理</w:t>
                </w:r>
              </w:p>
            </w:tc>
            <w:tc>
              <w:tcPr>
                <w:tcW w:w="1526" w:type="dxa"/>
                <w:vAlign w:val="center"/>
              </w:tcPr>
              <w:p w14:paraId="7FCA72F4">
                <w:pPr>
                  <w:pStyle w:val="48"/>
                </w:pPr>
                <w:r>
                  <w:t>2022-11-04</w:t>
                </w:r>
              </w:p>
            </w:tc>
            <w:tc>
              <w:tcPr>
                <w:tcW w:w="1536" w:type="dxa"/>
                <w:vAlign w:val="center"/>
              </w:tcPr>
              <w:p w14:paraId="4371F374">
                <w:pPr>
                  <w:pStyle w:val="48"/>
                </w:pPr>
              </w:p>
            </w:tc>
          </w:tr>
          <w:tr w14:paraId="521A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54E68769">
                <w:pPr>
                  <w:pStyle w:val="48"/>
                </w:pPr>
              </w:p>
            </w:tc>
            <w:tc>
              <w:tcPr>
                <w:tcW w:w="2835" w:type="dxa"/>
                <w:vAlign w:val="center"/>
              </w:tcPr>
              <w:p w14:paraId="78706BEC">
                <w:pPr>
                  <w:pStyle w:val="48"/>
                </w:pPr>
                <w:r>
                  <w:t>嘉兴德睦弘私募基金管理有限公司</w:t>
                </w:r>
              </w:p>
            </w:tc>
            <w:tc>
              <w:tcPr>
                <w:tcW w:w="1596" w:type="dxa"/>
                <w:vAlign w:val="center"/>
              </w:tcPr>
              <w:p w14:paraId="6F1FA7C7">
                <w:pPr>
                  <w:pStyle w:val="48"/>
                </w:pPr>
                <w:r>
                  <w:t>董事</w:t>
                </w:r>
              </w:p>
            </w:tc>
            <w:tc>
              <w:tcPr>
                <w:tcW w:w="1526" w:type="dxa"/>
                <w:vAlign w:val="center"/>
              </w:tcPr>
              <w:p w14:paraId="3F726376">
                <w:pPr>
                  <w:pStyle w:val="48"/>
                </w:pPr>
                <w:r>
                  <w:t>2022-12-23</w:t>
                </w:r>
              </w:p>
            </w:tc>
            <w:tc>
              <w:tcPr>
                <w:tcW w:w="1536" w:type="dxa"/>
                <w:vAlign w:val="center"/>
              </w:tcPr>
              <w:p w14:paraId="373E48E4">
                <w:pPr>
                  <w:pStyle w:val="48"/>
                </w:pPr>
              </w:p>
            </w:tc>
          </w:tr>
          <w:tr w14:paraId="2EC9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5B3754F0">
                <w:pPr>
                  <w:pStyle w:val="48"/>
                </w:pPr>
              </w:p>
            </w:tc>
            <w:tc>
              <w:tcPr>
                <w:tcW w:w="2835" w:type="dxa"/>
                <w:vAlign w:val="center"/>
              </w:tcPr>
              <w:p w14:paraId="03B0A58D">
                <w:pPr>
                  <w:pStyle w:val="48"/>
                </w:pPr>
                <w:r>
                  <w:t>杭州贝瑞斯美华妇儿医院有限公司</w:t>
                </w:r>
              </w:p>
            </w:tc>
            <w:tc>
              <w:tcPr>
                <w:tcW w:w="1596" w:type="dxa"/>
                <w:vAlign w:val="center"/>
              </w:tcPr>
              <w:p w14:paraId="0144A294">
                <w:pPr>
                  <w:pStyle w:val="48"/>
                </w:pPr>
                <w:r>
                  <w:t>董事</w:t>
                </w:r>
              </w:p>
            </w:tc>
            <w:tc>
              <w:tcPr>
                <w:tcW w:w="1526" w:type="dxa"/>
                <w:vAlign w:val="center"/>
              </w:tcPr>
              <w:p w14:paraId="3ED4AFDE">
                <w:pPr>
                  <w:pStyle w:val="48"/>
                </w:pPr>
                <w:r>
                  <w:t>2023-06-05</w:t>
                </w:r>
              </w:p>
            </w:tc>
            <w:tc>
              <w:tcPr>
                <w:tcW w:w="1536" w:type="dxa"/>
                <w:vAlign w:val="center"/>
              </w:tcPr>
              <w:p w14:paraId="5227831C">
                <w:pPr>
                  <w:pStyle w:val="48"/>
                </w:pPr>
              </w:p>
            </w:tc>
          </w:tr>
          <w:tr w14:paraId="433B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417A49F6">
                <w:pPr>
                  <w:pStyle w:val="48"/>
                </w:pPr>
              </w:p>
            </w:tc>
            <w:tc>
              <w:tcPr>
                <w:tcW w:w="2835" w:type="dxa"/>
                <w:vAlign w:val="center"/>
              </w:tcPr>
              <w:p w14:paraId="612237C9">
                <w:pPr>
                  <w:pStyle w:val="48"/>
                </w:pPr>
                <w:r>
                  <w:t>上海美华丁香门诊部有限公司</w:t>
                </w:r>
              </w:p>
            </w:tc>
            <w:tc>
              <w:tcPr>
                <w:tcW w:w="1596" w:type="dxa"/>
                <w:vAlign w:val="center"/>
              </w:tcPr>
              <w:p w14:paraId="6AC426EA">
                <w:pPr>
                  <w:pStyle w:val="48"/>
                </w:pPr>
                <w:r>
                  <w:t>执行董事</w:t>
                </w:r>
              </w:p>
            </w:tc>
            <w:tc>
              <w:tcPr>
                <w:tcW w:w="1526" w:type="dxa"/>
                <w:vAlign w:val="center"/>
              </w:tcPr>
              <w:p w14:paraId="69FC5C2D">
                <w:pPr>
                  <w:pStyle w:val="48"/>
                </w:pPr>
                <w:r>
                  <w:t>2023-08-09</w:t>
                </w:r>
              </w:p>
            </w:tc>
            <w:tc>
              <w:tcPr>
                <w:tcW w:w="1536" w:type="dxa"/>
                <w:vAlign w:val="center"/>
              </w:tcPr>
              <w:p w14:paraId="25A84730">
                <w:pPr>
                  <w:pStyle w:val="48"/>
                </w:pPr>
              </w:p>
            </w:tc>
          </w:tr>
          <w:tr w14:paraId="4DBE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040C683D">
                <w:pPr>
                  <w:pStyle w:val="48"/>
                </w:pPr>
              </w:p>
            </w:tc>
            <w:tc>
              <w:tcPr>
                <w:tcW w:w="2835" w:type="dxa"/>
                <w:vAlign w:val="center"/>
              </w:tcPr>
              <w:p w14:paraId="09F7D5E0">
                <w:pPr>
                  <w:pStyle w:val="48"/>
                </w:pPr>
                <w:r>
                  <w:t>苏州安弘投资管理有限公司</w:t>
                </w:r>
              </w:p>
            </w:tc>
            <w:tc>
              <w:tcPr>
                <w:tcW w:w="1596" w:type="dxa"/>
                <w:vAlign w:val="center"/>
              </w:tcPr>
              <w:p w14:paraId="1CB18E11">
                <w:pPr>
                  <w:pStyle w:val="48"/>
                </w:pPr>
                <w:r>
                  <w:t>董事</w:t>
                </w:r>
              </w:p>
            </w:tc>
            <w:tc>
              <w:tcPr>
                <w:tcW w:w="1526" w:type="dxa"/>
                <w:vAlign w:val="center"/>
              </w:tcPr>
              <w:p w14:paraId="5B8FD005">
                <w:pPr>
                  <w:pStyle w:val="48"/>
                </w:pPr>
                <w:r>
                  <w:t>2024-08-30</w:t>
                </w:r>
              </w:p>
            </w:tc>
            <w:tc>
              <w:tcPr>
                <w:tcW w:w="1536" w:type="dxa"/>
                <w:vAlign w:val="center"/>
              </w:tcPr>
              <w:p w14:paraId="58CF5A1D">
                <w:pPr>
                  <w:pStyle w:val="48"/>
                </w:pPr>
              </w:p>
            </w:tc>
          </w:tr>
          <w:tr w14:paraId="45CF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75F81D67">
                <w:pPr>
                  <w:pStyle w:val="48"/>
                </w:pPr>
              </w:p>
            </w:tc>
            <w:tc>
              <w:tcPr>
                <w:tcW w:w="2835" w:type="dxa"/>
                <w:vAlign w:val="center"/>
              </w:tcPr>
              <w:p w14:paraId="79E46059">
                <w:pPr>
                  <w:pStyle w:val="48"/>
                </w:pPr>
                <w:r>
                  <w:t>上海美沃大蕴医疗咨询服务有限公司</w:t>
                </w:r>
              </w:p>
            </w:tc>
            <w:tc>
              <w:tcPr>
                <w:tcW w:w="1596" w:type="dxa"/>
                <w:vAlign w:val="center"/>
              </w:tcPr>
              <w:p w14:paraId="749AA0ED">
                <w:pPr>
                  <w:pStyle w:val="48"/>
                </w:pPr>
                <w:r>
                  <w:t>董事</w:t>
                </w:r>
              </w:p>
            </w:tc>
            <w:tc>
              <w:tcPr>
                <w:tcW w:w="1526" w:type="dxa"/>
                <w:vAlign w:val="center"/>
              </w:tcPr>
              <w:p w14:paraId="467AE973">
                <w:pPr>
                  <w:pStyle w:val="48"/>
                </w:pPr>
                <w:r>
                  <w:t>2024-11-14</w:t>
                </w:r>
              </w:p>
            </w:tc>
            <w:tc>
              <w:tcPr>
                <w:tcW w:w="1536" w:type="dxa"/>
                <w:vAlign w:val="center"/>
              </w:tcPr>
              <w:p w14:paraId="720AFDBF">
                <w:pPr>
                  <w:pStyle w:val="48"/>
                </w:pPr>
              </w:p>
            </w:tc>
          </w:tr>
          <w:tr w14:paraId="45FD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1CFB2645">
                <w:pPr>
                  <w:pStyle w:val="48"/>
                </w:pPr>
              </w:p>
            </w:tc>
            <w:tc>
              <w:tcPr>
                <w:tcW w:w="2835" w:type="dxa"/>
                <w:vAlign w:val="center"/>
              </w:tcPr>
              <w:p w14:paraId="52C90D94">
                <w:pPr>
                  <w:pStyle w:val="48"/>
                </w:pPr>
                <w:r>
                  <w:t>上海孚乐顿医疗管理有限公司</w:t>
                </w:r>
              </w:p>
            </w:tc>
            <w:tc>
              <w:tcPr>
                <w:tcW w:w="1596" w:type="dxa"/>
                <w:vAlign w:val="center"/>
              </w:tcPr>
              <w:p w14:paraId="0C6F5F9F">
                <w:pPr>
                  <w:pStyle w:val="48"/>
                </w:pPr>
                <w:r>
                  <w:t>董事</w:t>
                </w:r>
              </w:p>
            </w:tc>
            <w:tc>
              <w:tcPr>
                <w:tcW w:w="1526" w:type="dxa"/>
                <w:vAlign w:val="center"/>
              </w:tcPr>
              <w:p w14:paraId="417E0B13">
                <w:pPr>
                  <w:pStyle w:val="48"/>
                </w:pPr>
                <w:r>
                  <w:t>2025-01-03</w:t>
                </w:r>
              </w:p>
            </w:tc>
            <w:tc>
              <w:tcPr>
                <w:tcW w:w="1536" w:type="dxa"/>
                <w:vAlign w:val="center"/>
              </w:tcPr>
              <w:p w14:paraId="7E2552EA">
                <w:pPr>
                  <w:pStyle w:val="48"/>
                </w:pPr>
              </w:p>
            </w:tc>
          </w:tr>
          <w:tr w14:paraId="7028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5CBD0F83">
                <w:pPr>
                  <w:pStyle w:val="48"/>
                </w:pPr>
              </w:p>
            </w:tc>
            <w:tc>
              <w:tcPr>
                <w:tcW w:w="2835" w:type="dxa"/>
                <w:vAlign w:val="center"/>
              </w:tcPr>
              <w:p w14:paraId="4A0207B8">
                <w:pPr>
                  <w:pStyle w:val="48"/>
                </w:pPr>
                <w:r>
                  <w:t>上海乐静门诊部有限公司</w:t>
                </w:r>
              </w:p>
            </w:tc>
            <w:tc>
              <w:tcPr>
                <w:tcW w:w="1596" w:type="dxa"/>
                <w:vAlign w:val="center"/>
              </w:tcPr>
              <w:p w14:paraId="2DACC919">
                <w:pPr>
                  <w:pStyle w:val="48"/>
                </w:pPr>
                <w:r>
                  <w:t>董事</w:t>
                </w:r>
              </w:p>
            </w:tc>
            <w:tc>
              <w:tcPr>
                <w:tcW w:w="1526" w:type="dxa"/>
                <w:vAlign w:val="center"/>
              </w:tcPr>
              <w:p w14:paraId="7F274B63">
                <w:pPr>
                  <w:pStyle w:val="48"/>
                </w:pPr>
                <w:r>
                  <w:t>2025-01-22</w:t>
                </w:r>
              </w:p>
            </w:tc>
            <w:tc>
              <w:tcPr>
                <w:tcW w:w="1536" w:type="dxa"/>
                <w:vAlign w:val="center"/>
              </w:tcPr>
              <w:p w14:paraId="72ABBD6F">
                <w:pPr>
                  <w:pStyle w:val="48"/>
                </w:pPr>
              </w:p>
            </w:tc>
          </w:tr>
          <w:tr w14:paraId="7E09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Align w:val="center"/>
              </w:tcPr>
              <w:p w14:paraId="6605A457">
                <w:pPr>
                  <w:pStyle w:val="48"/>
                </w:pPr>
                <w:r>
                  <w:t>毕焱</w:t>
                </w:r>
              </w:p>
            </w:tc>
            <w:tc>
              <w:tcPr>
                <w:tcW w:w="2835" w:type="dxa"/>
                <w:vAlign w:val="center"/>
              </w:tcPr>
              <w:p w14:paraId="521ED41C">
                <w:pPr>
                  <w:pStyle w:val="48"/>
                </w:pPr>
                <w:r>
                  <w:t>吉林新元会计师事务所有限责任公司</w:t>
                </w:r>
              </w:p>
            </w:tc>
            <w:tc>
              <w:tcPr>
                <w:tcW w:w="1596" w:type="dxa"/>
                <w:vAlign w:val="center"/>
              </w:tcPr>
              <w:p w14:paraId="68CA574E">
                <w:pPr>
                  <w:pStyle w:val="48"/>
                </w:pPr>
                <w:r>
                  <w:t>主任会计师</w:t>
                </w:r>
              </w:p>
            </w:tc>
            <w:tc>
              <w:tcPr>
                <w:tcW w:w="1526" w:type="dxa"/>
                <w:vAlign w:val="center"/>
              </w:tcPr>
              <w:p w14:paraId="1BC1D94B">
                <w:pPr>
                  <w:pStyle w:val="48"/>
                </w:pPr>
                <w:r>
                  <w:t>2006-02-08</w:t>
                </w:r>
              </w:p>
            </w:tc>
            <w:tc>
              <w:tcPr>
                <w:tcW w:w="1536" w:type="dxa"/>
                <w:vAlign w:val="center"/>
              </w:tcPr>
              <w:p w14:paraId="62C20B0F">
                <w:pPr>
                  <w:pStyle w:val="48"/>
                </w:pPr>
              </w:p>
            </w:tc>
          </w:tr>
          <w:tr w14:paraId="69A8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Align w:val="center"/>
              </w:tcPr>
              <w:p w14:paraId="134E1B7D">
                <w:pPr>
                  <w:pStyle w:val="48"/>
                </w:pPr>
                <w:r>
                  <w:t>徐岱</w:t>
                </w:r>
              </w:p>
            </w:tc>
            <w:tc>
              <w:tcPr>
                <w:tcW w:w="2835" w:type="dxa"/>
                <w:vAlign w:val="center"/>
              </w:tcPr>
              <w:p w14:paraId="40F7DB15">
                <w:pPr>
                  <w:pStyle w:val="48"/>
                </w:pPr>
                <w:r>
                  <w:t>吉林大学法学院</w:t>
                </w:r>
              </w:p>
            </w:tc>
            <w:tc>
              <w:tcPr>
                <w:tcW w:w="1596" w:type="dxa"/>
                <w:vAlign w:val="center"/>
              </w:tcPr>
              <w:p w14:paraId="574A809C">
                <w:pPr>
                  <w:pStyle w:val="48"/>
                </w:pPr>
                <w:r>
                  <w:t>教授</w:t>
                </w:r>
                <w:r>
                  <w:rPr>
                    <w:rFonts w:hint="eastAsia"/>
                  </w:rPr>
                  <w:t>、博士生导师</w:t>
                </w:r>
              </w:p>
            </w:tc>
            <w:tc>
              <w:tcPr>
                <w:tcW w:w="1526" w:type="dxa"/>
                <w:vAlign w:val="center"/>
              </w:tcPr>
              <w:p w14:paraId="33EBAA16">
                <w:pPr>
                  <w:pStyle w:val="48"/>
                </w:pPr>
                <w:r>
                  <w:t>2011-01-01</w:t>
                </w:r>
              </w:p>
            </w:tc>
            <w:tc>
              <w:tcPr>
                <w:tcW w:w="1536" w:type="dxa"/>
                <w:vAlign w:val="center"/>
              </w:tcPr>
              <w:p w14:paraId="4A6621F7">
                <w:pPr>
                  <w:pStyle w:val="48"/>
                </w:pPr>
              </w:p>
            </w:tc>
          </w:tr>
          <w:tr w14:paraId="0114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Align w:val="center"/>
              </w:tcPr>
              <w:p w14:paraId="69554D21">
                <w:pPr>
                  <w:pStyle w:val="48"/>
                </w:pPr>
                <w:r>
                  <w:t>徐力</w:t>
                </w:r>
              </w:p>
            </w:tc>
            <w:tc>
              <w:tcPr>
                <w:tcW w:w="2835" w:type="dxa"/>
                <w:vAlign w:val="center"/>
              </w:tcPr>
              <w:p w14:paraId="51A6D63D">
                <w:pPr>
                  <w:pStyle w:val="48"/>
                </w:pPr>
                <w:r>
                  <w:t>吉林大学生命科学学院</w:t>
                </w:r>
              </w:p>
            </w:tc>
            <w:tc>
              <w:tcPr>
                <w:tcW w:w="1596" w:type="dxa"/>
                <w:vAlign w:val="center"/>
              </w:tcPr>
              <w:p w14:paraId="3B3E1A56">
                <w:pPr>
                  <w:pStyle w:val="48"/>
                </w:pPr>
                <w:r>
                  <w:t>教授</w:t>
                </w:r>
              </w:p>
            </w:tc>
            <w:tc>
              <w:tcPr>
                <w:tcW w:w="1526" w:type="dxa"/>
                <w:vAlign w:val="center"/>
              </w:tcPr>
              <w:p w14:paraId="7C278965">
                <w:pPr>
                  <w:pStyle w:val="48"/>
                </w:pPr>
                <w:r>
                  <w:t>2006-01-01</w:t>
                </w:r>
              </w:p>
            </w:tc>
            <w:tc>
              <w:tcPr>
                <w:tcW w:w="1536" w:type="dxa"/>
                <w:vAlign w:val="center"/>
              </w:tcPr>
              <w:p w14:paraId="66691044">
                <w:pPr>
                  <w:pStyle w:val="48"/>
                </w:pPr>
              </w:p>
            </w:tc>
          </w:tr>
          <w:tr w14:paraId="1EC4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restart"/>
                <w:vAlign w:val="center"/>
              </w:tcPr>
              <w:p w14:paraId="09584216">
                <w:pPr>
                  <w:pStyle w:val="48"/>
                </w:pPr>
                <w:r>
                  <w:rPr>
                    <w:rFonts w:hint="eastAsia"/>
                  </w:rPr>
                  <w:t>迟军玉</w:t>
                </w:r>
              </w:p>
            </w:tc>
            <w:tc>
              <w:tcPr>
                <w:tcW w:w="2835" w:type="dxa"/>
                <w:vAlign w:val="center"/>
              </w:tcPr>
              <w:p w14:paraId="04D5204A">
                <w:pPr>
                  <w:widowControl w:val="0"/>
                  <w:jc w:val="both"/>
                  <w:rPr>
                    <w:sz w:val="24"/>
                    <w:szCs w:val="24"/>
                  </w:rPr>
                </w:pPr>
                <w:r>
                  <w:t>上海隆棵药业有限公司</w:t>
                </w:r>
              </w:p>
            </w:tc>
            <w:tc>
              <w:tcPr>
                <w:tcW w:w="1596" w:type="dxa"/>
                <w:vAlign w:val="center"/>
              </w:tcPr>
              <w:p w14:paraId="3BEBDFAF">
                <w:pPr>
                  <w:pStyle w:val="48"/>
                </w:pPr>
                <w:r>
                  <w:t>财务负责人</w:t>
                </w:r>
              </w:p>
            </w:tc>
            <w:tc>
              <w:tcPr>
                <w:tcW w:w="1526" w:type="dxa"/>
                <w:vAlign w:val="center"/>
              </w:tcPr>
              <w:p w14:paraId="5D5B497D">
                <w:pPr>
                  <w:pStyle w:val="48"/>
                </w:pPr>
                <w:r>
                  <w:t>2024-08-22</w:t>
                </w:r>
              </w:p>
            </w:tc>
            <w:tc>
              <w:tcPr>
                <w:tcW w:w="1536" w:type="dxa"/>
                <w:vAlign w:val="center"/>
              </w:tcPr>
              <w:p w14:paraId="15A7437D">
                <w:pPr>
                  <w:pStyle w:val="48"/>
                </w:pPr>
              </w:p>
            </w:tc>
          </w:tr>
          <w:tr w14:paraId="17D3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1C7C7A4E">
                <w:pPr>
                  <w:pStyle w:val="48"/>
                </w:pPr>
              </w:p>
            </w:tc>
            <w:tc>
              <w:tcPr>
                <w:tcW w:w="2835" w:type="dxa"/>
                <w:vAlign w:val="center"/>
              </w:tcPr>
              <w:p w14:paraId="7EAD04FD">
                <w:pPr>
                  <w:pStyle w:val="48"/>
                </w:pPr>
                <w:r>
                  <w:rPr>
                    <w:rFonts w:hint="eastAsia"/>
                  </w:rPr>
                  <w:t>通化东宝环保建材股份有限公司</w:t>
                </w:r>
              </w:p>
            </w:tc>
            <w:tc>
              <w:tcPr>
                <w:tcW w:w="1596" w:type="dxa"/>
                <w:vAlign w:val="center"/>
              </w:tcPr>
              <w:p w14:paraId="41010903">
                <w:pPr>
                  <w:pStyle w:val="48"/>
                </w:pPr>
                <w:r>
                  <w:rPr>
                    <w:rFonts w:hint="eastAsia"/>
                  </w:rPr>
                  <w:t>监事长</w:t>
                </w:r>
              </w:p>
            </w:tc>
            <w:tc>
              <w:tcPr>
                <w:tcW w:w="1526" w:type="dxa"/>
                <w:vAlign w:val="center"/>
              </w:tcPr>
              <w:p w14:paraId="6FDCD99C">
                <w:pPr>
                  <w:pStyle w:val="48"/>
                </w:pPr>
                <w:r>
                  <w:t>2022-12-15</w:t>
                </w:r>
              </w:p>
            </w:tc>
            <w:tc>
              <w:tcPr>
                <w:tcW w:w="1536" w:type="dxa"/>
                <w:vAlign w:val="center"/>
              </w:tcPr>
              <w:p w14:paraId="7652D3A7">
                <w:pPr>
                  <w:pStyle w:val="48"/>
                </w:pPr>
              </w:p>
            </w:tc>
          </w:tr>
          <w:tr w14:paraId="542B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1EC15DDC">
                <w:pPr>
                  <w:pStyle w:val="48"/>
                </w:pPr>
              </w:p>
            </w:tc>
            <w:tc>
              <w:tcPr>
                <w:tcW w:w="2835" w:type="dxa"/>
                <w:vAlign w:val="center"/>
              </w:tcPr>
              <w:p w14:paraId="52A1951E">
                <w:pPr>
                  <w:pStyle w:val="48"/>
                </w:pPr>
                <w:r>
                  <w:rPr>
                    <w:rFonts w:hint="eastAsia"/>
                  </w:rPr>
                  <w:t>北京东宝生物技术有限公司</w:t>
                </w:r>
              </w:p>
            </w:tc>
            <w:tc>
              <w:tcPr>
                <w:tcW w:w="1596" w:type="dxa"/>
                <w:vAlign w:val="center"/>
              </w:tcPr>
              <w:p w14:paraId="0C5DBECE">
                <w:pPr>
                  <w:pStyle w:val="48"/>
                </w:pPr>
                <w:r>
                  <w:rPr>
                    <w:rFonts w:hint="eastAsia"/>
                  </w:rPr>
                  <w:t>财务负责人</w:t>
                </w:r>
              </w:p>
            </w:tc>
            <w:tc>
              <w:tcPr>
                <w:tcW w:w="1526" w:type="dxa"/>
                <w:vAlign w:val="center"/>
              </w:tcPr>
              <w:p w14:paraId="42DD2576">
                <w:pPr>
                  <w:pStyle w:val="48"/>
                </w:pPr>
                <w:r>
                  <w:t>2025-09-08</w:t>
                </w:r>
              </w:p>
            </w:tc>
            <w:tc>
              <w:tcPr>
                <w:tcW w:w="1536" w:type="dxa"/>
                <w:vAlign w:val="center"/>
              </w:tcPr>
              <w:p w14:paraId="25CE3B4D">
                <w:pPr>
                  <w:pStyle w:val="48"/>
                </w:pPr>
              </w:p>
            </w:tc>
          </w:tr>
          <w:tr w14:paraId="7F2B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67F4CE4C">
                <w:pPr>
                  <w:pStyle w:val="48"/>
                </w:pPr>
              </w:p>
            </w:tc>
            <w:tc>
              <w:tcPr>
                <w:tcW w:w="2835" w:type="dxa"/>
                <w:vAlign w:val="center"/>
              </w:tcPr>
              <w:p w14:paraId="02F61EF6">
                <w:pPr>
                  <w:pStyle w:val="48"/>
                </w:pPr>
                <w:r>
                  <w:rPr>
                    <w:rFonts w:hint="eastAsia"/>
                  </w:rPr>
                  <w:t>东宝医药（海南）有限公司</w:t>
                </w:r>
              </w:p>
            </w:tc>
            <w:tc>
              <w:tcPr>
                <w:tcW w:w="1596" w:type="dxa"/>
                <w:vAlign w:val="center"/>
              </w:tcPr>
              <w:p w14:paraId="414579AA">
                <w:pPr>
                  <w:pStyle w:val="48"/>
                </w:pPr>
                <w:r>
                  <w:rPr>
                    <w:rFonts w:hint="eastAsia"/>
                  </w:rPr>
                  <w:t>董事、经理、财务负责人</w:t>
                </w:r>
              </w:p>
            </w:tc>
            <w:tc>
              <w:tcPr>
                <w:tcW w:w="1526" w:type="dxa"/>
                <w:vAlign w:val="center"/>
              </w:tcPr>
              <w:p w14:paraId="049144B9">
                <w:pPr>
                  <w:pStyle w:val="48"/>
                </w:pPr>
                <w:r>
                  <w:t>2025-12-26</w:t>
                </w:r>
              </w:p>
            </w:tc>
            <w:tc>
              <w:tcPr>
                <w:tcW w:w="1536" w:type="dxa"/>
                <w:vAlign w:val="center"/>
              </w:tcPr>
              <w:p w14:paraId="390572D2">
                <w:pPr>
                  <w:pStyle w:val="48"/>
                </w:pPr>
              </w:p>
            </w:tc>
          </w:tr>
          <w:tr w14:paraId="7E36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restart"/>
                <w:vAlign w:val="center"/>
              </w:tcPr>
              <w:p w14:paraId="56AAB69A">
                <w:pPr>
                  <w:pStyle w:val="48"/>
                </w:pPr>
                <w:r>
                  <w:rPr>
                    <w:rFonts w:hint="eastAsia"/>
                  </w:rPr>
                  <w:t>范朴</w:t>
                </w:r>
              </w:p>
            </w:tc>
            <w:tc>
              <w:tcPr>
                <w:tcW w:w="2835" w:type="dxa"/>
                <w:vAlign w:val="center"/>
              </w:tcPr>
              <w:p w14:paraId="2767E300">
                <w:pPr>
                  <w:pStyle w:val="48"/>
                </w:pPr>
                <w:r>
                  <w:t>天津润鑫企业管理有限公司</w:t>
                </w:r>
              </w:p>
            </w:tc>
            <w:tc>
              <w:tcPr>
                <w:tcW w:w="1596" w:type="dxa"/>
                <w:vAlign w:val="center"/>
              </w:tcPr>
              <w:p w14:paraId="31D09AA6">
                <w:pPr>
                  <w:pStyle w:val="48"/>
                </w:pPr>
                <w:r>
                  <w:t>执行董事、经理</w:t>
                </w:r>
              </w:p>
            </w:tc>
            <w:tc>
              <w:tcPr>
                <w:tcW w:w="1526" w:type="dxa"/>
                <w:vAlign w:val="center"/>
              </w:tcPr>
              <w:p w14:paraId="5C514E72">
                <w:pPr>
                  <w:pStyle w:val="48"/>
                </w:pPr>
                <w:r>
                  <w:t>2021-06-04</w:t>
                </w:r>
              </w:p>
            </w:tc>
            <w:tc>
              <w:tcPr>
                <w:tcW w:w="1536" w:type="dxa"/>
                <w:vAlign w:val="center"/>
              </w:tcPr>
              <w:p w14:paraId="36BD0B3D">
                <w:pPr>
                  <w:pStyle w:val="48"/>
                </w:pPr>
              </w:p>
            </w:tc>
          </w:tr>
          <w:tr w14:paraId="571B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3646083F">
                <w:pPr>
                  <w:pStyle w:val="48"/>
                </w:pPr>
              </w:p>
            </w:tc>
            <w:tc>
              <w:tcPr>
                <w:tcW w:w="2835" w:type="dxa"/>
                <w:vAlign w:val="center"/>
              </w:tcPr>
              <w:p w14:paraId="20F4060E">
                <w:pPr>
                  <w:pStyle w:val="48"/>
                </w:pPr>
                <w:r>
                  <w:t>本元正阳基因技术有限公司</w:t>
                </w:r>
              </w:p>
            </w:tc>
            <w:tc>
              <w:tcPr>
                <w:tcW w:w="1596" w:type="dxa"/>
                <w:vAlign w:val="center"/>
              </w:tcPr>
              <w:p w14:paraId="43DCE636">
                <w:pPr>
                  <w:pStyle w:val="48"/>
                </w:pPr>
                <w:r>
                  <w:t>董事长</w:t>
                </w:r>
              </w:p>
            </w:tc>
            <w:tc>
              <w:tcPr>
                <w:tcW w:w="1526" w:type="dxa"/>
                <w:vAlign w:val="center"/>
              </w:tcPr>
              <w:p w14:paraId="19D9D312">
                <w:pPr>
                  <w:pStyle w:val="48"/>
                </w:pPr>
                <w:r>
                  <w:t>2020-12-02</w:t>
                </w:r>
              </w:p>
            </w:tc>
            <w:tc>
              <w:tcPr>
                <w:tcW w:w="1536" w:type="dxa"/>
                <w:vAlign w:val="center"/>
              </w:tcPr>
              <w:p w14:paraId="5FE0E1FD">
                <w:pPr>
                  <w:pStyle w:val="48"/>
                </w:pPr>
              </w:p>
            </w:tc>
          </w:tr>
          <w:tr w14:paraId="3EDA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757FCBCA">
                <w:pPr>
                  <w:pStyle w:val="48"/>
                </w:pPr>
              </w:p>
            </w:tc>
            <w:tc>
              <w:tcPr>
                <w:tcW w:w="2835" w:type="dxa"/>
                <w:vAlign w:val="center"/>
              </w:tcPr>
              <w:p w14:paraId="28481A70">
                <w:pPr>
                  <w:pStyle w:val="48"/>
                </w:pPr>
                <w:r>
                  <w:t>华广生技股份有限公司</w:t>
                </w:r>
              </w:p>
            </w:tc>
            <w:tc>
              <w:tcPr>
                <w:tcW w:w="1596" w:type="dxa"/>
                <w:vAlign w:val="center"/>
              </w:tcPr>
              <w:p w14:paraId="41D41310">
                <w:pPr>
                  <w:pStyle w:val="48"/>
                </w:pPr>
                <w:r>
                  <w:t>董事</w:t>
                </w:r>
              </w:p>
            </w:tc>
            <w:tc>
              <w:tcPr>
                <w:tcW w:w="1526" w:type="dxa"/>
                <w:vAlign w:val="center"/>
              </w:tcPr>
              <w:p w14:paraId="3A2E6662">
                <w:pPr>
                  <w:pStyle w:val="48"/>
                </w:pPr>
                <w:r>
                  <w:t>2026-02-09</w:t>
                </w:r>
              </w:p>
            </w:tc>
            <w:tc>
              <w:tcPr>
                <w:tcW w:w="1536" w:type="dxa"/>
                <w:vAlign w:val="center"/>
              </w:tcPr>
              <w:p w14:paraId="2495A053">
                <w:pPr>
                  <w:pStyle w:val="48"/>
                </w:pPr>
              </w:p>
            </w:tc>
          </w:tr>
          <w:tr w14:paraId="77CF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130BCEDA">
                <w:pPr>
                  <w:pStyle w:val="48"/>
                </w:pPr>
              </w:p>
            </w:tc>
            <w:tc>
              <w:tcPr>
                <w:tcW w:w="2835" w:type="dxa"/>
                <w:vAlign w:val="center"/>
              </w:tcPr>
              <w:p w14:paraId="5219C354">
                <w:pPr>
                  <w:pStyle w:val="48"/>
                </w:pPr>
                <w:r>
                  <w:rPr>
                    <w:rFonts w:hint="eastAsia"/>
                  </w:rPr>
                  <w:t>东宝国际（香港）有限公司</w:t>
                </w:r>
              </w:p>
            </w:tc>
            <w:tc>
              <w:tcPr>
                <w:tcW w:w="1596" w:type="dxa"/>
                <w:vAlign w:val="center"/>
              </w:tcPr>
              <w:p w14:paraId="63DE27AB">
                <w:pPr>
                  <w:pStyle w:val="48"/>
                </w:pPr>
                <w:r>
                  <w:rPr>
                    <w:rFonts w:hint="eastAsia"/>
                  </w:rPr>
                  <w:t>董事</w:t>
                </w:r>
              </w:p>
            </w:tc>
            <w:tc>
              <w:tcPr>
                <w:tcW w:w="1526" w:type="dxa"/>
                <w:vAlign w:val="center"/>
              </w:tcPr>
              <w:p w14:paraId="01E36197">
                <w:pPr>
                  <w:pStyle w:val="48"/>
                </w:pPr>
                <w:r>
                  <w:rPr>
                    <w:rFonts w:hint="eastAsia"/>
                  </w:rPr>
                  <w:t>2</w:t>
                </w:r>
                <w:r>
                  <w:t>025-11-03</w:t>
                </w:r>
              </w:p>
            </w:tc>
            <w:tc>
              <w:tcPr>
                <w:tcW w:w="1536" w:type="dxa"/>
                <w:vAlign w:val="center"/>
              </w:tcPr>
              <w:p w14:paraId="5E665ABC">
                <w:pPr>
                  <w:pStyle w:val="48"/>
                </w:pPr>
              </w:p>
            </w:tc>
          </w:tr>
          <w:tr w14:paraId="3D2E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Merge w:val="continue"/>
                <w:vAlign w:val="center"/>
              </w:tcPr>
              <w:p w14:paraId="31E8DC36">
                <w:pPr>
                  <w:pStyle w:val="48"/>
                </w:pPr>
              </w:p>
            </w:tc>
            <w:tc>
              <w:tcPr>
                <w:tcW w:w="2835" w:type="dxa"/>
                <w:vAlign w:val="center"/>
              </w:tcPr>
              <w:p w14:paraId="0D4C7525">
                <w:pPr>
                  <w:pStyle w:val="48"/>
                </w:pPr>
                <w:r>
                  <w:rPr>
                    <w:rFonts w:hint="eastAsia"/>
                  </w:rPr>
                  <w:t>天津润和企业管理合伙企业(有限合伙)</w:t>
                </w:r>
              </w:p>
            </w:tc>
            <w:tc>
              <w:tcPr>
                <w:tcW w:w="1596" w:type="dxa"/>
                <w:vAlign w:val="center"/>
              </w:tcPr>
              <w:p w14:paraId="29E3D0B9">
                <w:pPr>
                  <w:pStyle w:val="48"/>
                </w:pPr>
                <w:r>
                  <w:rPr>
                    <w:rFonts w:hint="eastAsia"/>
                  </w:rPr>
                  <w:t>执行事务合伙人委派代表</w:t>
                </w:r>
              </w:p>
            </w:tc>
            <w:tc>
              <w:tcPr>
                <w:tcW w:w="1526" w:type="dxa"/>
                <w:vAlign w:val="center"/>
              </w:tcPr>
              <w:p w14:paraId="3DC23500">
                <w:pPr>
                  <w:pStyle w:val="48"/>
                </w:pPr>
                <w:r>
                  <w:t>2021-09-17</w:t>
                </w:r>
              </w:p>
            </w:tc>
            <w:tc>
              <w:tcPr>
                <w:tcW w:w="1536" w:type="dxa"/>
                <w:vAlign w:val="center"/>
              </w:tcPr>
              <w:p w14:paraId="36C2A4D8">
                <w:pPr>
                  <w:pStyle w:val="48"/>
                </w:pPr>
              </w:p>
            </w:tc>
          </w:tr>
          <w:tr w14:paraId="2065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555" w:type="dxa"/>
                <w:vAlign w:val="center"/>
              </w:tcPr>
              <w:p w14:paraId="7EFF08A8">
                <w:pPr>
                  <w:pStyle w:val="48"/>
                </w:pPr>
                <w:r>
                  <w:rPr>
                    <w:rFonts w:hint="eastAsia"/>
                  </w:rPr>
                  <w:t>关东亮</w:t>
                </w:r>
              </w:p>
            </w:tc>
            <w:tc>
              <w:tcPr>
                <w:tcW w:w="2835" w:type="dxa"/>
                <w:vAlign w:val="center"/>
              </w:tcPr>
              <w:p w14:paraId="11BC2745">
                <w:pPr>
                  <w:pStyle w:val="48"/>
                </w:pPr>
                <w:r>
                  <w:t>上海隆棵药业有限公司</w:t>
                </w:r>
              </w:p>
            </w:tc>
            <w:tc>
              <w:tcPr>
                <w:tcW w:w="1596" w:type="dxa"/>
                <w:vAlign w:val="center"/>
              </w:tcPr>
              <w:p w14:paraId="0259E63D">
                <w:pPr>
                  <w:pStyle w:val="48"/>
                </w:pPr>
                <w:r>
                  <w:t>经理</w:t>
                </w:r>
              </w:p>
            </w:tc>
            <w:tc>
              <w:tcPr>
                <w:tcW w:w="1526" w:type="dxa"/>
                <w:vAlign w:val="center"/>
              </w:tcPr>
              <w:p w14:paraId="6C3BA3ED">
                <w:pPr>
                  <w:pStyle w:val="48"/>
                </w:pPr>
                <w:r>
                  <w:t>2024-08-22</w:t>
                </w:r>
              </w:p>
            </w:tc>
            <w:tc>
              <w:tcPr>
                <w:tcW w:w="1536" w:type="dxa"/>
                <w:vAlign w:val="center"/>
              </w:tcPr>
              <w:p w14:paraId="21944FD4">
                <w:pPr>
                  <w:pStyle w:val="48"/>
                </w:pPr>
              </w:p>
            </w:tc>
          </w:tr>
          <w:tr w14:paraId="475B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555" w:type="dxa"/>
                <w:vAlign w:val="center"/>
              </w:tcPr>
              <w:p w14:paraId="04B55DD1">
                <w:pPr>
                  <w:pStyle w:val="48"/>
                </w:pPr>
                <w:r>
                  <w:rPr>
                    <w:rFonts w:hint="eastAsia"/>
                  </w:rPr>
                  <w:t>在其他单位任职情况的说明</w:t>
                </w:r>
              </w:p>
            </w:tc>
            <w:tc>
              <w:tcPr>
                <w:tcW w:w="7493" w:type="dxa"/>
                <w:gridSpan w:val="4"/>
                <w:vAlign w:val="center"/>
              </w:tcPr>
              <w:p w14:paraId="71A0BBF0">
                <w:pPr>
                  <w:pStyle w:val="48"/>
                </w:pPr>
                <w:r>
                  <w:rPr>
                    <w:rFonts w:hint="eastAsia"/>
                  </w:rPr>
                  <w:t>无</w:t>
                </w:r>
              </w:p>
            </w:tc>
          </w:tr>
        </w:tbl>
        <w:p w14:paraId="13995257"/>
        <w:p w14:paraId="07005E80">
          <w:pPr>
            <w:pStyle w:val="48"/>
          </w:pPr>
        </w:p>
      </w:sdtContent>
    </w:sdt>
    <w:sdt>
      <w:sdtPr>
        <w:rPr>
          <w:rFonts w:ascii="宋体" w:hAnsi="宋体" w:cs="宋体"/>
          <w:b w:val="0"/>
          <w:bCs w:val="0"/>
          <w:kern w:val="0"/>
          <w:szCs w:val="24"/>
        </w:rPr>
        <w:alias w:val="模块:董事、监事、高级管理人员薪酬情况"/>
        <w:tag w:val="_SEC_d6c0d4e5fc754556abc8ba20fd435248"/>
        <w:id w:val="1523059624"/>
        <w:placeholder>
          <w:docPart w:val="GBC22222222222222222222222222222"/>
        </w:placeholder>
      </w:sdtPr>
      <w:sdtEndPr>
        <w:rPr>
          <w:rFonts w:ascii="Calibri" w:hAnsi="Calibri" w:cs="Times New Roman"/>
          <w:b w:val="0"/>
          <w:bCs w:val="0"/>
          <w:kern w:val="2"/>
          <w:szCs w:val="21"/>
        </w:rPr>
      </w:sdtEndPr>
      <w:sdtContent>
        <w:p w14:paraId="45048796">
          <w:pPr>
            <w:pStyle w:val="51"/>
            <w:numPr>
              <w:ilvl w:val="0"/>
              <w:numId w:val="27"/>
            </w:numPr>
            <w:ind w:left="0" w:firstLine="0"/>
          </w:pPr>
          <w:r>
            <w:rPr>
              <w:rFonts w:hint="eastAsia"/>
            </w:rPr>
            <w:t>董事、高级管理人员薪酬情况</w:t>
          </w:r>
        </w:p>
        <w:sdt>
          <w:sdtPr>
            <w:alias w:val="是否适用：董事、监事、高级管理人员报酬情况[双击切换]"/>
            <w:tag w:val="_GBC_670a12b9c1e34498888f2aafd9509848"/>
            <w:id w:val="-1471823357"/>
            <w:placeholder>
              <w:docPart w:val="GBC22222222222222222222222222222"/>
            </w:placeholder>
          </w:sdtPr>
          <w:sdtContent>
            <w:p w14:paraId="2FE8ED37">
              <w:pPr>
                <w:pStyle w:val="48"/>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0"/>
            <w:gridCol w:w="6248"/>
          </w:tblGrid>
          <w:tr w14:paraId="1038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9e63d19b4bb64b9f8ebbe91d33a629c4"/>
                <w:id w:val="1117339568"/>
              </w:sdtPr>
              <w:sdtContent>
                <w:tc>
                  <w:tcPr>
                    <w:tcW w:w="2800" w:type="dxa"/>
                    <w:vAlign w:val="center"/>
                  </w:tcPr>
                  <w:p w14:paraId="47146E1A">
                    <w:pPr>
                      <w:pStyle w:val="48"/>
                    </w:pPr>
                    <w:r>
                      <w:t>董事、高级管理人员薪酬的决策程序</w:t>
                    </w:r>
                  </w:p>
                </w:tc>
              </w:sdtContent>
            </w:sdt>
            <w:sdt>
              <w:sdtPr>
                <w:rPr>
                  <w:rFonts w:hint="eastAsia"/>
                </w:rPr>
                <w:alias w:val="董事、监事、高级管理人员报酬的决策程序"/>
                <w:tag w:val="_GBC_bf64cad6b5d7435388a8e69e2c05dea2"/>
                <w:id w:val="-1978833775"/>
              </w:sdtPr>
              <w:sdtEndPr>
                <w:rPr>
                  <w:rFonts w:hint="eastAsia"/>
                </w:rPr>
              </w:sdtEndPr>
              <w:sdtContent>
                <w:tc>
                  <w:tcPr>
                    <w:tcW w:w="6248" w:type="dxa"/>
                    <w:vAlign w:val="center"/>
                  </w:tcPr>
                  <w:p w14:paraId="5B6DCB86">
                    <w:pPr>
                      <w:pStyle w:val="48"/>
                    </w:pPr>
                    <w:r>
                      <w:rPr>
                        <w:rFonts w:hint="eastAsia"/>
                      </w:rPr>
                      <w:t>公司董事会薪酬与考核委员会根据所处行业的薪酬水平，结合相关岗位的重要性、职责范围以及个人绩效考核情况，制定薪酬方案，董事报酬由股东会决定，高级管理人员报酬由董事会决定。</w:t>
                    </w:r>
                  </w:p>
                </w:tc>
              </w:sdtContent>
            </w:sdt>
          </w:tr>
          <w:tr w14:paraId="18AC3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800" w:type="dxa"/>
                <w:vAlign w:val="center"/>
              </w:tcPr>
              <w:p w14:paraId="285599BF">
                <w:pPr>
                  <w:pStyle w:val="48"/>
                </w:pPr>
                <w:r>
                  <w:rPr>
                    <w:rFonts w:hint="eastAsia"/>
                  </w:rPr>
                  <w:t>董事在董事会讨论本人薪酬事项时是否回避</w:t>
                </w:r>
              </w:p>
            </w:tc>
            <w:tc>
              <w:tcPr>
                <w:tcW w:w="6248" w:type="dxa"/>
                <w:vAlign w:val="center"/>
              </w:tcPr>
              <w:p w14:paraId="4656F5BA">
                <w:pPr>
                  <w:pStyle w:val="48"/>
                </w:pPr>
                <w:sdt>
                  <w:sdtPr>
                    <w:alias w:val="董事在董事会讨论本人薪酬事项时是否回避"/>
                    <w:tag w:val="_GBC_5e64defbd18444939e9dface4daa0619"/>
                    <w:id w:val="1545170758"/>
                    <w:comboBox>
                      <w:listItem w:displayText="是" w:value="是"/>
                      <w:listItem w:displayText="否" w:value="否"/>
                    </w:comboBox>
                  </w:sdtPr>
                  <w:sdtContent>
                    <w:r>
                      <w:t>是</w:t>
                    </w:r>
                  </w:sdtContent>
                </w:sdt>
              </w:p>
            </w:tc>
          </w:tr>
          <w:tr w14:paraId="5C73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6b3a77d73be749829b418349bda4ea19"/>
                <w:id w:val="849526032"/>
              </w:sdtPr>
              <w:sdtContent>
                <w:tc>
                  <w:tcPr>
                    <w:tcW w:w="2800" w:type="dxa"/>
                    <w:vAlign w:val="center"/>
                  </w:tcPr>
                  <w:p w14:paraId="51541824">
                    <w:pPr>
                      <w:pStyle w:val="48"/>
                    </w:pPr>
                    <w:r>
                      <w:rPr>
                        <w:rFonts w:hint="eastAsia"/>
                      </w:rPr>
                      <w:t>薪酬与考核委员会或独立董事专门会议关于董事、高级管理人员薪酬事项发表建议的具体情况</w:t>
                    </w:r>
                  </w:p>
                </w:tc>
              </w:sdtContent>
            </w:sdt>
            <w:tc>
              <w:tcPr>
                <w:tcW w:w="6248" w:type="dxa"/>
                <w:vAlign w:val="center"/>
              </w:tcPr>
              <w:p w14:paraId="572E6174">
                <w:pPr>
                  <w:widowControl w:val="0"/>
                  <w:jc w:val="both"/>
                  <w:rPr>
                    <w:highlight w:val="yellow"/>
                  </w:rPr>
                </w:pPr>
                <w:r>
                  <w:rPr>
                    <w:rFonts w:hint="eastAsia"/>
                  </w:rPr>
                  <w:t>薪酬与考核委员会根据公司薪酬管理相关制度，结合公司实际经营业绩情况及个人绩效考核结果，确认公司董事、高级管理人员2025年度薪酬。公司披露的董事、高级管理人员的薪酬与其实际在公司领取的薪酬一致。</w:t>
                </w:r>
              </w:p>
            </w:tc>
          </w:tr>
          <w:tr w14:paraId="135D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a1d35038246146c0a95c36f146481091"/>
                <w:id w:val="1795788803"/>
              </w:sdtPr>
              <w:sdtContent>
                <w:tc>
                  <w:tcPr>
                    <w:tcW w:w="2800" w:type="dxa"/>
                    <w:vAlign w:val="center"/>
                  </w:tcPr>
                  <w:p w14:paraId="57641975">
                    <w:pPr>
                      <w:pStyle w:val="48"/>
                    </w:pPr>
                    <w:r>
                      <w:t>董事、高级管理人员薪酬确定依据</w:t>
                    </w:r>
                  </w:p>
                </w:tc>
              </w:sdtContent>
            </w:sdt>
            <w:tc>
              <w:tcPr>
                <w:tcW w:w="6248" w:type="dxa"/>
                <w:vAlign w:val="center"/>
              </w:tcPr>
              <w:p w14:paraId="51328630">
                <w:pPr>
                  <w:widowControl w:val="0"/>
                  <w:jc w:val="both"/>
                  <w:rPr>
                    <w:highlight w:val="yellow"/>
                  </w:rPr>
                </w:pPr>
                <w:r>
                  <w:rPr>
                    <w:rFonts w:hint="eastAsia"/>
                  </w:rPr>
                  <w:t>在公司担任具体职务的董事、高级管理人员的薪酬由基本薪酬及年终绩效薪酬组成。根据所处行业的薪酬水平，结合相关岗位的重要性、职责范围，由董事会薪酬与考核委员会制订董事(不含独立董事)和高级管理人员的薪酬方案和计划，并审查和考核董事(不含独立董事)和高级管理人员每年的履职情况，进行年度绩效考评，最终提交董事会或股东会审议确定。</w:t>
                </w:r>
              </w:p>
            </w:tc>
          </w:tr>
          <w:tr w14:paraId="3D78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3ba8e874dcd84394a94e693e06b2269b"/>
                <w:id w:val="834335338"/>
              </w:sdtPr>
              <w:sdtContent>
                <w:tc>
                  <w:tcPr>
                    <w:tcW w:w="2800" w:type="dxa"/>
                    <w:vAlign w:val="center"/>
                  </w:tcPr>
                  <w:p w14:paraId="69D3F2AC">
                    <w:pPr>
                      <w:pStyle w:val="48"/>
                    </w:pPr>
                    <w:r>
                      <w:t>董事和高级管理人员薪酬的</w:t>
                    </w:r>
                    <w:r>
                      <w:rPr>
                        <w:rFonts w:hint="eastAsia"/>
                      </w:rPr>
                      <w:t>实际支付</w:t>
                    </w:r>
                    <w:r>
                      <w:t>情况</w:t>
                    </w:r>
                  </w:p>
                </w:tc>
              </w:sdtContent>
            </w:sdt>
            <w:tc>
              <w:tcPr>
                <w:tcW w:w="6248" w:type="dxa"/>
                <w:vAlign w:val="center"/>
              </w:tcPr>
              <w:p w14:paraId="02E4E884">
                <w:pPr>
                  <w:pStyle w:val="48"/>
                </w:pPr>
                <w:r>
                  <w:rPr>
                    <w:rFonts w:hint="eastAsia"/>
                  </w:rPr>
                  <w:t>根据考评结果支付，董事和高级管理人员薪酬的实际支付情况与年报披露的数据相符。</w:t>
                </w:r>
              </w:p>
            </w:tc>
          </w:tr>
          <w:tr w14:paraId="4B48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800" w:type="dxa"/>
                <w:vAlign w:val="center"/>
              </w:tcPr>
              <w:sdt>
                <w:sdtPr>
                  <w:tag w:val="_PLD_3506ff73678e423b9d58c6066ded1f49"/>
                  <w:id w:val="968708182"/>
                </w:sdtPr>
                <w:sdtContent>
                  <w:p w14:paraId="2FE9E2F1">
                    <w:pPr>
                      <w:pStyle w:val="48"/>
                    </w:pPr>
                    <w:r>
                      <w:t>报告期末全体董事和高级管理人员实际获得的薪酬合计</w:t>
                    </w:r>
                  </w:p>
                </w:sdtContent>
              </w:sdt>
            </w:tc>
            <w:tc>
              <w:tcPr>
                <w:tcW w:w="6248" w:type="dxa"/>
                <w:vAlign w:val="center"/>
              </w:tcPr>
              <w:p w14:paraId="7704C2C5">
                <w:pPr>
                  <w:pStyle w:val="48"/>
                </w:pPr>
                <w:r>
                  <w:t>1,420.26</w:t>
                </w:r>
                <w:r>
                  <w:rPr>
                    <w:rFonts w:hint="eastAsia"/>
                  </w:rPr>
                  <w:t>万元。</w:t>
                </w:r>
              </w:p>
            </w:tc>
          </w:tr>
          <w:tr w14:paraId="7BED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85864ecdd4a347afb8769104bf1ae7bd"/>
                <w:id w:val="1445351471"/>
              </w:sdtPr>
              <w:sdtContent>
                <w:tc>
                  <w:tcPr>
                    <w:tcW w:w="2800" w:type="dxa"/>
                    <w:vAlign w:val="center"/>
                  </w:tcPr>
                  <w:p w14:paraId="22B7C969">
                    <w:pPr>
                      <w:pStyle w:val="48"/>
                    </w:pPr>
                    <w:r>
                      <w:rPr>
                        <w:rFonts w:hint="eastAsia"/>
                      </w:rPr>
                      <w:t>报告期末全体董事和高级管理人员实际获得薪酬的考核依据和完成情况</w:t>
                    </w:r>
                  </w:p>
                </w:tc>
              </w:sdtContent>
            </w:sdt>
            <w:tc>
              <w:tcPr>
                <w:tcW w:w="6248" w:type="dxa"/>
                <w:vAlign w:val="center"/>
              </w:tcPr>
              <w:p w14:paraId="4B1551A1">
                <w:pPr>
                  <w:pStyle w:val="48"/>
                  <w:rPr>
                    <w:highlight w:val="yellow"/>
                  </w:rPr>
                </w:pPr>
                <w:r>
                  <w:rPr>
                    <w:rFonts w:hint="eastAsia"/>
                  </w:rPr>
                  <w:t>2025年度，独立董事领取的独立董事津贴不适用考核情况；公司非独立董事和高级管理人员依据公司绩效考核规定获得相应的薪酬。绩效考核工作按公司绩效考核规定，有效执行并完成。</w:t>
                </w:r>
              </w:p>
            </w:tc>
          </w:tr>
          <w:tr w14:paraId="7462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ea4b026a8e8c4af8961acc0223312d80"/>
                <w:id w:val="1624106149"/>
              </w:sdtPr>
              <w:sdtContent>
                <w:tc>
                  <w:tcPr>
                    <w:tcW w:w="2800" w:type="dxa"/>
                    <w:vAlign w:val="center"/>
                  </w:tcPr>
                  <w:p w14:paraId="4B7F18FC">
                    <w:pPr>
                      <w:pStyle w:val="48"/>
                    </w:pPr>
                    <w:r>
                      <w:rPr>
                        <w:rFonts w:hint="eastAsia"/>
                      </w:rPr>
                      <w:t>报告期末全体董事和高级管理人员实际获得薪酬的递延支付安排</w:t>
                    </w:r>
                  </w:p>
                </w:tc>
              </w:sdtContent>
            </w:sdt>
            <w:tc>
              <w:tcPr>
                <w:tcW w:w="6248" w:type="dxa"/>
                <w:vAlign w:val="center"/>
              </w:tcPr>
              <w:p w14:paraId="413B415F">
                <w:pPr>
                  <w:pStyle w:val="48"/>
                </w:pPr>
                <w:r>
                  <w:rPr>
                    <w:rFonts w:hint="eastAsia"/>
                  </w:rPr>
                  <w:t>公司董事、高级管理人员薪酬不存在递延支付安排。</w:t>
                </w:r>
              </w:p>
            </w:tc>
          </w:tr>
          <w:tr w14:paraId="109D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a6fa328d324e4ee4affdd57274599360"/>
                <w:id w:val="-361441143"/>
              </w:sdtPr>
              <w:sdtContent>
                <w:tc>
                  <w:tcPr>
                    <w:tcW w:w="2800" w:type="dxa"/>
                    <w:vAlign w:val="center"/>
                  </w:tcPr>
                  <w:p w14:paraId="693370D7">
                    <w:pPr>
                      <w:pStyle w:val="48"/>
                    </w:pPr>
                    <w:r>
                      <w:rPr>
                        <w:rFonts w:hint="eastAsia"/>
                      </w:rPr>
                      <w:t>报告期末全体董事和高级管理人员实际获得薪酬的止付追索情况</w:t>
                    </w:r>
                  </w:p>
                </w:tc>
              </w:sdtContent>
            </w:sdt>
            <w:tc>
              <w:tcPr>
                <w:tcW w:w="6248" w:type="dxa"/>
                <w:vAlign w:val="center"/>
              </w:tcPr>
              <w:p w14:paraId="60869634">
                <w:pPr>
                  <w:pStyle w:val="48"/>
                </w:pPr>
                <w:r>
                  <w:rPr>
                    <w:rFonts w:hint="eastAsia"/>
                  </w:rPr>
                  <w:t>公司董事、高级管理人员薪酬不存在止付追索情形。</w:t>
                </w:r>
              </w:p>
            </w:tc>
          </w:tr>
        </w:tbl>
        <w:p w14:paraId="6836383F">
          <w:pPr>
            <w:pStyle w:val="48"/>
          </w:pPr>
        </w:p>
      </w:sdtContent>
    </w:sdt>
    <w:p w14:paraId="1DCF5492">
      <w:pPr>
        <w:pStyle w:val="51"/>
        <w:numPr>
          <w:ilvl w:val="0"/>
          <w:numId w:val="27"/>
        </w:numPr>
        <w:ind w:left="0" w:firstLine="0"/>
      </w:pPr>
      <w:r>
        <w:rPr>
          <w:rFonts w:hint="eastAsia"/>
        </w:rPr>
        <w:t>公司董事、高级管理人员变动情况</w:t>
      </w:r>
    </w:p>
    <w:sdt>
      <w:sdtPr>
        <w:rPr>
          <w:b/>
          <w:bCs/>
          <w:sz w:val="24"/>
        </w:rPr>
        <w:alias w:val="模块:公司董事、监事、高级管理人员变动情况"/>
        <w:tag w:val="_SEC_f15939bc34a34b809f1af6823e6f7771"/>
        <w:id w:val="977796757"/>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1882282301"/>
            <w:lock w:val="sdtLocked"/>
            <w:placeholder>
              <w:docPart w:val="GBC22222222222222222222222222222"/>
            </w:placeholder>
          </w:sdtPr>
          <w:sdtContent>
            <w:p w14:paraId="36BAABC8">
              <w:pPr>
                <w:pStyle w:val="48"/>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4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2"/>
            <w:gridCol w:w="2262"/>
            <w:gridCol w:w="2262"/>
            <w:gridCol w:w="2262"/>
          </w:tblGrid>
          <w:tr w14:paraId="12E4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sdt>
              <w:sdtPr>
                <w:tag w:val="_PLD_10c0965136c84bf6abfceaef8557ae99"/>
                <w:id w:val="79030915"/>
              </w:sdtPr>
              <w:sdtContent>
                <w:tc>
                  <w:tcPr>
                    <w:tcW w:w="2262" w:type="dxa"/>
                    <w:vAlign w:val="center"/>
                  </w:tcPr>
                  <w:p w14:paraId="434C3B2A">
                    <w:pPr>
                      <w:widowControl w:val="0"/>
                      <w:jc w:val="center"/>
                    </w:pPr>
                    <w:r>
                      <w:t>姓名</w:t>
                    </w:r>
                  </w:p>
                </w:tc>
              </w:sdtContent>
            </w:sdt>
            <w:sdt>
              <w:sdtPr>
                <w:tag w:val="_PLD_b53cc0c0661e4cffa4f7fa4f6423187d"/>
                <w:id w:val="577329906"/>
              </w:sdtPr>
              <w:sdtContent>
                <w:tc>
                  <w:tcPr>
                    <w:tcW w:w="2262" w:type="dxa"/>
                    <w:vAlign w:val="center"/>
                  </w:tcPr>
                  <w:p w14:paraId="3F222C57">
                    <w:pPr>
                      <w:widowControl w:val="0"/>
                      <w:jc w:val="center"/>
                    </w:pPr>
                    <w:r>
                      <w:t>担任的职务</w:t>
                    </w:r>
                  </w:p>
                </w:tc>
              </w:sdtContent>
            </w:sdt>
            <w:sdt>
              <w:sdtPr>
                <w:tag w:val="_PLD_012859f523ec430da1dfc6a86c6dde35"/>
                <w:id w:val="1134450436"/>
              </w:sdtPr>
              <w:sdtContent>
                <w:tc>
                  <w:tcPr>
                    <w:tcW w:w="2262" w:type="dxa"/>
                    <w:vAlign w:val="center"/>
                  </w:tcPr>
                  <w:p w14:paraId="0D105E6B">
                    <w:pPr>
                      <w:widowControl w:val="0"/>
                      <w:jc w:val="center"/>
                    </w:pPr>
                    <w:r>
                      <w:t>变动情形</w:t>
                    </w:r>
                  </w:p>
                </w:tc>
              </w:sdtContent>
            </w:sdt>
            <w:sdt>
              <w:sdtPr>
                <w:tag w:val="_PLD_bf76757c55de435a9638407bd56b5199"/>
                <w:id w:val="-1716344032"/>
              </w:sdtPr>
              <w:sdtContent>
                <w:tc>
                  <w:tcPr>
                    <w:tcW w:w="2262" w:type="dxa"/>
                    <w:vAlign w:val="center"/>
                  </w:tcPr>
                  <w:p w14:paraId="2F333C11">
                    <w:pPr>
                      <w:widowControl w:val="0"/>
                      <w:jc w:val="center"/>
                    </w:pPr>
                    <w:r>
                      <w:t>变动原因</w:t>
                    </w:r>
                  </w:p>
                </w:tc>
              </w:sdtContent>
            </w:sdt>
          </w:tr>
          <w:tr w14:paraId="4340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62" w:type="dxa"/>
                <w:vAlign w:val="center"/>
              </w:tcPr>
              <w:p w14:paraId="570D64C5">
                <w:pPr>
                  <w:pStyle w:val="48"/>
                </w:pPr>
                <w:r>
                  <w:t>李佳鸿</w:t>
                </w:r>
              </w:p>
            </w:tc>
            <w:tc>
              <w:tcPr>
                <w:tcW w:w="2262" w:type="dxa"/>
                <w:vAlign w:val="center"/>
              </w:tcPr>
              <w:p w14:paraId="52DE0625">
                <w:pPr>
                  <w:pStyle w:val="48"/>
                </w:pPr>
                <w:r>
                  <w:t>总裁</w:t>
                </w:r>
              </w:p>
            </w:tc>
            <w:tc>
              <w:tcPr>
                <w:tcW w:w="2262" w:type="dxa"/>
                <w:vAlign w:val="center"/>
              </w:tcPr>
              <w:p w14:paraId="0E8C2FB3">
                <w:pPr>
                  <w:pStyle w:val="48"/>
                </w:pPr>
                <w:r>
                  <w:t>聘任</w:t>
                </w:r>
              </w:p>
            </w:tc>
            <w:tc>
              <w:tcPr>
                <w:tcW w:w="2262" w:type="dxa"/>
                <w:vAlign w:val="center"/>
              </w:tcPr>
              <w:p w14:paraId="7CC322B4">
                <w:pPr>
                  <w:pStyle w:val="48"/>
                </w:pPr>
                <w:r>
                  <w:t>工作调动</w:t>
                </w:r>
              </w:p>
            </w:tc>
          </w:tr>
          <w:tr w14:paraId="77B7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62" w:type="dxa"/>
                <w:vAlign w:val="center"/>
              </w:tcPr>
              <w:p w14:paraId="7C8FE2AB">
                <w:pPr>
                  <w:pStyle w:val="48"/>
                </w:pPr>
                <w:r>
                  <w:t>范朴</w:t>
                </w:r>
              </w:p>
            </w:tc>
            <w:tc>
              <w:tcPr>
                <w:tcW w:w="2262" w:type="dxa"/>
                <w:vAlign w:val="center"/>
              </w:tcPr>
              <w:p w14:paraId="5A3114EF">
                <w:pPr>
                  <w:pStyle w:val="48"/>
                </w:pPr>
                <w:r>
                  <w:t>副总裁</w:t>
                </w:r>
              </w:p>
            </w:tc>
            <w:tc>
              <w:tcPr>
                <w:tcW w:w="2262" w:type="dxa"/>
                <w:vAlign w:val="center"/>
              </w:tcPr>
              <w:p w14:paraId="59A2A863">
                <w:pPr>
                  <w:pStyle w:val="48"/>
                </w:pPr>
                <w:r>
                  <w:t>聘任</w:t>
                </w:r>
              </w:p>
            </w:tc>
            <w:tc>
              <w:tcPr>
                <w:tcW w:w="2262" w:type="dxa"/>
                <w:vAlign w:val="center"/>
              </w:tcPr>
              <w:p w14:paraId="63961731">
                <w:pPr>
                  <w:pStyle w:val="48"/>
                </w:pPr>
                <w:r>
                  <w:t>工作调动</w:t>
                </w:r>
              </w:p>
            </w:tc>
          </w:tr>
          <w:tr w14:paraId="002E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62" w:type="dxa"/>
                <w:vAlign w:val="center"/>
              </w:tcPr>
              <w:p w14:paraId="7AB42CE7">
                <w:pPr>
                  <w:pStyle w:val="48"/>
                </w:pPr>
                <w:r>
                  <w:t>关东亮</w:t>
                </w:r>
              </w:p>
            </w:tc>
            <w:tc>
              <w:tcPr>
                <w:tcW w:w="2262" w:type="dxa"/>
                <w:vAlign w:val="center"/>
              </w:tcPr>
              <w:p w14:paraId="03AFFB85">
                <w:pPr>
                  <w:pStyle w:val="48"/>
                </w:pPr>
                <w:r>
                  <w:t>副总裁</w:t>
                </w:r>
              </w:p>
            </w:tc>
            <w:tc>
              <w:tcPr>
                <w:tcW w:w="2262" w:type="dxa"/>
                <w:vAlign w:val="center"/>
              </w:tcPr>
              <w:p w14:paraId="09334C16">
                <w:pPr>
                  <w:pStyle w:val="48"/>
                </w:pPr>
                <w:r>
                  <w:t>聘任</w:t>
                </w:r>
              </w:p>
            </w:tc>
            <w:tc>
              <w:tcPr>
                <w:tcW w:w="2262" w:type="dxa"/>
                <w:vAlign w:val="center"/>
              </w:tcPr>
              <w:p w14:paraId="5A38C39C">
                <w:pPr>
                  <w:pStyle w:val="48"/>
                </w:pPr>
                <w:r>
                  <w:t>工作调动</w:t>
                </w:r>
              </w:p>
            </w:tc>
          </w:tr>
          <w:tr w14:paraId="7B26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62" w:type="dxa"/>
                <w:vMerge w:val="restart"/>
                <w:vAlign w:val="center"/>
              </w:tcPr>
              <w:p w14:paraId="62D20EF3">
                <w:pPr>
                  <w:pStyle w:val="48"/>
                </w:pPr>
                <w:r>
                  <w:t>张国栋</w:t>
                </w:r>
              </w:p>
            </w:tc>
            <w:tc>
              <w:tcPr>
                <w:tcW w:w="2262" w:type="dxa"/>
                <w:vAlign w:val="center"/>
              </w:tcPr>
              <w:p w14:paraId="484EE4A8">
                <w:pPr>
                  <w:pStyle w:val="48"/>
                </w:pPr>
                <w:r>
                  <w:t>职工代表董事</w:t>
                </w:r>
              </w:p>
            </w:tc>
            <w:tc>
              <w:tcPr>
                <w:tcW w:w="2262" w:type="dxa"/>
                <w:vAlign w:val="center"/>
              </w:tcPr>
              <w:p w14:paraId="4A1ABF30">
                <w:pPr>
                  <w:pStyle w:val="48"/>
                </w:pPr>
                <w:r>
                  <w:t>选举</w:t>
                </w:r>
              </w:p>
            </w:tc>
            <w:tc>
              <w:tcPr>
                <w:tcW w:w="2262" w:type="dxa"/>
                <w:vAlign w:val="center"/>
              </w:tcPr>
              <w:p w14:paraId="52BAE99A">
                <w:pPr>
                  <w:pStyle w:val="48"/>
                </w:pPr>
                <w:r>
                  <w:t>工作调动</w:t>
                </w:r>
              </w:p>
            </w:tc>
          </w:tr>
          <w:tr w14:paraId="6702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62" w:type="dxa"/>
                <w:vMerge w:val="continue"/>
                <w:vAlign w:val="center"/>
              </w:tcPr>
              <w:p w14:paraId="547AA1BA">
                <w:pPr>
                  <w:pStyle w:val="48"/>
                </w:pPr>
              </w:p>
            </w:tc>
            <w:tc>
              <w:tcPr>
                <w:tcW w:w="2262" w:type="dxa"/>
                <w:vAlign w:val="center"/>
              </w:tcPr>
              <w:p w14:paraId="2CDE23F9">
                <w:pPr>
                  <w:pStyle w:val="48"/>
                </w:pPr>
                <w:r>
                  <w:t>董事</w:t>
                </w:r>
              </w:p>
            </w:tc>
            <w:tc>
              <w:tcPr>
                <w:tcW w:w="2262" w:type="dxa"/>
                <w:vAlign w:val="center"/>
              </w:tcPr>
              <w:p w14:paraId="7AFA85B8">
                <w:pPr>
                  <w:pStyle w:val="48"/>
                </w:pPr>
                <w:r>
                  <w:t>离任</w:t>
                </w:r>
              </w:p>
            </w:tc>
            <w:tc>
              <w:tcPr>
                <w:tcW w:w="2262" w:type="dxa"/>
                <w:vAlign w:val="center"/>
              </w:tcPr>
              <w:p w14:paraId="497F7C59">
                <w:pPr>
                  <w:pStyle w:val="48"/>
                </w:pPr>
                <w:r>
                  <w:t>工作调动</w:t>
                </w:r>
              </w:p>
            </w:tc>
          </w:tr>
          <w:tr w14:paraId="4DDC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62" w:type="dxa"/>
                <w:vAlign w:val="center"/>
              </w:tcPr>
              <w:p w14:paraId="21EBBDAE">
                <w:pPr>
                  <w:pStyle w:val="48"/>
                </w:pPr>
                <w:r>
                  <w:t>冷春生</w:t>
                </w:r>
              </w:p>
            </w:tc>
            <w:tc>
              <w:tcPr>
                <w:tcW w:w="2262" w:type="dxa"/>
                <w:vAlign w:val="center"/>
              </w:tcPr>
              <w:p w14:paraId="36A4932A">
                <w:pPr>
                  <w:pStyle w:val="48"/>
                </w:pPr>
                <w:r>
                  <w:t>总经理</w:t>
                </w:r>
              </w:p>
            </w:tc>
            <w:tc>
              <w:tcPr>
                <w:tcW w:w="2262" w:type="dxa"/>
                <w:vAlign w:val="center"/>
              </w:tcPr>
              <w:p w14:paraId="08ACEEF9">
                <w:pPr>
                  <w:pStyle w:val="48"/>
                </w:pPr>
                <w:r>
                  <w:t>离任</w:t>
                </w:r>
              </w:p>
            </w:tc>
            <w:tc>
              <w:tcPr>
                <w:tcW w:w="2262" w:type="dxa"/>
                <w:vAlign w:val="center"/>
              </w:tcPr>
              <w:p w14:paraId="4F138775">
                <w:pPr>
                  <w:widowControl w:val="0"/>
                  <w:jc w:val="both"/>
                </w:pPr>
                <w:r>
                  <w:t>工作调动</w:t>
                </w:r>
              </w:p>
            </w:tc>
          </w:tr>
          <w:tr w14:paraId="44D7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62" w:type="dxa"/>
                <w:vMerge w:val="restart"/>
                <w:vAlign w:val="center"/>
              </w:tcPr>
              <w:p w14:paraId="17CB1D11">
                <w:pPr>
                  <w:pStyle w:val="48"/>
                </w:pPr>
                <w:r>
                  <w:t>苏璠</w:t>
                </w:r>
              </w:p>
            </w:tc>
            <w:tc>
              <w:tcPr>
                <w:tcW w:w="2262" w:type="dxa"/>
                <w:vAlign w:val="center"/>
              </w:tcPr>
              <w:p w14:paraId="60AF075D">
                <w:pPr>
                  <w:pStyle w:val="48"/>
                </w:pPr>
                <w:r>
                  <w:t>董事会秘书</w:t>
                </w:r>
              </w:p>
            </w:tc>
            <w:tc>
              <w:tcPr>
                <w:tcW w:w="2262" w:type="dxa"/>
                <w:vAlign w:val="center"/>
              </w:tcPr>
              <w:p w14:paraId="69A6FD66">
                <w:pPr>
                  <w:pStyle w:val="48"/>
                </w:pPr>
                <w:r>
                  <w:t>离任</w:t>
                </w:r>
              </w:p>
            </w:tc>
            <w:tc>
              <w:tcPr>
                <w:tcW w:w="2262" w:type="dxa"/>
                <w:vAlign w:val="center"/>
              </w:tcPr>
              <w:p w14:paraId="1FE6B469">
                <w:pPr>
                  <w:widowControl w:val="0"/>
                  <w:jc w:val="both"/>
                </w:pPr>
                <w:r>
                  <w:t>个人原因</w:t>
                </w:r>
              </w:p>
            </w:tc>
          </w:tr>
          <w:tr w14:paraId="1A4C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62" w:type="dxa"/>
                <w:vMerge w:val="continue"/>
                <w:vAlign w:val="center"/>
              </w:tcPr>
              <w:p w14:paraId="7428C853">
                <w:pPr>
                  <w:pStyle w:val="48"/>
                </w:pPr>
              </w:p>
            </w:tc>
            <w:tc>
              <w:tcPr>
                <w:tcW w:w="2262" w:type="dxa"/>
                <w:vAlign w:val="center"/>
              </w:tcPr>
              <w:p w14:paraId="7EE0F9D6">
                <w:pPr>
                  <w:pStyle w:val="48"/>
                </w:pPr>
                <w:r>
                  <w:t>副总经理</w:t>
                </w:r>
              </w:p>
            </w:tc>
            <w:tc>
              <w:tcPr>
                <w:tcW w:w="2262" w:type="dxa"/>
                <w:vAlign w:val="center"/>
              </w:tcPr>
              <w:p w14:paraId="6AFA464C">
                <w:pPr>
                  <w:pStyle w:val="48"/>
                </w:pPr>
                <w:r>
                  <w:t>离任</w:t>
                </w:r>
              </w:p>
            </w:tc>
            <w:tc>
              <w:tcPr>
                <w:tcW w:w="2262" w:type="dxa"/>
                <w:vAlign w:val="center"/>
              </w:tcPr>
              <w:p w14:paraId="53DD5DD6">
                <w:pPr>
                  <w:widowControl w:val="0"/>
                  <w:jc w:val="both"/>
                </w:pPr>
                <w:r>
                  <w:t>工作调动</w:t>
                </w:r>
              </w:p>
            </w:tc>
          </w:tr>
          <w:tr w14:paraId="33A0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62" w:type="dxa"/>
                <w:vAlign w:val="center"/>
              </w:tcPr>
              <w:p w14:paraId="0FB2E075">
                <w:pPr>
                  <w:pStyle w:val="48"/>
                </w:pPr>
                <w:r>
                  <w:t>陈红</w:t>
                </w:r>
              </w:p>
            </w:tc>
            <w:tc>
              <w:tcPr>
                <w:tcW w:w="2262" w:type="dxa"/>
                <w:vAlign w:val="center"/>
              </w:tcPr>
              <w:p w14:paraId="3C1A3BFE">
                <w:pPr>
                  <w:pStyle w:val="48"/>
                </w:pPr>
                <w:r>
                  <w:t>副总经理</w:t>
                </w:r>
              </w:p>
            </w:tc>
            <w:tc>
              <w:tcPr>
                <w:tcW w:w="2262" w:type="dxa"/>
                <w:vAlign w:val="center"/>
              </w:tcPr>
              <w:p w14:paraId="26A11A27">
                <w:pPr>
                  <w:pStyle w:val="48"/>
                </w:pPr>
                <w:r>
                  <w:t>离任</w:t>
                </w:r>
              </w:p>
            </w:tc>
            <w:tc>
              <w:tcPr>
                <w:tcW w:w="2262" w:type="dxa"/>
                <w:vAlign w:val="center"/>
              </w:tcPr>
              <w:p w14:paraId="0FABA94A">
                <w:pPr>
                  <w:widowControl w:val="0"/>
                  <w:jc w:val="both"/>
                </w:pPr>
                <w:r>
                  <w:t>工作调动</w:t>
                </w:r>
              </w:p>
            </w:tc>
          </w:tr>
          <w:tr w14:paraId="72D7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62" w:type="dxa"/>
                <w:vAlign w:val="center"/>
              </w:tcPr>
              <w:p w14:paraId="0624F91F">
                <w:pPr>
                  <w:pStyle w:val="48"/>
                </w:pPr>
                <w:r>
                  <w:t>Du Zhiqiang（杜治强）</w:t>
                </w:r>
              </w:p>
            </w:tc>
            <w:tc>
              <w:tcPr>
                <w:tcW w:w="2262" w:type="dxa"/>
                <w:vAlign w:val="center"/>
              </w:tcPr>
              <w:p w14:paraId="5F5A0D98">
                <w:pPr>
                  <w:pStyle w:val="48"/>
                </w:pPr>
                <w:r>
                  <w:t>副总经理</w:t>
                </w:r>
              </w:p>
            </w:tc>
            <w:tc>
              <w:tcPr>
                <w:tcW w:w="2262" w:type="dxa"/>
                <w:vAlign w:val="center"/>
              </w:tcPr>
              <w:p w14:paraId="145CF04D">
                <w:pPr>
                  <w:pStyle w:val="48"/>
                </w:pPr>
                <w:r>
                  <w:t>离任</w:t>
                </w:r>
              </w:p>
            </w:tc>
            <w:tc>
              <w:tcPr>
                <w:tcW w:w="2262" w:type="dxa"/>
                <w:vAlign w:val="center"/>
              </w:tcPr>
              <w:p w14:paraId="7FF9BC55">
                <w:pPr>
                  <w:widowControl w:val="0"/>
                  <w:jc w:val="both"/>
                </w:pPr>
                <w:r>
                  <w:t>个人原因</w:t>
                </w:r>
              </w:p>
            </w:tc>
          </w:tr>
        </w:tbl>
        <w:p w14:paraId="7DBD09EB"/>
        <w:p w14:paraId="30EDD2DE">
          <w:pPr>
            <w:spacing w:line="360" w:lineRule="auto"/>
            <w:ind w:firstLine="420" w:firstLineChars="200"/>
            <w:jc w:val="both"/>
            <w:sectPr>
              <w:pgSz w:w="11906" w:h="16838"/>
              <w:pgMar w:top="1525" w:right="1276" w:bottom="1440" w:left="1797" w:header="851" w:footer="992" w:gutter="0"/>
              <w:cols w:space="425" w:num="1"/>
              <w:docGrid w:linePitch="312" w:charSpace="0"/>
            </w:sectPr>
          </w:pPr>
          <w:r>
            <w:rPr>
              <w:rFonts w:hint="eastAsia"/>
            </w:rPr>
            <w:t>注：关于董事及高级管理人员任职变动的具体情况详见第四节 公司治理、环境和社会 十七（一）</w:t>
          </w:r>
          <w:r>
            <w:t>现任及报告期内离任董事</w:t>
          </w:r>
          <w:r>
            <w:rPr>
              <w:rFonts w:hint="eastAsia"/>
            </w:rPr>
            <w:t>和</w:t>
          </w:r>
          <w:r>
            <w:t>高级管理人员持股变动及报酬情况</w:t>
          </w:r>
          <w:r>
            <w:rPr>
              <w:rFonts w:hint="eastAsia"/>
            </w:rPr>
            <w:t>的其他说明。</w:t>
          </w:r>
        </w:p>
        <w:p w14:paraId="37E3E0DB">
          <w:pPr>
            <w:pStyle w:val="48"/>
          </w:pPr>
        </w:p>
      </w:sdtContent>
    </w:sdt>
    <w:sdt>
      <w:sdtPr>
        <w:rPr>
          <w:rFonts w:hint="eastAsia" w:ascii="宋体" w:hAnsi="宋体" w:cs="宋体"/>
          <w:b w:val="0"/>
          <w:bCs w:val="0"/>
          <w:kern w:val="0"/>
          <w:szCs w:val="24"/>
        </w:rPr>
        <w:alias w:val="模块:近三年受证券监管机构处罚的情况说明"/>
        <w:tag w:val="_SEC_875293df28e7452fbf15edc09d4ebaa5"/>
        <w:id w:val="-522165766"/>
        <w:placeholder>
          <w:docPart w:val="GBC22222222222222222222222222222"/>
        </w:placeholder>
      </w:sdtPr>
      <w:sdtEndPr>
        <w:rPr>
          <w:rFonts w:hint="eastAsia" w:ascii="Calibri" w:hAnsi="Calibri" w:cs="Times New Roman"/>
          <w:b w:val="0"/>
          <w:bCs w:val="0"/>
          <w:kern w:val="2"/>
          <w:szCs w:val="21"/>
        </w:rPr>
      </w:sdtEndPr>
      <w:sdtContent>
        <w:p w14:paraId="76468CE3">
          <w:pPr>
            <w:pStyle w:val="51"/>
            <w:numPr>
              <w:ilvl w:val="0"/>
              <w:numId w:val="27"/>
            </w:numPr>
            <w:ind w:left="0" w:firstLine="0"/>
          </w:pPr>
          <w:r>
            <w:rPr>
              <w:rFonts w:hint="eastAsia"/>
            </w:rPr>
            <w:t>近三年受证券监管机构处罚的情况说明</w:t>
          </w:r>
        </w:p>
        <w:sdt>
          <w:sdtPr>
            <w:alias w:val="是否适用：近三年受证券监管机构处罚的情况说明[双击切换]"/>
            <w:tag w:val="_GBC_7955674a80d94ddc9e00915de353286e"/>
            <w:id w:val="389770529"/>
            <w:placeholder>
              <w:docPart w:val="GBC22222222222222222222222222222"/>
            </w:placeholder>
          </w:sdtPr>
          <w:sdtContent>
            <w:p w14:paraId="33362308">
              <w:pPr>
                <w:pStyle w:val="48"/>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近三年受证券监管机构处罚的情况说明"/>
            <w:tag w:val="_GBC_423efec6eaae4d95bd4e6300d5a1e05e"/>
            <w:id w:val="378592325"/>
            <w:placeholder>
              <w:docPart w:val="EAFE967D2ADB49FF8F198741C27FEA8B"/>
            </w:placeholder>
          </w:sdtPr>
          <w:sdtEndPr>
            <w:rPr>
              <w:rFonts w:hint="eastAsia"/>
            </w:rPr>
          </w:sdtEndPr>
          <w:sdtContent>
            <w:p w14:paraId="7FBFE0BC">
              <w:pPr>
                <w:spacing w:line="360" w:lineRule="auto"/>
                <w:ind w:firstLine="420" w:firstLineChars="200"/>
                <w:jc w:val="both"/>
              </w:pPr>
              <w:r>
                <w:rPr>
                  <w:rFonts w:hint="eastAsia"/>
                </w:rPr>
                <w:t>公司于202</w:t>
              </w:r>
              <w:r>
                <w:t>5</w:t>
              </w:r>
              <w:r>
                <w:rPr>
                  <w:rFonts w:hint="eastAsia"/>
                </w:rPr>
                <w:t>年12月30日收到中国证券监督管理委员会吉林监管局出具的《行政监管措施决定书》(吉证监决[2026]3号)，要求公司就《决定书》中所提出的问题进行整改，现已整改完成。内容详见公司于2026年1月31日、2026年2月11日在中国证券报、上海证券报及上海证券交易所网站(www.sse.com.cn)披露的《通化东宝关于收到吉林证监局行政监管措施决定书的公告》(公告编号:2026-011)、《通化东宝关于对吉林证监局行政监管措施决定的整改报告》(公告编号:2026-013)。</w:t>
              </w:r>
            </w:p>
          </w:sdtContent>
        </w:sdt>
        <w:p w14:paraId="650F0875">
          <w:pPr>
            <w:pStyle w:val="48"/>
          </w:pPr>
        </w:p>
      </w:sdtContent>
    </w:sdt>
    <w:sdt>
      <w:sdtPr>
        <w:rPr>
          <w:rFonts w:hint="eastAsia" w:ascii="宋体" w:hAnsi="宋体" w:cs="宋体"/>
          <w:b w:val="0"/>
          <w:bCs w:val="0"/>
          <w:kern w:val="0"/>
          <w:sz w:val="24"/>
          <w:szCs w:val="22"/>
        </w:rPr>
        <w:alias w:val="模块:董事、监事、高级管理人员情况其他说明"/>
        <w:tag w:val="_SEC_7c52a48d2cd64b13b7d6772842750ace"/>
        <w:id w:val="617648078"/>
        <w:placeholder>
          <w:docPart w:val="GBC22222222222222222222222222222"/>
        </w:placeholder>
      </w:sdtPr>
      <w:sdtEndPr>
        <w:rPr>
          <w:rFonts w:hint="default" w:ascii="Calibri" w:hAnsi="Calibri" w:cs="Times New Roman"/>
          <w:b w:val="0"/>
          <w:bCs/>
          <w:kern w:val="2"/>
          <w:sz w:val="21"/>
          <w:szCs w:val="21"/>
        </w:rPr>
      </w:sdtEndPr>
      <w:sdtContent>
        <w:p w14:paraId="3DE8F4D7">
          <w:pPr>
            <w:pStyle w:val="51"/>
            <w:numPr>
              <w:ilvl w:val="0"/>
              <w:numId w:val="27"/>
            </w:numPr>
            <w:ind w:left="0" w:firstLine="0"/>
          </w:pPr>
          <w:r>
            <w:rPr>
              <w:rFonts w:hint="eastAsia"/>
            </w:rPr>
            <w:t>其他</w:t>
          </w:r>
        </w:p>
        <w:sdt>
          <w:sdtPr>
            <w:rPr>
              <w:rFonts w:hint="eastAsia"/>
              <w:bCs/>
            </w:rPr>
            <w:alias w:val="是否适用：其他董事、监事、高级管理人员情况说明[双击切换]"/>
            <w:tag w:val="_GBC_6698e1cba7354d29b0fcdbb38e7287d6"/>
            <w:id w:val="-597402895"/>
            <w:placeholder>
              <w:docPart w:val="GBC22222222222222222222222222222"/>
            </w:placeholder>
          </w:sdtPr>
          <w:sdtEndPr>
            <w:rPr>
              <w:rFonts w:hint="eastAsia"/>
              <w:bCs/>
            </w:rPr>
          </w:sdtEndPr>
          <w:sdtContent>
            <w:p w14:paraId="5A8731CC">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01A2D33F">
          <w:pPr>
            <w:rPr>
              <w:bCs/>
            </w:rPr>
            <w:sectPr>
              <w:pgSz w:w="11906" w:h="16838"/>
              <w:pgMar w:top="1525" w:right="1276" w:bottom="1440" w:left="1797" w:header="855" w:footer="992" w:gutter="0"/>
              <w:cols w:space="425" w:num="1"/>
              <w:docGrid w:linePitch="312" w:charSpace="0"/>
            </w:sectPr>
          </w:pPr>
        </w:p>
        <w:p w14:paraId="2817FA13">
          <w:pPr>
            <w:rPr>
              <w:bCs/>
            </w:rPr>
          </w:pPr>
        </w:p>
      </w:sdtContent>
    </w:sdt>
    <w:bookmarkEnd w:id="128"/>
    <w:p w14:paraId="39AF7C48">
      <w:pPr>
        <w:pStyle w:val="2"/>
        <w:numPr>
          <w:ilvl w:val="0"/>
          <w:numId w:val="2"/>
        </w:numPr>
      </w:pPr>
      <w:bookmarkStart w:id="132" w:name="_Toc191024260"/>
      <w:bookmarkStart w:id="133" w:name="_Hlk90554245"/>
      <w:r>
        <w:rPr>
          <w:rFonts w:hint="eastAsia"/>
        </w:rPr>
        <w:t>重要事项</w:t>
      </w:r>
    </w:p>
    <w:bookmarkEnd w:id="132"/>
    <w:p w14:paraId="0A8046E8">
      <w:pPr>
        <w:pStyle w:val="3"/>
        <w:numPr>
          <w:ilvl w:val="0"/>
          <w:numId w:val="29"/>
        </w:numPr>
      </w:pPr>
      <w:r>
        <w:rPr>
          <w:rFonts w:hint="eastAsia"/>
        </w:rPr>
        <w:t>承诺事项履行情况</w:t>
      </w:r>
    </w:p>
    <w:p w14:paraId="51548A03">
      <w:pPr>
        <w:pStyle w:val="4"/>
        <w:numPr>
          <w:ilvl w:val="1"/>
          <w:numId w:val="30"/>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638381472"/>
        <w:placeholder>
          <w:docPart w:val="GBC22222222222222222222222222222"/>
        </w:placeholder>
      </w:sdtPr>
      <w:sdtContent>
        <w:p w14:paraId="75F83D05">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57"/>
        <w:tblW w:w="10491"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09"/>
        <w:gridCol w:w="1276"/>
        <w:gridCol w:w="2259"/>
        <w:gridCol w:w="942"/>
        <w:gridCol w:w="768"/>
        <w:gridCol w:w="1100"/>
        <w:gridCol w:w="743"/>
        <w:gridCol w:w="992"/>
        <w:gridCol w:w="851"/>
      </w:tblGrid>
      <w:tr w14:paraId="4013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sdt>
          <w:sdtPr>
            <w:tag w:val="_PLD_415cfb23b46b41fba9f0b895a1088fd6"/>
            <w:id w:val="-2138638063"/>
          </w:sdtPr>
          <w:sdtContent>
            <w:tc>
              <w:tcPr>
                <w:tcW w:w="851" w:type="dxa"/>
                <w:vAlign w:val="center"/>
              </w:tcPr>
              <w:p w14:paraId="736856F2">
                <w:pPr>
                  <w:jc w:val="center"/>
                  <w:rPr>
                    <w:rFonts w:ascii="Calibri" w:hAnsi="Calibri"/>
                    <w:sz w:val="20"/>
                    <w:szCs w:val="20"/>
                  </w:rPr>
                </w:pPr>
                <w:r>
                  <w:rPr>
                    <w:rFonts w:hint="eastAsia" w:ascii="Calibri" w:hAnsi="Calibri"/>
                    <w:sz w:val="20"/>
                    <w:szCs w:val="20"/>
                  </w:rPr>
                  <w:t>承诺</w:t>
                </w:r>
              </w:p>
              <w:p w14:paraId="760E90C9">
                <w:pPr>
                  <w:jc w:val="center"/>
                  <w:rPr>
                    <w:rFonts w:ascii="Calibri" w:hAnsi="Calibri"/>
                    <w:sz w:val="20"/>
                    <w:szCs w:val="20"/>
                  </w:rPr>
                </w:pPr>
                <w:r>
                  <w:rPr>
                    <w:rFonts w:hint="eastAsia" w:ascii="Calibri" w:hAnsi="Calibri"/>
                    <w:sz w:val="20"/>
                    <w:szCs w:val="20"/>
                  </w:rPr>
                  <w:t>背景</w:t>
                </w:r>
              </w:p>
            </w:tc>
          </w:sdtContent>
        </w:sdt>
        <w:sdt>
          <w:sdtPr>
            <w:tag w:val="_PLD_6d89eb5533974f2f9b788e2563589a7c"/>
            <w:id w:val="-2109963671"/>
          </w:sdtPr>
          <w:sdtContent>
            <w:tc>
              <w:tcPr>
                <w:tcW w:w="709" w:type="dxa"/>
                <w:vAlign w:val="center"/>
              </w:tcPr>
              <w:p w14:paraId="39DAAF9F">
                <w:pPr>
                  <w:jc w:val="center"/>
                  <w:rPr>
                    <w:rFonts w:ascii="Calibri" w:hAnsi="Calibri"/>
                    <w:sz w:val="20"/>
                    <w:szCs w:val="20"/>
                  </w:rPr>
                </w:pPr>
                <w:r>
                  <w:rPr>
                    <w:rFonts w:hint="eastAsia" w:ascii="Calibri" w:hAnsi="Calibri"/>
                    <w:sz w:val="20"/>
                    <w:szCs w:val="20"/>
                  </w:rPr>
                  <w:t>承诺</w:t>
                </w:r>
              </w:p>
              <w:p w14:paraId="1B61E542">
                <w:pPr>
                  <w:jc w:val="center"/>
                  <w:rPr>
                    <w:rFonts w:ascii="Calibri" w:hAnsi="Calibri"/>
                    <w:sz w:val="20"/>
                    <w:szCs w:val="20"/>
                  </w:rPr>
                </w:pPr>
                <w:r>
                  <w:rPr>
                    <w:rFonts w:hint="eastAsia" w:ascii="Calibri" w:hAnsi="Calibri"/>
                    <w:sz w:val="20"/>
                    <w:szCs w:val="20"/>
                  </w:rPr>
                  <w:t>类型</w:t>
                </w:r>
              </w:p>
            </w:tc>
          </w:sdtContent>
        </w:sdt>
        <w:sdt>
          <w:sdtPr>
            <w:tag w:val="_PLD_4e3459cf954648c5ade489d7f239c9b2"/>
            <w:id w:val="1662573355"/>
          </w:sdtPr>
          <w:sdtContent>
            <w:tc>
              <w:tcPr>
                <w:tcW w:w="1276" w:type="dxa"/>
                <w:vAlign w:val="center"/>
              </w:tcPr>
              <w:p w14:paraId="4DFE933D">
                <w:pPr>
                  <w:jc w:val="center"/>
                  <w:rPr>
                    <w:rFonts w:ascii="Calibri" w:hAnsi="Calibri"/>
                    <w:sz w:val="20"/>
                    <w:szCs w:val="20"/>
                  </w:rPr>
                </w:pPr>
                <w:r>
                  <w:rPr>
                    <w:rFonts w:hint="eastAsia" w:ascii="Calibri" w:hAnsi="Calibri"/>
                    <w:sz w:val="20"/>
                    <w:szCs w:val="20"/>
                  </w:rPr>
                  <w:t>承诺方</w:t>
                </w:r>
              </w:p>
            </w:tc>
          </w:sdtContent>
        </w:sdt>
        <w:sdt>
          <w:sdtPr>
            <w:tag w:val="_PLD_b7ba969a5a9f484b969e33829f8fee27"/>
            <w:id w:val="2086105903"/>
          </w:sdtPr>
          <w:sdtContent>
            <w:tc>
              <w:tcPr>
                <w:tcW w:w="2259" w:type="dxa"/>
                <w:vAlign w:val="center"/>
              </w:tcPr>
              <w:p w14:paraId="3C931E85">
                <w:pPr>
                  <w:jc w:val="center"/>
                  <w:rPr>
                    <w:rFonts w:ascii="Calibri" w:hAnsi="Calibri"/>
                    <w:sz w:val="20"/>
                    <w:szCs w:val="20"/>
                  </w:rPr>
                </w:pPr>
                <w:r>
                  <w:rPr>
                    <w:rFonts w:hint="eastAsia" w:ascii="Calibri" w:hAnsi="Calibri"/>
                    <w:sz w:val="20"/>
                    <w:szCs w:val="20"/>
                  </w:rPr>
                  <w:t>承诺</w:t>
                </w:r>
              </w:p>
              <w:p w14:paraId="1621528E">
                <w:pPr>
                  <w:jc w:val="center"/>
                  <w:rPr>
                    <w:rFonts w:ascii="Calibri" w:hAnsi="Calibri"/>
                    <w:sz w:val="20"/>
                    <w:szCs w:val="20"/>
                  </w:rPr>
                </w:pPr>
                <w:r>
                  <w:rPr>
                    <w:rFonts w:hint="eastAsia" w:ascii="Calibri" w:hAnsi="Calibri"/>
                    <w:sz w:val="20"/>
                    <w:szCs w:val="20"/>
                  </w:rPr>
                  <w:t>内容</w:t>
                </w:r>
              </w:p>
            </w:tc>
          </w:sdtContent>
        </w:sdt>
        <w:sdt>
          <w:sdtPr>
            <w:tag w:val="_PLD_080af5a89fc040bc90935cec09ab2cd1"/>
            <w:id w:val="466095729"/>
          </w:sdtPr>
          <w:sdtContent>
            <w:tc>
              <w:tcPr>
                <w:tcW w:w="942" w:type="dxa"/>
                <w:vAlign w:val="center"/>
              </w:tcPr>
              <w:p w14:paraId="07D992D4">
                <w:pPr>
                  <w:jc w:val="center"/>
                  <w:rPr>
                    <w:rFonts w:ascii="Calibri" w:hAnsi="Calibri"/>
                    <w:sz w:val="20"/>
                    <w:szCs w:val="20"/>
                  </w:rPr>
                </w:pPr>
                <w:r>
                  <w:rPr>
                    <w:rFonts w:hint="eastAsia" w:ascii="Calibri" w:hAnsi="Calibri"/>
                    <w:sz w:val="20"/>
                    <w:szCs w:val="20"/>
                  </w:rPr>
                  <w:t>承诺时间</w:t>
                </w:r>
              </w:p>
            </w:tc>
          </w:sdtContent>
        </w:sdt>
        <w:sdt>
          <w:sdtPr>
            <w:tag w:val="_PLD_81953845df7c406091c017485ffe89d0"/>
            <w:id w:val="1606700078"/>
          </w:sdtPr>
          <w:sdtContent>
            <w:tc>
              <w:tcPr>
                <w:tcW w:w="768" w:type="dxa"/>
                <w:vAlign w:val="center"/>
              </w:tcPr>
              <w:p w14:paraId="1C7257E9">
                <w:pPr>
                  <w:jc w:val="center"/>
                  <w:rPr>
                    <w:rFonts w:ascii="Calibri" w:hAnsi="Calibri"/>
                    <w:sz w:val="20"/>
                    <w:szCs w:val="20"/>
                  </w:rPr>
                </w:pPr>
                <w:r>
                  <w:rPr>
                    <w:rFonts w:hint="eastAsia" w:ascii="Calibri" w:hAnsi="Calibri"/>
                    <w:sz w:val="20"/>
                    <w:szCs w:val="20"/>
                  </w:rPr>
                  <w:t>是否有履行期限</w:t>
                </w:r>
              </w:p>
            </w:tc>
          </w:sdtContent>
        </w:sdt>
        <w:sdt>
          <w:sdtPr>
            <w:tag w:val="_PLD_95bd18790c864943ab7728a2218411a4"/>
            <w:id w:val="-656613724"/>
          </w:sdtPr>
          <w:sdtContent>
            <w:tc>
              <w:tcPr>
                <w:tcW w:w="1100" w:type="dxa"/>
                <w:vAlign w:val="center"/>
              </w:tcPr>
              <w:p w14:paraId="72E47EB3">
                <w:pPr>
                  <w:jc w:val="center"/>
                  <w:rPr>
                    <w:rFonts w:ascii="Calibri" w:hAnsi="Calibri"/>
                    <w:sz w:val="20"/>
                    <w:szCs w:val="20"/>
                  </w:rPr>
                </w:pPr>
                <w:r>
                  <w:rPr>
                    <w:rFonts w:hint="eastAsia" w:ascii="Calibri" w:hAnsi="Calibri"/>
                    <w:sz w:val="20"/>
                    <w:szCs w:val="20"/>
                  </w:rPr>
                  <w:t>承诺期限</w:t>
                </w:r>
              </w:p>
            </w:tc>
          </w:sdtContent>
        </w:sdt>
        <w:sdt>
          <w:sdtPr>
            <w:tag w:val="_PLD_f70c8d8e3e374db7a8e212809462bcc0"/>
            <w:id w:val="-1679113574"/>
          </w:sdtPr>
          <w:sdtContent>
            <w:tc>
              <w:tcPr>
                <w:tcW w:w="743" w:type="dxa"/>
                <w:vAlign w:val="center"/>
              </w:tcPr>
              <w:p w14:paraId="460A5F27">
                <w:pPr>
                  <w:jc w:val="center"/>
                  <w:rPr>
                    <w:rFonts w:ascii="Calibri" w:hAnsi="Calibri"/>
                    <w:sz w:val="20"/>
                    <w:szCs w:val="20"/>
                  </w:rPr>
                </w:pPr>
                <w:r>
                  <w:rPr>
                    <w:rFonts w:hint="eastAsia" w:ascii="Calibri" w:hAnsi="Calibri"/>
                    <w:sz w:val="20"/>
                    <w:szCs w:val="20"/>
                  </w:rPr>
                  <w:t>是否及时严格履行</w:t>
                </w:r>
              </w:p>
            </w:tc>
          </w:sdtContent>
        </w:sdt>
        <w:sdt>
          <w:sdtPr>
            <w:tag w:val="_PLD_30da9c1a74564266bdab010410b3cfc4"/>
            <w:id w:val="-6132976"/>
          </w:sdtPr>
          <w:sdtContent>
            <w:tc>
              <w:tcPr>
                <w:tcW w:w="992" w:type="dxa"/>
                <w:vAlign w:val="center"/>
              </w:tcPr>
              <w:p w14:paraId="59D5FCE7">
                <w:pPr>
                  <w:jc w:val="center"/>
                  <w:rPr>
                    <w:rFonts w:ascii="Calibri" w:hAnsi="Calibri"/>
                    <w:sz w:val="20"/>
                    <w:szCs w:val="20"/>
                  </w:rPr>
                </w:pPr>
                <w:r>
                  <w:rPr>
                    <w:rFonts w:hint="eastAsia" w:ascii="Calibri" w:hAnsi="Calibri"/>
                    <w:sz w:val="20"/>
                    <w:szCs w:val="20"/>
                  </w:rPr>
                  <w:t>如未能及时履行应说明未完成履行的具体原因</w:t>
                </w:r>
              </w:p>
            </w:tc>
          </w:sdtContent>
        </w:sdt>
        <w:sdt>
          <w:sdtPr>
            <w:tag w:val="_PLD_885166d72adc442aaa68aa0f496582ae"/>
            <w:id w:val="-1419473131"/>
          </w:sdtPr>
          <w:sdtContent>
            <w:tc>
              <w:tcPr>
                <w:tcW w:w="851" w:type="dxa"/>
                <w:vAlign w:val="center"/>
              </w:tcPr>
              <w:p w14:paraId="45E8E652">
                <w:pPr>
                  <w:jc w:val="center"/>
                  <w:rPr>
                    <w:rFonts w:ascii="Calibri" w:hAnsi="Calibri"/>
                    <w:sz w:val="20"/>
                    <w:szCs w:val="20"/>
                  </w:rPr>
                </w:pPr>
                <w:r>
                  <w:rPr>
                    <w:rFonts w:hint="eastAsia" w:ascii="Calibri" w:hAnsi="Calibri"/>
                    <w:sz w:val="20"/>
                    <w:szCs w:val="20"/>
                  </w:rPr>
                  <w:t>如未能及时履行应说明下一步计划</w:t>
                </w:r>
              </w:p>
            </w:tc>
          </w:sdtContent>
        </w:sdt>
      </w:tr>
      <w:tr w14:paraId="63EB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4" w:hRule="atLeast"/>
        </w:trPr>
        <w:tc>
          <w:tcPr>
            <w:tcW w:w="851" w:type="dxa"/>
            <w:vMerge w:val="restart"/>
            <w:vAlign w:val="center"/>
          </w:tcPr>
          <w:p w14:paraId="129D597A">
            <w:pPr>
              <w:jc w:val="both"/>
              <w:rPr>
                <w:rFonts w:ascii="Calibri" w:hAnsi="Calibri"/>
                <w:sz w:val="20"/>
                <w:szCs w:val="20"/>
              </w:rPr>
            </w:pPr>
            <w:r>
              <w:rPr>
                <w:rFonts w:hint="eastAsia" w:ascii="Calibri" w:hAnsi="Calibri"/>
                <w:sz w:val="20"/>
                <w:szCs w:val="20"/>
              </w:rPr>
              <w:t>与再融资相关的承诺</w:t>
            </w:r>
          </w:p>
        </w:tc>
        <w:sdt>
          <w:sdtPr>
            <w:alias w:val="与再融资相关的承诺-承诺类型"/>
            <w:tag w:val="_GBC_43b8e587b05f41abb7a4e371ebc768a4"/>
            <w:id w:val="1867940942"/>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709" w:type="dxa"/>
                <w:vAlign w:val="center"/>
              </w:tcPr>
              <w:p w14:paraId="53D92194">
                <w:pPr>
                  <w:pStyle w:val="48"/>
                  <w:rPr>
                    <w:sz w:val="20"/>
                    <w:szCs w:val="20"/>
                  </w:rPr>
                </w:pPr>
                <w:r>
                  <w:rPr>
                    <w:sz w:val="20"/>
                    <w:szCs w:val="20"/>
                  </w:rPr>
                  <w:t>解决关联交易</w:t>
                </w:r>
              </w:p>
            </w:tc>
          </w:sdtContent>
        </w:sdt>
        <w:tc>
          <w:tcPr>
            <w:tcW w:w="1276" w:type="dxa"/>
            <w:vAlign w:val="center"/>
          </w:tcPr>
          <w:p w14:paraId="1CD001EC">
            <w:pPr>
              <w:jc w:val="both"/>
              <w:rPr>
                <w:rFonts w:ascii="Calibri" w:hAnsi="Calibri"/>
                <w:sz w:val="20"/>
                <w:szCs w:val="20"/>
              </w:rPr>
            </w:pPr>
            <w:r>
              <w:rPr>
                <w:rFonts w:ascii="Calibri" w:hAnsi="Calibri"/>
                <w:sz w:val="20"/>
                <w:szCs w:val="20"/>
              </w:rPr>
              <w:t>东宝集团、李一奎</w:t>
            </w:r>
          </w:p>
        </w:tc>
        <w:tc>
          <w:tcPr>
            <w:tcW w:w="2259" w:type="dxa"/>
            <w:vAlign w:val="center"/>
          </w:tcPr>
          <w:p w14:paraId="08E168DC">
            <w:pPr>
              <w:jc w:val="both"/>
              <w:rPr>
                <w:rFonts w:ascii="Calibri" w:hAnsi="Calibri"/>
                <w:sz w:val="20"/>
                <w:szCs w:val="20"/>
              </w:rPr>
            </w:pPr>
            <w:r>
              <w:rPr>
                <w:rFonts w:ascii="Calibri" w:hAnsi="Calibri"/>
                <w:sz w:val="20"/>
                <w:szCs w:val="20"/>
              </w:rPr>
              <w:t>控股股东及实际控制人承诺，将尽力减少或避免与公司的关联交易，如确有必要，则遵循公允定价原则，严格遵守发行人关于关联交易的决策制度。</w:t>
            </w:r>
          </w:p>
        </w:tc>
        <w:tc>
          <w:tcPr>
            <w:tcW w:w="942" w:type="dxa"/>
            <w:vAlign w:val="center"/>
          </w:tcPr>
          <w:p w14:paraId="25A10195">
            <w:pPr>
              <w:jc w:val="both"/>
              <w:rPr>
                <w:rFonts w:ascii="Calibri" w:hAnsi="Calibri"/>
                <w:sz w:val="20"/>
                <w:szCs w:val="20"/>
              </w:rPr>
            </w:pPr>
            <w:r>
              <w:rPr>
                <w:rFonts w:ascii="Calibri" w:hAnsi="Calibri"/>
                <w:sz w:val="20"/>
                <w:szCs w:val="20"/>
              </w:rPr>
              <w:t>2015年12月11日</w:t>
            </w:r>
          </w:p>
        </w:tc>
        <w:tc>
          <w:tcPr>
            <w:tcW w:w="768" w:type="dxa"/>
            <w:vAlign w:val="center"/>
          </w:tcPr>
          <w:p w14:paraId="76EEE760">
            <w:pPr>
              <w:jc w:val="center"/>
              <w:rPr>
                <w:rFonts w:ascii="Calibri" w:hAnsi="Calibri"/>
                <w:sz w:val="20"/>
                <w:szCs w:val="20"/>
              </w:rPr>
            </w:pPr>
            <w:r>
              <w:rPr>
                <w:rFonts w:ascii="Calibri" w:hAnsi="Calibri"/>
                <w:sz w:val="20"/>
                <w:szCs w:val="20"/>
              </w:rPr>
              <w:t>是</w:t>
            </w:r>
          </w:p>
        </w:tc>
        <w:tc>
          <w:tcPr>
            <w:tcW w:w="1100" w:type="dxa"/>
            <w:vAlign w:val="center"/>
          </w:tcPr>
          <w:p w14:paraId="6DD24942">
            <w:pPr>
              <w:jc w:val="both"/>
              <w:rPr>
                <w:rFonts w:ascii="Calibri" w:hAnsi="Calibri"/>
                <w:sz w:val="20"/>
                <w:szCs w:val="20"/>
              </w:rPr>
            </w:pPr>
            <w:r>
              <w:rPr>
                <w:rFonts w:ascii="Calibri" w:hAnsi="Calibri"/>
                <w:sz w:val="20"/>
                <w:szCs w:val="20"/>
              </w:rPr>
              <w:t>持有发行人股份的任何期限内。</w:t>
            </w:r>
          </w:p>
        </w:tc>
        <w:tc>
          <w:tcPr>
            <w:tcW w:w="743" w:type="dxa"/>
            <w:vAlign w:val="center"/>
          </w:tcPr>
          <w:p w14:paraId="18AFF237">
            <w:pPr>
              <w:jc w:val="center"/>
              <w:rPr>
                <w:rFonts w:ascii="Calibri" w:hAnsi="Calibri"/>
                <w:sz w:val="20"/>
                <w:szCs w:val="20"/>
              </w:rPr>
            </w:pPr>
            <w:r>
              <w:rPr>
                <w:rFonts w:ascii="Calibri" w:hAnsi="Calibri"/>
                <w:sz w:val="20"/>
                <w:szCs w:val="20"/>
              </w:rPr>
              <w:t>是</w:t>
            </w:r>
          </w:p>
        </w:tc>
        <w:tc>
          <w:tcPr>
            <w:tcW w:w="992" w:type="dxa"/>
            <w:vAlign w:val="center"/>
          </w:tcPr>
          <w:p w14:paraId="224F49CA">
            <w:pPr>
              <w:jc w:val="center"/>
              <w:rPr>
                <w:rFonts w:ascii="Calibri" w:hAnsi="Calibri"/>
                <w:sz w:val="20"/>
                <w:szCs w:val="20"/>
              </w:rPr>
            </w:pPr>
            <w:r>
              <w:rPr>
                <w:rFonts w:ascii="Calibri" w:hAnsi="Calibri"/>
                <w:sz w:val="20"/>
                <w:szCs w:val="20"/>
              </w:rPr>
              <w:t>不适用</w:t>
            </w:r>
          </w:p>
        </w:tc>
        <w:tc>
          <w:tcPr>
            <w:tcW w:w="851" w:type="dxa"/>
            <w:vAlign w:val="center"/>
          </w:tcPr>
          <w:p w14:paraId="67912E15">
            <w:pPr>
              <w:jc w:val="center"/>
              <w:rPr>
                <w:rFonts w:ascii="Calibri" w:hAnsi="Calibri"/>
                <w:sz w:val="20"/>
                <w:szCs w:val="20"/>
              </w:rPr>
            </w:pPr>
            <w:r>
              <w:rPr>
                <w:rFonts w:ascii="Calibri" w:hAnsi="Calibri"/>
                <w:sz w:val="20"/>
                <w:szCs w:val="20"/>
              </w:rPr>
              <w:t>不适用</w:t>
            </w:r>
          </w:p>
        </w:tc>
      </w:tr>
      <w:tr w14:paraId="4060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851" w:type="dxa"/>
            <w:vMerge w:val="continue"/>
            <w:vAlign w:val="center"/>
          </w:tcPr>
          <w:p w14:paraId="723E9062">
            <w:pPr>
              <w:pStyle w:val="48"/>
              <w:rPr>
                <w:sz w:val="20"/>
                <w:szCs w:val="20"/>
              </w:rPr>
            </w:pPr>
          </w:p>
        </w:tc>
        <w:sdt>
          <w:sdtPr>
            <w:alias w:val="与再融资相关的承诺-承诺类型"/>
            <w:tag w:val="_GBC_43b8e587b05f41abb7a4e371ebc768a4"/>
            <w:id w:val="-13804021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709" w:type="dxa"/>
                <w:vAlign w:val="center"/>
              </w:tcPr>
              <w:p w14:paraId="00007DA1">
                <w:pPr>
                  <w:pStyle w:val="48"/>
                  <w:rPr>
                    <w:sz w:val="20"/>
                    <w:szCs w:val="20"/>
                  </w:rPr>
                </w:pPr>
                <w:r>
                  <w:rPr>
                    <w:sz w:val="20"/>
                    <w:szCs w:val="20"/>
                  </w:rPr>
                  <w:t>解决同业竞争</w:t>
                </w:r>
              </w:p>
            </w:tc>
          </w:sdtContent>
        </w:sdt>
        <w:tc>
          <w:tcPr>
            <w:tcW w:w="1276" w:type="dxa"/>
            <w:vAlign w:val="center"/>
          </w:tcPr>
          <w:p w14:paraId="1198FAA4">
            <w:pPr>
              <w:jc w:val="both"/>
              <w:rPr>
                <w:rFonts w:ascii="Calibri" w:hAnsi="Calibri"/>
                <w:sz w:val="20"/>
                <w:szCs w:val="20"/>
              </w:rPr>
            </w:pPr>
            <w:r>
              <w:rPr>
                <w:rFonts w:ascii="Calibri" w:hAnsi="Calibri"/>
                <w:sz w:val="20"/>
                <w:szCs w:val="20"/>
              </w:rPr>
              <w:t>东宝集团、李一奎</w:t>
            </w:r>
          </w:p>
        </w:tc>
        <w:tc>
          <w:tcPr>
            <w:tcW w:w="2259" w:type="dxa"/>
            <w:vAlign w:val="center"/>
          </w:tcPr>
          <w:p w14:paraId="0B6AB3B1">
            <w:pPr>
              <w:jc w:val="both"/>
              <w:rPr>
                <w:rFonts w:ascii="Calibri" w:hAnsi="Calibri"/>
                <w:sz w:val="20"/>
                <w:szCs w:val="20"/>
              </w:rPr>
            </w:pPr>
            <w:r>
              <w:rPr>
                <w:rFonts w:ascii="Calibri" w:hAnsi="Calibri"/>
                <w:sz w:val="20"/>
                <w:szCs w:val="20"/>
              </w:rPr>
              <w:t>控股股东及实际控制人承诺：全力支持通化东宝解决潜在同业竞争问题。</w:t>
            </w:r>
          </w:p>
        </w:tc>
        <w:tc>
          <w:tcPr>
            <w:tcW w:w="942" w:type="dxa"/>
            <w:vAlign w:val="center"/>
          </w:tcPr>
          <w:p w14:paraId="5811D99E">
            <w:pPr>
              <w:jc w:val="both"/>
              <w:rPr>
                <w:rFonts w:ascii="Calibri" w:hAnsi="Calibri"/>
                <w:sz w:val="20"/>
                <w:szCs w:val="20"/>
              </w:rPr>
            </w:pPr>
            <w:r>
              <w:rPr>
                <w:rFonts w:ascii="Calibri" w:hAnsi="Calibri"/>
                <w:sz w:val="20"/>
                <w:szCs w:val="20"/>
              </w:rPr>
              <w:t>2015年12月11日</w:t>
            </w:r>
          </w:p>
        </w:tc>
        <w:tc>
          <w:tcPr>
            <w:tcW w:w="768" w:type="dxa"/>
            <w:vAlign w:val="center"/>
          </w:tcPr>
          <w:p w14:paraId="5F41539C">
            <w:pPr>
              <w:jc w:val="center"/>
              <w:rPr>
                <w:rFonts w:ascii="Calibri" w:hAnsi="Calibri"/>
                <w:sz w:val="20"/>
                <w:szCs w:val="20"/>
              </w:rPr>
            </w:pPr>
            <w:r>
              <w:rPr>
                <w:rFonts w:ascii="Calibri" w:hAnsi="Calibri"/>
                <w:sz w:val="20"/>
                <w:szCs w:val="20"/>
              </w:rPr>
              <w:t>是</w:t>
            </w:r>
          </w:p>
        </w:tc>
        <w:tc>
          <w:tcPr>
            <w:tcW w:w="1100" w:type="dxa"/>
            <w:vAlign w:val="center"/>
          </w:tcPr>
          <w:p w14:paraId="31308F6C">
            <w:pPr>
              <w:jc w:val="both"/>
              <w:rPr>
                <w:rFonts w:ascii="Calibri" w:hAnsi="Calibri"/>
                <w:sz w:val="20"/>
                <w:szCs w:val="20"/>
              </w:rPr>
            </w:pPr>
            <w:r>
              <w:rPr>
                <w:rFonts w:ascii="Calibri" w:hAnsi="Calibri"/>
                <w:sz w:val="20"/>
                <w:szCs w:val="20"/>
              </w:rPr>
              <w:t>自签署之日起至东宝集团不再直接或间接持有通化东宝股份之日止。</w:t>
            </w:r>
          </w:p>
        </w:tc>
        <w:tc>
          <w:tcPr>
            <w:tcW w:w="743" w:type="dxa"/>
            <w:vAlign w:val="center"/>
          </w:tcPr>
          <w:p w14:paraId="21528D6F">
            <w:pPr>
              <w:jc w:val="center"/>
              <w:rPr>
                <w:rFonts w:ascii="Calibri" w:hAnsi="Calibri"/>
                <w:sz w:val="20"/>
                <w:szCs w:val="20"/>
              </w:rPr>
            </w:pPr>
            <w:r>
              <w:rPr>
                <w:rFonts w:ascii="Calibri" w:hAnsi="Calibri"/>
                <w:sz w:val="20"/>
                <w:szCs w:val="20"/>
              </w:rPr>
              <w:t>是</w:t>
            </w:r>
          </w:p>
        </w:tc>
        <w:tc>
          <w:tcPr>
            <w:tcW w:w="992" w:type="dxa"/>
            <w:vAlign w:val="center"/>
          </w:tcPr>
          <w:p w14:paraId="1DA51E05">
            <w:pPr>
              <w:jc w:val="center"/>
              <w:rPr>
                <w:rFonts w:ascii="Calibri" w:hAnsi="Calibri"/>
                <w:sz w:val="20"/>
                <w:szCs w:val="20"/>
              </w:rPr>
            </w:pPr>
            <w:r>
              <w:rPr>
                <w:rFonts w:ascii="Calibri" w:hAnsi="Calibri"/>
                <w:sz w:val="20"/>
                <w:szCs w:val="20"/>
              </w:rPr>
              <w:t>不适用</w:t>
            </w:r>
          </w:p>
        </w:tc>
        <w:tc>
          <w:tcPr>
            <w:tcW w:w="851" w:type="dxa"/>
            <w:vAlign w:val="center"/>
          </w:tcPr>
          <w:p w14:paraId="7A5CB6D4">
            <w:pPr>
              <w:jc w:val="center"/>
              <w:rPr>
                <w:rFonts w:ascii="Calibri" w:hAnsi="Calibri"/>
                <w:sz w:val="20"/>
                <w:szCs w:val="20"/>
              </w:rPr>
            </w:pPr>
            <w:r>
              <w:rPr>
                <w:rFonts w:ascii="Calibri" w:hAnsi="Calibri"/>
                <w:sz w:val="20"/>
                <w:szCs w:val="20"/>
              </w:rPr>
              <w:t>不适用</w:t>
            </w:r>
          </w:p>
        </w:tc>
      </w:tr>
    </w:tbl>
    <w:p w14:paraId="60751950">
      <w:pPr>
        <w:sectPr>
          <w:pgSz w:w="11906" w:h="16838"/>
          <w:pgMar w:top="1525" w:right="1276" w:bottom="1440" w:left="1797" w:header="855" w:footer="992" w:gutter="0"/>
          <w:cols w:space="425" w:num="1"/>
          <w:docGrid w:linePitch="312" w:charSpace="0"/>
        </w:sectPr>
      </w:pPr>
    </w:p>
    <w:p w14:paraId="51ABE41F">
      <w:pPr>
        <w:pStyle w:val="48"/>
      </w:pPr>
    </w:p>
    <w:p w14:paraId="316EB205">
      <w:pPr>
        <w:pStyle w:val="4"/>
        <w:numPr>
          <w:ilvl w:val="1"/>
          <w:numId w:val="30"/>
        </w:numPr>
        <w:rPr>
          <w:szCs w:val="21"/>
        </w:rPr>
      </w:pPr>
      <w:r>
        <w:rPr>
          <w:rFonts w:hint="eastAsia"/>
          <w:szCs w:val="21"/>
        </w:rPr>
        <w:t>公司资产或项目存在盈利预测，且报告期仍处在盈利预测期间，公司就资产或项目是否达到原盈利预测及其原因作出说明</w:t>
      </w:r>
    </w:p>
    <w:sdt>
      <w:sdtPr>
        <w:rPr>
          <w:rFonts w:asciiTheme="minorEastAsia" w:hAnsiTheme="minorEastAsia" w:eastAsiaTheme="minorEastAsia"/>
        </w:rPr>
        <w:alias w:val="是否适用：公司就资产或项目是否达到原盈利预测及其原因作出说明"/>
        <w:tag w:val="_GBC_f8fa889013a24cb79a6ed52423d2c5a8"/>
        <w:id w:val="117960522"/>
        <w:placeholder>
          <w:docPart w:val="GBC22222222222222222222222222222"/>
        </w:placeholder>
      </w:sdtPr>
      <w:sdtEndPr>
        <w:rPr>
          <w:rFonts w:asciiTheme="minorEastAsia" w:hAnsiTheme="minorEastAsia" w:eastAsiaTheme="minorEastAsia"/>
        </w:rPr>
      </w:sdtEndPr>
      <w:sdtContent>
        <w:p w14:paraId="571B930E">
          <w:pPr>
            <w:pStyle w:val="48"/>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□已达到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□未达到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14:paraId="1B5959D6">
      <w:pPr>
        <w:pStyle w:val="48"/>
      </w:pPr>
    </w:p>
    <w:p w14:paraId="0AC72805">
      <w:pPr>
        <w:pStyle w:val="4"/>
        <w:numPr>
          <w:ilvl w:val="1"/>
          <w:numId w:val="30"/>
        </w:numPr>
        <w:rPr>
          <w:szCs w:val="21"/>
        </w:rPr>
      </w:pPr>
      <w:bookmarkStart w:id="134" w:name="OLE_LINK7"/>
      <w:bookmarkStart w:id="135" w:name="_Hlk190432639"/>
      <w:r>
        <w:rPr>
          <w:rFonts w:hint="eastAsia"/>
          <w:szCs w:val="21"/>
        </w:rPr>
        <w:t>业绩承诺情况</w:t>
      </w:r>
    </w:p>
    <w:bookmarkEnd w:id="134"/>
    <w:sdt>
      <w:sdtPr>
        <w:rPr>
          <w:rFonts w:hint="eastAsia"/>
        </w:rPr>
        <w:alias w:val="是否适用：业绩承诺情况[双击切换]"/>
        <w:tag w:val="_GBC_4bc1b1ef9a5943f1bc075242961e8bbe"/>
        <w:id w:val="1445426227"/>
        <w:placeholder>
          <w:docPart w:val="GBC22222222222222222222222222222"/>
        </w:placeholder>
      </w:sdtPr>
      <w:sdtEndPr>
        <w:rPr>
          <w:rFonts w:hint="eastAsia"/>
        </w:rPr>
      </w:sdtEndPr>
      <w:sdtContent>
        <w:p w14:paraId="598CDEC8">
          <w:pPr>
            <w:pStyle w:val="48"/>
          </w:pPr>
          <w:r>
            <w:rPr>
              <w:rFonts w:hint="eastAsia" w:ascii="宋体" w:hAnsi="宋体"/>
            </w:rPr>
            <w:fldChar w:fldCharType="begin"/>
          </w:r>
          <w:r>
            <w:rPr>
              <w:rFonts w:ascii="宋体" w:hAnsi="宋体"/>
            </w:rPr>
            <w:instrText xml:space="preserve"> MACROBUTTON  SnrToggleCheckbox □适用 </w:instrText>
          </w:r>
          <w:r>
            <w:rPr>
              <w:rFonts w:hint="eastAsia" w:ascii="宋体" w:hAnsi="宋体"/>
            </w:rPr>
            <w:fldChar w:fldCharType="end"/>
          </w:r>
          <w:r>
            <w:rPr>
              <w:rFonts w:hint="eastAsia" w:ascii="宋体" w:hAnsi="宋体"/>
            </w:rPr>
            <w:fldChar w:fldCharType="begin"/>
          </w:r>
          <w:r>
            <w:rPr>
              <w:rFonts w:ascii="宋体" w:hAnsi="宋体"/>
            </w:rPr>
            <w:instrText xml:space="preserve"> MACROBUTTON  SnrToggleCheckbox √不适用 </w:instrText>
          </w:r>
          <w:r>
            <w:rPr>
              <w:rFonts w:hint="eastAsia" w:ascii="宋体" w:hAnsi="宋体"/>
            </w:rPr>
            <w:fldChar w:fldCharType="end"/>
          </w:r>
        </w:p>
      </w:sdtContent>
    </w:sdt>
    <w:p w14:paraId="77B88D25">
      <w:pPr>
        <w:pStyle w:val="48"/>
      </w:pPr>
    </w:p>
    <w:p w14:paraId="4B21483D">
      <w:pPr>
        <w:pStyle w:val="48"/>
      </w:pPr>
      <w:r>
        <w:rPr>
          <w:rFonts w:hint="eastAsia"/>
          <w:bCs/>
        </w:rPr>
        <w:t>业绩承诺变更情况</w:t>
      </w:r>
    </w:p>
    <w:sdt>
      <w:sdtPr>
        <w:rPr>
          <w:rFonts w:hint="eastAsia"/>
        </w:rPr>
        <w:alias w:val="是否适用：业绩承诺变更情况[双击切换]"/>
        <w:tag w:val="_GBC_8bb44889d76e41f78196a5f39e535c73"/>
        <w:id w:val="332734803"/>
        <w:placeholder>
          <w:docPart w:val="GBC22222222222222222222222222222"/>
        </w:placeholder>
      </w:sdtPr>
      <w:sdtEndPr>
        <w:rPr>
          <w:rFonts w:hint="eastAsia"/>
        </w:rPr>
      </w:sdtEndPr>
      <w:sdtContent>
        <w:p w14:paraId="7E817D08">
          <w:pPr>
            <w:pStyle w:val="48"/>
          </w:pPr>
          <w:r>
            <w:rPr>
              <w:rFonts w:hint="eastAsia" w:ascii="宋体" w:hAnsi="宋体"/>
            </w:rPr>
            <w:fldChar w:fldCharType="begin"/>
          </w:r>
          <w:r>
            <w:rPr>
              <w:rFonts w:ascii="宋体" w:hAnsi="宋体"/>
            </w:rPr>
            <w:instrText xml:space="preserve"> MACROBUTTON  SnrToggleCheckbox □适用 </w:instrText>
          </w:r>
          <w:r>
            <w:rPr>
              <w:rFonts w:hint="eastAsia" w:ascii="宋体" w:hAnsi="宋体"/>
            </w:rPr>
            <w:fldChar w:fldCharType="end"/>
          </w:r>
          <w:r>
            <w:rPr>
              <w:rFonts w:hint="eastAsia" w:ascii="宋体" w:hAnsi="宋体"/>
            </w:rPr>
            <w:fldChar w:fldCharType="begin"/>
          </w:r>
          <w:r>
            <w:rPr>
              <w:rFonts w:ascii="宋体" w:hAnsi="宋体"/>
            </w:rPr>
            <w:instrText xml:space="preserve"> MACROBUTTON  SnrToggleCheckbox √不适用 </w:instrText>
          </w:r>
          <w:r>
            <w:rPr>
              <w:rFonts w:hint="eastAsia" w:ascii="宋体" w:hAnsi="宋体"/>
            </w:rPr>
            <w:fldChar w:fldCharType="end"/>
          </w:r>
        </w:p>
      </w:sdtContent>
    </w:sdt>
    <w:p w14:paraId="4BC2B08A">
      <w:pPr>
        <w:pStyle w:val="48"/>
      </w:pPr>
    </w:p>
    <w:p w14:paraId="374BC2D4">
      <w:pPr>
        <w:pStyle w:val="48"/>
      </w:pPr>
      <w:bookmarkStart w:id="136" w:name="_Hlk533667679"/>
      <w:bookmarkEnd w:id="136"/>
      <w:bookmarkStart w:id="137" w:name="_Hlk191039168"/>
      <w:r>
        <w:rPr>
          <w:rFonts w:hint="eastAsia"/>
          <w:bCs/>
        </w:rPr>
        <w:t>其他说明</w:t>
      </w:r>
    </w:p>
    <w:p w14:paraId="27939848">
      <w:pPr>
        <w:pStyle w:val="48"/>
      </w:pPr>
      <w:sdt>
        <w:sdtPr>
          <w:rPr>
            <w:rFonts w:hint="eastAsia"/>
            <w:b/>
          </w:rPr>
          <w:alias w:val="是否适用：承诺事项-商誉减值测试的影响[双击切换]"/>
          <w:tag w:val="_GBC_bbcebd5eccb545a982a878b392419b4e"/>
          <w:id w:val="-1456017116"/>
          <w:placeholder>
            <w:docPart w:val="GBC22222222222222222222222222222"/>
          </w:placeholder>
        </w:sdtPr>
        <w:sdtEndPr>
          <w:rPr>
            <w:rFonts w:hint="eastAsia"/>
            <w:b/>
          </w:rPr>
        </w:sdtEndPr>
        <w:sdtContent>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bookmarkEnd w:id="135"/>
    <w:bookmarkEnd w:id="137"/>
    <w:p w14:paraId="28CB5340">
      <w:pPr>
        <w:pStyle w:val="48"/>
      </w:pPr>
    </w:p>
    <w:p w14:paraId="1053E69C">
      <w:pPr>
        <w:sectPr>
          <w:pgSz w:w="11906" w:h="16838"/>
          <w:pgMar w:top="1525" w:right="1276" w:bottom="1440" w:left="1797" w:header="855" w:footer="992" w:gutter="0"/>
          <w:cols w:space="425" w:num="1"/>
          <w:docGrid w:linePitch="312" w:charSpace="0"/>
        </w:sectPr>
      </w:pPr>
    </w:p>
    <w:p w14:paraId="4F19DB9D">
      <w:pPr>
        <w:pStyle w:val="3"/>
        <w:numPr>
          <w:ilvl w:val="0"/>
          <w:numId w:val="29"/>
        </w:numPr>
      </w:pPr>
      <w:bookmarkStart w:id="138" w:name="_Hlk89336052"/>
      <w:r>
        <w:rPr>
          <w:rFonts w:hint="eastAsia"/>
        </w:rPr>
        <w:t>报告期内控股股东及其他关联方非经营性占用资金情况</w:t>
      </w:r>
    </w:p>
    <w:sdt>
      <w:sdtPr>
        <w:alias w:val="是否适用：资金被占用情况及清欠进展情况[双击切换]"/>
        <w:tag w:val="_GBC_a94958949e0846929a78a71186526204"/>
        <w:id w:val="1655173434"/>
        <w:placeholder>
          <w:docPart w:val="GBC22222222222222222222222222222"/>
        </w:placeholder>
      </w:sdtPr>
      <w:sdtContent>
        <w:p w14:paraId="3282B3C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044BF50">
      <w:pPr>
        <w:jc w:val="right"/>
      </w:pPr>
      <w:bookmarkStart w:id="139" w:name="_Hlk74646365"/>
      <w:r>
        <w:rPr>
          <w:rFonts w:hint="eastAsia"/>
        </w:rPr>
        <w:t>单位：</w:t>
      </w:r>
      <w:sdt>
        <w:sdtPr>
          <w:rPr>
            <w:rFonts w:hint="eastAsia"/>
          </w:rPr>
          <w:alias w:val="单位：报告期内资金被占用情况及清欠进展情况"/>
          <w:tag w:val="_GBC_047138af665e4122bd67da5c07255a3e"/>
          <w:id w:val="-884101798"/>
          <w:placeholder>
            <w:docPart w:val="2011CBC88645498E8CD861FD6C5112DB"/>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t xml:space="preserve"> </w:t>
      </w:r>
      <w:r>
        <w:rPr>
          <w:rFonts w:hint="eastAsia"/>
        </w:rPr>
        <w:t>币种：</w:t>
      </w:r>
      <w:sdt>
        <w:sdtPr>
          <w:rPr>
            <w:rFonts w:hint="eastAsia"/>
          </w:rPr>
          <w:alias w:val="币种：报告期内资金被占用情况及清欠进展情况"/>
          <w:tag w:val="_GBC_1e17c09126af40598d5e443d57f02ffc"/>
          <w:id w:val="-1375613263"/>
          <w:placeholder>
            <w:docPart w:val="2011CBC88645498E8CD861FD6C5112DB"/>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rPr>
        </w:sdtEndPr>
        <w:sdtContent>
          <w:r>
            <w:rPr>
              <w:rFonts w:hint="eastAsia"/>
            </w:rPr>
            <w:t>人民币</w:t>
          </w:r>
        </w:sdtContent>
      </w:sdt>
    </w:p>
    <w:tbl>
      <w:tblPr>
        <w:tblStyle w:val="19"/>
        <w:tblW w:w="140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736"/>
        <w:gridCol w:w="1701"/>
        <w:gridCol w:w="709"/>
        <w:gridCol w:w="694"/>
        <w:gridCol w:w="491"/>
        <w:gridCol w:w="853"/>
        <w:gridCol w:w="1344"/>
        <w:gridCol w:w="958"/>
        <w:gridCol w:w="1496"/>
        <w:gridCol w:w="1496"/>
        <w:gridCol w:w="1324"/>
        <w:gridCol w:w="1327"/>
      </w:tblGrid>
      <w:tr w14:paraId="4F1A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36b3614281b4c61a354ad06f698edcb"/>
            <w:id w:val="171001677"/>
          </w:sdtPr>
          <w:sdtContent>
            <w:tc>
              <w:tcPr>
                <w:tcW w:w="960" w:type="dxa"/>
                <w:vAlign w:val="center"/>
              </w:tcPr>
              <w:p w14:paraId="0C5CE4C9">
                <w:pPr>
                  <w:jc w:val="center"/>
                </w:pPr>
                <w:r>
                  <w:rPr>
                    <w:rFonts w:hint="eastAsia"/>
                  </w:rPr>
                  <w:t>股东或关联方名称</w:t>
                </w:r>
              </w:p>
            </w:tc>
          </w:sdtContent>
        </w:sdt>
        <w:sdt>
          <w:sdtPr>
            <w:tag w:val="_PLD_8187fec6c74f46309d96ef4f2f0152e5"/>
            <w:id w:val="-1193297294"/>
          </w:sdtPr>
          <w:sdtContent>
            <w:tc>
              <w:tcPr>
                <w:tcW w:w="736" w:type="dxa"/>
                <w:vAlign w:val="center"/>
              </w:tcPr>
              <w:p w14:paraId="16B64599">
                <w:pPr>
                  <w:jc w:val="center"/>
                </w:pPr>
                <w:r>
                  <w:rPr>
                    <w:rFonts w:hint="eastAsia"/>
                  </w:rPr>
                  <w:t>关联关系</w:t>
                </w:r>
              </w:p>
            </w:tc>
          </w:sdtContent>
        </w:sdt>
        <w:sdt>
          <w:sdtPr>
            <w:tag w:val="_PLD_13303fc143a44ddabb81f331daa37144"/>
            <w:id w:val="204839551"/>
          </w:sdtPr>
          <w:sdtContent>
            <w:tc>
              <w:tcPr>
                <w:tcW w:w="1701" w:type="dxa"/>
                <w:vAlign w:val="center"/>
              </w:tcPr>
              <w:p w14:paraId="56DA0434">
                <w:pPr>
                  <w:jc w:val="center"/>
                </w:pPr>
                <w:r>
                  <w:rPr>
                    <w:rFonts w:hint="eastAsia"/>
                  </w:rPr>
                  <w:t>占用时间</w:t>
                </w:r>
              </w:p>
            </w:tc>
          </w:sdtContent>
        </w:sdt>
        <w:sdt>
          <w:sdtPr>
            <w:tag w:val="_PLD_3b944a9bb5174613bb228e881788f430"/>
            <w:id w:val="1686170507"/>
          </w:sdtPr>
          <w:sdtContent>
            <w:tc>
              <w:tcPr>
                <w:tcW w:w="709" w:type="dxa"/>
                <w:vAlign w:val="center"/>
              </w:tcPr>
              <w:p w14:paraId="0BBB7750">
                <w:pPr>
                  <w:jc w:val="center"/>
                </w:pPr>
                <w:r>
                  <w:rPr>
                    <w:rFonts w:hint="eastAsia"/>
                  </w:rPr>
                  <w:t>发生原因</w:t>
                </w:r>
              </w:p>
            </w:tc>
          </w:sdtContent>
        </w:sdt>
        <w:sdt>
          <w:sdtPr>
            <w:tag w:val="_PLD_e1046e29b022458882dceb343884f2db"/>
            <w:id w:val="-1659382259"/>
          </w:sdtPr>
          <w:sdtContent>
            <w:tc>
              <w:tcPr>
                <w:tcW w:w="694" w:type="dxa"/>
                <w:vAlign w:val="center"/>
              </w:tcPr>
              <w:p w14:paraId="1810F211">
                <w:pPr>
                  <w:jc w:val="center"/>
                </w:pPr>
                <w:r>
                  <w:rPr>
                    <w:rFonts w:hint="eastAsia"/>
                  </w:rPr>
                  <w:t>期初余额</w:t>
                </w:r>
              </w:p>
            </w:tc>
          </w:sdtContent>
        </w:sdt>
        <w:sdt>
          <w:sdtPr>
            <w:tag w:val="_PLD_7c18b5aca422424794a39b3e1b7ef8d1"/>
            <w:id w:val="549187346"/>
          </w:sdtPr>
          <w:sdtContent>
            <w:tc>
              <w:tcPr>
                <w:tcW w:w="1344" w:type="dxa"/>
                <w:gridSpan w:val="2"/>
                <w:vAlign w:val="center"/>
              </w:tcPr>
              <w:p w14:paraId="1F37734F">
                <w:pPr>
                  <w:jc w:val="center"/>
                </w:pPr>
                <w:r>
                  <w:rPr>
                    <w:rFonts w:hint="eastAsia"/>
                  </w:rPr>
                  <w:t>报告期新增占用金额</w:t>
                </w:r>
              </w:p>
            </w:tc>
          </w:sdtContent>
        </w:sdt>
        <w:sdt>
          <w:sdtPr>
            <w:tag w:val="_PLD_6862fa40d03d4782ab90a22a78c5722b"/>
            <w:id w:val="-203561710"/>
          </w:sdtPr>
          <w:sdtContent>
            <w:tc>
              <w:tcPr>
                <w:tcW w:w="1344" w:type="dxa"/>
                <w:vAlign w:val="center"/>
              </w:tcPr>
              <w:p w14:paraId="38BBA85F">
                <w:pPr>
                  <w:jc w:val="center"/>
                </w:pPr>
                <w:r>
                  <w:rPr>
                    <w:rFonts w:hint="eastAsia"/>
                  </w:rPr>
                  <w:t>报告期偿还总金额</w:t>
                </w:r>
              </w:p>
            </w:tc>
          </w:sdtContent>
        </w:sdt>
        <w:sdt>
          <w:sdtPr>
            <w:tag w:val="_PLD_ce22270bf2ac4e86be185f28e7c95f71"/>
            <w:id w:val="1016582437"/>
          </w:sdtPr>
          <w:sdtContent>
            <w:tc>
              <w:tcPr>
                <w:tcW w:w="958" w:type="dxa"/>
                <w:vAlign w:val="center"/>
              </w:tcPr>
              <w:p w14:paraId="6CAACB4D">
                <w:pPr>
                  <w:jc w:val="center"/>
                </w:pPr>
                <w:r>
                  <w:rPr>
                    <w:rFonts w:hint="eastAsia"/>
                  </w:rPr>
                  <w:t>期末余额</w:t>
                </w:r>
              </w:p>
            </w:tc>
          </w:sdtContent>
        </w:sdt>
        <w:sdt>
          <w:sdtPr>
            <w:tag w:val="_PLD_6df3be82b49a43b59781f0c4e3727cc7"/>
            <w:id w:val="-293137320"/>
          </w:sdtPr>
          <w:sdtContent>
            <w:tc>
              <w:tcPr>
                <w:tcW w:w="1496" w:type="dxa"/>
                <w:vAlign w:val="center"/>
              </w:tcPr>
              <w:p w14:paraId="2BCA155B">
                <w:pPr>
                  <w:jc w:val="center"/>
                </w:pPr>
                <w:r>
                  <w:rPr>
                    <w:rFonts w:hint="eastAsia"/>
                  </w:rPr>
                  <w:t>截至</w:t>
                </w:r>
                <w:r>
                  <w:t>年</w:t>
                </w:r>
                <w:r>
                  <w:rPr>
                    <w:rFonts w:hint="eastAsia"/>
                  </w:rPr>
                  <w:t>报</w:t>
                </w:r>
                <w:r>
                  <w:t>披露日余额</w:t>
                </w:r>
              </w:p>
            </w:tc>
          </w:sdtContent>
        </w:sdt>
        <w:sdt>
          <w:sdtPr>
            <w:tag w:val="_PLD_2ba40affe27940a7a9ec2166e412b4b2"/>
            <w:id w:val="-1030495508"/>
          </w:sdtPr>
          <w:sdtContent>
            <w:tc>
              <w:tcPr>
                <w:tcW w:w="1496" w:type="dxa"/>
                <w:vAlign w:val="center"/>
              </w:tcPr>
              <w:p w14:paraId="7AFE357A">
                <w:pPr>
                  <w:jc w:val="center"/>
                </w:pPr>
                <w:r>
                  <w:rPr>
                    <w:rFonts w:hint="eastAsia"/>
                  </w:rPr>
                  <w:t>预计偿还方式</w:t>
                </w:r>
              </w:p>
            </w:tc>
          </w:sdtContent>
        </w:sdt>
        <w:sdt>
          <w:sdtPr>
            <w:tag w:val="_PLD_a2851a2f0e1c4d83be8afefbb404c365"/>
            <w:id w:val="-346552069"/>
          </w:sdtPr>
          <w:sdtContent>
            <w:tc>
              <w:tcPr>
                <w:tcW w:w="1324" w:type="dxa"/>
                <w:vAlign w:val="center"/>
              </w:tcPr>
              <w:p w14:paraId="2510D9E8">
                <w:pPr>
                  <w:jc w:val="center"/>
                </w:pPr>
                <w:r>
                  <w:rPr>
                    <w:rFonts w:hint="eastAsia"/>
                  </w:rPr>
                  <w:t>预计偿还金额</w:t>
                </w:r>
              </w:p>
            </w:tc>
          </w:sdtContent>
        </w:sdt>
        <w:sdt>
          <w:sdtPr>
            <w:tag w:val="_PLD_cd1ed1be34434e3d8cd921ecbff1613d"/>
            <w:id w:val="-735394372"/>
          </w:sdtPr>
          <w:sdtContent>
            <w:tc>
              <w:tcPr>
                <w:tcW w:w="1327" w:type="dxa"/>
                <w:vAlign w:val="center"/>
              </w:tcPr>
              <w:p w14:paraId="61CE09D2">
                <w:pPr>
                  <w:jc w:val="center"/>
                </w:pPr>
                <w:r>
                  <w:rPr>
                    <w:rFonts w:hint="eastAsia"/>
                  </w:rPr>
                  <w:t>预计偿还时间</w:t>
                </w:r>
              </w:p>
            </w:tc>
          </w:sdtContent>
        </w:sdt>
      </w:tr>
      <w:tr w14:paraId="1314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Align w:val="center"/>
          </w:tcPr>
          <w:p w14:paraId="452432A1">
            <w:pPr>
              <w:jc w:val="both"/>
            </w:pPr>
            <w:r>
              <w:rPr>
                <w:rFonts w:hint="eastAsia"/>
              </w:rPr>
              <w:t>通化本草生物科技有限公司</w:t>
            </w:r>
          </w:p>
        </w:tc>
        <w:sdt>
          <w:sdtPr>
            <w:alias w:val="报告期内控股股东及其他关联方非经营性占用上市公司资金的发生额明细_关联关系"/>
            <w:tag w:val="_GBC_d50effe1a70448ad842816ac4f76c9dc"/>
            <w:id w:val="731577836"/>
            <w:comboBox>
              <w:listItem w:displayText="控股股东" w:value="控股股东"/>
              <w:listItem w:displayText="其他关联方" w:value="其他关联方"/>
            </w:comboBox>
          </w:sdtPr>
          <w:sdtContent>
            <w:tc>
              <w:tcPr>
                <w:tcW w:w="736" w:type="dxa"/>
                <w:vAlign w:val="center"/>
              </w:tcPr>
              <w:p w14:paraId="180CCE50">
                <w:r>
                  <w:t>其他关联方</w:t>
                </w:r>
              </w:p>
            </w:tc>
          </w:sdtContent>
        </w:sdt>
        <w:tc>
          <w:tcPr>
            <w:tcW w:w="1701" w:type="dxa"/>
            <w:vAlign w:val="center"/>
          </w:tcPr>
          <w:p w14:paraId="4DCF3F53">
            <w:pPr>
              <w:jc w:val="center"/>
            </w:pPr>
            <w:r>
              <w:rPr>
                <w:rFonts w:hint="eastAsia"/>
              </w:rPr>
              <w:t>2</w:t>
            </w:r>
            <w:r>
              <w:t>025.1-2025.12</w:t>
            </w:r>
          </w:p>
        </w:tc>
        <w:tc>
          <w:tcPr>
            <w:tcW w:w="709" w:type="dxa"/>
            <w:vAlign w:val="center"/>
          </w:tcPr>
          <w:p w14:paraId="243E484A">
            <w:r>
              <w:t>代垫电费</w:t>
            </w:r>
          </w:p>
        </w:tc>
        <w:tc>
          <w:tcPr>
            <w:tcW w:w="694" w:type="dxa"/>
            <w:vAlign w:val="center"/>
          </w:tcPr>
          <w:p w14:paraId="2826B073">
            <w:pPr>
              <w:jc w:val="right"/>
            </w:pPr>
            <w:r>
              <w:rPr>
                <w:rFonts w:hint="eastAsia"/>
              </w:rPr>
              <w:t>2</w:t>
            </w:r>
            <w:r>
              <w:t>.02</w:t>
            </w:r>
          </w:p>
        </w:tc>
        <w:tc>
          <w:tcPr>
            <w:tcW w:w="1344" w:type="dxa"/>
            <w:gridSpan w:val="2"/>
            <w:vAlign w:val="center"/>
          </w:tcPr>
          <w:p w14:paraId="51A66E4F">
            <w:pPr>
              <w:jc w:val="right"/>
            </w:pPr>
          </w:p>
        </w:tc>
        <w:tc>
          <w:tcPr>
            <w:tcW w:w="1344" w:type="dxa"/>
            <w:vAlign w:val="center"/>
          </w:tcPr>
          <w:p w14:paraId="409B8A8E">
            <w:pPr>
              <w:jc w:val="right"/>
            </w:pPr>
            <w:r>
              <w:rPr>
                <w:rFonts w:hint="eastAsia"/>
              </w:rPr>
              <w:t>2</w:t>
            </w:r>
            <w:r>
              <w:t>.02</w:t>
            </w:r>
          </w:p>
        </w:tc>
        <w:tc>
          <w:tcPr>
            <w:tcW w:w="958" w:type="dxa"/>
            <w:vAlign w:val="center"/>
          </w:tcPr>
          <w:p w14:paraId="1EF3F285">
            <w:pPr>
              <w:jc w:val="right"/>
            </w:pPr>
            <w:r>
              <w:rPr>
                <w:rFonts w:hint="eastAsia"/>
              </w:rPr>
              <w:t>0</w:t>
            </w:r>
            <w:r>
              <w:t>.00</w:t>
            </w:r>
          </w:p>
        </w:tc>
        <w:tc>
          <w:tcPr>
            <w:tcW w:w="1496" w:type="dxa"/>
            <w:vAlign w:val="center"/>
          </w:tcPr>
          <w:p w14:paraId="2C9F852E">
            <w:pPr>
              <w:jc w:val="right"/>
            </w:pPr>
          </w:p>
        </w:tc>
        <w:tc>
          <w:tcPr>
            <w:tcW w:w="1496" w:type="dxa"/>
            <w:vAlign w:val="center"/>
          </w:tcPr>
          <w:p w14:paraId="064365C4"/>
        </w:tc>
        <w:tc>
          <w:tcPr>
            <w:tcW w:w="1324" w:type="dxa"/>
            <w:vAlign w:val="center"/>
          </w:tcPr>
          <w:p w14:paraId="7C8301F0">
            <w:pPr>
              <w:jc w:val="right"/>
            </w:pPr>
          </w:p>
        </w:tc>
        <w:tc>
          <w:tcPr>
            <w:tcW w:w="1327" w:type="dxa"/>
            <w:vAlign w:val="center"/>
          </w:tcPr>
          <w:p w14:paraId="2777EEDE"/>
        </w:tc>
      </w:tr>
      <w:tr w14:paraId="0B89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Align w:val="center"/>
          </w:tcPr>
          <w:p w14:paraId="61A3A9C1">
            <w:pPr>
              <w:jc w:val="both"/>
            </w:pPr>
            <w:r>
              <w:rPr>
                <w:rFonts w:hint="eastAsia"/>
              </w:rPr>
              <w:t>通化创新彩印有限公司</w:t>
            </w:r>
          </w:p>
        </w:tc>
        <w:sdt>
          <w:sdtPr>
            <w:alias w:val="报告期内控股股东及其他关联方非经营性占用上市公司资金的发生额明细_关联关系"/>
            <w:tag w:val="_GBC_d50effe1a70448ad842816ac4f76c9dc"/>
            <w:id w:val="-1450306961"/>
            <w:comboBox>
              <w:listItem w:displayText="控股股东" w:value="控股股东"/>
              <w:listItem w:displayText="其他关联方" w:value="其他关联方"/>
            </w:comboBox>
          </w:sdtPr>
          <w:sdtContent>
            <w:tc>
              <w:tcPr>
                <w:tcW w:w="736" w:type="dxa"/>
                <w:vAlign w:val="center"/>
              </w:tcPr>
              <w:p w14:paraId="56FB809F">
                <w:r>
                  <w:t>其他关联方</w:t>
                </w:r>
              </w:p>
            </w:tc>
          </w:sdtContent>
        </w:sdt>
        <w:tc>
          <w:tcPr>
            <w:tcW w:w="1701" w:type="dxa"/>
            <w:vAlign w:val="center"/>
          </w:tcPr>
          <w:p w14:paraId="38A0F779">
            <w:pPr>
              <w:jc w:val="center"/>
            </w:pPr>
            <w:r>
              <w:rPr>
                <w:rFonts w:hint="eastAsia"/>
              </w:rPr>
              <w:t>2</w:t>
            </w:r>
            <w:r>
              <w:t>025.1-2025.6</w:t>
            </w:r>
          </w:p>
        </w:tc>
        <w:tc>
          <w:tcPr>
            <w:tcW w:w="709" w:type="dxa"/>
            <w:vAlign w:val="center"/>
          </w:tcPr>
          <w:p w14:paraId="167872CA">
            <w:r>
              <w:t>代垫电费</w:t>
            </w:r>
          </w:p>
        </w:tc>
        <w:tc>
          <w:tcPr>
            <w:tcW w:w="694" w:type="dxa"/>
            <w:vAlign w:val="center"/>
          </w:tcPr>
          <w:p w14:paraId="2B4B29DB">
            <w:pPr>
              <w:jc w:val="right"/>
            </w:pPr>
            <w:r>
              <w:rPr>
                <w:rFonts w:hint="eastAsia"/>
              </w:rPr>
              <w:t>0</w:t>
            </w:r>
            <w:r>
              <w:t>.25</w:t>
            </w:r>
          </w:p>
        </w:tc>
        <w:tc>
          <w:tcPr>
            <w:tcW w:w="1344" w:type="dxa"/>
            <w:gridSpan w:val="2"/>
            <w:vAlign w:val="center"/>
          </w:tcPr>
          <w:p w14:paraId="13E4A28E">
            <w:pPr>
              <w:jc w:val="right"/>
            </w:pPr>
            <w:r>
              <w:rPr>
                <w:rFonts w:hint="eastAsia"/>
              </w:rPr>
              <w:t>0</w:t>
            </w:r>
            <w:r>
              <w:t>.04</w:t>
            </w:r>
          </w:p>
        </w:tc>
        <w:tc>
          <w:tcPr>
            <w:tcW w:w="1344" w:type="dxa"/>
            <w:vAlign w:val="center"/>
          </w:tcPr>
          <w:p w14:paraId="393475F3">
            <w:pPr>
              <w:jc w:val="right"/>
            </w:pPr>
            <w:r>
              <w:rPr>
                <w:rFonts w:hint="eastAsia"/>
              </w:rPr>
              <w:t>0</w:t>
            </w:r>
            <w:r>
              <w:t>.29</w:t>
            </w:r>
          </w:p>
        </w:tc>
        <w:tc>
          <w:tcPr>
            <w:tcW w:w="958" w:type="dxa"/>
            <w:vAlign w:val="center"/>
          </w:tcPr>
          <w:p w14:paraId="4D84B9EE">
            <w:pPr>
              <w:jc w:val="right"/>
            </w:pPr>
            <w:r>
              <w:rPr>
                <w:rFonts w:hint="eastAsia"/>
              </w:rPr>
              <w:t>0</w:t>
            </w:r>
            <w:r>
              <w:t>.00</w:t>
            </w:r>
          </w:p>
        </w:tc>
        <w:tc>
          <w:tcPr>
            <w:tcW w:w="1496" w:type="dxa"/>
            <w:vAlign w:val="center"/>
          </w:tcPr>
          <w:p w14:paraId="6BE329A7">
            <w:pPr>
              <w:jc w:val="right"/>
            </w:pPr>
          </w:p>
        </w:tc>
        <w:tc>
          <w:tcPr>
            <w:tcW w:w="1496" w:type="dxa"/>
            <w:vAlign w:val="center"/>
          </w:tcPr>
          <w:p w14:paraId="0019CADE"/>
        </w:tc>
        <w:tc>
          <w:tcPr>
            <w:tcW w:w="1324" w:type="dxa"/>
            <w:vAlign w:val="center"/>
          </w:tcPr>
          <w:p w14:paraId="1287C48F">
            <w:pPr>
              <w:jc w:val="right"/>
            </w:pPr>
          </w:p>
        </w:tc>
        <w:tc>
          <w:tcPr>
            <w:tcW w:w="1327" w:type="dxa"/>
            <w:vAlign w:val="center"/>
          </w:tcPr>
          <w:p w14:paraId="53155470"/>
        </w:tc>
      </w:tr>
      <w:tr w14:paraId="39A45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Align w:val="center"/>
          </w:tcPr>
          <w:p w14:paraId="53693372">
            <w:pPr>
              <w:jc w:val="center"/>
            </w:pPr>
            <w:r>
              <w:rPr>
                <w:rFonts w:hint="eastAsia"/>
              </w:rPr>
              <w:t>合计</w:t>
            </w:r>
          </w:p>
        </w:tc>
        <w:tc>
          <w:tcPr>
            <w:tcW w:w="736" w:type="dxa"/>
            <w:vAlign w:val="center"/>
          </w:tcPr>
          <w:p w14:paraId="55DD1FC6">
            <w:pPr>
              <w:jc w:val="center"/>
            </w:pPr>
            <w:r>
              <w:rPr>
                <w:rFonts w:hint="eastAsia"/>
              </w:rPr>
              <w:t>/</w:t>
            </w:r>
          </w:p>
        </w:tc>
        <w:tc>
          <w:tcPr>
            <w:tcW w:w="1701" w:type="dxa"/>
            <w:vAlign w:val="center"/>
          </w:tcPr>
          <w:p w14:paraId="6E609188">
            <w:pPr>
              <w:jc w:val="center"/>
            </w:pPr>
            <w:r>
              <w:rPr>
                <w:rFonts w:hint="eastAsia"/>
              </w:rPr>
              <w:t>/</w:t>
            </w:r>
          </w:p>
        </w:tc>
        <w:tc>
          <w:tcPr>
            <w:tcW w:w="709" w:type="dxa"/>
            <w:vAlign w:val="center"/>
          </w:tcPr>
          <w:p w14:paraId="53F7F09A">
            <w:pPr>
              <w:jc w:val="center"/>
            </w:pPr>
            <w:r>
              <w:rPr>
                <w:rFonts w:hint="eastAsia"/>
              </w:rPr>
              <w:t>/</w:t>
            </w:r>
          </w:p>
        </w:tc>
        <w:tc>
          <w:tcPr>
            <w:tcW w:w="694" w:type="dxa"/>
            <w:vAlign w:val="center"/>
          </w:tcPr>
          <w:p w14:paraId="5E867C18">
            <w:pPr>
              <w:jc w:val="right"/>
            </w:pPr>
            <w:r>
              <w:rPr>
                <w:rFonts w:hint="eastAsia"/>
              </w:rPr>
              <w:t>2</w:t>
            </w:r>
            <w:r>
              <w:t>.27</w:t>
            </w:r>
          </w:p>
        </w:tc>
        <w:tc>
          <w:tcPr>
            <w:tcW w:w="1344" w:type="dxa"/>
            <w:gridSpan w:val="2"/>
            <w:vAlign w:val="center"/>
          </w:tcPr>
          <w:p w14:paraId="281BA211">
            <w:pPr>
              <w:jc w:val="right"/>
            </w:pPr>
            <w:r>
              <w:rPr>
                <w:rFonts w:hint="eastAsia"/>
              </w:rPr>
              <w:t>0</w:t>
            </w:r>
            <w:r>
              <w:t>.04</w:t>
            </w:r>
          </w:p>
        </w:tc>
        <w:tc>
          <w:tcPr>
            <w:tcW w:w="1344" w:type="dxa"/>
            <w:vAlign w:val="center"/>
          </w:tcPr>
          <w:p w14:paraId="7DF3B6E5">
            <w:pPr>
              <w:jc w:val="right"/>
            </w:pPr>
            <w:r>
              <w:rPr>
                <w:rFonts w:hint="eastAsia"/>
              </w:rPr>
              <w:t>2</w:t>
            </w:r>
            <w:r>
              <w:t>.31</w:t>
            </w:r>
          </w:p>
        </w:tc>
        <w:tc>
          <w:tcPr>
            <w:tcW w:w="958" w:type="dxa"/>
            <w:vAlign w:val="center"/>
          </w:tcPr>
          <w:p w14:paraId="3C2B764F">
            <w:pPr>
              <w:jc w:val="right"/>
            </w:pPr>
            <w:r>
              <w:rPr>
                <w:rFonts w:hint="eastAsia"/>
              </w:rPr>
              <w:t>0</w:t>
            </w:r>
            <w:r>
              <w:t>.00</w:t>
            </w:r>
          </w:p>
        </w:tc>
        <w:tc>
          <w:tcPr>
            <w:tcW w:w="1496" w:type="dxa"/>
            <w:vAlign w:val="center"/>
          </w:tcPr>
          <w:p w14:paraId="358E11A9">
            <w:pPr>
              <w:jc w:val="right"/>
            </w:pPr>
          </w:p>
        </w:tc>
        <w:tc>
          <w:tcPr>
            <w:tcW w:w="1496" w:type="dxa"/>
            <w:vAlign w:val="center"/>
          </w:tcPr>
          <w:p w14:paraId="065C4CB5">
            <w:pPr>
              <w:jc w:val="center"/>
            </w:pPr>
            <w:r>
              <w:rPr>
                <w:rFonts w:hint="eastAsia"/>
              </w:rPr>
              <w:t>/</w:t>
            </w:r>
          </w:p>
        </w:tc>
        <w:tc>
          <w:tcPr>
            <w:tcW w:w="1324" w:type="dxa"/>
            <w:vAlign w:val="center"/>
          </w:tcPr>
          <w:p w14:paraId="1B930FC9">
            <w:pPr>
              <w:jc w:val="right"/>
            </w:pPr>
          </w:p>
        </w:tc>
        <w:tc>
          <w:tcPr>
            <w:tcW w:w="1327" w:type="dxa"/>
            <w:vAlign w:val="center"/>
          </w:tcPr>
          <w:p w14:paraId="17ED479A">
            <w:pPr>
              <w:jc w:val="center"/>
            </w:pPr>
            <w:r>
              <w:rPr>
                <w:rFonts w:hint="eastAsia"/>
              </w:rPr>
              <w:t>/</w:t>
            </w:r>
          </w:p>
        </w:tc>
      </w:tr>
      <w:tr w14:paraId="6DE8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91" w:type="dxa"/>
            <w:gridSpan w:val="6"/>
            <w:vAlign w:val="center"/>
          </w:tcPr>
          <w:p w14:paraId="39D35776">
            <w:r>
              <w:rPr>
                <w:rFonts w:hint="eastAsia"/>
              </w:rPr>
              <w:t>期末合计值占最近一期经审计净资产的比例</w:t>
            </w:r>
          </w:p>
        </w:tc>
        <w:tc>
          <w:tcPr>
            <w:tcW w:w="8798" w:type="dxa"/>
            <w:gridSpan w:val="7"/>
            <w:vAlign w:val="center"/>
          </w:tcPr>
          <w:p w14:paraId="5D230AF7">
            <w:r>
              <w:rPr>
                <w:rFonts w:hint="eastAsia"/>
              </w:rPr>
              <w:t>0</w:t>
            </w:r>
            <w:r>
              <w:t>.0003</w:t>
            </w:r>
            <w:r>
              <w:rPr>
                <w:rFonts w:hint="eastAsia"/>
              </w:rPr>
              <w:t>%</w:t>
            </w:r>
          </w:p>
        </w:tc>
      </w:tr>
      <w:tr w14:paraId="47A6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91" w:type="dxa"/>
            <w:gridSpan w:val="6"/>
            <w:vAlign w:val="center"/>
          </w:tcPr>
          <w:p w14:paraId="0DD3C6FC">
            <w:r>
              <w:rPr>
                <w:rFonts w:hint="eastAsia"/>
              </w:rPr>
              <w:t>控股股东及其他关联方非经营性占用资金的决策程序</w:t>
            </w:r>
          </w:p>
        </w:tc>
        <w:tc>
          <w:tcPr>
            <w:tcW w:w="8798" w:type="dxa"/>
            <w:gridSpan w:val="7"/>
            <w:vAlign w:val="center"/>
          </w:tcPr>
          <w:p w14:paraId="36F759B0">
            <w:r>
              <w:rPr>
                <w:rFonts w:hint="eastAsia"/>
              </w:rPr>
              <w:t>未达到审议程序标准</w:t>
            </w:r>
          </w:p>
        </w:tc>
      </w:tr>
      <w:tr w14:paraId="09E9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91" w:type="dxa"/>
            <w:gridSpan w:val="6"/>
            <w:vAlign w:val="center"/>
          </w:tcPr>
          <w:p w14:paraId="6703534C">
            <w:r>
              <w:rPr>
                <w:rFonts w:hint="eastAsia"/>
              </w:rPr>
              <w:t>当期新增控股股东及其他关联方非经营性资金占用情况的原因、责任人追究及董事会拟定采取措施的情况说明</w:t>
            </w:r>
          </w:p>
        </w:tc>
        <w:tc>
          <w:tcPr>
            <w:tcW w:w="8798" w:type="dxa"/>
            <w:gridSpan w:val="7"/>
            <w:vAlign w:val="center"/>
          </w:tcPr>
          <w:p w14:paraId="1F92546A">
            <w:r>
              <w:rPr>
                <w:rFonts w:hint="eastAsia"/>
              </w:rPr>
              <w:t>不适用</w:t>
            </w:r>
          </w:p>
        </w:tc>
      </w:tr>
      <w:tr w14:paraId="4D95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91" w:type="dxa"/>
            <w:gridSpan w:val="6"/>
            <w:vAlign w:val="center"/>
          </w:tcPr>
          <w:p w14:paraId="26D12889">
            <w:r>
              <w:rPr>
                <w:rFonts w:hint="eastAsia"/>
              </w:rPr>
              <w:t>未能按计划清偿非经营性资金占用的原因、责任追究情况及董事会拟定采取的措施说明</w:t>
            </w:r>
          </w:p>
        </w:tc>
        <w:tc>
          <w:tcPr>
            <w:tcW w:w="8798" w:type="dxa"/>
            <w:gridSpan w:val="7"/>
            <w:vAlign w:val="center"/>
          </w:tcPr>
          <w:p w14:paraId="456D83A9">
            <w:r>
              <w:rPr>
                <w:rFonts w:hint="eastAsia"/>
              </w:rPr>
              <w:t>不适用</w:t>
            </w:r>
          </w:p>
        </w:tc>
      </w:tr>
      <w:tr w14:paraId="50F0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91" w:type="dxa"/>
            <w:gridSpan w:val="6"/>
            <w:vAlign w:val="center"/>
          </w:tcPr>
          <w:p w14:paraId="54F254C0">
            <w:r>
              <w:rPr>
                <w:rFonts w:hint="eastAsia"/>
              </w:rPr>
              <w:t>注册会计师对资金占用的专项审核意见（如有）</w:t>
            </w:r>
          </w:p>
        </w:tc>
        <w:tc>
          <w:tcPr>
            <w:tcW w:w="8798" w:type="dxa"/>
            <w:gridSpan w:val="7"/>
            <w:vAlign w:val="center"/>
          </w:tcPr>
          <w:p w14:paraId="11D13F26">
            <w:pPr>
              <w:jc w:val="both"/>
            </w:pPr>
            <w:r>
              <w:rPr>
                <w:rFonts w:hint="eastAsia"/>
              </w:rPr>
              <w:t>注册会计师认为，公司编制的非经营性资金占用及其他关联资金往来情况汇总表符合相关规定，在所有重大方面公允反映了控股股东及其他关联方占用资金情况</w:t>
            </w:r>
          </w:p>
        </w:tc>
      </w:tr>
      <w:tr w14:paraId="4E73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291" w:type="dxa"/>
            <w:gridSpan w:val="6"/>
            <w:vAlign w:val="center"/>
          </w:tcPr>
          <w:p w14:paraId="5A9BDFDC">
            <w:r>
              <w:rPr>
                <w:rFonts w:hint="eastAsia"/>
              </w:rPr>
              <w:t>年度报告披露的控股股东及其他关联方非经营性占用资金情况与专项审核意见不一致的原因说明（如有）</w:t>
            </w:r>
          </w:p>
        </w:tc>
        <w:tc>
          <w:tcPr>
            <w:tcW w:w="8798" w:type="dxa"/>
            <w:gridSpan w:val="7"/>
            <w:vAlign w:val="center"/>
          </w:tcPr>
          <w:p w14:paraId="5FF876E9">
            <w:r>
              <w:rPr>
                <w:rFonts w:hint="eastAsia"/>
              </w:rPr>
              <w:t>不适用</w:t>
            </w:r>
          </w:p>
        </w:tc>
      </w:tr>
    </w:tbl>
    <w:p w14:paraId="71D76BAF"/>
    <w:p w14:paraId="5D721374">
      <w:pPr>
        <w:pStyle w:val="48"/>
      </w:pPr>
    </w:p>
    <w:bookmarkEnd w:id="138"/>
    <w:bookmarkEnd w:id="139"/>
    <w:p w14:paraId="3C81A2AC">
      <w:pPr>
        <w:pStyle w:val="3"/>
        <w:numPr>
          <w:ilvl w:val="0"/>
          <w:numId w:val="29"/>
        </w:numPr>
      </w:pPr>
      <w:bookmarkStart w:id="140" w:name="_Hlk89337011"/>
      <w:r>
        <w:rPr>
          <w:rFonts w:hint="eastAsia"/>
        </w:rPr>
        <w:t>违规担保情况</w:t>
      </w:r>
    </w:p>
    <w:sdt>
      <w:sdtPr>
        <w:alias w:val="是否适用：违规担保情况[双击切换]"/>
        <w:tag w:val="_GBC_b2d16e23c066427a800b40aaa053bc8e"/>
        <w:id w:val="-1469744123"/>
        <w:placeholder>
          <w:docPart w:val="GBC22222222222222222222222222222"/>
        </w:placeholder>
      </w:sdtPr>
      <w:sdtContent>
        <w:p w14:paraId="27F4325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60BA812">
      <w:pPr>
        <w:sectPr>
          <w:pgSz w:w="16838" w:h="11906" w:orient="landscape"/>
          <w:pgMar w:top="1797" w:right="1525" w:bottom="1276" w:left="1440" w:header="855" w:footer="992" w:gutter="0"/>
          <w:cols w:space="425" w:num="1"/>
          <w:docGrid w:linePitch="312" w:charSpace="0"/>
        </w:sectPr>
      </w:pPr>
    </w:p>
    <w:p w14:paraId="0A130357">
      <w:pPr>
        <w:pStyle w:val="48"/>
      </w:pPr>
    </w:p>
    <w:bookmarkEnd w:id="140"/>
    <w:p w14:paraId="6132A2A0">
      <w:pPr>
        <w:pStyle w:val="3"/>
        <w:numPr>
          <w:ilvl w:val="0"/>
          <w:numId w:val="29"/>
        </w:numPr>
      </w:pPr>
      <w:r>
        <w:rPr>
          <w:rFonts w:hint="eastAsia"/>
        </w:rPr>
        <w:t>公司董事会对会计师事务所“非标准意见审计报告”的说明</w:t>
      </w:r>
    </w:p>
    <w:p w14:paraId="75F5207A">
      <w:pPr>
        <w:pStyle w:val="48"/>
      </w:pPr>
      <w:sdt>
        <w:sdtPr>
          <w:alias w:val="是否适用：董事会对会计师事务所非标准审计报告的说明[双击切换]"/>
          <w:tag w:val="_GBC_81f7a662b6a641d8aadb05b1cb176ecf"/>
          <w:id w:val="946354789"/>
          <w:placeholder>
            <w:docPart w:val="GBC22222222222222222222222222222"/>
          </w:placeholder>
        </w:sdt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26B0489B">
      <w:pPr>
        <w:pStyle w:val="48"/>
      </w:pPr>
    </w:p>
    <w:p w14:paraId="721AC2FF">
      <w:pPr>
        <w:pStyle w:val="3"/>
        <w:numPr>
          <w:ilvl w:val="0"/>
          <w:numId w:val="29"/>
        </w:numPr>
      </w:pPr>
      <w:r>
        <w:rPr>
          <w:rFonts w:hint="eastAsia"/>
        </w:rPr>
        <w:t>公司对会计政策、会计估计变更或重大会计差错更正原因和影响的分析说明</w:t>
      </w:r>
    </w:p>
    <w:sdt>
      <w:sdtPr>
        <w:tag w:val="_PLD_834cf8d61227452a9f43af3bb9507dde"/>
        <w:id w:val="-2146580034"/>
      </w:sdtPr>
      <w:sdtContent>
        <w:p w14:paraId="3FCD5DD2">
          <w:pPr>
            <w:pStyle w:val="4"/>
            <w:numPr>
              <w:ilvl w:val="0"/>
              <w:numId w:val="31"/>
            </w:numPr>
          </w:pPr>
          <w:bookmarkStart w:id="141" w:name="_Hlk191559849"/>
          <w:r>
            <w:rPr>
              <w:rFonts w:hint="eastAsia"/>
            </w:rPr>
            <w:t>公司对会计政策、会计估计变更原因及影响的分析说明</w:t>
          </w:r>
        </w:p>
      </w:sdtContent>
    </w:sdt>
    <w:sdt>
      <w:sdtPr>
        <w:rPr>
          <w:rFonts w:hint="eastAsia"/>
        </w:rPr>
        <w:alias w:val="是否适用：公司对会计政策、会计估计更正的原因及影响[双击切换]"/>
        <w:tag w:val="_GBC_af0d7b808dd9452c873bbe81905062f6"/>
        <w:id w:val="-225222846"/>
        <w:placeholder>
          <w:docPart w:val="GBC22222222222222222222222222222"/>
        </w:placeholder>
      </w:sdtPr>
      <w:sdtEndPr>
        <w:rPr>
          <w:rFonts w:hint="eastAsia"/>
        </w:rPr>
      </w:sdtEndPr>
      <w:sdtContent>
        <w:p w14:paraId="75DFAA5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141"/>
    <w:p w14:paraId="5DE88677">
      <w:pPr>
        <w:pStyle w:val="48"/>
      </w:pPr>
    </w:p>
    <w:sdt>
      <w:sdtPr>
        <w:tag w:val="_PLD_310d5df4f7924e5ca2b78d38d9d5bb26"/>
        <w:id w:val="1319927130"/>
      </w:sdtPr>
      <w:sdtContent>
        <w:p w14:paraId="00AA1278">
          <w:pPr>
            <w:pStyle w:val="4"/>
            <w:numPr>
              <w:ilvl w:val="0"/>
              <w:numId w:val="31"/>
            </w:numPr>
          </w:pPr>
          <w:bookmarkStart w:id="142" w:name="_Hlk191560035"/>
          <w:bookmarkStart w:id="143" w:name="_Hlk190433640"/>
          <w:r>
            <w:rPr>
              <w:rFonts w:hint="eastAsia"/>
            </w:rPr>
            <w:t>公司对重大会计差错更正原因及影响的分析说明</w:t>
          </w:r>
        </w:p>
      </w:sdtContent>
    </w:sdt>
    <w:sdt>
      <w:sdtPr>
        <w:rPr>
          <w:rFonts w:hint="eastAsia"/>
        </w:rPr>
        <w:alias w:val="是否适用：公司对重大会计差错更正的原因及影响[双击切换]"/>
        <w:tag w:val="_GBC_20433825c59a4e308939a2a08d3b64f5"/>
        <w:id w:val="1296169054"/>
        <w:placeholder>
          <w:docPart w:val="GBC22222222222222222222222222222"/>
        </w:placeholder>
      </w:sdtPr>
      <w:sdtEndPr>
        <w:rPr>
          <w:rFonts w:hint="eastAsia"/>
        </w:rPr>
      </w:sdtEndPr>
      <w:sdtContent>
        <w:p w14:paraId="437FE26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142"/>
    <w:p w14:paraId="1CA1EDCB">
      <w:pPr>
        <w:pStyle w:val="48"/>
      </w:pPr>
    </w:p>
    <w:bookmarkEnd w:id="143"/>
    <w:p w14:paraId="2B4E77B1">
      <w:pPr>
        <w:pStyle w:val="4"/>
        <w:numPr>
          <w:ilvl w:val="0"/>
          <w:numId w:val="31"/>
        </w:numPr>
      </w:pPr>
      <w:r>
        <w:rPr>
          <w:rFonts w:hint="eastAsia"/>
        </w:rPr>
        <w:t>与前任会计师事务所进行的沟通情况</w:t>
      </w:r>
    </w:p>
    <w:sdt>
      <w:sdtPr>
        <w:rPr>
          <w:rFonts w:hint="eastAsia"/>
        </w:rPr>
        <w:alias w:val="是否适用：与前任会计师事务所进行的沟通情况[双击切换]"/>
        <w:tag w:val="_GBC_eac5a093c5584c5699f0b1b4b2cc9124"/>
        <w:id w:val="-1567486214"/>
        <w:placeholder>
          <w:docPart w:val="GBC22222222222222222222222222222"/>
        </w:placeholder>
      </w:sdtPr>
      <w:sdtEndPr>
        <w:rPr>
          <w:rFonts w:hint="eastAsia"/>
        </w:rPr>
      </w:sdtEndPr>
      <w:sdtContent>
        <w:p w14:paraId="043F2D8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88D3FCE">
      <w:pPr>
        <w:pStyle w:val="48"/>
      </w:pPr>
    </w:p>
    <w:p w14:paraId="3075F07A">
      <w:pPr>
        <w:pStyle w:val="4"/>
        <w:numPr>
          <w:ilvl w:val="0"/>
          <w:numId w:val="31"/>
        </w:numPr>
      </w:pPr>
      <w:r>
        <w:rPr>
          <w:rFonts w:hint="eastAsia"/>
        </w:rPr>
        <w:t>审批程序及其他说明</w:t>
      </w:r>
    </w:p>
    <w:sdt>
      <w:sdtPr>
        <w:rPr>
          <w:rFonts w:hint="eastAsia"/>
        </w:rPr>
        <w:alias w:val="是否适用：审批程序及其他说明[双击切换]"/>
        <w:tag w:val="_GBC_f59e5141b9f74a2badb652a198d25993"/>
        <w:id w:val="-635187639"/>
        <w:placeholder>
          <w:docPart w:val="GBC22222222222222222222222222222"/>
        </w:placeholder>
      </w:sdtPr>
      <w:sdtEndPr>
        <w:rPr>
          <w:rFonts w:hint="eastAsia"/>
        </w:rPr>
      </w:sdtEndPr>
      <w:sdtContent>
        <w:p w14:paraId="3496A56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1A7CCBF">
      <w:pPr>
        <w:pStyle w:val="48"/>
      </w:pPr>
    </w:p>
    <w:p w14:paraId="1F9F5938">
      <w:pPr>
        <w:pStyle w:val="3"/>
        <w:numPr>
          <w:ilvl w:val="0"/>
          <w:numId w:val="29"/>
        </w:numPr>
      </w:pPr>
      <w:r>
        <w:rPr>
          <w:rFonts w:hint="eastAsia"/>
        </w:rPr>
        <w:t>聘任、解聘会计师事务所情况</w:t>
      </w:r>
    </w:p>
    <w:p w14:paraId="5DB6D35D">
      <w:pPr>
        <w:jc w:val="right"/>
      </w:pPr>
      <w:bookmarkStart w:id="144" w:name="_Hlk40535695"/>
      <w:r>
        <w:rPr>
          <w:rFonts w:hint="eastAsia"/>
        </w:rPr>
        <w:t>单位：</w:t>
      </w:r>
      <w:sdt>
        <w:sdtPr>
          <w:rPr>
            <w:rFonts w:hint="eastAsia"/>
          </w:rPr>
          <w:alias w:val="单位：聘任、解聘会计师事务所情况"/>
          <w:tag w:val="_GBC_26e166c9302c4cd6aef51526fb663693"/>
          <w:id w:val="6575735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8819180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20"/>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8"/>
        <w:gridCol w:w="3951"/>
      </w:tblGrid>
      <w:tr w14:paraId="16E0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vAlign w:val="center"/>
          </w:tcPr>
          <w:p w14:paraId="0AEE2226">
            <w:pPr>
              <w:pStyle w:val="48"/>
            </w:pPr>
          </w:p>
        </w:tc>
        <w:sdt>
          <w:sdtPr>
            <w:tag w:val="_PLD_364aa8d2f946450c8e3aa85ae050a07e"/>
            <w:id w:val="-1234234093"/>
          </w:sdtPr>
          <w:sdtContent>
            <w:tc>
              <w:tcPr>
                <w:tcW w:w="3951" w:type="dxa"/>
                <w:vAlign w:val="center"/>
              </w:tcPr>
              <w:p w14:paraId="2FDA1875">
                <w:pPr>
                  <w:widowControl w:val="0"/>
                  <w:jc w:val="center"/>
                </w:pPr>
                <w:r>
                  <w:rPr>
                    <w:rFonts w:hint="eastAsia"/>
                  </w:rPr>
                  <w:t>现聘任</w:t>
                </w:r>
              </w:p>
            </w:tc>
          </w:sdtContent>
        </w:sdt>
      </w:tr>
      <w:tr w14:paraId="4894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vAlign w:val="center"/>
          </w:tcPr>
          <w:p w14:paraId="6E84F773">
            <w:pPr>
              <w:pStyle w:val="48"/>
            </w:pPr>
            <w:r>
              <w:rPr>
                <w:rFonts w:hint="eastAsia"/>
              </w:rPr>
              <w:t>境内会计师事务所名称</w:t>
            </w:r>
          </w:p>
        </w:tc>
        <w:tc>
          <w:tcPr>
            <w:tcW w:w="3951" w:type="dxa"/>
            <w:vAlign w:val="center"/>
          </w:tcPr>
          <w:p w14:paraId="0C738A11">
            <w:pPr>
              <w:widowControl w:val="0"/>
              <w:jc w:val="right"/>
            </w:pPr>
            <w:r>
              <w:rPr>
                <w:rFonts w:hint="eastAsia"/>
              </w:rPr>
              <w:t>大信会计师事务所（特殊普通合伙）</w:t>
            </w:r>
          </w:p>
        </w:tc>
      </w:tr>
      <w:tr w14:paraId="6713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vAlign w:val="center"/>
          </w:tcPr>
          <w:p w14:paraId="3CF6ECEF">
            <w:pPr>
              <w:pStyle w:val="48"/>
            </w:pPr>
            <w:r>
              <w:rPr>
                <w:rFonts w:hint="eastAsia"/>
              </w:rPr>
              <w:t>境内会计师事务所报酬</w:t>
            </w:r>
          </w:p>
        </w:tc>
        <w:tc>
          <w:tcPr>
            <w:tcW w:w="3951" w:type="dxa"/>
            <w:vAlign w:val="center"/>
          </w:tcPr>
          <w:p w14:paraId="683C0D0E">
            <w:pPr>
              <w:widowControl w:val="0"/>
              <w:jc w:val="right"/>
            </w:pPr>
            <w:r>
              <w:t>100</w:t>
            </w:r>
          </w:p>
        </w:tc>
      </w:tr>
      <w:tr w14:paraId="6075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vAlign w:val="center"/>
          </w:tcPr>
          <w:p w14:paraId="7FCDCF22">
            <w:pPr>
              <w:pStyle w:val="48"/>
            </w:pPr>
            <w:r>
              <w:rPr>
                <w:rFonts w:hint="eastAsia"/>
              </w:rPr>
              <w:t>境内会计师事务所审计年限</w:t>
            </w:r>
          </w:p>
        </w:tc>
        <w:tc>
          <w:tcPr>
            <w:tcW w:w="3951" w:type="dxa"/>
            <w:vAlign w:val="center"/>
          </w:tcPr>
          <w:p w14:paraId="7EA6F079">
            <w:pPr>
              <w:widowControl w:val="0"/>
              <w:jc w:val="right"/>
            </w:pPr>
            <w:r>
              <w:rPr>
                <w:rFonts w:hint="eastAsia"/>
              </w:rPr>
              <w:t>1年</w:t>
            </w:r>
          </w:p>
        </w:tc>
      </w:tr>
      <w:tr w14:paraId="1DE7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vAlign w:val="center"/>
          </w:tcPr>
          <w:p w14:paraId="5C64FB69">
            <w:pPr>
              <w:pStyle w:val="48"/>
            </w:pPr>
            <w:r>
              <w:rPr>
                <w:rFonts w:hint="eastAsia"/>
              </w:rPr>
              <w:t>境内会计师事务所注册会计师姓名</w:t>
            </w:r>
          </w:p>
        </w:tc>
        <w:tc>
          <w:tcPr>
            <w:tcW w:w="3951" w:type="dxa"/>
            <w:vAlign w:val="center"/>
          </w:tcPr>
          <w:p w14:paraId="0292A137">
            <w:pPr>
              <w:widowControl w:val="0"/>
              <w:jc w:val="right"/>
            </w:pPr>
            <w:r>
              <w:rPr>
                <w:rFonts w:hint="eastAsia"/>
              </w:rPr>
              <w:t>王树奇、张忠伟</w:t>
            </w:r>
          </w:p>
        </w:tc>
      </w:tr>
      <w:tr w14:paraId="2041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vAlign w:val="center"/>
          </w:tcPr>
          <w:p w14:paraId="1EC97C0E">
            <w:pPr>
              <w:pStyle w:val="48"/>
            </w:pPr>
            <w:r>
              <w:rPr>
                <w:rFonts w:hint="eastAsia"/>
              </w:rPr>
              <w:t>境内会计师事务所注册会计师审计服务的累计年限</w:t>
            </w:r>
          </w:p>
        </w:tc>
        <w:tc>
          <w:tcPr>
            <w:tcW w:w="3951" w:type="dxa"/>
            <w:vAlign w:val="center"/>
          </w:tcPr>
          <w:p w14:paraId="21D5394B">
            <w:pPr>
              <w:widowControl w:val="0"/>
              <w:jc w:val="right"/>
            </w:pPr>
            <w:r>
              <w:rPr>
                <w:rFonts w:hint="eastAsia"/>
              </w:rPr>
              <w:t>1年</w:t>
            </w:r>
          </w:p>
        </w:tc>
      </w:tr>
    </w:tbl>
    <w:p w14:paraId="371D910B">
      <w:pPr>
        <w:pStyle w:val="48"/>
      </w:pPr>
    </w:p>
    <w:tbl>
      <w:tblPr>
        <w:tblStyle w:val="20"/>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4067"/>
        <w:gridCol w:w="1966"/>
      </w:tblGrid>
      <w:tr w14:paraId="1B39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479DCF20">
            <w:pPr>
              <w:pStyle w:val="48"/>
            </w:pPr>
          </w:p>
        </w:tc>
        <w:sdt>
          <w:sdtPr>
            <w:tag w:val="_PLD_c9ec27d8a8454f91bb769203a75df4b3"/>
            <w:id w:val="-835608538"/>
          </w:sdtPr>
          <w:sdtContent>
            <w:tc>
              <w:tcPr>
                <w:tcW w:w="4067" w:type="dxa"/>
                <w:vAlign w:val="center"/>
              </w:tcPr>
              <w:p w14:paraId="0897E3E3">
                <w:pPr>
                  <w:widowControl w:val="0"/>
                  <w:jc w:val="center"/>
                </w:pPr>
                <w:r>
                  <w:rPr>
                    <w:rFonts w:hint="eastAsia"/>
                  </w:rPr>
                  <w:t>名称</w:t>
                </w:r>
              </w:p>
            </w:tc>
          </w:sdtContent>
        </w:sdt>
        <w:sdt>
          <w:sdtPr>
            <w:tag w:val="_PLD_ae4e80c7f64046dcb42116bfa53b53af"/>
            <w:id w:val="791251002"/>
          </w:sdtPr>
          <w:sdtContent>
            <w:tc>
              <w:tcPr>
                <w:tcW w:w="1966" w:type="dxa"/>
                <w:vAlign w:val="center"/>
              </w:tcPr>
              <w:p w14:paraId="3CACAB46">
                <w:pPr>
                  <w:widowControl w:val="0"/>
                  <w:jc w:val="center"/>
                </w:pPr>
                <w:r>
                  <w:rPr>
                    <w:rFonts w:hint="eastAsia"/>
                  </w:rPr>
                  <w:t>报酬</w:t>
                </w:r>
              </w:p>
            </w:tc>
          </w:sdtContent>
        </w:sdt>
      </w:tr>
      <w:tr w14:paraId="58AE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3A84A3D8">
            <w:pPr>
              <w:pStyle w:val="48"/>
            </w:pPr>
            <w:r>
              <w:rPr>
                <w:rFonts w:hint="eastAsia"/>
              </w:rPr>
              <w:t>内部控制审计会计师事务所</w:t>
            </w:r>
          </w:p>
        </w:tc>
        <w:tc>
          <w:tcPr>
            <w:tcW w:w="4067" w:type="dxa"/>
            <w:vAlign w:val="center"/>
          </w:tcPr>
          <w:p w14:paraId="7BA9EB1F">
            <w:pPr>
              <w:widowControl w:val="0"/>
              <w:jc w:val="right"/>
            </w:pPr>
            <w:r>
              <w:rPr>
                <w:rFonts w:hint="eastAsia"/>
              </w:rPr>
              <w:t>大信会计师事务所（特殊普通合伙）</w:t>
            </w:r>
          </w:p>
        </w:tc>
        <w:tc>
          <w:tcPr>
            <w:tcW w:w="1966" w:type="dxa"/>
            <w:vAlign w:val="center"/>
          </w:tcPr>
          <w:p w14:paraId="3DA79DB0">
            <w:pPr>
              <w:widowControl w:val="0"/>
              <w:jc w:val="right"/>
            </w:pPr>
            <w:r>
              <w:rPr>
                <w:rFonts w:hint="eastAsia"/>
              </w:rPr>
              <w:t>5</w:t>
            </w:r>
            <w:r>
              <w:t>0</w:t>
            </w:r>
          </w:p>
        </w:tc>
      </w:tr>
    </w:tbl>
    <w:p w14:paraId="26200AF5">
      <w:pPr>
        <w:pStyle w:val="48"/>
      </w:pPr>
    </w:p>
    <w:bookmarkEnd w:id="144"/>
    <w:p w14:paraId="27E8E9CB">
      <w:pPr>
        <w:pStyle w:val="48"/>
      </w:pPr>
      <w:r>
        <w:t>聘任、解聘会计师事务所的情况说明</w:t>
      </w:r>
    </w:p>
    <w:sdt>
      <w:sdtPr>
        <w:alias w:val="是否适用：聘任、解聘会计师事务所情况[双击切换]"/>
        <w:tag w:val="_GBC_376f0811302240c0a118add2061458b6"/>
        <w:id w:val="1983810328"/>
        <w:placeholder>
          <w:docPart w:val="GBC22222222222222222222222222222"/>
        </w:placeholder>
      </w:sdtPr>
      <w:sdtContent>
        <w:p w14:paraId="09250260">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Calibri" w:hAnsi="Calibri"/>
          <w:kern w:val="2"/>
        </w:rPr>
        <w:alias w:val="聘任、解聘会计师事务所情况说明"/>
        <w:tag w:val="_GBC_efccae536add449ea09208e1185e3711"/>
        <w:id w:val="1833186004"/>
        <w:placeholder>
          <w:docPart w:val="GBC22222222222222222222222222222"/>
        </w:placeholder>
      </w:sdtPr>
      <w:sdtEndPr>
        <w:rPr>
          <w:rFonts w:hint="eastAsia" w:ascii="Calibri" w:hAnsi="Calibri"/>
          <w:kern w:val="2"/>
        </w:rPr>
      </w:sdtEndPr>
      <w:sdtContent>
        <w:sdt>
          <w:sdtPr>
            <w:rPr>
              <w:rFonts w:hint="eastAsia" w:ascii="宋体" w:hAnsi="宋体" w:cs="宋体"/>
            </w:rPr>
            <w:alias w:val="聘任、解聘会计师事务所情况说明"/>
            <w:tag w:val="_GBC_efccae536add449ea09208e1185e3711"/>
            <w:id w:val="1176928793"/>
            <w:placeholder>
              <w:docPart w:val="ACDDA2F82D21492284FAD258D5AE5EB5"/>
            </w:placeholder>
          </w:sdtPr>
          <w:sdtEndPr>
            <w:rPr>
              <w:rFonts w:hint="eastAsia" w:ascii="宋体" w:hAnsi="宋体" w:cs="宋体"/>
            </w:rPr>
          </w:sdtEndPr>
          <w:sdtContent>
            <w:p w14:paraId="2D29A0CF">
              <w:pPr>
                <w:spacing w:line="360" w:lineRule="auto"/>
                <w:ind w:firstLine="420" w:firstLineChars="200"/>
                <w:jc w:val="both"/>
                <w:rPr>
                  <w:rFonts w:ascii="宋体" w:hAnsi="宋体" w:cs="Arial"/>
                  <w:color w:val="000000"/>
                  <w:spacing w:val="-5"/>
                </w:rPr>
              </w:pPr>
              <w:r>
                <w:rPr>
                  <w:rFonts w:hint="eastAsia" w:ascii="宋体" w:hAnsi="宋体" w:cs="Arial"/>
                  <w:color w:val="000000"/>
                  <w:spacing w:val="-5"/>
                </w:rPr>
                <w:t>根据《国有企业、上市公司选聘会计师事务所管理办法》的相关规定，综合考虑公司业务发展和未来审计的需要，经公司审慎评估和研究，拟变更会计师事务所。公司已就该事项与北京德皓国际会计师事务所</w:t>
              </w:r>
              <w:r>
                <w:rPr>
                  <w:rFonts w:ascii="宋体" w:hAnsi="宋体" w:cs="Arial"/>
                  <w:color w:val="000000"/>
                  <w:spacing w:val="-5"/>
                </w:rPr>
                <w:t>（特殊普通合伙）</w:t>
              </w:r>
              <w:r>
                <w:rPr>
                  <w:rFonts w:hint="eastAsia" w:ascii="宋体" w:hAnsi="宋体" w:cs="Arial"/>
                  <w:color w:val="000000"/>
                  <w:spacing w:val="-5"/>
                </w:rPr>
                <w:t>进行了充分沟通,其已知悉本次变更事项并对此无异议。根据公司选聘会计师事务所的竞争性谈判结果，聘任大信会计师事务所为 202</w:t>
              </w:r>
              <w:r>
                <w:rPr>
                  <w:rFonts w:ascii="宋体" w:hAnsi="宋体" w:cs="Arial"/>
                  <w:color w:val="000000"/>
                  <w:spacing w:val="-5"/>
                </w:rPr>
                <w:t>5</w:t>
              </w:r>
              <w:r>
                <w:rPr>
                  <w:rFonts w:hint="eastAsia" w:ascii="宋体" w:hAnsi="宋体" w:cs="Arial"/>
                  <w:color w:val="000000"/>
                  <w:spacing w:val="-5"/>
                </w:rPr>
                <w:t>年度财务报告审计机构和内部控制审计机构。</w:t>
              </w:r>
            </w:p>
            <w:p w14:paraId="409F698D">
              <w:pPr>
                <w:spacing w:line="360" w:lineRule="auto"/>
                <w:ind w:firstLine="400" w:firstLineChars="200"/>
                <w:jc w:val="both"/>
                <w:rPr>
                  <w:rFonts w:ascii="宋体" w:hAnsi="宋体" w:cs="宋体"/>
                  <w:szCs w:val="24"/>
                </w:rPr>
              </w:pPr>
              <w:r>
                <w:rPr>
                  <w:rFonts w:hint="eastAsia" w:ascii="宋体" w:hAnsi="宋体" w:cs="Arial"/>
                  <w:color w:val="000000"/>
                  <w:spacing w:val="-5"/>
                </w:rPr>
                <w:t>公司分别于202</w:t>
              </w:r>
              <w:r>
                <w:rPr>
                  <w:rFonts w:ascii="宋体" w:hAnsi="宋体" w:cs="Arial"/>
                  <w:color w:val="000000"/>
                  <w:spacing w:val="-5"/>
                </w:rPr>
                <w:t>5</w:t>
              </w:r>
              <w:r>
                <w:rPr>
                  <w:rFonts w:hint="eastAsia" w:ascii="宋体" w:hAnsi="宋体" w:cs="Arial"/>
                  <w:color w:val="000000"/>
                  <w:spacing w:val="-5"/>
                </w:rPr>
                <w:t>年1</w:t>
              </w:r>
              <w:r>
                <w:rPr>
                  <w:rFonts w:ascii="宋体" w:hAnsi="宋体" w:cs="Arial"/>
                  <w:color w:val="000000"/>
                  <w:spacing w:val="-5"/>
                </w:rPr>
                <w:t>0</w:t>
              </w:r>
              <w:r>
                <w:rPr>
                  <w:rFonts w:hint="eastAsia" w:ascii="宋体" w:hAnsi="宋体" w:cs="Arial"/>
                  <w:color w:val="000000"/>
                  <w:spacing w:val="-5"/>
                </w:rPr>
                <w:t>月</w:t>
              </w:r>
              <w:r>
                <w:rPr>
                  <w:rFonts w:ascii="宋体" w:hAnsi="宋体" w:cs="Arial"/>
                  <w:color w:val="000000"/>
                  <w:spacing w:val="-5"/>
                </w:rPr>
                <w:t>17</w:t>
              </w:r>
              <w:r>
                <w:rPr>
                  <w:rFonts w:hint="eastAsia" w:ascii="宋体" w:hAnsi="宋体" w:cs="Arial"/>
                  <w:color w:val="000000"/>
                  <w:spacing w:val="-5"/>
                </w:rPr>
                <w:t>日、202</w:t>
              </w:r>
              <w:r>
                <w:rPr>
                  <w:rFonts w:ascii="宋体" w:hAnsi="宋体" w:cs="Arial"/>
                  <w:color w:val="000000"/>
                  <w:spacing w:val="-5"/>
                </w:rPr>
                <w:t>5</w:t>
              </w:r>
              <w:r>
                <w:rPr>
                  <w:rFonts w:hint="eastAsia" w:ascii="宋体" w:hAnsi="宋体" w:cs="Arial"/>
                  <w:color w:val="000000"/>
                  <w:spacing w:val="-5"/>
                </w:rPr>
                <w:t>年1</w:t>
              </w:r>
              <w:r>
                <w:rPr>
                  <w:rFonts w:ascii="宋体" w:hAnsi="宋体" w:cs="Arial"/>
                  <w:color w:val="000000"/>
                  <w:spacing w:val="-5"/>
                </w:rPr>
                <w:t>1</w:t>
              </w:r>
              <w:r>
                <w:rPr>
                  <w:rFonts w:hint="eastAsia" w:ascii="宋体" w:hAnsi="宋体" w:cs="Arial"/>
                  <w:color w:val="000000"/>
                  <w:spacing w:val="-5"/>
                </w:rPr>
                <w:t>月</w:t>
              </w:r>
              <w:r>
                <w:rPr>
                  <w:rFonts w:ascii="宋体" w:hAnsi="宋体" w:cs="Arial"/>
                  <w:color w:val="000000"/>
                  <w:spacing w:val="-5"/>
                </w:rPr>
                <w:t>3</w:t>
              </w:r>
              <w:r>
                <w:rPr>
                  <w:rFonts w:hint="eastAsia" w:ascii="宋体" w:hAnsi="宋体" w:cs="Arial"/>
                  <w:color w:val="000000"/>
                  <w:spacing w:val="-5"/>
                </w:rPr>
                <w:t>日召开了第十一届董事会第十八次会议、202</w:t>
              </w:r>
              <w:r>
                <w:rPr>
                  <w:rFonts w:ascii="宋体" w:hAnsi="宋体" w:cs="Arial"/>
                  <w:color w:val="000000"/>
                  <w:spacing w:val="-5"/>
                </w:rPr>
                <w:t>5</w:t>
              </w:r>
              <w:r>
                <w:rPr>
                  <w:rFonts w:hint="eastAsia" w:ascii="宋体" w:hAnsi="宋体" w:cs="Arial"/>
                  <w:color w:val="000000"/>
                  <w:spacing w:val="-5"/>
                </w:rPr>
                <w:t>年第三次临时股东会，审议通过了《关于变更会计师事务所的议案》，同意聘任大信会计师事务所为公司202</w:t>
              </w:r>
              <w:r>
                <w:rPr>
                  <w:rFonts w:ascii="宋体" w:hAnsi="宋体" w:cs="Arial"/>
                  <w:color w:val="000000"/>
                  <w:spacing w:val="-5"/>
                </w:rPr>
                <w:t>5</w:t>
              </w:r>
              <w:r>
                <w:rPr>
                  <w:rFonts w:hint="eastAsia" w:ascii="宋体" w:hAnsi="宋体" w:cs="Arial"/>
                  <w:color w:val="000000"/>
                  <w:spacing w:val="-5"/>
                </w:rPr>
                <w:t>年度财务审计和内部控制审计机构。</w:t>
              </w:r>
            </w:p>
          </w:sdtContent>
        </w:sdt>
        <w:p w14:paraId="4FAD177D">
          <w:pPr>
            <w:pStyle w:val="48"/>
          </w:pPr>
        </w:p>
      </w:sdtContent>
    </w:sdt>
    <w:p w14:paraId="743F2B69">
      <w:pPr>
        <w:pStyle w:val="48"/>
      </w:pPr>
    </w:p>
    <w:p w14:paraId="6EC53BCE">
      <w:pPr>
        <w:pStyle w:val="48"/>
      </w:pPr>
      <w:r>
        <w:t>审计期间改聘会计师事务所的情况说明</w:t>
      </w:r>
    </w:p>
    <w:sdt>
      <w:sdtPr>
        <w:rPr>
          <w:rFonts w:hint="eastAsia"/>
        </w:rPr>
        <w:alias w:val="是否适用：审计期间改聘会计师事务所的情况说明[双击切换]"/>
        <w:tag w:val="_GBC_34c57619e2904c83a8840614e4e5d5d0"/>
        <w:id w:val="1374270584"/>
        <w:placeholder>
          <w:docPart w:val="GBC22222222222222222222222222222"/>
        </w:placeholder>
      </w:sdtPr>
      <w:sdtEndPr>
        <w:rPr>
          <w:rFonts w:hint="eastAsia"/>
        </w:rPr>
      </w:sdtEndPr>
      <w:sdtContent>
        <w:p w14:paraId="060EAE5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7B22C6A">
      <w:pPr>
        <w:pStyle w:val="48"/>
      </w:pPr>
    </w:p>
    <w:p w14:paraId="60DB43D1">
      <w:pPr>
        <w:pStyle w:val="48"/>
      </w:pPr>
      <w:r>
        <w:rPr>
          <w:rFonts w:hint="eastAsia"/>
        </w:rPr>
        <w:t>审计费用较上一年度下降20%以上（含20%）的情况说明</w:t>
      </w:r>
    </w:p>
    <w:sdt>
      <w:sdtPr>
        <w:rPr>
          <w:rFonts w:hint="eastAsia"/>
        </w:rPr>
        <w:alias w:val="是否适用：审计费用较上一年度下降20%以上（含20%）的情况说明[双击切换]"/>
        <w:tag w:val="_GBC_1b0fa24aa1d645e2aa2ab2a0fe7c67ab"/>
        <w:id w:val="-821272627"/>
        <w:placeholder>
          <w:docPart w:val="GBC22222222222222222222222222222"/>
        </w:placeholder>
      </w:sdtPr>
      <w:sdtEndPr>
        <w:rPr>
          <w:rFonts w:hint="eastAsia"/>
        </w:rPr>
      </w:sdtEndPr>
      <w:sdtContent>
        <w:p w14:paraId="61059D5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156B056">
      <w:pPr>
        <w:pStyle w:val="48"/>
      </w:pPr>
    </w:p>
    <w:p w14:paraId="394A7746">
      <w:pPr>
        <w:pStyle w:val="3"/>
        <w:numPr>
          <w:ilvl w:val="0"/>
          <w:numId w:val="29"/>
        </w:numPr>
      </w:pPr>
      <w:r>
        <w:rPr>
          <w:rFonts w:hint="eastAsia"/>
        </w:rPr>
        <w:t>面临退市风险的情况</w:t>
      </w:r>
    </w:p>
    <w:p w14:paraId="286228AF">
      <w:pPr>
        <w:pStyle w:val="4"/>
        <w:numPr>
          <w:ilvl w:val="0"/>
          <w:numId w:val="32"/>
        </w:numPr>
        <w:jc w:val="left"/>
      </w:pPr>
      <w:r>
        <w:rPr>
          <w:rFonts w:hint="eastAsia"/>
        </w:rPr>
        <w:t>导</w:t>
      </w:r>
      <w:r>
        <w:rPr>
          <w:szCs w:val="21"/>
        </w:rPr>
        <w:t>致</w:t>
      </w:r>
      <w:r>
        <w:rPr>
          <w:rFonts w:hint="eastAsia"/>
          <w:szCs w:val="21"/>
        </w:rPr>
        <w:t>退市风险警示</w:t>
      </w:r>
      <w:r>
        <w:rPr>
          <w:szCs w:val="21"/>
        </w:rPr>
        <w:t>的原因</w:t>
      </w:r>
    </w:p>
    <w:sdt>
      <w:sdtPr>
        <w:rPr>
          <w:rFonts w:hint="eastAsia"/>
        </w:rPr>
        <w:alias w:val="是否适用：导致暂停上市的原因[双击切换]"/>
        <w:tag w:val="_GBC_5be6e6fabf4849c7b63c5d08ac7706e1"/>
        <w:id w:val="-1901974998"/>
        <w:placeholder>
          <w:docPart w:val="GBC22222222222222222222222222222"/>
        </w:placeholder>
      </w:sdtPr>
      <w:sdtEndPr>
        <w:rPr>
          <w:rFonts w:hint="eastAsia"/>
        </w:rPr>
      </w:sdtEndPr>
      <w:sdtContent>
        <w:p w14:paraId="7E4989E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A24BF50">
      <w:pPr>
        <w:pStyle w:val="48"/>
      </w:pPr>
    </w:p>
    <w:p w14:paraId="4E6FFBC9">
      <w:pPr>
        <w:pStyle w:val="4"/>
        <w:numPr>
          <w:ilvl w:val="0"/>
          <w:numId w:val="32"/>
        </w:numPr>
        <w:jc w:val="left"/>
      </w:pPr>
      <w:r>
        <w:rPr>
          <w:rFonts w:hint="eastAsia"/>
        </w:rPr>
        <w:t>公司拟采取的应对措施</w:t>
      </w:r>
    </w:p>
    <w:sdt>
      <w:sdtPr>
        <w:alias w:val="是否适用：公司拟采取的措施[双击切换]"/>
        <w:tag w:val="_GBC_8656f473b4d943fe8fa1477037f607c5"/>
        <w:id w:val="-694220085"/>
        <w:placeholder>
          <w:docPart w:val="GBC22222222222222222222222222222"/>
        </w:placeholder>
      </w:sdtPr>
      <w:sdtContent>
        <w:p w14:paraId="1522BAB8">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7C0EDFB">
      <w:pPr>
        <w:pStyle w:val="48"/>
      </w:pPr>
    </w:p>
    <w:p w14:paraId="3B63C62D">
      <w:pPr>
        <w:pStyle w:val="4"/>
        <w:numPr>
          <w:ilvl w:val="0"/>
          <w:numId w:val="32"/>
        </w:numPr>
        <w:jc w:val="left"/>
      </w:pPr>
      <w:bookmarkStart w:id="145" w:name="_Hlk89346186"/>
      <w:r>
        <w:rPr>
          <w:rFonts w:hint="eastAsia"/>
        </w:rPr>
        <w:t>面临终止上市的情况和原因</w:t>
      </w:r>
    </w:p>
    <w:sdt>
      <w:sdtPr>
        <w:rPr>
          <w:rFonts w:hint="eastAsia"/>
        </w:rPr>
        <w:alias w:val="是否适用：面临终止上市的情况和原因 [双击切换]"/>
        <w:tag w:val="_GBC_36002fff87954035b149cfd20b1790d5"/>
        <w:id w:val="1673451880"/>
        <w:placeholder>
          <w:docPart w:val="GBC22222222222222222222222222222"/>
        </w:placeholder>
      </w:sdtPr>
      <w:sdtEndPr>
        <w:rPr>
          <w:rFonts w:hint="eastAsia"/>
        </w:rPr>
      </w:sdtEndPr>
      <w:sdtContent>
        <w:p w14:paraId="6FA6BCC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3C5773D">
      <w:pPr>
        <w:pStyle w:val="48"/>
      </w:pPr>
    </w:p>
    <w:bookmarkEnd w:id="145"/>
    <w:p w14:paraId="2D9D88E2">
      <w:pPr>
        <w:pStyle w:val="3"/>
        <w:numPr>
          <w:ilvl w:val="0"/>
          <w:numId w:val="29"/>
        </w:numPr>
      </w:pPr>
      <w:r>
        <w:rPr>
          <w:rFonts w:hint="eastAsia"/>
        </w:rPr>
        <w:t>破产重整相关事项</w:t>
      </w:r>
    </w:p>
    <w:sdt>
      <w:sdtPr>
        <w:alias w:val="是否适用：破产重整相关事项[双击切换]"/>
        <w:tag w:val="_GBC_5840a694c2a04f98893394e6da3bc9cc"/>
        <w:id w:val="-845008086"/>
        <w:placeholder>
          <w:docPart w:val="GBC22222222222222222222222222222"/>
        </w:placeholder>
      </w:sdtPr>
      <w:sdtContent>
        <w:p w14:paraId="5F02384D">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FDF97B">
      <w:pPr>
        <w:pStyle w:val="48"/>
      </w:pPr>
    </w:p>
    <w:p w14:paraId="5CE7C83D">
      <w:pPr>
        <w:pStyle w:val="3"/>
        <w:numPr>
          <w:ilvl w:val="0"/>
          <w:numId w:val="29"/>
        </w:numPr>
      </w:pPr>
      <w:r>
        <w:rPr>
          <w:rFonts w:hint="eastAsia"/>
        </w:rPr>
        <w:t>重大诉讼、仲裁事项</w:t>
      </w:r>
    </w:p>
    <w:sdt>
      <w:sdtPr>
        <w:rPr>
          <w:rFonts w:asciiTheme="minorEastAsia" w:hAnsiTheme="minorEastAsia" w:eastAsiaTheme="minorEastAsia"/>
        </w:rPr>
        <w:alias w:val="本年度公司有无重大诉讼、仲裁事项"/>
        <w:tag w:val="_GBC_b7d97a978491465ca563fa610688ebef"/>
        <w:id w:val="764503251"/>
        <w:placeholder>
          <w:docPart w:val="GBC22222222222222222222222222222"/>
        </w:placeholder>
      </w:sdtPr>
      <w:sdtEndPr>
        <w:rPr>
          <w:rFonts w:asciiTheme="minorEastAsia" w:hAnsiTheme="minorEastAsia" w:eastAsiaTheme="minorEastAsia"/>
        </w:rPr>
      </w:sdtEndPr>
      <w:sdtContent>
        <w:p w14:paraId="0D290E82">
          <w:pPr>
            <w:pStyle w:val="48"/>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□本年度公司有重大诉讼、仲裁事项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√本年度公司无重大诉讼、仲裁事项 </w:instrText>
          </w:r>
          <w:r>
            <w:rPr>
              <w:rFonts w:asciiTheme="minorEastAsia" w:hAnsiTheme="minorEastAsia" w:eastAsiaTheme="minorEastAsia"/>
            </w:rPr>
            <w:fldChar w:fldCharType="end"/>
          </w:r>
        </w:p>
      </w:sdtContent>
    </w:sdt>
    <w:p w14:paraId="6AD5B86E">
      <w:pPr>
        <w:pStyle w:val="48"/>
      </w:pPr>
    </w:p>
    <w:p w14:paraId="39A34A8F">
      <w:pPr>
        <w:pStyle w:val="48"/>
      </w:pPr>
    </w:p>
    <w:p w14:paraId="04D92CF1">
      <w:pPr>
        <w:pStyle w:val="3"/>
        <w:numPr>
          <w:ilvl w:val="0"/>
          <w:numId w:val="29"/>
        </w:numPr>
      </w:pPr>
      <w:r>
        <w:rPr>
          <w:rFonts w:hint="eastAsia"/>
        </w:rPr>
        <w:t>上市公司及其董事、高级管理人员、控股股东、实际控制人涉嫌违法违规、受到处罚及整改情况</w:t>
      </w:r>
    </w:p>
    <w:sdt>
      <w:sdtPr>
        <w:alias w:val="是否适用：上市公司及其董事、监事、高级管理人员、持有5%以上股份的股东、实际控制人、收购人处罚及整改情况[双击切换]"/>
        <w:tag w:val="_GBC_123762bb7717485a933e24f7a072833b"/>
        <w:id w:val="1104303908"/>
        <w:placeholder>
          <w:docPart w:val="GBC22222222222222222222222222222"/>
        </w:placeholder>
      </w:sdtPr>
      <w:sdtContent>
        <w:p w14:paraId="17958698">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BFBAA85">
      <w:sdt>
        <w:sdtPr>
          <w:rPr>
            <w:rFonts w:hint="eastAsia"/>
          </w:rPr>
          <w:alias w:val="公司、董事会、董事受处罚及整改情况"/>
          <w:tag w:val="_GBC_22b505e911e0454088ff7cedea338e39"/>
          <w:id w:val="-1383475421"/>
          <w:placeholder>
            <w:docPart w:val="B4A09DD92E974260A4432B90FF01F34B"/>
          </w:placeholder>
        </w:sdtPr>
        <w:sdtEndPr>
          <w:rPr>
            <w:rFonts w:hint="eastAsia"/>
          </w:rPr>
        </w:sdtEndPr>
        <w:sdtContent>
          <w:r>
            <w:rPr>
              <w:rFonts w:hint="eastAsia"/>
            </w:rPr>
            <w:t>内容详见第四节 公司治理、环境和社会 十七（五）近三年受证券监管机构处罚的情况说明</w:t>
          </w:r>
        </w:sdtContent>
      </w:sdt>
      <w:r>
        <w:rPr>
          <w:rFonts w:hint="eastAsia"/>
        </w:rPr>
        <w:t>。</w:t>
      </w:r>
    </w:p>
    <w:p w14:paraId="55FB6210">
      <w:pPr>
        <w:pStyle w:val="48"/>
      </w:pPr>
    </w:p>
    <w:p w14:paraId="363DDFC9">
      <w:pPr>
        <w:pStyle w:val="3"/>
        <w:numPr>
          <w:ilvl w:val="0"/>
          <w:numId w:val="29"/>
        </w:numPr>
      </w:pPr>
      <w:r>
        <w:rPr>
          <w:rFonts w:hint="eastAsia"/>
        </w:rPr>
        <w:t>报告期内公司及其控股股东、实际控制人诚信状况的说明</w:t>
      </w:r>
    </w:p>
    <w:sdt>
      <w:sdtPr>
        <w:rPr>
          <w:rFonts w:hint="eastAsia"/>
        </w:rPr>
        <w:alias w:val="是否适用：报告期内公司及其控股股东、实际控制人诚信状况的说明[双击切换]"/>
        <w:tag w:val="_GBC_c52f51ce49eb4245a9df7baca2947656"/>
        <w:id w:val="1703824739"/>
        <w:placeholder>
          <w:docPart w:val="GBC22222222222222222222222222222"/>
        </w:placeholder>
      </w:sdtPr>
      <w:sdtEndPr>
        <w:rPr>
          <w:rFonts w:hint="eastAsia"/>
        </w:rPr>
      </w:sdtEndPr>
      <w:sdtContent>
        <w:p w14:paraId="0803BFF1">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报告期内公司及其控股股东、实际控制人诚信状况的说明"/>
        <w:tag w:val="_GBC_6638694178ac4812ad4db9fd5a458b9a"/>
        <w:id w:val="-1606887821"/>
        <w:placeholder>
          <w:docPart w:val="GBC22222222222222222222222222222"/>
        </w:placeholder>
      </w:sdtPr>
      <w:sdtEndPr>
        <w:rPr>
          <w:rFonts w:hint="eastAsia"/>
        </w:rPr>
      </w:sdtEndPr>
      <w:sdtContent>
        <w:p w14:paraId="36EA31AD">
          <w:pPr>
            <w:widowControl w:val="0"/>
            <w:spacing w:line="360" w:lineRule="auto"/>
            <w:ind w:firstLine="420" w:firstLineChars="200"/>
            <w:jc w:val="both"/>
            <w:rPr>
              <w:rFonts w:ascii="Calibri" w:hAnsi="Calibri"/>
              <w:kern w:val="2"/>
            </w:rPr>
          </w:pPr>
          <w:sdt>
            <w:sdtPr>
              <w:rPr>
                <w:rFonts w:hint="eastAsia" w:ascii="Calibri" w:hAnsi="Calibri"/>
                <w:kern w:val="2"/>
              </w:rPr>
              <w:alias w:val="报告期内公司及其控股股东、实际控制人诚信状况的说明"/>
              <w:tag w:val="_GBC_6638694178ac4812ad4db9fd5a458b9a"/>
              <w:id w:val="550506560"/>
            </w:sdtPr>
            <w:sdtEndPr>
              <w:rPr>
                <w:rFonts w:hint="eastAsia" w:ascii="Calibri" w:hAnsi="Calibri"/>
                <w:kern w:val="2"/>
              </w:rPr>
            </w:sdtEndPr>
            <w:sdtContent>
              <w:r>
                <w:rPr>
                  <w:rFonts w:hint="eastAsia"/>
                  <w:kern w:val="2"/>
                </w:rPr>
                <w:t>截至报告期末，公司及其控股股东、实际控制人不存在未履行法院生效判决、所负数额较大的债务到期未清偿等情况。</w:t>
              </w:r>
            </w:sdtContent>
          </w:sdt>
        </w:p>
      </w:sdtContent>
    </w:sdt>
    <w:p w14:paraId="77B050B8">
      <w:pPr>
        <w:pStyle w:val="48"/>
      </w:pPr>
    </w:p>
    <w:p w14:paraId="11C7BF97">
      <w:pPr>
        <w:pStyle w:val="3"/>
        <w:numPr>
          <w:ilvl w:val="0"/>
          <w:numId w:val="29"/>
        </w:numPr>
      </w:pPr>
      <w:r>
        <w:rPr>
          <w:rFonts w:hint="eastAsia"/>
        </w:rPr>
        <w:t>重大关联交易</w:t>
      </w:r>
    </w:p>
    <w:p w14:paraId="3BB8B30E">
      <w:pPr>
        <w:pStyle w:val="4"/>
        <w:numPr>
          <w:ilvl w:val="2"/>
          <w:numId w:val="5"/>
        </w:numPr>
        <w:rPr>
          <w:szCs w:val="21"/>
        </w:rPr>
      </w:pPr>
      <w:bookmarkStart w:id="146" w:name="_Toc342565953"/>
      <w:bookmarkStart w:id="147" w:name="_Toc342491961"/>
      <w:r>
        <w:rPr>
          <w:rFonts w:hint="eastAsia"/>
          <w:szCs w:val="21"/>
        </w:rPr>
        <w:t>与日常经营相关的关联交易</w:t>
      </w:r>
      <w:bookmarkEnd w:id="146"/>
      <w:bookmarkEnd w:id="147"/>
    </w:p>
    <w:p w14:paraId="01E63F2B">
      <w:pPr>
        <w:pStyle w:val="5"/>
        <w:numPr>
          <w:ilvl w:val="2"/>
          <w:numId w:val="33"/>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1984274637"/>
        <w:placeholder>
          <w:docPart w:val="GBC22222222222222222222222222222"/>
        </w:placeholder>
      </w:sdtPr>
      <w:sdtContent>
        <w:p w14:paraId="59784C85">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20"/>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4"/>
        <w:gridCol w:w="4524"/>
      </w:tblGrid>
      <w:tr w14:paraId="2604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9f4a4c0936a4abcb8bcf98faa2411bf"/>
            <w:id w:val="1292399920"/>
          </w:sdtPr>
          <w:sdtContent>
            <w:tc>
              <w:tcPr>
                <w:tcW w:w="4524" w:type="dxa"/>
                <w:vAlign w:val="center"/>
              </w:tcPr>
              <w:p w14:paraId="3A58A3F0">
                <w:pPr>
                  <w:widowControl w:val="0"/>
                  <w:jc w:val="center"/>
                </w:pPr>
                <w:r>
                  <w:t>事项概述</w:t>
                </w:r>
              </w:p>
            </w:tc>
          </w:sdtContent>
        </w:sdt>
        <w:sdt>
          <w:sdtPr>
            <w:tag w:val="_PLD_ee8e2b9af7fa4faa8b872d9bd167f00f"/>
            <w:id w:val="39951581"/>
          </w:sdtPr>
          <w:sdtContent>
            <w:tc>
              <w:tcPr>
                <w:tcW w:w="4524" w:type="dxa"/>
                <w:vAlign w:val="center"/>
              </w:tcPr>
              <w:p w14:paraId="690C5803">
                <w:pPr>
                  <w:widowControl w:val="0"/>
                  <w:jc w:val="center"/>
                </w:pPr>
                <w:r>
                  <w:t>查询索引</w:t>
                </w:r>
              </w:p>
            </w:tc>
          </w:sdtContent>
        </w:sdt>
      </w:tr>
      <w:tr w14:paraId="50F2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vAlign w:val="center"/>
          </w:tcPr>
          <w:p w14:paraId="3CE47BA7">
            <w:pPr>
              <w:widowControl w:val="0"/>
              <w:ind w:firstLine="420" w:firstLineChars="200"/>
              <w:jc w:val="both"/>
            </w:pPr>
            <w:r>
              <w:t>公司于2025年4月28日召开的第十一届董事会第</w:t>
            </w:r>
            <w:r>
              <w:rPr>
                <w:rFonts w:hint="eastAsia"/>
              </w:rPr>
              <w:t>十</w:t>
            </w:r>
            <w:r>
              <w:t>四次会议审议通过了《关于2024年日常关联交易的执行情况及预计2025年日常关联交易的议案》，公司与关联人东宝实业集团股份有限公司</w:t>
            </w:r>
            <w:r>
              <w:rPr>
                <w:rFonts w:hint="eastAsia"/>
              </w:rPr>
              <w:t>及其下属公司</w:t>
            </w:r>
            <w:r>
              <w:t>、通化丽景能源热力有限公司、通化东宝集团进出口有限公司、华广生技股份有限公司、通化东宝五药有限公司、通化鸿宝药业有限公司、君合盟生物制药（</w:t>
            </w:r>
            <w:r>
              <w:rPr>
                <w:rFonts w:hint="eastAsia"/>
              </w:rPr>
              <w:t>通化</w:t>
            </w:r>
            <w:r>
              <w:t>）有限公司、吉林恒德环保有限公司、通化东宝医药经营有限公司等拟发生的日常关联交易额度预计为7,395万元。该议案已提交公司2024年度股东大会审议通过。报告期内，公司与关联方实际发生的关联交易额为</w:t>
            </w:r>
            <w:r>
              <w:rPr>
                <w:rFonts w:hint="eastAsia"/>
              </w:rPr>
              <w:t>6</w:t>
            </w:r>
            <w:r>
              <w:t>,261.16万元，未超出预计额度。</w:t>
            </w:r>
          </w:p>
        </w:tc>
        <w:tc>
          <w:tcPr>
            <w:tcW w:w="4524" w:type="dxa"/>
            <w:vAlign w:val="center"/>
          </w:tcPr>
          <w:p w14:paraId="11396CA5">
            <w:pPr>
              <w:widowControl w:val="0"/>
              <w:ind w:firstLine="420" w:firstLineChars="200"/>
              <w:jc w:val="both"/>
            </w:pPr>
            <w:r>
              <w:t>内容详见2025年4月30日公司在上海证券报、中国证券报及上海证券交易所网站(www.sse.com.cn)披露的《通化东宝关于2024年日常关联交易的执行情况及预计2025年日常关联交易的公告》（公告编号：2025-027）及附注</w:t>
            </w:r>
            <w:r>
              <w:rPr>
                <w:rFonts w:hint="eastAsia"/>
              </w:rPr>
              <w:t>第八节</w:t>
            </w:r>
            <w:r>
              <w:t>“十四、关联方及关联交易”</w:t>
            </w:r>
          </w:p>
        </w:tc>
      </w:tr>
    </w:tbl>
    <w:p w14:paraId="057178BA">
      <w:pPr>
        <w:pStyle w:val="48"/>
      </w:pPr>
    </w:p>
    <w:p w14:paraId="1EDE4E16">
      <w:pPr>
        <w:pStyle w:val="5"/>
        <w:numPr>
          <w:ilvl w:val="2"/>
          <w:numId w:val="33"/>
        </w:numPr>
      </w:pPr>
      <w:r>
        <w:t>已在临时公告披露，但有后续实施的进展或变化的事项</w:t>
      </w:r>
    </w:p>
    <w:sdt>
      <w:sdtPr>
        <w:rPr>
          <w:rFonts w:hint="eastAsia"/>
        </w:rPr>
        <w:alias w:val="是否适用：已在临时公告披露，但有后续实施的进展或变化的事项_与日常经营相关的关联交易[双击切换]"/>
        <w:tag w:val="_GBC_19ed12f3e7b5456b8509a0a5457f26b3"/>
        <w:id w:val="597601113"/>
        <w:placeholder>
          <w:docPart w:val="GBC22222222222222222222222222222"/>
        </w:placeholder>
      </w:sdtPr>
      <w:sdtEndPr>
        <w:rPr>
          <w:rFonts w:hint="eastAsia"/>
        </w:rPr>
      </w:sdtEndPr>
      <w:sdtContent>
        <w:p w14:paraId="4D2975A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0A5BAA">
      <w:pPr>
        <w:pStyle w:val="48"/>
      </w:pPr>
    </w:p>
    <w:p w14:paraId="7AAB8D18">
      <w:pPr>
        <w:pStyle w:val="5"/>
        <w:numPr>
          <w:ilvl w:val="2"/>
          <w:numId w:val="33"/>
        </w:numPr>
      </w:pPr>
      <w:bookmarkStart w:id="148" w:name="_Toc342565956"/>
      <w:bookmarkStart w:id="149" w:name="_Toc342491964"/>
      <w:r>
        <w:rPr>
          <w:rFonts w:hint="eastAsia"/>
        </w:rPr>
        <w:t>临时公告未披露的事</w:t>
      </w:r>
      <w:bookmarkEnd w:id="148"/>
      <w:bookmarkEnd w:id="149"/>
      <w:r>
        <w:rPr>
          <w:rFonts w:hint="eastAsia"/>
        </w:rPr>
        <w:t>项</w:t>
      </w:r>
    </w:p>
    <w:sdt>
      <w:sdtPr>
        <w:alias w:val="是否适用：与日常经营相关的关联交易_临时公告未披露的事项[双击切换]"/>
        <w:tag w:val="_GBC_3f1135e0d6d440e6a4af283441bd65d2"/>
        <w:id w:val="-739554414"/>
        <w:placeholder>
          <w:docPart w:val="GBC22222222222222222222222222222"/>
        </w:placeholder>
      </w:sdtPr>
      <w:sdtContent>
        <w:p w14:paraId="195F78A8">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1958593">
      <w:pPr>
        <w:pStyle w:val="48"/>
      </w:pPr>
    </w:p>
    <w:p w14:paraId="6B48F2C2">
      <w:pPr>
        <w:pStyle w:val="4"/>
        <w:numPr>
          <w:ilvl w:val="2"/>
          <w:numId w:val="5"/>
        </w:numPr>
        <w:rPr>
          <w:szCs w:val="21"/>
        </w:rPr>
      </w:pPr>
      <w:r>
        <w:rPr>
          <w:rFonts w:hint="eastAsia"/>
          <w:szCs w:val="21"/>
        </w:rPr>
        <w:t>资产或股权收购、出售发生的关联交易</w:t>
      </w:r>
    </w:p>
    <w:p w14:paraId="7ADCA48D">
      <w:pPr>
        <w:pStyle w:val="5"/>
        <w:numPr>
          <w:ilvl w:val="0"/>
          <w:numId w:val="34"/>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2108922294"/>
        <w:placeholder>
          <w:docPart w:val="GBC22222222222222222222222222222"/>
        </w:placeholder>
      </w:sdtPr>
      <w:sdtContent>
        <w:p w14:paraId="32366933">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A0CDE2E">
      <w:pPr>
        <w:pStyle w:val="48"/>
      </w:pPr>
    </w:p>
    <w:p w14:paraId="44C0418B">
      <w:pPr>
        <w:pStyle w:val="5"/>
        <w:numPr>
          <w:ilvl w:val="0"/>
          <w:numId w:val="34"/>
        </w:numPr>
      </w:pPr>
      <w:bookmarkStart w:id="150" w:name="_Hlk90309315"/>
      <w:r>
        <w:t>已在临时公告披露，但有后续实施的进展或变化的事项</w:t>
      </w:r>
    </w:p>
    <w:sdt>
      <w:sdtPr>
        <w:rPr>
          <w:rFonts w:hint="eastAsia"/>
        </w:rPr>
        <w:alias w:val="是否适用：已在临时公告披露，但有后续实施的进展或变化的事项_资产或股权收购、出售发生的关联交易[双击切换]"/>
        <w:tag w:val="_GBC_f85ce314be044952b84cb0c7825e3be3"/>
        <w:id w:val="1119261323"/>
        <w:placeholder>
          <w:docPart w:val="GBC22222222222222222222222222222"/>
        </w:placeholder>
      </w:sdtPr>
      <w:sdtEndPr>
        <w:rPr>
          <w:rFonts w:hint="eastAsia"/>
        </w:rPr>
      </w:sdtEndPr>
      <w:sdtContent>
        <w:p w14:paraId="4D163D7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150"/>
    <w:p w14:paraId="0230EB1D">
      <w:pPr>
        <w:pStyle w:val="48"/>
      </w:pPr>
    </w:p>
    <w:p w14:paraId="02F05230">
      <w:pPr>
        <w:pStyle w:val="5"/>
        <w:numPr>
          <w:ilvl w:val="0"/>
          <w:numId w:val="34"/>
        </w:numPr>
      </w:pPr>
      <w:r>
        <w:t>临时公告未披露的事项</w:t>
      </w:r>
    </w:p>
    <w:sdt>
      <w:sdtPr>
        <w:alias w:val="是否适用：资产收购、出售发生的关联交易_临时公告未披露的事项[双击切换]"/>
        <w:tag w:val="_GBC_c2403e21caad4498842c2f1cf3384c0d"/>
        <w:id w:val="1047494912"/>
        <w:placeholder>
          <w:docPart w:val="GBC22222222222222222222222222222"/>
        </w:placeholder>
      </w:sdtPr>
      <w:sdtContent>
        <w:p w14:paraId="61F81897">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78001FE">
      <w:pPr>
        <w:pStyle w:val="48"/>
      </w:pPr>
    </w:p>
    <w:p w14:paraId="41A02F6D">
      <w:pPr>
        <w:pStyle w:val="48"/>
      </w:pPr>
    </w:p>
    <w:p w14:paraId="761A52F3">
      <w:pPr>
        <w:pStyle w:val="5"/>
        <w:numPr>
          <w:ilvl w:val="0"/>
          <w:numId w:val="34"/>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131591248"/>
        <w:placeholder>
          <w:docPart w:val="GBC22222222222222222222222222222"/>
        </w:placeholder>
      </w:sdtPr>
      <w:sdtEndPr>
        <w:rPr>
          <w:rFonts w:hint="eastAsia"/>
        </w:rPr>
      </w:sdtEndPr>
      <w:sdtContent>
        <w:p w14:paraId="51CACE0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266B239">
      <w:pPr>
        <w:pStyle w:val="48"/>
      </w:pPr>
    </w:p>
    <w:p w14:paraId="47670D4E">
      <w:pPr>
        <w:pStyle w:val="4"/>
        <w:numPr>
          <w:ilvl w:val="2"/>
          <w:numId w:val="5"/>
        </w:numPr>
        <w:rPr>
          <w:szCs w:val="21"/>
        </w:rPr>
      </w:pPr>
      <w:r>
        <w:rPr>
          <w:rFonts w:hint="eastAsia"/>
          <w:szCs w:val="21"/>
        </w:rPr>
        <w:t>共同对外投资的重大关联交易</w:t>
      </w:r>
    </w:p>
    <w:p w14:paraId="566D2230">
      <w:pPr>
        <w:pStyle w:val="5"/>
        <w:numPr>
          <w:ilvl w:val="0"/>
          <w:numId w:val="35"/>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951819157"/>
        <w:placeholder>
          <w:docPart w:val="GBC22222222222222222222222222222"/>
        </w:placeholder>
      </w:sdtPr>
      <w:sdtContent>
        <w:p w14:paraId="341AE7A2">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AFE26B7">
      <w:pPr>
        <w:pStyle w:val="48"/>
      </w:pPr>
    </w:p>
    <w:p w14:paraId="3AA5C62B">
      <w:pPr>
        <w:pStyle w:val="5"/>
        <w:numPr>
          <w:ilvl w:val="0"/>
          <w:numId w:val="35"/>
        </w:numPr>
      </w:pPr>
      <w:r>
        <w:t>已在临时公告披露，但有后续实施的进展或变化的事项</w:t>
      </w:r>
    </w:p>
    <w:sdt>
      <w:sdtPr>
        <w:rPr>
          <w:rFonts w:hint="eastAsia"/>
        </w:rPr>
        <w:alias w:val="是否适用：已在临时公告披露，但有后续实施的进展或变化的事项_共同对外投资的重大关联交易[双击切换]"/>
        <w:tag w:val="_GBC_5d21c9b653cf41df993294ab4dfbca74"/>
        <w:id w:val="1349917944"/>
        <w:placeholder>
          <w:docPart w:val="GBC22222222222222222222222222222"/>
        </w:placeholder>
      </w:sdtPr>
      <w:sdtEndPr>
        <w:rPr>
          <w:rFonts w:hint="eastAsia"/>
        </w:rPr>
      </w:sdtEndPr>
      <w:sdtContent>
        <w:p w14:paraId="2CF0ACA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2335318">
      <w:pPr>
        <w:pStyle w:val="48"/>
      </w:pPr>
    </w:p>
    <w:p w14:paraId="79C79C82">
      <w:pPr>
        <w:pStyle w:val="5"/>
        <w:numPr>
          <w:ilvl w:val="0"/>
          <w:numId w:val="35"/>
        </w:numPr>
      </w:pPr>
      <w:r>
        <w:t>临时公告未披露的事项</w:t>
      </w:r>
    </w:p>
    <w:sdt>
      <w:sdtPr>
        <w:alias w:val="是否适用：共同对外投资的重大关联交易_临时公告未披露的事项[双击切换]"/>
        <w:tag w:val="_GBC_0a8e93fe81464e209d3619d1be6a3349"/>
        <w:id w:val="-1851788822"/>
        <w:placeholder>
          <w:docPart w:val="GBC22222222222222222222222222222"/>
        </w:placeholder>
      </w:sdtPr>
      <w:sdtContent>
        <w:p w14:paraId="4A8078A8">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545244C">
      <w:pPr>
        <w:pStyle w:val="48"/>
      </w:pPr>
    </w:p>
    <w:p w14:paraId="021D7B26">
      <w:pPr>
        <w:pStyle w:val="48"/>
      </w:pPr>
    </w:p>
    <w:p w14:paraId="0CB5B237">
      <w:pPr>
        <w:pStyle w:val="4"/>
        <w:numPr>
          <w:ilvl w:val="2"/>
          <w:numId w:val="5"/>
        </w:numPr>
        <w:rPr>
          <w:szCs w:val="21"/>
        </w:rPr>
      </w:pPr>
      <w:r>
        <w:rPr>
          <w:rFonts w:hint="eastAsia"/>
          <w:szCs w:val="21"/>
        </w:rPr>
        <w:t>关联债权债务往来</w:t>
      </w:r>
    </w:p>
    <w:p w14:paraId="41EA0298">
      <w:pPr>
        <w:pStyle w:val="5"/>
        <w:numPr>
          <w:ilvl w:val="0"/>
          <w:numId w:val="36"/>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11116676"/>
        <w:placeholder>
          <w:docPart w:val="GBC22222222222222222222222222222"/>
        </w:placeholder>
      </w:sdtPr>
      <w:sdtContent>
        <w:p w14:paraId="6D03A4A6">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ED05F69">
      <w:pPr>
        <w:pStyle w:val="48"/>
      </w:pPr>
    </w:p>
    <w:p w14:paraId="69877C3B">
      <w:pPr>
        <w:pStyle w:val="5"/>
        <w:numPr>
          <w:ilvl w:val="0"/>
          <w:numId w:val="36"/>
        </w:numPr>
      </w:pPr>
      <w:r>
        <w:t>已在临时公告披露，但有后续实施的进展或变化的事项</w:t>
      </w:r>
    </w:p>
    <w:sdt>
      <w:sdtPr>
        <w:rPr>
          <w:rFonts w:hint="eastAsia"/>
        </w:rPr>
        <w:alias w:val="是否适用：已在临时公告披露，但有后续实施的进展或变化的事项_关联债权债务往来[双击切换]"/>
        <w:tag w:val="_GBC_fe8fc12ee5c547d690bcc3fb3f1f4e32"/>
        <w:id w:val="963709006"/>
        <w:placeholder>
          <w:docPart w:val="GBC22222222222222222222222222222"/>
        </w:placeholder>
      </w:sdtPr>
      <w:sdtEndPr>
        <w:rPr>
          <w:rFonts w:hint="eastAsia"/>
        </w:rPr>
      </w:sdtEndPr>
      <w:sdtContent>
        <w:p w14:paraId="3E24650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E75881B">
      <w:pPr>
        <w:pStyle w:val="48"/>
      </w:pPr>
    </w:p>
    <w:p w14:paraId="7ABF3173">
      <w:pPr>
        <w:pStyle w:val="5"/>
        <w:numPr>
          <w:ilvl w:val="0"/>
          <w:numId w:val="36"/>
        </w:numPr>
      </w:pPr>
      <w:r>
        <w:rPr>
          <w:rFonts w:hint="eastAsia"/>
        </w:rPr>
        <w:t>临时公告未披露的事项</w:t>
      </w:r>
    </w:p>
    <w:sdt>
      <w:sdtPr>
        <w:alias w:val="是否适用：关联债权债务往来_临时公告未披露的事项[双击切换]"/>
        <w:tag w:val="_GBC_d9a88c6705ef48d49848c2b93cb503f2"/>
        <w:id w:val="-793898375"/>
        <w:placeholder>
          <w:docPart w:val="GBC22222222222222222222222222222"/>
        </w:placeholder>
      </w:sdtPr>
      <w:sdtContent>
        <w:p w14:paraId="3BA13B18">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995C743">
      <w:pPr>
        <w:rPr>
          <w:rFonts w:asciiTheme="minorEastAsia" w:hAnsiTheme="minorEastAsia"/>
        </w:rPr>
      </w:pPr>
    </w:p>
    <w:p w14:paraId="0141345F">
      <w:pPr>
        <w:pStyle w:val="4"/>
        <w:numPr>
          <w:ilvl w:val="2"/>
          <w:numId w:val="5"/>
        </w:numPr>
        <w:rPr>
          <w:szCs w:val="21"/>
        </w:rPr>
      </w:pPr>
      <w:bookmarkStart w:id="151" w:name="_Hlk89346519"/>
      <w:bookmarkStart w:id="152" w:name="_Hlk89953756"/>
      <w:r>
        <w:rPr>
          <w:rFonts w:hint="eastAsia"/>
          <w:szCs w:val="21"/>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384726374"/>
        <w:placeholder>
          <w:docPart w:val="GBC22222222222222222222222222222"/>
        </w:placeholder>
      </w:sdtPr>
      <w:sdtContent>
        <w:p w14:paraId="6746B3A3">
          <w:pPr>
            <w:rPr>
              <w:color w:val="000000" w:themeColor="text1"/>
              <w14:textFill>
                <w14:solidFill>
                  <w14:schemeClr w14:val="tx1"/>
                </w14:solidFill>
              </w14:textFil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F6885F2">
      <w:pPr>
        <w:rPr>
          <w:color w:val="000000" w:themeColor="text1"/>
          <w14:textFill>
            <w14:solidFill>
              <w14:schemeClr w14:val="tx1"/>
            </w14:solidFill>
          </w14:textFill>
        </w:rPr>
      </w:pPr>
      <w:bookmarkStart w:id="153" w:name="_Hlk41316022"/>
    </w:p>
    <w:p w14:paraId="0A55EDF5">
      <w:pPr>
        <w:rPr>
          <w:color w:val="000000" w:themeColor="text1"/>
          <w14:textFill>
            <w14:solidFill>
              <w14:schemeClr w14:val="tx1"/>
            </w14:solidFill>
          </w14:textFill>
        </w:rPr>
      </w:pPr>
    </w:p>
    <w:bookmarkEnd w:id="151"/>
    <w:bookmarkEnd w:id="152"/>
    <w:bookmarkEnd w:id="153"/>
    <w:p w14:paraId="08B78454">
      <w:pPr>
        <w:pStyle w:val="4"/>
        <w:numPr>
          <w:ilvl w:val="2"/>
          <w:numId w:val="5"/>
        </w:numPr>
        <w:rPr>
          <w:szCs w:val="21"/>
        </w:rPr>
      </w:pPr>
      <w:r>
        <w:rPr>
          <w:rFonts w:hint="eastAsia"/>
          <w:szCs w:val="21"/>
        </w:rPr>
        <w:t>其他</w:t>
      </w:r>
    </w:p>
    <w:sdt>
      <w:sdtPr>
        <w:rPr>
          <w:rFonts w:hint="eastAsia" w:asciiTheme="minorEastAsia" w:hAnsiTheme="minorEastAsia" w:eastAsiaTheme="minorEastAsia"/>
        </w:rPr>
        <w:alias w:val="是否适用：重大关联交易其他说明[双击切换]"/>
        <w:tag w:val="_GBC_49b04883b7a84a83b6a8bfec05cbb445"/>
        <w:id w:val="-1870363614"/>
        <w:placeholder>
          <w:docPart w:val="GBC22222222222222222222222222222"/>
        </w:placeholder>
      </w:sdtPr>
      <w:sdtEndPr>
        <w:rPr>
          <w:rFonts w:hint="eastAsia" w:asciiTheme="minorEastAsia" w:hAnsiTheme="minorEastAsia" w:eastAsiaTheme="minorEastAsia"/>
        </w:rPr>
      </w:sdtEndPr>
      <w:sdtContent>
        <w:p w14:paraId="239059A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038E7E">
      <w:pPr>
        <w:pStyle w:val="48"/>
      </w:pPr>
    </w:p>
    <w:p w14:paraId="77FCE4A4">
      <w:pPr>
        <w:pStyle w:val="3"/>
        <w:numPr>
          <w:ilvl w:val="0"/>
          <w:numId w:val="29"/>
        </w:numPr>
      </w:pPr>
      <w:r>
        <w:rPr>
          <w:rFonts w:hint="eastAsia"/>
        </w:rPr>
        <w:t>重大合同及其履行情况</w:t>
      </w:r>
    </w:p>
    <w:p w14:paraId="7B77B96F">
      <w:pPr>
        <w:pStyle w:val="4"/>
        <w:numPr>
          <w:ilvl w:val="0"/>
          <w:numId w:val="37"/>
        </w:numPr>
        <w:rPr>
          <w:szCs w:val="21"/>
        </w:rPr>
      </w:pPr>
      <w:r>
        <w:rPr>
          <w:szCs w:val="21"/>
        </w:rPr>
        <w:t>托管、承包、租赁事项</w:t>
      </w:r>
    </w:p>
    <w:p w14:paraId="4EAFC2C2">
      <w:pPr>
        <w:pStyle w:val="5"/>
        <w:numPr>
          <w:ilvl w:val="0"/>
          <w:numId w:val="38"/>
        </w:numPr>
      </w:pPr>
      <w:r>
        <w:rPr>
          <w:rFonts w:hint="eastAsia"/>
        </w:rPr>
        <w:t>托管情况</w:t>
      </w:r>
    </w:p>
    <w:sdt>
      <w:sdtPr>
        <w:alias w:val="是否适用：托管情况[双击切换]"/>
        <w:tag w:val="_GBC_f528f5eedb9346f6b0fbdbe3967882e7"/>
        <w:id w:val="1694344110"/>
        <w:placeholder>
          <w:docPart w:val="GBC22222222222222222222222222222"/>
        </w:placeholder>
      </w:sdtPr>
      <w:sdtContent>
        <w:p w14:paraId="3A7312B2">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EE122F1">
      <w:pPr>
        <w:pStyle w:val="48"/>
      </w:pPr>
    </w:p>
    <w:p w14:paraId="7A4ACB1A">
      <w:pPr>
        <w:pStyle w:val="48"/>
      </w:pPr>
    </w:p>
    <w:p w14:paraId="670407F3">
      <w:pPr>
        <w:pStyle w:val="5"/>
        <w:numPr>
          <w:ilvl w:val="0"/>
          <w:numId w:val="38"/>
        </w:numPr>
      </w:pPr>
      <w:r>
        <w:rPr>
          <w:rFonts w:hint="eastAsia"/>
        </w:rPr>
        <w:t>承包情况</w:t>
      </w:r>
    </w:p>
    <w:sdt>
      <w:sdtPr>
        <w:alias w:val="是否适用：承包情况[双击切换]"/>
        <w:tag w:val="_GBC_ef45025eb2d84c78907511abec2bd222"/>
        <w:id w:val="-1462341698"/>
        <w:placeholder>
          <w:docPart w:val="GBC22222222222222222222222222222"/>
        </w:placeholder>
      </w:sdtPr>
      <w:sdtContent>
        <w:p w14:paraId="6632F517">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33B927E">
      <w:pPr>
        <w:pStyle w:val="48"/>
      </w:pPr>
    </w:p>
    <w:p w14:paraId="39796D6E">
      <w:pPr>
        <w:pStyle w:val="48"/>
      </w:pPr>
    </w:p>
    <w:p w14:paraId="364A4C30">
      <w:pPr>
        <w:pStyle w:val="5"/>
        <w:numPr>
          <w:ilvl w:val="0"/>
          <w:numId w:val="38"/>
        </w:numPr>
      </w:pPr>
      <w:r>
        <w:rPr>
          <w:rFonts w:hint="eastAsia"/>
        </w:rPr>
        <w:t>租赁情况</w:t>
      </w:r>
    </w:p>
    <w:sdt>
      <w:sdtPr>
        <w:alias w:val="是否适用：租赁情况[双击切换]"/>
        <w:tag w:val="_GBC_c1d0d78a63af4d48a7427277c2db3ac5"/>
        <w:id w:val="881989396"/>
        <w:placeholder>
          <w:docPart w:val="GBC22222222222222222222222222222"/>
        </w:placeholder>
      </w:sdtPr>
      <w:sdtContent>
        <w:p w14:paraId="02ED36D8">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AF5B4AC">
      <w:pPr>
        <w:pStyle w:val="48"/>
      </w:pPr>
    </w:p>
    <w:p w14:paraId="4F82FF46">
      <w:pPr>
        <w:pStyle w:val="48"/>
      </w:pPr>
    </w:p>
    <w:p w14:paraId="03FCEC79">
      <w:pPr>
        <w:sectPr>
          <w:pgSz w:w="11906" w:h="16838"/>
          <w:pgMar w:top="1525" w:right="1276" w:bottom="1440" w:left="1797" w:header="855" w:footer="992" w:gutter="0"/>
          <w:cols w:space="425" w:num="1"/>
          <w:docGrid w:linePitch="312" w:charSpace="0"/>
        </w:sectPr>
      </w:pPr>
    </w:p>
    <w:p w14:paraId="104AFAE1">
      <w:pPr>
        <w:pStyle w:val="4"/>
        <w:numPr>
          <w:ilvl w:val="0"/>
          <w:numId w:val="37"/>
        </w:numPr>
        <w:rPr>
          <w:szCs w:val="21"/>
        </w:rPr>
      </w:pPr>
      <w:bookmarkStart w:id="154" w:name="_Toc342491982"/>
      <w:bookmarkStart w:id="155" w:name="_Toc342565974"/>
      <w:bookmarkStart w:id="156" w:name="OLE_LINK2"/>
      <w:bookmarkStart w:id="157" w:name="OLE_LINK3"/>
      <w:r>
        <w:rPr>
          <w:szCs w:val="21"/>
        </w:rPr>
        <w:t>担保情况</w:t>
      </w:r>
      <w:bookmarkEnd w:id="154"/>
      <w:bookmarkEnd w:id="155"/>
    </w:p>
    <w:bookmarkEnd w:id="156"/>
    <w:bookmarkEnd w:id="157"/>
    <w:sdt>
      <w:sdtPr>
        <w:alias w:val="是否适用：担保情况[双击切换]"/>
        <w:tag w:val="_GBC_b799a3ac65f846e088fcfb2dd2591ede"/>
        <w:id w:val="-1251731082"/>
        <w:placeholder>
          <w:docPart w:val="GBC22222222222222222222222222222"/>
        </w:placeholder>
      </w:sdtPr>
      <w:sdtContent>
        <w:p w14:paraId="5D0ECF61">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2FCE660">
      <w:pPr>
        <w:rPr>
          <w:rFonts w:asciiTheme="minorEastAsia" w:hAnsiTheme="minorEastAsia" w:eastAsiaTheme="minorEastAsia"/>
        </w:rPr>
      </w:pPr>
    </w:p>
    <w:p w14:paraId="2D7DD799">
      <w:pPr>
        <w:pStyle w:val="4"/>
        <w:numPr>
          <w:ilvl w:val="0"/>
          <w:numId w:val="37"/>
        </w:numPr>
        <w:rPr>
          <w:szCs w:val="21"/>
        </w:rPr>
      </w:pPr>
      <w:r>
        <w:rPr>
          <w:szCs w:val="21"/>
        </w:rPr>
        <w:t>委托他人进行现金资产管理的情况</w:t>
      </w:r>
    </w:p>
    <w:p w14:paraId="53D2FAD9">
      <w:pPr>
        <w:pStyle w:val="5"/>
        <w:numPr>
          <w:ilvl w:val="0"/>
          <w:numId w:val="39"/>
        </w:numPr>
      </w:pPr>
      <w:r>
        <w:rPr>
          <w:rFonts w:hint="eastAsia"/>
        </w:rPr>
        <w:t>委托理财情况</w:t>
      </w:r>
    </w:p>
    <w:p w14:paraId="7FB187E4">
      <w:pPr>
        <w:pStyle w:val="6"/>
        <w:numPr>
          <w:ilvl w:val="0"/>
          <w:numId w:val="40"/>
        </w:numPr>
        <w:ind w:left="357" w:leftChars="0" w:hanging="357"/>
      </w:pPr>
      <w:r>
        <w:t>委托理财总体情况</w:t>
      </w:r>
    </w:p>
    <w:sdt>
      <w:sdtPr>
        <w:rPr>
          <w:rFonts w:hint="eastAsia"/>
        </w:rPr>
        <w:alias w:val="是否适用：委托理财总体情况[双击切换]"/>
        <w:tag w:val="_GBC_939edce711f74cc3bede852019388a3e"/>
        <w:id w:val="240607236"/>
        <w:placeholder>
          <w:docPart w:val="GBC22222222222222222222222222222"/>
        </w:placeholder>
      </w:sdtPr>
      <w:sdtEndPr>
        <w:rPr>
          <w:rFonts w:hint="eastAsia"/>
        </w:rPr>
      </w:sdtEndPr>
      <w:sdtContent>
        <w:p w14:paraId="5D31E118">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0841C85">
      <w:pPr>
        <w:jc w:val="right"/>
      </w:pPr>
      <w:r>
        <w:rPr>
          <w:rFonts w:hint="eastAsia"/>
        </w:rPr>
        <w:t>单位：</w:t>
      </w:r>
      <w:sdt>
        <w:sdtPr>
          <w:rPr>
            <w:rFonts w:hint="eastAsia"/>
          </w:rPr>
          <w:alias w:val="单位：委托理财总体情况"/>
          <w:tag w:val="_GBC_995d6d32b0f247b897c1e3683394b78e"/>
          <w:id w:val="-5797588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委托理财总体情况"/>
          <w:tag w:val="_GBC_4eea93464f564ac386eb7f3f2731c982"/>
          <w:id w:val="-11720940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2347"/>
        <w:gridCol w:w="2347"/>
        <w:gridCol w:w="2195"/>
      </w:tblGrid>
      <w:tr w14:paraId="71D7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sdt>
          <w:sdtPr>
            <w:tag w:val="_PLD_adc56e4902a44336b31583f6d92ae8fe"/>
            <w:id w:val="-1510367710"/>
          </w:sdtPr>
          <w:sdtContent>
            <w:tc>
              <w:tcPr>
                <w:tcW w:w="2320" w:type="dxa"/>
                <w:vAlign w:val="center"/>
              </w:tcPr>
              <w:p w14:paraId="7F807CC9">
                <w:pPr>
                  <w:ind w:left="352" w:leftChars="132" w:hanging="75" w:hangingChars="36"/>
                  <w:jc w:val="center"/>
                  <w:rPr>
                    <w:rFonts w:ascii="Calibri" w:hAnsi="Calibri"/>
                    <w:sz w:val="20"/>
                    <w:szCs w:val="20"/>
                  </w:rPr>
                </w:pPr>
                <w:r>
                  <w:rPr>
                    <w:rFonts w:hint="eastAsia" w:ascii="Calibri" w:hAnsi="Calibri"/>
                    <w:sz w:val="20"/>
                    <w:szCs w:val="20"/>
                  </w:rPr>
                  <w:t>类型</w:t>
                </w:r>
              </w:p>
            </w:tc>
          </w:sdtContent>
        </w:sdt>
        <w:tc>
          <w:tcPr>
            <w:tcW w:w="2347" w:type="dxa"/>
            <w:vAlign w:val="center"/>
          </w:tcPr>
          <w:sdt>
            <w:sdtPr>
              <w:tag w:val="_PLD_205ea4a5b198472f88e336a7b6ec2dbe"/>
              <w:id w:val="-719134367"/>
            </w:sdtPr>
            <w:sdtContent>
              <w:p w14:paraId="6A35196F">
                <w:pPr>
                  <w:jc w:val="center"/>
                  <w:rPr>
                    <w:rFonts w:ascii="Calibri" w:hAnsi="Calibri"/>
                    <w:sz w:val="20"/>
                    <w:szCs w:val="20"/>
                  </w:rPr>
                </w:pPr>
                <w:r>
                  <w:rPr>
                    <w:rFonts w:hint="eastAsia" w:ascii="Calibri" w:hAnsi="Calibri"/>
                    <w:sz w:val="20"/>
                    <w:szCs w:val="20"/>
                  </w:rPr>
                  <w:t>风险特征</w:t>
                </w:r>
              </w:p>
            </w:sdtContent>
          </w:sdt>
        </w:tc>
        <w:sdt>
          <w:sdtPr>
            <w:tag w:val="_PLD_c5c1ba65289743f390012a22166fda71"/>
            <w:id w:val="-1370600039"/>
          </w:sdtPr>
          <w:sdtContent>
            <w:tc>
              <w:tcPr>
                <w:tcW w:w="2347" w:type="dxa"/>
                <w:vAlign w:val="center"/>
              </w:tcPr>
              <w:p w14:paraId="32F205F2">
                <w:pPr>
                  <w:jc w:val="center"/>
                  <w:rPr>
                    <w:rFonts w:ascii="Calibri" w:hAnsi="Calibri"/>
                    <w:sz w:val="20"/>
                    <w:szCs w:val="20"/>
                  </w:rPr>
                </w:pPr>
                <w:r>
                  <w:rPr>
                    <w:rFonts w:hint="eastAsia" w:ascii="Calibri" w:hAnsi="Calibri"/>
                    <w:sz w:val="20"/>
                    <w:szCs w:val="20"/>
                  </w:rPr>
                  <w:t>未到期余额</w:t>
                </w:r>
              </w:p>
            </w:tc>
          </w:sdtContent>
        </w:sdt>
        <w:sdt>
          <w:sdtPr>
            <w:tag w:val="_PLD_ac496413cc194196b7b6f3a280315c67"/>
            <w:id w:val="679779035"/>
          </w:sdtPr>
          <w:sdtContent>
            <w:tc>
              <w:tcPr>
                <w:tcW w:w="2195" w:type="dxa"/>
                <w:vAlign w:val="center"/>
              </w:tcPr>
              <w:p w14:paraId="4CCFC6CE">
                <w:pPr>
                  <w:jc w:val="center"/>
                  <w:rPr>
                    <w:rFonts w:ascii="Calibri" w:hAnsi="Calibri"/>
                    <w:sz w:val="20"/>
                    <w:szCs w:val="20"/>
                  </w:rPr>
                </w:pPr>
                <w:r>
                  <w:rPr>
                    <w:rFonts w:hint="eastAsia" w:ascii="Calibri" w:hAnsi="Calibri"/>
                    <w:sz w:val="20"/>
                    <w:szCs w:val="20"/>
                  </w:rPr>
                  <w:t>逾期未收回金额</w:t>
                </w:r>
              </w:p>
            </w:tc>
          </w:sdtContent>
        </w:sdt>
      </w:tr>
      <w:tr w14:paraId="0AD2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sdt>
          <w:sdtPr>
            <w:rPr>
              <w:rFonts w:hint="eastAsia" w:ascii="Calibri" w:hAnsi="Calibri"/>
              <w:sz w:val="20"/>
              <w:szCs w:val="20"/>
            </w:rPr>
            <w:alias w:val="委托理财类型"/>
            <w:tag w:val="_GBC_dde0b0799c3d4140ab92a2fd8e9f7e37"/>
            <w:id w:val="537242615"/>
            <w:comboBox>
              <w:listItem w:displayText="银行理财产品" w:value="银行理财产品"/>
              <w:listItem w:displayText="券商理财产品" w:value="券商理财产品"/>
              <w:listItem w:displayText="信托理财产品" w:value="信托理财产品"/>
              <w:listItem w:displayText="公募基金产品" w:value="公募基金产品"/>
              <w:listItem w:displayText="私募基金产品" w:value="私募基金产品"/>
              <w:listItem w:displayText="其他" w:value="其他"/>
            </w:comboBox>
          </w:sdtPr>
          <w:sdtEndPr>
            <w:rPr>
              <w:rFonts w:hint="eastAsia" w:ascii="Calibri" w:hAnsi="Calibri"/>
              <w:sz w:val="20"/>
              <w:szCs w:val="20"/>
            </w:rPr>
          </w:sdtEndPr>
          <w:sdtContent>
            <w:tc>
              <w:tcPr>
                <w:tcW w:w="2320" w:type="dxa"/>
                <w:vAlign w:val="center"/>
              </w:tcPr>
              <w:p w14:paraId="1B803EAA">
                <w:pPr>
                  <w:pStyle w:val="48"/>
                  <w:rPr>
                    <w:sz w:val="20"/>
                    <w:szCs w:val="20"/>
                  </w:rPr>
                </w:pPr>
                <w:r>
                  <w:rPr>
                    <w:rFonts w:hint="eastAsia"/>
                    <w:sz w:val="20"/>
                    <w:szCs w:val="20"/>
                  </w:rPr>
                  <w:t>银行理财产品</w:t>
                </w:r>
              </w:p>
            </w:tc>
          </w:sdtContent>
        </w:sdt>
        <w:tc>
          <w:tcPr>
            <w:tcW w:w="2347" w:type="dxa"/>
            <w:vAlign w:val="center"/>
          </w:tcPr>
          <w:p w14:paraId="07513CAF">
            <w:pPr>
              <w:pStyle w:val="48"/>
              <w:rPr>
                <w:sz w:val="20"/>
                <w:szCs w:val="20"/>
              </w:rPr>
            </w:pPr>
            <w:r>
              <w:rPr>
                <w:rFonts w:hint="eastAsia"/>
                <w:sz w:val="20"/>
                <w:szCs w:val="20"/>
              </w:rPr>
              <w:t>低风险</w:t>
            </w:r>
          </w:p>
        </w:tc>
        <w:tc>
          <w:tcPr>
            <w:tcW w:w="2347" w:type="dxa"/>
            <w:vAlign w:val="center"/>
          </w:tcPr>
          <w:p w14:paraId="47A7E7B3">
            <w:pPr>
              <w:jc w:val="right"/>
              <w:rPr>
                <w:rFonts w:ascii="Calibri" w:hAnsi="Calibri"/>
                <w:sz w:val="20"/>
                <w:szCs w:val="20"/>
              </w:rPr>
            </w:pPr>
            <w:r>
              <w:rPr>
                <w:rFonts w:ascii="Calibri" w:hAnsi="Calibri"/>
                <w:sz w:val="20"/>
                <w:szCs w:val="20"/>
              </w:rPr>
              <w:t>63,000,000.00</w:t>
            </w:r>
          </w:p>
        </w:tc>
        <w:tc>
          <w:tcPr>
            <w:tcW w:w="2195" w:type="dxa"/>
            <w:vAlign w:val="center"/>
          </w:tcPr>
          <w:p w14:paraId="6D28A87F">
            <w:pPr>
              <w:jc w:val="right"/>
              <w:rPr>
                <w:rFonts w:ascii="Calibri" w:hAnsi="Calibri"/>
                <w:sz w:val="20"/>
                <w:szCs w:val="20"/>
              </w:rPr>
            </w:pPr>
          </w:p>
        </w:tc>
      </w:tr>
    </w:tbl>
    <w:p w14:paraId="2B28CFE2">
      <w:pPr>
        <w:pStyle w:val="48"/>
      </w:pPr>
    </w:p>
    <w:p w14:paraId="6DAE7E43">
      <w:pPr>
        <w:rPr>
          <w:bCs/>
        </w:rPr>
      </w:pPr>
      <w:r>
        <w:rPr>
          <w:rFonts w:hint="eastAsia"/>
          <w:bCs/>
        </w:rPr>
        <w:t>其他情况</w:t>
      </w:r>
    </w:p>
    <w:sdt>
      <w:sdtPr>
        <w:rPr>
          <w:rFonts w:hint="eastAsia"/>
        </w:rPr>
        <w:alias w:val="是否适用：委托理财总体其他情况[双击切换]"/>
        <w:tag w:val="_GBC_4fb72032e5bd4642bf5eb2d83d5ca874"/>
        <w:id w:val="279847129"/>
        <w:placeholder>
          <w:docPart w:val="GBC22222222222222222222222222222"/>
        </w:placeholder>
      </w:sdtPr>
      <w:sdtEndPr>
        <w:rPr>
          <w:rFonts w:hint="eastAsia"/>
        </w:rPr>
      </w:sdtEndPr>
      <w:sdtContent>
        <w:p w14:paraId="4903586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86D749D">
      <w:pPr>
        <w:pStyle w:val="48"/>
      </w:pPr>
    </w:p>
    <w:p w14:paraId="3DD8B50D">
      <w:pPr>
        <w:pStyle w:val="6"/>
        <w:numPr>
          <w:ilvl w:val="0"/>
          <w:numId w:val="40"/>
        </w:numPr>
        <w:ind w:left="357" w:leftChars="0" w:hanging="357"/>
      </w:pPr>
      <w:r>
        <w:t>单项委托理财情况</w:t>
      </w:r>
    </w:p>
    <w:sdt>
      <w:sdtPr>
        <w:rPr>
          <w:rFonts w:hint="eastAsia"/>
        </w:rPr>
        <w:alias w:val="是否适用：单项委托理财情况[双击切换]"/>
        <w:tag w:val="_GBC_049960b74e79480d8781c2d7d6a997dc"/>
        <w:id w:val="1919519543"/>
        <w:placeholder>
          <w:docPart w:val="GBC22222222222222222222222222222"/>
        </w:placeholder>
      </w:sdtPr>
      <w:sdtEndPr>
        <w:rPr>
          <w:rFonts w:hint="eastAsia"/>
        </w:rPr>
      </w:sdtEndPr>
      <w:sdtContent>
        <w:p w14:paraId="772E1A1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272540">
      <w:pPr>
        <w:pStyle w:val="48"/>
      </w:pPr>
    </w:p>
    <w:p w14:paraId="2B00F3D3">
      <w:pPr>
        <w:rPr>
          <w:bCs/>
        </w:rPr>
      </w:pPr>
      <w:r>
        <w:rPr>
          <w:rFonts w:hint="eastAsia"/>
          <w:bCs/>
        </w:rPr>
        <w:t>其他情况</w:t>
      </w:r>
    </w:p>
    <w:sdt>
      <w:sdtPr>
        <w:rPr>
          <w:rFonts w:hint="eastAsia"/>
        </w:rPr>
        <w:alias w:val="是否适用：单项委托理财其他情况[双击切换]"/>
        <w:tag w:val="_GBC_627c77e5ab674442a3b768741f653602"/>
        <w:id w:val="189190157"/>
        <w:placeholder>
          <w:docPart w:val="GBC22222222222222222222222222222"/>
        </w:placeholder>
      </w:sdtPr>
      <w:sdtEndPr>
        <w:rPr>
          <w:rFonts w:hint="eastAsia"/>
        </w:rPr>
      </w:sdtEndPr>
      <w:sdtContent>
        <w:p w14:paraId="28AB3C2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D73448C">
      <w:pPr>
        <w:pStyle w:val="48"/>
      </w:pPr>
    </w:p>
    <w:p w14:paraId="68F2E131">
      <w:pPr>
        <w:pStyle w:val="6"/>
        <w:numPr>
          <w:ilvl w:val="0"/>
          <w:numId w:val="40"/>
        </w:numPr>
        <w:ind w:left="357" w:leftChars="0" w:hanging="357"/>
      </w:pPr>
      <w:r>
        <w:t>委托理财减值准备</w:t>
      </w:r>
    </w:p>
    <w:sdt>
      <w:sdtPr>
        <w:rPr>
          <w:rFonts w:hint="eastAsia"/>
        </w:rPr>
        <w:alias w:val="是否适用：委托理财减值准备[双击切换]"/>
        <w:tag w:val="_GBC_8db4f6600a6746739610ffaaa34abeac"/>
        <w:id w:val="-512916418"/>
        <w:placeholder>
          <w:docPart w:val="GBC22222222222222222222222222222"/>
        </w:placeholder>
      </w:sdtPr>
      <w:sdtEndPr>
        <w:rPr>
          <w:rFonts w:hint="eastAsia"/>
        </w:rPr>
      </w:sdtEndPr>
      <w:sdtContent>
        <w:p w14:paraId="076C8E2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BC633DC">
      <w:pPr>
        <w:pStyle w:val="48"/>
      </w:pPr>
    </w:p>
    <w:p w14:paraId="020F1C2A">
      <w:pPr>
        <w:pStyle w:val="5"/>
        <w:numPr>
          <w:ilvl w:val="0"/>
          <w:numId w:val="39"/>
        </w:numPr>
      </w:pPr>
      <w:r>
        <w:rPr>
          <w:rFonts w:hint="eastAsia"/>
        </w:rPr>
        <w:t>委托贷款情况</w:t>
      </w:r>
    </w:p>
    <w:p w14:paraId="5A03F5EB">
      <w:pPr>
        <w:pStyle w:val="6"/>
        <w:numPr>
          <w:ilvl w:val="0"/>
          <w:numId w:val="41"/>
        </w:numPr>
        <w:ind w:leftChars="0"/>
        <w:rPr>
          <w:rFonts w:ascii="宋体" w:hAnsi="宋体" w:cs="宋体"/>
          <w:kern w:val="0"/>
          <w:szCs w:val="24"/>
        </w:rPr>
      </w:pPr>
      <w:r>
        <w:rPr>
          <w:rFonts w:ascii="宋体" w:hAnsi="宋体" w:cs="宋体"/>
          <w:kern w:val="0"/>
          <w:szCs w:val="24"/>
        </w:rPr>
        <w:t>委托贷款总体情况</w:t>
      </w:r>
    </w:p>
    <w:sdt>
      <w:sdtPr>
        <w:rPr>
          <w:rFonts w:hint="eastAsia"/>
        </w:rPr>
        <w:alias w:val="是否适用：委托贷款总体情况[双击切换]"/>
        <w:tag w:val="_GBC_6f663504a9e74d5c978e23554b4b84e4"/>
        <w:id w:val="-1500801212"/>
        <w:placeholder>
          <w:docPart w:val="GBC22222222222222222222222222222"/>
        </w:placeholder>
      </w:sdtPr>
      <w:sdtEndPr>
        <w:rPr>
          <w:rFonts w:hint="eastAsia"/>
        </w:rPr>
      </w:sdtEndPr>
      <w:sdtContent>
        <w:p w14:paraId="7482871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369D6A9">
      <w:pPr>
        <w:pStyle w:val="48"/>
      </w:pPr>
    </w:p>
    <w:p w14:paraId="1DA8698A">
      <w:pPr>
        <w:rPr>
          <w:bCs/>
        </w:rPr>
      </w:pPr>
      <w:r>
        <w:rPr>
          <w:rFonts w:hint="eastAsia"/>
          <w:bCs/>
        </w:rPr>
        <w:t>其他情况</w:t>
      </w:r>
    </w:p>
    <w:sdt>
      <w:sdtPr>
        <w:rPr>
          <w:rFonts w:hint="eastAsia"/>
        </w:rPr>
        <w:alias w:val="是否适用：委托贷款总体其他情况[双击切换]"/>
        <w:tag w:val="_GBC_a071e3ce40374c6bb1b2f2dc2158413e"/>
        <w:id w:val="1691020439"/>
        <w:placeholder>
          <w:docPart w:val="GBC22222222222222222222222222222"/>
        </w:placeholder>
      </w:sdtPr>
      <w:sdtEndPr>
        <w:rPr>
          <w:rFonts w:hint="eastAsia"/>
        </w:rPr>
      </w:sdtEndPr>
      <w:sdtContent>
        <w:p w14:paraId="0E76D6F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D31257">
      <w:pPr>
        <w:pStyle w:val="48"/>
      </w:pPr>
    </w:p>
    <w:p w14:paraId="17886634">
      <w:pPr>
        <w:pStyle w:val="6"/>
        <w:numPr>
          <w:ilvl w:val="0"/>
          <w:numId w:val="41"/>
        </w:numPr>
        <w:ind w:leftChars="0"/>
        <w:rPr>
          <w:rFonts w:ascii="宋体" w:hAnsi="宋体" w:cs="宋体"/>
          <w:kern w:val="0"/>
          <w:szCs w:val="24"/>
        </w:rPr>
      </w:pPr>
      <w:r>
        <w:rPr>
          <w:rFonts w:ascii="宋体" w:hAnsi="宋体" w:cs="宋体"/>
          <w:kern w:val="0"/>
          <w:szCs w:val="24"/>
        </w:rPr>
        <w:t>单项委托贷款情况</w:t>
      </w:r>
    </w:p>
    <w:sdt>
      <w:sdtPr>
        <w:rPr>
          <w:rFonts w:hint="eastAsia"/>
        </w:rPr>
        <w:alias w:val="是否适用：单项委托贷款情况[双击切换]"/>
        <w:tag w:val="_GBC_30b7c4837f704dff80c05190f23d6f3e"/>
        <w:id w:val="-927113870"/>
        <w:placeholder>
          <w:docPart w:val="GBC22222222222222222222222222222"/>
        </w:placeholder>
      </w:sdtPr>
      <w:sdtEndPr>
        <w:rPr>
          <w:rFonts w:hint="eastAsia"/>
        </w:rPr>
      </w:sdtEndPr>
      <w:sdtContent>
        <w:p w14:paraId="0D00C8A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A619956">
      <w:pPr>
        <w:pStyle w:val="48"/>
      </w:pPr>
    </w:p>
    <w:p w14:paraId="7ADD7D85">
      <w:pPr>
        <w:rPr>
          <w:bCs/>
        </w:rPr>
      </w:pPr>
      <w:r>
        <w:rPr>
          <w:rFonts w:hint="eastAsia"/>
          <w:bCs/>
        </w:rPr>
        <w:t>其他情况</w:t>
      </w:r>
    </w:p>
    <w:sdt>
      <w:sdtPr>
        <w:rPr>
          <w:rFonts w:hint="eastAsia"/>
        </w:rPr>
        <w:alias w:val="是否适用：单项委托贷款其他情况[双击切换]"/>
        <w:tag w:val="_GBC_7fbd63dcaf8a4899bcd830951796a261"/>
        <w:id w:val="802731123"/>
        <w:placeholder>
          <w:docPart w:val="GBC22222222222222222222222222222"/>
        </w:placeholder>
      </w:sdtPr>
      <w:sdtEndPr>
        <w:rPr>
          <w:rFonts w:hint="eastAsia"/>
        </w:rPr>
      </w:sdtEndPr>
      <w:sdtContent>
        <w:p w14:paraId="4788183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0938674">
      <w:pPr>
        <w:pStyle w:val="48"/>
      </w:pPr>
    </w:p>
    <w:p w14:paraId="7A8844C0">
      <w:pPr>
        <w:pStyle w:val="6"/>
        <w:numPr>
          <w:ilvl w:val="0"/>
          <w:numId w:val="41"/>
        </w:numPr>
        <w:ind w:leftChars="0"/>
        <w:rPr>
          <w:rFonts w:ascii="宋体" w:hAnsi="宋体" w:cs="宋体"/>
          <w:kern w:val="0"/>
          <w:szCs w:val="24"/>
        </w:rPr>
      </w:pPr>
      <w:r>
        <w:rPr>
          <w:rFonts w:ascii="宋体" w:hAnsi="宋体" w:cs="宋体"/>
          <w:kern w:val="0"/>
          <w:szCs w:val="24"/>
        </w:rPr>
        <w:t>委托贷款减值准备</w:t>
      </w:r>
    </w:p>
    <w:sdt>
      <w:sdtPr>
        <w:rPr>
          <w:rFonts w:hint="eastAsia"/>
        </w:rPr>
        <w:alias w:val="是否适用：委托贷款减值准备[双击切换]"/>
        <w:tag w:val="_GBC_72dc10eff44f4851bd80447a1199a033"/>
        <w:id w:val="-170640225"/>
        <w:placeholder>
          <w:docPart w:val="GBC22222222222222222222222222222"/>
        </w:placeholder>
      </w:sdtPr>
      <w:sdtEndPr>
        <w:rPr>
          <w:rFonts w:hint="eastAsia"/>
        </w:rPr>
      </w:sdtEndPr>
      <w:sdtContent>
        <w:p w14:paraId="5964DB8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73B4D3">
      <w:pPr>
        <w:pStyle w:val="48"/>
      </w:pPr>
    </w:p>
    <w:p w14:paraId="1C972482">
      <w:pPr>
        <w:pStyle w:val="5"/>
        <w:numPr>
          <w:ilvl w:val="0"/>
          <w:numId w:val="39"/>
        </w:numPr>
      </w:pPr>
      <w:r>
        <w:rPr>
          <w:rFonts w:hint="eastAsia"/>
        </w:rPr>
        <w:t>其他情况</w:t>
      </w:r>
    </w:p>
    <w:sdt>
      <w:sdtPr>
        <w:rPr>
          <w:rFonts w:hint="eastAsia"/>
        </w:rPr>
        <w:alias w:val="是否适用：委托他人进行现金资产管理的其他情况[双击切换]"/>
        <w:tag w:val="_GBC_c408f1ecbaff4ed08e4dcfbbac8e0ccd"/>
        <w:id w:val="38253866"/>
        <w:placeholder>
          <w:docPart w:val="GBC22222222222222222222222222222"/>
        </w:placeholder>
      </w:sdtPr>
      <w:sdtEndPr>
        <w:rPr>
          <w:rFonts w:hint="eastAsia"/>
        </w:rPr>
      </w:sdtEndPr>
      <w:sdtContent>
        <w:p w14:paraId="7930D02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7E25EA">
      <w:pPr>
        <w:pStyle w:val="48"/>
      </w:pPr>
    </w:p>
    <w:p w14:paraId="578E9BBB">
      <w:pPr>
        <w:pStyle w:val="4"/>
        <w:numPr>
          <w:ilvl w:val="0"/>
          <w:numId w:val="37"/>
        </w:numPr>
        <w:rPr>
          <w:szCs w:val="21"/>
        </w:rPr>
      </w:pPr>
      <w:r>
        <w:rPr>
          <w:szCs w:val="21"/>
        </w:rPr>
        <w:t>其他重大合同</w:t>
      </w:r>
    </w:p>
    <w:sdt>
      <w:sdtPr>
        <w:rPr>
          <w:rFonts w:hint="eastAsia"/>
        </w:rPr>
        <w:alias w:val="是否适用：其他重大合同[双击切换]"/>
        <w:tag w:val="_GBC_541dd80939ae4bafb641675f942c4c14"/>
        <w:id w:val="1861167548"/>
        <w:placeholder>
          <w:docPart w:val="GBC22222222222222222222222222222"/>
        </w:placeholder>
      </w:sdtPr>
      <w:sdtEndPr>
        <w:rPr>
          <w:rFonts w:hint="eastAsia"/>
        </w:rPr>
      </w:sdtEndPr>
      <w:sdtContent>
        <w:p w14:paraId="29B8B8E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879B814">
      <w:pPr>
        <w:pStyle w:val="48"/>
      </w:pPr>
    </w:p>
    <w:p w14:paraId="08320A14">
      <w:pPr>
        <w:pStyle w:val="3"/>
        <w:numPr>
          <w:ilvl w:val="0"/>
          <w:numId w:val="29"/>
        </w:numPr>
      </w:pPr>
      <w:bookmarkStart w:id="158" w:name="_Hlk170215658"/>
      <w:bookmarkStart w:id="159" w:name="_Hlk182989663"/>
      <w:bookmarkStart w:id="160" w:name="_Hlk170206295"/>
      <w:bookmarkStart w:id="161" w:name="_Hlk72846301"/>
      <w:r>
        <w:rPr>
          <w:rFonts w:hint="eastAsia"/>
        </w:rPr>
        <w:t>募集资金使用进展说明</w:t>
      </w:r>
    </w:p>
    <w:sdt>
      <w:sdtPr>
        <w:rPr>
          <w:color w:val="000000" w:themeColor="text1"/>
          <w14:textFill>
            <w14:solidFill>
              <w14:schemeClr w14:val="tx1"/>
            </w14:solidFill>
          </w14:textFill>
        </w:rPr>
        <w:alias w:val="是否适用：募集资金使用进展说明[双击切换]"/>
        <w:tag w:val="_GBC_4a9b3f05f0c443b28b4863d3686af0a7"/>
        <w:id w:val="1498233985"/>
        <w:placeholder>
          <w:docPart w:val="GBC22222222222222222222222222222"/>
        </w:placeholder>
      </w:sdtPr>
      <w:sdtEndPr>
        <w:rPr>
          <w:color w:val="000000" w:themeColor="text1"/>
          <w14:textFill>
            <w14:solidFill>
              <w14:schemeClr w14:val="tx1"/>
            </w14:solidFill>
          </w14:textFill>
        </w:rPr>
      </w:sdtEndPr>
      <w:sdtContent>
        <w:p w14:paraId="2AEF4A7F">
          <w:pPr>
            <w:pStyle w:val="48"/>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58"/>
    <w:bookmarkEnd w:id="159"/>
    <w:bookmarkEnd w:id="160"/>
    <w:bookmarkEnd w:id="161"/>
    <w:p w14:paraId="51B445CF">
      <w:pPr>
        <w:pStyle w:val="48"/>
      </w:pPr>
      <w:bookmarkStart w:id="162" w:name="_Hlk190697760"/>
      <w:bookmarkStart w:id="163" w:name="_Hlk190354057"/>
    </w:p>
    <w:p w14:paraId="5C0B5419">
      <w:pPr>
        <w:pStyle w:val="48"/>
      </w:pPr>
    </w:p>
    <w:bookmarkEnd w:id="162"/>
    <w:bookmarkEnd w:id="163"/>
    <w:p w14:paraId="167DFDF5">
      <w:pPr>
        <w:pStyle w:val="3"/>
        <w:numPr>
          <w:ilvl w:val="0"/>
          <w:numId w:val="29"/>
        </w:numPr>
      </w:pPr>
      <w:r>
        <w:rPr>
          <w:rFonts w:hint="eastAsia"/>
        </w:rPr>
        <w:t>其他对投资者作出价值判断和投资决策有重大影响的重大事项的说明</w:t>
      </w:r>
    </w:p>
    <w:sdt>
      <w:sdtPr>
        <w:alias w:val="是否适用：其他对投资者作出价值判断和投资决策有重大影响的重大事项的说明[双击切换]"/>
        <w:tag w:val="_GBC_a560f17fa4c7429db7d87dca59f4df08"/>
        <w:id w:val="2080169202"/>
        <w:placeholder>
          <w:docPart w:val="GBC22222222222222222222222222222"/>
        </w:placeholder>
      </w:sdtPr>
      <w:sdtContent>
        <w:p w14:paraId="0AE8968D">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115003B">
      <w:pPr>
        <w:pStyle w:val="48"/>
      </w:pPr>
    </w:p>
    <w:p w14:paraId="23055A05">
      <w:pPr>
        <w:sectPr>
          <w:pgSz w:w="11906" w:h="16838"/>
          <w:pgMar w:top="1525" w:right="1276" w:bottom="1440" w:left="1797" w:header="855" w:footer="992" w:gutter="0"/>
          <w:cols w:space="425" w:num="1"/>
          <w:docGrid w:linePitch="312" w:charSpace="0"/>
        </w:sectPr>
      </w:pPr>
    </w:p>
    <w:bookmarkEnd w:id="133"/>
    <w:p w14:paraId="6ACE943B">
      <w:pPr>
        <w:pStyle w:val="48"/>
      </w:pPr>
    </w:p>
    <w:p w14:paraId="4B6325E1">
      <w:pPr>
        <w:pStyle w:val="2"/>
        <w:numPr>
          <w:ilvl w:val="0"/>
          <w:numId w:val="2"/>
        </w:numPr>
      </w:pPr>
      <w:bookmarkStart w:id="164" w:name="_Toc437440713"/>
      <w:bookmarkStart w:id="165" w:name="_Toc409437607"/>
      <w:bookmarkStart w:id="166" w:name="_Toc191024261"/>
      <w:r>
        <w:rPr>
          <w:rFonts w:hint="eastAsia"/>
        </w:rPr>
        <w:t>股份变动及股东情况</w:t>
      </w:r>
    </w:p>
    <w:bookmarkEnd w:id="164"/>
    <w:bookmarkEnd w:id="165"/>
    <w:bookmarkEnd w:id="166"/>
    <w:p w14:paraId="66A7555D">
      <w:pPr>
        <w:pStyle w:val="48"/>
      </w:pPr>
    </w:p>
    <w:p w14:paraId="0D8CBE5F">
      <w:pPr>
        <w:pStyle w:val="3"/>
        <w:numPr>
          <w:ilvl w:val="0"/>
          <w:numId w:val="42"/>
        </w:numPr>
      </w:pPr>
      <w:bookmarkStart w:id="167" w:name="_Toc342565989"/>
      <w:bookmarkStart w:id="168" w:name="_Toc342059476"/>
      <w:r>
        <w:t>股</w:t>
      </w:r>
      <w:r>
        <w:rPr>
          <w:rFonts w:hint="eastAsia"/>
        </w:rPr>
        <w:t>本变动情况</w:t>
      </w:r>
      <w:bookmarkEnd w:id="167"/>
      <w:bookmarkEnd w:id="168"/>
    </w:p>
    <w:p w14:paraId="30C4CE1A">
      <w:pPr>
        <w:pStyle w:val="4"/>
        <w:numPr>
          <w:ilvl w:val="1"/>
          <w:numId w:val="43"/>
        </w:numPr>
        <w:rPr>
          <w:szCs w:val="21"/>
        </w:rPr>
      </w:pPr>
      <w:bookmarkStart w:id="169" w:name="_Toc342059477"/>
      <w:bookmarkStart w:id="170" w:name="_Toc342565990"/>
      <w:r>
        <w:rPr>
          <w:rFonts w:hint="eastAsia"/>
          <w:szCs w:val="21"/>
        </w:rPr>
        <w:t>股份变动情况表</w:t>
      </w:r>
      <w:bookmarkEnd w:id="169"/>
      <w:bookmarkEnd w:id="170"/>
    </w:p>
    <w:p w14:paraId="147843D1">
      <w:pPr>
        <w:pStyle w:val="5"/>
        <w:numPr>
          <w:ilvl w:val="2"/>
          <w:numId w:val="44"/>
        </w:numPr>
      </w:pPr>
      <w:r>
        <w:rPr>
          <w:rFonts w:hint="eastAsia"/>
        </w:rPr>
        <w:t>股份变动情况表</w:t>
      </w:r>
    </w:p>
    <w:p w14:paraId="2C8C1679">
      <w:pPr>
        <w:jc w:val="right"/>
      </w:pPr>
      <w:r>
        <w:t>单位：</w:t>
      </w:r>
      <w:sdt>
        <w:sdtPr>
          <w:rPr>
            <w:rFonts w:hint="eastAsia"/>
          </w:rPr>
          <w:alias w:val="单位：股份变动情况表"/>
          <w:tag w:val="_GBC_852d31b746dd490d9366194fca5e9598"/>
          <w:id w:val="-2026626231"/>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hint="eastAsia"/>
          </w:rPr>
        </w:sdtEndPr>
        <w:sdtContent>
          <w:r>
            <w:rPr>
              <w:rFonts w:hint="eastAsia"/>
            </w:rPr>
            <w:t>股</w:t>
          </w:r>
        </w:sdtContent>
      </w:sdt>
    </w:p>
    <w:tbl>
      <w:tblPr>
        <w:tblStyle w:val="57"/>
        <w:tblW w:w="10632"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559"/>
        <w:gridCol w:w="850"/>
        <w:gridCol w:w="443"/>
        <w:gridCol w:w="408"/>
        <w:gridCol w:w="425"/>
        <w:gridCol w:w="1276"/>
        <w:gridCol w:w="1363"/>
        <w:gridCol w:w="1472"/>
        <w:gridCol w:w="850"/>
      </w:tblGrid>
      <w:tr w14:paraId="0DD7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Merge w:val="restart"/>
            <w:vAlign w:val="center"/>
          </w:tcPr>
          <w:p w14:paraId="4A13EA55">
            <w:pPr>
              <w:jc w:val="center"/>
              <w:rPr>
                <w:rFonts w:ascii="Calibri" w:hAnsi="Calibri"/>
                <w:sz w:val="20"/>
                <w:szCs w:val="20"/>
              </w:rPr>
            </w:pPr>
          </w:p>
        </w:tc>
        <w:sdt>
          <w:sdtPr>
            <w:tag w:val="_PLD_b9527a064e50418b9212da4d2a1d0df3"/>
            <w:id w:val="-15932600"/>
          </w:sdtPr>
          <w:sdtContent>
            <w:tc>
              <w:tcPr>
                <w:tcW w:w="2409" w:type="dxa"/>
                <w:gridSpan w:val="2"/>
                <w:vAlign w:val="center"/>
              </w:tcPr>
              <w:p w14:paraId="15F0FDC7">
                <w:pPr>
                  <w:pStyle w:val="12"/>
                  <w:jc w:val="center"/>
                  <w:rPr>
                    <w:rFonts w:ascii="Calibri" w:hAnsi="宋体"/>
                    <w:sz w:val="20"/>
                    <w:szCs w:val="20"/>
                  </w:rPr>
                </w:pPr>
                <w:r>
                  <w:rPr>
                    <w:rFonts w:ascii="Calibri" w:hAnsi="宋体"/>
                    <w:sz w:val="20"/>
                    <w:szCs w:val="20"/>
                  </w:rPr>
                  <w:t>本次变动前</w:t>
                </w:r>
              </w:p>
            </w:tc>
          </w:sdtContent>
        </w:sdt>
        <w:sdt>
          <w:sdtPr>
            <w:tag w:val="_PLD_ca58bf210de644a080d50250f302f3c8"/>
            <w:id w:val="-1423799354"/>
          </w:sdtPr>
          <w:sdtContent>
            <w:tc>
              <w:tcPr>
                <w:tcW w:w="3915" w:type="dxa"/>
                <w:gridSpan w:val="5"/>
                <w:vAlign w:val="center"/>
              </w:tcPr>
              <w:p w14:paraId="7DA03592">
                <w:pPr>
                  <w:jc w:val="center"/>
                  <w:rPr>
                    <w:rFonts w:ascii="Calibri" w:hAnsi="Calibri"/>
                    <w:sz w:val="20"/>
                    <w:szCs w:val="20"/>
                  </w:rPr>
                </w:pPr>
                <w:r>
                  <w:rPr>
                    <w:rFonts w:ascii="Calibri" w:hAnsi="Calibri"/>
                    <w:sz w:val="20"/>
                    <w:szCs w:val="20"/>
                  </w:rPr>
                  <w:t>本次变动增减（</w:t>
                </w:r>
                <w:r>
                  <w:rPr>
                    <w:rFonts w:hint="eastAsia" w:ascii="Calibri" w:hAnsi="Calibri"/>
                    <w:sz w:val="20"/>
                    <w:szCs w:val="20"/>
                  </w:rPr>
                  <w:t>+，-</w:t>
                </w:r>
                <w:r>
                  <w:rPr>
                    <w:rFonts w:ascii="Calibri" w:hAnsi="Calibri"/>
                    <w:sz w:val="20"/>
                    <w:szCs w:val="20"/>
                  </w:rPr>
                  <w:t>）</w:t>
                </w:r>
              </w:p>
            </w:tc>
          </w:sdtContent>
        </w:sdt>
        <w:sdt>
          <w:sdtPr>
            <w:tag w:val="_PLD_257b6e7d34b34e838617d3ec2e88c450"/>
            <w:id w:val="-1930580925"/>
          </w:sdtPr>
          <w:sdtContent>
            <w:tc>
              <w:tcPr>
                <w:tcW w:w="2322" w:type="dxa"/>
                <w:gridSpan w:val="2"/>
                <w:vAlign w:val="center"/>
              </w:tcPr>
              <w:p w14:paraId="0FCD64FD">
                <w:pPr>
                  <w:jc w:val="center"/>
                  <w:rPr>
                    <w:rFonts w:ascii="Calibri" w:hAnsi="Calibri"/>
                    <w:sz w:val="20"/>
                    <w:szCs w:val="20"/>
                  </w:rPr>
                </w:pPr>
                <w:r>
                  <w:rPr>
                    <w:rFonts w:ascii="Calibri" w:hAnsi="Calibri"/>
                    <w:sz w:val="20"/>
                    <w:szCs w:val="20"/>
                  </w:rPr>
                  <w:t>本次变动后</w:t>
                </w:r>
              </w:p>
            </w:tc>
          </w:sdtContent>
        </w:sdt>
      </w:tr>
      <w:tr w14:paraId="1017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986" w:type="dxa"/>
            <w:vMerge w:val="continue"/>
            <w:vAlign w:val="center"/>
          </w:tcPr>
          <w:p w14:paraId="6F4834E1">
            <w:pPr>
              <w:jc w:val="center"/>
              <w:rPr>
                <w:rFonts w:ascii="Calibri" w:hAnsi="Calibri"/>
                <w:sz w:val="20"/>
                <w:szCs w:val="20"/>
              </w:rPr>
            </w:pPr>
          </w:p>
        </w:tc>
        <w:sdt>
          <w:sdtPr>
            <w:tag w:val="_PLD_795b6515b9ff4e1db17e1116ff60e13f"/>
            <w:id w:val="-506829929"/>
          </w:sdtPr>
          <w:sdtContent>
            <w:tc>
              <w:tcPr>
                <w:tcW w:w="1559" w:type="dxa"/>
                <w:vAlign w:val="center"/>
              </w:tcPr>
              <w:p w14:paraId="19D425F0">
                <w:pPr>
                  <w:pStyle w:val="12"/>
                  <w:jc w:val="center"/>
                  <w:rPr>
                    <w:rFonts w:ascii="Calibri" w:hAnsi="宋体"/>
                    <w:sz w:val="20"/>
                    <w:szCs w:val="20"/>
                  </w:rPr>
                </w:pPr>
                <w:r>
                  <w:rPr>
                    <w:rFonts w:ascii="Calibri" w:hAnsi="宋体"/>
                    <w:sz w:val="20"/>
                    <w:szCs w:val="20"/>
                  </w:rPr>
                  <w:t>数量</w:t>
                </w:r>
              </w:p>
            </w:tc>
          </w:sdtContent>
        </w:sdt>
        <w:sdt>
          <w:sdtPr>
            <w:tag w:val="_PLD_73d5343b919442adb141c63d11c2cfe3"/>
            <w:id w:val="-6141079"/>
          </w:sdtPr>
          <w:sdtContent>
            <w:tc>
              <w:tcPr>
                <w:tcW w:w="850" w:type="dxa"/>
                <w:vAlign w:val="center"/>
              </w:tcPr>
              <w:p w14:paraId="3242823A">
                <w:pPr>
                  <w:pStyle w:val="12"/>
                  <w:jc w:val="center"/>
                  <w:rPr>
                    <w:rFonts w:ascii="Calibri" w:hAnsi="宋体"/>
                    <w:sz w:val="20"/>
                    <w:szCs w:val="20"/>
                  </w:rPr>
                </w:pPr>
                <w:r>
                  <w:rPr>
                    <w:rFonts w:ascii="Calibri" w:hAnsi="宋体"/>
                    <w:sz w:val="20"/>
                    <w:szCs w:val="20"/>
                  </w:rPr>
                  <w:t>比例(%)</w:t>
                </w:r>
              </w:p>
            </w:tc>
          </w:sdtContent>
        </w:sdt>
        <w:sdt>
          <w:sdtPr>
            <w:tag w:val="_PLD_ed98679a849f41f4aed274ab444cfaf5"/>
            <w:id w:val="1655177020"/>
          </w:sdtPr>
          <w:sdtContent>
            <w:tc>
              <w:tcPr>
                <w:tcW w:w="443" w:type="dxa"/>
                <w:vAlign w:val="center"/>
              </w:tcPr>
              <w:p w14:paraId="47807167">
                <w:pPr>
                  <w:pStyle w:val="12"/>
                  <w:jc w:val="center"/>
                  <w:rPr>
                    <w:rFonts w:ascii="Calibri" w:hAnsi="宋体"/>
                    <w:sz w:val="20"/>
                    <w:szCs w:val="20"/>
                  </w:rPr>
                </w:pPr>
                <w:r>
                  <w:rPr>
                    <w:rFonts w:ascii="Calibri" w:hAnsi="宋体"/>
                    <w:sz w:val="20"/>
                    <w:szCs w:val="20"/>
                  </w:rPr>
                  <w:t>发行新股</w:t>
                </w:r>
              </w:p>
            </w:tc>
          </w:sdtContent>
        </w:sdt>
        <w:sdt>
          <w:sdtPr>
            <w:tag w:val="_PLD_9a9769412f3c455c9ccdd17bf518a278"/>
            <w:id w:val="-35510070"/>
          </w:sdtPr>
          <w:sdtContent>
            <w:tc>
              <w:tcPr>
                <w:tcW w:w="408" w:type="dxa"/>
                <w:vAlign w:val="center"/>
              </w:tcPr>
              <w:p w14:paraId="728DC7A8">
                <w:pPr>
                  <w:jc w:val="center"/>
                  <w:rPr>
                    <w:rFonts w:ascii="Calibri" w:hAnsi="Calibri"/>
                    <w:sz w:val="20"/>
                    <w:szCs w:val="20"/>
                  </w:rPr>
                </w:pPr>
                <w:r>
                  <w:rPr>
                    <w:rFonts w:ascii="Calibri" w:hAnsi="Calibri"/>
                    <w:sz w:val="20"/>
                    <w:szCs w:val="20"/>
                  </w:rPr>
                  <w:t>送股</w:t>
                </w:r>
              </w:p>
            </w:tc>
          </w:sdtContent>
        </w:sdt>
        <w:sdt>
          <w:sdtPr>
            <w:tag w:val="_PLD_a08a8657c2504fb0907fe95adcc9b83a"/>
            <w:id w:val="272212963"/>
          </w:sdtPr>
          <w:sdtContent>
            <w:tc>
              <w:tcPr>
                <w:tcW w:w="425" w:type="dxa"/>
                <w:vAlign w:val="center"/>
              </w:tcPr>
              <w:p w14:paraId="24CCE8EB">
                <w:pPr>
                  <w:jc w:val="center"/>
                  <w:rPr>
                    <w:rFonts w:ascii="Calibri" w:hAnsi="Calibri"/>
                    <w:sz w:val="20"/>
                    <w:szCs w:val="20"/>
                  </w:rPr>
                </w:pPr>
                <w:r>
                  <w:rPr>
                    <w:rFonts w:ascii="Calibri" w:hAnsi="Calibri"/>
                    <w:sz w:val="20"/>
                    <w:szCs w:val="20"/>
                  </w:rPr>
                  <w:t>公积金转股</w:t>
                </w:r>
              </w:p>
            </w:tc>
          </w:sdtContent>
        </w:sdt>
        <w:sdt>
          <w:sdtPr>
            <w:tag w:val="_PLD_8ec878ba584746ca9ce366f5c50b97db"/>
            <w:id w:val="658504360"/>
          </w:sdtPr>
          <w:sdtContent>
            <w:tc>
              <w:tcPr>
                <w:tcW w:w="1276" w:type="dxa"/>
                <w:vAlign w:val="center"/>
              </w:tcPr>
              <w:p w14:paraId="6BC50FFE">
                <w:pPr>
                  <w:pStyle w:val="12"/>
                  <w:jc w:val="center"/>
                  <w:rPr>
                    <w:rFonts w:ascii="Calibri" w:hAnsi="宋体"/>
                    <w:sz w:val="20"/>
                    <w:szCs w:val="20"/>
                  </w:rPr>
                </w:pPr>
                <w:r>
                  <w:rPr>
                    <w:rFonts w:ascii="Calibri" w:hAnsi="宋体"/>
                    <w:sz w:val="20"/>
                    <w:szCs w:val="20"/>
                  </w:rPr>
                  <w:t>其他</w:t>
                </w:r>
              </w:p>
            </w:tc>
          </w:sdtContent>
        </w:sdt>
        <w:sdt>
          <w:sdtPr>
            <w:tag w:val="_PLD_0597d73f82274779afc0a06c1888e731"/>
            <w:id w:val="2097276972"/>
          </w:sdtPr>
          <w:sdtContent>
            <w:tc>
              <w:tcPr>
                <w:tcW w:w="1363" w:type="dxa"/>
                <w:vAlign w:val="center"/>
              </w:tcPr>
              <w:p w14:paraId="09EE6AE9">
                <w:pPr>
                  <w:pStyle w:val="12"/>
                  <w:jc w:val="center"/>
                  <w:rPr>
                    <w:rFonts w:ascii="Calibri" w:hAnsi="宋体"/>
                    <w:sz w:val="20"/>
                    <w:szCs w:val="20"/>
                  </w:rPr>
                </w:pPr>
                <w:r>
                  <w:rPr>
                    <w:rFonts w:ascii="Calibri" w:hAnsi="宋体"/>
                    <w:sz w:val="20"/>
                    <w:szCs w:val="20"/>
                  </w:rPr>
                  <w:t>小计</w:t>
                </w:r>
              </w:p>
            </w:tc>
          </w:sdtContent>
        </w:sdt>
        <w:sdt>
          <w:sdtPr>
            <w:tag w:val="_PLD_95f452be51ff468b8cac4a86637d7617"/>
            <w:id w:val="1385372687"/>
          </w:sdtPr>
          <w:sdtContent>
            <w:tc>
              <w:tcPr>
                <w:tcW w:w="1472" w:type="dxa"/>
                <w:vAlign w:val="center"/>
              </w:tcPr>
              <w:p w14:paraId="0349AC03">
                <w:pPr>
                  <w:pStyle w:val="12"/>
                  <w:jc w:val="center"/>
                  <w:rPr>
                    <w:rFonts w:ascii="Calibri" w:hAnsi="宋体"/>
                    <w:sz w:val="20"/>
                    <w:szCs w:val="20"/>
                  </w:rPr>
                </w:pPr>
                <w:r>
                  <w:rPr>
                    <w:rFonts w:ascii="Calibri" w:hAnsi="宋体"/>
                    <w:sz w:val="20"/>
                    <w:szCs w:val="20"/>
                  </w:rPr>
                  <w:t>数量</w:t>
                </w:r>
              </w:p>
            </w:tc>
          </w:sdtContent>
        </w:sdt>
        <w:sdt>
          <w:sdtPr>
            <w:tag w:val="_PLD_27544b89219e425da5c77cd21408a3b6"/>
            <w:id w:val="-932430132"/>
          </w:sdtPr>
          <w:sdtContent>
            <w:tc>
              <w:tcPr>
                <w:tcW w:w="850" w:type="dxa"/>
                <w:vAlign w:val="center"/>
              </w:tcPr>
              <w:p w14:paraId="672CF136">
                <w:pPr>
                  <w:pStyle w:val="12"/>
                  <w:jc w:val="center"/>
                  <w:rPr>
                    <w:rFonts w:ascii="Calibri" w:hAnsi="宋体"/>
                    <w:sz w:val="20"/>
                    <w:szCs w:val="20"/>
                  </w:rPr>
                </w:pPr>
                <w:r>
                  <w:rPr>
                    <w:rFonts w:ascii="Calibri" w:hAnsi="宋体"/>
                    <w:sz w:val="20"/>
                    <w:szCs w:val="20"/>
                  </w:rPr>
                  <w:t>比例(%)</w:t>
                </w:r>
              </w:p>
            </w:tc>
          </w:sdtContent>
        </w:sdt>
      </w:tr>
      <w:tr w14:paraId="7E72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5F9154E7">
            <w:pPr>
              <w:pStyle w:val="48"/>
              <w:rPr>
                <w:sz w:val="20"/>
                <w:szCs w:val="20"/>
              </w:rPr>
            </w:pPr>
            <w:r>
              <w:rPr>
                <w:sz w:val="20"/>
                <w:szCs w:val="20"/>
              </w:rPr>
              <w:t>一、有限售条件股份</w:t>
            </w:r>
          </w:p>
        </w:tc>
        <w:tc>
          <w:tcPr>
            <w:tcW w:w="1559" w:type="dxa"/>
            <w:vAlign w:val="center"/>
          </w:tcPr>
          <w:p w14:paraId="145C1B82">
            <w:pPr>
              <w:jc w:val="right"/>
              <w:rPr>
                <w:rFonts w:ascii="Calibri" w:hAnsi="Calibri"/>
                <w:sz w:val="20"/>
                <w:szCs w:val="20"/>
              </w:rPr>
            </w:pPr>
          </w:p>
        </w:tc>
        <w:tc>
          <w:tcPr>
            <w:tcW w:w="850" w:type="dxa"/>
            <w:vAlign w:val="center"/>
          </w:tcPr>
          <w:p w14:paraId="4A5AEC34">
            <w:pPr>
              <w:jc w:val="right"/>
              <w:rPr>
                <w:rFonts w:ascii="Calibri" w:hAnsi="Calibri"/>
                <w:sz w:val="20"/>
                <w:szCs w:val="20"/>
              </w:rPr>
            </w:pPr>
          </w:p>
        </w:tc>
        <w:tc>
          <w:tcPr>
            <w:tcW w:w="443" w:type="dxa"/>
            <w:vAlign w:val="center"/>
          </w:tcPr>
          <w:p w14:paraId="18BD0F98">
            <w:pPr>
              <w:jc w:val="right"/>
              <w:rPr>
                <w:rFonts w:ascii="Calibri" w:hAnsi="Calibri"/>
                <w:sz w:val="20"/>
                <w:szCs w:val="20"/>
              </w:rPr>
            </w:pPr>
          </w:p>
        </w:tc>
        <w:tc>
          <w:tcPr>
            <w:tcW w:w="408" w:type="dxa"/>
            <w:vAlign w:val="center"/>
          </w:tcPr>
          <w:p w14:paraId="081B147D">
            <w:pPr>
              <w:jc w:val="right"/>
              <w:rPr>
                <w:rFonts w:ascii="Calibri" w:hAnsi="Calibri"/>
                <w:sz w:val="20"/>
                <w:szCs w:val="20"/>
              </w:rPr>
            </w:pPr>
          </w:p>
        </w:tc>
        <w:tc>
          <w:tcPr>
            <w:tcW w:w="425" w:type="dxa"/>
            <w:vAlign w:val="center"/>
          </w:tcPr>
          <w:p w14:paraId="15F0C510">
            <w:pPr>
              <w:jc w:val="right"/>
              <w:rPr>
                <w:rFonts w:ascii="Calibri" w:hAnsi="Calibri"/>
                <w:sz w:val="20"/>
                <w:szCs w:val="20"/>
              </w:rPr>
            </w:pPr>
          </w:p>
        </w:tc>
        <w:tc>
          <w:tcPr>
            <w:tcW w:w="1276" w:type="dxa"/>
            <w:vAlign w:val="center"/>
          </w:tcPr>
          <w:p w14:paraId="52FB610F">
            <w:pPr>
              <w:jc w:val="right"/>
              <w:rPr>
                <w:rFonts w:ascii="Calibri" w:hAnsi="Calibri"/>
                <w:sz w:val="20"/>
                <w:szCs w:val="20"/>
              </w:rPr>
            </w:pPr>
          </w:p>
        </w:tc>
        <w:tc>
          <w:tcPr>
            <w:tcW w:w="1363" w:type="dxa"/>
            <w:vAlign w:val="center"/>
          </w:tcPr>
          <w:p w14:paraId="42919819">
            <w:pPr>
              <w:jc w:val="right"/>
              <w:rPr>
                <w:rFonts w:ascii="Calibri" w:hAnsi="Calibri"/>
                <w:sz w:val="20"/>
                <w:szCs w:val="20"/>
              </w:rPr>
            </w:pPr>
          </w:p>
        </w:tc>
        <w:tc>
          <w:tcPr>
            <w:tcW w:w="1472" w:type="dxa"/>
            <w:vAlign w:val="center"/>
          </w:tcPr>
          <w:p w14:paraId="37D534BC">
            <w:pPr>
              <w:jc w:val="right"/>
              <w:rPr>
                <w:rFonts w:ascii="Calibri" w:hAnsi="Calibri"/>
                <w:sz w:val="20"/>
                <w:szCs w:val="20"/>
              </w:rPr>
            </w:pPr>
          </w:p>
        </w:tc>
        <w:tc>
          <w:tcPr>
            <w:tcW w:w="850" w:type="dxa"/>
            <w:vAlign w:val="center"/>
          </w:tcPr>
          <w:p w14:paraId="4AD275E0">
            <w:pPr>
              <w:jc w:val="right"/>
              <w:rPr>
                <w:rFonts w:ascii="Calibri" w:hAnsi="Calibri"/>
                <w:sz w:val="20"/>
                <w:szCs w:val="20"/>
              </w:rPr>
            </w:pPr>
          </w:p>
        </w:tc>
      </w:tr>
      <w:tr w14:paraId="469E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601C4ED8">
            <w:pPr>
              <w:pStyle w:val="48"/>
              <w:rPr>
                <w:sz w:val="20"/>
                <w:szCs w:val="20"/>
              </w:rPr>
            </w:pPr>
            <w:r>
              <w:rPr>
                <w:sz w:val="20"/>
                <w:szCs w:val="20"/>
              </w:rPr>
              <w:t>1、国家持股</w:t>
            </w:r>
          </w:p>
        </w:tc>
        <w:tc>
          <w:tcPr>
            <w:tcW w:w="1559" w:type="dxa"/>
            <w:vAlign w:val="center"/>
          </w:tcPr>
          <w:p w14:paraId="1790451C">
            <w:pPr>
              <w:jc w:val="right"/>
              <w:rPr>
                <w:rFonts w:ascii="Calibri" w:hAnsi="Calibri"/>
                <w:sz w:val="20"/>
                <w:szCs w:val="20"/>
              </w:rPr>
            </w:pPr>
          </w:p>
        </w:tc>
        <w:tc>
          <w:tcPr>
            <w:tcW w:w="850" w:type="dxa"/>
            <w:vAlign w:val="center"/>
          </w:tcPr>
          <w:p w14:paraId="42390755">
            <w:pPr>
              <w:jc w:val="right"/>
              <w:rPr>
                <w:rFonts w:ascii="Calibri" w:hAnsi="Calibri"/>
                <w:sz w:val="20"/>
                <w:szCs w:val="20"/>
              </w:rPr>
            </w:pPr>
          </w:p>
        </w:tc>
        <w:tc>
          <w:tcPr>
            <w:tcW w:w="443" w:type="dxa"/>
            <w:vAlign w:val="center"/>
          </w:tcPr>
          <w:p w14:paraId="7E9AB6F6">
            <w:pPr>
              <w:jc w:val="right"/>
              <w:rPr>
                <w:rFonts w:ascii="Calibri" w:hAnsi="Calibri"/>
                <w:sz w:val="20"/>
                <w:szCs w:val="20"/>
              </w:rPr>
            </w:pPr>
          </w:p>
        </w:tc>
        <w:tc>
          <w:tcPr>
            <w:tcW w:w="408" w:type="dxa"/>
            <w:vAlign w:val="center"/>
          </w:tcPr>
          <w:p w14:paraId="4AFBFEB7">
            <w:pPr>
              <w:jc w:val="right"/>
              <w:rPr>
                <w:rFonts w:ascii="Calibri" w:hAnsi="Calibri"/>
                <w:sz w:val="20"/>
                <w:szCs w:val="20"/>
              </w:rPr>
            </w:pPr>
          </w:p>
        </w:tc>
        <w:tc>
          <w:tcPr>
            <w:tcW w:w="425" w:type="dxa"/>
            <w:vAlign w:val="center"/>
          </w:tcPr>
          <w:p w14:paraId="5ECFEF99">
            <w:pPr>
              <w:jc w:val="right"/>
              <w:rPr>
                <w:rFonts w:ascii="Calibri" w:hAnsi="Calibri"/>
                <w:sz w:val="20"/>
                <w:szCs w:val="20"/>
              </w:rPr>
            </w:pPr>
          </w:p>
        </w:tc>
        <w:tc>
          <w:tcPr>
            <w:tcW w:w="1276" w:type="dxa"/>
            <w:vAlign w:val="center"/>
          </w:tcPr>
          <w:p w14:paraId="64363326">
            <w:pPr>
              <w:jc w:val="right"/>
              <w:rPr>
                <w:rFonts w:ascii="Calibri" w:hAnsi="Calibri"/>
                <w:sz w:val="20"/>
                <w:szCs w:val="20"/>
              </w:rPr>
            </w:pPr>
          </w:p>
        </w:tc>
        <w:tc>
          <w:tcPr>
            <w:tcW w:w="1363" w:type="dxa"/>
            <w:vAlign w:val="center"/>
          </w:tcPr>
          <w:p w14:paraId="516DC140">
            <w:pPr>
              <w:jc w:val="right"/>
              <w:rPr>
                <w:rFonts w:ascii="Calibri" w:hAnsi="Calibri"/>
                <w:sz w:val="20"/>
                <w:szCs w:val="20"/>
              </w:rPr>
            </w:pPr>
          </w:p>
        </w:tc>
        <w:tc>
          <w:tcPr>
            <w:tcW w:w="1472" w:type="dxa"/>
            <w:vAlign w:val="center"/>
          </w:tcPr>
          <w:p w14:paraId="7A31360A">
            <w:pPr>
              <w:jc w:val="right"/>
              <w:rPr>
                <w:rFonts w:ascii="Calibri" w:hAnsi="Calibri"/>
                <w:sz w:val="20"/>
                <w:szCs w:val="20"/>
              </w:rPr>
            </w:pPr>
          </w:p>
        </w:tc>
        <w:tc>
          <w:tcPr>
            <w:tcW w:w="850" w:type="dxa"/>
            <w:vAlign w:val="center"/>
          </w:tcPr>
          <w:p w14:paraId="0647C69A">
            <w:pPr>
              <w:jc w:val="right"/>
              <w:rPr>
                <w:rFonts w:ascii="Calibri" w:hAnsi="Calibri"/>
                <w:sz w:val="20"/>
                <w:szCs w:val="20"/>
              </w:rPr>
            </w:pPr>
          </w:p>
        </w:tc>
      </w:tr>
      <w:tr w14:paraId="5804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35F140F1">
            <w:pPr>
              <w:pStyle w:val="48"/>
              <w:rPr>
                <w:sz w:val="20"/>
                <w:szCs w:val="20"/>
              </w:rPr>
            </w:pPr>
            <w:r>
              <w:rPr>
                <w:sz w:val="20"/>
                <w:szCs w:val="20"/>
              </w:rPr>
              <w:t>2、国有法人持股</w:t>
            </w:r>
          </w:p>
        </w:tc>
        <w:tc>
          <w:tcPr>
            <w:tcW w:w="1559" w:type="dxa"/>
            <w:vAlign w:val="center"/>
          </w:tcPr>
          <w:p w14:paraId="73F8A74F">
            <w:pPr>
              <w:jc w:val="right"/>
              <w:rPr>
                <w:rFonts w:ascii="Calibri" w:hAnsi="Calibri"/>
                <w:sz w:val="20"/>
                <w:szCs w:val="20"/>
              </w:rPr>
            </w:pPr>
          </w:p>
        </w:tc>
        <w:tc>
          <w:tcPr>
            <w:tcW w:w="850" w:type="dxa"/>
            <w:vAlign w:val="center"/>
          </w:tcPr>
          <w:p w14:paraId="46440087">
            <w:pPr>
              <w:jc w:val="right"/>
              <w:rPr>
                <w:rFonts w:ascii="Calibri" w:hAnsi="Calibri"/>
                <w:sz w:val="20"/>
                <w:szCs w:val="20"/>
              </w:rPr>
            </w:pPr>
          </w:p>
        </w:tc>
        <w:tc>
          <w:tcPr>
            <w:tcW w:w="443" w:type="dxa"/>
            <w:vAlign w:val="center"/>
          </w:tcPr>
          <w:p w14:paraId="2676728E">
            <w:pPr>
              <w:jc w:val="right"/>
              <w:rPr>
                <w:rFonts w:ascii="Calibri" w:hAnsi="Calibri"/>
                <w:sz w:val="20"/>
                <w:szCs w:val="20"/>
              </w:rPr>
            </w:pPr>
          </w:p>
        </w:tc>
        <w:tc>
          <w:tcPr>
            <w:tcW w:w="408" w:type="dxa"/>
            <w:vAlign w:val="center"/>
          </w:tcPr>
          <w:p w14:paraId="3897E912">
            <w:pPr>
              <w:jc w:val="right"/>
              <w:rPr>
                <w:rFonts w:ascii="Calibri" w:hAnsi="Calibri"/>
                <w:sz w:val="20"/>
                <w:szCs w:val="20"/>
              </w:rPr>
            </w:pPr>
          </w:p>
        </w:tc>
        <w:tc>
          <w:tcPr>
            <w:tcW w:w="425" w:type="dxa"/>
            <w:vAlign w:val="center"/>
          </w:tcPr>
          <w:p w14:paraId="4BA11560">
            <w:pPr>
              <w:jc w:val="right"/>
              <w:rPr>
                <w:rFonts w:ascii="Calibri" w:hAnsi="Calibri"/>
                <w:sz w:val="20"/>
                <w:szCs w:val="20"/>
              </w:rPr>
            </w:pPr>
          </w:p>
        </w:tc>
        <w:tc>
          <w:tcPr>
            <w:tcW w:w="1276" w:type="dxa"/>
            <w:vAlign w:val="center"/>
          </w:tcPr>
          <w:p w14:paraId="673CA3A3">
            <w:pPr>
              <w:jc w:val="right"/>
              <w:rPr>
                <w:rFonts w:ascii="Calibri" w:hAnsi="Calibri"/>
                <w:sz w:val="20"/>
                <w:szCs w:val="20"/>
              </w:rPr>
            </w:pPr>
          </w:p>
        </w:tc>
        <w:tc>
          <w:tcPr>
            <w:tcW w:w="1363" w:type="dxa"/>
            <w:vAlign w:val="center"/>
          </w:tcPr>
          <w:p w14:paraId="4665B87F">
            <w:pPr>
              <w:jc w:val="right"/>
              <w:rPr>
                <w:rFonts w:ascii="Calibri" w:hAnsi="Calibri"/>
                <w:sz w:val="20"/>
                <w:szCs w:val="20"/>
              </w:rPr>
            </w:pPr>
          </w:p>
        </w:tc>
        <w:tc>
          <w:tcPr>
            <w:tcW w:w="1472" w:type="dxa"/>
            <w:vAlign w:val="center"/>
          </w:tcPr>
          <w:p w14:paraId="4C27DFE6">
            <w:pPr>
              <w:jc w:val="right"/>
              <w:rPr>
                <w:rFonts w:ascii="Calibri" w:hAnsi="Calibri"/>
                <w:sz w:val="20"/>
                <w:szCs w:val="20"/>
              </w:rPr>
            </w:pPr>
          </w:p>
        </w:tc>
        <w:tc>
          <w:tcPr>
            <w:tcW w:w="850" w:type="dxa"/>
            <w:vAlign w:val="center"/>
          </w:tcPr>
          <w:p w14:paraId="612F13F9">
            <w:pPr>
              <w:jc w:val="right"/>
              <w:rPr>
                <w:rFonts w:ascii="Calibri" w:hAnsi="Calibri"/>
                <w:sz w:val="20"/>
                <w:szCs w:val="20"/>
              </w:rPr>
            </w:pPr>
          </w:p>
        </w:tc>
      </w:tr>
      <w:tr w14:paraId="6578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7616ED84">
            <w:pPr>
              <w:pStyle w:val="48"/>
              <w:rPr>
                <w:sz w:val="20"/>
                <w:szCs w:val="20"/>
              </w:rPr>
            </w:pPr>
            <w:r>
              <w:rPr>
                <w:sz w:val="20"/>
                <w:szCs w:val="20"/>
              </w:rPr>
              <w:t>3、其他内资持股</w:t>
            </w:r>
          </w:p>
        </w:tc>
        <w:tc>
          <w:tcPr>
            <w:tcW w:w="1559" w:type="dxa"/>
            <w:vAlign w:val="center"/>
          </w:tcPr>
          <w:p w14:paraId="7E6B29B5">
            <w:pPr>
              <w:jc w:val="right"/>
              <w:rPr>
                <w:rFonts w:ascii="Calibri" w:hAnsi="Calibri"/>
                <w:sz w:val="20"/>
                <w:szCs w:val="20"/>
              </w:rPr>
            </w:pPr>
          </w:p>
        </w:tc>
        <w:tc>
          <w:tcPr>
            <w:tcW w:w="850" w:type="dxa"/>
            <w:vAlign w:val="center"/>
          </w:tcPr>
          <w:p w14:paraId="313E57AF">
            <w:pPr>
              <w:jc w:val="right"/>
              <w:rPr>
                <w:rFonts w:ascii="Calibri" w:hAnsi="Calibri"/>
                <w:sz w:val="20"/>
                <w:szCs w:val="20"/>
              </w:rPr>
            </w:pPr>
          </w:p>
        </w:tc>
        <w:tc>
          <w:tcPr>
            <w:tcW w:w="443" w:type="dxa"/>
            <w:vAlign w:val="center"/>
          </w:tcPr>
          <w:p w14:paraId="39BFFA03">
            <w:pPr>
              <w:jc w:val="right"/>
              <w:rPr>
                <w:rFonts w:ascii="Calibri" w:hAnsi="Calibri"/>
                <w:sz w:val="20"/>
                <w:szCs w:val="20"/>
              </w:rPr>
            </w:pPr>
          </w:p>
        </w:tc>
        <w:tc>
          <w:tcPr>
            <w:tcW w:w="408" w:type="dxa"/>
            <w:vAlign w:val="center"/>
          </w:tcPr>
          <w:p w14:paraId="723D0EC6">
            <w:pPr>
              <w:jc w:val="right"/>
              <w:rPr>
                <w:rFonts w:ascii="Calibri" w:hAnsi="Calibri"/>
                <w:sz w:val="20"/>
                <w:szCs w:val="20"/>
              </w:rPr>
            </w:pPr>
          </w:p>
        </w:tc>
        <w:tc>
          <w:tcPr>
            <w:tcW w:w="425" w:type="dxa"/>
            <w:vAlign w:val="center"/>
          </w:tcPr>
          <w:p w14:paraId="518E40E7">
            <w:pPr>
              <w:jc w:val="right"/>
              <w:rPr>
                <w:rFonts w:ascii="Calibri" w:hAnsi="Calibri"/>
                <w:sz w:val="20"/>
                <w:szCs w:val="20"/>
              </w:rPr>
            </w:pPr>
          </w:p>
        </w:tc>
        <w:tc>
          <w:tcPr>
            <w:tcW w:w="1276" w:type="dxa"/>
            <w:vAlign w:val="center"/>
          </w:tcPr>
          <w:p w14:paraId="6B945919">
            <w:pPr>
              <w:jc w:val="right"/>
              <w:rPr>
                <w:rFonts w:ascii="Calibri" w:hAnsi="Calibri"/>
                <w:sz w:val="20"/>
                <w:szCs w:val="20"/>
              </w:rPr>
            </w:pPr>
          </w:p>
        </w:tc>
        <w:tc>
          <w:tcPr>
            <w:tcW w:w="1363" w:type="dxa"/>
            <w:vAlign w:val="center"/>
          </w:tcPr>
          <w:p w14:paraId="5D83F251">
            <w:pPr>
              <w:jc w:val="right"/>
              <w:rPr>
                <w:rFonts w:ascii="Calibri" w:hAnsi="Calibri"/>
                <w:sz w:val="20"/>
                <w:szCs w:val="20"/>
              </w:rPr>
            </w:pPr>
          </w:p>
        </w:tc>
        <w:tc>
          <w:tcPr>
            <w:tcW w:w="1472" w:type="dxa"/>
            <w:vAlign w:val="center"/>
          </w:tcPr>
          <w:p w14:paraId="5120EC8B">
            <w:pPr>
              <w:jc w:val="right"/>
              <w:rPr>
                <w:rFonts w:ascii="Calibri" w:hAnsi="Calibri"/>
                <w:sz w:val="20"/>
                <w:szCs w:val="20"/>
              </w:rPr>
            </w:pPr>
          </w:p>
        </w:tc>
        <w:tc>
          <w:tcPr>
            <w:tcW w:w="850" w:type="dxa"/>
            <w:vAlign w:val="center"/>
          </w:tcPr>
          <w:p w14:paraId="203D3CE8">
            <w:pPr>
              <w:jc w:val="right"/>
              <w:rPr>
                <w:rFonts w:ascii="Calibri" w:hAnsi="Calibri"/>
                <w:sz w:val="20"/>
                <w:szCs w:val="20"/>
              </w:rPr>
            </w:pPr>
          </w:p>
        </w:tc>
      </w:tr>
      <w:tr w14:paraId="38C0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1B5813C7">
            <w:pPr>
              <w:pStyle w:val="48"/>
              <w:rPr>
                <w:sz w:val="20"/>
                <w:szCs w:val="20"/>
              </w:rPr>
            </w:pPr>
            <w:r>
              <w:rPr>
                <w:sz w:val="20"/>
                <w:szCs w:val="20"/>
              </w:rPr>
              <w:t>其中：境内非国有法人持股</w:t>
            </w:r>
          </w:p>
        </w:tc>
        <w:tc>
          <w:tcPr>
            <w:tcW w:w="1559" w:type="dxa"/>
            <w:vAlign w:val="center"/>
          </w:tcPr>
          <w:p w14:paraId="3DCE5D0D">
            <w:pPr>
              <w:jc w:val="right"/>
              <w:rPr>
                <w:rFonts w:ascii="Calibri" w:hAnsi="Calibri"/>
                <w:sz w:val="20"/>
                <w:szCs w:val="20"/>
              </w:rPr>
            </w:pPr>
          </w:p>
        </w:tc>
        <w:tc>
          <w:tcPr>
            <w:tcW w:w="850" w:type="dxa"/>
            <w:vAlign w:val="center"/>
          </w:tcPr>
          <w:p w14:paraId="2FD0F878">
            <w:pPr>
              <w:jc w:val="right"/>
              <w:rPr>
                <w:rFonts w:ascii="Calibri" w:hAnsi="Calibri"/>
                <w:sz w:val="20"/>
                <w:szCs w:val="20"/>
              </w:rPr>
            </w:pPr>
          </w:p>
        </w:tc>
        <w:tc>
          <w:tcPr>
            <w:tcW w:w="443" w:type="dxa"/>
            <w:vAlign w:val="center"/>
          </w:tcPr>
          <w:p w14:paraId="5228E7A6">
            <w:pPr>
              <w:jc w:val="right"/>
              <w:rPr>
                <w:rFonts w:ascii="Calibri" w:hAnsi="Calibri"/>
                <w:sz w:val="20"/>
                <w:szCs w:val="20"/>
              </w:rPr>
            </w:pPr>
          </w:p>
        </w:tc>
        <w:tc>
          <w:tcPr>
            <w:tcW w:w="408" w:type="dxa"/>
            <w:vAlign w:val="center"/>
          </w:tcPr>
          <w:p w14:paraId="236CC1A1">
            <w:pPr>
              <w:jc w:val="right"/>
              <w:rPr>
                <w:rFonts w:ascii="Calibri" w:hAnsi="Calibri"/>
                <w:sz w:val="20"/>
                <w:szCs w:val="20"/>
              </w:rPr>
            </w:pPr>
          </w:p>
        </w:tc>
        <w:tc>
          <w:tcPr>
            <w:tcW w:w="425" w:type="dxa"/>
            <w:vAlign w:val="center"/>
          </w:tcPr>
          <w:p w14:paraId="68381A18">
            <w:pPr>
              <w:jc w:val="right"/>
              <w:rPr>
                <w:rFonts w:ascii="Calibri" w:hAnsi="Calibri"/>
                <w:sz w:val="20"/>
                <w:szCs w:val="20"/>
              </w:rPr>
            </w:pPr>
          </w:p>
        </w:tc>
        <w:tc>
          <w:tcPr>
            <w:tcW w:w="1276" w:type="dxa"/>
            <w:vAlign w:val="center"/>
          </w:tcPr>
          <w:p w14:paraId="435BEFF3">
            <w:pPr>
              <w:jc w:val="right"/>
              <w:rPr>
                <w:rFonts w:ascii="Calibri" w:hAnsi="Calibri"/>
                <w:sz w:val="20"/>
                <w:szCs w:val="20"/>
              </w:rPr>
            </w:pPr>
          </w:p>
        </w:tc>
        <w:tc>
          <w:tcPr>
            <w:tcW w:w="1363" w:type="dxa"/>
            <w:vAlign w:val="center"/>
          </w:tcPr>
          <w:p w14:paraId="5A802047">
            <w:pPr>
              <w:jc w:val="right"/>
              <w:rPr>
                <w:rFonts w:ascii="Calibri" w:hAnsi="Calibri"/>
                <w:sz w:val="20"/>
                <w:szCs w:val="20"/>
              </w:rPr>
            </w:pPr>
          </w:p>
        </w:tc>
        <w:tc>
          <w:tcPr>
            <w:tcW w:w="1472" w:type="dxa"/>
            <w:vAlign w:val="center"/>
          </w:tcPr>
          <w:p w14:paraId="0F8975AA">
            <w:pPr>
              <w:jc w:val="right"/>
              <w:rPr>
                <w:rFonts w:ascii="Calibri" w:hAnsi="Calibri"/>
                <w:sz w:val="20"/>
                <w:szCs w:val="20"/>
              </w:rPr>
            </w:pPr>
          </w:p>
        </w:tc>
        <w:tc>
          <w:tcPr>
            <w:tcW w:w="850" w:type="dxa"/>
            <w:vAlign w:val="center"/>
          </w:tcPr>
          <w:p w14:paraId="3E50FADB">
            <w:pPr>
              <w:jc w:val="right"/>
              <w:rPr>
                <w:rFonts w:ascii="Calibri" w:hAnsi="Calibri"/>
                <w:sz w:val="20"/>
                <w:szCs w:val="20"/>
              </w:rPr>
            </w:pPr>
          </w:p>
        </w:tc>
      </w:tr>
      <w:tr w14:paraId="1F7D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084DEF03">
            <w:pPr>
              <w:ind w:firstLine="600" w:firstLineChars="300"/>
              <w:rPr>
                <w:rFonts w:ascii="Calibri" w:hAnsi="Calibri"/>
                <w:sz w:val="20"/>
                <w:szCs w:val="20"/>
              </w:rPr>
            </w:pPr>
            <w:r>
              <w:rPr>
                <w:rFonts w:ascii="Calibri" w:hAnsi="Calibri"/>
                <w:sz w:val="20"/>
                <w:szCs w:val="20"/>
              </w:rPr>
              <w:t>境内自然人持股</w:t>
            </w:r>
          </w:p>
        </w:tc>
        <w:tc>
          <w:tcPr>
            <w:tcW w:w="1559" w:type="dxa"/>
            <w:vAlign w:val="center"/>
          </w:tcPr>
          <w:p w14:paraId="4E4C0BBC">
            <w:pPr>
              <w:jc w:val="right"/>
              <w:rPr>
                <w:rFonts w:ascii="Calibri" w:hAnsi="Calibri"/>
                <w:sz w:val="20"/>
                <w:szCs w:val="20"/>
              </w:rPr>
            </w:pPr>
          </w:p>
        </w:tc>
        <w:tc>
          <w:tcPr>
            <w:tcW w:w="850" w:type="dxa"/>
            <w:vAlign w:val="center"/>
          </w:tcPr>
          <w:p w14:paraId="4D1D0EF9">
            <w:pPr>
              <w:jc w:val="right"/>
              <w:rPr>
                <w:rFonts w:ascii="Calibri" w:hAnsi="Calibri"/>
                <w:sz w:val="20"/>
                <w:szCs w:val="20"/>
              </w:rPr>
            </w:pPr>
          </w:p>
        </w:tc>
        <w:tc>
          <w:tcPr>
            <w:tcW w:w="443" w:type="dxa"/>
            <w:vAlign w:val="center"/>
          </w:tcPr>
          <w:p w14:paraId="42F5BE4C">
            <w:pPr>
              <w:jc w:val="right"/>
              <w:rPr>
                <w:rFonts w:ascii="Calibri" w:hAnsi="Calibri"/>
                <w:sz w:val="20"/>
                <w:szCs w:val="20"/>
              </w:rPr>
            </w:pPr>
          </w:p>
        </w:tc>
        <w:tc>
          <w:tcPr>
            <w:tcW w:w="408" w:type="dxa"/>
            <w:vAlign w:val="center"/>
          </w:tcPr>
          <w:p w14:paraId="5A8B3BD1">
            <w:pPr>
              <w:jc w:val="right"/>
              <w:rPr>
                <w:rFonts w:ascii="Calibri" w:hAnsi="Calibri"/>
                <w:sz w:val="20"/>
                <w:szCs w:val="20"/>
              </w:rPr>
            </w:pPr>
          </w:p>
        </w:tc>
        <w:tc>
          <w:tcPr>
            <w:tcW w:w="425" w:type="dxa"/>
            <w:vAlign w:val="center"/>
          </w:tcPr>
          <w:p w14:paraId="67C47A76">
            <w:pPr>
              <w:jc w:val="right"/>
              <w:rPr>
                <w:rFonts w:ascii="Calibri" w:hAnsi="Calibri"/>
                <w:sz w:val="20"/>
                <w:szCs w:val="20"/>
              </w:rPr>
            </w:pPr>
          </w:p>
        </w:tc>
        <w:tc>
          <w:tcPr>
            <w:tcW w:w="1276" w:type="dxa"/>
            <w:vAlign w:val="center"/>
          </w:tcPr>
          <w:p w14:paraId="21C3D7A1">
            <w:pPr>
              <w:jc w:val="right"/>
              <w:rPr>
                <w:rFonts w:ascii="Calibri" w:hAnsi="Calibri"/>
                <w:sz w:val="20"/>
                <w:szCs w:val="20"/>
              </w:rPr>
            </w:pPr>
          </w:p>
        </w:tc>
        <w:tc>
          <w:tcPr>
            <w:tcW w:w="1363" w:type="dxa"/>
            <w:vAlign w:val="center"/>
          </w:tcPr>
          <w:p w14:paraId="38152D1E">
            <w:pPr>
              <w:jc w:val="right"/>
              <w:rPr>
                <w:rFonts w:ascii="Calibri" w:hAnsi="Calibri"/>
                <w:sz w:val="20"/>
                <w:szCs w:val="20"/>
              </w:rPr>
            </w:pPr>
          </w:p>
        </w:tc>
        <w:tc>
          <w:tcPr>
            <w:tcW w:w="1472" w:type="dxa"/>
            <w:vAlign w:val="center"/>
          </w:tcPr>
          <w:p w14:paraId="57C120A5">
            <w:pPr>
              <w:jc w:val="right"/>
              <w:rPr>
                <w:rFonts w:ascii="Calibri" w:hAnsi="Calibri"/>
                <w:sz w:val="20"/>
                <w:szCs w:val="20"/>
              </w:rPr>
            </w:pPr>
          </w:p>
        </w:tc>
        <w:tc>
          <w:tcPr>
            <w:tcW w:w="850" w:type="dxa"/>
            <w:vAlign w:val="center"/>
          </w:tcPr>
          <w:p w14:paraId="1DE0D86D">
            <w:pPr>
              <w:jc w:val="right"/>
              <w:rPr>
                <w:rFonts w:ascii="Calibri" w:hAnsi="Calibri"/>
                <w:sz w:val="20"/>
                <w:szCs w:val="20"/>
              </w:rPr>
            </w:pPr>
          </w:p>
        </w:tc>
      </w:tr>
      <w:tr w14:paraId="58AC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121C4488">
            <w:pPr>
              <w:pStyle w:val="48"/>
              <w:rPr>
                <w:sz w:val="20"/>
                <w:szCs w:val="20"/>
              </w:rPr>
            </w:pPr>
            <w:r>
              <w:rPr>
                <w:rFonts w:hint="eastAsia"/>
                <w:sz w:val="20"/>
                <w:szCs w:val="20"/>
              </w:rPr>
              <w:t>4、</w:t>
            </w:r>
            <w:r>
              <w:rPr>
                <w:sz w:val="20"/>
                <w:szCs w:val="20"/>
              </w:rPr>
              <w:t>外资持股</w:t>
            </w:r>
          </w:p>
        </w:tc>
        <w:tc>
          <w:tcPr>
            <w:tcW w:w="1559" w:type="dxa"/>
            <w:vAlign w:val="center"/>
          </w:tcPr>
          <w:p w14:paraId="7875558E">
            <w:pPr>
              <w:jc w:val="right"/>
              <w:rPr>
                <w:rFonts w:ascii="Calibri" w:hAnsi="Calibri"/>
                <w:sz w:val="20"/>
                <w:szCs w:val="20"/>
              </w:rPr>
            </w:pPr>
          </w:p>
        </w:tc>
        <w:tc>
          <w:tcPr>
            <w:tcW w:w="850" w:type="dxa"/>
            <w:vAlign w:val="center"/>
          </w:tcPr>
          <w:p w14:paraId="0C2DD14B">
            <w:pPr>
              <w:jc w:val="right"/>
              <w:rPr>
                <w:rFonts w:ascii="Calibri" w:hAnsi="Calibri"/>
                <w:sz w:val="20"/>
                <w:szCs w:val="20"/>
              </w:rPr>
            </w:pPr>
          </w:p>
        </w:tc>
        <w:tc>
          <w:tcPr>
            <w:tcW w:w="443" w:type="dxa"/>
            <w:vAlign w:val="center"/>
          </w:tcPr>
          <w:p w14:paraId="26C39862">
            <w:pPr>
              <w:jc w:val="right"/>
              <w:rPr>
                <w:rFonts w:ascii="Calibri" w:hAnsi="Calibri"/>
                <w:sz w:val="20"/>
                <w:szCs w:val="20"/>
              </w:rPr>
            </w:pPr>
          </w:p>
        </w:tc>
        <w:tc>
          <w:tcPr>
            <w:tcW w:w="408" w:type="dxa"/>
            <w:vAlign w:val="center"/>
          </w:tcPr>
          <w:p w14:paraId="24E05DD1">
            <w:pPr>
              <w:jc w:val="right"/>
              <w:rPr>
                <w:rFonts w:ascii="Calibri" w:hAnsi="Calibri"/>
                <w:sz w:val="20"/>
                <w:szCs w:val="20"/>
              </w:rPr>
            </w:pPr>
          </w:p>
        </w:tc>
        <w:tc>
          <w:tcPr>
            <w:tcW w:w="425" w:type="dxa"/>
            <w:vAlign w:val="center"/>
          </w:tcPr>
          <w:p w14:paraId="7C24CC6B">
            <w:pPr>
              <w:jc w:val="right"/>
              <w:rPr>
                <w:rFonts w:ascii="Calibri" w:hAnsi="Calibri"/>
                <w:sz w:val="20"/>
                <w:szCs w:val="20"/>
              </w:rPr>
            </w:pPr>
          </w:p>
        </w:tc>
        <w:tc>
          <w:tcPr>
            <w:tcW w:w="1276" w:type="dxa"/>
            <w:vAlign w:val="center"/>
          </w:tcPr>
          <w:p w14:paraId="517A974C">
            <w:pPr>
              <w:jc w:val="right"/>
              <w:rPr>
                <w:rFonts w:ascii="Calibri" w:hAnsi="Calibri"/>
                <w:sz w:val="20"/>
                <w:szCs w:val="20"/>
              </w:rPr>
            </w:pPr>
          </w:p>
        </w:tc>
        <w:tc>
          <w:tcPr>
            <w:tcW w:w="1363" w:type="dxa"/>
            <w:vAlign w:val="center"/>
          </w:tcPr>
          <w:p w14:paraId="7A2F656F">
            <w:pPr>
              <w:jc w:val="right"/>
              <w:rPr>
                <w:rFonts w:ascii="Calibri" w:hAnsi="Calibri"/>
                <w:sz w:val="20"/>
                <w:szCs w:val="20"/>
              </w:rPr>
            </w:pPr>
          </w:p>
        </w:tc>
        <w:tc>
          <w:tcPr>
            <w:tcW w:w="1472" w:type="dxa"/>
            <w:vAlign w:val="center"/>
          </w:tcPr>
          <w:p w14:paraId="3947E15C">
            <w:pPr>
              <w:jc w:val="right"/>
              <w:rPr>
                <w:rFonts w:ascii="Calibri" w:hAnsi="Calibri"/>
                <w:sz w:val="20"/>
                <w:szCs w:val="20"/>
              </w:rPr>
            </w:pPr>
          </w:p>
        </w:tc>
        <w:tc>
          <w:tcPr>
            <w:tcW w:w="850" w:type="dxa"/>
            <w:vAlign w:val="center"/>
          </w:tcPr>
          <w:p w14:paraId="55D44B3A">
            <w:pPr>
              <w:jc w:val="right"/>
              <w:rPr>
                <w:rFonts w:ascii="Calibri" w:hAnsi="Calibri"/>
                <w:sz w:val="20"/>
                <w:szCs w:val="20"/>
              </w:rPr>
            </w:pPr>
          </w:p>
        </w:tc>
      </w:tr>
      <w:tr w14:paraId="0EBB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60F66AC0">
            <w:pPr>
              <w:pStyle w:val="48"/>
              <w:rPr>
                <w:sz w:val="20"/>
                <w:szCs w:val="20"/>
              </w:rPr>
            </w:pPr>
            <w:r>
              <w:rPr>
                <w:sz w:val="20"/>
                <w:szCs w:val="20"/>
              </w:rPr>
              <w:t>其中：境外法人持股</w:t>
            </w:r>
          </w:p>
        </w:tc>
        <w:tc>
          <w:tcPr>
            <w:tcW w:w="1559" w:type="dxa"/>
            <w:vAlign w:val="center"/>
          </w:tcPr>
          <w:p w14:paraId="059DAC4E">
            <w:pPr>
              <w:jc w:val="right"/>
              <w:rPr>
                <w:rFonts w:ascii="Calibri" w:hAnsi="Calibri"/>
                <w:sz w:val="20"/>
                <w:szCs w:val="20"/>
              </w:rPr>
            </w:pPr>
          </w:p>
        </w:tc>
        <w:tc>
          <w:tcPr>
            <w:tcW w:w="850" w:type="dxa"/>
            <w:vAlign w:val="center"/>
          </w:tcPr>
          <w:p w14:paraId="25E051C4">
            <w:pPr>
              <w:jc w:val="right"/>
              <w:rPr>
                <w:rFonts w:ascii="Calibri" w:hAnsi="Calibri"/>
                <w:sz w:val="20"/>
                <w:szCs w:val="20"/>
              </w:rPr>
            </w:pPr>
          </w:p>
        </w:tc>
        <w:tc>
          <w:tcPr>
            <w:tcW w:w="443" w:type="dxa"/>
            <w:vAlign w:val="center"/>
          </w:tcPr>
          <w:p w14:paraId="2BD7D83C">
            <w:pPr>
              <w:jc w:val="right"/>
              <w:rPr>
                <w:rFonts w:ascii="Calibri" w:hAnsi="Calibri"/>
                <w:sz w:val="20"/>
                <w:szCs w:val="20"/>
              </w:rPr>
            </w:pPr>
          </w:p>
        </w:tc>
        <w:tc>
          <w:tcPr>
            <w:tcW w:w="408" w:type="dxa"/>
            <w:vAlign w:val="center"/>
          </w:tcPr>
          <w:p w14:paraId="2E21AE31">
            <w:pPr>
              <w:jc w:val="right"/>
              <w:rPr>
                <w:rFonts w:ascii="Calibri" w:hAnsi="Calibri"/>
                <w:sz w:val="20"/>
                <w:szCs w:val="20"/>
              </w:rPr>
            </w:pPr>
          </w:p>
        </w:tc>
        <w:tc>
          <w:tcPr>
            <w:tcW w:w="425" w:type="dxa"/>
            <w:vAlign w:val="center"/>
          </w:tcPr>
          <w:p w14:paraId="10D8B05E">
            <w:pPr>
              <w:jc w:val="right"/>
              <w:rPr>
                <w:rFonts w:ascii="Calibri" w:hAnsi="Calibri"/>
                <w:sz w:val="20"/>
                <w:szCs w:val="20"/>
              </w:rPr>
            </w:pPr>
          </w:p>
        </w:tc>
        <w:tc>
          <w:tcPr>
            <w:tcW w:w="1276" w:type="dxa"/>
            <w:vAlign w:val="center"/>
          </w:tcPr>
          <w:p w14:paraId="78EDFCD8">
            <w:pPr>
              <w:jc w:val="right"/>
              <w:rPr>
                <w:rFonts w:ascii="Calibri" w:hAnsi="Calibri"/>
                <w:sz w:val="20"/>
                <w:szCs w:val="20"/>
              </w:rPr>
            </w:pPr>
          </w:p>
        </w:tc>
        <w:tc>
          <w:tcPr>
            <w:tcW w:w="1363" w:type="dxa"/>
            <w:vAlign w:val="center"/>
          </w:tcPr>
          <w:p w14:paraId="7DD8765C">
            <w:pPr>
              <w:jc w:val="right"/>
              <w:rPr>
                <w:rFonts w:ascii="Calibri" w:hAnsi="Calibri"/>
                <w:sz w:val="20"/>
                <w:szCs w:val="20"/>
              </w:rPr>
            </w:pPr>
          </w:p>
        </w:tc>
        <w:tc>
          <w:tcPr>
            <w:tcW w:w="1472" w:type="dxa"/>
            <w:vAlign w:val="center"/>
          </w:tcPr>
          <w:p w14:paraId="3B99ABE5">
            <w:pPr>
              <w:jc w:val="right"/>
              <w:rPr>
                <w:rFonts w:ascii="Calibri" w:hAnsi="Calibri"/>
                <w:sz w:val="20"/>
                <w:szCs w:val="20"/>
              </w:rPr>
            </w:pPr>
          </w:p>
        </w:tc>
        <w:tc>
          <w:tcPr>
            <w:tcW w:w="850" w:type="dxa"/>
            <w:vAlign w:val="center"/>
          </w:tcPr>
          <w:p w14:paraId="18239D92">
            <w:pPr>
              <w:jc w:val="right"/>
              <w:rPr>
                <w:rFonts w:ascii="Calibri" w:hAnsi="Calibri"/>
                <w:sz w:val="20"/>
                <w:szCs w:val="20"/>
              </w:rPr>
            </w:pPr>
          </w:p>
        </w:tc>
      </w:tr>
      <w:tr w14:paraId="55F9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2B0D352C">
            <w:pPr>
              <w:ind w:firstLine="600" w:firstLineChars="300"/>
              <w:rPr>
                <w:rFonts w:ascii="Calibri" w:hAnsi="Calibri"/>
                <w:sz w:val="20"/>
                <w:szCs w:val="20"/>
              </w:rPr>
            </w:pPr>
            <w:r>
              <w:rPr>
                <w:rFonts w:ascii="Calibri" w:hAnsi="Calibri"/>
                <w:sz w:val="20"/>
                <w:szCs w:val="20"/>
              </w:rPr>
              <w:t>境外自然人持股</w:t>
            </w:r>
          </w:p>
        </w:tc>
        <w:tc>
          <w:tcPr>
            <w:tcW w:w="1559" w:type="dxa"/>
            <w:vAlign w:val="center"/>
          </w:tcPr>
          <w:p w14:paraId="3513BFEF">
            <w:pPr>
              <w:jc w:val="right"/>
              <w:rPr>
                <w:rFonts w:ascii="Calibri" w:hAnsi="Calibri"/>
                <w:sz w:val="20"/>
                <w:szCs w:val="20"/>
              </w:rPr>
            </w:pPr>
          </w:p>
        </w:tc>
        <w:tc>
          <w:tcPr>
            <w:tcW w:w="850" w:type="dxa"/>
            <w:vAlign w:val="center"/>
          </w:tcPr>
          <w:p w14:paraId="77FAE390">
            <w:pPr>
              <w:jc w:val="right"/>
              <w:rPr>
                <w:rFonts w:ascii="Calibri" w:hAnsi="Calibri"/>
                <w:sz w:val="20"/>
                <w:szCs w:val="20"/>
              </w:rPr>
            </w:pPr>
          </w:p>
        </w:tc>
        <w:tc>
          <w:tcPr>
            <w:tcW w:w="443" w:type="dxa"/>
            <w:vAlign w:val="center"/>
          </w:tcPr>
          <w:p w14:paraId="2E2CB044">
            <w:pPr>
              <w:jc w:val="right"/>
              <w:rPr>
                <w:rFonts w:ascii="Calibri" w:hAnsi="Calibri"/>
                <w:sz w:val="20"/>
                <w:szCs w:val="20"/>
              </w:rPr>
            </w:pPr>
          </w:p>
        </w:tc>
        <w:tc>
          <w:tcPr>
            <w:tcW w:w="408" w:type="dxa"/>
            <w:vAlign w:val="center"/>
          </w:tcPr>
          <w:p w14:paraId="7455DFAC">
            <w:pPr>
              <w:jc w:val="right"/>
              <w:rPr>
                <w:rFonts w:ascii="Calibri" w:hAnsi="Calibri"/>
                <w:sz w:val="20"/>
                <w:szCs w:val="20"/>
              </w:rPr>
            </w:pPr>
          </w:p>
        </w:tc>
        <w:tc>
          <w:tcPr>
            <w:tcW w:w="425" w:type="dxa"/>
            <w:vAlign w:val="center"/>
          </w:tcPr>
          <w:p w14:paraId="3E5A89C6">
            <w:pPr>
              <w:jc w:val="right"/>
              <w:rPr>
                <w:rFonts w:ascii="Calibri" w:hAnsi="Calibri"/>
                <w:sz w:val="20"/>
                <w:szCs w:val="20"/>
              </w:rPr>
            </w:pPr>
          </w:p>
        </w:tc>
        <w:tc>
          <w:tcPr>
            <w:tcW w:w="1276" w:type="dxa"/>
            <w:vAlign w:val="center"/>
          </w:tcPr>
          <w:p w14:paraId="59FD0A35">
            <w:pPr>
              <w:jc w:val="right"/>
              <w:rPr>
                <w:rFonts w:ascii="Calibri" w:hAnsi="Calibri"/>
                <w:sz w:val="20"/>
                <w:szCs w:val="20"/>
              </w:rPr>
            </w:pPr>
          </w:p>
        </w:tc>
        <w:tc>
          <w:tcPr>
            <w:tcW w:w="1363" w:type="dxa"/>
            <w:vAlign w:val="center"/>
          </w:tcPr>
          <w:p w14:paraId="1731EE6D">
            <w:pPr>
              <w:jc w:val="right"/>
              <w:rPr>
                <w:rFonts w:ascii="Calibri" w:hAnsi="Calibri"/>
                <w:sz w:val="20"/>
                <w:szCs w:val="20"/>
              </w:rPr>
            </w:pPr>
          </w:p>
        </w:tc>
        <w:tc>
          <w:tcPr>
            <w:tcW w:w="1472" w:type="dxa"/>
            <w:vAlign w:val="center"/>
          </w:tcPr>
          <w:p w14:paraId="54ED622B">
            <w:pPr>
              <w:jc w:val="right"/>
              <w:rPr>
                <w:rFonts w:ascii="Calibri" w:hAnsi="Calibri"/>
                <w:sz w:val="20"/>
                <w:szCs w:val="20"/>
              </w:rPr>
            </w:pPr>
          </w:p>
        </w:tc>
        <w:tc>
          <w:tcPr>
            <w:tcW w:w="850" w:type="dxa"/>
            <w:vAlign w:val="center"/>
          </w:tcPr>
          <w:p w14:paraId="47997F91">
            <w:pPr>
              <w:jc w:val="right"/>
              <w:rPr>
                <w:rFonts w:ascii="Calibri" w:hAnsi="Calibri"/>
                <w:sz w:val="20"/>
                <w:szCs w:val="20"/>
              </w:rPr>
            </w:pPr>
          </w:p>
        </w:tc>
      </w:tr>
      <w:tr w14:paraId="6270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464693E5">
            <w:pPr>
              <w:pStyle w:val="11"/>
              <w:rPr>
                <w:rFonts w:ascii="宋体" w:hAnsi="宋体"/>
                <w:sz w:val="20"/>
                <w:szCs w:val="20"/>
              </w:rPr>
            </w:pPr>
            <w:r>
              <w:rPr>
                <w:rFonts w:ascii="宋体" w:hAnsi="宋体"/>
                <w:sz w:val="20"/>
                <w:szCs w:val="20"/>
              </w:rPr>
              <w:t>二、无限售条件流通股份</w:t>
            </w:r>
          </w:p>
        </w:tc>
        <w:tc>
          <w:tcPr>
            <w:tcW w:w="1559" w:type="dxa"/>
            <w:vAlign w:val="center"/>
          </w:tcPr>
          <w:p w14:paraId="4DC9A9BA">
            <w:pPr>
              <w:jc w:val="right"/>
              <w:rPr>
                <w:rFonts w:ascii="Calibri" w:hAnsi="Calibri"/>
                <w:sz w:val="20"/>
                <w:szCs w:val="20"/>
              </w:rPr>
            </w:pPr>
            <w:r>
              <w:rPr>
                <w:rFonts w:ascii="Calibri" w:hAnsi="Calibri"/>
                <w:sz w:val="20"/>
                <w:szCs w:val="20"/>
              </w:rPr>
              <w:t>1,981,734,074</w:t>
            </w:r>
          </w:p>
        </w:tc>
        <w:tc>
          <w:tcPr>
            <w:tcW w:w="850" w:type="dxa"/>
            <w:vAlign w:val="center"/>
          </w:tcPr>
          <w:p w14:paraId="2DF47257">
            <w:pPr>
              <w:jc w:val="right"/>
              <w:rPr>
                <w:rFonts w:ascii="Calibri" w:hAnsi="Calibri"/>
                <w:sz w:val="20"/>
                <w:szCs w:val="20"/>
              </w:rPr>
            </w:pPr>
            <w:r>
              <w:rPr>
                <w:rFonts w:ascii="Calibri" w:hAnsi="Calibri"/>
                <w:sz w:val="20"/>
                <w:szCs w:val="20"/>
              </w:rPr>
              <w:t>100.00</w:t>
            </w:r>
          </w:p>
        </w:tc>
        <w:tc>
          <w:tcPr>
            <w:tcW w:w="443" w:type="dxa"/>
            <w:vAlign w:val="center"/>
          </w:tcPr>
          <w:p w14:paraId="104A6642">
            <w:pPr>
              <w:jc w:val="right"/>
              <w:rPr>
                <w:rFonts w:ascii="Calibri" w:hAnsi="Calibri"/>
                <w:sz w:val="20"/>
                <w:szCs w:val="20"/>
              </w:rPr>
            </w:pPr>
          </w:p>
        </w:tc>
        <w:tc>
          <w:tcPr>
            <w:tcW w:w="408" w:type="dxa"/>
            <w:vAlign w:val="center"/>
          </w:tcPr>
          <w:p w14:paraId="39753045">
            <w:pPr>
              <w:jc w:val="right"/>
              <w:rPr>
                <w:rFonts w:ascii="Calibri" w:hAnsi="Calibri"/>
                <w:sz w:val="20"/>
                <w:szCs w:val="20"/>
              </w:rPr>
            </w:pPr>
          </w:p>
        </w:tc>
        <w:tc>
          <w:tcPr>
            <w:tcW w:w="425" w:type="dxa"/>
            <w:vAlign w:val="center"/>
          </w:tcPr>
          <w:p w14:paraId="1A72CD30">
            <w:pPr>
              <w:jc w:val="right"/>
              <w:rPr>
                <w:rFonts w:ascii="Calibri" w:hAnsi="Calibri"/>
                <w:sz w:val="20"/>
                <w:szCs w:val="20"/>
              </w:rPr>
            </w:pPr>
          </w:p>
        </w:tc>
        <w:tc>
          <w:tcPr>
            <w:tcW w:w="1276" w:type="dxa"/>
            <w:vAlign w:val="center"/>
          </w:tcPr>
          <w:p w14:paraId="23786D2C">
            <w:pPr>
              <w:jc w:val="right"/>
              <w:rPr>
                <w:rFonts w:ascii="Calibri" w:hAnsi="Calibri"/>
                <w:sz w:val="20"/>
                <w:szCs w:val="20"/>
              </w:rPr>
            </w:pPr>
            <w:r>
              <w:rPr>
                <w:rFonts w:ascii="Calibri" w:hAnsi="Calibri"/>
                <w:sz w:val="20"/>
                <w:szCs w:val="20"/>
              </w:rPr>
              <w:t>-23,191,245</w:t>
            </w:r>
          </w:p>
        </w:tc>
        <w:tc>
          <w:tcPr>
            <w:tcW w:w="1363" w:type="dxa"/>
            <w:vAlign w:val="center"/>
          </w:tcPr>
          <w:p w14:paraId="27865557">
            <w:pPr>
              <w:jc w:val="right"/>
              <w:rPr>
                <w:rFonts w:ascii="Calibri" w:hAnsi="Calibri"/>
                <w:sz w:val="20"/>
                <w:szCs w:val="20"/>
              </w:rPr>
            </w:pPr>
            <w:r>
              <w:rPr>
                <w:rFonts w:ascii="Calibri" w:hAnsi="Calibri"/>
                <w:sz w:val="20"/>
                <w:szCs w:val="20"/>
              </w:rPr>
              <w:t>-23,191,245</w:t>
            </w:r>
          </w:p>
        </w:tc>
        <w:tc>
          <w:tcPr>
            <w:tcW w:w="1472" w:type="dxa"/>
            <w:vAlign w:val="center"/>
          </w:tcPr>
          <w:p w14:paraId="48549A0D">
            <w:pPr>
              <w:jc w:val="right"/>
              <w:rPr>
                <w:rFonts w:ascii="Calibri" w:hAnsi="Calibri"/>
                <w:sz w:val="20"/>
                <w:szCs w:val="20"/>
              </w:rPr>
            </w:pPr>
            <w:r>
              <w:rPr>
                <w:rFonts w:ascii="Calibri" w:hAnsi="Calibri"/>
                <w:sz w:val="20"/>
                <w:szCs w:val="20"/>
              </w:rPr>
              <w:t>1,958,542,829</w:t>
            </w:r>
          </w:p>
        </w:tc>
        <w:tc>
          <w:tcPr>
            <w:tcW w:w="850" w:type="dxa"/>
            <w:vAlign w:val="center"/>
          </w:tcPr>
          <w:p w14:paraId="1C2DA3E5">
            <w:pPr>
              <w:jc w:val="right"/>
              <w:rPr>
                <w:rFonts w:ascii="Calibri" w:hAnsi="Calibri"/>
                <w:sz w:val="20"/>
                <w:szCs w:val="20"/>
              </w:rPr>
            </w:pPr>
            <w:r>
              <w:rPr>
                <w:rFonts w:ascii="Calibri" w:hAnsi="Calibri"/>
                <w:sz w:val="20"/>
                <w:szCs w:val="20"/>
              </w:rPr>
              <w:t>100.00</w:t>
            </w:r>
          </w:p>
        </w:tc>
      </w:tr>
      <w:tr w14:paraId="546E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1DCD8BD3">
            <w:pPr>
              <w:pStyle w:val="48"/>
              <w:rPr>
                <w:sz w:val="20"/>
                <w:szCs w:val="20"/>
              </w:rPr>
            </w:pPr>
            <w:r>
              <w:rPr>
                <w:sz w:val="20"/>
                <w:szCs w:val="20"/>
              </w:rPr>
              <w:t>1、人民币普通股</w:t>
            </w:r>
          </w:p>
        </w:tc>
        <w:tc>
          <w:tcPr>
            <w:tcW w:w="1559" w:type="dxa"/>
            <w:vAlign w:val="center"/>
          </w:tcPr>
          <w:p w14:paraId="3E49ABC5">
            <w:pPr>
              <w:jc w:val="right"/>
              <w:rPr>
                <w:rFonts w:ascii="Calibri" w:hAnsi="Calibri"/>
                <w:sz w:val="20"/>
                <w:szCs w:val="20"/>
              </w:rPr>
            </w:pPr>
            <w:r>
              <w:rPr>
                <w:rFonts w:ascii="Calibri" w:hAnsi="Calibri"/>
                <w:sz w:val="20"/>
                <w:szCs w:val="20"/>
              </w:rPr>
              <w:t>1,981,734,074</w:t>
            </w:r>
          </w:p>
        </w:tc>
        <w:tc>
          <w:tcPr>
            <w:tcW w:w="850" w:type="dxa"/>
            <w:vAlign w:val="center"/>
          </w:tcPr>
          <w:p w14:paraId="7605BBFD">
            <w:pPr>
              <w:jc w:val="right"/>
              <w:rPr>
                <w:rFonts w:ascii="Calibri" w:hAnsi="Calibri"/>
                <w:sz w:val="20"/>
                <w:szCs w:val="20"/>
              </w:rPr>
            </w:pPr>
            <w:r>
              <w:rPr>
                <w:rFonts w:ascii="Calibri" w:hAnsi="Calibri"/>
                <w:sz w:val="20"/>
                <w:szCs w:val="20"/>
              </w:rPr>
              <w:t>100.00</w:t>
            </w:r>
          </w:p>
        </w:tc>
        <w:tc>
          <w:tcPr>
            <w:tcW w:w="443" w:type="dxa"/>
            <w:vAlign w:val="center"/>
          </w:tcPr>
          <w:p w14:paraId="60E8E4A1">
            <w:pPr>
              <w:jc w:val="right"/>
              <w:rPr>
                <w:rFonts w:ascii="Calibri" w:hAnsi="Calibri"/>
                <w:sz w:val="20"/>
                <w:szCs w:val="20"/>
              </w:rPr>
            </w:pPr>
          </w:p>
        </w:tc>
        <w:tc>
          <w:tcPr>
            <w:tcW w:w="408" w:type="dxa"/>
            <w:vAlign w:val="center"/>
          </w:tcPr>
          <w:p w14:paraId="42D1FF96">
            <w:pPr>
              <w:jc w:val="right"/>
              <w:rPr>
                <w:rFonts w:ascii="Calibri" w:hAnsi="Calibri"/>
                <w:sz w:val="20"/>
                <w:szCs w:val="20"/>
              </w:rPr>
            </w:pPr>
          </w:p>
        </w:tc>
        <w:tc>
          <w:tcPr>
            <w:tcW w:w="425" w:type="dxa"/>
            <w:vAlign w:val="center"/>
          </w:tcPr>
          <w:p w14:paraId="5101E753">
            <w:pPr>
              <w:jc w:val="right"/>
              <w:rPr>
                <w:rFonts w:ascii="Calibri" w:hAnsi="Calibri"/>
                <w:sz w:val="20"/>
                <w:szCs w:val="20"/>
              </w:rPr>
            </w:pPr>
          </w:p>
        </w:tc>
        <w:tc>
          <w:tcPr>
            <w:tcW w:w="1276" w:type="dxa"/>
            <w:vAlign w:val="center"/>
          </w:tcPr>
          <w:p w14:paraId="0F61ECA6">
            <w:pPr>
              <w:jc w:val="right"/>
              <w:rPr>
                <w:rFonts w:ascii="Calibri" w:hAnsi="Calibri"/>
                <w:sz w:val="20"/>
                <w:szCs w:val="20"/>
              </w:rPr>
            </w:pPr>
            <w:r>
              <w:rPr>
                <w:rFonts w:ascii="Calibri" w:hAnsi="Calibri"/>
                <w:sz w:val="20"/>
                <w:szCs w:val="20"/>
              </w:rPr>
              <w:t>-23,191,245</w:t>
            </w:r>
          </w:p>
        </w:tc>
        <w:tc>
          <w:tcPr>
            <w:tcW w:w="1363" w:type="dxa"/>
            <w:vAlign w:val="center"/>
          </w:tcPr>
          <w:p w14:paraId="62C17C99">
            <w:pPr>
              <w:jc w:val="right"/>
              <w:rPr>
                <w:rFonts w:ascii="Calibri" w:hAnsi="Calibri"/>
                <w:sz w:val="20"/>
                <w:szCs w:val="20"/>
              </w:rPr>
            </w:pPr>
            <w:r>
              <w:rPr>
                <w:rFonts w:ascii="Calibri" w:hAnsi="Calibri"/>
                <w:sz w:val="20"/>
                <w:szCs w:val="20"/>
              </w:rPr>
              <w:t>-23,191,245</w:t>
            </w:r>
          </w:p>
        </w:tc>
        <w:tc>
          <w:tcPr>
            <w:tcW w:w="1472" w:type="dxa"/>
            <w:vAlign w:val="center"/>
          </w:tcPr>
          <w:p w14:paraId="43001714">
            <w:pPr>
              <w:jc w:val="right"/>
              <w:rPr>
                <w:rFonts w:ascii="Calibri" w:hAnsi="Calibri"/>
                <w:sz w:val="20"/>
                <w:szCs w:val="20"/>
              </w:rPr>
            </w:pPr>
            <w:r>
              <w:rPr>
                <w:rFonts w:ascii="Calibri" w:hAnsi="Calibri"/>
                <w:sz w:val="20"/>
                <w:szCs w:val="20"/>
              </w:rPr>
              <w:t>1,958,542,829</w:t>
            </w:r>
          </w:p>
        </w:tc>
        <w:tc>
          <w:tcPr>
            <w:tcW w:w="850" w:type="dxa"/>
            <w:vAlign w:val="center"/>
          </w:tcPr>
          <w:p w14:paraId="50BE8A6D">
            <w:pPr>
              <w:jc w:val="right"/>
              <w:rPr>
                <w:rFonts w:ascii="Calibri" w:hAnsi="Calibri"/>
                <w:sz w:val="20"/>
                <w:szCs w:val="20"/>
              </w:rPr>
            </w:pPr>
            <w:r>
              <w:rPr>
                <w:rFonts w:ascii="Calibri" w:hAnsi="Calibri"/>
                <w:sz w:val="20"/>
                <w:szCs w:val="20"/>
              </w:rPr>
              <w:t>100.00</w:t>
            </w:r>
          </w:p>
        </w:tc>
      </w:tr>
      <w:tr w14:paraId="4108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68AF294C">
            <w:pPr>
              <w:pStyle w:val="48"/>
              <w:rPr>
                <w:sz w:val="20"/>
                <w:szCs w:val="20"/>
              </w:rPr>
            </w:pPr>
            <w:r>
              <w:rPr>
                <w:sz w:val="20"/>
                <w:szCs w:val="20"/>
              </w:rPr>
              <w:t>2、境内上市的外资股</w:t>
            </w:r>
          </w:p>
        </w:tc>
        <w:tc>
          <w:tcPr>
            <w:tcW w:w="1559" w:type="dxa"/>
            <w:vAlign w:val="center"/>
          </w:tcPr>
          <w:p w14:paraId="6459EDBE">
            <w:pPr>
              <w:jc w:val="right"/>
              <w:rPr>
                <w:rFonts w:ascii="Calibri" w:hAnsi="Calibri"/>
                <w:sz w:val="20"/>
                <w:szCs w:val="20"/>
              </w:rPr>
            </w:pPr>
          </w:p>
        </w:tc>
        <w:tc>
          <w:tcPr>
            <w:tcW w:w="850" w:type="dxa"/>
            <w:vAlign w:val="center"/>
          </w:tcPr>
          <w:p w14:paraId="33CA9240">
            <w:pPr>
              <w:jc w:val="right"/>
              <w:rPr>
                <w:rFonts w:ascii="Calibri" w:hAnsi="Calibri"/>
                <w:sz w:val="20"/>
                <w:szCs w:val="20"/>
              </w:rPr>
            </w:pPr>
          </w:p>
        </w:tc>
        <w:tc>
          <w:tcPr>
            <w:tcW w:w="443" w:type="dxa"/>
            <w:vAlign w:val="center"/>
          </w:tcPr>
          <w:p w14:paraId="5A869E3B">
            <w:pPr>
              <w:jc w:val="right"/>
              <w:rPr>
                <w:rFonts w:ascii="Calibri" w:hAnsi="Calibri"/>
                <w:sz w:val="20"/>
                <w:szCs w:val="20"/>
              </w:rPr>
            </w:pPr>
          </w:p>
        </w:tc>
        <w:tc>
          <w:tcPr>
            <w:tcW w:w="408" w:type="dxa"/>
            <w:vAlign w:val="center"/>
          </w:tcPr>
          <w:p w14:paraId="70D28547">
            <w:pPr>
              <w:jc w:val="right"/>
              <w:rPr>
                <w:rFonts w:ascii="Calibri" w:hAnsi="Calibri"/>
                <w:sz w:val="20"/>
                <w:szCs w:val="20"/>
              </w:rPr>
            </w:pPr>
          </w:p>
        </w:tc>
        <w:tc>
          <w:tcPr>
            <w:tcW w:w="425" w:type="dxa"/>
            <w:vAlign w:val="center"/>
          </w:tcPr>
          <w:p w14:paraId="1D82B6E3">
            <w:pPr>
              <w:jc w:val="right"/>
              <w:rPr>
                <w:rFonts w:ascii="Calibri" w:hAnsi="Calibri"/>
                <w:sz w:val="20"/>
                <w:szCs w:val="20"/>
              </w:rPr>
            </w:pPr>
          </w:p>
        </w:tc>
        <w:tc>
          <w:tcPr>
            <w:tcW w:w="1276" w:type="dxa"/>
            <w:vAlign w:val="center"/>
          </w:tcPr>
          <w:p w14:paraId="6CED4A9E">
            <w:pPr>
              <w:jc w:val="right"/>
              <w:rPr>
                <w:rFonts w:ascii="Calibri" w:hAnsi="Calibri"/>
                <w:sz w:val="20"/>
                <w:szCs w:val="20"/>
              </w:rPr>
            </w:pPr>
          </w:p>
        </w:tc>
        <w:tc>
          <w:tcPr>
            <w:tcW w:w="1363" w:type="dxa"/>
            <w:vAlign w:val="center"/>
          </w:tcPr>
          <w:p w14:paraId="7225BB96">
            <w:pPr>
              <w:jc w:val="right"/>
              <w:rPr>
                <w:rFonts w:ascii="Calibri" w:hAnsi="Calibri"/>
                <w:sz w:val="20"/>
                <w:szCs w:val="20"/>
              </w:rPr>
            </w:pPr>
          </w:p>
        </w:tc>
        <w:tc>
          <w:tcPr>
            <w:tcW w:w="1472" w:type="dxa"/>
            <w:vAlign w:val="center"/>
          </w:tcPr>
          <w:p w14:paraId="6D3FBB60">
            <w:pPr>
              <w:jc w:val="right"/>
              <w:rPr>
                <w:rFonts w:ascii="Calibri" w:hAnsi="Calibri"/>
                <w:sz w:val="20"/>
                <w:szCs w:val="20"/>
              </w:rPr>
            </w:pPr>
          </w:p>
        </w:tc>
        <w:tc>
          <w:tcPr>
            <w:tcW w:w="850" w:type="dxa"/>
            <w:vAlign w:val="center"/>
          </w:tcPr>
          <w:p w14:paraId="7C2F4EE3">
            <w:pPr>
              <w:jc w:val="right"/>
              <w:rPr>
                <w:rFonts w:ascii="Calibri" w:hAnsi="Calibri"/>
                <w:sz w:val="20"/>
                <w:szCs w:val="20"/>
              </w:rPr>
            </w:pPr>
          </w:p>
        </w:tc>
      </w:tr>
      <w:tr w14:paraId="7901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0CC1738F">
            <w:pPr>
              <w:pStyle w:val="48"/>
              <w:rPr>
                <w:sz w:val="20"/>
                <w:szCs w:val="20"/>
              </w:rPr>
            </w:pPr>
            <w:r>
              <w:rPr>
                <w:sz w:val="20"/>
                <w:szCs w:val="20"/>
              </w:rPr>
              <w:t>3、境外上市的外资股</w:t>
            </w:r>
          </w:p>
        </w:tc>
        <w:tc>
          <w:tcPr>
            <w:tcW w:w="1559" w:type="dxa"/>
            <w:vAlign w:val="center"/>
          </w:tcPr>
          <w:p w14:paraId="4A542192">
            <w:pPr>
              <w:jc w:val="right"/>
              <w:rPr>
                <w:rFonts w:ascii="Calibri" w:hAnsi="Calibri"/>
                <w:sz w:val="20"/>
                <w:szCs w:val="20"/>
              </w:rPr>
            </w:pPr>
          </w:p>
        </w:tc>
        <w:tc>
          <w:tcPr>
            <w:tcW w:w="850" w:type="dxa"/>
            <w:vAlign w:val="center"/>
          </w:tcPr>
          <w:p w14:paraId="6BC85D14">
            <w:pPr>
              <w:jc w:val="right"/>
              <w:rPr>
                <w:rFonts w:ascii="Calibri" w:hAnsi="Calibri"/>
                <w:sz w:val="20"/>
                <w:szCs w:val="20"/>
              </w:rPr>
            </w:pPr>
          </w:p>
        </w:tc>
        <w:tc>
          <w:tcPr>
            <w:tcW w:w="443" w:type="dxa"/>
            <w:vAlign w:val="center"/>
          </w:tcPr>
          <w:p w14:paraId="292C21C5">
            <w:pPr>
              <w:jc w:val="right"/>
              <w:rPr>
                <w:rFonts w:ascii="Calibri" w:hAnsi="Calibri"/>
                <w:sz w:val="20"/>
                <w:szCs w:val="20"/>
              </w:rPr>
            </w:pPr>
          </w:p>
        </w:tc>
        <w:tc>
          <w:tcPr>
            <w:tcW w:w="408" w:type="dxa"/>
            <w:vAlign w:val="center"/>
          </w:tcPr>
          <w:p w14:paraId="4FC5BB18">
            <w:pPr>
              <w:jc w:val="right"/>
              <w:rPr>
                <w:rFonts w:ascii="Calibri" w:hAnsi="Calibri"/>
                <w:sz w:val="20"/>
                <w:szCs w:val="20"/>
              </w:rPr>
            </w:pPr>
          </w:p>
        </w:tc>
        <w:tc>
          <w:tcPr>
            <w:tcW w:w="425" w:type="dxa"/>
            <w:vAlign w:val="center"/>
          </w:tcPr>
          <w:p w14:paraId="49A43DB9">
            <w:pPr>
              <w:jc w:val="right"/>
              <w:rPr>
                <w:rFonts w:ascii="Calibri" w:hAnsi="Calibri"/>
                <w:sz w:val="20"/>
                <w:szCs w:val="20"/>
              </w:rPr>
            </w:pPr>
          </w:p>
        </w:tc>
        <w:tc>
          <w:tcPr>
            <w:tcW w:w="1276" w:type="dxa"/>
            <w:vAlign w:val="center"/>
          </w:tcPr>
          <w:p w14:paraId="43D85B62">
            <w:pPr>
              <w:jc w:val="right"/>
              <w:rPr>
                <w:rFonts w:ascii="Calibri" w:hAnsi="Calibri"/>
                <w:sz w:val="20"/>
                <w:szCs w:val="20"/>
              </w:rPr>
            </w:pPr>
          </w:p>
        </w:tc>
        <w:tc>
          <w:tcPr>
            <w:tcW w:w="1363" w:type="dxa"/>
            <w:vAlign w:val="center"/>
          </w:tcPr>
          <w:p w14:paraId="137E4F38">
            <w:pPr>
              <w:jc w:val="right"/>
              <w:rPr>
                <w:rFonts w:ascii="Calibri" w:hAnsi="Calibri"/>
                <w:sz w:val="20"/>
                <w:szCs w:val="20"/>
              </w:rPr>
            </w:pPr>
          </w:p>
        </w:tc>
        <w:tc>
          <w:tcPr>
            <w:tcW w:w="1472" w:type="dxa"/>
            <w:vAlign w:val="center"/>
          </w:tcPr>
          <w:p w14:paraId="5BBFA43C">
            <w:pPr>
              <w:jc w:val="right"/>
              <w:rPr>
                <w:rFonts w:ascii="Calibri" w:hAnsi="Calibri"/>
                <w:sz w:val="20"/>
                <w:szCs w:val="20"/>
              </w:rPr>
            </w:pPr>
          </w:p>
        </w:tc>
        <w:tc>
          <w:tcPr>
            <w:tcW w:w="850" w:type="dxa"/>
            <w:vAlign w:val="center"/>
          </w:tcPr>
          <w:p w14:paraId="2325C630">
            <w:pPr>
              <w:jc w:val="right"/>
              <w:rPr>
                <w:rFonts w:ascii="Calibri" w:hAnsi="Calibri" w:eastAsia="Times New Roman"/>
                <w:sz w:val="20"/>
                <w:szCs w:val="20"/>
              </w:rPr>
            </w:pPr>
          </w:p>
        </w:tc>
      </w:tr>
      <w:tr w14:paraId="7933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746CD485">
            <w:pPr>
              <w:pStyle w:val="48"/>
              <w:rPr>
                <w:sz w:val="20"/>
                <w:szCs w:val="20"/>
              </w:rPr>
            </w:pPr>
            <w:r>
              <w:rPr>
                <w:sz w:val="20"/>
                <w:szCs w:val="20"/>
              </w:rPr>
              <w:t>4、其他</w:t>
            </w:r>
          </w:p>
        </w:tc>
        <w:tc>
          <w:tcPr>
            <w:tcW w:w="1559" w:type="dxa"/>
            <w:vAlign w:val="center"/>
          </w:tcPr>
          <w:p w14:paraId="0F9FB250">
            <w:pPr>
              <w:jc w:val="right"/>
              <w:rPr>
                <w:rFonts w:ascii="Calibri" w:hAnsi="Calibri"/>
                <w:sz w:val="20"/>
                <w:szCs w:val="20"/>
              </w:rPr>
            </w:pPr>
          </w:p>
        </w:tc>
        <w:tc>
          <w:tcPr>
            <w:tcW w:w="850" w:type="dxa"/>
            <w:vAlign w:val="center"/>
          </w:tcPr>
          <w:p w14:paraId="2E333C41">
            <w:pPr>
              <w:jc w:val="right"/>
              <w:rPr>
                <w:rFonts w:ascii="Calibri" w:hAnsi="Calibri"/>
                <w:sz w:val="20"/>
                <w:szCs w:val="20"/>
              </w:rPr>
            </w:pPr>
          </w:p>
        </w:tc>
        <w:tc>
          <w:tcPr>
            <w:tcW w:w="443" w:type="dxa"/>
            <w:vAlign w:val="center"/>
          </w:tcPr>
          <w:p w14:paraId="5EBF69A9">
            <w:pPr>
              <w:jc w:val="right"/>
              <w:rPr>
                <w:rFonts w:ascii="Calibri" w:hAnsi="Calibri"/>
                <w:sz w:val="20"/>
                <w:szCs w:val="20"/>
              </w:rPr>
            </w:pPr>
          </w:p>
        </w:tc>
        <w:tc>
          <w:tcPr>
            <w:tcW w:w="408" w:type="dxa"/>
            <w:vAlign w:val="center"/>
          </w:tcPr>
          <w:p w14:paraId="266F4E0D">
            <w:pPr>
              <w:jc w:val="right"/>
              <w:rPr>
                <w:rFonts w:ascii="Calibri" w:hAnsi="Calibri"/>
                <w:sz w:val="20"/>
                <w:szCs w:val="20"/>
              </w:rPr>
            </w:pPr>
          </w:p>
        </w:tc>
        <w:tc>
          <w:tcPr>
            <w:tcW w:w="425" w:type="dxa"/>
            <w:vAlign w:val="center"/>
          </w:tcPr>
          <w:p w14:paraId="783A1520">
            <w:pPr>
              <w:jc w:val="right"/>
              <w:rPr>
                <w:rFonts w:ascii="Calibri" w:hAnsi="Calibri"/>
                <w:sz w:val="20"/>
                <w:szCs w:val="20"/>
              </w:rPr>
            </w:pPr>
          </w:p>
        </w:tc>
        <w:tc>
          <w:tcPr>
            <w:tcW w:w="1276" w:type="dxa"/>
            <w:vAlign w:val="center"/>
          </w:tcPr>
          <w:p w14:paraId="374479A2">
            <w:pPr>
              <w:jc w:val="right"/>
              <w:rPr>
                <w:rFonts w:ascii="Calibri" w:hAnsi="Calibri"/>
                <w:sz w:val="20"/>
                <w:szCs w:val="20"/>
              </w:rPr>
            </w:pPr>
          </w:p>
        </w:tc>
        <w:tc>
          <w:tcPr>
            <w:tcW w:w="1363" w:type="dxa"/>
            <w:vAlign w:val="center"/>
          </w:tcPr>
          <w:p w14:paraId="3E52453F">
            <w:pPr>
              <w:jc w:val="right"/>
              <w:rPr>
                <w:rFonts w:ascii="Calibri" w:hAnsi="Calibri"/>
                <w:sz w:val="20"/>
                <w:szCs w:val="20"/>
              </w:rPr>
            </w:pPr>
          </w:p>
        </w:tc>
        <w:tc>
          <w:tcPr>
            <w:tcW w:w="1472" w:type="dxa"/>
            <w:vAlign w:val="center"/>
          </w:tcPr>
          <w:p w14:paraId="271B04E5">
            <w:pPr>
              <w:jc w:val="right"/>
              <w:rPr>
                <w:rFonts w:ascii="Calibri" w:hAnsi="Calibri"/>
                <w:sz w:val="20"/>
                <w:szCs w:val="20"/>
              </w:rPr>
            </w:pPr>
          </w:p>
        </w:tc>
        <w:tc>
          <w:tcPr>
            <w:tcW w:w="850" w:type="dxa"/>
            <w:vAlign w:val="center"/>
          </w:tcPr>
          <w:p w14:paraId="73905D43">
            <w:pPr>
              <w:jc w:val="right"/>
              <w:rPr>
                <w:rFonts w:ascii="Calibri" w:hAnsi="Calibri" w:eastAsia="Times New Roman"/>
                <w:sz w:val="20"/>
                <w:szCs w:val="20"/>
              </w:rPr>
            </w:pPr>
          </w:p>
        </w:tc>
      </w:tr>
      <w:tr w14:paraId="59B5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vAlign w:val="center"/>
          </w:tcPr>
          <w:p w14:paraId="08393F87">
            <w:pPr>
              <w:pStyle w:val="48"/>
              <w:rPr>
                <w:sz w:val="20"/>
                <w:szCs w:val="20"/>
              </w:rPr>
            </w:pPr>
            <w:r>
              <w:rPr>
                <w:sz w:val="20"/>
                <w:szCs w:val="20"/>
              </w:rPr>
              <w:t>三、股份</w:t>
            </w:r>
            <w:r>
              <w:rPr>
                <w:rFonts w:hint="eastAsia"/>
                <w:sz w:val="20"/>
                <w:szCs w:val="20"/>
              </w:rPr>
              <w:t>总数</w:t>
            </w:r>
          </w:p>
        </w:tc>
        <w:tc>
          <w:tcPr>
            <w:tcW w:w="1559" w:type="dxa"/>
            <w:vAlign w:val="center"/>
          </w:tcPr>
          <w:p w14:paraId="1E3A4EA5">
            <w:pPr>
              <w:jc w:val="right"/>
              <w:rPr>
                <w:rFonts w:ascii="Calibri" w:hAnsi="Calibri"/>
                <w:sz w:val="20"/>
                <w:szCs w:val="20"/>
              </w:rPr>
            </w:pPr>
            <w:r>
              <w:rPr>
                <w:rFonts w:ascii="Calibri" w:hAnsi="Calibri"/>
                <w:sz w:val="20"/>
                <w:szCs w:val="20"/>
              </w:rPr>
              <w:t>1,981,734,074</w:t>
            </w:r>
          </w:p>
        </w:tc>
        <w:tc>
          <w:tcPr>
            <w:tcW w:w="850" w:type="dxa"/>
            <w:vAlign w:val="center"/>
          </w:tcPr>
          <w:p w14:paraId="699FE28B">
            <w:pPr>
              <w:jc w:val="right"/>
              <w:rPr>
                <w:rFonts w:ascii="Calibri" w:hAnsi="Calibri"/>
                <w:sz w:val="20"/>
                <w:szCs w:val="20"/>
              </w:rPr>
            </w:pPr>
            <w:r>
              <w:rPr>
                <w:rFonts w:ascii="Calibri" w:hAnsi="Calibri"/>
                <w:sz w:val="20"/>
                <w:szCs w:val="20"/>
              </w:rPr>
              <w:t>100.00</w:t>
            </w:r>
          </w:p>
        </w:tc>
        <w:tc>
          <w:tcPr>
            <w:tcW w:w="443" w:type="dxa"/>
            <w:vAlign w:val="center"/>
          </w:tcPr>
          <w:p w14:paraId="5F1913FA">
            <w:pPr>
              <w:jc w:val="right"/>
              <w:rPr>
                <w:rFonts w:ascii="Calibri" w:hAnsi="Calibri"/>
                <w:sz w:val="20"/>
                <w:szCs w:val="20"/>
              </w:rPr>
            </w:pPr>
          </w:p>
        </w:tc>
        <w:tc>
          <w:tcPr>
            <w:tcW w:w="408" w:type="dxa"/>
            <w:vAlign w:val="center"/>
          </w:tcPr>
          <w:p w14:paraId="1A0FFF0B">
            <w:pPr>
              <w:jc w:val="right"/>
              <w:rPr>
                <w:rFonts w:ascii="Calibri" w:hAnsi="Calibri"/>
                <w:sz w:val="20"/>
                <w:szCs w:val="20"/>
              </w:rPr>
            </w:pPr>
          </w:p>
        </w:tc>
        <w:tc>
          <w:tcPr>
            <w:tcW w:w="425" w:type="dxa"/>
            <w:vAlign w:val="center"/>
          </w:tcPr>
          <w:p w14:paraId="54ECE0DC">
            <w:pPr>
              <w:jc w:val="right"/>
              <w:rPr>
                <w:rFonts w:ascii="Calibri" w:hAnsi="Calibri"/>
                <w:sz w:val="20"/>
                <w:szCs w:val="20"/>
              </w:rPr>
            </w:pPr>
          </w:p>
        </w:tc>
        <w:tc>
          <w:tcPr>
            <w:tcW w:w="1276" w:type="dxa"/>
            <w:vAlign w:val="center"/>
          </w:tcPr>
          <w:p w14:paraId="5DFC0EBA">
            <w:pPr>
              <w:jc w:val="right"/>
              <w:rPr>
                <w:rFonts w:ascii="Calibri" w:hAnsi="Calibri"/>
                <w:sz w:val="20"/>
                <w:szCs w:val="20"/>
              </w:rPr>
            </w:pPr>
            <w:r>
              <w:rPr>
                <w:rFonts w:ascii="Calibri" w:hAnsi="Calibri"/>
                <w:sz w:val="20"/>
                <w:szCs w:val="20"/>
              </w:rPr>
              <w:t>-23,191,245</w:t>
            </w:r>
          </w:p>
        </w:tc>
        <w:tc>
          <w:tcPr>
            <w:tcW w:w="1363" w:type="dxa"/>
            <w:vAlign w:val="center"/>
          </w:tcPr>
          <w:p w14:paraId="344F5522">
            <w:pPr>
              <w:jc w:val="right"/>
              <w:rPr>
                <w:rFonts w:ascii="Calibri" w:hAnsi="Calibri"/>
                <w:sz w:val="20"/>
                <w:szCs w:val="20"/>
              </w:rPr>
            </w:pPr>
            <w:r>
              <w:rPr>
                <w:rFonts w:ascii="Calibri" w:hAnsi="Calibri"/>
                <w:sz w:val="20"/>
                <w:szCs w:val="20"/>
              </w:rPr>
              <w:t>-23,191,245</w:t>
            </w:r>
          </w:p>
        </w:tc>
        <w:tc>
          <w:tcPr>
            <w:tcW w:w="1472" w:type="dxa"/>
            <w:vAlign w:val="center"/>
          </w:tcPr>
          <w:p w14:paraId="3419B768">
            <w:pPr>
              <w:jc w:val="right"/>
              <w:rPr>
                <w:rFonts w:ascii="Calibri" w:hAnsi="Calibri"/>
                <w:sz w:val="20"/>
                <w:szCs w:val="20"/>
              </w:rPr>
            </w:pPr>
            <w:r>
              <w:rPr>
                <w:rFonts w:ascii="Calibri" w:hAnsi="Calibri"/>
                <w:sz w:val="20"/>
                <w:szCs w:val="20"/>
              </w:rPr>
              <w:t>1,958,542,829</w:t>
            </w:r>
          </w:p>
        </w:tc>
        <w:tc>
          <w:tcPr>
            <w:tcW w:w="850" w:type="dxa"/>
            <w:vAlign w:val="center"/>
          </w:tcPr>
          <w:p w14:paraId="6A83827D">
            <w:pPr>
              <w:jc w:val="right"/>
              <w:rPr>
                <w:rFonts w:ascii="宋体" w:hAnsi="宋体" w:cs="宋体"/>
                <w:sz w:val="24"/>
                <w:szCs w:val="24"/>
              </w:rPr>
            </w:pPr>
            <w:r>
              <w:rPr>
                <w:rFonts w:ascii="Calibri" w:hAnsi="Calibri"/>
                <w:sz w:val="20"/>
                <w:szCs w:val="20"/>
              </w:rPr>
              <w:t>100.00</w:t>
            </w:r>
          </w:p>
        </w:tc>
      </w:tr>
    </w:tbl>
    <w:p w14:paraId="68D4C761">
      <w:pPr>
        <w:pStyle w:val="48"/>
      </w:pPr>
    </w:p>
    <w:p w14:paraId="71DA850C">
      <w:pPr>
        <w:pStyle w:val="48"/>
      </w:pPr>
    </w:p>
    <w:p w14:paraId="17986E0D">
      <w:pPr>
        <w:pStyle w:val="5"/>
        <w:numPr>
          <w:ilvl w:val="2"/>
          <w:numId w:val="44"/>
        </w:numPr>
      </w:pPr>
      <w:r>
        <w:rPr>
          <w:rFonts w:hint="eastAsia"/>
        </w:rPr>
        <w:t>股份变动情况说明</w:t>
      </w:r>
    </w:p>
    <w:sdt>
      <w:sdtPr>
        <w:rPr>
          <w:rFonts w:hint="eastAsia"/>
        </w:rPr>
        <w:alias w:val="是否适用：普通股股份变动情况说明[双击切换]"/>
        <w:tag w:val="_GBC_b52413c1d37b456ba72aa8b8840cb9d8"/>
        <w:id w:val="1872721550"/>
        <w:placeholder>
          <w:docPart w:val="GBC22222222222222222222222222222"/>
        </w:placeholder>
      </w:sdtPr>
      <w:sdtEndPr>
        <w:rPr>
          <w:rFonts w:hint="eastAsia"/>
        </w:rPr>
      </w:sdtEndPr>
      <w:sdtContent>
        <w:p w14:paraId="2C79ACDD">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股份变动情况说明"/>
        <w:tag w:val="_GBC_0049817ff5b44e28a8751c37cab3f894"/>
        <w:id w:val="-1867435622"/>
        <w:placeholder>
          <w:docPart w:val="GBC22222222222222222222222222222"/>
        </w:placeholder>
      </w:sdtPr>
      <w:sdtEndPr>
        <w:rPr>
          <w:rFonts w:hint="eastAsia"/>
        </w:rPr>
      </w:sdtEndPr>
      <w:sdtContent>
        <w:p w14:paraId="41AFFE3B">
          <w:pPr>
            <w:spacing w:line="360" w:lineRule="auto"/>
            <w:ind w:firstLine="420" w:firstLineChars="200"/>
            <w:jc w:val="both"/>
          </w:pPr>
          <w:r>
            <w:t>公司分别于 2024年7月10日、2024年7月29日召开了第十一届董事会第九次会议与2024 年第三次临时股东大会，审议通过了《关于 2024 年第二期以集中竞价交易方式回购公司股份方案的议案》，此次回购股份用于注销减少公司的注册资本。2024年12月31日</w:t>
          </w:r>
          <w:r>
            <w:rPr>
              <w:rFonts w:hint="eastAsia"/>
            </w:rPr>
            <w:t>，</w:t>
          </w:r>
          <w:r>
            <w:t>公司完成2024年第二期股份回购，股份回购计划实施完毕。</w:t>
          </w:r>
          <w:r>
            <w:rPr>
              <w:rFonts w:hint="eastAsia"/>
            </w:rPr>
            <w:t>公司实际</w:t>
          </w:r>
          <w:r>
            <w:t>回购股份23,191,245股，使用资金总额为人民币180,041,028.40 元(不含交易费用)。公司于2025年1月3日在中国证券登记结算有限责任公司上海分公司注销本次</w:t>
          </w:r>
          <w:r>
            <w:rPr>
              <w:rFonts w:hint="eastAsia"/>
            </w:rPr>
            <w:t>所回购的股份，相关工商变更手续办理完成。上述股份注销完成后，公司总股本由</w:t>
          </w:r>
          <w:r>
            <w:t>1,981,734,074股变更为1,958,542,829股</w:t>
          </w:r>
          <w:r>
            <w:rPr>
              <w:rFonts w:hint="eastAsia"/>
            </w:rPr>
            <w:t>。以上股份注销事宜，具体内容详见2025年1月3日在中国证券报、上海证券报及上海证券交易所网站（www.sse.com.cn）披露的《通化东宝关于2024年第二期集中竞价交易方式股份回购实施结果暨股份变动的公告》（公告编号：2025-002）</w:t>
          </w:r>
          <w:r>
            <w:t>。</w:t>
          </w:r>
        </w:p>
      </w:sdtContent>
    </w:sdt>
    <w:p w14:paraId="43480BA6">
      <w:pPr>
        <w:pStyle w:val="5"/>
        <w:numPr>
          <w:ilvl w:val="2"/>
          <w:numId w:val="44"/>
        </w:numPr>
      </w:pPr>
      <w:r>
        <w:rPr>
          <w:rFonts w:hint="eastAsia"/>
        </w:rPr>
        <w:t>股份变动对最近一年和最近一期每股收益、每股净资产等财务指标的影响（如有）</w:t>
      </w:r>
    </w:p>
    <w:sdt>
      <w:sdtPr>
        <w:rPr>
          <w:rFonts w:hint="eastAsia"/>
        </w:rPr>
        <w:alias w:val="是否适用：普通股股份变动对最近一年和最近一期每股收益、每股净资产等财务指标的影响[双击切换]"/>
        <w:tag w:val="_GBC_f6d6c5b3580241f5b23493659505a79e"/>
        <w:id w:val="883290227"/>
        <w:placeholder>
          <w:docPart w:val="GBC22222222222222222222222222222"/>
        </w:placeholder>
      </w:sdtPr>
      <w:sdtEndPr>
        <w:rPr>
          <w:rFonts w:hint="eastAsia"/>
        </w:rPr>
      </w:sdtEndPr>
      <w:sdtContent>
        <w:p w14:paraId="5D494117">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股份变动对最近一年和最近一期财务指标的影响"/>
        <w:tag w:val="_GBC_18dc915b15db45f9ad252a23be29055d"/>
        <w:id w:val="-523625076"/>
        <w:placeholder>
          <w:docPart w:val="GBC22222222222222222222222222222"/>
        </w:placeholder>
      </w:sdtPr>
      <w:sdtEndPr>
        <w:rPr>
          <w:rFonts w:hint="eastAsia"/>
        </w:rPr>
      </w:sdtEndPr>
      <w:sdtContent>
        <w:p w14:paraId="20A87B90">
          <w:pPr>
            <w:spacing w:line="360" w:lineRule="auto"/>
            <w:ind w:firstLine="420" w:firstLineChars="200"/>
            <w:jc w:val="both"/>
          </w:pPr>
          <w:sdt>
            <w:sdtPr>
              <w:rPr>
                <w:rFonts w:hint="eastAsia"/>
              </w:rPr>
              <w:alias w:val="股份变动对最近一年和最近一期财务指标的影响"/>
              <w:tag w:val="_GBC_18dc915b15db45f9ad252a23be29055d"/>
              <w:id w:val="-400747244"/>
            </w:sdtPr>
            <w:sdtEndPr>
              <w:rPr>
                <w:rFonts w:hint="eastAsia"/>
              </w:rPr>
            </w:sdtEndPr>
            <w:sdtContent>
              <w:r>
                <w:rPr>
                  <w:rFonts w:hint="eastAsia"/>
                </w:rPr>
                <w:t>股份变动对最近一年和最近一期每股收益、每股净资产等财务指标不构成重大影响</w:t>
              </w:r>
            </w:sdtContent>
          </w:sdt>
          <w:r>
            <w:rPr>
              <w:rFonts w:hint="eastAsia"/>
            </w:rPr>
            <w:t>。</w:t>
          </w:r>
        </w:p>
      </w:sdtContent>
    </w:sdt>
    <w:p w14:paraId="1B078F86">
      <w:pPr>
        <w:pStyle w:val="5"/>
        <w:numPr>
          <w:ilvl w:val="2"/>
          <w:numId w:val="44"/>
        </w:numPr>
      </w:pPr>
      <w:r>
        <w:rPr>
          <w:rFonts w:hint="eastAsia"/>
        </w:rPr>
        <w:t>公司认为必要或证券监管机构要求披露的其他内容</w:t>
      </w:r>
    </w:p>
    <w:sdt>
      <w:sdtPr>
        <w:rPr>
          <w:rFonts w:hint="eastAsia"/>
        </w:rPr>
        <w:alias w:val="是否适用：公司认为必要或证券监管机构要求披露的其他内容[双击切换]"/>
        <w:tag w:val="_GBC_b944a9eaa1de4bf49df496a2cfe2824e"/>
        <w:id w:val="-983242984"/>
        <w:placeholder>
          <w:docPart w:val="GBC22222222222222222222222222222"/>
        </w:placeholder>
      </w:sdtPr>
      <w:sdtEndPr>
        <w:rPr>
          <w:rFonts w:hint="eastAsia"/>
        </w:rPr>
      </w:sdtEndPr>
      <w:sdtContent>
        <w:p w14:paraId="1EC44A0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5894674">
      <w:pPr>
        <w:pStyle w:val="4"/>
        <w:numPr>
          <w:ilvl w:val="1"/>
          <w:numId w:val="43"/>
        </w:numPr>
        <w:rPr>
          <w:szCs w:val="21"/>
        </w:rPr>
      </w:pPr>
      <w:r>
        <w:rPr>
          <w:rFonts w:hint="eastAsia"/>
          <w:szCs w:val="21"/>
        </w:rPr>
        <w:t>限售股份变动情况</w:t>
      </w:r>
    </w:p>
    <w:sdt>
      <w:sdtPr>
        <w:alias w:val="是否适用：限售股份变动情况表[双击切换]"/>
        <w:tag w:val="_GBC_c7cc39830d364bf68db1ac8777908a9e"/>
        <w:id w:val="-303002858"/>
        <w:placeholder>
          <w:docPart w:val="GBC22222222222222222222222222222"/>
        </w:placeholder>
      </w:sdtPr>
      <w:sdtContent>
        <w:p w14:paraId="1C2E54B5">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DD53F0A">
      <w:pPr>
        <w:rPr>
          <w:rFonts w:asciiTheme="minorEastAsia" w:hAnsiTheme="minorEastAsia" w:eastAsiaTheme="minorEastAsia"/>
        </w:rPr>
      </w:pPr>
    </w:p>
    <w:p w14:paraId="76737AB4">
      <w:pPr>
        <w:pStyle w:val="3"/>
        <w:numPr>
          <w:ilvl w:val="0"/>
          <w:numId w:val="42"/>
        </w:numPr>
      </w:pPr>
      <w:r>
        <w:t>证券发行与上市情况</w:t>
      </w:r>
    </w:p>
    <w:p w14:paraId="1A4319A2">
      <w:pPr>
        <w:pStyle w:val="4"/>
        <w:numPr>
          <w:ilvl w:val="0"/>
          <w:numId w:val="45"/>
        </w:numPr>
      </w:pPr>
      <w:bookmarkStart w:id="171" w:name="_Hlk89954403"/>
      <w:r>
        <w:t>截至</w:t>
      </w:r>
      <w:r>
        <w:rPr>
          <w:rFonts w:hint="eastAsia"/>
        </w:rPr>
        <w:t>报告期内</w:t>
      </w:r>
      <w:r>
        <w:t>证券发行情况</w:t>
      </w:r>
    </w:p>
    <w:sdt>
      <w:sdtPr>
        <w:alias w:val="是否适用：截至报告期内证券发行情况[双击切换]"/>
        <w:tag w:val="_GBC_a9b53137ff4442baa307fbc68ebc8cbc"/>
        <w:id w:val="920299687"/>
        <w:placeholder>
          <w:docPart w:val="GBC22222222222222222222222222222"/>
        </w:placeholder>
      </w:sdtPr>
      <w:sdtContent>
        <w:p w14:paraId="0E96E3EE">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C686B23">
      <w:pPr>
        <w:pStyle w:val="48"/>
      </w:pPr>
    </w:p>
    <w:p w14:paraId="78AF5C91">
      <w:pPr>
        <w:pStyle w:val="48"/>
      </w:pPr>
      <w:r>
        <w:t>截至</w:t>
      </w:r>
      <w:r>
        <w:rPr>
          <w:rFonts w:hint="eastAsia"/>
        </w:rPr>
        <w:t>报告期内</w:t>
      </w:r>
      <w:r>
        <w:t>证券发行情况的说明（存续期内利率不同的债券，请分别说明）：</w:t>
      </w:r>
    </w:p>
    <w:sdt>
      <w:sdtPr>
        <w:rPr>
          <w:rFonts w:hint="eastAsia"/>
        </w:rPr>
        <w:alias w:val="是否适用：截至报告期内证券发行情况的说明[双击切换]"/>
        <w:tag w:val="_GBC_41eee01683bd43189dc24a776753e295"/>
        <w:id w:val="1615555410"/>
        <w:placeholder>
          <w:docPart w:val="GBC22222222222222222222222222222"/>
        </w:placeholder>
      </w:sdtPr>
      <w:sdtEndPr>
        <w:rPr>
          <w:rFonts w:hint="eastAsia"/>
        </w:rPr>
      </w:sdtEndPr>
      <w:sdtContent>
        <w:p w14:paraId="7057333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171"/>
    <w:p w14:paraId="7EF4EA6F">
      <w:pPr>
        <w:pStyle w:val="48"/>
      </w:pPr>
    </w:p>
    <w:p w14:paraId="3DA54BD0">
      <w:pPr>
        <w:pStyle w:val="4"/>
        <w:numPr>
          <w:ilvl w:val="0"/>
          <w:numId w:val="45"/>
        </w:numPr>
      </w:pPr>
      <w:r>
        <w:rPr>
          <w:rFonts w:hint="eastAsia"/>
          <w:szCs w:val="21"/>
        </w:rPr>
        <w:t>公司股份总数及股东结构变动及公司资产和负债结构的变动情况</w:t>
      </w:r>
    </w:p>
    <w:sdt>
      <w:sdtPr>
        <w:rPr>
          <w:rFonts w:hint="eastAsia"/>
        </w:rPr>
        <w:alias w:val="是否适用：公司普通股股份总数及股东结构变动及公司资产和负债结构的变动情况[双击切换]"/>
        <w:tag w:val="_GBC_fb36c697d5b04775a7cf181dc8c2e9c2"/>
        <w:id w:val="2096662177"/>
        <w:placeholder>
          <w:docPart w:val="GBC22222222222222222222222222222"/>
        </w:placeholder>
      </w:sdtPr>
      <w:sdtEndPr>
        <w:rPr>
          <w:rFonts w:hint="eastAsia"/>
        </w:rPr>
      </w:sdtEndPr>
      <w:sdtContent>
        <w:p w14:paraId="45DAF938">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Calibri" w:hAnsi="Calibri"/>
          <w:kern w:val="0"/>
        </w:rPr>
        <w:alias w:val="公司股份总数及结构的变动的说明"/>
        <w:tag w:val="_GBC_f052eac1038944c191b4dbc4a4fa7ea9"/>
        <w:id w:val="-1379234231"/>
        <w:placeholder>
          <w:docPart w:val="GBC22222222222222222222222222222"/>
        </w:placeholder>
      </w:sdtPr>
      <w:sdtEndPr>
        <w:rPr>
          <w:rFonts w:hint="eastAsia" w:ascii="Calibri" w:hAnsi="Calibri"/>
          <w:kern w:val="0"/>
        </w:rPr>
      </w:sdtEndPr>
      <w:sdtContent>
        <w:sdt>
          <w:sdtPr>
            <w:rPr>
              <w:rFonts w:hint="eastAsia"/>
            </w:rPr>
            <w:alias w:val="公司股份总数及结构的变动的说明"/>
            <w:tag w:val="_GBC_f052eac1038944c191b4dbc4a4fa7ea9"/>
            <w:id w:val="960235383"/>
          </w:sdtPr>
          <w:sdtEndPr>
            <w:rPr>
              <w:rFonts w:hint="eastAsia"/>
            </w:rPr>
          </w:sdtEndPr>
          <w:sdtContent>
            <w:p w14:paraId="3B80AC89">
              <w:pPr>
                <w:pStyle w:val="44"/>
                <w:spacing w:line="360" w:lineRule="auto"/>
                <w:ind w:firstLine="420" w:firstLineChars="200"/>
              </w:pPr>
              <w:r>
                <w:rPr>
                  <w:rFonts w:hint="eastAsia" w:ascii="宋体" w:hAnsi="宋体"/>
                </w:rPr>
                <w:t>公司股份总数及股东结构变动情况详见本节“一、股本变动情况”；公司资产和负债结构的变动情况详见“第三节 管理层讨论与分析”中“五、报告期内主要经营情况”中“（三）资产、负债情况分析”。</w:t>
              </w:r>
            </w:p>
          </w:sdtContent>
        </w:sdt>
        <w:p w14:paraId="18242707">
          <w:pPr>
            <w:pStyle w:val="48"/>
          </w:pPr>
        </w:p>
      </w:sdtContent>
    </w:sdt>
    <w:p w14:paraId="7B68F1BA">
      <w:pPr>
        <w:pStyle w:val="48"/>
      </w:pPr>
    </w:p>
    <w:p w14:paraId="1F1BEBC0">
      <w:pPr>
        <w:pStyle w:val="4"/>
        <w:numPr>
          <w:ilvl w:val="0"/>
          <w:numId w:val="45"/>
        </w:numPr>
      </w:pPr>
      <w:r>
        <w:rPr>
          <w:rFonts w:hint="eastAsia"/>
          <w:szCs w:val="21"/>
        </w:rPr>
        <w:t>现存的内部职工股情况</w:t>
      </w:r>
    </w:p>
    <w:sdt>
      <w:sdtPr>
        <w:alias w:val="是否适用：现存的内部职工股情况[双击切换]"/>
        <w:tag w:val="_GBC_fa5e90226e14408b891f1c5a9dbbf2c5"/>
        <w:id w:val="-150207926"/>
        <w:placeholder>
          <w:docPart w:val="GBC22222222222222222222222222222"/>
        </w:placeholder>
      </w:sdtPr>
      <w:sdtContent>
        <w:p w14:paraId="35B3A7E2">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B08FBE6">
      <w:pPr>
        <w:pStyle w:val="48"/>
      </w:pPr>
    </w:p>
    <w:p w14:paraId="1F579070">
      <w:pPr>
        <w:pStyle w:val="3"/>
        <w:numPr>
          <w:ilvl w:val="0"/>
          <w:numId w:val="42"/>
        </w:numPr>
      </w:pPr>
      <w:r>
        <w:t>股东</w:t>
      </w:r>
      <w:r>
        <w:rPr>
          <w:rFonts w:hint="eastAsia"/>
        </w:rPr>
        <w:t>和实际控制人</w:t>
      </w:r>
      <w:r>
        <w:t>情况</w:t>
      </w:r>
    </w:p>
    <w:p w14:paraId="05D8ED56">
      <w:pPr>
        <w:pStyle w:val="4"/>
        <w:numPr>
          <w:ilvl w:val="1"/>
          <w:numId w:val="46"/>
        </w:numPr>
        <w:tabs>
          <w:tab w:val="left" w:pos="851"/>
        </w:tabs>
        <w:ind w:left="426" w:hanging="426"/>
        <w:rPr>
          <w:szCs w:val="21"/>
        </w:rPr>
      </w:pPr>
      <w:r>
        <w:rPr>
          <w:rFonts w:hint="eastAsia"/>
          <w:szCs w:val="21"/>
        </w:rPr>
        <w:t>股东总数</w:t>
      </w:r>
    </w:p>
    <w:tbl>
      <w:tblPr>
        <w:tblStyle w:val="20"/>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7"/>
        <w:gridCol w:w="4091"/>
      </w:tblGrid>
      <w:tr w14:paraId="35FB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4738880649c43ac9597effd663adc10"/>
            <w:id w:val="385618752"/>
          </w:sdtPr>
          <w:sdtContent>
            <w:tc>
              <w:tcPr>
                <w:tcW w:w="4957" w:type="dxa"/>
                <w:vAlign w:val="center"/>
              </w:tcPr>
              <w:p w14:paraId="6334ED06">
                <w:pPr>
                  <w:pStyle w:val="48"/>
                </w:pPr>
                <w:r>
                  <w:t>截</w:t>
                </w:r>
                <w:r>
                  <w:rPr>
                    <w:rFonts w:hint="eastAsia"/>
                  </w:rPr>
                  <w:t>至</w:t>
                </w:r>
                <w:r>
                  <w:t>报告期末</w:t>
                </w:r>
                <w:r>
                  <w:rPr>
                    <w:rFonts w:hint="eastAsia"/>
                  </w:rPr>
                  <w:t>普通股</w:t>
                </w:r>
                <w:r>
                  <w:t>股东总数(户)</w:t>
                </w:r>
              </w:p>
            </w:tc>
          </w:sdtContent>
        </w:sdt>
        <w:sdt>
          <w:sdtPr>
            <w:alias w:val="报告期末股东总数"/>
            <w:tag w:val="_GBC_510087fb1e024fb293d32127713e45f8"/>
            <w:id w:val="-1071573937"/>
          </w:sdtPr>
          <w:sdtContent>
            <w:tc>
              <w:tcPr>
                <w:tcW w:w="4091" w:type="dxa"/>
                <w:vAlign w:val="center"/>
              </w:tcPr>
              <w:p w14:paraId="55A810F3">
                <w:pPr>
                  <w:widowControl w:val="0"/>
                  <w:jc w:val="right"/>
                </w:pPr>
                <w:r>
                  <w:t>85,759</w:t>
                </w:r>
              </w:p>
            </w:tc>
          </w:sdtContent>
        </w:sdt>
      </w:tr>
      <w:tr w14:paraId="74EB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vAlign w:val="center"/>
          </w:tcPr>
          <w:p w14:paraId="4C24B11D">
            <w:pPr>
              <w:pStyle w:val="48"/>
            </w:pPr>
            <w:r>
              <w:rPr>
                <w:rFonts w:hint="eastAsia"/>
              </w:rPr>
              <w:t>年度报告披露日前上一月末的普通股股东总数</w:t>
            </w:r>
            <w:r>
              <w:t>(户)</w:t>
            </w:r>
          </w:p>
        </w:tc>
        <w:tc>
          <w:tcPr>
            <w:tcW w:w="4091" w:type="dxa"/>
            <w:vAlign w:val="center"/>
          </w:tcPr>
          <w:p w14:paraId="539C02B7">
            <w:pPr>
              <w:widowControl w:val="0"/>
              <w:jc w:val="right"/>
            </w:pPr>
            <w:r>
              <w:t>103,178</w:t>
            </w:r>
          </w:p>
        </w:tc>
      </w:tr>
    </w:tbl>
    <w:p w14:paraId="6AEBCE6D">
      <w:pPr>
        <w:pStyle w:val="48"/>
      </w:pPr>
    </w:p>
    <w:p w14:paraId="0C1DA962">
      <w:pPr>
        <w:pStyle w:val="4"/>
        <w:numPr>
          <w:ilvl w:val="1"/>
          <w:numId w:val="46"/>
        </w:numPr>
        <w:tabs>
          <w:tab w:val="left" w:pos="851"/>
        </w:tabs>
        <w:ind w:left="426" w:hanging="426"/>
        <w:rPr>
          <w:szCs w:val="21"/>
        </w:rPr>
      </w:pPr>
      <w:bookmarkStart w:id="172" w:name="_Toc342565998"/>
      <w:bookmarkStart w:id="173" w:name="_Toc342059485"/>
      <w:r>
        <w:rPr>
          <w:rFonts w:hint="eastAsia"/>
          <w:szCs w:val="21"/>
        </w:rPr>
        <w:t>截至报告期末前十名股东、前十名流通股东（或无限售条件股东）持股情况表</w:t>
      </w:r>
    </w:p>
    <w:bookmarkEnd w:id="172"/>
    <w:bookmarkEnd w:id="173"/>
    <w:p w14:paraId="58F3A3C2">
      <w:pPr>
        <w:jc w:val="right"/>
      </w:pPr>
      <w:bookmarkStart w:id="174" w:name="_Hlk27487213"/>
      <w:r>
        <w:rPr>
          <w:bCs/>
        </w:rPr>
        <w:t>单位：</w:t>
      </w:r>
      <w:sdt>
        <w:sdtPr>
          <w:rPr>
            <w:bCs/>
          </w:rPr>
          <w:alias w:val="单位：前十名股东持股情况"/>
          <w:tag w:val="_GBC_b59e95c09d914c83b42ae5b68d0d6987"/>
          <w:id w:val="1667980331"/>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bCs/>
          </w:rPr>
        </w:sdtEndPr>
        <w:sdtContent>
          <w:r>
            <w:rPr>
              <w:bCs/>
            </w:rPr>
            <w:t>股</w:t>
          </w:r>
        </w:sdtContent>
      </w:sdt>
    </w:p>
    <w:tbl>
      <w:tblPr>
        <w:tblStyle w:val="57"/>
        <w:tblW w:w="10114" w:type="dxa"/>
        <w:tblInd w:w="-12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7"/>
        <w:gridCol w:w="1614"/>
        <w:gridCol w:w="1418"/>
        <w:gridCol w:w="709"/>
        <w:gridCol w:w="909"/>
        <w:gridCol w:w="792"/>
        <w:gridCol w:w="874"/>
        <w:gridCol w:w="413"/>
        <w:gridCol w:w="888"/>
      </w:tblGrid>
      <w:tr w14:paraId="3AE7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12180439b5ff4b00a01ff1f87b70f1de"/>
            <w:id w:val="1079716317"/>
          </w:sdtPr>
          <w:sdtContent>
            <w:tc>
              <w:tcPr>
                <w:tcW w:w="10114" w:type="dxa"/>
                <w:gridSpan w:val="9"/>
                <w:vAlign w:val="center"/>
              </w:tcPr>
              <w:p w14:paraId="14471A64">
                <w:pPr>
                  <w:pStyle w:val="11"/>
                  <w:jc w:val="center"/>
                  <w:rPr>
                    <w:rFonts w:ascii="宋体" w:hAnsi="宋体"/>
                    <w:sz w:val="20"/>
                    <w:szCs w:val="20"/>
                  </w:rPr>
                </w:pPr>
                <w:bookmarkStart w:id="175" w:name="_Hlk155094173"/>
                <w:r>
                  <w:rPr>
                    <w:rFonts w:ascii="宋体" w:hAnsi="宋体"/>
                    <w:sz w:val="20"/>
                    <w:szCs w:val="20"/>
                  </w:rPr>
                  <w:t>前十名股东持股情况</w:t>
                </w:r>
                <w:r>
                  <w:rPr>
                    <w:rFonts w:hint="eastAsia" w:ascii="宋体" w:hAnsi="宋体"/>
                    <w:sz w:val="20"/>
                    <w:szCs w:val="20"/>
                  </w:rPr>
                  <w:t>（不含通过转融通出借股份）</w:t>
                </w:r>
              </w:p>
            </w:tc>
          </w:sdtContent>
        </w:sdt>
      </w:tr>
      <w:tr w14:paraId="1897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4e40ad86e5ee4c0cb28f819aa3924fb2"/>
            <w:id w:val="1285696583"/>
          </w:sdtPr>
          <w:sdtContent>
            <w:tc>
              <w:tcPr>
                <w:tcW w:w="2497" w:type="dxa"/>
                <w:vMerge w:val="restart"/>
                <w:vAlign w:val="center"/>
              </w:tcPr>
              <w:p w14:paraId="2A598D6E">
                <w:pPr>
                  <w:jc w:val="center"/>
                  <w:rPr>
                    <w:rFonts w:ascii="Calibri" w:hAnsi="Calibri"/>
                    <w:sz w:val="20"/>
                    <w:szCs w:val="20"/>
                  </w:rPr>
                </w:pPr>
                <w:r>
                  <w:rPr>
                    <w:rFonts w:ascii="Calibri" w:hAnsi="Calibri"/>
                    <w:sz w:val="20"/>
                    <w:szCs w:val="20"/>
                  </w:rPr>
                  <w:t>股东名称</w:t>
                </w:r>
              </w:p>
              <w:p w14:paraId="1CD0F523">
                <w:pPr>
                  <w:jc w:val="center"/>
                  <w:rPr>
                    <w:rFonts w:ascii="Calibri" w:hAnsi="Calibri"/>
                    <w:sz w:val="20"/>
                    <w:szCs w:val="20"/>
                  </w:rPr>
                </w:pPr>
                <w:r>
                  <w:rPr>
                    <w:rFonts w:hint="eastAsia" w:ascii="Calibri" w:hAnsi="Calibri"/>
                    <w:sz w:val="20"/>
                    <w:szCs w:val="20"/>
                  </w:rPr>
                  <w:t>（全称）</w:t>
                </w:r>
              </w:p>
            </w:tc>
          </w:sdtContent>
        </w:sdt>
        <w:sdt>
          <w:sdtPr>
            <w:tag w:val="_PLD_587b672a54ed4481b14f0963f010aefb"/>
            <w:id w:val="19132361"/>
          </w:sdtPr>
          <w:sdtContent>
            <w:tc>
              <w:tcPr>
                <w:tcW w:w="1614" w:type="dxa"/>
                <w:vMerge w:val="restart"/>
                <w:vAlign w:val="center"/>
              </w:tcPr>
              <w:p w14:paraId="6B457AFF">
                <w:pPr>
                  <w:jc w:val="center"/>
                  <w:rPr>
                    <w:rFonts w:ascii="Calibri" w:hAnsi="Calibri"/>
                    <w:sz w:val="20"/>
                    <w:szCs w:val="20"/>
                  </w:rPr>
                </w:pPr>
                <w:r>
                  <w:rPr>
                    <w:rFonts w:ascii="Calibri" w:hAnsi="Calibri"/>
                    <w:sz w:val="20"/>
                    <w:szCs w:val="20"/>
                  </w:rPr>
                  <w:t>报告期内增减</w:t>
                </w:r>
              </w:p>
            </w:tc>
          </w:sdtContent>
        </w:sdt>
        <w:sdt>
          <w:sdtPr>
            <w:tag w:val="_PLD_580f25e9dfa24c1d91f3845b6a6a42e5"/>
            <w:id w:val="1547868913"/>
          </w:sdtPr>
          <w:sdtContent>
            <w:tc>
              <w:tcPr>
                <w:tcW w:w="1418" w:type="dxa"/>
                <w:vMerge w:val="restart"/>
                <w:vAlign w:val="center"/>
              </w:tcPr>
              <w:p w14:paraId="191E1EBE">
                <w:pPr>
                  <w:jc w:val="center"/>
                  <w:rPr>
                    <w:rFonts w:ascii="Calibri" w:hAnsi="Calibri"/>
                    <w:sz w:val="20"/>
                    <w:szCs w:val="20"/>
                  </w:rPr>
                </w:pPr>
                <w:r>
                  <w:rPr>
                    <w:rFonts w:ascii="Calibri" w:hAnsi="Calibri"/>
                    <w:sz w:val="20"/>
                    <w:szCs w:val="20"/>
                  </w:rPr>
                  <w:t>期末持股数量</w:t>
                </w:r>
              </w:p>
            </w:tc>
          </w:sdtContent>
        </w:sdt>
        <w:sdt>
          <w:sdtPr>
            <w:tag w:val="_PLD_e80658c5388c4bb0871489372e62334d"/>
            <w:id w:val="1984421411"/>
          </w:sdtPr>
          <w:sdtContent>
            <w:tc>
              <w:tcPr>
                <w:tcW w:w="709" w:type="dxa"/>
                <w:vMerge w:val="restart"/>
                <w:vAlign w:val="center"/>
              </w:tcPr>
              <w:p w14:paraId="4F280DF0">
                <w:pPr>
                  <w:jc w:val="center"/>
                  <w:rPr>
                    <w:rFonts w:ascii="Calibri" w:hAnsi="Calibri"/>
                    <w:sz w:val="20"/>
                    <w:szCs w:val="20"/>
                  </w:rPr>
                </w:pPr>
                <w:r>
                  <w:rPr>
                    <w:rFonts w:ascii="Calibri" w:hAnsi="Calibri"/>
                    <w:sz w:val="20"/>
                    <w:szCs w:val="20"/>
                  </w:rPr>
                  <w:t>比例(%)</w:t>
                </w:r>
              </w:p>
            </w:tc>
          </w:sdtContent>
        </w:sdt>
        <w:sdt>
          <w:sdtPr>
            <w:tag w:val="_PLD_0ed52eb839784cb0ab83b1692dc8b283"/>
            <w:id w:val="1135601900"/>
          </w:sdtPr>
          <w:sdtContent>
            <w:tc>
              <w:tcPr>
                <w:tcW w:w="909" w:type="dxa"/>
                <w:vMerge w:val="restart"/>
                <w:vAlign w:val="center"/>
              </w:tcPr>
              <w:p w14:paraId="1AFAEB4E">
                <w:pPr>
                  <w:pStyle w:val="8"/>
                  <w:rPr>
                    <w:rFonts w:ascii="宋体" w:hAnsi="宋体"/>
                    <w:bCs/>
                    <w:color w:val="00B050"/>
                    <w:sz w:val="20"/>
                    <w:szCs w:val="20"/>
                  </w:rPr>
                </w:pPr>
                <w:r>
                  <w:rPr>
                    <w:rFonts w:ascii="宋体" w:hAnsi="宋体"/>
                    <w:bCs/>
                    <w:sz w:val="20"/>
                    <w:szCs w:val="20"/>
                  </w:rPr>
                  <w:t>持有有限售条件股份数量</w:t>
                </w:r>
              </w:p>
            </w:tc>
          </w:sdtContent>
        </w:sdt>
        <w:sdt>
          <w:sdtPr>
            <w:tag w:val="_PLD_6d0fce9e7c914a578f4702348340f346"/>
            <w:id w:val="405653423"/>
          </w:sdtPr>
          <w:sdtContent>
            <w:tc>
              <w:tcPr>
                <w:tcW w:w="2079" w:type="dxa"/>
                <w:gridSpan w:val="3"/>
                <w:vAlign w:val="center"/>
              </w:tcPr>
              <w:p w14:paraId="760E00C7">
                <w:pPr>
                  <w:jc w:val="center"/>
                  <w:rPr>
                    <w:rFonts w:ascii="Calibri" w:hAnsi="Calibri"/>
                    <w:sz w:val="20"/>
                    <w:szCs w:val="20"/>
                  </w:rPr>
                </w:pPr>
                <w:r>
                  <w:rPr>
                    <w:rFonts w:ascii="Calibri" w:hAnsi="Calibri"/>
                    <w:sz w:val="20"/>
                    <w:szCs w:val="20"/>
                  </w:rPr>
                  <w:t>质押</w:t>
                </w:r>
                <w:r>
                  <w:rPr>
                    <w:rFonts w:hint="eastAsia" w:ascii="Calibri" w:hAnsi="Calibri"/>
                    <w:sz w:val="20"/>
                    <w:szCs w:val="20"/>
                  </w:rPr>
                  <w:t>、标记</w:t>
                </w:r>
                <w:r>
                  <w:rPr>
                    <w:rFonts w:ascii="Calibri" w:hAnsi="Calibri"/>
                    <w:sz w:val="20"/>
                    <w:szCs w:val="20"/>
                  </w:rPr>
                  <w:t>或冻结情况</w:t>
                </w:r>
              </w:p>
            </w:tc>
          </w:sdtContent>
        </w:sdt>
        <w:sdt>
          <w:sdtPr>
            <w:tag w:val="_PLD_57b1e0d0ab2d4113aada0c0394d1589d"/>
            <w:id w:val="-646980723"/>
          </w:sdtPr>
          <w:sdtContent>
            <w:tc>
              <w:tcPr>
                <w:tcW w:w="888" w:type="dxa"/>
                <w:vMerge w:val="restart"/>
                <w:vAlign w:val="center"/>
              </w:tcPr>
              <w:p w14:paraId="539F083D">
                <w:pPr>
                  <w:jc w:val="center"/>
                  <w:rPr>
                    <w:rFonts w:ascii="Calibri" w:hAnsi="Calibri"/>
                    <w:sz w:val="20"/>
                    <w:szCs w:val="20"/>
                  </w:rPr>
                </w:pPr>
                <w:r>
                  <w:rPr>
                    <w:rFonts w:ascii="Calibri" w:hAnsi="Calibri"/>
                    <w:sz w:val="20"/>
                    <w:szCs w:val="20"/>
                  </w:rPr>
                  <w:t>股东性质</w:t>
                </w:r>
              </w:p>
            </w:tc>
          </w:sdtContent>
        </w:sdt>
      </w:tr>
      <w:tr w14:paraId="3D7BF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97" w:type="dxa"/>
            <w:vMerge w:val="continue"/>
            <w:tcBorders>
              <w:bottom w:val="single" w:color="auto" w:sz="4" w:space="0"/>
            </w:tcBorders>
            <w:vAlign w:val="center"/>
          </w:tcPr>
          <w:p w14:paraId="5CB38FB9">
            <w:pPr>
              <w:jc w:val="center"/>
              <w:rPr>
                <w:rFonts w:ascii="Calibri" w:hAnsi="Calibri"/>
                <w:sz w:val="20"/>
                <w:szCs w:val="20"/>
              </w:rPr>
            </w:pPr>
          </w:p>
        </w:tc>
        <w:tc>
          <w:tcPr>
            <w:tcW w:w="1614" w:type="dxa"/>
            <w:vMerge w:val="continue"/>
            <w:tcBorders>
              <w:bottom w:val="single" w:color="auto" w:sz="4" w:space="0"/>
            </w:tcBorders>
            <w:vAlign w:val="center"/>
          </w:tcPr>
          <w:p w14:paraId="18CDDB15">
            <w:pPr>
              <w:jc w:val="center"/>
              <w:rPr>
                <w:rFonts w:ascii="Calibri" w:hAnsi="Calibri"/>
                <w:sz w:val="20"/>
                <w:szCs w:val="20"/>
              </w:rPr>
            </w:pPr>
          </w:p>
        </w:tc>
        <w:tc>
          <w:tcPr>
            <w:tcW w:w="1418" w:type="dxa"/>
            <w:vMerge w:val="continue"/>
            <w:tcBorders>
              <w:bottom w:val="single" w:color="auto" w:sz="4" w:space="0"/>
            </w:tcBorders>
            <w:vAlign w:val="center"/>
          </w:tcPr>
          <w:p w14:paraId="519338A1">
            <w:pPr>
              <w:jc w:val="center"/>
              <w:rPr>
                <w:rFonts w:ascii="Calibri" w:hAnsi="Calibri"/>
                <w:sz w:val="20"/>
                <w:szCs w:val="20"/>
              </w:rPr>
            </w:pPr>
          </w:p>
        </w:tc>
        <w:tc>
          <w:tcPr>
            <w:tcW w:w="709" w:type="dxa"/>
            <w:vMerge w:val="continue"/>
            <w:tcBorders>
              <w:bottom w:val="single" w:color="auto" w:sz="4" w:space="0"/>
            </w:tcBorders>
            <w:vAlign w:val="center"/>
          </w:tcPr>
          <w:p w14:paraId="33F0E26C">
            <w:pPr>
              <w:jc w:val="center"/>
              <w:rPr>
                <w:rFonts w:ascii="Calibri" w:hAnsi="Calibri"/>
                <w:sz w:val="20"/>
                <w:szCs w:val="20"/>
              </w:rPr>
            </w:pPr>
          </w:p>
        </w:tc>
        <w:tc>
          <w:tcPr>
            <w:tcW w:w="909" w:type="dxa"/>
            <w:vMerge w:val="continue"/>
            <w:tcBorders>
              <w:bottom w:val="single" w:color="auto" w:sz="4" w:space="0"/>
            </w:tcBorders>
            <w:vAlign w:val="center"/>
          </w:tcPr>
          <w:p w14:paraId="446A4CB7">
            <w:pPr>
              <w:jc w:val="center"/>
              <w:rPr>
                <w:rFonts w:ascii="Calibri" w:hAnsi="Calibri"/>
                <w:sz w:val="20"/>
                <w:szCs w:val="20"/>
              </w:rPr>
            </w:pPr>
          </w:p>
        </w:tc>
        <w:sdt>
          <w:sdtPr>
            <w:tag w:val="_PLD_72b090b1925c46349c7beb3ca6c0032f"/>
            <w:id w:val="157047663"/>
          </w:sdtPr>
          <w:sdtContent>
            <w:tc>
              <w:tcPr>
                <w:tcW w:w="792" w:type="dxa"/>
                <w:tcBorders>
                  <w:bottom w:val="single" w:color="auto" w:sz="4" w:space="0"/>
                </w:tcBorders>
                <w:vAlign w:val="center"/>
              </w:tcPr>
              <w:p w14:paraId="6DF5DC07">
                <w:pPr>
                  <w:jc w:val="center"/>
                  <w:rPr>
                    <w:rFonts w:ascii="Calibri" w:hAnsi="Calibri"/>
                    <w:sz w:val="20"/>
                    <w:szCs w:val="20"/>
                  </w:rPr>
                </w:pPr>
                <w:r>
                  <w:rPr>
                    <w:rFonts w:ascii="Calibri" w:hAnsi="Calibri"/>
                    <w:sz w:val="20"/>
                    <w:szCs w:val="20"/>
                  </w:rPr>
                  <w:t>股份状态</w:t>
                </w:r>
              </w:p>
            </w:tc>
          </w:sdtContent>
        </w:sdt>
        <w:sdt>
          <w:sdtPr>
            <w:tag w:val="_PLD_76e0ca0392384ff795b7613d764041da"/>
            <w:id w:val="388002918"/>
          </w:sdtPr>
          <w:sdtContent>
            <w:tc>
              <w:tcPr>
                <w:tcW w:w="1287" w:type="dxa"/>
                <w:gridSpan w:val="2"/>
                <w:tcBorders>
                  <w:bottom w:val="single" w:color="auto" w:sz="4" w:space="0"/>
                </w:tcBorders>
                <w:vAlign w:val="center"/>
              </w:tcPr>
              <w:p w14:paraId="0385391C">
                <w:pPr>
                  <w:jc w:val="center"/>
                  <w:rPr>
                    <w:rFonts w:ascii="Calibri" w:hAnsi="Calibri"/>
                    <w:sz w:val="20"/>
                    <w:szCs w:val="20"/>
                  </w:rPr>
                </w:pPr>
                <w:r>
                  <w:rPr>
                    <w:rFonts w:ascii="Calibri" w:hAnsi="Calibri"/>
                    <w:sz w:val="20"/>
                    <w:szCs w:val="20"/>
                  </w:rPr>
                  <w:t>数量</w:t>
                </w:r>
              </w:p>
            </w:tc>
          </w:sdtContent>
        </w:sdt>
        <w:tc>
          <w:tcPr>
            <w:tcW w:w="888" w:type="dxa"/>
            <w:vMerge w:val="continue"/>
            <w:vAlign w:val="center"/>
          </w:tcPr>
          <w:p w14:paraId="07E39477">
            <w:pPr>
              <w:jc w:val="center"/>
              <w:rPr>
                <w:rFonts w:ascii="Calibri" w:hAnsi="Calibri"/>
                <w:sz w:val="20"/>
                <w:szCs w:val="20"/>
              </w:rPr>
            </w:pPr>
          </w:p>
        </w:tc>
      </w:tr>
      <w:tr w14:paraId="282C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97" w:type="dxa"/>
            <w:vAlign w:val="center"/>
          </w:tcPr>
          <w:p w14:paraId="6F178349">
            <w:pPr>
              <w:jc w:val="both"/>
              <w:rPr>
                <w:rFonts w:ascii="Calibri" w:hAnsi="Calibri"/>
                <w:sz w:val="20"/>
                <w:szCs w:val="20"/>
              </w:rPr>
            </w:pPr>
            <w:r>
              <w:rPr>
                <w:rFonts w:hint="eastAsia" w:ascii="Calibri" w:hAnsi="Calibri"/>
                <w:sz w:val="20"/>
                <w:szCs w:val="20"/>
              </w:rPr>
              <w:t>东宝实业集团股份有限公司</w:t>
            </w:r>
          </w:p>
        </w:tc>
        <w:tc>
          <w:tcPr>
            <w:tcW w:w="1614" w:type="dxa"/>
            <w:vAlign w:val="center"/>
          </w:tcPr>
          <w:p w14:paraId="5DCDE04C">
            <w:pPr>
              <w:jc w:val="right"/>
              <w:rPr>
                <w:rFonts w:ascii="Calibri" w:hAnsi="Calibri"/>
                <w:sz w:val="20"/>
                <w:szCs w:val="20"/>
              </w:rPr>
            </w:pPr>
            <w:r>
              <w:rPr>
                <w:rFonts w:ascii="Calibri" w:hAnsi="Calibri"/>
                <w:sz w:val="20"/>
                <w:szCs w:val="20"/>
              </w:rPr>
              <w:t>19,782,709</w:t>
            </w:r>
          </w:p>
        </w:tc>
        <w:tc>
          <w:tcPr>
            <w:tcW w:w="1418" w:type="dxa"/>
            <w:vAlign w:val="center"/>
          </w:tcPr>
          <w:p w14:paraId="294FC36B">
            <w:pPr>
              <w:jc w:val="right"/>
              <w:rPr>
                <w:rFonts w:ascii="Calibri" w:hAnsi="Calibri"/>
                <w:sz w:val="20"/>
                <w:szCs w:val="20"/>
              </w:rPr>
            </w:pPr>
            <w:r>
              <w:rPr>
                <w:rFonts w:ascii="Calibri" w:hAnsi="Calibri"/>
                <w:sz w:val="20"/>
                <w:szCs w:val="20"/>
              </w:rPr>
              <w:t>619,500,796</w:t>
            </w:r>
          </w:p>
        </w:tc>
        <w:tc>
          <w:tcPr>
            <w:tcW w:w="709" w:type="dxa"/>
            <w:vAlign w:val="center"/>
          </w:tcPr>
          <w:p w14:paraId="4ABE7FDA">
            <w:pPr>
              <w:jc w:val="right"/>
              <w:rPr>
                <w:rFonts w:ascii="Calibri" w:hAnsi="Calibri"/>
                <w:sz w:val="20"/>
                <w:szCs w:val="20"/>
              </w:rPr>
            </w:pPr>
            <w:r>
              <w:rPr>
                <w:rFonts w:ascii="Calibri" w:hAnsi="Calibri"/>
                <w:sz w:val="20"/>
                <w:szCs w:val="20"/>
              </w:rPr>
              <w:t>31.63</w:t>
            </w:r>
          </w:p>
        </w:tc>
        <w:tc>
          <w:tcPr>
            <w:tcW w:w="909" w:type="dxa"/>
            <w:vAlign w:val="center"/>
          </w:tcPr>
          <w:p w14:paraId="358129D9">
            <w:pPr>
              <w:jc w:val="right"/>
              <w:rPr>
                <w:rFonts w:ascii="Calibri" w:hAnsi="Calibri"/>
                <w:sz w:val="20"/>
                <w:szCs w:val="20"/>
              </w:rPr>
            </w:pPr>
            <w:r>
              <w:rPr>
                <w:rFonts w:hint="eastAsia" w:ascii="Calibri" w:hAnsi="Calibri"/>
                <w:sz w:val="20"/>
                <w:szCs w:val="20"/>
              </w:rPr>
              <w:t>0</w:t>
            </w:r>
          </w:p>
        </w:tc>
        <w:sdt>
          <w:sdtPr>
            <w:alias w:val="前十名股东持有股份状态"/>
            <w:tag w:val="_GBC_46a2e2b7fded452b84eec75a5e47296b"/>
            <w:id w:val="-1054535135"/>
            <w:comboBox>
              <w:listItem w:displayText="无" w:value="无"/>
              <w:listItem w:displayText="质押" w:value="质押"/>
              <w:listItem w:displayText="标记" w:value="标记"/>
              <w:listItem w:displayText="冻结" w:value="冻结"/>
              <w:listItem w:displayText="未知" w:value="未知"/>
            </w:comboBox>
          </w:sdtPr>
          <w:sdtContent>
            <w:tc>
              <w:tcPr>
                <w:tcW w:w="792" w:type="dxa"/>
                <w:vAlign w:val="center"/>
              </w:tcPr>
              <w:p w14:paraId="59035217">
                <w:pPr>
                  <w:rPr>
                    <w:rFonts w:ascii="Calibri" w:hAnsi="Calibri"/>
                    <w:color w:val="FF9900"/>
                    <w:sz w:val="20"/>
                    <w:szCs w:val="20"/>
                  </w:rPr>
                </w:pPr>
                <w:r>
                  <w:rPr>
                    <w:rFonts w:ascii="Calibri" w:hAnsi="Calibri"/>
                    <w:sz w:val="20"/>
                    <w:szCs w:val="20"/>
                  </w:rPr>
                  <w:t>质押</w:t>
                </w:r>
              </w:p>
            </w:tc>
          </w:sdtContent>
        </w:sdt>
        <w:tc>
          <w:tcPr>
            <w:tcW w:w="1287" w:type="dxa"/>
            <w:gridSpan w:val="2"/>
            <w:vAlign w:val="center"/>
          </w:tcPr>
          <w:p w14:paraId="0ADD8972">
            <w:pPr>
              <w:jc w:val="right"/>
              <w:rPr>
                <w:rFonts w:ascii="Calibri" w:hAnsi="Calibri"/>
                <w:sz w:val="20"/>
                <w:szCs w:val="20"/>
              </w:rPr>
            </w:pPr>
            <w:r>
              <w:rPr>
                <w:rFonts w:ascii="Calibri" w:hAnsi="Calibri"/>
                <w:sz w:val="20"/>
                <w:szCs w:val="20"/>
              </w:rPr>
              <w:t>562,439,472</w:t>
            </w:r>
          </w:p>
        </w:tc>
        <w:sdt>
          <w:sdtPr>
            <w:alias w:val="前十名股东的股东性质"/>
            <w:tag w:val="_GBC_84391eccdbd14aa7bbd07a260ff9d747"/>
            <w:id w:val="-86383274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dxa"/>
                <w:vAlign w:val="center"/>
              </w:tcPr>
              <w:p w14:paraId="394E9C7F">
                <w:pPr>
                  <w:rPr>
                    <w:rFonts w:ascii="Calibri" w:hAnsi="Calibri"/>
                    <w:color w:val="FF9900"/>
                    <w:sz w:val="20"/>
                    <w:szCs w:val="20"/>
                  </w:rPr>
                </w:pPr>
                <w:r>
                  <w:rPr>
                    <w:rFonts w:ascii="Calibri" w:hAnsi="Calibri"/>
                    <w:sz w:val="20"/>
                    <w:szCs w:val="20"/>
                  </w:rPr>
                  <w:t>境内非国有法人</w:t>
                </w:r>
              </w:p>
            </w:tc>
          </w:sdtContent>
        </w:sdt>
      </w:tr>
      <w:tr w14:paraId="7A7E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97" w:type="dxa"/>
            <w:vAlign w:val="center"/>
          </w:tcPr>
          <w:p w14:paraId="367B47AE">
            <w:pPr>
              <w:jc w:val="both"/>
              <w:rPr>
                <w:rFonts w:ascii="Calibri" w:hAnsi="Calibri"/>
                <w:sz w:val="20"/>
                <w:szCs w:val="20"/>
              </w:rPr>
            </w:pPr>
            <w:r>
              <w:rPr>
                <w:rFonts w:hint="eastAsia" w:ascii="Calibri" w:hAnsi="Calibri"/>
                <w:sz w:val="20"/>
                <w:szCs w:val="20"/>
              </w:rPr>
              <w:t>天津桢逸股权投资合伙企业（有限合伙）</w:t>
            </w:r>
          </w:p>
        </w:tc>
        <w:tc>
          <w:tcPr>
            <w:tcW w:w="1614" w:type="dxa"/>
            <w:vAlign w:val="center"/>
          </w:tcPr>
          <w:p w14:paraId="1F7CA2D2">
            <w:pPr>
              <w:jc w:val="right"/>
              <w:rPr>
                <w:rFonts w:ascii="Calibri" w:hAnsi="Calibri"/>
                <w:sz w:val="20"/>
                <w:szCs w:val="20"/>
              </w:rPr>
            </w:pPr>
            <w:r>
              <w:rPr>
                <w:rFonts w:ascii="Calibri" w:hAnsi="Calibri"/>
                <w:sz w:val="20"/>
                <w:szCs w:val="20"/>
              </w:rPr>
              <w:t>0</w:t>
            </w:r>
          </w:p>
        </w:tc>
        <w:tc>
          <w:tcPr>
            <w:tcW w:w="1418" w:type="dxa"/>
            <w:vAlign w:val="center"/>
          </w:tcPr>
          <w:p w14:paraId="507F156F">
            <w:pPr>
              <w:jc w:val="right"/>
              <w:rPr>
                <w:rFonts w:ascii="Calibri" w:hAnsi="Calibri"/>
                <w:sz w:val="20"/>
                <w:szCs w:val="20"/>
              </w:rPr>
            </w:pPr>
            <w:r>
              <w:rPr>
                <w:rFonts w:ascii="Calibri" w:hAnsi="Calibri"/>
                <w:sz w:val="20"/>
                <w:szCs w:val="20"/>
              </w:rPr>
              <w:t>183,058,967</w:t>
            </w:r>
          </w:p>
        </w:tc>
        <w:tc>
          <w:tcPr>
            <w:tcW w:w="709" w:type="dxa"/>
            <w:vAlign w:val="center"/>
          </w:tcPr>
          <w:p w14:paraId="4F6465DD">
            <w:pPr>
              <w:jc w:val="right"/>
              <w:rPr>
                <w:rFonts w:ascii="Calibri" w:hAnsi="Calibri"/>
                <w:sz w:val="20"/>
                <w:szCs w:val="20"/>
              </w:rPr>
            </w:pPr>
            <w:r>
              <w:rPr>
                <w:rFonts w:ascii="Calibri" w:hAnsi="Calibri"/>
                <w:sz w:val="20"/>
                <w:szCs w:val="20"/>
              </w:rPr>
              <w:t>9.35</w:t>
            </w:r>
          </w:p>
        </w:tc>
        <w:tc>
          <w:tcPr>
            <w:tcW w:w="909" w:type="dxa"/>
            <w:vAlign w:val="center"/>
          </w:tcPr>
          <w:p w14:paraId="0E93E98E">
            <w:pPr>
              <w:jc w:val="right"/>
              <w:rPr>
                <w:rFonts w:ascii="Calibri" w:hAnsi="Calibri"/>
                <w:sz w:val="20"/>
                <w:szCs w:val="20"/>
              </w:rPr>
            </w:pPr>
            <w:r>
              <w:rPr>
                <w:rFonts w:hint="eastAsia" w:ascii="Calibri" w:hAnsi="Calibri"/>
                <w:sz w:val="20"/>
                <w:szCs w:val="20"/>
              </w:rPr>
              <w:t>0</w:t>
            </w:r>
          </w:p>
        </w:tc>
        <w:sdt>
          <w:sdtPr>
            <w:alias w:val="前十名股东持有股份状态"/>
            <w:tag w:val="_GBC_46a2e2b7fded452b84eec75a5e47296b"/>
            <w:id w:val="615342537"/>
            <w:comboBox>
              <w:listItem w:displayText="无" w:value="无"/>
              <w:listItem w:displayText="质押" w:value="质押"/>
              <w:listItem w:displayText="标记" w:value="标记"/>
              <w:listItem w:displayText="冻结" w:value="冻结"/>
              <w:listItem w:displayText="未知" w:value="未知"/>
            </w:comboBox>
          </w:sdtPr>
          <w:sdtContent>
            <w:tc>
              <w:tcPr>
                <w:tcW w:w="792" w:type="dxa"/>
                <w:vAlign w:val="center"/>
              </w:tcPr>
              <w:p w14:paraId="3E3AD3A1">
                <w:pPr>
                  <w:jc w:val="center"/>
                  <w:rPr>
                    <w:rFonts w:ascii="Calibri" w:hAnsi="Calibri"/>
                    <w:color w:val="FF9900"/>
                    <w:sz w:val="20"/>
                    <w:szCs w:val="20"/>
                  </w:rPr>
                </w:pPr>
                <w:r>
                  <w:rPr>
                    <w:rFonts w:ascii="Calibri" w:hAnsi="Calibri"/>
                    <w:sz w:val="20"/>
                    <w:szCs w:val="20"/>
                  </w:rPr>
                  <w:t>无</w:t>
                </w:r>
              </w:p>
            </w:tc>
          </w:sdtContent>
        </w:sdt>
        <w:tc>
          <w:tcPr>
            <w:tcW w:w="1287" w:type="dxa"/>
            <w:gridSpan w:val="2"/>
            <w:vAlign w:val="center"/>
          </w:tcPr>
          <w:p w14:paraId="1EAB3337">
            <w:pPr>
              <w:jc w:val="right"/>
              <w:rPr>
                <w:rFonts w:ascii="Calibri" w:hAnsi="Calibri"/>
                <w:sz w:val="20"/>
                <w:szCs w:val="20"/>
              </w:rPr>
            </w:pPr>
          </w:p>
        </w:tc>
        <w:sdt>
          <w:sdtPr>
            <w:alias w:val="前十名股东的股东性质"/>
            <w:tag w:val="_GBC_84391eccdbd14aa7bbd07a260ff9d747"/>
            <w:id w:val="-101205699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dxa"/>
                <w:vAlign w:val="center"/>
              </w:tcPr>
              <w:p w14:paraId="2516C25C">
                <w:pPr>
                  <w:rPr>
                    <w:rFonts w:ascii="Calibri" w:hAnsi="Calibri"/>
                    <w:color w:val="FF9900"/>
                    <w:sz w:val="20"/>
                    <w:szCs w:val="20"/>
                  </w:rPr>
                </w:pPr>
                <w:r>
                  <w:rPr>
                    <w:rFonts w:ascii="Calibri" w:hAnsi="Calibri"/>
                    <w:sz w:val="20"/>
                    <w:szCs w:val="20"/>
                  </w:rPr>
                  <w:t>其他</w:t>
                </w:r>
              </w:p>
            </w:tc>
          </w:sdtContent>
        </w:sdt>
      </w:tr>
      <w:tr w14:paraId="451E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97" w:type="dxa"/>
            <w:vAlign w:val="center"/>
          </w:tcPr>
          <w:p w14:paraId="66E5B715">
            <w:pPr>
              <w:jc w:val="both"/>
              <w:rPr>
                <w:rFonts w:ascii="Calibri" w:hAnsi="Calibri"/>
                <w:sz w:val="20"/>
                <w:szCs w:val="20"/>
              </w:rPr>
            </w:pPr>
            <w:r>
              <w:rPr>
                <w:rFonts w:hint="eastAsia" w:ascii="Calibri" w:hAnsi="Calibri"/>
                <w:sz w:val="20"/>
                <w:szCs w:val="20"/>
              </w:rPr>
              <w:t>香港中央结算有限公司</w:t>
            </w:r>
          </w:p>
        </w:tc>
        <w:tc>
          <w:tcPr>
            <w:tcW w:w="1614" w:type="dxa"/>
            <w:vAlign w:val="center"/>
          </w:tcPr>
          <w:p w14:paraId="2E5AFC2C">
            <w:pPr>
              <w:jc w:val="right"/>
              <w:rPr>
                <w:rFonts w:ascii="Calibri" w:hAnsi="Calibri"/>
                <w:sz w:val="20"/>
                <w:szCs w:val="20"/>
              </w:rPr>
            </w:pPr>
            <w:r>
              <w:rPr>
                <w:rFonts w:ascii="Calibri" w:hAnsi="Calibri"/>
                <w:sz w:val="20"/>
                <w:szCs w:val="20"/>
              </w:rPr>
              <w:t>27,941,699</w:t>
            </w:r>
          </w:p>
        </w:tc>
        <w:tc>
          <w:tcPr>
            <w:tcW w:w="1418" w:type="dxa"/>
            <w:vAlign w:val="center"/>
          </w:tcPr>
          <w:p w14:paraId="730BCA56">
            <w:pPr>
              <w:jc w:val="right"/>
              <w:rPr>
                <w:rFonts w:ascii="Calibri" w:hAnsi="Calibri"/>
                <w:sz w:val="20"/>
                <w:szCs w:val="20"/>
              </w:rPr>
            </w:pPr>
            <w:r>
              <w:rPr>
                <w:rFonts w:ascii="Calibri" w:hAnsi="Calibri"/>
                <w:sz w:val="20"/>
                <w:szCs w:val="20"/>
              </w:rPr>
              <w:t>42,055,209</w:t>
            </w:r>
          </w:p>
        </w:tc>
        <w:tc>
          <w:tcPr>
            <w:tcW w:w="709" w:type="dxa"/>
            <w:vAlign w:val="center"/>
          </w:tcPr>
          <w:p w14:paraId="008DDCD2">
            <w:pPr>
              <w:jc w:val="right"/>
              <w:rPr>
                <w:rFonts w:ascii="Calibri" w:hAnsi="Calibri"/>
                <w:sz w:val="20"/>
                <w:szCs w:val="20"/>
              </w:rPr>
            </w:pPr>
            <w:r>
              <w:rPr>
                <w:rFonts w:ascii="Calibri" w:hAnsi="Calibri"/>
                <w:sz w:val="20"/>
                <w:szCs w:val="20"/>
              </w:rPr>
              <w:t>2.15</w:t>
            </w:r>
          </w:p>
        </w:tc>
        <w:tc>
          <w:tcPr>
            <w:tcW w:w="909" w:type="dxa"/>
            <w:vAlign w:val="center"/>
          </w:tcPr>
          <w:p w14:paraId="4DA90ECE">
            <w:pPr>
              <w:jc w:val="right"/>
              <w:rPr>
                <w:rFonts w:ascii="Calibri" w:hAnsi="Calibri"/>
                <w:sz w:val="20"/>
                <w:szCs w:val="20"/>
              </w:rPr>
            </w:pPr>
            <w:r>
              <w:rPr>
                <w:rFonts w:hint="eastAsia" w:ascii="Calibri" w:hAnsi="Calibri"/>
                <w:sz w:val="20"/>
                <w:szCs w:val="20"/>
              </w:rPr>
              <w:t>0</w:t>
            </w:r>
          </w:p>
        </w:tc>
        <w:sdt>
          <w:sdtPr>
            <w:alias w:val="前十名股东持有股份状态"/>
            <w:tag w:val="_GBC_46a2e2b7fded452b84eec75a5e47296b"/>
            <w:id w:val="735671944"/>
            <w:comboBox>
              <w:listItem w:displayText="无" w:value="无"/>
              <w:listItem w:displayText="质押" w:value="质押"/>
              <w:listItem w:displayText="标记" w:value="标记"/>
              <w:listItem w:displayText="冻结" w:value="冻结"/>
              <w:listItem w:displayText="未知" w:value="未知"/>
            </w:comboBox>
          </w:sdtPr>
          <w:sdtContent>
            <w:tc>
              <w:tcPr>
                <w:tcW w:w="792" w:type="dxa"/>
                <w:vAlign w:val="center"/>
              </w:tcPr>
              <w:p w14:paraId="26B5740E">
                <w:pPr>
                  <w:jc w:val="center"/>
                  <w:rPr>
                    <w:rFonts w:ascii="Calibri" w:hAnsi="Calibri"/>
                    <w:color w:val="FF9900"/>
                    <w:sz w:val="20"/>
                    <w:szCs w:val="20"/>
                  </w:rPr>
                </w:pPr>
                <w:r>
                  <w:rPr>
                    <w:rFonts w:ascii="Calibri" w:hAnsi="Calibri"/>
                    <w:sz w:val="20"/>
                    <w:szCs w:val="20"/>
                  </w:rPr>
                  <w:t>无</w:t>
                </w:r>
              </w:p>
            </w:tc>
          </w:sdtContent>
        </w:sdt>
        <w:tc>
          <w:tcPr>
            <w:tcW w:w="1287" w:type="dxa"/>
            <w:gridSpan w:val="2"/>
            <w:vAlign w:val="center"/>
          </w:tcPr>
          <w:p w14:paraId="1E788488">
            <w:pPr>
              <w:jc w:val="right"/>
              <w:rPr>
                <w:rFonts w:ascii="Calibri" w:hAnsi="Calibri"/>
                <w:sz w:val="20"/>
                <w:szCs w:val="20"/>
              </w:rPr>
            </w:pPr>
          </w:p>
        </w:tc>
        <w:sdt>
          <w:sdtPr>
            <w:alias w:val="前十名股东的股东性质"/>
            <w:tag w:val="_GBC_84391eccdbd14aa7bbd07a260ff9d747"/>
            <w:id w:val="-144152373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dxa"/>
                <w:vAlign w:val="center"/>
              </w:tcPr>
              <w:p w14:paraId="5BCA486A">
                <w:pPr>
                  <w:rPr>
                    <w:rFonts w:ascii="Calibri" w:hAnsi="Calibri"/>
                    <w:color w:val="FF9900"/>
                    <w:sz w:val="20"/>
                    <w:szCs w:val="20"/>
                  </w:rPr>
                </w:pPr>
                <w:r>
                  <w:rPr>
                    <w:rFonts w:ascii="Calibri" w:hAnsi="Calibri"/>
                    <w:sz w:val="20"/>
                    <w:szCs w:val="20"/>
                  </w:rPr>
                  <w:t>其他</w:t>
                </w:r>
              </w:p>
            </w:tc>
          </w:sdtContent>
        </w:sdt>
      </w:tr>
      <w:tr w14:paraId="7501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97" w:type="dxa"/>
            <w:vAlign w:val="center"/>
          </w:tcPr>
          <w:p w14:paraId="07D00F34">
            <w:pPr>
              <w:jc w:val="both"/>
              <w:rPr>
                <w:rFonts w:ascii="Calibri" w:hAnsi="Calibri"/>
                <w:sz w:val="20"/>
                <w:szCs w:val="20"/>
              </w:rPr>
            </w:pPr>
            <w:r>
              <w:rPr>
                <w:rFonts w:hint="eastAsia" w:ascii="Calibri" w:hAnsi="Calibri"/>
                <w:sz w:val="20"/>
                <w:szCs w:val="20"/>
              </w:rPr>
              <w:t>阿布达比投资局</w:t>
            </w:r>
          </w:p>
        </w:tc>
        <w:tc>
          <w:tcPr>
            <w:tcW w:w="1614" w:type="dxa"/>
            <w:vAlign w:val="center"/>
          </w:tcPr>
          <w:p w14:paraId="0DB42314">
            <w:pPr>
              <w:jc w:val="right"/>
              <w:rPr>
                <w:rFonts w:ascii="Calibri" w:hAnsi="Calibri"/>
                <w:sz w:val="20"/>
                <w:szCs w:val="20"/>
              </w:rPr>
            </w:pPr>
            <w:r>
              <w:rPr>
                <w:rFonts w:ascii="Calibri" w:hAnsi="Calibri"/>
                <w:sz w:val="20"/>
                <w:szCs w:val="20"/>
              </w:rPr>
              <w:t>813,600</w:t>
            </w:r>
          </w:p>
        </w:tc>
        <w:tc>
          <w:tcPr>
            <w:tcW w:w="1418" w:type="dxa"/>
            <w:vAlign w:val="center"/>
          </w:tcPr>
          <w:p w14:paraId="20E78215">
            <w:pPr>
              <w:jc w:val="right"/>
              <w:rPr>
                <w:rFonts w:ascii="Calibri" w:hAnsi="Calibri"/>
                <w:sz w:val="20"/>
                <w:szCs w:val="20"/>
              </w:rPr>
            </w:pPr>
            <w:r>
              <w:rPr>
                <w:rFonts w:ascii="Calibri" w:hAnsi="Calibri"/>
                <w:sz w:val="20"/>
                <w:szCs w:val="20"/>
              </w:rPr>
              <w:t>32,650,512</w:t>
            </w:r>
          </w:p>
        </w:tc>
        <w:tc>
          <w:tcPr>
            <w:tcW w:w="709" w:type="dxa"/>
            <w:vAlign w:val="center"/>
          </w:tcPr>
          <w:p w14:paraId="0167684D">
            <w:pPr>
              <w:jc w:val="right"/>
              <w:rPr>
                <w:rFonts w:ascii="Calibri" w:hAnsi="Calibri"/>
                <w:sz w:val="20"/>
                <w:szCs w:val="20"/>
              </w:rPr>
            </w:pPr>
            <w:r>
              <w:rPr>
                <w:rFonts w:ascii="Calibri" w:hAnsi="Calibri"/>
                <w:sz w:val="20"/>
                <w:szCs w:val="20"/>
              </w:rPr>
              <w:t>1.67</w:t>
            </w:r>
          </w:p>
        </w:tc>
        <w:tc>
          <w:tcPr>
            <w:tcW w:w="909" w:type="dxa"/>
            <w:vAlign w:val="center"/>
          </w:tcPr>
          <w:p w14:paraId="69C77ED9">
            <w:pPr>
              <w:jc w:val="right"/>
              <w:rPr>
                <w:rFonts w:ascii="Calibri" w:hAnsi="Calibri"/>
                <w:sz w:val="20"/>
                <w:szCs w:val="20"/>
              </w:rPr>
            </w:pPr>
            <w:r>
              <w:rPr>
                <w:rFonts w:hint="eastAsia" w:ascii="Calibri" w:hAnsi="Calibri"/>
                <w:sz w:val="20"/>
                <w:szCs w:val="20"/>
              </w:rPr>
              <w:t>0</w:t>
            </w:r>
          </w:p>
        </w:tc>
        <w:sdt>
          <w:sdtPr>
            <w:alias w:val="前十名股东持有股份状态"/>
            <w:tag w:val="_GBC_46a2e2b7fded452b84eec75a5e47296b"/>
            <w:id w:val="719868559"/>
            <w:comboBox>
              <w:listItem w:displayText="无" w:value="无"/>
              <w:listItem w:displayText="质押" w:value="质押"/>
              <w:listItem w:displayText="标记" w:value="标记"/>
              <w:listItem w:displayText="冻结" w:value="冻结"/>
              <w:listItem w:displayText="未知" w:value="未知"/>
            </w:comboBox>
          </w:sdtPr>
          <w:sdtContent>
            <w:tc>
              <w:tcPr>
                <w:tcW w:w="792" w:type="dxa"/>
                <w:vAlign w:val="center"/>
              </w:tcPr>
              <w:p w14:paraId="12BC0303">
                <w:pPr>
                  <w:jc w:val="center"/>
                  <w:rPr>
                    <w:rFonts w:ascii="Calibri" w:hAnsi="Calibri"/>
                    <w:color w:val="FF9900"/>
                    <w:sz w:val="20"/>
                    <w:szCs w:val="20"/>
                  </w:rPr>
                </w:pPr>
                <w:r>
                  <w:rPr>
                    <w:rFonts w:ascii="Calibri" w:hAnsi="Calibri"/>
                    <w:sz w:val="20"/>
                    <w:szCs w:val="20"/>
                  </w:rPr>
                  <w:t>无</w:t>
                </w:r>
              </w:p>
            </w:tc>
          </w:sdtContent>
        </w:sdt>
        <w:tc>
          <w:tcPr>
            <w:tcW w:w="1287" w:type="dxa"/>
            <w:gridSpan w:val="2"/>
            <w:vAlign w:val="center"/>
          </w:tcPr>
          <w:p w14:paraId="3977B663">
            <w:pPr>
              <w:jc w:val="right"/>
              <w:rPr>
                <w:rFonts w:ascii="Calibri" w:hAnsi="Calibri"/>
                <w:sz w:val="20"/>
                <w:szCs w:val="20"/>
              </w:rPr>
            </w:pPr>
          </w:p>
        </w:tc>
        <w:sdt>
          <w:sdtPr>
            <w:alias w:val="前十名股东的股东性质"/>
            <w:tag w:val="_GBC_84391eccdbd14aa7bbd07a260ff9d747"/>
            <w:id w:val="-204829191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dxa"/>
                <w:vAlign w:val="center"/>
              </w:tcPr>
              <w:p w14:paraId="0191E468">
                <w:pPr>
                  <w:rPr>
                    <w:rFonts w:ascii="Calibri" w:hAnsi="Calibri"/>
                    <w:color w:val="FF9900"/>
                    <w:sz w:val="20"/>
                    <w:szCs w:val="20"/>
                  </w:rPr>
                </w:pPr>
                <w:r>
                  <w:rPr>
                    <w:rFonts w:ascii="Calibri" w:hAnsi="Calibri"/>
                    <w:sz w:val="20"/>
                    <w:szCs w:val="20"/>
                  </w:rPr>
                  <w:t>其他</w:t>
                </w:r>
              </w:p>
            </w:tc>
          </w:sdtContent>
        </w:sdt>
      </w:tr>
      <w:tr w14:paraId="50CE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97" w:type="dxa"/>
            <w:vAlign w:val="center"/>
          </w:tcPr>
          <w:p w14:paraId="5BE65865">
            <w:pPr>
              <w:jc w:val="both"/>
              <w:rPr>
                <w:rFonts w:ascii="Calibri" w:hAnsi="Calibri"/>
                <w:sz w:val="20"/>
                <w:szCs w:val="20"/>
              </w:rPr>
            </w:pPr>
            <w:r>
              <w:rPr>
                <w:rFonts w:hint="eastAsia" w:ascii="Calibri" w:hAnsi="Calibri"/>
                <w:sz w:val="20"/>
                <w:szCs w:val="20"/>
              </w:rPr>
              <w:t>中国银行股份有限公司－招商国证生物医药指数分级证券投资基金</w:t>
            </w:r>
          </w:p>
        </w:tc>
        <w:tc>
          <w:tcPr>
            <w:tcW w:w="1614" w:type="dxa"/>
            <w:vAlign w:val="center"/>
          </w:tcPr>
          <w:p w14:paraId="5DD58864">
            <w:pPr>
              <w:jc w:val="right"/>
              <w:rPr>
                <w:rFonts w:ascii="Calibri" w:hAnsi="Calibri"/>
                <w:sz w:val="20"/>
                <w:szCs w:val="20"/>
              </w:rPr>
            </w:pPr>
            <w:r>
              <w:rPr>
                <w:rFonts w:ascii="Calibri" w:hAnsi="Calibri"/>
                <w:sz w:val="20"/>
                <w:szCs w:val="20"/>
              </w:rPr>
              <w:t>-5,575,100</w:t>
            </w:r>
          </w:p>
        </w:tc>
        <w:tc>
          <w:tcPr>
            <w:tcW w:w="1418" w:type="dxa"/>
            <w:vAlign w:val="center"/>
          </w:tcPr>
          <w:p w14:paraId="71220B91">
            <w:pPr>
              <w:jc w:val="right"/>
              <w:rPr>
                <w:rFonts w:ascii="Calibri" w:hAnsi="Calibri"/>
                <w:sz w:val="20"/>
                <w:szCs w:val="20"/>
              </w:rPr>
            </w:pPr>
            <w:r>
              <w:rPr>
                <w:rFonts w:ascii="Calibri" w:hAnsi="Calibri"/>
                <w:sz w:val="20"/>
                <w:szCs w:val="20"/>
              </w:rPr>
              <w:t>17,482,577</w:t>
            </w:r>
          </w:p>
        </w:tc>
        <w:tc>
          <w:tcPr>
            <w:tcW w:w="709" w:type="dxa"/>
            <w:vAlign w:val="center"/>
          </w:tcPr>
          <w:p w14:paraId="678AAAFE">
            <w:pPr>
              <w:jc w:val="right"/>
              <w:rPr>
                <w:rFonts w:ascii="Calibri" w:hAnsi="Calibri"/>
                <w:sz w:val="20"/>
                <w:szCs w:val="20"/>
              </w:rPr>
            </w:pPr>
            <w:r>
              <w:rPr>
                <w:rFonts w:ascii="Calibri" w:hAnsi="Calibri"/>
                <w:sz w:val="20"/>
                <w:szCs w:val="20"/>
              </w:rPr>
              <w:t>0.89</w:t>
            </w:r>
          </w:p>
        </w:tc>
        <w:tc>
          <w:tcPr>
            <w:tcW w:w="909" w:type="dxa"/>
            <w:vAlign w:val="center"/>
          </w:tcPr>
          <w:p w14:paraId="316C8A16">
            <w:pPr>
              <w:jc w:val="right"/>
              <w:rPr>
                <w:rFonts w:ascii="Calibri" w:hAnsi="Calibri"/>
                <w:sz w:val="20"/>
                <w:szCs w:val="20"/>
              </w:rPr>
            </w:pPr>
            <w:r>
              <w:rPr>
                <w:rFonts w:hint="eastAsia" w:ascii="Calibri" w:hAnsi="Calibri"/>
                <w:sz w:val="20"/>
                <w:szCs w:val="20"/>
              </w:rPr>
              <w:t>0</w:t>
            </w:r>
          </w:p>
        </w:tc>
        <w:sdt>
          <w:sdtPr>
            <w:alias w:val="前十名股东持有股份状态"/>
            <w:tag w:val="_GBC_46a2e2b7fded452b84eec75a5e47296b"/>
            <w:id w:val="-126473876"/>
            <w:comboBox>
              <w:listItem w:displayText="无" w:value="无"/>
              <w:listItem w:displayText="质押" w:value="质押"/>
              <w:listItem w:displayText="标记" w:value="标记"/>
              <w:listItem w:displayText="冻结" w:value="冻结"/>
              <w:listItem w:displayText="未知" w:value="未知"/>
            </w:comboBox>
          </w:sdtPr>
          <w:sdtContent>
            <w:tc>
              <w:tcPr>
                <w:tcW w:w="792" w:type="dxa"/>
                <w:vAlign w:val="center"/>
              </w:tcPr>
              <w:p w14:paraId="4A243127">
                <w:pPr>
                  <w:jc w:val="center"/>
                  <w:rPr>
                    <w:rFonts w:ascii="Calibri" w:hAnsi="Calibri"/>
                    <w:color w:val="FF9900"/>
                    <w:sz w:val="20"/>
                    <w:szCs w:val="20"/>
                  </w:rPr>
                </w:pPr>
                <w:r>
                  <w:rPr>
                    <w:rFonts w:ascii="Calibri" w:hAnsi="Calibri"/>
                    <w:sz w:val="20"/>
                    <w:szCs w:val="20"/>
                  </w:rPr>
                  <w:t>无</w:t>
                </w:r>
              </w:p>
            </w:tc>
          </w:sdtContent>
        </w:sdt>
        <w:tc>
          <w:tcPr>
            <w:tcW w:w="1287" w:type="dxa"/>
            <w:gridSpan w:val="2"/>
            <w:vAlign w:val="center"/>
          </w:tcPr>
          <w:p w14:paraId="191E22E8">
            <w:pPr>
              <w:jc w:val="right"/>
              <w:rPr>
                <w:rFonts w:ascii="Calibri" w:hAnsi="Calibri"/>
                <w:sz w:val="20"/>
                <w:szCs w:val="20"/>
              </w:rPr>
            </w:pPr>
          </w:p>
        </w:tc>
        <w:sdt>
          <w:sdtPr>
            <w:alias w:val="前十名股东的股东性质"/>
            <w:tag w:val="_GBC_84391eccdbd14aa7bbd07a260ff9d747"/>
            <w:id w:val="158725967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dxa"/>
                <w:vAlign w:val="center"/>
              </w:tcPr>
              <w:p w14:paraId="1A8B68E2">
                <w:pPr>
                  <w:rPr>
                    <w:rFonts w:ascii="Calibri" w:hAnsi="Calibri"/>
                    <w:color w:val="FF9900"/>
                    <w:sz w:val="20"/>
                    <w:szCs w:val="20"/>
                  </w:rPr>
                </w:pPr>
                <w:r>
                  <w:rPr>
                    <w:rFonts w:ascii="Calibri" w:hAnsi="Calibri"/>
                    <w:sz w:val="20"/>
                    <w:szCs w:val="20"/>
                  </w:rPr>
                  <w:t>其他</w:t>
                </w:r>
              </w:p>
            </w:tc>
          </w:sdtContent>
        </w:sdt>
      </w:tr>
      <w:tr w14:paraId="62BA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97" w:type="dxa"/>
            <w:vAlign w:val="center"/>
          </w:tcPr>
          <w:p w14:paraId="551DAA61">
            <w:pPr>
              <w:jc w:val="both"/>
              <w:rPr>
                <w:rFonts w:ascii="Calibri" w:hAnsi="Calibri"/>
                <w:sz w:val="20"/>
                <w:szCs w:val="20"/>
              </w:rPr>
            </w:pPr>
            <w:r>
              <w:rPr>
                <w:rFonts w:hint="eastAsia" w:ascii="Calibri" w:hAnsi="Calibri"/>
                <w:sz w:val="20"/>
                <w:szCs w:val="20"/>
              </w:rPr>
              <w:t>上海银行股份有限公司－银华中证创新药产业交易型开放式指数证券投资基金</w:t>
            </w:r>
          </w:p>
        </w:tc>
        <w:tc>
          <w:tcPr>
            <w:tcW w:w="1614" w:type="dxa"/>
            <w:vAlign w:val="center"/>
          </w:tcPr>
          <w:p w14:paraId="64B72C2E">
            <w:pPr>
              <w:jc w:val="right"/>
              <w:rPr>
                <w:rFonts w:ascii="Calibri" w:hAnsi="Calibri"/>
                <w:sz w:val="20"/>
                <w:szCs w:val="20"/>
              </w:rPr>
            </w:pPr>
            <w:r>
              <w:rPr>
                <w:rFonts w:ascii="Calibri" w:hAnsi="Calibri"/>
                <w:sz w:val="20"/>
                <w:szCs w:val="20"/>
              </w:rPr>
              <w:t>-1,564,200</w:t>
            </w:r>
          </w:p>
        </w:tc>
        <w:tc>
          <w:tcPr>
            <w:tcW w:w="1418" w:type="dxa"/>
            <w:vAlign w:val="center"/>
          </w:tcPr>
          <w:p w14:paraId="1F046F13">
            <w:pPr>
              <w:jc w:val="right"/>
              <w:rPr>
                <w:rFonts w:ascii="Calibri" w:hAnsi="Calibri"/>
                <w:sz w:val="20"/>
                <w:szCs w:val="20"/>
              </w:rPr>
            </w:pPr>
            <w:r>
              <w:rPr>
                <w:rFonts w:ascii="Calibri" w:hAnsi="Calibri"/>
                <w:sz w:val="20"/>
                <w:szCs w:val="20"/>
              </w:rPr>
              <w:t>14,265,311</w:t>
            </w:r>
          </w:p>
        </w:tc>
        <w:tc>
          <w:tcPr>
            <w:tcW w:w="709" w:type="dxa"/>
            <w:vAlign w:val="center"/>
          </w:tcPr>
          <w:p w14:paraId="1DE5FCEF">
            <w:pPr>
              <w:jc w:val="right"/>
              <w:rPr>
                <w:rFonts w:ascii="Calibri" w:hAnsi="Calibri"/>
                <w:sz w:val="20"/>
                <w:szCs w:val="20"/>
              </w:rPr>
            </w:pPr>
            <w:r>
              <w:rPr>
                <w:rFonts w:ascii="Calibri" w:hAnsi="Calibri"/>
                <w:sz w:val="20"/>
                <w:szCs w:val="20"/>
              </w:rPr>
              <w:t>0.73</w:t>
            </w:r>
          </w:p>
        </w:tc>
        <w:tc>
          <w:tcPr>
            <w:tcW w:w="909" w:type="dxa"/>
            <w:vAlign w:val="center"/>
          </w:tcPr>
          <w:p w14:paraId="44DC8181">
            <w:pPr>
              <w:jc w:val="right"/>
              <w:rPr>
                <w:rFonts w:ascii="Calibri" w:hAnsi="Calibri"/>
                <w:sz w:val="20"/>
                <w:szCs w:val="20"/>
              </w:rPr>
            </w:pPr>
            <w:r>
              <w:rPr>
                <w:rFonts w:hint="eastAsia" w:ascii="Calibri" w:hAnsi="Calibri"/>
                <w:sz w:val="20"/>
                <w:szCs w:val="20"/>
              </w:rPr>
              <w:t>0</w:t>
            </w:r>
          </w:p>
        </w:tc>
        <w:sdt>
          <w:sdtPr>
            <w:alias w:val="前十名股东持有股份状态"/>
            <w:tag w:val="_GBC_46a2e2b7fded452b84eec75a5e47296b"/>
            <w:id w:val="561367290"/>
            <w:comboBox>
              <w:listItem w:displayText="无" w:value="无"/>
              <w:listItem w:displayText="质押" w:value="质押"/>
              <w:listItem w:displayText="标记" w:value="标记"/>
              <w:listItem w:displayText="冻结" w:value="冻结"/>
              <w:listItem w:displayText="未知" w:value="未知"/>
            </w:comboBox>
          </w:sdtPr>
          <w:sdtContent>
            <w:tc>
              <w:tcPr>
                <w:tcW w:w="792" w:type="dxa"/>
                <w:vAlign w:val="center"/>
              </w:tcPr>
              <w:p w14:paraId="4D3E89E6">
                <w:pPr>
                  <w:jc w:val="center"/>
                  <w:rPr>
                    <w:rFonts w:ascii="Calibri" w:hAnsi="Calibri"/>
                    <w:color w:val="FF9900"/>
                    <w:sz w:val="20"/>
                    <w:szCs w:val="20"/>
                  </w:rPr>
                </w:pPr>
                <w:r>
                  <w:rPr>
                    <w:rFonts w:ascii="Calibri" w:hAnsi="Calibri"/>
                    <w:sz w:val="20"/>
                    <w:szCs w:val="20"/>
                  </w:rPr>
                  <w:t>无</w:t>
                </w:r>
              </w:p>
            </w:tc>
          </w:sdtContent>
        </w:sdt>
        <w:tc>
          <w:tcPr>
            <w:tcW w:w="1287" w:type="dxa"/>
            <w:gridSpan w:val="2"/>
            <w:vAlign w:val="center"/>
          </w:tcPr>
          <w:p w14:paraId="7693F62C">
            <w:pPr>
              <w:jc w:val="right"/>
              <w:rPr>
                <w:rFonts w:ascii="Calibri" w:hAnsi="Calibri"/>
                <w:sz w:val="20"/>
                <w:szCs w:val="20"/>
              </w:rPr>
            </w:pPr>
          </w:p>
        </w:tc>
        <w:sdt>
          <w:sdtPr>
            <w:alias w:val="前十名股东的股东性质"/>
            <w:tag w:val="_GBC_84391eccdbd14aa7bbd07a260ff9d747"/>
            <w:id w:val="-209855264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dxa"/>
                <w:vAlign w:val="center"/>
              </w:tcPr>
              <w:p w14:paraId="520014DF">
                <w:pPr>
                  <w:rPr>
                    <w:rFonts w:ascii="Calibri" w:hAnsi="Calibri"/>
                    <w:color w:val="FF9900"/>
                    <w:sz w:val="20"/>
                    <w:szCs w:val="20"/>
                  </w:rPr>
                </w:pPr>
                <w:r>
                  <w:rPr>
                    <w:rFonts w:ascii="Calibri" w:hAnsi="Calibri"/>
                    <w:sz w:val="20"/>
                    <w:szCs w:val="20"/>
                  </w:rPr>
                  <w:t>其他</w:t>
                </w:r>
              </w:p>
            </w:tc>
          </w:sdtContent>
        </w:sdt>
      </w:tr>
      <w:tr w14:paraId="269B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97" w:type="dxa"/>
            <w:vAlign w:val="center"/>
          </w:tcPr>
          <w:p w14:paraId="332BE689">
            <w:pPr>
              <w:jc w:val="both"/>
              <w:rPr>
                <w:rFonts w:ascii="Calibri" w:hAnsi="Calibri"/>
                <w:sz w:val="20"/>
                <w:szCs w:val="20"/>
              </w:rPr>
            </w:pPr>
            <w:r>
              <w:rPr>
                <w:rFonts w:hint="eastAsia" w:ascii="Calibri" w:hAnsi="Calibri"/>
                <w:sz w:val="20"/>
                <w:szCs w:val="20"/>
              </w:rPr>
              <w:t>李一奎</w:t>
            </w:r>
          </w:p>
        </w:tc>
        <w:tc>
          <w:tcPr>
            <w:tcW w:w="1614" w:type="dxa"/>
            <w:vAlign w:val="center"/>
          </w:tcPr>
          <w:p w14:paraId="7A922385">
            <w:pPr>
              <w:jc w:val="right"/>
              <w:rPr>
                <w:rFonts w:ascii="Calibri" w:hAnsi="Calibri"/>
                <w:sz w:val="20"/>
                <w:szCs w:val="20"/>
              </w:rPr>
            </w:pPr>
            <w:r>
              <w:rPr>
                <w:rFonts w:ascii="Calibri" w:hAnsi="Calibri"/>
                <w:sz w:val="20"/>
                <w:szCs w:val="20"/>
              </w:rPr>
              <w:t>0</w:t>
            </w:r>
          </w:p>
        </w:tc>
        <w:tc>
          <w:tcPr>
            <w:tcW w:w="1418" w:type="dxa"/>
            <w:vAlign w:val="center"/>
          </w:tcPr>
          <w:p w14:paraId="6CADE3E5">
            <w:pPr>
              <w:jc w:val="right"/>
              <w:rPr>
                <w:rFonts w:ascii="Calibri" w:hAnsi="Calibri"/>
                <w:sz w:val="20"/>
                <w:szCs w:val="20"/>
              </w:rPr>
            </w:pPr>
            <w:r>
              <w:rPr>
                <w:rFonts w:ascii="Calibri" w:hAnsi="Calibri"/>
                <w:sz w:val="20"/>
                <w:szCs w:val="20"/>
              </w:rPr>
              <w:t>11,328,579</w:t>
            </w:r>
          </w:p>
        </w:tc>
        <w:tc>
          <w:tcPr>
            <w:tcW w:w="709" w:type="dxa"/>
            <w:vAlign w:val="center"/>
          </w:tcPr>
          <w:p w14:paraId="5291C192">
            <w:pPr>
              <w:jc w:val="right"/>
              <w:rPr>
                <w:rFonts w:ascii="Calibri" w:hAnsi="Calibri"/>
                <w:sz w:val="20"/>
                <w:szCs w:val="20"/>
              </w:rPr>
            </w:pPr>
            <w:r>
              <w:rPr>
                <w:rFonts w:ascii="Calibri" w:hAnsi="Calibri"/>
                <w:sz w:val="20"/>
                <w:szCs w:val="20"/>
              </w:rPr>
              <w:t>0.58</w:t>
            </w:r>
          </w:p>
        </w:tc>
        <w:tc>
          <w:tcPr>
            <w:tcW w:w="909" w:type="dxa"/>
            <w:vAlign w:val="center"/>
          </w:tcPr>
          <w:p w14:paraId="37AF066B">
            <w:pPr>
              <w:jc w:val="right"/>
              <w:rPr>
                <w:rFonts w:ascii="Calibri" w:hAnsi="Calibri"/>
                <w:sz w:val="20"/>
                <w:szCs w:val="20"/>
              </w:rPr>
            </w:pPr>
            <w:r>
              <w:rPr>
                <w:rFonts w:hint="eastAsia" w:ascii="Calibri" w:hAnsi="Calibri"/>
                <w:sz w:val="20"/>
                <w:szCs w:val="20"/>
              </w:rPr>
              <w:t>0</w:t>
            </w:r>
          </w:p>
        </w:tc>
        <w:sdt>
          <w:sdtPr>
            <w:alias w:val="前十名股东持有股份状态"/>
            <w:tag w:val="_GBC_46a2e2b7fded452b84eec75a5e47296b"/>
            <w:id w:val="-1506198256"/>
            <w:comboBox>
              <w:listItem w:displayText="无" w:value="无"/>
              <w:listItem w:displayText="质押" w:value="质押"/>
              <w:listItem w:displayText="标记" w:value="标记"/>
              <w:listItem w:displayText="冻结" w:value="冻结"/>
              <w:listItem w:displayText="未知" w:value="未知"/>
            </w:comboBox>
          </w:sdtPr>
          <w:sdtContent>
            <w:tc>
              <w:tcPr>
                <w:tcW w:w="792" w:type="dxa"/>
                <w:vAlign w:val="center"/>
              </w:tcPr>
              <w:p w14:paraId="3683EE2C">
                <w:pPr>
                  <w:jc w:val="center"/>
                  <w:rPr>
                    <w:rFonts w:ascii="Calibri" w:hAnsi="Calibri"/>
                    <w:color w:val="FF9900"/>
                    <w:sz w:val="20"/>
                    <w:szCs w:val="20"/>
                  </w:rPr>
                </w:pPr>
                <w:r>
                  <w:rPr>
                    <w:rFonts w:ascii="Calibri" w:hAnsi="Calibri"/>
                    <w:sz w:val="20"/>
                    <w:szCs w:val="20"/>
                  </w:rPr>
                  <w:t>无</w:t>
                </w:r>
              </w:p>
            </w:tc>
          </w:sdtContent>
        </w:sdt>
        <w:tc>
          <w:tcPr>
            <w:tcW w:w="1287" w:type="dxa"/>
            <w:gridSpan w:val="2"/>
            <w:vAlign w:val="center"/>
          </w:tcPr>
          <w:p w14:paraId="16BDD0ED">
            <w:pPr>
              <w:jc w:val="right"/>
              <w:rPr>
                <w:rFonts w:ascii="Calibri" w:hAnsi="Calibri"/>
                <w:sz w:val="20"/>
                <w:szCs w:val="20"/>
              </w:rPr>
            </w:pPr>
          </w:p>
        </w:tc>
        <w:sdt>
          <w:sdtPr>
            <w:alias w:val="前十名股东的股东性质"/>
            <w:tag w:val="_GBC_84391eccdbd14aa7bbd07a260ff9d747"/>
            <w:id w:val="-64273465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dxa"/>
                <w:vAlign w:val="center"/>
              </w:tcPr>
              <w:p w14:paraId="283590C2">
                <w:pPr>
                  <w:rPr>
                    <w:rFonts w:ascii="Calibri" w:hAnsi="Calibri"/>
                    <w:color w:val="FF9900"/>
                    <w:sz w:val="20"/>
                    <w:szCs w:val="20"/>
                  </w:rPr>
                </w:pPr>
                <w:r>
                  <w:rPr>
                    <w:rFonts w:ascii="Calibri" w:hAnsi="Calibri"/>
                    <w:sz w:val="20"/>
                    <w:szCs w:val="20"/>
                  </w:rPr>
                  <w:t>境内自然人</w:t>
                </w:r>
              </w:p>
            </w:tc>
          </w:sdtContent>
        </w:sdt>
      </w:tr>
      <w:tr w14:paraId="69FC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97" w:type="dxa"/>
            <w:vAlign w:val="center"/>
          </w:tcPr>
          <w:p w14:paraId="236C9B70">
            <w:pPr>
              <w:jc w:val="both"/>
              <w:rPr>
                <w:rFonts w:ascii="Calibri" w:hAnsi="Calibri"/>
                <w:sz w:val="20"/>
                <w:szCs w:val="20"/>
              </w:rPr>
            </w:pPr>
            <w:r>
              <w:rPr>
                <w:rFonts w:hint="eastAsia" w:ascii="Calibri" w:hAnsi="Calibri"/>
                <w:sz w:val="20"/>
                <w:szCs w:val="20"/>
              </w:rPr>
              <w:t>招商银行股份有限公司－南方中证1000交易型开放式指数证券投资基金</w:t>
            </w:r>
          </w:p>
        </w:tc>
        <w:tc>
          <w:tcPr>
            <w:tcW w:w="1614" w:type="dxa"/>
            <w:vAlign w:val="center"/>
          </w:tcPr>
          <w:p w14:paraId="34EAAB7B">
            <w:pPr>
              <w:jc w:val="right"/>
              <w:rPr>
                <w:rFonts w:ascii="Calibri" w:hAnsi="Calibri"/>
                <w:sz w:val="20"/>
                <w:szCs w:val="20"/>
              </w:rPr>
            </w:pPr>
            <w:r>
              <w:rPr>
                <w:rFonts w:ascii="Calibri" w:hAnsi="Calibri"/>
                <w:sz w:val="20"/>
                <w:szCs w:val="20"/>
              </w:rPr>
              <w:t>10,755,410</w:t>
            </w:r>
          </w:p>
        </w:tc>
        <w:tc>
          <w:tcPr>
            <w:tcW w:w="1418" w:type="dxa"/>
            <w:vAlign w:val="center"/>
          </w:tcPr>
          <w:p w14:paraId="2A1883C8">
            <w:pPr>
              <w:jc w:val="right"/>
              <w:rPr>
                <w:rFonts w:ascii="Calibri" w:hAnsi="Calibri"/>
                <w:sz w:val="20"/>
                <w:szCs w:val="20"/>
              </w:rPr>
            </w:pPr>
            <w:r>
              <w:rPr>
                <w:rFonts w:ascii="Calibri" w:hAnsi="Calibri"/>
                <w:sz w:val="20"/>
                <w:szCs w:val="20"/>
              </w:rPr>
              <w:t>10,755,410</w:t>
            </w:r>
          </w:p>
        </w:tc>
        <w:tc>
          <w:tcPr>
            <w:tcW w:w="709" w:type="dxa"/>
            <w:vAlign w:val="center"/>
          </w:tcPr>
          <w:p w14:paraId="477F06B3">
            <w:pPr>
              <w:jc w:val="right"/>
              <w:rPr>
                <w:rFonts w:ascii="Calibri" w:hAnsi="Calibri"/>
                <w:sz w:val="20"/>
                <w:szCs w:val="20"/>
              </w:rPr>
            </w:pPr>
            <w:r>
              <w:rPr>
                <w:rFonts w:ascii="Calibri" w:hAnsi="Calibri"/>
                <w:sz w:val="20"/>
                <w:szCs w:val="20"/>
              </w:rPr>
              <w:t>0.55</w:t>
            </w:r>
          </w:p>
        </w:tc>
        <w:tc>
          <w:tcPr>
            <w:tcW w:w="909" w:type="dxa"/>
            <w:vAlign w:val="center"/>
          </w:tcPr>
          <w:p w14:paraId="038F99AB">
            <w:pPr>
              <w:jc w:val="right"/>
              <w:rPr>
                <w:rFonts w:ascii="Calibri" w:hAnsi="Calibri"/>
                <w:sz w:val="20"/>
                <w:szCs w:val="20"/>
              </w:rPr>
            </w:pPr>
            <w:r>
              <w:rPr>
                <w:rFonts w:hint="eastAsia" w:ascii="Calibri" w:hAnsi="Calibri"/>
                <w:sz w:val="20"/>
                <w:szCs w:val="20"/>
              </w:rPr>
              <w:t>0</w:t>
            </w:r>
          </w:p>
        </w:tc>
        <w:sdt>
          <w:sdtPr>
            <w:alias w:val="前十名股东持有股份状态"/>
            <w:tag w:val="_GBC_46a2e2b7fded452b84eec75a5e47296b"/>
            <w:id w:val="-487793562"/>
            <w:comboBox>
              <w:listItem w:displayText="无" w:value="无"/>
              <w:listItem w:displayText="质押" w:value="质押"/>
              <w:listItem w:displayText="标记" w:value="标记"/>
              <w:listItem w:displayText="冻结" w:value="冻结"/>
              <w:listItem w:displayText="未知" w:value="未知"/>
            </w:comboBox>
          </w:sdtPr>
          <w:sdtContent>
            <w:tc>
              <w:tcPr>
                <w:tcW w:w="792" w:type="dxa"/>
                <w:vAlign w:val="center"/>
              </w:tcPr>
              <w:p w14:paraId="0A76AF95">
                <w:pPr>
                  <w:jc w:val="center"/>
                  <w:rPr>
                    <w:rFonts w:ascii="Calibri" w:hAnsi="Calibri"/>
                    <w:color w:val="FF9900"/>
                    <w:sz w:val="20"/>
                    <w:szCs w:val="20"/>
                  </w:rPr>
                </w:pPr>
                <w:r>
                  <w:rPr>
                    <w:rFonts w:ascii="Calibri" w:hAnsi="Calibri"/>
                    <w:sz w:val="20"/>
                    <w:szCs w:val="20"/>
                  </w:rPr>
                  <w:t>无</w:t>
                </w:r>
              </w:p>
            </w:tc>
          </w:sdtContent>
        </w:sdt>
        <w:tc>
          <w:tcPr>
            <w:tcW w:w="1287" w:type="dxa"/>
            <w:gridSpan w:val="2"/>
            <w:vAlign w:val="center"/>
          </w:tcPr>
          <w:p w14:paraId="61CA8B32">
            <w:pPr>
              <w:jc w:val="right"/>
              <w:rPr>
                <w:rFonts w:ascii="Calibri" w:hAnsi="Calibri"/>
                <w:sz w:val="20"/>
                <w:szCs w:val="20"/>
              </w:rPr>
            </w:pPr>
          </w:p>
        </w:tc>
        <w:sdt>
          <w:sdtPr>
            <w:alias w:val="前十名股东的股东性质"/>
            <w:tag w:val="_GBC_84391eccdbd14aa7bbd07a260ff9d747"/>
            <w:id w:val="-146049383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dxa"/>
                <w:vAlign w:val="center"/>
              </w:tcPr>
              <w:p w14:paraId="576876A6">
                <w:pPr>
                  <w:rPr>
                    <w:rFonts w:ascii="Calibri" w:hAnsi="Calibri"/>
                    <w:color w:val="FF9900"/>
                    <w:sz w:val="20"/>
                    <w:szCs w:val="20"/>
                  </w:rPr>
                </w:pPr>
                <w:r>
                  <w:rPr>
                    <w:rFonts w:ascii="Calibri" w:hAnsi="Calibri"/>
                    <w:sz w:val="20"/>
                    <w:szCs w:val="20"/>
                  </w:rPr>
                  <w:t>其他</w:t>
                </w:r>
              </w:p>
            </w:tc>
          </w:sdtContent>
        </w:sdt>
      </w:tr>
      <w:tr w14:paraId="541D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97" w:type="dxa"/>
            <w:vAlign w:val="center"/>
          </w:tcPr>
          <w:p w14:paraId="1A8FF099">
            <w:pPr>
              <w:jc w:val="both"/>
              <w:rPr>
                <w:rFonts w:ascii="Calibri" w:hAnsi="Calibri"/>
                <w:sz w:val="20"/>
                <w:szCs w:val="20"/>
              </w:rPr>
            </w:pPr>
            <w:r>
              <w:rPr>
                <w:rFonts w:hint="eastAsia" w:ascii="Calibri" w:hAnsi="Calibri"/>
                <w:sz w:val="20"/>
                <w:szCs w:val="20"/>
              </w:rPr>
              <w:t>通化东宝药业股份有限公司－2025年员工持股计划</w:t>
            </w:r>
          </w:p>
        </w:tc>
        <w:tc>
          <w:tcPr>
            <w:tcW w:w="1614" w:type="dxa"/>
            <w:vAlign w:val="center"/>
          </w:tcPr>
          <w:p w14:paraId="1A358411">
            <w:pPr>
              <w:jc w:val="right"/>
              <w:rPr>
                <w:rFonts w:ascii="Calibri" w:hAnsi="Calibri"/>
                <w:sz w:val="20"/>
                <w:szCs w:val="20"/>
              </w:rPr>
            </w:pPr>
            <w:r>
              <w:rPr>
                <w:rFonts w:ascii="Calibri" w:hAnsi="Calibri"/>
                <w:sz w:val="20"/>
                <w:szCs w:val="20"/>
              </w:rPr>
              <w:t>9,290,000</w:t>
            </w:r>
          </w:p>
        </w:tc>
        <w:tc>
          <w:tcPr>
            <w:tcW w:w="1418" w:type="dxa"/>
            <w:vAlign w:val="center"/>
          </w:tcPr>
          <w:p w14:paraId="6FB6114D">
            <w:pPr>
              <w:jc w:val="right"/>
              <w:rPr>
                <w:rFonts w:ascii="Calibri" w:hAnsi="Calibri"/>
                <w:sz w:val="20"/>
                <w:szCs w:val="20"/>
              </w:rPr>
            </w:pPr>
            <w:r>
              <w:rPr>
                <w:rFonts w:ascii="Calibri" w:hAnsi="Calibri"/>
                <w:sz w:val="20"/>
                <w:szCs w:val="20"/>
              </w:rPr>
              <w:t>9,290,000</w:t>
            </w:r>
          </w:p>
        </w:tc>
        <w:tc>
          <w:tcPr>
            <w:tcW w:w="709" w:type="dxa"/>
            <w:vAlign w:val="center"/>
          </w:tcPr>
          <w:p w14:paraId="7E0F8B9E">
            <w:pPr>
              <w:jc w:val="right"/>
              <w:rPr>
                <w:rFonts w:ascii="Calibri" w:hAnsi="Calibri"/>
                <w:sz w:val="20"/>
                <w:szCs w:val="20"/>
              </w:rPr>
            </w:pPr>
            <w:r>
              <w:rPr>
                <w:rFonts w:ascii="Calibri" w:hAnsi="Calibri"/>
                <w:sz w:val="20"/>
                <w:szCs w:val="20"/>
              </w:rPr>
              <w:t>0.47</w:t>
            </w:r>
          </w:p>
        </w:tc>
        <w:tc>
          <w:tcPr>
            <w:tcW w:w="909" w:type="dxa"/>
            <w:vAlign w:val="center"/>
          </w:tcPr>
          <w:p w14:paraId="48D2F255">
            <w:pPr>
              <w:jc w:val="right"/>
              <w:rPr>
                <w:rFonts w:ascii="Calibri" w:hAnsi="Calibri"/>
                <w:sz w:val="20"/>
                <w:szCs w:val="20"/>
              </w:rPr>
            </w:pPr>
            <w:r>
              <w:rPr>
                <w:rFonts w:hint="eastAsia" w:ascii="Calibri" w:hAnsi="Calibri"/>
                <w:sz w:val="20"/>
                <w:szCs w:val="20"/>
              </w:rPr>
              <w:t>0</w:t>
            </w:r>
          </w:p>
        </w:tc>
        <w:sdt>
          <w:sdtPr>
            <w:alias w:val="前十名股东持有股份状态"/>
            <w:tag w:val="_GBC_46a2e2b7fded452b84eec75a5e47296b"/>
            <w:id w:val="-1874298798"/>
            <w:comboBox>
              <w:listItem w:displayText="无" w:value="无"/>
              <w:listItem w:displayText="质押" w:value="质押"/>
              <w:listItem w:displayText="标记" w:value="标记"/>
              <w:listItem w:displayText="冻结" w:value="冻结"/>
              <w:listItem w:displayText="未知" w:value="未知"/>
            </w:comboBox>
          </w:sdtPr>
          <w:sdtContent>
            <w:tc>
              <w:tcPr>
                <w:tcW w:w="792" w:type="dxa"/>
                <w:vAlign w:val="center"/>
              </w:tcPr>
              <w:p w14:paraId="2ABED280">
                <w:pPr>
                  <w:jc w:val="center"/>
                  <w:rPr>
                    <w:rFonts w:ascii="Calibri" w:hAnsi="Calibri"/>
                    <w:color w:val="FF9900"/>
                    <w:sz w:val="20"/>
                    <w:szCs w:val="20"/>
                  </w:rPr>
                </w:pPr>
                <w:r>
                  <w:rPr>
                    <w:rFonts w:ascii="Calibri" w:hAnsi="Calibri"/>
                    <w:sz w:val="20"/>
                    <w:szCs w:val="20"/>
                  </w:rPr>
                  <w:t>无</w:t>
                </w:r>
              </w:p>
            </w:tc>
          </w:sdtContent>
        </w:sdt>
        <w:tc>
          <w:tcPr>
            <w:tcW w:w="1287" w:type="dxa"/>
            <w:gridSpan w:val="2"/>
            <w:vAlign w:val="center"/>
          </w:tcPr>
          <w:p w14:paraId="3CC4E220">
            <w:pPr>
              <w:jc w:val="right"/>
              <w:rPr>
                <w:rFonts w:ascii="Calibri" w:hAnsi="Calibri"/>
                <w:sz w:val="20"/>
                <w:szCs w:val="20"/>
              </w:rPr>
            </w:pPr>
          </w:p>
        </w:tc>
        <w:sdt>
          <w:sdtPr>
            <w:alias w:val="前十名股东的股东性质"/>
            <w:tag w:val="_GBC_84391eccdbd14aa7bbd07a260ff9d747"/>
            <w:id w:val="73613658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dxa"/>
                <w:vAlign w:val="center"/>
              </w:tcPr>
              <w:p w14:paraId="37223756">
                <w:pPr>
                  <w:rPr>
                    <w:rFonts w:ascii="Calibri" w:hAnsi="Calibri"/>
                    <w:color w:val="FF9900"/>
                    <w:sz w:val="20"/>
                    <w:szCs w:val="20"/>
                  </w:rPr>
                </w:pPr>
                <w:r>
                  <w:rPr>
                    <w:rFonts w:ascii="Calibri" w:hAnsi="Calibri"/>
                    <w:sz w:val="20"/>
                    <w:szCs w:val="20"/>
                  </w:rPr>
                  <w:t>其他</w:t>
                </w:r>
              </w:p>
            </w:tc>
          </w:sdtContent>
        </w:sdt>
      </w:tr>
      <w:tr w14:paraId="73E1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97" w:type="dxa"/>
            <w:vAlign w:val="center"/>
          </w:tcPr>
          <w:p w14:paraId="4B7238E0">
            <w:pPr>
              <w:jc w:val="both"/>
              <w:rPr>
                <w:rFonts w:ascii="Calibri" w:hAnsi="Calibri"/>
                <w:sz w:val="20"/>
                <w:szCs w:val="20"/>
              </w:rPr>
            </w:pPr>
            <w:r>
              <w:rPr>
                <w:rFonts w:hint="eastAsia" w:ascii="Calibri" w:hAnsi="Calibri"/>
                <w:sz w:val="20"/>
                <w:szCs w:val="20"/>
              </w:rPr>
              <w:t>中国银行股份有限公司－广发中证创新药产业交易型开放式指数证券投资基金</w:t>
            </w:r>
          </w:p>
        </w:tc>
        <w:tc>
          <w:tcPr>
            <w:tcW w:w="1614" w:type="dxa"/>
            <w:vAlign w:val="center"/>
          </w:tcPr>
          <w:p w14:paraId="2C84164B">
            <w:pPr>
              <w:jc w:val="right"/>
              <w:rPr>
                <w:rFonts w:ascii="Calibri" w:hAnsi="Calibri"/>
                <w:sz w:val="20"/>
                <w:szCs w:val="20"/>
              </w:rPr>
            </w:pPr>
            <w:r>
              <w:rPr>
                <w:rFonts w:ascii="Calibri" w:hAnsi="Calibri"/>
                <w:sz w:val="20"/>
                <w:szCs w:val="20"/>
              </w:rPr>
              <w:t>2,522,104</w:t>
            </w:r>
          </w:p>
        </w:tc>
        <w:tc>
          <w:tcPr>
            <w:tcW w:w="1418" w:type="dxa"/>
            <w:vAlign w:val="center"/>
          </w:tcPr>
          <w:p w14:paraId="4324CD11">
            <w:pPr>
              <w:jc w:val="right"/>
              <w:rPr>
                <w:rFonts w:ascii="Calibri" w:hAnsi="Calibri"/>
                <w:sz w:val="20"/>
                <w:szCs w:val="20"/>
              </w:rPr>
            </w:pPr>
            <w:r>
              <w:rPr>
                <w:rFonts w:ascii="Calibri" w:hAnsi="Calibri"/>
                <w:sz w:val="20"/>
                <w:szCs w:val="20"/>
              </w:rPr>
              <w:t>8,204,261</w:t>
            </w:r>
          </w:p>
        </w:tc>
        <w:tc>
          <w:tcPr>
            <w:tcW w:w="709" w:type="dxa"/>
            <w:vAlign w:val="center"/>
          </w:tcPr>
          <w:p w14:paraId="4F7F75FD">
            <w:pPr>
              <w:jc w:val="right"/>
              <w:rPr>
                <w:rFonts w:ascii="Calibri" w:hAnsi="Calibri"/>
                <w:sz w:val="20"/>
                <w:szCs w:val="20"/>
              </w:rPr>
            </w:pPr>
            <w:r>
              <w:rPr>
                <w:rFonts w:ascii="Calibri" w:hAnsi="Calibri"/>
                <w:sz w:val="20"/>
                <w:szCs w:val="20"/>
              </w:rPr>
              <w:t>0.42</w:t>
            </w:r>
          </w:p>
        </w:tc>
        <w:tc>
          <w:tcPr>
            <w:tcW w:w="909" w:type="dxa"/>
            <w:vAlign w:val="center"/>
          </w:tcPr>
          <w:p w14:paraId="325359C8">
            <w:pPr>
              <w:jc w:val="right"/>
              <w:rPr>
                <w:rFonts w:ascii="Calibri" w:hAnsi="Calibri"/>
                <w:sz w:val="20"/>
                <w:szCs w:val="20"/>
              </w:rPr>
            </w:pPr>
            <w:r>
              <w:rPr>
                <w:rFonts w:hint="eastAsia" w:ascii="Calibri" w:hAnsi="Calibri"/>
                <w:sz w:val="20"/>
                <w:szCs w:val="20"/>
              </w:rPr>
              <w:t>0</w:t>
            </w:r>
          </w:p>
        </w:tc>
        <w:sdt>
          <w:sdtPr>
            <w:alias w:val="前十名股东持有股份状态"/>
            <w:tag w:val="_GBC_46a2e2b7fded452b84eec75a5e47296b"/>
            <w:id w:val="-1857035755"/>
            <w:comboBox>
              <w:listItem w:displayText="无" w:value="无"/>
              <w:listItem w:displayText="质押" w:value="质押"/>
              <w:listItem w:displayText="标记" w:value="标记"/>
              <w:listItem w:displayText="冻结" w:value="冻结"/>
              <w:listItem w:displayText="未知" w:value="未知"/>
            </w:comboBox>
          </w:sdtPr>
          <w:sdtContent>
            <w:tc>
              <w:tcPr>
                <w:tcW w:w="792" w:type="dxa"/>
                <w:vAlign w:val="center"/>
              </w:tcPr>
              <w:p w14:paraId="453C9ABF">
                <w:pPr>
                  <w:jc w:val="center"/>
                  <w:rPr>
                    <w:rFonts w:ascii="Calibri" w:hAnsi="Calibri"/>
                    <w:color w:val="FF9900"/>
                    <w:sz w:val="20"/>
                    <w:szCs w:val="20"/>
                  </w:rPr>
                </w:pPr>
                <w:r>
                  <w:rPr>
                    <w:rFonts w:ascii="Calibri" w:hAnsi="Calibri"/>
                    <w:sz w:val="20"/>
                    <w:szCs w:val="20"/>
                  </w:rPr>
                  <w:t>无</w:t>
                </w:r>
              </w:p>
            </w:tc>
          </w:sdtContent>
        </w:sdt>
        <w:tc>
          <w:tcPr>
            <w:tcW w:w="1287" w:type="dxa"/>
            <w:gridSpan w:val="2"/>
            <w:vAlign w:val="center"/>
          </w:tcPr>
          <w:p w14:paraId="7FFA82BD">
            <w:pPr>
              <w:jc w:val="right"/>
              <w:rPr>
                <w:rFonts w:ascii="Calibri" w:hAnsi="Calibri"/>
                <w:sz w:val="20"/>
                <w:szCs w:val="20"/>
              </w:rPr>
            </w:pPr>
          </w:p>
        </w:tc>
        <w:sdt>
          <w:sdtPr>
            <w:alias w:val="前十名股东的股东性质"/>
            <w:tag w:val="_GBC_84391eccdbd14aa7bbd07a260ff9d747"/>
            <w:id w:val="-121766397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dxa"/>
                <w:vAlign w:val="center"/>
              </w:tcPr>
              <w:p w14:paraId="700C6C94">
                <w:pPr>
                  <w:rPr>
                    <w:rFonts w:ascii="Calibri" w:hAnsi="Calibri"/>
                    <w:color w:val="FF9900"/>
                    <w:sz w:val="20"/>
                    <w:szCs w:val="20"/>
                  </w:rPr>
                </w:pPr>
                <w:r>
                  <w:rPr>
                    <w:rFonts w:ascii="Calibri" w:hAnsi="Calibri"/>
                    <w:sz w:val="20"/>
                    <w:szCs w:val="20"/>
                  </w:rPr>
                  <w:t>其他</w:t>
                </w:r>
              </w:p>
            </w:tc>
          </w:sdtContent>
        </w:sdt>
      </w:tr>
      <w:tr w14:paraId="6BB5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7f241e5dc05a4ae7b61268f4f1627ca0"/>
            <w:id w:val="-1719191372"/>
          </w:sdtPr>
          <w:sdtContent>
            <w:tc>
              <w:tcPr>
                <w:tcW w:w="10114" w:type="dxa"/>
                <w:gridSpan w:val="9"/>
                <w:vAlign w:val="center"/>
              </w:tcPr>
              <w:p w14:paraId="5A5CDE98">
                <w:pPr>
                  <w:jc w:val="center"/>
                  <w:rPr>
                    <w:rFonts w:ascii="Calibri" w:hAnsi="Calibri"/>
                    <w:color w:val="FF9900"/>
                    <w:sz w:val="20"/>
                    <w:szCs w:val="20"/>
                  </w:rPr>
                </w:pPr>
                <w:r>
                  <w:rPr>
                    <w:rFonts w:ascii="Calibri" w:hAnsi="Calibri"/>
                    <w:sz w:val="20"/>
                    <w:szCs w:val="20"/>
                  </w:rPr>
                  <w:t>前十名无限售条件股东持股情况</w:t>
                </w:r>
                <w:r>
                  <w:rPr>
                    <w:rFonts w:hint="eastAsia" w:ascii="Calibri" w:hAnsi="Calibri"/>
                    <w:sz w:val="20"/>
                    <w:szCs w:val="20"/>
                  </w:rPr>
                  <w:t>（不含通过转融通出借股份）</w:t>
                </w:r>
              </w:p>
            </w:tc>
          </w:sdtContent>
        </w:sdt>
      </w:tr>
      <w:tr w14:paraId="6FB2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443ad39720a4d59be87cdf7b0bc4970"/>
            <w:id w:val="-1487775152"/>
          </w:sdtPr>
          <w:sdtContent>
            <w:tc>
              <w:tcPr>
                <w:tcW w:w="4111" w:type="dxa"/>
                <w:gridSpan w:val="2"/>
                <w:vMerge w:val="restart"/>
                <w:vAlign w:val="center"/>
              </w:tcPr>
              <w:p w14:paraId="4A2BB016">
                <w:pPr>
                  <w:jc w:val="center"/>
                  <w:rPr>
                    <w:rFonts w:ascii="Calibri" w:hAnsi="Calibri"/>
                    <w:color w:val="FF9900"/>
                    <w:sz w:val="20"/>
                    <w:szCs w:val="20"/>
                  </w:rPr>
                </w:pPr>
                <w:r>
                  <w:rPr>
                    <w:rFonts w:ascii="Calibri" w:hAnsi="Calibri"/>
                    <w:sz w:val="20"/>
                    <w:szCs w:val="20"/>
                  </w:rPr>
                  <w:t>股东名称</w:t>
                </w:r>
              </w:p>
            </w:tc>
          </w:sdtContent>
        </w:sdt>
        <w:sdt>
          <w:sdtPr>
            <w:tag w:val="_PLD_a7f143afa2b94466a44af03e770016b0"/>
            <w:id w:val="149796522"/>
          </w:sdtPr>
          <w:sdtContent>
            <w:tc>
              <w:tcPr>
                <w:tcW w:w="3036" w:type="dxa"/>
                <w:gridSpan w:val="3"/>
                <w:vMerge w:val="restart"/>
                <w:vAlign w:val="center"/>
              </w:tcPr>
              <w:p w14:paraId="7BC18D9B">
                <w:pPr>
                  <w:jc w:val="center"/>
                  <w:rPr>
                    <w:rFonts w:ascii="Calibri" w:hAnsi="Calibri"/>
                    <w:color w:val="FF9900"/>
                    <w:sz w:val="20"/>
                    <w:szCs w:val="20"/>
                  </w:rPr>
                </w:pPr>
                <w:r>
                  <w:rPr>
                    <w:rFonts w:ascii="Calibri" w:hAnsi="Calibri"/>
                    <w:sz w:val="20"/>
                    <w:szCs w:val="20"/>
                  </w:rPr>
                  <w:t>持有无限售条件流通股的数量</w:t>
                </w:r>
              </w:p>
            </w:tc>
          </w:sdtContent>
        </w:sdt>
        <w:sdt>
          <w:sdtPr>
            <w:tag w:val="_PLD_fa97ca004a544042af7e1d7463bea345"/>
            <w:id w:val="167762245"/>
          </w:sdtPr>
          <w:sdtContent>
            <w:tc>
              <w:tcPr>
                <w:tcW w:w="2967" w:type="dxa"/>
                <w:gridSpan w:val="4"/>
                <w:tcBorders>
                  <w:bottom w:val="single" w:color="auto" w:sz="4" w:space="0"/>
                </w:tcBorders>
                <w:vAlign w:val="center"/>
              </w:tcPr>
              <w:p w14:paraId="30A99075">
                <w:pPr>
                  <w:jc w:val="center"/>
                  <w:rPr>
                    <w:rFonts w:ascii="Calibri" w:hAnsi="Calibri"/>
                    <w:color w:val="FF9900"/>
                    <w:sz w:val="20"/>
                    <w:szCs w:val="20"/>
                  </w:rPr>
                </w:pPr>
                <w:r>
                  <w:rPr>
                    <w:rFonts w:ascii="Calibri" w:hAnsi="Calibri"/>
                    <w:sz w:val="20"/>
                    <w:szCs w:val="20"/>
                  </w:rPr>
                  <w:t>股份种类</w:t>
                </w:r>
                <w:r>
                  <w:rPr>
                    <w:rFonts w:hint="eastAsia" w:ascii="Calibri" w:hAnsi="Calibri"/>
                    <w:sz w:val="20"/>
                    <w:szCs w:val="20"/>
                  </w:rPr>
                  <w:t>及数量</w:t>
                </w:r>
              </w:p>
            </w:tc>
          </w:sdtContent>
        </w:sdt>
      </w:tr>
      <w:tr w14:paraId="7C43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Merge w:val="continue"/>
            <w:vAlign w:val="center"/>
          </w:tcPr>
          <w:p w14:paraId="3667A16A">
            <w:pPr>
              <w:jc w:val="center"/>
              <w:rPr>
                <w:rFonts w:ascii="Calibri" w:hAnsi="Calibri"/>
                <w:color w:val="FF9900"/>
                <w:sz w:val="20"/>
                <w:szCs w:val="20"/>
              </w:rPr>
            </w:pPr>
          </w:p>
        </w:tc>
        <w:tc>
          <w:tcPr>
            <w:tcW w:w="3036" w:type="dxa"/>
            <w:gridSpan w:val="3"/>
            <w:vMerge w:val="continue"/>
            <w:vAlign w:val="center"/>
          </w:tcPr>
          <w:p w14:paraId="7E41ACAF">
            <w:pPr>
              <w:jc w:val="center"/>
              <w:rPr>
                <w:rFonts w:ascii="Calibri" w:hAnsi="Calibri"/>
                <w:color w:val="FF9900"/>
                <w:sz w:val="20"/>
                <w:szCs w:val="20"/>
              </w:rPr>
            </w:pPr>
          </w:p>
        </w:tc>
        <w:sdt>
          <w:sdtPr>
            <w:tag w:val="_PLD_e67773187f2f4233a6666596947248e8"/>
            <w:id w:val="-2004891172"/>
          </w:sdtPr>
          <w:sdtContent>
            <w:tc>
              <w:tcPr>
                <w:tcW w:w="1666" w:type="dxa"/>
                <w:gridSpan w:val="2"/>
                <w:vAlign w:val="center"/>
              </w:tcPr>
              <w:p w14:paraId="44EB0F43">
                <w:pPr>
                  <w:jc w:val="center"/>
                  <w:rPr>
                    <w:rFonts w:ascii="Calibri" w:hAnsi="Calibri"/>
                    <w:color w:val="008000"/>
                    <w:sz w:val="20"/>
                    <w:szCs w:val="20"/>
                  </w:rPr>
                </w:pPr>
                <w:r>
                  <w:rPr>
                    <w:rFonts w:hint="eastAsia" w:ascii="Calibri" w:hAnsi="Calibri"/>
                    <w:sz w:val="20"/>
                    <w:szCs w:val="20"/>
                  </w:rPr>
                  <w:t>种类</w:t>
                </w:r>
              </w:p>
            </w:tc>
          </w:sdtContent>
        </w:sdt>
        <w:sdt>
          <w:sdtPr>
            <w:tag w:val="_PLD_2f2fd5088a82440f9265e00f4e298be0"/>
            <w:id w:val="1439724770"/>
          </w:sdtPr>
          <w:sdtContent>
            <w:tc>
              <w:tcPr>
                <w:tcW w:w="1301" w:type="dxa"/>
                <w:gridSpan w:val="2"/>
                <w:vAlign w:val="center"/>
              </w:tcPr>
              <w:p w14:paraId="0A0F3C11">
                <w:pPr>
                  <w:jc w:val="center"/>
                  <w:rPr>
                    <w:rFonts w:ascii="Calibri" w:hAnsi="Calibri"/>
                    <w:color w:val="008000"/>
                    <w:sz w:val="20"/>
                    <w:szCs w:val="20"/>
                  </w:rPr>
                </w:pPr>
                <w:r>
                  <w:rPr>
                    <w:rFonts w:hint="eastAsia" w:ascii="Calibri" w:hAnsi="Calibri"/>
                    <w:sz w:val="20"/>
                    <w:szCs w:val="20"/>
                  </w:rPr>
                  <w:t>数量</w:t>
                </w:r>
              </w:p>
            </w:tc>
          </w:sdtContent>
        </w:sdt>
      </w:tr>
      <w:tr w14:paraId="3BD8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Align w:val="center"/>
          </w:tcPr>
          <w:p w14:paraId="68B32EA0">
            <w:pPr>
              <w:jc w:val="both"/>
              <w:rPr>
                <w:rFonts w:ascii="Calibri" w:hAnsi="Calibri"/>
                <w:sz w:val="20"/>
                <w:szCs w:val="20"/>
              </w:rPr>
            </w:pPr>
            <w:r>
              <w:rPr>
                <w:rFonts w:hint="eastAsia" w:ascii="Calibri" w:hAnsi="Calibri"/>
                <w:sz w:val="20"/>
                <w:szCs w:val="20"/>
              </w:rPr>
              <w:t>东宝实业集团股份有限公司</w:t>
            </w:r>
          </w:p>
        </w:tc>
        <w:tc>
          <w:tcPr>
            <w:tcW w:w="3036" w:type="dxa"/>
            <w:gridSpan w:val="3"/>
            <w:vAlign w:val="center"/>
          </w:tcPr>
          <w:p w14:paraId="35552C0A">
            <w:pPr>
              <w:jc w:val="right"/>
              <w:rPr>
                <w:rFonts w:ascii="Calibri" w:hAnsi="Calibri"/>
                <w:sz w:val="20"/>
                <w:szCs w:val="20"/>
              </w:rPr>
            </w:pPr>
            <w:r>
              <w:rPr>
                <w:rFonts w:ascii="Calibri" w:hAnsi="Calibri"/>
                <w:sz w:val="20"/>
                <w:szCs w:val="20"/>
              </w:rPr>
              <w:t>619,500,796</w:t>
            </w:r>
          </w:p>
        </w:tc>
        <w:sdt>
          <w:sdtPr>
            <w:rPr>
              <w:rFonts w:ascii="Calibri" w:hAnsi="Calibri"/>
              <w:bCs/>
              <w:sz w:val="20"/>
              <w:szCs w:val="20"/>
            </w:rPr>
            <w:alias w:val="前十名无限售条件股东期末持有流通股的种类"/>
            <w:tag w:val="_GBC_b35ef493948141e0b9d0c3fd14aad59a"/>
            <w:id w:val="126603820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Calibri" w:hAnsi="Calibri"/>
              <w:bCs/>
              <w:sz w:val="20"/>
              <w:szCs w:val="20"/>
            </w:rPr>
          </w:sdtEndPr>
          <w:sdtContent>
            <w:tc>
              <w:tcPr>
                <w:tcW w:w="1666" w:type="dxa"/>
                <w:gridSpan w:val="2"/>
                <w:vAlign w:val="center"/>
              </w:tcPr>
              <w:p w14:paraId="5974AC35">
                <w:pPr>
                  <w:jc w:val="center"/>
                  <w:rPr>
                    <w:rFonts w:ascii="Calibri" w:hAnsi="Calibri"/>
                    <w:bCs/>
                    <w:sz w:val="20"/>
                    <w:szCs w:val="20"/>
                  </w:rPr>
                </w:pPr>
                <w:r>
                  <w:rPr>
                    <w:rFonts w:ascii="Calibri" w:hAnsi="Calibri"/>
                    <w:bCs/>
                    <w:sz w:val="20"/>
                    <w:szCs w:val="20"/>
                  </w:rPr>
                  <w:t>人民币普通股</w:t>
                </w:r>
              </w:p>
            </w:tc>
          </w:sdtContent>
        </w:sdt>
        <w:tc>
          <w:tcPr>
            <w:tcW w:w="1301" w:type="dxa"/>
            <w:gridSpan w:val="2"/>
            <w:vAlign w:val="center"/>
          </w:tcPr>
          <w:p w14:paraId="5CD056AC">
            <w:pPr>
              <w:jc w:val="right"/>
              <w:rPr>
                <w:rFonts w:ascii="Calibri" w:hAnsi="Calibri"/>
                <w:sz w:val="20"/>
                <w:szCs w:val="20"/>
              </w:rPr>
            </w:pPr>
            <w:r>
              <w:rPr>
                <w:rFonts w:ascii="Calibri" w:hAnsi="Calibri"/>
                <w:sz w:val="20"/>
                <w:szCs w:val="20"/>
              </w:rPr>
              <w:t>619,500,796</w:t>
            </w:r>
          </w:p>
        </w:tc>
      </w:tr>
      <w:tr w14:paraId="680F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Align w:val="center"/>
          </w:tcPr>
          <w:p w14:paraId="478E9D9E">
            <w:pPr>
              <w:jc w:val="both"/>
              <w:rPr>
                <w:rFonts w:ascii="Calibri" w:hAnsi="Calibri"/>
                <w:sz w:val="20"/>
                <w:szCs w:val="20"/>
              </w:rPr>
            </w:pPr>
            <w:r>
              <w:rPr>
                <w:rFonts w:hint="eastAsia" w:ascii="Calibri" w:hAnsi="Calibri"/>
                <w:sz w:val="20"/>
                <w:szCs w:val="20"/>
              </w:rPr>
              <w:t>天津桢逸股权投资合伙企业（有限合伙）</w:t>
            </w:r>
          </w:p>
        </w:tc>
        <w:tc>
          <w:tcPr>
            <w:tcW w:w="3036" w:type="dxa"/>
            <w:gridSpan w:val="3"/>
            <w:vAlign w:val="center"/>
          </w:tcPr>
          <w:p w14:paraId="76F4F2C0">
            <w:pPr>
              <w:jc w:val="right"/>
              <w:rPr>
                <w:rFonts w:ascii="Calibri" w:hAnsi="Calibri"/>
                <w:sz w:val="20"/>
                <w:szCs w:val="20"/>
              </w:rPr>
            </w:pPr>
            <w:r>
              <w:rPr>
                <w:rFonts w:ascii="Calibri" w:hAnsi="Calibri"/>
                <w:sz w:val="20"/>
                <w:szCs w:val="20"/>
              </w:rPr>
              <w:t>183,058,967</w:t>
            </w:r>
          </w:p>
        </w:tc>
        <w:sdt>
          <w:sdtPr>
            <w:rPr>
              <w:rFonts w:ascii="Calibri" w:hAnsi="Calibri"/>
              <w:bCs/>
              <w:sz w:val="20"/>
              <w:szCs w:val="20"/>
            </w:rPr>
            <w:alias w:val="前十名无限售条件股东期末持有流通股的种类"/>
            <w:tag w:val="_GBC_b35ef493948141e0b9d0c3fd14aad59a"/>
            <w:id w:val="103307475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Calibri" w:hAnsi="Calibri"/>
              <w:bCs/>
              <w:sz w:val="20"/>
              <w:szCs w:val="20"/>
            </w:rPr>
          </w:sdtEndPr>
          <w:sdtContent>
            <w:tc>
              <w:tcPr>
                <w:tcW w:w="1666" w:type="dxa"/>
                <w:gridSpan w:val="2"/>
                <w:vAlign w:val="center"/>
              </w:tcPr>
              <w:p w14:paraId="0C2CAC8F">
                <w:pPr>
                  <w:jc w:val="center"/>
                  <w:rPr>
                    <w:rFonts w:ascii="Calibri" w:hAnsi="Calibri"/>
                    <w:bCs/>
                    <w:sz w:val="20"/>
                    <w:szCs w:val="20"/>
                  </w:rPr>
                </w:pPr>
                <w:r>
                  <w:rPr>
                    <w:rFonts w:ascii="Calibri" w:hAnsi="Calibri"/>
                    <w:bCs/>
                    <w:sz w:val="20"/>
                    <w:szCs w:val="20"/>
                  </w:rPr>
                  <w:t>人民币普通股</w:t>
                </w:r>
              </w:p>
            </w:tc>
          </w:sdtContent>
        </w:sdt>
        <w:tc>
          <w:tcPr>
            <w:tcW w:w="1301" w:type="dxa"/>
            <w:gridSpan w:val="2"/>
            <w:vAlign w:val="center"/>
          </w:tcPr>
          <w:p w14:paraId="42C58418">
            <w:pPr>
              <w:jc w:val="right"/>
              <w:rPr>
                <w:rFonts w:ascii="Calibri" w:hAnsi="Calibri"/>
                <w:sz w:val="20"/>
                <w:szCs w:val="20"/>
              </w:rPr>
            </w:pPr>
            <w:r>
              <w:rPr>
                <w:rFonts w:ascii="Calibri" w:hAnsi="Calibri"/>
                <w:sz w:val="20"/>
                <w:szCs w:val="20"/>
              </w:rPr>
              <w:t>183,058,967</w:t>
            </w:r>
          </w:p>
        </w:tc>
      </w:tr>
      <w:tr w14:paraId="1B0E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Align w:val="center"/>
          </w:tcPr>
          <w:p w14:paraId="750BD064">
            <w:pPr>
              <w:jc w:val="both"/>
              <w:rPr>
                <w:rFonts w:ascii="Calibri" w:hAnsi="Calibri"/>
                <w:sz w:val="20"/>
                <w:szCs w:val="20"/>
              </w:rPr>
            </w:pPr>
            <w:r>
              <w:rPr>
                <w:rFonts w:hint="eastAsia" w:ascii="Calibri" w:hAnsi="Calibri"/>
                <w:sz w:val="20"/>
                <w:szCs w:val="20"/>
              </w:rPr>
              <w:t>香港中央结算有限公司</w:t>
            </w:r>
          </w:p>
        </w:tc>
        <w:tc>
          <w:tcPr>
            <w:tcW w:w="3036" w:type="dxa"/>
            <w:gridSpan w:val="3"/>
            <w:vAlign w:val="center"/>
          </w:tcPr>
          <w:p w14:paraId="56F423F6">
            <w:pPr>
              <w:jc w:val="right"/>
              <w:rPr>
                <w:rFonts w:ascii="Calibri" w:hAnsi="Calibri"/>
                <w:sz w:val="20"/>
                <w:szCs w:val="20"/>
              </w:rPr>
            </w:pPr>
            <w:r>
              <w:rPr>
                <w:rFonts w:ascii="Calibri" w:hAnsi="Calibri"/>
                <w:sz w:val="20"/>
                <w:szCs w:val="20"/>
              </w:rPr>
              <w:t>42,055,209</w:t>
            </w:r>
          </w:p>
        </w:tc>
        <w:sdt>
          <w:sdtPr>
            <w:rPr>
              <w:rFonts w:ascii="Calibri" w:hAnsi="Calibri"/>
              <w:bCs/>
              <w:sz w:val="20"/>
              <w:szCs w:val="20"/>
            </w:rPr>
            <w:alias w:val="前十名无限售条件股东期末持有流通股的种类"/>
            <w:tag w:val="_GBC_b35ef493948141e0b9d0c3fd14aad59a"/>
            <w:id w:val="129386233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Calibri" w:hAnsi="Calibri"/>
              <w:bCs/>
              <w:sz w:val="20"/>
              <w:szCs w:val="20"/>
            </w:rPr>
          </w:sdtEndPr>
          <w:sdtContent>
            <w:tc>
              <w:tcPr>
                <w:tcW w:w="1666" w:type="dxa"/>
                <w:gridSpan w:val="2"/>
                <w:vAlign w:val="center"/>
              </w:tcPr>
              <w:p w14:paraId="21AD4F4D">
                <w:pPr>
                  <w:jc w:val="center"/>
                  <w:rPr>
                    <w:rFonts w:ascii="Calibri" w:hAnsi="Calibri"/>
                    <w:bCs/>
                    <w:sz w:val="20"/>
                    <w:szCs w:val="20"/>
                  </w:rPr>
                </w:pPr>
                <w:r>
                  <w:rPr>
                    <w:rFonts w:ascii="Calibri" w:hAnsi="Calibri"/>
                    <w:bCs/>
                    <w:sz w:val="20"/>
                    <w:szCs w:val="20"/>
                  </w:rPr>
                  <w:t>人民币普通股</w:t>
                </w:r>
              </w:p>
            </w:tc>
          </w:sdtContent>
        </w:sdt>
        <w:tc>
          <w:tcPr>
            <w:tcW w:w="1301" w:type="dxa"/>
            <w:gridSpan w:val="2"/>
            <w:vAlign w:val="center"/>
          </w:tcPr>
          <w:p w14:paraId="68744B40">
            <w:pPr>
              <w:jc w:val="right"/>
              <w:rPr>
                <w:rFonts w:ascii="Calibri" w:hAnsi="Calibri"/>
                <w:sz w:val="20"/>
                <w:szCs w:val="20"/>
              </w:rPr>
            </w:pPr>
            <w:r>
              <w:rPr>
                <w:rFonts w:ascii="Calibri" w:hAnsi="Calibri"/>
                <w:sz w:val="20"/>
                <w:szCs w:val="20"/>
              </w:rPr>
              <w:t>42,055,209</w:t>
            </w:r>
          </w:p>
        </w:tc>
      </w:tr>
      <w:tr w14:paraId="3110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Align w:val="center"/>
          </w:tcPr>
          <w:p w14:paraId="4E6D95D9">
            <w:pPr>
              <w:jc w:val="both"/>
              <w:rPr>
                <w:rFonts w:ascii="Calibri" w:hAnsi="Calibri"/>
                <w:sz w:val="20"/>
                <w:szCs w:val="20"/>
              </w:rPr>
            </w:pPr>
            <w:r>
              <w:rPr>
                <w:rFonts w:hint="eastAsia" w:ascii="Calibri" w:hAnsi="Calibri"/>
                <w:sz w:val="20"/>
                <w:szCs w:val="20"/>
              </w:rPr>
              <w:t>阿布达比投资局</w:t>
            </w:r>
          </w:p>
        </w:tc>
        <w:tc>
          <w:tcPr>
            <w:tcW w:w="3036" w:type="dxa"/>
            <w:gridSpan w:val="3"/>
            <w:vAlign w:val="center"/>
          </w:tcPr>
          <w:p w14:paraId="1A688366">
            <w:pPr>
              <w:jc w:val="right"/>
              <w:rPr>
                <w:rFonts w:ascii="Calibri" w:hAnsi="Calibri"/>
                <w:sz w:val="20"/>
                <w:szCs w:val="20"/>
              </w:rPr>
            </w:pPr>
            <w:r>
              <w:rPr>
                <w:rFonts w:ascii="Calibri" w:hAnsi="Calibri"/>
                <w:sz w:val="20"/>
                <w:szCs w:val="20"/>
              </w:rPr>
              <w:t>32,650,512</w:t>
            </w:r>
          </w:p>
        </w:tc>
        <w:sdt>
          <w:sdtPr>
            <w:rPr>
              <w:rFonts w:ascii="Calibri" w:hAnsi="Calibri"/>
              <w:bCs/>
              <w:sz w:val="20"/>
              <w:szCs w:val="20"/>
            </w:rPr>
            <w:alias w:val="前十名无限售条件股东期末持有流通股的种类"/>
            <w:tag w:val="_GBC_b35ef493948141e0b9d0c3fd14aad59a"/>
            <w:id w:val="-65637510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Calibri" w:hAnsi="Calibri"/>
              <w:bCs/>
              <w:sz w:val="20"/>
              <w:szCs w:val="20"/>
            </w:rPr>
          </w:sdtEndPr>
          <w:sdtContent>
            <w:tc>
              <w:tcPr>
                <w:tcW w:w="1666" w:type="dxa"/>
                <w:gridSpan w:val="2"/>
                <w:vAlign w:val="center"/>
              </w:tcPr>
              <w:p w14:paraId="201C1BCF">
                <w:pPr>
                  <w:jc w:val="center"/>
                  <w:rPr>
                    <w:rFonts w:ascii="Calibri" w:hAnsi="Calibri"/>
                    <w:bCs/>
                    <w:sz w:val="20"/>
                    <w:szCs w:val="20"/>
                  </w:rPr>
                </w:pPr>
                <w:r>
                  <w:rPr>
                    <w:rFonts w:ascii="Calibri" w:hAnsi="Calibri"/>
                    <w:bCs/>
                    <w:sz w:val="20"/>
                    <w:szCs w:val="20"/>
                  </w:rPr>
                  <w:t>人民币普通股</w:t>
                </w:r>
              </w:p>
            </w:tc>
          </w:sdtContent>
        </w:sdt>
        <w:tc>
          <w:tcPr>
            <w:tcW w:w="1301" w:type="dxa"/>
            <w:gridSpan w:val="2"/>
            <w:vAlign w:val="center"/>
          </w:tcPr>
          <w:p w14:paraId="0CA0FBEE">
            <w:pPr>
              <w:jc w:val="right"/>
              <w:rPr>
                <w:rFonts w:ascii="Calibri" w:hAnsi="Calibri"/>
                <w:sz w:val="20"/>
                <w:szCs w:val="20"/>
              </w:rPr>
            </w:pPr>
            <w:r>
              <w:rPr>
                <w:rFonts w:ascii="Calibri" w:hAnsi="Calibri"/>
                <w:sz w:val="20"/>
                <w:szCs w:val="20"/>
              </w:rPr>
              <w:t>32,650,512</w:t>
            </w:r>
          </w:p>
        </w:tc>
      </w:tr>
      <w:tr w14:paraId="4462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Align w:val="center"/>
          </w:tcPr>
          <w:p w14:paraId="70B93FAF">
            <w:pPr>
              <w:jc w:val="both"/>
              <w:rPr>
                <w:rFonts w:ascii="Calibri" w:hAnsi="Calibri"/>
                <w:sz w:val="20"/>
                <w:szCs w:val="20"/>
              </w:rPr>
            </w:pPr>
            <w:r>
              <w:rPr>
                <w:rFonts w:hint="eastAsia" w:ascii="Calibri" w:hAnsi="Calibri"/>
                <w:sz w:val="20"/>
                <w:szCs w:val="20"/>
              </w:rPr>
              <w:t>中国银行股份有限公司－招商国证生物医药指数分级证券投资基金</w:t>
            </w:r>
          </w:p>
        </w:tc>
        <w:tc>
          <w:tcPr>
            <w:tcW w:w="3036" w:type="dxa"/>
            <w:gridSpan w:val="3"/>
            <w:vAlign w:val="center"/>
          </w:tcPr>
          <w:p w14:paraId="3A0BFE66">
            <w:pPr>
              <w:jc w:val="right"/>
              <w:rPr>
                <w:rFonts w:ascii="Calibri" w:hAnsi="Calibri"/>
                <w:sz w:val="20"/>
                <w:szCs w:val="20"/>
              </w:rPr>
            </w:pPr>
            <w:r>
              <w:rPr>
                <w:rFonts w:ascii="Calibri" w:hAnsi="Calibri"/>
                <w:sz w:val="20"/>
                <w:szCs w:val="20"/>
              </w:rPr>
              <w:t>17,482,577</w:t>
            </w:r>
          </w:p>
        </w:tc>
        <w:sdt>
          <w:sdtPr>
            <w:rPr>
              <w:rFonts w:ascii="Calibri" w:hAnsi="Calibri"/>
              <w:bCs/>
              <w:sz w:val="20"/>
              <w:szCs w:val="20"/>
            </w:rPr>
            <w:alias w:val="前十名无限售条件股东期末持有流通股的种类"/>
            <w:tag w:val="_GBC_b35ef493948141e0b9d0c3fd14aad59a"/>
            <w:id w:val="98604583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Calibri" w:hAnsi="Calibri"/>
              <w:bCs/>
              <w:sz w:val="20"/>
              <w:szCs w:val="20"/>
            </w:rPr>
          </w:sdtEndPr>
          <w:sdtContent>
            <w:tc>
              <w:tcPr>
                <w:tcW w:w="1666" w:type="dxa"/>
                <w:gridSpan w:val="2"/>
                <w:vAlign w:val="center"/>
              </w:tcPr>
              <w:p w14:paraId="0F2B1ED6">
                <w:pPr>
                  <w:jc w:val="center"/>
                  <w:rPr>
                    <w:rFonts w:ascii="Calibri" w:hAnsi="Calibri"/>
                    <w:bCs/>
                    <w:sz w:val="20"/>
                    <w:szCs w:val="20"/>
                  </w:rPr>
                </w:pPr>
                <w:r>
                  <w:rPr>
                    <w:rFonts w:ascii="Calibri" w:hAnsi="Calibri"/>
                    <w:bCs/>
                    <w:sz w:val="20"/>
                    <w:szCs w:val="20"/>
                  </w:rPr>
                  <w:t>人民币普通股</w:t>
                </w:r>
              </w:p>
            </w:tc>
          </w:sdtContent>
        </w:sdt>
        <w:tc>
          <w:tcPr>
            <w:tcW w:w="1301" w:type="dxa"/>
            <w:gridSpan w:val="2"/>
            <w:vAlign w:val="center"/>
          </w:tcPr>
          <w:p w14:paraId="355F23D8">
            <w:pPr>
              <w:jc w:val="right"/>
              <w:rPr>
                <w:rFonts w:ascii="Calibri" w:hAnsi="Calibri"/>
                <w:sz w:val="20"/>
                <w:szCs w:val="20"/>
              </w:rPr>
            </w:pPr>
            <w:r>
              <w:rPr>
                <w:rFonts w:ascii="Calibri" w:hAnsi="Calibri"/>
                <w:sz w:val="20"/>
                <w:szCs w:val="20"/>
              </w:rPr>
              <w:t>17,482,577</w:t>
            </w:r>
          </w:p>
        </w:tc>
      </w:tr>
      <w:tr w14:paraId="18B2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Align w:val="center"/>
          </w:tcPr>
          <w:p w14:paraId="7C215F7C">
            <w:pPr>
              <w:jc w:val="both"/>
              <w:rPr>
                <w:rFonts w:ascii="Calibri" w:hAnsi="Calibri"/>
                <w:sz w:val="20"/>
                <w:szCs w:val="20"/>
              </w:rPr>
            </w:pPr>
            <w:r>
              <w:rPr>
                <w:rFonts w:hint="eastAsia" w:ascii="Calibri" w:hAnsi="Calibri"/>
                <w:sz w:val="20"/>
                <w:szCs w:val="20"/>
              </w:rPr>
              <w:t>上海银行股份有限公司－银华中证创新药产业交易型开放式指数证券投资基金</w:t>
            </w:r>
          </w:p>
        </w:tc>
        <w:tc>
          <w:tcPr>
            <w:tcW w:w="3036" w:type="dxa"/>
            <w:gridSpan w:val="3"/>
            <w:vAlign w:val="center"/>
          </w:tcPr>
          <w:p w14:paraId="6C252533">
            <w:pPr>
              <w:jc w:val="right"/>
              <w:rPr>
                <w:rFonts w:ascii="Calibri" w:hAnsi="Calibri"/>
                <w:sz w:val="20"/>
                <w:szCs w:val="20"/>
              </w:rPr>
            </w:pPr>
            <w:r>
              <w:rPr>
                <w:rFonts w:ascii="Calibri" w:hAnsi="Calibri"/>
                <w:sz w:val="20"/>
                <w:szCs w:val="20"/>
              </w:rPr>
              <w:t>14,265,311</w:t>
            </w:r>
          </w:p>
        </w:tc>
        <w:sdt>
          <w:sdtPr>
            <w:rPr>
              <w:rFonts w:ascii="Calibri" w:hAnsi="Calibri"/>
              <w:bCs/>
              <w:sz w:val="20"/>
              <w:szCs w:val="20"/>
            </w:rPr>
            <w:alias w:val="前十名无限售条件股东期末持有流通股的种类"/>
            <w:tag w:val="_GBC_b35ef493948141e0b9d0c3fd14aad59a"/>
            <w:id w:val="74838613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Calibri" w:hAnsi="Calibri"/>
              <w:bCs/>
              <w:sz w:val="20"/>
              <w:szCs w:val="20"/>
            </w:rPr>
          </w:sdtEndPr>
          <w:sdtContent>
            <w:tc>
              <w:tcPr>
                <w:tcW w:w="1666" w:type="dxa"/>
                <w:gridSpan w:val="2"/>
                <w:vAlign w:val="center"/>
              </w:tcPr>
              <w:p w14:paraId="7D36E9DF">
                <w:pPr>
                  <w:jc w:val="center"/>
                  <w:rPr>
                    <w:rFonts w:ascii="Calibri" w:hAnsi="Calibri"/>
                    <w:bCs/>
                    <w:sz w:val="20"/>
                    <w:szCs w:val="20"/>
                  </w:rPr>
                </w:pPr>
                <w:r>
                  <w:rPr>
                    <w:rFonts w:ascii="Calibri" w:hAnsi="Calibri"/>
                    <w:bCs/>
                    <w:sz w:val="20"/>
                    <w:szCs w:val="20"/>
                  </w:rPr>
                  <w:t>人民币普通股</w:t>
                </w:r>
              </w:p>
            </w:tc>
          </w:sdtContent>
        </w:sdt>
        <w:tc>
          <w:tcPr>
            <w:tcW w:w="1301" w:type="dxa"/>
            <w:gridSpan w:val="2"/>
            <w:vAlign w:val="center"/>
          </w:tcPr>
          <w:p w14:paraId="1548B52A">
            <w:pPr>
              <w:jc w:val="right"/>
              <w:rPr>
                <w:rFonts w:ascii="Calibri" w:hAnsi="Calibri"/>
                <w:sz w:val="20"/>
                <w:szCs w:val="20"/>
              </w:rPr>
            </w:pPr>
            <w:r>
              <w:rPr>
                <w:rFonts w:ascii="Calibri" w:hAnsi="Calibri"/>
                <w:sz w:val="20"/>
                <w:szCs w:val="20"/>
              </w:rPr>
              <w:t>14,265,311</w:t>
            </w:r>
          </w:p>
        </w:tc>
      </w:tr>
      <w:tr w14:paraId="7ECC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Align w:val="center"/>
          </w:tcPr>
          <w:p w14:paraId="0EA82D53">
            <w:pPr>
              <w:jc w:val="both"/>
              <w:rPr>
                <w:rFonts w:ascii="Calibri" w:hAnsi="Calibri"/>
                <w:sz w:val="20"/>
                <w:szCs w:val="20"/>
              </w:rPr>
            </w:pPr>
            <w:r>
              <w:rPr>
                <w:rFonts w:hint="eastAsia" w:ascii="Calibri" w:hAnsi="Calibri"/>
                <w:sz w:val="20"/>
                <w:szCs w:val="20"/>
              </w:rPr>
              <w:t>李一奎</w:t>
            </w:r>
          </w:p>
        </w:tc>
        <w:tc>
          <w:tcPr>
            <w:tcW w:w="3036" w:type="dxa"/>
            <w:gridSpan w:val="3"/>
            <w:vAlign w:val="center"/>
          </w:tcPr>
          <w:p w14:paraId="32AA0413">
            <w:pPr>
              <w:jc w:val="right"/>
              <w:rPr>
                <w:rFonts w:ascii="Calibri" w:hAnsi="Calibri"/>
                <w:sz w:val="20"/>
                <w:szCs w:val="20"/>
              </w:rPr>
            </w:pPr>
            <w:r>
              <w:rPr>
                <w:rFonts w:ascii="Calibri" w:hAnsi="Calibri"/>
                <w:sz w:val="20"/>
                <w:szCs w:val="20"/>
              </w:rPr>
              <w:t>11,328,579</w:t>
            </w:r>
          </w:p>
        </w:tc>
        <w:sdt>
          <w:sdtPr>
            <w:rPr>
              <w:rFonts w:ascii="Calibri" w:hAnsi="Calibri"/>
              <w:bCs/>
              <w:sz w:val="20"/>
              <w:szCs w:val="20"/>
            </w:rPr>
            <w:alias w:val="前十名无限售条件股东期末持有流通股的种类"/>
            <w:tag w:val="_GBC_b35ef493948141e0b9d0c3fd14aad59a"/>
            <w:id w:val="-119391593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Calibri" w:hAnsi="Calibri"/>
              <w:bCs/>
              <w:sz w:val="20"/>
              <w:szCs w:val="20"/>
            </w:rPr>
          </w:sdtEndPr>
          <w:sdtContent>
            <w:tc>
              <w:tcPr>
                <w:tcW w:w="1666" w:type="dxa"/>
                <w:gridSpan w:val="2"/>
                <w:vAlign w:val="center"/>
              </w:tcPr>
              <w:p w14:paraId="4D32291D">
                <w:pPr>
                  <w:jc w:val="center"/>
                  <w:rPr>
                    <w:rFonts w:ascii="Calibri" w:hAnsi="Calibri"/>
                    <w:bCs/>
                    <w:sz w:val="20"/>
                    <w:szCs w:val="20"/>
                  </w:rPr>
                </w:pPr>
                <w:r>
                  <w:rPr>
                    <w:rFonts w:ascii="Calibri" w:hAnsi="Calibri"/>
                    <w:bCs/>
                    <w:sz w:val="20"/>
                    <w:szCs w:val="20"/>
                  </w:rPr>
                  <w:t>人民币普通股</w:t>
                </w:r>
              </w:p>
            </w:tc>
          </w:sdtContent>
        </w:sdt>
        <w:tc>
          <w:tcPr>
            <w:tcW w:w="1301" w:type="dxa"/>
            <w:gridSpan w:val="2"/>
            <w:vAlign w:val="center"/>
          </w:tcPr>
          <w:p w14:paraId="4089045D">
            <w:pPr>
              <w:jc w:val="right"/>
              <w:rPr>
                <w:rFonts w:ascii="Calibri" w:hAnsi="Calibri"/>
                <w:sz w:val="20"/>
                <w:szCs w:val="20"/>
              </w:rPr>
            </w:pPr>
            <w:r>
              <w:rPr>
                <w:rFonts w:ascii="Calibri" w:hAnsi="Calibri"/>
                <w:sz w:val="20"/>
                <w:szCs w:val="20"/>
              </w:rPr>
              <w:t>11,328,579</w:t>
            </w:r>
          </w:p>
        </w:tc>
      </w:tr>
      <w:tr w14:paraId="2AE5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Align w:val="center"/>
          </w:tcPr>
          <w:p w14:paraId="7A7FA81C">
            <w:pPr>
              <w:jc w:val="both"/>
              <w:rPr>
                <w:rFonts w:ascii="Calibri" w:hAnsi="Calibri"/>
                <w:sz w:val="20"/>
                <w:szCs w:val="20"/>
              </w:rPr>
            </w:pPr>
            <w:r>
              <w:rPr>
                <w:rFonts w:hint="eastAsia" w:ascii="Calibri" w:hAnsi="Calibri"/>
                <w:sz w:val="20"/>
                <w:szCs w:val="20"/>
              </w:rPr>
              <w:t>招商银行股份有限公司－南方中证1000交易型开放式指数证券投资基金</w:t>
            </w:r>
          </w:p>
        </w:tc>
        <w:tc>
          <w:tcPr>
            <w:tcW w:w="3036" w:type="dxa"/>
            <w:gridSpan w:val="3"/>
            <w:vAlign w:val="center"/>
          </w:tcPr>
          <w:p w14:paraId="2640A2C0">
            <w:pPr>
              <w:jc w:val="right"/>
              <w:rPr>
                <w:rFonts w:ascii="Calibri" w:hAnsi="Calibri"/>
                <w:sz w:val="20"/>
                <w:szCs w:val="20"/>
              </w:rPr>
            </w:pPr>
            <w:r>
              <w:rPr>
                <w:rFonts w:ascii="Calibri" w:hAnsi="Calibri"/>
                <w:sz w:val="20"/>
                <w:szCs w:val="20"/>
              </w:rPr>
              <w:t>10,755,410</w:t>
            </w:r>
          </w:p>
        </w:tc>
        <w:sdt>
          <w:sdtPr>
            <w:rPr>
              <w:rFonts w:ascii="Calibri" w:hAnsi="Calibri"/>
              <w:bCs/>
              <w:sz w:val="20"/>
              <w:szCs w:val="20"/>
            </w:rPr>
            <w:alias w:val="前十名无限售条件股东期末持有流通股的种类"/>
            <w:tag w:val="_GBC_b35ef493948141e0b9d0c3fd14aad59a"/>
            <w:id w:val="40095521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Calibri" w:hAnsi="Calibri"/>
              <w:bCs/>
              <w:sz w:val="20"/>
              <w:szCs w:val="20"/>
            </w:rPr>
          </w:sdtEndPr>
          <w:sdtContent>
            <w:tc>
              <w:tcPr>
                <w:tcW w:w="1666" w:type="dxa"/>
                <w:gridSpan w:val="2"/>
                <w:vAlign w:val="center"/>
              </w:tcPr>
              <w:p w14:paraId="200A9056">
                <w:pPr>
                  <w:jc w:val="center"/>
                  <w:rPr>
                    <w:rFonts w:ascii="Calibri" w:hAnsi="Calibri"/>
                    <w:bCs/>
                    <w:sz w:val="20"/>
                    <w:szCs w:val="20"/>
                  </w:rPr>
                </w:pPr>
                <w:r>
                  <w:rPr>
                    <w:rFonts w:ascii="Calibri" w:hAnsi="Calibri"/>
                    <w:bCs/>
                    <w:sz w:val="20"/>
                    <w:szCs w:val="20"/>
                  </w:rPr>
                  <w:t>人民币普通股</w:t>
                </w:r>
              </w:p>
            </w:tc>
          </w:sdtContent>
        </w:sdt>
        <w:tc>
          <w:tcPr>
            <w:tcW w:w="1301" w:type="dxa"/>
            <w:gridSpan w:val="2"/>
            <w:vAlign w:val="center"/>
          </w:tcPr>
          <w:p w14:paraId="65524676">
            <w:pPr>
              <w:jc w:val="right"/>
              <w:rPr>
                <w:rFonts w:ascii="Calibri" w:hAnsi="Calibri"/>
                <w:sz w:val="20"/>
                <w:szCs w:val="20"/>
              </w:rPr>
            </w:pPr>
            <w:r>
              <w:rPr>
                <w:rFonts w:ascii="Calibri" w:hAnsi="Calibri"/>
                <w:sz w:val="20"/>
                <w:szCs w:val="20"/>
              </w:rPr>
              <w:t>10,755,410</w:t>
            </w:r>
          </w:p>
        </w:tc>
      </w:tr>
      <w:tr w14:paraId="4AC4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Align w:val="center"/>
          </w:tcPr>
          <w:p w14:paraId="76F0731F">
            <w:pPr>
              <w:jc w:val="both"/>
              <w:rPr>
                <w:rFonts w:ascii="Calibri" w:hAnsi="Calibri"/>
                <w:sz w:val="20"/>
                <w:szCs w:val="20"/>
              </w:rPr>
            </w:pPr>
            <w:r>
              <w:rPr>
                <w:rFonts w:hint="eastAsia" w:ascii="Calibri" w:hAnsi="Calibri"/>
                <w:sz w:val="20"/>
                <w:szCs w:val="20"/>
              </w:rPr>
              <w:t>通化东宝药业股份有限公司－2025年员工持股计划</w:t>
            </w:r>
          </w:p>
        </w:tc>
        <w:tc>
          <w:tcPr>
            <w:tcW w:w="3036" w:type="dxa"/>
            <w:gridSpan w:val="3"/>
            <w:vAlign w:val="center"/>
          </w:tcPr>
          <w:p w14:paraId="096F127E">
            <w:pPr>
              <w:jc w:val="right"/>
              <w:rPr>
                <w:rFonts w:ascii="Calibri" w:hAnsi="Calibri"/>
                <w:sz w:val="20"/>
                <w:szCs w:val="20"/>
              </w:rPr>
            </w:pPr>
            <w:r>
              <w:rPr>
                <w:rFonts w:ascii="Calibri" w:hAnsi="Calibri"/>
                <w:sz w:val="20"/>
                <w:szCs w:val="20"/>
              </w:rPr>
              <w:t>9,290,000</w:t>
            </w:r>
          </w:p>
        </w:tc>
        <w:sdt>
          <w:sdtPr>
            <w:rPr>
              <w:rFonts w:ascii="Calibri" w:hAnsi="Calibri"/>
              <w:bCs/>
              <w:sz w:val="20"/>
              <w:szCs w:val="20"/>
            </w:rPr>
            <w:alias w:val="前十名无限售条件股东期末持有流通股的种类"/>
            <w:tag w:val="_GBC_b35ef493948141e0b9d0c3fd14aad59a"/>
            <w:id w:val="-5176700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Calibri" w:hAnsi="Calibri"/>
              <w:bCs/>
              <w:sz w:val="20"/>
              <w:szCs w:val="20"/>
            </w:rPr>
          </w:sdtEndPr>
          <w:sdtContent>
            <w:tc>
              <w:tcPr>
                <w:tcW w:w="1666" w:type="dxa"/>
                <w:gridSpan w:val="2"/>
                <w:vAlign w:val="center"/>
              </w:tcPr>
              <w:p w14:paraId="168C35F3">
                <w:pPr>
                  <w:jc w:val="center"/>
                  <w:rPr>
                    <w:rFonts w:ascii="Calibri" w:hAnsi="Calibri"/>
                    <w:bCs/>
                    <w:sz w:val="20"/>
                    <w:szCs w:val="20"/>
                  </w:rPr>
                </w:pPr>
                <w:r>
                  <w:rPr>
                    <w:rFonts w:ascii="Calibri" w:hAnsi="Calibri"/>
                    <w:bCs/>
                    <w:sz w:val="20"/>
                    <w:szCs w:val="20"/>
                  </w:rPr>
                  <w:t>人民币普通股</w:t>
                </w:r>
              </w:p>
            </w:tc>
          </w:sdtContent>
        </w:sdt>
        <w:tc>
          <w:tcPr>
            <w:tcW w:w="1301" w:type="dxa"/>
            <w:gridSpan w:val="2"/>
            <w:vAlign w:val="center"/>
          </w:tcPr>
          <w:p w14:paraId="2B8E775C">
            <w:pPr>
              <w:jc w:val="right"/>
              <w:rPr>
                <w:rFonts w:ascii="Calibri" w:hAnsi="Calibri"/>
                <w:sz w:val="20"/>
                <w:szCs w:val="20"/>
              </w:rPr>
            </w:pPr>
            <w:r>
              <w:rPr>
                <w:rFonts w:ascii="Calibri" w:hAnsi="Calibri"/>
                <w:sz w:val="20"/>
                <w:szCs w:val="20"/>
              </w:rPr>
              <w:t>9,290,000</w:t>
            </w:r>
          </w:p>
        </w:tc>
      </w:tr>
      <w:tr w14:paraId="111D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Align w:val="center"/>
          </w:tcPr>
          <w:p w14:paraId="188B91E0">
            <w:pPr>
              <w:jc w:val="both"/>
              <w:rPr>
                <w:rFonts w:ascii="Calibri" w:hAnsi="Calibri"/>
                <w:sz w:val="20"/>
                <w:szCs w:val="20"/>
              </w:rPr>
            </w:pPr>
            <w:r>
              <w:rPr>
                <w:rFonts w:hint="eastAsia" w:ascii="Calibri" w:hAnsi="Calibri"/>
                <w:sz w:val="20"/>
                <w:szCs w:val="20"/>
              </w:rPr>
              <w:t>中国银行股份有限公司－广发中证创新药产业交易型开放式指数证券投资基金</w:t>
            </w:r>
          </w:p>
        </w:tc>
        <w:tc>
          <w:tcPr>
            <w:tcW w:w="3036" w:type="dxa"/>
            <w:gridSpan w:val="3"/>
            <w:vAlign w:val="center"/>
          </w:tcPr>
          <w:p w14:paraId="77309AD0">
            <w:pPr>
              <w:jc w:val="right"/>
              <w:rPr>
                <w:rFonts w:ascii="Calibri" w:hAnsi="Calibri"/>
                <w:sz w:val="20"/>
                <w:szCs w:val="20"/>
              </w:rPr>
            </w:pPr>
            <w:r>
              <w:rPr>
                <w:rFonts w:ascii="Calibri" w:hAnsi="Calibri"/>
                <w:sz w:val="20"/>
                <w:szCs w:val="20"/>
              </w:rPr>
              <w:t>8,204,261</w:t>
            </w:r>
          </w:p>
        </w:tc>
        <w:sdt>
          <w:sdtPr>
            <w:rPr>
              <w:rFonts w:ascii="Calibri" w:hAnsi="Calibri"/>
              <w:bCs/>
              <w:sz w:val="20"/>
              <w:szCs w:val="20"/>
            </w:rPr>
            <w:alias w:val="前十名无限售条件股东期末持有流通股的种类"/>
            <w:tag w:val="_GBC_b35ef493948141e0b9d0c3fd14aad59a"/>
            <w:id w:val="170775742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Calibri" w:hAnsi="Calibri"/>
              <w:bCs/>
              <w:sz w:val="20"/>
              <w:szCs w:val="20"/>
            </w:rPr>
          </w:sdtEndPr>
          <w:sdtContent>
            <w:tc>
              <w:tcPr>
                <w:tcW w:w="1666" w:type="dxa"/>
                <w:gridSpan w:val="2"/>
                <w:vAlign w:val="center"/>
              </w:tcPr>
              <w:p w14:paraId="2A8407B4">
                <w:pPr>
                  <w:jc w:val="center"/>
                  <w:rPr>
                    <w:rFonts w:ascii="Calibri" w:hAnsi="Calibri"/>
                    <w:bCs/>
                    <w:sz w:val="20"/>
                    <w:szCs w:val="20"/>
                  </w:rPr>
                </w:pPr>
                <w:r>
                  <w:rPr>
                    <w:rFonts w:ascii="Calibri" w:hAnsi="Calibri"/>
                    <w:bCs/>
                    <w:sz w:val="20"/>
                    <w:szCs w:val="20"/>
                  </w:rPr>
                  <w:t>人民币普通股</w:t>
                </w:r>
              </w:p>
            </w:tc>
          </w:sdtContent>
        </w:sdt>
        <w:tc>
          <w:tcPr>
            <w:tcW w:w="1301" w:type="dxa"/>
            <w:gridSpan w:val="2"/>
            <w:vAlign w:val="center"/>
          </w:tcPr>
          <w:p w14:paraId="1A5D593F">
            <w:pPr>
              <w:jc w:val="right"/>
              <w:rPr>
                <w:rFonts w:ascii="Calibri" w:hAnsi="Calibri"/>
                <w:sz w:val="20"/>
                <w:szCs w:val="20"/>
              </w:rPr>
            </w:pPr>
            <w:r>
              <w:rPr>
                <w:rFonts w:ascii="Calibri" w:hAnsi="Calibri"/>
                <w:sz w:val="20"/>
                <w:szCs w:val="20"/>
              </w:rPr>
              <w:t>8,204,261</w:t>
            </w:r>
          </w:p>
        </w:tc>
      </w:tr>
      <w:tr w14:paraId="3611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Align w:val="center"/>
          </w:tcPr>
          <w:p w14:paraId="2E5A8C68">
            <w:pPr>
              <w:pStyle w:val="48"/>
              <w:rPr>
                <w:sz w:val="20"/>
                <w:szCs w:val="20"/>
              </w:rPr>
            </w:pPr>
            <w:r>
              <w:rPr>
                <w:rFonts w:hint="eastAsia"/>
                <w:sz w:val="20"/>
                <w:szCs w:val="20"/>
              </w:rPr>
              <w:t>前十名股东中回购专户情况说明</w:t>
            </w:r>
          </w:p>
        </w:tc>
        <w:tc>
          <w:tcPr>
            <w:tcW w:w="6003" w:type="dxa"/>
            <w:gridSpan w:val="7"/>
            <w:vAlign w:val="center"/>
          </w:tcPr>
          <w:p w14:paraId="51774C87">
            <w:pPr>
              <w:pStyle w:val="48"/>
              <w:rPr>
                <w:sz w:val="20"/>
                <w:szCs w:val="20"/>
              </w:rPr>
            </w:pPr>
            <w:r>
              <w:rPr>
                <w:rFonts w:hint="eastAsia"/>
                <w:sz w:val="20"/>
                <w:szCs w:val="20"/>
              </w:rPr>
              <w:t>不适用</w:t>
            </w:r>
          </w:p>
        </w:tc>
      </w:tr>
      <w:tr w14:paraId="2656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Align w:val="center"/>
          </w:tcPr>
          <w:p w14:paraId="0A09524F">
            <w:pPr>
              <w:pStyle w:val="48"/>
              <w:rPr>
                <w:sz w:val="20"/>
                <w:szCs w:val="20"/>
              </w:rPr>
            </w:pPr>
            <w:r>
              <w:rPr>
                <w:sz w:val="20"/>
                <w:szCs w:val="20"/>
              </w:rPr>
              <w:t>上述股东</w:t>
            </w:r>
            <w:r>
              <w:rPr>
                <w:rFonts w:hint="eastAsia"/>
                <w:sz w:val="20"/>
                <w:szCs w:val="20"/>
              </w:rPr>
              <w:t>委托表决权、受托表决权、放弃表决权</w:t>
            </w:r>
            <w:r>
              <w:rPr>
                <w:sz w:val="20"/>
                <w:szCs w:val="20"/>
              </w:rPr>
              <w:t>的说明</w:t>
            </w:r>
          </w:p>
        </w:tc>
        <w:tc>
          <w:tcPr>
            <w:tcW w:w="6003" w:type="dxa"/>
            <w:gridSpan w:val="7"/>
            <w:vAlign w:val="center"/>
          </w:tcPr>
          <w:p w14:paraId="288EC7BD">
            <w:pPr>
              <w:pStyle w:val="48"/>
              <w:rPr>
                <w:sz w:val="20"/>
                <w:szCs w:val="20"/>
              </w:rPr>
            </w:pPr>
            <w:r>
              <w:rPr>
                <w:rFonts w:hint="eastAsia"/>
                <w:sz w:val="20"/>
                <w:szCs w:val="20"/>
              </w:rPr>
              <w:t>不适用</w:t>
            </w:r>
          </w:p>
        </w:tc>
      </w:tr>
      <w:tr w14:paraId="7152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Align w:val="center"/>
          </w:tcPr>
          <w:p w14:paraId="25E29BF0">
            <w:pPr>
              <w:pStyle w:val="48"/>
              <w:rPr>
                <w:sz w:val="20"/>
                <w:szCs w:val="20"/>
              </w:rPr>
            </w:pPr>
            <w:r>
              <w:rPr>
                <w:sz w:val="20"/>
                <w:szCs w:val="20"/>
              </w:rPr>
              <w:t>上述股东关联关系或一致行动的说明</w:t>
            </w:r>
          </w:p>
        </w:tc>
        <w:tc>
          <w:tcPr>
            <w:tcW w:w="6003" w:type="dxa"/>
            <w:gridSpan w:val="7"/>
            <w:vAlign w:val="center"/>
          </w:tcPr>
          <w:p w14:paraId="74033AC7">
            <w:pPr>
              <w:jc w:val="both"/>
              <w:rPr>
                <w:rFonts w:ascii="Calibri" w:hAnsi="Calibri"/>
                <w:sz w:val="20"/>
                <w:szCs w:val="20"/>
              </w:rPr>
            </w:pPr>
            <w:r>
              <w:rPr>
                <w:rFonts w:hint="eastAsia" w:ascii="Calibri" w:hAnsi="Calibri"/>
                <w:sz w:val="20"/>
                <w:szCs w:val="20"/>
              </w:rPr>
              <w:t>公司控股股东东宝实业集团股份有限公司与公司实际控制人李一奎属于一致行动人，公司未知其他股东之间是否存在关联关系或是否属于一致行动人。</w:t>
            </w:r>
          </w:p>
        </w:tc>
      </w:tr>
      <w:tr w14:paraId="0E8F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11" w:type="dxa"/>
            <w:gridSpan w:val="2"/>
            <w:vAlign w:val="center"/>
          </w:tcPr>
          <w:p w14:paraId="0BAF9650">
            <w:pPr>
              <w:pStyle w:val="48"/>
              <w:rPr>
                <w:sz w:val="20"/>
                <w:szCs w:val="20"/>
              </w:rPr>
            </w:pPr>
            <w:r>
              <w:rPr>
                <w:rFonts w:hint="eastAsia"/>
                <w:sz w:val="20"/>
                <w:szCs w:val="20"/>
              </w:rPr>
              <w:t>表决权恢复的优先股股东及持股数量的说明</w:t>
            </w:r>
          </w:p>
        </w:tc>
        <w:tc>
          <w:tcPr>
            <w:tcW w:w="6003" w:type="dxa"/>
            <w:gridSpan w:val="7"/>
            <w:vAlign w:val="center"/>
          </w:tcPr>
          <w:p w14:paraId="40E947A6">
            <w:pPr>
              <w:pStyle w:val="48"/>
              <w:rPr>
                <w:sz w:val="20"/>
                <w:szCs w:val="20"/>
              </w:rPr>
            </w:pPr>
            <w:r>
              <w:rPr>
                <w:rFonts w:hint="eastAsia"/>
                <w:sz w:val="20"/>
                <w:szCs w:val="20"/>
              </w:rPr>
              <w:t>不适用</w:t>
            </w:r>
          </w:p>
        </w:tc>
      </w:tr>
    </w:tbl>
    <w:p w14:paraId="38087485">
      <w:pPr>
        <w:pStyle w:val="48"/>
      </w:pPr>
    </w:p>
    <w:p w14:paraId="1A028836">
      <w:pPr>
        <w:pStyle w:val="48"/>
      </w:pPr>
      <w:r>
        <w:t>持</w:t>
      </w:r>
      <w:r>
        <w:rPr>
          <w:rFonts w:hint="eastAsia"/>
        </w:rPr>
        <w:t>股</w:t>
      </w:r>
      <w:r>
        <w:t>5%以上股东、前十名股东及前十名无限售流通股股东参与转融通业务出借股份情</w:t>
      </w:r>
      <w:r>
        <w:rPr>
          <w:rFonts w:hint="eastAsia"/>
        </w:rPr>
        <w:t>况</w:t>
      </w:r>
    </w:p>
    <w:sdt>
      <w:sdtPr>
        <w:rPr>
          <w:bCs/>
        </w:rPr>
        <w:alias w:val="是否适用：前十名股东参与转融通业务出借股份情况[双击切换]"/>
        <w:tag w:val="_GBC_2d74b1abb153475cb0679c2ab4305c0d"/>
        <w:id w:val="733583665"/>
        <w:placeholder>
          <w:docPart w:val="GBC22222222222222222222222222222"/>
        </w:placeholder>
      </w:sdtPr>
      <w:sdtEndPr>
        <w:rPr>
          <w:bCs/>
        </w:rPr>
      </w:sdtEndPr>
      <w:sdtContent>
        <w:p w14:paraId="3AAAA26F">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69B3C5CE"/>
    <w:bookmarkEnd w:id="175"/>
    <w:p w14:paraId="3F744BA9">
      <w:pPr>
        <w:pStyle w:val="48"/>
      </w:pPr>
      <w:bookmarkStart w:id="176" w:name="_Hlk155094189"/>
      <w:r>
        <w:t>前十名股东及前</w:t>
      </w:r>
      <w:r>
        <w:rPr>
          <w:rFonts w:hint="eastAsia"/>
        </w:rPr>
        <w:t>十</w:t>
      </w:r>
      <w:r>
        <w:t>名无限售流通股股东因转融通出借/归还原因导致较上期发生变化</w:t>
      </w:r>
    </w:p>
    <w:sdt>
      <w:sdtPr>
        <w:rPr>
          <w:rFonts w:hint="eastAsia"/>
        </w:rPr>
        <w:alias w:val="是否适用：前十名股东较上期发生变化[双击切换]"/>
        <w:tag w:val="_GBC_610830f75bf04d59a67019ded47646e5"/>
        <w:id w:val="1774671228"/>
        <w:placeholder>
          <w:docPart w:val="GBC22222222222222222222222222222"/>
        </w:placeholder>
      </w:sdtPr>
      <w:sdtEndPr>
        <w:rPr>
          <w:rFonts w:hint="eastAsia"/>
        </w:rPr>
      </w:sdtEndPr>
      <w:sdtContent>
        <w:p w14:paraId="43016B8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5304090">
      <w:pPr>
        <w:pStyle w:val="48"/>
      </w:pPr>
    </w:p>
    <w:bookmarkEnd w:id="176"/>
    <w:p w14:paraId="323A5088">
      <w:pPr>
        <w:pStyle w:val="48"/>
      </w:pPr>
      <w:r>
        <w:t>前十名有限售条件股东持股数量及限售条件</w:t>
      </w:r>
    </w:p>
    <w:sdt>
      <w:sdtPr>
        <w:rPr>
          <w:bCs/>
        </w:rPr>
        <w:alias w:val="是否适用：前十名有限售条件股东持股数量及限售条件[双击切换]"/>
        <w:tag w:val="_GBC_99ceff37849a42f4b21400880589fbc1"/>
        <w:id w:val="780844608"/>
        <w:placeholder>
          <w:docPart w:val="GBC22222222222222222222222222222"/>
        </w:placeholder>
      </w:sdtPr>
      <w:sdtEndPr>
        <w:rPr>
          <w:bCs/>
        </w:rPr>
      </w:sdtEndPr>
      <w:sdtContent>
        <w:p w14:paraId="45F52F14">
          <w:pPr>
            <w:rPr>
              <w:bCs/>
            </w:rPr>
          </w:pPr>
          <w:r>
            <w:rPr>
              <w:rFonts w:ascii="宋体" w:hAnsi="宋体"/>
              <w:bCs/>
            </w:rPr>
            <w:fldChar w:fldCharType="begin"/>
          </w:r>
          <w:r>
            <w:rPr>
              <w:rFonts w:ascii="宋体" w:hAnsi="宋体"/>
              <w:bCs/>
            </w:rPr>
            <w:instrText xml:space="preserve">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37B9F393">
      <w:pPr>
        <w:pStyle w:val="48"/>
      </w:pPr>
    </w:p>
    <w:bookmarkEnd w:id="174"/>
    <w:p w14:paraId="73CCCF30">
      <w:pPr>
        <w:pStyle w:val="4"/>
        <w:numPr>
          <w:ilvl w:val="1"/>
          <w:numId w:val="46"/>
        </w:numPr>
        <w:tabs>
          <w:tab w:val="left" w:pos="851"/>
        </w:tabs>
        <w:ind w:left="426" w:hanging="426"/>
        <w:rPr>
          <w:szCs w:val="21"/>
        </w:rPr>
      </w:pPr>
      <w:bookmarkStart w:id="177" w:name="_Hlk89352705"/>
      <w:bookmarkEnd w:id="177"/>
      <w:r>
        <w:rPr>
          <w:rFonts w:hint="eastAsia"/>
          <w:szCs w:val="21"/>
        </w:rPr>
        <w:t>战略投资者或一般法人因配售新股成为前10名股东</w:t>
      </w:r>
    </w:p>
    <w:sdt>
      <w:sdtPr>
        <w:alias w:val="是否适用：战略投资者或一般法人因配售新股成为前10名股东[双击切换]"/>
        <w:tag w:val="_GBC_f3c63aafb8134fdcbdeb39fd33c2cd8d"/>
        <w:id w:val="-82996775"/>
        <w:placeholder>
          <w:docPart w:val="GBC22222222222222222222222222222"/>
        </w:placeholder>
      </w:sdtPr>
      <w:sdtContent>
        <w:p w14:paraId="1CF8B2E7">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C3BBA80">
      <w:pPr>
        <w:pStyle w:val="48"/>
      </w:pPr>
    </w:p>
    <w:p w14:paraId="4A584511">
      <w:pPr>
        <w:pStyle w:val="3"/>
        <w:numPr>
          <w:ilvl w:val="0"/>
          <w:numId w:val="42"/>
        </w:numPr>
      </w:pPr>
      <w:r>
        <w:rPr>
          <w:rFonts w:hint="eastAsia"/>
        </w:rPr>
        <w:t>控股股东及实际控制人情况</w:t>
      </w:r>
    </w:p>
    <w:p w14:paraId="1E0F458F">
      <w:pPr>
        <w:pStyle w:val="4"/>
        <w:numPr>
          <w:ilvl w:val="0"/>
          <w:numId w:val="47"/>
        </w:numPr>
      </w:pPr>
      <w:r>
        <w:t>控股股东情况</w:t>
      </w:r>
    </w:p>
    <w:p w14:paraId="62C6B240">
      <w:pPr>
        <w:pStyle w:val="5"/>
        <w:numPr>
          <w:ilvl w:val="0"/>
          <w:numId w:val="48"/>
        </w:numPr>
      </w:pPr>
      <w:r>
        <w:t>法人</w:t>
      </w:r>
    </w:p>
    <w:sdt>
      <w:sdtPr>
        <w:alias w:val="是否适用：法人_控股股东情况[双击切换]"/>
        <w:tag w:val="_GBC_eab2d7c8478645dbae996b49d203b0d9"/>
        <w:id w:val="-1698695251"/>
        <w:placeholder>
          <w:docPart w:val="GBC22222222222222222222222222222"/>
        </w:placeholder>
      </w:sdtPr>
      <w:sdtContent>
        <w:p w14:paraId="075560F0">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20"/>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5680"/>
      </w:tblGrid>
      <w:tr w14:paraId="192C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sdt>
          <w:sdtPr>
            <w:tag w:val="_PLD_e1d45d230e0e4c06bc451af63b51d4e2"/>
            <w:id w:val="272211374"/>
          </w:sdtPr>
          <w:sdtContent>
            <w:tc>
              <w:tcPr>
                <w:tcW w:w="3369" w:type="dxa"/>
                <w:vAlign w:val="center"/>
              </w:tcPr>
              <w:p w14:paraId="2E1C8E46">
                <w:pPr>
                  <w:pStyle w:val="48"/>
                </w:pPr>
                <w:r>
                  <w:rPr>
                    <w:rFonts w:hint="eastAsia"/>
                  </w:rPr>
                  <w:t>名称</w:t>
                </w:r>
              </w:p>
            </w:tc>
          </w:sdtContent>
        </w:sdt>
        <w:sdt>
          <w:sdtPr>
            <w:rPr>
              <w:rFonts w:hint="eastAsia"/>
            </w:rPr>
            <w:alias w:val="法人控股股东名称"/>
            <w:tag w:val="_GBC_b9697fb9b1e247b58382e6e5a1fdba0f"/>
            <w:id w:val="-1892412444"/>
          </w:sdtPr>
          <w:sdtEndPr>
            <w:rPr>
              <w:rFonts w:hint="eastAsia"/>
            </w:rPr>
          </w:sdtEndPr>
          <w:sdtContent>
            <w:tc>
              <w:tcPr>
                <w:tcW w:w="5680" w:type="dxa"/>
                <w:vAlign w:val="center"/>
              </w:tcPr>
              <w:p w14:paraId="78B25FE6">
                <w:pPr>
                  <w:widowControl w:val="0"/>
                  <w:jc w:val="center"/>
                </w:pPr>
                <w:r>
                  <w:rPr>
                    <w:rFonts w:hint="eastAsia"/>
                  </w:rPr>
                  <w:t>东宝实业集团股份有限公司</w:t>
                </w:r>
              </w:p>
            </w:tc>
          </w:sdtContent>
        </w:sdt>
      </w:tr>
      <w:tr w14:paraId="1CE4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369" w:type="dxa"/>
            <w:vAlign w:val="center"/>
          </w:tcPr>
          <w:p w14:paraId="6CE4D8E8">
            <w:pPr>
              <w:pStyle w:val="48"/>
            </w:pPr>
            <w:r>
              <w:rPr>
                <w:rFonts w:hint="eastAsia"/>
              </w:rPr>
              <w:t>单位负责人或法定代表人</w:t>
            </w:r>
          </w:p>
        </w:tc>
        <w:tc>
          <w:tcPr>
            <w:tcW w:w="5680" w:type="dxa"/>
            <w:vAlign w:val="center"/>
          </w:tcPr>
          <w:p w14:paraId="3D2FBB43">
            <w:pPr>
              <w:widowControl w:val="0"/>
              <w:jc w:val="center"/>
            </w:pPr>
            <w:r>
              <w:rPr>
                <w:rFonts w:hint="eastAsia"/>
              </w:rPr>
              <w:t>李佳鸿</w:t>
            </w:r>
          </w:p>
        </w:tc>
      </w:tr>
      <w:tr w14:paraId="68D9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369" w:type="dxa"/>
            <w:vAlign w:val="center"/>
          </w:tcPr>
          <w:p w14:paraId="0FE799CE">
            <w:pPr>
              <w:pStyle w:val="48"/>
            </w:pPr>
            <w:r>
              <w:rPr>
                <w:rFonts w:hint="eastAsia"/>
              </w:rPr>
              <w:t>成立日期</w:t>
            </w:r>
          </w:p>
        </w:tc>
        <w:tc>
          <w:tcPr>
            <w:tcW w:w="5680" w:type="dxa"/>
            <w:vAlign w:val="center"/>
          </w:tcPr>
          <w:p w14:paraId="42063047">
            <w:pPr>
              <w:widowControl w:val="0"/>
              <w:jc w:val="center"/>
            </w:pPr>
            <w:r>
              <w:t>1992年10月20日</w:t>
            </w:r>
          </w:p>
        </w:tc>
      </w:tr>
      <w:tr w14:paraId="139A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369" w:type="dxa"/>
            <w:vAlign w:val="center"/>
          </w:tcPr>
          <w:p w14:paraId="28523651">
            <w:pPr>
              <w:pStyle w:val="48"/>
            </w:pPr>
            <w:r>
              <w:rPr>
                <w:rFonts w:hint="eastAsia"/>
              </w:rPr>
              <w:t>主要经营业务</w:t>
            </w:r>
          </w:p>
        </w:tc>
        <w:tc>
          <w:tcPr>
            <w:tcW w:w="5680" w:type="dxa"/>
            <w:vAlign w:val="center"/>
          </w:tcPr>
          <w:p w14:paraId="1BCE25E2">
            <w:pPr>
              <w:pStyle w:val="48"/>
            </w:pPr>
            <w:r>
              <w:t>建筑材料、机械设备购销；进口（国家限定一、二类商品除外）生产所需原辅材料、机械设备零配件；企业经营本企业或本企业成员企业、自产产品及相关技术出口业务；经营本企业或本企业成员企业生产、科研所需原辅材料、机械设备、仪器仪表、零配件等商品及相关技术的进口业务；承办中外合资经营合作生产及开展“三来一补”业务；项目投资。(以下项目在分公司经营)：生物制品、中成药品、化学药品、医疗器械、食品、保健品、化妆品研发、生产、销售；医药技术服务、成果转让；企业管理咨询、健康管理咨询；人参种植、初加工；智能化信息工程开发、设计、施工；从事网络科技领域内的技术开发、服务；餐饮宾馆、购物广场、休闲健身、室内娱乐服务、儿童乐园、影院、停车场服务；超级市场综合销售；场地租赁，房屋租赁，摊位出租，商品促销服务、商场管理，物业管理，广告设计发布；自来水的生产和供应，热力供应服务。</w:t>
            </w:r>
          </w:p>
        </w:tc>
      </w:tr>
      <w:tr w14:paraId="47BB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369" w:type="dxa"/>
            <w:vAlign w:val="center"/>
          </w:tcPr>
          <w:p w14:paraId="78C3BCA9">
            <w:pPr>
              <w:pStyle w:val="48"/>
            </w:pPr>
            <w:r>
              <w:rPr>
                <w:rFonts w:hint="eastAsia"/>
              </w:rPr>
              <w:t>报告期内控股和参股的其他境内外上市公司的股权情况</w:t>
            </w:r>
          </w:p>
        </w:tc>
        <w:tc>
          <w:tcPr>
            <w:tcW w:w="5680" w:type="dxa"/>
            <w:vAlign w:val="center"/>
          </w:tcPr>
          <w:p w14:paraId="09A1B9B4">
            <w:pPr>
              <w:pStyle w:val="48"/>
            </w:pPr>
            <w:r>
              <w:t>无</w:t>
            </w:r>
          </w:p>
        </w:tc>
      </w:tr>
      <w:tr w14:paraId="1446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3369" w:type="dxa"/>
            <w:vAlign w:val="center"/>
          </w:tcPr>
          <w:p w14:paraId="0F5836B2">
            <w:pPr>
              <w:pStyle w:val="48"/>
            </w:pPr>
            <w:r>
              <w:rPr>
                <w:rFonts w:hint="eastAsia"/>
              </w:rPr>
              <w:t>其他情况说明</w:t>
            </w:r>
          </w:p>
        </w:tc>
        <w:tc>
          <w:tcPr>
            <w:tcW w:w="5680" w:type="dxa"/>
            <w:vAlign w:val="center"/>
          </w:tcPr>
          <w:p w14:paraId="1DAD69CD">
            <w:pPr>
              <w:pStyle w:val="48"/>
            </w:pPr>
            <w:r>
              <w:t>无</w:t>
            </w:r>
          </w:p>
        </w:tc>
      </w:tr>
    </w:tbl>
    <w:p w14:paraId="623A4A7D">
      <w:pPr>
        <w:pStyle w:val="48"/>
      </w:pPr>
    </w:p>
    <w:p w14:paraId="47498A0A">
      <w:pPr>
        <w:pStyle w:val="5"/>
        <w:numPr>
          <w:ilvl w:val="0"/>
          <w:numId w:val="48"/>
        </w:numPr>
      </w:pPr>
      <w:r>
        <w:t>自然人</w:t>
      </w:r>
    </w:p>
    <w:sdt>
      <w:sdtPr>
        <w:alias w:val="是否适用：自然人_控股股东情况[双击切换]"/>
        <w:tag w:val="_GBC_050e33c59070475b9b048117126cc6ba"/>
        <w:id w:val="1439259940"/>
        <w:placeholder>
          <w:docPart w:val="GBC22222222222222222222222222222"/>
        </w:placeholder>
      </w:sdtPr>
      <w:sdtContent>
        <w:p w14:paraId="11FF87E7">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15FA247">
      <w:pPr>
        <w:pStyle w:val="48"/>
      </w:pPr>
    </w:p>
    <w:p w14:paraId="40B920A2">
      <w:pPr>
        <w:pStyle w:val="5"/>
        <w:numPr>
          <w:ilvl w:val="0"/>
          <w:numId w:val="48"/>
        </w:numPr>
      </w:pPr>
      <w:r>
        <w:rPr>
          <w:rFonts w:hint="eastAsia"/>
        </w:rPr>
        <w:t>公司不存在控股股东情况的特别说明</w:t>
      </w:r>
    </w:p>
    <w:sdt>
      <w:sdtPr>
        <w:rPr>
          <w:rFonts w:hint="eastAsia"/>
        </w:rPr>
        <w:alias w:val="是否适用：公司不存在控股股东情况的特别说明[双击切换]"/>
        <w:tag w:val="_GBC_2c420ad8f9bd455b89ad3a0d10597af2"/>
        <w:id w:val="2021037012"/>
        <w:placeholder>
          <w:docPart w:val="GBC22222222222222222222222222222"/>
        </w:placeholder>
      </w:sdtPr>
      <w:sdtEndPr>
        <w:rPr>
          <w:rFonts w:hint="eastAsia"/>
        </w:rPr>
      </w:sdtEndPr>
      <w:sdtContent>
        <w:p w14:paraId="72BC5D5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AB33352">
      <w:pPr>
        <w:pStyle w:val="48"/>
      </w:pPr>
    </w:p>
    <w:p w14:paraId="58B7A663">
      <w:pPr>
        <w:pStyle w:val="5"/>
        <w:numPr>
          <w:ilvl w:val="0"/>
          <w:numId w:val="48"/>
        </w:numPr>
      </w:pPr>
      <w:r>
        <w:rPr>
          <w:rFonts w:hint="eastAsia"/>
        </w:rPr>
        <w:t>报告期内控股股东变更情况的说明</w:t>
      </w:r>
    </w:p>
    <w:sdt>
      <w:sdtPr>
        <w:rPr>
          <w:rFonts w:hint="eastAsia"/>
        </w:rPr>
        <w:alias w:val="是否适用：报告期内控股股东变更情况的说明[双击切换]"/>
        <w:tag w:val="_GBC_ba32d923117643d78736fd77472e578b"/>
        <w:id w:val="-1793205247"/>
        <w:placeholder>
          <w:docPart w:val="GBC22222222222222222222222222222"/>
        </w:placeholder>
      </w:sdtPr>
      <w:sdtEndPr>
        <w:rPr>
          <w:rFonts w:hint="eastAsia"/>
        </w:rPr>
      </w:sdtEndPr>
      <w:sdtContent>
        <w:p w14:paraId="6F69EBC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159D4FF">
      <w:pPr>
        <w:pStyle w:val="48"/>
      </w:pPr>
    </w:p>
    <w:p w14:paraId="49C7D965">
      <w:pPr>
        <w:pStyle w:val="5"/>
        <w:numPr>
          <w:ilvl w:val="0"/>
          <w:numId w:val="48"/>
        </w:num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2091425779"/>
        <w:placeholder>
          <w:docPart w:val="GBC22222222222222222222222222222"/>
        </w:placeholder>
      </w:sdtPr>
      <w:sdtContent>
        <w:p w14:paraId="6842D1AE">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sdt>
      <w:sdtPr>
        <w:rPr>
          <w:rFonts w:hint="eastAsia"/>
        </w:rPr>
        <w:alias w:val="图片：公司与控股股东之间的产权及控制关系的方框图"/>
        <w:tag w:val="_GBC_237afe95a2de48a5baec021682951b46"/>
        <w:id w:val="-1658143074"/>
        <w:placeholder>
          <w:docPart w:val="GBC22222222222222222222222222222"/>
        </w:placeholder>
        <w:picture/>
      </w:sdtPr>
      <w:sdtEndPr>
        <w:rPr>
          <w:rFonts w:hint="eastAsia"/>
        </w:rPr>
      </w:sdtEndPr>
      <w:sdtContent>
        <w:p w14:paraId="06AE38B4">
          <w:pPr>
            <w:pStyle w:val="48"/>
          </w:pPr>
          <w:r>
            <w:rPr>
              <w:rFonts w:hint="eastAsia"/>
            </w:rPr>
            <w:drawing>
              <wp:inline distT="0" distB="0" distL="0" distR="0">
                <wp:extent cx="2965450" cy="197231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2965727" cy="1972767"/>
                        </a:xfrm>
                        <a:prstGeom prst="rect">
                          <a:avLst/>
                        </a:prstGeom>
                        <a:noFill/>
                        <a:ln w="9525">
                          <a:noFill/>
                          <a:miter lim="800000"/>
                          <a:headEnd/>
                          <a:tailEnd/>
                        </a:ln>
                      </pic:spPr>
                    </pic:pic>
                  </a:graphicData>
                </a:graphic>
              </wp:inline>
            </w:drawing>
          </w:r>
        </w:p>
      </w:sdtContent>
    </w:sdt>
    <w:p w14:paraId="27777E34">
      <w:pPr>
        <w:spacing w:line="360" w:lineRule="auto"/>
        <w:ind w:firstLine="420" w:firstLineChars="200"/>
        <w:jc w:val="both"/>
        <w:rPr>
          <w:rFonts w:ascii="宋体" w:hAnsi="宋体" w:cs="宋体"/>
        </w:rPr>
      </w:pPr>
      <w:r>
        <w:rPr>
          <w:rFonts w:hint="eastAsia" w:ascii="宋体" w:hAnsi="宋体" w:cs="宋体"/>
        </w:rPr>
        <w:t>公司控股股东东宝集团根据增持计划，于</w:t>
      </w:r>
      <w:r>
        <w:rPr>
          <w:rFonts w:ascii="宋体" w:hAnsi="宋体" w:cs="宋体"/>
        </w:rPr>
        <w:t>2025年</w:t>
      </w:r>
      <w:r>
        <w:rPr>
          <w:rFonts w:hint="eastAsia" w:ascii="宋体" w:hAnsi="宋体" w:cs="宋体"/>
        </w:rPr>
        <w:t>1</w:t>
      </w:r>
      <w:r>
        <w:rPr>
          <w:rFonts w:ascii="宋体" w:hAnsi="宋体" w:cs="宋体"/>
        </w:rPr>
        <w:t>月1日至2025年10月30日期间，增持公司股份19,782,709股，持股数量由599,718,087股变动为619,500,796股，持股比例由30.26%变动为31.63%。</w:t>
      </w:r>
    </w:p>
    <w:p w14:paraId="5292F61E">
      <w:pPr>
        <w:pStyle w:val="48"/>
      </w:pPr>
    </w:p>
    <w:p w14:paraId="143BF6C0">
      <w:pPr>
        <w:pStyle w:val="4"/>
        <w:numPr>
          <w:ilvl w:val="0"/>
          <w:numId w:val="47"/>
        </w:numPr>
      </w:pPr>
      <w:r>
        <w:rPr>
          <w:rFonts w:hint="eastAsia"/>
        </w:rPr>
        <w:t>实际控制人情况</w:t>
      </w:r>
    </w:p>
    <w:p w14:paraId="471CCC6E">
      <w:pPr>
        <w:pStyle w:val="5"/>
        <w:numPr>
          <w:ilvl w:val="0"/>
          <w:numId w:val="49"/>
        </w:numPr>
      </w:pPr>
      <w:r>
        <w:rPr>
          <w:rFonts w:hint="eastAsia"/>
        </w:rPr>
        <w:t>法人</w:t>
      </w:r>
    </w:p>
    <w:sdt>
      <w:sdtPr>
        <w:alias w:val="是否适用：法人_实际控制人情况[双击切换]"/>
        <w:tag w:val="_GBC_6cb3195cd6c545489bd6151d0ee57d58"/>
        <w:id w:val="250553263"/>
        <w:placeholder>
          <w:docPart w:val="GBC22222222222222222222222222222"/>
        </w:placeholder>
      </w:sdtPr>
      <w:sdtContent>
        <w:p w14:paraId="5AA282F1">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C4DC84F">
      <w:pPr>
        <w:pStyle w:val="48"/>
      </w:pPr>
    </w:p>
    <w:p w14:paraId="452766EA">
      <w:pPr>
        <w:pStyle w:val="5"/>
        <w:numPr>
          <w:ilvl w:val="0"/>
          <w:numId w:val="49"/>
        </w:numPr>
      </w:pPr>
      <w:r>
        <w:rPr>
          <w:rFonts w:hint="eastAsia"/>
        </w:rPr>
        <w:t>自然人</w:t>
      </w:r>
    </w:p>
    <w:sdt>
      <w:sdtPr>
        <w:alias w:val="是否适用：自然人_实际控制人情况[双击切换]"/>
        <w:tag w:val="_GBC_359229fa8cca4506ac3cec3de8b5e99b"/>
        <w:id w:val="1265733205"/>
        <w:placeholder>
          <w:docPart w:val="GBC22222222222222222222222222222"/>
        </w:placeholder>
      </w:sdtPr>
      <w:sdtContent>
        <w:p w14:paraId="024BEFFF">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20"/>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0"/>
        <w:gridCol w:w="5110"/>
      </w:tblGrid>
      <w:tr w14:paraId="6F80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3830c2543f934eef9f87e91c1b08ec23"/>
            <w:id w:val="-1346785339"/>
          </w:sdtPr>
          <w:sdtContent>
            <w:tc>
              <w:tcPr>
                <w:tcW w:w="3390" w:type="dxa"/>
                <w:vAlign w:val="center"/>
              </w:tcPr>
              <w:p w14:paraId="086C9058">
                <w:pPr>
                  <w:pStyle w:val="48"/>
                </w:pPr>
                <w:r>
                  <w:t>姓名</w:t>
                </w:r>
              </w:p>
            </w:tc>
          </w:sdtContent>
        </w:sdt>
        <w:sdt>
          <w:sdtPr>
            <w:rPr>
              <w:rFonts w:hint="eastAsia"/>
            </w:rPr>
            <w:alias w:val="自然人实际控制人姓名"/>
            <w:tag w:val="_GBC_a31c4544eeb84b5e9cf3dfb7f96aa395"/>
            <w:id w:val="1969080202"/>
          </w:sdtPr>
          <w:sdtEndPr>
            <w:rPr>
              <w:rFonts w:hint="eastAsia"/>
            </w:rPr>
          </w:sdtEndPr>
          <w:sdtContent>
            <w:tc>
              <w:tcPr>
                <w:tcW w:w="5110" w:type="dxa"/>
                <w:vAlign w:val="center"/>
              </w:tcPr>
              <w:p w14:paraId="316366E4">
                <w:pPr>
                  <w:widowControl w:val="0"/>
                  <w:jc w:val="center"/>
                </w:pPr>
                <w:r>
                  <w:rPr>
                    <w:rFonts w:hint="eastAsia"/>
                  </w:rPr>
                  <w:t>李一奎</w:t>
                </w:r>
              </w:p>
            </w:tc>
          </w:sdtContent>
        </w:sdt>
      </w:tr>
      <w:tr w14:paraId="3593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3390" w:type="dxa"/>
            <w:vAlign w:val="center"/>
          </w:tcPr>
          <w:p w14:paraId="615EC300">
            <w:pPr>
              <w:pStyle w:val="48"/>
            </w:pPr>
            <w:r>
              <w:t>国籍</w:t>
            </w:r>
          </w:p>
        </w:tc>
        <w:tc>
          <w:tcPr>
            <w:tcW w:w="5110" w:type="dxa"/>
            <w:vAlign w:val="center"/>
          </w:tcPr>
          <w:p w14:paraId="1109E240">
            <w:pPr>
              <w:widowControl w:val="0"/>
              <w:jc w:val="center"/>
            </w:pPr>
            <w:r>
              <w:rPr>
                <w:rFonts w:hint="eastAsia"/>
              </w:rPr>
              <w:t>中国</w:t>
            </w:r>
          </w:p>
        </w:tc>
      </w:tr>
      <w:tr w14:paraId="4160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390" w:type="dxa"/>
            <w:vAlign w:val="center"/>
          </w:tcPr>
          <w:p w14:paraId="59E0AE9B">
            <w:pPr>
              <w:pStyle w:val="48"/>
            </w:pPr>
            <w:r>
              <w:t>是否取得其他国家或地区居留权</w:t>
            </w:r>
          </w:p>
        </w:tc>
        <w:sdt>
          <w:sdtPr>
            <w:rPr>
              <w:rFonts w:hint="eastAsia"/>
            </w:rPr>
            <w:alias w:val="自然人实际控制人是否取得其他国家或地区居留权"/>
            <w:tag w:val="_GBC_f7a7b9fa20b64c878e9aae9e01be99d7"/>
            <w:id w:val="1305361944"/>
            <w:comboBox>
              <w:listItem w:displayText="是" w:value="true"/>
              <w:listItem w:displayText="否" w:value="false"/>
            </w:comboBox>
          </w:sdtPr>
          <w:sdtEndPr>
            <w:rPr>
              <w:rFonts w:hint="eastAsia"/>
            </w:rPr>
          </w:sdtEndPr>
          <w:sdtContent>
            <w:tc>
              <w:tcPr>
                <w:tcW w:w="5110" w:type="dxa"/>
                <w:vAlign w:val="center"/>
              </w:tcPr>
              <w:p w14:paraId="6642DEC5">
                <w:pPr>
                  <w:widowControl w:val="0"/>
                  <w:jc w:val="center"/>
                </w:pPr>
                <w:r>
                  <w:rPr>
                    <w:rFonts w:hint="eastAsia"/>
                  </w:rPr>
                  <w:t>否</w:t>
                </w:r>
              </w:p>
            </w:tc>
          </w:sdtContent>
        </w:sdt>
      </w:tr>
      <w:tr w14:paraId="0AE7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90" w:type="dxa"/>
            <w:vAlign w:val="center"/>
          </w:tcPr>
          <w:p w14:paraId="1D1F6377">
            <w:pPr>
              <w:pStyle w:val="48"/>
            </w:pPr>
            <w:r>
              <w:rPr>
                <w:rFonts w:hint="eastAsia"/>
              </w:rPr>
              <w:t>主要</w:t>
            </w:r>
            <w:r>
              <w:t>职业及职务</w:t>
            </w:r>
          </w:p>
        </w:tc>
        <w:tc>
          <w:tcPr>
            <w:tcW w:w="5110" w:type="dxa"/>
            <w:vAlign w:val="center"/>
          </w:tcPr>
          <w:p w14:paraId="063A6022">
            <w:pPr>
              <w:pStyle w:val="45"/>
              <w:jc w:val="both"/>
            </w:pPr>
            <w:r>
              <w:t>曾任本公司董事长及本公司的控股股东东宝集团董事长</w:t>
            </w:r>
            <w:r>
              <w:rPr>
                <w:rFonts w:hint="eastAsia"/>
              </w:rPr>
              <w:t>、董事</w:t>
            </w:r>
            <w:r>
              <w:t>。</w:t>
            </w:r>
          </w:p>
        </w:tc>
      </w:tr>
      <w:tr w14:paraId="7C84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390" w:type="dxa"/>
            <w:vAlign w:val="center"/>
          </w:tcPr>
          <w:p w14:paraId="16358D0F">
            <w:pPr>
              <w:pStyle w:val="48"/>
            </w:pPr>
            <w:r>
              <w:t>过去10年曾控股的境内外上市公司情况</w:t>
            </w:r>
          </w:p>
        </w:tc>
        <w:tc>
          <w:tcPr>
            <w:tcW w:w="5110" w:type="dxa"/>
            <w:vAlign w:val="center"/>
          </w:tcPr>
          <w:p w14:paraId="6ED1FFD8">
            <w:pPr>
              <w:widowControl w:val="0"/>
              <w:jc w:val="center"/>
            </w:pPr>
            <w:r>
              <w:rPr>
                <w:rFonts w:hint="eastAsia"/>
              </w:rPr>
              <w:t>无</w:t>
            </w:r>
          </w:p>
        </w:tc>
      </w:tr>
    </w:tbl>
    <w:p w14:paraId="151A213F">
      <w:pPr>
        <w:pStyle w:val="48"/>
      </w:pPr>
    </w:p>
    <w:p w14:paraId="2D5E9BE7">
      <w:pPr>
        <w:pStyle w:val="5"/>
        <w:numPr>
          <w:ilvl w:val="0"/>
          <w:numId w:val="49"/>
        </w:numPr>
      </w:pPr>
      <w:r>
        <w:rPr>
          <w:rFonts w:hint="eastAsia"/>
        </w:rPr>
        <w:t>公司不存在实际控制人情况的特别说明</w:t>
      </w:r>
    </w:p>
    <w:sdt>
      <w:sdtPr>
        <w:rPr>
          <w:rFonts w:hint="eastAsia"/>
        </w:rPr>
        <w:alias w:val="是否适用：公司不存在实际控制人情况的特别说明[双击切换]"/>
        <w:tag w:val="_GBC_7380ff5e0fc6471583dc22db2252e039"/>
        <w:id w:val="1854136538"/>
        <w:placeholder>
          <w:docPart w:val="GBC22222222222222222222222222222"/>
        </w:placeholder>
      </w:sdtPr>
      <w:sdtEndPr>
        <w:rPr>
          <w:rFonts w:hint="eastAsia"/>
        </w:rPr>
      </w:sdtEndPr>
      <w:sdtContent>
        <w:p w14:paraId="390598D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2283F10">
      <w:pPr>
        <w:pStyle w:val="48"/>
      </w:pPr>
    </w:p>
    <w:p w14:paraId="3A973B0C">
      <w:pPr>
        <w:pStyle w:val="48"/>
      </w:pPr>
    </w:p>
    <w:p w14:paraId="0F7A37D1">
      <w:pPr>
        <w:pStyle w:val="5"/>
        <w:numPr>
          <w:ilvl w:val="0"/>
          <w:numId w:val="49"/>
        </w:numPr>
      </w:pPr>
      <w:r>
        <w:rPr>
          <w:rFonts w:hint="eastAsia"/>
        </w:rPr>
        <w:t>报告期内公司控制权发生变更的情况说明</w:t>
      </w:r>
    </w:p>
    <w:sdt>
      <w:sdtPr>
        <w:rPr>
          <w:rFonts w:hint="eastAsia"/>
        </w:rPr>
        <w:alias w:val="是否适用：报告期内公司控制权发生变更的情况说明 [双击切换]"/>
        <w:tag w:val="_GBC_f12f62e5c67e473692b22389cda35aaa"/>
        <w:id w:val="1895079925"/>
        <w:placeholder>
          <w:docPart w:val="GBC22222222222222222222222222222"/>
        </w:placeholder>
      </w:sdtPr>
      <w:sdtEndPr>
        <w:rPr>
          <w:rFonts w:hint="eastAsia"/>
        </w:rPr>
      </w:sdtEndPr>
      <w:sdtContent>
        <w:p w14:paraId="5CF4B46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746E25C">
      <w:pPr>
        <w:pStyle w:val="48"/>
      </w:pPr>
    </w:p>
    <w:p w14:paraId="1F852D50">
      <w:pPr>
        <w:pStyle w:val="5"/>
        <w:numPr>
          <w:ilvl w:val="0"/>
          <w:numId w:val="49"/>
        </w:numPr>
      </w:pPr>
      <w:r>
        <w:rPr>
          <w:rFonts w:hint="eastAsia"/>
        </w:rPr>
        <w:t>公司与实际控制人之间的产权及控制关系的方框图</w:t>
      </w:r>
    </w:p>
    <w:sdt>
      <w:sdtPr>
        <w:alias w:val="是否适用：公司与实际控制人之间的产权及控制关系的方框图[双击切换]"/>
        <w:tag w:val="_GBC_8ddc5ba6a04141dc94582029460f81bd"/>
        <w:id w:val="-388188400"/>
        <w:placeholder>
          <w:docPart w:val="GBC22222222222222222222222222222"/>
        </w:placeholder>
      </w:sdtPr>
      <w:sdtContent>
        <w:p w14:paraId="24A35A73">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p w14:paraId="3E5D8E07">
      <w:pPr>
        <w:pStyle w:val="48"/>
      </w:pPr>
      <w:sdt>
        <w:sdtPr>
          <w:rPr>
            <w:rFonts w:hint="eastAsia"/>
          </w:rPr>
          <w:alias w:val="图片：公司与实际控制人之间的产权及控制关系的方框图"/>
          <w:tag w:val="_GBC_538f0b25ae684717a3c8362262a5a004"/>
          <w:id w:val="1390621396"/>
          <w:placeholder>
            <w:docPart w:val="GBC22222222222222222222222222222"/>
          </w:placeholder>
          <w:picture/>
        </w:sdtPr>
        <w:sdtEndPr>
          <w:rPr>
            <w:rFonts w:hint="eastAsia"/>
          </w:rPr>
        </w:sdtEndPr>
        <w:sdtContent>
          <w:r>
            <w:rPr>
              <w:rFonts w:hint="eastAsia"/>
            </w:rPr>
            <w:drawing>
              <wp:inline distT="0" distB="0" distL="0" distR="0">
                <wp:extent cx="5689600" cy="468058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9749" cy="4680984"/>
                        </a:xfrm>
                        <a:prstGeom prst="rect">
                          <a:avLst/>
                        </a:prstGeom>
                        <a:noFill/>
                        <a:ln>
                          <a:noFill/>
                        </a:ln>
                      </pic:spPr>
                    </pic:pic>
                  </a:graphicData>
                </a:graphic>
              </wp:inline>
            </w:drawing>
          </w:r>
        </w:sdtContent>
      </w:sdt>
    </w:p>
    <w:p w14:paraId="26A33295">
      <w:pPr>
        <w:pStyle w:val="48"/>
      </w:pPr>
    </w:p>
    <w:p w14:paraId="59AA7773">
      <w:pPr>
        <w:pStyle w:val="5"/>
        <w:numPr>
          <w:ilvl w:val="0"/>
          <w:numId w:val="49"/>
        </w:numPr>
      </w:pPr>
      <w:r>
        <w:rPr>
          <w:rFonts w:hint="eastAsia"/>
        </w:rP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904801129"/>
        <w:placeholder>
          <w:docPart w:val="GBC22222222222222222222222222222"/>
        </w:placeholder>
      </w:sdtPr>
      <w:sdtEndPr>
        <w:rPr>
          <w:rFonts w:hint="eastAsia"/>
        </w:rPr>
      </w:sdtEndPr>
      <w:sdtContent>
        <w:p w14:paraId="734A037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20931D5">
      <w:pPr>
        <w:pStyle w:val="48"/>
      </w:pPr>
    </w:p>
    <w:p w14:paraId="6200043A">
      <w:pPr>
        <w:pStyle w:val="4"/>
        <w:numPr>
          <w:ilvl w:val="0"/>
          <w:numId w:val="47"/>
        </w:numPr>
      </w:pPr>
      <w:r>
        <w:t>控股股东及实际控制人其他情况介绍</w:t>
      </w:r>
    </w:p>
    <w:sdt>
      <w:sdtPr>
        <w:rPr>
          <w:rFonts w:hint="eastAsia"/>
        </w:rPr>
        <w:alias w:val="是否适用：控股股东及实际控制人其他情况介绍[双击切换]"/>
        <w:tag w:val="_GBC_f45ea2fa04e04b71a116fba6ba3bff32"/>
        <w:id w:val="-1151052535"/>
        <w:placeholder>
          <w:docPart w:val="GBC22222222222222222222222222222"/>
        </w:placeholder>
      </w:sdtPr>
      <w:sdtEndPr>
        <w:rPr>
          <w:rFonts w:hint="eastAsia"/>
        </w:rPr>
      </w:sdtEndPr>
      <w:sdtContent>
        <w:p w14:paraId="2BAF1BB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C0A6D05">
      <w:pPr>
        <w:pStyle w:val="48"/>
      </w:pPr>
    </w:p>
    <w:p w14:paraId="38496114">
      <w:pPr>
        <w:pStyle w:val="3"/>
        <w:numPr>
          <w:ilvl w:val="0"/>
          <w:numId w:val="42"/>
        </w:numPr>
      </w:pPr>
      <w:bookmarkStart w:id="178" w:name="_Hlk89353035"/>
      <w:r>
        <w:t>公司控股股东或第一大股东及其一致行动人累计质押股份数量占其所持公司股份数量比例达到 80%以上</w:t>
      </w:r>
    </w:p>
    <w:sdt>
      <w:sdtPr>
        <w:rPr>
          <w:rFonts w:hint="eastAsia"/>
        </w:rPr>
        <w:alias w:val="是否适用：公司控股股东或第一大股东及其一致行动人累计质押股份数量情况明细[双击切换]"/>
        <w:tag w:val="_GBC_f07bbd5a46a94903bbea3fbbdc7b769f"/>
        <w:id w:val="-1997491734"/>
        <w:placeholder>
          <w:docPart w:val="GBC22222222222222222222222222222"/>
        </w:placeholder>
      </w:sdtPr>
      <w:sdtEndPr>
        <w:rPr>
          <w:rFonts w:hint="eastAsia"/>
        </w:rPr>
      </w:sdtEndPr>
      <w:sdtContent>
        <w:p w14:paraId="3844E936">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5B8A1F">
      <w:pPr>
        <w:jc w:val="right"/>
      </w:pPr>
      <w:r>
        <w:rPr>
          <w:rFonts w:hint="eastAsia"/>
        </w:rPr>
        <w:t>单位：</w:t>
      </w:r>
      <w:sdt>
        <w:sdtPr>
          <w:rPr>
            <w:rFonts w:hint="eastAsia"/>
          </w:rPr>
          <w:alias w:val="单位：公司控股股东或第一大股东及其一致行动人累计质押股份数量情况明细"/>
          <w:tag w:val="_GBC_f8cdb8bc0a2345ebb06fe300c5483a09"/>
          <w:id w:val="-106795124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 xml:space="preserve">  币种：</w:t>
      </w:r>
      <w:sdt>
        <w:sdtPr>
          <w:rPr>
            <w:rFonts w:hint="eastAsia"/>
          </w:rPr>
          <w:alias w:val="币种：公司控股股东或第一大股东及其一致行动人累计质押股份数量情况明细"/>
          <w:tag w:val="_GBC_767ac666dd49414584adf74c52d32d31"/>
          <w:id w:val="-1036511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178"/>
    <w:tbl>
      <w:tblPr>
        <w:tblStyle w:val="57"/>
        <w:tblW w:w="90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134"/>
        <w:gridCol w:w="1418"/>
        <w:gridCol w:w="2268"/>
        <w:gridCol w:w="819"/>
        <w:gridCol w:w="1134"/>
        <w:gridCol w:w="1143"/>
      </w:tblGrid>
      <w:tr w14:paraId="5E81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sdt>
          <w:sdtPr>
            <w:tag w:val="_PLD_5452a14f5c0c423f840170afb27e943e"/>
            <w:id w:val="757341114"/>
          </w:sdtPr>
          <w:sdtContent>
            <w:tc>
              <w:tcPr>
                <w:tcW w:w="1129" w:type="dxa"/>
                <w:vAlign w:val="center"/>
              </w:tcPr>
              <w:p w14:paraId="5C52123B">
                <w:pPr>
                  <w:jc w:val="center"/>
                  <w:rPr>
                    <w:rFonts w:ascii="Calibri" w:hAnsi="Calibri"/>
                    <w:sz w:val="20"/>
                    <w:szCs w:val="20"/>
                  </w:rPr>
                </w:pPr>
                <w:r>
                  <w:rPr>
                    <w:rFonts w:ascii="Calibri" w:hAnsi="Calibri"/>
                    <w:sz w:val="20"/>
                    <w:szCs w:val="20"/>
                  </w:rPr>
                  <w:t>股东名称</w:t>
                </w:r>
              </w:p>
            </w:tc>
          </w:sdtContent>
        </w:sdt>
        <w:sdt>
          <w:sdtPr>
            <w:tag w:val="_PLD_0353ec064f1744b0bc51bde3d91edddc"/>
            <w:id w:val="33469406"/>
          </w:sdtPr>
          <w:sdtContent>
            <w:tc>
              <w:tcPr>
                <w:tcW w:w="1134" w:type="dxa"/>
                <w:vAlign w:val="center"/>
              </w:tcPr>
              <w:p w14:paraId="48CF84DE">
                <w:pPr>
                  <w:jc w:val="center"/>
                  <w:rPr>
                    <w:rFonts w:ascii="Calibri" w:hAnsi="Calibri"/>
                    <w:sz w:val="20"/>
                    <w:szCs w:val="20"/>
                  </w:rPr>
                </w:pPr>
                <w:r>
                  <w:rPr>
                    <w:rFonts w:ascii="Calibri" w:hAnsi="Calibri"/>
                    <w:sz w:val="20"/>
                    <w:szCs w:val="20"/>
                  </w:rPr>
                  <w:t>股票质押融资总额</w:t>
                </w:r>
              </w:p>
            </w:tc>
          </w:sdtContent>
        </w:sdt>
        <w:sdt>
          <w:sdtPr>
            <w:tag w:val="_PLD_87eeaa2ebfea415eb8a881893da41c63"/>
            <w:id w:val="-1530708887"/>
          </w:sdtPr>
          <w:sdtContent>
            <w:tc>
              <w:tcPr>
                <w:tcW w:w="1418" w:type="dxa"/>
                <w:vAlign w:val="center"/>
              </w:tcPr>
              <w:p w14:paraId="05CDD7CA">
                <w:pPr>
                  <w:jc w:val="center"/>
                  <w:rPr>
                    <w:rFonts w:ascii="Calibri" w:hAnsi="Calibri"/>
                    <w:sz w:val="20"/>
                    <w:szCs w:val="20"/>
                  </w:rPr>
                </w:pPr>
                <w:r>
                  <w:rPr>
                    <w:rFonts w:ascii="Calibri" w:hAnsi="Calibri"/>
                    <w:sz w:val="20"/>
                    <w:szCs w:val="20"/>
                  </w:rPr>
                  <w:t>具体用途</w:t>
                </w:r>
              </w:p>
            </w:tc>
          </w:sdtContent>
        </w:sdt>
        <w:sdt>
          <w:sdtPr>
            <w:tag w:val="_PLD_b3d483480e1e4252810c07aa07cbb75a"/>
            <w:id w:val="-534501973"/>
          </w:sdtPr>
          <w:sdtContent>
            <w:tc>
              <w:tcPr>
                <w:tcW w:w="2268" w:type="dxa"/>
                <w:vAlign w:val="center"/>
              </w:tcPr>
              <w:p w14:paraId="2B1E25E5">
                <w:pPr>
                  <w:jc w:val="center"/>
                  <w:rPr>
                    <w:rFonts w:ascii="Calibri" w:hAnsi="Calibri"/>
                    <w:sz w:val="20"/>
                    <w:szCs w:val="20"/>
                  </w:rPr>
                </w:pPr>
                <w:r>
                  <w:rPr>
                    <w:rFonts w:ascii="Calibri" w:hAnsi="Calibri"/>
                    <w:sz w:val="20"/>
                    <w:szCs w:val="20"/>
                  </w:rPr>
                  <w:t>偿还期限</w:t>
                </w:r>
              </w:p>
            </w:tc>
          </w:sdtContent>
        </w:sdt>
        <w:sdt>
          <w:sdtPr>
            <w:tag w:val="_PLD_615607818cdd4994aff2b7f32f657851"/>
            <w:id w:val="1421984172"/>
          </w:sdtPr>
          <w:sdtContent>
            <w:tc>
              <w:tcPr>
                <w:tcW w:w="819" w:type="dxa"/>
                <w:vAlign w:val="center"/>
              </w:tcPr>
              <w:p w14:paraId="78C02324">
                <w:pPr>
                  <w:jc w:val="center"/>
                  <w:rPr>
                    <w:rFonts w:ascii="Calibri" w:hAnsi="Calibri"/>
                    <w:sz w:val="20"/>
                    <w:szCs w:val="20"/>
                  </w:rPr>
                </w:pPr>
                <w:r>
                  <w:rPr>
                    <w:rFonts w:ascii="Calibri" w:hAnsi="Calibri"/>
                    <w:sz w:val="20"/>
                    <w:szCs w:val="20"/>
                  </w:rPr>
                  <w:t>还款资金来源</w:t>
                </w:r>
              </w:p>
            </w:tc>
          </w:sdtContent>
        </w:sdt>
        <w:sdt>
          <w:sdtPr>
            <w:tag w:val="_PLD_0f6ba7da1cc34007a20e866dfde841da"/>
            <w:id w:val="1164590112"/>
          </w:sdtPr>
          <w:sdtContent>
            <w:tc>
              <w:tcPr>
                <w:tcW w:w="1134" w:type="dxa"/>
                <w:vAlign w:val="center"/>
              </w:tcPr>
              <w:p w14:paraId="631C30B5">
                <w:pPr>
                  <w:jc w:val="center"/>
                  <w:rPr>
                    <w:rFonts w:ascii="Calibri" w:hAnsi="Calibri"/>
                    <w:sz w:val="20"/>
                    <w:szCs w:val="20"/>
                  </w:rPr>
                </w:pPr>
                <w:r>
                  <w:rPr>
                    <w:rFonts w:ascii="Calibri" w:hAnsi="Calibri"/>
                    <w:sz w:val="20"/>
                    <w:szCs w:val="20"/>
                  </w:rPr>
                  <w:t>是否存在偿债或平仓风险</w:t>
                </w:r>
              </w:p>
            </w:tc>
          </w:sdtContent>
        </w:sdt>
        <w:sdt>
          <w:sdtPr>
            <w:tag w:val="_PLD_3eb061dbe4844553846c0687b08c16bd"/>
            <w:id w:val="-55012354"/>
          </w:sdtPr>
          <w:sdtContent>
            <w:tc>
              <w:tcPr>
                <w:tcW w:w="1143" w:type="dxa"/>
                <w:vAlign w:val="center"/>
              </w:tcPr>
              <w:p w14:paraId="1C8F4613">
                <w:pPr>
                  <w:jc w:val="center"/>
                  <w:rPr>
                    <w:rFonts w:ascii="Calibri" w:hAnsi="Calibri"/>
                    <w:sz w:val="20"/>
                    <w:szCs w:val="20"/>
                  </w:rPr>
                </w:pPr>
                <w:r>
                  <w:rPr>
                    <w:rFonts w:ascii="Calibri" w:hAnsi="Calibri"/>
                    <w:sz w:val="20"/>
                    <w:szCs w:val="20"/>
                  </w:rPr>
                  <w:t>是否影响公司控制权稳定</w:t>
                </w:r>
              </w:p>
            </w:tc>
          </w:sdtContent>
        </w:sdt>
      </w:tr>
      <w:tr w14:paraId="2694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restart"/>
            <w:tcBorders>
              <w:top w:val="single" w:color="auto" w:sz="4" w:space="0"/>
              <w:left w:val="single" w:color="auto" w:sz="4" w:space="0"/>
              <w:right w:val="single" w:color="auto" w:sz="4" w:space="0"/>
            </w:tcBorders>
            <w:vAlign w:val="center"/>
          </w:tcPr>
          <w:p w14:paraId="68C9A53B">
            <w:pPr>
              <w:pStyle w:val="48"/>
              <w:rPr>
                <w:sz w:val="20"/>
                <w:szCs w:val="20"/>
              </w:rPr>
            </w:pPr>
            <w:r>
              <w:rPr>
                <w:rFonts w:hint="eastAsia"/>
                <w:sz w:val="20"/>
                <w:szCs w:val="20"/>
              </w:rPr>
              <w:t>东宝实业集团股份有限公司</w:t>
            </w:r>
          </w:p>
        </w:tc>
        <w:tc>
          <w:tcPr>
            <w:tcW w:w="1134" w:type="dxa"/>
            <w:tcBorders>
              <w:top w:val="single" w:color="auto" w:sz="4" w:space="0"/>
              <w:left w:val="single" w:color="auto" w:sz="4" w:space="0"/>
              <w:bottom w:val="single" w:color="auto" w:sz="4" w:space="0"/>
              <w:right w:val="single" w:color="auto" w:sz="4" w:space="0"/>
            </w:tcBorders>
            <w:vAlign w:val="center"/>
          </w:tcPr>
          <w:p w14:paraId="59518039">
            <w:pPr>
              <w:pStyle w:val="48"/>
              <w:jc w:val="right"/>
              <w:rPr>
                <w:rFonts w:ascii="Times New Roman" w:hAnsi="Times New Roman"/>
                <w:sz w:val="20"/>
                <w:szCs w:val="20"/>
              </w:rPr>
            </w:pPr>
            <w:r>
              <w:rPr>
                <w:rFonts w:ascii="Times New Roman" w:hAnsi="Times New Roman"/>
                <w:sz w:val="20"/>
                <w:szCs w:val="20"/>
              </w:rPr>
              <w:t>4,500.00</w:t>
            </w:r>
          </w:p>
        </w:tc>
        <w:tc>
          <w:tcPr>
            <w:tcW w:w="1418" w:type="dxa"/>
            <w:tcBorders>
              <w:top w:val="single" w:color="auto" w:sz="4" w:space="0"/>
              <w:left w:val="single" w:color="auto" w:sz="4" w:space="0"/>
              <w:bottom w:val="single" w:color="auto" w:sz="4" w:space="0"/>
              <w:right w:val="single" w:color="auto" w:sz="4" w:space="0"/>
            </w:tcBorders>
            <w:vAlign w:val="center"/>
          </w:tcPr>
          <w:p w14:paraId="322C12AE">
            <w:pPr>
              <w:jc w:val="center"/>
              <w:rPr>
                <w:rFonts w:ascii="Calibri" w:hAnsi="Calibri"/>
                <w:sz w:val="20"/>
                <w:szCs w:val="20"/>
              </w:rPr>
            </w:pPr>
            <w:r>
              <w:rPr>
                <w:rFonts w:ascii="Calibri" w:hAnsi="Calibri"/>
                <w:sz w:val="20"/>
                <w:szCs w:val="20"/>
              </w:rPr>
              <w:t>偿还债务</w:t>
            </w:r>
          </w:p>
        </w:tc>
        <w:tc>
          <w:tcPr>
            <w:tcW w:w="2268" w:type="dxa"/>
            <w:tcBorders>
              <w:top w:val="single" w:color="auto" w:sz="4" w:space="0"/>
              <w:left w:val="single" w:color="auto" w:sz="4" w:space="0"/>
              <w:bottom w:val="single" w:color="auto" w:sz="4" w:space="0"/>
              <w:right w:val="single" w:color="auto" w:sz="4" w:space="0"/>
            </w:tcBorders>
            <w:vAlign w:val="center"/>
          </w:tcPr>
          <w:p w14:paraId="75A9BAA1">
            <w:pPr>
              <w:jc w:val="center"/>
              <w:rPr>
                <w:rFonts w:ascii="Calibri" w:hAnsi="Calibri"/>
                <w:sz w:val="20"/>
                <w:szCs w:val="20"/>
              </w:rPr>
            </w:pPr>
            <w:r>
              <w:rPr>
                <w:rFonts w:ascii="Calibri" w:hAnsi="Calibri"/>
                <w:sz w:val="20"/>
                <w:szCs w:val="20"/>
              </w:rPr>
              <w:t>2025/4/30-2026/4/30</w:t>
            </w:r>
          </w:p>
        </w:tc>
        <w:tc>
          <w:tcPr>
            <w:tcW w:w="819" w:type="dxa"/>
            <w:vMerge w:val="restart"/>
            <w:tcBorders>
              <w:top w:val="single" w:color="auto" w:sz="4" w:space="0"/>
              <w:left w:val="single" w:color="auto" w:sz="4" w:space="0"/>
              <w:right w:val="single" w:color="auto" w:sz="4" w:space="0"/>
            </w:tcBorders>
            <w:vAlign w:val="center"/>
          </w:tcPr>
          <w:p w14:paraId="1DE5C86E">
            <w:pPr>
              <w:rPr>
                <w:rFonts w:ascii="Calibri" w:hAnsi="Calibri"/>
                <w:sz w:val="20"/>
                <w:szCs w:val="20"/>
              </w:rPr>
            </w:pPr>
            <w:r>
              <w:rPr>
                <w:rFonts w:hint="eastAsia" w:ascii="Calibri" w:hAnsi="Calibri"/>
                <w:sz w:val="20"/>
                <w:szCs w:val="20"/>
              </w:rPr>
              <w:t>营业收入、股票分红、投资收益及其他收入。</w:t>
            </w:r>
          </w:p>
        </w:tc>
        <w:sdt>
          <w:sdtPr>
            <w:alias w:val="公司控股股东或第一大股东及其一致行动人累计质押股份数量情况明细_是否存在偿债或平仓风险"/>
            <w:tag w:val="_GBC_f926da632ef948e3ab067f8dde9194ef"/>
            <w:id w:val="-957948078"/>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0F34AD11">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1115670110"/>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65C3FFFC">
                <w:pPr>
                  <w:jc w:val="center"/>
                  <w:rPr>
                    <w:rFonts w:ascii="Calibri" w:hAnsi="Calibri"/>
                    <w:sz w:val="20"/>
                    <w:szCs w:val="20"/>
                  </w:rPr>
                </w:pPr>
                <w:r>
                  <w:rPr>
                    <w:rFonts w:ascii="Calibri" w:hAnsi="Calibri"/>
                    <w:sz w:val="20"/>
                    <w:szCs w:val="20"/>
                  </w:rPr>
                  <w:t>否</w:t>
                </w:r>
              </w:p>
            </w:tc>
          </w:sdtContent>
        </w:sdt>
      </w:tr>
      <w:tr w14:paraId="1237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78677D6D">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2F5B97CC">
            <w:pPr>
              <w:pStyle w:val="48"/>
              <w:jc w:val="right"/>
              <w:rPr>
                <w:rFonts w:ascii="Times New Roman" w:hAnsi="Times New Roman"/>
                <w:sz w:val="20"/>
                <w:szCs w:val="20"/>
              </w:rPr>
            </w:pPr>
            <w:r>
              <w:rPr>
                <w:rFonts w:ascii="Times New Roman" w:hAnsi="Times New Roman"/>
                <w:sz w:val="20"/>
                <w:szCs w:val="20"/>
              </w:rPr>
              <w:t>10,000.00</w:t>
            </w:r>
          </w:p>
        </w:tc>
        <w:tc>
          <w:tcPr>
            <w:tcW w:w="1418" w:type="dxa"/>
            <w:tcBorders>
              <w:top w:val="single" w:color="auto" w:sz="4" w:space="0"/>
              <w:left w:val="single" w:color="auto" w:sz="4" w:space="0"/>
              <w:bottom w:val="single" w:color="auto" w:sz="4" w:space="0"/>
              <w:right w:val="single" w:color="auto" w:sz="4" w:space="0"/>
            </w:tcBorders>
            <w:vAlign w:val="center"/>
          </w:tcPr>
          <w:p w14:paraId="713E847B">
            <w:pPr>
              <w:jc w:val="center"/>
              <w:rPr>
                <w:rFonts w:ascii="Calibri" w:hAnsi="Calibri"/>
                <w:sz w:val="20"/>
                <w:szCs w:val="20"/>
              </w:rPr>
            </w:pPr>
            <w:r>
              <w:rPr>
                <w:rFonts w:ascii="Calibri" w:hAnsi="Calibri"/>
                <w:sz w:val="20"/>
                <w:szCs w:val="20"/>
              </w:rPr>
              <w:t>偿还债务</w:t>
            </w:r>
          </w:p>
        </w:tc>
        <w:tc>
          <w:tcPr>
            <w:tcW w:w="2268" w:type="dxa"/>
            <w:tcBorders>
              <w:top w:val="single" w:color="auto" w:sz="4" w:space="0"/>
              <w:left w:val="single" w:color="auto" w:sz="4" w:space="0"/>
              <w:bottom w:val="single" w:color="auto" w:sz="4" w:space="0"/>
              <w:right w:val="single" w:color="auto" w:sz="4" w:space="0"/>
            </w:tcBorders>
            <w:vAlign w:val="center"/>
          </w:tcPr>
          <w:p w14:paraId="6BE89BD9">
            <w:pPr>
              <w:jc w:val="center"/>
              <w:rPr>
                <w:rFonts w:ascii="Calibri" w:hAnsi="Calibri"/>
                <w:sz w:val="20"/>
                <w:szCs w:val="20"/>
              </w:rPr>
            </w:pPr>
            <w:r>
              <w:rPr>
                <w:rFonts w:ascii="Calibri" w:hAnsi="Calibri"/>
                <w:sz w:val="20"/>
                <w:szCs w:val="20"/>
              </w:rPr>
              <w:t>2025/5/27-2026/5/27</w:t>
            </w:r>
          </w:p>
        </w:tc>
        <w:tc>
          <w:tcPr>
            <w:tcW w:w="819" w:type="dxa"/>
            <w:vMerge w:val="continue"/>
            <w:tcBorders>
              <w:left w:val="single" w:color="auto" w:sz="4" w:space="0"/>
              <w:right w:val="single" w:color="auto" w:sz="4" w:space="0"/>
            </w:tcBorders>
            <w:vAlign w:val="center"/>
          </w:tcPr>
          <w:p w14:paraId="192BD8D3">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1424690587"/>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59AE987F">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904497620"/>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4471D2AE">
                <w:pPr>
                  <w:jc w:val="center"/>
                  <w:rPr>
                    <w:rFonts w:ascii="Calibri" w:hAnsi="Calibri"/>
                    <w:sz w:val="20"/>
                    <w:szCs w:val="20"/>
                  </w:rPr>
                </w:pPr>
                <w:r>
                  <w:rPr>
                    <w:rFonts w:ascii="Calibri" w:hAnsi="Calibri"/>
                    <w:sz w:val="20"/>
                    <w:szCs w:val="20"/>
                  </w:rPr>
                  <w:t>否</w:t>
                </w:r>
              </w:p>
            </w:tc>
          </w:sdtContent>
        </w:sdt>
      </w:tr>
      <w:tr w14:paraId="19E7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34509107">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4D8C3538">
            <w:pPr>
              <w:pStyle w:val="48"/>
              <w:jc w:val="right"/>
              <w:rPr>
                <w:rFonts w:ascii="Times New Roman" w:hAnsi="Times New Roman"/>
                <w:sz w:val="20"/>
                <w:szCs w:val="20"/>
              </w:rPr>
            </w:pPr>
            <w:r>
              <w:rPr>
                <w:rFonts w:ascii="Times New Roman" w:hAnsi="Times New Roman"/>
                <w:sz w:val="20"/>
                <w:szCs w:val="20"/>
              </w:rPr>
              <w:t>10,000.00</w:t>
            </w:r>
          </w:p>
        </w:tc>
        <w:tc>
          <w:tcPr>
            <w:tcW w:w="1418" w:type="dxa"/>
            <w:tcBorders>
              <w:top w:val="single" w:color="auto" w:sz="4" w:space="0"/>
              <w:left w:val="single" w:color="auto" w:sz="4" w:space="0"/>
              <w:bottom w:val="single" w:color="auto" w:sz="4" w:space="0"/>
              <w:right w:val="single" w:color="auto" w:sz="4" w:space="0"/>
            </w:tcBorders>
            <w:vAlign w:val="center"/>
          </w:tcPr>
          <w:p w14:paraId="24C16C0D">
            <w:pPr>
              <w:jc w:val="center"/>
              <w:rPr>
                <w:rFonts w:ascii="Calibri" w:hAnsi="Calibri"/>
                <w:sz w:val="20"/>
                <w:szCs w:val="20"/>
              </w:rPr>
            </w:pPr>
            <w:r>
              <w:rPr>
                <w:rFonts w:ascii="Calibri" w:hAnsi="Calibri"/>
                <w:sz w:val="20"/>
                <w:szCs w:val="20"/>
              </w:rPr>
              <w:t>补充流动资金</w:t>
            </w:r>
          </w:p>
        </w:tc>
        <w:tc>
          <w:tcPr>
            <w:tcW w:w="2268" w:type="dxa"/>
            <w:tcBorders>
              <w:top w:val="single" w:color="auto" w:sz="4" w:space="0"/>
              <w:left w:val="single" w:color="auto" w:sz="4" w:space="0"/>
              <w:bottom w:val="single" w:color="auto" w:sz="4" w:space="0"/>
              <w:right w:val="single" w:color="auto" w:sz="4" w:space="0"/>
            </w:tcBorders>
            <w:vAlign w:val="center"/>
          </w:tcPr>
          <w:p w14:paraId="5FE719D8">
            <w:pPr>
              <w:jc w:val="center"/>
              <w:rPr>
                <w:rFonts w:ascii="Calibri" w:hAnsi="Calibri"/>
                <w:sz w:val="20"/>
                <w:szCs w:val="20"/>
              </w:rPr>
            </w:pPr>
            <w:r>
              <w:rPr>
                <w:rFonts w:ascii="Calibri" w:hAnsi="Calibri"/>
                <w:sz w:val="20"/>
                <w:szCs w:val="20"/>
              </w:rPr>
              <w:t>2025/5/28-2026/5/28</w:t>
            </w:r>
          </w:p>
        </w:tc>
        <w:tc>
          <w:tcPr>
            <w:tcW w:w="819" w:type="dxa"/>
            <w:vMerge w:val="continue"/>
            <w:tcBorders>
              <w:left w:val="single" w:color="auto" w:sz="4" w:space="0"/>
              <w:right w:val="single" w:color="auto" w:sz="4" w:space="0"/>
            </w:tcBorders>
            <w:vAlign w:val="center"/>
          </w:tcPr>
          <w:p w14:paraId="480997B4">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114673567"/>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65A12255">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758332197"/>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77691C79">
                <w:pPr>
                  <w:jc w:val="center"/>
                  <w:rPr>
                    <w:rFonts w:ascii="Calibri" w:hAnsi="Calibri"/>
                    <w:sz w:val="20"/>
                    <w:szCs w:val="20"/>
                  </w:rPr>
                </w:pPr>
                <w:r>
                  <w:rPr>
                    <w:rFonts w:ascii="Calibri" w:hAnsi="Calibri"/>
                    <w:sz w:val="20"/>
                    <w:szCs w:val="20"/>
                  </w:rPr>
                  <w:t>否</w:t>
                </w:r>
              </w:p>
            </w:tc>
          </w:sdtContent>
        </w:sdt>
      </w:tr>
      <w:tr w14:paraId="4B79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57A6B468">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72A14583">
            <w:pPr>
              <w:pStyle w:val="48"/>
              <w:jc w:val="right"/>
              <w:rPr>
                <w:rFonts w:ascii="Times New Roman" w:hAnsi="Times New Roman"/>
                <w:sz w:val="20"/>
                <w:szCs w:val="20"/>
              </w:rPr>
            </w:pPr>
            <w:r>
              <w:rPr>
                <w:rFonts w:ascii="Times New Roman" w:hAnsi="Times New Roman"/>
                <w:sz w:val="20"/>
                <w:szCs w:val="20"/>
              </w:rPr>
              <w:t>15,000.00</w:t>
            </w:r>
          </w:p>
        </w:tc>
        <w:tc>
          <w:tcPr>
            <w:tcW w:w="1418" w:type="dxa"/>
            <w:tcBorders>
              <w:top w:val="single" w:color="auto" w:sz="4" w:space="0"/>
              <w:left w:val="single" w:color="auto" w:sz="4" w:space="0"/>
              <w:bottom w:val="single" w:color="auto" w:sz="4" w:space="0"/>
              <w:right w:val="single" w:color="auto" w:sz="4" w:space="0"/>
            </w:tcBorders>
            <w:vAlign w:val="center"/>
          </w:tcPr>
          <w:p w14:paraId="39744F2C">
            <w:pPr>
              <w:jc w:val="center"/>
              <w:rPr>
                <w:rFonts w:ascii="Calibri" w:hAnsi="Calibri"/>
                <w:sz w:val="20"/>
                <w:szCs w:val="20"/>
              </w:rPr>
            </w:pPr>
            <w:r>
              <w:rPr>
                <w:rFonts w:ascii="Calibri" w:hAnsi="Calibri"/>
                <w:sz w:val="20"/>
                <w:szCs w:val="20"/>
              </w:rPr>
              <w:t>偿还债务</w:t>
            </w:r>
          </w:p>
        </w:tc>
        <w:tc>
          <w:tcPr>
            <w:tcW w:w="2268" w:type="dxa"/>
            <w:tcBorders>
              <w:top w:val="single" w:color="auto" w:sz="4" w:space="0"/>
              <w:left w:val="single" w:color="auto" w:sz="4" w:space="0"/>
              <w:bottom w:val="single" w:color="auto" w:sz="4" w:space="0"/>
              <w:right w:val="single" w:color="auto" w:sz="4" w:space="0"/>
            </w:tcBorders>
            <w:vAlign w:val="center"/>
          </w:tcPr>
          <w:p w14:paraId="126941EE">
            <w:pPr>
              <w:jc w:val="center"/>
              <w:rPr>
                <w:rFonts w:ascii="Calibri" w:hAnsi="Calibri"/>
                <w:sz w:val="20"/>
                <w:szCs w:val="20"/>
              </w:rPr>
            </w:pPr>
            <w:r>
              <w:rPr>
                <w:rFonts w:ascii="Calibri" w:hAnsi="Calibri"/>
                <w:sz w:val="20"/>
                <w:szCs w:val="20"/>
              </w:rPr>
              <w:t>2025/7/24-2026/7/24</w:t>
            </w:r>
          </w:p>
        </w:tc>
        <w:tc>
          <w:tcPr>
            <w:tcW w:w="819" w:type="dxa"/>
            <w:vMerge w:val="continue"/>
            <w:tcBorders>
              <w:left w:val="single" w:color="auto" w:sz="4" w:space="0"/>
              <w:right w:val="single" w:color="auto" w:sz="4" w:space="0"/>
            </w:tcBorders>
            <w:vAlign w:val="center"/>
          </w:tcPr>
          <w:p w14:paraId="156BE3F8">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1598131241"/>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2A2E9EAF">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1764959767"/>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136BACD9">
                <w:pPr>
                  <w:jc w:val="center"/>
                  <w:rPr>
                    <w:rFonts w:ascii="Calibri" w:hAnsi="Calibri"/>
                    <w:sz w:val="20"/>
                    <w:szCs w:val="20"/>
                  </w:rPr>
                </w:pPr>
                <w:r>
                  <w:rPr>
                    <w:rFonts w:ascii="Calibri" w:hAnsi="Calibri"/>
                    <w:sz w:val="20"/>
                    <w:szCs w:val="20"/>
                  </w:rPr>
                  <w:t>否</w:t>
                </w:r>
              </w:p>
            </w:tc>
          </w:sdtContent>
        </w:sdt>
      </w:tr>
      <w:tr w14:paraId="219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7492ABE7">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2BA19C8B">
            <w:pPr>
              <w:pStyle w:val="48"/>
              <w:jc w:val="right"/>
              <w:rPr>
                <w:rFonts w:ascii="Times New Roman" w:hAnsi="Times New Roman"/>
                <w:sz w:val="20"/>
                <w:szCs w:val="20"/>
              </w:rPr>
            </w:pPr>
            <w:r>
              <w:rPr>
                <w:rFonts w:ascii="Times New Roman" w:hAnsi="Times New Roman"/>
                <w:sz w:val="20"/>
                <w:szCs w:val="20"/>
              </w:rPr>
              <w:t>5,500.00</w:t>
            </w:r>
          </w:p>
        </w:tc>
        <w:tc>
          <w:tcPr>
            <w:tcW w:w="1418" w:type="dxa"/>
            <w:tcBorders>
              <w:top w:val="single" w:color="auto" w:sz="4" w:space="0"/>
              <w:left w:val="single" w:color="auto" w:sz="4" w:space="0"/>
              <w:bottom w:val="single" w:color="auto" w:sz="4" w:space="0"/>
              <w:right w:val="single" w:color="auto" w:sz="4" w:space="0"/>
            </w:tcBorders>
            <w:vAlign w:val="center"/>
          </w:tcPr>
          <w:p w14:paraId="2277BE55">
            <w:pPr>
              <w:jc w:val="center"/>
              <w:rPr>
                <w:rFonts w:ascii="Calibri" w:hAnsi="Calibri"/>
                <w:sz w:val="20"/>
                <w:szCs w:val="20"/>
              </w:rPr>
            </w:pPr>
            <w:r>
              <w:rPr>
                <w:rFonts w:ascii="Calibri" w:hAnsi="Calibri"/>
                <w:sz w:val="20"/>
                <w:szCs w:val="20"/>
              </w:rPr>
              <w:t>偿还债务</w:t>
            </w:r>
          </w:p>
        </w:tc>
        <w:tc>
          <w:tcPr>
            <w:tcW w:w="2268" w:type="dxa"/>
            <w:tcBorders>
              <w:top w:val="single" w:color="auto" w:sz="4" w:space="0"/>
              <w:left w:val="single" w:color="auto" w:sz="4" w:space="0"/>
              <w:bottom w:val="single" w:color="auto" w:sz="4" w:space="0"/>
              <w:right w:val="single" w:color="auto" w:sz="4" w:space="0"/>
            </w:tcBorders>
            <w:vAlign w:val="center"/>
          </w:tcPr>
          <w:p w14:paraId="719C8B3D">
            <w:pPr>
              <w:jc w:val="center"/>
              <w:rPr>
                <w:rFonts w:ascii="Calibri" w:hAnsi="Calibri"/>
                <w:sz w:val="20"/>
                <w:szCs w:val="20"/>
              </w:rPr>
            </w:pPr>
            <w:r>
              <w:rPr>
                <w:rFonts w:ascii="Calibri" w:hAnsi="Calibri"/>
                <w:sz w:val="20"/>
                <w:szCs w:val="20"/>
              </w:rPr>
              <w:t>2025/9/23-2026/9/22</w:t>
            </w:r>
          </w:p>
        </w:tc>
        <w:tc>
          <w:tcPr>
            <w:tcW w:w="819" w:type="dxa"/>
            <w:vMerge w:val="continue"/>
            <w:tcBorders>
              <w:left w:val="single" w:color="auto" w:sz="4" w:space="0"/>
              <w:right w:val="single" w:color="auto" w:sz="4" w:space="0"/>
            </w:tcBorders>
            <w:vAlign w:val="center"/>
          </w:tcPr>
          <w:p w14:paraId="4A161F17">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1661836502"/>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3F79A353">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1797676062"/>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6ACE15DE">
                <w:pPr>
                  <w:jc w:val="center"/>
                  <w:rPr>
                    <w:rFonts w:ascii="Calibri" w:hAnsi="Calibri"/>
                    <w:sz w:val="20"/>
                    <w:szCs w:val="20"/>
                  </w:rPr>
                </w:pPr>
                <w:r>
                  <w:rPr>
                    <w:rFonts w:ascii="Calibri" w:hAnsi="Calibri"/>
                    <w:sz w:val="20"/>
                    <w:szCs w:val="20"/>
                  </w:rPr>
                  <w:t>否</w:t>
                </w:r>
              </w:p>
            </w:tc>
          </w:sdtContent>
        </w:sdt>
      </w:tr>
      <w:tr w14:paraId="2BA6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23DC7758">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7FED592B">
            <w:pPr>
              <w:pStyle w:val="48"/>
              <w:jc w:val="right"/>
              <w:rPr>
                <w:rFonts w:ascii="Times New Roman" w:hAnsi="Times New Roman"/>
                <w:sz w:val="20"/>
                <w:szCs w:val="20"/>
              </w:rPr>
            </w:pPr>
            <w:r>
              <w:rPr>
                <w:rFonts w:ascii="Times New Roman" w:hAnsi="Times New Roman"/>
                <w:sz w:val="20"/>
                <w:szCs w:val="20"/>
              </w:rPr>
              <w:t>5,000.00</w:t>
            </w:r>
          </w:p>
        </w:tc>
        <w:tc>
          <w:tcPr>
            <w:tcW w:w="1418" w:type="dxa"/>
            <w:tcBorders>
              <w:top w:val="single" w:color="auto" w:sz="4" w:space="0"/>
              <w:left w:val="single" w:color="auto" w:sz="4" w:space="0"/>
              <w:bottom w:val="single" w:color="auto" w:sz="4" w:space="0"/>
              <w:right w:val="single" w:color="auto" w:sz="4" w:space="0"/>
            </w:tcBorders>
            <w:vAlign w:val="center"/>
          </w:tcPr>
          <w:p w14:paraId="7D4076EF">
            <w:pPr>
              <w:jc w:val="center"/>
              <w:rPr>
                <w:rFonts w:ascii="Calibri" w:hAnsi="Calibri"/>
                <w:sz w:val="20"/>
                <w:szCs w:val="20"/>
              </w:rPr>
            </w:pPr>
            <w:r>
              <w:rPr>
                <w:rFonts w:ascii="Calibri" w:hAnsi="Calibri"/>
                <w:sz w:val="20"/>
                <w:szCs w:val="20"/>
              </w:rPr>
              <w:t>偿还债务</w:t>
            </w:r>
          </w:p>
        </w:tc>
        <w:tc>
          <w:tcPr>
            <w:tcW w:w="2268" w:type="dxa"/>
            <w:tcBorders>
              <w:top w:val="single" w:color="auto" w:sz="4" w:space="0"/>
              <w:left w:val="single" w:color="auto" w:sz="4" w:space="0"/>
              <w:bottom w:val="single" w:color="auto" w:sz="4" w:space="0"/>
              <w:right w:val="single" w:color="auto" w:sz="4" w:space="0"/>
            </w:tcBorders>
            <w:vAlign w:val="center"/>
          </w:tcPr>
          <w:p w14:paraId="51F7ADB3">
            <w:pPr>
              <w:jc w:val="center"/>
              <w:rPr>
                <w:rFonts w:ascii="Calibri" w:hAnsi="Calibri"/>
                <w:sz w:val="20"/>
                <w:szCs w:val="20"/>
              </w:rPr>
            </w:pPr>
            <w:r>
              <w:rPr>
                <w:rFonts w:ascii="Calibri" w:hAnsi="Calibri"/>
                <w:sz w:val="20"/>
                <w:szCs w:val="20"/>
              </w:rPr>
              <w:t>2026/1/15-2027/1/15</w:t>
            </w:r>
          </w:p>
        </w:tc>
        <w:tc>
          <w:tcPr>
            <w:tcW w:w="819" w:type="dxa"/>
            <w:vMerge w:val="continue"/>
            <w:tcBorders>
              <w:left w:val="single" w:color="auto" w:sz="4" w:space="0"/>
              <w:right w:val="single" w:color="auto" w:sz="4" w:space="0"/>
            </w:tcBorders>
            <w:vAlign w:val="center"/>
          </w:tcPr>
          <w:p w14:paraId="1F3834DF">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1827702466"/>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4CE250E7">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295193340"/>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29E21DBF">
                <w:pPr>
                  <w:jc w:val="center"/>
                  <w:rPr>
                    <w:rFonts w:ascii="Calibri" w:hAnsi="Calibri"/>
                    <w:sz w:val="20"/>
                    <w:szCs w:val="20"/>
                  </w:rPr>
                </w:pPr>
                <w:r>
                  <w:rPr>
                    <w:rFonts w:ascii="Calibri" w:hAnsi="Calibri"/>
                    <w:sz w:val="20"/>
                    <w:szCs w:val="20"/>
                  </w:rPr>
                  <w:t>否</w:t>
                </w:r>
              </w:p>
            </w:tc>
          </w:sdtContent>
        </w:sdt>
      </w:tr>
      <w:tr w14:paraId="6252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754C1CE7">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44519246">
            <w:pPr>
              <w:pStyle w:val="48"/>
              <w:jc w:val="right"/>
              <w:rPr>
                <w:rFonts w:ascii="Times New Roman" w:hAnsi="Times New Roman"/>
                <w:sz w:val="20"/>
                <w:szCs w:val="20"/>
              </w:rPr>
            </w:pPr>
            <w:r>
              <w:rPr>
                <w:rFonts w:ascii="Times New Roman" w:hAnsi="Times New Roman"/>
                <w:sz w:val="20"/>
                <w:szCs w:val="20"/>
              </w:rPr>
              <w:t>6,000.00</w:t>
            </w:r>
          </w:p>
        </w:tc>
        <w:tc>
          <w:tcPr>
            <w:tcW w:w="1418" w:type="dxa"/>
            <w:tcBorders>
              <w:top w:val="single" w:color="auto" w:sz="4" w:space="0"/>
              <w:left w:val="single" w:color="auto" w:sz="4" w:space="0"/>
              <w:bottom w:val="single" w:color="auto" w:sz="4" w:space="0"/>
              <w:right w:val="single" w:color="auto" w:sz="4" w:space="0"/>
            </w:tcBorders>
            <w:vAlign w:val="center"/>
          </w:tcPr>
          <w:p w14:paraId="5E4B7BD6">
            <w:pPr>
              <w:jc w:val="center"/>
              <w:rPr>
                <w:rFonts w:ascii="Calibri" w:hAnsi="Calibri"/>
                <w:sz w:val="20"/>
                <w:szCs w:val="20"/>
              </w:rPr>
            </w:pPr>
            <w:r>
              <w:rPr>
                <w:rFonts w:ascii="Calibri" w:hAnsi="Calibri"/>
                <w:sz w:val="20"/>
                <w:szCs w:val="20"/>
              </w:rPr>
              <w:t>偿还债务</w:t>
            </w:r>
          </w:p>
        </w:tc>
        <w:tc>
          <w:tcPr>
            <w:tcW w:w="2268" w:type="dxa"/>
            <w:tcBorders>
              <w:top w:val="single" w:color="auto" w:sz="4" w:space="0"/>
              <w:left w:val="single" w:color="auto" w:sz="4" w:space="0"/>
              <w:bottom w:val="single" w:color="auto" w:sz="4" w:space="0"/>
              <w:right w:val="single" w:color="auto" w:sz="4" w:space="0"/>
            </w:tcBorders>
            <w:vAlign w:val="center"/>
          </w:tcPr>
          <w:p w14:paraId="78DB6CC8">
            <w:pPr>
              <w:jc w:val="center"/>
              <w:rPr>
                <w:rFonts w:ascii="Calibri" w:hAnsi="Calibri"/>
                <w:sz w:val="20"/>
                <w:szCs w:val="20"/>
              </w:rPr>
            </w:pPr>
            <w:r>
              <w:rPr>
                <w:rFonts w:ascii="Calibri" w:hAnsi="Calibri"/>
                <w:sz w:val="20"/>
                <w:szCs w:val="20"/>
              </w:rPr>
              <w:t>2026/1/15-2027/1/15</w:t>
            </w:r>
          </w:p>
        </w:tc>
        <w:tc>
          <w:tcPr>
            <w:tcW w:w="819" w:type="dxa"/>
            <w:vMerge w:val="continue"/>
            <w:tcBorders>
              <w:left w:val="single" w:color="auto" w:sz="4" w:space="0"/>
              <w:right w:val="single" w:color="auto" w:sz="4" w:space="0"/>
            </w:tcBorders>
            <w:vAlign w:val="center"/>
          </w:tcPr>
          <w:p w14:paraId="79FE3103">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112753808"/>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60120BE7">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1339683166"/>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3C654C91">
                <w:pPr>
                  <w:jc w:val="center"/>
                  <w:rPr>
                    <w:rFonts w:ascii="Calibri" w:hAnsi="Calibri"/>
                    <w:sz w:val="20"/>
                    <w:szCs w:val="20"/>
                  </w:rPr>
                </w:pPr>
                <w:r>
                  <w:rPr>
                    <w:rFonts w:ascii="Calibri" w:hAnsi="Calibri"/>
                    <w:sz w:val="20"/>
                    <w:szCs w:val="20"/>
                  </w:rPr>
                  <w:t>否</w:t>
                </w:r>
              </w:p>
            </w:tc>
          </w:sdtContent>
        </w:sdt>
      </w:tr>
      <w:tr w14:paraId="3FC4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0D5C1580">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208D70A1">
            <w:pPr>
              <w:pStyle w:val="48"/>
              <w:jc w:val="right"/>
              <w:rPr>
                <w:rFonts w:ascii="Times New Roman" w:hAnsi="Times New Roman"/>
                <w:sz w:val="20"/>
                <w:szCs w:val="20"/>
              </w:rPr>
            </w:pPr>
            <w:r>
              <w:rPr>
                <w:rFonts w:ascii="Times New Roman" w:hAnsi="Times New Roman"/>
                <w:sz w:val="20"/>
                <w:szCs w:val="20"/>
              </w:rPr>
              <w:t>5,000.00</w:t>
            </w:r>
          </w:p>
        </w:tc>
        <w:tc>
          <w:tcPr>
            <w:tcW w:w="1418" w:type="dxa"/>
            <w:tcBorders>
              <w:top w:val="single" w:color="auto" w:sz="4" w:space="0"/>
              <w:left w:val="single" w:color="auto" w:sz="4" w:space="0"/>
              <w:bottom w:val="single" w:color="auto" w:sz="4" w:space="0"/>
              <w:right w:val="single" w:color="auto" w:sz="4" w:space="0"/>
            </w:tcBorders>
            <w:vAlign w:val="center"/>
          </w:tcPr>
          <w:p w14:paraId="6AE58A9E">
            <w:pPr>
              <w:jc w:val="center"/>
              <w:rPr>
                <w:rFonts w:ascii="Calibri" w:hAnsi="Calibri"/>
                <w:sz w:val="20"/>
                <w:szCs w:val="20"/>
              </w:rPr>
            </w:pPr>
            <w:r>
              <w:rPr>
                <w:rFonts w:ascii="Calibri" w:hAnsi="Calibri"/>
                <w:sz w:val="20"/>
                <w:szCs w:val="20"/>
              </w:rPr>
              <w:t>偿还债务</w:t>
            </w:r>
          </w:p>
        </w:tc>
        <w:tc>
          <w:tcPr>
            <w:tcW w:w="2268" w:type="dxa"/>
            <w:tcBorders>
              <w:top w:val="single" w:color="auto" w:sz="4" w:space="0"/>
              <w:left w:val="single" w:color="auto" w:sz="4" w:space="0"/>
              <w:bottom w:val="single" w:color="auto" w:sz="4" w:space="0"/>
              <w:right w:val="single" w:color="auto" w:sz="4" w:space="0"/>
            </w:tcBorders>
            <w:vAlign w:val="center"/>
          </w:tcPr>
          <w:p w14:paraId="1ABED8FA">
            <w:pPr>
              <w:jc w:val="center"/>
              <w:rPr>
                <w:rFonts w:ascii="Calibri" w:hAnsi="Calibri"/>
                <w:sz w:val="20"/>
                <w:szCs w:val="20"/>
              </w:rPr>
            </w:pPr>
            <w:r>
              <w:rPr>
                <w:rFonts w:ascii="Calibri" w:hAnsi="Calibri"/>
                <w:sz w:val="20"/>
                <w:szCs w:val="20"/>
              </w:rPr>
              <w:t>2026/1/15-2027/1/15</w:t>
            </w:r>
          </w:p>
        </w:tc>
        <w:tc>
          <w:tcPr>
            <w:tcW w:w="819" w:type="dxa"/>
            <w:vMerge w:val="continue"/>
            <w:tcBorders>
              <w:left w:val="single" w:color="auto" w:sz="4" w:space="0"/>
              <w:right w:val="single" w:color="auto" w:sz="4" w:space="0"/>
            </w:tcBorders>
            <w:vAlign w:val="center"/>
          </w:tcPr>
          <w:p w14:paraId="3A6786CA">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1348710445"/>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1F43FE7E">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1301690413"/>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15D227E8">
                <w:pPr>
                  <w:jc w:val="center"/>
                  <w:rPr>
                    <w:rFonts w:ascii="Calibri" w:hAnsi="Calibri"/>
                    <w:sz w:val="20"/>
                    <w:szCs w:val="20"/>
                  </w:rPr>
                </w:pPr>
                <w:r>
                  <w:rPr>
                    <w:rFonts w:ascii="Calibri" w:hAnsi="Calibri"/>
                    <w:sz w:val="20"/>
                    <w:szCs w:val="20"/>
                  </w:rPr>
                  <w:t>否</w:t>
                </w:r>
              </w:p>
            </w:tc>
          </w:sdtContent>
        </w:sdt>
      </w:tr>
      <w:tr w14:paraId="42B0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37060D44">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0D20DA18">
            <w:pPr>
              <w:pStyle w:val="48"/>
              <w:jc w:val="right"/>
              <w:rPr>
                <w:rFonts w:ascii="Times New Roman" w:hAnsi="Times New Roman"/>
                <w:sz w:val="20"/>
                <w:szCs w:val="20"/>
              </w:rPr>
            </w:pPr>
            <w:r>
              <w:rPr>
                <w:rFonts w:ascii="Times New Roman" w:hAnsi="Times New Roman"/>
                <w:sz w:val="20"/>
                <w:szCs w:val="20"/>
              </w:rPr>
              <w:t>3,500.00</w:t>
            </w:r>
          </w:p>
        </w:tc>
        <w:tc>
          <w:tcPr>
            <w:tcW w:w="1418" w:type="dxa"/>
            <w:tcBorders>
              <w:top w:val="single" w:color="auto" w:sz="4" w:space="0"/>
              <w:left w:val="single" w:color="auto" w:sz="4" w:space="0"/>
              <w:bottom w:val="single" w:color="auto" w:sz="4" w:space="0"/>
              <w:right w:val="single" w:color="auto" w:sz="4" w:space="0"/>
            </w:tcBorders>
            <w:vAlign w:val="center"/>
          </w:tcPr>
          <w:p w14:paraId="3CA27931">
            <w:pPr>
              <w:jc w:val="center"/>
              <w:rPr>
                <w:rFonts w:ascii="Calibri" w:hAnsi="Calibri"/>
                <w:sz w:val="20"/>
                <w:szCs w:val="20"/>
              </w:rPr>
            </w:pPr>
            <w:r>
              <w:rPr>
                <w:rFonts w:ascii="Calibri" w:hAnsi="Calibri"/>
                <w:sz w:val="20"/>
                <w:szCs w:val="20"/>
              </w:rPr>
              <w:t>偿还债务</w:t>
            </w:r>
          </w:p>
        </w:tc>
        <w:tc>
          <w:tcPr>
            <w:tcW w:w="2268" w:type="dxa"/>
            <w:tcBorders>
              <w:top w:val="single" w:color="auto" w:sz="4" w:space="0"/>
              <w:left w:val="single" w:color="auto" w:sz="4" w:space="0"/>
              <w:bottom w:val="single" w:color="auto" w:sz="4" w:space="0"/>
              <w:right w:val="single" w:color="auto" w:sz="4" w:space="0"/>
            </w:tcBorders>
            <w:vAlign w:val="center"/>
          </w:tcPr>
          <w:p w14:paraId="28E1A030">
            <w:pPr>
              <w:jc w:val="center"/>
              <w:rPr>
                <w:rFonts w:ascii="Calibri" w:hAnsi="Calibri"/>
                <w:sz w:val="20"/>
                <w:szCs w:val="20"/>
              </w:rPr>
            </w:pPr>
            <w:r>
              <w:rPr>
                <w:rFonts w:ascii="Calibri" w:hAnsi="Calibri"/>
                <w:sz w:val="20"/>
                <w:szCs w:val="20"/>
              </w:rPr>
              <w:t>2026/1/29-2027/1/29</w:t>
            </w:r>
          </w:p>
        </w:tc>
        <w:tc>
          <w:tcPr>
            <w:tcW w:w="819" w:type="dxa"/>
            <w:vMerge w:val="continue"/>
            <w:tcBorders>
              <w:left w:val="single" w:color="auto" w:sz="4" w:space="0"/>
              <w:right w:val="single" w:color="auto" w:sz="4" w:space="0"/>
            </w:tcBorders>
            <w:vAlign w:val="center"/>
          </w:tcPr>
          <w:p w14:paraId="1218904A">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1431244514"/>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0AB7AA84">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1249619915"/>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430684EF">
                <w:pPr>
                  <w:jc w:val="center"/>
                  <w:rPr>
                    <w:rFonts w:ascii="Calibri" w:hAnsi="Calibri"/>
                    <w:sz w:val="20"/>
                    <w:szCs w:val="20"/>
                  </w:rPr>
                </w:pPr>
                <w:r>
                  <w:rPr>
                    <w:rFonts w:ascii="Calibri" w:hAnsi="Calibri"/>
                    <w:sz w:val="20"/>
                    <w:szCs w:val="20"/>
                  </w:rPr>
                  <w:t>否</w:t>
                </w:r>
              </w:p>
            </w:tc>
          </w:sdtContent>
        </w:sdt>
      </w:tr>
      <w:tr w14:paraId="2796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1C9F8B95">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50687C81">
            <w:pPr>
              <w:pStyle w:val="48"/>
              <w:jc w:val="right"/>
              <w:rPr>
                <w:rFonts w:ascii="Times New Roman" w:hAnsi="Times New Roman"/>
                <w:sz w:val="20"/>
                <w:szCs w:val="20"/>
              </w:rPr>
            </w:pPr>
            <w:r>
              <w:rPr>
                <w:rFonts w:ascii="Times New Roman" w:hAnsi="Times New Roman"/>
                <w:sz w:val="20"/>
                <w:szCs w:val="20"/>
              </w:rPr>
              <w:t>5,500.00</w:t>
            </w:r>
          </w:p>
        </w:tc>
        <w:tc>
          <w:tcPr>
            <w:tcW w:w="1418" w:type="dxa"/>
            <w:tcBorders>
              <w:top w:val="single" w:color="auto" w:sz="4" w:space="0"/>
              <w:left w:val="single" w:color="auto" w:sz="4" w:space="0"/>
              <w:bottom w:val="single" w:color="auto" w:sz="4" w:space="0"/>
              <w:right w:val="single" w:color="auto" w:sz="4" w:space="0"/>
            </w:tcBorders>
            <w:vAlign w:val="center"/>
          </w:tcPr>
          <w:p w14:paraId="270A10B2">
            <w:pPr>
              <w:jc w:val="center"/>
              <w:rPr>
                <w:rFonts w:ascii="Calibri" w:hAnsi="Calibri"/>
                <w:sz w:val="20"/>
                <w:szCs w:val="20"/>
              </w:rPr>
            </w:pPr>
            <w:r>
              <w:rPr>
                <w:rFonts w:ascii="Calibri" w:hAnsi="Calibri"/>
                <w:sz w:val="20"/>
                <w:szCs w:val="20"/>
              </w:rPr>
              <w:t>偿还债务</w:t>
            </w:r>
          </w:p>
        </w:tc>
        <w:tc>
          <w:tcPr>
            <w:tcW w:w="2268" w:type="dxa"/>
            <w:tcBorders>
              <w:top w:val="single" w:color="auto" w:sz="4" w:space="0"/>
              <w:left w:val="single" w:color="auto" w:sz="4" w:space="0"/>
              <w:bottom w:val="single" w:color="auto" w:sz="4" w:space="0"/>
              <w:right w:val="single" w:color="auto" w:sz="4" w:space="0"/>
            </w:tcBorders>
            <w:vAlign w:val="center"/>
          </w:tcPr>
          <w:p w14:paraId="7C414B28">
            <w:pPr>
              <w:jc w:val="center"/>
              <w:rPr>
                <w:rFonts w:ascii="Calibri" w:hAnsi="Calibri"/>
                <w:sz w:val="20"/>
                <w:szCs w:val="20"/>
              </w:rPr>
            </w:pPr>
            <w:r>
              <w:rPr>
                <w:rFonts w:ascii="Calibri" w:hAnsi="Calibri"/>
                <w:sz w:val="20"/>
                <w:szCs w:val="20"/>
              </w:rPr>
              <w:t>2026/1/29-2027/1/29</w:t>
            </w:r>
          </w:p>
        </w:tc>
        <w:tc>
          <w:tcPr>
            <w:tcW w:w="819" w:type="dxa"/>
            <w:vMerge w:val="continue"/>
            <w:tcBorders>
              <w:left w:val="single" w:color="auto" w:sz="4" w:space="0"/>
              <w:right w:val="single" w:color="auto" w:sz="4" w:space="0"/>
            </w:tcBorders>
            <w:vAlign w:val="center"/>
          </w:tcPr>
          <w:p w14:paraId="2B7B87EF">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1839965621"/>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72DC5431">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1797875322"/>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51B1AF60">
                <w:pPr>
                  <w:jc w:val="center"/>
                  <w:rPr>
                    <w:rFonts w:ascii="Calibri" w:hAnsi="Calibri"/>
                    <w:sz w:val="20"/>
                    <w:szCs w:val="20"/>
                  </w:rPr>
                </w:pPr>
                <w:r>
                  <w:rPr>
                    <w:rFonts w:ascii="Calibri" w:hAnsi="Calibri"/>
                    <w:sz w:val="20"/>
                    <w:szCs w:val="20"/>
                  </w:rPr>
                  <w:t>否</w:t>
                </w:r>
              </w:p>
            </w:tc>
          </w:sdtContent>
        </w:sdt>
      </w:tr>
      <w:tr w14:paraId="5463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7D3BFDF8">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161AF9A0">
            <w:pPr>
              <w:pStyle w:val="48"/>
              <w:jc w:val="right"/>
              <w:rPr>
                <w:rFonts w:ascii="Times New Roman" w:hAnsi="Times New Roman"/>
                <w:sz w:val="20"/>
                <w:szCs w:val="20"/>
              </w:rPr>
            </w:pPr>
            <w:r>
              <w:rPr>
                <w:rFonts w:ascii="Times New Roman" w:hAnsi="Times New Roman"/>
                <w:sz w:val="20"/>
                <w:szCs w:val="20"/>
              </w:rPr>
              <w:t>21,000.00</w:t>
            </w:r>
          </w:p>
        </w:tc>
        <w:tc>
          <w:tcPr>
            <w:tcW w:w="1418" w:type="dxa"/>
            <w:tcBorders>
              <w:top w:val="single" w:color="auto" w:sz="4" w:space="0"/>
              <w:left w:val="single" w:color="auto" w:sz="4" w:space="0"/>
              <w:bottom w:val="single" w:color="auto" w:sz="4" w:space="0"/>
              <w:right w:val="single" w:color="auto" w:sz="4" w:space="0"/>
            </w:tcBorders>
            <w:vAlign w:val="center"/>
          </w:tcPr>
          <w:p w14:paraId="5B733400">
            <w:pPr>
              <w:jc w:val="center"/>
              <w:rPr>
                <w:rFonts w:ascii="Calibri" w:hAnsi="Calibri"/>
                <w:sz w:val="20"/>
                <w:szCs w:val="20"/>
              </w:rPr>
            </w:pPr>
            <w:r>
              <w:rPr>
                <w:rFonts w:ascii="Calibri" w:hAnsi="Calibri"/>
                <w:sz w:val="20"/>
                <w:szCs w:val="20"/>
              </w:rPr>
              <w:t>补充流动资金</w:t>
            </w:r>
          </w:p>
        </w:tc>
        <w:tc>
          <w:tcPr>
            <w:tcW w:w="2268" w:type="dxa"/>
            <w:tcBorders>
              <w:top w:val="single" w:color="auto" w:sz="4" w:space="0"/>
              <w:left w:val="single" w:color="auto" w:sz="4" w:space="0"/>
              <w:bottom w:val="single" w:color="auto" w:sz="4" w:space="0"/>
              <w:right w:val="single" w:color="auto" w:sz="4" w:space="0"/>
            </w:tcBorders>
            <w:vAlign w:val="center"/>
          </w:tcPr>
          <w:p w14:paraId="4416A9DF">
            <w:pPr>
              <w:jc w:val="center"/>
              <w:rPr>
                <w:rFonts w:ascii="Calibri" w:hAnsi="Calibri"/>
                <w:sz w:val="20"/>
                <w:szCs w:val="20"/>
              </w:rPr>
            </w:pPr>
            <w:r>
              <w:rPr>
                <w:rFonts w:ascii="Calibri" w:hAnsi="Calibri"/>
                <w:sz w:val="20"/>
                <w:szCs w:val="20"/>
              </w:rPr>
              <w:t>2025/12/29-2026/12/29</w:t>
            </w:r>
          </w:p>
        </w:tc>
        <w:tc>
          <w:tcPr>
            <w:tcW w:w="819" w:type="dxa"/>
            <w:vMerge w:val="continue"/>
            <w:tcBorders>
              <w:left w:val="single" w:color="auto" w:sz="4" w:space="0"/>
              <w:right w:val="single" w:color="auto" w:sz="4" w:space="0"/>
            </w:tcBorders>
            <w:vAlign w:val="center"/>
          </w:tcPr>
          <w:p w14:paraId="65B1B33C">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1408767344"/>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1DF3F526">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242534082"/>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0476FD19">
                <w:pPr>
                  <w:jc w:val="center"/>
                  <w:rPr>
                    <w:rFonts w:ascii="Calibri" w:hAnsi="Calibri"/>
                    <w:sz w:val="20"/>
                    <w:szCs w:val="20"/>
                  </w:rPr>
                </w:pPr>
                <w:r>
                  <w:rPr>
                    <w:rFonts w:ascii="Calibri" w:hAnsi="Calibri"/>
                    <w:sz w:val="20"/>
                    <w:szCs w:val="20"/>
                  </w:rPr>
                  <w:t>否</w:t>
                </w:r>
              </w:p>
            </w:tc>
          </w:sdtContent>
        </w:sdt>
      </w:tr>
      <w:tr w14:paraId="5018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31616CDA">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59B121EC">
            <w:pPr>
              <w:pStyle w:val="48"/>
              <w:jc w:val="right"/>
              <w:rPr>
                <w:rFonts w:ascii="Times New Roman" w:hAnsi="Times New Roman"/>
                <w:sz w:val="20"/>
                <w:szCs w:val="20"/>
              </w:rPr>
            </w:pPr>
            <w:r>
              <w:rPr>
                <w:rFonts w:ascii="Times New Roman" w:hAnsi="Times New Roman"/>
                <w:sz w:val="20"/>
                <w:szCs w:val="20"/>
              </w:rPr>
              <w:t>8,000.00</w:t>
            </w:r>
          </w:p>
        </w:tc>
        <w:tc>
          <w:tcPr>
            <w:tcW w:w="1418" w:type="dxa"/>
            <w:tcBorders>
              <w:top w:val="single" w:color="auto" w:sz="4" w:space="0"/>
              <w:left w:val="single" w:color="auto" w:sz="4" w:space="0"/>
              <w:bottom w:val="single" w:color="auto" w:sz="4" w:space="0"/>
              <w:right w:val="single" w:color="auto" w:sz="4" w:space="0"/>
            </w:tcBorders>
            <w:vAlign w:val="center"/>
          </w:tcPr>
          <w:p w14:paraId="02D66B82">
            <w:pPr>
              <w:jc w:val="center"/>
              <w:rPr>
                <w:rFonts w:ascii="Calibri" w:hAnsi="Calibri"/>
                <w:sz w:val="20"/>
                <w:szCs w:val="20"/>
              </w:rPr>
            </w:pPr>
            <w:r>
              <w:rPr>
                <w:rFonts w:ascii="Calibri" w:hAnsi="Calibri"/>
                <w:sz w:val="20"/>
                <w:szCs w:val="20"/>
              </w:rPr>
              <w:t>流动资金周转</w:t>
            </w:r>
          </w:p>
        </w:tc>
        <w:tc>
          <w:tcPr>
            <w:tcW w:w="2268" w:type="dxa"/>
            <w:tcBorders>
              <w:top w:val="single" w:color="auto" w:sz="4" w:space="0"/>
              <w:left w:val="single" w:color="auto" w:sz="4" w:space="0"/>
              <w:bottom w:val="single" w:color="auto" w:sz="4" w:space="0"/>
              <w:right w:val="single" w:color="auto" w:sz="4" w:space="0"/>
            </w:tcBorders>
            <w:vAlign w:val="center"/>
          </w:tcPr>
          <w:p w14:paraId="4BF58026">
            <w:pPr>
              <w:jc w:val="center"/>
              <w:rPr>
                <w:rFonts w:ascii="Calibri" w:hAnsi="Calibri"/>
                <w:sz w:val="20"/>
                <w:szCs w:val="20"/>
              </w:rPr>
            </w:pPr>
            <w:r>
              <w:rPr>
                <w:rFonts w:ascii="Calibri" w:hAnsi="Calibri"/>
                <w:sz w:val="20"/>
                <w:szCs w:val="20"/>
              </w:rPr>
              <w:t>2024/8/15-2026/8/15</w:t>
            </w:r>
          </w:p>
        </w:tc>
        <w:tc>
          <w:tcPr>
            <w:tcW w:w="819" w:type="dxa"/>
            <w:vMerge w:val="continue"/>
            <w:tcBorders>
              <w:left w:val="single" w:color="auto" w:sz="4" w:space="0"/>
              <w:right w:val="single" w:color="auto" w:sz="4" w:space="0"/>
            </w:tcBorders>
            <w:vAlign w:val="center"/>
          </w:tcPr>
          <w:p w14:paraId="3F209262">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1846517913"/>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389D076C">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1635918536"/>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50C12D69">
                <w:pPr>
                  <w:jc w:val="center"/>
                  <w:rPr>
                    <w:rFonts w:ascii="Calibri" w:hAnsi="Calibri"/>
                    <w:sz w:val="20"/>
                    <w:szCs w:val="20"/>
                  </w:rPr>
                </w:pPr>
                <w:r>
                  <w:rPr>
                    <w:rFonts w:ascii="Calibri" w:hAnsi="Calibri"/>
                    <w:sz w:val="20"/>
                    <w:szCs w:val="20"/>
                  </w:rPr>
                  <w:t>否</w:t>
                </w:r>
              </w:p>
            </w:tc>
          </w:sdtContent>
        </w:sdt>
      </w:tr>
      <w:tr w14:paraId="0D7B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118FA522">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793C26CC">
            <w:pPr>
              <w:pStyle w:val="48"/>
              <w:jc w:val="right"/>
              <w:rPr>
                <w:rFonts w:ascii="Times New Roman" w:hAnsi="Times New Roman"/>
                <w:sz w:val="20"/>
                <w:szCs w:val="20"/>
              </w:rPr>
            </w:pPr>
            <w:r>
              <w:rPr>
                <w:rFonts w:ascii="Times New Roman" w:hAnsi="Times New Roman"/>
                <w:sz w:val="20"/>
                <w:szCs w:val="20"/>
              </w:rPr>
              <w:t>29,382.88</w:t>
            </w:r>
          </w:p>
        </w:tc>
        <w:tc>
          <w:tcPr>
            <w:tcW w:w="1418" w:type="dxa"/>
            <w:tcBorders>
              <w:top w:val="single" w:color="auto" w:sz="4" w:space="0"/>
              <w:left w:val="single" w:color="auto" w:sz="4" w:space="0"/>
              <w:bottom w:val="single" w:color="auto" w:sz="4" w:space="0"/>
              <w:right w:val="single" w:color="auto" w:sz="4" w:space="0"/>
            </w:tcBorders>
            <w:vAlign w:val="center"/>
          </w:tcPr>
          <w:p w14:paraId="5B32CF50">
            <w:pPr>
              <w:jc w:val="center"/>
              <w:rPr>
                <w:rFonts w:ascii="Calibri" w:hAnsi="Calibri"/>
                <w:sz w:val="20"/>
                <w:szCs w:val="20"/>
              </w:rPr>
            </w:pPr>
            <w:r>
              <w:rPr>
                <w:rFonts w:ascii="Calibri" w:hAnsi="Calibri"/>
                <w:sz w:val="20"/>
                <w:szCs w:val="20"/>
              </w:rPr>
              <w:t>补充流动资金</w:t>
            </w:r>
          </w:p>
        </w:tc>
        <w:tc>
          <w:tcPr>
            <w:tcW w:w="2268" w:type="dxa"/>
            <w:tcBorders>
              <w:top w:val="single" w:color="auto" w:sz="4" w:space="0"/>
              <w:left w:val="single" w:color="auto" w:sz="4" w:space="0"/>
              <w:bottom w:val="single" w:color="auto" w:sz="4" w:space="0"/>
              <w:right w:val="single" w:color="auto" w:sz="4" w:space="0"/>
            </w:tcBorders>
            <w:vAlign w:val="center"/>
          </w:tcPr>
          <w:p w14:paraId="489AFABE">
            <w:pPr>
              <w:jc w:val="center"/>
              <w:rPr>
                <w:rFonts w:ascii="Calibri" w:hAnsi="Calibri"/>
                <w:sz w:val="20"/>
                <w:szCs w:val="20"/>
              </w:rPr>
            </w:pPr>
            <w:r>
              <w:rPr>
                <w:rFonts w:ascii="Calibri" w:hAnsi="Calibri"/>
                <w:sz w:val="20"/>
                <w:szCs w:val="20"/>
              </w:rPr>
              <w:t>2026/1/13-2029/1/5</w:t>
            </w:r>
          </w:p>
        </w:tc>
        <w:tc>
          <w:tcPr>
            <w:tcW w:w="819" w:type="dxa"/>
            <w:vMerge w:val="continue"/>
            <w:tcBorders>
              <w:left w:val="single" w:color="auto" w:sz="4" w:space="0"/>
              <w:right w:val="single" w:color="auto" w:sz="4" w:space="0"/>
            </w:tcBorders>
            <w:vAlign w:val="center"/>
          </w:tcPr>
          <w:p w14:paraId="456722FB">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1587684700"/>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4CA83F20">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521369713"/>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58DDDF2E">
                <w:pPr>
                  <w:jc w:val="center"/>
                  <w:rPr>
                    <w:rFonts w:ascii="Calibri" w:hAnsi="Calibri"/>
                    <w:sz w:val="20"/>
                    <w:szCs w:val="20"/>
                  </w:rPr>
                </w:pPr>
                <w:r>
                  <w:rPr>
                    <w:rFonts w:ascii="Calibri" w:hAnsi="Calibri"/>
                    <w:sz w:val="20"/>
                    <w:szCs w:val="20"/>
                  </w:rPr>
                  <w:t>否</w:t>
                </w:r>
              </w:p>
            </w:tc>
          </w:sdtContent>
        </w:sdt>
      </w:tr>
      <w:tr w14:paraId="78B0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4AFDC4A5">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5848F49E">
            <w:pPr>
              <w:pStyle w:val="48"/>
              <w:jc w:val="right"/>
              <w:rPr>
                <w:rFonts w:ascii="Times New Roman" w:hAnsi="Times New Roman"/>
                <w:sz w:val="20"/>
                <w:szCs w:val="20"/>
              </w:rPr>
            </w:pPr>
            <w:r>
              <w:rPr>
                <w:rFonts w:ascii="Times New Roman" w:hAnsi="Times New Roman"/>
                <w:sz w:val="20"/>
                <w:szCs w:val="20"/>
              </w:rPr>
              <w:t>10,617.12</w:t>
            </w:r>
          </w:p>
        </w:tc>
        <w:tc>
          <w:tcPr>
            <w:tcW w:w="1418" w:type="dxa"/>
            <w:tcBorders>
              <w:top w:val="single" w:color="auto" w:sz="4" w:space="0"/>
              <w:left w:val="single" w:color="auto" w:sz="4" w:space="0"/>
              <w:bottom w:val="single" w:color="auto" w:sz="4" w:space="0"/>
              <w:right w:val="single" w:color="auto" w:sz="4" w:space="0"/>
            </w:tcBorders>
            <w:vAlign w:val="center"/>
          </w:tcPr>
          <w:p w14:paraId="71D30C9E">
            <w:pPr>
              <w:jc w:val="center"/>
              <w:rPr>
                <w:rFonts w:ascii="Calibri" w:hAnsi="Calibri"/>
                <w:sz w:val="20"/>
                <w:szCs w:val="20"/>
              </w:rPr>
            </w:pPr>
            <w:r>
              <w:rPr>
                <w:rFonts w:ascii="Calibri" w:hAnsi="Calibri"/>
                <w:sz w:val="20"/>
                <w:szCs w:val="20"/>
              </w:rPr>
              <w:t>补充流动资金</w:t>
            </w:r>
          </w:p>
        </w:tc>
        <w:tc>
          <w:tcPr>
            <w:tcW w:w="2268" w:type="dxa"/>
            <w:tcBorders>
              <w:top w:val="single" w:color="auto" w:sz="4" w:space="0"/>
              <w:left w:val="single" w:color="auto" w:sz="4" w:space="0"/>
              <w:bottom w:val="single" w:color="auto" w:sz="4" w:space="0"/>
              <w:right w:val="single" w:color="auto" w:sz="4" w:space="0"/>
            </w:tcBorders>
            <w:vAlign w:val="center"/>
          </w:tcPr>
          <w:p w14:paraId="6F184526">
            <w:pPr>
              <w:jc w:val="center"/>
              <w:rPr>
                <w:rFonts w:ascii="Calibri" w:hAnsi="Calibri"/>
                <w:sz w:val="20"/>
                <w:szCs w:val="20"/>
              </w:rPr>
            </w:pPr>
            <w:r>
              <w:rPr>
                <w:rFonts w:ascii="Calibri" w:hAnsi="Calibri"/>
                <w:sz w:val="20"/>
                <w:szCs w:val="20"/>
              </w:rPr>
              <w:t>2026/1/5-2029/1/5</w:t>
            </w:r>
          </w:p>
        </w:tc>
        <w:tc>
          <w:tcPr>
            <w:tcW w:w="819" w:type="dxa"/>
            <w:vMerge w:val="continue"/>
            <w:tcBorders>
              <w:left w:val="single" w:color="auto" w:sz="4" w:space="0"/>
              <w:right w:val="single" w:color="auto" w:sz="4" w:space="0"/>
            </w:tcBorders>
            <w:vAlign w:val="center"/>
          </w:tcPr>
          <w:p w14:paraId="37C8295A">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476220059"/>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7A507E79">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253407015"/>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05AC1286">
                <w:pPr>
                  <w:jc w:val="center"/>
                  <w:rPr>
                    <w:rFonts w:ascii="Calibri" w:hAnsi="Calibri"/>
                    <w:sz w:val="20"/>
                    <w:szCs w:val="20"/>
                  </w:rPr>
                </w:pPr>
                <w:r>
                  <w:rPr>
                    <w:rFonts w:ascii="Calibri" w:hAnsi="Calibri"/>
                    <w:sz w:val="20"/>
                    <w:szCs w:val="20"/>
                  </w:rPr>
                  <w:t>否</w:t>
                </w:r>
              </w:p>
            </w:tc>
          </w:sdtContent>
        </w:sdt>
      </w:tr>
      <w:tr w14:paraId="4F94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2542230A">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12B33F30">
            <w:pPr>
              <w:pStyle w:val="48"/>
              <w:jc w:val="right"/>
              <w:rPr>
                <w:rFonts w:ascii="Times New Roman" w:hAnsi="Times New Roman"/>
                <w:sz w:val="20"/>
                <w:szCs w:val="20"/>
              </w:rPr>
            </w:pPr>
            <w:r>
              <w:rPr>
                <w:rFonts w:ascii="Times New Roman" w:hAnsi="Times New Roman"/>
                <w:sz w:val="20"/>
                <w:szCs w:val="20"/>
              </w:rPr>
              <w:t>15,000.00</w:t>
            </w:r>
          </w:p>
        </w:tc>
        <w:tc>
          <w:tcPr>
            <w:tcW w:w="1418" w:type="dxa"/>
            <w:tcBorders>
              <w:top w:val="single" w:color="auto" w:sz="4" w:space="0"/>
              <w:left w:val="single" w:color="auto" w:sz="4" w:space="0"/>
              <w:bottom w:val="single" w:color="auto" w:sz="4" w:space="0"/>
              <w:right w:val="single" w:color="auto" w:sz="4" w:space="0"/>
            </w:tcBorders>
            <w:vAlign w:val="center"/>
          </w:tcPr>
          <w:p w14:paraId="62B929EB">
            <w:pPr>
              <w:jc w:val="center"/>
              <w:rPr>
                <w:rFonts w:ascii="Calibri" w:hAnsi="Calibri"/>
                <w:sz w:val="20"/>
                <w:szCs w:val="20"/>
              </w:rPr>
            </w:pPr>
            <w:r>
              <w:rPr>
                <w:rFonts w:ascii="Calibri" w:hAnsi="Calibri"/>
                <w:sz w:val="20"/>
                <w:szCs w:val="20"/>
              </w:rPr>
              <w:t>偿还债务</w:t>
            </w:r>
          </w:p>
        </w:tc>
        <w:tc>
          <w:tcPr>
            <w:tcW w:w="2268" w:type="dxa"/>
            <w:tcBorders>
              <w:top w:val="single" w:color="auto" w:sz="4" w:space="0"/>
              <w:left w:val="single" w:color="auto" w:sz="4" w:space="0"/>
              <w:bottom w:val="single" w:color="auto" w:sz="4" w:space="0"/>
              <w:right w:val="single" w:color="auto" w:sz="4" w:space="0"/>
            </w:tcBorders>
            <w:vAlign w:val="center"/>
          </w:tcPr>
          <w:p w14:paraId="5ED9765F">
            <w:pPr>
              <w:jc w:val="center"/>
              <w:rPr>
                <w:rFonts w:ascii="Calibri" w:hAnsi="Calibri"/>
                <w:sz w:val="20"/>
                <w:szCs w:val="20"/>
              </w:rPr>
            </w:pPr>
            <w:r>
              <w:rPr>
                <w:rFonts w:ascii="Calibri" w:hAnsi="Calibri"/>
                <w:sz w:val="20"/>
                <w:szCs w:val="20"/>
              </w:rPr>
              <w:t>2024/3/12-2027/3/12</w:t>
            </w:r>
          </w:p>
        </w:tc>
        <w:tc>
          <w:tcPr>
            <w:tcW w:w="819" w:type="dxa"/>
            <w:vMerge w:val="continue"/>
            <w:tcBorders>
              <w:left w:val="single" w:color="auto" w:sz="4" w:space="0"/>
              <w:right w:val="single" w:color="auto" w:sz="4" w:space="0"/>
            </w:tcBorders>
            <w:vAlign w:val="center"/>
          </w:tcPr>
          <w:p w14:paraId="4C22654D">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559249179"/>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02C02E41">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660048488"/>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222D45AD">
                <w:pPr>
                  <w:jc w:val="center"/>
                  <w:rPr>
                    <w:rFonts w:ascii="Calibri" w:hAnsi="Calibri"/>
                    <w:sz w:val="20"/>
                    <w:szCs w:val="20"/>
                  </w:rPr>
                </w:pPr>
                <w:r>
                  <w:rPr>
                    <w:rFonts w:ascii="Calibri" w:hAnsi="Calibri"/>
                    <w:sz w:val="20"/>
                    <w:szCs w:val="20"/>
                  </w:rPr>
                  <w:t>否</w:t>
                </w:r>
              </w:p>
            </w:tc>
          </w:sdtContent>
        </w:sdt>
      </w:tr>
      <w:tr w14:paraId="00A5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6B60C925">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3CC4A73F">
            <w:pPr>
              <w:pStyle w:val="48"/>
              <w:jc w:val="right"/>
              <w:rPr>
                <w:rFonts w:ascii="Times New Roman" w:hAnsi="Times New Roman"/>
                <w:sz w:val="20"/>
                <w:szCs w:val="20"/>
              </w:rPr>
            </w:pPr>
            <w:r>
              <w:rPr>
                <w:rFonts w:ascii="Times New Roman" w:hAnsi="Times New Roman"/>
                <w:sz w:val="20"/>
                <w:szCs w:val="20"/>
              </w:rPr>
              <w:t>60,000.00</w:t>
            </w:r>
          </w:p>
        </w:tc>
        <w:tc>
          <w:tcPr>
            <w:tcW w:w="1418" w:type="dxa"/>
            <w:tcBorders>
              <w:top w:val="single" w:color="auto" w:sz="4" w:space="0"/>
              <w:left w:val="single" w:color="auto" w:sz="4" w:space="0"/>
              <w:bottom w:val="single" w:color="auto" w:sz="4" w:space="0"/>
              <w:right w:val="single" w:color="auto" w:sz="4" w:space="0"/>
            </w:tcBorders>
            <w:vAlign w:val="center"/>
          </w:tcPr>
          <w:p w14:paraId="23306DA6">
            <w:pPr>
              <w:jc w:val="center"/>
              <w:rPr>
                <w:rFonts w:ascii="Calibri" w:hAnsi="Calibri"/>
                <w:sz w:val="20"/>
                <w:szCs w:val="20"/>
              </w:rPr>
            </w:pPr>
            <w:r>
              <w:rPr>
                <w:rFonts w:ascii="Calibri" w:hAnsi="Calibri"/>
                <w:sz w:val="20"/>
                <w:szCs w:val="20"/>
              </w:rPr>
              <w:t>流动资金周转</w:t>
            </w:r>
          </w:p>
        </w:tc>
        <w:tc>
          <w:tcPr>
            <w:tcW w:w="2268" w:type="dxa"/>
            <w:tcBorders>
              <w:top w:val="single" w:color="auto" w:sz="4" w:space="0"/>
              <w:left w:val="single" w:color="auto" w:sz="4" w:space="0"/>
              <w:bottom w:val="single" w:color="auto" w:sz="4" w:space="0"/>
              <w:right w:val="single" w:color="auto" w:sz="4" w:space="0"/>
            </w:tcBorders>
            <w:vAlign w:val="center"/>
          </w:tcPr>
          <w:p w14:paraId="79B83113">
            <w:pPr>
              <w:jc w:val="center"/>
              <w:rPr>
                <w:rFonts w:ascii="Calibri" w:hAnsi="Calibri"/>
                <w:sz w:val="20"/>
                <w:szCs w:val="20"/>
              </w:rPr>
            </w:pPr>
            <w:r>
              <w:rPr>
                <w:rFonts w:ascii="Calibri" w:hAnsi="Calibri"/>
                <w:sz w:val="20"/>
                <w:szCs w:val="20"/>
              </w:rPr>
              <w:t>2023/2/21-2030/12/7</w:t>
            </w:r>
          </w:p>
        </w:tc>
        <w:tc>
          <w:tcPr>
            <w:tcW w:w="819" w:type="dxa"/>
            <w:vMerge w:val="continue"/>
            <w:tcBorders>
              <w:left w:val="single" w:color="auto" w:sz="4" w:space="0"/>
              <w:right w:val="single" w:color="auto" w:sz="4" w:space="0"/>
            </w:tcBorders>
            <w:vAlign w:val="center"/>
          </w:tcPr>
          <w:p w14:paraId="04CE4DD6">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480355814"/>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3FDE9966">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892346578"/>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747C698E">
                <w:pPr>
                  <w:jc w:val="center"/>
                  <w:rPr>
                    <w:rFonts w:ascii="Calibri" w:hAnsi="Calibri"/>
                    <w:sz w:val="20"/>
                    <w:szCs w:val="20"/>
                  </w:rPr>
                </w:pPr>
                <w:r>
                  <w:rPr>
                    <w:rFonts w:ascii="Calibri" w:hAnsi="Calibri"/>
                    <w:sz w:val="20"/>
                    <w:szCs w:val="20"/>
                  </w:rPr>
                  <w:t>否</w:t>
                </w:r>
              </w:p>
            </w:tc>
          </w:sdtContent>
        </w:sdt>
      </w:tr>
      <w:tr w14:paraId="0EB26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3106BA1B">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6FBB746E">
            <w:pPr>
              <w:pStyle w:val="48"/>
              <w:jc w:val="right"/>
              <w:rPr>
                <w:rFonts w:ascii="Times New Roman" w:hAnsi="Times New Roman"/>
                <w:sz w:val="20"/>
                <w:szCs w:val="20"/>
              </w:rPr>
            </w:pPr>
            <w:r>
              <w:rPr>
                <w:rFonts w:ascii="Times New Roman" w:hAnsi="Times New Roman"/>
                <w:sz w:val="20"/>
                <w:szCs w:val="20"/>
              </w:rPr>
              <w:t>20,000.00</w:t>
            </w:r>
          </w:p>
        </w:tc>
        <w:tc>
          <w:tcPr>
            <w:tcW w:w="1418" w:type="dxa"/>
            <w:tcBorders>
              <w:top w:val="single" w:color="auto" w:sz="4" w:space="0"/>
              <w:left w:val="single" w:color="auto" w:sz="4" w:space="0"/>
              <w:bottom w:val="single" w:color="auto" w:sz="4" w:space="0"/>
              <w:right w:val="single" w:color="auto" w:sz="4" w:space="0"/>
            </w:tcBorders>
            <w:vAlign w:val="center"/>
          </w:tcPr>
          <w:p w14:paraId="1666EEA3">
            <w:pPr>
              <w:jc w:val="center"/>
              <w:rPr>
                <w:rFonts w:ascii="Calibri" w:hAnsi="Calibri"/>
                <w:sz w:val="20"/>
                <w:szCs w:val="20"/>
              </w:rPr>
            </w:pPr>
            <w:r>
              <w:rPr>
                <w:rFonts w:ascii="Calibri" w:hAnsi="Calibri"/>
                <w:sz w:val="20"/>
                <w:szCs w:val="20"/>
              </w:rPr>
              <w:t>流动资金周转</w:t>
            </w:r>
          </w:p>
        </w:tc>
        <w:tc>
          <w:tcPr>
            <w:tcW w:w="2268" w:type="dxa"/>
            <w:tcBorders>
              <w:top w:val="single" w:color="auto" w:sz="4" w:space="0"/>
              <w:left w:val="single" w:color="auto" w:sz="4" w:space="0"/>
              <w:bottom w:val="single" w:color="auto" w:sz="4" w:space="0"/>
              <w:right w:val="single" w:color="auto" w:sz="4" w:space="0"/>
            </w:tcBorders>
            <w:vAlign w:val="center"/>
          </w:tcPr>
          <w:p w14:paraId="4D289DCA">
            <w:pPr>
              <w:jc w:val="center"/>
              <w:rPr>
                <w:rFonts w:ascii="Calibri" w:hAnsi="Calibri"/>
                <w:sz w:val="20"/>
                <w:szCs w:val="20"/>
              </w:rPr>
            </w:pPr>
            <w:r>
              <w:rPr>
                <w:rFonts w:ascii="Calibri" w:hAnsi="Calibri"/>
                <w:sz w:val="20"/>
                <w:szCs w:val="20"/>
              </w:rPr>
              <w:t>2023/12/7-2030/12/7</w:t>
            </w:r>
          </w:p>
        </w:tc>
        <w:tc>
          <w:tcPr>
            <w:tcW w:w="819" w:type="dxa"/>
            <w:vMerge w:val="continue"/>
            <w:tcBorders>
              <w:left w:val="single" w:color="auto" w:sz="4" w:space="0"/>
              <w:right w:val="single" w:color="auto" w:sz="4" w:space="0"/>
            </w:tcBorders>
            <w:vAlign w:val="center"/>
          </w:tcPr>
          <w:p w14:paraId="77E97272">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1360394491"/>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5C6BB4E7">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853923846"/>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0E6228E9">
                <w:pPr>
                  <w:jc w:val="center"/>
                  <w:rPr>
                    <w:rFonts w:ascii="Calibri" w:hAnsi="Calibri"/>
                    <w:sz w:val="20"/>
                    <w:szCs w:val="20"/>
                  </w:rPr>
                </w:pPr>
                <w:r>
                  <w:rPr>
                    <w:rFonts w:ascii="Calibri" w:hAnsi="Calibri"/>
                    <w:sz w:val="20"/>
                    <w:szCs w:val="20"/>
                  </w:rPr>
                  <w:t>否</w:t>
                </w:r>
              </w:p>
            </w:tc>
          </w:sdtContent>
        </w:sdt>
      </w:tr>
      <w:tr w14:paraId="7528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71D52FD7">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7CB3BCC0">
            <w:pPr>
              <w:pStyle w:val="48"/>
              <w:jc w:val="right"/>
              <w:rPr>
                <w:rFonts w:ascii="Times New Roman" w:hAnsi="Times New Roman"/>
                <w:sz w:val="20"/>
                <w:szCs w:val="20"/>
              </w:rPr>
            </w:pPr>
            <w:r>
              <w:rPr>
                <w:rFonts w:ascii="Times New Roman" w:hAnsi="Times New Roman"/>
                <w:sz w:val="20"/>
                <w:szCs w:val="20"/>
              </w:rPr>
              <w:t>8,000.00</w:t>
            </w:r>
          </w:p>
        </w:tc>
        <w:tc>
          <w:tcPr>
            <w:tcW w:w="1418" w:type="dxa"/>
            <w:tcBorders>
              <w:top w:val="single" w:color="auto" w:sz="4" w:space="0"/>
              <w:left w:val="single" w:color="auto" w:sz="4" w:space="0"/>
              <w:bottom w:val="single" w:color="auto" w:sz="4" w:space="0"/>
              <w:right w:val="single" w:color="auto" w:sz="4" w:space="0"/>
            </w:tcBorders>
            <w:vAlign w:val="center"/>
          </w:tcPr>
          <w:p w14:paraId="72C4CF8A">
            <w:pPr>
              <w:jc w:val="center"/>
              <w:rPr>
                <w:rFonts w:ascii="Calibri" w:hAnsi="Calibri"/>
                <w:sz w:val="20"/>
                <w:szCs w:val="20"/>
              </w:rPr>
            </w:pPr>
            <w:r>
              <w:rPr>
                <w:rFonts w:ascii="Calibri" w:hAnsi="Calibri"/>
                <w:sz w:val="20"/>
                <w:szCs w:val="20"/>
              </w:rPr>
              <w:t>流动资金周转</w:t>
            </w:r>
          </w:p>
        </w:tc>
        <w:tc>
          <w:tcPr>
            <w:tcW w:w="2268" w:type="dxa"/>
            <w:tcBorders>
              <w:top w:val="single" w:color="auto" w:sz="4" w:space="0"/>
              <w:left w:val="single" w:color="auto" w:sz="4" w:space="0"/>
              <w:bottom w:val="single" w:color="auto" w:sz="4" w:space="0"/>
              <w:right w:val="single" w:color="auto" w:sz="4" w:space="0"/>
            </w:tcBorders>
            <w:vAlign w:val="center"/>
          </w:tcPr>
          <w:p w14:paraId="121C5DEF">
            <w:pPr>
              <w:jc w:val="center"/>
              <w:rPr>
                <w:rFonts w:ascii="Calibri" w:hAnsi="Calibri"/>
                <w:sz w:val="20"/>
                <w:szCs w:val="20"/>
              </w:rPr>
            </w:pPr>
            <w:r>
              <w:rPr>
                <w:rFonts w:ascii="Calibri" w:hAnsi="Calibri"/>
                <w:sz w:val="20"/>
                <w:szCs w:val="20"/>
              </w:rPr>
              <w:t>2024/1/10-2030/1/10</w:t>
            </w:r>
          </w:p>
        </w:tc>
        <w:tc>
          <w:tcPr>
            <w:tcW w:w="819" w:type="dxa"/>
            <w:vMerge w:val="continue"/>
            <w:tcBorders>
              <w:left w:val="single" w:color="auto" w:sz="4" w:space="0"/>
              <w:right w:val="single" w:color="auto" w:sz="4" w:space="0"/>
            </w:tcBorders>
            <w:vAlign w:val="center"/>
          </w:tcPr>
          <w:p w14:paraId="3D7912FE">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978991975"/>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76B27F10">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2136981229"/>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4AFB8AFE">
                <w:pPr>
                  <w:jc w:val="center"/>
                  <w:rPr>
                    <w:rFonts w:ascii="Calibri" w:hAnsi="Calibri"/>
                    <w:sz w:val="20"/>
                    <w:szCs w:val="20"/>
                  </w:rPr>
                </w:pPr>
                <w:r>
                  <w:rPr>
                    <w:rFonts w:ascii="Calibri" w:hAnsi="Calibri"/>
                    <w:sz w:val="20"/>
                    <w:szCs w:val="20"/>
                  </w:rPr>
                  <w:t>否</w:t>
                </w:r>
              </w:p>
            </w:tc>
          </w:sdtContent>
        </w:sdt>
      </w:tr>
      <w:tr w14:paraId="5006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right w:val="single" w:color="auto" w:sz="4" w:space="0"/>
            </w:tcBorders>
            <w:vAlign w:val="center"/>
          </w:tcPr>
          <w:p w14:paraId="4B55BCA4">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1D087BC1">
            <w:pPr>
              <w:pStyle w:val="48"/>
              <w:jc w:val="right"/>
              <w:rPr>
                <w:rFonts w:ascii="Times New Roman" w:hAnsi="Times New Roman"/>
                <w:sz w:val="20"/>
                <w:szCs w:val="20"/>
              </w:rPr>
            </w:pPr>
            <w:r>
              <w:rPr>
                <w:rFonts w:ascii="Times New Roman" w:hAnsi="Times New Roman"/>
                <w:sz w:val="20"/>
                <w:szCs w:val="20"/>
              </w:rPr>
              <w:t>10,000.00</w:t>
            </w:r>
          </w:p>
        </w:tc>
        <w:tc>
          <w:tcPr>
            <w:tcW w:w="1418" w:type="dxa"/>
            <w:tcBorders>
              <w:top w:val="single" w:color="auto" w:sz="4" w:space="0"/>
              <w:left w:val="single" w:color="auto" w:sz="4" w:space="0"/>
              <w:bottom w:val="single" w:color="auto" w:sz="4" w:space="0"/>
              <w:right w:val="single" w:color="auto" w:sz="4" w:space="0"/>
            </w:tcBorders>
            <w:vAlign w:val="center"/>
          </w:tcPr>
          <w:p w14:paraId="4E518ACC">
            <w:pPr>
              <w:jc w:val="center"/>
              <w:rPr>
                <w:rFonts w:ascii="Calibri" w:hAnsi="Calibri"/>
                <w:sz w:val="20"/>
                <w:szCs w:val="20"/>
              </w:rPr>
            </w:pPr>
            <w:r>
              <w:rPr>
                <w:rFonts w:ascii="Calibri" w:hAnsi="Calibri"/>
                <w:sz w:val="20"/>
                <w:szCs w:val="20"/>
              </w:rPr>
              <w:t>偿还债务</w:t>
            </w:r>
          </w:p>
        </w:tc>
        <w:tc>
          <w:tcPr>
            <w:tcW w:w="2268" w:type="dxa"/>
            <w:tcBorders>
              <w:top w:val="single" w:color="auto" w:sz="4" w:space="0"/>
              <w:left w:val="single" w:color="auto" w:sz="4" w:space="0"/>
              <w:bottom w:val="single" w:color="auto" w:sz="4" w:space="0"/>
              <w:right w:val="single" w:color="auto" w:sz="4" w:space="0"/>
            </w:tcBorders>
            <w:vAlign w:val="center"/>
          </w:tcPr>
          <w:p w14:paraId="5DF14AF7">
            <w:pPr>
              <w:jc w:val="center"/>
              <w:rPr>
                <w:rFonts w:ascii="Calibri" w:hAnsi="Calibri"/>
                <w:sz w:val="20"/>
                <w:szCs w:val="20"/>
              </w:rPr>
            </w:pPr>
            <w:r>
              <w:rPr>
                <w:rFonts w:ascii="Calibri" w:hAnsi="Calibri"/>
                <w:sz w:val="20"/>
                <w:szCs w:val="20"/>
              </w:rPr>
              <w:t>2025/3/25-2035/3/25</w:t>
            </w:r>
          </w:p>
        </w:tc>
        <w:tc>
          <w:tcPr>
            <w:tcW w:w="819" w:type="dxa"/>
            <w:vMerge w:val="continue"/>
            <w:tcBorders>
              <w:left w:val="single" w:color="auto" w:sz="4" w:space="0"/>
              <w:right w:val="single" w:color="auto" w:sz="4" w:space="0"/>
            </w:tcBorders>
            <w:vAlign w:val="center"/>
          </w:tcPr>
          <w:p w14:paraId="4FDB085D">
            <w:pPr>
              <w:rPr>
                <w:rFonts w:ascii="Calibri" w:hAnsi="Calibri"/>
                <w:sz w:val="20"/>
                <w:szCs w:val="20"/>
              </w:rPr>
            </w:pPr>
          </w:p>
        </w:tc>
        <w:sdt>
          <w:sdtPr>
            <w:alias w:val="公司控股股东或第一大股东及其一致行动人累计质押股份数量情况明细_是否存在偿债或平仓风险"/>
            <w:tag w:val="_GBC_f926da632ef948e3ab067f8dde9194ef"/>
            <w:id w:val="-102122443"/>
            <w:comboBox>
              <w:listItem w:displayText="是" w:value="是"/>
              <w:listItem w:displayText="否" w:value="否"/>
            </w:comboBox>
          </w:sdtPr>
          <w:sdtContent>
            <w:tc>
              <w:tcPr>
                <w:tcW w:w="1134" w:type="dxa"/>
                <w:tcBorders>
                  <w:top w:val="single" w:color="auto" w:sz="4" w:space="0"/>
                  <w:left w:val="single" w:color="auto" w:sz="4" w:space="0"/>
                  <w:bottom w:val="single" w:color="auto" w:sz="4" w:space="0"/>
                  <w:right w:val="single" w:color="auto" w:sz="4" w:space="0"/>
                </w:tcBorders>
                <w:vAlign w:val="center"/>
              </w:tcPr>
              <w:p w14:paraId="77E7AF6B">
                <w:pPr>
                  <w:jc w:val="center"/>
                  <w:rPr>
                    <w:rFonts w:ascii="Calibri" w:hAnsi="Calibri"/>
                    <w:sz w:val="20"/>
                    <w:szCs w:val="20"/>
                  </w:rPr>
                </w:pPr>
                <w:r>
                  <w:rPr>
                    <w:rFonts w:ascii="Calibri" w:hAnsi="Calibri"/>
                    <w:sz w:val="20"/>
                    <w:szCs w:val="20"/>
                  </w:rPr>
                  <w:t>否</w:t>
                </w:r>
              </w:p>
            </w:tc>
          </w:sdtContent>
        </w:sdt>
        <w:sdt>
          <w:sdtPr>
            <w:alias w:val="公司控股股东或第一大股东及其一致行动人累计质押股份数量情况明细_是否影响公司控制权稳定"/>
            <w:tag w:val="_GBC_d9ffdc32c2824bbab30a948992a25fb9"/>
            <w:id w:val="-1464738212"/>
            <w:comboBox>
              <w:listItem w:displayText="是" w:value="是"/>
              <w:listItem w:displayText="否" w:value="否"/>
            </w:comboBox>
          </w:sdtPr>
          <w:sdtContent>
            <w:tc>
              <w:tcPr>
                <w:tcW w:w="1143" w:type="dxa"/>
                <w:tcBorders>
                  <w:top w:val="single" w:color="auto" w:sz="4" w:space="0"/>
                  <w:left w:val="single" w:color="auto" w:sz="4" w:space="0"/>
                  <w:bottom w:val="single" w:color="auto" w:sz="4" w:space="0"/>
                  <w:right w:val="single" w:color="auto" w:sz="4" w:space="0"/>
                </w:tcBorders>
                <w:vAlign w:val="center"/>
              </w:tcPr>
              <w:p w14:paraId="255A6ADD">
                <w:pPr>
                  <w:jc w:val="center"/>
                  <w:rPr>
                    <w:rFonts w:ascii="Calibri" w:hAnsi="Calibri"/>
                    <w:sz w:val="20"/>
                    <w:szCs w:val="20"/>
                  </w:rPr>
                </w:pPr>
                <w:r>
                  <w:rPr>
                    <w:rFonts w:ascii="Calibri" w:hAnsi="Calibri"/>
                    <w:sz w:val="20"/>
                    <w:szCs w:val="20"/>
                  </w:rPr>
                  <w:t>否</w:t>
                </w:r>
              </w:p>
            </w:tc>
          </w:sdtContent>
        </w:sdt>
      </w:tr>
      <w:tr w14:paraId="01A5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29" w:type="dxa"/>
            <w:vMerge w:val="continue"/>
            <w:tcBorders>
              <w:left w:val="single" w:color="auto" w:sz="4" w:space="0"/>
              <w:bottom w:val="single" w:color="auto" w:sz="4" w:space="0"/>
              <w:right w:val="single" w:color="auto" w:sz="4" w:space="0"/>
            </w:tcBorders>
            <w:vAlign w:val="center"/>
          </w:tcPr>
          <w:p w14:paraId="06411321">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5EF59CC7">
            <w:pPr>
              <w:pStyle w:val="48"/>
              <w:jc w:val="right"/>
              <w:rPr>
                <w:rFonts w:ascii="Times New Roman" w:hAnsi="Times New Roman"/>
                <w:sz w:val="20"/>
                <w:szCs w:val="20"/>
              </w:rPr>
            </w:pPr>
            <w:r>
              <w:rPr>
                <w:rFonts w:ascii="Times New Roman" w:hAnsi="Times New Roman"/>
                <w:sz w:val="20"/>
                <w:szCs w:val="20"/>
              </w:rPr>
              <w:t>10,995.60</w:t>
            </w:r>
          </w:p>
        </w:tc>
        <w:tc>
          <w:tcPr>
            <w:tcW w:w="1418" w:type="dxa"/>
            <w:tcBorders>
              <w:top w:val="single" w:color="auto" w:sz="4" w:space="0"/>
              <w:left w:val="single" w:color="auto" w:sz="4" w:space="0"/>
              <w:bottom w:val="single" w:color="auto" w:sz="4" w:space="0"/>
              <w:right w:val="single" w:color="auto" w:sz="4" w:space="0"/>
            </w:tcBorders>
            <w:vAlign w:val="center"/>
          </w:tcPr>
          <w:p w14:paraId="0FD6DE8F">
            <w:pPr>
              <w:jc w:val="center"/>
              <w:rPr>
                <w:rFonts w:ascii="Calibri" w:hAnsi="Calibri"/>
                <w:sz w:val="20"/>
                <w:szCs w:val="20"/>
              </w:rPr>
            </w:pPr>
            <w:r>
              <w:rPr>
                <w:rFonts w:hint="eastAsia" w:ascii="Calibri" w:hAnsi="Calibri"/>
                <w:sz w:val="20"/>
                <w:szCs w:val="20"/>
              </w:rPr>
              <w:t>补充流动资金</w:t>
            </w:r>
          </w:p>
        </w:tc>
        <w:tc>
          <w:tcPr>
            <w:tcW w:w="2268" w:type="dxa"/>
            <w:tcBorders>
              <w:top w:val="single" w:color="auto" w:sz="4" w:space="0"/>
              <w:left w:val="single" w:color="auto" w:sz="4" w:space="0"/>
              <w:bottom w:val="single" w:color="auto" w:sz="4" w:space="0"/>
              <w:right w:val="single" w:color="auto" w:sz="4" w:space="0"/>
            </w:tcBorders>
            <w:vAlign w:val="center"/>
          </w:tcPr>
          <w:p w14:paraId="748CA63B">
            <w:pPr>
              <w:jc w:val="center"/>
              <w:rPr>
                <w:rFonts w:ascii="Calibri" w:hAnsi="Calibri"/>
                <w:sz w:val="20"/>
                <w:szCs w:val="20"/>
              </w:rPr>
            </w:pPr>
            <w:r>
              <w:rPr>
                <w:rFonts w:ascii="Calibri" w:hAnsi="Calibri"/>
                <w:sz w:val="20"/>
                <w:szCs w:val="20"/>
              </w:rPr>
              <w:t>2026/1/6-2030/12/31</w:t>
            </w:r>
          </w:p>
        </w:tc>
        <w:tc>
          <w:tcPr>
            <w:tcW w:w="819" w:type="dxa"/>
            <w:vMerge w:val="continue"/>
            <w:tcBorders>
              <w:left w:val="single" w:color="auto" w:sz="4" w:space="0"/>
              <w:bottom w:val="single" w:color="auto" w:sz="4" w:space="0"/>
              <w:right w:val="single" w:color="auto" w:sz="4" w:space="0"/>
            </w:tcBorders>
            <w:vAlign w:val="center"/>
          </w:tcPr>
          <w:p w14:paraId="06406E96">
            <w:pPr>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7434EFB2">
            <w:pPr>
              <w:jc w:val="center"/>
              <w:rPr>
                <w:rFonts w:ascii="Calibri" w:hAnsi="Calibri"/>
                <w:sz w:val="20"/>
                <w:szCs w:val="20"/>
              </w:rPr>
            </w:pPr>
            <w:r>
              <w:rPr>
                <w:rFonts w:ascii="Calibri" w:hAnsi="Calibri"/>
                <w:sz w:val="20"/>
                <w:szCs w:val="20"/>
              </w:rPr>
              <w:t>否</w:t>
            </w:r>
          </w:p>
        </w:tc>
        <w:tc>
          <w:tcPr>
            <w:tcW w:w="1143" w:type="dxa"/>
            <w:tcBorders>
              <w:top w:val="single" w:color="auto" w:sz="4" w:space="0"/>
              <w:left w:val="single" w:color="auto" w:sz="4" w:space="0"/>
              <w:bottom w:val="single" w:color="auto" w:sz="4" w:space="0"/>
              <w:right w:val="single" w:color="auto" w:sz="4" w:space="0"/>
            </w:tcBorders>
            <w:vAlign w:val="center"/>
          </w:tcPr>
          <w:p w14:paraId="10CCC125">
            <w:pPr>
              <w:jc w:val="center"/>
              <w:rPr>
                <w:rFonts w:ascii="Calibri" w:hAnsi="Calibri"/>
                <w:sz w:val="20"/>
                <w:szCs w:val="20"/>
              </w:rPr>
            </w:pPr>
            <w:r>
              <w:rPr>
                <w:rFonts w:ascii="Calibri" w:hAnsi="Calibri"/>
                <w:sz w:val="20"/>
                <w:szCs w:val="20"/>
              </w:rPr>
              <w:t>否</w:t>
            </w:r>
          </w:p>
        </w:tc>
      </w:tr>
    </w:tbl>
    <w:p w14:paraId="6B194F0F"/>
    <w:p w14:paraId="2F5ACCE5">
      <w:pPr>
        <w:pStyle w:val="3"/>
        <w:numPr>
          <w:ilvl w:val="0"/>
          <w:numId w:val="42"/>
        </w:numPr>
      </w:pPr>
      <w:r>
        <w:rPr>
          <w:rFonts w:hint="eastAsia"/>
        </w:rPr>
        <w:t>其他持股在百分之十以上的法人股东</w:t>
      </w:r>
    </w:p>
    <w:sdt>
      <w:sdtPr>
        <w:alias w:val="是否适用：其他持股在百分之十以上的法人股东[双击切换]"/>
        <w:tag w:val="_GBC_7c5d05f2d72d4d3c9ef6e9b93777b39f"/>
        <w:id w:val="-450086118"/>
        <w:placeholder>
          <w:docPart w:val="GBC22222222222222222222222222222"/>
        </w:placeholder>
      </w:sdtPr>
      <w:sdtContent>
        <w:p w14:paraId="48A81105">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5899E14">
      <w:pPr>
        <w:pStyle w:val="48"/>
      </w:pPr>
    </w:p>
    <w:p w14:paraId="39B719A1">
      <w:pPr>
        <w:pStyle w:val="3"/>
        <w:numPr>
          <w:ilvl w:val="0"/>
          <w:numId w:val="42"/>
        </w:numPr>
      </w:pPr>
      <w:r>
        <w:rPr>
          <w:rFonts w:hint="eastAsia"/>
        </w:rPr>
        <w:t>股份限制减持情况说明</w:t>
      </w:r>
    </w:p>
    <w:p w14:paraId="3A2FC413">
      <w:pPr>
        <w:pStyle w:val="48"/>
      </w:pPr>
      <w:sdt>
        <w:sdtPr>
          <w:rPr>
            <w:rFonts w:hint="eastAsia"/>
          </w:rPr>
          <w:alias w:val="是否适用：股份限制减持情况说明[双击切换]"/>
          <w:tag w:val="_GBC_38db60098ddc4e12bffd328b521e0c35"/>
          <w:id w:val="-1414545341"/>
          <w:placeholder>
            <w:docPart w:val="GBC22222222222222222222222222222"/>
          </w:placeholder>
        </w:sdtPr>
        <w:sdtEndPr>
          <w:rPr>
            <w:rFonts w:hint="default"/>
          </w:rPr>
        </w:sdtEnd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6BA8B4A8">
      <w:pPr>
        <w:pStyle w:val="48"/>
      </w:pPr>
    </w:p>
    <w:p w14:paraId="2C49C732">
      <w:pPr>
        <w:pStyle w:val="3"/>
        <w:numPr>
          <w:ilvl w:val="0"/>
          <w:numId w:val="42"/>
        </w:numPr>
      </w:pPr>
      <w:bookmarkStart w:id="179" w:name="_Hlk90042255"/>
      <w:bookmarkStart w:id="180" w:name="_Hlk89353439"/>
      <w:r>
        <w:rPr>
          <w:rFonts w:hint="eastAsia"/>
        </w:rPr>
        <w:t>股份回购在报告期的具体实施情况</w:t>
      </w:r>
    </w:p>
    <w:sdt>
      <w:sdtPr>
        <w:rPr>
          <w:rFonts w:hint="eastAsia"/>
        </w:rPr>
        <w:alias w:val="是否适用：股份回购在报告期的具体实施情况[双击切换]"/>
        <w:tag w:val="_GBC_382f884c74d74cfd9a74c18c52645b0e"/>
        <w:id w:val="893308347"/>
        <w:placeholder>
          <w:docPart w:val="GBC22222222222222222222222222222"/>
        </w:placeholder>
      </w:sdtPr>
      <w:sdtEndPr>
        <w:rPr>
          <w:rFonts w:hint="eastAsia"/>
        </w:rPr>
      </w:sdtEndPr>
      <w:sdtContent>
        <w:p w14:paraId="3925B7EB">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04FBEA5">
      <w:pPr>
        <w:jc w:val="right"/>
      </w:pPr>
      <w:r>
        <w:rPr>
          <w:rFonts w:hint="eastAsia"/>
        </w:rPr>
        <w:t>单位：</w:t>
      </w:r>
      <w:sdt>
        <w:sdtPr>
          <w:rPr>
            <w:rFonts w:hint="eastAsia"/>
          </w:rPr>
          <w:alias w:val="单位：股份回购在报告期的具体实施情况"/>
          <w:tag w:val="_GBC_21792546ad004ee39a278a585bed9af7"/>
          <w:id w:val="-67703428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 xml:space="preserve">  币种：</w:t>
      </w:r>
      <w:sdt>
        <w:sdtPr>
          <w:rPr>
            <w:rFonts w:hint="eastAsia"/>
          </w:rPr>
          <w:alias w:val="币种：股份回购在报告期的具体实施情况"/>
          <w:tag w:val="_GBC_d28ce55fd5d44a2a8978fe14c4fed7a0"/>
          <w:id w:val="8261022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5367"/>
      </w:tblGrid>
      <w:tr w14:paraId="4EB5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tag w:val="_PLD_b8991132154646319b355a22c4f93ad1"/>
            <w:id w:val="749928158"/>
          </w:sdtPr>
          <w:sdtContent>
            <w:tc>
              <w:tcPr>
                <w:tcW w:w="3681" w:type="dxa"/>
                <w:vAlign w:val="center"/>
              </w:tcPr>
              <w:p w14:paraId="7129657F">
                <w:pPr>
                  <w:widowControl w:val="0"/>
                  <w:jc w:val="both"/>
                  <w:rPr>
                    <w:rFonts w:ascii="Calibri" w:hAnsi="Calibri"/>
                    <w:sz w:val="20"/>
                    <w:szCs w:val="20"/>
                  </w:rPr>
                </w:pPr>
                <w:r>
                  <w:rPr>
                    <w:rFonts w:hint="eastAsia" w:ascii="Calibri" w:hAnsi="Calibri"/>
                    <w:sz w:val="20"/>
                    <w:szCs w:val="20"/>
                  </w:rPr>
                  <w:t>回购股份方案名称</w:t>
                </w:r>
              </w:p>
            </w:tc>
          </w:sdtContent>
        </w:sdt>
        <w:sdt>
          <w:sdtPr>
            <w:alias w:val="回购股份方案名称"/>
            <w:tag w:val="_GBC_4613feedd9fa4680b4c5e8a18b0d9a89"/>
            <w:id w:val="-102422177"/>
          </w:sdtPr>
          <w:sdtContent>
            <w:tc>
              <w:tcPr>
                <w:tcW w:w="5367" w:type="dxa"/>
                <w:vAlign w:val="center"/>
              </w:tcPr>
              <w:p w14:paraId="61B980B5">
                <w:pPr>
                  <w:widowControl w:val="0"/>
                  <w:jc w:val="right"/>
                  <w:rPr>
                    <w:rFonts w:ascii="Calibri" w:hAnsi="Calibri"/>
                    <w:sz w:val="20"/>
                    <w:szCs w:val="20"/>
                  </w:rPr>
                </w:pPr>
                <w:r>
                  <w:rPr>
                    <w:rFonts w:hint="eastAsia" w:ascii="Calibri" w:hAnsi="Calibri"/>
                    <w:sz w:val="20"/>
                    <w:szCs w:val="20"/>
                  </w:rPr>
                  <w:t>以集中竞价交易方式回购公司股份方案</w:t>
                </w:r>
              </w:p>
            </w:tc>
          </w:sdtContent>
        </w:sdt>
      </w:tr>
      <w:tr w14:paraId="7E0D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3681" w:type="dxa"/>
            <w:vAlign w:val="center"/>
          </w:tcPr>
          <w:p w14:paraId="2A3AE3F1">
            <w:pPr>
              <w:widowControl w:val="0"/>
              <w:jc w:val="both"/>
              <w:rPr>
                <w:rFonts w:ascii="Calibri" w:hAnsi="Calibri"/>
                <w:sz w:val="20"/>
                <w:szCs w:val="20"/>
              </w:rPr>
            </w:pPr>
            <w:r>
              <w:rPr>
                <w:rFonts w:hint="eastAsia" w:ascii="Calibri" w:hAnsi="Calibri"/>
                <w:sz w:val="20"/>
                <w:szCs w:val="20"/>
              </w:rPr>
              <w:t>回购股份方案披露时间</w:t>
            </w:r>
          </w:p>
        </w:tc>
        <w:tc>
          <w:tcPr>
            <w:tcW w:w="5367" w:type="dxa"/>
            <w:vAlign w:val="center"/>
          </w:tcPr>
          <w:p w14:paraId="3A4CA217">
            <w:pPr>
              <w:widowControl w:val="0"/>
              <w:jc w:val="right"/>
              <w:rPr>
                <w:rFonts w:ascii="Calibri" w:hAnsi="Calibri"/>
                <w:sz w:val="20"/>
                <w:szCs w:val="20"/>
              </w:rPr>
            </w:pPr>
            <w:r>
              <w:rPr>
                <w:rFonts w:hint="eastAsia" w:ascii="Calibri" w:hAnsi="Calibri"/>
                <w:sz w:val="20"/>
                <w:szCs w:val="20"/>
              </w:rPr>
              <w:t>2025年10月18日</w:t>
            </w:r>
          </w:p>
        </w:tc>
      </w:tr>
      <w:tr w14:paraId="3366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3681" w:type="dxa"/>
            <w:tcBorders>
              <w:top w:val="single" w:color="auto" w:sz="4" w:space="0"/>
              <w:left w:val="single" w:color="auto" w:sz="4" w:space="0"/>
              <w:bottom w:val="single" w:color="auto" w:sz="4" w:space="0"/>
              <w:right w:val="single" w:color="auto" w:sz="4" w:space="0"/>
            </w:tcBorders>
            <w:vAlign w:val="center"/>
          </w:tcPr>
          <w:p w14:paraId="33AD3B29">
            <w:pPr>
              <w:widowControl w:val="0"/>
              <w:jc w:val="both"/>
              <w:rPr>
                <w:rFonts w:ascii="Calibri" w:hAnsi="Calibri"/>
                <w:sz w:val="20"/>
                <w:szCs w:val="20"/>
              </w:rPr>
            </w:pPr>
            <w:r>
              <w:rPr>
                <w:rFonts w:hint="eastAsia" w:ascii="Calibri" w:hAnsi="Calibri"/>
                <w:sz w:val="20"/>
                <w:szCs w:val="20"/>
              </w:rPr>
              <w:t>拟回购股份数量及占总股本的比例(%)</w:t>
            </w:r>
          </w:p>
        </w:tc>
        <w:tc>
          <w:tcPr>
            <w:tcW w:w="5367" w:type="dxa"/>
            <w:tcBorders>
              <w:top w:val="single" w:color="auto" w:sz="4" w:space="0"/>
              <w:left w:val="single" w:color="auto" w:sz="4" w:space="0"/>
              <w:bottom w:val="single" w:color="auto" w:sz="4" w:space="0"/>
              <w:right w:val="single" w:color="auto" w:sz="4" w:space="0"/>
            </w:tcBorders>
            <w:vAlign w:val="center"/>
          </w:tcPr>
          <w:p w14:paraId="2ABE6C70">
            <w:pPr>
              <w:widowControl w:val="0"/>
              <w:jc w:val="right"/>
              <w:rPr>
                <w:rFonts w:ascii="Calibri" w:hAnsi="Calibri"/>
                <w:sz w:val="20"/>
                <w:szCs w:val="20"/>
              </w:rPr>
            </w:pPr>
            <w:r>
              <w:rPr>
                <w:rFonts w:ascii="Calibri" w:hAnsi="Calibri"/>
                <w:sz w:val="20"/>
                <w:szCs w:val="20"/>
              </w:rPr>
              <w:t>200</w:t>
            </w:r>
            <w:r>
              <w:rPr>
                <w:rFonts w:hint="eastAsia" w:ascii="Calibri" w:hAnsi="Calibri"/>
                <w:sz w:val="20"/>
                <w:szCs w:val="20"/>
              </w:rPr>
              <w:t>万股~</w:t>
            </w:r>
            <w:r>
              <w:rPr>
                <w:rFonts w:ascii="Calibri" w:hAnsi="Calibri"/>
                <w:sz w:val="20"/>
                <w:szCs w:val="20"/>
              </w:rPr>
              <w:t>400</w:t>
            </w:r>
            <w:r>
              <w:rPr>
                <w:rFonts w:hint="eastAsia" w:ascii="Calibri" w:hAnsi="Calibri"/>
                <w:sz w:val="20"/>
                <w:szCs w:val="20"/>
              </w:rPr>
              <w:t>万股；0</w:t>
            </w:r>
            <w:r>
              <w:rPr>
                <w:rFonts w:ascii="Calibri" w:hAnsi="Calibri"/>
                <w:sz w:val="20"/>
                <w:szCs w:val="20"/>
              </w:rPr>
              <w:t>.10</w:t>
            </w:r>
            <w:r>
              <w:rPr>
                <w:rFonts w:hint="eastAsia" w:ascii="Calibri" w:hAnsi="Calibri"/>
                <w:sz w:val="20"/>
                <w:szCs w:val="20"/>
              </w:rPr>
              <w:t>~</w:t>
            </w:r>
            <w:r>
              <w:rPr>
                <w:rFonts w:ascii="Calibri" w:hAnsi="Calibri"/>
                <w:sz w:val="20"/>
                <w:szCs w:val="20"/>
              </w:rPr>
              <w:t>0.20</w:t>
            </w:r>
          </w:p>
        </w:tc>
      </w:tr>
      <w:tr w14:paraId="5204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3681" w:type="dxa"/>
            <w:tcBorders>
              <w:top w:val="single" w:color="auto" w:sz="4" w:space="0"/>
              <w:left w:val="single" w:color="auto" w:sz="4" w:space="0"/>
              <w:bottom w:val="single" w:color="auto" w:sz="4" w:space="0"/>
              <w:right w:val="single" w:color="auto" w:sz="4" w:space="0"/>
            </w:tcBorders>
            <w:vAlign w:val="center"/>
          </w:tcPr>
          <w:p w14:paraId="29E9BC9E">
            <w:pPr>
              <w:widowControl w:val="0"/>
              <w:jc w:val="both"/>
              <w:rPr>
                <w:rFonts w:ascii="Calibri" w:hAnsi="Calibri"/>
                <w:sz w:val="20"/>
                <w:szCs w:val="20"/>
              </w:rPr>
            </w:pPr>
            <w:r>
              <w:rPr>
                <w:rFonts w:hint="eastAsia" w:ascii="Calibri" w:hAnsi="Calibri"/>
                <w:sz w:val="20"/>
                <w:szCs w:val="20"/>
              </w:rPr>
              <w:t>拟回购金额</w:t>
            </w:r>
          </w:p>
        </w:tc>
        <w:tc>
          <w:tcPr>
            <w:tcW w:w="5367" w:type="dxa"/>
            <w:tcBorders>
              <w:top w:val="single" w:color="auto" w:sz="4" w:space="0"/>
              <w:left w:val="single" w:color="auto" w:sz="4" w:space="0"/>
              <w:bottom w:val="single" w:color="auto" w:sz="4" w:space="0"/>
              <w:right w:val="single" w:color="auto" w:sz="4" w:space="0"/>
            </w:tcBorders>
            <w:vAlign w:val="center"/>
          </w:tcPr>
          <w:p w14:paraId="33C590BC">
            <w:pPr>
              <w:widowControl w:val="0"/>
              <w:jc w:val="right"/>
              <w:rPr>
                <w:rFonts w:ascii="Calibri" w:hAnsi="Calibri"/>
                <w:sz w:val="20"/>
                <w:szCs w:val="20"/>
              </w:rPr>
            </w:pPr>
            <w:r>
              <w:rPr>
                <w:rFonts w:hint="eastAsia" w:ascii="Calibri" w:hAnsi="Calibri"/>
                <w:sz w:val="20"/>
                <w:szCs w:val="20"/>
              </w:rPr>
              <w:t>2</w:t>
            </w:r>
            <w:r>
              <w:rPr>
                <w:rFonts w:ascii="Calibri" w:hAnsi="Calibri"/>
                <w:sz w:val="20"/>
                <w:szCs w:val="20"/>
              </w:rPr>
              <w:t>,000</w:t>
            </w:r>
            <w:r>
              <w:rPr>
                <w:rFonts w:hint="eastAsia" w:ascii="Calibri" w:hAnsi="Calibri"/>
                <w:sz w:val="20"/>
                <w:szCs w:val="20"/>
              </w:rPr>
              <w:t>~</w:t>
            </w:r>
            <w:r>
              <w:rPr>
                <w:rFonts w:ascii="Calibri" w:hAnsi="Calibri"/>
                <w:sz w:val="20"/>
                <w:szCs w:val="20"/>
              </w:rPr>
              <w:t>4,000</w:t>
            </w:r>
          </w:p>
        </w:tc>
      </w:tr>
      <w:tr w14:paraId="1297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3681" w:type="dxa"/>
            <w:tcBorders>
              <w:top w:val="single" w:color="auto" w:sz="4" w:space="0"/>
              <w:left w:val="single" w:color="auto" w:sz="4" w:space="0"/>
              <w:bottom w:val="single" w:color="auto" w:sz="4" w:space="0"/>
              <w:right w:val="single" w:color="auto" w:sz="4" w:space="0"/>
            </w:tcBorders>
            <w:vAlign w:val="center"/>
          </w:tcPr>
          <w:p w14:paraId="687FF13E">
            <w:pPr>
              <w:widowControl w:val="0"/>
              <w:jc w:val="both"/>
              <w:rPr>
                <w:rFonts w:ascii="Calibri" w:hAnsi="Calibri"/>
                <w:sz w:val="20"/>
                <w:szCs w:val="20"/>
              </w:rPr>
            </w:pPr>
            <w:r>
              <w:rPr>
                <w:rFonts w:hint="eastAsia" w:ascii="Calibri" w:hAnsi="Calibri"/>
                <w:sz w:val="20"/>
                <w:szCs w:val="20"/>
              </w:rPr>
              <w:t>拟回购期间</w:t>
            </w:r>
          </w:p>
        </w:tc>
        <w:tc>
          <w:tcPr>
            <w:tcW w:w="5367" w:type="dxa"/>
            <w:tcBorders>
              <w:top w:val="single" w:color="auto" w:sz="4" w:space="0"/>
              <w:left w:val="single" w:color="auto" w:sz="4" w:space="0"/>
              <w:bottom w:val="single" w:color="auto" w:sz="4" w:space="0"/>
              <w:right w:val="single" w:color="auto" w:sz="4" w:space="0"/>
            </w:tcBorders>
            <w:vAlign w:val="center"/>
          </w:tcPr>
          <w:p w14:paraId="29A995E6">
            <w:pPr>
              <w:widowControl w:val="0"/>
              <w:jc w:val="right"/>
              <w:rPr>
                <w:rFonts w:ascii="Calibri" w:hAnsi="Calibri"/>
                <w:sz w:val="20"/>
                <w:szCs w:val="20"/>
              </w:rPr>
            </w:pPr>
            <w:r>
              <w:rPr>
                <w:rFonts w:hint="eastAsia" w:ascii="Calibri" w:hAnsi="Calibri"/>
                <w:sz w:val="20"/>
                <w:szCs w:val="20"/>
              </w:rPr>
              <w:t>董事会审议通过之日起6个月内（2025年10月17日至2026年4月16日）</w:t>
            </w:r>
          </w:p>
        </w:tc>
      </w:tr>
      <w:tr w14:paraId="1E5D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3681" w:type="dxa"/>
            <w:tcBorders>
              <w:top w:val="single" w:color="auto" w:sz="4" w:space="0"/>
              <w:left w:val="single" w:color="auto" w:sz="4" w:space="0"/>
              <w:bottom w:val="single" w:color="auto" w:sz="4" w:space="0"/>
              <w:right w:val="single" w:color="auto" w:sz="4" w:space="0"/>
            </w:tcBorders>
            <w:vAlign w:val="center"/>
          </w:tcPr>
          <w:p w14:paraId="1A6443B8">
            <w:pPr>
              <w:widowControl w:val="0"/>
              <w:jc w:val="both"/>
              <w:rPr>
                <w:rFonts w:ascii="Calibri" w:hAnsi="Calibri"/>
                <w:sz w:val="20"/>
                <w:szCs w:val="20"/>
              </w:rPr>
            </w:pPr>
            <w:r>
              <w:rPr>
                <w:rFonts w:hint="eastAsia" w:ascii="Calibri" w:hAnsi="Calibri"/>
                <w:sz w:val="20"/>
                <w:szCs w:val="20"/>
              </w:rPr>
              <w:t>回购用途</w:t>
            </w:r>
          </w:p>
        </w:tc>
        <w:tc>
          <w:tcPr>
            <w:tcW w:w="5367" w:type="dxa"/>
            <w:tcBorders>
              <w:top w:val="single" w:color="auto" w:sz="4" w:space="0"/>
              <w:left w:val="single" w:color="auto" w:sz="4" w:space="0"/>
              <w:bottom w:val="single" w:color="auto" w:sz="4" w:space="0"/>
              <w:right w:val="single" w:color="auto" w:sz="4" w:space="0"/>
            </w:tcBorders>
            <w:vAlign w:val="center"/>
          </w:tcPr>
          <w:p w14:paraId="5FFE98A3">
            <w:pPr>
              <w:widowControl w:val="0"/>
              <w:jc w:val="right"/>
              <w:rPr>
                <w:rFonts w:ascii="Calibri" w:hAnsi="Calibri"/>
                <w:sz w:val="20"/>
                <w:szCs w:val="20"/>
              </w:rPr>
            </w:pPr>
            <w:r>
              <w:rPr>
                <w:rFonts w:hint="eastAsia" w:ascii="Calibri" w:hAnsi="Calibri"/>
                <w:sz w:val="20"/>
                <w:szCs w:val="20"/>
              </w:rPr>
              <w:t>用于员工持股计划及/或股权激励</w:t>
            </w:r>
          </w:p>
        </w:tc>
      </w:tr>
      <w:tr w14:paraId="43A6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3681" w:type="dxa"/>
            <w:tcBorders>
              <w:top w:val="single" w:color="auto" w:sz="4" w:space="0"/>
              <w:left w:val="single" w:color="auto" w:sz="4" w:space="0"/>
              <w:bottom w:val="single" w:color="auto" w:sz="4" w:space="0"/>
              <w:right w:val="single" w:color="auto" w:sz="4" w:space="0"/>
            </w:tcBorders>
            <w:vAlign w:val="center"/>
          </w:tcPr>
          <w:p w14:paraId="0A1AA908">
            <w:pPr>
              <w:widowControl w:val="0"/>
              <w:jc w:val="both"/>
              <w:rPr>
                <w:rFonts w:ascii="Calibri" w:hAnsi="Calibri"/>
                <w:sz w:val="20"/>
                <w:szCs w:val="20"/>
              </w:rPr>
            </w:pPr>
            <w:r>
              <w:rPr>
                <w:rFonts w:hint="eastAsia" w:ascii="Calibri" w:hAnsi="Calibri"/>
                <w:sz w:val="20"/>
                <w:szCs w:val="20"/>
              </w:rPr>
              <w:t>已回购数量(股)</w:t>
            </w:r>
          </w:p>
        </w:tc>
        <w:tc>
          <w:tcPr>
            <w:tcW w:w="5367" w:type="dxa"/>
            <w:tcBorders>
              <w:top w:val="single" w:color="auto" w:sz="4" w:space="0"/>
              <w:left w:val="single" w:color="auto" w:sz="4" w:space="0"/>
              <w:bottom w:val="single" w:color="auto" w:sz="4" w:space="0"/>
              <w:right w:val="single" w:color="auto" w:sz="4" w:space="0"/>
            </w:tcBorders>
            <w:vAlign w:val="center"/>
          </w:tcPr>
          <w:p w14:paraId="0357D6A2">
            <w:pPr>
              <w:widowControl w:val="0"/>
              <w:jc w:val="right"/>
              <w:rPr>
                <w:rFonts w:ascii="Calibri" w:hAnsi="Calibri"/>
                <w:sz w:val="20"/>
                <w:szCs w:val="20"/>
              </w:rPr>
            </w:pPr>
            <w:r>
              <w:rPr>
                <w:rFonts w:ascii="Calibri" w:hAnsi="Calibri"/>
                <w:sz w:val="20"/>
                <w:szCs w:val="20"/>
              </w:rPr>
              <w:t>3,000,000</w:t>
            </w:r>
          </w:p>
        </w:tc>
      </w:tr>
      <w:tr w14:paraId="762A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3681" w:type="dxa"/>
            <w:tcBorders>
              <w:top w:val="single" w:color="auto" w:sz="4" w:space="0"/>
              <w:left w:val="single" w:color="auto" w:sz="4" w:space="0"/>
              <w:bottom w:val="single" w:color="auto" w:sz="4" w:space="0"/>
              <w:right w:val="single" w:color="auto" w:sz="4" w:space="0"/>
            </w:tcBorders>
            <w:vAlign w:val="center"/>
          </w:tcPr>
          <w:p w14:paraId="0B3528F2">
            <w:pPr>
              <w:widowControl w:val="0"/>
              <w:jc w:val="both"/>
              <w:rPr>
                <w:rFonts w:ascii="Calibri" w:hAnsi="Calibri"/>
                <w:sz w:val="20"/>
                <w:szCs w:val="20"/>
              </w:rPr>
            </w:pPr>
            <w:r>
              <w:rPr>
                <w:rFonts w:hint="eastAsia" w:ascii="Calibri" w:hAnsi="Calibri"/>
                <w:sz w:val="20"/>
                <w:szCs w:val="20"/>
              </w:rPr>
              <w:t>已回购数量占股权激励计划所涉及的标的股票的比例(%)（如有）</w:t>
            </w:r>
          </w:p>
        </w:tc>
        <w:tc>
          <w:tcPr>
            <w:tcW w:w="5367" w:type="dxa"/>
            <w:tcBorders>
              <w:top w:val="single" w:color="auto" w:sz="4" w:space="0"/>
              <w:left w:val="single" w:color="auto" w:sz="4" w:space="0"/>
              <w:bottom w:val="single" w:color="auto" w:sz="4" w:space="0"/>
              <w:right w:val="single" w:color="auto" w:sz="4" w:space="0"/>
            </w:tcBorders>
            <w:vAlign w:val="center"/>
          </w:tcPr>
          <w:p w14:paraId="6FA75B91">
            <w:pPr>
              <w:widowControl w:val="0"/>
              <w:wordWrap w:val="0"/>
              <w:jc w:val="right"/>
              <w:rPr>
                <w:rFonts w:ascii="Calibri" w:hAnsi="Calibri"/>
                <w:sz w:val="20"/>
                <w:szCs w:val="20"/>
              </w:rPr>
            </w:pPr>
            <w:r>
              <w:rPr>
                <w:rFonts w:hint="eastAsia" w:ascii="Calibri" w:hAnsi="Calibri"/>
                <w:sz w:val="20"/>
                <w:szCs w:val="20"/>
              </w:rPr>
              <w:t>无</w:t>
            </w:r>
          </w:p>
        </w:tc>
      </w:tr>
      <w:tr w14:paraId="5F8D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3681" w:type="dxa"/>
            <w:tcBorders>
              <w:top w:val="single" w:color="auto" w:sz="4" w:space="0"/>
              <w:left w:val="single" w:color="auto" w:sz="4" w:space="0"/>
              <w:bottom w:val="single" w:color="auto" w:sz="4" w:space="0"/>
              <w:right w:val="single" w:color="auto" w:sz="4" w:space="0"/>
            </w:tcBorders>
            <w:vAlign w:val="center"/>
          </w:tcPr>
          <w:p w14:paraId="637A14C2">
            <w:pPr>
              <w:widowControl w:val="0"/>
              <w:jc w:val="both"/>
              <w:rPr>
                <w:rFonts w:ascii="Calibri" w:hAnsi="Calibri"/>
                <w:sz w:val="20"/>
                <w:szCs w:val="20"/>
              </w:rPr>
            </w:pPr>
            <w:r>
              <w:rPr>
                <w:rFonts w:hint="eastAsia" w:ascii="Calibri" w:hAnsi="Calibri"/>
                <w:sz w:val="20"/>
                <w:szCs w:val="20"/>
              </w:rPr>
              <w:t>公司采用集中竞价交易方式减持回购股份的进展情况</w:t>
            </w:r>
          </w:p>
        </w:tc>
        <w:tc>
          <w:tcPr>
            <w:tcW w:w="5367" w:type="dxa"/>
            <w:tcBorders>
              <w:top w:val="single" w:color="auto" w:sz="4" w:space="0"/>
              <w:left w:val="single" w:color="auto" w:sz="4" w:space="0"/>
              <w:bottom w:val="single" w:color="auto" w:sz="4" w:space="0"/>
              <w:right w:val="single" w:color="auto" w:sz="4" w:space="0"/>
            </w:tcBorders>
            <w:vAlign w:val="center"/>
          </w:tcPr>
          <w:p w14:paraId="58048F0C">
            <w:pPr>
              <w:widowControl w:val="0"/>
              <w:jc w:val="right"/>
              <w:rPr>
                <w:rFonts w:ascii="Calibri" w:hAnsi="Calibri"/>
                <w:sz w:val="20"/>
                <w:szCs w:val="20"/>
              </w:rPr>
            </w:pPr>
            <w:r>
              <w:rPr>
                <w:rFonts w:hint="eastAsia" w:ascii="Calibri" w:hAnsi="Calibri"/>
                <w:sz w:val="20"/>
                <w:szCs w:val="20"/>
              </w:rPr>
              <w:t>无</w:t>
            </w:r>
          </w:p>
        </w:tc>
      </w:tr>
    </w:tbl>
    <w:p w14:paraId="77C9BC92">
      <w:pPr>
        <w:pStyle w:val="38"/>
        <w:spacing w:line="360" w:lineRule="auto"/>
        <w:ind w:firstLine="420" w:firstLineChars="200"/>
      </w:pPr>
      <w:r>
        <w:rPr>
          <w:rFonts w:hint="eastAsia"/>
        </w:rPr>
        <w:t>2026年4月10日，公司股份回购计划实施完毕。已实际回购股份3,000,000股，占公司总股本的比例为0.15%，使用资金总额为人民币27,574,286.00元（不含交易费用）。内容详见公司于2</w:t>
      </w:r>
      <w:r>
        <w:t>026</w:t>
      </w:r>
      <w:r>
        <w:rPr>
          <w:rFonts w:hint="eastAsia"/>
        </w:rPr>
        <w:t>年4月1</w:t>
      </w:r>
      <w:r>
        <w:t>1</w:t>
      </w:r>
      <w:r>
        <w:rPr>
          <w:rFonts w:hint="eastAsia"/>
        </w:rPr>
        <w:t>日在中国证券报、上海证券报及上海证券交易所网站（www.sse.com.cn）披露的《通化东宝关于以集中竞价交易方式回购公司股份实施结果暨股份变动公告》（公告编号：202</w:t>
      </w:r>
      <w:r>
        <w:t>6</w:t>
      </w:r>
      <w:r>
        <w:rPr>
          <w:rFonts w:hint="eastAsia"/>
        </w:rPr>
        <w:t>-0</w:t>
      </w:r>
      <w:r>
        <w:t>16</w:t>
      </w:r>
      <w:r>
        <w:rPr>
          <w:rFonts w:hint="eastAsia"/>
        </w:rPr>
        <w:t>）</w:t>
      </w:r>
      <w:r>
        <w:t>。</w:t>
      </w:r>
    </w:p>
    <w:bookmarkEnd w:id="179"/>
    <w:bookmarkEnd w:id="180"/>
    <w:p w14:paraId="2591AF01">
      <w:pPr>
        <w:pStyle w:val="48"/>
      </w:pPr>
    </w:p>
    <w:p w14:paraId="60420E73">
      <w:pPr>
        <w:pStyle w:val="3"/>
        <w:numPr>
          <w:ilvl w:val="0"/>
          <w:numId w:val="42"/>
        </w:numPr>
      </w:pPr>
      <w:r>
        <w:rPr>
          <w:rFonts w:hint="eastAsia" w:ascii="Calibri" w:hAnsi="Calibri"/>
          <w:szCs w:val="22"/>
        </w:rPr>
        <w:t>优先股相关情况</w:t>
      </w:r>
    </w:p>
    <w:sdt>
      <w:sdtPr>
        <w:alias w:val="是否适用：优先股相关情况[双击切换]"/>
        <w:tag w:val="_GBC_0076278996ac412e9bff14977615c2e3"/>
        <w:id w:val="1864175364"/>
        <w:placeholder>
          <w:docPart w:val="GBC22222222222222222222222222222"/>
        </w:placeholder>
      </w:sdtPr>
      <w:sdtContent>
        <w:p w14:paraId="4EAAAC38">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9CCBC15">
      <w:pPr>
        <w:pStyle w:val="48"/>
      </w:pPr>
      <w:bookmarkStart w:id="181" w:name="_Toc342566003"/>
    </w:p>
    <w:p w14:paraId="22429CA3">
      <w:pPr>
        <w:pStyle w:val="48"/>
      </w:pPr>
    </w:p>
    <w:p w14:paraId="1C99EA71">
      <w:pPr>
        <w:sectPr>
          <w:pgSz w:w="11906" w:h="16838"/>
          <w:pgMar w:top="1525" w:right="1276" w:bottom="1440" w:left="1797" w:header="855" w:footer="992" w:gutter="0"/>
          <w:cols w:space="425" w:num="1"/>
          <w:docGrid w:linePitch="312" w:charSpace="0"/>
        </w:sectPr>
      </w:pPr>
    </w:p>
    <w:bookmarkEnd w:id="181"/>
    <w:p w14:paraId="158E22F1">
      <w:pPr>
        <w:pStyle w:val="2"/>
        <w:numPr>
          <w:ilvl w:val="0"/>
          <w:numId w:val="2"/>
        </w:numPr>
      </w:pPr>
      <w:bookmarkStart w:id="182" w:name="_Toc191024262"/>
      <w:bookmarkStart w:id="183" w:name="_Toc437440717"/>
      <w:bookmarkStart w:id="184" w:name="_Hlk90555499"/>
      <w:r>
        <w:rPr>
          <w:rFonts w:hint="eastAsia"/>
        </w:rPr>
        <w:t>债券相关情况</w:t>
      </w:r>
    </w:p>
    <w:bookmarkEnd w:id="182"/>
    <w:bookmarkEnd w:id="183"/>
    <w:p w14:paraId="4BAF692D">
      <w:pPr>
        <w:pStyle w:val="3"/>
        <w:numPr>
          <w:ilvl w:val="0"/>
          <w:numId w:val="50"/>
        </w:numPr>
        <w:ind w:left="425" w:hanging="425"/>
        <w:rPr>
          <w:rFonts w:ascii="宋体" w:hAnsi="宋体"/>
        </w:rPr>
      </w:pPr>
      <w:bookmarkStart w:id="185" w:name="_Hlk89353982"/>
      <w:bookmarkStart w:id="186" w:name="_Hlk89955979"/>
      <w:bookmarkStart w:id="187" w:name="_Hlk90042478"/>
      <w:r>
        <w:rPr>
          <w:rFonts w:hint="eastAsia" w:ascii="宋体" w:hAnsi="宋体"/>
        </w:rPr>
        <w:t>公司债券（含企业债券）和非金融企业债务融资工具</w:t>
      </w:r>
    </w:p>
    <w:sdt>
      <w:sdtPr>
        <w:alias w:val="是否适用：债券相关情况[双击切换]"/>
        <w:tag w:val="_GBC_804ac0b5f8c94edbbb148299204e0a43"/>
        <w:id w:val="1500378661"/>
        <w:placeholder>
          <w:docPart w:val="GBC22222222222222222222222222222"/>
        </w:placeholder>
      </w:sdtPr>
      <w:sdtContent>
        <w:p w14:paraId="7CF8BECD">
          <w:pPr>
            <w:pStyle w:val="48"/>
          </w:pPr>
          <w:bookmarkStart w:id="188" w:name="_Hlk73352152"/>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185"/>
    <w:bookmarkEnd w:id="188"/>
    <w:p w14:paraId="669BEEA1">
      <w:pPr>
        <w:pStyle w:val="48"/>
      </w:pPr>
    </w:p>
    <w:bookmarkEnd w:id="186"/>
    <w:p w14:paraId="16C37762">
      <w:pPr>
        <w:pStyle w:val="3"/>
        <w:numPr>
          <w:ilvl w:val="0"/>
          <w:numId w:val="50"/>
        </w:numPr>
        <w:ind w:left="425" w:hanging="425"/>
        <w:rPr>
          <w:rFonts w:ascii="宋体" w:hAnsi="宋体"/>
        </w:rPr>
      </w:pPr>
      <w:r>
        <w:rPr>
          <w:rFonts w:hint="eastAsia" w:ascii="宋体" w:hAnsi="宋体"/>
        </w:rPr>
        <w:t>可转换公司债券情况</w:t>
      </w:r>
    </w:p>
    <w:sdt>
      <w:sdtPr>
        <w:rPr>
          <w:rFonts w:hint="eastAsia"/>
        </w:rPr>
        <w:alias w:val="是否适用：可转换公司债券情况[双击切换]"/>
        <w:tag w:val="_GBC_9680c57d3e6a4ee9b01aefbd4b8545db"/>
        <w:id w:val="1210297729"/>
        <w:placeholder>
          <w:docPart w:val="GBC22222222222222222222222222222"/>
        </w:placeholder>
      </w:sdtPr>
      <w:sdtEndPr>
        <w:rPr>
          <w:rFonts w:hint="eastAsia"/>
        </w:rPr>
      </w:sdtEndPr>
      <w:sdtContent>
        <w:p w14:paraId="0C9CD35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A9C6EB7">
      <w:pPr>
        <w:pStyle w:val="48"/>
      </w:pPr>
    </w:p>
    <w:p w14:paraId="27B151D9">
      <w:pPr>
        <w:spacing w:line="360" w:lineRule="exact"/>
        <w:ind w:right="5"/>
      </w:pPr>
    </w:p>
    <w:bookmarkEnd w:id="184"/>
    <w:bookmarkEnd w:id="187"/>
    <w:p w14:paraId="56618820">
      <w:pPr>
        <w:spacing w:line="360" w:lineRule="exact"/>
        <w:ind w:right="5"/>
        <w:sectPr>
          <w:pgSz w:w="11906" w:h="16838"/>
          <w:pgMar w:top="1525" w:right="1276" w:bottom="1440" w:left="1797" w:header="856" w:footer="992" w:gutter="0"/>
          <w:cols w:space="425" w:num="1"/>
          <w:docGrid w:linePitch="312" w:charSpace="0"/>
        </w:sectPr>
      </w:pPr>
    </w:p>
    <w:p w14:paraId="268EB9F5">
      <w:pPr>
        <w:spacing w:line="360" w:lineRule="exact"/>
        <w:ind w:right="5"/>
      </w:pPr>
    </w:p>
    <w:p w14:paraId="3BC0467D">
      <w:pPr>
        <w:pStyle w:val="2"/>
        <w:numPr>
          <w:ilvl w:val="0"/>
          <w:numId w:val="2"/>
        </w:numPr>
      </w:pPr>
      <w:bookmarkStart w:id="189" w:name="_Toc191024263"/>
      <w:bookmarkStart w:id="190" w:name="_Toc407111364"/>
      <w:r>
        <w:rPr>
          <w:rFonts w:hint="eastAsia"/>
        </w:rPr>
        <w:t>财务报告</w:t>
      </w:r>
    </w:p>
    <w:bookmarkEnd w:id="189"/>
    <w:bookmarkEnd w:id="190"/>
    <w:p w14:paraId="651A7567">
      <w:pPr>
        <w:pStyle w:val="3"/>
        <w:numPr>
          <w:ilvl w:val="0"/>
          <w:numId w:val="51"/>
        </w:numPr>
        <w:rPr>
          <w:rFonts w:ascii="宋体" w:hAnsi="宋体"/>
        </w:rPr>
      </w:pPr>
      <w:r>
        <w:rPr>
          <w:rFonts w:hint="eastAsia"/>
        </w:rPr>
        <w:t>审计报告</w:t>
      </w:r>
    </w:p>
    <w:sdt>
      <w:sdtPr>
        <w:alias w:val="是否适用：审计报告[双击切换]"/>
        <w:tag w:val="_GBC_8a37b9861aa34a8d89cae86ad0133ffb"/>
        <w:id w:val="-2017984349"/>
        <w:placeholder>
          <w:docPart w:val="GBC22222222222222222222222222222"/>
        </w:placeholder>
      </w:sdtPr>
      <w:sdtContent>
        <w:p w14:paraId="2B73B59E">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Calibri" w:hAnsi="Calibri"/>
          <w:kern w:val="2"/>
          <w:sz w:val="21"/>
        </w:rPr>
        <w:alias w:val="审计报告全文"/>
        <w:tag w:val="_GBC_08aaee8d8997491cb4fc7ef77b493e65"/>
        <w:id w:val="-1278329507"/>
        <w:placeholder>
          <w:docPart w:val="GBC22222222222222222222222222222"/>
        </w:placeholder>
      </w:sdtPr>
      <w:sdtEndPr>
        <w:rPr>
          <w:rFonts w:hint="eastAsia" w:ascii="Calibri" w:hAnsi="Calibri"/>
          <w:kern w:val="2"/>
          <w:sz w:val="21"/>
        </w:rPr>
      </w:sdtEndPr>
      <w:sdtContent>
        <w:p w14:paraId="0A74B27F">
          <w:pPr>
            <w:pStyle w:val="17"/>
            <w:spacing w:before="0" w:beforeAutospacing="0" w:after="0" w:afterAutospacing="0" w:line="460" w:lineRule="atLeast"/>
            <w:jc w:val="center"/>
            <w:outlineLvl w:val="0"/>
            <w:rPr>
              <w:rFonts w:ascii="黑体" w:hAnsi="宋体" w:eastAsia="黑体"/>
              <w:bCs/>
              <w:sz w:val="28"/>
              <w:szCs w:val="28"/>
            </w:rPr>
          </w:pPr>
          <w:r>
            <w:rPr>
              <w:rFonts w:ascii="黑体" w:hAnsi="黑体" w:eastAsia="黑体"/>
              <w:bCs/>
              <w:sz w:val="28"/>
              <w:szCs w:val="28"/>
            </w:rPr>
            <w:t>审计报告</w:t>
          </w:r>
        </w:p>
        <w:p w14:paraId="7B732334">
          <w:pPr>
            <w:spacing w:line="460" w:lineRule="atLeast"/>
            <w:jc w:val="center"/>
            <w:rPr>
              <w:rFonts w:ascii="宋体" w:hAnsi="微软雅黑"/>
              <w:bCs/>
            </w:rPr>
          </w:pPr>
          <w:r>
            <w:rPr>
              <w:rFonts w:ascii="微软雅黑" w:hAnsi="微软雅黑" w:eastAsia="微软雅黑"/>
              <w:bCs/>
            </w:rPr>
            <w:t xml:space="preserve"> </w:t>
          </w:r>
        </w:p>
        <w:p w14:paraId="44B32D24">
          <w:pPr>
            <w:spacing w:line="460" w:lineRule="atLeast"/>
            <w:jc w:val="right"/>
            <w:rPr>
              <w:rFonts w:ascii="宋体" w:hAnsi="宋体" w:cs="宋体"/>
              <w:b/>
              <w:iCs/>
              <w:sz w:val="24"/>
              <w:szCs w:val="24"/>
            </w:rPr>
          </w:pPr>
          <w:r>
            <w:rPr>
              <w:rFonts w:hint="eastAsia" w:ascii="宋体" w:hAnsi="宋体" w:cs="宋体"/>
              <w:b/>
              <w:iCs/>
            </w:rPr>
            <w:t>大信审字[2026]第7-00007号</w:t>
          </w:r>
        </w:p>
        <w:p w14:paraId="3228FDF7">
          <w:pPr>
            <w:spacing w:line="460" w:lineRule="atLeast"/>
            <w:rPr>
              <w:rFonts w:ascii="宋体" w:hAnsi="宋体" w:cs="宋体"/>
              <w:color w:val="0000FF"/>
            </w:rPr>
          </w:pPr>
          <w:r>
            <w:rPr>
              <w:rFonts w:hint="eastAsia" w:ascii="宋体" w:hAnsi="宋体"/>
              <w:b/>
              <w:color w:val="000000"/>
              <w:sz w:val="24"/>
              <w:szCs w:val="24"/>
            </w:rPr>
            <w:t>通化东宝药业股份有限公司</w:t>
          </w:r>
          <w:r>
            <w:rPr>
              <w:rFonts w:hint="eastAsia" w:ascii="宋体" w:hAnsi="宋体" w:cs="宋体"/>
              <w:b/>
              <w:sz w:val="24"/>
              <w:szCs w:val="24"/>
            </w:rPr>
            <w:t>全体股东：</w:t>
          </w:r>
        </w:p>
        <w:p w14:paraId="5C189E13">
          <w:pPr>
            <w:adjustRightInd w:val="0"/>
            <w:snapToGrid w:val="0"/>
            <w:spacing w:before="120" w:beforeLines="50" w:line="460" w:lineRule="atLeast"/>
            <w:ind w:firstLine="420"/>
            <w:rPr>
              <w:rFonts w:ascii="黑体" w:hAnsi="宋体" w:eastAsia="黑体" w:cs="宋体"/>
              <w:sz w:val="24"/>
              <w:szCs w:val="24"/>
            </w:rPr>
          </w:pPr>
          <w:r>
            <w:rPr>
              <w:rFonts w:hint="eastAsia" w:ascii="黑体" w:hAnsi="黑体" w:eastAsia="黑体" w:cs="宋体"/>
              <w:sz w:val="24"/>
              <w:szCs w:val="24"/>
            </w:rPr>
            <w:t>一、审计意见</w:t>
          </w:r>
        </w:p>
        <w:p w14:paraId="5542576D">
          <w:pPr>
            <w:adjustRightInd w:val="0"/>
            <w:snapToGrid w:val="0"/>
            <w:spacing w:line="460" w:lineRule="atLeast"/>
            <w:ind w:firstLine="420"/>
            <w:jc w:val="both"/>
            <w:rPr>
              <w:rFonts w:ascii="宋体" w:hAnsi="宋体" w:cs="宋体"/>
            </w:rPr>
          </w:pPr>
          <w:r>
            <w:rPr>
              <w:rFonts w:hint="eastAsia" w:ascii="宋体" w:hAnsi="宋体" w:cs="宋体"/>
            </w:rPr>
            <w:t>我们审计了通化东宝药业股份有限公司（以下简称“贵公司”）的财务报表，包括2025年12月31日的合并及母公司资产负债表，2025年度的合并及母公司利润表、合并及母公司现金流量表、合并及母公司股东权益变动表以及财务报表附注。</w:t>
          </w:r>
        </w:p>
        <w:p w14:paraId="451427A9">
          <w:pPr>
            <w:adjustRightInd w:val="0"/>
            <w:snapToGrid w:val="0"/>
            <w:spacing w:line="460" w:lineRule="atLeast"/>
            <w:ind w:firstLine="420"/>
            <w:jc w:val="both"/>
            <w:rPr>
              <w:rFonts w:ascii="宋体" w:hAnsi="宋体" w:cs="宋体"/>
            </w:rPr>
          </w:pPr>
          <w:r>
            <w:rPr>
              <w:rFonts w:hint="eastAsia" w:ascii="宋体" w:hAnsi="宋体" w:cs="宋体"/>
            </w:rPr>
            <w:t>我们认为，后附的财务报表在所有重大方面按照企业会计准则的规定编制，公允反映了贵公司2025年12月31日的合并及母公司财务状况以及2025年度的合并及母公司经营成果和合并及母公司现金流量。</w:t>
          </w:r>
        </w:p>
        <w:p w14:paraId="007C8C25">
          <w:pPr>
            <w:adjustRightInd w:val="0"/>
            <w:snapToGrid w:val="0"/>
            <w:spacing w:line="460" w:lineRule="atLeast"/>
            <w:ind w:firstLine="420"/>
            <w:rPr>
              <w:rFonts w:ascii="黑体" w:hAnsi="宋体" w:eastAsia="黑体" w:cs="宋体"/>
              <w:sz w:val="24"/>
              <w:szCs w:val="24"/>
            </w:rPr>
          </w:pPr>
          <w:r>
            <w:rPr>
              <w:rFonts w:hint="eastAsia" w:ascii="黑体" w:hAnsi="黑体" w:eastAsia="黑体" w:cs="宋体"/>
              <w:sz w:val="24"/>
              <w:szCs w:val="24"/>
            </w:rPr>
            <w:t>二、形成审计意见的基础</w:t>
          </w:r>
        </w:p>
        <w:p w14:paraId="644D5D46">
          <w:pPr>
            <w:adjustRightInd w:val="0"/>
            <w:snapToGrid w:val="0"/>
            <w:spacing w:line="460" w:lineRule="atLeast"/>
            <w:ind w:firstLine="420"/>
            <w:jc w:val="both"/>
            <w:rPr>
              <w:rFonts w:ascii="宋体" w:hAnsi="宋体" w:cs="宋体"/>
            </w:rPr>
          </w:pPr>
          <w:r>
            <w:rPr>
              <w:rFonts w:hint="eastAsia" w:ascii="宋体" w:hAnsi="宋体" w:cs="宋体"/>
            </w:rPr>
            <w:t>我们按照中国注册会计师审计准则的规定执行了审计工作。审计报告的“注册会计师对财务报表审计的责任”部分进一步阐述了我们在这些准则下的责任。按照中国注册会计师职业道德守则和中国注册会计师独立性准则，我们独立于贵公司，并履行了职业道德方面的其他责任。我们在审计中遵守了适用于公众利益实体财务报表审计的独立性要求。</w:t>
          </w:r>
        </w:p>
        <w:p w14:paraId="66EAA09C">
          <w:pPr>
            <w:adjustRightInd w:val="0"/>
            <w:snapToGrid w:val="0"/>
            <w:spacing w:line="460" w:lineRule="atLeast"/>
            <w:ind w:firstLine="420"/>
            <w:jc w:val="both"/>
            <w:rPr>
              <w:rFonts w:ascii="宋体" w:hAnsi="宋体" w:cs="宋体"/>
            </w:rPr>
          </w:pPr>
          <w:r>
            <w:rPr>
              <w:rFonts w:hint="eastAsia" w:ascii="宋体" w:hAnsi="宋体" w:cs="宋体"/>
            </w:rPr>
            <w:t>我们相信，我们获取的审计证据是充分、适当的，为发表审计意见提供了基础。</w:t>
          </w:r>
        </w:p>
        <w:p w14:paraId="387D4BCE">
          <w:pPr>
            <w:adjustRightInd w:val="0"/>
            <w:snapToGrid w:val="0"/>
            <w:spacing w:line="460" w:lineRule="atLeast"/>
            <w:ind w:firstLine="420"/>
            <w:rPr>
              <w:rFonts w:ascii="黑体" w:hAnsi="宋体" w:eastAsia="黑体" w:cs="宋体"/>
              <w:sz w:val="24"/>
              <w:szCs w:val="24"/>
            </w:rPr>
          </w:pPr>
          <w:r>
            <w:rPr>
              <w:rFonts w:hint="eastAsia" w:ascii="黑体" w:hAnsi="黑体" w:eastAsia="黑体" w:cs="宋体"/>
              <w:sz w:val="24"/>
              <w:szCs w:val="24"/>
            </w:rPr>
            <w:t>三、关键审计事项</w:t>
          </w:r>
        </w:p>
        <w:p w14:paraId="0F57D1CE">
          <w:pPr>
            <w:adjustRightInd w:val="0"/>
            <w:snapToGrid w:val="0"/>
            <w:spacing w:line="460" w:lineRule="atLeast"/>
            <w:ind w:firstLine="420"/>
            <w:jc w:val="both"/>
            <w:rPr>
              <w:rFonts w:ascii="宋体" w:hAnsi="宋体" w:cs="宋体"/>
            </w:rPr>
          </w:pPr>
          <w:r>
            <w:rPr>
              <w:rFonts w:hint="eastAsia" w:ascii="宋体" w:hAnsi="宋体" w:cs="宋体"/>
            </w:rPr>
            <w:t>关键审计事项是我们根据职业判断，认为对本期财务报表审计最为重要的事项。这些事项的应对以对财务报表整体进行审计并形成审计意见为背景，我们不对这些事项单独发表意见。</w:t>
          </w:r>
        </w:p>
        <w:p w14:paraId="78F14D3B">
          <w:pPr>
            <w:adjustRightInd w:val="0"/>
            <w:snapToGrid w:val="0"/>
            <w:spacing w:line="460" w:lineRule="atLeast"/>
            <w:ind w:firstLine="420" w:firstLineChars="200"/>
            <w:jc w:val="both"/>
            <w:rPr>
              <w:rFonts w:ascii="宋体" w:hAnsi="宋体" w:cs="宋体"/>
            </w:rPr>
          </w:pPr>
          <w:r>
            <w:rPr>
              <w:rFonts w:hint="eastAsia" w:ascii="宋体" w:hAnsi="宋体" w:cs="宋体"/>
            </w:rPr>
            <w:t>（一）收入确认</w:t>
          </w:r>
        </w:p>
        <w:p w14:paraId="1A19732E">
          <w:pPr>
            <w:adjustRightInd w:val="0"/>
            <w:snapToGrid w:val="0"/>
            <w:spacing w:line="460" w:lineRule="atLeast"/>
            <w:ind w:firstLine="420" w:firstLineChars="200"/>
            <w:jc w:val="both"/>
            <w:rPr>
              <w:rFonts w:ascii="宋体" w:hAnsi="宋体" w:cs="宋体"/>
            </w:rPr>
          </w:pPr>
          <w:r>
            <w:rPr>
              <w:rFonts w:hint="eastAsia" w:ascii="宋体" w:hAnsi="宋体" w:cs="宋体"/>
            </w:rPr>
            <w:t>1.事项描述</w:t>
          </w:r>
        </w:p>
        <w:p w14:paraId="7093808F">
          <w:pPr>
            <w:adjustRightInd w:val="0"/>
            <w:snapToGrid w:val="0"/>
            <w:spacing w:line="460" w:lineRule="atLeast"/>
            <w:ind w:firstLine="420"/>
            <w:jc w:val="both"/>
            <w:rPr>
              <w:rFonts w:ascii="宋体" w:hAnsi="宋体" w:cs="宋体"/>
            </w:rPr>
          </w:pPr>
          <w:r>
            <w:rPr>
              <w:rFonts w:hint="eastAsia" w:ascii="宋体" w:hAnsi="宋体" w:cs="宋体"/>
            </w:rPr>
            <w:t>如财务报表附注“三、重要会计政策和会计估计”之“（二十七）收入”和“五、合并财务报表重要项目注释”之“（四十）营业收入和营业成本”。贵公司主要从事胰岛素原料药、制剂及糖尿病相关医疗器械的生产与销售。2025年度营业收入为2,947,228,797.15元，其中销售胰岛素原料药及制剂的收入为2</w:t>
          </w:r>
          <w:r>
            <w:rPr>
              <w:rFonts w:ascii="宋体" w:hAnsi="宋体" w:cs="宋体"/>
            </w:rPr>
            <w:t>,668,400,780.59</w:t>
          </w:r>
          <w:r>
            <w:rPr>
              <w:rFonts w:hint="eastAsia" w:ascii="宋体" w:hAnsi="宋体" w:cs="宋体"/>
            </w:rPr>
            <w:t>元，占营业收入总额的比例为90.</w:t>
          </w:r>
          <w:r>
            <w:rPr>
              <w:rFonts w:ascii="宋体" w:hAnsi="宋体" w:cs="宋体"/>
            </w:rPr>
            <w:t>54</w:t>
          </w:r>
          <w:r>
            <w:rPr>
              <w:rFonts w:hint="eastAsia" w:ascii="宋体" w:hAnsi="宋体" w:cs="宋体"/>
            </w:rPr>
            <w:t>%。</w:t>
          </w:r>
        </w:p>
        <w:p w14:paraId="055BE3B2">
          <w:pPr>
            <w:adjustRightInd w:val="0"/>
            <w:snapToGrid w:val="0"/>
            <w:spacing w:line="460" w:lineRule="atLeast"/>
            <w:ind w:firstLine="420"/>
            <w:jc w:val="both"/>
            <w:rPr>
              <w:rFonts w:ascii="宋体" w:hAnsi="宋体" w:cs="宋体"/>
            </w:rPr>
          </w:pPr>
          <w:r>
            <w:rPr>
              <w:rFonts w:hint="eastAsia" w:ascii="宋体" w:hAnsi="宋体" w:cs="宋体"/>
            </w:rPr>
            <w:t>收入是贵公司的关键业绩指标之一，可能存在管理层为了达到特定目标或期望而操纵收入确认的固有风险，同时由于胰岛素原料药及制剂收入所占比例重大，因此我们将胰岛素原料药及制剂的收入确认识别为关键审计事项。</w:t>
          </w:r>
        </w:p>
        <w:p w14:paraId="2C84D91E">
          <w:pPr>
            <w:adjustRightInd w:val="0"/>
            <w:snapToGrid w:val="0"/>
            <w:spacing w:line="460" w:lineRule="atLeast"/>
            <w:ind w:firstLine="420" w:firstLineChars="200"/>
            <w:jc w:val="both"/>
            <w:rPr>
              <w:rFonts w:ascii="宋体" w:hAnsi="宋体" w:cs="宋体"/>
            </w:rPr>
          </w:pPr>
          <w:r>
            <w:rPr>
              <w:rFonts w:hint="eastAsia" w:ascii="宋体" w:hAnsi="宋体" w:cs="宋体"/>
            </w:rPr>
            <w:t>2.审计应对</w:t>
          </w:r>
        </w:p>
        <w:p w14:paraId="36752E1F">
          <w:pPr>
            <w:adjustRightInd w:val="0"/>
            <w:snapToGrid w:val="0"/>
            <w:spacing w:line="460" w:lineRule="atLeast"/>
            <w:ind w:left="420"/>
            <w:jc w:val="both"/>
            <w:rPr>
              <w:rFonts w:ascii="宋体" w:hAnsi="宋体" w:cs="宋体"/>
            </w:rPr>
          </w:pPr>
          <w:r>
            <w:rPr>
              <w:rFonts w:hint="eastAsia" w:ascii="宋体" w:hAnsi="宋体" w:cs="宋体"/>
            </w:rPr>
            <w:t>我们针对收入确认执行的审计程序主要包括：</w:t>
          </w:r>
        </w:p>
        <w:p w14:paraId="12C1BDC9">
          <w:pPr>
            <w:adjustRightInd w:val="0"/>
            <w:snapToGrid w:val="0"/>
            <w:spacing w:line="460" w:lineRule="atLeast"/>
            <w:ind w:firstLine="420" w:firstLineChars="200"/>
            <w:jc w:val="both"/>
            <w:rPr>
              <w:rFonts w:ascii="宋体" w:hAnsi="宋体" w:cs="宋体"/>
            </w:rPr>
          </w:pPr>
          <w:r>
            <w:rPr>
              <w:rFonts w:hint="eastAsia" w:ascii="宋体" w:hAnsi="宋体" w:cs="宋体"/>
            </w:rPr>
            <w:t>（1）了解和评价与收入确认相关的关键内部控制的设计，测试相关的内部控制运行有效性；</w:t>
          </w:r>
        </w:p>
        <w:p w14:paraId="0C678844">
          <w:pPr>
            <w:adjustRightInd w:val="0"/>
            <w:snapToGrid w:val="0"/>
            <w:spacing w:line="460" w:lineRule="atLeast"/>
            <w:ind w:firstLine="420"/>
            <w:jc w:val="both"/>
            <w:rPr>
              <w:rFonts w:ascii="宋体" w:hAnsi="宋体" w:cs="宋体"/>
            </w:rPr>
          </w:pPr>
          <w:r>
            <w:rPr>
              <w:rFonts w:hint="eastAsia" w:ascii="宋体" w:hAnsi="宋体" w:cs="宋体"/>
            </w:rPr>
            <w:t>（2）检查销售合同，识别与客户取得商品或服务控制权相关的合同条款与条件，评价公司的收入确认时点是否符合企业会计准则的要求；</w:t>
          </w:r>
        </w:p>
        <w:p w14:paraId="3C641DB8">
          <w:pPr>
            <w:adjustRightInd w:val="0"/>
            <w:snapToGrid w:val="0"/>
            <w:spacing w:line="460" w:lineRule="atLeast"/>
            <w:ind w:firstLine="420" w:firstLineChars="200"/>
            <w:jc w:val="both"/>
            <w:rPr>
              <w:rFonts w:ascii="宋体" w:hAnsi="宋体" w:cs="宋体"/>
            </w:rPr>
          </w:pPr>
          <w:r>
            <w:rPr>
              <w:rFonts w:hint="eastAsia" w:ascii="宋体" w:hAnsi="宋体" w:cs="宋体"/>
            </w:rPr>
            <w:t>（3）选取样本检查与收入确认相关的销售合同、出库单、运单、客户收货回执（内销）、出口报关单、提单或运单及收汇核销单（出口）等证据资料；</w:t>
          </w:r>
        </w:p>
        <w:p w14:paraId="120A1BD7">
          <w:pPr>
            <w:adjustRightInd w:val="0"/>
            <w:snapToGrid w:val="0"/>
            <w:spacing w:line="460" w:lineRule="atLeast"/>
            <w:ind w:firstLine="420" w:firstLineChars="200"/>
            <w:jc w:val="both"/>
            <w:rPr>
              <w:rFonts w:ascii="宋体" w:hAnsi="宋体" w:cs="宋体"/>
            </w:rPr>
          </w:pPr>
          <w:r>
            <w:rPr>
              <w:rFonts w:hint="eastAsia" w:ascii="宋体" w:hAnsi="宋体" w:cs="宋体"/>
            </w:rPr>
            <w:t>（4）执行分析性程序，对收入变动和毛利率进行分析；</w:t>
          </w:r>
        </w:p>
        <w:p w14:paraId="0A02B6D7">
          <w:pPr>
            <w:adjustRightInd w:val="0"/>
            <w:snapToGrid w:val="0"/>
            <w:spacing w:line="460" w:lineRule="atLeast"/>
            <w:ind w:firstLine="420" w:firstLineChars="200"/>
            <w:jc w:val="both"/>
            <w:rPr>
              <w:rFonts w:ascii="宋体" w:hAnsi="宋体" w:cs="宋体"/>
            </w:rPr>
          </w:pPr>
          <w:r>
            <w:rPr>
              <w:rFonts w:hint="eastAsia" w:ascii="宋体" w:hAnsi="宋体" w:cs="宋体"/>
            </w:rPr>
            <w:t>（5）对报告期重要客户执行函证程序；</w:t>
          </w:r>
        </w:p>
        <w:p w14:paraId="1D9C239B">
          <w:pPr>
            <w:adjustRightInd w:val="0"/>
            <w:snapToGrid w:val="0"/>
            <w:spacing w:line="460" w:lineRule="atLeast"/>
            <w:ind w:firstLine="420"/>
            <w:jc w:val="both"/>
            <w:rPr>
              <w:rFonts w:ascii="宋体" w:hAnsi="宋体" w:cs="宋体"/>
              <w:color w:val="0000FF"/>
            </w:rPr>
          </w:pPr>
          <w:r>
            <w:rPr>
              <w:rFonts w:hint="eastAsia" w:ascii="宋体" w:hAnsi="宋体" w:cs="宋体"/>
            </w:rPr>
            <w:t>（6）选取资产负债表日前后记录的收入交易样本进行截止性测试，评价收入是否计入正确的会计期间。</w:t>
          </w:r>
        </w:p>
        <w:p w14:paraId="5883D804">
          <w:pPr>
            <w:adjustRightInd w:val="0"/>
            <w:snapToGrid w:val="0"/>
            <w:spacing w:line="460" w:lineRule="atLeast"/>
            <w:ind w:firstLine="420" w:firstLineChars="200"/>
            <w:jc w:val="both"/>
            <w:rPr>
              <w:rFonts w:ascii="宋体" w:hAnsi="宋体" w:cs="宋体"/>
            </w:rPr>
          </w:pPr>
          <w:r>
            <w:rPr>
              <w:rFonts w:hint="eastAsia" w:ascii="宋体" w:hAnsi="宋体" w:cs="宋体"/>
            </w:rPr>
            <w:t>（二）销售费用确认</w:t>
          </w:r>
        </w:p>
        <w:p w14:paraId="0CB0F8E6">
          <w:pPr>
            <w:adjustRightInd w:val="0"/>
            <w:snapToGrid w:val="0"/>
            <w:spacing w:line="460" w:lineRule="atLeast"/>
            <w:ind w:firstLine="420" w:firstLineChars="200"/>
            <w:jc w:val="both"/>
            <w:rPr>
              <w:rFonts w:ascii="宋体" w:hAnsi="宋体" w:cs="宋体"/>
            </w:rPr>
          </w:pPr>
          <w:r>
            <w:rPr>
              <w:rFonts w:hint="eastAsia" w:ascii="宋体" w:hAnsi="宋体" w:cs="宋体"/>
            </w:rPr>
            <w:t>1.事项描述</w:t>
          </w:r>
        </w:p>
        <w:p w14:paraId="079B012C">
          <w:pPr>
            <w:adjustRightInd w:val="0"/>
            <w:snapToGrid w:val="0"/>
            <w:spacing w:line="460" w:lineRule="atLeast"/>
            <w:ind w:firstLine="420" w:firstLineChars="200"/>
            <w:jc w:val="both"/>
            <w:rPr>
              <w:rFonts w:ascii="宋体" w:hAnsi="宋体" w:cs="宋体"/>
            </w:rPr>
          </w:pPr>
          <w:r>
            <w:rPr>
              <w:rFonts w:hint="eastAsia" w:ascii="宋体" w:hAnsi="宋体" w:cs="宋体"/>
            </w:rPr>
            <w:t>如财务报表附注“五、合并财务报表重要项目注释”之“（四十二）销售费用”，贵公司2025年度发生销售费用1,108,127,227.86元。</w:t>
          </w:r>
        </w:p>
        <w:p w14:paraId="0DE15EB5">
          <w:pPr>
            <w:adjustRightInd w:val="0"/>
            <w:snapToGrid w:val="0"/>
            <w:spacing w:line="460" w:lineRule="atLeast"/>
            <w:ind w:firstLine="420" w:firstLineChars="200"/>
            <w:jc w:val="both"/>
            <w:rPr>
              <w:rFonts w:ascii="宋体" w:hAnsi="宋体" w:cs="宋体"/>
            </w:rPr>
          </w:pPr>
          <w:r>
            <w:rPr>
              <w:rFonts w:hint="eastAsia" w:ascii="宋体" w:hAnsi="宋体" w:cs="宋体"/>
            </w:rPr>
            <w:t>由于销售费用对贵公司的利润产生较大影响，可能产生重大错报风险，因此我们将销售费用的确认作为关键审计事项。</w:t>
          </w:r>
        </w:p>
        <w:p w14:paraId="0D0B7175">
          <w:pPr>
            <w:adjustRightInd w:val="0"/>
            <w:snapToGrid w:val="0"/>
            <w:spacing w:line="460" w:lineRule="atLeast"/>
            <w:ind w:firstLine="420" w:firstLineChars="200"/>
            <w:jc w:val="both"/>
            <w:rPr>
              <w:rFonts w:ascii="宋体" w:hAnsi="宋体" w:cs="宋体"/>
            </w:rPr>
          </w:pPr>
          <w:r>
            <w:rPr>
              <w:rFonts w:hint="eastAsia" w:ascii="宋体" w:hAnsi="宋体" w:cs="宋体"/>
            </w:rPr>
            <w:t>2.审计应对</w:t>
          </w:r>
        </w:p>
        <w:p w14:paraId="5EF89603">
          <w:pPr>
            <w:adjustRightInd w:val="0"/>
            <w:snapToGrid w:val="0"/>
            <w:spacing w:line="460" w:lineRule="atLeast"/>
            <w:ind w:firstLine="420" w:firstLineChars="200"/>
            <w:jc w:val="both"/>
            <w:rPr>
              <w:rFonts w:ascii="宋体" w:hAnsi="宋体" w:cs="宋体"/>
            </w:rPr>
          </w:pPr>
          <w:r>
            <w:rPr>
              <w:rFonts w:hint="eastAsia" w:ascii="宋体" w:hAnsi="宋体" w:cs="宋体"/>
            </w:rPr>
            <w:t>我们针对销售费用确认执行的审计程序主要包括：</w:t>
          </w:r>
        </w:p>
        <w:p w14:paraId="506375AA">
          <w:pPr>
            <w:adjustRightInd w:val="0"/>
            <w:snapToGrid w:val="0"/>
            <w:spacing w:line="460" w:lineRule="atLeast"/>
            <w:ind w:firstLine="420" w:firstLineChars="200"/>
            <w:jc w:val="both"/>
            <w:rPr>
              <w:rFonts w:ascii="宋体" w:hAnsi="宋体" w:cs="宋体"/>
            </w:rPr>
          </w:pPr>
          <w:r>
            <w:rPr>
              <w:rFonts w:hint="eastAsia" w:ascii="宋体" w:hAnsi="宋体" w:cs="宋体"/>
            </w:rPr>
            <w:t>（1）了解和评价与销售费用确认相关的关键内部控制的设计，测试相关的内部控制运行有效性；</w:t>
          </w:r>
        </w:p>
        <w:p w14:paraId="73D0E9EB">
          <w:pPr>
            <w:adjustRightInd w:val="0"/>
            <w:snapToGrid w:val="0"/>
            <w:spacing w:line="460" w:lineRule="atLeast"/>
            <w:ind w:firstLine="420" w:firstLineChars="200"/>
            <w:jc w:val="both"/>
            <w:rPr>
              <w:rFonts w:ascii="宋体" w:hAnsi="宋体" w:cs="宋体"/>
            </w:rPr>
          </w:pPr>
          <w:r>
            <w:rPr>
              <w:rFonts w:hint="eastAsia" w:ascii="宋体" w:hAnsi="宋体" w:cs="宋体"/>
            </w:rPr>
            <w:t>（2）查阅公司销售政策，根据销售政策对主要销售费用进行测算；</w:t>
          </w:r>
        </w:p>
        <w:p w14:paraId="0EAEFA01">
          <w:pPr>
            <w:adjustRightInd w:val="0"/>
            <w:snapToGrid w:val="0"/>
            <w:spacing w:line="460" w:lineRule="atLeast"/>
            <w:ind w:firstLine="420" w:firstLineChars="200"/>
            <w:jc w:val="both"/>
            <w:rPr>
              <w:rFonts w:ascii="宋体" w:hAnsi="宋体" w:cs="宋体"/>
            </w:rPr>
          </w:pPr>
          <w:r>
            <w:rPr>
              <w:rFonts w:hint="eastAsia" w:ascii="宋体" w:hAnsi="宋体" w:cs="宋体"/>
            </w:rPr>
            <w:t>（3）选取样本检查与销售费用确认相关的合同或协议、发票、银行回单等支持性凭证；</w:t>
          </w:r>
        </w:p>
        <w:p w14:paraId="450D04AD">
          <w:pPr>
            <w:adjustRightInd w:val="0"/>
            <w:snapToGrid w:val="0"/>
            <w:spacing w:line="460" w:lineRule="atLeast"/>
            <w:ind w:firstLine="420" w:firstLineChars="200"/>
            <w:jc w:val="both"/>
            <w:rPr>
              <w:rFonts w:ascii="宋体" w:hAnsi="宋体" w:cs="宋体"/>
            </w:rPr>
          </w:pPr>
          <w:r>
            <w:rPr>
              <w:rFonts w:hint="eastAsia" w:ascii="宋体" w:hAnsi="宋体" w:cs="宋体"/>
            </w:rPr>
            <w:t>（4）执行分析性程序，对销售费用占主营业务收入的比率、同比变化等进行分析；</w:t>
          </w:r>
        </w:p>
        <w:p w14:paraId="28C871F8">
          <w:pPr>
            <w:adjustRightInd w:val="0"/>
            <w:snapToGrid w:val="0"/>
            <w:spacing w:line="460" w:lineRule="atLeast"/>
            <w:ind w:firstLine="420"/>
            <w:jc w:val="both"/>
            <w:rPr>
              <w:rFonts w:ascii="宋体" w:hAnsi="宋体" w:cs="宋体"/>
            </w:rPr>
          </w:pPr>
          <w:r>
            <w:rPr>
              <w:rFonts w:hint="eastAsia" w:ascii="宋体" w:hAnsi="宋体" w:cs="宋体"/>
            </w:rPr>
            <w:t>（5）选取资产负债表日前后记录的销售费用样本进行截止性测试，评价销售费用是否计入正确的会计期间。</w:t>
          </w:r>
        </w:p>
        <w:p w14:paraId="7049915F">
          <w:pPr>
            <w:adjustRightInd w:val="0"/>
            <w:snapToGrid w:val="0"/>
            <w:spacing w:line="460" w:lineRule="atLeast"/>
            <w:ind w:firstLine="420"/>
            <w:rPr>
              <w:rFonts w:ascii="黑体" w:hAnsi="宋体" w:eastAsia="黑体" w:cs="宋体"/>
              <w:color w:val="0000FF"/>
              <w:sz w:val="24"/>
              <w:szCs w:val="24"/>
            </w:rPr>
          </w:pPr>
          <w:r>
            <w:rPr>
              <w:rFonts w:hint="eastAsia" w:ascii="黑体" w:hAnsi="黑体" w:eastAsia="黑体" w:cs="宋体"/>
              <w:sz w:val="24"/>
              <w:szCs w:val="24"/>
            </w:rPr>
            <w:t>四、其他信息</w:t>
          </w:r>
        </w:p>
        <w:p w14:paraId="5BE85CB7">
          <w:pPr>
            <w:adjustRightInd w:val="0"/>
            <w:snapToGrid w:val="0"/>
            <w:spacing w:line="460" w:lineRule="atLeast"/>
            <w:ind w:firstLine="420"/>
            <w:jc w:val="both"/>
            <w:rPr>
              <w:rFonts w:ascii="宋体" w:hAnsi="宋体" w:cs="宋体"/>
            </w:rPr>
          </w:pPr>
          <w:r>
            <w:rPr>
              <w:rFonts w:hint="eastAsia" w:ascii="宋体" w:hAnsi="宋体" w:cs="宋体"/>
            </w:rPr>
            <w:t>贵公司管理层（以下简称管理层）对其他信息负责。其他信息包括贵公司2025年年度报告中涵盖的信息，但不包括财务报表和我们的审计报告。</w:t>
          </w:r>
        </w:p>
        <w:p w14:paraId="6A9CBE13">
          <w:pPr>
            <w:adjustRightInd w:val="0"/>
            <w:snapToGrid w:val="0"/>
            <w:spacing w:line="460" w:lineRule="atLeast"/>
            <w:ind w:firstLine="420"/>
            <w:jc w:val="both"/>
            <w:rPr>
              <w:rFonts w:ascii="宋体" w:hAnsi="宋体" w:cs="宋体"/>
            </w:rPr>
          </w:pPr>
          <w:r>
            <w:rPr>
              <w:rFonts w:hint="eastAsia" w:ascii="宋体" w:hAnsi="宋体" w:cs="宋体"/>
            </w:rPr>
            <w:t>我们对财务报表发表的审计意见并不涵盖其他信息，我们也不对其他信息发表任何形式的鉴证结论。</w:t>
          </w:r>
        </w:p>
        <w:p w14:paraId="2455F29C">
          <w:pPr>
            <w:adjustRightInd w:val="0"/>
            <w:snapToGrid w:val="0"/>
            <w:spacing w:line="460" w:lineRule="atLeast"/>
            <w:ind w:firstLine="420"/>
            <w:jc w:val="both"/>
            <w:rPr>
              <w:rFonts w:ascii="宋体" w:hAnsi="宋体" w:cs="宋体"/>
            </w:rPr>
          </w:pPr>
          <w:r>
            <w:rPr>
              <w:rFonts w:hint="eastAsia" w:ascii="宋体" w:hAnsi="宋体" w:cs="宋体"/>
            </w:rPr>
            <w:t>结合我们对财务报表的审计，我们的责任是阅读其他信息，在此过程中，考虑其他信息是否与财务报表或我们在审计过程中了解到的情况存在重大不一致或者似乎存在重大错报。</w:t>
          </w:r>
        </w:p>
        <w:p w14:paraId="60DAA841">
          <w:pPr>
            <w:adjustRightInd w:val="0"/>
            <w:snapToGrid w:val="0"/>
            <w:spacing w:line="460" w:lineRule="atLeast"/>
            <w:ind w:firstLine="420"/>
            <w:jc w:val="both"/>
            <w:rPr>
              <w:rFonts w:ascii="宋体" w:hAnsi="宋体" w:cs="宋体"/>
            </w:rPr>
          </w:pPr>
          <w:r>
            <w:rPr>
              <w:rFonts w:hint="eastAsia" w:ascii="宋体" w:hAnsi="宋体" w:cs="宋体"/>
            </w:rPr>
            <w:t>基于我们已执行的工作，如果我们确定其他信息存在重大错报，我们应当报告该事实。在这方面，我们无任何事项需要报告。</w:t>
          </w:r>
        </w:p>
        <w:p w14:paraId="4E05F1B5">
          <w:pPr>
            <w:adjustRightInd w:val="0"/>
            <w:snapToGrid w:val="0"/>
            <w:spacing w:line="460" w:lineRule="atLeast"/>
            <w:ind w:firstLine="420"/>
            <w:rPr>
              <w:rFonts w:ascii="黑体" w:hAnsi="宋体" w:eastAsia="黑体" w:cs="宋体"/>
              <w:sz w:val="24"/>
              <w:szCs w:val="24"/>
            </w:rPr>
          </w:pPr>
          <w:r>
            <w:rPr>
              <w:rFonts w:hint="eastAsia" w:ascii="黑体" w:hAnsi="黑体" w:eastAsia="黑体" w:cs="宋体"/>
              <w:sz w:val="24"/>
              <w:szCs w:val="24"/>
            </w:rPr>
            <w:t>五、管理层和治理层对财务报表的责任</w:t>
          </w:r>
        </w:p>
        <w:p w14:paraId="7555D29F">
          <w:pPr>
            <w:adjustRightInd w:val="0"/>
            <w:snapToGrid w:val="0"/>
            <w:spacing w:line="460" w:lineRule="atLeast"/>
            <w:ind w:firstLine="420"/>
            <w:jc w:val="both"/>
            <w:rPr>
              <w:rFonts w:ascii="宋体" w:hAnsi="宋体" w:cs="宋体"/>
            </w:rPr>
          </w:pPr>
          <w:r>
            <w:rPr>
              <w:rFonts w:hint="eastAsia" w:ascii="宋体" w:hAnsi="宋体" w:cs="宋体"/>
            </w:rPr>
            <w:t>管理层负责按照企业会计准则的规定编制财务报表，使其实现公允反映，并设计、执行和维护必要的内部控制，以使财务报表不存在由于舞弊或错误导致的重大错报。</w:t>
          </w:r>
        </w:p>
        <w:p w14:paraId="075F33B5">
          <w:pPr>
            <w:adjustRightInd w:val="0"/>
            <w:snapToGrid w:val="0"/>
            <w:spacing w:line="460" w:lineRule="atLeast"/>
            <w:ind w:firstLine="420"/>
            <w:jc w:val="both"/>
            <w:rPr>
              <w:rFonts w:ascii="宋体" w:hAnsi="宋体" w:cs="宋体"/>
            </w:rPr>
          </w:pPr>
          <w:r>
            <w:rPr>
              <w:rFonts w:hint="eastAsia" w:ascii="宋体" w:hAnsi="宋体" w:cs="宋体"/>
            </w:rPr>
            <w:t>在编制财务报表时，管理层负责评估贵公司的持续经营能力，披露与持续经营相关的事项（如适用），并运用持续经营假设，除非管理层计划清算贵公司、终止运营或别无其他现实的选择。</w:t>
          </w:r>
        </w:p>
        <w:p w14:paraId="67F4D8DE">
          <w:pPr>
            <w:adjustRightInd w:val="0"/>
            <w:snapToGrid w:val="0"/>
            <w:spacing w:line="460" w:lineRule="atLeast"/>
            <w:ind w:firstLine="420"/>
            <w:jc w:val="both"/>
            <w:rPr>
              <w:rFonts w:ascii="宋体" w:hAnsi="宋体" w:cs="宋体"/>
            </w:rPr>
          </w:pPr>
          <w:r>
            <w:rPr>
              <w:rFonts w:hint="eastAsia" w:ascii="宋体" w:hAnsi="宋体" w:cs="宋体"/>
            </w:rPr>
            <w:t>治理层负责监督贵公司的财务报告过程。</w:t>
          </w:r>
        </w:p>
        <w:p w14:paraId="646BF8B4">
          <w:pPr>
            <w:adjustRightInd w:val="0"/>
            <w:snapToGrid w:val="0"/>
            <w:spacing w:line="460" w:lineRule="atLeast"/>
            <w:ind w:firstLine="480" w:firstLineChars="200"/>
            <w:rPr>
              <w:rFonts w:ascii="黑体" w:hAnsi="宋体" w:eastAsia="黑体" w:cs="宋体"/>
              <w:sz w:val="24"/>
              <w:szCs w:val="24"/>
            </w:rPr>
          </w:pPr>
          <w:r>
            <w:rPr>
              <w:rFonts w:hint="eastAsia" w:ascii="黑体" w:hAnsi="黑体" w:eastAsia="黑体" w:cs="宋体"/>
              <w:sz w:val="24"/>
              <w:szCs w:val="24"/>
            </w:rPr>
            <w:t>六、注册会计师对财务报表审计的责任</w:t>
          </w:r>
        </w:p>
        <w:p w14:paraId="59ECE57D">
          <w:pPr>
            <w:widowControl w:val="0"/>
            <w:adjustRightInd w:val="0"/>
            <w:snapToGrid w:val="0"/>
            <w:spacing w:line="460" w:lineRule="atLeast"/>
            <w:ind w:firstLine="420" w:firstLineChars="200"/>
            <w:jc w:val="both"/>
            <w:rPr>
              <w:rFonts w:ascii="宋体" w:hAnsi="宋体" w:cs="宋体"/>
            </w:rPr>
          </w:pPr>
          <w:r>
            <w:rPr>
              <w:rFonts w:hint="eastAsia" w:ascii="宋体" w:hAnsi="宋体" w:cs="宋体"/>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14A7D4BE">
          <w:pPr>
            <w:widowControl w:val="0"/>
            <w:adjustRightInd w:val="0"/>
            <w:snapToGrid w:val="0"/>
            <w:spacing w:line="460" w:lineRule="atLeast"/>
            <w:ind w:firstLine="420" w:firstLineChars="200"/>
            <w:jc w:val="both"/>
            <w:rPr>
              <w:rFonts w:ascii="宋体" w:hAnsi="宋体" w:cs="宋体"/>
            </w:rPr>
          </w:pPr>
          <w:r>
            <w:rPr>
              <w:rFonts w:hint="eastAsia" w:ascii="宋体" w:hAnsi="宋体" w:cs="宋体"/>
            </w:rPr>
            <w:t>在按照审计准则执行审计工作的过程中，我们运用职业判断，并保持职业怀疑。同时，我们也执行以下工作：</w:t>
          </w:r>
        </w:p>
        <w:p w14:paraId="77FB7709">
          <w:pPr>
            <w:widowControl w:val="0"/>
            <w:adjustRightInd w:val="0"/>
            <w:snapToGrid w:val="0"/>
            <w:spacing w:line="460" w:lineRule="atLeast"/>
            <w:ind w:firstLine="420" w:firstLineChars="200"/>
            <w:jc w:val="both"/>
            <w:rPr>
              <w:rFonts w:ascii="宋体" w:hAnsi="宋体" w:cs="宋体"/>
            </w:rPr>
          </w:pPr>
          <w:r>
            <w:rPr>
              <w:rFonts w:hint="eastAsia" w:ascii="宋体" w:hAnsi="宋体" w:cs="宋体"/>
            </w:rPr>
            <w:t>（一）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4500FC5E">
          <w:pPr>
            <w:widowControl w:val="0"/>
            <w:adjustRightInd w:val="0"/>
            <w:snapToGrid w:val="0"/>
            <w:spacing w:line="460" w:lineRule="atLeast"/>
            <w:ind w:firstLine="420" w:firstLineChars="200"/>
            <w:jc w:val="both"/>
            <w:rPr>
              <w:rFonts w:ascii="宋体" w:hAnsi="宋体" w:cs="宋体"/>
            </w:rPr>
          </w:pPr>
          <w:r>
            <w:rPr>
              <w:rFonts w:hint="eastAsia" w:ascii="宋体" w:hAnsi="宋体" w:cs="宋体"/>
            </w:rPr>
            <w:t>（二）了解与审计相关的内部控制，以设计恰当的审计程序。</w:t>
          </w:r>
        </w:p>
        <w:p w14:paraId="59569480">
          <w:pPr>
            <w:widowControl w:val="0"/>
            <w:adjustRightInd w:val="0"/>
            <w:snapToGrid w:val="0"/>
            <w:spacing w:line="460" w:lineRule="atLeast"/>
            <w:ind w:firstLine="420" w:firstLineChars="200"/>
            <w:jc w:val="both"/>
            <w:rPr>
              <w:rFonts w:ascii="宋体" w:hAnsi="宋体" w:cs="宋体"/>
            </w:rPr>
          </w:pPr>
          <w:r>
            <w:rPr>
              <w:rFonts w:hint="eastAsia" w:ascii="宋体" w:hAnsi="宋体" w:cs="宋体"/>
            </w:rPr>
            <w:t>（三）评价管理层选用会计政策的恰当性和作出会计估计及相关披露的合理性。</w:t>
          </w:r>
        </w:p>
        <w:p w14:paraId="5DF566C0">
          <w:pPr>
            <w:widowControl w:val="0"/>
            <w:adjustRightInd w:val="0"/>
            <w:snapToGrid w:val="0"/>
            <w:spacing w:line="460" w:lineRule="atLeast"/>
            <w:ind w:firstLine="420" w:firstLineChars="200"/>
            <w:jc w:val="both"/>
            <w:rPr>
              <w:rFonts w:ascii="宋体" w:hAnsi="宋体" w:cs="宋体"/>
            </w:rPr>
          </w:pPr>
          <w:r>
            <w:rPr>
              <w:rFonts w:hint="eastAsia" w:ascii="宋体" w:hAnsi="宋体" w:cs="宋体"/>
            </w:rPr>
            <w:t>（四）对管理层使用持续经营假设的恰当性得出结论。同时，根据获取的审计证据，就可能导致对贵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贵公司不能持续经营。</w:t>
          </w:r>
        </w:p>
        <w:p w14:paraId="5FF29AD7">
          <w:pPr>
            <w:widowControl w:val="0"/>
            <w:adjustRightInd w:val="0"/>
            <w:snapToGrid w:val="0"/>
            <w:spacing w:line="460" w:lineRule="atLeast"/>
            <w:ind w:firstLine="420" w:firstLineChars="200"/>
            <w:jc w:val="both"/>
            <w:rPr>
              <w:rFonts w:ascii="宋体" w:hAnsi="宋体" w:cs="宋体"/>
            </w:rPr>
          </w:pPr>
          <w:r>
            <w:rPr>
              <w:rFonts w:hint="eastAsia" w:ascii="宋体" w:hAnsi="宋体" w:cs="宋体"/>
            </w:rPr>
            <w:t>（五）评价财务报表的总体列报、结构和内容，并评价财务报表是否公允反映相关交易和事项。</w:t>
          </w:r>
        </w:p>
        <w:p w14:paraId="47A3935E">
          <w:pPr>
            <w:widowControl w:val="0"/>
            <w:adjustRightInd w:val="0"/>
            <w:snapToGrid w:val="0"/>
            <w:spacing w:line="460" w:lineRule="atLeast"/>
            <w:ind w:firstLine="420" w:firstLineChars="200"/>
            <w:jc w:val="both"/>
            <w:rPr>
              <w:rFonts w:ascii="宋体" w:hAnsi="宋体" w:cs="宋体"/>
              <w:color w:val="0000FF"/>
            </w:rPr>
          </w:pPr>
          <w:r>
            <w:rPr>
              <w:rFonts w:hint="eastAsia" w:ascii="宋体" w:hAnsi="宋体" w:cs="宋体"/>
            </w:rPr>
            <w:t>（六）就贵公司中实体或业务活动的财务信息获取充分、恰当的审计证据，以对财务报表发表审计意见。我们负责指导、监督和执行集团审计，并对审计意见承担全部责任。</w:t>
          </w:r>
        </w:p>
        <w:p w14:paraId="5C75A9DC">
          <w:pPr>
            <w:widowControl w:val="0"/>
            <w:adjustRightInd w:val="0"/>
            <w:snapToGrid w:val="0"/>
            <w:spacing w:line="460" w:lineRule="atLeast"/>
            <w:ind w:firstLine="420" w:firstLineChars="200"/>
            <w:jc w:val="both"/>
            <w:rPr>
              <w:rFonts w:ascii="宋体" w:hAnsi="宋体" w:cs="宋体"/>
            </w:rPr>
          </w:pPr>
          <w:r>
            <w:rPr>
              <w:rFonts w:hint="eastAsia" w:ascii="宋体" w:hAnsi="宋体" w:cs="宋体"/>
            </w:rPr>
            <w:t>我们与治理层就计划的审计范围、时间安排和重大审计发现等事项进行沟通，包括沟通我们在审计中识别出的值得关注的内部控制缺陷。</w:t>
          </w:r>
        </w:p>
        <w:p w14:paraId="2C648765">
          <w:pPr>
            <w:widowControl w:val="0"/>
            <w:adjustRightInd w:val="0"/>
            <w:snapToGrid w:val="0"/>
            <w:spacing w:line="460" w:lineRule="atLeast"/>
            <w:ind w:firstLine="420" w:firstLineChars="200"/>
            <w:jc w:val="both"/>
            <w:rPr>
              <w:rFonts w:ascii="宋体" w:hAnsi="宋体" w:cs="宋体"/>
            </w:rPr>
          </w:pPr>
          <w:r>
            <w:rPr>
              <w:rFonts w:hint="eastAsia" w:ascii="宋体" w:hAnsi="宋体" w:cs="宋体"/>
            </w:rPr>
            <w:t>我们还就已遵守与独立性相关的职业道德要求向治理层提供声明，并与治理层沟通可能被合理认为影响我们独立性的所有关系和其他事项，以及相关的防范措施（如适用）。</w:t>
          </w:r>
        </w:p>
        <w:p w14:paraId="545CAE1D">
          <w:pPr>
            <w:widowControl w:val="0"/>
            <w:adjustRightInd w:val="0"/>
            <w:snapToGrid w:val="0"/>
            <w:spacing w:line="460" w:lineRule="atLeast"/>
            <w:ind w:firstLine="420" w:firstLineChars="200"/>
            <w:jc w:val="both"/>
            <w:rPr>
              <w:rFonts w:ascii="宋体" w:hAnsi="宋体" w:cs="宋体"/>
            </w:rPr>
          </w:pPr>
          <w:r>
            <w:rPr>
              <w:rFonts w:hint="eastAsia" w:ascii="宋体" w:hAnsi="宋体" w:cs="宋体"/>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13E7D659">
          <w:pPr>
            <w:widowControl w:val="0"/>
            <w:adjustRightInd w:val="0"/>
            <w:snapToGrid w:val="0"/>
            <w:spacing w:line="460" w:lineRule="atLeast"/>
            <w:ind w:firstLine="480" w:firstLineChars="200"/>
            <w:jc w:val="both"/>
            <w:rPr>
              <w:rFonts w:ascii="黑体" w:hAnsi="宋体" w:eastAsia="黑体" w:cs="宋体"/>
              <w:sz w:val="24"/>
              <w:szCs w:val="24"/>
            </w:rPr>
          </w:pPr>
          <w:r>
            <w:rPr>
              <w:rFonts w:hint="eastAsia" w:ascii="黑体" w:hAnsi="宋体" w:eastAsia="黑体" w:cs="宋体"/>
              <w:sz w:val="24"/>
              <w:szCs w:val="24"/>
            </w:rPr>
            <w:t xml:space="preserve"> </w:t>
          </w:r>
        </w:p>
        <w:p w14:paraId="777946DB">
          <w:pPr>
            <w:spacing w:line="460" w:lineRule="atLeast"/>
            <w:ind w:firstLine="424" w:firstLineChars="202"/>
            <w:rPr>
              <w:rFonts w:ascii="宋体" w:hAnsi="宋体" w:cs="宋体"/>
            </w:rPr>
          </w:pPr>
          <w:r>
            <w:rPr>
              <w:rFonts w:hint="eastAsia" w:ascii="宋体" w:hAnsi="宋体" w:cs="宋体"/>
            </w:rPr>
            <w:t>大信会计师事务所（特殊普通合伙）           中国注册会计师：王树奇</w:t>
          </w:r>
        </w:p>
        <w:p w14:paraId="0A83182D">
          <w:pPr>
            <w:spacing w:line="460" w:lineRule="atLeast"/>
            <w:rPr>
              <w:rFonts w:ascii="宋体" w:hAnsi="宋体" w:cs="宋体"/>
            </w:rPr>
          </w:pPr>
          <w:r>
            <w:rPr>
              <w:rFonts w:hint="eastAsia" w:ascii="宋体" w:hAnsi="宋体" w:cs="宋体"/>
            </w:rPr>
            <w:t xml:space="preserve">                                               （项目合伙人）</w:t>
          </w:r>
        </w:p>
        <w:p w14:paraId="6B0ECAE1">
          <w:pPr>
            <w:spacing w:line="460" w:lineRule="atLeast"/>
            <w:rPr>
              <w:rFonts w:ascii="宋体" w:hAnsi="宋体" w:cs="宋体"/>
            </w:rPr>
          </w:pPr>
          <w:r>
            <w:rPr>
              <w:rFonts w:hint="eastAsia" w:ascii="宋体" w:hAnsi="宋体" w:cs="宋体"/>
            </w:rPr>
            <w:t xml:space="preserve"> </w:t>
          </w:r>
        </w:p>
        <w:p w14:paraId="32A34FAE">
          <w:pPr>
            <w:spacing w:line="460" w:lineRule="atLeast"/>
            <w:ind w:firstLine="1260" w:firstLineChars="600"/>
            <w:rPr>
              <w:rFonts w:ascii="宋体" w:hAnsi="宋体" w:cs="宋体"/>
            </w:rPr>
          </w:pPr>
          <w:r>
            <w:rPr>
              <w:rFonts w:hint="eastAsia" w:ascii="宋体" w:hAnsi="宋体" w:cs="宋体"/>
            </w:rPr>
            <w:t>中 国  ·  北 京                   中国注册会计师：张忠伟</w:t>
          </w:r>
        </w:p>
        <w:p w14:paraId="197CD929">
          <w:pPr>
            <w:spacing w:line="460" w:lineRule="atLeast"/>
            <w:rPr>
              <w:rFonts w:ascii="宋体" w:hAnsi="宋体" w:cs="宋体"/>
            </w:rPr>
          </w:pPr>
          <w:r>
            <w:rPr>
              <w:rFonts w:hint="eastAsia" w:ascii="宋体" w:hAnsi="宋体" w:cs="宋体"/>
            </w:rPr>
            <w:t xml:space="preserve"> </w:t>
          </w:r>
        </w:p>
        <w:p w14:paraId="6F2FFE7A">
          <w:pPr>
            <w:spacing w:line="460" w:lineRule="atLeast"/>
            <w:rPr>
              <w:rFonts w:ascii="宋体" w:hAnsi="宋体" w:cs="宋体"/>
            </w:rPr>
          </w:pPr>
          <w:r>
            <w:rPr>
              <w:rFonts w:hint="eastAsia" w:ascii="宋体" w:hAnsi="宋体" w:cs="宋体"/>
            </w:rPr>
            <w:t xml:space="preserve"> </w:t>
          </w:r>
        </w:p>
        <w:p w14:paraId="2F333837">
          <w:pPr>
            <w:widowControl w:val="0"/>
            <w:jc w:val="right"/>
            <w:rPr>
              <w:rFonts w:ascii="宋体" w:hAnsi="宋体"/>
            </w:rPr>
          </w:pPr>
          <w:r>
            <w:rPr>
              <w:rFonts w:hint="eastAsia" w:ascii="宋体" w:hAnsi="宋体"/>
            </w:rPr>
            <w:t>二○二六年四月十七日</w:t>
          </w:r>
        </w:p>
        <w:p w14:paraId="1D04AF7C">
          <w:pPr>
            <w:pStyle w:val="48"/>
          </w:pPr>
        </w:p>
      </w:sdtContent>
    </w:sdt>
    <w:p w14:paraId="08453628">
      <w:pPr>
        <w:pStyle w:val="48"/>
        <w:sectPr>
          <w:pgSz w:w="11906" w:h="16838"/>
          <w:pgMar w:top="1525" w:right="1276" w:bottom="1440" w:left="1797" w:header="856" w:footer="992" w:gutter="0"/>
          <w:cols w:space="425" w:num="1"/>
          <w:docGrid w:linePitch="312" w:charSpace="0"/>
        </w:sectPr>
      </w:pPr>
    </w:p>
    <w:p w14:paraId="2C423877">
      <w:pPr>
        <w:pStyle w:val="48"/>
      </w:pPr>
    </w:p>
    <w:p w14:paraId="3969A391">
      <w:pPr>
        <w:pStyle w:val="3"/>
        <w:numPr>
          <w:ilvl w:val="0"/>
          <w:numId w:val="51"/>
        </w:numPr>
        <w:rPr>
          <w:rFonts w:ascii="宋体" w:hAnsi="宋体"/>
        </w:rPr>
      </w:pPr>
      <w:r>
        <w:rPr>
          <w:rFonts w:hint="eastAsia"/>
        </w:rPr>
        <w:t>财务报表</w:t>
      </w:r>
    </w:p>
    <w:p w14:paraId="5A492464">
      <w:pPr>
        <w:pStyle w:val="4"/>
        <w:jc w:val="center"/>
      </w:pPr>
      <w:bookmarkStart w:id="191" w:name="_Hlk24034092"/>
      <w:bookmarkEnd w:id="191"/>
      <w:bookmarkStart w:id="192" w:name="_Hlk182475374"/>
      <w:r>
        <w:rPr>
          <w:rFonts w:hint="eastAsia"/>
        </w:rPr>
        <w:t>合并资产负债表</w:t>
      </w:r>
    </w:p>
    <w:p w14:paraId="7927D0BA">
      <w:pPr>
        <w:snapToGrid w:val="0"/>
        <w:spacing w:line="240" w:lineRule="atLeast"/>
        <w:jc w:val="center"/>
        <w:rPr>
          <w:b/>
        </w:rPr>
      </w:pPr>
      <w:r>
        <w:t>2025年12月31日</w:t>
      </w:r>
    </w:p>
    <w:p w14:paraId="2C64A212">
      <w:pPr>
        <w:pStyle w:val="48"/>
      </w:pPr>
      <w:r>
        <w:t>编制单位</w:t>
      </w:r>
      <w:r>
        <w:rPr>
          <w:rFonts w:hint="eastAsia"/>
        </w:rPr>
        <w:t>：</w:t>
      </w:r>
      <w:sdt>
        <w:sdtPr>
          <w:alias w:val="公司法定中文名称"/>
          <w:tag w:val="_GBC_22071e1c4bb04578b94539b252cb1c67"/>
          <w:id w:val="1996378647"/>
          <w:placeholder>
            <w:docPart w:val="GBC22222222222222222222222222222"/>
          </w:placeholder>
          <w:dataBinding w:prefixMappings="xmlns:clcid-cgi='clcid-cgi'" w:xpath="/*/clcid-cgi:GongSiFaDingZhongWenMingCheng[not(@periodRef)]" w:storeItemID="{89EBAB94-44A0-46A2-B712-30D997D04A6D}"/>
          <w:text/>
        </w:sdtPr>
        <w:sdtContent>
          <w:r>
            <w:t>通化东宝药业股份有限公司</w:t>
          </w:r>
        </w:sdtContent>
      </w:sdt>
    </w:p>
    <w:p w14:paraId="401F5911">
      <w:pPr>
        <w:jc w:val="right"/>
      </w:pPr>
      <w:r>
        <w:t>单位：</w:t>
      </w:r>
      <w:sdt>
        <w:sdtPr>
          <w:alias w:val="单位：合并资产负债表"/>
          <w:tag w:val="_GBC_8c6918f285a44e0f8fb06fefffa27df4"/>
          <w:id w:val="-19725007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币种：</w:t>
      </w:r>
      <w:sdt>
        <w:sdtPr>
          <w:alias w:val="币种：合并资产负债表"/>
          <w:tag w:val="_GBC_0953b26208a64010937af0b40efed509"/>
          <w:id w:val="-2212192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57"/>
        <w:tblW w:w="90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44"/>
        <w:gridCol w:w="1133"/>
        <w:gridCol w:w="2550"/>
        <w:gridCol w:w="2411"/>
      </w:tblGrid>
      <w:tr w14:paraId="09336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88f994cf669436ebd34aa04979abc4a"/>
            <w:id w:val="1877117782"/>
          </w:sdtPr>
          <w:sdtContent>
            <w:tc>
              <w:tcPr>
                <w:tcW w:w="2944" w:type="dxa"/>
                <w:tcBorders>
                  <w:top w:val="outset" w:color="auto" w:sz="6" w:space="0"/>
                  <w:left w:val="outset" w:color="auto" w:sz="6" w:space="0"/>
                  <w:bottom w:val="outset" w:color="auto" w:sz="6" w:space="0"/>
                  <w:right w:val="outset" w:color="auto" w:sz="6" w:space="0"/>
                </w:tcBorders>
                <w:vAlign w:val="center"/>
              </w:tcPr>
              <w:p w14:paraId="7C98800D">
                <w:pPr>
                  <w:jc w:val="center"/>
                  <w:rPr>
                    <w:rFonts w:ascii="Calibri" w:hAnsi="Calibri"/>
                    <w:b/>
                    <w:color w:val="000000" w:themeColor="text1"/>
                    <w:sz w:val="20"/>
                    <w:szCs w:val="20"/>
                    <w14:textFill>
                      <w14:solidFill>
                        <w14:schemeClr w14:val="tx1"/>
                      </w14:solidFill>
                    </w14:textFill>
                  </w:rPr>
                </w:pPr>
                <w:bookmarkStart w:id="193" w:name="_Hlk137046697"/>
                <w:r>
                  <w:rPr>
                    <w:rFonts w:ascii="Calibri" w:hAnsi="Calibri"/>
                    <w:b/>
                    <w:color w:val="000000" w:themeColor="text1"/>
                    <w:sz w:val="20"/>
                    <w:szCs w:val="20"/>
                    <w14:textFill>
                      <w14:solidFill>
                        <w14:schemeClr w14:val="tx1"/>
                      </w14:solidFill>
                    </w14:textFill>
                  </w:rPr>
                  <w:t>项目</w:t>
                </w:r>
              </w:p>
            </w:tc>
          </w:sdtContent>
        </w:sdt>
        <w:sdt>
          <w:sdtPr>
            <w:tag w:val="_PLD_1b1f75a08f0046c7a2abc9d59780d042"/>
            <w:id w:val="-972366885"/>
          </w:sdtPr>
          <w:sdtContent>
            <w:tc>
              <w:tcPr>
                <w:tcW w:w="1133" w:type="dxa"/>
                <w:tcBorders>
                  <w:top w:val="outset" w:color="auto" w:sz="6" w:space="0"/>
                  <w:left w:val="outset" w:color="auto" w:sz="6" w:space="0"/>
                  <w:bottom w:val="outset" w:color="auto" w:sz="6" w:space="0"/>
                  <w:right w:val="outset" w:color="auto" w:sz="6" w:space="0"/>
                </w:tcBorders>
                <w:vAlign w:val="center"/>
              </w:tcPr>
              <w:p w14:paraId="3A56D5B7">
                <w:pPr>
                  <w:jc w:val="center"/>
                  <w:rPr>
                    <w:rFonts w:ascii="Calibri" w:hAnsi="Calibri"/>
                    <w:b/>
                    <w:color w:val="000000" w:themeColor="text1"/>
                    <w:sz w:val="20"/>
                    <w:szCs w:val="20"/>
                    <w14:textFill>
                      <w14:solidFill>
                        <w14:schemeClr w14:val="tx1"/>
                      </w14:solidFill>
                    </w14:textFill>
                  </w:rPr>
                </w:pPr>
                <w:r>
                  <w:rPr>
                    <w:rFonts w:hint="eastAsia" w:ascii="Calibri" w:hAnsi="Calibri"/>
                    <w:b/>
                    <w:color w:val="000000" w:themeColor="text1"/>
                    <w:sz w:val="20"/>
                    <w:szCs w:val="20"/>
                    <w14:textFill>
                      <w14:solidFill>
                        <w14:schemeClr w14:val="tx1"/>
                      </w14:solidFill>
                    </w14:textFill>
                  </w:rPr>
                  <w:t>附注七</w:t>
                </w:r>
              </w:p>
            </w:tc>
          </w:sdtContent>
        </w:sdt>
        <w:sdt>
          <w:sdtPr>
            <w:tag w:val="_PLD_afa4cd62e5184f80ba13c8e19e91baa5"/>
            <w:id w:val="-1118911567"/>
          </w:sdtPr>
          <w:sdtContent>
            <w:tc>
              <w:tcPr>
                <w:tcW w:w="2550" w:type="dxa"/>
                <w:tcBorders>
                  <w:top w:val="outset" w:color="auto" w:sz="6" w:space="0"/>
                  <w:left w:val="outset" w:color="auto" w:sz="6" w:space="0"/>
                  <w:bottom w:val="outset" w:color="auto" w:sz="6" w:space="0"/>
                  <w:right w:val="outset" w:color="auto" w:sz="6" w:space="0"/>
                </w:tcBorders>
                <w:vAlign w:val="center"/>
              </w:tcPr>
              <w:p w14:paraId="3B2C2F6F">
                <w:pPr>
                  <w:jc w:val="center"/>
                  <w:rPr>
                    <w:rFonts w:ascii="Calibri" w:hAnsi="Calibri"/>
                    <w:b/>
                    <w:color w:val="000000" w:themeColor="text1"/>
                    <w:sz w:val="20"/>
                    <w:szCs w:val="20"/>
                    <w14:textFill>
                      <w14:solidFill>
                        <w14:schemeClr w14:val="tx1"/>
                      </w14:solidFill>
                    </w14:textFill>
                  </w:rPr>
                </w:pPr>
                <w:r>
                  <w:rPr>
                    <w:rFonts w:hint="eastAsia" w:ascii="Calibri" w:hAnsi="Calibri"/>
                    <w:b/>
                    <w:color w:val="000000" w:themeColor="text1"/>
                    <w:sz w:val="20"/>
                    <w:szCs w:val="20"/>
                    <w14:textFill>
                      <w14:solidFill>
                        <w14:schemeClr w14:val="tx1"/>
                      </w14:solidFill>
                    </w14:textFill>
                  </w:rPr>
                  <w:t>2025年12月</w:t>
                </w:r>
                <w:r>
                  <w:rPr>
                    <w:rFonts w:ascii="Calibri" w:hAnsi="Calibri"/>
                    <w:b/>
                    <w:color w:val="000000" w:themeColor="text1"/>
                    <w:sz w:val="20"/>
                    <w:szCs w:val="20"/>
                    <w14:textFill>
                      <w14:solidFill>
                        <w14:schemeClr w14:val="tx1"/>
                      </w14:solidFill>
                    </w14:textFill>
                  </w:rPr>
                  <w:t>3</w:t>
                </w:r>
                <w:r>
                  <w:rPr>
                    <w:rFonts w:hint="eastAsia" w:ascii="Calibri" w:hAnsi="Calibri"/>
                    <w:b/>
                    <w:color w:val="000000" w:themeColor="text1"/>
                    <w:sz w:val="20"/>
                    <w:szCs w:val="20"/>
                    <w14:textFill>
                      <w14:solidFill>
                        <w14:schemeClr w14:val="tx1"/>
                      </w14:solidFill>
                    </w14:textFill>
                  </w:rPr>
                  <w:t>1日</w:t>
                </w:r>
              </w:p>
            </w:tc>
          </w:sdtContent>
        </w:sdt>
        <w:sdt>
          <w:sdtPr>
            <w:tag w:val="_PLD_af2c4ec348eb42cba64145c988fe0f69"/>
            <w:id w:val="-1111738181"/>
          </w:sdtPr>
          <w:sdtContent>
            <w:tc>
              <w:tcPr>
                <w:tcW w:w="2411" w:type="dxa"/>
                <w:tcBorders>
                  <w:top w:val="outset" w:color="auto" w:sz="6" w:space="0"/>
                  <w:left w:val="outset" w:color="auto" w:sz="6" w:space="0"/>
                  <w:bottom w:val="outset" w:color="auto" w:sz="6" w:space="0"/>
                  <w:right w:val="outset" w:color="auto" w:sz="6" w:space="0"/>
                </w:tcBorders>
                <w:vAlign w:val="center"/>
              </w:tcPr>
              <w:p w14:paraId="78EEB813">
                <w:pPr>
                  <w:jc w:val="center"/>
                  <w:rPr>
                    <w:rFonts w:ascii="Calibri" w:hAnsi="Calibri"/>
                    <w:b/>
                    <w:color w:val="000000" w:themeColor="text1"/>
                    <w:sz w:val="20"/>
                    <w:szCs w:val="20"/>
                    <w14:textFill>
                      <w14:solidFill>
                        <w14:schemeClr w14:val="tx1"/>
                      </w14:solidFill>
                    </w14:textFill>
                  </w:rPr>
                </w:pPr>
                <w:r>
                  <w:rPr>
                    <w:rFonts w:ascii="Calibri" w:hAnsi="Calibri"/>
                    <w:b/>
                    <w:color w:val="000000" w:themeColor="text1"/>
                    <w:sz w:val="20"/>
                    <w:szCs w:val="20"/>
                    <w14:textFill>
                      <w14:solidFill>
                        <w14:schemeClr w14:val="tx1"/>
                      </w14:solidFill>
                    </w14:textFill>
                  </w:rPr>
                  <w:t>2024年12月31日</w:t>
                </w:r>
              </w:p>
            </w:tc>
          </w:sdtContent>
        </w:sdt>
      </w:tr>
      <w:tr w14:paraId="48D9D2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8b46463546242c595dc585220b1a4b3"/>
            <w:id w:val="-1602250914"/>
          </w:sdtPr>
          <w:sdtContent>
            <w:tc>
              <w:tcPr>
                <w:tcW w:w="9038" w:type="dxa"/>
                <w:gridSpan w:val="4"/>
                <w:tcBorders>
                  <w:top w:val="outset" w:color="auto" w:sz="6" w:space="0"/>
                  <w:left w:val="outset" w:color="auto" w:sz="6" w:space="0"/>
                  <w:bottom w:val="outset" w:color="auto" w:sz="6" w:space="0"/>
                  <w:right w:val="outset" w:color="auto" w:sz="6" w:space="0"/>
                </w:tcBorders>
                <w:vAlign w:val="center"/>
              </w:tcPr>
              <w:p w14:paraId="0DA26CAF">
                <w:pPr>
                  <w:rPr>
                    <w:rFonts w:ascii="Calibri" w:hAnsi="Calibri"/>
                    <w:b/>
                    <w:color w:val="000000" w:themeColor="text1"/>
                    <w:sz w:val="20"/>
                    <w:szCs w:val="20"/>
                    <w14:textFill>
                      <w14:solidFill>
                        <w14:schemeClr w14:val="tx1"/>
                      </w14:solidFill>
                    </w14:textFill>
                  </w:rPr>
                </w:pPr>
                <w:r>
                  <w:rPr>
                    <w:rFonts w:hint="eastAsia" w:ascii="Calibri" w:hAnsi="Calibri"/>
                    <w:b/>
                    <w:color w:val="000000" w:themeColor="text1"/>
                    <w:sz w:val="20"/>
                    <w:szCs w:val="20"/>
                    <w14:textFill>
                      <w14:solidFill>
                        <w14:schemeClr w14:val="tx1"/>
                      </w14:solidFill>
                    </w14:textFill>
                  </w:rPr>
                  <w:t>流动资产：</w:t>
                </w:r>
              </w:p>
            </w:tc>
          </w:sdtContent>
        </w:sdt>
      </w:tr>
      <w:tr w14:paraId="6C10C5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4786148">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货币资金</w:t>
            </w:r>
          </w:p>
        </w:tc>
        <w:tc>
          <w:tcPr>
            <w:tcW w:w="1133" w:type="dxa"/>
            <w:tcBorders>
              <w:top w:val="outset" w:color="auto" w:sz="6" w:space="0"/>
              <w:left w:val="outset" w:color="auto" w:sz="6" w:space="0"/>
              <w:bottom w:val="outset" w:color="auto" w:sz="6" w:space="0"/>
              <w:right w:val="outset" w:color="auto" w:sz="6" w:space="0"/>
            </w:tcBorders>
            <w:vAlign w:val="center"/>
          </w:tcPr>
          <w:p w14:paraId="72B89108">
            <w:pPr>
              <w:pStyle w:val="48"/>
              <w:jc w:val="center"/>
              <w:rPr>
                <w:sz w:val="20"/>
                <w:szCs w:val="20"/>
              </w:rPr>
            </w:pPr>
            <w:r>
              <w:rPr>
                <w:rFonts w:hint="eastAsia"/>
                <w:sz w:val="20"/>
                <w:szCs w:val="20"/>
              </w:rPr>
              <w:t>1</w:t>
            </w:r>
          </w:p>
        </w:tc>
        <w:tc>
          <w:tcPr>
            <w:tcW w:w="2550" w:type="dxa"/>
            <w:tcBorders>
              <w:top w:val="outset" w:color="auto" w:sz="6" w:space="0"/>
              <w:left w:val="outset" w:color="auto" w:sz="6" w:space="0"/>
              <w:bottom w:val="outset" w:color="auto" w:sz="6" w:space="0"/>
              <w:right w:val="outset" w:color="auto" w:sz="6" w:space="0"/>
            </w:tcBorders>
            <w:vAlign w:val="center"/>
          </w:tcPr>
          <w:p w14:paraId="70800851">
            <w:pPr>
              <w:jc w:val="right"/>
              <w:rPr>
                <w:rFonts w:ascii="Calibri" w:hAnsi="Calibri"/>
                <w:sz w:val="20"/>
                <w:szCs w:val="20"/>
              </w:rPr>
            </w:pPr>
            <w:r>
              <w:rPr>
                <w:rFonts w:ascii="Calibri" w:hAnsi="Calibri"/>
                <w:sz w:val="20"/>
                <w:szCs w:val="20"/>
              </w:rPr>
              <w:t>1,433,834,623.49</w:t>
            </w:r>
          </w:p>
        </w:tc>
        <w:tc>
          <w:tcPr>
            <w:tcW w:w="2411" w:type="dxa"/>
            <w:tcBorders>
              <w:top w:val="outset" w:color="auto" w:sz="6" w:space="0"/>
              <w:left w:val="outset" w:color="auto" w:sz="6" w:space="0"/>
              <w:bottom w:val="outset" w:color="auto" w:sz="6" w:space="0"/>
              <w:right w:val="outset" w:color="auto" w:sz="6" w:space="0"/>
            </w:tcBorders>
            <w:vAlign w:val="center"/>
          </w:tcPr>
          <w:p w14:paraId="7F177EAF">
            <w:pPr>
              <w:jc w:val="right"/>
              <w:rPr>
                <w:rFonts w:ascii="Calibri" w:hAnsi="Calibri"/>
                <w:sz w:val="20"/>
                <w:szCs w:val="20"/>
              </w:rPr>
            </w:pPr>
            <w:r>
              <w:rPr>
                <w:rFonts w:ascii="Calibri" w:hAnsi="Calibri"/>
                <w:sz w:val="20"/>
                <w:szCs w:val="20"/>
              </w:rPr>
              <w:t>590,195,292.13</w:t>
            </w:r>
          </w:p>
        </w:tc>
      </w:tr>
      <w:tr w14:paraId="2B7EFB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3C763D2">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结算备付金</w:t>
            </w:r>
          </w:p>
        </w:tc>
        <w:tc>
          <w:tcPr>
            <w:tcW w:w="1133" w:type="dxa"/>
            <w:tcBorders>
              <w:top w:val="outset" w:color="auto" w:sz="6" w:space="0"/>
              <w:left w:val="outset" w:color="auto" w:sz="6" w:space="0"/>
              <w:bottom w:val="outset" w:color="auto" w:sz="6" w:space="0"/>
              <w:right w:val="outset" w:color="auto" w:sz="6" w:space="0"/>
            </w:tcBorders>
            <w:vAlign w:val="center"/>
          </w:tcPr>
          <w:p w14:paraId="62835825">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2E37EB84">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4FE5D4F6">
            <w:pPr>
              <w:jc w:val="right"/>
              <w:rPr>
                <w:rFonts w:ascii="Calibri" w:hAnsi="Calibri"/>
                <w:sz w:val="20"/>
                <w:szCs w:val="20"/>
              </w:rPr>
            </w:pPr>
          </w:p>
        </w:tc>
      </w:tr>
      <w:tr w14:paraId="133436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4A4A8D65">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拆出资金</w:t>
            </w:r>
          </w:p>
        </w:tc>
        <w:tc>
          <w:tcPr>
            <w:tcW w:w="1133" w:type="dxa"/>
            <w:tcBorders>
              <w:top w:val="outset" w:color="auto" w:sz="6" w:space="0"/>
              <w:left w:val="outset" w:color="auto" w:sz="6" w:space="0"/>
              <w:bottom w:val="outset" w:color="auto" w:sz="6" w:space="0"/>
              <w:right w:val="outset" w:color="auto" w:sz="6" w:space="0"/>
            </w:tcBorders>
            <w:vAlign w:val="center"/>
          </w:tcPr>
          <w:p w14:paraId="53061FB7">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74224393">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5627305B">
            <w:pPr>
              <w:jc w:val="right"/>
              <w:rPr>
                <w:rFonts w:ascii="Calibri" w:hAnsi="Calibri"/>
                <w:sz w:val="20"/>
                <w:szCs w:val="20"/>
              </w:rPr>
            </w:pPr>
          </w:p>
        </w:tc>
      </w:tr>
      <w:tr w14:paraId="2DCE8B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D1FD827">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交易性金融资产</w:t>
            </w:r>
          </w:p>
        </w:tc>
        <w:tc>
          <w:tcPr>
            <w:tcW w:w="1133" w:type="dxa"/>
            <w:tcBorders>
              <w:top w:val="outset" w:color="auto" w:sz="6" w:space="0"/>
              <w:left w:val="outset" w:color="auto" w:sz="6" w:space="0"/>
              <w:bottom w:val="outset" w:color="auto" w:sz="6" w:space="0"/>
              <w:right w:val="outset" w:color="auto" w:sz="6" w:space="0"/>
            </w:tcBorders>
            <w:vAlign w:val="center"/>
          </w:tcPr>
          <w:p w14:paraId="610532A4">
            <w:pPr>
              <w:pStyle w:val="48"/>
              <w:jc w:val="center"/>
              <w:rPr>
                <w:sz w:val="20"/>
                <w:szCs w:val="20"/>
              </w:rPr>
            </w:pPr>
            <w:r>
              <w:rPr>
                <w:rFonts w:hint="eastAsia"/>
                <w:sz w:val="20"/>
                <w:szCs w:val="20"/>
              </w:rPr>
              <w:t>2</w:t>
            </w:r>
          </w:p>
        </w:tc>
        <w:tc>
          <w:tcPr>
            <w:tcW w:w="2550" w:type="dxa"/>
            <w:tcBorders>
              <w:top w:val="outset" w:color="auto" w:sz="6" w:space="0"/>
              <w:left w:val="outset" w:color="auto" w:sz="6" w:space="0"/>
              <w:bottom w:val="outset" w:color="auto" w:sz="6" w:space="0"/>
              <w:right w:val="outset" w:color="auto" w:sz="6" w:space="0"/>
            </w:tcBorders>
            <w:vAlign w:val="center"/>
          </w:tcPr>
          <w:p w14:paraId="5A2C1769">
            <w:pPr>
              <w:jc w:val="right"/>
              <w:rPr>
                <w:rFonts w:ascii="Calibri" w:hAnsi="Calibri"/>
                <w:sz w:val="20"/>
                <w:szCs w:val="20"/>
              </w:rPr>
            </w:pPr>
            <w:r>
              <w:rPr>
                <w:rFonts w:ascii="Calibri" w:hAnsi="Calibri"/>
                <w:sz w:val="20"/>
                <w:szCs w:val="20"/>
              </w:rPr>
              <w:t>63,218,438.36</w:t>
            </w:r>
          </w:p>
        </w:tc>
        <w:tc>
          <w:tcPr>
            <w:tcW w:w="2411" w:type="dxa"/>
            <w:tcBorders>
              <w:top w:val="outset" w:color="auto" w:sz="6" w:space="0"/>
              <w:left w:val="outset" w:color="auto" w:sz="6" w:space="0"/>
              <w:bottom w:val="outset" w:color="auto" w:sz="6" w:space="0"/>
              <w:right w:val="outset" w:color="auto" w:sz="6" w:space="0"/>
            </w:tcBorders>
            <w:vAlign w:val="center"/>
          </w:tcPr>
          <w:p w14:paraId="22C47BCB">
            <w:pPr>
              <w:jc w:val="right"/>
              <w:rPr>
                <w:rFonts w:ascii="Calibri" w:hAnsi="Calibri"/>
                <w:sz w:val="20"/>
                <w:szCs w:val="20"/>
              </w:rPr>
            </w:pPr>
            <w:r>
              <w:rPr>
                <w:rFonts w:ascii="Calibri" w:hAnsi="Calibri"/>
                <w:sz w:val="20"/>
                <w:szCs w:val="20"/>
              </w:rPr>
              <w:t>55,400,927.52</w:t>
            </w:r>
          </w:p>
        </w:tc>
      </w:tr>
      <w:tr w14:paraId="3CE90A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FF2E898">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衍生金融资产</w:t>
            </w:r>
          </w:p>
        </w:tc>
        <w:tc>
          <w:tcPr>
            <w:tcW w:w="1133" w:type="dxa"/>
            <w:tcBorders>
              <w:top w:val="outset" w:color="auto" w:sz="6" w:space="0"/>
              <w:left w:val="outset" w:color="auto" w:sz="6" w:space="0"/>
              <w:bottom w:val="outset" w:color="auto" w:sz="6" w:space="0"/>
              <w:right w:val="outset" w:color="auto" w:sz="6" w:space="0"/>
            </w:tcBorders>
            <w:vAlign w:val="center"/>
          </w:tcPr>
          <w:p w14:paraId="5592087C">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67F321B">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2BD340D1">
            <w:pPr>
              <w:jc w:val="right"/>
              <w:rPr>
                <w:rFonts w:ascii="Calibri" w:hAnsi="Calibri"/>
                <w:sz w:val="20"/>
                <w:szCs w:val="20"/>
              </w:rPr>
            </w:pPr>
          </w:p>
        </w:tc>
      </w:tr>
      <w:tr w14:paraId="01E6E8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62442AA4">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应收票据</w:t>
            </w:r>
          </w:p>
        </w:tc>
        <w:tc>
          <w:tcPr>
            <w:tcW w:w="1133" w:type="dxa"/>
            <w:tcBorders>
              <w:top w:val="outset" w:color="auto" w:sz="6" w:space="0"/>
              <w:left w:val="outset" w:color="auto" w:sz="6" w:space="0"/>
              <w:bottom w:val="outset" w:color="auto" w:sz="6" w:space="0"/>
              <w:right w:val="outset" w:color="auto" w:sz="6" w:space="0"/>
            </w:tcBorders>
            <w:vAlign w:val="center"/>
          </w:tcPr>
          <w:p w14:paraId="124473DF">
            <w:pPr>
              <w:pStyle w:val="48"/>
              <w:jc w:val="center"/>
              <w:rPr>
                <w:sz w:val="20"/>
                <w:szCs w:val="20"/>
              </w:rPr>
            </w:pPr>
            <w:r>
              <w:rPr>
                <w:rFonts w:hint="eastAsia"/>
                <w:sz w:val="20"/>
                <w:szCs w:val="20"/>
              </w:rPr>
              <w:t>4</w:t>
            </w:r>
          </w:p>
        </w:tc>
        <w:tc>
          <w:tcPr>
            <w:tcW w:w="2550" w:type="dxa"/>
            <w:tcBorders>
              <w:top w:val="outset" w:color="auto" w:sz="6" w:space="0"/>
              <w:left w:val="outset" w:color="auto" w:sz="6" w:space="0"/>
              <w:bottom w:val="outset" w:color="auto" w:sz="6" w:space="0"/>
              <w:right w:val="outset" w:color="auto" w:sz="6" w:space="0"/>
            </w:tcBorders>
            <w:vAlign w:val="center"/>
          </w:tcPr>
          <w:p w14:paraId="4018DE33">
            <w:pPr>
              <w:jc w:val="right"/>
              <w:rPr>
                <w:rFonts w:ascii="Calibri" w:hAnsi="Calibri"/>
                <w:sz w:val="20"/>
                <w:szCs w:val="20"/>
              </w:rPr>
            </w:pPr>
            <w:r>
              <w:rPr>
                <w:rFonts w:ascii="Calibri" w:hAnsi="Calibri"/>
                <w:sz w:val="20"/>
                <w:szCs w:val="20"/>
              </w:rPr>
              <w:t>16,074,681.54</w:t>
            </w:r>
          </w:p>
        </w:tc>
        <w:tc>
          <w:tcPr>
            <w:tcW w:w="2411" w:type="dxa"/>
            <w:tcBorders>
              <w:top w:val="outset" w:color="auto" w:sz="6" w:space="0"/>
              <w:left w:val="outset" w:color="auto" w:sz="6" w:space="0"/>
              <w:bottom w:val="outset" w:color="auto" w:sz="6" w:space="0"/>
              <w:right w:val="outset" w:color="auto" w:sz="6" w:space="0"/>
            </w:tcBorders>
            <w:vAlign w:val="center"/>
          </w:tcPr>
          <w:p w14:paraId="62C119CD">
            <w:pPr>
              <w:jc w:val="right"/>
              <w:rPr>
                <w:rFonts w:ascii="Calibri" w:hAnsi="Calibri"/>
                <w:sz w:val="20"/>
                <w:szCs w:val="20"/>
              </w:rPr>
            </w:pPr>
            <w:r>
              <w:rPr>
                <w:rFonts w:ascii="Calibri" w:hAnsi="Calibri"/>
                <w:sz w:val="20"/>
                <w:szCs w:val="20"/>
              </w:rPr>
              <w:t>6,634,809.89</w:t>
            </w:r>
          </w:p>
        </w:tc>
      </w:tr>
      <w:tr w14:paraId="0C49CB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04D9A12">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应收账款</w:t>
            </w:r>
          </w:p>
        </w:tc>
        <w:tc>
          <w:tcPr>
            <w:tcW w:w="1133" w:type="dxa"/>
            <w:tcBorders>
              <w:top w:val="outset" w:color="auto" w:sz="6" w:space="0"/>
              <w:left w:val="outset" w:color="auto" w:sz="6" w:space="0"/>
              <w:bottom w:val="outset" w:color="auto" w:sz="6" w:space="0"/>
              <w:right w:val="outset" w:color="auto" w:sz="6" w:space="0"/>
            </w:tcBorders>
            <w:vAlign w:val="center"/>
          </w:tcPr>
          <w:p w14:paraId="778A62C6">
            <w:pPr>
              <w:pStyle w:val="48"/>
              <w:jc w:val="center"/>
              <w:rPr>
                <w:sz w:val="20"/>
                <w:szCs w:val="20"/>
              </w:rPr>
            </w:pPr>
            <w:r>
              <w:rPr>
                <w:rFonts w:hint="eastAsia"/>
                <w:sz w:val="20"/>
                <w:szCs w:val="20"/>
              </w:rPr>
              <w:t>5</w:t>
            </w:r>
          </w:p>
        </w:tc>
        <w:tc>
          <w:tcPr>
            <w:tcW w:w="2550" w:type="dxa"/>
            <w:tcBorders>
              <w:top w:val="outset" w:color="auto" w:sz="6" w:space="0"/>
              <w:left w:val="outset" w:color="auto" w:sz="6" w:space="0"/>
              <w:bottom w:val="outset" w:color="auto" w:sz="6" w:space="0"/>
              <w:right w:val="outset" w:color="auto" w:sz="6" w:space="0"/>
            </w:tcBorders>
            <w:vAlign w:val="center"/>
          </w:tcPr>
          <w:p w14:paraId="0FF197F8">
            <w:pPr>
              <w:jc w:val="right"/>
              <w:rPr>
                <w:rFonts w:ascii="Calibri" w:hAnsi="Calibri"/>
                <w:sz w:val="20"/>
                <w:szCs w:val="20"/>
              </w:rPr>
            </w:pPr>
            <w:r>
              <w:rPr>
                <w:rFonts w:ascii="Calibri" w:hAnsi="Calibri"/>
                <w:sz w:val="20"/>
                <w:szCs w:val="20"/>
              </w:rPr>
              <w:t>409,021,337.11</w:t>
            </w:r>
          </w:p>
        </w:tc>
        <w:tc>
          <w:tcPr>
            <w:tcW w:w="2411" w:type="dxa"/>
            <w:tcBorders>
              <w:top w:val="outset" w:color="auto" w:sz="6" w:space="0"/>
              <w:left w:val="outset" w:color="auto" w:sz="6" w:space="0"/>
              <w:bottom w:val="outset" w:color="auto" w:sz="6" w:space="0"/>
              <w:right w:val="outset" w:color="auto" w:sz="6" w:space="0"/>
            </w:tcBorders>
            <w:vAlign w:val="center"/>
          </w:tcPr>
          <w:p w14:paraId="35EF1DBC">
            <w:pPr>
              <w:jc w:val="right"/>
              <w:rPr>
                <w:rFonts w:ascii="Calibri" w:hAnsi="Calibri"/>
                <w:sz w:val="20"/>
                <w:szCs w:val="20"/>
              </w:rPr>
            </w:pPr>
            <w:r>
              <w:rPr>
                <w:rFonts w:ascii="Calibri" w:hAnsi="Calibri"/>
                <w:sz w:val="20"/>
                <w:szCs w:val="20"/>
              </w:rPr>
              <w:t>486,512,039.38</w:t>
            </w:r>
          </w:p>
        </w:tc>
      </w:tr>
      <w:tr w14:paraId="3B5A35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91F0232">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应收款项融资</w:t>
            </w:r>
          </w:p>
        </w:tc>
        <w:tc>
          <w:tcPr>
            <w:tcW w:w="1133" w:type="dxa"/>
            <w:tcBorders>
              <w:top w:val="outset" w:color="auto" w:sz="6" w:space="0"/>
              <w:left w:val="outset" w:color="auto" w:sz="6" w:space="0"/>
              <w:bottom w:val="outset" w:color="auto" w:sz="6" w:space="0"/>
              <w:right w:val="outset" w:color="auto" w:sz="6" w:space="0"/>
            </w:tcBorders>
            <w:vAlign w:val="center"/>
          </w:tcPr>
          <w:p w14:paraId="2086E45A">
            <w:pPr>
              <w:pStyle w:val="48"/>
              <w:jc w:val="center"/>
              <w:rPr>
                <w:sz w:val="20"/>
                <w:szCs w:val="20"/>
              </w:rPr>
            </w:pPr>
            <w:r>
              <w:rPr>
                <w:rFonts w:hint="eastAsia"/>
                <w:sz w:val="20"/>
                <w:szCs w:val="20"/>
              </w:rPr>
              <w:t>7</w:t>
            </w:r>
          </w:p>
        </w:tc>
        <w:tc>
          <w:tcPr>
            <w:tcW w:w="2550" w:type="dxa"/>
            <w:tcBorders>
              <w:top w:val="outset" w:color="auto" w:sz="6" w:space="0"/>
              <w:left w:val="outset" w:color="auto" w:sz="6" w:space="0"/>
              <w:bottom w:val="outset" w:color="auto" w:sz="6" w:space="0"/>
              <w:right w:val="outset" w:color="auto" w:sz="6" w:space="0"/>
            </w:tcBorders>
            <w:vAlign w:val="center"/>
          </w:tcPr>
          <w:p w14:paraId="7A9AB184">
            <w:pPr>
              <w:jc w:val="right"/>
              <w:rPr>
                <w:rFonts w:ascii="Calibri" w:hAnsi="Calibri"/>
                <w:sz w:val="20"/>
                <w:szCs w:val="20"/>
              </w:rPr>
            </w:pPr>
            <w:r>
              <w:rPr>
                <w:rFonts w:ascii="Calibri" w:hAnsi="Calibri"/>
                <w:sz w:val="20"/>
                <w:szCs w:val="20"/>
              </w:rPr>
              <w:t>58,067,116.90</w:t>
            </w:r>
          </w:p>
        </w:tc>
        <w:tc>
          <w:tcPr>
            <w:tcW w:w="2411" w:type="dxa"/>
            <w:tcBorders>
              <w:top w:val="outset" w:color="auto" w:sz="6" w:space="0"/>
              <w:left w:val="outset" w:color="auto" w:sz="6" w:space="0"/>
              <w:bottom w:val="outset" w:color="auto" w:sz="6" w:space="0"/>
              <w:right w:val="outset" w:color="auto" w:sz="6" w:space="0"/>
            </w:tcBorders>
            <w:vAlign w:val="center"/>
          </w:tcPr>
          <w:p w14:paraId="6FD8B92F">
            <w:pPr>
              <w:jc w:val="right"/>
              <w:rPr>
                <w:rFonts w:ascii="Calibri" w:hAnsi="Calibri"/>
                <w:sz w:val="20"/>
                <w:szCs w:val="20"/>
              </w:rPr>
            </w:pPr>
            <w:r>
              <w:rPr>
                <w:rFonts w:ascii="Calibri" w:hAnsi="Calibri"/>
                <w:sz w:val="20"/>
                <w:szCs w:val="20"/>
              </w:rPr>
              <w:t>54,419,623.26</w:t>
            </w:r>
          </w:p>
        </w:tc>
      </w:tr>
      <w:tr w14:paraId="4548C6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DEE21E5">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预付款项</w:t>
            </w:r>
          </w:p>
        </w:tc>
        <w:tc>
          <w:tcPr>
            <w:tcW w:w="1133" w:type="dxa"/>
            <w:tcBorders>
              <w:top w:val="outset" w:color="auto" w:sz="6" w:space="0"/>
              <w:left w:val="outset" w:color="auto" w:sz="6" w:space="0"/>
              <w:bottom w:val="outset" w:color="auto" w:sz="6" w:space="0"/>
              <w:right w:val="outset" w:color="auto" w:sz="6" w:space="0"/>
            </w:tcBorders>
            <w:vAlign w:val="center"/>
          </w:tcPr>
          <w:p w14:paraId="37FBFBA2">
            <w:pPr>
              <w:pStyle w:val="48"/>
              <w:jc w:val="center"/>
              <w:rPr>
                <w:sz w:val="20"/>
                <w:szCs w:val="20"/>
              </w:rPr>
            </w:pPr>
            <w:r>
              <w:rPr>
                <w:rFonts w:hint="eastAsia"/>
                <w:sz w:val="20"/>
                <w:szCs w:val="20"/>
              </w:rPr>
              <w:t>8</w:t>
            </w:r>
          </w:p>
        </w:tc>
        <w:tc>
          <w:tcPr>
            <w:tcW w:w="2550" w:type="dxa"/>
            <w:tcBorders>
              <w:top w:val="outset" w:color="auto" w:sz="6" w:space="0"/>
              <w:left w:val="outset" w:color="auto" w:sz="6" w:space="0"/>
              <w:bottom w:val="outset" w:color="auto" w:sz="6" w:space="0"/>
              <w:right w:val="outset" w:color="auto" w:sz="6" w:space="0"/>
            </w:tcBorders>
            <w:vAlign w:val="center"/>
          </w:tcPr>
          <w:p w14:paraId="5CBF73DF">
            <w:pPr>
              <w:jc w:val="right"/>
              <w:rPr>
                <w:rFonts w:ascii="Calibri" w:hAnsi="Calibri"/>
                <w:sz w:val="20"/>
                <w:szCs w:val="20"/>
              </w:rPr>
            </w:pPr>
            <w:r>
              <w:rPr>
                <w:rFonts w:ascii="Calibri" w:hAnsi="Calibri"/>
                <w:sz w:val="20"/>
                <w:szCs w:val="20"/>
              </w:rPr>
              <w:t>38,911,571.05</w:t>
            </w:r>
          </w:p>
        </w:tc>
        <w:tc>
          <w:tcPr>
            <w:tcW w:w="2411" w:type="dxa"/>
            <w:tcBorders>
              <w:top w:val="outset" w:color="auto" w:sz="6" w:space="0"/>
              <w:left w:val="outset" w:color="auto" w:sz="6" w:space="0"/>
              <w:bottom w:val="outset" w:color="auto" w:sz="6" w:space="0"/>
              <w:right w:val="outset" w:color="auto" w:sz="6" w:space="0"/>
            </w:tcBorders>
            <w:vAlign w:val="center"/>
          </w:tcPr>
          <w:p w14:paraId="7C8D38A6">
            <w:pPr>
              <w:jc w:val="right"/>
              <w:rPr>
                <w:rFonts w:ascii="Calibri" w:hAnsi="Calibri"/>
                <w:sz w:val="20"/>
                <w:szCs w:val="20"/>
              </w:rPr>
            </w:pPr>
            <w:r>
              <w:rPr>
                <w:rFonts w:ascii="Calibri" w:hAnsi="Calibri"/>
                <w:sz w:val="20"/>
                <w:szCs w:val="20"/>
              </w:rPr>
              <w:t>28,365,363.12</w:t>
            </w:r>
          </w:p>
        </w:tc>
      </w:tr>
      <w:tr w14:paraId="36C02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5AED853">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应收保费</w:t>
            </w:r>
          </w:p>
        </w:tc>
        <w:tc>
          <w:tcPr>
            <w:tcW w:w="1133" w:type="dxa"/>
            <w:tcBorders>
              <w:top w:val="outset" w:color="auto" w:sz="6" w:space="0"/>
              <w:left w:val="outset" w:color="auto" w:sz="6" w:space="0"/>
              <w:bottom w:val="outset" w:color="auto" w:sz="6" w:space="0"/>
              <w:right w:val="outset" w:color="auto" w:sz="6" w:space="0"/>
            </w:tcBorders>
            <w:vAlign w:val="center"/>
          </w:tcPr>
          <w:p w14:paraId="23E947DF">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26DECF3C">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574407B1">
            <w:pPr>
              <w:jc w:val="right"/>
              <w:rPr>
                <w:rFonts w:ascii="Calibri" w:hAnsi="Calibri"/>
                <w:sz w:val="20"/>
                <w:szCs w:val="20"/>
              </w:rPr>
            </w:pPr>
          </w:p>
        </w:tc>
      </w:tr>
      <w:tr w14:paraId="7DC4D1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4214E75D">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应收分保账款</w:t>
            </w:r>
          </w:p>
        </w:tc>
        <w:tc>
          <w:tcPr>
            <w:tcW w:w="1133" w:type="dxa"/>
            <w:tcBorders>
              <w:top w:val="outset" w:color="auto" w:sz="6" w:space="0"/>
              <w:left w:val="outset" w:color="auto" w:sz="6" w:space="0"/>
              <w:bottom w:val="outset" w:color="auto" w:sz="6" w:space="0"/>
              <w:right w:val="outset" w:color="auto" w:sz="6" w:space="0"/>
            </w:tcBorders>
            <w:vAlign w:val="center"/>
          </w:tcPr>
          <w:p w14:paraId="189AC8A1">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774DE7A">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07ECF18A">
            <w:pPr>
              <w:jc w:val="right"/>
              <w:rPr>
                <w:rFonts w:ascii="Calibri" w:hAnsi="Calibri"/>
                <w:sz w:val="20"/>
                <w:szCs w:val="20"/>
              </w:rPr>
            </w:pPr>
          </w:p>
        </w:tc>
      </w:tr>
      <w:tr w14:paraId="00E1CB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357ED46">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应收分保合同准备金</w:t>
            </w:r>
          </w:p>
        </w:tc>
        <w:tc>
          <w:tcPr>
            <w:tcW w:w="1133" w:type="dxa"/>
            <w:tcBorders>
              <w:top w:val="outset" w:color="auto" w:sz="6" w:space="0"/>
              <w:left w:val="outset" w:color="auto" w:sz="6" w:space="0"/>
              <w:bottom w:val="outset" w:color="auto" w:sz="6" w:space="0"/>
              <w:right w:val="outset" w:color="auto" w:sz="6" w:space="0"/>
            </w:tcBorders>
            <w:vAlign w:val="center"/>
          </w:tcPr>
          <w:p w14:paraId="2AD1B752">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62A2DF6F">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6A1F15E">
            <w:pPr>
              <w:jc w:val="right"/>
              <w:rPr>
                <w:rFonts w:ascii="Calibri" w:hAnsi="Calibri"/>
                <w:sz w:val="20"/>
                <w:szCs w:val="20"/>
              </w:rPr>
            </w:pPr>
          </w:p>
        </w:tc>
      </w:tr>
      <w:tr w14:paraId="1CFB79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58681D7">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其他应收款</w:t>
            </w:r>
          </w:p>
        </w:tc>
        <w:tc>
          <w:tcPr>
            <w:tcW w:w="1133" w:type="dxa"/>
            <w:tcBorders>
              <w:top w:val="outset" w:color="auto" w:sz="6" w:space="0"/>
              <w:left w:val="outset" w:color="auto" w:sz="6" w:space="0"/>
              <w:bottom w:val="outset" w:color="auto" w:sz="6" w:space="0"/>
              <w:right w:val="outset" w:color="auto" w:sz="6" w:space="0"/>
            </w:tcBorders>
            <w:vAlign w:val="center"/>
          </w:tcPr>
          <w:p w14:paraId="4380FE70">
            <w:pPr>
              <w:pStyle w:val="48"/>
              <w:jc w:val="center"/>
              <w:rPr>
                <w:sz w:val="20"/>
                <w:szCs w:val="20"/>
              </w:rPr>
            </w:pPr>
            <w:r>
              <w:rPr>
                <w:rFonts w:hint="eastAsia"/>
                <w:sz w:val="20"/>
                <w:szCs w:val="20"/>
              </w:rPr>
              <w:t>9</w:t>
            </w:r>
          </w:p>
        </w:tc>
        <w:tc>
          <w:tcPr>
            <w:tcW w:w="2550" w:type="dxa"/>
            <w:tcBorders>
              <w:top w:val="outset" w:color="auto" w:sz="6" w:space="0"/>
              <w:left w:val="outset" w:color="auto" w:sz="6" w:space="0"/>
              <w:bottom w:val="outset" w:color="auto" w:sz="6" w:space="0"/>
              <w:right w:val="outset" w:color="auto" w:sz="6" w:space="0"/>
            </w:tcBorders>
            <w:vAlign w:val="center"/>
          </w:tcPr>
          <w:p w14:paraId="33E79EB8">
            <w:pPr>
              <w:jc w:val="right"/>
              <w:rPr>
                <w:rFonts w:ascii="Calibri" w:hAnsi="Calibri"/>
                <w:sz w:val="20"/>
                <w:szCs w:val="20"/>
              </w:rPr>
            </w:pPr>
            <w:r>
              <w:rPr>
                <w:rFonts w:ascii="Calibri" w:hAnsi="Calibri"/>
                <w:sz w:val="20"/>
                <w:szCs w:val="20"/>
              </w:rPr>
              <w:t>10,524,522.55</w:t>
            </w:r>
          </w:p>
        </w:tc>
        <w:tc>
          <w:tcPr>
            <w:tcW w:w="2411" w:type="dxa"/>
            <w:tcBorders>
              <w:top w:val="outset" w:color="auto" w:sz="6" w:space="0"/>
              <w:left w:val="outset" w:color="auto" w:sz="6" w:space="0"/>
              <w:bottom w:val="outset" w:color="auto" w:sz="6" w:space="0"/>
              <w:right w:val="outset" w:color="auto" w:sz="6" w:space="0"/>
            </w:tcBorders>
            <w:vAlign w:val="center"/>
          </w:tcPr>
          <w:p w14:paraId="5C85B5CD">
            <w:pPr>
              <w:jc w:val="right"/>
              <w:rPr>
                <w:rFonts w:ascii="Calibri" w:hAnsi="Calibri"/>
                <w:sz w:val="20"/>
                <w:szCs w:val="20"/>
              </w:rPr>
            </w:pPr>
            <w:r>
              <w:rPr>
                <w:rFonts w:ascii="Calibri" w:hAnsi="Calibri"/>
                <w:sz w:val="20"/>
                <w:szCs w:val="20"/>
              </w:rPr>
              <w:t>7,881,764.21</w:t>
            </w:r>
          </w:p>
        </w:tc>
      </w:tr>
      <w:tr w14:paraId="4EF404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C025E1B">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其中：应收利息</w:t>
            </w:r>
          </w:p>
        </w:tc>
        <w:tc>
          <w:tcPr>
            <w:tcW w:w="1133" w:type="dxa"/>
            <w:tcBorders>
              <w:top w:val="outset" w:color="auto" w:sz="6" w:space="0"/>
              <w:left w:val="outset" w:color="auto" w:sz="6" w:space="0"/>
              <w:bottom w:val="outset" w:color="auto" w:sz="6" w:space="0"/>
              <w:right w:val="outset" w:color="auto" w:sz="6" w:space="0"/>
            </w:tcBorders>
            <w:vAlign w:val="center"/>
          </w:tcPr>
          <w:p w14:paraId="11DC8D0F">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08D9517">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39F5D354">
            <w:pPr>
              <w:jc w:val="right"/>
              <w:rPr>
                <w:rFonts w:ascii="Calibri" w:hAnsi="Calibri"/>
                <w:sz w:val="20"/>
                <w:szCs w:val="20"/>
              </w:rPr>
            </w:pPr>
          </w:p>
        </w:tc>
      </w:tr>
      <w:tr w14:paraId="24062F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5F5C717">
            <w:pPr>
              <w:ind w:firstLine="800" w:firstLineChars="4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应收股利</w:t>
            </w:r>
          </w:p>
        </w:tc>
        <w:tc>
          <w:tcPr>
            <w:tcW w:w="1133" w:type="dxa"/>
            <w:tcBorders>
              <w:top w:val="outset" w:color="auto" w:sz="6" w:space="0"/>
              <w:left w:val="outset" w:color="auto" w:sz="6" w:space="0"/>
              <w:bottom w:val="outset" w:color="auto" w:sz="6" w:space="0"/>
              <w:right w:val="outset" w:color="auto" w:sz="6" w:space="0"/>
            </w:tcBorders>
            <w:vAlign w:val="center"/>
          </w:tcPr>
          <w:p w14:paraId="7677B8AB">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DA9C12C">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317D9951">
            <w:pPr>
              <w:jc w:val="right"/>
              <w:rPr>
                <w:rFonts w:ascii="Calibri" w:hAnsi="Calibri"/>
                <w:sz w:val="20"/>
                <w:szCs w:val="20"/>
              </w:rPr>
            </w:pPr>
          </w:p>
        </w:tc>
      </w:tr>
      <w:tr w14:paraId="5874BC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2A7BD4B">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买入返售金融资产</w:t>
            </w:r>
          </w:p>
        </w:tc>
        <w:tc>
          <w:tcPr>
            <w:tcW w:w="1133" w:type="dxa"/>
            <w:tcBorders>
              <w:top w:val="outset" w:color="auto" w:sz="6" w:space="0"/>
              <w:left w:val="outset" w:color="auto" w:sz="6" w:space="0"/>
              <w:bottom w:val="outset" w:color="auto" w:sz="6" w:space="0"/>
              <w:right w:val="outset" w:color="auto" w:sz="6" w:space="0"/>
            </w:tcBorders>
            <w:vAlign w:val="center"/>
          </w:tcPr>
          <w:p w14:paraId="2206560F">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7A68AEBA">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1199D44D">
            <w:pPr>
              <w:jc w:val="right"/>
              <w:rPr>
                <w:rFonts w:ascii="Calibri" w:hAnsi="Calibri"/>
                <w:sz w:val="20"/>
                <w:szCs w:val="20"/>
              </w:rPr>
            </w:pPr>
          </w:p>
        </w:tc>
      </w:tr>
      <w:tr w14:paraId="579E91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7553887">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存货</w:t>
            </w:r>
          </w:p>
        </w:tc>
        <w:tc>
          <w:tcPr>
            <w:tcW w:w="1133" w:type="dxa"/>
            <w:tcBorders>
              <w:top w:val="outset" w:color="auto" w:sz="6" w:space="0"/>
              <w:left w:val="outset" w:color="auto" w:sz="6" w:space="0"/>
              <w:bottom w:val="outset" w:color="auto" w:sz="6" w:space="0"/>
              <w:right w:val="outset" w:color="auto" w:sz="6" w:space="0"/>
            </w:tcBorders>
            <w:vAlign w:val="center"/>
          </w:tcPr>
          <w:p w14:paraId="1E548B18">
            <w:pPr>
              <w:pStyle w:val="48"/>
              <w:jc w:val="center"/>
              <w:rPr>
                <w:sz w:val="20"/>
                <w:szCs w:val="20"/>
              </w:rPr>
            </w:pPr>
            <w:r>
              <w:rPr>
                <w:rFonts w:hint="eastAsia"/>
                <w:sz w:val="20"/>
                <w:szCs w:val="20"/>
              </w:rPr>
              <w:t>1</w:t>
            </w:r>
            <w:r>
              <w:rPr>
                <w:sz w:val="20"/>
                <w:szCs w:val="20"/>
              </w:rPr>
              <w:t>0</w:t>
            </w:r>
          </w:p>
        </w:tc>
        <w:tc>
          <w:tcPr>
            <w:tcW w:w="2550" w:type="dxa"/>
            <w:tcBorders>
              <w:top w:val="outset" w:color="auto" w:sz="6" w:space="0"/>
              <w:left w:val="outset" w:color="auto" w:sz="6" w:space="0"/>
              <w:bottom w:val="outset" w:color="auto" w:sz="6" w:space="0"/>
              <w:right w:val="outset" w:color="auto" w:sz="6" w:space="0"/>
            </w:tcBorders>
            <w:vAlign w:val="center"/>
          </w:tcPr>
          <w:p w14:paraId="7D55770B">
            <w:pPr>
              <w:jc w:val="right"/>
              <w:rPr>
                <w:rFonts w:ascii="Calibri" w:hAnsi="Calibri"/>
                <w:sz w:val="20"/>
                <w:szCs w:val="20"/>
              </w:rPr>
            </w:pPr>
            <w:r>
              <w:rPr>
                <w:rFonts w:ascii="Calibri" w:hAnsi="Calibri"/>
                <w:sz w:val="20"/>
                <w:szCs w:val="20"/>
              </w:rPr>
              <w:t>704,223,400.78</w:t>
            </w:r>
          </w:p>
        </w:tc>
        <w:tc>
          <w:tcPr>
            <w:tcW w:w="2411" w:type="dxa"/>
            <w:tcBorders>
              <w:top w:val="outset" w:color="auto" w:sz="6" w:space="0"/>
              <w:left w:val="outset" w:color="auto" w:sz="6" w:space="0"/>
              <w:bottom w:val="outset" w:color="auto" w:sz="6" w:space="0"/>
              <w:right w:val="outset" w:color="auto" w:sz="6" w:space="0"/>
            </w:tcBorders>
            <w:vAlign w:val="center"/>
          </w:tcPr>
          <w:p w14:paraId="7B2C8874">
            <w:pPr>
              <w:jc w:val="right"/>
              <w:rPr>
                <w:rFonts w:ascii="Calibri" w:hAnsi="Calibri"/>
                <w:sz w:val="20"/>
                <w:szCs w:val="20"/>
              </w:rPr>
            </w:pPr>
            <w:r>
              <w:rPr>
                <w:rFonts w:ascii="Calibri" w:hAnsi="Calibri"/>
                <w:sz w:val="20"/>
                <w:szCs w:val="20"/>
              </w:rPr>
              <w:t>736,309,312.91</w:t>
            </w:r>
          </w:p>
        </w:tc>
      </w:tr>
      <w:tr w14:paraId="78754E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F5E9020">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合同资产</w:t>
            </w:r>
          </w:p>
        </w:tc>
        <w:tc>
          <w:tcPr>
            <w:tcW w:w="1133" w:type="dxa"/>
            <w:tcBorders>
              <w:top w:val="outset" w:color="auto" w:sz="6" w:space="0"/>
              <w:left w:val="outset" w:color="auto" w:sz="6" w:space="0"/>
              <w:bottom w:val="outset" w:color="auto" w:sz="6" w:space="0"/>
              <w:right w:val="outset" w:color="auto" w:sz="6" w:space="0"/>
            </w:tcBorders>
            <w:vAlign w:val="center"/>
          </w:tcPr>
          <w:p w14:paraId="2A8B570C">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6A12EC72">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66D4B656">
            <w:pPr>
              <w:jc w:val="right"/>
              <w:rPr>
                <w:rFonts w:ascii="Calibri" w:hAnsi="Calibri"/>
                <w:sz w:val="20"/>
                <w:szCs w:val="20"/>
              </w:rPr>
            </w:pPr>
          </w:p>
        </w:tc>
      </w:tr>
      <w:tr w14:paraId="627CFB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6EDE3FE1">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持有待售资产</w:t>
            </w:r>
          </w:p>
        </w:tc>
        <w:tc>
          <w:tcPr>
            <w:tcW w:w="1133" w:type="dxa"/>
            <w:tcBorders>
              <w:top w:val="outset" w:color="auto" w:sz="6" w:space="0"/>
              <w:left w:val="outset" w:color="auto" w:sz="6" w:space="0"/>
              <w:bottom w:val="outset" w:color="auto" w:sz="6" w:space="0"/>
              <w:right w:val="outset" w:color="auto" w:sz="6" w:space="0"/>
            </w:tcBorders>
            <w:vAlign w:val="center"/>
          </w:tcPr>
          <w:p w14:paraId="6358B3B1">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62B2978B">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1E8942EE">
            <w:pPr>
              <w:jc w:val="right"/>
              <w:rPr>
                <w:rFonts w:ascii="Calibri" w:hAnsi="Calibri"/>
                <w:sz w:val="20"/>
                <w:szCs w:val="20"/>
              </w:rPr>
            </w:pPr>
          </w:p>
        </w:tc>
      </w:tr>
      <w:tr w14:paraId="546E9F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26B4D9D">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一年内到期的非流动资产</w:t>
            </w:r>
          </w:p>
        </w:tc>
        <w:tc>
          <w:tcPr>
            <w:tcW w:w="1133" w:type="dxa"/>
            <w:tcBorders>
              <w:top w:val="outset" w:color="auto" w:sz="6" w:space="0"/>
              <w:left w:val="outset" w:color="auto" w:sz="6" w:space="0"/>
              <w:bottom w:val="outset" w:color="auto" w:sz="6" w:space="0"/>
              <w:right w:val="outset" w:color="auto" w:sz="6" w:space="0"/>
            </w:tcBorders>
            <w:vAlign w:val="center"/>
          </w:tcPr>
          <w:p w14:paraId="3A933C5A">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7AB38BAC">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A4E199E">
            <w:pPr>
              <w:jc w:val="right"/>
              <w:rPr>
                <w:rFonts w:ascii="Calibri" w:hAnsi="Calibri"/>
                <w:sz w:val="20"/>
                <w:szCs w:val="20"/>
              </w:rPr>
            </w:pPr>
          </w:p>
        </w:tc>
      </w:tr>
      <w:tr w14:paraId="0761FC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31AA022">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其他流动资产</w:t>
            </w:r>
          </w:p>
        </w:tc>
        <w:tc>
          <w:tcPr>
            <w:tcW w:w="1133" w:type="dxa"/>
            <w:tcBorders>
              <w:top w:val="outset" w:color="auto" w:sz="6" w:space="0"/>
              <w:left w:val="outset" w:color="auto" w:sz="6" w:space="0"/>
              <w:bottom w:val="outset" w:color="auto" w:sz="6" w:space="0"/>
              <w:right w:val="outset" w:color="auto" w:sz="6" w:space="0"/>
            </w:tcBorders>
            <w:vAlign w:val="center"/>
          </w:tcPr>
          <w:p w14:paraId="1688553F">
            <w:pPr>
              <w:pStyle w:val="48"/>
              <w:jc w:val="center"/>
              <w:rPr>
                <w:sz w:val="20"/>
                <w:szCs w:val="20"/>
              </w:rPr>
            </w:pPr>
            <w:r>
              <w:rPr>
                <w:rFonts w:hint="eastAsia"/>
                <w:sz w:val="20"/>
                <w:szCs w:val="20"/>
              </w:rPr>
              <w:t>1</w:t>
            </w:r>
            <w:r>
              <w:rPr>
                <w:sz w:val="20"/>
                <w:szCs w:val="20"/>
              </w:rPr>
              <w:t>3</w:t>
            </w:r>
          </w:p>
        </w:tc>
        <w:tc>
          <w:tcPr>
            <w:tcW w:w="2550" w:type="dxa"/>
            <w:tcBorders>
              <w:top w:val="outset" w:color="auto" w:sz="6" w:space="0"/>
              <w:left w:val="outset" w:color="auto" w:sz="6" w:space="0"/>
              <w:bottom w:val="outset" w:color="auto" w:sz="6" w:space="0"/>
              <w:right w:val="outset" w:color="auto" w:sz="6" w:space="0"/>
            </w:tcBorders>
            <w:vAlign w:val="center"/>
          </w:tcPr>
          <w:p w14:paraId="4139A5FC">
            <w:pPr>
              <w:jc w:val="right"/>
              <w:rPr>
                <w:rFonts w:ascii="Calibri" w:hAnsi="Calibri"/>
                <w:sz w:val="20"/>
                <w:szCs w:val="20"/>
              </w:rPr>
            </w:pPr>
            <w:r>
              <w:rPr>
                <w:rFonts w:ascii="Calibri" w:hAnsi="Calibri"/>
                <w:sz w:val="20"/>
                <w:szCs w:val="20"/>
              </w:rPr>
              <w:t>12,852,814.19</w:t>
            </w:r>
          </w:p>
        </w:tc>
        <w:tc>
          <w:tcPr>
            <w:tcW w:w="2411" w:type="dxa"/>
            <w:tcBorders>
              <w:top w:val="outset" w:color="auto" w:sz="6" w:space="0"/>
              <w:left w:val="outset" w:color="auto" w:sz="6" w:space="0"/>
              <w:bottom w:val="outset" w:color="auto" w:sz="6" w:space="0"/>
              <w:right w:val="outset" w:color="auto" w:sz="6" w:space="0"/>
            </w:tcBorders>
            <w:vAlign w:val="center"/>
          </w:tcPr>
          <w:p w14:paraId="0FACFB42">
            <w:pPr>
              <w:jc w:val="right"/>
              <w:rPr>
                <w:rFonts w:ascii="Calibri" w:hAnsi="Calibri"/>
                <w:sz w:val="20"/>
                <w:szCs w:val="20"/>
              </w:rPr>
            </w:pPr>
            <w:r>
              <w:rPr>
                <w:rFonts w:ascii="Calibri" w:hAnsi="Calibri"/>
                <w:sz w:val="20"/>
                <w:szCs w:val="20"/>
              </w:rPr>
              <w:t>44,197,024.41</w:t>
            </w:r>
          </w:p>
        </w:tc>
      </w:tr>
      <w:tr w14:paraId="019859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AE891C2">
            <w:pPr>
              <w:ind w:firstLine="400" w:firstLineChars="2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流动资产合计</w:t>
            </w:r>
          </w:p>
        </w:tc>
        <w:tc>
          <w:tcPr>
            <w:tcW w:w="1133" w:type="dxa"/>
            <w:tcBorders>
              <w:top w:val="outset" w:color="auto" w:sz="6" w:space="0"/>
              <w:left w:val="outset" w:color="auto" w:sz="6" w:space="0"/>
              <w:bottom w:val="outset" w:color="auto" w:sz="6" w:space="0"/>
              <w:right w:val="outset" w:color="auto" w:sz="6" w:space="0"/>
            </w:tcBorders>
            <w:vAlign w:val="center"/>
          </w:tcPr>
          <w:p w14:paraId="03A2CD89">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E6A8554">
            <w:pPr>
              <w:jc w:val="right"/>
              <w:rPr>
                <w:rFonts w:ascii="Calibri" w:hAnsi="Calibri"/>
                <w:sz w:val="20"/>
                <w:szCs w:val="20"/>
              </w:rPr>
            </w:pPr>
            <w:r>
              <w:rPr>
                <w:rFonts w:ascii="Calibri" w:hAnsi="Calibri"/>
                <w:sz w:val="20"/>
                <w:szCs w:val="20"/>
              </w:rPr>
              <w:t>2,746,728,505.97</w:t>
            </w:r>
          </w:p>
        </w:tc>
        <w:tc>
          <w:tcPr>
            <w:tcW w:w="2411" w:type="dxa"/>
            <w:tcBorders>
              <w:top w:val="outset" w:color="auto" w:sz="6" w:space="0"/>
              <w:left w:val="outset" w:color="auto" w:sz="6" w:space="0"/>
              <w:bottom w:val="outset" w:color="auto" w:sz="6" w:space="0"/>
              <w:right w:val="outset" w:color="auto" w:sz="6" w:space="0"/>
            </w:tcBorders>
            <w:vAlign w:val="center"/>
          </w:tcPr>
          <w:p w14:paraId="1105E5ED">
            <w:pPr>
              <w:jc w:val="right"/>
              <w:rPr>
                <w:rFonts w:ascii="Calibri" w:hAnsi="Calibri"/>
                <w:sz w:val="20"/>
                <w:szCs w:val="20"/>
              </w:rPr>
            </w:pPr>
            <w:r>
              <w:rPr>
                <w:rFonts w:ascii="Calibri" w:hAnsi="Calibri"/>
                <w:sz w:val="20"/>
                <w:szCs w:val="20"/>
              </w:rPr>
              <w:t>2,009,916,156.83</w:t>
            </w:r>
          </w:p>
        </w:tc>
      </w:tr>
      <w:tr w14:paraId="760B15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b01add84ac3492abc16500182326d8e"/>
            <w:id w:val="1289466156"/>
          </w:sdtPr>
          <w:sdtContent>
            <w:tc>
              <w:tcPr>
                <w:tcW w:w="9038" w:type="dxa"/>
                <w:gridSpan w:val="4"/>
                <w:tcBorders>
                  <w:top w:val="outset" w:color="auto" w:sz="6" w:space="0"/>
                  <w:left w:val="outset" w:color="auto" w:sz="6" w:space="0"/>
                  <w:bottom w:val="outset" w:color="auto" w:sz="6" w:space="0"/>
                  <w:right w:val="outset" w:color="auto" w:sz="6" w:space="0"/>
                </w:tcBorders>
                <w:vAlign w:val="center"/>
              </w:tcPr>
              <w:p w14:paraId="73A07509">
                <w:pPr>
                  <w:rPr>
                    <w:rFonts w:ascii="Calibri" w:hAnsi="Calibri"/>
                    <w:color w:val="000000" w:themeColor="text1"/>
                    <w:sz w:val="20"/>
                    <w:szCs w:val="20"/>
                    <w14:textFill>
                      <w14:solidFill>
                        <w14:schemeClr w14:val="tx1"/>
                      </w14:solidFill>
                    </w14:textFill>
                  </w:rPr>
                </w:pPr>
                <w:r>
                  <w:rPr>
                    <w:rFonts w:hint="eastAsia" w:ascii="Calibri" w:hAnsi="Calibri"/>
                    <w:b/>
                    <w:color w:val="000000" w:themeColor="text1"/>
                    <w:sz w:val="20"/>
                    <w:szCs w:val="20"/>
                    <w14:textFill>
                      <w14:solidFill>
                        <w14:schemeClr w14:val="tx1"/>
                      </w14:solidFill>
                    </w14:textFill>
                  </w:rPr>
                  <w:t>非流动资产：</w:t>
                </w:r>
              </w:p>
            </w:tc>
          </w:sdtContent>
        </w:sdt>
      </w:tr>
      <w:tr w14:paraId="2AACB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986C603">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发放贷款和垫款</w:t>
            </w:r>
          </w:p>
        </w:tc>
        <w:tc>
          <w:tcPr>
            <w:tcW w:w="1133" w:type="dxa"/>
            <w:tcBorders>
              <w:top w:val="outset" w:color="auto" w:sz="6" w:space="0"/>
              <w:left w:val="outset" w:color="auto" w:sz="6" w:space="0"/>
              <w:bottom w:val="outset" w:color="auto" w:sz="6" w:space="0"/>
              <w:right w:val="outset" w:color="auto" w:sz="6" w:space="0"/>
            </w:tcBorders>
            <w:vAlign w:val="center"/>
          </w:tcPr>
          <w:p w14:paraId="58F871A3">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9144FF2">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C946009">
            <w:pPr>
              <w:jc w:val="right"/>
              <w:rPr>
                <w:rFonts w:ascii="Calibri" w:hAnsi="Calibri"/>
                <w:sz w:val="20"/>
                <w:szCs w:val="20"/>
              </w:rPr>
            </w:pPr>
          </w:p>
        </w:tc>
      </w:tr>
      <w:tr w14:paraId="3069A0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5BE93C6">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债权投资</w:t>
            </w:r>
          </w:p>
        </w:tc>
        <w:tc>
          <w:tcPr>
            <w:tcW w:w="1133" w:type="dxa"/>
            <w:tcBorders>
              <w:top w:val="outset" w:color="auto" w:sz="6" w:space="0"/>
              <w:left w:val="outset" w:color="auto" w:sz="6" w:space="0"/>
              <w:bottom w:val="outset" w:color="auto" w:sz="6" w:space="0"/>
              <w:right w:val="outset" w:color="auto" w:sz="6" w:space="0"/>
            </w:tcBorders>
            <w:vAlign w:val="center"/>
          </w:tcPr>
          <w:p w14:paraId="22F306C7">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64317C9D">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F58001C">
            <w:pPr>
              <w:jc w:val="right"/>
              <w:rPr>
                <w:rFonts w:ascii="Calibri" w:hAnsi="Calibri"/>
                <w:sz w:val="20"/>
                <w:szCs w:val="20"/>
              </w:rPr>
            </w:pPr>
          </w:p>
        </w:tc>
      </w:tr>
      <w:tr w14:paraId="393BEF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555507BE">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其他债权投资</w:t>
            </w:r>
          </w:p>
        </w:tc>
        <w:tc>
          <w:tcPr>
            <w:tcW w:w="1133" w:type="dxa"/>
            <w:tcBorders>
              <w:top w:val="outset" w:color="auto" w:sz="6" w:space="0"/>
              <w:left w:val="outset" w:color="auto" w:sz="6" w:space="0"/>
              <w:bottom w:val="outset" w:color="auto" w:sz="6" w:space="0"/>
              <w:right w:val="outset" w:color="auto" w:sz="6" w:space="0"/>
            </w:tcBorders>
            <w:vAlign w:val="center"/>
          </w:tcPr>
          <w:p w14:paraId="6FFAEDBF">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F076CD1">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1FDC0E78">
            <w:pPr>
              <w:jc w:val="right"/>
              <w:rPr>
                <w:rFonts w:ascii="Calibri" w:hAnsi="Calibri"/>
                <w:sz w:val="20"/>
                <w:szCs w:val="20"/>
              </w:rPr>
            </w:pPr>
          </w:p>
        </w:tc>
      </w:tr>
      <w:tr w14:paraId="68828C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0B9932A">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长期应收款</w:t>
            </w:r>
          </w:p>
        </w:tc>
        <w:tc>
          <w:tcPr>
            <w:tcW w:w="1133" w:type="dxa"/>
            <w:tcBorders>
              <w:top w:val="outset" w:color="auto" w:sz="6" w:space="0"/>
              <w:left w:val="outset" w:color="auto" w:sz="6" w:space="0"/>
              <w:bottom w:val="outset" w:color="auto" w:sz="6" w:space="0"/>
              <w:right w:val="outset" w:color="auto" w:sz="6" w:space="0"/>
            </w:tcBorders>
            <w:vAlign w:val="center"/>
          </w:tcPr>
          <w:p w14:paraId="09782FA3">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2972BF2">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12C4149C">
            <w:pPr>
              <w:jc w:val="right"/>
              <w:rPr>
                <w:rFonts w:ascii="Calibri" w:hAnsi="Calibri"/>
                <w:sz w:val="20"/>
                <w:szCs w:val="20"/>
              </w:rPr>
            </w:pPr>
          </w:p>
        </w:tc>
      </w:tr>
      <w:tr w14:paraId="4D107D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450636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长期股权投资</w:t>
            </w:r>
          </w:p>
        </w:tc>
        <w:tc>
          <w:tcPr>
            <w:tcW w:w="1133" w:type="dxa"/>
            <w:tcBorders>
              <w:top w:val="outset" w:color="auto" w:sz="6" w:space="0"/>
              <w:left w:val="outset" w:color="auto" w:sz="6" w:space="0"/>
              <w:bottom w:val="outset" w:color="auto" w:sz="6" w:space="0"/>
              <w:right w:val="outset" w:color="auto" w:sz="6" w:space="0"/>
            </w:tcBorders>
            <w:vAlign w:val="center"/>
          </w:tcPr>
          <w:p w14:paraId="2F300596">
            <w:pPr>
              <w:pStyle w:val="48"/>
              <w:jc w:val="center"/>
              <w:rPr>
                <w:sz w:val="20"/>
                <w:szCs w:val="20"/>
              </w:rPr>
            </w:pPr>
            <w:r>
              <w:rPr>
                <w:rFonts w:hint="eastAsia"/>
                <w:sz w:val="20"/>
                <w:szCs w:val="20"/>
              </w:rPr>
              <w:t>1</w:t>
            </w:r>
            <w:r>
              <w:rPr>
                <w:sz w:val="20"/>
                <w:szCs w:val="20"/>
              </w:rPr>
              <w:t>7</w:t>
            </w:r>
          </w:p>
        </w:tc>
        <w:tc>
          <w:tcPr>
            <w:tcW w:w="2550" w:type="dxa"/>
            <w:tcBorders>
              <w:top w:val="outset" w:color="auto" w:sz="6" w:space="0"/>
              <w:left w:val="outset" w:color="auto" w:sz="6" w:space="0"/>
              <w:bottom w:val="outset" w:color="auto" w:sz="6" w:space="0"/>
              <w:right w:val="outset" w:color="auto" w:sz="6" w:space="0"/>
            </w:tcBorders>
            <w:vAlign w:val="center"/>
          </w:tcPr>
          <w:p w14:paraId="4DEC845A">
            <w:pPr>
              <w:jc w:val="right"/>
              <w:rPr>
                <w:rFonts w:ascii="Calibri" w:hAnsi="Calibri"/>
                <w:sz w:val="20"/>
                <w:szCs w:val="20"/>
              </w:rPr>
            </w:pPr>
            <w:r>
              <w:rPr>
                <w:rFonts w:ascii="Calibri" w:hAnsi="Calibri"/>
                <w:sz w:val="20"/>
                <w:szCs w:val="20"/>
              </w:rPr>
              <w:t>500,580,942.86</w:t>
            </w:r>
          </w:p>
        </w:tc>
        <w:tc>
          <w:tcPr>
            <w:tcW w:w="2411" w:type="dxa"/>
            <w:tcBorders>
              <w:top w:val="outset" w:color="auto" w:sz="6" w:space="0"/>
              <w:left w:val="outset" w:color="auto" w:sz="6" w:space="0"/>
              <w:bottom w:val="outset" w:color="auto" w:sz="6" w:space="0"/>
              <w:right w:val="outset" w:color="auto" w:sz="6" w:space="0"/>
            </w:tcBorders>
            <w:vAlign w:val="center"/>
          </w:tcPr>
          <w:p w14:paraId="05F7E600">
            <w:pPr>
              <w:jc w:val="right"/>
              <w:rPr>
                <w:rFonts w:ascii="Calibri" w:hAnsi="Calibri"/>
                <w:sz w:val="20"/>
                <w:szCs w:val="20"/>
              </w:rPr>
            </w:pPr>
            <w:r>
              <w:rPr>
                <w:rFonts w:ascii="Calibri" w:hAnsi="Calibri"/>
                <w:sz w:val="20"/>
                <w:szCs w:val="20"/>
              </w:rPr>
              <w:t>591,545,639.62</w:t>
            </w:r>
          </w:p>
        </w:tc>
      </w:tr>
      <w:tr w14:paraId="5F8A6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CD0612A">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其他权益工具投资</w:t>
            </w:r>
          </w:p>
        </w:tc>
        <w:tc>
          <w:tcPr>
            <w:tcW w:w="1133" w:type="dxa"/>
            <w:tcBorders>
              <w:top w:val="outset" w:color="auto" w:sz="6" w:space="0"/>
              <w:left w:val="outset" w:color="auto" w:sz="6" w:space="0"/>
              <w:bottom w:val="outset" w:color="auto" w:sz="6" w:space="0"/>
              <w:right w:val="outset" w:color="auto" w:sz="6" w:space="0"/>
            </w:tcBorders>
            <w:vAlign w:val="center"/>
          </w:tcPr>
          <w:p w14:paraId="76DC31CE">
            <w:pPr>
              <w:pStyle w:val="48"/>
              <w:jc w:val="center"/>
              <w:rPr>
                <w:sz w:val="20"/>
                <w:szCs w:val="20"/>
              </w:rPr>
            </w:pPr>
            <w:r>
              <w:rPr>
                <w:rFonts w:hint="eastAsia"/>
                <w:sz w:val="20"/>
                <w:szCs w:val="20"/>
              </w:rPr>
              <w:t>1</w:t>
            </w:r>
            <w:r>
              <w:rPr>
                <w:sz w:val="20"/>
                <w:szCs w:val="20"/>
              </w:rPr>
              <w:t>8</w:t>
            </w:r>
          </w:p>
        </w:tc>
        <w:tc>
          <w:tcPr>
            <w:tcW w:w="2550" w:type="dxa"/>
            <w:tcBorders>
              <w:top w:val="outset" w:color="auto" w:sz="6" w:space="0"/>
              <w:left w:val="outset" w:color="auto" w:sz="6" w:space="0"/>
              <w:bottom w:val="outset" w:color="auto" w:sz="6" w:space="0"/>
              <w:right w:val="outset" w:color="auto" w:sz="6" w:space="0"/>
            </w:tcBorders>
            <w:vAlign w:val="center"/>
          </w:tcPr>
          <w:p w14:paraId="360225AC">
            <w:pPr>
              <w:jc w:val="right"/>
              <w:rPr>
                <w:rFonts w:ascii="Calibri" w:hAnsi="Calibri"/>
                <w:sz w:val="20"/>
                <w:szCs w:val="20"/>
              </w:rPr>
            </w:pPr>
            <w:r>
              <w:rPr>
                <w:rFonts w:ascii="Calibri" w:hAnsi="Calibri"/>
                <w:sz w:val="20"/>
                <w:szCs w:val="20"/>
              </w:rPr>
              <w:t>68,693,369.96</w:t>
            </w:r>
          </w:p>
        </w:tc>
        <w:tc>
          <w:tcPr>
            <w:tcW w:w="2411" w:type="dxa"/>
            <w:tcBorders>
              <w:top w:val="outset" w:color="auto" w:sz="6" w:space="0"/>
              <w:left w:val="outset" w:color="auto" w:sz="6" w:space="0"/>
              <w:bottom w:val="outset" w:color="auto" w:sz="6" w:space="0"/>
              <w:right w:val="outset" w:color="auto" w:sz="6" w:space="0"/>
            </w:tcBorders>
            <w:vAlign w:val="center"/>
          </w:tcPr>
          <w:p w14:paraId="055CBF21">
            <w:pPr>
              <w:jc w:val="right"/>
              <w:rPr>
                <w:rFonts w:ascii="Calibri" w:hAnsi="Calibri"/>
                <w:sz w:val="20"/>
                <w:szCs w:val="20"/>
              </w:rPr>
            </w:pPr>
            <w:r>
              <w:rPr>
                <w:rFonts w:ascii="Calibri" w:hAnsi="Calibri"/>
                <w:sz w:val="20"/>
                <w:szCs w:val="20"/>
              </w:rPr>
              <w:t>36,200,000.00</w:t>
            </w:r>
          </w:p>
        </w:tc>
      </w:tr>
      <w:tr w14:paraId="21C322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A65AE89">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其他非流动金融资产</w:t>
            </w:r>
          </w:p>
        </w:tc>
        <w:tc>
          <w:tcPr>
            <w:tcW w:w="1133" w:type="dxa"/>
            <w:tcBorders>
              <w:top w:val="outset" w:color="auto" w:sz="6" w:space="0"/>
              <w:left w:val="outset" w:color="auto" w:sz="6" w:space="0"/>
              <w:bottom w:val="outset" w:color="auto" w:sz="6" w:space="0"/>
              <w:right w:val="outset" w:color="auto" w:sz="6" w:space="0"/>
            </w:tcBorders>
            <w:vAlign w:val="center"/>
          </w:tcPr>
          <w:p w14:paraId="43FFF4CB">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13F6930">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2E6DB06C">
            <w:pPr>
              <w:jc w:val="right"/>
              <w:rPr>
                <w:rFonts w:ascii="Calibri" w:hAnsi="Calibri"/>
                <w:sz w:val="20"/>
                <w:szCs w:val="20"/>
              </w:rPr>
            </w:pPr>
          </w:p>
        </w:tc>
      </w:tr>
      <w:tr w14:paraId="1F9679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3F881A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投资性房地产</w:t>
            </w:r>
          </w:p>
        </w:tc>
        <w:tc>
          <w:tcPr>
            <w:tcW w:w="1133" w:type="dxa"/>
            <w:tcBorders>
              <w:top w:val="outset" w:color="auto" w:sz="6" w:space="0"/>
              <w:left w:val="outset" w:color="auto" w:sz="6" w:space="0"/>
              <w:bottom w:val="outset" w:color="auto" w:sz="6" w:space="0"/>
              <w:right w:val="outset" w:color="auto" w:sz="6" w:space="0"/>
            </w:tcBorders>
            <w:vAlign w:val="center"/>
          </w:tcPr>
          <w:p w14:paraId="154C2117">
            <w:pPr>
              <w:pStyle w:val="48"/>
              <w:jc w:val="center"/>
              <w:rPr>
                <w:sz w:val="20"/>
                <w:szCs w:val="20"/>
              </w:rPr>
            </w:pPr>
            <w:r>
              <w:rPr>
                <w:rFonts w:hint="eastAsia"/>
                <w:sz w:val="20"/>
                <w:szCs w:val="20"/>
              </w:rPr>
              <w:t>2</w:t>
            </w:r>
            <w:r>
              <w:rPr>
                <w:sz w:val="20"/>
                <w:szCs w:val="20"/>
              </w:rPr>
              <w:t>0</w:t>
            </w:r>
          </w:p>
        </w:tc>
        <w:tc>
          <w:tcPr>
            <w:tcW w:w="2550" w:type="dxa"/>
            <w:tcBorders>
              <w:top w:val="outset" w:color="auto" w:sz="6" w:space="0"/>
              <w:left w:val="outset" w:color="auto" w:sz="6" w:space="0"/>
              <w:bottom w:val="outset" w:color="auto" w:sz="6" w:space="0"/>
              <w:right w:val="outset" w:color="auto" w:sz="6" w:space="0"/>
            </w:tcBorders>
            <w:vAlign w:val="center"/>
          </w:tcPr>
          <w:p w14:paraId="6E1EE541">
            <w:pPr>
              <w:jc w:val="right"/>
              <w:rPr>
                <w:rFonts w:ascii="Calibri" w:hAnsi="Calibri"/>
                <w:sz w:val="20"/>
                <w:szCs w:val="20"/>
              </w:rPr>
            </w:pPr>
            <w:r>
              <w:rPr>
                <w:rFonts w:ascii="Calibri" w:hAnsi="Calibri"/>
                <w:sz w:val="20"/>
                <w:szCs w:val="20"/>
              </w:rPr>
              <w:t>87,422,250.85</w:t>
            </w:r>
          </w:p>
        </w:tc>
        <w:tc>
          <w:tcPr>
            <w:tcW w:w="2411" w:type="dxa"/>
            <w:tcBorders>
              <w:top w:val="outset" w:color="auto" w:sz="6" w:space="0"/>
              <w:left w:val="outset" w:color="auto" w:sz="6" w:space="0"/>
              <w:bottom w:val="outset" w:color="auto" w:sz="6" w:space="0"/>
              <w:right w:val="outset" w:color="auto" w:sz="6" w:space="0"/>
            </w:tcBorders>
            <w:vAlign w:val="center"/>
          </w:tcPr>
          <w:p w14:paraId="30820799">
            <w:pPr>
              <w:jc w:val="right"/>
              <w:rPr>
                <w:rFonts w:ascii="Calibri" w:hAnsi="Calibri"/>
                <w:sz w:val="20"/>
                <w:szCs w:val="20"/>
              </w:rPr>
            </w:pPr>
            <w:r>
              <w:rPr>
                <w:rFonts w:ascii="Calibri" w:hAnsi="Calibri"/>
                <w:sz w:val="20"/>
                <w:szCs w:val="20"/>
              </w:rPr>
              <w:t>96,323,096.12</w:t>
            </w:r>
          </w:p>
        </w:tc>
      </w:tr>
      <w:tr w14:paraId="51A315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AFBB87A">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固定资产</w:t>
            </w:r>
          </w:p>
        </w:tc>
        <w:tc>
          <w:tcPr>
            <w:tcW w:w="1133" w:type="dxa"/>
            <w:tcBorders>
              <w:top w:val="outset" w:color="auto" w:sz="6" w:space="0"/>
              <w:left w:val="outset" w:color="auto" w:sz="6" w:space="0"/>
              <w:bottom w:val="outset" w:color="auto" w:sz="6" w:space="0"/>
              <w:right w:val="outset" w:color="auto" w:sz="6" w:space="0"/>
            </w:tcBorders>
            <w:vAlign w:val="center"/>
          </w:tcPr>
          <w:p w14:paraId="526B1023">
            <w:pPr>
              <w:pStyle w:val="48"/>
              <w:jc w:val="center"/>
              <w:rPr>
                <w:sz w:val="20"/>
                <w:szCs w:val="20"/>
              </w:rPr>
            </w:pPr>
            <w:r>
              <w:rPr>
                <w:rFonts w:hint="eastAsia"/>
                <w:sz w:val="20"/>
                <w:szCs w:val="20"/>
              </w:rPr>
              <w:t>2</w:t>
            </w:r>
            <w:r>
              <w:rPr>
                <w:sz w:val="20"/>
                <w:szCs w:val="20"/>
              </w:rPr>
              <w:t>1</w:t>
            </w:r>
          </w:p>
        </w:tc>
        <w:tc>
          <w:tcPr>
            <w:tcW w:w="2550" w:type="dxa"/>
            <w:tcBorders>
              <w:top w:val="outset" w:color="auto" w:sz="6" w:space="0"/>
              <w:left w:val="outset" w:color="auto" w:sz="6" w:space="0"/>
              <w:bottom w:val="outset" w:color="auto" w:sz="6" w:space="0"/>
              <w:right w:val="outset" w:color="auto" w:sz="6" w:space="0"/>
            </w:tcBorders>
            <w:vAlign w:val="center"/>
          </w:tcPr>
          <w:p w14:paraId="61AF1E4A">
            <w:pPr>
              <w:jc w:val="right"/>
              <w:rPr>
                <w:rFonts w:ascii="Calibri" w:hAnsi="Calibri"/>
                <w:sz w:val="20"/>
                <w:szCs w:val="20"/>
              </w:rPr>
            </w:pPr>
            <w:r>
              <w:rPr>
                <w:rFonts w:ascii="Calibri" w:hAnsi="Calibri"/>
                <w:sz w:val="20"/>
                <w:szCs w:val="20"/>
              </w:rPr>
              <w:t>2,335,527,393.40</w:t>
            </w:r>
          </w:p>
        </w:tc>
        <w:tc>
          <w:tcPr>
            <w:tcW w:w="2411" w:type="dxa"/>
            <w:tcBorders>
              <w:top w:val="outset" w:color="auto" w:sz="6" w:space="0"/>
              <w:left w:val="outset" w:color="auto" w:sz="6" w:space="0"/>
              <w:bottom w:val="outset" w:color="auto" w:sz="6" w:space="0"/>
              <w:right w:val="outset" w:color="auto" w:sz="6" w:space="0"/>
            </w:tcBorders>
            <w:vAlign w:val="center"/>
          </w:tcPr>
          <w:p w14:paraId="34670A2C">
            <w:pPr>
              <w:jc w:val="right"/>
              <w:rPr>
                <w:rFonts w:ascii="Calibri" w:hAnsi="Calibri"/>
                <w:sz w:val="20"/>
                <w:szCs w:val="20"/>
              </w:rPr>
            </w:pPr>
            <w:r>
              <w:rPr>
                <w:rFonts w:ascii="Calibri" w:hAnsi="Calibri"/>
                <w:sz w:val="20"/>
                <w:szCs w:val="20"/>
              </w:rPr>
              <w:t>2,482,294,125.72</w:t>
            </w:r>
          </w:p>
        </w:tc>
      </w:tr>
      <w:tr w14:paraId="762A36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2AF19A7">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在建工程</w:t>
            </w:r>
          </w:p>
        </w:tc>
        <w:tc>
          <w:tcPr>
            <w:tcW w:w="1133" w:type="dxa"/>
            <w:tcBorders>
              <w:top w:val="outset" w:color="auto" w:sz="6" w:space="0"/>
              <w:left w:val="outset" w:color="auto" w:sz="6" w:space="0"/>
              <w:bottom w:val="outset" w:color="auto" w:sz="6" w:space="0"/>
              <w:right w:val="outset" w:color="auto" w:sz="6" w:space="0"/>
            </w:tcBorders>
            <w:vAlign w:val="center"/>
          </w:tcPr>
          <w:p w14:paraId="1F88BDF1">
            <w:pPr>
              <w:pStyle w:val="48"/>
              <w:jc w:val="center"/>
              <w:rPr>
                <w:sz w:val="20"/>
                <w:szCs w:val="20"/>
              </w:rPr>
            </w:pPr>
            <w:r>
              <w:rPr>
                <w:rFonts w:hint="eastAsia"/>
                <w:sz w:val="20"/>
                <w:szCs w:val="20"/>
              </w:rPr>
              <w:t>2</w:t>
            </w:r>
            <w:r>
              <w:rPr>
                <w:sz w:val="20"/>
                <w:szCs w:val="20"/>
              </w:rPr>
              <w:t>2</w:t>
            </w:r>
          </w:p>
        </w:tc>
        <w:tc>
          <w:tcPr>
            <w:tcW w:w="2550" w:type="dxa"/>
            <w:tcBorders>
              <w:top w:val="outset" w:color="auto" w:sz="6" w:space="0"/>
              <w:left w:val="outset" w:color="auto" w:sz="6" w:space="0"/>
              <w:bottom w:val="outset" w:color="auto" w:sz="6" w:space="0"/>
              <w:right w:val="outset" w:color="auto" w:sz="6" w:space="0"/>
            </w:tcBorders>
            <w:vAlign w:val="center"/>
          </w:tcPr>
          <w:p w14:paraId="73CC7797">
            <w:pPr>
              <w:jc w:val="right"/>
              <w:rPr>
                <w:rFonts w:ascii="Calibri" w:hAnsi="Calibri"/>
                <w:sz w:val="20"/>
                <w:szCs w:val="20"/>
              </w:rPr>
            </w:pPr>
            <w:r>
              <w:rPr>
                <w:rFonts w:ascii="Calibri" w:hAnsi="Calibri"/>
                <w:sz w:val="20"/>
                <w:szCs w:val="20"/>
              </w:rPr>
              <w:t>169,504,027.65</w:t>
            </w:r>
          </w:p>
        </w:tc>
        <w:tc>
          <w:tcPr>
            <w:tcW w:w="2411" w:type="dxa"/>
            <w:tcBorders>
              <w:top w:val="outset" w:color="auto" w:sz="6" w:space="0"/>
              <w:left w:val="outset" w:color="auto" w:sz="6" w:space="0"/>
              <w:bottom w:val="outset" w:color="auto" w:sz="6" w:space="0"/>
              <w:right w:val="outset" w:color="auto" w:sz="6" w:space="0"/>
            </w:tcBorders>
            <w:vAlign w:val="center"/>
          </w:tcPr>
          <w:p w14:paraId="508D689F">
            <w:pPr>
              <w:jc w:val="right"/>
              <w:rPr>
                <w:rFonts w:ascii="Calibri" w:hAnsi="Calibri"/>
                <w:sz w:val="20"/>
                <w:szCs w:val="20"/>
              </w:rPr>
            </w:pPr>
            <w:r>
              <w:rPr>
                <w:rFonts w:ascii="Calibri" w:hAnsi="Calibri"/>
                <w:sz w:val="20"/>
                <w:szCs w:val="20"/>
              </w:rPr>
              <w:t>226,112,962.99</w:t>
            </w:r>
          </w:p>
        </w:tc>
      </w:tr>
      <w:tr w14:paraId="24B836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B1B06B2">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生产性生物资产</w:t>
            </w:r>
          </w:p>
        </w:tc>
        <w:tc>
          <w:tcPr>
            <w:tcW w:w="1133" w:type="dxa"/>
            <w:tcBorders>
              <w:top w:val="outset" w:color="auto" w:sz="6" w:space="0"/>
              <w:left w:val="outset" w:color="auto" w:sz="6" w:space="0"/>
              <w:bottom w:val="outset" w:color="auto" w:sz="6" w:space="0"/>
              <w:right w:val="outset" w:color="auto" w:sz="6" w:space="0"/>
            </w:tcBorders>
            <w:vAlign w:val="center"/>
          </w:tcPr>
          <w:p w14:paraId="0B524FC5">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780E5E32">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558E3985">
            <w:pPr>
              <w:jc w:val="right"/>
              <w:rPr>
                <w:rFonts w:ascii="Calibri" w:hAnsi="Calibri"/>
                <w:sz w:val="20"/>
                <w:szCs w:val="20"/>
              </w:rPr>
            </w:pPr>
          </w:p>
        </w:tc>
      </w:tr>
      <w:tr w14:paraId="53594F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E06A846">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油气资产</w:t>
            </w:r>
          </w:p>
        </w:tc>
        <w:tc>
          <w:tcPr>
            <w:tcW w:w="1133" w:type="dxa"/>
            <w:tcBorders>
              <w:top w:val="outset" w:color="auto" w:sz="6" w:space="0"/>
              <w:left w:val="outset" w:color="auto" w:sz="6" w:space="0"/>
              <w:bottom w:val="outset" w:color="auto" w:sz="6" w:space="0"/>
              <w:right w:val="outset" w:color="auto" w:sz="6" w:space="0"/>
            </w:tcBorders>
            <w:vAlign w:val="center"/>
          </w:tcPr>
          <w:p w14:paraId="6DD8E3FB">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DFF17C4">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5A1D829">
            <w:pPr>
              <w:jc w:val="right"/>
              <w:rPr>
                <w:rFonts w:ascii="Calibri" w:hAnsi="Calibri"/>
                <w:sz w:val="20"/>
                <w:szCs w:val="20"/>
              </w:rPr>
            </w:pPr>
          </w:p>
        </w:tc>
      </w:tr>
      <w:tr w14:paraId="20519F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F6D7ECA">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使用权资产</w:t>
            </w:r>
          </w:p>
        </w:tc>
        <w:tc>
          <w:tcPr>
            <w:tcW w:w="1133" w:type="dxa"/>
            <w:tcBorders>
              <w:top w:val="outset" w:color="auto" w:sz="6" w:space="0"/>
              <w:left w:val="outset" w:color="auto" w:sz="6" w:space="0"/>
              <w:bottom w:val="outset" w:color="auto" w:sz="6" w:space="0"/>
              <w:right w:val="outset" w:color="auto" w:sz="6" w:space="0"/>
            </w:tcBorders>
            <w:vAlign w:val="center"/>
          </w:tcPr>
          <w:p w14:paraId="0319404F">
            <w:pPr>
              <w:pStyle w:val="48"/>
              <w:jc w:val="center"/>
              <w:rPr>
                <w:sz w:val="20"/>
                <w:szCs w:val="20"/>
              </w:rPr>
            </w:pPr>
            <w:r>
              <w:rPr>
                <w:rFonts w:hint="eastAsia"/>
                <w:sz w:val="20"/>
                <w:szCs w:val="20"/>
              </w:rPr>
              <w:t>2</w:t>
            </w:r>
            <w:r>
              <w:rPr>
                <w:sz w:val="20"/>
                <w:szCs w:val="20"/>
              </w:rPr>
              <w:t>5</w:t>
            </w:r>
          </w:p>
        </w:tc>
        <w:tc>
          <w:tcPr>
            <w:tcW w:w="2550" w:type="dxa"/>
            <w:tcBorders>
              <w:top w:val="outset" w:color="auto" w:sz="6" w:space="0"/>
              <w:left w:val="outset" w:color="auto" w:sz="6" w:space="0"/>
              <w:bottom w:val="outset" w:color="auto" w:sz="6" w:space="0"/>
              <w:right w:val="outset" w:color="auto" w:sz="6" w:space="0"/>
            </w:tcBorders>
            <w:vAlign w:val="center"/>
          </w:tcPr>
          <w:p w14:paraId="6C854053">
            <w:pPr>
              <w:jc w:val="right"/>
              <w:rPr>
                <w:rFonts w:ascii="Calibri" w:hAnsi="Calibri"/>
                <w:sz w:val="20"/>
                <w:szCs w:val="20"/>
              </w:rPr>
            </w:pPr>
            <w:r>
              <w:rPr>
                <w:rFonts w:ascii="Calibri" w:hAnsi="Calibri"/>
                <w:sz w:val="20"/>
                <w:szCs w:val="20"/>
              </w:rPr>
              <w:t>32,601,515.94</w:t>
            </w:r>
          </w:p>
        </w:tc>
        <w:tc>
          <w:tcPr>
            <w:tcW w:w="2411" w:type="dxa"/>
            <w:tcBorders>
              <w:top w:val="outset" w:color="auto" w:sz="6" w:space="0"/>
              <w:left w:val="outset" w:color="auto" w:sz="6" w:space="0"/>
              <w:bottom w:val="outset" w:color="auto" w:sz="6" w:space="0"/>
              <w:right w:val="outset" w:color="auto" w:sz="6" w:space="0"/>
            </w:tcBorders>
            <w:vAlign w:val="center"/>
          </w:tcPr>
          <w:p w14:paraId="0E7C967A">
            <w:pPr>
              <w:jc w:val="right"/>
              <w:rPr>
                <w:rFonts w:ascii="Calibri" w:hAnsi="Calibri"/>
                <w:sz w:val="20"/>
                <w:szCs w:val="20"/>
              </w:rPr>
            </w:pPr>
            <w:r>
              <w:rPr>
                <w:rFonts w:ascii="Calibri" w:hAnsi="Calibri"/>
                <w:sz w:val="20"/>
                <w:szCs w:val="20"/>
              </w:rPr>
              <w:t>23,680,025.11</w:t>
            </w:r>
          </w:p>
        </w:tc>
      </w:tr>
      <w:tr w14:paraId="5C7D91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E3A42CF">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无形资产</w:t>
            </w:r>
          </w:p>
        </w:tc>
        <w:tc>
          <w:tcPr>
            <w:tcW w:w="1133" w:type="dxa"/>
            <w:tcBorders>
              <w:top w:val="outset" w:color="auto" w:sz="6" w:space="0"/>
              <w:left w:val="outset" w:color="auto" w:sz="6" w:space="0"/>
              <w:bottom w:val="outset" w:color="auto" w:sz="6" w:space="0"/>
              <w:right w:val="outset" w:color="auto" w:sz="6" w:space="0"/>
            </w:tcBorders>
            <w:vAlign w:val="center"/>
          </w:tcPr>
          <w:p w14:paraId="22DBBCDA">
            <w:pPr>
              <w:pStyle w:val="48"/>
              <w:jc w:val="center"/>
              <w:rPr>
                <w:sz w:val="20"/>
                <w:szCs w:val="20"/>
              </w:rPr>
            </w:pPr>
            <w:r>
              <w:rPr>
                <w:rFonts w:hint="eastAsia"/>
                <w:sz w:val="20"/>
                <w:szCs w:val="20"/>
              </w:rPr>
              <w:t>2</w:t>
            </w:r>
            <w:r>
              <w:rPr>
                <w:sz w:val="20"/>
                <w:szCs w:val="20"/>
              </w:rPr>
              <w:t>6</w:t>
            </w:r>
          </w:p>
        </w:tc>
        <w:tc>
          <w:tcPr>
            <w:tcW w:w="2550" w:type="dxa"/>
            <w:tcBorders>
              <w:top w:val="outset" w:color="auto" w:sz="6" w:space="0"/>
              <w:left w:val="outset" w:color="auto" w:sz="6" w:space="0"/>
              <w:bottom w:val="outset" w:color="auto" w:sz="6" w:space="0"/>
              <w:right w:val="outset" w:color="auto" w:sz="6" w:space="0"/>
            </w:tcBorders>
            <w:vAlign w:val="center"/>
          </w:tcPr>
          <w:p w14:paraId="0A8AC0BE">
            <w:pPr>
              <w:jc w:val="right"/>
              <w:rPr>
                <w:rFonts w:ascii="Calibri" w:hAnsi="Calibri"/>
                <w:sz w:val="20"/>
                <w:szCs w:val="20"/>
              </w:rPr>
            </w:pPr>
            <w:r>
              <w:rPr>
                <w:rFonts w:ascii="Calibri" w:hAnsi="Calibri"/>
                <w:sz w:val="20"/>
                <w:szCs w:val="20"/>
              </w:rPr>
              <w:t>547,984,836.47</w:t>
            </w:r>
          </w:p>
        </w:tc>
        <w:tc>
          <w:tcPr>
            <w:tcW w:w="2411" w:type="dxa"/>
            <w:tcBorders>
              <w:top w:val="outset" w:color="auto" w:sz="6" w:space="0"/>
              <w:left w:val="outset" w:color="auto" w:sz="6" w:space="0"/>
              <w:bottom w:val="outset" w:color="auto" w:sz="6" w:space="0"/>
              <w:right w:val="outset" w:color="auto" w:sz="6" w:space="0"/>
            </w:tcBorders>
            <w:vAlign w:val="center"/>
          </w:tcPr>
          <w:p w14:paraId="20AF9CC5">
            <w:pPr>
              <w:jc w:val="right"/>
              <w:rPr>
                <w:rFonts w:ascii="Calibri" w:hAnsi="Calibri"/>
                <w:sz w:val="20"/>
                <w:szCs w:val="20"/>
              </w:rPr>
            </w:pPr>
            <w:r>
              <w:rPr>
                <w:rFonts w:ascii="Calibri" w:hAnsi="Calibri"/>
                <w:sz w:val="20"/>
                <w:szCs w:val="20"/>
              </w:rPr>
              <w:t>628,054,648.39</w:t>
            </w:r>
          </w:p>
        </w:tc>
      </w:tr>
      <w:tr w14:paraId="6C98FC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7D616E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开发支出</w:t>
            </w:r>
          </w:p>
        </w:tc>
        <w:tc>
          <w:tcPr>
            <w:tcW w:w="1133" w:type="dxa"/>
            <w:tcBorders>
              <w:top w:val="outset" w:color="auto" w:sz="6" w:space="0"/>
              <w:left w:val="outset" w:color="auto" w:sz="6" w:space="0"/>
              <w:bottom w:val="outset" w:color="auto" w:sz="6" w:space="0"/>
              <w:right w:val="outset" w:color="auto" w:sz="6" w:space="0"/>
            </w:tcBorders>
            <w:vAlign w:val="center"/>
          </w:tcPr>
          <w:p w14:paraId="51E83FD1">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2F81C125">
            <w:pPr>
              <w:jc w:val="right"/>
              <w:rPr>
                <w:rFonts w:ascii="Calibri" w:hAnsi="Calibri"/>
                <w:sz w:val="20"/>
                <w:szCs w:val="20"/>
              </w:rPr>
            </w:pPr>
            <w:r>
              <w:rPr>
                <w:rFonts w:ascii="Calibri" w:hAnsi="Calibri"/>
                <w:sz w:val="20"/>
                <w:szCs w:val="20"/>
              </w:rPr>
              <w:t>1,093,858,148.98</w:t>
            </w:r>
          </w:p>
        </w:tc>
        <w:tc>
          <w:tcPr>
            <w:tcW w:w="2411" w:type="dxa"/>
            <w:tcBorders>
              <w:top w:val="outset" w:color="auto" w:sz="6" w:space="0"/>
              <w:left w:val="outset" w:color="auto" w:sz="6" w:space="0"/>
              <w:bottom w:val="outset" w:color="auto" w:sz="6" w:space="0"/>
              <w:right w:val="outset" w:color="auto" w:sz="6" w:space="0"/>
            </w:tcBorders>
            <w:vAlign w:val="center"/>
          </w:tcPr>
          <w:p w14:paraId="2757B5F7">
            <w:pPr>
              <w:jc w:val="right"/>
              <w:rPr>
                <w:rFonts w:ascii="Calibri" w:hAnsi="Calibri"/>
                <w:sz w:val="20"/>
                <w:szCs w:val="20"/>
              </w:rPr>
            </w:pPr>
            <w:r>
              <w:rPr>
                <w:rFonts w:ascii="Calibri" w:hAnsi="Calibri"/>
                <w:sz w:val="20"/>
                <w:szCs w:val="20"/>
              </w:rPr>
              <w:t>947,716,585.16</w:t>
            </w:r>
          </w:p>
        </w:tc>
      </w:tr>
      <w:tr w14:paraId="2983C9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89D8523">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商誉</w:t>
            </w:r>
          </w:p>
        </w:tc>
        <w:tc>
          <w:tcPr>
            <w:tcW w:w="1133" w:type="dxa"/>
            <w:tcBorders>
              <w:top w:val="outset" w:color="auto" w:sz="6" w:space="0"/>
              <w:left w:val="outset" w:color="auto" w:sz="6" w:space="0"/>
              <w:bottom w:val="outset" w:color="auto" w:sz="6" w:space="0"/>
              <w:right w:val="outset" w:color="auto" w:sz="6" w:space="0"/>
            </w:tcBorders>
            <w:vAlign w:val="center"/>
          </w:tcPr>
          <w:p w14:paraId="159ED58B">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CAA2946">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00A82A98">
            <w:pPr>
              <w:jc w:val="right"/>
              <w:rPr>
                <w:rFonts w:ascii="Calibri" w:hAnsi="Calibri"/>
                <w:sz w:val="20"/>
                <w:szCs w:val="20"/>
              </w:rPr>
            </w:pPr>
          </w:p>
        </w:tc>
      </w:tr>
      <w:tr w14:paraId="7EE272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58A0A78">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长期待摊费用</w:t>
            </w:r>
          </w:p>
        </w:tc>
        <w:tc>
          <w:tcPr>
            <w:tcW w:w="1133" w:type="dxa"/>
            <w:tcBorders>
              <w:top w:val="outset" w:color="auto" w:sz="6" w:space="0"/>
              <w:left w:val="outset" w:color="auto" w:sz="6" w:space="0"/>
              <w:bottom w:val="outset" w:color="auto" w:sz="6" w:space="0"/>
              <w:right w:val="outset" w:color="auto" w:sz="6" w:space="0"/>
            </w:tcBorders>
            <w:vAlign w:val="center"/>
          </w:tcPr>
          <w:p w14:paraId="58D2C1B5">
            <w:pPr>
              <w:pStyle w:val="48"/>
              <w:jc w:val="center"/>
              <w:rPr>
                <w:sz w:val="20"/>
                <w:szCs w:val="20"/>
              </w:rPr>
            </w:pPr>
            <w:r>
              <w:rPr>
                <w:rFonts w:hint="eastAsia"/>
                <w:sz w:val="20"/>
                <w:szCs w:val="20"/>
              </w:rPr>
              <w:t>2</w:t>
            </w:r>
            <w:r>
              <w:rPr>
                <w:sz w:val="20"/>
                <w:szCs w:val="20"/>
              </w:rPr>
              <w:t>8</w:t>
            </w:r>
          </w:p>
        </w:tc>
        <w:tc>
          <w:tcPr>
            <w:tcW w:w="2550" w:type="dxa"/>
            <w:tcBorders>
              <w:top w:val="outset" w:color="auto" w:sz="6" w:space="0"/>
              <w:left w:val="outset" w:color="auto" w:sz="6" w:space="0"/>
              <w:bottom w:val="outset" w:color="auto" w:sz="6" w:space="0"/>
              <w:right w:val="outset" w:color="auto" w:sz="6" w:space="0"/>
            </w:tcBorders>
            <w:vAlign w:val="center"/>
          </w:tcPr>
          <w:p w14:paraId="7D536084">
            <w:pPr>
              <w:jc w:val="right"/>
              <w:rPr>
                <w:rFonts w:ascii="Calibri" w:hAnsi="Calibri"/>
                <w:sz w:val="20"/>
                <w:szCs w:val="20"/>
              </w:rPr>
            </w:pPr>
            <w:r>
              <w:rPr>
                <w:rFonts w:ascii="Calibri" w:hAnsi="Calibri"/>
                <w:sz w:val="20"/>
                <w:szCs w:val="20"/>
              </w:rPr>
              <w:t>53,552,058.32</w:t>
            </w:r>
          </w:p>
        </w:tc>
        <w:tc>
          <w:tcPr>
            <w:tcW w:w="2411" w:type="dxa"/>
            <w:tcBorders>
              <w:top w:val="outset" w:color="auto" w:sz="6" w:space="0"/>
              <w:left w:val="outset" w:color="auto" w:sz="6" w:space="0"/>
              <w:bottom w:val="outset" w:color="auto" w:sz="6" w:space="0"/>
              <w:right w:val="outset" w:color="auto" w:sz="6" w:space="0"/>
            </w:tcBorders>
            <w:vAlign w:val="center"/>
          </w:tcPr>
          <w:p w14:paraId="194D7106">
            <w:pPr>
              <w:jc w:val="right"/>
              <w:rPr>
                <w:rFonts w:ascii="Calibri" w:hAnsi="Calibri"/>
                <w:sz w:val="20"/>
                <w:szCs w:val="20"/>
              </w:rPr>
            </w:pPr>
            <w:r>
              <w:rPr>
                <w:rFonts w:ascii="Calibri" w:hAnsi="Calibri"/>
                <w:sz w:val="20"/>
                <w:szCs w:val="20"/>
              </w:rPr>
              <w:t>25,676,912.56</w:t>
            </w:r>
          </w:p>
        </w:tc>
      </w:tr>
      <w:tr w14:paraId="6BBBA4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D9D4C2D">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递延所得税资产</w:t>
            </w:r>
          </w:p>
        </w:tc>
        <w:tc>
          <w:tcPr>
            <w:tcW w:w="1133" w:type="dxa"/>
            <w:tcBorders>
              <w:top w:val="outset" w:color="auto" w:sz="6" w:space="0"/>
              <w:left w:val="outset" w:color="auto" w:sz="6" w:space="0"/>
              <w:bottom w:val="outset" w:color="auto" w:sz="6" w:space="0"/>
              <w:right w:val="outset" w:color="auto" w:sz="6" w:space="0"/>
            </w:tcBorders>
            <w:vAlign w:val="center"/>
          </w:tcPr>
          <w:p w14:paraId="03954145">
            <w:pPr>
              <w:pStyle w:val="48"/>
              <w:jc w:val="center"/>
              <w:rPr>
                <w:sz w:val="20"/>
                <w:szCs w:val="20"/>
              </w:rPr>
            </w:pPr>
            <w:r>
              <w:rPr>
                <w:rFonts w:hint="eastAsia"/>
                <w:sz w:val="20"/>
                <w:szCs w:val="20"/>
              </w:rPr>
              <w:t>2</w:t>
            </w:r>
            <w:r>
              <w:rPr>
                <w:sz w:val="20"/>
                <w:szCs w:val="20"/>
              </w:rPr>
              <w:t>9</w:t>
            </w:r>
          </w:p>
        </w:tc>
        <w:tc>
          <w:tcPr>
            <w:tcW w:w="2550" w:type="dxa"/>
            <w:tcBorders>
              <w:top w:val="outset" w:color="auto" w:sz="6" w:space="0"/>
              <w:left w:val="outset" w:color="auto" w:sz="6" w:space="0"/>
              <w:bottom w:val="outset" w:color="auto" w:sz="6" w:space="0"/>
              <w:right w:val="outset" w:color="auto" w:sz="6" w:space="0"/>
            </w:tcBorders>
            <w:vAlign w:val="center"/>
          </w:tcPr>
          <w:p w14:paraId="43EE26AD">
            <w:pPr>
              <w:jc w:val="right"/>
              <w:rPr>
                <w:rFonts w:ascii="Calibri" w:hAnsi="Calibri"/>
                <w:sz w:val="20"/>
                <w:szCs w:val="20"/>
              </w:rPr>
            </w:pPr>
            <w:r>
              <w:rPr>
                <w:rFonts w:ascii="Calibri" w:hAnsi="Calibri"/>
                <w:sz w:val="20"/>
                <w:szCs w:val="20"/>
              </w:rPr>
              <w:t>66,352,638.10</w:t>
            </w:r>
          </w:p>
        </w:tc>
        <w:tc>
          <w:tcPr>
            <w:tcW w:w="2411" w:type="dxa"/>
            <w:tcBorders>
              <w:top w:val="outset" w:color="auto" w:sz="6" w:space="0"/>
              <w:left w:val="outset" w:color="auto" w:sz="6" w:space="0"/>
              <w:bottom w:val="outset" w:color="auto" w:sz="6" w:space="0"/>
              <w:right w:val="outset" w:color="auto" w:sz="6" w:space="0"/>
            </w:tcBorders>
            <w:vAlign w:val="center"/>
          </w:tcPr>
          <w:p w14:paraId="2852F0CC">
            <w:pPr>
              <w:jc w:val="right"/>
              <w:rPr>
                <w:rFonts w:ascii="Calibri" w:hAnsi="Calibri"/>
                <w:sz w:val="20"/>
                <w:szCs w:val="20"/>
              </w:rPr>
            </w:pPr>
            <w:r>
              <w:rPr>
                <w:rFonts w:ascii="Calibri" w:hAnsi="Calibri"/>
                <w:sz w:val="20"/>
                <w:szCs w:val="20"/>
              </w:rPr>
              <w:t>142,910,830.12</w:t>
            </w:r>
          </w:p>
        </w:tc>
      </w:tr>
      <w:tr w14:paraId="038A3F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788AA2B">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其他非流动资产</w:t>
            </w:r>
          </w:p>
        </w:tc>
        <w:tc>
          <w:tcPr>
            <w:tcW w:w="1133" w:type="dxa"/>
            <w:tcBorders>
              <w:top w:val="outset" w:color="auto" w:sz="6" w:space="0"/>
              <w:left w:val="outset" w:color="auto" w:sz="6" w:space="0"/>
              <w:bottom w:val="outset" w:color="auto" w:sz="6" w:space="0"/>
              <w:right w:val="outset" w:color="auto" w:sz="6" w:space="0"/>
            </w:tcBorders>
            <w:vAlign w:val="center"/>
          </w:tcPr>
          <w:p w14:paraId="00A944F5">
            <w:pPr>
              <w:pStyle w:val="48"/>
              <w:jc w:val="center"/>
              <w:rPr>
                <w:sz w:val="20"/>
                <w:szCs w:val="20"/>
              </w:rPr>
            </w:pPr>
            <w:r>
              <w:rPr>
                <w:rFonts w:hint="eastAsia"/>
                <w:sz w:val="20"/>
                <w:szCs w:val="20"/>
              </w:rPr>
              <w:t>3</w:t>
            </w:r>
            <w:r>
              <w:rPr>
                <w:sz w:val="20"/>
                <w:szCs w:val="20"/>
              </w:rPr>
              <w:t>0</w:t>
            </w:r>
          </w:p>
        </w:tc>
        <w:tc>
          <w:tcPr>
            <w:tcW w:w="2550" w:type="dxa"/>
            <w:tcBorders>
              <w:top w:val="outset" w:color="auto" w:sz="6" w:space="0"/>
              <w:left w:val="outset" w:color="auto" w:sz="6" w:space="0"/>
              <w:bottom w:val="outset" w:color="auto" w:sz="6" w:space="0"/>
              <w:right w:val="outset" w:color="auto" w:sz="6" w:space="0"/>
            </w:tcBorders>
            <w:vAlign w:val="center"/>
          </w:tcPr>
          <w:p w14:paraId="40F41B08">
            <w:pPr>
              <w:jc w:val="right"/>
              <w:rPr>
                <w:rFonts w:ascii="Calibri" w:hAnsi="Calibri"/>
                <w:sz w:val="20"/>
                <w:szCs w:val="20"/>
              </w:rPr>
            </w:pPr>
            <w:r>
              <w:rPr>
                <w:rFonts w:ascii="Calibri" w:hAnsi="Calibri"/>
                <w:sz w:val="20"/>
                <w:szCs w:val="20"/>
              </w:rPr>
              <w:t>203,595,434.45</w:t>
            </w:r>
          </w:p>
        </w:tc>
        <w:tc>
          <w:tcPr>
            <w:tcW w:w="2411" w:type="dxa"/>
            <w:tcBorders>
              <w:top w:val="outset" w:color="auto" w:sz="6" w:space="0"/>
              <w:left w:val="outset" w:color="auto" w:sz="6" w:space="0"/>
              <w:bottom w:val="outset" w:color="auto" w:sz="6" w:space="0"/>
              <w:right w:val="outset" w:color="auto" w:sz="6" w:space="0"/>
            </w:tcBorders>
            <w:vAlign w:val="center"/>
          </w:tcPr>
          <w:p w14:paraId="302CCD54">
            <w:pPr>
              <w:jc w:val="right"/>
              <w:rPr>
                <w:rFonts w:ascii="Calibri" w:hAnsi="Calibri"/>
                <w:sz w:val="20"/>
                <w:szCs w:val="20"/>
              </w:rPr>
            </w:pPr>
            <w:r>
              <w:rPr>
                <w:rFonts w:ascii="Calibri" w:hAnsi="Calibri"/>
                <w:sz w:val="20"/>
                <w:szCs w:val="20"/>
              </w:rPr>
              <w:t>171,679,804.49</w:t>
            </w:r>
          </w:p>
        </w:tc>
      </w:tr>
      <w:tr w14:paraId="5EFF6B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E242444">
            <w:pPr>
              <w:ind w:firstLine="400" w:firstLineChars="2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非流动资产合计</w:t>
            </w:r>
          </w:p>
        </w:tc>
        <w:tc>
          <w:tcPr>
            <w:tcW w:w="1133" w:type="dxa"/>
            <w:tcBorders>
              <w:top w:val="outset" w:color="auto" w:sz="6" w:space="0"/>
              <w:left w:val="outset" w:color="auto" w:sz="6" w:space="0"/>
              <w:bottom w:val="outset" w:color="auto" w:sz="6" w:space="0"/>
              <w:right w:val="outset" w:color="auto" w:sz="6" w:space="0"/>
            </w:tcBorders>
            <w:vAlign w:val="center"/>
          </w:tcPr>
          <w:p w14:paraId="18F7D329">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71E0F02">
            <w:pPr>
              <w:jc w:val="right"/>
              <w:rPr>
                <w:rFonts w:ascii="Calibri" w:hAnsi="Calibri"/>
                <w:sz w:val="20"/>
                <w:szCs w:val="20"/>
              </w:rPr>
            </w:pPr>
            <w:r>
              <w:rPr>
                <w:rFonts w:ascii="Calibri" w:hAnsi="Calibri"/>
                <w:sz w:val="20"/>
                <w:szCs w:val="20"/>
              </w:rPr>
              <w:t>5,159,672,616.98</w:t>
            </w:r>
          </w:p>
        </w:tc>
        <w:tc>
          <w:tcPr>
            <w:tcW w:w="2411" w:type="dxa"/>
            <w:tcBorders>
              <w:top w:val="outset" w:color="auto" w:sz="6" w:space="0"/>
              <w:left w:val="outset" w:color="auto" w:sz="6" w:space="0"/>
              <w:bottom w:val="outset" w:color="auto" w:sz="6" w:space="0"/>
              <w:right w:val="outset" w:color="auto" w:sz="6" w:space="0"/>
            </w:tcBorders>
            <w:vAlign w:val="center"/>
          </w:tcPr>
          <w:p w14:paraId="07035D8F">
            <w:pPr>
              <w:jc w:val="right"/>
              <w:rPr>
                <w:rFonts w:ascii="Calibri" w:hAnsi="Calibri"/>
                <w:sz w:val="20"/>
                <w:szCs w:val="20"/>
              </w:rPr>
            </w:pPr>
            <w:r>
              <w:rPr>
                <w:rFonts w:ascii="Calibri" w:hAnsi="Calibri"/>
                <w:sz w:val="20"/>
                <w:szCs w:val="20"/>
              </w:rPr>
              <w:t>5,372,194,630.28</w:t>
            </w:r>
          </w:p>
        </w:tc>
      </w:tr>
      <w:tr w14:paraId="3FF629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7F0D462">
            <w:pPr>
              <w:ind w:firstLine="600" w:firstLineChars="3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资产总计</w:t>
            </w:r>
          </w:p>
        </w:tc>
        <w:tc>
          <w:tcPr>
            <w:tcW w:w="1133" w:type="dxa"/>
            <w:tcBorders>
              <w:top w:val="outset" w:color="auto" w:sz="6" w:space="0"/>
              <w:left w:val="outset" w:color="auto" w:sz="6" w:space="0"/>
              <w:bottom w:val="outset" w:color="auto" w:sz="6" w:space="0"/>
              <w:right w:val="outset" w:color="auto" w:sz="6" w:space="0"/>
            </w:tcBorders>
            <w:vAlign w:val="center"/>
          </w:tcPr>
          <w:p w14:paraId="63E415F0">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7DADD088">
            <w:pPr>
              <w:jc w:val="right"/>
              <w:rPr>
                <w:rFonts w:ascii="Calibri" w:hAnsi="Calibri"/>
                <w:sz w:val="20"/>
                <w:szCs w:val="20"/>
              </w:rPr>
            </w:pPr>
            <w:r>
              <w:rPr>
                <w:rFonts w:ascii="Calibri" w:hAnsi="Calibri"/>
                <w:sz w:val="20"/>
                <w:szCs w:val="20"/>
              </w:rPr>
              <w:t>7,906,401,122.95</w:t>
            </w:r>
          </w:p>
        </w:tc>
        <w:tc>
          <w:tcPr>
            <w:tcW w:w="2411" w:type="dxa"/>
            <w:tcBorders>
              <w:top w:val="outset" w:color="auto" w:sz="6" w:space="0"/>
              <w:left w:val="outset" w:color="auto" w:sz="6" w:space="0"/>
              <w:bottom w:val="outset" w:color="auto" w:sz="6" w:space="0"/>
              <w:right w:val="outset" w:color="auto" w:sz="6" w:space="0"/>
            </w:tcBorders>
            <w:vAlign w:val="center"/>
          </w:tcPr>
          <w:p w14:paraId="51952A77">
            <w:pPr>
              <w:jc w:val="right"/>
              <w:rPr>
                <w:rFonts w:ascii="Calibri" w:hAnsi="Calibri"/>
                <w:sz w:val="20"/>
                <w:szCs w:val="20"/>
              </w:rPr>
            </w:pPr>
            <w:r>
              <w:rPr>
                <w:rFonts w:ascii="Calibri" w:hAnsi="Calibri"/>
                <w:sz w:val="20"/>
                <w:szCs w:val="20"/>
              </w:rPr>
              <w:t>7,382,110,787.11</w:t>
            </w:r>
          </w:p>
        </w:tc>
      </w:tr>
      <w:tr w14:paraId="084569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11fdd3766f04bf1851e3afed0dd2f74"/>
            <w:id w:val="1233665979"/>
          </w:sdtPr>
          <w:sdtContent>
            <w:tc>
              <w:tcPr>
                <w:tcW w:w="9038" w:type="dxa"/>
                <w:gridSpan w:val="4"/>
                <w:tcBorders>
                  <w:top w:val="outset" w:color="auto" w:sz="6" w:space="0"/>
                  <w:left w:val="outset" w:color="auto" w:sz="6" w:space="0"/>
                  <w:bottom w:val="outset" w:color="auto" w:sz="6" w:space="0"/>
                  <w:right w:val="outset" w:color="auto" w:sz="6" w:space="0"/>
                </w:tcBorders>
                <w:vAlign w:val="center"/>
              </w:tcPr>
              <w:p w14:paraId="221ED4F8">
                <w:pPr>
                  <w:rPr>
                    <w:rFonts w:ascii="Calibri" w:hAnsi="Calibri"/>
                    <w:color w:val="000000" w:themeColor="text1"/>
                    <w:sz w:val="20"/>
                    <w:szCs w:val="20"/>
                    <w14:textFill>
                      <w14:solidFill>
                        <w14:schemeClr w14:val="tx1"/>
                      </w14:solidFill>
                    </w14:textFill>
                  </w:rPr>
                </w:pPr>
                <w:r>
                  <w:rPr>
                    <w:rFonts w:hint="eastAsia" w:ascii="Calibri" w:hAnsi="Calibri"/>
                    <w:b/>
                    <w:color w:val="000000" w:themeColor="text1"/>
                    <w:sz w:val="20"/>
                    <w:szCs w:val="20"/>
                    <w14:textFill>
                      <w14:solidFill>
                        <w14:schemeClr w14:val="tx1"/>
                      </w14:solidFill>
                    </w14:textFill>
                  </w:rPr>
                  <w:t>流动负债：</w:t>
                </w:r>
              </w:p>
            </w:tc>
          </w:sdtContent>
        </w:sdt>
      </w:tr>
      <w:tr w14:paraId="720547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88FD808">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短期借款</w:t>
            </w:r>
          </w:p>
        </w:tc>
        <w:tc>
          <w:tcPr>
            <w:tcW w:w="1133" w:type="dxa"/>
            <w:tcBorders>
              <w:top w:val="outset" w:color="auto" w:sz="6" w:space="0"/>
              <w:left w:val="outset" w:color="auto" w:sz="6" w:space="0"/>
              <w:bottom w:val="outset" w:color="auto" w:sz="6" w:space="0"/>
              <w:right w:val="outset" w:color="auto" w:sz="6" w:space="0"/>
            </w:tcBorders>
            <w:vAlign w:val="center"/>
          </w:tcPr>
          <w:p w14:paraId="6AC1DDED">
            <w:pPr>
              <w:pStyle w:val="48"/>
              <w:jc w:val="center"/>
              <w:rPr>
                <w:sz w:val="20"/>
                <w:szCs w:val="20"/>
              </w:rPr>
            </w:pPr>
            <w:r>
              <w:rPr>
                <w:rFonts w:hint="eastAsia"/>
                <w:sz w:val="20"/>
                <w:szCs w:val="20"/>
              </w:rPr>
              <w:t>3</w:t>
            </w:r>
            <w:r>
              <w:rPr>
                <w:sz w:val="20"/>
                <w:szCs w:val="20"/>
              </w:rPr>
              <w:t>2</w:t>
            </w:r>
          </w:p>
        </w:tc>
        <w:tc>
          <w:tcPr>
            <w:tcW w:w="2550" w:type="dxa"/>
            <w:tcBorders>
              <w:top w:val="outset" w:color="auto" w:sz="6" w:space="0"/>
              <w:left w:val="outset" w:color="auto" w:sz="6" w:space="0"/>
              <w:bottom w:val="outset" w:color="auto" w:sz="6" w:space="0"/>
              <w:right w:val="outset" w:color="auto" w:sz="6" w:space="0"/>
            </w:tcBorders>
            <w:vAlign w:val="center"/>
          </w:tcPr>
          <w:p w14:paraId="756094EE">
            <w:pPr>
              <w:jc w:val="right"/>
              <w:rPr>
                <w:rFonts w:ascii="Calibri" w:hAnsi="Calibri"/>
                <w:sz w:val="20"/>
                <w:szCs w:val="20"/>
              </w:rPr>
            </w:pPr>
            <w:r>
              <w:rPr>
                <w:rFonts w:ascii="Calibri" w:hAnsi="Calibri"/>
                <w:sz w:val="20"/>
                <w:szCs w:val="20"/>
              </w:rPr>
              <w:t>33,024,236.11</w:t>
            </w:r>
          </w:p>
        </w:tc>
        <w:tc>
          <w:tcPr>
            <w:tcW w:w="2411" w:type="dxa"/>
            <w:tcBorders>
              <w:top w:val="outset" w:color="auto" w:sz="6" w:space="0"/>
              <w:left w:val="outset" w:color="auto" w:sz="6" w:space="0"/>
              <w:bottom w:val="outset" w:color="auto" w:sz="6" w:space="0"/>
              <w:right w:val="outset" w:color="auto" w:sz="6" w:space="0"/>
            </w:tcBorders>
            <w:vAlign w:val="center"/>
          </w:tcPr>
          <w:p w14:paraId="1ADD80D4">
            <w:pPr>
              <w:jc w:val="right"/>
              <w:rPr>
                <w:rFonts w:ascii="Calibri" w:hAnsi="Calibri"/>
                <w:sz w:val="20"/>
                <w:szCs w:val="20"/>
              </w:rPr>
            </w:pPr>
            <w:r>
              <w:rPr>
                <w:rFonts w:ascii="Calibri" w:hAnsi="Calibri"/>
                <w:sz w:val="20"/>
                <w:szCs w:val="20"/>
              </w:rPr>
              <w:t>416,758,991.22</w:t>
            </w:r>
          </w:p>
        </w:tc>
      </w:tr>
      <w:tr w14:paraId="44DB4C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3AB51AD">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向中央银行借款</w:t>
            </w:r>
          </w:p>
        </w:tc>
        <w:tc>
          <w:tcPr>
            <w:tcW w:w="1133" w:type="dxa"/>
            <w:tcBorders>
              <w:top w:val="outset" w:color="auto" w:sz="6" w:space="0"/>
              <w:left w:val="outset" w:color="auto" w:sz="6" w:space="0"/>
              <w:bottom w:val="outset" w:color="auto" w:sz="6" w:space="0"/>
              <w:right w:val="outset" w:color="auto" w:sz="6" w:space="0"/>
            </w:tcBorders>
            <w:vAlign w:val="center"/>
          </w:tcPr>
          <w:p w14:paraId="732CF01E">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C4A3CE8">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20932559">
            <w:pPr>
              <w:jc w:val="right"/>
              <w:rPr>
                <w:rFonts w:ascii="Calibri" w:hAnsi="Calibri"/>
                <w:sz w:val="20"/>
                <w:szCs w:val="20"/>
              </w:rPr>
            </w:pPr>
          </w:p>
        </w:tc>
      </w:tr>
      <w:tr w14:paraId="58B83D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CF0A589">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拆入资金</w:t>
            </w:r>
          </w:p>
        </w:tc>
        <w:tc>
          <w:tcPr>
            <w:tcW w:w="1133" w:type="dxa"/>
            <w:tcBorders>
              <w:top w:val="outset" w:color="auto" w:sz="6" w:space="0"/>
              <w:left w:val="outset" w:color="auto" w:sz="6" w:space="0"/>
              <w:bottom w:val="outset" w:color="auto" w:sz="6" w:space="0"/>
              <w:right w:val="outset" w:color="auto" w:sz="6" w:space="0"/>
            </w:tcBorders>
            <w:vAlign w:val="center"/>
          </w:tcPr>
          <w:p w14:paraId="28C406C0">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7C63FE47">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CFFED94">
            <w:pPr>
              <w:jc w:val="right"/>
              <w:rPr>
                <w:rFonts w:ascii="Calibri" w:hAnsi="Calibri"/>
                <w:sz w:val="20"/>
                <w:szCs w:val="20"/>
              </w:rPr>
            </w:pPr>
          </w:p>
        </w:tc>
      </w:tr>
      <w:tr w14:paraId="1B33C8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5215E58">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交易性金融负债</w:t>
            </w:r>
          </w:p>
        </w:tc>
        <w:tc>
          <w:tcPr>
            <w:tcW w:w="1133" w:type="dxa"/>
            <w:tcBorders>
              <w:top w:val="outset" w:color="auto" w:sz="6" w:space="0"/>
              <w:left w:val="outset" w:color="auto" w:sz="6" w:space="0"/>
              <w:bottom w:val="outset" w:color="auto" w:sz="6" w:space="0"/>
              <w:right w:val="outset" w:color="auto" w:sz="6" w:space="0"/>
            </w:tcBorders>
            <w:vAlign w:val="center"/>
          </w:tcPr>
          <w:p w14:paraId="37F49688">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D7523AB">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03BD4D0D">
            <w:pPr>
              <w:jc w:val="right"/>
              <w:rPr>
                <w:rFonts w:ascii="Calibri" w:hAnsi="Calibri"/>
                <w:sz w:val="20"/>
                <w:szCs w:val="20"/>
              </w:rPr>
            </w:pPr>
          </w:p>
        </w:tc>
      </w:tr>
      <w:tr w14:paraId="46E28C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49BF4D7">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衍生金融负债</w:t>
            </w:r>
          </w:p>
        </w:tc>
        <w:tc>
          <w:tcPr>
            <w:tcW w:w="1133" w:type="dxa"/>
            <w:tcBorders>
              <w:top w:val="outset" w:color="auto" w:sz="6" w:space="0"/>
              <w:left w:val="outset" w:color="auto" w:sz="6" w:space="0"/>
              <w:bottom w:val="outset" w:color="auto" w:sz="6" w:space="0"/>
              <w:right w:val="outset" w:color="auto" w:sz="6" w:space="0"/>
            </w:tcBorders>
            <w:vAlign w:val="center"/>
          </w:tcPr>
          <w:p w14:paraId="7CB849B9">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D9F967E">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6D58CCD6">
            <w:pPr>
              <w:jc w:val="right"/>
              <w:rPr>
                <w:rFonts w:ascii="Calibri" w:hAnsi="Calibri"/>
                <w:sz w:val="20"/>
                <w:szCs w:val="20"/>
              </w:rPr>
            </w:pPr>
          </w:p>
        </w:tc>
      </w:tr>
      <w:tr w14:paraId="65359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75DCB52">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应付票据</w:t>
            </w:r>
          </w:p>
        </w:tc>
        <w:tc>
          <w:tcPr>
            <w:tcW w:w="1133" w:type="dxa"/>
            <w:tcBorders>
              <w:top w:val="outset" w:color="auto" w:sz="6" w:space="0"/>
              <w:left w:val="outset" w:color="auto" w:sz="6" w:space="0"/>
              <w:bottom w:val="outset" w:color="auto" w:sz="6" w:space="0"/>
              <w:right w:val="outset" w:color="auto" w:sz="6" w:space="0"/>
            </w:tcBorders>
            <w:vAlign w:val="center"/>
          </w:tcPr>
          <w:p w14:paraId="6CB5DF14">
            <w:pPr>
              <w:pStyle w:val="48"/>
              <w:jc w:val="center"/>
              <w:rPr>
                <w:sz w:val="20"/>
                <w:szCs w:val="20"/>
              </w:rPr>
            </w:pPr>
            <w:r>
              <w:rPr>
                <w:rFonts w:hint="eastAsia"/>
                <w:sz w:val="20"/>
                <w:szCs w:val="20"/>
              </w:rPr>
              <w:t>3</w:t>
            </w:r>
            <w:r>
              <w:rPr>
                <w:sz w:val="20"/>
                <w:szCs w:val="20"/>
              </w:rPr>
              <w:t>5</w:t>
            </w:r>
          </w:p>
        </w:tc>
        <w:tc>
          <w:tcPr>
            <w:tcW w:w="2550" w:type="dxa"/>
            <w:tcBorders>
              <w:top w:val="outset" w:color="auto" w:sz="6" w:space="0"/>
              <w:left w:val="outset" w:color="auto" w:sz="6" w:space="0"/>
              <w:bottom w:val="outset" w:color="auto" w:sz="6" w:space="0"/>
              <w:right w:val="outset" w:color="auto" w:sz="6" w:space="0"/>
            </w:tcBorders>
            <w:vAlign w:val="center"/>
          </w:tcPr>
          <w:p w14:paraId="05C55428">
            <w:pPr>
              <w:jc w:val="right"/>
              <w:rPr>
                <w:rFonts w:ascii="Calibri" w:hAnsi="Calibri"/>
                <w:sz w:val="20"/>
                <w:szCs w:val="20"/>
              </w:rPr>
            </w:pPr>
            <w:r>
              <w:rPr>
                <w:rFonts w:ascii="Calibri" w:hAnsi="Calibri"/>
                <w:sz w:val="20"/>
                <w:szCs w:val="20"/>
              </w:rPr>
              <w:t>8,657,093.67</w:t>
            </w:r>
          </w:p>
        </w:tc>
        <w:tc>
          <w:tcPr>
            <w:tcW w:w="2411" w:type="dxa"/>
            <w:tcBorders>
              <w:top w:val="outset" w:color="auto" w:sz="6" w:space="0"/>
              <w:left w:val="outset" w:color="auto" w:sz="6" w:space="0"/>
              <w:bottom w:val="outset" w:color="auto" w:sz="6" w:space="0"/>
              <w:right w:val="outset" w:color="auto" w:sz="6" w:space="0"/>
            </w:tcBorders>
            <w:vAlign w:val="center"/>
          </w:tcPr>
          <w:p w14:paraId="4E552446">
            <w:pPr>
              <w:jc w:val="right"/>
              <w:rPr>
                <w:rFonts w:ascii="Calibri" w:hAnsi="Calibri"/>
                <w:sz w:val="20"/>
                <w:szCs w:val="20"/>
              </w:rPr>
            </w:pPr>
            <w:r>
              <w:rPr>
                <w:rFonts w:ascii="Calibri" w:hAnsi="Calibri"/>
                <w:sz w:val="20"/>
                <w:szCs w:val="20"/>
              </w:rPr>
              <w:t>10,000.00</w:t>
            </w:r>
          </w:p>
        </w:tc>
      </w:tr>
      <w:tr w14:paraId="1E8E8B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DF71BF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应付账款</w:t>
            </w:r>
          </w:p>
        </w:tc>
        <w:tc>
          <w:tcPr>
            <w:tcW w:w="1133" w:type="dxa"/>
            <w:tcBorders>
              <w:top w:val="outset" w:color="auto" w:sz="6" w:space="0"/>
              <w:left w:val="outset" w:color="auto" w:sz="6" w:space="0"/>
              <w:bottom w:val="outset" w:color="auto" w:sz="6" w:space="0"/>
              <w:right w:val="outset" w:color="auto" w:sz="6" w:space="0"/>
            </w:tcBorders>
            <w:vAlign w:val="center"/>
          </w:tcPr>
          <w:p w14:paraId="14BA72C3">
            <w:pPr>
              <w:pStyle w:val="48"/>
              <w:jc w:val="center"/>
              <w:rPr>
                <w:sz w:val="20"/>
                <w:szCs w:val="20"/>
              </w:rPr>
            </w:pPr>
            <w:r>
              <w:rPr>
                <w:rFonts w:hint="eastAsia"/>
                <w:sz w:val="20"/>
                <w:szCs w:val="20"/>
              </w:rPr>
              <w:t>3</w:t>
            </w:r>
            <w:r>
              <w:rPr>
                <w:sz w:val="20"/>
                <w:szCs w:val="20"/>
              </w:rPr>
              <w:t>6</w:t>
            </w:r>
          </w:p>
        </w:tc>
        <w:tc>
          <w:tcPr>
            <w:tcW w:w="2550" w:type="dxa"/>
            <w:tcBorders>
              <w:top w:val="outset" w:color="auto" w:sz="6" w:space="0"/>
              <w:left w:val="outset" w:color="auto" w:sz="6" w:space="0"/>
              <w:bottom w:val="outset" w:color="auto" w:sz="6" w:space="0"/>
              <w:right w:val="outset" w:color="auto" w:sz="6" w:space="0"/>
            </w:tcBorders>
            <w:vAlign w:val="center"/>
          </w:tcPr>
          <w:p w14:paraId="460647E1">
            <w:pPr>
              <w:jc w:val="right"/>
              <w:rPr>
                <w:rFonts w:ascii="Calibri" w:hAnsi="Calibri"/>
                <w:sz w:val="20"/>
                <w:szCs w:val="20"/>
              </w:rPr>
            </w:pPr>
            <w:r>
              <w:rPr>
                <w:rFonts w:ascii="Calibri" w:hAnsi="Calibri"/>
                <w:sz w:val="20"/>
                <w:szCs w:val="20"/>
              </w:rPr>
              <w:t>82,445,828.63</w:t>
            </w:r>
          </w:p>
        </w:tc>
        <w:tc>
          <w:tcPr>
            <w:tcW w:w="2411" w:type="dxa"/>
            <w:tcBorders>
              <w:top w:val="outset" w:color="auto" w:sz="6" w:space="0"/>
              <w:left w:val="outset" w:color="auto" w:sz="6" w:space="0"/>
              <w:bottom w:val="outset" w:color="auto" w:sz="6" w:space="0"/>
              <w:right w:val="outset" w:color="auto" w:sz="6" w:space="0"/>
            </w:tcBorders>
            <w:vAlign w:val="center"/>
          </w:tcPr>
          <w:p w14:paraId="0E0FBAA0">
            <w:pPr>
              <w:jc w:val="right"/>
              <w:rPr>
                <w:rFonts w:ascii="Calibri" w:hAnsi="Calibri"/>
                <w:sz w:val="20"/>
                <w:szCs w:val="20"/>
              </w:rPr>
            </w:pPr>
            <w:r>
              <w:rPr>
                <w:rFonts w:ascii="Calibri" w:hAnsi="Calibri"/>
                <w:sz w:val="20"/>
                <w:szCs w:val="20"/>
              </w:rPr>
              <w:t>96,699,378.14</w:t>
            </w:r>
          </w:p>
        </w:tc>
      </w:tr>
      <w:tr w14:paraId="6CE564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28A09BA">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预收款项</w:t>
            </w:r>
          </w:p>
        </w:tc>
        <w:tc>
          <w:tcPr>
            <w:tcW w:w="1133" w:type="dxa"/>
            <w:tcBorders>
              <w:top w:val="outset" w:color="auto" w:sz="6" w:space="0"/>
              <w:left w:val="outset" w:color="auto" w:sz="6" w:space="0"/>
              <w:bottom w:val="outset" w:color="auto" w:sz="6" w:space="0"/>
              <w:right w:val="outset" w:color="auto" w:sz="6" w:space="0"/>
            </w:tcBorders>
            <w:vAlign w:val="center"/>
          </w:tcPr>
          <w:p w14:paraId="2660C515">
            <w:pPr>
              <w:pStyle w:val="48"/>
              <w:jc w:val="center"/>
              <w:rPr>
                <w:sz w:val="20"/>
                <w:szCs w:val="20"/>
              </w:rPr>
            </w:pPr>
            <w:r>
              <w:rPr>
                <w:rFonts w:hint="eastAsia"/>
                <w:sz w:val="20"/>
                <w:szCs w:val="20"/>
              </w:rPr>
              <w:t>3</w:t>
            </w:r>
            <w:r>
              <w:rPr>
                <w:sz w:val="20"/>
                <w:szCs w:val="20"/>
              </w:rPr>
              <w:t>7</w:t>
            </w:r>
          </w:p>
        </w:tc>
        <w:tc>
          <w:tcPr>
            <w:tcW w:w="2550" w:type="dxa"/>
            <w:tcBorders>
              <w:top w:val="outset" w:color="auto" w:sz="6" w:space="0"/>
              <w:left w:val="outset" w:color="auto" w:sz="6" w:space="0"/>
              <w:bottom w:val="outset" w:color="auto" w:sz="6" w:space="0"/>
              <w:right w:val="outset" w:color="auto" w:sz="6" w:space="0"/>
            </w:tcBorders>
            <w:vAlign w:val="center"/>
          </w:tcPr>
          <w:p w14:paraId="7FDA682D">
            <w:pPr>
              <w:jc w:val="right"/>
              <w:rPr>
                <w:rFonts w:ascii="Calibri" w:hAnsi="Calibri"/>
                <w:sz w:val="20"/>
                <w:szCs w:val="20"/>
              </w:rPr>
            </w:pPr>
            <w:r>
              <w:rPr>
                <w:rFonts w:ascii="Calibri" w:hAnsi="Calibri"/>
                <w:sz w:val="20"/>
                <w:szCs w:val="20"/>
              </w:rPr>
              <w:t>1,591,036.77</w:t>
            </w:r>
          </w:p>
        </w:tc>
        <w:tc>
          <w:tcPr>
            <w:tcW w:w="2411" w:type="dxa"/>
            <w:tcBorders>
              <w:top w:val="outset" w:color="auto" w:sz="6" w:space="0"/>
              <w:left w:val="outset" w:color="auto" w:sz="6" w:space="0"/>
              <w:bottom w:val="outset" w:color="auto" w:sz="6" w:space="0"/>
              <w:right w:val="outset" w:color="auto" w:sz="6" w:space="0"/>
            </w:tcBorders>
            <w:vAlign w:val="center"/>
          </w:tcPr>
          <w:p w14:paraId="7E974366">
            <w:pPr>
              <w:jc w:val="right"/>
              <w:rPr>
                <w:rFonts w:ascii="Calibri" w:hAnsi="Calibri"/>
                <w:sz w:val="20"/>
                <w:szCs w:val="20"/>
              </w:rPr>
            </w:pPr>
            <w:r>
              <w:rPr>
                <w:rFonts w:ascii="Calibri" w:hAnsi="Calibri"/>
                <w:sz w:val="20"/>
                <w:szCs w:val="20"/>
              </w:rPr>
              <w:t>1,712,014.13</w:t>
            </w:r>
          </w:p>
        </w:tc>
      </w:tr>
      <w:tr w14:paraId="79F800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91DFF4F">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合同负债</w:t>
            </w:r>
          </w:p>
        </w:tc>
        <w:tc>
          <w:tcPr>
            <w:tcW w:w="1133" w:type="dxa"/>
            <w:tcBorders>
              <w:top w:val="outset" w:color="auto" w:sz="6" w:space="0"/>
              <w:left w:val="outset" w:color="auto" w:sz="6" w:space="0"/>
              <w:bottom w:val="outset" w:color="auto" w:sz="6" w:space="0"/>
              <w:right w:val="outset" w:color="auto" w:sz="6" w:space="0"/>
            </w:tcBorders>
            <w:vAlign w:val="center"/>
          </w:tcPr>
          <w:p w14:paraId="7086F20A">
            <w:pPr>
              <w:pStyle w:val="48"/>
              <w:jc w:val="center"/>
              <w:rPr>
                <w:sz w:val="20"/>
                <w:szCs w:val="20"/>
              </w:rPr>
            </w:pPr>
            <w:r>
              <w:rPr>
                <w:rFonts w:hint="eastAsia"/>
                <w:sz w:val="20"/>
                <w:szCs w:val="20"/>
              </w:rPr>
              <w:t>3</w:t>
            </w:r>
            <w:r>
              <w:rPr>
                <w:sz w:val="20"/>
                <w:szCs w:val="20"/>
              </w:rPr>
              <w:t>8</w:t>
            </w:r>
          </w:p>
        </w:tc>
        <w:tc>
          <w:tcPr>
            <w:tcW w:w="2550" w:type="dxa"/>
            <w:tcBorders>
              <w:top w:val="outset" w:color="auto" w:sz="6" w:space="0"/>
              <w:left w:val="outset" w:color="auto" w:sz="6" w:space="0"/>
              <w:bottom w:val="outset" w:color="auto" w:sz="6" w:space="0"/>
              <w:right w:val="outset" w:color="auto" w:sz="6" w:space="0"/>
            </w:tcBorders>
            <w:vAlign w:val="center"/>
          </w:tcPr>
          <w:p w14:paraId="119C04E0">
            <w:pPr>
              <w:jc w:val="right"/>
              <w:rPr>
                <w:rFonts w:ascii="Calibri" w:hAnsi="Calibri"/>
                <w:sz w:val="20"/>
                <w:szCs w:val="20"/>
              </w:rPr>
            </w:pPr>
            <w:r>
              <w:rPr>
                <w:rFonts w:ascii="Calibri" w:hAnsi="Calibri"/>
                <w:sz w:val="20"/>
                <w:szCs w:val="20"/>
              </w:rPr>
              <w:t>7,133,699.66</w:t>
            </w:r>
          </w:p>
        </w:tc>
        <w:tc>
          <w:tcPr>
            <w:tcW w:w="2411" w:type="dxa"/>
            <w:tcBorders>
              <w:top w:val="outset" w:color="auto" w:sz="6" w:space="0"/>
              <w:left w:val="outset" w:color="auto" w:sz="6" w:space="0"/>
              <w:bottom w:val="outset" w:color="auto" w:sz="6" w:space="0"/>
              <w:right w:val="outset" w:color="auto" w:sz="6" w:space="0"/>
            </w:tcBorders>
            <w:vAlign w:val="center"/>
          </w:tcPr>
          <w:p w14:paraId="0EBFFC41">
            <w:pPr>
              <w:jc w:val="right"/>
              <w:rPr>
                <w:rFonts w:ascii="Calibri" w:hAnsi="Calibri"/>
                <w:sz w:val="20"/>
                <w:szCs w:val="20"/>
              </w:rPr>
            </w:pPr>
            <w:r>
              <w:rPr>
                <w:rFonts w:ascii="Calibri" w:hAnsi="Calibri"/>
                <w:sz w:val="20"/>
                <w:szCs w:val="20"/>
              </w:rPr>
              <w:t>14,359,574.01</w:t>
            </w:r>
          </w:p>
        </w:tc>
      </w:tr>
      <w:tr w14:paraId="7F7DF4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0CD25EF">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卖出回购金融资产款</w:t>
            </w:r>
          </w:p>
        </w:tc>
        <w:tc>
          <w:tcPr>
            <w:tcW w:w="1133" w:type="dxa"/>
            <w:tcBorders>
              <w:top w:val="outset" w:color="auto" w:sz="6" w:space="0"/>
              <w:left w:val="outset" w:color="auto" w:sz="6" w:space="0"/>
              <w:bottom w:val="outset" w:color="auto" w:sz="6" w:space="0"/>
              <w:right w:val="outset" w:color="auto" w:sz="6" w:space="0"/>
            </w:tcBorders>
            <w:vAlign w:val="center"/>
          </w:tcPr>
          <w:p w14:paraId="20E80E63">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7983B866">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B786115">
            <w:pPr>
              <w:jc w:val="right"/>
              <w:rPr>
                <w:rFonts w:ascii="Calibri" w:hAnsi="Calibri"/>
                <w:sz w:val="20"/>
                <w:szCs w:val="20"/>
              </w:rPr>
            </w:pPr>
          </w:p>
        </w:tc>
      </w:tr>
      <w:tr w14:paraId="6FE71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463EA02">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吸收存款及同业存放</w:t>
            </w:r>
          </w:p>
        </w:tc>
        <w:tc>
          <w:tcPr>
            <w:tcW w:w="1133" w:type="dxa"/>
            <w:tcBorders>
              <w:top w:val="outset" w:color="auto" w:sz="6" w:space="0"/>
              <w:left w:val="outset" w:color="auto" w:sz="6" w:space="0"/>
              <w:bottom w:val="outset" w:color="auto" w:sz="6" w:space="0"/>
              <w:right w:val="outset" w:color="auto" w:sz="6" w:space="0"/>
            </w:tcBorders>
            <w:vAlign w:val="center"/>
          </w:tcPr>
          <w:p w14:paraId="3C0BE57C">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D92A279">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4EB6953D">
            <w:pPr>
              <w:jc w:val="right"/>
              <w:rPr>
                <w:rFonts w:ascii="Calibri" w:hAnsi="Calibri"/>
                <w:sz w:val="20"/>
                <w:szCs w:val="20"/>
              </w:rPr>
            </w:pPr>
          </w:p>
        </w:tc>
      </w:tr>
      <w:tr w14:paraId="1AF98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C8CB349">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代理买卖证券款</w:t>
            </w:r>
          </w:p>
        </w:tc>
        <w:tc>
          <w:tcPr>
            <w:tcW w:w="1133" w:type="dxa"/>
            <w:tcBorders>
              <w:top w:val="outset" w:color="auto" w:sz="6" w:space="0"/>
              <w:left w:val="outset" w:color="auto" w:sz="6" w:space="0"/>
              <w:bottom w:val="outset" w:color="auto" w:sz="6" w:space="0"/>
              <w:right w:val="outset" w:color="auto" w:sz="6" w:space="0"/>
            </w:tcBorders>
            <w:vAlign w:val="center"/>
          </w:tcPr>
          <w:p w14:paraId="7B3591EB">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2521EA4">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6596263E">
            <w:pPr>
              <w:jc w:val="right"/>
              <w:rPr>
                <w:rFonts w:ascii="Calibri" w:hAnsi="Calibri"/>
                <w:sz w:val="20"/>
                <w:szCs w:val="20"/>
              </w:rPr>
            </w:pPr>
          </w:p>
        </w:tc>
      </w:tr>
      <w:tr w14:paraId="436F0F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172A623">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代理承销证券款</w:t>
            </w:r>
          </w:p>
        </w:tc>
        <w:tc>
          <w:tcPr>
            <w:tcW w:w="1133" w:type="dxa"/>
            <w:tcBorders>
              <w:top w:val="outset" w:color="auto" w:sz="6" w:space="0"/>
              <w:left w:val="outset" w:color="auto" w:sz="6" w:space="0"/>
              <w:bottom w:val="outset" w:color="auto" w:sz="6" w:space="0"/>
              <w:right w:val="outset" w:color="auto" w:sz="6" w:space="0"/>
            </w:tcBorders>
            <w:vAlign w:val="center"/>
          </w:tcPr>
          <w:p w14:paraId="45BA883D">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B473E64">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042B87AB">
            <w:pPr>
              <w:jc w:val="right"/>
              <w:rPr>
                <w:rFonts w:ascii="Calibri" w:hAnsi="Calibri"/>
                <w:sz w:val="20"/>
                <w:szCs w:val="20"/>
              </w:rPr>
            </w:pPr>
          </w:p>
        </w:tc>
      </w:tr>
      <w:tr w14:paraId="094FD9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84D1F54">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应付职工薪酬</w:t>
            </w:r>
          </w:p>
        </w:tc>
        <w:tc>
          <w:tcPr>
            <w:tcW w:w="1133" w:type="dxa"/>
            <w:tcBorders>
              <w:top w:val="outset" w:color="auto" w:sz="6" w:space="0"/>
              <w:left w:val="outset" w:color="auto" w:sz="6" w:space="0"/>
              <w:bottom w:val="outset" w:color="auto" w:sz="6" w:space="0"/>
              <w:right w:val="outset" w:color="auto" w:sz="6" w:space="0"/>
            </w:tcBorders>
            <w:vAlign w:val="center"/>
          </w:tcPr>
          <w:p w14:paraId="109DA36D">
            <w:pPr>
              <w:pStyle w:val="48"/>
              <w:jc w:val="center"/>
              <w:rPr>
                <w:sz w:val="20"/>
                <w:szCs w:val="20"/>
              </w:rPr>
            </w:pPr>
            <w:r>
              <w:rPr>
                <w:rFonts w:hint="eastAsia"/>
                <w:sz w:val="20"/>
                <w:szCs w:val="20"/>
              </w:rPr>
              <w:t>3</w:t>
            </w:r>
            <w:r>
              <w:rPr>
                <w:sz w:val="20"/>
                <w:szCs w:val="20"/>
              </w:rPr>
              <w:t>9</w:t>
            </w:r>
          </w:p>
        </w:tc>
        <w:tc>
          <w:tcPr>
            <w:tcW w:w="2550" w:type="dxa"/>
            <w:tcBorders>
              <w:top w:val="outset" w:color="auto" w:sz="6" w:space="0"/>
              <w:left w:val="outset" w:color="auto" w:sz="6" w:space="0"/>
              <w:bottom w:val="outset" w:color="auto" w:sz="6" w:space="0"/>
              <w:right w:val="outset" w:color="auto" w:sz="6" w:space="0"/>
            </w:tcBorders>
            <w:vAlign w:val="center"/>
          </w:tcPr>
          <w:p w14:paraId="11FE8F46">
            <w:pPr>
              <w:jc w:val="right"/>
              <w:rPr>
                <w:rFonts w:ascii="Calibri" w:hAnsi="Calibri"/>
                <w:sz w:val="20"/>
                <w:szCs w:val="20"/>
              </w:rPr>
            </w:pPr>
            <w:r>
              <w:rPr>
                <w:rFonts w:ascii="Calibri" w:hAnsi="Calibri"/>
                <w:sz w:val="20"/>
                <w:szCs w:val="20"/>
              </w:rPr>
              <w:t>8,907,724.14</w:t>
            </w:r>
          </w:p>
        </w:tc>
        <w:tc>
          <w:tcPr>
            <w:tcW w:w="2411" w:type="dxa"/>
            <w:tcBorders>
              <w:top w:val="outset" w:color="auto" w:sz="6" w:space="0"/>
              <w:left w:val="outset" w:color="auto" w:sz="6" w:space="0"/>
              <w:bottom w:val="outset" w:color="auto" w:sz="6" w:space="0"/>
              <w:right w:val="outset" w:color="auto" w:sz="6" w:space="0"/>
            </w:tcBorders>
            <w:vAlign w:val="center"/>
          </w:tcPr>
          <w:p w14:paraId="175D6CA7">
            <w:pPr>
              <w:jc w:val="right"/>
              <w:rPr>
                <w:rFonts w:ascii="Calibri" w:hAnsi="Calibri"/>
                <w:sz w:val="20"/>
                <w:szCs w:val="20"/>
              </w:rPr>
            </w:pPr>
            <w:r>
              <w:rPr>
                <w:rFonts w:ascii="Calibri" w:hAnsi="Calibri"/>
                <w:sz w:val="20"/>
                <w:szCs w:val="20"/>
              </w:rPr>
              <w:t>2,795,566.00</w:t>
            </w:r>
          </w:p>
        </w:tc>
      </w:tr>
      <w:tr w14:paraId="29D2B3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A3922F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应交税费</w:t>
            </w:r>
          </w:p>
        </w:tc>
        <w:tc>
          <w:tcPr>
            <w:tcW w:w="1133" w:type="dxa"/>
            <w:tcBorders>
              <w:top w:val="outset" w:color="auto" w:sz="6" w:space="0"/>
              <w:left w:val="outset" w:color="auto" w:sz="6" w:space="0"/>
              <w:bottom w:val="outset" w:color="auto" w:sz="6" w:space="0"/>
              <w:right w:val="outset" w:color="auto" w:sz="6" w:space="0"/>
            </w:tcBorders>
            <w:vAlign w:val="center"/>
          </w:tcPr>
          <w:p w14:paraId="5A72DA9E">
            <w:pPr>
              <w:pStyle w:val="48"/>
              <w:jc w:val="center"/>
              <w:rPr>
                <w:sz w:val="20"/>
                <w:szCs w:val="20"/>
              </w:rPr>
            </w:pPr>
            <w:r>
              <w:rPr>
                <w:rFonts w:hint="eastAsia"/>
                <w:sz w:val="20"/>
                <w:szCs w:val="20"/>
              </w:rPr>
              <w:t>4</w:t>
            </w:r>
            <w:r>
              <w:rPr>
                <w:sz w:val="20"/>
                <w:szCs w:val="20"/>
              </w:rPr>
              <w:t>0</w:t>
            </w:r>
          </w:p>
        </w:tc>
        <w:tc>
          <w:tcPr>
            <w:tcW w:w="2550" w:type="dxa"/>
            <w:tcBorders>
              <w:top w:val="outset" w:color="auto" w:sz="6" w:space="0"/>
              <w:left w:val="outset" w:color="auto" w:sz="6" w:space="0"/>
              <w:bottom w:val="outset" w:color="auto" w:sz="6" w:space="0"/>
              <w:right w:val="outset" w:color="auto" w:sz="6" w:space="0"/>
            </w:tcBorders>
            <w:vAlign w:val="center"/>
          </w:tcPr>
          <w:p w14:paraId="0895B568">
            <w:pPr>
              <w:jc w:val="right"/>
              <w:rPr>
                <w:rFonts w:ascii="Calibri" w:hAnsi="Calibri"/>
                <w:sz w:val="20"/>
                <w:szCs w:val="20"/>
              </w:rPr>
            </w:pPr>
            <w:r>
              <w:rPr>
                <w:rFonts w:ascii="Calibri" w:hAnsi="Calibri"/>
                <w:sz w:val="20"/>
                <w:szCs w:val="20"/>
              </w:rPr>
              <w:t>35,228,938.25</w:t>
            </w:r>
          </w:p>
        </w:tc>
        <w:tc>
          <w:tcPr>
            <w:tcW w:w="2411" w:type="dxa"/>
            <w:tcBorders>
              <w:top w:val="outset" w:color="auto" w:sz="6" w:space="0"/>
              <w:left w:val="outset" w:color="auto" w:sz="6" w:space="0"/>
              <w:bottom w:val="outset" w:color="auto" w:sz="6" w:space="0"/>
              <w:right w:val="outset" w:color="auto" w:sz="6" w:space="0"/>
            </w:tcBorders>
            <w:vAlign w:val="center"/>
          </w:tcPr>
          <w:p w14:paraId="1BB4173A">
            <w:pPr>
              <w:jc w:val="right"/>
              <w:rPr>
                <w:rFonts w:ascii="Calibri" w:hAnsi="Calibri"/>
                <w:sz w:val="20"/>
                <w:szCs w:val="20"/>
              </w:rPr>
            </w:pPr>
            <w:r>
              <w:rPr>
                <w:rFonts w:ascii="Calibri" w:hAnsi="Calibri"/>
                <w:sz w:val="20"/>
                <w:szCs w:val="20"/>
              </w:rPr>
              <w:t>53,514,180.70</w:t>
            </w:r>
          </w:p>
        </w:tc>
      </w:tr>
      <w:tr w14:paraId="19DF13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3919A51">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其他应付款</w:t>
            </w:r>
          </w:p>
        </w:tc>
        <w:tc>
          <w:tcPr>
            <w:tcW w:w="1133" w:type="dxa"/>
            <w:tcBorders>
              <w:top w:val="outset" w:color="auto" w:sz="6" w:space="0"/>
              <w:left w:val="outset" w:color="auto" w:sz="6" w:space="0"/>
              <w:bottom w:val="outset" w:color="auto" w:sz="6" w:space="0"/>
              <w:right w:val="outset" w:color="auto" w:sz="6" w:space="0"/>
            </w:tcBorders>
            <w:vAlign w:val="center"/>
          </w:tcPr>
          <w:p w14:paraId="3C618BDC">
            <w:pPr>
              <w:pStyle w:val="48"/>
              <w:jc w:val="center"/>
              <w:rPr>
                <w:sz w:val="20"/>
                <w:szCs w:val="20"/>
              </w:rPr>
            </w:pPr>
            <w:r>
              <w:rPr>
                <w:rFonts w:hint="eastAsia"/>
                <w:sz w:val="20"/>
                <w:szCs w:val="20"/>
              </w:rPr>
              <w:t>4</w:t>
            </w:r>
            <w:r>
              <w:rPr>
                <w:sz w:val="20"/>
                <w:szCs w:val="20"/>
              </w:rPr>
              <w:t>1</w:t>
            </w:r>
          </w:p>
        </w:tc>
        <w:tc>
          <w:tcPr>
            <w:tcW w:w="2550" w:type="dxa"/>
            <w:tcBorders>
              <w:top w:val="outset" w:color="auto" w:sz="6" w:space="0"/>
              <w:left w:val="outset" w:color="auto" w:sz="6" w:space="0"/>
              <w:bottom w:val="outset" w:color="auto" w:sz="6" w:space="0"/>
              <w:right w:val="outset" w:color="auto" w:sz="6" w:space="0"/>
            </w:tcBorders>
            <w:vAlign w:val="center"/>
          </w:tcPr>
          <w:p w14:paraId="4194CAF2">
            <w:pPr>
              <w:jc w:val="right"/>
              <w:rPr>
                <w:rFonts w:ascii="Calibri" w:hAnsi="Calibri"/>
                <w:sz w:val="20"/>
                <w:szCs w:val="20"/>
              </w:rPr>
            </w:pPr>
            <w:r>
              <w:rPr>
                <w:rFonts w:ascii="Calibri" w:hAnsi="Calibri"/>
                <w:sz w:val="20"/>
                <w:szCs w:val="20"/>
              </w:rPr>
              <w:t>83,125,907.92</w:t>
            </w:r>
          </w:p>
        </w:tc>
        <w:tc>
          <w:tcPr>
            <w:tcW w:w="2411" w:type="dxa"/>
            <w:tcBorders>
              <w:top w:val="outset" w:color="auto" w:sz="6" w:space="0"/>
              <w:left w:val="outset" w:color="auto" w:sz="6" w:space="0"/>
              <w:bottom w:val="outset" w:color="auto" w:sz="6" w:space="0"/>
              <w:right w:val="outset" w:color="auto" w:sz="6" w:space="0"/>
            </w:tcBorders>
            <w:vAlign w:val="center"/>
          </w:tcPr>
          <w:p w14:paraId="6A7E9A2E">
            <w:pPr>
              <w:jc w:val="right"/>
              <w:rPr>
                <w:rFonts w:ascii="Calibri" w:hAnsi="Calibri"/>
                <w:sz w:val="20"/>
                <w:szCs w:val="20"/>
              </w:rPr>
            </w:pPr>
            <w:r>
              <w:rPr>
                <w:rFonts w:ascii="Calibri" w:hAnsi="Calibri"/>
                <w:sz w:val="20"/>
                <w:szCs w:val="20"/>
              </w:rPr>
              <w:t>73,761,189.17</w:t>
            </w:r>
          </w:p>
        </w:tc>
      </w:tr>
      <w:tr w14:paraId="4B78F1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D6D1E58">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其中：应付利息</w:t>
            </w:r>
          </w:p>
        </w:tc>
        <w:tc>
          <w:tcPr>
            <w:tcW w:w="1133" w:type="dxa"/>
            <w:tcBorders>
              <w:top w:val="outset" w:color="auto" w:sz="6" w:space="0"/>
              <w:left w:val="outset" w:color="auto" w:sz="6" w:space="0"/>
              <w:bottom w:val="outset" w:color="auto" w:sz="6" w:space="0"/>
              <w:right w:val="outset" w:color="auto" w:sz="6" w:space="0"/>
            </w:tcBorders>
            <w:vAlign w:val="center"/>
          </w:tcPr>
          <w:p w14:paraId="40ACC73E">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CE2E64F">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429B5292">
            <w:pPr>
              <w:jc w:val="right"/>
              <w:rPr>
                <w:rFonts w:ascii="Calibri" w:hAnsi="Calibri"/>
                <w:sz w:val="20"/>
                <w:szCs w:val="20"/>
              </w:rPr>
            </w:pPr>
          </w:p>
        </w:tc>
      </w:tr>
      <w:tr w14:paraId="48D14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01375E94">
            <w:pPr>
              <w:ind w:firstLine="800" w:firstLineChars="4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应付股利</w:t>
            </w:r>
          </w:p>
        </w:tc>
        <w:tc>
          <w:tcPr>
            <w:tcW w:w="1133" w:type="dxa"/>
            <w:tcBorders>
              <w:top w:val="outset" w:color="auto" w:sz="6" w:space="0"/>
              <w:left w:val="outset" w:color="auto" w:sz="6" w:space="0"/>
              <w:bottom w:val="outset" w:color="auto" w:sz="6" w:space="0"/>
              <w:right w:val="outset" w:color="auto" w:sz="6" w:space="0"/>
            </w:tcBorders>
            <w:vAlign w:val="center"/>
          </w:tcPr>
          <w:p w14:paraId="13C89E95">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AFD5E46">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308DF445">
            <w:pPr>
              <w:jc w:val="right"/>
              <w:rPr>
                <w:rFonts w:ascii="Calibri" w:hAnsi="Calibri"/>
                <w:sz w:val="20"/>
                <w:szCs w:val="20"/>
              </w:rPr>
            </w:pPr>
          </w:p>
        </w:tc>
      </w:tr>
      <w:tr w14:paraId="53088D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B747D4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应付手续费及佣金</w:t>
            </w:r>
          </w:p>
        </w:tc>
        <w:tc>
          <w:tcPr>
            <w:tcW w:w="1133" w:type="dxa"/>
            <w:tcBorders>
              <w:top w:val="outset" w:color="auto" w:sz="6" w:space="0"/>
              <w:left w:val="outset" w:color="auto" w:sz="6" w:space="0"/>
              <w:bottom w:val="outset" w:color="auto" w:sz="6" w:space="0"/>
              <w:right w:val="outset" w:color="auto" w:sz="6" w:space="0"/>
            </w:tcBorders>
            <w:vAlign w:val="center"/>
          </w:tcPr>
          <w:p w14:paraId="72F3F85D">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6E7BFC7A">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3AAB0BCC">
            <w:pPr>
              <w:jc w:val="right"/>
              <w:rPr>
                <w:rFonts w:ascii="Calibri" w:hAnsi="Calibri"/>
                <w:sz w:val="20"/>
                <w:szCs w:val="20"/>
              </w:rPr>
            </w:pPr>
          </w:p>
        </w:tc>
      </w:tr>
      <w:tr w14:paraId="08ECF0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7F94139">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应付分保账款</w:t>
            </w:r>
          </w:p>
        </w:tc>
        <w:tc>
          <w:tcPr>
            <w:tcW w:w="1133" w:type="dxa"/>
            <w:tcBorders>
              <w:top w:val="outset" w:color="auto" w:sz="6" w:space="0"/>
              <w:left w:val="outset" w:color="auto" w:sz="6" w:space="0"/>
              <w:bottom w:val="outset" w:color="auto" w:sz="6" w:space="0"/>
              <w:right w:val="outset" w:color="auto" w:sz="6" w:space="0"/>
            </w:tcBorders>
            <w:vAlign w:val="center"/>
          </w:tcPr>
          <w:p w14:paraId="3B8A76C7">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6958BBD">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3A3789EF">
            <w:pPr>
              <w:jc w:val="right"/>
              <w:rPr>
                <w:rFonts w:ascii="Calibri" w:hAnsi="Calibri"/>
                <w:sz w:val="20"/>
                <w:szCs w:val="20"/>
              </w:rPr>
            </w:pPr>
          </w:p>
        </w:tc>
      </w:tr>
      <w:tr w14:paraId="079C51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FB0B435">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持有待售负债</w:t>
            </w:r>
          </w:p>
        </w:tc>
        <w:tc>
          <w:tcPr>
            <w:tcW w:w="1133" w:type="dxa"/>
            <w:tcBorders>
              <w:top w:val="outset" w:color="auto" w:sz="6" w:space="0"/>
              <w:left w:val="outset" w:color="auto" w:sz="6" w:space="0"/>
              <w:bottom w:val="outset" w:color="auto" w:sz="6" w:space="0"/>
              <w:right w:val="outset" w:color="auto" w:sz="6" w:space="0"/>
            </w:tcBorders>
            <w:vAlign w:val="center"/>
          </w:tcPr>
          <w:p w14:paraId="6FF5F498">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642BADC1">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6638D5C7">
            <w:pPr>
              <w:jc w:val="right"/>
              <w:rPr>
                <w:rFonts w:ascii="Calibri" w:hAnsi="Calibri"/>
                <w:sz w:val="20"/>
                <w:szCs w:val="20"/>
              </w:rPr>
            </w:pPr>
          </w:p>
        </w:tc>
      </w:tr>
      <w:tr w14:paraId="276CB8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BF37FD8">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一年内到期的非流动负债</w:t>
            </w:r>
          </w:p>
        </w:tc>
        <w:tc>
          <w:tcPr>
            <w:tcW w:w="1133" w:type="dxa"/>
            <w:tcBorders>
              <w:top w:val="outset" w:color="auto" w:sz="6" w:space="0"/>
              <w:left w:val="outset" w:color="auto" w:sz="6" w:space="0"/>
              <w:bottom w:val="outset" w:color="auto" w:sz="6" w:space="0"/>
              <w:right w:val="outset" w:color="auto" w:sz="6" w:space="0"/>
            </w:tcBorders>
            <w:vAlign w:val="center"/>
          </w:tcPr>
          <w:p w14:paraId="145FB03D">
            <w:pPr>
              <w:pStyle w:val="48"/>
              <w:jc w:val="center"/>
              <w:rPr>
                <w:sz w:val="20"/>
                <w:szCs w:val="20"/>
              </w:rPr>
            </w:pPr>
            <w:r>
              <w:rPr>
                <w:rFonts w:hint="eastAsia"/>
                <w:sz w:val="20"/>
                <w:szCs w:val="20"/>
              </w:rPr>
              <w:t>4</w:t>
            </w:r>
            <w:r>
              <w:rPr>
                <w:sz w:val="20"/>
                <w:szCs w:val="20"/>
              </w:rPr>
              <w:t>3</w:t>
            </w:r>
          </w:p>
        </w:tc>
        <w:tc>
          <w:tcPr>
            <w:tcW w:w="2550" w:type="dxa"/>
            <w:tcBorders>
              <w:top w:val="outset" w:color="auto" w:sz="6" w:space="0"/>
              <w:left w:val="outset" w:color="auto" w:sz="6" w:space="0"/>
              <w:bottom w:val="outset" w:color="auto" w:sz="6" w:space="0"/>
              <w:right w:val="outset" w:color="auto" w:sz="6" w:space="0"/>
            </w:tcBorders>
            <w:vAlign w:val="center"/>
          </w:tcPr>
          <w:p w14:paraId="57930963">
            <w:pPr>
              <w:jc w:val="right"/>
              <w:rPr>
                <w:rFonts w:ascii="Calibri" w:hAnsi="Calibri"/>
                <w:sz w:val="20"/>
                <w:szCs w:val="20"/>
              </w:rPr>
            </w:pPr>
            <w:r>
              <w:rPr>
                <w:rFonts w:ascii="Calibri" w:hAnsi="Calibri"/>
                <w:sz w:val="20"/>
                <w:szCs w:val="20"/>
              </w:rPr>
              <w:t>275,341,852.90</w:t>
            </w:r>
          </w:p>
        </w:tc>
        <w:tc>
          <w:tcPr>
            <w:tcW w:w="2411" w:type="dxa"/>
            <w:tcBorders>
              <w:top w:val="outset" w:color="auto" w:sz="6" w:space="0"/>
              <w:left w:val="outset" w:color="auto" w:sz="6" w:space="0"/>
              <w:bottom w:val="outset" w:color="auto" w:sz="6" w:space="0"/>
              <w:right w:val="outset" w:color="auto" w:sz="6" w:space="0"/>
            </w:tcBorders>
            <w:vAlign w:val="center"/>
          </w:tcPr>
          <w:p w14:paraId="4D8E21D8">
            <w:pPr>
              <w:jc w:val="right"/>
              <w:rPr>
                <w:rFonts w:ascii="Calibri" w:hAnsi="Calibri"/>
                <w:sz w:val="20"/>
                <w:szCs w:val="20"/>
              </w:rPr>
            </w:pPr>
            <w:r>
              <w:rPr>
                <w:rFonts w:ascii="Calibri" w:hAnsi="Calibri"/>
                <w:sz w:val="20"/>
                <w:szCs w:val="20"/>
              </w:rPr>
              <w:t>4,396,642.54</w:t>
            </w:r>
          </w:p>
        </w:tc>
      </w:tr>
      <w:tr w14:paraId="10915C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D2ACCA5">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其他流动负债</w:t>
            </w:r>
          </w:p>
        </w:tc>
        <w:tc>
          <w:tcPr>
            <w:tcW w:w="1133" w:type="dxa"/>
            <w:tcBorders>
              <w:top w:val="outset" w:color="auto" w:sz="6" w:space="0"/>
              <w:left w:val="outset" w:color="auto" w:sz="6" w:space="0"/>
              <w:bottom w:val="outset" w:color="auto" w:sz="6" w:space="0"/>
              <w:right w:val="outset" w:color="auto" w:sz="6" w:space="0"/>
            </w:tcBorders>
            <w:vAlign w:val="center"/>
          </w:tcPr>
          <w:p w14:paraId="3E9BF10B">
            <w:pPr>
              <w:pStyle w:val="48"/>
              <w:jc w:val="center"/>
              <w:rPr>
                <w:sz w:val="20"/>
                <w:szCs w:val="20"/>
              </w:rPr>
            </w:pPr>
            <w:r>
              <w:rPr>
                <w:rFonts w:hint="eastAsia"/>
                <w:sz w:val="20"/>
                <w:szCs w:val="20"/>
              </w:rPr>
              <w:t>4</w:t>
            </w:r>
            <w:r>
              <w:rPr>
                <w:sz w:val="20"/>
                <w:szCs w:val="20"/>
              </w:rPr>
              <w:t>4</w:t>
            </w:r>
          </w:p>
        </w:tc>
        <w:tc>
          <w:tcPr>
            <w:tcW w:w="2550" w:type="dxa"/>
            <w:tcBorders>
              <w:top w:val="outset" w:color="auto" w:sz="6" w:space="0"/>
              <w:left w:val="outset" w:color="auto" w:sz="6" w:space="0"/>
              <w:bottom w:val="outset" w:color="auto" w:sz="6" w:space="0"/>
              <w:right w:val="outset" w:color="auto" w:sz="6" w:space="0"/>
            </w:tcBorders>
            <w:vAlign w:val="center"/>
          </w:tcPr>
          <w:p w14:paraId="19DA88C9">
            <w:pPr>
              <w:jc w:val="right"/>
              <w:rPr>
                <w:rFonts w:ascii="Calibri" w:hAnsi="Calibri"/>
                <w:sz w:val="20"/>
                <w:szCs w:val="20"/>
              </w:rPr>
            </w:pPr>
            <w:r>
              <w:rPr>
                <w:rFonts w:ascii="Calibri" w:hAnsi="Calibri"/>
                <w:sz w:val="20"/>
                <w:szCs w:val="20"/>
              </w:rPr>
              <w:t>10,058,581.03</w:t>
            </w:r>
          </w:p>
        </w:tc>
        <w:tc>
          <w:tcPr>
            <w:tcW w:w="2411" w:type="dxa"/>
            <w:tcBorders>
              <w:top w:val="outset" w:color="auto" w:sz="6" w:space="0"/>
              <w:left w:val="outset" w:color="auto" w:sz="6" w:space="0"/>
              <w:bottom w:val="outset" w:color="auto" w:sz="6" w:space="0"/>
              <w:right w:val="outset" w:color="auto" w:sz="6" w:space="0"/>
            </w:tcBorders>
            <w:vAlign w:val="center"/>
          </w:tcPr>
          <w:p w14:paraId="572AF6F9">
            <w:pPr>
              <w:jc w:val="right"/>
              <w:rPr>
                <w:rFonts w:ascii="Calibri" w:hAnsi="Calibri"/>
                <w:sz w:val="20"/>
                <w:szCs w:val="20"/>
              </w:rPr>
            </w:pPr>
            <w:r>
              <w:rPr>
                <w:rFonts w:ascii="Calibri" w:hAnsi="Calibri"/>
                <w:sz w:val="20"/>
                <w:szCs w:val="20"/>
              </w:rPr>
              <w:t>2,638,442.65</w:t>
            </w:r>
          </w:p>
        </w:tc>
      </w:tr>
      <w:tr w14:paraId="70DFC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CC9BEA3">
            <w:pPr>
              <w:ind w:firstLine="400" w:firstLineChars="2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流动负债合计</w:t>
            </w:r>
          </w:p>
        </w:tc>
        <w:tc>
          <w:tcPr>
            <w:tcW w:w="1133" w:type="dxa"/>
            <w:tcBorders>
              <w:top w:val="outset" w:color="auto" w:sz="6" w:space="0"/>
              <w:left w:val="outset" w:color="auto" w:sz="6" w:space="0"/>
              <w:bottom w:val="outset" w:color="auto" w:sz="6" w:space="0"/>
              <w:right w:val="outset" w:color="auto" w:sz="6" w:space="0"/>
            </w:tcBorders>
            <w:vAlign w:val="center"/>
          </w:tcPr>
          <w:p w14:paraId="367E9E34">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E670E98">
            <w:pPr>
              <w:jc w:val="right"/>
              <w:rPr>
                <w:rFonts w:ascii="Calibri" w:hAnsi="Calibri"/>
                <w:sz w:val="20"/>
                <w:szCs w:val="20"/>
              </w:rPr>
            </w:pPr>
            <w:r>
              <w:rPr>
                <w:rFonts w:ascii="Calibri" w:hAnsi="Calibri"/>
                <w:sz w:val="20"/>
                <w:szCs w:val="20"/>
              </w:rPr>
              <w:t>545,514,899.08</w:t>
            </w:r>
          </w:p>
        </w:tc>
        <w:tc>
          <w:tcPr>
            <w:tcW w:w="2411" w:type="dxa"/>
            <w:tcBorders>
              <w:top w:val="outset" w:color="auto" w:sz="6" w:space="0"/>
              <w:left w:val="outset" w:color="auto" w:sz="6" w:space="0"/>
              <w:bottom w:val="outset" w:color="auto" w:sz="6" w:space="0"/>
              <w:right w:val="outset" w:color="auto" w:sz="6" w:space="0"/>
            </w:tcBorders>
            <w:vAlign w:val="center"/>
          </w:tcPr>
          <w:p w14:paraId="6CA7ABAE">
            <w:pPr>
              <w:jc w:val="right"/>
              <w:rPr>
                <w:rFonts w:ascii="Calibri" w:hAnsi="Calibri"/>
                <w:sz w:val="20"/>
                <w:szCs w:val="20"/>
              </w:rPr>
            </w:pPr>
            <w:r>
              <w:rPr>
                <w:rFonts w:ascii="Calibri" w:hAnsi="Calibri"/>
                <w:sz w:val="20"/>
                <w:szCs w:val="20"/>
              </w:rPr>
              <w:t>666,645,978.56</w:t>
            </w:r>
          </w:p>
        </w:tc>
      </w:tr>
      <w:tr w14:paraId="324D76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71b1fd441234f58b41e1d581fa3f62e"/>
            <w:id w:val="1039859091"/>
          </w:sdtPr>
          <w:sdtContent>
            <w:tc>
              <w:tcPr>
                <w:tcW w:w="9038" w:type="dxa"/>
                <w:gridSpan w:val="4"/>
                <w:tcBorders>
                  <w:top w:val="outset" w:color="auto" w:sz="6" w:space="0"/>
                  <w:left w:val="outset" w:color="auto" w:sz="6" w:space="0"/>
                  <w:bottom w:val="outset" w:color="auto" w:sz="6" w:space="0"/>
                  <w:right w:val="outset" w:color="auto" w:sz="6" w:space="0"/>
                </w:tcBorders>
                <w:vAlign w:val="center"/>
              </w:tcPr>
              <w:p w14:paraId="1C48A071">
                <w:pPr>
                  <w:rPr>
                    <w:rFonts w:ascii="Calibri" w:hAnsi="Calibri"/>
                    <w:color w:val="000000" w:themeColor="text1"/>
                    <w:sz w:val="20"/>
                    <w:szCs w:val="20"/>
                    <w14:textFill>
                      <w14:solidFill>
                        <w14:schemeClr w14:val="tx1"/>
                      </w14:solidFill>
                    </w14:textFill>
                  </w:rPr>
                </w:pPr>
                <w:r>
                  <w:rPr>
                    <w:rFonts w:hint="eastAsia" w:ascii="Calibri" w:hAnsi="Calibri"/>
                    <w:b/>
                    <w:color w:val="000000" w:themeColor="text1"/>
                    <w:sz w:val="20"/>
                    <w:szCs w:val="20"/>
                    <w14:textFill>
                      <w14:solidFill>
                        <w14:schemeClr w14:val="tx1"/>
                      </w14:solidFill>
                    </w14:textFill>
                  </w:rPr>
                  <w:t>非流动负债：</w:t>
                </w:r>
              </w:p>
            </w:tc>
          </w:sdtContent>
        </w:sdt>
      </w:tr>
      <w:tr w14:paraId="087E1E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09C7F07">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保险合同准备金</w:t>
            </w:r>
          </w:p>
        </w:tc>
        <w:tc>
          <w:tcPr>
            <w:tcW w:w="1133" w:type="dxa"/>
            <w:tcBorders>
              <w:top w:val="outset" w:color="auto" w:sz="6" w:space="0"/>
              <w:left w:val="outset" w:color="auto" w:sz="6" w:space="0"/>
              <w:bottom w:val="outset" w:color="auto" w:sz="6" w:space="0"/>
              <w:right w:val="outset" w:color="auto" w:sz="6" w:space="0"/>
            </w:tcBorders>
            <w:vAlign w:val="center"/>
          </w:tcPr>
          <w:p w14:paraId="4E107EF2">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2FFB6F59">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411AF412">
            <w:pPr>
              <w:jc w:val="right"/>
              <w:rPr>
                <w:rFonts w:ascii="Calibri" w:hAnsi="Calibri"/>
                <w:sz w:val="20"/>
                <w:szCs w:val="20"/>
              </w:rPr>
            </w:pPr>
          </w:p>
        </w:tc>
      </w:tr>
      <w:tr w14:paraId="6FC442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D94D6CD">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长期借款</w:t>
            </w:r>
          </w:p>
        </w:tc>
        <w:tc>
          <w:tcPr>
            <w:tcW w:w="1133" w:type="dxa"/>
            <w:tcBorders>
              <w:top w:val="outset" w:color="auto" w:sz="6" w:space="0"/>
              <w:left w:val="outset" w:color="auto" w:sz="6" w:space="0"/>
              <w:bottom w:val="outset" w:color="auto" w:sz="6" w:space="0"/>
              <w:right w:val="outset" w:color="auto" w:sz="6" w:space="0"/>
            </w:tcBorders>
            <w:vAlign w:val="center"/>
          </w:tcPr>
          <w:p w14:paraId="6C09873C">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264C4401">
            <w:pPr>
              <w:jc w:val="right"/>
              <w:rPr>
                <w:rFonts w:ascii="Calibri" w:hAnsi="Calibri"/>
                <w:sz w:val="20"/>
                <w:szCs w:val="20"/>
              </w:rPr>
            </w:pPr>
            <w:r>
              <w:rPr>
                <w:rFonts w:ascii="Calibri" w:hAnsi="Calibri"/>
                <w:sz w:val="20"/>
                <w:szCs w:val="20"/>
              </w:rPr>
              <w:t>192,190,000.00</w:t>
            </w:r>
          </w:p>
        </w:tc>
        <w:tc>
          <w:tcPr>
            <w:tcW w:w="2411" w:type="dxa"/>
            <w:tcBorders>
              <w:top w:val="outset" w:color="auto" w:sz="6" w:space="0"/>
              <w:left w:val="outset" w:color="auto" w:sz="6" w:space="0"/>
              <w:bottom w:val="outset" w:color="auto" w:sz="6" w:space="0"/>
              <w:right w:val="outset" w:color="auto" w:sz="6" w:space="0"/>
            </w:tcBorders>
            <w:vAlign w:val="center"/>
          </w:tcPr>
          <w:p w14:paraId="1673C26B">
            <w:pPr>
              <w:jc w:val="right"/>
              <w:rPr>
                <w:rFonts w:ascii="Calibri" w:hAnsi="Calibri"/>
                <w:sz w:val="20"/>
                <w:szCs w:val="20"/>
              </w:rPr>
            </w:pPr>
            <w:r>
              <w:rPr>
                <w:rFonts w:ascii="Calibri" w:hAnsi="Calibri"/>
                <w:sz w:val="20"/>
                <w:szCs w:val="20"/>
              </w:rPr>
              <w:t>253,490,000.00</w:t>
            </w:r>
          </w:p>
        </w:tc>
      </w:tr>
      <w:tr w14:paraId="603029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F9CE1A1">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应付债券</w:t>
            </w:r>
          </w:p>
        </w:tc>
        <w:tc>
          <w:tcPr>
            <w:tcW w:w="1133" w:type="dxa"/>
            <w:tcBorders>
              <w:top w:val="outset" w:color="auto" w:sz="6" w:space="0"/>
              <w:left w:val="outset" w:color="auto" w:sz="6" w:space="0"/>
              <w:bottom w:val="outset" w:color="auto" w:sz="6" w:space="0"/>
              <w:right w:val="outset" w:color="auto" w:sz="6" w:space="0"/>
            </w:tcBorders>
            <w:vAlign w:val="center"/>
          </w:tcPr>
          <w:p w14:paraId="0FFCF498">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0753734">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5326FDB0">
            <w:pPr>
              <w:jc w:val="right"/>
              <w:rPr>
                <w:rFonts w:ascii="Calibri" w:hAnsi="Calibri"/>
                <w:sz w:val="20"/>
                <w:szCs w:val="20"/>
              </w:rPr>
            </w:pPr>
          </w:p>
        </w:tc>
      </w:tr>
      <w:tr w14:paraId="118BED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3E1AFABB">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其中：优先股</w:t>
            </w:r>
          </w:p>
        </w:tc>
        <w:tc>
          <w:tcPr>
            <w:tcW w:w="1133" w:type="dxa"/>
            <w:tcBorders>
              <w:top w:val="outset" w:color="auto" w:sz="6" w:space="0"/>
              <w:left w:val="outset" w:color="auto" w:sz="6" w:space="0"/>
              <w:bottom w:val="outset" w:color="auto" w:sz="6" w:space="0"/>
              <w:right w:val="outset" w:color="auto" w:sz="6" w:space="0"/>
            </w:tcBorders>
            <w:vAlign w:val="center"/>
          </w:tcPr>
          <w:p w14:paraId="7065F147">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395B24B">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2E2E684E">
            <w:pPr>
              <w:jc w:val="right"/>
              <w:rPr>
                <w:rFonts w:ascii="Calibri" w:hAnsi="Calibri"/>
                <w:sz w:val="20"/>
                <w:szCs w:val="20"/>
              </w:rPr>
            </w:pPr>
          </w:p>
        </w:tc>
      </w:tr>
      <w:tr w14:paraId="7261DF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DE71C48">
            <w:pPr>
              <w:ind w:left="630" w:leftChars="300"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永续债</w:t>
            </w:r>
          </w:p>
        </w:tc>
        <w:tc>
          <w:tcPr>
            <w:tcW w:w="1133" w:type="dxa"/>
            <w:tcBorders>
              <w:top w:val="outset" w:color="auto" w:sz="6" w:space="0"/>
              <w:left w:val="outset" w:color="auto" w:sz="6" w:space="0"/>
              <w:bottom w:val="outset" w:color="auto" w:sz="6" w:space="0"/>
              <w:right w:val="outset" w:color="auto" w:sz="6" w:space="0"/>
            </w:tcBorders>
            <w:vAlign w:val="center"/>
          </w:tcPr>
          <w:p w14:paraId="73676ADC">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4C976B9">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034D21AC">
            <w:pPr>
              <w:jc w:val="right"/>
              <w:rPr>
                <w:rFonts w:ascii="Calibri" w:hAnsi="Calibri"/>
                <w:sz w:val="20"/>
                <w:szCs w:val="20"/>
              </w:rPr>
            </w:pPr>
          </w:p>
        </w:tc>
      </w:tr>
      <w:tr w14:paraId="382D42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F708798">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租赁负债</w:t>
            </w:r>
          </w:p>
        </w:tc>
        <w:tc>
          <w:tcPr>
            <w:tcW w:w="1133" w:type="dxa"/>
            <w:tcBorders>
              <w:top w:val="outset" w:color="auto" w:sz="6" w:space="0"/>
              <w:left w:val="outset" w:color="auto" w:sz="6" w:space="0"/>
              <w:bottom w:val="outset" w:color="auto" w:sz="6" w:space="0"/>
              <w:right w:val="outset" w:color="auto" w:sz="6" w:space="0"/>
            </w:tcBorders>
            <w:vAlign w:val="center"/>
          </w:tcPr>
          <w:p w14:paraId="249144FE">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0514EC1">
            <w:pPr>
              <w:jc w:val="right"/>
              <w:rPr>
                <w:rFonts w:ascii="Calibri" w:hAnsi="Calibri"/>
                <w:sz w:val="20"/>
                <w:szCs w:val="20"/>
              </w:rPr>
            </w:pPr>
            <w:r>
              <w:rPr>
                <w:rFonts w:ascii="Calibri" w:hAnsi="Calibri"/>
                <w:sz w:val="20"/>
                <w:szCs w:val="20"/>
              </w:rPr>
              <w:t>25,330,246.30</w:t>
            </w:r>
          </w:p>
        </w:tc>
        <w:tc>
          <w:tcPr>
            <w:tcW w:w="2411" w:type="dxa"/>
            <w:tcBorders>
              <w:top w:val="outset" w:color="auto" w:sz="6" w:space="0"/>
              <w:left w:val="outset" w:color="auto" w:sz="6" w:space="0"/>
              <w:bottom w:val="outset" w:color="auto" w:sz="6" w:space="0"/>
              <w:right w:val="outset" w:color="auto" w:sz="6" w:space="0"/>
            </w:tcBorders>
            <w:vAlign w:val="center"/>
          </w:tcPr>
          <w:p w14:paraId="7DE25C94">
            <w:pPr>
              <w:jc w:val="right"/>
              <w:rPr>
                <w:rFonts w:ascii="Calibri" w:hAnsi="Calibri"/>
                <w:sz w:val="20"/>
                <w:szCs w:val="20"/>
              </w:rPr>
            </w:pPr>
            <w:r>
              <w:rPr>
                <w:rFonts w:ascii="Calibri" w:hAnsi="Calibri"/>
                <w:sz w:val="20"/>
                <w:szCs w:val="20"/>
              </w:rPr>
              <w:t>19,502,393.05</w:t>
            </w:r>
          </w:p>
        </w:tc>
      </w:tr>
      <w:tr w14:paraId="4900AD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554C92A">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长期应付款</w:t>
            </w:r>
          </w:p>
        </w:tc>
        <w:tc>
          <w:tcPr>
            <w:tcW w:w="1133" w:type="dxa"/>
            <w:tcBorders>
              <w:top w:val="outset" w:color="auto" w:sz="6" w:space="0"/>
              <w:left w:val="outset" w:color="auto" w:sz="6" w:space="0"/>
              <w:bottom w:val="outset" w:color="auto" w:sz="6" w:space="0"/>
              <w:right w:val="outset" w:color="auto" w:sz="6" w:space="0"/>
            </w:tcBorders>
            <w:vAlign w:val="center"/>
          </w:tcPr>
          <w:p w14:paraId="6BE35B42">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441096D">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51F270F">
            <w:pPr>
              <w:jc w:val="right"/>
              <w:rPr>
                <w:rFonts w:ascii="Calibri" w:hAnsi="Calibri"/>
                <w:sz w:val="20"/>
                <w:szCs w:val="20"/>
              </w:rPr>
            </w:pPr>
          </w:p>
        </w:tc>
      </w:tr>
      <w:tr w14:paraId="6CDE20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8A4BA19">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长期应付职工薪酬</w:t>
            </w:r>
          </w:p>
        </w:tc>
        <w:tc>
          <w:tcPr>
            <w:tcW w:w="1133" w:type="dxa"/>
            <w:tcBorders>
              <w:top w:val="outset" w:color="auto" w:sz="6" w:space="0"/>
              <w:left w:val="outset" w:color="auto" w:sz="6" w:space="0"/>
              <w:bottom w:val="outset" w:color="auto" w:sz="6" w:space="0"/>
              <w:right w:val="outset" w:color="auto" w:sz="6" w:space="0"/>
            </w:tcBorders>
            <w:vAlign w:val="center"/>
          </w:tcPr>
          <w:p w14:paraId="23F53D9B">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0AC9EC1">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FB95A3C">
            <w:pPr>
              <w:jc w:val="right"/>
              <w:rPr>
                <w:rFonts w:ascii="Calibri" w:hAnsi="Calibri"/>
                <w:sz w:val="20"/>
                <w:szCs w:val="20"/>
              </w:rPr>
            </w:pPr>
          </w:p>
        </w:tc>
      </w:tr>
      <w:tr w14:paraId="451C35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3739E00">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预计负债</w:t>
            </w:r>
          </w:p>
        </w:tc>
        <w:tc>
          <w:tcPr>
            <w:tcW w:w="1133" w:type="dxa"/>
            <w:tcBorders>
              <w:top w:val="outset" w:color="auto" w:sz="6" w:space="0"/>
              <w:left w:val="outset" w:color="auto" w:sz="6" w:space="0"/>
              <w:bottom w:val="outset" w:color="auto" w:sz="6" w:space="0"/>
              <w:right w:val="outset" w:color="auto" w:sz="6" w:space="0"/>
            </w:tcBorders>
            <w:vAlign w:val="center"/>
          </w:tcPr>
          <w:p w14:paraId="7A1DEB95">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6B72FF1">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685EFFF4">
            <w:pPr>
              <w:jc w:val="right"/>
              <w:rPr>
                <w:rFonts w:ascii="Calibri" w:hAnsi="Calibri"/>
                <w:sz w:val="20"/>
                <w:szCs w:val="20"/>
              </w:rPr>
            </w:pPr>
          </w:p>
        </w:tc>
      </w:tr>
      <w:tr w14:paraId="460A0A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FC7FC70">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递延收益</w:t>
            </w:r>
          </w:p>
        </w:tc>
        <w:tc>
          <w:tcPr>
            <w:tcW w:w="1133" w:type="dxa"/>
            <w:tcBorders>
              <w:top w:val="outset" w:color="auto" w:sz="6" w:space="0"/>
              <w:left w:val="outset" w:color="auto" w:sz="6" w:space="0"/>
              <w:bottom w:val="outset" w:color="auto" w:sz="6" w:space="0"/>
              <w:right w:val="outset" w:color="auto" w:sz="6" w:space="0"/>
            </w:tcBorders>
            <w:vAlign w:val="center"/>
          </w:tcPr>
          <w:p w14:paraId="46412ABB">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73F7226">
            <w:pPr>
              <w:jc w:val="right"/>
              <w:rPr>
                <w:rFonts w:ascii="Calibri" w:hAnsi="Calibri"/>
                <w:sz w:val="20"/>
                <w:szCs w:val="20"/>
              </w:rPr>
            </w:pPr>
            <w:r>
              <w:rPr>
                <w:rFonts w:ascii="Calibri" w:hAnsi="Calibri"/>
                <w:sz w:val="20"/>
                <w:szCs w:val="20"/>
              </w:rPr>
              <w:t>28,408,640.79</w:t>
            </w:r>
          </w:p>
        </w:tc>
        <w:tc>
          <w:tcPr>
            <w:tcW w:w="2411" w:type="dxa"/>
            <w:tcBorders>
              <w:top w:val="outset" w:color="auto" w:sz="6" w:space="0"/>
              <w:left w:val="outset" w:color="auto" w:sz="6" w:space="0"/>
              <w:bottom w:val="outset" w:color="auto" w:sz="6" w:space="0"/>
              <w:right w:val="outset" w:color="auto" w:sz="6" w:space="0"/>
            </w:tcBorders>
            <w:vAlign w:val="center"/>
          </w:tcPr>
          <w:p w14:paraId="326B4A1F">
            <w:pPr>
              <w:jc w:val="right"/>
              <w:rPr>
                <w:rFonts w:ascii="Calibri" w:hAnsi="Calibri"/>
                <w:sz w:val="20"/>
                <w:szCs w:val="20"/>
              </w:rPr>
            </w:pPr>
            <w:r>
              <w:rPr>
                <w:rFonts w:ascii="Calibri" w:hAnsi="Calibri"/>
                <w:sz w:val="20"/>
                <w:szCs w:val="20"/>
              </w:rPr>
              <w:t>27,655,981.71</w:t>
            </w:r>
          </w:p>
        </w:tc>
      </w:tr>
      <w:tr w14:paraId="6FE3DD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4B4C5E5">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递延所得税负债</w:t>
            </w:r>
          </w:p>
        </w:tc>
        <w:tc>
          <w:tcPr>
            <w:tcW w:w="1133" w:type="dxa"/>
            <w:tcBorders>
              <w:top w:val="outset" w:color="auto" w:sz="6" w:space="0"/>
              <w:left w:val="outset" w:color="auto" w:sz="6" w:space="0"/>
              <w:bottom w:val="outset" w:color="auto" w:sz="6" w:space="0"/>
              <w:right w:val="outset" w:color="auto" w:sz="6" w:space="0"/>
            </w:tcBorders>
            <w:vAlign w:val="center"/>
          </w:tcPr>
          <w:p w14:paraId="27832EBA">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93D8C1B">
            <w:pPr>
              <w:jc w:val="right"/>
              <w:rPr>
                <w:rFonts w:ascii="Calibri" w:hAnsi="Calibri"/>
                <w:sz w:val="20"/>
                <w:szCs w:val="20"/>
              </w:rPr>
            </w:pPr>
            <w:r>
              <w:rPr>
                <w:rFonts w:ascii="Calibri" w:hAnsi="Calibri"/>
                <w:sz w:val="20"/>
                <w:szCs w:val="20"/>
              </w:rPr>
              <w:t>7,396,615.69</w:t>
            </w:r>
          </w:p>
        </w:tc>
        <w:tc>
          <w:tcPr>
            <w:tcW w:w="2411" w:type="dxa"/>
            <w:tcBorders>
              <w:top w:val="outset" w:color="auto" w:sz="6" w:space="0"/>
              <w:left w:val="outset" w:color="auto" w:sz="6" w:space="0"/>
              <w:bottom w:val="outset" w:color="auto" w:sz="6" w:space="0"/>
              <w:right w:val="outset" w:color="auto" w:sz="6" w:space="0"/>
            </w:tcBorders>
            <w:vAlign w:val="center"/>
          </w:tcPr>
          <w:p w14:paraId="2792F9B2">
            <w:pPr>
              <w:jc w:val="right"/>
              <w:rPr>
                <w:rFonts w:ascii="Calibri" w:hAnsi="Calibri"/>
                <w:sz w:val="20"/>
                <w:szCs w:val="20"/>
              </w:rPr>
            </w:pPr>
            <w:r>
              <w:rPr>
                <w:rFonts w:ascii="Calibri" w:hAnsi="Calibri"/>
                <w:sz w:val="20"/>
                <w:szCs w:val="20"/>
              </w:rPr>
              <w:t>11,993,083.41</w:t>
            </w:r>
          </w:p>
        </w:tc>
      </w:tr>
      <w:tr w14:paraId="2EB5DE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B6A18C6">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其他非流动负债</w:t>
            </w:r>
          </w:p>
        </w:tc>
        <w:tc>
          <w:tcPr>
            <w:tcW w:w="1133" w:type="dxa"/>
            <w:tcBorders>
              <w:top w:val="outset" w:color="auto" w:sz="6" w:space="0"/>
              <w:left w:val="outset" w:color="auto" w:sz="6" w:space="0"/>
              <w:bottom w:val="outset" w:color="auto" w:sz="6" w:space="0"/>
              <w:right w:val="outset" w:color="auto" w:sz="6" w:space="0"/>
            </w:tcBorders>
            <w:vAlign w:val="center"/>
          </w:tcPr>
          <w:p w14:paraId="04367FE5">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ABD85D9">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5374254A">
            <w:pPr>
              <w:jc w:val="right"/>
              <w:rPr>
                <w:rFonts w:ascii="Calibri" w:hAnsi="Calibri"/>
                <w:sz w:val="20"/>
                <w:szCs w:val="20"/>
              </w:rPr>
            </w:pPr>
          </w:p>
        </w:tc>
      </w:tr>
      <w:tr w14:paraId="310F6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5CB227A">
            <w:pPr>
              <w:ind w:firstLine="400" w:firstLineChars="2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非流动负债合计</w:t>
            </w:r>
          </w:p>
        </w:tc>
        <w:tc>
          <w:tcPr>
            <w:tcW w:w="1133" w:type="dxa"/>
            <w:tcBorders>
              <w:top w:val="outset" w:color="auto" w:sz="6" w:space="0"/>
              <w:left w:val="outset" w:color="auto" w:sz="6" w:space="0"/>
              <w:bottom w:val="outset" w:color="auto" w:sz="6" w:space="0"/>
              <w:right w:val="outset" w:color="auto" w:sz="6" w:space="0"/>
            </w:tcBorders>
            <w:vAlign w:val="center"/>
          </w:tcPr>
          <w:p w14:paraId="10D9592D">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7049FFFF">
            <w:pPr>
              <w:jc w:val="right"/>
              <w:rPr>
                <w:rFonts w:ascii="Calibri" w:hAnsi="Calibri"/>
                <w:sz w:val="20"/>
                <w:szCs w:val="20"/>
              </w:rPr>
            </w:pPr>
            <w:r>
              <w:rPr>
                <w:rFonts w:ascii="Calibri" w:hAnsi="Calibri"/>
                <w:sz w:val="20"/>
                <w:szCs w:val="20"/>
              </w:rPr>
              <w:t>253,325,502.78</w:t>
            </w:r>
          </w:p>
        </w:tc>
        <w:tc>
          <w:tcPr>
            <w:tcW w:w="2411" w:type="dxa"/>
            <w:tcBorders>
              <w:top w:val="outset" w:color="auto" w:sz="6" w:space="0"/>
              <w:left w:val="outset" w:color="auto" w:sz="6" w:space="0"/>
              <w:bottom w:val="outset" w:color="auto" w:sz="6" w:space="0"/>
              <w:right w:val="outset" w:color="auto" w:sz="6" w:space="0"/>
            </w:tcBorders>
            <w:vAlign w:val="center"/>
          </w:tcPr>
          <w:p w14:paraId="6072ACEF">
            <w:pPr>
              <w:jc w:val="right"/>
              <w:rPr>
                <w:rFonts w:ascii="Calibri" w:hAnsi="Calibri"/>
                <w:sz w:val="20"/>
                <w:szCs w:val="20"/>
              </w:rPr>
            </w:pPr>
            <w:r>
              <w:rPr>
                <w:rFonts w:ascii="Calibri" w:hAnsi="Calibri"/>
                <w:sz w:val="20"/>
                <w:szCs w:val="20"/>
              </w:rPr>
              <w:t>312,641,458.17</w:t>
            </w:r>
          </w:p>
        </w:tc>
      </w:tr>
      <w:tr w14:paraId="6EBB21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88F703F">
            <w:pPr>
              <w:ind w:firstLine="600" w:firstLineChars="3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负债合计</w:t>
            </w:r>
          </w:p>
        </w:tc>
        <w:tc>
          <w:tcPr>
            <w:tcW w:w="1133" w:type="dxa"/>
            <w:tcBorders>
              <w:top w:val="outset" w:color="auto" w:sz="6" w:space="0"/>
              <w:left w:val="outset" w:color="auto" w:sz="6" w:space="0"/>
              <w:bottom w:val="outset" w:color="auto" w:sz="6" w:space="0"/>
              <w:right w:val="outset" w:color="auto" w:sz="6" w:space="0"/>
            </w:tcBorders>
            <w:vAlign w:val="center"/>
          </w:tcPr>
          <w:p w14:paraId="10BC1F2B">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57EA981">
            <w:pPr>
              <w:jc w:val="right"/>
              <w:rPr>
                <w:rFonts w:ascii="Calibri" w:hAnsi="Calibri"/>
                <w:sz w:val="20"/>
                <w:szCs w:val="20"/>
              </w:rPr>
            </w:pPr>
            <w:r>
              <w:rPr>
                <w:rFonts w:ascii="Calibri" w:hAnsi="Calibri"/>
                <w:sz w:val="20"/>
                <w:szCs w:val="20"/>
              </w:rPr>
              <w:t>798,840,401.86</w:t>
            </w:r>
          </w:p>
        </w:tc>
        <w:tc>
          <w:tcPr>
            <w:tcW w:w="2411" w:type="dxa"/>
            <w:tcBorders>
              <w:top w:val="outset" w:color="auto" w:sz="6" w:space="0"/>
              <w:left w:val="outset" w:color="auto" w:sz="6" w:space="0"/>
              <w:bottom w:val="outset" w:color="auto" w:sz="6" w:space="0"/>
              <w:right w:val="outset" w:color="auto" w:sz="6" w:space="0"/>
            </w:tcBorders>
            <w:vAlign w:val="center"/>
          </w:tcPr>
          <w:p w14:paraId="4129209F">
            <w:pPr>
              <w:jc w:val="right"/>
              <w:rPr>
                <w:rFonts w:ascii="Calibri" w:hAnsi="Calibri"/>
                <w:sz w:val="20"/>
                <w:szCs w:val="20"/>
              </w:rPr>
            </w:pPr>
            <w:r>
              <w:rPr>
                <w:rFonts w:ascii="Calibri" w:hAnsi="Calibri"/>
                <w:sz w:val="20"/>
                <w:szCs w:val="20"/>
              </w:rPr>
              <w:t>979,287,436.73</w:t>
            </w:r>
          </w:p>
        </w:tc>
      </w:tr>
      <w:tr w14:paraId="7CE5D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d66d1050f504dbab14e7e96bff21c69"/>
            <w:id w:val="1664585269"/>
          </w:sdtPr>
          <w:sdtContent>
            <w:tc>
              <w:tcPr>
                <w:tcW w:w="9038" w:type="dxa"/>
                <w:gridSpan w:val="4"/>
                <w:tcBorders>
                  <w:top w:val="outset" w:color="auto" w:sz="6" w:space="0"/>
                  <w:left w:val="outset" w:color="auto" w:sz="6" w:space="0"/>
                  <w:bottom w:val="outset" w:color="auto" w:sz="6" w:space="0"/>
                  <w:right w:val="outset" w:color="auto" w:sz="6" w:space="0"/>
                </w:tcBorders>
                <w:vAlign w:val="center"/>
              </w:tcPr>
              <w:p w14:paraId="352ED05B">
                <w:pPr>
                  <w:rPr>
                    <w:rFonts w:ascii="Calibri" w:hAnsi="Calibri"/>
                    <w:color w:val="000000" w:themeColor="text1"/>
                    <w:sz w:val="20"/>
                    <w:szCs w:val="20"/>
                    <w14:textFill>
                      <w14:solidFill>
                        <w14:schemeClr w14:val="tx1"/>
                      </w14:solidFill>
                    </w14:textFill>
                  </w:rPr>
                </w:pPr>
                <w:r>
                  <w:rPr>
                    <w:rFonts w:hint="eastAsia" w:ascii="Calibri" w:hAnsi="Calibri"/>
                    <w:b/>
                    <w:color w:val="000000" w:themeColor="text1"/>
                    <w:sz w:val="20"/>
                    <w:szCs w:val="20"/>
                    <w14:textFill>
                      <w14:solidFill>
                        <w14:schemeClr w14:val="tx1"/>
                      </w14:solidFill>
                    </w14:textFill>
                  </w:rPr>
                  <w:t>所有者权益（或股东权益）：</w:t>
                </w:r>
              </w:p>
            </w:tc>
          </w:sdtContent>
        </w:sdt>
      </w:tr>
      <w:tr w14:paraId="12DE01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0BAEFCB">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实收资本（或股本）</w:t>
            </w:r>
          </w:p>
        </w:tc>
        <w:tc>
          <w:tcPr>
            <w:tcW w:w="1133" w:type="dxa"/>
            <w:tcBorders>
              <w:top w:val="outset" w:color="auto" w:sz="6" w:space="0"/>
              <w:left w:val="outset" w:color="auto" w:sz="6" w:space="0"/>
              <w:bottom w:val="outset" w:color="auto" w:sz="6" w:space="0"/>
              <w:right w:val="outset" w:color="auto" w:sz="6" w:space="0"/>
            </w:tcBorders>
            <w:vAlign w:val="center"/>
          </w:tcPr>
          <w:p w14:paraId="6FDBDD96">
            <w:pPr>
              <w:pStyle w:val="48"/>
              <w:jc w:val="center"/>
              <w:rPr>
                <w:sz w:val="20"/>
                <w:szCs w:val="20"/>
              </w:rPr>
            </w:pPr>
            <w:r>
              <w:rPr>
                <w:rFonts w:hint="eastAsia"/>
                <w:sz w:val="20"/>
                <w:szCs w:val="20"/>
              </w:rPr>
              <w:t>5</w:t>
            </w:r>
            <w:r>
              <w:rPr>
                <w:sz w:val="20"/>
                <w:szCs w:val="20"/>
              </w:rPr>
              <w:t>3</w:t>
            </w:r>
          </w:p>
        </w:tc>
        <w:tc>
          <w:tcPr>
            <w:tcW w:w="2550" w:type="dxa"/>
            <w:tcBorders>
              <w:top w:val="outset" w:color="auto" w:sz="6" w:space="0"/>
              <w:left w:val="outset" w:color="auto" w:sz="6" w:space="0"/>
              <w:bottom w:val="outset" w:color="auto" w:sz="6" w:space="0"/>
              <w:right w:val="outset" w:color="auto" w:sz="6" w:space="0"/>
            </w:tcBorders>
            <w:vAlign w:val="center"/>
          </w:tcPr>
          <w:p w14:paraId="1D518298">
            <w:pPr>
              <w:jc w:val="right"/>
              <w:rPr>
                <w:rFonts w:ascii="Calibri" w:hAnsi="Calibri"/>
                <w:sz w:val="20"/>
                <w:szCs w:val="20"/>
              </w:rPr>
            </w:pPr>
            <w:r>
              <w:rPr>
                <w:rFonts w:ascii="Calibri" w:hAnsi="Calibri"/>
                <w:sz w:val="20"/>
                <w:szCs w:val="20"/>
              </w:rPr>
              <w:t>1,958,542,829.00</w:t>
            </w:r>
          </w:p>
        </w:tc>
        <w:tc>
          <w:tcPr>
            <w:tcW w:w="2411" w:type="dxa"/>
            <w:tcBorders>
              <w:top w:val="outset" w:color="auto" w:sz="6" w:space="0"/>
              <w:left w:val="outset" w:color="auto" w:sz="6" w:space="0"/>
              <w:bottom w:val="outset" w:color="auto" w:sz="6" w:space="0"/>
              <w:right w:val="outset" w:color="auto" w:sz="6" w:space="0"/>
            </w:tcBorders>
            <w:vAlign w:val="center"/>
          </w:tcPr>
          <w:p w14:paraId="37A65FAE">
            <w:pPr>
              <w:jc w:val="right"/>
              <w:rPr>
                <w:rFonts w:ascii="Calibri" w:hAnsi="Calibri"/>
                <w:sz w:val="20"/>
                <w:szCs w:val="20"/>
              </w:rPr>
            </w:pPr>
            <w:r>
              <w:rPr>
                <w:rFonts w:ascii="Calibri" w:hAnsi="Calibri"/>
                <w:sz w:val="20"/>
                <w:szCs w:val="20"/>
              </w:rPr>
              <w:t>1,981,734,074.00</w:t>
            </w:r>
          </w:p>
        </w:tc>
      </w:tr>
      <w:tr w14:paraId="4FD40D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7B7E0762">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其他权益工具</w:t>
            </w:r>
          </w:p>
        </w:tc>
        <w:tc>
          <w:tcPr>
            <w:tcW w:w="1133" w:type="dxa"/>
            <w:tcBorders>
              <w:top w:val="outset" w:color="auto" w:sz="6" w:space="0"/>
              <w:left w:val="outset" w:color="auto" w:sz="6" w:space="0"/>
              <w:bottom w:val="outset" w:color="auto" w:sz="6" w:space="0"/>
              <w:right w:val="outset" w:color="auto" w:sz="6" w:space="0"/>
            </w:tcBorders>
            <w:vAlign w:val="center"/>
          </w:tcPr>
          <w:p w14:paraId="6474A2C1">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4CF4E78">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481EDECE">
            <w:pPr>
              <w:jc w:val="right"/>
              <w:rPr>
                <w:rFonts w:ascii="Calibri" w:hAnsi="Calibri"/>
                <w:sz w:val="20"/>
                <w:szCs w:val="20"/>
              </w:rPr>
            </w:pPr>
          </w:p>
        </w:tc>
      </w:tr>
      <w:tr w14:paraId="5002BD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2BA5BB4">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其中：优先股</w:t>
            </w:r>
          </w:p>
        </w:tc>
        <w:tc>
          <w:tcPr>
            <w:tcW w:w="1133" w:type="dxa"/>
            <w:tcBorders>
              <w:top w:val="outset" w:color="auto" w:sz="6" w:space="0"/>
              <w:left w:val="outset" w:color="auto" w:sz="6" w:space="0"/>
              <w:bottom w:val="outset" w:color="auto" w:sz="6" w:space="0"/>
              <w:right w:val="outset" w:color="auto" w:sz="6" w:space="0"/>
            </w:tcBorders>
            <w:vAlign w:val="center"/>
          </w:tcPr>
          <w:p w14:paraId="15C5F528">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80845EC">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512A3710">
            <w:pPr>
              <w:jc w:val="right"/>
              <w:rPr>
                <w:rFonts w:ascii="Calibri" w:hAnsi="Calibri"/>
                <w:sz w:val="20"/>
                <w:szCs w:val="20"/>
              </w:rPr>
            </w:pPr>
          </w:p>
        </w:tc>
      </w:tr>
      <w:tr w14:paraId="1F03AF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B311845">
            <w:pPr>
              <w:ind w:left="630" w:leftChars="300"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永续债</w:t>
            </w:r>
          </w:p>
        </w:tc>
        <w:tc>
          <w:tcPr>
            <w:tcW w:w="1133" w:type="dxa"/>
            <w:tcBorders>
              <w:top w:val="outset" w:color="auto" w:sz="6" w:space="0"/>
              <w:left w:val="outset" w:color="auto" w:sz="6" w:space="0"/>
              <w:bottom w:val="outset" w:color="auto" w:sz="6" w:space="0"/>
              <w:right w:val="outset" w:color="auto" w:sz="6" w:space="0"/>
            </w:tcBorders>
            <w:vAlign w:val="center"/>
          </w:tcPr>
          <w:p w14:paraId="640AF35D">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CEF802D">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3E80E38C">
            <w:pPr>
              <w:jc w:val="right"/>
              <w:rPr>
                <w:rFonts w:ascii="Calibri" w:hAnsi="Calibri"/>
                <w:sz w:val="20"/>
                <w:szCs w:val="20"/>
              </w:rPr>
            </w:pPr>
          </w:p>
        </w:tc>
      </w:tr>
      <w:tr w14:paraId="7B6A93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7AA20FCD">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资本公积</w:t>
            </w:r>
          </w:p>
        </w:tc>
        <w:tc>
          <w:tcPr>
            <w:tcW w:w="1133" w:type="dxa"/>
            <w:tcBorders>
              <w:top w:val="outset" w:color="auto" w:sz="6" w:space="0"/>
              <w:left w:val="outset" w:color="auto" w:sz="6" w:space="0"/>
              <w:bottom w:val="outset" w:color="auto" w:sz="6" w:space="0"/>
              <w:right w:val="outset" w:color="auto" w:sz="6" w:space="0"/>
            </w:tcBorders>
            <w:vAlign w:val="center"/>
          </w:tcPr>
          <w:p w14:paraId="0696B5AB">
            <w:pPr>
              <w:pStyle w:val="48"/>
              <w:jc w:val="center"/>
              <w:rPr>
                <w:sz w:val="20"/>
                <w:szCs w:val="20"/>
              </w:rPr>
            </w:pPr>
            <w:r>
              <w:rPr>
                <w:rFonts w:hint="eastAsia"/>
                <w:sz w:val="20"/>
                <w:szCs w:val="20"/>
              </w:rPr>
              <w:t>5</w:t>
            </w:r>
            <w:r>
              <w:rPr>
                <w:sz w:val="20"/>
                <w:szCs w:val="20"/>
              </w:rPr>
              <w:t>5</w:t>
            </w:r>
          </w:p>
        </w:tc>
        <w:tc>
          <w:tcPr>
            <w:tcW w:w="2550" w:type="dxa"/>
            <w:tcBorders>
              <w:top w:val="outset" w:color="auto" w:sz="6" w:space="0"/>
              <w:left w:val="outset" w:color="auto" w:sz="6" w:space="0"/>
              <w:bottom w:val="outset" w:color="auto" w:sz="6" w:space="0"/>
              <w:right w:val="outset" w:color="auto" w:sz="6" w:space="0"/>
            </w:tcBorders>
            <w:vAlign w:val="center"/>
          </w:tcPr>
          <w:p w14:paraId="70EA8F1F">
            <w:pPr>
              <w:jc w:val="right"/>
              <w:rPr>
                <w:rFonts w:ascii="Calibri" w:hAnsi="Calibri"/>
                <w:sz w:val="20"/>
                <w:szCs w:val="20"/>
              </w:rPr>
            </w:pPr>
            <w:r>
              <w:rPr>
                <w:rFonts w:ascii="Calibri" w:hAnsi="Calibri"/>
                <w:sz w:val="20"/>
                <w:szCs w:val="20"/>
              </w:rPr>
              <w:t>301,674,654.99</w:t>
            </w:r>
          </w:p>
        </w:tc>
        <w:tc>
          <w:tcPr>
            <w:tcW w:w="2411" w:type="dxa"/>
            <w:tcBorders>
              <w:top w:val="outset" w:color="auto" w:sz="6" w:space="0"/>
              <w:left w:val="outset" w:color="auto" w:sz="6" w:space="0"/>
              <w:bottom w:val="outset" w:color="auto" w:sz="6" w:space="0"/>
              <w:right w:val="outset" w:color="auto" w:sz="6" w:space="0"/>
            </w:tcBorders>
            <w:vAlign w:val="center"/>
          </w:tcPr>
          <w:p w14:paraId="6E555EA8">
            <w:pPr>
              <w:jc w:val="right"/>
              <w:rPr>
                <w:rFonts w:ascii="Calibri" w:hAnsi="Calibri"/>
                <w:sz w:val="20"/>
                <w:szCs w:val="20"/>
              </w:rPr>
            </w:pPr>
            <w:r>
              <w:rPr>
                <w:rFonts w:ascii="Calibri" w:hAnsi="Calibri"/>
                <w:sz w:val="20"/>
                <w:szCs w:val="20"/>
              </w:rPr>
              <w:t>509,315,505.46</w:t>
            </w:r>
          </w:p>
        </w:tc>
      </w:tr>
      <w:tr w14:paraId="47E35F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704C0D6">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减：库存股</w:t>
            </w:r>
          </w:p>
        </w:tc>
        <w:tc>
          <w:tcPr>
            <w:tcW w:w="1133" w:type="dxa"/>
            <w:tcBorders>
              <w:top w:val="outset" w:color="auto" w:sz="6" w:space="0"/>
              <w:left w:val="outset" w:color="auto" w:sz="6" w:space="0"/>
              <w:bottom w:val="outset" w:color="auto" w:sz="6" w:space="0"/>
              <w:right w:val="outset" w:color="auto" w:sz="6" w:space="0"/>
            </w:tcBorders>
            <w:vAlign w:val="center"/>
          </w:tcPr>
          <w:p w14:paraId="20286583">
            <w:pPr>
              <w:pStyle w:val="48"/>
              <w:jc w:val="center"/>
              <w:rPr>
                <w:sz w:val="20"/>
                <w:szCs w:val="20"/>
              </w:rPr>
            </w:pPr>
            <w:r>
              <w:rPr>
                <w:rFonts w:hint="eastAsia"/>
                <w:sz w:val="20"/>
                <w:szCs w:val="20"/>
              </w:rPr>
              <w:t>5</w:t>
            </w:r>
            <w:r>
              <w:rPr>
                <w:sz w:val="20"/>
                <w:szCs w:val="20"/>
              </w:rPr>
              <w:t>6</w:t>
            </w:r>
          </w:p>
        </w:tc>
        <w:tc>
          <w:tcPr>
            <w:tcW w:w="2550" w:type="dxa"/>
            <w:tcBorders>
              <w:top w:val="outset" w:color="auto" w:sz="6" w:space="0"/>
              <w:left w:val="outset" w:color="auto" w:sz="6" w:space="0"/>
              <w:bottom w:val="outset" w:color="auto" w:sz="6" w:space="0"/>
              <w:right w:val="outset" w:color="auto" w:sz="6" w:space="0"/>
            </w:tcBorders>
            <w:vAlign w:val="center"/>
          </w:tcPr>
          <w:p w14:paraId="688E6EF1">
            <w:pPr>
              <w:jc w:val="right"/>
              <w:rPr>
                <w:rFonts w:ascii="Calibri" w:hAnsi="Calibri"/>
                <w:sz w:val="20"/>
                <w:szCs w:val="20"/>
              </w:rPr>
            </w:pPr>
            <w:r>
              <w:rPr>
                <w:rFonts w:ascii="Calibri" w:hAnsi="Calibri"/>
                <w:sz w:val="20"/>
                <w:szCs w:val="20"/>
              </w:rPr>
              <w:t>88,109,902.16</w:t>
            </w:r>
          </w:p>
        </w:tc>
        <w:tc>
          <w:tcPr>
            <w:tcW w:w="2411" w:type="dxa"/>
            <w:tcBorders>
              <w:top w:val="outset" w:color="auto" w:sz="6" w:space="0"/>
              <w:left w:val="outset" w:color="auto" w:sz="6" w:space="0"/>
              <w:bottom w:val="outset" w:color="auto" w:sz="6" w:space="0"/>
              <w:right w:val="outset" w:color="auto" w:sz="6" w:space="0"/>
            </w:tcBorders>
            <w:vAlign w:val="center"/>
          </w:tcPr>
          <w:p w14:paraId="7DEE2DB2">
            <w:pPr>
              <w:jc w:val="right"/>
              <w:rPr>
                <w:rFonts w:ascii="Calibri" w:hAnsi="Calibri"/>
                <w:sz w:val="20"/>
                <w:szCs w:val="20"/>
              </w:rPr>
            </w:pPr>
            <w:r>
              <w:rPr>
                <w:rFonts w:ascii="Calibri" w:hAnsi="Calibri"/>
                <w:sz w:val="20"/>
                <w:szCs w:val="20"/>
              </w:rPr>
              <w:t>300,279,281.09</w:t>
            </w:r>
          </w:p>
        </w:tc>
      </w:tr>
      <w:tr w14:paraId="3482EF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34E415E">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其他综合收益</w:t>
            </w:r>
          </w:p>
        </w:tc>
        <w:tc>
          <w:tcPr>
            <w:tcW w:w="1133" w:type="dxa"/>
            <w:tcBorders>
              <w:top w:val="outset" w:color="auto" w:sz="6" w:space="0"/>
              <w:left w:val="outset" w:color="auto" w:sz="6" w:space="0"/>
              <w:bottom w:val="outset" w:color="auto" w:sz="6" w:space="0"/>
              <w:right w:val="outset" w:color="auto" w:sz="6" w:space="0"/>
            </w:tcBorders>
            <w:vAlign w:val="center"/>
          </w:tcPr>
          <w:p w14:paraId="0AF722B0">
            <w:pPr>
              <w:pStyle w:val="48"/>
              <w:jc w:val="center"/>
              <w:rPr>
                <w:sz w:val="20"/>
                <w:szCs w:val="20"/>
              </w:rPr>
            </w:pPr>
            <w:r>
              <w:rPr>
                <w:rFonts w:hint="eastAsia"/>
                <w:sz w:val="20"/>
                <w:szCs w:val="20"/>
              </w:rPr>
              <w:t>5</w:t>
            </w:r>
            <w:r>
              <w:rPr>
                <w:sz w:val="20"/>
                <w:szCs w:val="20"/>
              </w:rPr>
              <w:t>7</w:t>
            </w:r>
          </w:p>
        </w:tc>
        <w:tc>
          <w:tcPr>
            <w:tcW w:w="2550" w:type="dxa"/>
            <w:tcBorders>
              <w:top w:val="outset" w:color="auto" w:sz="6" w:space="0"/>
              <w:left w:val="outset" w:color="auto" w:sz="6" w:space="0"/>
              <w:bottom w:val="outset" w:color="auto" w:sz="6" w:space="0"/>
              <w:right w:val="outset" w:color="auto" w:sz="6" w:space="0"/>
            </w:tcBorders>
            <w:vAlign w:val="center"/>
          </w:tcPr>
          <w:p w14:paraId="02B0EF74">
            <w:pPr>
              <w:jc w:val="right"/>
              <w:rPr>
                <w:rFonts w:ascii="Calibri" w:hAnsi="Calibri"/>
                <w:sz w:val="20"/>
                <w:szCs w:val="20"/>
              </w:rPr>
            </w:pPr>
            <w:r>
              <w:rPr>
                <w:rFonts w:ascii="Calibri" w:hAnsi="Calibri"/>
                <w:sz w:val="20"/>
                <w:szCs w:val="20"/>
              </w:rPr>
              <w:t>10,670,784.43</w:t>
            </w:r>
          </w:p>
        </w:tc>
        <w:tc>
          <w:tcPr>
            <w:tcW w:w="2411" w:type="dxa"/>
            <w:tcBorders>
              <w:top w:val="outset" w:color="auto" w:sz="6" w:space="0"/>
              <w:left w:val="outset" w:color="auto" w:sz="6" w:space="0"/>
              <w:bottom w:val="outset" w:color="auto" w:sz="6" w:space="0"/>
              <w:right w:val="outset" w:color="auto" w:sz="6" w:space="0"/>
            </w:tcBorders>
            <w:vAlign w:val="center"/>
          </w:tcPr>
          <w:p w14:paraId="454FFBC9">
            <w:pPr>
              <w:jc w:val="right"/>
              <w:rPr>
                <w:rFonts w:ascii="Calibri" w:hAnsi="Calibri"/>
                <w:sz w:val="20"/>
                <w:szCs w:val="20"/>
              </w:rPr>
            </w:pPr>
            <w:r>
              <w:rPr>
                <w:rFonts w:ascii="Calibri" w:hAnsi="Calibri"/>
                <w:sz w:val="20"/>
                <w:szCs w:val="20"/>
              </w:rPr>
              <w:t>6,910,223.58</w:t>
            </w:r>
          </w:p>
        </w:tc>
      </w:tr>
      <w:tr w14:paraId="38090B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A7E63C6">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专项储备</w:t>
            </w:r>
          </w:p>
        </w:tc>
        <w:tc>
          <w:tcPr>
            <w:tcW w:w="1133" w:type="dxa"/>
            <w:tcBorders>
              <w:top w:val="outset" w:color="auto" w:sz="6" w:space="0"/>
              <w:left w:val="outset" w:color="auto" w:sz="6" w:space="0"/>
              <w:bottom w:val="outset" w:color="auto" w:sz="6" w:space="0"/>
              <w:right w:val="outset" w:color="auto" w:sz="6" w:space="0"/>
            </w:tcBorders>
            <w:vAlign w:val="center"/>
          </w:tcPr>
          <w:p w14:paraId="00FD9119">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A75EF56">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582ECBB9">
            <w:pPr>
              <w:jc w:val="right"/>
              <w:rPr>
                <w:rFonts w:ascii="Calibri" w:hAnsi="Calibri"/>
                <w:sz w:val="20"/>
                <w:szCs w:val="20"/>
              </w:rPr>
            </w:pPr>
          </w:p>
        </w:tc>
      </w:tr>
      <w:tr w14:paraId="4444D2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961E46A">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盈余公积</w:t>
            </w:r>
          </w:p>
        </w:tc>
        <w:tc>
          <w:tcPr>
            <w:tcW w:w="1133" w:type="dxa"/>
            <w:tcBorders>
              <w:top w:val="outset" w:color="auto" w:sz="6" w:space="0"/>
              <w:left w:val="outset" w:color="auto" w:sz="6" w:space="0"/>
              <w:bottom w:val="outset" w:color="auto" w:sz="6" w:space="0"/>
              <w:right w:val="outset" w:color="auto" w:sz="6" w:space="0"/>
            </w:tcBorders>
            <w:vAlign w:val="center"/>
          </w:tcPr>
          <w:p w14:paraId="734F22E6">
            <w:pPr>
              <w:pStyle w:val="48"/>
              <w:jc w:val="center"/>
              <w:rPr>
                <w:sz w:val="20"/>
                <w:szCs w:val="20"/>
              </w:rPr>
            </w:pPr>
            <w:r>
              <w:rPr>
                <w:rFonts w:hint="eastAsia"/>
                <w:sz w:val="20"/>
                <w:szCs w:val="20"/>
              </w:rPr>
              <w:t>5</w:t>
            </w:r>
            <w:r>
              <w:rPr>
                <w:sz w:val="20"/>
                <w:szCs w:val="20"/>
              </w:rPr>
              <w:t>9</w:t>
            </w:r>
          </w:p>
        </w:tc>
        <w:tc>
          <w:tcPr>
            <w:tcW w:w="2550" w:type="dxa"/>
            <w:tcBorders>
              <w:top w:val="outset" w:color="auto" w:sz="6" w:space="0"/>
              <w:left w:val="outset" w:color="auto" w:sz="6" w:space="0"/>
              <w:bottom w:val="outset" w:color="auto" w:sz="6" w:space="0"/>
              <w:right w:val="outset" w:color="auto" w:sz="6" w:space="0"/>
            </w:tcBorders>
            <w:vAlign w:val="center"/>
          </w:tcPr>
          <w:p w14:paraId="61895420">
            <w:pPr>
              <w:jc w:val="right"/>
              <w:rPr>
                <w:rFonts w:ascii="Calibri" w:hAnsi="Calibri"/>
                <w:sz w:val="20"/>
                <w:szCs w:val="20"/>
              </w:rPr>
            </w:pPr>
            <w:r>
              <w:rPr>
                <w:rFonts w:ascii="Calibri" w:hAnsi="Calibri"/>
                <w:sz w:val="20"/>
                <w:szCs w:val="20"/>
              </w:rPr>
              <w:t>1,027,149,340.36</w:t>
            </w:r>
          </w:p>
        </w:tc>
        <w:tc>
          <w:tcPr>
            <w:tcW w:w="2411" w:type="dxa"/>
            <w:tcBorders>
              <w:top w:val="outset" w:color="auto" w:sz="6" w:space="0"/>
              <w:left w:val="outset" w:color="auto" w:sz="6" w:space="0"/>
              <w:bottom w:val="outset" w:color="auto" w:sz="6" w:space="0"/>
              <w:right w:val="outset" w:color="auto" w:sz="6" w:space="0"/>
            </w:tcBorders>
            <w:vAlign w:val="center"/>
          </w:tcPr>
          <w:p w14:paraId="35693726">
            <w:pPr>
              <w:jc w:val="right"/>
              <w:rPr>
                <w:rFonts w:ascii="Calibri" w:hAnsi="Calibri"/>
                <w:sz w:val="20"/>
                <w:szCs w:val="20"/>
              </w:rPr>
            </w:pPr>
            <w:r>
              <w:rPr>
                <w:rFonts w:ascii="Calibri" w:hAnsi="Calibri"/>
                <w:sz w:val="20"/>
                <w:szCs w:val="20"/>
              </w:rPr>
              <w:t>1,027,149,340.36</w:t>
            </w:r>
          </w:p>
        </w:tc>
      </w:tr>
      <w:tr w14:paraId="04202D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EF88C4A">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一般风险准备</w:t>
            </w:r>
          </w:p>
        </w:tc>
        <w:tc>
          <w:tcPr>
            <w:tcW w:w="1133" w:type="dxa"/>
            <w:tcBorders>
              <w:top w:val="outset" w:color="auto" w:sz="6" w:space="0"/>
              <w:left w:val="outset" w:color="auto" w:sz="6" w:space="0"/>
              <w:bottom w:val="outset" w:color="auto" w:sz="6" w:space="0"/>
              <w:right w:val="outset" w:color="auto" w:sz="6" w:space="0"/>
            </w:tcBorders>
            <w:vAlign w:val="center"/>
          </w:tcPr>
          <w:p w14:paraId="52E7362C">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F0A3718">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43EA3A5C">
            <w:pPr>
              <w:jc w:val="right"/>
              <w:rPr>
                <w:rFonts w:ascii="Calibri" w:hAnsi="Calibri"/>
                <w:sz w:val="20"/>
                <w:szCs w:val="20"/>
              </w:rPr>
            </w:pPr>
          </w:p>
        </w:tc>
      </w:tr>
      <w:tr w14:paraId="137C3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BAE3B2B">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未分配利润</w:t>
            </w:r>
          </w:p>
        </w:tc>
        <w:tc>
          <w:tcPr>
            <w:tcW w:w="1133" w:type="dxa"/>
            <w:tcBorders>
              <w:top w:val="outset" w:color="auto" w:sz="6" w:space="0"/>
              <w:left w:val="outset" w:color="auto" w:sz="6" w:space="0"/>
              <w:bottom w:val="outset" w:color="auto" w:sz="6" w:space="0"/>
              <w:right w:val="outset" w:color="auto" w:sz="6" w:space="0"/>
            </w:tcBorders>
            <w:vAlign w:val="center"/>
          </w:tcPr>
          <w:p w14:paraId="599AB162">
            <w:pPr>
              <w:pStyle w:val="48"/>
              <w:jc w:val="center"/>
              <w:rPr>
                <w:sz w:val="20"/>
                <w:szCs w:val="20"/>
              </w:rPr>
            </w:pPr>
            <w:r>
              <w:rPr>
                <w:rFonts w:hint="eastAsia"/>
                <w:sz w:val="20"/>
                <w:szCs w:val="20"/>
              </w:rPr>
              <w:t>6</w:t>
            </w:r>
            <w:r>
              <w:rPr>
                <w:sz w:val="20"/>
                <w:szCs w:val="20"/>
              </w:rPr>
              <w:t>0</w:t>
            </w:r>
          </w:p>
        </w:tc>
        <w:tc>
          <w:tcPr>
            <w:tcW w:w="2550" w:type="dxa"/>
            <w:tcBorders>
              <w:top w:val="outset" w:color="auto" w:sz="6" w:space="0"/>
              <w:left w:val="outset" w:color="auto" w:sz="6" w:space="0"/>
              <w:bottom w:val="outset" w:color="auto" w:sz="6" w:space="0"/>
              <w:right w:val="outset" w:color="auto" w:sz="6" w:space="0"/>
            </w:tcBorders>
            <w:vAlign w:val="center"/>
          </w:tcPr>
          <w:p w14:paraId="18865DB3">
            <w:pPr>
              <w:jc w:val="right"/>
              <w:rPr>
                <w:rFonts w:ascii="Calibri" w:hAnsi="Calibri"/>
                <w:sz w:val="20"/>
                <w:szCs w:val="20"/>
              </w:rPr>
            </w:pPr>
            <w:r>
              <w:rPr>
                <w:rFonts w:ascii="Calibri" w:hAnsi="Calibri"/>
                <w:sz w:val="20"/>
                <w:szCs w:val="20"/>
              </w:rPr>
              <w:t>3,893,215,453.30</w:t>
            </w:r>
          </w:p>
        </w:tc>
        <w:tc>
          <w:tcPr>
            <w:tcW w:w="2411" w:type="dxa"/>
            <w:tcBorders>
              <w:top w:val="outset" w:color="auto" w:sz="6" w:space="0"/>
              <w:left w:val="outset" w:color="auto" w:sz="6" w:space="0"/>
              <w:bottom w:val="outset" w:color="auto" w:sz="6" w:space="0"/>
              <w:right w:val="outset" w:color="auto" w:sz="6" w:space="0"/>
            </w:tcBorders>
            <w:vAlign w:val="center"/>
          </w:tcPr>
          <w:p w14:paraId="00E24A85">
            <w:pPr>
              <w:jc w:val="right"/>
              <w:rPr>
                <w:rFonts w:ascii="Calibri" w:hAnsi="Calibri"/>
                <w:sz w:val="20"/>
                <w:szCs w:val="20"/>
              </w:rPr>
            </w:pPr>
            <w:r>
              <w:rPr>
                <w:rFonts w:ascii="Calibri" w:hAnsi="Calibri"/>
                <w:sz w:val="20"/>
                <w:szCs w:val="20"/>
              </w:rPr>
              <w:t>3,160,028,831.05</w:t>
            </w:r>
          </w:p>
        </w:tc>
      </w:tr>
      <w:tr w14:paraId="2C1153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760C999">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归属于母公司所有者权益（或股东权益）合计</w:t>
            </w:r>
          </w:p>
        </w:tc>
        <w:tc>
          <w:tcPr>
            <w:tcW w:w="1133" w:type="dxa"/>
            <w:tcBorders>
              <w:top w:val="outset" w:color="auto" w:sz="6" w:space="0"/>
              <w:left w:val="outset" w:color="auto" w:sz="6" w:space="0"/>
              <w:bottom w:val="outset" w:color="auto" w:sz="6" w:space="0"/>
              <w:right w:val="outset" w:color="auto" w:sz="6" w:space="0"/>
            </w:tcBorders>
            <w:vAlign w:val="center"/>
          </w:tcPr>
          <w:p w14:paraId="1377A755">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A3D65C1">
            <w:pPr>
              <w:jc w:val="right"/>
              <w:rPr>
                <w:rFonts w:ascii="Calibri" w:hAnsi="Calibri"/>
                <w:sz w:val="20"/>
                <w:szCs w:val="20"/>
              </w:rPr>
            </w:pPr>
            <w:r>
              <w:rPr>
                <w:rFonts w:ascii="Calibri" w:hAnsi="Calibri"/>
                <w:sz w:val="20"/>
                <w:szCs w:val="20"/>
              </w:rPr>
              <w:t>7,103,143,159.92</w:t>
            </w:r>
          </w:p>
        </w:tc>
        <w:tc>
          <w:tcPr>
            <w:tcW w:w="2411" w:type="dxa"/>
            <w:tcBorders>
              <w:top w:val="outset" w:color="auto" w:sz="6" w:space="0"/>
              <w:left w:val="outset" w:color="auto" w:sz="6" w:space="0"/>
              <w:bottom w:val="outset" w:color="auto" w:sz="6" w:space="0"/>
              <w:right w:val="outset" w:color="auto" w:sz="6" w:space="0"/>
            </w:tcBorders>
            <w:vAlign w:val="center"/>
          </w:tcPr>
          <w:p w14:paraId="35DFE4B7">
            <w:pPr>
              <w:jc w:val="right"/>
              <w:rPr>
                <w:rFonts w:ascii="Calibri" w:hAnsi="Calibri"/>
                <w:sz w:val="20"/>
                <w:szCs w:val="20"/>
              </w:rPr>
            </w:pPr>
            <w:r>
              <w:rPr>
                <w:rFonts w:ascii="Calibri" w:hAnsi="Calibri"/>
                <w:sz w:val="20"/>
                <w:szCs w:val="20"/>
              </w:rPr>
              <w:t>6,384,858,693.36</w:t>
            </w:r>
          </w:p>
        </w:tc>
      </w:tr>
      <w:tr w14:paraId="383213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050539A">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少数股东权益</w:t>
            </w:r>
          </w:p>
        </w:tc>
        <w:tc>
          <w:tcPr>
            <w:tcW w:w="1133" w:type="dxa"/>
            <w:tcBorders>
              <w:top w:val="outset" w:color="auto" w:sz="6" w:space="0"/>
              <w:left w:val="outset" w:color="auto" w:sz="6" w:space="0"/>
              <w:bottom w:val="outset" w:color="auto" w:sz="6" w:space="0"/>
              <w:right w:val="outset" w:color="auto" w:sz="6" w:space="0"/>
            </w:tcBorders>
            <w:vAlign w:val="center"/>
          </w:tcPr>
          <w:p w14:paraId="72676906">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48A86EE">
            <w:pPr>
              <w:jc w:val="right"/>
              <w:rPr>
                <w:rFonts w:ascii="Calibri" w:hAnsi="Calibri"/>
                <w:sz w:val="20"/>
                <w:szCs w:val="20"/>
              </w:rPr>
            </w:pPr>
            <w:r>
              <w:rPr>
                <w:rFonts w:ascii="Calibri" w:hAnsi="Calibri"/>
                <w:sz w:val="20"/>
                <w:szCs w:val="20"/>
              </w:rPr>
              <w:t>4,417,561.17</w:t>
            </w:r>
          </w:p>
        </w:tc>
        <w:tc>
          <w:tcPr>
            <w:tcW w:w="2411" w:type="dxa"/>
            <w:tcBorders>
              <w:top w:val="outset" w:color="auto" w:sz="6" w:space="0"/>
              <w:left w:val="outset" w:color="auto" w:sz="6" w:space="0"/>
              <w:bottom w:val="outset" w:color="auto" w:sz="6" w:space="0"/>
              <w:right w:val="outset" w:color="auto" w:sz="6" w:space="0"/>
            </w:tcBorders>
            <w:vAlign w:val="center"/>
          </w:tcPr>
          <w:p w14:paraId="6E01A28D">
            <w:pPr>
              <w:jc w:val="right"/>
              <w:rPr>
                <w:rFonts w:ascii="Calibri" w:hAnsi="Calibri"/>
                <w:sz w:val="20"/>
                <w:szCs w:val="20"/>
              </w:rPr>
            </w:pPr>
            <w:r>
              <w:rPr>
                <w:rFonts w:ascii="Calibri" w:hAnsi="Calibri"/>
                <w:sz w:val="20"/>
                <w:szCs w:val="20"/>
              </w:rPr>
              <w:t>17,964,657.02</w:t>
            </w:r>
          </w:p>
        </w:tc>
      </w:tr>
      <w:tr w14:paraId="0D7ECC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C2D993A">
            <w:pPr>
              <w:ind w:firstLine="400" w:firstLineChars="2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所有者权益（或股东权益）合计</w:t>
            </w:r>
          </w:p>
        </w:tc>
        <w:tc>
          <w:tcPr>
            <w:tcW w:w="1133" w:type="dxa"/>
            <w:tcBorders>
              <w:top w:val="outset" w:color="auto" w:sz="6" w:space="0"/>
              <w:left w:val="outset" w:color="auto" w:sz="6" w:space="0"/>
              <w:bottom w:val="outset" w:color="auto" w:sz="6" w:space="0"/>
              <w:right w:val="outset" w:color="auto" w:sz="6" w:space="0"/>
            </w:tcBorders>
            <w:vAlign w:val="center"/>
          </w:tcPr>
          <w:p w14:paraId="215DB938">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755481A1">
            <w:pPr>
              <w:jc w:val="right"/>
              <w:rPr>
                <w:rFonts w:ascii="Calibri" w:hAnsi="Calibri"/>
                <w:sz w:val="20"/>
                <w:szCs w:val="20"/>
              </w:rPr>
            </w:pPr>
            <w:r>
              <w:rPr>
                <w:rFonts w:ascii="Calibri" w:hAnsi="Calibri"/>
                <w:sz w:val="20"/>
                <w:szCs w:val="20"/>
              </w:rPr>
              <w:t>7,107,560,721.09</w:t>
            </w:r>
          </w:p>
        </w:tc>
        <w:tc>
          <w:tcPr>
            <w:tcW w:w="2411" w:type="dxa"/>
            <w:tcBorders>
              <w:top w:val="outset" w:color="auto" w:sz="6" w:space="0"/>
              <w:left w:val="outset" w:color="auto" w:sz="6" w:space="0"/>
              <w:bottom w:val="outset" w:color="auto" w:sz="6" w:space="0"/>
              <w:right w:val="outset" w:color="auto" w:sz="6" w:space="0"/>
            </w:tcBorders>
            <w:vAlign w:val="center"/>
          </w:tcPr>
          <w:p w14:paraId="3F8CB3E2">
            <w:pPr>
              <w:jc w:val="right"/>
              <w:rPr>
                <w:rFonts w:ascii="Calibri" w:hAnsi="Calibri"/>
                <w:sz w:val="20"/>
                <w:szCs w:val="20"/>
              </w:rPr>
            </w:pPr>
            <w:r>
              <w:rPr>
                <w:rFonts w:ascii="Calibri" w:hAnsi="Calibri"/>
                <w:sz w:val="20"/>
                <w:szCs w:val="20"/>
              </w:rPr>
              <w:t>6,402,823,350.38</w:t>
            </w:r>
          </w:p>
        </w:tc>
      </w:tr>
      <w:tr w14:paraId="544030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2EFFA36">
            <w:pPr>
              <w:ind w:firstLine="600" w:firstLineChars="3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负债和所有者权益（或股东权益）总计</w:t>
            </w:r>
          </w:p>
        </w:tc>
        <w:tc>
          <w:tcPr>
            <w:tcW w:w="1133" w:type="dxa"/>
            <w:tcBorders>
              <w:top w:val="outset" w:color="auto" w:sz="6" w:space="0"/>
              <w:left w:val="outset" w:color="auto" w:sz="6" w:space="0"/>
              <w:bottom w:val="outset" w:color="auto" w:sz="6" w:space="0"/>
              <w:right w:val="outset" w:color="auto" w:sz="6" w:space="0"/>
            </w:tcBorders>
            <w:vAlign w:val="center"/>
          </w:tcPr>
          <w:p w14:paraId="53CC739A">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17C1466">
            <w:pPr>
              <w:jc w:val="right"/>
              <w:rPr>
                <w:rFonts w:ascii="Calibri" w:hAnsi="Calibri"/>
                <w:sz w:val="20"/>
                <w:szCs w:val="20"/>
              </w:rPr>
            </w:pPr>
            <w:r>
              <w:rPr>
                <w:rFonts w:ascii="Calibri" w:hAnsi="Calibri"/>
                <w:sz w:val="20"/>
                <w:szCs w:val="20"/>
              </w:rPr>
              <w:t>7,906,401,122.95</w:t>
            </w:r>
          </w:p>
        </w:tc>
        <w:tc>
          <w:tcPr>
            <w:tcW w:w="2411" w:type="dxa"/>
            <w:tcBorders>
              <w:top w:val="outset" w:color="auto" w:sz="6" w:space="0"/>
              <w:left w:val="outset" w:color="auto" w:sz="6" w:space="0"/>
              <w:bottom w:val="outset" w:color="auto" w:sz="6" w:space="0"/>
              <w:right w:val="outset" w:color="auto" w:sz="6" w:space="0"/>
            </w:tcBorders>
            <w:vAlign w:val="center"/>
          </w:tcPr>
          <w:p w14:paraId="3AFAB7F8">
            <w:pPr>
              <w:jc w:val="right"/>
              <w:rPr>
                <w:rFonts w:ascii="Calibri" w:hAnsi="Calibri"/>
                <w:sz w:val="20"/>
                <w:szCs w:val="20"/>
              </w:rPr>
            </w:pPr>
            <w:r>
              <w:rPr>
                <w:rFonts w:ascii="Calibri" w:hAnsi="Calibri"/>
                <w:sz w:val="20"/>
                <w:szCs w:val="20"/>
              </w:rPr>
              <w:t>7,382,110,787.11</w:t>
            </w:r>
          </w:p>
        </w:tc>
      </w:tr>
      <w:bookmarkEnd w:id="193"/>
    </w:tbl>
    <w:p w14:paraId="6E2AA405">
      <w:pPr>
        <w:ind w:right="-153" w:rightChars="-73"/>
      </w:pPr>
    </w:p>
    <w:p w14:paraId="154C3373">
      <w:pPr>
        <w:ind w:right="-153" w:rightChars="-73"/>
        <w:rPr>
          <w:color w:val="008000"/>
          <w:u w:val="single"/>
        </w:rPr>
      </w:pPr>
      <w:r>
        <w:rPr>
          <w:rFonts w:hint="eastAsia"/>
        </w:rPr>
        <w:t>公司负责</w:t>
      </w:r>
      <w:r>
        <w:t>人</w:t>
      </w:r>
      <w:r>
        <w:rPr>
          <w:rFonts w:hint="eastAsia"/>
        </w:rPr>
        <w:t>：</w:t>
      </w:r>
      <w:sdt>
        <w:sdtPr>
          <w:rPr>
            <w:rFonts w:hint="eastAsia"/>
          </w:rPr>
          <w:alias w:val="公司负责人姓名"/>
          <w:tag w:val="_GBC_295740a12aa8498286bf2ef11896dbe9"/>
          <w:id w:val="-167408009"/>
          <w:placeholder>
            <w:docPart w:val="GBC22222222222222222222222222222"/>
          </w:placeholder>
          <w:dataBinding w:prefixMappings="xmlns:clcid-mr='clcid-mr'" w:xpath="/*/clcid-mr:GongSiFuZeRenXingMing[not(@periodRef)]" w:storeItemID="{89EBAB94-44A0-46A2-B712-30D997D04A6D}"/>
          <w:text/>
        </w:sdtPr>
        <w:sdtEndPr>
          <w:rPr>
            <w:rFonts w:hint="eastAsia"/>
          </w:rPr>
        </w:sdtEndPr>
        <w:sdtContent>
          <w:r>
            <w:rPr>
              <w:rFonts w:hint="eastAsia"/>
            </w:rPr>
            <w:t>李佳鸿</w:t>
          </w:r>
        </w:sdtContent>
      </w:sdt>
      <w:r>
        <w:rPr>
          <w:rFonts w:hint="eastAsia"/>
        </w:rPr>
        <w:t xml:space="preserve"> </w:t>
      </w:r>
      <w:r>
        <w:t xml:space="preserve">        主管会计工作负责人</w:t>
      </w:r>
      <w:r>
        <w:rPr>
          <w:rFonts w:hint="eastAsia"/>
        </w:rPr>
        <w:t>：</w:t>
      </w:r>
      <w:sdt>
        <w:sdtPr>
          <w:rPr>
            <w:rFonts w:hint="eastAsia"/>
          </w:rPr>
          <w:alias w:val="主管会计工作负责人姓名"/>
          <w:tag w:val="_GBC_095c1df7dd6b412590466f3e711cd1e6"/>
          <w:id w:val="-588537965"/>
          <w:placeholder>
            <w:docPart w:val="GBC22222222222222222222222222222"/>
          </w:placeholder>
          <w:dataBinding w:prefixMappings="xmlns:clcid-mr='clcid-mr'" w:xpath="/*/clcid-mr:ZhuGuanKuaiJiGongZuoFuZeRenXingMing[not(@periodRef)]" w:storeItemID="{89EBAB94-44A0-46A2-B712-30D997D04A6D}"/>
          <w:text/>
        </w:sdtPr>
        <w:sdtEndPr>
          <w:rPr>
            <w:rFonts w:hint="eastAsia"/>
          </w:rPr>
        </w:sdtEndPr>
        <w:sdtContent>
          <w:r>
            <w:rPr>
              <w:rFonts w:hint="eastAsia"/>
            </w:rPr>
            <w:t>迟军玉</w:t>
          </w:r>
        </w:sdtContent>
      </w:sdt>
      <w:r>
        <w:rPr>
          <w:rFonts w:hint="eastAsia"/>
        </w:rPr>
        <w:t xml:space="preserve"> </w:t>
      </w:r>
      <w:r>
        <w:t xml:space="preserve">         会计机构负责人</w:t>
      </w:r>
      <w:r>
        <w:rPr>
          <w:rFonts w:hint="eastAsia"/>
        </w:rPr>
        <w:t>：</w:t>
      </w:r>
      <w:sdt>
        <w:sdtPr>
          <w:rPr>
            <w:rFonts w:hint="eastAsia"/>
          </w:rPr>
          <w:alias w:val="会计机构负责人姓名"/>
          <w:tag w:val="_GBC_b9cb47d6db784ba8a6b148d9331df451"/>
          <w:id w:val="805907081"/>
          <w:placeholder>
            <w:docPart w:val="GBC22222222222222222222222222222"/>
          </w:placeholder>
          <w:dataBinding w:prefixMappings="xmlns:clcid-mr='clcid-mr'" w:xpath="/*/clcid-mr:KuaiJiJiGouFuZeRenXingMing[not(@periodRef)]" w:storeItemID="{89EBAB94-44A0-46A2-B712-30D997D04A6D}"/>
          <w:text/>
        </w:sdtPr>
        <w:sdtEndPr>
          <w:rPr>
            <w:rFonts w:hint="eastAsia"/>
          </w:rPr>
        </w:sdtEndPr>
        <w:sdtContent>
          <w:r>
            <w:rPr>
              <w:rFonts w:hint="eastAsia"/>
            </w:rPr>
            <w:t>樊鸿宇</w:t>
          </w:r>
        </w:sdtContent>
      </w:sdt>
    </w:p>
    <w:p w14:paraId="3E8B0BA5">
      <w:pPr>
        <w:pStyle w:val="48"/>
      </w:pPr>
    </w:p>
    <w:p w14:paraId="7CD73406">
      <w:pPr>
        <w:pStyle w:val="48"/>
      </w:pPr>
    </w:p>
    <w:p w14:paraId="6F8953CD">
      <w:pPr>
        <w:pStyle w:val="4"/>
        <w:jc w:val="center"/>
        <w:sectPr>
          <w:pgSz w:w="11906" w:h="16838"/>
          <w:pgMar w:top="1525" w:right="1276" w:bottom="1440" w:left="1797" w:header="856" w:footer="992" w:gutter="0"/>
          <w:cols w:space="425" w:num="1"/>
          <w:docGrid w:linePitch="312" w:charSpace="0"/>
        </w:sectPr>
      </w:pPr>
      <w:bookmarkStart w:id="194" w:name="_Hlk24034197"/>
    </w:p>
    <w:p w14:paraId="76448D56">
      <w:pPr>
        <w:pStyle w:val="4"/>
        <w:jc w:val="center"/>
      </w:pPr>
      <w:r>
        <w:rPr>
          <w:rFonts w:hint="eastAsia"/>
        </w:rPr>
        <w:t>母公司</w:t>
      </w:r>
      <w:r>
        <w:t>资产负债表</w:t>
      </w:r>
    </w:p>
    <w:p w14:paraId="5E5302BF">
      <w:pPr>
        <w:jc w:val="center"/>
        <w:rPr>
          <w:b/>
          <w:bCs/>
        </w:rPr>
      </w:pPr>
      <w:r>
        <w:t>2025年12月31日</w:t>
      </w:r>
    </w:p>
    <w:p w14:paraId="60E4383C">
      <w:pPr>
        <w:pStyle w:val="48"/>
      </w:pPr>
      <w:r>
        <w:t>编制单位</w:t>
      </w:r>
      <w:r>
        <w:rPr>
          <w:rFonts w:hint="eastAsia"/>
        </w:rPr>
        <w:t>：</w:t>
      </w:r>
      <w:sdt>
        <w:sdtPr>
          <w:alias w:val="公司法定中文名称"/>
          <w:tag w:val="_GBC_476f9df1cf8d4d36868d3058a4da7d15"/>
          <w:id w:val="237753377"/>
          <w:placeholder>
            <w:docPart w:val="GBC22222222222222222222222222222"/>
          </w:placeholder>
          <w:dataBinding w:prefixMappings="xmlns:clcid-cgi='clcid-cgi'" w:xpath="/*/clcid-cgi:GongSiFaDingZhongWenMingCheng[not(@periodRef)]" w:storeItemID="{89EBAB94-44A0-46A2-B712-30D997D04A6D}"/>
          <w:text/>
        </w:sdtPr>
        <w:sdtContent>
          <w:r>
            <w:t>通化东宝药业股份有限公司</w:t>
          </w:r>
        </w:sdtContent>
      </w:sdt>
      <w:r>
        <w:t> </w:t>
      </w:r>
    </w:p>
    <w:p w14:paraId="6AEEDE51">
      <w:pPr>
        <w:jc w:val="right"/>
      </w:pPr>
      <w:r>
        <w:t>单位：</w:t>
      </w:r>
      <w:sdt>
        <w:sdtPr>
          <w:alias w:val="单位：母公司资产负债表"/>
          <w:tag w:val="_GBC_e3e6bb2b9b89482085daf4528af32780"/>
          <w:id w:val="17530890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币种：</w:t>
      </w:r>
      <w:sdt>
        <w:sdtPr>
          <w:alias w:val="币种：母公司资产负债表"/>
          <w:tag w:val="_GBC_31e3f7c7e30144c684d9b3387d64ec2f"/>
          <w:id w:val="16430051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57"/>
        <w:tblW w:w="90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44"/>
        <w:gridCol w:w="1133"/>
        <w:gridCol w:w="2550"/>
        <w:gridCol w:w="2411"/>
      </w:tblGrid>
      <w:tr w14:paraId="38E3E3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123561b4eea486cbee629a83db9ddc0"/>
            <w:id w:val="2100747647"/>
          </w:sdtPr>
          <w:sdtContent>
            <w:tc>
              <w:tcPr>
                <w:tcW w:w="2944" w:type="dxa"/>
                <w:tcBorders>
                  <w:top w:val="outset" w:color="auto" w:sz="6" w:space="0"/>
                  <w:left w:val="outset" w:color="auto" w:sz="6" w:space="0"/>
                  <w:bottom w:val="outset" w:color="auto" w:sz="6" w:space="0"/>
                  <w:right w:val="outset" w:color="auto" w:sz="6" w:space="0"/>
                </w:tcBorders>
                <w:vAlign w:val="center"/>
              </w:tcPr>
              <w:p w14:paraId="7E567F61">
                <w:pPr>
                  <w:jc w:val="center"/>
                  <w:rPr>
                    <w:rFonts w:ascii="Calibri" w:hAnsi="Calibri"/>
                    <w:b/>
                    <w:bCs/>
                    <w:color w:val="000000" w:themeColor="text1"/>
                    <w:sz w:val="20"/>
                    <w:szCs w:val="20"/>
                    <w14:textFill>
                      <w14:solidFill>
                        <w14:schemeClr w14:val="tx1"/>
                      </w14:solidFill>
                    </w14:textFill>
                  </w:rPr>
                </w:pPr>
                <w:r>
                  <w:rPr>
                    <w:rFonts w:ascii="Calibri" w:hAnsi="Calibri"/>
                    <w:b/>
                    <w:color w:val="000000" w:themeColor="text1"/>
                    <w:sz w:val="20"/>
                    <w:szCs w:val="20"/>
                    <w14:textFill>
                      <w14:solidFill>
                        <w14:schemeClr w14:val="tx1"/>
                      </w14:solidFill>
                    </w14:textFill>
                  </w:rPr>
                  <w:t>项目</w:t>
                </w:r>
              </w:p>
            </w:tc>
          </w:sdtContent>
        </w:sdt>
        <w:tc>
          <w:tcPr>
            <w:tcW w:w="1133" w:type="dxa"/>
            <w:tcBorders>
              <w:top w:val="outset" w:color="auto" w:sz="6" w:space="0"/>
              <w:left w:val="outset" w:color="auto" w:sz="6" w:space="0"/>
              <w:bottom w:val="outset" w:color="auto" w:sz="6" w:space="0"/>
              <w:right w:val="outset" w:color="auto" w:sz="6" w:space="0"/>
            </w:tcBorders>
            <w:vAlign w:val="center"/>
          </w:tcPr>
          <w:p w14:paraId="389DD665">
            <w:pPr>
              <w:jc w:val="center"/>
              <w:rPr>
                <w:rFonts w:ascii="Calibri" w:hAnsi="Calibri"/>
                <w:b/>
                <w:bCs/>
                <w:color w:val="000000" w:themeColor="text1"/>
                <w:sz w:val="20"/>
                <w:szCs w:val="20"/>
                <w14:textFill>
                  <w14:solidFill>
                    <w14:schemeClr w14:val="tx1"/>
                  </w14:solidFill>
                </w14:textFill>
              </w:rPr>
            </w:pPr>
            <w:sdt>
              <w:sdtPr>
                <w:tag w:val="_PLD_06c4ac69e0084d108604170c58444649"/>
                <w:id w:val="-1017157411"/>
              </w:sdtPr>
              <w:sdtContent>
                <w:r>
                  <w:rPr>
                    <w:rFonts w:hint="eastAsia" w:ascii="Calibri" w:hAnsi="Calibri"/>
                    <w:b/>
                    <w:color w:val="000000" w:themeColor="text1"/>
                    <w:sz w:val="20"/>
                    <w:szCs w:val="20"/>
                    <w14:textFill>
                      <w14:solidFill>
                        <w14:schemeClr w14:val="tx1"/>
                      </w14:solidFill>
                    </w14:textFill>
                  </w:rPr>
                  <w:t>附注</w:t>
                </w:r>
              </w:sdtContent>
            </w:sdt>
            <w:r>
              <w:rPr>
                <w:rFonts w:hint="eastAsia" w:ascii="Calibri" w:hAnsi="Calibri"/>
                <w:b/>
                <w:sz w:val="20"/>
                <w:szCs w:val="20"/>
              </w:rPr>
              <w:t>十九</w:t>
            </w:r>
          </w:p>
        </w:tc>
        <w:sdt>
          <w:sdtPr>
            <w:tag w:val="_PLD_b1c54371985a4504b749b9d71cf1412e"/>
            <w:id w:val="1344047360"/>
          </w:sdtPr>
          <w:sdtContent>
            <w:tc>
              <w:tcPr>
                <w:tcW w:w="2550" w:type="dxa"/>
                <w:tcBorders>
                  <w:top w:val="outset" w:color="auto" w:sz="6" w:space="0"/>
                  <w:left w:val="outset" w:color="auto" w:sz="6" w:space="0"/>
                  <w:bottom w:val="outset" w:color="auto" w:sz="6" w:space="0"/>
                  <w:right w:val="outset" w:color="auto" w:sz="6" w:space="0"/>
                </w:tcBorders>
                <w:vAlign w:val="center"/>
              </w:tcPr>
              <w:p w14:paraId="5CAF08D9">
                <w:pPr>
                  <w:jc w:val="center"/>
                  <w:rPr>
                    <w:rFonts w:ascii="Calibri" w:hAnsi="Calibri"/>
                    <w:b/>
                    <w:bCs/>
                    <w:color w:val="000000" w:themeColor="text1"/>
                    <w:sz w:val="20"/>
                    <w:szCs w:val="20"/>
                    <w14:textFill>
                      <w14:solidFill>
                        <w14:schemeClr w14:val="tx1"/>
                      </w14:solidFill>
                    </w14:textFill>
                  </w:rPr>
                </w:pPr>
                <w:r>
                  <w:rPr>
                    <w:rFonts w:hint="eastAsia" w:ascii="Calibri" w:hAnsi="Calibri"/>
                    <w:b/>
                    <w:color w:val="000000" w:themeColor="text1"/>
                    <w:sz w:val="20"/>
                    <w:szCs w:val="20"/>
                    <w14:textFill>
                      <w14:solidFill>
                        <w14:schemeClr w14:val="tx1"/>
                      </w14:solidFill>
                    </w14:textFill>
                  </w:rPr>
                  <w:t>2025年12月</w:t>
                </w:r>
                <w:r>
                  <w:rPr>
                    <w:rFonts w:ascii="Calibri" w:hAnsi="Calibri"/>
                    <w:b/>
                    <w:color w:val="000000" w:themeColor="text1"/>
                    <w:sz w:val="20"/>
                    <w:szCs w:val="20"/>
                    <w14:textFill>
                      <w14:solidFill>
                        <w14:schemeClr w14:val="tx1"/>
                      </w14:solidFill>
                    </w14:textFill>
                  </w:rPr>
                  <w:t>3</w:t>
                </w:r>
                <w:r>
                  <w:rPr>
                    <w:rFonts w:hint="eastAsia" w:ascii="Calibri" w:hAnsi="Calibri"/>
                    <w:b/>
                    <w:color w:val="000000" w:themeColor="text1"/>
                    <w:sz w:val="20"/>
                    <w:szCs w:val="20"/>
                    <w14:textFill>
                      <w14:solidFill>
                        <w14:schemeClr w14:val="tx1"/>
                      </w14:solidFill>
                    </w14:textFill>
                  </w:rPr>
                  <w:t>1日</w:t>
                </w:r>
              </w:p>
            </w:tc>
          </w:sdtContent>
        </w:sdt>
        <w:sdt>
          <w:sdtPr>
            <w:tag w:val="_PLD_26edb5cd36ce4083a97dc26772b099ab"/>
            <w:id w:val="766808470"/>
          </w:sdtPr>
          <w:sdtContent>
            <w:tc>
              <w:tcPr>
                <w:tcW w:w="2411" w:type="dxa"/>
                <w:tcBorders>
                  <w:top w:val="outset" w:color="auto" w:sz="6" w:space="0"/>
                  <w:left w:val="outset" w:color="auto" w:sz="6" w:space="0"/>
                  <w:bottom w:val="outset" w:color="auto" w:sz="6" w:space="0"/>
                  <w:right w:val="outset" w:color="auto" w:sz="6" w:space="0"/>
                </w:tcBorders>
                <w:vAlign w:val="center"/>
              </w:tcPr>
              <w:p w14:paraId="79F71CDC">
                <w:pPr>
                  <w:jc w:val="center"/>
                  <w:rPr>
                    <w:rFonts w:ascii="Calibri" w:hAnsi="Calibri"/>
                    <w:b/>
                    <w:bCs/>
                    <w:color w:val="000000" w:themeColor="text1"/>
                    <w:sz w:val="20"/>
                    <w:szCs w:val="20"/>
                    <w14:textFill>
                      <w14:solidFill>
                        <w14:schemeClr w14:val="tx1"/>
                      </w14:solidFill>
                    </w14:textFill>
                  </w:rPr>
                </w:pPr>
                <w:r>
                  <w:rPr>
                    <w:rFonts w:ascii="Calibri" w:hAnsi="Calibri"/>
                    <w:b/>
                    <w:color w:val="000000" w:themeColor="text1"/>
                    <w:sz w:val="20"/>
                    <w:szCs w:val="20"/>
                    <w14:textFill>
                      <w14:solidFill>
                        <w14:schemeClr w14:val="tx1"/>
                      </w14:solidFill>
                    </w14:textFill>
                  </w:rPr>
                  <w:t>2024年12月31日</w:t>
                </w:r>
              </w:p>
            </w:tc>
          </w:sdtContent>
        </w:sdt>
      </w:tr>
      <w:tr w14:paraId="67E055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54d834a04b8464892f4dccc28fbd9e0"/>
            <w:id w:val="-1744481406"/>
          </w:sdtPr>
          <w:sdtContent>
            <w:tc>
              <w:tcPr>
                <w:tcW w:w="9038" w:type="dxa"/>
                <w:gridSpan w:val="4"/>
                <w:tcBorders>
                  <w:top w:val="outset" w:color="auto" w:sz="6" w:space="0"/>
                  <w:left w:val="outset" w:color="auto" w:sz="6" w:space="0"/>
                  <w:bottom w:val="outset" w:color="auto" w:sz="6" w:space="0"/>
                  <w:right w:val="outset" w:color="auto" w:sz="6" w:space="0"/>
                </w:tcBorders>
                <w:vAlign w:val="center"/>
              </w:tcPr>
              <w:p w14:paraId="0824F528">
                <w:pPr>
                  <w:rPr>
                    <w:rFonts w:ascii="Calibri" w:hAnsi="Calibri"/>
                    <w:b/>
                    <w:color w:val="000000" w:themeColor="text1"/>
                    <w:sz w:val="20"/>
                    <w:szCs w:val="20"/>
                    <w14:textFill>
                      <w14:solidFill>
                        <w14:schemeClr w14:val="tx1"/>
                      </w14:solidFill>
                    </w14:textFill>
                  </w:rPr>
                </w:pPr>
                <w:r>
                  <w:rPr>
                    <w:rFonts w:hint="eastAsia" w:ascii="Calibri" w:hAnsi="Calibri"/>
                    <w:b/>
                    <w:color w:val="000000" w:themeColor="text1"/>
                    <w:sz w:val="20"/>
                    <w:szCs w:val="20"/>
                    <w14:textFill>
                      <w14:solidFill>
                        <w14:schemeClr w14:val="tx1"/>
                      </w14:solidFill>
                    </w14:textFill>
                  </w:rPr>
                  <w:t>流动资产：</w:t>
                </w:r>
              </w:p>
            </w:tc>
          </w:sdtContent>
        </w:sdt>
      </w:tr>
      <w:tr w14:paraId="4CF6C6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8948F8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货币资金</w:t>
            </w:r>
          </w:p>
        </w:tc>
        <w:tc>
          <w:tcPr>
            <w:tcW w:w="1133" w:type="dxa"/>
            <w:tcBorders>
              <w:top w:val="outset" w:color="auto" w:sz="6" w:space="0"/>
              <w:left w:val="outset" w:color="auto" w:sz="6" w:space="0"/>
              <w:bottom w:val="outset" w:color="auto" w:sz="6" w:space="0"/>
              <w:right w:val="outset" w:color="auto" w:sz="6" w:space="0"/>
            </w:tcBorders>
            <w:vAlign w:val="center"/>
          </w:tcPr>
          <w:p w14:paraId="46B3786D">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799DDBE">
            <w:pPr>
              <w:jc w:val="right"/>
              <w:rPr>
                <w:rFonts w:ascii="Calibri" w:hAnsi="Calibri"/>
                <w:sz w:val="20"/>
                <w:szCs w:val="20"/>
              </w:rPr>
            </w:pPr>
            <w:r>
              <w:rPr>
                <w:rFonts w:ascii="Calibri" w:hAnsi="Calibri"/>
                <w:sz w:val="20"/>
                <w:szCs w:val="20"/>
              </w:rPr>
              <w:t>1,342,288,113.32</w:t>
            </w:r>
          </w:p>
        </w:tc>
        <w:tc>
          <w:tcPr>
            <w:tcW w:w="2411" w:type="dxa"/>
            <w:tcBorders>
              <w:top w:val="outset" w:color="auto" w:sz="6" w:space="0"/>
              <w:left w:val="outset" w:color="auto" w:sz="6" w:space="0"/>
              <w:bottom w:val="outset" w:color="auto" w:sz="6" w:space="0"/>
              <w:right w:val="outset" w:color="auto" w:sz="6" w:space="0"/>
            </w:tcBorders>
            <w:vAlign w:val="center"/>
          </w:tcPr>
          <w:p w14:paraId="66B0FD57">
            <w:pPr>
              <w:jc w:val="right"/>
              <w:rPr>
                <w:rFonts w:ascii="Calibri" w:hAnsi="Calibri"/>
                <w:sz w:val="20"/>
                <w:szCs w:val="20"/>
              </w:rPr>
            </w:pPr>
            <w:r>
              <w:rPr>
                <w:rFonts w:ascii="Calibri" w:hAnsi="Calibri"/>
                <w:sz w:val="20"/>
                <w:szCs w:val="20"/>
              </w:rPr>
              <w:t>542,910,783.68</w:t>
            </w:r>
          </w:p>
        </w:tc>
      </w:tr>
      <w:tr w14:paraId="3837A9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FD785A8">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交易性金融资产</w:t>
            </w:r>
          </w:p>
        </w:tc>
        <w:tc>
          <w:tcPr>
            <w:tcW w:w="1133" w:type="dxa"/>
            <w:tcBorders>
              <w:top w:val="outset" w:color="auto" w:sz="6" w:space="0"/>
              <w:left w:val="outset" w:color="auto" w:sz="6" w:space="0"/>
              <w:bottom w:val="outset" w:color="auto" w:sz="6" w:space="0"/>
              <w:right w:val="outset" w:color="auto" w:sz="6" w:space="0"/>
            </w:tcBorders>
            <w:vAlign w:val="center"/>
          </w:tcPr>
          <w:p w14:paraId="04C71091">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75A3494">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09E829A4">
            <w:pPr>
              <w:jc w:val="right"/>
              <w:rPr>
                <w:rFonts w:ascii="Calibri" w:hAnsi="Calibri"/>
                <w:sz w:val="20"/>
                <w:szCs w:val="20"/>
              </w:rPr>
            </w:pPr>
          </w:p>
        </w:tc>
      </w:tr>
      <w:tr w14:paraId="7C36A4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0AEFA5D">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衍生金融资产</w:t>
            </w:r>
          </w:p>
        </w:tc>
        <w:tc>
          <w:tcPr>
            <w:tcW w:w="1133" w:type="dxa"/>
            <w:tcBorders>
              <w:top w:val="outset" w:color="auto" w:sz="6" w:space="0"/>
              <w:left w:val="outset" w:color="auto" w:sz="6" w:space="0"/>
              <w:bottom w:val="outset" w:color="auto" w:sz="6" w:space="0"/>
              <w:right w:val="outset" w:color="auto" w:sz="6" w:space="0"/>
            </w:tcBorders>
            <w:vAlign w:val="center"/>
          </w:tcPr>
          <w:p w14:paraId="4DB62B20">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866215B">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480BEE73">
            <w:pPr>
              <w:jc w:val="right"/>
              <w:rPr>
                <w:rFonts w:ascii="Calibri" w:hAnsi="Calibri"/>
                <w:sz w:val="20"/>
                <w:szCs w:val="20"/>
              </w:rPr>
            </w:pPr>
          </w:p>
        </w:tc>
      </w:tr>
      <w:tr w14:paraId="50DA2D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53B19B62">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应收票据</w:t>
            </w:r>
          </w:p>
        </w:tc>
        <w:tc>
          <w:tcPr>
            <w:tcW w:w="1133" w:type="dxa"/>
            <w:tcBorders>
              <w:top w:val="outset" w:color="auto" w:sz="6" w:space="0"/>
              <w:left w:val="outset" w:color="auto" w:sz="6" w:space="0"/>
              <w:bottom w:val="outset" w:color="auto" w:sz="6" w:space="0"/>
              <w:right w:val="outset" w:color="auto" w:sz="6" w:space="0"/>
            </w:tcBorders>
            <w:vAlign w:val="center"/>
          </w:tcPr>
          <w:p w14:paraId="1E2C817F">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775B5A30">
            <w:pPr>
              <w:jc w:val="right"/>
              <w:rPr>
                <w:rFonts w:ascii="Calibri" w:hAnsi="Calibri"/>
                <w:sz w:val="20"/>
                <w:szCs w:val="20"/>
              </w:rPr>
            </w:pPr>
            <w:r>
              <w:rPr>
                <w:rFonts w:ascii="Calibri" w:hAnsi="Calibri"/>
                <w:sz w:val="20"/>
                <w:szCs w:val="20"/>
              </w:rPr>
              <w:t>16,074,681.54</w:t>
            </w:r>
          </w:p>
        </w:tc>
        <w:tc>
          <w:tcPr>
            <w:tcW w:w="2411" w:type="dxa"/>
            <w:tcBorders>
              <w:top w:val="outset" w:color="auto" w:sz="6" w:space="0"/>
              <w:left w:val="outset" w:color="auto" w:sz="6" w:space="0"/>
              <w:bottom w:val="outset" w:color="auto" w:sz="6" w:space="0"/>
              <w:right w:val="outset" w:color="auto" w:sz="6" w:space="0"/>
            </w:tcBorders>
            <w:vAlign w:val="center"/>
          </w:tcPr>
          <w:p w14:paraId="2DFEEEF3">
            <w:pPr>
              <w:jc w:val="right"/>
              <w:rPr>
                <w:rFonts w:ascii="Calibri" w:hAnsi="Calibri"/>
                <w:sz w:val="20"/>
                <w:szCs w:val="20"/>
              </w:rPr>
            </w:pPr>
            <w:r>
              <w:rPr>
                <w:rFonts w:ascii="Calibri" w:hAnsi="Calibri"/>
                <w:sz w:val="20"/>
                <w:szCs w:val="20"/>
              </w:rPr>
              <w:t>6,634,809.89</w:t>
            </w:r>
          </w:p>
        </w:tc>
      </w:tr>
      <w:tr w14:paraId="51F044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DB3A650">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应收账款</w:t>
            </w:r>
          </w:p>
        </w:tc>
        <w:tc>
          <w:tcPr>
            <w:tcW w:w="1133" w:type="dxa"/>
            <w:tcBorders>
              <w:top w:val="outset" w:color="auto" w:sz="6" w:space="0"/>
              <w:left w:val="outset" w:color="auto" w:sz="6" w:space="0"/>
              <w:bottom w:val="outset" w:color="auto" w:sz="6" w:space="0"/>
              <w:right w:val="outset" w:color="auto" w:sz="6" w:space="0"/>
            </w:tcBorders>
            <w:vAlign w:val="center"/>
          </w:tcPr>
          <w:p w14:paraId="5E3F3ACF">
            <w:pPr>
              <w:pStyle w:val="48"/>
              <w:jc w:val="center"/>
              <w:rPr>
                <w:sz w:val="20"/>
                <w:szCs w:val="20"/>
              </w:rPr>
            </w:pPr>
            <w:r>
              <w:rPr>
                <w:rFonts w:hint="eastAsia"/>
                <w:sz w:val="20"/>
                <w:szCs w:val="20"/>
              </w:rPr>
              <w:t>1</w:t>
            </w:r>
          </w:p>
        </w:tc>
        <w:tc>
          <w:tcPr>
            <w:tcW w:w="2550" w:type="dxa"/>
            <w:tcBorders>
              <w:top w:val="outset" w:color="auto" w:sz="6" w:space="0"/>
              <w:left w:val="outset" w:color="auto" w:sz="6" w:space="0"/>
              <w:bottom w:val="outset" w:color="auto" w:sz="6" w:space="0"/>
              <w:right w:val="outset" w:color="auto" w:sz="6" w:space="0"/>
            </w:tcBorders>
            <w:vAlign w:val="center"/>
          </w:tcPr>
          <w:p w14:paraId="620660C8">
            <w:pPr>
              <w:jc w:val="right"/>
              <w:rPr>
                <w:rFonts w:ascii="Calibri" w:hAnsi="Calibri"/>
                <w:sz w:val="20"/>
                <w:szCs w:val="20"/>
              </w:rPr>
            </w:pPr>
            <w:r>
              <w:rPr>
                <w:rFonts w:ascii="Calibri" w:hAnsi="Calibri"/>
                <w:sz w:val="20"/>
                <w:szCs w:val="20"/>
              </w:rPr>
              <w:t>407,383,216.73</w:t>
            </w:r>
          </w:p>
        </w:tc>
        <w:tc>
          <w:tcPr>
            <w:tcW w:w="2411" w:type="dxa"/>
            <w:tcBorders>
              <w:top w:val="outset" w:color="auto" w:sz="6" w:space="0"/>
              <w:left w:val="outset" w:color="auto" w:sz="6" w:space="0"/>
              <w:bottom w:val="outset" w:color="auto" w:sz="6" w:space="0"/>
              <w:right w:val="outset" w:color="auto" w:sz="6" w:space="0"/>
            </w:tcBorders>
            <w:vAlign w:val="center"/>
          </w:tcPr>
          <w:p w14:paraId="53C2485E">
            <w:pPr>
              <w:jc w:val="right"/>
              <w:rPr>
                <w:rFonts w:ascii="Calibri" w:hAnsi="Calibri"/>
                <w:sz w:val="20"/>
                <w:szCs w:val="20"/>
              </w:rPr>
            </w:pPr>
            <w:r>
              <w:rPr>
                <w:rFonts w:ascii="Calibri" w:hAnsi="Calibri"/>
                <w:sz w:val="20"/>
                <w:szCs w:val="20"/>
              </w:rPr>
              <w:t>482,198,421.21</w:t>
            </w:r>
          </w:p>
        </w:tc>
      </w:tr>
      <w:tr w14:paraId="51D2C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076B669F">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应收款项融资</w:t>
            </w:r>
          </w:p>
        </w:tc>
        <w:tc>
          <w:tcPr>
            <w:tcW w:w="1133" w:type="dxa"/>
            <w:tcBorders>
              <w:top w:val="outset" w:color="auto" w:sz="6" w:space="0"/>
              <w:left w:val="outset" w:color="auto" w:sz="6" w:space="0"/>
              <w:bottom w:val="outset" w:color="auto" w:sz="6" w:space="0"/>
              <w:right w:val="outset" w:color="auto" w:sz="6" w:space="0"/>
            </w:tcBorders>
            <w:vAlign w:val="center"/>
          </w:tcPr>
          <w:p w14:paraId="11B32391">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2C1EEB13">
            <w:pPr>
              <w:jc w:val="right"/>
              <w:rPr>
                <w:rFonts w:ascii="Calibri" w:hAnsi="Calibri"/>
                <w:sz w:val="20"/>
                <w:szCs w:val="20"/>
              </w:rPr>
            </w:pPr>
            <w:r>
              <w:rPr>
                <w:rFonts w:ascii="Calibri" w:hAnsi="Calibri"/>
                <w:sz w:val="20"/>
                <w:szCs w:val="20"/>
              </w:rPr>
              <w:t>58,067,116.90</w:t>
            </w:r>
          </w:p>
        </w:tc>
        <w:tc>
          <w:tcPr>
            <w:tcW w:w="2411" w:type="dxa"/>
            <w:tcBorders>
              <w:top w:val="outset" w:color="auto" w:sz="6" w:space="0"/>
              <w:left w:val="outset" w:color="auto" w:sz="6" w:space="0"/>
              <w:bottom w:val="outset" w:color="auto" w:sz="6" w:space="0"/>
              <w:right w:val="outset" w:color="auto" w:sz="6" w:space="0"/>
            </w:tcBorders>
            <w:vAlign w:val="center"/>
          </w:tcPr>
          <w:p w14:paraId="35AACB22">
            <w:pPr>
              <w:jc w:val="right"/>
              <w:rPr>
                <w:rFonts w:ascii="Calibri" w:hAnsi="Calibri"/>
                <w:sz w:val="20"/>
                <w:szCs w:val="20"/>
              </w:rPr>
            </w:pPr>
            <w:r>
              <w:rPr>
                <w:rFonts w:ascii="Calibri" w:hAnsi="Calibri"/>
                <w:sz w:val="20"/>
                <w:szCs w:val="20"/>
              </w:rPr>
              <w:t>54,419,623.26</w:t>
            </w:r>
          </w:p>
        </w:tc>
      </w:tr>
      <w:tr w14:paraId="1A1C6A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BE0632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预付款项</w:t>
            </w:r>
          </w:p>
        </w:tc>
        <w:tc>
          <w:tcPr>
            <w:tcW w:w="1133" w:type="dxa"/>
            <w:tcBorders>
              <w:top w:val="outset" w:color="auto" w:sz="6" w:space="0"/>
              <w:left w:val="outset" w:color="auto" w:sz="6" w:space="0"/>
              <w:bottom w:val="outset" w:color="auto" w:sz="6" w:space="0"/>
              <w:right w:val="outset" w:color="auto" w:sz="6" w:space="0"/>
            </w:tcBorders>
            <w:vAlign w:val="center"/>
          </w:tcPr>
          <w:p w14:paraId="06ECA85D">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28C7B7A5">
            <w:pPr>
              <w:jc w:val="right"/>
              <w:rPr>
                <w:rFonts w:ascii="Calibri" w:hAnsi="Calibri"/>
                <w:sz w:val="20"/>
                <w:szCs w:val="20"/>
              </w:rPr>
            </w:pPr>
            <w:r>
              <w:rPr>
                <w:rFonts w:ascii="Calibri" w:hAnsi="Calibri"/>
                <w:sz w:val="20"/>
                <w:szCs w:val="20"/>
              </w:rPr>
              <w:t>38,733,341.74</w:t>
            </w:r>
          </w:p>
        </w:tc>
        <w:tc>
          <w:tcPr>
            <w:tcW w:w="2411" w:type="dxa"/>
            <w:tcBorders>
              <w:top w:val="outset" w:color="auto" w:sz="6" w:space="0"/>
              <w:left w:val="outset" w:color="auto" w:sz="6" w:space="0"/>
              <w:bottom w:val="outset" w:color="auto" w:sz="6" w:space="0"/>
              <w:right w:val="outset" w:color="auto" w:sz="6" w:space="0"/>
            </w:tcBorders>
            <w:vAlign w:val="center"/>
          </w:tcPr>
          <w:p w14:paraId="5786769D">
            <w:pPr>
              <w:jc w:val="right"/>
              <w:rPr>
                <w:rFonts w:ascii="Calibri" w:hAnsi="Calibri"/>
                <w:sz w:val="20"/>
                <w:szCs w:val="20"/>
              </w:rPr>
            </w:pPr>
            <w:r>
              <w:rPr>
                <w:rFonts w:ascii="Calibri" w:hAnsi="Calibri"/>
                <w:sz w:val="20"/>
                <w:szCs w:val="20"/>
              </w:rPr>
              <w:t>27,947,057.35</w:t>
            </w:r>
          </w:p>
        </w:tc>
      </w:tr>
      <w:tr w14:paraId="609D1D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B40401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其他应收款</w:t>
            </w:r>
          </w:p>
        </w:tc>
        <w:tc>
          <w:tcPr>
            <w:tcW w:w="1133" w:type="dxa"/>
            <w:tcBorders>
              <w:top w:val="outset" w:color="auto" w:sz="6" w:space="0"/>
              <w:left w:val="outset" w:color="auto" w:sz="6" w:space="0"/>
              <w:bottom w:val="outset" w:color="auto" w:sz="6" w:space="0"/>
              <w:right w:val="outset" w:color="auto" w:sz="6" w:space="0"/>
            </w:tcBorders>
            <w:vAlign w:val="center"/>
          </w:tcPr>
          <w:p w14:paraId="71CE699D">
            <w:pPr>
              <w:pStyle w:val="48"/>
              <w:jc w:val="center"/>
              <w:rPr>
                <w:sz w:val="20"/>
                <w:szCs w:val="20"/>
              </w:rPr>
            </w:pPr>
            <w:r>
              <w:rPr>
                <w:rFonts w:hint="eastAsia"/>
                <w:sz w:val="20"/>
                <w:szCs w:val="20"/>
              </w:rPr>
              <w:t>4</w:t>
            </w:r>
          </w:p>
        </w:tc>
        <w:tc>
          <w:tcPr>
            <w:tcW w:w="2550" w:type="dxa"/>
            <w:tcBorders>
              <w:top w:val="outset" w:color="auto" w:sz="6" w:space="0"/>
              <w:left w:val="outset" w:color="auto" w:sz="6" w:space="0"/>
              <w:bottom w:val="outset" w:color="auto" w:sz="6" w:space="0"/>
              <w:right w:val="outset" w:color="auto" w:sz="6" w:space="0"/>
            </w:tcBorders>
            <w:vAlign w:val="center"/>
          </w:tcPr>
          <w:p w14:paraId="326019F0">
            <w:pPr>
              <w:jc w:val="right"/>
              <w:rPr>
                <w:rFonts w:ascii="Calibri" w:hAnsi="Calibri"/>
                <w:sz w:val="20"/>
                <w:szCs w:val="20"/>
              </w:rPr>
            </w:pPr>
            <w:r>
              <w:rPr>
                <w:rFonts w:ascii="Calibri" w:hAnsi="Calibri"/>
                <w:sz w:val="20"/>
                <w:szCs w:val="20"/>
              </w:rPr>
              <w:t>189,470,478.49</w:t>
            </w:r>
          </w:p>
        </w:tc>
        <w:tc>
          <w:tcPr>
            <w:tcW w:w="2411" w:type="dxa"/>
            <w:tcBorders>
              <w:top w:val="outset" w:color="auto" w:sz="6" w:space="0"/>
              <w:left w:val="outset" w:color="auto" w:sz="6" w:space="0"/>
              <w:bottom w:val="outset" w:color="auto" w:sz="6" w:space="0"/>
              <w:right w:val="outset" w:color="auto" w:sz="6" w:space="0"/>
            </w:tcBorders>
            <w:vAlign w:val="center"/>
          </w:tcPr>
          <w:p w14:paraId="63ECCFF9">
            <w:pPr>
              <w:jc w:val="right"/>
              <w:rPr>
                <w:rFonts w:ascii="Calibri" w:hAnsi="Calibri"/>
                <w:sz w:val="20"/>
                <w:szCs w:val="20"/>
              </w:rPr>
            </w:pPr>
            <w:r>
              <w:rPr>
                <w:rFonts w:ascii="Calibri" w:hAnsi="Calibri"/>
                <w:sz w:val="20"/>
                <w:szCs w:val="20"/>
              </w:rPr>
              <w:t>412,614,785.42</w:t>
            </w:r>
          </w:p>
        </w:tc>
      </w:tr>
      <w:tr w14:paraId="25C8F4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57F7A5B">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其中：应收利息</w:t>
            </w:r>
          </w:p>
        </w:tc>
        <w:tc>
          <w:tcPr>
            <w:tcW w:w="1133" w:type="dxa"/>
            <w:tcBorders>
              <w:top w:val="outset" w:color="auto" w:sz="6" w:space="0"/>
              <w:left w:val="outset" w:color="auto" w:sz="6" w:space="0"/>
              <w:bottom w:val="outset" w:color="auto" w:sz="6" w:space="0"/>
              <w:right w:val="outset" w:color="auto" w:sz="6" w:space="0"/>
            </w:tcBorders>
            <w:vAlign w:val="center"/>
          </w:tcPr>
          <w:p w14:paraId="7BB9F55B">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F8418F4">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5FDEACF6">
            <w:pPr>
              <w:jc w:val="right"/>
              <w:rPr>
                <w:rFonts w:ascii="Calibri" w:hAnsi="Calibri"/>
                <w:sz w:val="20"/>
                <w:szCs w:val="20"/>
              </w:rPr>
            </w:pPr>
          </w:p>
        </w:tc>
      </w:tr>
      <w:tr w14:paraId="32DC87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1EDE69E">
            <w:pPr>
              <w:ind w:firstLine="800" w:firstLineChars="4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应收股利</w:t>
            </w:r>
          </w:p>
        </w:tc>
        <w:tc>
          <w:tcPr>
            <w:tcW w:w="1133" w:type="dxa"/>
            <w:tcBorders>
              <w:top w:val="outset" w:color="auto" w:sz="6" w:space="0"/>
              <w:left w:val="outset" w:color="auto" w:sz="6" w:space="0"/>
              <w:bottom w:val="outset" w:color="auto" w:sz="6" w:space="0"/>
              <w:right w:val="outset" w:color="auto" w:sz="6" w:space="0"/>
            </w:tcBorders>
            <w:vAlign w:val="center"/>
          </w:tcPr>
          <w:p w14:paraId="69F722B1">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2C5DB33">
            <w:pPr>
              <w:jc w:val="right"/>
              <w:rPr>
                <w:rFonts w:ascii="Calibri" w:hAnsi="Calibri"/>
                <w:sz w:val="20"/>
                <w:szCs w:val="20"/>
              </w:rPr>
            </w:pPr>
            <w:r>
              <w:rPr>
                <w:rFonts w:ascii="Calibri" w:hAnsi="Calibri"/>
                <w:sz w:val="20"/>
                <w:szCs w:val="20"/>
              </w:rPr>
              <w:t>48,130,858.20</w:t>
            </w:r>
          </w:p>
        </w:tc>
        <w:tc>
          <w:tcPr>
            <w:tcW w:w="2411" w:type="dxa"/>
            <w:tcBorders>
              <w:top w:val="outset" w:color="auto" w:sz="6" w:space="0"/>
              <w:left w:val="outset" w:color="auto" w:sz="6" w:space="0"/>
              <w:bottom w:val="outset" w:color="auto" w:sz="6" w:space="0"/>
              <w:right w:val="outset" w:color="auto" w:sz="6" w:space="0"/>
            </w:tcBorders>
            <w:vAlign w:val="center"/>
          </w:tcPr>
          <w:p w14:paraId="69D2D9C8">
            <w:pPr>
              <w:jc w:val="right"/>
              <w:rPr>
                <w:rFonts w:ascii="Calibri" w:hAnsi="Calibri"/>
                <w:sz w:val="20"/>
                <w:szCs w:val="20"/>
              </w:rPr>
            </w:pPr>
            <w:r>
              <w:rPr>
                <w:rFonts w:ascii="Calibri" w:hAnsi="Calibri"/>
                <w:sz w:val="20"/>
                <w:szCs w:val="20"/>
              </w:rPr>
              <w:t>48,130,858.20</w:t>
            </w:r>
          </w:p>
        </w:tc>
      </w:tr>
      <w:tr w14:paraId="4AC41D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D84DF84">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存货</w:t>
            </w:r>
          </w:p>
        </w:tc>
        <w:tc>
          <w:tcPr>
            <w:tcW w:w="1133" w:type="dxa"/>
            <w:tcBorders>
              <w:top w:val="outset" w:color="auto" w:sz="6" w:space="0"/>
              <w:left w:val="outset" w:color="auto" w:sz="6" w:space="0"/>
              <w:bottom w:val="outset" w:color="auto" w:sz="6" w:space="0"/>
              <w:right w:val="outset" w:color="auto" w:sz="6" w:space="0"/>
            </w:tcBorders>
            <w:vAlign w:val="center"/>
          </w:tcPr>
          <w:p w14:paraId="5BC1C24D">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91BF340">
            <w:pPr>
              <w:jc w:val="right"/>
              <w:rPr>
                <w:rFonts w:ascii="Calibri" w:hAnsi="Calibri"/>
                <w:sz w:val="20"/>
                <w:szCs w:val="20"/>
              </w:rPr>
            </w:pPr>
            <w:r>
              <w:rPr>
                <w:rFonts w:ascii="Calibri" w:hAnsi="Calibri"/>
                <w:sz w:val="20"/>
                <w:szCs w:val="20"/>
              </w:rPr>
              <w:t>552,909,529.11</w:t>
            </w:r>
          </w:p>
        </w:tc>
        <w:tc>
          <w:tcPr>
            <w:tcW w:w="2411" w:type="dxa"/>
            <w:tcBorders>
              <w:top w:val="outset" w:color="auto" w:sz="6" w:space="0"/>
              <w:left w:val="outset" w:color="auto" w:sz="6" w:space="0"/>
              <w:bottom w:val="outset" w:color="auto" w:sz="6" w:space="0"/>
              <w:right w:val="outset" w:color="auto" w:sz="6" w:space="0"/>
            </w:tcBorders>
            <w:vAlign w:val="center"/>
          </w:tcPr>
          <w:p w14:paraId="76016F91">
            <w:pPr>
              <w:jc w:val="right"/>
              <w:rPr>
                <w:rFonts w:ascii="Calibri" w:hAnsi="Calibri"/>
                <w:sz w:val="20"/>
                <w:szCs w:val="20"/>
              </w:rPr>
            </w:pPr>
            <w:r>
              <w:rPr>
                <w:rFonts w:ascii="Calibri" w:hAnsi="Calibri"/>
                <w:sz w:val="20"/>
                <w:szCs w:val="20"/>
              </w:rPr>
              <w:t>578,689,004.35</w:t>
            </w:r>
          </w:p>
        </w:tc>
      </w:tr>
      <w:tr w14:paraId="20268E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76AC528">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合同资产</w:t>
            </w:r>
          </w:p>
        </w:tc>
        <w:tc>
          <w:tcPr>
            <w:tcW w:w="1133" w:type="dxa"/>
            <w:tcBorders>
              <w:top w:val="outset" w:color="auto" w:sz="6" w:space="0"/>
              <w:left w:val="outset" w:color="auto" w:sz="6" w:space="0"/>
              <w:bottom w:val="outset" w:color="auto" w:sz="6" w:space="0"/>
              <w:right w:val="outset" w:color="auto" w:sz="6" w:space="0"/>
            </w:tcBorders>
            <w:vAlign w:val="center"/>
          </w:tcPr>
          <w:p w14:paraId="4C7D80DB">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992BE3A">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3F21D472">
            <w:pPr>
              <w:jc w:val="right"/>
              <w:rPr>
                <w:rFonts w:ascii="Calibri" w:hAnsi="Calibri"/>
                <w:sz w:val="20"/>
                <w:szCs w:val="20"/>
              </w:rPr>
            </w:pPr>
          </w:p>
        </w:tc>
      </w:tr>
      <w:tr w14:paraId="470A07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0AAB39F">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持有待售资产</w:t>
            </w:r>
          </w:p>
        </w:tc>
        <w:tc>
          <w:tcPr>
            <w:tcW w:w="1133" w:type="dxa"/>
            <w:tcBorders>
              <w:top w:val="outset" w:color="auto" w:sz="6" w:space="0"/>
              <w:left w:val="outset" w:color="auto" w:sz="6" w:space="0"/>
              <w:bottom w:val="outset" w:color="auto" w:sz="6" w:space="0"/>
              <w:right w:val="outset" w:color="auto" w:sz="6" w:space="0"/>
            </w:tcBorders>
            <w:vAlign w:val="center"/>
          </w:tcPr>
          <w:p w14:paraId="176CEF2E">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CB88194">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3270380B">
            <w:pPr>
              <w:jc w:val="right"/>
              <w:rPr>
                <w:rFonts w:ascii="Calibri" w:hAnsi="Calibri"/>
                <w:sz w:val="20"/>
                <w:szCs w:val="20"/>
              </w:rPr>
            </w:pPr>
          </w:p>
        </w:tc>
      </w:tr>
      <w:tr w14:paraId="1CB441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FD85BE2">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一年内到期的非流动资产</w:t>
            </w:r>
          </w:p>
        </w:tc>
        <w:tc>
          <w:tcPr>
            <w:tcW w:w="1133" w:type="dxa"/>
            <w:tcBorders>
              <w:top w:val="outset" w:color="auto" w:sz="6" w:space="0"/>
              <w:left w:val="outset" w:color="auto" w:sz="6" w:space="0"/>
              <w:bottom w:val="outset" w:color="auto" w:sz="6" w:space="0"/>
              <w:right w:val="outset" w:color="auto" w:sz="6" w:space="0"/>
            </w:tcBorders>
            <w:vAlign w:val="center"/>
          </w:tcPr>
          <w:p w14:paraId="23C17F51">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28433CC0">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56288C54">
            <w:pPr>
              <w:jc w:val="right"/>
              <w:rPr>
                <w:rFonts w:ascii="Calibri" w:hAnsi="Calibri"/>
                <w:sz w:val="20"/>
                <w:szCs w:val="20"/>
              </w:rPr>
            </w:pPr>
          </w:p>
        </w:tc>
      </w:tr>
      <w:tr w14:paraId="60D32B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9138B2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其他流动资产</w:t>
            </w:r>
          </w:p>
        </w:tc>
        <w:tc>
          <w:tcPr>
            <w:tcW w:w="1133" w:type="dxa"/>
            <w:tcBorders>
              <w:top w:val="outset" w:color="auto" w:sz="6" w:space="0"/>
              <w:left w:val="outset" w:color="auto" w:sz="6" w:space="0"/>
              <w:bottom w:val="outset" w:color="auto" w:sz="6" w:space="0"/>
              <w:right w:val="outset" w:color="auto" w:sz="6" w:space="0"/>
            </w:tcBorders>
            <w:vAlign w:val="center"/>
          </w:tcPr>
          <w:p w14:paraId="4933B356">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ADE34F3">
            <w:pPr>
              <w:jc w:val="right"/>
              <w:rPr>
                <w:rFonts w:ascii="Calibri" w:hAnsi="Calibri"/>
                <w:sz w:val="20"/>
                <w:szCs w:val="20"/>
              </w:rPr>
            </w:pPr>
            <w:r>
              <w:rPr>
                <w:rFonts w:ascii="Calibri" w:hAnsi="Calibri"/>
                <w:sz w:val="20"/>
                <w:szCs w:val="20"/>
              </w:rPr>
              <w:t>5,731,244.62</w:t>
            </w:r>
          </w:p>
        </w:tc>
        <w:tc>
          <w:tcPr>
            <w:tcW w:w="2411" w:type="dxa"/>
            <w:tcBorders>
              <w:top w:val="outset" w:color="auto" w:sz="6" w:space="0"/>
              <w:left w:val="outset" w:color="auto" w:sz="6" w:space="0"/>
              <w:bottom w:val="outset" w:color="auto" w:sz="6" w:space="0"/>
              <w:right w:val="outset" w:color="auto" w:sz="6" w:space="0"/>
            </w:tcBorders>
            <w:vAlign w:val="center"/>
          </w:tcPr>
          <w:p w14:paraId="7F935980">
            <w:pPr>
              <w:jc w:val="right"/>
              <w:rPr>
                <w:rFonts w:ascii="Calibri" w:hAnsi="Calibri"/>
                <w:sz w:val="20"/>
                <w:szCs w:val="20"/>
              </w:rPr>
            </w:pPr>
            <w:r>
              <w:rPr>
                <w:rFonts w:ascii="Calibri" w:hAnsi="Calibri"/>
                <w:sz w:val="20"/>
                <w:szCs w:val="20"/>
              </w:rPr>
              <w:t>28,663,288.36</w:t>
            </w:r>
          </w:p>
        </w:tc>
      </w:tr>
      <w:tr w14:paraId="5B36BB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3538528">
            <w:pPr>
              <w:ind w:firstLine="400" w:firstLineChars="2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流动资产合计</w:t>
            </w:r>
          </w:p>
        </w:tc>
        <w:tc>
          <w:tcPr>
            <w:tcW w:w="1133" w:type="dxa"/>
            <w:tcBorders>
              <w:top w:val="outset" w:color="auto" w:sz="6" w:space="0"/>
              <w:left w:val="outset" w:color="auto" w:sz="6" w:space="0"/>
              <w:bottom w:val="outset" w:color="auto" w:sz="6" w:space="0"/>
              <w:right w:val="outset" w:color="auto" w:sz="6" w:space="0"/>
            </w:tcBorders>
            <w:vAlign w:val="center"/>
          </w:tcPr>
          <w:p w14:paraId="5C72B4CE">
            <w:pPr>
              <w:pStyle w:val="48"/>
              <w:jc w:val="center"/>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D0D2345">
            <w:pPr>
              <w:jc w:val="right"/>
              <w:rPr>
                <w:rFonts w:ascii="Calibri" w:hAnsi="Calibri"/>
                <w:sz w:val="20"/>
                <w:szCs w:val="20"/>
              </w:rPr>
            </w:pPr>
            <w:r>
              <w:rPr>
                <w:rFonts w:ascii="Calibri" w:hAnsi="Calibri"/>
                <w:sz w:val="20"/>
                <w:szCs w:val="20"/>
              </w:rPr>
              <w:t>2,610,657,722.45</w:t>
            </w:r>
          </w:p>
        </w:tc>
        <w:tc>
          <w:tcPr>
            <w:tcW w:w="2411" w:type="dxa"/>
            <w:tcBorders>
              <w:top w:val="outset" w:color="auto" w:sz="6" w:space="0"/>
              <w:left w:val="outset" w:color="auto" w:sz="6" w:space="0"/>
              <w:bottom w:val="outset" w:color="auto" w:sz="6" w:space="0"/>
              <w:right w:val="outset" w:color="auto" w:sz="6" w:space="0"/>
            </w:tcBorders>
            <w:vAlign w:val="center"/>
          </w:tcPr>
          <w:p w14:paraId="0C1A8775">
            <w:pPr>
              <w:jc w:val="right"/>
              <w:rPr>
                <w:rFonts w:ascii="Calibri" w:hAnsi="Calibri"/>
                <w:sz w:val="20"/>
                <w:szCs w:val="20"/>
              </w:rPr>
            </w:pPr>
            <w:r>
              <w:rPr>
                <w:rFonts w:ascii="Calibri" w:hAnsi="Calibri"/>
                <w:sz w:val="20"/>
                <w:szCs w:val="20"/>
              </w:rPr>
              <w:t>2,134,077,773.52</w:t>
            </w:r>
          </w:p>
        </w:tc>
      </w:tr>
      <w:tr w14:paraId="6AD94E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bf4878ec6d14b78be43557bc0d9a302"/>
            <w:id w:val="-297080639"/>
          </w:sdtPr>
          <w:sdtContent>
            <w:tc>
              <w:tcPr>
                <w:tcW w:w="9038" w:type="dxa"/>
                <w:gridSpan w:val="4"/>
                <w:tcBorders>
                  <w:top w:val="outset" w:color="auto" w:sz="6" w:space="0"/>
                  <w:left w:val="outset" w:color="auto" w:sz="6" w:space="0"/>
                  <w:bottom w:val="outset" w:color="auto" w:sz="6" w:space="0"/>
                  <w:right w:val="outset" w:color="auto" w:sz="6" w:space="0"/>
                </w:tcBorders>
                <w:vAlign w:val="center"/>
              </w:tcPr>
              <w:p w14:paraId="006E9772">
                <w:pPr>
                  <w:rPr>
                    <w:rFonts w:ascii="Calibri" w:hAnsi="Calibri"/>
                    <w:color w:val="000000" w:themeColor="text1"/>
                    <w:sz w:val="20"/>
                    <w:szCs w:val="20"/>
                    <w14:textFill>
                      <w14:solidFill>
                        <w14:schemeClr w14:val="tx1"/>
                      </w14:solidFill>
                    </w14:textFill>
                  </w:rPr>
                </w:pPr>
                <w:r>
                  <w:rPr>
                    <w:rFonts w:hint="eastAsia" w:ascii="Calibri" w:hAnsi="Calibri"/>
                    <w:b/>
                    <w:color w:val="000000" w:themeColor="text1"/>
                    <w:sz w:val="20"/>
                    <w:szCs w:val="20"/>
                    <w14:textFill>
                      <w14:solidFill>
                        <w14:schemeClr w14:val="tx1"/>
                      </w14:solidFill>
                    </w14:textFill>
                  </w:rPr>
                  <w:t>非流动资产：</w:t>
                </w:r>
              </w:p>
            </w:tc>
          </w:sdtContent>
        </w:sdt>
      </w:tr>
      <w:tr w14:paraId="57ACA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C270E0A">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债权投资</w:t>
            </w:r>
          </w:p>
        </w:tc>
        <w:tc>
          <w:tcPr>
            <w:tcW w:w="1133" w:type="dxa"/>
            <w:tcBorders>
              <w:top w:val="outset" w:color="auto" w:sz="6" w:space="0"/>
              <w:left w:val="outset" w:color="auto" w:sz="6" w:space="0"/>
              <w:bottom w:val="outset" w:color="auto" w:sz="6" w:space="0"/>
              <w:right w:val="outset" w:color="auto" w:sz="6" w:space="0"/>
            </w:tcBorders>
            <w:vAlign w:val="center"/>
          </w:tcPr>
          <w:p w14:paraId="1EE4393B">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0B6CA99">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1DD07332">
            <w:pPr>
              <w:jc w:val="right"/>
              <w:rPr>
                <w:rFonts w:ascii="Calibri" w:hAnsi="Calibri"/>
                <w:sz w:val="20"/>
                <w:szCs w:val="20"/>
              </w:rPr>
            </w:pPr>
          </w:p>
        </w:tc>
      </w:tr>
      <w:tr w14:paraId="0BB40C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1FCAECA">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其他债权投资</w:t>
            </w:r>
          </w:p>
        </w:tc>
        <w:tc>
          <w:tcPr>
            <w:tcW w:w="1133" w:type="dxa"/>
            <w:tcBorders>
              <w:top w:val="outset" w:color="auto" w:sz="6" w:space="0"/>
              <w:left w:val="outset" w:color="auto" w:sz="6" w:space="0"/>
              <w:bottom w:val="outset" w:color="auto" w:sz="6" w:space="0"/>
              <w:right w:val="outset" w:color="auto" w:sz="6" w:space="0"/>
            </w:tcBorders>
            <w:vAlign w:val="center"/>
          </w:tcPr>
          <w:p w14:paraId="00B38CAC">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96FF68C">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58B580E3">
            <w:pPr>
              <w:jc w:val="right"/>
              <w:rPr>
                <w:rFonts w:ascii="Calibri" w:hAnsi="Calibri"/>
                <w:sz w:val="20"/>
                <w:szCs w:val="20"/>
              </w:rPr>
            </w:pPr>
          </w:p>
        </w:tc>
      </w:tr>
      <w:tr w14:paraId="74FCF9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3BBD307">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长期应收款</w:t>
            </w:r>
          </w:p>
        </w:tc>
        <w:tc>
          <w:tcPr>
            <w:tcW w:w="1133" w:type="dxa"/>
            <w:tcBorders>
              <w:top w:val="outset" w:color="auto" w:sz="6" w:space="0"/>
              <w:left w:val="outset" w:color="auto" w:sz="6" w:space="0"/>
              <w:bottom w:val="outset" w:color="auto" w:sz="6" w:space="0"/>
              <w:right w:val="outset" w:color="auto" w:sz="6" w:space="0"/>
            </w:tcBorders>
            <w:vAlign w:val="center"/>
          </w:tcPr>
          <w:p w14:paraId="1498328A">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2A1A6FB">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2D0E691D">
            <w:pPr>
              <w:jc w:val="right"/>
              <w:rPr>
                <w:rFonts w:ascii="Calibri" w:hAnsi="Calibri"/>
                <w:sz w:val="20"/>
                <w:szCs w:val="20"/>
              </w:rPr>
            </w:pPr>
          </w:p>
        </w:tc>
      </w:tr>
      <w:tr w14:paraId="61F344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6A60C0D4">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长期股权投资</w:t>
            </w:r>
          </w:p>
        </w:tc>
        <w:tc>
          <w:tcPr>
            <w:tcW w:w="1133" w:type="dxa"/>
            <w:tcBorders>
              <w:top w:val="outset" w:color="auto" w:sz="6" w:space="0"/>
              <w:left w:val="outset" w:color="auto" w:sz="6" w:space="0"/>
              <w:bottom w:val="outset" w:color="auto" w:sz="6" w:space="0"/>
              <w:right w:val="outset" w:color="auto" w:sz="6" w:space="0"/>
            </w:tcBorders>
            <w:vAlign w:val="center"/>
          </w:tcPr>
          <w:p w14:paraId="66A60B72">
            <w:pPr>
              <w:pStyle w:val="48"/>
              <w:rPr>
                <w:sz w:val="20"/>
                <w:szCs w:val="20"/>
              </w:rPr>
            </w:pPr>
            <w:r>
              <w:rPr>
                <w:rFonts w:hint="eastAsia"/>
                <w:sz w:val="20"/>
                <w:szCs w:val="20"/>
              </w:rPr>
              <w:t>2</w:t>
            </w:r>
          </w:p>
        </w:tc>
        <w:tc>
          <w:tcPr>
            <w:tcW w:w="2550" w:type="dxa"/>
            <w:tcBorders>
              <w:top w:val="outset" w:color="auto" w:sz="6" w:space="0"/>
              <w:left w:val="outset" w:color="auto" w:sz="6" w:space="0"/>
              <w:bottom w:val="outset" w:color="auto" w:sz="6" w:space="0"/>
              <w:right w:val="outset" w:color="auto" w:sz="6" w:space="0"/>
            </w:tcBorders>
            <w:vAlign w:val="center"/>
          </w:tcPr>
          <w:p w14:paraId="3D684CFA">
            <w:pPr>
              <w:jc w:val="right"/>
              <w:rPr>
                <w:rFonts w:ascii="Calibri" w:hAnsi="Calibri"/>
                <w:sz w:val="20"/>
                <w:szCs w:val="20"/>
              </w:rPr>
            </w:pPr>
            <w:r>
              <w:rPr>
                <w:rFonts w:ascii="Calibri" w:hAnsi="Calibri"/>
                <w:sz w:val="20"/>
                <w:szCs w:val="20"/>
              </w:rPr>
              <w:t>873,592,330.49</w:t>
            </w:r>
          </w:p>
        </w:tc>
        <w:tc>
          <w:tcPr>
            <w:tcW w:w="2411" w:type="dxa"/>
            <w:tcBorders>
              <w:top w:val="outset" w:color="auto" w:sz="6" w:space="0"/>
              <w:left w:val="outset" w:color="auto" w:sz="6" w:space="0"/>
              <w:bottom w:val="outset" w:color="auto" w:sz="6" w:space="0"/>
              <w:right w:val="outset" w:color="auto" w:sz="6" w:space="0"/>
            </w:tcBorders>
            <w:vAlign w:val="center"/>
          </w:tcPr>
          <w:p w14:paraId="133EBDBE">
            <w:pPr>
              <w:jc w:val="right"/>
              <w:rPr>
                <w:rFonts w:ascii="Calibri" w:hAnsi="Calibri"/>
                <w:sz w:val="20"/>
                <w:szCs w:val="20"/>
              </w:rPr>
            </w:pPr>
            <w:r>
              <w:rPr>
                <w:rFonts w:ascii="Calibri" w:hAnsi="Calibri"/>
                <w:sz w:val="20"/>
                <w:szCs w:val="20"/>
              </w:rPr>
              <w:t>961,490,901.80</w:t>
            </w:r>
          </w:p>
        </w:tc>
      </w:tr>
      <w:tr w14:paraId="7E0EC5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20AB481">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其他权益工具投资</w:t>
            </w:r>
          </w:p>
        </w:tc>
        <w:tc>
          <w:tcPr>
            <w:tcW w:w="1133" w:type="dxa"/>
            <w:tcBorders>
              <w:top w:val="outset" w:color="auto" w:sz="6" w:space="0"/>
              <w:left w:val="outset" w:color="auto" w:sz="6" w:space="0"/>
              <w:bottom w:val="outset" w:color="auto" w:sz="6" w:space="0"/>
              <w:right w:val="outset" w:color="auto" w:sz="6" w:space="0"/>
            </w:tcBorders>
            <w:vAlign w:val="center"/>
          </w:tcPr>
          <w:p w14:paraId="0BEF376F">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2250D81">
            <w:pPr>
              <w:jc w:val="right"/>
              <w:rPr>
                <w:rFonts w:ascii="Calibri" w:hAnsi="Calibri"/>
                <w:sz w:val="20"/>
                <w:szCs w:val="20"/>
              </w:rPr>
            </w:pPr>
            <w:r>
              <w:rPr>
                <w:rFonts w:ascii="Calibri" w:hAnsi="Calibri"/>
                <w:sz w:val="20"/>
                <w:szCs w:val="20"/>
              </w:rPr>
              <w:t>68,693,369.96</w:t>
            </w:r>
          </w:p>
        </w:tc>
        <w:tc>
          <w:tcPr>
            <w:tcW w:w="2411" w:type="dxa"/>
            <w:tcBorders>
              <w:top w:val="outset" w:color="auto" w:sz="6" w:space="0"/>
              <w:left w:val="outset" w:color="auto" w:sz="6" w:space="0"/>
              <w:bottom w:val="outset" w:color="auto" w:sz="6" w:space="0"/>
              <w:right w:val="outset" w:color="auto" w:sz="6" w:space="0"/>
            </w:tcBorders>
            <w:vAlign w:val="center"/>
          </w:tcPr>
          <w:p w14:paraId="6951831D">
            <w:pPr>
              <w:jc w:val="right"/>
              <w:rPr>
                <w:rFonts w:ascii="Calibri" w:hAnsi="Calibri"/>
                <w:sz w:val="20"/>
                <w:szCs w:val="20"/>
              </w:rPr>
            </w:pPr>
            <w:r>
              <w:rPr>
                <w:rFonts w:ascii="Calibri" w:hAnsi="Calibri"/>
                <w:sz w:val="20"/>
                <w:szCs w:val="20"/>
              </w:rPr>
              <w:t>36,200,000.00</w:t>
            </w:r>
          </w:p>
        </w:tc>
      </w:tr>
      <w:tr w14:paraId="4A9606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7BFB28F">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其他非流动金融资产</w:t>
            </w:r>
          </w:p>
        </w:tc>
        <w:tc>
          <w:tcPr>
            <w:tcW w:w="1133" w:type="dxa"/>
            <w:tcBorders>
              <w:top w:val="outset" w:color="auto" w:sz="6" w:space="0"/>
              <w:left w:val="outset" w:color="auto" w:sz="6" w:space="0"/>
              <w:bottom w:val="outset" w:color="auto" w:sz="6" w:space="0"/>
              <w:right w:val="outset" w:color="auto" w:sz="6" w:space="0"/>
            </w:tcBorders>
            <w:vAlign w:val="center"/>
          </w:tcPr>
          <w:p w14:paraId="5EB5B910">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8214E64">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165C34E3">
            <w:pPr>
              <w:jc w:val="right"/>
              <w:rPr>
                <w:rFonts w:ascii="Calibri" w:hAnsi="Calibri"/>
                <w:sz w:val="20"/>
                <w:szCs w:val="20"/>
              </w:rPr>
            </w:pPr>
          </w:p>
        </w:tc>
      </w:tr>
      <w:tr w14:paraId="56846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5CAEAA6D">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投资性房地产</w:t>
            </w:r>
          </w:p>
        </w:tc>
        <w:tc>
          <w:tcPr>
            <w:tcW w:w="1133" w:type="dxa"/>
            <w:tcBorders>
              <w:top w:val="outset" w:color="auto" w:sz="6" w:space="0"/>
              <w:left w:val="outset" w:color="auto" w:sz="6" w:space="0"/>
              <w:bottom w:val="outset" w:color="auto" w:sz="6" w:space="0"/>
              <w:right w:val="outset" w:color="auto" w:sz="6" w:space="0"/>
            </w:tcBorders>
            <w:vAlign w:val="center"/>
          </w:tcPr>
          <w:p w14:paraId="1C094E06">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D67EAF9">
            <w:pPr>
              <w:jc w:val="right"/>
              <w:rPr>
                <w:rFonts w:ascii="Calibri" w:hAnsi="Calibri"/>
                <w:sz w:val="20"/>
                <w:szCs w:val="20"/>
              </w:rPr>
            </w:pPr>
            <w:r>
              <w:rPr>
                <w:rFonts w:ascii="Calibri" w:hAnsi="Calibri"/>
                <w:sz w:val="20"/>
                <w:szCs w:val="20"/>
              </w:rPr>
              <w:t>73,664,843.79</w:t>
            </w:r>
          </w:p>
        </w:tc>
        <w:tc>
          <w:tcPr>
            <w:tcW w:w="2411" w:type="dxa"/>
            <w:tcBorders>
              <w:top w:val="outset" w:color="auto" w:sz="6" w:space="0"/>
              <w:left w:val="outset" w:color="auto" w:sz="6" w:space="0"/>
              <w:bottom w:val="outset" w:color="auto" w:sz="6" w:space="0"/>
              <w:right w:val="outset" w:color="auto" w:sz="6" w:space="0"/>
            </w:tcBorders>
            <w:vAlign w:val="center"/>
          </w:tcPr>
          <w:p w14:paraId="56A357FD">
            <w:pPr>
              <w:jc w:val="right"/>
              <w:rPr>
                <w:rFonts w:ascii="Calibri" w:hAnsi="Calibri"/>
                <w:sz w:val="20"/>
                <w:szCs w:val="20"/>
              </w:rPr>
            </w:pPr>
            <w:r>
              <w:rPr>
                <w:rFonts w:ascii="Calibri" w:hAnsi="Calibri"/>
                <w:sz w:val="20"/>
                <w:szCs w:val="20"/>
              </w:rPr>
              <w:t>77,773,086.63</w:t>
            </w:r>
          </w:p>
        </w:tc>
      </w:tr>
      <w:tr w14:paraId="41A18E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BA064C9">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固定资产</w:t>
            </w:r>
          </w:p>
        </w:tc>
        <w:tc>
          <w:tcPr>
            <w:tcW w:w="1133" w:type="dxa"/>
            <w:tcBorders>
              <w:top w:val="outset" w:color="auto" w:sz="6" w:space="0"/>
              <w:left w:val="outset" w:color="auto" w:sz="6" w:space="0"/>
              <w:bottom w:val="outset" w:color="auto" w:sz="6" w:space="0"/>
              <w:right w:val="outset" w:color="auto" w:sz="6" w:space="0"/>
            </w:tcBorders>
            <w:vAlign w:val="center"/>
          </w:tcPr>
          <w:p w14:paraId="3C034FE5">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1680B9E">
            <w:pPr>
              <w:jc w:val="right"/>
              <w:rPr>
                <w:rFonts w:ascii="Calibri" w:hAnsi="Calibri"/>
                <w:sz w:val="20"/>
                <w:szCs w:val="20"/>
              </w:rPr>
            </w:pPr>
            <w:r>
              <w:rPr>
                <w:rFonts w:ascii="Calibri" w:hAnsi="Calibri"/>
                <w:sz w:val="20"/>
                <w:szCs w:val="20"/>
              </w:rPr>
              <w:t>2,295,920,205.83</w:t>
            </w:r>
          </w:p>
        </w:tc>
        <w:tc>
          <w:tcPr>
            <w:tcW w:w="2411" w:type="dxa"/>
            <w:tcBorders>
              <w:top w:val="outset" w:color="auto" w:sz="6" w:space="0"/>
              <w:left w:val="outset" w:color="auto" w:sz="6" w:space="0"/>
              <w:bottom w:val="outset" w:color="auto" w:sz="6" w:space="0"/>
              <w:right w:val="outset" w:color="auto" w:sz="6" w:space="0"/>
            </w:tcBorders>
            <w:vAlign w:val="center"/>
          </w:tcPr>
          <w:p w14:paraId="616B86A9">
            <w:pPr>
              <w:jc w:val="right"/>
              <w:rPr>
                <w:rFonts w:ascii="Calibri" w:hAnsi="Calibri"/>
                <w:sz w:val="20"/>
                <w:szCs w:val="20"/>
              </w:rPr>
            </w:pPr>
            <w:r>
              <w:rPr>
                <w:rFonts w:ascii="Calibri" w:hAnsi="Calibri"/>
                <w:sz w:val="20"/>
                <w:szCs w:val="20"/>
              </w:rPr>
              <w:t>2,456,755,096.45</w:t>
            </w:r>
          </w:p>
        </w:tc>
      </w:tr>
      <w:tr w14:paraId="3103ED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58C3A3A">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在建工程</w:t>
            </w:r>
          </w:p>
        </w:tc>
        <w:tc>
          <w:tcPr>
            <w:tcW w:w="1133" w:type="dxa"/>
            <w:tcBorders>
              <w:top w:val="outset" w:color="auto" w:sz="6" w:space="0"/>
              <w:left w:val="outset" w:color="auto" w:sz="6" w:space="0"/>
              <w:bottom w:val="outset" w:color="auto" w:sz="6" w:space="0"/>
              <w:right w:val="outset" w:color="auto" w:sz="6" w:space="0"/>
            </w:tcBorders>
            <w:vAlign w:val="center"/>
          </w:tcPr>
          <w:p w14:paraId="2844E46C">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5BA36BF">
            <w:pPr>
              <w:jc w:val="right"/>
              <w:rPr>
                <w:rFonts w:ascii="Calibri" w:hAnsi="Calibri"/>
                <w:sz w:val="20"/>
                <w:szCs w:val="20"/>
              </w:rPr>
            </w:pPr>
            <w:r>
              <w:rPr>
                <w:rFonts w:ascii="Calibri" w:hAnsi="Calibri"/>
                <w:sz w:val="20"/>
                <w:szCs w:val="20"/>
              </w:rPr>
              <w:t>169,504,027.65</w:t>
            </w:r>
          </w:p>
        </w:tc>
        <w:tc>
          <w:tcPr>
            <w:tcW w:w="2411" w:type="dxa"/>
            <w:tcBorders>
              <w:top w:val="outset" w:color="auto" w:sz="6" w:space="0"/>
              <w:left w:val="outset" w:color="auto" w:sz="6" w:space="0"/>
              <w:bottom w:val="outset" w:color="auto" w:sz="6" w:space="0"/>
              <w:right w:val="outset" w:color="auto" w:sz="6" w:space="0"/>
            </w:tcBorders>
            <w:vAlign w:val="center"/>
          </w:tcPr>
          <w:p w14:paraId="6B82DA2C">
            <w:pPr>
              <w:jc w:val="right"/>
              <w:rPr>
                <w:rFonts w:ascii="Calibri" w:hAnsi="Calibri"/>
                <w:sz w:val="20"/>
                <w:szCs w:val="20"/>
              </w:rPr>
            </w:pPr>
            <w:r>
              <w:rPr>
                <w:rFonts w:ascii="Calibri" w:hAnsi="Calibri"/>
                <w:sz w:val="20"/>
                <w:szCs w:val="20"/>
              </w:rPr>
              <w:t>226,112,962.99</w:t>
            </w:r>
          </w:p>
        </w:tc>
      </w:tr>
      <w:tr w14:paraId="45E26B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B1EFAC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生产性生物资产</w:t>
            </w:r>
          </w:p>
        </w:tc>
        <w:tc>
          <w:tcPr>
            <w:tcW w:w="1133" w:type="dxa"/>
            <w:tcBorders>
              <w:top w:val="outset" w:color="auto" w:sz="6" w:space="0"/>
              <w:left w:val="outset" w:color="auto" w:sz="6" w:space="0"/>
              <w:bottom w:val="outset" w:color="auto" w:sz="6" w:space="0"/>
              <w:right w:val="outset" w:color="auto" w:sz="6" w:space="0"/>
            </w:tcBorders>
            <w:vAlign w:val="center"/>
          </w:tcPr>
          <w:p w14:paraId="1E04FE48">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B026E99">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650E3B0">
            <w:pPr>
              <w:jc w:val="right"/>
              <w:rPr>
                <w:rFonts w:ascii="Calibri" w:hAnsi="Calibri"/>
                <w:sz w:val="20"/>
                <w:szCs w:val="20"/>
              </w:rPr>
            </w:pPr>
          </w:p>
        </w:tc>
      </w:tr>
      <w:tr w14:paraId="29E234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C857FE5">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油气资产</w:t>
            </w:r>
          </w:p>
        </w:tc>
        <w:tc>
          <w:tcPr>
            <w:tcW w:w="1133" w:type="dxa"/>
            <w:tcBorders>
              <w:top w:val="outset" w:color="auto" w:sz="6" w:space="0"/>
              <w:left w:val="outset" w:color="auto" w:sz="6" w:space="0"/>
              <w:bottom w:val="outset" w:color="auto" w:sz="6" w:space="0"/>
              <w:right w:val="outset" w:color="auto" w:sz="6" w:space="0"/>
            </w:tcBorders>
            <w:vAlign w:val="center"/>
          </w:tcPr>
          <w:p w14:paraId="7809C139">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29B333D5">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5547E406">
            <w:pPr>
              <w:jc w:val="right"/>
              <w:rPr>
                <w:rFonts w:ascii="Calibri" w:hAnsi="Calibri"/>
                <w:sz w:val="20"/>
                <w:szCs w:val="20"/>
              </w:rPr>
            </w:pPr>
          </w:p>
        </w:tc>
      </w:tr>
      <w:tr w14:paraId="0C7022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96A351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使用权资产</w:t>
            </w:r>
          </w:p>
        </w:tc>
        <w:tc>
          <w:tcPr>
            <w:tcW w:w="1133" w:type="dxa"/>
            <w:tcBorders>
              <w:top w:val="outset" w:color="auto" w:sz="6" w:space="0"/>
              <w:left w:val="outset" w:color="auto" w:sz="6" w:space="0"/>
              <w:bottom w:val="outset" w:color="auto" w:sz="6" w:space="0"/>
              <w:right w:val="outset" w:color="auto" w:sz="6" w:space="0"/>
            </w:tcBorders>
            <w:vAlign w:val="center"/>
          </w:tcPr>
          <w:p w14:paraId="5A5A5E90">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C7EC327">
            <w:pPr>
              <w:jc w:val="right"/>
              <w:rPr>
                <w:rFonts w:ascii="Calibri" w:hAnsi="Calibri"/>
                <w:sz w:val="20"/>
                <w:szCs w:val="20"/>
              </w:rPr>
            </w:pPr>
            <w:r>
              <w:rPr>
                <w:rFonts w:ascii="Calibri" w:hAnsi="Calibri"/>
                <w:sz w:val="20"/>
                <w:szCs w:val="20"/>
              </w:rPr>
              <w:t>5,331,269.31</w:t>
            </w:r>
          </w:p>
        </w:tc>
        <w:tc>
          <w:tcPr>
            <w:tcW w:w="2411" w:type="dxa"/>
            <w:tcBorders>
              <w:top w:val="outset" w:color="auto" w:sz="6" w:space="0"/>
              <w:left w:val="outset" w:color="auto" w:sz="6" w:space="0"/>
              <w:bottom w:val="outset" w:color="auto" w:sz="6" w:space="0"/>
              <w:right w:val="outset" w:color="auto" w:sz="6" w:space="0"/>
            </w:tcBorders>
            <w:vAlign w:val="center"/>
          </w:tcPr>
          <w:p w14:paraId="5A5CDDAC">
            <w:pPr>
              <w:jc w:val="right"/>
              <w:rPr>
                <w:rFonts w:ascii="Calibri" w:hAnsi="Calibri"/>
                <w:sz w:val="20"/>
                <w:szCs w:val="20"/>
              </w:rPr>
            </w:pPr>
          </w:p>
        </w:tc>
      </w:tr>
      <w:tr w14:paraId="75B395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0D19C7B2">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无形资产</w:t>
            </w:r>
          </w:p>
        </w:tc>
        <w:tc>
          <w:tcPr>
            <w:tcW w:w="1133" w:type="dxa"/>
            <w:tcBorders>
              <w:top w:val="outset" w:color="auto" w:sz="6" w:space="0"/>
              <w:left w:val="outset" w:color="auto" w:sz="6" w:space="0"/>
              <w:bottom w:val="outset" w:color="auto" w:sz="6" w:space="0"/>
              <w:right w:val="outset" w:color="auto" w:sz="6" w:space="0"/>
            </w:tcBorders>
            <w:vAlign w:val="center"/>
          </w:tcPr>
          <w:p w14:paraId="00F62207">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47E9ADB">
            <w:pPr>
              <w:jc w:val="right"/>
              <w:rPr>
                <w:rFonts w:ascii="Calibri" w:hAnsi="Calibri"/>
                <w:sz w:val="20"/>
                <w:szCs w:val="20"/>
              </w:rPr>
            </w:pPr>
            <w:r>
              <w:rPr>
                <w:rFonts w:ascii="Calibri" w:hAnsi="Calibri"/>
                <w:sz w:val="20"/>
                <w:szCs w:val="20"/>
              </w:rPr>
              <w:t>545,894,355.92</w:t>
            </w:r>
          </w:p>
        </w:tc>
        <w:tc>
          <w:tcPr>
            <w:tcW w:w="2411" w:type="dxa"/>
            <w:tcBorders>
              <w:top w:val="outset" w:color="auto" w:sz="6" w:space="0"/>
              <w:left w:val="outset" w:color="auto" w:sz="6" w:space="0"/>
              <w:bottom w:val="outset" w:color="auto" w:sz="6" w:space="0"/>
              <w:right w:val="outset" w:color="auto" w:sz="6" w:space="0"/>
            </w:tcBorders>
            <w:vAlign w:val="center"/>
          </w:tcPr>
          <w:p w14:paraId="4BA588FD">
            <w:pPr>
              <w:jc w:val="right"/>
              <w:rPr>
                <w:rFonts w:ascii="Calibri" w:hAnsi="Calibri"/>
                <w:sz w:val="20"/>
                <w:szCs w:val="20"/>
              </w:rPr>
            </w:pPr>
            <w:r>
              <w:rPr>
                <w:rFonts w:ascii="Calibri" w:hAnsi="Calibri"/>
                <w:sz w:val="20"/>
                <w:szCs w:val="20"/>
              </w:rPr>
              <w:t>593,969,101.34</w:t>
            </w:r>
          </w:p>
        </w:tc>
      </w:tr>
      <w:tr w14:paraId="23F8DE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10A49FB">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开发支出</w:t>
            </w:r>
          </w:p>
        </w:tc>
        <w:tc>
          <w:tcPr>
            <w:tcW w:w="1133" w:type="dxa"/>
            <w:tcBorders>
              <w:top w:val="outset" w:color="auto" w:sz="6" w:space="0"/>
              <w:left w:val="outset" w:color="auto" w:sz="6" w:space="0"/>
              <w:bottom w:val="outset" w:color="auto" w:sz="6" w:space="0"/>
              <w:right w:val="outset" w:color="auto" w:sz="6" w:space="0"/>
            </w:tcBorders>
            <w:vAlign w:val="center"/>
          </w:tcPr>
          <w:p w14:paraId="1423BA91">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E2286A9">
            <w:pPr>
              <w:jc w:val="right"/>
              <w:rPr>
                <w:rFonts w:ascii="Calibri" w:hAnsi="Calibri"/>
                <w:sz w:val="20"/>
                <w:szCs w:val="20"/>
              </w:rPr>
            </w:pPr>
            <w:r>
              <w:rPr>
                <w:rFonts w:ascii="Calibri" w:hAnsi="Calibri"/>
                <w:sz w:val="20"/>
                <w:szCs w:val="20"/>
              </w:rPr>
              <w:t>1,323,612,506.52</w:t>
            </w:r>
          </w:p>
        </w:tc>
        <w:tc>
          <w:tcPr>
            <w:tcW w:w="2411" w:type="dxa"/>
            <w:tcBorders>
              <w:top w:val="outset" w:color="auto" w:sz="6" w:space="0"/>
              <w:left w:val="outset" w:color="auto" w:sz="6" w:space="0"/>
              <w:bottom w:val="outset" w:color="auto" w:sz="6" w:space="0"/>
              <w:right w:val="outset" w:color="auto" w:sz="6" w:space="0"/>
            </w:tcBorders>
            <w:vAlign w:val="center"/>
          </w:tcPr>
          <w:p w14:paraId="6DC230D7">
            <w:pPr>
              <w:jc w:val="right"/>
              <w:rPr>
                <w:rFonts w:ascii="Calibri" w:hAnsi="Calibri"/>
                <w:sz w:val="20"/>
                <w:szCs w:val="20"/>
              </w:rPr>
            </w:pPr>
            <w:r>
              <w:rPr>
                <w:rFonts w:ascii="Calibri" w:hAnsi="Calibri"/>
                <w:sz w:val="20"/>
                <w:szCs w:val="20"/>
              </w:rPr>
              <w:t>710,514,238.35</w:t>
            </w:r>
          </w:p>
        </w:tc>
      </w:tr>
      <w:tr w14:paraId="77DC07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BBB00F0">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商誉</w:t>
            </w:r>
          </w:p>
        </w:tc>
        <w:tc>
          <w:tcPr>
            <w:tcW w:w="1133" w:type="dxa"/>
            <w:tcBorders>
              <w:top w:val="outset" w:color="auto" w:sz="6" w:space="0"/>
              <w:left w:val="outset" w:color="auto" w:sz="6" w:space="0"/>
              <w:bottom w:val="outset" w:color="auto" w:sz="6" w:space="0"/>
              <w:right w:val="outset" w:color="auto" w:sz="6" w:space="0"/>
            </w:tcBorders>
            <w:vAlign w:val="center"/>
          </w:tcPr>
          <w:p w14:paraId="220631D7">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B5F488E">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CFC75E4">
            <w:pPr>
              <w:jc w:val="right"/>
              <w:rPr>
                <w:rFonts w:ascii="Calibri" w:hAnsi="Calibri"/>
                <w:sz w:val="20"/>
                <w:szCs w:val="20"/>
              </w:rPr>
            </w:pPr>
          </w:p>
        </w:tc>
      </w:tr>
      <w:tr w14:paraId="255AAE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912CDE3">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长期待摊费用</w:t>
            </w:r>
          </w:p>
        </w:tc>
        <w:tc>
          <w:tcPr>
            <w:tcW w:w="1133" w:type="dxa"/>
            <w:tcBorders>
              <w:top w:val="outset" w:color="auto" w:sz="6" w:space="0"/>
              <w:left w:val="outset" w:color="auto" w:sz="6" w:space="0"/>
              <w:bottom w:val="outset" w:color="auto" w:sz="6" w:space="0"/>
              <w:right w:val="outset" w:color="auto" w:sz="6" w:space="0"/>
            </w:tcBorders>
            <w:vAlign w:val="center"/>
          </w:tcPr>
          <w:p w14:paraId="1FC988A5">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65205FB">
            <w:pPr>
              <w:jc w:val="right"/>
              <w:rPr>
                <w:rFonts w:ascii="Calibri" w:hAnsi="Calibri"/>
                <w:sz w:val="20"/>
                <w:szCs w:val="20"/>
              </w:rPr>
            </w:pPr>
            <w:r>
              <w:rPr>
                <w:rFonts w:ascii="Calibri" w:hAnsi="Calibri"/>
                <w:sz w:val="20"/>
                <w:szCs w:val="20"/>
              </w:rPr>
              <w:t>52,282,361.15</w:t>
            </w:r>
          </w:p>
        </w:tc>
        <w:tc>
          <w:tcPr>
            <w:tcW w:w="2411" w:type="dxa"/>
            <w:tcBorders>
              <w:top w:val="outset" w:color="auto" w:sz="6" w:space="0"/>
              <w:left w:val="outset" w:color="auto" w:sz="6" w:space="0"/>
              <w:bottom w:val="outset" w:color="auto" w:sz="6" w:space="0"/>
              <w:right w:val="outset" w:color="auto" w:sz="6" w:space="0"/>
            </w:tcBorders>
            <w:vAlign w:val="center"/>
          </w:tcPr>
          <w:p w14:paraId="4117B51D">
            <w:pPr>
              <w:jc w:val="right"/>
              <w:rPr>
                <w:rFonts w:ascii="Calibri" w:hAnsi="Calibri"/>
                <w:sz w:val="20"/>
                <w:szCs w:val="20"/>
              </w:rPr>
            </w:pPr>
            <w:r>
              <w:rPr>
                <w:rFonts w:ascii="Calibri" w:hAnsi="Calibri"/>
                <w:sz w:val="20"/>
                <w:szCs w:val="20"/>
              </w:rPr>
              <w:t>25,647,373.85</w:t>
            </w:r>
          </w:p>
        </w:tc>
      </w:tr>
      <w:tr w14:paraId="36E9D7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C2B39E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递延所得税资产</w:t>
            </w:r>
          </w:p>
        </w:tc>
        <w:tc>
          <w:tcPr>
            <w:tcW w:w="1133" w:type="dxa"/>
            <w:tcBorders>
              <w:top w:val="outset" w:color="auto" w:sz="6" w:space="0"/>
              <w:left w:val="outset" w:color="auto" w:sz="6" w:space="0"/>
              <w:bottom w:val="outset" w:color="auto" w:sz="6" w:space="0"/>
              <w:right w:val="outset" w:color="auto" w:sz="6" w:space="0"/>
            </w:tcBorders>
            <w:vAlign w:val="center"/>
          </w:tcPr>
          <w:p w14:paraId="63DADEFC">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64FA7FBB">
            <w:pPr>
              <w:jc w:val="right"/>
              <w:rPr>
                <w:rFonts w:ascii="Calibri" w:hAnsi="Calibri"/>
                <w:sz w:val="20"/>
                <w:szCs w:val="20"/>
              </w:rPr>
            </w:pPr>
            <w:r>
              <w:rPr>
                <w:rFonts w:ascii="Calibri" w:hAnsi="Calibri"/>
                <w:sz w:val="20"/>
                <w:szCs w:val="20"/>
              </w:rPr>
              <w:t>24,880,990.05</w:t>
            </w:r>
          </w:p>
        </w:tc>
        <w:tc>
          <w:tcPr>
            <w:tcW w:w="2411" w:type="dxa"/>
            <w:tcBorders>
              <w:top w:val="outset" w:color="auto" w:sz="6" w:space="0"/>
              <w:left w:val="outset" w:color="auto" w:sz="6" w:space="0"/>
              <w:bottom w:val="outset" w:color="auto" w:sz="6" w:space="0"/>
              <w:right w:val="outset" w:color="auto" w:sz="6" w:space="0"/>
            </w:tcBorders>
            <w:vAlign w:val="center"/>
          </w:tcPr>
          <w:p w14:paraId="44E4A7B8">
            <w:pPr>
              <w:jc w:val="right"/>
              <w:rPr>
                <w:rFonts w:ascii="Calibri" w:hAnsi="Calibri"/>
                <w:sz w:val="20"/>
                <w:szCs w:val="20"/>
              </w:rPr>
            </w:pPr>
            <w:r>
              <w:rPr>
                <w:rFonts w:ascii="Calibri" w:hAnsi="Calibri"/>
                <w:sz w:val="20"/>
                <w:szCs w:val="20"/>
              </w:rPr>
              <w:t>122,792,735.52</w:t>
            </w:r>
          </w:p>
        </w:tc>
      </w:tr>
      <w:tr w14:paraId="49991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5C15D2A">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其他非流动资产</w:t>
            </w:r>
          </w:p>
        </w:tc>
        <w:tc>
          <w:tcPr>
            <w:tcW w:w="1133" w:type="dxa"/>
            <w:tcBorders>
              <w:top w:val="outset" w:color="auto" w:sz="6" w:space="0"/>
              <w:left w:val="outset" w:color="auto" w:sz="6" w:space="0"/>
              <w:bottom w:val="outset" w:color="auto" w:sz="6" w:space="0"/>
              <w:right w:val="outset" w:color="auto" w:sz="6" w:space="0"/>
            </w:tcBorders>
            <w:vAlign w:val="center"/>
          </w:tcPr>
          <w:p w14:paraId="46055695">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26144CED">
            <w:pPr>
              <w:jc w:val="right"/>
              <w:rPr>
                <w:rFonts w:ascii="Calibri" w:hAnsi="Calibri"/>
                <w:sz w:val="20"/>
                <w:szCs w:val="20"/>
              </w:rPr>
            </w:pPr>
            <w:r>
              <w:rPr>
                <w:rFonts w:ascii="Calibri" w:hAnsi="Calibri"/>
                <w:sz w:val="20"/>
                <w:szCs w:val="20"/>
              </w:rPr>
              <w:t>200,547,487.70</w:t>
            </w:r>
          </w:p>
        </w:tc>
        <w:tc>
          <w:tcPr>
            <w:tcW w:w="2411" w:type="dxa"/>
            <w:tcBorders>
              <w:top w:val="outset" w:color="auto" w:sz="6" w:space="0"/>
              <w:left w:val="outset" w:color="auto" w:sz="6" w:space="0"/>
              <w:bottom w:val="outset" w:color="auto" w:sz="6" w:space="0"/>
              <w:right w:val="outset" w:color="auto" w:sz="6" w:space="0"/>
            </w:tcBorders>
            <w:vAlign w:val="center"/>
          </w:tcPr>
          <w:p w14:paraId="57B9588B">
            <w:pPr>
              <w:jc w:val="right"/>
              <w:rPr>
                <w:rFonts w:ascii="Calibri" w:hAnsi="Calibri"/>
                <w:sz w:val="20"/>
                <w:szCs w:val="20"/>
              </w:rPr>
            </w:pPr>
            <w:r>
              <w:rPr>
                <w:rFonts w:ascii="Calibri" w:hAnsi="Calibri"/>
                <w:sz w:val="20"/>
                <w:szCs w:val="20"/>
              </w:rPr>
              <w:t>171,672,804.49</w:t>
            </w:r>
          </w:p>
        </w:tc>
      </w:tr>
      <w:tr w14:paraId="49A077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22A0343">
            <w:pPr>
              <w:ind w:firstLine="400" w:firstLineChars="2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非流动资产合计</w:t>
            </w:r>
          </w:p>
        </w:tc>
        <w:tc>
          <w:tcPr>
            <w:tcW w:w="1133" w:type="dxa"/>
            <w:tcBorders>
              <w:top w:val="outset" w:color="auto" w:sz="6" w:space="0"/>
              <w:left w:val="outset" w:color="auto" w:sz="6" w:space="0"/>
              <w:bottom w:val="outset" w:color="auto" w:sz="6" w:space="0"/>
              <w:right w:val="outset" w:color="auto" w:sz="6" w:space="0"/>
            </w:tcBorders>
            <w:vAlign w:val="center"/>
          </w:tcPr>
          <w:p w14:paraId="19D9C181">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0DE60C7">
            <w:pPr>
              <w:jc w:val="right"/>
              <w:rPr>
                <w:rFonts w:ascii="Calibri" w:hAnsi="Calibri"/>
                <w:sz w:val="20"/>
                <w:szCs w:val="20"/>
              </w:rPr>
            </w:pPr>
            <w:r>
              <w:rPr>
                <w:rFonts w:ascii="Calibri" w:hAnsi="Calibri"/>
                <w:sz w:val="20"/>
                <w:szCs w:val="20"/>
              </w:rPr>
              <w:t>5,633,923,748.37</w:t>
            </w:r>
          </w:p>
        </w:tc>
        <w:tc>
          <w:tcPr>
            <w:tcW w:w="2411" w:type="dxa"/>
            <w:tcBorders>
              <w:top w:val="outset" w:color="auto" w:sz="6" w:space="0"/>
              <w:left w:val="outset" w:color="auto" w:sz="6" w:space="0"/>
              <w:bottom w:val="outset" w:color="auto" w:sz="6" w:space="0"/>
              <w:right w:val="outset" w:color="auto" w:sz="6" w:space="0"/>
            </w:tcBorders>
            <w:vAlign w:val="center"/>
          </w:tcPr>
          <w:p w14:paraId="6C5856E2">
            <w:pPr>
              <w:jc w:val="right"/>
              <w:rPr>
                <w:rFonts w:ascii="Calibri" w:hAnsi="Calibri"/>
                <w:sz w:val="20"/>
                <w:szCs w:val="20"/>
              </w:rPr>
            </w:pPr>
            <w:r>
              <w:rPr>
                <w:rFonts w:ascii="Calibri" w:hAnsi="Calibri"/>
                <w:sz w:val="20"/>
                <w:szCs w:val="20"/>
              </w:rPr>
              <w:t>5,382,928,301.42</w:t>
            </w:r>
          </w:p>
        </w:tc>
      </w:tr>
      <w:tr w14:paraId="1E8810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B947316">
            <w:pPr>
              <w:ind w:firstLine="600" w:firstLineChars="3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资产总计</w:t>
            </w:r>
          </w:p>
        </w:tc>
        <w:tc>
          <w:tcPr>
            <w:tcW w:w="1133" w:type="dxa"/>
            <w:tcBorders>
              <w:top w:val="outset" w:color="auto" w:sz="6" w:space="0"/>
              <w:left w:val="outset" w:color="auto" w:sz="6" w:space="0"/>
              <w:bottom w:val="outset" w:color="auto" w:sz="6" w:space="0"/>
              <w:right w:val="outset" w:color="auto" w:sz="6" w:space="0"/>
            </w:tcBorders>
            <w:vAlign w:val="center"/>
          </w:tcPr>
          <w:p w14:paraId="0212F232">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0BC6277">
            <w:pPr>
              <w:jc w:val="right"/>
              <w:rPr>
                <w:rFonts w:ascii="Calibri" w:hAnsi="Calibri"/>
                <w:sz w:val="20"/>
                <w:szCs w:val="20"/>
              </w:rPr>
            </w:pPr>
            <w:r>
              <w:rPr>
                <w:rFonts w:ascii="Calibri" w:hAnsi="Calibri"/>
                <w:sz w:val="20"/>
                <w:szCs w:val="20"/>
              </w:rPr>
              <w:t>8,244,581,470.82</w:t>
            </w:r>
          </w:p>
        </w:tc>
        <w:tc>
          <w:tcPr>
            <w:tcW w:w="2411" w:type="dxa"/>
            <w:tcBorders>
              <w:top w:val="outset" w:color="auto" w:sz="6" w:space="0"/>
              <w:left w:val="outset" w:color="auto" w:sz="6" w:space="0"/>
              <w:bottom w:val="outset" w:color="auto" w:sz="6" w:space="0"/>
              <w:right w:val="outset" w:color="auto" w:sz="6" w:space="0"/>
            </w:tcBorders>
          </w:tcPr>
          <w:p w14:paraId="51C33003">
            <w:pPr>
              <w:jc w:val="right"/>
              <w:rPr>
                <w:rFonts w:ascii="Calibri" w:hAnsi="Calibri"/>
                <w:sz w:val="20"/>
                <w:szCs w:val="20"/>
              </w:rPr>
            </w:pPr>
            <w:r>
              <w:rPr>
                <w:rFonts w:ascii="Calibri" w:hAnsi="Calibri"/>
                <w:sz w:val="20"/>
                <w:szCs w:val="20"/>
              </w:rPr>
              <w:t>7,517,006,074.94</w:t>
            </w:r>
          </w:p>
        </w:tc>
      </w:tr>
      <w:tr w14:paraId="7376C4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c4382c3caa043de84ae1c13bc2ce793"/>
            <w:id w:val="-1720967445"/>
          </w:sdtPr>
          <w:sdtContent>
            <w:tc>
              <w:tcPr>
                <w:tcW w:w="9038" w:type="dxa"/>
                <w:gridSpan w:val="4"/>
                <w:tcBorders>
                  <w:top w:val="outset" w:color="auto" w:sz="6" w:space="0"/>
                  <w:left w:val="outset" w:color="auto" w:sz="6" w:space="0"/>
                  <w:bottom w:val="outset" w:color="auto" w:sz="6" w:space="0"/>
                  <w:right w:val="outset" w:color="auto" w:sz="6" w:space="0"/>
                </w:tcBorders>
                <w:vAlign w:val="center"/>
              </w:tcPr>
              <w:p w14:paraId="4494138C">
                <w:pPr>
                  <w:rPr>
                    <w:rFonts w:ascii="Calibri" w:hAnsi="Calibri"/>
                    <w:color w:val="000000" w:themeColor="text1"/>
                    <w:sz w:val="20"/>
                    <w:szCs w:val="20"/>
                    <w14:textFill>
                      <w14:solidFill>
                        <w14:schemeClr w14:val="tx1"/>
                      </w14:solidFill>
                    </w14:textFill>
                  </w:rPr>
                </w:pPr>
                <w:r>
                  <w:rPr>
                    <w:rFonts w:hint="eastAsia" w:ascii="Calibri" w:hAnsi="Calibri"/>
                    <w:b/>
                    <w:color w:val="000000" w:themeColor="text1"/>
                    <w:sz w:val="20"/>
                    <w:szCs w:val="20"/>
                    <w14:textFill>
                      <w14:solidFill>
                        <w14:schemeClr w14:val="tx1"/>
                      </w14:solidFill>
                    </w14:textFill>
                  </w:rPr>
                  <w:t>流动负债：</w:t>
                </w:r>
              </w:p>
            </w:tc>
          </w:sdtContent>
        </w:sdt>
      </w:tr>
      <w:tr w14:paraId="2D6458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FBB96E9">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短期借款</w:t>
            </w:r>
          </w:p>
        </w:tc>
        <w:tc>
          <w:tcPr>
            <w:tcW w:w="1133" w:type="dxa"/>
            <w:tcBorders>
              <w:top w:val="outset" w:color="auto" w:sz="6" w:space="0"/>
              <w:left w:val="outset" w:color="auto" w:sz="6" w:space="0"/>
              <w:bottom w:val="outset" w:color="auto" w:sz="6" w:space="0"/>
              <w:right w:val="outset" w:color="auto" w:sz="6" w:space="0"/>
            </w:tcBorders>
            <w:vAlign w:val="center"/>
          </w:tcPr>
          <w:p w14:paraId="70BE87CF">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79E2E5ED">
            <w:pPr>
              <w:jc w:val="right"/>
              <w:rPr>
                <w:rFonts w:ascii="Calibri" w:hAnsi="Calibri"/>
                <w:sz w:val="20"/>
                <w:szCs w:val="20"/>
              </w:rPr>
            </w:pPr>
            <w:r>
              <w:rPr>
                <w:rFonts w:ascii="Calibri" w:hAnsi="Calibri"/>
                <w:sz w:val="20"/>
                <w:szCs w:val="20"/>
              </w:rPr>
              <w:t>33,024,236.11</w:t>
            </w:r>
          </w:p>
        </w:tc>
        <w:tc>
          <w:tcPr>
            <w:tcW w:w="2411" w:type="dxa"/>
            <w:tcBorders>
              <w:top w:val="outset" w:color="auto" w:sz="6" w:space="0"/>
              <w:left w:val="outset" w:color="auto" w:sz="6" w:space="0"/>
              <w:bottom w:val="outset" w:color="auto" w:sz="6" w:space="0"/>
              <w:right w:val="outset" w:color="auto" w:sz="6" w:space="0"/>
            </w:tcBorders>
            <w:vAlign w:val="center"/>
          </w:tcPr>
          <w:p w14:paraId="214A51CF">
            <w:pPr>
              <w:jc w:val="right"/>
              <w:rPr>
                <w:rFonts w:ascii="Calibri" w:hAnsi="Calibri"/>
                <w:sz w:val="20"/>
                <w:szCs w:val="20"/>
              </w:rPr>
            </w:pPr>
            <w:r>
              <w:rPr>
                <w:rFonts w:ascii="Calibri" w:hAnsi="Calibri"/>
                <w:sz w:val="20"/>
                <w:szCs w:val="20"/>
              </w:rPr>
              <w:t>416,758,991.22</w:t>
            </w:r>
          </w:p>
        </w:tc>
      </w:tr>
      <w:tr w14:paraId="2580A9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1260BB5">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交易性金融负债</w:t>
            </w:r>
          </w:p>
        </w:tc>
        <w:tc>
          <w:tcPr>
            <w:tcW w:w="1133" w:type="dxa"/>
            <w:tcBorders>
              <w:top w:val="outset" w:color="auto" w:sz="6" w:space="0"/>
              <w:left w:val="outset" w:color="auto" w:sz="6" w:space="0"/>
              <w:bottom w:val="outset" w:color="auto" w:sz="6" w:space="0"/>
              <w:right w:val="outset" w:color="auto" w:sz="6" w:space="0"/>
            </w:tcBorders>
            <w:vAlign w:val="center"/>
          </w:tcPr>
          <w:p w14:paraId="592497B4">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745CBE2A">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0ADDCD9F">
            <w:pPr>
              <w:jc w:val="right"/>
              <w:rPr>
                <w:rFonts w:ascii="Calibri" w:hAnsi="Calibri"/>
                <w:sz w:val="20"/>
                <w:szCs w:val="20"/>
              </w:rPr>
            </w:pPr>
          </w:p>
        </w:tc>
      </w:tr>
      <w:tr w14:paraId="0C4C5F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FCBAE9B">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衍生金融负债</w:t>
            </w:r>
          </w:p>
        </w:tc>
        <w:tc>
          <w:tcPr>
            <w:tcW w:w="1133" w:type="dxa"/>
            <w:tcBorders>
              <w:top w:val="outset" w:color="auto" w:sz="6" w:space="0"/>
              <w:left w:val="outset" w:color="auto" w:sz="6" w:space="0"/>
              <w:bottom w:val="outset" w:color="auto" w:sz="6" w:space="0"/>
              <w:right w:val="outset" w:color="auto" w:sz="6" w:space="0"/>
            </w:tcBorders>
            <w:vAlign w:val="center"/>
          </w:tcPr>
          <w:p w14:paraId="1589B608">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3511BC1">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5B98C7EC">
            <w:pPr>
              <w:jc w:val="right"/>
              <w:rPr>
                <w:rFonts w:ascii="Calibri" w:hAnsi="Calibri"/>
                <w:sz w:val="20"/>
                <w:szCs w:val="20"/>
              </w:rPr>
            </w:pPr>
          </w:p>
        </w:tc>
      </w:tr>
      <w:tr w14:paraId="1A0738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745F3E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应付票据</w:t>
            </w:r>
          </w:p>
        </w:tc>
        <w:tc>
          <w:tcPr>
            <w:tcW w:w="1133" w:type="dxa"/>
            <w:tcBorders>
              <w:top w:val="outset" w:color="auto" w:sz="6" w:space="0"/>
              <w:left w:val="outset" w:color="auto" w:sz="6" w:space="0"/>
              <w:bottom w:val="outset" w:color="auto" w:sz="6" w:space="0"/>
              <w:right w:val="outset" w:color="auto" w:sz="6" w:space="0"/>
            </w:tcBorders>
            <w:vAlign w:val="center"/>
          </w:tcPr>
          <w:p w14:paraId="48483199">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F740434">
            <w:pPr>
              <w:jc w:val="right"/>
              <w:rPr>
                <w:rFonts w:ascii="Calibri" w:hAnsi="Calibri"/>
                <w:sz w:val="20"/>
                <w:szCs w:val="20"/>
              </w:rPr>
            </w:pPr>
            <w:r>
              <w:rPr>
                <w:rFonts w:ascii="Calibri" w:hAnsi="Calibri"/>
                <w:sz w:val="20"/>
                <w:szCs w:val="20"/>
              </w:rPr>
              <w:t>8,657,093.67</w:t>
            </w:r>
          </w:p>
        </w:tc>
        <w:tc>
          <w:tcPr>
            <w:tcW w:w="2411" w:type="dxa"/>
            <w:tcBorders>
              <w:top w:val="outset" w:color="auto" w:sz="6" w:space="0"/>
              <w:left w:val="outset" w:color="auto" w:sz="6" w:space="0"/>
              <w:bottom w:val="outset" w:color="auto" w:sz="6" w:space="0"/>
              <w:right w:val="outset" w:color="auto" w:sz="6" w:space="0"/>
            </w:tcBorders>
            <w:vAlign w:val="center"/>
          </w:tcPr>
          <w:p w14:paraId="2053D905">
            <w:pPr>
              <w:jc w:val="right"/>
              <w:rPr>
                <w:rFonts w:ascii="Calibri" w:hAnsi="Calibri"/>
                <w:sz w:val="20"/>
                <w:szCs w:val="20"/>
              </w:rPr>
            </w:pPr>
            <w:r>
              <w:rPr>
                <w:rFonts w:ascii="Calibri" w:hAnsi="Calibri"/>
                <w:sz w:val="20"/>
                <w:szCs w:val="20"/>
              </w:rPr>
              <w:t>10,000.00</w:t>
            </w:r>
          </w:p>
        </w:tc>
      </w:tr>
      <w:tr w14:paraId="224B6C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E7B41C5">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应付账款</w:t>
            </w:r>
          </w:p>
        </w:tc>
        <w:tc>
          <w:tcPr>
            <w:tcW w:w="1133" w:type="dxa"/>
            <w:tcBorders>
              <w:top w:val="outset" w:color="auto" w:sz="6" w:space="0"/>
              <w:left w:val="outset" w:color="auto" w:sz="6" w:space="0"/>
              <w:bottom w:val="outset" w:color="auto" w:sz="6" w:space="0"/>
              <w:right w:val="outset" w:color="auto" w:sz="6" w:space="0"/>
            </w:tcBorders>
            <w:vAlign w:val="center"/>
          </w:tcPr>
          <w:p w14:paraId="2D778E87">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2765885F">
            <w:pPr>
              <w:jc w:val="right"/>
              <w:rPr>
                <w:rFonts w:ascii="Calibri" w:hAnsi="Calibri"/>
                <w:sz w:val="20"/>
                <w:szCs w:val="20"/>
              </w:rPr>
            </w:pPr>
            <w:r>
              <w:rPr>
                <w:rFonts w:ascii="Calibri" w:hAnsi="Calibri"/>
                <w:sz w:val="20"/>
                <w:szCs w:val="20"/>
              </w:rPr>
              <w:t>63,257,571.39</w:t>
            </w:r>
          </w:p>
        </w:tc>
        <w:tc>
          <w:tcPr>
            <w:tcW w:w="2411" w:type="dxa"/>
            <w:tcBorders>
              <w:top w:val="outset" w:color="auto" w:sz="6" w:space="0"/>
              <w:left w:val="outset" w:color="auto" w:sz="6" w:space="0"/>
              <w:bottom w:val="outset" w:color="auto" w:sz="6" w:space="0"/>
              <w:right w:val="outset" w:color="auto" w:sz="6" w:space="0"/>
            </w:tcBorders>
            <w:vAlign w:val="center"/>
          </w:tcPr>
          <w:p w14:paraId="30836353">
            <w:pPr>
              <w:jc w:val="right"/>
              <w:rPr>
                <w:rFonts w:ascii="Calibri" w:hAnsi="Calibri"/>
                <w:sz w:val="20"/>
                <w:szCs w:val="20"/>
              </w:rPr>
            </w:pPr>
            <w:r>
              <w:rPr>
                <w:rFonts w:ascii="Calibri" w:hAnsi="Calibri"/>
                <w:sz w:val="20"/>
                <w:szCs w:val="20"/>
              </w:rPr>
              <w:t>64,141,567.00</w:t>
            </w:r>
          </w:p>
        </w:tc>
      </w:tr>
      <w:tr w14:paraId="1590D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3165DCE">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预收款项</w:t>
            </w:r>
          </w:p>
        </w:tc>
        <w:tc>
          <w:tcPr>
            <w:tcW w:w="1133" w:type="dxa"/>
            <w:tcBorders>
              <w:top w:val="outset" w:color="auto" w:sz="6" w:space="0"/>
              <w:left w:val="outset" w:color="auto" w:sz="6" w:space="0"/>
              <w:bottom w:val="outset" w:color="auto" w:sz="6" w:space="0"/>
              <w:right w:val="outset" w:color="auto" w:sz="6" w:space="0"/>
            </w:tcBorders>
            <w:vAlign w:val="center"/>
          </w:tcPr>
          <w:p w14:paraId="3699F63F">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26A459B">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018FD1B">
            <w:pPr>
              <w:jc w:val="right"/>
              <w:rPr>
                <w:rFonts w:ascii="Calibri" w:hAnsi="Calibri"/>
                <w:sz w:val="20"/>
                <w:szCs w:val="20"/>
              </w:rPr>
            </w:pPr>
          </w:p>
        </w:tc>
      </w:tr>
      <w:tr w14:paraId="2BB247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3E0E2A31">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合同负债</w:t>
            </w:r>
          </w:p>
        </w:tc>
        <w:tc>
          <w:tcPr>
            <w:tcW w:w="1133" w:type="dxa"/>
            <w:tcBorders>
              <w:top w:val="outset" w:color="auto" w:sz="6" w:space="0"/>
              <w:left w:val="outset" w:color="auto" w:sz="6" w:space="0"/>
              <w:bottom w:val="outset" w:color="auto" w:sz="6" w:space="0"/>
              <w:right w:val="outset" w:color="auto" w:sz="6" w:space="0"/>
            </w:tcBorders>
            <w:vAlign w:val="center"/>
          </w:tcPr>
          <w:p w14:paraId="65981210">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AB25D84">
            <w:pPr>
              <w:jc w:val="right"/>
              <w:rPr>
                <w:rFonts w:ascii="Calibri" w:hAnsi="Calibri"/>
                <w:sz w:val="20"/>
                <w:szCs w:val="20"/>
              </w:rPr>
            </w:pPr>
            <w:r>
              <w:rPr>
                <w:rFonts w:ascii="Calibri" w:hAnsi="Calibri"/>
                <w:sz w:val="20"/>
                <w:szCs w:val="20"/>
              </w:rPr>
              <w:t>3,681,623.80</w:t>
            </w:r>
          </w:p>
        </w:tc>
        <w:tc>
          <w:tcPr>
            <w:tcW w:w="2411" w:type="dxa"/>
            <w:tcBorders>
              <w:top w:val="outset" w:color="auto" w:sz="6" w:space="0"/>
              <w:left w:val="outset" w:color="auto" w:sz="6" w:space="0"/>
              <w:bottom w:val="outset" w:color="auto" w:sz="6" w:space="0"/>
              <w:right w:val="outset" w:color="auto" w:sz="6" w:space="0"/>
            </w:tcBorders>
            <w:vAlign w:val="center"/>
          </w:tcPr>
          <w:p w14:paraId="17A1AA8D">
            <w:pPr>
              <w:jc w:val="right"/>
              <w:rPr>
                <w:rFonts w:ascii="Calibri" w:hAnsi="Calibri"/>
                <w:sz w:val="20"/>
                <w:szCs w:val="20"/>
              </w:rPr>
            </w:pPr>
            <w:r>
              <w:rPr>
                <w:rFonts w:ascii="Calibri" w:hAnsi="Calibri"/>
                <w:sz w:val="20"/>
                <w:szCs w:val="20"/>
              </w:rPr>
              <w:t>14,113,910.29</w:t>
            </w:r>
          </w:p>
        </w:tc>
      </w:tr>
      <w:tr w14:paraId="708F44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8D826E1">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应付职工薪酬</w:t>
            </w:r>
          </w:p>
        </w:tc>
        <w:tc>
          <w:tcPr>
            <w:tcW w:w="1133" w:type="dxa"/>
            <w:tcBorders>
              <w:top w:val="outset" w:color="auto" w:sz="6" w:space="0"/>
              <w:left w:val="outset" w:color="auto" w:sz="6" w:space="0"/>
              <w:bottom w:val="outset" w:color="auto" w:sz="6" w:space="0"/>
              <w:right w:val="outset" w:color="auto" w:sz="6" w:space="0"/>
            </w:tcBorders>
            <w:vAlign w:val="center"/>
          </w:tcPr>
          <w:p w14:paraId="2A1EF558">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22E8757">
            <w:pPr>
              <w:jc w:val="right"/>
              <w:rPr>
                <w:rFonts w:ascii="Calibri" w:hAnsi="Calibri"/>
                <w:sz w:val="20"/>
                <w:szCs w:val="20"/>
              </w:rPr>
            </w:pPr>
            <w:r>
              <w:rPr>
                <w:rFonts w:ascii="Calibri" w:hAnsi="Calibri"/>
                <w:sz w:val="20"/>
                <w:szCs w:val="20"/>
              </w:rPr>
              <w:t>5,436,284.86</w:t>
            </w:r>
          </w:p>
        </w:tc>
        <w:tc>
          <w:tcPr>
            <w:tcW w:w="2411" w:type="dxa"/>
            <w:tcBorders>
              <w:top w:val="outset" w:color="auto" w:sz="6" w:space="0"/>
              <w:left w:val="outset" w:color="auto" w:sz="6" w:space="0"/>
              <w:bottom w:val="outset" w:color="auto" w:sz="6" w:space="0"/>
              <w:right w:val="outset" w:color="auto" w:sz="6" w:space="0"/>
            </w:tcBorders>
            <w:vAlign w:val="center"/>
          </w:tcPr>
          <w:p w14:paraId="11F00A5F">
            <w:pPr>
              <w:jc w:val="right"/>
              <w:rPr>
                <w:rFonts w:ascii="Calibri" w:hAnsi="Calibri"/>
                <w:sz w:val="20"/>
                <w:szCs w:val="20"/>
              </w:rPr>
            </w:pPr>
            <w:r>
              <w:rPr>
                <w:rFonts w:ascii="Calibri" w:hAnsi="Calibri"/>
                <w:sz w:val="20"/>
                <w:szCs w:val="20"/>
              </w:rPr>
              <w:t>1,502,704.65</w:t>
            </w:r>
          </w:p>
        </w:tc>
      </w:tr>
      <w:tr w14:paraId="069E8A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0A6D690C">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应交税费</w:t>
            </w:r>
          </w:p>
        </w:tc>
        <w:tc>
          <w:tcPr>
            <w:tcW w:w="1133" w:type="dxa"/>
            <w:tcBorders>
              <w:top w:val="outset" w:color="auto" w:sz="6" w:space="0"/>
              <w:left w:val="outset" w:color="auto" w:sz="6" w:space="0"/>
              <w:bottom w:val="outset" w:color="auto" w:sz="6" w:space="0"/>
              <w:right w:val="outset" w:color="auto" w:sz="6" w:space="0"/>
            </w:tcBorders>
            <w:vAlign w:val="center"/>
          </w:tcPr>
          <w:p w14:paraId="18B16A52">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7B5F67DA">
            <w:pPr>
              <w:jc w:val="right"/>
              <w:rPr>
                <w:rFonts w:ascii="Calibri" w:hAnsi="Calibri"/>
                <w:sz w:val="20"/>
                <w:szCs w:val="20"/>
              </w:rPr>
            </w:pPr>
            <w:r>
              <w:rPr>
                <w:rFonts w:ascii="Calibri" w:hAnsi="Calibri"/>
                <w:sz w:val="20"/>
                <w:szCs w:val="20"/>
              </w:rPr>
              <w:t>32,492,683.65</w:t>
            </w:r>
          </w:p>
        </w:tc>
        <w:tc>
          <w:tcPr>
            <w:tcW w:w="2411" w:type="dxa"/>
            <w:tcBorders>
              <w:top w:val="outset" w:color="auto" w:sz="6" w:space="0"/>
              <w:left w:val="outset" w:color="auto" w:sz="6" w:space="0"/>
              <w:bottom w:val="outset" w:color="auto" w:sz="6" w:space="0"/>
              <w:right w:val="outset" w:color="auto" w:sz="6" w:space="0"/>
            </w:tcBorders>
            <w:vAlign w:val="center"/>
          </w:tcPr>
          <w:p w14:paraId="7BC7F7A6">
            <w:pPr>
              <w:jc w:val="right"/>
              <w:rPr>
                <w:rFonts w:ascii="Calibri" w:hAnsi="Calibri"/>
                <w:sz w:val="20"/>
                <w:szCs w:val="20"/>
              </w:rPr>
            </w:pPr>
            <w:r>
              <w:rPr>
                <w:rFonts w:ascii="Calibri" w:hAnsi="Calibri"/>
                <w:sz w:val="20"/>
                <w:szCs w:val="20"/>
              </w:rPr>
              <w:t>52,553,468.53</w:t>
            </w:r>
          </w:p>
        </w:tc>
      </w:tr>
      <w:tr w14:paraId="585FD1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B74AC92">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其他应付款</w:t>
            </w:r>
          </w:p>
        </w:tc>
        <w:tc>
          <w:tcPr>
            <w:tcW w:w="1133" w:type="dxa"/>
            <w:tcBorders>
              <w:top w:val="outset" w:color="auto" w:sz="6" w:space="0"/>
              <w:left w:val="outset" w:color="auto" w:sz="6" w:space="0"/>
              <w:bottom w:val="outset" w:color="auto" w:sz="6" w:space="0"/>
              <w:right w:val="outset" w:color="auto" w:sz="6" w:space="0"/>
            </w:tcBorders>
            <w:vAlign w:val="center"/>
          </w:tcPr>
          <w:p w14:paraId="1A5C8209">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B089B9A">
            <w:pPr>
              <w:jc w:val="right"/>
              <w:rPr>
                <w:rFonts w:ascii="Calibri" w:hAnsi="Calibri"/>
                <w:sz w:val="20"/>
                <w:szCs w:val="20"/>
              </w:rPr>
            </w:pPr>
            <w:r>
              <w:rPr>
                <w:rFonts w:ascii="Calibri" w:hAnsi="Calibri"/>
                <w:sz w:val="20"/>
                <w:szCs w:val="20"/>
              </w:rPr>
              <w:t>124,598,628.27</w:t>
            </w:r>
          </w:p>
        </w:tc>
        <w:tc>
          <w:tcPr>
            <w:tcW w:w="2411" w:type="dxa"/>
            <w:tcBorders>
              <w:top w:val="outset" w:color="auto" w:sz="6" w:space="0"/>
              <w:left w:val="outset" w:color="auto" w:sz="6" w:space="0"/>
              <w:bottom w:val="outset" w:color="auto" w:sz="6" w:space="0"/>
              <w:right w:val="outset" w:color="auto" w:sz="6" w:space="0"/>
            </w:tcBorders>
            <w:vAlign w:val="center"/>
          </w:tcPr>
          <w:p w14:paraId="740B63A9">
            <w:pPr>
              <w:jc w:val="right"/>
              <w:rPr>
                <w:rFonts w:ascii="Calibri" w:hAnsi="Calibri"/>
                <w:sz w:val="20"/>
                <w:szCs w:val="20"/>
              </w:rPr>
            </w:pPr>
            <w:r>
              <w:rPr>
                <w:rFonts w:ascii="Calibri" w:hAnsi="Calibri"/>
                <w:sz w:val="20"/>
                <w:szCs w:val="20"/>
              </w:rPr>
              <w:t>73,513,706.83</w:t>
            </w:r>
          </w:p>
        </w:tc>
      </w:tr>
      <w:tr w14:paraId="66AF23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192C63F">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其中：应付利息</w:t>
            </w:r>
          </w:p>
        </w:tc>
        <w:tc>
          <w:tcPr>
            <w:tcW w:w="1133" w:type="dxa"/>
            <w:tcBorders>
              <w:top w:val="outset" w:color="auto" w:sz="6" w:space="0"/>
              <w:left w:val="outset" w:color="auto" w:sz="6" w:space="0"/>
              <w:bottom w:val="outset" w:color="auto" w:sz="6" w:space="0"/>
              <w:right w:val="outset" w:color="auto" w:sz="6" w:space="0"/>
            </w:tcBorders>
            <w:vAlign w:val="center"/>
          </w:tcPr>
          <w:p w14:paraId="4F9BD663">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2A1C88A">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62445383">
            <w:pPr>
              <w:jc w:val="right"/>
              <w:rPr>
                <w:rFonts w:ascii="Calibri" w:hAnsi="Calibri"/>
                <w:sz w:val="20"/>
                <w:szCs w:val="20"/>
              </w:rPr>
            </w:pPr>
          </w:p>
        </w:tc>
      </w:tr>
      <w:tr w14:paraId="37D467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5EACAC3">
            <w:pPr>
              <w:ind w:firstLine="800" w:firstLineChars="4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应付股利</w:t>
            </w:r>
          </w:p>
        </w:tc>
        <w:tc>
          <w:tcPr>
            <w:tcW w:w="1133" w:type="dxa"/>
            <w:tcBorders>
              <w:top w:val="outset" w:color="auto" w:sz="6" w:space="0"/>
              <w:left w:val="outset" w:color="auto" w:sz="6" w:space="0"/>
              <w:bottom w:val="outset" w:color="auto" w:sz="6" w:space="0"/>
              <w:right w:val="outset" w:color="auto" w:sz="6" w:space="0"/>
            </w:tcBorders>
            <w:vAlign w:val="center"/>
          </w:tcPr>
          <w:p w14:paraId="002F4E64">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BF7C611">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0E62C440">
            <w:pPr>
              <w:jc w:val="right"/>
              <w:rPr>
                <w:rFonts w:ascii="Calibri" w:hAnsi="Calibri"/>
                <w:sz w:val="20"/>
                <w:szCs w:val="20"/>
              </w:rPr>
            </w:pPr>
          </w:p>
        </w:tc>
      </w:tr>
      <w:tr w14:paraId="4F7892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759FEB0">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持有待售负债</w:t>
            </w:r>
          </w:p>
        </w:tc>
        <w:tc>
          <w:tcPr>
            <w:tcW w:w="1133" w:type="dxa"/>
            <w:tcBorders>
              <w:top w:val="outset" w:color="auto" w:sz="6" w:space="0"/>
              <w:left w:val="outset" w:color="auto" w:sz="6" w:space="0"/>
              <w:bottom w:val="outset" w:color="auto" w:sz="6" w:space="0"/>
              <w:right w:val="outset" w:color="auto" w:sz="6" w:space="0"/>
            </w:tcBorders>
            <w:vAlign w:val="center"/>
          </w:tcPr>
          <w:p w14:paraId="26F61830">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721BCDA">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EF26A9A">
            <w:pPr>
              <w:jc w:val="right"/>
              <w:rPr>
                <w:rFonts w:ascii="Calibri" w:hAnsi="Calibri"/>
                <w:sz w:val="20"/>
                <w:szCs w:val="20"/>
              </w:rPr>
            </w:pPr>
          </w:p>
        </w:tc>
      </w:tr>
      <w:tr w14:paraId="388DC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DAB57A3">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一年内到期的非流动负债</w:t>
            </w:r>
          </w:p>
        </w:tc>
        <w:tc>
          <w:tcPr>
            <w:tcW w:w="1133" w:type="dxa"/>
            <w:tcBorders>
              <w:top w:val="outset" w:color="auto" w:sz="6" w:space="0"/>
              <w:left w:val="outset" w:color="auto" w:sz="6" w:space="0"/>
              <w:bottom w:val="outset" w:color="auto" w:sz="6" w:space="0"/>
              <w:right w:val="outset" w:color="auto" w:sz="6" w:space="0"/>
            </w:tcBorders>
            <w:vAlign w:val="center"/>
          </w:tcPr>
          <w:p w14:paraId="7201F14B">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EA7298E">
            <w:pPr>
              <w:jc w:val="right"/>
              <w:rPr>
                <w:rFonts w:ascii="Calibri" w:hAnsi="Calibri"/>
                <w:sz w:val="20"/>
                <w:szCs w:val="20"/>
              </w:rPr>
            </w:pPr>
            <w:r>
              <w:rPr>
                <w:rFonts w:ascii="Calibri" w:hAnsi="Calibri"/>
                <w:sz w:val="20"/>
                <w:szCs w:val="20"/>
              </w:rPr>
              <w:t>268,924,882.81</w:t>
            </w:r>
          </w:p>
        </w:tc>
        <w:tc>
          <w:tcPr>
            <w:tcW w:w="2411" w:type="dxa"/>
            <w:tcBorders>
              <w:top w:val="outset" w:color="auto" w:sz="6" w:space="0"/>
              <w:left w:val="outset" w:color="auto" w:sz="6" w:space="0"/>
              <w:bottom w:val="outset" w:color="auto" w:sz="6" w:space="0"/>
              <w:right w:val="outset" w:color="auto" w:sz="6" w:space="0"/>
            </w:tcBorders>
            <w:vAlign w:val="center"/>
          </w:tcPr>
          <w:p w14:paraId="67A61BA5">
            <w:pPr>
              <w:jc w:val="right"/>
              <w:rPr>
                <w:rFonts w:ascii="Calibri" w:hAnsi="Calibri"/>
                <w:sz w:val="20"/>
                <w:szCs w:val="20"/>
              </w:rPr>
            </w:pPr>
          </w:p>
        </w:tc>
      </w:tr>
      <w:tr w14:paraId="09CB17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F2B06D2">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其他流动负债</w:t>
            </w:r>
          </w:p>
        </w:tc>
        <w:tc>
          <w:tcPr>
            <w:tcW w:w="1133" w:type="dxa"/>
            <w:tcBorders>
              <w:top w:val="outset" w:color="auto" w:sz="6" w:space="0"/>
              <w:left w:val="outset" w:color="auto" w:sz="6" w:space="0"/>
              <w:bottom w:val="outset" w:color="auto" w:sz="6" w:space="0"/>
              <w:right w:val="outset" w:color="auto" w:sz="6" w:space="0"/>
            </w:tcBorders>
            <w:vAlign w:val="center"/>
          </w:tcPr>
          <w:p w14:paraId="4036C307">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280D4C05">
            <w:pPr>
              <w:jc w:val="right"/>
              <w:rPr>
                <w:rFonts w:ascii="Calibri" w:hAnsi="Calibri"/>
                <w:sz w:val="20"/>
                <w:szCs w:val="20"/>
              </w:rPr>
            </w:pPr>
            <w:r>
              <w:rPr>
                <w:rFonts w:ascii="Calibri" w:hAnsi="Calibri"/>
                <w:sz w:val="20"/>
                <w:szCs w:val="20"/>
              </w:rPr>
              <w:t>9,955,619.89</w:t>
            </w:r>
          </w:p>
        </w:tc>
        <w:tc>
          <w:tcPr>
            <w:tcW w:w="2411" w:type="dxa"/>
            <w:tcBorders>
              <w:top w:val="outset" w:color="auto" w:sz="6" w:space="0"/>
              <w:left w:val="outset" w:color="auto" w:sz="6" w:space="0"/>
              <w:bottom w:val="outset" w:color="auto" w:sz="6" w:space="0"/>
              <w:right w:val="outset" w:color="auto" w:sz="6" w:space="0"/>
            </w:tcBorders>
          </w:tcPr>
          <w:p w14:paraId="61E1A7F9">
            <w:pPr>
              <w:jc w:val="right"/>
              <w:rPr>
                <w:rFonts w:ascii="Calibri" w:hAnsi="Calibri"/>
                <w:sz w:val="20"/>
                <w:szCs w:val="20"/>
              </w:rPr>
            </w:pPr>
            <w:r>
              <w:rPr>
                <w:rFonts w:ascii="Calibri" w:hAnsi="Calibri"/>
                <w:sz w:val="20"/>
                <w:szCs w:val="20"/>
              </w:rPr>
              <w:t>2,606,506.37</w:t>
            </w:r>
          </w:p>
        </w:tc>
      </w:tr>
      <w:tr w14:paraId="3F7D84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657FCB2">
            <w:pPr>
              <w:ind w:firstLine="400" w:firstLineChars="2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流动负债合计</w:t>
            </w:r>
          </w:p>
        </w:tc>
        <w:tc>
          <w:tcPr>
            <w:tcW w:w="1133" w:type="dxa"/>
            <w:tcBorders>
              <w:top w:val="outset" w:color="auto" w:sz="6" w:space="0"/>
              <w:left w:val="outset" w:color="auto" w:sz="6" w:space="0"/>
              <w:bottom w:val="outset" w:color="auto" w:sz="6" w:space="0"/>
              <w:right w:val="outset" w:color="auto" w:sz="6" w:space="0"/>
            </w:tcBorders>
            <w:vAlign w:val="center"/>
          </w:tcPr>
          <w:p w14:paraId="7BF664B3">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B9EFF7F">
            <w:pPr>
              <w:jc w:val="right"/>
              <w:rPr>
                <w:rFonts w:ascii="Calibri" w:hAnsi="Calibri"/>
                <w:sz w:val="20"/>
                <w:szCs w:val="20"/>
              </w:rPr>
            </w:pPr>
            <w:r>
              <w:rPr>
                <w:rFonts w:ascii="Calibri" w:hAnsi="Calibri"/>
                <w:sz w:val="20"/>
                <w:szCs w:val="20"/>
              </w:rPr>
              <w:t>550,028,624.45</w:t>
            </w:r>
          </w:p>
        </w:tc>
        <w:tc>
          <w:tcPr>
            <w:tcW w:w="2411" w:type="dxa"/>
            <w:tcBorders>
              <w:top w:val="outset" w:color="auto" w:sz="6" w:space="0"/>
              <w:left w:val="outset" w:color="auto" w:sz="6" w:space="0"/>
              <w:bottom w:val="outset" w:color="auto" w:sz="6" w:space="0"/>
              <w:right w:val="outset" w:color="auto" w:sz="6" w:space="0"/>
            </w:tcBorders>
          </w:tcPr>
          <w:p w14:paraId="618815BF">
            <w:pPr>
              <w:jc w:val="right"/>
              <w:rPr>
                <w:rFonts w:ascii="Calibri" w:hAnsi="Calibri"/>
                <w:sz w:val="20"/>
                <w:szCs w:val="20"/>
              </w:rPr>
            </w:pPr>
            <w:r>
              <w:rPr>
                <w:rFonts w:ascii="Calibri" w:hAnsi="Calibri"/>
                <w:sz w:val="20"/>
                <w:szCs w:val="20"/>
              </w:rPr>
              <w:t>625,200,854.89</w:t>
            </w:r>
          </w:p>
        </w:tc>
      </w:tr>
      <w:tr w14:paraId="257063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6b3279b94864dce855f778a549d0817"/>
            <w:id w:val="1675231307"/>
          </w:sdtPr>
          <w:sdtContent>
            <w:tc>
              <w:tcPr>
                <w:tcW w:w="9038" w:type="dxa"/>
                <w:gridSpan w:val="4"/>
                <w:tcBorders>
                  <w:top w:val="outset" w:color="auto" w:sz="6" w:space="0"/>
                  <w:left w:val="outset" w:color="auto" w:sz="6" w:space="0"/>
                  <w:bottom w:val="outset" w:color="auto" w:sz="6" w:space="0"/>
                  <w:right w:val="outset" w:color="auto" w:sz="6" w:space="0"/>
                </w:tcBorders>
                <w:vAlign w:val="center"/>
              </w:tcPr>
              <w:p w14:paraId="5C873F82">
                <w:pPr>
                  <w:rPr>
                    <w:rFonts w:ascii="Calibri" w:hAnsi="Calibri"/>
                    <w:color w:val="000000" w:themeColor="text1"/>
                    <w:sz w:val="20"/>
                    <w:szCs w:val="20"/>
                    <w14:textFill>
                      <w14:solidFill>
                        <w14:schemeClr w14:val="tx1"/>
                      </w14:solidFill>
                    </w14:textFill>
                  </w:rPr>
                </w:pPr>
                <w:r>
                  <w:rPr>
                    <w:rFonts w:hint="eastAsia" w:ascii="Calibri" w:hAnsi="Calibri"/>
                    <w:b/>
                    <w:color w:val="000000" w:themeColor="text1"/>
                    <w:sz w:val="20"/>
                    <w:szCs w:val="20"/>
                    <w14:textFill>
                      <w14:solidFill>
                        <w14:schemeClr w14:val="tx1"/>
                      </w14:solidFill>
                    </w14:textFill>
                  </w:rPr>
                  <w:t>非流动负债：</w:t>
                </w:r>
              </w:p>
            </w:tc>
          </w:sdtContent>
        </w:sdt>
      </w:tr>
      <w:tr w14:paraId="43B9E1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8D18630">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长期借款</w:t>
            </w:r>
          </w:p>
        </w:tc>
        <w:tc>
          <w:tcPr>
            <w:tcW w:w="1133" w:type="dxa"/>
            <w:tcBorders>
              <w:top w:val="outset" w:color="auto" w:sz="6" w:space="0"/>
              <w:left w:val="outset" w:color="auto" w:sz="6" w:space="0"/>
              <w:bottom w:val="outset" w:color="auto" w:sz="6" w:space="0"/>
              <w:right w:val="outset" w:color="auto" w:sz="6" w:space="0"/>
            </w:tcBorders>
            <w:vAlign w:val="center"/>
          </w:tcPr>
          <w:p w14:paraId="0C4DC850">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5B1D6D2">
            <w:pPr>
              <w:jc w:val="right"/>
              <w:rPr>
                <w:rFonts w:ascii="Calibri" w:hAnsi="Calibri"/>
                <w:sz w:val="20"/>
                <w:szCs w:val="20"/>
              </w:rPr>
            </w:pPr>
            <w:r>
              <w:rPr>
                <w:rFonts w:ascii="Calibri" w:hAnsi="Calibri"/>
                <w:sz w:val="20"/>
                <w:szCs w:val="20"/>
              </w:rPr>
              <w:t>192,190,000.00</w:t>
            </w:r>
          </w:p>
        </w:tc>
        <w:tc>
          <w:tcPr>
            <w:tcW w:w="2411" w:type="dxa"/>
            <w:tcBorders>
              <w:top w:val="outset" w:color="auto" w:sz="6" w:space="0"/>
              <w:left w:val="outset" w:color="auto" w:sz="6" w:space="0"/>
              <w:bottom w:val="outset" w:color="auto" w:sz="6" w:space="0"/>
              <w:right w:val="outset" w:color="auto" w:sz="6" w:space="0"/>
            </w:tcBorders>
            <w:vAlign w:val="center"/>
          </w:tcPr>
          <w:p w14:paraId="41AADE31">
            <w:pPr>
              <w:jc w:val="right"/>
              <w:rPr>
                <w:rFonts w:ascii="Calibri" w:hAnsi="Calibri"/>
                <w:sz w:val="20"/>
                <w:szCs w:val="20"/>
              </w:rPr>
            </w:pPr>
            <w:r>
              <w:rPr>
                <w:rFonts w:ascii="Calibri" w:hAnsi="Calibri"/>
                <w:sz w:val="20"/>
                <w:szCs w:val="20"/>
              </w:rPr>
              <w:t>253,490,000.00</w:t>
            </w:r>
          </w:p>
        </w:tc>
      </w:tr>
      <w:tr w14:paraId="5402C7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D90F829">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应付债券</w:t>
            </w:r>
          </w:p>
        </w:tc>
        <w:tc>
          <w:tcPr>
            <w:tcW w:w="1133" w:type="dxa"/>
            <w:tcBorders>
              <w:top w:val="outset" w:color="auto" w:sz="6" w:space="0"/>
              <w:left w:val="outset" w:color="auto" w:sz="6" w:space="0"/>
              <w:bottom w:val="outset" w:color="auto" w:sz="6" w:space="0"/>
              <w:right w:val="outset" w:color="auto" w:sz="6" w:space="0"/>
            </w:tcBorders>
            <w:vAlign w:val="center"/>
          </w:tcPr>
          <w:p w14:paraId="0A17D72D">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6998B7D0">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086B1DE4">
            <w:pPr>
              <w:jc w:val="right"/>
              <w:rPr>
                <w:rFonts w:ascii="Calibri" w:hAnsi="Calibri"/>
                <w:sz w:val="20"/>
                <w:szCs w:val="20"/>
              </w:rPr>
            </w:pPr>
          </w:p>
        </w:tc>
      </w:tr>
      <w:tr w14:paraId="001C21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0EA1783">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其中：优先股</w:t>
            </w:r>
          </w:p>
        </w:tc>
        <w:tc>
          <w:tcPr>
            <w:tcW w:w="1133" w:type="dxa"/>
            <w:tcBorders>
              <w:top w:val="outset" w:color="auto" w:sz="6" w:space="0"/>
              <w:left w:val="outset" w:color="auto" w:sz="6" w:space="0"/>
              <w:bottom w:val="outset" w:color="auto" w:sz="6" w:space="0"/>
              <w:right w:val="outset" w:color="auto" w:sz="6" w:space="0"/>
            </w:tcBorders>
            <w:vAlign w:val="center"/>
          </w:tcPr>
          <w:p w14:paraId="53618A57">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92DA3AD">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675D4F1">
            <w:pPr>
              <w:jc w:val="right"/>
              <w:rPr>
                <w:rFonts w:ascii="Calibri" w:hAnsi="Calibri"/>
                <w:sz w:val="20"/>
                <w:szCs w:val="20"/>
              </w:rPr>
            </w:pPr>
          </w:p>
        </w:tc>
      </w:tr>
      <w:tr w14:paraId="4AED3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86B9ADB">
            <w:pPr>
              <w:ind w:left="630" w:leftChars="300"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永续债</w:t>
            </w:r>
          </w:p>
        </w:tc>
        <w:tc>
          <w:tcPr>
            <w:tcW w:w="1133" w:type="dxa"/>
            <w:tcBorders>
              <w:top w:val="outset" w:color="auto" w:sz="6" w:space="0"/>
              <w:left w:val="outset" w:color="auto" w:sz="6" w:space="0"/>
              <w:bottom w:val="outset" w:color="auto" w:sz="6" w:space="0"/>
              <w:right w:val="outset" w:color="auto" w:sz="6" w:space="0"/>
            </w:tcBorders>
            <w:vAlign w:val="center"/>
          </w:tcPr>
          <w:p w14:paraId="10955B85">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F9640FE">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29A5A9A5">
            <w:pPr>
              <w:jc w:val="right"/>
              <w:rPr>
                <w:rFonts w:ascii="Calibri" w:hAnsi="Calibri"/>
                <w:sz w:val="20"/>
                <w:szCs w:val="20"/>
              </w:rPr>
            </w:pPr>
          </w:p>
        </w:tc>
      </w:tr>
      <w:tr w14:paraId="3AE74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B728A55">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租赁负债</w:t>
            </w:r>
          </w:p>
        </w:tc>
        <w:tc>
          <w:tcPr>
            <w:tcW w:w="1133" w:type="dxa"/>
            <w:tcBorders>
              <w:top w:val="outset" w:color="auto" w:sz="6" w:space="0"/>
              <w:left w:val="outset" w:color="auto" w:sz="6" w:space="0"/>
              <w:bottom w:val="outset" w:color="auto" w:sz="6" w:space="0"/>
              <w:right w:val="outset" w:color="auto" w:sz="6" w:space="0"/>
            </w:tcBorders>
            <w:vAlign w:val="center"/>
          </w:tcPr>
          <w:p w14:paraId="47244C16">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F92ADB5">
            <w:pPr>
              <w:jc w:val="right"/>
              <w:rPr>
                <w:rFonts w:ascii="Calibri" w:hAnsi="Calibri"/>
                <w:sz w:val="20"/>
                <w:szCs w:val="20"/>
              </w:rPr>
            </w:pPr>
            <w:r>
              <w:rPr>
                <w:rFonts w:ascii="Calibri" w:hAnsi="Calibri"/>
                <w:sz w:val="20"/>
                <w:szCs w:val="20"/>
              </w:rPr>
              <w:t>3,394,640.48</w:t>
            </w:r>
          </w:p>
        </w:tc>
        <w:tc>
          <w:tcPr>
            <w:tcW w:w="2411" w:type="dxa"/>
            <w:tcBorders>
              <w:top w:val="outset" w:color="auto" w:sz="6" w:space="0"/>
              <w:left w:val="outset" w:color="auto" w:sz="6" w:space="0"/>
              <w:bottom w:val="outset" w:color="auto" w:sz="6" w:space="0"/>
              <w:right w:val="outset" w:color="auto" w:sz="6" w:space="0"/>
            </w:tcBorders>
            <w:vAlign w:val="center"/>
          </w:tcPr>
          <w:p w14:paraId="19203047">
            <w:pPr>
              <w:jc w:val="right"/>
              <w:rPr>
                <w:rFonts w:ascii="Calibri" w:hAnsi="Calibri"/>
                <w:sz w:val="20"/>
                <w:szCs w:val="20"/>
              </w:rPr>
            </w:pPr>
          </w:p>
        </w:tc>
      </w:tr>
      <w:tr w14:paraId="431AAA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04E7AE11">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长期应付款</w:t>
            </w:r>
          </w:p>
        </w:tc>
        <w:tc>
          <w:tcPr>
            <w:tcW w:w="1133" w:type="dxa"/>
            <w:tcBorders>
              <w:top w:val="outset" w:color="auto" w:sz="6" w:space="0"/>
              <w:left w:val="outset" w:color="auto" w:sz="6" w:space="0"/>
              <w:bottom w:val="outset" w:color="auto" w:sz="6" w:space="0"/>
              <w:right w:val="outset" w:color="auto" w:sz="6" w:space="0"/>
            </w:tcBorders>
            <w:vAlign w:val="center"/>
          </w:tcPr>
          <w:p w14:paraId="61E23671">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9DE5644">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626C3016">
            <w:pPr>
              <w:jc w:val="right"/>
              <w:rPr>
                <w:rFonts w:ascii="Calibri" w:hAnsi="Calibri"/>
                <w:sz w:val="20"/>
                <w:szCs w:val="20"/>
              </w:rPr>
            </w:pPr>
          </w:p>
        </w:tc>
      </w:tr>
      <w:tr w14:paraId="0A5970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843AC01">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长期应付职工薪酬</w:t>
            </w:r>
          </w:p>
        </w:tc>
        <w:tc>
          <w:tcPr>
            <w:tcW w:w="1133" w:type="dxa"/>
            <w:tcBorders>
              <w:top w:val="outset" w:color="auto" w:sz="6" w:space="0"/>
              <w:left w:val="outset" w:color="auto" w:sz="6" w:space="0"/>
              <w:bottom w:val="outset" w:color="auto" w:sz="6" w:space="0"/>
              <w:right w:val="outset" w:color="auto" w:sz="6" w:space="0"/>
            </w:tcBorders>
            <w:vAlign w:val="center"/>
          </w:tcPr>
          <w:p w14:paraId="54A175EE">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6A58E2B">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57B8DE43">
            <w:pPr>
              <w:jc w:val="right"/>
              <w:rPr>
                <w:rFonts w:ascii="Calibri" w:hAnsi="Calibri"/>
                <w:sz w:val="20"/>
                <w:szCs w:val="20"/>
              </w:rPr>
            </w:pPr>
          </w:p>
        </w:tc>
      </w:tr>
      <w:tr w14:paraId="5C0005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FF943F6">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预计负债</w:t>
            </w:r>
          </w:p>
        </w:tc>
        <w:tc>
          <w:tcPr>
            <w:tcW w:w="1133" w:type="dxa"/>
            <w:tcBorders>
              <w:top w:val="outset" w:color="auto" w:sz="6" w:space="0"/>
              <w:left w:val="outset" w:color="auto" w:sz="6" w:space="0"/>
              <w:bottom w:val="outset" w:color="auto" w:sz="6" w:space="0"/>
              <w:right w:val="outset" w:color="auto" w:sz="6" w:space="0"/>
            </w:tcBorders>
            <w:vAlign w:val="center"/>
          </w:tcPr>
          <w:p w14:paraId="7D77F593">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649693A1">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167A4E6C">
            <w:pPr>
              <w:jc w:val="right"/>
              <w:rPr>
                <w:rFonts w:ascii="Calibri" w:hAnsi="Calibri"/>
                <w:sz w:val="20"/>
                <w:szCs w:val="20"/>
              </w:rPr>
            </w:pPr>
          </w:p>
        </w:tc>
      </w:tr>
      <w:tr w14:paraId="77E7AE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57ED32D3">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递延收益</w:t>
            </w:r>
          </w:p>
        </w:tc>
        <w:tc>
          <w:tcPr>
            <w:tcW w:w="1133" w:type="dxa"/>
            <w:tcBorders>
              <w:top w:val="outset" w:color="auto" w:sz="6" w:space="0"/>
              <w:left w:val="outset" w:color="auto" w:sz="6" w:space="0"/>
              <w:bottom w:val="outset" w:color="auto" w:sz="6" w:space="0"/>
              <w:right w:val="outset" w:color="auto" w:sz="6" w:space="0"/>
            </w:tcBorders>
            <w:vAlign w:val="center"/>
          </w:tcPr>
          <w:p w14:paraId="3B3FFCB5">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12A79C2A">
            <w:pPr>
              <w:jc w:val="right"/>
              <w:rPr>
                <w:rFonts w:ascii="Calibri" w:hAnsi="Calibri"/>
                <w:sz w:val="20"/>
                <w:szCs w:val="20"/>
              </w:rPr>
            </w:pPr>
            <w:r>
              <w:rPr>
                <w:rFonts w:ascii="Calibri" w:hAnsi="Calibri"/>
                <w:sz w:val="20"/>
                <w:szCs w:val="20"/>
              </w:rPr>
              <w:t>28,408,640.79</w:t>
            </w:r>
          </w:p>
        </w:tc>
        <w:tc>
          <w:tcPr>
            <w:tcW w:w="2411" w:type="dxa"/>
            <w:tcBorders>
              <w:top w:val="outset" w:color="auto" w:sz="6" w:space="0"/>
              <w:left w:val="outset" w:color="auto" w:sz="6" w:space="0"/>
              <w:bottom w:val="outset" w:color="auto" w:sz="6" w:space="0"/>
              <w:right w:val="outset" w:color="auto" w:sz="6" w:space="0"/>
            </w:tcBorders>
            <w:vAlign w:val="center"/>
          </w:tcPr>
          <w:p w14:paraId="46BC9692">
            <w:pPr>
              <w:jc w:val="right"/>
              <w:rPr>
                <w:rFonts w:ascii="Calibri" w:hAnsi="Calibri"/>
                <w:sz w:val="20"/>
                <w:szCs w:val="20"/>
              </w:rPr>
            </w:pPr>
            <w:r>
              <w:rPr>
                <w:rFonts w:ascii="Calibri" w:hAnsi="Calibri"/>
                <w:sz w:val="20"/>
                <w:szCs w:val="20"/>
              </w:rPr>
              <w:t>27,655,981.71</w:t>
            </w:r>
          </w:p>
        </w:tc>
      </w:tr>
      <w:tr w14:paraId="3F408A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F5314A7">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递延所得税负债</w:t>
            </w:r>
          </w:p>
        </w:tc>
        <w:tc>
          <w:tcPr>
            <w:tcW w:w="1133" w:type="dxa"/>
            <w:tcBorders>
              <w:top w:val="outset" w:color="auto" w:sz="6" w:space="0"/>
              <w:left w:val="outset" w:color="auto" w:sz="6" w:space="0"/>
              <w:bottom w:val="outset" w:color="auto" w:sz="6" w:space="0"/>
              <w:right w:val="outset" w:color="auto" w:sz="6" w:space="0"/>
            </w:tcBorders>
            <w:vAlign w:val="center"/>
          </w:tcPr>
          <w:p w14:paraId="11BB1E46">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6C8AA95C">
            <w:pPr>
              <w:jc w:val="right"/>
              <w:rPr>
                <w:rFonts w:ascii="Calibri" w:hAnsi="Calibri"/>
                <w:sz w:val="20"/>
                <w:szCs w:val="20"/>
              </w:rPr>
            </w:pPr>
            <w:r>
              <w:rPr>
                <w:rFonts w:ascii="Calibri" w:hAnsi="Calibri"/>
                <w:sz w:val="20"/>
                <w:szCs w:val="20"/>
              </w:rPr>
              <w:t>7,339,836.81</w:t>
            </w:r>
          </w:p>
        </w:tc>
        <w:tc>
          <w:tcPr>
            <w:tcW w:w="2411" w:type="dxa"/>
            <w:tcBorders>
              <w:top w:val="outset" w:color="auto" w:sz="6" w:space="0"/>
              <w:left w:val="outset" w:color="auto" w:sz="6" w:space="0"/>
              <w:bottom w:val="outset" w:color="auto" w:sz="6" w:space="0"/>
              <w:right w:val="outset" w:color="auto" w:sz="6" w:space="0"/>
            </w:tcBorders>
            <w:vAlign w:val="center"/>
          </w:tcPr>
          <w:p w14:paraId="6952BA52">
            <w:pPr>
              <w:jc w:val="right"/>
              <w:rPr>
                <w:rFonts w:ascii="Calibri" w:hAnsi="Calibri"/>
                <w:sz w:val="20"/>
                <w:szCs w:val="20"/>
              </w:rPr>
            </w:pPr>
            <w:r>
              <w:rPr>
                <w:rFonts w:ascii="Calibri" w:hAnsi="Calibri"/>
                <w:sz w:val="20"/>
                <w:szCs w:val="20"/>
              </w:rPr>
              <w:t>7,156,846.51</w:t>
            </w:r>
          </w:p>
        </w:tc>
      </w:tr>
      <w:tr w14:paraId="4F46B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BA21CE3">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其他非流动负债</w:t>
            </w:r>
          </w:p>
        </w:tc>
        <w:tc>
          <w:tcPr>
            <w:tcW w:w="1133" w:type="dxa"/>
            <w:tcBorders>
              <w:top w:val="outset" w:color="auto" w:sz="6" w:space="0"/>
              <w:left w:val="outset" w:color="auto" w:sz="6" w:space="0"/>
              <w:bottom w:val="outset" w:color="auto" w:sz="6" w:space="0"/>
              <w:right w:val="outset" w:color="auto" w:sz="6" w:space="0"/>
            </w:tcBorders>
            <w:vAlign w:val="center"/>
          </w:tcPr>
          <w:p w14:paraId="20011115">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6B6AFA64">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73C16696">
            <w:pPr>
              <w:jc w:val="right"/>
              <w:rPr>
                <w:rFonts w:ascii="Calibri" w:hAnsi="Calibri"/>
                <w:sz w:val="20"/>
                <w:szCs w:val="20"/>
              </w:rPr>
            </w:pPr>
          </w:p>
        </w:tc>
      </w:tr>
      <w:tr w14:paraId="731A75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325AD539">
            <w:pPr>
              <w:ind w:firstLine="400" w:firstLineChars="2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非流动负债合计</w:t>
            </w:r>
          </w:p>
        </w:tc>
        <w:tc>
          <w:tcPr>
            <w:tcW w:w="1133" w:type="dxa"/>
            <w:tcBorders>
              <w:top w:val="outset" w:color="auto" w:sz="6" w:space="0"/>
              <w:left w:val="outset" w:color="auto" w:sz="6" w:space="0"/>
              <w:bottom w:val="outset" w:color="auto" w:sz="6" w:space="0"/>
              <w:right w:val="outset" w:color="auto" w:sz="6" w:space="0"/>
            </w:tcBorders>
            <w:vAlign w:val="center"/>
          </w:tcPr>
          <w:p w14:paraId="5A2D39AE">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C021B1B">
            <w:pPr>
              <w:jc w:val="right"/>
              <w:rPr>
                <w:rFonts w:ascii="Calibri" w:hAnsi="Calibri"/>
                <w:sz w:val="20"/>
                <w:szCs w:val="20"/>
              </w:rPr>
            </w:pPr>
            <w:r>
              <w:rPr>
                <w:rFonts w:ascii="Calibri" w:hAnsi="Calibri"/>
                <w:sz w:val="20"/>
                <w:szCs w:val="20"/>
              </w:rPr>
              <w:t>231,333,118.08</w:t>
            </w:r>
          </w:p>
        </w:tc>
        <w:tc>
          <w:tcPr>
            <w:tcW w:w="2411" w:type="dxa"/>
            <w:tcBorders>
              <w:top w:val="outset" w:color="auto" w:sz="6" w:space="0"/>
              <w:left w:val="outset" w:color="auto" w:sz="6" w:space="0"/>
              <w:bottom w:val="outset" w:color="auto" w:sz="6" w:space="0"/>
              <w:right w:val="outset" w:color="auto" w:sz="6" w:space="0"/>
            </w:tcBorders>
            <w:vAlign w:val="center"/>
          </w:tcPr>
          <w:p w14:paraId="71356EED">
            <w:pPr>
              <w:jc w:val="right"/>
              <w:rPr>
                <w:rFonts w:ascii="Calibri" w:hAnsi="Calibri"/>
                <w:sz w:val="20"/>
                <w:szCs w:val="20"/>
              </w:rPr>
            </w:pPr>
            <w:r>
              <w:rPr>
                <w:rFonts w:ascii="Calibri" w:hAnsi="Calibri"/>
                <w:sz w:val="20"/>
                <w:szCs w:val="20"/>
              </w:rPr>
              <w:t>288,302,828.22</w:t>
            </w:r>
          </w:p>
        </w:tc>
      </w:tr>
      <w:tr w14:paraId="0EB7A4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66A4939">
            <w:pPr>
              <w:ind w:firstLine="600" w:firstLineChars="3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负债合计</w:t>
            </w:r>
          </w:p>
        </w:tc>
        <w:tc>
          <w:tcPr>
            <w:tcW w:w="1133" w:type="dxa"/>
            <w:tcBorders>
              <w:top w:val="outset" w:color="auto" w:sz="6" w:space="0"/>
              <w:left w:val="outset" w:color="auto" w:sz="6" w:space="0"/>
              <w:bottom w:val="outset" w:color="auto" w:sz="6" w:space="0"/>
              <w:right w:val="outset" w:color="auto" w:sz="6" w:space="0"/>
            </w:tcBorders>
            <w:vAlign w:val="center"/>
          </w:tcPr>
          <w:p w14:paraId="0DC795D3">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6DF7E88A">
            <w:pPr>
              <w:jc w:val="right"/>
              <w:rPr>
                <w:rFonts w:ascii="Calibri" w:hAnsi="Calibri"/>
                <w:sz w:val="20"/>
                <w:szCs w:val="20"/>
              </w:rPr>
            </w:pPr>
            <w:r>
              <w:rPr>
                <w:rFonts w:ascii="Calibri" w:hAnsi="Calibri"/>
                <w:sz w:val="20"/>
                <w:szCs w:val="20"/>
              </w:rPr>
              <w:t>781,361,742.53</w:t>
            </w:r>
          </w:p>
        </w:tc>
        <w:tc>
          <w:tcPr>
            <w:tcW w:w="2411" w:type="dxa"/>
            <w:tcBorders>
              <w:top w:val="outset" w:color="auto" w:sz="6" w:space="0"/>
              <w:left w:val="outset" w:color="auto" w:sz="6" w:space="0"/>
              <w:bottom w:val="outset" w:color="auto" w:sz="6" w:space="0"/>
              <w:right w:val="outset" w:color="auto" w:sz="6" w:space="0"/>
            </w:tcBorders>
            <w:vAlign w:val="center"/>
          </w:tcPr>
          <w:p w14:paraId="0DEB5434">
            <w:pPr>
              <w:jc w:val="right"/>
              <w:rPr>
                <w:rFonts w:ascii="Calibri" w:hAnsi="Calibri"/>
                <w:sz w:val="20"/>
                <w:szCs w:val="20"/>
              </w:rPr>
            </w:pPr>
            <w:r>
              <w:rPr>
                <w:rFonts w:ascii="Calibri" w:hAnsi="Calibri"/>
                <w:sz w:val="20"/>
                <w:szCs w:val="20"/>
              </w:rPr>
              <w:t>913,503,683.11</w:t>
            </w:r>
          </w:p>
        </w:tc>
      </w:tr>
      <w:tr w14:paraId="7AA4D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b8d2554b6394d8daf706f571f2c850a"/>
            <w:id w:val="1985351507"/>
          </w:sdtPr>
          <w:sdtContent>
            <w:tc>
              <w:tcPr>
                <w:tcW w:w="9038" w:type="dxa"/>
                <w:gridSpan w:val="4"/>
                <w:tcBorders>
                  <w:top w:val="outset" w:color="auto" w:sz="6" w:space="0"/>
                  <w:left w:val="outset" w:color="auto" w:sz="6" w:space="0"/>
                  <w:bottom w:val="outset" w:color="auto" w:sz="6" w:space="0"/>
                  <w:right w:val="outset" w:color="auto" w:sz="6" w:space="0"/>
                </w:tcBorders>
                <w:vAlign w:val="center"/>
              </w:tcPr>
              <w:p w14:paraId="199DEBC4">
                <w:pPr>
                  <w:rPr>
                    <w:rFonts w:ascii="Calibri" w:hAnsi="Calibri"/>
                    <w:color w:val="000000" w:themeColor="text1"/>
                    <w:sz w:val="20"/>
                    <w:szCs w:val="20"/>
                    <w14:textFill>
                      <w14:solidFill>
                        <w14:schemeClr w14:val="tx1"/>
                      </w14:solidFill>
                    </w14:textFill>
                  </w:rPr>
                </w:pPr>
                <w:r>
                  <w:rPr>
                    <w:rFonts w:hint="eastAsia" w:ascii="Calibri" w:hAnsi="Calibri"/>
                    <w:b/>
                    <w:color w:val="000000" w:themeColor="text1"/>
                    <w:sz w:val="20"/>
                    <w:szCs w:val="20"/>
                    <w14:textFill>
                      <w14:solidFill>
                        <w14:schemeClr w14:val="tx1"/>
                      </w14:solidFill>
                    </w14:textFill>
                  </w:rPr>
                  <w:t>所有者权益（或股东权益）：</w:t>
                </w:r>
              </w:p>
            </w:tc>
          </w:sdtContent>
        </w:sdt>
      </w:tr>
      <w:tr w14:paraId="3A024B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AA2DE16">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实收资本（或股本）</w:t>
            </w:r>
          </w:p>
        </w:tc>
        <w:tc>
          <w:tcPr>
            <w:tcW w:w="1133" w:type="dxa"/>
            <w:tcBorders>
              <w:top w:val="outset" w:color="auto" w:sz="6" w:space="0"/>
              <w:left w:val="outset" w:color="auto" w:sz="6" w:space="0"/>
              <w:bottom w:val="outset" w:color="auto" w:sz="6" w:space="0"/>
              <w:right w:val="outset" w:color="auto" w:sz="6" w:space="0"/>
            </w:tcBorders>
            <w:vAlign w:val="center"/>
          </w:tcPr>
          <w:p w14:paraId="3D0A6B3A">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281928EF">
            <w:pPr>
              <w:jc w:val="right"/>
              <w:rPr>
                <w:rFonts w:ascii="Calibri" w:hAnsi="Calibri"/>
                <w:sz w:val="20"/>
                <w:szCs w:val="20"/>
              </w:rPr>
            </w:pPr>
            <w:r>
              <w:rPr>
                <w:rFonts w:ascii="Calibri" w:hAnsi="Calibri"/>
                <w:sz w:val="20"/>
                <w:szCs w:val="20"/>
              </w:rPr>
              <w:t>1,958,542,829.00</w:t>
            </w:r>
          </w:p>
        </w:tc>
        <w:tc>
          <w:tcPr>
            <w:tcW w:w="2411" w:type="dxa"/>
            <w:tcBorders>
              <w:top w:val="outset" w:color="auto" w:sz="6" w:space="0"/>
              <w:left w:val="outset" w:color="auto" w:sz="6" w:space="0"/>
              <w:bottom w:val="outset" w:color="auto" w:sz="6" w:space="0"/>
              <w:right w:val="outset" w:color="auto" w:sz="6" w:space="0"/>
            </w:tcBorders>
            <w:vAlign w:val="center"/>
          </w:tcPr>
          <w:p w14:paraId="25CFE8C6">
            <w:pPr>
              <w:jc w:val="right"/>
              <w:rPr>
                <w:rFonts w:ascii="Calibri" w:hAnsi="Calibri"/>
                <w:sz w:val="20"/>
                <w:szCs w:val="20"/>
              </w:rPr>
            </w:pPr>
            <w:r>
              <w:rPr>
                <w:rFonts w:ascii="Calibri" w:hAnsi="Calibri"/>
                <w:sz w:val="20"/>
                <w:szCs w:val="20"/>
              </w:rPr>
              <w:t>1,981,734,074.00</w:t>
            </w:r>
          </w:p>
        </w:tc>
      </w:tr>
      <w:tr w14:paraId="217957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564E9D3">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其他权益工具</w:t>
            </w:r>
          </w:p>
        </w:tc>
        <w:tc>
          <w:tcPr>
            <w:tcW w:w="1133" w:type="dxa"/>
            <w:tcBorders>
              <w:top w:val="outset" w:color="auto" w:sz="6" w:space="0"/>
              <w:left w:val="outset" w:color="auto" w:sz="6" w:space="0"/>
              <w:bottom w:val="outset" w:color="auto" w:sz="6" w:space="0"/>
              <w:right w:val="outset" w:color="auto" w:sz="6" w:space="0"/>
            </w:tcBorders>
            <w:vAlign w:val="center"/>
          </w:tcPr>
          <w:p w14:paraId="45F8F07B">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214CE0DE">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1EA57044">
            <w:pPr>
              <w:jc w:val="right"/>
              <w:rPr>
                <w:rFonts w:ascii="Calibri" w:hAnsi="Calibri"/>
                <w:sz w:val="20"/>
                <w:szCs w:val="20"/>
              </w:rPr>
            </w:pPr>
          </w:p>
        </w:tc>
      </w:tr>
      <w:tr w14:paraId="2D41C7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430D6D11">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其中：优先股</w:t>
            </w:r>
          </w:p>
        </w:tc>
        <w:tc>
          <w:tcPr>
            <w:tcW w:w="1133" w:type="dxa"/>
            <w:tcBorders>
              <w:top w:val="outset" w:color="auto" w:sz="6" w:space="0"/>
              <w:left w:val="outset" w:color="auto" w:sz="6" w:space="0"/>
              <w:bottom w:val="outset" w:color="auto" w:sz="6" w:space="0"/>
              <w:right w:val="outset" w:color="auto" w:sz="6" w:space="0"/>
            </w:tcBorders>
            <w:vAlign w:val="center"/>
          </w:tcPr>
          <w:p w14:paraId="238F8ED3">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EDE6C1A">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25F06BA3">
            <w:pPr>
              <w:jc w:val="right"/>
              <w:rPr>
                <w:rFonts w:ascii="Calibri" w:hAnsi="Calibri"/>
                <w:sz w:val="20"/>
                <w:szCs w:val="20"/>
              </w:rPr>
            </w:pPr>
          </w:p>
        </w:tc>
      </w:tr>
      <w:tr w14:paraId="5C9907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2F2E0CC">
            <w:pPr>
              <w:ind w:left="630" w:leftChars="300"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永续债</w:t>
            </w:r>
          </w:p>
        </w:tc>
        <w:tc>
          <w:tcPr>
            <w:tcW w:w="1133" w:type="dxa"/>
            <w:tcBorders>
              <w:top w:val="outset" w:color="auto" w:sz="6" w:space="0"/>
              <w:left w:val="outset" w:color="auto" w:sz="6" w:space="0"/>
              <w:bottom w:val="outset" w:color="auto" w:sz="6" w:space="0"/>
              <w:right w:val="outset" w:color="auto" w:sz="6" w:space="0"/>
            </w:tcBorders>
            <w:vAlign w:val="center"/>
          </w:tcPr>
          <w:p w14:paraId="14C3B1E3">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24E86A8">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076EC673">
            <w:pPr>
              <w:jc w:val="right"/>
              <w:rPr>
                <w:rFonts w:ascii="Calibri" w:hAnsi="Calibri"/>
                <w:sz w:val="20"/>
                <w:szCs w:val="20"/>
              </w:rPr>
            </w:pPr>
          </w:p>
        </w:tc>
      </w:tr>
      <w:tr w14:paraId="53D6D2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584B8A8">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资本公积</w:t>
            </w:r>
          </w:p>
        </w:tc>
        <w:tc>
          <w:tcPr>
            <w:tcW w:w="1133" w:type="dxa"/>
            <w:tcBorders>
              <w:top w:val="outset" w:color="auto" w:sz="6" w:space="0"/>
              <w:left w:val="outset" w:color="auto" w:sz="6" w:space="0"/>
              <w:bottom w:val="outset" w:color="auto" w:sz="6" w:space="0"/>
              <w:right w:val="outset" w:color="auto" w:sz="6" w:space="0"/>
            </w:tcBorders>
            <w:vAlign w:val="center"/>
          </w:tcPr>
          <w:p w14:paraId="2E598E62">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4C54F73">
            <w:pPr>
              <w:jc w:val="right"/>
              <w:rPr>
                <w:rFonts w:ascii="Calibri" w:hAnsi="Calibri"/>
                <w:sz w:val="20"/>
                <w:szCs w:val="20"/>
              </w:rPr>
            </w:pPr>
            <w:r>
              <w:rPr>
                <w:rFonts w:ascii="Calibri" w:hAnsi="Calibri"/>
                <w:sz w:val="20"/>
                <w:szCs w:val="20"/>
              </w:rPr>
              <w:t>259,627,638.40</w:t>
            </w:r>
          </w:p>
        </w:tc>
        <w:tc>
          <w:tcPr>
            <w:tcW w:w="2411" w:type="dxa"/>
            <w:tcBorders>
              <w:top w:val="outset" w:color="auto" w:sz="6" w:space="0"/>
              <w:left w:val="outset" w:color="auto" w:sz="6" w:space="0"/>
              <w:bottom w:val="outset" w:color="auto" w:sz="6" w:space="0"/>
              <w:right w:val="outset" w:color="auto" w:sz="6" w:space="0"/>
            </w:tcBorders>
            <w:vAlign w:val="center"/>
          </w:tcPr>
          <w:p w14:paraId="2977EAE2">
            <w:pPr>
              <w:jc w:val="right"/>
              <w:rPr>
                <w:rFonts w:ascii="Calibri" w:hAnsi="Calibri"/>
                <w:sz w:val="20"/>
                <w:szCs w:val="20"/>
              </w:rPr>
            </w:pPr>
            <w:r>
              <w:rPr>
                <w:rFonts w:ascii="Calibri" w:hAnsi="Calibri"/>
                <w:sz w:val="20"/>
                <w:szCs w:val="20"/>
              </w:rPr>
              <w:t>464,144,788.49</w:t>
            </w:r>
          </w:p>
        </w:tc>
      </w:tr>
      <w:tr w14:paraId="66496C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76A46031">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减：库存股</w:t>
            </w:r>
          </w:p>
        </w:tc>
        <w:tc>
          <w:tcPr>
            <w:tcW w:w="1133" w:type="dxa"/>
            <w:tcBorders>
              <w:top w:val="outset" w:color="auto" w:sz="6" w:space="0"/>
              <w:left w:val="outset" w:color="auto" w:sz="6" w:space="0"/>
              <w:bottom w:val="outset" w:color="auto" w:sz="6" w:space="0"/>
              <w:right w:val="outset" w:color="auto" w:sz="6" w:space="0"/>
            </w:tcBorders>
            <w:vAlign w:val="center"/>
          </w:tcPr>
          <w:p w14:paraId="73DE65E6">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EDB1B2E">
            <w:pPr>
              <w:jc w:val="right"/>
              <w:rPr>
                <w:rFonts w:ascii="Calibri" w:hAnsi="Calibri"/>
                <w:sz w:val="20"/>
                <w:szCs w:val="20"/>
              </w:rPr>
            </w:pPr>
            <w:r>
              <w:rPr>
                <w:rFonts w:ascii="Calibri" w:hAnsi="Calibri"/>
                <w:sz w:val="20"/>
                <w:szCs w:val="20"/>
              </w:rPr>
              <w:t>88,109,902.16</w:t>
            </w:r>
          </w:p>
        </w:tc>
        <w:tc>
          <w:tcPr>
            <w:tcW w:w="2411" w:type="dxa"/>
            <w:tcBorders>
              <w:top w:val="outset" w:color="auto" w:sz="6" w:space="0"/>
              <w:left w:val="outset" w:color="auto" w:sz="6" w:space="0"/>
              <w:bottom w:val="outset" w:color="auto" w:sz="6" w:space="0"/>
              <w:right w:val="outset" w:color="auto" w:sz="6" w:space="0"/>
            </w:tcBorders>
            <w:vAlign w:val="center"/>
          </w:tcPr>
          <w:p w14:paraId="45D1348D">
            <w:pPr>
              <w:jc w:val="right"/>
              <w:rPr>
                <w:rFonts w:ascii="Calibri" w:hAnsi="Calibri"/>
                <w:sz w:val="20"/>
                <w:szCs w:val="20"/>
              </w:rPr>
            </w:pPr>
            <w:r>
              <w:rPr>
                <w:rFonts w:ascii="Calibri" w:hAnsi="Calibri"/>
                <w:sz w:val="20"/>
                <w:szCs w:val="20"/>
              </w:rPr>
              <w:t>300,279,281.09</w:t>
            </w:r>
          </w:p>
        </w:tc>
      </w:tr>
      <w:tr w14:paraId="3156F0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944" w:type="dxa"/>
            <w:tcBorders>
              <w:top w:val="outset" w:color="auto" w:sz="6" w:space="0"/>
              <w:left w:val="outset" w:color="auto" w:sz="6" w:space="0"/>
              <w:bottom w:val="outset" w:color="auto" w:sz="6" w:space="0"/>
              <w:right w:val="outset" w:color="auto" w:sz="6" w:space="0"/>
            </w:tcBorders>
            <w:vAlign w:val="center"/>
          </w:tcPr>
          <w:p w14:paraId="42317CC9">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其他综合收益</w:t>
            </w:r>
          </w:p>
        </w:tc>
        <w:tc>
          <w:tcPr>
            <w:tcW w:w="1133" w:type="dxa"/>
            <w:tcBorders>
              <w:top w:val="outset" w:color="auto" w:sz="6" w:space="0"/>
              <w:left w:val="outset" w:color="auto" w:sz="6" w:space="0"/>
              <w:bottom w:val="outset" w:color="auto" w:sz="6" w:space="0"/>
              <w:right w:val="outset" w:color="auto" w:sz="6" w:space="0"/>
            </w:tcBorders>
            <w:vAlign w:val="center"/>
          </w:tcPr>
          <w:p w14:paraId="31575B91">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665B284E">
            <w:pPr>
              <w:jc w:val="right"/>
              <w:rPr>
                <w:rFonts w:ascii="Calibri" w:hAnsi="Calibri"/>
                <w:sz w:val="20"/>
                <w:szCs w:val="20"/>
              </w:rPr>
            </w:pPr>
            <w:r>
              <w:rPr>
                <w:rFonts w:ascii="Calibri" w:hAnsi="Calibri"/>
                <w:sz w:val="20"/>
                <w:szCs w:val="20"/>
              </w:rPr>
              <w:t>10,670,784.43</w:t>
            </w:r>
          </w:p>
        </w:tc>
        <w:tc>
          <w:tcPr>
            <w:tcW w:w="2411" w:type="dxa"/>
            <w:tcBorders>
              <w:top w:val="outset" w:color="auto" w:sz="6" w:space="0"/>
              <w:left w:val="outset" w:color="auto" w:sz="6" w:space="0"/>
              <w:bottom w:val="outset" w:color="auto" w:sz="6" w:space="0"/>
              <w:right w:val="outset" w:color="auto" w:sz="6" w:space="0"/>
            </w:tcBorders>
            <w:vAlign w:val="center"/>
          </w:tcPr>
          <w:p w14:paraId="4E9FE7C7">
            <w:pPr>
              <w:jc w:val="right"/>
              <w:rPr>
                <w:rFonts w:ascii="Calibri" w:hAnsi="Calibri"/>
                <w:sz w:val="20"/>
                <w:szCs w:val="20"/>
              </w:rPr>
            </w:pPr>
            <w:r>
              <w:rPr>
                <w:rFonts w:ascii="Calibri" w:hAnsi="Calibri"/>
                <w:sz w:val="20"/>
                <w:szCs w:val="20"/>
              </w:rPr>
              <w:t>6,910,223.58</w:t>
            </w:r>
          </w:p>
        </w:tc>
      </w:tr>
      <w:tr w14:paraId="1BCC88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16685667">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专项储备</w:t>
            </w:r>
          </w:p>
        </w:tc>
        <w:tc>
          <w:tcPr>
            <w:tcW w:w="1133" w:type="dxa"/>
            <w:tcBorders>
              <w:top w:val="outset" w:color="auto" w:sz="6" w:space="0"/>
              <w:left w:val="outset" w:color="auto" w:sz="6" w:space="0"/>
              <w:bottom w:val="outset" w:color="auto" w:sz="6" w:space="0"/>
              <w:right w:val="outset" w:color="auto" w:sz="6" w:space="0"/>
            </w:tcBorders>
            <w:vAlign w:val="center"/>
          </w:tcPr>
          <w:p w14:paraId="48C0A43E">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34BC7833">
            <w:pPr>
              <w:jc w:val="right"/>
              <w:rPr>
                <w:rFonts w:ascii="Calibri" w:hAnsi="Calibri"/>
                <w:sz w:val="20"/>
                <w:szCs w:val="20"/>
              </w:rPr>
            </w:pPr>
          </w:p>
        </w:tc>
        <w:tc>
          <w:tcPr>
            <w:tcW w:w="2411" w:type="dxa"/>
            <w:tcBorders>
              <w:top w:val="outset" w:color="auto" w:sz="6" w:space="0"/>
              <w:left w:val="outset" w:color="auto" w:sz="6" w:space="0"/>
              <w:bottom w:val="outset" w:color="auto" w:sz="6" w:space="0"/>
              <w:right w:val="outset" w:color="auto" w:sz="6" w:space="0"/>
            </w:tcBorders>
            <w:vAlign w:val="center"/>
          </w:tcPr>
          <w:p w14:paraId="58E01934">
            <w:pPr>
              <w:jc w:val="right"/>
              <w:rPr>
                <w:rFonts w:ascii="Calibri" w:hAnsi="Calibri"/>
                <w:sz w:val="20"/>
                <w:szCs w:val="20"/>
              </w:rPr>
            </w:pPr>
          </w:p>
        </w:tc>
      </w:tr>
      <w:tr w14:paraId="375E3E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603C5E68">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盈余公积</w:t>
            </w:r>
          </w:p>
        </w:tc>
        <w:tc>
          <w:tcPr>
            <w:tcW w:w="1133" w:type="dxa"/>
            <w:tcBorders>
              <w:top w:val="outset" w:color="auto" w:sz="6" w:space="0"/>
              <w:left w:val="outset" w:color="auto" w:sz="6" w:space="0"/>
              <w:bottom w:val="outset" w:color="auto" w:sz="6" w:space="0"/>
              <w:right w:val="outset" w:color="auto" w:sz="6" w:space="0"/>
            </w:tcBorders>
            <w:vAlign w:val="center"/>
          </w:tcPr>
          <w:p w14:paraId="694E3844">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4032BE00">
            <w:pPr>
              <w:jc w:val="right"/>
              <w:rPr>
                <w:rFonts w:ascii="Calibri" w:hAnsi="Calibri"/>
                <w:sz w:val="20"/>
                <w:szCs w:val="20"/>
              </w:rPr>
            </w:pPr>
            <w:r>
              <w:rPr>
                <w:rFonts w:ascii="Calibri" w:hAnsi="Calibri"/>
                <w:sz w:val="20"/>
                <w:szCs w:val="20"/>
              </w:rPr>
              <w:t>1,018,076,669.77</w:t>
            </w:r>
          </w:p>
        </w:tc>
        <w:tc>
          <w:tcPr>
            <w:tcW w:w="2411" w:type="dxa"/>
            <w:tcBorders>
              <w:top w:val="outset" w:color="auto" w:sz="6" w:space="0"/>
              <w:left w:val="outset" w:color="auto" w:sz="6" w:space="0"/>
              <w:bottom w:val="outset" w:color="auto" w:sz="6" w:space="0"/>
              <w:right w:val="outset" w:color="auto" w:sz="6" w:space="0"/>
            </w:tcBorders>
            <w:vAlign w:val="center"/>
          </w:tcPr>
          <w:p w14:paraId="26D291BB">
            <w:pPr>
              <w:jc w:val="right"/>
              <w:rPr>
                <w:rFonts w:ascii="Calibri" w:hAnsi="Calibri"/>
                <w:sz w:val="20"/>
                <w:szCs w:val="20"/>
              </w:rPr>
            </w:pPr>
            <w:r>
              <w:rPr>
                <w:rFonts w:ascii="Calibri" w:hAnsi="Calibri"/>
                <w:sz w:val="20"/>
                <w:szCs w:val="20"/>
              </w:rPr>
              <w:t>1,018,076,669.77</w:t>
            </w:r>
          </w:p>
        </w:tc>
      </w:tr>
      <w:tr w14:paraId="21069A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0634F68">
            <w:pPr>
              <w:ind w:firstLine="200" w:firstLineChars="1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未分配利润</w:t>
            </w:r>
          </w:p>
        </w:tc>
        <w:tc>
          <w:tcPr>
            <w:tcW w:w="1133" w:type="dxa"/>
            <w:tcBorders>
              <w:top w:val="outset" w:color="auto" w:sz="6" w:space="0"/>
              <w:left w:val="outset" w:color="auto" w:sz="6" w:space="0"/>
              <w:bottom w:val="outset" w:color="auto" w:sz="6" w:space="0"/>
              <w:right w:val="outset" w:color="auto" w:sz="6" w:space="0"/>
            </w:tcBorders>
            <w:vAlign w:val="center"/>
          </w:tcPr>
          <w:p w14:paraId="32F0C89B">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0843D21B">
            <w:pPr>
              <w:jc w:val="right"/>
              <w:rPr>
                <w:rFonts w:ascii="Calibri" w:hAnsi="Calibri"/>
                <w:sz w:val="20"/>
                <w:szCs w:val="20"/>
              </w:rPr>
            </w:pPr>
            <w:r>
              <w:rPr>
                <w:rFonts w:ascii="Calibri" w:hAnsi="Calibri"/>
                <w:sz w:val="20"/>
                <w:szCs w:val="20"/>
              </w:rPr>
              <w:t>4,304,411,708.85</w:t>
            </w:r>
          </w:p>
        </w:tc>
        <w:tc>
          <w:tcPr>
            <w:tcW w:w="2411" w:type="dxa"/>
            <w:tcBorders>
              <w:top w:val="outset" w:color="auto" w:sz="6" w:space="0"/>
              <w:left w:val="outset" w:color="auto" w:sz="6" w:space="0"/>
              <w:bottom w:val="outset" w:color="auto" w:sz="6" w:space="0"/>
              <w:right w:val="outset" w:color="auto" w:sz="6" w:space="0"/>
            </w:tcBorders>
            <w:vAlign w:val="center"/>
          </w:tcPr>
          <w:p w14:paraId="52E5F1AE">
            <w:pPr>
              <w:jc w:val="right"/>
              <w:rPr>
                <w:rFonts w:ascii="Calibri" w:hAnsi="Calibri"/>
                <w:sz w:val="20"/>
                <w:szCs w:val="20"/>
              </w:rPr>
            </w:pPr>
            <w:r>
              <w:rPr>
                <w:rFonts w:ascii="Calibri" w:hAnsi="Calibri"/>
                <w:sz w:val="20"/>
                <w:szCs w:val="20"/>
              </w:rPr>
              <w:t>3,432,915,917.08</w:t>
            </w:r>
          </w:p>
        </w:tc>
      </w:tr>
      <w:tr w14:paraId="34E60D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5A4B21CF">
            <w:pPr>
              <w:ind w:firstLine="400" w:firstLineChars="2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所有者权益（或股东权益）合计</w:t>
            </w:r>
          </w:p>
        </w:tc>
        <w:tc>
          <w:tcPr>
            <w:tcW w:w="1133" w:type="dxa"/>
            <w:tcBorders>
              <w:top w:val="outset" w:color="auto" w:sz="6" w:space="0"/>
              <w:left w:val="outset" w:color="auto" w:sz="6" w:space="0"/>
              <w:bottom w:val="outset" w:color="auto" w:sz="6" w:space="0"/>
              <w:right w:val="outset" w:color="auto" w:sz="6" w:space="0"/>
            </w:tcBorders>
            <w:vAlign w:val="center"/>
          </w:tcPr>
          <w:p w14:paraId="0A2881FD">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78C025E6">
            <w:pPr>
              <w:jc w:val="right"/>
              <w:rPr>
                <w:rFonts w:ascii="Calibri" w:hAnsi="Calibri"/>
                <w:sz w:val="20"/>
                <w:szCs w:val="20"/>
              </w:rPr>
            </w:pPr>
            <w:r>
              <w:rPr>
                <w:rFonts w:ascii="Calibri" w:hAnsi="Calibri"/>
                <w:sz w:val="20"/>
                <w:szCs w:val="20"/>
              </w:rPr>
              <w:t>7,463,219,728.29</w:t>
            </w:r>
          </w:p>
        </w:tc>
        <w:tc>
          <w:tcPr>
            <w:tcW w:w="2411" w:type="dxa"/>
            <w:tcBorders>
              <w:top w:val="outset" w:color="auto" w:sz="6" w:space="0"/>
              <w:left w:val="outset" w:color="auto" w:sz="6" w:space="0"/>
              <w:bottom w:val="outset" w:color="auto" w:sz="6" w:space="0"/>
              <w:right w:val="outset" w:color="auto" w:sz="6" w:space="0"/>
            </w:tcBorders>
            <w:vAlign w:val="center"/>
          </w:tcPr>
          <w:p w14:paraId="37CABEE6">
            <w:pPr>
              <w:jc w:val="right"/>
              <w:rPr>
                <w:rFonts w:ascii="Calibri" w:hAnsi="Calibri"/>
                <w:sz w:val="20"/>
                <w:szCs w:val="20"/>
              </w:rPr>
            </w:pPr>
            <w:r>
              <w:rPr>
                <w:rFonts w:ascii="Calibri" w:hAnsi="Calibri"/>
                <w:sz w:val="20"/>
                <w:szCs w:val="20"/>
              </w:rPr>
              <w:t>6,603,502,391.83</w:t>
            </w:r>
          </w:p>
        </w:tc>
      </w:tr>
      <w:tr w14:paraId="08455A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944" w:type="dxa"/>
            <w:tcBorders>
              <w:top w:val="outset" w:color="auto" w:sz="6" w:space="0"/>
              <w:left w:val="outset" w:color="auto" w:sz="6" w:space="0"/>
              <w:bottom w:val="outset" w:color="auto" w:sz="6" w:space="0"/>
              <w:right w:val="outset" w:color="auto" w:sz="6" w:space="0"/>
            </w:tcBorders>
            <w:vAlign w:val="center"/>
          </w:tcPr>
          <w:p w14:paraId="20B1C1E1">
            <w:pPr>
              <w:ind w:firstLine="600" w:firstLineChars="300"/>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负债和所有者权益（或股东权益）总计</w:t>
            </w:r>
          </w:p>
        </w:tc>
        <w:tc>
          <w:tcPr>
            <w:tcW w:w="1133" w:type="dxa"/>
            <w:tcBorders>
              <w:top w:val="outset" w:color="auto" w:sz="6" w:space="0"/>
              <w:left w:val="outset" w:color="auto" w:sz="6" w:space="0"/>
              <w:bottom w:val="outset" w:color="auto" w:sz="6" w:space="0"/>
              <w:right w:val="outset" w:color="auto" w:sz="6" w:space="0"/>
            </w:tcBorders>
            <w:vAlign w:val="center"/>
          </w:tcPr>
          <w:p w14:paraId="54BADF75">
            <w:pPr>
              <w:pStyle w:val="48"/>
              <w:rPr>
                <w:sz w:val="20"/>
                <w:szCs w:val="20"/>
              </w:rPr>
            </w:pPr>
          </w:p>
        </w:tc>
        <w:tc>
          <w:tcPr>
            <w:tcW w:w="2550" w:type="dxa"/>
            <w:tcBorders>
              <w:top w:val="outset" w:color="auto" w:sz="6" w:space="0"/>
              <w:left w:val="outset" w:color="auto" w:sz="6" w:space="0"/>
              <w:bottom w:val="outset" w:color="auto" w:sz="6" w:space="0"/>
              <w:right w:val="outset" w:color="auto" w:sz="6" w:space="0"/>
            </w:tcBorders>
            <w:vAlign w:val="center"/>
          </w:tcPr>
          <w:p w14:paraId="551DA9B1">
            <w:pPr>
              <w:jc w:val="right"/>
              <w:rPr>
                <w:rFonts w:ascii="Calibri" w:hAnsi="Calibri"/>
                <w:sz w:val="20"/>
                <w:szCs w:val="20"/>
              </w:rPr>
            </w:pPr>
            <w:r>
              <w:rPr>
                <w:rFonts w:ascii="Calibri" w:hAnsi="Calibri"/>
                <w:sz w:val="20"/>
                <w:szCs w:val="20"/>
              </w:rPr>
              <w:t>8,244,581,470.82</w:t>
            </w:r>
          </w:p>
        </w:tc>
        <w:tc>
          <w:tcPr>
            <w:tcW w:w="2411" w:type="dxa"/>
            <w:tcBorders>
              <w:top w:val="outset" w:color="auto" w:sz="6" w:space="0"/>
              <w:left w:val="outset" w:color="auto" w:sz="6" w:space="0"/>
              <w:bottom w:val="outset" w:color="auto" w:sz="6" w:space="0"/>
              <w:right w:val="outset" w:color="auto" w:sz="6" w:space="0"/>
            </w:tcBorders>
            <w:vAlign w:val="center"/>
          </w:tcPr>
          <w:p w14:paraId="406E6E53">
            <w:pPr>
              <w:jc w:val="right"/>
              <w:rPr>
                <w:rFonts w:ascii="Calibri" w:hAnsi="Calibri"/>
                <w:sz w:val="20"/>
                <w:szCs w:val="20"/>
              </w:rPr>
            </w:pPr>
            <w:r>
              <w:rPr>
                <w:rFonts w:ascii="Calibri" w:hAnsi="Calibri"/>
                <w:sz w:val="20"/>
                <w:szCs w:val="20"/>
              </w:rPr>
              <w:t>7,517,006,074.94</w:t>
            </w:r>
          </w:p>
        </w:tc>
      </w:tr>
    </w:tbl>
    <w:p w14:paraId="0E13DDF5"/>
    <w:p w14:paraId="3FD99436">
      <w:pPr>
        <w:ind w:right="-153" w:rightChars="-73"/>
      </w:pPr>
      <w:r>
        <w:rPr>
          <w:rFonts w:hint="eastAsia"/>
        </w:rPr>
        <w:t>公司负责</w:t>
      </w:r>
      <w:r>
        <w:t>人</w:t>
      </w:r>
      <w:r>
        <w:rPr>
          <w:rFonts w:hint="eastAsia"/>
        </w:rPr>
        <w:t>：</w:t>
      </w:r>
      <w:sdt>
        <w:sdtPr>
          <w:rPr>
            <w:rFonts w:hint="eastAsia"/>
          </w:rPr>
          <w:alias w:val="公司负责人姓名"/>
          <w:tag w:val="_GBC_a81a61c6d7bb46bfa69f34f205086804"/>
          <w:id w:val="1525975560"/>
          <w:placeholder>
            <w:docPart w:val="GBC22222222222222222222222222222"/>
          </w:placeholder>
          <w:dataBinding w:prefixMappings="xmlns:clcid-mr='clcid-mr'" w:xpath="/*/clcid-mr:GongSiFuZeRenXingMing[not(@periodRef)]" w:storeItemID="{89EBAB94-44A0-46A2-B712-30D997D04A6D}"/>
          <w:text/>
        </w:sdtPr>
        <w:sdtEndPr>
          <w:rPr>
            <w:rFonts w:hint="eastAsia"/>
          </w:rPr>
        </w:sdtEndPr>
        <w:sdtContent>
          <w:r>
            <w:rPr>
              <w:rFonts w:hint="eastAsia"/>
            </w:rPr>
            <w:t>李佳鸿</w:t>
          </w:r>
        </w:sdtContent>
      </w:sdt>
      <w:r>
        <w:rPr>
          <w:rFonts w:hint="eastAsia"/>
        </w:rPr>
        <w:t xml:space="preserve"> </w:t>
      </w:r>
      <w:r>
        <w:t xml:space="preserve">         主管会计工作负责人</w:t>
      </w:r>
      <w:r>
        <w:rPr>
          <w:rFonts w:hint="eastAsia"/>
        </w:rPr>
        <w:t>：</w:t>
      </w:r>
      <w:sdt>
        <w:sdtPr>
          <w:rPr>
            <w:rFonts w:hint="eastAsia"/>
          </w:rPr>
          <w:alias w:val="主管会计工作负责人姓名"/>
          <w:tag w:val="_GBC_12b89d18f9094da18899493b997b98a8"/>
          <w:id w:val="-1238635219"/>
          <w:placeholder>
            <w:docPart w:val="GBC22222222222222222222222222222"/>
          </w:placeholder>
          <w:dataBinding w:prefixMappings="xmlns:clcid-mr='clcid-mr'" w:xpath="/*/clcid-mr:ZhuGuanKuaiJiGongZuoFuZeRenXingMing[not(@periodRef)]" w:storeItemID="{89EBAB94-44A0-46A2-B712-30D997D04A6D}"/>
          <w:text/>
        </w:sdtPr>
        <w:sdtEndPr>
          <w:rPr>
            <w:rFonts w:hint="eastAsia"/>
          </w:rPr>
        </w:sdtEndPr>
        <w:sdtContent>
          <w:r>
            <w:rPr>
              <w:rFonts w:hint="eastAsia"/>
            </w:rPr>
            <w:t>迟军玉</w:t>
          </w:r>
        </w:sdtContent>
      </w:sdt>
      <w:r>
        <w:rPr>
          <w:rFonts w:hint="eastAsia"/>
        </w:rPr>
        <w:t xml:space="preserve"> </w:t>
      </w:r>
      <w:r>
        <w:t xml:space="preserve">        会计机构负责人</w:t>
      </w:r>
      <w:r>
        <w:rPr>
          <w:rFonts w:hint="eastAsia"/>
        </w:rPr>
        <w:t>：</w:t>
      </w:r>
      <w:sdt>
        <w:sdtPr>
          <w:rPr>
            <w:rFonts w:hint="eastAsia"/>
          </w:rPr>
          <w:alias w:val="会计机构负责人姓名"/>
          <w:tag w:val="_GBC_80397291c44b4713afb5a711c98f3ea6"/>
          <w:id w:val="983979037"/>
          <w:placeholder>
            <w:docPart w:val="GBC22222222222222222222222222222"/>
          </w:placeholder>
          <w:dataBinding w:prefixMappings="xmlns:clcid-mr='clcid-mr'" w:xpath="/*/clcid-mr:KuaiJiJiGouFuZeRenXingMing[not(@periodRef)]" w:storeItemID="{89EBAB94-44A0-46A2-B712-30D997D04A6D}"/>
          <w:text/>
        </w:sdtPr>
        <w:sdtEndPr>
          <w:rPr>
            <w:rFonts w:hint="eastAsia"/>
          </w:rPr>
        </w:sdtEndPr>
        <w:sdtContent>
          <w:r>
            <w:rPr>
              <w:rFonts w:hint="eastAsia"/>
            </w:rPr>
            <w:t>樊鸿宇</w:t>
          </w:r>
        </w:sdtContent>
      </w:sdt>
    </w:p>
    <w:p w14:paraId="03AE9C83">
      <w:pPr>
        <w:pStyle w:val="48"/>
      </w:pPr>
    </w:p>
    <w:bookmarkEnd w:id="192"/>
    <w:bookmarkEnd w:id="194"/>
    <w:p w14:paraId="1AAF652F">
      <w:pPr>
        <w:rPr>
          <w:color w:val="FF0000"/>
        </w:rPr>
      </w:pPr>
      <w:bookmarkStart w:id="195" w:name="_Hlk24033458"/>
      <w:bookmarkEnd w:id="195"/>
    </w:p>
    <w:p w14:paraId="18CC706C">
      <w:pPr>
        <w:pStyle w:val="4"/>
        <w:jc w:val="center"/>
        <w:sectPr>
          <w:pgSz w:w="11906" w:h="16838"/>
          <w:pgMar w:top="1525" w:right="1276" w:bottom="1440" w:left="1797" w:header="856" w:footer="992" w:gutter="0"/>
          <w:cols w:space="425" w:num="1"/>
          <w:docGrid w:linePitch="312" w:charSpace="0"/>
        </w:sectPr>
      </w:pPr>
      <w:bookmarkStart w:id="196" w:name="_Hlk24038378"/>
    </w:p>
    <w:p w14:paraId="02288D7A">
      <w:pPr>
        <w:pStyle w:val="4"/>
        <w:jc w:val="center"/>
      </w:pPr>
      <w:r>
        <w:rPr>
          <w:rFonts w:hint="eastAsia"/>
        </w:rPr>
        <w:t>合并</w:t>
      </w:r>
      <w:r>
        <w:t>利润表</w:t>
      </w:r>
    </w:p>
    <w:p w14:paraId="41D79FF3">
      <w:pPr>
        <w:jc w:val="center"/>
        <w:rPr>
          <w:b/>
          <w:bCs/>
        </w:rPr>
      </w:pPr>
      <w:r>
        <w:t>2025年</w:t>
      </w:r>
      <w:r>
        <w:rPr>
          <w:rFonts w:hint="eastAsia"/>
        </w:rPr>
        <w:t>1—</w:t>
      </w:r>
      <w:r>
        <w:t>12月</w:t>
      </w:r>
    </w:p>
    <w:p w14:paraId="0345EF60">
      <w:pPr>
        <w:jc w:val="right"/>
      </w:pPr>
      <w:r>
        <w:t>单位：</w:t>
      </w:r>
      <w:sdt>
        <w:sdtPr>
          <w:alias w:val="单位：合并利润表"/>
          <w:tag w:val="_GBC_95830fead96c480388a2e386c3331383"/>
          <w:id w:val="6457769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币种：</w:t>
      </w:r>
      <w:sdt>
        <w:sdtPr>
          <w:alias w:val="币种：合并利润表"/>
          <w:tag w:val="_GBC_4902a1798447427ba99922213b04b39b"/>
          <w:id w:val="-2612182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57"/>
        <w:tblW w:w="904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507"/>
        <w:gridCol w:w="1516"/>
        <w:gridCol w:w="2008"/>
        <w:gridCol w:w="2018"/>
      </w:tblGrid>
      <w:tr w14:paraId="7B0389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sdt>
          <w:sdtPr>
            <w:tag w:val="_PLD_2e3f33fcce354b339a86add10899a6c5"/>
            <w:id w:val="2085186064"/>
          </w:sdtPr>
          <w:sdtContent>
            <w:tc>
              <w:tcPr>
                <w:tcW w:w="3507" w:type="dxa"/>
                <w:tcBorders>
                  <w:top w:val="outset" w:color="auto" w:sz="4" w:space="0"/>
                  <w:left w:val="outset" w:color="auto" w:sz="4" w:space="0"/>
                  <w:bottom w:val="outset" w:color="auto" w:sz="4" w:space="0"/>
                  <w:right w:val="outset" w:color="auto" w:sz="4" w:space="0"/>
                </w:tcBorders>
                <w:vAlign w:val="center"/>
              </w:tcPr>
              <w:p w14:paraId="5B75C95B">
                <w:pPr>
                  <w:ind w:leftChars="-19" w:hanging="39" w:hangingChars="19"/>
                  <w:jc w:val="center"/>
                  <w:rPr>
                    <w:rFonts w:ascii="Calibri" w:hAnsi="Calibri"/>
                    <w:b/>
                    <w:sz w:val="20"/>
                    <w:szCs w:val="20"/>
                  </w:rPr>
                </w:pPr>
                <w:r>
                  <w:rPr>
                    <w:rFonts w:ascii="Calibri" w:hAnsi="Calibri"/>
                    <w:b/>
                    <w:sz w:val="20"/>
                    <w:szCs w:val="20"/>
                  </w:rPr>
                  <w:t>项目</w:t>
                </w:r>
              </w:p>
            </w:tc>
          </w:sdtContent>
        </w:sdt>
        <w:sdt>
          <w:sdtPr>
            <w:tag w:val="_PLD_93edd7a3846d4cd58b14d043e9b33f2c"/>
            <w:id w:val="1075400086"/>
          </w:sdtPr>
          <w:sdtContent>
            <w:tc>
              <w:tcPr>
                <w:tcW w:w="1516" w:type="dxa"/>
                <w:tcBorders>
                  <w:top w:val="outset" w:color="auto" w:sz="4" w:space="0"/>
                  <w:left w:val="outset" w:color="auto" w:sz="4" w:space="0"/>
                  <w:bottom w:val="outset" w:color="auto" w:sz="4" w:space="0"/>
                  <w:right w:val="outset" w:color="auto" w:sz="4" w:space="0"/>
                </w:tcBorders>
                <w:vAlign w:val="center"/>
              </w:tcPr>
              <w:p w14:paraId="655F4A46">
                <w:pPr>
                  <w:jc w:val="center"/>
                  <w:rPr>
                    <w:rFonts w:ascii="Calibri" w:hAnsi="Calibri"/>
                    <w:b/>
                    <w:sz w:val="20"/>
                    <w:szCs w:val="20"/>
                  </w:rPr>
                </w:pPr>
                <w:r>
                  <w:rPr>
                    <w:rFonts w:hint="eastAsia" w:ascii="Calibri" w:hAnsi="Calibri"/>
                    <w:b/>
                    <w:sz w:val="20"/>
                    <w:szCs w:val="20"/>
                  </w:rPr>
                  <w:t>附注</w:t>
                </w:r>
              </w:p>
            </w:tc>
          </w:sdtContent>
        </w:sdt>
        <w:sdt>
          <w:sdtPr>
            <w:tag w:val="_PLD_49f84cca199c45e7bc0f9fea5b73078c"/>
            <w:id w:val="-682052148"/>
          </w:sdtPr>
          <w:sdtContent>
            <w:tc>
              <w:tcPr>
                <w:tcW w:w="2008" w:type="dxa"/>
                <w:tcBorders>
                  <w:top w:val="outset" w:color="auto" w:sz="4" w:space="0"/>
                  <w:left w:val="outset" w:color="auto" w:sz="4" w:space="0"/>
                  <w:bottom w:val="outset" w:color="auto" w:sz="4" w:space="0"/>
                  <w:right w:val="outset" w:color="auto" w:sz="4" w:space="0"/>
                </w:tcBorders>
                <w:vAlign w:val="center"/>
              </w:tcPr>
              <w:p w14:paraId="4C1C5002">
                <w:pPr>
                  <w:jc w:val="center"/>
                  <w:rPr>
                    <w:rFonts w:ascii="Calibri" w:hAnsi="Calibri"/>
                    <w:b/>
                    <w:sz w:val="20"/>
                    <w:szCs w:val="20"/>
                  </w:rPr>
                </w:pPr>
                <w:r>
                  <w:rPr>
                    <w:rFonts w:hint="eastAsia" w:ascii="Calibri" w:hAnsi="Calibri"/>
                    <w:b/>
                    <w:sz w:val="20"/>
                    <w:szCs w:val="20"/>
                  </w:rPr>
                  <w:t>2025年度</w:t>
                </w:r>
              </w:p>
            </w:tc>
          </w:sdtContent>
        </w:sdt>
        <w:sdt>
          <w:sdtPr>
            <w:tag w:val="_PLD_8b5fde21bc974404b892a88906dec352"/>
            <w:id w:val="-1512673126"/>
          </w:sdtPr>
          <w:sdtContent>
            <w:tc>
              <w:tcPr>
                <w:tcW w:w="2018" w:type="dxa"/>
                <w:tcBorders>
                  <w:top w:val="outset" w:color="auto" w:sz="4" w:space="0"/>
                  <w:left w:val="outset" w:color="auto" w:sz="4" w:space="0"/>
                  <w:bottom w:val="outset" w:color="auto" w:sz="4" w:space="0"/>
                  <w:right w:val="outset" w:color="auto" w:sz="4" w:space="0"/>
                </w:tcBorders>
                <w:vAlign w:val="center"/>
              </w:tcPr>
              <w:p w14:paraId="51275AA6">
                <w:pPr>
                  <w:jc w:val="center"/>
                  <w:rPr>
                    <w:rFonts w:ascii="Calibri" w:hAnsi="Calibri"/>
                    <w:b/>
                    <w:sz w:val="20"/>
                    <w:szCs w:val="20"/>
                  </w:rPr>
                </w:pPr>
                <w:r>
                  <w:rPr>
                    <w:rFonts w:hint="eastAsia" w:ascii="Calibri" w:hAnsi="Calibri"/>
                    <w:b/>
                    <w:sz w:val="20"/>
                    <w:szCs w:val="20"/>
                  </w:rPr>
                  <w:t>2024年度</w:t>
                </w:r>
              </w:p>
            </w:tc>
          </w:sdtContent>
        </w:sdt>
      </w:tr>
      <w:tr w14:paraId="4AFA04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AB28F1B">
            <w:pPr>
              <w:rPr>
                <w:rFonts w:ascii="Calibri" w:hAnsi="Calibri"/>
                <w:color w:val="000000"/>
                <w:sz w:val="20"/>
                <w:szCs w:val="20"/>
              </w:rPr>
            </w:pPr>
            <w:r>
              <w:rPr>
                <w:rFonts w:hint="eastAsia" w:ascii="Calibri" w:hAnsi="Calibri"/>
                <w:sz w:val="20"/>
                <w:szCs w:val="20"/>
              </w:rPr>
              <w:t>一、营业总收入</w:t>
            </w:r>
          </w:p>
        </w:tc>
        <w:tc>
          <w:tcPr>
            <w:tcW w:w="1516" w:type="dxa"/>
            <w:tcBorders>
              <w:top w:val="outset" w:color="auto" w:sz="4" w:space="0"/>
              <w:left w:val="outset" w:color="auto" w:sz="4" w:space="0"/>
              <w:bottom w:val="outset" w:color="auto" w:sz="4" w:space="0"/>
              <w:right w:val="outset" w:color="auto" w:sz="4" w:space="0"/>
            </w:tcBorders>
            <w:vAlign w:val="center"/>
          </w:tcPr>
          <w:p w14:paraId="76D3745E">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17F9DEDE">
            <w:pPr>
              <w:jc w:val="right"/>
              <w:rPr>
                <w:rFonts w:ascii="Calibri" w:hAnsi="Calibri"/>
                <w:sz w:val="20"/>
                <w:szCs w:val="20"/>
              </w:rPr>
            </w:pPr>
            <w:r>
              <w:rPr>
                <w:rFonts w:ascii="Calibri" w:hAnsi="Calibri"/>
                <w:sz w:val="20"/>
                <w:szCs w:val="20"/>
              </w:rPr>
              <w:t>2,947,228,797.15</w:t>
            </w:r>
          </w:p>
        </w:tc>
        <w:tc>
          <w:tcPr>
            <w:tcW w:w="2018" w:type="dxa"/>
            <w:tcBorders>
              <w:top w:val="outset" w:color="auto" w:sz="4" w:space="0"/>
              <w:left w:val="outset" w:color="auto" w:sz="4" w:space="0"/>
              <w:bottom w:val="outset" w:color="auto" w:sz="4" w:space="0"/>
              <w:right w:val="outset" w:color="auto" w:sz="4" w:space="0"/>
            </w:tcBorders>
            <w:vAlign w:val="center"/>
          </w:tcPr>
          <w:p w14:paraId="0156F0CC">
            <w:pPr>
              <w:jc w:val="right"/>
              <w:rPr>
                <w:rFonts w:ascii="Calibri" w:hAnsi="Calibri"/>
                <w:sz w:val="20"/>
                <w:szCs w:val="20"/>
              </w:rPr>
            </w:pPr>
            <w:r>
              <w:rPr>
                <w:rFonts w:ascii="Calibri" w:hAnsi="Calibri"/>
                <w:sz w:val="20"/>
                <w:szCs w:val="20"/>
              </w:rPr>
              <w:t>2,009,601,059.43</w:t>
            </w:r>
          </w:p>
        </w:tc>
      </w:tr>
      <w:tr w14:paraId="30C7BA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35EE3F38">
            <w:pPr>
              <w:rPr>
                <w:rFonts w:ascii="Calibri" w:hAnsi="Calibri"/>
                <w:color w:val="000000"/>
                <w:sz w:val="20"/>
                <w:szCs w:val="20"/>
              </w:rPr>
            </w:pPr>
            <w:r>
              <w:rPr>
                <w:rFonts w:hint="eastAsia" w:ascii="Calibri" w:hAnsi="Calibri"/>
                <w:sz w:val="20"/>
                <w:szCs w:val="20"/>
              </w:rPr>
              <w:t>其中：营业收入</w:t>
            </w:r>
          </w:p>
        </w:tc>
        <w:tc>
          <w:tcPr>
            <w:tcW w:w="1516" w:type="dxa"/>
            <w:tcBorders>
              <w:top w:val="outset" w:color="auto" w:sz="4" w:space="0"/>
              <w:left w:val="outset" w:color="auto" w:sz="4" w:space="0"/>
              <w:bottom w:val="outset" w:color="auto" w:sz="4" w:space="0"/>
              <w:right w:val="outset" w:color="auto" w:sz="4" w:space="0"/>
            </w:tcBorders>
            <w:vAlign w:val="center"/>
          </w:tcPr>
          <w:p w14:paraId="3FEDA0A7">
            <w:pPr>
              <w:pStyle w:val="48"/>
              <w:jc w:val="center"/>
              <w:rPr>
                <w:sz w:val="20"/>
                <w:szCs w:val="20"/>
              </w:rPr>
            </w:pPr>
            <w:r>
              <w:rPr>
                <w:rFonts w:hint="eastAsia"/>
                <w:sz w:val="20"/>
                <w:szCs w:val="20"/>
              </w:rPr>
              <w:t>6</w:t>
            </w:r>
            <w:r>
              <w:rPr>
                <w:sz w:val="20"/>
                <w:szCs w:val="20"/>
              </w:rPr>
              <w:t>1</w:t>
            </w:r>
          </w:p>
        </w:tc>
        <w:tc>
          <w:tcPr>
            <w:tcW w:w="2008" w:type="dxa"/>
            <w:tcBorders>
              <w:top w:val="outset" w:color="auto" w:sz="4" w:space="0"/>
              <w:left w:val="outset" w:color="auto" w:sz="4" w:space="0"/>
              <w:bottom w:val="outset" w:color="auto" w:sz="4" w:space="0"/>
              <w:right w:val="outset" w:color="auto" w:sz="4" w:space="0"/>
            </w:tcBorders>
            <w:vAlign w:val="center"/>
          </w:tcPr>
          <w:p w14:paraId="16B4401C">
            <w:pPr>
              <w:jc w:val="right"/>
              <w:rPr>
                <w:rFonts w:ascii="Calibri" w:hAnsi="Calibri"/>
                <w:sz w:val="20"/>
                <w:szCs w:val="20"/>
              </w:rPr>
            </w:pPr>
            <w:r>
              <w:rPr>
                <w:rFonts w:ascii="Calibri" w:hAnsi="Calibri"/>
                <w:sz w:val="20"/>
                <w:szCs w:val="20"/>
              </w:rPr>
              <w:t>2,947,228,797.15</w:t>
            </w:r>
          </w:p>
        </w:tc>
        <w:tc>
          <w:tcPr>
            <w:tcW w:w="2018" w:type="dxa"/>
            <w:tcBorders>
              <w:top w:val="outset" w:color="auto" w:sz="4" w:space="0"/>
              <w:left w:val="outset" w:color="auto" w:sz="4" w:space="0"/>
              <w:bottom w:val="outset" w:color="auto" w:sz="4" w:space="0"/>
              <w:right w:val="outset" w:color="auto" w:sz="4" w:space="0"/>
            </w:tcBorders>
            <w:vAlign w:val="center"/>
          </w:tcPr>
          <w:p w14:paraId="1F8CE0EA">
            <w:pPr>
              <w:jc w:val="right"/>
              <w:rPr>
                <w:rFonts w:ascii="Calibri" w:hAnsi="Calibri"/>
                <w:sz w:val="20"/>
                <w:szCs w:val="20"/>
              </w:rPr>
            </w:pPr>
            <w:r>
              <w:rPr>
                <w:rFonts w:ascii="Calibri" w:hAnsi="Calibri"/>
                <w:sz w:val="20"/>
                <w:szCs w:val="20"/>
              </w:rPr>
              <w:t>2,009,601,059.43</w:t>
            </w:r>
          </w:p>
        </w:tc>
      </w:tr>
      <w:tr w14:paraId="6E3AD4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301C2506">
            <w:pPr>
              <w:ind w:firstLine="600" w:firstLineChars="300"/>
              <w:rPr>
                <w:rFonts w:ascii="Calibri" w:hAnsi="Calibri"/>
                <w:color w:val="000000"/>
                <w:sz w:val="20"/>
                <w:szCs w:val="20"/>
              </w:rPr>
            </w:pPr>
            <w:r>
              <w:rPr>
                <w:rFonts w:hint="eastAsia" w:ascii="Calibri" w:hAnsi="Calibri"/>
                <w:sz w:val="20"/>
                <w:szCs w:val="20"/>
              </w:rPr>
              <w:t>利息收入</w:t>
            </w:r>
          </w:p>
        </w:tc>
        <w:tc>
          <w:tcPr>
            <w:tcW w:w="1516" w:type="dxa"/>
            <w:tcBorders>
              <w:top w:val="outset" w:color="auto" w:sz="4" w:space="0"/>
              <w:left w:val="outset" w:color="auto" w:sz="4" w:space="0"/>
              <w:bottom w:val="outset" w:color="auto" w:sz="4" w:space="0"/>
              <w:right w:val="outset" w:color="auto" w:sz="4" w:space="0"/>
            </w:tcBorders>
            <w:vAlign w:val="center"/>
          </w:tcPr>
          <w:p w14:paraId="43587C88">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52DB72ED">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20F41B21">
            <w:pPr>
              <w:jc w:val="right"/>
              <w:rPr>
                <w:rFonts w:ascii="Calibri" w:hAnsi="Calibri"/>
                <w:sz w:val="20"/>
                <w:szCs w:val="20"/>
              </w:rPr>
            </w:pPr>
          </w:p>
        </w:tc>
      </w:tr>
      <w:tr w14:paraId="6C1973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3070C0FC">
            <w:pPr>
              <w:ind w:firstLine="600" w:firstLineChars="300"/>
              <w:rPr>
                <w:rFonts w:ascii="Calibri" w:hAnsi="Calibri"/>
                <w:sz w:val="20"/>
                <w:szCs w:val="20"/>
              </w:rPr>
            </w:pPr>
            <w:r>
              <w:rPr>
                <w:rFonts w:hint="eastAsia" w:ascii="Calibri" w:hAnsi="Calibri"/>
                <w:sz w:val="20"/>
                <w:szCs w:val="20"/>
              </w:rPr>
              <w:t>已赚保费</w:t>
            </w:r>
          </w:p>
        </w:tc>
        <w:tc>
          <w:tcPr>
            <w:tcW w:w="1516" w:type="dxa"/>
            <w:tcBorders>
              <w:top w:val="outset" w:color="auto" w:sz="4" w:space="0"/>
              <w:left w:val="outset" w:color="auto" w:sz="4" w:space="0"/>
              <w:bottom w:val="outset" w:color="auto" w:sz="4" w:space="0"/>
              <w:right w:val="outset" w:color="auto" w:sz="4" w:space="0"/>
            </w:tcBorders>
            <w:vAlign w:val="center"/>
          </w:tcPr>
          <w:p w14:paraId="04A2F240">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7CE8B208">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55936AD1">
            <w:pPr>
              <w:jc w:val="right"/>
              <w:rPr>
                <w:rFonts w:ascii="Calibri" w:hAnsi="Calibri"/>
                <w:sz w:val="20"/>
                <w:szCs w:val="20"/>
              </w:rPr>
            </w:pPr>
          </w:p>
        </w:tc>
      </w:tr>
      <w:tr w14:paraId="5B2708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563D6014">
            <w:pPr>
              <w:ind w:firstLine="600" w:firstLineChars="300"/>
              <w:rPr>
                <w:rFonts w:ascii="Calibri" w:hAnsi="Calibri"/>
                <w:sz w:val="20"/>
                <w:szCs w:val="20"/>
              </w:rPr>
            </w:pPr>
            <w:r>
              <w:rPr>
                <w:rFonts w:hint="eastAsia" w:ascii="Calibri" w:hAnsi="Calibri"/>
                <w:sz w:val="20"/>
                <w:szCs w:val="20"/>
              </w:rPr>
              <w:t>手续费及佣金收入</w:t>
            </w:r>
          </w:p>
        </w:tc>
        <w:tc>
          <w:tcPr>
            <w:tcW w:w="1516" w:type="dxa"/>
            <w:tcBorders>
              <w:top w:val="outset" w:color="auto" w:sz="4" w:space="0"/>
              <w:left w:val="outset" w:color="auto" w:sz="4" w:space="0"/>
              <w:bottom w:val="outset" w:color="auto" w:sz="4" w:space="0"/>
              <w:right w:val="outset" w:color="auto" w:sz="4" w:space="0"/>
            </w:tcBorders>
            <w:vAlign w:val="center"/>
          </w:tcPr>
          <w:p w14:paraId="72F49FDB">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7169D17E">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594F2EA1">
            <w:pPr>
              <w:jc w:val="right"/>
              <w:rPr>
                <w:rFonts w:ascii="Calibri" w:hAnsi="Calibri"/>
                <w:sz w:val="20"/>
                <w:szCs w:val="20"/>
              </w:rPr>
            </w:pPr>
          </w:p>
        </w:tc>
      </w:tr>
      <w:tr w14:paraId="67386B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4A6F5B0">
            <w:pPr>
              <w:rPr>
                <w:rFonts w:ascii="Calibri" w:hAnsi="Calibri"/>
                <w:color w:val="000000"/>
                <w:sz w:val="20"/>
                <w:szCs w:val="20"/>
              </w:rPr>
            </w:pPr>
            <w:r>
              <w:rPr>
                <w:rFonts w:hint="eastAsia" w:ascii="Calibri" w:hAnsi="Calibri"/>
                <w:sz w:val="20"/>
                <w:szCs w:val="20"/>
              </w:rPr>
              <w:t>二、营业总成本</w:t>
            </w:r>
          </w:p>
        </w:tc>
        <w:tc>
          <w:tcPr>
            <w:tcW w:w="1516" w:type="dxa"/>
            <w:tcBorders>
              <w:top w:val="outset" w:color="auto" w:sz="4" w:space="0"/>
              <w:left w:val="outset" w:color="auto" w:sz="4" w:space="0"/>
              <w:bottom w:val="outset" w:color="auto" w:sz="4" w:space="0"/>
              <w:right w:val="outset" w:color="auto" w:sz="4" w:space="0"/>
            </w:tcBorders>
            <w:vAlign w:val="center"/>
          </w:tcPr>
          <w:p w14:paraId="33688674">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6A442CE5">
            <w:pPr>
              <w:jc w:val="right"/>
              <w:rPr>
                <w:rFonts w:ascii="Calibri" w:hAnsi="Calibri"/>
                <w:sz w:val="20"/>
                <w:szCs w:val="20"/>
              </w:rPr>
            </w:pPr>
            <w:r>
              <w:rPr>
                <w:rFonts w:ascii="Calibri" w:hAnsi="Calibri"/>
                <w:sz w:val="20"/>
                <w:szCs w:val="20"/>
              </w:rPr>
              <w:t>2,375,868,424.08</w:t>
            </w:r>
          </w:p>
        </w:tc>
        <w:tc>
          <w:tcPr>
            <w:tcW w:w="2018" w:type="dxa"/>
            <w:tcBorders>
              <w:top w:val="outset" w:color="auto" w:sz="4" w:space="0"/>
              <w:left w:val="outset" w:color="auto" w:sz="4" w:space="0"/>
              <w:bottom w:val="outset" w:color="auto" w:sz="4" w:space="0"/>
              <w:right w:val="outset" w:color="auto" w:sz="4" w:space="0"/>
            </w:tcBorders>
            <w:vAlign w:val="center"/>
          </w:tcPr>
          <w:p w14:paraId="2E6E8EE5">
            <w:pPr>
              <w:jc w:val="right"/>
              <w:rPr>
                <w:rFonts w:ascii="Calibri" w:hAnsi="Calibri"/>
                <w:sz w:val="20"/>
                <w:szCs w:val="20"/>
              </w:rPr>
            </w:pPr>
            <w:r>
              <w:rPr>
                <w:rFonts w:ascii="Calibri" w:hAnsi="Calibri"/>
                <w:sz w:val="20"/>
                <w:szCs w:val="20"/>
              </w:rPr>
              <w:t>1,894,906,182.29</w:t>
            </w:r>
          </w:p>
        </w:tc>
      </w:tr>
      <w:tr w14:paraId="19C34C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3507" w:type="dxa"/>
            <w:tcBorders>
              <w:top w:val="outset" w:color="auto" w:sz="4" w:space="0"/>
              <w:left w:val="outset" w:color="auto" w:sz="4" w:space="0"/>
              <w:bottom w:val="outset" w:color="auto" w:sz="4" w:space="0"/>
              <w:right w:val="outset" w:color="auto" w:sz="4" w:space="0"/>
            </w:tcBorders>
            <w:vAlign w:val="center"/>
          </w:tcPr>
          <w:p w14:paraId="1BBAF01A">
            <w:pPr>
              <w:rPr>
                <w:rFonts w:ascii="Calibri" w:hAnsi="Calibri"/>
                <w:color w:val="000000"/>
                <w:sz w:val="20"/>
                <w:szCs w:val="20"/>
              </w:rPr>
            </w:pPr>
            <w:r>
              <w:rPr>
                <w:rFonts w:hint="eastAsia" w:ascii="Calibri" w:hAnsi="Calibri"/>
                <w:sz w:val="20"/>
                <w:szCs w:val="20"/>
              </w:rPr>
              <w:t>其中：营业成本</w:t>
            </w:r>
          </w:p>
        </w:tc>
        <w:tc>
          <w:tcPr>
            <w:tcW w:w="1516" w:type="dxa"/>
            <w:tcBorders>
              <w:top w:val="outset" w:color="auto" w:sz="4" w:space="0"/>
              <w:left w:val="outset" w:color="auto" w:sz="4" w:space="0"/>
              <w:bottom w:val="outset" w:color="auto" w:sz="4" w:space="0"/>
              <w:right w:val="outset" w:color="auto" w:sz="4" w:space="0"/>
            </w:tcBorders>
            <w:vAlign w:val="center"/>
          </w:tcPr>
          <w:p w14:paraId="0C9948DF">
            <w:pPr>
              <w:pStyle w:val="48"/>
              <w:jc w:val="center"/>
              <w:rPr>
                <w:sz w:val="20"/>
                <w:szCs w:val="20"/>
              </w:rPr>
            </w:pPr>
            <w:r>
              <w:rPr>
                <w:rFonts w:hint="eastAsia"/>
                <w:sz w:val="20"/>
                <w:szCs w:val="20"/>
              </w:rPr>
              <w:t>6</w:t>
            </w:r>
            <w:r>
              <w:rPr>
                <w:sz w:val="20"/>
                <w:szCs w:val="20"/>
              </w:rPr>
              <w:t>1</w:t>
            </w:r>
          </w:p>
        </w:tc>
        <w:tc>
          <w:tcPr>
            <w:tcW w:w="2008" w:type="dxa"/>
            <w:tcBorders>
              <w:top w:val="outset" w:color="auto" w:sz="4" w:space="0"/>
              <w:left w:val="outset" w:color="auto" w:sz="4" w:space="0"/>
              <w:bottom w:val="outset" w:color="auto" w:sz="4" w:space="0"/>
              <w:right w:val="outset" w:color="auto" w:sz="4" w:space="0"/>
            </w:tcBorders>
            <w:vAlign w:val="center"/>
          </w:tcPr>
          <w:p w14:paraId="3FAC97C1">
            <w:pPr>
              <w:jc w:val="right"/>
              <w:rPr>
                <w:rFonts w:ascii="Calibri" w:hAnsi="Calibri"/>
                <w:sz w:val="20"/>
                <w:szCs w:val="20"/>
              </w:rPr>
            </w:pPr>
            <w:r>
              <w:rPr>
                <w:rFonts w:ascii="Calibri" w:hAnsi="Calibri"/>
                <w:sz w:val="20"/>
                <w:szCs w:val="20"/>
              </w:rPr>
              <w:t>874,496,476.58</w:t>
            </w:r>
          </w:p>
        </w:tc>
        <w:tc>
          <w:tcPr>
            <w:tcW w:w="2018" w:type="dxa"/>
            <w:tcBorders>
              <w:top w:val="outset" w:color="auto" w:sz="4" w:space="0"/>
              <w:left w:val="outset" w:color="auto" w:sz="4" w:space="0"/>
              <w:bottom w:val="outset" w:color="auto" w:sz="4" w:space="0"/>
              <w:right w:val="outset" w:color="auto" w:sz="4" w:space="0"/>
            </w:tcBorders>
            <w:vAlign w:val="center"/>
          </w:tcPr>
          <w:p w14:paraId="4C15CF55">
            <w:pPr>
              <w:jc w:val="right"/>
              <w:rPr>
                <w:rFonts w:ascii="Calibri" w:hAnsi="Calibri"/>
                <w:sz w:val="20"/>
                <w:szCs w:val="20"/>
              </w:rPr>
            </w:pPr>
            <w:r>
              <w:rPr>
                <w:rFonts w:ascii="Calibri" w:hAnsi="Calibri"/>
                <w:sz w:val="20"/>
                <w:szCs w:val="20"/>
              </w:rPr>
              <w:t>524,515,529.58</w:t>
            </w:r>
          </w:p>
        </w:tc>
      </w:tr>
      <w:tr w14:paraId="285AF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AB2206E">
            <w:pPr>
              <w:ind w:firstLine="600" w:firstLineChars="300"/>
              <w:rPr>
                <w:rFonts w:ascii="Calibri" w:hAnsi="Calibri"/>
                <w:sz w:val="20"/>
                <w:szCs w:val="20"/>
              </w:rPr>
            </w:pPr>
            <w:r>
              <w:rPr>
                <w:rFonts w:hint="eastAsia" w:ascii="Calibri" w:hAnsi="Calibri"/>
                <w:sz w:val="20"/>
                <w:szCs w:val="20"/>
              </w:rPr>
              <w:t>利息支出</w:t>
            </w:r>
          </w:p>
        </w:tc>
        <w:tc>
          <w:tcPr>
            <w:tcW w:w="1516" w:type="dxa"/>
            <w:tcBorders>
              <w:top w:val="outset" w:color="auto" w:sz="4" w:space="0"/>
              <w:left w:val="outset" w:color="auto" w:sz="4" w:space="0"/>
              <w:bottom w:val="outset" w:color="auto" w:sz="4" w:space="0"/>
              <w:right w:val="outset" w:color="auto" w:sz="4" w:space="0"/>
            </w:tcBorders>
            <w:vAlign w:val="center"/>
          </w:tcPr>
          <w:p w14:paraId="0B324206">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6BF34922">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6C8AA46D">
            <w:pPr>
              <w:jc w:val="right"/>
              <w:rPr>
                <w:rFonts w:ascii="Calibri" w:hAnsi="Calibri"/>
                <w:sz w:val="20"/>
                <w:szCs w:val="20"/>
              </w:rPr>
            </w:pPr>
          </w:p>
        </w:tc>
      </w:tr>
      <w:tr w14:paraId="529F9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2A2403C5">
            <w:pPr>
              <w:ind w:firstLine="600" w:firstLineChars="300"/>
              <w:rPr>
                <w:rFonts w:ascii="Calibri" w:hAnsi="Calibri"/>
                <w:sz w:val="20"/>
                <w:szCs w:val="20"/>
              </w:rPr>
            </w:pPr>
            <w:r>
              <w:rPr>
                <w:rFonts w:hint="eastAsia" w:ascii="Calibri" w:hAnsi="Calibri"/>
                <w:sz w:val="20"/>
                <w:szCs w:val="20"/>
              </w:rPr>
              <w:t>手续费及佣金支出</w:t>
            </w:r>
          </w:p>
        </w:tc>
        <w:tc>
          <w:tcPr>
            <w:tcW w:w="1516" w:type="dxa"/>
            <w:tcBorders>
              <w:top w:val="outset" w:color="auto" w:sz="4" w:space="0"/>
              <w:left w:val="outset" w:color="auto" w:sz="4" w:space="0"/>
              <w:bottom w:val="outset" w:color="auto" w:sz="4" w:space="0"/>
              <w:right w:val="outset" w:color="auto" w:sz="4" w:space="0"/>
            </w:tcBorders>
            <w:vAlign w:val="center"/>
          </w:tcPr>
          <w:p w14:paraId="68202085">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EA97307">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622C74F0">
            <w:pPr>
              <w:jc w:val="right"/>
              <w:rPr>
                <w:rFonts w:ascii="Calibri" w:hAnsi="Calibri"/>
                <w:sz w:val="20"/>
                <w:szCs w:val="20"/>
              </w:rPr>
            </w:pPr>
          </w:p>
        </w:tc>
      </w:tr>
      <w:tr w14:paraId="1D8F4D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26E091AA">
            <w:pPr>
              <w:ind w:firstLine="600" w:firstLineChars="300"/>
              <w:rPr>
                <w:rFonts w:ascii="Calibri" w:hAnsi="Calibri"/>
                <w:sz w:val="20"/>
                <w:szCs w:val="20"/>
              </w:rPr>
            </w:pPr>
            <w:r>
              <w:rPr>
                <w:rFonts w:hint="eastAsia" w:ascii="Calibri" w:hAnsi="Calibri"/>
                <w:sz w:val="20"/>
                <w:szCs w:val="20"/>
              </w:rPr>
              <w:t>退保金</w:t>
            </w:r>
          </w:p>
        </w:tc>
        <w:tc>
          <w:tcPr>
            <w:tcW w:w="1516" w:type="dxa"/>
            <w:tcBorders>
              <w:top w:val="outset" w:color="auto" w:sz="4" w:space="0"/>
              <w:left w:val="outset" w:color="auto" w:sz="4" w:space="0"/>
              <w:bottom w:val="outset" w:color="auto" w:sz="4" w:space="0"/>
              <w:right w:val="outset" w:color="auto" w:sz="4" w:space="0"/>
            </w:tcBorders>
            <w:vAlign w:val="center"/>
          </w:tcPr>
          <w:p w14:paraId="7E334879">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28703BBA">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3E0AEAEF">
            <w:pPr>
              <w:jc w:val="right"/>
              <w:rPr>
                <w:rFonts w:ascii="Calibri" w:hAnsi="Calibri"/>
                <w:sz w:val="20"/>
                <w:szCs w:val="20"/>
              </w:rPr>
            </w:pPr>
          </w:p>
        </w:tc>
      </w:tr>
      <w:tr w14:paraId="5EC7E7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77000B5">
            <w:pPr>
              <w:ind w:firstLine="600" w:firstLineChars="300"/>
              <w:rPr>
                <w:rFonts w:ascii="Calibri" w:hAnsi="Calibri"/>
                <w:sz w:val="20"/>
                <w:szCs w:val="20"/>
              </w:rPr>
            </w:pPr>
            <w:r>
              <w:rPr>
                <w:rFonts w:hint="eastAsia" w:ascii="Calibri" w:hAnsi="Calibri"/>
                <w:sz w:val="20"/>
                <w:szCs w:val="20"/>
              </w:rPr>
              <w:t>赔付支出净额</w:t>
            </w:r>
          </w:p>
        </w:tc>
        <w:tc>
          <w:tcPr>
            <w:tcW w:w="1516" w:type="dxa"/>
            <w:tcBorders>
              <w:top w:val="outset" w:color="auto" w:sz="4" w:space="0"/>
              <w:left w:val="outset" w:color="auto" w:sz="4" w:space="0"/>
              <w:bottom w:val="outset" w:color="auto" w:sz="4" w:space="0"/>
              <w:right w:val="outset" w:color="auto" w:sz="4" w:space="0"/>
            </w:tcBorders>
            <w:vAlign w:val="center"/>
          </w:tcPr>
          <w:p w14:paraId="174F84E5">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7F327752">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39C185CD">
            <w:pPr>
              <w:jc w:val="right"/>
              <w:rPr>
                <w:rFonts w:ascii="Calibri" w:hAnsi="Calibri"/>
                <w:sz w:val="20"/>
                <w:szCs w:val="20"/>
              </w:rPr>
            </w:pPr>
          </w:p>
        </w:tc>
      </w:tr>
      <w:tr w14:paraId="4D23E3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28316D61">
            <w:pPr>
              <w:ind w:firstLine="600" w:firstLineChars="300"/>
              <w:rPr>
                <w:rFonts w:ascii="Calibri" w:hAnsi="Calibri"/>
                <w:sz w:val="20"/>
                <w:szCs w:val="20"/>
              </w:rPr>
            </w:pPr>
            <w:r>
              <w:rPr>
                <w:rFonts w:hint="eastAsia" w:ascii="Calibri" w:hAnsi="Calibri"/>
                <w:sz w:val="20"/>
                <w:szCs w:val="20"/>
              </w:rPr>
              <w:t>提取保险责任准备金净额</w:t>
            </w:r>
          </w:p>
        </w:tc>
        <w:tc>
          <w:tcPr>
            <w:tcW w:w="1516" w:type="dxa"/>
            <w:tcBorders>
              <w:top w:val="outset" w:color="auto" w:sz="4" w:space="0"/>
              <w:left w:val="outset" w:color="auto" w:sz="4" w:space="0"/>
              <w:bottom w:val="outset" w:color="auto" w:sz="4" w:space="0"/>
              <w:right w:val="outset" w:color="auto" w:sz="4" w:space="0"/>
            </w:tcBorders>
            <w:vAlign w:val="center"/>
          </w:tcPr>
          <w:p w14:paraId="2C007F75">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6C525D07">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01F4E53A">
            <w:pPr>
              <w:jc w:val="right"/>
              <w:rPr>
                <w:rFonts w:ascii="Calibri" w:hAnsi="Calibri"/>
                <w:sz w:val="20"/>
                <w:szCs w:val="20"/>
              </w:rPr>
            </w:pPr>
          </w:p>
        </w:tc>
      </w:tr>
      <w:tr w14:paraId="3ECA9E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34C9D915">
            <w:pPr>
              <w:ind w:firstLine="600" w:firstLineChars="300"/>
              <w:rPr>
                <w:rFonts w:ascii="Calibri" w:hAnsi="Calibri"/>
                <w:sz w:val="20"/>
                <w:szCs w:val="20"/>
              </w:rPr>
            </w:pPr>
            <w:r>
              <w:rPr>
                <w:rFonts w:hint="eastAsia" w:ascii="Calibri" w:hAnsi="Calibri"/>
                <w:sz w:val="20"/>
                <w:szCs w:val="20"/>
              </w:rPr>
              <w:t>保单红利支出</w:t>
            </w:r>
          </w:p>
        </w:tc>
        <w:tc>
          <w:tcPr>
            <w:tcW w:w="1516" w:type="dxa"/>
            <w:tcBorders>
              <w:top w:val="outset" w:color="auto" w:sz="4" w:space="0"/>
              <w:left w:val="outset" w:color="auto" w:sz="4" w:space="0"/>
              <w:bottom w:val="outset" w:color="auto" w:sz="4" w:space="0"/>
              <w:right w:val="outset" w:color="auto" w:sz="4" w:space="0"/>
            </w:tcBorders>
            <w:vAlign w:val="center"/>
          </w:tcPr>
          <w:p w14:paraId="7A4D8A36">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22C33EB5">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44E75659">
            <w:pPr>
              <w:jc w:val="right"/>
              <w:rPr>
                <w:rFonts w:ascii="Calibri" w:hAnsi="Calibri"/>
                <w:sz w:val="20"/>
                <w:szCs w:val="20"/>
              </w:rPr>
            </w:pPr>
          </w:p>
        </w:tc>
      </w:tr>
      <w:tr w14:paraId="5A026D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4160F154">
            <w:pPr>
              <w:ind w:firstLine="600" w:firstLineChars="300"/>
              <w:rPr>
                <w:rFonts w:ascii="Calibri" w:hAnsi="Calibri"/>
                <w:sz w:val="20"/>
                <w:szCs w:val="20"/>
              </w:rPr>
            </w:pPr>
            <w:r>
              <w:rPr>
                <w:rFonts w:hint="eastAsia" w:ascii="Calibri" w:hAnsi="Calibri"/>
                <w:sz w:val="20"/>
                <w:szCs w:val="20"/>
              </w:rPr>
              <w:t>分保费用</w:t>
            </w:r>
          </w:p>
        </w:tc>
        <w:tc>
          <w:tcPr>
            <w:tcW w:w="1516" w:type="dxa"/>
            <w:tcBorders>
              <w:top w:val="outset" w:color="auto" w:sz="4" w:space="0"/>
              <w:left w:val="outset" w:color="auto" w:sz="4" w:space="0"/>
              <w:bottom w:val="outset" w:color="auto" w:sz="4" w:space="0"/>
              <w:right w:val="outset" w:color="auto" w:sz="4" w:space="0"/>
            </w:tcBorders>
            <w:vAlign w:val="center"/>
          </w:tcPr>
          <w:p w14:paraId="31AEDD6D">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6F826F9B">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00CA6EC6">
            <w:pPr>
              <w:jc w:val="right"/>
              <w:rPr>
                <w:rFonts w:ascii="Calibri" w:hAnsi="Calibri"/>
                <w:sz w:val="20"/>
                <w:szCs w:val="20"/>
              </w:rPr>
            </w:pPr>
          </w:p>
        </w:tc>
      </w:tr>
      <w:tr w14:paraId="70BD7B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783D583E">
            <w:pPr>
              <w:ind w:firstLine="600" w:firstLineChars="300"/>
              <w:rPr>
                <w:rFonts w:ascii="Calibri" w:hAnsi="Calibri"/>
                <w:sz w:val="20"/>
                <w:szCs w:val="20"/>
              </w:rPr>
            </w:pPr>
            <w:r>
              <w:rPr>
                <w:rFonts w:hint="eastAsia" w:ascii="Calibri" w:hAnsi="Calibri"/>
                <w:sz w:val="20"/>
                <w:szCs w:val="20"/>
              </w:rPr>
              <w:t>税金及附加</w:t>
            </w:r>
          </w:p>
        </w:tc>
        <w:tc>
          <w:tcPr>
            <w:tcW w:w="1516" w:type="dxa"/>
            <w:tcBorders>
              <w:top w:val="outset" w:color="auto" w:sz="4" w:space="0"/>
              <w:left w:val="outset" w:color="auto" w:sz="4" w:space="0"/>
              <w:bottom w:val="outset" w:color="auto" w:sz="4" w:space="0"/>
              <w:right w:val="outset" w:color="auto" w:sz="4" w:space="0"/>
            </w:tcBorders>
            <w:vAlign w:val="center"/>
          </w:tcPr>
          <w:p w14:paraId="1208A50B">
            <w:pPr>
              <w:pStyle w:val="48"/>
              <w:jc w:val="center"/>
              <w:rPr>
                <w:sz w:val="20"/>
                <w:szCs w:val="20"/>
              </w:rPr>
            </w:pPr>
            <w:r>
              <w:rPr>
                <w:rFonts w:hint="eastAsia"/>
                <w:sz w:val="20"/>
                <w:szCs w:val="20"/>
              </w:rPr>
              <w:t>6</w:t>
            </w:r>
            <w:r>
              <w:rPr>
                <w:sz w:val="20"/>
                <w:szCs w:val="20"/>
              </w:rPr>
              <w:t>2</w:t>
            </w:r>
          </w:p>
        </w:tc>
        <w:tc>
          <w:tcPr>
            <w:tcW w:w="2008" w:type="dxa"/>
            <w:tcBorders>
              <w:top w:val="outset" w:color="auto" w:sz="4" w:space="0"/>
              <w:left w:val="outset" w:color="auto" w:sz="4" w:space="0"/>
              <w:bottom w:val="outset" w:color="auto" w:sz="4" w:space="0"/>
              <w:right w:val="outset" w:color="auto" w:sz="4" w:space="0"/>
            </w:tcBorders>
            <w:vAlign w:val="center"/>
          </w:tcPr>
          <w:p w14:paraId="39523715">
            <w:pPr>
              <w:jc w:val="right"/>
              <w:rPr>
                <w:rFonts w:ascii="Calibri" w:hAnsi="Calibri"/>
                <w:sz w:val="20"/>
                <w:szCs w:val="20"/>
              </w:rPr>
            </w:pPr>
            <w:r>
              <w:rPr>
                <w:rFonts w:ascii="Calibri" w:hAnsi="Calibri"/>
                <w:sz w:val="20"/>
                <w:szCs w:val="20"/>
              </w:rPr>
              <w:t>26,494,919.14</w:t>
            </w:r>
          </w:p>
        </w:tc>
        <w:tc>
          <w:tcPr>
            <w:tcW w:w="2018" w:type="dxa"/>
            <w:tcBorders>
              <w:top w:val="outset" w:color="auto" w:sz="4" w:space="0"/>
              <w:left w:val="outset" w:color="auto" w:sz="4" w:space="0"/>
              <w:bottom w:val="outset" w:color="auto" w:sz="4" w:space="0"/>
              <w:right w:val="outset" w:color="auto" w:sz="4" w:space="0"/>
            </w:tcBorders>
            <w:vAlign w:val="center"/>
          </w:tcPr>
          <w:p w14:paraId="1B76E94B">
            <w:pPr>
              <w:jc w:val="right"/>
              <w:rPr>
                <w:rFonts w:ascii="Calibri" w:hAnsi="Calibri"/>
                <w:sz w:val="20"/>
                <w:szCs w:val="20"/>
              </w:rPr>
            </w:pPr>
            <w:r>
              <w:rPr>
                <w:rFonts w:ascii="Calibri" w:hAnsi="Calibri"/>
                <w:sz w:val="20"/>
                <w:szCs w:val="20"/>
              </w:rPr>
              <w:t>14,072,641.63</w:t>
            </w:r>
          </w:p>
        </w:tc>
      </w:tr>
      <w:tr w14:paraId="2EB3D1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74685407">
            <w:pPr>
              <w:ind w:firstLine="600" w:firstLineChars="300"/>
              <w:rPr>
                <w:rFonts w:ascii="Calibri" w:hAnsi="Calibri"/>
                <w:sz w:val="20"/>
                <w:szCs w:val="20"/>
              </w:rPr>
            </w:pPr>
            <w:r>
              <w:rPr>
                <w:rFonts w:hint="eastAsia" w:ascii="Calibri" w:hAnsi="Calibri"/>
                <w:sz w:val="20"/>
                <w:szCs w:val="20"/>
              </w:rPr>
              <w:t>销售费用</w:t>
            </w:r>
          </w:p>
        </w:tc>
        <w:tc>
          <w:tcPr>
            <w:tcW w:w="1516" w:type="dxa"/>
            <w:tcBorders>
              <w:top w:val="outset" w:color="auto" w:sz="4" w:space="0"/>
              <w:left w:val="outset" w:color="auto" w:sz="4" w:space="0"/>
              <w:bottom w:val="outset" w:color="auto" w:sz="4" w:space="0"/>
              <w:right w:val="outset" w:color="auto" w:sz="4" w:space="0"/>
            </w:tcBorders>
            <w:vAlign w:val="center"/>
          </w:tcPr>
          <w:p w14:paraId="3936F386">
            <w:pPr>
              <w:pStyle w:val="48"/>
              <w:jc w:val="center"/>
              <w:rPr>
                <w:sz w:val="20"/>
                <w:szCs w:val="20"/>
              </w:rPr>
            </w:pPr>
            <w:r>
              <w:rPr>
                <w:rFonts w:hint="eastAsia"/>
                <w:sz w:val="20"/>
                <w:szCs w:val="20"/>
              </w:rPr>
              <w:t>6</w:t>
            </w:r>
            <w:r>
              <w:rPr>
                <w:sz w:val="20"/>
                <w:szCs w:val="20"/>
              </w:rPr>
              <w:t>3</w:t>
            </w:r>
          </w:p>
        </w:tc>
        <w:tc>
          <w:tcPr>
            <w:tcW w:w="2008" w:type="dxa"/>
            <w:tcBorders>
              <w:top w:val="outset" w:color="auto" w:sz="4" w:space="0"/>
              <w:left w:val="outset" w:color="auto" w:sz="4" w:space="0"/>
              <w:bottom w:val="outset" w:color="auto" w:sz="4" w:space="0"/>
              <w:right w:val="outset" w:color="auto" w:sz="4" w:space="0"/>
            </w:tcBorders>
            <w:vAlign w:val="center"/>
          </w:tcPr>
          <w:p w14:paraId="7961F543">
            <w:pPr>
              <w:jc w:val="right"/>
              <w:rPr>
                <w:rFonts w:ascii="Calibri" w:hAnsi="Calibri"/>
                <w:sz w:val="20"/>
                <w:szCs w:val="20"/>
              </w:rPr>
            </w:pPr>
            <w:r>
              <w:rPr>
                <w:rFonts w:ascii="Calibri" w:hAnsi="Calibri"/>
                <w:sz w:val="20"/>
                <w:szCs w:val="20"/>
              </w:rPr>
              <w:t>1,108,127,227.86</w:t>
            </w:r>
          </w:p>
        </w:tc>
        <w:tc>
          <w:tcPr>
            <w:tcW w:w="2018" w:type="dxa"/>
            <w:tcBorders>
              <w:top w:val="outset" w:color="auto" w:sz="4" w:space="0"/>
              <w:left w:val="outset" w:color="auto" w:sz="4" w:space="0"/>
              <w:bottom w:val="outset" w:color="auto" w:sz="4" w:space="0"/>
              <w:right w:val="outset" w:color="auto" w:sz="4" w:space="0"/>
            </w:tcBorders>
            <w:vAlign w:val="center"/>
          </w:tcPr>
          <w:p w14:paraId="15C3B5E5">
            <w:pPr>
              <w:jc w:val="right"/>
              <w:rPr>
                <w:rFonts w:ascii="Calibri" w:hAnsi="Calibri"/>
                <w:sz w:val="20"/>
                <w:szCs w:val="20"/>
              </w:rPr>
            </w:pPr>
            <w:r>
              <w:rPr>
                <w:rFonts w:ascii="Calibri" w:hAnsi="Calibri"/>
                <w:sz w:val="20"/>
                <w:szCs w:val="20"/>
              </w:rPr>
              <w:t>1,068,146,639.12</w:t>
            </w:r>
          </w:p>
        </w:tc>
      </w:tr>
      <w:tr w14:paraId="13CA0E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5CEF062">
            <w:pPr>
              <w:ind w:firstLine="600" w:firstLineChars="300"/>
              <w:rPr>
                <w:rFonts w:ascii="Calibri" w:hAnsi="Calibri"/>
                <w:sz w:val="20"/>
                <w:szCs w:val="20"/>
              </w:rPr>
            </w:pPr>
            <w:r>
              <w:rPr>
                <w:rFonts w:hint="eastAsia" w:ascii="Calibri" w:hAnsi="Calibri"/>
                <w:sz w:val="20"/>
                <w:szCs w:val="20"/>
              </w:rPr>
              <w:t>管理费用</w:t>
            </w:r>
          </w:p>
        </w:tc>
        <w:tc>
          <w:tcPr>
            <w:tcW w:w="1516" w:type="dxa"/>
            <w:tcBorders>
              <w:top w:val="outset" w:color="auto" w:sz="4" w:space="0"/>
              <w:left w:val="outset" w:color="auto" w:sz="4" w:space="0"/>
              <w:bottom w:val="outset" w:color="auto" w:sz="4" w:space="0"/>
              <w:right w:val="outset" w:color="auto" w:sz="4" w:space="0"/>
            </w:tcBorders>
            <w:vAlign w:val="center"/>
          </w:tcPr>
          <w:p w14:paraId="52850CE3">
            <w:pPr>
              <w:pStyle w:val="48"/>
              <w:jc w:val="center"/>
              <w:rPr>
                <w:sz w:val="20"/>
                <w:szCs w:val="20"/>
              </w:rPr>
            </w:pPr>
            <w:r>
              <w:rPr>
                <w:rFonts w:hint="eastAsia"/>
                <w:sz w:val="20"/>
                <w:szCs w:val="20"/>
              </w:rPr>
              <w:t>6</w:t>
            </w:r>
            <w:r>
              <w:rPr>
                <w:sz w:val="20"/>
                <w:szCs w:val="20"/>
              </w:rPr>
              <w:t>4</w:t>
            </w:r>
          </w:p>
        </w:tc>
        <w:tc>
          <w:tcPr>
            <w:tcW w:w="2008" w:type="dxa"/>
            <w:tcBorders>
              <w:top w:val="outset" w:color="auto" w:sz="4" w:space="0"/>
              <w:left w:val="outset" w:color="auto" w:sz="4" w:space="0"/>
              <w:bottom w:val="outset" w:color="auto" w:sz="4" w:space="0"/>
              <w:right w:val="outset" w:color="auto" w:sz="4" w:space="0"/>
            </w:tcBorders>
            <w:vAlign w:val="center"/>
          </w:tcPr>
          <w:p w14:paraId="3992CE3E">
            <w:pPr>
              <w:jc w:val="right"/>
              <w:rPr>
                <w:rFonts w:ascii="Calibri" w:hAnsi="Calibri"/>
                <w:sz w:val="20"/>
                <w:szCs w:val="20"/>
              </w:rPr>
            </w:pPr>
            <w:r>
              <w:rPr>
                <w:rFonts w:ascii="Calibri" w:hAnsi="Calibri"/>
                <w:sz w:val="20"/>
                <w:szCs w:val="20"/>
              </w:rPr>
              <w:t>180,884,327.64</w:t>
            </w:r>
          </w:p>
        </w:tc>
        <w:tc>
          <w:tcPr>
            <w:tcW w:w="2018" w:type="dxa"/>
            <w:tcBorders>
              <w:top w:val="outset" w:color="auto" w:sz="4" w:space="0"/>
              <w:left w:val="outset" w:color="auto" w:sz="4" w:space="0"/>
              <w:bottom w:val="outset" w:color="auto" w:sz="4" w:space="0"/>
              <w:right w:val="outset" w:color="auto" w:sz="4" w:space="0"/>
            </w:tcBorders>
            <w:vAlign w:val="center"/>
          </w:tcPr>
          <w:p w14:paraId="4D6B4CB9">
            <w:pPr>
              <w:jc w:val="right"/>
              <w:rPr>
                <w:rFonts w:ascii="Calibri" w:hAnsi="Calibri"/>
                <w:sz w:val="20"/>
                <w:szCs w:val="20"/>
              </w:rPr>
            </w:pPr>
            <w:r>
              <w:rPr>
                <w:rFonts w:ascii="Calibri" w:hAnsi="Calibri"/>
                <w:sz w:val="20"/>
                <w:szCs w:val="20"/>
              </w:rPr>
              <w:t>182,626,722.10</w:t>
            </w:r>
          </w:p>
        </w:tc>
      </w:tr>
      <w:tr w14:paraId="14A2E5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8BEE690">
            <w:pPr>
              <w:ind w:firstLine="600" w:firstLineChars="300"/>
              <w:rPr>
                <w:rFonts w:ascii="Calibri" w:hAnsi="Calibri"/>
                <w:sz w:val="20"/>
                <w:szCs w:val="20"/>
              </w:rPr>
            </w:pPr>
            <w:r>
              <w:rPr>
                <w:rFonts w:hint="eastAsia" w:ascii="Calibri" w:hAnsi="Calibri"/>
                <w:sz w:val="20"/>
                <w:szCs w:val="20"/>
              </w:rPr>
              <w:t>研发费用</w:t>
            </w:r>
          </w:p>
        </w:tc>
        <w:tc>
          <w:tcPr>
            <w:tcW w:w="1516" w:type="dxa"/>
            <w:tcBorders>
              <w:top w:val="outset" w:color="auto" w:sz="4" w:space="0"/>
              <w:left w:val="outset" w:color="auto" w:sz="4" w:space="0"/>
              <w:bottom w:val="outset" w:color="auto" w:sz="4" w:space="0"/>
              <w:right w:val="outset" w:color="auto" w:sz="4" w:space="0"/>
            </w:tcBorders>
            <w:vAlign w:val="center"/>
          </w:tcPr>
          <w:p w14:paraId="05788796">
            <w:pPr>
              <w:pStyle w:val="48"/>
              <w:jc w:val="center"/>
              <w:rPr>
                <w:sz w:val="20"/>
                <w:szCs w:val="20"/>
              </w:rPr>
            </w:pPr>
            <w:r>
              <w:rPr>
                <w:rFonts w:hint="eastAsia"/>
                <w:sz w:val="20"/>
                <w:szCs w:val="20"/>
              </w:rPr>
              <w:t>6</w:t>
            </w:r>
            <w:r>
              <w:rPr>
                <w:sz w:val="20"/>
                <w:szCs w:val="20"/>
              </w:rPr>
              <w:t>5</w:t>
            </w:r>
          </w:p>
        </w:tc>
        <w:tc>
          <w:tcPr>
            <w:tcW w:w="2008" w:type="dxa"/>
            <w:tcBorders>
              <w:top w:val="outset" w:color="auto" w:sz="4" w:space="0"/>
              <w:left w:val="outset" w:color="auto" w:sz="4" w:space="0"/>
              <w:bottom w:val="outset" w:color="auto" w:sz="4" w:space="0"/>
              <w:right w:val="outset" w:color="auto" w:sz="4" w:space="0"/>
            </w:tcBorders>
            <w:vAlign w:val="center"/>
          </w:tcPr>
          <w:p w14:paraId="310E88E8">
            <w:pPr>
              <w:jc w:val="right"/>
              <w:rPr>
                <w:rFonts w:ascii="Calibri" w:hAnsi="Calibri"/>
                <w:sz w:val="20"/>
                <w:szCs w:val="20"/>
              </w:rPr>
            </w:pPr>
            <w:r>
              <w:rPr>
                <w:rFonts w:ascii="Calibri" w:hAnsi="Calibri"/>
                <w:sz w:val="20"/>
                <w:szCs w:val="20"/>
              </w:rPr>
              <w:t>167,122,024.63</w:t>
            </w:r>
          </w:p>
        </w:tc>
        <w:tc>
          <w:tcPr>
            <w:tcW w:w="2018" w:type="dxa"/>
            <w:tcBorders>
              <w:top w:val="outset" w:color="auto" w:sz="4" w:space="0"/>
              <w:left w:val="outset" w:color="auto" w:sz="4" w:space="0"/>
              <w:bottom w:val="outset" w:color="auto" w:sz="4" w:space="0"/>
              <w:right w:val="outset" w:color="auto" w:sz="4" w:space="0"/>
            </w:tcBorders>
            <w:vAlign w:val="center"/>
          </w:tcPr>
          <w:p w14:paraId="74074496">
            <w:pPr>
              <w:jc w:val="right"/>
              <w:rPr>
                <w:rFonts w:ascii="Calibri" w:hAnsi="Calibri"/>
                <w:sz w:val="20"/>
                <w:szCs w:val="20"/>
              </w:rPr>
            </w:pPr>
            <w:r>
              <w:rPr>
                <w:rFonts w:ascii="Calibri" w:hAnsi="Calibri"/>
                <w:sz w:val="20"/>
                <w:szCs w:val="20"/>
              </w:rPr>
              <w:t>99,304,946.78</w:t>
            </w:r>
          </w:p>
        </w:tc>
      </w:tr>
      <w:tr w14:paraId="179B0E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3808A581">
            <w:pPr>
              <w:ind w:firstLine="600" w:firstLineChars="300"/>
              <w:rPr>
                <w:rFonts w:ascii="Calibri" w:hAnsi="Calibri"/>
                <w:sz w:val="20"/>
                <w:szCs w:val="20"/>
              </w:rPr>
            </w:pPr>
            <w:r>
              <w:rPr>
                <w:rFonts w:hint="eastAsia" w:ascii="Calibri" w:hAnsi="Calibri"/>
                <w:sz w:val="20"/>
                <w:szCs w:val="20"/>
              </w:rPr>
              <w:t>财务费用</w:t>
            </w:r>
          </w:p>
        </w:tc>
        <w:tc>
          <w:tcPr>
            <w:tcW w:w="1516" w:type="dxa"/>
            <w:tcBorders>
              <w:top w:val="outset" w:color="auto" w:sz="4" w:space="0"/>
              <w:left w:val="outset" w:color="auto" w:sz="4" w:space="0"/>
              <w:bottom w:val="outset" w:color="auto" w:sz="4" w:space="0"/>
              <w:right w:val="outset" w:color="auto" w:sz="4" w:space="0"/>
            </w:tcBorders>
            <w:vAlign w:val="center"/>
          </w:tcPr>
          <w:p w14:paraId="28C13D3C">
            <w:pPr>
              <w:pStyle w:val="48"/>
              <w:jc w:val="center"/>
              <w:rPr>
                <w:sz w:val="20"/>
                <w:szCs w:val="20"/>
              </w:rPr>
            </w:pPr>
            <w:r>
              <w:rPr>
                <w:rFonts w:hint="eastAsia"/>
                <w:sz w:val="20"/>
                <w:szCs w:val="20"/>
              </w:rPr>
              <w:t>6</w:t>
            </w:r>
            <w:r>
              <w:rPr>
                <w:sz w:val="20"/>
                <w:szCs w:val="20"/>
              </w:rPr>
              <w:t>6</w:t>
            </w:r>
          </w:p>
        </w:tc>
        <w:tc>
          <w:tcPr>
            <w:tcW w:w="2008" w:type="dxa"/>
            <w:tcBorders>
              <w:top w:val="outset" w:color="auto" w:sz="4" w:space="0"/>
              <w:left w:val="outset" w:color="auto" w:sz="4" w:space="0"/>
              <w:bottom w:val="outset" w:color="auto" w:sz="4" w:space="0"/>
              <w:right w:val="outset" w:color="auto" w:sz="4" w:space="0"/>
            </w:tcBorders>
            <w:vAlign w:val="center"/>
          </w:tcPr>
          <w:p w14:paraId="1C70F59A">
            <w:pPr>
              <w:jc w:val="right"/>
              <w:rPr>
                <w:rFonts w:ascii="Calibri" w:hAnsi="Calibri"/>
                <w:sz w:val="20"/>
                <w:szCs w:val="20"/>
              </w:rPr>
            </w:pPr>
            <w:r>
              <w:rPr>
                <w:rFonts w:ascii="Calibri" w:hAnsi="Calibri"/>
                <w:sz w:val="20"/>
                <w:szCs w:val="20"/>
              </w:rPr>
              <w:t>18,743,448.23</w:t>
            </w:r>
          </w:p>
        </w:tc>
        <w:tc>
          <w:tcPr>
            <w:tcW w:w="2018" w:type="dxa"/>
            <w:tcBorders>
              <w:top w:val="outset" w:color="auto" w:sz="4" w:space="0"/>
              <w:left w:val="outset" w:color="auto" w:sz="4" w:space="0"/>
              <w:bottom w:val="outset" w:color="auto" w:sz="4" w:space="0"/>
              <w:right w:val="outset" w:color="auto" w:sz="4" w:space="0"/>
            </w:tcBorders>
            <w:vAlign w:val="center"/>
          </w:tcPr>
          <w:p w14:paraId="4A4DF113">
            <w:pPr>
              <w:jc w:val="right"/>
              <w:rPr>
                <w:rFonts w:ascii="Calibri" w:hAnsi="Calibri"/>
                <w:sz w:val="20"/>
                <w:szCs w:val="20"/>
              </w:rPr>
            </w:pPr>
            <w:r>
              <w:rPr>
                <w:rFonts w:ascii="Calibri" w:hAnsi="Calibri"/>
                <w:sz w:val="20"/>
                <w:szCs w:val="20"/>
              </w:rPr>
              <w:t>6,239,703.08</w:t>
            </w:r>
          </w:p>
        </w:tc>
      </w:tr>
      <w:tr w14:paraId="133EC7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99BF0E4">
            <w:pPr>
              <w:ind w:firstLine="600" w:firstLineChars="300"/>
              <w:rPr>
                <w:rFonts w:ascii="Calibri" w:hAnsi="Calibri"/>
                <w:sz w:val="20"/>
                <w:szCs w:val="20"/>
              </w:rPr>
            </w:pPr>
            <w:r>
              <w:rPr>
                <w:rFonts w:hint="eastAsia" w:ascii="Calibri" w:hAnsi="Calibri"/>
                <w:sz w:val="20"/>
                <w:szCs w:val="20"/>
              </w:rPr>
              <w:t>其中：利息费用</w:t>
            </w:r>
          </w:p>
        </w:tc>
        <w:tc>
          <w:tcPr>
            <w:tcW w:w="1516" w:type="dxa"/>
            <w:tcBorders>
              <w:top w:val="outset" w:color="auto" w:sz="4" w:space="0"/>
              <w:left w:val="outset" w:color="auto" w:sz="4" w:space="0"/>
              <w:bottom w:val="outset" w:color="auto" w:sz="4" w:space="0"/>
              <w:right w:val="outset" w:color="auto" w:sz="4" w:space="0"/>
            </w:tcBorders>
            <w:vAlign w:val="center"/>
          </w:tcPr>
          <w:p w14:paraId="0DEB4D5E">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265E3F11">
            <w:pPr>
              <w:jc w:val="right"/>
              <w:rPr>
                <w:rFonts w:ascii="Calibri" w:hAnsi="Calibri"/>
                <w:sz w:val="20"/>
                <w:szCs w:val="20"/>
              </w:rPr>
            </w:pPr>
            <w:r>
              <w:rPr>
                <w:rFonts w:ascii="Calibri" w:hAnsi="Calibri"/>
                <w:sz w:val="20"/>
                <w:szCs w:val="20"/>
              </w:rPr>
              <w:t>21,813,576.53</w:t>
            </w:r>
          </w:p>
        </w:tc>
        <w:tc>
          <w:tcPr>
            <w:tcW w:w="2018" w:type="dxa"/>
            <w:tcBorders>
              <w:top w:val="outset" w:color="auto" w:sz="4" w:space="0"/>
              <w:left w:val="outset" w:color="auto" w:sz="4" w:space="0"/>
              <w:bottom w:val="outset" w:color="auto" w:sz="4" w:space="0"/>
              <w:right w:val="outset" w:color="auto" w:sz="4" w:space="0"/>
            </w:tcBorders>
            <w:vAlign w:val="center"/>
          </w:tcPr>
          <w:p w14:paraId="27F0868D">
            <w:pPr>
              <w:jc w:val="right"/>
              <w:rPr>
                <w:rFonts w:ascii="Calibri" w:hAnsi="Calibri"/>
                <w:sz w:val="20"/>
                <w:szCs w:val="20"/>
              </w:rPr>
            </w:pPr>
            <w:r>
              <w:rPr>
                <w:rFonts w:ascii="Calibri" w:hAnsi="Calibri"/>
                <w:sz w:val="20"/>
                <w:szCs w:val="20"/>
              </w:rPr>
              <w:t>13,902,341.49</w:t>
            </w:r>
          </w:p>
        </w:tc>
      </w:tr>
      <w:tr w14:paraId="0CA642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7CC673B5">
            <w:pPr>
              <w:ind w:firstLine="1200" w:firstLineChars="600"/>
              <w:rPr>
                <w:rFonts w:ascii="Calibri" w:hAnsi="Calibri"/>
                <w:sz w:val="20"/>
                <w:szCs w:val="20"/>
              </w:rPr>
            </w:pPr>
            <w:r>
              <w:rPr>
                <w:rFonts w:hint="eastAsia" w:ascii="Calibri" w:hAnsi="Calibri"/>
                <w:sz w:val="20"/>
                <w:szCs w:val="20"/>
              </w:rPr>
              <w:t>利息收入</w:t>
            </w:r>
          </w:p>
        </w:tc>
        <w:tc>
          <w:tcPr>
            <w:tcW w:w="1516" w:type="dxa"/>
            <w:tcBorders>
              <w:top w:val="outset" w:color="auto" w:sz="4" w:space="0"/>
              <w:left w:val="outset" w:color="auto" w:sz="4" w:space="0"/>
              <w:bottom w:val="outset" w:color="auto" w:sz="4" w:space="0"/>
              <w:right w:val="outset" w:color="auto" w:sz="4" w:space="0"/>
            </w:tcBorders>
            <w:vAlign w:val="center"/>
          </w:tcPr>
          <w:p w14:paraId="69A729D4">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59F33FE7">
            <w:pPr>
              <w:jc w:val="right"/>
              <w:rPr>
                <w:rFonts w:ascii="Calibri" w:hAnsi="Calibri"/>
                <w:sz w:val="20"/>
                <w:szCs w:val="20"/>
              </w:rPr>
            </w:pPr>
            <w:r>
              <w:rPr>
                <w:rFonts w:ascii="Calibri" w:hAnsi="Calibri"/>
                <w:sz w:val="20"/>
                <w:szCs w:val="20"/>
              </w:rPr>
              <w:t>3,907,249.81</w:t>
            </w:r>
          </w:p>
        </w:tc>
        <w:tc>
          <w:tcPr>
            <w:tcW w:w="2018" w:type="dxa"/>
            <w:tcBorders>
              <w:top w:val="outset" w:color="auto" w:sz="4" w:space="0"/>
              <w:left w:val="outset" w:color="auto" w:sz="4" w:space="0"/>
              <w:bottom w:val="outset" w:color="auto" w:sz="4" w:space="0"/>
              <w:right w:val="outset" w:color="auto" w:sz="4" w:space="0"/>
            </w:tcBorders>
            <w:vAlign w:val="center"/>
          </w:tcPr>
          <w:p w14:paraId="4FE82B01">
            <w:pPr>
              <w:jc w:val="right"/>
              <w:rPr>
                <w:rFonts w:ascii="Calibri" w:hAnsi="Calibri"/>
                <w:sz w:val="20"/>
                <w:szCs w:val="20"/>
              </w:rPr>
            </w:pPr>
            <w:r>
              <w:rPr>
                <w:rFonts w:ascii="Calibri" w:hAnsi="Calibri"/>
                <w:sz w:val="20"/>
                <w:szCs w:val="20"/>
              </w:rPr>
              <w:t>7,927,356.82</w:t>
            </w:r>
          </w:p>
        </w:tc>
      </w:tr>
      <w:tr w14:paraId="3B99BF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4020814D">
            <w:pPr>
              <w:ind w:firstLine="200" w:firstLineChars="100"/>
              <w:rPr>
                <w:rFonts w:ascii="Calibri" w:hAnsi="Calibri"/>
                <w:sz w:val="20"/>
                <w:szCs w:val="20"/>
              </w:rPr>
            </w:pPr>
            <w:r>
              <w:rPr>
                <w:rFonts w:hint="eastAsia" w:ascii="Calibri" w:hAnsi="Calibri"/>
                <w:sz w:val="20"/>
                <w:szCs w:val="20"/>
              </w:rPr>
              <w:t>加：其他收益</w:t>
            </w:r>
          </w:p>
        </w:tc>
        <w:tc>
          <w:tcPr>
            <w:tcW w:w="1516" w:type="dxa"/>
            <w:tcBorders>
              <w:top w:val="outset" w:color="auto" w:sz="4" w:space="0"/>
              <w:left w:val="outset" w:color="auto" w:sz="4" w:space="0"/>
              <w:bottom w:val="outset" w:color="auto" w:sz="4" w:space="0"/>
              <w:right w:val="outset" w:color="auto" w:sz="4" w:space="0"/>
            </w:tcBorders>
            <w:vAlign w:val="center"/>
          </w:tcPr>
          <w:p w14:paraId="69B9268F">
            <w:pPr>
              <w:pStyle w:val="48"/>
              <w:jc w:val="center"/>
              <w:rPr>
                <w:sz w:val="20"/>
                <w:szCs w:val="20"/>
              </w:rPr>
            </w:pPr>
            <w:r>
              <w:rPr>
                <w:rFonts w:hint="eastAsia"/>
                <w:sz w:val="20"/>
                <w:szCs w:val="20"/>
              </w:rPr>
              <w:t>6</w:t>
            </w:r>
            <w:r>
              <w:rPr>
                <w:sz w:val="20"/>
                <w:szCs w:val="20"/>
              </w:rPr>
              <w:t>7</w:t>
            </w:r>
          </w:p>
        </w:tc>
        <w:tc>
          <w:tcPr>
            <w:tcW w:w="2008" w:type="dxa"/>
            <w:tcBorders>
              <w:top w:val="outset" w:color="auto" w:sz="4" w:space="0"/>
              <w:left w:val="outset" w:color="auto" w:sz="4" w:space="0"/>
              <w:bottom w:val="outset" w:color="auto" w:sz="4" w:space="0"/>
              <w:right w:val="outset" w:color="auto" w:sz="4" w:space="0"/>
            </w:tcBorders>
            <w:vAlign w:val="center"/>
          </w:tcPr>
          <w:p w14:paraId="3F8BA8F7">
            <w:pPr>
              <w:jc w:val="right"/>
              <w:rPr>
                <w:rFonts w:ascii="Calibri" w:hAnsi="Calibri"/>
                <w:sz w:val="20"/>
                <w:szCs w:val="20"/>
              </w:rPr>
            </w:pPr>
            <w:r>
              <w:rPr>
                <w:rFonts w:ascii="Calibri" w:hAnsi="Calibri"/>
                <w:sz w:val="20"/>
                <w:szCs w:val="20"/>
              </w:rPr>
              <w:t>12,737,199.37</w:t>
            </w:r>
          </w:p>
        </w:tc>
        <w:tc>
          <w:tcPr>
            <w:tcW w:w="2018" w:type="dxa"/>
            <w:tcBorders>
              <w:top w:val="outset" w:color="auto" w:sz="4" w:space="0"/>
              <w:left w:val="outset" w:color="auto" w:sz="4" w:space="0"/>
              <w:bottom w:val="outset" w:color="auto" w:sz="4" w:space="0"/>
              <w:right w:val="outset" w:color="auto" w:sz="4" w:space="0"/>
            </w:tcBorders>
            <w:vAlign w:val="center"/>
          </w:tcPr>
          <w:p w14:paraId="6D9EB857">
            <w:pPr>
              <w:jc w:val="right"/>
              <w:rPr>
                <w:rFonts w:ascii="Calibri" w:hAnsi="Calibri"/>
                <w:sz w:val="20"/>
                <w:szCs w:val="20"/>
              </w:rPr>
            </w:pPr>
            <w:r>
              <w:rPr>
                <w:rFonts w:ascii="Calibri" w:hAnsi="Calibri"/>
                <w:sz w:val="20"/>
                <w:szCs w:val="20"/>
              </w:rPr>
              <w:t>4,603,984.28</w:t>
            </w:r>
          </w:p>
        </w:tc>
      </w:tr>
      <w:tr w14:paraId="5173F3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5AF3DE03">
            <w:pPr>
              <w:ind w:firstLine="600" w:firstLineChars="300"/>
              <w:rPr>
                <w:rFonts w:ascii="Calibri" w:hAnsi="Calibri"/>
                <w:sz w:val="20"/>
                <w:szCs w:val="20"/>
              </w:rPr>
            </w:pPr>
            <w:r>
              <w:rPr>
                <w:rFonts w:hint="eastAsia" w:ascii="Calibri" w:hAnsi="Calibri"/>
                <w:sz w:val="20"/>
                <w:szCs w:val="20"/>
              </w:rPr>
              <w:t>投资收益（损失以“－”号填列）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742BF66D">
            <w:pPr>
              <w:pStyle w:val="48"/>
              <w:jc w:val="center"/>
              <w:rPr>
                <w:sz w:val="20"/>
                <w:szCs w:val="20"/>
              </w:rPr>
            </w:pPr>
            <w:r>
              <w:rPr>
                <w:rFonts w:hint="eastAsia"/>
                <w:sz w:val="20"/>
                <w:szCs w:val="20"/>
              </w:rPr>
              <w:t>6</w:t>
            </w:r>
            <w:r>
              <w:rPr>
                <w:sz w:val="20"/>
                <w:szCs w:val="20"/>
              </w:rPr>
              <w:t>8</w:t>
            </w:r>
          </w:p>
        </w:tc>
        <w:tc>
          <w:tcPr>
            <w:tcW w:w="2008" w:type="dxa"/>
            <w:tcBorders>
              <w:top w:val="outset" w:color="auto" w:sz="4" w:space="0"/>
              <w:left w:val="outset" w:color="auto" w:sz="4" w:space="0"/>
              <w:bottom w:val="outset" w:color="auto" w:sz="4" w:space="0"/>
              <w:right w:val="outset" w:color="auto" w:sz="4" w:space="0"/>
            </w:tcBorders>
            <w:vAlign w:val="center"/>
          </w:tcPr>
          <w:p w14:paraId="34C64AA6">
            <w:pPr>
              <w:jc w:val="right"/>
              <w:rPr>
                <w:rFonts w:ascii="Calibri" w:hAnsi="Calibri"/>
                <w:sz w:val="20"/>
                <w:szCs w:val="20"/>
              </w:rPr>
            </w:pPr>
            <w:r>
              <w:rPr>
                <w:rFonts w:ascii="Calibri" w:hAnsi="Calibri"/>
                <w:sz w:val="20"/>
                <w:szCs w:val="20"/>
              </w:rPr>
              <w:t>1,179,592,079.77</w:t>
            </w:r>
          </w:p>
        </w:tc>
        <w:tc>
          <w:tcPr>
            <w:tcW w:w="2018" w:type="dxa"/>
            <w:tcBorders>
              <w:top w:val="outset" w:color="auto" w:sz="4" w:space="0"/>
              <w:left w:val="outset" w:color="auto" w:sz="4" w:space="0"/>
              <w:bottom w:val="outset" w:color="auto" w:sz="4" w:space="0"/>
              <w:right w:val="outset" w:color="auto" w:sz="4" w:space="0"/>
            </w:tcBorders>
            <w:vAlign w:val="center"/>
          </w:tcPr>
          <w:p w14:paraId="46AA7A76">
            <w:pPr>
              <w:jc w:val="right"/>
              <w:rPr>
                <w:rFonts w:ascii="Calibri" w:hAnsi="Calibri"/>
                <w:sz w:val="20"/>
                <w:szCs w:val="20"/>
              </w:rPr>
            </w:pPr>
            <w:r>
              <w:rPr>
                <w:rFonts w:ascii="Calibri" w:hAnsi="Calibri"/>
                <w:sz w:val="20"/>
                <w:szCs w:val="20"/>
              </w:rPr>
              <w:t>122,904,943.19</w:t>
            </w:r>
          </w:p>
        </w:tc>
      </w:tr>
      <w:tr w14:paraId="087165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5E1C05F7">
            <w:pPr>
              <w:ind w:firstLine="600" w:firstLineChars="300"/>
              <w:rPr>
                <w:rFonts w:ascii="Calibri" w:hAnsi="Calibri"/>
                <w:sz w:val="20"/>
                <w:szCs w:val="20"/>
              </w:rPr>
            </w:pPr>
            <w:r>
              <w:rPr>
                <w:rFonts w:hint="eastAsia" w:ascii="Calibri" w:hAnsi="Calibri"/>
                <w:sz w:val="20"/>
                <w:szCs w:val="20"/>
              </w:rPr>
              <w:t>其中：对联营企业和合营企业的投资收益</w:t>
            </w:r>
          </w:p>
        </w:tc>
        <w:tc>
          <w:tcPr>
            <w:tcW w:w="1516" w:type="dxa"/>
            <w:tcBorders>
              <w:top w:val="outset" w:color="auto" w:sz="4" w:space="0"/>
              <w:left w:val="outset" w:color="auto" w:sz="4" w:space="0"/>
              <w:bottom w:val="outset" w:color="auto" w:sz="4" w:space="0"/>
              <w:right w:val="outset" w:color="auto" w:sz="4" w:space="0"/>
            </w:tcBorders>
            <w:vAlign w:val="center"/>
          </w:tcPr>
          <w:p w14:paraId="1D7ACB3D">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68628826">
            <w:pPr>
              <w:jc w:val="right"/>
              <w:rPr>
                <w:rFonts w:ascii="Calibri" w:hAnsi="Calibri"/>
                <w:sz w:val="20"/>
                <w:szCs w:val="20"/>
              </w:rPr>
            </w:pPr>
            <w:r>
              <w:rPr>
                <w:rFonts w:ascii="Calibri" w:hAnsi="Calibri"/>
                <w:sz w:val="20"/>
                <w:szCs w:val="20"/>
              </w:rPr>
              <w:t>79,358,231.64</w:t>
            </w:r>
          </w:p>
        </w:tc>
        <w:tc>
          <w:tcPr>
            <w:tcW w:w="2018" w:type="dxa"/>
            <w:tcBorders>
              <w:top w:val="outset" w:color="auto" w:sz="4" w:space="0"/>
              <w:left w:val="outset" w:color="auto" w:sz="4" w:space="0"/>
              <w:bottom w:val="outset" w:color="auto" w:sz="4" w:space="0"/>
              <w:right w:val="outset" w:color="auto" w:sz="4" w:space="0"/>
            </w:tcBorders>
            <w:vAlign w:val="center"/>
          </w:tcPr>
          <w:p w14:paraId="11BDC7BF">
            <w:pPr>
              <w:jc w:val="right"/>
              <w:rPr>
                <w:rFonts w:ascii="Calibri" w:hAnsi="Calibri"/>
                <w:sz w:val="20"/>
                <w:szCs w:val="20"/>
              </w:rPr>
            </w:pPr>
            <w:r>
              <w:rPr>
                <w:rFonts w:ascii="Calibri" w:hAnsi="Calibri"/>
                <w:sz w:val="20"/>
                <w:szCs w:val="20"/>
              </w:rPr>
              <w:t>122,210,072.71</w:t>
            </w:r>
          </w:p>
        </w:tc>
      </w:tr>
      <w:tr w14:paraId="1B4E8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22F1BAE">
            <w:pPr>
              <w:ind w:firstLine="1100" w:firstLineChars="550"/>
              <w:rPr>
                <w:rFonts w:ascii="Calibri" w:hAnsi="Calibri"/>
                <w:sz w:val="20"/>
                <w:szCs w:val="20"/>
              </w:rPr>
            </w:pPr>
            <w:r>
              <w:rPr>
                <w:rFonts w:hint="eastAsia" w:ascii="Calibri" w:hAnsi="Calibri"/>
                <w:sz w:val="20"/>
                <w:szCs w:val="20"/>
              </w:rPr>
              <w:t>以摊余成本计量的金融资产终止确认收益</w:t>
            </w:r>
          </w:p>
        </w:tc>
        <w:tc>
          <w:tcPr>
            <w:tcW w:w="1516" w:type="dxa"/>
            <w:tcBorders>
              <w:top w:val="outset" w:color="auto" w:sz="4" w:space="0"/>
              <w:left w:val="outset" w:color="auto" w:sz="4" w:space="0"/>
              <w:bottom w:val="outset" w:color="auto" w:sz="4" w:space="0"/>
              <w:right w:val="outset" w:color="auto" w:sz="4" w:space="0"/>
            </w:tcBorders>
            <w:vAlign w:val="center"/>
          </w:tcPr>
          <w:p w14:paraId="39A9FED5">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1C0E4081">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0174CB7E">
            <w:pPr>
              <w:jc w:val="right"/>
              <w:rPr>
                <w:rFonts w:ascii="Calibri" w:hAnsi="Calibri"/>
                <w:sz w:val="20"/>
                <w:szCs w:val="20"/>
              </w:rPr>
            </w:pPr>
          </w:p>
        </w:tc>
      </w:tr>
      <w:tr w14:paraId="37D02C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505B134A">
            <w:pPr>
              <w:ind w:firstLine="600" w:firstLineChars="300"/>
              <w:rPr>
                <w:rFonts w:ascii="Calibri" w:hAnsi="Calibri"/>
                <w:sz w:val="20"/>
                <w:szCs w:val="20"/>
              </w:rPr>
            </w:pPr>
            <w:r>
              <w:rPr>
                <w:rFonts w:hint="eastAsia" w:ascii="Calibri" w:hAnsi="Calibri"/>
                <w:sz w:val="20"/>
                <w:szCs w:val="20"/>
              </w:rPr>
              <w:t>汇兑收益（损失以“－”号填列）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0AFA6233">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723638B3">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418EAC67">
            <w:pPr>
              <w:jc w:val="right"/>
              <w:rPr>
                <w:rFonts w:ascii="Calibri" w:hAnsi="Calibri"/>
                <w:sz w:val="20"/>
                <w:szCs w:val="20"/>
              </w:rPr>
            </w:pPr>
          </w:p>
        </w:tc>
      </w:tr>
      <w:tr w14:paraId="1A1499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F0E4748">
            <w:pPr>
              <w:ind w:firstLine="600" w:firstLineChars="300"/>
              <w:rPr>
                <w:rFonts w:ascii="Calibri" w:hAnsi="Calibri"/>
                <w:sz w:val="20"/>
                <w:szCs w:val="20"/>
              </w:rPr>
            </w:pPr>
            <w:r>
              <w:rPr>
                <w:rFonts w:hint="eastAsia" w:ascii="Calibri" w:hAnsi="Calibri"/>
                <w:sz w:val="20"/>
                <w:szCs w:val="20"/>
              </w:rPr>
              <w:t>净敞口套期收益（损失以“</w:t>
            </w:r>
            <w:r>
              <w:rPr>
                <w:rFonts w:ascii="Calibri" w:hAnsi="Calibri"/>
                <w:sz w:val="20"/>
                <w:szCs w:val="20"/>
              </w:rPr>
              <w:t>-”号填列）</w:t>
            </w:r>
          </w:p>
        </w:tc>
        <w:tc>
          <w:tcPr>
            <w:tcW w:w="1516" w:type="dxa"/>
            <w:tcBorders>
              <w:top w:val="outset" w:color="auto" w:sz="4" w:space="0"/>
              <w:left w:val="outset" w:color="auto" w:sz="4" w:space="0"/>
              <w:bottom w:val="outset" w:color="auto" w:sz="4" w:space="0"/>
              <w:right w:val="outset" w:color="auto" w:sz="4" w:space="0"/>
            </w:tcBorders>
            <w:vAlign w:val="center"/>
          </w:tcPr>
          <w:p w14:paraId="48EB6651">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6A62089F">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7E4287CF">
            <w:pPr>
              <w:jc w:val="right"/>
              <w:rPr>
                <w:rFonts w:ascii="Calibri" w:hAnsi="Calibri"/>
                <w:sz w:val="20"/>
                <w:szCs w:val="20"/>
              </w:rPr>
            </w:pPr>
          </w:p>
        </w:tc>
      </w:tr>
      <w:tr w14:paraId="4967E9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D6E5BCA">
            <w:pPr>
              <w:ind w:firstLine="600" w:firstLineChars="300"/>
              <w:rPr>
                <w:rFonts w:ascii="Calibri" w:hAnsi="Calibri"/>
                <w:color w:val="000000"/>
                <w:sz w:val="20"/>
                <w:szCs w:val="20"/>
              </w:rPr>
            </w:pPr>
            <w:r>
              <w:rPr>
                <w:rFonts w:hint="eastAsia" w:ascii="Calibri" w:hAnsi="Calibri"/>
                <w:sz w:val="20"/>
                <w:szCs w:val="20"/>
              </w:rPr>
              <w:t>公允价值变动收益（损失以“－”号填列）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46023456">
            <w:pPr>
              <w:pStyle w:val="48"/>
              <w:jc w:val="center"/>
              <w:rPr>
                <w:sz w:val="20"/>
                <w:szCs w:val="20"/>
              </w:rPr>
            </w:pPr>
            <w:r>
              <w:rPr>
                <w:rFonts w:hint="eastAsia"/>
                <w:sz w:val="20"/>
                <w:szCs w:val="20"/>
              </w:rPr>
              <w:t>7</w:t>
            </w:r>
            <w:r>
              <w:rPr>
                <w:sz w:val="20"/>
                <w:szCs w:val="20"/>
              </w:rPr>
              <w:t>0</w:t>
            </w:r>
          </w:p>
        </w:tc>
        <w:tc>
          <w:tcPr>
            <w:tcW w:w="2008" w:type="dxa"/>
            <w:tcBorders>
              <w:top w:val="outset" w:color="auto" w:sz="4" w:space="0"/>
              <w:left w:val="outset" w:color="auto" w:sz="4" w:space="0"/>
              <w:bottom w:val="outset" w:color="auto" w:sz="4" w:space="0"/>
              <w:right w:val="outset" w:color="auto" w:sz="4" w:space="0"/>
            </w:tcBorders>
            <w:vAlign w:val="center"/>
          </w:tcPr>
          <w:p w14:paraId="7B2F09C7">
            <w:pPr>
              <w:jc w:val="right"/>
              <w:rPr>
                <w:rFonts w:ascii="Calibri" w:hAnsi="Calibri"/>
                <w:sz w:val="20"/>
                <w:szCs w:val="20"/>
              </w:rPr>
            </w:pPr>
            <w:r>
              <w:rPr>
                <w:rFonts w:ascii="Calibri" w:hAnsi="Calibri"/>
                <w:sz w:val="20"/>
                <w:szCs w:val="20"/>
              </w:rPr>
              <w:t>218,438.36</w:t>
            </w:r>
          </w:p>
        </w:tc>
        <w:tc>
          <w:tcPr>
            <w:tcW w:w="2018" w:type="dxa"/>
            <w:tcBorders>
              <w:top w:val="outset" w:color="auto" w:sz="4" w:space="0"/>
              <w:left w:val="outset" w:color="auto" w:sz="4" w:space="0"/>
              <w:bottom w:val="outset" w:color="auto" w:sz="4" w:space="0"/>
              <w:right w:val="outset" w:color="auto" w:sz="4" w:space="0"/>
            </w:tcBorders>
            <w:vAlign w:val="center"/>
          </w:tcPr>
          <w:p w14:paraId="6378435A">
            <w:pPr>
              <w:jc w:val="right"/>
              <w:rPr>
                <w:rFonts w:ascii="Calibri" w:hAnsi="Calibri"/>
                <w:sz w:val="20"/>
                <w:szCs w:val="20"/>
              </w:rPr>
            </w:pPr>
            <w:r>
              <w:rPr>
                <w:rFonts w:ascii="Calibri" w:hAnsi="Calibri"/>
                <w:sz w:val="20"/>
                <w:szCs w:val="20"/>
              </w:rPr>
              <w:t>400,927.52</w:t>
            </w:r>
          </w:p>
        </w:tc>
      </w:tr>
      <w:tr w14:paraId="34A028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32008AFF">
            <w:pPr>
              <w:ind w:firstLine="600" w:firstLineChars="300"/>
              <w:rPr>
                <w:rFonts w:ascii="Calibri" w:hAnsi="Calibri"/>
                <w:sz w:val="20"/>
                <w:szCs w:val="20"/>
              </w:rPr>
            </w:pPr>
            <w:r>
              <w:rPr>
                <w:rFonts w:hint="eastAsia" w:ascii="Calibri" w:hAnsi="Calibri"/>
                <w:sz w:val="20"/>
                <w:szCs w:val="20"/>
              </w:rPr>
              <w:t>信用减值损失（损失以“</w:t>
            </w:r>
            <w:r>
              <w:rPr>
                <w:rFonts w:ascii="Calibri" w:hAnsi="Calibri"/>
                <w:sz w:val="20"/>
                <w:szCs w:val="20"/>
              </w:rPr>
              <w:t>-”号填列）</w:t>
            </w:r>
          </w:p>
        </w:tc>
        <w:tc>
          <w:tcPr>
            <w:tcW w:w="1516" w:type="dxa"/>
            <w:tcBorders>
              <w:top w:val="outset" w:color="auto" w:sz="4" w:space="0"/>
              <w:left w:val="outset" w:color="auto" w:sz="4" w:space="0"/>
              <w:bottom w:val="outset" w:color="auto" w:sz="4" w:space="0"/>
              <w:right w:val="outset" w:color="auto" w:sz="4" w:space="0"/>
            </w:tcBorders>
            <w:vAlign w:val="center"/>
          </w:tcPr>
          <w:p w14:paraId="7D1261AD">
            <w:pPr>
              <w:pStyle w:val="48"/>
              <w:jc w:val="center"/>
              <w:rPr>
                <w:sz w:val="20"/>
                <w:szCs w:val="20"/>
              </w:rPr>
            </w:pPr>
            <w:r>
              <w:rPr>
                <w:rFonts w:hint="eastAsia"/>
                <w:sz w:val="20"/>
                <w:szCs w:val="20"/>
              </w:rPr>
              <w:t>7</w:t>
            </w:r>
            <w:r>
              <w:rPr>
                <w:sz w:val="20"/>
                <w:szCs w:val="20"/>
              </w:rPr>
              <w:t>1</w:t>
            </w:r>
          </w:p>
        </w:tc>
        <w:tc>
          <w:tcPr>
            <w:tcW w:w="2008" w:type="dxa"/>
            <w:tcBorders>
              <w:top w:val="outset" w:color="auto" w:sz="4" w:space="0"/>
              <w:left w:val="outset" w:color="auto" w:sz="4" w:space="0"/>
              <w:bottom w:val="outset" w:color="auto" w:sz="4" w:space="0"/>
              <w:right w:val="outset" w:color="auto" w:sz="4" w:space="0"/>
            </w:tcBorders>
            <w:vAlign w:val="center"/>
          </w:tcPr>
          <w:p w14:paraId="66D4E774">
            <w:pPr>
              <w:jc w:val="right"/>
              <w:rPr>
                <w:rFonts w:ascii="Calibri" w:hAnsi="Calibri"/>
                <w:sz w:val="20"/>
                <w:szCs w:val="20"/>
              </w:rPr>
            </w:pPr>
            <w:r>
              <w:rPr>
                <w:rFonts w:ascii="Calibri" w:hAnsi="Calibri"/>
                <w:sz w:val="20"/>
                <w:szCs w:val="20"/>
              </w:rPr>
              <w:t>2,894,312.79</w:t>
            </w:r>
          </w:p>
        </w:tc>
        <w:tc>
          <w:tcPr>
            <w:tcW w:w="2018" w:type="dxa"/>
            <w:tcBorders>
              <w:top w:val="outset" w:color="auto" w:sz="4" w:space="0"/>
              <w:left w:val="outset" w:color="auto" w:sz="4" w:space="0"/>
              <w:bottom w:val="outset" w:color="auto" w:sz="4" w:space="0"/>
              <w:right w:val="outset" w:color="auto" w:sz="4" w:space="0"/>
            </w:tcBorders>
            <w:vAlign w:val="center"/>
          </w:tcPr>
          <w:p w14:paraId="01B7D72B">
            <w:pPr>
              <w:jc w:val="right"/>
              <w:rPr>
                <w:rFonts w:ascii="Calibri" w:hAnsi="Calibri"/>
                <w:sz w:val="20"/>
                <w:szCs w:val="20"/>
              </w:rPr>
            </w:pPr>
            <w:r>
              <w:rPr>
                <w:rFonts w:ascii="Calibri" w:hAnsi="Calibri"/>
                <w:sz w:val="20"/>
                <w:szCs w:val="20"/>
              </w:rPr>
              <w:t>15,553,850.56</w:t>
            </w:r>
          </w:p>
        </w:tc>
      </w:tr>
      <w:tr w14:paraId="49B80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912BFE4">
            <w:pPr>
              <w:ind w:firstLine="600" w:firstLineChars="300"/>
              <w:rPr>
                <w:rFonts w:ascii="Calibri" w:hAnsi="Calibri"/>
                <w:sz w:val="20"/>
                <w:szCs w:val="20"/>
              </w:rPr>
            </w:pPr>
            <w:r>
              <w:rPr>
                <w:rFonts w:hint="eastAsia" w:ascii="Calibri" w:hAnsi="Calibri"/>
                <w:sz w:val="20"/>
                <w:szCs w:val="20"/>
              </w:rPr>
              <w:t>资产减值损失（损失以“</w:t>
            </w:r>
            <w:r>
              <w:rPr>
                <w:rFonts w:ascii="Calibri" w:hAnsi="Calibri"/>
                <w:sz w:val="20"/>
                <w:szCs w:val="20"/>
              </w:rPr>
              <w:t>-”号填列）</w:t>
            </w:r>
          </w:p>
        </w:tc>
        <w:tc>
          <w:tcPr>
            <w:tcW w:w="1516" w:type="dxa"/>
            <w:tcBorders>
              <w:top w:val="outset" w:color="auto" w:sz="4" w:space="0"/>
              <w:left w:val="outset" w:color="auto" w:sz="4" w:space="0"/>
              <w:bottom w:val="outset" w:color="auto" w:sz="4" w:space="0"/>
              <w:right w:val="outset" w:color="auto" w:sz="4" w:space="0"/>
            </w:tcBorders>
            <w:vAlign w:val="center"/>
          </w:tcPr>
          <w:p w14:paraId="43092D9B">
            <w:pPr>
              <w:pStyle w:val="48"/>
              <w:jc w:val="center"/>
              <w:rPr>
                <w:sz w:val="20"/>
                <w:szCs w:val="20"/>
              </w:rPr>
            </w:pPr>
            <w:r>
              <w:rPr>
                <w:rFonts w:hint="eastAsia"/>
                <w:sz w:val="20"/>
                <w:szCs w:val="20"/>
              </w:rPr>
              <w:t>7</w:t>
            </w:r>
            <w:r>
              <w:rPr>
                <w:sz w:val="20"/>
                <w:szCs w:val="20"/>
              </w:rPr>
              <w:t>2</w:t>
            </w:r>
          </w:p>
        </w:tc>
        <w:tc>
          <w:tcPr>
            <w:tcW w:w="2008" w:type="dxa"/>
            <w:tcBorders>
              <w:top w:val="outset" w:color="auto" w:sz="4" w:space="0"/>
              <w:left w:val="outset" w:color="auto" w:sz="4" w:space="0"/>
              <w:bottom w:val="outset" w:color="auto" w:sz="4" w:space="0"/>
              <w:right w:val="outset" w:color="auto" w:sz="4" w:space="0"/>
            </w:tcBorders>
            <w:vAlign w:val="center"/>
          </w:tcPr>
          <w:p w14:paraId="0433836A">
            <w:pPr>
              <w:jc w:val="right"/>
              <w:rPr>
                <w:rFonts w:ascii="Calibri" w:hAnsi="Calibri"/>
                <w:sz w:val="20"/>
                <w:szCs w:val="20"/>
              </w:rPr>
            </w:pPr>
            <w:r>
              <w:rPr>
                <w:rFonts w:ascii="Calibri" w:hAnsi="Calibri"/>
                <w:sz w:val="20"/>
                <w:szCs w:val="20"/>
              </w:rPr>
              <w:t>-189,156,061.43</w:t>
            </w:r>
          </w:p>
        </w:tc>
        <w:tc>
          <w:tcPr>
            <w:tcW w:w="2018" w:type="dxa"/>
            <w:tcBorders>
              <w:top w:val="outset" w:color="auto" w:sz="4" w:space="0"/>
              <w:left w:val="outset" w:color="auto" w:sz="4" w:space="0"/>
              <w:bottom w:val="outset" w:color="auto" w:sz="4" w:space="0"/>
              <w:right w:val="outset" w:color="auto" w:sz="4" w:space="0"/>
            </w:tcBorders>
            <w:vAlign w:val="center"/>
          </w:tcPr>
          <w:p w14:paraId="72CE28CF">
            <w:pPr>
              <w:jc w:val="right"/>
              <w:rPr>
                <w:rFonts w:ascii="Calibri" w:hAnsi="Calibri"/>
                <w:sz w:val="20"/>
                <w:szCs w:val="20"/>
              </w:rPr>
            </w:pPr>
            <w:r>
              <w:rPr>
                <w:rFonts w:ascii="Calibri" w:hAnsi="Calibri"/>
                <w:sz w:val="20"/>
                <w:szCs w:val="20"/>
              </w:rPr>
              <w:t>-103,632,090.32</w:t>
            </w:r>
          </w:p>
        </w:tc>
      </w:tr>
      <w:tr w14:paraId="7C3E78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38BC803">
            <w:pPr>
              <w:ind w:firstLine="600" w:firstLineChars="300"/>
              <w:rPr>
                <w:rFonts w:ascii="Calibri" w:hAnsi="Calibri"/>
                <w:sz w:val="20"/>
                <w:szCs w:val="20"/>
              </w:rPr>
            </w:pPr>
            <w:r>
              <w:rPr>
                <w:rFonts w:hint="eastAsia" w:ascii="Calibri" w:hAnsi="Calibri"/>
                <w:sz w:val="20"/>
                <w:szCs w:val="20"/>
              </w:rPr>
              <w:t>资产处置收益（损失以“－”号填列）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07200CA9">
            <w:pPr>
              <w:pStyle w:val="48"/>
              <w:jc w:val="center"/>
              <w:rPr>
                <w:sz w:val="20"/>
                <w:szCs w:val="20"/>
              </w:rPr>
            </w:pPr>
            <w:r>
              <w:rPr>
                <w:rFonts w:hint="eastAsia"/>
                <w:sz w:val="20"/>
                <w:szCs w:val="20"/>
              </w:rPr>
              <w:t>7</w:t>
            </w:r>
            <w:r>
              <w:rPr>
                <w:sz w:val="20"/>
                <w:szCs w:val="20"/>
              </w:rPr>
              <w:t>3</w:t>
            </w:r>
          </w:p>
        </w:tc>
        <w:tc>
          <w:tcPr>
            <w:tcW w:w="2008" w:type="dxa"/>
            <w:tcBorders>
              <w:top w:val="outset" w:color="auto" w:sz="4" w:space="0"/>
              <w:left w:val="outset" w:color="auto" w:sz="4" w:space="0"/>
              <w:bottom w:val="outset" w:color="auto" w:sz="4" w:space="0"/>
              <w:right w:val="outset" w:color="auto" w:sz="4" w:space="0"/>
            </w:tcBorders>
            <w:vAlign w:val="center"/>
          </w:tcPr>
          <w:p w14:paraId="76B9E708">
            <w:pPr>
              <w:jc w:val="right"/>
              <w:rPr>
                <w:rFonts w:ascii="Calibri" w:hAnsi="Calibri"/>
                <w:sz w:val="20"/>
                <w:szCs w:val="20"/>
              </w:rPr>
            </w:pPr>
            <w:r>
              <w:rPr>
                <w:rFonts w:ascii="Calibri" w:hAnsi="Calibri"/>
                <w:sz w:val="20"/>
                <w:szCs w:val="20"/>
              </w:rPr>
              <w:t>-3,115,164.54</w:t>
            </w:r>
          </w:p>
        </w:tc>
        <w:tc>
          <w:tcPr>
            <w:tcW w:w="2018" w:type="dxa"/>
            <w:tcBorders>
              <w:top w:val="outset" w:color="auto" w:sz="4" w:space="0"/>
              <w:left w:val="outset" w:color="auto" w:sz="4" w:space="0"/>
              <w:bottom w:val="outset" w:color="auto" w:sz="4" w:space="0"/>
              <w:right w:val="outset" w:color="auto" w:sz="4" w:space="0"/>
            </w:tcBorders>
            <w:vAlign w:val="center"/>
          </w:tcPr>
          <w:p w14:paraId="4031271C">
            <w:pPr>
              <w:jc w:val="right"/>
              <w:rPr>
                <w:rFonts w:ascii="Calibri" w:hAnsi="Calibri"/>
                <w:sz w:val="20"/>
                <w:szCs w:val="20"/>
              </w:rPr>
            </w:pPr>
            <w:r>
              <w:rPr>
                <w:rFonts w:ascii="Calibri" w:hAnsi="Calibri"/>
                <w:sz w:val="20"/>
                <w:szCs w:val="20"/>
              </w:rPr>
              <w:t>15,128,834.28</w:t>
            </w:r>
          </w:p>
        </w:tc>
      </w:tr>
      <w:tr w14:paraId="1DEB1F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7EDB301">
            <w:pPr>
              <w:rPr>
                <w:rFonts w:ascii="Calibri" w:hAnsi="Calibri"/>
                <w:color w:val="000000"/>
                <w:sz w:val="20"/>
                <w:szCs w:val="20"/>
              </w:rPr>
            </w:pPr>
            <w:r>
              <w:rPr>
                <w:rFonts w:hint="eastAsia" w:ascii="Calibri" w:hAnsi="Calibri"/>
                <w:sz w:val="20"/>
                <w:szCs w:val="20"/>
              </w:rPr>
              <w:t>三、营业利润（亏损以“－”号填列）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3C91D4ED">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1B89A9E0">
            <w:pPr>
              <w:jc w:val="right"/>
              <w:rPr>
                <w:rFonts w:ascii="Calibri" w:hAnsi="Calibri"/>
                <w:sz w:val="20"/>
                <w:szCs w:val="20"/>
              </w:rPr>
            </w:pPr>
            <w:r>
              <w:rPr>
                <w:rFonts w:ascii="Calibri" w:hAnsi="Calibri"/>
                <w:sz w:val="20"/>
                <w:szCs w:val="20"/>
              </w:rPr>
              <w:t>1,574,531,177.39</w:t>
            </w:r>
          </w:p>
        </w:tc>
        <w:tc>
          <w:tcPr>
            <w:tcW w:w="2018" w:type="dxa"/>
            <w:tcBorders>
              <w:top w:val="outset" w:color="auto" w:sz="4" w:space="0"/>
              <w:left w:val="outset" w:color="auto" w:sz="4" w:space="0"/>
              <w:bottom w:val="outset" w:color="auto" w:sz="4" w:space="0"/>
              <w:right w:val="outset" w:color="auto" w:sz="4" w:space="0"/>
            </w:tcBorders>
            <w:vAlign w:val="center"/>
          </w:tcPr>
          <w:p w14:paraId="7A32E45E">
            <w:pPr>
              <w:jc w:val="right"/>
              <w:rPr>
                <w:rFonts w:ascii="Calibri" w:hAnsi="Calibri"/>
                <w:sz w:val="20"/>
                <w:szCs w:val="20"/>
              </w:rPr>
            </w:pPr>
            <w:r>
              <w:rPr>
                <w:rFonts w:ascii="Calibri" w:hAnsi="Calibri"/>
                <w:sz w:val="20"/>
                <w:szCs w:val="20"/>
              </w:rPr>
              <w:t>169,655,326.65</w:t>
            </w:r>
          </w:p>
        </w:tc>
      </w:tr>
      <w:tr w14:paraId="1F162A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5384F3B3">
            <w:pPr>
              <w:ind w:firstLine="200" w:firstLineChars="100"/>
              <w:rPr>
                <w:rFonts w:ascii="Calibri" w:hAnsi="Calibri"/>
                <w:sz w:val="20"/>
                <w:szCs w:val="20"/>
              </w:rPr>
            </w:pPr>
            <w:r>
              <w:rPr>
                <w:rFonts w:hint="eastAsia" w:ascii="Calibri" w:hAnsi="Calibri"/>
                <w:sz w:val="20"/>
                <w:szCs w:val="20"/>
              </w:rPr>
              <w:t>加：营业外收入</w:t>
            </w:r>
          </w:p>
        </w:tc>
        <w:tc>
          <w:tcPr>
            <w:tcW w:w="1516" w:type="dxa"/>
            <w:tcBorders>
              <w:top w:val="outset" w:color="auto" w:sz="4" w:space="0"/>
              <w:left w:val="outset" w:color="auto" w:sz="4" w:space="0"/>
              <w:bottom w:val="outset" w:color="auto" w:sz="4" w:space="0"/>
              <w:right w:val="outset" w:color="auto" w:sz="4" w:space="0"/>
            </w:tcBorders>
            <w:vAlign w:val="center"/>
          </w:tcPr>
          <w:p w14:paraId="64066D0D">
            <w:pPr>
              <w:pStyle w:val="48"/>
              <w:jc w:val="center"/>
              <w:rPr>
                <w:sz w:val="20"/>
                <w:szCs w:val="20"/>
              </w:rPr>
            </w:pPr>
            <w:r>
              <w:rPr>
                <w:rFonts w:hint="eastAsia"/>
                <w:sz w:val="20"/>
                <w:szCs w:val="20"/>
              </w:rPr>
              <w:t>7</w:t>
            </w:r>
            <w:r>
              <w:rPr>
                <w:sz w:val="20"/>
                <w:szCs w:val="20"/>
              </w:rPr>
              <w:t>4</w:t>
            </w:r>
          </w:p>
        </w:tc>
        <w:tc>
          <w:tcPr>
            <w:tcW w:w="2008" w:type="dxa"/>
            <w:tcBorders>
              <w:top w:val="outset" w:color="auto" w:sz="4" w:space="0"/>
              <w:left w:val="outset" w:color="auto" w:sz="4" w:space="0"/>
              <w:bottom w:val="outset" w:color="auto" w:sz="4" w:space="0"/>
              <w:right w:val="outset" w:color="auto" w:sz="4" w:space="0"/>
            </w:tcBorders>
            <w:vAlign w:val="center"/>
          </w:tcPr>
          <w:p w14:paraId="1EB346AE">
            <w:pPr>
              <w:jc w:val="right"/>
              <w:rPr>
                <w:rFonts w:ascii="Calibri" w:hAnsi="Calibri"/>
                <w:sz w:val="20"/>
                <w:szCs w:val="20"/>
              </w:rPr>
            </w:pPr>
            <w:r>
              <w:rPr>
                <w:rFonts w:ascii="Calibri" w:hAnsi="Calibri"/>
                <w:sz w:val="20"/>
                <w:szCs w:val="20"/>
              </w:rPr>
              <w:t>269,193.99</w:t>
            </w:r>
          </w:p>
        </w:tc>
        <w:tc>
          <w:tcPr>
            <w:tcW w:w="2018" w:type="dxa"/>
            <w:tcBorders>
              <w:top w:val="outset" w:color="auto" w:sz="4" w:space="0"/>
              <w:left w:val="outset" w:color="auto" w:sz="4" w:space="0"/>
              <w:bottom w:val="outset" w:color="auto" w:sz="4" w:space="0"/>
              <w:right w:val="outset" w:color="auto" w:sz="4" w:space="0"/>
            </w:tcBorders>
            <w:vAlign w:val="center"/>
          </w:tcPr>
          <w:p w14:paraId="3298E9AB">
            <w:pPr>
              <w:jc w:val="right"/>
              <w:rPr>
                <w:rFonts w:ascii="Calibri" w:hAnsi="Calibri"/>
                <w:sz w:val="20"/>
                <w:szCs w:val="20"/>
              </w:rPr>
            </w:pPr>
            <w:r>
              <w:rPr>
                <w:rFonts w:ascii="Calibri" w:hAnsi="Calibri"/>
                <w:sz w:val="20"/>
                <w:szCs w:val="20"/>
              </w:rPr>
              <w:t>9,568,874.59</w:t>
            </w:r>
          </w:p>
        </w:tc>
      </w:tr>
      <w:tr w14:paraId="42E017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3B6C5BD0">
            <w:pPr>
              <w:ind w:firstLine="200" w:firstLineChars="100"/>
              <w:rPr>
                <w:rFonts w:ascii="Calibri" w:hAnsi="Calibri"/>
                <w:sz w:val="20"/>
                <w:szCs w:val="20"/>
              </w:rPr>
            </w:pPr>
            <w:r>
              <w:rPr>
                <w:rFonts w:hint="eastAsia" w:ascii="Calibri" w:hAnsi="Calibri"/>
                <w:sz w:val="20"/>
                <w:szCs w:val="20"/>
              </w:rPr>
              <w:t>减：营业外支出</w:t>
            </w:r>
          </w:p>
        </w:tc>
        <w:tc>
          <w:tcPr>
            <w:tcW w:w="1516" w:type="dxa"/>
            <w:tcBorders>
              <w:top w:val="outset" w:color="auto" w:sz="4" w:space="0"/>
              <w:left w:val="outset" w:color="auto" w:sz="4" w:space="0"/>
              <w:bottom w:val="outset" w:color="auto" w:sz="4" w:space="0"/>
              <w:right w:val="outset" w:color="auto" w:sz="4" w:space="0"/>
            </w:tcBorders>
            <w:vAlign w:val="center"/>
          </w:tcPr>
          <w:p w14:paraId="60E4402D">
            <w:pPr>
              <w:pStyle w:val="48"/>
              <w:jc w:val="center"/>
              <w:rPr>
                <w:sz w:val="20"/>
                <w:szCs w:val="20"/>
              </w:rPr>
            </w:pPr>
            <w:r>
              <w:rPr>
                <w:rFonts w:hint="eastAsia"/>
                <w:sz w:val="20"/>
                <w:szCs w:val="20"/>
              </w:rPr>
              <w:t>7</w:t>
            </w:r>
            <w:r>
              <w:rPr>
                <w:sz w:val="20"/>
                <w:szCs w:val="20"/>
              </w:rPr>
              <w:t>5</w:t>
            </w:r>
          </w:p>
        </w:tc>
        <w:tc>
          <w:tcPr>
            <w:tcW w:w="2008" w:type="dxa"/>
            <w:tcBorders>
              <w:top w:val="outset" w:color="auto" w:sz="4" w:space="0"/>
              <w:left w:val="outset" w:color="auto" w:sz="4" w:space="0"/>
              <w:bottom w:val="outset" w:color="auto" w:sz="4" w:space="0"/>
              <w:right w:val="outset" w:color="auto" w:sz="4" w:space="0"/>
            </w:tcBorders>
            <w:vAlign w:val="center"/>
          </w:tcPr>
          <w:p w14:paraId="24007FA8">
            <w:pPr>
              <w:jc w:val="right"/>
              <w:rPr>
                <w:rFonts w:ascii="Calibri" w:hAnsi="Calibri"/>
                <w:sz w:val="20"/>
                <w:szCs w:val="20"/>
              </w:rPr>
            </w:pPr>
            <w:r>
              <w:rPr>
                <w:rFonts w:ascii="Calibri" w:hAnsi="Calibri"/>
                <w:sz w:val="20"/>
                <w:szCs w:val="20"/>
              </w:rPr>
              <w:t>97,548,218.04</w:t>
            </w:r>
          </w:p>
        </w:tc>
        <w:tc>
          <w:tcPr>
            <w:tcW w:w="2018" w:type="dxa"/>
            <w:tcBorders>
              <w:top w:val="outset" w:color="auto" w:sz="4" w:space="0"/>
              <w:left w:val="outset" w:color="auto" w:sz="4" w:space="0"/>
              <w:bottom w:val="outset" w:color="auto" w:sz="4" w:space="0"/>
              <w:right w:val="outset" w:color="auto" w:sz="4" w:space="0"/>
            </w:tcBorders>
            <w:vAlign w:val="center"/>
          </w:tcPr>
          <w:p w14:paraId="2B02BA4C">
            <w:pPr>
              <w:jc w:val="right"/>
              <w:rPr>
                <w:rFonts w:ascii="Calibri" w:hAnsi="Calibri"/>
                <w:sz w:val="20"/>
                <w:szCs w:val="20"/>
              </w:rPr>
            </w:pPr>
            <w:r>
              <w:rPr>
                <w:rFonts w:ascii="Calibri" w:hAnsi="Calibri"/>
                <w:sz w:val="20"/>
                <w:szCs w:val="20"/>
              </w:rPr>
              <w:t>321,502,948.36</w:t>
            </w:r>
          </w:p>
        </w:tc>
      </w:tr>
      <w:tr w14:paraId="6F9023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23BCF3FE">
            <w:pPr>
              <w:rPr>
                <w:rFonts w:ascii="Calibri" w:hAnsi="Calibri"/>
                <w:color w:val="000000"/>
                <w:sz w:val="20"/>
                <w:szCs w:val="20"/>
              </w:rPr>
            </w:pPr>
            <w:r>
              <w:rPr>
                <w:rFonts w:hint="eastAsia" w:ascii="Calibri" w:hAnsi="Calibri"/>
                <w:sz w:val="20"/>
                <w:szCs w:val="20"/>
              </w:rPr>
              <w:t>四、利润总额（亏损总额以</w:t>
            </w:r>
            <w:r>
              <w:rPr>
                <w:rFonts w:ascii="Calibri" w:hAnsi="Calibri"/>
                <w:sz w:val="20"/>
                <w:szCs w:val="20"/>
              </w:rPr>
              <w:t>“</w:t>
            </w:r>
            <w:r>
              <w:rPr>
                <w:rFonts w:hint="eastAsia" w:ascii="Calibri" w:hAnsi="Calibri"/>
                <w:sz w:val="20"/>
                <w:szCs w:val="20"/>
              </w:rPr>
              <w:t>－</w:t>
            </w:r>
            <w:r>
              <w:rPr>
                <w:rFonts w:ascii="Calibri" w:hAnsi="Calibri"/>
                <w:sz w:val="20"/>
                <w:szCs w:val="20"/>
              </w:rPr>
              <w:t>”</w:t>
            </w:r>
            <w:r>
              <w:rPr>
                <w:rFonts w:hint="eastAsia" w:ascii="Calibri" w:hAnsi="Calibri"/>
                <w:sz w:val="20"/>
                <w:szCs w:val="20"/>
              </w:rPr>
              <w:t>号填列）</w:t>
            </w:r>
          </w:p>
        </w:tc>
        <w:tc>
          <w:tcPr>
            <w:tcW w:w="1516" w:type="dxa"/>
            <w:tcBorders>
              <w:top w:val="outset" w:color="auto" w:sz="4" w:space="0"/>
              <w:left w:val="outset" w:color="auto" w:sz="4" w:space="0"/>
              <w:bottom w:val="outset" w:color="auto" w:sz="4" w:space="0"/>
              <w:right w:val="outset" w:color="auto" w:sz="4" w:space="0"/>
            </w:tcBorders>
            <w:vAlign w:val="center"/>
          </w:tcPr>
          <w:p w14:paraId="45F37ED4">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288034E0">
            <w:pPr>
              <w:jc w:val="right"/>
              <w:rPr>
                <w:rFonts w:ascii="Calibri" w:hAnsi="Calibri"/>
                <w:sz w:val="20"/>
                <w:szCs w:val="20"/>
              </w:rPr>
            </w:pPr>
            <w:r>
              <w:rPr>
                <w:rFonts w:ascii="Calibri" w:hAnsi="Calibri"/>
                <w:sz w:val="20"/>
                <w:szCs w:val="20"/>
              </w:rPr>
              <w:t>1,477,252,153.34</w:t>
            </w:r>
          </w:p>
        </w:tc>
        <w:tc>
          <w:tcPr>
            <w:tcW w:w="2018" w:type="dxa"/>
            <w:tcBorders>
              <w:top w:val="outset" w:color="auto" w:sz="4" w:space="0"/>
              <w:left w:val="outset" w:color="auto" w:sz="4" w:space="0"/>
              <w:bottom w:val="outset" w:color="auto" w:sz="4" w:space="0"/>
              <w:right w:val="outset" w:color="auto" w:sz="4" w:space="0"/>
            </w:tcBorders>
            <w:vAlign w:val="center"/>
          </w:tcPr>
          <w:p w14:paraId="6CE7FF20">
            <w:pPr>
              <w:jc w:val="right"/>
              <w:rPr>
                <w:rFonts w:ascii="Calibri" w:hAnsi="Calibri"/>
                <w:sz w:val="20"/>
                <w:szCs w:val="20"/>
              </w:rPr>
            </w:pPr>
            <w:r>
              <w:rPr>
                <w:rFonts w:ascii="Calibri" w:hAnsi="Calibri"/>
                <w:sz w:val="20"/>
                <w:szCs w:val="20"/>
              </w:rPr>
              <w:t>-142,278,747.12</w:t>
            </w:r>
          </w:p>
        </w:tc>
      </w:tr>
      <w:tr w14:paraId="4DF1D1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5B821E9">
            <w:pPr>
              <w:ind w:firstLine="200" w:firstLineChars="100"/>
              <w:rPr>
                <w:rFonts w:ascii="Calibri" w:hAnsi="Calibri"/>
                <w:color w:val="000000"/>
                <w:sz w:val="20"/>
                <w:szCs w:val="20"/>
              </w:rPr>
            </w:pPr>
            <w:r>
              <w:rPr>
                <w:rFonts w:hint="eastAsia" w:ascii="Calibri" w:hAnsi="Calibri"/>
                <w:sz w:val="20"/>
                <w:szCs w:val="20"/>
              </w:rPr>
              <w:t>减：所得税费用</w:t>
            </w:r>
          </w:p>
        </w:tc>
        <w:tc>
          <w:tcPr>
            <w:tcW w:w="1516" w:type="dxa"/>
            <w:tcBorders>
              <w:top w:val="outset" w:color="auto" w:sz="4" w:space="0"/>
              <w:left w:val="outset" w:color="auto" w:sz="4" w:space="0"/>
              <w:bottom w:val="outset" w:color="auto" w:sz="4" w:space="0"/>
              <w:right w:val="outset" w:color="auto" w:sz="4" w:space="0"/>
            </w:tcBorders>
            <w:vAlign w:val="center"/>
          </w:tcPr>
          <w:p w14:paraId="32266740">
            <w:pPr>
              <w:pStyle w:val="48"/>
              <w:jc w:val="center"/>
              <w:rPr>
                <w:sz w:val="20"/>
                <w:szCs w:val="20"/>
              </w:rPr>
            </w:pPr>
            <w:r>
              <w:rPr>
                <w:rFonts w:hint="eastAsia"/>
                <w:sz w:val="20"/>
                <w:szCs w:val="20"/>
              </w:rPr>
              <w:t>7</w:t>
            </w:r>
            <w:r>
              <w:rPr>
                <w:sz w:val="20"/>
                <w:szCs w:val="20"/>
              </w:rPr>
              <w:t>6</w:t>
            </w:r>
          </w:p>
        </w:tc>
        <w:tc>
          <w:tcPr>
            <w:tcW w:w="2008" w:type="dxa"/>
            <w:tcBorders>
              <w:top w:val="outset" w:color="auto" w:sz="4" w:space="0"/>
              <w:left w:val="outset" w:color="auto" w:sz="4" w:space="0"/>
              <w:bottom w:val="outset" w:color="auto" w:sz="4" w:space="0"/>
              <w:right w:val="outset" w:color="auto" w:sz="4" w:space="0"/>
            </w:tcBorders>
            <w:vAlign w:val="center"/>
          </w:tcPr>
          <w:p w14:paraId="3D93E892">
            <w:pPr>
              <w:jc w:val="right"/>
              <w:rPr>
                <w:rFonts w:ascii="Calibri" w:hAnsi="Calibri"/>
                <w:sz w:val="20"/>
                <w:szCs w:val="20"/>
              </w:rPr>
            </w:pPr>
            <w:r>
              <w:rPr>
                <w:rFonts w:ascii="Calibri" w:hAnsi="Calibri"/>
                <w:sz w:val="20"/>
                <w:szCs w:val="20"/>
              </w:rPr>
              <w:t>280,054,707.54</w:t>
            </w:r>
          </w:p>
        </w:tc>
        <w:tc>
          <w:tcPr>
            <w:tcW w:w="2018" w:type="dxa"/>
            <w:tcBorders>
              <w:top w:val="outset" w:color="auto" w:sz="4" w:space="0"/>
              <w:left w:val="outset" w:color="auto" w:sz="4" w:space="0"/>
              <w:bottom w:val="outset" w:color="auto" w:sz="4" w:space="0"/>
              <w:right w:val="outset" w:color="auto" w:sz="4" w:space="0"/>
            </w:tcBorders>
            <w:vAlign w:val="center"/>
          </w:tcPr>
          <w:p w14:paraId="78D5B71C">
            <w:pPr>
              <w:jc w:val="right"/>
              <w:rPr>
                <w:rFonts w:ascii="Calibri" w:hAnsi="Calibri"/>
                <w:sz w:val="20"/>
                <w:szCs w:val="20"/>
              </w:rPr>
            </w:pPr>
            <w:r>
              <w:rPr>
                <w:rFonts w:ascii="Calibri" w:hAnsi="Calibri"/>
                <w:sz w:val="20"/>
                <w:szCs w:val="20"/>
              </w:rPr>
              <w:t>-99,552,845.62</w:t>
            </w:r>
          </w:p>
        </w:tc>
      </w:tr>
      <w:tr w14:paraId="12BC32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98E318B">
            <w:pPr>
              <w:rPr>
                <w:rFonts w:ascii="Calibri" w:hAnsi="Calibri"/>
                <w:color w:val="000000"/>
                <w:sz w:val="20"/>
                <w:szCs w:val="20"/>
              </w:rPr>
            </w:pPr>
            <w:r>
              <w:rPr>
                <w:rFonts w:hint="eastAsia" w:ascii="Calibri" w:hAnsi="Calibri"/>
                <w:sz w:val="20"/>
                <w:szCs w:val="20"/>
              </w:rPr>
              <w:t>五、净利润（净亏损以</w:t>
            </w:r>
            <w:r>
              <w:rPr>
                <w:rFonts w:ascii="Calibri" w:hAnsi="Calibri"/>
                <w:sz w:val="20"/>
                <w:szCs w:val="20"/>
              </w:rPr>
              <w:t>“</w:t>
            </w:r>
            <w:r>
              <w:rPr>
                <w:rFonts w:hint="eastAsia" w:ascii="Calibri" w:hAnsi="Calibri"/>
                <w:sz w:val="20"/>
                <w:szCs w:val="20"/>
              </w:rPr>
              <w:t>－</w:t>
            </w:r>
            <w:r>
              <w:rPr>
                <w:rFonts w:ascii="Calibri" w:hAnsi="Calibri"/>
                <w:sz w:val="20"/>
                <w:szCs w:val="20"/>
              </w:rPr>
              <w:t>”</w:t>
            </w:r>
            <w:r>
              <w:rPr>
                <w:rFonts w:hint="eastAsia" w:ascii="Calibri" w:hAnsi="Calibri"/>
                <w:sz w:val="20"/>
                <w:szCs w:val="20"/>
              </w:rPr>
              <w:t>号填列）</w:t>
            </w:r>
          </w:p>
        </w:tc>
        <w:tc>
          <w:tcPr>
            <w:tcW w:w="1516" w:type="dxa"/>
            <w:tcBorders>
              <w:top w:val="outset" w:color="auto" w:sz="4" w:space="0"/>
              <w:left w:val="outset" w:color="auto" w:sz="4" w:space="0"/>
              <w:bottom w:val="outset" w:color="auto" w:sz="4" w:space="0"/>
              <w:right w:val="outset" w:color="auto" w:sz="4" w:space="0"/>
            </w:tcBorders>
            <w:vAlign w:val="center"/>
          </w:tcPr>
          <w:p w14:paraId="44884E01">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1B46A06F">
            <w:pPr>
              <w:jc w:val="right"/>
              <w:rPr>
                <w:rFonts w:ascii="Calibri" w:hAnsi="Calibri"/>
                <w:sz w:val="20"/>
                <w:szCs w:val="20"/>
              </w:rPr>
            </w:pPr>
            <w:r>
              <w:rPr>
                <w:rFonts w:ascii="Calibri" w:hAnsi="Calibri"/>
                <w:sz w:val="20"/>
                <w:szCs w:val="20"/>
              </w:rPr>
              <w:t>1,197,197,445.80</w:t>
            </w:r>
          </w:p>
        </w:tc>
        <w:tc>
          <w:tcPr>
            <w:tcW w:w="2018" w:type="dxa"/>
            <w:tcBorders>
              <w:top w:val="outset" w:color="auto" w:sz="4" w:space="0"/>
              <w:left w:val="outset" w:color="auto" w:sz="4" w:space="0"/>
              <w:bottom w:val="outset" w:color="auto" w:sz="4" w:space="0"/>
              <w:right w:val="outset" w:color="auto" w:sz="4" w:space="0"/>
            </w:tcBorders>
            <w:vAlign w:val="center"/>
          </w:tcPr>
          <w:p w14:paraId="12809118">
            <w:pPr>
              <w:jc w:val="right"/>
              <w:rPr>
                <w:rFonts w:ascii="Calibri" w:hAnsi="Calibri"/>
                <w:sz w:val="20"/>
                <w:szCs w:val="20"/>
              </w:rPr>
            </w:pPr>
            <w:r>
              <w:rPr>
                <w:rFonts w:ascii="Calibri" w:hAnsi="Calibri"/>
                <w:sz w:val="20"/>
                <w:szCs w:val="20"/>
              </w:rPr>
              <w:t>-42,725,901.50</w:t>
            </w:r>
          </w:p>
        </w:tc>
      </w:tr>
      <w:tr w14:paraId="4009E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445f61075384ccaafee7a9aff738d9c"/>
            <w:id w:val="301356360"/>
          </w:sdtPr>
          <w:sdtContent>
            <w:tc>
              <w:tcPr>
                <w:tcW w:w="9049" w:type="dxa"/>
                <w:gridSpan w:val="4"/>
                <w:tcBorders>
                  <w:top w:val="outset" w:color="auto" w:sz="4" w:space="0"/>
                  <w:left w:val="outset" w:color="auto" w:sz="4" w:space="0"/>
                  <w:bottom w:val="outset" w:color="auto" w:sz="4" w:space="0"/>
                  <w:right w:val="outset" w:color="auto" w:sz="4" w:space="0"/>
                </w:tcBorders>
                <w:vAlign w:val="center"/>
              </w:tcPr>
              <w:p w14:paraId="0600CA01">
                <w:pPr>
                  <w:pStyle w:val="48"/>
                  <w:rPr>
                    <w:sz w:val="20"/>
                    <w:szCs w:val="20"/>
                  </w:rPr>
                </w:pPr>
                <w:r>
                  <w:rPr>
                    <w:rFonts w:hint="eastAsia"/>
                    <w:sz w:val="20"/>
                    <w:szCs w:val="20"/>
                  </w:rPr>
                  <w:t>（一）</w:t>
                </w:r>
                <w:r>
                  <w:rPr>
                    <w:sz w:val="20"/>
                    <w:szCs w:val="20"/>
                  </w:rPr>
                  <w:t>按经营持续性分类</w:t>
                </w:r>
              </w:p>
            </w:tc>
          </w:sdtContent>
        </w:sdt>
      </w:tr>
      <w:tr w14:paraId="15AA78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07F0182">
            <w:pPr>
              <w:ind w:firstLine="400" w:firstLineChars="200"/>
              <w:rPr>
                <w:rFonts w:ascii="Calibri" w:hAnsi="Calibri"/>
                <w:sz w:val="20"/>
                <w:szCs w:val="20"/>
              </w:rPr>
            </w:pPr>
            <w:r>
              <w:rPr>
                <w:rFonts w:ascii="Calibri" w:hAnsi="Calibri"/>
                <w:sz w:val="20"/>
                <w:szCs w:val="20"/>
              </w:rPr>
              <w:t>1.持续经营净利润（净亏损以“－”号填列）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3A707D67">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75880A4">
            <w:pPr>
              <w:jc w:val="right"/>
              <w:rPr>
                <w:rFonts w:ascii="Calibri" w:hAnsi="Calibri"/>
                <w:sz w:val="20"/>
                <w:szCs w:val="20"/>
              </w:rPr>
            </w:pPr>
            <w:r>
              <w:rPr>
                <w:rFonts w:ascii="Calibri" w:hAnsi="Calibri"/>
                <w:sz w:val="20"/>
                <w:szCs w:val="20"/>
              </w:rPr>
              <w:t>1,197,141,217.41</w:t>
            </w:r>
          </w:p>
        </w:tc>
        <w:tc>
          <w:tcPr>
            <w:tcW w:w="2018" w:type="dxa"/>
            <w:tcBorders>
              <w:top w:val="outset" w:color="auto" w:sz="4" w:space="0"/>
              <w:left w:val="outset" w:color="auto" w:sz="4" w:space="0"/>
              <w:bottom w:val="outset" w:color="auto" w:sz="4" w:space="0"/>
              <w:right w:val="outset" w:color="auto" w:sz="4" w:space="0"/>
            </w:tcBorders>
            <w:vAlign w:val="center"/>
          </w:tcPr>
          <w:p w14:paraId="39F76174">
            <w:pPr>
              <w:jc w:val="right"/>
              <w:rPr>
                <w:rFonts w:ascii="Calibri" w:hAnsi="Calibri"/>
                <w:sz w:val="20"/>
                <w:szCs w:val="20"/>
              </w:rPr>
            </w:pPr>
            <w:r>
              <w:rPr>
                <w:rFonts w:ascii="Calibri" w:hAnsi="Calibri"/>
                <w:sz w:val="20"/>
                <w:szCs w:val="20"/>
              </w:rPr>
              <w:t>-42,548,815.30</w:t>
            </w:r>
          </w:p>
        </w:tc>
      </w:tr>
      <w:tr w14:paraId="12BA79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5BA0232E">
            <w:pPr>
              <w:ind w:firstLine="400" w:firstLineChars="200"/>
              <w:rPr>
                <w:rFonts w:ascii="Calibri" w:hAnsi="Calibri"/>
                <w:sz w:val="20"/>
                <w:szCs w:val="20"/>
              </w:rPr>
            </w:pPr>
            <w:r>
              <w:rPr>
                <w:rFonts w:ascii="Calibri" w:hAnsi="Calibri"/>
                <w:sz w:val="20"/>
                <w:szCs w:val="20"/>
              </w:rPr>
              <w:t>2.终止经营净利润（净亏损以“－”号填列）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309402EC">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731B4E37">
            <w:pPr>
              <w:jc w:val="right"/>
              <w:rPr>
                <w:rFonts w:ascii="Calibri" w:hAnsi="Calibri"/>
                <w:sz w:val="20"/>
                <w:szCs w:val="20"/>
              </w:rPr>
            </w:pPr>
            <w:r>
              <w:rPr>
                <w:rFonts w:ascii="Calibri" w:hAnsi="Calibri"/>
                <w:sz w:val="20"/>
                <w:szCs w:val="20"/>
              </w:rPr>
              <w:t>56,228.39</w:t>
            </w:r>
          </w:p>
        </w:tc>
        <w:tc>
          <w:tcPr>
            <w:tcW w:w="2018" w:type="dxa"/>
            <w:tcBorders>
              <w:top w:val="outset" w:color="auto" w:sz="4" w:space="0"/>
              <w:left w:val="outset" w:color="auto" w:sz="4" w:space="0"/>
              <w:bottom w:val="outset" w:color="auto" w:sz="4" w:space="0"/>
              <w:right w:val="outset" w:color="auto" w:sz="4" w:space="0"/>
            </w:tcBorders>
            <w:vAlign w:val="center"/>
          </w:tcPr>
          <w:p w14:paraId="18657F64">
            <w:pPr>
              <w:jc w:val="right"/>
              <w:rPr>
                <w:rFonts w:ascii="Calibri" w:hAnsi="Calibri"/>
                <w:sz w:val="20"/>
                <w:szCs w:val="20"/>
              </w:rPr>
            </w:pPr>
            <w:r>
              <w:rPr>
                <w:rFonts w:ascii="Calibri" w:hAnsi="Calibri"/>
                <w:sz w:val="20"/>
                <w:szCs w:val="20"/>
              </w:rPr>
              <w:t>-177,086.20</w:t>
            </w:r>
          </w:p>
        </w:tc>
      </w:tr>
      <w:tr w14:paraId="22CB38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703d86636cb476dab82350c9f6475fc"/>
            <w:id w:val="286093704"/>
          </w:sdtPr>
          <w:sdtContent>
            <w:tc>
              <w:tcPr>
                <w:tcW w:w="9049" w:type="dxa"/>
                <w:gridSpan w:val="4"/>
                <w:tcBorders>
                  <w:top w:val="outset" w:color="auto" w:sz="4" w:space="0"/>
                  <w:left w:val="outset" w:color="auto" w:sz="4" w:space="0"/>
                  <w:bottom w:val="outset" w:color="auto" w:sz="4" w:space="0"/>
                  <w:right w:val="outset" w:color="auto" w:sz="4" w:space="0"/>
                </w:tcBorders>
                <w:vAlign w:val="center"/>
              </w:tcPr>
              <w:p w14:paraId="62141770">
                <w:pPr>
                  <w:pStyle w:val="48"/>
                  <w:rPr>
                    <w:sz w:val="20"/>
                    <w:szCs w:val="20"/>
                  </w:rPr>
                </w:pPr>
                <w:r>
                  <w:rPr>
                    <w:rFonts w:hint="eastAsia"/>
                    <w:sz w:val="20"/>
                    <w:szCs w:val="20"/>
                  </w:rPr>
                  <w:t>（二）</w:t>
                </w:r>
                <w:r>
                  <w:rPr>
                    <w:sz w:val="20"/>
                    <w:szCs w:val="20"/>
                  </w:rPr>
                  <w:t>按所有权归属分类</w:t>
                </w:r>
              </w:p>
            </w:tc>
          </w:sdtContent>
        </w:sdt>
      </w:tr>
      <w:tr w14:paraId="12A452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A84B265">
            <w:pPr>
              <w:ind w:firstLine="400" w:firstLineChars="200"/>
              <w:rPr>
                <w:rFonts w:ascii="Calibri" w:hAnsi="Calibri"/>
                <w:sz w:val="20"/>
                <w:szCs w:val="20"/>
              </w:rPr>
            </w:pPr>
            <w:r>
              <w:rPr>
                <w:rFonts w:ascii="Calibri" w:hAnsi="Calibri"/>
                <w:sz w:val="20"/>
                <w:szCs w:val="20"/>
              </w:rPr>
              <w:t>1.</w:t>
            </w:r>
            <w:r>
              <w:rPr>
                <w:rFonts w:hint="eastAsia" w:ascii="Calibri" w:hAnsi="Calibri"/>
                <w:sz w:val="20"/>
                <w:szCs w:val="20"/>
              </w:rPr>
              <w:t>归属于母公司股东的净利润（净亏损以“</w:t>
            </w:r>
            <w:r>
              <w:rPr>
                <w:rFonts w:ascii="Calibri" w:hAnsi="Calibri"/>
                <w:sz w:val="20"/>
                <w:szCs w:val="20"/>
              </w:rPr>
              <w:t>-”号填列）</w:t>
            </w:r>
          </w:p>
        </w:tc>
        <w:tc>
          <w:tcPr>
            <w:tcW w:w="1516" w:type="dxa"/>
            <w:tcBorders>
              <w:top w:val="outset" w:color="auto" w:sz="4" w:space="0"/>
              <w:left w:val="outset" w:color="auto" w:sz="4" w:space="0"/>
              <w:bottom w:val="outset" w:color="auto" w:sz="4" w:space="0"/>
              <w:right w:val="outset" w:color="auto" w:sz="4" w:space="0"/>
            </w:tcBorders>
            <w:vAlign w:val="center"/>
          </w:tcPr>
          <w:p w14:paraId="6E36353E">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72243E2D">
            <w:pPr>
              <w:jc w:val="right"/>
              <w:rPr>
                <w:rFonts w:ascii="Calibri" w:hAnsi="Calibri"/>
                <w:sz w:val="20"/>
                <w:szCs w:val="20"/>
              </w:rPr>
            </w:pPr>
            <w:r>
              <w:rPr>
                <w:rFonts w:ascii="Calibri" w:hAnsi="Calibri"/>
                <w:sz w:val="20"/>
                <w:szCs w:val="20"/>
              </w:rPr>
              <w:t>1,219,052,875.25</w:t>
            </w:r>
          </w:p>
        </w:tc>
        <w:tc>
          <w:tcPr>
            <w:tcW w:w="2018" w:type="dxa"/>
            <w:tcBorders>
              <w:top w:val="outset" w:color="auto" w:sz="4" w:space="0"/>
              <w:left w:val="outset" w:color="auto" w:sz="4" w:space="0"/>
              <w:bottom w:val="outset" w:color="auto" w:sz="4" w:space="0"/>
              <w:right w:val="outset" w:color="auto" w:sz="4" w:space="0"/>
            </w:tcBorders>
            <w:vAlign w:val="center"/>
          </w:tcPr>
          <w:p w14:paraId="1C43CBFA">
            <w:pPr>
              <w:jc w:val="right"/>
              <w:rPr>
                <w:rFonts w:ascii="Calibri" w:hAnsi="Calibri"/>
                <w:sz w:val="20"/>
                <w:szCs w:val="20"/>
              </w:rPr>
            </w:pPr>
            <w:r>
              <w:rPr>
                <w:rFonts w:ascii="Calibri" w:hAnsi="Calibri"/>
                <w:sz w:val="20"/>
                <w:szCs w:val="20"/>
              </w:rPr>
              <w:t>-41,954,827.09</w:t>
            </w:r>
          </w:p>
        </w:tc>
      </w:tr>
      <w:tr w14:paraId="52C5AD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7C52B567">
            <w:pPr>
              <w:ind w:firstLine="400" w:firstLineChars="200"/>
              <w:rPr>
                <w:rFonts w:ascii="Calibri" w:hAnsi="Calibri"/>
                <w:sz w:val="20"/>
                <w:szCs w:val="20"/>
              </w:rPr>
            </w:pPr>
            <w:r>
              <w:rPr>
                <w:rFonts w:ascii="Calibri" w:hAnsi="Calibri"/>
                <w:sz w:val="20"/>
                <w:szCs w:val="20"/>
              </w:rPr>
              <w:t>2.</w:t>
            </w:r>
            <w:r>
              <w:rPr>
                <w:rFonts w:hint="eastAsia" w:ascii="Calibri" w:hAnsi="Calibri"/>
                <w:sz w:val="20"/>
                <w:szCs w:val="20"/>
              </w:rPr>
              <w:t>少数股东损益（净亏损以“</w:t>
            </w:r>
            <w:r>
              <w:rPr>
                <w:rFonts w:ascii="Calibri" w:hAnsi="Calibri"/>
                <w:sz w:val="20"/>
                <w:szCs w:val="20"/>
              </w:rPr>
              <w:t>-”号填列）</w:t>
            </w:r>
          </w:p>
        </w:tc>
        <w:tc>
          <w:tcPr>
            <w:tcW w:w="1516" w:type="dxa"/>
            <w:tcBorders>
              <w:top w:val="outset" w:color="auto" w:sz="4" w:space="0"/>
              <w:left w:val="outset" w:color="auto" w:sz="4" w:space="0"/>
              <w:bottom w:val="outset" w:color="auto" w:sz="4" w:space="0"/>
              <w:right w:val="outset" w:color="auto" w:sz="4" w:space="0"/>
            </w:tcBorders>
            <w:vAlign w:val="center"/>
          </w:tcPr>
          <w:p w14:paraId="4A4B7CB5">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123D2D96">
            <w:pPr>
              <w:jc w:val="right"/>
              <w:rPr>
                <w:rFonts w:ascii="Calibri" w:hAnsi="Calibri"/>
                <w:sz w:val="20"/>
                <w:szCs w:val="20"/>
              </w:rPr>
            </w:pPr>
            <w:r>
              <w:rPr>
                <w:rFonts w:ascii="Calibri" w:hAnsi="Calibri"/>
                <w:sz w:val="20"/>
                <w:szCs w:val="20"/>
              </w:rPr>
              <w:t>-21,855,429.45</w:t>
            </w:r>
          </w:p>
        </w:tc>
        <w:tc>
          <w:tcPr>
            <w:tcW w:w="2018" w:type="dxa"/>
            <w:tcBorders>
              <w:top w:val="outset" w:color="auto" w:sz="4" w:space="0"/>
              <w:left w:val="outset" w:color="auto" w:sz="4" w:space="0"/>
              <w:bottom w:val="outset" w:color="auto" w:sz="4" w:space="0"/>
              <w:right w:val="outset" w:color="auto" w:sz="4" w:space="0"/>
            </w:tcBorders>
            <w:vAlign w:val="center"/>
          </w:tcPr>
          <w:p w14:paraId="3C87E80B">
            <w:pPr>
              <w:jc w:val="right"/>
              <w:rPr>
                <w:rFonts w:ascii="Calibri" w:hAnsi="Calibri"/>
                <w:sz w:val="20"/>
                <w:szCs w:val="20"/>
              </w:rPr>
            </w:pPr>
            <w:r>
              <w:rPr>
                <w:rFonts w:ascii="Calibri" w:hAnsi="Calibri"/>
                <w:sz w:val="20"/>
                <w:szCs w:val="20"/>
              </w:rPr>
              <w:t>-771,074.41</w:t>
            </w:r>
          </w:p>
        </w:tc>
      </w:tr>
      <w:tr w14:paraId="4A8260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4F675B13">
            <w:pPr>
              <w:pStyle w:val="48"/>
              <w:rPr>
                <w:sz w:val="20"/>
                <w:szCs w:val="20"/>
              </w:rPr>
            </w:pPr>
            <w:r>
              <w:rPr>
                <w:rFonts w:hint="eastAsia"/>
                <w:sz w:val="20"/>
                <w:szCs w:val="20"/>
              </w:rPr>
              <w:t>六、其他综合收益的税后净额</w:t>
            </w:r>
          </w:p>
        </w:tc>
        <w:tc>
          <w:tcPr>
            <w:tcW w:w="1516" w:type="dxa"/>
            <w:tcBorders>
              <w:top w:val="outset" w:color="auto" w:sz="4" w:space="0"/>
              <w:left w:val="outset" w:color="auto" w:sz="4" w:space="0"/>
              <w:bottom w:val="outset" w:color="auto" w:sz="4" w:space="0"/>
              <w:right w:val="outset" w:color="auto" w:sz="4" w:space="0"/>
            </w:tcBorders>
            <w:vAlign w:val="center"/>
          </w:tcPr>
          <w:p w14:paraId="122C5AA2">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3B678081">
            <w:pPr>
              <w:jc w:val="right"/>
              <w:rPr>
                <w:rFonts w:ascii="Calibri" w:hAnsi="Calibri"/>
                <w:sz w:val="20"/>
                <w:szCs w:val="20"/>
              </w:rPr>
            </w:pPr>
            <w:r>
              <w:rPr>
                <w:rFonts w:ascii="Calibri" w:hAnsi="Calibri"/>
                <w:sz w:val="20"/>
                <w:szCs w:val="20"/>
              </w:rPr>
              <w:t>3,760,560.85</w:t>
            </w:r>
          </w:p>
        </w:tc>
        <w:tc>
          <w:tcPr>
            <w:tcW w:w="2018" w:type="dxa"/>
            <w:tcBorders>
              <w:top w:val="outset" w:color="auto" w:sz="4" w:space="0"/>
              <w:left w:val="outset" w:color="auto" w:sz="4" w:space="0"/>
              <w:bottom w:val="outset" w:color="auto" w:sz="4" w:space="0"/>
              <w:right w:val="outset" w:color="auto" w:sz="4" w:space="0"/>
            </w:tcBorders>
            <w:vAlign w:val="center"/>
          </w:tcPr>
          <w:p w14:paraId="52B42771">
            <w:pPr>
              <w:jc w:val="right"/>
              <w:rPr>
                <w:rFonts w:ascii="Calibri" w:hAnsi="Calibri"/>
                <w:sz w:val="20"/>
                <w:szCs w:val="20"/>
              </w:rPr>
            </w:pPr>
            <w:r>
              <w:rPr>
                <w:rFonts w:ascii="Calibri" w:hAnsi="Calibri"/>
                <w:sz w:val="20"/>
                <w:szCs w:val="20"/>
              </w:rPr>
              <w:t>1,627,473.75</w:t>
            </w:r>
          </w:p>
        </w:tc>
      </w:tr>
      <w:tr w14:paraId="34739A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48DA122">
            <w:pPr>
              <w:ind w:firstLine="200" w:firstLineChars="100"/>
              <w:rPr>
                <w:rFonts w:ascii="Calibri" w:hAnsi="Calibri"/>
                <w:sz w:val="20"/>
                <w:szCs w:val="20"/>
              </w:rPr>
            </w:pPr>
            <w:r>
              <w:rPr>
                <w:rFonts w:hint="eastAsia" w:ascii="Calibri" w:hAnsi="Calibri"/>
                <w:sz w:val="20"/>
                <w:szCs w:val="20"/>
              </w:rPr>
              <w:t>（一）归属母公司所有者的其他综合收益的税后净额</w:t>
            </w:r>
          </w:p>
        </w:tc>
        <w:tc>
          <w:tcPr>
            <w:tcW w:w="1516" w:type="dxa"/>
            <w:tcBorders>
              <w:top w:val="outset" w:color="auto" w:sz="4" w:space="0"/>
              <w:left w:val="outset" w:color="auto" w:sz="4" w:space="0"/>
              <w:bottom w:val="outset" w:color="auto" w:sz="4" w:space="0"/>
              <w:right w:val="outset" w:color="auto" w:sz="4" w:space="0"/>
            </w:tcBorders>
            <w:vAlign w:val="center"/>
          </w:tcPr>
          <w:p w14:paraId="35CDAFA4">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41641E1A">
            <w:pPr>
              <w:jc w:val="right"/>
              <w:rPr>
                <w:rFonts w:ascii="Calibri" w:hAnsi="Calibri"/>
                <w:sz w:val="20"/>
                <w:szCs w:val="20"/>
              </w:rPr>
            </w:pPr>
            <w:r>
              <w:rPr>
                <w:rFonts w:ascii="Calibri" w:hAnsi="Calibri"/>
                <w:sz w:val="20"/>
                <w:szCs w:val="20"/>
              </w:rPr>
              <w:t>3,760,560.85</w:t>
            </w:r>
          </w:p>
        </w:tc>
        <w:tc>
          <w:tcPr>
            <w:tcW w:w="2018" w:type="dxa"/>
            <w:tcBorders>
              <w:top w:val="outset" w:color="auto" w:sz="4" w:space="0"/>
              <w:left w:val="outset" w:color="auto" w:sz="4" w:space="0"/>
              <w:bottom w:val="outset" w:color="auto" w:sz="4" w:space="0"/>
              <w:right w:val="outset" w:color="auto" w:sz="4" w:space="0"/>
            </w:tcBorders>
            <w:vAlign w:val="center"/>
          </w:tcPr>
          <w:p w14:paraId="29C41DEF">
            <w:pPr>
              <w:jc w:val="right"/>
              <w:rPr>
                <w:rFonts w:ascii="Calibri" w:hAnsi="Calibri"/>
                <w:sz w:val="20"/>
                <w:szCs w:val="20"/>
              </w:rPr>
            </w:pPr>
            <w:r>
              <w:rPr>
                <w:rFonts w:ascii="Calibri" w:hAnsi="Calibri"/>
                <w:sz w:val="20"/>
                <w:szCs w:val="20"/>
              </w:rPr>
              <w:t>1,627,473.75</w:t>
            </w:r>
          </w:p>
        </w:tc>
      </w:tr>
      <w:tr w14:paraId="781386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9AEE17B">
            <w:pPr>
              <w:ind w:firstLine="400" w:firstLineChars="200"/>
              <w:rPr>
                <w:rFonts w:ascii="Calibri" w:hAnsi="Calibri"/>
                <w:sz w:val="20"/>
                <w:szCs w:val="20"/>
              </w:rPr>
            </w:pPr>
            <w:r>
              <w:rPr>
                <w:rFonts w:ascii="Calibri" w:hAnsi="Calibri"/>
                <w:sz w:val="20"/>
                <w:szCs w:val="20"/>
              </w:rPr>
              <w:t>1</w:t>
            </w:r>
            <w:r>
              <w:rPr>
                <w:rFonts w:hint="eastAsia" w:ascii="Calibri" w:hAnsi="Calibri"/>
                <w:sz w:val="20"/>
                <w:szCs w:val="20"/>
              </w:rPr>
              <w:t>．不能重分类进损益的其他综合收益</w:t>
            </w:r>
          </w:p>
        </w:tc>
        <w:tc>
          <w:tcPr>
            <w:tcW w:w="1516" w:type="dxa"/>
            <w:tcBorders>
              <w:top w:val="outset" w:color="auto" w:sz="4" w:space="0"/>
              <w:left w:val="outset" w:color="auto" w:sz="4" w:space="0"/>
              <w:bottom w:val="outset" w:color="auto" w:sz="4" w:space="0"/>
              <w:right w:val="outset" w:color="auto" w:sz="4" w:space="0"/>
            </w:tcBorders>
            <w:vAlign w:val="center"/>
          </w:tcPr>
          <w:p w14:paraId="59D4801C">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3D026AAB">
            <w:pPr>
              <w:jc w:val="right"/>
              <w:rPr>
                <w:rFonts w:ascii="Calibri" w:hAnsi="Calibri"/>
                <w:sz w:val="20"/>
                <w:szCs w:val="20"/>
              </w:rPr>
            </w:pPr>
            <w:r>
              <w:rPr>
                <w:rFonts w:ascii="Calibri" w:hAnsi="Calibri"/>
                <w:sz w:val="20"/>
                <w:szCs w:val="20"/>
              </w:rPr>
              <w:t>3,078,402.87</w:t>
            </w:r>
          </w:p>
        </w:tc>
        <w:tc>
          <w:tcPr>
            <w:tcW w:w="2018" w:type="dxa"/>
            <w:tcBorders>
              <w:top w:val="outset" w:color="auto" w:sz="4" w:space="0"/>
              <w:left w:val="outset" w:color="auto" w:sz="4" w:space="0"/>
              <w:bottom w:val="outset" w:color="auto" w:sz="4" w:space="0"/>
              <w:right w:val="outset" w:color="auto" w:sz="4" w:space="0"/>
            </w:tcBorders>
            <w:vAlign w:val="center"/>
          </w:tcPr>
          <w:p w14:paraId="15A10276">
            <w:pPr>
              <w:jc w:val="right"/>
              <w:rPr>
                <w:rFonts w:ascii="Calibri" w:hAnsi="Calibri"/>
                <w:sz w:val="20"/>
                <w:szCs w:val="20"/>
              </w:rPr>
            </w:pPr>
          </w:p>
        </w:tc>
      </w:tr>
      <w:tr w14:paraId="52AACF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764078D">
            <w:pPr>
              <w:ind w:firstLine="200" w:firstLineChars="100"/>
              <w:rPr>
                <w:rFonts w:ascii="Calibri" w:hAnsi="Calibri"/>
                <w:sz w:val="20"/>
                <w:szCs w:val="20"/>
              </w:rPr>
            </w:pPr>
            <w:r>
              <w:rPr>
                <w:rFonts w:hint="eastAsia" w:ascii="Calibri" w:hAnsi="Calibri"/>
                <w:sz w:val="20"/>
                <w:szCs w:val="20"/>
              </w:rPr>
              <w:t>（1）</w:t>
            </w:r>
            <w:r>
              <w:rPr>
                <w:rFonts w:ascii="Calibri" w:hAnsi="Calibri"/>
                <w:sz w:val="20"/>
                <w:szCs w:val="20"/>
              </w:rPr>
              <w:t>重新计量设定受益计划变动额</w:t>
            </w:r>
          </w:p>
        </w:tc>
        <w:tc>
          <w:tcPr>
            <w:tcW w:w="1516" w:type="dxa"/>
            <w:tcBorders>
              <w:top w:val="outset" w:color="auto" w:sz="4" w:space="0"/>
              <w:left w:val="outset" w:color="auto" w:sz="4" w:space="0"/>
              <w:bottom w:val="outset" w:color="auto" w:sz="4" w:space="0"/>
              <w:right w:val="outset" w:color="auto" w:sz="4" w:space="0"/>
            </w:tcBorders>
            <w:vAlign w:val="center"/>
          </w:tcPr>
          <w:p w14:paraId="13A7AB59">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F93FCB1">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222D0A20">
            <w:pPr>
              <w:jc w:val="right"/>
              <w:rPr>
                <w:rFonts w:ascii="Calibri" w:hAnsi="Calibri"/>
                <w:sz w:val="20"/>
                <w:szCs w:val="20"/>
              </w:rPr>
            </w:pPr>
          </w:p>
        </w:tc>
      </w:tr>
      <w:tr w14:paraId="28EDF8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3507" w:type="dxa"/>
            <w:tcBorders>
              <w:top w:val="outset" w:color="auto" w:sz="4" w:space="0"/>
              <w:left w:val="outset" w:color="auto" w:sz="4" w:space="0"/>
              <w:bottom w:val="outset" w:color="auto" w:sz="4" w:space="0"/>
              <w:right w:val="outset" w:color="auto" w:sz="4" w:space="0"/>
            </w:tcBorders>
            <w:vAlign w:val="center"/>
          </w:tcPr>
          <w:p w14:paraId="41F59CAE">
            <w:pPr>
              <w:ind w:firstLine="200" w:firstLineChars="100"/>
              <w:rPr>
                <w:rFonts w:ascii="Calibri" w:hAnsi="Calibri"/>
                <w:sz w:val="20"/>
                <w:szCs w:val="20"/>
              </w:rPr>
            </w:pPr>
            <w:r>
              <w:rPr>
                <w:rFonts w:hint="eastAsia" w:ascii="Calibri" w:hAnsi="Calibri"/>
                <w:sz w:val="20"/>
                <w:szCs w:val="20"/>
              </w:rPr>
              <w:t>（2）</w:t>
            </w:r>
            <w:r>
              <w:rPr>
                <w:rFonts w:ascii="Calibri" w:hAnsi="Calibri"/>
                <w:sz w:val="20"/>
                <w:szCs w:val="20"/>
              </w:rPr>
              <w:t>权益法下不能转损益的其他综合收益</w:t>
            </w:r>
          </w:p>
        </w:tc>
        <w:tc>
          <w:tcPr>
            <w:tcW w:w="1516" w:type="dxa"/>
            <w:tcBorders>
              <w:top w:val="outset" w:color="auto" w:sz="4" w:space="0"/>
              <w:left w:val="outset" w:color="auto" w:sz="4" w:space="0"/>
              <w:bottom w:val="outset" w:color="auto" w:sz="4" w:space="0"/>
              <w:right w:val="outset" w:color="auto" w:sz="4" w:space="0"/>
            </w:tcBorders>
            <w:vAlign w:val="center"/>
          </w:tcPr>
          <w:p w14:paraId="36B09629">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487FE16">
            <w:pPr>
              <w:jc w:val="right"/>
              <w:rPr>
                <w:rFonts w:ascii="Calibri" w:hAnsi="Calibri"/>
                <w:sz w:val="20"/>
                <w:szCs w:val="20"/>
              </w:rPr>
            </w:pPr>
            <w:r>
              <w:rPr>
                <w:rFonts w:ascii="Calibri" w:hAnsi="Calibri"/>
                <w:sz w:val="20"/>
                <w:szCs w:val="20"/>
              </w:rPr>
              <w:t>959,038.40</w:t>
            </w:r>
          </w:p>
        </w:tc>
        <w:tc>
          <w:tcPr>
            <w:tcW w:w="2018" w:type="dxa"/>
            <w:tcBorders>
              <w:top w:val="outset" w:color="auto" w:sz="4" w:space="0"/>
              <w:left w:val="outset" w:color="auto" w:sz="4" w:space="0"/>
              <w:bottom w:val="outset" w:color="auto" w:sz="4" w:space="0"/>
              <w:right w:val="outset" w:color="auto" w:sz="4" w:space="0"/>
            </w:tcBorders>
            <w:vAlign w:val="center"/>
          </w:tcPr>
          <w:p w14:paraId="0A913674">
            <w:pPr>
              <w:jc w:val="right"/>
              <w:rPr>
                <w:rFonts w:ascii="Calibri" w:hAnsi="Calibri"/>
                <w:sz w:val="20"/>
                <w:szCs w:val="20"/>
              </w:rPr>
            </w:pPr>
          </w:p>
        </w:tc>
      </w:tr>
      <w:tr w14:paraId="0BFD85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2A2F47A3">
            <w:pPr>
              <w:ind w:firstLine="200" w:firstLineChars="100"/>
              <w:rPr>
                <w:rFonts w:ascii="Calibri" w:hAnsi="Calibri"/>
                <w:sz w:val="20"/>
                <w:szCs w:val="20"/>
              </w:rPr>
            </w:pPr>
            <w:r>
              <w:rPr>
                <w:rFonts w:hint="eastAsia" w:ascii="Calibri" w:hAnsi="Calibri"/>
                <w:sz w:val="20"/>
                <w:szCs w:val="20"/>
              </w:rPr>
              <w:t>（3）</w:t>
            </w:r>
            <w:r>
              <w:rPr>
                <w:rFonts w:ascii="Calibri" w:hAnsi="Calibri"/>
                <w:sz w:val="20"/>
                <w:szCs w:val="20"/>
              </w:rPr>
              <w:t>其他权益工具投资公允价值变动</w:t>
            </w:r>
          </w:p>
        </w:tc>
        <w:tc>
          <w:tcPr>
            <w:tcW w:w="1516" w:type="dxa"/>
            <w:tcBorders>
              <w:top w:val="outset" w:color="auto" w:sz="4" w:space="0"/>
              <w:left w:val="outset" w:color="auto" w:sz="4" w:space="0"/>
              <w:bottom w:val="outset" w:color="auto" w:sz="4" w:space="0"/>
              <w:right w:val="outset" w:color="auto" w:sz="4" w:space="0"/>
            </w:tcBorders>
            <w:vAlign w:val="center"/>
          </w:tcPr>
          <w:p w14:paraId="66B976CB">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7480333">
            <w:pPr>
              <w:jc w:val="right"/>
              <w:rPr>
                <w:rFonts w:ascii="Calibri" w:hAnsi="Calibri"/>
                <w:sz w:val="20"/>
                <w:szCs w:val="20"/>
              </w:rPr>
            </w:pPr>
            <w:r>
              <w:rPr>
                <w:rFonts w:ascii="Calibri" w:hAnsi="Calibri"/>
                <w:sz w:val="20"/>
                <w:szCs w:val="20"/>
              </w:rPr>
              <w:t>2,119,364.47</w:t>
            </w:r>
          </w:p>
        </w:tc>
        <w:tc>
          <w:tcPr>
            <w:tcW w:w="2018" w:type="dxa"/>
            <w:tcBorders>
              <w:top w:val="outset" w:color="auto" w:sz="4" w:space="0"/>
              <w:left w:val="outset" w:color="auto" w:sz="4" w:space="0"/>
              <w:bottom w:val="outset" w:color="auto" w:sz="4" w:space="0"/>
              <w:right w:val="outset" w:color="auto" w:sz="4" w:space="0"/>
            </w:tcBorders>
            <w:vAlign w:val="center"/>
          </w:tcPr>
          <w:p w14:paraId="46A9BA23">
            <w:pPr>
              <w:jc w:val="right"/>
              <w:rPr>
                <w:rFonts w:ascii="Calibri" w:hAnsi="Calibri"/>
                <w:sz w:val="20"/>
                <w:szCs w:val="20"/>
              </w:rPr>
            </w:pPr>
          </w:p>
        </w:tc>
      </w:tr>
      <w:tr w14:paraId="3C1314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35941D3B">
            <w:pPr>
              <w:ind w:firstLine="200" w:firstLineChars="100"/>
              <w:rPr>
                <w:rFonts w:ascii="Calibri" w:hAnsi="Calibri"/>
                <w:sz w:val="20"/>
                <w:szCs w:val="20"/>
              </w:rPr>
            </w:pPr>
            <w:r>
              <w:rPr>
                <w:rFonts w:hint="eastAsia" w:ascii="Calibri" w:hAnsi="Calibri"/>
                <w:sz w:val="20"/>
                <w:szCs w:val="20"/>
              </w:rPr>
              <w:t>（4）</w:t>
            </w:r>
            <w:r>
              <w:rPr>
                <w:rFonts w:ascii="Calibri" w:hAnsi="Calibri"/>
                <w:sz w:val="20"/>
                <w:szCs w:val="20"/>
              </w:rPr>
              <w:t>企业自身信用风险公允价值变动</w:t>
            </w:r>
          </w:p>
        </w:tc>
        <w:tc>
          <w:tcPr>
            <w:tcW w:w="1516" w:type="dxa"/>
            <w:tcBorders>
              <w:top w:val="outset" w:color="auto" w:sz="4" w:space="0"/>
              <w:left w:val="outset" w:color="auto" w:sz="4" w:space="0"/>
              <w:bottom w:val="outset" w:color="auto" w:sz="4" w:space="0"/>
              <w:right w:val="outset" w:color="auto" w:sz="4" w:space="0"/>
            </w:tcBorders>
            <w:vAlign w:val="center"/>
          </w:tcPr>
          <w:p w14:paraId="237E4AE0">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81A738F">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59D880D6">
            <w:pPr>
              <w:jc w:val="right"/>
              <w:rPr>
                <w:rFonts w:ascii="Calibri" w:hAnsi="Calibri"/>
                <w:sz w:val="20"/>
                <w:szCs w:val="20"/>
              </w:rPr>
            </w:pPr>
          </w:p>
        </w:tc>
      </w:tr>
      <w:tr w14:paraId="44F015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4C3B9801">
            <w:pPr>
              <w:ind w:firstLine="400" w:firstLineChars="200"/>
              <w:rPr>
                <w:rFonts w:ascii="Calibri" w:hAnsi="Calibri"/>
                <w:sz w:val="20"/>
                <w:szCs w:val="20"/>
              </w:rPr>
            </w:pPr>
            <w:r>
              <w:rPr>
                <w:rFonts w:ascii="Calibri" w:hAnsi="Calibri"/>
                <w:sz w:val="20"/>
                <w:szCs w:val="20"/>
              </w:rPr>
              <w:t>2</w:t>
            </w:r>
            <w:r>
              <w:rPr>
                <w:rFonts w:hint="eastAsia" w:ascii="Calibri" w:hAnsi="Calibri"/>
                <w:sz w:val="20"/>
                <w:szCs w:val="20"/>
              </w:rPr>
              <w:t>．将重分类进损益的其他综合收益</w:t>
            </w:r>
          </w:p>
        </w:tc>
        <w:tc>
          <w:tcPr>
            <w:tcW w:w="1516" w:type="dxa"/>
            <w:tcBorders>
              <w:top w:val="outset" w:color="auto" w:sz="4" w:space="0"/>
              <w:left w:val="outset" w:color="auto" w:sz="4" w:space="0"/>
              <w:bottom w:val="outset" w:color="auto" w:sz="4" w:space="0"/>
              <w:right w:val="outset" w:color="auto" w:sz="4" w:space="0"/>
            </w:tcBorders>
            <w:vAlign w:val="center"/>
          </w:tcPr>
          <w:p w14:paraId="7C163E8D">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06BF3E0">
            <w:pPr>
              <w:jc w:val="right"/>
              <w:rPr>
                <w:rFonts w:ascii="Calibri" w:hAnsi="Calibri"/>
                <w:sz w:val="20"/>
                <w:szCs w:val="20"/>
              </w:rPr>
            </w:pPr>
            <w:r>
              <w:rPr>
                <w:rFonts w:ascii="Calibri" w:hAnsi="Calibri"/>
                <w:sz w:val="20"/>
                <w:szCs w:val="20"/>
              </w:rPr>
              <w:t>682,157.98</w:t>
            </w:r>
          </w:p>
        </w:tc>
        <w:tc>
          <w:tcPr>
            <w:tcW w:w="2018" w:type="dxa"/>
            <w:tcBorders>
              <w:top w:val="outset" w:color="auto" w:sz="4" w:space="0"/>
              <w:left w:val="outset" w:color="auto" w:sz="4" w:space="0"/>
              <w:bottom w:val="outset" w:color="auto" w:sz="4" w:space="0"/>
              <w:right w:val="outset" w:color="auto" w:sz="4" w:space="0"/>
            </w:tcBorders>
            <w:vAlign w:val="center"/>
          </w:tcPr>
          <w:p w14:paraId="271FE357">
            <w:pPr>
              <w:jc w:val="right"/>
              <w:rPr>
                <w:rFonts w:ascii="Calibri" w:hAnsi="Calibri"/>
                <w:sz w:val="20"/>
                <w:szCs w:val="20"/>
              </w:rPr>
            </w:pPr>
            <w:r>
              <w:rPr>
                <w:rFonts w:ascii="Calibri" w:hAnsi="Calibri"/>
                <w:sz w:val="20"/>
                <w:szCs w:val="20"/>
              </w:rPr>
              <w:t>1,627,473.75</w:t>
            </w:r>
          </w:p>
        </w:tc>
      </w:tr>
      <w:tr w14:paraId="79F839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5F1C5F96">
            <w:pPr>
              <w:ind w:firstLine="200" w:firstLineChars="100"/>
              <w:rPr>
                <w:rFonts w:ascii="Calibri" w:hAnsi="Calibri"/>
                <w:sz w:val="20"/>
                <w:szCs w:val="20"/>
              </w:rPr>
            </w:pPr>
            <w:r>
              <w:rPr>
                <w:rFonts w:hint="eastAsia" w:ascii="Calibri" w:hAnsi="Calibri"/>
                <w:sz w:val="20"/>
                <w:szCs w:val="20"/>
              </w:rPr>
              <w:t>（1）</w:t>
            </w:r>
            <w:r>
              <w:rPr>
                <w:rFonts w:ascii="Calibri" w:hAnsi="Calibri"/>
                <w:sz w:val="20"/>
                <w:szCs w:val="20"/>
              </w:rPr>
              <w:t>权益法下可转损益的其他综合收益</w:t>
            </w:r>
          </w:p>
        </w:tc>
        <w:tc>
          <w:tcPr>
            <w:tcW w:w="1516" w:type="dxa"/>
            <w:tcBorders>
              <w:top w:val="outset" w:color="auto" w:sz="4" w:space="0"/>
              <w:left w:val="outset" w:color="auto" w:sz="4" w:space="0"/>
              <w:bottom w:val="outset" w:color="auto" w:sz="4" w:space="0"/>
              <w:right w:val="outset" w:color="auto" w:sz="4" w:space="0"/>
            </w:tcBorders>
            <w:vAlign w:val="center"/>
          </w:tcPr>
          <w:p w14:paraId="652A28FA">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5ECFB946">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787A327E">
            <w:pPr>
              <w:jc w:val="right"/>
              <w:rPr>
                <w:rFonts w:ascii="Calibri" w:hAnsi="Calibri"/>
                <w:sz w:val="20"/>
                <w:szCs w:val="20"/>
              </w:rPr>
            </w:pPr>
          </w:p>
        </w:tc>
      </w:tr>
      <w:tr w14:paraId="04BCC9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32E3762">
            <w:pPr>
              <w:ind w:firstLine="200" w:firstLineChars="100"/>
              <w:rPr>
                <w:rFonts w:ascii="Calibri" w:hAnsi="Calibri"/>
                <w:sz w:val="20"/>
                <w:szCs w:val="20"/>
              </w:rPr>
            </w:pPr>
            <w:r>
              <w:rPr>
                <w:rFonts w:hint="eastAsia" w:ascii="Calibri" w:hAnsi="Calibri"/>
                <w:sz w:val="20"/>
                <w:szCs w:val="20"/>
              </w:rPr>
              <w:t>（2）</w:t>
            </w:r>
            <w:r>
              <w:rPr>
                <w:rFonts w:ascii="Calibri" w:hAnsi="Calibri"/>
                <w:sz w:val="20"/>
                <w:szCs w:val="20"/>
              </w:rPr>
              <w:t>其他债权投资公允价值变动</w:t>
            </w:r>
          </w:p>
        </w:tc>
        <w:tc>
          <w:tcPr>
            <w:tcW w:w="1516" w:type="dxa"/>
            <w:tcBorders>
              <w:top w:val="outset" w:color="auto" w:sz="4" w:space="0"/>
              <w:left w:val="outset" w:color="auto" w:sz="4" w:space="0"/>
              <w:bottom w:val="outset" w:color="auto" w:sz="4" w:space="0"/>
              <w:right w:val="outset" w:color="auto" w:sz="4" w:space="0"/>
            </w:tcBorders>
            <w:vAlign w:val="center"/>
          </w:tcPr>
          <w:p w14:paraId="778331B2">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4DAA23F3">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471B6312">
            <w:pPr>
              <w:jc w:val="right"/>
              <w:rPr>
                <w:rFonts w:ascii="Calibri" w:hAnsi="Calibri"/>
                <w:sz w:val="20"/>
                <w:szCs w:val="20"/>
              </w:rPr>
            </w:pPr>
          </w:p>
        </w:tc>
      </w:tr>
      <w:tr w14:paraId="465465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13E88AA">
            <w:pPr>
              <w:ind w:firstLine="200" w:firstLineChars="100"/>
              <w:rPr>
                <w:rFonts w:ascii="Calibri" w:hAnsi="Calibri"/>
                <w:sz w:val="20"/>
                <w:szCs w:val="20"/>
              </w:rPr>
            </w:pPr>
            <w:r>
              <w:rPr>
                <w:rFonts w:hint="eastAsia" w:ascii="Calibri" w:hAnsi="Calibri"/>
                <w:sz w:val="20"/>
                <w:szCs w:val="20"/>
              </w:rPr>
              <w:t>（3）</w:t>
            </w:r>
            <w:r>
              <w:rPr>
                <w:rFonts w:ascii="Calibri" w:hAnsi="Calibri"/>
                <w:sz w:val="20"/>
                <w:szCs w:val="20"/>
              </w:rPr>
              <w:t>金融资产重分类计入其他综合收益的金额</w:t>
            </w:r>
          </w:p>
        </w:tc>
        <w:tc>
          <w:tcPr>
            <w:tcW w:w="1516" w:type="dxa"/>
            <w:tcBorders>
              <w:top w:val="outset" w:color="auto" w:sz="4" w:space="0"/>
              <w:left w:val="outset" w:color="auto" w:sz="4" w:space="0"/>
              <w:bottom w:val="outset" w:color="auto" w:sz="4" w:space="0"/>
              <w:right w:val="outset" w:color="auto" w:sz="4" w:space="0"/>
            </w:tcBorders>
            <w:vAlign w:val="center"/>
          </w:tcPr>
          <w:p w14:paraId="6F89ABA9">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1E8464FA">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08ECDF52">
            <w:pPr>
              <w:jc w:val="right"/>
              <w:rPr>
                <w:rFonts w:ascii="Calibri" w:hAnsi="Calibri"/>
                <w:sz w:val="20"/>
                <w:szCs w:val="20"/>
              </w:rPr>
            </w:pPr>
          </w:p>
        </w:tc>
      </w:tr>
      <w:tr w14:paraId="7B6C1B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CDF7E27">
            <w:pPr>
              <w:ind w:firstLine="200" w:firstLineChars="100"/>
              <w:rPr>
                <w:rFonts w:ascii="Calibri" w:hAnsi="Calibri"/>
                <w:sz w:val="20"/>
                <w:szCs w:val="20"/>
              </w:rPr>
            </w:pPr>
            <w:r>
              <w:rPr>
                <w:rFonts w:hint="eastAsia" w:ascii="Calibri" w:hAnsi="Calibri"/>
                <w:sz w:val="20"/>
                <w:szCs w:val="20"/>
              </w:rPr>
              <w:t>（4）</w:t>
            </w:r>
            <w:r>
              <w:rPr>
                <w:rFonts w:ascii="Calibri" w:hAnsi="Calibri"/>
                <w:sz w:val="20"/>
                <w:szCs w:val="20"/>
              </w:rPr>
              <w:t>其他债权投资信用减值准备</w:t>
            </w:r>
          </w:p>
        </w:tc>
        <w:tc>
          <w:tcPr>
            <w:tcW w:w="1516" w:type="dxa"/>
            <w:tcBorders>
              <w:top w:val="outset" w:color="auto" w:sz="4" w:space="0"/>
              <w:left w:val="outset" w:color="auto" w:sz="4" w:space="0"/>
              <w:bottom w:val="outset" w:color="auto" w:sz="4" w:space="0"/>
              <w:right w:val="outset" w:color="auto" w:sz="4" w:space="0"/>
            </w:tcBorders>
            <w:vAlign w:val="center"/>
          </w:tcPr>
          <w:p w14:paraId="528A89E4">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384E8994">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112B78E9">
            <w:pPr>
              <w:jc w:val="right"/>
              <w:rPr>
                <w:rFonts w:ascii="Calibri" w:hAnsi="Calibri"/>
                <w:sz w:val="20"/>
                <w:szCs w:val="20"/>
              </w:rPr>
            </w:pPr>
          </w:p>
        </w:tc>
      </w:tr>
      <w:tr w14:paraId="4DDD26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53C4EA2">
            <w:pPr>
              <w:ind w:firstLine="200" w:firstLineChars="100"/>
              <w:rPr>
                <w:rFonts w:ascii="Calibri" w:hAnsi="Calibri"/>
                <w:sz w:val="20"/>
                <w:szCs w:val="20"/>
              </w:rPr>
            </w:pPr>
            <w:r>
              <w:rPr>
                <w:rFonts w:hint="eastAsia" w:ascii="Calibri" w:hAnsi="Calibri"/>
                <w:sz w:val="20"/>
                <w:szCs w:val="20"/>
              </w:rPr>
              <w:t>（5）</w:t>
            </w:r>
            <w:r>
              <w:rPr>
                <w:rFonts w:ascii="Calibri" w:hAnsi="Calibri"/>
                <w:sz w:val="20"/>
                <w:szCs w:val="20"/>
              </w:rPr>
              <w:t>现金流量套期储备</w:t>
            </w:r>
          </w:p>
        </w:tc>
        <w:tc>
          <w:tcPr>
            <w:tcW w:w="1516" w:type="dxa"/>
            <w:tcBorders>
              <w:top w:val="outset" w:color="auto" w:sz="4" w:space="0"/>
              <w:left w:val="outset" w:color="auto" w:sz="4" w:space="0"/>
              <w:bottom w:val="outset" w:color="auto" w:sz="4" w:space="0"/>
              <w:right w:val="outset" w:color="auto" w:sz="4" w:space="0"/>
            </w:tcBorders>
            <w:vAlign w:val="center"/>
          </w:tcPr>
          <w:p w14:paraId="10085933">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44933286">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14F75736">
            <w:pPr>
              <w:jc w:val="right"/>
              <w:rPr>
                <w:rFonts w:ascii="Calibri" w:hAnsi="Calibri"/>
                <w:sz w:val="20"/>
                <w:szCs w:val="20"/>
              </w:rPr>
            </w:pPr>
          </w:p>
        </w:tc>
      </w:tr>
      <w:tr w14:paraId="4A7BC8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3E5A7F64">
            <w:pPr>
              <w:ind w:firstLine="200" w:firstLineChars="100"/>
              <w:rPr>
                <w:rFonts w:ascii="Calibri" w:hAnsi="Calibri"/>
                <w:sz w:val="20"/>
                <w:szCs w:val="20"/>
              </w:rPr>
            </w:pPr>
            <w:r>
              <w:rPr>
                <w:rFonts w:hint="eastAsia" w:ascii="Calibri" w:hAnsi="Calibri"/>
                <w:sz w:val="20"/>
                <w:szCs w:val="20"/>
              </w:rPr>
              <w:t>（6）</w:t>
            </w:r>
            <w:r>
              <w:rPr>
                <w:rFonts w:ascii="Calibri" w:hAnsi="Calibri"/>
                <w:sz w:val="20"/>
                <w:szCs w:val="20"/>
              </w:rPr>
              <w:t>外币财务报表折算差额</w:t>
            </w:r>
          </w:p>
        </w:tc>
        <w:tc>
          <w:tcPr>
            <w:tcW w:w="1516" w:type="dxa"/>
            <w:tcBorders>
              <w:top w:val="outset" w:color="auto" w:sz="4" w:space="0"/>
              <w:left w:val="outset" w:color="auto" w:sz="4" w:space="0"/>
              <w:bottom w:val="outset" w:color="auto" w:sz="4" w:space="0"/>
              <w:right w:val="outset" w:color="auto" w:sz="4" w:space="0"/>
            </w:tcBorders>
            <w:vAlign w:val="center"/>
          </w:tcPr>
          <w:p w14:paraId="00F9BAD8">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60CAEEDE">
            <w:pPr>
              <w:jc w:val="right"/>
              <w:rPr>
                <w:rFonts w:ascii="Calibri" w:hAnsi="Calibri"/>
                <w:sz w:val="20"/>
                <w:szCs w:val="20"/>
              </w:rPr>
            </w:pPr>
            <w:r>
              <w:rPr>
                <w:rFonts w:ascii="Calibri" w:hAnsi="Calibri"/>
                <w:sz w:val="20"/>
                <w:szCs w:val="20"/>
              </w:rPr>
              <w:t>682,157.98</w:t>
            </w:r>
          </w:p>
        </w:tc>
        <w:tc>
          <w:tcPr>
            <w:tcW w:w="2018" w:type="dxa"/>
            <w:tcBorders>
              <w:top w:val="outset" w:color="auto" w:sz="4" w:space="0"/>
              <w:left w:val="outset" w:color="auto" w:sz="4" w:space="0"/>
              <w:bottom w:val="outset" w:color="auto" w:sz="4" w:space="0"/>
              <w:right w:val="outset" w:color="auto" w:sz="4" w:space="0"/>
            </w:tcBorders>
            <w:vAlign w:val="center"/>
          </w:tcPr>
          <w:p w14:paraId="4614BE61">
            <w:pPr>
              <w:jc w:val="right"/>
              <w:rPr>
                <w:rFonts w:ascii="Calibri" w:hAnsi="Calibri"/>
                <w:sz w:val="20"/>
                <w:szCs w:val="20"/>
              </w:rPr>
            </w:pPr>
            <w:r>
              <w:rPr>
                <w:rFonts w:ascii="Calibri" w:hAnsi="Calibri"/>
                <w:sz w:val="20"/>
                <w:szCs w:val="20"/>
              </w:rPr>
              <w:t>1,627,473.75</w:t>
            </w:r>
          </w:p>
        </w:tc>
      </w:tr>
      <w:tr w14:paraId="735287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6578631">
            <w:pPr>
              <w:ind w:firstLine="200" w:firstLineChars="100"/>
              <w:rPr>
                <w:rFonts w:ascii="Calibri" w:hAnsi="Calibri"/>
                <w:sz w:val="20"/>
                <w:szCs w:val="20"/>
              </w:rPr>
            </w:pPr>
            <w:r>
              <w:rPr>
                <w:rFonts w:hint="eastAsia" w:ascii="Calibri" w:hAnsi="Calibri"/>
                <w:sz w:val="20"/>
                <w:szCs w:val="20"/>
              </w:rPr>
              <w:t>（7）</w:t>
            </w:r>
            <w:r>
              <w:rPr>
                <w:rFonts w:ascii="Calibri" w:hAnsi="Calibri"/>
                <w:sz w:val="20"/>
                <w:szCs w:val="20"/>
              </w:rPr>
              <w:t>其他</w:t>
            </w:r>
          </w:p>
        </w:tc>
        <w:tc>
          <w:tcPr>
            <w:tcW w:w="1516" w:type="dxa"/>
            <w:tcBorders>
              <w:top w:val="outset" w:color="auto" w:sz="4" w:space="0"/>
              <w:left w:val="outset" w:color="auto" w:sz="4" w:space="0"/>
              <w:bottom w:val="outset" w:color="auto" w:sz="4" w:space="0"/>
              <w:right w:val="outset" w:color="auto" w:sz="4" w:space="0"/>
            </w:tcBorders>
            <w:vAlign w:val="center"/>
          </w:tcPr>
          <w:p w14:paraId="1C052A9B">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37C86098">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7CBED139">
            <w:pPr>
              <w:jc w:val="right"/>
              <w:rPr>
                <w:rFonts w:ascii="Calibri" w:hAnsi="Calibri"/>
                <w:sz w:val="20"/>
                <w:szCs w:val="20"/>
              </w:rPr>
            </w:pPr>
          </w:p>
        </w:tc>
      </w:tr>
      <w:tr w14:paraId="5BE832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5D4666DC">
            <w:pPr>
              <w:ind w:firstLine="200" w:firstLineChars="100"/>
              <w:rPr>
                <w:rFonts w:ascii="Calibri" w:hAnsi="Calibri"/>
                <w:sz w:val="20"/>
                <w:szCs w:val="20"/>
              </w:rPr>
            </w:pPr>
            <w:r>
              <w:rPr>
                <w:rFonts w:ascii="Calibri" w:hAnsi="Calibri"/>
                <w:sz w:val="20"/>
                <w:szCs w:val="20"/>
              </w:rPr>
              <w:t>（二）</w:t>
            </w:r>
            <w:r>
              <w:rPr>
                <w:rFonts w:hint="eastAsia" w:ascii="Calibri" w:hAnsi="Calibri"/>
                <w:sz w:val="20"/>
                <w:szCs w:val="20"/>
              </w:rPr>
              <w:t>归属于少数股东的其他综合收益的税后净额</w:t>
            </w:r>
          </w:p>
        </w:tc>
        <w:tc>
          <w:tcPr>
            <w:tcW w:w="1516" w:type="dxa"/>
            <w:tcBorders>
              <w:top w:val="outset" w:color="auto" w:sz="4" w:space="0"/>
              <w:left w:val="outset" w:color="auto" w:sz="4" w:space="0"/>
              <w:bottom w:val="outset" w:color="auto" w:sz="4" w:space="0"/>
              <w:right w:val="outset" w:color="auto" w:sz="4" w:space="0"/>
            </w:tcBorders>
            <w:vAlign w:val="center"/>
          </w:tcPr>
          <w:p w14:paraId="0D659BC8">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E8B23E0">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26265518">
            <w:pPr>
              <w:jc w:val="right"/>
              <w:rPr>
                <w:rFonts w:ascii="Calibri" w:hAnsi="Calibri"/>
                <w:sz w:val="20"/>
                <w:szCs w:val="20"/>
              </w:rPr>
            </w:pPr>
          </w:p>
        </w:tc>
      </w:tr>
      <w:tr w14:paraId="329F6F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798DD01">
            <w:pPr>
              <w:pStyle w:val="48"/>
              <w:rPr>
                <w:sz w:val="20"/>
                <w:szCs w:val="20"/>
              </w:rPr>
            </w:pPr>
            <w:r>
              <w:rPr>
                <w:rFonts w:hint="eastAsia"/>
                <w:sz w:val="20"/>
                <w:szCs w:val="20"/>
              </w:rPr>
              <w:t>七、综合收益总额</w:t>
            </w:r>
          </w:p>
        </w:tc>
        <w:tc>
          <w:tcPr>
            <w:tcW w:w="1516" w:type="dxa"/>
            <w:tcBorders>
              <w:top w:val="outset" w:color="auto" w:sz="4" w:space="0"/>
              <w:left w:val="outset" w:color="auto" w:sz="4" w:space="0"/>
              <w:bottom w:val="outset" w:color="auto" w:sz="4" w:space="0"/>
              <w:right w:val="outset" w:color="auto" w:sz="4" w:space="0"/>
            </w:tcBorders>
            <w:vAlign w:val="center"/>
          </w:tcPr>
          <w:p w14:paraId="3017637E">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26A99A99">
            <w:pPr>
              <w:jc w:val="right"/>
              <w:rPr>
                <w:rFonts w:ascii="Calibri" w:hAnsi="Calibri"/>
                <w:sz w:val="20"/>
                <w:szCs w:val="20"/>
              </w:rPr>
            </w:pPr>
            <w:r>
              <w:rPr>
                <w:rFonts w:ascii="Calibri" w:hAnsi="Calibri"/>
                <w:sz w:val="20"/>
                <w:szCs w:val="20"/>
              </w:rPr>
              <w:t>1,200,958,006.65</w:t>
            </w:r>
          </w:p>
        </w:tc>
        <w:tc>
          <w:tcPr>
            <w:tcW w:w="2018" w:type="dxa"/>
            <w:tcBorders>
              <w:top w:val="outset" w:color="auto" w:sz="4" w:space="0"/>
              <w:left w:val="outset" w:color="auto" w:sz="4" w:space="0"/>
              <w:bottom w:val="outset" w:color="auto" w:sz="4" w:space="0"/>
              <w:right w:val="outset" w:color="auto" w:sz="4" w:space="0"/>
            </w:tcBorders>
            <w:vAlign w:val="center"/>
          </w:tcPr>
          <w:p w14:paraId="26B83338">
            <w:pPr>
              <w:jc w:val="right"/>
              <w:rPr>
                <w:rFonts w:ascii="Calibri" w:hAnsi="Calibri"/>
                <w:sz w:val="20"/>
                <w:szCs w:val="20"/>
              </w:rPr>
            </w:pPr>
            <w:r>
              <w:rPr>
                <w:rFonts w:ascii="Calibri" w:hAnsi="Calibri"/>
                <w:sz w:val="20"/>
                <w:szCs w:val="20"/>
              </w:rPr>
              <w:t>-41,098,427.75</w:t>
            </w:r>
          </w:p>
        </w:tc>
      </w:tr>
      <w:tr w14:paraId="76EC44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418C3606">
            <w:pPr>
              <w:ind w:firstLine="200" w:firstLineChars="100"/>
              <w:rPr>
                <w:rFonts w:ascii="Calibri" w:hAnsi="Calibri"/>
                <w:sz w:val="20"/>
                <w:szCs w:val="20"/>
              </w:rPr>
            </w:pPr>
            <w:r>
              <w:rPr>
                <w:rFonts w:ascii="Calibri" w:hAnsi="Calibri"/>
                <w:sz w:val="20"/>
                <w:szCs w:val="20"/>
              </w:rPr>
              <w:t>（一）</w:t>
            </w:r>
            <w:r>
              <w:rPr>
                <w:rFonts w:hint="eastAsia" w:ascii="Calibri" w:hAnsi="Calibri"/>
                <w:sz w:val="20"/>
                <w:szCs w:val="20"/>
              </w:rPr>
              <w:t>归属于母公司所有者的综合收益总额</w:t>
            </w:r>
          </w:p>
        </w:tc>
        <w:tc>
          <w:tcPr>
            <w:tcW w:w="1516" w:type="dxa"/>
            <w:tcBorders>
              <w:top w:val="outset" w:color="auto" w:sz="4" w:space="0"/>
              <w:left w:val="outset" w:color="auto" w:sz="4" w:space="0"/>
              <w:bottom w:val="outset" w:color="auto" w:sz="4" w:space="0"/>
              <w:right w:val="outset" w:color="auto" w:sz="4" w:space="0"/>
            </w:tcBorders>
            <w:vAlign w:val="center"/>
          </w:tcPr>
          <w:p w14:paraId="04A81A17">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93C96F8">
            <w:pPr>
              <w:jc w:val="right"/>
              <w:rPr>
                <w:rFonts w:ascii="Calibri" w:hAnsi="Calibri"/>
                <w:sz w:val="20"/>
                <w:szCs w:val="20"/>
              </w:rPr>
            </w:pPr>
            <w:r>
              <w:rPr>
                <w:rFonts w:ascii="Calibri" w:hAnsi="Calibri"/>
                <w:sz w:val="20"/>
                <w:szCs w:val="20"/>
              </w:rPr>
              <w:t>1,222,813,436.10</w:t>
            </w:r>
          </w:p>
        </w:tc>
        <w:tc>
          <w:tcPr>
            <w:tcW w:w="2018" w:type="dxa"/>
            <w:tcBorders>
              <w:top w:val="outset" w:color="auto" w:sz="4" w:space="0"/>
              <w:left w:val="outset" w:color="auto" w:sz="4" w:space="0"/>
              <w:bottom w:val="outset" w:color="auto" w:sz="4" w:space="0"/>
              <w:right w:val="outset" w:color="auto" w:sz="4" w:space="0"/>
            </w:tcBorders>
            <w:vAlign w:val="center"/>
          </w:tcPr>
          <w:p w14:paraId="53762917">
            <w:pPr>
              <w:jc w:val="right"/>
              <w:rPr>
                <w:rFonts w:ascii="Calibri" w:hAnsi="Calibri"/>
                <w:sz w:val="20"/>
                <w:szCs w:val="20"/>
              </w:rPr>
            </w:pPr>
            <w:r>
              <w:rPr>
                <w:rFonts w:ascii="Calibri" w:hAnsi="Calibri"/>
                <w:sz w:val="20"/>
                <w:szCs w:val="20"/>
              </w:rPr>
              <w:t>-40,327,353.34</w:t>
            </w:r>
          </w:p>
        </w:tc>
      </w:tr>
      <w:tr w14:paraId="79F9F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7656033">
            <w:pPr>
              <w:ind w:firstLine="200" w:firstLineChars="100"/>
              <w:rPr>
                <w:rFonts w:ascii="Calibri" w:hAnsi="Calibri"/>
                <w:sz w:val="20"/>
                <w:szCs w:val="20"/>
              </w:rPr>
            </w:pPr>
            <w:r>
              <w:rPr>
                <w:rFonts w:ascii="Calibri" w:hAnsi="Calibri"/>
                <w:sz w:val="20"/>
                <w:szCs w:val="20"/>
              </w:rPr>
              <w:t>（二）</w:t>
            </w:r>
            <w:r>
              <w:rPr>
                <w:rFonts w:hint="eastAsia" w:ascii="Calibri" w:hAnsi="Calibri"/>
                <w:sz w:val="20"/>
                <w:szCs w:val="20"/>
              </w:rPr>
              <w:t>归属于少数股东的综合收益总额</w:t>
            </w:r>
          </w:p>
        </w:tc>
        <w:tc>
          <w:tcPr>
            <w:tcW w:w="1516" w:type="dxa"/>
            <w:tcBorders>
              <w:top w:val="outset" w:color="auto" w:sz="4" w:space="0"/>
              <w:left w:val="outset" w:color="auto" w:sz="4" w:space="0"/>
              <w:bottom w:val="outset" w:color="auto" w:sz="4" w:space="0"/>
              <w:right w:val="outset" w:color="auto" w:sz="4" w:space="0"/>
            </w:tcBorders>
            <w:vAlign w:val="center"/>
          </w:tcPr>
          <w:p w14:paraId="7AB8260E">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6DAFDE76">
            <w:pPr>
              <w:jc w:val="right"/>
              <w:rPr>
                <w:rFonts w:ascii="Calibri" w:hAnsi="Calibri"/>
                <w:sz w:val="20"/>
                <w:szCs w:val="20"/>
              </w:rPr>
            </w:pPr>
            <w:r>
              <w:rPr>
                <w:rFonts w:ascii="Calibri" w:hAnsi="Calibri"/>
                <w:sz w:val="20"/>
                <w:szCs w:val="20"/>
              </w:rPr>
              <w:t>-21,855,429.45</w:t>
            </w:r>
          </w:p>
        </w:tc>
        <w:tc>
          <w:tcPr>
            <w:tcW w:w="2018" w:type="dxa"/>
            <w:tcBorders>
              <w:top w:val="outset" w:color="auto" w:sz="4" w:space="0"/>
              <w:left w:val="outset" w:color="auto" w:sz="4" w:space="0"/>
              <w:bottom w:val="outset" w:color="auto" w:sz="4" w:space="0"/>
              <w:right w:val="outset" w:color="auto" w:sz="4" w:space="0"/>
            </w:tcBorders>
            <w:vAlign w:val="center"/>
          </w:tcPr>
          <w:p w14:paraId="459ECF50">
            <w:pPr>
              <w:jc w:val="right"/>
              <w:rPr>
                <w:rFonts w:ascii="Calibri" w:hAnsi="Calibri"/>
                <w:sz w:val="20"/>
                <w:szCs w:val="20"/>
              </w:rPr>
            </w:pPr>
            <w:r>
              <w:rPr>
                <w:rFonts w:ascii="Calibri" w:hAnsi="Calibri"/>
                <w:sz w:val="20"/>
                <w:szCs w:val="20"/>
              </w:rPr>
              <w:t>-771,074.41</w:t>
            </w:r>
          </w:p>
        </w:tc>
      </w:tr>
      <w:tr w14:paraId="209649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e9655fe2b7c48e3964f7a74f9c6deea"/>
            <w:id w:val="-617061348"/>
          </w:sdtPr>
          <w:sdtContent>
            <w:tc>
              <w:tcPr>
                <w:tcW w:w="9049" w:type="dxa"/>
                <w:gridSpan w:val="4"/>
                <w:tcBorders>
                  <w:top w:val="outset" w:color="auto" w:sz="4" w:space="0"/>
                  <w:left w:val="outset" w:color="auto" w:sz="4" w:space="0"/>
                  <w:bottom w:val="outset" w:color="auto" w:sz="4" w:space="0"/>
                  <w:right w:val="outset" w:color="auto" w:sz="4" w:space="0"/>
                </w:tcBorders>
                <w:vAlign w:val="center"/>
              </w:tcPr>
              <w:p w14:paraId="427818DF">
                <w:pPr>
                  <w:rPr>
                    <w:rFonts w:ascii="Calibri" w:hAnsi="Calibri"/>
                    <w:color w:val="008000"/>
                    <w:sz w:val="20"/>
                    <w:szCs w:val="20"/>
                  </w:rPr>
                </w:pPr>
                <w:r>
                  <w:rPr>
                    <w:rFonts w:hint="eastAsia" w:ascii="Calibri" w:hAnsi="Calibri"/>
                    <w:sz w:val="20"/>
                    <w:szCs w:val="20"/>
                  </w:rPr>
                  <w:t>八、每股收益：</w:t>
                </w:r>
              </w:p>
            </w:tc>
          </w:sdtContent>
        </w:sdt>
      </w:tr>
      <w:tr w14:paraId="07285C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41E913D5">
            <w:pPr>
              <w:ind w:firstLine="200" w:firstLineChars="100"/>
              <w:rPr>
                <w:rFonts w:ascii="Calibri" w:hAnsi="Calibri"/>
                <w:sz w:val="20"/>
                <w:szCs w:val="20"/>
              </w:rPr>
            </w:pPr>
            <w:r>
              <w:rPr>
                <w:rFonts w:ascii="Calibri" w:hAnsi="Calibri"/>
                <w:sz w:val="20"/>
                <w:szCs w:val="20"/>
              </w:rPr>
              <w:t>（一）基本每股收益</w:t>
            </w:r>
            <w:r>
              <w:rPr>
                <w:rFonts w:hint="eastAsia" w:ascii="Calibri" w:hAnsi="Calibri"/>
                <w:sz w:val="20"/>
                <w:szCs w:val="20"/>
              </w:rPr>
              <w:t>(元/股)</w:t>
            </w:r>
          </w:p>
        </w:tc>
        <w:tc>
          <w:tcPr>
            <w:tcW w:w="1516" w:type="dxa"/>
            <w:tcBorders>
              <w:top w:val="outset" w:color="auto" w:sz="4" w:space="0"/>
              <w:left w:val="outset" w:color="auto" w:sz="4" w:space="0"/>
              <w:bottom w:val="outset" w:color="auto" w:sz="4" w:space="0"/>
              <w:right w:val="outset" w:color="auto" w:sz="4" w:space="0"/>
            </w:tcBorders>
            <w:vAlign w:val="center"/>
          </w:tcPr>
          <w:p w14:paraId="321E7256">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7C27ED74">
            <w:pPr>
              <w:jc w:val="right"/>
              <w:rPr>
                <w:rFonts w:ascii="Calibri" w:hAnsi="Calibri"/>
                <w:sz w:val="20"/>
                <w:szCs w:val="20"/>
              </w:rPr>
            </w:pPr>
            <w:r>
              <w:rPr>
                <w:rFonts w:ascii="Calibri" w:hAnsi="Calibri"/>
                <w:sz w:val="20"/>
                <w:szCs w:val="20"/>
              </w:rPr>
              <w:t>0.62</w:t>
            </w:r>
          </w:p>
        </w:tc>
        <w:tc>
          <w:tcPr>
            <w:tcW w:w="2018" w:type="dxa"/>
            <w:tcBorders>
              <w:top w:val="outset" w:color="auto" w:sz="4" w:space="0"/>
              <w:left w:val="outset" w:color="auto" w:sz="4" w:space="0"/>
              <w:bottom w:val="outset" w:color="auto" w:sz="4" w:space="0"/>
              <w:right w:val="outset" w:color="auto" w:sz="4" w:space="0"/>
            </w:tcBorders>
            <w:vAlign w:val="center"/>
          </w:tcPr>
          <w:p w14:paraId="01C75F29">
            <w:pPr>
              <w:jc w:val="right"/>
              <w:rPr>
                <w:rFonts w:ascii="Calibri" w:hAnsi="Calibri"/>
                <w:sz w:val="20"/>
                <w:szCs w:val="20"/>
              </w:rPr>
            </w:pPr>
            <w:r>
              <w:rPr>
                <w:rFonts w:ascii="Calibri" w:hAnsi="Calibri"/>
                <w:sz w:val="20"/>
                <w:szCs w:val="20"/>
              </w:rPr>
              <w:t>-0.02</w:t>
            </w:r>
          </w:p>
        </w:tc>
      </w:tr>
      <w:tr w14:paraId="2C4860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4E974D45">
            <w:pPr>
              <w:ind w:firstLine="200" w:firstLineChars="100"/>
              <w:rPr>
                <w:rFonts w:ascii="Calibri" w:hAnsi="Calibri"/>
                <w:sz w:val="20"/>
                <w:szCs w:val="20"/>
              </w:rPr>
            </w:pPr>
            <w:r>
              <w:rPr>
                <w:rFonts w:ascii="Calibri" w:hAnsi="Calibri"/>
                <w:sz w:val="20"/>
                <w:szCs w:val="20"/>
              </w:rPr>
              <w:t>（二）稀释每股收益</w:t>
            </w:r>
            <w:r>
              <w:rPr>
                <w:rFonts w:hint="eastAsia" w:ascii="Calibri" w:hAnsi="Calibri"/>
                <w:sz w:val="20"/>
                <w:szCs w:val="20"/>
              </w:rPr>
              <w:t>(元/股)</w:t>
            </w:r>
          </w:p>
        </w:tc>
        <w:tc>
          <w:tcPr>
            <w:tcW w:w="1516" w:type="dxa"/>
            <w:tcBorders>
              <w:top w:val="outset" w:color="auto" w:sz="4" w:space="0"/>
              <w:left w:val="outset" w:color="auto" w:sz="4" w:space="0"/>
              <w:bottom w:val="outset" w:color="auto" w:sz="4" w:space="0"/>
              <w:right w:val="outset" w:color="auto" w:sz="4" w:space="0"/>
            </w:tcBorders>
            <w:vAlign w:val="center"/>
          </w:tcPr>
          <w:p w14:paraId="5D338379">
            <w:pPr>
              <w:pStyle w:val="48"/>
              <w:jc w:val="center"/>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FFA78B2">
            <w:pPr>
              <w:jc w:val="right"/>
              <w:rPr>
                <w:rFonts w:ascii="Calibri" w:hAnsi="Calibri"/>
                <w:sz w:val="20"/>
                <w:szCs w:val="20"/>
              </w:rPr>
            </w:pPr>
            <w:r>
              <w:rPr>
                <w:rFonts w:ascii="Calibri" w:hAnsi="Calibri"/>
                <w:sz w:val="20"/>
                <w:szCs w:val="20"/>
              </w:rPr>
              <w:t>0.62</w:t>
            </w:r>
          </w:p>
        </w:tc>
        <w:tc>
          <w:tcPr>
            <w:tcW w:w="2018" w:type="dxa"/>
            <w:tcBorders>
              <w:top w:val="outset" w:color="auto" w:sz="4" w:space="0"/>
              <w:left w:val="outset" w:color="auto" w:sz="4" w:space="0"/>
              <w:bottom w:val="outset" w:color="auto" w:sz="4" w:space="0"/>
              <w:right w:val="outset" w:color="auto" w:sz="4" w:space="0"/>
            </w:tcBorders>
            <w:vAlign w:val="center"/>
          </w:tcPr>
          <w:p w14:paraId="185ADCDF">
            <w:pPr>
              <w:jc w:val="right"/>
              <w:rPr>
                <w:rFonts w:ascii="Calibri" w:hAnsi="Calibri"/>
                <w:sz w:val="20"/>
                <w:szCs w:val="20"/>
              </w:rPr>
            </w:pPr>
            <w:r>
              <w:rPr>
                <w:rFonts w:ascii="Calibri" w:hAnsi="Calibri"/>
                <w:sz w:val="20"/>
                <w:szCs w:val="20"/>
              </w:rPr>
              <w:t>-0.02</w:t>
            </w:r>
          </w:p>
        </w:tc>
      </w:tr>
    </w:tbl>
    <w:p w14:paraId="6AACF78B"/>
    <w:p w14:paraId="3C70C49E">
      <w:pPr>
        <w:rPr>
          <w:b/>
          <w:bCs/>
          <w:color w:val="FF0000"/>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dee3746024314be88287a46c20d21a26"/>
          <w:id w:val="-684135701"/>
          <w:placeholder>
            <w:docPart w:val="GBC22222222222222222222222222222"/>
          </w:placeholder>
        </w:sdtPr>
        <w:sdtEndPr>
          <w:rPr>
            <w:rFonts w:hint="eastAsia"/>
          </w:rPr>
        </w:sdtEndPr>
        <w:sdtContent>
          <w:r>
            <w:t>4,043,180.46</w:t>
          </w:r>
        </w:sdtContent>
      </w:sdt>
      <w:r>
        <w:rPr>
          <w:rFonts w:hint="eastAsia"/>
        </w:rPr>
        <w:t xml:space="preserve"> 元, 上期被合并方实现的净利润为： </w:t>
      </w:r>
      <w:sdt>
        <w:sdtPr>
          <w:rPr>
            <w:rFonts w:hint="eastAsia"/>
          </w:rPr>
          <w:alias w:val="同一控制下的企业合并中被合并方在合并前实现的净利润"/>
          <w:tag w:val="_GBC_12f9ba898e4e450d82ca7ea5336921ae"/>
          <w:id w:val="-1808163163"/>
          <w:placeholder>
            <w:docPart w:val="GBC22222222222222222222222222222"/>
          </w:placeholder>
        </w:sdtPr>
        <w:sdtEndPr>
          <w:rPr>
            <w:rFonts w:hint="default"/>
          </w:rPr>
        </w:sdtEndPr>
        <w:sdtContent>
          <w:r>
            <w:t>1,396,973.10</w:t>
          </w:r>
        </w:sdtContent>
      </w:sdt>
      <w:r>
        <w:rPr>
          <w:rFonts w:hint="eastAsia"/>
        </w:rPr>
        <w:t xml:space="preserve"> 元。</w:t>
      </w:r>
    </w:p>
    <w:p w14:paraId="04151BF9">
      <w:pPr>
        <w:pStyle w:val="48"/>
      </w:pPr>
      <w:r>
        <w:rPr>
          <w:rFonts w:hint="eastAsia"/>
        </w:rPr>
        <w:t>公司负责</w:t>
      </w:r>
      <w:r>
        <w:t>人</w:t>
      </w:r>
      <w:r>
        <w:rPr>
          <w:rFonts w:hint="eastAsia"/>
        </w:rPr>
        <w:t>：</w:t>
      </w:r>
      <w:sdt>
        <w:sdtPr>
          <w:rPr>
            <w:rFonts w:hint="eastAsia"/>
          </w:rPr>
          <w:alias w:val="公司负责人姓名"/>
          <w:tag w:val="_GBC_85589cdf09ed4055b8d177524f5a0df0"/>
          <w:id w:val="2022737524"/>
          <w:placeholder>
            <w:docPart w:val="GBC22222222222222222222222222222"/>
          </w:placeholder>
          <w:dataBinding w:prefixMappings="xmlns:clcid-mr='clcid-mr'" w:xpath="/*/clcid-mr:GongSiFuZeRenXingMing[not(@periodRef)]" w:storeItemID="{89EBAB94-44A0-46A2-B712-30D997D04A6D}"/>
          <w:text/>
        </w:sdtPr>
        <w:sdtEndPr>
          <w:rPr>
            <w:rFonts w:hint="eastAsia"/>
          </w:rPr>
        </w:sdtEndPr>
        <w:sdtContent>
          <w:r>
            <w:rPr>
              <w:rFonts w:hint="eastAsia"/>
            </w:rPr>
            <w:t>李佳鸿</w:t>
          </w:r>
        </w:sdtContent>
      </w:sdt>
      <w:r>
        <w:rPr>
          <w:rFonts w:hint="eastAsia"/>
        </w:rPr>
        <w:t xml:space="preserve"> </w:t>
      </w:r>
      <w:r>
        <w:t xml:space="preserve">        主管会计工作负责人</w:t>
      </w:r>
      <w:r>
        <w:rPr>
          <w:rFonts w:hint="eastAsia"/>
        </w:rPr>
        <w:t>：</w:t>
      </w:r>
      <w:sdt>
        <w:sdtPr>
          <w:rPr>
            <w:rFonts w:hint="eastAsia"/>
          </w:rPr>
          <w:alias w:val="主管会计工作负责人姓名"/>
          <w:tag w:val="_GBC_d5d5ec398a544491b9394eef54a56ec6"/>
          <w:id w:val="1972396299"/>
          <w:placeholder>
            <w:docPart w:val="GBC22222222222222222222222222222"/>
          </w:placeholder>
          <w:dataBinding w:prefixMappings="xmlns:clcid-mr='clcid-mr'" w:xpath="/*/clcid-mr:ZhuGuanKuaiJiGongZuoFuZeRenXingMing[not(@periodRef)]" w:storeItemID="{89EBAB94-44A0-46A2-B712-30D997D04A6D}"/>
          <w:text/>
        </w:sdtPr>
        <w:sdtEndPr>
          <w:rPr>
            <w:rFonts w:hint="eastAsia"/>
          </w:rPr>
        </w:sdtEndPr>
        <w:sdtContent>
          <w:r>
            <w:rPr>
              <w:rFonts w:hint="eastAsia"/>
            </w:rPr>
            <w:t>迟军玉</w:t>
          </w:r>
        </w:sdtContent>
      </w:sdt>
      <w:r>
        <w:rPr>
          <w:rFonts w:hint="eastAsia"/>
        </w:rPr>
        <w:t xml:space="preserve"> </w:t>
      </w:r>
      <w:r>
        <w:t xml:space="preserve">       会计机构负责人</w:t>
      </w:r>
      <w:r>
        <w:rPr>
          <w:rFonts w:hint="eastAsia"/>
        </w:rPr>
        <w:t>：</w:t>
      </w:r>
      <w:sdt>
        <w:sdtPr>
          <w:rPr>
            <w:rFonts w:hint="eastAsia"/>
          </w:rPr>
          <w:alias w:val="会计机构负责人姓名"/>
          <w:tag w:val="_GBC_b776bf38628747739bf5cfe3f08d63a8"/>
          <w:id w:val="1254636809"/>
          <w:placeholder>
            <w:docPart w:val="GBC22222222222222222222222222222"/>
          </w:placeholder>
          <w:dataBinding w:prefixMappings="xmlns:clcid-mr='clcid-mr'" w:xpath="/*/clcid-mr:KuaiJiJiGouFuZeRenXingMing[not(@periodRef)]" w:storeItemID="{89EBAB94-44A0-46A2-B712-30D997D04A6D}"/>
          <w:text/>
        </w:sdtPr>
        <w:sdtEndPr>
          <w:rPr>
            <w:rFonts w:hint="eastAsia"/>
          </w:rPr>
        </w:sdtEndPr>
        <w:sdtContent>
          <w:r>
            <w:rPr>
              <w:rFonts w:hint="eastAsia"/>
            </w:rPr>
            <w:t>樊鸿宇</w:t>
          </w:r>
        </w:sdtContent>
      </w:sdt>
    </w:p>
    <w:bookmarkEnd w:id="196"/>
    <w:p w14:paraId="2BCA3E34">
      <w:pPr>
        <w:rPr>
          <w:color w:val="FF0000"/>
        </w:rPr>
      </w:pPr>
    </w:p>
    <w:p w14:paraId="38A7BF90">
      <w:pPr>
        <w:pStyle w:val="4"/>
        <w:jc w:val="center"/>
        <w:sectPr>
          <w:pgSz w:w="11906" w:h="16838"/>
          <w:pgMar w:top="1525" w:right="1276" w:bottom="1440" w:left="1797" w:header="856" w:footer="992" w:gutter="0"/>
          <w:cols w:space="425" w:num="1"/>
          <w:docGrid w:linePitch="312" w:charSpace="0"/>
        </w:sectPr>
      </w:pPr>
      <w:bookmarkStart w:id="197" w:name="_Hlk24038476"/>
    </w:p>
    <w:p w14:paraId="5E3FDA00">
      <w:pPr>
        <w:pStyle w:val="4"/>
        <w:jc w:val="center"/>
      </w:pPr>
      <w:r>
        <w:rPr>
          <w:rFonts w:hint="eastAsia"/>
        </w:rPr>
        <w:t>母公司</w:t>
      </w:r>
      <w:r>
        <w:t>利润表</w:t>
      </w:r>
    </w:p>
    <w:p w14:paraId="04BCD09D">
      <w:pPr>
        <w:jc w:val="center"/>
        <w:rPr>
          <w:b/>
          <w:bCs/>
        </w:rPr>
      </w:pPr>
      <w:r>
        <w:t>2025年</w:t>
      </w:r>
      <w:r>
        <w:rPr>
          <w:rFonts w:hint="eastAsia"/>
        </w:rPr>
        <w:t>1—</w:t>
      </w:r>
      <w:r>
        <w:t>12月</w:t>
      </w:r>
    </w:p>
    <w:p w14:paraId="1387F176">
      <w:pPr>
        <w:snapToGrid w:val="0"/>
        <w:spacing w:line="240" w:lineRule="atLeast"/>
        <w:jc w:val="right"/>
        <w:rPr>
          <w:b/>
          <w:bCs/>
          <w:color w:val="FF0000"/>
        </w:rPr>
      </w:pPr>
      <w:r>
        <w:t>单位：</w:t>
      </w:r>
      <w:sdt>
        <w:sdtPr>
          <w:alias w:val="单位：母公司利润表"/>
          <w:tag w:val="_GBC_f17e8cd8a21b417cb065f4c3b94f9c26"/>
          <w:id w:val="-8483267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币种：</w:t>
      </w:r>
      <w:sdt>
        <w:sdtPr>
          <w:alias w:val="币种：母公司利润表"/>
          <w:tag w:val="_GBC_514289adafbe4fe995f8f3791e23e392"/>
          <w:id w:val="-15901491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57"/>
        <w:tblW w:w="904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507"/>
        <w:gridCol w:w="1516"/>
        <w:gridCol w:w="2008"/>
        <w:gridCol w:w="2018"/>
      </w:tblGrid>
      <w:tr w14:paraId="33C6A9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3507" w:type="dxa"/>
            <w:tcBorders>
              <w:top w:val="outset" w:color="auto" w:sz="4" w:space="0"/>
              <w:left w:val="outset" w:color="auto" w:sz="4" w:space="0"/>
              <w:bottom w:val="outset" w:color="auto" w:sz="4" w:space="0"/>
              <w:right w:val="outset" w:color="auto" w:sz="4" w:space="0"/>
            </w:tcBorders>
            <w:vAlign w:val="center"/>
          </w:tcPr>
          <w:sdt>
            <w:sdtPr>
              <w:tag w:val="_PLD_a25f325e0afe4d279180290df7e1dd6d"/>
              <w:id w:val="-193007069"/>
            </w:sdtPr>
            <w:sdtContent>
              <w:p w14:paraId="340E6949">
                <w:pPr>
                  <w:ind w:leftChars="-19" w:hanging="39" w:hangingChars="19"/>
                  <w:jc w:val="center"/>
                  <w:rPr>
                    <w:rFonts w:ascii="Calibri" w:hAnsi="Calibri"/>
                    <w:b/>
                    <w:sz w:val="20"/>
                    <w:szCs w:val="20"/>
                  </w:rPr>
                </w:pPr>
                <w:r>
                  <w:rPr>
                    <w:rFonts w:hint="eastAsia" w:ascii="Calibri" w:hAnsi="Calibri"/>
                    <w:b/>
                    <w:sz w:val="20"/>
                    <w:szCs w:val="20"/>
                  </w:rPr>
                  <w:t>项目</w:t>
                </w:r>
              </w:p>
            </w:sdtContent>
          </w:sdt>
        </w:tc>
        <w:tc>
          <w:tcPr>
            <w:tcW w:w="1516" w:type="dxa"/>
            <w:tcBorders>
              <w:top w:val="outset" w:color="auto" w:sz="4" w:space="0"/>
              <w:left w:val="outset" w:color="auto" w:sz="4" w:space="0"/>
              <w:bottom w:val="outset" w:color="auto" w:sz="4" w:space="0"/>
              <w:right w:val="outset" w:color="auto" w:sz="4" w:space="0"/>
            </w:tcBorders>
            <w:vAlign w:val="center"/>
          </w:tcPr>
          <w:p w14:paraId="177C668C">
            <w:pPr>
              <w:jc w:val="center"/>
              <w:rPr>
                <w:rFonts w:ascii="Calibri" w:hAnsi="Calibri"/>
                <w:b/>
                <w:sz w:val="20"/>
                <w:szCs w:val="20"/>
              </w:rPr>
            </w:pPr>
            <w:sdt>
              <w:sdtPr>
                <w:tag w:val="_PLD_4bea71a35f204b56bca2b7ea223d4b71"/>
                <w:id w:val="-1615818027"/>
              </w:sdtPr>
              <w:sdtEndPr>
                <w:rPr>
                  <w:rFonts w:ascii="Calibri" w:hAnsi="Calibri"/>
                  <w:b/>
                  <w:sz w:val="20"/>
                  <w:szCs w:val="20"/>
                </w:rPr>
              </w:sdtEndPr>
              <w:sdtContent>
                <w:r>
                  <w:rPr>
                    <w:rFonts w:hint="eastAsia" w:ascii="Calibri" w:hAnsi="Calibri"/>
                    <w:b/>
                    <w:sz w:val="20"/>
                    <w:szCs w:val="20"/>
                  </w:rPr>
                  <w:t>附注</w:t>
                </w:r>
              </w:sdtContent>
            </w:sdt>
            <w:r>
              <w:rPr>
                <w:rFonts w:hint="eastAsia" w:ascii="Calibri" w:hAnsi="Calibri"/>
                <w:b/>
                <w:sz w:val="20"/>
                <w:szCs w:val="20"/>
              </w:rPr>
              <w:t>十九</w:t>
            </w:r>
          </w:p>
        </w:tc>
        <w:tc>
          <w:tcPr>
            <w:tcW w:w="2008" w:type="dxa"/>
            <w:tcBorders>
              <w:top w:val="outset" w:color="auto" w:sz="4" w:space="0"/>
              <w:left w:val="outset" w:color="auto" w:sz="4" w:space="0"/>
              <w:bottom w:val="outset" w:color="auto" w:sz="4" w:space="0"/>
              <w:right w:val="outset" w:color="auto" w:sz="4" w:space="0"/>
            </w:tcBorders>
            <w:vAlign w:val="center"/>
          </w:tcPr>
          <w:sdt>
            <w:sdtPr>
              <w:tag w:val="_PLD_a2bf02ec3f0b4ce2b9d25f751262d2b0"/>
              <w:id w:val="1387143469"/>
            </w:sdtPr>
            <w:sdtContent>
              <w:p w14:paraId="149A0ED0">
                <w:pPr>
                  <w:jc w:val="center"/>
                  <w:rPr>
                    <w:rFonts w:ascii="Calibri" w:hAnsi="Calibri"/>
                    <w:b/>
                    <w:sz w:val="20"/>
                    <w:szCs w:val="20"/>
                  </w:rPr>
                </w:pPr>
                <w:r>
                  <w:rPr>
                    <w:rFonts w:hint="eastAsia" w:ascii="Calibri" w:hAnsi="Calibri"/>
                    <w:b/>
                    <w:sz w:val="20"/>
                    <w:szCs w:val="20"/>
                  </w:rPr>
                  <w:t>2025年度</w:t>
                </w:r>
              </w:p>
            </w:sdtContent>
          </w:sdt>
        </w:tc>
        <w:tc>
          <w:tcPr>
            <w:tcW w:w="2018" w:type="dxa"/>
            <w:tcBorders>
              <w:top w:val="outset" w:color="auto" w:sz="4" w:space="0"/>
              <w:left w:val="outset" w:color="auto" w:sz="4" w:space="0"/>
              <w:bottom w:val="outset" w:color="auto" w:sz="4" w:space="0"/>
              <w:right w:val="outset" w:color="auto" w:sz="4" w:space="0"/>
            </w:tcBorders>
            <w:vAlign w:val="center"/>
          </w:tcPr>
          <w:sdt>
            <w:sdtPr>
              <w:tag w:val="_PLD_7a01f378d3e3492c9571d4400832431f"/>
              <w:id w:val="70625228"/>
            </w:sdtPr>
            <w:sdtContent>
              <w:p w14:paraId="565318A4">
                <w:pPr>
                  <w:jc w:val="center"/>
                  <w:rPr>
                    <w:rFonts w:ascii="Calibri" w:hAnsi="Calibri"/>
                    <w:b/>
                    <w:sz w:val="20"/>
                    <w:szCs w:val="20"/>
                  </w:rPr>
                </w:pPr>
                <w:r>
                  <w:rPr>
                    <w:rFonts w:hint="eastAsia" w:ascii="Calibri" w:hAnsi="Calibri"/>
                    <w:b/>
                    <w:sz w:val="20"/>
                    <w:szCs w:val="20"/>
                  </w:rPr>
                  <w:t>2024年度</w:t>
                </w:r>
              </w:p>
            </w:sdtContent>
          </w:sdt>
        </w:tc>
      </w:tr>
      <w:tr w14:paraId="1C1FB8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44E7BF85">
            <w:pPr>
              <w:ind w:left="-19"/>
              <w:rPr>
                <w:rFonts w:ascii="Calibri" w:hAnsi="Calibri"/>
                <w:color w:val="000000"/>
                <w:sz w:val="20"/>
                <w:szCs w:val="20"/>
              </w:rPr>
            </w:pPr>
            <w:r>
              <w:rPr>
                <w:rFonts w:hint="eastAsia" w:ascii="Calibri" w:hAnsi="Calibri"/>
                <w:sz w:val="20"/>
                <w:szCs w:val="20"/>
              </w:rPr>
              <w:t>一、营业收入</w:t>
            </w:r>
          </w:p>
        </w:tc>
        <w:tc>
          <w:tcPr>
            <w:tcW w:w="1516" w:type="dxa"/>
            <w:tcBorders>
              <w:top w:val="outset" w:color="auto" w:sz="4" w:space="0"/>
              <w:left w:val="outset" w:color="auto" w:sz="4" w:space="0"/>
              <w:bottom w:val="outset" w:color="auto" w:sz="4" w:space="0"/>
              <w:right w:val="outset" w:color="auto" w:sz="4" w:space="0"/>
            </w:tcBorders>
            <w:vAlign w:val="center"/>
          </w:tcPr>
          <w:p w14:paraId="25F9ABA3">
            <w:pPr>
              <w:pStyle w:val="48"/>
              <w:jc w:val="center"/>
              <w:rPr>
                <w:sz w:val="20"/>
                <w:szCs w:val="20"/>
              </w:rPr>
            </w:pPr>
            <w:r>
              <w:rPr>
                <w:rFonts w:hint="eastAsia"/>
                <w:sz w:val="20"/>
                <w:szCs w:val="20"/>
              </w:rPr>
              <w:t>3</w:t>
            </w:r>
          </w:p>
        </w:tc>
        <w:tc>
          <w:tcPr>
            <w:tcW w:w="2008" w:type="dxa"/>
            <w:tcBorders>
              <w:top w:val="outset" w:color="auto" w:sz="4" w:space="0"/>
              <w:left w:val="outset" w:color="auto" w:sz="4" w:space="0"/>
              <w:bottom w:val="outset" w:color="auto" w:sz="4" w:space="0"/>
              <w:right w:val="outset" w:color="auto" w:sz="4" w:space="0"/>
            </w:tcBorders>
            <w:vAlign w:val="center"/>
          </w:tcPr>
          <w:p w14:paraId="20FBA8F9">
            <w:pPr>
              <w:jc w:val="right"/>
              <w:rPr>
                <w:rFonts w:ascii="Calibri" w:hAnsi="Calibri"/>
                <w:sz w:val="20"/>
                <w:szCs w:val="20"/>
              </w:rPr>
            </w:pPr>
            <w:r>
              <w:rPr>
                <w:rFonts w:ascii="Calibri" w:hAnsi="Calibri"/>
                <w:sz w:val="20"/>
                <w:szCs w:val="20"/>
              </w:rPr>
              <w:t>2,902,790,727.14</w:t>
            </w:r>
          </w:p>
        </w:tc>
        <w:tc>
          <w:tcPr>
            <w:tcW w:w="2018" w:type="dxa"/>
            <w:tcBorders>
              <w:top w:val="outset" w:color="auto" w:sz="4" w:space="0"/>
              <w:left w:val="outset" w:color="auto" w:sz="4" w:space="0"/>
              <w:bottom w:val="outset" w:color="auto" w:sz="4" w:space="0"/>
              <w:right w:val="outset" w:color="auto" w:sz="4" w:space="0"/>
            </w:tcBorders>
            <w:vAlign w:val="center"/>
          </w:tcPr>
          <w:p w14:paraId="12FD7A6C">
            <w:pPr>
              <w:jc w:val="right"/>
              <w:rPr>
                <w:rFonts w:ascii="Calibri" w:hAnsi="Calibri"/>
                <w:sz w:val="20"/>
                <w:szCs w:val="20"/>
              </w:rPr>
            </w:pPr>
            <w:r>
              <w:rPr>
                <w:rFonts w:ascii="Calibri" w:hAnsi="Calibri"/>
                <w:sz w:val="20"/>
                <w:szCs w:val="20"/>
              </w:rPr>
              <w:t>2,025,741,227.62</w:t>
            </w:r>
          </w:p>
        </w:tc>
      </w:tr>
      <w:tr w14:paraId="20A4C2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4B4A6F4B">
            <w:pPr>
              <w:ind w:firstLine="200" w:firstLineChars="100"/>
              <w:rPr>
                <w:rFonts w:ascii="Calibri" w:hAnsi="Calibri"/>
                <w:color w:val="000000"/>
                <w:sz w:val="20"/>
                <w:szCs w:val="20"/>
              </w:rPr>
            </w:pPr>
            <w:r>
              <w:rPr>
                <w:rFonts w:hint="eastAsia" w:ascii="Calibri" w:hAnsi="Calibri"/>
                <w:sz w:val="20"/>
                <w:szCs w:val="20"/>
              </w:rPr>
              <w:t>减：营业成本</w:t>
            </w:r>
          </w:p>
        </w:tc>
        <w:tc>
          <w:tcPr>
            <w:tcW w:w="1516" w:type="dxa"/>
            <w:tcBorders>
              <w:top w:val="outset" w:color="auto" w:sz="4" w:space="0"/>
              <w:left w:val="outset" w:color="auto" w:sz="4" w:space="0"/>
              <w:bottom w:val="outset" w:color="auto" w:sz="4" w:space="0"/>
              <w:right w:val="outset" w:color="auto" w:sz="4" w:space="0"/>
            </w:tcBorders>
            <w:vAlign w:val="center"/>
          </w:tcPr>
          <w:p w14:paraId="0668C28C">
            <w:pPr>
              <w:pStyle w:val="48"/>
              <w:jc w:val="center"/>
              <w:rPr>
                <w:sz w:val="20"/>
                <w:szCs w:val="20"/>
              </w:rPr>
            </w:pPr>
            <w:r>
              <w:rPr>
                <w:rFonts w:hint="eastAsia"/>
                <w:sz w:val="20"/>
                <w:szCs w:val="20"/>
              </w:rPr>
              <w:t>3</w:t>
            </w:r>
          </w:p>
        </w:tc>
        <w:tc>
          <w:tcPr>
            <w:tcW w:w="2008" w:type="dxa"/>
            <w:tcBorders>
              <w:top w:val="outset" w:color="auto" w:sz="4" w:space="0"/>
              <w:left w:val="outset" w:color="auto" w:sz="4" w:space="0"/>
              <w:bottom w:val="outset" w:color="auto" w:sz="4" w:space="0"/>
              <w:right w:val="outset" w:color="auto" w:sz="4" w:space="0"/>
            </w:tcBorders>
            <w:vAlign w:val="center"/>
          </w:tcPr>
          <w:p w14:paraId="06926E51">
            <w:pPr>
              <w:jc w:val="right"/>
              <w:rPr>
                <w:rFonts w:ascii="Calibri" w:hAnsi="Calibri"/>
                <w:sz w:val="20"/>
                <w:szCs w:val="20"/>
              </w:rPr>
            </w:pPr>
            <w:r>
              <w:rPr>
                <w:rFonts w:ascii="Calibri" w:hAnsi="Calibri"/>
                <w:sz w:val="20"/>
                <w:szCs w:val="20"/>
              </w:rPr>
              <w:t>869,628,232.70</w:t>
            </w:r>
          </w:p>
        </w:tc>
        <w:tc>
          <w:tcPr>
            <w:tcW w:w="2018" w:type="dxa"/>
            <w:tcBorders>
              <w:top w:val="outset" w:color="auto" w:sz="4" w:space="0"/>
              <w:left w:val="outset" w:color="auto" w:sz="4" w:space="0"/>
              <w:bottom w:val="outset" w:color="auto" w:sz="4" w:space="0"/>
              <w:right w:val="outset" w:color="auto" w:sz="4" w:space="0"/>
            </w:tcBorders>
            <w:vAlign w:val="center"/>
          </w:tcPr>
          <w:p w14:paraId="2EA3DE12">
            <w:pPr>
              <w:jc w:val="right"/>
              <w:rPr>
                <w:rFonts w:ascii="Calibri" w:hAnsi="Calibri"/>
                <w:sz w:val="20"/>
                <w:szCs w:val="20"/>
              </w:rPr>
            </w:pPr>
            <w:r>
              <w:rPr>
                <w:rFonts w:ascii="Calibri" w:hAnsi="Calibri"/>
                <w:sz w:val="20"/>
                <w:szCs w:val="20"/>
              </w:rPr>
              <w:t>560,900,037.70</w:t>
            </w:r>
          </w:p>
        </w:tc>
      </w:tr>
      <w:tr w14:paraId="0CC807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B7B48FD">
            <w:pPr>
              <w:ind w:firstLine="600" w:firstLineChars="300"/>
              <w:rPr>
                <w:rFonts w:ascii="Calibri" w:hAnsi="Calibri"/>
                <w:sz w:val="20"/>
                <w:szCs w:val="20"/>
              </w:rPr>
            </w:pPr>
            <w:r>
              <w:rPr>
                <w:rFonts w:hint="eastAsia" w:ascii="Calibri" w:hAnsi="Calibri"/>
                <w:sz w:val="20"/>
                <w:szCs w:val="20"/>
              </w:rPr>
              <w:t>税金及附加</w:t>
            </w:r>
          </w:p>
        </w:tc>
        <w:tc>
          <w:tcPr>
            <w:tcW w:w="1516" w:type="dxa"/>
            <w:tcBorders>
              <w:top w:val="outset" w:color="auto" w:sz="4" w:space="0"/>
              <w:left w:val="outset" w:color="auto" w:sz="4" w:space="0"/>
              <w:bottom w:val="outset" w:color="auto" w:sz="4" w:space="0"/>
              <w:right w:val="outset" w:color="auto" w:sz="4" w:space="0"/>
            </w:tcBorders>
            <w:vAlign w:val="center"/>
          </w:tcPr>
          <w:p w14:paraId="49245F78">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79C96718">
            <w:pPr>
              <w:jc w:val="right"/>
              <w:rPr>
                <w:rFonts w:ascii="Calibri" w:hAnsi="Calibri"/>
                <w:sz w:val="20"/>
                <w:szCs w:val="20"/>
              </w:rPr>
            </w:pPr>
            <w:r>
              <w:rPr>
                <w:rFonts w:ascii="Calibri" w:hAnsi="Calibri"/>
                <w:sz w:val="20"/>
                <w:szCs w:val="20"/>
              </w:rPr>
              <w:t>23,125,651.33</w:t>
            </w:r>
          </w:p>
        </w:tc>
        <w:tc>
          <w:tcPr>
            <w:tcW w:w="2018" w:type="dxa"/>
            <w:tcBorders>
              <w:top w:val="outset" w:color="auto" w:sz="4" w:space="0"/>
              <w:left w:val="outset" w:color="auto" w:sz="4" w:space="0"/>
              <w:bottom w:val="outset" w:color="auto" w:sz="4" w:space="0"/>
              <w:right w:val="outset" w:color="auto" w:sz="4" w:space="0"/>
            </w:tcBorders>
            <w:vAlign w:val="center"/>
          </w:tcPr>
          <w:p w14:paraId="1FE05885">
            <w:pPr>
              <w:jc w:val="right"/>
              <w:rPr>
                <w:rFonts w:ascii="Calibri" w:hAnsi="Calibri"/>
                <w:sz w:val="20"/>
                <w:szCs w:val="20"/>
              </w:rPr>
            </w:pPr>
            <w:r>
              <w:rPr>
                <w:rFonts w:ascii="Calibri" w:hAnsi="Calibri"/>
                <w:sz w:val="20"/>
                <w:szCs w:val="20"/>
              </w:rPr>
              <w:t>10,767,359.53</w:t>
            </w:r>
          </w:p>
        </w:tc>
      </w:tr>
      <w:tr w14:paraId="0E773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37F226B">
            <w:pPr>
              <w:ind w:firstLine="600" w:firstLineChars="300"/>
              <w:rPr>
                <w:rFonts w:ascii="Calibri" w:hAnsi="Calibri"/>
                <w:sz w:val="20"/>
                <w:szCs w:val="20"/>
              </w:rPr>
            </w:pPr>
            <w:r>
              <w:rPr>
                <w:rFonts w:hint="eastAsia" w:ascii="Calibri" w:hAnsi="Calibri"/>
                <w:sz w:val="20"/>
                <w:szCs w:val="20"/>
              </w:rPr>
              <w:t>销售费用</w:t>
            </w:r>
          </w:p>
        </w:tc>
        <w:tc>
          <w:tcPr>
            <w:tcW w:w="1516" w:type="dxa"/>
            <w:tcBorders>
              <w:top w:val="outset" w:color="auto" w:sz="4" w:space="0"/>
              <w:left w:val="outset" w:color="auto" w:sz="4" w:space="0"/>
              <w:bottom w:val="outset" w:color="auto" w:sz="4" w:space="0"/>
              <w:right w:val="outset" w:color="auto" w:sz="4" w:space="0"/>
            </w:tcBorders>
            <w:vAlign w:val="center"/>
          </w:tcPr>
          <w:p w14:paraId="35968C95">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19C9B872">
            <w:pPr>
              <w:jc w:val="right"/>
              <w:rPr>
                <w:rFonts w:ascii="Calibri" w:hAnsi="Calibri"/>
                <w:sz w:val="20"/>
                <w:szCs w:val="20"/>
              </w:rPr>
            </w:pPr>
            <w:r>
              <w:rPr>
                <w:rFonts w:ascii="Calibri" w:hAnsi="Calibri"/>
                <w:sz w:val="20"/>
                <w:szCs w:val="20"/>
              </w:rPr>
              <w:t>1,108,739,641.31</w:t>
            </w:r>
          </w:p>
        </w:tc>
        <w:tc>
          <w:tcPr>
            <w:tcW w:w="2018" w:type="dxa"/>
            <w:tcBorders>
              <w:top w:val="outset" w:color="auto" w:sz="4" w:space="0"/>
              <w:left w:val="outset" w:color="auto" w:sz="4" w:space="0"/>
              <w:bottom w:val="outset" w:color="auto" w:sz="4" w:space="0"/>
              <w:right w:val="outset" w:color="auto" w:sz="4" w:space="0"/>
            </w:tcBorders>
            <w:vAlign w:val="center"/>
          </w:tcPr>
          <w:p w14:paraId="05A189E9">
            <w:pPr>
              <w:jc w:val="right"/>
              <w:rPr>
                <w:rFonts w:ascii="Calibri" w:hAnsi="Calibri"/>
                <w:sz w:val="20"/>
                <w:szCs w:val="20"/>
              </w:rPr>
            </w:pPr>
            <w:r>
              <w:rPr>
                <w:rFonts w:ascii="Calibri" w:hAnsi="Calibri"/>
                <w:sz w:val="20"/>
                <w:szCs w:val="20"/>
              </w:rPr>
              <w:t>1,071,888,504.46</w:t>
            </w:r>
          </w:p>
        </w:tc>
      </w:tr>
      <w:tr w14:paraId="3CB6B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FBC167A">
            <w:pPr>
              <w:ind w:firstLine="600" w:firstLineChars="300"/>
              <w:rPr>
                <w:rFonts w:ascii="Calibri" w:hAnsi="Calibri"/>
                <w:sz w:val="20"/>
                <w:szCs w:val="20"/>
              </w:rPr>
            </w:pPr>
            <w:r>
              <w:rPr>
                <w:rFonts w:hint="eastAsia" w:ascii="Calibri" w:hAnsi="Calibri"/>
                <w:sz w:val="20"/>
                <w:szCs w:val="20"/>
              </w:rPr>
              <w:t>管理费用</w:t>
            </w:r>
          </w:p>
        </w:tc>
        <w:tc>
          <w:tcPr>
            <w:tcW w:w="1516" w:type="dxa"/>
            <w:tcBorders>
              <w:top w:val="outset" w:color="auto" w:sz="4" w:space="0"/>
              <w:left w:val="outset" w:color="auto" w:sz="4" w:space="0"/>
              <w:bottom w:val="outset" w:color="auto" w:sz="4" w:space="0"/>
              <w:right w:val="outset" w:color="auto" w:sz="4" w:space="0"/>
            </w:tcBorders>
            <w:vAlign w:val="center"/>
          </w:tcPr>
          <w:p w14:paraId="4D2DD9CB">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37FC0CC6">
            <w:pPr>
              <w:jc w:val="right"/>
              <w:rPr>
                <w:rFonts w:ascii="Calibri" w:hAnsi="Calibri"/>
                <w:sz w:val="20"/>
                <w:szCs w:val="20"/>
              </w:rPr>
            </w:pPr>
            <w:r>
              <w:rPr>
                <w:rFonts w:ascii="Calibri" w:hAnsi="Calibri"/>
                <w:sz w:val="20"/>
                <w:szCs w:val="20"/>
              </w:rPr>
              <w:t>151,532,554.26</w:t>
            </w:r>
          </w:p>
        </w:tc>
        <w:tc>
          <w:tcPr>
            <w:tcW w:w="2018" w:type="dxa"/>
            <w:tcBorders>
              <w:top w:val="outset" w:color="auto" w:sz="4" w:space="0"/>
              <w:left w:val="outset" w:color="auto" w:sz="4" w:space="0"/>
              <w:bottom w:val="outset" w:color="auto" w:sz="4" w:space="0"/>
              <w:right w:val="outset" w:color="auto" w:sz="4" w:space="0"/>
            </w:tcBorders>
            <w:vAlign w:val="center"/>
          </w:tcPr>
          <w:p w14:paraId="3A57E89D">
            <w:pPr>
              <w:jc w:val="right"/>
              <w:rPr>
                <w:rFonts w:ascii="Calibri" w:hAnsi="Calibri"/>
                <w:sz w:val="20"/>
                <w:szCs w:val="20"/>
              </w:rPr>
            </w:pPr>
            <w:r>
              <w:rPr>
                <w:rFonts w:ascii="Calibri" w:hAnsi="Calibri"/>
                <w:sz w:val="20"/>
                <w:szCs w:val="20"/>
              </w:rPr>
              <w:t>158,634,212.88</w:t>
            </w:r>
          </w:p>
        </w:tc>
      </w:tr>
      <w:tr w14:paraId="2C258D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4BD8235">
            <w:pPr>
              <w:ind w:firstLine="600" w:firstLineChars="300"/>
              <w:rPr>
                <w:rFonts w:ascii="Calibri" w:hAnsi="Calibri"/>
                <w:sz w:val="20"/>
                <w:szCs w:val="20"/>
              </w:rPr>
            </w:pPr>
            <w:r>
              <w:rPr>
                <w:rFonts w:hint="eastAsia" w:ascii="Calibri" w:hAnsi="Calibri"/>
                <w:sz w:val="20"/>
                <w:szCs w:val="20"/>
              </w:rPr>
              <w:t>研发费用</w:t>
            </w:r>
          </w:p>
        </w:tc>
        <w:tc>
          <w:tcPr>
            <w:tcW w:w="1516" w:type="dxa"/>
            <w:tcBorders>
              <w:top w:val="outset" w:color="auto" w:sz="4" w:space="0"/>
              <w:left w:val="outset" w:color="auto" w:sz="4" w:space="0"/>
              <w:bottom w:val="outset" w:color="auto" w:sz="4" w:space="0"/>
              <w:right w:val="outset" w:color="auto" w:sz="4" w:space="0"/>
            </w:tcBorders>
            <w:vAlign w:val="center"/>
          </w:tcPr>
          <w:p w14:paraId="39867CBD">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1BB70CE2">
            <w:pPr>
              <w:jc w:val="right"/>
              <w:rPr>
                <w:rFonts w:ascii="Calibri" w:hAnsi="Calibri"/>
                <w:sz w:val="20"/>
                <w:szCs w:val="20"/>
              </w:rPr>
            </w:pPr>
            <w:r>
              <w:rPr>
                <w:rFonts w:ascii="Calibri" w:hAnsi="Calibri"/>
                <w:sz w:val="20"/>
                <w:szCs w:val="20"/>
              </w:rPr>
              <w:t>125,348,020.56</w:t>
            </w:r>
          </w:p>
        </w:tc>
        <w:tc>
          <w:tcPr>
            <w:tcW w:w="2018" w:type="dxa"/>
            <w:tcBorders>
              <w:top w:val="outset" w:color="auto" w:sz="4" w:space="0"/>
              <w:left w:val="outset" w:color="auto" w:sz="4" w:space="0"/>
              <w:bottom w:val="outset" w:color="auto" w:sz="4" w:space="0"/>
              <w:right w:val="outset" w:color="auto" w:sz="4" w:space="0"/>
            </w:tcBorders>
            <w:vAlign w:val="center"/>
          </w:tcPr>
          <w:p w14:paraId="03F0F544">
            <w:pPr>
              <w:jc w:val="right"/>
              <w:rPr>
                <w:rFonts w:ascii="Calibri" w:hAnsi="Calibri"/>
                <w:sz w:val="20"/>
                <w:szCs w:val="20"/>
              </w:rPr>
            </w:pPr>
            <w:r>
              <w:rPr>
                <w:rFonts w:ascii="Calibri" w:hAnsi="Calibri"/>
                <w:sz w:val="20"/>
                <w:szCs w:val="20"/>
              </w:rPr>
              <w:t>98,958,215.99</w:t>
            </w:r>
          </w:p>
        </w:tc>
      </w:tr>
      <w:tr w14:paraId="02041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4C4ACCEE">
            <w:pPr>
              <w:ind w:firstLine="600" w:firstLineChars="300"/>
              <w:rPr>
                <w:rFonts w:ascii="Calibri" w:hAnsi="Calibri"/>
                <w:sz w:val="20"/>
                <w:szCs w:val="20"/>
              </w:rPr>
            </w:pPr>
            <w:r>
              <w:rPr>
                <w:rFonts w:hint="eastAsia" w:ascii="Calibri" w:hAnsi="Calibri"/>
                <w:sz w:val="20"/>
                <w:szCs w:val="20"/>
              </w:rPr>
              <w:t>财务费用</w:t>
            </w:r>
          </w:p>
        </w:tc>
        <w:tc>
          <w:tcPr>
            <w:tcW w:w="1516" w:type="dxa"/>
            <w:tcBorders>
              <w:top w:val="outset" w:color="auto" w:sz="4" w:space="0"/>
              <w:left w:val="outset" w:color="auto" w:sz="4" w:space="0"/>
              <w:bottom w:val="outset" w:color="auto" w:sz="4" w:space="0"/>
              <w:right w:val="outset" w:color="auto" w:sz="4" w:space="0"/>
            </w:tcBorders>
            <w:vAlign w:val="center"/>
          </w:tcPr>
          <w:p w14:paraId="589A30B9">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1CBFFE50">
            <w:pPr>
              <w:jc w:val="right"/>
              <w:rPr>
                <w:rFonts w:ascii="Calibri" w:hAnsi="Calibri"/>
                <w:sz w:val="20"/>
                <w:szCs w:val="20"/>
              </w:rPr>
            </w:pPr>
            <w:r>
              <w:rPr>
                <w:rFonts w:ascii="Calibri" w:hAnsi="Calibri"/>
                <w:sz w:val="20"/>
                <w:szCs w:val="20"/>
              </w:rPr>
              <w:t>16,833,831.57</w:t>
            </w:r>
          </w:p>
        </w:tc>
        <w:tc>
          <w:tcPr>
            <w:tcW w:w="2018" w:type="dxa"/>
            <w:tcBorders>
              <w:top w:val="outset" w:color="auto" w:sz="4" w:space="0"/>
              <w:left w:val="outset" w:color="auto" w:sz="4" w:space="0"/>
              <w:bottom w:val="outset" w:color="auto" w:sz="4" w:space="0"/>
              <w:right w:val="outset" w:color="auto" w:sz="4" w:space="0"/>
            </w:tcBorders>
            <w:vAlign w:val="center"/>
          </w:tcPr>
          <w:p w14:paraId="11EBC0A1">
            <w:pPr>
              <w:jc w:val="right"/>
              <w:rPr>
                <w:rFonts w:ascii="Calibri" w:hAnsi="Calibri"/>
                <w:sz w:val="20"/>
                <w:szCs w:val="20"/>
              </w:rPr>
            </w:pPr>
            <w:r>
              <w:rPr>
                <w:rFonts w:ascii="Calibri" w:hAnsi="Calibri"/>
                <w:sz w:val="20"/>
                <w:szCs w:val="20"/>
              </w:rPr>
              <w:t>6,040,016.21</w:t>
            </w:r>
          </w:p>
        </w:tc>
      </w:tr>
      <w:tr w14:paraId="46FE6A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A17A786">
            <w:pPr>
              <w:ind w:firstLine="600" w:firstLineChars="300"/>
              <w:rPr>
                <w:rFonts w:ascii="Calibri" w:hAnsi="Calibri"/>
                <w:sz w:val="20"/>
                <w:szCs w:val="20"/>
              </w:rPr>
            </w:pPr>
            <w:r>
              <w:rPr>
                <w:rFonts w:hint="eastAsia" w:ascii="Calibri" w:hAnsi="Calibri"/>
                <w:sz w:val="20"/>
                <w:szCs w:val="20"/>
              </w:rPr>
              <w:t>其中：利息费用</w:t>
            </w:r>
          </w:p>
        </w:tc>
        <w:tc>
          <w:tcPr>
            <w:tcW w:w="1516" w:type="dxa"/>
            <w:tcBorders>
              <w:top w:val="outset" w:color="auto" w:sz="4" w:space="0"/>
              <w:left w:val="outset" w:color="auto" w:sz="4" w:space="0"/>
              <w:bottom w:val="outset" w:color="auto" w:sz="4" w:space="0"/>
              <w:right w:val="outset" w:color="auto" w:sz="4" w:space="0"/>
            </w:tcBorders>
            <w:vAlign w:val="center"/>
          </w:tcPr>
          <w:p w14:paraId="2BAF4DC4">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3FEF1C5E">
            <w:pPr>
              <w:jc w:val="right"/>
              <w:rPr>
                <w:rFonts w:ascii="Calibri" w:hAnsi="Calibri"/>
                <w:sz w:val="20"/>
                <w:szCs w:val="20"/>
              </w:rPr>
            </w:pPr>
            <w:r>
              <w:rPr>
                <w:rFonts w:ascii="Calibri" w:hAnsi="Calibri"/>
                <w:sz w:val="20"/>
                <w:szCs w:val="20"/>
              </w:rPr>
              <w:t>20,416,550.20</w:t>
            </w:r>
          </w:p>
        </w:tc>
        <w:tc>
          <w:tcPr>
            <w:tcW w:w="2018" w:type="dxa"/>
            <w:tcBorders>
              <w:top w:val="outset" w:color="auto" w:sz="4" w:space="0"/>
              <w:left w:val="outset" w:color="auto" w:sz="4" w:space="0"/>
              <w:bottom w:val="outset" w:color="auto" w:sz="4" w:space="0"/>
              <w:right w:val="outset" w:color="auto" w:sz="4" w:space="0"/>
            </w:tcBorders>
            <w:vAlign w:val="center"/>
          </w:tcPr>
          <w:p w14:paraId="3C466B45">
            <w:pPr>
              <w:jc w:val="right"/>
              <w:rPr>
                <w:rFonts w:ascii="Calibri" w:hAnsi="Calibri"/>
                <w:sz w:val="20"/>
                <w:szCs w:val="20"/>
              </w:rPr>
            </w:pPr>
            <w:r>
              <w:rPr>
                <w:rFonts w:ascii="Calibri" w:hAnsi="Calibri"/>
                <w:sz w:val="20"/>
                <w:szCs w:val="20"/>
              </w:rPr>
              <w:t>13,687,478.94</w:t>
            </w:r>
          </w:p>
        </w:tc>
      </w:tr>
      <w:tr w14:paraId="7847DE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591CDCA4">
            <w:pPr>
              <w:ind w:firstLine="1200" w:firstLineChars="600"/>
              <w:rPr>
                <w:rFonts w:ascii="Calibri" w:hAnsi="Calibri"/>
                <w:sz w:val="20"/>
                <w:szCs w:val="20"/>
              </w:rPr>
            </w:pPr>
            <w:r>
              <w:rPr>
                <w:rFonts w:hint="eastAsia" w:ascii="Calibri" w:hAnsi="Calibri"/>
                <w:sz w:val="20"/>
                <w:szCs w:val="20"/>
              </w:rPr>
              <w:t>利息收入</w:t>
            </w:r>
          </w:p>
        </w:tc>
        <w:tc>
          <w:tcPr>
            <w:tcW w:w="1516" w:type="dxa"/>
            <w:tcBorders>
              <w:top w:val="outset" w:color="auto" w:sz="4" w:space="0"/>
              <w:left w:val="outset" w:color="auto" w:sz="4" w:space="0"/>
              <w:bottom w:val="outset" w:color="auto" w:sz="4" w:space="0"/>
              <w:right w:val="outset" w:color="auto" w:sz="4" w:space="0"/>
            </w:tcBorders>
            <w:vAlign w:val="center"/>
          </w:tcPr>
          <w:p w14:paraId="17CBABCA">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45CB18EF">
            <w:pPr>
              <w:jc w:val="right"/>
              <w:rPr>
                <w:rFonts w:ascii="Calibri" w:hAnsi="Calibri"/>
                <w:sz w:val="20"/>
                <w:szCs w:val="20"/>
              </w:rPr>
            </w:pPr>
            <w:r>
              <w:rPr>
                <w:rFonts w:ascii="Calibri" w:hAnsi="Calibri"/>
                <w:sz w:val="20"/>
                <w:szCs w:val="20"/>
              </w:rPr>
              <w:t>3,955,025.01</w:t>
            </w:r>
          </w:p>
        </w:tc>
        <w:tc>
          <w:tcPr>
            <w:tcW w:w="2018" w:type="dxa"/>
            <w:tcBorders>
              <w:top w:val="outset" w:color="auto" w:sz="4" w:space="0"/>
              <w:left w:val="outset" w:color="auto" w:sz="4" w:space="0"/>
              <w:bottom w:val="outset" w:color="auto" w:sz="4" w:space="0"/>
              <w:right w:val="outset" w:color="auto" w:sz="4" w:space="0"/>
            </w:tcBorders>
            <w:vAlign w:val="center"/>
          </w:tcPr>
          <w:p w14:paraId="5FE791B0">
            <w:pPr>
              <w:jc w:val="right"/>
              <w:rPr>
                <w:rFonts w:ascii="Calibri" w:hAnsi="Calibri"/>
                <w:sz w:val="20"/>
                <w:szCs w:val="20"/>
              </w:rPr>
            </w:pPr>
            <w:r>
              <w:rPr>
                <w:rFonts w:ascii="Calibri" w:hAnsi="Calibri"/>
                <w:sz w:val="20"/>
                <w:szCs w:val="20"/>
              </w:rPr>
              <w:t>7,877,437.76</w:t>
            </w:r>
          </w:p>
        </w:tc>
      </w:tr>
      <w:tr w14:paraId="490B7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E36D1AD">
            <w:pPr>
              <w:ind w:firstLine="200" w:firstLineChars="100"/>
              <w:rPr>
                <w:rFonts w:ascii="Calibri" w:hAnsi="Calibri"/>
                <w:sz w:val="20"/>
                <w:szCs w:val="20"/>
              </w:rPr>
            </w:pPr>
            <w:r>
              <w:rPr>
                <w:rFonts w:hint="eastAsia" w:ascii="Calibri" w:hAnsi="Calibri"/>
                <w:sz w:val="20"/>
                <w:szCs w:val="20"/>
              </w:rPr>
              <w:t>加：其他收益</w:t>
            </w:r>
          </w:p>
        </w:tc>
        <w:tc>
          <w:tcPr>
            <w:tcW w:w="1516" w:type="dxa"/>
            <w:tcBorders>
              <w:top w:val="outset" w:color="auto" w:sz="4" w:space="0"/>
              <w:left w:val="outset" w:color="auto" w:sz="4" w:space="0"/>
              <w:bottom w:val="outset" w:color="auto" w:sz="4" w:space="0"/>
              <w:right w:val="outset" w:color="auto" w:sz="4" w:space="0"/>
            </w:tcBorders>
            <w:vAlign w:val="center"/>
          </w:tcPr>
          <w:p w14:paraId="1F849AFF">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B03520D">
            <w:pPr>
              <w:jc w:val="right"/>
              <w:rPr>
                <w:rFonts w:ascii="Calibri" w:hAnsi="Calibri"/>
                <w:sz w:val="20"/>
                <w:szCs w:val="20"/>
              </w:rPr>
            </w:pPr>
            <w:r>
              <w:rPr>
                <w:rFonts w:ascii="Calibri" w:hAnsi="Calibri"/>
                <w:sz w:val="20"/>
                <w:szCs w:val="20"/>
              </w:rPr>
              <w:t>12,387,538.42</w:t>
            </w:r>
          </w:p>
        </w:tc>
        <w:tc>
          <w:tcPr>
            <w:tcW w:w="2018" w:type="dxa"/>
            <w:tcBorders>
              <w:top w:val="outset" w:color="auto" w:sz="4" w:space="0"/>
              <w:left w:val="outset" w:color="auto" w:sz="4" w:space="0"/>
              <w:bottom w:val="outset" w:color="auto" w:sz="4" w:space="0"/>
              <w:right w:val="outset" w:color="auto" w:sz="4" w:space="0"/>
            </w:tcBorders>
            <w:vAlign w:val="center"/>
          </w:tcPr>
          <w:p w14:paraId="783849E2">
            <w:pPr>
              <w:jc w:val="right"/>
              <w:rPr>
                <w:rFonts w:ascii="Calibri" w:hAnsi="Calibri"/>
                <w:sz w:val="20"/>
                <w:szCs w:val="20"/>
              </w:rPr>
            </w:pPr>
            <w:r>
              <w:rPr>
                <w:rFonts w:ascii="Calibri" w:hAnsi="Calibri"/>
                <w:sz w:val="20"/>
                <w:szCs w:val="20"/>
              </w:rPr>
              <w:t>4,587,114.63</w:t>
            </w:r>
          </w:p>
        </w:tc>
      </w:tr>
      <w:tr w14:paraId="15670A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24D9F6DF">
            <w:pPr>
              <w:ind w:firstLine="600" w:firstLineChars="300"/>
              <w:rPr>
                <w:rFonts w:ascii="Calibri" w:hAnsi="Calibri"/>
                <w:sz w:val="20"/>
                <w:szCs w:val="20"/>
              </w:rPr>
            </w:pPr>
            <w:r>
              <w:rPr>
                <w:rFonts w:hint="eastAsia" w:ascii="Calibri" w:hAnsi="Calibri"/>
                <w:sz w:val="20"/>
                <w:szCs w:val="20"/>
              </w:rPr>
              <w:t>投资收益（损失以“－”号填列）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4D825F3E">
            <w:pPr>
              <w:pStyle w:val="48"/>
              <w:jc w:val="center"/>
              <w:rPr>
                <w:sz w:val="20"/>
                <w:szCs w:val="20"/>
              </w:rPr>
            </w:pPr>
            <w:r>
              <w:rPr>
                <w:rFonts w:hint="eastAsia"/>
                <w:sz w:val="20"/>
                <w:szCs w:val="20"/>
              </w:rPr>
              <w:t>5</w:t>
            </w:r>
          </w:p>
        </w:tc>
        <w:tc>
          <w:tcPr>
            <w:tcW w:w="2008" w:type="dxa"/>
            <w:tcBorders>
              <w:top w:val="outset" w:color="auto" w:sz="4" w:space="0"/>
              <w:left w:val="outset" w:color="auto" w:sz="4" w:space="0"/>
              <w:bottom w:val="outset" w:color="auto" w:sz="4" w:space="0"/>
              <w:right w:val="outset" w:color="auto" w:sz="4" w:space="0"/>
            </w:tcBorders>
            <w:vAlign w:val="center"/>
          </w:tcPr>
          <w:p w14:paraId="4369C23E">
            <w:pPr>
              <w:jc w:val="right"/>
              <w:rPr>
                <w:rFonts w:ascii="Calibri" w:hAnsi="Calibri"/>
                <w:sz w:val="20"/>
                <w:szCs w:val="20"/>
              </w:rPr>
            </w:pPr>
            <w:r>
              <w:rPr>
                <w:rFonts w:ascii="Calibri" w:hAnsi="Calibri"/>
                <w:sz w:val="20"/>
                <w:szCs w:val="20"/>
              </w:rPr>
              <w:t>1,179,097,399.27</w:t>
            </w:r>
          </w:p>
        </w:tc>
        <w:tc>
          <w:tcPr>
            <w:tcW w:w="2018" w:type="dxa"/>
            <w:tcBorders>
              <w:top w:val="outset" w:color="auto" w:sz="4" w:space="0"/>
              <w:left w:val="outset" w:color="auto" w:sz="4" w:space="0"/>
              <w:bottom w:val="outset" w:color="auto" w:sz="4" w:space="0"/>
              <w:right w:val="outset" w:color="auto" w:sz="4" w:space="0"/>
            </w:tcBorders>
            <w:vAlign w:val="center"/>
          </w:tcPr>
          <w:p w14:paraId="797FAEDE">
            <w:pPr>
              <w:jc w:val="right"/>
              <w:rPr>
                <w:rFonts w:ascii="Calibri" w:hAnsi="Calibri"/>
                <w:sz w:val="20"/>
                <w:szCs w:val="20"/>
              </w:rPr>
            </w:pPr>
            <w:r>
              <w:rPr>
                <w:rFonts w:ascii="Calibri" w:hAnsi="Calibri"/>
                <w:sz w:val="20"/>
                <w:szCs w:val="20"/>
              </w:rPr>
              <w:t>122,544,138.36</w:t>
            </w:r>
          </w:p>
        </w:tc>
      </w:tr>
      <w:tr w14:paraId="252670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0147380">
            <w:pPr>
              <w:ind w:firstLine="600" w:firstLineChars="300"/>
              <w:rPr>
                <w:rFonts w:ascii="Calibri" w:hAnsi="Calibri"/>
                <w:sz w:val="20"/>
                <w:szCs w:val="20"/>
              </w:rPr>
            </w:pPr>
            <w:r>
              <w:rPr>
                <w:rFonts w:hint="eastAsia" w:ascii="Calibri" w:hAnsi="Calibri"/>
                <w:sz w:val="20"/>
                <w:szCs w:val="20"/>
              </w:rPr>
              <w:t>其中：对联营企业和合营企业的投资收益</w:t>
            </w:r>
          </w:p>
        </w:tc>
        <w:tc>
          <w:tcPr>
            <w:tcW w:w="1516" w:type="dxa"/>
            <w:tcBorders>
              <w:top w:val="outset" w:color="auto" w:sz="4" w:space="0"/>
              <w:left w:val="outset" w:color="auto" w:sz="4" w:space="0"/>
              <w:bottom w:val="outset" w:color="auto" w:sz="4" w:space="0"/>
              <w:right w:val="outset" w:color="auto" w:sz="4" w:space="0"/>
            </w:tcBorders>
            <w:vAlign w:val="center"/>
          </w:tcPr>
          <w:p w14:paraId="4FD34F48">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6B3F5E2D">
            <w:pPr>
              <w:jc w:val="right"/>
              <w:rPr>
                <w:rFonts w:ascii="Calibri" w:hAnsi="Calibri"/>
                <w:sz w:val="20"/>
                <w:szCs w:val="20"/>
              </w:rPr>
            </w:pPr>
            <w:r>
              <w:rPr>
                <w:rFonts w:ascii="Calibri" w:hAnsi="Calibri"/>
                <w:sz w:val="20"/>
                <w:szCs w:val="20"/>
              </w:rPr>
              <w:t>79,358,231.64</w:t>
            </w:r>
          </w:p>
        </w:tc>
        <w:tc>
          <w:tcPr>
            <w:tcW w:w="2018" w:type="dxa"/>
            <w:tcBorders>
              <w:top w:val="outset" w:color="auto" w:sz="4" w:space="0"/>
              <w:left w:val="outset" w:color="auto" w:sz="4" w:space="0"/>
              <w:bottom w:val="outset" w:color="auto" w:sz="4" w:space="0"/>
              <w:right w:val="outset" w:color="auto" w:sz="4" w:space="0"/>
            </w:tcBorders>
            <w:vAlign w:val="center"/>
          </w:tcPr>
          <w:p w14:paraId="20EC943A">
            <w:pPr>
              <w:jc w:val="right"/>
              <w:rPr>
                <w:rFonts w:ascii="Calibri" w:hAnsi="Calibri"/>
                <w:sz w:val="20"/>
                <w:szCs w:val="20"/>
              </w:rPr>
            </w:pPr>
            <w:r>
              <w:rPr>
                <w:rFonts w:ascii="Calibri" w:hAnsi="Calibri"/>
                <w:sz w:val="20"/>
                <w:szCs w:val="20"/>
              </w:rPr>
              <w:t>122,210,072.71</w:t>
            </w:r>
          </w:p>
        </w:tc>
      </w:tr>
      <w:tr w14:paraId="0C25CE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3469761">
            <w:pPr>
              <w:ind w:firstLine="1100" w:firstLineChars="550"/>
              <w:rPr>
                <w:rFonts w:ascii="Calibri" w:hAnsi="Calibri"/>
                <w:sz w:val="20"/>
                <w:szCs w:val="20"/>
              </w:rPr>
            </w:pPr>
            <w:r>
              <w:rPr>
                <w:rFonts w:hint="eastAsia" w:ascii="Calibri" w:hAnsi="Calibri"/>
                <w:sz w:val="20"/>
                <w:szCs w:val="20"/>
              </w:rPr>
              <w:t>以摊余成本计量的金融资产终止确认收益</w:t>
            </w:r>
          </w:p>
        </w:tc>
        <w:tc>
          <w:tcPr>
            <w:tcW w:w="1516" w:type="dxa"/>
            <w:tcBorders>
              <w:top w:val="outset" w:color="auto" w:sz="4" w:space="0"/>
              <w:left w:val="outset" w:color="auto" w:sz="4" w:space="0"/>
              <w:bottom w:val="outset" w:color="auto" w:sz="4" w:space="0"/>
              <w:right w:val="outset" w:color="auto" w:sz="4" w:space="0"/>
            </w:tcBorders>
            <w:vAlign w:val="center"/>
          </w:tcPr>
          <w:p w14:paraId="655ED607">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265A4515">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44C88F43">
            <w:pPr>
              <w:jc w:val="right"/>
              <w:rPr>
                <w:rFonts w:ascii="Calibri" w:hAnsi="Calibri"/>
                <w:bCs/>
                <w:sz w:val="20"/>
                <w:szCs w:val="20"/>
              </w:rPr>
            </w:pPr>
          </w:p>
        </w:tc>
      </w:tr>
      <w:tr w14:paraId="65725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29991FF">
            <w:pPr>
              <w:ind w:firstLine="600" w:firstLineChars="300"/>
              <w:rPr>
                <w:rFonts w:ascii="Calibri" w:hAnsi="Calibri"/>
                <w:sz w:val="20"/>
                <w:szCs w:val="20"/>
              </w:rPr>
            </w:pPr>
            <w:r>
              <w:rPr>
                <w:rFonts w:hint="eastAsia" w:ascii="Calibri" w:hAnsi="Calibri"/>
                <w:sz w:val="20"/>
                <w:szCs w:val="20"/>
              </w:rPr>
              <w:t>净敞口套期收益（损失以“</w:t>
            </w:r>
            <w:r>
              <w:rPr>
                <w:rFonts w:ascii="Calibri" w:hAnsi="Calibri"/>
                <w:sz w:val="20"/>
                <w:szCs w:val="20"/>
              </w:rPr>
              <w:t>-”号填列）</w:t>
            </w:r>
          </w:p>
        </w:tc>
        <w:tc>
          <w:tcPr>
            <w:tcW w:w="1516" w:type="dxa"/>
            <w:tcBorders>
              <w:top w:val="outset" w:color="auto" w:sz="4" w:space="0"/>
              <w:left w:val="outset" w:color="auto" w:sz="4" w:space="0"/>
              <w:bottom w:val="outset" w:color="auto" w:sz="4" w:space="0"/>
              <w:right w:val="outset" w:color="auto" w:sz="4" w:space="0"/>
            </w:tcBorders>
            <w:vAlign w:val="center"/>
          </w:tcPr>
          <w:p w14:paraId="50AB6002">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363F5B5A">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40044F28">
            <w:pPr>
              <w:jc w:val="right"/>
              <w:rPr>
                <w:rFonts w:ascii="Calibri" w:hAnsi="Calibri"/>
                <w:sz w:val="20"/>
                <w:szCs w:val="20"/>
              </w:rPr>
            </w:pPr>
          </w:p>
        </w:tc>
      </w:tr>
      <w:tr w14:paraId="41A0A5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76A80479">
            <w:pPr>
              <w:ind w:firstLine="600" w:firstLineChars="300"/>
              <w:rPr>
                <w:rFonts w:ascii="Calibri" w:hAnsi="Calibri"/>
                <w:color w:val="000000"/>
                <w:sz w:val="20"/>
                <w:szCs w:val="20"/>
              </w:rPr>
            </w:pPr>
            <w:r>
              <w:rPr>
                <w:rFonts w:hint="eastAsia" w:ascii="Calibri" w:hAnsi="Calibri"/>
                <w:sz w:val="20"/>
                <w:szCs w:val="20"/>
              </w:rPr>
              <w:t>公允价值变动收益（损失以“－”号填列）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6BFD38EA">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7E85A89F">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05829CDB">
            <w:pPr>
              <w:jc w:val="right"/>
              <w:rPr>
                <w:rFonts w:ascii="Calibri" w:hAnsi="Calibri"/>
                <w:sz w:val="20"/>
                <w:szCs w:val="20"/>
              </w:rPr>
            </w:pPr>
          </w:p>
        </w:tc>
      </w:tr>
      <w:tr w14:paraId="6E81A1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03167B3">
            <w:pPr>
              <w:ind w:firstLine="600" w:firstLineChars="300"/>
              <w:rPr>
                <w:rFonts w:ascii="Calibri" w:hAnsi="Calibri"/>
                <w:sz w:val="20"/>
                <w:szCs w:val="20"/>
              </w:rPr>
            </w:pPr>
            <w:r>
              <w:rPr>
                <w:rFonts w:hint="eastAsia" w:ascii="Calibri" w:hAnsi="Calibri"/>
                <w:sz w:val="20"/>
                <w:szCs w:val="20"/>
              </w:rPr>
              <w:t>信用减值损失（损失以“</w:t>
            </w:r>
            <w:r>
              <w:rPr>
                <w:rFonts w:ascii="Calibri" w:hAnsi="Calibri"/>
                <w:sz w:val="20"/>
                <w:szCs w:val="20"/>
              </w:rPr>
              <w:t>-”号填列）</w:t>
            </w:r>
          </w:p>
        </w:tc>
        <w:tc>
          <w:tcPr>
            <w:tcW w:w="1516" w:type="dxa"/>
            <w:tcBorders>
              <w:top w:val="outset" w:color="auto" w:sz="4" w:space="0"/>
              <w:left w:val="outset" w:color="auto" w:sz="4" w:space="0"/>
              <w:bottom w:val="outset" w:color="auto" w:sz="4" w:space="0"/>
              <w:right w:val="outset" w:color="auto" w:sz="4" w:space="0"/>
            </w:tcBorders>
            <w:vAlign w:val="center"/>
          </w:tcPr>
          <w:p w14:paraId="13F74D94">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3AE602C4">
            <w:pPr>
              <w:jc w:val="right"/>
              <w:rPr>
                <w:rFonts w:ascii="Calibri" w:hAnsi="Calibri"/>
                <w:sz w:val="20"/>
                <w:szCs w:val="20"/>
              </w:rPr>
            </w:pPr>
            <w:r>
              <w:rPr>
                <w:rFonts w:ascii="Calibri" w:hAnsi="Calibri"/>
                <w:sz w:val="20"/>
                <w:szCs w:val="20"/>
              </w:rPr>
              <w:t>3,726,824.29</w:t>
            </w:r>
          </w:p>
        </w:tc>
        <w:tc>
          <w:tcPr>
            <w:tcW w:w="2018" w:type="dxa"/>
            <w:tcBorders>
              <w:top w:val="outset" w:color="auto" w:sz="4" w:space="0"/>
              <w:left w:val="outset" w:color="auto" w:sz="4" w:space="0"/>
              <w:bottom w:val="outset" w:color="auto" w:sz="4" w:space="0"/>
              <w:right w:val="outset" w:color="auto" w:sz="4" w:space="0"/>
            </w:tcBorders>
            <w:vAlign w:val="center"/>
          </w:tcPr>
          <w:p w14:paraId="4CC888A3">
            <w:pPr>
              <w:jc w:val="right"/>
              <w:rPr>
                <w:rFonts w:ascii="Calibri" w:hAnsi="Calibri"/>
                <w:sz w:val="20"/>
                <w:szCs w:val="20"/>
              </w:rPr>
            </w:pPr>
            <w:r>
              <w:rPr>
                <w:rFonts w:ascii="Calibri" w:hAnsi="Calibri"/>
                <w:sz w:val="20"/>
                <w:szCs w:val="20"/>
              </w:rPr>
              <w:t>15,517,381.22</w:t>
            </w:r>
          </w:p>
        </w:tc>
      </w:tr>
      <w:tr w14:paraId="00CCDA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0B0075AD">
            <w:pPr>
              <w:ind w:firstLine="600" w:firstLineChars="300"/>
              <w:rPr>
                <w:rFonts w:ascii="Calibri" w:hAnsi="Calibri"/>
                <w:sz w:val="20"/>
                <w:szCs w:val="20"/>
              </w:rPr>
            </w:pPr>
            <w:r>
              <w:rPr>
                <w:rFonts w:hint="eastAsia" w:ascii="Calibri" w:hAnsi="Calibri"/>
                <w:sz w:val="20"/>
                <w:szCs w:val="20"/>
              </w:rPr>
              <w:t>资产减值损失（损失以“</w:t>
            </w:r>
            <w:r>
              <w:rPr>
                <w:rFonts w:ascii="Calibri" w:hAnsi="Calibri"/>
                <w:sz w:val="20"/>
                <w:szCs w:val="20"/>
              </w:rPr>
              <w:t>-”号填列）</w:t>
            </w:r>
          </w:p>
        </w:tc>
        <w:tc>
          <w:tcPr>
            <w:tcW w:w="1516" w:type="dxa"/>
            <w:tcBorders>
              <w:top w:val="outset" w:color="auto" w:sz="4" w:space="0"/>
              <w:left w:val="outset" w:color="auto" w:sz="4" w:space="0"/>
              <w:bottom w:val="outset" w:color="auto" w:sz="4" w:space="0"/>
              <w:right w:val="outset" w:color="auto" w:sz="4" w:space="0"/>
            </w:tcBorders>
            <w:vAlign w:val="center"/>
          </w:tcPr>
          <w:p w14:paraId="11869C09">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28C29194">
            <w:pPr>
              <w:jc w:val="right"/>
              <w:rPr>
                <w:rFonts w:ascii="Calibri" w:hAnsi="Calibri"/>
                <w:sz w:val="20"/>
                <w:szCs w:val="20"/>
              </w:rPr>
            </w:pPr>
            <w:r>
              <w:rPr>
                <w:rFonts w:ascii="Calibri" w:hAnsi="Calibri"/>
                <w:sz w:val="20"/>
                <w:szCs w:val="20"/>
              </w:rPr>
              <w:t>-75,460,560.62</w:t>
            </w:r>
          </w:p>
        </w:tc>
        <w:tc>
          <w:tcPr>
            <w:tcW w:w="2018" w:type="dxa"/>
            <w:tcBorders>
              <w:top w:val="outset" w:color="auto" w:sz="4" w:space="0"/>
              <w:left w:val="outset" w:color="auto" w:sz="4" w:space="0"/>
              <w:bottom w:val="outset" w:color="auto" w:sz="4" w:space="0"/>
              <w:right w:val="outset" w:color="auto" w:sz="4" w:space="0"/>
            </w:tcBorders>
            <w:vAlign w:val="center"/>
          </w:tcPr>
          <w:p w14:paraId="46CB828A">
            <w:pPr>
              <w:jc w:val="right"/>
              <w:rPr>
                <w:rFonts w:ascii="Calibri" w:hAnsi="Calibri"/>
                <w:sz w:val="20"/>
                <w:szCs w:val="20"/>
              </w:rPr>
            </w:pPr>
            <w:r>
              <w:rPr>
                <w:rFonts w:ascii="Calibri" w:hAnsi="Calibri"/>
                <w:sz w:val="20"/>
                <w:szCs w:val="20"/>
              </w:rPr>
              <w:t>-93,288,090.32</w:t>
            </w:r>
          </w:p>
        </w:tc>
      </w:tr>
      <w:tr w14:paraId="04B7BF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CFC759E">
            <w:pPr>
              <w:ind w:firstLine="600" w:firstLineChars="300"/>
              <w:rPr>
                <w:rFonts w:ascii="Calibri" w:hAnsi="Calibri"/>
                <w:sz w:val="20"/>
                <w:szCs w:val="20"/>
              </w:rPr>
            </w:pPr>
            <w:r>
              <w:rPr>
                <w:rFonts w:hint="eastAsia" w:ascii="Calibri" w:hAnsi="Calibri"/>
                <w:sz w:val="20"/>
                <w:szCs w:val="20"/>
              </w:rPr>
              <w:t>资产处置收益（损失以“－”号填列）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777D35ED">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2EDC95F4">
            <w:pPr>
              <w:jc w:val="right"/>
              <w:rPr>
                <w:rFonts w:ascii="Calibri" w:hAnsi="Calibri"/>
                <w:sz w:val="20"/>
                <w:szCs w:val="20"/>
              </w:rPr>
            </w:pPr>
            <w:r>
              <w:rPr>
                <w:rFonts w:ascii="Calibri" w:hAnsi="Calibri"/>
                <w:sz w:val="20"/>
                <w:szCs w:val="20"/>
              </w:rPr>
              <w:t>-3,355,037.79</w:t>
            </w:r>
          </w:p>
        </w:tc>
        <w:tc>
          <w:tcPr>
            <w:tcW w:w="2018" w:type="dxa"/>
            <w:tcBorders>
              <w:top w:val="outset" w:color="auto" w:sz="4" w:space="0"/>
              <w:left w:val="outset" w:color="auto" w:sz="4" w:space="0"/>
              <w:bottom w:val="outset" w:color="auto" w:sz="4" w:space="0"/>
              <w:right w:val="outset" w:color="auto" w:sz="4" w:space="0"/>
            </w:tcBorders>
            <w:vAlign w:val="center"/>
          </w:tcPr>
          <w:p w14:paraId="75E8ADD2">
            <w:pPr>
              <w:jc w:val="right"/>
              <w:rPr>
                <w:rFonts w:ascii="Calibri" w:hAnsi="Calibri"/>
                <w:sz w:val="20"/>
                <w:szCs w:val="20"/>
              </w:rPr>
            </w:pPr>
            <w:r>
              <w:rPr>
                <w:rFonts w:ascii="Calibri" w:hAnsi="Calibri"/>
                <w:sz w:val="20"/>
                <w:szCs w:val="20"/>
              </w:rPr>
              <w:t>15,128,834.28</w:t>
            </w:r>
          </w:p>
        </w:tc>
      </w:tr>
      <w:tr w14:paraId="1673C6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BB32F43">
            <w:pPr>
              <w:ind w:left="-19"/>
              <w:rPr>
                <w:rFonts w:ascii="Calibri" w:hAnsi="Calibri"/>
                <w:color w:val="000000"/>
                <w:sz w:val="20"/>
                <w:szCs w:val="20"/>
              </w:rPr>
            </w:pPr>
            <w:r>
              <w:rPr>
                <w:rFonts w:hint="eastAsia" w:ascii="Calibri" w:hAnsi="Calibri"/>
                <w:sz w:val="20"/>
                <w:szCs w:val="20"/>
              </w:rPr>
              <w:t>二、营业利润（亏损以“－”号填列）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30AF5813">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5AED5B71">
            <w:pPr>
              <w:jc w:val="right"/>
              <w:rPr>
                <w:rFonts w:ascii="Calibri" w:hAnsi="Calibri"/>
                <w:sz w:val="20"/>
                <w:szCs w:val="20"/>
              </w:rPr>
            </w:pPr>
            <w:r>
              <w:rPr>
                <w:rFonts w:ascii="Calibri" w:hAnsi="Calibri"/>
                <w:sz w:val="20"/>
                <w:szCs w:val="20"/>
              </w:rPr>
              <w:t>1,723,978,958.98</w:t>
            </w:r>
          </w:p>
        </w:tc>
        <w:tc>
          <w:tcPr>
            <w:tcW w:w="2018" w:type="dxa"/>
            <w:tcBorders>
              <w:top w:val="outset" w:color="auto" w:sz="4" w:space="0"/>
              <w:left w:val="outset" w:color="auto" w:sz="4" w:space="0"/>
              <w:bottom w:val="outset" w:color="auto" w:sz="4" w:space="0"/>
              <w:right w:val="outset" w:color="auto" w:sz="4" w:space="0"/>
            </w:tcBorders>
            <w:vAlign w:val="center"/>
          </w:tcPr>
          <w:p w14:paraId="19D64AE2">
            <w:pPr>
              <w:jc w:val="right"/>
              <w:rPr>
                <w:rFonts w:ascii="Calibri" w:hAnsi="Calibri"/>
                <w:sz w:val="20"/>
                <w:szCs w:val="20"/>
              </w:rPr>
            </w:pPr>
            <w:r>
              <w:rPr>
                <w:rFonts w:ascii="Calibri" w:hAnsi="Calibri"/>
                <w:sz w:val="20"/>
                <w:szCs w:val="20"/>
              </w:rPr>
              <w:t>183,042,259.02</w:t>
            </w:r>
          </w:p>
        </w:tc>
      </w:tr>
      <w:tr w14:paraId="53292C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17C892E">
            <w:pPr>
              <w:ind w:firstLine="200" w:firstLineChars="100"/>
              <w:rPr>
                <w:rFonts w:ascii="Calibri" w:hAnsi="Calibri"/>
                <w:color w:val="000000"/>
                <w:sz w:val="20"/>
                <w:szCs w:val="20"/>
              </w:rPr>
            </w:pPr>
            <w:r>
              <w:rPr>
                <w:rFonts w:hint="eastAsia" w:ascii="Calibri" w:hAnsi="Calibri"/>
                <w:sz w:val="20"/>
                <w:szCs w:val="20"/>
              </w:rPr>
              <w:t>加：营业外收入</w:t>
            </w:r>
          </w:p>
        </w:tc>
        <w:tc>
          <w:tcPr>
            <w:tcW w:w="1516" w:type="dxa"/>
            <w:tcBorders>
              <w:top w:val="outset" w:color="auto" w:sz="4" w:space="0"/>
              <w:left w:val="outset" w:color="auto" w:sz="4" w:space="0"/>
              <w:bottom w:val="outset" w:color="auto" w:sz="4" w:space="0"/>
              <w:right w:val="outset" w:color="auto" w:sz="4" w:space="0"/>
            </w:tcBorders>
            <w:vAlign w:val="center"/>
          </w:tcPr>
          <w:p w14:paraId="2685967A">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55926FFC">
            <w:pPr>
              <w:jc w:val="right"/>
              <w:rPr>
                <w:rFonts w:ascii="Calibri" w:hAnsi="Calibri"/>
                <w:sz w:val="20"/>
                <w:szCs w:val="20"/>
              </w:rPr>
            </w:pPr>
            <w:r>
              <w:rPr>
                <w:rFonts w:ascii="Calibri" w:hAnsi="Calibri"/>
                <w:sz w:val="20"/>
                <w:szCs w:val="20"/>
              </w:rPr>
              <w:t>260,982.53</w:t>
            </w:r>
          </w:p>
        </w:tc>
        <w:tc>
          <w:tcPr>
            <w:tcW w:w="2018" w:type="dxa"/>
            <w:tcBorders>
              <w:top w:val="outset" w:color="auto" w:sz="4" w:space="0"/>
              <w:left w:val="outset" w:color="auto" w:sz="4" w:space="0"/>
              <w:bottom w:val="outset" w:color="auto" w:sz="4" w:space="0"/>
              <w:right w:val="outset" w:color="auto" w:sz="4" w:space="0"/>
            </w:tcBorders>
            <w:vAlign w:val="center"/>
          </w:tcPr>
          <w:p w14:paraId="44BF0CD7">
            <w:pPr>
              <w:jc w:val="right"/>
              <w:rPr>
                <w:rFonts w:ascii="Calibri" w:hAnsi="Calibri"/>
                <w:sz w:val="20"/>
                <w:szCs w:val="20"/>
              </w:rPr>
            </w:pPr>
            <w:r>
              <w:rPr>
                <w:rFonts w:ascii="Calibri" w:hAnsi="Calibri"/>
                <w:sz w:val="20"/>
                <w:szCs w:val="20"/>
              </w:rPr>
              <w:t>6,198,447.28</w:t>
            </w:r>
          </w:p>
        </w:tc>
      </w:tr>
      <w:tr w14:paraId="4D00AF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3F6295C0">
            <w:pPr>
              <w:ind w:firstLine="200" w:firstLineChars="100"/>
              <w:rPr>
                <w:rFonts w:ascii="Calibri" w:hAnsi="Calibri"/>
                <w:color w:val="000000"/>
                <w:sz w:val="20"/>
                <w:szCs w:val="20"/>
              </w:rPr>
            </w:pPr>
            <w:r>
              <w:rPr>
                <w:rFonts w:hint="eastAsia" w:ascii="Calibri" w:hAnsi="Calibri"/>
                <w:sz w:val="20"/>
                <w:szCs w:val="20"/>
              </w:rPr>
              <w:t>减：营业外支出</w:t>
            </w:r>
          </w:p>
        </w:tc>
        <w:tc>
          <w:tcPr>
            <w:tcW w:w="1516" w:type="dxa"/>
            <w:tcBorders>
              <w:top w:val="outset" w:color="auto" w:sz="4" w:space="0"/>
              <w:left w:val="outset" w:color="auto" w:sz="4" w:space="0"/>
              <w:bottom w:val="outset" w:color="auto" w:sz="4" w:space="0"/>
              <w:right w:val="outset" w:color="auto" w:sz="4" w:space="0"/>
            </w:tcBorders>
            <w:vAlign w:val="center"/>
          </w:tcPr>
          <w:p w14:paraId="2F3873F8">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139EB7DC">
            <w:pPr>
              <w:jc w:val="right"/>
              <w:rPr>
                <w:rFonts w:ascii="Calibri" w:hAnsi="Calibri"/>
                <w:sz w:val="20"/>
                <w:szCs w:val="20"/>
              </w:rPr>
            </w:pPr>
            <w:r>
              <w:rPr>
                <w:rFonts w:ascii="Calibri" w:hAnsi="Calibri"/>
                <w:sz w:val="20"/>
                <w:szCs w:val="20"/>
              </w:rPr>
              <w:t>66,902,435.40</w:t>
            </w:r>
          </w:p>
        </w:tc>
        <w:tc>
          <w:tcPr>
            <w:tcW w:w="2018" w:type="dxa"/>
            <w:tcBorders>
              <w:top w:val="outset" w:color="auto" w:sz="4" w:space="0"/>
              <w:left w:val="outset" w:color="auto" w:sz="4" w:space="0"/>
              <w:bottom w:val="outset" w:color="auto" w:sz="4" w:space="0"/>
              <w:right w:val="outset" w:color="auto" w:sz="4" w:space="0"/>
            </w:tcBorders>
            <w:vAlign w:val="center"/>
          </w:tcPr>
          <w:p w14:paraId="018550A3">
            <w:pPr>
              <w:jc w:val="right"/>
              <w:rPr>
                <w:rFonts w:ascii="Calibri" w:hAnsi="Calibri"/>
                <w:sz w:val="20"/>
                <w:szCs w:val="20"/>
              </w:rPr>
            </w:pPr>
            <w:r>
              <w:rPr>
                <w:rFonts w:ascii="Calibri" w:hAnsi="Calibri"/>
                <w:sz w:val="20"/>
                <w:szCs w:val="20"/>
              </w:rPr>
              <w:t>321,434,266.36</w:t>
            </w:r>
          </w:p>
        </w:tc>
      </w:tr>
      <w:tr w14:paraId="54FABF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5EDD8A44">
            <w:pPr>
              <w:ind w:left="-19"/>
              <w:rPr>
                <w:rFonts w:ascii="Calibri" w:hAnsi="Calibri"/>
                <w:color w:val="000000"/>
                <w:sz w:val="20"/>
                <w:szCs w:val="20"/>
              </w:rPr>
            </w:pPr>
            <w:r>
              <w:rPr>
                <w:rFonts w:hint="eastAsia" w:ascii="Calibri" w:hAnsi="Calibri"/>
                <w:sz w:val="20"/>
                <w:szCs w:val="20"/>
              </w:rPr>
              <w:t>三、利润总额（亏损总额以“－”号填列）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6EB08758">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2503595">
            <w:pPr>
              <w:jc w:val="right"/>
              <w:rPr>
                <w:rFonts w:ascii="Calibri" w:hAnsi="Calibri"/>
                <w:sz w:val="20"/>
                <w:szCs w:val="20"/>
              </w:rPr>
            </w:pPr>
            <w:r>
              <w:rPr>
                <w:rFonts w:ascii="Calibri" w:hAnsi="Calibri"/>
                <w:sz w:val="20"/>
                <w:szCs w:val="20"/>
              </w:rPr>
              <w:t>1,657,337,506.11</w:t>
            </w:r>
          </w:p>
        </w:tc>
        <w:tc>
          <w:tcPr>
            <w:tcW w:w="2018" w:type="dxa"/>
            <w:tcBorders>
              <w:top w:val="outset" w:color="auto" w:sz="4" w:space="0"/>
              <w:left w:val="outset" w:color="auto" w:sz="4" w:space="0"/>
              <w:bottom w:val="outset" w:color="auto" w:sz="4" w:space="0"/>
              <w:right w:val="outset" w:color="auto" w:sz="4" w:space="0"/>
            </w:tcBorders>
            <w:vAlign w:val="center"/>
          </w:tcPr>
          <w:p w14:paraId="5E1FFE67">
            <w:pPr>
              <w:jc w:val="right"/>
              <w:rPr>
                <w:rFonts w:ascii="Calibri" w:hAnsi="Calibri"/>
                <w:sz w:val="20"/>
                <w:szCs w:val="20"/>
              </w:rPr>
            </w:pPr>
            <w:r>
              <w:rPr>
                <w:rFonts w:ascii="Calibri" w:hAnsi="Calibri"/>
                <w:sz w:val="20"/>
                <w:szCs w:val="20"/>
              </w:rPr>
              <w:t>-132,193,560.06</w:t>
            </w:r>
          </w:p>
        </w:tc>
      </w:tr>
      <w:tr w14:paraId="43C956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713AD6AD">
            <w:pPr>
              <w:ind w:left="-19" w:firstLine="400" w:firstLineChars="200"/>
              <w:rPr>
                <w:rFonts w:ascii="Calibri" w:hAnsi="Calibri"/>
                <w:color w:val="000000"/>
                <w:sz w:val="20"/>
                <w:szCs w:val="20"/>
              </w:rPr>
            </w:pPr>
            <w:r>
              <w:rPr>
                <w:rFonts w:hint="eastAsia" w:ascii="Calibri" w:hAnsi="Calibri"/>
                <w:sz w:val="20"/>
                <w:szCs w:val="20"/>
              </w:rPr>
              <w:t>减：所得税费用</w:t>
            </w:r>
          </w:p>
        </w:tc>
        <w:tc>
          <w:tcPr>
            <w:tcW w:w="1516" w:type="dxa"/>
            <w:tcBorders>
              <w:top w:val="outset" w:color="auto" w:sz="4" w:space="0"/>
              <w:left w:val="outset" w:color="auto" w:sz="4" w:space="0"/>
              <w:bottom w:val="outset" w:color="auto" w:sz="4" w:space="0"/>
              <w:right w:val="outset" w:color="auto" w:sz="4" w:space="0"/>
            </w:tcBorders>
            <w:vAlign w:val="center"/>
          </w:tcPr>
          <w:p w14:paraId="6FC3AE2B">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3E7194FC">
            <w:pPr>
              <w:jc w:val="right"/>
              <w:rPr>
                <w:rFonts w:ascii="Calibri" w:hAnsi="Calibri"/>
                <w:sz w:val="20"/>
                <w:szCs w:val="20"/>
              </w:rPr>
            </w:pPr>
            <w:r>
              <w:rPr>
                <w:rFonts w:ascii="Calibri" w:hAnsi="Calibri"/>
                <w:sz w:val="20"/>
                <w:szCs w:val="20"/>
              </w:rPr>
              <w:t>299,975,461.34</w:t>
            </w:r>
          </w:p>
        </w:tc>
        <w:tc>
          <w:tcPr>
            <w:tcW w:w="2018" w:type="dxa"/>
            <w:tcBorders>
              <w:top w:val="outset" w:color="auto" w:sz="4" w:space="0"/>
              <w:left w:val="outset" w:color="auto" w:sz="4" w:space="0"/>
              <w:bottom w:val="outset" w:color="auto" w:sz="4" w:space="0"/>
              <w:right w:val="outset" w:color="auto" w:sz="4" w:space="0"/>
            </w:tcBorders>
            <w:vAlign w:val="center"/>
          </w:tcPr>
          <w:p w14:paraId="52AF6BEE">
            <w:pPr>
              <w:jc w:val="right"/>
              <w:rPr>
                <w:rFonts w:ascii="Calibri" w:hAnsi="Calibri"/>
                <w:sz w:val="20"/>
                <w:szCs w:val="20"/>
              </w:rPr>
            </w:pPr>
            <w:r>
              <w:rPr>
                <w:rFonts w:ascii="Calibri" w:hAnsi="Calibri"/>
                <w:sz w:val="20"/>
                <w:szCs w:val="20"/>
              </w:rPr>
              <w:t>-97,226,243.38</w:t>
            </w:r>
          </w:p>
        </w:tc>
      </w:tr>
      <w:tr w14:paraId="22C64F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3EF242ED">
            <w:pPr>
              <w:ind w:left="-19"/>
              <w:rPr>
                <w:rFonts w:ascii="Calibri" w:hAnsi="Calibri"/>
                <w:color w:val="000000"/>
                <w:sz w:val="20"/>
                <w:szCs w:val="20"/>
              </w:rPr>
            </w:pPr>
            <w:r>
              <w:rPr>
                <w:rFonts w:hint="eastAsia" w:ascii="Calibri" w:hAnsi="Calibri"/>
                <w:sz w:val="20"/>
                <w:szCs w:val="20"/>
              </w:rPr>
              <w:t>四、净利润（净亏损以“－”号填列）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533F8950">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6BFBAB2">
            <w:pPr>
              <w:jc w:val="right"/>
              <w:rPr>
                <w:rFonts w:ascii="Calibri" w:hAnsi="Calibri"/>
                <w:sz w:val="20"/>
                <w:szCs w:val="20"/>
              </w:rPr>
            </w:pPr>
            <w:r>
              <w:rPr>
                <w:rFonts w:ascii="Calibri" w:hAnsi="Calibri"/>
                <w:sz w:val="20"/>
                <w:szCs w:val="20"/>
              </w:rPr>
              <w:t>1,357,362,044.77</w:t>
            </w:r>
          </w:p>
        </w:tc>
        <w:tc>
          <w:tcPr>
            <w:tcW w:w="2018" w:type="dxa"/>
            <w:tcBorders>
              <w:top w:val="outset" w:color="auto" w:sz="4" w:space="0"/>
              <w:left w:val="outset" w:color="auto" w:sz="4" w:space="0"/>
              <w:bottom w:val="outset" w:color="auto" w:sz="4" w:space="0"/>
              <w:right w:val="outset" w:color="auto" w:sz="4" w:space="0"/>
            </w:tcBorders>
            <w:vAlign w:val="center"/>
          </w:tcPr>
          <w:p w14:paraId="251D8F1E">
            <w:pPr>
              <w:jc w:val="right"/>
              <w:rPr>
                <w:rFonts w:ascii="Calibri" w:hAnsi="Calibri"/>
                <w:sz w:val="20"/>
                <w:szCs w:val="20"/>
              </w:rPr>
            </w:pPr>
            <w:r>
              <w:rPr>
                <w:rFonts w:ascii="Calibri" w:hAnsi="Calibri"/>
                <w:sz w:val="20"/>
                <w:szCs w:val="20"/>
              </w:rPr>
              <w:t>-34,967,316.68</w:t>
            </w:r>
          </w:p>
        </w:tc>
      </w:tr>
      <w:tr w14:paraId="563CC3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41BA812">
            <w:pPr>
              <w:ind w:firstLine="216" w:firstLineChars="108"/>
              <w:rPr>
                <w:rFonts w:ascii="Calibri" w:hAnsi="Calibri"/>
                <w:sz w:val="20"/>
                <w:szCs w:val="20"/>
              </w:rPr>
            </w:pPr>
            <w:r>
              <w:rPr>
                <w:rFonts w:hint="eastAsia" w:ascii="Calibri" w:hAnsi="Calibri"/>
                <w:sz w:val="20"/>
                <w:szCs w:val="20"/>
              </w:rPr>
              <w:t>（一）</w:t>
            </w:r>
            <w:r>
              <w:rPr>
                <w:rFonts w:ascii="Calibri" w:hAnsi="Calibri"/>
                <w:sz w:val="20"/>
                <w:szCs w:val="20"/>
              </w:rPr>
              <w:t>持续经营净利润（净亏损以“－”号填列）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42DD242A">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C31C7C7">
            <w:pPr>
              <w:jc w:val="right"/>
              <w:rPr>
                <w:rFonts w:ascii="Calibri" w:hAnsi="Calibri"/>
                <w:sz w:val="20"/>
                <w:szCs w:val="20"/>
              </w:rPr>
            </w:pPr>
            <w:r>
              <w:rPr>
                <w:rFonts w:ascii="Calibri" w:hAnsi="Calibri"/>
                <w:sz w:val="20"/>
                <w:szCs w:val="20"/>
              </w:rPr>
              <w:t>1,357,362,044.77</w:t>
            </w:r>
          </w:p>
        </w:tc>
        <w:tc>
          <w:tcPr>
            <w:tcW w:w="2018" w:type="dxa"/>
            <w:tcBorders>
              <w:top w:val="outset" w:color="auto" w:sz="4" w:space="0"/>
              <w:left w:val="outset" w:color="auto" w:sz="4" w:space="0"/>
              <w:bottom w:val="outset" w:color="auto" w:sz="4" w:space="0"/>
              <w:right w:val="outset" w:color="auto" w:sz="4" w:space="0"/>
            </w:tcBorders>
            <w:vAlign w:val="center"/>
          </w:tcPr>
          <w:p w14:paraId="59E896DD">
            <w:pPr>
              <w:jc w:val="right"/>
              <w:rPr>
                <w:rFonts w:ascii="Calibri" w:hAnsi="Calibri"/>
                <w:sz w:val="20"/>
                <w:szCs w:val="20"/>
              </w:rPr>
            </w:pPr>
            <w:r>
              <w:rPr>
                <w:rFonts w:ascii="Calibri" w:hAnsi="Calibri"/>
                <w:sz w:val="20"/>
                <w:szCs w:val="20"/>
              </w:rPr>
              <w:t>-34,967,316.68</w:t>
            </w:r>
          </w:p>
        </w:tc>
      </w:tr>
      <w:tr w14:paraId="1BE9AC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58E7D22D">
            <w:pPr>
              <w:ind w:firstLine="216" w:firstLineChars="108"/>
              <w:rPr>
                <w:rFonts w:ascii="Calibri" w:hAnsi="Calibri"/>
                <w:sz w:val="20"/>
                <w:szCs w:val="20"/>
              </w:rPr>
            </w:pPr>
            <w:r>
              <w:rPr>
                <w:rFonts w:hint="eastAsia" w:ascii="Calibri" w:hAnsi="Calibri"/>
                <w:sz w:val="20"/>
                <w:szCs w:val="20"/>
              </w:rPr>
              <w:t>（二）终止经营净利润（净亏损以“－”号填列）</w:t>
            </w:r>
          </w:p>
        </w:tc>
        <w:tc>
          <w:tcPr>
            <w:tcW w:w="1516" w:type="dxa"/>
            <w:tcBorders>
              <w:top w:val="outset" w:color="auto" w:sz="4" w:space="0"/>
              <w:left w:val="outset" w:color="auto" w:sz="4" w:space="0"/>
              <w:bottom w:val="outset" w:color="auto" w:sz="4" w:space="0"/>
              <w:right w:val="outset" w:color="auto" w:sz="4" w:space="0"/>
            </w:tcBorders>
            <w:vAlign w:val="center"/>
          </w:tcPr>
          <w:p w14:paraId="2518DCB4">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4EF08A2A">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09A6368F">
            <w:pPr>
              <w:jc w:val="right"/>
              <w:rPr>
                <w:rFonts w:ascii="Calibri" w:hAnsi="Calibri"/>
                <w:sz w:val="20"/>
                <w:szCs w:val="20"/>
              </w:rPr>
            </w:pPr>
          </w:p>
        </w:tc>
      </w:tr>
      <w:tr w14:paraId="343919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4D261F11">
            <w:pPr>
              <w:ind w:left="-2" w:leftChars="-19" w:hanging="38" w:hangingChars="19"/>
              <w:rPr>
                <w:rFonts w:ascii="Calibri" w:hAnsi="Calibri"/>
                <w:sz w:val="20"/>
                <w:szCs w:val="20"/>
              </w:rPr>
            </w:pPr>
            <w:r>
              <w:rPr>
                <w:rFonts w:hint="eastAsia" w:ascii="Calibri" w:hAnsi="Calibri"/>
                <w:sz w:val="20"/>
                <w:szCs w:val="20"/>
              </w:rPr>
              <w:t>五、其他综合收益的税后净额</w:t>
            </w:r>
          </w:p>
        </w:tc>
        <w:tc>
          <w:tcPr>
            <w:tcW w:w="1516" w:type="dxa"/>
            <w:tcBorders>
              <w:top w:val="outset" w:color="auto" w:sz="4" w:space="0"/>
              <w:left w:val="outset" w:color="auto" w:sz="4" w:space="0"/>
              <w:bottom w:val="outset" w:color="auto" w:sz="4" w:space="0"/>
              <w:right w:val="outset" w:color="auto" w:sz="4" w:space="0"/>
            </w:tcBorders>
            <w:vAlign w:val="center"/>
          </w:tcPr>
          <w:p w14:paraId="298FD3FF">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47DD99BE">
            <w:pPr>
              <w:jc w:val="right"/>
              <w:rPr>
                <w:rFonts w:ascii="Calibri" w:hAnsi="Calibri"/>
                <w:sz w:val="20"/>
                <w:szCs w:val="20"/>
              </w:rPr>
            </w:pPr>
            <w:r>
              <w:rPr>
                <w:rFonts w:ascii="Calibri" w:hAnsi="Calibri"/>
                <w:sz w:val="20"/>
                <w:szCs w:val="20"/>
              </w:rPr>
              <w:t>3,760,560.85</w:t>
            </w:r>
          </w:p>
        </w:tc>
        <w:tc>
          <w:tcPr>
            <w:tcW w:w="2018" w:type="dxa"/>
            <w:tcBorders>
              <w:top w:val="outset" w:color="auto" w:sz="4" w:space="0"/>
              <w:left w:val="outset" w:color="auto" w:sz="4" w:space="0"/>
              <w:bottom w:val="outset" w:color="auto" w:sz="4" w:space="0"/>
              <w:right w:val="outset" w:color="auto" w:sz="4" w:space="0"/>
            </w:tcBorders>
            <w:vAlign w:val="center"/>
          </w:tcPr>
          <w:p w14:paraId="435B145A">
            <w:pPr>
              <w:jc w:val="right"/>
              <w:rPr>
                <w:rFonts w:ascii="Calibri" w:hAnsi="Calibri"/>
                <w:sz w:val="20"/>
                <w:szCs w:val="20"/>
              </w:rPr>
            </w:pPr>
            <w:r>
              <w:rPr>
                <w:rFonts w:ascii="Calibri" w:hAnsi="Calibri"/>
                <w:sz w:val="20"/>
                <w:szCs w:val="20"/>
              </w:rPr>
              <w:t>1,627,473.75</w:t>
            </w:r>
          </w:p>
        </w:tc>
      </w:tr>
      <w:tr w14:paraId="08F3C7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3C21DF8F">
            <w:pPr>
              <w:ind w:firstLine="200" w:firstLineChars="100"/>
              <w:rPr>
                <w:rFonts w:ascii="Calibri" w:hAnsi="Calibri"/>
                <w:sz w:val="20"/>
                <w:szCs w:val="20"/>
              </w:rPr>
            </w:pPr>
            <w:r>
              <w:rPr>
                <w:rFonts w:hint="eastAsia" w:ascii="Calibri" w:hAnsi="Calibri"/>
                <w:sz w:val="20"/>
                <w:szCs w:val="20"/>
              </w:rPr>
              <w:t>（一）不能重分类进损益的其他综合收益</w:t>
            </w:r>
          </w:p>
        </w:tc>
        <w:tc>
          <w:tcPr>
            <w:tcW w:w="1516" w:type="dxa"/>
            <w:tcBorders>
              <w:top w:val="outset" w:color="auto" w:sz="4" w:space="0"/>
              <w:left w:val="outset" w:color="auto" w:sz="4" w:space="0"/>
              <w:bottom w:val="outset" w:color="auto" w:sz="4" w:space="0"/>
              <w:right w:val="outset" w:color="auto" w:sz="4" w:space="0"/>
            </w:tcBorders>
            <w:vAlign w:val="center"/>
          </w:tcPr>
          <w:p w14:paraId="53B5C318">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79590261">
            <w:pPr>
              <w:jc w:val="right"/>
              <w:rPr>
                <w:rFonts w:ascii="Calibri" w:hAnsi="Calibri"/>
                <w:sz w:val="20"/>
                <w:szCs w:val="20"/>
              </w:rPr>
            </w:pPr>
            <w:r>
              <w:rPr>
                <w:rFonts w:ascii="Calibri" w:hAnsi="Calibri"/>
                <w:sz w:val="20"/>
                <w:szCs w:val="20"/>
              </w:rPr>
              <w:t>3,078,402.87</w:t>
            </w:r>
          </w:p>
        </w:tc>
        <w:tc>
          <w:tcPr>
            <w:tcW w:w="2018" w:type="dxa"/>
            <w:tcBorders>
              <w:top w:val="outset" w:color="auto" w:sz="4" w:space="0"/>
              <w:left w:val="outset" w:color="auto" w:sz="4" w:space="0"/>
              <w:bottom w:val="outset" w:color="auto" w:sz="4" w:space="0"/>
              <w:right w:val="outset" w:color="auto" w:sz="4" w:space="0"/>
            </w:tcBorders>
            <w:vAlign w:val="center"/>
          </w:tcPr>
          <w:p w14:paraId="7C169819">
            <w:pPr>
              <w:jc w:val="right"/>
              <w:rPr>
                <w:rFonts w:ascii="Calibri" w:hAnsi="Calibri"/>
                <w:sz w:val="20"/>
                <w:szCs w:val="20"/>
              </w:rPr>
            </w:pPr>
          </w:p>
        </w:tc>
      </w:tr>
      <w:tr w14:paraId="4A5B3E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EAFCC04">
            <w:pPr>
              <w:ind w:firstLine="400" w:firstLineChars="200"/>
              <w:rPr>
                <w:rFonts w:ascii="Calibri" w:hAnsi="Calibri"/>
                <w:sz w:val="20"/>
                <w:szCs w:val="20"/>
              </w:rPr>
            </w:pPr>
            <w:r>
              <w:rPr>
                <w:rFonts w:ascii="Calibri" w:hAnsi="Calibri"/>
                <w:sz w:val="20"/>
                <w:szCs w:val="20"/>
              </w:rPr>
              <w:t>1.重新计量设定受益计划变动额</w:t>
            </w:r>
          </w:p>
        </w:tc>
        <w:tc>
          <w:tcPr>
            <w:tcW w:w="1516" w:type="dxa"/>
            <w:tcBorders>
              <w:top w:val="outset" w:color="auto" w:sz="4" w:space="0"/>
              <w:left w:val="outset" w:color="auto" w:sz="4" w:space="0"/>
              <w:bottom w:val="outset" w:color="auto" w:sz="4" w:space="0"/>
              <w:right w:val="outset" w:color="auto" w:sz="4" w:space="0"/>
            </w:tcBorders>
            <w:vAlign w:val="center"/>
          </w:tcPr>
          <w:p w14:paraId="35C6129D">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7C527CFB">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5C666B7D">
            <w:pPr>
              <w:jc w:val="right"/>
              <w:rPr>
                <w:rFonts w:ascii="Calibri" w:hAnsi="Calibri"/>
                <w:sz w:val="20"/>
                <w:szCs w:val="20"/>
              </w:rPr>
            </w:pPr>
          </w:p>
        </w:tc>
      </w:tr>
      <w:tr w14:paraId="27202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73E8154F">
            <w:pPr>
              <w:ind w:firstLine="400" w:firstLineChars="200"/>
              <w:rPr>
                <w:rFonts w:ascii="Calibri" w:hAnsi="Calibri"/>
                <w:sz w:val="20"/>
                <w:szCs w:val="20"/>
              </w:rPr>
            </w:pPr>
            <w:r>
              <w:rPr>
                <w:rFonts w:ascii="Calibri" w:hAnsi="Calibri"/>
                <w:sz w:val="20"/>
                <w:szCs w:val="20"/>
              </w:rPr>
              <w:t>2.权益法下不能转损益的其他综合收益</w:t>
            </w:r>
          </w:p>
        </w:tc>
        <w:tc>
          <w:tcPr>
            <w:tcW w:w="1516" w:type="dxa"/>
            <w:tcBorders>
              <w:top w:val="outset" w:color="auto" w:sz="4" w:space="0"/>
              <w:left w:val="outset" w:color="auto" w:sz="4" w:space="0"/>
              <w:bottom w:val="outset" w:color="auto" w:sz="4" w:space="0"/>
              <w:right w:val="outset" w:color="auto" w:sz="4" w:space="0"/>
            </w:tcBorders>
            <w:vAlign w:val="center"/>
          </w:tcPr>
          <w:p w14:paraId="47B9F28F">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5F6D7167">
            <w:pPr>
              <w:jc w:val="right"/>
              <w:rPr>
                <w:rFonts w:ascii="Calibri" w:hAnsi="Calibri"/>
                <w:sz w:val="20"/>
                <w:szCs w:val="20"/>
              </w:rPr>
            </w:pPr>
            <w:r>
              <w:rPr>
                <w:rFonts w:ascii="Calibri" w:hAnsi="Calibri"/>
                <w:sz w:val="20"/>
                <w:szCs w:val="20"/>
              </w:rPr>
              <w:t>959,038.40</w:t>
            </w:r>
          </w:p>
        </w:tc>
        <w:tc>
          <w:tcPr>
            <w:tcW w:w="2018" w:type="dxa"/>
            <w:tcBorders>
              <w:top w:val="outset" w:color="auto" w:sz="4" w:space="0"/>
              <w:left w:val="outset" w:color="auto" w:sz="4" w:space="0"/>
              <w:bottom w:val="outset" w:color="auto" w:sz="4" w:space="0"/>
              <w:right w:val="outset" w:color="auto" w:sz="4" w:space="0"/>
            </w:tcBorders>
            <w:vAlign w:val="center"/>
          </w:tcPr>
          <w:p w14:paraId="5E00F581">
            <w:pPr>
              <w:jc w:val="right"/>
              <w:rPr>
                <w:rFonts w:ascii="Calibri" w:hAnsi="Calibri"/>
                <w:sz w:val="20"/>
                <w:szCs w:val="20"/>
              </w:rPr>
            </w:pPr>
          </w:p>
        </w:tc>
      </w:tr>
      <w:tr w14:paraId="1AC190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43482720">
            <w:pPr>
              <w:ind w:firstLine="400" w:firstLineChars="200"/>
              <w:rPr>
                <w:rFonts w:ascii="Calibri" w:hAnsi="Calibri"/>
                <w:sz w:val="20"/>
                <w:szCs w:val="20"/>
              </w:rPr>
            </w:pPr>
            <w:r>
              <w:rPr>
                <w:rFonts w:ascii="Calibri" w:hAnsi="Calibri"/>
                <w:sz w:val="20"/>
                <w:szCs w:val="20"/>
              </w:rPr>
              <w:t>3.其他权益工具投资公允价值变动</w:t>
            </w:r>
          </w:p>
        </w:tc>
        <w:tc>
          <w:tcPr>
            <w:tcW w:w="1516" w:type="dxa"/>
            <w:tcBorders>
              <w:top w:val="outset" w:color="auto" w:sz="4" w:space="0"/>
              <w:left w:val="outset" w:color="auto" w:sz="4" w:space="0"/>
              <w:bottom w:val="outset" w:color="auto" w:sz="4" w:space="0"/>
              <w:right w:val="outset" w:color="auto" w:sz="4" w:space="0"/>
            </w:tcBorders>
            <w:vAlign w:val="center"/>
          </w:tcPr>
          <w:p w14:paraId="59478F5C">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6D1D4B9E">
            <w:pPr>
              <w:jc w:val="right"/>
              <w:rPr>
                <w:rFonts w:ascii="Calibri" w:hAnsi="Calibri"/>
                <w:sz w:val="20"/>
                <w:szCs w:val="20"/>
              </w:rPr>
            </w:pPr>
            <w:r>
              <w:rPr>
                <w:rFonts w:ascii="Calibri" w:hAnsi="Calibri"/>
                <w:sz w:val="20"/>
                <w:szCs w:val="20"/>
              </w:rPr>
              <w:t>2,119,364.47</w:t>
            </w:r>
          </w:p>
        </w:tc>
        <w:tc>
          <w:tcPr>
            <w:tcW w:w="2018" w:type="dxa"/>
            <w:tcBorders>
              <w:top w:val="outset" w:color="auto" w:sz="4" w:space="0"/>
              <w:left w:val="outset" w:color="auto" w:sz="4" w:space="0"/>
              <w:bottom w:val="outset" w:color="auto" w:sz="4" w:space="0"/>
              <w:right w:val="outset" w:color="auto" w:sz="4" w:space="0"/>
            </w:tcBorders>
            <w:vAlign w:val="center"/>
          </w:tcPr>
          <w:p w14:paraId="57F07B9D">
            <w:pPr>
              <w:jc w:val="right"/>
              <w:rPr>
                <w:rFonts w:ascii="Calibri" w:hAnsi="Calibri"/>
                <w:sz w:val="20"/>
                <w:szCs w:val="20"/>
              </w:rPr>
            </w:pPr>
          </w:p>
        </w:tc>
      </w:tr>
      <w:tr w14:paraId="7872B5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4BA7EF56">
            <w:pPr>
              <w:ind w:firstLine="400" w:firstLineChars="200"/>
              <w:rPr>
                <w:rFonts w:ascii="Calibri" w:hAnsi="Calibri"/>
                <w:sz w:val="20"/>
                <w:szCs w:val="20"/>
              </w:rPr>
            </w:pPr>
            <w:r>
              <w:rPr>
                <w:rFonts w:ascii="Calibri" w:hAnsi="Calibri"/>
                <w:sz w:val="20"/>
                <w:szCs w:val="20"/>
              </w:rPr>
              <w:t>4.企业自身信用风险公允价值变动</w:t>
            </w:r>
          </w:p>
        </w:tc>
        <w:tc>
          <w:tcPr>
            <w:tcW w:w="1516" w:type="dxa"/>
            <w:tcBorders>
              <w:top w:val="outset" w:color="auto" w:sz="4" w:space="0"/>
              <w:left w:val="outset" w:color="auto" w:sz="4" w:space="0"/>
              <w:bottom w:val="outset" w:color="auto" w:sz="4" w:space="0"/>
              <w:right w:val="outset" w:color="auto" w:sz="4" w:space="0"/>
            </w:tcBorders>
            <w:vAlign w:val="center"/>
          </w:tcPr>
          <w:p w14:paraId="66759460">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1BEF8250">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2760B777">
            <w:pPr>
              <w:jc w:val="right"/>
              <w:rPr>
                <w:rFonts w:ascii="Calibri" w:hAnsi="Calibri"/>
                <w:sz w:val="20"/>
                <w:szCs w:val="20"/>
              </w:rPr>
            </w:pPr>
          </w:p>
        </w:tc>
      </w:tr>
      <w:tr w14:paraId="0CFD56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3507" w:type="dxa"/>
            <w:tcBorders>
              <w:top w:val="outset" w:color="auto" w:sz="4" w:space="0"/>
              <w:left w:val="outset" w:color="auto" w:sz="4" w:space="0"/>
              <w:bottom w:val="outset" w:color="auto" w:sz="4" w:space="0"/>
              <w:right w:val="outset" w:color="auto" w:sz="4" w:space="0"/>
            </w:tcBorders>
            <w:vAlign w:val="center"/>
          </w:tcPr>
          <w:p w14:paraId="2F5616FA">
            <w:pPr>
              <w:ind w:firstLine="200" w:firstLineChars="100"/>
              <w:rPr>
                <w:rFonts w:ascii="Calibri" w:hAnsi="Calibri"/>
                <w:sz w:val="20"/>
                <w:szCs w:val="20"/>
              </w:rPr>
            </w:pPr>
            <w:r>
              <w:rPr>
                <w:rFonts w:hint="eastAsia" w:ascii="Calibri" w:hAnsi="Calibri"/>
                <w:sz w:val="20"/>
                <w:szCs w:val="20"/>
              </w:rPr>
              <w:t>（二）将重分类进损益的其他综合收益</w:t>
            </w:r>
          </w:p>
        </w:tc>
        <w:tc>
          <w:tcPr>
            <w:tcW w:w="1516" w:type="dxa"/>
            <w:tcBorders>
              <w:top w:val="outset" w:color="auto" w:sz="4" w:space="0"/>
              <w:left w:val="outset" w:color="auto" w:sz="4" w:space="0"/>
              <w:bottom w:val="outset" w:color="auto" w:sz="4" w:space="0"/>
              <w:right w:val="outset" w:color="auto" w:sz="4" w:space="0"/>
            </w:tcBorders>
            <w:vAlign w:val="center"/>
          </w:tcPr>
          <w:p w14:paraId="77C2F231">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3FF3FC14">
            <w:pPr>
              <w:jc w:val="right"/>
              <w:rPr>
                <w:rFonts w:ascii="Calibri" w:hAnsi="Calibri"/>
                <w:sz w:val="20"/>
                <w:szCs w:val="20"/>
              </w:rPr>
            </w:pPr>
            <w:r>
              <w:rPr>
                <w:rFonts w:ascii="Calibri" w:hAnsi="Calibri"/>
                <w:sz w:val="20"/>
                <w:szCs w:val="20"/>
              </w:rPr>
              <w:t>682,157.98</w:t>
            </w:r>
          </w:p>
        </w:tc>
        <w:tc>
          <w:tcPr>
            <w:tcW w:w="2018" w:type="dxa"/>
            <w:tcBorders>
              <w:top w:val="outset" w:color="auto" w:sz="4" w:space="0"/>
              <w:left w:val="outset" w:color="auto" w:sz="4" w:space="0"/>
              <w:bottom w:val="outset" w:color="auto" w:sz="4" w:space="0"/>
              <w:right w:val="outset" w:color="auto" w:sz="4" w:space="0"/>
            </w:tcBorders>
            <w:vAlign w:val="center"/>
          </w:tcPr>
          <w:p w14:paraId="20907776">
            <w:pPr>
              <w:jc w:val="right"/>
              <w:rPr>
                <w:rFonts w:ascii="Calibri" w:hAnsi="Calibri"/>
                <w:sz w:val="20"/>
                <w:szCs w:val="20"/>
              </w:rPr>
            </w:pPr>
            <w:r>
              <w:rPr>
                <w:rFonts w:ascii="Calibri" w:hAnsi="Calibri"/>
                <w:sz w:val="20"/>
                <w:szCs w:val="20"/>
              </w:rPr>
              <w:t>1,627,473.75</w:t>
            </w:r>
          </w:p>
        </w:tc>
      </w:tr>
      <w:tr w14:paraId="16B0A8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33028644">
            <w:pPr>
              <w:ind w:firstLine="400" w:firstLineChars="200"/>
              <w:rPr>
                <w:rFonts w:ascii="Calibri" w:hAnsi="Calibri"/>
                <w:sz w:val="20"/>
                <w:szCs w:val="20"/>
              </w:rPr>
            </w:pPr>
            <w:r>
              <w:rPr>
                <w:rFonts w:ascii="Calibri" w:hAnsi="Calibri"/>
                <w:sz w:val="20"/>
                <w:szCs w:val="20"/>
              </w:rPr>
              <w:t>1.权益法下可转损益的其他综合收益</w:t>
            </w:r>
          </w:p>
        </w:tc>
        <w:tc>
          <w:tcPr>
            <w:tcW w:w="1516" w:type="dxa"/>
            <w:tcBorders>
              <w:top w:val="outset" w:color="auto" w:sz="4" w:space="0"/>
              <w:left w:val="outset" w:color="auto" w:sz="4" w:space="0"/>
              <w:bottom w:val="outset" w:color="auto" w:sz="4" w:space="0"/>
              <w:right w:val="outset" w:color="auto" w:sz="4" w:space="0"/>
            </w:tcBorders>
            <w:vAlign w:val="center"/>
          </w:tcPr>
          <w:p w14:paraId="11C6B691">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0B0BC747">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201A0711">
            <w:pPr>
              <w:jc w:val="right"/>
              <w:rPr>
                <w:rFonts w:ascii="Calibri" w:hAnsi="Calibri"/>
                <w:sz w:val="20"/>
                <w:szCs w:val="20"/>
              </w:rPr>
            </w:pPr>
          </w:p>
        </w:tc>
      </w:tr>
      <w:tr w14:paraId="5274D4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2481FFF5">
            <w:pPr>
              <w:ind w:firstLine="400" w:firstLineChars="200"/>
              <w:rPr>
                <w:rFonts w:ascii="Calibri" w:hAnsi="Calibri"/>
                <w:sz w:val="20"/>
                <w:szCs w:val="20"/>
              </w:rPr>
            </w:pPr>
            <w:r>
              <w:rPr>
                <w:rFonts w:ascii="Calibri" w:hAnsi="Calibri"/>
                <w:sz w:val="20"/>
                <w:szCs w:val="20"/>
              </w:rPr>
              <w:t>2.其他债权投资公允价值变动</w:t>
            </w:r>
          </w:p>
        </w:tc>
        <w:tc>
          <w:tcPr>
            <w:tcW w:w="1516" w:type="dxa"/>
            <w:tcBorders>
              <w:top w:val="outset" w:color="auto" w:sz="4" w:space="0"/>
              <w:left w:val="outset" w:color="auto" w:sz="4" w:space="0"/>
              <w:bottom w:val="outset" w:color="auto" w:sz="4" w:space="0"/>
              <w:right w:val="outset" w:color="auto" w:sz="4" w:space="0"/>
            </w:tcBorders>
            <w:vAlign w:val="center"/>
          </w:tcPr>
          <w:p w14:paraId="3ED8F54C">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3A861570">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76EEB3CC">
            <w:pPr>
              <w:jc w:val="right"/>
              <w:rPr>
                <w:rFonts w:ascii="Calibri" w:hAnsi="Calibri"/>
                <w:sz w:val="20"/>
                <w:szCs w:val="20"/>
              </w:rPr>
            </w:pPr>
          </w:p>
        </w:tc>
      </w:tr>
      <w:tr w14:paraId="4331A3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28A9B20">
            <w:pPr>
              <w:ind w:firstLine="400" w:firstLineChars="200"/>
              <w:rPr>
                <w:rFonts w:ascii="Calibri" w:hAnsi="Calibri"/>
                <w:sz w:val="20"/>
                <w:szCs w:val="20"/>
              </w:rPr>
            </w:pPr>
            <w:r>
              <w:rPr>
                <w:rFonts w:ascii="Calibri" w:hAnsi="Calibri"/>
                <w:sz w:val="20"/>
                <w:szCs w:val="20"/>
              </w:rPr>
              <w:t>3.金融资产重分类计入其他综合收益的金额</w:t>
            </w:r>
          </w:p>
        </w:tc>
        <w:tc>
          <w:tcPr>
            <w:tcW w:w="1516" w:type="dxa"/>
            <w:tcBorders>
              <w:top w:val="outset" w:color="auto" w:sz="4" w:space="0"/>
              <w:left w:val="outset" w:color="auto" w:sz="4" w:space="0"/>
              <w:bottom w:val="outset" w:color="auto" w:sz="4" w:space="0"/>
              <w:right w:val="outset" w:color="auto" w:sz="4" w:space="0"/>
            </w:tcBorders>
            <w:vAlign w:val="center"/>
          </w:tcPr>
          <w:p w14:paraId="5F9A0F92">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4ADE766E">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04A99123">
            <w:pPr>
              <w:jc w:val="right"/>
              <w:rPr>
                <w:rFonts w:ascii="Calibri" w:hAnsi="Calibri"/>
                <w:sz w:val="20"/>
                <w:szCs w:val="20"/>
              </w:rPr>
            </w:pPr>
          </w:p>
        </w:tc>
      </w:tr>
      <w:tr w14:paraId="019AB4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3FB9BC14">
            <w:pPr>
              <w:ind w:firstLine="400" w:firstLineChars="200"/>
              <w:rPr>
                <w:rFonts w:ascii="Calibri" w:hAnsi="Calibri"/>
                <w:sz w:val="20"/>
                <w:szCs w:val="20"/>
              </w:rPr>
            </w:pPr>
            <w:r>
              <w:rPr>
                <w:rFonts w:ascii="Calibri" w:hAnsi="Calibri"/>
                <w:sz w:val="20"/>
                <w:szCs w:val="20"/>
              </w:rPr>
              <w:t>4.其他债权投资信用减值准备</w:t>
            </w:r>
          </w:p>
        </w:tc>
        <w:tc>
          <w:tcPr>
            <w:tcW w:w="1516" w:type="dxa"/>
            <w:tcBorders>
              <w:top w:val="outset" w:color="auto" w:sz="4" w:space="0"/>
              <w:left w:val="outset" w:color="auto" w:sz="4" w:space="0"/>
              <w:bottom w:val="outset" w:color="auto" w:sz="4" w:space="0"/>
              <w:right w:val="outset" w:color="auto" w:sz="4" w:space="0"/>
            </w:tcBorders>
            <w:vAlign w:val="center"/>
          </w:tcPr>
          <w:p w14:paraId="07BA6ED8">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13F0DAB5">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009FD01D">
            <w:pPr>
              <w:jc w:val="right"/>
              <w:rPr>
                <w:rFonts w:ascii="Calibri" w:hAnsi="Calibri"/>
                <w:sz w:val="20"/>
                <w:szCs w:val="20"/>
              </w:rPr>
            </w:pPr>
          </w:p>
        </w:tc>
      </w:tr>
      <w:tr w14:paraId="0AE408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3507" w:type="dxa"/>
            <w:tcBorders>
              <w:top w:val="outset" w:color="auto" w:sz="4" w:space="0"/>
              <w:left w:val="outset" w:color="auto" w:sz="4" w:space="0"/>
              <w:bottom w:val="outset" w:color="auto" w:sz="4" w:space="0"/>
              <w:right w:val="outset" w:color="auto" w:sz="4" w:space="0"/>
            </w:tcBorders>
            <w:vAlign w:val="center"/>
          </w:tcPr>
          <w:p w14:paraId="3CBF9A4F">
            <w:pPr>
              <w:ind w:firstLine="400" w:firstLineChars="200"/>
              <w:rPr>
                <w:rFonts w:ascii="Calibri" w:hAnsi="Calibri"/>
                <w:sz w:val="20"/>
                <w:szCs w:val="20"/>
              </w:rPr>
            </w:pPr>
            <w:r>
              <w:rPr>
                <w:rFonts w:ascii="Calibri" w:hAnsi="Calibri"/>
                <w:sz w:val="20"/>
                <w:szCs w:val="20"/>
              </w:rPr>
              <w:t>5.现金流量套期储备</w:t>
            </w:r>
          </w:p>
        </w:tc>
        <w:tc>
          <w:tcPr>
            <w:tcW w:w="1516" w:type="dxa"/>
            <w:tcBorders>
              <w:top w:val="outset" w:color="auto" w:sz="4" w:space="0"/>
              <w:left w:val="outset" w:color="auto" w:sz="4" w:space="0"/>
              <w:bottom w:val="outset" w:color="auto" w:sz="4" w:space="0"/>
              <w:right w:val="outset" w:color="auto" w:sz="4" w:space="0"/>
            </w:tcBorders>
            <w:vAlign w:val="center"/>
          </w:tcPr>
          <w:p w14:paraId="00F6A2AE">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1FDC2DA1">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5556BE4B">
            <w:pPr>
              <w:jc w:val="right"/>
              <w:rPr>
                <w:rFonts w:ascii="Calibri" w:hAnsi="Calibri"/>
                <w:sz w:val="20"/>
                <w:szCs w:val="20"/>
              </w:rPr>
            </w:pPr>
          </w:p>
        </w:tc>
      </w:tr>
      <w:tr w14:paraId="0B3B7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B488D93">
            <w:pPr>
              <w:ind w:firstLine="400" w:firstLineChars="200"/>
              <w:rPr>
                <w:rFonts w:ascii="Calibri" w:hAnsi="Calibri"/>
                <w:sz w:val="20"/>
                <w:szCs w:val="20"/>
              </w:rPr>
            </w:pPr>
            <w:r>
              <w:rPr>
                <w:rFonts w:ascii="Calibri" w:hAnsi="Calibri"/>
                <w:sz w:val="20"/>
                <w:szCs w:val="20"/>
              </w:rPr>
              <w:t>6.外币财务报表折算差额</w:t>
            </w:r>
          </w:p>
        </w:tc>
        <w:tc>
          <w:tcPr>
            <w:tcW w:w="1516" w:type="dxa"/>
            <w:tcBorders>
              <w:top w:val="outset" w:color="auto" w:sz="4" w:space="0"/>
              <w:left w:val="outset" w:color="auto" w:sz="4" w:space="0"/>
              <w:bottom w:val="outset" w:color="auto" w:sz="4" w:space="0"/>
              <w:right w:val="outset" w:color="auto" w:sz="4" w:space="0"/>
            </w:tcBorders>
            <w:vAlign w:val="center"/>
          </w:tcPr>
          <w:p w14:paraId="623C79C2">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6914AE6C">
            <w:pPr>
              <w:jc w:val="right"/>
              <w:rPr>
                <w:rFonts w:ascii="Calibri" w:hAnsi="Calibri"/>
                <w:sz w:val="20"/>
                <w:szCs w:val="20"/>
              </w:rPr>
            </w:pPr>
            <w:r>
              <w:rPr>
                <w:rFonts w:ascii="Calibri" w:hAnsi="Calibri"/>
                <w:sz w:val="20"/>
                <w:szCs w:val="20"/>
              </w:rPr>
              <w:t>682,157.98</w:t>
            </w:r>
          </w:p>
        </w:tc>
        <w:tc>
          <w:tcPr>
            <w:tcW w:w="2018" w:type="dxa"/>
            <w:tcBorders>
              <w:top w:val="outset" w:color="auto" w:sz="4" w:space="0"/>
              <w:left w:val="outset" w:color="auto" w:sz="4" w:space="0"/>
              <w:bottom w:val="outset" w:color="auto" w:sz="4" w:space="0"/>
              <w:right w:val="outset" w:color="auto" w:sz="4" w:space="0"/>
            </w:tcBorders>
            <w:vAlign w:val="center"/>
          </w:tcPr>
          <w:p w14:paraId="24CA6BCA">
            <w:pPr>
              <w:jc w:val="right"/>
              <w:rPr>
                <w:rFonts w:ascii="Calibri" w:hAnsi="Calibri"/>
                <w:sz w:val="20"/>
                <w:szCs w:val="20"/>
              </w:rPr>
            </w:pPr>
            <w:r>
              <w:rPr>
                <w:rFonts w:ascii="Calibri" w:hAnsi="Calibri"/>
                <w:sz w:val="20"/>
                <w:szCs w:val="20"/>
              </w:rPr>
              <w:t>1,627,473.75</w:t>
            </w:r>
          </w:p>
        </w:tc>
      </w:tr>
      <w:tr w14:paraId="4F5939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24DC196">
            <w:pPr>
              <w:ind w:firstLine="400" w:firstLineChars="200"/>
              <w:rPr>
                <w:rFonts w:ascii="Calibri" w:hAnsi="Calibri"/>
                <w:sz w:val="20"/>
                <w:szCs w:val="20"/>
              </w:rPr>
            </w:pPr>
            <w:r>
              <w:rPr>
                <w:rFonts w:ascii="Calibri" w:hAnsi="Calibri"/>
                <w:sz w:val="20"/>
                <w:szCs w:val="20"/>
              </w:rPr>
              <w:t>7.其他</w:t>
            </w:r>
          </w:p>
        </w:tc>
        <w:tc>
          <w:tcPr>
            <w:tcW w:w="1516" w:type="dxa"/>
            <w:tcBorders>
              <w:top w:val="outset" w:color="auto" w:sz="4" w:space="0"/>
              <w:left w:val="outset" w:color="auto" w:sz="4" w:space="0"/>
              <w:bottom w:val="outset" w:color="auto" w:sz="4" w:space="0"/>
              <w:right w:val="outset" w:color="auto" w:sz="4" w:space="0"/>
            </w:tcBorders>
            <w:vAlign w:val="center"/>
          </w:tcPr>
          <w:p w14:paraId="69176688">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55E39D65">
            <w:pPr>
              <w:jc w:val="right"/>
              <w:rPr>
                <w:rFonts w:ascii="Calibri" w:hAnsi="Calibri"/>
                <w:sz w:val="20"/>
                <w:szCs w:val="20"/>
              </w:rPr>
            </w:pPr>
          </w:p>
        </w:tc>
        <w:tc>
          <w:tcPr>
            <w:tcW w:w="2018" w:type="dxa"/>
            <w:tcBorders>
              <w:top w:val="outset" w:color="auto" w:sz="4" w:space="0"/>
              <w:left w:val="outset" w:color="auto" w:sz="4" w:space="0"/>
              <w:bottom w:val="outset" w:color="auto" w:sz="4" w:space="0"/>
              <w:right w:val="outset" w:color="auto" w:sz="4" w:space="0"/>
            </w:tcBorders>
            <w:vAlign w:val="center"/>
          </w:tcPr>
          <w:p w14:paraId="7AF19C9A">
            <w:pPr>
              <w:jc w:val="right"/>
              <w:rPr>
                <w:rFonts w:ascii="Calibri" w:hAnsi="Calibri"/>
                <w:sz w:val="20"/>
                <w:szCs w:val="20"/>
              </w:rPr>
            </w:pPr>
          </w:p>
        </w:tc>
      </w:tr>
      <w:tr w14:paraId="6F2D4E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622F1900">
            <w:pPr>
              <w:ind w:left="-19"/>
              <w:rPr>
                <w:rFonts w:ascii="Calibri" w:hAnsi="Calibri"/>
                <w:sz w:val="20"/>
                <w:szCs w:val="20"/>
              </w:rPr>
            </w:pPr>
            <w:r>
              <w:rPr>
                <w:rFonts w:hint="eastAsia" w:ascii="Calibri" w:hAnsi="Calibri"/>
                <w:sz w:val="20"/>
                <w:szCs w:val="20"/>
              </w:rPr>
              <w:t>六、综合收益总额</w:t>
            </w:r>
          </w:p>
        </w:tc>
        <w:tc>
          <w:tcPr>
            <w:tcW w:w="1516" w:type="dxa"/>
            <w:tcBorders>
              <w:top w:val="outset" w:color="auto" w:sz="4" w:space="0"/>
              <w:left w:val="outset" w:color="auto" w:sz="4" w:space="0"/>
              <w:bottom w:val="outset" w:color="auto" w:sz="4" w:space="0"/>
              <w:right w:val="outset" w:color="auto" w:sz="4" w:space="0"/>
            </w:tcBorders>
            <w:vAlign w:val="center"/>
          </w:tcPr>
          <w:p w14:paraId="0BDCD91F">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491D1541">
            <w:pPr>
              <w:jc w:val="right"/>
              <w:rPr>
                <w:rFonts w:ascii="Calibri" w:hAnsi="Calibri"/>
                <w:sz w:val="20"/>
                <w:szCs w:val="20"/>
              </w:rPr>
            </w:pPr>
            <w:r>
              <w:rPr>
                <w:rFonts w:ascii="Calibri" w:hAnsi="Calibri"/>
                <w:sz w:val="20"/>
                <w:szCs w:val="20"/>
              </w:rPr>
              <w:t>1,361,122,605.62</w:t>
            </w:r>
          </w:p>
        </w:tc>
        <w:tc>
          <w:tcPr>
            <w:tcW w:w="2018" w:type="dxa"/>
            <w:tcBorders>
              <w:top w:val="outset" w:color="auto" w:sz="4" w:space="0"/>
              <w:left w:val="outset" w:color="auto" w:sz="4" w:space="0"/>
              <w:bottom w:val="outset" w:color="auto" w:sz="4" w:space="0"/>
              <w:right w:val="outset" w:color="auto" w:sz="4" w:space="0"/>
            </w:tcBorders>
          </w:tcPr>
          <w:p w14:paraId="2AC178C2">
            <w:pPr>
              <w:jc w:val="right"/>
              <w:rPr>
                <w:rFonts w:ascii="Calibri" w:hAnsi="Calibri"/>
                <w:sz w:val="20"/>
                <w:szCs w:val="20"/>
              </w:rPr>
            </w:pPr>
            <w:r>
              <w:rPr>
                <w:rFonts w:ascii="Calibri" w:hAnsi="Calibri"/>
                <w:sz w:val="20"/>
                <w:szCs w:val="20"/>
              </w:rPr>
              <w:t>-33,339,842.93</w:t>
            </w:r>
          </w:p>
        </w:tc>
      </w:tr>
      <w:tr w14:paraId="2CA960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b0447fd122e4105bde5cc49acaea414"/>
            <w:id w:val="-1598551341"/>
          </w:sdtPr>
          <w:sdtContent>
            <w:tc>
              <w:tcPr>
                <w:tcW w:w="9049" w:type="dxa"/>
                <w:gridSpan w:val="4"/>
                <w:tcBorders>
                  <w:top w:val="outset" w:color="auto" w:sz="4" w:space="0"/>
                  <w:left w:val="outset" w:color="auto" w:sz="4" w:space="0"/>
                  <w:bottom w:val="outset" w:color="auto" w:sz="4" w:space="0"/>
                  <w:right w:val="outset" w:color="auto" w:sz="4" w:space="0"/>
                </w:tcBorders>
                <w:vAlign w:val="center"/>
              </w:tcPr>
              <w:p w14:paraId="6B1E25B0">
                <w:pPr>
                  <w:pStyle w:val="48"/>
                  <w:rPr>
                    <w:sz w:val="20"/>
                    <w:szCs w:val="20"/>
                  </w:rPr>
                </w:pPr>
                <w:r>
                  <w:rPr>
                    <w:rFonts w:hint="eastAsia"/>
                    <w:sz w:val="20"/>
                    <w:szCs w:val="20"/>
                  </w:rPr>
                  <w:t>七</w:t>
                </w:r>
                <w:r>
                  <w:rPr>
                    <w:sz w:val="20"/>
                    <w:szCs w:val="20"/>
                  </w:rPr>
                  <w:t>、每股收益：</w:t>
                </w:r>
              </w:p>
            </w:tc>
          </w:sdtContent>
        </w:sdt>
      </w:tr>
      <w:tr w14:paraId="1BA1D2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1B615331">
            <w:pPr>
              <w:ind w:left="-19" w:firstLine="400" w:firstLineChars="200"/>
              <w:rPr>
                <w:rFonts w:ascii="Calibri" w:hAnsi="Calibri"/>
                <w:sz w:val="20"/>
                <w:szCs w:val="20"/>
              </w:rPr>
            </w:pPr>
            <w:r>
              <w:rPr>
                <w:rFonts w:ascii="Calibri" w:hAnsi="Calibri"/>
                <w:sz w:val="20"/>
                <w:szCs w:val="20"/>
              </w:rPr>
              <w:t>（一）基本每股收益</w:t>
            </w:r>
            <w:r>
              <w:rPr>
                <w:rFonts w:hint="eastAsia" w:ascii="Calibri" w:hAnsi="Calibri"/>
                <w:sz w:val="20"/>
                <w:szCs w:val="20"/>
              </w:rPr>
              <w:t>(元/股)</w:t>
            </w:r>
          </w:p>
        </w:tc>
        <w:tc>
          <w:tcPr>
            <w:tcW w:w="1516" w:type="dxa"/>
            <w:tcBorders>
              <w:top w:val="outset" w:color="auto" w:sz="4" w:space="0"/>
              <w:left w:val="outset" w:color="auto" w:sz="4" w:space="0"/>
              <w:bottom w:val="outset" w:color="auto" w:sz="4" w:space="0"/>
              <w:right w:val="outset" w:color="auto" w:sz="4" w:space="0"/>
            </w:tcBorders>
            <w:vAlign w:val="center"/>
          </w:tcPr>
          <w:p w14:paraId="35872876">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218E7E2D">
            <w:pPr>
              <w:jc w:val="right"/>
              <w:rPr>
                <w:rFonts w:ascii="Calibri" w:hAnsi="Calibri"/>
                <w:sz w:val="20"/>
                <w:szCs w:val="20"/>
              </w:rPr>
            </w:pPr>
            <w:r>
              <w:rPr>
                <w:rFonts w:hint="eastAsia" w:ascii="Calibri" w:hAnsi="Calibri"/>
                <w:sz w:val="20"/>
                <w:szCs w:val="20"/>
              </w:rPr>
              <w:t>0</w:t>
            </w:r>
            <w:r>
              <w:rPr>
                <w:rFonts w:ascii="Calibri" w:hAnsi="Calibri"/>
                <w:sz w:val="20"/>
                <w:szCs w:val="20"/>
              </w:rPr>
              <w:t>.69</w:t>
            </w:r>
          </w:p>
        </w:tc>
        <w:tc>
          <w:tcPr>
            <w:tcW w:w="2018" w:type="dxa"/>
            <w:tcBorders>
              <w:top w:val="outset" w:color="auto" w:sz="4" w:space="0"/>
              <w:left w:val="outset" w:color="auto" w:sz="4" w:space="0"/>
              <w:bottom w:val="outset" w:color="auto" w:sz="4" w:space="0"/>
              <w:right w:val="outset" w:color="auto" w:sz="4" w:space="0"/>
            </w:tcBorders>
          </w:tcPr>
          <w:p w14:paraId="2D9A33E1">
            <w:pPr>
              <w:jc w:val="right"/>
              <w:rPr>
                <w:rFonts w:ascii="Calibri" w:hAnsi="Calibri"/>
                <w:sz w:val="20"/>
                <w:szCs w:val="20"/>
              </w:rPr>
            </w:pPr>
            <w:r>
              <w:rPr>
                <w:rFonts w:ascii="Calibri" w:hAnsi="Calibri"/>
                <w:sz w:val="20"/>
                <w:szCs w:val="20"/>
              </w:rPr>
              <w:t>-0.02</w:t>
            </w:r>
          </w:p>
        </w:tc>
      </w:tr>
      <w:tr w14:paraId="208E91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07" w:type="dxa"/>
            <w:tcBorders>
              <w:top w:val="outset" w:color="auto" w:sz="4" w:space="0"/>
              <w:left w:val="outset" w:color="auto" w:sz="4" w:space="0"/>
              <w:bottom w:val="outset" w:color="auto" w:sz="4" w:space="0"/>
              <w:right w:val="outset" w:color="auto" w:sz="4" w:space="0"/>
            </w:tcBorders>
            <w:vAlign w:val="center"/>
          </w:tcPr>
          <w:p w14:paraId="24A6AB94">
            <w:pPr>
              <w:ind w:left="-19" w:firstLine="400" w:firstLineChars="200"/>
              <w:rPr>
                <w:rFonts w:ascii="Calibri" w:hAnsi="Calibri"/>
                <w:sz w:val="20"/>
                <w:szCs w:val="20"/>
              </w:rPr>
            </w:pPr>
            <w:r>
              <w:rPr>
                <w:rFonts w:ascii="Calibri" w:hAnsi="Calibri"/>
                <w:sz w:val="20"/>
                <w:szCs w:val="20"/>
              </w:rPr>
              <w:t>（二）稀释每股收益</w:t>
            </w:r>
            <w:r>
              <w:rPr>
                <w:rFonts w:hint="eastAsia" w:ascii="Calibri" w:hAnsi="Calibri"/>
                <w:sz w:val="20"/>
                <w:szCs w:val="20"/>
              </w:rPr>
              <w:t>(元/股)</w:t>
            </w:r>
          </w:p>
        </w:tc>
        <w:tc>
          <w:tcPr>
            <w:tcW w:w="1516" w:type="dxa"/>
            <w:tcBorders>
              <w:top w:val="outset" w:color="auto" w:sz="4" w:space="0"/>
              <w:left w:val="outset" w:color="auto" w:sz="4" w:space="0"/>
              <w:bottom w:val="outset" w:color="auto" w:sz="4" w:space="0"/>
              <w:right w:val="outset" w:color="auto" w:sz="4" w:space="0"/>
            </w:tcBorders>
            <w:vAlign w:val="center"/>
          </w:tcPr>
          <w:p w14:paraId="2723D529">
            <w:pPr>
              <w:pStyle w:val="48"/>
              <w:rPr>
                <w:sz w:val="20"/>
                <w:szCs w:val="20"/>
              </w:rPr>
            </w:pPr>
          </w:p>
        </w:tc>
        <w:tc>
          <w:tcPr>
            <w:tcW w:w="2008" w:type="dxa"/>
            <w:tcBorders>
              <w:top w:val="outset" w:color="auto" w:sz="4" w:space="0"/>
              <w:left w:val="outset" w:color="auto" w:sz="4" w:space="0"/>
              <w:bottom w:val="outset" w:color="auto" w:sz="4" w:space="0"/>
              <w:right w:val="outset" w:color="auto" w:sz="4" w:space="0"/>
            </w:tcBorders>
            <w:vAlign w:val="center"/>
          </w:tcPr>
          <w:p w14:paraId="3D869522">
            <w:pPr>
              <w:jc w:val="right"/>
              <w:rPr>
                <w:rFonts w:ascii="Calibri" w:hAnsi="Calibri"/>
                <w:sz w:val="20"/>
                <w:szCs w:val="20"/>
              </w:rPr>
            </w:pPr>
            <w:r>
              <w:rPr>
                <w:rFonts w:hint="eastAsia" w:ascii="Calibri" w:hAnsi="Calibri"/>
                <w:sz w:val="20"/>
                <w:szCs w:val="20"/>
              </w:rPr>
              <w:t>0</w:t>
            </w:r>
            <w:r>
              <w:rPr>
                <w:rFonts w:ascii="Calibri" w:hAnsi="Calibri"/>
                <w:sz w:val="20"/>
                <w:szCs w:val="20"/>
              </w:rPr>
              <w:t>.69</w:t>
            </w:r>
          </w:p>
        </w:tc>
        <w:tc>
          <w:tcPr>
            <w:tcW w:w="2018" w:type="dxa"/>
            <w:tcBorders>
              <w:top w:val="outset" w:color="auto" w:sz="4" w:space="0"/>
              <w:left w:val="outset" w:color="auto" w:sz="4" w:space="0"/>
              <w:bottom w:val="outset" w:color="auto" w:sz="4" w:space="0"/>
              <w:right w:val="outset" w:color="auto" w:sz="4" w:space="0"/>
            </w:tcBorders>
          </w:tcPr>
          <w:p w14:paraId="6CE1A7C0">
            <w:pPr>
              <w:jc w:val="right"/>
              <w:rPr>
                <w:rFonts w:ascii="Calibri" w:hAnsi="Calibri"/>
                <w:sz w:val="20"/>
                <w:szCs w:val="20"/>
              </w:rPr>
            </w:pPr>
            <w:r>
              <w:rPr>
                <w:rFonts w:hint="eastAsia" w:ascii="Calibri" w:hAnsi="Calibri"/>
                <w:sz w:val="20"/>
                <w:szCs w:val="20"/>
              </w:rPr>
              <w:t>-</w:t>
            </w:r>
            <w:r>
              <w:rPr>
                <w:rFonts w:ascii="Calibri" w:hAnsi="Calibri"/>
                <w:sz w:val="20"/>
                <w:szCs w:val="20"/>
              </w:rPr>
              <w:t>0.02</w:t>
            </w:r>
          </w:p>
        </w:tc>
      </w:tr>
    </w:tbl>
    <w:p w14:paraId="13D182FA">
      <w:pPr>
        <w:pStyle w:val="48"/>
      </w:pPr>
    </w:p>
    <w:p w14:paraId="249B2FF2">
      <w:pPr>
        <w:snapToGrid w:val="0"/>
        <w:spacing w:line="240" w:lineRule="atLeast"/>
        <w:ind w:right="-153" w:rightChars="-73"/>
        <w:rPr>
          <w:rFonts w:cs="宋体-方正超大字符集"/>
        </w:rPr>
      </w:pPr>
      <w:r>
        <w:rPr>
          <w:rFonts w:hint="eastAsia"/>
        </w:rPr>
        <w:t>公司负责</w:t>
      </w:r>
      <w:r>
        <w:t>人</w:t>
      </w:r>
      <w:r>
        <w:rPr>
          <w:rFonts w:hint="eastAsia"/>
        </w:rPr>
        <w:t>：</w:t>
      </w:r>
      <w:sdt>
        <w:sdtPr>
          <w:rPr>
            <w:rFonts w:hint="eastAsia"/>
          </w:rPr>
          <w:alias w:val="公司负责人姓名"/>
          <w:tag w:val="_GBC_04fbc09e50eb44a79e1d4314733be4f9"/>
          <w:id w:val="-2118671599"/>
          <w:placeholder>
            <w:docPart w:val="GBC22222222222222222222222222222"/>
          </w:placeholder>
          <w:dataBinding w:prefixMappings="xmlns:clcid-mr='clcid-mr'" w:xpath="/*/clcid-mr:GongSiFuZeRenXingMing[not(@periodRef)]" w:storeItemID="{89EBAB94-44A0-46A2-B712-30D997D04A6D}"/>
          <w:text/>
        </w:sdtPr>
        <w:sdtEndPr>
          <w:rPr>
            <w:rFonts w:hint="eastAsia"/>
          </w:rPr>
        </w:sdtEndPr>
        <w:sdtContent>
          <w:r>
            <w:rPr>
              <w:rFonts w:hint="eastAsia"/>
            </w:rPr>
            <w:t>李佳鸿</w:t>
          </w:r>
        </w:sdtContent>
      </w:sdt>
      <w:r>
        <w:rPr>
          <w:rFonts w:hint="eastAsia"/>
        </w:rPr>
        <w:t xml:space="preserve"> </w:t>
      </w:r>
      <w:r>
        <w:t xml:space="preserve">         主管会计工作负责人</w:t>
      </w:r>
      <w:r>
        <w:rPr>
          <w:rFonts w:hint="eastAsia"/>
        </w:rPr>
        <w:t>：</w:t>
      </w:r>
      <w:sdt>
        <w:sdtPr>
          <w:rPr>
            <w:rFonts w:hint="eastAsia"/>
          </w:rPr>
          <w:alias w:val="主管会计工作负责人姓名"/>
          <w:tag w:val="_GBC_37d9f750e6c04845b9e34ad6da976b56"/>
          <w:id w:val="843750441"/>
          <w:placeholder>
            <w:docPart w:val="GBC22222222222222222222222222222"/>
          </w:placeholder>
          <w:dataBinding w:prefixMappings="xmlns:clcid-mr='clcid-mr'" w:xpath="/*/clcid-mr:ZhuGuanKuaiJiGongZuoFuZeRenXingMing[not(@periodRef)]" w:storeItemID="{89EBAB94-44A0-46A2-B712-30D997D04A6D}"/>
          <w:text/>
        </w:sdtPr>
        <w:sdtEndPr>
          <w:rPr>
            <w:rFonts w:hint="eastAsia"/>
          </w:rPr>
        </w:sdtEndPr>
        <w:sdtContent>
          <w:r>
            <w:rPr>
              <w:rFonts w:hint="eastAsia"/>
            </w:rPr>
            <w:t>迟军玉</w:t>
          </w:r>
        </w:sdtContent>
      </w:sdt>
      <w:r>
        <w:rPr>
          <w:rFonts w:hint="eastAsia"/>
        </w:rPr>
        <w:t xml:space="preserve"> </w:t>
      </w:r>
      <w:r>
        <w:t xml:space="preserve">        会计机构负责人</w:t>
      </w:r>
      <w:r>
        <w:rPr>
          <w:rFonts w:hint="eastAsia"/>
        </w:rPr>
        <w:t>：</w:t>
      </w:r>
      <w:sdt>
        <w:sdtPr>
          <w:rPr>
            <w:rFonts w:hint="eastAsia"/>
          </w:rPr>
          <w:alias w:val="会计机构负责人姓名"/>
          <w:tag w:val="_GBC_b8515644d08d42edafc210cf569b9b08"/>
          <w:id w:val="858399455"/>
          <w:placeholder>
            <w:docPart w:val="GBC22222222222222222222222222222"/>
          </w:placeholder>
          <w:dataBinding w:prefixMappings="xmlns:clcid-mr='clcid-mr'" w:xpath="/*/clcid-mr:KuaiJiJiGouFuZeRenXingMing[not(@periodRef)]" w:storeItemID="{89EBAB94-44A0-46A2-B712-30D997D04A6D}"/>
          <w:text/>
        </w:sdtPr>
        <w:sdtEndPr>
          <w:rPr>
            <w:rFonts w:hint="eastAsia"/>
          </w:rPr>
        </w:sdtEndPr>
        <w:sdtContent>
          <w:r>
            <w:rPr>
              <w:rFonts w:hint="eastAsia"/>
            </w:rPr>
            <w:t>樊鸿宇</w:t>
          </w:r>
        </w:sdtContent>
      </w:sdt>
    </w:p>
    <w:p w14:paraId="2C4A5ACA">
      <w:pPr>
        <w:rPr>
          <w:color w:val="FF0000"/>
        </w:rPr>
      </w:pPr>
    </w:p>
    <w:bookmarkEnd w:id="197"/>
    <w:p w14:paraId="6AC1B794">
      <w:pPr>
        <w:rPr>
          <w:color w:val="FF0000"/>
        </w:rPr>
      </w:pPr>
      <w:bookmarkStart w:id="198" w:name="_Hlk24038756"/>
      <w:bookmarkEnd w:id="198"/>
    </w:p>
    <w:p w14:paraId="51DA1ED6">
      <w:pPr>
        <w:rPr>
          <w:color w:val="FF0000"/>
        </w:rPr>
      </w:pPr>
    </w:p>
    <w:p w14:paraId="3CE60788">
      <w:pPr>
        <w:jc w:val="center"/>
        <w:outlineLvl w:val="2"/>
        <w:rPr>
          <w:b/>
          <w:bCs/>
        </w:rPr>
        <w:sectPr>
          <w:pgSz w:w="11906" w:h="16838"/>
          <w:pgMar w:top="1525" w:right="1276" w:bottom="1440" w:left="1797" w:header="856" w:footer="992" w:gutter="0"/>
          <w:cols w:space="425" w:num="1"/>
          <w:docGrid w:linePitch="312" w:charSpace="0"/>
        </w:sectPr>
      </w:pPr>
      <w:bookmarkStart w:id="199" w:name="_Hlk1156136"/>
    </w:p>
    <w:p w14:paraId="031F1ACF">
      <w:pPr>
        <w:jc w:val="center"/>
        <w:outlineLvl w:val="2"/>
        <w:rPr>
          <w:b/>
          <w:bCs/>
        </w:rPr>
      </w:pPr>
      <w:r>
        <w:rPr>
          <w:rFonts w:hint="eastAsia"/>
          <w:b/>
          <w:bCs/>
        </w:rPr>
        <w:t>合并</w:t>
      </w:r>
      <w:r>
        <w:rPr>
          <w:b/>
          <w:bCs/>
        </w:rPr>
        <w:t>现金流量表</w:t>
      </w:r>
    </w:p>
    <w:p w14:paraId="4571445A">
      <w:pPr>
        <w:jc w:val="center"/>
        <w:rPr>
          <w:b/>
          <w:bCs/>
        </w:rPr>
      </w:pPr>
      <w:r>
        <w:t>2025年</w:t>
      </w:r>
      <w:r>
        <w:rPr>
          <w:rFonts w:hint="eastAsia"/>
        </w:rPr>
        <w:t>1—12</w:t>
      </w:r>
      <w:r>
        <w:t>月</w:t>
      </w:r>
    </w:p>
    <w:p w14:paraId="49027C29">
      <w:pPr>
        <w:jc w:val="right"/>
      </w:pPr>
      <w:r>
        <w:t>单位</w:t>
      </w:r>
      <w:r>
        <w:rPr>
          <w:rFonts w:hint="eastAsia"/>
        </w:rPr>
        <w:t>：</w:t>
      </w:r>
      <w:sdt>
        <w:sdtPr>
          <w:rPr>
            <w:rFonts w:hint="eastAsia"/>
          </w:rPr>
          <w:alias w:val="单位：合并现金流量表"/>
          <w:tag w:val="_GBC_7049413ddb8f4e5eac9cb9fb4f802433"/>
          <w:id w:val="492747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r>
        <w:rPr>
          <w:rFonts w:hint="eastAsia"/>
        </w:rPr>
        <w:t>：</w:t>
      </w:r>
      <w:sdt>
        <w:sdtPr>
          <w:rPr>
            <w:rFonts w:hint="eastAsia"/>
          </w:rPr>
          <w:alias w:val="币种：合并现金流量表"/>
          <w:tag w:val="_GBC_5ab1c6e244484b228b8cdc6ee3840fd6"/>
          <w:id w:val="19175061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41"/>
        <w:gridCol w:w="1567"/>
        <w:gridCol w:w="2173"/>
        <w:gridCol w:w="2168"/>
      </w:tblGrid>
      <w:tr w14:paraId="1ED1E3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sdt>
            <w:sdtPr>
              <w:tag w:val="_PLD_5a1e687815424d54a4dd8744648aa3cb"/>
              <w:id w:val="1787930333"/>
            </w:sdtPr>
            <w:sdtContent>
              <w:p w14:paraId="531CDBAF">
                <w:pPr>
                  <w:jc w:val="center"/>
                  <w:rPr>
                    <w:rFonts w:ascii="Calibri" w:hAnsi="Calibri"/>
                    <w:b/>
                    <w:sz w:val="20"/>
                    <w:szCs w:val="20"/>
                  </w:rPr>
                </w:pPr>
                <w:r>
                  <w:rPr>
                    <w:rFonts w:hint="eastAsia" w:ascii="Calibri" w:hAnsi="Calibri"/>
                    <w:b/>
                    <w:sz w:val="20"/>
                    <w:szCs w:val="20"/>
                  </w:rPr>
                  <w:t>项目</w:t>
                </w:r>
              </w:p>
            </w:sdtContent>
          </w:sdt>
        </w:tc>
        <w:tc>
          <w:tcPr>
            <w:tcW w:w="1567" w:type="dxa"/>
            <w:tcBorders>
              <w:top w:val="outset" w:color="auto" w:sz="4" w:space="0"/>
              <w:left w:val="outset" w:color="auto" w:sz="4" w:space="0"/>
              <w:bottom w:val="outset" w:color="auto" w:sz="4" w:space="0"/>
              <w:right w:val="outset" w:color="auto" w:sz="4" w:space="0"/>
            </w:tcBorders>
            <w:vAlign w:val="center"/>
          </w:tcPr>
          <w:sdt>
            <w:sdtPr>
              <w:tag w:val="_PLD_3c902166982f4ea18b3f3d11c1fe2190"/>
              <w:id w:val="-628632531"/>
            </w:sdtPr>
            <w:sdtContent>
              <w:p w14:paraId="08A1A231">
                <w:pPr>
                  <w:jc w:val="center"/>
                  <w:rPr>
                    <w:rFonts w:ascii="Calibri" w:hAnsi="Calibri"/>
                    <w:b/>
                    <w:sz w:val="20"/>
                    <w:szCs w:val="20"/>
                  </w:rPr>
                </w:pPr>
                <w:r>
                  <w:rPr>
                    <w:rFonts w:hint="eastAsia" w:ascii="Calibri" w:hAnsi="Calibri"/>
                    <w:b/>
                    <w:sz w:val="20"/>
                    <w:szCs w:val="20"/>
                  </w:rPr>
                  <w:t>附注</w:t>
                </w:r>
              </w:p>
            </w:sdtContent>
          </w:sdt>
        </w:tc>
        <w:tc>
          <w:tcPr>
            <w:tcW w:w="2173" w:type="dxa"/>
            <w:tcBorders>
              <w:top w:val="outset" w:color="auto" w:sz="4" w:space="0"/>
              <w:left w:val="outset" w:color="auto" w:sz="4" w:space="0"/>
              <w:bottom w:val="outset" w:color="auto" w:sz="4" w:space="0"/>
              <w:right w:val="outset" w:color="auto" w:sz="4" w:space="0"/>
            </w:tcBorders>
            <w:vAlign w:val="center"/>
          </w:tcPr>
          <w:sdt>
            <w:sdtPr>
              <w:tag w:val="_PLD_29a06cc719e5467e82013eb798ebb143"/>
              <w:id w:val="890389607"/>
            </w:sdtPr>
            <w:sdtContent>
              <w:p w14:paraId="465281A7">
                <w:pPr>
                  <w:autoSpaceDE w:val="0"/>
                  <w:autoSpaceDN w:val="0"/>
                  <w:adjustRightInd w:val="0"/>
                  <w:jc w:val="center"/>
                  <w:rPr>
                    <w:rFonts w:ascii="Calibri" w:hAnsi="Calibri"/>
                    <w:b/>
                    <w:sz w:val="20"/>
                    <w:szCs w:val="20"/>
                  </w:rPr>
                </w:pPr>
                <w:r>
                  <w:rPr>
                    <w:rFonts w:hint="eastAsia" w:ascii="Calibri" w:hAnsi="Calibri"/>
                    <w:b/>
                    <w:sz w:val="20"/>
                    <w:szCs w:val="20"/>
                  </w:rPr>
                  <w:t>2025年度</w:t>
                </w:r>
              </w:p>
            </w:sdtContent>
          </w:sdt>
        </w:tc>
        <w:tc>
          <w:tcPr>
            <w:tcW w:w="2168" w:type="dxa"/>
            <w:tcBorders>
              <w:top w:val="outset" w:color="auto" w:sz="4" w:space="0"/>
              <w:left w:val="outset" w:color="auto" w:sz="4" w:space="0"/>
              <w:bottom w:val="outset" w:color="auto" w:sz="4" w:space="0"/>
              <w:right w:val="outset" w:color="auto" w:sz="4" w:space="0"/>
            </w:tcBorders>
            <w:vAlign w:val="center"/>
          </w:tcPr>
          <w:sdt>
            <w:sdtPr>
              <w:tag w:val="_PLD_0bd5effed8234e5eb21199f6669657c2"/>
              <w:id w:val="1844812225"/>
            </w:sdtPr>
            <w:sdtContent>
              <w:p w14:paraId="2F8AA472">
                <w:pPr>
                  <w:autoSpaceDE w:val="0"/>
                  <w:autoSpaceDN w:val="0"/>
                  <w:adjustRightInd w:val="0"/>
                  <w:jc w:val="center"/>
                  <w:rPr>
                    <w:rFonts w:ascii="Calibri" w:hAnsi="Calibri"/>
                    <w:b/>
                    <w:sz w:val="20"/>
                    <w:szCs w:val="20"/>
                  </w:rPr>
                </w:pPr>
                <w:r>
                  <w:rPr>
                    <w:rFonts w:hint="eastAsia" w:ascii="Calibri" w:hAnsi="Calibri"/>
                    <w:b/>
                    <w:sz w:val="20"/>
                    <w:szCs w:val="20"/>
                  </w:rPr>
                  <w:t>2024年度</w:t>
                </w:r>
              </w:p>
            </w:sdtContent>
          </w:sdt>
        </w:tc>
      </w:tr>
      <w:tr w14:paraId="0065E6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03c8258c1684fb989d96332af6834de"/>
            <w:id w:val="-459040046"/>
          </w:sdtPr>
          <w:sdtContent>
            <w:tc>
              <w:tcPr>
                <w:tcW w:w="9049" w:type="dxa"/>
                <w:gridSpan w:val="4"/>
                <w:tcBorders>
                  <w:top w:val="outset" w:color="auto" w:sz="4" w:space="0"/>
                  <w:left w:val="outset" w:color="auto" w:sz="4" w:space="0"/>
                  <w:bottom w:val="outset" w:color="auto" w:sz="4" w:space="0"/>
                  <w:right w:val="outset" w:color="auto" w:sz="4" w:space="0"/>
                </w:tcBorders>
                <w:vAlign w:val="center"/>
              </w:tcPr>
              <w:p w14:paraId="4E5DCEBD">
                <w:pPr>
                  <w:pStyle w:val="48"/>
                  <w:rPr>
                    <w:sz w:val="20"/>
                    <w:szCs w:val="20"/>
                  </w:rPr>
                </w:pPr>
                <w:r>
                  <w:rPr>
                    <w:rFonts w:hint="eastAsia"/>
                    <w:b/>
                    <w:bCs/>
                    <w:sz w:val="20"/>
                    <w:szCs w:val="20"/>
                  </w:rPr>
                  <w:t>一、经营活动产生的现金流量：</w:t>
                </w:r>
              </w:p>
            </w:tc>
          </w:sdtContent>
        </w:sdt>
      </w:tr>
      <w:tr w14:paraId="647368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7E753729">
            <w:pPr>
              <w:ind w:firstLine="200" w:firstLineChars="100"/>
              <w:rPr>
                <w:rFonts w:ascii="Calibri" w:hAnsi="Calibri"/>
                <w:color w:val="000000"/>
                <w:sz w:val="20"/>
                <w:szCs w:val="20"/>
              </w:rPr>
            </w:pPr>
            <w:r>
              <w:rPr>
                <w:rFonts w:hint="eastAsia" w:ascii="Calibri" w:hAnsi="Calibri"/>
                <w:sz w:val="20"/>
                <w:szCs w:val="20"/>
              </w:rPr>
              <w:t>销售商品、提供劳务收到的现金</w:t>
            </w:r>
          </w:p>
        </w:tc>
        <w:tc>
          <w:tcPr>
            <w:tcW w:w="1567" w:type="dxa"/>
            <w:tcBorders>
              <w:top w:val="outset" w:color="auto" w:sz="4" w:space="0"/>
              <w:left w:val="outset" w:color="auto" w:sz="4" w:space="0"/>
              <w:bottom w:val="outset" w:color="auto" w:sz="4" w:space="0"/>
              <w:right w:val="outset" w:color="auto" w:sz="4" w:space="0"/>
            </w:tcBorders>
            <w:vAlign w:val="center"/>
          </w:tcPr>
          <w:p w14:paraId="408CB012">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13C085A6">
            <w:pPr>
              <w:jc w:val="right"/>
              <w:rPr>
                <w:rFonts w:ascii="Calibri" w:hAnsi="Calibri"/>
                <w:sz w:val="20"/>
                <w:szCs w:val="20"/>
              </w:rPr>
            </w:pPr>
            <w:r>
              <w:rPr>
                <w:rFonts w:ascii="Calibri" w:hAnsi="Calibri"/>
                <w:sz w:val="20"/>
                <w:szCs w:val="20"/>
              </w:rPr>
              <w:t>2,935,550,593.26</w:t>
            </w:r>
          </w:p>
        </w:tc>
        <w:tc>
          <w:tcPr>
            <w:tcW w:w="2168" w:type="dxa"/>
            <w:tcBorders>
              <w:top w:val="outset" w:color="auto" w:sz="4" w:space="0"/>
              <w:left w:val="outset" w:color="auto" w:sz="4" w:space="0"/>
              <w:bottom w:val="outset" w:color="auto" w:sz="4" w:space="0"/>
              <w:right w:val="outset" w:color="auto" w:sz="4" w:space="0"/>
            </w:tcBorders>
            <w:vAlign w:val="center"/>
          </w:tcPr>
          <w:p w14:paraId="1F6A9FA8">
            <w:pPr>
              <w:jc w:val="right"/>
              <w:rPr>
                <w:rFonts w:ascii="Calibri" w:hAnsi="Calibri"/>
                <w:sz w:val="20"/>
                <w:szCs w:val="20"/>
              </w:rPr>
            </w:pPr>
            <w:r>
              <w:rPr>
                <w:rFonts w:ascii="Calibri" w:hAnsi="Calibri"/>
                <w:sz w:val="20"/>
                <w:szCs w:val="20"/>
              </w:rPr>
              <w:t>2,339,131,115.04</w:t>
            </w:r>
          </w:p>
        </w:tc>
      </w:tr>
      <w:tr w14:paraId="20BFE7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35C0CC0E">
            <w:pPr>
              <w:ind w:firstLine="200" w:firstLineChars="100"/>
              <w:rPr>
                <w:rFonts w:ascii="Calibri" w:hAnsi="Calibri"/>
                <w:sz w:val="20"/>
                <w:szCs w:val="20"/>
              </w:rPr>
            </w:pPr>
            <w:r>
              <w:rPr>
                <w:rFonts w:hint="eastAsia" w:ascii="Calibri" w:hAnsi="Calibri"/>
                <w:sz w:val="20"/>
                <w:szCs w:val="20"/>
              </w:rPr>
              <w:t>客户存款和同业存放款项净增加额</w:t>
            </w:r>
          </w:p>
        </w:tc>
        <w:tc>
          <w:tcPr>
            <w:tcW w:w="1567" w:type="dxa"/>
            <w:tcBorders>
              <w:top w:val="outset" w:color="auto" w:sz="4" w:space="0"/>
              <w:left w:val="outset" w:color="auto" w:sz="4" w:space="0"/>
              <w:bottom w:val="outset" w:color="auto" w:sz="4" w:space="0"/>
              <w:right w:val="outset" w:color="auto" w:sz="4" w:space="0"/>
            </w:tcBorders>
            <w:vAlign w:val="center"/>
          </w:tcPr>
          <w:p w14:paraId="3B410780">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3657024A">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43A2EE77">
            <w:pPr>
              <w:jc w:val="right"/>
              <w:rPr>
                <w:rFonts w:ascii="Calibri" w:hAnsi="Calibri"/>
                <w:sz w:val="20"/>
                <w:szCs w:val="20"/>
              </w:rPr>
            </w:pPr>
          </w:p>
        </w:tc>
      </w:tr>
      <w:tr w14:paraId="0651E9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1F78CD93">
            <w:pPr>
              <w:ind w:firstLine="200" w:firstLineChars="100"/>
              <w:rPr>
                <w:rFonts w:ascii="Calibri" w:hAnsi="Calibri"/>
                <w:sz w:val="20"/>
                <w:szCs w:val="20"/>
              </w:rPr>
            </w:pPr>
            <w:r>
              <w:rPr>
                <w:rFonts w:hint="eastAsia" w:ascii="Calibri" w:hAnsi="Calibri"/>
                <w:sz w:val="20"/>
                <w:szCs w:val="20"/>
              </w:rPr>
              <w:t>向中央银行借款净增加额</w:t>
            </w:r>
          </w:p>
        </w:tc>
        <w:tc>
          <w:tcPr>
            <w:tcW w:w="1567" w:type="dxa"/>
            <w:tcBorders>
              <w:top w:val="outset" w:color="auto" w:sz="4" w:space="0"/>
              <w:left w:val="outset" w:color="auto" w:sz="4" w:space="0"/>
              <w:bottom w:val="outset" w:color="auto" w:sz="4" w:space="0"/>
              <w:right w:val="outset" w:color="auto" w:sz="4" w:space="0"/>
            </w:tcBorders>
            <w:vAlign w:val="center"/>
          </w:tcPr>
          <w:p w14:paraId="3BE9FDDF">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50CB8D19">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7551CF3F">
            <w:pPr>
              <w:jc w:val="right"/>
              <w:rPr>
                <w:rFonts w:ascii="Calibri" w:hAnsi="Calibri"/>
                <w:sz w:val="20"/>
                <w:szCs w:val="20"/>
              </w:rPr>
            </w:pPr>
          </w:p>
        </w:tc>
      </w:tr>
      <w:tr w14:paraId="7A478C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446AE814">
            <w:pPr>
              <w:ind w:firstLine="200" w:firstLineChars="100"/>
              <w:rPr>
                <w:rFonts w:ascii="Calibri" w:hAnsi="Calibri"/>
                <w:sz w:val="20"/>
                <w:szCs w:val="20"/>
              </w:rPr>
            </w:pPr>
            <w:r>
              <w:rPr>
                <w:rFonts w:hint="eastAsia" w:ascii="Calibri" w:hAnsi="Calibri"/>
                <w:sz w:val="20"/>
                <w:szCs w:val="20"/>
              </w:rPr>
              <w:t>向其他金融机构拆入资金净增加额</w:t>
            </w:r>
          </w:p>
        </w:tc>
        <w:tc>
          <w:tcPr>
            <w:tcW w:w="1567" w:type="dxa"/>
            <w:tcBorders>
              <w:top w:val="outset" w:color="auto" w:sz="4" w:space="0"/>
              <w:left w:val="outset" w:color="auto" w:sz="4" w:space="0"/>
              <w:bottom w:val="outset" w:color="auto" w:sz="4" w:space="0"/>
              <w:right w:val="outset" w:color="auto" w:sz="4" w:space="0"/>
            </w:tcBorders>
            <w:vAlign w:val="center"/>
          </w:tcPr>
          <w:p w14:paraId="009AD743">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3607CD25">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063F1B79">
            <w:pPr>
              <w:jc w:val="right"/>
              <w:rPr>
                <w:rFonts w:ascii="Calibri" w:hAnsi="Calibri"/>
                <w:sz w:val="20"/>
                <w:szCs w:val="20"/>
              </w:rPr>
            </w:pPr>
          </w:p>
        </w:tc>
      </w:tr>
      <w:tr w14:paraId="146EC5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39DB06F1">
            <w:pPr>
              <w:ind w:firstLine="200" w:firstLineChars="100"/>
              <w:rPr>
                <w:rFonts w:ascii="Calibri" w:hAnsi="Calibri"/>
                <w:sz w:val="20"/>
                <w:szCs w:val="20"/>
              </w:rPr>
            </w:pPr>
            <w:r>
              <w:rPr>
                <w:rFonts w:hint="eastAsia" w:ascii="Calibri" w:hAnsi="Calibri"/>
                <w:sz w:val="20"/>
                <w:szCs w:val="20"/>
              </w:rPr>
              <w:t>收到原保险合同保费取得的现金</w:t>
            </w:r>
          </w:p>
        </w:tc>
        <w:tc>
          <w:tcPr>
            <w:tcW w:w="1567" w:type="dxa"/>
            <w:tcBorders>
              <w:top w:val="outset" w:color="auto" w:sz="4" w:space="0"/>
              <w:left w:val="outset" w:color="auto" w:sz="4" w:space="0"/>
              <w:bottom w:val="outset" w:color="auto" w:sz="4" w:space="0"/>
              <w:right w:val="outset" w:color="auto" w:sz="4" w:space="0"/>
            </w:tcBorders>
            <w:vAlign w:val="center"/>
          </w:tcPr>
          <w:p w14:paraId="0EF5B1DD">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369BC121">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43541563">
            <w:pPr>
              <w:jc w:val="right"/>
              <w:rPr>
                <w:rFonts w:ascii="Calibri" w:hAnsi="Calibri"/>
                <w:sz w:val="20"/>
                <w:szCs w:val="20"/>
              </w:rPr>
            </w:pPr>
          </w:p>
        </w:tc>
      </w:tr>
      <w:tr w14:paraId="2A0EAA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2157B6F1">
            <w:pPr>
              <w:ind w:firstLine="200" w:firstLineChars="100"/>
              <w:rPr>
                <w:rFonts w:ascii="Calibri" w:hAnsi="Calibri"/>
                <w:sz w:val="20"/>
                <w:szCs w:val="20"/>
              </w:rPr>
            </w:pPr>
            <w:r>
              <w:rPr>
                <w:rFonts w:hint="eastAsia" w:ascii="Calibri" w:hAnsi="Calibri"/>
                <w:sz w:val="20"/>
                <w:szCs w:val="20"/>
              </w:rPr>
              <w:t>收到再保业务现金净额</w:t>
            </w:r>
          </w:p>
        </w:tc>
        <w:tc>
          <w:tcPr>
            <w:tcW w:w="1567" w:type="dxa"/>
            <w:tcBorders>
              <w:top w:val="outset" w:color="auto" w:sz="4" w:space="0"/>
              <w:left w:val="outset" w:color="auto" w:sz="4" w:space="0"/>
              <w:bottom w:val="outset" w:color="auto" w:sz="4" w:space="0"/>
              <w:right w:val="outset" w:color="auto" w:sz="4" w:space="0"/>
            </w:tcBorders>
            <w:vAlign w:val="center"/>
          </w:tcPr>
          <w:p w14:paraId="2B26D302">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609F7217">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52153BAD">
            <w:pPr>
              <w:jc w:val="right"/>
              <w:rPr>
                <w:rFonts w:ascii="Calibri" w:hAnsi="Calibri"/>
                <w:sz w:val="20"/>
                <w:szCs w:val="20"/>
              </w:rPr>
            </w:pPr>
          </w:p>
        </w:tc>
      </w:tr>
      <w:tr w14:paraId="36727D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09BF214B">
            <w:pPr>
              <w:ind w:firstLine="200" w:firstLineChars="100"/>
              <w:rPr>
                <w:rFonts w:ascii="Calibri" w:hAnsi="Calibri"/>
                <w:sz w:val="20"/>
                <w:szCs w:val="20"/>
              </w:rPr>
            </w:pPr>
            <w:r>
              <w:rPr>
                <w:rFonts w:hint="eastAsia" w:ascii="Calibri" w:hAnsi="Calibri"/>
                <w:sz w:val="20"/>
                <w:szCs w:val="20"/>
              </w:rPr>
              <w:t>保户储金及投资款净增加额</w:t>
            </w:r>
          </w:p>
        </w:tc>
        <w:tc>
          <w:tcPr>
            <w:tcW w:w="1567" w:type="dxa"/>
            <w:tcBorders>
              <w:top w:val="outset" w:color="auto" w:sz="4" w:space="0"/>
              <w:left w:val="outset" w:color="auto" w:sz="4" w:space="0"/>
              <w:bottom w:val="outset" w:color="auto" w:sz="4" w:space="0"/>
              <w:right w:val="outset" w:color="auto" w:sz="4" w:space="0"/>
            </w:tcBorders>
            <w:vAlign w:val="center"/>
          </w:tcPr>
          <w:p w14:paraId="7E4ED76E">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21513393">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145B0978">
            <w:pPr>
              <w:jc w:val="right"/>
              <w:rPr>
                <w:rFonts w:ascii="Calibri" w:hAnsi="Calibri"/>
                <w:sz w:val="20"/>
                <w:szCs w:val="20"/>
              </w:rPr>
            </w:pPr>
          </w:p>
        </w:tc>
      </w:tr>
      <w:tr w14:paraId="26F71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65F7B947">
            <w:pPr>
              <w:ind w:firstLine="200" w:firstLineChars="100"/>
              <w:rPr>
                <w:rFonts w:ascii="Calibri" w:hAnsi="Calibri"/>
                <w:sz w:val="20"/>
                <w:szCs w:val="20"/>
              </w:rPr>
            </w:pPr>
            <w:r>
              <w:rPr>
                <w:rFonts w:hint="eastAsia" w:ascii="Calibri" w:hAnsi="Calibri"/>
                <w:sz w:val="20"/>
                <w:szCs w:val="20"/>
              </w:rPr>
              <w:t>收取利息、手续费及佣金的现金</w:t>
            </w:r>
          </w:p>
        </w:tc>
        <w:tc>
          <w:tcPr>
            <w:tcW w:w="1567" w:type="dxa"/>
            <w:tcBorders>
              <w:top w:val="outset" w:color="auto" w:sz="4" w:space="0"/>
              <w:left w:val="outset" w:color="auto" w:sz="4" w:space="0"/>
              <w:bottom w:val="outset" w:color="auto" w:sz="4" w:space="0"/>
              <w:right w:val="outset" w:color="auto" w:sz="4" w:space="0"/>
            </w:tcBorders>
            <w:vAlign w:val="center"/>
          </w:tcPr>
          <w:p w14:paraId="7387E75F">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1F42C3BF">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1CB2A836">
            <w:pPr>
              <w:jc w:val="right"/>
              <w:rPr>
                <w:rFonts w:ascii="Calibri" w:hAnsi="Calibri"/>
                <w:sz w:val="20"/>
                <w:szCs w:val="20"/>
              </w:rPr>
            </w:pPr>
          </w:p>
        </w:tc>
      </w:tr>
      <w:tr w14:paraId="0BCE97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0AB9C8BD">
            <w:pPr>
              <w:ind w:firstLine="200" w:firstLineChars="100"/>
              <w:rPr>
                <w:rFonts w:ascii="Calibri" w:hAnsi="Calibri"/>
                <w:sz w:val="20"/>
                <w:szCs w:val="20"/>
              </w:rPr>
            </w:pPr>
            <w:r>
              <w:rPr>
                <w:rFonts w:hint="eastAsia" w:ascii="Calibri" w:hAnsi="Calibri"/>
                <w:sz w:val="20"/>
                <w:szCs w:val="20"/>
              </w:rPr>
              <w:t>拆入资金净增加额</w:t>
            </w:r>
          </w:p>
        </w:tc>
        <w:tc>
          <w:tcPr>
            <w:tcW w:w="1567" w:type="dxa"/>
            <w:tcBorders>
              <w:top w:val="outset" w:color="auto" w:sz="4" w:space="0"/>
              <w:left w:val="outset" w:color="auto" w:sz="4" w:space="0"/>
              <w:bottom w:val="outset" w:color="auto" w:sz="4" w:space="0"/>
              <w:right w:val="outset" w:color="auto" w:sz="4" w:space="0"/>
            </w:tcBorders>
            <w:vAlign w:val="center"/>
          </w:tcPr>
          <w:p w14:paraId="5DFF1EAB">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36498A41">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1816DE3C">
            <w:pPr>
              <w:jc w:val="right"/>
              <w:rPr>
                <w:rFonts w:ascii="Calibri" w:hAnsi="Calibri"/>
                <w:sz w:val="20"/>
                <w:szCs w:val="20"/>
              </w:rPr>
            </w:pPr>
          </w:p>
        </w:tc>
      </w:tr>
      <w:tr w14:paraId="7D4F5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6B1F89D0">
            <w:pPr>
              <w:ind w:firstLine="200" w:firstLineChars="100"/>
              <w:rPr>
                <w:rFonts w:ascii="Calibri" w:hAnsi="Calibri"/>
                <w:sz w:val="20"/>
                <w:szCs w:val="20"/>
              </w:rPr>
            </w:pPr>
            <w:r>
              <w:rPr>
                <w:rFonts w:hint="eastAsia" w:ascii="Calibri" w:hAnsi="Calibri"/>
                <w:sz w:val="20"/>
                <w:szCs w:val="20"/>
              </w:rPr>
              <w:t>回购业务资金净增加额</w:t>
            </w:r>
          </w:p>
        </w:tc>
        <w:tc>
          <w:tcPr>
            <w:tcW w:w="1567" w:type="dxa"/>
            <w:tcBorders>
              <w:top w:val="outset" w:color="auto" w:sz="4" w:space="0"/>
              <w:left w:val="outset" w:color="auto" w:sz="4" w:space="0"/>
              <w:bottom w:val="outset" w:color="auto" w:sz="4" w:space="0"/>
              <w:right w:val="outset" w:color="auto" w:sz="4" w:space="0"/>
            </w:tcBorders>
            <w:vAlign w:val="center"/>
          </w:tcPr>
          <w:p w14:paraId="097414A5">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1BB5818B">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430150A5">
            <w:pPr>
              <w:jc w:val="right"/>
              <w:rPr>
                <w:rFonts w:ascii="Calibri" w:hAnsi="Calibri"/>
                <w:sz w:val="20"/>
                <w:szCs w:val="20"/>
              </w:rPr>
            </w:pPr>
          </w:p>
        </w:tc>
      </w:tr>
      <w:tr w14:paraId="4E0E67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1451493D">
            <w:pPr>
              <w:ind w:firstLine="200" w:firstLineChars="100"/>
              <w:rPr>
                <w:rFonts w:ascii="Calibri" w:hAnsi="Calibri"/>
                <w:sz w:val="20"/>
                <w:szCs w:val="20"/>
              </w:rPr>
            </w:pPr>
            <w:r>
              <w:rPr>
                <w:rFonts w:hint="eastAsia" w:ascii="Calibri" w:hAnsi="Calibri"/>
                <w:sz w:val="20"/>
                <w:szCs w:val="20"/>
              </w:rPr>
              <w:t>代理买卖证券收到的现金净额</w:t>
            </w:r>
          </w:p>
        </w:tc>
        <w:tc>
          <w:tcPr>
            <w:tcW w:w="1567" w:type="dxa"/>
            <w:tcBorders>
              <w:top w:val="outset" w:color="auto" w:sz="4" w:space="0"/>
              <w:left w:val="outset" w:color="auto" w:sz="4" w:space="0"/>
              <w:bottom w:val="outset" w:color="auto" w:sz="4" w:space="0"/>
              <w:right w:val="outset" w:color="auto" w:sz="4" w:space="0"/>
            </w:tcBorders>
            <w:vAlign w:val="center"/>
          </w:tcPr>
          <w:p w14:paraId="02D1E0AF">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7E878CB6">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39AF41DD">
            <w:pPr>
              <w:jc w:val="right"/>
              <w:rPr>
                <w:rFonts w:ascii="Calibri" w:hAnsi="Calibri"/>
                <w:sz w:val="20"/>
                <w:szCs w:val="20"/>
              </w:rPr>
            </w:pPr>
          </w:p>
        </w:tc>
      </w:tr>
      <w:tr w14:paraId="121CDB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09E967C1">
            <w:pPr>
              <w:ind w:firstLine="200" w:firstLineChars="100"/>
              <w:rPr>
                <w:rFonts w:ascii="Calibri" w:hAnsi="Calibri"/>
                <w:sz w:val="20"/>
                <w:szCs w:val="20"/>
              </w:rPr>
            </w:pPr>
            <w:r>
              <w:rPr>
                <w:rFonts w:hint="eastAsia" w:ascii="Calibri" w:hAnsi="Calibri"/>
                <w:sz w:val="20"/>
                <w:szCs w:val="20"/>
              </w:rPr>
              <w:t>收到的税费返还</w:t>
            </w:r>
          </w:p>
        </w:tc>
        <w:tc>
          <w:tcPr>
            <w:tcW w:w="1567" w:type="dxa"/>
            <w:tcBorders>
              <w:top w:val="outset" w:color="auto" w:sz="4" w:space="0"/>
              <w:left w:val="outset" w:color="auto" w:sz="4" w:space="0"/>
              <w:bottom w:val="outset" w:color="auto" w:sz="4" w:space="0"/>
              <w:right w:val="outset" w:color="auto" w:sz="4" w:space="0"/>
            </w:tcBorders>
            <w:vAlign w:val="center"/>
          </w:tcPr>
          <w:p w14:paraId="1A424120">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270DA78A">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56FC2009">
            <w:pPr>
              <w:jc w:val="right"/>
              <w:rPr>
                <w:rFonts w:ascii="Calibri" w:hAnsi="Calibri"/>
                <w:sz w:val="20"/>
                <w:szCs w:val="20"/>
              </w:rPr>
            </w:pPr>
          </w:p>
        </w:tc>
      </w:tr>
      <w:tr w14:paraId="219BFF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3DA934AD">
            <w:pPr>
              <w:ind w:firstLine="200" w:firstLineChars="100"/>
              <w:rPr>
                <w:rFonts w:ascii="Calibri" w:hAnsi="Calibri"/>
                <w:sz w:val="20"/>
                <w:szCs w:val="20"/>
              </w:rPr>
            </w:pPr>
            <w:r>
              <w:rPr>
                <w:rFonts w:hint="eastAsia" w:ascii="Calibri" w:hAnsi="Calibri"/>
                <w:sz w:val="20"/>
                <w:szCs w:val="20"/>
              </w:rPr>
              <w:t>收到其他与经营活动有关的现金</w:t>
            </w:r>
          </w:p>
        </w:tc>
        <w:tc>
          <w:tcPr>
            <w:tcW w:w="1567" w:type="dxa"/>
            <w:tcBorders>
              <w:top w:val="outset" w:color="auto" w:sz="4" w:space="0"/>
              <w:left w:val="outset" w:color="auto" w:sz="4" w:space="0"/>
              <w:bottom w:val="outset" w:color="auto" w:sz="4" w:space="0"/>
              <w:right w:val="outset" w:color="auto" w:sz="4" w:space="0"/>
            </w:tcBorders>
            <w:vAlign w:val="center"/>
          </w:tcPr>
          <w:p w14:paraId="65B25C92">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4A3DFB86">
            <w:pPr>
              <w:jc w:val="right"/>
              <w:rPr>
                <w:rFonts w:ascii="Calibri" w:hAnsi="Calibri"/>
                <w:sz w:val="20"/>
                <w:szCs w:val="20"/>
              </w:rPr>
            </w:pPr>
            <w:r>
              <w:rPr>
                <w:rFonts w:ascii="Calibri" w:hAnsi="Calibri"/>
                <w:sz w:val="20"/>
                <w:szCs w:val="20"/>
              </w:rPr>
              <w:t>75,496,264.63</w:t>
            </w:r>
          </w:p>
        </w:tc>
        <w:tc>
          <w:tcPr>
            <w:tcW w:w="2168" w:type="dxa"/>
            <w:tcBorders>
              <w:top w:val="outset" w:color="auto" w:sz="4" w:space="0"/>
              <w:left w:val="outset" w:color="auto" w:sz="4" w:space="0"/>
              <w:bottom w:val="outset" w:color="auto" w:sz="4" w:space="0"/>
              <w:right w:val="outset" w:color="auto" w:sz="4" w:space="0"/>
            </w:tcBorders>
            <w:vAlign w:val="center"/>
          </w:tcPr>
          <w:p w14:paraId="6493A3C6">
            <w:pPr>
              <w:jc w:val="right"/>
              <w:rPr>
                <w:rFonts w:ascii="Calibri" w:hAnsi="Calibri"/>
                <w:sz w:val="20"/>
                <w:szCs w:val="20"/>
              </w:rPr>
            </w:pPr>
            <w:r>
              <w:rPr>
                <w:rFonts w:ascii="Calibri" w:hAnsi="Calibri"/>
                <w:sz w:val="20"/>
                <w:szCs w:val="20"/>
              </w:rPr>
              <w:t>39,088,926.55</w:t>
            </w:r>
          </w:p>
        </w:tc>
      </w:tr>
      <w:tr w14:paraId="303357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7E6F436F">
            <w:pPr>
              <w:ind w:firstLine="400" w:firstLineChars="200"/>
              <w:rPr>
                <w:rFonts w:ascii="Calibri" w:hAnsi="Calibri"/>
                <w:color w:val="000000"/>
                <w:sz w:val="20"/>
                <w:szCs w:val="20"/>
              </w:rPr>
            </w:pPr>
            <w:r>
              <w:rPr>
                <w:rFonts w:hint="eastAsia" w:ascii="Calibri" w:hAnsi="Calibri"/>
                <w:sz w:val="20"/>
                <w:szCs w:val="20"/>
              </w:rPr>
              <w:t>经营活动现金流入小计</w:t>
            </w:r>
          </w:p>
        </w:tc>
        <w:tc>
          <w:tcPr>
            <w:tcW w:w="1567" w:type="dxa"/>
            <w:tcBorders>
              <w:top w:val="outset" w:color="auto" w:sz="4" w:space="0"/>
              <w:left w:val="outset" w:color="auto" w:sz="4" w:space="0"/>
              <w:bottom w:val="outset" w:color="auto" w:sz="4" w:space="0"/>
              <w:right w:val="outset" w:color="auto" w:sz="4" w:space="0"/>
            </w:tcBorders>
            <w:vAlign w:val="center"/>
          </w:tcPr>
          <w:p w14:paraId="4ACFFAA6">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680E1473">
            <w:pPr>
              <w:jc w:val="right"/>
              <w:rPr>
                <w:rFonts w:ascii="Calibri" w:hAnsi="Calibri"/>
                <w:sz w:val="20"/>
                <w:szCs w:val="20"/>
              </w:rPr>
            </w:pPr>
            <w:r>
              <w:rPr>
                <w:rFonts w:ascii="Calibri" w:hAnsi="Calibri"/>
                <w:sz w:val="20"/>
                <w:szCs w:val="20"/>
              </w:rPr>
              <w:t>3,011,046,857.89</w:t>
            </w:r>
          </w:p>
        </w:tc>
        <w:tc>
          <w:tcPr>
            <w:tcW w:w="2168" w:type="dxa"/>
            <w:tcBorders>
              <w:top w:val="outset" w:color="auto" w:sz="4" w:space="0"/>
              <w:left w:val="outset" w:color="auto" w:sz="4" w:space="0"/>
              <w:bottom w:val="outset" w:color="auto" w:sz="4" w:space="0"/>
              <w:right w:val="outset" w:color="auto" w:sz="4" w:space="0"/>
            </w:tcBorders>
            <w:vAlign w:val="center"/>
          </w:tcPr>
          <w:p w14:paraId="12D596CE">
            <w:pPr>
              <w:jc w:val="right"/>
              <w:rPr>
                <w:rFonts w:ascii="Calibri" w:hAnsi="Calibri"/>
                <w:sz w:val="20"/>
                <w:szCs w:val="20"/>
              </w:rPr>
            </w:pPr>
            <w:r>
              <w:rPr>
                <w:rFonts w:ascii="Calibri" w:hAnsi="Calibri"/>
                <w:sz w:val="20"/>
                <w:szCs w:val="20"/>
              </w:rPr>
              <w:t>2,378,220,041.59</w:t>
            </w:r>
          </w:p>
        </w:tc>
      </w:tr>
      <w:tr w14:paraId="18FE8D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10A8F7B8">
            <w:pPr>
              <w:ind w:firstLine="200" w:firstLineChars="100"/>
              <w:rPr>
                <w:rFonts w:ascii="Calibri" w:hAnsi="Calibri"/>
                <w:sz w:val="20"/>
                <w:szCs w:val="20"/>
              </w:rPr>
            </w:pPr>
            <w:r>
              <w:rPr>
                <w:rFonts w:hint="eastAsia" w:ascii="Calibri" w:hAnsi="Calibri"/>
                <w:sz w:val="20"/>
                <w:szCs w:val="20"/>
              </w:rPr>
              <w:t>购买商品、接受劳务支付的现金</w:t>
            </w:r>
          </w:p>
        </w:tc>
        <w:tc>
          <w:tcPr>
            <w:tcW w:w="1567" w:type="dxa"/>
            <w:tcBorders>
              <w:top w:val="outset" w:color="auto" w:sz="4" w:space="0"/>
              <w:left w:val="outset" w:color="auto" w:sz="4" w:space="0"/>
              <w:bottom w:val="outset" w:color="auto" w:sz="4" w:space="0"/>
              <w:right w:val="outset" w:color="auto" w:sz="4" w:space="0"/>
            </w:tcBorders>
            <w:vAlign w:val="center"/>
          </w:tcPr>
          <w:p w14:paraId="0D3DD1AF">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0DB01F97">
            <w:pPr>
              <w:jc w:val="right"/>
              <w:rPr>
                <w:rFonts w:ascii="Calibri" w:hAnsi="Calibri"/>
                <w:sz w:val="20"/>
                <w:szCs w:val="20"/>
              </w:rPr>
            </w:pPr>
            <w:r>
              <w:rPr>
                <w:rFonts w:ascii="Calibri" w:hAnsi="Calibri"/>
                <w:sz w:val="20"/>
                <w:szCs w:val="20"/>
              </w:rPr>
              <w:t>440,416,646.93</w:t>
            </w:r>
          </w:p>
        </w:tc>
        <w:tc>
          <w:tcPr>
            <w:tcW w:w="2168" w:type="dxa"/>
            <w:tcBorders>
              <w:top w:val="outset" w:color="auto" w:sz="4" w:space="0"/>
              <w:left w:val="outset" w:color="auto" w:sz="4" w:space="0"/>
              <w:bottom w:val="outset" w:color="auto" w:sz="4" w:space="0"/>
              <w:right w:val="outset" w:color="auto" w:sz="4" w:space="0"/>
            </w:tcBorders>
            <w:vAlign w:val="center"/>
          </w:tcPr>
          <w:p w14:paraId="545EDAEB">
            <w:pPr>
              <w:jc w:val="right"/>
              <w:rPr>
                <w:rFonts w:ascii="Calibri" w:hAnsi="Calibri"/>
                <w:sz w:val="20"/>
                <w:szCs w:val="20"/>
              </w:rPr>
            </w:pPr>
            <w:r>
              <w:rPr>
                <w:rFonts w:ascii="Calibri" w:hAnsi="Calibri"/>
                <w:sz w:val="20"/>
                <w:szCs w:val="20"/>
              </w:rPr>
              <w:t>523,057,173.41</w:t>
            </w:r>
          </w:p>
        </w:tc>
      </w:tr>
      <w:tr w14:paraId="4C493B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2980B84A">
            <w:pPr>
              <w:ind w:firstLine="200" w:firstLineChars="100"/>
              <w:rPr>
                <w:rFonts w:ascii="Calibri" w:hAnsi="Calibri"/>
                <w:sz w:val="20"/>
                <w:szCs w:val="20"/>
              </w:rPr>
            </w:pPr>
            <w:r>
              <w:rPr>
                <w:rFonts w:hint="eastAsia" w:ascii="Calibri" w:hAnsi="Calibri"/>
                <w:sz w:val="20"/>
                <w:szCs w:val="20"/>
              </w:rPr>
              <w:t>客户贷款及垫款净增加额</w:t>
            </w:r>
          </w:p>
        </w:tc>
        <w:tc>
          <w:tcPr>
            <w:tcW w:w="1567" w:type="dxa"/>
            <w:tcBorders>
              <w:top w:val="outset" w:color="auto" w:sz="4" w:space="0"/>
              <w:left w:val="outset" w:color="auto" w:sz="4" w:space="0"/>
              <w:bottom w:val="outset" w:color="auto" w:sz="4" w:space="0"/>
              <w:right w:val="outset" w:color="auto" w:sz="4" w:space="0"/>
            </w:tcBorders>
            <w:vAlign w:val="center"/>
          </w:tcPr>
          <w:p w14:paraId="47DADFA2">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1BD8EB6E">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7167F2B4">
            <w:pPr>
              <w:jc w:val="right"/>
              <w:rPr>
                <w:rFonts w:ascii="Calibri" w:hAnsi="Calibri"/>
                <w:sz w:val="20"/>
                <w:szCs w:val="20"/>
              </w:rPr>
            </w:pPr>
          </w:p>
        </w:tc>
      </w:tr>
      <w:tr w14:paraId="214D62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2D046107">
            <w:pPr>
              <w:ind w:firstLine="200" w:firstLineChars="100"/>
              <w:rPr>
                <w:rFonts w:ascii="Calibri" w:hAnsi="Calibri"/>
                <w:sz w:val="20"/>
                <w:szCs w:val="20"/>
              </w:rPr>
            </w:pPr>
            <w:r>
              <w:rPr>
                <w:rFonts w:hint="eastAsia" w:ascii="Calibri" w:hAnsi="Calibri"/>
                <w:sz w:val="20"/>
                <w:szCs w:val="20"/>
              </w:rPr>
              <w:t>存放中央银行和同业款项净增加额</w:t>
            </w:r>
          </w:p>
        </w:tc>
        <w:tc>
          <w:tcPr>
            <w:tcW w:w="1567" w:type="dxa"/>
            <w:tcBorders>
              <w:top w:val="outset" w:color="auto" w:sz="4" w:space="0"/>
              <w:left w:val="outset" w:color="auto" w:sz="4" w:space="0"/>
              <w:bottom w:val="outset" w:color="auto" w:sz="4" w:space="0"/>
              <w:right w:val="outset" w:color="auto" w:sz="4" w:space="0"/>
            </w:tcBorders>
            <w:vAlign w:val="center"/>
          </w:tcPr>
          <w:p w14:paraId="5FA414E4">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1C6316DD">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522E7A2A">
            <w:pPr>
              <w:jc w:val="right"/>
              <w:rPr>
                <w:rFonts w:ascii="Calibri" w:hAnsi="Calibri"/>
                <w:sz w:val="20"/>
                <w:szCs w:val="20"/>
              </w:rPr>
            </w:pPr>
          </w:p>
        </w:tc>
      </w:tr>
      <w:tr w14:paraId="0403D4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3E87E35E">
            <w:pPr>
              <w:ind w:firstLine="200" w:firstLineChars="100"/>
              <w:rPr>
                <w:rFonts w:ascii="Calibri" w:hAnsi="Calibri"/>
                <w:sz w:val="20"/>
                <w:szCs w:val="20"/>
              </w:rPr>
            </w:pPr>
            <w:r>
              <w:rPr>
                <w:rFonts w:hint="eastAsia" w:ascii="Calibri" w:hAnsi="Calibri"/>
                <w:sz w:val="20"/>
                <w:szCs w:val="20"/>
              </w:rPr>
              <w:t>支付原保险合同赔付款项的现金</w:t>
            </w:r>
          </w:p>
        </w:tc>
        <w:tc>
          <w:tcPr>
            <w:tcW w:w="1567" w:type="dxa"/>
            <w:tcBorders>
              <w:top w:val="outset" w:color="auto" w:sz="4" w:space="0"/>
              <w:left w:val="outset" w:color="auto" w:sz="4" w:space="0"/>
              <w:bottom w:val="outset" w:color="auto" w:sz="4" w:space="0"/>
              <w:right w:val="outset" w:color="auto" w:sz="4" w:space="0"/>
            </w:tcBorders>
            <w:vAlign w:val="center"/>
          </w:tcPr>
          <w:p w14:paraId="0AD6C810">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42F78B18">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7D3C2953">
            <w:pPr>
              <w:jc w:val="right"/>
              <w:rPr>
                <w:rFonts w:ascii="Calibri" w:hAnsi="Calibri"/>
                <w:sz w:val="20"/>
                <w:szCs w:val="20"/>
              </w:rPr>
            </w:pPr>
          </w:p>
        </w:tc>
      </w:tr>
      <w:tr w14:paraId="575009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1A656143">
            <w:pPr>
              <w:ind w:firstLine="200" w:firstLineChars="100"/>
              <w:rPr>
                <w:rFonts w:ascii="Calibri" w:hAnsi="Calibri"/>
                <w:sz w:val="20"/>
                <w:szCs w:val="20"/>
              </w:rPr>
            </w:pPr>
            <w:r>
              <w:rPr>
                <w:rFonts w:hint="eastAsia" w:ascii="Calibri" w:hAnsi="Calibri"/>
                <w:sz w:val="20"/>
                <w:szCs w:val="20"/>
              </w:rPr>
              <w:t>拆出资金净增加额</w:t>
            </w:r>
          </w:p>
        </w:tc>
        <w:tc>
          <w:tcPr>
            <w:tcW w:w="1567" w:type="dxa"/>
            <w:tcBorders>
              <w:top w:val="outset" w:color="auto" w:sz="4" w:space="0"/>
              <w:left w:val="outset" w:color="auto" w:sz="4" w:space="0"/>
              <w:bottom w:val="outset" w:color="auto" w:sz="4" w:space="0"/>
              <w:right w:val="outset" w:color="auto" w:sz="4" w:space="0"/>
            </w:tcBorders>
            <w:vAlign w:val="center"/>
          </w:tcPr>
          <w:p w14:paraId="4D2FA57E">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732D9623">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67350050">
            <w:pPr>
              <w:jc w:val="right"/>
              <w:rPr>
                <w:rFonts w:ascii="Calibri" w:hAnsi="Calibri"/>
                <w:sz w:val="20"/>
                <w:szCs w:val="20"/>
              </w:rPr>
            </w:pPr>
          </w:p>
        </w:tc>
      </w:tr>
      <w:tr w14:paraId="42F8AA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4C96F35B">
            <w:pPr>
              <w:ind w:firstLine="200" w:firstLineChars="100"/>
              <w:rPr>
                <w:rFonts w:ascii="Calibri" w:hAnsi="Calibri"/>
                <w:sz w:val="20"/>
                <w:szCs w:val="20"/>
              </w:rPr>
            </w:pPr>
            <w:r>
              <w:rPr>
                <w:rFonts w:hint="eastAsia" w:ascii="Calibri" w:hAnsi="Calibri"/>
                <w:sz w:val="20"/>
                <w:szCs w:val="20"/>
              </w:rPr>
              <w:t>支付利息、手续费及佣金的现金</w:t>
            </w:r>
          </w:p>
        </w:tc>
        <w:tc>
          <w:tcPr>
            <w:tcW w:w="1567" w:type="dxa"/>
            <w:tcBorders>
              <w:top w:val="outset" w:color="auto" w:sz="4" w:space="0"/>
              <w:left w:val="outset" w:color="auto" w:sz="4" w:space="0"/>
              <w:bottom w:val="outset" w:color="auto" w:sz="4" w:space="0"/>
              <w:right w:val="outset" w:color="auto" w:sz="4" w:space="0"/>
            </w:tcBorders>
            <w:vAlign w:val="center"/>
          </w:tcPr>
          <w:p w14:paraId="0F204B73">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66D93B24">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3A5FA839">
            <w:pPr>
              <w:jc w:val="right"/>
              <w:rPr>
                <w:rFonts w:ascii="Calibri" w:hAnsi="Calibri"/>
                <w:sz w:val="20"/>
                <w:szCs w:val="20"/>
              </w:rPr>
            </w:pPr>
          </w:p>
        </w:tc>
      </w:tr>
      <w:tr w14:paraId="07084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5F430B66">
            <w:pPr>
              <w:ind w:firstLine="200" w:firstLineChars="100"/>
              <w:rPr>
                <w:rFonts w:ascii="Calibri" w:hAnsi="Calibri"/>
                <w:sz w:val="20"/>
                <w:szCs w:val="20"/>
              </w:rPr>
            </w:pPr>
            <w:r>
              <w:rPr>
                <w:rFonts w:hint="eastAsia" w:ascii="Calibri" w:hAnsi="Calibri"/>
                <w:sz w:val="20"/>
                <w:szCs w:val="20"/>
              </w:rPr>
              <w:t>支付保单红利的现金</w:t>
            </w:r>
          </w:p>
        </w:tc>
        <w:tc>
          <w:tcPr>
            <w:tcW w:w="1567" w:type="dxa"/>
            <w:tcBorders>
              <w:top w:val="outset" w:color="auto" w:sz="4" w:space="0"/>
              <w:left w:val="outset" w:color="auto" w:sz="4" w:space="0"/>
              <w:bottom w:val="outset" w:color="auto" w:sz="4" w:space="0"/>
              <w:right w:val="outset" w:color="auto" w:sz="4" w:space="0"/>
            </w:tcBorders>
            <w:vAlign w:val="center"/>
          </w:tcPr>
          <w:p w14:paraId="10FA8D71">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4C730691">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6FDD4BF5">
            <w:pPr>
              <w:jc w:val="right"/>
              <w:rPr>
                <w:rFonts w:ascii="Calibri" w:hAnsi="Calibri"/>
                <w:sz w:val="20"/>
                <w:szCs w:val="20"/>
              </w:rPr>
            </w:pPr>
          </w:p>
        </w:tc>
      </w:tr>
      <w:tr w14:paraId="570AAE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18DC59D5">
            <w:pPr>
              <w:ind w:firstLine="200" w:firstLineChars="100"/>
              <w:rPr>
                <w:rFonts w:ascii="Calibri" w:hAnsi="Calibri"/>
                <w:sz w:val="20"/>
                <w:szCs w:val="20"/>
              </w:rPr>
            </w:pPr>
            <w:r>
              <w:rPr>
                <w:rFonts w:hint="eastAsia" w:ascii="Calibri" w:hAnsi="Calibri"/>
                <w:sz w:val="20"/>
                <w:szCs w:val="20"/>
              </w:rPr>
              <w:t>支付给职工及为职工支付的现金</w:t>
            </w:r>
          </w:p>
        </w:tc>
        <w:tc>
          <w:tcPr>
            <w:tcW w:w="1567" w:type="dxa"/>
            <w:tcBorders>
              <w:top w:val="outset" w:color="auto" w:sz="4" w:space="0"/>
              <w:left w:val="outset" w:color="auto" w:sz="4" w:space="0"/>
              <w:bottom w:val="outset" w:color="auto" w:sz="4" w:space="0"/>
              <w:right w:val="outset" w:color="auto" w:sz="4" w:space="0"/>
            </w:tcBorders>
            <w:vAlign w:val="center"/>
          </w:tcPr>
          <w:p w14:paraId="2910526A">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77A697D5">
            <w:pPr>
              <w:jc w:val="right"/>
              <w:rPr>
                <w:rFonts w:ascii="Calibri" w:hAnsi="Calibri"/>
                <w:sz w:val="20"/>
                <w:szCs w:val="20"/>
              </w:rPr>
            </w:pPr>
            <w:r>
              <w:rPr>
                <w:rFonts w:ascii="Calibri" w:hAnsi="Calibri"/>
                <w:sz w:val="20"/>
                <w:szCs w:val="20"/>
              </w:rPr>
              <w:t>602,483,798.66</w:t>
            </w:r>
          </w:p>
        </w:tc>
        <w:tc>
          <w:tcPr>
            <w:tcW w:w="2168" w:type="dxa"/>
            <w:tcBorders>
              <w:top w:val="outset" w:color="auto" w:sz="4" w:space="0"/>
              <w:left w:val="outset" w:color="auto" w:sz="4" w:space="0"/>
              <w:bottom w:val="outset" w:color="auto" w:sz="4" w:space="0"/>
              <w:right w:val="outset" w:color="auto" w:sz="4" w:space="0"/>
            </w:tcBorders>
            <w:vAlign w:val="center"/>
          </w:tcPr>
          <w:p w14:paraId="3A9804D4">
            <w:pPr>
              <w:jc w:val="right"/>
              <w:rPr>
                <w:rFonts w:ascii="Calibri" w:hAnsi="Calibri"/>
                <w:sz w:val="20"/>
                <w:szCs w:val="20"/>
              </w:rPr>
            </w:pPr>
            <w:r>
              <w:rPr>
                <w:rFonts w:ascii="Calibri" w:hAnsi="Calibri"/>
                <w:sz w:val="20"/>
                <w:szCs w:val="20"/>
              </w:rPr>
              <w:t>453,806,140.97</w:t>
            </w:r>
          </w:p>
        </w:tc>
      </w:tr>
      <w:tr w14:paraId="54E401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1134FD91">
            <w:pPr>
              <w:ind w:firstLine="200" w:firstLineChars="100"/>
              <w:rPr>
                <w:rFonts w:ascii="Calibri" w:hAnsi="Calibri"/>
                <w:sz w:val="20"/>
                <w:szCs w:val="20"/>
              </w:rPr>
            </w:pPr>
            <w:r>
              <w:rPr>
                <w:rFonts w:hint="eastAsia" w:ascii="Calibri" w:hAnsi="Calibri"/>
                <w:sz w:val="20"/>
                <w:szCs w:val="20"/>
              </w:rPr>
              <w:t>支付的各项税费</w:t>
            </w:r>
          </w:p>
        </w:tc>
        <w:tc>
          <w:tcPr>
            <w:tcW w:w="1567" w:type="dxa"/>
            <w:tcBorders>
              <w:top w:val="outset" w:color="auto" w:sz="4" w:space="0"/>
              <w:left w:val="outset" w:color="auto" w:sz="4" w:space="0"/>
              <w:bottom w:val="outset" w:color="auto" w:sz="4" w:space="0"/>
              <w:right w:val="outset" w:color="auto" w:sz="4" w:space="0"/>
            </w:tcBorders>
            <w:vAlign w:val="center"/>
          </w:tcPr>
          <w:p w14:paraId="0C71E959">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210DBE12">
            <w:pPr>
              <w:jc w:val="right"/>
              <w:rPr>
                <w:rFonts w:ascii="Calibri" w:hAnsi="Calibri"/>
                <w:sz w:val="20"/>
                <w:szCs w:val="20"/>
              </w:rPr>
            </w:pPr>
            <w:r>
              <w:rPr>
                <w:rFonts w:ascii="Calibri" w:hAnsi="Calibri"/>
                <w:sz w:val="20"/>
                <w:szCs w:val="20"/>
              </w:rPr>
              <w:t>414,027,979.65</w:t>
            </w:r>
          </w:p>
        </w:tc>
        <w:tc>
          <w:tcPr>
            <w:tcW w:w="2168" w:type="dxa"/>
            <w:tcBorders>
              <w:top w:val="outset" w:color="auto" w:sz="4" w:space="0"/>
              <w:left w:val="outset" w:color="auto" w:sz="4" w:space="0"/>
              <w:bottom w:val="outset" w:color="auto" w:sz="4" w:space="0"/>
              <w:right w:val="outset" w:color="auto" w:sz="4" w:space="0"/>
            </w:tcBorders>
            <w:vAlign w:val="center"/>
          </w:tcPr>
          <w:p w14:paraId="4C4E2163">
            <w:pPr>
              <w:jc w:val="right"/>
              <w:rPr>
                <w:rFonts w:ascii="Calibri" w:hAnsi="Calibri"/>
                <w:sz w:val="20"/>
                <w:szCs w:val="20"/>
              </w:rPr>
            </w:pPr>
            <w:r>
              <w:rPr>
                <w:rFonts w:ascii="Calibri" w:hAnsi="Calibri"/>
                <w:sz w:val="20"/>
                <w:szCs w:val="20"/>
              </w:rPr>
              <w:t>166,026,813.90</w:t>
            </w:r>
          </w:p>
        </w:tc>
      </w:tr>
      <w:tr w14:paraId="2E7371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52AB6A0E">
            <w:pPr>
              <w:ind w:firstLine="200" w:firstLineChars="100"/>
              <w:rPr>
                <w:rFonts w:ascii="Calibri" w:hAnsi="Calibri"/>
                <w:sz w:val="20"/>
                <w:szCs w:val="20"/>
              </w:rPr>
            </w:pPr>
            <w:r>
              <w:rPr>
                <w:rFonts w:hint="eastAsia" w:ascii="Calibri" w:hAnsi="Calibri"/>
                <w:sz w:val="20"/>
                <w:szCs w:val="20"/>
              </w:rPr>
              <w:t>支付其他与经营活动有关的现金</w:t>
            </w:r>
          </w:p>
        </w:tc>
        <w:tc>
          <w:tcPr>
            <w:tcW w:w="1567" w:type="dxa"/>
            <w:tcBorders>
              <w:top w:val="outset" w:color="auto" w:sz="4" w:space="0"/>
              <w:left w:val="outset" w:color="auto" w:sz="4" w:space="0"/>
              <w:bottom w:val="outset" w:color="auto" w:sz="4" w:space="0"/>
              <w:right w:val="outset" w:color="auto" w:sz="4" w:space="0"/>
            </w:tcBorders>
            <w:vAlign w:val="center"/>
          </w:tcPr>
          <w:p w14:paraId="0EFF652B">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6B335A29">
            <w:pPr>
              <w:jc w:val="right"/>
              <w:rPr>
                <w:rFonts w:ascii="Calibri" w:hAnsi="Calibri"/>
                <w:sz w:val="20"/>
                <w:szCs w:val="20"/>
              </w:rPr>
            </w:pPr>
            <w:r>
              <w:rPr>
                <w:rFonts w:ascii="Calibri" w:hAnsi="Calibri"/>
                <w:sz w:val="20"/>
                <w:szCs w:val="20"/>
              </w:rPr>
              <w:t>864,893,182.82</w:t>
            </w:r>
          </w:p>
        </w:tc>
        <w:tc>
          <w:tcPr>
            <w:tcW w:w="2168" w:type="dxa"/>
            <w:tcBorders>
              <w:top w:val="outset" w:color="auto" w:sz="4" w:space="0"/>
              <w:left w:val="outset" w:color="auto" w:sz="4" w:space="0"/>
              <w:bottom w:val="outset" w:color="auto" w:sz="4" w:space="0"/>
              <w:right w:val="outset" w:color="auto" w:sz="4" w:space="0"/>
            </w:tcBorders>
            <w:vAlign w:val="center"/>
          </w:tcPr>
          <w:p w14:paraId="1B1D7EDF">
            <w:pPr>
              <w:jc w:val="right"/>
              <w:rPr>
                <w:rFonts w:ascii="Calibri" w:hAnsi="Calibri"/>
                <w:sz w:val="20"/>
                <w:szCs w:val="20"/>
              </w:rPr>
            </w:pPr>
            <w:r>
              <w:rPr>
                <w:rFonts w:ascii="Calibri" w:hAnsi="Calibri"/>
                <w:sz w:val="20"/>
                <w:szCs w:val="20"/>
              </w:rPr>
              <w:t>773,001,053.36</w:t>
            </w:r>
          </w:p>
        </w:tc>
      </w:tr>
      <w:tr w14:paraId="1F469B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1639362E">
            <w:pPr>
              <w:ind w:firstLine="400" w:firstLineChars="200"/>
              <w:rPr>
                <w:rFonts w:ascii="Calibri" w:hAnsi="Calibri"/>
                <w:color w:val="000000"/>
                <w:sz w:val="20"/>
                <w:szCs w:val="20"/>
              </w:rPr>
            </w:pPr>
            <w:r>
              <w:rPr>
                <w:rFonts w:hint="eastAsia" w:ascii="Calibri" w:hAnsi="Calibri"/>
                <w:sz w:val="20"/>
                <w:szCs w:val="20"/>
              </w:rPr>
              <w:t>经营活动现金流出小计</w:t>
            </w:r>
          </w:p>
        </w:tc>
        <w:tc>
          <w:tcPr>
            <w:tcW w:w="1567" w:type="dxa"/>
            <w:tcBorders>
              <w:top w:val="outset" w:color="auto" w:sz="4" w:space="0"/>
              <w:left w:val="outset" w:color="auto" w:sz="4" w:space="0"/>
              <w:bottom w:val="outset" w:color="auto" w:sz="4" w:space="0"/>
              <w:right w:val="outset" w:color="auto" w:sz="4" w:space="0"/>
            </w:tcBorders>
            <w:vAlign w:val="center"/>
          </w:tcPr>
          <w:p w14:paraId="68529E49">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0BA9B21F">
            <w:pPr>
              <w:jc w:val="right"/>
              <w:rPr>
                <w:rFonts w:ascii="Calibri" w:hAnsi="Calibri"/>
                <w:sz w:val="20"/>
                <w:szCs w:val="20"/>
              </w:rPr>
            </w:pPr>
            <w:r>
              <w:rPr>
                <w:rFonts w:ascii="Calibri" w:hAnsi="Calibri"/>
                <w:sz w:val="20"/>
                <w:szCs w:val="20"/>
              </w:rPr>
              <w:t>2,321,821,608.06</w:t>
            </w:r>
          </w:p>
        </w:tc>
        <w:tc>
          <w:tcPr>
            <w:tcW w:w="2168" w:type="dxa"/>
            <w:tcBorders>
              <w:top w:val="outset" w:color="auto" w:sz="4" w:space="0"/>
              <w:left w:val="outset" w:color="auto" w:sz="4" w:space="0"/>
              <w:bottom w:val="outset" w:color="auto" w:sz="4" w:space="0"/>
              <w:right w:val="outset" w:color="auto" w:sz="4" w:space="0"/>
            </w:tcBorders>
            <w:vAlign w:val="center"/>
          </w:tcPr>
          <w:p w14:paraId="71737177">
            <w:pPr>
              <w:jc w:val="right"/>
              <w:rPr>
                <w:rFonts w:ascii="Calibri" w:hAnsi="Calibri"/>
                <w:sz w:val="20"/>
                <w:szCs w:val="20"/>
              </w:rPr>
            </w:pPr>
            <w:r>
              <w:rPr>
                <w:rFonts w:ascii="Calibri" w:hAnsi="Calibri"/>
                <w:sz w:val="20"/>
                <w:szCs w:val="20"/>
              </w:rPr>
              <w:t>1,915,891,181.64</w:t>
            </w:r>
          </w:p>
        </w:tc>
      </w:tr>
      <w:tr w14:paraId="5FA058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4DB08C03">
            <w:pPr>
              <w:ind w:firstLine="600" w:firstLineChars="300"/>
              <w:rPr>
                <w:rFonts w:ascii="Calibri" w:hAnsi="Calibri"/>
                <w:color w:val="000000"/>
                <w:sz w:val="20"/>
                <w:szCs w:val="20"/>
              </w:rPr>
            </w:pPr>
            <w:r>
              <w:rPr>
                <w:rFonts w:hint="eastAsia" w:ascii="Calibri" w:hAnsi="Calibri"/>
                <w:sz w:val="20"/>
                <w:szCs w:val="20"/>
              </w:rPr>
              <w:t>经营活动产生的现金流量净额</w:t>
            </w:r>
          </w:p>
        </w:tc>
        <w:tc>
          <w:tcPr>
            <w:tcW w:w="1567" w:type="dxa"/>
            <w:tcBorders>
              <w:top w:val="outset" w:color="auto" w:sz="4" w:space="0"/>
              <w:left w:val="outset" w:color="auto" w:sz="4" w:space="0"/>
              <w:bottom w:val="outset" w:color="auto" w:sz="4" w:space="0"/>
              <w:right w:val="outset" w:color="auto" w:sz="4" w:space="0"/>
            </w:tcBorders>
            <w:vAlign w:val="center"/>
          </w:tcPr>
          <w:p w14:paraId="5965914F">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0D375A45">
            <w:pPr>
              <w:jc w:val="right"/>
              <w:rPr>
                <w:rFonts w:ascii="Calibri" w:hAnsi="Calibri"/>
                <w:sz w:val="20"/>
                <w:szCs w:val="20"/>
              </w:rPr>
            </w:pPr>
            <w:r>
              <w:rPr>
                <w:rFonts w:ascii="Calibri" w:hAnsi="Calibri"/>
                <w:sz w:val="20"/>
                <w:szCs w:val="20"/>
              </w:rPr>
              <w:t>689,225,249.83</w:t>
            </w:r>
          </w:p>
        </w:tc>
        <w:tc>
          <w:tcPr>
            <w:tcW w:w="2168" w:type="dxa"/>
            <w:tcBorders>
              <w:top w:val="outset" w:color="auto" w:sz="4" w:space="0"/>
              <w:left w:val="outset" w:color="auto" w:sz="4" w:space="0"/>
              <w:bottom w:val="outset" w:color="auto" w:sz="4" w:space="0"/>
              <w:right w:val="outset" w:color="auto" w:sz="4" w:space="0"/>
            </w:tcBorders>
            <w:vAlign w:val="center"/>
          </w:tcPr>
          <w:p w14:paraId="330F4FC8">
            <w:pPr>
              <w:jc w:val="right"/>
              <w:rPr>
                <w:rFonts w:ascii="Calibri" w:hAnsi="Calibri"/>
                <w:sz w:val="20"/>
                <w:szCs w:val="20"/>
              </w:rPr>
            </w:pPr>
            <w:r>
              <w:rPr>
                <w:rFonts w:ascii="Calibri" w:hAnsi="Calibri"/>
                <w:sz w:val="20"/>
                <w:szCs w:val="20"/>
              </w:rPr>
              <w:t>462,328,859.95</w:t>
            </w:r>
          </w:p>
        </w:tc>
      </w:tr>
      <w:tr w14:paraId="797942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b59aa0e2bd944b8ba7271368c6da00a"/>
            <w:id w:val="-635649317"/>
          </w:sdtPr>
          <w:sdtContent>
            <w:tc>
              <w:tcPr>
                <w:tcW w:w="9049" w:type="dxa"/>
                <w:gridSpan w:val="4"/>
                <w:tcBorders>
                  <w:top w:val="outset" w:color="auto" w:sz="4" w:space="0"/>
                  <w:left w:val="outset" w:color="auto" w:sz="4" w:space="0"/>
                  <w:bottom w:val="outset" w:color="auto" w:sz="4" w:space="0"/>
                  <w:right w:val="outset" w:color="auto" w:sz="4" w:space="0"/>
                </w:tcBorders>
                <w:vAlign w:val="center"/>
              </w:tcPr>
              <w:p w14:paraId="0E040174">
                <w:pPr>
                  <w:rPr>
                    <w:rFonts w:ascii="Calibri" w:hAnsi="Calibri"/>
                    <w:color w:val="008000"/>
                    <w:sz w:val="20"/>
                    <w:szCs w:val="20"/>
                  </w:rPr>
                </w:pPr>
                <w:r>
                  <w:rPr>
                    <w:rFonts w:hint="eastAsia" w:ascii="Calibri" w:hAnsi="Calibri"/>
                    <w:b/>
                    <w:bCs/>
                    <w:sz w:val="20"/>
                    <w:szCs w:val="20"/>
                  </w:rPr>
                  <w:t>二、投资活动产生的现金流量：</w:t>
                </w:r>
              </w:p>
            </w:tc>
          </w:sdtContent>
        </w:sdt>
      </w:tr>
      <w:tr w14:paraId="74CC6C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7048039B">
            <w:pPr>
              <w:ind w:firstLine="200" w:firstLineChars="100"/>
              <w:rPr>
                <w:rFonts w:ascii="Calibri" w:hAnsi="Calibri"/>
                <w:sz w:val="20"/>
                <w:szCs w:val="20"/>
              </w:rPr>
            </w:pPr>
            <w:r>
              <w:rPr>
                <w:rFonts w:hint="eastAsia" w:ascii="Calibri" w:hAnsi="Calibri"/>
                <w:sz w:val="20"/>
                <w:szCs w:val="20"/>
              </w:rPr>
              <w:t>收回投资收到的现金</w:t>
            </w:r>
          </w:p>
        </w:tc>
        <w:tc>
          <w:tcPr>
            <w:tcW w:w="1567" w:type="dxa"/>
            <w:tcBorders>
              <w:top w:val="outset" w:color="auto" w:sz="4" w:space="0"/>
              <w:left w:val="outset" w:color="auto" w:sz="4" w:space="0"/>
              <w:bottom w:val="outset" w:color="auto" w:sz="4" w:space="0"/>
              <w:right w:val="outset" w:color="auto" w:sz="4" w:space="0"/>
            </w:tcBorders>
            <w:vAlign w:val="center"/>
          </w:tcPr>
          <w:p w14:paraId="0A8CF48C">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122F91F7">
            <w:pPr>
              <w:jc w:val="right"/>
              <w:rPr>
                <w:rFonts w:ascii="Calibri" w:hAnsi="Calibri"/>
                <w:sz w:val="20"/>
                <w:szCs w:val="20"/>
              </w:rPr>
            </w:pPr>
            <w:r>
              <w:rPr>
                <w:rFonts w:ascii="Calibri" w:hAnsi="Calibri"/>
                <w:sz w:val="20"/>
                <w:szCs w:val="20"/>
              </w:rPr>
              <w:t>1,519,226,783.45</w:t>
            </w:r>
          </w:p>
        </w:tc>
        <w:tc>
          <w:tcPr>
            <w:tcW w:w="2168" w:type="dxa"/>
            <w:tcBorders>
              <w:top w:val="outset" w:color="auto" w:sz="4" w:space="0"/>
              <w:left w:val="outset" w:color="auto" w:sz="4" w:space="0"/>
              <w:bottom w:val="outset" w:color="auto" w:sz="4" w:space="0"/>
              <w:right w:val="outset" w:color="auto" w:sz="4" w:space="0"/>
            </w:tcBorders>
            <w:vAlign w:val="center"/>
          </w:tcPr>
          <w:p w14:paraId="7B536C64">
            <w:pPr>
              <w:jc w:val="right"/>
              <w:rPr>
                <w:rFonts w:ascii="Calibri" w:hAnsi="Calibri"/>
                <w:sz w:val="20"/>
                <w:szCs w:val="20"/>
              </w:rPr>
            </w:pPr>
            <w:r>
              <w:rPr>
                <w:rFonts w:ascii="Calibri" w:hAnsi="Calibri"/>
                <w:sz w:val="20"/>
                <w:szCs w:val="20"/>
              </w:rPr>
              <w:t>139,232,707.16</w:t>
            </w:r>
          </w:p>
        </w:tc>
      </w:tr>
      <w:tr w14:paraId="25F698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6A31E327">
            <w:pPr>
              <w:ind w:firstLine="200" w:firstLineChars="100"/>
              <w:rPr>
                <w:rFonts w:ascii="Calibri" w:hAnsi="Calibri"/>
                <w:sz w:val="20"/>
                <w:szCs w:val="20"/>
              </w:rPr>
            </w:pPr>
            <w:r>
              <w:rPr>
                <w:rFonts w:hint="eastAsia" w:ascii="Calibri" w:hAnsi="Calibri"/>
                <w:sz w:val="20"/>
                <w:szCs w:val="20"/>
              </w:rPr>
              <w:t>取得投资收益收到的现金</w:t>
            </w:r>
          </w:p>
        </w:tc>
        <w:tc>
          <w:tcPr>
            <w:tcW w:w="1567" w:type="dxa"/>
            <w:tcBorders>
              <w:top w:val="outset" w:color="auto" w:sz="4" w:space="0"/>
              <w:left w:val="outset" w:color="auto" w:sz="4" w:space="0"/>
              <w:bottom w:val="outset" w:color="auto" w:sz="4" w:space="0"/>
              <w:right w:val="outset" w:color="auto" w:sz="4" w:space="0"/>
            </w:tcBorders>
            <w:vAlign w:val="center"/>
          </w:tcPr>
          <w:p w14:paraId="10E47744">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0A3B6A27">
            <w:pPr>
              <w:jc w:val="right"/>
              <w:rPr>
                <w:rFonts w:ascii="Calibri" w:hAnsi="Calibri"/>
                <w:sz w:val="20"/>
                <w:szCs w:val="20"/>
              </w:rPr>
            </w:pPr>
            <w:r>
              <w:rPr>
                <w:rFonts w:ascii="Calibri" w:hAnsi="Calibri"/>
                <w:sz w:val="20"/>
                <w:szCs w:val="20"/>
              </w:rPr>
              <w:t>41,963,890.02</w:t>
            </w:r>
          </w:p>
        </w:tc>
        <w:tc>
          <w:tcPr>
            <w:tcW w:w="2168" w:type="dxa"/>
            <w:tcBorders>
              <w:top w:val="outset" w:color="auto" w:sz="4" w:space="0"/>
              <w:left w:val="outset" w:color="auto" w:sz="4" w:space="0"/>
              <w:bottom w:val="outset" w:color="auto" w:sz="4" w:space="0"/>
              <w:right w:val="outset" w:color="auto" w:sz="4" w:space="0"/>
            </w:tcBorders>
            <w:vAlign w:val="center"/>
          </w:tcPr>
          <w:p w14:paraId="034F40D2">
            <w:pPr>
              <w:jc w:val="right"/>
              <w:rPr>
                <w:rFonts w:ascii="Calibri" w:hAnsi="Calibri"/>
                <w:sz w:val="20"/>
                <w:szCs w:val="20"/>
              </w:rPr>
            </w:pPr>
            <w:r>
              <w:rPr>
                <w:rFonts w:ascii="Calibri" w:hAnsi="Calibri"/>
                <w:sz w:val="20"/>
                <w:szCs w:val="20"/>
              </w:rPr>
              <w:t>33,297,549.95</w:t>
            </w:r>
          </w:p>
        </w:tc>
      </w:tr>
      <w:tr w14:paraId="0EF964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2E89CEC3">
            <w:pPr>
              <w:ind w:firstLine="200" w:firstLineChars="100"/>
              <w:rPr>
                <w:rFonts w:ascii="Calibri" w:hAnsi="Calibri"/>
                <w:sz w:val="20"/>
                <w:szCs w:val="20"/>
              </w:rPr>
            </w:pPr>
            <w:r>
              <w:rPr>
                <w:rFonts w:hint="eastAsia" w:ascii="Calibri" w:hAnsi="Calibri"/>
                <w:sz w:val="20"/>
                <w:szCs w:val="20"/>
              </w:rPr>
              <w:t>处置固定资产、无形资产和其他长期资产收回的现金净额</w:t>
            </w:r>
          </w:p>
        </w:tc>
        <w:tc>
          <w:tcPr>
            <w:tcW w:w="1567" w:type="dxa"/>
            <w:tcBorders>
              <w:top w:val="outset" w:color="auto" w:sz="4" w:space="0"/>
              <w:left w:val="outset" w:color="auto" w:sz="4" w:space="0"/>
              <w:bottom w:val="outset" w:color="auto" w:sz="4" w:space="0"/>
              <w:right w:val="outset" w:color="auto" w:sz="4" w:space="0"/>
            </w:tcBorders>
            <w:vAlign w:val="center"/>
          </w:tcPr>
          <w:p w14:paraId="7973D2F3">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72A8FCD6">
            <w:pPr>
              <w:jc w:val="right"/>
              <w:rPr>
                <w:rFonts w:ascii="Calibri" w:hAnsi="Calibri"/>
                <w:sz w:val="20"/>
                <w:szCs w:val="20"/>
              </w:rPr>
            </w:pPr>
            <w:r>
              <w:rPr>
                <w:rFonts w:ascii="Calibri" w:hAnsi="Calibri"/>
                <w:sz w:val="20"/>
                <w:szCs w:val="20"/>
              </w:rPr>
              <w:t>1,202,609.36</w:t>
            </w:r>
          </w:p>
        </w:tc>
        <w:tc>
          <w:tcPr>
            <w:tcW w:w="2168" w:type="dxa"/>
            <w:tcBorders>
              <w:top w:val="outset" w:color="auto" w:sz="4" w:space="0"/>
              <w:left w:val="outset" w:color="auto" w:sz="4" w:space="0"/>
              <w:bottom w:val="outset" w:color="auto" w:sz="4" w:space="0"/>
              <w:right w:val="outset" w:color="auto" w:sz="4" w:space="0"/>
            </w:tcBorders>
            <w:vAlign w:val="center"/>
          </w:tcPr>
          <w:p w14:paraId="2222A4BD">
            <w:pPr>
              <w:jc w:val="right"/>
              <w:rPr>
                <w:rFonts w:ascii="Calibri" w:hAnsi="Calibri"/>
                <w:sz w:val="20"/>
                <w:szCs w:val="20"/>
              </w:rPr>
            </w:pPr>
            <w:r>
              <w:rPr>
                <w:rFonts w:ascii="Calibri" w:hAnsi="Calibri"/>
                <w:sz w:val="20"/>
                <w:szCs w:val="20"/>
              </w:rPr>
              <w:t>66,362,189.58</w:t>
            </w:r>
          </w:p>
        </w:tc>
      </w:tr>
      <w:tr w14:paraId="144C51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5BFF985F">
            <w:pPr>
              <w:ind w:firstLine="200" w:firstLineChars="100"/>
              <w:rPr>
                <w:rFonts w:ascii="Calibri" w:hAnsi="Calibri"/>
                <w:sz w:val="20"/>
                <w:szCs w:val="20"/>
              </w:rPr>
            </w:pPr>
            <w:r>
              <w:rPr>
                <w:rFonts w:hint="eastAsia" w:ascii="Calibri" w:hAnsi="Calibri"/>
                <w:sz w:val="20"/>
                <w:szCs w:val="20"/>
              </w:rPr>
              <w:t>处置子公司及其他营业单位收到的现金净额</w:t>
            </w:r>
          </w:p>
        </w:tc>
        <w:tc>
          <w:tcPr>
            <w:tcW w:w="1567" w:type="dxa"/>
            <w:tcBorders>
              <w:top w:val="outset" w:color="auto" w:sz="4" w:space="0"/>
              <w:left w:val="outset" w:color="auto" w:sz="4" w:space="0"/>
              <w:bottom w:val="outset" w:color="auto" w:sz="4" w:space="0"/>
              <w:right w:val="outset" w:color="auto" w:sz="4" w:space="0"/>
            </w:tcBorders>
            <w:vAlign w:val="center"/>
          </w:tcPr>
          <w:p w14:paraId="3256DC02">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045F70B4">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177CB425">
            <w:pPr>
              <w:jc w:val="right"/>
              <w:rPr>
                <w:rFonts w:ascii="Calibri" w:hAnsi="Calibri"/>
                <w:sz w:val="20"/>
                <w:szCs w:val="20"/>
              </w:rPr>
            </w:pPr>
          </w:p>
        </w:tc>
      </w:tr>
      <w:tr w14:paraId="4306AE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73E39310">
            <w:pPr>
              <w:ind w:firstLine="200" w:firstLineChars="100"/>
              <w:rPr>
                <w:rFonts w:ascii="Calibri" w:hAnsi="Calibri"/>
                <w:sz w:val="20"/>
                <w:szCs w:val="20"/>
              </w:rPr>
            </w:pPr>
            <w:r>
              <w:rPr>
                <w:rFonts w:hint="eastAsia" w:ascii="Calibri" w:hAnsi="Calibri"/>
                <w:sz w:val="20"/>
                <w:szCs w:val="20"/>
              </w:rPr>
              <w:t>收到其他与投资活动有关的现金</w:t>
            </w:r>
          </w:p>
        </w:tc>
        <w:tc>
          <w:tcPr>
            <w:tcW w:w="1567" w:type="dxa"/>
            <w:tcBorders>
              <w:top w:val="outset" w:color="auto" w:sz="4" w:space="0"/>
              <w:left w:val="outset" w:color="auto" w:sz="4" w:space="0"/>
              <w:bottom w:val="outset" w:color="auto" w:sz="4" w:space="0"/>
              <w:right w:val="outset" w:color="auto" w:sz="4" w:space="0"/>
            </w:tcBorders>
            <w:vAlign w:val="center"/>
          </w:tcPr>
          <w:p w14:paraId="07EAA7B9">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495E6EE5">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1458D85E">
            <w:pPr>
              <w:jc w:val="right"/>
              <w:rPr>
                <w:rFonts w:ascii="Calibri" w:hAnsi="Calibri"/>
                <w:sz w:val="20"/>
                <w:szCs w:val="20"/>
              </w:rPr>
            </w:pPr>
          </w:p>
        </w:tc>
      </w:tr>
      <w:tr w14:paraId="0AAB3C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655136C2">
            <w:pPr>
              <w:ind w:firstLine="400" w:firstLineChars="200"/>
              <w:rPr>
                <w:rFonts w:ascii="Calibri" w:hAnsi="Calibri"/>
                <w:color w:val="000000"/>
                <w:sz w:val="20"/>
                <w:szCs w:val="20"/>
              </w:rPr>
            </w:pPr>
            <w:r>
              <w:rPr>
                <w:rFonts w:hint="eastAsia" w:ascii="Calibri" w:hAnsi="Calibri"/>
                <w:sz w:val="20"/>
                <w:szCs w:val="20"/>
              </w:rPr>
              <w:t>投资活动现金流入小计</w:t>
            </w:r>
          </w:p>
        </w:tc>
        <w:tc>
          <w:tcPr>
            <w:tcW w:w="1567" w:type="dxa"/>
            <w:tcBorders>
              <w:top w:val="outset" w:color="auto" w:sz="4" w:space="0"/>
              <w:left w:val="outset" w:color="auto" w:sz="4" w:space="0"/>
              <w:bottom w:val="outset" w:color="auto" w:sz="4" w:space="0"/>
              <w:right w:val="outset" w:color="auto" w:sz="4" w:space="0"/>
            </w:tcBorders>
            <w:vAlign w:val="center"/>
          </w:tcPr>
          <w:p w14:paraId="5C0E2BD1">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186704E5">
            <w:pPr>
              <w:jc w:val="right"/>
              <w:rPr>
                <w:rFonts w:ascii="Calibri" w:hAnsi="Calibri"/>
                <w:sz w:val="20"/>
                <w:szCs w:val="20"/>
              </w:rPr>
            </w:pPr>
            <w:r>
              <w:rPr>
                <w:rFonts w:ascii="Calibri" w:hAnsi="Calibri"/>
                <w:sz w:val="20"/>
                <w:szCs w:val="20"/>
              </w:rPr>
              <w:t>1,562,393,282.83</w:t>
            </w:r>
          </w:p>
        </w:tc>
        <w:tc>
          <w:tcPr>
            <w:tcW w:w="2168" w:type="dxa"/>
            <w:tcBorders>
              <w:top w:val="outset" w:color="auto" w:sz="4" w:space="0"/>
              <w:left w:val="outset" w:color="auto" w:sz="4" w:space="0"/>
              <w:bottom w:val="outset" w:color="auto" w:sz="4" w:space="0"/>
              <w:right w:val="outset" w:color="auto" w:sz="4" w:space="0"/>
            </w:tcBorders>
            <w:vAlign w:val="center"/>
          </w:tcPr>
          <w:p w14:paraId="4929BAE9">
            <w:pPr>
              <w:jc w:val="right"/>
              <w:rPr>
                <w:rFonts w:ascii="Calibri" w:hAnsi="Calibri"/>
                <w:sz w:val="20"/>
                <w:szCs w:val="20"/>
              </w:rPr>
            </w:pPr>
            <w:r>
              <w:rPr>
                <w:rFonts w:ascii="Calibri" w:hAnsi="Calibri"/>
                <w:sz w:val="20"/>
                <w:szCs w:val="20"/>
              </w:rPr>
              <w:t>238,892,446.69</w:t>
            </w:r>
          </w:p>
        </w:tc>
      </w:tr>
      <w:tr w14:paraId="6B3D53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1BE70D24">
            <w:pPr>
              <w:ind w:firstLine="200" w:firstLineChars="100"/>
              <w:rPr>
                <w:rFonts w:ascii="Calibri" w:hAnsi="Calibri"/>
                <w:color w:val="000000"/>
                <w:sz w:val="20"/>
                <w:szCs w:val="20"/>
              </w:rPr>
            </w:pPr>
            <w:r>
              <w:rPr>
                <w:rFonts w:hint="eastAsia" w:ascii="Calibri" w:hAnsi="Calibri"/>
                <w:sz w:val="20"/>
                <w:szCs w:val="20"/>
              </w:rPr>
              <w:t>购建固定资产、无形资产和其他长期资产支付的现金</w:t>
            </w:r>
          </w:p>
        </w:tc>
        <w:tc>
          <w:tcPr>
            <w:tcW w:w="1567" w:type="dxa"/>
            <w:tcBorders>
              <w:top w:val="outset" w:color="auto" w:sz="4" w:space="0"/>
              <w:left w:val="outset" w:color="auto" w:sz="4" w:space="0"/>
              <w:bottom w:val="outset" w:color="auto" w:sz="4" w:space="0"/>
              <w:right w:val="outset" w:color="auto" w:sz="4" w:space="0"/>
            </w:tcBorders>
            <w:vAlign w:val="center"/>
          </w:tcPr>
          <w:p w14:paraId="4EB25FB9">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25CACFE4">
            <w:pPr>
              <w:jc w:val="right"/>
              <w:rPr>
                <w:rFonts w:ascii="Calibri" w:hAnsi="Calibri"/>
                <w:sz w:val="20"/>
                <w:szCs w:val="20"/>
              </w:rPr>
            </w:pPr>
            <w:r>
              <w:rPr>
                <w:rFonts w:ascii="Calibri" w:hAnsi="Calibri"/>
                <w:sz w:val="20"/>
                <w:szCs w:val="20"/>
              </w:rPr>
              <w:t>517,693,225.92</w:t>
            </w:r>
          </w:p>
        </w:tc>
        <w:tc>
          <w:tcPr>
            <w:tcW w:w="2168" w:type="dxa"/>
            <w:tcBorders>
              <w:top w:val="outset" w:color="auto" w:sz="4" w:space="0"/>
              <w:left w:val="outset" w:color="auto" w:sz="4" w:space="0"/>
              <w:bottom w:val="outset" w:color="auto" w:sz="4" w:space="0"/>
              <w:right w:val="outset" w:color="auto" w:sz="4" w:space="0"/>
            </w:tcBorders>
            <w:vAlign w:val="center"/>
          </w:tcPr>
          <w:p w14:paraId="38F566CF">
            <w:pPr>
              <w:jc w:val="right"/>
              <w:rPr>
                <w:rFonts w:ascii="Calibri" w:hAnsi="Calibri"/>
                <w:sz w:val="20"/>
                <w:szCs w:val="20"/>
              </w:rPr>
            </w:pPr>
            <w:r>
              <w:rPr>
                <w:rFonts w:ascii="Calibri" w:hAnsi="Calibri"/>
                <w:sz w:val="20"/>
                <w:szCs w:val="20"/>
              </w:rPr>
              <w:t>568,726,376.37</w:t>
            </w:r>
          </w:p>
        </w:tc>
      </w:tr>
      <w:tr w14:paraId="203701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62D97915">
            <w:pPr>
              <w:ind w:firstLine="200" w:firstLineChars="100"/>
              <w:rPr>
                <w:rFonts w:ascii="Calibri" w:hAnsi="Calibri"/>
                <w:sz w:val="20"/>
                <w:szCs w:val="20"/>
              </w:rPr>
            </w:pPr>
            <w:r>
              <w:rPr>
                <w:rFonts w:hint="eastAsia" w:ascii="Calibri" w:hAnsi="Calibri"/>
                <w:sz w:val="20"/>
                <w:szCs w:val="20"/>
              </w:rPr>
              <w:t>投资支付的现金</w:t>
            </w:r>
          </w:p>
        </w:tc>
        <w:tc>
          <w:tcPr>
            <w:tcW w:w="1567" w:type="dxa"/>
            <w:tcBorders>
              <w:top w:val="outset" w:color="auto" w:sz="4" w:space="0"/>
              <w:left w:val="outset" w:color="auto" w:sz="4" w:space="0"/>
              <w:bottom w:val="outset" w:color="auto" w:sz="4" w:space="0"/>
              <w:right w:val="outset" w:color="auto" w:sz="4" w:space="0"/>
            </w:tcBorders>
            <w:vAlign w:val="center"/>
          </w:tcPr>
          <w:p w14:paraId="23C29A7F">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7E538E73">
            <w:pPr>
              <w:jc w:val="right"/>
              <w:rPr>
                <w:rFonts w:ascii="Calibri" w:hAnsi="Calibri"/>
                <w:sz w:val="20"/>
                <w:szCs w:val="20"/>
              </w:rPr>
            </w:pPr>
            <w:r>
              <w:rPr>
                <w:rFonts w:ascii="Calibri" w:hAnsi="Calibri"/>
                <w:sz w:val="20"/>
                <w:szCs w:val="20"/>
              </w:rPr>
              <w:t>259,530,171.45</w:t>
            </w:r>
          </w:p>
        </w:tc>
        <w:tc>
          <w:tcPr>
            <w:tcW w:w="2168" w:type="dxa"/>
            <w:tcBorders>
              <w:top w:val="outset" w:color="auto" w:sz="4" w:space="0"/>
              <w:left w:val="outset" w:color="auto" w:sz="4" w:space="0"/>
              <w:bottom w:val="outset" w:color="auto" w:sz="4" w:space="0"/>
              <w:right w:val="outset" w:color="auto" w:sz="4" w:space="0"/>
            </w:tcBorders>
            <w:vAlign w:val="center"/>
          </w:tcPr>
          <w:p w14:paraId="5AD11898">
            <w:pPr>
              <w:jc w:val="right"/>
              <w:rPr>
                <w:rFonts w:ascii="Calibri" w:hAnsi="Calibri"/>
                <w:sz w:val="20"/>
                <w:szCs w:val="20"/>
              </w:rPr>
            </w:pPr>
            <w:r>
              <w:rPr>
                <w:rFonts w:ascii="Calibri" w:hAnsi="Calibri"/>
                <w:sz w:val="20"/>
                <w:szCs w:val="20"/>
              </w:rPr>
              <w:t>239,232,708.16</w:t>
            </w:r>
          </w:p>
        </w:tc>
      </w:tr>
      <w:tr w14:paraId="2BC243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6CD48959">
            <w:pPr>
              <w:ind w:firstLine="200" w:firstLineChars="100"/>
              <w:rPr>
                <w:rFonts w:ascii="Calibri" w:hAnsi="Calibri"/>
                <w:sz w:val="20"/>
                <w:szCs w:val="20"/>
              </w:rPr>
            </w:pPr>
            <w:r>
              <w:rPr>
                <w:rFonts w:hint="eastAsia" w:ascii="Calibri" w:hAnsi="Calibri"/>
                <w:sz w:val="20"/>
                <w:szCs w:val="20"/>
              </w:rPr>
              <w:t>质押贷款净增加额</w:t>
            </w:r>
          </w:p>
        </w:tc>
        <w:tc>
          <w:tcPr>
            <w:tcW w:w="1567" w:type="dxa"/>
            <w:tcBorders>
              <w:top w:val="outset" w:color="auto" w:sz="4" w:space="0"/>
              <w:left w:val="outset" w:color="auto" w:sz="4" w:space="0"/>
              <w:bottom w:val="outset" w:color="auto" w:sz="4" w:space="0"/>
              <w:right w:val="outset" w:color="auto" w:sz="4" w:space="0"/>
            </w:tcBorders>
            <w:vAlign w:val="center"/>
          </w:tcPr>
          <w:p w14:paraId="5854D575">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7708381E">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5734A9E8">
            <w:pPr>
              <w:jc w:val="right"/>
              <w:rPr>
                <w:rFonts w:ascii="Calibri" w:hAnsi="Calibri"/>
                <w:sz w:val="20"/>
                <w:szCs w:val="20"/>
              </w:rPr>
            </w:pPr>
          </w:p>
        </w:tc>
      </w:tr>
      <w:tr w14:paraId="05CF21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6D055EB6">
            <w:pPr>
              <w:ind w:firstLine="200" w:firstLineChars="100"/>
              <w:rPr>
                <w:rFonts w:ascii="Calibri" w:hAnsi="Calibri"/>
                <w:sz w:val="20"/>
                <w:szCs w:val="20"/>
              </w:rPr>
            </w:pPr>
            <w:r>
              <w:rPr>
                <w:rFonts w:hint="eastAsia" w:ascii="Calibri" w:hAnsi="Calibri"/>
                <w:sz w:val="20"/>
                <w:szCs w:val="20"/>
              </w:rPr>
              <w:t>取得子公司及其他营业单位支付的现金净额</w:t>
            </w:r>
          </w:p>
        </w:tc>
        <w:tc>
          <w:tcPr>
            <w:tcW w:w="1567" w:type="dxa"/>
            <w:tcBorders>
              <w:top w:val="outset" w:color="auto" w:sz="4" w:space="0"/>
              <w:left w:val="outset" w:color="auto" w:sz="4" w:space="0"/>
              <w:bottom w:val="outset" w:color="auto" w:sz="4" w:space="0"/>
              <w:right w:val="outset" w:color="auto" w:sz="4" w:space="0"/>
            </w:tcBorders>
            <w:vAlign w:val="center"/>
          </w:tcPr>
          <w:p w14:paraId="1127678D">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40D07670">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46BA6B3F">
            <w:pPr>
              <w:jc w:val="right"/>
              <w:rPr>
                <w:rFonts w:ascii="Calibri" w:hAnsi="Calibri"/>
                <w:sz w:val="20"/>
                <w:szCs w:val="20"/>
              </w:rPr>
            </w:pPr>
            <w:r>
              <w:rPr>
                <w:rFonts w:ascii="Calibri" w:hAnsi="Calibri"/>
                <w:sz w:val="20"/>
                <w:szCs w:val="20"/>
              </w:rPr>
              <w:t>-145,255.16</w:t>
            </w:r>
          </w:p>
        </w:tc>
      </w:tr>
      <w:tr w14:paraId="5D540F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16EC8C9B">
            <w:pPr>
              <w:ind w:firstLine="200" w:firstLineChars="100"/>
              <w:rPr>
                <w:rFonts w:ascii="Calibri" w:hAnsi="Calibri"/>
                <w:sz w:val="20"/>
                <w:szCs w:val="20"/>
              </w:rPr>
            </w:pPr>
            <w:r>
              <w:rPr>
                <w:rFonts w:hint="eastAsia" w:ascii="Calibri" w:hAnsi="Calibri"/>
                <w:sz w:val="20"/>
                <w:szCs w:val="20"/>
              </w:rPr>
              <w:t>支付其他与投资活动有关的现金</w:t>
            </w:r>
          </w:p>
        </w:tc>
        <w:tc>
          <w:tcPr>
            <w:tcW w:w="1567" w:type="dxa"/>
            <w:tcBorders>
              <w:top w:val="outset" w:color="auto" w:sz="4" w:space="0"/>
              <w:left w:val="outset" w:color="auto" w:sz="4" w:space="0"/>
              <w:bottom w:val="outset" w:color="auto" w:sz="4" w:space="0"/>
              <w:right w:val="outset" w:color="auto" w:sz="4" w:space="0"/>
            </w:tcBorders>
            <w:vAlign w:val="center"/>
          </w:tcPr>
          <w:p w14:paraId="667ADB4A">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5A895206">
            <w:pPr>
              <w:jc w:val="right"/>
              <w:rPr>
                <w:rFonts w:ascii="Calibri" w:hAnsi="Calibri"/>
                <w:sz w:val="20"/>
                <w:szCs w:val="20"/>
              </w:rPr>
            </w:pPr>
            <w:r>
              <w:rPr>
                <w:rFonts w:ascii="Calibri" w:hAnsi="Calibri"/>
                <w:sz w:val="20"/>
                <w:szCs w:val="20"/>
              </w:rPr>
              <w:t>44,374.00</w:t>
            </w:r>
          </w:p>
        </w:tc>
        <w:tc>
          <w:tcPr>
            <w:tcW w:w="2168" w:type="dxa"/>
            <w:tcBorders>
              <w:top w:val="outset" w:color="auto" w:sz="4" w:space="0"/>
              <w:left w:val="outset" w:color="auto" w:sz="4" w:space="0"/>
              <w:bottom w:val="outset" w:color="auto" w:sz="4" w:space="0"/>
              <w:right w:val="outset" w:color="auto" w:sz="4" w:space="0"/>
            </w:tcBorders>
            <w:vAlign w:val="center"/>
          </w:tcPr>
          <w:p w14:paraId="3831B537">
            <w:pPr>
              <w:jc w:val="right"/>
              <w:rPr>
                <w:rFonts w:ascii="Calibri" w:hAnsi="Calibri"/>
                <w:sz w:val="20"/>
                <w:szCs w:val="20"/>
              </w:rPr>
            </w:pPr>
          </w:p>
        </w:tc>
      </w:tr>
      <w:tr w14:paraId="36FD56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4BAF86C9">
            <w:pPr>
              <w:ind w:firstLine="400" w:firstLineChars="200"/>
              <w:rPr>
                <w:rFonts w:ascii="Calibri" w:hAnsi="Calibri"/>
                <w:color w:val="000000"/>
                <w:sz w:val="20"/>
                <w:szCs w:val="20"/>
              </w:rPr>
            </w:pPr>
            <w:r>
              <w:rPr>
                <w:rFonts w:hint="eastAsia" w:ascii="Calibri" w:hAnsi="Calibri"/>
                <w:sz w:val="20"/>
                <w:szCs w:val="20"/>
              </w:rPr>
              <w:t>投资活动现金流出小计</w:t>
            </w:r>
          </w:p>
        </w:tc>
        <w:tc>
          <w:tcPr>
            <w:tcW w:w="1567" w:type="dxa"/>
            <w:tcBorders>
              <w:top w:val="outset" w:color="auto" w:sz="4" w:space="0"/>
              <w:left w:val="outset" w:color="auto" w:sz="4" w:space="0"/>
              <w:bottom w:val="outset" w:color="auto" w:sz="4" w:space="0"/>
              <w:right w:val="outset" w:color="auto" w:sz="4" w:space="0"/>
            </w:tcBorders>
            <w:vAlign w:val="center"/>
          </w:tcPr>
          <w:p w14:paraId="7B4B859F">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6544F494">
            <w:pPr>
              <w:jc w:val="right"/>
              <w:rPr>
                <w:rFonts w:ascii="Calibri" w:hAnsi="Calibri"/>
                <w:sz w:val="20"/>
                <w:szCs w:val="20"/>
              </w:rPr>
            </w:pPr>
            <w:r>
              <w:rPr>
                <w:rFonts w:ascii="Calibri" w:hAnsi="Calibri"/>
                <w:sz w:val="20"/>
                <w:szCs w:val="20"/>
              </w:rPr>
              <w:t>777,267,771.37</w:t>
            </w:r>
          </w:p>
        </w:tc>
        <w:tc>
          <w:tcPr>
            <w:tcW w:w="2168" w:type="dxa"/>
            <w:tcBorders>
              <w:top w:val="outset" w:color="auto" w:sz="4" w:space="0"/>
              <w:left w:val="outset" w:color="auto" w:sz="4" w:space="0"/>
              <w:bottom w:val="outset" w:color="auto" w:sz="4" w:space="0"/>
              <w:right w:val="outset" w:color="auto" w:sz="4" w:space="0"/>
            </w:tcBorders>
            <w:vAlign w:val="center"/>
          </w:tcPr>
          <w:p w14:paraId="38A71570">
            <w:pPr>
              <w:jc w:val="right"/>
              <w:rPr>
                <w:rFonts w:ascii="Calibri" w:hAnsi="Calibri"/>
                <w:sz w:val="20"/>
                <w:szCs w:val="20"/>
              </w:rPr>
            </w:pPr>
            <w:r>
              <w:rPr>
                <w:rFonts w:ascii="Calibri" w:hAnsi="Calibri"/>
                <w:sz w:val="20"/>
                <w:szCs w:val="20"/>
              </w:rPr>
              <w:t>807,813,829.37</w:t>
            </w:r>
          </w:p>
        </w:tc>
      </w:tr>
      <w:tr w14:paraId="572B1E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347AFE05">
            <w:pPr>
              <w:ind w:firstLine="600" w:firstLineChars="300"/>
              <w:rPr>
                <w:rFonts w:ascii="Calibri" w:hAnsi="Calibri"/>
                <w:color w:val="000000"/>
                <w:sz w:val="20"/>
                <w:szCs w:val="20"/>
              </w:rPr>
            </w:pPr>
            <w:r>
              <w:rPr>
                <w:rFonts w:hint="eastAsia" w:ascii="Calibri" w:hAnsi="Calibri"/>
                <w:sz w:val="20"/>
                <w:szCs w:val="20"/>
              </w:rPr>
              <w:t>投资活动产生的现金流量净额</w:t>
            </w:r>
          </w:p>
        </w:tc>
        <w:tc>
          <w:tcPr>
            <w:tcW w:w="1567" w:type="dxa"/>
            <w:tcBorders>
              <w:top w:val="outset" w:color="auto" w:sz="4" w:space="0"/>
              <w:left w:val="outset" w:color="auto" w:sz="4" w:space="0"/>
              <w:bottom w:val="outset" w:color="auto" w:sz="4" w:space="0"/>
              <w:right w:val="outset" w:color="auto" w:sz="4" w:space="0"/>
            </w:tcBorders>
            <w:vAlign w:val="center"/>
          </w:tcPr>
          <w:p w14:paraId="4812B3D0">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14566DB6">
            <w:pPr>
              <w:jc w:val="right"/>
              <w:rPr>
                <w:rFonts w:ascii="Calibri" w:hAnsi="Calibri"/>
                <w:sz w:val="20"/>
                <w:szCs w:val="20"/>
              </w:rPr>
            </w:pPr>
            <w:r>
              <w:rPr>
                <w:rFonts w:ascii="Calibri" w:hAnsi="Calibri"/>
                <w:sz w:val="20"/>
                <w:szCs w:val="20"/>
              </w:rPr>
              <w:t>785,125,511.46</w:t>
            </w:r>
          </w:p>
        </w:tc>
        <w:tc>
          <w:tcPr>
            <w:tcW w:w="2168" w:type="dxa"/>
            <w:tcBorders>
              <w:top w:val="outset" w:color="auto" w:sz="4" w:space="0"/>
              <w:left w:val="outset" w:color="auto" w:sz="4" w:space="0"/>
              <w:bottom w:val="outset" w:color="auto" w:sz="4" w:space="0"/>
              <w:right w:val="outset" w:color="auto" w:sz="4" w:space="0"/>
            </w:tcBorders>
            <w:vAlign w:val="center"/>
          </w:tcPr>
          <w:p w14:paraId="01F96797">
            <w:pPr>
              <w:jc w:val="right"/>
              <w:rPr>
                <w:rFonts w:ascii="Calibri" w:hAnsi="Calibri"/>
                <w:sz w:val="20"/>
                <w:szCs w:val="20"/>
              </w:rPr>
            </w:pPr>
            <w:r>
              <w:rPr>
                <w:rFonts w:ascii="Calibri" w:hAnsi="Calibri"/>
                <w:sz w:val="20"/>
                <w:szCs w:val="20"/>
              </w:rPr>
              <w:t>-568,921,382.68</w:t>
            </w:r>
          </w:p>
        </w:tc>
      </w:tr>
      <w:tr w14:paraId="0F195F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e0d926902804b5baefad8990e4523b4"/>
            <w:id w:val="-1416167785"/>
          </w:sdtPr>
          <w:sdtContent>
            <w:tc>
              <w:tcPr>
                <w:tcW w:w="9049" w:type="dxa"/>
                <w:gridSpan w:val="4"/>
                <w:tcBorders>
                  <w:top w:val="outset" w:color="auto" w:sz="4" w:space="0"/>
                  <w:left w:val="outset" w:color="auto" w:sz="4" w:space="0"/>
                  <w:bottom w:val="outset" w:color="auto" w:sz="4" w:space="0"/>
                  <w:right w:val="outset" w:color="auto" w:sz="4" w:space="0"/>
                </w:tcBorders>
                <w:vAlign w:val="center"/>
              </w:tcPr>
              <w:p w14:paraId="5B0D742A">
                <w:pPr>
                  <w:rPr>
                    <w:rFonts w:ascii="Calibri" w:hAnsi="Calibri"/>
                    <w:color w:val="008000"/>
                    <w:sz w:val="20"/>
                    <w:szCs w:val="20"/>
                  </w:rPr>
                </w:pPr>
                <w:r>
                  <w:rPr>
                    <w:rFonts w:hint="eastAsia" w:ascii="Calibri" w:hAnsi="Calibri"/>
                    <w:b/>
                    <w:bCs/>
                    <w:sz w:val="20"/>
                    <w:szCs w:val="20"/>
                  </w:rPr>
                  <w:t>三、筹资活动产生的现金流量：</w:t>
                </w:r>
              </w:p>
            </w:tc>
          </w:sdtContent>
        </w:sdt>
      </w:tr>
      <w:tr w14:paraId="2D9A64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60E7DFEF">
            <w:pPr>
              <w:ind w:firstLine="200" w:firstLineChars="100"/>
              <w:rPr>
                <w:rFonts w:ascii="Calibri" w:hAnsi="Calibri"/>
                <w:color w:val="000000"/>
                <w:sz w:val="20"/>
                <w:szCs w:val="20"/>
              </w:rPr>
            </w:pPr>
            <w:r>
              <w:rPr>
                <w:rFonts w:hint="eastAsia" w:ascii="Calibri" w:hAnsi="Calibri"/>
                <w:sz w:val="20"/>
                <w:szCs w:val="20"/>
              </w:rPr>
              <w:t>吸收投资收到的现金</w:t>
            </w:r>
          </w:p>
        </w:tc>
        <w:tc>
          <w:tcPr>
            <w:tcW w:w="1567" w:type="dxa"/>
            <w:tcBorders>
              <w:top w:val="outset" w:color="auto" w:sz="4" w:space="0"/>
              <w:left w:val="outset" w:color="auto" w:sz="4" w:space="0"/>
              <w:bottom w:val="outset" w:color="auto" w:sz="4" w:space="0"/>
              <w:right w:val="outset" w:color="auto" w:sz="4" w:space="0"/>
            </w:tcBorders>
            <w:vAlign w:val="center"/>
          </w:tcPr>
          <w:p w14:paraId="70323532">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7E941431">
            <w:pPr>
              <w:jc w:val="right"/>
              <w:rPr>
                <w:rFonts w:ascii="Calibri" w:hAnsi="Calibri"/>
                <w:sz w:val="20"/>
                <w:szCs w:val="20"/>
              </w:rPr>
            </w:pPr>
            <w:r>
              <w:rPr>
                <w:rFonts w:ascii="Calibri" w:hAnsi="Calibri"/>
                <w:sz w:val="20"/>
                <w:szCs w:val="20"/>
              </w:rPr>
              <w:t>8,727,100.00</w:t>
            </w:r>
          </w:p>
        </w:tc>
        <w:tc>
          <w:tcPr>
            <w:tcW w:w="2168" w:type="dxa"/>
            <w:tcBorders>
              <w:top w:val="outset" w:color="auto" w:sz="4" w:space="0"/>
              <w:left w:val="outset" w:color="auto" w:sz="4" w:space="0"/>
              <w:bottom w:val="outset" w:color="auto" w:sz="4" w:space="0"/>
              <w:right w:val="outset" w:color="auto" w:sz="4" w:space="0"/>
            </w:tcBorders>
            <w:vAlign w:val="center"/>
          </w:tcPr>
          <w:p w14:paraId="07820FA9">
            <w:pPr>
              <w:jc w:val="right"/>
              <w:rPr>
                <w:rFonts w:ascii="Calibri" w:hAnsi="Calibri"/>
                <w:sz w:val="20"/>
                <w:szCs w:val="20"/>
              </w:rPr>
            </w:pPr>
            <w:r>
              <w:rPr>
                <w:rFonts w:ascii="Calibri" w:hAnsi="Calibri"/>
                <w:sz w:val="20"/>
                <w:szCs w:val="20"/>
              </w:rPr>
              <w:t>14,200,000.00</w:t>
            </w:r>
          </w:p>
        </w:tc>
      </w:tr>
      <w:tr w14:paraId="56A93B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010E9C65">
            <w:pPr>
              <w:ind w:firstLine="200" w:firstLineChars="100"/>
              <w:rPr>
                <w:rFonts w:ascii="Calibri" w:hAnsi="Calibri"/>
                <w:color w:val="000000"/>
                <w:sz w:val="20"/>
                <w:szCs w:val="20"/>
              </w:rPr>
            </w:pPr>
            <w:r>
              <w:rPr>
                <w:rFonts w:hint="eastAsia" w:ascii="Calibri" w:hAnsi="Calibri"/>
                <w:sz w:val="20"/>
                <w:szCs w:val="20"/>
              </w:rPr>
              <w:t>其中：子公司吸收少数股东投资收到的现金</w:t>
            </w:r>
          </w:p>
        </w:tc>
        <w:tc>
          <w:tcPr>
            <w:tcW w:w="1567" w:type="dxa"/>
            <w:tcBorders>
              <w:top w:val="outset" w:color="auto" w:sz="4" w:space="0"/>
              <w:left w:val="outset" w:color="auto" w:sz="4" w:space="0"/>
              <w:bottom w:val="outset" w:color="auto" w:sz="4" w:space="0"/>
              <w:right w:val="outset" w:color="auto" w:sz="4" w:space="0"/>
            </w:tcBorders>
            <w:vAlign w:val="center"/>
          </w:tcPr>
          <w:p w14:paraId="411DDBD6">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5270863D">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44F298B1">
            <w:pPr>
              <w:jc w:val="right"/>
              <w:rPr>
                <w:rFonts w:ascii="Calibri" w:hAnsi="Calibri"/>
                <w:sz w:val="20"/>
                <w:szCs w:val="20"/>
              </w:rPr>
            </w:pPr>
          </w:p>
        </w:tc>
      </w:tr>
      <w:tr w14:paraId="271FE4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03A3F7B2">
            <w:pPr>
              <w:ind w:firstLine="200" w:firstLineChars="100"/>
              <w:rPr>
                <w:rFonts w:ascii="Calibri" w:hAnsi="Calibri"/>
                <w:color w:val="000000"/>
                <w:sz w:val="20"/>
                <w:szCs w:val="20"/>
              </w:rPr>
            </w:pPr>
            <w:r>
              <w:rPr>
                <w:rFonts w:hint="eastAsia" w:ascii="Calibri" w:hAnsi="Calibri"/>
                <w:sz w:val="20"/>
                <w:szCs w:val="20"/>
              </w:rPr>
              <w:t>取得借款收到的现金</w:t>
            </w:r>
          </w:p>
        </w:tc>
        <w:tc>
          <w:tcPr>
            <w:tcW w:w="1567" w:type="dxa"/>
            <w:tcBorders>
              <w:top w:val="outset" w:color="auto" w:sz="4" w:space="0"/>
              <w:left w:val="outset" w:color="auto" w:sz="4" w:space="0"/>
              <w:bottom w:val="outset" w:color="auto" w:sz="4" w:space="0"/>
              <w:right w:val="outset" w:color="auto" w:sz="4" w:space="0"/>
            </w:tcBorders>
            <w:vAlign w:val="center"/>
          </w:tcPr>
          <w:p w14:paraId="234ADBF9">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23D39E10">
            <w:pPr>
              <w:jc w:val="right"/>
              <w:rPr>
                <w:rFonts w:ascii="Calibri" w:hAnsi="Calibri"/>
                <w:sz w:val="20"/>
                <w:szCs w:val="20"/>
              </w:rPr>
            </w:pPr>
            <w:r>
              <w:rPr>
                <w:rFonts w:ascii="Calibri" w:hAnsi="Calibri"/>
                <w:sz w:val="20"/>
                <w:szCs w:val="20"/>
              </w:rPr>
              <w:t>473,000,000.00</w:t>
            </w:r>
          </w:p>
        </w:tc>
        <w:tc>
          <w:tcPr>
            <w:tcW w:w="2168" w:type="dxa"/>
            <w:tcBorders>
              <w:top w:val="outset" w:color="auto" w:sz="4" w:space="0"/>
              <w:left w:val="outset" w:color="auto" w:sz="4" w:space="0"/>
              <w:bottom w:val="outset" w:color="auto" w:sz="4" w:space="0"/>
              <w:right w:val="outset" w:color="auto" w:sz="4" w:space="0"/>
            </w:tcBorders>
            <w:vAlign w:val="center"/>
          </w:tcPr>
          <w:p w14:paraId="1B0EB873">
            <w:pPr>
              <w:jc w:val="right"/>
              <w:rPr>
                <w:rFonts w:ascii="Calibri" w:hAnsi="Calibri"/>
                <w:sz w:val="20"/>
                <w:szCs w:val="20"/>
              </w:rPr>
            </w:pPr>
            <w:r>
              <w:rPr>
                <w:rFonts w:ascii="Calibri" w:hAnsi="Calibri"/>
                <w:sz w:val="20"/>
                <w:szCs w:val="20"/>
              </w:rPr>
              <w:t>840,248,991.22</w:t>
            </w:r>
          </w:p>
        </w:tc>
      </w:tr>
      <w:tr w14:paraId="620AC7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0C8D7EBC">
            <w:pPr>
              <w:ind w:firstLine="200" w:firstLineChars="100"/>
              <w:rPr>
                <w:rFonts w:ascii="Calibri" w:hAnsi="Calibri"/>
                <w:color w:val="000000"/>
                <w:sz w:val="20"/>
                <w:szCs w:val="20"/>
              </w:rPr>
            </w:pPr>
            <w:r>
              <w:rPr>
                <w:rFonts w:hint="eastAsia" w:ascii="Calibri" w:hAnsi="Calibri"/>
                <w:sz w:val="20"/>
                <w:szCs w:val="20"/>
              </w:rPr>
              <w:t>收到其他与筹资活动有关的现金</w:t>
            </w:r>
          </w:p>
        </w:tc>
        <w:tc>
          <w:tcPr>
            <w:tcW w:w="1567" w:type="dxa"/>
            <w:tcBorders>
              <w:top w:val="outset" w:color="auto" w:sz="4" w:space="0"/>
              <w:left w:val="outset" w:color="auto" w:sz="4" w:space="0"/>
              <w:bottom w:val="outset" w:color="auto" w:sz="4" w:space="0"/>
              <w:right w:val="outset" w:color="auto" w:sz="4" w:space="0"/>
            </w:tcBorders>
            <w:vAlign w:val="center"/>
          </w:tcPr>
          <w:p w14:paraId="1F3DD677">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4D1224EC">
            <w:pPr>
              <w:jc w:val="right"/>
              <w:rPr>
                <w:rFonts w:ascii="Calibri" w:hAnsi="Calibri"/>
                <w:sz w:val="20"/>
                <w:szCs w:val="20"/>
              </w:rPr>
            </w:pPr>
            <w:r>
              <w:rPr>
                <w:rFonts w:ascii="Calibri" w:hAnsi="Calibri"/>
                <w:sz w:val="20"/>
                <w:szCs w:val="20"/>
              </w:rPr>
              <w:t>67,818,400.00</w:t>
            </w:r>
          </w:p>
        </w:tc>
        <w:tc>
          <w:tcPr>
            <w:tcW w:w="2168" w:type="dxa"/>
            <w:tcBorders>
              <w:top w:val="outset" w:color="auto" w:sz="4" w:space="0"/>
              <w:left w:val="outset" w:color="auto" w:sz="4" w:space="0"/>
              <w:bottom w:val="outset" w:color="auto" w:sz="4" w:space="0"/>
              <w:right w:val="outset" w:color="auto" w:sz="4" w:space="0"/>
            </w:tcBorders>
            <w:vAlign w:val="center"/>
          </w:tcPr>
          <w:p w14:paraId="5B885060">
            <w:pPr>
              <w:jc w:val="right"/>
              <w:rPr>
                <w:rFonts w:ascii="Calibri" w:hAnsi="Calibri"/>
                <w:sz w:val="20"/>
                <w:szCs w:val="20"/>
              </w:rPr>
            </w:pPr>
            <w:r>
              <w:rPr>
                <w:rFonts w:ascii="Calibri" w:hAnsi="Calibri"/>
                <w:sz w:val="20"/>
                <w:szCs w:val="20"/>
              </w:rPr>
              <w:t>7,245,976.65</w:t>
            </w:r>
          </w:p>
        </w:tc>
      </w:tr>
      <w:tr w14:paraId="182697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34006787">
            <w:pPr>
              <w:ind w:firstLine="400" w:firstLineChars="200"/>
              <w:rPr>
                <w:rFonts w:ascii="Calibri" w:hAnsi="Calibri"/>
                <w:color w:val="000000"/>
                <w:sz w:val="20"/>
                <w:szCs w:val="20"/>
              </w:rPr>
            </w:pPr>
            <w:r>
              <w:rPr>
                <w:rFonts w:hint="eastAsia" w:ascii="Calibri" w:hAnsi="Calibri"/>
                <w:sz w:val="20"/>
                <w:szCs w:val="20"/>
              </w:rPr>
              <w:t>筹资活动现金流入小计</w:t>
            </w:r>
          </w:p>
        </w:tc>
        <w:tc>
          <w:tcPr>
            <w:tcW w:w="1567" w:type="dxa"/>
            <w:tcBorders>
              <w:top w:val="outset" w:color="auto" w:sz="4" w:space="0"/>
              <w:left w:val="outset" w:color="auto" w:sz="4" w:space="0"/>
              <w:bottom w:val="outset" w:color="auto" w:sz="4" w:space="0"/>
              <w:right w:val="outset" w:color="auto" w:sz="4" w:space="0"/>
            </w:tcBorders>
            <w:vAlign w:val="center"/>
          </w:tcPr>
          <w:p w14:paraId="10571D9D">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78687582">
            <w:pPr>
              <w:jc w:val="right"/>
              <w:rPr>
                <w:rFonts w:ascii="Calibri" w:hAnsi="Calibri"/>
                <w:sz w:val="20"/>
                <w:szCs w:val="20"/>
              </w:rPr>
            </w:pPr>
            <w:r>
              <w:rPr>
                <w:rFonts w:ascii="Calibri" w:hAnsi="Calibri"/>
                <w:sz w:val="20"/>
                <w:szCs w:val="20"/>
              </w:rPr>
              <w:t>549,545,500.00</w:t>
            </w:r>
          </w:p>
        </w:tc>
        <w:tc>
          <w:tcPr>
            <w:tcW w:w="2168" w:type="dxa"/>
            <w:tcBorders>
              <w:top w:val="outset" w:color="auto" w:sz="4" w:space="0"/>
              <w:left w:val="outset" w:color="auto" w:sz="4" w:space="0"/>
              <w:bottom w:val="outset" w:color="auto" w:sz="4" w:space="0"/>
              <w:right w:val="outset" w:color="auto" w:sz="4" w:space="0"/>
            </w:tcBorders>
            <w:vAlign w:val="center"/>
          </w:tcPr>
          <w:p w14:paraId="705886B9">
            <w:pPr>
              <w:jc w:val="right"/>
              <w:rPr>
                <w:rFonts w:ascii="Calibri" w:hAnsi="Calibri"/>
                <w:sz w:val="20"/>
                <w:szCs w:val="20"/>
              </w:rPr>
            </w:pPr>
            <w:r>
              <w:rPr>
                <w:rFonts w:ascii="Calibri" w:hAnsi="Calibri"/>
                <w:sz w:val="20"/>
                <w:szCs w:val="20"/>
              </w:rPr>
              <w:t>861,694,967.87</w:t>
            </w:r>
          </w:p>
        </w:tc>
      </w:tr>
      <w:tr w14:paraId="45BB1A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6EA5641E">
            <w:pPr>
              <w:ind w:firstLine="200" w:firstLineChars="100"/>
              <w:rPr>
                <w:rFonts w:ascii="Calibri" w:hAnsi="Calibri"/>
                <w:color w:val="000000"/>
                <w:sz w:val="20"/>
                <w:szCs w:val="20"/>
              </w:rPr>
            </w:pPr>
            <w:r>
              <w:rPr>
                <w:rFonts w:hint="eastAsia" w:ascii="Calibri" w:hAnsi="Calibri"/>
                <w:sz w:val="20"/>
                <w:szCs w:val="20"/>
              </w:rPr>
              <w:t>偿还债务支付的现金</w:t>
            </w:r>
          </w:p>
        </w:tc>
        <w:tc>
          <w:tcPr>
            <w:tcW w:w="1567" w:type="dxa"/>
            <w:tcBorders>
              <w:top w:val="outset" w:color="auto" w:sz="4" w:space="0"/>
              <w:left w:val="outset" w:color="auto" w:sz="4" w:space="0"/>
              <w:bottom w:val="outset" w:color="auto" w:sz="4" w:space="0"/>
              <w:right w:val="outset" w:color="auto" w:sz="4" w:space="0"/>
            </w:tcBorders>
            <w:vAlign w:val="center"/>
          </w:tcPr>
          <w:p w14:paraId="6E427700">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096581F4">
            <w:pPr>
              <w:jc w:val="right"/>
              <w:rPr>
                <w:rFonts w:ascii="Calibri" w:hAnsi="Calibri"/>
                <w:sz w:val="20"/>
                <w:szCs w:val="20"/>
              </w:rPr>
            </w:pPr>
            <w:r>
              <w:rPr>
                <w:rFonts w:ascii="Calibri" w:hAnsi="Calibri"/>
                <w:sz w:val="20"/>
                <w:szCs w:val="20"/>
              </w:rPr>
              <w:t>648,897,463.22</w:t>
            </w:r>
          </w:p>
        </w:tc>
        <w:tc>
          <w:tcPr>
            <w:tcW w:w="2168" w:type="dxa"/>
            <w:tcBorders>
              <w:top w:val="outset" w:color="auto" w:sz="4" w:space="0"/>
              <w:left w:val="outset" w:color="auto" w:sz="4" w:space="0"/>
              <w:bottom w:val="outset" w:color="auto" w:sz="4" w:space="0"/>
              <w:right w:val="outset" w:color="auto" w:sz="4" w:space="0"/>
            </w:tcBorders>
            <w:vAlign w:val="center"/>
          </w:tcPr>
          <w:p w14:paraId="32D02375">
            <w:pPr>
              <w:jc w:val="right"/>
              <w:rPr>
                <w:rFonts w:ascii="Calibri" w:hAnsi="Calibri"/>
                <w:sz w:val="20"/>
                <w:szCs w:val="20"/>
              </w:rPr>
            </w:pPr>
            <w:r>
              <w:rPr>
                <w:rFonts w:ascii="Calibri" w:hAnsi="Calibri"/>
                <w:sz w:val="20"/>
                <w:szCs w:val="20"/>
              </w:rPr>
              <w:t>320,000,000.00</w:t>
            </w:r>
          </w:p>
        </w:tc>
      </w:tr>
      <w:tr w14:paraId="3AA0A8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3023E572">
            <w:pPr>
              <w:ind w:firstLine="200" w:firstLineChars="100"/>
              <w:rPr>
                <w:rFonts w:ascii="Calibri" w:hAnsi="Calibri"/>
                <w:sz w:val="20"/>
                <w:szCs w:val="20"/>
              </w:rPr>
            </w:pPr>
            <w:r>
              <w:rPr>
                <w:rFonts w:hint="eastAsia" w:ascii="Calibri" w:hAnsi="Calibri"/>
                <w:sz w:val="20"/>
                <w:szCs w:val="20"/>
              </w:rPr>
              <w:t>分配股利、利润或偿付利息支付的现金</w:t>
            </w:r>
          </w:p>
        </w:tc>
        <w:tc>
          <w:tcPr>
            <w:tcW w:w="1567" w:type="dxa"/>
            <w:tcBorders>
              <w:top w:val="outset" w:color="auto" w:sz="4" w:space="0"/>
              <w:left w:val="outset" w:color="auto" w:sz="4" w:space="0"/>
              <w:bottom w:val="outset" w:color="auto" w:sz="4" w:space="0"/>
              <w:right w:val="outset" w:color="auto" w:sz="4" w:space="0"/>
            </w:tcBorders>
            <w:vAlign w:val="center"/>
          </w:tcPr>
          <w:p w14:paraId="58343453">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2A0734AF">
            <w:pPr>
              <w:jc w:val="right"/>
              <w:rPr>
                <w:rFonts w:ascii="Calibri" w:hAnsi="Calibri"/>
                <w:sz w:val="20"/>
                <w:szCs w:val="20"/>
              </w:rPr>
            </w:pPr>
            <w:r>
              <w:rPr>
                <w:rFonts w:ascii="Calibri" w:hAnsi="Calibri"/>
                <w:sz w:val="20"/>
                <w:szCs w:val="20"/>
              </w:rPr>
              <w:t>505,280,516.99</w:t>
            </w:r>
          </w:p>
        </w:tc>
        <w:tc>
          <w:tcPr>
            <w:tcW w:w="2168" w:type="dxa"/>
            <w:tcBorders>
              <w:top w:val="outset" w:color="auto" w:sz="4" w:space="0"/>
              <w:left w:val="outset" w:color="auto" w:sz="4" w:space="0"/>
              <w:bottom w:val="outset" w:color="auto" w:sz="4" w:space="0"/>
              <w:right w:val="outset" w:color="auto" w:sz="4" w:space="0"/>
            </w:tcBorders>
            <w:vAlign w:val="center"/>
          </w:tcPr>
          <w:p w14:paraId="355EA1E7">
            <w:pPr>
              <w:jc w:val="right"/>
              <w:rPr>
                <w:rFonts w:ascii="Calibri" w:hAnsi="Calibri"/>
                <w:sz w:val="20"/>
                <w:szCs w:val="20"/>
              </w:rPr>
            </w:pPr>
            <w:r>
              <w:rPr>
                <w:rFonts w:ascii="Calibri" w:hAnsi="Calibri"/>
                <w:sz w:val="20"/>
                <w:szCs w:val="20"/>
              </w:rPr>
              <w:t>505,787,740.82</w:t>
            </w:r>
          </w:p>
        </w:tc>
      </w:tr>
      <w:tr w14:paraId="53DC90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1D0850E1">
            <w:pPr>
              <w:ind w:firstLine="200" w:firstLineChars="100"/>
              <w:rPr>
                <w:rFonts w:ascii="Calibri" w:hAnsi="Calibri"/>
                <w:sz w:val="20"/>
                <w:szCs w:val="20"/>
              </w:rPr>
            </w:pPr>
            <w:r>
              <w:rPr>
                <w:rFonts w:hint="eastAsia" w:ascii="Calibri" w:hAnsi="Calibri"/>
                <w:sz w:val="20"/>
                <w:szCs w:val="20"/>
              </w:rPr>
              <w:t>其中：子公司支付给少数股东的股利、利润</w:t>
            </w:r>
          </w:p>
        </w:tc>
        <w:tc>
          <w:tcPr>
            <w:tcW w:w="1567" w:type="dxa"/>
            <w:tcBorders>
              <w:top w:val="outset" w:color="auto" w:sz="4" w:space="0"/>
              <w:left w:val="outset" w:color="auto" w:sz="4" w:space="0"/>
              <w:bottom w:val="outset" w:color="auto" w:sz="4" w:space="0"/>
              <w:right w:val="outset" w:color="auto" w:sz="4" w:space="0"/>
            </w:tcBorders>
            <w:vAlign w:val="center"/>
          </w:tcPr>
          <w:p w14:paraId="212983D1">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46FF2AE0">
            <w:pPr>
              <w:jc w:val="right"/>
              <w:rPr>
                <w:rFonts w:ascii="Calibri" w:hAnsi="Calibri"/>
                <w:sz w:val="20"/>
                <w:szCs w:val="20"/>
              </w:rPr>
            </w:pPr>
          </w:p>
        </w:tc>
        <w:tc>
          <w:tcPr>
            <w:tcW w:w="2168" w:type="dxa"/>
            <w:tcBorders>
              <w:top w:val="outset" w:color="auto" w:sz="4" w:space="0"/>
              <w:left w:val="outset" w:color="auto" w:sz="4" w:space="0"/>
              <w:bottom w:val="outset" w:color="auto" w:sz="4" w:space="0"/>
              <w:right w:val="outset" w:color="auto" w:sz="4" w:space="0"/>
            </w:tcBorders>
            <w:vAlign w:val="center"/>
          </w:tcPr>
          <w:p w14:paraId="18A8A1C3">
            <w:pPr>
              <w:jc w:val="right"/>
              <w:rPr>
                <w:rFonts w:ascii="Calibri" w:hAnsi="Calibri"/>
                <w:sz w:val="20"/>
                <w:szCs w:val="20"/>
              </w:rPr>
            </w:pPr>
          </w:p>
        </w:tc>
      </w:tr>
      <w:tr w14:paraId="31BAA5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3A58A864">
            <w:pPr>
              <w:ind w:firstLine="200" w:firstLineChars="100"/>
              <w:rPr>
                <w:rFonts w:ascii="Calibri" w:hAnsi="Calibri"/>
                <w:sz w:val="20"/>
                <w:szCs w:val="20"/>
              </w:rPr>
            </w:pPr>
            <w:r>
              <w:rPr>
                <w:rFonts w:hint="eastAsia" w:ascii="Calibri" w:hAnsi="Calibri"/>
                <w:sz w:val="20"/>
                <w:szCs w:val="20"/>
              </w:rPr>
              <w:t>支付其他与筹资活动有关的现金</w:t>
            </w:r>
          </w:p>
        </w:tc>
        <w:tc>
          <w:tcPr>
            <w:tcW w:w="1567" w:type="dxa"/>
            <w:tcBorders>
              <w:top w:val="outset" w:color="auto" w:sz="4" w:space="0"/>
              <w:left w:val="outset" w:color="auto" w:sz="4" w:space="0"/>
              <w:bottom w:val="outset" w:color="auto" w:sz="4" w:space="0"/>
              <w:right w:val="outset" w:color="auto" w:sz="4" w:space="0"/>
            </w:tcBorders>
            <w:vAlign w:val="center"/>
          </w:tcPr>
          <w:p w14:paraId="0C0D3508">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44EDE64E">
            <w:pPr>
              <w:jc w:val="right"/>
              <w:rPr>
                <w:rFonts w:ascii="Calibri" w:hAnsi="Calibri"/>
                <w:sz w:val="20"/>
                <w:szCs w:val="20"/>
              </w:rPr>
            </w:pPr>
            <w:r>
              <w:rPr>
                <w:rFonts w:ascii="Calibri" w:hAnsi="Calibri"/>
                <w:sz w:val="20"/>
                <w:szCs w:val="20"/>
              </w:rPr>
              <w:t>34,803,575.07</w:t>
            </w:r>
          </w:p>
        </w:tc>
        <w:tc>
          <w:tcPr>
            <w:tcW w:w="2168" w:type="dxa"/>
            <w:tcBorders>
              <w:top w:val="outset" w:color="auto" w:sz="4" w:space="0"/>
              <w:left w:val="outset" w:color="auto" w:sz="4" w:space="0"/>
              <w:bottom w:val="outset" w:color="auto" w:sz="4" w:space="0"/>
              <w:right w:val="outset" w:color="auto" w:sz="4" w:space="0"/>
            </w:tcBorders>
            <w:vAlign w:val="center"/>
          </w:tcPr>
          <w:p w14:paraId="1F70E81C">
            <w:pPr>
              <w:jc w:val="right"/>
              <w:rPr>
                <w:rFonts w:ascii="Calibri" w:hAnsi="Calibri"/>
                <w:sz w:val="20"/>
                <w:szCs w:val="20"/>
              </w:rPr>
            </w:pPr>
            <w:r>
              <w:rPr>
                <w:rFonts w:ascii="Calibri" w:hAnsi="Calibri"/>
                <w:sz w:val="20"/>
                <w:szCs w:val="20"/>
              </w:rPr>
              <w:t>443,668,111.54</w:t>
            </w:r>
          </w:p>
        </w:tc>
      </w:tr>
      <w:tr w14:paraId="0B330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6BFF1759">
            <w:pPr>
              <w:ind w:firstLine="400" w:firstLineChars="200"/>
              <w:rPr>
                <w:rFonts w:ascii="Calibri" w:hAnsi="Calibri"/>
                <w:color w:val="000000"/>
                <w:sz w:val="20"/>
                <w:szCs w:val="20"/>
              </w:rPr>
            </w:pPr>
            <w:r>
              <w:rPr>
                <w:rFonts w:hint="eastAsia" w:ascii="Calibri" w:hAnsi="Calibri"/>
                <w:sz w:val="20"/>
                <w:szCs w:val="20"/>
              </w:rPr>
              <w:t>筹资活动现金流出小计</w:t>
            </w:r>
          </w:p>
        </w:tc>
        <w:tc>
          <w:tcPr>
            <w:tcW w:w="1567" w:type="dxa"/>
            <w:tcBorders>
              <w:top w:val="outset" w:color="auto" w:sz="4" w:space="0"/>
              <w:left w:val="outset" w:color="auto" w:sz="4" w:space="0"/>
              <w:bottom w:val="outset" w:color="auto" w:sz="4" w:space="0"/>
              <w:right w:val="outset" w:color="auto" w:sz="4" w:space="0"/>
            </w:tcBorders>
            <w:vAlign w:val="center"/>
          </w:tcPr>
          <w:p w14:paraId="06E0AEC8">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24FD07C2">
            <w:pPr>
              <w:jc w:val="right"/>
              <w:rPr>
                <w:rFonts w:ascii="Calibri" w:hAnsi="Calibri"/>
                <w:sz w:val="20"/>
                <w:szCs w:val="20"/>
              </w:rPr>
            </w:pPr>
            <w:r>
              <w:rPr>
                <w:rFonts w:ascii="Calibri" w:hAnsi="Calibri"/>
                <w:sz w:val="20"/>
                <w:szCs w:val="20"/>
              </w:rPr>
              <w:t>1,188,981,555.28</w:t>
            </w:r>
          </w:p>
        </w:tc>
        <w:tc>
          <w:tcPr>
            <w:tcW w:w="2168" w:type="dxa"/>
            <w:tcBorders>
              <w:top w:val="outset" w:color="auto" w:sz="4" w:space="0"/>
              <w:left w:val="outset" w:color="auto" w:sz="4" w:space="0"/>
              <w:bottom w:val="outset" w:color="auto" w:sz="4" w:space="0"/>
              <w:right w:val="outset" w:color="auto" w:sz="4" w:space="0"/>
            </w:tcBorders>
            <w:vAlign w:val="center"/>
          </w:tcPr>
          <w:p w14:paraId="16FBBE02">
            <w:pPr>
              <w:jc w:val="right"/>
              <w:rPr>
                <w:rFonts w:ascii="Calibri" w:hAnsi="Calibri"/>
                <w:sz w:val="20"/>
                <w:szCs w:val="20"/>
              </w:rPr>
            </w:pPr>
            <w:r>
              <w:rPr>
                <w:rFonts w:ascii="Calibri" w:hAnsi="Calibri"/>
                <w:sz w:val="20"/>
                <w:szCs w:val="20"/>
              </w:rPr>
              <w:t>1,269,455,852.36</w:t>
            </w:r>
          </w:p>
        </w:tc>
      </w:tr>
      <w:tr w14:paraId="0B5B1E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01A38205">
            <w:pPr>
              <w:ind w:firstLine="600" w:firstLineChars="300"/>
              <w:rPr>
                <w:rFonts w:ascii="Calibri" w:hAnsi="Calibri"/>
                <w:color w:val="000000"/>
                <w:sz w:val="20"/>
                <w:szCs w:val="20"/>
              </w:rPr>
            </w:pPr>
            <w:r>
              <w:rPr>
                <w:rFonts w:hint="eastAsia" w:ascii="Calibri" w:hAnsi="Calibri"/>
                <w:sz w:val="20"/>
                <w:szCs w:val="20"/>
              </w:rPr>
              <w:t>筹资活动产生的现金流量净额</w:t>
            </w:r>
          </w:p>
        </w:tc>
        <w:tc>
          <w:tcPr>
            <w:tcW w:w="1567" w:type="dxa"/>
            <w:tcBorders>
              <w:top w:val="outset" w:color="auto" w:sz="4" w:space="0"/>
              <w:left w:val="outset" w:color="auto" w:sz="4" w:space="0"/>
              <w:bottom w:val="outset" w:color="auto" w:sz="4" w:space="0"/>
              <w:right w:val="outset" w:color="auto" w:sz="4" w:space="0"/>
            </w:tcBorders>
            <w:vAlign w:val="center"/>
          </w:tcPr>
          <w:p w14:paraId="46131F3C">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56D82CEE">
            <w:pPr>
              <w:jc w:val="right"/>
              <w:rPr>
                <w:rFonts w:ascii="Calibri" w:hAnsi="Calibri"/>
                <w:sz w:val="20"/>
                <w:szCs w:val="20"/>
              </w:rPr>
            </w:pPr>
            <w:r>
              <w:rPr>
                <w:rFonts w:ascii="Calibri" w:hAnsi="Calibri"/>
                <w:sz w:val="20"/>
                <w:szCs w:val="20"/>
              </w:rPr>
              <w:t>-639,436,055.28</w:t>
            </w:r>
          </w:p>
        </w:tc>
        <w:tc>
          <w:tcPr>
            <w:tcW w:w="2168" w:type="dxa"/>
            <w:tcBorders>
              <w:top w:val="outset" w:color="auto" w:sz="4" w:space="0"/>
              <w:left w:val="outset" w:color="auto" w:sz="4" w:space="0"/>
              <w:bottom w:val="outset" w:color="auto" w:sz="4" w:space="0"/>
              <w:right w:val="outset" w:color="auto" w:sz="4" w:space="0"/>
            </w:tcBorders>
            <w:vAlign w:val="center"/>
          </w:tcPr>
          <w:p w14:paraId="1225A978">
            <w:pPr>
              <w:jc w:val="right"/>
              <w:rPr>
                <w:rFonts w:ascii="Calibri" w:hAnsi="Calibri"/>
                <w:sz w:val="20"/>
                <w:szCs w:val="20"/>
              </w:rPr>
            </w:pPr>
            <w:r>
              <w:rPr>
                <w:rFonts w:ascii="Calibri" w:hAnsi="Calibri"/>
                <w:sz w:val="20"/>
                <w:szCs w:val="20"/>
              </w:rPr>
              <w:t>-407,760,884.49</w:t>
            </w:r>
          </w:p>
        </w:tc>
      </w:tr>
      <w:tr w14:paraId="69FF52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3FDF88E2">
            <w:pPr>
              <w:rPr>
                <w:rFonts w:ascii="Calibri" w:hAnsi="Calibri"/>
                <w:color w:val="000000"/>
                <w:sz w:val="20"/>
                <w:szCs w:val="20"/>
              </w:rPr>
            </w:pPr>
            <w:r>
              <w:rPr>
                <w:rFonts w:hint="eastAsia" w:ascii="Calibri" w:hAnsi="Calibri"/>
                <w:b/>
                <w:bCs/>
                <w:sz w:val="20"/>
                <w:szCs w:val="20"/>
              </w:rPr>
              <w:t>四、汇率变动对现金及现金等价物的影响</w:t>
            </w:r>
          </w:p>
        </w:tc>
        <w:tc>
          <w:tcPr>
            <w:tcW w:w="1567" w:type="dxa"/>
            <w:tcBorders>
              <w:top w:val="outset" w:color="auto" w:sz="4" w:space="0"/>
              <w:left w:val="outset" w:color="auto" w:sz="4" w:space="0"/>
              <w:bottom w:val="outset" w:color="auto" w:sz="4" w:space="0"/>
              <w:right w:val="outset" w:color="auto" w:sz="4" w:space="0"/>
            </w:tcBorders>
            <w:vAlign w:val="center"/>
          </w:tcPr>
          <w:p w14:paraId="4E3DC851">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5776B908">
            <w:pPr>
              <w:jc w:val="right"/>
              <w:rPr>
                <w:rFonts w:ascii="Calibri" w:hAnsi="Calibri"/>
                <w:sz w:val="20"/>
                <w:szCs w:val="20"/>
              </w:rPr>
            </w:pPr>
            <w:r>
              <w:rPr>
                <w:rFonts w:ascii="Calibri" w:hAnsi="Calibri"/>
                <w:sz w:val="20"/>
                <w:szCs w:val="20"/>
              </w:rPr>
              <w:t>67,531.68</w:t>
            </w:r>
          </w:p>
        </w:tc>
        <w:tc>
          <w:tcPr>
            <w:tcW w:w="2168" w:type="dxa"/>
            <w:tcBorders>
              <w:top w:val="outset" w:color="auto" w:sz="4" w:space="0"/>
              <w:left w:val="outset" w:color="auto" w:sz="4" w:space="0"/>
              <w:bottom w:val="outset" w:color="auto" w:sz="4" w:space="0"/>
              <w:right w:val="outset" w:color="auto" w:sz="4" w:space="0"/>
            </w:tcBorders>
            <w:vAlign w:val="center"/>
          </w:tcPr>
          <w:p w14:paraId="627AF25F">
            <w:pPr>
              <w:jc w:val="right"/>
              <w:rPr>
                <w:rFonts w:ascii="Calibri" w:hAnsi="Calibri"/>
                <w:sz w:val="20"/>
                <w:szCs w:val="20"/>
              </w:rPr>
            </w:pPr>
            <w:r>
              <w:rPr>
                <w:rFonts w:ascii="Calibri" w:hAnsi="Calibri"/>
                <w:sz w:val="20"/>
                <w:szCs w:val="20"/>
              </w:rPr>
              <w:t>344,236.70</w:t>
            </w:r>
          </w:p>
        </w:tc>
      </w:tr>
      <w:tr w14:paraId="57EBC3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0CDA9B20">
            <w:pPr>
              <w:rPr>
                <w:rFonts w:ascii="Calibri" w:hAnsi="Calibri"/>
                <w:color w:val="000000"/>
                <w:sz w:val="20"/>
                <w:szCs w:val="20"/>
              </w:rPr>
            </w:pPr>
            <w:r>
              <w:rPr>
                <w:rFonts w:hint="eastAsia" w:ascii="Calibri" w:hAnsi="Calibri"/>
                <w:b/>
                <w:bCs/>
                <w:sz w:val="20"/>
                <w:szCs w:val="20"/>
              </w:rPr>
              <w:t>五、现金及现金等价物净增加额</w:t>
            </w:r>
          </w:p>
        </w:tc>
        <w:tc>
          <w:tcPr>
            <w:tcW w:w="1567" w:type="dxa"/>
            <w:tcBorders>
              <w:top w:val="outset" w:color="auto" w:sz="4" w:space="0"/>
              <w:left w:val="outset" w:color="auto" w:sz="4" w:space="0"/>
              <w:bottom w:val="outset" w:color="auto" w:sz="4" w:space="0"/>
              <w:right w:val="outset" w:color="auto" w:sz="4" w:space="0"/>
            </w:tcBorders>
            <w:vAlign w:val="center"/>
          </w:tcPr>
          <w:p w14:paraId="543E3959">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534B0129">
            <w:pPr>
              <w:jc w:val="right"/>
              <w:rPr>
                <w:rFonts w:ascii="Calibri" w:hAnsi="Calibri"/>
                <w:sz w:val="20"/>
                <w:szCs w:val="20"/>
              </w:rPr>
            </w:pPr>
            <w:r>
              <w:rPr>
                <w:rFonts w:ascii="Calibri" w:hAnsi="Calibri"/>
                <w:sz w:val="20"/>
                <w:szCs w:val="20"/>
              </w:rPr>
              <w:t>834,982,237.69</w:t>
            </w:r>
          </w:p>
        </w:tc>
        <w:tc>
          <w:tcPr>
            <w:tcW w:w="2168" w:type="dxa"/>
            <w:tcBorders>
              <w:top w:val="outset" w:color="auto" w:sz="4" w:space="0"/>
              <w:left w:val="outset" w:color="auto" w:sz="4" w:space="0"/>
              <w:bottom w:val="outset" w:color="auto" w:sz="4" w:space="0"/>
              <w:right w:val="outset" w:color="auto" w:sz="4" w:space="0"/>
            </w:tcBorders>
            <w:vAlign w:val="center"/>
          </w:tcPr>
          <w:p w14:paraId="62158C6C">
            <w:pPr>
              <w:jc w:val="right"/>
              <w:rPr>
                <w:rFonts w:ascii="Calibri" w:hAnsi="Calibri"/>
                <w:sz w:val="20"/>
                <w:szCs w:val="20"/>
              </w:rPr>
            </w:pPr>
            <w:r>
              <w:rPr>
                <w:rFonts w:ascii="Calibri" w:hAnsi="Calibri"/>
                <w:sz w:val="20"/>
                <w:szCs w:val="20"/>
              </w:rPr>
              <w:t>-514,009,170.52</w:t>
            </w:r>
          </w:p>
        </w:tc>
      </w:tr>
      <w:tr w14:paraId="0B6F7C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0504093D">
            <w:pPr>
              <w:ind w:firstLine="200" w:firstLineChars="100"/>
              <w:rPr>
                <w:rFonts w:ascii="Calibri" w:hAnsi="Calibri"/>
                <w:color w:val="000000"/>
                <w:sz w:val="20"/>
                <w:szCs w:val="20"/>
              </w:rPr>
            </w:pPr>
            <w:r>
              <w:rPr>
                <w:rFonts w:hint="eastAsia" w:ascii="Calibri" w:hAnsi="Calibri"/>
                <w:sz w:val="20"/>
                <w:szCs w:val="20"/>
              </w:rPr>
              <w:t>加：期初现金及现金等价物余额</w:t>
            </w:r>
          </w:p>
        </w:tc>
        <w:tc>
          <w:tcPr>
            <w:tcW w:w="1567" w:type="dxa"/>
            <w:tcBorders>
              <w:top w:val="outset" w:color="auto" w:sz="4" w:space="0"/>
              <w:left w:val="outset" w:color="auto" w:sz="4" w:space="0"/>
              <w:bottom w:val="outset" w:color="auto" w:sz="4" w:space="0"/>
              <w:right w:val="outset" w:color="auto" w:sz="4" w:space="0"/>
            </w:tcBorders>
            <w:vAlign w:val="center"/>
          </w:tcPr>
          <w:p w14:paraId="257C74D5">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53DDE1CC">
            <w:pPr>
              <w:jc w:val="right"/>
              <w:rPr>
                <w:rFonts w:ascii="Calibri" w:hAnsi="Calibri"/>
                <w:sz w:val="20"/>
                <w:szCs w:val="20"/>
              </w:rPr>
            </w:pPr>
            <w:r>
              <w:rPr>
                <w:rFonts w:ascii="Calibri" w:hAnsi="Calibri"/>
                <w:sz w:val="20"/>
                <w:szCs w:val="20"/>
              </w:rPr>
              <w:t>590,195,292.13</w:t>
            </w:r>
          </w:p>
        </w:tc>
        <w:tc>
          <w:tcPr>
            <w:tcW w:w="2168" w:type="dxa"/>
            <w:tcBorders>
              <w:top w:val="outset" w:color="auto" w:sz="4" w:space="0"/>
              <w:left w:val="outset" w:color="auto" w:sz="4" w:space="0"/>
              <w:bottom w:val="outset" w:color="auto" w:sz="4" w:space="0"/>
              <w:right w:val="outset" w:color="auto" w:sz="4" w:space="0"/>
            </w:tcBorders>
            <w:vAlign w:val="center"/>
          </w:tcPr>
          <w:p w14:paraId="58DF1C56">
            <w:pPr>
              <w:jc w:val="right"/>
              <w:rPr>
                <w:rFonts w:ascii="Calibri" w:hAnsi="Calibri"/>
                <w:sz w:val="20"/>
                <w:szCs w:val="20"/>
              </w:rPr>
            </w:pPr>
            <w:r>
              <w:rPr>
                <w:rFonts w:ascii="Calibri" w:hAnsi="Calibri"/>
                <w:sz w:val="20"/>
                <w:szCs w:val="20"/>
              </w:rPr>
              <w:t>1,104,204,462.65</w:t>
            </w:r>
          </w:p>
        </w:tc>
      </w:tr>
      <w:tr w14:paraId="48F3B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1" w:type="dxa"/>
            <w:tcBorders>
              <w:top w:val="outset" w:color="auto" w:sz="4" w:space="0"/>
              <w:left w:val="outset" w:color="auto" w:sz="4" w:space="0"/>
              <w:bottom w:val="outset" w:color="auto" w:sz="4" w:space="0"/>
              <w:right w:val="outset" w:color="auto" w:sz="4" w:space="0"/>
            </w:tcBorders>
            <w:vAlign w:val="center"/>
          </w:tcPr>
          <w:p w14:paraId="0695FE68">
            <w:pPr>
              <w:rPr>
                <w:rFonts w:ascii="Calibri" w:hAnsi="Calibri"/>
                <w:color w:val="000000"/>
                <w:sz w:val="20"/>
                <w:szCs w:val="20"/>
              </w:rPr>
            </w:pPr>
            <w:r>
              <w:rPr>
                <w:rFonts w:hint="eastAsia" w:ascii="Calibri" w:hAnsi="Calibri"/>
                <w:b/>
                <w:bCs/>
                <w:sz w:val="20"/>
                <w:szCs w:val="20"/>
              </w:rPr>
              <w:t>六、期末现金及现金等价物余额</w:t>
            </w:r>
          </w:p>
        </w:tc>
        <w:tc>
          <w:tcPr>
            <w:tcW w:w="1567" w:type="dxa"/>
            <w:tcBorders>
              <w:top w:val="outset" w:color="auto" w:sz="4" w:space="0"/>
              <w:left w:val="outset" w:color="auto" w:sz="4" w:space="0"/>
              <w:bottom w:val="outset" w:color="auto" w:sz="4" w:space="0"/>
              <w:right w:val="outset" w:color="auto" w:sz="4" w:space="0"/>
            </w:tcBorders>
            <w:vAlign w:val="center"/>
          </w:tcPr>
          <w:p w14:paraId="381DD448">
            <w:pPr>
              <w:pStyle w:val="48"/>
              <w:rPr>
                <w:sz w:val="20"/>
                <w:szCs w:val="20"/>
              </w:rPr>
            </w:pPr>
          </w:p>
        </w:tc>
        <w:tc>
          <w:tcPr>
            <w:tcW w:w="2173" w:type="dxa"/>
            <w:tcBorders>
              <w:top w:val="outset" w:color="auto" w:sz="4" w:space="0"/>
              <w:left w:val="outset" w:color="auto" w:sz="4" w:space="0"/>
              <w:bottom w:val="outset" w:color="auto" w:sz="4" w:space="0"/>
              <w:right w:val="outset" w:color="auto" w:sz="4" w:space="0"/>
            </w:tcBorders>
            <w:vAlign w:val="center"/>
          </w:tcPr>
          <w:p w14:paraId="5A77CE7A">
            <w:pPr>
              <w:jc w:val="right"/>
              <w:rPr>
                <w:rFonts w:ascii="Calibri" w:hAnsi="Calibri"/>
                <w:sz w:val="20"/>
                <w:szCs w:val="20"/>
              </w:rPr>
            </w:pPr>
            <w:r>
              <w:rPr>
                <w:rFonts w:ascii="Calibri" w:hAnsi="Calibri"/>
                <w:sz w:val="20"/>
                <w:szCs w:val="20"/>
              </w:rPr>
              <w:t>1,425,177,529.82</w:t>
            </w:r>
          </w:p>
        </w:tc>
        <w:tc>
          <w:tcPr>
            <w:tcW w:w="2168" w:type="dxa"/>
            <w:tcBorders>
              <w:top w:val="outset" w:color="auto" w:sz="4" w:space="0"/>
              <w:left w:val="outset" w:color="auto" w:sz="4" w:space="0"/>
              <w:bottom w:val="outset" w:color="auto" w:sz="4" w:space="0"/>
              <w:right w:val="outset" w:color="auto" w:sz="4" w:space="0"/>
            </w:tcBorders>
            <w:vAlign w:val="center"/>
          </w:tcPr>
          <w:p w14:paraId="2F125900">
            <w:pPr>
              <w:jc w:val="right"/>
              <w:rPr>
                <w:rFonts w:ascii="Calibri" w:hAnsi="Calibri"/>
                <w:sz w:val="20"/>
                <w:szCs w:val="20"/>
              </w:rPr>
            </w:pPr>
            <w:r>
              <w:rPr>
                <w:rFonts w:ascii="Calibri" w:hAnsi="Calibri"/>
                <w:sz w:val="20"/>
                <w:szCs w:val="20"/>
              </w:rPr>
              <w:t>590,195,292.13</w:t>
            </w:r>
          </w:p>
        </w:tc>
      </w:tr>
    </w:tbl>
    <w:p w14:paraId="5D2A7F61">
      <w:pPr>
        <w:pStyle w:val="48"/>
      </w:pPr>
    </w:p>
    <w:p w14:paraId="3AB9031D">
      <w:pPr>
        <w:snapToGrid w:val="0"/>
        <w:spacing w:line="240" w:lineRule="atLeast"/>
        <w:ind w:right="25" w:rightChars="12"/>
        <w:rPr>
          <w:b/>
          <w:bCs/>
          <w:color w:val="FF0000"/>
        </w:rPr>
      </w:pPr>
      <w:r>
        <w:rPr>
          <w:rFonts w:hint="eastAsia"/>
        </w:rPr>
        <w:t>公司负责</w:t>
      </w:r>
      <w:r>
        <w:t>人</w:t>
      </w:r>
      <w:r>
        <w:rPr>
          <w:rFonts w:hint="eastAsia"/>
        </w:rPr>
        <w:t>：</w:t>
      </w:r>
      <w:sdt>
        <w:sdtPr>
          <w:rPr>
            <w:rFonts w:hint="eastAsia"/>
          </w:rPr>
          <w:alias w:val="公司负责人姓名"/>
          <w:tag w:val="_GBC_d1f7cb193ab444ff8482a06aad12f0db"/>
          <w:id w:val="1131739781"/>
          <w:placeholder>
            <w:docPart w:val="GBC22222222222222222222222222222"/>
          </w:placeholder>
          <w:dataBinding w:prefixMappings="xmlns:clcid-mr='clcid-mr'" w:xpath="/*/clcid-mr:GongSiFuZeRenXingMing[not(@periodRef)]" w:storeItemID="{89EBAB94-44A0-46A2-B712-30D997D04A6D}"/>
          <w:text/>
        </w:sdtPr>
        <w:sdtEndPr>
          <w:rPr>
            <w:rFonts w:hint="eastAsia"/>
          </w:rPr>
        </w:sdtEndPr>
        <w:sdtContent>
          <w:r>
            <w:rPr>
              <w:rFonts w:hint="eastAsia"/>
            </w:rPr>
            <w:t>李佳鸿</w:t>
          </w:r>
        </w:sdtContent>
      </w:sdt>
      <w:r>
        <w:rPr>
          <w:rFonts w:hint="eastAsia"/>
        </w:rPr>
        <w:t xml:space="preserve"> </w:t>
      </w:r>
      <w:r>
        <w:t xml:space="preserve">        主管会计工作负责人</w:t>
      </w:r>
      <w:r>
        <w:rPr>
          <w:rFonts w:hint="eastAsia"/>
        </w:rPr>
        <w:t>：</w:t>
      </w:r>
      <w:sdt>
        <w:sdtPr>
          <w:rPr>
            <w:rFonts w:hint="eastAsia"/>
          </w:rPr>
          <w:alias w:val="主管会计工作负责人姓名"/>
          <w:tag w:val="_GBC_45110b4746914613a7aad68cef7b1bed"/>
          <w:id w:val="827101692"/>
          <w:placeholder>
            <w:docPart w:val="GBC22222222222222222222222222222"/>
          </w:placeholder>
          <w:dataBinding w:prefixMappings="xmlns:clcid-mr='clcid-mr'" w:xpath="/*/clcid-mr:ZhuGuanKuaiJiGongZuoFuZeRenXingMing[not(@periodRef)]" w:storeItemID="{89EBAB94-44A0-46A2-B712-30D997D04A6D}"/>
          <w:text/>
        </w:sdtPr>
        <w:sdtEndPr>
          <w:rPr>
            <w:rFonts w:hint="eastAsia"/>
          </w:rPr>
        </w:sdtEndPr>
        <w:sdtContent>
          <w:r>
            <w:rPr>
              <w:rFonts w:hint="eastAsia"/>
            </w:rPr>
            <w:t>迟军玉</w:t>
          </w:r>
        </w:sdtContent>
      </w:sdt>
      <w:r>
        <w:rPr>
          <w:rFonts w:hint="eastAsia"/>
        </w:rPr>
        <w:t xml:space="preserve"> </w:t>
      </w:r>
      <w:r>
        <w:t xml:space="preserve">       会计机构负责人</w:t>
      </w:r>
      <w:r>
        <w:rPr>
          <w:rFonts w:hint="eastAsia"/>
        </w:rPr>
        <w:t>：</w:t>
      </w:r>
      <w:sdt>
        <w:sdtPr>
          <w:rPr>
            <w:rFonts w:hint="eastAsia"/>
          </w:rPr>
          <w:alias w:val="会计机构负责人姓名"/>
          <w:tag w:val="_GBC_e7d70223996e482d9871cfff87704452"/>
          <w:id w:val="-790350843"/>
          <w:placeholder>
            <w:docPart w:val="GBC22222222222222222222222222222"/>
          </w:placeholder>
          <w:dataBinding w:prefixMappings="xmlns:clcid-mr='clcid-mr'" w:xpath="/*/clcid-mr:KuaiJiJiGouFuZeRenXingMing[not(@periodRef)]" w:storeItemID="{89EBAB94-44A0-46A2-B712-30D997D04A6D}"/>
          <w:text/>
        </w:sdtPr>
        <w:sdtEndPr>
          <w:rPr>
            <w:rFonts w:hint="eastAsia"/>
          </w:rPr>
        </w:sdtEndPr>
        <w:sdtContent>
          <w:r>
            <w:rPr>
              <w:rFonts w:hint="eastAsia"/>
            </w:rPr>
            <w:t>樊鸿宇</w:t>
          </w:r>
        </w:sdtContent>
      </w:sdt>
    </w:p>
    <w:p w14:paraId="784E4C93">
      <w:pPr>
        <w:pStyle w:val="48"/>
      </w:pPr>
    </w:p>
    <w:p w14:paraId="319AC8B5">
      <w:pPr>
        <w:jc w:val="center"/>
        <w:rPr>
          <w:b/>
          <w:bCs/>
        </w:rPr>
      </w:pPr>
    </w:p>
    <w:p w14:paraId="2BCA945C">
      <w:pPr>
        <w:jc w:val="center"/>
        <w:outlineLvl w:val="2"/>
        <w:rPr>
          <w:b/>
          <w:bCs/>
        </w:rPr>
        <w:sectPr>
          <w:pgSz w:w="11906" w:h="16838"/>
          <w:pgMar w:top="1525" w:right="1276" w:bottom="1440" w:left="1797" w:header="856" w:footer="992" w:gutter="0"/>
          <w:cols w:space="425" w:num="1"/>
          <w:docGrid w:linePitch="312" w:charSpace="0"/>
        </w:sectPr>
      </w:pPr>
    </w:p>
    <w:p w14:paraId="65670794">
      <w:pPr>
        <w:jc w:val="center"/>
        <w:outlineLvl w:val="2"/>
        <w:rPr>
          <w:b/>
          <w:bCs/>
        </w:rPr>
      </w:pPr>
      <w:r>
        <w:rPr>
          <w:rFonts w:hint="eastAsia"/>
          <w:b/>
          <w:bCs/>
        </w:rPr>
        <w:t>母公司</w:t>
      </w:r>
      <w:r>
        <w:rPr>
          <w:b/>
          <w:bCs/>
        </w:rPr>
        <w:t>现金流量表</w:t>
      </w:r>
    </w:p>
    <w:p w14:paraId="4CEDB6AF">
      <w:pPr>
        <w:jc w:val="center"/>
        <w:rPr>
          <w:b/>
          <w:bCs/>
        </w:rPr>
      </w:pPr>
      <w:r>
        <w:t>2025年</w:t>
      </w:r>
      <w:r>
        <w:rPr>
          <w:rFonts w:hint="eastAsia"/>
        </w:rPr>
        <w:t>1—12</w:t>
      </w:r>
      <w:r>
        <w:t>月</w:t>
      </w:r>
    </w:p>
    <w:p w14:paraId="62687C84">
      <w:pPr>
        <w:jc w:val="right"/>
      </w:pPr>
      <w:r>
        <w:t>单位</w:t>
      </w:r>
      <w:r>
        <w:rPr>
          <w:rFonts w:hint="eastAsia"/>
        </w:rPr>
        <w:t>：</w:t>
      </w:r>
      <w:sdt>
        <w:sdtPr>
          <w:alias w:val="单位：母公司现金流量表"/>
          <w:tag w:val="_GBC_993ead81b27a41dfaccaacfaec8b7c78"/>
          <w:id w:val="-2888980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币种</w:t>
      </w:r>
      <w:r>
        <w:rPr>
          <w:rFonts w:hint="eastAsia"/>
        </w:rPr>
        <w:t>：</w:t>
      </w:r>
      <w:sdt>
        <w:sdtPr>
          <w:alias w:val="币种：母公司现金流量表"/>
          <w:tag w:val="_GBC_2dd4b706d0a244a4b4c21166025356cc"/>
          <w:id w:val="-3706023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57"/>
        <w:tblW w:w="904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45"/>
        <w:gridCol w:w="1569"/>
        <w:gridCol w:w="2171"/>
        <w:gridCol w:w="2164"/>
      </w:tblGrid>
      <w:tr w14:paraId="3A0A29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sdt>
            <w:sdtPr>
              <w:tag w:val="_PLD_fa8a4a4fe8df4f0086d4a3f59744ef0c"/>
              <w:id w:val="-424498574"/>
            </w:sdtPr>
            <w:sdtContent>
              <w:p w14:paraId="35A981CE">
                <w:pPr>
                  <w:jc w:val="center"/>
                  <w:rPr>
                    <w:rFonts w:ascii="Calibri" w:hAnsi="Calibri"/>
                    <w:b/>
                    <w:sz w:val="20"/>
                    <w:szCs w:val="20"/>
                  </w:rPr>
                </w:pPr>
                <w:r>
                  <w:rPr>
                    <w:rFonts w:hint="eastAsia" w:ascii="Calibri" w:hAnsi="Calibri"/>
                    <w:b/>
                    <w:sz w:val="20"/>
                    <w:szCs w:val="20"/>
                  </w:rPr>
                  <w:t>项目</w:t>
                </w:r>
              </w:p>
            </w:sdtContent>
          </w:sdt>
        </w:tc>
        <w:tc>
          <w:tcPr>
            <w:tcW w:w="1569" w:type="dxa"/>
            <w:tcBorders>
              <w:top w:val="outset" w:color="auto" w:sz="4" w:space="0"/>
              <w:left w:val="outset" w:color="auto" w:sz="4" w:space="0"/>
              <w:bottom w:val="outset" w:color="auto" w:sz="4" w:space="0"/>
              <w:right w:val="outset" w:color="auto" w:sz="4" w:space="0"/>
            </w:tcBorders>
            <w:vAlign w:val="center"/>
          </w:tcPr>
          <w:sdt>
            <w:sdtPr>
              <w:tag w:val="_PLD_e2b9d4cf46994f4f99a9560554670b54"/>
              <w:id w:val="1111863218"/>
            </w:sdtPr>
            <w:sdtContent>
              <w:p w14:paraId="72E03A16">
                <w:pPr>
                  <w:autoSpaceDE w:val="0"/>
                  <w:autoSpaceDN w:val="0"/>
                  <w:adjustRightInd w:val="0"/>
                  <w:jc w:val="center"/>
                  <w:rPr>
                    <w:rFonts w:ascii="Calibri" w:hAnsi="Calibri"/>
                    <w:b/>
                    <w:sz w:val="20"/>
                    <w:szCs w:val="20"/>
                  </w:rPr>
                </w:pPr>
                <w:r>
                  <w:rPr>
                    <w:rFonts w:hint="eastAsia" w:ascii="Calibri" w:hAnsi="Calibri"/>
                    <w:b/>
                    <w:sz w:val="20"/>
                    <w:szCs w:val="20"/>
                  </w:rPr>
                  <w:t>附注</w:t>
                </w:r>
              </w:p>
            </w:sdtContent>
          </w:sdt>
        </w:tc>
        <w:tc>
          <w:tcPr>
            <w:tcW w:w="2171" w:type="dxa"/>
            <w:tcBorders>
              <w:top w:val="outset" w:color="auto" w:sz="4" w:space="0"/>
              <w:left w:val="outset" w:color="auto" w:sz="4" w:space="0"/>
              <w:bottom w:val="outset" w:color="auto" w:sz="4" w:space="0"/>
              <w:right w:val="outset" w:color="auto" w:sz="4" w:space="0"/>
            </w:tcBorders>
            <w:vAlign w:val="center"/>
          </w:tcPr>
          <w:sdt>
            <w:sdtPr>
              <w:tag w:val="_PLD_a5e1076b6ae14d71abde0e9180405588"/>
              <w:id w:val="-1781413645"/>
            </w:sdtPr>
            <w:sdtContent>
              <w:p w14:paraId="7633170B">
                <w:pPr>
                  <w:autoSpaceDE w:val="0"/>
                  <w:autoSpaceDN w:val="0"/>
                  <w:adjustRightInd w:val="0"/>
                  <w:jc w:val="center"/>
                  <w:rPr>
                    <w:rFonts w:ascii="Calibri" w:hAnsi="Calibri"/>
                    <w:b/>
                    <w:sz w:val="20"/>
                    <w:szCs w:val="20"/>
                  </w:rPr>
                </w:pPr>
                <w:r>
                  <w:rPr>
                    <w:rFonts w:hint="eastAsia" w:ascii="Calibri" w:hAnsi="Calibri"/>
                    <w:b/>
                    <w:sz w:val="20"/>
                    <w:szCs w:val="20"/>
                  </w:rPr>
                  <w:t>2025年度</w:t>
                </w:r>
              </w:p>
            </w:sdtContent>
          </w:sdt>
        </w:tc>
        <w:tc>
          <w:tcPr>
            <w:tcW w:w="2164" w:type="dxa"/>
            <w:tcBorders>
              <w:top w:val="outset" w:color="auto" w:sz="4" w:space="0"/>
              <w:left w:val="outset" w:color="auto" w:sz="4" w:space="0"/>
              <w:bottom w:val="outset" w:color="auto" w:sz="4" w:space="0"/>
              <w:right w:val="outset" w:color="auto" w:sz="4" w:space="0"/>
            </w:tcBorders>
            <w:vAlign w:val="center"/>
          </w:tcPr>
          <w:sdt>
            <w:sdtPr>
              <w:tag w:val="_PLD_9f1994ac47d2487c870c64df42698a51"/>
              <w:id w:val="-2116666827"/>
            </w:sdtPr>
            <w:sdtContent>
              <w:p w14:paraId="75B48769">
                <w:pPr>
                  <w:autoSpaceDE w:val="0"/>
                  <w:autoSpaceDN w:val="0"/>
                  <w:adjustRightInd w:val="0"/>
                  <w:jc w:val="center"/>
                  <w:rPr>
                    <w:rFonts w:ascii="Calibri" w:hAnsi="Calibri"/>
                    <w:b/>
                    <w:sz w:val="20"/>
                    <w:szCs w:val="20"/>
                  </w:rPr>
                </w:pPr>
                <w:r>
                  <w:rPr>
                    <w:rFonts w:hint="eastAsia" w:ascii="Calibri" w:hAnsi="Calibri"/>
                    <w:b/>
                    <w:sz w:val="20"/>
                    <w:szCs w:val="20"/>
                  </w:rPr>
                  <w:t>2024年度</w:t>
                </w:r>
              </w:p>
            </w:sdtContent>
          </w:sdt>
        </w:tc>
      </w:tr>
      <w:tr w14:paraId="406BCA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5384e7a1c2841c78793ee2e647fdb97"/>
            <w:id w:val="1348059584"/>
          </w:sdtPr>
          <w:sdtContent>
            <w:tc>
              <w:tcPr>
                <w:tcW w:w="9049" w:type="dxa"/>
                <w:gridSpan w:val="4"/>
                <w:tcBorders>
                  <w:top w:val="outset" w:color="auto" w:sz="4" w:space="0"/>
                  <w:left w:val="outset" w:color="auto" w:sz="4" w:space="0"/>
                  <w:bottom w:val="outset" w:color="auto" w:sz="4" w:space="0"/>
                  <w:right w:val="outset" w:color="auto" w:sz="4" w:space="0"/>
                </w:tcBorders>
                <w:vAlign w:val="center"/>
              </w:tcPr>
              <w:p w14:paraId="52B9B706">
                <w:pPr>
                  <w:pStyle w:val="48"/>
                  <w:rPr>
                    <w:sz w:val="20"/>
                    <w:szCs w:val="20"/>
                  </w:rPr>
                </w:pPr>
                <w:r>
                  <w:rPr>
                    <w:rFonts w:hint="eastAsia"/>
                    <w:b/>
                    <w:bCs/>
                    <w:sz w:val="20"/>
                    <w:szCs w:val="20"/>
                  </w:rPr>
                  <w:t>一、经营活动产生的现金流量：</w:t>
                </w:r>
              </w:p>
            </w:tc>
          </w:sdtContent>
        </w:sdt>
      </w:tr>
      <w:tr w14:paraId="1C24ED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51E48BCD">
            <w:pPr>
              <w:ind w:firstLine="200" w:firstLineChars="100"/>
              <w:rPr>
                <w:rFonts w:ascii="Calibri" w:hAnsi="Calibri"/>
                <w:color w:val="000000"/>
                <w:sz w:val="20"/>
                <w:szCs w:val="20"/>
              </w:rPr>
            </w:pPr>
            <w:r>
              <w:rPr>
                <w:rFonts w:hint="eastAsia" w:ascii="Calibri" w:hAnsi="Calibri"/>
                <w:sz w:val="20"/>
                <w:szCs w:val="20"/>
              </w:rPr>
              <w:t>销售商品、提供劳务收到的现金</w:t>
            </w:r>
          </w:p>
        </w:tc>
        <w:tc>
          <w:tcPr>
            <w:tcW w:w="1569" w:type="dxa"/>
            <w:tcBorders>
              <w:top w:val="outset" w:color="auto" w:sz="4" w:space="0"/>
              <w:left w:val="outset" w:color="auto" w:sz="4" w:space="0"/>
              <w:bottom w:val="outset" w:color="auto" w:sz="4" w:space="0"/>
              <w:right w:val="outset" w:color="auto" w:sz="4" w:space="0"/>
            </w:tcBorders>
            <w:vAlign w:val="center"/>
          </w:tcPr>
          <w:p w14:paraId="3ED5839F">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3A3DE1FD">
            <w:pPr>
              <w:jc w:val="right"/>
              <w:rPr>
                <w:rFonts w:ascii="Calibri" w:hAnsi="Calibri"/>
                <w:sz w:val="20"/>
                <w:szCs w:val="20"/>
              </w:rPr>
            </w:pPr>
            <w:r>
              <w:rPr>
                <w:rFonts w:ascii="Calibri" w:hAnsi="Calibri"/>
                <w:sz w:val="20"/>
                <w:szCs w:val="20"/>
              </w:rPr>
              <w:t>2,906,186,788.19</w:t>
            </w:r>
          </w:p>
        </w:tc>
        <w:tc>
          <w:tcPr>
            <w:tcW w:w="2164" w:type="dxa"/>
            <w:tcBorders>
              <w:top w:val="outset" w:color="auto" w:sz="4" w:space="0"/>
              <w:left w:val="outset" w:color="auto" w:sz="4" w:space="0"/>
              <w:bottom w:val="outset" w:color="auto" w:sz="4" w:space="0"/>
              <w:right w:val="outset" w:color="auto" w:sz="4" w:space="0"/>
            </w:tcBorders>
            <w:vAlign w:val="center"/>
          </w:tcPr>
          <w:p w14:paraId="4E1BD367">
            <w:pPr>
              <w:jc w:val="right"/>
              <w:rPr>
                <w:rFonts w:ascii="Calibri" w:hAnsi="Calibri"/>
                <w:sz w:val="20"/>
                <w:szCs w:val="20"/>
              </w:rPr>
            </w:pPr>
            <w:r>
              <w:rPr>
                <w:rFonts w:ascii="Calibri" w:hAnsi="Calibri"/>
                <w:sz w:val="20"/>
                <w:szCs w:val="20"/>
              </w:rPr>
              <w:t>2,279,709,141.23</w:t>
            </w:r>
          </w:p>
        </w:tc>
      </w:tr>
      <w:tr w14:paraId="55EDCC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14F13F30">
            <w:pPr>
              <w:ind w:firstLine="200" w:firstLineChars="100"/>
              <w:rPr>
                <w:rFonts w:ascii="Calibri" w:hAnsi="Calibri"/>
                <w:color w:val="000000"/>
                <w:sz w:val="20"/>
                <w:szCs w:val="20"/>
              </w:rPr>
            </w:pPr>
            <w:r>
              <w:rPr>
                <w:rFonts w:hint="eastAsia" w:ascii="Calibri" w:hAnsi="Calibri"/>
                <w:sz w:val="20"/>
                <w:szCs w:val="20"/>
              </w:rPr>
              <w:t>收到的税费返还</w:t>
            </w:r>
          </w:p>
        </w:tc>
        <w:tc>
          <w:tcPr>
            <w:tcW w:w="1569" w:type="dxa"/>
            <w:tcBorders>
              <w:top w:val="outset" w:color="auto" w:sz="4" w:space="0"/>
              <w:left w:val="outset" w:color="auto" w:sz="4" w:space="0"/>
              <w:bottom w:val="outset" w:color="auto" w:sz="4" w:space="0"/>
              <w:right w:val="outset" w:color="auto" w:sz="4" w:space="0"/>
            </w:tcBorders>
            <w:vAlign w:val="center"/>
          </w:tcPr>
          <w:p w14:paraId="5EFD2A03">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4DFED87A">
            <w:pPr>
              <w:jc w:val="right"/>
              <w:rPr>
                <w:rFonts w:ascii="Calibri" w:hAnsi="Calibri"/>
                <w:sz w:val="20"/>
                <w:szCs w:val="20"/>
              </w:rPr>
            </w:pPr>
          </w:p>
        </w:tc>
        <w:tc>
          <w:tcPr>
            <w:tcW w:w="2164" w:type="dxa"/>
            <w:tcBorders>
              <w:top w:val="outset" w:color="auto" w:sz="4" w:space="0"/>
              <w:left w:val="outset" w:color="auto" w:sz="4" w:space="0"/>
              <w:bottom w:val="outset" w:color="auto" w:sz="4" w:space="0"/>
              <w:right w:val="outset" w:color="auto" w:sz="4" w:space="0"/>
            </w:tcBorders>
            <w:vAlign w:val="center"/>
          </w:tcPr>
          <w:p w14:paraId="18707FEF">
            <w:pPr>
              <w:jc w:val="right"/>
              <w:rPr>
                <w:rFonts w:ascii="Calibri" w:hAnsi="Calibri"/>
                <w:sz w:val="20"/>
                <w:szCs w:val="20"/>
              </w:rPr>
            </w:pPr>
          </w:p>
        </w:tc>
      </w:tr>
      <w:tr w14:paraId="034C03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11EB156C">
            <w:pPr>
              <w:ind w:firstLine="200" w:firstLineChars="100"/>
              <w:rPr>
                <w:rFonts w:ascii="Calibri" w:hAnsi="Calibri"/>
                <w:color w:val="000000"/>
                <w:sz w:val="20"/>
                <w:szCs w:val="20"/>
              </w:rPr>
            </w:pPr>
            <w:r>
              <w:rPr>
                <w:rFonts w:hint="eastAsia" w:ascii="Calibri" w:hAnsi="Calibri"/>
                <w:sz w:val="20"/>
                <w:szCs w:val="20"/>
              </w:rPr>
              <w:t>收到其他与经营活动有关的现金</w:t>
            </w:r>
          </w:p>
        </w:tc>
        <w:tc>
          <w:tcPr>
            <w:tcW w:w="1569" w:type="dxa"/>
            <w:tcBorders>
              <w:top w:val="outset" w:color="auto" w:sz="4" w:space="0"/>
              <w:left w:val="outset" w:color="auto" w:sz="4" w:space="0"/>
              <w:bottom w:val="outset" w:color="auto" w:sz="4" w:space="0"/>
              <w:right w:val="outset" w:color="auto" w:sz="4" w:space="0"/>
            </w:tcBorders>
            <w:vAlign w:val="center"/>
          </w:tcPr>
          <w:p w14:paraId="06392A3F">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11512056">
            <w:pPr>
              <w:jc w:val="right"/>
              <w:rPr>
                <w:rFonts w:ascii="Calibri" w:hAnsi="Calibri"/>
                <w:sz w:val="20"/>
                <w:szCs w:val="20"/>
              </w:rPr>
            </w:pPr>
            <w:r>
              <w:rPr>
                <w:rFonts w:ascii="Calibri" w:hAnsi="Calibri"/>
                <w:sz w:val="20"/>
                <w:szCs w:val="20"/>
              </w:rPr>
              <w:t>24,328,544.35</w:t>
            </w:r>
          </w:p>
        </w:tc>
        <w:tc>
          <w:tcPr>
            <w:tcW w:w="2164" w:type="dxa"/>
            <w:tcBorders>
              <w:top w:val="outset" w:color="auto" w:sz="4" w:space="0"/>
              <w:left w:val="outset" w:color="auto" w:sz="4" w:space="0"/>
              <w:bottom w:val="outset" w:color="auto" w:sz="4" w:space="0"/>
              <w:right w:val="outset" w:color="auto" w:sz="4" w:space="0"/>
            </w:tcBorders>
            <w:vAlign w:val="center"/>
          </w:tcPr>
          <w:p w14:paraId="57C5F0D5">
            <w:pPr>
              <w:jc w:val="right"/>
              <w:rPr>
                <w:rFonts w:ascii="Calibri" w:hAnsi="Calibri"/>
                <w:sz w:val="20"/>
                <w:szCs w:val="20"/>
              </w:rPr>
            </w:pPr>
            <w:r>
              <w:rPr>
                <w:rFonts w:ascii="Calibri" w:hAnsi="Calibri"/>
                <w:sz w:val="20"/>
                <w:szCs w:val="20"/>
              </w:rPr>
              <w:t>17,230,430.07</w:t>
            </w:r>
          </w:p>
        </w:tc>
      </w:tr>
      <w:tr w14:paraId="269F3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521EBD49">
            <w:pPr>
              <w:ind w:firstLine="400" w:firstLineChars="200"/>
              <w:rPr>
                <w:rFonts w:ascii="Calibri" w:hAnsi="Calibri"/>
                <w:color w:val="000000"/>
                <w:sz w:val="20"/>
                <w:szCs w:val="20"/>
              </w:rPr>
            </w:pPr>
            <w:r>
              <w:rPr>
                <w:rFonts w:hint="eastAsia" w:ascii="Calibri" w:hAnsi="Calibri"/>
                <w:sz w:val="20"/>
                <w:szCs w:val="20"/>
              </w:rPr>
              <w:t>经营活动现金流入小计</w:t>
            </w:r>
          </w:p>
        </w:tc>
        <w:tc>
          <w:tcPr>
            <w:tcW w:w="1569" w:type="dxa"/>
            <w:tcBorders>
              <w:top w:val="outset" w:color="auto" w:sz="4" w:space="0"/>
              <w:left w:val="outset" w:color="auto" w:sz="4" w:space="0"/>
              <w:bottom w:val="outset" w:color="auto" w:sz="4" w:space="0"/>
              <w:right w:val="outset" w:color="auto" w:sz="4" w:space="0"/>
            </w:tcBorders>
            <w:vAlign w:val="center"/>
          </w:tcPr>
          <w:p w14:paraId="11F1EC5E">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7604D244">
            <w:pPr>
              <w:jc w:val="right"/>
              <w:rPr>
                <w:rFonts w:ascii="Calibri" w:hAnsi="Calibri"/>
                <w:sz w:val="20"/>
                <w:szCs w:val="20"/>
              </w:rPr>
            </w:pPr>
            <w:r>
              <w:rPr>
                <w:rFonts w:ascii="Calibri" w:hAnsi="Calibri"/>
                <w:sz w:val="20"/>
                <w:szCs w:val="20"/>
              </w:rPr>
              <w:t>2,930,515,332.54</w:t>
            </w:r>
          </w:p>
        </w:tc>
        <w:tc>
          <w:tcPr>
            <w:tcW w:w="2164" w:type="dxa"/>
            <w:tcBorders>
              <w:top w:val="outset" w:color="auto" w:sz="4" w:space="0"/>
              <w:left w:val="outset" w:color="auto" w:sz="4" w:space="0"/>
              <w:bottom w:val="outset" w:color="auto" w:sz="4" w:space="0"/>
              <w:right w:val="outset" w:color="auto" w:sz="4" w:space="0"/>
            </w:tcBorders>
            <w:vAlign w:val="center"/>
          </w:tcPr>
          <w:p w14:paraId="017388D0">
            <w:pPr>
              <w:jc w:val="right"/>
              <w:rPr>
                <w:rFonts w:ascii="Calibri" w:hAnsi="Calibri"/>
                <w:sz w:val="20"/>
                <w:szCs w:val="20"/>
              </w:rPr>
            </w:pPr>
            <w:r>
              <w:rPr>
                <w:rFonts w:ascii="Calibri" w:hAnsi="Calibri"/>
                <w:sz w:val="20"/>
                <w:szCs w:val="20"/>
              </w:rPr>
              <w:t>2,296,939,571.30</w:t>
            </w:r>
          </w:p>
        </w:tc>
      </w:tr>
      <w:tr w14:paraId="3813B4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2FC633C6">
            <w:pPr>
              <w:ind w:firstLine="200" w:firstLineChars="100"/>
              <w:rPr>
                <w:rFonts w:ascii="Calibri" w:hAnsi="Calibri"/>
                <w:sz w:val="20"/>
                <w:szCs w:val="20"/>
              </w:rPr>
            </w:pPr>
            <w:r>
              <w:rPr>
                <w:rFonts w:hint="eastAsia" w:ascii="Calibri" w:hAnsi="Calibri"/>
                <w:sz w:val="20"/>
                <w:szCs w:val="20"/>
              </w:rPr>
              <w:t>购买商品、接受劳务支付的现金</w:t>
            </w:r>
          </w:p>
        </w:tc>
        <w:tc>
          <w:tcPr>
            <w:tcW w:w="1569" w:type="dxa"/>
            <w:tcBorders>
              <w:top w:val="outset" w:color="auto" w:sz="4" w:space="0"/>
              <w:left w:val="outset" w:color="auto" w:sz="4" w:space="0"/>
              <w:bottom w:val="outset" w:color="auto" w:sz="4" w:space="0"/>
              <w:right w:val="outset" w:color="auto" w:sz="4" w:space="0"/>
            </w:tcBorders>
            <w:vAlign w:val="center"/>
          </w:tcPr>
          <w:p w14:paraId="0EFFC581">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6021A80D">
            <w:pPr>
              <w:jc w:val="right"/>
              <w:rPr>
                <w:rFonts w:ascii="Calibri" w:hAnsi="Calibri"/>
                <w:sz w:val="20"/>
                <w:szCs w:val="20"/>
              </w:rPr>
            </w:pPr>
            <w:r>
              <w:rPr>
                <w:rFonts w:ascii="Calibri" w:hAnsi="Calibri"/>
                <w:sz w:val="20"/>
                <w:szCs w:val="20"/>
              </w:rPr>
              <w:t>443,440,722.13</w:t>
            </w:r>
          </w:p>
        </w:tc>
        <w:tc>
          <w:tcPr>
            <w:tcW w:w="2164" w:type="dxa"/>
            <w:tcBorders>
              <w:top w:val="outset" w:color="auto" w:sz="4" w:space="0"/>
              <w:left w:val="outset" w:color="auto" w:sz="4" w:space="0"/>
              <w:bottom w:val="outset" w:color="auto" w:sz="4" w:space="0"/>
              <w:right w:val="outset" w:color="auto" w:sz="4" w:space="0"/>
            </w:tcBorders>
            <w:vAlign w:val="center"/>
          </w:tcPr>
          <w:p w14:paraId="45B7584E">
            <w:pPr>
              <w:jc w:val="right"/>
              <w:rPr>
                <w:rFonts w:ascii="Calibri" w:hAnsi="Calibri"/>
                <w:sz w:val="20"/>
                <w:szCs w:val="20"/>
              </w:rPr>
            </w:pPr>
            <w:r>
              <w:rPr>
                <w:rFonts w:ascii="Calibri" w:hAnsi="Calibri"/>
                <w:sz w:val="20"/>
                <w:szCs w:val="20"/>
              </w:rPr>
              <w:t>467,015,157.06</w:t>
            </w:r>
          </w:p>
        </w:tc>
      </w:tr>
      <w:tr w14:paraId="33D419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3434E906">
            <w:pPr>
              <w:ind w:firstLine="200" w:firstLineChars="100"/>
              <w:rPr>
                <w:rFonts w:ascii="Calibri" w:hAnsi="Calibri"/>
                <w:sz w:val="20"/>
                <w:szCs w:val="20"/>
              </w:rPr>
            </w:pPr>
            <w:r>
              <w:rPr>
                <w:rFonts w:hint="eastAsia" w:ascii="Calibri" w:hAnsi="Calibri"/>
                <w:sz w:val="20"/>
                <w:szCs w:val="20"/>
              </w:rPr>
              <w:t>支付给职工及为职工支付的现金</w:t>
            </w:r>
          </w:p>
        </w:tc>
        <w:tc>
          <w:tcPr>
            <w:tcW w:w="1569" w:type="dxa"/>
            <w:tcBorders>
              <w:top w:val="outset" w:color="auto" w:sz="4" w:space="0"/>
              <w:left w:val="outset" w:color="auto" w:sz="4" w:space="0"/>
              <w:bottom w:val="outset" w:color="auto" w:sz="4" w:space="0"/>
              <w:right w:val="outset" w:color="auto" w:sz="4" w:space="0"/>
            </w:tcBorders>
            <w:vAlign w:val="center"/>
          </w:tcPr>
          <w:p w14:paraId="76DCFBEE">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27641998">
            <w:pPr>
              <w:jc w:val="right"/>
              <w:rPr>
                <w:rFonts w:ascii="Calibri" w:hAnsi="Calibri"/>
                <w:sz w:val="20"/>
                <w:szCs w:val="20"/>
              </w:rPr>
            </w:pPr>
            <w:r>
              <w:rPr>
                <w:rFonts w:ascii="Calibri" w:hAnsi="Calibri"/>
                <w:sz w:val="20"/>
                <w:szCs w:val="20"/>
              </w:rPr>
              <w:t>567,484,213.57</w:t>
            </w:r>
          </w:p>
        </w:tc>
        <w:tc>
          <w:tcPr>
            <w:tcW w:w="2164" w:type="dxa"/>
            <w:tcBorders>
              <w:top w:val="outset" w:color="auto" w:sz="4" w:space="0"/>
              <w:left w:val="outset" w:color="auto" w:sz="4" w:space="0"/>
              <w:bottom w:val="outset" w:color="auto" w:sz="4" w:space="0"/>
              <w:right w:val="outset" w:color="auto" w:sz="4" w:space="0"/>
            </w:tcBorders>
            <w:vAlign w:val="center"/>
          </w:tcPr>
          <w:p w14:paraId="7A9BF18A">
            <w:pPr>
              <w:jc w:val="right"/>
              <w:rPr>
                <w:rFonts w:ascii="Calibri" w:hAnsi="Calibri"/>
                <w:sz w:val="20"/>
                <w:szCs w:val="20"/>
              </w:rPr>
            </w:pPr>
            <w:r>
              <w:rPr>
                <w:rFonts w:ascii="Calibri" w:hAnsi="Calibri"/>
                <w:sz w:val="20"/>
                <w:szCs w:val="20"/>
              </w:rPr>
              <w:t>441,283,993.70</w:t>
            </w:r>
          </w:p>
        </w:tc>
      </w:tr>
      <w:tr w14:paraId="32BBEA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5E32F80E">
            <w:pPr>
              <w:ind w:firstLine="200" w:firstLineChars="100"/>
              <w:rPr>
                <w:rFonts w:ascii="Calibri" w:hAnsi="Calibri"/>
                <w:sz w:val="20"/>
                <w:szCs w:val="20"/>
              </w:rPr>
            </w:pPr>
            <w:r>
              <w:rPr>
                <w:rFonts w:hint="eastAsia" w:ascii="Calibri" w:hAnsi="Calibri"/>
                <w:sz w:val="20"/>
                <w:szCs w:val="20"/>
              </w:rPr>
              <w:t>支付的各项税费</w:t>
            </w:r>
          </w:p>
        </w:tc>
        <w:tc>
          <w:tcPr>
            <w:tcW w:w="1569" w:type="dxa"/>
            <w:tcBorders>
              <w:top w:val="outset" w:color="auto" w:sz="4" w:space="0"/>
              <w:left w:val="outset" w:color="auto" w:sz="4" w:space="0"/>
              <w:bottom w:val="outset" w:color="auto" w:sz="4" w:space="0"/>
              <w:right w:val="outset" w:color="auto" w:sz="4" w:space="0"/>
            </w:tcBorders>
            <w:vAlign w:val="center"/>
          </w:tcPr>
          <w:p w14:paraId="6EC93137">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7BC96E47">
            <w:pPr>
              <w:jc w:val="right"/>
              <w:rPr>
                <w:rFonts w:ascii="Calibri" w:hAnsi="Calibri"/>
                <w:sz w:val="20"/>
                <w:szCs w:val="20"/>
              </w:rPr>
            </w:pPr>
            <w:r>
              <w:rPr>
                <w:rFonts w:ascii="Calibri" w:hAnsi="Calibri"/>
                <w:sz w:val="20"/>
                <w:szCs w:val="20"/>
              </w:rPr>
              <w:t>405,229,900.18</w:t>
            </w:r>
          </w:p>
        </w:tc>
        <w:tc>
          <w:tcPr>
            <w:tcW w:w="2164" w:type="dxa"/>
            <w:tcBorders>
              <w:top w:val="outset" w:color="auto" w:sz="4" w:space="0"/>
              <w:left w:val="outset" w:color="auto" w:sz="4" w:space="0"/>
              <w:bottom w:val="outset" w:color="auto" w:sz="4" w:space="0"/>
              <w:right w:val="outset" w:color="auto" w:sz="4" w:space="0"/>
            </w:tcBorders>
            <w:vAlign w:val="center"/>
          </w:tcPr>
          <w:p w14:paraId="6D7A53B3">
            <w:pPr>
              <w:jc w:val="right"/>
              <w:rPr>
                <w:rFonts w:ascii="Calibri" w:hAnsi="Calibri"/>
                <w:sz w:val="20"/>
                <w:szCs w:val="20"/>
              </w:rPr>
            </w:pPr>
            <w:r>
              <w:rPr>
                <w:rFonts w:ascii="Calibri" w:hAnsi="Calibri"/>
                <w:sz w:val="20"/>
                <w:szCs w:val="20"/>
              </w:rPr>
              <w:t>157,990,247.16</w:t>
            </w:r>
          </w:p>
        </w:tc>
      </w:tr>
      <w:tr w14:paraId="69777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3A0F99C0">
            <w:pPr>
              <w:ind w:firstLine="200" w:firstLineChars="100"/>
              <w:rPr>
                <w:rFonts w:ascii="Calibri" w:hAnsi="Calibri"/>
                <w:sz w:val="20"/>
                <w:szCs w:val="20"/>
              </w:rPr>
            </w:pPr>
            <w:r>
              <w:rPr>
                <w:rFonts w:hint="eastAsia" w:ascii="Calibri" w:hAnsi="Calibri"/>
                <w:sz w:val="20"/>
                <w:szCs w:val="20"/>
              </w:rPr>
              <w:t>支付其他与经营活动有关的现金</w:t>
            </w:r>
          </w:p>
        </w:tc>
        <w:tc>
          <w:tcPr>
            <w:tcW w:w="1569" w:type="dxa"/>
            <w:tcBorders>
              <w:top w:val="outset" w:color="auto" w:sz="4" w:space="0"/>
              <w:left w:val="outset" w:color="auto" w:sz="4" w:space="0"/>
              <w:bottom w:val="outset" w:color="auto" w:sz="4" w:space="0"/>
              <w:right w:val="outset" w:color="auto" w:sz="4" w:space="0"/>
            </w:tcBorders>
            <w:vAlign w:val="center"/>
          </w:tcPr>
          <w:p w14:paraId="41D20BEA">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7D070F6A">
            <w:pPr>
              <w:jc w:val="right"/>
              <w:rPr>
                <w:rFonts w:ascii="Calibri" w:hAnsi="Calibri"/>
                <w:sz w:val="20"/>
                <w:szCs w:val="20"/>
              </w:rPr>
            </w:pPr>
            <w:r>
              <w:rPr>
                <w:rFonts w:ascii="Calibri" w:hAnsi="Calibri"/>
                <w:sz w:val="20"/>
                <w:szCs w:val="20"/>
              </w:rPr>
              <w:t>829,568,738.02</w:t>
            </w:r>
          </w:p>
        </w:tc>
        <w:tc>
          <w:tcPr>
            <w:tcW w:w="2164" w:type="dxa"/>
            <w:tcBorders>
              <w:top w:val="outset" w:color="auto" w:sz="4" w:space="0"/>
              <w:left w:val="outset" w:color="auto" w:sz="4" w:space="0"/>
              <w:bottom w:val="outset" w:color="auto" w:sz="4" w:space="0"/>
              <w:right w:val="outset" w:color="auto" w:sz="4" w:space="0"/>
            </w:tcBorders>
            <w:vAlign w:val="center"/>
          </w:tcPr>
          <w:p w14:paraId="7E1B2AF6">
            <w:pPr>
              <w:jc w:val="right"/>
              <w:rPr>
                <w:rFonts w:ascii="Calibri" w:hAnsi="Calibri"/>
                <w:sz w:val="20"/>
                <w:szCs w:val="20"/>
              </w:rPr>
            </w:pPr>
            <w:r>
              <w:rPr>
                <w:rFonts w:ascii="Calibri" w:hAnsi="Calibri"/>
                <w:sz w:val="20"/>
                <w:szCs w:val="20"/>
              </w:rPr>
              <w:t>851,266,629.27</w:t>
            </w:r>
          </w:p>
        </w:tc>
      </w:tr>
      <w:tr w14:paraId="76FAFA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18F075DD">
            <w:pPr>
              <w:ind w:firstLine="400" w:firstLineChars="200"/>
              <w:rPr>
                <w:rFonts w:ascii="Calibri" w:hAnsi="Calibri"/>
                <w:color w:val="000000"/>
                <w:sz w:val="20"/>
                <w:szCs w:val="20"/>
              </w:rPr>
            </w:pPr>
            <w:r>
              <w:rPr>
                <w:rFonts w:hint="eastAsia" w:ascii="Calibri" w:hAnsi="Calibri"/>
                <w:sz w:val="20"/>
                <w:szCs w:val="20"/>
              </w:rPr>
              <w:t>经营活动现金流出小计</w:t>
            </w:r>
          </w:p>
        </w:tc>
        <w:tc>
          <w:tcPr>
            <w:tcW w:w="1569" w:type="dxa"/>
            <w:tcBorders>
              <w:top w:val="outset" w:color="auto" w:sz="4" w:space="0"/>
              <w:left w:val="outset" w:color="auto" w:sz="4" w:space="0"/>
              <w:bottom w:val="outset" w:color="auto" w:sz="4" w:space="0"/>
              <w:right w:val="outset" w:color="auto" w:sz="4" w:space="0"/>
            </w:tcBorders>
            <w:vAlign w:val="center"/>
          </w:tcPr>
          <w:p w14:paraId="067A0A30">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05F6FFE9">
            <w:pPr>
              <w:jc w:val="right"/>
              <w:rPr>
                <w:rFonts w:ascii="Calibri" w:hAnsi="Calibri"/>
                <w:sz w:val="20"/>
                <w:szCs w:val="20"/>
              </w:rPr>
            </w:pPr>
            <w:r>
              <w:rPr>
                <w:rFonts w:ascii="Calibri" w:hAnsi="Calibri"/>
                <w:sz w:val="20"/>
                <w:szCs w:val="20"/>
              </w:rPr>
              <w:t>2,245,723,573.90</w:t>
            </w:r>
          </w:p>
        </w:tc>
        <w:tc>
          <w:tcPr>
            <w:tcW w:w="2164" w:type="dxa"/>
            <w:tcBorders>
              <w:top w:val="outset" w:color="auto" w:sz="4" w:space="0"/>
              <w:left w:val="outset" w:color="auto" w:sz="4" w:space="0"/>
              <w:bottom w:val="outset" w:color="auto" w:sz="4" w:space="0"/>
              <w:right w:val="outset" w:color="auto" w:sz="4" w:space="0"/>
            </w:tcBorders>
            <w:vAlign w:val="center"/>
          </w:tcPr>
          <w:p w14:paraId="11822A3A">
            <w:pPr>
              <w:jc w:val="right"/>
              <w:rPr>
                <w:rFonts w:ascii="Calibri" w:hAnsi="Calibri"/>
                <w:sz w:val="20"/>
                <w:szCs w:val="20"/>
              </w:rPr>
            </w:pPr>
            <w:r>
              <w:rPr>
                <w:rFonts w:ascii="Calibri" w:hAnsi="Calibri"/>
                <w:sz w:val="20"/>
                <w:szCs w:val="20"/>
              </w:rPr>
              <w:t>1,917,556,027.19</w:t>
            </w:r>
          </w:p>
        </w:tc>
      </w:tr>
      <w:tr w14:paraId="146265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75C1B4DF">
            <w:pPr>
              <w:ind w:firstLine="200" w:firstLineChars="100"/>
              <w:rPr>
                <w:rFonts w:ascii="Calibri" w:hAnsi="Calibri"/>
                <w:color w:val="000000"/>
                <w:sz w:val="20"/>
                <w:szCs w:val="20"/>
              </w:rPr>
            </w:pPr>
            <w:r>
              <w:rPr>
                <w:rFonts w:hint="eastAsia" w:ascii="Calibri" w:hAnsi="Calibri"/>
                <w:sz w:val="20"/>
                <w:szCs w:val="20"/>
              </w:rPr>
              <w:t>经营活动产生的现金流量净额</w:t>
            </w:r>
          </w:p>
        </w:tc>
        <w:tc>
          <w:tcPr>
            <w:tcW w:w="1569" w:type="dxa"/>
            <w:tcBorders>
              <w:top w:val="outset" w:color="auto" w:sz="4" w:space="0"/>
              <w:left w:val="outset" w:color="auto" w:sz="4" w:space="0"/>
              <w:bottom w:val="outset" w:color="auto" w:sz="4" w:space="0"/>
              <w:right w:val="outset" w:color="auto" w:sz="4" w:space="0"/>
            </w:tcBorders>
            <w:vAlign w:val="center"/>
          </w:tcPr>
          <w:p w14:paraId="4C4E7875">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7A5349AE">
            <w:pPr>
              <w:jc w:val="right"/>
              <w:rPr>
                <w:rFonts w:ascii="Calibri" w:hAnsi="Calibri"/>
                <w:sz w:val="20"/>
                <w:szCs w:val="20"/>
              </w:rPr>
            </w:pPr>
            <w:r>
              <w:rPr>
                <w:rFonts w:ascii="Calibri" w:hAnsi="Calibri"/>
                <w:sz w:val="20"/>
                <w:szCs w:val="20"/>
              </w:rPr>
              <w:t>684,791,758.64</w:t>
            </w:r>
          </w:p>
        </w:tc>
        <w:tc>
          <w:tcPr>
            <w:tcW w:w="2164" w:type="dxa"/>
            <w:tcBorders>
              <w:top w:val="outset" w:color="auto" w:sz="4" w:space="0"/>
              <w:left w:val="outset" w:color="auto" w:sz="4" w:space="0"/>
              <w:bottom w:val="outset" w:color="auto" w:sz="4" w:space="0"/>
              <w:right w:val="outset" w:color="auto" w:sz="4" w:space="0"/>
            </w:tcBorders>
            <w:vAlign w:val="center"/>
          </w:tcPr>
          <w:p w14:paraId="591A9442">
            <w:pPr>
              <w:jc w:val="right"/>
              <w:rPr>
                <w:rFonts w:ascii="Calibri" w:hAnsi="Calibri"/>
                <w:sz w:val="20"/>
                <w:szCs w:val="20"/>
              </w:rPr>
            </w:pPr>
            <w:r>
              <w:rPr>
                <w:rFonts w:ascii="Calibri" w:hAnsi="Calibri"/>
                <w:sz w:val="20"/>
                <w:szCs w:val="20"/>
              </w:rPr>
              <w:t>379,383,544.11</w:t>
            </w:r>
          </w:p>
        </w:tc>
      </w:tr>
      <w:tr w14:paraId="12F4C8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a89a8f6b76943769d484d535b94417c"/>
            <w:id w:val="956457435"/>
          </w:sdtPr>
          <w:sdtContent>
            <w:tc>
              <w:tcPr>
                <w:tcW w:w="9049" w:type="dxa"/>
                <w:gridSpan w:val="4"/>
                <w:tcBorders>
                  <w:top w:val="outset" w:color="auto" w:sz="4" w:space="0"/>
                  <w:left w:val="outset" w:color="auto" w:sz="4" w:space="0"/>
                  <w:bottom w:val="outset" w:color="auto" w:sz="4" w:space="0"/>
                  <w:right w:val="outset" w:color="auto" w:sz="4" w:space="0"/>
                </w:tcBorders>
                <w:vAlign w:val="center"/>
              </w:tcPr>
              <w:p w14:paraId="209D585C">
                <w:pPr>
                  <w:rPr>
                    <w:rFonts w:ascii="Calibri" w:hAnsi="Calibri"/>
                    <w:color w:val="008000"/>
                    <w:sz w:val="20"/>
                    <w:szCs w:val="20"/>
                  </w:rPr>
                </w:pPr>
                <w:r>
                  <w:rPr>
                    <w:rFonts w:hint="eastAsia" w:ascii="Calibri" w:hAnsi="Calibri"/>
                    <w:b/>
                    <w:bCs/>
                    <w:sz w:val="20"/>
                    <w:szCs w:val="20"/>
                  </w:rPr>
                  <w:t>二、投资活动产生的现金流量：</w:t>
                </w:r>
              </w:p>
            </w:tc>
          </w:sdtContent>
        </w:sdt>
      </w:tr>
      <w:tr w14:paraId="7625B5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6F28C071">
            <w:pPr>
              <w:ind w:firstLine="200" w:firstLineChars="100"/>
              <w:rPr>
                <w:rFonts w:ascii="Calibri" w:hAnsi="Calibri"/>
                <w:sz w:val="20"/>
                <w:szCs w:val="20"/>
              </w:rPr>
            </w:pPr>
            <w:r>
              <w:rPr>
                <w:rFonts w:hint="eastAsia" w:ascii="Calibri" w:hAnsi="Calibri"/>
                <w:sz w:val="20"/>
                <w:szCs w:val="20"/>
              </w:rPr>
              <w:t>收回投资收到的现金</w:t>
            </w:r>
          </w:p>
        </w:tc>
        <w:tc>
          <w:tcPr>
            <w:tcW w:w="1569" w:type="dxa"/>
            <w:tcBorders>
              <w:top w:val="outset" w:color="auto" w:sz="4" w:space="0"/>
              <w:left w:val="outset" w:color="auto" w:sz="4" w:space="0"/>
              <w:bottom w:val="outset" w:color="auto" w:sz="4" w:space="0"/>
              <w:right w:val="outset" w:color="auto" w:sz="4" w:space="0"/>
            </w:tcBorders>
            <w:vAlign w:val="center"/>
          </w:tcPr>
          <w:p w14:paraId="75C8F564">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7C22042B">
            <w:pPr>
              <w:jc w:val="right"/>
              <w:rPr>
                <w:rFonts w:ascii="Calibri" w:hAnsi="Calibri"/>
                <w:sz w:val="20"/>
                <w:szCs w:val="20"/>
              </w:rPr>
            </w:pPr>
            <w:r>
              <w:rPr>
                <w:rFonts w:ascii="Calibri" w:hAnsi="Calibri"/>
                <w:sz w:val="20"/>
                <w:szCs w:val="20"/>
              </w:rPr>
              <w:t>1,401,288,112.00</w:t>
            </w:r>
          </w:p>
        </w:tc>
        <w:tc>
          <w:tcPr>
            <w:tcW w:w="2164" w:type="dxa"/>
            <w:tcBorders>
              <w:top w:val="outset" w:color="auto" w:sz="4" w:space="0"/>
              <w:left w:val="outset" w:color="auto" w:sz="4" w:space="0"/>
              <w:bottom w:val="outset" w:color="auto" w:sz="4" w:space="0"/>
              <w:right w:val="outset" w:color="auto" w:sz="4" w:space="0"/>
            </w:tcBorders>
            <w:vAlign w:val="center"/>
          </w:tcPr>
          <w:p w14:paraId="00EB1E7F">
            <w:pPr>
              <w:jc w:val="right"/>
              <w:rPr>
                <w:rFonts w:ascii="Calibri" w:hAnsi="Calibri"/>
                <w:sz w:val="20"/>
                <w:szCs w:val="20"/>
              </w:rPr>
            </w:pPr>
            <w:r>
              <w:rPr>
                <w:rFonts w:ascii="Calibri" w:hAnsi="Calibri"/>
                <w:sz w:val="20"/>
                <w:szCs w:val="20"/>
              </w:rPr>
              <w:t>50,000,000.00</w:t>
            </w:r>
          </w:p>
        </w:tc>
      </w:tr>
      <w:tr w14:paraId="5C7060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3F87DFB9">
            <w:pPr>
              <w:ind w:firstLine="200" w:firstLineChars="100"/>
              <w:rPr>
                <w:rFonts w:ascii="Calibri" w:hAnsi="Calibri"/>
                <w:sz w:val="20"/>
                <w:szCs w:val="20"/>
              </w:rPr>
            </w:pPr>
            <w:r>
              <w:rPr>
                <w:rFonts w:hint="eastAsia" w:ascii="Calibri" w:hAnsi="Calibri"/>
                <w:sz w:val="20"/>
                <w:szCs w:val="20"/>
              </w:rPr>
              <w:t>取得投资收益收到的现金</w:t>
            </w:r>
          </w:p>
        </w:tc>
        <w:tc>
          <w:tcPr>
            <w:tcW w:w="1569" w:type="dxa"/>
            <w:tcBorders>
              <w:top w:val="outset" w:color="auto" w:sz="4" w:space="0"/>
              <w:left w:val="outset" w:color="auto" w:sz="4" w:space="0"/>
              <w:bottom w:val="outset" w:color="auto" w:sz="4" w:space="0"/>
              <w:right w:val="outset" w:color="auto" w:sz="4" w:space="0"/>
            </w:tcBorders>
            <w:vAlign w:val="center"/>
          </w:tcPr>
          <w:p w14:paraId="6970F9B3">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376E24F2">
            <w:pPr>
              <w:jc w:val="right"/>
              <w:rPr>
                <w:rFonts w:ascii="Calibri" w:hAnsi="Calibri"/>
                <w:sz w:val="20"/>
                <w:szCs w:val="20"/>
              </w:rPr>
            </w:pPr>
            <w:r>
              <w:rPr>
                <w:rFonts w:ascii="Calibri" w:hAnsi="Calibri"/>
                <w:sz w:val="20"/>
                <w:szCs w:val="20"/>
              </w:rPr>
              <w:t>41,014,755.61</w:t>
            </w:r>
          </w:p>
        </w:tc>
        <w:tc>
          <w:tcPr>
            <w:tcW w:w="2164" w:type="dxa"/>
            <w:tcBorders>
              <w:top w:val="outset" w:color="auto" w:sz="4" w:space="0"/>
              <w:left w:val="outset" w:color="auto" w:sz="4" w:space="0"/>
              <w:bottom w:val="outset" w:color="auto" w:sz="4" w:space="0"/>
              <w:right w:val="outset" w:color="auto" w:sz="4" w:space="0"/>
            </w:tcBorders>
            <w:vAlign w:val="center"/>
          </w:tcPr>
          <w:p w14:paraId="67AE8935">
            <w:pPr>
              <w:jc w:val="right"/>
              <w:rPr>
                <w:rFonts w:ascii="Calibri" w:hAnsi="Calibri"/>
                <w:sz w:val="20"/>
                <w:szCs w:val="20"/>
              </w:rPr>
            </w:pPr>
            <w:r>
              <w:rPr>
                <w:rFonts w:ascii="Calibri" w:hAnsi="Calibri"/>
                <w:sz w:val="20"/>
                <w:szCs w:val="20"/>
              </w:rPr>
              <w:t>40,368,322.66</w:t>
            </w:r>
          </w:p>
        </w:tc>
      </w:tr>
      <w:tr w14:paraId="2C8480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34733291">
            <w:pPr>
              <w:ind w:firstLine="200" w:firstLineChars="100"/>
              <w:rPr>
                <w:rFonts w:ascii="Calibri" w:hAnsi="Calibri"/>
                <w:sz w:val="20"/>
                <w:szCs w:val="20"/>
              </w:rPr>
            </w:pPr>
            <w:r>
              <w:rPr>
                <w:rFonts w:hint="eastAsia" w:ascii="Calibri" w:hAnsi="Calibri"/>
                <w:sz w:val="20"/>
                <w:szCs w:val="20"/>
              </w:rPr>
              <w:t>处置固定资产、无形资产和其他长期资产收回的现金净额</w:t>
            </w:r>
          </w:p>
        </w:tc>
        <w:tc>
          <w:tcPr>
            <w:tcW w:w="1569" w:type="dxa"/>
            <w:tcBorders>
              <w:top w:val="outset" w:color="auto" w:sz="4" w:space="0"/>
              <w:left w:val="outset" w:color="auto" w:sz="4" w:space="0"/>
              <w:bottom w:val="outset" w:color="auto" w:sz="4" w:space="0"/>
              <w:right w:val="outset" w:color="auto" w:sz="4" w:space="0"/>
            </w:tcBorders>
            <w:vAlign w:val="center"/>
          </w:tcPr>
          <w:p w14:paraId="14C17A35">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47FCFB6C">
            <w:pPr>
              <w:jc w:val="right"/>
              <w:rPr>
                <w:rFonts w:ascii="Calibri" w:hAnsi="Calibri"/>
                <w:sz w:val="20"/>
                <w:szCs w:val="20"/>
              </w:rPr>
            </w:pPr>
            <w:r>
              <w:rPr>
                <w:rFonts w:ascii="Calibri" w:hAnsi="Calibri"/>
                <w:sz w:val="20"/>
                <w:szCs w:val="20"/>
              </w:rPr>
              <w:t>295,176.00</w:t>
            </w:r>
          </w:p>
        </w:tc>
        <w:tc>
          <w:tcPr>
            <w:tcW w:w="2164" w:type="dxa"/>
            <w:tcBorders>
              <w:top w:val="outset" w:color="auto" w:sz="4" w:space="0"/>
              <w:left w:val="outset" w:color="auto" w:sz="4" w:space="0"/>
              <w:bottom w:val="outset" w:color="auto" w:sz="4" w:space="0"/>
              <w:right w:val="outset" w:color="auto" w:sz="4" w:space="0"/>
            </w:tcBorders>
            <w:vAlign w:val="center"/>
          </w:tcPr>
          <w:p w14:paraId="4C92F27F">
            <w:pPr>
              <w:jc w:val="right"/>
              <w:rPr>
                <w:rFonts w:ascii="Calibri" w:hAnsi="Calibri"/>
                <w:sz w:val="20"/>
                <w:szCs w:val="20"/>
              </w:rPr>
            </w:pPr>
            <w:r>
              <w:rPr>
                <w:rFonts w:ascii="Calibri" w:hAnsi="Calibri"/>
                <w:sz w:val="20"/>
                <w:szCs w:val="20"/>
              </w:rPr>
              <w:t>66,362,189.58</w:t>
            </w:r>
          </w:p>
        </w:tc>
      </w:tr>
      <w:tr w14:paraId="5C49E5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197BA7AB">
            <w:pPr>
              <w:ind w:firstLine="200" w:firstLineChars="100"/>
              <w:rPr>
                <w:rFonts w:ascii="Calibri" w:hAnsi="Calibri"/>
                <w:sz w:val="20"/>
                <w:szCs w:val="20"/>
              </w:rPr>
            </w:pPr>
            <w:r>
              <w:rPr>
                <w:rFonts w:hint="eastAsia" w:ascii="Calibri" w:hAnsi="Calibri"/>
                <w:sz w:val="20"/>
                <w:szCs w:val="20"/>
              </w:rPr>
              <w:t>处置子公司及其他营业单位收到的现金净额</w:t>
            </w:r>
          </w:p>
        </w:tc>
        <w:tc>
          <w:tcPr>
            <w:tcW w:w="1569" w:type="dxa"/>
            <w:tcBorders>
              <w:top w:val="outset" w:color="auto" w:sz="4" w:space="0"/>
              <w:left w:val="outset" w:color="auto" w:sz="4" w:space="0"/>
              <w:bottom w:val="outset" w:color="auto" w:sz="4" w:space="0"/>
              <w:right w:val="outset" w:color="auto" w:sz="4" w:space="0"/>
            </w:tcBorders>
            <w:vAlign w:val="center"/>
          </w:tcPr>
          <w:p w14:paraId="099222F2">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568FD48D">
            <w:pPr>
              <w:jc w:val="right"/>
              <w:rPr>
                <w:rFonts w:ascii="Calibri" w:hAnsi="Calibri"/>
                <w:sz w:val="20"/>
                <w:szCs w:val="20"/>
              </w:rPr>
            </w:pPr>
          </w:p>
        </w:tc>
        <w:tc>
          <w:tcPr>
            <w:tcW w:w="2164" w:type="dxa"/>
            <w:tcBorders>
              <w:top w:val="outset" w:color="auto" w:sz="4" w:space="0"/>
              <w:left w:val="outset" w:color="auto" w:sz="4" w:space="0"/>
              <w:bottom w:val="outset" w:color="auto" w:sz="4" w:space="0"/>
              <w:right w:val="outset" w:color="auto" w:sz="4" w:space="0"/>
            </w:tcBorders>
            <w:vAlign w:val="center"/>
          </w:tcPr>
          <w:p w14:paraId="5C0338D1">
            <w:pPr>
              <w:jc w:val="right"/>
              <w:rPr>
                <w:rFonts w:ascii="Calibri" w:hAnsi="Calibri"/>
                <w:sz w:val="20"/>
                <w:szCs w:val="20"/>
              </w:rPr>
            </w:pPr>
          </w:p>
        </w:tc>
      </w:tr>
      <w:tr w14:paraId="79EC5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79645CE5">
            <w:pPr>
              <w:ind w:firstLine="200" w:firstLineChars="100"/>
              <w:rPr>
                <w:rFonts w:ascii="Calibri" w:hAnsi="Calibri"/>
                <w:sz w:val="20"/>
                <w:szCs w:val="20"/>
              </w:rPr>
            </w:pPr>
            <w:r>
              <w:rPr>
                <w:rFonts w:hint="eastAsia" w:ascii="Calibri" w:hAnsi="Calibri"/>
                <w:sz w:val="20"/>
                <w:szCs w:val="20"/>
              </w:rPr>
              <w:t>收到其他与投资活动有关的现金</w:t>
            </w:r>
          </w:p>
        </w:tc>
        <w:tc>
          <w:tcPr>
            <w:tcW w:w="1569" w:type="dxa"/>
            <w:tcBorders>
              <w:top w:val="outset" w:color="auto" w:sz="4" w:space="0"/>
              <w:left w:val="outset" w:color="auto" w:sz="4" w:space="0"/>
              <w:bottom w:val="outset" w:color="auto" w:sz="4" w:space="0"/>
              <w:right w:val="outset" w:color="auto" w:sz="4" w:space="0"/>
            </w:tcBorders>
            <w:vAlign w:val="center"/>
          </w:tcPr>
          <w:p w14:paraId="5CF9E115">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17CCC69E">
            <w:pPr>
              <w:jc w:val="right"/>
              <w:rPr>
                <w:rFonts w:ascii="Calibri" w:hAnsi="Calibri"/>
                <w:sz w:val="20"/>
                <w:szCs w:val="20"/>
              </w:rPr>
            </w:pPr>
          </w:p>
        </w:tc>
        <w:tc>
          <w:tcPr>
            <w:tcW w:w="2164" w:type="dxa"/>
            <w:tcBorders>
              <w:top w:val="outset" w:color="auto" w:sz="4" w:space="0"/>
              <w:left w:val="outset" w:color="auto" w:sz="4" w:space="0"/>
              <w:bottom w:val="outset" w:color="auto" w:sz="4" w:space="0"/>
              <w:right w:val="outset" w:color="auto" w:sz="4" w:space="0"/>
            </w:tcBorders>
            <w:vAlign w:val="center"/>
          </w:tcPr>
          <w:p w14:paraId="7CAD0AE5">
            <w:pPr>
              <w:jc w:val="right"/>
              <w:rPr>
                <w:rFonts w:ascii="Calibri" w:hAnsi="Calibri"/>
                <w:sz w:val="20"/>
                <w:szCs w:val="20"/>
              </w:rPr>
            </w:pPr>
          </w:p>
        </w:tc>
      </w:tr>
      <w:tr w14:paraId="016990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0A0F7086">
            <w:pPr>
              <w:ind w:firstLine="400" w:firstLineChars="200"/>
              <w:rPr>
                <w:rFonts w:ascii="Calibri" w:hAnsi="Calibri"/>
                <w:color w:val="000000"/>
                <w:sz w:val="20"/>
                <w:szCs w:val="20"/>
              </w:rPr>
            </w:pPr>
            <w:r>
              <w:rPr>
                <w:rFonts w:hint="eastAsia" w:ascii="Calibri" w:hAnsi="Calibri"/>
                <w:sz w:val="20"/>
                <w:szCs w:val="20"/>
              </w:rPr>
              <w:t>投资活动现金流入小计</w:t>
            </w:r>
          </w:p>
        </w:tc>
        <w:tc>
          <w:tcPr>
            <w:tcW w:w="1569" w:type="dxa"/>
            <w:tcBorders>
              <w:top w:val="outset" w:color="auto" w:sz="4" w:space="0"/>
              <w:left w:val="outset" w:color="auto" w:sz="4" w:space="0"/>
              <w:bottom w:val="outset" w:color="auto" w:sz="4" w:space="0"/>
              <w:right w:val="outset" w:color="auto" w:sz="4" w:space="0"/>
            </w:tcBorders>
            <w:vAlign w:val="center"/>
          </w:tcPr>
          <w:p w14:paraId="053FAE86">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5A290327">
            <w:pPr>
              <w:jc w:val="right"/>
              <w:rPr>
                <w:rFonts w:ascii="Calibri" w:hAnsi="Calibri"/>
                <w:sz w:val="20"/>
                <w:szCs w:val="20"/>
              </w:rPr>
            </w:pPr>
            <w:r>
              <w:rPr>
                <w:rFonts w:ascii="Calibri" w:hAnsi="Calibri"/>
                <w:sz w:val="20"/>
                <w:szCs w:val="20"/>
              </w:rPr>
              <w:t>1,442,598,043.61</w:t>
            </w:r>
          </w:p>
        </w:tc>
        <w:tc>
          <w:tcPr>
            <w:tcW w:w="2164" w:type="dxa"/>
            <w:tcBorders>
              <w:top w:val="outset" w:color="auto" w:sz="4" w:space="0"/>
              <w:left w:val="outset" w:color="auto" w:sz="4" w:space="0"/>
              <w:bottom w:val="outset" w:color="auto" w:sz="4" w:space="0"/>
              <w:right w:val="outset" w:color="auto" w:sz="4" w:space="0"/>
            </w:tcBorders>
            <w:vAlign w:val="center"/>
          </w:tcPr>
          <w:p w14:paraId="47F9300E">
            <w:pPr>
              <w:jc w:val="right"/>
              <w:rPr>
                <w:rFonts w:ascii="Calibri" w:hAnsi="Calibri"/>
                <w:sz w:val="20"/>
                <w:szCs w:val="20"/>
              </w:rPr>
            </w:pPr>
            <w:r>
              <w:rPr>
                <w:rFonts w:ascii="Calibri" w:hAnsi="Calibri"/>
                <w:sz w:val="20"/>
                <w:szCs w:val="20"/>
              </w:rPr>
              <w:t>156,730,512.24</w:t>
            </w:r>
          </w:p>
        </w:tc>
      </w:tr>
      <w:tr w14:paraId="31E377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2A10D10F">
            <w:pPr>
              <w:ind w:firstLine="200" w:firstLineChars="100"/>
              <w:rPr>
                <w:rFonts w:ascii="Calibri" w:hAnsi="Calibri"/>
                <w:sz w:val="20"/>
                <w:szCs w:val="20"/>
              </w:rPr>
            </w:pPr>
            <w:r>
              <w:rPr>
                <w:rFonts w:hint="eastAsia" w:ascii="Calibri" w:hAnsi="Calibri"/>
                <w:sz w:val="20"/>
                <w:szCs w:val="20"/>
              </w:rPr>
              <w:t>购建固定资产、无形资产和其他长期资产支付的现金</w:t>
            </w:r>
          </w:p>
        </w:tc>
        <w:tc>
          <w:tcPr>
            <w:tcW w:w="1569" w:type="dxa"/>
            <w:tcBorders>
              <w:top w:val="outset" w:color="auto" w:sz="4" w:space="0"/>
              <w:left w:val="outset" w:color="auto" w:sz="4" w:space="0"/>
              <w:bottom w:val="outset" w:color="auto" w:sz="4" w:space="0"/>
              <w:right w:val="outset" w:color="auto" w:sz="4" w:space="0"/>
            </w:tcBorders>
            <w:vAlign w:val="center"/>
          </w:tcPr>
          <w:p w14:paraId="22B3AC41">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7A34C1DF">
            <w:pPr>
              <w:jc w:val="right"/>
              <w:rPr>
                <w:rFonts w:ascii="Calibri" w:hAnsi="Calibri"/>
                <w:sz w:val="20"/>
                <w:szCs w:val="20"/>
              </w:rPr>
            </w:pPr>
            <w:r>
              <w:rPr>
                <w:rFonts w:ascii="Calibri" w:hAnsi="Calibri"/>
                <w:sz w:val="20"/>
                <w:szCs w:val="20"/>
              </w:rPr>
              <w:t>481,389,840.18</w:t>
            </w:r>
          </w:p>
        </w:tc>
        <w:tc>
          <w:tcPr>
            <w:tcW w:w="2164" w:type="dxa"/>
            <w:tcBorders>
              <w:top w:val="outset" w:color="auto" w:sz="4" w:space="0"/>
              <w:left w:val="outset" w:color="auto" w:sz="4" w:space="0"/>
              <w:bottom w:val="outset" w:color="auto" w:sz="4" w:space="0"/>
              <w:right w:val="outset" w:color="auto" w:sz="4" w:space="0"/>
            </w:tcBorders>
            <w:vAlign w:val="center"/>
          </w:tcPr>
          <w:p w14:paraId="725CE52E">
            <w:pPr>
              <w:jc w:val="right"/>
              <w:rPr>
                <w:rFonts w:ascii="Calibri" w:hAnsi="Calibri"/>
                <w:sz w:val="20"/>
                <w:szCs w:val="20"/>
              </w:rPr>
            </w:pPr>
            <w:r>
              <w:rPr>
                <w:rFonts w:ascii="Calibri" w:hAnsi="Calibri"/>
                <w:sz w:val="20"/>
                <w:szCs w:val="20"/>
              </w:rPr>
              <w:t>481,388,331.53</w:t>
            </w:r>
          </w:p>
        </w:tc>
      </w:tr>
      <w:tr w14:paraId="7C77C4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14907B5F">
            <w:pPr>
              <w:ind w:firstLine="200" w:firstLineChars="100"/>
              <w:rPr>
                <w:rFonts w:ascii="Calibri" w:hAnsi="Calibri"/>
                <w:sz w:val="20"/>
                <w:szCs w:val="20"/>
              </w:rPr>
            </w:pPr>
            <w:r>
              <w:rPr>
                <w:rFonts w:hint="eastAsia" w:ascii="Calibri" w:hAnsi="Calibri"/>
                <w:sz w:val="20"/>
                <w:szCs w:val="20"/>
              </w:rPr>
              <w:t>投资支付的现金</w:t>
            </w:r>
          </w:p>
        </w:tc>
        <w:tc>
          <w:tcPr>
            <w:tcW w:w="1569" w:type="dxa"/>
            <w:tcBorders>
              <w:top w:val="outset" w:color="auto" w:sz="4" w:space="0"/>
              <w:left w:val="outset" w:color="auto" w:sz="4" w:space="0"/>
              <w:bottom w:val="outset" w:color="auto" w:sz="4" w:space="0"/>
              <w:right w:val="outset" w:color="auto" w:sz="4" w:space="0"/>
            </w:tcBorders>
            <w:vAlign w:val="center"/>
          </w:tcPr>
          <w:p w14:paraId="397DDD2E">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3DA80CE4">
            <w:pPr>
              <w:jc w:val="right"/>
              <w:rPr>
                <w:rFonts w:ascii="Calibri" w:hAnsi="Calibri"/>
                <w:sz w:val="20"/>
                <w:szCs w:val="20"/>
              </w:rPr>
            </w:pPr>
            <w:r>
              <w:rPr>
                <w:rFonts w:ascii="Calibri" w:hAnsi="Calibri"/>
                <w:sz w:val="20"/>
                <w:szCs w:val="20"/>
              </w:rPr>
              <w:t>133,591,500.00</w:t>
            </w:r>
          </w:p>
        </w:tc>
        <w:tc>
          <w:tcPr>
            <w:tcW w:w="2164" w:type="dxa"/>
            <w:tcBorders>
              <w:top w:val="outset" w:color="auto" w:sz="4" w:space="0"/>
              <w:left w:val="outset" w:color="auto" w:sz="4" w:space="0"/>
              <w:bottom w:val="outset" w:color="auto" w:sz="4" w:space="0"/>
              <w:right w:val="outset" w:color="auto" w:sz="4" w:space="0"/>
            </w:tcBorders>
            <w:vAlign w:val="center"/>
          </w:tcPr>
          <w:p w14:paraId="5E9FB9D7">
            <w:pPr>
              <w:jc w:val="right"/>
              <w:rPr>
                <w:rFonts w:ascii="Calibri" w:hAnsi="Calibri"/>
                <w:sz w:val="20"/>
                <w:szCs w:val="20"/>
              </w:rPr>
            </w:pPr>
            <w:r>
              <w:rPr>
                <w:rFonts w:ascii="Calibri" w:hAnsi="Calibri"/>
                <w:sz w:val="20"/>
                <w:szCs w:val="20"/>
              </w:rPr>
              <w:t>176,800,001.00</w:t>
            </w:r>
          </w:p>
        </w:tc>
      </w:tr>
      <w:tr w14:paraId="5E70A8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72E59AC0">
            <w:pPr>
              <w:ind w:firstLine="200" w:firstLineChars="100"/>
              <w:rPr>
                <w:rFonts w:ascii="Calibri" w:hAnsi="Calibri"/>
                <w:sz w:val="20"/>
                <w:szCs w:val="20"/>
              </w:rPr>
            </w:pPr>
            <w:r>
              <w:rPr>
                <w:rFonts w:hint="eastAsia" w:ascii="Calibri" w:hAnsi="Calibri"/>
                <w:sz w:val="20"/>
                <w:szCs w:val="20"/>
              </w:rPr>
              <w:t>取得子公司及其他营业单位支付的现金净额</w:t>
            </w:r>
          </w:p>
        </w:tc>
        <w:tc>
          <w:tcPr>
            <w:tcW w:w="1569" w:type="dxa"/>
            <w:tcBorders>
              <w:top w:val="outset" w:color="auto" w:sz="4" w:space="0"/>
              <w:left w:val="outset" w:color="auto" w:sz="4" w:space="0"/>
              <w:bottom w:val="outset" w:color="auto" w:sz="4" w:space="0"/>
              <w:right w:val="outset" w:color="auto" w:sz="4" w:space="0"/>
            </w:tcBorders>
            <w:vAlign w:val="center"/>
          </w:tcPr>
          <w:p w14:paraId="3714C338">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7612F195">
            <w:pPr>
              <w:jc w:val="right"/>
              <w:rPr>
                <w:rFonts w:ascii="Calibri" w:hAnsi="Calibri"/>
                <w:sz w:val="20"/>
                <w:szCs w:val="20"/>
              </w:rPr>
            </w:pPr>
          </w:p>
        </w:tc>
        <w:tc>
          <w:tcPr>
            <w:tcW w:w="2164" w:type="dxa"/>
            <w:tcBorders>
              <w:top w:val="outset" w:color="auto" w:sz="4" w:space="0"/>
              <w:left w:val="outset" w:color="auto" w:sz="4" w:space="0"/>
              <w:bottom w:val="outset" w:color="auto" w:sz="4" w:space="0"/>
              <w:right w:val="outset" w:color="auto" w:sz="4" w:space="0"/>
            </w:tcBorders>
            <w:vAlign w:val="center"/>
          </w:tcPr>
          <w:p w14:paraId="2F4D39C4">
            <w:pPr>
              <w:jc w:val="right"/>
              <w:rPr>
                <w:rFonts w:ascii="Calibri" w:hAnsi="Calibri"/>
                <w:sz w:val="20"/>
                <w:szCs w:val="20"/>
              </w:rPr>
            </w:pPr>
          </w:p>
        </w:tc>
      </w:tr>
      <w:tr w14:paraId="51BBD1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41D09B57">
            <w:pPr>
              <w:ind w:firstLine="200" w:firstLineChars="100"/>
              <w:rPr>
                <w:rFonts w:ascii="Calibri" w:hAnsi="Calibri"/>
                <w:sz w:val="20"/>
                <w:szCs w:val="20"/>
              </w:rPr>
            </w:pPr>
            <w:r>
              <w:rPr>
                <w:rFonts w:hint="eastAsia" w:ascii="Calibri" w:hAnsi="Calibri"/>
                <w:sz w:val="20"/>
                <w:szCs w:val="20"/>
              </w:rPr>
              <w:t>支付其他与投资活动有关的现金</w:t>
            </w:r>
          </w:p>
        </w:tc>
        <w:tc>
          <w:tcPr>
            <w:tcW w:w="1569" w:type="dxa"/>
            <w:tcBorders>
              <w:top w:val="outset" w:color="auto" w:sz="4" w:space="0"/>
              <w:left w:val="outset" w:color="auto" w:sz="4" w:space="0"/>
              <w:bottom w:val="outset" w:color="auto" w:sz="4" w:space="0"/>
              <w:right w:val="outset" w:color="auto" w:sz="4" w:space="0"/>
            </w:tcBorders>
            <w:vAlign w:val="center"/>
          </w:tcPr>
          <w:p w14:paraId="69D33456">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326AE233">
            <w:pPr>
              <w:jc w:val="right"/>
              <w:rPr>
                <w:rFonts w:ascii="Calibri" w:hAnsi="Calibri"/>
                <w:sz w:val="20"/>
                <w:szCs w:val="20"/>
              </w:rPr>
            </w:pPr>
            <w:r>
              <w:rPr>
                <w:rFonts w:ascii="Calibri" w:hAnsi="Calibri"/>
                <w:sz w:val="20"/>
                <w:szCs w:val="20"/>
              </w:rPr>
              <w:t>80,044,374.00</w:t>
            </w:r>
          </w:p>
        </w:tc>
        <w:tc>
          <w:tcPr>
            <w:tcW w:w="2164" w:type="dxa"/>
            <w:tcBorders>
              <w:top w:val="outset" w:color="auto" w:sz="4" w:space="0"/>
              <w:left w:val="outset" w:color="auto" w:sz="4" w:space="0"/>
              <w:bottom w:val="outset" w:color="auto" w:sz="4" w:space="0"/>
              <w:right w:val="outset" w:color="auto" w:sz="4" w:space="0"/>
            </w:tcBorders>
            <w:vAlign w:val="center"/>
          </w:tcPr>
          <w:p w14:paraId="5916822E">
            <w:pPr>
              <w:jc w:val="right"/>
              <w:rPr>
                <w:rFonts w:ascii="Calibri" w:hAnsi="Calibri"/>
                <w:sz w:val="20"/>
                <w:szCs w:val="20"/>
              </w:rPr>
            </w:pPr>
          </w:p>
        </w:tc>
      </w:tr>
      <w:tr w14:paraId="380B7F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01CF54C6">
            <w:pPr>
              <w:ind w:firstLine="400" w:firstLineChars="200"/>
              <w:rPr>
                <w:rFonts w:ascii="Calibri" w:hAnsi="Calibri"/>
                <w:color w:val="000000"/>
                <w:sz w:val="20"/>
                <w:szCs w:val="20"/>
              </w:rPr>
            </w:pPr>
            <w:r>
              <w:rPr>
                <w:rFonts w:hint="eastAsia" w:ascii="Calibri" w:hAnsi="Calibri"/>
                <w:sz w:val="20"/>
                <w:szCs w:val="20"/>
              </w:rPr>
              <w:t>投资活动现金流出小计</w:t>
            </w:r>
          </w:p>
        </w:tc>
        <w:tc>
          <w:tcPr>
            <w:tcW w:w="1569" w:type="dxa"/>
            <w:tcBorders>
              <w:top w:val="outset" w:color="auto" w:sz="4" w:space="0"/>
              <w:left w:val="outset" w:color="auto" w:sz="4" w:space="0"/>
              <w:bottom w:val="outset" w:color="auto" w:sz="4" w:space="0"/>
              <w:right w:val="outset" w:color="auto" w:sz="4" w:space="0"/>
            </w:tcBorders>
            <w:vAlign w:val="center"/>
          </w:tcPr>
          <w:p w14:paraId="093BFF90">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25CF5571">
            <w:pPr>
              <w:jc w:val="right"/>
              <w:rPr>
                <w:rFonts w:ascii="Calibri" w:hAnsi="Calibri"/>
                <w:sz w:val="20"/>
                <w:szCs w:val="20"/>
              </w:rPr>
            </w:pPr>
            <w:r>
              <w:rPr>
                <w:rFonts w:ascii="Calibri" w:hAnsi="Calibri"/>
                <w:sz w:val="20"/>
                <w:szCs w:val="20"/>
              </w:rPr>
              <w:t>695,025,714.18</w:t>
            </w:r>
          </w:p>
        </w:tc>
        <w:tc>
          <w:tcPr>
            <w:tcW w:w="2164" w:type="dxa"/>
            <w:tcBorders>
              <w:top w:val="outset" w:color="auto" w:sz="4" w:space="0"/>
              <w:left w:val="outset" w:color="auto" w:sz="4" w:space="0"/>
              <w:bottom w:val="outset" w:color="auto" w:sz="4" w:space="0"/>
              <w:right w:val="outset" w:color="auto" w:sz="4" w:space="0"/>
            </w:tcBorders>
            <w:vAlign w:val="center"/>
          </w:tcPr>
          <w:p w14:paraId="159C1907">
            <w:pPr>
              <w:jc w:val="right"/>
              <w:rPr>
                <w:rFonts w:ascii="Calibri" w:hAnsi="Calibri"/>
                <w:sz w:val="20"/>
                <w:szCs w:val="20"/>
              </w:rPr>
            </w:pPr>
            <w:r>
              <w:rPr>
                <w:rFonts w:ascii="Calibri" w:hAnsi="Calibri"/>
                <w:sz w:val="20"/>
                <w:szCs w:val="20"/>
              </w:rPr>
              <w:t>658,188,332.53</w:t>
            </w:r>
          </w:p>
        </w:tc>
      </w:tr>
      <w:tr w14:paraId="1295F4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16D44D0D">
            <w:pPr>
              <w:ind w:firstLine="600" w:firstLineChars="300"/>
              <w:rPr>
                <w:rFonts w:ascii="Calibri" w:hAnsi="Calibri"/>
                <w:color w:val="000000"/>
                <w:sz w:val="20"/>
                <w:szCs w:val="20"/>
              </w:rPr>
            </w:pPr>
            <w:r>
              <w:rPr>
                <w:rFonts w:hint="eastAsia" w:ascii="Calibri" w:hAnsi="Calibri"/>
                <w:sz w:val="20"/>
                <w:szCs w:val="20"/>
              </w:rPr>
              <w:t>投资活动产生的现金流量净额</w:t>
            </w:r>
          </w:p>
        </w:tc>
        <w:tc>
          <w:tcPr>
            <w:tcW w:w="1569" w:type="dxa"/>
            <w:tcBorders>
              <w:top w:val="outset" w:color="auto" w:sz="4" w:space="0"/>
              <w:left w:val="outset" w:color="auto" w:sz="4" w:space="0"/>
              <w:bottom w:val="outset" w:color="auto" w:sz="4" w:space="0"/>
              <w:right w:val="outset" w:color="auto" w:sz="4" w:space="0"/>
            </w:tcBorders>
            <w:vAlign w:val="center"/>
          </w:tcPr>
          <w:p w14:paraId="31368074">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6A37C72E">
            <w:pPr>
              <w:jc w:val="right"/>
              <w:rPr>
                <w:rFonts w:ascii="Calibri" w:hAnsi="Calibri"/>
                <w:sz w:val="20"/>
                <w:szCs w:val="20"/>
              </w:rPr>
            </w:pPr>
            <w:r>
              <w:rPr>
                <w:rFonts w:ascii="Calibri" w:hAnsi="Calibri"/>
                <w:sz w:val="20"/>
                <w:szCs w:val="20"/>
              </w:rPr>
              <w:t>747,572,329.43</w:t>
            </w:r>
          </w:p>
        </w:tc>
        <w:tc>
          <w:tcPr>
            <w:tcW w:w="2164" w:type="dxa"/>
            <w:tcBorders>
              <w:top w:val="outset" w:color="auto" w:sz="4" w:space="0"/>
              <w:left w:val="outset" w:color="auto" w:sz="4" w:space="0"/>
              <w:bottom w:val="outset" w:color="auto" w:sz="4" w:space="0"/>
              <w:right w:val="outset" w:color="auto" w:sz="4" w:space="0"/>
            </w:tcBorders>
            <w:vAlign w:val="center"/>
          </w:tcPr>
          <w:p w14:paraId="073AF518">
            <w:pPr>
              <w:jc w:val="right"/>
              <w:rPr>
                <w:rFonts w:ascii="Calibri" w:hAnsi="Calibri"/>
                <w:sz w:val="20"/>
                <w:szCs w:val="20"/>
              </w:rPr>
            </w:pPr>
            <w:r>
              <w:rPr>
                <w:rFonts w:ascii="Calibri" w:hAnsi="Calibri"/>
                <w:sz w:val="20"/>
                <w:szCs w:val="20"/>
              </w:rPr>
              <w:t>-501,457,820.29</w:t>
            </w:r>
          </w:p>
        </w:tc>
      </w:tr>
      <w:tr w14:paraId="68031C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b6929c78db14ee1bde1ca4b9a47a65c"/>
            <w:id w:val="1757783281"/>
          </w:sdtPr>
          <w:sdtContent>
            <w:tc>
              <w:tcPr>
                <w:tcW w:w="9049" w:type="dxa"/>
                <w:gridSpan w:val="4"/>
                <w:tcBorders>
                  <w:top w:val="outset" w:color="auto" w:sz="4" w:space="0"/>
                  <w:left w:val="outset" w:color="auto" w:sz="4" w:space="0"/>
                  <w:bottom w:val="outset" w:color="auto" w:sz="4" w:space="0"/>
                  <w:right w:val="outset" w:color="auto" w:sz="4" w:space="0"/>
                </w:tcBorders>
                <w:vAlign w:val="center"/>
              </w:tcPr>
              <w:p w14:paraId="6F072CEA">
                <w:pPr>
                  <w:rPr>
                    <w:rFonts w:ascii="Calibri" w:hAnsi="Calibri"/>
                    <w:color w:val="008000"/>
                    <w:sz w:val="20"/>
                    <w:szCs w:val="20"/>
                  </w:rPr>
                </w:pPr>
                <w:r>
                  <w:rPr>
                    <w:rFonts w:hint="eastAsia" w:ascii="Calibri" w:hAnsi="Calibri"/>
                    <w:b/>
                    <w:bCs/>
                    <w:sz w:val="20"/>
                    <w:szCs w:val="20"/>
                  </w:rPr>
                  <w:t>三、筹资活动产生的现金流量：</w:t>
                </w:r>
              </w:p>
            </w:tc>
          </w:sdtContent>
        </w:sdt>
      </w:tr>
      <w:tr w14:paraId="03AAE0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650AB038">
            <w:pPr>
              <w:ind w:firstLine="200" w:firstLineChars="100"/>
              <w:rPr>
                <w:rFonts w:ascii="Calibri" w:hAnsi="Calibri"/>
                <w:color w:val="000000"/>
                <w:sz w:val="20"/>
                <w:szCs w:val="20"/>
              </w:rPr>
            </w:pPr>
            <w:r>
              <w:rPr>
                <w:rFonts w:hint="eastAsia" w:ascii="Calibri" w:hAnsi="Calibri"/>
                <w:sz w:val="20"/>
                <w:szCs w:val="20"/>
              </w:rPr>
              <w:t>吸收投资收到的现金</w:t>
            </w:r>
          </w:p>
        </w:tc>
        <w:tc>
          <w:tcPr>
            <w:tcW w:w="1569" w:type="dxa"/>
            <w:tcBorders>
              <w:top w:val="outset" w:color="auto" w:sz="4" w:space="0"/>
              <w:left w:val="outset" w:color="auto" w:sz="4" w:space="0"/>
              <w:bottom w:val="outset" w:color="auto" w:sz="4" w:space="0"/>
              <w:right w:val="outset" w:color="auto" w:sz="4" w:space="0"/>
            </w:tcBorders>
            <w:vAlign w:val="center"/>
          </w:tcPr>
          <w:p w14:paraId="5DE0510D">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521975A0">
            <w:pPr>
              <w:jc w:val="right"/>
              <w:rPr>
                <w:rFonts w:ascii="Calibri" w:hAnsi="Calibri"/>
                <w:sz w:val="20"/>
                <w:szCs w:val="20"/>
              </w:rPr>
            </w:pPr>
          </w:p>
        </w:tc>
        <w:tc>
          <w:tcPr>
            <w:tcW w:w="2164" w:type="dxa"/>
            <w:tcBorders>
              <w:top w:val="outset" w:color="auto" w:sz="4" w:space="0"/>
              <w:left w:val="outset" w:color="auto" w:sz="4" w:space="0"/>
              <w:bottom w:val="outset" w:color="auto" w:sz="4" w:space="0"/>
              <w:right w:val="outset" w:color="auto" w:sz="4" w:space="0"/>
            </w:tcBorders>
            <w:vAlign w:val="center"/>
          </w:tcPr>
          <w:p w14:paraId="3B3B1F5C">
            <w:pPr>
              <w:jc w:val="right"/>
              <w:rPr>
                <w:rFonts w:ascii="Calibri" w:hAnsi="Calibri"/>
                <w:sz w:val="20"/>
                <w:szCs w:val="20"/>
              </w:rPr>
            </w:pPr>
          </w:p>
        </w:tc>
      </w:tr>
      <w:tr w14:paraId="4DFEAB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3145" w:type="dxa"/>
            <w:tcBorders>
              <w:top w:val="outset" w:color="auto" w:sz="4" w:space="0"/>
              <w:left w:val="outset" w:color="auto" w:sz="4" w:space="0"/>
              <w:bottom w:val="outset" w:color="auto" w:sz="4" w:space="0"/>
              <w:right w:val="outset" w:color="auto" w:sz="4" w:space="0"/>
            </w:tcBorders>
            <w:vAlign w:val="center"/>
          </w:tcPr>
          <w:p w14:paraId="3D485205">
            <w:pPr>
              <w:ind w:firstLine="200" w:firstLineChars="100"/>
              <w:rPr>
                <w:rFonts w:ascii="Calibri" w:hAnsi="Calibri"/>
                <w:color w:val="000000"/>
                <w:sz w:val="20"/>
                <w:szCs w:val="20"/>
              </w:rPr>
            </w:pPr>
            <w:r>
              <w:rPr>
                <w:rFonts w:hint="eastAsia" w:ascii="Calibri" w:hAnsi="Calibri"/>
                <w:sz w:val="20"/>
                <w:szCs w:val="20"/>
              </w:rPr>
              <w:t>取得借款收到的现金</w:t>
            </w:r>
          </w:p>
        </w:tc>
        <w:tc>
          <w:tcPr>
            <w:tcW w:w="1569" w:type="dxa"/>
            <w:tcBorders>
              <w:top w:val="outset" w:color="auto" w:sz="4" w:space="0"/>
              <w:left w:val="outset" w:color="auto" w:sz="4" w:space="0"/>
              <w:bottom w:val="outset" w:color="auto" w:sz="4" w:space="0"/>
              <w:right w:val="outset" w:color="auto" w:sz="4" w:space="0"/>
            </w:tcBorders>
            <w:vAlign w:val="center"/>
          </w:tcPr>
          <w:p w14:paraId="2C599256">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2D8DBEA9">
            <w:pPr>
              <w:jc w:val="right"/>
              <w:rPr>
                <w:rFonts w:ascii="Calibri" w:hAnsi="Calibri"/>
                <w:sz w:val="20"/>
                <w:szCs w:val="20"/>
              </w:rPr>
            </w:pPr>
            <w:r>
              <w:rPr>
                <w:rFonts w:ascii="Calibri" w:hAnsi="Calibri"/>
                <w:sz w:val="20"/>
                <w:szCs w:val="20"/>
              </w:rPr>
              <w:t>473,000,000.00</w:t>
            </w:r>
          </w:p>
        </w:tc>
        <w:tc>
          <w:tcPr>
            <w:tcW w:w="2164" w:type="dxa"/>
            <w:tcBorders>
              <w:top w:val="outset" w:color="auto" w:sz="4" w:space="0"/>
              <w:left w:val="outset" w:color="auto" w:sz="4" w:space="0"/>
              <w:bottom w:val="outset" w:color="auto" w:sz="4" w:space="0"/>
              <w:right w:val="outset" w:color="auto" w:sz="4" w:space="0"/>
            </w:tcBorders>
            <w:vAlign w:val="center"/>
          </w:tcPr>
          <w:p w14:paraId="5E51548C">
            <w:pPr>
              <w:jc w:val="right"/>
              <w:rPr>
                <w:rFonts w:ascii="Calibri" w:hAnsi="Calibri"/>
                <w:sz w:val="20"/>
                <w:szCs w:val="20"/>
              </w:rPr>
            </w:pPr>
            <w:r>
              <w:rPr>
                <w:rFonts w:ascii="Calibri" w:hAnsi="Calibri"/>
                <w:sz w:val="20"/>
                <w:szCs w:val="20"/>
              </w:rPr>
              <w:t>840,248,991.22</w:t>
            </w:r>
          </w:p>
        </w:tc>
      </w:tr>
      <w:tr w14:paraId="64CB51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1ACBADA8">
            <w:pPr>
              <w:ind w:firstLine="200" w:firstLineChars="100"/>
              <w:rPr>
                <w:rFonts w:ascii="Calibri" w:hAnsi="Calibri"/>
                <w:color w:val="000000"/>
                <w:sz w:val="20"/>
                <w:szCs w:val="20"/>
              </w:rPr>
            </w:pPr>
            <w:r>
              <w:rPr>
                <w:rFonts w:hint="eastAsia" w:ascii="Calibri" w:hAnsi="Calibri"/>
                <w:sz w:val="20"/>
                <w:szCs w:val="20"/>
              </w:rPr>
              <w:t>收到其他与筹资活动有关的现金</w:t>
            </w:r>
          </w:p>
        </w:tc>
        <w:tc>
          <w:tcPr>
            <w:tcW w:w="1569" w:type="dxa"/>
            <w:tcBorders>
              <w:top w:val="outset" w:color="auto" w:sz="4" w:space="0"/>
              <w:left w:val="outset" w:color="auto" w:sz="4" w:space="0"/>
              <w:bottom w:val="outset" w:color="auto" w:sz="4" w:space="0"/>
              <w:right w:val="outset" w:color="auto" w:sz="4" w:space="0"/>
            </w:tcBorders>
            <w:vAlign w:val="center"/>
          </w:tcPr>
          <w:p w14:paraId="3229CC2E">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66DA11DA">
            <w:pPr>
              <w:jc w:val="right"/>
              <w:rPr>
                <w:rFonts w:ascii="Calibri" w:hAnsi="Calibri"/>
                <w:sz w:val="20"/>
                <w:szCs w:val="20"/>
              </w:rPr>
            </w:pPr>
            <w:r>
              <w:rPr>
                <w:rFonts w:ascii="Calibri" w:hAnsi="Calibri"/>
                <w:sz w:val="20"/>
                <w:szCs w:val="20"/>
              </w:rPr>
              <w:t>67,818,400.00</w:t>
            </w:r>
          </w:p>
        </w:tc>
        <w:tc>
          <w:tcPr>
            <w:tcW w:w="2164" w:type="dxa"/>
            <w:tcBorders>
              <w:top w:val="outset" w:color="auto" w:sz="4" w:space="0"/>
              <w:left w:val="outset" w:color="auto" w:sz="4" w:space="0"/>
              <w:bottom w:val="outset" w:color="auto" w:sz="4" w:space="0"/>
              <w:right w:val="outset" w:color="auto" w:sz="4" w:space="0"/>
            </w:tcBorders>
            <w:vAlign w:val="center"/>
          </w:tcPr>
          <w:p w14:paraId="39534BEF">
            <w:pPr>
              <w:jc w:val="right"/>
              <w:rPr>
                <w:rFonts w:ascii="Calibri" w:hAnsi="Calibri"/>
                <w:sz w:val="20"/>
                <w:szCs w:val="20"/>
              </w:rPr>
            </w:pPr>
            <w:r>
              <w:rPr>
                <w:rFonts w:ascii="Calibri" w:hAnsi="Calibri"/>
                <w:sz w:val="20"/>
                <w:szCs w:val="20"/>
              </w:rPr>
              <w:t>7,245,976.65</w:t>
            </w:r>
          </w:p>
        </w:tc>
      </w:tr>
      <w:tr w14:paraId="53A3B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4462E061">
            <w:pPr>
              <w:ind w:firstLine="400" w:firstLineChars="200"/>
              <w:rPr>
                <w:rFonts w:ascii="Calibri" w:hAnsi="Calibri"/>
                <w:color w:val="000000"/>
                <w:sz w:val="20"/>
                <w:szCs w:val="20"/>
              </w:rPr>
            </w:pPr>
            <w:r>
              <w:rPr>
                <w:rFonts w:hint="eastAsia" w:ascii="Calibri" w:hAnsi="Calibri"/>
                <w:sz w:val="20"/>
                <w:szCs w:val="20"/>
              </w:rPr>
              <w:t>筹资活动现金流入小计</w:t>
            </w:r>
          </w:p>
        </w:tc>
        <w:tc>
          <w:tcPr>
            <w:tcW w:w="1569" w:type="dxa"/>
            <w:tcBorders>
              <w:top w:val="outset" w:color="auto" w:sz="4" w:space="0"/>
              <w:left w:val="outset" w:color="auto" w:sz="4" w:space="0"/>
              <w:bottom w:val="outset" w:color="auto" w:sz="4" w:space="0"/>
              <w:right w:val="outset" w:color="auto" w:sz="4" w:space="0"/>
            </w:tcBorders>
            <w:vAlign w:val="center"/>
          </w:tcPr>
          <w:p w14:paraId="34D8EB6C">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4B9E0635">
            <w:pPr>
              <w:jc w:val="right"/>
              <w:rPr>
                <w:rFonts w:ascii="Calibri" w:hAnsi="Calibri"/>
                <w:sz w:val="20"/>
                <w:szCs w:val="20"/>
              </w:rPr>
            </w:pPr>
            <w:r>
              <w:rPr>
                <w:rFonts w:ascii="Calibri" w:hAnsi="Calibri"/>
                <w:sz w:val="20"/>
                <w:szCs w:val="20"/>
              </w:rPr>
              <w:t>540,818,400.00</w:t>
            </w:r>
          </w:p>
        </w:tc>
        <w:tc>
          <w:tcPr>
            <w:tcW w:w="2164" w:type="dxa"/>
            <w:tcBorders>
              <w:top w:val="outset" w:color="auto" w:sz="4" w:space="0"/>
              <w:left w:val="outset" w:color="auto" w:sz="4" w:space="0"/>
              <w:bottom w:val="outset" w:color="auto" w:sz="4" w:space="0"/>
              <w:right w:val="outset" w:color="auto" w:sz="4" w:space="0"/>
            </w:tcBorders>
            <w:vAlign w:val="center"/>
          </w:tcPr>
          <w:p w14:paraId="335497D8">
            <w:pPr>
              <w:jc w:val="right"/>
              <w:rPr>
                <w:rFonts w:ascii="Calibri" w:hAnsi="Calibri"/>
                <w:sz w:val="20"/>
                <w:szCs w:val="20"/>
              </w:rPr>
            </w:pPr>
            <w:r>
              <w:rPr>
                <w:rFonts w:ascii="Calibri" w:hAnsi="Calibri"/>
                <w:sz w:val="20"/>
                <w:szCs w:val="20"/>
              </w:rPr>
              <w:t>847,494,967.87</w:t>
            </w:r>
          </w:p>
        </w:tc>
      </w:tr>
      <w:tr w14:paraId="4EDF37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2A9CB396">
            <w:pPr>
              <w:ind w:firstLine="200" w:firstLineChars="100"/>
              <w:rPr>
                <w:rFonts w:ascii="Calibri" w:hAnsi="Calibri"/>
                <w:sz w:val="20"/>
                <w:szCs w:val="20"/>
              </w:rPr>
            </w:pPr>
            <w:r>
              <w:rPr>
                <w:rFonts w:hint="eastAsia" w:ascii="Calibri" w:hAnsi="Calibri"/>
                <w:sz w:val="20"/>
                <w:szCs w:val="20"/>
              </w:rPr>
              <w:t>偿还债务支付的现金</w:t>
            </w:r>
          </w:p>
        </w:tc>
        <w:tc>
          <w:tcPr>
            <w:tcW w:w="1569" w:type="dxa"/>
            <w:tcBorders>
              <w:top w:val="outset" w:color="auto" w:sz="4" w:space="0"/>
              <w:left w:val="outset" w:color="auto" w:sz="4" w:space="0"/>
              <w:bottom w:val="outset" w:color="auto" w:sz="4" w:space="0"/>
              <w:right w:val="outset" w:color="auto" w:sz="4" w:space="0"/>
            </w:tcBorders>
            <w:vAlign w:val="center"/>
          </w:tcPr>
          <w:p w14:paraId="7470506A">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470B9BDB">
            <w:pPr>
              <w:jc w:val="right"/>
              <w:rPr>
                <w:rFonts w:ascii="Calibri" w:hAnsi="Calibri"/>
                <w:sz w:val="20"/>
                <w:szCs w:val="20"/>
              </w:rPr>
            </w:pPr>
            <w:r>
              <w:rPr>
                <w:rFonts w:ascii="Calibri" w:hAnsi="Calibri"/>
                <w:sz w:val="20"/>
                <w:szCs w:val="20"/>
              </w:rPr>
              <w:t>648,897,463.22</w:t>
            </w:r>
          </w:p>
        </w:tc>
        <w:tc>
          <w:tcPr>
            <w:tcW w:w="2164" w:type="dxa"/>
            <w:tcBorders>
              <w:top w:val="outset" w:color="auto" w:sz="4" w:space="0"/>
              <w:left w:val="outset" w:color="auto" w:sz="4" w:space="0"/>
              <w:bottom w:val="outset" w:color="auto" w:sz="4" w:space="0"/>
              <w:right w:val="outset" w:color="auto" w:sz="4" w:space="0"/>
            </w:tcBorders>
            <w:vAlign w:val="center"/>
          </w:tcPr>
          <w:p w14:paraId="6FF25DDD">
            <w:pPr>
              <w:jc w:val="right"/>
              <w:rPr>
                <w:rFonts w:ascii="Calibri" w:hAnsi="Calibri"/>
                <w:sz w:val="20"/>
                <w:szCs w:val="20"/>
              </w:rPr>
            </w:pPr>
            <w:r>
              <w:rPr>
                <w:rFonts w:ascii="Calibri" w:hAnsi="Calibri"/>
                <w:sz w:val="20"/>
                <w:szCs w:val="20"/>
              </w:rPr>
              <w:t>320,000,000.00</w:t>
            </w:r>
          </w:p>
        </w:tc>
      </w:tr>
      <w:tr w14:paraId="538644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4EF1C0FC">
            <w:pPr>
              <w:ind w:firstLine="200" w:firstLineChars="100"/>
              <w:rPr>
                <w:rFonts w:ascii="Calibri" w:hAnsi="Calibri"/>
                <w:sz w:val="20"/>
                <w:szCs w:val="20"/>
              </w:rPr>
            </w:pPr>
            <w:r>
              <w:rPr>
                <w:rFonts w:hint="eastAsia" w:ascii="Calibri" w:hAnsi="Calibri"/>
                <w:sz w:val="20"/>
                <w:szCs w:val="20"/>
              </w:rPr>
              <w:t>分配股利、利润或偿付利息支付的现金</w:t>
            </w:r>
          </w:p>
        </w:tc>
        <w:tc>
          <w:tcPr>
            <w:tcW w:w="1569" w:type="dxa"/>
            <w:tcBorders>
              <w:top w:val="outset" w:color="auto" w:sz="4" w:space="0"/>
              <w:left w:val="outset" w:color="auto" w:sz="4" w:space="0"/>
              <w:bottom w:val="outset" w:color="auto" w:sz="4" w:space="0"/>
              <w:right w:val="outset" w:color="auto" w:sz="4" w:space="0"/>
            </w:tcBorders>
            <w:vAlign w:val="center"/>
          </w:tcPr>
          <w:p w14:paraId="5C603068">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1C08EC0C">
            <w:pPr>
              <w:jc w:val="right"/>
              <w:rPr>
                <w:rFonts w:ascii="Calibri" w:hAnsi="Calibri"/>
                <w:sz w:val="20"/>
                <w:szCs w:val="20"/>
              </w:rPr>
            </w:pPr>
            <w:r>
              <w:rPr>
                <w:rFonts w:ascii="Calibri" w:hAnsi="Calibri"/>
                <w:sz w:val="20"/>
                <w:szCs w:val="20"/>
              </w:rPr>
              <w:t>504,809,804.66</w:t>
            </w:r>
          </w:p>
        </w:tc>
        <w:tc>
          <w:tcPr>
            <w:tcW w:w="2164" w:type="dxa"/>
            <w:tcBorders>
              <w:top w:val="outset" w:color="auto" w:sz="4" w:space="0"/>
              <w:left w:val="outset" w:color="auto" w:sz="4" w:space="0"/>
              <w:bottom w:val="outset" w:color="auto" w:sz="4" w:space="0"/>
              <w:right w:val="outset" w:color="auto" w:sz="4" w:space="0"/>
            </w:tcBorders>
            <w:vAlign w:val="center"/>
          </w:tcPr>
          <w:p w14:paraId="0369C2AD">
            <w:pPr>
              <w:jc w:val="right"/>
              <w:rPr>
                <w:rFonts w:ascii="Calibri" w:hAnsi="Calibri"/>
                <w:sz w:val="20"/>
                <w:szCs w:val="20"/>
              </w:rPr>
            </w:pPr>
            <w:r>
              <w:rPr>
                <w:rFonts w:ascii="Calibri" w:hAnsi="Calibri"/>
                <w:sz w:val="20"/>
                <w:szCs w:val="20"/>
              </w:rPr>
              <w:t>505,787,740.82</w:t>
            </w:r>
          </w:p>
        </w:tc>
      </w:tr>
      <w:tr w14:paraId="69E898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698ACF1A">
            <w:pPr>
              <w:ind w:firstLine="200" w:firstLineChars="100"/>
              <w:rPr>
                <w:rFonts w:ascii="Calibri" w:hAnsi="Calibri"/>
                <w:color w:val="000000"/>
                <w:sz w:val="20"/>
                <w:szCs w:val="20"/>
              </w:rPr>
            </w:pPr>
            <w:r>
              <w:rPr>
                <w:rFonts w:hint="eastAsia" w:ascii="Calibri" w:hAnsi="Calibri"/>
                <w:sz w:val="20"/>
                <w:szCs w:val="20"/>
              </w:rPr>
              <w:t>支付其他与筹资活动有关的现金</w:t>
            </w:r>
          </w:p>
        </w:tc>
        <w:tc>
          <w:tcPr>
            <w:tcW w:w="1569" w:type="dxa"/>
            <w:tcBorders>
              <w:top w:val="outset" w:color="auto" w:sz="4" w:space="0"/>
              <w:left w:val="outset" w:color="auto" w:sz="4" w:space="0"/>
              <w:bottom w:val="outset" w:color="auto" w:sz="4" w:space="0"/>
              <w:right w:val="outset" w:color="auto" w:sz="4" w:space="0"/>
            </w:tcBorders>
            <w:vAlign w:val="center"/>
          </w:tcPr>
          <w:p w14:paraId="6F6D1E4C">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4886AE13">
            <w:pPr>
              <w:jc w:val="right"/>
              <w:rPr>
                <w:rFonts w:ascii="Calibri" w:hAnsi="Calibri"/>
                <w:sz w:val="20"/>
                <w:szCs w:val="20"/>
              </w:rPr>
            </w:pPr>
            <w:r>
              <w:rPr>
                <w:rFonts w:ascii="Calibri" w:hAnsi="Calibri"/>
                <w:sz w:val="20"/>
                <w:szCs w:val="20"/>
              </w:rPr>
              <w:t>28,754,919.35</w:t>
            </w:r>
          </w:p>
        </w:tc>
        <w:tc>
          <w:tcPr>
            <w:tcW w:w="2164" w:type="dxa"/>
            <w:tcBorders>
              <w:top w:val="outset" w:color="auto" w:sz="4" w:space="0"/>
              <w:left w:val="outset" w:color="auto" w:sz="4" w:space="0"/>
              <w:bottom w:val="outset" w:color="auto" w:sz="4" w:space="0"/>
              <w:right w:val="outset" w:color="auto" w:sz="4" w:space="0"/>
            </w:tcBorders>
            <w:vAlign w:val="center"/>
          </w:tcPr>
          <w:p w14:paraId="06D11C69">
            <w:pPr>
              <w:jc w:val="right"/>
              <w:rPr>
                <w:rFonts w:ascii="Calibri" w:hAnsi="Calibri"/>
                <w:sz w:val="20"/>
                <w:szCs w:val="20"/>
              </w:rPr>
            </w:pPr>
            <w:r>
              <w:rPr>
                <w:rFonts w:ascii="Calibri" w:hAnsi="Calibri"/>
                <w:sz w:val="20"/>
                <w:szCs w:val="20"/>
              </w:rPr>
              <w:t>440,613,227.69</w:t>
            </w:r>
          </w:p>
        </w:tc>
      </w:tr>
      <w:tr w14:paraId="11312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43271997">
            <w:pPr>
              <w:ind w:firstLine="400" w:firstLineChars="200"/>
              <w:rPr>
                <w:rFonts w:ascii="Calibri" w:hAnsi="Calibri"/>
                <w:color w:val="000000"/>
                <w:sz w:val="20"/>
                <w:szCs w:val="20"/>
              </w:rPr>
            </w:pPr>
            <w:r>
              <w:rPr>
                <w:rFonts w:hint="eastAsia" w:ascii="Calibri" w:hAnsi="Calibri"/>
                <w:sz w:val="20"/>
                <w:szCs w:val="20"/>
              </w:rPr>
              <w:t>筹资活动现金流出小计</w:t>
            </w:r>
          </w:p>
        </w:tc>
        <w:tc>
          <w:tcPr>
            <w:tcW w:w="1569" w:type="dxa"/>
            <w:tcBorders>
              <w:top w:val="outset" w:color="auto" w:sz="4" w:space="0"/>
              <w:left w:val="outset" w:color="auto" w:sz="4" w:space="0"/>
              <w:bottom w:val="outset" w:color="auto" w:sz="4" w:space="0"/>
              <w:right w:val="outset" w:color="auto" w:sz="4" w:space="0"/>
            </w:tcBorders>
            <w:vAlign w:val="center"/>
          </w:tcPr>
          <w:p w14:paraId="18B34EAA">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20F28277">
            <w:pPr>
              <w:jc w:val="right"/>
              <w:rPr>
                <w:rFonts w:ascii="Calibri" w:hAnsi="Calibri"/>
                <w:sz w:val="20"/>
                <w:szCs w:val="20"/>
              </w:rPr>
            </w:pPr>
            <w:r>
              <w:rPr>
                <w:rFonts w:ascii="Calibri" w:hAnsi="Calibri"/>
                <w:sz w:val="20"/>
                <w:szCs w:val="20"/>
              </w:rPr>
              <w:t>1,182,462,187.23</w:t>
            </w:r>
          </w:p>
        </w:tc>
        <w:tc>
          <w:tcPr>
            <w:tcW w:w="2164" w:type="dxa"/>
            <w:tcBorders>
              <w:top w:val="outset" w:color="auto" w:sz="4" w:space="0"/>
              <w:left w:val="outset" w:color="auto" w:sz="4" w:space="0"/>
              <w:bottom w:val="outset" w:color="auto" w:sz="4" w:space="0"/>
              <w:right w:val="outset" w:color="auto" w:sz="4" w:space="0"/>
            </w:tcBorders>
            <w:vAlign w:val="center"/>
          </w:tcPr>
          <w:p w14:paraId="68434F33">
            <w:pPr>
              <w:jc w:val="right"/>
              <w:rPr>
                <w:rFonts w:ascii="Calibri" w:hAnsi="Calibri"/>
                <w:sz w:val="20"/>
                <w:szCs w:val="20"/>
              </w:rPr>
            </w:pPr>
            <w:r>
              <w:rPr>
                <w:rFonts w:ascii="Calibri" w:hAnsi="Calibri"/>
                <w:sz w:val="20"/>
                <w:szCs w:val="20"/>
              </w:rPr>
              <w:t>1,266,400,968.51</w:t>
            </w:r>
          </w:p>
        </w:tc>
      </w:tr>
      <w:tr w14:paraId="724111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1B20198D">
            <w:pPr>
              <w:ind w:firstLine="600" w:firstLineChars="300"/>
              <w:rPr>
                <w:rFonts w:ascii="Calibri" w:hAnsi="Calibri"/>
                <w:color w:val="000000"/>
                <w:sz w:val="20"/>
                <w:szCs w:val="20"/>
              </w:rPr>
            </w:pPr>
            <w:r>
              <w:rPr>
                <w:rFonts w:hint="eastAsia" w:ascii="Calibri" w:hAnsi="Calibri"/>
                <w:sz w:val="20"/>
                <w:szCs w:val="20"/>
              </w:rPr>
              <w:t>筹资活动产生的现金流量净额</w:t>
            </w:r>
          </w:p>
        </w:tc>
        <w:tc>
          <w:tcPr>
            <w:tcW w:w="1569" w:type="dxa"/>
            <w:tcBorders>
              <w:top w:val="outset" w:color="auto" w:sz="4" w:space="0"/>
              <w:left w:val="outset" w:color="auto" w:sz="4" w:space="0"/>
              <w:bottom w:val="outset" w:color="auto" w:sz="4" w:space="0"/>
              <w:right w:val="outset" w:color="auto" w:sz="4" w:space="0"/>
            </w:tcBorders>
            <w:vAlign w:val="center"/>
          </w:tcPr>
          <w:p w14:paraId="1D9292C1">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0EA55297">
            <w:pPr>
              <w:jc w:val="right"/>
              <w:rPr>
                <w:rFonts w:ascii="Calibri" w:hAnsi="Calibri"/>
                <w:sz w:val="20"/>
                <w:szCs w:val="20"/>
              </w:rPr>
            </w:pPr>
            <w:r>
              <w:rPr>
                <w:rFonts w:ascii="Calibri" w:hAnsi="Calibri"/>
                <w:sz w:val="20"/>
                <w:szCs w:val="20"/>
              </w:rPr>
              <w:t>-641,643,787.23</w:t>
            </w:r>
          </w:p>
        </w:tc>
        <w:tc>
          <w:tcPr>
            <w:tcW w:w="2164" w:type="dxa"/>
            <w:tcBorders>
              <w:top w:val="outset" w:color="auto" w:sz="4" w:space="0"/>
              <w:left w:val="outset" w:color="auto" w:sz="4" w:space="0"/>
              <w:bottom w:val="outset" w:color="auto" w:sz="4" w:space="0"/>
              <w:right w:val="outset" w:color="auto" w:sz="4" w:space="0"/>
            </w:tcBorders>
            <w:vAlign w:val="center"/>
          </w:tcPr>
          <w:p w14:paraId="368656EE">
            <w:pPr>
              <w:jc w:val="right"/>
              <w:rPr>
                <w:rFonts w:ascii="Calibri" w:hAnsi="Calibri"/>
                <w:sz w:val="20"/>
                <w:szCs w:val="20"/>
              </w:rPr>
            </w:pPr>
            <w:r>
              <w:rPr>
                <w:rFonts w:ascii="Calibri" w:hAnsi="Calibri"/>
                <w:sz w:val="20"/>
                <w:szCs w:val="20"/>
              </w:rPr>
              <w:t>-418,906,000.64</w:t>
            </w:r>
          </w:p>
        </w:tc>
      </w:tr>
      <w:tr w14:paraId="30056B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314932B4">
            <w:pPr>
              <w:rPr>
                <w:rFonts w:ascii="Calibri" w:hAnsi="Calibri"/>
                <w:color w:val="000000"/>
                <w:sz w:val="20"/>
                <w:szCs w:val="20"/>
              </w:rPr>
            </w:pPr>
            <w:r>
              <w:rPr>
                <w:rFonts w:hint="eastAsia" w:ascii="Calibri" w:hAnsi="Calibri"/>
                <w:b/>
                <w:bCs/>
                <w:sz w:val="20"/>
                <w:szCs w:val="20"/>
              </w:rPr>
              <w:t>四、汇率变动对现金及现金等价物的影响</w:t>
            </w:r>
          </w:p>
        </w:tc>
        <w:tc>
          <w:tcPr>
            <w:tcW w:w="1569" w:type="dxa"/>
            <w:tcBorders>
              <w:top w:val="outset" w:color="auto" w:sz="4" w:space="0"/>
              <w:left w:val="outset" w:color="auto" w:sz="4" w:space="0"/>
              <w:bottom w:val="outset" w:color="auto" w:sz="4" w:space="0"/>
              <w:right w:val="outset" w:color="auto" w:sz="4" w:space="0"/>
            </w:tcBorders>
            <w:vAlign w:val="center"/>
          </w:tcPr>
          <w:p w14:paraId="53C8A998">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289CC07C">
            <w:pPr>
              <w:jc w:val="right"/>
              <w:rPr>
                <w:rFonts w:ascii="Calibri" w:hAnsi="Calibri"/>
                <w:sz w:val="20"/>
                <w:szCs w:val="20"/>
              </w:rPr>
            </w:pPr>
            <w:r>
              <w:rPr>
                <w:rFonts w:ascii="Calibri" w:hAnsi="Calibri"/>
                <w:sz w:val="20"/>
                <w:szCs w:val="20"/>
              </w:rPr>
              <w:t>-64.87</w:t>
            </w:r>
          </w:p>
        </w:tc>
        <w:tc>
          <w:tcPr>
            <w:tcW w:w="2164" w:type="dxa"/>
            <w:tcBorders>
              <w:top w:val="outset" w:color="auto" w:sz="4" w:space="0"/>
              <w:left w:val="outset" w:color="auto" w:sz="4" w:space="0"/>
              <w:bottom w:val="outset" w:color="auto" w:sz="4" w:space="0"/>
              <w:right w:val="outset" w:color="auto" w:sz="4" w:space="0"/>
            </w:tcBorders>
            <w:vAlign w:val="center"/>
          </w:tcPr>
          <w:p w14:paraId="65518854">
            <w:pPr>
              <w:jc w:val="right"/>
              <w:rPr>
                <w:rFonts w:ascii="Calibri" w:hAnsi="Calibri"/>
                <w:sz w:val="20"/>
                <w:szCs w:val="20"/>
              </w:rPr>
            </w:pPr>
            <w:r>
              <w:rPr>
                <w:rFonts w:ascii="Calibri" w:hAnsi="Calibri"/>
                <w:sz w:val="20"/>
                <w:szCs w:val="20"/>
              </w:rPr>
              <w:t>344,236.70</w:t>
            </w:r>
          </w:p>
        </w:tc>
      </w:tr>
      <w:tr w14:paraId="38F26C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1430D110">
            <w:pPr>
              <w:rPr>
                <w:rFonts w:ascii="Calibri" w:hAnsi="Calibri"/>
                <w:color w:val="000000"/>
                <w:sz w:val="20"/>
                <w:szCs w:val="20"/>
              </w:rPr>
            </w:pPr>
            <w:r>
              <w:rPr>
                <w:rFonts w:hint="eastAsia" w:ascii="Calibri" w:hAnsi="Calibri"/>
                <w:b/>
                <w:bCs/>
                <w:sz w:val="20"/>
                <w:szCs w:val="20"/>
              </w:rPr>
              <w:t>五、现金及现金等价物净增加额</w:t>
            </w:r>
          </w:p>
        </w:tc>
        <w:tc>
          <w:tcPr>
            <w:tcW w:w="1569" w:type="dxa"/>
            <w:tcBorders>
              <w:top w:val="outset" w:color="auto" w:sz="4" w:space="0"/>
              <w:left w:val="outset" w:color="auto" w:sz="4" w:space="0"/>
              <w:bottom w:val="outset" w:color="auto" w:sz="4" w:space="0"/>
              <w:right w:val="outset" w:color="auto" w:sz="4" w:space="0"/>
            </w:tcBorders>
            <w:vAlign w:val="center"/>
          </w:tcPr>
          <w:p w14:paraId="1771869F">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74BE9549">
            <w:pPr>
              <w:jc w:val="right"/>
              <w:rPr>
                <w:rFonts w:ascii="Calibri" w:hAnsi="Calibri"/>
                <w:sz w:val="20"/>
                <w:szCs w:val="20"/>
              </w:rPr>
            </w:pPr>
            <w:r>
              <w:rPr>
                <w:rFonts w:ascii="Calibri" w:hAnsi="Calibri"/>
                <w:sz w:val="20"/>
                <w:szCs w:val="20"/>
              </w:rPr>
              <w:t>790,720,235.97</w:t>
            </w:r>
          </w:p>
        </w:tc>
        <w:tc>
          <w:tcPr>
            <w:tcW w:w="2164" w:type="dxa"/>
            <w:tcBorders>
              <w:top w:val="outset" w:color="auto" w:sz="4" w:space="0"/>
              <w:left w:val="outset" w:color="auto" w:sz="4" w:space="0"/>
              <w:bottom w:val="outset" w:color="auto" w:sz="4" w:space="0"/>
              <w:right w:val="outset" w:color="auto" w:sz="4" w:space="0"/>
            </w:tcBorders>
            <w:vAlign w:val="center"/>
          </w:tcPr>
          <w:p w14:paraId="6FFB8A37">
            <w:pPr>
              <w:jc w:val="right"/>
              <w:rPr>
                <w:rFonts w:ascii="Calibri" w:hAnsi="Calibri"/>
                <w:sz w:val="20"/>
                <w:szCs w:val="20"/>
              </w:rPr>
            </w:pPr>
            <w:r>
              <w:rPr>
                <w:rFonts w:ascii="Calibri" w:hAnsi="Calibri"/>
                <w:sz w:val="20"/>
                <w:szCs w:val="20"/>
              </w:rPr>
              <w:t>-540,636,040.12</w:t>
            </w:r>
          </w:p>
        </w:tc>
      </w:tr>
      <w:tr w14:paraId="7294E7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62ED16E2">
            <w:pPr>
              <w:ind w:firstLine="200" w:firstLineChars="100"/>
              <w:rPr>
                <w:rFonts w:ascii="Calibri" w:hAnsi="Calibri"/>
                <w:color w:val="000000"/>
                <w:sz w:val="20"/>
                <w:szCs w:val="20"/>
              </w:rPr>
            </w:pPr>
            <w:r>
              <w:rPr>
                <w:rFonts w:hint="eastAsia" w:ascii="Calibri" w:hAnsi="Calibri"/>
                <w:sz w:val="20"/>
                <w:szCs w:val="20"/>
              </w:rPr>
              <w:t>加：期初现金及现金等价物余额</w:t>
            </w:r>
          </w:p>
        </w:tc>
        <w:tc>
          <w:tcPr>
            <w:tcW w:w="1569" w:type="dxa"/>
            <w:tcBorders>
              <w:top w:val="outset" w:color="auto" w:sz="4" w:space="0"/>
              <w:left w:val="outset" w:color="auto" w:sz="4" w:space="0"/>
              <w:bottom w:val="outset" w:color="auto" w:sz="4" w:space="0"/>
              <w:right w:val="outset" w:color="auto" w:sz="4" w:space="0"/>
            </w:tcBorders>
            <w:vAlign w:val="center"/>
          </w:tcPr>
          <w:p w14:paraId="3F560ED7">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6310EC61">
            <w:pPr>
              <w:jc w:val="right"/>
              <w:rPr>
                <w:rFonts w:ascii="Calibri" w:hAnsi="Calibri"/>
                <w:sz w:val="20"/>
                <w:szCs w:val="20"/>
              </w:rPr>
            </w:pPr>
            <w:r>
              <w:rPr>
                <w:rFonts w:ascii="Calibri" w:hAnsi="Calibri"/>
                <w:sz w:val="20"/>
                <w:szCs w:val="20"/>
              </w:rPr>
              <w:t>542,910,783.68</w:t>
            </w:r>
          </w:p>
        </w:tc>
        <w:tc>
          <w:tcPr>
            <w:tcW w:w="2164" w:type="dxa"/>
            <w:tcBorders>
              <w:top w:val="outset" w:color="auto" w:sz="4" w:space="0"/>
              <w:left w:val="outset" w:color="auto" w:sz="4" w:space="0"/>
              <w:bottom w:val="outset" w:color="auto" w:sz="4" w:space="0"/>
              <w:right w:val="outset" w:color="auto" w:sz="4" w:space="0"/>
            </w:tcBorders>
            <w:vAlign w:val="center"/>
          </w:tcPr>
          <w:p w14:paraId="5BBCC9FE">
            <w:pPr>
              <w:jc w:val="right"/>
              <w:rPr>
                <w:rFonts w:ascii="Calibri" w:hAnsi="Calibri"/>
                <w:sz w:val="20"/>
                <w:szCs w:val="20"/>
              </w:rPr>
            </w:pPr>
            <w:r>
              <w:rPr>
                <w:rFonts w:ascii="Calibri" w:hAnsi="Calibri"/>
                <w:sz w:val="20"/>
                <w:szCs w:val="20"/>
              </w:rPr>
              <w:t>1,083,546,823.80</w:t>
            </w:r>
          </w:p>
        </w:tc>
      </w:tr>
      <w:tr w14:paraId="56B9C0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145" w:type="dxa"/>
            <w:tcBorders>
              <w:top w:val="outset" w:color="auto" w:sz="4" w:space="0"/>
              <w:left w:val="outset" w:color="auto" w:sz="4" w:space="0"/>
              <w:bottom w:val="outset" w:color="auto" w:sz="4" w:space="0"/>
              <w:right w:val="outset" w:color="auto" w:sz="4" w:space="0"/>
            </w:tcBorders>
            <w:vAlign w:val="center"/>
          </w:tcPr>
          <w:p w14:paraId="45605613">
            <w:pPr>
              <w:rPr>
                <w:rFonts w:ascii="Calibri" w:hAnsi="Calibri"/>
                <w:color w:val="000000"/>
                <w:sz w:val="20"/>
                <w:szCs w:val="20"/>
              </w:rPr>
            </w:pPr>
            <w:r>
              <w:rPr>
                <w:rFonts w:hint="eastAsia" w:ascii="Calibri" w:hAnsi="Calibri"/>
                <w:b/>
                <w:bCs/>
                <w:sz w:val="20"/>
                <w:szCs w:val="20"/>
              </w:rPr>
              <w:t>六、期末现金及现金等价物余额</w:t>
            </w:r>
          </w:p>
        </w:tc>
        <w:tc>
          <w:tcPr>
            <w:tcW w:w="1569" w:type="dxa"/>
            <w:tcBorders>
              <w:top w:val="outset" w:color="auto" w:sz="4" w:space="0"/>
              <w:left w:val="outset" w:color="auto" w:sz="4" w:space="0"/>
              <w:bottom w:val="outset" w:color="auto" w:sz="4" w:space="0"/>
              <w:right w:val="outset" w:color="auto" w:sz="4" w:space="0"/>
            </w:tcBorders>
            <w:vAlign w:val="center"/>
          </w:tcPr>
          <w:p w14:paraId="455A2B4A">
            <w:pPr>
              <w:pStyle w:val="48"/>
              <w:rPr>
                <w:sz w:val="20"/>
                <w:szCs w:val="20"/>
              </w:rPr>
            </w:pPr>
          </w:p>
        </w:tc>
        <w:tc>
          <w:tcPr>
            <w:tcW w:w="2171" w:type="dxa"/>
            <w:tcBorders>
              <w:top w:val="outset" w:color="auto" w:sz="4" w:space="0"/>
              <w:left w:val="outset" w:color="auto" w:sz="4" w:space="0"/>
              <w:bottom w:val="outset" w:color="auto" w:sz="4" w:space="0"/>
              <w:right w:val="outset" w:color="auto" w:sz="4" w:space="0"/>
            </w:tcBorders>
            <w:vAlign w:val="center"/>
          </w:tcPr>
          <w:p w14:paraId="344CBB0B">
            <w:pPr>
              <w:jc w:val="right"/>
              <w:rPr>
                <w:rFonts w:ascii="Calibri" w:hAnsi="Calibri"/>
                <w:sz w:val="20"/>
                <w:szCs w:val="20"/>
              </w:rPr>
            </w:pPr>
            <w:r>
              <w:rPr>
                <w:rFonts w:ascii="Calibri" w:hAnsi="Calibri"/>
                <w:sz w:val="20"/>
                <w:szCs w:val="20"/>
              </w:rPr>
              <w:t>1,333,631,019.65</w:t>
            </w:r>
          </w:p>
        </w:tc>
        <w:tc>
          <w:tcPr>
            <w:tcW w:w="2164" w:type="dxa"/>
            <w:tcBorders>
              <w:top w:val="outset" w:color="auto" w:sz="4" w:space="0"/>
              <w:left w:val="outset" w:color="auto" w:sz="4" w:space="0"/>
              <w:bottom w:val="outset" w:color="auto" w:sz="4" w:space="0"/>
              <w:right w:val="outset" w:color="auto" w:sz="4" w:space="0"/>
            </w:tcBorders>
            <w:vAlign w:val="center"/>
          </w:tcPr>
          <w:p w14:paraId="00FBC163">
            <w:pPr>
              <w:jc w:val="right"/>
              <w:rPr>
                <w:rFonts w:ascii="Calibri" w:hAnsi="Calibri"/>
                <w:sz w:val="20"/>
                <w:szCs w:val="20"/>
              </w:rPr>
            </w:pPr>
            <w:r>
              <w:rPr>
                <w:rFonts w:ascii="Calibri" w:hAnsi="Calibri"/>
                <w:sz w:val="20"/>
                <w:szCs w:val="20"/>
              </w:rPr>
              <w:t>542,910,783.68</w:t>
            </w:r>
          </w:p>
        </w:tc>
      </w:tr>
    </w:tbl>
    <w:p w14:paraId="557B849B">
      <w:pPr>
        <w:pStyle w:val="48"/>
      </w:pPr>
    </w:p>
    <w:p w14:paraId="124A4F2A">
      <w:pPr>
        <w:snapToGrid w:val="0"/>
        <w:spacing w:line="240" w:lineRule="atLeast"/>
        <w:ind w:right="-153" w:rightChars="-73"/>
        <w:rPr>
          <w:b/>
          <w:bCs/>
          <w:color w:val="FF0000"/>
        </w:rPr>
      </w:pPr>
      <w:r>
        <w:rPr>
          <w:rFonts w:hint="eastAsia"/>
        </w:rPr>
        <w:t>公司负责</w:t>
      </w:r>
      <w:r>
        <w:t>人</w:t>
      </w:r>
      <w:r>
        <w:rPr>
          <w:rFonts w:hint="eastAsia"/>
        </w:rPr>
        <w:t>：</w:t>
      </w:r>
      <w:sdt>
        <w:sdtPr>
          <w:rPr>
            <w:rFonts w:hint="eastAsia"/>
          </w:rPr>
          <w:alias w:val="公司负责人姓名"/>
          <w:tag w:val="_GBC_b872f4b10a12453987b2d73dfe2a5ff9"/>
          <w:id w:val="317398495"/>
          <w:placeholder>
            <w:docPart w:val="GBC22222222222222222222222222222"/>
          </w:placeholder>
          <w:dataBinding w:prefixMappings="xmlns:clcid-mr='clcid-mr'" w:xpath="/*/clcid-mr:GongSiFuZeRenXingMing[not(@periodRef)]" w:storeItemID="{89EBAB94-44A0-46A2-B712-30D997D04A6D}"/>
          <w:text/>
        </w:sdtPr>
        <w:sdtEndPr>
          <w:rPr>
            <w:rFonts w:hint="eastAsia"/>
          </w:rPr>
        </w:sdtEndPr>
        <w:sdtContent>
          <w:r>
            <w:rPr>
              <w:rFonts w:hint="eastAsia"/>
            </w:rPr>
            <w:t>李佳鸿</w:t>
          </w:r>
        </w:sdtContent>
      </w:sdt>
      <w:r>
        <w:rPr>
          <w:rFonts w:hint="eastAsia"/>
        </w:rPr>
        <w:t xml:space="preserve"> </w:t>
      </w:r>
      <w:r>
        <w:t xml:space="preserve">        主管会计工作负责人</w:t>
      </w:r>
      <w:r>
        <w:rPr>
          <w:rFonts w:hint="eastAsia"/>
        </w:rPr>
        <w:t>：</w:t>
      </w:r>
      <w:sdt>
        <w:sdtPr>
          <w:rPr>
            <w:rFonts w:hint="eastAsia"/>
          </w:rPr>
          <w:alias w:val="主管会计工作负责人姓名"/>
          <w:tag w:val="_GBC_29443dd8858043c68f8217b05d1e3346"/>
          <w:id w:val="947275861"/>
          <w:placeholder>
            <w:docPart w:val="GBC22222222222222222222222222222"/>
          </w:placeholder>
          <w:dataBinding w:prefixMappings="xmlns:clcid-mr='clcid-mr'" w:xpath="/*/clcid-mr:ZhuGuanKuaiJiGongZuoFuZeRenXingMing[not(@periodRef)]" w:storeItemID="{89EBAB94-44A0-46A2-B712-30D997D04A6D}"/>
          <w:text/>
        </w:sdtPr>
        <w:sdtEndPr>
          <w:rPr>
            <w:rFonts w:hint="eastAsia"/>
          </w:rPr>
        </w:sdtEndPr>
        <w:sdtContent>
          <w:r>
            <w:rPr>
              <w:rFonts w:hint="eastAsia"/>
            </w:rPr>
            <w:t>迟军玉</w:t>
          </w:r>
        </w:sdtContent>
      </w:sdt>
      <w:r>
        <w:rPr>
          <w:rFonts w:hint="eastAsia"/>
        </w:rPr>
        <w:t xml:space="preserve"> </w:t>
      </w:r>
      <w:r>
        <w:t xml:space="preserve">        会计机构负责人</w:t>
      </w:r>
      <w:r>
        <w:rPr>
          <w:rFonts w:hint="eastAsia"/>
        </w:rPr>
        <w:t>：</w:t>
      </w:r>
      <w:sdt>
        <w:sdtPr>
          <w:rPr>
            <w:rFonts w:hint="eastAsia"/>
          </w:rPr>
          <w:alias w:val="会计机构负责人姓名"/>
          <w:tag w:val="_GBC_952065710c0f41709539d877935c1903"/>
          <w:id w:val="860476035"/>
          <w:placeholder>
            <w:docPart w:val="GBC22222222222222222222222222222"/>
          </w:placeholder>
          <w:dataBinding w:prefixMappings="xmlns:clcid-mr='clcid-mr'" w:xpath="/*/clcid-mr:KuaiJiJiGouFuZeRenXingMing[not(@periodRef)]" w:storeItemID="{89EBAB94-44A0-46A2-B712-30D997D04A6D}"/>
          <w:text/>
        </w:sdtPr>
        <w:sdtEndPr>
          <w:rPr>
            <w:rFonts w:hint="eastAsia"/>
          </w:rPr>
        </w:sdtEndPr>
        <w:sdtContent>
          <w:r>
            <w:rPr>
              <w:rFonts w:hint="eastAsia"/>
            </w:rPr>
            <w:t>樊鸿宇</w:t>
          </w:r>
        </w:sdtContent>
      </w:sdt>
    </w:p>
    <w:p w14:paraId="54EC8E6F">
      <w:pPr>
        <w:rPr>
          <w:b/>
          <w:bCs/>
          <w:color w:val="FF0000"/>
        </w:rPr>
      </w:pPr>
    </w:p>
    <w:bookmarkEnd w:id="199"/>
    <w:p w14:paraId="67A77C0C">
      <w:pPr>
        <w:pStyle w:val="48"/>
      </w:pPr>
    </w:p>
    <w:p w14:paraId="0DC7D8C8">
      <w:pPr>
        <w:snapToGrid w:val="0"/>
        <w:spacing w:line="240" w:lineRule="atLeast"/>
        <w:ind w:right="-153" w:rightChars="-73"/>
      </w:pPr>
    </w:p>
    <w:p w14:paraId="1C880A03">
      <w:pPr>
        <w:snapToGrid w:val="0"/>
        <w:spacing w:line="240" w:lineRule="atLeast"/>
        <w:ind w:right="-153" w:rightChars="-73"/>
        <w:sectPr>
          <w:pgSz w:w="11906" w:h="16838"/>
          <w:pgMar w:top="1525" w:right="1276" w:bottom="1440" w:left="1797" w:header="856" w:footer="992" w:gutter="0"/>
          <w:cols w:space="425" w:num="1"/>
          <w:docGrid w:linePitch="312" w:charSpace="0"/>
        </w:sectPr>
      </w:pPr>
    </w:p>
    <w:p w14:paraId="42DC5CAB">
      <w:pPr>
        <w:tabs>
          <w:tab w:val="left" w:pos="10080"/>
        </w:tabs>
        <w:snapToGrid w:val="0"/>
        <w:spacing w:line="240" w:lineRule="atLeast"/>
        <w:ind w:right="25" w:rightChars="12"/>
        <w:jc w:val="center"/>
        <w:rPr>
          <w:b/>
        </w:rPr>
      </w:pPr>
      <w:bookmarkStart w:id="200" w:name="_Hlk533930052"/>
    </w:p>
    <w:p w14:paraId="709D6213">
      <w:pPr>
        <w:tabs>
          <w:tab w:val="left" w:pos="10080"/>
        </w:tabs>
        <w:snapToGrid w:val="0"/>
        <w:spacing w:line="240" w:lineRule="atLeast"/>
        <w:ind w:right="25" w:rightChars="12"/>
        <w:jc w:val="center"/>
        <w:outlineLvl w:val="2"/>
        <w:rPr>
          <w:b/>
        </w:rPr>
      </w:pPr>
      <w:r>
        <w:rPr>
          <w:b/>
        </w:rPr>
        <w:t>合并</w:t>
      </w:r>
      <w:r>
        <w:rPr>
          <w:rFonts w:hint="eastAsia"/>
          <w:b/>
        </w:rPr>
        <w:t>所有者权益变动表</w:t>
      </w:r>
    </w:p>
    <w:p w14:paraId="46209469">
      <w:pPr>
        <w:tabs>
          <w:tab w:val="left" w:pos="10080"/>
        </w:tabs>
        <w:snapToGrid w:val="0"/>
        <w:spacing w:line="240" w:lineRule="atLeast"/>
        <w:ind w:right="25" w:rightChars="12"/>
        <w:jc w:val="center"/>
      </w:pPr>
      <w:r>
        <w:t>2025年</w:t>
      </w:r>
      <w:r>
        <w:rPr>
          <w:rFonts w:hint="eastAsia"/>
        </w:rPr>
        <w:t>1—12月</w:t>
      </w:r>
    </w:p>
    <w:p w14:paraId="4F4CBFAA">
      <w:pPr>
        <w:tabs>
          <w:tab w:val="left" w:pos="10080"/>
        </w:tabs>
        <w:snapToGrid w:val="0"/>
        <w:spacing w:line="240" w:lineRule="atLeast"/>
        <w:jc w:val="right"/>
      </w:pPr>
      <w:r>
        <w:t>单位</w:t>
      </w:r>
      <w:r>
        <w:rPr>
          <w:rFonts w:hint="eastAsia"/>
        </w:rPr>
        <w:t>：</w:t>
      </w:r>
      <w:sdt>
        <w:sdtPr>
          <w:alias w:val="单位：合并股东权益调节表"/>
          <w:tag w:val="_GBC_57faea4e453e49ad93821b7dd6ce8bc4"/>
          <w:id w:val="14811088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币种</w:t>
      </w:r>
      <w:r>
        <w:rPr>
          <w:rFonts w:hint="eastAsia"/>
        </w:rPr>
        <w:t>：</w:t>
      </w:r>
      <w:sdt>
        <w:sdtPr>
          <w:alias w:val="币种：合并股东权益调节表"/>
          <w:tag w:val="_GBC_cef77704267643d794145c73763360e5"/>
          <w:id w:val="6599721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57"/>
        <w:tblW w:w="15877"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559"/>
        <w:gridCol w:w="284"/>
        <w:gridCol w:w="283"/>
        <w:gridCol w:w="284"/>
        <w:gridCol w:w="1417"/>
        <w:gridCol w:w="1418"/>
        <w:gridCol w:w="1276"/>
        <w:gridCol w:w="1559"/>
        <w:gridCol w:w="1559"/>
        <w:gridCol w:w="1559"/>
        <w:gridCol w:w="1418"/>
        <w:gridCol w:w="1559"/>
      </w:tblGrid>
      <w:tr w14:paraId="20BF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02" w:type="dxa"/>
            <w:vMerge w:val="restart"/>
            <w:vAlign w:val="center"/>
          </w:tcPr>
          <w:sdt>
            <w:sdtPr>
              <w:tag w:val="_PLD_245a9e71ca1b403fad3a821efeb272de"/>
              <w:id w:val="-111052837"/>
            </w:sdtPr>
            <w:sdtContent>
              <w:p w14:paraId="17FD7917">
                <w:pPr>
                  <w:snapToGrid w:val="0"/>
                  <w:spacing w:line="240" w:lineRule="atLeast"/>
                  <w:jc w:val="center"/>
                  <w:rPr>
                    <w:rFonts w:ascii="Calibri" w:hAnsi="Calibri"/>
                    <w:sz w:val="18"/>
                    <w:szCs w:val="18"/>
                  </w:rPr>
                </w:pPr>
                <w:r>
                  <w:rPr>
                    <w:rFonts w:hint="eastAsia" w:ascii="Calibri" w:hAnsi="Calibri"/>
                    <w:sz w:val="18"/>
                    <w:szCs w:val="18"/>
                  </w:rPr>
                  <w:t>项目</w:t>
                </w:r>
              </w:p>
            </w:sdtContent>
          </w:sdt>
        </w:tc>
        <w:tc>
          <w:tcPr>
            <w:tcW w:w="14175" w:type="dxa"/>
            <w:gridSpan w:val="12"/>
            <w:vAlign w:val="center"/>
          </w:tcPr>
          <w:p w14:paraId="1CD2FA35">
            <w:pPr>
              <w:snapToGrid w:val="0"/>
              <w:spacing w:line="240" w:lineRule="atLeast"/>
              <w:ind w:right="-1594" w:rightChars="-759"/>
              <w:jc w:val="center"/>
              <w:rPr>
                <w:rFonts w:ascii="Calibri" w:hAnsi="Calibri"/>
                <w:sz w:val="20"/>
                <w:szCs w:val="20"/>
              </w:rPr>
            </w:pPr>
            <w:r>
              <w:rPr>
                <w:rFonts w:hint="eastAsia" w:ascii="Calibri" w:hAnsi="Calibri"/>
                <w:sz w:val="20"/>
                <w:szCs w:val="20"/>
              </w:rPr>
              <w:t xml:space="preserve"> </w:t>
            </w:r>
            <w:sdt>
              <w:sdtPr>
                <w:tag w:val="_PLD_74b2c30f72fb403387c8b0e2a353f994"/>
                <w:id w:val="1918431303"/>
              </w:sdtPr>
              <w:sdtContent>
                <w:r>
                  <w:rPr>
                    <w:rFonts w:hint="eastAsia" w:ascii="Calibri" w:hAnsi="Calibri"/>
                    <w:sz w:val="18"/>
                    <w:szCs w:val="20"/>
                  </w:rPr>
                  <w:t>2025年度</w:t>
                </w:r>
              </w:sdtContent>
            </w:sdt>
          </w:p>
        </w:tc>
      </w:tr>
      <w:tr w14:paraId="0819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702" w:type="dxa"/>
            <w:vMerge w:val="continue"/>
            <w:vAlign w:val="center"/>
          </w:tcPr>
          <w:p w14:paraId="4D97EAFC">
            <w:pPr>
              <w:snapToGrid w:val="0"/>
              <w:spacing w:line="240" w:lineRule="atLeast"/>
              <w:ind w:right="-1594" w:rightChars="-759"/>
              <w:rPr>
                <w:rFonts w:ascii="Calibri" w:hAnsi="Calibri"/>
                <w:sz w:val="18"/>
                <w:szCs w:val="18"/>
              </w:rPr>
            </w:pPr>
          </w:p>
        </w:tc>
        <w:sdt>
          <w:sdtPr>
            <w:tag w:val="_PLD_48b1c4daa55343f0a820ecc94c441958"/>
            <w:id w:val="1164670217"/>
          </w:sdtPr>
          <w:sdtContent>
            <w:tc>
              <w:tcPr>
                <w:tcW w:w="11198" w:type="dxa"/>
                <w:gridSpan w:val="10"/>
                <w:vAlign w:val="center"/>
              </w:tcPr>
              <w:p w14:paraId="3939CA42">
                <w:pPr>
                  <w:jc w:val="center"/>
                  <w:rPr>
                    <w:rFonts w:ascii="Calibri" w:hAnsi="Calibri"/>
                    <w:sz w:val="20"/>
                    <w:szCs w:val="20"/>
                  </w:rPr>
                </w:pPr>
                <w:r>
                  <w:rPr>
                    <w:rFonts w:ascii="Calibri" w:hAnsi="Calibri"/>
                    <w:sz w:val="18"/>
                    <w:szCs w:val="18"/>
                  </w:rPr>
                  <w:t>归属于母公司所有者权益</w:t>
                </w:r>
              </w:p>
            </w:tc>
          </w:sdtContent>
        </w:sdt>
        <w:sdt>
          <w:sdtPr>
            <w:tag w:val="_PLD_de4010a56d78401ebd4bb48e62167082"/>
            <w:id w:val="1138386181"/>
          </w:sdtPr>
          <w:sdtContent>
            <w:tc>
              <w:tcPr>
                <w:tcW w:w="1418" w:type="dxa"/>
                <w:vMerge w:val="restart"/>
                <w:vAlign w:val="center"/>
              </w:tcPr>
              <w:p w14:paraId="561E8238">
                <w:pPr>
                  <w:jc w:val="center"/>
                  <w:rPr>
                    <w:rFonts w:ascii="Calibri" w:hAnsi="Calibri"/>
                    <w:sz w:val="18"/>
                    <w:szCs w:val="18"/>
                  </w:rPr>
                </w:pPr>
                <w:r>
                  <w:rPr>
                    <w:rFonts w:ascii="Calibri" w:hAnsi="Calibri"/>
                    <w:sz w:val="18"/>
                    <w:szCs w:val="18"/>
                  </w:rPr>
                  <w:t>少数股东权益</w:t>
                </w:r>
              </w:p>
            </w:tc>
          </w:sdtContent>
        </w:sdt>
        <w:sdt>
          <w:sdtPr>
            <w:tag w:val="_PLD_ff9bc6143ed9429e80e1ed144f5ff16d"/>
            <w:id w:val="-805156173"/>
          </w:sdtPr>
          <w:sdtContent>
            <w:tc>
              <w:tcPr>
                <w:tcW w:w="1559" w:type="dxa"/>
                <w:vMerge w:val="restart"/>
                <w:vAlign w:val="center"/>
              </w:tcPr>
              <w:p w14:paraId="2D60A605">
                <w:pPr>
                  <w:jc w:val="center"/>
                  <w:rPr>
                    <w:rFonts w:ascii="Calibri" w:hAnsi="Calibri"/>
                    <w:sz w:val="18"/>
                    <w:szCs w:val="18"/>
                  </w:rPr>
                </w:pPr>
                <w:r>
                  <w:rPr>
                    <w:rFonts w:ascii="Calibri" w:hAnsi="Calibri"/>
                    <w:sz w:val="18"/>
                    <w:szCs w:val="18"/>
                  </w:rPr>
                  <w:t>所有者权益合计</w:t>
                </w:r>
              </w:p>
            </w:tc>
          </w:sdtContent>
        </w:sdt>
      </w:tr>
      <w:tr w14:paraId="6E86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1702" w:type="dxa"/>
            <w:vMerge w:val="continue"/>
            <w:vAlign w:val="center"/>
          </w:tcPr>
          <w:p w14:paraId="64944AE7">
            <w:pPr>
              <w:snapToGrid w:val="0"/>
              <w:spacing w:line="240" w:lineRule="atLeast"/>
              <w:ind w:right="-1594" w:rightChars="-759"/>
              <w:rPr>
                <w:rFonts w:ascii="Calibri" w:hAnsi="Calibri"/>
                <w:sz w:val="18"/>
                <w:szCs w:val="18"/>
              </w:rPr>
            </w:pPr>
          </w:p>
        </w:tc>
        <w:sdt>
          <w:sdtPr>
            <w:tag w:val="_PLD_2a43f0f223d141f0855f6cbb9e60b12f"/>
            <w:id w:val="433249991"/>
          </w:sdtPr>
          <w:sdtContent>
            <w:tc>
              <w:tcPr>
                <w:tcW w:w="1559" w:type="dxa"/>
                <w:vMerge w:val="restart"/>
                <w:vAlign w:val="center"/>
              </w:tcPr>
              <w:p w14:paraId="633E541B">
                <w:pPr>
                  <w:snapToGrid w:val="0"/>
                  <w:spacing w:line="240" w:lineRule="atLeast"/>
                  <w:jc w:val="center"/>
                  <w:rPr>
                    <w:rFonts w:ascii="Calibri" w:hAnsi="Calibri"/>
                    <w:sz w:val="18"/>
                    <w:szCs w:val="18"/>
                  </w:rPr>
                </w:pPr>
                <w:r>
                  <w:rPr>
                    <w:rFonts w:hint="eastAsia" w:ascii="Calibri" w:hAnsi="Calibri"/>
                    <w:sz w:val="18"/>
                    <w:szCs w:val="18"/>
                  </w:rPr>
                  <w:t>实收资本(或股本)</w:t>
                </w:r>
              </w:p>
            </w:tc>
          </w:sdtContent>
        </w:sdt>
        <w:sdt>
          <w:sdtPr>
            <w:tag w:val="_PLD_39cb94703877409e9e50d4bf964d43e4"/>
            <w:id w:val="-776096181"/>
          </w:sdtPr>
          <w:sdtContent>
            <w:tc>
              <w:tcPr>
                <w:tcW w:w="851" w:type="dxa"/>
                <w:gridSpan w:val="3"/>
                <w:vAlign w:val="center"/>
              </w:tcPr>
              <w:p w14:paraId="2B50B395">
                <w:pPr>
                  <w:snapToGrid w:val="0"/>
                  <w:spacing w:line="240" w:lineRule="atLeast"/>
                  <w:jc w:val="center"/>
                  <w:rPr>
                    <w:rFonts w:ascii="Calibri" w:hAnsi="Calibri"/>
                    <w:sz w:val="18"/>
                    <w:szCs w:val="18"/>
                  </w:rPr>
                </w:pPr>
                <w:r>
                  <w:rPr>
                    <w:rFonts w:hint="eastAsia" w:ascii="Calibri" w:hAnsi="Calibri"/>
                    <w:sz w:val="18"/>
                    <w:szCs w:val="18"/>
                  </w:rPr>
                  <w:t>其他权益工具</w:t>
                </w:r>
              </w:p>
            </w:tc>
          </w:sdtContent>
        </w:sdt>
        <w:sdt>
          <w:sdtPr>
            <w:tag w:val="_PLD_0a2a84969d8f4cc5ab2f59451a4cf45c"/>
            <w:id w:val="-1362273153"/>
          </w:sdtPr>
          <w:sdtContent>
            <w:tc>
              <w:tcPr>
                <w:tcW w:w="1417" w:type="dxa"/>
                <w:vMerge w:val="restart"/>
                <w:vAlign w:val="center"/>
              </w:tcPr>
              <w:p w14:paraId="32923375">
                <w:pPr>
                  <w:snapToGrid w:val="0"/>
                  <w:spacing w:line="240" w:lineRule="atLeast"/>
                  <w:jc w:val="center"/>
                  <w:rPr>
                    <w:rFonts w:ascii="Calibri" w:hAnsi="Calibri"/>
                    <w:sz w:val="18"/>
                    <w:szCs w:val="18"/>
                  </w:rPr>
                </w:pPr>
                <w:r>
                  <w:rPr>
                    <w:rFonts w:hint="eastAsia" w:ascii="Calibri" w:hAnsi="Calibri"/>
                    <w:sz w:val="18"/>
                    <w:szCs w:val="18"/>
                  </w:rPr>
                  <w:t>资本公积</w:t>
                </w:r>
              </w:p>
            </w:tc>
          </w:sdtContent>
        </w:sdt>
        <w:sdt>
          <w:sdtPr>
            <w:tag w:val="_PLD_3eb4af6d758d4787987e21e90e79351d"/>
            <w:id w:val="-824274161"/>
          </w:sdtPr>
          <w:sdtContent>
            <w:tc>
              <w:tcPr>
                <w:tcW w:w="1418" w:type="dxa"/>
                <w:vMerge w:val="restart"/>
                <w:vAlign w:val="center"/>
              </w:tcPr>
              <w:p w14:paraId="51A24509">
                <w:pPr>
                  <w:snapToGrid w:val="0"/>
                  <w:spacing w:line="240" w:lineRule="atLeast"/>
                  <w:jc w:val="center"/>
                  <w:rPr>
                    <w:rFonts w:ascii="Calibri" w:hAnsi="Calibri"/>
                    <w:sz w:val="18"/>
                    <w:szCs w:val="18"/>
                  </w:rPr>
                </w:pPr>
                <w:r>
                  <w:rPr>
                    <w:rFonts w:hint="eastAsia" w:ascii="Calibri" w:hAnsi="Calibri"/>
                    <w:sz w:val="18"/>
                    <w:szCs w:val="18"/>
                  </w:rPr>
                  <w:t>减：库存股</w:t>
                </w:r>
              </w:p>
            </w:tc>
          </w:sdtContent>
        </w:sdt>
        <w:sdt>
          <w:sdtPr>
            <w:tag w:val="_PLD_63b36aa6d5e74a289a4f2e40e95da929"/>
            <w:id w:val="264035134"/>
          </w:sdtPr>
          <w:sdtContent>
            <w:tc>
              <w:tcPr>
                <w:tcW w:w="1276" w:type="dxa"/>
                <w:vMerge w:val="restart"/>
                <w:vAlign w:val="center"/>
              </w:tcPr>
              <w:p w14:paraId="48A027BC">
                <w:pPr>
                  <w:snapToGrid w:val="0"/>
                  <w:spacing w:line="240" w:lineRule="atLeast"/>
                  <w:jc w:val="center"/>
                  <w:rPr>
                    <w:rFonts w:ascii="Calibri" w:hAnsi="Calibri"/>
                    <w:sz w:val="18"/>
                    <w:szCs w:val="18"/>
                  </w:rPr>
                </w:pPr>
                <w:r>
                  <w:rPr>
                    <w:rFonts w:hint="eastAsia" w:ascii="Calibri" w:hAnsi="Calibri"/>
                    <w:sz w:val="18"/>
                    <w:szCs w:val="18"/>
                  </w:rPr>
                  <w:t>其他综合收益</w:t>
                </w:r>
              </w:p>
            </w:tc>
          </w:sdtContent>
        </w:sdt>
        <w:sdt>
          <w:sdtPr>
            <w:tag w:val="_PLD_6f43f79cacca48dca49685537156084f"/>
            <w:id w:val="1224955559"/>
          </w:sdtPr>
          <w:sdtContent>
            <w:tc>
              <w:tcPr>
                <w:tcW w:w="1559" w:type="dxa"/>
                <w:vMerge w:val="restart"/>
                <w:vAlign w:val="center"/>
              </w:tcPr>
              <w:p w14:paraId="16864512">
                <w:pPr>
                  <w:snapToGrid w:val="0"/>
                  <w:spacing w:line="240" w:lineRule="atLeast"/>
                  <w:jc w:val="center"/>
                  <w:rPr>
                    <w:rFonts w:ascii="Calibri" w:hAnsi="Calibri"/>
                    <w:sz w:val="18"/>
                    <w:szCs w:val="18"/>
                  </w:rPr>
                </w:pPr>
                <w:r>
                  <w:rPr>
                    <w:rFonts w:hint="eastAsia" w:ascii="Calibri" w:hAnsi="Calibri"/>
                    <w:sz w:val="18"/>
                    <w:szCs w:val="18"/>
                  </w:rPr>
                  <w:t>盈余公积</w:t>
                </w:r>
              </w:p>
            </w:tc>
          </w:sdtContent>
        </w:sdt>
        <w:sdt>
          <w:sdtPr>
            <w:tag w:val="_PLD_cbc8cc4f323b4146bc3e0b624cb6a030"/>
            <w:id w:val="-1876067771"/>
          </w:sdtPr>
          <w:sdtContent>
            <w:tc>
              <w:tcPr>
                <w:tcW w:w="1559" w:type="dxa"/>
                <w:vMerge w:val="restart"/>
                <w:vAlign w:val="center"/>
              </w:tcPr>
              <w:p w14:paraId="6AB1D0E0">
                <w:pPr>
                  <w:snapToGrid w:val="0"/>
                  <w:spacing w:line="240" w:lineRule="atLeast"/>
                  <w:jc w:val="center"/>
                  <w:rPr>
                    <w:rFonts w:ascii="Calibri" w:hAnsi="Calibri"/>
                    <w:sz w:val="18"/>
                    <w:szCs w:val="18"/>
                  </w:rPr>
                </w:pPr>
                <w:r>
                  <w:rPr>
                    <w:rFonts w:hint="eastAsia" w:ascii="Calibri" w:hAnsi="Calibri"/>
                    <w:sz w:val="18"/>
                    <w:szCs w:val="18"/>
                  </w:rPr>
                  <w:t>未分配利润</w:t>
                </w:r>
              </w:p>
            </w:tc>
          </w:sdtContent>
        </w:sdt>
        <w:tc>
          <w:tcPr>
            <w:tcW w:w="1559" w:type="dxa"/>
            <w:vMerge w:val="restart"/>
            <w:vAlign w:val="center"/>
          </w:tcPr>
          <w:sdt>
            <w:sdtPr>
              <w:tag w:val="_PLD_30b039ff7c714652865f3029df27082b"/>
              <w:id w:val="-164783011"/>
            </w:sdtPr>
            <w:sdtContent>
              <w:p w14:paraId="07369EB8">
                <w:pPr>
                  <w:jc w:val="center"/>
                  <w:rPr>
                    <w:rFonts w:ascii="Calibri" w:hAnsi="Calibri"/>
                    <w:sz w:val="18"/>
                    <w:szCs w:val="18"/>
                  </w:rPr>
                </w:pPr>
                <w:r>
                  <w:rPr>
                    <w:rFonts w:hint="eastAsia" w:ascii="Calibri" w:hAnsi="Calibri"/>
                    <w:sz w:val="18"/>
                    <w:szCs w:val="18"/>
                  </w:rPr>
                  <w:t>小计</w:t>
                </w:r>
              </w:p>
            </w:sdtContent>
          </w:sdt>
        </w:tc>
        <w:tc>
          <w:tcPr>
            <w:tcW w:w="1418" w:type="dxa"/>
            <w:vMerge w:val="continue"/>
            <w:vAlign w:val="center"/>
          </w:tcPr>
          <w:p w14:paraId="1B522F73">
            <w:pPr>
              <w:jc w:val="center"/>
              <w:rPr>
                <w:rFonts w:ascii="Calibri" w:hAnsi="Calibri"/>
                <w:sz w:val="18"/>
                <w:szCs w:val="18"/>
              </w:rPr>
            </w:pPr>
          </w:p>
        </w:tc>
        <w:tc>
          <w:tcPr>
            <w:tcW w:w="1559" w:type="dxa"/>
            <w:vMerge w:val="continue"/>
            <w:vAlign w:val="center"/>
          </w:tcPr>
          <w:p w14:paraId="2815E96F">
            <w:pPr>
              <w:jc w:val="center"/>
              <w:rPr>
                <w:rFonts w:ascii="Calibri" w:hAnsi="Calibri"/>
                <w:sz w:val="18"/>
                <w:szCs w:val="18"/>
              </w:rPr>
            </w:pPr>
          </w:p>
        </w:tc>
      </w:tr>
      <w:tr w14:paraId="2785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1702" w:type="dxa"/>
            <w:vMerge w:val="continue"/>
            <w:vAlign w:val="center"/>
          </w:tcPr>
          <w:p w14:paraId="383D01C6">
            <w:pPr>
              <w:snapToGrid w:val="0"/>
              <w:spacing w:line="240" w:lineRule="atLeast"/>
              <w:ind w:right="-1594" w:rightChars="-759"/>
              <w:rPr>
                <w:rFonts w:ascii="Calibri" w:hAnsi="Calibri"/>
                <w:sz w:val="18"/>
                <w:szCs w:val="18"/>
              </w:rPr>
            </w:pPr>
          </w:p>
        </w:tc>
        <w:tc>
          <w:tcPr>
            <w:tcW w:w="1559" w:type="dxa"/>
            <w:vMerge w:val="continue"/>
            <w:vAlign w:val="center"/>
          </w:tcPr>
          <w:p w14:paraId="6CA75EFF">
            <w:pPr>
              <w:snapToGrid w:val="0"/>
              <w:spacing w:line="240" w:lineRule="atLeast"/>
              <w:jc w:val="center"/>
              <w:rPr>
                <w:rFonts w:ascii="Calibri" w:hAnsi="Calibri"/>
                <w:sz w:val="18"/>
                <w:szCs w:val="18"/>
              </w:rPr>
            </w:pPr>
          </w:p>
        </w:tc>
        <w:sdt>
          <w:sdtPr>
            <w:tag w:val="_PLD_b607c17c743149d295a2a79708dbacd2"/>
            <w:id w:val="216018576"/>
          </w:sdtPr>
          <w:sdtContent>
            <w:tc>
              <w:tcPr>
                <w:tcW w:w="284" w:type="dxa"/>
                <w:vAlign w:val="center"/>
              </w:tcPr>
              <w:p w14:paraId="1404EC3B">
                <w:pPr>
                  <w:snapToGrid w:val="0"/>
                  <w:spacing w:line="240" w:lineRule="atLeast"/>
                  <w:jc w:val="center"/>
                  <w:rPr>
                    <w:rFonts w:ascii="Calibri" w:hAnsi="Calibri"/>
                    <w:sz w:val="18"/>
                    <w:szCs w:val="18"/>
                  </w:rPr>
                </w:pPr>
                <w:r>
                  <w:rPr>
                    <w:rFonts w:hint="eastAsia" w:ascii="Calibri" w:hAnsi="Calibri"/>
                    <w:sz w:val="18"/>
                    <w:szCs w:val="18"/>
                  </w:rPr>
                  <w:t>优先股</w:t>
                </w:r>
              </w:p>
            </w:tc>
          </w:sdtContent>
        </w:sdt>
        <w:sdt>
          <w:sdtPr>
            <w:tag w:val="_PLD_ff95d9a5f43c439aac9ba6d07675d878"/>
            <w:id w:val="-1836988843"/>
          </w:sdtPr>
          <w:sdtContent>
            <w:tc>
              <w:tcPr>
                <w:tcW w:w="283" w:type="dxa"/>
                <w:vAlign w:val="center"/>
              </w:tcPr>
              <w:p w14:paraId="3AE1A669">
                <w:pPr>
                  <w:snapToGrid w:val="0"/>
                  <w:spacing w:line="240" w:lineRule="atLeast"/>
                  <w:jc w:val="center"/>
                  <w:rPr>
                    <w:rFonts w:ascii="Calibri" w:hAnsi="Calibri"/>
                    <w:sz w:val="18"/>
                    <w:szCs w:val="18"/>
                  </w:rPr>
                </w:pPr>
                <w:r>
                  <w:rPr>
                    <w:rFonts w:hint="eastAsia" w:ascii="Calibri" w:hAnsi="Calibri"/>
                    <w:sz w:val="18"/>
                    <w:szCs w:val="18"/>
                  </w:rPr>
                  <w:t>永续债</w:t>
                </w:r>
              </w:p>
            </w:tc>
          </w:sdtContent>
        </w:sdt>
        <w:sdt>
          <w:sdtPr>
            <w:tag w:val="_PLD_172b1cd40c094b6fa71aba6fe6a10f81"/>
            <w:id w:val="393629478"/>
          </w:sdtPr>
          <w:sdtContent>
            <w:tc>
              <w:tcPr>
                <w:tcW w:w="284" w:type="dxa"/>
                <w:vAlign w:val="center"/>
              </w:tcPr>
              <w:p w14:paraId="5D51796F">
                <w:pPr>
                  <w:snapToGrid w:val="0"/>
                  <w:spacing w:line="240" w:lineRule="atLeast"/>
                  <w:jc w:val="center"/>
                  <w:rPr>
                    <w:rFonts w:ascii="Calibri" w:hAnsi="Calibri"/>
                    <w:sz w:val="18"/>
                    <w:szCs w:val="18"/>
                  </w:rPr>
                </w:pPr>
                <w:r>
                  <w:rPr>
                    <w:rFonts w:hint="eastAsia" w:ascii="Calibri" w:hAnsi="Calibri"/>
                    <w:sz w:val="18"/>
                    <w:szCs w:val="18"/>
                  </w:rPr>
                  <w:t>其他</w:t>
                </w:r>
              </w:p>
            </w:tc>
          </w:sdtContent>
        </w:sdt>
        <w:tc>
          <w:tcPr>
            <w:tcW w:w="1417" w:type="dxa"/>
            <w:vMerge w:val="continue"/>
            <w:vAlign w:val="center"/>
          </w:tcPr>
          <w:p w14:paraId="1D1CD806">
            <w:pPr>
              <w:snapToGrid w:val="0"/>
              <w:spacing w:line="240" w:lineRule="atLeast"/>
              <w:jc w:val="center"/>
              <w:rPr>
                <w:rFonts w:ascii="Calibri" w:hAnsi="Calibri"/>
                <w:sz w:val="18"/>
                <w:szCs w:val="18"/>
              </w:rPr>
            </w:pPr>
          </w:p>
        </w:tc>
        <w:tc>
          <w:tcPr>
            <w:tcW w:w="1418" w:type="dxa"/>
            <w:vMerge w:val="continue"/>
            <w:vAlign w:val="center"/>
          </w:tcPr>
          <w:p w14:paraId="758EBEB5">
            <w:pPr>
              <w:snapToGrid w:val="0"/>
              <w:spacing w:line="240" w:lineRule="atLeast"/>
              <w:jc w:val="center"/>
              <w:rPr>
                <w:rFonts w:ascii="Calibri" w:hAnsi="Calibri"/>
                <w:sz w:val="18"/>
                <w:szCs w:val="18"/>
              </w:rPr>
            </w:pPr>
          </w:p>
        </w:tc>
        <w:tc>
          <w:tcPr>
            <w:tcW w:w="1276" w:type="dxa"/>
            <w:vMerge w:val="continue"/>
            <w:vAlign w:val="center"/>
          </w:tcPr>
          <w:p w14:paraId="362E0A67">
            <w:pPr>
              <w:snapToGrid w:val="0"/>
              <w:spacing w:line="240" w:lineRule="atLeast"/>
              <w:jc w:val="center"/>
              <w:rPr>
                <w:rFonts w:ascii="Calibri" w:hAnsi="Calibri"/>
                <w:sz w:val="18"/>
                <w:szCs w:val="18"/>
              </w:rPr>
            </w:pPr>
          </w:p>
        </w:tc>
        <w:tc>
          <w:tcPr>
            <w:tcW w:w="1559" w:type="dxa"/>
            <w:vMerge w:val="continue"/>
            <w:vAlign w:val="center"/>
          </w:tcPr>
          <w:p w14:paraId="5AB3532F">
            <w:pPr>
              <w:snapToGrid w:val="0"/>
              <w:spacing w:line="240" w:lineRule="atLeast"/>
              <w:jc w:val="center"/>
              <w:rPr>
                <w:rFonts w:ascii="Calibri" w:hAnsi="Calibri"/>
                <w:sz w:val="18"/>
                <w:szCs w:val="18"/>
              </w:rPr>
            </w:pPr>
          </w:p>
        </w:tc>
        <w:tc>
          <w:tcPr>
            <w:tcW w:w="1559" w:type="dxa"/>
            <w:vMerge w:val="continue"/>
            <w:vAlign w:val="center"/>
          </w:tcPr>
          <w:p w14:paraId="6F85CB0F">
            <w:pPr>
              <w:snapToGrid w:val="0"/>
              <w:spacing w:line="240" w:lineRule="atLeast"/>
              <w:jc w:val="center"/>
              <w:rPr>
                <w:rFonts w:ascii="Calibri" w:hAnsi="Calibri"/>
                <w:sz w:val="18"/>
                <w:szCs w:val="18"/>
              </w:rPr>
            </w:pPr>
          </w:p>
        </w:tc>
        <w:tc>
          <w:tcPr>
            <w:tcW w:w="1559" w:type="dxa"/>
            <w:vMerge w:val="continue"/>
            <w:vAlign w:val="center"/>
          </w:tcPr>
          <w:p w14:paraId="14859B98">
            <w:pPr>
              <w:jc w:val="center"/>
              <w:rPr>
                <w:rFonts w:ascii="Calibri" w:hAnsi="Calibri"/>
                <w:sz w:val="18"/>
                <w:szCs w:val="18"/>
              </w:rPr>
            </w:pPr>
          </w:p>
        </w:tc>
        <w:tc>
          <w:tcPr>
            <w:tcW w:w="1418" w:type="dxa"/>
            <w:vMerge w:val="continue"/>
            <w:vAlign w:val="center"/>
          </w:tcPr>
          <w:p w14:paraId="0F72039C">
            <w:pPr>
              <w:jc w:val="center"/>
              <w:rPr>
                <w:rFonts w:ascii="Calibri" w:hAnsi="Calibri"/>
                <w:sz w:val="18"/>
                <w:szCs w:val="18"/>
              </w:rPr>
            </w:pPr>
          </w:p>
        </w:tc>
        <w:tc>
          <w:tcPr>
            <w:tcW w:w="1559" w:type="dxa"/>
            <w:vMerge w:val="continue"/>
            <w:tcBorders>
              <w:bottom w:val="nil"/>
            </w:tcBorders>
            <w:vAlign w:val="center"/>
          </w:tcPr>
          <w:p w14:paraId="7481238E">
            <w:pPr>
              <w:jc w:val="center"/>
              <w:rPr>
                <w:rFonts w:ascii="Calibri" w:hAnsi="Calibri"/>
                <w:sz w:val="18"/>
                <w:szCs w:val="18"/>
              </w:rPr>
            </w:pPr>
          </w:p>
        </w:tc>
      </w:tr>
      <w:tr w14:paraId="712C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fdfc5e6b5c34cfdb08e5d5e3943966e"/>
            <w:id w:val="-997182594"/>
          </w:sdtPr>
          <w:sdtContent>
            <w:tc>
              <w:tcPr>
                <w:tcW w:w="1702" w:type="dxa"/>
                <w:vAlign w:val="center"/>
              </w:tcPr>
              <w:p w14:paraId="1B9205A2">
                <w:pPr>
                  <w:rPr>
                    <w:rFonts w:ascii="Calibri" w:hAnsi="Calibri"/>
                    <w:sz w:val="18"/>
                    <w:szCs w:val="18"/>
                  </w:rPr>
                </w:pPr>
                <w:r>
                  <w:rPr>
                    <w:rFonts w:ascii="Calibri" w:hAnsi="Calibri"/>
                    <w:sz w:val="18"/>
                    <w:szCs w:val="18"/>
                  </w:rPr>
                  <w:t>一、上年</w:t>
                </w:r>
                <w:r>
                  <w:rPr>
                    <w:rFonts w:hint="eastAsia" w:ascii="Calibri" w:hAnsi="Calibri"/>
                    <w:sz w:val="18"/>
                    <w:szCs w:val="18"/>
                  </w:rPr>
                  <w:t>年</w:t>
                </w:r>
                <w:r>
                  <w:rPr>
                    <w:rFonts w:ascii="Calibri" w:hAnsi="Calibri"/>
                    <w:sz w:val="18"/>
                    <w:szCs w:val="18"/>
                  </w:rPr>
                  <w:t>末余额</w:t>
                </w:r>
              </w:p>
            </w:tc>
          </w:sdtContent>
        </w:sdt>
        <w:tc>
          <w:tcPr>
            <w:tcW w:w="1559" w:type="dxa"/>
            <w:vAlign w:val="center"/>
          </w:tcPr>
          <w:p w14:paraId="28C9B3AF">
            <w:pPr>
              <w:jc w:val="right"/>
              <w:rPr>
                <w:rFonts w:ascii="Calibri" w:hAnsi="Calibri"/>
                <w:sz w:val="18"/>
                <w:szCs w:val="18"/>
              </w:rPr>
            </w:pPr>
            <w:r>
              <w:rPr>
                <w:rFonts w:ascii="Calibri" w:hAnsi="Calibri"/>
                <w:sz w:val="18"/>
                <w:szCs w:val="18"/>
              </w:rPr>
              <w:t>1,981,734,074.00</w:t>
            </w:r>
          </w:p>
        </w:tc>
        <w:tc>
          <w:tcPr>
            <w:tcW w:w="284" w:type="dxa"/>
            <w:vAlign w:val="center"/>
          </w:tcPr>
          <w:p w14:paraId="59F03BE4">
            <w:pPr>
              <w:jc w:val="right"/>
              <w:rPr>
                <w:rFonts w:ascii="Calibri" w:hAnsi="Calibri"/>
                <w:sz w:val="18"/>
                <w:szCs w:val="18"/>
              </w:rPr>
            </w:pPr>
          </w:p>
        </w:tc>
        <w:tc>
          <w:tcPr>
            <w:tcW w:w="283" w:type="dxa"/>
            <w:vAlign w:val="center"/>
          </w:tcPr>
          <w:p w14:paraId="78EE00D5">
            <w:pPr>
              <w:jc w:val="right"/>
              <w:rPr>
                <w:rFonts w:ascii="Calibri" w:hAnsi="Calibri"/>
                <w:sz w:val="18"/>
                <w:szCs w:val="18"/>
              </w:rPr>
            </w:pPr>
          </w:p>
        </w:tc>
        <w:tc>
          <w:tcPr>
            <w:tcW w:w="284" w:type="dxa"/>
            <w:vAlign w:val="center"/>
          </w:tcPr>
          <w:p w14:paraId="1C2142A6">
            <w:pPr>
              <w:jc w:val="right"/>
              <w:rPr>
                <w:rFonts w:ascii="Calibri" w:hAnsi="Calibri"/>
                <w:sz w:val="18"/>
                <w:szCs w:val="18"/>
              </w:rPr>
            </w:pPr>
          </w:p>
        </w:tc>
        <w:tc>
          <w:tcPr>
            <w:tcW w:w="1417" w:type="dxa"/>
            <w:vAlign w:val="center"/>
          </w:tcPr>
          <w:p w14:paraId="33B31596">
            <w:pPr>
              <w:jc w:val="right"/>
              <w:rPr>
                <w:rFonts w:ascii="Calibri" w:hAnsi="Calibri"/>
                <w:sz w:val="18"/>
                <w:szCs w:val="18"/>
              </w:rPr>
            </w:pPr>
            <w:r>
              <w:rPr>
                <w:rFonts w:ascii="Calibri" w:hAnsi="Calibri"/>
                <w:sz w:val="18"/>
                <w:szCs w:val="18"/>
              </w:rPr>
              <w:t>509,315,505.46</w:t>
            </w:r>
          </w:p>
        </w:tc>
        <w:tc>
          <w:tcPr>
            <w:tcW w:w="1418" w:type="dxa"/>
            <w:vAlign w:val="center"/>
          </w:tcPr>
          <w:p w14:paraId="5048CDD7">
            <w:pPr>
              <w:jc w:val="right"/>
              <w:rPr>
                <w:rFonts w:ascii="Calibri" w:hAnsi="Calibri"/>
                <w:sz w:val="18"/>
                <w:szCs w:val="18"/>
              </w:rPr>
            </w:pPr>
            <w:r>
              <w:rPr>
                <w:rFonts w:ascii="Calibri" w:hAnsi="Calibri"/>
                <w:sz w:val="18"/>
                <w:szCs w:val="18"/>
              </w:rPr>
              <w:t>300,279,281.09</w:t>
            </w:r>
          </w:p>
        </w:tc>
        <w:tc>
          <w:tcPr>
            <w:tcW w:w="1276" w:type="dxa"/>
            <w:vAlign w:val="center"/>
          </w:tcPr>
          <w:p w14:paraId="762B57CF">
            <w:pPr>
              <w:jc w:val="right"/>
              <w:rPr>
                <w:rFonts w:ascii="Calibri" w:hAnsi="Calibri"/>
                <w:sz w:val="18"/>
                <w:szCs w:val="18"/>
              </w:rPr>
            </w:pPr>
            <w:r>
              <w:rPr>
                <w:rFonts w:ascii="Calibri" w:hAnsi="Calibri"/>
                <w:sz w:val="18"/>
                <w:szCs w:val="18"/>
              </w:rPr>
              <w:t>6,910,223.58</w:t>
            </w:r>
          </w:p>
        </w:tc>
        <w:tc>
          <w:tcPr>
            <w:tcW w:w="1559" w:type="dxa"/>
            <w:vAlign w:val="center"/>
          </w:tcPr>
          <w:p w14:paraId="0FFE551D">
            <w:pPr>
              <w:jc w:val="right"/>
              <w:rPr>
                <w:rFonts w:ascii="Calibri" w:hAnsi="Calibri"/>
                <w:sz w:val="18"/>
                <w:szCs w:val="18"/>
              </w:rPr>
            </w:pPr>
            <w:r>
              <w:rPr>
                <w:rFonts w:ascii="Calibri" w:hAnsi="Calibri"/>
                <w:sz w:val="18"/>
                <w:szCs w:val="18"/>
              </w:rPr>
              <w:t>1,027,149,340.36</w:t>
            </w:r>
          </w:p>
        </w:tc>
        <w:tc>
          <w:tcPr>
            <w:tcW w:w="1559" w:type="dxa"/>
            <w:vAlign w:val="center"/>
          </w:tcPr>
          <w:p w14:paraId="5CEF6ADF">
            <w:pPr>
              <w:jc w:val="right"/>
              <w:rPr>
                <w:rFonts w:ascii="Calibri" w:hAnsi="Calibri"/>
                <w:sz w:val="18"/>
                <w:szCs w:val="18"/>
              </w:rPr>
            </w:pPr>
            <w:r>
              <w:rPr>
                <w:rFonts w:ascii="Calibri" w:hAnsi="Calibri"/>
                <w:sz w:val="18"/>
                <w:szCs w:val="18"/>
              </w:rPr>
              <w:t>3,160,028,831.05</w:t>
            </w:r>
          </w:p>
        </w:tc>
        <w:tc>
          <w:tcPr>
            <w:tcW w:w="1559" w:type="dxa"/>
            <w:vAlign w:val="center"/>
          </w:tcPr>
          <w:p w14:paraId="05A3D7FD">
            <w:pPr>
              <w:jc w:val="right"/>
              <w:rPr>
                <w:rFonts w:ascii="Calibri" w:hAnsi="Calibri"/>
                <w:sz w:val="18"/>
                <w:szCs w:val="18"/>
              </w:rPr>
            </w:pPr>
            <w:r>
              <w:rPr>
                <w:rFonts w:ascii="Calibri" w:hAnsi="Calibri"/>
                <w:sz w:val="18"/>
                <w:szCs w:val="18"/>
              </w:rPr>
              <w:t>6,384,858,693.36</w:t>
            </w:r>
          </w:p>
        </w:tc>
        <w:tc>
          <w:tcPr>
            <w:tcW w:w="1418" w:type="dxa"/>
            <w:vAlign w:val="center"/>
          </w:tcPr>
          <w:p w14:paraId="77CB3343">
            <w:pPr>
              <w:jc w:val="right"/>
              <w:rPr>
                <w:rFonts w:ascii="Calibri" w:hAnsi="Calibri"/>
                <w:sz w:val="18"/>
                <w:szCs w:val="18"/>
              </w:rPr>
            </w:pPr>
            <w:r>
              <w:rPr>
                <w:rFonts w:ascii="Calibri" w:hAnsi="Calibri"/>
                <w:sz w:val="18"/>
                <w:szCs w:val="18"/>
              </w:rPr>
              <w:t>17,964,657.02</w:t>
            </w:r>
          </w:p>
        </w:tc>
        <w:tc>
          <w:tcPr>
            <w:tcW w:w="1559" w:type="dxa"/>
            <w:vAlign w:val="center"/>
          </w:tcPr>
          <w:p w14:paraId="4398AC9B">
            <w:pPr>
              <w:jc w:val="right"/>
              <w:rPr>
                <w:rFonts w:ascii="Calibri" w:hAnsi="Calibri"/>
                <w:sz w:val="18"/>
                <w:szCs w:val="18"/>
              </w:rPr>
            </w:pPr>
            <w:r>
              <w:rPr>
                <w:rFonts w:ascii="Calibri" w:hAnsi="Calibri"/>
                <w:sz w:val="18"/>
                <w:szCs w:val="18"/>
              </w:rPr>
              <w:t>6,402,823,350.38</w:t>
            </w:r>
          </w:p>
        </w:tc>
      </w:tr>
      <w:tr w14:paraId="0D92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0f04cf20717467298c2824a1c7b2f71"/>
            <w:id w:val="-1421245767"/>
          </w:sdtPr>
          <w:sdtContent>
            <w:tc>
              <w:tcPr>
                <w:tcW w:w="1702" w:type="dxa"/>
                <w:vAlign w:val="center"/>
              </w:tcPr>
              <w:p w14:paraId="13CDC961">
                <w:pPr>
                  <w:rPr>
                    <w:rFonts w:ascii="Calibri" w:hAnsi="Calibri"/>
                    <w:sz w:val="18"/>
                    <w:szCs w:val="18"/>
                  </w:rPr>
                </w:pPr>
                <w:r>
                  <w:rPr>
                    <w:rFonts w:hint="eastAsia" w:ascii="Calibri" w:hAnsi="Calibri"/>
                    <w:sz w:val="18"/>
                    <w:szCs w:val="18"/>
                  </w:rPr>
                  <w:t>加：</w:t>
                </w:r>
                <w:r>
                  <w:rPr>
                    <w:rFonts w:ascii="Calibri" w:hAnsi="Calibri"/>
                    <w:sz w:val="18"/>
                    <w:szCs w:val="18"/>
                  </w:rPr>
                  <w:t>会计政策变更</w:t>
                </w:r>
              </w:p>
            </w:tc>
          </w:sdtContent>
        </w:sdt>
        <w:tc>
          <w:tcPr>
            <w:tcW w:w="1559" w:type="dxa"/>
            <w:vAlign w:val="center"/>
          </w:tcPr>
          <w:p w14:paraId="064A02FC">
            <w:pPr>
              <w:jc w:val="right"/>
              <w:rPr>
                <w:rFonts w:ascii="Calibri" w:hAnsi="Calibri"/>
                <w:sz w:val="18"/>
                <w:szCs w:val="18"/>
              </w:rPr>
            </w:pPr>
          </w:p>
        </w:tc>
        <w:tc>
          <w:tcPr>
            <w:tcW w:w="284" w:type="dxa"/>
            <w:vAlign w:val="center"/>
          </w:tcPr>
          <w:p w14:paraId="5C4415EF">
            <w:pPr>
              <w:jc w:val="right"/>
              <w:rPr>
                <w:rFonts w:ascii="Calibri" w:hAnsi="Calibri"/>
                <w:sz w:val="18"/>
                <w:szCs w:val="18"/>
              </w:rPr>
            </w:pPr>
          </w:p>
        </w:tc>
        <w:tc>
          <w:tcPr>
            <w:tcW w:w="283" w:type="dxa"/>
            <w:vAlign w:val="center"/>
          </w:tcPr>
          <w:p w14:paraId="737EFF60">
            <w:pPr>
              <w:jc w:val="right"/>
              <w:rPr>
                <w:rFonts w:ascii="Calibri" w:hAnsi="Calibri"/>
                <w:sz w:val="18"/>
                <w:szCs w:val="18"/>
              </w:rPr>
            </w:pPr>
          </w:p>
        </w:tc>
        <w:tc>
          <w:tcPr>
            <w:tcW w:w="284" w:type="dxa"/>
            <w:vAlign w:val="center"/>
          </w:tcPr>
          <w:p w14:paraId="4E013705">
            <w:pPr>
              <w:jc w:val="right"/>
              <w:rPr>
                <w:rFonts w:ascii="Calibri" w:hAnsi="Calibri"/>
                <w:sz w:val="18"/>
                <w:szCs w:val="18"/>
              </w:rPr>
            </w:pPr>
          </w:p>
        </w:tc>
        <w:tc>
          <w:tcPr>
            <w:tcW w:w="1417" w:type="dxa"/>
            <w:vAlign w:val="center"/>
          </w:tcPr>
          <w:p w14:paraId="0C92FF0C">
            <w:pPr>
              <w:jc w:val="right"/>
              <w:rPr>
                <w:rFonts w:ascii="Calibri" w:hAnsi="Calibri"/>
                <w:sz w:val="18"/>
                <w:szCs w:val="18"/>
              </w:rPr>
            </w:pPr>
          </w:p>
        </w:tc>
        <w:tc>
          <w:tcPr>
            <w:tcW w:w="1418" w:type="dxa"/>
            <w:vAlign w:val="center"/>
          </w:tcPr>
          <w:p w14:paraId="79586507">
            <w:pPr>
              <w:jc w:val="right"/>
              <w:rPr>
                <w:rFonts w:ascii="Calibri" w:hAnsi="Calibri"/>
                <w:sz w:val="18"/>
                <w:szCs w:val="18"/>
              </w:rPr>
            </w:pPr>
          </w:p>
        </w:tc>
        <w:tc>
          <w:tcPr>
            <w:tcW w:w="1276" w:type="dxa"/>
            <w:vAlign w:val="center"/>
          </w:tcPr>
          <w:p w14:paraId="5ACA0E52">
            <w:pPr>
              <w:jc w:val="right"/>
              <w:rPr>
                <w:rFonts w:ascii="Calibri" w:hAnsi="Calibri"/>
                <w:sz w:val="18"/>
                <w:szCs w:val="18"/>
              </w:rPr>
            </w:pPr>
          </w:p>
        </w:tc>
        <w:tc>
          <w:tcPr>
            <w:tcW w:w="1559" w:type="dxa"/>
            <w:vAlign w:val="center"/>
          </w:tcPr>
          <w:p w14:paraId="3F15D798">
            <w:pPr>
              <w:jc w:val="right"/>
              <w:rPr>
                <w:rFonts w:ascii="Calibri" w:hAnsi="Calibri"/>
                <w:sz w:val="18"/>
                <w:szCs w:val="18"/>
              </w:rPr>
            </w:pPr>
          </w:p>
        </w:tc>
        <w:tc>
          <w:tcPr>
            <w:tcW w:w="1559" w:type="dxa"/>
            <w:vAlign w:val="center"/>
          </w:tcPr>
          <w:p w14:paraId="5DFA6E55">
            <w:pPr>
              <w:jc w:val="right"/>
              <w:rPr>
                <w:rFonts w:ascii="Calibri" w:hAnsi="Calibri"/>
                <w:sz w:val="18"/>
                <w:szCs w:val="18"/>
              </w:rPr>
            </w:pPr>
          </w:p>
        </w:tc>
        <w:tc>
          <w:tcPr>
            <w:tcW w:w="1559" w:type="dxa"/>
            <w:vAlign w:val="center"/>
          </w:tcPr>
          <w:p w14:paraId="77738874">
            <w:pPr>
              <w:jc w:val="right"/>
              <w:rPr>
                <w:rFonts w:ascii="Calibri" w:hAnsi="Calibri"/>
                <w:sz w:val="18"/>
                <w:szCs w:val="18"/>
              </w:rPr>
            </w:pPr>
          </w:p>
        </w:tc>
        <w:tc>
          <w:tcPr>
            <w:tcW w:w="1418" w:type="dxa"/>
            <w:vAlign w:val="center"/>
          </w:tcPr>
          <w:p w14:paraId="7B45B982">
            <w:pPr>
              <w:jc w:val="right"/>
              <w:rPr>
                <w:rFonts w:ascii="Calibri" w:hAnsi="Calibri"/>
                <w:sz w:val="18"/>
                <w:szCs w:val="18"/>
              </w:rPr>
            </w:pPr>
          </w:p>
        </w:tc>
        <w:tc>
          <w:tcPr>
            <w:tcW w:w="1559" w:type="dxa"/>
            <w:vAlign w:val="center"/>
          </w:tcPr>
          <w:p w14:paraId="500A96FD">
            <w:pPr>
              <w:jc w:val="right"/>
              <w:rPr>
                <w:rFonts w:ascii="Calibri" w:hAnsi="Calibri"/>
                <w:sz w:val="18"/>
                <w:szCs w:val="18"/>
              </w:rPr>
            </w:pPr>
          </w:p>
        </w:tc>
      </w:tr>
      <w:tr w14:paraId="0DC6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24580d38484f718fafd008f24a7505"/>
            <w:id w:val="1329870475"/>
          </w:sdtPr>
          <w:sdtContent>
            <w:tc>
              <w:tcPr>
                <w:tcW w:w="1702" w:type="dxa"/>
                <w:vAlign w:val="center"/>
              </w:tcPr>
              <w:p w14:paraId="2CCA1546">
                <w:pPr>
                  <w:ind w:firstLine="420" w:firstLineChars="200"/>
                  <w:rPr>
                    <w:rFonts w:ascii="Calibri" w:hAnsi="Calibri"/>
                    <w:sz w:val="18"/>
                    <w:szCs w:val="18"/>
                  </w:rPr>
                </w:pPr>
                <w:r>
                  <w:rPr>
                    <w:rFonts w:ascii="Calibri" w:hAnsi="Calibri"/>
                    <w:sz w:val="18"/>
                    <w:szCs w:val="18"/>
                  </w:rPr>
                  <w:t>前期差错更正</w:t>
                </w:r>
              </w:p>
            </w:tc>
          </w:sdtContent>
        </w:sdt>
        <w:tc>
          <w:tcPr>
            <w:tcW w:w="1559" w:type="dxa"/>
            <w:vAlign w:val="center"/>
          </w:tcPr>
          <w:p w14:paraId="73F34C2B">
            <w:pPr>
              <w:jc w:val="right"/>
              <w:rPr>
                <w:rFonts w:ascii="Calibri" w:hAnsi="Calibri"/>
                <w:sz w:val="18"/>
                <w:szCs w:val="18"/>
              </w:rPr>
            </w:pPr>
          </w:p>
        </w:tc>
        <w:tc>
          <w:tcPr>
            <w:tcW w:w="284" w:type="dxa"/>
            <w:vAlign w:val="center"/>
          </w:tcPr>
          <w:p w14:paraId="17947DFD">
            <w:pPr>
              <w:jc w:val="right"/>
              <w:rPr>
                <w:rFonts w:ascii="Calibri" w:hAnsi="Calibri"/>
                <w:sz w:val="18"/>
                <w:szCs w:val="18"/>
              </w:rPr>
            </w:pPr>
          </w:p>
        </w:tc>
        <w:tc>
          <w:tcPr>
            <w:tcW w:w="283" w:type="dxa"/>
            <w:vAlign w:val="center"/>
          </w:tcPr>
          <w:p w14:paraId="3BE35EE4">
            <w:pPr>
              <w:jc w:val="right"/>
              <w:rPr>
                <w:rFonts w:ascii="Calibri" w:hAnsi="Calibri"/>
                <w:sz w:val="18"/>
                <w:szCs w:val="18"/>
              </w:rPr>
            </w:pPr>
          </w:p>
        </w:tc>
        <w:tc>
          <w:tcPr>
            <w:tcW w:w="284" w:type="dxa"/>
            <w:vAlign w:val="center"/>
          </w:tcPr>
          <w:p w14:paraId="7C89D089">
            <w:pPr>
              <w:jc w:val="right"/>
              <w:rPr>
                <w:rFonts w:ascii="Calibri" w:hAnsi="Calibri"/>
                <w:sz w:val="18"/>
                <w:szCs w:val="18"/>
              </w:rPr>
            </w:pPr>
          </w:p>
        </w:tc>
        <w:tc>
          <w:tcPr>
            <w:tcW w:w="1417" w:type="dxa"/>
            <w:vAlign w:val="center"/>
          </w:tcPr>
          <w:p w14:paraId="013FE121">
            <w:pPr>
              <w:jc w:val="right"/>
              <w:rPr>
                <w:rFonts w:ascii="Calibri" w:hAnsi="Calibri"/>
                <w:sz w:val="18"/>
                <w:szCs w:val="18"/>
              </w:rPr>
            </w:pPr>
          </w:p>
        </w:tc>
        <w:tc>
          <w:tcPr>
            <w:tcW w:w="1418" w:type="dxa"/>
            <w:vAlign w:val="center"/>
          </w:tcPr>
          <w:p w14:paraId="76AC360C">
            <w:pPr>
              <w:jc w:val="right"/>
              <w:rPr>
                <w:rFonts w:ascii="Calibri" w:hAnsi="Calibri"/>
                <w:sz w:val="18"/>
                <w:szCs w:val="18"/>
              </w:rPr>
            </w:pPr>
          </w:p>
        </w:tc>
        <w:tc>
          <w:tcPr>
            <w:tcW w:w="1276" w:type="dxa"/>
            <w:vAlign w:val="center"/>
          </w:tcPr>
          <w:p w14:paraId="38F6CD55">
            <w:pPr>
              <w:jc w:val="right"/>
              <w:rPr>
                <w:rFonts w:ascii="Calibri" w:hAnsi="Calibri"/>
                <w:sz w:val="18"/>
                <w:szCs w:val="18"/>
              </w:rPr>
            </w:pPr>
          </w:p>
        </w:tc>
        <w:tc>
          <w:tcPr>
            <w:tcW w:w="1559" w:type="dxa"/>
            <w:vAlign w:val="center"/>
          </w:tcPr>
          <w:p w14:paraId="6CC406DB">
            <w:pPr>
              <w:jc w:val="right"/>
              <w:rPr>
                <w:rFonts w:ascii="Calibri" w:hAnsi="Calibri"/>
                <w:sz w:val="18"/>
                <w:szCs w:val="18"/>
              </w:rPr>
            </w:pPr>
          </w:p>
        </w:tc>
        <w:tc>
          <w:tcPr>
            <w:tcW w:w="1559" w:type="dxa"/>
            <w:vAlign w:val="center"/>
          </w:tcPr>
          <w:p w14:paraId="1F5ABA15">
            <w:pPr>
              <w:jc w:val="right"/>
              <w:rPr>
                <w:rFonts w:ascii="Calibri" w:hAnsi="Calibri"/>
                <w:sz w:val="18"/>
                <w:szCs w:val="18"/>
              </w:rPr>
            </w:pPr>
          </w:p>
        </w:tc>
        <w:tc>
          <w:tcPr>
            <w:tcW w:w="1559" w:type="dxa"/>
            <w:vAlign w:val="center"/>
          </w:tcPr>
          <w:p w14:paraId="52D009E2">
            <w:pPr>
              <w:jc w:val="right"/>
              <w:rPr>
                <w:rFonts w:ascii="Calibri" w:hAnsi="Calibri"/>
                <w:sz w:val="18"/>
                <w:szCs w:val="18"/>
              </w:rPr>
            </w:pPr>
          </w:p>
        </w:tc>
        <w:tc>
          <w:tcPr>
            <w:tcW w:w="1418" w:type="dxa"/>
            <w:vAlign w:val="center"/>
          </w:tcPr>
          <w:p w14:paraId="7A3BA12A">
            <w:pPr>
              <w:jc w:val="right"/>
              <w:rPr>
                <w:rFonts w:ascii="Calibri" w:hAnsi="Calibri"/>
                <w:sz w:val="18"/>
                <w:szCs w:val="18"/>
              </w:rPr>
            </w:pPr>
          </w:p>
        </w:tc>
        <w:tc>
          <w:tcPr>
            <w:tcW w:w="1559" w:type="dxa"/>
            <w:vAlign w:val="center"/>
          </w:tcPr>
          <w:p w14:paraId="4011C4C4">
            <w:pPr>
              <w:jc w:val="right"/>
              <w:rPr>
                <w:rFonts w:ascii="Calibri" w:hAnsi="Calibri"/>
                <w:sz w:val="18"/>
                <w:szCs w:val="18"/>
              </w:rPr>
            </w:pPr>
          </w:p>
        </w:tc>
      </w:tr>
      <w:tr w14:paraId="61CE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22e3287ddd140fb9d031a4dab8a8b13"/>
            <w:id w:val="-863831082"/>
          </w:sdtPr>
          <w:sdtContent>
            <w:tc>
              <w:tcPr>
                <w:tcW w:w="1702" w:type="dxa"/>
                <w:vAlign w:val="center"/>
              </w:tcPr>
              <w:p w14:paraId="4D79F212">
                <w:pPr>
                  <w:ind w:firstLine="420" w:firstLineChars="200"/>
                  <w:rPr>
                    <w:rFonts w:ascii="Calibri" w:hAnsi="Calibri"/>
                    <w:sz w:val="18"/>
                    <w:szCs w:val="18"/>
                  </w:rPr>
                </w:pPr>
                <w:r>
                  <w:rPr>
                    <w:rFonts w:hint="eastAsia" w:ascii="Calibri" w:hAnsi="Calibri"/>
                    <w:sz w:val="18"/>
                    <w:szCs w:val="18"/>
                  </w:rPr>
                  <w:t>其他</w:t>
                </w:r>
              </w:p>
            </w:tc>
          </w:sdtContent>
        </w:sdt>
        <w:tc>
          <w:tcPr>
            <w:tcW w:w="1559" w:type="dxa"/>
            <w:vAlign w:val="center"/>
          </w:tcPr>
          <w:p w14:paraId="138DBEFE">
            <w:pPr>
              <w:jc w:val="right"/>
              <w:rPr>
                <w:rFonts w:ascii="Calibri" w:hAnsi="Calibri"/>
                <w:sz w:val="18"/>
                <w:szCs w:val="18"/>
              </w:rPr>
            </w:pPr>
          </w:p>
        </w:tc>
        <w:tc>
          <w:tcPr>
            <w:tcW w:w="284" w:type="dxa"/>
            <w:vAlign w:val="center"/>
          </w:tcPr>
          <w:p w14:paraId="203BDA82">
            <w:pPr>
              <w:jc w:val="right"/>
              <w:rPr>
                <w:rFonts w:ascii="Calibri" w:hAnsi="Calibri"/>
                <w:sz w:val="18"/>
                <w:szCs w:val="18"/>
              </w:rPr>
            </w:pPr>
          </w:p>
        </w:tc>
        <w:tc>
          <w:tcPr>
            <w:tcW w:w="283" w:type="dxa"/>
            <w:vAlign w:val="center"/>
          </w:tcPr>
          <w:p w14:paraId="268BED98">
            <w:pPr>
              <w:jc w:val="right"/>
              <w:rPr>
                <w:rFonts w:ascii="Calibri" w:hAnsi="Calibri"/>
                <w:sz w:val="18"/>
                <w:szCs w:val="18"/>
              </w:rPr>
            </w:pPr>
          </w:p>
        </w:tc>
        <w:tc>
          <w:tcPr>
            <w:tcW w:w="284" w:type="dxa"/>
            <w:vAlign w:val="center"/>
          </w:tcPr>
          <w:p w14:paraId="3CF328D6">
            <w:pPr>
              <w:jc w:val="right"/>
              <w:rPr>
                <w:rFonts w:ascii="Calibri" w:hAnsi="Calibri"/>
                <w:sz w:val="18"/>
                <w:szCs w:val="18"/>
              </w:rPr>
            </w:pPr>
          </w:p>
        </w:tc>
        <w:tc>
          <w:tcPr>
            <w:tcW w:w="1417" w:type="dxa"/>
            <w:vAlign w:val="center"/>
          </w:tcPr>
          <w:p w14:paraId="15F1ADC2">
            <w:pPr>
              <w:jc w:val="right"/>
              <w:rPr>
                <w:rFonts w:ascii="Calibri" w:hAnsi="Calibri"/>
                <w:sz w:val="18"/>
                <w:szCs w:val="18"/>
              </w:rPr>
            </w:pPr>
          </w:p>
        </w:tc>
        <w:tc>
          <w:tcPr>
            <w:tcW w:w="1418" w:type="dxa"/>
            <w:vAlign w:val="center"/>
          </w:tcPr>
          <w:p w14:paraId="2A57E661">
            <w:pPr>
              <w:jc w:val="right"/>
              <w:rPr>
                <w:rFonts w:ascii="Calibri" w:hAnsi="Calibri"/>
                <w:sz w:val="18"/>
                <w:szCs w:val="18"/>
              </w:rPr>
            </w:pPr>
          </w:p>
        </w:tc>
        <w:tc>
          <w:tcPr>
            <w:tcW w:w="1276" w:type="dxa"/>
            <w:vAlign w:val="center"/>
          </w:tcPr>
          <w:p w14:paraId="53A2D81B">
            <w:pPr>
              <w:jc w:val="right"/>
              <w:rPr>
                <w:rFonts w:ascii="Calibri" w:hAnsi="Calibri"/>
                <w:sz w:val="18"/>
                <w:szCs w:val="18"/>
              </w:rPr>
            </w:pPr>
          </w:p>
        </w:tc>
        <w:tc>
          <w:tcPr>
            <w:tcW w:w="1559" w:type="dxa"/>
            <w:vAlign w:val="center"/>
          </w:tcPr>
          <w:p w14:paraId="19D05C9C">
            <w:pPr>
              <w:jc w:val="right"/>
              <w:rPr>
                <w:rFonts w:ascii="Calibri" w:hAnsi="Calibri"/>
                <w:sz w:val="18"/>
                <w:szCs w:val="18"/>
              </w:rPr>
            </w:pPr>
          </w:p>
        </w:tc>
        <w:tc>
          <w:tcPr>
            <w:tcW w:w="1559" w:type="dxa"/>
            <w:vAlign w:val="center"/>
          </w:tcPr>
          <w:p w14:paraId="4164A131">
            <w:pPr>
              <w:jc w:val="right"/>
              <w:rPr>
                <w:rFonts w:ascii="Calibri" w:hAnsi="Calibri"/>
                <w:sz w:val="18"/>
                <w:szCs w:val="18"/>
              </w:rPr>
            </w:pPr>
          </w:p>
        </w:tc>
        <w:tc>
          <w:tcPr>
            <w:tcW w:w="1559" w:type="dxa"/>
            <w:vAlign w:val="center"/>
          </w:tcPr>
          <w:p w14:paraId="0C60DE0A">
            <w:pPr>
              <w:jc w:val="right"/>
              <w:rPr>
                <w:rFonts w:ascii="Calibri" w:hAnsi="Calibri"/>
                <w:sz w:val="18"/>
                <w:szCs w:val="18"/>
              </w:rPr>
            </w:pPr>
          </w:p>
        </w:tc>
        <w:tc>
          <w:tcPr>
            <w:tcW w:w="1418" w:type="dxa"/>
            <w:vAlign w:val="center"/>
          </w:tcPr>
          <w:p w14:paraId="5E2DCDD7">
            <w:pPr>
              <w:jc w:val="right"/>
              <w:rPr>
                <w:rFonts w:ascii="Calibri" w:hAnsi="Calibri"/>
                <w:sz w:val="18"/>
                <w:szCs w:val="18"/>
              </w:rPr>
            </w:pPr>
          </w:p>
        </w:tc>
        <w:tc>
          <w:tcPr>
            <w:tcW w:w="1559" w:type="dxa"/>
            <w:vAlign w:val="center"/>
          </w:tcPr>
          <w:p w14:paraId="0355F46F">
            <w:pPr>
              <w:jc w:val="right"/>
              <w:rPr>
                <w:rFonts w:ascii="Calibri" w:hAnsi="Calibri"/>
                <w:sz w:val="18"/>
                <w:szCs w:val="18"/>
              </w:rPr>
            </w:pPr>
          </w:p>
        </w:tc>
      </w:tr>
      <w:tr w14:paraId="52F5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4db836e110543eab1bb1c6fb46bd857"/>
            <w:id w:val="-1619990991"/>
          </w:sdtPr>
          <w:sdtContent>
            <w:tc>
              <w:tcPr>
                <w:tcW w:w="1702" w:type="dxa"/>
                <w:vAlign w:val="center"/>
              </w:tcPr>
              <w:p w14:paraId="3B108004">
                <w:pPr>
                  <w:rPr>
                    <w:rFonts w:ascii="Calibri" w:hAnsi="Calibri"/>
                    <w:sz w:val="18"/>
                    <w:szCs w:val="18"/>
                  </w:rPr>
                </w:pPr>
                <w:r>
                  <w:rPr>
                    <w:rFonts w:ascii="Calibri" w:hAnsi="Calibri"/>
                    <w:sz w:val="18"/>
                    <w:szCs w:val="18"/>
                  </w:rPr>
                  <w:t>二、本年</w:t>
                </w:r>
                <w:r>
                  <w:rPr>
                    <w:rFonts w:hint="eastAsia" w:ascii="Calibri" w:hAnsi="Calibri"/>
                    <w:sz w:val="18"/>
                    <w:szCs w:val="18"/>
                  </w:rPr>
                  <w:t>期</w:t>
                </w:r>
                <w:r>
                  <w:rPr>
                    <w:rFonts w:ascii="Calibri" w:hAnsi="Calibri"/>
                    <w:sz w:val="18"/>
                    <w:szCs w:val="18"/>
                  </w:rPr>
                  <w:t>初余额</w:t>
                </w:r>
              </w:p>
            </w:tc>
          </w:sdtContent>
        </w:sdt>
        <w:tc>
          <w:tcPr>
            <w:tcW w:w="1559" w:type="dxa"/>
            <w:vAlign w:val="center"/>
          </w:tcPr>
          <w:p w14:paraId="51636019">
            <w:pPr>
              <w:jc w:val="right"/>
              <w:rPr>
                <w:rFonts w:ascii="Calibri" w:hAnsi="Calibri"/>
                <w:sz w:val="18"/>
                <w:szCs w:val="18"/>
              </w:rPr>
            </w:pPr>
            <w:r>
              <w:rPr>
                <w:rFonts w:ascii="Calibri" w:hAnsi="Calibri"/>
                <w:sz w:val="18"/>
                <w:szCs w:val="18"/>
              </w:rPr>
              <w:t>1,981,734,074.00</w:t>
            </w:r>
          </w:p>
        </w:tc>
        <w:tc>
          <w:tcPr>
            <w:tcW w:w="284" w:type="dxa"/>
            <w:vAlign w:val="center"/>
          </w:tcPr>
          <w:p w14:paraId="75FC9CA8">
            <w:pPr>
              <w:jc w:val="right"/>
              <w:rPr>
                <w:rFonts w:ascii="Calibri" w:hAnsi="Calibri"/>
                <w:sz w:val="18"/>
                <w:szCs w:val="18"/>
              </w:rPr>
            </w:pPr>
          </w:p>
        </w:tc>
        <w:tc>
          <w:tcPr>
            <w:tcW w:w="283" w:type="dxa"/>
            <w:vAlign w:val="center"/>
          </w:tcPr>
          <w:p w14:paraId="1079B3EC">
            <w:pPr>
              <w:jc w:val="right"/>
              <w:rPr>
                <w:rFonts w:ascii="Calibri" w:hAnsi="Calibri"/>
                <w:sz w:val="18"/>
                <w:szCs w:val="18"/>
              </w:rPr>
            </w:pPr>
          </w:p>
        </w:tc>
        <w:tc>
          <w:tcPr>
            <w:tcW w:w="284" w:type="dxa"/>
            <w:vAlign w:val="center"/>
          </w:tcPr>
          <w:p w14:paraId="4D6F6982">
            <w:pPr>
              <w:jc w:val="right"/>
              <w:rPr>
                <w:rFonts w:ascii="Calibri" w:hAnsi="Calibri"/>
                <w:sz w:val="18"/>
                <w:szCs w:val="18"/>
              </w:rPr>
            </w:pPr>
          </w:p>
        </w:tc>
        <w:tc>
          <w:tcPr>
            <w:tcW w:w="1417" w:type="dxa"/>
            <w:vAlign w:val="center"/>
          </w:tcPr>
          <w:p w14:paraId="23B11F4F">
            <w:pPr>
              <w:jc w:val="right"/>
              <w:rPr>
                <w:rFonts w:ascii="Calibri" w:hAnsi="Calibri"/>
                <w:sz w:val="18"/>
                <w:szCs w:val="18"/>
              </w:rPr>
            </w:pPr>
            <w:r>
              <w:rPr>
                <w:rFonts w:ascii="Calibri" w:hAnsi="Calibri"/>
                <w:sz w:val="18"/>
                <w:szCs w:val="18"/>
              </w:rPr>
              <w:t>509,315,505.46</w:t>
            </w:r>
          </w:p>
        </w:tc>
        <w:tc>
          <w:tcPr>
            <w:tcW w:w="1418" w:type="dxa"/>
            <w:vAlign w:val="center"/>
          </w:tcPr>
          <w:p w14:paraId="47800EC6">
            <w:pPr>
              <w:jc w:val="right"/>
              <w:rPr>
                <w:rFonts w:ascii="Calibri" w:hAnsi="Calibri"/>
                <w:sz w:val="18"/>
                <w:szCs w:val="18"/>
              </w:rPr>
            </w:pPr>
            <w:r>
              <w:rPr>
                <w:rFonts w:ascii="Calibri" w:hAnsi="Calibri"/>
                <w:sz w:val="18"/>
                <w:szCs w:val="18"/>
              </w:rPr>
              <w:t>300,279,281.09</w:t>
            </w:r>
          </w:p>
        </w:tc>
        <w:tc>
          <w:tcPr>
            <w:tcW w:w="1276" w:type="dxa"/>
            <w:vAlign w:val="center"/>
          </w:tcPr>
          <w:p w14:paraId="7BFB8231">
            <w:pPr>
              <w:jc w:val="right"/>
              <w:rPr>
                <w:rFonts w:ascii="Calibri" w:hAnsi="Calibri"/>
                <w:sz w:val="18"/>
                <w:szCs w:val="18"/>
              </w:rPr>
            </w:pPr>
            <w:r>
              <w:rPr>
                <w:rFonts w:ascii="Calibri" w:hAnsi="Calibri"/>
                <w:sz w:val="18"/>
                <w:szCs w:val="18"/>
              </w:rPr>
              <w:t>6,910,223.58</w:t>
            </w:r>
          </w:p>
        </w:tc>
        <w:tc>
          <w:tcPr>
            <w:tcW w:w="1559" w:type="dxa"/>
            <w:vAlign w:val="center"/>
          </w:tcPr>
          <w:p w14:paraId="6B8CE1B7">
            <w:pPr>
              <w:jc w:val="right"/>
              <w:rPr>
                <w:rFonts w:ascii="Calibri" w:hAnsi="Calibri"/>
                <w:sz w:val="18"/>
                <w:szCs w:val="18"/>
              </w:rPr>
            </w:pPr>
            <w:r>
              <w:rPr>
                <w:rFonts w:ascii="Calibri" w:hAnsi="Calibri"/>
                <w:sz w:val="18"/>
                <w:szCs w:val="18"/>
              </w:rPr>
              <w:t>1,027,149,340.36</w:t>
            </w:r>
          </w:p>
        </w:tc>
        <w:tc>
          <w:tcPr>
            <w:tcW w:w="1559" w:type="dxa"/>
            <w:vAlign w:val="center"/>
          </w:tcPr>
          <w:p w14:paraId="7F674289">
            <w:pPr>
              <w:jc w:val="right"/>
              <w:rPr>
                <w:rFonts w:ascii="Calibri" w:hAnsi="Calibri"/>
                <w:sz w:val="18"/>
                <w:szCs w:val="18"/>
              </w:rPr>
            </w:pPr>
            <w:r>
              <w:rPr>
                <w:rFonts w:ascii="Calibri" w:hAnsi="Calibri"/>
                <w:sz w:val="18"/>
                <w:szCs w:val="18"/>
              </w:rPr>
              <w:t>3,160,028,831.05</w:t>
            </w:r>
          </w:p>
        </w:tc>
        <w:tc>
          <w:tcPr>
            <w:tcW w:w="1559" w:type="dxa"/>
            <w:vAlign w:val="center"/>
          </w:tcPr>
          <w:p w14:paraId="3E7522B8">
            <w:pPr>
              <w:jc w:val="right"/>
              <w:rPr>
                <w:rFonts w:ascii="Calibri" w:hAnsi="Calibri"/>
                <w:sz w:val="18"/>
                <w:szCs w:val="18"/>
              </w:rPr>
            </w:pPr>
            <w:r>
              <w:rPr>
                <w:rFonts w:ascii="Calibri" w:hAnsi="Calibri"/>
                <w:sz w:val="18"/>
                <w:szCs w:val="18"/>
              </w:rPr>
              <w:t>6,384,858,693.36</w:t>
            </w:r>
          </w:p>
        </w:tc>
        <w:tc>
          <w:tcPr>
            <w:tcW w:w="1418" w:type="dxa"/>
            <w:vAlign w:val="center"/>
          </w:tcPr>
          <w:p w14:paraId="73DCE1C4">
            <w:pPr>
              <w:jc w:val="right"/>
              <w:rPr>
                <w:rFonts w:ascii="Calibri" w:hAnsi="Calibri"/>
                <w:sz w:val="18"/>
                <w:szCs w:val="18"/>
              </w:rPr>
            </w:pPr>
            <w:r>
              <w:rPr>
                <w:rFonts w:ascii="Calibri" w:hAnsi="Calibri"/>
                <w:sz w:val="18"/>
                <w:szCs w:val="18"/>
              </w:rPr>
              <w:t>17,964,657.02</w:t>
            </w:r>
          </w:p>
        </w:tc>
        <w:tc>
          <w:tcPr>
            <w:tcW w:w="1559" w:type="dxa"/>
            <w:vAlign w:val="center"/>
          </w:tcPr>
          <w:p w14:paraId="4C525DC4">
            <w:pPr>
              <w:jc w:val="right"/>
              <w:rPr>
                <w:rFonts w:ascii="Calibri" w:hAnsi="Calibri"/>
                <w:sz w:val="18"/>
                <w:szCs w:val="18"/>
              </w:rPr>
            </w:pPr>
            <w:r>
              <w:rPr>
                <w:rFonts w:ascii="Calibri" w:hAnsi="Calibri"/>
                <w:sz w:val="18"/>
                <w:szCs w:val="18"/>
              </w:rPr>
              <w:t>6,402,823,350.38</w:t>
            </w:r>
          </w:p>
        </w:tc>
      </w:tr>
      <w:tr w14:paraId="17B6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ca4768a663c4afc8e9fee3a8dc71bc6"/>
            <w:id w:val="1462533274"/>
          </w:sdtPr>
          <w:sdtContent>
            <w:tc>
              <w:tcPr>
                <w:tcW w:w="1702" w:type="dxa"/>
                <w:vAlign w:val="center"/>
              </w:tcPr>
              <w:p w14:paraId="6DAB32BE">
                <w:pPr>
                  <w:rPr>
                    <w:rFonts w:ascii="Calibri" w:hAnsi="Calibri"/>
                    <w:sz w:val="18"/>
                    <w:szCs w:val="18"/>
                  </w:rPr>
                </w:pPr>
                <w:r>
                  <w:rPr>
                    <w:rFonts w:ascii="Calibri" w:hAnsi="Calibri"/>
                    <w:sz w:val="18"/>
                    <w:szCs w:val="18"/>
                  </w:rPr>
                  <w:t>三、本</w:t>
                </w:r>
                <w:r>
                  <w:rPr>
                    <w:rFonts w:hint="eastAsia" w:ascii="Calibri" w:hAnsi="Calibri"/>
                    <w:sz w:val="18"/>
                    <w:szCs w:val="18"/>
                  </w:rPr>
                  <w:t>期</w:t>
                </w:r>
                <w:r>
                  <w:rPr>
                    <w:rFonts w:ascii="Calibri" w:hAnsi="Calibri"/>
                    <w:sz w:val="18"/>
                    <w:szCs w:val="18"/>
                  </w:rPr>
                  <w:t>增减变动金额（减少以“－”号填列）</w:t>
                </w:r>
              </w:p>
            </w:tc>
          </w:sdtContent>
        </w:sdt>
        <w:tc>
          <w:tcPr>
            <w:tcW w:w="1559" w:type="dxa"/>
            <w:vAlign w:val="center"/>
          </w:tcPr>
          <w:p w14:paraId="541DE5D7">
            <w:pPr>
              <w:jc w:val="right"/>
              <w:rPr>
                <w:rFonts w:ascii="Calibri" w:hAnsi="Calibri"/>
                <w:sz w:val="18"/>
                <w:szCs w:val="18"/>
              </w:rPr>
            </w:pPr>
            <w:r>
              <w:rPr>
                <w:rFonts w:ascii="Calibri" w:hAnsi="Calibri"/>
                <w:sz w:val="18"/>
                <w:szCs w:val="18"/>
              </w:rPr>
              <w:t>-23,191,245.00</w:t>
            </w:r>
          </w:p>
        </w:tc>
        <w:tc>
          <w:tcPr>
            <w:tcW w:w="284" w:type="dxa"/>
            <w:vAlign w:val="center"/>
          </w:tcPr>
          <w:p w14:paraId="34CF656D">
            <w:pPr>
              <w:jc w:val="right"/>
              <w:rPr>
                <w:rFonts w:ascii="Calibri" w:hAnsi="Calibri"/>
                <w:sz w:val="18"/>
                <w:szCs w:val="18"/>
              </w:rPr>
            </w:pPr>
          </w:p>
        </w:tc>
        <w:tc>
          <w:tcPr>
            <w:tcW w:w="283" w:type="dxa"/>
            <w:vAlign w:val="center"/>
          </w:tcPr>
          <w:p w14:paraId="367549F6">
            <w:pPr>
              <w:jc w:val="right"/>
              <w:rPr>
                <w:rFonts w:ascii="Calibri" w:hAnsi="Calibri"/>
                <w:sz w:val="18"/>
                <w:szCs w:val="18"/>
              </w:rPr>
            </w:pPr>
          </w:p>
        </w:tc>
        <w:tc>
          <w:tcPr>
            <w:tcW w:w="284" w:type="dxa"/>
            <w:vAlign w:val="center"/>
          </w:tcPr>
          <w:p w14:paraId="1FC09016">
            <w:pPr>
              <w:jc w:val="right"/>
              <w:rPr>
                <w:rFonts w:ascii="Calibri" w:hAnsi="Calibri"/>
                <w:sz w:val="18"/>
                <w:szCs w:val="18"/>
              </w:rPr>
            </w:pPr>
          </w:p>
        </w:tc>
        <w:tc>
          <w:tcPr>
            <w:tcW w:w="1417" w:type="dxa"/>
            <w:vAlign w:val="center"/>
          </w:tcPr>
          <w:p w14:paraId="4D28DC10">
            <w:pPr>
              <w:jc w:val="right"/>
              <w:rPr>
                <w:rFonts w:ascii="Calibri" w:hAnsi="Calibri"/>
                <w:sz w:val="18"/>
                <w:szCs w:val="18"/>
              </w:rPr>
            </w:pPr>
            <w:r>
              <w:rPr>
                <w:rFonts w:ascii="Calibri" w:hAnsi="Calibri"/>
                <w:sz w:val="18"/>
                <w:szCs w:val="18"/>
              </w:rPr>
              <w:t>-207,640,850.47</w:t>
            </w:r>
          </w:p>
        </w:tc>
        <w:tc>
          <w:tcPr>
            <w:tcW w:w="1418" w:type="dxa"/>
            <w:vAlign w:val="center"/>
          </w:tcPr>
          <w:p w14:paraId="0D256ED6">
            <w:pPr>
              <w:jc w:val="right"/>
              <w:rPr>
                <w:rFonts w:ascii="Calibri" w:hAnsi="Calibri"/>
                <w:sz w:val="18"/>
                <w:szCs w:val="18"/>
              </w:rPr>
            </w:pPr>
            <w:r>
              <w:rPr>
                <w:rFonts w:ascii="Calibri" w:hAnsi="Calibri"/>
                <w:sz w:val="18"/>
                <w:szCs w:val="18"/>
              </w:rPr>
              <w:t>-212,169,378.93</w:t>
            </w:r>
          </w:p>
        </w:tc>
        <w:tc>
          <w:tcPr>
            <w:tcW w:w="1276" w:type="dxa"/>
            <w:vAlign w:val="center"/>
          </w:tcPr>
          <w:p w14:paraId="3C3E1F81">
            <w:pPr>
              <w:jc w:val="right"/>
              <w:rPr>
                <w:rFonts w:ascii="Calibri" w:hAnsi="Calibri"/>
                <w:sz w:val="18"/>
                <w:szCs w:val="18"/>
              </w:rPr>
            </w:pPr>
            <w:r>
              <w:rPr>
                <w:rFonts w:ascii="Calibri" w:hAnsi="Calibri"/>
                <w:sz w:val="18"/>
                <w:szCs w:val="18"/>
              </w:rPr>
              <w:t>3,760,560.85</w:t>
            </w:r>
          </w:p>
        </w:tc>
        <w:tc>
          <w:tcPr>
            <w:tcW w:w="1559" w:type="dxa"/>
            <w:vAlign w:val="center"/>
          </w:tcPr>
          <w:p w14:paraId="2CB490BC">
            <w:pPr>
              <w:jc w:val="right"/>
              <w:rPr>
                <w:rFonts w:ascii="Calibri" w:hAnsi="Calibri"/>
                <w:sz w:val="18"/>
                <w:szCs w:val="18"/>
              </w:rPr>
            </w:pPr>
          </w:p>
        </w:tc>
        <w:tc>
          <w:tcPr>
            <w:tcW w:w="1559" w:type="dxa"/>
            <w:vAlign w:val="center"/>
          </w:tcPr>
          <w:p w14:paraId="7AE12B8A">
            <w:pPr>
              <w:jc w:val="right"/>
              <w:rPr>
                <w:rFonts w:ascii="Calibri" w:hAnsi="Calibri"/>
                <w:sz w:val="18"/>
                <w:szCs w:val="18"/>
              </w:rPr>
            </w:pPr>
            <w:r>
              <w:rPr>
                <w:rFonts w:ascii="Calibri" w:hAnsi="Calibri"/>
                <w:sz w:val="18"/>
                <w:szCs w:val="18"/>
              </w:rPr>
              <w:t>733,186,622.25</w:t>
            </w:r>
          </w:p>
        </w:tc>
        <w:tc>
          <w:tcPr>
            <w:tcW w:w="1559" w:type="dxa"/>
            <w:vAlign w:val="center"/>
          </w:tcPr>
          <w:p w14:paraId="6F575C1F">
            <w:pPr>
              <w:jc w:val="right"/>
              <w:rPr>
                <w:rFonts w:ascii="Calibri" w:hAnsi="Calibri"/>
                <w:sz w:val="18"/>
                <w:szCs w:val="18"/>
              </w:rPr>
            </w:pPr>
            <w:r>
              <w:rPr>
                <w:rFonts w:ascii="Calibri" w:hAnsi="Calibri"/>
                <w:sz w:val="18"/>
                <w:szCs w:val="18"/>
              </w:rPr>
              <w:t>718,284,466.56</w:t>
            </w:r>
          </w:p>
        </w:tc>
        <w:tc>
          <w:tcPr>
            <w:tcW w:w="1418" w:type="dxa"/>
            <w:vAlign w:val="center"/>
          </w:tcPr>
          <w:p w14:paraId="7AB12144">
            <w:pPr>
              <w:jc w:val="right"/>
              <w:rPr>
                <w:rFonts w:ascii="Calibri" w:hAnsi="Calibri"/>
                <w:sz w:val="18"/>
                <w:szCs w:val="18"/>
              </w:rPr>
            </w:pPr>
            <w:r>
              <w:rPr>
                <w:rFonts w:ascii="Calibri" w:hAnsi="Calibri"/>
                <w:sz w:val="18"/>
                <w:szCs w:val="18"/>
              </w:rPr>
              <w:t>-13,547,095.85</w:t>
            </w:r>
          </w:p>
        </w:tc>
        <w:tc>
          <w:tcPr>
            <w:tcW w:w="1559" w:type="dxa"/>
            <w:vAlign w:val="center"/>
          </w:tcPr>
          <w:p w14:paraId="14899D43">
            <w:pPr>
              <w:jc w:val="right"/>
              <w:rPr>
                <w:rFonts w:ascii="Calibri" w:hAnsi="Calibri"/>
                <w:sz w:val="18"/>
                <w:szCs w:val="18"/>
              </w:rPr>
            </w:pPr>
            <w:r>
              <w:rPr>
                <w:rFonts w:ascii="Calibri" w:hAnsi="Calibri"/>
                <w:sz w:val="18"/>
                <w:szCs w:val="18"/>
              </w:rPr>
              <w:t>704,737,370.71</w:t>
            </w:r>
          </w:p>
        </w:tc>
      </w:tr>
      <w:tr w14:paraId="65E7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5a20255a0a245fd951d5eb42c559389"/>
            <w:id w:val="1810905369"/>
          </w:sdtPr>
          <w:sdtContent>
            <w:tc>
              <w:tcPr>
                <w:tcW w:w="1702" w:type="dxa"/>
                <w:vAlign w:val="center"/>
              </w:tcPr>
              <w:p w14:paraId="50125FE2">
                <w:pPr>
                  <w:rPr>
                    <w:rFonts w:ascii="Calibri" w:hAnsi="Calibri"/>
                    <w:sz w:val="18"/>
                    <w:szCs w:val="18"/>
                  </w:rPr>
                </w:pPr>
                <w:r>
                  <w:rPr>
                    <w:rFonts w:hint="eastAsia" w:ascii="Calibri" w:hAnsi="Calibri"/>
                    <w:sz w:val="18"/>
                    <w:szCs w:val="18"/>
                  </w:rPr>
                  <w:t>（一）综合收益总额</w:t>
                </w:r>
              </w:p>
            </w:tc>
          </w:sdtContent>
        </w:sdt>
        <w:tc>
          <w:tcPr>
            <w:tcW w:w="1559" w:type="dxa"/>
            <w:vAlign w:val="center"/>
          </w:tcPr>
          <w:p w14:paraId="59BA3BD4">
            <w:pPr>
              <w:jc w:val="right"/>
              <w:rPr>
                <w:rFonts w:ascii="Calibri" w:hAnsi="Calibri"/>
                <w:sz w:val="18"/>
                <w:szCs w:val="18"/>
              </w:rPr>
            </w:pPr>
          </w:p>
        </w:tc>
        <w:tc>
          <w:tcPr>
            <w:tcW w:w="284" w:type="dxa"/>
            <w:vAlign w:val="center"/>
          </w:tcPr>
          <w:p w14:paraId="1FECE859">
            <w:pPr>
              <w:jc w:val="right"/>
              <w:rPr>
                <w:rFonts w:ascii="Calibri" w:hAnsi="Calibri"/>
                <w:sz w:val="18"/>
                <w:szCs w:val="18"/>
              </w:rPr>
            </w:pPr>
          </w:p>
        </w:tc>
        <w:tc>
          <w:tcPr>
            <w:tcW w:w="283" w:type="dxa"/>
            <w:vAlign w:val="center"/>
          </w:tcPr>
          <w:p w14:paraId="6ABC295A">
            <w:pPr>
              <w:jc w:val="right"/>
              <w:rPr>
                <w:rFonts w:ascii="Calibri" w:hAnsi="Calibri"/>
                <w:sz w:val="18"/>
                <w:szCs w:val="18"/>
              </w:rPr>
            </w:pPr>
          </w:p>
        </w:tc>
        <w:tc>
          <w:tcPr>
            <w:tcW w:w="284" w:type="dxa"/>
            <w:vAlign w:val="center"/>
          </w:tcPr>
          <w:p w14:paraId="22F7BDEA">
            <w:pPr>
              <w:jc w:val="right"/>
              <w:rPr>
                <w:rFonts w:ascii="Calibri" w:hAnsi="Calibri"/>
                <w:sz w:val="18"/>
                <w:szCs w:val="18"/>
              </w:rPr>
            </w:pPr>
          </w:p>
        </w:tc>
        <w:tc>
          <w:tcPr>
            <w:tcW w:w="1417" w:type="dxa"/>
            <w:vAlign w:val="center"/>
          </w:tcPr>
          <w:p w14:paraId="10C252EF">
            <w:pPr>
              <w:jc w:val="right"/>
              <w:rPr>
                <w:rFonts w:ascii="Calibri" w:hAnsi="Calibri"/>
                <w:sz w:val="18"/>
                <w:szCs w:val="18"/>
              </w:rPr>
            </w:pPr>
            <w:r>
              <w:rPr>
                <w:rFonts w:ascii="Calibri" w:hAnsi="Calibri"/>
                <w:sz w:val="18"/>
                <w:szCs w:val="18"/>
              </w:rPr>
              <w:t>6,532,646.12</w:t>
            </w:r>
          </w:p>
        </w:tc>
        <w:tc>
          <w:tcPr>
            <w:tcW w:w="1418" w:type="dxa"/>
            <w:vAlign w:val="center"/>
          </w:tcPr>
          <w:p w14:paraId="368E5A4D">
            <w:pPr>
              <w:jc w:val="right"/>
              <w:rPr>
                <w:rFonts w:ascii="Calibri" w:hAnsi="Calibri"/>
                <w:sz w:val="18"/>
                <w:szCs w:val="18"/>
              </w:rPr>
            </w:pPr>
          </w:p>
        </w:tc>
        <w:tc>
          <w:tcPr>
            <w:tcW w:w="1276" w:type="dxa"/>
            <w:vAlign w:val="center"/>
          </w:tcPr>
          <w:p w14:paraId="0E594E82">
            <w:pPr>
              <w:jc w:val="right"/>
              <w:rPr>
                <w:rFonts w:ascii="Calibri" w:hAnsi="Calibri"/>
                <w:sz w:val="18"/>
                <w:szCs w:val="18"/>
              </w:rPr>
            </w:pPr>
            <w:r>
              <w:rPr>
                <w:rFonts w:ascii="Calibri" w:hAnsi="Calibri"/>
                <w:sz w:val="18"/>
                <w:szCs w:val="18"/>
              </w:rPr>
              <w:t>3,760,560.85</w:t>
            </w:r>
          </w:p>
        </w:tc>
        <w:tc>
          <w:tcPr>
            <w:tcW w:w="1559" w:type="dxa"/>
            <w:vAlign w:val="center"/>
          </w:tcPr>
          <w:p w14:paraId="7983F527">
            <w:pPr>
              <w:jc w:val="right"/>
              <w:rPr>
                <w:rFonts w:ascii="Calibri" w:hAnsi="Calibri"/>
                <w:sz w:val="18"/>
                <w:szCs w:val="18"/>
              </w:rPr>
            </w:pPr>
          </w:p>
        </w:tc>
        <w:tc>
          <w:tcPr>
            <w:tcW w:w="1559" w:type="dxa"/>
            <w:vAlign w:val="center"/>
          </w:tcPr>
          <w:p w14:paraId="1A07C580">
            <w:pPr>
              <w:jc w:val="right"/>
              <w:rPr>
                <w:rFonts w:ascii="Calibri" w:hAnsi="Calibri"/>
                <w:sz w:val="18"/>
                <w:szCs w:val="18"/>
              </w:rPr>
            </w:pPr>
            <w:r>
              <w:rPr>
                <w:rFonts w:ascii="Calibri" w:hAnsi="Calibri"/>
                <w:sz w:val="18"/>
                <w:szCs w:val="18"/>
              </w:rPr>
              <w:t>1,219,052,875.25</w:t>
            </w:r>
          </w:p>
        </w:tc>
        <w:tc>
          <w:tcPr>
            <w:tcW w:w="1559" w:type="dxa"/>
            <w:vAlign w:val="center"/>
          </w:tcPr>
          <w:p w14:paraId="34717193">
            <w:pPr>
              <w:jc w:val="right"/>
              <w:rPr>
                <w:rFonts w:ascii="Calibri" w:hAnsi="Calibri"/>
                <w:sz w:val="18"/>
                <w:szCs w:val="18"/>
              </w:rPr>
            </w:pPr>
            <w:r>
              <w:rPr>
                <w:rFonts w:ascii="Calibri" w:hAnsi="Calibri"/>
                <w:sz w:val="18"/>
                <w:szCs w:val="18"/>
              </w:rPr>
              <w:t>1,229,346,082.22</w:t>
            </w:r>
          </w:p>
        </w:tc>
        <w:tc>
          <w:tcPr>
            <w:tcW w:w="1418" w:type="dxa"/>
            <w:vAlign w:val="center"/>
          </w:tcPr>
          <w:p w14:paraId="40DECA99">
            <w:pPr>
              <w:jc w:val="right"/>
              <w:rPr>
                <w:rFonts w:ascii="Calibri" w:hAnsi="Calibri"/>
                <w:sz w:val="18"/>
                <w:szCs w:val="18"/>
              </w:rPr>
            </w:pPr>
            <w:r>
              <w:rPr>
                <w:rFonts w:ascii="Calibri" w:hAnsi="Calibri"/>
                <w:sz w:val="18"/>
                <w:szCs w:val="18"/>
              </w:rPr>
              <w:t>-21,855,429.45</w:t>
            </w:r>
          </w:p>
        </w:tc>
        <w:tc>
          <w:tcPr>
            <w:tcW w:w="1559" w:type="dxa"/>
            <w:vAlign w:val="center"/>
          </w:tcPr>
          <w:p w14:paraId="0818A488">
            <w:pPr>
              <w:jc w:val="right"/>
              <w:rPr>
                <w:rFonts w:ascii="Calibri" w:hAnsi="Calibri"/>
                <w:sz w:val="18"/>
                <w:szCs w:val="18"/>
              </w:rPr>
            </w:pPr>
            <w:r>
              <w:rPr>
                <w:rFonts w:ascii="Calibri" w:hAnsi="Calibri"/>
                <w:sz w:val="18"/>
                <w:szCs w:val="18"/>
              </w:rPr>
              <w:t>1,207,490,652.77</w:t>
            </w:r>
          </w:p>
        </w:tc>
      </w:tr>
      <w:tr w14:paraId="658BC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abd5a3f22a849b08cf8df11a07115b5"/>
            <w:id w:val="-807855714"/>
          </w:sdtPr>
          <w:sdtContent>
            <w:tc>
              <w:tcPr>
                <w:tcW w:w="1702" w:type="dxa"/>
                <w:vAlign w:val="center"/>
              </w:tcPr>
              <w:p w14:paraId="170E507C">
                <w:pPr>
                  <w:rPr>
                    <w:rFonts w:ascii="Calibri" w:hAnsi="Calibri"/>
                    <w:sz w:val="18"/>
                    <w:szCs w:val="18"/>
                  </w:rPr>
                </w:pPr>
                <w:r>
                  <w:rPr>
                    <w:rFonts w:ascii="Calibri" w:hAnsi="Calibri"/>
                    <w:sz w:val="18"/>
                    <w:szCs w:val="18"/>
                  </w:rPr>
                  <w:t>（</w:t>
                </w:r>
                <w:r>
                  <w:rPr>
                    <w:rFonts w:hint="eastAsia" w:ascii="Calibri" w:hAnsi="Calibri"/>
                    <w:sz w:val="18"/>
                    <w:szCs w:val="18"/>
                  </w:rPr>
                  <w:t>二</w:t>
                </w:r>
                <w:r>
                  <w:rPr>
                    <w:rFonts w:ascii="Calibri" w:hAnsi="Calibri"/>
                    <w:sz w:val="18"/>
                    <w:szCs w:val="18"/>
                  </w:rPr>
                  <w:t>）所有者投入和减少资本</w:t>
                </w:r>
              </w:p>
            </w:tc>
          </w:sdtContent>
        </w:sdt>
        <w:tc>
          <w:tcPr>
            <w:tcW w:w="1559" w:type="dxa"/>
            <w:vAlign w:val="center"/>
          </w:tcPr>
          <w:p w14:paraId="7BAF1287">
            <w:pPr>
              <w:jc w:val="right"/>
              <w:rPr>
                <w:rFonts w:ascii="Calibri" w:hAnsi="Calibri"/>
                <w:sz w:val="18"/>
                <w:szCs w:val="18"/>
              </w:rPr>
            </w:pPr>
            <w:r>
              <w:rPr>
                <w:rFonts w:ascii="Calibri" w:hAnsi="Calibri"/>
                <w:sz w:val="18"/>
                <w:szCs w:val="18"/>
              </w:rPr>
              <w:t>-23,191,245.00</w:t>
            </w:r>
          </w:p>
        </w:tc>
        <w:tc>
          <w:tcPr>
            <w:tcW w:w="284" w:type="dxa"/>
            <w:vAlign w:val="center"/>
          </w:tcPr>
          <w:p w14:paraId="1C67DAB2">
            <w:pPr>
              <w:jc w:val="right"/>
              <w:rPr>
                <w:rFonts w:ascii="Calibri" w:hAnsi="Calibri"/>
                <w:sz w:val="18"/>
                <w:szCs w:val="18"/>
              </w:rPr>
            </w:pPr>
          </w:p>
        </w:tc>
        <w:tc>
          <w:tcPr>
            <w:tcW w:w="283" w:type="dxa"/>
            <w:vAlign w:val="center"/>
          </w:tcPr>
          <w:p w14:paraId="19165A96">
            <w:pPr>
              <w:jc w:val="right"/>
              <w:rPr>
                <w:rFonts w:ascii="Calibri" w:hAnsi="Calibri"/>
                <w:sz w:val="18"/>
                <w:szCs w:val="18"/>
              </w:rPr>
            </w:pPr>
          </w:p>
        </w:tc>
        <w:tc>
          <w:tcPr>
            <w:tcW w:w="284" w:type="dxa"/>
            <w:vAlign w:val="center"/>
          </w:tcPr>
          <w:p w14:paraId="317FC357">
            <w:pPr>
              <w:jc w:val="right"/>
              <w:rPr>
                <w:rFonts w:ascii="Calibri" w:hAnsi="Calibri"/>
                <w:sz w:val="18"/>
                <w:szCs w:val="18"/>
              </w:rPr>
            </w:pPr>
          </w:p>
        </w:tc>
        <w:tc>
          <w:tcPr>
            <w:tcW w:w="1417" w:type="dxa"/>
            <w:vAlign w:val="center"/>
          </w:tcPr>
          <w:p w14:paraId="6A38DB30">
            <w:pPr>
              <w:jc w:val="right"/>
              <w:rPr>
                <w:rFonts w:ascii="Calibri" w:hAnsi="Calibri"/>
                <w:sz w:val="18"/>
                <w:szCs w:val="18"/>
              </w:rPr>
            </w:pPr>
            <w:r>
              <w:rPr>
                <w:rFonts w:ascii="Calibri" w:hAnsi="Calibri"/>
                <w:sz w:val="18"/>
                <w:szCs w:val="18"/>
              </w:rPr>
              <w:t>-211,000,762.99</w:t>
            </w:r>
          </w:p>
        </w:tc>
        <w:tc>
          <w:tcPr>
            <w:tcW w:w="1418" w:type="dxa"/>
            <w:vAlign w:val="center"/>
          </w:tcPr>
          <w:p w14:paraId="7D6B21B8">
            <w:pPr>
              <w:jc w:val="right"/>
              <w:rPr>
                <w:rFonts w:ascii="Calibri" w:hAnsi="Calibri"/>
                <w:sz w:val="18"/>
                <w:szCs w:val="18"/>
              </w:rPr>
            </w:pPr>
            <w:r>
              <w:rPr>
                <w:rFonts w:ascii="Calibri" w:hAnsi="Calibri"/>
                <w:sz w:val="18"/>
                <w:szCs w:val="18"/>
              </w:rPr>
              <w:t>-212,169,378.93</w:t>
            </w:r>
          </w:p>
        </w:tc>
        <w:tc>
          <w:tcPr>
            <w:tcW w:w="1276" w:type="dxa"/>
            <w:vAlign w:val="center"/>
          </w:tcPr>
          <w:p w14:paraId="1719ECD4">
            <w:pPr>
              <w:jc w:val="right"/>
              <w:rPr>
                <w:rFonts w:ascii="Calibri" w:hAnsi="Calibri"/>
                <w:sz w:val="18"/>
                <w:szCs w:val="18"/>
              </w:rPr>
            </w:pPr>
          </w:p>
        </w:tc>
        <w:tc>
          <w:tcPr>
            <w:tcW w:w="1559" w:type="dxa"/>
            <w:vAlign w:val="center"/>
          </w:tcPr>
          <w:p w14:paraId="3ACFE068">
            <w:pPr>
              <w:jc w:val="right"/>
              <w:rPr>
                <w:rFonts w:ascii="Calibri" w:hAnsi="Calibri"/>
                <w:sz w:val="18"/>
                <w:szCs w:val="18"/>
              </w:rPr>
            </w:pPr>
          </w:p>
        </w:tc>
        <w:tc>
          <w:tcPr>
            <w:tcW w:w="1559" w:type="dxa"/>
            <w:vAlign w:val="center"/>
          </w:tcPr>
          <w:p w14:paraId="5CD12691">
            <w:pPr>
              <w:jc w:val="right"/>
              <w:rPr>
                <w:rFonts w:ascii="Calibri" w:hAnsi="Calibri"/>
                <w:sz w:val="18"/>
                <w:szCs w:val="18"/>
              </w:rPr>
            </w:pPr>
          </w:p>
        </w:tc>
        <w:tc>
          <w:tcPr>
            <w:tcW w:w="1559" w:type="dxa"/>
            <w:vAlign w:val="center"/>
          </w:tcPr>
          <w:p w14:paraId="08F58ED9">
            <w:pPr>
              <w:jc w:val="right"/>
              <w:rPr>
                <w:rFonts w:ascii="Calibri" w:hAnsi="Calibri"/>
                <w:sz w:val="18"/>
                <w:szCs w:val="18"/>
              </w:rPr>
            </w:pPr>
            <w:r>
              <w:rPr>
                <w:rFonts w:ascii="Calibri" w:hAnsi="Calibri"/>
                <w:sz w:val="18"/>
                <w:szCs w:val="18"/>
              </w:rPr>
              <w:t>-22,022,629.06</w:t>
            </w:r>
          </w:p>
        </w:tc>
        <w:tc>
          <w:tcPr>
            <w:tcW w:w="1418" w:type="dxa"/>
            <w:vAlign w:val="center"/>
          </w:tcPr>
          <w:p w14:paraId="2B14019F">
            <w:pPr>
              <w:jc w:val="right"/>
              <w:rPr>
                <w:rFonts w:ascii="Calibri" w:hAnsi="Calibri"/>
                <w:sz w:val="18"/>
                <w:szCs w:val="18"/>
              </w:rPr>
            </w:pPr>
            <w:r>
              <w:rPr>
                <w:rFonts w:ascii="Calibri" w:hAnsi="Calibri"/>
                <w:sz w:val="18"/>
                <w:szCs w:val="18"/>
              </w:rPr>
              <w:t>8,727,100.00</w:t>
            </w:r>
          </w:p>
        </w:tc>
        <w:tc>
          <w:tcPr>
            <w:tcW w:w="1559" w:type="dxa"/>
            <w:vAlign w:val="center"/>
          </w:tcPr>
          <w:p w14:paraId="284B0152">
            <w:pPr>
              <w:jc w:val="right"/>
              <w:rPr>
                <w:rFonts w:ascii="Calibri" w:hAnsi="Calibri"/>
                <w:sz w:val="18"/>
                <w:szCs w:val="18"/>
              </w:rPr>
            </w:pPr>
            <w:r>
              <w:rPr>
                <w:rFonts w:ascii="Calibri" w:hAnsi="Calibri"/>
                <w:sz w:val="18"/>
                <w:szCs w:val="18"/>
              </w:rPr>
              <w:t>-13,295,529.06</w:t>
            </w:r>
          </w:p>
        </w:tc>
      </w:tr>
      <w:tr w14:paraId="2787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d4d24462cb048579eb01f9b1c8956b1"/>
            <w:id w:val="494232744"/>
          </w:sdtPr>
          <w:sdtContent>
            <w:tc>
              <w:tcPr>
                <w:tcW w:w="1702" w:type="dxa"/>
                <w:vAlign w:val="center"/>
              </w:tcPr>
              <w:p w14:paraId="6C05E5D6">
                <w:pPr>
                  <w:rPr>
                    <w:rFonts w:ascii="Calibri" w:hAnsi="Calibri"/>
                    <w:sz w:val="18"/>
                    <w:szCs w:val="18"/>
                  </w:rPr>
                </w:pPr>
                <w:r>
                  <w:rPr>
                    <w:rFonts w:hint="eastAsia" w:ascii="Calibri" w:hAnsi="Calibri"/>
                    <w:sz w:val="18"/>
                    <w:szCs w:val="18"/>
                  </w:rPr>
                  <w:t>1．所有者投入的普通股</w:t>
                </w:r>
              </w:p>
            </w:tc>
          </w:sdtContent>
        </w:sdt>
        <w:tc>
          <w:tcPr>
            <w:tcW w:w="1559" w:type="dxa"/>
            <w:vAlign w:val="center"/>
          </w:tcPr>
          <w:p w14:paraId="3922EE49">
            <w:pPr>
              <w:jc w:val="right"/>
              <w:rPr>
                <w:rFonts w:ascii="Calibri" w:hAnsi="Calibri"/>
                <w:sz w:val="18"/>
                <w:szCs w:val="18"/>
              </w:rPr>
            </w:pPr>
          </w:p>
        </w:tc>
        <w:tc>
          <w:tcPr>
            <w:tcW w:w="284" w:type="dxa"/>
            <w:vAlign w:val="center"/>
          </w:tcPr>
          <w:p w14:paraId="1E81313F">
            <w:pPr>
              <w:jc w:val="right"/>
              <w:rPr>
                <w:rFonts w:ascii="Calibri" w:hAnsi="Calibri"/>
                <w:sz w:val="18"/>
                <w:szCs w:val="18"/>
              </w:rPr>
            </w:pPr>
          </w:p>
        </w:tc>
        <w:tc>
          <w:tcPr>
            <w:tcW w:w="283" w:type="dxa"/>
            <w:vAlign w:val="center"/>
          </w:tcPr>
          <w:p w14:paraId="16F3E686">
            <w:pPr>
              <w:jc w:val="right"/>
              <w:rPr>
                <w:rFonts w:ascii="Calibri" w:hAnsi="Calibri"/>
                <w:sz w:val="18"/>
                <w:szCs w:val="18"/>
              </w:rPr>
            </w:pPr>
          </w:p>
        </w:tc>
        <w:tc>
          <w:tcPr>
            <w:tcW w:w="284" w:type="dxa"/>
            <w:vAlign w:val="center"/>
          </w:tcPr>
          <w:p w14:paraId="3BAF1B30">
            <w:pPr>
              <w:jc w:val="right"/>
              <w:rPr>
                <w:rFonts w:ascii="Calibri" w:hAnsi="Calibri"/>
                <w:sz w:val="18"/>
                <w:szCs w:val="18"/>
              </w:rPr>
            </w:pPr>
          </w:p>
        </w:tc>
        <w:tc>
          <w:tcPr>
            <w:tcW w:w="1417" w:type="dxa"/>
            <w:vAlign w:val="center"/>
          </w:tcPr>
          <w:p w14:paraId="29CA70B6">
            <w:pPr>
              <w:jc w:val="right"/>
              <w:rPr>
                <w:rFonts w:ascii="Calibri" w:hAnsi="Calibri"/>
                <w:sz w:val="18"/>
                <w:szCs w:val="18"/>
              </w:rPr>
            </w:pPr>
          </w:p>
        </w:tc>
        <w:tc>
          <w:tcPr>
            <w:tcW w:w="1418" w:type="dxa"/>
            <w:vAlign w:val="center"/>
          </w:tcPr>
          <w:p w14:paraId="755E239E">
            <w:pPr>
              <w:jc w:val="right"/>
              <w:rPr>
                <w:rFonts w:ascii="Calibri" w:hAnsi="Calibri"/>
                <w:sz w:val="18"/>
                <w:szCs w:val="18"/>
              </w:rPr>
            </w:pPr>
          </w:p>
        </w:tc>
        <w:tc>
          <w:tcPr>
            <w:tcW w:w="1276" w:type="dxa"/>
            <w:vAlign w:val="center"/>
          </w:tcPr>
          <w:p w14:paraId="3F551CC1">
            <w:pPr>
              <w:jc w:val="right"/>
              <w:rPr>
                <w:rFonts w:ascii="Calibri" w:hAnsi="Calibri"/>
                <w:sz w:val="18"/>
                <w:szCs w:val="18"/>
              </w:rPr>
            </w:pPr>
          </w:p>
        </w:tc>
        <w:tc>
          <w:tcPr>
            <w:tcW w:w="1559" w:type="dxa"/>
            <w:vAlign w:val="center"/>
          </w:tcPr>
          <w:p w14:paraId="5103DF65">
            <w:pPr>
              <w:jc w:val="right"/>
              <w:rPr>
                <w:rFonts w:ascii="Calibri" w:hAnsi="Calibri"/>
                <w:sz w:val="18"/>
                <w:szCs w:val="18"/>
              </w:rPr>
            </w:pPr>
          </w:p>
        </w:tc>
        <w:tc>
          <w:tcPr>
            <w:tcW w:w="1559" w:type="dxa"/>
            <w:vAlign w:val="center"/>
          </w:tcPr>
          <w:p w14:paraId="16E83262">
            <w:pPr>
              <w:jc w:val="right"/>
              <w:rPr>
                <w:rFonts w:ascii="Calibri" w:hAnsi="Calibri"/>
                <w:sz w:val="18"/>
                <w:szCs w:val="18"/>
              </w:rPr>
            </w:pPr>
          </w:p>
        </w:tc>
        <w:tc>
          <w:tcPr>
            <w:tcW w:w="1559" w:type="dxa"/>
            <w:vAlign w:val="center"/>
          </w:tcPr>
          <w:p w14:paraId="4E637399">
            <w:pPr>
              <w:jc w:val="right"/>
              <w:rPr>
                <w:rFonts w:ascii="Calibri" w:hAnsi="Calibri"/>
                <w:sz w:val="18"/>
                <w:szCs w:val="18"/>
              </w:rPr>
            </w:pPr>
          </w:p>
        </w:tc>
        <w:tc>
          <w:tcPr>
            <w:tcW w:w="1418" w:type="dxa"/>
            <w:vAlign w:val="center"/>
          </w:tcPr>
          <w:p w14:paraId="0D996415">
            <w:pPr>
              <w:jc w:val="right"/>
              <w:rPr>
                <w:rFonts w:ascii="Calibri" w:hAnsi="Calibri"/>
                <w:sz w:val="18"/>
                <w:szCs w:val="18"/>
              </w:rPr>
            </w:pPr>
            <w:r>
              <w:rPr>
                <w:rFonts w:ascii="Calibri" w:hAnsi="Calibri"/>
                <w:sz w:val="18"/>
                <w:szCs w:val="18"/>
              </w:rPr>
              <w:t>8,727,100.00</w:t>
            </w:r>
          </w:p>
        </w:tc>
        <w:tc>
          <w:tcPr>
            <w:tcW w:w="1559" w:type="dxa"/>
            <w:vAlign w:val="center"/>
          </w:tcPr>
          <w:p w14:paraId="15686BE0">
            <w:pPr>
              <w:jc w:val="right"/>
              <w:rPr>
                <w:rFonts w:ascii="Calibri" w:hAnsi="Calibri"/>
                <w:sz w:val="18"/>
                <w:szCs w:val="18"/>
              </w:rPr>
            </w:pPr>
            <w:r>
              <w:rPr>
                <w:rFonts w:ascii="Calibri" w:hAnsi="Calibri"/>
                <w:sz w:val="18"/>
                <w:szCs w:val="18"/>
              </w:rPr>
              <w:t>8,727,100.00</w:t>
            </w:r>
          </w:p>
        </w:tc>
      </w:tr>
      <w:tr w14:paraId="37F8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b1df3030d9b41699f4a3e651f6c74e7"/>
            <w:id w:val="-883400185"/>
          </w:sdtPr>
          <w:sdtContent>
            <w:tc>
              <w:tcPr>
                <w:tcW w:w="1702" w:type="dxa"/>
                <w:vAlign w:val="center"/>
              </w:tcPr>
              <w:p w14:paraId="6FCECF72">
                <w:pPr>
                  <w:rPr>
                    <w:rFonts w:ascii="Calibri" w:hAnsi="Calibri"/>
                    <w:sz w:val="18"/>
                    <w:szCs w:val="18"/>
                  </w:rPr>
                </w:pPr>
                <w:r>
                  <w:rPr>
                    <w:rFonts w:hint="eastAsia" w:ascii="Calibri" w:hAnsi="Calibri"/>
                    <w:sz w:val="18"/>
                    <w:szCs w:val="18"/>
                  </w:rPr>
                  <w:t>2．其他权益工具持有者投入资本</w:t>
                </w:r>
              </w:p>
            </w:tc>
          </w:sdtContent>
        </w:sdt>
        <w:tc>
          <w:tcPr>
            <w:tcW w:w="1559" w:type="dxa"/>
            <w:vAlign w:val="center"/>
          </w:tcPr>
          <w:p w14:paraId="355AE256">
            <w:pPr>
              <w:jc w:val="right"/>
              <w:rPr>
                <w:rFonts w:ascii="Calibri" w:hAnsi="Calibri"/>
                <w:sz w:val="18"/>
                <w:szCs w:val="18"/>
              </w:rPr>
            </w:pPr>
          </w:p>
        </w:tc>
        <w:tc>
          <w:tcPr>
            <w:tcW w:w="284" w:type="dxa"/>
            <w:vAlign w:val="center"/>
          </w:tcPr>
          <w:p w14:paraId="632FD2C5">
            <w:pPr>
              <w:jc w:val="right"/>
              <w:rPr>
                <w:rFonts w:ascii="Calibri" w:hAnsi="Calibri"/>
                <w:sz w:val="18"/>
                <w:szCs w:val="18"/>
              </w:rPr>
            </w:pPr>
          </w:p>
        </w:tc>
        <w:tc>
          <w:tcPr>
            <w:tcW w:w="283" w:type="dxa"/>
            <w:vAlign w:val="center"/>
          </w:tcPr>
          <w:p w14:paraId="44AF26EF">
            <w:pPr>
              <w:jc w:val="right"/>
              <w:rPr>
                <w:rFonts w:ascii="Calibri" w:hAnsi="Calibri"/>
                <w:sz w:val="18"/>
                <w:szCs w:val="18"/>
              </w:rPr>
            </w:pPr>
          </w:p>
        </w:tc>
        <w:tc>
          <w:tcPr>
            <w:tcW w:w="284" w:type="dxa"/>
            <w:vAlign w:val="center"/>
          </w:tcPr>
          <w:p w14:paraId="2C40DEDF">
            <w:pPr>
              <w:jc w:val="right"/>
              <w:rPr>
                <w:rFonts w:ascii="Calibri" w:hAnsi="Calibri"/>
                <w:sz w:val="18"/>
                <w:szCs w:val="18"/>
              </w:rPr>
            </w:pPr>
          </w:p>
        </w:tc>
        <w:tc>
          <w:tcPr>
            <w:tcW w:w="1417" w:type="dxa"/>
            <w:vAlign w:val="center"/>
          </w:tcPr>
          <w:p w14:paraId="35229008">
            <w:pPr>
              <w:jc w:val="right"/>
              <w:rPr>
                <w:rFonts w:ascii="Calibri" w:hAnsi="Calibri"/>
                <w:sz w:val="18"/>
                <w:szCs w:val="18"/>
              </w:rPr>
            </w:pPr>
          </w:p>
        </w:tc>
        <w:tc>
          <w:tcPr>
            <w:tcW w:w="1418" w:type="dxa"/>
            <w:vAlign w:val="center"/>
          </w:tcPr>
          <w:p w14:paraId="0E9BFD73">
            <w:pPr>
              <w:jc w:val="right"/>
              <w:rPr>
                <w:rFonts w:ascii="Calibri" w:hAnsi="Calibri"/>
                <w:sz w:val="18"/>
                <w:szCs w:val="18"/>
              </w:rPr>
            </w:pPr>
          </w:p>
        </w:tc>
        <w:tc>
          <w:tcPr>
            <w:tcW w:w="1276" w:type="dxa"/>
            <w:vAlign w:val="center"/>
          </w:tcPr>
          <w:p w14:paraId="193A0635">
            <w:pPr>
              <w:jc w:val="right"/>
              <w:rPr>
                <w:rFonts w:ascii="Calibri" w:hAnsi="Calibri"/>
                <w:sz w:val="18"/>
                <w:szCs w:val="18"/>
              </w:rPr>
            </w:pPr>
          </w:p>
        </w:tc>
        <w:tc>
          <w:tcPr>
            <w:tcW w:w="1559" w:type="dxa"/>
            <w:vAlign w:val="center"/>
          </w:tcPr>
          <w:p w14:paraId="127744BB">
            <w:pPr>
              <w:jc w:val="right"/>
              <w:rPr>
                <w:rFonts w:ascii="Calibri" w:hAnsi="Calibri"/>
                <w:sz w:val="18"/>
                <w:szCs w:val="18"/>
              </w:rPr>
            </w:pPr>
          </w:p>
        </w:tc>
        <w:tc>
          <w:tcPr>
            <w:tcW w:w="1559" w:type="dxa"/>
            <w:vAlign w:val="center"/>
          </w:tcPr>
          <w:p w14:paraId="5ED3F58D">
            <w:pPr>
              <w:jc w:val="right"/>
              <w:rPr>
                <w:rFonts w:ascii="Calibri" w:hAnsi="Calibri"/>
                <w:sz w:val="18"/>
                <w:szCs w:val="18"/>
              </w:rPr>
            </w:pPr>
          </w:p>
        </w:tc>
        <w:tc>
          <w:tcPr>
            <w:tcW w:w="1559" w:type="dxa"/>
            <w:vAlign w:val="center"/>
          </w:tcPr>
          <w:p w14:paraId="2DE69EE8">
            <w:pPr>
              <w:jc w:val="right"/>
              <w:rPr>
                <w:rFonts w:ascii="Calibri" w:hAnsi="Calibri"/>
                <w:sz w:val="18"/>
                <w:szCs w:val="18"/>
              </w:rPr>
            </w:pPr>
          </w:p>
        </w:tc>
        <w:tc>
          <w:tcPr>
            <w:tcW w:w="1418" w:type="dxa"/>
            <w:vAlign w:val="center"/>
          </w:tcPr>
          <w:p w14:paraId="13356634">
            <w:pPr>
              <w:jc w:val="right"/>
              <w:rPr>
                <w:rFonts w:ascii="Calibri" w:hAnsi="Calibri"/>
                <w:sz w:val="18"/>
                <w:szCs w:val="18"/>
              </w:rPr>
            </w:pPr>
          </w:p>
        </w:tc>
        <w:tc>
          <w:tcPr>
            <w:tcW w:w="1559" w:type="dxa"/>
            <w:vAlign w:val="center"/>
          </w:tcPr>
          <w:p w14:paraId="37D2B16F">
            <w:pPr>
              <w:jc w:val="right"/>
              <w:rPr>
                <w:rFonts w:ascii="Calibri" w:hAnsi="Calibri"/>
                <w:sz w:val="18"/>
                <w:szCs w:val="18"/>
              </w:rPr>
            </w:pPr>
          </w:p>
        </w:tc>
      </w:tr>
      <w:tr w14:paraId="1F68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f20c7d29dbe4ecc8acea7b1a1149bd3"/>
            <w:id w:val="7570289"/>
          </w:sdtPr>
          <w:sdtContent>
            <w:tc>
              <w:tcPr>
                <w:tcW w:w="1702" w:type="dxa"/>
                <w:vAlign w:val="center"/>
              </w:tcPr>
              <w:p w14:paraId="11196B5D">
                <w:pPr>
                  <w:rPr>
                    <w:rFonts w:ascii="Calibri" w:hAnsi="Calibri"/>
                    <w:sz w:val="18"/>
                    <w:szCs w:val="18"/>
                  </w:rPr>
                </w:pPr>
                <w:r>
                  <w:rPr>
                    <w:rFonts w:hint="eastAsia" w:ascii="Calibri" w:hAnsi="Calibri"/>
                    <w:sz w:val="18"/>
                    <w:szCs w:val="18"/>
                  </w:rPr>
                  <w:t>3</w:t>
                </w:r>
                <w:r>
                  <w:rPr>
                    <w:rFonts w:ascii="Calibri" w:hAnsi="Calibri"/>
                    <w:sz w:val="18"/>
                    <w:szCs w:val="18"/>
                  </w:rPr>
                  <w:t>．股份支付计入所有者权益的金额</w:t>
                </w:r>
              </w:p>
            </w:tc>
          </w:sdtContent>
        </w:sdt>
        <w:tc>
          <w:tcPr>
            <w:tcW w:w="1559" w:type="dxa"/>
            <w:vAlign w:val="center"/>
          </w:tcPr>
          <w:p w14:paraId="427424C0">
            <w:pPr>
              <w:jc w:val="right"/>
              <w:rPr>
                <w:rFonts w:ascii="Calibri" w:hAnsi="Calibri"/>
                <w:sz w:val="18"/>
                <w:szCs w:val="18"/>
              </w:rPr>
            </w:pPr>
          </w:p>
        </w:tc>
        <w:tc>
          <w:tcPr>
            <w:tcW w:w="284" w:type="dxa"/>
            <w:vAlign w:val="center"/>
          </w:tcPr>
          <w:p w14:paraId="5A666F97">
            <w:pPr>
              <w:jc w:val="right"/>
              <w:rPr>
                <w:rFonts w:ascii="Calibri" w:hAnsi="Calibri"/>
                <w:sz w:val="18"/>
                <w:szCs w:val="18"/>
              </w:rPr>
            </w:pPr>
          </w:p>
        </w:tc>
        <w:tc>
          <w:tcPr>
            <w:tcW w:w="283" w:type="dxa"/>
            <w:vAlign w:val="center"/>
          </w:tcPr>
          <w:p w14:paraId="295BC4E1">
            <w:pPr>
              <w:jc w:val="right"/>
              <w:rPr>
                <w:rFonts w:ascii="Calibri" w:hAnsi="Calibri"/>
                <w:sz w:val="18"/>
                <w:szCs w:val="18"/>
              </w:rPr>
            </w:pPr>
          </w:p>
        </w:tc>
        <w:tc>
          <w:tcPr>
            <w:tcW w:w="284" w:type="dxa"/>
            <w:vAlign w:val="center"/>
          </w:tcPr>
          <w:p w14:paraId="7396F8FC">
            <w:pPr>
              <w:jc w:val="right"/>
              <w:rPr>
                <w:rFonts w:ascii="Calibri" w:hAnsi="Calibri"/>
                <w:sz w:val="18"/>
                <w:szCs w:val="18"/>
              </w:rPr>
            </w:pPr>
          </w:p>
        </w:tc>
        <w:tc>
          <w:tcPr>
            <w:tcW w:w="1417" w:type="dxa"/>
            <w:vAlign w:val="center"/>
          </w:tcPr>
          <w:p w14:paraId="3881FEF3">
            <w:pPr>
              <w:jc w:val="right"/>
              <w:rPr>
                <w:rFonts w:ascii="Calibri" w:hAnsi="Calibri"/>
                <w:sz w:val="18"/>
                <w:szCs w:val="18"/>
              </w:rPr>
            </w:pPr>
            <w:r>
              <w:rPr>
                <w:rFonts w:ascii="Calibri" w:hAnsi="Calibri"/>
                <w:sz w:val="18"/>
                <w:szCs w:val="18"/>
              </w:rPr>
              <w:t>5,574,000.00</w:t>
            </w:r>
          </w:p>
        </w:tc>
        <w:tc>
          <w:tcPr>
            <w:tcW w:w="1418" w:type="dxa"/>
            <w:vAlign w:val="center"/>
          </w:tcPr>
          <w:p w14:paraId="2E95DC41">
            <w:pPr>
              <w:jc w:val="right"/>
              <w:rPr>
                <w:rFonts w:ascii="Calibri" w:hAnsi="Calibri"/>
                <w:sz w:val="18"/>
                <w:szCs w:val="18"/>
              </w:rPr>
            </w:pPr>
            <w:r>
              <w:rPr>
                <w:rFonts w:ascii="Calibri" w:hAnsi="Calibri"/>
                <w:sz w:val="18"/>
                <w:szCs w:val="18"/>
              </w:rPr>
              <w:t>67,818,400.00</w:t>
            </w:r>
          </w:p>
        </w:tc>
        <w:tc>
          <w:tcPr>
            <w:tcW w:w="1276" w:type="dxa"/>
            <w:vAlign w:val="center"/>
          </w:tcPr>
          <w:p w14:paraId="1067549A">
            <w:pPr>
              <w:jc w:val="right"/>
              <w:rPr>
                <w:rFonts w:ascii="Calibri" w:hAnsi="Calibri"/>
                <w:sz w:val="18"/>
                <w:szCs w:val="18"/>
              </w:rPr>
            </w:pPr>
          </w:p>
        </w:tc>
        <w:tc>
          <w:tcPr>
            <w:tcW w:w="1559" w:type="dxa"/>
            <w:vAlign w:val="center"/>
          </w:tcPr>
          <w:p w14:paraId="7B603678">
            <w:pPr>
              <w:jc w:val="right"/>
              <w:rPr>
                <w:rFonts w:ascii="Calibri" w:hAnsi="Calibri"/>
                <w:sz w:val="18"/>
                <w:szCs w:val="18"/>
              </w:rPr>
            </w:pPr>
          </w:p>
        </w:tc>
        <w:tc>
          <w:tcPr>
            <w:tcW w:w="1559" w:type="dxa"/>
            <w:vAlign w:val="center"/>
          </w:tcPr>
          <w:p w14:paraId="37F29B26">
            <w:pPr>
              <w:jc w:val="right"/>
              <w:rPr>
                <w:rFonts w:ascii="Calibri" w:hAnsi="Calibri"/>
                <w:sz w:val="18"/>
                <w:szCs w:val="18"/>
              </w:rPr>
            </w:pPr>
          </w:p>
        </w:tc>
        <w:tc>
          <w:tcPr>
            <w:tcW w:w="1559" w:type="dxa"/>
            <w:vAlign w:val="center"/>
          </w:tcPr>
          <w:p w14:paraId="09C01E51">
            <w:pPr>
              <w:jc w:val="right"/>
              <w:rPr>
                <w:rFonts w:ascii="Calibri" w:hAnsi="Calibri"/>
                <w:sz w:val="18"/>
                <w:szCs w:val="18"/>
              </w:rPr>
            </w:pPr>
            <w:r>
              <w:rPr>
                <w:rFonts w:ascii="Calibri" w:hAnsi="Calibri"/>
                <w:sz w:val="18"/>
                <w:szCs w:val="18"/>
              </w:rPr>
              <w:t>-62,244,400.00</w:t>
            </w:r>
          </w:p>
        </w:tc>
        <w:tc>
          <w:tcPr>
            <w:tcW w:w="1418" w:type="dxa"/>
            <w:vAlign w:val="center"/>
          </w:tcPr>
          <w:p w14:paraId="75F5281D">
            <w:pPr>
              <w:jc w:val="right"/>
              <w:rPr>
                <w:rFonts w:ascii="Calibri" w:hAnsi="Calibri"/>
                <w:sz w:val="18"/>
                <w:szCs w:val="18"/>
              </w:rPr>
            </w:pPr>
          </w:p>
        </w:tc>
        <w:tc>
          <w:tcPr>
            <w:tcW w:w="1559" w:type="dxa"/>
            <w:vAlign w:val="center"/>
          </w:tcPr>
          <w:p w14:paraId="4821BA87">
            <w:pPr>
              <w:jc w:val="right"/>
              <w:rPr>
                <w:rFonts w:ascii="Calibri" w:hAnsi="Calibri"/>
                <w:sz w:val="18"/>
                <w:szCs w:val="18"/>
              </w:rPr>
            </w:pPr>
            <w:r>
              <w:rPr>
                <w:rFonts w:ascii="Calibri" w:hAnsi="Calibri"/>
                <w:sz w:val="18"/>
                <w:szCs w:val="18"/>
              </w:rPr>
              <w:t>-62,244,400.00</w:t>
            </w:r>
          </w:p>
        </w:tc>
      </w:tr>
      <w:tr w14:paraId="7974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ce563048a9409f9366506e205c4124"/>
            <w:id w:val="-358047511"/>
          </w:sdtPr>
          <w:sdtContent>
            <w:tc>
              <w:tcPr>
                <w:tcW w:w="1702" w:type="dxa"/>
                <w:vAlign w:val="center"/>
              </w:tcPr>
              <w:p w14:paraId="3A28EC3C">
                <w:pPr>
                  <w:rPr>
                    <w:rFonts w:ascii="Calibri" w:hAnsi="Calibri"/>
                    <w:sz w:val="18"/>
                    <w:szCs w:val="18"/>
                  </w:rPr>
                </w:pPr>
                <w:r>
                  <w:rPr>
                    <w:rFonts w:hint="eastAsia" w:ascii="Calibri" w:hAnsi="Calibri"/>
                    <w:sz w:val="18"/>
                    <w:szCs w:val="18"/>
                  </w:rPr>
                  <w:t>4</w:t>
                </w:r>
                <w:r>
                  <w:rPr>
                    <w:rFonts w:ascii="Calibri" w:hAnsi="Calibri"/>
                    <w:sz w:val="18"/>
                    <w:szCs w:val="18"/>
                  </w:rPr>
                  <w:t>．其他</w:t>
                </w:r>
              </w:p>
            </w:tc>
          </w:sdtContent>
        </w:sdt>
        <w:tc>
          <w:tcPr>
            <w:tcW w:w="1559" w:type="dxa"/>
            <w:vAlign w:val="center"/>
          </w:tcPr>
          <w:p w14:paraId="3F839D47">
            <w:pPr>
              <w:jc w:val="right"/>
              <w:rPr>
                <w:rFonts w:ascii="Calibri" w:hAnsi="Calibri"/>
                <w:sz w:val="18"/>
                <w:szCs w:val="18"/>
              </w:rPr>
            </w:pPr>
            <w:r>
              <w:rPr>
                <w:rFonts w:ascii="Calibri" w:hAnsi="Calibri"/>
                <w:sz w:val="18"/>
                <w:szCs w:val="18"/>
              </w:rPr>
              <w:t>-23,191,245.00</w:t>
            </w:r>
          </w:p>
        </w:tc>
        <w:tc>
          <w:tcPr>
            <w:tcW w:w="284" w:type="dxa"/>
            <w:vAlign w:val="center"/>
          </w:tcPr>
          <w:p w14:paraId="3B4E5009">
            <w:pPr>
              <w:jc w:val="right"/>
              <w:rPr>
                <w:rFonts w:ascii="Calibri" w:hAnsi="Calibri"/>
                <w:sz w:val="18"/>
                <w:szCs w:val="18"/>
              </w:rPr>
            </w:pPr>
          </w:p>
        </w:tc>
        <w:tc>
          <w:tcPr>
            <w:tcW w:w="283" w:type="dxa"/>
            <w:vAlign w:val="center"/>
          </w:tcPr>
          <w:p w14:paraId="3B55F334">
            <w:pPr>
              <w:jc w:val="right"/>
              <w:rPr>
                <w:rFonts w:ascii="Calibri" w:hAnsi="Calibri"/>
                <w:sz w:val="18"/>
                <w:szCs w:val="18"/>
              </w:rPr>
            </w:pPr>
          </w:p>
        </w:tc>
        <w:tc>
          <w:tcPr>
            <w:tcW w:w="284" w:type="dxa"/>
            <w:vAlign w:val="center"/>
          </w:tcPr>
          <w:p w14:paraId="3A9F5FA1">
            <w:pPr>
              <w:jc w:val="right"/>
              <w:rPr>
                <w:rFonts w:ascii="Calibri" w:hAnsi="Calibri"/>
                <w:sz w:val="18"/>
                <w:szCs w:val="18"/>
              </w:rPr>
            </w:pPr>
          </w:p>
        </w:tc>
        <w:tc>
          <w:tcPr>
            <w:tcW w:w="1417" w:type="dxa"/>
            <w:vAlign w:val="center"/>
          </w:tcPr>
          <w:p w14:paraId="04BD2CF1">
            <w:pPr>
              <w:jc w:val="right"/>
              <w:rPr>
                <w:rFonts w:ascii="Calibri" w:hAnsi="Calibri"/>
                <w:sz w:val="18"/>
                <w:szCs w:val="18"/>
              </w:rPr>
            </w:pPr>
            <w:r>
              <w:rPr>
                <w:rFonts w:ascii="Calibri" w:hAnsi="Calibri"/>
                <w:sz w:val="18"/>
                <w:szCs w:val="18"/>
              </w:rPr>
              <w:t>-216,574,762.99</w:t>
            </w:r>
          </w:p>
        </w:tc>
        <w:tc>
          <w:tcPr>
            <w:tcW w:w="1418" w:type="dxa"/>
            <w:vAlign w:val="center"/>
          </w:tcPr>
          <w:p w14:paraId="3CCC13BB">
            <w:pPr>
              <w:jc w:val="right"/>
              <w:rPr>
                <w:rFonts w:ascii="Calibri" w:hAnsi="Calibri"/>
                <w:sz w:val="18"/>
                <w:szCs w:val="18"/>
              </w:rPr>
            </w:pPr>
            <w:r>
              <w:rPr>
                <w:rFonts w:ascii="Calibri" w:hAnsi="Calibri"/>
                <w:sz w:val="18"/>
                <w:szCs w:val="18"/>
              </w:rPr>
              <w:t>-279,987,778.93</w:t>
            </w:r>
          </w:p>
        </w:tc>
        <w:tc>
          <w:tcPr>
            <w:tcW w:w="1276" w:type="dxa"/>
            <w:vAlign w:val="center"/>
          </w:tcPr>
          <w:p w14:paraId="55EB7AFD">
            <w:pPr>
              <w:jc w:val="right"/>
              <w:rPr>
                <w:rFonts w:ascii="Calibri" w:hAnsi="Calibri"/>
                <w:sz w:val="18"/>
                <w:szCs w:val="18"/>
              </w:rPr>
            </w:pPr>
          </w:p>
        </w:tc>
        <w:tc>
          <w:tcPr>
            <w:tcW w:w="1559" w:type="dxa"/>
            <w:vAlign w:val="center"/>
          </w:tcPr>
          <w:p w14:paraId="667451FB">
            <w:pPr>
              <w:jc w:val="right"/>
              <w:rPr>
                <w:rFonts w:ascii="Calibri" w:hAnsi="Calibri"/>
                <w:sz w:val="18"/>
                <w:szCs w:val="18"/>
              </w:rPr>
            </w:pPr>
          </w:p>
        </w:tc>
        <w:tc>
          <w:tcPr>
            <w:tcW w:w="1559" w:type="dxa"/>
            <w:vAlign w:val="center"/>
          </w:tcPr>
          <w:p w14:paraId="2DE4EF81">
            <w:pPr>
              <w:jc w:val="right"/>
              <w:rPr>
                <w:rFonts w:ascii="Calibri" w:hAnsi="Calibri"/>
                <w:sz w:val="18"/>
                <w:szCs w:val="18"/>
              </w:rPr>
            </w:pPr>
          </w:p>
        </w:tc>
        <w:tc>
          <w:tcPr>
            <w:tcW w:w="1559" w:type="dxa"/>
            <w:vAlign w:val="center"/>
          </w:tcPr>
          <w:p w14:paraId="0080DF66">
            <w:pPr>
              <w:jc w:val="right"/>
              <w:rPr>
                <w:rFonts w:ascii="Calibri" w:hAnsi="Calibri"/>
                <w:sz w:val="18"/>
                <w:szCs w:val="18"/>
              </w:rPr>
            </w:pPr>
            <w:r>
              <w:rPr>
                <w:rFonts w:ascii="Calibri" w:hAnsi="Calibri"/>
                <w:sz w:val="18"/>
                <w:szCs w:val="18"/>
              </w:rPr>
              <w:t>40,221,770.94</w:t>
            </w:r>
          </w:p>
        </w:tc>
        <w:tc>
          <w:tcPr>
            <w:tcW w:w="1418" w:type="dxa"/>
            <w:vAlign w:val="center"/>
          </w:tcPr>
          <w:p w14:paraId="62AA6EBB">
            <w:pPr>
              <w:jc w:val="right"/>
              <w:rPr>
                <w:rFonts w:ascii="Calibri" w:hAnsi="Calibri"/>
                <w:sz w:val="18"/>
                <w:szCs w:val="18"/>
              </w:rPr>
            </w:pPr>
          </w:p>
        </w:tc>
        <w:tc>
          <w:tcPr>
            <w:tcW w:w="1559" w:type="dxa"/>
            <w:vAlign w:val="center"/>
          </w:tcPr>
          <w:p w14:paraId="6469761D">
            <w:pPr>
              <w:jc w:val="right"/>
              <w:rPr>
                <w:rFonts w:ascii="Calibri" w:hAnsi="Calibri"/>
                <w:sz w:val="18"/>
                <w:szCs w:val="18"/>
              </w:rPr>
            </w:pPr>
            <w:r>
              <w:rPr>
                <w:rFonts w:ascii="Calibri" w:hAnsi="Calibri"/>
                <w:sz w:val="18"/>
                <w:szCs w:val="18"/>
              </w:rPr>
              <w:t>40,221,770.94</w:t>
            </w:r>
          </w:p>
        </w:tc>
      </w:tr>
      <w:tr w14:paraId="5505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5ace973797c4072b589e43841b34142"/>
            <w:id w:val="2002928066"/>
          </w:sdtPr>
          <w:sdtContent>
            <w:tc>
              <w:tcPr>
                <w:tcW w:w="1702" w:type="dxa"/>
                <w:vAlign w:val="center"/>
              </w:tcPr>
              <w:p w14:paraId="79F068E0">
                <w:pPr>
                  <w:rPr>
                    <w:rFonts w:ascii="Calibri" w:hAnsi="Calibri"/>
                    <w:sz w:val="18"/>
                    <w:szCs w:val="18"/>
                  </w:rPr>
                </w:pPr>
                <w:r>
                  <w:rPr>
                    <w:rFonts w:ascii="Calibri" w:hAnsi="Calibri"/>
                    <w:sz w:val="18"/>
                    <w:szCs w:val="18"/>
                  </w:rPr>
                  <w:t>（</w:t>
                </w:r>
                <w:r>
                  <w:rPr>
                    <w:rFonts w:hint="eastAsia" w:ascii="Calibri" w:hAnsi="Calibri"/>
                    <w:sz w:val="18"/>
                    <w:szCs w:val="18"/>
                  </w:rPr>
                  <w:t>三</w:t>
                </w:r>
                <w:r>
                  <w:rPr>
                    <w:rFonts w:ascii="Calibri" w:hAnsi="Calibri"/>
                    <w:sz w:val="18"/>
                    <w:szCs w:val="18"/>
                  </w:rPr>
                  <w:t>）利润分配</w:t>
                </w:r>
              </w:p>
            </w:tc>
          </w:sdtContent>
        </w:sdt>
        <w:tc>
          <w:tcPr>
            <w:tcW w:w="1559" w:type="dxa"/>
            <w:vAlign w:val="center"/>
          </w:tcPr>
          <w:p w14:paraId="19EF89A6">
            <w:pPr>
              <w:jc w:val="right"/>
              <w:rPr>
                <w:rFonts w:ascii="Calibri" w:hAnsi="Calibri"/>
                <w:sz w:val="18"/>
                <w:szCs w:val="18"/>
              </w:rPr>
            </w:pPr>
          </w:p>
        </w:tc>
        <w:tc>
          <w:tcPr>
            <w:tcW w:w="284" w:type="dxa"/>
            <w:vAlign w:val="center"/>
          </w:tcPr>
          <w:p w14:paraId="2EFD4DFB">
            <w:pPr>
              <w:jc w:val="right"/>
              <w:rPr>
                <w:rFonts w:ascii="Calibri" w:hAnsi="Calibri"/>
                <w:sz w:val="18"/>
                <w:szCs w:val="18"/>
              </w:rPr>
            </w:pPr>
          </w:p>
        </w:tc>
        <w:tc>
          <w:tcPr>
            <w:tcW w:w="283" w:type="dxa"/>
            <w:vAlign w:val="center"/>
          </w:tcPr>
          <w:p w14:paraId="1E383F88">
            <w:pPr>
              <w:jc w:val="right"/>
              <w:rPr>
                <w:rFonts w:ascii="Calibri" w:hAnsi="Calibri"/>
                <w:sz w:val="18"/>
                <w:szCs w:val="18"/>
              </w:rPr>
            </w:pPr>
          </w:p>
        </w:tc>
        <w:tc>
          <w:tcPr>
            <w:tcW w:w="284" w:type="dxa"/>
            <w:vAlign w:val="center"/>
          </w:tcPr>
          <w:p w14:paraId="7A67E77C">
            <w:pPr>
              <w:jc w:val="right"/>
              <w:rPr>
                <w:rFonts w:ascii="Calibri" w:hAnsi="Calibri"/>
                <w:sz w:val="18"/>
                <w:szCs w:val="18"/>
              </w:rPr>
            </w:pPr>
          </w:p>
        </w:tc>
        <w:tc>
          <w:tcPr>
            <w:tcW w:w="1417" w:type="dxa"/>
            <w:vAlign w:val="center"/>
          </w:tcPr>
          <w:p w14:paraId="30315B1E">
            <w:pPr>
              <w:jc w:val="right"/>
              <w:rPr>
                <w:rFonts w:ascii="Calibri" w:hAnsi="Calibri"/>
                <w:sz w:val="18"/>
                <w:szCs w:val="18"/>
              </w:rPr>
            </w:pPr>
          </w:p>
        </w:tc>
        <w:tc>
          <w:tcPr>
            <w:tcW w:w="1418" w:type="dxa"/>
            <w:vAlign w:val="center"/>
          </w:tcPr>
          <w:p w14:paraId="7D012C72">
            <w:pPr>
              <w:jc w:val="right"/>
              <w:rPr>
                <w:rFonts w:ascii="Calibri" w:hAnsi="Calibri"/>
                <w:sz w:val="18"/>
                <w:szCs w:val="18"/>
              </w:rPr>
            </w:pPr>
          </w:p>
        </w:tc>
        <w:tc>
          <w:tcPr>
            <w:tcW w:w="1276" w:type="dxa"/>
            <w:vAlign w:val="center"/>
          </w:tcPr>
          <w:p w14:paraId="175DA145">
            <w:pPr>
              <w:jc w:val="right"/>
              <w:rPr>
                <w:rFonts w:ascii="Calibri" w:hAnsi="Calibri"/>
                <w:sz w:val="18"/>
                <w:szCs w:val="18"/>
              </w:rPr>
            </w:pPr>
          </w:p>
        </w:tc>
        <w:tc>
          <w:tcPr>
            <w:tcW w:w="1559" w:type="dxa"/>
            <w:vAlign w:val="center"/>
          </w:tcPr>
          <w:p w14:paraId="490D8DCC">
            <w:pPr>
              <w:jc w:val="right"/>
              <w:rPr>
                <w:rFonts w:ascii="Calibri" w:hAnsi="Calibri"/>
                <w:sz w:val="18"/>
                <w:szCs w:val="18"/>
              </w:rPr>
            </w:pPr>
          </w:p>
        </w:tc>
        <w:tc>
          <w:tcPr>
            <w:tcW w:w="1559" w:type="dxa"/>
            <w:vAlign w:val="center"/>
          </w:tcPr>
          <w:p w14:paraId="23719182">
            <w:pPr>
              <w:jc w:val="right"/>
              <w:rPr>
                <w:rFonts w:ascii="Calibri" w:hAnsi="Calibri"/>
                <w:sz w:val="18"/>
                <w:szCs w:val="18"/>
              </w:rPr>
            </w:pPr>
            <w:r>
              <w:rPr>
                <w:rFonts w:ascii="Calibri" w:hAnsi="Calibri"/>
                <w:sz w:val="18"/>
                <w:szCs w:val="18"/>
              </w:rPr>
              <w:t>-485,866,253.00</w:t>
            </w:r>
          </w:p>
        </w:tc>
        <w:tc>
          <w:tcPr>
            <w:tcW w:w="1559" w:type="dxa"/>
            <w:vAlign w:val="center"/>
          </w:tcPr>
          <w:p w14:paraId="49011088">
            <w:pPr>
              <w:jc w:val="right"/>
              <w:rPr>
                <w:rFonts w:ascii="Calibri" w:hAnsi="Calibri"/>
                <w:sz w:val="18"/>
                <w:szCs w:val="18"/>
              </w:rPr>
            </w:pPr>
            <w:r>
              <w:rPr>
                <w:rFonts w:ascii="Calibri" w:hAnsi="Calibri"/>
                <w:sz w:val="18"/>
                <w:szCs w:val="18"/>
              </w:rPr>
              <w:t>-485,866,253.00</w:t>
            </w:r>
          </w:p>
        </w:tc>
        <w:tc>
          <w:tcPr>
            <w:tcW w:w="1418" w:type="dxa"/>
            <w:vAlign w:val="center"/>
          </w:tcPr>
          <w:p w14:paraId="1558DB9C">
            <w:pPr>
              <w:jc w:val="right"/>
              <w:rPr>
                <w:rFonts w:ascii="Calibri" w:hAnsi="Calibri"/>
                <w:sz w:val="18"/>
                <w:szCs w:val="18"/>
              </w:rPr>
            </w:pPr>
          </w:p>
        </w:tc>
        <w:tc>
          <w:tcPr>
            <w:tcW w:w="1559" w:type="dxa"/>
            <w:vAlign w:val="center"/>
          </w:tcPr>
          <w:p w14:paraId="08681E92">
            <w:pPr>
              <w:jc w:val="right"/>
              <w:rPr>
                <w:rFonts w:ascii="Calibri" w:hAnsi="Calibri"/>
                <w:sz w:val="18"/>
                <w:szCs w:val="18"/>
              </w:rPr>
            </w:pPr>
            <w:r>
              <w:rPr>
                <w:rFonts w:ascii="Calibri" w:hAnsi="Calibri"/>
                <w:sz w:val="18"/>
                <w:szCs w:val="18"/>
              </w:rPr>
              <w:t>-485,866,253.00</w:t>
            </w:r>
          </w:p>
        </w:tc>
      </w:tr>
      <w:tr w14:paraId="6967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6984731c08d48a08692b6a589fbe555"/>
            <w:id w:val="356016196"/>
          </w:sdtPr>
          <w:sdtContent>
            <w:tc>
              <w:tcPr>
                <w:tcW w:w="1702" w:type="dxa"/>
                <w:vAlign w:val="center"/>
              </w:tcPr>
              <w:p w14:paraId="1B9FF1FA">
                <w:pPr>
                  <w:rPr>
                    <w:rFonts w:ascii="Calibri" w:hAnsi="Calibri"/>
                    <w:sz w:val="18"/>
                    <w:szCs w:val="18"/>
                  </w:rPr>
                </w:pPr>
                <w:r>
                  <w:rPr>
                    <w:rFonts w:ascii="Calibri" w:hAnsi="Calibri"/>
                    <w:sz w:val="18"/>
                    <w:szCs w:val="18"/>
                  </w:rPr>
                  <w:t>1．提取盈余公积</w:t>
                </w:r>
              </w:p>
            </w:tc>
          </w:sdtContent>
        </w:sdt>
        <w:tc>
          <w:tcPr>
            <w:tcW w:w="1559" w:type="dxa"/>
            <w:vAlign w:val="center"/>
          </w:tcPr>
          <w:p w14:paraId="2A291597">
            <w:pPr>
              <w:jc w:val="right"/>
              <w:rPr>
                <w:rFonts w:ascii="Calibri" w:hAnsi="Calibri"/>
                <w:sz w:val="18"/>
                <w:szCs w:val="18"/>
              </w:rPr>
            </w:pPr>
          </w:p>
        </w:tc>
        <w:tc>
          <w:tcPr>
            <w:tcW w:w="284" w:type="dxa"/>
            <w:vAlign w:val="center"/>
          </w:tcPr>
          <w:p w14:paraId="4379D566">
            <w:pPr>
              <w:jc w:val="right"/>
              <w:rPr>
                <w:rFonts w:ascii="Calibri" w:hAnsi="Calibri"/>
                <w:sz w:val="18"/>
                <w:szCs w:val="18"/>
              </w:rPr>
            </w:pPr>
          </w:p>
        </w:tc>
        <w:tc>
          <w:tcPr>
            <w:tcW w:w="283" w:type="dxa"/>
            <w:vAlign w:val="center"/>
          </w:tcPr>
          <w:p w14:paraId="559EDF6E">
            <w:pPr>
              <w:jc w:val="right"/>
              <w:rPr>
                <w:rFonts w:ascii="Calibri" w:hAnsi="Calibri"/>
                <w:sz w:val="18"/>
                <w:szCs w:val="18"/>
              </w:rPr>
            </w:pPr>
          </w:p>
        </w:tc>
        <w:tc>
          <w:tcPr>
            <w:tcW w:w="284" w:type="dxa"/>
            <w:vAlign w:val="center"/>
          </w:tcPr>
          <w:p w14:paraId="775E36DC">
            <w:pPr>
              <w:jc w:val="right"/>
              <w:rPr>
                <w:rFonts w:ascii="Calibri" w:hAnsi="Calibri"/>
                <w:sz w:val="18"/>
                <w:szCs w:val="18"/>
              </w:rPr>
            </w:pPr>
          </w:p>
        </w:tc>
        <w:tc>
          <w:tcPr>
            <w:tcW w:w="1417" w:type="dxa"/>
            <w:vAlign w:val="center"/>
          </w:tcPr>
          <w:p w14:paraId="1F679914">
            <w:pPr>
              <w:jc w:val="right"/>
              <w:rPr>
                <w:rFonts w:ascii="Calibri" w:hAnsi="Calibri"/>
                <w:sz w:val="18"/>
                <w:szCs w:val="18"/>
              </w:rPr>
            </w:pPr>
          </w:p>
        </w:tc>
        <w:tc>
          <w:tcPr>
            <w:tcW w:w="1418" w:type="dxa"/>
            <w:vAlign w:val="center"/>
          </w:tcPr>
          <w:p w14:paraId="27CB4827">
            <w:pPr>
              <w:jc w:val="right"/>
              <w:rPr>
                <w:rFonts w:ascii="Calibri" w:hAnsi="Calibri"/>
                <w:sz w:val="18"/>
                <w:szCs w:val="18"/>
              </w:rPr>
            </w:pPr>
          </w:p>
        </w:tc>
        <w:tc>
          <w:tcPr>
            <w:tcW w:w="1276" w:type="dxa"/>
            <w:vAlign w:val="center"/>
          </w:tcPr>
          <w:p w14:paraId="73C5A41D">
            <w:pPr>
              <w:jc w:val="right"/>
              <w:rPr>
                <w:rFonts w:ascii="Calibri" w:hAnsi="Calibri"/>
                <w:sz w:val="18"/>
                <w:szCs w:val="18"/>
              </w:rPr>
            </w:pPr>
          </w:p>
        </w:tc>
        <w:tc>
          <w:tcPr>
            <w:tcW w:w="1559" w:type="dxa"/>
            <w:vAlign w:val="center"/>
          </w:tcPr>
          <w:p w14:paraId="330692DF">
            <w:pPr>
              <w:jc w:val="right"/>
              <w:rPr>
                <w:rFonts w:ascii="Calibri" w:hAnsi="Calibri"/>
                <w:sz w:val="18"/>
                <w:szCs w:val="18"/>
              </w:rPr>
            </w:pPr>
          </w:p>
        </w:tc>
        <w:tc>
          <w:tcPr>
            <w:tcW w:w="1559" w:type="dxa"/>
            <w:vAlign w:val="center"/>
          </w:tcPr>
          <w:p w14:paraId="03DF4888">
            <w:pPr>
              <w:jc w:val="right"/>
              <w:rPr>
                <w:rFonts w:ascii="Calibri" w:hAnsi="Calibri"/>
                <w:sz w:val="18"/>
                <w:szCs w:val="18"/>
              </w:rPr>
            </w:pPr>
          </w:p>
        </w:tc>
        <w:tc>
          <w:tcPr>
            <w:tcW w:w="1559" w:type="dxa"/>
            <w:vAlign w:val="center"/>
          </w:tcPr>
          <w:p w14:paraId="3C4CF7CD">
            <w:pPr>
              <w:jc w:val="right"/>
              <w:rPr>
                <w:rFonts w:ascii="Calibri" w:hAnsi="Calibri"/>
                <w:sz w:val="18"/>
                <w:szCs w:val="18"/>
              </w:rPr>
            </w:pPr>
          </w:p>
        </w:tc>
        <w:tc>
          <w:tcPr>
            <w:tcW w:w="1418" w:type="dxa"/>
            <w:vAlign w:val="center"/>
          </w:tcPr>
          <w:p w14:paraId="3C5D3425">
            <w:pPr>
              <w:jc w:val="right"/>
              <w:rPr>
                <w:rFonts w:ascii="Calibri" w:hAnsi="Calibri"/>
                <w:sz w:val="18"/>
                <w:szCs w:val="18"/>
              </w:rPr>
            </w:pPr>
          </w:p>
        </w:tc>
        <w:tc>
          <w:tcPr>
            <w:tcW w:w="1559" w:type="dxa"/>
            <w:vAlign w:val="center"/>
          </w:tcPr>
          <w:p w14:paraId="133361B8">
            <w:pPr>
              <w:jc w:val="right"/>
              <w:rPr>
                <w:rFonts w:ascii="Calibri" w:hAnsi="Calibri"/>
                <w:sz w:val="18"/>
                <w:szCs w:val="18"/>
              </w:rPr>
            </w:pPr>
          </w:p>
        </w:tc>
      </w:tr>
      <w:tr w14:paraId="6C2C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0e7cefb4de4113b5c1abddf8a241d4"/>
            <w:id w:val="1722177203"/>
          </w:sdtPr>
          <w:sdtContent>
            <w:tc>
              <w:tcPr>
                <w:tcW w:w="1702" w:type="dxa"/>
                <w:vAlign w:val="center"/>
              </w:tcPr>
              <w:p w14:paraId="7EA1958A">
                <w:pPr>
                  <w:rPr>
                    <w:rFonts w:ascii="Calibri" w:hAnsi="Calibri"/>
                    <w:sz w:val="18"/>
                    <w:szCs w:val="18"/>
                  </w:rPr>
                </w:pPr>
                <w:r>
                  <w:rPr>
                    <w:rFonts w:ascii="Calibri" w:hAnsi="Calibri"/>
                    <w:sz w:val="18"/>
                    <w:szCs w:val="18"/>
                  </w:rPr>
                  <w:t>2．提取一般风险准备</w:t>
                </w:r>
              </w:p>
            </w:tc>
          </w:sdtContent>
        </w:sdt>
        <w:tc>
          <w:tcPr>
            <w:tcW w:w="1559" w:type="dxa"/>
            <w:vAlign w:val="center"/>
          </w:tcPr>
          <w:p w14:paraId="522B7D2A">
            <w:pPr>
              <w:jc w:val="right"/>
              <w:rPr>
                <w:rFonts w:ascii="Calibri" w:hAnsi="Calibri"/>
                <w:sz w:val="18"/>
                <w:szCs w:val="18"/>
              </w:rPr>
            </w:pPr>
          </w:p>
        </w:tc>
        <w:tc>
          <w:tcPr>
            <w:tcW w:w="284" w:type="dxa"/>
            <w:vAlign w:val="center"/>
          </w:tcPr>
          <w:p w14:paraId="6EF6EC75">
            <w:pPr>
              <w:jc w:val="right"/>
              <w:rPr>
                <w:rFonts w:ascii="Calibri" w:hAnsi="Calibri"/>
                <w:sz w:val="18"/>
                <w:szCs w:val="18"/>
              </w:rPr>
            </w:pPr>
          </w:p>
        </w:tc>
        <w:tc>
          <w:tcPr>
            <w:tcW w:w="283" w:type="dxa"/>
            <w:vAlign w:val="center"/>
          </w:tcPr>
          <w:p w14:paraId="29622929">
            <w:pPr>
              <w:jc w:val="right"/>
              <w:rPr>
                <w:rFonts w:ascii="Calibri" w:hAnsi="Calibri"/>
                <w:sz w:val="18"/>
                <w:szCs w:val="18"/>
              </w:rPr>
            </w:pPr>
          </w:p>
        </w:tc>
        <w:tc>
          <w:tcPr>
            <w:tcW w:w="284" w:type="dxa"/>
            <w:vAlign w:val="center"/>
          </w:tcPr>
          <w:p w14:paraId="47C08C91">
            <w:pPr>
              <w:jc w:val="right"/>
              <w:rPr>
                <w:rFonts w:ascii="Calibri" w:hAnsi="Calibri"/>
                <w:sz w:val="18"/>
                <w:szCs w:val="18"/>
              </w:rPr>
            </w:pPr>
          </w:p>
        </w:tc>
        <w:tc>
          <w:tcPr>
            <w:tcW w:w="1417" w:type="dxa"/>
            <w:vAlign w:val="center"/>
          </w:tcPr>
          <w:p w14:paraId="1E7751BD">
            <w:pPr>
              <w:jc w:val="right"/>
              <w:rPr>
                <w:rFonts w:ascii="Calibri" w:hAnsi="Calibri"/>
                <w:sz w:val="18"/>
                <w:szCs w:val="18"/>
              </w:rPr>
            </w:pPr>
          </w:p>
        </w:tc>
        <w:tc>
          <w:tcPr>
            <w:tcW w:w="1418" w:type="dxa"/>
            <w:vAlign w:val="center"/>
          </w:tcPr>
          <w:p w14:paraId="2A37DC26">
            <w:pPr>
              <w:jc w:val="right"/>
              <w:rPr>
                <w:rFonts w:ascii="Calibri" w:hAnsi="Calibri"/>
                <w:sz w:val="18"/>
                <w:szCs w:val="18"/>
              </w:rPr>
            </w:pPr>
          </w:p>
        </w:tc>
        <w:tc>
          <w:tcPr>
            <w:tcW w:w="1276" w:type="dxa"/>
            <w:vAlign w:val="center"/>
          </w:tcPr>
          <w:p w14:paraId="4927E329">
            <w:pPr>
              <w:jc w:val="right"/>
              <w:rPr>
                <w:rFonts w:ascii="Calibri" w:hAnsi="Calibri"/>
                <w:sz w:val="18"/>
                <w:szCs w:val="18"/>
              </w:rPr>
            </w:pPr>
          </w:p>
        </w:tc>
        <w:tc>
          <w:tcPr>
            <w:tcW w:w="1559" w:type="dxa"/>
            <w:vAlign w:val="center"/>
          </w:tcPr>
          <w:p w14:paraId="787F476B">
            <w:pPr>
              <w:jc w:val="right"/>
              <w:rPr>
                <w:rFonts w:ascii="Calibri" w:hAnsi="Calibri"/>
                <w:sz w:val="18"/>
                <w:szCs w:val="18"/>
              </w:rPr>
            </w:pPr>
          </w:p>
        </w:tc>
        <w:tc>
          <w:tcPr>
            <w:tcW w:w="1559" w:type="dxa"/>
            <w:vAlign w:val="center"/>
          </w:tcPr>
          <w:p w14:paraId="2824D9B9">
            <w:pPr>
              <w:jc w:val="right"/>
              <w:rPr>
                <w:rFonts w:ascii="Calibri" w:hAnsi="Calibri"/>
                <w:sz w:val="18"/>
                <w:szCs w:val="18"/>
              </w:rPr>
            </w:pPr>
          </w:p>
        </w:tc>
        <w:tc>
          <w:tcPr>
            <w:tcW w:w="1559" w:type="dxa"/>
            <w:vAlign w:val="center"/>
          </w:tcPr>
          <w:p w14:paraId="6A106720">
            <w:pPr>
              <w:jc w:val="right"/>
              <w:rPr>
                <w:rFonts w:ascii="Calibri" w:hAnsi="Calibri"/>
                <w:sz w:val="18"/>
                <w:szCs w:val="18"/>
              </w:rPr>
            </w:pPr>
          </w:p>
        </w:tc>
        <w:tc>
          <w:tcPr>
            <w:tcW w:w="1418" w:type="dxa"/>
            <w:vAlign w:val="center"/>
          </w:tcPr>
          <w:p w14:paraId="7FD7E147">
            <w:pPr>
              <w:jc w:val="right"/>
              <w:rPr>
                <w:rFonts w:ascii="Calibri" w:hAnsi="Calibri"/>
                <w:sz w:val="18"/>
                <w:szCs w:val="18"/>
              </w:rPr>
            </w:pPr>
          </w:p>
        </w:tc>
        <w:tc>
          <w:tcPr>
            <w:tcW w:w="1559" w:type="dxa"/>
            <w:vAlign w:val="center"/>
          </w:tcPr>
          <w:p w14:paraId="5FC29173">
            <w:pPr>
              <w:jc w:val="right"/>
              <w:rPr>
                <w:rFonts w:ascii="Calibri" w:hAnsi="Calibri"/>
                <w:sz w:val="18"/>
                <w:szCs w:val="18"/>
              </w:rPr>
            </w:pPr>
          </w:p>
        </w:tc>
      </w:tr>
      <w:tr w14:paraId="4F34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d573481d9af49e2a8ab22ecd061ccf7"/>
            <w:id w:val="1611091804"/>
          </w:sdtPr>
          <w:sdtContent>
            <w:tc>
              <w:tcPr>
                <w:tcW w:w="1702" w:type="dxa"/>
                <w:vAlign w:val="center"/>
              </w:tcPr>
              <w:p w14:paraId="5227C1BE">
                <w:pPr>
                  <w:rPr>
                    <w:rFonts w:ascii="Calibri" w:hAnsi="Calibri"/>
                    <w:sz w:val="18"/>
                    <w:szCs w:val="18"/>
                  </w:rPr>
                </w:pPr>
                <w:r>
                  <w:rPr>
                    <w:rFonts w:ascii="Calibri" w:hAnsi="Calibri"/>
                    <w:sz w:val="18"/>
                    <w:szCs w:val="18"/>
                  </w:rPr>
                  <w:t>3．对所有者（或股东）的分配</w:t>
                </w:r>
              </w:p>
            </w:tc>
          </w:sdtContent>
        </w:sdt>
        <w:tc>
          <w:tcPr>
            <w:tcW w:w="1559" w:type="dxa"/>
            <w:vAlign w:val="center"/>
          </w:tcPr>
          <w:p w14:paraId="405DD49D">
            <w:pPr>
              <w:jc w:val="right"/>
              <w:rPr>
                <w:rFonts w:ascii="Calibri" w:hAnsi="Calibri"/>
                <w:sz w:val="18"/>
                <w:szCs w:val="18"/>
              </w:rPr>
            </w:pPr>
          </w:p>
        </w:tc>
        <w:tc>
          <w:tcPr>
            <w:tcW w:w="284" w:type="dxa"/>
            <w:vAlign w:val="center"/>
          </w:tcPr>
          <w:p w14:paraId="76F282A4">
            <w:pPr>
              <w:jc w:val="right"/>
              <w:rPr>
                <w:rFonts w:ascii="Calibri" w:hAnsi="Calibri"/>
                <w:sz w:val="18"/>
                <w:szCs w:val="18"/>
              </w:rPr>
            </w:pPr>
          </w:p>
        </w:tc>
        <w:tc>
          <w:tcPr>
            <w:tcW w:w="283" w:type="dxa"/>
            <w:vAlign w:val="center"/>
          </w:tcPr>
          <w:p w14:paraId="31808331">
            <w:pPr>
              <w:jc w:val="right"/>
              <w:rPr>
                <w:rFonts w:ascii="Calibri" w:hAnsi="Calibri"/>
                <w:sz w:val="18"/>
                <w:szCs w:val="18"/>
              </w:rPr>
            </w:pPr>
          </w:p>
        </w:tc>
        <w:tc>
          <w:tcPr>
            <w:tcW w:w="284" w:type="dxa"/>
            <w:vAlign w:val="center"/>
          </w:tcPr>
          <w:p w14:paraId="72EC6E72">
            <w:pPr>
              <w:jc w:val="right"/>
              <w:rPr>
                <w:rFonts w:ascii="Calibri" w:hAnsi="Calibri"/>
                <w:sz w:val="18"/>
                <w:szCs w:val="18"/>
              </w:rPr>
            </w:pPr>
          </w:p>
        </w:tc>
        <w:tc>
          <w:tcPr>
            <w:tcW w:w="1417" w:type="dxa"/>
            <w:vAlign w:val="center"/>
          </w:tcPr>
          <w:p w14:paraId="23907E30">
            <w:pPr>
              <w:jc w:val="right"/>
              <w:rPr>
                <w:rFonts w:ascii="Calibri" w:hAnsi="Calibri"/>
                <w:sz w:val="18"/>
                <w:szCs w:val="18"/>
              </w:rPr>
            </w:pPr>
          </w:p>
        </w:tc>
        <w:tc>
          <w:tcPr>
            <w:tcW w:w="1418" w:type="dxa"/>
            <w:vAlign w:val="center"/>
          </w:tcPr>
          <w:p w14:paraId="556FC79A">
            <w:pPr>
              <w:jc w:val="right"/>
              <w:rPr>
                <w:rFonts w:ascii="Calibri" w:hAnsi="Calibri"/>
                <w:sz w:val="18"/>
                <w:szCs w:val="18"/>
              </w:rPr>
            </w:pPr>
          </w:p>
        </w:tc>
        <w:tc>
          <w:tcPr>
            <w:tcW w:w="1276" w:type="dxa"/>
            <w:vAlign w:val="center"/>
          </w:tcPr>
          <w:p w14:paraId="5B340C83">
            <w:pPr>
              <w:jc w:val="right"/>
              <w:rPr>
                <w:rFonts w:ascii="Calibri" w:hAnsi="Calibri"/>
                <w:sz w:val="18"/>
                <w:szCs w:val="18"/>
              </w:rPr>
            </w:pPr>
          </w:p>
        </w:tc>
        <w:tc>
          <w:tcPr>
            <w:tcW w:w="1559" w:type="dxa"/>
            <w:vAlign w:val="center"/>
          </w:tcPr>
          <w:p w14:paraId="05F73793">
            <w:pPr>
              <w:jc w:val="right"/>
              <w:rPr>
                <w:rFonts w:ascii="Calibri" w:hAnsi="Calibri"/>
                <w:sz w:val="18"/>
                <w:szCs w:val="18"/>
              </w:rPr>
            </w:pPr>
          </w:p>
        </w:tc>
        <w:tc>
          <w:tcPr>
            <w:tcW w:w="1559" w:type="dxa"/>
            <w:vAlign w:val="center"/>
          </w:tcPr>
          <w:p w14:paraId="539010C3">
            <w:pPr>
              <w:jc w:val="right"/>
              <w:rPr>
                <w:rFonts w:ascii="Calibri" w:hAnsi="Calibri"/>
                <w:sz w:val="18"/>
                <w:szCs w:val="18"/>
              </w:rPr>
            </w:pPr>
            <w:r>
              <w:rPr>
                <w:rFonts w:ascii="Calibri" w:hAnsi="Calibri"/>
                <w:sz w:val="18"/>
                <w:szCs w:val="18"/>
              </w:rPr>
              <w:t>-485,866,253.00</w:t>
            </w:r>
          </w:p>
        </w:tc>
        <w:tc>
          <w:tcPr>
            <w:tcW w:w="1559" w:type="dxa"/>
            <w:vAlign w:val="center"/>
          </w:tcPr>
          <w:p w14:paraId="3056D020">
            <w:pPr>
              <w:jc w:val="right"/>
              <w:rPr>
                <w:rFonts w:ascii="Calibri" w:hAnsi="Calibri"/>
                <w:sz w:val="18"/>
                <w:szCs w:val="18"/>
              </w:rPr>
            </w:pPr>
            <w:r>
              <w:rPr>
                <w:rFonts w:ascii="Calibri" w:hAnsi="Calibri"/>
                <w:sz w:val="18"/>
                <w:szCs w:val="18"/>
              </w:rPr>
              <w:t>-485,866,253.00</w:t>
            </w:r>
          </w:p>
        </w:tc>
        <w:tc>
          <w:tcPr>
            <w:tcW w:w="1418" w:type="dxa"/>
            <w:vAlign w:val="center"/>
          </w:tcPr>
          <w:p w14:paraId="52E91A90">
            <w:pPr>
              <w:jc w:val="right"/>
              <w:rPr>
                <w:rFonts w:ascii="Calibri" w:hAnsi="Calibri"/>
                <w:sz w:val="18"/>
                <w:szCs w:val="18"/>
              </w:rPr>
            </w:pPr>
          </w:p>
        </w:tc>
        <w:tc>
          <w:tcPr>
            <w:tcW w:w="1559" w:type="dxa"/>
            <w:vAlign w:val="center"/>
          </w:tcPr>
          <w:p w14:paraId="244B7AE7">
            <w:pPr>
              <w:jc w:val="right"/>
              <w:rPr>
                <w:rFonts w:ascii="Calibri" w:hAnsi="Calibri"/>
                <w:sz w:val="18"/>
                <w:szCs w:val="18"/>
              </w:rPr>
            </w:pPr>
            <w:r>
              <w:rPr>
                <w:rFonts w:ascii="Calibri" w:hAnsi="Calibri"/>
                <w:sz w:val="18"/>
                <w:szCs w:val="18"/>
              </w:rPr>
              <w:t>-485,866,253.00</w:t>
            </w:r>
          </w:p>
        </w:tc>
      </w:tr>
      <w:tr w14:paraId="2E00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d87d5b565c74b3faf2e05ed9840875a"/>
            <w:id w:val="-514850921"/>
          </w:sdtPr>
          <w:sdtContent>
            <w:tc>
              <w:tcPr>
                <w:tcW w:w="1702" w:type="dxa"/>
                <w:vAlign w:val="center"/>
              </w:tcPr>
              <w:p w14:paraId="7A3621B5">
                <w:pPr>
                  <w:rPr>
                    <w:rFonts w:ascii="Calibri" w:hAnsi="Calibri"/>
                    <w:sz w:val="18"/>
                    <w:szCs w:val="18"/>
                  </w:rPr>
                </w:pPr>
                <w:r>
                  <w:rPr>
                    <w:rFonts w:ascii="Calibri" w:hAnsi="Calibri"/>
                    <w:sz w:val="18"/>
                    <w:szCs w:val="18"/>
                  </w:rPr>
                  <w:t>4．其他</w:t>
                </w:r>
              </w:p>
            </w:tc>
          </w:sdtContent>
        </w:sdt>
        <w:tc>
          <w:tcPr>
            <w:tcW w:w="1559" w:type="dxa"/>
            <w:vAlign w:val="center"/>
          </w:tcPr>
          <w:p w14:paraId="53DEADD8">
            <w:pPr>
              <w:jc w:val="right"/>
              <w:rPr>
                <w:rFonts w:ascii="Calibri" w:hAnsi="Calibri"/>
                <w:sz w:val="18"/>
                <w:szCs w:val="18"/>
              </w:rPr>
            </w:pPr>
          </w:p>
        </w:tc>
        <w:tc>
          <w:tcPr>
            <w:tcW w:w="284" w:type="dxa"/>
            <w:vAlign w:val="center"/>
          </w:tcPr>
          <w:p w14:paraId="2573919E">
            <w:pPr>
              <w:jc w:val="right"/>
              <w:rPr>
                <w:rFonts w:ascii="Calibri" w:hAnsi="Calibri"/>
                <w:sz w:val="18"/>
                <w:szCs w:val="18"/>
              </w:rPr>
            </w:pPr>
          </w:p>
        </w:tc>
        <w:tc>
          <w:tcPr>
            <w:tcW w:w="283" w:type="dxa"/>
            <w:vAlign w:val="center"/>
          </w:tcPr>
          <w:p w14:paraId="1D133CBA">
            <w:pPr>
              <w:jc w:val="right"/>
              <w:rPr>
                <w:rFonts w:ascii="Calibri" w:hAnsi="Calibri"/>
                <w:sz w:val="18"/>
                <w:szCs w:val="18"/>
              </w:rPr>
            </w:pPr>
          </w:p>
        </w:tc>
        <w:tc>
          <w:tcPr>
            <w:tcW w:w="284" w:type="dxa"/>
            <w:vAlign w:val="center"/>
          </w:tcPr>
          <w:p w14:paraId="328C4800">
            <w:pPr>
              <w:jc w:val="right"/>
              <w:rPr>
                <w:rFonts w:ascii="Calibri" w:hAnsi="Calibri"/>
                <w:sz w:val="18"/>
                <w:szCs w:val="18"/>
              </w:rPr>
            </w:pPr>
          </w:p>
        </w:tc>
        <w:tc>
          <w:tcPr>
            <w:tcW w:w="1417" w:type="dxa"/>
            <w:vAlign w:val="center"/>
          </w:tcPr>
          <w:p w14:paraId="52CFFC46">
            <w:pPr>
              <w:jc w:val="right"/>
              <w:rPr>
                <w:rFonts w:ascii="Calibri" w:hAnsi="Calibri"/>
                <w:sz w:val="18"/>
                <w:szCs w:val="18"/>
              </w:rPr>
            </w:pPr>
          </w:p>
        </w:tc>
        <w:tc>
          <w:tcPr>
            <w:tcW w:w="1418" w:type="dxa"/>
            <w:vAlign w:val="center"/>
          </w:tcPr>
          <w:p w14:paraId="1103F702">
            <w:pPr>
              <w:jc w:val="right"/>
              <w:rPr>
                <w:rFonts w:ascii="Calibri" w:hAnsi="Calibri"/>
                <w:sz w:val="18"/>
                <w:szCs w:val="18"/>
              </w:rPr>
            </w:pPr>
          </w:p>
        </w:tc>
        <w:tc>
          <w:tcPr>
            <w:tcW w:w="1276" w:type="dxa"/>
            <w:vAlign w:val="center"/>
          </w:tcPr>
          <w:p w14:paraId="6F14B180">
            <w:pPr>
              <w:jc w:val="right"/>
              <w:rPr>
                <w:rFonts w:ascii="Calibri" w:hAnsi="Calibri"/>
                <w:sz w:val="18"/>
                <w:szCs w:val="18"/>
              </w:rPr>
            </w:pPr>
          </w:p>
        </w:tc>
        <w:tc>
          <w:tcPr>
            <w:tcW w:w="1559" w:type="dxa"/>
            <w:vAlign w:val="center"/>
          </w:tcPr>
          <w:p w14:paraId="615905F3">
            <w:pPr>
              <w:jc w:val="right"/>
              <w:rPr>
                <w:rFonts w:ascii="Calibri" w:hAnsi="Calibri"/>
                <w:sz w:val="18"/>
                <w:szCs w:val="18"/>
              </w:rPr>
            </w:pPr>
          </w:p>
        </w:tc>
        <w:tc>
          <w:tcPr>
            <w:tcW w:w="1559" w:type="dxa"/>
            <w:vAlign w:val="center"/>
          </w:tcPr>
          <w:p w14:paraId="2A8FB009">
            <w:pPr>
              <w:jc w:val="right"/>
              <w:rPr>
                <w:rFonts w:ascii="Calibri" w:hAnsi="Calibri"/>
                <w:sz w:val="18"/>
                <w:szCs w:val="18"/>
              </w:rPr>
            </w:pPr>
          </w:p>
        </w:tc>
        <w:tc>
          <w:tcPr>
            <w:tcW w:w="1559" w:type="dxa"/>
            <w:vAlign w:val="center"/>
          </w:tcPr>
          <w:p w14:paraId="248240DF">
            <w:pPr>
              <w:jc w:val="right"/>
              <w:rPr>
                <w:rFonts w:ascii="Calibri" w:hAnsi="Calibri"/>
                <w:sz w:val="18"/>
                <w:szCs w:val="18"/>
              </w:rPr>
            </w:pPr>
          </w:p>
        </w:tc>
        <w:tc>
          <w:tcPr>
            <w:tcW w:w="1418" w:type="dxa"/>
            <w:vAlign w:val="center"/>
          </w:tcPr>
          <w:p w14:paraId="5D7CE0FE">
            <w:pPr>
              <w:jc w:val="right"/>
              <w:rPr>
                <w:rFonts w:ascii="Calibri" w:hAnsi="Calibri"/>
                <w:sz w:val="18"/>
                <w:szCs w:val="18"/>
              </w:rPr>
            </w:pPr>
          </w:p>
        </w:tc>
        <w:tc>
          <w:tcPr>
            <w:tcW w:w="1559" w:type="dxa"/>
            <w:vAlign w:val="center"/>
          </w:tcPr>
          <w:p w14:paraId="436C7F86">
            <w:pPr>
              <w:jc w:val="right"/>
              <w:rPr>
                <w:rFonts w:ascii="Calibri" w:hAnsi="Calibri"/>
                <w:sz w:val="18"/>
                <w:szCs w:val="18"/>
              </w:rPr>
            </w:pPr>
          </w:p>
        </w:tc>
      </w:tr>
      <w:tr w14:paraId="2522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2da940e723e49d8b19944c326b0a372"/>
            <w:id w:val="-1245104654"/>
          </w:sdtPr>
          <w:sdtContent>
            <w:tc>
              <w:tcPr>
                <w:tcW w:w="1702" w:type="dxa"/>
                <w:vAlign w:val="center"/>
              </w:tcPr>
              <w:p w14:paraId="5D16D56B">
                <w:pPr>
                  <w:rPr>
                    <w:rFonts w:ascii="Calibri" w:hAnsi="Calibri"/>
                    <w:sz w:val="18"/>
                    <w:szCs w:val="18"/>
                  </w:rPr>
                </w:pPr>
                <w:r>
                  <w:rPr>
                    <w:rFonts w:ascii="Calibri" w:hAnsi="Calibri"/>
                    <w:sz w:val="18"/>
                    <w:szCs w:val="18"/>
                  </w:rPr>
                  <w:t>（</w:t>
                </w:r>
                <w:r>
                  <w:rPr>
                    <w:rFonts w:hint="eastAsia" w:ascii="Calibri" w:hAnsi="Calibri"/>
                    <w:sz w:val="18"/>
                    <w:szCs w:val="18"/>
                  </w:rPr>
                  <w:t>四</w:t>
                </w:r>
                <w:r>
                  <w:rPr>
                    <w:rFonts w:ascii="Calibri" w:hAnsi="Calibri"/>
                    <w:sz w:val="18"/>
                    <w:szCs w:val="18"/>
                  </w:rPr>
                  <w:t>）所有者权益内部结转</w:t>
                </w:r>
              </w:p>
            </w:tc>
          </w:sdtContent>
        </w:sdt>
        <w:tc>
          <w:tcPr>
            <w:tcW w:w="1559" w:type="dxa"/>
            <w:vAlign w:val="center"/>
          </w:tcPr>
          <w:p w14:paraId="59123552">
            <w:pPr>
              <w:jc w:val="right"/>
              <w:rPr>
                <w:rFonts w:ascii="Calibri" w:hAnsi="Calibri"/>
                <w:sz w:val="18"/>
                <w:szCs w:val="18"/>
              </w:rPr>
            </w:pPr>
          </w:p>
        </w:tc>
        <w:tc>
          <w:tcPr>
            <w:tcW w:w="284" w:type="dxa"/>
            <w:vAlign w:val="center"/>
          </w:tcPr>
          <w:p w14:paraId="4372F17D">
            <w:pPr>
              <w:jc w:val="right"/>
              <w:rPr>
                <w:rFonts w:ascii="Calibri" w:hAnsi="Calibri"/>
                <w:sz w:val="18"/>
                <w:szCs w:val="18"/>
              </w:rPr>
            </w:pPr>
          </w:p>
        </w:tc>
        <w:tc>
          <w:tcPr>
            <w:tcW w:w="283" w:type="dxa"/>
            <w:vAlign w:val="center"/>
          </w:tcPr>
          <w:p w14:paraId="7AD0FC31">
            <w:pPr>
              <w:jc w:val="right"/>
              <w:rPr>
                <w:rFonts w:ascii="Calibri" w:hAnsi="Calibri"/>
                <w:sz w:val="18"/>
                <w:szCs w:val="18"/>
              </w:rPr>
            </w:pPr>
          </w:p>
        </w:tc>
        <w:tc>
          <w:tcPr>
            <w:tcW w:w="284" w:type="dxa"/>
            <w:vAlign w:val="center"/>
          </w:tcPr>
          <w:p w14:paraId="076F613D">
            <w:pPr>
              <w:jc w:val="right"/>
              <w:rPr>
                <w:rFonts w:ascii="Calibri" w:hAnsi="Calibri"/>
                <w:sz w:val="18"/>
                <w:szCs w:val="18"/>
              </w:rPr>
            </w:pPr>
          </w:p>
        </w:tc>
        <w:tc>
          <w:tcPr>
            <w:tcW w:w="1417" w:type="dxa"/>
            <w:vAlign w:val="center"/>
          </w:tcPr>
          <w:p w14:paraId="2F3EE4BC">
            <w:pPr>
              <w:jc w:val="right"/>
              <w:rPr>
                <w:rFonts w:ascii="Calibri" w:hAnsi="Calibri"/>
                <w:sz w:val="18"/>
                <w:szCs w:val="18"/>
              </w:rPr>
            </w:pPr>
          </w:p>
        </w:tc>
        <w:tc>
          <w:tcPr>
            <w:tcW w:w="1418" w:type="dxa"/>
            <w:vAlign w:val="center"/>
          </w:tcPr>
          <w:p w14:paraId="36DEBB49">
            <w:pPr>
              <w:jc w:val="right"/>
              <w:rPr>
                <w:rFonts w:ascii="Calibri" w:hAnsi="Calibri"/>
                <w:sz w:val="18"/>
                <w:szCs w:val="18"/>
              </w:rPr>
            </w:pPr>
          </w:p>
        </w:tc>
        <w:tc>
          <w:tcPr>
            <w:tcW w:w="1276" w:type="dxa"/>
            <w:vAlign w:val="center"/>
          </w:tcPr>
          <w:p w14:paraId="79BC609E">
            <w:pPr>
              <w:jc w:val="right"/>
              <w:rPr>
                <w:rFonts w:ascii="Calibri" w:hAnsi="Calibri"/>
                <w:sz w:val="18"/>
                <w:szCs w:val="18"/>
              </w:rPr>
            </w:pPr>
          </w:p>
        </w:tc>
        <w:tc>
          <w:tcPr>
            <w:tcW w:w="1559" w:type="dxa"/>
            <w:vAlign w:val="center"/>
          </w:tcPr>
          <w:p w14:paraId="3DFB561A">
            <w:pPr>
              <w:jc w:val="right"/>
              <w:rPr>
                <w:rFonts w:ascii="Calibri" w:hAnsi="Calibri"/>
                <w:sz w:val="18"/>
                <w:szCs w:val="18"/>
              </w:rPr>
            </w:pPr>
          </w:p>
        </w:tc>
        <w:tc>
          <w:tcPr>
            <w:tcW w:w="1559" w:type="dxa"/>
            <w:vAlign w:val="center"/>
          </w:tcPr>
          <w:p w14:paraId="26C46DA6">
            <w:pPr>
              <w:jc w:val="right"/>
              <w:rPr>
                <w:rFonts w:ascii="Calibri" w:hAnsi="Calibri"/>
                <w:sz w:val="18"/>
                <w:szCs w:val="18"/>
              </w:rPr>
            </w:pPr>
          </w:p>
        </w:tc>
        <w:tc>
          <w:tcPr>
            <w:tcW w:w="1559" w:type="dxa"/>
            <w:vAlign w:val="center"/>
          </w:tcPr>
          <w:p w14:paraId="22D7CFD3">
            <w:pPr>
              <w:jc w:val="right"/>
              <w:rPr>
                <w:rFonts w:ascii="Calibri" w:hAnsi="Calibri"/>
                <w:sz w:val="18"/>
                <w:szCs w:val="18"/>
              </w:rPr>
            </w:pPr>
          </w:p>
        </w:tc>
        <w:tc>
          <w:tcPr>
            <w:tcW w:w="1418" w:type="dxa"/>
            <w:vAlign w:val="center"/>
          </w:tcPr>
          <w:p w14:paraId="48CCB30C">
            <w:pPr>
              <w:jc w:val="right"/>
              <w:rPr>
                <w:rFonts w:ascii="Calibri" w:hAnsi="Calibri"/>
                <w:sz w:val="18"/>
                <w:szCs w:val="18"/>
              </w:rPr>
            </w:pPr>
          </w:p>
        </w:tc>
        <w:tc>
          <w:tcPr>
            <w:tcW w:w="1559" w:type="dxa"/>
            <w:vAlign w:val="center"/>
          </w:tcPr>
          <w:p w14:paraId="38B015E5">
            <w:pPr>
              <w:jc w:val="right"/>
              <w:rPr>
                <w:rFonts w:ascii="Calibri" w:hAnsi="Calibri"/>
                <w:sz w:val="18"/>
                <w:szCs w:val="18"/>
              </w:rPr>
            </w:pPr>
          </w:p>
        </w:tc>
      </w:tr>
      <w:tr w14:paraId="0082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8fb253c66e143fa8d6fda4d400657ec"/>
            <w:id w:val="-867672074"/>
          </w:sdtPr>
          <w:sdtContent>
            <w:tc>
              <w:tcPr>
                <w:tcW w:w="1702" w:type="dxa"/>
                <w:vAlign w:val="center"/>
              </w:tcPr>
              <w:p w14:paraId="71707DF2">
                <w:pPr>
                  <w:rPr>
                    <w:rFonts w:ascii="Calibri" w:hAnsi="Calibri"/>
                    <w:sz w:val="18"/>
                    <w:szCs w:val="18"/>
                  </w:rPr>
                </w:pPr>
                <w:r>
                  <w:rPr>
                    <w:rFonts w:ascii="Calibri" w:hAnsi="Calibri"/>
                    <w:sz w:val="18"/>
                    <w:szCs w:val="18"/>
                  </w:rPr>
                  <w:t>1．资本公积转增资本（或股本）</w:t>
                </w:r>
              </w:p>
            </w:tc>
          </w:sdtContent>
        </w:sdt>
        <w:tc>
          <w:tcPr>
            <w:tcW w:w="1559" w:type="dxa"/>
            <w:vAlign w:val="center"/>
          </w:tcPr>
          <w:p w14:paraId="243DED41">
            <w:pPr>
              <w:jc w:val="right"/>
              <w:rPr>
                <w:rFonts w:ascii="Calibri" w:hAnsi="Calibri"/>
                <w:sz w:val="18"/>
                <w:szCs w:val="18"/>
              </w:rPr>
            </w:pPr>
          </w:p>
        </w:tc>
        <w:tc>
          <w:tcPr>
            <w:tcW w:w="284" w:type="dxa"/>
            <w:vAlign w:val="center"/>
          </w:tcPr>
          <w:p w14:paraId="04BEB79A">
            <w:pPr>
              <w:jc w:val="right"/>
              <w:rPr>
                <w:rFonts w:ascii="Calibri" w:hAnsi="Calibri"/>
                <w:sz w:val="18"/>
                <w:szCs w:val="18"/>
              </w:rPr>
            </w:pPr>
          </w:p>
        </w:tc>
        <w:tc>
          <w:tcPr>
            <w:tcW w:w="283" w:type="dxa"/>
            <w:vAlign w:val="center"/>
          </w:tcPr>
          <w:p w14:paraId="7F08CE34">
            <w:pPr>
              <w:jc w:val="right"/>
              <w:rPr>
                <w:rFonts w:ascii="Calibri" w:hAnsi="Calibri"/>
                <w:sz w:val="18"/>
                <w:szCs w:val="18"/>
              </w:rPr>
            </w:pPr>
          </w:p>
        </w:tc>
        <w:tc>
          <w:tcPr>
            <w:tcW w:w="284" w:type="dxa"/>
            <w:vAlign w:val="center"/>
          </w:tcPr>
          <w:p w14:paraId="0C943574">
            <w:pPr>
              <w:jc w:val="right"/>
              <w:rPr>
                <w:rFonts w:ascii="Calibri" w:hAnsi="Calibri"/>
                <w:sz w:val="18"/>
                <w:szCs w:val="18"/>
              </w:rPr>
            </w:pPr>
          </w:p>
        </w:tc>
        <w:tc>
          <w:tcPr>
            <w:tcW w:w="1417" w:type="dxa"/>
            <w:vAlign w:val="center"/>
          </w:tcPr>
          <w:p w14:paraId="51D6D8EF">
            <w:pPr>
              <w:jc w:val="right"/>
              <w:rPr>
                <w:rFonts w:ascii="Calibri" w:hAnsi="Calibri"/>
                <w:sz w:val="18"/>
                <w:szCs w:val="18"/>
              </w:rPr>
            </w:pPr>
          </w:p>
        </w:tc>
        <w:tc>
          <w:tcPr>
            <w:tcW w:w="1418" w:type="dxa"/>
            <w:vAlign w:val="center"/>
          </w:tcPr>
          <w:p w14:paraId="44775BEA">
            <w:pPr>
              <w:jc w:val="right"/>
              <w:rPr>
                <w:rFonts w:ascii="Calibri" w:hAnsi="Calibri"/>
                <w:sz w:val="18"/>
                <w:szCs w:val="18"/>
              </w:rPr>
            </w:pPr>
          </w:p>
        </w:tc>
        <w:tc>
          <w:tcPr>
            <w:tcW w:w="1276" w:type="dxa"/>
            <w:vAlign w:val="center"/>
          </w:tcPr>
          <w:p w14:paraId="0426F6E6">
            <w:pPr>
              <w:jc w:val="right"/>
              <w:rPr>
                <w:rFonts w:ascii="Calibri" w:hAnsi="Calibri"/>
                <w:sz w:val="18"/>
                <w:szCs w:val="18"/>
              </w:rPr>
            </w:pPr>
          </w:p>
        </w:tc>
        <w:tc>
          <w:tcPr>
            <w:tcW w:w="1559" w:type="dxa"/>
            <w:vAlign w:val="center"/>
          </w:tcPr>
          <w:p w14:paraId="18030E2C">
            <w:pPr>
              <w:jc w:val="right"/>
              <w:rPr>
                <w:rFonts w:ascii="Calibri" w:hAnsi="Calibri"/>
                <w:sz w:val="18"/>
                <w:szCs w:val="18"/>
              </w:rPr>
            </w:pPr>
          </w:p>
        </w:tc>
        <w:tc>
          <w:tcPr>
            <w:tcW w:w="1559" w:type="dxa"/>
            <w:vAlign w:val="center"/>
          </w:tcPr>
          <w:p w14:paraId="50946376">
            <w:pPr>
              <w:jc w:val="right"/>
              <w:rPr>
                <w:rFonts w:ascii="Calibri" w:hAnsi="Calibri"/>
                <w:sz w:val="18"/>
                <w:szCs w:val="18"/>
              </w:rPr>
            </w:pPr>
          </w:p>
        </w:tc>
        <w:tc>
          <w:tcPr>
            <w:tcW w:w="1559" w:type="dxa"/>
            <w:vAlign w:val="center"/>
          </w:tcPr>
          <w:p w14:paraId="55848165">
            <w:pPr>
              <w:jc w:val="right"/>
              <w:rPr>
                <w:rFonts w:ascii="Calibri" w:hAnsi="Calibri"/>
                <w:sz w:val="18"/>
                <w:szCs w:val="18"/>
              </w:rPr>
            </w:pPr>
          </w:p>
        </w:tc>
        <w:tc>
          <w:tcPr>
            <w:tcW w:w="1418" w:type="dxa"/>
            <w:vAlign w:val="center"/>
          </w:tcPr>
          <w:p w14:paraId="0B571239">
            <w:pPr>
              <w:jc w:val="right"/>
              <w:rPr>
                <w:rFonts w:ascii="Calibri" w:hAnsi="Calibri"/>
                <w:sz w:val="18"/>
                <w:szCs w:val="18"/>
              </w:rPr>
            </w:pPr>
          </w:p>
        </w:tc>
        <w:tc>
          <w:tcPr>
            <w:tcW w:w="1559" w:type="dxa"/>
            <w:vAlign w:val="center"/>
          </w:tcPr>
          <w:p w14:paraId="57AC9977">
            <w:pPr>
              <w:jc w:val="right"/>
              <w:rPr>
                <w:rFonts w:ascii="Calibri" w:hAnsi="Calibri"/>
                <w:sz w:val="18"/>
                <w:szCs w:val="18"/>
              </w:rPr>
            </w:pPr>
          </w:p>
        </w:tc>
      </w:tr>
      <w:tr w14:paraId="58833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cc23aa9ca343c08333ba7ee1b1325c"/>
            <w:id w:val="-1429191517"/>
          </w:sdtPr>
          <w:sdtContent>
            <w:tc>
              <w:tcPr>
                <w:tcW w:w="1702" w:type="dxa"/>
                <w:vAlign w:val="center"/>
              </w:tcPr>
              <w:p w14:paraId="721EC8AE">
                <w:pPr>
                  <w:rPr>
                    <w:rFonts w:ascii="Calibri" w:hAnsi="Calibri"/>
                    <w:sz w:val="18"/>
                    <w:szCs w:val="18"/>
                  </w:rPr>
                </w:pPr>
                <w:r>
                  <w:rPr>
                    <w:rFonts w:ascii="Calibri" w:hAnsi="Calibri"/>
                    <w:sz w:val="18"/>
                    <w:szCs w:val="18"/>
                  </w:rPr>
                  <w:t>2．盈余公积转增资本（或股本）</w:t>
                </w:r>
              </w:p>
            </w:tc>
          </w:sdtContent>
        </w:sdt>
        <w:tc>
          <w:tcPr>
            <w:tcW w:w="1559" w:type="dxa"/>
            <w:vAlign w:val="center"/>
          </w:tcPr>
          <w:p w14:paraId="6F51D757">
            <w:pPr>
              <w:jc w:val="right"/>
              <w:rPr>
                <w:rFonts w:ascii="Calibri" w:hAnsi="Calibri"/>
                <w:sz w:val="18"/>
                <w:szCs w:val="18"/>
              </w:rPr>
            </w:pPr>
          </w:p>
        </w:tc>
        <w:tc>
          <w:tcPr>
            <w:tcW w:w="284" w:type="dxa"/>
            <w:vAlign w:val="center"/>
          </w:tcPr>
          <w:p w14:paraId="55A3E711">
            <w:pPr>
              <w:jc w:val="right"/>
              <w:rPr>
                <w:rFonts w:ascii="Calibri" w:hAnsi="Calibri"/>
                <w:sz w:val="18"/>
                <w:szCs w:val="18"/>
              </w:rPr>
            </w:pPr>
          </w:p>
        </w:tc>
        <w:tc>
          <w:tcPr>
            <w:tcW w:w="283" w:type="dxa"/>
            <w:vAlign w:val="center"/>
          </w:tcPr>
          <w:p w14:paraId="006D60DB">
            <w:pPr>
              <w:jc w:val="right"/>
              <w:rPr>
                <w:rFonts w:ascii="Calibri" w:hAnsi="Calibri"/>
                <w:sz w:val="18"/>
                <w:szCs w:val="18"/>
              </w:rPr>
            </w:pPr>
          </w:p>
        </w:tc>
        <w:tc>
          <w:tcPr>
            <w:tcW w:w="284" w:type="dxa"/>
            <w:vAlign w:val="center"/>
          </w:tcPr>
          <w:p w14:paraId="7E373CCF">
            <w:pPr>
              <w:jc w:val="right"/>
              <w:rPr>
                <w:rFonts w:ascii="Calibri" w:hAnsi="Calibri"/>
                <w:sz w:val="18"/>
                <w:szCs w:val="18"/>
              </w:rPr>
            </w:pPr>
          </w:p>
        </w:tc>
        <w:tc>
          <w:tcPr>
            <w:tcW w:w="1417" w:type="dxa"/>
            <w:vAlign w:val="center"/>
          </w:tcPr>
          <w:p w14:paraId="20C44821">
            <w:pPr>
              <w:jc w:val="right"/>
              <w:rPr>
                <w:rFonts w:ascii="Calibri" w:hAnsi="Calibri"/>
                <w:sz w:val="18"/>
                <w:szCs w:val="18"/>
              </w:rPr>
            </w:pPr>
          </w:p>
        </w:tc>
        <w:tc>
          <w:tcPr>
            <w:tcW w:w="1418" w:type="dxa"/>
            <w:vAlign w:val="center"/>
          </w:tcPr>
          <w:p w14:paraId="5B05AE63">
            <w:pPr>
              <w:jc w:val="right"/>
              <w:rPr>
                <w:rFonts w:ascii="Calibri" w:hAnsi="Calibri"/>
                <w:sz w:val="18"/>
                <w:szCs w:val="18"/>
              </w:rPr>
            </w:pPr>
          </w:p>
        </w:tc>
        <w:tc>
          <w:tcPr>
            <w:tcW w:w="1276" w:type="dxa"/>
            <w:vAlign w:val="center"/>
          </w:tcPr>
          <w:p w14:paraId="64D4B128">
            <w:pPr>
              <w:jc w:val="right"/>
              <w:rPr>
                <w:rFonts w:ascii="Calibri" w:hAnsi="Calibri"/>
                <w:sz w:val="18"/>
                <w:szCs w:val="18"/>
              </w:rPr>
            </w:pPr>
          </w:p>
        </w:tc>
        <w:tc>
          <w:tcPr>
            <w:tcW w:w="1559" w:type="dxa"/>
            <w:vAlign w:val="center"/>
          </w:tcPr>
          <w:p w14:paraId="5773A883">
            <w:pPr>
              <w:jc w:val="right"/>
              <w:rPr>
                <w:rFonts w:ascii="Calibri" w:hAnsi="Calibri"/>
                <w:sz w:val="18"/>
                <w:szCs w:val="18"/>
              </w:rPr>
            </w:pPr>
          </w:p>
        </w:tc>
        <w:tc>
          <w:tcPr>
            <w:tcW w:w="1559" w:type="dxa"/>
            <w:vAlign w:val="center"/>
          </w:tcPr>
          <w:p w14:paraId="24E6F6D2">
            <w:pPr>
              <w:jc w:val="right"/>
              <w:rPr>
                <w:rFonts w:ascii="Calibri" w:hAnsi="Calibri"/>
                <w:sz w:val="18"/>
                <w:szCs w:val="18"/>
              </w:rPr>
            </w:pPr>
          </w:p>
        </w:tc>
        <w:tc>
          <w:tcPr>
            <w:tcW w:w="1559" w:type="dxa"/>
            <w:vAlign w:val="center"/>
          </w:tcPr>
          <w:p w14:paraId="3E9E4DA6">
            <w:pPr>
              <w:jc w:val="right"/>
              <w:rPr>
                <w:rFonts w:ascii="Calibri" w:hAnsi="Calibri"/>
                <w:sz w:val="18"/>
                <w:szCs w:val="18"/>
              </w:rPr>
            </w:pPr>
          </w:p>
        </w:tc>
        <w:tc>
          <w:tcPr>
            <w:tcW w:w="1418" w:type="dxa"/>
            <w:vAlign w:val="center"/>
          </w:tcPr>
          <w:p w14:paraId="1914E054">
            <w:pPr>
              <w:jc w:val="right"/>
              <w:rPr>
                <w:rFonts w:ascii="Calibri" w:hAnsi="Calibri"/>
                <w:sz w:val="18"/>
                <w:szCs w:val="18"/>
              </w:rPr>
            </w:pPr>
          </w:p>
        </w:tc>
        <w:tc>
          <w:tcPr>
            <w:tcW w:w="1559" w:type="dxa"/>
            <w:vAlign w:val="center"/>
          </w:tcPr>
          <w:p w14:paraId="0300120D">
            <w:pPr>
              <w:jc w:val="right"/>
              <w:rPr>
                <w:rFonts w:ascii="Calibri" w:hAnsi="Calibri"/>
                <w:sz w:val="18"/>
                <w:szCs w:val="18"/>
              </w:rPr>
            </w:pPr>
          </w:p>
        </w:tc>
      </w:tr>
      <w:tr w14:paraId="121E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db953ff4eb242bd9b2d516481ce5c51"/>
            <w:id w:val="1792247196"/>
          </w:sdtPr>
          <w:sdtContent>
            <w:tc>
              <w:tcPr>
                <w:tcW w:w="1702" w:type="dxa"/>
                <w:vAlign w:val="center"/>
              </w:tcPr>
              <w:p w14:paraId="42C3C780">
                <w:pPr>
                  <w:rPr>
                    <w:rFonts w:ascii="Calibri" w:hAnsi="Calibri"/>
                    <w:sz w:val="18"/>
                    <w:szCs w:val="18"/>
                  </w:rPr>
                </w:pPr>
                <w:r>
                  <w:rPr>
                    <w:rFonts w:ascii="Calibri" w:hAnsi="Calibri"/>
                    <w:sz w:val="18"/>
                    <w:szCs w:val="18"/>
                  </w:rPr>
                  <w:t>3．盈余公积弥补亏损</w:t>
                </w:r>
              </w:p>
            </w:tc>
          </w:sdtContent>
        </w:sdt>
        <w:tc>
          <w:tcPr>
            <w:tcW w:w="1559" w:type="dxa"/>
            <w:vAlign w:val="center"/>
          </w:tcPr>
          <w:p w14:paraId="7BBFE8D8">
            <w:pPr>
              <w:jc w:val="right"/>
              <w:rPr>
                <w:rFonts w:ascii="Calibri" w:hAnsi="Calibri"/>
                <w:sz w:val="18"/>
                <w:szCs w:val="18"/>
              </w:rPr>
            </w:pPr>
          </w:p>
        </w:tc>
        <w:tc>
          <w:tcPr>
            <w:tcW w:w="284" w:type="dxa"/>
            <w:vAlign w:val="center"/>
          </w:tcPr>
          <w:p w14:paraId="4B52A627">
            <w:pPr>
              <w:jc w:val="right"/>
              <w:rPr>
                <w:rFonts w:ascii="Calibri" w:hAnsi="Calibri"/>
                <w:sz w:val="18"/>
                <w:szCs w:val="18"/>
              </w:rPr>
            </w:pPr>
          </w:p>
        </w:tc>
        <w:tc>
          <w:tcPr>
            <w:tcW w:w="283" w:type="dxa"/>
            <w:vAlign w:val="center"/>
          </w:tcPr>
          <w:p w14:paraId="6C4403A0">
            <w:pPr>
              <w:jc w:val="right"/>
              <w:rPr>
                <w:rFonts w:ascii="Calibri" w:hAnsi="Calibri"/>
                <w:sz w:val="18"/>
                <w:szCs w:val="18"/>
              </w:rPr>
            </w:pPr>
          </w:p>
        </w:tc>
        <w:tc>
          <w:tcPr>
            <w:tcW w:w="284" w:type="dxa"/>
            <w:vAlign w:val="center"/>
          </w:tcPr>
          <w:p w14:paraId="521A6090">
            <w:pPr>
              <w:jc w:val="right"/>
              <w:rPr>
                <w:rFonts w:ascii="Calibri" w:hAnsi="Calibri"/>
                <w:sz w:val="18"/>
                <w:szCs w:val="18"/>
              </w:rPr>
            </w:pPr>
          </w:p>
        </w:tc>
        <w:tc>
          <w:tcPr>
            <w:tcW w:w="1417" w:type="dxa"/>
            <w:vAlign w:val="center"/>
          </w:tcPr>
          <w:p w14:paraId="5CB73F08">
            <w:pPr>
              <w:jc w:val="right"/>
              <w:rPr>
                <w:rFonts w:ascii="Calibri" w:hAnsi="Calibri"/>
                <w:sz w:val="18"/>
                <w:szCs w:val="18"/>
              </w:rPr>
            </w:pPr>
          </w:p>
        </w:tc>
        <w:tc>
          <w:tcPr>
            <w:tcW w:w="1418" w:type="dxa"/>
            <w:vAlign w:val="center"/>
          </w:tcPr>
          <w:p w14:paraId="3BF559BF">
            <w:pPr>
              <w:jc w:val="right"/>
              <w:rPr>
                <w:rFonts w:ascii="Calibri" w:hAnsi="Calibri"/>
                <w:sz w:val="18"/>
                <w:szCs w:val="18"/>
              </w:rPr>
            </w:pPr>
          </w:p>
        </w:tc>
        <w:tc>
          <w:tcPr>
            <w:tcW w:w="1276" w:type="dxa"/>
            <w:vAlign w:val="center"/>
          </w:tcPr>
          <w:p w14:paraId="428CE181">
            <w:pPr>
              <w:jc w:val="right"/>
              <w:rPr>
                <w:rFonts w:ascii="Calibri" w:hAnsi="Calibri"/>
                <w:sz w:val="18"/>
                <w:szCs w:val="18"/>
              </w:rPr>
            </w:pPr>
          </w:p>
        </w:tc>
        <w:tc>
          <w:tcPr>
            <w:tcW w:w="1559" w:type="dxa"/>
            <w:vAlign w:val="center"/>
          </w:tcPr>
          <w:p w14:paraId="0CA54B97">
            <w:pPr>
              <w:jc w:val="right"/>
              <w:rPr>
                <w:rFonts w:ascii="Calibri" w:hAnsi="Calibri"/>
                <w:sz w:val="18"/>
                <w:szCs w:val="18"/>
              </w:rPr>
            </w:pPr>
          </w:p>
        </w:tc>
        <w:tc>
          <w:tcPr>
            <w:tcW w:w="1559" w:type="dxa"/>
            <w:vAlign w:val="center"/>
          </w:tcPr>
          <w:p w14:paraId="37221946">
            <w:pPr>
              <w:jc w:val="right"/>
              <w:rPr>
                <w:rFonts w:ascii="Calibri" w:hAnsi="Calibri"/>
                <w:sz w:val="18"/>
                <w:szCs w:val="18"/>
              </w:rPr>
            </w:pPr>
          </w:p>
        </w:tc>
        <w:tc>
          <w:tcPr>
            <w:tcW w:w="1559" w:type="dxa"/>
            <w:vAlign w:val="center"/>
          </w:tcPr>
          <w:p w14:paraId="6F63F0EF">
            <w:pPr>
              <w:jc w:val="right"/>
              <w:rPr>
                <w:rFonts w:ascii="Calibri" w:hAnsi="Calibri"/>
                <w:sz w:val="18"/>
                <w:szCs w:val="18"/>
              </w:rPr>
            </w:pPr>
          </w:p>
        </w:tc>
        <w:tc>
          <w:tcPr>
            <w:tcW w:w="1418" w:type="dxa"/>
            <w:vAlign w:val="center"/>
          </w:tcPr>
          <w:p w14:paraId="70B8BC64">
            <w:pPr>
              <w:jc w:val="right"/>
              <w:rPr>
                <w:rFonts w:ascii="Calibri" w:hAnsi="Calibri"/>
                <w:sz w:val="18"/>
                <w:szCs w:val="18"/>
              </w:rPr>
            </w:pPr>
          </w:p>
        </w:tc>
        <w:tc>
          <w:tcPr>
            <w:tcW w:w="1559" w:type="dxa"/>
            <w:vAlign w:val="center"/>
          </w:tcPr>
          <w:p w14:paraId="2F811587">
            <w:pPr>
              <w:jc w:val="right"/>
              <w:rPr>
                <w:rFonts w:ascii="Calibri" w:hAnsi="Calibri"/>
                <w:sz w:val="18"/>
                <w:szCs w:val="18"/>
              </w:rPr>
            </w:pPr>
          </w:p>
        </w:tc>
      </w:tr>
      <w:tr w14:paraId="2C9C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sdt>
            <w:sdtPr>
              <w:tag w:val="_PLD_4cff15a1162840c480701077d824f063"/>
              <w:id w:val="74328772"/>
            </w:sdtPr>
            <w:sdtContent>
              <w:p w14:paraId="3617C57E">
                <w:pPr>
                  <w:pStyle w:val="48"/>
                  <w:rPr>
                    <w:sz w:val="20"/>
                    <w:szCs w:val="20"/>
                  </w:rPr>
                </w:pPr>
                <w:r>
                  <w:rPr>
                    <w:sz w:val="18"/>
                    <w:szCs w:val="18"/>
                  </w:rPr>
                  <w:t>4．设定受益计划变动额结转留存收益</w:t>
                </w:r>
              </w:p>
            </w:sdtContent>
          </w:sdt>
        </w:tc>
        <w:tc>
          <w:tcPr>
            <w:tcW w:w="1559" w:type="dxa"/>
            <w:vAlign w:val="center"/>
          </w:tcPr>
          <w:p w14:paraId="5062B705">
            <w:pPr>
              <w:jc w:val="right"/>
              <w:rPr>
                <w:rFonts w:ascii="Calibri" w:hAnsi="Calibri"/>
                <w:sz w:val="18"/>
                <w:szCs w:val="18"/>
              </w:rPr>
            </w:pPr>
          </w:p>
        </w:tc>
        <w:tc>
          <w:tcPr>
            <w:tcW w:w="284" w:type="dxa"/>
            <w:vAlign w:val="center"/>
          </w:tcPr>
          <w:p w14:paraId="4A20D8DC">
            <w:pPr>
              <w:jc w:val="right"/>
              <w:rPr>
                <w:rFonts w:ascii="Calibri" w:hAnsi="Calibri"/>
                <w:sz w:val="18"/>
                <w:szCs w:val="18"/>
              </w:rPr>
            </w:pPr>
          </w:p>
        </w:tc>
        <w:tc>
          <w:tcPr>
            <w:tcW w:w="283" w:type="dxa"/>
            <w:vAlign w:val="center"/>
          </w:tcPr>
          <w:p w14:paraId="6C43B686">
            <w:pPr>
              <w:jc w:val="right"/>
              <w:rPr>
                <w:rFonts w:ascii="Calibri" w:hAnsi="Calibri"/>
                <w:sz w:val="18"/>
                <w:szCs w:val="18"/>
              </w:rPr>
            </w:pPr>
          </w:p>
        </w:tc>
        <w:tc>
          <w:tcPr>
            <w:tcW w:w="284" w:type="dxa"/>
            <w:vAlign w:val="center"/>
          </w:tcPr>
          <w:p w14:paraId="6751AB4E">
            <w:pPr>
              <w:jc w:val="right"/>
              <w:rPr>
                <w:rFonts w:ascii="Calibri" w:hAnsi="Calibri"/>
                <w:sz w:val="18"/>
                <w:szCs w:val="18"/>
              </w:rPr>
            </w:pPr>
          </w:p>
        </w:tc>
        <w:tc>
          <w:tcPr>
            <w:tcW w:w="1417" w:type="dxa"/>
            <w:vAlign w:val="center"/>
          </w:tcPr>
          <w:p w14:paraId="67C83AFC">
            <w:pPr>
              <w:jc w:val="right"/>
              <w:rPr>
                <w:rFonts w:ascii="Calibri" w:hAnsi="Calibri"/>
                <w:sz w:val="18"/>
                <w:szCs w:val="18"/>
              </w:rPr>
            </w:pPr>
          </w:p>
        </w:tc>
        <w:tc>
          <w:tcPr>
            <w:tcW w:w="1418" w:type="dxa"/>
            <w:vAlign w:val="center"/>
          </w:tcPr>
          <w:p w14:paraId="48D6CD2E">
            <w:pPr>
              <w:jc w:val="right"/>
              <w:rPr>
                <w:rFonts w:ascii="Calibri" w:hAnsi="Calibri"/>
                <w:sz w:val="18"/>
                <w:szCs w:val="18"/>
              </w:rPr>
            </w:pPr>
          </w:p>
        </w:tc>
        <w:tc>
          <w:tcPr>
            <w:tcW w:w="1276" w:type="dxa"/>
            <w:vAlign w:val="center"/>
          </w:tcPr>
          <w:p w14:paraId="43A5D71E">
            <w:pPr>
              <w:jc w:val="right"/>
              <w:rPr>
                <w:rFonts w:ascii="Calibri" w:hAnsi="Calibri"/>
                <w:sz w:val="18"/>
                <w:szCs w:val="18"/>
              </w:rPr>
            </w:pPr>
          </w:p>
        </w:tc>
        <w:tc>
          <w:tcPr>
            <w:tcW w:w="1559" w:type="dxa"/>
            <w:vAlign w:val="center"/>
          </w:tcPr>
          <w:p w14:paraId="00DD2AEE">
            <w:pPr>
              <w:jc w:val="right"/>
              <w:rPr>
                <w:rFonts w:ascii="Calibri" w:hAnsi="Calibri"/>
                <w:sz w:val="18"/>
                <w:szCs w:val="18"/>
              </w:rPr>
            </w:pPr>
          </w:p>
        </w:tc>
        <w:tc>
          <w:tcPr>
            <w:tcW w:w="1559" w:type="dxa"/>
            <w:vAlign w:val="center"/>
          </w:tcPr>
          <w:p w14:paraId="0B89138E">
            <w:pPr>
              <w:jc w:val="right"/>
              <w:rPr>
                <w:rFonts w:ascii="Calibri" w:hAnsi="Calibri"/>
                <w:sz w:val="18"/>
                <w:szCs w:val="18"/>
              </w:rPr>
            </w:pPr>
          </w:p>
        </w:tc>
        <w:tc>
          <w:tcPr>
            <w:tcW w:w="1559" w:type="dxa"/>
            <w:vAlign w:val="center"/>
          </w:tcPr>
          <w:p w14:paraId="11C62463">
            <w:pPr>
              <w:jc w:val="right"/>
              <w:rPr>
                <w:rFonts w:ascii="Calibri" w:hAnsi="Calibri"/>
                <w:sz w:val="18"/>
                <w:szCs w:val="18"/>
              </w:rPr>
            </w:pPr>
          </w:p>
        </w:tc>
        <w:tc>
          <w:tcPr>
            <w:tcW w:w="1418" w:type="dxa"/>
            <w:vAlign w:val="center"/>
          </w:tcPr>
          <w:p w14:paraId="53D4B82B">
            <w:pPr>
              <w:jc w:val="right"/>
              <w:rPr>
                <w:rFonts w:ascii="Calibri" w:hAnsi="Calibri"/>
                <w:sz w:val="18"/>
                <w:szCs w:val="18"/>
              </w:rPr>
            </w:pPr>
          </w:p>
        </w:tc>
        <w:tc>
          <w:tcPr>
            <w:tcW w:w="1559" w:type="dxa"/>
            <w:vAlign w:val="center"/>
          </w:tcPr>
          <w:p w14:paraId="38541298">
            <w:pPr>
              <w:jc w:val="right"/>
              <w:rPr>
                <w:rFonts w:ascii="Calibri" w:hAnsi="Calibri"/>
                <w:sz w:val="18"/>
                <w:szCs w:val="18"/>
              </w:rPr>
            </w:pPr>
          </w:p>
        </w:tc>
      </w:tr>
      <w:tr w14:paraId="2BAD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sdt>
            <w:sdtPr>
              <w:tag w:val="_PLD_01b44dab85214948b610b65ce91a85dd"/>
              <w:id w:val="-127779693"/>
            </w:sdtPr>
            <w:sdtContent>
              <w:p w14:paraId="214E9ABA">
                <w:pPr>
                  <w:rPr>
                    <w:rFonts w:ascii="Calibri" w:hAnsi="Calibri"/>
                    <w:sz w:val="18"/>
                    <w:szCs w:val="18"/>
                  </w:rPr>
                </w:pPr>
                <w:r>
                  <w:rPr>
                    <w:rFonts w:ascii="Calibri" w:hAnsi="Calibri"/>
                    <w:sz w:val="18"/>
                    <w:szCs w:val="18"/>
                  </w:rPr>
                  <w:t>5．其他综合收益结转留存收益</w:t>
                </w:r>
              </w:p>
            </w:sdtContent>
          </w:sdt>
        </w:tc>
        <w:tc>
          <w:tcPr>
            <w:tcW w:w="1559" w:type="dxa"/>
            <w:vAlign w:val="center"/>
          </w:tcPr>
          <w:p w14:paraId="1CCBE34B">
            <w:pPr>
              <w:jc w:val="right"/>
              <w:rPr>
                <w:rFonts w:ascii="Calibri" w:hAnsi="Calibri"/>
                <w:sz w:val="18"/>
                <w:szCs w:val="18"/>
              </w:rPr>
            </w:pPr>
          </w:p>
        </w:tc>
        <w:tc>
          <w:tcPr>
            <w:tcW w:w="284" w:type="dxa"/>
            <w:vAlign w:val="center"/>
          </w:tcPr>
          <w:p w14:paraId="2B74B77E">
            <w:pPr>
              <w:jc w:val="right"/>
              <w:rPr>
                <w:rFonts w:ascii="Calibri" w:hAnsi="Calibri"/>
                <w:sz w:val="18"/>
                <w:szCs w:val="18"/>
              </w:rPr>
            </w:pPr>
          </w:p>
        </w:tc>
        <w:tc>
          <w:tcPr>
            <w:tcW w:w="283" w:type="dxa"/>
            <w:vAlign w:val="center"/>
          </w:tcPr>
          <w:p w14:paraId="0E1E2DC9">
            <w:pPr>
              <w:jc w:val="right"/>
              <w:rPr>
                <w:rFonts w:ascii="Calibri" w:hAnsi="Calibri"/>
                <w:sz w:val="18"/>
                <w:szCs w:val="18"/>
              </w:rPr>
            </w:pPr>
          </w:p>
        </w:tc>
        <w:tc>
          <w:tcPr>
            <w:tcW w:w="284" w:type="dxa"/>
            <w:vAlign w:val="center"/>
          </w:tcPr>
          <w:p w14:paraId="4CE50341">
            <w:pPr>
              <w:jc w:val="right"/>
              <w:rPr>
                <w:rFonts w:ascii="Calibri" w:hAnsi="Calibri"/>
                <w:sz w:val="18"/>
                <w:szCs w:val="18"/>
              </w:rPr>
            </w:pPr>
          </w:p>
        </w:tc>
        <w:tc>
          <w:tcPr>
            <w:tcW w:w="1417" w:type="dxa"/>
            <w:vAlign w:val="center"/>
          </w:tcPr>
          <w:p w14:paraId="37F67856">
            <w:pPr>
              <w:jc w:val="right"/>
              <w:rPr>
                <w:rFonts w:ascii="Calibri" w:hAnsi="Calibri"/>
                <w:sz w:val="18"/>
                <w:szCs w:val="18"/>
              </w:rPr>
            </w:pPr>
          </w:p>
        </w:tc>
        <w:tc>
          <w:tcPr>
            <w:tcW w:w="1418" w:type="dxa"/>
            <w:vAlign w:val="center"/>
          </w:tcPr>
          <w:p w14:paraId="089F352D">
            <w:pPr>
              <w:jc w:val="right"/>
              <w:rPr>
                <w:rFonts w:ascii="Calibri" w:hAnsi="Calibri"/>
                <w:sz w:val="18"/>
                <w:szCs w:val="18"/>
              </w:rPr>
            </w:pPr>
          </w:p>
        </w:tc>
        <w:tc>
          <w:tcPr>
            <w:tcW w:w="1276" w:type="dxa"/>
            <w:vAlign w:val="center"/>
          </w:tcPr>
          <w:p w14:paraId="6DF8E172">
            <w:pPr>
              <w:jc w:val="right"/>
              <w:rPr>
                <w:rFonts w:ascii="Calibri" w:hAnsi="Calibri"/>
                <w:sz w:val="18"/>
                <w:szCs w:val="18"/>
              </w:rPr>
            </w:pPr>
          </w:p>
        </w:tc>
        <w:tc>
          <w:tcPr>
            <w:tcW w:w="1559" w:type="dxa"/>
            <w:vAlign w:val="center"/>
          </w:tcPr>
          <w:p w14:paraId="520C7324">
            <w:pPr>
              <w:jc w:val="right"/>
              <w:rPr>
                <w:rFonts w:ascii="Calibri" w:hAnsi="Calibri"/>
                <w:sz w:val="18"/>
                <w:szCs w:val="18"/>
              </w:rPr>
            </w:pPr>
          </w:p>
        </w:tc>
        <w:tc>
          <w:tcPr>
            <w:tcW w:w="1559" w:type="dxa"/>
            <w:vAlign w:val="center"/>
          </w:tcPr>
          <w:p w14:paraId="3366D17A">
            <w:pPr>
              <w:jc w:val="right"/>
              <w:rPr>
                <w:rFonts w:ascii="Calibri" w:hAnsi="Calibri"/>
                <w:sz w:val="18"/>
                <w:szCs w:val="18"/>
              </w:rPr>
            </w:pPr>
          </w:p>
        </w:tc>
        <w:tc>
          <w:tcPr>
            <w:tcW w:w="1559" w:type="dxa"/>
            <w:vAlign w:val="center"/>
          </w:tcPr>
          <w:p w14:paraId="2C7E94FF">
            <w:pPr>
              <w:jc w:val="right"/>
              <w:rPr>
                <w:rFonts w:ascii="Calibri" w:hAnsi="Calibri"/>
                <w:sz w:val="18"/>
                <w:szCs w:val="18"/>
              </w:rPr>
            </w:pPr>
          </w:p>
        </w:tc>
        <w:tc>
          <w:tcPr>
            <w:tcW w:w="1418" w:type="dxa"/>
            <w:vAlign w:val="center"/>
          </w:tcPr>
          <w:p w14:paraId="237F3DB9">
            <w:pPr>
              <w:jc w:val="right"/>
              <w:rPr>
                <w:rFonts w:ascii="Calibri" w:hAnsi="Calibri"/>
                <w:sz w:val="18"/>
                <w:szCs w:val="18"/>
              </w:rPr>
            </w:pPr>
          </w:p>
        </w:tc>
        <w:tc>
          <w:tcPr>
            <w:tcW w:w="1559" w:type="dxa"/>
            <w:vAlign w:val="center"/>
          </w:tcPr>
          <w:p w14:paraId="725B9725">
            <w:pPr>
              <w:jc w:val="right"/>
              <w:rPr>
                <w:rFonts w:ascii="Calibri" w:hAnsi="Calibri"/>
                <w:sz w:val="18"/>
                <w:szCs w:val="18"/>
              </w:rPr>
            </w:pPr>
          </w:p>
        </w:tc>
      </w:tr>
      <w:tr w14:paraId="719B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ac599075bf24593ba41b1bec2fb0e9e"/>
            <w:id w:val="866342858"/>
          </w:sdtPr>
          <w:sdtContent>
            <w:tc>
              <w:tcPr>
                <w:tcW w:w="1702" w:type="dxa"/>
                <w:vAlign w:val="center"/>
              </w:tcPr>
              <w:p w14:paraId="0DA40B53">
                <w:pPr>
                  <w:rPr>
                    <w:rFonts w:ascii="Calibri" w:hAnsi="Calibri"/>
                    <w:sz w:val="18"/>
                    <w:szCs w:val="18"/>
                  </w:rPr>
                </w:pPr>
                <w:r>
                  <w:rPr>
                    <w:rFonts w:ascii="Calibri" w:hAnsi="Calibri"/>
                    <w:sz w:val="18"/>
                    <w:szCs w:val="18"/>
                  </w:rPr>
                  <w:t>6．其他</w:t>
                </w:r>
              </w:p>
            </w:tc>
          </w:sdtContent>
        </w:sdt>
        <w:tc>
          <w:tcPr>
            <w:tcW w:w="1559" w:type="dxa"/>
            <w:vAlign w:val="center"/>
          </w:tcPr>
          <w:p w14:paraId="06C3D208">
            <w:pPr>
              <w:jc w:val="right"/>
              <w:rPr>
                <w:rFonts w:ascii="Calibri" w:hAnsi="Calibri"/>
                <w:sz w:val="18"/>
                <w:szCs w:val="18"/>
              </w:rPr>
            </w:pPr>
          </w:p>
        </w:tc>
        <w:tc>
          <w:tcPr>
            <w:tcW w:w="284" w:type="dxa"/>
            <w:vAlign w:val="center"/>
          </w:tcPr>
          <w:p w14:paraId="4F9E414D">
            <w:pPr>
              <w:jc w:val="right"/>
              <w:rPr>
                <w:rFonts w:ascii="Calibri" w:hAnsi="Calibri"/>
                <w:sz w:val="18"/>
                <w:szCs w:val="18"/>
              </w:rPr>
            </w:pPr>
          </w:p>
        </w:tc>
        <w:tc>
          <w:tcPr>
            <w:tcW w:w="283" w:type="dxa"/>
            <w:vAlign w:val="center"/>
          </w:tcPr>
          <w:p w14:paraId="19C2B020">
            <w:pPr>
              <w:jc w:val="right"/>
              <w:rPr>
                <w:rFonts w:ascii="Calibri" w:hAnsi="Calibri"/>
                <w:sz w:val="18"/>
                <w:szCs w:val="18"/>
              </w:rPr>
            </w:pPr>
          </w:p>
        </w:tc>
        <w:tc>
          <w:tcPr>
            <w:tcW w:w="284" w:type="dxa"/>
            <w:vAlign w:val="center"/>
          </w:tcPr>
          <w:p w14:paraId="522DF8DB">
            <w:pPr>
              <w:jc w:val="right"/>
              <w:rPr>
                <w:rFonts w:ascii="Calibri" w:hAnsi="Calibri"/>
                <w:sz w:val="18"/>
                <w:szCs w:val="18"/>
              </w:rPr>
            </w:pPr>
          </w:p>
        </w:tc>
        <w:tc>
          <w:tcPr>
            <w:tcW w:w="1417" w:type="dxa"/>
            <w:vAlign w:val="center"/>
          </w:tcPr>
          <w:p w14:paraId="7515F089">
            <w:pPr>
              <w:jc w:val="right"/>
              <w:rPr>
                <w:rFonts w:ascii="Calibri" w:hAnsi="Calibri"/>
                <w:sz w:val="18"/>
                <w:szCs w:val="18"/>
              </w:rPr>
            </w:pPr>
          </w:p>
        </w:tc>
        <w:tc>
          <w:tcPr>
            <w:tcW w:w="1418" w:type="dxa"/>
            <w:vAlign w:val="center"/>
          </w:tcPr>
          <w:p w14:paraId="5B49083A">
            <w:pPr>
              <w:jc w:val="right"/>
              <w:rPr>
                <w:rFonts w:ascii="Calibri" w:hAnsi="Calibri"/>
                <w:sz w:val="18"/>
                <w:szCs w:val="18"/>
              </w:rPr>
            </w:pPr>
          </w:p>
        </w:tc>
        <w:tc>
          <w:tcPr>
            <w:tcW w:w="1276" w:type="dxa"/>
            <w:vAlign w:val="center"/>
          </w:tcPr>
          <w:p w14:paraId="605C39E6">
            <w:pPr>
              <w:jc w:val="right"/>
              <w:rPr>
                <w:rFonts w:ascii="Calibri" w:hAnsi="Calibri"/>
                <w:sz w:val="18"/>
                <w:szCs w:val="18"/>
              </w:rPr>
            </w:pPr>
          </w:p>
        </w:tc>
        <w:tc>
          <w:tcPr>
            <w:tcW w:w="1559" w:type="dxa"/>
            <w:vAlign w:val="center"/>
          </w:tcPr>
          <w:p w14:paraId="592FBF4A">
            <w:pPr>
              <w:jc w:val="right"/>
              <w:rPr>
                <w:rFonts w:ascii="Calibri" w:hAnsi="Calibri"/>
                <w:sz w:val="18"/>
                <w:szCs w:val="18"/>
              </w:rPr>
            </w:pPr>
          </w:p>
        </w:tc>
        <w:tc>
          <w:tcPr>
            <w:tcW w:w="1559" w:type="dxa"/>
            <w:vAlign w:val="center"/>
          </w:tcPr>
          <w:p w14:paraId="17C8FF2F">
            <w:pPr>
              <w:jc w:val="right"/>
              <w:rPr>
                <w:rFonts w:ascii="Calibri" w:hAnsi="Calibri"/>
                <w:sz w:val="18"/>
                <w:szCs w:val="18"/>
              </w:rPr>
            </w:pPr>
          </w:p>
        </w:tc>
        <w:tc>
          <w:tcPr>
            <w:tcW w:w="1559" w:type="dxa"/>
            <w:vAlign w:val="center"/>
          </w:tcPr>
          <w:p w14:paraId="26D3401F">
            <w:pPr>
              <w:jc w:val="right"/>
              <w:rPr>
                <w:rFonts w:ascii="Calibri" w:hAnsi="Calibri"/>
                <w:sz w:val="18"/>
                <w:szCs w:val="18"/>
              </w:rPr>
            </w:pPr>
          </w:p>
        </w:tc>
        <w:tc>
          <w:tcPr>
            <w:tcW w:w="1418" w:type="dxa"/>
            <w:vAlign w:val="center"/>
          </w:tcPr>
          <w:p w14:paraId="5E6C9A3D">
            <w:pPr>
              <w:jc w:val="right"/>
              <w:rPr>
                <w:rFonts w:ascii="Calibri" w:hAnsi="Calibri"/>
                <w:sz w:val="18"/>
                <w:szCs w:val="18"/>
              </w:rPr>
            </w:pPr>
          </w:p>
        </w:tc>
        <w:tc>
          <w:tcPr>
            <w:tcW w:w="1559" w:type="dxa"/>
            <w:vAlign w:val="center"/>
          </w:tcPr>
          <w:p w14:paraId="0DD17E69">
            <w:pPr>
              <w:jc w:val="right"/>
              <w:rPr>
                <w:rFonts w:ascii="Calibri" w:hAnsi="Calibri"/>
                <w:sz w:val="18"/>
                <w:szCs w:val="18"/>
              </w:rPr>
            </w:pPr>
          </w:p>
        </w:tc>
      </w:tr>
      <w:tr w14:paraId="5D10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606d8680d944e6999b3743f1fcf75f9"/>
            <w:id w:val="759727342"/>
          </w:sdtPr>
          <w:sdtContent>
            <w:tc>
              <w:tcPr>
                <w:tcW w:w="1702" w:type="dxa"/>
                <w:vAlign w:val="center"/>
              </w:tcPr>
              <w:p w14:paraId="09BE65EB">
                <w:pPr>
                  <w:rPr>
                    <w:rFonts w:ascii="Calibri" w:hAnsi="Calibri"/>
                    <w:sz w:val="18"/>
                    <w:szCs w:val="18"/>
                  </w:rPr>
                </w:pPr>
                <w:r>
                  <w:rPr>
                    <w:rFonts w:hint="eastAsia" w:ascii="Calibri" w:hAnsi="Calibri"/>
                    <w:sz w:val="18"/>
                    <w:szCs w:val="18"/>
                  </w:rPr>
                  <w:t>（五）专项储备</w:t>
                </w:r>
              </w:p>
            </w:tc>
          </w:sdtContent>
        </w:sdt>
        <w:tc>
          <w:tcPr>
            <w:tcW w:w="1559" w:type="dxa"/>
            <w:vAlign w:val="center"/>
          </w:tcPr>
          <w:p w14:paraId="3ED9894A">
            <w:pPr>
              <w:jc w:val="right"/>
              <w:rPr>
                <w:rFonts w:ascii="Calibri" w:hAnsi="Calibri"/>
                <w:sz w:val="18"/>
                <w:szCs w:val="18"/>
              </w:rPr>
            </w:pPr>
          </w:p>
        </w:tc>
        <w:tc>
          <w:tcPr>
            <w:tcW w:w="284" w:type="dxa"/>
            <w:vAlign w:val="center"/>
          </w:tcPr>
          <w:p w14:paraId="27B0945C">
            <w:pPr>
              <w:jc w:val="right"/>
              <w:rPr>
                <w:rFonts w:ascii="Calibri" w:hAnsi="Calibri"/>
                <w:sz w:val="18"/>
                <w:szCs w:val="18"/>
              </w:rPr>
            </w:pPr>
          </w:p>
        </w:tc>
        <w:tc>
          <w:tcPr>
            <w:tcW w:w="283" w:type="dxa"/>
            <w:vAlign w:val="center"/>
          </w:tcPr>
          <w:p w14:paraId="254782B6">
            <w:pPr>
              <w:jc w:val="right"/>
              <w:rPr>
                <w:rFonts w:ascii="Calibri" w:hAnsi="Calibri"/>
                <w:sz w:val="18"/>
                <w:szCs w:val="18"/>
              </w:rPr>
            </w:pPr>
          </w:p>
        </w:tc>
        <w:tc>
          <w:tcPr>
            <w:tcW w:w="284" w:type="dxa"/>
            <w:vAlign w:val="center"/>
          </w:tcPr>
          <w:p w14:paraId="289376F9">
            <w:pPr>
              <w:jc w:val="right"/>
              <w:rPr>
                <w:rFonts w:ascii="Calibri" w:hAnsi="Calibri"/>
                <w:sz w:val="18"/>
                <w:szCs w:val="18"/>
              </w:rPr>
            </w:pPr>
          </w:p>
        </w:tc>
        <w:tc>
          <w:tcPr>
            <w:tcW w:w="1417" w:type="dxa"/>
            <w:vAlign w:val="center"/>
          </w:tcPr>
          <w:p w14:paraId="0898D9DA">
            <w:pPr>
              <w:jc w:val="right"/>
              <w:rPr>
                <w:rFonts w:ascii="Calibri" w:hAnsi="Calibri"/>
                <w:sz w:val="18"/>
                <w:szCs w:val="18"/>
              </w:rPr>
            </w:pPr>
          </w:p>
        </w:tc>
        <w:tc>
          <w:tcPr>
            <w:tcW w:w="1418" w:type="dxa"/>
            <w:vAlign w:val="center"/>
          </w:tcPr>
          <w:p w14:paraId="046BFA3B">
            <w:pPr>
              <w:jc w:val="right"/>
              <w:rPr>
                <w:rFonts w:ascii="Calibri" w:hAnsi="Calibri"/>
                <w:sz w:val="18"/>
                <w:szCs w:val="18"/>
              </w:rPr>
            </w:pPr>
          </w:p>
        </w:tc>
        <w:tc>
          <w:tcPr>
            <w:tcW w:w="1276" w:type="dxa"/>
            <w:vAlign w:val="center"/>
          </w:tcPr>
          <w:p w14:paraId="393331F2">
            <w:pPr>
              <w:jc w:val="right"/>
              <w:rPr>
                <w:rFonts w:ascii="Calibri" w:hAnsi="Calibri"/>
                <w:sz w:val="18"/>
                <w:szCs w:val="18"/>
              </w:rPr>
            </w:pPr>
          </w:p>
        </w:tc>
        <w:tc>
          <w:tcPr>
            <w:tcW w:w="1559" w:type="dxa"/>
            <w:vAlign w:val="center"/>
          </w:tcPr>
          <w:p w14:paraId="0E436A17">
            <w:pPr>
              <w:jc w:val="right"/>
              <w:rPr>
                <w:rFonts w:ascii="Calibri" w:hAnsi="Calibri"/>
                <w:sz w:val="18"/>
                <w:szCs w:val="18"/>
              </w:rPr>
            </w:pPr>
          </w:p>
        </w:tc>
        <w:tc>
          <w:tcPr>
            <w:tcW w:w="1559" w:type="dxa"/>
            <w:vAlign w:val="center"/>
          </w:tcPr>
          <w:p w14:paraId="4C39BD26">
            <w:pPr>
              <w:jc w:val="right"/>
              <w:rPr>
                <w:rFonts w:ascii="Calibri" w:hAnsi="Calibri"/>
                <w:sz w:val="18"/>
                <w:szCs w:val="18"/>
              </w:rPr>
            </w:pPr>
          </w:p>
        </w:tc>
        <w:tc>
          <w:tcPr>
            <w:tcW w:w="1559" w:type="dxa"/>
            <w:vAlign w:val="center"/>
          </w:tcPr>
          <w:p w14:paraId="734057D2">
            <w:pPr>
              <w:jc w:val="right"/>
              <w:rPr>
                <w:rFonts w:ascii="Calibri" w:hAnsi="Calibri"/>
                <w:sz w:val="18"/>
                <w:szCs w:val="18"/>
              </w:rPr>
            </w:pPr>
          </w:p>
        </w:tc>
        <w:tc>
          <w:tcPr>
            <w:tcW w:w="1418" w:type="dxa"/>
            <w:vAlign w:val="center"/>
          </w:tcPr>
          <w:p w14:paraId="58F81F34">
            <w:pPr>
              <w:jc w:val="right"/>
              <w:rPr>
                <w:rFonts w:ascii="Calibri" w:hAnsi="Calibri"/>
                <w:sz w:val="18"/>
                <w:szCs w:val="18"/>
              </w:rPr>
            </w:pPr>
          </w:p>
        </w:tc>
        <w:tc>
          <w:tcPr>
            <w:tcW w:w="1559" w:type="dxa"/>
            <w:vAlign w:val="center"/>
          </w:tcPr>
          <w:p w14:paraId="75E88315">
            <w:pPr>
              <w:jc w:val="right"/>
              <w:rPr>
                <w:rFonts w:ascii="Calibri" w:hAnsi="Calibri"/>
                <w:sz w:val="18"/>
                <w:szCs w:val="18"/>
              </w:rPr>
            </w:pPr>
          </w:p>
        </w:tc>
      </w:tr>
      <w:tr w14:paraId="5EAD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1e7a107b4eb42c48000b98a786d499c"/>
            <w:id w:val="-180359167"/>
          </w:sdtPr>
          <w:sdtContent>
            <w:tc>
              <w:tcPr>
                <w:tcW w:w="1702" w:type="dxa"/>
                <w:vAlign w:val="center"/>
              </w:tcPr>
              <w:p w14:paraId="5CB1287B">
                <w:pPr>
                  <w:rPr>
                    <w:rFonts w:ascii="Calibri" w:hAnsi="Calibri"/>
                    <w:sz w:val="18"/>
                    <w:szCs w:val="18"/>
                  </w:rPr>
                </w:pPr>
                <w:r>
                  <w:rPr>
                    <w:rFonts w:hint="eastAsia" w:ascii="Calibri" w:hAnsi="Calibri"/>
                    <w:sz w:val="18"/>
                    <w:szCs w:val="18"/>
                  </w:rPr>
                  <w:t>1．本期提取</w:t>
                </w:r>
              </w:p>
            </w:tc>
          </w:sdtContent>
        </w:sdt>
        <w:tc>
          <w:tcPr>
            <w:tcW w:w="1559" w:type="dxa"/>
            <w:vAlign w:val="center"/>
          </w:tcPr>
          <w:p w14:paraId="10E5147F">
            <w:pPr>
              <w:jc w:val="right"/>
              <w:rPr>
                <w:rFonts w:ascii="Calibri" w:hAnsi="Calibri"/>
                <w:sz w:val="18"/>
                <w:szCs w:val="18"/>
              </w:rPr>
            </w:pPr>
          </w:p>
        </w:tc>
        <w:tc>
          <w:tcPr>
            <w:tcW w:w="284" w:type="dxa"/>
            <w:vAlign w:val="center"/>
          </w:tcPr>
          <w:p w14:paraId="1E32F8C5">
            <w:pPr>
              <w:jc w:val="right"/>
              <w:rPr>
                <w:rFonts w:ascii="Calibri" w:hAnsi="Calibri"/>
                <w:sz w:val="18"/>
                <w:szCs w:val="18"/>
              </w:rPr>
            </w:pPr>
          </w:p>
        </w:tc>
        <w:tc>
          <w:tcPr>
            <w:tcW w:w="283" w:type="dxa"/>
            <w:vAlign w:val="center"/>
          </w:tcPr>
          <w:p w14:paraId="0ED7415D">
            <w:pPr>
              <w:jc w:val="right"/>
              <w:rPr>
                <w:rFonts w:ascii="Calibri" w:hAnsi="Calibri"/>
                <w:sz w:val="18"/>
                <w:szCs w:val="18"/>
              </w:rPr>
            </w:pPr>
          </w:p>
        </w:tc>
        <w:tc>
          <w:tcPr>
            <w:tcW w:w="284" w:type="dxa"/>
            <w:vAlign w:val="center"/>
          </w:tcPr>
          <w:p w14:paraId="2E920C05">
            <w:pPr>
              <w:jc w:val="right"/>
              <w:rPr>
                <w:rFonts w:ascii="Calibri" w:hAnsi="Calibri"/>
                <w:sz w:val="18"/>
                <w:szCs w:val="18"/>
              </w:rPr>
            </w:pPr>
          </w:p>
        </w:tc>
        <w:tc>
          <w:tcPr>
            <w:tcW w:w="1417" w:type="dxa"/>
            <w:vAlign w:val="center"/>
          </w:tcPr>
          <w:p w14:paraId="6EF9283D">
            <w:pPr>
              <w:jc w:val="right"/>
              <w:rPr>
                <w:rFonts w:ascii="Calibri" w:hAnsi="Calibri"/>
                <w:sz w:val="18"/>
                <w:szCs w:val="18"/>
              </w:rPr>
            </w:pPr>
          </w:p>
        </w:tc>
        <w:tc>
          <w:tcPr>
            <w:tcW w:w="1418" w:type="dxa"/>
            <w:vAlign w:val="center"/>
          </w:tcPr>
          <w:p w14:paraId="6EC56553">
            <w:pPr>
              <w:jc w:val="right"/>
              <w:rPr>
                <w:rFonts w:ascii="Calibri" w:hAnsi="Calibri"/>
                <w:sz w:val="18"/>
                <w:szCs w:val="18"/>
              </w:rPr>
            </w:pPr>
          </w:p>
        </w:tc>
        <w:tc>
          <w:tcPr>
            <w:tcW w:w="1276" w:type="dxa"/>
            <w:vAlign w:val="center"/>
          </w:tcPr>
          <w:p w14:paraId="2144A869">
            <w:pPr>
              <w:jc w:val="right"/>
              <w:rPr>
                <w:rFonts w:ascii="Calibri" w:hAnsi="Calibri"/>
                <w:sz w:val="18"/>
                <w:szCs w:val="18"/>
              </w:rPr>
            </w:pPr>
          </w:p>
        </w:tc>
        <w:tc>
          <w:tcPr>
            <w:tcW w:w="1559" w:type="dxa"/>
            <w:vAlign w:val="center"/>
          </w:tcPr>
          <w:p w14:paraId="08D7B008">
            <w:pPr>
              <w:jc w:val="right"/>
              <w:rPr>
                <w:rFonts w:ascii="Calibri" w:hAnsi="Calibri"/>
                <w:sz w:val="18"/>
                <w:szCs w:val="18"/>
              </w:rPr>
            </w:pPr>
          </w:p>
        </w:tc>
        <w:tc>
          <w:tcPr>
            <w:tcW w:w="1559" w:type="dxa"/>
            <w:vAlign w:val="center"/>
          </w:tcPr>
          <w:p w14:paraId="0673E141">
            <w:pPr>
              <w:jc w:val="right"/>
              <w:rPr>
                <w:rFonts w:ascii="Calibri" w:hAnsi="Calibri"/>
                <w:sz w:val="18"/>
                <w:szCs w:val="18"/>
              </w:rPr>
            </w:pPr>
          </w:p>
        </w:tc>
        <w:tc>
          <w:tcPr>
            <w:tcW w:w="1559" w:type="dxa"/>
            <w:vAlign w:val="center"/>
          </w:tcPr>
          <w:p w14:paraId="3F98DDD7">
            <w:pPr>
              <w:jc w:val="right"/>
              <w:rPr>
                <w:rFonts w:ascii="Calibri" w:hAnsi="Calibri"/>
                <w:sz w:val="18"/>
                <w:szCs w:val="18"/>
              </w:rPr>
            </w:pPr>
          </w:p>
        </w:tc>
        <w:tc>
          <w:tcPr>
            <w:tcW w:w="1418" w:type="dxa"/>
            <w:vAlign w:val="center"/>
          </w:tcPr>
          <w:p w14:paraId="74EBB013">
            <w:pPr>
              <w:jc w:val="right"/>
              <w:rPr>
                <w:rFonts w:ascii="Calibri" w:hAnsi="Calibri"/>
                <w:sz w:val="18"/>
                <w:szCs w:val="18"/>
              </w:rPr>
            </w:pPr>
          </w:p>
        </w:tc>
        <w:tc>
          <w:tcPr>
            <w:tcW w:w="1559" w:type="dxa"/>
            <w:vAlign w:val="center"/>
          </w:tcPr>
          <w:p w14:paraId="515A41B6">
            <w:pPr>
              <w:jc w:val="right"/>
              <w:rPr>
                <w:rFonts w:ascii="Calibri" w:hAnsi="Calibri"/>
                <w:sz w:val="18"/>
                <w:szCs w:val="18"/>
              </w:rPr>
            </w:pPr>
          </w:p>
        </w:tc>
      </w:tr>
      <w:tr w14:paraId="2D93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9b59bbd4f7a49708a1fc0c2a96e3869"/>
            <w:id w:val="-919786713"/>
          </w:sdtPr>
          <w:sdtContent>
            <w:tc>
              <w:tcPr>
                <w:tcW w:w="1702" w:type="dxa"/>
                <w:vAlign w:val="center"/>
              </w:tcPr>
              <w:p w14:paraId="7C5D25FA">
                <w:pPr>
                  <w:rPr>
                    <w:rFonts w:ascii="Calibri" w:hAnsi="Calibri"/>
                    <w:sz w:val="18"/>
                    <w:szCs w:val="18"/>
                  </w:rPr>
                </w:pPr>
                <w:r>
                  <w:rPr>
                    <w:rFonts w:hint="eastAsia" w:ascii="Calibri" w:hAnsi="Calibri"/>
                    <w:sz w:val="18"/>
                    <w:szCs w:val="18"/>
                  </w:rPr>
                  <w:t>2．本期使用</w:t>
                </w:r>
              </w:p>
            </w:tc>
          </w:sdtContent>
        </w:sdt>
        <w:tc>
          <w:tcPr>
            <w:tcW w:w="1559" w:type="dxa"/>
            <w:vAlign w:val="center"/>
          </w:tcPr>
          <w:p w14:paraId="239D43DF">
            <w:pPr>
              <w:jc w:val="right"/>
              <w:rPr>
                <w:rFonts w:ascii="Calibri" w:hAnsi="Calibri"/>
                <w:sz w:val="18"/>
                <w:szCs w:val="18"/>
              </w:rPr>
            </w:pPr>
          </w:p>
        </w:tc>
        <w:tc>
          <w:tcPr>
            <w:tcW w:w="284" w:type="dxa"/>
            <w:vAlign w:val="center"/>
          </w:tcPr>
          <w:p w14:paraId="5F7777AB">
            <w:pPr>
              <w:jc w:val="right"/>
              <w:rPr>
                <w:rFonts w:ascii="Calibri" w:hAnsi="Calibri"/>
                <w:sz w:val="18"/>
                <w:szCs w:val="18"/>
              </w:rPr>
            </w:pPr>
          </w:p>
        </w:tc>
        <w:tc>
          <w:tcPr>
            <w:tcW w:w="283" w:type="dxa"/>
            <w:vAlign w:val="center"/>
          </w:tcPr>
          <w:p w14:paraId="44AA906D">
            <w:pPr>
              <w:jc w:val="right"/>
              <w:rPr>
                <w:rFonts w:ascii="Calibri" w:hAnsi="Calibri"/>
                <w:sz w:val="18"/>
                <w:szCs w:val="18"/>
              </w:rPr>
            </w:pPr>
          </w:p>
        </w:tc>
        <w:tc>
          <w:tcPr>
            <w:tcW w:w="284" w:type="dxa"/>
            <w:vAlign w:val="center"/>
          </w:tcPr>
          <w:p w14:paraId="2931F473">
            <w:pPr>
              <w:jc w:val="right"/>
              <w:rPr>
                <w:rFonts w:ascii="Calibri" w:hAnsi="Calibri"/>
                <w:sz w:val="18"/>
                <w:szCs w:val="18"/>
              </w:rPr>
            </w:pPr>
          </w:p>
        </w:tc>
        <w:tc>
          <w:tcPr>
            <w:tcW w:w="1417" w:type="dxa"/>
            <w:vAlign w:val="center"/>
          </w:tcPr>
          <w:p w14:paraId="5B403C87">
            <w:pPr>
              <w:jc w:val="right"/>
              <w:rPr>
                <w:rFonts w:ascii="Calibri" w:hAnsi="Calibri"/>
                <w:sz w:val="18"/>
                <w:szCs w:val="18"/>
              </w:rPr>
            </w:pPr>
          </w:p>
        </w:tc>
        <w:tc>
          <w:tcPr>
            <w:tcW w:w="1418" w:type="dxa"/>
            <w:vAlign w:val="center"/>
          </w:tcPr>
          <w:p w14:paraId="560334B1">
            <w:pPr>
              <w:jc w:val="right"/>
              <w:rPr>
                <w:rFonts w:ascii="Calibri" w:hAnsi="Calibri"/>
                <w:sz w:val="18"/>
                <w:szCs w:val="18"/>
              </w:rPr>
            </w:pPr>
          </w:p>
        </w:tc>
        <w:tc>
          <w:tcPr>
            <w:tcW w:w="1276" w:type="dxa"/>
            <w:vAlign w:val="center"/>
          </w:tcPr>
          <w:p w14:paraId="266D9613">
            <w:pPr>
              <w:jc w:val="right"/>
              <w:rPr>
                <w:rFonts w:ascii="Calibri" w:hAnsi="Calibri"/>
                <w:sz w:val="18"/>
                <w:szCs w:val="18"/>
              </w:rPr>
            </w:pPr>
          </w:p>
        </w:tc>
        <w:tc>
          <w:tcPr>
            <w:tcW w:w="1559" w:type="dxa"/>
            <w:vAlign w:val="center"/>
          </w:tcPr>
          <w:p w14:paraId="2CDBDD8A">
            <w:pPr>
              <w:jc w:val="right"/>
              <w:rPr>
                <w:rFonts w:ascii="Calibri" w:hAnsi="Calibri"/>
                <w:sz w:val="18"/>
                <w:szCs w:val="18"/>
              </w:rPr>
            </w:pPr>
          </w:p>
        </w:tc>
        <w:tc>
          <w:tcPr>
            <w:tcW w:w="1559" w:type="dxa"/>
            <w:vAlign w:val="center"/>
          </w:tcPr>
          <w:p w14:paraId="59880469">
            <w:pPr>
              <w:jc w:val="right"/>
              <w:rPr>
                <w:rFonts w:ascii="Calibri" w:hAnsi="Calibri"/>
                <w:sz w:val="18"/>
                <w:szCs w:val="18"/>
              </w:rPr>
            </w:pPr>
          </w:p>
        </w:tc>
        <w:tc>
          <w:tcPr>
            <w:tcW w:w="1559" w:type="dxa"/>
            <w:vAlign w:val="center"/>
          </w:tcPr>
          <w:p w14:paraId="069AD305">
            <w:pPr>
              <w:jc w:val="right"/>
              <w:rPr>
                <w:rFonts w:ascii="Calibri" w:hAnsi="Calibri"/>
                <w:sz w:val="18"/>
                <w:szCs w:val="18"/>
              </w:rPr>
            </w:pPr>
          </w:p>
        </w:tc>
        <w:tc>
          <w:tcPr>
            <w:tcW w:w="1418" w:type="dxa"/>
            <w:vAlign w:val="center"/>
          </w:tcPr>
          <w:p w14:paraId="2A54E059">
            <w:pPr>
              <w:jc w:val="right"/>
              <w:rPr>
                <w:rFonts w:ascii="Calibri" w:hAnsi="Calibri"/>
                <w:sz w:val="18"/>
                <w:szCs w:val="18"/>
              </w:rPr>
            </w:pPr>
          </w:p>
        </w:tc>
        <w:tc>
          <w:tcPr>
            <w:tcW w:w="1559" w:type="dxa"/>
            <w:vAlign w:val="center"/>
          </w:tcPr>
          <w:p w14:paraId="3D85A985">
            <w:pPr>
              <w:jc w:val="right"/>
              <w:rPr>
                <w:rFonts w:ascii="Calibri" w:hAnsi="Calibri"/>
                <w:sz w:val="18"/>
                <w:szCs w:val="18"/>
              </w:rPr>
            </w:pPr>
          </w:p>
        </w:tc>
      </w:tr>
      <w:tr w14:paraId="6501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e6f5912872d41cc910f3bdca18b82d0"/>
            <w:id w:val="-1020618585"/>
          </w:sdtPr>
          <w:sdtContent>
            <w:tc>
              <w:tcPr>
                <w:tcW w:w="1702" w:type="dxa"/>
                <w:vAlign w:val="center"/>
              </w:tcPr>
              <w:p w14:paraId="3E7AA79D">
                <w:pPr>
                  <w:rPr>
                    <w:rFonts w:ascii="Calibri" w:hAnsi="Calibri"/>
                    <w:sz w:val="18"/>
                    <w:szCs w:val="18"/>
                  </w:rPr>
                </w:pPr>
                <w:r>
                  <w:rPr>
                    <w:rFonts w:hint="eastAsia" w:ascii="Calibri" w:hAnsi="Calibri"/>
                    <w:sz w:val="18"/>
                    <w:szCs w:val="18"/>
                  </w:rPr>
                  <w:t>（六）其他</w:t>
                </w:r>
              </w:p>
            </w:tc>
          </w:sdtContent>
        </w:sdt>
        <w:tc>
          <w:tcPr>
            <w:tcW w:w="1559" w:type="dxa"/>
            <w:vAlign w:val="center"/>
          </w:tcPr>
          <w:p w14:paraId="3C8F0C7D">
            <w:pPr>
              <w:jc w:val="right"/>
              <w:rPr>
                <w:rFonts w:ascii="Calibri" w:hAnsi="Calibri"/>
                <w:sz w:val="18"/>
                <w:szCs w:val="18"/>
              </w:rPr>
            </w:pPr>
          </w:p>
        </w:tc>
        <w:tc>
          <w:tcPr>
            <w:tcW w:w="284" w:type="dxa"/>
            <w:vAlign w:val="center"/>
          </w:tcPr>
          <w:p w14:paraId="4FFD3F3A">
            <w:pPr>
              <w:jc w:val="right"/>
              <w:rPr>
                <w:rFonts w:ascii="Calibri" w:hAnsi="Calibri"/>
                <w:sz w:val="18"/>
                <w:szCs w:val="18"/>
              </w:rPr>
            </w:pPr>
          </w:p>
        </w:tc>
        <w:tc>
          <w:tcPr>
            <w:tcW w:w="283" w:type="dxa"/>
            <w:vAlign w:val="center"/>
          </w:tcPr>
          <w:p w14:paraId="4B5CF439">
            <w:pPr>
              <w:jc w:val="right"/>
              <w:rPr>
                <w:rFonts w:ascii="Calibri" w:hAnsi="Calibri"/>
                <w:sz w:val="18"/>
                <w:szCs w:val="18"/>
              </w:rPr>
            </w:pPr>
          </w:p>
        </w:tc>
        <w:tc>
          <w:tcPr>
            <w:tcW w:w="284" w:type="dxa"/>
            <w:vAlign w:val="center"/>
          </w:tcPr>
          <w:p w14:paraId="68752191">
            <w:pPr>
              <w:jc w:val="right"/>
              <w:rPr>
                <w:rFonts w:ascii="Calibri" w:hAnsi="Calibri"/>
                <w:sz w:val="18"/>
                <w:szCs w:val="18"/>
              </w:rPr>
            </w:pPr>
          </w:p>
        </w:tc>
        <w:tc>
          <w:tcPr>
            <w:tcW w:w="1417" w:type="dxa"/>
            <w:vAlign w:val="center"/>
          </w:tcPr>
          <w:p w14:paraId="627158DC">
            <w:pPr>
              <w:jc w:val="right"/>
              <w:rPr>
                <w:rFonts w:ascii="Calibri" w:hAnsi="Calibri"/>
                <w:sz w:val="18"/>
                <w:szCs w:val="18"/>
              </w:rPr>
            </w:pPr>
            <w:r>
              <w:rPr>
                <w:rFonts w:ascii="Calibri" w:hAnsi="Calibri"/>
                <w:sz w:val="18"/>
                <w:szCs w:val="18"/>
              </w:rPr>
              <w:t>-3,172,733.60</w:t>
            </w:r>
          </w:p>
        </w:tc>
        <w:tc>
          <w:tcPr>
            <w:tcW w:w="1418" w:type="dxa"/>
            <w:vAlign w:val="center"/>
          </w:tcPr>
          <w:p w14:paraId="369594EF">
            <w:pPr>
              <w:jc w:val="right"/>
              <w:rPr>
                <w:rFonts w:ascii="Calibri" w:hAnsi="Calibri"/>
                <w:sz w:val="18"/>
                <w:szCs w:val="18"/>
              </w:rPr>
            </w:pPr>
          </w:p>
        </w:tc>
        <w:tc>
          <w:tcPr>
            <w:tcW w:w="1276" w:type="dxa"/>
            <w:vAlign w:val="center"/>
          </w:tcPr>
          <w:p w14:paraId="026EF646">
            <w:pPr>
              <w:jc w:val="right"/>
              <w:rPr>
                <w:rFonts w:ascii="Calibri" w:hAnsi="Calibri"/>
                <w:sz w:val="18"/>
                <w:szCs w:val="18"/>
              </w:rPr>
            </w:pPr>
          </w:p>
        </w:tc>
        <w:tc>
          <w:tcPr>
            <w:tcW w:w="1559" w:type="dxa"/>
            <w:vAlign w:val="center"/>
          </w:tcPr>
          <w:p w14:paraId="31613FAD">
            <w:pPr>
              <w:jc w:val="right"/>
              <w:rPr>
                <w:rFonts w:ascii="Calibri" w:hAnsi="Calibri"/>
                <w:sz w:val="18"/>
                <w:szCs w:val="18"/>
              </w:rPr>
            </w:pPr>
          </w:p>
        </w:tc>
        <w:tc>
          <w:tcPr>
            <w:tcW w:w="1559" w:type="dxa"/>
            <w:vAlign w:val="center"/>
          </w:tcPr>
          <w:p w14:paraId="0D48E8F0">
            <w:pPr>
              <w:jc w:val="right"/>
              <w:rPr>
                <w:rFonts w:ascii="Calibri" w:hAnsi="Calibri"/>
                <w:sz w:val="18"/>
                <w:szCs w:val="18"/>
              </w:rPr>
            </w:pPr>
          </w:p>
        </w:tc>
        <w:tc>
          <w:tcPr>
            <w:tcW w:w="1559" w:type="dxa"/>
            <w:vAlign w:val="center"/>
          </w:tcPr>
          <w:p w14:paraId="22A422FE">
            <w:pPr>
              <w:jc w:val="right"/>
              <w:rPr>
                <w:rFonts w:ascii="Calibri" w:hAnsi="Calibri"/>
                <w:sz w:val="18"/>
                <w:szCs w:val="18"/>
              </w:rPr>
            </w:pPr>
            <w:r>
              <w:rPr>
                <w:rFonts w:ascii="Calibri" w:hAnsi="Calibri"/>
                <w:sz w:val="18"/>
                <w:szCs w:val="18"/>
              </w:rPr>
              <w:t>-3,172,733.60</w:t>
            </w:r>
          </w:p>
        </w:tc>
        <w:tc>
          <w:tcPr>
            <w:tcW w:w="1418" w:type="dxa"/>
            <w:vAlign w:val="center"/>
          </w:tcPr>
          <w:p w14:paraId="46C5E20F">
            <w:pPr>
              <w:jc w:val="right"/>
              <w:rPr>
                <w:rFonts w:ascii="Calibri" w:hAnsi="Calibri"/>
                <w:sz w:val="18"/>
                <w:szCs w:val="18"/>
              </w:rPr>
            </w:pPr>
            <w:r>
              <w:rPr>
                <w:rFonts w:ascii="Calibri" w:hAnsi="Calibri"/>
                <w:sz w:val="18"/>
                <w:szCs w:val="18"/>
              </w:rPr>
              <w:t>-418,766.40</w:t>
            </w:r>
          </w:p>
        </w:tc>
        <w:tc>
          <w:tcPr>
            <w:tcW w:w="1559" w:type="dxa"/>
            <w:vAlign w:val="center"/>
          </w:tcPr>
          <w:p w14:paraId="77ED1D6C">
            <w:pPr>
              <w:jc w:val="right"/>
              <w:rPr>
                <w:rFonts w:ascii="Calibri" w:hAnsi="Calibri"/>
                <w:sz w:val="18"/>
                <w:szCs w:val="18"/>
              </w:rPr>
            </w:pPr>
            <w:r>
              <w:rPr>
                <w:rFonts w:ascii="Calibri" w:hAnsi="Calibri"/>
                <w:sz w:val="18"/>
                <w:szCs w:val="18"/>
              </w:rPr>
              <w:t>-3,591,500.00</w:t>
            </w:r>
          </w:p>
        </w:tc>
      </w:tr>
      <w:tr w14:paraId="51CF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6ec7abefe954758b48497b1b1440546"/>
            <w:id w:val="-1448233591"/>
          </w:sdtPr>
          <w:sdtContent>
            <w:tc>
              <w:tcPr>
                <w:tcW w:w="1702" w:type="dxa"/>
                <w:vAlign w:val="center"/>
              </w:tcPr>
              <w:p w14:paraId="5154275F">
                <w:pPr>
                  <w:rPr>
                    <w:rFonts w:ascii="Calibri" w:hAnsi="Calibri"/>
                    <w:sz w:val="18"/>
                    <w:szCs w:val="18"/>
                  </w:rPr>
                </w:pPr>
                <w:r>
                  <w:rPr>
                    <w:rFonts w:ascii="Calibri" w:hAnsi="Calibri"/>
                    <w:sz w:val="18"/>
                    <w:szCs w:val="18"/>
                  </w:rPr>
                  <w:t>四、本期期末余额</w:t>
                </w:r>
              </w:p>
            </w:tc>
          </w:sdtContent>
        </w:sdt>
        <w:tc>
          <w:tcPr>
            <w:tcW w:w="1559" w:type="dxa"/>
            <w:vAlign w:val="center"/>
          </w:tcPr>
          <w:p w14:paraId="517EFCE9">
            <w:pPr>
              <w:jc w:val="right"/>
              <w:rPr>
                <w:rFonts w:ascii="Calibri" w:hAnsi="Calibri"/>
                <w:sz w:val="18"/>
                <w:szCs w:val="18"/>
              </w:rPr>
            </w:pPr>
            <w:r>
              <w:rPr>
                <w:rFonts w:ascii="Calibri" w:hAnsi="Calibri"/>
                <w:sz w:val="18"/>
                <w:szCs w:val="18"/>
              </w:rPr>
              <w:t>1,958,542,829.00</w:t>
            </w:r>
          </w:p>
        </w:tc>
        <w:tc>
          <w:tcPr>
            <w:tcW w:w="284" w:type="dxa"/>
            <w:vAlign w:val="center"/>
          </w:tcPr>
          <w:p w14:paraId="08B119FA">
            <w:pPr>
              <w:jc w:val="right"/>
              <w:rPr>
                <w:rFonts w:ascii="Calibri" w:hAnsi="Calibri"/>
                <w:sz w:val="18"/>
                <w:szCs w:val="18"/>
              </w:rPr>
            </w:pPr>
          </w:p>
        </w:tc>
        <w:tc>
          <w:tcPr>
            <w:tcW w:w="283" w:type="dxa"/>
            <w:vAlign w:val="center"/>
          </w:tcPr>
          <w:p w14:paraId="32D6579C">
            <w:pPr>
              <w:jc w:val="right"/>
              <w:rPr>
                <w:rFonts w:ascii="Calibri" w:hAnsi="Calibri"/>
                <w:sz w:val="18"/>
                <w:szCs w:val="18"/>
              </w:rPr>
            </w:pPr>
          </w:p>
        </w:tc>
        <w:tc>
          <w:tcPr>
            <w:tcW w:w="284" w:type="dxa"/>
            <w:vAlign w:val="center"/>
          </w:tcPr>
          <w:p w14:paraId="4468E864">
            <w:pPr>
              <w:jc w:val="right"/>
              <w:rPr>
                <w:rFonts w:ascii="Calibri" w:hAnsi="Calibri"/>
                <w:sz w:val="18"/>
                <w:szCs w:val="18"/>
              </w:rPr>
            </w:pPr>
          </w:p>
        </w:tc>
        <w:tc>
          <w:tcPr>
            <w:tcW w:w="1417" w:type="dxa"/>
            <w:vAlign w:val="center"/>
          </w:tcPr>
          <w:p w14:paraId="399C61B8">
            <w:pPr>
              <w:jc w:val="right"/>
              <w:rPr>
                <w:rFonts w:ascii="Calibri" w:hAnsi="Calibri"/>
                <w:sz w:val="18"/>
                <w:szCs w:val="18"/>
              </w:rPr>
            </w:pPr>
            <w:r>
              <w:rPr>
                <w:rFonts w:ascii="Calibri" w:hAnsi="Calibri"/>
                <w:sz w:val="18"/>
                <w:szCs w:val="18"/>
              </w:rPr>
              <w:t>301,674,654.99</w:t>
            </w:r>
          </w:p>
        </w:tc>
        <w:tc>
          <w:tcPr>
            <w:tcW w:w="1418" w:type="dxa"/>
            <w:vAlign w:val="center"/>
          </w:tcPr>
          <w:p w14:paraId="52BAF104">
            <w:pPr>
              <w:jc w:val="right"/>
              <w:rPr>
                <w:rFonts w:ascii="Calibri" w:hAnsi="Calibri"/>
                <w:sz w:val="18"/>
                <w:szCs w:val="18"/>
              </w:rPr>
            </w:pPr>
            <w:r>
              <w:rPr>
                <w:rFonts w:ascii="Calibri" w:hAnsi="Calibri"/>
                <w:sz w:val="18"/>
                <w:szCs w:val="18"/>
              </w:rPr>
              <w:t>88,109,902.16</w:t>
            </w:r>
          </w:p>
        </w:tc>
        <w:tc>
          <w:tcPr>
            <w:tcW w:w="1276" w:type="dxa"/>
            <w:vAlign w:val="center"/>
          </w:tcPr>
          <w:p w14:paraId="441C3ABF">
            <w:pPr>
              <w:jc w:val="right"/>
              <w:rPr>
                <w:rFonts w:ascii="Calibri" w:hAnsi="Calibri"/>
                <w:sz w:val="18"/>
                <w:szCs w:val="18"/>
              </w:rPr>
            </w:pPr>
            <w:r>
              <w:rPr>
                <w:rFonts w:ascii="Calibri" w:hAnsi="Calibri"/>
                <w:sz w:val="18"/>
                <w:szCs w:val="18"/>
              </w:rPr>
              <w:t>10,670,784.43</w:t>
            </w:r>
          </w:p>
        </w:tc>
        <w:tc>
          <w:tcPr>
            <w:tcW w:w="1559" w:type="dxa"/>
            <w:vAlign w:val="center"/>
          </w:tcPr>
          <w:p w14:paraId="4BE69FFD">
            <w:pPr>
              <w:jc w:val="right"/>
              <w:rPr>
                <w:rFonts w:ascii="Calibri" w:hAnsi="Calibri"/>
                <w:sz w:val="18"/>
                <w:szCs w:val="18"/>
              </w:rPr>
            </w:pPr>
            <w:r>
              <w:rPr>
                <w:rFonts w:ascii="Calibri" w:hAnsi="Calibri"/>
                <w:sz w:val="18"/>
                <w:szCs w:val="18"/>
              </w:rPr>
              <w:t>1,027,149,340.36</w:t>
            </w:r>
          </w:p>
        </w:tc>
        <w:tc>
          <w:tcPr>
            <w:tcW w:w="1559" w:type="dxa"/>
            <w:vAlign w:val="center"/>
          </w:tcPr>
          <w:p w14:paraId="710054A2">
            <w:pPr>
              <w:jc w:val="right"/>
              <w:rPr>
                <w:rFonts w:ascii="Calibri" w:hAnsi="Calibri"/>
                <w:sz w:val="18"/>
                <w:szCs w:val="18"/>
              </w:rPr>
            </w:pPr>
            <w:r>
              <w:rPr>
                <w:rFonts w:ascii="Calibri" w:hAnsi="Calibri"/>
                <w:sz w:val="18"/>
                <w:szCs w:val="18"/>
              </w:rPr>
              <w:t>3,893,215,453.30</w:t>
            </w:r>
          </w:p>
        </w:tc>
        <w:tc>
          <w:tcPr>
            <w:tcW w:w="1559" w:type="dxa"/>
            <w:vAlign w:val="center"/>
          </w:tcPr>
          <w:p w14:paraId="4CCB7B01">
            <w:pPr>
              <w:jc w:val="right"/>
              <w:rPr>
                <w:rFonts w:ascii="Calibri" w:hAnsi="Calibri"/>
                <w:sz w:val="18"/>
                <w:szCs w:val="18"/>
              </w:rPr>
            </w:pPr>
            <w:r>
              <w:rPr>
                <w:rFonts w:ascii="Calibri" w:hAnsi="Calibri"/>
                <w:sz w:val="18"/>
                <w:szCs w:val="18"/>
              </w:rPr>
              <w:t>7,103,143,159.92</w:t>
            </w:r>
          </w:p>
        </w:tc>
        <w:tc>
          <w:tcPr>
            <w:tcW w:w="1418" w:type="dxa"/>
            <w:vAlign w:val="center"/>
          </w:tcPr>
          <w:p w14:paraId="7E19501F">
            <w:pPr>
              <w:jc w:val="right"/>
              <w:rPr>
                <w:rFonts w:ascii="Calibri" w:hAnsi="Calibri"/>
                <w:sz w:val="18"/>
                <w:szCs w:val="18"/>
              </w:rPr>
            </w:pPr>
            <w:r>
              <w:rPr>
                <w:rFonts w:ascii="Calibri" w:hAnsi="Calibri"/>
                <w:sz w:val="18"/>
                <w:szCs w:val="18"/>
              </w:rPr>
              <w:t>4,417,561.17</w:t>
            </w:r>
          </w:p>
        </w:tc>
        <w:tc>
          <w:tcPr>
            <w:tcW w:w="1559" w:type="dxa"/>
            <w:vAlign w:val="center"/>
          </w:tcPr>
          <w:p w14:paraId="72DE3DFE">
            <w:pPr>
              <w:jc w:val="right"/>
              <w:rPr>
                <w:rFonts w:ascii="Calibri" w:hAnsi="Calibri"/>
                <w:sz w:val="18"/>
                <w:szCs w:val="18"/>
              </w:rPr>
            </w:pPr>
            <w:r>
              <w:rPr>
                <w:rFonts w:ascii="Calibri" w:hAnsi="Calibri"/>
                <w:sz w:val="18"/>
                <w:szCs w:val="18"/>
              </w:rPr>
              <w:t>7,107,560,721.09</w:t>
            </w:r>
          </w:p>
        </w:tc>
      </w:tr>
    </w:tbl>
    <w:p w14:paraId="0B0B0E1E"/>
    <w:p w14:paraId="709BD111">
      <w:pPr>
        <w:snapToGrid w:val="0"/>
        <w:spacing w:line="240" w:lineRule="atLeast"/>
        <w:ind w:right="-1594" w:rightChars="-759"/>
      </w:pPr>
    </w:p>
    <w:tbl>
      <w:tblPr>
        <w:tblStyle w:val="57"/>
        <w:tblW w:w="15877"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559"/>
        <w:gridCol w:w="284"/>
        <w:gridCol w:w="425"/>
        <w:gridCol w:w="284"/>
        <w:gridCol w:w="1417"/>
        <w:gridCol w:w="1418"/>
        <w:gridCol w:w="1275"/>
        <w:gridCol w:w="1560"/>
        <w:gridCol w:w="1559"/>
        <w:gridCol w:w="1559"/>
        <w:gridCol w:w="1276"/>
        <w:gridCol w:w="1559"/>
      </w:tblGrid>
      <w:tr w14:paraId="5532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02" w:type="dxa"/>
            <w:vMerge w:val="restart"/>
            <w:vAlign w:val="center"/>
          </w:tcPr>
          <w:sdt>
            <w:sdtPr>
              <w:tag w:val="_PLD_229212c664af43faa41821d5eec551b8"/>
              <w:id w:val="-392588536"/>
            </w:sdtPr>
            <w:sdtContent>
              <w:p w14:paraId="22931C2A">
                <w:pPr>
                  <w:snapToGrid w:val="0"/>
                  <w:spacing w:line="240" w:lineRule="atLeast"/>
                  <w:jc w:val="center"/>
                  <w:rPr>
                    <w:rFonts w:ascii="Calibri" w:hAnsi="Calibri"/>
                    <w:sz w:val="18"/>
                    <w:szCs w:val="18"/>
                  </w:rPr>
                </w:pPr>
                <w:r>
                  <w:rPr>
                    <w:rFonts w:hint="eastAsia" w:ascii="Calibri" w:hAnsi="Calibri"/>
                    <w:sz w:val="18"/>
                    <w:szCs w:val="18"/>
                  </w:rPr>
                  <w:t>项目</w:t>
                </w:r>
              </w:p>
            </w:sdtContent>
          </w:sdt>
        </w:tc>
        <w:tc>
          <w:tcPr>
            <w:tcW w:w="14175" w:type="dxa"/>
            <w:gridSpan w:val="12"/>
            <w:vAlign w:val="center"/>
          </w:tcPr>
          <w:p w14:paraId="7C409E26">
            <w:pPr>
              <w:snapToGrid w:val="0"/>
              <w:spacing w:line="240" w:lineRule="atLeast"/>
              <w:ind w:right="-1594" w:rightChars="-759"/>
              <w:jc w:val="center"/>
              <w:rPr>
                <w:rFonts w:ascii="Calibri" w:hAnsi="Calibri"/>
                <w:sz w:val="20"/>
                <w:szCs w:val="20"/>
              </w:rPr>
            </w:pPr>
            <w:r>
              <w:rPr>
                <w:rFonts w:hint="eastAsia" w:ascii="Calibri" w:hAnsi="Calibri"/>
                <w:sz w:val="20"/>
                <w:szCs w:val="20"/>
              </w:rPr>
              <w:t xml:space="preserve"> </w:t>
            </w:r>
            <w:sdt>
              <w:sdtPr>
                <w:tag w:val="_PLD_5c8dcea3749f4f92b2d283c717162a73"/>
                <w:id w:val="-226917320"/>
              </w:sdtPr>
              <w:sdtContent>
                <w:r>
                  <w:rPr>
                    <w:rFonts w:hint="eastAsia" w:ascii="Calibri" w:hAnsi="Calibri"/>
                    <w:sz w:val="18"/>
                    <w:szCs w:val="18"/>
                  </w:rPr>
                  <w:t>2024年度</w:t>
                </w:r>
              </w:sdtContent>
            </w:sdt>
          </w:p>
        </w:tc>
      </w:tr>
      <w:tr w14:paraId="6C84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702" w:type="dxa"/>
            <w:vMerge w:val="continue"/>
            <w:vAlign w:val="center"/>
          </w:tcPr>
          <w:p w14:paraId="32F405F5">
            <w:pPr>
              <w:snapToGrid w:val="0"/>
              <w:spacing w:line="240" w:lineRule="atLeast"/>
              <w:ind w:right="-1594" w:rightChars="-759"/>
              <w:rPr>
                <w:rFonts w:ascii="Calibri" w:hAnsi="Calibri"/>
                <w:sz w:val="18"/>
                <w:szCs w:val="18"/>
              </w:rPr>
            </w:pPr>
          </w:p>
        </w:tc>
        <w:sdt>
          <w:sdtPr>
            <w:tag w:val="_PLD_e725a8cacf9d4d1abedbfeae17c394e0"/>
            <w:id w:val="-1395192383"/>
          </w:sdtPr>
          <w:sdtContent>
            <w:tc>
              <w:tcPr>
                <w:tcW w:w="11340" w:type="dxa"/>
                <w:gridSpan w:val="10"/>
                <w:vAlign w:val="center"/>
              </w:tcPr>
              <w:p w14:paraId="1E140419">
                <w:pPr>
                  <w:jc w:val="center"/>
                  <w:rPr>
                    <w:rFonts w:ascii="Calibri" w:hAnsi="Calibri"/>
                    <w:sz w:val="20"/>
                    <w:szCs w:val="20"/>
                  </w:rPr>
                </w:pPr>
                <w:r>
                  <w:rPr>
                    <w:rFonts w:ascii="Calibri" w:hAnsi="Calibri"/>
                    <w:sz w:val="18"/>
                    <w:szCs w:val="18"/>
                  </w:rPr>
                  <w:t>归属于母公司所有者权益</w:t>
                </w:r>
              </w:p>
            </w:tc>
          </w:sdtContent>
        </w:sdt>
        <w:sdt>
          <w:sdtPr>
            <w:tag w:val="_PLD_fe6c49384f0941088b29ad945caeb72b"/>
            <w:id w:val="-194464680"/>
          </w:sdtPr>
          <w:sdtContent>
            <w:tc>
              <w:tcPr>
                <w:tcW w:w="1276" w:type="dxa"/>
                <w:vMerge w:val="restart"/>
                <w:vAlign w:val="center"/>
              </w:tcPr>
              <w:p w14:paraId="0FB94C36">
                <w:pPr>
                  <w:jc w:val="center"/>
                  <w:rPr>
                    <w:rFonts w:ascii="Calibri" w:hAnsi="Calibri"/>
                    <w:sz w:val="18"/>
                    <w:szCs w:val="18"/>
                  </w:rPr>
                </w:pPr>
                <w:r>
                  <w:rPr>
                    <w:rFonts w:ascii="Calibri" w:hAnsi="Calibri"/>
                    <w:sz w:val="18"/>
                    <w:szCs w:val="18"/>
                  </w:rPr>
                  <w:t>少数股东权益</w:t>
                </w:r>
              </w:p>
            </w:tc>
          </w:sdtContent>
        </w:sdt>
        <w:sdt>
          <w:sdtPr>
            <w:tag w:val="_PLD_bbe71d4307504d648ce52638ee90ccd4"/>
            <w:id w:val="190420180"/>
          </w:sdtPr>
          <w:sdtContent>
            <w:tc>
              <w:tcPr>
                <w:tcW w:w="1559" w:type="dxa"/>
                <w:vMerge w:val="restart"/>
                <w:vAlign w:val="center"/>
              </w:tcPr>
              <w:p w14:paraId="7795F9E8">
                <w:pPr>
                  <w:jc w:val="center"/>
                  <w:rPr>
                    <w:rFonts w:ascii="Calibri" w:hAnsi="Calibri"/>
                    <w:sz w:val="18"/>
                    <w:szCs w:val="18"/>
                  </w:rPr>
                </w:pPr>
                <w:r>
                  <w:rPr>
                    <w:rFonts w:ascii="Calibri" w:hAnsi="Calibri"/>
                    <w:sz w:val="18"/>
                    <w:szCs w:val="18"/>
                  </w:rPr>
                  <w:t>所有者权益合计</w:t>
                </w:r>
              </w:p>
            </w:tc>
          </w:sdtContent>
        </w:sdt>
      </w:tr>
      <w:tr w14:paraId="3416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1702" w:type="dxa"/>
            <w:vMerge w:val="continue"/>
            <w:vAlign w:val="center"/>
          </w:tcPr>
          <w:p w14:paraId="68CC4E02">
            <w:pPr>
              <w:snapToGrid w:val="0"/>
              <w:spacing w:line="240" w:lineRule="atLeast"/>
              <w:ind w:right="-1594" w:rightChars="-759"/>
              <w:rPr>
                <w:rFonts w:ascii="Calibri" w:hAnsi="Calibri"/>
                <w:sz w:val="18"/>
                <w:szCs w:val="18"/>
              </w:rPr>
            </w:pPr>
          </w:p>
        </w:tc>
        <w:sdt>
          <w:sdtPr>
            <w:tag w:val="_PLD_941585ba85eb48fa931876151974e425"/>
            <w:id w:val="-641115561"/>
          </w:sdtPr>
          <w:sdtContent>
            <w:tc>
              <w:tcPr>
                <w:tcW w:w="1559" w:type="dxa"/>
                <w:vMerge w:val="restart"/>
                <w:vAlign w:val="center"/>
              </w:tcPr>
              <w:p w14:paraId="01E78F86">
                <w:pPr>
                  <w:snapToGrid w:val="0"/>
                  <w:spacing w:line="240" w:lineRule="atLeast"/>
                  <w:jc w:val="center"/>
                  <w:rPr>
                    <w:rFonts w:ascii="Calibri" w:hAnsi="Calibri"/>
                    <w:sz w:val="18"/>
                    <w:szCs w:val="18"/>
                  </w:rPr>
                </w:pPr>
                <w:r>
                  <w:rPr>
                    <w:rFonts w:ascii="Calibri" w:hAnsi="Calibri"/>
                    <w:sz w:val="18"/>
                    <w:szCs w:val="18"/>
                  </w:rPr>
                  <w:t>实收资本 (或股本)</w:t>
                </w:r>
              </w:p>
            </w:tc>
          </w:sdtContent>
        </w:sdt>
        <w:sdt>
          <w:sdtPr>
            <w:tag w:val="_PLD_4097b1c4c4f449ef94e9dedb67cf7c3a"/>
            <w:id w:val="523672067"/>
          </w:sdtPr>
          <w:sdtContent>
            <w:tc>
              <w:tcPr>
                <w:tcW w:w="993" w:type="dxa"/>
                <w:gridSpan w:val="3"/>
                <w:vAlign w:val="center"/>
              </w:tcPr>
              <w:p w14:paraId="49F69337">
                <w:pPr>
                  <w:snapToGrid w:val="0"/>
                  <w:spacing w:line="240" w:lineRule="atLeast"/>
                  <w:jc w:val="center"/>
                  <w:rPr>
                    <w:rFonts w:ascii="Calibri" w:hAnsi="Calibri"/>
                    <w:sz w:val="18"/>
                    <w:szCs w:val="18"/>
                  </w:rPr>
                </w:pPr>
                <w:r>
                  <w:rPr>
                    <w:rFonts w:hint="eastAsia" w:ascii="Calibri" w:hAnsi="Calibri"/>
                    <w:sz w:val="18"/>
                    <w:szCs w:val="18"/>
                  </w:rPr>
                  <w:t>其他权益工具</w:t>
                </w:r>
              </w:p>
            </w:tc>
          </w:sdtContent>
        </w:sdt>
        <w:sdt>
          <w:sdtPr>
            <w:tag w:val="_PLD_f8441471f9a041ac884142e2c9e87055"/>
            <w:id w:val="-1248420474"/>
          </w:sdtPr>
          <w:sdtContent>
            <w:tc>
              <w:tcPr>
                <w:tcW w:w="1417" w:type="dxa"/>
                <w:vMerge w:val="restart"/>
                <w:vAlign w:val="center"/>
              </w:tcPr>
              <w:p w14:paraId="58774C1D">
                <w:pPr>
                  <w:snapToGrid w:val="0"/>
                  <w:spacing w:line="240" w:lineRule="atLeast"/>
                  <w:jc w:val="center"/>
                  <w:rPr>
                    <w:rFonts w:ascii="Calibri" w:hAnsi="Calibri"/>
                    <w:sz w:val="18"/>
                    <w:szCs w:val="18"/>
                  </w:rPr>
                </w:pPr>
                <w:r>
                  <w:rPr>
                    <w:rFonts w:hint="eastAsia" w:ascii="Calibri" w:hAnsi="Calibri"/>
                    <w:sz w:val="18"/>
                    <w:szCs w:val="18"/>
                  </w:rPr>
                  <w:t>资本公积</w:t>
                </w:r>
              </w:p>
            </w:tc>
          </w:sdtContent>
        </w:sdt>
        <w:sdt>
          <w:sdtPr>
            <w:tag w:val="_PLD_f972a7ccc15d4f409243ecc02ea77629"/>
            <w:id w:val="-2117818726"/>
          </w:sdtPr>
          <w:sdtContent>
            <w:tc>
              <w:tcPr>
                <w:tcW w:w="1418" w:type="dxa"/>
                <w:vMerge w:val="restart"/>
                <w:vAlign w:val="center"/>
              </w:tcPr>
              <w:p w14:paraId="33DE7E5F">
                <w:pPr>
                  <w:snapToGrid w:val="0"/>
                  <w:spacing w:line="240" w:lineRule="atLeast"/>
                  <w:jc w:val="center"/>
                  <w:rPr>
                    <w:rFonts w:ascii="Calibri" w:hAnsi="Calibri"/>
                    <w:sz w:val="18"/>
                    <w:szCs w:val="18"/>
                  </w:rPr>
                </w:pPr>
                <w:r>
                  <w:rPr>
                    <w:rFonts w:hint="eastAsia" w:ascii="Calibri" w:hAnsi="Calibri"/>
                    <w:sz w:val="18"/>
                    <w:szCs w:val="18"/>
                  </w:rPr>
                  <w:t>减：库存股</w:t>
                </w:r>
              </w:p>
            </w:tc>
          </w:sdtContent>
        </w:sdt>
        <w:sdt>
          <w:sdtPr>
            <w:tag w:val="_PLD_32394603dc124fdb904af0ad8606aa79"/>
            <w:id w:val="-807090369"/>
          </w:sdtPr>
          <w:sdtContent>
            <w:tc>
              <w:tcPr>
                <w:tcW w:w="1275" w:type="dxa"/>
                <w:vMerge w:val="restart"/>
                <w:vAlign w:val="center"/>
              </w:tcPr>
              <w:p w14:paraId="3A98F03A">
                <w:pPr>
                  <w:snapToGrid w:val="0"/>
                  <w:spacing w:line="240" w:lineRule="atLeast"/>
                  <w:jc w:val="center"/>
                  <w:rPr>
                    <w:rFonts w:ascii="Calibri" w:hAnsi="Calibri"/>
                    <w:sz w:val="18"/>
                    <w:szCs w:val="18"/>
                  </w:rPr>
                </w:pPr>
                <w:r>
                  <w:rPr>
                    <w:rFonts w:hint="eastAsia" w:ascii="Calibri" w:hAnsi="Calibri"/>
                    <w:sz w:val="18"/>
                    <w:szCs w:val="18"/>
                  </w:rPr>
                  <w:t>其他综合收益</w:t>
                </w:r>
              </w:p>
            </w:tc>
          </w:sdtContent>
        </w:sdt>
        <w:sdt>
          <w:sdtPr>
            <w:tag w:val="_PLD_81a68447a616402b99500dae3d54a22d"/>
            <w:id w:val="1908799163"/>
          </w:sdtPr>
          <w:sdtContent>
            <w:tc>
              <w:tcPr>
                <w:tcW w:w="1560" w:type="dxa"/>
                <w:vMerge w:val="restart"/>
                <w:vAlign w:val="center"/>
              </w:tcPr>
              <w:p w14:paraId="5F5C73A3">
                <w:pPr>
                  <w:snapToGrid w:val="0"/>
                  <w:spacing w:line="240" w:lineRule="atLeast"/>
                  <w:jc w:val="center"/>
                  <w:rPr>
                    <w:rFonts w:ascii="Calibri" w:hAnsi="Calibri"/>
                    <w:sz w:val="18"/>
                    <w:szCs w:val="18"/>
                  </w:rPr>
                </w:pPr>
                <w:r>
                  <w:rPr>
                    <w:rFonts w:hint="eastAsia" w:ascii="Calibri" w:hAnsi="Calibri"/>
                    <w:sz w:val="18"/>
                    <w:szCs w:val="18"/>
                  </w:rPr>
                  <w:t>盈余公积</w:t>
                </w:r>
              </w:p>
            </w:tc>
          </w:sdtContent>
        </w:sdt>
        <w:sdt>
          <w:sdtPr>
            <w:tag w:val="_PLD_a51f5c6bdac744979b275b09b6a9d1d8"/>
            <w:id w:val="-1348480319"/>
          </w:sdtPr>
          <w:sdtContent>
            <w:tc>
              <w:tcPr>
                <w:tcW w:w="1559" w:type="dxa"/>
                <w:vMerge w:val="restart"/>
                <w:vAlign w:val="center"/>
              </w:tcPr>
              <w:p w14:paraId="7E6979F6">
                <w:pPr>
                  <w:snapToGrid w:val="0"/>
                  <w:spacing w:line="240" w:lineRule="atLeast"/>
                  <w:jc w:val="center"/>
                  <w:rPr>
                    <w:rFonts w:ascii="Calibri" w:hAnsi="Calibri"/>
                    <w:sz w:val="18"/>
                    <w:szCs w:val="18"/>
                  </w:rPr>
                </w:pPr>
                <w:r>
                  <w:rPr>
                    <w:rFonts w:hint="eastAsia" w:ascii="Calibri" w:hAnsi="Calibri"/>
                    <w:sz w:val="18"/>
                    <w:szCs w:val="18"/>
                  </w:rPr>
                  <w:t>未分配利润</w:t>
                </w:r>
              </w:p>
            </w:tc>
          </w:sdtContent>
        </w:sdt>
        <w:tc>
          <w:tcPr>
            <w:tcW w:w="1559" w:type="dxa"/>
            <w:vMerge w:val="restart"/>
            <w:vAlign w:val="center"/>
          </w:tcPr>
          <w:sdt>
            <w:sdtPr>
              <w:tag w:val="_PLD_f2691f33b2164ad8b83415f8cd404dea"/>
              <w:id w:val="348002992"/>
            </w:sdtPr>
            <w:sdtContent>
              <w:p w14:paraId="059F1CD4">
                <w:pPr>
                  <w:jc w:val="center"/>
                  <w:rPr>
                    <w:rFonts w:ascii="Calibri" w:hAnsi="Calibri"/>
                    <w:sz w:val="18"/>
                    <w:szCs w:val="18"/>
                  </w:rPr>
                </w:pPr>
                <w:r>
                  <w:rPr>
                    <w:rFonts w:hint="eastAsia" w:ascii="Calibri" w:hAnsi="Calibri"/>
                    <w:sz w:val="18"/>
                    <w:szCs w:val="18"/>
                  </w:rPr>
                  <w:t>小计</w:t>
                </w:r>
              </w:p>
            </w:sdtContent>
          </w:sdt>
        </w:tc>
        <w:tc>
          <w:tcPr>
            <w:tcW w:w="1276" w:type="dxa"/>
            <w:vMerge w:val="continue"/>
            <w:vAlign w:val="center"/>
          </w:tcPr>
          <w:p w14:paraId="4111FFFE">
            <w:pPr>
              <w:jc w:val="center"/>
              <w:rPr>
                <w:rFonts w:ascii="Calibri" w:hAnsi="Calibri"/>
                <w:sz w:val="18"/>
                <w:szCs w:val="18"/>
              </w:rPr>
            </w:pPr>
          </w:p>
        </w:tc>
        <w:tc>
          <w:tcPr>
            <w:tcW w:w="1559" w:type="dxa"/>
            <w:vMerge w:val="continue"/>
            <w:vAlign w:val="center"/>
          </w:tcPr>
          <w:p w14:paraId="40671E49">
            <w:pPr>
              <w:jc w:val="center"/>
              <w:rPr>
                <w:rFonts w:ascii="Calibri" w:hAnsi="Calibri"/>
                <w:sz w:val="18"/>
                <w:szCs w:val="18"/>
              </w:rPr>
            </w:pPr>
          </w:p>
        </w:tc>
      </w:tr>
      <w:tr w14:paraId="0340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trPr>
        <w:tc>
          <w:tcPr>
            <w:tcW w:w="1702" w:type="dxa"/>
            <w:vMerge w:val="continue"/>
            <w:vAlign w:val="center"/>
          </w:tcPr>
          <w:p w14:paraId="39B0504B">
            <w:pPr>
              <w:snapToGrid w:val="0"/>
              <w:spacing w:line="240" w:lineRule="atLeast"/>
              <w:ind w:right="-1594" w:rightChars="-759"/>
              <w:rPr>
                <w:rFonts w:ascii="Calibri" w:hAnsi="Calibri"/>
                <w:sz w:val="18"/>
                <w:szCs w:val="18"/>
              </w:rPr>
            </w:pPr>
          </w:p>
        </w:tc>
        <w:tc>
          <w:tcPr>
            <w:tcW w:w="1559" w:type="dxa"/>
            <w:vMerge w:val="continue"/>
            <w:vAlign w:val="center"/>
          </w:tcPr>
          <w:p w14:paraId="74CC5873">
            <w:pPr>
              <w:snapToGrid w:val="0"/>
              <w:spacing w:line="240" w:lineRule="atLeast"/>
              <w:jc w:val="center"/>
              <w:rPr>
                <w:rFonts w:ascii="Calibri" w:hAnsi="Calibri"/>
                <w:sz w:val="18"/>
                <w:szCs w:val="18"/>
              </w:rPr>
            </w:pPr>
          </w:p>
        </w:tc>
        <w:sdt>
          <w:sdtPr>
            <w:tag w:val="_PLD_c8e4e3f938444f399262729a0267aa59"/>
            <w:id w:val="461315906"/>
          </w:sdtPr>
          <w:sdtContent>
            <w:tc>
              <w:tcPr>
                <w:tcW w:w="284" w:type="dxa"/>
                <w:vAlign w:val="center"/>
              </w:tcPr>
              <w:p w14:paraId="2087B453">
                <w:pPr>
                  <w:jc w:val="center"/>
                  <w:rPr>
                    <w:rFonts w:ascii="Calibri" w:hAnsi="Calibri"/>
                    <w:sz w:val="18"/>
                    <w:szCs w:val="18"/>
                  </w:rPr>
                </w:pPr>
                <w:r>
                  <w:rPr>
                    <w:rFonts w:hint="eastAsia" w:ascii="Calibri" w:hAnsi="Calibri"/>
                    <w:sz w:val="18"/>
                    <w:szCs w:val="18"/>
                  </w:rPr>
                  <w:t>优先股</w:t>
                </w:r>
              </w:p>
            </w:tc>
          </w:sdtContent>
        </w:sdt>
        <w:sdt>
          <w:sdtPr>
            <w:tag w:val="_PLD_70f3796cf4ab4ecbb92343a346942a09"/>
            <w:id w:val="1872025729"/>
          </w:sdtPr>
          <w:sdtContent>
            <w:tc>
              <w:tcPr>
                <w:tcW w:w="425" w:type="dxa"/>
                <w:vAlign w:val="center"/>
              </w:tcPr>
              <w:p w14:paraId="23F2292B">
                <w:pPr>
                  <w:jc w:val="center"/>
                  <w:rPr>
                    <w:rFonts w:ascii="Calibri" w:hAnsi="Calibri"/>
                    <w:sz w:val="18"/>
                    <w:szCs w:val="18"/>
                  </w:rPr>
                </w:pPr>
                <w:r>
                  <w:rPr>
                    <w:rFonts w:hint="eastAsia" w:ascii="Calibri" w:hAnsi="Calibri"/>
                    <w:sz w:val="18"/>
                    <w:szCs w:val="18"/>
                  </w:rPr>
                  <w:t>永续债</w:t>
                </w:r>
              </w:p>
            </w:tc>
          </w:sdtContent>
        </w:sdt>
        <w:sdt>
          <w:sdtPr>
            <w:tag w:val="_PLD_a3d4853d11ed4217a1c5e27cfc45c1c9"/>
            <w:id w:val="788865969"/>
          </w:sdtPr>
          <w:sdtContent>
            <w:tc>
              <w:tcPr>
                <w:tcW w:w="284" w:type="dxa"/>
                <w:vAlign w:val="center"/>
              </w:tcPr>
              <w:p w14:paraId="5236B940">
                <w:pPr>
                  <w:jc w:val="center"/>
                  <w:rPr>
                    <w:rFonts w:ascii="Calibri" w:hAnsi="Calibri"/>
                    <w:sz w:val="18"/>
                    <w:szCs w:val="18"/>
                  </w:rPr>
                </w:pPr>
                <w:r>
                  <w:rPr>
                    <w:rFonts w:hint="eastAsia" w:ascii="Calibri" w:hAnsi="Calibri"/>
                    <w:sz w:val="18"/>
                    <w:szCs w:val="18"/>
                  </w:rPr>
                  <w:t>其他</w:t>
                </w:r>
              </w:p>
            </w:tc>
          </w:sdtContent>
        </w:sdt>
        <w:tc>
          <w:tcPr>
            <w:tcW w:w="1417" w:type="dxa"/>
            <w:vMerge w:val="continue"/>
            <w:vAlign w:val="center"/>
          </w:tcPr>
          <w:p w14:paraId="0B114B2F">
            <w:pPr>
              <w:snapToGrid w:val="0"/>
              <w:spacing w:line="240" w:lineRule="atLeast"/>
              <w:jc w:val="center"/>
              <w:rPr>
                <w:rFonts w:ascii="Calibri" w:hAnsi="Calibri"/>
                <w:sz w:val="18"/>
                <w:szCs w:val="18"/>
              </w:rPr>
            </w:pPr>
          </w:p>
        </w:tc>
        <w:tc>
          <w:tcPr>
            <w:tcW w:w="1418" w:type="dxa"/>
            <w:vMerge w:val="continue"/>
            <w:vAlign w:val="center"/>
          </w:tcPr>
          <w:p w14:paraId="3EC203C6">
            <w:pPr>
              <w:snapToGrid w:val="0"/>
              <w:spacing w:line="240" w:lineRule="atLeast"/>
              <w:jc w:val="center"/>
              <w:rPr>
                <w:rFonts w:ascii="Calibri" w:hAnsi="Calibri"/>
                <w:sz w:val="18"/>
                <w:szCs w:val="18"/>
              </w:rPr>
            </w:pPr>
          </w:p>
        </w:tc>
        <w:tc>
          <w:tcPr>
            <w:tcW w:w="1275" w:type="dxa"/>
            <w:vMerge w:val="continue"/>
            <w:vAlign w:val="center"/>
          </w:tcPr>
          <w:p w14:paraId="075D5872">
            <w:pPr>
              <w:snapToGrid w:val="0"/>
              <w:spacing w:line="240" w:lineRule="atLeast"/>
              <w:jc w:val="center"/>
              <w:rPr>
                <w:rFonts w:ascii="Calibri" w:hAnsi="Calibri"/>
                <w:sz w:val="18"/>
                <w:szCs w:val="18"/>
              </w:rPr>
            </w:pPr>
          </w:p>
        </w:tc>
        <w:tc>
          <w:tcPr>
            <w:tcW w:w="1560" w:type="dxa"/>
            <w:vMerge w:val="continue"/>
            <w:vAlign w:val="center"/>
          </w:tcPr>
          <w:p w14:paraId="1C9F01C4">
            <w:pPr>
              <w:snapToGrid w:val="0"/>
              <w:spacing w:line="240" w:lineRule="atLeast"/>
              <w:jc w:val="center"/>
              <w:rPr>
                <w:rFonts w:ascii="Calibri" w:hAnsi="Calibri"/>
                <w:sz w:val="18"/>
                <w:szCs w:val="18"/>
              </w:rPr>
            </w:pPr>
          </w:p>
        </w:tc>
        <w:tc>
          <w:tcPr>
            <w:tcW w:w="1559" w:type="dxa"/>
            <w:vMerge w:val="continue"/>
            <w:vAlign w:val="center"/>
          </w:tcPr>
          <w:p w14:paraId="3231A1F2">
            <w:pPr>
              <w:snapToGrid w:val="0"/>
              <w:spacing w:line="240" w:lineRule="atLeast"/>
              <w:jc w:val="center"/>
              <w:rPr>
                <w:rFonts w:ascii="Calibri" w:hAnsi="Calibri"/>
                <w:sz w:val="18"/>
                <w:szCs w:val="18"/>
              </w:rPr>
            </w:pPr>
          </w:p>
        </w:tc>
        <w:tc>
          <w:tcPr>
            <w:tcW w:w="1559" w:type="dxa"/>
            <w:vMerge w:val="continue"/>
            <w:vAlign w:val="center"/>
          </w:tcPr>
          <w:p w14:paraId="7B79FD2F">
            <w:pPr>
              <w:jc w:val="center"/>
              <w:rPr>
                <w:rFonts w:ascii="Calibri" w:hAnsi="Calibri"/>
                <w:sz w:val="18"/>
                <w:szCs w:val="18"/>
              </w:rPr>
            </w:pPr>
          </w:p>
        </w:tc>
        <w:tc>
          <w:tcPr>
            <w:tcW w:w="1276" w:type="dxa"/>
            <w:vMerge w:val="continue"/>
            <w:vAlign w:val="center"/>
          </w:tcPr>
          <w:p w14:paraId="10D2347C">
            <w:pPr>
              <w:jc w:val="center"/>
              <w:rPr>
                <w:rFonts w:ascii="Calibri" w:hAnsi="Calibri"/>
                <w:sz w:val="18"/>
                <w:szCs w:val="18"/>
              </w:rPr>
            </w:pPr>
          </w:p>
        </w:tc>
        <w:tc>
          <w:tcPr>
            <w:tcW w:w="1559" w:type="dxa"/>
            <w:vMerge w:val="continue"/>
            <w:tcBorders>
              <w:bottom w:val="nil"/>
            </w:tcBorders>
            <w:vAlign w:val="center"/>
          </w:tcPr>
          <w:p w14:paraId="11B666FA">
            <w:pPr>
              <w:jc w:val="center"/>
              <w:rPr>
                <w:rFonts w:ascii="Calibri" w:hAnsi="Calibri"/>
                <w:sz w:val="18"/>
                <w:szCs w:val="18"/>
              </w:rPr>
            </w:pPr>
          </w:p>
        </w:tc>
      </w:tr>
      <w:tr w14:paraId="569E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4c39056f5874862855dc37ef7f0d558"/>
            <w:id w:val="-2038950594"/>
          </w:sdtPr>
          <w:sdtContent>
            <w:tc>
              <w:tcPr>
                <w:tcW w:w="1702" w:type="dxa"/>
                <w:vAlign w:val="center"/>
              </w:tcPr>
              <w:p w14:paraId="58BC07D6">
                <w:pPr>
                  <w:rPr>
                    <w:rFonts w:ascii="Calibri" w:hAnsi="Calibri"/>
                    <w:sz w:val="18"/>
                    <w:szCs w:val="18"/>
                  </w:rPr>
                </w:pPr>
                <w:r>
                  <w:rPr>
                    <w:rFonts w:ascii="Calibri" w:hAnsi="Calibri"/>
                    <w:sz w:val="18"/>
                    <w:szCs w:val="18"/>
                  </w:rPr>
                  <w:t>一、上年</w:t>
                </w:r>
                <w:r>
                  <w:rPr>
                    <w:rFonts w:hint="eastAsia" w:ascii="Calibri" w:hAnsi="Calibri"/>
                    <w:sz w:val="18"/>
                    <w:szCs w:val="18"/>
                  </w:rPr>
                  <w:t>年</w:t>
                </w:r>
                <w:r>
                  <w:rPr>
                    <w:rFonts w:ascii="Calibri" w:hAnsi="Calibri"/>
                    <w:sz w:val="18"/>
                    <w:szCs w:val="18"/>
                  </w:rPr>
                  <w:t>末余额</w:t>
                </w:r>
              </w:p>
            </w:tc>
          </w:sdtContent>
        </w:sdt>
        <w:tc>
          <w:tcPr>
            <w:tcW w:w="1559" w:type="dxa"/>
            <w:vAlign w:val="center"/>
          </w:tcPr>
          <w:p w14:paraId="64C50175">
            <w:pPr>
              <w:jc w:val="right"/>
              <w:rPr>
                <w:rFonts w:ascii="Calibri" w:hAnsi="Calibri"/>
                <w:sz w:val="18"/>
                <w:szCs w:val="18"/>
              </w:rPr>
            </w:pPr>
            <w:r>
              <w:rPr>
                <w:rFonts w:ascii="Calibri" w:hAnsi="Calibri"/>
                <w:sz w:val="18"/>
                <w:szCs w:val="18"/>
              </w:rPr>
              <w:t>1,993,617,453.00</w:t>
            </w:r>
          </w:p>
        </w:tc>
        <w:tc>
          <w:tcPr>
            <w:tcW w:w="284" w:type="dxa"/>
            <w:vAlign w:val="center"/>
          </w:tcPr>
          <w:p w14:paraId="5F201683">
            <w:pPr>
              <w:jc w:val="right"/>
              <w:rPr>
                <w:rFonts w:ascii="Calibri" w:hAnsi="Calibri"/>
                <w:sz w:val="18"/>
                <w:szCs w:val="18"/>
              </w:rPr>
            </w:pPr>
          </w:p>
        </w:tc>
        <w:tc>
          <w:tcPr>
            <w:tcW w:w="425" w:type="dxa"/>
            <w:vAlign w:val="center"/>
          </w:tcPr>
          <w:p w14:paraId="3AF90132">
            <w:pPr>
              <w:jc w:val="right"/>
              <w:rPr>
                <w:rFonts w:ascii="Calibri" w:hAnsi="Calibri"/>
                <w:sz w:val="18"/>
                <w:szCs w:val="18"/>
              </w:rPr>
            </w:pPr>
          </w:p>
        </w:tc>
        <w:tc>
          <w:tcPr>
            <w:tcW w:w="284" w:type="dxa"/>
            <w:vAlign w:val="center"/>
          </w:tcPr>
          <w:p w14:paraId="6DBB1B07">
            <w:pPr>
              <w:jc w:val="right"/>
              <w:rPr>
                <w:rFonts w:ascii="Calibri" w:hAnsi="Calibri"/>
                <w:sz w:val="18"/>
                <w:szCs w:val="18"/>
              </w:rPr>
            </w:pPr>
          </w:p>
        </w:tc>
        <w:tc>
          <w:tcPr>
            <w:tcW w:w="1417" w:type="dxa"/>
            <w:vAlign w:val="center"/>
          </w:tcPr>
          <w:p w14:paraId="05DA2F3F">
            <w:pPr>
              <w:jc w:val="right"/>
              <w:rPr>
                <w:rFonts w:ascii="Calibri" w:hAnsi="Calibri"/>
                <w:sz w:val="18"/>
                <w:szCs w:val="18"/>
              </w:rPr>
            </w:pPr>
            <w:r>
              <w:rPr>
                <w:rFonts w:ascii="Calibri" w:hAnsi="Calibri"/>
                <w:sz w:val="18"/>
                <w:szCs w:val="18"/>
              </w:rPr>
              <w:t>622,562,043.81</w:t>
            </w:r>
          </w:p>
        </w:tc>
        <w:tc>
          <w:tcPr>
            <w:tcW w:w="1418" w:type="dxa"/>
            <w:vAlign w:val="center"/>
          </w:tcPr>
          <w:p w14:paraId="4012F29C">
            <w:pPr>
              <w:jc w:val="right"/>
              <w:rPr>
                <w:rFonts w:ascii="Calibri" w:hAnsi="Calibri"/>
                <w:sz w:val="18"/>
                <w:szCs w:val="18"/>
              </w:rPr>
            </w:pPr>
            <w:r>
              <w:rPr>
                <w:rFonts w:ascii="Calibri" w:hAnsi="Calibri"/>
                <w:sz w:val="18"/>
                <w:szCs w:val="18"/>
              </w:rPr>
              <w:t>134,829,975.95</w:t>
            </w:r>
          </w:p>
        </w:tc>
        <w:tc>
          <w:tcPr>
            <w:tcW w:w="1275" w:type="dxa"/>
            <w:vAlign w:val="center"/>
          </w:tcPr>
          <w:p w14:paraId="66F19F61">
            <w:pPr>
              <w:jc w:val="right"/>
              <w:rPr>
                <w:rFonts w:ascii="Calibri" w:hAnsi="Calibri"/>
                <w:sz w:val="18"/>
                <w:szCs w:val="18"/>
              </w:rPr>
            </w:pPr>
            <w:r>
              <w:rPr>
                <w:rFonts w:ascii="Calibri" w:hAnsi="Calibri"/>
                <w:sz w:val="18"/>
                <w:szCs w:val="18"/>
              </w:rPr>
              <w:t>5,282,749.83</w:t>
            </w:r>
          </w:p>
        </w:tc>
        <w:tc>
          <w:tcPr>
            <w:tcW w:w="1560" w:type="dxa"/>
            <w:vAlign w:val="center"/>
          </w:tcPr>
          <w:p w14:paraId="1B3C5709">
            <w:pPr>
              <w:jc w:val="right"/>
              <w:rPr>
                <w:rFonts w:ascii="Calibri" w:hAnsi="Calibri"/>
                <w:sz w:val="18"/>
                <w:szCs w:val="18"/>
              </w:rPr>
            </w:pPr>
            <w:r>
              <w:rPr>
                <w:rFonts w:ascii="Calibri" w:hAnsi="Calibri"/>
                <w:sz w:val="18"/>
                <w:szCs w:val="18"/>
              </w:rPr>
              <w:t>1,027,149,340.36</w:t>
            </w:r>
          </w:p>
        </w:tc>
        <w:tc>
          <w:tcPr>
            <w:tcW w:w="1559" w:type="dxa"/>
            <w:vAlign w:val="center"/>
          </w:tcPr>
          <w:p w14:paraId="7787441E">
            <w:pPr>
              <w:jc w:val="right"/>
              <w:rPr>
                <w:rFonts w:ascii="Calibri" w:hAnsi="Calibri"/>
                <w:sz w:val="18"/>
                <w:szCs w:val="18"/>
              </w:rPr>
            </w:pPr>
            <w:r>
              <w:rPr>
                <w:rFonts w:ascii="Calibri" w:hAnsi="Calibri"/>
                <w:sz w:val="18"/>
                <w:szCs w:val="18"/>
              </w:rPr>
              <w:t>3,697,417,176.64</w:t>
            </w:r>
          </w:p>
        </w:tc>
        <w:tc>
          <w:tcPr>
            <w:tcW w:w="1559" w:type="dxa"/>
            <w:vAlign w:val="center"/>
          </w:tcPr>
          <w:p w14:paraId="156423E0">
            <w:pPr>
              <w:jc w:val="right"/>
              <w:rPr>
                <w:rFonts w:ascii="Calibri" w:hAnsi="Calibri"/>
                <w:sz w:val="18"/>
                <w:szCs w:val="18"/>
              </w:rPr>
            </w:pPr>
            <w:r>
              <w:rPr>
                <w:rFonts w:ascii="Calibri" w:hAnsi="Calibri"/>
                <w:sz w:val="18"/>
                <w:szCs w:val="18"/>
              </w:rPr>
              <w:t>7,211,198,787.69</w:t>
            </w:r>
          </w:p>
        </w:tc>
        <w:tc>
          <w:tcPr>
            <w:tcW w:w="1276" w:type="dxa"/>
            <w:vAlign w:val="center"/>
          </w:tcPr>
          <w:p w14:paraId="6DD8F436">
            <w:pPr>
              <w:jc w:val="right"/>
              <w:rPr>
                <w:rFonts w:ascii="Calibri" w:hAnsi="Calibri"/>
                <w:sz w:val="18"/>
                <w:szCs w:val="18"/>
              </w:rPr>
            </w:pPr>
            <w:r>
              <w:rPr>
                <w:rFonts w:ascii="Calibri" w:hAnsi="Calibri"/>
                <w:sz w:val="18"/>
                <w:szCs w:val="18"/>
              </w:rPr>
              <w:t>5,085,731.43</w:t>
            </w:r>
          </w:p>
        </w:tc>
        <w:tc>
          <w:tcPr>
            <w:tcW w:w="1559" w:type="dxa"/>
            <w:vAlign w:val="center"/>
          </w:tcPr>
          <w:p w14:paraId="058CC2F5">
            <w:pPr>
              <w:jc w:val="right"/>
              <w:rPr>
                <w:rFonts w:ascii="Calibri" w:hAnsi="Calibri"/>
                <w:sz w:val="18"/>
                <w:szCs w:val="18"/>
              </w:rPr>
            </w:pPr>
            <w:r>
              <w:rPr>
                <w:rFonts w:ascii="Calibri" w:hAnsi="Calibri"/>
                <w:sz w:val="18"/>
                <w:szCs w:val="18"/>
              </w:rPr>
              <w:t>7,216,284,519.12</w:t>
            </w:r>
          </w:p>
        </w:tc>
      </w:tr>
      <w:tr w14:paraId="7F17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feb351bb250466a8fad5b20d2922c70"/>
            <w:id w:val="875278354"/>
          </w:sdtPr>
          <w:sdtContent>
            <w:tc>
              <w:tcPr>
                <w:tcW w:w="1702" w:type="dxa"/>
                <w:vAlign w:val="center"/>
              </w:tcPr>
              <w:p w14:paraId="28B94AE3">
                <w:pPr>
                  <w:rPr>
                    <w:rFonts w:ascii="Calibri" w:hAnsi="Calibri"/>
                    <w:sz w:val="18"/>
                    <w:szCs w:val="18"/>
                  </w:rPr>
                </w:pPr>
                <w:r>
                  <w:rPr>
                    <w:rFonts w:hint="eastAsia" w:ascii="Calibri" w:hAnsi="Calibri"/>
                    <w:sz w:val="18"/>
                    <w:szCs w:val="18"/>
                  </w:rPr>
                  <w:t>加：</w:t>
                </w:r>
                <w:r>
                  <w:rPr>
                    <w:rFonts w:ascii="Calibri" w:hAnsi="Calibri"/>
                    <w:sz w:val="18"/>
                    <w:szCs w:val="18"/>
                  </w:rPr>
                  <w:t>会计政策变更</w:t>
                </w:r>
              </w:p>
            </w:tc>
          </w:sdtContent>
        </w:sdt>
        <w:tc>
          <w:tcPr>
            <w:tcW w:w="1559" w:type="dxa"/>
            <w:vAlign w:val="center"/>
          </w:tcPr>
          <w:p w14:paraId="562313D4">
            <w:pPr>
              <w:jc w:val="right"/>
              <w:rPr>
                <w:rFonts w:ascii="Calibri" w:hAnsi="Calibri"/>
                <w:sz w:val="18"/>
                <w:szCs w:val="18"/>
              </w:rPr>
            </w:pPr>
          </w:p>
        </w:tc>
        <w:tc>
          <w:tcPr>
            <w:tcW w:w="284" w:type="dxa"/>
            <w:vAlign w:val="center"/>
          </w:tcPr>
          <w:p w14:paraId="302C300F">
            <w:pPr>
              <w:jc w:val="right"/>
              <w:rPr>
                <w:rFonts w:ascii="Calibri" w:hAnsi="Calibri"/>
                <w:sz w:val="18"/>
                <w:szCs w:val="18"/>
              </w:rPr>
            </w:pPr>
          </w:p>
        </w:tc>
        <w:tc>
          <w:tcPr>
            <w:tcW w:w="425" w:type="dxa"/>
            <w:vAlign w:val="center"/>
          </w:tcPr>
          <w:p w14:paraId="6E6AE20D">
            <w:pPr>
              <w:jc w:val="right"/>
              <w:rPr>
                <w:rFonts w:ascii="Calibri" w:hAnsi="Calibri"/>
                <w:sz w:val="18"/>
                <w:szCs w:val="18"/>
              </w:rPr>
            </w:pPr>
          </w:p>
        </w:tc>
        <w:tc>
          <w:tcPr>
            <w:tcW w:w="284" w:type="dxa"/>
            <w:vAlign w:val="center"/>
          </w:tcPr>
          <w:p w14:paraId="022E2EEB">
            <w:pPr>
              <w:jc w:val="right"/>
              <w:rPr>
                <w:rFonts w:ascii="Calibri" w:hAnsi="Calibri"/>
                <w:sz w:val="18"/>
                <w:szCs w:val="18"/>
              </w:rPr>
            </w:pPr>
          </w:p>
        </w:tc>
        <w:tc>
          <w:tcPr>
            <w:tcW w:w="1417" w:type="dxa"/>
            <w:vAlign w:val="center"/>
          </w:tcPr>
          <w:p w14:paraId="50FEB5B3">
            <w:pPr>
              <w:jc w:val="right"/>
              <w:rPr>
                <w:rFonts w:ascii="Calibri" w:hAnsi="Calibri"/>
                <w:sz w:val="18"/>
                <w:szCs w:val="18"/>
              </w:rPr>
            </w:pPr>
          </w:p>
        </w:tc>
        <w:tc>
          <w:tcPr>
            <w:tcW w:w="1418" w:type="dxa"/>
            <w:vAlign w:val="center"/>
          </w:tcPr>
          <w:p w14:paraId="0E918AAA">
            <w:pPr>
              <w:jc w:val="right"/>
              <w:rPr>
                <w:rFonts w:ascii="Calibri" w:hAnsi="Calibri"/>
                <w:sz w:val="18"/>
                <w:szCs w:val="18"/>
              </w:rPr>
            </w:pPr>
          </w:p>
        </w:tc>
        <w:tc>
          <w:tcPr>
            <w:tcW w:w="1275" w:type="dxa"/>
            <w:vAlign w:val="center"/>
          </w:tcPr>
          <w:p w14:paraId="09C64929">
            <w:pPr>
              <w:jc w:val="right"/>
              <w:rPr>
                <w:rFonts w:ascii="Calibri" w:hAnsi="Calibri"/>
                <w:sz w:val="18"/>
                <w:szCs w:val="18"/>
              </w:rPr>
            </w:pPr>
          </w:p>
        </w:tc>
        <w:tc>
          <w:tcPr>
            <w:tcW w:w="1560" w:type="dxa"/>
            <w:vAlign w:val="center"/>
          </w:tcPr>
          <w:p w14:paraId="7002CD86">
            <w:pPr>
              <w:jc w:val="right"/>
              <w:rPr>
                <w:rFonts w:ascii="Calibri" w:hAnsi="Calibri"/>
                <w:sz w:val="18"/>
                <w:szCs w:val="18"/>
              </w:rPr>
            </w:pPr>
          </w:p>
        </w:tc>
        <w:tc>
          <w:tcPr>
            <w:tcW w:w="1559" w:type="dxa"/>
            <w:vAlign w:val="center"/>
          </w:tcPr>
          <w:p w14:paraId="5A33D9DB">
            <w:pPr>
              <w:jc w:val="right"/>
              <w:rPr>
                <w:rFonts w:ascii="Calibri" w:hAnsi="Calibri"/>
                <w:sz w:val="18"/>
                <w:szCs w:val="18"/>
              </w:rPr>
            </w:pPr>
          </w:p>
        </w:tc>
        <w:tc>
          <w:tcPr>
            <w:tcW w:w="1559" w:type="dxa"/>
            <w:vAlign w:val="center"/>
          </w:tcPr>
          <w:p w14:paraId="59DC251D">
            <w:pPr>
              <w:jc w:val="right"/>
              <w:rPr>
                <w:rFonts w:ascii="Calibri" w:hAnsi="Calibri"/>
                <w:sz w:val="18"/>
                <w:szCs w:val="18"/>
              </w:rPr>
            </w:pPr>
          </w:p>
        </w:tc>
        <w:tc>
          <w:tcPr>
            <w:tcW w:w="1276" w:type="dxa"/>
            <w:vAlign w:val="center"/>
          </w:tcPr>
          <w:p w14:paraId="44EBF6A1">
            <w:pPr>
              <w:jc w:val="right"/>
              <w:rPr>
                <w:rFonts w:ascii="Calibri" w:hAnsi="Calibri"/>
                <w:sz w:val="18"/>
                <w:szCs w:val="18"/>
              </w:rPr>
            </w:pPr>
          </w:p>
        </w:tc>
        <w:tc>
          <w:tcPr>
            <w:tcW w:w="1559" w:type="dxa"/>
            <w:vAlign w:val="center"/>
          </w:tcPr>
          <w:p w14:paraId="1AC3C365">
            <w:pPr>
              <w:jc w:val="right"/>
              <w:rPr>
                <w:rFonts w:ascii="Calibri" w:hAnsi="Calibri"/>
                <w:sz w:val="18"/>
                <w:szCs w:val="18"/>
              </w:rPr>
            </w:pPr>
          </w:p>
        </w:tc>
      </w:tr>
      <w:tr w14:paraId="27C3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480764b7144ae885e5b5b29f4f4705"/>
            <w:id w:val="9414070"/>
          </w:sdtPr>
          <w:sdtContent>
            <w:tc>
              <w:tcPr>
                <w:tcW w:w="1702" w:type="dxa"/>
                <w:vAlign w:val="center"/>
              </w:tcPr>
              <w:p w14:paraId="1BD8AFEE">
                <w:pPr>
                  <w:ind w:firstLine="420" w:firstLineChars="200"/>
                  <w:rPr>
                    <w:rFonts w:ascii="Calibri" w:hAnsi="Calibri"/>
                    <w:sz w:val="18"/>
                    <w:szCs w:val="18"/>
                  </w:rPr>
                </w:pPr>
                <w:r>
                  <w:rPr>
                    <w:rFonts w:ascii="Calibri" w:hAnsi="Calibri"/>
                    <w:sz w:val="18"/>
                    <w:szCs w:val="18"/>
                  </w:rPr>
                  <w:t>前期差错更正</w:t>
                </w:r>
              </w:p>
            </w:tc>
          </w:sdtContent>
        </w:sdt>
        <w:tc>
          <w:tcPr>
            <w:tcW w:w="1559" w:type="dxa"/>
            <w:vAlign w:val="center"/>
          </w:tcPr>
          <w:p w14:paraId="4B45B050">
            <w:pPr>
              <w:jc w:val="right"/>
              <w:rPr>
                <w:rFonts w:ascii="Calibri" w:hAnsi="Calibri"/>
                <w:sz w:val="18"/>
                <w:szCs w:val="18"/>
              </w:rPr>
            </w:pPr>
          </w:p>
        </w:tc>
        <w:tc>
          <w:tcPr>
            <w:tcW w:w="284" w:type="dxa"/>
            <w:vAlign w:val="center"/>
          </w:tcPr>
          <w:p w14:paraId="459E66FD">
            <w:pPr>
              <w:jc w:val="right"/>
              <w:rPr>
                <w:rFonts w:ascii="Calibri" w:hAnsi="Calibri"/>
                <w:sz w:val="18"/>
                <w:szCs w:val="18"/>
              </w:rPr>
            </w:pPr>
          </w:p>
        </w:tc>
        <w:tc>
          <w:tcPr>
            <w:tcW w:w="425" w:type="dxa"/>
            <w:vAlign w:val="center"/>
          </w:tcPr>
          <w:p w14:paraId="19DEFC26">
            <w:pPr>
              <w:jc w:val="right"/>
              <w:rPr>
                <w:rFonts w:ascii="Calibri" w:hAnsi="Calibri"/>
                <w:sz w:val="18"/>
                <w:szCs w:val="18"/>
              </w:rPr>
            </w:pPr>
          </w:p>
        </w:tc>
        <w:tc>
          <w:tcPr>
            <w:tcW w:w="284" w:type="dxa"/>
            <w:vAlign w:val="center"/>
          </w:tcPr>
          <w:p w14:paraId="377A4558">
            <w:pPr>
              <w:jc w:val="right"/>
              <w:rPr>
                <w:rFonts w:ascii="Calibri" w:hAnsi="Calibri"/>
                <w:sz w:val="18"/>
                <w:szCs w:val="18"/>
              </w:rPr>
            </w:pPr>
          </w:p>
        </w:tc>
        <w:tc>
          <w:tcPr>
            <w:tcW w:w="1417" w:type="dxa"/>
            <w:vAlign w:val="center"/>
          </w:tcPr>
          <w:p w14:paraId="3E3AFCDB">
            <w:pPr>
              <w:jc w:val="right"/>
              <w:rPr>
                <w:rFonts w:ascii="Calibri" w:hAnsi="Calibri"/>
                <w:sz w:val="18"/>
                <w:szCs w:val="18"/>
              </w:rPr>
            </w:pPr>
          </w:p>
        </w:tc>
        <w:tc>
          <w:tcPr>
            <w:tcW w:w="1418" w:type="dxa"/>
            <w:vAlign w:val="center"/>
          </w:tcPr>
          <w:p w14:paraId="380401E8">
            <w:pPr>
              <w:jc w:val="right"/>
              <w:rPr>
                <w:rFonts w:ascii="Calibri" w:hAnsi="Calibri"/>
                <w:sz w:val="18"/>
                <w:szCs w:val="18"/>
              </w:rPr>
            </w:pPr>
          </w:p>
        </w:tc>
        <w:tc>
          <w:tcPr>
            <w:tcW w:w="1275" w:type="dxa"/>
            <w:vAlign w:val="center"/>
          </w:tcPr>
          <w:p w14:paraId="63A531EC">
            <w:pPr>
              <w:jc w:val="right"/>
              <w:rPr>
                <w:rFonts w:ascii="Calibri" w:hAnsi="Calibri"/>
                <w:sz w:val="18"/>
                <w:szCs w:val="18"/>
              </w:rPr>
            </w:pPr>
          </w:p>
        </w:tc>
        <w:tc>
          <w:tcPr>
            <w:tcW w:w="1560" w:type="dxa"/>
            <w:vAlign w:val="center"/>
          </w:tcPr>
          <w:p w14:paraId="6BB2CA96">
            <w:pPr>
              <w:jc w:val="right"/>
              <w:rPr>
                <w:rFonts w:ascii="Calibri" w:hAnsi="Calibri"/>
                <w:sz w:val="18"/>
                <w:szCs w:val="18"/>
              </w:rPr>
            </w:pPr>
          </w:p>
        </w:tc>
        <w:tc>
          <w:tcPr>
            <w:tcW w:w="1559" w:type="dxa"/>
            <w:vAlign w:val="center"/>
          </w:tcPr>
          <w:p w14:paraId="4C10CD9B">
            <w:pPr>
              <w:jc w:val="right"/>
              <w:rPr>
                <w:rFonts w:ascii="Calibri" w:hAnsi="Calibri"/>
                <w:sz w:val="18"/>
                <w:szCs w:val="18"/>
              </w:rPr>
            </w:pPr>
          </w:p>
        </w:tc>
        <w:tc>
          <w:tcPr>
            <w:tcW w:w="1559" w:type="dxa"/>
            <w:vAlign w:val="center"/>
          </w:tcPr>
          <w:p w14:paraId="176E9113">
            <w:pPr>
              <w:jc w:val="right"/>
              <w:rPr>
                <w:rFonts w:ascii="Calibri" w:hAnsi="Calibri"/>
                <w:sz w:val="18"/>
                <w:szCs w:val="18"/>
              </w:rPr>
            </w:pPr>
          </w:p>
        </w:tc>
        <w:tc>
          <w:tcPr>
            <w:tcW w:w="1276" w:type="dxa"/>
            <w:vAlign w:val="center"/>
          </w:tcPr>
          <w:p w14:paraId="294E53AE">
            <w:pPr>
              <w:jc w:val="right"/>
              <w:rPr>
                <w:rFonts w:ascii="Calibri" w:hAnsi="Calibri"/>
                <w:sz w:val="18"/>
                <w:szCs w:val="18"/>
              </w:rPr>
            </w:pPr>
          </w:p>
        </w:tc>
        <w:tc>
          <w:tcPr>
            <w:tcW w:w="1559" w:type="dxa"/>
            <w:vAlign w:val="center"/>
          </w:tcPr>
          <w:p w14:paraId="182CC8E1">
            <w:pPr>
              <w:jc w:val="right"/>
              <w:rPr>
                <w:rFonts w:ascii="Calibri" w:hAnsi="Calibri"/>
                <w:sz w:val="18"/>
                <w:szCs w:val="18"/>
              </w:rPr>
            </w:pPr>
          </w:p>
        </w:tc>
      </w:tr>
      <w:tr w14:paraId="3BC5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226061f12cf4cf887adc2639edc13d6"/>
            <w:id w:val="-1526323490"/>
          </w:sdtPr>
          <w:sdtContent>
            <w:tc>
              <w:tcPr>
                <w:tcW w:w="1702" w:type="dxa"/>
                <w:vAlign w:val="center"/>
              </w:tcPr>
              <w:p w14:paraId="2F063847">
                <w:pPr>
                  <w:ind w:firstLine="420" w:firstLineChars="200"/>
                  <w:rPr>
                    <w:rFonts w:ascii="Calibri" w:hAnsi="Calibri"/>
                    <w:sz w:val="18"/>
                    <w:szCs w:val="18"/>
                  </w:rPr>
                </w:pPr>
                <w:r>
                  <w:rPr>
                    <w:rFonts w:hint="eastAsia" w:ascii="Calibri" w:hAnsi="Calibri"/>
                    <w:sz w:val="18"/>
                    <w:szCs w:val="18"/>
                  </w:rPr>
                  <w:t>其他</w:t>
                </w:r>
              </w:p>
            </w:tc>
          </w:sdtContent>
        </w:sdt>
        <w:tc>
          <w:tcPr>
            <w:tcW w:w="1559" w:type="dxa"/>
            <w:vAlign w:val="center"/>
          </w:tcPr>
          <w:p w14:paraId="597A70AE">
            <w:pPr>
              <w:jc w:val="right"/>
              <w:rPr>
                <w:rFonts w:ascii="Calibri" w:hAnsi="Calibri"/>
                <w:sz w:val="18"/>
                <w:szCs w:val="18"/>
              </w:rPr>
            </w:pPr>
          </w:p>
        </w:tc>
        <w:tc>
          <w:tcPr>
            <w:tcW w:w="284" w:type="dxa"/>
            <w:vAlign w:val="center"/>
          </w:tcPr>
          <w:p w14:paraId="49660BC9">
            <w:pPr>
              <w:jc w:val="right"/>
              <w:rPr>
                <w:rFonts w:ascii="Calibri" w:hAnsi="Calibri"/>
                <w:sz w:val="18"/>
                <w:szCs w:val="18"/>
              </w:rPr>
            </w:pPr>
          </w:p>
        </w:tc>
        <w:tc>
          <w:tcPr>
            <w:tcW w:w="425" w:type="dxa"/>
            <w:vAlign w:val="center"/>
          </w:tcPr>
          <w:p w14:paraId="6F80187F">
            <w:pPr>
              <w:jc w:val="right"/>
              <w:rPr>
                <w:rFonts w:ascii="Calibri" w:hAnsi="Calibri"/>
                <w:sz w:val="18"/>
                <w:szCs w:val="18"/>
              </w:rPr>
            </w:pPr>
          </w:p>
        </w:tc>
        <w:tc>
          <w:tcPr>
            <w:tcW w:w="284" w:type="dxa"/>
            <w:vAlign w:val="center"/>
          </w:tcPr>
          <w:p w14:paraId="41863919">
            <w:pPr>
              <w:jc w:val="right"/>
              <w:rPr>
                <w:rFonts w:ascii="Calibri" w:hAnsi="Calibri"/>
                <w:sz w:val="18"/>
                <w:szCs w:val="18"/>
              </w:rPr>
            </w:pPr>
          </w:p>
        </w:tc>
        <w:tc>
          <w:tcPr>
            <w:tcW w:w="1417" w:type="dxa"/>
            <w:vAlign w:val="center"/>
          </w:tcPr>
          <w:p w14:paraId="0CB12D94">
            <w:pPr>
              <w:jc w:val="right"/>
              <w:rPr>
                <w:rFonts w:ascii="Calibri" w:hAnsi="Calibri"/>
                <w:sz w:val="18"/>
                <w:szCs w:val="18"/>
              </w:rPr>
            </w:pPr>
          </w:p>
        </w:tc>
        <w:tc>
          <w:tcPr>
            <w:tcW w:w="1418" w:type="dxa"/>
            <w:vAlign w:val="center"/>
          </w:tcPr>
          <w:p w14:paraId="66C2DB55">
            <w:pPr>
              <w:jc w:val="right"/>
              <w:rPr>
                <w:rFonts w:ascii="Calibri" w:hAnsi="Calibri"/>
                <w:sz w:val="18"/>
                <w:szCs w:val="18"/>
              </w:rPr>
            </w:pPr>
          </w:p>
        </w:tc>
        <w:tc>
          <w:tcPr>
            <w:tcW w:w="1275" w:type="dxa"/>
            <w:vAlign w:val="center"/>
          </w:tcPr>
          <w:p w14:paraId="44997C1E">
            <w:pPr>
              <w:jc w:val="right"/>
              <w:rPr>
                <w:rFonts w:ascii="Calibri" w:hAnsi="Calibri"/>
                <w:sz w:val="18"/>
                <w:szCs w:val="18"/>
              </w:rPr>
            </w:pPr>
          </w:p>
        </w:tc>
        <w:tc>
          <w:tcPr>
            <w:tcW w:w="1560" w:type="dxa"/>
            <w:vAlign w:val="center"/>
          </w:tcPr>
          <w:p w14:paraId="73CAEC88">
            <w:pPr>
              <w:jc w:val="right"/>
              <w:rPr>
                <w:rFonts w:ascii="Calibri" w:hAnsi="Calibri"/>
                <w:sz w:val="18"/>
                <w:szCs w:val="18"/>
              </w:rPr>
            </w:pPr>
          </w:p>
        </w:tc>
        <w:tc>
          <w:tcPr>
            <w:tcW w:w="1559" w:type="dxa"/>
            <w:vAlign w:val="center"/>
          </w:tcPr>
          <w:p w14:paraId="41368D35">
            <w:pPr>
              <w:jc w:val="right"/>
              <w:rPr>
                <w:rFonts w:ascii="Calibri" w:hAnsi="Calibri"/>
                <w:sz w:val="18"/>
                <w:szCs w:val="18"/>
              </w:rPr>
            </w:pPr>
          </w:p>
        </w:tc>
        <w:tc>
          <w:tcPr>
            <w:tcW w:w="1559" w:type="dxa"/>
            <w:vAlign w:val="center"/>
          </w:tcPr>
          <w:p w14:paraId="26C7713A">
            <w:pPr>
              <w:jc w:val="right"/>
              <w:rPr>
                <w:rFonts w:ascii="Calibri" w:hAnsi="Calibri"/>
                <w:sz w:val="18"/>
                <w:szCs w:val="18"/>
              </w:rPr>
            </w:pPr>
          </w:p>
        </w:tc>
        <w:tc>
          <w:tcPr>
            <w:tcW w:w="1276" w:type="dxa"/>
            <w:vAlign w:val="center"/>
          </w:tcPr>
          <w:p w14:paraId="47F721B3">
            <w:pPr>
              <w:jc w:val="right"/>
              <w:rPr>
                <w:rFonts w:ascii="Calibri" w:hAnsi="Calibri"/>
                <w:sz w:val="18"/>
                <w:szCs w:val="18"/>
              </w:rPr>
            </w:pPr>
          </w:p>
        </w:tc>
        <w:tc>
          <w:tcPr>
            <w:tcW w:w="1559" w:type="dxa"/>
            <w:vAlign w:val="center"/>
          </w:tcPr>
          <w:p w14:paraId="1A3AF294">
            <w:pPr>
              <w:jc w:val="right"/>
              <w:rPr>
                <w:rFonts w:ascii="Calibri" w:hAnsi="Calibri"/>
                <w:sz w:val="18"/>
                <w:szCs w:val="18"/>
              </w:rPr>
            </w:pPr>
          </w:p>
        </w:tc>
      </w:tr>
      <w:tr w14:paraId="716E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438083d485a4ed1a2cb2a35b3d400f3"/>
            <w:id w:val="1457299127"/>
          </w:sdtPr>
          <w:sdtContent>
            <w:tc>
              <w:tcPr>
                <w:tcW w:w="1702" w:type="dxa"/>
                <w:vAlign w:val="center"/>
              </w:tcPr>
              <w:p w14:paraId="7417B12A">
                <w:pPr>
                  <w:rPr>
                    <w:rFonts w:ascii="Calibri" w:hAnsi="Calibri"/>
                    <w:sz w:val="18"/>
                    <w:szCs w:val="18"/>
                  </w:rPr>
                </w:pPr>
                <w:r>
                  <w:rPr>
                    <w:rFonts w:ascii="Calibri" w:hAnsi="Calibri"/>
                    <w:sz w:val="18"/>
                    <w:szCs w:val="18"/>
                  </w:rPr>
                  <w:t>二、本年</w:t>
                </w:r>
                <w:r>
                  <w:rPr>
                    <w:rFonts w:hint="eastAsia" w:ascii="Calibri" w:hAnsi="Calibri"/>
                    <w:sz w:val="18"/>
                    <w:szCs w:val="18"/>
                  </w:rPr>
                  <w:t>期</w:t>
                </w:r>
                <w:r>
                  <w:rPr>
                    <w:rFonts w:ascii="Calibri" w:hAnsi="Calibri"/>
                    <w:sz w:val="18"/>
                    <w:szCs w:val="18"/>
                  </w:rPr>
                  <w:t>初余额</w:t>
                </w:r>
              </w:p>
            </w:tc>
          </w:sdtContent>
        </w:sdt>
        <w:tc>
          <w:tcPr>
            <w:tcW w:w="1559" w:type="dxa"/>
            <w:vAlign w:val="center"/>
          </w:tcPr>
          <w:p w14:paraId="65E588A1">
            <w:pPr>
              <w:jc w:val="right"/>
              <w:rPr>
                <w:rFonts w:ascii="Calibri" w:hAnsi="Calibri"/>
                <w:sz w:val="18"/>
                <w:szCs w:val="18"/>
              </w:rPr>
            </w:pPr>
            <w:r>
              <w:rPr>
                <w:rFonts w:ascii="Calibri" w:hAnsi="Calibri"/>
                <w:sz w:val="18"/>
                <w:szCs w:val="18"/>
              </w:rPr>
              <w:t>1,993,617,453.00</w:t>
            </w:r>
          </w:p>
        </w:tc>
        <w:tc>
          <w:tcPr>
            <w:tcW w:w="284" w:type="dxa"/>
            <w:vAlign w:val="center"/>
          </w:tcPr>
          <w:p w14:paraId="25F295FE">
            <w:pPr>
              <w:jc w:val="right"/>
              <w:rPr>
                <w:rFonts w:ascii="Calibri" w:hAnsi="Calibri"/>
                <w:sz w:val="18"/>
                <w:szCs w:val="18"/>
              </w:rPr>
            </w:pPr>
          </w:p>
        </w:tc>
        <w:tc>
          <w:tcPr>
            <w:tcW w:w="425" w:type="dxa"/>
            <w:vAlign w:val="center"/>
          </w:tcPr>
          <w:p w14:paraId="37C1D31F">
            <w:pPr>
              <w:jc w:val="right"/>
              <w:rPr>
                <w:rFonts w:ascii="Calibri" w:hAnsi="Calibri"/>
                <w:sz w:val="18"/>
                <w:szCs w:val="18"/>
              </w:rPr>
            </w:pPr>
          </w:p>
        </w:tc>
        <w:tc>
          <w:tcPr>
            <w:tcW w:w="284" w:type="dxa"/>
            <w:vAlign w:val="center"/>
          </w:tcPr>
          <w:p w14:paraId="278F1454">
            <w:pPr>
              <w:jc w:val="right"/>
              <w:rPr>
                <w:rFonts w:ascii="Calibri" w:hAnsi="Calibri"/>
                <w:sz w:val="18"/>
                <w:szCs w:val="18"/>
              </w:rPr>
            </w:pPr>
          </w:p>
        </w:tc>
        <w:tc>
          <w:tcPr>
            <w:tcW w:w="1417" w:type="dxa"/>
            <w:vAlign w:val="center"/>
          </w:tcPr>
          <w:p w14:paraId="11EB79BE">
            <w:pPr>
              <w:jc w:val="right"/>
              <w:rPr>
                <w:rFonts w:ascii="Calibri" w:hAnsi="Calibri"/>
                <w:sz w:val="18"/>
                <w:szCs w:val="18"/>
              </w:rPr>
            </w:pPr>
            <w:r>
              <w:rPr>
                <w:rFonts w:ascii="Calibri" w:hAnsi="Calibri"/>
                <w:sz w:val="18"/>
                <w:szCs w:val="18"/>
              </w:rPr>
              <w:t>622,562,043.81</w:t>
            </w:r>
          </w:p>
        </w:tc>
        <w:tc>
          <w:tcPr>
            <w:tcW w:w="1418" w:type="dxa"/>
            <w:vAlign w:val="center"/>
          </w:tcPr>
          <w:p w14:paraId="090D5D45">
            <w:pPr>
              <w:jc w:val="right"/>
              <w:rPr>
                <w:rFonts w:ascii="Calibri" w:hAnsi="Calibri"/>
                <w:sz w:val="18"/>
                <w:szCs w:val="18"/>
              </w:rPr>
            </w:pPr>
            <w:r>
              <w:rPr>
                <w:rFonts w:ascii="Calibri" w:hAnsi="Calibri"/>
                <w:sz w:val="18"/>
                <w:szCs w:val="18"/>
              </w:rPr>
              <w:t>134,829,975.95</w:t>
            </w:r>
          </w:p>
        </w:tc>
        <w:tc>
          <w:tcPr>
            <w:tcW w:w="1275" w:type="dxa"/>
            <w:vAlign w:val="center"/>
          </w:tcPr>
          <w:p w14:paraId="1A85C828">
            <w:pPr>
              <w:jc w:val="right"/>
              <w:rPr>
                <w:rFonts w:ascii="Calibri" w:hAnsi="Calibri"/>
                <w:sz w:val="18"/>
                <w:szCs w:val="18"/>
              </w:rPr>
            </w:pPr>
            <w:r>
              <w:rPr>
                <w:rFonts w:ascii="Calibri" w:hAnsi="Calibri"/>
                <w:sz w:val="18"/>
                <w:szCs w:val="18"/>
              </w:rPr>
              <w:t>5,282,749.83</w:t>
            </w:r>
          </w:p>
        </w:tc>
        <w:tc>
          <w:tcPr>
            <w:tcW w:w="1560" w:type="dxa"/>
            <w:vAlign w:val="center"/>
          </w:tcPr>
          <w:p w14:paraId="400F3D28">
            <w:pPr>
              <w:jc w:val="right"/>
              <w:rPr>
                <w:rFonts w:ascii="Calibri" w:hAnsi="Calibri"/>
                <w:sz w:val="18"/>
                <w:szCs w:val="18"/>
              </w:rPr>
            </w:pPr>
            <w:r>
              <w:rPr>
                <w:rFonts w:ascii="Calibri" w:hAnsi="Calibri"/>
                <w:sz w:val="18"/>
                <w:szCs w:val="18"/>
              </w:rPr>
              <w:t>1,027,149,340.36</w:t>
            </w:r>
          </w:p>
        </w:tc>
        <w:tc>
          <w:tcPr>
            <w:tcW w:w="1559" w:type="dxa"/>
            <w:vAlign w:val="center"/>
          </w:tcPr>
          <w:p w14:paraId="354B687A">
            <w:pPr>
              <w:jc w:val="right"/>
              <w:rPr>
                <w:rFonts w:ascii="Calibri" w:hAnsi="Calibri"/>
                <w:sz w:val="18"/>
                <w:szCs w:val="18"/>
              </w:rPr>
            </w:pPr>
            <w:r>
              <w:rPr>
                <w:rFonts w:ascii="Calibri" w:hAnsi="Calibri"/>
                <w:sz w:val="18"/>
                <w:szCs w:val="18"/>
              </w:rPr>
              <w:t>3,697,417,176.64</w:t>
            </w:r>
          </w:p>
        </w:tc>
        <w:tc>
          <w:tcPr>
            <w:tcW w:w="1559" w:type="dxa"/>
            <w:vAlign w:val="center"/>
          </w:tcPr>
          <w:p w14:paraId="17054684">
            <w:pPr>
              <w:jc w:val="right"/>
              <w:rPr>
                <w:rFonts w:ascii="Calibri" w:hAnsi="Calibri"/>
                <w:sz w:val="18"/>
                <w:szCs w:val="18"/>
              </w:rPr>
            </w:pPr>
            <w:r>
              <w:rPr>
                <w:rFonts w:ascii="Calibri" w:hAnsi="Calibri"/>
                <w:sz w:val="18"/>
                <w:szCs w:val="18"/>
              </w:rPr>
              <w:t>7,211,198,787.69</w:t>
            </w:r>
          </w:p>
        </w:tc>
        <w:tc>
          <w:tcPr>
            <w:tcW w:w="1276" w:type="dxa"/>
            <w:vAlign w:val="center"/>
          </w:tcPr>
          <w:p w14:paraId="1BB02C0C">
            <w:pPr>
              <w:jc w:val="right"/>
              <w:rPr>
                <w:rFonts w:ascii="Calibri" w:hAnsi="Calibri"/>
                <w:sz w:val="18"/>
                <w:szCs w:val="18"/>
              </w:rPr>
            </w:pPr>
            <w:r>
              <w:rPr>
                <w:rFonts w:ascii="Calibri" w:hAnsi="Calibri"/>
                <w:sz w:val="18"/>
                <w:szCs w:val="18"/>
              </w:rPr>
              <w:t>5,085,731.43</w:t>
            </w:r>
          </w:p>
        </w:tc>
        <w:tc>
          <w:tcPr>
            <w:tcW w:w="1559" w:type="dxa"/>
            <w:vAlign w:val="center"/>
          </w:tcPr>
          <w:p w14:paraId="7E118C5D">
            <w:pPr>
              <w:jc w:val="right"/>
              <w:rPr>
                <w:rFonts w:ascii="Calibri" w:hAnsi="Calibri"/>
                <w:sz w:val="18"/>
                <w:szCs w:val="18"/>
              </w:rPr>
            </w:pPr>
            <w:r>
              <w:rPr>
                <w:rFonts w:ascii="Calibri" w:hAnsi="Calibri"/>
                <w:sz w:val="18"/>
                <w:szCs w:val="18"/>
              </w:rPr>
              <w:t>7,216,284,519.12</w:t>
            </w:r>
          </w:p>
        </w:tc>
      </w:tr>
      <w:tr w14:paraId="36FF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0d70a8ecfa64251bc0240cb363e3dd7"/>
            <w:id w:val="723181125"/>
          </w:sdtPr>
          <w:sdtContent>
            <w:tc>
              <w:tcPr>
                <w:tcW w:w="1702" w:type="dxa"/>
                <w:vAlign w:val="center"/>
              </w:tcPr>
              <w:p w14:paraId="30526C70">
                <w:pPr>
                  <w:rPr>
                    <w:rFonts w:ascii="Calibri" w:hAnsi="Calibri"/>
                    <w:sz w:val="18"/>
                    <w:szCs w:val="18"/>
                  </w:rPr>
                </w:pPr>
                <w:r>
                  <w:rPr>
                    <w:rFonts w:ascii="Calibri" w:hAnsi="Calibri"/>
                    <w:sz w:val="18"/>
                    <w:szCs w:val="18"/>
                  </w:rPr>
                  <w:t>三、本</w:t>
                </w:r>
                <w:r>
                  <w:rPr>
                    <w:rFonts w:hint="eastAsia" w:ascii="Calibri" w:hAnsi="Calibri"/>
                    <w:sz w:val="18"/>
                    <w:szCs w:val="18"/>
                  </w:rPr>
                  <w:t>期</w:t>
                </w:r>
                <w:r>
                  <w:rPr>
                    <w:rFonts w:ascii="Calibri" w:hAnsi="Calibri"/>
                    <w:sz w:val="18"/>
                    <w:szCs w:val="18"/>
                  </w:rPr>
                  <w:t>增减变动金额（减少以“－”号填列）</w:t>
                </w:r>
              </w:p>
            </w:tc>
          </w:sdtContent>
        </w:sdt>
        <w:tc>
          <w:tcPr>
            <w:tcW w:w="1559" w:type="dxa"/>
            <w:vAlign w:val="center"/>
          </w:tcPr>
          <w:p w14:paraId="12356D34">
            <w:pPr>
              <w:jc w:val="right"/>
              <w:rPr>
                <w:rFonts w:ascii="Calibri" w:hAnsi="Calibri"/>
                <w:sz w:val="18"/>
                <w:szCs w:val="18"/>
              </w:rPr>
            </w:pPr>
            <w:r>
              <w:rPr>
                <w:rFonts w:ascii="Calibri" w:hAnsi="Calibri"/>
                <w:sz w:val="18"/>
                <w:szCs w:val="18"/>
              </w:rPr>
              <w:t>-11,883,379.00</w:t>
            </w:r>
          </w:p>
        </w:tc>
        <w:tc>
          <w:tcPr>
            <w:tcW w:w="284" w:type="dxa"/>
            <w:vAlign w:val="center"/>
          </w:tcPr>
          <w:p w14:paraId="233A3BE3">
            <w:pPr>
              <w:jc w:val="right"/>
              <w:rPr>
                <w:rFonts w:ascii="Calibri" w:hAnsi="Calibri"/>
                <w:sz w:val="18"/>
                <w:szCs w:val="18"/>
              </w:rPr>
            </w:pPr>
          </w:p>
        </w:tc>
        <w:tc>
          <w:tcPr>
            <w:tcW w:w="425" w:type="dxa"/>
            <w:vAlign w:val="center"/>
          </w:tcPr>
          <w:p w14:paraId="7D1648EE">
            <w:pPr>
              <w:jc w:val="right"/>
              <w:rPr>
                <w:rFonts w:ascii="Calibri" w:hAnsi="Calibri"/>
                <w:sz w:val="18"/>
                <w:szCs w:val="18"/>
              </w:rPr>
            </w:pPr>
          </w:p>
        </w:tc>
        <w:tc>
          <w:tcPr>
            <w:tcW w:w="284" w:type="dxa"/>
            <w:vAlign w:val="center"/>
          </w:tcPr>
          <w:p w14:paraId="7C9FD2C0">
            <w:pPr>
              <w:jc w:val="right"/>
              <w:rPr>
                <w:rFonts w:ascii="Calibri" w:hAnsi="Calibri"/>
                <w:sz w:val="18"/>
                <w:szCs w:val="18"/>
              </w:rPr>
            </w:pPr>
          </w:p>
        </w:tc>
        <w:tc>
          <w:tcPr>
            <w:tcW w:w="1417" w:type="dxa"/>
            <w:vAlign w:val="center"/>
          </w:tcPr>
          <w:p w14:paraId="7513597B">
            <w:pPr>
              <w:jc w:val="right"/>
              <w:rPr>
                <w:rFonts w:ascii="Calibri" w:hAnsi="Calibri"/>
                <w:sz w:val="18"/>
                <w:szCs w:val="18"/>
              </w:rPr>
            </w:pPr>
            <w:r>
              <w:rPr>
                <w:rFonts w:ascii="Calibri" w:hAnsi="Calibri"/>
                <w:sz w:val="18"/>
                <w:szCs w:val="18"/>
              </w:rPr>
              <w:t>-113,246,538.35</w:t>
            </w:r>
          </w:p>
        </w:tc>
        <w:tc>
          <w:tcPr>
            <w:tcW w:w="1418" w:type="dxa"/>
            <w:vAlign w:val="center"/>
          </w:tcPr>
          <w:p w14:paraId="11675FAE">
            <w:pPr>
              <w:jc w:val="right"/>
              <w:rPr>
                <w:rFonts w:ascii="Calibri" w:hAnsi="Calibri"/>
                <w:sz w:val="18"/>
                <w:szCs w:val="18"/>
              </w:rPr>
            </w:pPr>
            <w:r>
              <w:rPr>
                <w:rFonts w:ascii="Calibri" w:hAnsi="Calibri"/>
                <w:sz w:val="18"/>
                <w:szCs w:val="18"/>
              </w:rPr>
              <w:t>165,449,305.14</w:t>
            </w:r>
          </w:p>
        </w:tc>
        <w:tc>
          <w:tcPr>
            <w:tcW w:w="1275" w:type="dxa"/>
            <w:vAlign w:val="center"/>
          </w:tcPr>
          <w:p w14:paraId="148BA531">
            <w:pPr>
              <w:jc w:val="right"/>
              <w:rPr>
                <w:rFonts w:ascii="Calibri" w:hAnsi="Calibri"/>
                <w:sz w:val="18"/>
                <w:szCs w:val="18"/>
              </w:rPr>
            </w:pPr>
            <w:r>
              <w:rPr>
                <w:rFonts w:ascii="Calibri" w:hAnsi="Calibri"/>
                <w:sz w:val="18"/>
                <w:szCs w:val="18"/>
              </w:rPr>
              <w:t>1,627,473.75</w:t>
            </w:r>
          </w:p>
        </w:tc>
        <w:tc>
          <w:tcPr>
            <w:tcW w:w="1560" w:type="dxa"/>
            <w:vAlign w:val="center"/>
          </w:tcPr>
          <w:p w14:paraId="6CB8C011">
            <w:pPr>
              <w:jc w:val="right"/>
              <w:rPr>
                <w:rFonts w:ascii="Calibri" w:hAnsi="Calibri"/>
                <w:sz w:val="18"/>
                <w:szCs w:val="18"/>
              </w:rPr>
            </w:pPr>
          </w:p>
        </w:tc>
        <w:tc>
          <w:tcPr>
            <w:tcW w:w="1559" w:type="dxa"/>
            <w:vAlign w:val="center"/>
          </w:tcPr>
          <w:p w14:paraId="06FAFF06">
            <w:pPr>
              <w:jc w:val="right"/>
              <w:rPr>
                <w:rFonts w:ascii="Calibri" w:hAnsi="Calibri"/>
                <w:sz w:val="18"/>
                <w:szCs w:val="18"/>
              </w:rPr>
            </w:pPr>
            <w:r>
              <w:rPr>
                <w:rFonts w:ascii="Calibri" w:hAnsi="Calibri"/>
                <w:sz w:val="18"/>
                <w:szCs w:val="18"/>
              </w:rPr>
              <w:t>-537,388,345.59</w:t>
            </w:r>
          </w:p>
        </w:tc>
        <w:tc>
          <w:tcPr>
            <w:tcW w:w="1559" w:type="dxa"/>
            <w:vAlign w:val="center"/>
          </w:tcPr>
          <w:p w14:paraId="1BD9498D">
            <w:pPr>
              <w:jc w:val="right"/>
              <w:rPr>
                <w:rFonts w:ascii="Calibri" w:hAnsi="Calibri"/>
                <w:sz w:val="18"/>
                <w:szCs w:val="18"/>
              </w:rPr>
            </w:pPr>
            <w:r>
              <w:rPr>
                <w:rFonts w:ascii="Calibri" w:hAnsi="Calibri"/>
                <w:sz w:val="18"/>
                <w:szCs w:val="18"/>
              </w:rPr>
              <w:t>-826,340,094.33</w:t>
            </w:r>
          </w:p>
        </w:tc>
        <w:tc>
          <w:tcPr>
            <w:tcW w:w="1276" w:type="dxa"/>
            <w:vAlign w:val="center"/>
          </w:tcPr>
          <w:p w14:paraId="0BA395B4">
            <w:pPr>
              <w:jc w:val="right"/>
              <w:rPr>
                <w:rFonts w:ascii="Calibri" w:hAnsi="Calibri"/>
                <w:sz w:val="18"/>
                <w:szCs w:val="18"/>
              </w:rPr>
            </w:pPr>
            <w:r>
              <w:rPr>
                <w:rFonts w:ascii="Calibri" w:hAnsi="Calibri"/>
                <w:sz w:val="18"/>
                <w:szCs w:val="18"/>
              </w:rPr>
              <w:t>12,878,925.59</w:t>
            </w:r>
          </w:p>
        </w:tc>
        <w:tc>
          <w:tcPr>
            <w:tcW w:w="1559" w:type="dxa"/>
            <w:vAlign w:val="center"/>
          </w:tcPr>
          <w:p w14:paraId="5A0D8FF9">
            <w:pPr>
              <w:jc w:val="right"/>
              <w:rPr>
                <w:rFonts w:ascii="Calibri" w:hAnsi="Calibri"/>
                <w:sz w:val="18"/>
                <w:szCs w:val="18"/>
              </w:rPr>
            </w:pPr>
            <w:r>
              <w:rPr>
                <w:rFonts w:ascii="Calibri" w:hAnsi="Calibri"/>
                <w:sz w:val="18"/>
                <w:szCs w:val="18"/>
              </w:rPr>
              <w:t>-813,461,168.74</w:t>
            </w:r>
          </w:p>
        </w:tc>
      </w:tr>
      <w:tr w14:paraId="525F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b5283bf10a4a3c8882e3f3c30046c5"/>
            <w:id w:val="1983271269"/>
          </w:sdtPr>
          <w:sdtContent>
            <w:tc>
              <w:tcPr>
                <w:tcW w:w="1702" w:type="dxa"/>
                <w:vAlign w:val="center"/>
              </w:tcPr>
              <w:p w14:paraId="4E3F35FF">
                <w:pPr>
                  <w:rPr>
                    <w:rFonts w:ascii="Calibri" w:hAnsi="Calibri"/>
                    <w:sz w:val="18"/>
                    <w:szCs w:val="18"/>
                  </w:rPr>
                </w:pPr>
                <w:r>
                  <w:rPr>
                    <w:rFonts w:hint="eastAsia" w:ascii="Calibri" w:hAnsi="Calibri"/>
                    <w:sz w:val="18"/>
                    <w:szCs w:val="18"/>
                  </w:rPr>
                  <w:t>（一）综合收益总额</w:t>
                </w:r>
              </w:p>
            </w:tc>
          </w:sdtContent>
        </w:sdt>
        <w:tc>
          <w:tcPr>
            <w:tcW w:w="1559" w:type="dxa"/>
            <w:vAlign w:val="center"/>
          </w:tcPr>
          <w:p w14:paraId="492E190B">
            <w:pPr>
              <w:jc w:val="right"/>
              <w:rPr>
                <w:rFonts w:ascii="Calibri" w:hAnsi="Calibri"/>
                <w:sz w:val="18"/>
                <w:szCs w:val="18"/>
              </w:rPr>
            </w:pPr>
          </w:p>
        </w:tc>
        <w:tc>
          <w:tcPr>
            <w:tcW w:w="284" w:type="dxa"/>
            <w:vAlign w:val="center"/>
          </w:tcPr>
          <w:p w14:paraId="199028D6">
            <w:pPr>
              <w:jc w:val="right"/>
              <w:rPr>
                <w:rFonts w:ascii="Calibri" w:hAnsi="Calibri"/>
                <w:sz w:val="18"/>
                <w:szCs w:val="18"/>
              </w:rPr>
            </w:pPr>
          </w:p>
        </w:tc>
        <w:tc>
          <w:tcPr>
            <w:tcW w:w="425" w:type="dxa"/>
            <w:vAlign w:val="center"/>
          </w:tcPr>
          <w:p w14:paraId="5E17836D">
            <w:pPr>
              <w:jc w:val="right"/>
              <w:rPr>
                <w:rFonts w:ascii="Calibri" w:hAnsi="Calibri"/>
                <w:sz w:val="18"/>
                <w:szCs w:val="18"/>
              </w:rPr>
            </w:pPr>
          </w:p>
        </w:tc>
        <w:tc>
          <w:tcPr>
            <w:tcW w:w="284" w:type="dxa"/>
            <w:vAlign w:val="center"/>
          </w:tcPr>
          <w:p w14:paraId="083C6BFF">
            <w:pPr>
              <w:jc w:val="right"/>
              <w:rPr>
                <w:rFonts w:ascii="Calibri" w:hAnsi="Calibri"/>
                <w:sz w:val="18"/>
                <w:szCs w:val="18"/>
              </w:rPr>
            </w:pPr>
          </w:p>
        </w:tc>
        <w:tc>
          <w:tcPr>
            <w:tcW w:w="1417" w:type="dxa"/>
            <w:vAlign w:val="center"/>
          </w:tcPr>
          <w:p w14:paraId="067A6250">
            <w:pPr>
              <w:jc w:val="right"/>
              <w:rPr>
                <w:rFonts w:ascii="Calibri" w:hAnsi="Calibri"/>
                <w:sz w:val="18"/>
                <w:szCs w:val="18"/>
              </w:rPr>
            </w:pPr>
            <w:r>
              <w:rPr>
                <w:rFonts w:ascii="Calibri" w:hAnsi="Calibri"/>
                <w:sz w:val="18"/>
                <w:szCs w:val="18"/>
              </w:rPr>
              <w:t>3,604,081.95</w:t>
            </w:r>
          </w:p>
        </w:tc>
        <w:tc>
          <w:tcPr>
            <w:tcW w:w="1418" w:type="dxa"/>
            <w:vAlign w:val="center"/>
          </w:tcPr>
          <w:p w14:paraId="7C8182A9">
            <w:pPr>
              <w:jc w:val="right"/>
              <w:rPr>
                <w:rFonts w:ascii="Calibri" w:hAnsi="Calibri"/>
                <w:sz w:val="18"/>
                <w:szCs w:val="18"/>
              </w:rPr>
            </w:pPr>
          </w:p>
        </w:tc>
        <w:tc>
          <w:tcPr>
            <w:tcW w:w="1275" w:type="dxa"/>
            <w:vAlign w:val="center"/>
          </w:tcPr>
          <w:p w14:paraId="2EE5893D">
            <w:pPr>
              <w:jc w:val="right"/>
              <w:rPr>
                <w:rFonts w:ascii="Calibri" w:hAnsi="Calibri"/>
                <w:sz w:val="18"/>
                <w:szCs w:val="18"/>
              </w:rPr>
            </w:pPr>
            <w:r>
              <w:rPr>
                <w:rFonts w:ascii="Calibri" w:hAnsi="Calibri"/>
                <w:sz w:val="18"/>
                <w:szCs w:val="18"/>
              </w:rPr>
              <w:t>1,627,473.75</w:t>
            </w:r>
          </w:p>
        </w:tc>
        <w:tc>
          <w:tcPr>
            <w:tcW w:w="1560" w:type="dxa"/>
            <w:vAlign w:val="center"/>
          </w:tcPr>
          <w:p w14:paraId="641925CF">
            <w:pPr>
              <w:jc w:val="right"/>
              <w:rPr>
                <w:rFonts w:ascii="Calibri" w:hAnsi="Calibri"/>
                <w:sz w:val="18"/>
                <w:szCs w:val="18"/>
              </w:rPr>
            </w:pPr>
          </w:p>
        </w:tc>
        <w:tc>
          <w:tcPr>
            <w:tcW w:w="1559" w:type="dxa"/>
            <w:vAlign w:val="center"/>
          </w:tcPr>
          <w:p w14:paraId="204F99E6">
            <w:pPr>
              <w:jc w:val="right"/>
              <w:rPr>
                <w:rFonts w:ascii="Calibri" w:hAnsi="Calibri"/>
                <w:sz w:val="18"/>
                <w:szCs w:val="18"/>
              </w:rPr>
            </w:pPr>
            <w:r>
              <w:rPr>
                <w:rFonts w:ascii="Calibri" w:hAnsi="Calibri"/>
                <w:sz w:val="18"/>
                <w:szCs w:val="18"/>
              </w:rPr>
              <w:t>-41,954,827.09</w:t>
            </w:r>
          </w:p>
        </w:tc>
        <w:tc>
          <w:tcPr>
            <w:tcW w:w="1559" w:type="dxa"/>
            <w:vAlign w:val="center"/>
          </w:tcPr>
          <w:p w14:paraId="43645B46">
            <w:pPr>
              <w:jc w:val="right"/>
              <w:rPr>
                <w:rFonts w:ascii="Calibri" w:hAnsi="Calibri"/>
                <w:sz w:val="18"/>
                <w:szCs w:val="18"/>
              </w:rPr>
            </w:pPr>
            <w:r>
              <w:rPr>
                <w:rFonts w:ascii="Calibri" w:hAnsi="Calibri"/>
                <w:sz w:val="18"/>
                <w:szCs w:val="18"/>
              </w:rPr>
              <w:t>-36,723,271.39</w:t>
            </w:r>
          </w:p>
        </w:tc>
        <w:tc>
          <w:tcPr>
            <w:tcW w:w="1276" w:type="dxa"/>
            <w:vAlign w:val="center"/>
          </w:tcPr>
          <w:p w14:paraId="74CC44C0">
            <w:pPr>
              <w:jc w:val="right"/>
              <w:rPr>
                <w:rFonts w:ascii="Calibri" w:hAnsi="Calibri"/>
                <w:sz w:val="18"/>
                <w:szCs w:val="18"/>
              </w:rPr>
            </w:pPr>
            <w:r>
              <w:rPr>
                <w:rFonts w:ascii="Calibri" w:hAnsi="Calibri"/>
                <w:sz w:val="18"/>
                <w:szCs w:val="18"/>
              </w:rPr>
              <w:t>-771,074.41</w:t>
            </w:r>
          </w:p>
        </w:tc>
        <w:tc>
          <w:tcPr>
            <w:tcW w:w="1559" w:type="dxa"/>
            <w:vAlign w:val="center"/>
          </w:tcPr>
          <w:p w14:paraId="0DDBE602">
            <w:pPr>
              <w:jc w:val="right"/>
              <w:rPr>
                <w:rFonts w:ascii="Calibri" w:hAnsi="Calibri"/>
                <w:sz w:val="18"/>
                <w:szCs w:val="18"/>
              </w:rPr>
            </w:pPr>
            <w:r>
              <w:rPr>
                <w:rFonts w:ascii="Calibri" w:hAnsi="Calibri"/>
                <w:sz w:val="18"/>
                <w:szCs w:val="18"/>
              </w:rPr>
              <w:t>-37,494,345.80</w:t>
            </w:r>
          </w:p>
        </w:tc>
      </w:tr>
      <w:tr w14:paraId="7ED1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cb1a0919fe148e5893e9977ac112e36"/>
            <w:id w:val="-639193931"/>
          </w:sdtPr>
          <w:sdtContent>
            <w:tc>
              <w:tcPr>
                <w:tcW w:w="1702" w:type="dxa"/>
                <w:vAlign w:val="center"/>
              </w:tcPr>
              <w:p w14:paraId="19F273F9">
                <w:pPr>
                  <w:rPr>
                    <w:rFonts w:ascii="Calibri" w:hAnsi="Calibri"/>
                    <w:sz w:val="18"/>
                    <w:szCs w:val="18"/>
                  </w:rPr>
                </w:pPr>
                <w:r>
                  <w:rPr>
                    <w:rFonts w:ascii="Calibri" w:hAnsi="Calibri"/>
                    <w:sz w:val="18"/>
                    <w:szCs w:val="18"/>
                  </w:rPr>
                  <w:t>（</w:t>
                </w:r>
                <w:r>
                  <w:rPr>
                    <w:rFonts w:hint="eastAsia" w:ascii="Calibri" w:hAnsi="Calibri"/>
                    <w:sz w:val="18"/>
                    <w:szCs w:val="18"/>
                  </w:rPr>
                  <w:t>二</w:t>
                </w:r>
                <w:r>
                  <w:rPr>
                    <w:rFonts w:ascii="Calibri" w:hAnsi="Calibri"/>
                    <w:sz w:val="18"/>
                    <w:szCs w:val="18"/>
                  </w:rPr>
                  <w:t>）所有者投入和减少资本</w:t>
                </w:r>
              </w:p>
            </w:tc>
          </w:sdtContent>
        </w:sdt>
        <w:tc>
          <w:tcPr>
            <w:tcW w:w="1559" w:type="dxa"/>
            <w:vAlign w:val="center"/>
          </w:tcPr>
          <w:p w14:paraId="6BC08215">
            <w:pPr>
              <w:jc w:val="right"/>
              <w:rPr>
                <w:rFonts w:ascii="Calibri" w:hAnsi="Calibri"/>
                <w:sz w:val="18"/>
                <w:szCs w:val="18"/>
              </w:rPr>
            </w:pPr>
            <w:r>
              <w:rPr>
                <w:rFonts w:ascii="Calibri" w:hAnsi="Calibri"/>
                <w:sz w:val="18"/>
                <w:szCs w:val="18"/>
              </w:rPr>
              <w:t>-11,883,379.00</w:t>
            </w:r>
          </w:p>
        </w:tc>
        <w:tc>
          <w:tcPr>
            <w:tcW w:w="284" w:type="dxa"/>
            <w:vAlign w:val="center"/>
          </w:tcPr>
          <w:p w14:paraId="31833D10">
            <w:pPr>
              <w:jc w:val="right"/>
              <w:rPr>
                <w:rFonts w:ascii="Calibri" w:hAnsi="Calibri"/>
                <w:sz w:val="18"/>
                <w:szCs w:val="18"/>
              </w:rPr>
            </w:pPr>
          </w:p>
        </w:tc>
        <w:tc>
          <w:tcPr>
            <w:tcW w:w="425" w:type="dxa"/>
            <w:vAlign w:val="center"/>
          </w:tcPr>
          <w:p w14:paraId="3D18A8BE">
            <w:pPr>
              <w:jc w:val="right"/>
              <w:rPr>
                <w:rFonts w:ascii="Calibri" w:hAnsi="Calibri"/>
                <w:sz w:val="18"/>
                <w:szCs w:val="18"/>
              </w:rPr>
            </w:pPr>
          </w:p>
        </w:tc>
        <w:tc>
          <w:tcPr>
            <w:tcW w:w="284" w:type="dxa"/>
            <w:vAlign w:val="center"/>
          </w:tcPr>
          <w:p w14:paraId="19DF2F7C">
            <w:pPr>
              <w:jc w:val="right"/>
              <w:rPr>
                <w:rFonts w:ascii="Calibri" w:hAnsi="Calibri"/>
                <w:sz w:val="18"/>
                <w:szCs w:val="18"/>
              </w:rPr>
            </w:pPr>
          </w:p>
        </w:tc>
        <w:tc>
          <w:tcPr>
            <w:tcW w:w="1417" w:type="dxa"/>
            <w:vAlign w:val="center"/>
          </w:tcPr>
          <w:p w14:paraId="46DE2BB3">
            <w:pPr>
              <w:jc w:val="right"/>
              <w:rPr>
                <w:rFonts w:ascii="Calibri" w:hAnsi="Calibri"/>
                <w:sz w:val="18"/>
                <w:szCs w:val="18"/>
              </w:rPr>
            </w:pPr>
            <w:r>
              <w:rPr>
                <w:rFonts w:ascii="Calibri" w:hAnsi="Calibri"/>
                <w:sz w:val="18"/>
                <w:szCs w:val="18"/>
              </w:rPr>
              <w:t>-122,946,596.95</w:t>
            </w:r>
          </w:p>
        </w:tc>
        <w:tc>
          <w:tcPr>
            <w:tcW w:w="1418" w:type="dxa"/>
            <w:vAlign w:val="center"/>
          </w:tcPr>
          <w:p w14:paraId="19A4412E">
            <w:pPr>
              <w:jc w:val="right"/>
              <w:rPr>
                <w:rFonts w:ascii="Calibri" w:hAnsi="Calibri"/>
                <w:sz w:val="18"/>
                <w:szCs w:val="18"/>
              </w:rPr>
            </w:pPr>
            <w:r>
              <w:rPr>
                <w:rFonts w:ascii="Calibri" w:hAnsi="Calibri"/>
                <w:sz w:val="18"/>
                <w:szCs w:val="18"/>
              </w:rPr>
              <w:t>-134,829,975.95</w:t>
            </w:r>
          </w:p>
        </w:tc>
        <w:tc>
          <w:tcPr>
            <w:tcW w:w="1275" w:type="dxa"/>
            <w:vAlign w:val="center"/>
          </w:tcPr>
          <w:p w14:paraId="1BC11E7E">
            <w:pPr>
              <w:jc w:val="right"/>
              <w:rPr>
                <w:rFonts w:ascii="Calibri" w:hAnsi="Calibri"/>
                <w:sz w:val="18"/>
                <w:szCs w:val="18"/>
              </w:rPr>
            </w:pPr>
          </w:p>
        </w:tc>
        <w:tc>
          <w:tcPr>
            <w:tcW w:w="1560" w:type="dxa"/>
            <w:vAlign w:val="center"/>
          </w:tcPr>
          <w:p w14:paraId="51157BFF">
            <w:pPr>
              <w:jc w:val="right"/>
              <w:rPr>
                <w:rFonts w:ascii="Calibri" w:hAnsi="Calibri"/>
                <w:sz w:val="18"/>
                <w:szCs w:val="18"/>
              </w:rPr>
            </w:pPr>
          </w:p>
        </w:tc>
        <w:tc>
          <w:tcPr>
            <w:tcW w:w="1559" w:type="dxa"/>
            <w:vAlign w:val="center"/>
          </w:tcPr>
          <w:p w14:paraId="633CC3DA">
            <w:pPr>
              <w:jc w:val="right"/>
              <w:rPr>
                <w:rFonts w:ascii="Calibri" w:hAnsi="Calibri"/>
                <w:sz w:val="18"/>
                <w:szCs w:val="18"/>
              </w:rPr>
            </w:pPr>
          </w:p>
        </w:tc>
        <w:tc>
          <w:tcPr>
            <w:tcW w:w="1559" w:type="dxa"/>
            <w:vAlign w:val="center"/>
          </w:tcPr>
          <w:p w14:paraId="7DEFD5D0">
            <w:pPr>
              <w:jc w:val="right"/>
              <w:rPr>
                <w:rFonts w:ascii="Calibri" w:hAnsi="Calibri"/>
                <w:sz w:val="18"/>
                <w:szCs w:val="18"/>
              </w:rPr>
            </w:pPr>
          </w:p>
        </w:tc>
        <w:tc>
          <w:tcPr>
            <w:tcW w:w="1276" w:type="dxa"/>
            <w:vAlign w:val="center"/>
          </w:tcPr>
          <w:p w14:paraId="3FDB22E3">
            <w:pPr>
              <w:jc w:val="right"/>
              <w:rPr>
                <w:rFonts w:ascii="Calibri" w:hAnsi="Calibri"/>
                <w:sz w:val="18"/>
                <w:szCs w:val="18"/>
              </w:rPr>
            </w:pPr>
            <w:r>
              <w:rPr>
                <w:rFonts w:ascii="Calibri" w:hAnsi="Calibri"/>
                <w:sz w:val="18"/>
                <w:szCs w:val="18"/>
              </w:rPr>
              <w:t>13,200,000.00</w:t>
            </w:r>
          </w:p>
        </w:tc>
        <w:tc>
          <w:tcPr>
            <w:tcW w:w="1559" w:type="dxa"/>
            <w:vAlign w:val="center"/>
          </w:tcPr>
          <w:p w14:paraId="130F5919">
            <w:pPr>
              <w:jc w:val="right"/>
              <w:rPr>
                <w:rFonts w:ascii="Calibri" w:hAnsi="Calibri"/>
                <w:sz w:val="18"/>
                <w:szCs w:val="18"/>
              </w:rPr>
            </w:pPr>
            <w:r>
              <w:rPr>
                <w:rFonts w:ascii="Calibri" w:hAnsi="Calibri"/>
                <w:sz w:val="18"/>
                <w:szCs w:val="18"/>
              </w:rPr>
              <w:t>13,200,000.00</w:t>
            </w:r>
          </w:p>
        </w:tc>
      </w:tr>
      <w:tr w14:paraId="7146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11ba2ed8c6b439788c9acf67433da0c"/>
            <w:id w:val="-204099648"/>
          </w:sdtPr>
          <w:sdtContent>
            <w:tc>
              <w:tcPr>
                <w:tcW w:w="1702" w:type="dxa"/>
                <w:vAlign w:val="center"/>
              </w:tcPr>
              <w:p w14:paraId="2DE1EDD4">
                <w:pPr>
                  <w:rPr>
                    <w:rFonts w:ascii="Calibri" w:hAnsi="Calibri"/>
                    <w:sz w:val="18"/>
                    <w:szCs w:val="18"/>
                  </w:rPr>
                </w:pPr>
                <w:r>
                  <w:rPr>
                    <w:rFonts w:hint="eastAsia" w:ascii="Calibri" w:hAnsi="Calibri"/>
                    <w:sz w:val="18"/>
                    <w:szCs w:val="18"/>
                  </w:rPr>
                  <w:t>1．所有者投入的普通股</w:t>
                </w:r>
              </w:p>
            </w:tc>
          </w:sdtContent>
        </w:sdt>
        <w:tc>
          <w:tcPr>
            <w:tcW w:w="1559" w:type="dxa"/>
            <w:vAlign w:val="center"/>
          </w:tcPr>
          <w:p w14:paraId="61596924">
            <w:pPr>
              <w:jc w:val="right"/>
              <w:rPr>
                <w:rFonts w:ascii="Calibri" w:hAnsi="Calibri"/>
                <w:sz w:val="18"/>
                <w:szCs w:val="18"/>
              </w:rPr>
            </w:pPr>
          </w:p>
        </w:tc>
        <w:tc>
          <w:tcPr>
            <w:tcW w:w="284" w:type="dxa"/>
            <w:vAlign w:val="center"/>
          </w:tcPr>
          <w:p w14:paraId="01A8DE33">
            <w:pPr>
              <w:jc w:val="right"/>
              <w:rPr>
                <w:rFonts w:ascii="Calibri" w:hAnsi="Calibri"/>
                <w:sz w:val="18"/>
                <w:szCs w:val="18"/>
              </w:rPr>
            </w:pPr>
          </w:p>
        </w:tc>
        <w:tc>
          <w:tcPr>
            <w:tcW w:w="425" w:type="dxa"/>
            <w:vAlign w:val="center"/>
          </w:tcPr>
          <w:p w14:paraId="48B12997">
            <w:pPr>
              <w:jc w:val="right"/>
              <w:rPr>
                <w:rFonts w:ascii="Calibri" w:hAnsi="Calibri"/>
                <w:sz w:val="18"/>
                <w:szCs w:val="18"/>
              </w:rPr>
            </w:pPr>
          </w:p>
        </w:tc>
        <w:tc>
          <w:tcPr>
            <w:tcW w:w="284" w:type="dxa"/>
            <w:vAlign w:val="center"/>
          </w:tcPr>
          <w:p w14:paraId="76EF9786">
            <w:pPr>
              <w:jc w:val="right"/>
              <w:rPr>
                <w:rFonts w:ascii="Calibri" w:hAnsi="Calibri"/>
                <w:sz w:val="18"/>
                <w:szCs w:val="18"/>
              </w:rPr>
            </w:pPr>
          </w:p>
        </w:tc>
        <w:tc>
          <w:tcPr>
            <w:tcW w:w="1417" w:type="dxa"/>
            <w:vAlign w:val="center"/>
          </w:tcPr>
          <w:p w14:paraId="0F2742C1">
            <w:pPr>
              <w:jc w:val="right"/>
              <w:rPr>
                <w:rFonts w:ascii="Calibri" w:hAnsi="Calibri"/>
                <w:sz w:val="18"/>
                <w:szCs w:val="18"/>
              </w:rPr>
            </w:pPr>
          </w:p>
        </w:tc>
        <w:tc>
          <w:tcPr>
            <w:tcW w:w="1418" w:type="dxa"/>
            <w:vAlign w:val="center"/>
          </w:tcPr>
          <w:p w14:paraId="22F41F8D">
            <w:pPr>
              <w:jc w:val="right"/>
              <w:rPr>
                <w:rFonts w:ascii="Calibri" w:hAnsi="Calibri"/>
                <w:sz w:val="18"/>
                <w:szCs w:val="18"/>
              </w:rPr>
            </w:pPr>
          </w:p>
        </w:tc>
        <w:tc>
          <w:tcPr>
            <w:tcW w:w="1275" w:type="dxa"/>
            <w:vAlign w:val="center"/>
          </w:tcPr>
          <w:p w14:paraId="799E3A36">
            <w:pPr>
              <w:jc w:val="right"/>
              <w:rPr>
                <w:rFonts w:ascii="Calibri" w:hAnsi="Calibri"/>
                <w:sz w:val="18"/>
                <w:szCs w:val="18"/>
              </w:rPr>
            </w:pPr>
          </w:p>
        </w:tc>
        <w:tc>
          <w:tcPr>
            <w:tcW w:w="1560" w:type="dxa"/>
            <w:vAlign w:val="center"/>
          </w:tcPr>
          <w:p w14:paraId="58BABFD6">
            <w:pPr>
              <w:jc w:val="right"/>
              <w:rPr>
                <w:rFonts w:ascii="Calibri" w:hAnsi="Calibri"/>
                <w:sz w:val="18"/>
                <w:szCs w:val="18"/>
              </w:rPr>
            </w:pPr>
          </w:p>
        </w:tc>
        <w:tc>
          <w:tcPr>
            <w:tcW w:w="1559" w:type="dxa"/>
            <w:vAlign w:val="center"/>
          </w:tcPr>
          <w:p w14:paraId="3603CB02">
            <w:pPr>
              <w:jc w:val="right"/>
              <w:rPr>
                <w:rFonts w:ascii="Calibri" w:hAnsi="Calibri"/>
                <w:sz w:val="18"/>
                <w:szCs w:val="18"/>
              </w:rPr>
            </w:pPr>
          </w:p>
        </w:tc>
        <w:tc>
          <w:tcPr>
            <w:tcW w:w="1559" w:type="dxa"/>
            <w:vAlign w:val="center"/>
          </w:tcPr>
          <w:p w14:paraId="6E167FCF">
            <w:pPr>
              <w:jc w:val="right"/>
              <w:rPr>
                <w:rFonts w:ascii="Calibri" w:hAnsi="Calibri"/>
                <w:sz w:val="18"/>
                <w:szCs w:val="18"/>
              </w:rPr>
            </w:pPr>
          </w:p>
        </w:tc>
        <w:tc>
          <w:tcPr>
            <w:tcW w:w="1276" w:type="dxa"/>
            <w:vAlign w:val="center"/>
          </w:tcPr>
          <w:p w14:paraId="66020D4C">
            <w:pPr>
              <w:jc w:val="right"/>
              <w:rPr>
                <w:rFonts w:ascii="Calibri" w:hAnsi="Calibri"/>
                <w:sz w:val="18"/>
                <w:szCs w:val="18"/>
              </w:rPr>
            </w:pPr>
            <w:r>
              <w:rPr>
                <w:rFonts w:ascii="Calibri" w:hAnsi="Calibri"/>
                <w:sz w:val="18"/>
                <w:szCs w:val="18"/>
              </w:rPr>
              <w:t>13,200,000.00</w:t>
            </w:r>
          </w:p>
        </w:tc>
        <w:tc>
          <w:tcPr>
            <w:tcW w:w="1559" w:type="dxa"/>
            <w:vAlign w:val="center"/>
          </w:tcPr>
          <w:p w14:paraId="0B5A2AE1">
            <w:pPr>
              <w:jc w:val="right"/>
              <w:rPr>
                <w:rFonts w:ascii="Calibri" w:hAnsi="Calibri"/>
                <w:sz w:val="18"/>
                <w:szCs w:val="18"/>
              </w:rPr>
            </w:pPr>
            <w:r>
              <w:rPr>
                <w:rFonts w:ascii="Calibri" w:hAnsi="Calibri"/>
                <w:sz w:val="18"/>
                <w:szCs w:val="18"/>
              </w:rPr>
              <w:t>13,200,000.00</w:t>
            </w:r>
          </w:p>
        </w:tc>
      </w:tr>
      <w:tr w14:paraId="141F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90ad87987d54aec9ebb059ca9fe2d83"/>
            <w:id w:val="-1375771638"/>
          </w:sdtPr>
          <w:sdtContent>
            <w:tc>
              <w:tcPr>
                <w:tcW w:w="1702" w:type="dxa"/>
                <w:vAlign w:val="center"/>
              </w:tcPr>
              <w:p w14:paraId="67281FF4">
                <w:pPr>
                  <w:rPr>
                    <w:rFonts w:ascii="Calibri" w:hAnsi="Calibri"/>
                    <w:sz w:val="18"/>
                    <w:szCs w:val="18"/>
                  </w:rPr>
                </w:pPr>
                <w:r>
                  <w:rPr>
                    <w:rFonts w:hint="eastAsia" w:ascii="Calibri" w:hAnsi="Calibri"/>
                    <w:sz w:val="18"/>
                    <w:szCs w:val="18"/>
                  </w:rPr>
                  <w:t>2．其他权益工具持有者投入资本</w:t>
                </w:r>
              </w:p>
            </w:tc>
          </w:sdtContent>
        </w:sdt>
        <w:tc>
          <w:tcPr>
            <w:tcW w:w="1559" w:type="dxa"/>
            <w:vAlign w:val="center"/>
          </w:tcPr>
          <w:p w14:paraId="07318B62">
            <w:pPr>
              <w:jc w:val="right"/>
              <w:rPr>
                <w:rFonts w:ascii="Calibri" w:hAnsi="Calibri"/>
                <w:sz w:val="18"/>
                <w:szCs w:val="18"/>
              </w:rPr>
            </w:pPr>
          </w:p>
        </w:tc>
        <w:tc>
          <w:tcPr>
            <w:tcW w:w="284" w:type="dxa"/>
            <w:vAlign w:val="center"/>
          </w:tcPr>
          <w:p w14:paraId="2F6642DF">
            <w:pPr>
              <w:jc w:val="right"/>
              <w:rPr>
                <w:rFonts w:ascii="Calibri" w:hAnsi="Calibri"/>
                <w:sz w:val="18"/>
                <w:szCs w:val="18"/>
              </w:rPr>
            </w:pPr>
          </w:p>
        </w:tc>
        <w:tc>
          <w:tcPr>
            <w:tcW w:w="425" w:type="dxa"/>
            <w:vAlign w:val="center"/>
          </w:tcPr>
          <w:p w14:paraId="1DAA82EF">
            <w:pPr>
              <w:jc w:val="right"/>
              <w:rPr>
                <w:rFonts w:ascii="Calibri" w:hAnsi="Calibri"/>
                <w:sz w:val="18"/>
                <w:szCs w:val="18"/>
              </w:rPr>
            </w:pPr>
          </w:p>
        </w:tc>
        <w:tc>
          <w:tcPr>
            <w:tcW w:w="284" w:type="dxa"/>
            <w:vAlign w:val="center"/>
          </w:tcPr>
          <w:p w14:paraId="32D21102">
            <w:pPr>
              <w:jc w:val="right"/>
              <w:rPr>
                <w:rFonts w:ascii="Calibri" w:hAnsi="Calibri"/>
                <w:sz w:val="18"/>
                <w:szCs w:val="18"/>
              </w:rPr>
            </w:pPr>
          </w:p>
        </w:tc>
        <w:tc>
          <w:tcPr>
            <w:tcW w:w="1417" w:type="dxa"/>
            <w:vAlign w:val="center"/>
          </w:tcPr>
          <w:p w14:paraId="1615E749">
            <w:pPr>
              <w:jc w:val="right"/>
              <w:rPr>
                <w:rFonts w:ascii="Calibri" w:hAnsi="Calibri"/>
                <w:sz w:val="18"/>
                <w:szCs w:val="18"/>
              </w:rPr>
            </w:pPr>
          </w:p>
        </w:tc>
        <w:tc>
          <w:tcPr>
            <w:tcW w:w="1418" w:type="dxa"/>
            <w:vAlign w:val="center"/>
          </w:tcPr>
          <w:p w14:paraId="0A033517">
            <w:pPr>
              <w:jc w:val="right"/>
              <w:rPr>
                <w:rFonts w:ascii="Calibri" w:hAnsi="Calibri"/>
                <w:sz w:val="18"/>
                <w:szCs w:val="18"/>
              </w:rPr>
            </w:pPr>
          </w:p>
        </w:tc>
        <w:tc>
          <w:tcPr>
            <w:tcW w:w="1275" w:type="dxa"/>
            <w:vAlign w:val="center"/>
          </w:tcPr>
          <w:p w14:paraId="20D9C55B">
            <w:pPr>
              <w:jc w:val="right"/>
              <w:rPr>
                <w:rFonts w:ascii="Calibri" w:hAnsi="Calibri"/>
                <w:sz w:val="18"/>
                <w:szCs w:val="18"/>
              </w:rPr>
            </w:pPr>
          </w:p>
        </w:tc>
        <w:tc>
          <w:tcPr>
            <w:tcW w:w="1560" w:type="dxa"/>
            <w:vAlign w:val="center"/>
          </w:tcPr>
          <w:p w14:paraId="3DC82BB2">
            <w:pPr>
              <w:jc w:val="right"/>
              <w:rPr>
                <w:rFonts w:ascii="Calibri" w:hAnsi="Calibri"/>
                <w:sz w:val="18"/>
                <w:szCs w:val="18"/>
              </w:rPr>
            </w:pPr>
          </w:p>
        </w:tc>
        <w:tc>
          <w:tcPr>
            <w:tcW w:w="1559" w:type="dxa"/>
            <w:vAlign w:val="center"/>
          </w:tcPr>
          <w:p w14:paraId="2D15DB08">
            <w:pPr>
              <w:jc w:val="right"/>
              <w:rPr>
                <w:rFonts w:ascii="Calibri" w:hAnsi="Calibri"/>
                <w:sz w:val="18"/>
                <w:szCs w:val="18"/>
              </w:rPr>
            </w:pPr>
          </w:p>
        </w:tc>
        <w:tc>
          <w:tcPr>
            <w:tcW w:w="1559" w:type="dxa"/>
            <w:vAlign w:val="center"/>
          </w:tcPr>
          <w:p w14:paraId="2BE35951">
            <w:pPr>
              <w:jc w:val="right"/>
              <w:rPr>
                <w:rFonts w:ascii="Calibri" w:hAnsi="Calibri"/>
                <w:sz w:val="18"/>
                <w:szCs w:val="18"/>
              </w:rPr>
            </w:pPr>
          </w:p>
        </w:tc>
        <w:tc>
          <w:tcPr>
            <w:tcW w:w="1276" w:type="dxa"/>
            <w:vAlign w:val="center"/>
          </w:tcPr>
          <w:p w14:paraId="6B8CD02B">
            <w:pPr>
              <w:jc w:val="right"/>
              <w:rPr>
                <w:rFonts w:ascii="Calibri" w:hAnsi="Calibri"/>
                <w:sz w:val="18"/>
                <w:szCs w:val="18"/>
              </w:rPr>
            </w:pPr>
          </w:p>
        </w:tc>
        <w:tc>
          <w:tcPr>
            <w:tcW w:w="1559" w:type="dxa"/>
            <w:vAlign w:val="center"/>
          </w:tcPr>
          <w:p w14:paraId="71B356D5">
            <w:pPr>
              <w:jc w:val="right"/>
              <w:rPr>
                <w:rFonts w:ascii="Calibri" w:hAnsi="Calibri"/>
                <w:sz w:val="18"/>
                <w:szCs w:val="18"/>
              </w:rPr>
            </w:pPr>
          </w:p>
        </w:tc>
      </w:tr>
      <w:tr w14:paraId="230B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3580ad15ab461695606b09453b2233"/>
            <w:id w:val="486221850"/>
          </w:sdtPr>
          <w:sdtContent>
            <w:tc>
              <w:tcPr>
                <w:tcW w:w="1702" w:type="dxa"/>
                <w:vAlign w:val="center"/>
              </w:tcPr>
              <w:p w14:paraId="00A36830">
                <w:pPr>
                  <w:rPr>
                    <w:rFonts w:ascii="Calibri" w:hAnsi="Calibri"/>
                    <w:sz w:val="18"/>
                    <w:szCs w:val="18"/>
                  </w:rPr>
                </w:pPr>
                <w:r>
                  <w:rPr>
                    <w:rFonts w:hint="eastAsia" w:ascii="Calibri" w:hAnsi="Calibri"/>
                    <w:sz w:val="18"/>
                    <w:szCs w:val="18"/>
                  </w:rPr>
                  <w:t>3</w:t>
                </w:r>
                <w:r>
                  <w:rPr>
                    <w:rFonts w:ascii="Calibri" w:hAnsi="Calibri"/>
                    <w:sz w:val="18"/>
                    <w:szCs w:val="18"/>
                  </w:rPr>
                  <w:t>．股份支付计入所有者权益的金额</w:t>
                </w:r>
              </w:p>
            </w:tc>
          </w:sdtContent>
        </w:sdt>
        <w:tc>
          <w:tcPr>
            <w:tcW w:w="1559" w:type="dxa"/>
            <w:vAlign w:val="center"/>
          </w:tcPr>
          <w:p w14:paraId="2CFB51E7">
            <w:pPr>
              <w:jc w:val="right"/>
              <w:rPr>
                <w:rFonts w:ascii="Calibri" w:hAnsi="Calibri"/>
                <w:sz w:val="18"/>
                <w:szCs w:val="18"/>
              </w:rPr>
            </w:pPr>
          </w:p>
        </w:tc>
        <w:tc>
          <w:tcPr>
            <w:tcW w:w="284" w:type="dxa"/>
            <w:vAlign w:val="center"/>
          </w:tcPr>
          <w:p w14:paraId="2967444C">
            <w:pPr>
              <w:jc w:val="right"/>
              <w:rPr>
                <w:rFonts w:ascii="Calibri" w:hAnsi="Calibri"/>
                <w:sz w:val="18"/>
                <w:szCs w:val="18"/>
              </w:rPr>
            </w:pPr>
          </w:p>
        </w:tc>
        <w:tc>
          <w:tcPr>
            <w:tcW w:w="425" w:type="dxa"/>
            <w:vAlign w:val="center"/>
          </w:tcPr>
          <w:p w14:paraId="559F59E1">
            <w:pPr>
              <w:jc w:val="right"/>
              <w:rPr>
                <w:rFonts w:ascii="Calibri" w:hAnsi="Calibri"/>
                <w:sz w:val="18"/>
                <w:szCs w:val="18"/>
              </w:rPr>
            </w:pPr>
          </w:p>
        </w:tc>
        <w:tc>
          <w:tcPr>
            <w:tcW w:w="284" w:type="dxa"/>
            <w:vAlign w:val="center"/>
          </w:tcPr>
          <w:p w14:paraId="48C5297E">
            <w:pPr>
              <w:jc w:val="right"/>
              <w:rPr>
                <w:rFonts w:ascii="Calibri" w:hAnsi="Calibri"/>
                <w:sz w:val="18"/>
                <w:szCs w:val="18"/>
              </w:rPr>
            </w:pPr>
          </w:p>
        </w:tc>
        <w:tc>
          <w:tcPr>
            <w:tcW w:w="1417" w:type="dxa"/>
            <w:vAlign w:val="center"/>
          </w:tcPr>
          <w:p w14:paraId="528D24B3">
            <w:pPr>
              <w:jc w:val="right"/>
              <w:rPr>
                <w:rFonts w:ascii="Calibri" w:hAnsi="Calibri"/>
                <w:sz w:val="18"/>
                <w:szCs w:val="18"/>
              </w:rPr>
            </w:pPr>
          </w:p>
        </w:tc>
        <w:tc>
          <w:tcPr>
            <w:tcW w:w="1418" w:type="dxa"/>
            <w:vAlign w:val="center"/>
          </w:tcPr>
          <w:p w14:paraId="5471F22F">
            <w:pPr>
              <w:jc w:val="right"/>
              <w:rPr>
                <w:rFonts w:ascii="Calibri" w:hAnsi="Calibri"/>
                <w:sz w:val="18"/>
                <w:szCs w:val="18"/>
              </w:rPr>
            </w:pPr>
            <w:r>
              <w:rPr>
                <w:rFonts w:ascii="Calibri" w:hAnsi="Calibri"/>
                <w:sz w:val="18"/>
                <w:szCs w:val="18"/>
              </w:rPr>
              <w:t>-14,106,666.00</w:t>
            </w:r>
          </w:p>
        </w:tc>
        <w:tc>
          <w:tcPr>
            <w:tcW w:w="1275" w:type="dxa"/>
            <w:vAlign w:val="center"/>
          </w:tcPr>
          <w:p w14:paraId="00E71C5B">
            <w:pPr>
              <w:jc w:val="right"/>
              <w:rPr>
                <w:rFonts w:ascii="Calibri" w:hAnsi="Calibri"/>
                <w:sz w:val="18"/>
                <w:szCs w:val="18"/>
              </w:rPr>
            </w:pPr>
          </w:p>
        </w:tc>
        <w:tc>
          <w:tcPr>
            <w:tcW w:w="1560" w:type="dxa"/>
            <w:vAlign w:val="center"/>
          </w:tcPr>
          <w:p w14:paraId="691A912E">
            <w:pPr>
              <w:jc w:val="right"/>
              <w:rPr>
                <w:rFonts w:ascii="Calibri" w:hAnsi="Calibri"/>
                <w:sz w:val="18"/>
                <w:szCs w:val="18"/>
              </w:rPr>
            </w:pPr>
          </w:p>
        </w:tc>
        <w:tc>
          <w:tcPr>
            <w:tcW w:w="1559" w:type="dxa"/>
            <w:vAlign w:val="center"/>
          </w:tcPr>
          <w:p w14:paraId="042F7F5C">
            <w:pPr>
              <w:jc w:val="right"/>
              <w:rPr>
                <w:rFonts w:ascii="Calibri" w:hAnsi="Calibri"/>
                <w:sz w:val="18"/>
                <w:szCs w:val="18"/>
              </w:rPr>
            </w:pPr>
          </w:p>
        </w:tc>
        <w:tc>
          <w:tcPr>
            <w:tcW w:w="1559" w:type="dxa"/>
            <w:vAlign w:val="center"/>
          </w:tcPr>
          <w:p w14:paraId="5DCFEFB6">
            <w:pPr>
              <w:jc w:val="right"/>
              <w:rPr>
                <w:rFonts w:ascii="Calibri" w:hAnsi="Calibri"/>
                <w:sz w:val="18"/>
                <w:szCs w:val="18"/>
              </w:rPr>
            </w:pPr>
            <w:r>
              <w:rPr>
                <w:rFonts w:ascii="Calibri" w:hAnsi="Calibri"/>
                <w:sz w:val="18"/>
                <w:szCs w:val="18"/>
              </w:rPr>
              <w:t>14,106,666.00</w:t>
            </w:r>
          </w:p>
        </w:tc>
        <w:tc>
          <w:tcPr>
            <w:tcW w:w="1276" w:type="dxa"/>
            <w:vAlign w:val="center"/>
          </w:tcPr>
          <w:p w14:paraId="22C09D87">
            <w:pPr>
              <w:jc w:val="right"/>
              <w:rPr>
                <w:rFonts w:ascii="Calibri" w:hAnsi="Calibri"/>
                <w:sz w:val="18"/>
                <w:szCs w:val="18"/>
              </w:rPr>
            </w:pPr>
          </w:p>
        </w:tc>
        <w:tc>
          <w:tcPr>
            <w:tcW w:w="1559" w:type="dxa"/>
            <w:vAlign w:val="center"/>
          </w:tcPr>
          <w:p w14:paraId="6D9F5108">
            <w:pPr>
              <w:jc w:val="right"/>
              <w:rPr>
                <w:rFonts w:ascii="Calibri" w:hAnsi="Calibri"/>
                <w:sz w:val="18"/>
                <w:szCs w:val="18"/>
              </w:rPr>
            </w:pPr>
            <w:r>
              <w:rPr>
                <w:rFonts w:ascii="Calibri" w:hAnsi="Calibri"/>
                <w:sz w:val="18"/>
                <w:szCs w:val="18"/>
              </w:rPr>
              <w:t>14,106,666.00</w:t>
            </w:r>
          </w:p>
        </w:tc>
      </w:tr>
      <w:tr w14:paraId="334E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2d1c7d278224bfa80a28845c7639c86"/>
            <w:id w:val="-135885195"/>
          </w:sdtPr>
          <w:sdtContent>
            <w:tc>
              <w:tcPr>
                <w:tcW w:w="1702" w:type="dxa"/>
                <w:vAlign w:val="center"/>
              </w:tcPr>
              <w:p w14:paraId="08BFAED8">
                <w:pPr>
                  <w:rPr>
                    <w:rFonts w:ascii="Calibri" w:hAnsi="Calibri"/>
                    <w:sz w:val="18"/>
                    <w:szCs w:val="18"/>
                  </w:rPr>
                </w:pPr>
                <w:r>
                  <w:rPr>
                    <w:rFonts w:hint="eastAsia" w:ascii="Calibri" w:hAnsi="Calibri"/>
                    <w:sz w:val="18"/>
                    <w:szCs w:val="18"/>
                  </w:rPr>
                  <w:t>4</w:t>
                </w:r>
                <w:r>
                  <w:rPr>
                    <w:rFonts w:ascii="Calibri" w:hAnsi="Calibri"/>
                    <w:sz w:val="18"/>
                    <w:szCs w:val="18"/>
                  </w:rPr>
                  <w:t>．其他</w:t>
                </w:r>
              </w:p>
            </w:tc>
          </w:sdtContent>
        </w:sdt>
        <w:tc>
          <w:tcPr>
            <w:tcW w:w="1559" w:type="dxa"/>
            <w:vAlign w:val="center"/>
          </w:tcPr>
          <w:p w14:paraId="77A0A449">
            <w:pPr>
              <w:jc w:val="right"/>
              <w:rPr>
                <w:rFonts w:ascii="Calibri" w:hAnsi="Calibri"/>
                <w:sz w:val="18"/>
                <w:szCs w:val="18"/>
              </w:rPr>
            </w:pPr>
            <w:r>
              <w:rPr>
                <w:rFonts w:ascii="Calibri" w:hAnsi="Calibri"/>
                <w:sz w:val="18"/>
                <w:szCs w:val="18"/>
              </w:rPr>
              <w:t>-11,883,379.00</w:t>
            </w:r>
          </w:p>
        </w:tc>
        <w:tc>
          <w:tcPr>
            <w:tcW w:w="284" w:type="dxa"/>
            <w:vAlign w:val="center"/>
          </w:tcPr>
          <w:p w14:paraId="3B86B02D">
            <w:pPr>
              <w:jc w:val="right"/>
              <w:rPr>
                <w:rFonts w:ascii="Calibri" w:hAnsi="Calibri"/>
                <w:sz w:val="18"/>
                <w:szCs w:val="18"/>
              </w:rPr>
            </w:pPr>
          </w:p>
        </w:tc>
        <w:tc>
          <w:tcPr>
            <w:tcW w:w="425" w:type="dxa"/>
            <w:vAlign w:val="center"/>
          </w:tcPr>
          <w:p w14:paraId="4115529F">
            <w:pPr>
              <w:jc w:val="right"/>
              <w:rPr>
                <w:rFonts w:ascii="Calibri" w:hAnsi="Calibri"/>
                <w:sz w:val="18"/>
                <w:szCs w:val="18"/>
              </w:rPr>
            </w:pPr>
          </w:p>
        </w:tc>
        <w:tc>
          <w:tcPr>
            <w:tcW w:w="284" w:type="dxa"/>
            <w:vAlign w:val="center"/>
          </w:tcPr>
          <w:p w14:paraId="4F53652D">
            <w:pPr>
              <w:jc w:val="right"/>
              <w:rPr>
                <w:rFonts w:ascii="Calibri" w:hAnsi="Calibri"/>
                <w:sz w:val="18"/>
                <w:szCs w:val="18"/>
              </w:rPr>
            </w:pPr>
          </w:p>
        </w:tc>
        <w:tc>
          <w:tcPr>
            <w:tcW w:w="1417" w:type="dxa"/>
            <w:vAlign w:val="center"/>
          </w:tcPr>
          <w:p w14:paraId="6C6C5562">
            <w:pPr>
              <w:jc w:val="right"/>
              <w:rPr>
                <w:rFonts w:ascii="Calibri" w:hAnsi="Calibri"/>
                <w:sz w:val="18"/>
                <w:szCs w:val="18"/>
              </w:rPr>
            </w:pPr>
            <w:r>
              <w:rPr>
                <w:rFonts w:ascii="Calibri" w:hAnsi="Calibri"/>
                <w:sz w:val="18"/>
                <w:szCs w:val="18"/>
              </w:rPr>
              <w:t>-122,946,596.95</w:t>
            </w:r>
          </w:p>
        </w:tc>
        <w:tc>
          <w:tcPr>
            <w:tcW w:w="1418" w:type="dxa"/>
            <w:vAlign w:val="center"/>
          </w:tcPr>
          <w:p w14:paraId="0F1FB4F1">
            <w:pPr>
              <w:jc w:val="right"/>
              <w:rPr>
                <w:rFonts w:ascii="Calibri" w:hAnsi="Calibri"/>
                <w:sz w:val="18"/>
                <w:szCs w:val="18"/>
              </w:rPr>
            </w:pPr>
            <w:r>
              <w:rPr>
                <w:rFonts w:ascii="Calibri" w:hAnsi="Calibri"/>
                <w:sz w:val="18"/>
                <w:szCs w:val="18"/>
              </w:rPr>
              <w:t>-120,723,309.95</w:t>
            </w:r>
          </w:p>
        </w:tc>
        <w:tc>
          <w:tcPr>
            <w:tcW w:w="1275" w:type="dxa"/>
            <w:vAlign w:val="center"/>
          </w:tcPr>
          <w:p w14:paraId="6A2D1925">
            <w:pPr>
              <w:jc w:val="right"/>
              <w:rPr>
                <w:rFonts w:ascii="Calibri" w:hAnsi="Calibri"/>
                <w:sz w:val="18"/>
                <w:szCs w:val="18"/>
              </w:rPr>
            </w:pPr>
          </w:p>
        </w:tc>
        <w:tc>
          <w:tcPr>
            <w:tcW w:w="1560" w:type="dxa"/>
            <w:vAlign w:val="center"/>
          </w:tcPr>
          <w:p w14:paraId="2134CC96">
            <w:pPr>
              <w:jc w:val="right"/>
              <w:rPr>
                <w:rFonts w:ascii="Calibri" w:hAnsi="Calibri"/>
                <w:sz w:val="18"/>
                <w:szCs w:val="18"/>
              </w:rPr>
            </w:pPr>
          </w:p>
        </w:tc>
        <w:tc>
          <w:tcPr>
            <w:tcW w:w="1559" w:type="dxa"/>
            <w:vAlign w:val="center"/>
          </w:tcPr>
          <w:p w14:paraId="2C5B9242">
            <w:pPr>
              <w:jc w:val="right"/>
              <w:rPr>
                <w:rFonts w:ascii="Calibri" w:hAnsi="Calibri"/>
                <w:sz w:val="18"/>
                <w:szCs w:val="18"/>
              </w:rPr>
            </w:pPr>
          </w:p>
        </w:tc>
        <w:tc>
          <w:tcPr>
            <w:tcW w:w="1559" w:type="dxa"/>
            <w:vAlign w:val="center"/>
          </w:tcPr>
          <w:p w14:paraId="5A691320">
            <w:pPr>
              <w:jc w:val="right"/>
              <w:rPr>
                <w:rFonts w:ascii="Calibri" w:hAnsi="Calibri"/>
                <w:sz w:val="18"/>
                <w:szCs w:val="18"/>
              </w:rPr>
            </w:pPr>
            <w:r>
              <w:rPr>
                <w:rFonts w:ascii="Calibri" w:hAnsi="Calibri"/>
                <w:sz w:val="18"/>
                <w:szCs w:val="18"/>
              </w:rPr>
              <w:t>-14,106,666.00</w:t>
            </w:r>
          </w:p>
        </w:tc>
        <w:tc>
          <w:tcPr>
            <w:tcW w:w="1276" w:type="dxa"/>
            <w:vAlign w:val="center"/>
          </w:tcPr>
          <w:p w14:paraId="66AB3F18">
            <w:pPr>
              <w:jc w:val="right"/>
              <w:rPr>
                <w:rFonts w:ascii="Calibri" w:hAnsi="Calibri"/>
                <w:sz w:val="18"/>
                <w:szCs w:val="18"/>
              </w:rPr>
            </w:pPr>
          </w:p>
        </w:tc>
        <w:tc>
          <w:tcPr>
            <w:tcW w:w="1559" w:type="dxa"/>
            <w:vAlign w:val="center"/>
          </w:tcPr>
          <w:p w14:paraId="34DC7370">
            <w:pPr>
              <w:jc w:val="right"/>
              <w:rPr>
                <w:rFonts w:ascii="Calibri" w:hAnsi="Calibri"/>
                <w:sz w:val="18"/>
                <w:szCs w:val="18"/>
              </w:rPr>
            </w:pPr>
            <w:r>
              <w:rPr>
                <w:rFonts w:ascii="Calibri" w:hAnsi="Calibri"/>
                <w:sz w:val="18"/>
                <w:szCs w:val="18"/>
              </w:rPr>
              <w:t>-14,106,666.00</w:t>
            </w:r>
          </w:p>
        </w:tc>
      </w:tr>
      <w:tr w14:paraId="412E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f4c1a0d22784a4a81a90a7b772560b9"/>
            <w:id w:val="2048178827"/>
          </w:sdtPr>
          <w:sdtContent>
            <w:tc>
              <w:tcPr>
                <w:tcW w:w="1702" w:type="dxa"/>
                <w:vAlign w:val="center"/>
              </w:tcPr>
              <w:p w14:paraId="2D7FB329">
                <w:pPr>
                  <w:rPr>
                    <w:rFonts w:ascii="Calibri" w:hAnsi="Calibri"/>
                    <w:sz w:val="18"/>
                    <w:szCs w:val="18"/>
                  </w:rPr>
                </w:pPr>
                <w:r>
                  <w:rPr>
                    <w:rFonts w:ascii="Calibri" w:hAnsi="Calibri"/>
                    <w:sz w:val="18"/>
                    <w:szCs w:val="18"/>
                  </w:rPr>
                  <w:t>（</w:t>
                </w:r>
                <w:r>
                  <w:rPr>
                    <w:rFonts w:hint="eastAsia" w:ascii="Calibri" w:hAnsi="Calibri"/>
                    <w:sz w:val="18"/>
                    <w:szCs w:val="18"/>
                  </w:rPr>
                  <w:t>三</w:t>
                </w:r>
                <w:r>
                  <w:rPr>
                    <w:rFonts w:ascii="Calibri" w:hAnsi="Calibri"/>
                    <w:sz w:val="18"/>
                    <w:szCs w:val="18"/>
                  </w:rPr>
                  <w:t>）利润分配</w:t>
                </w:r>
              </w:p>
            </w:tc>
          </w:sdtContent>
        </w:sdt>
        <w:tc>
          <w:tcPr>
            <w:tcW w:w="1559" w:type="dxa"/>
            <w:vAlign w:val="center"/>
          </w:tcPr>
          <w:p w14:paraId="1CEC02B9">
            <w:pPr>
              <w:jc w:val="right"/>
              <w:rPr>
                <w:rFonts w:ascii="Calibri" w:hAnsi="Calibri"/>
                <w:sz w:val="18"/>
                <w:szCs w:val="18"/>
              </w:rPr>
            </w:pPr>
          </w:p>
        </w:tc>
        <w:tc>
          <w:tcPr>
            <w:tcW w:w="284" w:type="dxa"/>
            <w:vAlign w:val="center"/>
          </w:tcPr>
          <w:p w14:paraId="0028A6A1">
            <w:pPr>
              <w:jc w:val="right"/>
              <w:rPr>
                <w:rFonts w:ascii="Calibri" w:hAnsi="Calibri"/>
                <w:sz w:val="18"/>
                <w:szCs w:val="18"/>
              </w:rPr>
            </w:pPr>
          </w:p>
        </w:tc>
        <w:tc>
          <w:tcPr>
            <w:tcW w:w="425" w:type="dxa"/>
            <w:vAlign w:val="center"/>
          </w:tcPr>
          <w:p w14:paraId="21C29BD7">
            <w:pPr>
              <w:jc w:val="right"/>
              <w:rPr>
                <w:rFonts w:ascii="Calibri" w:hAnsi="Calibri"/>
                <w:sz w:val="18"/>
                <w:szCs w:val="18"/>
              </w:rPr>
            </w:pPr>
          </w:p>
        </w:tc>
        <w:tc>
          <w:tcPr>
            <w:tcW w:w="284" w:type="dxa"/>
            <w:vAlign w:val="center"/>
          </w:tcPr>
          <w:p w14:paraId="3B9AE68A">
            <w:pPr>
              <w:jc w:val="right"/>
              <w:rPr>
                <w:rFonts w:ascii="Calibri" w:hAnsi="Calibri"/>
                <w:sz w:val="18"/>
                <w:szCs w:val="18"/>
              </w:rPr>
            </w:pPr>
          </w:p>
        </w:tc>
        <w:tc>
          <w:tcPr>
            <w:tcW w:w="1417" w:type="dxa"/>
            <w:vAlign w:val="center"/>
          </w:tcPr>
          <w:p w14:paraId="65D8EBE4">
            <w:pPr>
              <w:jc w:val="right"/>
              <w:rPr>
                <w:rFonts w:ascii="Calibri" w:hAnsi="Calibri"/>
                <w:sz w:val="18"/>
                <w:szCs w:val="18"/>
              </w:rPr>
            </w:pPr>
          </w:p>
        </w:tc>
        <w:tc>
          <w:tcPr>
            <w:tcW w:w="1418" w:type="dxa"/>
            <w:vAlign w:val="center"/>
          </w:tcPr>
          <w:p w14:paraId="497E9900">
            <w:pPr>
              <w:jc w:val="right"/>
              <w:rPr>
                <w:rFonts w:ascii="Calibri" w:hAnsi="Calibri"/>
                <w:sz w:val="18"/>
                <w:szCs w:val="18"/>
              </w:rPr>
            </w:pPr>
          </w:p>
        </w:tc>
        <w:tc>
          <w:tcPr>
            <w:tcW w:w="1275" w:type="dxa"/>
            <w:vAlign w:val="center"/>
          </w:tcPr>
          <w:p w14:paraId="253BB9BD">
            <w:pPr>
              <w:jc w:val="right"/>
              <w:rPr>
                <w:rFonts w:ascii="Calibri" w:hAnsi="Calibri"/>
                <w:sz w:val="18"/>
                <w:szCs w:val="18"/>
              </w:rPr>
            </w:pPr>
          </w:p>
        </w:tc>
        <w:tc>
          <w:tcPr>
            <w:tcW w:w="1560" w:type="dxa"/>
            <w:vAlign w:val="center"/>
          </w:tcPr>
          <w:p w14:paraId="42443CAE">
            <w:pPr>
              <w:jc w:val="right"/>
              <w:rPr>
                <w:rFonts w:ascii="Calibri" w:hAnsi="Calibri"/>
                <w:sz w:val="18"/>
                <w:szCs w:val="18"/>
              </w:rPr>
            </w:pPr>
          </w:p>
        </w:tc>
        <w:tc>
          <w:tcPr>
            <w:tcW w:w="1559" w:type="dxa"/>
            <w:vAlign w:val="center"/>
          </w:tcPr>
          <w:p w14:paraId="6C5F3895">
            <w:pPr>
              <w:jc w:val="right"/>
              <w:rPr>
                <w:rFonts w:ascii="Calibri" w:hAnsi="Calibri"/>
                <w:sz w:val="18"/>
                <w:szCs w:val="18"/>
              </w:rPr>
            </w:pPr>
            <w:r>
              <w:rPr>
                <w:rFonts w:ascii="Calibri" w:hAnsi="Calibri"/>
                <w:sz w:val="18"/>
                <w:szCs w:val="18"/>
              </w:rPr>
              <w:t>-495,433,518.50</w:t>
            </w:r>
          </w:p>
        </w:tc>
        <w:tc>
          <w:tcPr>
            <w:tcW w:w="1559" w:type="dxa"/>
            <w:vAlign w:val="center"/>
          </w:tcPr>
          <w:p w14:paraId="293A719E">
            <w:pPr>
              <w:jc w:val="right"/>
              <w:rPr>
                <w:rFonts w:ascii="Calibri" w:hAnsi="Calibri"/>
                <w:sz w:val="18"/>
                <w:szCs w:val="18"/>
              </w:rPr>
            </w:pPr>
            <w:r>
              <w:rPr>
                <w:rFonts w:ascii="Calibri" w:hAnsi="Calibri"/>
                <w:sz w:val="18"/>
                <w:szCs w:val="18"/>
              </w:rPr>
              <w:t>-495,433,518.50</w:t>
            </w:r>
          </w:p>
        </w:tc>
        <w:tc>
          <w:tcPr>
            <w:tcW w:w="1276" w:type="dxa"/>
            <w:vAlign w:val="center"/>
          </w:tcPr>
          <w:p w14:paraId="4FB2078C">
            <w:pPr>
              <w:jc w:val="right"/>
              <w:rPr>
                <w:rFonts w:ascii="Calibri" w:hAnsi="Calibri"/>
                <w:sz w:val="18"/>
                <w:szCs w:val="18"/>
              </w:rPr>
            </w:pPr>
          </w:p>
        </w:tc>
        <w:tc>
          <w:tcPr>
            <w:tcW w:w="1559" w:type="dxa"/>
            <w:vAlign w:val="center"/>
          </w:tcPr>
          <w:p w14:paraId="5EB41440">
            <w:pPr>
              <w:jc w:val="right"/>
              <w:rPr>
                <w:rFonts w:ascii="Calibri" w:hAnsi="Calibri"/>
                <w:sz w:val="18"/>
                <w:szCs w:val="18"/>
              </w:rPr>
            </w:pPr>
            <w:r>
              <w:rPr>
                <w:rFonts w:ascii="Calibri" w:hAnsi="Calibri"/>
                <w:sz w:val="18"/>
                <w:szCs w:val="18"/>
              </w:rPr>
              <w:t>-495,433,518.50</w:t>
            </w:r>
          </w:p>
        </w:tc>
      </w:tr>
      <w:tr w14:paraId="60E1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3a49eb420a24cdbb4f7f5ce05660344"/>
            <w:id w:val="-734470149"/>
          </w:sdtPr>
          <w:sdtContent>
            <w:tc>
              <w:tcPr>
                <w:tcW w:w="1702" w:type="dxa"/>
                <w:vAlign w:val="center"/>
              </w:tcPr>
              <w:p w14:paraId="46F1B7FB">
                <w:pPr>
                  <w:rPr>
                    <w:rFonts w:ascii="Calibri" w:hAnsi="Calibri"/>
                    <w:sz w:val="18"/>
                    <w:szCs w:val="18"/>
                  </w:rPr>
                </w:pPr>
                <w:r>
                  <w:rPr>
                    <w:rFonts w:ascii="Calibri" w:hAnsi="Calibri"/>
                    <w:sz w:val="18"/>
                    <w:szCs w:val="18"/>
                  </w:rPr>
                  <w:t>1．提取盈余公积</w:t>
                </w:r>
              </w:p>
            </w:tc>
          </w:sdtContent>
        </w:sdt>
        <w:tc>
          <w:tcPr>
            <w:tcW w:w="1559" w:type="dxa"/>
            <w:vAlign w:val="center"/>
          </w:tcPr>
          <w:p w14:paraId="7A3F8A8C">
            <w:pPr>
              <w:jc w:val="right"/>
              <w:rPr>
                <w:rFonts w:ascii="Calibri" w:hAnsi="Calibri"/>
                <w:sz w:val="18"/>
                <w:szCs w:val="18"/>
              </w:rPr>
            </w:pPr>
          </w:p>
        </w:tc>
        <w:tc>
          <w:tcPr>
            <w:tcW w:w="284" w:type="dxa"/>
            <w:vAlign w:val="center"/>
          </w:tcPr>
          <w:p w14:paraId="19B69E17">
            <w:pPr>
              <w:jc w:val="right"/>
              <w:rPr>
                <w:rFonts w:ascii="Calibri" w:hAnsi="Calibri"/>
                <w:sz w:val="18"/>
                <w:szCs w:val="18"/>
              </w:rPr>
            </w:pPr>
          </w:p>
        </w:tc>
        <w:tc>
          <w:tcPr>
            <w:tcW w:w="425" w:type="dxa"/>
            <w:vAlign w:val="center"/>
          </w:tcPr>
          <w:p w14:paraId="36E89ED5">
            <w:pPr>
              <w:jc w:val="right"/>
              <w:rPr>
                <w:rFonts w:ascii="Calibri" w:hAnsi="Calibri"/>
                <w:sz w:val="18"/>
                <w:szCs w:val="18"/>
              </w:rPr>
            </w:pPr>
          </w:p>
        </w:tc>
        <w:tc>
          <w:tcPr>
            <w:tcW w:w="284" w:type="dxa"/>
            <w:vAlign w:val="center"/>
          </w:tcPr>
          <w:p w14:paraId="6B8B0E1D">
            <w:pPr>
              <w:jc w:val="right"/>
              <w:rPr>
                <w:rFonts w:ascii="Calibri" w:hAnsi="Calibri"/>
                <w:sz w:val="18"/>
                <w:szCs w:val="18"/>
              </w:rPr>
            </w:pPr>
          </w:p>
        </w:tc>
        <w:tc>
          <w:tcPr>
            <w:tcW w:w="1417" w:type="dxa"/>
            <w:vAlign w:val="center"/>
          </w:tcPr>
          <w:p w14:paraId="30F29234">
            <w:pPr>
              <w:jc w:val="right"/>
              <w:rPr>
                <w:rFonts w:ascii="Calibri" w:hAnsi="Calibri"/>
                <w:sz w:val="18"/>
                <w:szCs w:val="18"/>
              </w:rPr>
            </w:pPr>
          </w:p>
        </w:tc>
        <w:tc>
          <w:tcPr>
            <w:tcW w:w="1418" w:type="dxa"/>
            <w:vAlign w:val="center"/>
          </w:tcPr>
          <w:p w14:paraId="6BB6FB65">
            <w:pPr>
              <w:jc w:val="right"/>
              <w:rPr>
                <w:rFonts w:ascii="Calibri" w:hAnsi="Calibri"/>
                <w:sz w:val="18"/>
                <w:szCs w:val="18"/>
              </w:rPr>
            </w:pPr>
          </w:p>
        </w:tc>
        <w:tc>
          <w:tcPr>
            <w:tcW w:w="1275" w:type="dxa"/>
            <w:vAlign w:val="center"/>
          </w:tcPr>
          <w:p w14:paraId="33C730EC">
            <w:pPr>
              <w:jc w:val="right"/>
              <w:rPr>
                <w:rFonts w:ascii="Calibri" w:hAnsi="Calibri"/>
                <w:sz w:val="18"/>
                <w:szCs w:val="18"/>
              </w:rPr>
            </w:pPr>
          </w:p>
        </w:tc>
        <w:tc>
          <w:tcPr>
            <w:tcW w:w="1560" w:type="dxa"/>
            <w:vAlign w:val="center"/>
          </w:tcPr>
          <w:p w14:paraId="580952B6">
            <w:pPr>
              <w:jc w:val="right"/>
              <w:rPr>
                <w:rFonts w:ascii="Calibri" w:hAnsi="Calibri"/>
                <w:sz w:val="18"/>
                <w:szCs w:val="18"/>
              </w:rPr>
            </w:pPr>
          </w:p>
        </w:tc>
        <w:tc>
          <w:tcPr>
            <w:tcW w:w="1559" w:type="dxa"/>
            <w:vAlign w:val="center"/>
          </w:tcPr>
          <w:p w14:paraId="6EF9523E">
            <w:pPr>
              <w:jc w:val="right"/>
              <w:rPr>
                <w:rFonts w:ascii="Calibri" w:hAnsi="Calibri"/>
                <w:sz w:val="18"/>
                <w:szCs w:val="18"/>
              </w:rPr>
            </w:pPr>
          </w:p>
        </w:tc>
        <w:tc>
          <w:tcPr>
            <w:tcW w:w="1559" w:type="dxa"/>
            <w:vAlign w:val="center"/>
          </w:tcPr>
          <w:p w14:paraId="4580D18C">
            <w:pPr>
              <w:jc w:val="right"/>
              <w:rPr>
                <w:rFonts w:ascii="Calibri" w:hAnsi="Calibri"/>
                <w:sz w:val="18"/>
                <w:szCs w:val="18"/>
              </w:rPr>
            </w:pPr>
          </w:p>
        </w:tc>
        <w:tc>
          <w:tcPr>
            <w:tcW w:w="1276" w:type="dxa"/>
            <w:vAlign w:val="center"/>
          </w:tcPr>
          <w:p w14:paraId="74D49153">
            <w:pPr>
              <w:jc w:val="right"/>
              <w:rPr>
                <w:rFonts w:ascii="Calibri" w:hAnsi="Calibri"/>
                <w:sz w:val="18"/>
                <w:szCs w:val="18"/>
              </w:rPr>
            </w:pPr>
          </w:p>
        </w:tc>
        <w:tc>
          <w:tcPr>
            <w:tcW w:w="1559" w:type="dxa"/>
            <w:vAlign w:val="center"/>
          </w:tcPr>
          <w:p w14:paraId="6CEB1C90">
            <w:pPr>
              <w:jc w:val="right"/>
              <w:rPr>
                <w:rFonts w:ascii="Calibri" w:hAnsi="Calibri"/>
                <w:sz w:val="18"/>
                <w:szCs w:val="18"/>
              </w:rPr>
            </w:pPr>
          </w:p>
        </w:tc>
      </w:tr>
      <w:tr w14:paraId="2003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30083ca1b684aa0b92b69b31995ea1b"/>
            <w:id w:val="156039147"/>
          </w:sdtPr>
          <w:sdtContent>
            <w:tc>
              <w:tcPr>
                <w:tcW w:w="1702" w:type="dxa"/>
                <w:vAlign w:val="center"/>
              </w:tcPr>
              <w:p w14:paraId="6E0F46AF">
                <w:pPr>
                  <w:rPr>
                    <w:rFonts w:ascii="Calibri" w:hAnsi="Calibri"/>
                    <w:sz w:val="18"/>
                    <w:szCs w:val="18"/>
                  </w:rPr>
                </w:pPr>
                <w:r>
                  <w:rPr>
                    <w:rFonts w:ascii="Calibri" w:hAnsi="Calibri"/>
                    <w:sz w:val="18"/>
                    <w:szCs w:val="18"/>
                  </w:rPr>
                  <w:t>2．提取一般风险准备</w:t>
                </w:r>
              </w:p>
            </w:tc>
          </w:sdtContent>
        </w:sdt>
        <w:tc>
          <w:tcPr>
            <w:tcW w:w="1559" w:type="dxa"/>
            <w:vAlign w:val="center"/>
          </w:tcPr>
          <w:p w14:paraId="3CA08655">
            <w:pPr>
              <w:jc w:val="right"/>
              <w:rPr>
                <w:rFonts w:ascii="Calibri" w:hAnsi="Calibri"/>
                <w:sz w:val="18"/>
                <w:szCs w:val="18"/>
              </w:rPr>
            </w:pPr>
          </w:p>
        </w:tc>
        <w:tc>
          <w:tcPr>
            <w:tcW w:w="284" w:type="dxa"/>
            <w:vAlign w:val="center"/>
          </w:tcPr>
          <w:p w14:paraId="1E7F758D">
            <w:pPr>
              <w:jc w:val="right"/>
              <w:rPr>
                <w:rFonts w:ascii="Calibri" w:hAnsi="Calibri"/>
                <w:sz w:val="18"/>
                <w:szCs w:val="18"/>
              </w:rPr>
            </w:pPr>
          </w:p>
        </w:tc>
        <w:tc>
          <w:tcPr>
            <w:tcW w:w="425" w:type="dxa"/>
            <w:vAlign w:val="center"/>
          </w:tcPr>
          <w:p w14:paraId="02A89CE6">
            <w:pPr>
              <w:jc w:val="right"/>
              <w:rPr>
                <w:rFonts w:ascii="Calibri" w:hAnsi="Calibri"/>
                <w:sz w:val="18"/>
                <w:szCs w:val="18"/>
              </w:rPr>
            </w:pPr>
          </w:p>
        </w:tc>
        <w:tc>
          <w:tcPr>
            <w:tcW w:w="284" w:type="dxa"/>
            <w:vAlign w:val="center"/>
          </w:tcPr>
          <w:p w14:paraId="370B5220">
            <w:pPr>
              <w:jc w:val="right"/>
              <w:rPr>
                <w:rFonts w:ascii="Calibri" w:hAnsi="Calibri"/>
                <w:sz w:val="18"/>
                <w:szCs w:val="18"/>
              </w:rPr>
            </w:pPr>
          </w:p>
        </w:tc>
        <w:tc>
          <w:tcPr>
            <w:tcW w:w="1417" w:type="dxa"/>
            <w:vAlign w:val="center"/>
          </w:tcPr>
          <w:p w14:paraId="3876E326">
            <w:pPr>
              <w:jc w:val="right"/>
              <w:rPr>
                <w:rFonts w:ascii="Calibri" w:hAnsi="Calibri"/>
                <w:sz w:val="18"/>
                <w:szCs w:val="18"/>
              </w:rPr>
            </w:pPr>
          </w:p>
        </w:tc>
        <w:tc>
          <w:tcPr>
            <w:tcW w:w="1418" w:type="dxa"/>
            <w:vAlign w:val="center"/>
          </w:tcPr>
          <w:p w14:paraId="2865CF5C">
            <w:pPr>
              <w:jc w:val="right"/>
              <w:rPr>
                <w:rFonts w:ascii="Calibri" w:hAnsi="Calibri"/>
                <w:sz w:val="18"/>
                <w:szCs w:val="18"/>
              </w:rPr>
            </w:pPr>
          </w:p>
        </w:tc>
        <w:tc>
          <w:tcPr>
            <w:tcW w:w="1275" w:type="dxa"/>
            <w:vAlign w:val="center"/>
          </w:tcPr>
          <w:p w14:paraId="0889872F">
            <w:pPr>
              <w:jc w:val="right"/>
              <w:rPr>
                <w:rFonts w:ascii="Calibri" w:hAnsi="Calibri"/>
                <w:sz w:val="18"/>
                <w:szCs w:val="18"/>
              </w:rPr>
            </w:pPr>
          </w:p>
        </w:tc>
        <w:tc>
          <w:tcPr>
            <w:tcW w:w="1560" w:type="dxa"/>
            <w:vAlign w:val="center"/>
          </w:tcPr>
          <w:p w14:paraId="283EFAC4">
            <w:pPr>
              <w:jc w:val="right"/>
              <w:rPr>
                <w:rFonts w:ascii="Calibri" w:hAnsi="Calibri"/>
                <w:sz w:val="18"/>
                <w:szCs w:val="18"/>
              </w:rPr>
            </w:pPr>
          </w:p>
        </w:tc>
        <w:tc>
          <w:tcPr>
            <w:tcW w:w="1559" w:type="dxa"/>
            <w:vAlign w:val="center"/>
          </w:tcPr>
          <w:p w14:paraId="24E75AD0">
            <w:pPr>
              <w:jc w:val="right"/>
              <w:rPr>
                <w:rFonts w:ascii="Calibri" w:hAnsi="Calibri"/>
                <w:sz w:val="18"/>
                <w:szCs w:val="18"/>
              </w:rPr>
            </w:pPr>
          </w:p>
        </w:tc>
        <w:tc>
          <w:tcPr>
            <w:tcW w:w="1559" w:type="dxa"/>
            <w:vAlign w:val="center"/>
          </w:tcPr>
          <w:p w14:paraId="331FC255">
            <w:pPr>
              <w:jc w:val="right"/>
              <w:rPr>
                <w:rFonts w:ascii="Calibri" w:hAnsi="Calibri"/>
                <w:sz w:val="18"/>
                <w:szCs w:val="18"/>
              </w:rPr>
            </w:pPr>
          </w:p>
        </w:tc>
        <w:tc>
          <w:tcPr>
            <w:tcW w:w="1276" w:type="dxa"/>
            <w:vAlign w:val="center"/>
          </w:tcPr>
          <w:p w14:paraId="251CE318">
            <w:pPr>
              <w:jc w:val="right"/>
              <w:rPr>
                <w:rFonts w:ascii="Calibri" w:hAnsi="Calibri"/>
                <w:sz w:val="18"/>
                <w:szCs w:val="18"/>
              </w:rPr>
            </w:pPr>
          </w:p>
        </w:tc>
        <w:tc>
          <w:tcPr>
            <w:tcW w:w="1559" w:type="dxa"/>
            <w:vAlign w:val="center"/>
          </w:tcPr>
          <w:p w14:paraId="1CDA5CE2">
            <w:pPr>
              <w:jc w:val="right"/>
              <w:rPr>
                <w:rFonts w:ascii="Calibri" w:hAnsi="Calibri"/>
                <w:sz w:val="18"/>
                <w:szCs w:val="18"/>
              </w:rPr>
            </w:pPr>
          </w:p>
        </w:tc>
      </w:tr>
      <w:tr w14:paraId="0794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19b1d04bab14e67b22ee23afd215d76"/>
            <w:id w:val="1528065690"/>
          </w:sdtPr>
          <w:sdtContent>
            <w:tc>
              <w:tcPr>
                <w:tcW w:w="1702" w:type="dxa"/>
                <w:vAlign w:val="center"/>
              </w:tcPr>
              <w:p w14:paraId="091FD708">
                <w:pPr>
                  <w:rPr>
                    <w:rFonts w:ascii="Calibri" w:hAnsi="Calibri"/>
                    <w:sz w:val="18"/>
                    <w:szCs w:val="18"/>
                  </w:rPr>
                </w:pPr>
                <w:r>
                  <w:rPr>
                    <w:rFonts w:ascii="Calibri" w:hAnsi="Calibri"/>
                    <w:sz w:val="18"/>
                    <w:szCs w:val="18"/>
                  </w:rPr>
                  <w:t>3．对所有者（或股东）的分配</w:t>
                </w:r>
              </w:p>
            </w:tc>
          </w:sdtContent>
        </w:sdt>
        <w:tc>
          <w:tcPr>
            <w:tcW w:w="1559" w:type="dxa"/>
            <w:vAlign w:val="center"/>
          </w:tcPr>
          <w:p w14:paraId="0D22C2B4">
            <w:pPr>
              <w:jc w:val="right"/>
              <w:rPr>
                <w:rFonts w:ascii="Calibri" w:hAnsi="Calibri"/>
                <w:sz w:val="18"/>
                <w:szCs w:val="18"/>
              </w:rPr>
            </w:pPr>
          </w:p>
        </w:tc>
        <w:tc>
          <w:tcPr>
            <w:tcW w:w="284" w:type="dxa"/>
            <w:vAlign w:val="center"/>
          </w:tcPr>
          <w:p w14:paraId="604CD8BF">
            <w:pPr>
              <w:jc w:val="right"/>
              <w:rPr>
                <w:rFonts w:ascii="Calibri" w:hAnsi="Calibri"/>
                <w:sz w:val="18"/>
                <w:szCs w:val="18"/>
              </w:rPr>
            </w:pPr>
          </w:p>
        </w:tc>
        <w:tc>
          <w:tcPr>
            <w:tcW w:w="425" w:type="dxa"/>
            <w:vAlign w:val="center"/>
          </w:tcPr>
          <w:p w14:paraId="6C947C69">
            <w:pPr>
              <w:jc w:val="right"/>
              <w:rPr>
                <w:rFonts w:ascii="Calibri" w:hAnsi="Calibri"/>
                <w:sz w:val="18"/>
                <w:szCs w:val="18"/>
              </w:rPr>
            </w:pPr>
          </w:p>
        </w:tc>
        <w:tc>
          <w:tcPr>
            <w:tcW w:w="284" w:type="dxa"/>
            <w:vAlign w:val="center"/>
          </w:tcPr>
          <w:p w14:paraId="7364146C">
            <w:pPr>
              <w:jc w:val="right"/>
              <w:rPr>
                <w:rFonts w:ascii="Calibri" w:hAnsi="Calibri"/>
                <w:sz w:val="18"/>
                <w:szCs w:val="18"/>
              </w:rPr>
            </w:pPr>
          </w:p>
        </w:tc>
        <w:tc>
          <w:tcPr>
            <w:tcW w:w="1417" w:type="dxa"/>
            <w:vAlign w:val="center"/>
          </w:tcPr>
          <w:p w14:paraId="55A640A9">
            <w:pPr>
              <w:jc w:val="right"/>
              <w:rPr>
                <w:rFonts w:ascii="Calibri" w:hAnsi="Calibri"/>
                <w:sz w:val="18"/>
                <w:szCs w:val="18"/>
              </w:rPr>
            </w:pPr>
          </w:p>
        </w:tc>
        <w:tc>
          <w:tcPr>
            <w:tcW w:w="1418" w:type="dxa"/>
            <w:vAlign w:val="center"/>
          </w:tcPr>
          <w:p w14:paraId="4F483EC7">
            <w:pPr>
              <w:jc w:val="right"/>
              <w:rPr>
                <w:rFonts w:ascii="Calibri" w:hAnsi="Calibri"/>
                <w:sz w:val="18"/>
                <w:szCs w:val="18"/>
              </w:rPr>
            </w:pPr>
          </w:p>
        </w:tc>
        <w:tc>
          <w:tcPr>
            <w:tcW w:w="1275" w:type="dxa"/>
            <w:vAlign w:val="center"/>
          </w:tcPr>
          <w:p w14:paraId="0A03F7F9">
            <w:pPr>
              <w:jc w:val="right"/>
              <w:rPr>
                <w:rFonts w:ascii="Calibri" w:hAnsi="Calibri"/>
                <w:sz w:val="18"/>
                <w:szCs w:val="18"/>
              </w:rPr>
            </w:pPr>
          </w:p>
        </w:tc>
        <w:tc>
          <w:tcPr>
            <w:tcW w:w="1560" w:type="dxa"/>
            <w:vAlign w:val="center"/>
          </w:tcPr>
          <w:p w14:paraId="31EA763C">
            <w:pPr>
              <w:jc w:val="right"/>
              <w:rPr>
                <w:rFonts w:ascii="Calibri" w:hAnsi="Calibri"/>
                <w:sz w:val="18"/>
                <w:szCs w:val="18"/>
              </w:rPr>
            </w:pPr>
          </w:p>
        </w:tc>
        <w:tc>
          <w:tcPr>
            <w:tcW w:w="1559" w:type="dxa"/>
            <w:vAlign w:val="center"/>
          </w:tcPr>
          <w:p w14:paraId="4DA39A4F">
            <w:pPr>
              <w:jc w:val="right"/>
              <w:rPr>
                <w:rFonts w:ascii="Calibri" w:hAnsi="Calibri"/>
                <w:sz w:val="18"/>
                <w:szCs w:val="18"/>
              </w:rPr>
            </w:pPr>
            <w:r>
              <w:rPr>
                <w:rFonts w:ascii="Calibri" w:hAnsi="Calibri"/>
                <w:sz w:val="18"/>
                <w:szCs w:val="18"/>
              </w:rPr>
              <w:t>-495,433,518.50</w:t>
            </w:r>
          </w:p>
        </w:tc>
        <w:tc>
          <w:tcPr>
            <w:tcW w:w="1559" w:type="dxa"/>
            <w:vAlign w:val="center"/>
          </w:tcPr>
          <w:p w14:paraId="4FF0882A">
            <w:pPr>
              <w:jc w:val="right"/>
              <w:rPr>
                <w:rFonts w:ascii="Calibri" w:hAnsi="Calibri"/>
                <w:sz w:val="18"/>
                <w:szCs w:val="18"/>
              </w:rPr>
            </w:pPr>
            <w:r>
              <w:rPr>
                <w:rFonts w:ascii="Calibri" w:hAnsi="Calibri"/>
                <w:sz w:val="18"/>
                <w:szCs w:val="18"/>
              </w:rPr>
              <w:t>-495,433,518.50</w:t>
            </w:r>
          </w:p>
        </w:tc>
        <w:tc>
          <w:tcPr>
            <w:tcW w:w="1276" w:type="dxa"/>
            <w:vAlign w:val="center"/>
          </w:tcPr>
          <w:p w14:paraId="1058A5B7">
            <w:pPr>
              <w:jc w:val="right"/>
              <w:rPr>
                <w:rFonts w:ascii="Calibri" w:hAnsi="Calibri"/>
                <w:sz w:val="18"/>
                <w:szCs w:val="18"/>
              </w:rPr>
            </w:pPr>
          </w:p>
        </w:tc>
        <w:tc>
          <w:tcPr>
            <w:tcW w:w="1559" w:type="dxa"/>
            <w:vAlign w:val="center"/>
          </w:tcPr>
          <w:p w14:paraId="7803550B">
            <w:pPr>
              <w:jc w:val="right"/>
              <w:rPr>
                <w:rFonts w:ascii="Calibri" w:hAnsi="Calibri"/>
                <w:sz w:val="18"/>
                <w:szCs w:val="18"/>
              </w:rPr>
            </w:pPr>
            <w:r>
              <w:rPr>
                <w:rFonts w:ascii="Calibri" w:hAnsi="Calibri"/>
                <w:sz w:val="18"/>
                <w:szCs w:val="18"/>
              </w:rPr>
              <w:t>-495,433,518.50</w:t>
            </w:r>
          </w:p>
        </w:tc>
      </w:tr>
      <w:tr w14:paraId="29F3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e5628e129d04d23a2d71da503cecfdd"/>
            <w:id w:val="1915892162"/>
          </w:sdtPr>
          <w:sdtContent>
            <w:tc>
              <w:tcPr>
                <w:tcW w:w="1702" w:type="dxa"/>
                <w:vAlign w:val="center"/>
              </w:tcPr>
              <w:p w14:paraId="22E07051">
                <w:pPr>
                  <w:rPr>
                    <w:rFonts w:ascii="Calibri" w:hAnsi="Calibri"/>
                    <w:sz w:val="18"/>
                    <w:szCs w:val="18"/>
                  </w:rPr>
                </w:pPr>
                <w:r>
                  <w:rPr>
                    <w:rFonts w:ascii="Calibri" w:hAnsi="Calibri"/>
                    <w:sz w:val="18"/>
                    <w:szCs w:val="18"/>
                  </w:rPr>
                  <w:t>4．其他</w:t>
                </w:r>
              </w:p>
            </w:tc>
          </w:sdtContent>
        </w:sdt>
        <w:tc>
          <w:tcPr>
            <w:tcW w:w="1559" w:type="dxa"/>
            <w:vAlign w:val="center"/>
          </w:tcPr>
          <w:p w14:paraId="09ED3DA6">
            <w:pPr>
              <w:jc w:val="right"/>
              <w:rPr>
                <w:rFonts w:ascii="Calibri" w:hAnsi="Calibri"/>
                <w:sz w:val="18"/>
                <w:szCs w:val="18"/>
              </w:rPr>
            </w:pPr>
          </w:p>
        </w:tc>
        <w:tc>
          <w:tcPr>
            <w:tcW w:w="284" w:type="dxa"/>
            <w:vAlign w:val="center"/>
          </w:tcPr>
          <w:p w14:paraId="47B3CAFC">
            <w:pPr>
              <w:jc w:val="right"/>
              <w:rPr>
                <w:rFonts w:ascii="Calibri" w:hAnsi="Calibri"/>
                <w:sz w:val="18"/>
                <w:szCs w:val="18"/>
              </w:rPr>
            </w:pPr>
          </w:p>
        </w:tc>
        <w:tc>
          <w:tcPr>
            <w:tcW w:w="425" w:type="dxa"/>
            <w:vAlign w:val="center"/>
          </w:tcPr>
          <w:p w14:paraId="1BADBEB5">
            <w:pPr>
              <w:jc w:val="right"/>
              <w:rPr>
                <w:rFonts w:ascii="Calibri" w:hAnsi="Calibri"/>
                <w:sz w:val="18"/>
                <w:szCs w:val="18"/>
              </w:rPr>
            </w:pPr>
          </w:p>
        </w:tc>
        <w:tc>
          <w:tcPr>
            <w:tcW w:w="284" w:type="dxa"/>
            <w:vAlign w:val="center"/>
          </w:tcPr>
          <w:p w14:paraId="26FA9FA5">
            <w:pPr>
              <w:jc w:val="right"/>
              <w:rPr>
                <w:rFonts w:ascii="Calibri" w:hAnsi="Calibri"/>
                <w:sz w:val="18"/>
                <w:szCs w:val="18"/>
              </w:rPr>
            </w:pPr>
          </w:p>
        </w:tc>
        <w:tc>
          <w:tcPr>
            <w:tcW w:w="1417" w:type="dxa"/>
            <w:vAlign w:val="center"/>
          </w:tcPr>
          <w:p w14:paraId="442BAAFD">
            <w:pPr>
              <w:jc w:val="right"/>
              <w:rPr>
                <w:rFonts w:ascii="Calibri" w:hAnsi="Calibri"/>
                <w:sz w:val="18"/>
                <w:szCs w:val="18"/>
              </w:rPr>
            </w:pPr>
          </w:p>
        </w:tc>
        <w:tc>
          <w:tcPr>
            <w:tcW w:w="1418" w:type="dxa"/>
            <w:vAlign w:val="center"/>
          </w:tcPr>
          <w:p w14:paraId="135DE227">
            <w:pPr>
              <w:jc w:val="right"/>
              <w:rPr>
                <w:rFonts w:ascii="Calibri" w:hAnsi="Calibri"/>
                <w:sz w:val="18"/>
                <w:szCs w:val="18"/>
              </w:rPr>
            </w:pPr>
          </w:p>
        </w:tc>
        <w:tc>
          <w:tcPr>
            <w:tcW w:w="1275" w:type="dxa"/>
            <w:vAlign w:val="center"/>
          </w:tcPr>
          <w:p w14:paraId="192286AF">
            <w:pPr>
              <w:jc w:val="right"/>
              <w:rPr>
                <w:rFonts w:ascii="Calibri" w:hAnsi="Calibri"/>
                <w:sz w:val="18"/>
                <w:szCs w:val="18"/>
              </w:rPr>
            </w:pPr>
          </w:p>
        </w:tc>
        <w:tc>
          <w:tcPr>
            <w:tcW w:w="1560" w:type="dxa"/>
            <w:vAlign w:val="center"/>
          </w:tcPr>
          <w:p w14:paraId="78C9F3BE">
            <w:pPr>
              <w:jc w:val="right"/>
              <w:rPr>
                <w:rFonts w:ascii="Calibri" w:hAnsi="Calibri"/>
                <w:sz w:val="18"/>
                <w:szCs w:val="18"/>
              </w:rPr>
            </w:pPr>
          </w:p>
        </w:tc>
        <w:tc>
          <w:tcPr>
            <w:tcW w:w="1559" w:type="dxa"/>
            <w:vAlign w:val="center"/>
          </w:tcPr>
          <w:p w14:paraId="3B301724">
            <w:pPr>
              <w:jc w:val="right"/>
              <w:rPr>
                <w:rFonts w:ascii="Calibri" w:hAnsi="Calibri"/>
                <w:sz w:val="18"/>
                <w:szCs w:val="18"/>
              </w:rPr>
            </w:pPr>
          </w:p>
        </w:tc>
        <w:tc>
          <w:tcPr>
            <w:tcW w:w="1559" w:type="dxa"/>
            <w:vAlign w:val="center"/>
          </w:tcPr>
          <w:p w14:paraId="3DDAEBA0">
            <w:pPr>
              <w:jc w:val="right"/>
              <w:rPr>
                <w:rFonts w:ascii="Calibri" w:hAnsi="Calibri"/>
                <w:sz w:val="18"/>
                <w:szCs w:val="18"/>
              </w:rPr>
            </w:pPr>
          </w:p>
        </w:tc>
        <w:tc>
          <w:tcPr>
            <w:tcW w:w="1276" w:type="dxa"/>
            <w:vAlign w:val="center"/>
          </w:tcPr>
          <w:p w14:paraId="57DD2FC3">
            <w:pPr>
              <w:jc w:val="right"/>
              <w:rPr>
                <w:rFonts w:ascii="Calibri" w:hAnsi="Calibri"/>
                <w:sz w:val="18"/>
                <w:szCs w:val="18"/>
              </w:rPr>
            </w:pPr>
          </w:p>
        </w:tc>
        <w:tc>
          <w:tcPr>
            <w:tcW w:w="1559" w:type="dxa"/>
            <w:vAlign w:val="center"/>
          </w:tcPr>
          <w:p w14:paraId="7F074A99">
            <w:pPr>
              <w:jc w:val="right"/>
              <w:rPr>
                <w:rFonts w:ascii="Calibri" w:hAnsi="Calibri"/>
                <w:sz w:val="18"/>
                <w:szCs w:val="18"/>
              </w:rPr>
            </w:pPr>
          </w:p>
        </w:tc>
      </w:tr>
      <w:tr w14:paraId="5602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953b61d69004a7a91974afa1318df0a"/>
            <w:id w:val="536393720"/>
          </w:sdtPr>
          <w:sdtContent>
            <w:tc>
              <w:tcPr>
                <w:tcW w:w="1702" w:type="dxa"/>
                <w:vAlign w:val="center"/>
              </w:tcPr>
              <w:p w14:paraId="60ACCA8C">
                <w:pPr>
                  <w:rPr>
                    <w:rFonts w:ascii="Calibri" w:hAnsi="Calibri"/>
                    <w:sz w:val="18"/>
                    <w:szCs w:val="18"/>
                  </w:rPr>
                </w:pPr>
                <w:r>
                  <w:rPr>
                    <w:rFonts w:ascii="Calibri" w:hAnsi="Calibri"/>
                    <w:sz w:val="18"/>
                    <w:szCs w:val="18"/>
                  </w:rPr>
                  <w:t>（</w:t>
                </w:r>
                <w:r>
                  <w:rPr>
                    <w:rFonts w:hint="eastAsia" w:ascii="Calibri" w:hAnsi="Calibri"/>
                    <w:sz w:val="18"/>
                    <w:szCs w:val="18"/>
                  </w:rPr>
                  <w:t>四</w:t>
                </w:r>
                <w:r>
                  <w:rPr>
                    <w:rFonts w:ascii="Calibri" w:hAnsi="Calibri"/>
                    <w:sz w:val="18"/>
                    <w:szCs w:val="18"/>
                  </w:rPr>
                  <w:t>）所有者权益内部结转</w:t>
                </w:r>
              </w:p>
            </w:tc>
          </w:sdtContent>
        </w:sdt>
        <w:tc>
          <w:tcPr>
            <w:tcW w:w="1559" w:type="dxa"/>
            <w:vAlign w:val="center"/>
          </w:tcPr>
          <w:p w14:paraId="39D0FC22">
            <w:pPr>
              <w:jc w:val="right"/>
              <w:rPr>
                <w:rFonts w:ascii="Calibri" w:hAnsi="Calibri"/>
                <w:sz w:val="18"/>
                <w:szCs w:val="18"/>
              </w:rPr>
            </w:pPr>
          </w:p>
        </w:tc>
        <w:tc>
          <w:tcPr>
            <w:tcW w:w="284" w:type="dxa"/>
            <w:vAlign w:val="center"/>
          </w:tcPr>
          <w:p w14:paraId="1FC2392D">
            <w:pPr>
              <w:jc w:val="right"/>
              <w:rPr>
                <w:rFonts w:ascii="Calibri" w:hAnsi="Calibri"/>
                <w:sz w:val="18"/>
                <w:szCs w:val="18"/>
              </w:rPr>
            </w:pPr>
          </w:p>
        </w:tc>
        <w:tc>
          <w:tcPr>
            <w:tcW w:w="425" w:type="dxa"/>
            <w:vAlign w:val="center"/>
          </w:tcPr>
          <w:p w14:paraId="4F566541">
            <w:pPr>
              <w:jc w:val="right"/>
              <w:rPr>
                <w:rFonts w:ascii="Calibri" w:hAnsi="Calibri"/>
                <w:sz w:val="18"/>
                <w:szCs w:val="18"/>
              </w:rPr>
            </w:pPr>
          </w:p>
        </w:tc>
        <w:tc>
          <w:tcPr>
            <w:tcW w:w="284" w:type="dxa"/>
            <w:vAlign w:val="center"/>
          </w:tcPr>
          <w:p w14:paraId="0E1B782E">
            <w:pPr>
              <w:jc w:val="right"/>
              <w:rPr>
                <w:rFonts w:ascii="Calibri" w:hAnsi="Calibri"/>
                <w:sz w:val="18"/>
                <w:szCs w:val="18"/>
              </w:rPr>
            </w:pPr>
          </w:p>
        </w:tc>
        <w:tc>
          <w:tcPr>
            <w:tcW w:w="1417" w:type="dxa"/>
            <w:vAlign w:val="center"/>
          </w:tcPr>
          <w:p w14:paraId="4D167160">
            <w:pPr>
              <w:jc w:val="right"/>
              <w:rPr>
                <w:rFonts w:ascii="Calibri" w:hAnsi="Calibri"/>
                <w:sz w:val="18"/>
                <w:szCs w:val="18"/>
              </w:rPr>
            </w:pPr>
          </w:p>
        </w:tc>
        <w:tc>
          <w:tcPr>
            <w:tcW w:w="1418" w:type="dxa"/>
            <w:vAlign w:val="center"/>
          </w:tcPr>
          <w:p w14:paraId="390C4AB5">
            <w:pPr>
              <w:jc w:val="right"/>
              <w:rPr>
                <w:rFonts w:ascii="Calibri" w:hAnsi="Calibri"/>
                <w:sz w:val="18"/>
                <w:szCs w:val="18"/>
              </w:rPr>
            </w:pPr>
          </w:p>
        </w:tc>
        <w:tc>
          <w:tcPr>
            <w:tcW w:w="1275" w:type="dxa"/>
            <w:vAlign w:val="center"/>
          </w:tcPr>
          <w:p w14:paraId="60694A60">
            <w:pPr>
              <w:jc w:val="right"/>
              <w:rPr>
                <w:rFonts w:ascii="Calibri" w:hAnsi="Calibri"/>
                <w:sz w:val="18"/>
                <w:szCs w:val="18"/>
              </w:rPr>
            </w:pPr>
          </w:p>
        </w:tc>
        <w:tc>
          <w:tcPr>
            <w:tcW w:w="1560" w:type="dxa"/>
            <w:vAlign w:val="center"/>
          </w:tcPr>
          <w:p w14:paraId="44155EAA">
            <w:pPr>
              <w:jc w:val="right"/>
              <w:rPr>
                <w:rFonts w:ascii="Calibri" w:hAnsi="Calibri"/>
                <w:sz w:val="18"/>
                <w:szCs w:val="18"/>
              </w:rPr>
            </w:pPr>
          </w:p>
        </w:tc>
        <w:tc>
          <w:tcPr>
            <w:tcW w:w="1559" w:type="dxa"/>
            <w:vAlign w:val="center"/>
          </w:tcPr>
          <w:p w14:paraId="77852F0A">
            <w:pPr>
              <w:jc w:val="right"/>
              <w:rPr>
                <w:rFonts w:ascii="Calibri" w:hAnsi="Calibri"/>
                <w:sz w:val="18"/>
                <w:szCs w:val="18"/>
              </w:rPr>
            </w:pPr>
          </w:p>
        </w:tc>
        <w:tc>
          <w:tcPr>
            <w:tcW w:w="1559" w:type="dxa"/>
            <w:vAlign w:val="center"/>
          </w:tcPr>
          <w:p w14:paraId="545DE024">
            <w:pPr>
              <w:jc w:val="right"/>
              <w:rPr>
                <w:rFonts w:ascii="Calibri" w:hAnsi="Calibri"/>
                <w:sz w:val="18"/>
                <w:szCs w:val="18"/>
              </w:rPr>
            </w:pPr>
          </w:p>
        </w:tc>
        <w:tc>
          <w:tcPr>
            <w:tcW w:w="1276" w:type="dxa"/>
            <w:vAlign w:val="center"/>
          </w:tcPr>
          <w:p w14:paraId="75F3187A">
            <w:pPr>
              <w:jc w:val="right"/>
              <w:rPr>
                <w:rFonts w:ascii="Calibri" w:hAnsi="Calibri"/>
                <w:sz w:val="18"/>
                <w:szCs w:val="18"/>
              </w:rPr>
            </w:pPr>
          </w:p>
        </w:tc>
        <w:tc>
          <w:tcPr>
            <w:tcW w:w="1559" w:type="dxa"/>
            <w:vAlign w:val="center"/>
          </w:tcPr>
          <w:p w14:paraId="4504C944">
            <w:pPr>
              <w:jc w:val="right"/>
              <w:rPr>
                <w:rFonts w:ascii="Calibri" w:hAnsi="Calibri"/>
                <w:sz w:val="18"/>
                <w:szCs w:val="18"/>
              </w:rPr>
            </w:pPr>
          </w:p>
        </w:tc>
      </w:tr>
      <w:tr w14:paraId="6B63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78fa3d290b3473aacd1d849016a2959"/>
            <w:id w:val="-42517776"/>
          </w:sdtPr>
          <w:sdtContent>
            <w:tc>
              <w:tcPr>
                <w:tcW w:w="1702" w:type="dxa"/>
                <w:vAlign w:val="center"/>
              </w:tcPr>
              <w:p w14:paraId="5D40B4D5">
                <w:pPr>
                  <w:rPr>
                    <w:rFonts w:ascii="Calibri" w:hAnsi="Calibri"/>
                    <w:sz w:val="18"/>
                    <w:szCs w:val="18"/>
                  </w:rPr>
                </w:pPr>
                <w:r>
                  <w:rPr>
                    <w:rFonts w:ascii="Calibri" w:hAnsi="Calibri"/>
                    <w:sz w:val="18"/>
                    <w:szCs w:val="18"/>
                  </w:rPr>
                  <w:t>1．资本公积转增资本（或股本）</w:t>
                </w:r>
              </w:p>
            </w:tc>
          </w:sdtContent>
        </w:sdt>
        <w:tc>
          <w:tcPr>
            <w:tcW w:w="1559" w:type="dxa"/>
            <w:vAlign w:val="center"/>
          </w:tcPr>
          <w:p w14:paraId="0952B137">
            <w:pPr>
              <w:jc w:val="right"/>
              <w:rPr>
                <w:rFonts w:ascii="Calibri" w:hAnsi="Calibri"/>
                <w:sz w:val="18"/>
                <w:szCs w:val="18"/>
              </w:rPr>
            </w:pPr>
          </w:p>
        </w:tc>
        <w:tc>
          <w:tcPr>
            <w:tcW w:w="284" w:type="dxa"/>
            <w:vAlign w:val="center"/>
          </w:tcPr>
          <w:p w14:paraId="3555D446">
            <w:pPr>
              <w:jc w:val="right"/>
              <w:rPr>
                <w:rFonts w:ascii="Calibri" w:hAnsi="Calibri"/>
                <w:sz w:val="18"/>
                <w:szCs w:val="18"/>
              </w:rPr>
            </w:pPr>
          </w:p>
        </w:tc>
        <w:tc>
          <w:tcPr>
            <w:tcW w:w="425" w:type="dxa"/>
            <w:vAlign w:val="center"/>
          </w:tcPr>
          <w:p w14:paraId="58F8C302">
            <w:pPr>
              <w:jc w:val="right"/>
              <w:rPr>
                <w:rFonts w:ascii="Calibri" w:hAnsi="Calibri"/>
                <w:sz w:val="18"/>
                <w:szCs w:val="18"/>
              </w:rPr>
            </w:pPr>
          </w:p>
        </w:tc>
        <w:tc>
          <w:tcPr>
            <w:tcW w:w="284" w:type="dxa"/>
            <w:vAlign w:val="center"/>
          </w:tcPr>
          <w:p w14:paraId="312A8B75">
            <w:pPr>
              <w:jc w:val="right"/>
              <w:rPr>
                <w:rFonts w:ascii="Calibri" w:hAnsi="Calibri"/>
                <w:sz w:val="18"/>
                <w:szCs w:val="18"/>
              </w:rPr>
            </w:pPr>
          </w:p>
        </w:tc>
        <w:tc>
          <w:tcPr>
            <w:tcW w:w="1417" w:type="dxa"/>
            <w:vAlign w:val="center"/>
          </w:tcPr>
          <w:p w14:paraId="6C5C6B45">
            <w:pPr>
              <w:jc w:val="right"/>
              <w:rPr>
                <w:rFonts w:ascii="Calibri" w:hAnsi="Calibri"/>
                <w:sz w:val="18"/>
                <w:szCs w:val="18"/>
              </w:rPr>
            </w:pPr>
          </w:p>
        </w:tc>
        <w:tc>
          <w:tcPr>
            <w:tcW w:w="1418" w:type="dxa"/>
            <w:vAlign w:val="center"/>
          </w:tcPr>
          <w:p w14:paraId="119556A9">
            <w:pPr>
              <w:jc w:val="right"/>
              <w:rPr>
                <w:rFonts w:ascii="Calibri" w:hAnsi="Calibri"/>
                <w:sz w:val="18"/>
                <w:szCs w:val="18"/>
              </w:rPr>
            </w:pPr>
          </w:p>
        </w:tc>
        <w:tc>
          <w:tcPr>
            <w:tcW w:w="1275" w:type="dxa"/>
            <w:vAlign w:val="center"/>
          </w:tcPr>
          <w:p w14:paraId="09503273">
            <w:pPr>
              <w:jc w:val="right"/>
              <w:rPr>
                <w:rFonts w:ascii="Calibri" w:hAnsi="Calibri"/>
                <w:sz w:val="18"/>
                <w:szCs w:val="18"/>
              </w:rPr>
            </w:pPr>
          </w:p>
        </w:tc>
        <w:tc>
          <w:tcPr>
            <w:tcW w:w="1560" w:type="dxa"/>
            <w:vAlign w:val="center"/>
          </w:tcPr>
          <w:p w14:paraId="4BF1522D">
            <w:pPr>
              <w:jc w:val="right"/>
              <w:rPr>
                <w:rFonts w:ascii="Calibri" w:hAnsi="Calibri"/>
                <w:sz w:val="18"/>
                <w:szCs w:val="18"/>
              </w:rPr>
            </w:pPr>
          </w:p>
        </w:tc>
        <w:tc>
          <w:tcPr>
            <w:tcW w:w="1559" w:type="dxa"/>
            <w:vAlign w:val="center"/>
          </w:tcPr>
          <w:p w14:paraId="030323D2">
            <w:pPr>
              <w:jc w:val="right"/>
              <w:rPr>
                <w:rFonts w:ascii="Calibri" w:hAnsi="Calibri"/>
                <w:sz w:val="18"/>
                <w:szCs w:val="18"/>
              </w:rPr>
            </w:pPr>
          </w:p>
        </w:tc>
        <w:tc>
          <w:tcPr>
            <w:tcW w:w="1559" w:type="dxa"/>
            <w:vAlign w:val="center"/>
          </w:tcPr>
          <w:p w14:paraId="0AAEE84D">
            <w:pPr>
              <w:jc w:val="right"/>
              <w:rPr>
                <w:rFonts w:ascii="Calibri" w:hAnsi="Calibri"/>
                <w:sz w:val="18"/>
                <w:szCs w:val="18"/>
              </w:rPr>
            </w:pPr>
          </w:p>
        </w:tc>
        <w:tc>
          <w:tcPr>
            <w:tcW w:w="1276" w:type="dxa"/>
            <w:vAlign w:val="center"/>
          </w:tcPr>
          <w:p w14:paraId="55D6D80A">
            <w:pPr>
              <w:jc w:val="right"/>
              <w:rPr>
                <w:rFonts w:ascii="Calibri" w:hAnsi="Calibri"/>
                <w:sz w:val="18"/>
                <w:szCs w:val="18"/>
              </w:rPr>
            </w:pPr>
          </w:p>
        </w:tc>
        <w:tc>
          <w:tcPr>
            <w:tcW w:w="1559" w:type="dxa"/>
            <w:vAlign w:val="center"/>
          </w:tcPr>
          <w:p w14:paraId="7CA97DA8">
            <w:pPr>
              <w:jc w:val="right"/>
              <w:rPr>
                <w:rFonts w:ascii="Calibri" w:hAnsi="Calibri"/>
                <w:sz w:val="18"/>
                <w:szCs w:val="18"/>
              </w:rPr>
            </w:pPr>
          </w:p>
        </w:tc>
      </w:tr>
      <w:tr w14:paraId="558B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dbeb2e6cbbd4ba2a65e4f369c7e7929"/>
            <w:id w:val="1796802944"/>
          </w:sdtPr>
          <w:sdtContent>
            <w:tc>
              <w:tcPr>
                <w:tcW w:w="1702" w:type="dxa"/>
                <w:vAlign w:val="center"/>
              </w:tcPr>
              <w:p w14:paraId="4A4FEA66">
                <w:pPr>
                  <w:rPr>
                    <w:rFonts w:ascii="Calibri" w:hAnsi="Calibri"/>
                    <w:sz w:val="18"/>
                    <w:szCs w:val="18"/>
                  </w:rPr>
                </w:pPr>
                <w:r>
                  <w:rPr>
                    <w:rFonts w:ascii="Calibri" w:hAnsi="Calibri"/>
                    <w:sz w:val="18"/>
                    <w:szCs w:val="18"/>
                  </w:rPr>
                  <w:t>2．盈余公积转增资本（或股本）</w:t>
                </w:r>
              </w:p>
            </w:tc>
          </w:sdtContent>
        </w:sdt>
        <w:tc>
          <w:tcPr>
            <w:tcW w:w="1559" w:type="dxa"/>
            <w:vAlign w:val="center"/>
          </w:tcPr>
          <w:p w14:paraId="3E380A17">
            <w:pPr>
              <w:jc w:val="right"/>
              <w:rPr>
                <w:rFonts w:ascii="Calibri" w:hAnsi="Calibri"/>
                <w:sz w:val="18"/>
                <w:szCs w:val="18"/>
              </w:rPr>
            </w:pPr>
          </w:p>
        </w:tc>
        <w:tc>
          <w:tcPr>
            <w:tcW w:w="284" w:type="dxa"/>
            <w:vAlign w:val="center"/>
          </w:tcPr>
          <w:p w14:paraId="45DE9E2B">
            <w:pPr>
              <w:jc w:val="right"/>
              <w:rPr>
                <w:rFonts w:ascii="Calibri" w:hAnsi="Calibri"/>
                <w:sz w:val="18"/>
                <w:szCs w:val="18"/>
              </w:rPr>
            </w:pPr>
          </w:p>
        </w:tc>
        <w:tc>
          <w:tcPr>
            <w:tcW w:w="425" w:type="dxa"/>
            <w:vAlign w:val="center"/>
          </w:tcPr>
          <w:p w14:paraId="09B812E0">
            <w:pPr>
              <w:jc w:val="right"/>
              <w:rPr>
                <w:rFonts w:ascii="Calibri" w:hAnsi="Calibri"/>
                <w:sz w:val="18"/>
                <w:szCs w:val="18"/>
              </w:rPr>
            </w:pPr>
          </w:p>
        </w:tc>
        <w:tc>
          <w:tcPr>
            <w:tcW w:w="284" w:type="dxa"/>
            <w:vAlign w:val="center"/>
          </w:tcPr>
          <w:p w14:paraId="445B1D3D">
            <w:pPr>
              <w:jc w:val="right"/>
              <w:rPr>
                <w:rFonts w:ascii="Calibri" w:hAnsi="Calibri"/>
                <w:sz w:val="18"/>
                <w:szCs w:val="18"/>
              </w:rPr>
            </w:pPr>
          </w:p>
        </w:tc>
        <w:tc>
          <w:tcPr>
            <w:tcW w:w="1417" w:type="dxa"/>
            <w:vAlign w:val="center"/>
          </w:tcPr>
          <w:p w14:paraId="55F2D053">
            <w:pPr>
              <w:jc w:val="right"/>
              <w:rPr>
                <w:rFonts w:ascii="Calibri" w:hAnsi="Calibri"/>
                <w:sz w:val="18"/>
                <w:szCs w:val="18"/>
              </w:rPr>
            </w:pPr>
          </w:p>
        </w:tc>
        <w:tc>
          <w:tcPr>
            <w:tcW w:w="1418" w:type="dxa"/>
            <w:vAlign w:val="center"/>
          </w:tcPr>
          <w:p w14:paraId="1F6BC7BE">
            <w:pPr>
              <w:jc w:val="right"/>
              <w:rPr>
                <w:rFonts w:ascii="Calibri" w:hAnsi="Calibri"/>
                <w:sz w:val="18"/>
                <w:szCs w:val="18"/>
              </w:rPr>
            </w:pPr>
          </w:p>
        </w:tc>
        <w:tc>
          <w:tcPr>
            <w:tcW w:w="1275" w:type="dxa"/>
            <w:vAlign w:val="center"/>
          </w:tcPr>
          <w:p w14:paraId="53571FBE">
            <w:pPr>
              <w:jc w:val="right"/>
              <w:rPr>
                <w:rFonts w:ascii="Calibri" w:hAnsi="Calibri"/>
                <w:sz w:val="18"/>
                <w:szCs w:val="18"/>
              </w:rPr>
            </w:pPr>
          </w:p>
        </w:tc>
        <w:tc>
          <w:tcPr>
            <w:tcW w:w="1560" w:type="dxa"/>
            <w:vAlign w:val="center"/>
          </w:tcPr>
          <w:p w14:paraId="3742CCAA">
            <w:pPr>
              <w:jc w:val="right"/>
              <w:rPr>
                <w:rFonts w:ascii="Calibri" w:hAnsi="Calibri"/>
                <w:sz w:val="18"/>
                <w:szCs w:val="18"/>
              </w:rPr>
            </w:pPr>
          </w:p>
        </w:tc>
        <w:tc>
          <w:tcPr>
            <w:tcW w:w="1559" w:type="dxa"/>
            <w:vAlign w:val="center"/>
          </w:tcPr>
          <w:p w14:paraId="0FC7E4EB">
            <w:pPr>
              <w:jc w:val="right"/>
              <w:rPr>
                <w:rFonts w:ascii="Calibri" w:hAnsi="Calibri"/>
                <w:sz w:val="18"/>
                <w:szCs w:val="18"/>
              </w:rPr>
            </w:pPr>
          </w:p>
        </w:tc>
        <w:tc>
          <w:tcPr>
            <w:tcW w:w="1559" w:type="dxa"/>
            <w:vAlign w:val="center"/>
          </w:tcPr>
          <w:p w14:paraId="1DABDEC4">
            <w:pPr>
              <w:jc w:val="right"/>
              <w:rPr>
                <w:rFonts w:ascii="Calibri" w:hAnsi="Calibri"/>
                <w:sz w:val="18"/>
                <w:szCs w:val="18"/>
              </w:rPr>
            </w:pPr>
          </w:p>
        </w:tc>
        <w:tc>
          <w:tcPr>
            <w:tcW w:w="1276" w:type="dxa"/>
            <w:vAlign w:val="center"/>
          </w:tcPr>
          <w:p w14:paraId="5F7C4AFF">
            <w:pPr>
              <w:jc w:val="right"/>
              <w:rPr>
                <w:rFonts w:ascii="Calibri" w:hAnsi="Calibri"/>
                <w:sz w:val="18"/>
                <w:szCs w:val="18"/>
              </w:rPr>
            </w:pPr>
          </w:p>
        </w:tc>
        <w:tc>
          <w:tcPr>
            <w:tcW w:w="1559" w:type="dxa"/>
            <w:vAlign w:val="center"/>
          </w:tcPr>
          <w:p w14:paraId="3A2A42BD">
            <w:pPr>
              <w:jc w:val="right"/>
              <w:rPr>
                <w:rFonts w:ascii="Calibri" w:hAnsi="Calibri"/>
                <w:sz w:val="18"/>
                <w:szCs w:val="18"/>
              </w:rPr>
            </w:pPr>
          </w:p>
        </w:tc>
      </w:tr>
      <w:tr w14:paraId="7704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f2b570df754e85bb72c0f63cdd3f1c"/>
            <w:id w:val="-1263220764"/>
          </w:sdtPr>
          <w:sdtContent>
            <w:tc>
              <w:tcPr>
                <w:tcW w:w="1702" w:type="dxa"/>
                <w:vAlign w:val="center"/>
              </w:tcPr>
              <w:p w14:paraId="6E64A18A">
                <w:pPr>
                  <w:rPr>
                    <w:rFonts w:ascii="Calibri" w:hAnsi="Calibri"/>
                    <w:sz w:val="18"/>
                    <w:szCs w:val="18"/>
                  </w:rPr>
                </w:pPr>
                <w:r>
                  <w:rPr>
                    <w:rFonts w:ascii="Calibri" w:hAnsi="Calibri"/>
                    <w:sz w:val="18"/>
                    <w:szCs w:val="18"/>
                  </w:rPr>
                  <w:t>3．盈余公积弥补亏损</w:t>
                </w:r>
              </w:p>
            </w:tc>
          </w:sdtContent>
        </w:sdt>
        <w:tc>
          <w:tcPr>
            <w:tcW w:w="1559" w:type="dxa"/>
            <w:vAlign w:val="center"/>
          </w:tcPr>
          <w:p w14:paraId="553D8E32">
            <w:pPr>
              <w:jc w:val="right"/>
              <w:rPr>
                <w:rFonts w:ascii="Calibri" w:hAnsi="Calibri"/>
                <w:sz w:val="18"/>
                <w:szCs w:val="18"/>
              </w:rPr>
            </w:pPr>
          </w:p>
        </w:tc>
        <w:tc>
          <w:tcPr>
            <w:tcW w:w="284" w:type="dxa"/>
            <w:vAlign w:val="center"/>
          </w:tcPr>
          <w:p w14:paraId="441C1E7A">
            <w:pPr>
              <w:jc w:val="right"/>
              <w:rPr>
                <w:rFonts w:ascii="Calibri" w:hAnsi="Calibri"/>
                <w:sz w:val="18"/>
                <w:szCs w:val="18"/>
              </w:rPr>
            </w:pPr>
          </w:p>
        </w:tc>
        <w:tc>
          <w:tcPr>
            <w:tcW w:w="425" w:type="dxa"/>
            <w:vAlign w:val="center"/>
          </w:tcPr>
          <w:p w14:paraId="12AC1977">
            <w:pPr>
              <w:jc w:val="right"/>
              <w:rPr>
                <w:rFonts w:ascii="Calibri" w:hAnsi="Calibri"/>
                <w:sz w:val="18"/>
                <w:szCs w:val="18"/>
              </w:rPr>
            </w:pPr>
          </w:p>
        </w:tc>
        <w:tc>
          <w:tcPr>
            <w:tcW w:w="284" w:type="dxa"/>
            <w:vAlign w:val="center"/>
          </w:tcPr>
          <w:p w14:paraId="5429EF69">
            <w:pPr>
              <w:jc w:val="right"/>
              <w:rPr>
                <w:rFonts w:ascii="Calibri" w:hAnsi="Calibri"/>
                <w:sz w:val="18"/>
                <w:szCs w:val="18"/>
              </w:rPr>
            </w:pPr>
          </w:p>
        </w:tc>
        <w:tc>
          <w:tcPr>
            <w:tcW w:w="1417" w:type="dxa"/>
            <w:vAlign w:val="center"/>
          </w:tcPr>
          <w:p w14:paraId="212C0EEE">
            <w:pPr>
              <w:jc w:val="right"/>
              <w:rPr>
                <w:rFonts w:ascii="Calibri" w:hAnsi="Calibri"/>
                <w:sz w:val="18"/>
                <w:szCs w:val="18"/>
              </w:rPr>
            </w:pPr>
          </w:p>
        </w:tc>
        <w:tc>
          <w:tcPr>
            <w:tcW w:w="1418" w:type="dxa"/>
            <w:vAlign w:val="center"/>
          </w:tcPr>
          <w:p w14:paraId="7DF28DBE">
            <w:pPr>
              <w:jc w:val="right"/>
              <w:rPr>
                <w:rFonts w:ascii="Calibri" w:hAnsi="Calibri"/>
                <w:sz w:val="18"/>
                <w:szCs w:val="18"/>
              </w:rPr>
            </w:pPr>
          </w:p>
        </w:tc>
        <w:tc>
          <w:tcPr>
            <w:tcW w:w="1275" w:type="dxa"/>
            <w:vAlign w:val="center"/>
          </w:tcPr>
          <w:p w14:paraId="1FADE78D">
            <w:pPr>
              <w:jc w:val="right"/>
              <w:rPr>
                <w:rFonts w:ascii="Calibri" w:hAnsi="Calibri"/>
                <w:sz w:val="18"/>
                <w:szCs w:val="18"/>
              </w:rPr>
            </w:pPr>
          </w:p>
        </w:tc>
        <w:tc>
          <w:tcPr>
            <w:tcW w:w="1560" w:type="dxa"/>
            <w:vAlign w:val="center"/>
          </w:tcPr>
          <w:p w14:paraId="08631195">
            <w:pPr>
              <w:jc w:val="right"/>
              <w:rPr>
                <w:rFonts w:ascii="Calibri" w:hAnsi="Calibri"/>
                <w:sz w:val="18"/>
                <w:szCs w:val="18"/>
              </w:rPr>
            </w:pPr>
          </w:p>
        </w:tc>
        <w:tc>
          <w:tcPr>
            <w:tcW w:w="1559" w:type="dxa"/>
            <w:vAlign w:val="center"/>
          </w:tcPr>
          <w:p w14:paraId="2FB70347">
            <w:pPr>
              <w:jc w:val="right"/>
              <w:rPr>
                <w:rFonts w:ascii="Calibri" w:hAnsi="Calibri"/>
                <w:sz w:val="18"/>
                <w:szCs w:val="18"/>
              </w:rPr>
            </w:pPr>
          </w:p>
        </w:tc>
        <w:tc>
          <w:tcPr>
            <w:tcW w:w="1559" w:type="dxa"/>
            <w:vAlign w:val="center"/>
          </w:tcPr>
          <w:p w14:paraId="5A8B5452">
            <w:pPr>
              <w:jc w:val="right"/>
              <w:rPr>
                <w:rFonts w:ascii="Calibri" w:hAnsi="Calibri"/>
                <w:sz w:val="18"/>
                <w:szCs w:val="18"/>
              </w:rPr>
            </w:pPr>
          </w:p>
        </w:tc>
        <w:tc>
          <w:tcPr>
            <w:tcW w:w="1276" w:type="dxa"/>
            <w:vAlign w:val="center"/>
          </w:tcPr>
          <w:p w14:paraId="53F8B01D">
            <w:pPr>
              <w:jc w:val="right"/>
              <w:rPr>
                <w:rFonts w:ascii="Calibri" w:hAnsi="Calibri"/>
                <w:sz w:val="18"/>
                <w:szCs w:val="18"/>
              </w:rPr>
            </w:pPr>
          </w:p>
        </w:tc>
        <w:tc>
          <w:tcPr>
            <w:tcW w:w="1559" w:type="dxa"/>
            <w:vAlign w:val="center"/>
          </w:tcPr>
          <w:p w14:paraId="71C48583">
            <w:pPr>
              <w:jc w:val="right"/>
              <w:rPr>
                <w:rFonts w:ascii="Calibri" w:hAnsi="Calibri"/>
                <w:sz w:val="18"/>
                <w:szCs w:val="18"/>
              </w:rPr>
            </w:pPr>
          </w:p>
        </w:tc>
      </w:tr>
      <w:tr w14:paraId="7833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sdt>
            <w:sdtPr>
              <w:tag w:val="_PLD_88022ba02c7c4775ba5e9f75f6b07fa4"/>
              <w:id w:val="-387570459"/>
            </w:sdtPr>
            <w:sdtContent>
              <w:p w14:paraId="540C16C9">
                <w:pPr>
                  <w:pStyle w:val="48"/>
                  <w:rPr>
                    <w:sz w:val="20"/>
                    <w:szCs w:val="20"/>
                  </w:rPr>
                </w:pPr>
                <w:r>
                  <w:rPr>
                    <w:sz w:val="18"/>
                    <w:szCs w:val="18"/>
                  </w:rPr>
                  <w:t>4．设定受益计划变动额结转留存收益</w:t>
                </w:r>
              </w:p>
            </w:sdtContent>
          </w:sdt>
        </w:tc>
        <w:tc>
          <w:tcPr>
            <w:tcW w:w="1559" w:type="dxa"/>
            <w:vAlign w:val="center"/>
          </w:tcPr>
          <w:p w14:paraId="17FC3BBB">
            <w:pPr>
              <w:jc w:val="right"/>
              <w:rPr>
                <w:rFonts w:ascii="Calibri" w:hAnsi="Calibri"/>
                <w:sz w:val="18"/>
                <w:szCs w:val="18"/>
              </w:rPr>
            </w:pPr>
          </w:p>
        </w:tc>
        <w:tc>
          <w:tcPr>
            <w:tcW w:w="284" w:type="dxa"/>
            <w:vAlign w:val="center"/>
          </w:tcPr>
          <w:p w14:paraId="77D34592">
            <w:pPr>
              <w:jc w:val="right"/>
              <w:rPr>
                <w:rFonts w:ascii="Calibri" w:hAnsi="Calibri"/>
                <w:sz w:val="18"/>
                <w:szCs w:val="18"/>
              </w:rPr>
            </w:pPr>
          </w:p>
        </w:tc>
        <w:tc>
          <w:tcPr>
            <w:tcW w:w="425" w:type="dxa"/>
            <w:vAlign w:val="center"/>
          </w:tcPr>
          <w:p w14:paraId="33A5B47D">
            <w:pPr>
              <w:jc w:val="right"/>
              <w:rPr>
                <w:rFonts w:ascii="Calibri" w:hAnsi="Calibri"/>
                <w:sz w:val="18"/>
                <w:szCs w:val="18"/>
              </w:rPr>
            </w:pPr>
          </w:p>
        </w:tc>
        <w:tc>
          <w:tcPr>
            <w:tcW w:w="284" w:type="dxa"/>
            <w:vAlign w:val="center"/>
          </w:tcPr>
          <w:p w14:paraId="1B90FB99">
            <w:pPr>
              <w:jc w:val="right"/>
              <w:rPr>
                <w:rFonts w:ascii="Calibri" w:hAnsi="Calibri"/>
                <w:sz w:val="18"/>
                <w:szCs w:val="18"/>
              </w:rPr>
            </w:pPr>
          </w:p>
        </w:tc>
        <w:tc>
          <w:tcPr>
            <w:tcW w:w="1417" w:type="dxa"/>
            <w:vAlign w:val="center"/>
          </w:tcPr>
          <w:p w14:paraId="372A621B">
            <w:pPr>
              <w:jc w:val="right"/>
              <w:rPr>
                <w:rFonts w:ascii="Calibri" w:hAnsi="Calibri"/>
                <w:sz w:val="18"/>
                <w:szCs w:val="18"/>
              </w:rPr>
            </w:pPr>
          </w:p>
        </w:tc>
        <w:tc>
          <w:tcPr>
            <w:tcW w:w="1418" w:type="dxa"/>
            <w:vAlign w:val="center"/>
          </w:tcPr>
          <w:p w14:paraId="70B02971">
            <w:pPr>
              <w:jc w:val="right"/>
              <w:rPr>
                <w:rFonts w:ascii="Calibri" w:hAnsi="Calibri"/>
                <w:sz w:val="18"/>
                <w:szCs w:val="18"/>
              </w:rPr>
            </w:pPr>
          </w:p>
        </w:tc>
        <w:tc>
          <w:tcPr>
            <w:tcW w:w="1275" w:type="dxa"/>
            <w:vAlign w:val="center"/>
          </w:tcPr>
          <w:p w14:paraId="09E83F3A">
            <w:pPr>
              <w:jc w:val="right"/>
              <w:rPr>
                <w:rFonts w:ascii="Calibri" w:hAnsi="Calibri"/>
                <w:sz w:val="18"/>
                <w:szCs w:val="18"/>
              </w:rPr>
            </w:pPr>
          </w:p>
        </w:tc>
        <w:tc>
          <w:tcPr>
            <w:tcW w:w="1560" w:type="dxa"/>
            <w:vAlign w:val="center"/>
          </w:tcPr>
          <w:p w14:paraId="4A8FCDBF">
            <w:pPr>
              <w:jc w:val="right"/>
              <w:rPr>
                <w:rFonts w:ascii="Calibri" w:hAnsi="Calibri"/>
                <w:sz w:val="18"/>
                <w:szCs w:val="18"/>
              </w:rPr>
            </w:pPr>
          </w:p>
        </w:tc>
        <w:tc>
          <w:tcPr>
            <w:tcW w:w="1559" w:type="dxa"/>
            <w:vAlign w:val="center"/>
          </w:tcPr>
          <w:p w14:paraId="3D784142">
            <w:pPr>
              <w:jc w:val="right"/>
              <w:rPr>
                <w:rFonts w:ascii="Calibri" w:hAnsi="Calibri"/>
                <w:sz w:val="18"/>
                <w:szCs w:val="18"/>
              </w:rPr>
            </w:pPr>
          </w:p>
        </w:tc>
        <w:tc>
          <w:tcPr>
            <w:tcW w:w="1559" w:type="dxa"/>
            <w:vAlign w:val="center"/>
          </w:tcPr>
          <w:p w14:paraId="0F0BC512">
            <w:pPr>
              <w:jc w:val="right"/>
              <w:rPr>
                <w:rFonts w:ascii="Calibri" w:hAnsi="Calibri"/>
                <w:sz w:val="18"/>
                <w:szCs w:val="18"/>
              </w:rPr>
            </w:pPr>
          </w:p>
        </w:tc>
        <w:tc>
          <w:tcPr>
            <w:tcW w:w="1276" w:type="dxa"/>
            <w:vAlign w:val="center"/>
          </w:tcPr>
          <w:p w14:paraId="0C1C0031">
            <w:pPr>
              <w:jc w:val="right"/>
              <w:rPr>
                <w:rFonts w:ascii="Calibri" w:hAnsi="Calibri"/>
                <w:sz w:val="18"/>
                <w:szCs w:val="18"/>
              </w:rPr>
            </w:pPr>
          </w:p>
        </w:tc>
        <w:tc>
          <w:tcPr>
            <w:tcW w:w="1559" w:type="dxa"/>
            <w:vAlign w:val="center"/>
          </w:tcPr>
          <w:p w14:paraId="07EAE438">
            <w:pPr>
              <w:jc w:val="right"/>
              <w:rPr>
                <w:rFonts w:ascii="Calibri" w:hAnsi="Calibri"/>
                <w:sz w:val="18"/>
                <w:szCs w:val="18"/>
              </w:rPr>
            </w:pPr>
          </w:p>
        </w:tc>
      </w:tr>
      <w:tr w14:paraId="2142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vAlign w:val="center"/>
          </w:tcPr>
          <w:sdt>
            <w:sdtPr>
              <w:tag w:val="_PLD_0259028a18dd4c059a8b77a9e4fe86f9"/>
              <w:id w:val="-1518692369"/>
            </w:sdtPr>
            <w:sdtContent>
              <w:p w14:paraId="216CC434">
                <w:pPr>
                  <w:rPr>
                    <w:rFonts w:ascii="Calibri" w:hAnsi="Calibri"/>
                    <w:sz w:val="18"/>
                    <w:szCs w:val="18"/>
                  </w:rPr>
                </w:pPr>
                <w:r>
                  <w:rPr>
                    <w:rFonts w:ascii="Calibri" w:hAnsi="Calibri"/>
                    <w:sz w:val="18"/>
                    <w:szCs w:val="18"/>
                  </w:rPr>
                  <w:t>5．其他综合收益结转留存收益</w:t>
                </w:r>
              </w:p>
            </w:sdtContent>
          </w:sdt>
        </w:tc>
        <w:tc>
          <w:tcPr>
            <w:tcW w:w="1559" w:type="dxa"/>
            <w:vAlign w:val="center"/>
          </w:tcPr>
          <w:p w14:paraId="087D909C">
            <w:pPr>
              <w:jc w:val="right"/>
              <w:rPr>
                <w:rFonts w:ascii="Calibri" w:hAnsi="Calibri"/>
                <w:sz w:val="18"/>
                <w:szCs w:val="18"/>
              </w:rPr>
            </w:pPr>
          </w:p>
        </w:tc>
        <w:tc>
          <w:tcPr>
            <w:tcW w:w="284" w:type="dxa"/>
            <w:vAlign w:val="center"/>
          </w:tcPr>
          <w:p w14:paraId="046F0FA2">
            <w:pPr>
              <w:jc w:val="right"/>
              <w:rPr>
                <w:rFonts w:ascii="Calibri" w:hAnsi="Calibri"/>
                <w:sz w:val="18"/>
                <w:szCs w:val="18"/>
              </w:rPr>
            </w:pPr>
          </w:p>
        </w:tc>
        <w:tc>
          <w:tcPr>
            <w:tcW w:w="425" w:type="dxa"/>
            <w:vAlign w:val="center"/>
          </w:tcPr>
          <w:p w14:paraId="1E015EE8">
            <w:pPr>
              <w:jc w:val="right"/>
              <w:rPr>
                <w:rFonts w:ascii="Calibri" w:hAnsi="Calibri"/>
                <w:sz w:val="18"/>
                <w:szCs w:val="18"/>
              </w:rPr>
            </w:pPr>
          </w:p>
        </w:tc>
        <w:tc>
          <w:tcPr>
            <w:tcW w:w="284" w:type="dxa"/>
            <w:vAlign w:val="center"/>
          </w:tcPr>
          <w:p w14:paraId="3415EC75">
            <w:pPr>
              <w:jc w:val="right"/>
              <w:rPr>
                <w:rFonts w:ascii="Calibri" w:hAnsi="Calibri"/>
                <w:sz w:val="18"/>
                <w:szCs w:val="18"/>
              </w:rPr>
            </w:pPr>
          </w:p>
        </w:tc>
        <w:tc>
          <w:tcPr>
            <w:tcW w:w="1417" w:type="dxa"/>
            <w:vAlign w:val="center"/>
          </w:tcPr>
          <w:p w14:paraId="33C897E3">
            <w:pPr>
              <w:jc w:val="right"/>
              <w:rPr>
                <w:rFonts w:ascii="Calibri" w:hAnsi="Calibri"/>
                <w:sz w:val="18"/>
                <w:szCs w:val="18"/>
              </w:rPr>
            </w:pPr>
          </w:p>
        </w:tc>
        <w:tc>
          <w:tcPr>
            <w:tcW w:w="1418" w:type="dxa"/>
            <w:vAlign w:val="center"/>
          </w:tcPr>
          <w:p w14:paraId="3429B03E">
            <w:pPr>
              <w:jc w:val="right"/>
              <w:rPr>
                <w:rFonts w:ascii="Calibri" w:hAnsi="Calibri"/>
                <w:sz w:val="18"/>
                <w:szCs w:val="18"/>
              </w:rPr>
            </w:pPr>
          </w:p>
        </w:tc>
        <w:tc>
          <w:tcPr>
            <w:tcW w:w="1275" w:type="dxa"/>
            <w:vAlign w:val="center"/>
          </w:tcPr>
          <w:p w14:paraId="72612438">
            <w:pPr>
              <w:jc w:val="right"/>
              <w:rPr>
                <w:rFonts w:ascii="Calibri" w:hAnsi="Calibri"/>
                <w:sz w:val="18"/>
                <w:szCs w:val="18"/>
              </w:rPr>
            </w:pPr>
          </w:p>
        </w:tc>
        <w:tc>
          <w:tcPr>
            <w:tcW w:w="1560" w:type="dxa"/>
            <w:vAlign w:val="center"/>
          </w:tcPr>
          <w:p w14:paraId="4B7F3C5B">
            <w:pPr>
              <w:jc w:val="right"/>
              <w:rPr>
                <w:rFonts w:ascii="Calibri" w:hAnsi="Calibri"/>
                <w:sz w:val="18"/>
                <w:szCs w:val="18"/>
              </w:rPr>
            </w:pPr>
          </w:p>
        </w:tc>
        <w:tc>
          <w:tcPr>
            <w:tcW w:w="1559" w:type="dxa"/>
            <w:vAlign w:val="center"/>
          </w:tcPr>
          <w:p w14:paraId="1F4B2E77">
            <w:pPr>
              <w:jc w:val="right"/>
              <w:rPr>
                <w:rFonts w:ascii="Calibri" w:hAnsi="Calibri"/>
                <w:sz w:val="18"/>
                <w:szCs w:val="18"/>
              </w:rPr>
            </w:pPr>
          </w:p>
        </w:tc>
        <w:tc>
          <w:tcPr>
            <w:tcW w:w="1559" w:type="dxa"/>
            <w:vAlign w:val="center"/>
          </w:tcPr>
          <w:p w14:paraId="0484FFEC">
            <w:pPr>
              <w:jc w:val="right"/>
              <w:rPr>
                <w:rFonts w:ascii="Calibri" w:hAnsi="Calibri"/>
                <w:sz w:val="18"/>
                <w:szCs w:val="18"/>
              </w:rPr>
            </w:pPr>
          </w:p>
        </w:tc>
        <w:tc>
          <w:tcPr>
            <w:tcW w:w="1276" w:type="dxa"/>
            <w:vAlign w:val="center"/>
          </w:tcPr>
          <w:p w14:paraId="74F69660">
            <w:pPr>
              <w:jc w:val="right"/>
              <w:rPr>
                <w:rFonts w:ascii="Calibri" w:hAnsi="Calibri"/>
                <w:sz w:val="18"/>
                <w:szCs w:val="18"/>
              </w:rPr>
            </w:pPr>
          </w:p>
        </w:tc>
        <w:tc>
          <w:tcPr>
            <w:tcW w:w="1559" w:type="dxa"/>
            <w:vAlign w:val="center"/>
          </w:tcPr>
          <w:p w14:paraId="190EB419">
            <w:pPr>
              <w:jc w:val="right"/>
              <w:rPr>
                <w:rFonts w:ascii="Calibri" w:hAnsi="Calibri"/>
                <w:sz w:val="18"/>
                <w:szCs w:val="18"/>
              </w:rPr>
            </w:pPr>
          </w:p>
        </w:tc>
      </w:tr>
      <w:tr w14:paraId="7E99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44253ac18b45ceaa765e5b2f55d052"/>
            <w:id w:val="-32730665"/>
          </w:sdtPr>
          <w:sdtContent>
            <w:tc>
              <w:tcPr>
                <w:tcW w:w="1702" w:type="dxa"/>
                <w:vAlign w:val="center"/>
              </w:tcPr>
              <w:p w14:paraId="7F94AABA">
                <w:pPr>
                  <w:rPr>
                    <w:rFonts w:ascii="Calibri" w:hAnsi="Calibri"/>
                    <w:sz w:val="18"/>
                    <w:szCs w:val="18"/>
                  </w:rPr>
                </w:pPr>
                <w:r>
                  <w:rPr>
                    <w:rFonts w:ascii="Calibri" w:hAnsi="Calibri"/>
                    <w:sz w:val="18"/>
                    <w:szCs w:val="18"/>
                  </w:rPr>
                  <w:t>6．其他</w:t>
                </w:r>
              </w:p>
            </w:tc>
          </w:sdtContent>
        </w:sdt>
        <w:tc>
          <w:tcPr>
            <w:tcW w:w="1559" w:type="dxa"/>
            <w:vAlign w:val="center"/>
          </w:tcPr>
          <w:p w14:paraId="076C5B07">
            <w:pPr>
              <w:jc w:val="right"/>
              <w:rPr>
                <w:rFonts w:ascii="Calibri" w:hAnsi="Calibri"/>
                <w:sz w:val="18"/>
                <w:szCs w:val="18"/>
              </w:rPr>
            </w:pPr>
          </w:p>
        </w:tc>
        <w:tc>
          <w:tcPr>
            <w:tcW w:w="284" w:type="dxa"/>
            <w:vAlign w:val="center"/>
          </w:tcPr>
          <w:p w14:paraId="52A48656">
            <w:pPr>
              <w:jc w:val="right"/>
              <w:rPr>
                <w:rFonts w:ascii="Calibri" w:hAnsi="Calibri"/>
                <w:sz w:val="18"/>
                <w:szCs w:val="18"/>
              </w:rPr>
            </w:pPr>
          </w:p>
        </w:tc>
        <w:tc>
          <w:tcPr>
            <w:tcW w:w="425" w:type="dxa"/>
            <w:vAlign w:val="center"/>
          </w:tcPr>
          <w:p w14:paraId="5CBF4D12">
            <w:pPr>
              <w:jc w:val="right"/>
              <w:rPr>
                <w:rFonts w:ascii="Calibri" w:hAnsi="Calibri"/>
                <w:sz w:val="18"/>
                <w:szCs w:val="18"/>
              </w:rPr>
            </w:pPr>
          </w:p>
        </w:tc>
        <w:tc>
          <w:tcPr>
            <w:tcW w:w="284" w:type="dxa"/>
            <w:vAlign w:val="center"/>
          </w:tcPr>
          <w:p w14:paraId="7CB41766">
            <w:pPr>
              <w:jc w:val="right"/>
              <w:rPr>
                <w:rFonts w:ascii="Calibri" w:hAnsi="Calibri"/>
                <w:sz w:val="18"/>
                <w:szCs w:val="18"/>
              </w:rPr>
            </w:pPr>
          </w:p>
        </w:tc>
        <w:tc>
          <w:tcPr>
            <w:tcW w:w="1417" w:type="dxa"/>
            <w:vAlign w:val="center"/>
          </w:tcPr>
          <w:p w14:paraId="6B10E4D3">
            <w:pPr>
              <w:jc w:val="right"/>
              <w:rPr>
                <w:rFonts w:ascii="Calibri" w:hAnsi="Calibri"/>
                <w:sz w:val="18"/>
                <w:szCs w:val="18"/>
              </w:rPr>
            </w:pPr>
          </w:p>
        </w:tc>
        <w:tc>
          <w:tcPr>
            <w:tcW w:w="1418" w:type="dxa"/>
            <w:vAlign w:val="center"/>
          </w:tcPr>
          <w:p w14:paraId="36C91A5B">
            <w:pPr>
              <w:jc w:val="right"/>
              <w:rPr>
                <w:rFonts w:ascii="Calibri" w:hAnsi="Calibri"/>
                <w:sz w:val="18"/>
                <w:szCs w:val="18"/>
              </w:rPr>
            </w:pPr>
          </w:p>
        </w:tc>
        <w:tc>
          <w:tcPr>
            <w:tcW w:w="1275" w:type="dxa"/>
            <w:vAlign w:val="center"/>
          </w:tcPr>
          <w:p w14:paraId="0FA768E2">
            <w:pPr>
              <w:jc w:val="right"/>
              <w:rPr>
                <w:rFonts w:ascii="Calibri" w:hAnsi="Calibri"/>
                <w:sz w:val="18"/>
                <w:szCs w:val="18"/>
              </w:rPr>
            </w:pPr>
          </w:p>
        </w:tc>
        <w:tc>
          <w:tcPr>
            <w:tcW w:w="1560" w:type="dxa"/>
            <w:vAlign w:val="center"/>
          </w:tcPr>
          <w:p w14:paraId="239BE30C">
            <w:pPr>
              <w:jc w:val="right"/>
              <w:rPr>
                <w:rFonts w:ascii="Calibri" w:hAnsi="Calibri"/>
                <w:sz w:val="18"/>
                <w:szCs w:val="18"/>
              </w:rPr>
            </w:pPr>
          </w:p>
        </w:tc>
        <w:tc>
          <w:tcPr>
            <w:tcW w:w="1559" w:type="dxa"/>
            <w:vAlign w:val="center"/>
          </w:tcPr>
          <w:p w14:paraId="08AAF6F6">
            <w:pPr>
              <w:jc w:val="right"/>
              <w:rPr>
                <w:rFonts w:ascii="Calibri" w:hAnsi="Calibri"/>
                <w:sz w:val="18"/>
                <w:szCs w:val="18"/>
              </w:rPr>
            </w:pPr>
          </w:p>
        </w:tc>
        <w:tc>
          <w:tcPr>
            <w:tcW w:w="1559" w:type="dxa"/>
            <w:vAlign w:val="center"/>
          </w:tcPr>
          <w:p w14:paraId="70FD02F2">
            <w:pPr>
              <w:jc w:val="right"/>
              <w:rPr>
                <w:rFonts w:ascii="Calibri" w:hAnsi="Calibri"/>
                <w:sz w:val="18"/>
                <w:szCs w:val="18"/>
              </w:rPr>
            </w:pPr>
          </w:p>
        </w:tc>
        <w:tc>
          <w:tcPr>
            <w:tcW w:w="1276" w:type="dxa"/>
            <w:vAlign w:val="center"/>
          </w:tcPr>
          <w:p w14:paraId="218AC18B">
            <w:pPr>
              <w:jc w:val="right"/>
              <w:rPr>
                <w:rFonts w:ascii="Calibri" w:hAnsi="Calibri"/>
                <w:sz w:val="18"/>
                <w:szCs w:val="18"/>
              </w:rPr>
            </w:pPr>
          </w:p>
        </w:tc>
        <w:tc>
          <w:tcPr>
            <w:tcW w:w="1559" w:type="dxa"/>
            <w:vAlign w:val="center"/>
          </w:tcPr>
          <w:p w14:paraId="4E077C60">
            <w:pPr>
              <w:jc w:val="right"/>
              <w:rPr>
                <w:rFonts w:ascii="Calibri" w:hAnsi="Calibri"/>
                <w:sz w:val="18"/>
                <w:szCs w:val="18"/>
              </w:rPr>
            </w:pPr>
          </w:p>
        </w:tc>
      </w:tr>
      <w:tr w14:paraId="5084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bbf2260615f4991a49bda77fd1fc28b"/>
            <w:id w:val="1089738807"/>
          </w:sdtPr>
          <w:sdtContent>
            <w:tc>
              <w:tcPr>
                <w:tcW w:w="1702" w:type="dxa"/>
                <w:vAlign w:val="center"/>
              </w:tcPr>
              <w:p w14:paraId="64358C49">
                <w:pPr>
                  <w:rPr>
                    <w:rFonts w:ascii="Calibri" w:hAnsi="Calibri"/>
                    <w:sz w:val="18"/>
                    <w:szCs w:val="18"/>
                  </w:rPr>
                </w:pPr>
                <w:r>
                  <w:rPr>
                    <w:rFonts w:hint="eastAsia" w:ascii="Calibri" w:hAnsi="Calibri"/>
                    <w:sz w:val="18"/>
                    <w:szCs w:val="18"/>
                  </w:rPr>
                  <w:t>（五）专项储备</w:t>
                </w:r>
              </w:p>
            </w:tc>
          </w:sdtContent>
        </w:sdt>
        <w:tc>
          <w:tcPr>
            <w:tcW w:w="1559" w:type="dxa"/>
            <w:vAlign w:val="center"/>
          </w:tcPr>
          <w:p w14:paraId="45AA6DF4">
            <w:pPr>
              <w:jc w:val="right"/>
              <w:rPr>
                <w:rFonts w:ascii="Calibri" w:hAnsi="Calibri"/>
                <w:sz w:val="18"/>
                <w:szCs w:val="18"/>
              </w:rPr>
            </w:pPr>
          </w:p>
        </w:tc>
        <w:tc>
          <w:tcPr>
            <w:tcW w:w="284" w:type="dxa"/>
            <w:vAlign w:val="center"/>
          </w:tcPr>
          <w:p w14:paraId="795851F5">
            <w:pPr>
              <w:jc w:val="right"/>
              <w:rPr>
                <w:rFonts w:ascii="Calibri" w:hAnsi="Calibri"/>
                <w:sz w:val="18"/>
                <w:szCs w:val="18"/>
              </w:rPr>
            </w:pPr>
          </w:p>
        </w:tc>
        <w:tc>
          <w:tcPr>
            <w:tcW w:w="425" w:type="dxa"/>
            <w:vAlign w:val="center"/>
          </w:tcPr>
          <w:p w14:paraId="5268DD3F">
            <w:pPr>
              <w:jc w:val="right"/>
              <w:rPr>
                <w:rFonts w:ascii="Calibri" w:hAnsi="Calibri"/>
                <w:sz w:val="18"/>
                <w:szCs w:val="18"/>
              </w:rPr>
            </w:pPr>
          </w:p>
        </w:tc>
        <w:tc>
          <w:tcPr>
            <w:tcW w:w="284" w:type="dxa"/>
            <w:vAlign w:val="center"/>
          </w:tcPr>
          <w:p w14:paraId="6090CCFD">
            <w:pPr>
              <w:jc w:val="right"/>
              <w:rPr>
                <w:rFonts w:ascii="Calibri" w:hAnsi="Calibri"/>
                <w:sz w:val="18"/>
                <w:szCs w:val="18"/>
              </w:rPr>
            </w:pPr>
          </w:p>
        </w:tc>
        <w:tc>
          <w:tcPr>
            <w:tcW w:w="1417" w:type="dxa"/>
            <w:vAlign w:val="center"/>
          </w:tcPr>
          <w:p w14:paraId="1E676A59">
            <w:pPr>
              <w:jc w:val="right"/>
              <w:rPr>
                <w:rFonts w:ascii="Calibri" w:hAnsi="Calibri"/>
                <w:sz w:val="18"/>
                <w:szCs w:val="18"/>
              </w:rPr>
            </w:pPr>
          </w:p>
        </w:tc>
        <w:tc>
          <w:tcPr>
            <w:tcW w:w="1418" w:type="dxa"/>
            <w:vAlign w:val="center"/>
          </w:tcPr>
          <w:p w14:paraId="1268FED5">
            <w:pPr>
              <w:jc w:val="right"/>
              <w:rPr>
                <w:rFonts w:ascii="Calibri" w:hAnsi="Calibri"/>
                <w:sz w:val="18"/>
                <w:szCs w:val="18"/>
              </w:rPr>
            </w:pPr>
          </w:p>
        </w:tc>
        <w:tc>
          <w:tcPr>
            <w:tcW w:w="1275" w:type="dxa"/>
            <w:vAlign w:val="center"/>
          </w:tcPr>
          <w:p w14:paraId="3CC2ACC8">
            <w:pPr>
              <w:jc w:val="right"/>
              <w:rPr>
                <w:rFonts w:ascii="Calibri" w:hAnsi="Calibri"/>
                <w:sz w:val="18"/>
                <w:szCs w:val="18"/>
              </w:rPr>
            </w:pPr>
          </w:p>
        </w:tc>
        <w:tc>
          <w:tcPr>
            <w:tcW w:w="1560" w:type="dxa"/>
            <w:vAlign w:val="center"/>
          </w:tcPr>
          <w:p w14:paraId="013C435B">
            <w:pPr>
              <w:jc w:val="right"/>
              <w:rPr>
                <w:rFonts w:ascii="Calibri" w:hAnsi="Calibri"/>
                <w:sz w:val="18"/>
                <w:szCs w:val="18"/>
              </w:rPr>
            </w:pPr>
          </w:p>
        </w:tc>
        <w:tc>
          <w:tcPr>
            <w:tcW w:w="1559" w:type="dxa"/>
            <w:vAlign w:val="center"/>
          </w:tcPr>
          <w:p w14:paraId="4594B19C">
            <w:pPr>
              <w:jc w:val="right"/>
              <w:rPr>
                <w:rFonts w:ascii="Calibri" w:hAnsi="Calibri"/>
                <w:sz w:val="18"/>
                <w:szCs w:val="18"/>
              </w:rPr>
            </w:pPr>
          </w:p>
        </w:tc>
        <w:tc>
          <w:tcPr>
            <w:tcW w:w="1559" w:type="dxa"/>
            <w:vAlign w:val="center"/>
          </w:tcPr>
          <w:p w14:paraId="53A8F4CE">
            <w:pPr>
              <w:jc w:val="right"/>
              <w:rPr>
                <w:rFonts w:ascii="Calibri" w:hAnsi="Calibri"/>
                <w:sz w:val="18"/>
                <w:szCs w:val="18"/>
              </w:rPr>
            </w:pPr>
          </w:p>
        </w:tc>
        <w:tc>
          <w:tcPr>
            <w:tcW w:w="1276" w:type="dxa"/>
            <w:vAlign w:val="center"/>
          </w:tcPr>
          <w:p w14:paraId="56BEFAFC">
            <w:pPr>
              <w:jc w:val="right"/>
              <w:rPr>
                <w:rFonts w:ascii="Calibri" w:hAnsi="Calibri"/>
                <w:sz w:val="18"/>
                <w:szCs w:val="18"/>
              </w:rPr>
            </w:pPr>
          </w:p>
        </w:tc>
        <w:tc>
          <w:tcPr>
            <w:tcW w:w="1559" w:type="dxa"/>
            <w:vAlign w:val="center"/>
          </w:tcPr>
          <w:p w14:paraId="19E85061">
            <w:pPr>
              <w:jc w:val="right"/>
              <w:rPr>
                <w:rFonts w:ascii="Calibri" w:hAnsi="Calibri"/>
                <w:sz w:val="18"/>
                <w:szCs w:val="18"/>
              </w:rPr>
            </w:pPr>
          </w:p>
        </w:tc>
      </w:tr>
      <w:tr w14:paraId="6B88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1e833fa15ec452384f3784c7a9b36fe"/>
            <w:id w:val="834113536"/>
          </w:sdtPr>
          <w:sdtContent>
            <w:tc>
              <w:tcPr>
                <w:tcW w:w="1702" w:type="dxa"/>
                <w:vAlign w:val="center"/>
              </w:tcPr>
              <w:p w14:paraId="5A1DD9BC">
                <w:pPr>
                  <w:rPr>
                    <w:rFonts w:ascii="Calibri" w:hAnsi="Calibri"/>
                    <w:sz w:val="18"/>
                    <w:szCs w:val="18"/>
                  </w:rPr>
                </w:pPr>
                <w:r>
                  <w:rPr>
                    <w:rFonts w:hint="eastAsia" w:ascii="Calibri" w:hAnsi="Calibri"/>
                    <w:sz w:val="18"/>
                    <w:szCs w:val="18"/>
                  </w:rPr>
                  <w:t>1．本期提取</w:t>
                </w:r>
              </w:p>
            </w:tc>
          </w:sdtContent>
        </w:sdt>
        <w:tc>
          <w:tcPr>
            <w:tcW w:w="1559" w:type="dxa"/>
            <w:vAlign w:val="center"/>
          </w:tcPr>
          <w:p w14:paraId="7795BC78">
            <w:pPr>
              <w:jc w:val="right"/>
              <w:rPr>
                <w:rFonts w:ascii="Calibri" w:hAnsi="Calibri"/>
                <w:sz w:val="18"/>
                <w:szCs w:val="18"/>
              </w:rPr>
            </w:pPr>
          </w:p>
        </w:tc>
        <w:tc>
          <w:tcPr>
            <w:tcW w:w="284" w:type="dxa"/>
            <w:vAlign w:val="center"/>
          </w:tcPr>
          <w:p w14:paraId="64A17C80">
            <w:pPr>
              <w:jc w:val="right"/>
              <w:rPr>
                <w:rFonts w:ascii="Calibri" w:hAnsi="Calibri"/>
                <w:sz w:val="18"/>
                <w:szCs w:val="18"/>
              </w:rPr>
            </w:pPr>
          </w:p>
        </w:tc>
        <w:tc>
          <w:tcPr>
            <w:tcW w:w="425" w:type="dxa"/>
            <w:vAlign w:val="center"/>
          </w:tcPr>
          <w:p w14:paraId="04773BA4">
            <w:pPr>
              <w:jc w:val="right"/>
              <w:rPr>
                <w:rFonts w:ascii="Calibri" w:hAnsi="Calibri"/>
                <w:sz w:val="18"/>
                <w:szCs w:val="18"/>
              </w:rPr>
            </w:pPr>
          </w:p>
        </w:tc>
        <w:tc>
          <w:tcPr>
            <w:tcW w:w="284" w:type="dxa"/>
            <w:vAlign w:val="center"/>
          </w:tcPr>
          <w:p w14:paraId="1A8B15E5">
            <w:pPr>
              <w:jc w:val="right"/>
              <w:rPr>
                <w:rFonts w:ascii="Calibri" w:hAnsi="Calibri"/>
                <w:sz w:val="18"/>
                <w:szCs w:val="18"/>
              </w:rPr>
            </w:pPr>
          </w:p>
        </w:tc>
        <w:tc>
          <w:tcPr>
            <w:tcW w:w="1417" w:type="dxa"/>
            <w:vAlign w:val="center"/>
          </w:tcPr>
          <w:p w14:paraId="0241ADB9">
            <w:pPr>
              <w:jc w:val="right"/>
              <w:rPr>
                <w:rFonts w:ascii="Calibri" w:hAnsi="Calibri"/>
                <w:sz w:val="18"/>
                <w:szCs w:val="18"/>
              </w:rPr>
            </w:pPr>
          </w:p>
        </w:tc>
        <w:tc>
          <w:tcPr>
            <w:tcW w:w="1418" w:type="dxa"/>
            <w:vAlign w:val="center"/>
          </w:tcPr>
          <w:p w14:paraId="3D04DBFD">
            <w:pPr>
              <w:jc w:val="right"/>
              <w:rPr>
                <w:rFonts w:ascii="Calibri" w:hAnsi="Calibri"/>
                <w:sz w:val="18"/>
                <w:szCs w:val="18"/>
              </w:rPr>
            </w:pPr>
          </w:p>
        </w:tc>
        <w:tc>
          <w:tcPr>
            <w:tcW w:w="1275" w:type="dxa"/>
            <w:vAlign w:val="center"/>
          </w:tcPr>
          <w:p w14:paraId="7E2B84FE">
            <w:pPr>
              <w:jc w:val="right"/>
              <w:rPr>
                <w:rFonts w:ascii="Calibri" w:hAnsi="Calibri"/>
                <w:sz w:val="18"/>
                <w:szCs w:val="18"/>
              </w:rPr>
            </w:pPr>
          </w:p>
        </w:tc>
        <w:tc>
          <w:tcPr>
            <w:tcW w:w="1560" w:type="dxa"/>
            <w:vAlign w:val="center"/>
          </w:tcPr>
          <w:p w14:paraId="5382C2EF">
            <w:pPr>
              <w:jc w:val="right"/>
              <w:rPr>
                <w:rFonts w:ascii="Calibri" w:hAnsi="Calibri"/>
                <w:sz w:val="18"/>
                <w:szCs w:val="18"/>
              </w:rPr>
            </w:pPr>
          </w:p>
        </w:tc>
        <w:tc>
          <w:tcPr>
            <w:tcW w:w="1559" w:type="dxa"/>
            <w:vAlign w:val="center"/>
          </w:tcPr>
          <w:p w14:paraId="404F22C9">
            <w:pPr>
              <w:jc w:val="right"/>
              <w:rPr>
                <w:rFonts w:ascii="Calibri" w:hAnsi="Calibri"/>
                <w:sz w:val="18"/>
                <w:szCs w:val="18"/>
              </w:rPr>
            </w:pPr>
          </w:p>
        </w:tc>
        <w:tc>
          <w:tcPr>
            <w:tcW w:w="1559" w:type="dxa"/>
            <w:vAlign w:val="center"/>
          </w:tcPr>
          <w:p w14:paraId="59918C3A">
            <w:pPr>
              <w:jc w:val="right"/>
              <w:rPr>
                <w:rFonts w:ascii="Calibri" w:hAnsi="Calibri"/>
                <w:sz w:val="18"/>
                <w:szCs w:val="18"/>
              </w:rPr>
            </w:pPr>
          </w:p>
        </w:tc>
        <w:tc>
          <w:tcPr>
            <w:tcW w:w="1276" w:type="dxa"/>
            <w:vAlign w:val="center"/>
          </w:tcPr>
          <w:p w14:paraId="37D74EFD">
            <w:pPr>
              <w:jc w:val="right"/>
              <w:rPr>
                <w:rFonts w:ascii="Calibri" w:hAnsi="Calibri"/>
                <w:sz w:val="18"/>
                <w:szCs w:val="18"/>
              </w:rPr>
            </w:pPr>
          </w:p>
        </w:tc>
        <w:tc>
          <w:tcPr>
            <w:tcW w:w="1559" w:type="dxa"/>
            <w:vAlign w:val="center"/>
          </w:tcPr>
          <w:p w14:paraId="5FBF3616">
            <w:pPr>
              <w:jc w:val="right"/>
              <w:rPr>
                <w:rFonts w:ascii="Calibri" w:hAnsi="Calibri"/>
                <w:sz w:val="18"/>
                <w:szCs w:val="18"/>
              </w:rPr>
            </w:pPr>
          </w:p>
        </w:tc>
      </w:tr>
      <w:tr w14:paraId="531128AF">
        <w:tblPrEx>
          <w:tblCellMar>
            <w:top w:w="0" w:type="dxa"/>
            <w:left w:w="108" w:type="dxa"/>
            <w:bottom w:w="0" w:type="dxa"/>
            <w:right w:w="108" w:type="dxa"/>
          </w:tblCellMar>
        </w:tblPrEx>
        <w:sdt>
          <w:sdtPr>
            <w:tag w:val="_PLD_301fc21ab7954268be9851ddd0cf2d8a"/>
            <w:id w:val="-1155830633"/>
          </w:sdtPr>
          <w:sdtContent>
            <w:tc>
              <w:tcPr>
                <w:tcW w:w="1702" w:type="dxa"/>
                <w:vAlign w:val="center"/>
              </w:tcPr>
              <w:p w14:paraId="4F872067">
                <w:pPr>
                  <w:rPr>
                    <w:rFonts w:ascii="Calibri" w:hAnsi="Calibri"/>
                    <w:sz w:val="18"/>
                    <w:szCs w:val="18"/>
                  </w:rPr>
                </w:pPr>
                <w:r>
                  <w:rPr>
                    <w:rFonts w:hint="eastAsia" w:ascii="Calibri" w:hAnsi="Calibri"/>
                    <w:sz w:val="18"/>
                    <w:szCs w:val="18"/>
                  </w:rPr>
                  <w:t>2．本期使用</w:t>
                </w:r>
              </w:p>
            </w:tc>
          </w:sdtContent>
        </w:sdt>
        <w:tc>
          <w:tcPr>
            <w:tcW w:w="1559" w:type="dxa"/>
            <w:vAlign w:val="center"/>
          </w:tcPr>
          <w:p w14:paraId="797FF60A">
            <w:pPr>
              <w:jc w:val="right"/>
              <w:rPr>
                <w:rFonts w:ascii="Calibri" w:hAnsi="Calibri"/>
                <w:sz w:val="18"/>
                <w:szCs w:val="18"/>
              </w:rPr>
            </w:pPr>
          </w:p>
        </w:tc>
        <w:tc>
          <w:tcPr>
            <w:tcW w:w="284" w:type="dxa"/>
            <w:vAlign w:val="center"/>
          </w:tcPr>
          <w:p w14:paraId="4CAA673D">
            <w:pPr>
              <w:jc w:val="right"/>
              <w:rPr>
                <w:rFonts w:ascii="Calibri" w:hAnsi="Calibri"/>
                <w:sz w:val="18"/>
                <w:szCs w:val="18"/>
              </w:rPr>
            </w:pPr>
          </w:p>
        </w:tc>
        <w:tc>
          <w:tcPr>
            <w:tcW w:w="425" w:type="dxa"/>
            <w:vAlign w:val="center"/>
          </w:tcPr>
          <w:p w14:paraId="36C9AC66">
            <w:pPr>
              <w:jc w:val="right"/>
              <w:rPr>
                <w:rFonts w:ascii="Calibri" w:hAnsi="Calibri"/>
                <w:sz w:val="18"/>
                <w:szCs w:val="18"/>
              </w:rPr>
            </w:pPr>
          </w:p>
        </w:tc>
        <w:tc>
          <w:tcPr>
            <w:tcW w:w="284" w:type="dxa"/>
            <w:vAlign w:val="center"/>
          </w:tcPr>
          <w:p w14:paraId="7299CFEF">
            <w:pPr>
              <w:jc w:val="right"/>
              <w:rPr>
                <w:rFonts w:ascii="Calibri" w:hAnsi="Calibri"/>
                <w:sz w:val="18"/>
                <w:szCs w:val="18"/>
              </w:rPr>
            </w:pPr>
          </w:p>
        </w:tc>
        <w:tc>
          <w:tcPr>
            <w:tcW w:w="1417" w:type="dxa"/>
            <w:vAlign w:val="center"/>
          </w:tcPr>
          <w:p w14:paraId="60E19E26">
            <w:pPr>
              <w:jc w:val="right"/>
              <w:rPr>
                <w:rFonts w:ascii="Calibri" w:hAnsi="Calibri"/>
                <w:sz w:val="18"/>
                <w:szCs w:val="18"/>
              </w:rPr>
            </w:pPr>
          </w:p>
        </w:tc>
        <w:tc>
          <w:tcPr>
            <w:tcW w:w="1418" w:type="dxa"/>
            <w:vAlign w:val="center"/>
          </w:tcPr>
          <w:p w14:paraId="59F584A8">
            <w:pPr>
              <w:jc w:val="right"/>
              <w:rPr>
                <w:rFonts w:ascii="Calibri" w:hAnsi="Calibri"/>
                <w:sz w:val="18"/>
                <w:szCs w:val="18"/>
              </w:rPr>
            </w:pPr>
          </w:p>
        </w:tc>
        <w:tc>
          <w:tcPr>
            <w:tcW w:w="1275" w:type="dxa"/>
            <w:vAlign w:val="center"/>
          </w:tcPr>
          <w:p w14:paraId="4AD17643">
            <w:pPr>
              <w:jc w:val="right"/>
              <w:rPr>
                <w:rFonts w:ascii="Calibri" w:hAnsi="Calibri"/>
                <w:sz w:val="18"/>
                <w:szCs w:val="18"/>
              </w:rPr>
            </w:pPr>
          </w:p>
        </w:tc>
        <w:tc>
          <w:tcPr>
            <w:tcW w:w="1560" w:type="dxa"/>
            <w:vAlign w:val="center"/>
          </w:tcPr>
          <w:p w14:paraId="5112322F">
            <w:pPr>
              <w:jc w:val="right"/>
              <w:rPr>
                <w:rFonts w:ascii="Calibri" w:hAnsi="Calibri"/>
                <w:sz w:val="18"/>
                <w:szCs w:val="18"/>
              </w:rPr>
            </w:pPr>
          </w:p>
        </w:tc>
        <w:tc>
          <w:tcPr>
            <w:tcW w:w="1559" w:type="dxa"/>
            <w:vAlign w:val="center"/>
          </w:tcPr>
          <w:p w14:paraId="38CE1F7C">
            <w:pPr>
              <w:jc w:val="right"/>
              <w:rPr>
                <w:rFonts w:ascii="Calibri" w:hAnsi="Calibri"/>
                <w:sz w:val="18"/>
                <w:szCs w:val="18"/>
              </w:rPr>
            </w:pPr>
          </w:p>
        </w:tc>
        <w:tc>
          <w:tcPr>
            <w:tcW w:w="1559" w:type="dxa"/>
            <w:vAlign w:val="center"/>
          </w:tcPr>
          <w:p w14:paraId="501547E8">
            <w:pPr>
              <w:jc w:val="right"/>
              <w:rPr>
                <w:rFonts w:ascii="Calibri" w:hAnsi="Calibri"/>
                <w:sz w:val="18"/>
                <w:szCs w:val="18"/>
              </w:rPr>
            </w:pPr>
          </w:p>
        </w:tc>
        <w:tc>
          <w:tcPr>
            <w:tcW w:w="1276" w:type="dxa"/>
            <w:vAlign w:val="center"/>
          </w:tcPr>
          <w:p w14:paraId="2316917E">
            <w:pPr>
              <w:jc w:val="right"/>
              <w:rPr>
                <w:rFonts w:ascii="Calibri" w:hAnsi="Calibri"/>
                <w:sz w:val="18"/>
                <w:szCs w:val="18"/>
              </w:rPr>
            </w:pPr>
          </w:p>
        </w:tc>
        <w:tc>
          <w:tcPr>
            <w:tcW w:w="1559" w:type="dxa"/>
            <w:vAlign w:val="center"/>
          </w:tcPr>
          <w:p w14:paraId="36DDC20B">
            <w:pPr>
              <w:jc w:val="right"/>
              <w:rPr>
                <w:rFonts w:ascii="Calibri" w:hAnsi="Calibri"/>
                <w:sz w:val="18"/>
                <w:szCs w:val="18"/>
              </w:rPr>
            </w:pPr>
          </w:p>
        </w:tc>
      </w:tr>
      <w:tr w14:paraId="2884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3b1e5b489b047e98cf38f8c5f130759"/>
            <w:id w:val="646405969"/>
          </w:sdtPr>
          <w:sdtContent>
            <w:tc>
              <w:tcPr>
                <w:tcW w:w="1702" w:type="dxa"/>
                <w:vAlign w:val="center"/>
              </w:tcPr>
              <w:p w14:paraId="467F027F">
                <w:pPr>
                  <w:rPr>
                    <w:rFonts w:ascii="Calibri" w:hAnsi="Calibri"/>
                    <w:sz w:val="18"/>
                    <w:szCs w:val="18"/>
                  </w:rPr>
                </w:pPr>
                <w:r>
                  <w:rPr>
                    <w:rFonts w:hint="eastAsia" w:ascii="Calibri" w:hAnsi="Calibri"/>
                    <w:sz w:val="18"/>
                    <w:szCs w:val="18"/>
                  </w:rPr>
                  <w:t>（六）其他</w:t>
                </w:r>
              </w:p>
            </w:tc>
          </w:sdtContent>
        </w:sdt>
        <w:tc>
          <w:tcPr>
            <w:tcW w:w="1559" w:type="dxa"/>
            <w:vAlign w:val="center"/>
          </w:tcPr>
          <w:p w14:paraId="5E83BEC7">
            <w:pPr>
              <w:jc w:val="right"/>
              <w:rPr>
                <w:rFonts w:ascii="Calibri" w:hAnsi="Calibri"/>
                <w:sz w:val="18"/>
                <w:szCs w:val="18"/>
              </w:rPr>
            </w:pPr>
          </w:p>
        </w:tc>
        <w:tc>
          <w:tcPr>
            <w:tcW w:w="284" w:type="dxa"/>
            <w:vAlign w:val="center"/>
          </w:tcPr>
          <w:p w14:paraId="55D1EB19">
            <w:pPr>
              <w:jc w:val="right"/>
              <w:rPr>
                <w:rFonts w:ascii="Calibri" w:hAnsi="Calibri"/>
                <w:sz w:val="18"/>
                <w:szCs w:val="18"/>
              </w:rPr>
            </w:pPr>
          </w:p>
        </w:tc>
        <w:tc>
          <w:tcPr>
            <w:tcW w:w="425" w:type="dxa"/>
            <w:vAlign w:val="center"/>
          </w:tcPr>
          <w:p w14:paraId="755229D0">
            <w:pPr>
              <w:jc w:val="right"/>
              <w:rPr>
                <w:rFonts w:ascii="Calibri" w:hAnsi="Calibri"/>
                <w:sz w:val="18"/>
                <w:szCs w:val="18"/>
              </w:rPr>
            </w:pPr>
          </w:p>
        </w:tc>
        <w:tc>
          <w:tcPr>
            <w:tcW w:w="284" w:type="dxa"/>
            <w:vAlign w:val="center"/>
          </w:tcPr>
          <w:p w14:paraId="51E3DE4B">
            <w:pPr>
              <w:jc w:val="right"/>
              <w:rPr>
                <w:rFonts w:ascii="Calibri" w:hAnsi="Calibri"/>
                <w:sz w:val="18"/>
                <w:szCs w:val="18"/>
              </w:rPr>
            </w:pPr>
          </w:p>
        </w:tc>
        <w:tc>
          <w:tcPr>
            <w:tcW w:w="1417" w:type="dxa"/>
            <w:vAlign w:val="center"/>
          </w:tcPr>
          <w:p w14:paraId="7B759EE9">
            <w:pPr>
              <w:jc w:val="right"/>
              <w:rPr>
                <w:rFonts w:ascii="Calibri" w:hAnsi="Calibri"/>
                <w:sz w:val="18"/>
                <w:szCs w:val="18"/>
              </w:rPr>
            </w:pPr>
            <w:r>
              <w:rPr>
                <w:rFonts w:ascii="Calibri" w:hAnsi="Calibri"/>
                <w:sz w:val="18"/>
                <w:szCs w:val="18"/>
              </w:rPr>
              <w:t>6,095,976.65</w:t>
            </w:r>
          </w:p>
        </w:tc>
        <w:tc>
          <w:tcPr>
            <w:tcW w:w="1418" w:type="dxa"/>
            <w:vAlign w:val="center"/>
          </w:tcPr>
          <w:p w14:paraId="2B810479">
            <w:pPr>
              <w:jc w:val="right"/>
              <w:rPr>
                <w:rFonts w:ascii="Calibri" w:hAnsi="Calibri"/>
                <w:sz w:val="18"/>
                <w:szCs w:val="18"/>
              </w:rPr>
            </w:pPr>
            <w:r>
              <w:rPr>
                <w:rFonts w:ascii="Calibri" w:hAnsi="Calibri"/>
                <w:sz w:val="18"/>
                <w:szCs w:val="18"/>
              </w:rPr>
              <w:t>300,279,281.09</w:t>
            </w:r>
          </w:p>
        </w:tc>
        <w:tc>
          <w:tcPr>
            <w:tcW w:w="1275" w:type="dxa"/>
            <w:vAlign w:val="center"/>
          </w:tcPr>
          <w:p w14:paraId="1A3A0DC1">
            <w:pPr>
              <w:jc w:val="right"/>
              <w:rPr>
                <w:rFonts w:ascii="Calibri" w:hAnsi="Calibri"/>
                <w:sz w:val="18"/>
                <w:szCs w:val="18"/>
              </w:rPr>
            </w:pPr>
          </w:p>
        </w:tc>
        <w:tc>
          <w:tcPr>
            <w:tcW w:w="1560" w:type="dxa"/>
            <w:vAlign w:val="center"/>
          </w:tcPr>
          <w:p w14:paraId="2F87379A">
            <w:pPr>
              <w:jc w:val="right"/>
              <w:rPr>
                <w:rFonts w:ascii="Calibri" w:hAnsi="Calibri"/>
                <w:sz w:val="18"/>
                <w:szCs w:val="18"/>
              </w:rPr>
            </w:pPr>
          </w:p>
        </w:tc>
        <w:tc>
          <w:tcPr>
            <w:tcW w:w="1559" w:type="dxa"/>
            <w:vAlign w:val="center"/>
          </w:tcPr>
          <w:p w14:paraId="32BDC06D">
            <w:pPr>
              <w:jc w:val="right"/>
              <w:rPr>
                <w:rFonts w:ascii="Calibri" w:hAnsi="Calibri"/>
                <w:sz w:val="18"/>
                <w:szCs w:val="18"/>
              </w:rPr>
            </w:pPr>
          </w:p>
        </w:tc>
        <w:tc>
          <w:tcPr>
            <w:tcW w:w="1559" w:type="dxa"/>
            <w:vAlign w:val="center"/>
          </w:tcPr>
          <w:p w14:paraId="569C7CF5">
            <w:pPr>
              <w:jc w:val="right"/>
              <w:rPr>
                <w:rFonts w:ascii="Calibri" w:hAnsi="Calibri"/>
                <w:sz w:val="18"/>
                <w:szCs w:val="18"/>
              </w:rPr>
            </w:pPr>
            <w:r>
              <w:rPr>
                <w:rFonts w:ascii="Calibri" w:hAnsi="Calibri"/>
                <w:sz w:val="18"/>
                <w:szCs w:val="18"/>
              </w:rPr>
              <w:t>-294,183,304.44</w:t>
            </w:r>
          </w:p>
        </w:tc>
        <w:tc>
          <w:tcPr>
            <w:tcW w:w="1276" w:type="dxa"/>
            <w:vAlign w:val="center"/>
          </w:tcPr>
          <w:p w14:paraId="10F9BFA6">
            <w:pPr>
              <w:jc w:val="right"/>
              <w:rPr>
                <w:rFonts w:ascii="Calibri" w:hAnsi="Calibri"/>
                <w:sz w:val="18"/>
                <w:szCs w:val="18"/>
              </w:rPr>
            </w:pPr>
            <w:r>
              <w:rPr>
                <w:rFonts w:ascii="Calibri" w:hAnsi="Calibri"/>
                <w:sz w:val="18"/>
                <w:szCs w:val="18"/>
              </w:rPr>
              <w:t>450,000.00</w:t>
            </w:r>
          </w:p>
        </w:tc>
        <w:tc>
          <w:tcPr>
            <w:tcW w:w="1559" w:type="dxa"/>
            <w:vAlign w:val="center"/>
          </w:tcPr>
          <w:p w14:paraId="6EB2B945">
            <w:pPr>
              <w:jc w:val="right"/>
              <w:rPr>
                <w:rFonts w:ascii="Calibri" w:hAnsi="Calibri"/>
                <w:sz w:val="18"/>
                <w:szCs w:val="18"/>
              </w:rPr>
            </w:pPr>
            <w:r>
              <w:rPr>
                <w:rFonts w:ascii="Calibri" w:hAnsi="Calibri"/>
                <w:sz w:val="18"/>
                <w:szCs w:val="18"/>
              </w:rPr>
              <w:t>-293,733,304.44</w:t>
            </w:r>
          </w:p>
        </w:tc>
      </w:tr>
      <w:tr w14:paraId="19BF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355d7c321c84166a15737d2581911bf"/>
            <w:id w:val="75260141"/>
          </w:sdtPr>
          <w:sdtContent>
            <w:tc>
              <w:tcPr>
                <w:tcW w:w="1702" w:type="dxa"/>
                <w:vAlign w:val="center"/>
              </w:tcPr>
              <w:p w14:paraId="56823E68">
                <w:pPr>
                  <w:rPr>
                    <w:rFonts w:ascii="Calibri" w:hAnsi="Calibri"/>
                    <w:sz w:val="18"/>
                    <w:szCs w:val="18"/>
                  </w:rPr>
                </w:pPr>
                <w:r>
                  <w:rPr>
                    <w:rFonts w:ascii="Calibri" w:hAnsi="Calibri"/>
                    <w:sz w:val="18"/>
                    <w:szCs w:val="18"/>
                  </w:rPr>
                  <w:t>四、本期期末余额</w:t>
                </w:r>
              </w:p>
            </w:tc>
          </w:sdtContent>
        </w:sdt>
        <w:tc>
          <w:tcPr>
            <w:tcW w:w="1559" w:type="dxa"/>
            <w:vAlign w:val="center"/>
          </w:tcPr>
          <w:p w14:paraId="7F34B976">
            <w:pPr>
              <w:jc w:val="right"/>
              <w:rPr>
                <w:rFonts w:ascii="Calibri" w:hAnsi="Calibri"/>
                <w:sz w:val="18"/>
                <w:szCs w:val="18"/>
              </w:rPr>
            </w:pPr>
            <w:r>
              <w:rPr>
                <w:rFonts w:ascii="Calibri" w:hAnsi="Calibri"/>
                <w:sz w:val="18"/>
                <w:szCs w:val="18"/>
              </w:rPr>
              <w:t>1,981,734,074.00</w:t>
            </w:r>
          </w:p>
        </w:tc>
        <w:tc>
          <w:tcPr>
            <w:tcW w:w="284" w:type="dxa"/>
            <w:vAlign w:val="center"/>
          </w:tcPr>
          <w:p w14:paraId="64712A6D">
            <w:pPr>
              <w:jc w:val="right"/>
              <w:rPr>
                <w:rFonts w:ascii="Calibri" w:hAnsi="Calibri"/>
                <w:sz w:val="18"/>
                <w:szCs w:val="18"/>
              </w:rPr>
            </w:pPr>
          </w:p>
        </w:tc>
        <w:tc>
          <w:tcPr>
            <w:tcW w:w="425" w:type="dxa"/>
            <w:vAlign w:val="center"/>
          </w:tcPr>
          <w:p w14:paraId="461D2FA4">
            <w:pPr>
              <w:jc w:val="right"/>
              <w:rPr>
                <w:rFonts w:ascii="Calibri" w:hAnsi="Calibri"/>
                <w:sz w:val="18"/>
                <w:szCs w:val="18"/>
              </w:rPr>
            </w:pPr>
          </w:p>
        </w:tc>
        <w:tc>
          <w:tcPr>
            <w:tcW w:w="284" w:type="dxa"/>
            <w:vAlign w:val="center"/>
          </w:tcPr>
          <w:p w14:paraId="5F76001C">
            <w:pPr>
              <w:jc w:val="right"/>
              <w:rPr>
                <w:rFonts w:ascii="Calibri" w:hAnsi="Calibri"/>
                <w:sz w:val="18"/>
                <w:szCs w:val="18"/>
              </w:rPr>
            </w:pPr>
          </w:p>
        </w:tc>
        <w:tc>
          <w:tcPr>
            <w:tcW w:w="1417" w:type="dxa"/>
            <w:vAlign w:val="center"/>
          </w:tcPr>
          <w:p w14:paraId="5DCB2BD1">
            <w:pPr>
              <w:jc w:val="right"/>
              <w:rPr>
                <w:rFonts w:ascii="Calibri" w:hAnsi="Calibri"/>
                <w:sz w:val="18"/>
                <w:szCs w:val="18"/>
              </w:rPr>
            </w:pPr>
            <w:r>
              <w:rPr>
                <w:rFonts w:ascii="Calibri" w:hAnsi="Calibri"/>
                <w:sz w:val="18"/>
                <w:szCs w:val="18"/>
              </w:rPr>
              <w:t>509,315,505.46</w:t>
            </w:r>
          </w:p>
        </w:tc>
        <w:tc>
          <w:tcPr>
            <w:tcW w:w="1418" w:type="dxa"/>
            <w:vAlign w:val="center"/>
          </w:tcPr>
          <w:p w14:paraId="3880862B">
            <w:pPr>
              <w:jc w:val="right"/>
              <w:rPr>
                <w:rFonts w:ascii="Calibri" w:hAnsi="Calibri"/>
                <w:sz w:val="18"/>
                <w:szCs w:val="18"/>
              </w:rPr>
            </w:pPr>
            <w:r>
              <w:rPr>
                <w:rFonts w:ascii="Calibri" w:hAnsi="Calibri"/>
                <w:sz w:val="18"/>
                <w:szCs w:val="18"/>
              </w:rPr>
              <w:t>300,279,281.09</w:t>
            </w:r>
          </w:p>
        </w:tc>
        <w:tc>
          <w:tcPr>
            <w:tcW w:w="1275" w:type="dxa"/>
            <w:vAlign w:val="center"/>
          </w:tcPr>
          <w:p w14:paraId="17CE8AF1">
            <w:pPr>
              <w:jc w:val="right"/>
              <w:rPr>
                <w:rFonts w:ascii="Calibri" w:hAnsi="Calibri"/>
                <w:sz w:val="18"/>
                <w:szCs w:val="18"/>
              </w:rPr>
            </w:pPr>
            <w:r>
              <w:rPr>
                <w:rFonts w:ascii="Calibri" w:hAnsi="Calibri"/>
                <w:sz w:val="18"/>
                <w:szCs w:val="18"/>
              </w:rPr>
              <w:t>6,910,223.58</w:t>
            </w:r>
          </w:p>
        </w:tc>
        <w:tc>
          <w:tcPr>
            <w:tcW w:w="1560" w:type="dxa"/>
            <w:vAlign w:val="center"/>
          </w:tcPr>
          <w:p w14:paraId="2C2D15DF">
            <w:pPr>
              <w:jc w:val="right"/>
              <w:rPr>
                <w:rFonts w:ascii="Calibri" w:hAnsi="Calibri"/>
                <w:sz w:val="18"/>
                <w:szCs w:val="18"/>
              </w:rPr>
            </w:pPr>
            <w:r>
              <w:rPr>
                <w:rFonts w:ascii="Calibri" w:hAnsi="Calibri"/>
                <w:sz w:val="18"/>
                <w:szCs w:val="18"/>
              </w:rPr>
              <w:t>1,027,149,340.36</w:t>
            </w:r>
          </w:p>
        </w:tc>
        <w:tc>
          <w:tcPr>
            <w:tcW w:w="1559" w:type="dxa"/>
            <w:vAlign w:val="center"/>
          </w:tcPr>
          <w:p w14:paraId="08E15442">
            <w:pPr>
              <w:jc w:val="right"/>
              <w:rPr>
                <w:rFonts w:ascii="Calibri" w:hAnsi="Calibri"/>
                <w:sz w:val="18"/>
                <w:szCs w:val="18"/>
              </w:rPr>
            </w:pPr>
            <w:r>
              <w:rPr>
                <w:rFonts w:ascii="Calibri" w:hAnsi="Calibri"/>
                <w:sz w:val="18"/>
                <w:szCs w:val="18"/>
              </w:rPr>
              <w:t>3,160,028,831.05</w:t>
            </w:r>
          </w:p>
        </w:tc>
        <w:tc>
          <w:tcPr>
            <w:tcW w:w="1559" w:type="dxa"/>
            <w:vAlign w:val="center"/>
          </w:tcPr>
          <w:p w14:paraId="0130F5DD">
            <w:pPr>
              <w:jc w:val="right"/>
              <w:rPr>
                <w:rFonts w:ascii="Calibri" w:hAnsi="Calibri"/>
                <w:sz w:val="18"/>
                <w:szCs w:val="18"/>
              </w:rPr>
            </w:pPr>
            <w:r>
              <w:rPr>
                <w:rFonts w:ascii="Calibri" w:hAnsi="Calibri"/>
                <w:sz w:val="18"/>
                <w:szCs w:val="18"/>
              </w:rPr>
              <w:t>6,384,858,693.36</w:t>
            </w:r>
          </w:p>
        </w:tc>
        <w:tc>
          <w:tcPr>
            <w:tcW w:w="1276" w:type="dxa"/>
            <w:vAlign w:val="center"/>
          </w:tcPr>
          <w:p w14:paraId="2C1DBD38">
            <w:pPr>
              <w:jc w:val="right"/>
              <w:rPr>
                <w:rFonts w:ascii="Calibri" w:hAnsi="Calibri"/>
                <w:sz w:val="18"/>
                <w:szCs w:val="18"/>
              </w:rPr>
            </w:pPr>
            <w:r>
              <w:rPr>
                <w:rFonts w:ascii="Calibri" w:hAnsi="Calibri"/>
                <w:sz w:val="18"/>
                <w:szCs w:val="18"/>
              </w:rPr>
              <w:t>17,964,657.02</w:t>
            </w:r>
          </w:p>
        </w:tc>
        <w:tc>
          <w:tcPr>
            <w:tcW w:w="1559" w:type="dxa"/>
            <w:vAlign w:val="center"/>
          </w:tcPr>
          <w:p w14:paraId="440B133B">
            <w:pPr>
              <w:jc w:val="right"/>
              <w:rPr>
                <w:rFonts w:ascii="Calibri" w:hAnsi="Calibri"/>
                <w:sz w:val="18"/>
                <w:szCs w:val="18"/>
              </w:rPr>
            </w:pPr>
            <w:r>
              <w:rPr>
                <w:rFonts w:ascii="Calibri" w:hAnsi="Calibri"/>
                <w:sz w:val="18"/>
                <w:szCs w:val="18"/>
              </w:rPr>
              <w:t>6,402,823,350.38</w:t>
            </w:r>
          </w:p>
        </w:tc>
      </w:tr>
    </w:tbl>
    <w:p w14:paraId="65269A18"/>
    <w:p w14:paraId="00EBAFB8">
      <w:pPr>
        <w:snapToGrid w:val="0"/>
        <w:spacing w:line="240" w:lineRule="atLeast"/>
        <w:rPr>
          <w:b/>
          <w:bCs/>
          <w:color w:val="FF0000"/>
        </w:rPr>
      </w:pPr>
      <w:r>
        <w:rPr>
          <w:rFonts w:hint="eastAsia"/>
        </w:rPr>
        <w:t>公司负责</w:t>
      </w:r>
      <w:r>
        <w:t>人</w:t>
      </w:r>
      <w:r>
        <w:rPr>
          <w:rFonts w:hint="eastAsia"/>
        </w:rPr>
        <w:t>：</w:t>
      </w:r>
      <w:sdt>
        <w:sdtPr>
          <w:rPr>
            <w:rFonts w:hint="eastAsia"/>
          </w:rPr>
          <w:alias w:val="公司负责人姓名"/>
          <w:tag w:val="_GBC_076a4a0998a840bab20f0ed83e5bab3d"/>
          <w:id w:val="-1386179148"/>
          <w:placeholder>
            <w:docPart w:val="GBC22222222222222222222222222222"/>
          </w:placeholder>
          <w:dataBinding w:prefixMappings="xmlns:clcid-mr='clcid-mr'" w:xpath="/*/clcid-mr:GongSiFuZeRenXingMing[not(@periodRef)]" w:storeItemID="{89EBAB94-44A0-46A2-B712-30D997D04A6D}"/>
          <w:text/>
        </w:sdtPr>
        <w:sdtEndPr>
          <w:rPr>
            <w:rFonts w:hint="eastAsia"/>
          </w:rPr>
        </w:sdtEndPr>
        <w:sdtContent>
          <w:r>
            <w:rPr>
              <w:rFonts w:hint="eastAsia"/>
            </w:rPr>
            <w:t>李佳鸿</w:t>
          </w:r>
        </w:sdtContent>
      </w:sdt>
      <w:r>
        <w:rPr>
          <w:rFonts w:hint="eastAsia"/>
        </w:rPr>
        <w:t xml:space="preserve"> </w:t>
      </w:r>
      <w:r>
        <w:t xml:space="preserve">                                 主管会计工作负责人</w:t>
      </w:r>
      <w:r>
        <w:rPr>
          <w:rFonts w:hint="eastAsia"/>
        </w:rPr>
        <w:t>：</w:t>
      </w:r>
      <w:sdt>
        <w:sdtPr>
          <w:rPr>
            <w:rFonts w:hint="eastAsia"/>
          </w:rPr>
          <w:alias w:val="主管会计工作负责人姓名"/>
          <w:tag w:val="_GBC_5b21002df9e248fa81a6770579ce76cd"/>
          <w:id w:val="-2051910278"/>
          <w:placeholder>
            <w:docPart w:val="GBC22222222222222222222222222222"/>
          </w:placeholder>
          <w:dataBinding w:prefixMappings="xmlns:clcid-mr='clcid-mr'" w:xpath="/*/clcid-mr:ZhuGuanKuaiJiGongZuoFuZeRenXingMing[not(@periodRef)]" w:storeItemID="{89EBAB94-44A0-46A2-B712-30D997D04A6D}"/>
          <w:text/>
        </w:sdtPr>
        <w:sdtEndPr>
          <w:rPr>
            <w:rFonts w:hint="eastAsia"/>
          </w:rPr>
        </w:sdtEndPr>
        <w:sdtContent>
          <w:r>
            <w:rPr>
              <w:rFonts w:hint="eastAsia"/>
            </w:rPr>
            <w:t>迟军玉</w:t>
          </w:r>
        </w:sdtContent>
      </w:sdt>
      <w:r>
        <w:rPr>
          <w:rFonts w:hint="eastAsia"/>
        </w:rPr>
        <w:t xml:space="preserve"> </w:t>
      </w:r>
      <w:r>
        <w:t xml:space="preserve">                               会计机构负责人</w:t>
      </w:r>
      <w:r>
        <w:rPr>
          <w:rFonts w:hint="eastAsia"/>
        </w:rPr>
        <w:t>：</w:t>
      </w:r>
      <w:sdt>
        <w:sdtPr>
          <w:rPr>
            <w:rFonts w:hint="eastAsia"/>
          </w:rPr>
          <w:alias w:val="会计机构负责人姓名"/>
          <w:tag w:val="_GBC_6a446d6543174dc48c72d440eefb0b71"/>
          <w:id w:val="-2113043817"/>
          <w:placeholder>
            <w:docPart w:val="GBC22222222222222222222222222222"/>
          </w:placeholder>
          <w:dataBinding w:prefixMappings="xmlns:clcid-mr='clcid-mr'" w:xpath="/*/clcid-mr:KuaiJiJiGouFuZeRenXingMing[not(@periodRef)]" w:storeItemID="{89EBAB94-44A0-46A2-B712-30D997D04A6D}"/>
          <w:text/>
        </w:sdtPr>
        <w:sdtEndPr>
          <w:rPr>
            <w:rFonts w:hint="eastAsia"/>
          </w:rPr>
        </w:sdtEndPr>
        <w:sdtContent>
          <w:r>
            <w:rPr>
              <w:rFonts w:hint="eastAsia"/>
            </w:rPr>
            <w:t>樊鸿宇</w:t>
          </w:r>
        </w:sdtContent>
      </w:sdt>
    </w:p>
    <w:p w14:paraId="739FB217">
      <w:pPr>
        <w:pStyle w:val="48"/>
      </w:pPr>
    </w:p>
    <w:p w14:paraId="5A80FAE2">
      <w:pPr>
        <w:pStyle w:val="48"/>
      </w:pPr>
    </w:p>
    <w:p w14:paraId="0662B532">
      <w:pPr>
        <w:tabs>
          <w:tab w:val="left" w:pos="10080"/>
        </w:tabs>
        <w:snapToGrid w:val="0"/>
        <w:spacing w:line="240" w:lineRule="atLeast"/>
        <w:ind w:right="25" w:rightChars="12"/>
        <w:jc w:val="center"/>
        <w:outlineLvl w:val="2"/>
        <w:rPr>
          <w:b/>
        </w:rPr>
        <w:sectPr>
          <w:pgSz w:w="16838" w:h="11906" w:orient="landscape"/>
          <w:pgMar w:top="1276" w:right="1440" w:bottom="1797" w:left="1525" w:header="856" w:footer="992" w:gutter="0"/>
          <w:cols w:space="425" w:num="1"/>
          <w:docGrid w:linePitch="312" w:charSpace="0"/>
        </w:sectPr>
      </w:pPr>
    </w:p>
    <w:p w14:paraId="51DF7E94">
      <w:pPr>
        <w:tabs>
          <w:tab w:val="left" w:pos="10080"/>
        </w:tabs>
        <w:snapToGrid w:val="0"/>
        <w:spacing w:line="240" w:lineRule="atLeast"/>
        <w:ind w:right="25" w:rightChars="12"/>
        <w:jc w:val="center"/>
        <w:outlineLvl w:val="2"/>
        <w:rPr>
          <w:b/>
        </w:rPr>
      </w:pPr>
      <w:r>
        <w:rPr>
          <w:b/>
        </w:rPr>
        <w:t>母公司</w:t>
      </w:r>
      <w:r>
        <w:rPr>
          <w:rFonts w:hint="eastAsia"/>
          <w:b/>
        </w:rPr>
        <w:t>所有者权益变动表</w:t>
      </w:r>
    </w:p>
    <w:p w14:paraId="7DB66992">
      <w:pPr>
        <w:tabs>
          <w:tab w:val="left" w:pos="10080"/>
        </w:tabs>
        <w:snapToGrid w:val="0"/>
        <w:spacing w:line="240" w:lineRule="atLeast"/>
        <w:ind w:right="25" w:rightChars="12"/>
        <w:jc w:val="center"/>
        <w:rPr>
          <w:b/>
          <w:bCs/>
        </w:rPr>
      </w:pPr>
      <w:r>
        <w:t>2025年</w:t>
      </w:r>
      <w:r>
        <w:rPr>
          <w:rFonts w:hint="eastAsia"/>
        </w:rPr>
        <w:t>1—12</w:t>
      </w:r>
      <w:r>
        <w:t>月</w:t>
      </w:r>
    </w:p>
    <w:p w14:paraId="3D7551E3">
      <w:pPr>
        <w:snapToGrid w:val="0"/>
        <w:spacing w:line="240" w:lineRule="atLeast"/>
        <w:jc w:val="right"/>
      </w:pPr>
      <w:r>
        <w:t>单位：</w:t>
      </w:r>
      <w:sdt>
        <w:sdtPr>
          <w:alias w:val="单位：母公司股东权益调节表"/>
          <w:tag w:val="_GBC_048773409e614c6bb753000b028316a5"/>
          <w:id w:val="6694440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币种：</w:t>
      </w:r>
      <w:sdt>
        <w:sdtPr>
          <w:alias w:val="币种：母公司股东权益调节表"/>
          <w:tag w:val="_GBC_5214b7a188334da286fc3038d017d072"/>
          <w:id w:val="1947376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57"/>
        <w:tblW w:w="15735" w:type="dxa"/>
        <w:tblInd w:w="-9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1843"/>
        <w:gridCol w:w="425"/>
        <w:gridCol w:w="425"/>
        <w:gridCol w:w="426"/>
        <w:gridCol w:w="1559"/>
        <w:gridCol w:w="1701"/>
        <w:gridCol w:w="1559"/>
        <w:gridCol w:w="1843"/>
        <w:gridCol w:w="1788"/>
        <w:gridCol w:w="1897"/>
      </w:tblGrid>
      <w:tr w14:paraId="4D958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6243181199ca48faaab1b52ea7b6f562"/>
            <w:id w:val="-1499570676"/>
          </w:sdtPr>
          <w:sdtContent>
            <w:tc>
              <w:tcPr>
                <w:tcW w:w="2269" w:type="dxa"/>
                <w:vMerge w:val="restart"/>
                <w:vAlign w:val="center"/>
              </w:tcPr>
              <w:p w14:paraId="6CC555D9">
                <w:pPr>
                  <w:adjustRightInd w:val="0"/>
                  <w:snapToGrid w:val="0"/>
                  <w:jc w:val="center"/>
                  <w:rPr>
                    <w:rFonts w:ascii="Calibri" w:hAnsi="Calibri"/>
                    <w:sz w:val="18"/>
                    <w:szCs w:val="18"/>
                  </w:rPr>
                </w:pPr>
                <w:r>
                  <w:rPr>
                    <w:rFonts w:hint="eastAsia" w:ascii="Calibri" w:hAnsi="Calibri"/>
                    <w:sz w:val="18"/>
                    <w:szCs w:val="18"/>
                  </w:rPr>
                  <w:t>项目</w:t>
                </w:r>
              </w:p>
            </w:tc>
          </w:sdtContent>
        </w:sdt>
        <w:tc>
          <w:tcPr>
            <w:tcW w:w="13466" w:type="dxa"/>
            <w:gridSpan w:val="10"/>
            <w:vAlign w:val="center"/>
          </w:tcPr>
          <w:p w14:paraId="3338232E">
            <w:pPr>
              <w:adjustRightInd w:val="0"/>
              <w:snapToGrid w:val="0"/>
              <w:jc w:val="center"/>
              <w:rPr>
                <w:rFonts w:ascii="Calibri" w:hAnsi="Calibri"/>
                <w:sz w:val="20"/>
                <w:szCs w:val="20"/>
              </w:rPr>
            </w:pPr>
            <w:r>
              <w:rPr>
                <w:rFonts w:hint="eastAsia" w:ascii="Calibri" w:hAnsi="Calibri"/>
                <w:sz w:val="20"/>
                <w:szCs w:val="20"/>
              </w:rPr>
              <w:t xml:space="preserve"> </w:t>
            </w:r>
            <w:sdt>
              <w:sdtPr>
                <w:tag w:val="_PLD_53ebc36a4faa4485960520df843f0c63"/>
                <w:id w:val="1236207387"/>
              </w:sdtPr>
              <w:sdtContent>
                <w:r>
                  <w:rPr>
                    <w:rFonts w:hint="eastAsia" w:ascii="Calibri" w:hAnsi="Calibri"/>
                    <w:sz w:val="18"/>
                    <w:szCs w:val="20"/>
                  </w:rPr>
                  <w:t>2025年度</w:t>
                </w:r>
              </w:sdtContent>
            </w:sdt>
          </w:p>
        </w:tc>
      </w:tr>
      <w:tr w14:paraId="1112C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269" w:type="dxa"/>
            <w:vMerge w:val="continue"/>
            <w:vAlign w:val="center"/>
          </w:tcPr>
          <w:p w14:paraId="3E2B8347">
            <w:pPr>
              <w:adjustRightInd w:val="0"/>
              <w:snapToGrid w:val="0"/>
              <w:rPr>
                <w:rFonts w:ascii="Calibri" w:hAnsi="Calibri"/>
                <w:sz w:val="18"/>
                <w:szCs w:val="18"/>
              </w:rPr>
            </w:pPr>
          </w:p>
        </w:tc>
        <w:sdt>
          <w:sdtPr>
            <w:tag w:val="_PLD_d42b0ce5c44e4777bd36491652f20dd8"/>
            <w:id w:val="-820883284"/>
          </w:sdtPr>
          <w:sdtContent>
            <w:tc>
              <w:tcPr>
                <w:tcW w:w="1843" w:type="dxa"/>
                <w:vMerge w:val="restart"/>
                <w:tcBorders>
                  <w:right w:val="single" w:color="auto" w:sz="4" w:space="0"/>
                </w:tcBorders>
                <w:vAlign w:val="center"/>
              </w:tcPr>
              <w:p w14:paraId="6044336F">
                <w:pPr>
                  <w:adjustRightInd w:val="0"/>
                  <w:snapToGrid w:val="0"/>
                  <w:jc w:val="center"/>
                  <w:rPr>
                    <w:rFonts w:ascii="Calibri" w:hAnsi="Calibri"/>
                    <w:sz w:val="18"/>
                    <w:szCs w:val="18"/>
                  </w:rPr>
                </w:pPr>
                <w:r>
                  <w:rPr>
                    <w:rFonts w:ascii="Calibri" w:hAnsi="Calibri"/>
                    <w:sz w:val="18"/>
                    <w:szCs w:val="18"/>
                  </w:rPr>
                  <w:t>实收资本 (或股本)</w:t>
                </w:r>
              </w:p>
            </w:tc>
          </w:sdtContent>
        </w:sdt>
        <w:sdt>
          <w:sdtPr>
            <w:tag w:val="_PLD_2b96b9233b354a859329aa59fac6fc9e"/>
            <w:id w:val="928314693"/>
          </w:sdtPr>
          <w:sdtContent>
            <w:tc>
              <w:tcPr>
                <w:tcW w:w="1276" w:type="dxa"/>
                <w:gridSpan w:val="3"/>
                <w:tcBorders>
                  <w:left w:val="single" w:color="auto" w:sz="4" w:space="0"/>
                  <w:bottom w:val="single" w:color="auto" w:sz="4" w:space="0"/>
                </w:tcBorders>
                <w:vAlign w:val="center"/>
              </w:tcPr>
              <w:p w14:paraId="4849D015">
                <w:pPr>
                  <w:adjustRightInd w:val="0"/>
                  <w:snapToGrid w:val="0"/>
                  <w:jc w:val="center"/>
                  <w:rPr>
                    <w:rFonts w:ascii="Calibri" w:hAnsi="Calibri"/>
                    <w:sz w:val="18"/>
                    <w:szCs w:val="18"/>
                  </w:rPr>
                </w:pPr>
                <w:r>
                  <w:rPr>
                    <w:rFonts w:hint="eastAsia" w:ascii="Calibri" w:hAnsi="Calibri"/>
                    <w:sz w:val="18"/>
                    <w:szCs w:val="18"/>
                  </w:rPr>
                  <w:t>其他权益工具</w:t>
                </w:r>
              </w:p>
            </w:tc>
          </w:sdtContent>
        </w:sdt>
        <w:sdt>
          <w:sdtPr>
            <w:tag w:val="_PLD_dafb11707213467d9f285bde7429767a"/>
            <w:id w:val="-892350775"/>
          </w:sdtPr>
          <w:sdtContent>
            <w:tc>
              <w:tcPr>
                <w:tcW w:w="1559" w:type="dxa"/>
                <w:vMerge w:val="restart"/>
                <w:vAlign w:val="center"/>
              </w:tcPr>
              <w:p w14:paraId="37F175AE">
                <w:pPr>
                  <w:adjustRightInd w:val="0"/>
                  <w:snapToGrid w:val="0"/>
                  <w:jc w:val="center"/>
                  <w:rPr>
                    <w:rFonts w:ascii="Calibri" w:hAnsi="Calibri"/>
                    <w:sz w:val="18"/>
                    <w:szCs w:val="18"/>
                  </w:rPr>
                </w:pPr>
                <w:r>
                  <w:rPr>
                    <w:rFonts w:ascii="Calibri" w:hAnsi="Calibri"/>
                    <w:sz w:val="18"/>
                    <w:szCs w:val="18"/>
                  </w:rPr>
                  <w:t>资本公积</w:t>
                </w:r>
              </w:p>
            </w:tc>
          </w:sdtContent>
        </w:sdt>
        <w:sdt>
          <w:sdtPr>
            <w:tag w:val="_PLD_2fb702eaa01c41839715d0f477a28608"/>
            <w:id w:val="1623185453"/>
          </w:sdtPr>
          <w:sdtContent>
            <w:tc>
              <w:tcPr>
                <w:tcW w:w="1701" w:type="dxa"/>
                <w:vMerge w:val="restart"/>
                <w:vAlign w:val="center"/>
              </w:tcPr>
              <w:p w14:paraId="6D36E9BB">
                <w:pPr>
                  <w:adjustRightInd w:val="0"/>
                  <w:snapToGrid w:val="0"/>
                  <w:jc w:val="center"/>
                  <w:rPr>
                    <w:rFonts w:ascii="Calibri" w:hAnsi="Calibri"/>
                    <w:sz w:val="18"/>
                    <w:szCs w:val="18"/>
                  </w:rPr>
                </w:pPr>
                <w:r>
                  <w:rPr>
                    <w:rFonts w:ascii="Calibri" w:hAnsi="Calibri"/>
                    <w:sz w:val="18"/>
                    <w:szCs w:val="18"/>
                  </w:rPr>
                  <w:t>减：库存股</w:t>
                </w:r>
              </w:p>
            </w:tc>
          </w:sdtContent>
        </w:sdt>
        <w:sdt>
          <w:sdtPr>
            <w:tag w:val="_PLD_01fd07c61bdc4289ad848770e21829f0"/>
            <w:id w:val="-1541505527"/>
          </w:sdtPr>
          <w:sdtContent>
            <w:tc>
              <w:tcPr>
                <w:tcW w:w="1559" w:type="dxa"/>
                <w:vMerge w:val="restart"/>
                <w:vAlign w:val="center"/>
              </w:tcPr>
              <w:p w14:paraId="28C0E1F9">
                <w:pPr>
                  <w:jc w:val="center"/>
                  <w:rPr>
                    <w:rFonts w:ascii="Calibri" w:hAnsi="Calibri"/>
                    <w:sz w:val="18"/>
                    <w:szCs w:val="18"/>
                  </w:rPr>
                </w:pPr>
                <w:r>
                  <w:rPr>
                    <w:rFonts w:hint="eastAsia" w:ascii="Calibri" w:hAnsi="Calibri"/>
                    <w:sz w:val="18"/>
                    <w:szCs w:val="18"/>
                  </w:rPr>
                  <w:t>其他综合收益</w:t>
                </w:r>
              </w:p>
            </w:tc>
          </w:sdtContent>
        </w:sdt>
        <w:sdt>
          <w:sdtPr>
            <w:tag w:val="_PLD_e9a70df1813948df997635772bea7de3"/>
            <w:id w:val="-1942211802"/>
          </w:sdtPr>
          <w:sdtContent>
            <w:tc>
              <w:tcPr>
                <w:tcW w:w="1843" w:type="dxa"/>
                <w:vMerge w:val="restart"/>
                <w:vAlign w:val="center"/>
              </w:tcPr>
              <w:p w14:paraId="02E2A72E">
                <w:pPr>
                  <w:adjustRightInd w:val="0"/>
                  <w:snapToGrid w:val="0"/>
                  <w:jc w:val="center"/>
                  <w:rPr>
                    <w:rFonts w:ascii="Calibri" w:hAnsi="Calibri"/>
                    <w:sz w:val="18"/>
                    <w:szCs w:val="18"/>
                  </w:rPr>
                </w:pPr>
                <w:r>
                  <w:rPr>
                    <w:rFonts w:ascii="Calibri" w:hAnsi="Calibri"/>
                    <w:sz w:val="18"/>
                    <w:szCs w:val="18"/>
                  </w:rPr>
                  <w:t>盈余公积</w:t>
                </w:r>
              </w:p>
            </w:tc>
          </w:sdtContent>
        </w:sdt>
        <w:sdt>
          <w:sdtPr>
            <w:tag w:val="_PLD_9b2be5c2b4a3447c85cf695b1da440fa"/>
            <w:id w:val="2044478380"/>
          </w:sdtPr>
          <w:sdtContent>
            <w:tc>
              <w:tcPr>
                <w:tcW w:w="1788" w:type="dxa"/>
                <w:vMerge w:val="restart"/>
                <w:vAlign w:val="center"/>
              </w:tcPr>
              <w:p w14:paraId="16B6B501">
                <w:pPr>
                  <w:adjustRightInd w:val="0"/>
                  <w:snapToGrid w:val="0"/>
                  <w:jc w:val="center"/>
                  <w:rPr>
                    <w:rFonts w:ascii="Calibri" w:hAnsi="Calibri"/>
                    <w:sz w:val="18"/>
                    <w:szCs w:val="18"/>
                  </w:rPr>
                </w:pPr>
                <w:r>
                  <w:rPr>
                    <w:rFonts w:ascii="Calibri" w:hAnsi="Calibri"/>
                    <w:sz w:val="18"/>
                    <w:szCs w:val="18"/>
                  </w:rPr>
                  <w:t>未分配利润</w:t>
                </w:r>
              </w:p>
            </w:tc>
          </w:sdtContent>
        </w:sdt>
        <w:sdt>
          <w:sdtPr>
            <w:tag w:val="_PLD_61dd0378fbe645dfb87cfecfbc846206"/>
            <w:id w:val="1927455384"/>
          </w:sdtPr>
          <w:sdtContent>
            <w:tc>
              <w:tcPr>
                <w:tcW w:w="1897" w:type="dxa"/>
                <w:vMerge w:val="restart"/>
                <w:vAlign w:val="center"/>
              </w:tcPr>
              <w:p w14:paraId="34C9FBD6">
                <w:pPr>
                  <w:adjustRightInd w:val="0"/>
                  <w:snapToGrid w:val="0"/>
                  <w:jc w:val="center"/>
                  <w:rPr>
                    <w:rFonts w:ascii="Calibri" w:hAnsi="Calibri"/>
                    <w:sz w:val="18"/>
                    <w:szCs w:val="18"/>
                  </w:rPr>
                </w:pPr>
                <w:r>
                  <w:rPr>
                    <w:rFonts w:ascii="Calibri" w:hAnsi="Calibri"/>
                    <w:sz w:val="18"/>
                    <w:szCs w:val="18"/>
                  </w:rPr>
                  <w:t>所有者权益合计</w:t>
                </w:r>
              </w:p>
            </w:tc>
          </w:sdtContent>
        </w:sdt>
      </w:tr>
      <w:tr w14:paraId="01DBF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2269" w:type="dxa"/>
            <w:vMerge w:val="continue"/>
            <w:vAlign w:val="center"/>
          </w:tcPr>
          <w:p w14:paraId="71B9F5ED">
            <w:pPr>
              <w:adjustRightInd w:val="0"/>
              <w:snapToGrid w:val="0"/>
              <w:rPr>
                <w:rFonts w:ascii="Calibri" w:hAnsi="Calibri"/>
                <w:sz w:val="18"/>
                <w:szCs w:val="18"/>
              </w:rPr>
            </w:pPr>
          </w:p>
        </w:tc>
        <w:tc>
          <w:tcPr>
            <w:tcW w:w="1843" w:type="dxa"/>
            <w:vMerge w:val="continue"/>
            <w:tcBorders>
              <w:right w:val="single" w:color="auto" w:sz="4" w:space="0"/>
            </w:tcBorders>
            <w:vAlign w:val="center"/>
          </w:tcPr>
          <w:p w14:paraId="32B19A71">
            <w:pPr>
              <w:adjustRightInd w:val="0"/>
              <w:snapToGrid w:val="0"/>
              <w:jc w:val="center"/>
              <w:rPr>
                <w:rFonts w:ascii="Calibri" w:hAnsi="Calibri"/>
                <w:sz w:val="18"/>
                <w:szCs w:val="18"/>
              </w:rPr>
            </w:pPr>
          </w:p>
        </w:tc>
        <w:sdt>
          <w:sdtPr>
            <w:tag w:val="_PLD_506dd395f17d4bea92c50a0850471ea4"/>
            <w:id w:val="66618473"/>
          </w:sdtPr>
          <w:sdtContent>
            <w:tc>
              <w:tcPr>
                <w:tcW w:w="425" w:type="dxa"/>
                <w:tcBorders>
                  <w:top w:val="single" w:color="auto" w:sz="4" w:space="0"/>
                  <w:left w:val="single" w:color="auto" w:sz="4" w:space="0"/>
                  <w:right w:val="single" w:color="auto" w:sz="4" w:space="0"/>
                </w:tcBorders>
                <w:vAlign w:val="center"/>
              </w:tcPr>
              <w:p w14:paraId="2B16D333">
                <w:pPr>
                  <w:adjustRightInd w:val="0"/>
                  <w:snapToGrid w:val="0"/>
                  <w:jc w:val="center"/>
                  <w:rPr>
                    <w:rFonts w:ascii="Calibri" w:hAnsi="Calibri"/>
                    <w:sz w:val="18"/>
                    <w:szCs w:val="18"/>
                  </w:rPr>
                </w:pPr>
                <w:r>
                  <w:rPr>
                    <w:rFonts w:hint="eastAsia" w:ascii="Calibri" w:hAnsi="Calibri"/>
                    <w:sz w:val="18"/>
                    <w:szCs w:val="18"/>
                  </w:rPr>
                  <w:t>优先股</w:t>
                </w:r>
              </w:p>
            </w:tc>
          </w:sdtContent>
        </w:sdt>
        <w:sdt>
          <w:sdtPr>
            <w:tag w:val="_PLD_d66ebd59f659426db31ba0d488ae47d0"/>
            <w:id w:val="375363501"/>
          </w:sdtPr>
          <w:sdtContent>
            <w:tc>
              <w:tcPr>
                <w:tcW w:w="425" w:type="dxa"/>
                <w:tcBorders>
                  <w:top w:val="single" w:color="auto" w:sz="4" w:space="0"/>
                  <w:left w:val="single" w:color="auto" w:sz="4" w:space="0"/>
                  <w:right w:val="single" w:color="auto" w:sz="4" w:space="0"/>
                </w:tcBorders>
                <w:vAlign w:val="center"/>
              </w:tcPr>
              <w:p w14:paraId="4826A8C5">
                <w:pPr>
                  <w:adjustRightInd w:val="0"/>
                  <w:snapToGrid w:val="0"/>
                  <w:jc w:val="center"/>
                  <w:rPr>
                    <w:rFonts w:ascii="Calibri" w:hAnsi="Calibri"/>
                    <w:sz w:val="18"/>
                    <w:szCs w:val="18"/>
                  </w:rPr>
                </w:pPr>
                <w:r>
                  <w:rPr>
                    <w:rFonts w:hint="eastAsia" w:ascii="Calibri" w:hAnsi="Calibri"/>
                    <w:sz w:val="18"/>
                    <w:szCs w:val="18"/>
                  </w:rPr>
                  <w:t>永续债</w:t>
                </w:r>
              </w:p>
            </w:tc>
          </w:sdtContent>
        </w:sdt>
        <w:sdt>
          <w:sdtPr>
            <w:tag w:val="_PLD_997e05d9124249eeb1a10ac094efcb41"/>
            <w:id w:val="374674555"/>
          </w:sdtPr>
          <w:sdtContent>
            <w:tc>
              <w:tcPr>
                <w:tcW w:w="426" w:type="dxa"/>
                <w:tcBorders>
                  <w:top w:val="single" w:color="auto" w:sz="4" w:space="0"/>
                  <w:left w:val="single" w:color="auto" w:sz="4" w:space="0"/>
                </w:tcBorders>
                <w:vAlign w:val="center"/>
              </w:tcPr>
              <w:p w14:paraId="680A5643">
                <w:pPr>
                  <w:adjustRightInd w:val="0"/>
                  <w:snapToGrid w:val="0"/>
                  <w:jc w:val="center"/>
                  <w:rPr>
                    <w:rFonts w:ascii="Calibri" w:hAnsi="Calibri"/>
                    <w:sz w:val="18"/>
                    <w:szCs w:val="18"/>
                  </w:rPr>
                </w:pPr>
                <w:r>
                  <w:rPr>
                    <w:rFonts w:hint="eastAsia" w:ascii="Calibri" w:hAnsi="Calibri"/>
                    <w:sz w:val="18"/>
                    <w:szCs w:val="18"/>
                  </w:rPr>
                  <w:t>其他</w:t>
                </w:r>
              </w:p>
            </w:tc>
          </w:sdtContent>
        </w:sdt>
        <w:tc>
          <w:tcPr>
            <w:tcW w:w="1559" w:type="dxa"/>
            <w:vMerge w:val="continue"/>
            <w:vAlign w:val="center"/>
          </w:tcPr>
          <w:p w14:paraId="3DB35F8D">
            <w:pPr>
              <w:adjustRightInd w:val="0"/>
              <w:snapToGrid w:val="0"/>
              <w:jc w:val="center"/>
              <w:rPr>
                <w:rFonts w:ascii="Calibri" w:hAnsi="Calibri"/>
                <w:sz w:val="18"/>
                <w:szCs w:val="18"/>
              </w:rPr>
            </w:pPr>
          </w:p>
        </w:tc>
        <w:tc>
          <w:tcPr>
            <w:tcW w:w="1701" w:type="dxa"/>
            <w:vMerge w:val="continue"/>
            <w:vAlign w:val="center"/>
          </w:tcPr>
          <w:p w14:paraId="5F395B1A">
            <w:pPr>
              <w:adjustRightInd w:val="0"/>
              <w:snapToGrid w:val="0"/>
              <w:jc w:val="center"/>
              <w:rPr>
                <w:rFonts w:ascii="Calibri" w:hAnsi="Calibri"/>
                <w:sz w:val="18"/>
                <w:szCs w:val="18"/>
              </w:rPr>
            </w:pPr>
          </w:p>
        </w:tc>
        <w:tc>
          <w:tcPr>
            <w:tcW w:w="1559" w:type="dxa"/>
            <w:vMerge w:val="continue"/>
            <w:vAlign w:val="center"/>
          </w:tcPr>
          <w:p w14:paraId="13D5316B">
            <w:pPr>
              <w:jc w:val="center"/>
              <w:rPr>
                <w:rFonts w:ascii="Calibri" w:hAnsi="Calibri"/>
                <w:sz w:val="18"/>
                <w:szCs w:val="18"/>
              </w:rPr>
            </w:pPr>
          </w:p>
        </w:tc>
        <w:tc>
          <w:tcPr>
            <w:tcW w:w="1843" w:type="dxa"/>
            <w:vMerge w:val="continue"/>
            <w:vAlign w:val="center"/>
          </w:tcPr>
          <w:p w14:paraId="188FC2F0">
            <w:pPr>
              <w:adjustRightInd w:val="0"/>
              <w:snapToGrid w:val="0"/>
              <w:jc w:val="center"/>
              <w:rPr>
                <w:rFonts w:ascii="Calibri" w:hAnsi="Calibri"/>
                <w:sz w:val="18"/>
                <w:szCs w:val="18"/>
              </w:rPr>
            </w:pPr>
          </w:p>
        </w:tc>
        <w:tc>
          <w:tcPr>
            <w:tcW w:w="1788" w:type="dxa"/>
            <w:vMerge w:val="continue"/>
            <w:vAlign w:val="center"/>
          </w:tcPr>
          <w:p w14:paraId="7E725A61">
            <w:pPr>
              <w:adjustRightInd w:val="0"/>
              <w:snapToGrid w:val="0"/>
              <w:jc w:val="center"/>
              <w:rPr>
                <w:rFonts w:ascii="Calibri" w:hAnsi="Calibri"/>
                <w:sz w:val="18"/>
                <w:szCs w:val="18"/>
              </w:rPr>
            </w:pPr>
          </w:p>
        </w:tc>
        <w:tc>
          <w:tcPr>
            <w:tcW w:w="1897" w:type="dxa"/>
            <w:vMerge w:val="continue"/>
            <w:vAlign w:val="center"/>
          </w:tcPr>
          <w:p w14:paraId="2FE00D93">
            <w:pPr>
              <w:adjustRightInd w:val="0"/>
              <w:snapToGrid w:val="0"/>
              <w:jc w:val="center"/>
              <w:rPr>
                <w:rFonts w:ascii="Calibri" w:hAnsi="Calibri"/>
                <w:sz w:val="18"/>
                <w:szCs w:val="18"/>
              </w:rPr>
            </w:pPr>
          </w:p>
        </w:tc>
      </w:tr>
      <w:tr w14:paraId="23545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08f8c5f19f2b42f7ae650f62c6878570"/>
            <w:id w:val="232053012"/>
          </w:sdtPr>
          <w:sdtContent>
            <w:tc>
              <w:tcPr>
                <w:tcW w:w="2269" w:type="dxa"/>
                <w:vAlign w:val="center"/>
              </w:tcPr>
              <w:p w14:paraId="64C17E6B">
                <w:pPr>
                  <w:rPr>
                    <w:rFonts w:ascii="Calibri" w:hAnsi="Calibri"/>
                    <w:sz w:val="18"/>
                    <w:szCs w:val="18"/>
                  </w:rPr>
                </w:pPr>
                <w:r>
                  <w:rPr>
                    <w:rFonts w:ascii="Calibri" w:hAnsi="Calibri"/>
                    <w:sz w:val="18"/>
                    <w:szCs w:val="18"/>
                  </w:rPr>
                  <w:t>一、上年</w:t>
                </w:r>
                <w:r>
                  <w:rPr>
                    <w:rFonts w:hint="eastAsia" w:ascii="Calibri" w:hAnsi="Calibri"/>
                    <w:sz w:val="18"/>
                    <w:szCs w:val="18"/>
                  </w:rPr>
                  <w:t>年</w:t>
                </w:r>
                <w:r>
                  <w:rPr>
                    <w:rFonts w:ascii="Calibri" w:hAnsi="Calibri"/>
                    <w:sz w:val="18"/>
                    <w:szCs w:val="18"/>
                  </w:rPr>
                  <w:t>末余额</w:t>
                </w:r>
              </w:p>
            </w:tc>
          </w:sdtContent>
        </w:sdt>
        <w:tc>
          <w:tcPr>
            <w:tcW w:w="1843" w:type="dxa"/>
            <w:tcBorders>
              <w:right w:val="single" w:color="auto" w:sz="4" w:space="0"/>
            </w:tcBorders>
            <w:vAlign w:val="center"/>
          </w:tcPr>
          <w:p w14:paraId="6EEAA3DF">
            <w:pPr>
              <w:jc w:val="right"/>
              <w:rPr>
                <w:rFonts w:ascii="Calibri" w:hAnsi="Calibri"/>
                <w:sz w:val="20"/>
                <w:szCs w:val="20"/>
              </w:rPr>
            </w:pPr>
            <w:r>
              <w:rPr>
                <w:rFonts w:ascii="Calibri" w:hAnsi="Calibri"/>
                <w:sz w:val="20"/>
                <w:szCs w:val="20"/>
              </w:rPr>
              <w:t>1,981,734,074.00</w:t>
            </w:r>
          </w:p>
        </w:tc>
        <w:tc>
          <w:tcPr>
            <w:tcW w:w="425" w:type="dxa"/>
            <w:tcBorders>
              <w:left w:val="single" w:color="auto" w:sz="4" w:space="0"/>
              <w:right w:val="single" w:color="auto" w:sz="4" w:space="0"/>
            </w:tcBorders>
            <w:vAlign w:val="center"/>
          </w:tcPr>
          <w:p w14:paraId="280013DF">
            <w:pPr>
              <w:jc w:val="right"/>
              <w:rPr>
                <w:rFonts w:ascii="Calibri" w:hAnsi="Calibri"/>
                <w:sz w:val="20"/>
                <w:szCs w:val="20"/>
              </w:rPr>
            </w:pPr>
          </w:p>
        </w:tc>
        <w:tc>
          <w:tcPr>
            <w:tcW w:w="425" w:type="dxa"/>
            <w:tcBorders>
              <w:left w:val="single" w:color="auto" w:sz="4" w:space="0"/>
              <w:right w:val="single" w:color="auto" w:sz="4" w:space="0"/>
            </w:tcBorders>
            <w:vAlign w:val="center"/>
          </w:tcPr>
          <w:p w14:paraId="762F68D4">
            <w:pPr>
              <w:jc w:val="right"/>
              <w:rPr>
                <w:rFonts w:ascii="Calibri" w:hAnsi="Calibri"/>
                <w:sz w:val="20"/>
                <w:szCs w:val="20"/>
              </w:rPr>
            </w:pPr>
          </w:p>
        </w:tc>
        <w:tc>
          <w:tcPr>
            <w:tcW w:w="426" w:type="dxa"/>
            <w:tcBorders>
              <w:left w:val="single" w:color="auto" w:sz="4" w:space="0"/>
              <w:right w:val="single" w:color="auto" w:sz="4" w:space="0"/>
            </w:tcBorders>
            <w:vAlign w:val="center"/>
          </w:tcPr>
          <w:p w14:paraId="4B4EAB90">
            <w:pPr>
              <w:jc w:val="right"/>
              <w:rPr>
                <w:rFonts w:ascii="Calibri" w:hAnsi="Calibri"/>
                <w:sz w:val="20"/>
                <w:szCs w:val="20"/>
              </w:rPr>
            </w:pPr>
          </w:p>
        </w:tc>
        <w:tc>
          <w:tcPr>
            <w:tcW w:w="1559" w:type="dxa"/>
            <w:tcBorders>
              <w:left w:val="single" w:color="auto" w:sz="4" w:space="0"/>
            </w:tcBorders>
            <w:vAlign w:val="center"/>
          </w:tcPr>
          <w:p w14:paraId="234ECF16">
            <w:pPr>
              <w:jc w:val="right"/>
              <w:rPr>
                <w:rFonts w:ascii="Calibri" w:hAnsi="Calibri"/>
                <w:sz w:val="20"/>
                <w:szCs w:val="20"/>
              </w:rPr>
            </w:pPr>
            <w:r>
              <w:rPr>
                <w:rFonts w:ascii="Calibri" w:hAnsi="Calibri"/>
                <w:sz w:val="20"/>
                <w:szCs w:val="20"/>
              </w:rPr>
              <w:t>464,144,788.49</w:t>
            </w:r>
          </w:p>
        </w:tc>
        <w:tc>
          <w:tcPr>
            <w:tcW w:w="1701" w:type="dxa"/>
            <w:vAlign w:val="center"/>
          </w:tcPr>
          <w:p w14:paraId="4CC3756D">
            <w:pPr>
              <w:jc w:val="right"/>
              <w:rPr>
                <w:rFonts w:ascii="Calibri" w:hAnsi="Calibri"/>
                <w:sz w:val="20"/>
                <w:szCs w:val="20"/>
              </w:rPr>
            </w:pPr>
            <w:r>
              <w:rPr>
                <w:rFonts w:ascii="Calibri" w:hAnsi="Calibri"/>
                <w:sz w:val="20"/>
                <w:szCs w:val="20"/>
              </w:rPr>
              <w:t>300,279,281.09</w:t>
            </w:r>
          </w:p>
        </w:tc>
        <w:tc>
          <w:tcPr>
            <w:tcW w:w="1559" w:type="dxa"/>
            <w:vAlign w:val="center"/>
          </w:tcPr>
          <w:p w14:paraId="08BB7CBE">
            <w:pPr>
              <w:jc w:val="right"/>
              <w:rPr>
                <w:rFonts w:ascii="Calibri" w:hAnsi="Calibri"/>
                <w:sz w:val="20"/>
                <w:szCs w:val="20"/>
              </w:rPr>
            </w:pPr>
            <w:r>
              <w:rPr>
                <w:rFonts w:ascii="Calibri" w:hAnsi="Calibri"/>
                <w:sz w:val="20"/>
                <w:szCs w:val="20"/>
              </w:rPr>
              <w:t>6,910,223.58</w:t>
            </w:r>
          </w:p>
        </w:tc>
        <w:tc>
          <w:tcPr>
            <w:tcW w:w="1843" w:type="dxa"/>
            <w:vAlign w:val="center"/>
          </w:tcPr>
          <w:p w14:paraId="1B0B80D1">
            <w:pPr>
              <w:jc w:val="right"/>
              <w:rPr>
                <w:rFonts w:ascii="Calibri" w:hAnsi="Calibri"/>
                <w:sz w:val="20"/>
                <w:szCs w:val="20"/>
              </w:rPr>
            </w:pPr>
            <w:r>
              <w:rPr>
                <w:rFonts w:ascii="Calibri" w:hAnsi="Calibri"/>
                <w:sz w:val="20"/>
                <w:szCs w:val="20"/>
              </w:rPr>
              <w:t>1,018,076,669.77</w:t>
            </w:r>
          </w:p>
        </w:tc>
        <w:tc>
          <w:tcPr>
            <w:tcW w:w="1788" w:type="dxa"/>
            <w:vAlign w:val="center"/>
          </w:tcPr>
          <w:p w14:paraId="1D80BDC7">
            <w:pPr>
              <w:jc w:val="right"/>
              <w:rPr>
                <w:rFonts w:ascii="Calibri" w:hAnsi="Calibri"/>
                <w:sz w:val="20"/>
                <w:szCs w:val="20"/>
              </w:rPr>
            </w:pPr>
            <w:r>
              <w:rPr>
                <w:rFonts w:ascii="Calibri" w:hAnsi="Calibri"/>
                <w:sz w:val="20"/>
                <w:szCs w:val="20"/>
              </w:rPr>
              <w:t>3,432,915,917.08</w:t>
            </w:r>
          </w:p>
        </w:tc>
        <w:tc>
          <w:tcPr>
            <w:tcW w:w="1897" w:type="dxa"/>
            <w:vAlign w:val="center"/>
          </w:tcPr>
          <w:p w14:paraId="45C1981D">
            <w:pPr>
              <w:jc w:val="right"/>
              <w:rPr>
                <w:rFonts w:ascii="Calibri" w:hAnsi="Calibri"/>
                <w:sz w:val="20"/>
                <w:szCs w:val="20"/>
              </w:rPr>
            </w:pPr>
            <w:r>
              <w:rPr>
                <w:rFonts w:ascii="Calibri" w:hAnsi="Calibri"/>
                <w:sz w:val="20"/>
                <w:szCs w:val="20"/>
              </w:rPr>
              <w:t>6,603,502,391.83</w:t>
            </w:r>
          </w:p>
        </w:tc>
      </w:tr>
      <w:tr w14:paraId="4481C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977aa291b254801929edbd8e09eff6f"/>
            <w:id w:val="1106546229"/>
          </w:sdtPr>
          <w:sdtContent>
            <w:tc>
              <w:tcPr>
                <w:tcW w:w="2269" w:type="dxa"/>
                <w:vAlign w:val="center"/>
              </w:tcPr>
              <w:p w14:paraId="0AD841F5">
                <w:pPr>
                  <w:rPr>
                    <w:rFonts w:ascii="Calibri" w:hAnsi="Calibri"/>
                    <w:sz w:val="18"/>
                    <w:szCs w:val="18"/>
                  </w:rPr>
                </w:pPr>
                <w:r>
                  <w:rPr>
                    <w:rFonts w:ascii="Calibri" w:hAnsi="Calibri"/>
                    <w:sz w:val="18"/>
                    <w:szCs w:val="18"/>
                  </w:rPr>
                  <w:t>加：会计政策变更</w:t>
                </w:r>
              </w:p>
            </w:tc>
          </w:sdtContent>
        </w:sdt>
        <w:tc>
          <w:tcPr>
            <w:tcW w:w="1843" w:type="dxa"/>
            <w:tcBorders>
              <w:right w:val="single" w:color="auto" w:sz="4" w:space="0"/>
            </w:tcBorders>
            <w:vAlign w:val="center"/>
          </w:tcPr>
          <w:p w14:paraId="0056DB30">
            <w:pPr>
              <w:jc w:val="right"/>
              <w:rPr>
                <w:rFonts w:ascii="Calibri" w:hAnsi="Calibri"/>
                <w:sz w:val="20"/>
                <w:szCs w:val="20"/>
              </w:rPr>
            </w:pPr>
          </w:p>
        </w:tc>
        <w:tc>
          <w:tcPr>
            <w:tcW w:w="425" w:type="dxa"/>
            <w:tcBorders>
              <w:left w:val="single" w:color="auto" w:sz="4" w:space="0"/>
              <w:right w:val="single" w:color="auto" w:sz="4" w:space="0"/>
            </w:tcBorders>
            <w:vAlign w:val="center"/>
          </w:tcPr>
          <w:p w14:paraId="510FD521">
            <w:pPr>
              <w:jc w:val="right"/>
              <w:rPr>
                <w:rFonts w:ascii="Calibri" w:hAnsi="Calibri"/>
                <w:sz w:val="20"/>
                <w:szCs w:val="20"/>
              </w:rPr>
            </w:pPr>
          </w:p>
        </w:tc>
        <w:tc>
          <w:tcPr>
            <w:tcW w:w="425" w:type="dxa"/>
            <w:tcBorders>
              <w:left w:val="single" w:color="auto" w:sz="4" w:space="0"/>
              <w:right w:val="single" w:color="auto" w:sz="4" w:space="0"/>
            </w:tcBorders>
            <w:vAlign w:val="center"/>
          </w:tcPr>
          <w:p w14:paraId="60CFBD74">
            <w:pPr>
              <w:jc w:val="right"/>
              <w:rPr>
                <w:rFonts w:ascii="Calibri" w:hAnsi="Calibri"/>
                <w:sz w:val="20"/>
                <w:szCs w:val="20"/>
              </w:rPr>
            </w:pPr>
          </w:p>
        </w:tc>
        <w:tc>
          <w:tcPr>
            <w:tcW w:w="426" w:type="dxa"/>
            <w:tcBorders>
              <w:left w:val="single" w:color="auto" w:sz="4" w:space="0"/>
              <w:right w:val="single" w:color="auto" w:sz="4" w:space="0"/>
            </w:tcBorders>
            <w:vAlign w:val="center"/>
          </w:tcPr>
          <w:p w14:paraId="0E15A712">
            <w:pPr>
              <w:jc w:val="right"/>
              <w:rPr>
                <w:rFonts w:ascii="Calibri" w:hAnsi="Calibri"/>
                <w:sz w:val="20"/>
                <w:szCs w:val="20"/>
              </w:rPr>
            </w:pPr>
          </w:p>
        </w:tc>
        <w:tc>
          <w:tcPr>
            <w:tcW w:w="1559" w:type="dxa"/>
            <w:tcBorders>
              <w:left w:val="single" w:color="auto" w:sz="4" w:space="0"/>
            </w:tcBorders>
            <w:vAlign w:val="center"/>
          </w:tcPr>
          <w:p w14:paraId="7C6A2EEB">
            <w:pPr>
              <w:jc w:val="right"/>
              <w:rPr>
                <w:rFonts w:ascii="Calibri" w:hAnsi="Calibri"/>
                <w:sz w:val="20"/>
                <w:szCs w:val="20"/>
              </w:rPr>
            </w:pPr>
          </w:p>
        </w:tc>
        <w:tc>
          <w:tcPr>
            <w:tcW w:w="1701" w:type="dxa"/>
            <w:vAlign w:val="center"/>
          </w:tcPr>
          <w:p w14:paraId="46AADCAC">
            <w:pPr>
              <w:jc w:val="right"/>
              <w:rPr>
                <w:rFonts w:ascii="Calibri" w:hAnsi="Calibri"/>
                <w:sz w:val="20"/>
                <w:szCs w:val="20"/>
              </w:rPr>
            </w:pPr>
          </w:p>
        </w:tc>
        <w:tc>
          <w:tcPr>
            <w:tcW w:w="1559" w:type="dxa"/>
            <w:vAlign w:val="center"/>
          </w:tcPr>
          <w:p w14:paraId="4FC3CCDB">
            <w:pPr>
              <w:jc w:val="right"/>
              <w:rPr>
                <w:rFonts w:ascii="Calibri" w:hAnsi="Calibri"/>
                <w:sz w:val="20"/>
                <w:szCs w:val="20"/>
              </w:rPr>
            </w:pPr>
          </w:p>
        </w:tc>
        <w:tc>
          <w:tcPr>
            <w:tcW w:w="1843" w:type="dxa"/>
            <w:vAlign w:val="center"/>
          </w:tcPr>
          <w:p w14:paraId="23174638">
            <w:pPr>
              <w:jc w:val="right"/>
              <w:rPr>
                <w:rFonts w:ascii="Calibri" w:hAnsi="Calibri"/>
                <w:sz w:val="20"/>
                <w:szCs w:val="20"/>
              </w:rPr>
            </w:pPr>
          </w:p>
        </w:tc>
        <w:tc>
          <w:tcPr>
            <w:tcW w:w="1788" w:type="dxa"/>
            <w:vAlign w:val="center"/>
          </w:tcPr>
          <w:p w14:paraId="4007198C">
            <w:pPr>
              <w:jc w:val="right"/>
              <w:rPr>
                <w:rFonts w:ascii="Calibri" w:hAnsi="Calibri"/>
                <w:sz w:val="20"/>
                <w:szCs w:val="20"/>
              </w:rPr>
            </w:pPr>
          </w:p>
        </w:tc>
        <w:tc>
          <w:tcPr>
            <w:tcW w:w="1897" w:type="dxa"/>
            <w:vAlign w:val="center"/>
          </w:tcPr>
          <w:p w14:paraId="1E49B213">
            <w:pPr>
              <w:jc w:val="right"/>
              <w:rPr>
                <w:rFonts w:ascii="Calibri" w:hAnsi="Calibri"/>
                <w:sz w:val="20"/>
                <w:szCs w:val="20"/>
              </w:rPr>
            </w:pPr>
          </w:p>
        </w:tc>
      </w:tr>
      <w:tr w14:paraId="72A08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dcd3d26f66745c0b48a5fac832ef867"/>
            <w:id w:val="-215661956"/>
          </w:sdtPr>
          <w:sdtContent>
            <w:tc>
              <w:tcPr>
                <w:tcW w:w="2269" w:type="dxa"/>
                <w:vAlign w:val="center"/>
              </w:tcPr>
              <w:p w14:paraId="3200DEBE">
                <w:pPr>
                  <w:ind w:firstLine="420" w:firstLineChars="200"/>
                  <w:rPr>
                    <w:rFonts w:ascii="Calibri" w:hAnsi="Calibri"/>
                    <w:sz w:val="18"/>
                    <w:szCs w:val="18"/>
                  </w:rPr>
                </w:pPr>
                <w:r>
                  <w:rPr>
                    <w:rFonts w:ascii="Calibri" w:hAnsi="Calibri"/>
                    <w:sz w:val="18"/>
                    <w:szCs w:val="18"/>
                  </w:rPr>
                  <w:t>前期差错更正</w:t>
                </w:r>
              </w:p>
            </w:tc>
          </w:sdtContent>
        </w:sdt>
        <w:tc>
          <w:tcPr>
            <w:tcW w:w="1843" w:type="dxa"/>
            <w:tcBorders>
              <w:right w:val="single" w:color="auto" w:sz="4" w:space="0"/>
            </w:tcBorders>
            <w:vAlign w:val="center"/>
          </w:tcPr>
          <w:p w14:paraId="1E39E3AD">
            <w:pPr>
              <w:jc w:val="right"/>
              <w:rPr>
                <w:rFonts w:ascii="Calibri" w:hAnsi="Calibri"/>
                <w:sz w:val="20"/>
                <w:szCs w:val="20"/>
              </w:rPr>
            </w:pPr>
          </w:p>
        </w:tc>
        <w:tc>
          <w:tcPr>
            <w:tcW w:w="425" w:type="dxa"/>
            <w:tcBorders>
              <w:left w:val="single" w:color="auto" w:sz="4" w:space="0"/>
              <w:right w:val="single" w:color="auto" w:sz="4" w:space="0"/>
            </w:tcBorders>
            <w:vAlign w:val="center"/>
          </w:tcPr>
          <w:p w14:paraId="5F5A61E7">
            <w:pPr>
              <w:jc w:val="right"/>
              <w:rPr>
                <w:rFonts w:ascii="Calibri" w:hAnsi="Calibri"/>
                <w:sz w:val="20"/>
                <w:szCs w:val="20"/>
              </w:rPr>
            </w:pPr>
          </w:p>
        </w:tc>
        <w:tc>
          <w:tcPr>
            <w:tcW w:w="425" w:type="dxa"/>
            <w:tcBorders>
              <w:left w:val="single" w:color="auto" w:sz="4" w:space="0"/>
              <w:right w:val="single" w:color="auto" w:sz="4" w:space="0"/>
            </w:tcBorders>
            <w:vAlign w:val="center"/>
          </w:tcPr>
          <w:p w14:paraId="491B7A5B">
            <w:pPr>
              <w:jc w:val="right"/>
              <w:rPr>
                <w:rFonts w:ascii="Calibri" w:hAnsi="Calibri"/>
                <w:sz w:val="20"/>
                <w:szCs w:val="20"/>
              </w:rPr>
            </w:pPr>
          </w:p>
        </w:tc>
        <w:tc>
          <w:tcPr>
            <w:tcW w:w="426" w:type="dxa"/>
            <w:tcBorders>
              <w:left w:val="single" w:color="auto" w:sz="4" w:space="0"/>
              <w:right w:val="single" w:color="auto" w:sz="4" w:space="0"/>
            </w:tcBorders>
            <w:vAlign w:val="center"/>
          </w:tcPr>
          <w:p w14:paraId="06B244FE">
            <w:pPr>
              <w:jc w:val="right"/>
              <w:rPr>
                <w:rFonts w:ascii="Calibri" w:hAnsi="Calibri"/>
                <w:sz w:val="20"/>
                <w:szCs w:val="20"/>
              </w:rPr>
            </w:pPr>
          </w:p>
        </w:tc>
        <w:tc>
          <w:tcPr>
            <w:tcW w:w="1559" w:type="dxa"/>
            <w:tcBorders>
              <w:left w:val="single" w:color="auto" w:sz="4" w:space="0"/>
            </w:tcBorders>
            <w:vAlign w:val="center"/>
          </w:tcPr>
          <w:p w14:paraId="64C76EA2">
            <w:pPr>
              <w:jc w:val="right"/>
              <w:rPr>
                <w:rFonts w:ascii="Calibri" w:hAnsi="Calibri"/>
                <w:sz w:val="20"/>
                <w:szCs w:val="20"/>
              </w:rPr>
            </w:pPr>
          </w:p>
        </w:tc>
        <w:tc>
          <w:tcPr>
            <w:tcW w:w="1701" w:type="dxa"/>
            <w:vAlign w:val="center"/>
          </w:tcPr>
          <w:p w14:paraId="214D7414">
            <w:pPr>
              <w:jc w:val="right"/>
              <w:rPr>
                <w:rFonts w:ascii="Calibri" w:hAnsi="Calibri"/>
                <w:sz w:val="20"/>
                <w:szCs w:val="20"/>
              </w:rPr>
            </w:pPr>
          </w:p>
        </w:tc>
        <w:tc>
          <w:tcPr>
            <w:tcW w:w="1559" w:type="dxa"/>
            <w:vAlign w:val="center"/>
          </w:tcPr>
          <w:p w14:paraId="2E3E050B">
            <w:pPr>
              <w:jc w:val="right"/>
              <w:rPr>
                <w:rFonts w:ascii="Calibri" w:hAnsi="Calibri"/>
                <w:sz w:val="20"/>
                <w:szCs w:val="20"/>
              </w:rPr>
            </w:pPr>
          </w:p>
        </w:tc>
        <w:tc>
          <w:tcPr>
            <w:tcW w:w="1843" w:type="dxa"/>
            <w:vAlign w:val="center"/>
          </w:tcPr>
          <w:p w14:paraId="300CB266">
            <w:pPr>
              <w:jc w:val="right"/>
              <w:rPr>
                <w:rFonts w:ascii="Calibri" w:hAnsi="Calibri"/>
                <w:sz w:val="20"/>
                <w:szCs w:val="20"/>
              </w:rPr>
            </w:pPr>
          </w:p>
        </w:tc>
        <w:tc>
          <w:tcPr>
            <w:tcW w:w="1788" w:type="dxa"/>
            <w:vAlign w:val="center"/>
          </w:tcPr>
          <w:p w14:paraId="3BB263B3">
            <w:pPr>
              <w:jc w:val="right"/>
              <w:rPr>
                <w:rFonts w:ascii="Calibri" w:hAnsi="Calibri"/>
                <w:sz w:val="20"/>
                <w:szCs w:val="20"/>
              </w:rPr>
            </w:pPr>
          </w:p>
        </w:tc>
        <w:tc>
          <w:tcPr>
            <w:tcW w:w="1897" w:type="dxa"/>
            <w:vAlign w:val="center"/>
          </w:tcPr>
          <w:p w14:paraId="3425747B">
            <w:pPr>
              <w:jc w:val="right"/>
              <w:rPr>
                <w:rFonts w:ascii="Calibri" w:hAnsi="Calibri"/>
                <w:sz w:val="20"/>
                <w:szCs w:val="20"/>
              </w:rPr>
            </w:pPr>
          </w:p>
        </w:tc>
      </w:tr>
      <w:tr w14:paraId="19FC0F6F">
        <w:tblPrEx>
          <w:tblCellMar>
            <w:top w:w="0" w:type="dxa"/>
            <w:left w:w="108" w:type="dxa"/>
            <w:bottom w:w="0" w:type="dxa"/>
            <w:right w:w="108" w:type="dxa"/>
          </w:tblCellMar>
        </w:tblPrEx>
        <w:trPr>
          <w:trHeight w:val="20" w:hRule="atLeast"/>
        </w:trPr>
        <w:sdt>
          <w:sdtPr>
            <w:tag w:val="_PLD_1e1d4d884e6e401b8c40d08e9d6c5d32"/>
            <w:id w:val="-399598880"/>
          </w:sdtPr>
          <w:sdtContent>
            <w:tc>
              <w:tcPr>
                <w:tcW w:w="2269" w:type="dxa"/>
                <w:vAlign w:val="center"/>
              </w:tcPr>
              <w:p w14:paraId="02C4120C">
                <w:pPr>
                  <w:ind w:firstLine="420" w:firstLineChars="200"/>
                  <w:rPr>
                    <w:rFonts w:ascii="Calibri" w:hAnsi="Calibri"/>
                    <w:sz w:val="18"/>
                    <w:szCs w:val="18"/>
                  </w:rPr>
                </w:pPr>
                <w:r>
                  <w:rPr>
                    <w:rFonts w:hint="eastAsia" w:ascii="Calibri" w:hAnsi="Calibri"/>
                    <w:sz w:val="18"/>
                    <w:szCs w:val="18"/>
                  </w:rPr>
                  <w:t>其他</w:t>
                </w:r>
              </w:p>
            </w:tc>
          </w:sdtContent>
        </w:sdt>
        <w:tc>
          <w:tcPr>
            <w:tcW w:w="1843" w:type="dxa"/>
            <w:tcBorders>
              <w:right w:val="single" w:color="auto" w:sz="4" w:space="0"/>
            </w:tcBorders>
            <w:vAlign w:val="center"/>
          </w:tcPr>
          <w:p w14:paraId="4C36C71B">
            <w:pPr>
              <w:jc w:val="right"/>
              <w:rPr>
                <w:rFonts w:ascii="Calibri" w:hAnsi="Calibri"/>
                <w:sz w:val="20"/>
                <w:szCs w:val="20"/>
              </w:rPr>
            </w:pPr>
          </w:p>
        </w:tc>
        <w:tc>
          <w:tcPr>
            <w:tcW w:w="425" w:type="dxa"/>
            <w:tcBorders>
              <w:left w:val="single" w:color="auto" w:sz="4" w:space="0"/>
              <w:right w:val="single" w:color="auto" w:sz="4" w:space="0"/>
            </w:tcBorders>
            <w:vAlign w:val="center"/>
          </w:tcPr>
          <w:p w14:paraId="621EF0B3">
            <w:pPr>
              <w:jc w:val="right"/>
              <w:rPr>
                <w:rFonts w:ascii="Calibri" w:hAnsi="Calibri"/>
                <w:sz w:val="20"/>
                <w:szCs w:val="20"/>
              </w:rPr>
            </w:pPr>
          </w:p>
        </w:tc>
        <w:tc>
          <w:tcPr>
            <w:tcW w:w="425" w:type="dxa"/>
            <w:tcBorders>
              <w:left w:val="single" w:color="auto" w:sz="4" w:space="0"/>
              <w:right w:val="single" w:color="auto" w:sz="4" w:space="0"/>
            </w:tcBorders>
            <w:vAlign w:val="center"/>
          </w:tcPr>
          <w:p w14:paraId="77BE0894">
            <w:pPr>
              <w:jc w:val="right"/>
              <w:rPr>
                <w:rFonts w:ascii="Calibri" w:hAnsi="Calibri"/>
                <w:sz w:val="20"/>
                <w:szCs w:val="20"/>
              </w:rPr>
            </w:pPr>
          </w:p>
        </w:tc>
        <w:tc>
          <w:tcPr>
            <w:tcW w:w="426" w:type="dxa"/>
            <w:tcBorders>
              <w:left w:val="single" w:color="auto" w:sz="4" w:space="0"/>
              <w:right w:val="single" w:color="auto" w:sz="4" w:space="0"/>
            </w:tcBorders>
            <w:vAlign w:val="center"/>
          </w:tcPr>
          <w:p w14:paraId="14A83D05">
            <w:pPr>
              <w:jc w:val="right"/>
              <w:rPr>
                <w:rFonts w:ascii="Calibri" w:hAnsi="Calibri"/>
                <w:sz w:val="20"/>
                <w:szCs w:val="20"/>
              </w:rPr>
            </w:pPr>
          </w:p>
        </w:tc>
        <w:tc>
          <w:tcPr>
            <w:tcW w:w="1559" w:type="dxa"/>
            <w:tcBorders>
              <w:left w:val="single" w:color="auto" w:sz="4" w:space="0"/>
            </w:tcBorders>
            <w:vAlign w:val="center"/>
          </w:tcPr>
          <w:p w14:paraId="12ED3679">
            <w:pPr>
              <w:jc w:val="right"/>
              <w:rPr>
                <w:rFonts w:ascii="Calibri" w:hAnsi="Calibri"/>
                <w:sz w:val="20"/>
                <w:szCs w:val="20"/>
              </w:rPr>
            </w:pPr>
          </w:p>
        </w:tc>
        <w:tc>
          <w:tcPr>
            <w:tcW w:w="1701" w:type="dxa"/>
            <w:vAlign w:val="center"/>
          </w:tcPr>
          <w:p w14:paraId="77A199E5">
            <w:pPr>
              <w:jc w:val="right"/>
              <w:rPr>
                <w:rFonts w:ascii="Calibri" w:hAnsi="Calibri"/>
                <w:sz w:val="20"/>
                <w:szCs w:val="20"/>
              </w:rPr>
            </w:pPr>
          </w:p>
        </w:tc>
        <w:tc>
          <w:tcPr>
            <w:tcW w:w="1559" w:type="dxa"/>
            <w:vAlign w:val="center"/>
          </w:tcPr>
          <w:p w14:paraId="618C8EE6">
            <w:pPr>
              <w:jc w:val="right"/>
              <w:rPr>
                <w:rFonts w:ascii="Calibri" w:hAnsi="Calibri"/>
                <w:sz w:val="20"/>
                <w:szCs w:val="20"/>
              </w:rPr>
            </w:pPr>
          </w:p>
        </w:tc>
        <w:tc>
          <w:tcPr>
            <w:tcW w:w="1843" w:type="dxa"/>
            <w:vAlign w:val="center"/>
          </w:tcPr>
          <w:p w14:paraId="6037CD85">
            <w:pPr>
              <w:jc w:val="right"/>
              <w:rPr>
                <w:rFonts w:ascii="Calibri" w:hAnsi="Calibri"/>
                <w:sz w:val="20"/>
                <w:szCs w:val="20"/>
              </w:rPr>
            </w:pPr>
          </w:p>
        </w:tc>
        <w:tc>
          <w:tcPr>
            <w:tcW w:w="1788" w:type="dxa"/>
            <w:vAlign w:val="center"/>
          </w:tcPr>
          <w:p w14:paraId="0E787A40">
            <w:pPr>
              <w:jc w:val="right"/>
              <w:rPr>
                <w:rFonts w:ascii="Calibri" w:hAnsi="Calibri"/>
                <w:sz w:val="20"/>
                <w:szCs w:val="20"/>
              </w:rPr>
            </w:pPr>
          </w:p>
        </w:tc>
        <w:tc>
          <w:tcPr>
            <w:tcW w:w="1897" w:type="dxa"/>
            <w:vAlign w:val="center"/>
          </w:tcPr>
          <w:p w14:paraId="7921AA55">
            <w:pPr>
              <w:jc w:val="right"/>
              <w:rPr>
                <w:rFonts w:ascii="Calibri" w:hAnsi="Calibri"/>
                <w:sz w:val="20"/>
                <w:szCs w:val="20"/>
              </w:rPr>
            </w:pPr>
          </w:p>
        </w:tc>
      </w:tr>
      <w:tr w14:paraId="417E7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abc6effbbaad4f92a93b112da199425f"/>
            <w:id w:val="-232468570"/>
          </w:sdtPr>
          <w:sdtContent>
            <w:tc>
              <w:tcPr>
                <w:tcW w:w="2269" w:type="dxa"/>
                <w:vAlign w:val="center"/>
              </w:tcPr>
              <w:p w14:paraId="7F3B1752">
                <w:pPr>
                  <w:rPr>
                    <w:rFonts w:ascii="Calibri" w:hAnsi="Calibri"/>
                    <w:sz w:val="18"/>
                    <w:szCs w:val="18"/>
                  </w:rPr>
                </w:pPr>
                <w:r>
                  <w:rPr>
                    <w:rFonts w:ascii="Calibri" w:hAnsi="Calibri"/>
                    <w:sz w:val="18"/>
                    <w:szCs w:val="18"/>
                  </w:rPr>
                  <w:t>二、本年</w:t>
                </w:r>
                <w:r>
                  <w:rPr>
                    <w:rFonts w:hint="eastAsia" w:ascii="Calibri" w:hAnsi="Calibri"/>
                    <w:sz w:val="18"/>
                    <w:szCs w:val="18"/>
                  </w:rPr>
                  <w:t>期</w:t>
                </w:r>
                <w:r>
                  <w:rPr>
                    <w:rFonts w:ascii="Calibri" w:hAnsi="Calibri"/>
                    <w:sz w:val="18"/>
                    <w:szCs w:val="18"/>
                  </w:rPr>
                  <w:t>初余额</w:t>
                </w:r>
              </w:p>
            </w:tc>
          </w:sdtContent>
        </w:sdt>
        <w:tc>
          <w:tcPr>
            <w:tcW w:w="1843" w:type="dxa"/>
            <w:tcBorders>
              <w:right w:val="single" w:color="auto" w:sz="4" w:space="0"/>
            </w:tcBorders>
            <w:vAlign w:val="center"/>
          </w:tcPr>
          <w:p w14:paraId="2B1711A8">
            <w:pPr>
              <w:jc w:val="right"/>
              <w:rPr>
                <w:rFonts w:ascii="Calibri" w:hAnsi="Calibri"/>
                <w:sz w:val="20"/>
                <w:szCs w:val="20"/>
              </w:rPr>
            </w:pPr>
            <w:r>
              <w:rPr>
                <w:rFonts w:ascii="Calibri" w:hAnsi="Calibri"/>
                <w:sz w:val="20"/>
                <w:szCs w:val="20"/>
              </w:rPr>
              <w:t>1,981,734,074.00</w:t>
            </w:r>
          </w:p>
        </w:tc>
        <w:tc>
          <w:tcPr>
            <w:tcW w:w="425" w:type="dxa"/>
            <w:tcBorders>
              <w:left w:val="single" w:color="auto" w:sz="4" w:space="0"/>
              <w:right w:val="single" w:color="auto" w:sz="4" w:space="0"/>
            </w:tcBorders>
            <w:vAlign w:val="center"/>
          </w:tcPr>
          <w:p w14:paraId="024533F6">
            <w:pPr>
              <w:jc w:val="right"/>
              <w:rPr>
                <w:rFonts w:ascii="Calibri" w:hAnsi="Calibri"/>
                <w:sz w:val="20"/>
                <w:szCs w:val="20"/>
              </w:rPr>
            </w:pPr>
          </w:p>
        </w:tc>
        <w:tc>
          <w:tcPr>
            <w:tcW w:w="425" w:type="dxa"/>
            <w:tcBorders>
              <w:left w:val="single" w:color="auto" w:sz="4" w:space="0"/>
              <w:right w:val="single" w:color="auto" w:sz="4" w:space="0"/>
            </w:tcBorders>
            <w:vAlign w:val="center"/>
          </w:tcPr>
          <w:p w14:paraId="784368E5">
            <w:pPr>
              <w:jc w:val="right"/>
              <w:rPr>
                <w:rFonts w:ascii="Calibri" w:hAnsi="Calibri"/>
                <w:sz w:val="20"/>
                <w:szCs w:val="20"/>
              </w:rPr>
            </w:pPr>
          </w:p>
        </w:tc>
        <w:tc>
          <w:tcPr>
            <w:tcW w:w="426" w:type="dxa"/>
            <w:tcBorders>
              <w:left w:val="single" w:color="auto" w:sz="4" w:space="0"/>
              <w:right w:val="single" w:color="auto" w:sz="4" w:space="0"/>
            </w:tcBorders>
            <w:vAlign w:val="center"/>
          </w:tcPr>
          <w:p w14:paraId="68EB408A">
            <w:pPr>
              <w:jc w:val="right"/>
              <w:rPr>
                <w:rFonts w:ascii="Calibri" w:hAnsi="Calibri"/>
                <w:sz w:val="20"/>
                <w:szCs w:val="20"/>
              </w:rPr>
            </w:pPr>
          </w:p>
        </w:tc>
        <w:tc>
          <w:tcPr>
            <w:tcW w:w="1559" w:type="dxa"/>
            <w:tcBorders>
              <w:left w:val="single" w:color="auto" w:sz="4" w:space="0"/>
            </w:tcBorders>
            <w:vAlign w:val="center"/>
          </w:tcPr>
          <w:p w14:paraId="61250D74">
            <w:pPr>
              <w:jc w:val="right"/>
              <w:rPr>
                <w:rFonts w:ascii="Calibri" w:hAnsi="Calibri"/>
                <w:sz w:val="20"/>
                <w:szCs w:val="20"/>
              </w:rPr>
            </w:pPr>
            <w:r>
              <w:rPr>
                <w:rFonts w:ascii="Calibri" w:hAnsi="Calibri"/>
                <w:sz w:val="20"/>
                <w:szCs w:val="20"/>
              </w:rPr>
              <w:t>464,144,788.49</w:t>
            </w:r>
          </w:p>
        </w:tc>
        <w:tc>
          <w:tcPr>
            <w:tcW w:w="1701" w:type="dxa"/>
            <w:vAlign w:val="center"/>
          </w:tcPr>
          <w:p w14:paraId="406310D0">
            <w:pPr>
              <w:jc w:val="right"/>
              <w:rPr>
                <w:rFonts w:ascii="Calibri" w:hAnsi="Calibri"/>
                <w:sz w:val="20"/>
                <w:szCs w:val="20"/>
              </w:rPr>
            </w:pPr>
            <w:r>
              <w:rPr>
                <w:rFonts w:ascii="Calibri" w:hAnsi="Calibri"/>
                <w:sz w:val="20"/>
                <w:szCs w:val="20"/>
              </w:rPr>
              <w:t>300,279,281.09</w:t>
            </w:r>
          </w:p>
        </w:tc>
        <w:tc>
          <w:tcPr>
            <w:tcW w:w="1559" w:type="dxa"/>
            <w:vAlign w:val="center"/>
          </w:tcPr>
          <w:p w14:paraId="421F1F4C">
            <w:pPr>
              <w:jc w:val="right"/>
              <w:rPr>
                <w:rFonts w:ascii="Calibri" w:hAnsi="Calibri"/>
                <w:sz w:val="20"/>
                <w:szCs w:val="20"/>
              </w:rPr>
            </w:pPr>
            <w:r>
              <w:rPr>
                <w:rFonts w:ascii="Calibri" w:hAnsi="Calibri"/>
                <w:sz w:val="20"/>
                <w:szCs w:val="20"/>
              </w:rPr>
              <w:t>6,910,223.58</w:t>
            </w:r>
          </w:p>
        </w:tc>
        <w:tc>
          <w:tcPr>
            <w:tcW w:w="1843" w:type="dxa"/>
            <w:vAlign w:val="center"/>
          </w:tcPr>
          <w:p w14:paraId="2AA7CE6D">
            <w:pPr>
              <w:jc w:val="right"/>
              <w:rPr>
                <w:rFonts w:ascii="Calibri" w:hAnsi="Calibri"/>
                <w:sz w:val="20"/>
                <w:szCs w:val="20"/>
              </w:rPr>
            </w:pPr>
            <w:r>
              <w:rPr>
                <w:rFonts w:ascii="Calibri" w:hAnsi="Calibri"/>
                <w:sz w:val="20"/>
                <w:szCs w:val="20"/>
              </w:rPr>
              <w:t>1,018,076,669.77</w:t>
            </w:r>
          </w:p>
        </w:tc>
        <w:tc>
          <w:tcPr>
            <w:tcW w:w="1788" w:type="dxa"/>
            <w:vAlign w:val="center"/>
          </w:tcPr>
          <w:p w14:paraId="43C9E770">
            <w:pPr>
              <w:jc w:val="right"/>
              <w:rPr>
                <w:rFonts w:ascii="Calibri" w:hAnsi="Calibri"/>
                <w:sz w:val="20"/>
                <w:szCs w:val="20"/>
              </w:rPr>
            </w:pPr>
            <w:r>
              <w:rPr>
                <w:rFonts w:ascii="Calibri" w:hAnsi="Calibri"/>
                <w:sz w:val="20"/>
                <w:szCs w:val="20"/>
              </w:rPr>
              <w:t>3,432,915,917.08</w:t>
            </w:r>
          </w:p>
        </w:tc>
        <w:tc>
          <w:tcPr>
            <w:tcW w:w="1897" w:type="dxa"/>
            <w:vAlign w:val="center"/>
          </w:tcPr>
          <w:p w14:paraId="7D2E2E9E">
            <w:pPr>
              <w:jc w:val="right"/>
              <w:rPr>
                <w:rFonts w:ascii="Calibri" w:hAnsi="Calibri"/>
                <w:sz w:val="20"/>
                <w:szCs w:val="20"/>
              </w:rPr>
            </w:pPr>
            <w:r>
              <w:rPr>
                <w:rFonts w:ascii="Calibri" w:hAnsi="Calibri"/>
                <w:sz w:val="20"/>
                <w:szCs w:val="20"/>
              </w:rPr>
              <w:t>6,603,502,391.83</w:t>
            </w:r>
          </w:p>
        </w:tc>
      </w:tr>
      <w:tr w14:paraId="03CA0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2eea8f5bd284adbb011ea489737927b"/>
            <w:id w:val="-2042033943"/>
          </w:sdtPr>
          <w:sdtContent>
            <w:tc>
              <w:tcPr>
                <w:tcW w:w="2269" w:type="dxa"/>
                <w:vAlign w:val="center"/>
              </w:tcPr>
              <w:p w14:paraId="544172EC">
                <w:pPr>
                  <w:rPr>
                    <w:rFonts w:ascii="Calibri" w:hAnsi="Calibri"/>
                    <w:sz w:val="18"/>
                    <w:szCs w:val="18"/>
                  </w:rPr>
                </w:pPr>
                <w:r>
                  <w:rPr>
                    <w:rFonts w:ascii="Calibri" w:hAnsi="Calibri"/>
                    <w:sz w:val="18"/>
                    <w:szCs w:val="18"/>
                  </w:rPr>
                  <w:t>三、本</w:t>
                </w:r>
                <w:r>
                  <w:rPr>
                    <w:rFonts w:hint="eastAsia" w:ascii="Calibri" w:hAnsi="Calibri"/>
                    <w:sz w:val="18"/>
                    <w:szCs w:val="18"/>
                  </w:rPr>
                  <w:t>期</w:t>
                </w:r>
                <w:r>
                  <w:rPr>
                    <w:rFonts w:ascii="Calibri" w:hAnsi="Calibri"/>
                    <w:sz w:val="18"/>
                    <w:szCs w:val="18"/>
                  </w:rPr>
                  <w:t>增减变动金额（减少以“－”号填列）</w:t>
                </w:r>
              </w:p>
            </w:tc>
          </w:sdtContent>
        </w:sdt>
        <w:tc>
          <w:tcPr>
            <w:tcW w:w="1843" w:type="dxa"/>
            <w:tcBorders>
              <w:right w:val="single" w:color="auto" w:sz="4" w:space="0"/>
            </w:tcBorders>
            <w:vAlign w:val="center"/>
          </w:tcPr>
          <w:p w14:paraId="76BA0E33">
            <w:pPr>
              <w:jc w:val="right"/>
              <w:rPr>
                <w:rFonts w:ascii="Calibri" w:hAnsi="Calibri"/>
                <w:sz w:val="20"/>
                <w:szCs w:val="20"/>
              </w:rPr>
            </w:pPr>
            <w:r>
              <w:rPr>
                <w:rFonts w:ascii="Calibri" w:hAnsi="Calibri"/>
                <w:sz w:val="20"/>
                <w:szCs w:val="20"/>
              </w:rPr>
              <w:t>-23,191,245.00</w:t>
            </w:r>
          </w:p>
        </w:tc>
        <w:tc>
          <w:tcPr>
            <w:tcW w:w="425" w:type="dxa"/>
            <w:tcBorders>
              <w:left w:val="single" w:color="auto" w:sz="4" w:space="0"/>
              <w:right w:val="single" w:color="auto" w:sz="4" w:space="0"/>
            </w:tcBorders>
            <w:vAlign w:val="center"/>
          </w:tcPr>
          <w:p w14:paraId="2C80E2F6">
            <w:pPr>
              <w:jc w:val="right"/>
              <w:rPr>
                <w:rFonts w:ascii="Calibri" w:hAnsi="Calibri"/>
                <w:sz w:val="20"/>
                <w:szCs w:val="20"/>
              </w:rPr>
            </w:pPr>
          </w:p>
        </w:tc>
        <w:tc>
          <w:tcPr>
            <w:tcW w:w="425" w:type="dxa"/>
            <w:tcBorders>
              <w:left w:val="single" w:color="auto" w:sz="4" w:space="0"/>
              <w:right w:val="single" w:color="auto" w:sz="4" w:space="0"/>
            </w:tcBorders>
            <w:vAlign w:val="center"/>
          </w:tcPr>
          <w:p w14:paraId="286FCFE0">
            <w:pPr>
              <w:jc w:val="right"/>
              <w:rPr>
                <w:rFonts w:ascii="Calibri" w:hAnsi="Calibri"/>
                <w:sz w:val="20"/>
                <w:szCs w:val="20"/>
              </w:rPr>
            </w:pPr>
          </w:p>
        </w:tc>
        <w:tc>
          <w:tcPr>
            <w:tcW w:w="426" w:type="dxa"/>
            <w:tcBorders>
              <w:left w:val="single" w:color="auto" w:sz="4" w:space="0"/>
            </w:tcBorders>
            <w:vAlign w:val="center"/>
          </w:tcPr>
          <w:p w14:paraId="043B939E">
            <w:pPr>
              <w:jc w:val="right"/>
              <w:rPr>
                <w:rFonts w:ascii="Calibri" w:hAnsi="Calibri"/>
                <w:sz w:val="20"/>
                <w:szCs w:val="20"/>
              </w:rPr>
            </w:pPr>
          </w:p>
        </w:tc>
        <w:tc>
          <w:tcPr>
            <w:tcW w:w="1559" w:type="dxa"/>
            <w:vAlign w:val="center"/>
          </w:tcPr>
          <w:p w14:paraId="27C71694">
            <w:pPr>
              <w:jc w:val="right"/>
              <w:rPr>
                <w:rFonts w:ascii="Calibri" w:hAnsi="Calibri"/>
                <w:sz w:val="20"/>
                <w:szCs w:val="20"/>
              </w:rPr>
            </w:pPr>
            <w:r>
              <w:rPr>
                <w:rFonts w:ascii="Calibri" w:hAnsi="Calibri"/>
                <w:sz w:val="20"/>
                <w:szCs w:val="20"/>
              </w:rPr>
              <w:t>-204,517,150.09</w:t>
            </w:r>
          </w:p>
        </w:tc>
        <w:tc>
          <w:tcPr>
            <w:tcW w:w="1701" w:type="dxa"/>
            <w:vAlign w:val="center"/>
          </w:tcPr>
          <w:p w14:paraId="4E542C8C">
            <w:pPr>
              <w:jc w:val="right"/>
              <w:rPr>
                <w:rFonts w:ascii="Calibri" w:hAnsi="Calibri"/>
                <w:sz w:val="20"/>
                <w:szCs w:val="20"/>
              </w:rPr>
            </w:pPr>
            <w:r>
              <w:rPr>
                <w:rFonts w:ascii="Calibri" w:hAnsi="Calibri"/>
                <w:sz w:val="20"/>
                <w:szCs w:val="20"/>
              </w:rPr>
              <w:t>-212,169,378.93</w:t>
            </w:r>
          </w:p>
        </w:tc>
        <w:tc>
          <w:tcPr>
            <w:tcW w:w="1559" w:type="dxa"/>
            <w:vAlign w:val="center"/>
          </w:tcPr>
          <w:p w14:paraId="379A381E">
            <w:pPr>
              <w:jc w:val="right"/>
              <w:rPr>
                <w:rFonts w:ascii="Calibri" w:hAnsi="Calibri"/>
                <w:sz w:val="20"/>
                <w:szCs w:val="20"/>
              </w:rPr>
            </w:pPr>
            <w:r>
              <w:rPr>
                <w:rFonts w:ascii="Calibri" w:hAnsi="Calibri"/>
                <w:sz w:val="20"/>
                <w:szCs w:val="20"/>
              </w:rPr>
              <w:t>3,760,560.85</w:t>
            </w:r>
          </w:p>
        </w:tc>
        <w:tc>
          <w:tcPr>
            <w:tcW w:w="1843" w:type="dxa"/>
            <w:vAlign w:val="center"/>
          </w:tcPr>
          <w:p w14:paraId="2A9FD4DC">
            <w:pPr>
              <w:jc w:val="right"/>
              <w:rPr>
                <w:rFonts w:ascii="Calibri" w:hAnsi="Calibri"/>
                <w:sz w:val="20"/>
                <w:szCs w:val="20"/>
              </w:rPr>
            </w:pPr>
          </w:p>
        </w:tc>
        <w:tc>
          <w:tcPr>
            <w:tcW w:w="1788" w:type="dxa"/>
            <w:vAlign w:val="center"/>
          </w:tcPr>
          <w:p w14:paraId="5CDC647C">
            <w:pPr>
              <w:jc w:val="right"/>
              <w:rPr>
                <w:rFonts w:ascii="Calibri" w:hAnsi="Calibri"/>
                <w:sz w:val="20"/>
                <w:szCs w:val="20"/>
              </w:rPr>
            </w:pPr>
            <w:r>
              <w:rPr>
                <w:rFonts w:ascii="Calibri" w:hAnsi="Calibri"/>
                <w:sz w:val="20"/>
                <w:szCs w:val="20"/>
              </w:rPr>
              <w:t>871,495,791.77</w:t>
            </w:r>
          </w:p>
        </w:tc>
        <w:tc>
          <w:tcPr>
            <w:tcW w:w="1897" w:type="dxa"/>
            <w:vAlign w:val="center"/>
          </w:tcPr>
          <w:p w14:paraId="5DC0B998">
            <w:pPr>
              <w:jc w:val="right"/>
              <w:rPr>
                <w:rFonts w:ascii="Calibri" w:hAnsi="Calibri"/>
                <w:sz w:val="20"/>
                <w:szCs w:val="20"/>
              </w:rPr>
            </w:pPr>
            <w:r>
              <w:rPr>
                <w:rFonts w:ascii="Calibri" w:hAnsi="Calibri"/>
                <w:sz w:val="20"/>
                <w:szCs w:val="20"/>
              </w:rPr>
              <w:t>859,717,336.46</w:t>
            </w:r>
          </w:p>
        </w:tc>
      </w:tr>
      <w:tr w14:paraId="40F9D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6bc7260292e4c19ad140bdfdf1ee46c"/>
            <w:id w:val="298738755"/>
          </w:sdtPr>
          <w:sdtContent>
            <w:tc>
              <w:tcPr>
                <w:tcW w:w="2269" w:type="dxa"/>
                <w:vAlign w:val="center"/>
              </w:tcPr>
              <w:p w14:paraId="58E426D3">
                <w:pPr>
                  <w:rPr>
                    <w:rFonts w:ascii="Calibri" w:hAnsi="Calibri"/>
                    <w:sz w:val="18"/>
                    <w:szCs w:val="18"/>
                  </w:rPr>
                </w:pPr>
                <w:r>
                  <w:rPr>
                    <w:rFonts w:hint="eastAsia" w:ascii="Calibri" w:hAnsi="Calibri"/>
                    <w:sz w:val="18"/>
                    <w:szCs w:val="18"/>
                  </w:rPr>
                  <w:t>（一）综合收益总额</w:t>
                </w:r>
              </w:p>
            </w:tc>
          </w:sdtContent>
        </w:sdt>
        <w:tc>
          <w:tcPr>
            <w:tcW w:w="1843" w:type="dxa"/>
            <w:tcBorders>
              <w:right w:val="single" w:color="auto" w:sz="4" w:space="0"/>
            </w:tcBorders>
            <w:vAlign w:val="center"/>
          </w:tcPr>
          <w:p w14:paraId="5F5611E2">
            <w:pPr>
              <w:jc w:val="right"/>
              <w:rPr>
                <w:rFonts w:ascii="Calibri" w:hAnsi="Calibri"/>
                <w:sz w:val="20"/>
                <w:szCs w:val="20"/>
              </w:rPr>
            </w:pPr>
          </w:p>
        </w:tc>
        <w:tc>
          <w:tcPr>
            <w:tcW w:w="425" w:type="dxa"/>
            <w:tcBorders>
              <w:left w:val="single" w:color="auto" w:sz="4" w:space="0"/>
              <w:right w:val="single" w:color="auto" w:sz="4" w:space="0"/>
            </w:tcBorders>
            <w:vAlign w:val="center"/>
          </w:tcPr>
          <w:p w14:paraId="3F97C723">
            <w:pPr>
              <w:jc w:val="right"/>
              <w:rPr>
                <w:rFonts w:ascii="Calibri" w:hAnsi="Calibri"/>
                <w:sz w:val="20"/>
                <w:szCs w:val="20"/>
              </w:rPr>
            </w:pPr>
          </w:p>
        </w:tc>
        <w:tc>
          <w:tcPr>
            <w:tcW w:w="425" w:type="dxa"/>
            <w:tcBorders>
              <w:left w:val="single" w:color="auto" w:sz="4" w:space="0"/>
              <w:right w:val="single" w:color="auto" w:sz="4" w:space="0"/>
            </w:tcBorders>
            <w:vAlign w:val="center"/>
          </w:tcPr>
          <w:p w14:paraId="43E9800F">
            <w:pPr>
              <w:jc w:val="right"/>
              <w:rPr>
                <w:rFonts w:ascii="Calibri" w:hAnsi="Calibri"/>
                <w:sz w:val="20"/>
                <w:szCs w:val="20"/>
              </w:rPr>
            </w:pPr>
          </w:p>
        </w:tc>
        <w:tc>
          <w:tcPr>
            <w:tcW w:w="426" w:type="dxa"/>
            <w:tcBorders>
              <w:left w:val="single" w:color="auto" w:sz="4" w:space="0"/>
            </w:tcBorders>
            <w:vAlign w:val="center"/>
          </w:tcPr>
          <w:p w14:paraId="764A5E2F">
            <w:pPr>
              <w:jc w:val="right"/>
              <w:rPr>
                <w:rFonts w:ascii="Calibri" w:hAnsi="Calibri"/>
                <w:sz w:val="20"/>
                <w:szCs w:val="20"/>
              </w:rPr>
            </w:pPr>
          </w:p>
        </w:tc>
        <w:tc>
          <w:tcPr>
            <w:tcW w:w="1559" w:type="dxa"/>
            <w:vAlign w:val="center"/>
          </w:tcPr>
          <w:p w14:paraId="15F68B5C">
            <w:pPr>
              <w:jc w:val="right"/>
              <w:rPr>
                <w:rFonts w:ascii="Calibri" w:hAnsi="Calibri"/>
                <w:sz w:val="20"/>
                <w:szCs w:val="20"/>
              </w:rPr>
            </w:pPr>
            <w:r>
              <w:rPr>
                <w:rFonts w:ascii="Calibri" w:hAnsi="Calibri"/>
                <w:sz w:val="20"/>
                <w:szCs w:val="20"/>
              </w:rPr>
              <w:t>6,532,646.12</w:t>
            </w:r>
          </w:p>
        </w:tc>
        <w:tc>
          <w:tcPr>
            <w:tcW w:w="1701" w:type="dxa"/>
            <w:vAlign w:val="center"/>
          </w:tcPr>
          <w:p w14:paraId="084EB334">
            <w:pPr>
              <w:jc w:val="right"/>
              <w:rPr>
                <w:rFonts w:ascii="Calibri" w:hAnsi="Calibri"/>
                <w:sz w:val="20"/>
                <w:szCs w:val="20"/>
              </w:rPr>
            </w:pPr>
          </w:p>
        </w:tc>
        <w:tc>
          <w:tcPr>
            <w:tcW w:w="1559" w:type="dxa"/>
            <w:vAlign w:val="center"/>
          </w:tcPr>
          <w:p w14:paraId="43926DEC">
            <w:pPr>
              <w:jc w:val="right"/>
              <w:rPr>
                <w:rFonts w:ascii="Calibri" w:hAnsi="Calibri"/>
                <w:sz w:val="20"/>
                <w:szCs w:val="20"/>
              </w:rPr>
            </w:pPr>
            <w:r>
              <w:rPr>
                <w:rFonts w:ascii="Calibri" w:hAnsi="Calibri"/>
                <w:sz w:val="20"/>
                <w:szCs w:val="20"/>
              </w:rPr>
              <w:t>3,760,560.85</w:t>
            </w:r>
          </w:p>
        </w:tc>
        <w:tc>
          <w:tcPr>
            <w:tcW w:w="1843" w:type="dxa"/>
            <w:vAlign w:val="center"/>
          </w:tcPr>
          <w:p w14:paraId="198D6A64">
            <w:pPr>
              <w:jc w:val="right"/>
              <w:rPr>
                <w:rFonts w:ascii="Calibri" w:hAnsi="Calibri"/>
                <w:sz w:val="20"/>
                <w:szCs w:val="20"/>
              </w:rPr>
            </w:pPr>
          </w:p>
        </w:tc>
        <w:tc>
          <w:tcPr>
            <w:tcW w:w="1788" w:type="dxa"/>
            <w:vAlign w:val="center"/>
          </w:tcPr>
          <w:p w14:paraId="459BFD63">
            <w:pPr>
              <w:jc w:val="right"/>
              <w:rPr>
                <w:rFonts w:ascii="Calibri" w:hAnsi="Calibri"/>
                <w:sz w:val="20"/>
                <w:szCs w:val="20"/>
              </w:rPr>
            </w:pPr>
            <w:r>
              <w:rPr>
                <w:rFonts w:ascii="Calibri" w:hAnsi="Calibri"/>
                <w:sz w:val="20"/>
                <w:szCs w:val="20"/>
              </w:rPr>
              <w:t>1,357,362,044.77</w:t>
            </w:r>
          </w:p>
        </w:tc>
        <w:tc>
          <w:tcPr>
            <w:tcW w:w="1897" w:type="dxa"/>
            <w:vAlign w:val="center"/>
          </w:tcPr>
          <w:p w14:paraId="533670A2">
            <w:pPr>
              <w:jc w:val="right"/>
              <w:rPr>
                <w:rFonts w:ascii="Calibri" w:hAnsi="Calibri"/>
                <w:sz w:val="20"/>
                <w:szCs w:val="20"/>
              </w:rPr>
            </w:pPr>
            <w:r>
              <w:rPr>
                <w:rFonts w:ascii="Calibri" w:hAnsi="Calibri"/>
                <w:sz w:val="20"/>
                <w:szCs w:val="20"/>
              </w:rPr>
              <w:t>1,367,655,251.74</w:t>
            </w:r>
          </w:p>
        </w:tc>
      </w:tr>
      <w:tr w14:paraId="0B537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78006a38fe64d8788706ec54fa4a47b"/>
            <w:id w:val="-1419548339"/>
          </w:sdtPr>
          <w:sdtContent>
            <w:tc>
              <w:tcPr>
                <w:tcW w:w="2269" w:type="dxa"/>
                <w:vAlign w:val="center"/>
              </w:tcPr>
              <w:p w14:paraId="172364F7">
                <w:pPr>
                  <w:rPr>
                    <w:rFonts w:ascii="Calibri" w:hAnsi="Calibri"/>
                    <w:sz w:val="18"/>
                    <w:szCs w:val="18"/>
                  </w:rPr>
                </w:pPr>
                <w:r>
                  <w:rPr>
                    <w:rFonts w:ascii="Calibri" w:hAnsi="Calibri"/>
                    <w:sz w:val="18"/>
                    <w:szCs w:val="18"/>
                  </w:rPr>
                  <w:t>（</w:t>
                </w:r>
                <w:r>
                  <w:rPr>
                    <w:rFonts w:hint="eastAsia" w:ascii="Calibri" w:hAnsi="Calibri"/>
                    <w:sz w:val="18"/>
                    <w:szCs w:val="18"/>
                  </w:rPr>
                  <w:t>二</w:t>
                </w:r>
                <w:r>
                  <w:rPr>
                    <w:rFonts w:ascii="Calibri" w:hAnsi="Calibri"/>
                    <w:sz w:val="18"/>
                    <w:szCs w:val="18"/>
                  </w:rPr>
                  <w:t>）所有者投入和减少资本</w:t>
                </w:r>
              </w:p>
            </w:tc>
          </w:sdtContent>
        </w:sdt>
        <w:tc>
          <w:tcPr>
            <w:tcW w:w="1843" w:type="dxa"/>
            <w:tcBorders>
              <w:right w:val="single" w:color="auto" w:sz="4" w:space="0"/>
            </w:tcBorders>
            <w:vAlign w:val="center"/>
          </w:tcPr>
          <w:p w14:paraId="295C3700">
            <w:pPr>
              <w:jc w:val="right"/>
              <w:rPr>
                <w:rFonts w:ascii="Calibri" w:hAnsi="Calibri"/>
                <w:sz w:val="20"/>
                <w:szCs w:val="20"/>
              </w:rPr>
            </w:pPr>
            <w:r>
              <w:rPr>
                <w:rFonts w:ascii="Calibri" w:hAnsi="Calibri"/>
                <w:sz w:val="20"/>
                <w:szCs w:val="20"/>
              </w:rPr>
              <w:t>-23,191,245.00</w:t>
            </w:r>
          </w:p>
        </w:tc>
        <w:tc>
          <w:tcPr>
            <w:tcW w:w="425" w:type="dxa"/>
            <w:tcBorders>
              <w:left w:val="single" w:color="auto" w:sz="4" w:space="0"/>
              <w:right w:val="single" w:color="auto" w:sz="4" w:space="0"/>
            </w:tcBorders>
            <w:vAlign w:val="center"/>
          </w:tcPr>
          <w:p w14:paraId="0F45C136">
            <w:pPr>
              <w:jc w:val="right"/>
              <w:rPr>
                <w:rFonts w:ascii="Calibri" w:hAnsi="Calibri"/>
                <w:sz w:val="20"/>
                <w:szCs w:val="20"/>
              </w:rPr>
            </w:pPr>
          </w:p>
        </w:tc>
        <w:tc>
          <w:tcPr>
            <w:tcW w:w="425" w:type="dxa"/>
            <w:tcBorders>
              <w:left w:val="single" w:color="auto" w:sz="4" w:space="0"/>
              <w:right w:val="single" w:color="auto" w:sz="4" w:space="0"/>
            </w:tcBorders>
            <w:vAlign w:val="center"/>
          </w:tcPr>
          <w:p w14:paraId="6F52F521">
            <w:pPr>
              <w:jc w:val="right"/>
              <w:rPr>
                <w:rFonts w:ascii="Calibri" w:hAnsi="Calibri"/>
                <w:sz w:val="20"/>
                <w:szCs w:val="20"/>
              </w:rPr>
            </w:pPr>
          </w:p>
        </w:tc>
        <w:tc>
          <w:tcPr>
            <w:tcW w:w="426" w:type="dxa"/>
            <w:tcBorders>
              <w:left w:val="single" w:color="auto" w:sz="4" w:space="0"/>
            </w:tcBorders>
            <w:vAlign w:val="center"/>
          </w:tcPr>
          <w:p w14:paraId="028D0348">
            <w:pPr>
              <w:jc w:val="right"/>
              <w:rPr>
                <w:rFonts w:ascii="Calibri" w:hAnsi="Calibri"/>
                <w:sz w:val="20"/>
                <w:szCs w:val="20"/>
              </w:rPr>
            </w:pPr>
          </w:p>
        </w:tc>
        <w:tc>
          <w:tcPr>
            <w:tcW w:w="1559" w:type="dxa"/>
            <w:vAlign w:val="center"/>
          </w:tcPr>
          <w:p w14:paraId="65BE6E34">
            <w:pPr>
              <w:jc w:val="right"/>
              <w:rPr>
                <w:rFonts w:ascii="Calibri" w:hAnsi="Calibri"/>
                <w:sz w:val="20"/>
                <w:szCs w:val="20"/>
              </w:rPr>
            </w:pPr>
            <w:r>
              <w:rPr>
                <w:rFonts w:ascii="Calibri" w:hAnsi="Calibri"/>
                <w:sz w:val="20"/>
                <w:szCs w:val="20"/>
              </w:rPr>
              <w:t>-211,000,762.99</w:t>
            </w:r>
          </w:p>
        </w:tc>
        <w:tc>
          <w:tcPr>
            <w:tcW w:w="1701" w:type="dxa"/>
            <w:vAlign w:val="center"/>
          </w:tcPr>
          <w:p w14:paraId="31B3225B">
            <w:pPr>
              <w:jc w:val="right"/>
              <w:rPr>
                <w:rFonts w:ascii="Calibri" w:hAnsi="Calibri"/>
                <w:sz w:val="20"/>
                <w:szCs w:val="20"/>
              </w:rPr>
            </w:pPr>
            <w:r>
              <w:rPr>
                <w:rFonts w:ascii="Calibri" w:hAnsi="Calibri"/>
                <w:sz w:val="20"/>
                <w:szCs w:val="20"/>
              </w:rPr>
              <w:t>-212,169,378.93</w:t>
            </w:r>
          </w:p>
        </w:tc>
        <w:tc>
          <w:tcPr>
            <w:tcW w:w="1559" w:type="dxa"/>
            <w:vAlign w:val="center"/>
          </w:tcPr>
          <w:p w14:paraId="75FD3B4E">
            <w:pPr>
              <w:jc w:val="right"/>
              <w:rPr>
                <w:rFonts w:ascii="Calibri" w:hAnsi="Calibri"/>
                <w:sz w:val="20"/>
                <w:szCs w:val="20"/>
              </w:rPr>
            </w:pPr>
          </w:p>
        </w:tc>
        <w:tc>
          <w:tcPr>
            <w:tcW w:w="1843" w:type="dxa"/>
            <w:vAlign w:val="center"/>
          </w:tcPr>
          <w:p w14:paraId="71500952">
            <w:pPr>
              <w:jc w:val="right"/>
              <w:rPr>
                <w:rFonts w:ascii="Calibri" w:hAnsi="Calibri"/>
                <w:sz w:val="20"/>
                <w:szCs w:val="20"/>
              </w:rPr>
            </w:pPr>
          </w:p>
        </w:tc>
        <w:tc>
          <w:tcPr>
            <w:tcW w:w="1788" w:type="dxa"/>
            <w:vAlign w:val="center"/>
          </w:tcPr>
          <w:p w14:paraId="4B629670">
            <w:pPr>
              <w:jc w:val="right"/>
              <w:rPr>
                <w:rFonts w:ascii="Calibri" w:hAnsi="Calibri"/>
                <w:sz w:val="20"/>
                <w:szCs w:val="20"/>
              </w:rPr>
            </w:pPr>
          </w:p>
        </w:tc>
        <w:tc>
          <w:tcPr>
            <w:tcW w:w="1897" w:type="dxa"/>
            <w:vAlign w:val="center"/>
          </w:tcPr>
          <w:p w14:paraId="1D1DDF62">
            <w:pPr>
              <w:jc w:val="right"/>
              <w:rPr>
                <w:rFonts w:ascii="Calibri" w:hAnsi="Calibri"/>
                <w:sz w:val="20"/>
                <w:szCs w:val="20"/>
              </w:rPr>
            </w:pPr>
            <w:r>
              <w:rPr>
                <w:rFonts w:ascii="Calibri" w:hAnsi="Calibri"/>
                <w:sz w:val="20"/>
                <w:szCs w:val="20"/>
              </w:rPr>
              <w:t>-22,022,629.06</w:t>
            </w:r>
          </w:p>
        </w:tc>
      </w:tr>
      <w:tr w14:paraId="7D514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7b7ce2356df4876b71161948845f6e6"/>
            <w:id w:val="146324739"/>
          </w:sdtPr>
          <w:sdtContent>
            <w:tc>
              <w:tcPr>
                <w:tcW w:w="2269" w:type="dxa"/>
                <w:vAlign w:val="center"/>
              </w:tcPr>
              <w:p w14:paraId="34E51425">
                <w:pPr>
                  <w:rPr>
                    <w:rFonts w:ascii="Calibri" w:hAnsi="Calibri"/>
                    <w:sz w:val="18"/>
                    <w:szCs w:val="18"/>
                  </w:rPr>
                </w:pPr>
                <w:r>
                  <w:rPr>
                    <w:rFonts w:hint="eastAsia" w:ascii="Calibri" w:hAnsi="Calibri"/>
                    <w:sz w:val="18"/>
                    <w:szCs w:val="18"/>
                  </w:rPr>
                  <w:t>1．所有者投入的普通股</w:t>
                </w:r>
              </w:p>
            </w:tc>
          </w:sdtContent>
        </w:sdt>
        <w:tc>
          <w:tcPr>
            <w:tcW w:w="1843" w:type="dxa"/>
            <w:tcBorders>
              <w:right w:val="single" w:color="auto" w:sz="4" w:space="0"/>
            </w:tcBorders>
            <w:vAlign w:val="center"/>
          </w:tcPr>
          <w:p w14:paraId="072B74DA">
            <w:pPr>
              <w:jc w:val="right"/>
              <w:rPr>
                <w:rFonts w:ascii="Calibri" w:hAnsi="Calibri"/>
                <w:sz w:val="20"/>
                <w:szCs w:val="20"/>
              </w:rPr>
            </w:pPr>
          </w:p>
        </w:tc>
        <w:tc>
          <w:tcPr>
            <w:tcW w:w="425" w:type="dxa"/>
            <w:tcBorders>
              <w:left w:val="single" w:color="auto" w:sz="4" w:space="0"/>
              <w:right w:val="single" w:color="auto" w:sz="4" w:space="0"/>
            </w:tcBorders>
            <w:vAlign w:val="center"/>
          </w:tcPr>
          <w:p w14:paraId="60CA965E">
            <w:pPr>
              <w:jc w:val="right"/>
              <w:rPr>
                <w:rFonts w:ascii="Calibri" w:hAnsi="Calibri"/>
                <w:sz w:val="20"/>
                <w:szCs w:val="20"/>
              </w:rPr>
            </w:pPr>
          </w:p>
        </w:tc>
        <w:tc>
          <w:tcPr>
            <w:tcW w:w="425" w:type="dxa"/>
            <w:tcBorders>
              <w:left w:val="single" w:color="auto" w:sz="4" w:space="0"/>
              <w:right w:val="single" w:color="auto" w:sz="4" w:space="0"/>
            </w:tcBorders>
            <w:vAlign w:val="center"/>
          </w:tcPr>
          <w:p w14:paraId="3A28B6BB">
            <w:pPr>
              <w:jc w:val="right"/>
              <w:rPr>
                <w:rFonts w:ascii="Calibri" w:hAnsi="Calibri"/>
                <w:sz w:val="20"/>
                <w:szCs w:val="20"/>
              </w:rPr>
            </w:pPr>
          </w:p>
        </w:tc>
        <w:tc>
          <w:tcPr>
            <w:tcW w:w="426" w:type="dxa"/>
            <w:tcBorders>
              <w:left w:val="single" w:color="auto" w:sz="4" w:space="0"/>
            </w:tcBorders>
            <w:vAlign w:val="center"/>
          </w:tcPr>
          <w:p w14:paraId="18579BF5">
            <w:pPr>
              <w:jc w:val="right"/>
              <w:rPr>
                <w:rFonts w:ascii="Calibri" w:hAnsi="Calibri"/>
                <w:sz w:val="20"/>
                <w:szCs w:val="20"/>
              </w:rPr>
            </w:pPr>
          </w:p>
        </w:tc>
        <w:tc>
          <w:tcPr>
            <w:tcW w:w="1559" w:type="dxa"/>
            <w:vAlign w:val="center"/>
          </w:tcPr>
          <w:p w14:paraId="1E1F1A11">
            <w:pPr>
              <w:jc w:val="right"/>
              <w:rPr>
                <w:rFonts w:ascii="Calibri" w:hAnsi="Calibri"/>
                <w:sz w:val="20"/>
                <w:szCs w:val="20"/>
              </w:rPr>
            </w:pPr>
          </w:p>
        </w:tc>
        <w:tc>
          <w:tcPr>
            <w:tcW w:w="1701" w:type="dxa"/>
            <w:vAlign w:val="center"/>
          </w:tcPr>
          <w:p w14:paraId="59FF0A55">
            <w:pPr>
              <w:jc w:val="right"/>
              <w:rPr>
                <w:rFonts w:ascii="Calibri" w:hAnsi="Calibri"/>
                <w:sz w:val="20"/>
                <w:szCs w:val="20"/>
              </w:rPr>
            </w:pPr>
          </w:p>
        </w:tc>
        <w:tc>
          <w:tcPr>
            <w:tcW w:w="1559" w:type="dxa"/>
            <w:vAlign w:val="center"/>
          </w:tcPr>
          <w:p w14:paraId="6F29E340">
            <w:pPr>
              <w:jc w:val="right"/>
              <w:rPr>
                <w:rFonts w:ascii="Calibri" w:hAnsi="Calibri"/>
                <w:sz w:val="20"/>
                <w:szCs w:val="20"/>
              </w:rPr>
            </w:pPr>
          </w:p>
        </w:tc>
        <w:tc>
          <w:tcPr>
            <w:tcW w:w="1843" w:type="dxa"/>
            <w:vAlign w:val="center"/>
          </w:tcPr>
          <w:p w14:paraId="707BEC4B">
            <w:pPr>
              <w:jc w:val="right"/>
              <w:rPr>
                <w:rFonts w:ascii="Calibri" w:hAnsi="Calibri"/>
                <w:sz w:val="20"/>
                <w:szCs w:val="20"/>
              </w:rPr>
            </w:pPr>
          </w:p>
        </w:tc>
        <w:tc>
          <w:tcPr>
            <w:tcW w:w="1788" w:type="dxa"/>
            <w:vAlign w:val="center"/>
          </w:tcPr>
          <w:p w14:paraId="0FCD8251">
            <w:pPr>
              <w:jc w:val="right"/>
              <w:rPr>
                <w:rFonts w:ascii="Calibri" w:hAnsi="Calibri"/>
                <w:sz w:val="20"/>
                <w:szCs w:val="20"/>
              </w:rPr>
            </w:pPr>
          </w:p>
        </w:tc>
        <w:tc>
          <w:tcPr>
            <w:tcW w:w="1897" w:type="dxa"/>
            <w:vAlign w:val="center"/>
          </w:tcPr>
          <w:p w14:paraId="67CB480D">
            <w:pPr>
              <w:jc w:val="right"/>
              <w:rPr>
                <w:rFonts w:ascii="Calibri" w:hAnsi="Calibri"/>
                <w:sz w:val="20"/>
                <w:szCs w:val="20"/>
              </w:rPr>
            </w:pPr>
          </w:p>
        </w:tc>
      </w:tr>
      <w:tr w14:paraId="7790B7E4">
        <w:tblPrEx>
          <w:tblCellMar>
            <w:top w:w="0" w:type="dxa"/>
            <w:left w:w="108" w:type="dxa"/>
            <w:bottom w:w="0" w:type="dxa"/>
            <w:right w:w="108" w:type="dxa"/>
          </w:tblCellMar>
        </w:tblPrEx>
        <w:trPr>
          <w:trHeight w:val="20" w:hRule="atLeast"/>
        </w:trPr>
        <w:sdt>
          <w:sdtPr>
            <w:tag w:val="_PLD_364b722055ed48639a8a73b5223e270d"/>
            <w:id w:val="-1966424752"/>
          </w:sdtPr>
          <w:sdtContent>
            <w:tc>
              <w:tcPr>
                <w:tcW w:w="2269" w:type="dxa"/>
                <w:vAlign w:val="center"/>
              </w:tcPr>
              <w:p w14:paraId="7F2481A8">
                <w:pPr>
                  <w:rPr>
                    <w:rFonts w:ascii="Calibri" w:hAnsi="Calibri"/>
                    <w:sz w:val="18"/>
                    <w:szCs w:val="18"/>
                  </w:rPr>
                </w:pPr>
                <w:r>
                  <w:rPr>
                    <w:rFonts w:hint="eastAsia" w:ascii="Calibri" w:hAnsi="Calibri"/>
                    <w:sz w:val="18"/>
                    <w:szCs w:val="18"/>
                  </w:rPr>
                  <w:t>2．其他权益工具持有者投入资本</w:t>
                </w:r>
              </w:p>
            </w:tc>
          </w:sdtContent>
        </w:sdt>
        <w:tc>
          <w:tcPr>
            <w:tcW w:w="1843" w:type="dxa"/>
            <w:tcBorders>
              <w:right w:val="single" w:color="auto" w:sz="4" w:space="0"/>
            </w:tcBorders>
            <w:vAlign w:val="center"/>
          </w:tcPr>
          <w:p w14:paraId="3F5F55DD">
            <w:pPr>
              <w:jc w:val="right"/>
              <w:rPr>
                <w:rFonts w:ascii="Calibri" w:hAnsi="Calibri"/>
                <w:sz w:val="20"/>
                <w:szCs w:val="20"/>
              </w:rPr>
            </w:pPr>
          </w:p>
        </w:tc>
        <w:tc>
          <w:tcPr>
            <w:tcW w:w="425" w:type="dxa"/>
            <w:tcBorders>
              <w:left w:val="single" w:color="auto" w:sz="4" w:space="0"/>
              <w:right w:val="single" w:color="auto" w:sz="4" w:space="0"/>
            </w:tcBorders>
            <w:vAlign w:val="center"/>
          </w:tcPr>
          <w:p w14:paraId="0B315D0F">
            <w:pPr>
              <w:jc w:val="right"/>
              <w:rPr>
                <w:rFonts w:ascii="Calibri" w:hAnsi="Calibri"/>
                <w:sz w:val="20"/>
                <w:szCs w:val="20"/>
              </w:rPr>
            </w:pPr>
          </w:p>
        </w:tc>
        <w:tc>
          <w:tcPr>
            <w:tcW w:w="425" w:type="dxa"/>
            <w:tcBorders>
              <w:left w:val="single" w:color="auto" w:sz="4" w:space="0"/>
              <w:right w:val="single" w:color="auto" w:sz="4" w:space="0"/>
            </w:tcBorders>
            <w:vAlign w:val="center"/>
          </w:tcPr>
          <w:p w14:paraId="4C9ACCCA">
            <w:pPr>
              <w:jc w:val="right"/>
              <w:rPr>
                <w:rFonts w:ascii="Calibri" w:hAnsi="Calibri"/>
                <w:sz w:val="20"/>
                <w:szCs w:val="20"/>
              </w:rPr>
            </w:pPr>
          </w:p>
        </w:tc>
        <w:tc>
          <w:tcPr>
            <w:tcW w:w="426" w:type="dxa"/>
            <w:tcBorders>
              <w:left w:val="single" w:color="auto" w:sz="4" w:space="0"/>
            </w:tcBorders>
            <w:vAlign w:val="center"/>
          </w:tcPr>
          <w:p w14:paraId="6BF860E6">
            <w:pPr>
              <w:jc w:val="right"/>
              <w:rPr>
                <w:rFonts w:ascii="Calibri" w:hAnsi="Calibri"/>
                <w:sz w:val="20"/>
                <w:szCs w:val="20"/>
              </w:rPr>
            </w:pPr>
          </w:p>
        </w:tc>
        <w:tc>
          <w:tcPr>
            <w:tcW w:w="1559" w:type="dxa"/>
            <w:vAlign w:val="center"/>
          </w:tcPr>
          <w:p w14:paraId="1CB59E41">
            <w:pPr>
              <w:jc w:val="right"/>
              <w:rPr>
                <w:rFonts w:ascii="Calibri" w:hAnsi="Calibri"/>
                <w:sz w:val="20"/>
                <w:szCs w:val="20"/>
              </w:rPr>
            </w:pPr>
          </w:p>
        </w:tc>
        <w:tc>
          <w:tcPr>
            <w:tcW w:w="1701" w:type="dxa"/>
            <w:vAlign w:val="center"/>
          </w:tcPr>
          <w:p w14:paraId="5BB785D8">
            <w:pPr>
              <w:jc w:val="right"/>
              <w:rPr>
                <w:rFonts w:ascii="Calibri" w:hAnsi="Calibri"/>
                <w:sz w:val="20"/>
                <w:szCs w:val="20"/>
              </w:rPr>
            </w:pPr>
          </w:p>
        </w:tc>
        <w:tc>
          <w:tcPr>
            <w:tcW w:w="1559" w:type="dxa"/>
            <w:vAlign w:val="center"/>
          </w:tcPr>
          <w:p w14:paraId="38B62B9D">
            <w:pPr>
              <w:jc w:val="right"/>
              <w:rPr>
                <w:rFonts w:ascii="Calibri" w:hAnsi="Calibri"/>
                <w:sz w:val="20"/>
                <w:szCs w:val="20"/>
              </w:rPr>
            </w:pPr>
          </w:p>
        </w:tc>
        <w:tc>
          <w:tcPr>
            <w:tcW w:w="1843" w:type="dxa"/>
            <w:vAlign w:val="center"/>
          </w:tcPr>
          <w:p w14:paraId="7C598274">
            <w:pPr>
              <w:jc w:val="right"/>
              <w:rPr>
                <w:rFonts w:ascii="Calibri" w:hAnsi="Calibri"/>
                <w:sz w:val="20"/>
                <w:szCs w:val="20"/>
              </w:rPr>
            </w:pPr>
          </w:p>
        </w:tc>
        <w:tc>
          <w:tcPr>
            <w:tcW w:w="1788" w:type="dxa"/>
            <w:vAlign w:val="center"/>
          </w:tcPr>
          <w:p w14:paraId="7CED25E5">
            <w:pPr>
              <w:jc w:val="right"/>
              <w:rPr>
                <w:rFonts w:ascii="Calibri" w:hAnsi="Calibri"/>
                <w:sz w:val="20"/>
                <w:szCs w:val="20"/>
              </w:rPr>
            </w:pPr>
          </w:p>
        </w:tc>
        <w:tc>
          <w:tcPr>
            <w:tcW w:w="1897" w:type="dxa"/>
            <w:vAlign w:val="center"/>
          </w:tcPr>
          <w:p w14:paraId="7A58CC9B">
            <w:pPr>
              <w:jc w:val="right"/>
              <w:rPr>
                <w:rFonts w:ascii="Calibri" w:hAnsi="Calibri"/>
                <w:sz w:val="20"/>
                <w:szCs w:val="20"/>
              </w:rPr>
            </w:pPr>
          </w:p>
        </w:tc>
      </w:tr>
      <w:tr w14:paraId="2E8F3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24ee219054e4248b57b186593db85a6"/>
            <w:id w:val="-55785963"/>
          </w:sdtPr>
          <w:sdtContent>
            <w:tc>
              <w:tcPr>
                <w:tcW w:w="2269" w:type="dxa"/>
                <w:vAlign w:val="center"/>
              </w:tcPr>
              <w:p w14:paraId="79773CEA">
                <w:pPr>
                  <w:rPr>
                    <w:rFonts w:ascii="Calibri" w:hAnsi="Calibri"/>
                    <w:sz w:val="18"/>
                    <w:szCs w:val="18"/>
                  </w:rPr>
                </w:pPr>
                <w:r>
                  <w:rPr>
                    <w:rFonts w:hint="eastAsia" w:ascii="Calibri" w:hAnsi="Calibri"/>
                    <w:sz w:val="18"/>
                    <w:szCs w:val="18"/>
                  </w:rPr>
                  <w:t>3</w:t>
                </w:r>
                <w:r>
                  <w:rPr>
                    <w:rFonts w:ascii="Calibri" w:hAnsi="Calibri"/>
                    <w:sz w:val="18"/>
                    <w:szCs w:val="18"/>
                  </w:rPr>
                  <w:t>．股份支付计入所有者权益的金额</w:t>
                </w:r>
              </w:p>
            </w:tc>
          </w:sdtContent>
        </w:sdt>
        <w:tc>
          <w:tcPr>
            <w:tcW w:w="1843" w:type="dxa"/>
            <w:tcBorders>
              <w:right w:val="single" w:color="auto" w:sz="4" w:space="0"/>
            </w:tcBorders>
            <w:vAlign w:val="center"/>
          </w:tcPr>
          <w:p w14:paraId="07BE8F21">
            <w:pPr>
              <w:jc w:val="right"/>
              <w:rPr>
                <w:rFonts w:ascii="Calibri" w:hAnsi="Calibri"/>
                <w:sz w:val="20"/>
                <w:szCs w:val="20"/>
              </w:rPr>
            </w:pPr>
          </w:p>
        </w:tc>
        <w:tc>
          <w:tcPr>
            <w:tcW w:w="425" w:type="dxa"/>
            <w:tcBorders>
              <w:left w:val="single" w:color="auto" w:sz="4" w:space="0"/>
              <w:right w:val="single" w:color="auto" w:sz="4" w:space="0"/>
            </w:tcBorders>
            <w:vAlign w:val="center"/>
          </w:tcPr>
          <w:p w14:paraId="2EEE4F8F">
            <w:pPr>
              <w:jc w:val="right"/>
              <w:rPr>
                <w:rFonts w:ascii="Calibri" w:hAnsi="Calibri"/>
                <w:sz w:val="20"/>
                <w:szCs w:val="20"/>
              </w:rPr>
            </w:pPr>
          </w:p>
        </w:tc>
        <w:tc>
          <w:tcPr>
            <w:tcW w:w="425" w:type="dxa"/>
            <w:tcBorders>
              <w:left w:val="single" w:color="auto" w:sz="4" w:space="0"/>
              <w:right w:val="single" w:color="auto" w:sz="4" w:space="0"/>
            </w:tcBorders>
            <w:vAlign w:val="center"/>
          </w:tcPr>
          <w:p w14:paraId="18C3BFB4">
            <w:pPr>
              <w:jc w:val="right"/>
              <w:rPr>
                <w:rFonts w:ascii="Calibri" w:hAnsi="Calibri"/>
                <w:sz w:val="20"/>
                <w:szCs w:val="20"/>
              </w:rPr>
            </w:pPr>
          </w:p>
        </w:tc>
        <w:tc>
          <w:tcPr>
            <w:tcW w:w="426" w:type="dxa"/>
            <w:tcBorders>
              <w:left w:val="single" w:color="auto" w:sz="4" w:space="0"/>
            </w:tcBorders>
            <w:vAlign w:val="center"/>
          </w:tcPr>
          <w:p w14:paraId="46147819">
            <w:pPr>
              <w:jc w:val="right"/>
              <w:rPr>
                <w:rFonts w:ascii="Calibri" w:hAnsi="Calibri"/>
                <w:sz w:val="20"/>
                <w:szCs w:val="20"/>
              </w:rPr>
            </w:pPr>
          </w:p>
        </w:tc>
        <w:tc>
          <w:tcPr>
            <w:tcW w:w="1559" w:type="dxa"/>
            <w:vAlign w:val="center"/>
          </w:tcPr>
          <w:p w14:paraId="2CCCFAD9">
            <w:pPr>
              <w:jc w:val="right"/>
              <w:rPr>
                <w:rFonts w:ascii="Calibri" w:hAnsi="Calibri"/>
                <w:sz w:val="20"/>
                <w:szCs w:val="20"/>
              </w:rPr>
            </w:pPr>
            <w:r>
              <w:rPr>
                <w:rFonts w:ascii="Calibri" w:hAnsi="Calibri"/>
                <w:sz w:val="20"/>
                <w:szCs w:val="20"/>
              </w:rPr>
              <w:t>5,574,000.00</w:t>
            </w:r>
          </w:p>
        </w:tc>
        <w:tc>
          <w:tcPr>
            <w:tcW w:w="1701" w:type="dxa"/>
            <w:vAlign w:val="center"/>
          </w:tcPr>
          <w:p w14:paraId="1274D530">
            <w:pPr>
              <w:jc w:val="right"/>
              <w:rPr>
                <w:rFonts w:ascii="Calibri" w:hAnsi="Calibri"/>
                <w:sz w:val="20"/>
                <w:szCs w:val="20"/>
              </w:rPr>
            </w:pPr>
            <w:r>
              <w:rPr>
                <w:rFonts w:ascii="Calibri" w:hAnsi="Calibri"/>
                <w:sz w:val="20"/>
                <w:szCs w:val="20"/>
              </w:rPr>
              <w:t>67,818,400.00</w:t>
            </w:r>
          </w:p>
        </w:tc>
        <w:tc>
          <w:tcPr>
            <w:tcW w:w="1559" w:type="dxa"/>
            <w:vAlign w:val="center"/>
          </w:tcPr>
          <w:p w14:paraId="7E829631">
            <w:pPr>
              <w:jc w:val="right"/>
              <w:rPr>
                <w:rFonts w:ascii="Calibri" w:hAnsi="Calibri"/>
                <w:sz w:val="20"/>
                <w:szCs w:val="20"/>
              </w:rPr>
            </w:pPr>
          </w:p>
        </w:tc>
        <w:tc>
          <w:tcPr>
            <w:tcW w:w="1843" w:type="dxa"/>
            <w:vAlign w:val="center"/>
          </w:tcPr>
          <w:p w14:paraId="4444609A">
            <w:pPr>
              <w:jc w:val="right"/>
              <w:rPr>
                <w:rFonts w:ascii="Calibri" w:hAnsi="Calibri"/>
                <w:sz w:val="20"/>
                <w:szCs w:val="20"/>
              </w:rPr>
            </w:pPr>
          </w:p>
        </w:tc>
        <w:tc>
          <w:tcPr>
            <w:tcW w:w="1788" w:type="dxa"/>
            <w:vAlign w:val="center"/>
          </w:tcPr>
          <w:p w14:paraId="1D02BC08">
            <w:pPr>
              <w:jc w:val="right"/>
              <w:rPr>
                <w:rFonts w:ascii="Calibri" w:hAnsi="Calibri"/>
                <w:sz w:val="20"/>
                <w:szCs w:val="20"/>
              </w:rPr>
            </w:pPr>
          </w:p>
        </w:tc>
        <w:tc>
          <w:tcPr>
            <w:tcW w:w="1897" w:type="dxa"/>
            <w:vAlign w:val="center"/>
          </w:tcPr>
          <w:p w14:paraId="0961620A">
            <w:pPr>
              <w:jc w:val="right"/>
              <w:rPr>
                <w:rFonts w:ascii="Calibri" w:hAnsi="Calibri"/>
                <w:sz w:val="20"/>
                <w:szCs w:val="20"/>
              </w:rPr>
            </w:pPr>
            <w:r>
              <w:rPr>
                <w:rFonts w:ascii="Calibri" w:hAnsi="Calibri"/>
                <w:sz w:val="20"/>
                <w:szCs w:val="20"/>
              </w:rPr>
              <w:t>-62,244,400.00</w:t>
            </w:r>
          </w:p>
        </w:tc>
      </w:tr>
      <w:tr w14:paraId="50743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bb07b8c813f401e9b889121fc03b9bd"/>
            <w:id w:val="2025967103"/>
          </w:sdtPr>
          <w:sdtContent>
            <w:tc>
              <w:tcPr>
                <w:tcW w:w="2269" w:type="dxa"/>
                <w:vAlign w:val="center"/>
              </w:tcPr>
              <w:p w14:paraId="2B08A853">
                <w:pPr>
                  <w:rPr>
                    <w:rFonts w:ascii="Calibri" w:hAnsi="Calibri"/>
                    <w:sz w:val="18"/>
                    <w:szCs w:val="18"/>
                  </w:rPr>
                </w:pPr>
                <w:r>
                  <w:rPr>
                    <w:rFonts w:hint="eastAsia" w:ascii="Calibri" w:hAnsi="Calibri"/>
                    <w:sz w:val="18"/>
                    <w:szCs w:val="18"/>
                  </w:rPr>
                  <w:t>4</w:t>
                </w:r>
                <w:r>
                  <w:rPr>
                    <w:rFonts w:ascii="Calibri" w:hAnsi="Calibri"/>
                    <w:sz w:val="18"/>
                    <w:szCs w:val="18"/>
                  </w:rPr>
                  <w:t>．其他</w:t>
                </w:r>
              </w:p>
            </w:tc>
          </w:sdtContent>
        </w:sdt>
        <w:tc>
          <w:tcPr>
            <w:tcW w:w="1843" w:type="dxa"/>
            <w:tcBorders>
              <w:right w:val="single" w:color="auto" w:sz="4" w:space="0"/>
            </w:tcBorders>
            <w:vAlign w:val="center"/>
          </w:tcPr>
          <w:p w14:paraId="27EC7EBA">
            <w:pPr>
              <w:jc w:val="right"/>
              <w:rPr>
                <w:rFonts w:ascii="Calibri" w:hAnsi="Calibri"/>
                <w:sz w:val="20"/>
                <w:szCs w:val="20"/>
              </w:rPr>
            </w:pPr>
            <w:r>
              <w:rPr>
                <w:rFonts w:ascii="Calibri" w:hAnsi="Calibri"/>
                <w:sz w:val="20"/>
                <w:szCs w:val="20"/>
              </w:rPr>
              <w:t>-23,191,245.00</w:t>
            </w:r>
          </w:p>
        </w:tc>
        <w:tc>
          <w:tcPr>
            <w:tcW w:w="425" w:type="dxa"/>
            <w:tcBorders>
              <w:left w:val="single" w:color="auto" w:sz="4" w:space="0"/>
              <w:right w:val="single" w:color="auto" w:sz="4" w:space="0"/>
            </w:tcBorders>
            <w:vAlign w:val="center"/>
          </w:tcPr>
          <w:p w14:paraId="1A7A8BA9">
            <w:pPr>
              <w:jc w:val="right"/>
              <w:rPr>
                <w:rFonts w:ascii="Calibri" w:hAnsi="Calibri"/>
                <w:sz w:val="20"/>
                <w:szCs w:val="20"/>
              </w:rPr>
            </w:pPr>
          </w:p>
        </w:tc>
        <w:tc>
          <w:tcPr>
            <w:tcW w:w="425" w:type="dxa"/>
            <w:tcBorders>
              <w:left w:val="single" w:color="auto" w:sz="4" w:space="0"/>
              <w:right w:val="single" w:color="auto" w:sz="4" w:space="0"/>
            </w:tcBorders>
            <w:vAlign w:val="center"/>
          </w:tcPr>
          <w:p w14:paraId="495BC3F8">
            <w:pPr>
              <w:jc w:val="right"/>
              <w:rPr>
                <w:rFonts w:ascii="Calibri" w:hAnsi="Calibri"/>
                <w:sz w:val="20"/>
                <w:szCs w:val="20"/>
              </w:rPr>
            </w:pPr>
          </w:p>
        </w:tc>
        <w:tc>
          <w:tcPr>
            <w:tcW w:w="426" w:type="dxa"/>
            <w:tcBorders>
              <w:left w:val="single" w:color="auto" w:sz="4" w:space="0"/>
            </w:tcBorders>
            <w:vAlign w:val="center"/>
          </w:tcPr>
          <w:p w14:paraId="2007EE09">
            <w:pPr>
              <w:jc w:val="right"/>
              <w:rPr>
                <w:rFonts w:ascii="Calibri" w:hAnsi="Calibri"/>
                <w:sz w:val="20"/>
                <w:szCs w:val="20"/>
              </w:rPr>
            </w:pPr>
          </w:p>
        </w:tc>
        <w:tc>
          <w:tcPr>
            <w:tcW w:w="1559" w:type="dxa"/>
            <w:vAlign w:val="center"/>
          </w:tcPr>
          <w:p w14:paraId="3E1CC597">
            <w:pPr>
              <w:jc w:val="right"/>
              <w:rPr>
                <w:rFonts w:ascii="Calibri" w:hAnsi="Calibri"/>
                <w:sz w:val="20"/>
                <w:szCs w:val="20"/>
              </w:rPr>
            </w:pPr>
            <w:r>
              <w:rPr>
                <w:rFonts w:ascii="Calibri" w:hAnsi="Calibri"/>
                <w:sz w:val="20"/>
                <w:szCs w:val="20"/>
              </w:rPr>
              <w:t>-216,574,762.99</w:t>
            </w:r>
          </w:p>
        </w:tc>
        <w:tc>
          <w:tcPr>
            <w:tcW w:w="1701" w:type="dxa"/>
            <w:vAlign w:val="center"/>
          </w:tcPr>
          <w:p w14:paraId="21ACBE21">
            <w:pPr>
              <w:jc w:val="right"/>
              <w:rPr>
                <w:rFonts w:ascii="Calibri" w:hAnsi="Calibri"/>
                <w:sz w:val="20"/>
                <w:szCs w:val="20"/>
              </w:rPr>
            </w:pPr>
            <w:r>
              <w:rPr>
                <w:rFonts w:ascii="Calibri" w:hAnsi="Calibri"/>
                <w:sz w:val="20"/>
                <w:szCs w:val="20"/>
              </w:rPr>
              <w:t>-279,987,778.93</w:t>
            </w:r>
          </w:p>
        </w:tc>
        <w:tc>
          <w:tcPr>
            <w:tcW w:w="1559" w:type="dxa"/>
            <w:vAlign w:val="center"/>
          </w:tcPr>
          <w:p w14:paraId="3B874F95">
            <w:pPr>
              <w:jc w:val="right"/>
              <w:rPr>
                <w:rFonts w:ascii="Calibri" w:hAnsi="Calibri"/>
                <w:sz w:val="20"/>
                <w:szCs w:val="20"/>
              </w:rPr>
            </w:pPr>
          </w:p>
        </w:tc>
        <w:tc>
          <w:tcPr>
            <w:tcW w:w="1843" w:type="dxa"/>
            <w:vAlign w:val="center"/>
          </w:tcPr>
          <w:p w14:paraId="647C44A8">
            <w:pPr>
              <w:jc w:val="right"/>
              <w:rPr>
                <w:rFonts w:ascii="Calibri" w:hAnsi="Calibri"/>
                <w:sz w:val="20"/>
                <w:szCs w:val="20"/>
              </w:rPr>
            </w:pPr>
          </w:p>
        </w:tc>
        <w:tc>
          <w:tcPr>
            <w:tcW w:w="1788" w:type="dxa"/>
            <w:vAlign w:val="center"/>
          </w:tcPr>
          <w:p w14:paraId="05326079">
            <w:pPr>
              <w:jc w:val="right"/>
              <w:rPr>
                <w:rFonts w:ascii="Calibri" w:hAnsi="Calibri"/>
                <w:sz w:val="20"/>
                <w:szCs w:val="20"/>
              </w:rPr>
            </w:pPr>
          </w:p>
        </w:tc>
        <w:tc>
          <w:tcPr>
            <w:tcW w:w="1897" w:type="dxa"/>
            <w:vAlign w:val="center"/>
          </w:tcPr>
          <w:p w14:paraId="23F9FF10">
            <w:pPr>
              <w:jc w:val="right"/>
              <w:rPr>
                <w:rFonts w:ascii="Calibri" w:hAnsi="Calibri"/>
                <w:sz w:val="20"/>
                <w:szCs w:val="20"/>
              </w:rPr>
            </w:pPr>
            <w:r>
              <w:rPr>
                <w:rFonts w:ascii="Calibri" w:hAnsi="Calibri"/>
                <w:sz w:val="20"/>
                <w:szCs w:val="20"/>
              </w:rPr>
              <w:t>40,221,770.94</w:t>
            </w:r>
          </w:p>
        </w:tc>
      </w:tr>
      <w:tr w14:paraId="6D9F3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b280cf7ceeaa4dd8b4b782055ca20607"/>
            <w:id w:val="720409256"/>
          </w:sdtPr>
          <w:sdtContent>
            <w:tc>
              <w:tcPr>
                <w:tcW w:w="2269" w:type="dxa"/>
                <w:vAlign w:val="center"/>
              </w:tcPr>
              <w:p w14:paraId="0DD2D4C9">
                <w:pPr>
                  <w:rPr>
                    <w:rFonts w:ascii="Calibri" w:hAnsi="Calibri"/>
                    <w:sz w:val="18"/>
                    <w:szCs w:val="18"/>
                  </w:rPr>
                </w:pPr>
                <w:r>
                  <w:rPr>
                    <w:rFonts w:ascii="Calibri" w:hAnsi="Calibri"/>
                    <w:sz w:val="18"/>
                    <w:szCs w:val="18"/>
                  </w:rPr>
                  <w:t>（</w:t>
                </w:r>
                <w:r>
                  <w:rPr>
                    <w:rFonts w:hint="eastAsia" w:ascii="Calibri" w:hAnsi="Calibri"/>
                    <w:sz w:val="18"/>
                    <w:szCs w:val="18"/>
                  </w:rPr>
                  <w:t>三</w:t>
                </w:r>
                <w:r>
                  <w:rPr>
                    <w:rFonts w:ascii="Calibri" w:hAnsi="Calibri"/>
                    <w:sz w:val="18"/>
                    <w:szCs w:val="18"/>
                  </w:rPr>
                  <w:t>）利润分配</w:t>
                </w:r>
              </w:p>
            </w:tc>
          </w:sdtContent>
        </w:sdt>
        <w:tc>
          <w:tcPr>
            <w:tcW w:w="1843" w:type="dxa"/>
            <w:tcBorders>
              <w:right w:val="single" w:color="auto" w:sz="4" w:space="0"/>
            </w:tcBorders>
            <w:vAlign w:val="center"/>
          </w:tcPr>
          <w:p w14:paraId="2A9870AC">
            <w:pPr>
              <w:jc w:val="right"/>
              <w:rPr>
                <w:rFonts w:ascii="Calibri" w:hAnsi="Calibri"/>
                <w:sz w:val="20"/>
                <w:szCs w:val="20"/>
              </w:rPr>
            </w:pPr>
          </w:p>
        </w:tc>
        <w:tc>
          <w:tcPr>
            <w:tcW w:w="425" w:type="dxa"/>
            <w:tcBorders>
              <w:left w:val="single" w:color="auto" w:sz="4" w:space="0"/>
              <w:right w:val="single" w:color="auto" w:sz="4" w:space="0"/>
            </w:tcBorders>
            <w:vAlign w:val="center"/>
          </w:tcPr>
          <w:p w14:paraId="60D6B39B">
            <w:pPr>
              <w:jc w:val="right"/>
              <w:rPr>
                <w:rFonts w:ascii="Calibri" w:hAnsi="Calibri"/>
                <w:sz w:val="20"/>
                <w:szCs w:val="20"/>
              </w:rPr>
            </w:pPr>
          </w:p>
        </w:tc>
        <w:tc>
          <w:tcPr>
            <w:tcW w:w="425" w:type="dxa"/>
            <w:tcBorders>
              <w:left w:val="single" w:color="auto" w:sz="4" w:space="0"/>
              <w:right w:val="single" w:color="auto" w:sz="4" w:space="0"/>
            </w:tcBorders>
            <w:vAlign w:val="center"/>
          </w:tcPr>
          <w:p w14:paraId="6EA7948C">
            <w:pPr>
              <w:jc w:val="right"/>
              <w:rPr>
                <w:rFonts w:ascii="Calibri" w:hAnsi="Calibri"/>
                <w:sz w:val="20"/>
                <w:szCs w:val="20"/>
              </w:rPr>
            </w:pPr>
          </w:p>
        </w:tc>
        <w:tc>
          <w:tcPr>
            <w:tcW w:w="426" w:type="dxa"/>
            <w:tcBorders>
              <w:left w:val="single" w:color="auto" w:sz="4" w:space="0"/>
            </w:tcBorders>
            <w:vAlign w:val="center"/>
          </w:tcPr>
          <w:p w14:paraId="2F07A5AE">
            <w:pPr>
              <w:jc w:val="right"/>
              <w:rPr>
                <w:rFonts w:ascii="Calibri" w:hAnsi="Calibri"/>
                <w:sz w:val="20"/>
                <w:szCs w:val="20"/>
              </w:rPr>
            </w:pPr>
          </w:p>
        </w:tc>
        <w:tc>
          <w:tcPr>
            <w:tcW w:w="1559" w:type="dxa"/>
            <w:vAlign w:val="center"/>
          </w:tcPr>
          <w:p w14:paraId="2ADF612A">
            <w:pPr>
              <w:jc w:val="right"/>
              <w:rPr>
                <w:rFonts w:ascii="Calibri" w:hAnsi="Calibri"/>
                <w:sz w:val="20"/>
                <w:szCs w:val="20"/>
              </w:rPr>
            </w:pPr>
          </w:p>
        </w:tc>
        <w:tc>
          <w:tcPr>
            <w:tcW w:w="1701" w:type="dxa"/>
            <w:vAlign w:val="center"/>
          </w:tcPr>
          <w:p w14:paraId="0896DDFC">
            <w:pPr>
              <w:jc w:val="right"/>
              <w:rPr>
                <w:rFonts w:ascii="Calibri" w:hAnsi="Calibri"/>
                <w:sz w:val="20"/>
                <w:szCs w:val="20"/>
              </w:rPr>
            </w:pPr>
          </w:p>
        </w:tc>
        <w:tc>
          <w:tcPr>
            <w:tcW w:w="1559" w:type="dxa"/>
            <w:vAlign w:val="center"/>
          </w:tcPr>
          <w:p w14:paraId="7DC9B1C5">
            <w:pPr>
              <w:jc w:val="right"/>
              <w:rPr>
                <w:rFonts w:ascii="Calibri" w:hAnsi="Calibri"/>
                <w:sz w:val="20"/>
                <w:szCs w:val="20"/>
              </w:rPr>
            </w:pPr>
          </w:p>
        </w:tc>
        <w:tc>
          <w:tcPr>
            <w:tcW w:w="1843" w:type="dxa"/>
            <w:vAlign w:val="center"/>
          </w:tcPr>
          <w:p w14:paraId="34520CC9">
            <w:pPr>
              <w:jc w:val="right"/>
              <w:rPr>
                <w:rFonts w:ascii="Calibri" w:hAnsi="Calibri"/>
                <w:sz w:val="20"/>
                <w:szCs w:val="20"/>
              </w:rPr>
            </w:pPr>
          </w:p>
        </w:tc>
        <w:tc>
          <w:tcPr>
            <w:tcW w:w="1788" w:type="dxa"/>
            <w:vAlign w:val="center"/>
          </w:tcPr>
          <w:p w14:paraId="5CC79390">
            <w:pPr>
              <w:jc w:val="right"/>
              <w:rPr>
                <w:rFonts w:ascii="Calibri" w:hAnsi="Calibri"/>
                <w:sz w:val="20"/>
                <w:szCs w:val="20"/>
              </w:rPr>
            </w:pPr>
            <w:r>
              <w:rPr>
                <w:rFonts w:ascii="Calibri" w:hAnsi="Calibri"/>
                <w:sz w:val="20"/>
                <w:szCs w:val="20"/>
              </w:rPr>
              <w:t>-485,866,253.00</w:t>
            </w:r>
          </w:p>
        </w:tc>
        <w:tc>
          <w:tcPr>
            <w:tcW w:w="1897" w:type="dxa"/>
            <w:vAlign w:val="center"/>
          </w:tcPr>
          <w:p w14:paraId="1CCE703E">
            <w:pPr>
              <w:jc w:val="right"/>
              <w:rPr>
                <w:rFonts w:ascii="Calibri" w:hAnsi="Calibri"/>
                <w:sz w:val="20"/>
                <w:szCs w:val="20"/>
              </w:rPr>
            </w:pPr>
            <w:r>
              <w:rPr>
                <w:rFonts w:ascii="Calibri" w:hAnsi="Calibri"/>
                <w:sz w:val="20"/>
                <w:szCs w:val="20"/>
              </w:rPr>
              <w:t>-485,866,253.00</w:t>
            </w:r>
          </w:p>
        </w:tc>
      </w:tr>
      <w:tr w14:paraId="31E71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bae08be416ce4c01886da1cc65a38bd8"/>
            <w:id w:val="-1738467161"/>
          </w:sdtPr>
          <w:sdtContent>
            <w:tc>
              <w:tcPr>
                <w:tcW w:w="2269" w:type="dxa"/>
                <w:vAlign w:val="center"/>
              </w:tcPr>
              <w:p w14:paraId="5EFD6912">
                <w:pPr>
                  <w:rPr>
                    <w:rFonts w:ascii="Calibri" w:hAnsi="Calibri"/>
                    <w:sz w:val="18"/>
                    <w:szCs w:val="18"/>
                  </w:rPr>
                </w:pPr>
                <w:r>
                  <w:rPr>
                    <w:rFonts w:ascii="Calibri" w:hAnsi="Calibri"/>
                    <w:sz w:val="18"/>
                    <w:szCs w:val="18"/>
                  </w:rPr>
                  <w:t>1．提取盈余公积</w:t>
                </w:r>
              </w:p>
            </w:tc>
          </w:sdtContent>
        </w:sdt>
        <w:tc>
          <w:tcPr>
            <w:tcW w:w="1843" w:type="dxa"/>
            <w:tcBorders>
              <w:right w:val="single" w:color="auto" w:sz="4" w:space="0"/>
            </w:tcBorders>
            <w:vAlign w:val="center"/>
          </w:tcPr>
          <w:p w14:paraId="3E1116CB">
            <w:pPr>
              <w:jc w:val="right"/>
              <w:rPr>
                <w:rFonts w:ascii="Calibri" w:hAnsi="Calibri"/>
                <w:sz w:val="20"/>
                <w:szCs w:val="20"/>
              </w:rPr>
            </w:pPr>
          </w:p>
        </w:tc>
        <w:tc>
          <w:tcPr>
            <w:tcW w:w="425" w:type="dxa"/>
            <w:tcBorders>
              <w:left w:val="single" w:color="auto" w:sz="4" w:space="0"/>
              <w:right w:val="single" w:color="auto" w:sz="4" w:space="0"/>
            </w:tcBorders>
            <w:vAlign w:val="center"/>
          </w:tcPr>
          <w:p w14:paraId="2D454036">
            <w:pPr>
              <w:jc w:val="right"/>
              <w:rPr>
                <w:rFonts w:ascii="Calibri" w:hAnsi="Calibri"/>
                <w:sz w:val="20"/>
                <w:szCs w:val="20"/>
              </w:rPr>
            </w:pPr>
          </w:p>
        </w:tc>
        <w:tc>
          <w:tcPr>
            <w:tcW w:w="425" w:type="dxa"/>
            <w:tcBorders>
              <w:left w:val="single" w:color="auto" w:sz="4" w:space="0"/>
              <w:right w:val="single" w:color="auto" w:sz="4" w:space="0"/>
            </w:tcBorders>
            <w:vAlign w:val="center"/>
          </w:tcPr>
          <w:p w14:paraId="072EA0E6">
            <w:pPr>
              <w:jc w:val="right"/>
              <w:rPr>
                <w:rFonts w:ascii="Calibri" w:hAnsi="Calibri"/>
                <w:sz w:val="20"/>
                <w:szCs w:val="20"/>
              </w:rPr>
            </w:pPr>
          </w:p>
        </w:tc>
        <w:tc>
          <w:tcPr>
            <w:tcW w:w="426" w:type="dxa"/>
            <w:tcBorders>
              <w:left w:val="single" w:color="auto" w:sz="4" w:space="0"/>
            </w:tcBorders>
            <w:vAlign w:val="center"/>
          </w:tcPr>
          <w:p w14:paraId="375C6236">
            <w:pPr>
              <w:jc w:val="right"/>
              <w:rPr>
                <w:rFonts w:ascii="Calibri" w:hAnsi="Calibri"/>
                <w:sz w:val="20"/>
                <w:szCs w:val="20"/>
              </w:rPr>
            </w:pPr>
          </w:p>
        </w:tc>
        <w:tc>
          <w:tcPr>
            <w:tcW w:w="1559" w:type="dxa"/>
            <w:vAlign w:val="center"/>
          </w:tcPr>
          <w:p w14:paraId="3F1D8EAF">
            <w:pPr>
              <w:jc w:val="right"/>
              <w:rPr>
                <w:rFonts w:ascii="Calibri" w:hAnsi="Calibri"/>
                <w:sz w:val="20"/>
                <w:szCs w:val="20"/>
              </w:rPr>
            </w:pPr>
          </w:p>
        </w:tc>
        <w:tc>
          <w:tcPr>
            <w:tcW w:w="1701" w:type="dxa"/>
            <w:vAlign w:val="center"/>
          </w:tcPr>
          <w:p w14:paraId="2B91516B">
            <w:pPr>
              <w:jc w:val="right"/>
              <w:rPr>
                <w:rFonts w:ascii="Calibri" w:hAnsi="Calibri"/>
                <w:sz w:val="20"/>
                <w:szCs w:val="20"/>
              </w:rPr>
            </w:pPr>
          </w:p>
        </w:tc>
        <w:tc>
          <w:tcPr>
            <w:tcW w:w="1559" w:type="dxa"/>
            <w:vAlign w:val="center"/>
          </w:tcPr>
          <w:p w14:paraId="5DA02CCC">
            <w:pPr>
              <w:jc w:val="right"/>
              <w:rPr>
                <w:rFonts w:ascii="Calibri" w:hAnsi="Calibri"/>
                <w:sz w:val="20"/>
                <w:szCs w:val="20"/>
              </w:rPr>
            </w:pPr>
          </w:p>
        </w:tc>
        <w:tc>
          <w:tcPr>
            <w:tcW w:w="1843" w:type="dxa"/>
            <w:vAlign w:val="center"/>
          </w:tcPr>
          <w:p w14:paraId="314C8E69">
            <w:pPr>
              <w:jc w:val="right"/>
              <w:rPr>
                <w:rFonts w:ascii="Calibri" w:hAnsi="Calibri"/>
                <w:sz w:val="20"/>
                <w:szCs w:val="20"/>
              </w:rPr>
            </w:pPr>
          </w:p>
        </w:tc>
        <w:tc>
          <w:tcPr>
            <w:tcW w:w="1788" w:type="dxa"/>
            <w:vAlign w:val="center"/>
          </w:tcPr>
          <w:p w14:paraId="670EA141">
            <w:pPr>
              <w:jc w:val="right"/>
              <w:rPr>
                <w:rFonts w:ascii="Calibri" w:hAnsi="Calibri"/>
                <w:sz w:val="20"/>
                <w:szCs w:val="20"/>
              </w:rPr>
            </w:pPr>
          </w:p>
        </w:tc>
        <w:tc>
          <w:tcPr>
            <w:tcW w:w="1897" w:type="dxa"/>
            <w:vAlign w:val="center"/>
          </w:tcPr>
          <w:p w14:paraId="7701B02C">
            <w:pPr>
              <w:jc w:val="right"/>
              <w:rPr>
                <w:rFonts w:ascii="Calibri" w:hAnsi="Calibri"/>
                <w:sz w:val="20"/>
                <w:szCs w:val="20"/>
              </w:rPr>
            </w:pPr>
          </w:p>
        </w:tc>
      </w:tr>
      <w:tr w14:paraId="085F0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4deac8941f8344f99337c17d7e8feb6f"/>
            <w:id w:val="-38662074"/>
          </w:sdtPr>
          <w:sdtContent>
            <w:tc>
              <w:tcPr>
                <w:tcW w:w="2269" w:type="dxa"/>
                <w:vAlign w:val="center"/>
              </w:tcPr>
              <w:p w14:paraId="18A55C8A">
                <w:pPr>
                  <w:rPr>
                    <w:rFonts w:ascii="Calibri" w:hAnsi="Calibri"/>
                    <w:sz w:val="18"/>
                    <w:szCs w:val="18"/>
                  </w:rPr>
                </w:pPr>
                <w:r>
                  <w:rPr>
                    <w:rFonts w:hint="eastAsia" w:ascii="Calibri" w:hAnsi="Calibri"/>
                    <w:sz w:val="18"/>
                    <w:szCs w:val="18"/>
                  </w:rPr>
                  <w:t>2</w:t>
                </w:r>
                <w:r>
                  <w:rPr>
                    <w:rFonts w:ascii="Calibri" w:hAnsi="Calibri"/>
                    <w:sz w:val="18"/>
                    <w:szCs w:val="18"/>
                  </w:rPr>
                  <w:t>．对所有者（或股东）的分配</w:t>
                </w:r>
              </w:p>
            </w:tc>
          </w:sdtContent>
        </w:sdt>
        <w:tc>
          <w:tcPr>
            <w:tcW w:w="1843" w:type="dxa"/>
            <w:tcBorders>
              <w:right w:val="single" w:color="auto" w:sz="4" w:space="0"/>
            </w:tcBorders>
            <w:vAlign w:val="center"/>
          </w:tcPr>
          <w:p w14:paraId="16B903AC">
            <w:pPr>
              <w:jc w:val="right"/>
              <w:rPr>
                <w:rFonts w:ascii="Calibri" w:hAnsi="Calibri"/>
                <w:sz w:val="20"/>
                <w:szCs w:val="20"/>
              </w:rPr>
            </w:pPr>
          </w:p>
        </w:tc>
        <w:tc>
          <w:tcPr>
            <w:tcW w:w="425" w:type="dxa"/>
            <w:tcBorders>
              <w:left w:val="single" w:color="auto" w:sz="4" w:space="0"/>
              <w:right w:val="single" w:color="auto" w:sz="4" w:space="0"/>
            </w:tcBorders>
            <w:vAlign w:val="center"/>
          </w:tcPr>
          <w:p w14:paraId="27CBD8FB">
            <w:pPr>
              <w:jc w:val="right"/>
              <w:rPr>
                <w:rFonts w:ascii="Calibri" w:hAnsi="Calibri"/>
                <w:sz w:val="20"/>
                <w:szCs w:val="20"/>
              </w:rPr>
            </w:pPr>
          </w:p>
        </w:tc>
        <w:tc>
          <w:tcPr>
            <w:tcW w:w="425" w:type="dxa"/>
            <w:tcBorders>
              <w:left w:val="single" w:color="auto" w:sz="4" w:space="0"/>
              <w:right w:val="single" w:color="auto" w:sz="4" w:space="0"/>
            </w:tcBorders>
            <w:vAlign w:val="center"/>
          </w:tcPr>
          <w:p w14:paraId="1879A835">
            <w:pPr>
              <w:jc w:val="right"/>
              <w:rPr>
                <w:rFonts w:ascii="Calibri" w:hAnsi="Calibri"/>
                <w:sz w:val="20"/>
                <w:szCs w:val="20"/>
              </w:rPr>
            </w:pPr>
          </w:p>
        </w:tc>
        <w:tc>
          <w:tcPr>
            <w:tcW w:w="426" w:type="dxa"/>
            <w:tcBorders>
              <w:left w:val="single" w:color="auto" w:sz="4" w:space="0"/>
            </w:tcBorders>
            <w:vAlign w:val="center"/>
          </w:tcPr>
          <w:p w14:paraId="1B81BB0F">
            <w:pPr>
              <w:jc w:val="right"/>
              <w:rPr>
                <w:rFonts w:ascii="Calibri" w:hAnsi="Calibri"/>
                <w:sz w:val="20"/>
                <w:szCs w:val="20"/>
              </w:rPr>
            </w:pPr>
          </w:p>
        </w:tc>
        <w:tc>
          <w:tcPr>
            <w:tcW w:w="1559" w:type="dxa"/>
            <w:vAlign w:val="center"/>
          </w:tcPr>
          <w:p w14:paraId="22EE91DE">
            <w:pPr>
              <w:jc w:val="right"/>
              <w:rPr>
                <w:rFonts w:ascii="Calibri" w:hAnsi="Calibri"/>
                <w:sz w:val="20"/>
                <w:szCs w:val="20"/>
              </w:rPr>
            </w:pPr>
          </w:p>
        </w:tc>
        <w:tc>
          <w:tcPr>
            <w:tcW w:w="1701" w:type="dxa"/>
            <w:vAlign w:val="center"/>
          </w:tcPr>
          <w:p w14:paraId="0D0D5AA1">
            <w:pPr>
              <w:jc w:val="right"/>
              <w:rPr>
                <w:rFonts w:ascii="Calibri" w:hAnsi="Calibri"/>
                <w:sz w:val="20"/>
                <w:szCs w:val="20"/>
              </w:rPr>
            </w:pPr>
          </w:p>
        </w:tc>
        <w:tc>
          <w:tcPr>
            <w:tcW w:w="1559" w:type="dxa"/>
            <w:vAlign w:val="center"/>
          </w:tcPr>
          <w:p w14:paraId="646C64AE">
            <w:pPr>
              <w:jc w:val="right"/>
              <w:rPr>
                <w:rFonts w:ascii="Calibri" w:hAnsi="Calibri"/>
                <w:sz w:val="20"/>
                <w:szCs w:val="20"/>
              </w:rPr>
            </w:pPr>
          </w:p>
        </w:tc>
        <w:tc>
          <w:tcPr>
            <w:tcW w:w="1843" w:type="dxa"/>
            <w:vAlign w:val="center"/>
          </w:tcPr>
          <w:p w14:paraId="6A996143">
            <w:pPr>
              <w:jc w:val="right"/>
              <w:rPr>
                <w:rFonts w:ascii="Calibri" w:hAnsi="Calibri"/>
                <w:sz w:val="20"/>
                <w:szCs w:val="20"/>
              </w:rPr>
            </w:pPr>
          </w:p>
        </w:tc>
        <w:tc>
          <w:tcPr>
            <w:tcW w:w="1788" w:type="dxa"/>
            <w:vAlign w:val="center"/>
          </w:tcPr>
          <w:p w14:paraId="729EE57E">
            <w:pPr>
              <w:jc w:val="right"/>
              <w:rPr>
                <w:rFonts w:ascii="Calibri" w:hAnsi="Calibri"/>
                <w:sz w:val="20"/>
                <w:szCs w:val="20"/>
              </w:rPr>
            </w:pPr>
            <w:r>
              <w:rPr>
                <w:rFonts w:ascii="Calibri" w:hAnsi="Calibri"/>
                <w:sz w:val="20"/>
                <w:szCs w:val="20"/>
              </w:rPr>
              <w:t>-485,866,253.00</w:t>
            </w:r>
          </w:p>
        </w:tc>
        <w:tc>
          <w:tcPr>
            <w:tcW w:w="1897" w:type="dxa"/>
            <w:vAlign w:val="center"/>
          </w:tcPr>
          <w:p w14:paraId="5EB7C5EE">
            <w:pPr>
              <w:jc w:val="right"/>
              <w:rPr>
                <w:rFonts w:ascii="Calibri" w:hAnsi="Calibri"/>
                <w:sz w:val="20"/>
                <w:szCs w:val="20"/>
              </w:rPr>
            </w:pPr>
            <w:r>
              <w:rPr>
                <w:rFonts w:ascii="Calibri" w:hAnsi="Calibri"/>
                <w:sz w:val="20"/>
                <w:szCs w:val="20"/>
              </w:rPr>
              <w:t>-485,866,253.00</w:t>
            </w:r>
          </w:p>
        </w:tc>
      </w:tr>
      <w:tr w14:paraId="47D9A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f58a7e98f194ea88a1175d96b9527b1"/>
            <w:id w:val="-1609343877"/>
          </w:sdtPr>
          <w:sdtContent>
            <w:tc>
              <w:tcPr>
                <w:tcW w:w="2269" w:type="dxa"/>
                <w:vAlign w:val="center"/>
              </w:tcPr>
              <w:p w14:paraId="15A83B00">
                <w:pPr>
                  <w:rPr>
                    <w:rFonts w:ascii="Calibri" w:hAnsi="Calibri"/>
                    <w:sz w:val="18"/>
                    <w:szCs w:val="18"/>
                  </w:rPr>
                </w:pPr>
                <w:r>
                  <w:rPr>
                    <w:rFonts w:hint="eastAsia" w:ascii="Calibri" w:hAnsi="Calibri"/>
                    <w:sz w:val="18"/>
                    <w:szCs w:val="18"/>
                  </w:rPr>
                  <w:t>3</w:t>
                </w:r>
                <w:r>
                  <w:rPr>
                    <w:rFonts w:ascii="Calibri" w:hAnsi="Calibri"/>
                    <w:sz w:val="18"/>
                    <w:szCs w:val="18"/>
                  </w:rPr>
                  <w:t>．其他</w:t>
                </w:r>
              </w:p>
            </w:tc>
          </w:sdtContent>
        </w:sdt>
        <w:tc>
          <w:tcPr>
            <w:tcW w:w="1843" w:type="dxa"/>
            <w:tcBorders>
              <w:right w:val="single" w:color="auto" w:sz="4" w:space="0"/>
            </w:tcBorders>
            <w:vAlign w:val="center"/>
          </w:tcPr>
          <w:p w14:paraId="6B96C00E">
            <w:pPr>
              <w:jc w:val="right"/>
              <w:rPr>
                <w:rFonts w:ascii="Calibri" w:hAnsi="Calibri"/>
                <w:sz w:val="20"/>
                <w:szCs w:val="20"/>
              </w:rPr>
            </w:pPr>
          </w:p>
        </w:tc>
        <w:tc>
          <w:tcPr>
            <w:tcW w:w="425" w:type="dxa"/>
            <w:tcBorders>
              <w:left w:val="single" w:color="auto" w:sz="4" w:space="0"/>
              <w:right w:val="single" w:color="auto" w:sz="4" w:space="0"/>
            </w:tcBorders>
            <w:vAlign w:val="center"/>
          </w:tcPr>
          <w:p w14:paraId="437B6D00">
            <w:pPr>
              <w:jc w:val="right"/>
              <w:rPr>
                <w:rFonts w:ascii="Calibri" w:hAnsi="Calibri"/>
                <w:sz w:val="20"/>
                <w:szCs w:val="20"/>
              </w:rPr>
            </w:pPr>
          </w:p>
        </w:tc>
        <w:tc>
          <w:tcPr>
            <w:tcW w:w="425" w:type="dxa"/>
            <w:tcBorders>
              <w:left w:val="single" w:color="auto" w:sz="4" w:space="0"/>
              <w:right w:val="single" w:color="auto" w:sz="4" w:space="0"/>
            </w:tcBorders>
            <w:vAlign w:val="center"/>
          </w:tcPr>
          <w:p w14:paraId="2A6E3E04">
            <w:pPr>
              <w:jc w:val="right"/>
              <w:rPr>
                <w:rFonts w:ascii="Calibri" w:hAnsi="Calibri"/>
                <w:sz w:val="20"/>
                <w:szCs w:val="20"/>
              </w:rPr>
            </w:pPr>
          </w:p>
        </w:tc>
        <w:tc>
          <w:tcPr>
            <w:tcW w:w="426" w:type="dxa"/>
            <w:tcBorders>
              <w:left w:val="single" w:color="auto" w:sz="4" w:space="0"/>
            </w:tcBorders>
            <w:vAlign w:val="center"/>
          </w:tcPr>
          <w:p w14:paraId="3896A259">
            <w:pPr>
              <w:jc w:val="right"/>
              <w:rPr>
                <w:rFonts w:ascii="Calibri" w:hAnsi="Calibri"/>
                <w:sz w:val="20"/>
                <w:szCs w:val="20"/>
              </w:rPr>
            </w:pPr>
          </w:p>
        </w:tc>
        <w:tc>
          <w:tcPr>
            <w:tcW w:w="1559" w:type="dxa"/>
            <w:vAlign w:val="center"/>
          </w:tcPr>
          <w:p w14:paraId="72E0AE3C">
            <w:pPr>
              <w:jc w:val="right"/>
              <w:rPr>
                <w:rFonts w:ascii="Calibri" w:hAnsi="Calibri"/>
                <w:sz w:val="20"/>
                <w:szCs w:val="20"/>
              </w:rPr>
            </w:pPr>
          </w:p>
        </w:tc>
        <w:tc>
          <w:tcPr>
            <w:tcW w:w="1701" w:type="dxa"/>
            <w:vAlign w:val="center"/>
          </w:tcPr>
          <w:p w14:paraId="2ECF63F2">
            <w:pPr>
              <w:jc w:val="right"/>
              <w:rPr>
                <w:rFonts w:ascii="Calibri" w:hAnsi="Calibri"/>
                <w:sz w:val="20"/>
                <w:szCs w:val="20"/>
              </w:rPr>
            </w:pPr>
          </w:p>
        </w:tc>
        <w:tc>
          <w:tcPr>
            <w:tcW w:w="1559" w:type="dxa"/>
            <w:vAlign w:val="center"/>
          </w:tcPr>
          <w:p w14:paraId="61401C8C">
            <w:pPr>
              <w:jc w:val="right"/>
              <w:rPr>
                <w:rFonts w:ascii="Calibri" w:hAnsi="Calibri"/>
                <w:sz w:val="20"/>
                <w:szCs w:val="20"/>
              </w:rPr>
            </w:pPr>
          </w:p>
        </w:tc>
        <w:tc>
          <w:tcPr>
            <w:tcW w:w="1843" w:type="dxa"/>
            <w:vAlign w:val="center"/>
          </w:tcPr>
          <w:p w14:paraId="43DC40BD">
            <w:pPr>
              <w:jc w:val="right"/>
              <w:rPr>
                <w:rFonts w:ascii="Calibri" w:hAnsi="Calibri"/>
                <w:sz w:val="20"/>
                <w:szCs w:val="20"/>
              </w:rPr>
            </w:pPr>
          </w:p>
        </w:tc>
        <w:tc>
          <w:tcPr>
            <w:tcW w:w="1788" w:type="dxa"/>
            <w:vAlign w:val="center"/>
          </w:tcPr>
          <w:p w14:paraId="7195E4A4">
            <w:pPr>
              <w:jc w:val="right"/>
              <w:rPr>
                <w:rFonts w:ascii="Calibri" w:hAnsi="Calibri"/>
                <w:sz w:val="20"/>
                <w:szCs w:val="20"/>
              </w:rPr>
            </w:pPr>
          </w:p>
        </w:tc>
        <w:tc>
          <w:tcPr>
            <w:tcW w:w="1897" w:type="dxa"/>
            <w:vAlign w:val="center"/>
          </w:tcPr>
          <w:p w14:paraId="3346FC2A">
            <w:pPr>
              <w:jc w:val="right"/>
              <w:rPr>
                <w:rFonts w:ascii="Calibri" w:hAnsi="Calibri"/>
                <w:sz w:val="20"/>
                <w:szCs w:val="20"/>
              </w:rPr>
            </w:pPr>
          </w:p>
        </w:tc>
      </w:tr>
      <w:tr w14:paraId="03190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938fb7f04ef4f54b6183645ffa42f40"/>
            <w:id w:val="1138697174"/>
          </w:sdtPr>
          <w:sdtContent>
            <w:tc>
              <w:tcPr>
                <w:tcW w:w="2269" w:type="dxa"/>
                <w:vAlign w:val="center"/>
              </w:tcPr>
              <w:p w14:paraId="6948F5D3">
                <w:pPr>
                  <w:rPr>
                    <w:rFonts w:ascii="Calibri" w:hAnsi="Calibri"/>
                    <w:sz w:val="18"/>
                    <w:szCs w:val="18"/>
                  </w:rPr>
                </w:pPr>
                <w:r>
                  <w:rPr>
                    <w:rFonts w:ascii="Calibri" w:hAnsi="Calibri"/>
                    <w:sz w:val="18"/>
                    <w:szCs w:val="18"/>
                  </w:rPr>
                  <w:t>（</w:t>
                </w:r>
                <w:r>
                  <w:rPr>
                    <w:rFonts w:hint="eastAsia" w:ascii="Calibri" w:hAnsi="Calibri"/>
                    <w:sz w:val="18"/>
                    <w:szCs w:val="18"/>
                  </w:rPr>
                  <w:t>四</w:t>
                </w:r>
                <w:r>
                  <w:rPr>
                    <w:rFonts w:ascii="Calibri" w:hAnsi="Calibri"/>
                    <w:sz w:val="18"/>
                    <w:szCs w:val="18"/>
                  </w:rPr>
                  <w:t>）所有者权益内部结转</w:t>
                </w:r>
              </w:p>
            </w:tc>
          </w:sdtContent>
        </w:sdt>
        <w:tc>
          <w:tcPr>
            <w:tcW w:w="1843" w:type="dxa"/>
            <w:tcBorders>
              <w:right w:val="single" w:color="auto" w:sz="4" w:space="0"/>
            </w:tcBorders>
            <w:vAlign w:val="center"/>
          </w:tcPr>
          <w:p w14:paraId="23A781B4">
            <w:pPr>
              <w:jc w:val="right"/>
              <w:rPr>
                <w:rFonts w:ascii="Calibri" w:hAnsi="Calibri"/>
                <w:sz w:val="20"/>
                <w:szCs w:val="20"/>
              </w:rPr>
            </w:pPr>
          </w:p>
        </w:tc>
        <w:tc>
          <w:tcPr>
            <w:tcW w:w="425" w:type="dxa"/>
            <w:tcBorders>
              <w:left w:val="single" w:color="auto" w:sz="4" w:space="0"/>
              <w:right w:val="single" w:color="auto" w:sz="4" w:space="0"/>
            </w:tcBorders>
            <w:vAlign w:val="center"/>
          </w:tcPr>
          <w:p w14:paraId="3B8C4A80">
            <w:pPr>
              <w:jc w:val="right"/>
              <w:rPr>
                <w:rFonts w:ascii="Calibri" w:hAnsi="Calibri"/>
                <w:sz w:val="20"/>
                <w:szCs w:val="20"/>
              </w:rPr>
            </w:pPr>
          </w:p>
        </w:tc>
        <w:tc>
          <w:tcPr>
            <w:tcW w:w="425" w:type="dxa"/>
            <w:tcBorders>
              <w:left w:val="single" w:color="auto" w:sz="4" w:space="0"/>
              <w:right w:val="single" w:color="auto" w:sz="4" w:space="0"/>
            </w:tcBorders>
            <w:vAlign w:val="center"/>
          </w:tcPr>
          <w:p w14:paraId="7B44492A">
            <w:pPr>
              <w:jc w:val="right"/>
              <w:rPr>
                <w:rFonts w:ascii="Calibri" w:hAnsi="Calibri"/>
                <w:sz w:val="20"/>
                <w:szCs w:val="20"/>
              </w:rPr>
            </w:pPr>
          </w:p>
        </w:tc>
        <w:tc>
          <w:tcPr>
            <w:tcW w:w="426" w:type="dxa"/>
            <w:tcBorders>
              <w:left w:val="single" w:color="auto" w:sz="4" w:space="0"/>
            </w:tcBorders>
            <w:vAlign w:val="center"/>
          </w:tcPr>
          <w:p w14:paraId="658BFA90">
            <w:pPr>
              <w:jc w:val="right"/>
              <w:rPr>
                <w:rFonts w:ascii="Calibri" w:hAnsi="Calibri"/>
                <w:sz w:val="20"/>
                <w:szCs w:val="20"/>
              </w:rPr>
            </w:pPr>
          </w:p>
        </w:tc>
        <w:tc>
          <w:tcPr>
            <w:tcW w:w="1559" w:type="dxa"/>
            <w:vAlign w:val="center"/>
          </w:tcPr>
          <w:p w14:paraId="247E3EA8">
            <w:pPr>
              <w:jc w:val="right"/>
              <w:rPr>
                <w:rFonts w:ascii="Calibri" w:hAnsi="Calibri"/>
                <w:sz w:val="20"/>
                <w:szCs w:val="20"/>
              </w:rPr>
            </w:pPr>
          </w:p>
        </w:tc>
        <w:tc>
          <w:tcPr>
            <w:tcW w:w="1701" w:type="dxa"/>
            <w:vAlign w:val="center"/>
          </w:tcPr>
          <w:p w14:paraId="490166A2">
            <w:pPr>
              <w:jc w:val="right"/>
              <w:rPr>
                <w:rFonts w:ascii="Calibri" w:hAnsi="Calibri"/>
                <w:sz w:val="20"/>
                <w:szCs w:val="20"/>
              </w:rPr>
            </w:pPr>
          </w:p>
        </w:tc>
        <w:tc>
          <w:tcPr>
            <w:tcW w:w="1559" w:type="dxa"/>
            <w:vAlign w:val="center"/>
          </w:tcPr>
          <w:p w14:paraId="44DA2F9C">
            <w:pPr>
              <w:jc w:val="right"/>
              <w:rPr>
                <w:rFonts w:ascii="Calibri" w:hAnsi="Calibri"/>
                <w:sz w:val="20"/>
                <w:szCs w:val="20"/>
              </w:rPr>
            </w:pPr>
          </w:p>
        </w:tc>
        <w:tc>
          <w:tcPr>
            <w:tcW w:w="1843" w:type="dxa"/>
            <w:vAlign w:val="center"/>
          </w:tcPr>
          <w:p w14:paraId="26C3CB10">
            <w:pPr>
              <w:jc w:val="right"/>
              <w:rPr>
                <w:rFonts w:ascii="Calibri" w:hAnsi="Calibri"/>
                <w:sz w:val="20"/>
                <w:szCs w:val="20"/>
              </w:rPr>
            </w:pPr>
          </w:p>
        </w:tc>
        <w:tc>
          <w:tcPr>
            <w:tcW w:w="1788" w:type="dxa"/>
            <w:vAlign w:val="center"/>
          </w:tcPr>
          <w:p w14:paraId="295E8338">
            <w:pPr>
              <w:jc w:val="right"/>
              <w:rPr>
                <w:rFonts w:ascii="Calibri" w:hAnsi="Calibri"/>
                <w:sz w:val="20"/>
                <w:szCs w:val="20"/>
              </w:rPr>
            </w:pPr>
          </w:p>
        </w:tc>
        <w:tc>
          <w:tcPr>
            <w:tcW w:w="1897" w:type="dxa"/>
            <w:vAlign w:val="center"/>
          </w:tcPr>
          <w:p w14:paraId="568D692E">
            <w:pPr>
              <w:jc w:val="right"/>
              <w:rPr>
                <w:rFonts w:ascii="Calibri" w:hAnsi="Calibri"/>
                <w:sz w:val="20"/>
                <w:szCs w:val="20"/>
              </w:rPr>
            </w:pPr>
          </w:p>
        </w:tc>
      </w:tr>
      <w:tr w14:paraId="0D42F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05f473e3b5c4efd99b4c472dc99ddb5"/>
            <w:id w:val="104088884"/>
          </w:sdtPr>
          <w:sdtContent>
            <w:tc>
              <w:tcPr>
                <w:tcW w:w="2269" w:type="dxa"/>
                <w:vAlign w:val="center"/>
              </w:tcPr>
              <w:p w14:paraId="329F7600">
                <w:pPr>
                  <w:rPr>
                    <w:rFonts w:ascii="Calibri" w:hAnsi="Calibri"/>
                    <w:sz w:val="18"/>
                    <w:szCs w:val="18"/>
                  </w:rPr>
                </w:pPr>
                <w:r>
                  <w:rPr>
                    <w:rFonts w:ascii="Calibri" w:hAnsi="Calibri"/>
                    <w:sz w:val="18"/>
                    <w:szCs w:val="18"/>
                  </w:rPr>
                  <w:t>1．资本公积转增资本（或股本）</w:t>
                </w:r>
              </w:p>
            </w:tc>
          </w:sdtContent>
        </w:sdt>
        <w:tc>
          <w:tcPr>
            <w:tcW w:w="1843" w:type="dxa"/>
            <w:tcBorders>
              <w:right w:val="single" w:color="auto" w:sz="4" w:space="0"/>
            </w:tcBorders>
            <w:vAlign w:val="center"/>
          </w:tcPr>
          <w:p w14:paraId="63B60148">
            <w:pPr>
              <w:jc w:val="right"/>
              <w:rPr>
                <w:rFonts w:ascii="Calibri" w:hAnsi="Calibri"/>
                <w:sz w:val="20"/>
                <w:szCs w:val="20"/>
              </w:rPr>
            </w:pPr>
          </w:p>
        </w:tc>
        <w:tc>
          <w:tcPr>
            <w:tcW w:w="425" w:type="dxa"/>
            <w:tcBorders>
              <w:left w:val="single" w:color="auto" w:sz="4" w:space="0"/>
              <w:right w:val="single" w:color="auto" w:sz="4" w:space="0"/>
            </w:tcBorders>
            <w:vAlign w:val="center"/>
          </w:tcPr>
          <w:p w14:paraId="2B8699EB">
            <w:pPr>
              <w:jc w:val="right"/>
              <w:rPr>
                <w:rFonts w:ascii="Calibri" w:hAnsi="Calibri"/>
                <w:sz w:val="20"/>
                <w:szCs w:val="20"/>
              </w:rPr>
            </w:pPr>
          </w:p>
        </w:tc>
        <w:tc>
          <w:tcPr>
            <w:tcW w:w="425" w:type="dxa"/>
            <w:tcBorders>
              <w:left w:val="single" w:color="auto" w:sz="4" w:space="0"/>
              <w:right w:val="single" w:color="auto" w:sz="4" w:space="0"/>
            </w:tcBorders>
            <w:vAlign w:val="center"/>
          </w:tcPr>
          <w:p w14:paraId="2DDFD953">
            <w:pPr>
              <w:jc w:val="right"/>
              <w:rPr>
                <w:rFonts w:ascii="Calibri" w:hAnsi="Calibri"/>
                <w:sz w:val="20"/>
                <w:szCs w:val="20"/>
              </w:rPr>
            </w:pPr>
          </w:p>
        </w:tc>
        <w:tc>
          <w:tcPr>
            <w:tcW w:w="426" w:type="dxa"/>
            <w:tcBorders>
              <w:left w:val="single" w:color="auto" w:sz="4" w:space="0"/>
            </w:tcBorders>
            <w:vAlign w:val="center"/>
          </w:tcPr>
          <w:p w14:paraId="5F2AF97C">
            <w:pPr>
              <w:jc w:val="right"/>
              <w:rPr>
                <w:rFonts w:ascii="Calibri" w:hAnsi="Calibri"/>
                <w:sz w:val="20"/>
                <w:szCs w:val="20"/>
              </w:rPr>
            </w:pPr>
          </w:p>
        </w:tc>
        <w:tc>
          <w:tcPr>
            <w:tcW w:w="1559" w:type="dxa"/>
            <w:vAlign w:val="center"/>
          </w:tcPr>
          <w:p w14:paraId="44F9BDB7">
            <w:pPr>
              <w:jc w:val="right"/>
              <w:rPr>
                <w:rFonts w:ascii="Calibri" w:hAnsi="Calibri"/>
                <w:sz w:val="20"/>
                <w:szCs w:val="20"/>
              </w:rPr>
            </w:pPr>
          </w:p>
        </w:tc>
        <w:tc>
          <w:tcPr>
            <w:tcW w:w="1701" w:type="dxa"/>
            <w:vAlign w:val="center"/>
          </w:tcPr>
          <w:p w14:paraId="6496C37D">
            <w:pPr>
              <w:jc w:val="right"/>
              <w:rPr>
                <w:rFonts w:ascii="Calibri" w:hAnsi="Calibri"/>
                <w:sz w:val="20"/>
                <w:szCs w:val="20"/>
              </w:rPr>
            </w:pPr>
          </w:p>
        </w:tc>
        <w:tc>
          <w:tcPr>
            <w:tcW w:w="1559" w:type="dxa"/>
            <w:vAlign w:val="center"/>
          </w:tcPr>
          <w:p w14:paraId="108ABD6A">
            <w:pPr>
              <w:jc w:val="right"/>
              <w:rPr>
                <w:rFonts w:ascii="Calibri" w:hAnsi="Calibri"/>
                <w:sz w:val="20"/>
                <w:szCs w:val="20"/>
              </w:rPr>
            </w:pPr>
          </w:p>
        </w:tc>
        <w:tc>
          <w:tcPr>
            <w:tcW w:w="1843" w:type="dxa"/>
            <w:vAlign w:val="center"/>
          </w:tcPr>
          <w:p w14:paraId="5EEDBC70">
            <w:pPr>
              <w:jc w:val="right"/>
              <w:rPr>
                <w:rFonts w:ascii="Calibri" w:hAnsi="Calibri"/>
                <w:sz w:val="20"/>
                <w:szCs w:val="20"/>
              </w:rPr>
            </w:pPr>
          </w:p>
        </w:tc>
        <w:tc>
          <w:tcPr>
            <w:tcW w:w="1788" w:type="dxa"/>
            <w:vAlign w:val="center"/>
          </w:tcPr>
          <w:p w14:paraId="5BA6CFBA">
            <w:pPr>
              <w:jc w:val="right"/>
              <w:rPr>
                <w:rFonts w:ascii="Calibri" w:hAnsi="Calibri"/>
                <w:sz w:val="20"/>
                <w:szCs w:val="20"/>
              </w:rPr>
            </w:pPr>
          </w:p>
        </w:tc>
        <w:tc>
          <w:tcPr>
            <w:tcW w:w="1897" w:type="dxa"/>
            <w:vAlign w:val="center"/>
          </w:tcPr>
          <w:p w14:paraId="79E61474">
            <w:pPr>
              <w:jc w:val="right"/>
              <w:rPr>
                <w:rFonts w:ascii="Calibri" w:hAnsi="Calibri"/>
                <w:sz w:val="20"/>
                <w:szCs w:val="20"/>
              </w:rPr>
            </w:pPr>
          </w:p>
        </w:tc>
      </w:tr>
      <w:tr w14:paraId="044F5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c2dd17db22d54e02ba5942412d96f3ac"/>
            <w:id w:val="592286067"/>
          </w:sdtPr>
          <w:sdtContent>
            <w:tc>
              <w:tcPr>
                <w:tcW w:w="2269" w:type="dxa"/>
                <w:vAlign w:val="center"/>
              </w:tcPr>
              <w:p w14:paraId="73D01045">
                <w:pPr>
                  <w:rPr>
                    <w:rFonts w:ascii="Calibri" w:hAnsi="Calibri"/>
                    <w:sz w:val="18"/>
                    <w:szCs w:val="18"/>
                  </w:rPr>
                </w:pPr>
                <w:r>
                  <w:rPr>
                    <w:rFonts w:ascii="Calibri" w:hAnsi="Calibri"/>
                    <w:sz w:val="18"/>
                    <w:szCs w:val="18"/>
                  </w:rPr>
                  <w:t>2．盈余公积转增资本（或股本）</w:t>
                </w:r>
              </w:p>
            </w:tc>
          </w:sdtContent>
        </w:sdt>
        <w:tc>
          <w:tcPr>
            <w:tcW w:w="1843" w:type="dxa"/>
            <w:tcBorders>
              <w:right w:val="single" w:color="auto" w:sz="4" w:space="0"/>
            </w:tcBorders>
            <w:vAlign w:val="center"/>
          </w:tcPr>
          <w:p w14:paraId="1A5271BB">
            <w:pPr>
              <w:jc w:val="right"/>
              <w:rPr>
                <w:rFonts w:ascii="Calibri" w:hAnsi="Calibri"/>
                <w:sz w:val="20"/>
                <w:szCs w:val="20"/>
              </w:rPr>
            </w:pPr>
          </w:p>
        </w:tc>
        <w:tc>
          <w:tcPr>
            <w:tcW w:w="425" w:type="dxa"/>
            <w:tcBorders>
              <w:left w:val="single" w:color="auto" w:sz="4" w:space="0"/>
              <w:right w:val="single" w:color="auto" w:sz="4" w:space="0"/>
            </w:tcBorders>
            <w:vAlign w:val="center"/>
          </w:tcPr>
          <w:p w14:paraId="4364C4C9">
            <w:pPr>
              <w:jc w:val="right"/>
              <w:rPr>
                <w:rFonts w:ascii="Calibri" w:hAnsi="Calibri"/>
                <w:sz w:val="20"/>
                <w:szCs w:val="20"/>
              </w:rPr>
            </w:pPr>
          </w:p>
        </w:tc>
        <w:tc>
          <w:tcPr>
            <w:tcW w:w="425" w:type="dxa"/>
            <w:tcBorders>
              <w:left w:val="single" w:color="auto" w:sz="4" w:space="0"/>
              <w:right w:val="single" w:color="auto" w:sz="4" w:space="0"/>
            </w:tcBorders>
            <w:vAlign w:val="center"/>
          </w:tcPr>
          <w:p w14:paraId="2B17A0DA">
            <w:pPr>
              <w:jc w:val="right"/>
              <w:rPr>
                <w:rFonts w:ascii="Calibri" w:hAnsi="Calibri"/>
                <w:sz w:val="20"/>
                <w:szCs w:val="20"/>
              </w:rPr>
            </w:pPr>
          </w:p>
        </w:tc>
        <w:tc>
          <w:tcPr>
            <w:tcW w:w="426" w:type="dxa"/>
            <w:tcBorders>
              <w:left w:val="single" w:color="auto" w:sz="4" w:space="0"/>
            </w:tcBorders>
            <w:vAlign w:val="center"/>
          </w:tcPr>
          <w:p w14:paraId="42E29444">
            <w:pPr>
              <w:jc w:val="right"/>
              <w:rPr>
                <w:rFonts w:ascii="Calibri" w:hAnsi="Calibri"/>
                <w:sz w:val="20"/>
                <w:szCs w:val="20"/>
              </w:rPr>
            </w:pPr>
          </w:p>
        </w:tc>
        <w:tc>
          <w:tcPr>
            <w:tcW w:w="1559" w:type="dxa"/>
            <w:vAlign w:val="center"/>
          </w:tcPr>
          <w:p w14:paraId="1DE1E1FE">
            <w:pPr>
              <w:jc w:val="right"/>
              <w:rPr>
                <w:rFonts w:ascii="Calibri" w:hAnsi="Calibri"/>
                <w:sz w:val="20"/>
                <w:szCs w:val="20"/>
              </w:rPr>
            </w:pPr>
          </w:p>
        </w:tc>
        <w:tc>
          <w:tcPr>
            <w:tcW w:w="1701" w:type="dxa"/>
            <w:vAlign w:val="center"/>
          </w:tcPr>
          <w:p w14:paraId="323A8E92">
            <w:pPr>
              <w:jc w:val="right"/>
              <w:rPr>
                <w:rFonts w:ascii="Calibri" w:hAnsi="Calibri"/>
                <w:sz w:val="20"/>
                <w:szCs w:val="20"/>
              </w:rPr>
            </w:pPr>
          </w:p>
        </w:tc>
        <w:tc>
          <w:tcPr>
            <w:tcW w:w="1559" w:type="dxa"/>
            <w:vAlign w:val="center"/>
          </w:tcPr>
          <w:p w14:paraId="6F3AF1D4">
            <w:pPr>
              <w:jc w:val="right"/>
              <w:rPr>
                <w:rFonts w:ascii="Calibri" w:hAnsi="Calibri"/>
                <w:sz w:val="20"/>
                <w:szCs w:val="20"/>
              </w:rPr>
            </w:pPr>
          </w:p>
        </w:tc>
        <w:tc>
          <w:tcPr>
            <w:tcW w:w="1843" w:type="dxa"/>
            <w:vAlign w:val="center"/>
          </w:tcPr>
          <w:p w14:paraId="1EA32E7C">
            <w:pPr>
              <w:jc w:val="right"/>
              <w:rPr>
                <w:rFonts w:ascii="Calibri" w:hAnsi="Calibri"/>
                <w:sz w:val="20"/>
                <w:szCs w:val="20"/>
              </w:rPr>
            </w:pPr>
          </w:p>
        </w:tc>
        <w:tc>
          <w:tcPr>
            <w:tcW w:w="1788" w:type="dxa"/>
            <w:vAlign w:val="center"/>
          </w:tcPr>
          <w:p w14:paraId="693D1009">
            <w:pPr>
              <w:jc w:val="right"/>
              <w:rPr>
                <w:rFonts w:ascii="Calibri" w:hAnsi="Calibri"/>
                <w:sz w:val="20"/>
                <w:szCs w:val="20"/>
              </w:rPr>
            </w:pPr>
          </w:p>
        </w:tc>
        <w:tc>
          <w:tcPr>
            <w:tcW w:w="1897" w:type="dxa"/>
            <w:vAlign w:val="center"/>
          </w:tcPr>
          <w:p w14:paraId="4025CFCC">
            <w:pPr>
              <w:jc w:val="right"/>
              <w:rPr>
                <w:rFonts w:ascii="Calibri" w:hAnsi="Calibri"/>
                <w:sz w:val="20"/>
                <w:szCs w:val="20"/>
              </w:rPr>
            </w:pPr>
          </w:p>
        </w:tc>
      </w:tr>
      <w:tr w14:paraId="050EF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de8855f6aaf94578a33d614865e23362"/>
            <w:id w:val="1054509196"/>
          </w:sdtPr>
          <w:sdtContent>
            <w:tc>
              <w:tcPr>
                <w:tcW w:w="2269" w:type="dxa"/>
                <w:vAlign w:val="center"/>
              </w:tcPr>
              <w:p w14:paraId="02E3D68E">
                <w:pPr>
                  <w:rPr>
                    <w:rFonts w:ascii="Calibri" w:hAnsi="Calibri"/>
                    <w:sz w:val="18"/>
                    <w:szCs w:val="18"/>
                  </w:rPr>
                </w:pPr>
                <w:r>
                  <w:rPr>
                    <w:rFonts w:ascii="Calibri" w:hAnsi="Calibri"/>
                    <w:sz w:val="18"/>
                    <w:szCs w:val="18"/>
                  </w:rPr>
                  <w:t>3．盈余公积弥补亏损</w:t>
                </w:r>
              </w:p>
            </w:tc>
          </w:sdtContent>
        </w:sdt>
        <w:tc>
          <w:tcPr>
            <w:tcW w:w="1843" w:type="dxa"/>
            <w:tcBorders>
              <w:right w:val="single" w:color="auto" w:sz="4" w:space="0"/>
            </w:tcBorders>
            <w:vAlign w:val="center"/>
          </w:tcPr>
          <w:p w14:paraId="21430E9C">
            <w:pPr>
              <w:jc w:val="right"/>
              <w:rPr>
                <w:rFonts w:ascii="Calibri" w:hAnsi="Calibri"/>
                <w:sz w:val="20"/>
                <w:szCs w:val="20"/>
              </w:rPr>
            </w:pPr>
          </w:p>
        </w:tc>
        <w:tc>
          <w:tcPr>
            <w:tcW w:w="425" w:type="dxa"/>
            <w:tcBorders>
              <w:left w:val="single" w:color="auto" w:sz="4" w:space="0"/>
              <w:right w:val="single" w:color="auto" w:sz="4" w:space="0"/>
            </w:tcBorders>
            <w:vAlign w:val="center"/>
          </w:tcPr>
          <w:p w14:paraId="44A34978">
            <w:pPr>
              <w:jc w:val="right"/>
              <w:rPr>
                <w:rFonts w:ascii="Calibri" w:hAnsi="Calibri"/>
                <w:sz w:val="20"/>
                <w:szCs w:val="20"/>
              </w:rPr>
            </w:pPr>
          </w:p>
        </w:tc>
        <w:tc>
          <w:tcPr>
            <w:tcW w:w="425" w:type="dxa"/>
            <w:tcBorders>
              <w:left w:val="single" w:color="auto" w:sz="4" w:space="0"/>
              <w:right w:val="single" w:color="auto" w:sz="4" w:space="0"/>
            </w:tcBorders>
            <w:vAlign w:val="center"/>
          </w:tcPr>
          <w:p w14:paraId="1A83A738">
            <w:pPr>
              <w:jc w:val="right"/>
              <w:rPr>
                <w:rFonts w:ascii="Calibri" w:hAnsi="Calibri"/>
                <w:sz w:val="20"/>
                <w:szCs w:val="20"/>
              </w:rPr>
            </w:pPr>
          </w:p>
        </w:tc>
        <w:tc>
          <w:tcPr>
            <w:tcW w:w="426" w:type="dxa"/>
            <w:tcBorders>
              <w:left w:val="single" w:color="auto" w:sz="4" w:space="0"/>
            </w:tcBorders>
            <w:vAlign w:val="center"/>
          </w:tcPr>
          <w:p w14:paraId="4D74BAF6">
            <w:pPr>
              <w:jc w:val="right"/>
              <w:rPr>
                <w:rFonts w:ascii="Calibri" w:hAnsi="Calibri"/>
                <w:sz w:val="20"/>
                <w:szCs w:val="20"/>
              </w:rPr>
            </w:pPr>
          </w:p>
        </w:tc>
        <w:tc>
          <w:tcPr>
            <w:tcW w:w="1559" w:type="dxa"/>
            <w:vAlign w:val="center"/>
          </w:tcPr>
          <w:p w14:paraId="2C68B29B">
            <w:pPr>
              <w:jc w:val="right"/>
              <w:rPr>
                <w:rFonts w:ascii="Calibri" w:hAnsi="Calibri"/>
                <w:sz w:val="20"/>
                <w:szCs w:val="20"/>
              </w:rPr>
            </w:pPr>
          </w:p>
        </w:tc>
        <w:tc>
          <w:tcPr>
            <w:tcW w:w="1701" w:type="dxa"/>
            <w:vAlign w:val="center"/>
          </w:tcPr>
          <w:p w14:paraId="50870178">
            <w:pPr>
              <w:jc w:val="right"/>
              <w:rPr>
                <w:rFonts w:ascii="Calibri" w:hAnsi="Calibri"/>
                <w:sz w:val="20"/>
                <w:szCs w:val="20"/>
              </w:rPr>
            </w:pPr>
          </w:p>
        </w:tc>
        <w:tc>
          <w:tcPr>
            <w:tcW w:w="1559" w:type="dxa"/>
            <w:vAlign w:val="center"/>
          </w:tcPr>
          <w:p w14:paraId="7EAC5129">
            <w:pPr>
              <w:jc w:val="right"/>
              <w:rPr>
                <w:rFonts w:ascii="Calibri" w:hAnsi="Calibri"/>
                <w:sz w:val="20"/>
                <w:szCs w:val="20"/>
              </w:rPr>
            </w:pPr>
          </w:p>
        </w:tc>
        <w:tc>
          <w:tcPr>
            <w:tcW w:w="1843" w:type="dxa"/>
            <w:vAlign w:val="center"/>
          </w:tcPr>
          <w:p w14:paraId="577B2935">
            <w:pPr>
              <w:jc w:val="right"/>
              <w:rPr>
                <w:rFonts w:ascii="Calibri" w:hAnsi="Calibri"/>
                <w:sz w:val="20"/>
                <w:szCs w:val="20"/>
              </w:rPr>
            </w:pPr>
          </w:p>
        </w:tc>
        <w:tc>
          <w:tcPr>
            <w:tcW w:w="1788" w:type="dxa"/>
            <w:vAlign w:val="center"/>
          </w:tcPr>
          <w:p w14:paraId="434937BA">
            <w:pPr>
              <w:jc w:val="right"/>
              <w:rPr>
                <w:rFonts w:ascii="Calibri" w:hAnsi="Calibri"/>
                <w:sz w:val="20"/>
                <w:szCs w:val="20"/>
              </w:rPr>
            </w:pPr>
          </w:p>
        </w:tc>
        <w:tc>
          <w:tcPr>
            <w:tcW w:w="1897" w:type="dxa"/>
            <w:vAlign w:val="center"/>
          </w:tcPr>
          <w:p w14:paraId="26724078">
            <w:pPr>
              <w:jc w:val="right"/>
              <w:rPr>
                <w:rFonts w:ascii="Calibri" w:hAnsi="Calibri"/>
                <w:sz w:val="20"/>
                <w:szCs w:val="20"/>
              </w:rPr>
            </w:pPr>
          </w:p>
        </w:tc>
      </w:tr>
      <w:tr w14:paraId="6796E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269" w:type="dxa"/>
            <w:vAlign w:val="center"/>
          </w:tcPr>
          <w:sdt>
            <w:sdtPr>
              <w:tag w:val="_PLD_0a2eca501c544dfc9dfd8d666c32970b"/>
              <w:id w:val="-1273012413"/>
            </w:sdtPr>
            <w:sdtContent>
              <w:p w14:paraId="218729B3">
                <w:pPr>
                  <w:pStyle w:val="48"/>
                  <w:rPr>
                    <w:sz w:val="20"/>
                    <w:szCs w:val="20"/>
                  </w:rPr>
                </w:pPr>
                <w:r>
                  <w:rPr>
                    <w:sz w:val="18"/>
                    <w:szCs w:val="18"/>
                  </w:rPr>
                  <w:t>4．设定受益计划变动额结转留存收益</w:t>
                </w:r>
              </w:p>
            </w:sdtContent>
          </w:sdt>
        </w:tc>
        <w:tc>
          <w:tcPr>
            <w:tcW w:w="1843" w:type="dxa"/>
            <w:tcBorders>
              <w:right w:val="single" w:color="auto" w:sz="4" w:space="0"/>
            </w:tcBorders>
            <w:vAlign w:val="center"/>
          </w:tcPr>
          <w:p w14:paraId="20507E0E">
            <w:pPr>
              <w:jc w:val="right"/>
              <w:rPr>
                <w:rFonts w:ascii="Calibri" w:hAnsi="Calibri"/>
                <w:sz w:val="20"/>
                <w:szCs w:val="20"/>
              </w:rPr>
            </w:pPr>
          </w:p>
        </w:tc>
        <w:tc>
          <w:tcPr>
            <w:tcW w:w="425" w:type="dxa"/>
            <w:tcBorders>
              <w:left w:val="single" w:color="auto" w:sz="4" w:space="0"/>
              <w:right w:val="single" w:color="auto" w:sz="4" w:space="0"/>
            </w:tcBorders>
            <w:vAlign w:val="center"/>
          </w:tcPr>
          <w:p w14:paraId="45CBAA39">
            <w:pPr>
              <w:jc w:val="right"/>
              <w:rPr>
                <w:rFonts w:ascii="Calibri" w:hAnsi="Calibri"/>
                <w:sz w:val="20"/>
                <w:szCs w:val="20"/>
              </w:rPr>
            </w:pPr>
          </w:p>
        </w:tc>
        <w:tc>
          <w:tcPr>
            <w:tcW w:w="425" w:type="dxa"/>
            <w:tcBorders>
              <w:left w:val="single" w:color="auto" w:sz="4" w:space="0"/>
              <w:right w:val="single" w:color="auto" w:sz="4" w:space="0"/>
            </w:tcBorders>
            <w:vAlign w:val="center"/>
          </w:tcPr>
          <w:p w14:paraId="563B7935">
            <w:pPr>
              <w:jc w:val="right"/>
              <w:rPr>
                <w:rFonts w:ascii="Calibri" w:hAnsi="Calibri"/>
                <w:sz w:val="20"/>
                <w:szCs w:val="20"/>
              </w:rPr>
            </w:pPr>
          </w:p>
        </w:tc>
        <w:tc>
          <w:tcPr>
            <w:tcW w:w="426" w:type="dxa"/>
            <w:tcBorders>
              <w:left w:val="single" w:color="auto" w:sz="4" w:space="0"/>
            </w:tcBorders>
            <w:vAlign w:val="center"/>
          </w:tcPr>
          <w:p w14:paraId="49C6D468">
            <w:pPr>
              <w:jc w:val="right"/>
              <w:rPr>
                <w:rFonts w:ascii="Calibri" w:hAnsi="Calibri"/>
                <w:sz w:val="20"/>
                <w:szCs w:val="20"/>
              </w:rPr>
            </w:pPr>
          </w:p>
        </w:tc>
        <w:tc>
          <w:tcPr>
            <w:tcW w:w="1559" w:type="dxa"/>
            <w:vAlign w:val="center"/>
          </w:tcPr>
          <w:p w14:paraId="570D7DD9">
            <w:pPr>
              <w:jc w:val="right"/>
              <w:rPr>
                <w:rFonts w:ascii="Calibri" w:hAnsi="Calibri"/>
                <w:sz w:val="20"/>
                <w:szCs w:val="20"/>
              </w:rPr>
            </w:pPr>
          </w:p>
        </w:tc>
        <w:tc>
          <w:tcPr>
            <w:tcW w:w="1701" w:type="dxa"/>
            <w:vAlign w:val="center"/>
          </w:tcPr>
          <w:p w14:paraId="4402E178">
            <w:pPr>
              <w:jc w:val="right"/>
              <w:rPr>
                <w:rFonts w:ascii="Calibri" w:hAnsi="Calibri"/>
                <w:sz w:val="20"/>
                <w:szCs w:val="20"/>
              </w:rPr>
            </w:pPr>
          </w:p>
        </w:tc>
        <w:tc>
          <w:tcPr>
            <w:tcW w:w="1559" w:type="dxa"/>
            <w:vAlign w:val="center"/>
          </w:tcPr>
          <w:p w14:paraId="11CF9D2A">
            <w:pPr>
              <w:jc w:val="right"/>
              <w:rPr>
                <w:rFonts w:ascii="Calibri" w:hAnsi="Calibri"/>
                <w:sz w:val="20"/>
                <w:szCs w:val="20"/>
              </w:rPr>
            </w:pPr>
          </w:p>
        </w:tc>
        <w:tc>
          <w:tcPr>
            <w:tcW w:w="1843" w:type="dxa"/>
            <w:vAlign w:val="center"/>
          </w:tcPr>
          <w:p w14:paraId="4F7D8726">
            <w:pPr>
              <w:jc w:val="right"/>
              <w:rPr>
                <w:rFonts w:ascii="Calibri" w:hAnsi="Calibri"/>
                <w:sz w:val="20"/>
                <w:szCs w:val="20"/>
              </w:rPr>
            </w:pPr>
          </w:p>
        </w:tc>
        <w:tc>
          <w:tcPr>
            <w:tcW w:w="1788" w:type="dxa"/>
            <w:vAlign w:val="center"/>
          </w:tcPr>
          <w:p w14:paraId="7E47EC6F">
            <w:pPr>
              <w:jc w:val="right"/>
              <w:rPr>
                <w:rFonts w:ascii="Calibri" w:hAnsi="Calibri"/>
                <w:sz w:val="20"/>
                <w:szCs w:val="20"/>
              </w:rPr>
            </w:pPr>
          </w:p>
        </w:tc>
        <w:tc>
          <w:tcPr>
            <w:tcW w:w="1897" w:type="dxa"/>
            <w:vAlign w:val="center"/>
          </w:tcPr>
          <w:p w14:paraId="0C9F74BD">
            <w:pPr>
              <w:jc w:val="right"/>
              <w:rPr>
                <w:rFonts w:ascii="Calibri" w:hAnsi="Calibri"/>
                <w:sz w:val="20"/>
                <w:szCs w:val="20"/>
              </w:rPr>
            </w:pPr>
          </w:p>
        </w:tc>
      </w:tr>
      <w:tr w14:paraId="7D066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269" w:type="dxa"/>
            <w:vAlign w:val="center"/>
          </w:tcPr>
          <w:sdt>
            <w:sdtPr>
              <w:tag w:val="_PLD_e2c794a3876347288864cf2ea4ed53e5"/>
              <w:id w:val="-568656656"/>
            </w:sdtPr>
            <w:sdtContent>
              <w:p w14:paraId="13B2E057">
                <w:pPr>
                  <w:rPr>
                    <w:rFonts w:ascii="Calibri" w:hAnsi="Calibri"/>
                    <w:sz w:val="18"/>
                    <w:szCs w:val="18"/>
                  </w:rPr>
                </w:pPr>
                <w:r>
                  <w:rPr>
                    <w:rFonts w:ascii="Calibri" w:hAnsi="Calibri"/>
                    <w:sz w:val="18"/>
                    <w:szCs w:val="18"/>
                  </w:rPr>
                  <w:t>5．其他综合收益结转留存收益</w:t>
                </w:r>
              </w:p>
            </w:sdtContent>
          </w:sdt>
        </w:tc>
        <w:tc>
          <w:tcPr>
            <w:tcW w:w="1843" w:type="dxa"/>
            <w:tcBorders>
              <w:right w:val="single" w:color="auto" w:sz="4" w:space="0"/>
            </w:tcBorders>
            <w:vAlign w:val="center"/>
          </w:tcPr>
          <w:p w14:paraId="25CC6AF3">
            <w:pPr>
              <w:jc w:val="right"/>
              <w:rPr>
                <w:rFonts w:ascii="Calibri" w:hAnsi="Calibri"/>
                <w:sz w:val="20"/>
                <w:szCs w:val="20"/>
              </w:rPr>
            </w:pPr>
          </w:p>
        </w:tc>
        <w:tc>
          <w:tcPr>
            <w:tcW w:w="425" w:type="dxa"/>
            <w:tcBorders>
              <w:left w:val="single" w:color="auto" w:sz="4" w:space="0"/>
              <w:right w:val="single" w:color="auto" w:sz="4" w:space="0"/>
            </w:tcBorders>
            <w:vAlign w:val="center"/>
          </w:tcPr>
          <w:p w14:paraId="721B75D2">
            <w:pPr>
              <w:jc w:val="right"/>
              <w:rPr>
                <w:rFonts w:ascii="Calibri" w:hAnsi="Calibri"/>
                <w:sz w:val="20"/>
                <w:szCs w:val="20"/>
              </w:rPr>
            </w:pPr>
          </w:p>
        </w:tc>
        <w:tc>
          <w:tcPr>
            <w:tcW w:w="425" w:type="dxa"/>
            <w:tcBorders>
              <w:left w:val="single" w:color="auto" w:sz="4" w:space="0"/>
              <w:right w:val="single" w:color="auto" w:sz="4" w:space="0"/>
            </w:tcBorders>
            <w:vAlign w:val="center"/>
          </w:tcPr>
          <w:p w14:paraId="78C45D0B">
            <w:pPr>
              <w:jc w:val="right"/>
              <w:rPr>
                <w:rFonts w:ascii="Calibri" w:hAnsi="Calibri"/>
                <w:sz w:val="20"/>
                <w:szCs w:val="20"/>
              </w:rPr>
            </w:pPr>
          </w:p>
        </w:tc>
        <w:tc>
          <w:tcPr>
            <w:tcW w:w="426" w:type="dxa"/>
            <w:tcBorders>
              <w:left w:val="single" w:color="auto" w:sz="4" w:space="0"/>
            </w:tcBorders>
            <w:vAlign w:val="center"/>
          </w:tcPr>
          <w:p w14:paraId="57CFAF9B">
            <w:pPr>
              <w:jc w:val="right"/>
              <w:rPr>
                <w:rFonts w:ascii="Calibri" w:hAnsi="Calibri"/>
                <w:sz w:val="20"/>
                <w:szCs w:val="20"/>
              </w:rPr>
            </w:pPr>
          </w:p>
        </w:tc>
        <w:tc>
          <w:tcPr>
            <w:tcW w:w="1559" w:type="dxa"/>
            <w:vAlign w:val="center"/>
          </w:tcPr>
          <w:p w14:paraId="5874EA39">
            <w:pPr>
              <w:jc w:val="right"/>
              <w:rPr>
                <w:rFonts w:ascii="Calibri" w:hAnsi="Calibri"/>
                <w:sz w:val="20"/>
                <w:szCs w:val="20"/>
              </w:rPr>
            </w:pPr>
          </w:p>
        </w:tc>
        <w:tc>
          <w:tcPr>
            <w:tcW w:w="1701" w:type="dxa"/>
            <w:vAlign w:val="center"/>
          </w:tcPr>
          <w:p w14:paraId="0AF303FF">
            <w:pPr>
              <w:jc w:val="right"/>
              <w:rPr>
                <w:rFonts w:ascii="Calibri" w:hAnsi="Calibri"/>
                <w:sz w:val="20"/>
                <w:szCs w:val="20"/>
              </w:rPr>
            </w:pPr>
          </w:p>
        </w:tc>
        <w:tc>
          <w:tcPr>
            <w:tcW w:w="1559" w:type="dxa"/>
            <w:vAlign w:val="center"/>
          </w:tcPr>
          <w:p w14:paraId="22C1BDCB">
            <w:pPr>
              <w:jc w:val="right"/>
              <w:rPr>
                <w:rFonts w:ascii="Calibri" w:hAnsi="Calibri"/>
                <w:sz w:val="20"/>
                <w:szCs w:val="20"/>
              </w:rPr>
            </w:pPr>
          </w:p>
        </w:tc>
        <w:tc>
          <w:tcPr>
            <w:tcW w:w="1843" w:type="dxa"/>
            <w:vAlign w:val="center"/>
          </w:tcPr>
          <w:p w14:paraId="4277CD41">
            <w:pPr>
              <w:jc w:val="right"/>
              <w:rPr>
                <w:rFonts w:ascii="Calibri" w:hAnsi="Calibri"/>
                <w:sz w:val="20"/>
                <w:szCs w:val="20"/>
              </w:rPr>
            </w:pPr>
          </w:p>
        </w:tc>
        <w:tc>
          <w:tcPr>
            <w:tcW w:w="1788" w:type="dxa"/>
            <w:vAlign w:val="center"/>
          </w:tcPr>
          <w:p w14:paraId="30CDCE15">
            <w:pPr>
              <w:jc w:val="right"/>
              <w:rPr>
                <w:rFonts w:ascii="Calibri" w:hAnsi="Calibri"/>
                <w:sz w:val="20"/>
                <w:szCs w:val="20"/>
              </w:rPr>
            </w:pPr>
          </w:p>
        </w:tc>
        <w:tc>
          <w:tcPr>
            <w:tcW w:w="1897" w:type="dxa"/>
            <w:vAlign w:val="center"/>
          </w:tcPr>
          <w:p w14:paraId="12F9B4C8">
            <w:pPr>
              <w:jc w:val="right"/>
              <w:rPr>
                <w:rFonts w:ascii="Calibri" w:hAnsi="Calibri"/>
                <w:sz w:val="20"/>
                <w:szCs w:val="20"/>
              </w:rPr>
            </w:pPr>
          </w:p>
        </w:tc>
      </w:tr>
      <w:tr w14:paraId="4CBB8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269" w:type="dxa"/>
            <w:vAlign w:val="center"/>
          </w:tcPr>
          <w:sdt>
            <w:sdtPr>
              <w:tag w:val="_PLD_921b15a12ec54658b00654a6a398aa0c"/>
              <w:id w:val="27152731"/>
            </w:sdtPr>
            <w:sdtContent>
              <w:p w14:paraId="78658DED">
                <w:pPr>
                  <w:pStyle w:val="48"/>
                  <w:rPr>
                    <w:sz w:val="20"/>
                    <w:szCs w:val="20"/>
                  </w:rPr>
                </w:pPr>
                <w:r>
                  <w:rPr>
                    <w:sz w:val="18"/>
                    <w:szCs w:val="18"/>
                  </w:rPr>
                  <w:t>6．其他</w:t>
                </w:r>
              </w:p>
            </w:sdtContent>
          </w:sdt>
        </w:tc>
        <w:tc>
          <w:tcPr>
            <w:tcW w:w="1843" w:type="dxa"/>
            <w:tcBorders>
              <w:right w:val="single" w:color="auto" w:sz="4" w:space="0"/>
            </w:tcBorders>
            <w:vAlign w:val="center"/>
          </w:tcPr>
          <w:p w14:paraId="59F9DB98">
            <w:pPr>
              <w:jc w:val="right"/>
              <w:rPr>
                <w:rFonts w:ascii="Calibri" w:hAnsi="Calibri"/>
                <w:sz w:val="20"/>
                <w:szCs w:val="20"/>
              </w:rPr>
            </w:pPr>
          </w:p>
        </w:tc>
        <w:tc>
          <w:tcPr>
            <w:tcW w:w="425" w:type="dxa"/>
            <w:tcBorders>
              <w:left w:val="single" w:color="auto" w:sz="4" w:space="0"/>
              <w:right w:val="single" w:color="auto" w:sz="4" w:space="0"/>
            </w:tcBorders>
            <w:vAlign w:val="center"/>
          </w:tcPr>
          <w:p w14:paraId="47389A7C">
            <w:pPr>
              <w:jc w:val="right"/>
              <w:rPr>
                <w:rFonts w:ascii="Calibri" w:hAnsi="Calibri"/>
                <w:sz w:val="20"/>
                <w:szCs w:val="20"/>
              </w:rPr>
            </w:pPr>
          </w:p>
        </w:tc>
        <w:tc>
          <w:tcPr>
            <w:tcW w:w="425" w:type="dxa"/>
            <w:tcBorders>
              <w:left w:val="single" w:color="auto" w:sz="4" w:space="0"/>
              <w:right w:val="single" w:color="auto" w:sz="4" w:space="0"/>
            </w:tcBorders>
            <w:vAlign w:val="center"/>
          </w:tcPr>
          <w:p w14:paraId="7D1DB797">
            <w:pPr>
              <w:jc w:val="right"/>
              <w:rPr>
                <w:rFonts w:ascii="Calibri" w:hAnsi="Calibri"/>
                <w:sz w:val="20"/>
                <w:szCs w:val="20"/>
              </w:rPr>
            </w:pPr>
          </w:p>
        </w:tc>
        <w:tc>
          <w:tcPr>
            <w:tcW w:w="426" w:type="dxa"/>
            <w:tcBorders>
              <w:left w:val="single" w:color="auto" w:sz="4" w:space="0"/>
            </w:tcBorders>
            <w:vAlign w:val="center"/>
          </w:tcPr>
          <w:p w14:paraId="4B2B9FD4">
            <w:pPr>
              <w:jc w:val="right"/>
              <w:rPr>
                <w:rFonts w:ascii="Calibri" w:hAnsi="Calibri"/>
                <w:sz w:val="20"/>
                <w:szCs w:val="20"/>
              </w:rPr>
            </w:pPr>
          </w:p>
        </w:tc>
        <w:tc>
          <w:tcPr>
            <w:tcW w:w="1559" w:type="dxa"/>
            <w:vAlign w:val="center"/>
          </w:tcPr>
          <w:p w14:paraId="20601F02">
            <w:pPr>
              <w:jc w:val="right"/>
              <w:rPr>
                <w:rFonts w:ascii="Calibri" w:hAnsi="Calibri"/>
                <w:sz w:val="20"/>
                <w:szCs w:val="20"/>
              </w:rPr>
            </w:pPr>
          </w:p>
        </w:tc>
        <w:tc>
          <w:tcPr>
            <w:tcW w:w="1701" w:type="dxa"/>
            <w:vAlign w:val="center"/>
          </w:tcPr>
          <w:p w14:paraId="67BC3CBF">
            <w:pPr>
              <w:jc w:val="right"/>
              <w:rPr>
                <w:rFonts w:ascii="Calibri" w:hAnsi="Calibri"/>
                <w:sz w:val="20"/>
                <w:szCs w:val="20"/>
              </w:rPr>
            </w:pPr>
          </w:p>
        </w:tc>
        <w:tc>
          <w:tcPr>
            <w:tcW w:w="1559" w:type="dxa"/>
            <w:vAlign w:val="center"/>
          </w:tcPr>
          <w:p w14:paraId="08C31DBC">
            <w:pPr>
              <w:jc w:val="right"/>
              <w:rPr>
                <w:rFonts w:ascii="Calibri" w:hAnsi="Calibri"/>
                <w:sz w:val="20"/>
                <w:szCs w:val="20"/>
              </w:rPr>
            </w:pPr>
          </w:p>
        </w:tc>
        <w:tc>
          <w:tcPr>
            <w:tcW w:w="1843" w:type="dxa"/>
            <w:vAlign w:val="center"/>
          </w:tcPr>
          <w:p w14:paraId="6CE54BBB">
            <w:pPr>
              <w:jc w:val="right"/>
              <w:rPr>
                <w:rFonts w:ascii="Calibri" w:hAnsi="Calibri"/>
                <w:sz w:val="20"/>
                <w:szCs w:val="20"/>
              </w:rPr>
            </w:pPr>
          </w:p>
        </w:tc>
        <w:tc>
          <w:tcPr>
            <w:tcW w:w="1788" w:type="dxa"/>
            <w:vAlign w:val="center"/>
          </w:tcPr>
          <w:p w14:paraId="1FB2E736">
            <w:pPr>
              <w:jc w:val="right"/>
              <w:rPr>
                <w:rFonts w:ascii="Calibri" w:hAnsi="Calibri"/>
                <w:sz w:val="20"/>
                <w:szCs w:val="20"/>
              </w:rPr>
            </w:pPr>
          </w:p>
        </w:tc>
        <w:tc>
          <w:tcPr>
            <w:tcW w:w="1897" w:type="dxa"/>
            <w:vAlign w:val="center"/>
          </w:tcPr>
          <w:p w14:paraId="4B64D7BC">
            <w:pPr>
              <w:jc w:val="right"/>
              <w:rPr>
                <w:rFonts w:ascii="Calibri" w:hAnsi="Calibri"/>
                <w:sz w:val="20"/>
                <w:szCs w:val="20"/>
              </w:rPr>
            </w:pPr>
          </w:p>
        </w:tc>
      </w:tr>
      <w:tr w14:paraId="34CF7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ea236cbce24c48eabfeb2f3f4a19c5a8"/>
            <w:id w:val="1459382649"/>
          </w:sdtPr>
          <w:sdtContent>
            <w:tc>
              <w:tcPr>
                <w:tcW w:w="2269" w:type="dxa"/>
                <w:vAlign w:val="center"/>
              </w:tcPr>
              <w:p w14:paraId="02917BD1">
                <w:pPr>
                  <w:rPr>
                    <w:rFonts w:ascii="Calibri" w:hAnsi="Calibri"/>
                    <w:sz w:val="18"/>
                    <w:szCs w:val="18"/>
                  </w:rPr>
                </w:pPr>
                <w:r>
                  <w:rPr>
                    <w:rFonts w:hint="eastAsia" w:ascii="Calibri" w:hAnsi="Calibri"/>
                    <w:sz w:val="18"/>
                    <w:szCs w:val="18"/>
                  </w:rPr>
                  <w:t>（五）专项储备</w:t>
                </w:r>
              </w:p>
            </w:tc>
          </w:sdtContent>
        </w:sdt>
        <w:tc>
          <w:tcPr>
            <w:tcW w:w="1843" w:type="dxa"/>
            <w:tcBorders>
              <w:right w:val="single" w:color="auto" w:sz="4" w:space="0"/>
            </w:tcBorders>
            <w:vAlign w:val="center"/>
          </w:tcPr>
          <w:p w14:paraId="416FE364">
            <w:pPr>
              <w:jc w:val="right"/>
              <w:rPr>
                <w:rFonts w:ascii="Calibri" w:hAnsi="Calibri"/>
                <w:sz w:val="20"/>
                <w:szCs w:val="20"/>
              </w:rPr>
            </w:pPr>
          </w:p>
        </w:tc>
        <w:tc>
          <w:tcPr>
            <w:tcW w:w="425" w:type="dxa"/>
            <w:tcBorders>
              <w:left w:val="single" w:color="auto" w:sz="4" w:space="0"/>
              <w:right w:val="single" w:color="auto" w:sz="4" w:space="0"/>
            </w:tcBorders>
            <w:vAlign w:val="center"/>
          </w:tcPr>
          <w:p w14:paraId="7BD8546F">
            <w:pPr>
              <w:jc w:val="right"/>
              <w:rPr>
                <w:rFonts w:ascii="Calibri" w:hAnsi="Calibri"/>
                <w:sz w:val="20"/>
                <w:szCs w:val="20"/>
              </w:rPr>
            </w:pPr>
          </w:p>
        </w:tc>
        <w:tc>
          <w:tcPr>
            <w:tcW w:w="425" w:type="dxa"/>
            <w:tcBorders>
              <w:left w:val="single" w:color="auto" w:sz="4" w:space="0"/>
              <w:right w:val="single" w:color="auto" w:sz="4" w:space="0"/>
            </w:tcBorders>
            <w:vAlign w:val="center"/>
          </w:tcPr>
          <w:p w14:paraId="6CBC18E7">
            <w:pPr>
              <w:jc w:val="right"/>
              <w:rPr>
                <w:rFonts w:ascii="Calibri" w:hAnsi="Calibri"/>
                <w:sz w:val="20"/>
                <w:szCs w:val="20"/>
              </w:rPr>
            </w:pPr>
          </w:p>
        </w:tc>
        <w:tc>
          <w:tcPr>
            <w:tcW w:w="426" w:type="dxa"/>
            <w:tcBorders>
              <w:left w:val="single" w:color="auto" w:sz="4" w:space="0"/>
            </w:tcBorders>
            <w:vAlign w:val="center"/>
          </w:tcPr>
          <w:p w14:paraId="426523AB">
            <w:pPr>
              <w:jc w:val="right"/>
              <w:rPr>
                <w:rFonts w:ascii="Calibri" w:hAnsi="Calibri"/>
                <w:sz w:val="20"/>
                <w:szCs w:val="20"/>
              </w:rPr>
            </w:pPr>
          </w:p>
        </w:tc>
        <w:tc>
          <w:tcPr>
            <w:tcW w:w="1559" w:type="dxa"/>
            <w:vAlign w:val="center"/>
          </w:tcPr>
          <w:p w14:paraId="42898D48">
            <w:pPr>
              <w:jc w:val="right"/>
              <w:rPr>
                <w:rFonts w:ascii="Calibri" w:hAnsi="Calibri"/>
                <w:sz w:val="20"/>
                <w:szCs w:val="20"/>
              </w:rPr>
            </w:pPr>
          </w:p>
        </w:tc>
        <w:tc>
          <w:tcPr>
            <w:tcW w:w="1701" w:type="dxa"/>
            <w:vAlign w:val="center"/>
          </w:tcPr>
          <w:p w14:paraId="2B4A84AE">
            <w:pPr>
              <w:jc w:val="right"/>
              <w:rPr>
                <w:rFonts w:ascii="Calibri" w:hAnsi="Calibri"/>
                <w:sz w:val="20"/>
                <w:szCs w:val="20"/>
              </w:rPr>
            </w:pPr>
          </w:p>
        </w:tc>
        <w:tc>
          <w:tcPr>
            <w:tcW w:w="1559" w:type="dxa"/>
            <w:vAlign w:val="center"/>
          </w:tcPr>
          <w:p w14:paraId="45663277">
            <w:pPr>
              <w:jc w:val="right"/>
              <w:rPr>
                <w:rFonts w:ascii="Calibri" w:hAnsi="Calibri"/>
                <w:sz w:val="20"/>
                <w:szCs w:val="20"/>
              </w:rPr>
            </w:pPr>
          </w:p>
        </w:tc>
        <w:tc>
          <w:tcPr>
            <w:tcW w:w="1843" w:type="dxa"/>
            <w:vAlign w:val="center"/>
          </w:tcPr>
          <w:p w14:paraId="7F124B4A">
            <w:pPr>
              <w:jc w:val="right"/>
              <w:rPr>
                <w:rFonts w:ascii="Calibri" w:hAnsi="Calibri"/>
                <w:sz w:val="20"/>
                <w:szCs w:val="20"/>
              </w:rPr>
            </w:pPr>
          </w:p>
        </w:tc>
        <w:tc>
          <w:tcPr>
            <w:tcW w:w="1788" w:type="dxa"/>
            <w:vAlign w:val="center"/>
          </w:tcPr>
          <w:p w14:paraId="41B5E904">
            <w:pPr>
              <w:jc w:val="right"/>
              <w:rPr>
                <w:rFonts w:ascii="Calibri" w:hAnsi="Calibri"/>
                <w:sz w:val="20"/>
                <w:szCs w:val="20"/>
              </w:rPr>
            </w:pPr>
          </w:p>
        </w:tc>
        <w:tc>
          <w:tcPr>
            <w:tcW w:w="1897" w:type="dxa"/>
            <w:vAlign w:val="center"/>
          </w:tcPr>
          <w:p w14:paraId="78522482">
            <w:pPr>
              <w:jc w:val="right"/>
              <w:rPr>
                <w:rFonts w:ascii="Calibri" w:hAnsi="Calibri"/>
                <w:sz w:val="20"/>
                <w:szCs w:val="20"/>
              </w:rPr>
            </w:pPr>
          </w:p>
        </w:tc>
      </w:tr>
      <w:tr w14:paraId="1B9D2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798cf6aa8f24816a06eab77e71e6a42"/>
            <w:id w:val="-1577665681"/>
          </w:sdtPr>
          <w:sdtContent>
            <w:tc>
              <w:tcPr>
                <w:tcW w:w="2269" w:type="dxa"/>
                <w:vAlign w:val="center"/>
              </w:tcPr>
              <w:p w14:paraId="588EDBD3">
                <w:pPr>
                  <w:rPr>
                    <w:rFonts w:ascii="Calibri" w:hAnsi="Calibri"/>
                    <w:sz w:val="18"/>
                    <w:szCs w:val="18"/>
                  </w:rPr>
                </w:pPr>
                <w:r>
                  <w:rPr>
                    <w:rFonts w:hint="eastAsia" w:ascii="Calibri" w:hAnsi="Calibri"/>
                    <w:sz w:val="18"/>
                    <w:szCs w:val="18"/>
                  </w:rPr>
                  <w:t>1．本期提取</w:t>
                </w:r>
              </w:p>
            </w:tc>
          </w:sdtContent>
        </w:sdt>
        <w:tc>
          <w:tcPr>
            <w:tcW w:w="1843" w:type="dxa"/>
            <w:tcBorders>
              <w:right w:val="single" w:color="auto" w:sz="4" w:space="0"/>
            </w:tcBorders>
            <w:vAlign w:val="center"/>
          </w:tcPr>
          <w:p w14:paraId="37948829">
            <w:pPr>
              <w:jc w:val="right"/>
              <w:rPr>
                <w:rFonts w:ascii="Calibri" w:hAnsi="Calibri"/>
                <w:sz w:val="20"/>
                <w:szCs w:val="20"/>
              </w:rPr>
            </w:pPr>
          </w:p>
        </w:tc>
        <w:tc>
          <w:tcPr>
            <w:tcW w:w="425" w:type="dxa"/>
            <w:tcBorders>
              <w:left w:val="single" w:color="auto" w:sz="4" w:space="0"/>
              <w:right w:val="single" w:color="auto" w:sz="4" w:space="0"/>
            </w:tcBorders>
            <w:vAlign w:val="center"/>
          </w:tcPr>
          <w:p w14:paraId="6197C741">
            <w:pPr>
              <w:jc w:val="right"/>
              <w:rPr>
                <w:rFonts w:ascii="Calibri" w:hAnsi="Calibri"/>
                <w:sz w:val="20"/>
                <w:szCs w:val="20"/>
              </w:rPr>
            </w:pPr>
          </w:p>
        </w:tc>
        <w:tc>
          <w:tcPr>
            <w:tcW w:w="425" w:type="dxa"/>
            <w:tcBorders>
              <w:left w:val="single" w:color="auto" w:sz="4" w:space="0"/>
              <w:right w:val="single" w:color="auto" w:sz="4" w:space="0"/>
            </w:tcBorders>
            <w:vAlign w:val="center"/>
          </w:tcPr>
          <w:p w14:paraId="5F83B50B">
            <w:pPr>
              <w:jc w:val="right"/>
              <w:rPr>
                <w:rFonts w:ascii="Calibri" w:hAnsi="Calibri"/>
                <w:sz w:val="20"/>
                <w:szCs w:val="20"/>
              </w:rPr>
            </w:pPr>
          </w:p>
        </w:tc>
        <w:tc>
          <w:tcPr>
            <w:tcW w:w="426" w:type="dxa"/>
            <w:tcBorders>
              <w:left w:val="single" w:color="auto" w:sz="4" w:space="0"/>
            </w:tcBorders>
            <w:vAlign w:val="center"/>
          </w:tcPr>
          <w:p w14:paraId="106A44B3">
            <w:pPr>
              <w:jc w:val="right"/>
              <w:rPr>
                <w:rFonts w:ascii="Calibri" w:hAnsi="Calibri"/>
                <w:sz w:val="20"/>
                <w:szCs w:val="20"/>
              </w:rPr>
            </w:pPr>
          </w:p>
        </w:tc>
        <w:tc>
          <w:tcPr>
            <w:tcW w:w="1559" w:type="dxa"/>
            <w:vAlign w:val="center"/>
          </w:tcPr>
          <w:p w14:paraId="686FA326">
            <w:pPr>
              <w:jc w:val="right"/>
              <w:rPr>
                <w:rFonts w:ascii="Calibri" w:hAnsi="Calibri"/>
                <w:sz w:val="20"/>
                <w:szCs w:val="20"/>
              </w:rPr>
            </w:pPr>
          </w:p>
        </w:tc>
        <w:tc>
          <w:tcPr>
            <w:tcW w:w="1701" w:type="dxa"/>
            <w:vAlign w:val="center"/>
          </w:tcPr>
          <w:p w14:paraId="15615AF9">
            <w:pPr>
              <w:jc w:val="right"/>
              <w:rPr>
                <w:rFonts w:ascii="Calibri" w:hAnsi="Calibri"/>
                <w:sz w:val="20"/>
                <w:szCs w:val="20"/>
              </w:rPr>
            </w:pPr>
          </w:p>
        </w:tc>
        <w:tc>
          <w:tcPr>
            <w:tcW w:w="1559" w:type="dxa"/>
            <w:vAlign w:val="center"/>
          </w:tcPr>
          <w:p w14:paraId="4936D396">
            <w:pPr>
              <w:jc w:val="right"/>
              <w:rPr>
                <w:rFonts w:ascii="Calibri" w:hAnsi="Calibri"/>
                <w:sz w:val="20"/>
                <w:szCs w:val="20"/>
              </w:rPr>
            </w:pPr>
          </w:p>
        </w:tc>
        <w:tc>
          <w:tcPr>
            <w:tcW w:w="1843" w:type="dxa"/>
            <w:vAlign w:val="center"/>
          </w:tcPr>
          <w:p w14:paraId="5A4D0454">
            <w:pPr>
              <w:jc w:val="right"/>
              <w:rPr>
                <w:rFonts w:ascii="Calibri" w:hAnsi="Calibri"/>
                <w:sz w:val="20"/>
                <w:szCs w:val="20"/>
              </w:rPr>
            </w:pPr>
          </w:p>
        </w:tc>
        <w:tc>
          <w:tcPr>
            <w:tcW w:w="1788" w:type="dxa"/>
            <w:vAlign w:val="center"/>
          </w:tcPr>
          <w:p w14:paraId="734BB62D">
            <w:pPr>
              <w:jc w:val="right"/>
              <w:rPr>
                <w:rFonts w:ascii="Calibri" w:hAnsi="Calibri"/>
                <w:sz w:val="20"/>
                <w:szCs w:val="20"/>
              </w:rPr>
            </w:pPr>
          </w:p>
        </w:tc>
        <w:tc>
          <w:tcPr>
            <w:tcW w:w="1897" w:type="dxa"/>
            <w:vAlign w:val="center"/>
          </w:tcPr>
          <w:p w14:paraId="7EB099A5">
            <w:pPr>
              <w:jc w:val="right"/>
              <w:rPr>
                <w:rFonts w:ascii="Calibri" w:hAnsi="Calibri"/>
                <w:sz w:val="20"/>
                <w:szCs w:val="20"/>
              </w:rPr>
            </w:pPr>
          </w:p>
        </w:tc>
      </w:tr>
      <w:tr w14:paraId="1D2A4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94f6f5256724757ad52c27b29a0bb7d"/>
            <w:id w:val="-183374717"/>
          </w:sdtPr>
          <w:sdtContent>
            <w:tc>
              <w:tcPr>
                <w:tcW w:w="2269" w:type="dxa"/>
                <w:vAlign w:val="center"/>
              </w:tcPr>
              <w:p w14:paraId="34708E19">
                <w:pPr>
                  <w:rPr>
                    <w:rFonts w:ascii="Calibri" w:hAnsi="Calibri"/>
                    <w:sz w:val="18"/>
                    <w:szCs w:val="18"/>
                  </w:rPr>
                </w:pPr>
                <w:r>
                  <w:rPr>
                    <w:rFonts w:hint="eastAsia" w:ascii="Calibri" w:hAnsi="Calibri"/>
                    <w:sz w:val="18"/>
                    <w:szCs w:val="18"/>
                  </w:rPr>
                  <w:t>2．本期使用</w:t>
                </w:r>
              </w:p>
            </w:tc>
          </w:sdtContent>
        </w:sdt>
        <w:tc>
          <w:tcPr>
            <w:tcW w:w="1843" w:type="dxa"/>
            <w:tcBorders>
              <w:right w:val="single" w:color="auto" w:sz="4" w:space="0"/>
            </w:tcBorders>
            <w:vAlign w:val="center"/>
          </w:tcPr>
          <w:p w14:paraId="4BB1C0CF">
            <w:pPr>
              <w:jc w:val="right"/>
              <w:rPr>
                <w:rFonts w:ascii="Calibri" w:hAnsi="Calibri"/>
                <w:sz w:val="20"/>
                <w:szCs w:val="20"/>
              </w:rPr>
            </w:pPr>
          </w:p>
        </w:tc>
        <w:tc>
          <w:tcPr>
            <w:tcW w:w="425" w:type="dxa"/>
            <w:tcBorders>
              <w:left w:val="single" w:color="auto" w:sz="4" w:space="0"/>
              <w:right w:val="single" w:color="auto" w:sz="4" w:space="0"/>
            </w:tcBorders>
            <w:vAlign w:val="center"/>
          </w:tcPr>
          <w:p w14:paraId="2E9BDCE7">
            <w:pPr>
              <w:jc w:val="right"/>
              <w:rPr>
                <w:rFonts w:ascii="Calibri" w:hAnsi="Calibri"/>
                <w:sz w:val="20"/>
                <w:szCs w:val="20"/>
              </w:rPr>
            </w:pPr>
          </w:p>
        </w:tc>
        <w:tc>
          <w:tcPr>
            <w:tcW w:w="425" w:type="dxa"/>
            <w:tcBorders>
              <w:left w:val="single" w:color="auto" w:sz="4" w:space="0"/>
              <w:right w:val="single" w:color="auto" w:sz="4" w:space="0"/>
            </w:tcBorders>
            <w:vAlign w:val="center"/>
          </w:tcPr>
          <w:p w14:paraId="637B413D">
            <w:pPr>
              <w:jc w:val="right"/>
              <w:rPr>
                <w:rFonts w:ascii="Calibri" w:hAnsi="Calibri"/>
                <w:sz w:val="20"/>
                <w:szCs w:val="20"/>
              </w:rPr>
            </w:pPr>
          </w:p>
        </w:tc>
        <w:tc>
          <w:tcPr>
            <w:tcW w:w="426" w:type="dxa"/>
            <w:tcBorders>
              <w:left w:val="single" w:color="auto" w:sz="4" w:space="0"/>
            </w:tcBorders>
            <w:vAlign w:val="center"/>
          </w:tcPr>
          <w:p w14:paraId="3682E416">
            <w:pPr>
              <w:jc w:val="right"/>
              <w:rPr>
                <w:rFonts w:ascii="Calibri" w:hAnsi="Calibri"/>
                <w:sz w:val="20"/>
                <w:szCs w:val="20"/>
              </w:rPr>
            </w:pPr>
          </w:p>
        </w:tc>
        <w:tc>
          <w:tcPr>
            <w:tcW w:w="1559" w:type="dxa"/>
            <w:vAlign w:val="center"/>
          </w:tcPr>
          <w:p w14:paraId="406E7B06">
            <w:pPr>
              <w:jc w:val="right"/>
              <w:rPr>
                <w:rFonts w:ascii="Calibri" w:hAnsi="Calibri"/>
                <w:sz w:val="20"/>
                <w:szCs w:val="20"/>
              </w:rPr>
            </w:pPr>
          </w:p>
        </w:tc>
        <w:tc>
          <w:tcPr>
            <w:tcW w:w="1701" w:type="dxa"/>
            <w:vAlign w:val="center"/>
          </w:tcPr>
          <w:p w14:paraId="3FBF6320">
            <w:pPr>
              <w:jc w:val="right"/>
              <w:rPr>
                <w:rFonts w:ascii="Calibri" w:hAnsi="Calibri"/>
                <w:sz w:val="20"/>
                <w:szCs w:val="20"/>
              </w:rPr>
            </w:pPr>
          </w:p>
        </w:tc>
        <w:tc>
          <w:tcPr>
            <w:tcW w:w="1559" w:type="dxa"/>
            <w:vAlign w:val="center"/>
          </w:tcPr>
          <w:p w14:paraId="38A1C9D1">
            <w:pPr>
              <w:jc w:val="right"/>
              <w:rPr>
                <w:rFonts w:ascii="Calibri" w:hAnsi="Calibri"/>
                <w:sz w:val="20"/>
                <w:szCs w:val="20"/>
              </w:rPr>
            </w:pPr>
          </w:p>
        </w:tc>
        <w:tc>
          <w:tcPr>
            <w:tcW w:w="1843" w:type="dxa"/>
            <w:vAlign w:val="center"/>
          </w:tcPr>
          <w:p w14:paraId="1F8BB108">
            <w:pPr>
              <w:jc w:val="right"/>
              <w:rPr>
                <w:rFonts w:ascii="Calibri" w:hAnsi="Calibri"/>
                <w:sz w:val="20"/>
                <w:szCs w:val="20"/>
              </w:rPr>
            </w:pPr>
          </w:p>
        </w:tc>
        <w:tc>
          <w:tcPr>
            <w:tcW w:w="1788" w:type="dxa"/>
            <w:vAlign w:val="center"/>
          </w:tcPr>
          <w:p w14:paraId="578123BC">
            <w:pPr>
              <w:jc w:val="right"/>
              <w:rPr>
                <w:rFonts w:ascii="Calibri" w:hAnsi="Calibri"/>
                <w:sz w:val="20"/>
                <w:szCs w:val="20"/>
              </w:rPr>
            </w:pPr>
          </w:p>
        </w:tc>
        <w:tc>
          <w:tcPr>
            <w:tcW w:w="1897" w:type="dxa"/>
            <w:vAlign w:val="center"/>
          </w:tcPr>
          <w:p w14:paraId="1D1D1714">
            <w:pPr>
              <w:jc w:val="right"/>
              <w:rPr>
                <w:rFonts w:ascii="Calibri" w:hAnsi="Calibri"/>
                <w:sz w:val="20"/>
                <w:szCs w:val="20"/>
              </w:rPr>
            </w:pPr>
          </w:p>
        </w:tc>
      </w:tr>
      <w:tr w14:paraId="501ED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6633049a29464fd58ed8f9bdc82f6c7b"/>
            <w:id w:val="-793065681"/>
          </w:sdtPr>
          <w:sdtContent>
            <w:tc>
              <w:tcPr>
                <w:tcW w:w="2269" w:type="dxa"/>
                <w:vAlign w:val="center"/>
              </w:tcPr>
              <w:p w14:paraId="488D91B5">
                <w:pPr>
                  <w:rPr>
                    <w:rFonts w:ascii="Calibri" w:hAnsi="Calibri"/>
                    <w:sz w:val="18"/>
                    <w:szCs w:val="18"/>
                  </w:rPr>
                </w:pPr>
                <w:r>
                  <w:rPr>
                    <w:rFonts w:hint="eastAsia" w:ascii="Calibri" w:hAnsi="Calibri"/>
                    <w:sz w:val="18"/>
                    <w:szCs w:val="18"/>
                  </w:rPr>
                  <w:t>（六）其他</w:t>
                </w:r>
              </w:p>
            </w:tc>
          </w:sdtContent>
        </w:sdt>
        <w:tc>
          <w:tcPr>
            <w:tcW w:w="1843" w:type="dxa"/>
            <w:tcBorders>
              <w:right w:val="single" w:color="auto" w:sz="4" w:space="0"/>
            </w:tcBorders>
            <w:vAlign w:val="center"/>
          </w:tcPr>
          <w:p w14:paraId="70BEF65D">
            <w:pPr>
              <w:jc w:val="right"/>
              <w:rPr>
                <w:rFonts w:ascii="Calibri" w:hAnsi="Calibri"/>
                <w:sz w:val="20"/>
                <w:szCs w:val="20"/>
              </w:rPr>
            </w:pPr>
          </w:p>
        </w:tc>
        <w:tc>
          <w:tcPr>
            <w:tcW w:w="425" w:type="dxa"/>
            <w:tcBorders>
              <w:left w:val="single" w:color="auto" w:sz="4" w:space="0"/>
              <w:right w:val="single" w:color="auto" w:sz="4" w:space="0"/>
            </w:tcBorders>
            <w:vAlign w:val="center"/>
          </w:tcPr>
          <w:p w14:paraId="65EA21CC">
            <w:pPr>
              <w:jc w:val="right"/>
              <w:rPr>
                <w:rFonts w:ascii="Calibri" w:hAnsi="Calibri"/>
                <w:sz w:val="20"/>
                <w:szCs w:val="20"/>
              </w:rPr>
            </w:pPr>
          </w:p>
        </w:tc>
        <w:tc>
          <w:tcPr>
            <w:tcW w:w="425" w:type="dxa"/>
            <w:tcBorders>
              <w:left w:val="single" w:color="auto" w:sz="4" w:space="0"/>
              <w:right w:val="single" w:color="auto" w:sz="4" w:space="0"/>
            </w:tcBorders>
            <w:vAlign w:val="center"/>
          </w:tcPr>
          <w:p w14:paraId="73462ECB">
            <w:pPr>
              <w:jc w:val="right"/>
              <w:rPr>
                <w:rFonts w:ascii="Calibri" w:hAnsi="Calibri"/>
                <w:sz w:val="20"/>
                <w:szCs w:val="20"/>
              </w:rPr>
            </w:pPr>
          </w:p>
        </w:tc>
        <w:tc>
          <w:tcPr>
            <w:tcW w:w="426" w:type="dxa"/>
            <w:tcBorders>
              <w:left w:val="single" w:color="auto" w:sz="4" w:space="0"/>
            </w:tcBorders>
            <w:vAlign w:val="center"/>
          </w:tcPr>
          <w:p w14:paraId="78FA90F3">
            <w:pPr>
              <w:jc w:val="right"/>
              <w:rPr>
                <w:rFonts w:ascii="Calibri" w:hAnsi="Calibri"/>
                <w:sz w:val="20"/>
                <w:szCs w:val="20"/>
              </w:rPr>
            </w:pPr>
          </w:p>
        </w:tc>
        <w:tc>
          <w:tcPr>
            <w:tcW w:w="1559" w:type="dxa"/>
            <w:vAlign w:val="center"/>
          </w:tcPr>
          <w:p w14:paraId="37BCF05C">
            <w:pPr>
              <w:jc w:val="right"/>
              <w:rPr>
                <w:rFonts w:ascii="Calibri" w:hAnsi="Calibri"/>
                <w:sz w:val="20"/>
                <w:szCs w:val="20"/>
              </w:rPr>
            </w:pPr>
            <w:r>
              <w:rPr>
                <w:rFonts w:ascii="Calibri" w:hAnsi="Calibri"/>
                <w:sz w:val="20"/>
                <w:szCs w:val="20"/>
              </w:rPr>
              <w:t>-49,033.22</w:t>
            </w:r>
          </w:p>
        </w:tc>
        <w:tc>
          <w:tcPr>
            <w:tcW w:w="1701" w:type="dxa"/>
            <w:vAlign w:val="center"/>
          </w:tcPr>
          <w:p w14:paraId="4F2677E2">
            <w:pPr>
              <w:jc w:val="right"/>
              <w:rPr>
                <w:rFonts w:ascii="Calibri" w:hAnsi="Calibri"/>
                <w:sz w:val="20"/>
                <w:szCs w:val="20"/>
              </w:rPr>
            </w:pPr>
          </w:p>
        </w:tc>
        <w:tc>
          <w:tcPr>
            <w:tcW w:w="1559" w:type="dxa"/>
            <w:vAlign w:val="center"/>
          </w:tcPr>
          <w:p w14:paraId="679B46EE">
            <w:pPr>
              <w:jc w:val="right"/>
              <w:rPr>
                <w:rFonts w:ascii="Calibri" w:hAnsi="Calibri"/>
                <w:sz w:val="20"/>
                <w:szCs w:val="20"/>
              </w:rPr>
            </w:pPr>
          </w:p>
        </w:tc>
        <w:tc>
          <w:tcPr>
            <w:tcW w:w="1843" w:type="dxa"/>
            <w:vAlign w:val="center"/>
          </w:tcPr>
          <w:p w14:paraId="4332E9EE">
            <w:pPr>
              <w:jc w:val="right"/>
              <w:rPr>
                <w:rFonts w:ascii="Calibri" w:hAnsi="Calibri"/>
                <w:sz w:val="20"/>
                <w:szCs w:val="20"/>
              </w:rPr>
            </w:pPr>
          </w:p>
        </w:tc>
        <w:tc>
          <w:tcPr>
            <w:tcW w:w="1788" w:type="dxa"/>
            <w:vAlign w:val="center"/>
          </w:tcPr>
          <w:p w14:paraId="4DE38D11">
            <w:pPr>
              <w:jc w:val="right"/>
              <w:rPr>
                <w:rFonts w:ascii="Calibri" w:hAnsi="Calibri"/>
                <w:sz w:val="20"/>
                <w:szCs w:val="20"/>
              </w:rPr>
            </w:pPr>
          </w:p>
        </w:tc>
        <w:tc>
          <w:tcPr>
            <w:tcW w:w="1897" w:type="dxa"/>
            <w:vAlign w:val="center"/>
          </w:tcPr>
          <w:p w14:paraId="4E287D74">
            <w:pPr>
              <w:jc w:val="right"/>
              <w:rPr>
                <w:rFonts w:ascii="Calibri" w:hAnsi="Calibri"/>
                <w:sz w:val="20"/>
                <w:szCs w:val="20"/>
              </w:rPr>
            </w:pPr>
            <w:r>
              <w:rPr>
                <w:rFonts w:ascii="Calibri" w:hAnsi="Calibri"/>
                <w:sz w:val="20"/>
                <w:szCs w:val="20"/>
              </w:rPr>
              <w:t>-49,033.22</w:t>
            </w:r>
          </w:p>
        </w:tc>
      </w:tr>
      <w:tr w14:paraId="054B4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0d209cea233c428da026233fffdd75cf"/>
            <w:id w:val="-1272783568"/>
          </w:sdtPr>
          <w:sdtContent>
            <w:tc>
              <w:tcPr>
                <w:tcW w:w="2269" w:type="dxa"/>
                <w:vAlign w:val="center"/>
              </w:tcPr>
              <w:p w14:paraId="2117C1FF">
                <w:pPr>
                  <w:rPr>
                    <w:rFonts w:ascii="Calibri" w:hAnsi="Calibri"/>
                    <w:sz w:val="18"/>
                    <w:szCs w:val="18"/>
                  </w:rPr>
                </w:pPr>
                <w:r>
                  <w:rPr>
                    <w:rFonts w:ascii="Calibri" w:hAnsi="Calibri"/>
                    <w:sz w:val="18"/>
                    <w:szCs w:val="18"/>
                  </w:rPr>
                  <w:t>四、本期期末余额</w:t>
                </w:r>
              </w:p>
            </w:tc>
          </w:sdtContent>
        </w:sdt>
        <w:tc>
          <w:tcPr>
            <w:tcW w:w="1843" w:type="dxa"/>
            <w:tcBorders>
              <w:right w:val="single" w:color="auto" w:sz="4" w:space="0"/>
            </w:tcBorders>
            <w:vAlign w:val="center"/>
          </w:tcPr>
          <w:p w14:paraId="5CADAD7B">
            <w:pPr>
              <w:jc w:val="right"/>
              <w:rPr>
                <w:rFonts w:ascii="Calibri" w:hAnsi="Calibri"/>
                <w:sz w:val="20"/>
                <w:szCs w:val="20"/>
              </w:rPr>
            </w:pPr>
            <w:r>
              <w:rPr>
                <w:rFonts w:ascii="Calibri" w:hAnsi="Calibri"/>
                <w:sz w:val="20"/>
                <w:szCs w:val="20"/>
              </w:rPr>
              <w:t>1,958,542,829.00</w:t>
            </w:r>
          </w:p>
        </w:tc>
        <w:tc>
          <w:tcPr>
            <w:tcW w:w="425" w:type="dxa"/>
            <w:tcBorders>
              <w:left w:val="single" w:color="auto" w:sz="4" w:space="0"/>
              <w:right w:val="single" w:color="auto" w:sz="4" w:space="0"/>
            </w:tcBorders>
            <w:vAlign w:val="center"/>
          </w:tcPr>
          <w:p w14:paraId="6358E3FE">
            <w:pPr>
              <w:jc w:val="right"/>
              <w:rPr>
                <w:rFonts w:ascii="Calibri" w:hAnsi="Calibri"/>
                <w:sz w:val="20"/>
                <w:szCs w:val="20"/>
              </w:rPr>
            </w:pPr>
          </w:p>
        </w:tc>
        <w:tc>
          <w:tcPr>
            <w:tcW w:w="425" w:type="dxa"/>
            <w:tcBorders>
              <w:left w:val="single" w:color="auto" w:sz="4" w:space="0"/>
              <w:right w:val="single" w:color="auto" w:sz="4" w:space="0"/>
            </w:tcBorders>
            <w:vAlign w:val="center"/>
          </w:tcPr>
          <w:p w14:paraId="1DCEC8CE">
            <w:pPr>
              <w:jc w:val="right"/>
              <w:rPr>
                <w:rFonts w:ascii="Calibri" w:hAnsi="Calibri"/>
                <w:sz w:val="20"/>
                <w:szCs w:val="20"/>
              </w:rPr>
            </w:pPr>
          </w:p>
        </w:tc>
        <w:tc>
          <w:tcPr>
            <w:tcW w:w="426" w:type="dxa"/>
            <w:tcBorders>
              <w:left w:val="single" w:color="auto" w:sz="4" w:space="0"/>
            </w:tcBorders>
            <w:vAlign w:val="center"/>
          </w:tcPr>
          <w:p w14:paraId="55F8E092">
            <w:pPr>
              <w:jc w:val="right"/>
              <w:rPr>
                <w:rFonts w:ascii="Calibri" w:hAnsi="Calibri"/>
                <w:sz w:val="20"/>
                <w:szCs w:val="20"/>
              </w:rPr>
            </w:pPr>
          </w:p>
        </w:tc>
        <w:tc>
          <w:tcPr>
            <w:tcW w:w="1559" w:type="dxa"/>
            <w:vAlign w:val="center"/>
          </w:tcPr>
          <w:p w14:paraId="06B60023">
            <w:pPr>
              <w:jc w:val="right"/>
              <w:rPr>
                <w:rFonts w:ascii="Calibri" w:hAnsi="Calibri"/>
                <w:sz w:val="20"/>
                <w:szCs w:val="20"/>
              </w:rPr>
            </w:pPr>
            <w:r>
              <w:rPr>
                <w:rFonts w:ascii="Calibri" w:hAnsi="Calibri"/>
                <w:sz w:val="20"/>
                <w:szCs w:val="20"/>
              </w:rPr>
              <w:t>259,627,638.40</w:t>
            </w:r>
          </w:p>
        </w:tc>
        <w:tc>
          <w:tcPr>
            <w:tcW w:w="1701" w:type="dxa"/>
            <w:vAlign w:val="center"/>
          </w:tcPr>
          <w:p w14:paraId="5C6002CC">
            <w:pPr>
              <w:jc w:val="right"/>
              <w:rPr>
                <w:rFonts w:ascii="Calibri" w:hAnsi="Calibri"/>
                <w:sz w:val="20"/>
                <w:szCs w:val="20"/>
              </w:rPr>
            </w:pPr>
            <w:r>
              <w:rPr>
                <w:rFonts w:ascii="Calibri" w:hAnsi="Calibri"/>
                <w:sz w:val="20"/>
                <w:szCs w:val="20"/>
              </w:rPr>
              <w:t>88,109,902.16</w:t>
            </w:r>
          </w:p>
        </w:tc>
        <w:tc>
          <w:tcPr>
            <w:tcW w:w="1559" w:type="dxa"/>
            <w:vAlign w:val="center"/>
          </w:tcPr>
          <w:p w14:paraId="2F32167D">
            <w:pPr>
              <w:jc w:val="right"/>
              <w:rPr>
                <w:rFonts w:ascii="Calibri" w:hAnsi="Calibri"/>
                <w:sz w:val="20"/>
                <w:szCs w:val="20"/>
              </w:rPr>
            </w:pPr>
            <w:r>
              <w:rPr>
                <w:rFonts w:ascii="Calibri" w:hAnsi="Calibri"/>
                <w:sz w:val="20"/>
                <w:szCs w:val="20"/>
              </w:rPr>
              <w:t>10,670,784.43</w:t>
            </w:r>
          </w:p>
        </w:tc>
        <w:tc>
          <w:tcPr>
            <w:tcW w:w="1843" w:type="dxa"/>
            <w:vAlign w:val="center"/>
          </w:tcPr>
          <w:p w14:paraId="5513AE4C">
            <w:pPr>
              <w:jc w:val="right"/>
              <w:rPr>
                <w:rFonts w:ascii="Calibri" w:hAnsi="Calibri"/>
                <w:sz w:val="20"/>
                <w:szCs w:val="20"/>
              </w:rPr>
            </w:pPr>
            <w:r>
              <w:rPr>
                <w:rFonts w:ascii="Calibri" w:hAnsi="Calibri"/>
                <w:sz w:val="20"/>
                <w:szCs w:val="20"/>
              </w:rPr>
              <w:t>1,018,076,669.77</w:t>
            </w:r>
          </w:p>
        </w:tc>
        <w:tc>
          <w:tcPr>
            <w:tcW w:w="1788" w:type="dxa"/>
            <w:vAlign w:val="center"/>
          </w:tcPr>
          <w:p w14:paraId="732BA1CA">
            <w:pPr>
              <w:jc w:val="right"/>
              <w:rPr>
                <w:rFonts w:ascii="Calibri" w:hAnsi="Calibri"/>
                <w:sz w:val="20"/>
                <w:szCs w:val="20"/>
              </w:rPr>
            </w:pPr>
            <w:r>
              <w:rPr>
                <w:rFonts w:ascii="Calibri" w:hAnsi="Calibri"/>
                <w:sz w:val="20"/>
                <w:szCs w:val="20"/>
              </w:rPr>
              <w:t>4,304,411,708.85</w:t>
            </w:r>
          </w:p>
        </w:tc>
        <w:tc>
          <w:tcPr>
            <w:tcW w:w="1897" w:type="dxa"/>
            <w:vAlign w:val="center"/>
          </w:tcPr>
          <w:p w14:paraId="255EB136">
            <w:pPr>
              <w:jc w:val="right"/>
              <w:rPr>
                <w:rFonts w:ascii="Calibri" w:hAnsi="Calibri"/>
                <w:sz w:val="20"/>
                <w:szCs w:val="20"/>
              </w:rPr>
            </w:pPr>
            <w:r>
              <w:rPr>
                <w:rFonts w:ascii="Calibri" w:hAnsi="Calibri"/>
                <w:sz w:val="20"/>
                <w:szCs w:val="20"/>
              </w:rPr>
              <w:t>7,463,219,728.29</w:t>
            </w:r>
          </w:p>
        </w:tc>
      </w:tr>
    </w:tbl>
    <w:p w14:paraId="69353A38"/>
    <w:p w14:paraId="183C8124">
      <w:pPr>
        <w:pStyle w:val="48"/>
      </w:pPr>
    </w:p>
    <w:tbl>
      <w:tblPr>
        <w:tblStyle w:val="57"/>
        <w:tblW w:w="15735" w:type="dxa"/>
        <w:tblInd w:w="-100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9"/>
        <w:gridCol w:w="1701"/>
        <w:gridCol w:w="567"/>
        <w:gridCol w:w="425"/>
        <w:gridCol w:w="426"/>
        <w:gridCol w:w="1842"/>
        <w:gridCol w:w="1701"/>
        <w:gridCol w:w="1560"/>
        <w:gridCol w:w="1701"/>
        <w:gridCol w:w="1842"/>
        <w:gridCol w:w="1701"/>
      </w:tblGrid>
      <w:tr w14:paraId="72488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269" w:type="dxa"/>
            <w:vMerge w:val="restart"/>
            <w:vAlign w:val="center"/>
          </w:tcPr>
          <w:sdt>
            <w:sdtPr>
              <w:tag w:val="_PLD_64a794ab75214f6d9d66748804bee4e8"/>
              <w:id w:val="-2115428485"/>
            </w:sdtPr>
            <w:sdtContent>
              <w:p w14:paraId="57B2270A">
                <w:pPr>
                  <w:adjustRightInd w:val="0"/>
                  <w:snapToGrid w:val="0"/>
                  <w:jc w:val="center"/>
                  <w:rPr>
                    <w:rFonts w:ascii="Calibri" w:hAnsi="Calibri"/>
                    <w:sz w:val="18"/>
                    <w:szCs w:val="18"/>
                  </w:rPr>
                </w:pPr>
                <w:r>
                  <w:rPr>
                    <w:rFonts w:hint="eastAsia" w:ascii="Calibri" w:hAnsi="Calibri"/>
                    <w:sz w:val="18"/>
                    <w:szCs w:val="18"/>
                  </w:rPr>
                  <w:t>项目</w:t>
                </w:r>
              </w:p>
            </w:sdtContent>
          </w:sdt>
        </w:tc>
        <w:tc>
          <w:tcPr>
            <w:tcW w:w="13466" w:type="dxa"/>
            <w:gridSpan w:val="10"/>
            <w:vAlign w:val="center"/>
          </w:tcPr>
          <w:p w14:paraId="35138A2A">
            <w:pPr>
              <w:adjustRightInd w:val="0"/>
              <w:snapToGrid w:val="0"/>
              <w:jc w:val="center"/>
              <w:rPr>
                <w:rFonts w:ascii="Calibri" w:hAnsi="Calibri"/>
                <w:sz w:val="18"/>
                <w:szCs w:val="20"/>
              </w:rPr>
            </w:pPr>
            <w:r>
              <w:rPr>
                <w:rFonts w:hint="eastAsia" w:ascii="Calibri" w:hAnsi="Calibri"/>
                <w:sz w:val="18"/>
                <w:szCs w:val="20"/>
              </w:rPr>
              <w:t xml:space="preserve"> </w:t>
            </w:r>
            <w:sdt>
              <w:sdtPr>
                <w:tag w:val="_PLD_6226137cffd442dfb505b8cfe7d1f423"/>
                <w:id w:val="-166176663"/>
              </w:sdtPr>
              <w:sdtContent>
                <w:r>
                  <w:rPr>
                    <w:rFonts w:hint="eastAsia" w:ascii="Calibri" w:hAnsi="Calibri"/>
                    <w:sz w:val="18"/>
                    <w:szCs w:val="20"/>
                  </w:rPr>
                  <w:t>2024年度</w:t>
                </w:r>
              </w:sdtContent>
            </w:sdt>
          </w:p>
        </w:tc>
      </w:tr>
      <w:tr w14:paraId="13642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trPr>
        <w:tc>
          <w:tcPr>
            <w:tcW w:w="2269" w:type="dxa"/>
            <w:vMerge w:val="continue"/>
            <w:vAlign w:val="center"/>
          </w:tcPr>
          <w:p w14:paraId="415300A4">
            <w:pPr>
              <w:adjustRightInd w:val="0"/>
              <w:snapToGrid w:val="0"/>
              <w:rPr>
                <w:rFonts w:ascii="Calibri" w:hAnsi="Calibri"/>
                <w:sz w:val="18"/>
                <w:szCs w:val="18"/>
              </w:rPr>
            </w:pPr>
          </w:p>
        </w:tc>
        <w:sdt>
          <w:sdtPr>
            <w:tag w:val="_PLD_e0e316f064db43a38ddec14c349b4dfa"/>
            <w:id w:val="-79448686"/>
          </w:sdtPr>
          <w:sdtContent>
            <w:tc>
              <w:tcPr>
                <w:tcW w:w="1701" w:type="dxa"/>
                <w:vMerge w:val="restart"/>
                <w:tcBorders>
                  <w:right w:val="single" w:color="auto" w:sz="4" w:space="0"/>
                </w:tcBorders>
                <w:vAlign w:val="center"/>
              </w:tcPr>
              <w:p w14:paraId="77494771">
                <w:pPr>
                  <w:adjustRightInd w:val="0"/>
                  <w:snapToGrid w:val="0"/>
                  <w:jc w:val="center"/>
                  <w:rPr>
                    <w:rFonts w:ascii="Calibri" w:hAnsi="Calibri"/>
                    <w:sz w:val="18"/>
                    <w:szCs w:val="18"/>
                  </w:rPr>
                </w:pPr>
                <w:r>
                  <w:rPr>
                    <w:rFonts w:ascii="Calibri" w:hAnsi="Calibri"/>
                    <w:sz w:val="18"/>
                    <w:szCs w:val="18"/>
                  </w:rPr>
                  <w:t>实收资本 (或股本)</w:t>
                </w:r>
              </w:p>
            </w:tc>
          </w:sdtContent>
        </w:sdt>
        <w:sdt>
          <w:sdtPr>
            <w:tag w:val="_PLD_2c82747108ee4c518651265b45dbebcd"/>
            <w:id w:val="383385688"/>
          </w:sdtPr>
          <w:sdtContent>
            <w:tc>
              <w:tcPr>
                <w:tcW w:w="1418" w:type="dxa"/>
                <w:gridSpan w:val="3"/>
                <w:tcBorders>
                  <w:left w:val="single" w:color="auto" w:sz="4" w:space="0"/>
                  <w:bottom w:val="single" w:color="auto" w:sz="4" w:space="0"/>
                </w:tcBorders>
                <w:vAlign w:val="center"/>
              </w:tcPr>
              <w:p w14:paraId="5FCDDC53">
                <w:pPr>
                  <w:adjustRightInd w:val="0"/>
                  <w:snapToGrid w:val="0"/>
                  <w:jc w:val="center"/>
                  <w:rPr>
                    <w:rFonts w:ascii="Calibri" w:hAnsi="Calibri"/>
                    <w:sz w:val="18"/>
                    <w:szCs w:val="18"/>
                  </w:rPr>
                </w:pPr>
                <w:r>
                  <w:rPr>
                    <w:rFonts w:hint="eastAsia" w:ascii="Calibri" w:hAnsi="Calibri"/>
                    <w:sz w:val="18"/>
                    <w:szCs w:val="18"/>
                  </w:rPr>
                  <w:t>其他权益工具</w:t>
                </w:r>
              </w:p>
            </w:tc>
          </w:sdtContent>
        </w:sdt>
        <w:sdt>
          <w:sdtPr>
            <w:tag w:val="_PLD_c459549b516242be83fce2e92cc794e6"/>
            <w:id w:val="2105136212"/>
          </w:sdtPr>
          <w:sdtContent>
            <w:tc>
              <w:tcPr>
                <w:tcW w:w="1842" w:type="dxa"/>
                <w:vMerge w:val="restart"/>
                <w:vAlign w:val="center"/>
              </w:tcPr>
              <w:p w14:paraId="59EF37C9">
                <w:pPr>
                  <w:adjustRightInd w:val="0"/>
                  <w:snapToGrid w:val="0"/>
                  <w:jc w:val="center"/>
                  <w:rPr>
                    <w:rFonts w:ascii="Calibri" w:hAnsi="Calibri"/>
                    <w:sz w:val="18"/>
                    <w:szCs w:val="18"/>
                  </w:rPr>
                </w:pPr>
                <w:r>
                  <w:rPr>
                    <w:rFonts w:ascii="Calibri" w:hAnsi="Calibri"/>
                    <w:sz w:val="18"/>
                    <w:szCs w:val="18"/>
                  </w:rPr>
                  <w:t>资本公积</w:t>
                </w:r>
              </w:p>
            </w:tc>
          </w:sdtContent>
        </w:sdt>
        <w:sdt>
          <w:sdtPr>
            <w:tag w:val="_PLD_9979085a666a4b7a9ee698268b0bb615"/>
            <w:id w:val="119425934"/>
          </w:sdtPr>
          <w:sdtContent>
            <w:tc>
              <w:tcPr>
                <w:tcW w:w="1701" w:type="dxa"/>
                <w:vMerge w:val="restart"/>
                <w:vAlign w:val="center"/>
              </w:tcPr>
              <w:p w14:paraId="7A6D8DC3">
                <w:pPr>
                  <w:adjustRightInd w:val="0"/>
                  <w:snapToGrid w:val="0"/>
                  <w:jc w:val="center"/>
                  <w:rPr>
                    <w:rFonts w:ascii="Calibri" w:hAnsi="Calibri"/>
                    <w:sz w:val="18"/>
                    <w:szCs w:val="18"/>
                  </w:rPr>
                </w:pPr>
                <w:r>
                  <w:rPr>
                    <w:rFonts w:ascii="Calibri" w:hAnsi="Calibri"/>
                    <w:sz w:val="18"/>
                    <w:szCs w:val="18"/>
                  </w:rPr>
                  <w:t>减：库存股</w:t>
                </w:r>
              </w:p>
            </w:tc>
          </w:sdtContent>
        </w:sdt>
        <w:sdt>
          <w:sdtPr>
            <w:tag w:val="_PLD_3b870c2efbdc421980e0e6ed21bc828a"/>
            <w:id w:val="-730847793"/>
          </w:sdtPr>
          <w:sdtContent>
            <w:tc>
              <w:tcPr>
                <w:tcW w:w="1560" w:type="dxa"/>
                <w:vMerge w:val="restart"/>
                <w:vAlign w:val="center"/>
              </w:tcPr>
              <w:p w14:paraId="7904B02B">
                <w:pPr>
                  <w:jc w:val="center"/>
                  <w:rPr>
                    <w:rFonts w:ascii="Calibri" w:hAnsi="Calibri"/>
                    <w:sz w:val="18"/>
                    <w:szCs w:val="18"/>
                  </w:rPr>
                </w:pPr>
                <w:r>
                  <w:rPr>
                    <w:rFonts w:hint="eastAsia" w:ascii="Calibri" w:hAnsi="Calibri"/>
                    <w:sz w:val="18"/>
                    <w:szCs w:val="18"/>
                  </w:rPr>
                  <w:t>其他综合收益</w:t>
                </w:r>
              </w:p>
            </w:tc>
          </w:sdtContent>
        </w:sdt>
        <w:sdt>
          <w:sdtPr>
            <w:tag w:val="_PLD_eddda9b1710646a5811c9efb65bf8703"/>
            <w:id w:val="-697239668"/>
          </w:sdtPr>
          <w:sdtContent>
            <w:tc>
              <w:tcPr>
                <w:tcW w:w="1701" w:type="dxa"/>
                <w:vMerge w:val="restart"/>
                <w:vAlign w:val="center"/>
              </w:tcPr>
              <w:p w14:paraId="4225ECA3">
                <w:pPr>
                  <w:adjustRightInd w:val="0"/>
                  <w:snapToGrid w:val="0"/>
                  <w:jc w:val="center"/>
                  <w:rPr>
                    <w:rFonts w:ascii="Calibri" w:hAnsi="Calibri"/>
                    <w:sz w:val="18"/>
                    <w:szCs w:val="18"/>
                  </w:rPr>
                </w:pPr>
                <w:r>
                  <w:rPr>
                    <w:rFonts w:ascii="Calibri" w:hAnsi="Calibri"/>
                    <w:sz w:val="18"/>
                    <w:szCs w:val="18"/>
                  </w:rPr>
                  <w:t>盈余公积</w:t>
                </w:r>
              </w:p>
            </w:tc>
          </w:sdtContent>
        </w:sdt>
        <w:sdt>
          <w:sdtPr>
            <w:tag w:val="_PLD_d210b1f3e63743b7b7ad078da7c00997"/>
            <w:id w:val="481515063"/>
          </w:sdtPr>
          <w:sdtContent>
            <w:tc>
              <w:tcPr>
                <w:tcW w:w="1842" w:type="dxa"/>
                <w:vMerge w:val="restart"/>
                <w:vAlign w:val="center"/>
              </w:tcPr>
              <w:p w14:paraId="2B1CC5E2">
                <w:pPr>
                  <w:adjustRightInd w:val="0"/>
                  <w:snapToGrid w:val="0"/>
                  <w:jc w:val="center"/>
                  <w:rPr>
                    <w:rFonts w:ascii="Calibri" w:hAnsi="Calibri"/>
                    <w:sz w:val="18"/>
                    <w:szCs w:val="18"/>
                  </w:rPr>
                </w:pPr>
                <w:r>
                  <w:rPr>
                    <w:rFonts w:ascii="Calibri" w:hAnsi="Calibri"/>
                    <w:sz w:val="18"/>
                    <w:szCs w:val="18"/>
                  </w:rPr>
                  <w:t>未分配利润</w:t>
                </w:r>
              </w:p>
            </w:tc>
          </w:sdtContent>
        </w:sdt>
        <w:sdt>
          <w:sdtPr>
            <w:tag w:val="_PLD_d0efa115b304401592a693cab0f3a46a"/>
            <w:id w:val="-989245922"/>
          </w:sdtPr>
          <w:sdtContent>
            <w:tc>
              <w:tcPr>
                <w:tcW w:w="1701" w:type="dxa"/>
                <w:vMerge w:val="restart"/>
                <w:vAlign w:val="center"/>
              </w:tcPr>
              <w:p w14:paraId="3CC85C4A">
                <w:pPr>
                  <w:adjustRightInd w:val="0"/>
                  <w:snapToGrid w:val="0"/>
                  <w:jc w:val="center"/>
                  <w:rPr>
                    <w:rFonts w:ascii="Calibri" w:hAnsi="Calibri"/>
                    <w:sz w:val="18"/>
                    <w:szCs w:val="18"/>
                  </w:rPr>
                </w:pPr>
                <w:r>
                  <w:rPr>
                    <w:rFonts w:ascii="Calibri" w:hAnsi="Calibri"/>
                    <w:sz w:val="18"/>
                    <w:szCs w:val="18"/>
                  </w:rPr>
                  <w:t>所有者权益合计</w:t>
                </w:r>
              </w:p>
            </w:tc>
          </w:sdtContent>
        </w:sdt>
      </w:tr>
      <w:tr w14:paraId="5CAF4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4" w:hRule="atLeast"/>
        </w:trPr>
        <w:tc>
          <w:tcPr>
            <w:tcW w:w="2269" w:type="dxa"/>
            <w:vMerge w:val="continue"/>
            <w:vAlign w:val="center"/>
          </w:tcPr>
          <w:p w14:paraId="51B47B69">
            <w:pPr>
              <w:adjustRightInd w:val="0"/>
              <w:snapToGrid w:val="0"/>
              <w:rPr>
                <w:rFonts w:ascii="Calibri" w:hAnsi="Calibri"/>
                <w:sz w:val="18"/>
                <w:szCs w:val="18"/>
              </w:rPr>
            </w:pPr>
          </w:p>
        </w:tc>
        <w:tc>
          <w:tcPr>
            <w:tcW w:w="1701" w:type="dxa"/>
            <w:vMerge w:val="continue"/>
            <w:tcBorders>
              <w:right w:val="single" w:color="auto" w:sz="4" w:space="0"/>
            </w:tcBorders>
            <w:vAlign w:val="center"/>
          </w:tcPr>
          <w:p w14:paraId="5E4F6F2A">
            <w:pPr>
              <w:adjustRightInd w:val="0"/>
              <w:snapToGrid w:val="0"/>
              <w:jc w:val="center"/>
              <w:rPr>
                <w:rFonts w:ascii="Calibri" w:hAnsi="Calibri"/>
                <w:sz w:val="18"/>
                <w:szCs w:val="18"/>
              </w:rPr>
            </w:pPr>
          </w:p>
        </w:tc>
        <w:sdt>
          <w:sdtPr>
            <w:tag w:val="_PLD_f219b4732c3e4bd5a67b8c298432fd3d"/>
            <w:id w:val="756181597"/>
          </w:sdtPr>
          <w:sdtContent>
            <w:tc>
              <w:tcPr>
                <w:tcW w:w="567" w:type="dxa"/>
                <w:tcBorders>
                  <w:top w:val="single" w:color="auto" w:sz="4" w:space="0"/>
                  <w:left w:val="single" w:color="auto" w:sz="4" w:space="0"/>
                  <w:right w:val="single" w:color="auto" w:sz="4" w:space="0"/>
                </w:tcBorders>
                <w:vAlign w:val="center"/>
              </w:tcPr>
              <w:p w14:paraId="757D6726">
                <w:pPr>
                  <w:adjustRightInd w:val="0"/>
                  <w:snapToGrid w:val="0"/>
                  <w:jc w:val="center"/>
                  <w:rPr>
                    <w:rFonts w:ascii="Calibri" w:hAnsi="Calibri"/>
                    <w:sz w:val="18"/>
                    <w:szCs w:val="18"/>
                  </w:rPr>
                </w:pPr>
                <w:r>
                  <w:rPr>
                    <w:rFonts w:hint="eastAsia" w:ascii="Calibri" w:hAnsi="Calibri"/>
                    <w:sz w:val="18"/>
                    <w:szCs w:val="18"/>
                  </w:rPr>
                  <w:t>优先股</w:t>
                </w:r>
              </w:p>
            </w:tc>
          </w:sdtContent>
        </w:sdt>
        <w:sdt>
          <w:sdtPr>
            <w:tag w:val="_PLD_9c8ca36c728447658d99fee93d742edf"/>
            <w:id w:val="-826751889"/>
          </w:sdtPr>
          <w:sdtContent>
            <w:tc>
              <w:tcPr>
                <w:tcW w:w="425" w:type="dxa"/>
                <w:tcBorders>
                  <w:top w:val="single" w:color="auto" w:sz="4" w:space="0"/>
                  <w:left w:val="single" w:color="auto" w:sz="4" w:space="0"/>
                  <w:right w:val="single" w:color="auto" w:sz="4" w:space="0"/>
                </w:tcBorders>
                <w:vAlign w:val="center"/>
              </w:tcPr>
              <w:p w14:paraId="53E70484">
                <w:pPr>
                  <w:adjustRightInd w:val="0"/>
                  <w:snapToGrid w:val="0"/>
                  <w:jc w:val="center"/>
                  <w:rPr>
                    <w:rFonts w:ascii="Calibri" w:hAnsi="Calibri"/>
                    <w:sz w:val="18"/>
                    <w:szCs w:val="18"/>
                  </w:rPr>
                </w:pPr>
                <w:r>
                  <w:rPr>
                    <w:rFonts w:hint="eastAsia" w:ascii="Calibri" w:hAnsi="Calibri"/>
                    <w:sz w:val="18"/>
                    <w:szCs w:val="18"/>
                  </w:rPr>
                  <w:t>永续债</w:t>
                </w:r>
              </w:p>
            </w:tc>
          </w:sdtContent>
        </w:sdt>
        <w:sdt>
          <w:sdtPr>
            <w:tag w:val="_PLD_d053abd77b574111883b8fafe3a173d2"/>
            <w:id w:val="1282989982"/>
          </w:sdtPr>
          <w:sdtContent>
            <w:tc>
              <w:tcPr>
                <w:tcW w:w="426" w:type="dxa"/>
                <w:tcBorders>
                  <w:top w:val="single" w:color="auto" w:sz="4" w:space="0"/>
                  <w:left w:val="single" w:color="auto" w:sz="4" w:space="0"/>
                </w:tcBorders>
                <w:vAlign w:val="center"/>
              </w:tcPr>
              <w:p w14:paraId="5232E09E">
                <w:pPr>
                  <w:adjustRightInd w:val="0"/>
                  <w:snapToGrid w:val="0"/>
                  <w:jc w:val="center"/>
                  <w:rPr>
                    <w:rFonts w:ascii="Calibri" w:hAnsi="Calibri"/>
                    <w:sz w:val="18"/>
                    <w:szCs w:val="18"/>
                  </w:rPr>
                </w:pPr>
                <w:r>
                  <w:rPr>
                    <w:rFonts w:hint="eastAsia" w:ascii="Calibri" w:hAnsi="Calibri"/>
                    <w:sz w:val="18"/>
                    <w:szCs w:val="18"/>
                  </w:rPr>
                  <w:t>其他</w:t>
                </w:r>
              </w:p>
            </w:tc>
          </w:sdtContent>
        </w:sdt>
        <w:tc>
          <w:tcPr>
            <w:tcW w:w="1842" w:type="dxa"/>
            <w:vMerge w:val="continue"/>
            <w:vAlign w:val="center"/>
          </w:tcPr>
          <w:p w14:paraId="418D2156">
            <w:pPr>
              <w:adjustRightInd w:val="0"/>
              <w:snapToGrid w:val="0"/>
              <w:jc w:val="center"/>
              <w:rPr>
                <w:rFonts w:ascii="Calibri" w:hAnsi="Calibri"/>
                <w:sz w:val="18"/>
                <w:szCs w:val="18"/>
              </w:rPr>
            </w:pPr>
          </w:p>
        </w:tc>
        <w:tc>
          <w:tcPr>
            <w:tcW w:w="1701" w:type="dxa"/>
            <w:vMerge w:val="continue"/>
            <w:vAlign w:val="center"/>
          </w:tcPr>
          <w:p w14:paraId="796A6B1B">
            <w:pPr>
              <w:adjustRightInd w:val="0"/>
              <w:snapToGrid w:val="0"/>
              <w:jc w:val="center"/>
              <w:rPr>
                <w:rFonts w:ascii="Calibri" w:hAnsi="Calibri"/>
                <w:sz w:val="18"/>
                <w:szCs w:val="18"/>
              </w:rPr>
            </w:pPr>
          </w:p>
        </w:tc>
        <w:tc>
          <w:tcPr>
            <w:tcW w:w="1560" w:type="dxa"/>
            <w:vMerge w:val="continue"/>
            <w:vAlign w:val="center"/>
          </w:tcPr>
          <w:p w14:paraId="395DC568">
            <w:pPr>
              <w:jc w:val="center"/>
              <w:rPr>
                <w:rFonts w:ascii="Calibri" w:hAnsi="Calibri"/>
                <w:sz w:val="18"/>
                <w:szCs w:val="18"/>
              </w:rPr>
            </w:pPr>
          </w:p>
        </w:tc>
        <w:tc>
          <w:tcPr>
            <w:tcW w:w="1701" w:type="dxa"/>
            <w:vMerge w:val="continue"/>
            <w:vAlign w:val="center"/>
          </w:tcPr>
          <w:p w14:paraId="7EB3D714">
            <w:pPr>
              <w:adjustRightInd w:val="0"/>
              <w:snapToGrid w:val="0"/>
              <w:jc w:val="center"/>
              <w:rPr>
                <w:rFonts w:ascii="Calibri" w:hAnsi="Calibri"/>
                <w:sz w:val="18"/>
                <w:szCs w:val="18"/>
              </w:rPr>
            </w:pPr>
          </w:p>
        </w:tc>
        <w:tc>
          <w:tcPr>
            <w:tcW w:w="1842" w:type="dxa"/>
            <w:vMerge w:val="continue"/>
            <w:vAlign w:val="center"/>
          </w:tcPr>
          <w:p w14:paraId="47455933">
            <w:pPr>
              <w:adjustRightInd w:val="0"/>
              <w:snapToGrid w:val="0"/>
              <w:jc w:val="center"/>
              <w:rPr>
                <w:rFonts w:ascii="Calibri" w:hAnsi="Calibri"/>
                <w:sz w:val="18"/>
                <w:szCs w:val="18"/>
              </w:rPr>
            </w:pPr>
          </w:p>
        </w:tc>
        <w:tc>
          <w:tcPr>
            <w:tcW w:w="1701" w:type="dxa"/>
            <w:vMerge w:val="continue"/>
            <w:vAlign w:val="center"/>
          </w:tcPr>
          <w:p w14:paraId="14D18A10">
            <w:pPr>
              <w:adjustRightInd w:val="0"/>
              <w:snapToGrid w:val="0"/>
              <w:jc w:val="center"/>
              <w:rPr>
                <w:rFonts w:ascii="Calibri" w:hAnsi="Calibri"/>
                <w:sz w:val="18"/>
                <w:szCs w:val="18"/>
              </w:rPr>
            </w:pPr>
          </w:p>
        </w:tc>
      </w:tr>
      <w:tr w14:paraId="52D4D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4b9f68f704bb4acfae62b3d3cbf0d790"/>
            <w:id w:val="522141056"/>
          </w:sdtPr>
          <w:sdtContent>
            <w:tc>
              <w:tcPr>
                <w:tcW w:w="2269" w:type="dxa"/>
                <w:vAlign w:val="center"/>
              </w:tcPr>
              <w:p w14:paraId="41564070">
                <w:pPr>
                  <w:rPr>
                    <w:rFonts w:ascii="Calibri" w:hAnsi="Calibri"/>
                    <w:sz w:val="18"/>
                    <w:szCs w:val="18"/>
                  </w:rPr>
                </w:pPr>
                <w:r>
                  <w:rPr>
                    <w:rFonts w:ascii="Calibri" w:hAnsi="Calibri"/>
                    <w:sz w:val="18"/>
                    <w:szCs w:val="18"/>
                  </w:rPr>
                  <w:t>一、上年</w:t>
                </w:r>
                <w:r>
                  <w:rPr>
                    <w:rFonts w:hint="eastAsia" w:ascii="Calibri" w:hAnsi="Calibri"/>
                    <w:sz w:val="18"/>
                    <w:szCs w:val="18"/>
                  </w:rPr>
                  <w:t>年</w:t>
                </w:r>
                <w:r>
                  <w:rPr>
                    <w:rFonts w:ascii="Calibri" w:hAnsi="Calibri"/>
                    <w:sz w:val="18"/>
                    <w:szCs w:val="18"/>
                  </w:rPr>
                  <w:t>末余额</w:t>
                </w:r>
              </w:p>
            </w:tc>
          </w:sdtContent>
        </w:sdt>
        <w:tc>
          <w:tcPr>
            <w:tcW w:w="1701" w:type="dxa"/>
            <w:tcBorders>
              <w:right w:val="single" w:color="auto" w:sz="4" w:space="0"/>
            </w:tcBorders>
            <w:vAlign w:val="center"/>
          </w:tcPr>
          <w:p w14:paraId="23EB252B">
            <w:pPr>
              <w:jc w:val="right"/>
              <w:rPr>
                <w:rFonts w:asciiTheme="minorHAnsi" w:hAnsiTheme="minorHAnsi" w:cstheme="minorHAnsi"/>
                <w:sz w:val="20"/>
                <w:szCs w:val="20"/>
              </w:rPr>
            </w:pPr>
            <w:r>
              <w:rPr>
                <w:rFonts w:asciiTheme="minorHAnsi" w:hAnsiTheme="minorHAnsi" w:cstheme="minorHAnsi"/>
                <w:sz w:val="20"/>
                <w:szCs w:val="20"/>
              </w:rPr>
              <w:t>1,993,617,453.00</w:t>
            </w:r>
          </w:p>
        </w:tc>
        <w:tc>
          <w:tcPr>
            <w:tcW w:w="567" w:type="dxa"/>
            <w:tcBorders>
              <w:left w:val="single" w:color="auto" w:sz="4" w:space="0"/>
              <w:right w:val="single" w:color="auto" w:sz="4" w:space="0"/>
            </w:tcBorders>
            <w:vAlign w:val="center"/>
          </w:tcPr>
          <w:p w14:paraId="4DE8B97A">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7E1FC488">
            <w:pPr>
              <w:jc w:val="right"/>
              <w:rPr>
                <w:rFonts w:asciiTheme="minorHAnsi" w:hAnsiTheme="minorHAnsi" w:cstheme="minorHAnsi"/>
                <w:sz w:val="20"/>
                <w:szCs w:val="20"/>
              </w:rPr>
            </w:pPr>
          </w:p>
        </w:tc>
        <w:tc>
          <w:tcPr>
            <w:tcW w:w="426" w:type="dxa"/>
            <w:tcBorders>
              <w:left w:val="single" w:color="auto" w:sz="4" w:space="0"/>
              <w:right w:val="single" w:color="auto" w:sz="4" w:space="0"/>
            </w:tcBorders>
            <w:vAlign w:val="center"/>
          </w:tcPr>
          <w:p w14:paraId="2415E88C">
            <w:pPr>
              <w:jc w:val="right"/>
              <w:rPr>
                <w:rFonts w:asciiTheme="minorHAnsi" w:hAnsiTheme="minorHAnsi" w:cstheme="minorHAnsi"/>
                <w:sz w:val="20"/>
                <w:szCs w:val="20"/>
              </w:rPr>
            </w:pPr>
          </w:p>
        </w:tc>
        <w:tc>
          <w:tcPr>
            <w:tcW w:w="1842" w:type="dxa"/>
            <w:tcBorders>
              <w:left w:val="single" w:color="auto" w:sz="4" w:space="0"/>
            </w:tcBorders>
            <w:vAlign w:val="center"/>
          </w:tcPr>
          <w:p w14:paraId="64D3266F">
            <w:pPr>
              <w:jc w:val="right"/>
              <w:rPr>
                <w:rFonts w:asciiTheme="minorHAnsi" w:hAnsiTheme="minorHAnsi" w:cstheme="minorHAnsi"/>
                <w:sz w:val="20"/>
                <w:szCs w:val="20"/>
              </w:rPr>
            </w:pPr>
            <w:r>
              <w:rPr>
                <w:rFonts w:asciiTheme="minorHAnsi" w:hAnsiTheme="minorHAnsi" w:cstheme="minorHAnsi"/>
                <w:sz w:val="20"/>
                <w:szCs w:val="20"/>
              </w:rPr>
              <w:t>577,941,326.84</w:t>
            </w:r>
          </w:p>
        </w:tc>
        <w:tc>
          <w:tcPr>
            <w:tcW w:w="1701" w:type="dxa"/>
            <w:vAlign w:val="center"/>
          </w:tcPr>
          <w:p w14:paraId="160CCDDE">
            <w:pPr>
              <w:jc w:val="right"/>
              <w:rPr>
                <w:rFonts w:asciiTheme="minorHAnsi" w:hAnsiTheme="minorHAnsi" w:cstheme="minorHAnsi"/>
                <w:sz w:val="20"/>
                <w:szCs w:val="20"/>
              </w:rPr>
            </w:pPr>
            <w:r>
              <w:rPr>
                <w:rFonts w:asciiTheme="minorHAnsi" w:hAnsiTheme="minorHAnsi" w:cstheme="minorHAnsi"/>
                <w:sz w:val="20"/>
                <w:szCs w:val="20"/>
              </w:rPr>
              <w:t>134,829,975.95</w:t>
            </w:r>
          </w:p>
        </w:tc>
        <w:tc>
          <w:tcPr>
            <w:tcW w:w="1560" w:type="dxa"/>
            <w:vAlign w:val="center"/>
          </w:tcPr>
          <w:p w14:paraId="1484D0AB">
            <w:pPr>
              <w:jc w:val="right"/>
              <w:rPr>
                <w:rFonts w:asciiTheme="minorHAnsi" w:hAnsiTheme="minorHAnsi" w:cstheme="minorHAnsi"/>
                <w:sz w:val="20"/>
                <w:szCs w:val="20"/>
              </w:rPr>
            </w:pPr>
            <w:r>
              <w:rPr>
                <w:rFonts w:asciiTheme="minorHAnsi" w:hAnsiTheme="minorHAnsi" w:cstheme="minorHAnsi"/>
                <w:sz w:val="20"/>
                <w:szCs w:val="20"/>
              </w:rPr>
              <w:t>5,282,749.83</w:t>
            </w:r>
          </w:p>
        </w:tc>
        <w:tc>
          <w:tcPr>
            <w:tcW w:w="1701" w:type="dxa"/>
            <w:vAlign w:val="center"/>
          </w:tcPr>
          <w:p w14:paraId="7F1E09FB">
            <w:pPr>
              <w:jc w:val="right"/>
              <w:rPr>
                <w:rFonts w:asciiTheme="minorHAnsi" w:hAnsiTheme="minorHAnsi" w:cstheme="minorHAnsi"/>
                <w:sz w:val="20"/>
                <w:szCs w:val="20"/>
              </w:rPr>
            </w:pPr>
            <w:r>
              <w:rPr>
                <w:rFonts w:asciiTheme="minorHAnsi" w:hAnsiTheme="minorHAnsi" w:cstheme="minorHAnsi"/>
                <w:sz w:val="20"/>
                <w:szCs w:val="20"/>
              </w:rPr>
              <w:t>1,018,076,669.77</w:t>
            </w:r>
          </w:p>
        </w:tc>
        <w:tc>
          <w:tcPr>
            <w:tcW w:w="1842" w:type="dxa"/>
            <w:vAlign w:val="center"/>
          </w:tcPr>
          <w:p w14:paraId="04C5CBF6">
            <w:pPr>
              <w:jc w:val="right"/>
              <w:rPr>
                <w:rFonts w:asciiTheme="minorHAnsi" w:hAnsiTheme="minorHAnsi" w:cstheme="minorHAnsi"/>
                <w:sz w:val="20"/>
                <w:szCs w:val="20"/>
              </w:rPr>
            </w:pPr>
            <w:r>
              <w:rPr>
                <w:rFonts w:asciiTheme="minorHAnsi" w:hAnsiTheme="minorHAnsi" w:cstheme="minorHAnsi"/>
                <w:sz w:val="20"/>
                <w:szCs w:val="20"/>
              </w:rPr>
              <w:t>3,963,316,752.26</w:t>
            </w:r>
          </w:p>
        </w:tc>
        <w:tc>
          <w:tcPr>
            <w:tcW w:w="1701" w:type="dxa"/>
            <w:vAlign w:val="center"/>
          </w:tcPr>
          <w:p w14:paraId="6FBEFC3E">
            <w:pPr>
              <w:jc w:val="right"/>
              <w:rPr>
                <w:rFonts w:asciiTheme="minorHAnsi" w:hAnsiTheme="minorHAnsi" w:cstheme="minorHAnsi"/>
                <w:sz w:val="20"/>
                <w:szCs w:val="20"/>
              </w:rPr>
            </w:pPr>
            <w:r>
              <w:rPr>
                <w:rFonts w:asciiTheme="minorHAnsi" w:hAnsiTheme="minorHAnsi" w:cstheme="minorHAnsi"/>
                <w:sz w:val="20"/>
                <w:szCs w:val="20"/>
              </w:rPr>
              <w:t>7,423,404,975.75</w:t>
            </w:r>
          </w:p>
        </w:tc>
      </w:tr>
      <w:tr w14:paraId="5C86A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f7c284bf05bc4bb48bad7c818c157aa9"/>
            <w:id w:val="-1421251771"/>
          </w:sdtPr>
          <w:sdtContent>
            <w:tc>
              <w:tcPr>
                <w:tcW w:w="2269" w:type="dxa"/>
                <w:vAlign w:val="center"/>
              </w:tcPr>
              <w:p w14:paraId="1C40E742">
                <w:pPr>
                  <w:rPr>
                    <w:rFonts w:ascii="Calibri" w:hAnsi="Calibri"/>
                    <w:sz w:val="18"/>
                    <w:szCs w:val="18"/>
                  </w:rPr>
                </w:pPr>
                <w:r>
                  <w:rPr>
                    <w:rFonts w:ascii="Calibri" w:hAnsi="Calibri"/>
                    <w:sz w:val="18"/>
                    <w:szCs w:val="18"/>
                  </w:rPr>
                  <w:t>加：会计政策变更</w:t>
                </w:r>
              </w:p>
            </w:tc>
          </w:sdtContent>
        </w:sdt>
        <w:tc>
          <w:tcPr>
            <w:tcW w:w="1701" w:type="dxa"/>
            <w:tcBorders>
              <w:right w:val="single" w:color="auto" w:sz="4" w:space="0"/>
            </w:tcBorders>
            <w:vAlign w:val="center"/>
          </w:tcPr>
          <w:p w14:paraId="2884C66D">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1A4B7129">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37FC4459">
            <w:pPr>
              <w:jc w:val="right"/>
              <w:rPr>
                <w:rFonts w:asciiTheme="minorHAnsi" w:hAnsiTheme="minorHAnsi" w:cstheme="minorHAnsi"/>
                <w:sz w:val="20"/>
                <w:szCs w:val="20"/>
              </w:rPr>
            </w:pPr>
          </w:p>
        </w:tc>
        <w:tc>
          <w:tcPr>
            <w:tcW w:w="426" w:type="dxa"/>
            <w:tcBorders>
              <w:left w:val="single" w:color="auto" w:sz="4" w:space="0"/>
              <w:right w:val="single" w:color="auto" w:sz="4" w:space="0"/>
            </w:tcBorders>
            <w:vAlign w:val="center"/>
          </w:tcPr>
          <w:p w14:paraId="779A96BA">
            <w:pPr>
              <w:jc w:val="right"/>
              <w:rPr>
                <w:rFonts w:asciiTheme="minorHAnsi" w:hAnsiTheme="minorHAnsi" w:cstheme="minorHAnsi"/>
                <w:sz w:val="20"/>
                <w:szCs w:val="20"/>
              </w:rPr>
            </w:pPr>
          </w:p>
        </w:tc>
        <w:tc>
          <w:tcPr>
            <w:tcW w:w="1842" w:type="dxa"/>
            <w:tcBorders>
              <w:left w:val="single" w:color="auto" w:sz="4" w:space="0"/>
            </w:tcBorders>
            <w:vAlign w:val="center"/>
          </w:tcPr>
          <w:p w14:paraId="16ECD35F">
            <w:pPr>
              <w:jc w:val="right"/>
              <w:rPr>
                <w:rFonts w:asciiTheme="minorHAnsi" w:hAnsiTheme="minorHAnsi" w:cstheme="minorHAnsi"/>
                <w:sz w:val="20"/>
                <w:szCs w:val="20"/>
              </w:rPr>
            </w:pPr>
          </w:p>
        </w:tc>
        <w:tc>
          <w:tcPr>
            <w:tcW w:w="1701" w:type="dxa"/>
            <w:vAlign w:val="center"/>
          </w:tcPr>
          <w:p w14:paraId="322634B7">
            <w:pPr>
              <w:jc w:val="right"/>
              <w:rPr>
                <w:rFonts w:asciiTheme="minorHAnsi" w:hAnsiTheme="minorHAnsi" w:cstheme="minorHAnsi"/>
                <w:sz w:val="20"/>
                <w:szCs w:val="20"/>
              </w:rPr>
            </w:pPr>
          </w:p>
        </w:tc>
        <w:tc>
          <w:tcPr>
            <w:tcW w:w="1560" w:type="dxa"/>
            <w:vAlign w:val="center"/>
          </w:tcPr>
          <w:p w14:paraId="441254F7">
            <w:pPr>
              <w:jc w:val="right"/>
              <w:rPr>
                <w:rFonts w:asciiTheme="minorHAnsi" w:hAnsiTheme="minorHAnsi" w:cstheme="minorHAnsi"/>
                <w:sz w:val="20"/>
                <w:szCs w:val="20"/>
              </w:rPr>
            </w:pPr>
          </w:p>
        </w:tc>
        <w:tc>
          <w:tcPr>
            <w:tcW w:w="1701" w:type="dxa"/>
            <w:vAlign w:val="center"/>
          </w:tcPr>
          <w:p w14:paraId="4DCA6924">
            <w:pPr>
              <w:jc w:val="right"/>
              <w:rPr>
                <w:rFonts w:asciiTheme="minorHAnsi" w:hAnsiTheme="minorHAnsi" w:cstheme="minorHAnsi"/>
                <w:sz w:val="20"/>
                <w:szCs w:val="20"/>
              </w:rPr>
            </w:pPr>
          </w:p>
        </w:tc>
        <w:tc>
          <w:tcPr>
            <w:tcW w:w="1842" w:type="dxa"/>
            <w:vAlign w:val="center"/>
          </w:tcPr>
          <w:p w14:paraId="16516F96">
            <w:pPr>
              <w:jc w:val="right"/>
              <w:rPr>
                <w:rFonts w:asciiTheme="minorHAnsi" w:hAnsiTheme="minorHAnsi" w:cstheme="minorHAnsi"/>
                <w:sz w:val="20"/>
                <w:szCs w:val="20"/>
              </w:rPr>
            </w:pPr>
          </w:p>
        </w:tc>
        <w:tc>
          <w:tcPr>
            <w:tcW w:w="1701" w:type="dxa"/>
            <w:vAlign w:val="center"/>
          </w:tcPr>
          <w:p w14:paraId="272C90BA">
            <w:pPr>
              <w:jc w:val="right"/>
              <w:rPr>
                <w:rFonts w:asciiTheme="minorHAnsi" w:hAnsiTheme="minorHAnsi" w:cstheme="minorHAnsi"/>
                <w:sz w:val="20"/>
                <w:szCs w:val="20"/>
              </w:rPr>
            </w:pPr>
          </w:p>
        </w:tc>
      </w:tr>
      <w:tr w14:paraId="698A6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b84d86ae618141938210b68f81aeafe0"/>
            <w:id w:val="-1873064504"/>
          </w:sdtPr>
          <w:sdtContent>
            <w:tc>
              <w:tcPr>
                <w:tcW w:w="2269" w:type="dxa"/>
                <w:vAlign w:val="center"/>
              </w:tcPr>
              <w:p w14:paraId="7471923D">
                <w:pPr>
                  <w:ind w:firstLine="420" w:firstLineChars="200"/>
                  <w:rPr>
                    <w:rFonts w:ascii="Calibri" w:hAnsi="Calibri"/>
                    <w:sz w:val="18"/>
                    <w:szCs w:val="18"/>
                  </w:rPr>
                </w:pPr>
                <w:r>
                  <w:rPr>
                    <w:rFonts w:ascii="Calibri" w:hAnsi="Calibri"/>
                    <w:sz w:val="18"/>
                    <w:szCs w:val="18"/>
                  </w:rPr>
                  <w:t>前期差错更正</w:t>
                </w:r>
              </w:p>
            </w:tc>
          </w:sdtContent>
        </w:sdt>
        <w:tc>
          <w:tcPr>
            <w:tcW w:w="1701" w:type="dxa"/>
            <w:tcBorders>
              <w:right w:val="single" w:color="auto" w:sz="4" w:space="0"/>
            </w:tcBorders>
            <w:vAlign w:val="center"/>
          </w:tcPr>
          <w:p w14:paraId="36EA1F23">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1D71F2E7">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32C0B240">
            <w:pPr>
              <w:jc w:val="right"/>
              <w:rPr>
                <w:rFonts w:asciiTheme="minorHAnsi" w:hAnsiTheme="minorHAnsi" w:cstheme="minorHAnsi"/>
                <w:sz w:val="20"/>
                <w:szCs w:val="20"/>
              </w:rPr>
            </w:pPr>
          </w:p>
        </w:tc>
        <w:tc>
          <w:tcPr>
            <w:tcW w:w="426" w:type="dxa"/>
            <w:tcBorders>
              <w:left w:val="single" w:color="auto" w:sz="4" w:space="0"/>
              <w:right w:val="single" w:color="auto" w:sz="4" w:space="0"/>
            </w:tcBorders>
            <w:vAlign w:val="center"/>
          </w:tcPr>
          <w:p w14:paraId="0B82BA23">
            <w:pPr>
              <w:jc w:val="right"/>
              <w:rPr>
                <w:rFonts w:asciiTheme="minorHAnsi" w:hAnsiTheme="minorHAnsi" w:cstheme="minorHAnsi"/>
                <w:sz w:val="20"/>
                <w:szCs w:val="20"/>
              </w:rPr>
            </w:pPr>
          </w:p>
        </w:tc>
        <w:tc>
          <w:tcPr>
            <w:tcW w:w="1842" w:type="dxa"/>
            <w:tcBorders>
              <w:left w:val="single" w:color="auto" w:sz="4" w:space="0"/>
            </w:tcBorders>
            <w:vAlign w:val="center"/>
          </w:tcPr>
          <w:p w14:paraId="605CC302">
            <w:pPr>
              <w:jc w:val="right"/>
              <w:rPr>
                <w:rFonts w:asciiTheme="minorHAnsi" w:hAnsiTheme="minorHAnsi" w:cstheme="minorHAnsi"/>
                <w:sz w:val="20"/>
                <w:szCs w:val="20"/>
              </w:rPr>
            </w:pPr>
          </w:p>
        </w:tc>
        <w:tc>
          <w:tcPr>
            <w:tcW w:w="1701" w:type="dxa"/>
            <w:vAlign w:val="center"/>
          </w:tcPr>
          <w:p w14:paraId="0F1CF2FC">
            <w:pPr>
              <w:jc w:val="right"/>
              <w:rPr>
                <w:rFonts w:asciiTheme="minorHAnsi" w:hAnsiTheme="minorHAnsi" w:cstheme="minorHAnsi"/>
                <w:sz w:val="20"/>
                <w:szCs w:val="20"/>
              </w:rPr>
            </w:pPr>
          </w:p>
        </w:tc>
        <w:tc>
          <w:tcPr>
            <w:tcW w:w="1560" w:type="dxa"/>
            <w:vAlign w:val="center"/>
          </w:tcPr>
          <w:p w14:paraId="5B8D7922">
            <w:pPr>
              <w:jc w:val="right"/>
              <w:rPr>
                <w:rFonts w:asciiTheme="minorHAnsi" w:hAnsiTheme="minorHAnsi" w:cstheme="minorHAnsi"/>
                <w:sz w:val="20"/>
                <w:szCs w:val="20"/>
              </w:rPr>
            </w:pPr>
          </w:p>
        </w:tc>
        <w:tc>
          <w:tcPr>
            <w:tcW w:w="1701" w:type="dxa"/>
            <w:vAlign w:val="center"/>
          </w:tcPr>
          <w:p w14:paraId="291FABB0">
            <w:pPr>
              <w:jc w:val="right"/>
              <w:rPr>
                <w:rFonts w:asciiTheme="minorHAnsi" w:hAnsiTheme="minorHAnsi" w:cstheme="minorHAnsi"/>
                <w:sz w:val="20"/>
                <w:szCs w:val="20"/>
              </w:rPr>
            </w:pPr>
          </w:p>
        </w:tc>
        <w:tc>
          <w:tcPr>
            <w:tcW w:w="1842" w:type="dxa"/>
            <w:vAlign w:val="center"/>
          </w:tcPr>
          <w:p w14:paraId="7161724F">
            <w:pPr>
              <w:jc w:val="right"/>
              <w:rPr>
                <w:rFonts w:asciiTheme="minorHAnsi" w:hAnsiTheme="minorHAnsi" w:cstheme="minorHAnsi"/>
                <w:sz w:val="20"/>
                <w:szCs w:val="20"/>
              </w:rPr>
            </w:pPr>
          </w:p>
        </w:tc>
        <w:tc>
          <w:tcPr>
            <w:tcW w:w="1701" w:type="dxa"/>
            <w:vAlign w:val="center"/>
          </w:tcPr>
          <w:p w14:paraId="55A7112E">
            <w:pPr>
              <w:jc w:val="right"/>
              <w:rPr>
                <w:rFonts w:asciiTheme="minorHAnsi" w:hAnsiTheme="minorHAnsi" w:cstheme="minorHAnsi"/>
                <w:sz w:val="20"/>
                <w:szCs w:val="20"/>
              </w:rPr>
            </w:pPr>
          </w:p>
        </w:tc>
      </w:tr>
      <w:tr w14:paraId="09433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ae13695d51ae418dba0671a598b76ffb"/>
            <w:id w:val="1122344941"/>
          </w:sdtPr>
          <w:sdtContent>
            <w:tc>
              <w:tcPr>
                <w:tcW w:w="2269" w:type="dxa"/>
                <w:vAlign w:val="center"/>
              </w:tcPr>
              <w:p w14:paraId="2B310707">
                <w:pPr>
                  <w:ind w:firstLine="420" w:firstLineChars="200"/>
                  <w:rPr>
                    <w:rFonts w:ascii="Calibri" w:hAnsi="Calibri"/>
                    <w:sz w:val="18"/>
                    <w:szCs w:val="18"/>
                  </w:rPr>
                </w:pPr>
                <w:r>
                  <w:rPr>
                    <w:rFonts w:hint="eastAsia" w:ascii="Calibri" w:hAnsi="Calibri"/>
                    <w:sz w:val="18"/>
                    <w:szCs w:val="18"/>
                  </w:rPr>
                  <w:t>其他</w:t>
                </w:r>
              </w:p>
            </w:tc>
          </w:sdtContent>
        </w:sdt>
        <w:tc>
          <w:tcPr>
            <w:tcW w:w="1701" w:type="dxa"/>
            <w:tcBorders>
              <w:right w:val="single" w:color="auto" w:sz="4" w:space="0"/>
            </w:tcBorders>
            <w:vAlign w:val="center"/>
          </w:tcPr>
          <w:p w14:paraId="53426949">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2A12EC7B">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6AF73224">
            <w:pPr>
              <w:jc w:val="right"/>
              <w:rPr>
                <w:rFonts w:asciiTheme="minorHAnsi" w:hAnsiTheme="minorHAnsi" w:cstheme="minorHAnsi"/>
                <w:sz w:val="20"/>
                <w:szCs w:val="20"/>
              </w:rPr>
            </w:pPr>
          </w:p>
        </w:tc>
        <w:tc>
          <w:tcPr>
            <w:tcW w:w="426" w:type="dxa"/>
            <w:tcBorders>
              <w:left w:val="single" w:color="auto" w:sz="4" w:space="0"/>
              <w:right w:val="single" w:color="auto" w:sz="4" w:space="0"/>
            </w:tcBorders>
            <w:vAlign w:val="center"/>
          </w:tcPr>
          <w:p w14:paraId="3F2DD6F0">
            <w:pPr>
              <w:jc w:val="right"/>
              <w:rPr>
                <w:rFonts w:asciiTheme="minorHAnsi" w:hAnsiTheme="minorHAnsi" w:cstheme="minorHAnsi"/>
                <w:sz w:val="20"/>
                <w:szCs w:val="20"/>
              </w:rPr>
            </w:pPr>
          </w:p>
        </w:tc>
        <w:tc>
          <w:tcPr>
            <w:tcW w:w="1842" w:type="dxa"/>
            <w:tcBorders>
              <w:left w:val="single" w:color="auto" w:sz="4" w:space="0"/>
            </w:tcBorders>
            <w:vAlign w:val="center"/>
          </w:tcPr>
          <w:p w14:paraId="257F7612">
            <w:pPr>
              <w:jc w:val="right"/>
              <w:rPr>
                <w:rFonts w:asciiTheme="minorHAnsi" w:hAnsiTheme="minorHAnsi" w:cstheme="minorHAnsi"/>
                <w:sz w:val="20"/>
                <w:szCs w:val="20"/>
              </w:rPr>
            </w:pPr>
          </w:p>
        </w:tc>
        <w:tc>
          <w:tcPr>
            <w:tcW w:w="1701" w:type="dxa"/>
            <w:vAlign w:val="center"/>
          </w:tcPr>
          <w:p w14:paraId="6E8BA1E1">
            <w:pPr>
              <w:jc w:val="right"/>
              <w:rPr>
                <w:rFonts w:asciiTheme="minorHAnsi" w:hAnsiTheme="minorHAnsi" w:cstheme="minorHAnsi"/>
                <w:sz w:val="20"/>
                <w:szCs w:val="20"/>
              </w:rPr>
            </w:pPr>
          </w:p>
        </w:tc>
        <w:tc>
          <w:tcPr>
            <w:tcW w:w="1560" w:type="dxa"/>
            <w:vAlign w:val="center"/>
          </w:tcPr>
          <w:p w14:paraId="285D08CC">
            <w:pPr>
              <w:jc w:val="right"/>
              <w:rPr>
                <w:rFonts w:asciiTheme="minorHAnsi" w:hAnsiTheme="minorHAnsi" w:cstheme="minorHAnsi"/>
                <w:sz w:val="20"/>
                <w:szCs w:val="20"/>
              </w:rPr>
            </w:pPr>
          </w:p>
        </w:tc>
        <w:tc>
          <w:tcPr>
            <w:tcW w:w="1701" w:type="dxa"/>
            <w:vAlign w:val="center"/>
          </w:tcPr>
          <w:p w14:paraId="59BB31B6">
            <w:pPr>
              <w:jc w:val="right"/>
              <w:rPr>
                <w:rFonts w:asciiTheme="minorHAnsi" w:hAnsiTheme="minorHAnsi" w:cstheme="minorHAnsi"/>
                <w:sz w:val="20"/>
                <w:szCs w:val="20"/>
              </w:rPr>
            </w:pPr>
          </w:p>
        </w:tc>
        <w:tc>
          <w:tcPr>
            <w:tcW w:w="1842" w:type="dxa"/>
            <w:vAlign w:val="center"/>
          </w:tcPr>
          <w:p w14:paraId="036D87DD">
            <w:pPr>
              <w:jc w:val="right"/>
              <w:rPr>
                <w:rFonts w:asciiTheme="minorHAnsi" w:hAnsiTheme="minorHAnsi" w:cstheme="minorHAnsi"/>
                <w:sz w:val="20"/>
                <w:szCs w:val="20"/>
              </w:rPr>
            </w:pPr>
          </w:p>
        </w:tc>
        <w:tc>
          <w:tcPr>
            <w:tcW w:w="1701" w:type="dxa"/>
            <w:vAlign w:val="center"/>
          </w:tcPr>
          <w:p w14:paraId="7335BA39">
            <w:pPr>
              <w:jc w:val="right"/>
              <w:rPr>
                <w:rFonts w:asciiTheme="minorHAnsi" w:hAnsiTheme="minorHAnsi" w:cstheme="minorHAnsi"/>
                <w:sz w:val="20"/>
                <w:szCs w:val="20"/>
              </w:rPr>
            </w:pPr>
          </w:p>
        </w:tc>
      </w:tr>
      <w:tr w14:paraId="2B384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4841ceb909a14a2abffb67eeb3435694"/>
            <w:id w:val="-1159685501"/>
          </w:sdtPr>
          <w:sdtContent>
            <w:tc>
              <w:tcPr>
                <w:tcW w:w="2269" w:type="dxa"/>
                <w:vAlign w:val="center"/>
              </w:tcPr>
              <w:p w14:paraId="23A6C375">
                <w:pPr>
                  <w:rPr>
                    <w:rFonts w:ascii="Calibri" w:hAnsi="Calibri"/>
                    <w:sz w:val="18"/>
                    <w:szCs w:val="18"/>
                  </w:rPr>
                </w:pPr>
                <w:r>
                  <w:rPr>
                    <w:rFonts w:ascii="Calibri" w:hAnsi="Calibri"/>
                    <w:sz w:val="18"/>
                    <w:szCs w:val="18"/>
                  </w:rPr>
                  <w:t>二、本年</w:t>
                </w:r>
                <w:r>
                  <w:rPr>
                    <w:rFonts w:hint="eastAsia" w:ascii="Calibri" w:hAnsi="Calibri"/>
                    <w:sz w:val="18"/>
                    <w:szCs w:val="18"/>
                  </w:rPr>
                  <w:t>期</w:t>
                </w:r>
                <w:r>
                  <w:rPr>
                    <w:rFonts w:ascii="Calibri" w:hAnsi="Calibri"/>
                    <w:sz w:val="18"/>
                    <w:szCs w:val="18"/>
                  </w:rPr>
                  <w:t>初余额</w:t>
                </w:r>
              </w:p>
            </w:tc>
          </w:sdtContent>
        </w:sdt>
        <w:tc>
          <w:tcPr>
            <w:tcW w:w="1701" w:type="dxa"/>
            <w:tcBorders>
              <w:right w:val="single" w:color="auto" w:sz="4" w:space="0"/>
            </w:tcBorders>
            <w:vAlign w:val="center"/>
          </w:tcPr>
          <w:p w14:paraId="2AB63204">
            <w:pPr>
              <w:jc w:val="right"/>
              <w:rPr>
                <w:rFonts w:asciiTheme="minorHAnsi" w:hAnsiTheme="minorHAnsi" w:cstheme="minorHAnsi"/>
                <w:sz w:val="20"/>
                <w:szCs w:val="20"/>
              </w:rPr>
            </w:pPr>
            <w:r>
              <w:rPr>
                <w:rFonts w:asciiTheme="minorHAnsi" w:hAnsiTheme="minorHAnsi" w:cstheme="minorHAnsi"/>
                <w:sz w:val="20"/>
                <w:szCs w:val="20"/>
              </w:rPr>
              <w:t>1,993,617,453.00</w:t>
            </w:r>
          </w:p>
        </w:tc>
        <w:tc>
          <w:tcPr>
            <w:tcW w:w="567" w:type="dxa"/>
            <w:tcBorders>
              <w:left w:val="single" w:color="auto" w:sz="4" w:space="0"/>
              <w:right w:val="single" w:color="auto" w:sz="4" w:space="0"/>
            </w:tcBorders>
            <w:vAlign w:val="center"/>
          </w:tcPr>
          <w:p w14:paraId="02477B22">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08D9FD2A">
            <w:pPr>
              <w:jc w:val="right"/>
              <w:rPr>
                <w:rFonts w:asciiTheme="minorHAnsi" w:hAnsiTheme="minorHAnsi" w:cstheme="minorHAnsi"/>
                <w:sz w:val="20"/>
                <w:szCs w:val="20"/>
              </w:rPr>
            </w:pPr>
          </w:p>
        </w:tc>
        <w:tc>
          <w:tcPr>
            <w:tcW w:w="426" w:type="dxa"/>
            <w:tcBorders>
              <w:left w:val="single" w:color="auto" w:sz="4" w:space="0"/>
              <w:right w:val="single" w:color="auto" w:sz="4" w:space="0"/>
            </w:tcBorders>
            <w:vAlign w:val="center"/>
          </w:tcPr>
          <w:p w14:paraId="2CAF491D">
            <w:pPr>
              <w:jc w:val="right"/>
              <w:rPr>
                <w:rFonts w:asciiTheme="minorHAnsi" w:hAnsiTheme="minorHAnsi" w:cstheme="minorHAnsi"/>
                <w:sz w:val="20"/>
                <w:szCs w:val="20"/>
              </w:rPr>
            </w:pPr>
          </w:p>
        </w:tc>
        <w:tc>
          <w:tcPr>
            <w:tcW w:w="1842" w:type="dxa"/>
            <w:tcBorders>
              <w:left w:val="single" w:color="auto" w:sz="4" w:space="0"/>
            </w:tcBorders>
            <w:vAlign w:val="center"/>
          </w:tcPr>
          <w:p w14:paraId="16A8F872">
            <w:pPr>
              <w:jc w:val="right"/>
              <w:rPr>
                <w:rFonts w:asciiTheme="minorHAnsi" w:hAnsiTheme="minorHAnsi" w:cstheme="minorHAnsi"/>
                <w:sz w:val="20"/>
                <w:szCs w:val="20"/>
              </w:rPr>
            </w:pPr>
            <w:r>
              <w:rPr>
                <w:rFonts w:asciiTheme="minorHAnsi" w:hAnsiTheme="minorHAnsi" w:cstheme="minorHAnsi"/>
                <w:sz w:val="20"/>
                <w:szCs w:val="20"/>
              </w:rPr>
              <w:t>577,941,326.84</w:t>
            </w:r>
          </w:p>
        </w:tc>
        <w:tc>
          <w:tcPr>
            <w:tcW w:w="1701" w:type="dxa"/>
            <w:vAlign w:val="center"/>
          </w:tcPr>
          <w:p w14:paraId="5FA9686F">
            <w:pPr>
              <w:jc w:val="right"/>
              <w:rPr>
                <w:rFonts w:asciiTheme="minorHAnsi" w:hAnsiTheme="minorHAnsi" w:cstheme="minorHAnsi"/>
                <w:sz w:val="20"/>
                <w:szCs w:val="20"/>
              </w:rPr>
            </w:pPr>
            <w:r>
              <w:rPr>
                <w:rFonts w:asciiTheme="minorHAnsi" w:hAnsiTheme="minorHAnsi" w:cstheme="minorHAnsi"/>
                <w:sz w:val="20"/>
                <w:szCs w:val="20"/>
              </w:rPr>
              <w:t>134,829,975.95</w:t>
            </w:r>
          </w:p>
        </w:tc>
        <w:tc>
          <w:tcPr>
            <w:tcW w:w="1560" w:type="dxa"/>
            <w:vAlign w:val="center"/>
          </w:tcPr>
          <w:p w14:paraId="4D540D9F">
            <w:pPr>
              <w:jc w:val="right"/>
              <w:rPr>
                <w:rFonts w:asciiTheme="minorHAnsi" w:hAnsiTheme="minorHAnsi" w:cstheme="minorHAnsi"/>
                <w:sz w:val="20"/>
                <w:szCs w:val="20"/>
              </w:rPr>
            </w:pPr>
            <w:r>
              <w:rPr>
                <w:rFonts w:asciiTheme="minorHAnsi" w:hAnsiTheme="minorHAnsi" w:cstheme="minorHAnsi"/>
                <w:sz w:val="20"/>
                <w:szCs w:val="20"/>
              </w:rPr>
              <w:t>5,282,749.83</w:t>
            </w:r>
          </w:p>
        </w:tc>
        <w:tc>
          <w:tcPr>
            <w:tcW w:w="1701" w:type="dxa"/>
            <w:vAlign w:val="center"/>
          </w:tcPr>
          <w:p w14:paraId="5A749213">
            <w:pPr>
              <w:jc w:val="right"/>
              <w:rPr>
                <w:rFonts w:asciiTheme="minorHAnsi" w:hAnsiTheme="minorHAnsi" w:cstheme="minorHAnsi"/>
                <w:sz w:val="20"/>
                <w:szCs w:val="20"/>
              </w:rPr>
            </w:pPr>
            <w:r>
              <w:rPr>
                <w:rFonts w:asciiTheme="minorHAnsi" w:hAnsiTheme="minorHAnsi" w:cstheme="minorHAnsi"/>
                <w:sz w:val="20"/>
                <w:szCs w:val="20"/>
              </w:rPr>
              <w:t>1,018,076,669.77</w:t>
            </w:r>
          </w:p>
        </w:tc>
        <w:tc>
          <w:tcPr>
            <w:tcW w:w="1842" w:type="dxa"/>
            <w:vAlign w:val="center"/>
          </w:tcPr>
          <w:p w14:paraId="78123A6E">
            <w:pPr>
              <w:jc w:val="right"/>
              <w:rPr>
                <w:rFonts w:asciiTheme="minorHAnsi" w:hAnsiTheme="minorHAnsi" w:cstheme="minorHAnsi"/>
                <w:sz w:val="20"/>
                <w:szCs w:val="20"/>
              </w:rPr>
            </w:pPr>
            <w:r>
              <w:rPr>
                <w:rFonts w:asciiTheme="minorHAnsi" w:hAnsiTheme="minorHAnsi" w:cstheme="minorHAnsi"/>
                <w:sz w:val="20"/>
                <w:szCs w:val="20"/>
              </w:rPr>
              <w:t>3,963,316,752.26</w:t>
            </w:r>
          </w:p>
        </w:tc>
        <w:tc>
          <w:tcPr>
            <w:tcW w:w="1701" w:type="dxa"/>
            <w:vAlign w:val="center"/>
          </w:tcPr>
          <w:p w14:paraId="2DB9C31A">
            <w:pPr>
              <w:jc w:val="right"/>
              <w:rPr>
                <w:rFonts w:asciiTheme="minorHAnsi" w:hAnsiTheme="minorHAnsi" w:cstheme="minorHAnsi"/>
                <w:sz w:val="20"/>
                <w:szCs w:val="20"/>
              </w:rPr>
            </w:pPr>
            <w:r>
              <w:rPr>
                <w:rFonts w:asciiTheme="minorHAnsi" w:hAnsiTheme="minorHAnsi" w:cstheme="minorHAnsi"/>
                <w:sz w:val="20"/>
                <w:szCs w:val="20"/>
              </w:rPr>
              <w:t>7,423,404,975.75</w:t>
            </w:r>
          </w:p>
        </w:tc>
      </w:tr>
      <w:tr w14:paraId="487A2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302909e63784410386a25e7b0c2339c7"/>
            <w:id w:val="-68416882"/>
          </w:sdtPr>
          <w:sdtContent>
            <w:tc>
              <w:tcPr>
                <w:tcW w:w="2269" w:type="dxa"/>
                <w:vAlign w:val="center"/>
              </w:tcPr>
              <w:p w14:paraId="771C7095">
                <w:pPr>
                  <w:rPr>
                    <w:rFonts w:ascii="Calibri" w:hAnsi="Calibri"/>
                    <w:sz w:val="18"/>
                    <w:szCs w:val="18"/>
                  </w:rPr>
                </w:pPr>
                <w:r>
                  <w:rPr>
                    <w:rFonts w:ascii="Calibri" w:hAnsi="Calibri"/>
                    <w:sz w:val="18"/>
                    <w:szCs w:val="18"/>
                  </w:rPr>
                  <w:t>三、本</w:t>
                </w:r>
                <w:r>
                  <w:rPr>
                    <w:rFonts w:hint="eastAsia" w:ascii="Calibri" w:hAnsi="Calibri"/>
                    <w:sz w:val="18"/>
                    <w:szCs w:val="18"/>
                  </w:rPr>
                  <w:t>期</w:t>
                </w:r>
                <w:r>
                  <w:rPr>
                    <w:rFonts w:ascii="Calibri" w:hAnsi="Calibri"/>
                    <w:sz w:val="18"/>
                    <w:szCs w:val="18"/>
                  </w:rPr>
                  <w:t>增减变动金额（减少以“－”号填列）</w:t>
                </w:r>
              </w:p>
            </w:tc>
          </w:sdtContent>
        </w:sdt>
        <w:tc>
          <w:tcPr>
            <w:tcW w:w="1701" w:type="dxa"/>
            <w:tcBorders>
              <w:right w:val="single" w:color="auto" w:sz="4" w:space="0"/>
            </w:tcBorders>
            <w:vAlign w:val="center"/>
          </w:tcPr>
          <w:p w14:paraId="758AF36A">
            <w:pPr>
              <w:jc w:val="right"/>
              <w:rPr>
                <w:rFonts w:asciiTheme="minorHAnsi" w:hAnsiTheme="minorHAnsi" w:cstheme="minorHAnsi"/>
                <w:sz w:val="20"/>
                <w:szCs w:val="20"/>
              </w:rPr>
            </w:pPr>
            <w:r>
              <w:rPr>
                <w:rFonts w:asciiTheme="minorHAnsi" w:hAnsiTheme="minorHAnsi" w:cstheme="minorHAnsi"/>
                <w:sz w:val="20"/>
                <w:szCs w:val="20"/>
              </w:rPr>
              <w:t>-11,883,379.00</w:t>
            </w:r>
          </w:p>
        </w:tc>
        <w:tc>
          <w:tcPr>
            <w:tcW w:w="567" w:type="dxa"/>
            <w:tcBorders>
              <w:left w:val="single" w:color="auto" w:sz="4" w:space="0"/>
              <w:right w:val="single" w:color="auto" w:sz="4" w:space="0"/>
            </w:tcBorders>
            <w:vAlign w:val="center"/>
          </w:tcPr>
          <w:p w14:paraId="6298354D">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01E94526">
            <w:pPr>
              <w:jc w:val="right"/>
              <w:rPr>
                <w:rFonts w:asciiTheme="minorHAnsi" w:hAnsiTheme="minorHAnsi" w:cstheme="minorHAnsi"/>
                <w:sz w:val="20"/>
                <w:szCs w:val="20"/>
              </w:rPr>
            </w:pPr>
          </w:p>
        </w:tc>
        <w:tc>
          <w:tcPr>
            <w:tcW w:w="426" w:type="dxa"/>
            <w:tcBorders>
              <w:left w:val="single" w:color="auto" w:sz="4" w:space="0"/>
            </w:tcBorders>
            <w:vAlign w:val="center"/>
          </w:tcPr>
          <w:p w14:paraId="44ADF5C8">
            <w:pPr>
              <w:jc w:val="right"/>
              <w:rPr>
                <w:rFonts w:asciiTheme="minorHAnsi" w:hAnsiTheme="minorHAnsi" w:cstheme="minorHAnsi"/>
                <w:sz w:val="20"/>
                <w:szCs w:val="20"/>
              </w:rPr>
            </w:pPr>
          </w:p>
        </w:tc>
        <w:tc>
          <w:tcPr>
            <w:tcW w:w="1842" w:type="dxa"/>
            <w:vAlign w:val="center"/>
          </w:tcPr>
          <w:p w14:paraId="50EC459C">
            <w:pPr>
              <w:jc w:val="right"/>
              <w:rPr>
                <w:rFonts w:asciiTheme="minorHAnsi" w:hAnsiTheme="minorHAnsi" w:cstheme="minorHAnsi"/>
                <w:sz w:val="20"/>
                <w:szCs w:val="20"/>
              </w:rPr>
            </w:pPr>
            <w:r>
              <w:rPr>
                <w:rFonts w:asciiTheme="minorHAnsi" w:hAnsiTheme="minorHAnsi" w:cstheme="minorHAnsi"/>
                <w:sz w:val="20"/>
                <w:szCs w:val="20"/>
              </w:rPr>
              <w:t>-113,796,538.35</w:t>
            </w:r>
          </w:p>
        </w:tc>
        <w:tc>
          <w:tcPr>
            <w:tcW w:w="1701" w:type="dxa"/>
            <w:vAlign w:val="center"/>
          </w:tcPr>
          <w:p w14:paraId="370CCAB5">
            <w:pPr>
              <w:jc w:val="right"/>
              <w:rPr>
                <w:rFonts w:asciiTheme="minorHAnsi" w:hAnsiTheme="minorHAnsi" w:cstheme="minorHAnsi"/>
                <w:sz w:val="20"/>
                <w:szCs w:val="20"/>
              </w:rPr>
            </w:pPr>
            <w:r>
              <w:rPr>
                <w:rFonts w:asciiTheme="minorHAnsi" w:hAnsiTheme="minorHAnsi" w:cstheme="minorHAnsi"/>
                <w:sz w:val="20"/>
                <w:szCs w:val="20"/>
              </w:rPr>
              <w:t>165,449,305.14</w:t>
            </w:r>
          </w:p>
        </w:tc>
        <w:tc>
          <w:tcPr>
            <w:tcW w:w="1560" w:type="dxa"/>
            <w:vAlign w:val="center"/>
          </w:tcPr>
          <w:p w14:paraId="379C5F22">
            <w:pPr>
              <w:jc w:val="right"/>
              <w:rPr>
                <w:rFonts w:asciiTheme="minorHAnsi" w:hAnsiTheme="minorHAnsi" w:cstheme="minorHAnsi"/>
                <w:sz w:val="20"/>
                <w:szCs w:val="20"/>
              </w:rPr>
            </w:pPr>
            <w:r>
              <w:rPr>
                <w:rFonts w:asciiTheme="minorHAnsi" w:hAnsiTheme="minorHAnsi" w:cstheme="minorHAnsi"/>
                <w:sz w:val="20"/>
                <w:szCs w:val="20"/>
              </w:rPr>
              <w:t>1,627,473.75</w:t>
            </w:r>
          </w:p>
        </w:tc>
        <w:tc>
          <w:tcPr>
            <w:tcW w:w="1701" w:type="dxa"/>
            <w:vAlign w:val="center"/>
          </w:tcPr>
          <w:p w14:paraId="72FE1B58">
            <w:pPr>
              <w:jc w:val="right"/>
              <w:rPr>
                <w:rFonts w:asciiTheme="minorHAnsi" w:hAnsiTheme="minorHAnsi" w:cstheme="minorHAnsi"/>
                <w:sz w:val="20"/>
                <w:szCs w:val="20"/>
              </w:rPr>
            </w:pPr>
          </w:p>
        </w:tc>
        <w:tc>
          <w:tcPr>
            <w:tcW w:w="1842" w:type="dxa"/>
            <w:vAlign w:val="center"/>
          </w:tcPr>
          <w:p w14:paraId="5AC8C9E9">
            <w:pPr>
              <w:jc w:val="right"/>
              <w:rPr>
                <w:rFonts w:asciiTheme="minorHAnsi" w:hAnsiTheme="minorHAnsi" w:cstheme="minorHAnsi"/>
                <w:sz w:val="20"/>
                <w:szCs w:val="20"/>
              </w:rPr>
            </w:pPr>
            <w:r>
              <w:rPr>
                <w:rFonts w:asciiTheme="minorHAnsi" w:hAnsiTheme="minorHAnsi" w:cstheme="minorHAnsi"/>
                <w:sz w:val="20"/>
                <w:szCs w:val="20"/>
              </w:rPr>
              <w:t>-530,400,835.18</w:t>
            </w:r>
          </w:p>
        </w:tc>
        <w:tc>
          <w:tcPr>
            <w:tcW w:w="1701" w:type="dxa"/>
            <w:vAlign w:val="center"/>
          </w:tcPr>
          <w:p w14:paraId="19846551">
            <w:pPr>
              <w:jc w:val="right"/>
              <w:rPr>
                <w:rFonts w:asciiTheme="minorHAnsi" w:hAnsiTheme="minorHAnsi" w:cstheme="minorHAnsi"/>
                <w:sz w:val="20"/>
                <w:szCs w:val="20"/>
              </w:rPr>
            </w:pPr>
            <w:r>
              <w:rPr>
                <w:rFonts w:asciiTheme="minorHAnsi" w:hAnsiTheme="minorHAnsi" w:cstheme="minorHAnsi"/>
                <w:sz w:val="20"/>
                <w:szCs w:val="20"/>
              </w:rPr>
              <w:t>-819,902,583.92</w:t>
            </w:r>
          </w:p>
        </w:tc>
      </w:tr>
      <w:tr w14:paraId="50DAA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565b6c314fb34fb6b0c677b992754d48"/>
            <w:id w:val="966235894"/>
          </w:sdtPr>
          <w:sdtContent>
            <w:tc>
              <w:tcPr>
                <w:tcW w:w="2269" w:type="dxa"/>
                <w:vAlign w:val="center"/>
              </w:tcPr>
              <w:p w14:paraId="0ED072DD">
                <w:pPr>
                  <w:rPr>
                    <w:rFonts w:ascii="Calibri" w:hAnsi="Calibri"/>
                    <w:sz w:val="18"/>
                    <w:szCs w:val="18"/>
                  </w:rPr>
                </w:pPr>
                <w:r>
                  <w:rPr>
                    <w:rFonts w:hint="eastAsia" w:ascii="Calibri" w:hAnsi="Calibri"/>
                    <w:sz w:val="18"/>
                    <w:szCs w:val="18"/>
                  </w:rPr>
                  <w:t>（一）综合收益总额</w:t>
                </w:r>
              </w:p>
            </w:tc>
          </w:sdtContent>
        </w:sdt>
        <w:tc>
          <w:tcPr>
            <w:tcW w:w="1701" w:type="dxa"/>
            <w:tcBorders>
              <w:right w:val="single" w:color="auto" w:sz="4" w:space="0"/>
            </w:tcBorders>
            <w:vAlign w:val="center"/>
          </w:tcPr>
          <w:p w14:paraId="71279BA3">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7EC94166">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4F04C594">
            <w:pPr>
              <w:jc w:val="right"/>
              <w:rPr>
                <w:rFonts w:asciiTheme="minorHAnsi" w:hAnsiTheme="minorHAnsi" w:cstheme="minorHAnsi"/>
                <w:sz w:val="20"/>
                <w:szCs w:val="20"/>
              </w:rPr>
            </w:pPr>
          </w:p>
        </w:tc>
        <w:tc>
          <w:tcPr>
            <w:tcW w:w="426" w:type="dxa"/>
            <w:tcBorders>
              <w:left w:val="single" w:color="auto" w:sz="4" w:space="0"/>
            </w:tcBorders>
            <w:vAlign w:val="center"/>
          </w:tcPr>
          <w:p w14:paraId="1433EF29">
            <w:pPr>
              <w:jc w:val="right"/>
              <w:rPr>
                <w:rFonts w:asciiTheme="minorHAnsi" w:hAnsiTheme="minorHAnsi" w:cstheme="minorHAnsi"/>
                <w:sz w:val="20"/>
                <w:szCs w:val="20"/>
              </w:rPr>
            </w:pPr>
          </w:p>
        </w:tc>
        <w:tc>
          <w:tcPr>
            <w:tcW w:w="1842" w:type="dxa"/>
            <w:vAlign w:val="center"/>
          </w:tcPr>
          <w:p w14:paraId="4ACF119F">
            <w:pPr>
              <w:jc w:val="right"/>
              <w:rPr>
                <w:rFonts w:asciiTheme="minorHAnsi" w:hAnsiTheme="minorHAnsi" w:cstheme="minorHAnsi"/>
                <w:sz w:val="20"/>
                <w:szCs w:val="20"/>
              </w:rPr>
            </w:pPr>
            <w:r>
              <w:rPr>
                <w:rFonts w:asciiTheme="minorHAnsi" w:hAnsiTheme="minorHAnsi" w:cstheme="minorHAnsi"/>
                <w:sz w:val="20"/>
                <w:szCs w:val="20"/>
              </w:rPr>
              <w:t>3,604,081.95</w:t>
            </w:r>
          </w:p>
        </w:tc>
        <w:tc>
          <w:tcPr>
            <w:tcW w:w="1701" w:type="dxa"/>
            <w:vAlign w:val="center"/>
          </w:tcPr>
          <w:p w14:paraId="58C3ED84">
            <w:pPr>
              <w:jc w:val="right"/>
              <w:rPr>
                <w:rFonts w:asciiTheme="minorHAnsi" w:hAnsiTheme="minorHAnsi" w:cstheme="minorHAnsi"/>
                <w:sz w:val="20"/>
                <w:szCs w:val="20"/>
              </w:rPr>
            </w:pPr>
          </w:p>
        </w:tc>
        <w:tc>
          <w:tcPr>
            <w:tcW w:w="1560" w:type="dxa"/>
            <w:vAlign w:val="center"/>
          </w:tcPr>
          <w:p w14:paraId="5A0E3D4B">
            <w:pPr>
              <w:jc w:val="right"/>
              <w:rPr>
                <w:rFonts w:asciiTheme="minorHAnsi" w:hAnsiTheme="minorHAnsi" w:cstheme="minorHAnsi"/>
                <w:sz w:val="20"/>
                <w:szCs w:val="20"/>
              </w:rPr>
            </w:pPr>
            <w:r>
              <w:rPr>
                <w:rFonts w:asciiTheme="minorHAnsi" w:hAnsiTheme="minorHAnsi" w:cstheme="minorHAnsi"/>
                <w:sz w:val="20"/>
                <w:szCs w:val="20"/>
              </w:rPr>
              <w:t>1,627,473.75</w:t>
            </w:r>
          </w:p>
        </w:tc>
        <w:tc>
          <w:tcPr>
            <w:tcW w:w="1701" w:type="dxa"/>
            <w:vAlign w:val="center"/>
          </w:tcPr>
          <w:p w14:paraId="673E73AA">
            <w:pPr>
              <w:jc w:val="right"/>
              <w:rPr>
                <w:rFonts w:asciiTheme="minorHAnsi" w:hAnsiTheme="minorHAnsi" w:cstheme="minorHAnsi"/>
                <w:sz w:val="20"/>
                <w:szCs w:val="20"/>
              </w:rPr>
            </w:pPr>
          </w:p>
        </w:tc>
        <w:tc>
          <w:tcPr>
            <w:tcW w:w="1842" w:type="dxa"/>
            <w:vAlign w:val="center"/>
          </w:tcPr>
          <w:p w14:paraId="64DC3836">
            <w:pPr>
              <w:jc w:val="right"/>
              <w:rPr>
                <w:rFonts w:asciiTheme="minorHAnsi" w:hAnsiTheme="minorHAnsi" w:cstheme="minorHAnsi"/>
                <w:sz w:val="20"/>
                <w:szCs w:val="20"/>
              </w:rPr>
            </w:pPr>
            <w:r>
              <w:rPr>
                <w:rFonts w:asciiTheme="minorHAnsi" w:hAnsiTheme="minorHAnsi" w:cstheme="minorHAnsi"/>
                <w:sz w:val="20"/>
                <w:szCs w:val="20"/>
              </w:rPr>
              <w:t>-34,967,316.68</w:t>
            </w:r>
          </w:p>
        </w:tc>
        <w:tc>
          <w:tcPr>
            <w:tcW w:w="1701" w:type="dxa"/>
            <w:vAlign w:val="center"/>
          </w:tcPr>
          <w:p w14:paraId="52F1B78E">
            <w:pPr>
              <w:jc w:val="right"/>
              <w:rPr>
                <w:rFonts w:asciiTheme="minorHAnsi" w:hAnsiTheme="minorHAnsi" w:cstheme="minorHAnsi"/>
                <w:sz w:val="20"/>
                <w:szCs w:val="20"/>
              </w:rPr>
            </w:pPr>
            <w:r>
              <w:rPr>
                <w:rFonts w:asciiTheme="minorHAnsi" w:hAnsiTheme="minorHAnsi" w:cstheme="minorHAnsi"/>
                <w:sz w:val="20"/>
                <w:szCs w:val="20"/>
              </w:rPr>
              <w:t>-29,735,760.98</w:t>
            </w:r>
          </w:p>
        </w:tc>
      </w:tr>
      <w:tr w14:paraId="4BA36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4f759bcfeb8744e79a2c846685bf5bf7"/>
            <w:id w:val="-1110666775"/>
          </w:sdtPr>
          <w:sdtContent>
            <w:tc>
              <w:tcPr>
                <w:tcW w:w="2269" w:type="dxa"/>
                <w:vAlign w:val="center"/>
              </w:tcPr>
              <w:p w14:paraId="26E09077">
                <w:pPr>
                  <w:rPr>
                    <w:rFonts w:ascii="Calibri" w:hAnsi="Calibri"/>
                    <w:sz w:val="18"/>
                    <w:szCs w:val="18"/>
                  </w:rPr>
                </w:pPr>
                <w:r>
                  <w:rPr>
                    <w:rFonts w:ascii="Calibri" w:hAnsi="Calibri"/>
                    <w:sz w:val="18"/>
                    <w:szCs w:val="18"/>
                  </w:rPr>
                  <w:t>（</w:t>
                </w:r>
                <w:r>
                  <w:rPr>
                    <w:rFonts w:hint="eastAsia" w:ascii="Calibri" w:hAnsi="Calibri"/>
                    <w:sz w:val="18"/>
                    <w:szCs w:val="18"/>
                  </w:rPr>
                  <w:t>二</w:t>
                </w:r>
                <w:r>
                  <w:rPr>
                    <w:rFonts w:ascii="Calibri" w:hAnsi="Calibri"/>
                    <w:sz w:val="18"/>
                    <w:szCs w:val="18"/>
                  </w:rPr>
                  <w:t>）所有者投入和减少资本</w:t>
                </w:r>
              </w:p>
            </w:tc>
          </w:sdtContent>
        </w:sdt>
        <w:tc>
          <w:tcPr>
            <w:tcW w:w="1701" w:type="dxa"/>
            <w:tcBorders>
              <w:right w:val="single" w:color="auto" w:sz="4" w:space="0"/>
            </w:tcBorders>
            <w:vAlign w:val="center"/>
          </w:tcPr>
          <w:p w14:paraId="26100D44">
            <w:pPr>
              <w:jc w:val="right"/>
              <w:rPr>
                <w:rFonts w:asciiTheme="minorHAnsi" w:hAnsiTheme="minorHAnsi" w:cstheme="minorHAnsi"/>
                <w:sz w:val="20"/>
                <w:szCs w:val="20"/>
              </w:rPr>
            </w:pPr>
            <w:r>
              <w:rPr>
                <w:rFonts w:asciiTheme="minorHAnsi" w:hAnsiTheme="minorHAnsi" w:cstheme="minorHAnsi"/>
                <w:sz w:val="20"/>
                <w:szCs w:val="20"/>
              </w:rPr>
              <w:t>-11,883,379.00</w:t>
            </w:r>
          </w:p>
        </w:tc>
        <w:tc>
          <w:tcPr>
            <w:tcW w:w="567" w:type="dxa"/>
            <w:tcBorders>
              <w:left w:val="single" w:color="auto" w:sz="4" w:space="0"/>
              <w:right w:val="single" w:color="auto" w:sz="4" w:space="0"/>
            </w:tcBorders>
            <w:vAlign w:val="center"/>
          </w:tcPr>
          <w:p w14:paraId="10A22C83">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54EFD32D">
            <w:pPr>
              <w:jc w:val="right"/>
              <w:rPr>
                <w:rFonts w:asciiTheme="minorHAnsi" w:hAnsiTheme="minorHAnsi" w:cstheme="minorHAnsi"/>
                <w:sz w:val="20"/>
                <w:szCs w:val="20"/>
              </w:rPr>
            </w:pPr>
          </w:p>
        </w:tc>
        <w:tc>
          <w:tcPr>
            <w:tcW w:w="426" w:type="dxa"/>
            <w:tcBorders>
              <w:left w:val="single" w:color="auto" w:sz="4" w:space="0"/>
            </w:tcBorders>
            <w:vAlign w:val="center"/>
          </w:tcPr>
          <w:p w14:paraId="5C4FF711">
            <w:pPr>
              <w:jc w:val="right"/>
              <w:rPr>
                <w:rFonts w:asciiTheme="minorHAnsi" w:hAnsiTheme="minorHAnsi" w:cstheme="minorHAnsi"/>
                <w:sz w:val="20"/>
                <w:szCs w:val="20"/>
              </w:rPr>
            </w:pPr>
          </w:p>
        </w:tc>
        <w:tc>
          <w:tcPr>
            <w:tcW w:w="1842" w:type="dxa"/>
            <w:vAlign w:val="center"/>
          </w:tcPr>
          <w:p w14:paraId="7300B496">
            <w:pPr>
              <w:jc w:val="right"/>
              <w:rPr>
                <w:rFonts w:asciiTheme="minorHAnsi" w:hAnsiTheme="minorHAnsi" w:cstheme="minorHAnsi"/>
                <w:sz w:val="20"/>
                <w:szCs w:val="20"/>
              </w:rPr>
            </w:pPr>
            <w:r>
              <w:rPr>
                <w:rFonts w:asciiTheme="minorHAnsi" w:hAnsiTheme="minorHAnsi" w:cstheme="minorHAnsi"/>
                <w:sz w:val="20"/>
                <w:szCs w:val="20"/>
              </w:rPr>
              <w:t>-122,946,596.95</w:t>
            </w:r>
          </w:p>
        </w:tc>
        <w:tc>
          <w:tcPr>
            <w:tcW w:w="1701" w:type="dxa"/>
            <w:vAlign w:val="center"/>
          </w:tcPr>
          <w:p w14:paraId="0027A133">
            <w:pPr>
              <w:jc w:val="right"/>
              <w:rPr>
                <w:rFonts w:asciiTheme="minorHAnsi" w:hAnsiTheme="minorHAnsi" w:cstheme="minorHAnsi"/>
                <w:sz w:val="20"/>
                <w:szCs w:val="20"/>
              </w:rPr>
            </w:pPr>
            <w:r>
              <w:rPr>
                <w:rFonts w:asciiTheme="minorHAnsi" w:hAnsiTheme="minorHAnsi" w:cstheme="minorHAnsi"/>
                <w:sz w:val="20"/>
                <w:szCs w:val="20"/>
              </w:rPr>
              <w:t>-134,829,975.95</w:t>
            </w:r>
          </w:p>
        </w:tc>
        <w:tc>
          <w:tcPr>
            <w:tcW w:w="1560" w:type="dxa"/>
            <w:vAlign w:val="center"/>
          </w:tcPr>
          <w:p w14:paraId="22626D16">
            <w:pPr>
              <w:jc w:val="right"/>
              <w:rPr>
                <w:rFonts w:asciiTheme="minorHAnsi" w:hAnsiTheme="minorHAnsi" w:cstheme="minorHAnsi"/>
                <w:sz w:val="20"/>
                <w:szCs w:val="20"/>
              </w:rPr>
            </w:pPr>
          </w:p>
        </w:tc>
        <w:tc>
          <w:tcPr>
            <w:tcW w:w="1701" w:type="dxa"/>
            <w:vAlign w:val="center"/>
          </w:tcPr>
          <w:p w14:paraId="670A79CD">
            <w:pPr>
              <w:jc w:val="right"/>
              <w:rPr>
                <w:rFonts w:asciiTheme="minorHAnsi" w:hAnsiTheme="minorHAnsi" w:cstheme="minorHAnsi"/>
                <w:sz w:val="20"/>
                <w:szCs w:val="20"/>
              </w:rPr>
            </w:pPr>
          </w:p>
        </w:tc>
        <w:tc>
          <w:tcPr>
            <w:tcW w:w="1842" w:type="dxa"/>
            <w:vAlign w:val="center"/>
          </w:tcPr>
          <w:p w14:paraId="000677B4">
            <w:pPr>
              <w:jc w:val="right"/>
              <w:rPr>
                <w:rFonts w:asciiTheme="minorHAnsi" w:hAnsiTheme="minorHAnsi" w:cstheme="minorHAnsi"/>
                <w:sz w:val="20"/>
                <w:szCs w:val="20"/>
              </w:rPr>
            </w:pPr>
          </w:p>
        </w:tc>
        <w:tc>
          <w:tcPr>
            <w:tcW w:w="1701" w:type="dxa"/>
            <w:vAlign w:val="center"/>
          </w:tcPr>
          <w:p w14:paraId="1806B956">
            <w:pPr>
              <w:jc w:val="right"/>
              <w:rPr>
                <w:rFonts w:asciiTheme="minorHAnsi" w:hAnsiTheme="minorHAnsi" w:cstheme="minorHAnsi"/>
                <w:sz w:val="20"/>
                <w:szCs w:val="20"/>
              </w:rPr>
            </w:pPr>
          </w:p>
        </w:tc>
      </w:tr>
      <w:tr w14:paraId="183A3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2ca71442ff4441faa275f28e1236357f"/>
            <w:id w:val="-96803339"/>
          </w:sdtPr>
          <w:sdtContent>
            <w:tc>
              <w:tcPr>
                <w:tcW w:w="2269" w:type="dxa"/>
                <w:vAlign w:val="center"/>
              </w:tcPr>
              <w:p w14:paraId="1CA46F80">
                <w:pPr>
                  <w:rPr>
                    <w:rFonts w:ascii="Calibri" w:hAnsi="Calibri"/>
                    <w:sz w:val="18"/>
                    <w:szCs w:val="18"/>
                  </w:rPr>
                </w:pPr>
                <w:r>
                  <w:rPr>
                    <w:rFonts w:hint="eastAsia" w:ascii="Calibri" w:hAnsi="Calibri"/>
                    <w:sz w:val="18"/>
                    <w:szCs w:val="18"/>
                  </w:rPr>
                  <w:t>1．所有者投入的普通股</w:t>
                </w:r>
              </w:p>
            </w:tc>
          </w:sdtContent>
        </w:sdt>
        <w:tc>
          <w:tcPr>
            <w:tcW w:w="1701" w:type="dxa"/>
            <w:tcBorders>
              <w:right w:val="single" w:color="auto" w:sz="4" w:space="0"/>
            </w:tcBorders>
            <w:vAlign w:val="center"/>
          </w:tcPr>
          <w:p w14:paraId="3C31E0B3">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13854099">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60BBC2BE">
            <w:pPr>
              <w:jc w:val="right"/>
              <w:rPr>
                <w:rFonts w:asciiTheme="minorHAnsi" w:hAnsiTheme="minorHAnsi" w:cstheme="minorHAnsi"/>
                <w:sz w:val="20"/>
                <w:szCs w:val="20"/>
              </w:rPr>
            </w:pPr>
          </w:p>
        </w:tc>
        <w:tc>
          <w:tcPr>
            <w:tcW w:w="426" w:type="dxa"/>
            <w:tcBorders>
              <w:left w:val="single" w:color="auto" w:sz="4" w:space="0"/>
            </w:tcBorders>
            <w:vAlign w:val="center"/>
          </w:tcPr>
          <w:p w14:paraId="176E09E8">
            <w:pPr>
              <w:jc w:val="right"/>
              <w:rPr>
                <w:rFonts w:asciiTheme="minorHAnsi" w:hAnsiTheme="minorHAnsi" w:cstheme="minorHAnsi"/>
                <w:sz w:val="20"/>
                <w:szCs w:val="20"/>
              </w:rPr>
            </w:pPr>
          </w:p>
        </w:tc>
        <w:tc>
          <w:tcPr>
            <w:tcW w:w="1842" w:type="dxa"/>
            <w:vAlign w:val="center"/>
          </w:tcPr>
          <w:p w14:paraId="770F1437">
            <w:pPr>
              <w:jc w:val="right"/>
              <w:rPr>
                <w:rFonts w:asciiTheme="minorHAnsi" w:hAnsiTheme="minorHAnsi" w:cstheme="minorHAnsi"/>
                <w:sz w:val="20"/>
                <w:szCs w:val="20"/>
              </w:rPr>
            </w:pPr>
          </w:p>
        </w:tc>
        <w:tc>
          <w:tcPr>
            <w:tcW w:w="1701" w:type="dxa"/>
            <w:vAlign w:val="center"/>
          </w:tcPr>
          <w:p w14:paraId="1AB82A9D">
            <w:pPr>
              <w:jc w:val="right"/>
              <w:rPr>
                <w:rFonts w:asciiTheme="minorHAnsi" w:hAnsiTheme="minorHAnsi" w:cstheme="minorHAnsi"/>
                <w:sz w:val="20"/>
                <w:szCs w:val="20"/>
              </w:rPr>
            </w:pPr>
          </w:p>
        </w:tc>
        <w:tc>
          <w:tcPr>
            <w:tcW w:w="1560" w:type="dxa"/>
            <w:vAlign w:val="center"/>
          </w:tcPr>
          <w:p w14:paraId="77F63033">
            <w:pPr>
              <w:jc w:val="right"/>
              <w:rPr>
                <w:rFonts w:asciiTheme="minorHAnsi" w:hAnsiTheme="minorHAnsi" w:cstheme="minorHAnsi"/>
                <w:sz w:val="20"/>
                <w:szCs w:val="20"/>
              </w:rPr>
            </w:pPr>
          </w:p>
        </w:tc>
        <w:tc>
          <w:tcPr>
            <w:tcW w:w="1701" w:type="dxa"/>
            <w:vAlign w:val="center"/>
          </w:tcPr>
          <w:p w14:paraId="023EE59D">
            <w:pPr>
              <w:jc w:val="right"/>
              <w:rPr>
                <w:rFonts w:asciiTheme="minorHAnsi" w:hAnsiTheme="minorHAnsi" w:cstheme="minorHAnsi"/>
                <w:sz w:val="20"/>
                <w:szCs w:val="20"/>
              </w:rPr>
            </w:pPr>
          </w:p>
        </w:tc>
        <w:tc>
          <w:tcPr>
            <w:tcW w:w="1842" w:type="dxa"/>
            <w:vAlign w:val="center"/>
          </w:tcPr>
          <w:p w14:paraId="60ACCECC">
            <w:pPr>
              <w:jc w:val="right"/>
              <w:rPr>
                <w:rFonts w:asciiTheme="minorHAnsi" w:hAnsiTheme="minorHAnsi" w:cstheme="minorHAnsi"/>
                <w:sz w:val="20"/>
                <w:szCs w:val="20"/>
              </w:rPr>
            </w:pPr>
          </w:p>
        </w:tc>
        <w:tc>
          <w:tcPr>
            <w:tcW w:w="1701" w:type="dxa"/>
            <w:vAlign w:val="center"/>
          </w:tcPr>
          <w:p w14:paraId="064E98B9">
            <w:pPr>
              <w:jc w:val="right"/>
              <w:rPr>
                <w:rFonts w:asciiTheme="minorHAnsi" w:hAnsiTheme="minorHAnsi" w:cstheme="minorHAnsi"/>
                <w:sz w:val="20"/>
                <w:szCs w:val="20"/>
              </w:rPr>
            </w:pPr>
          </w:p>
        </w:tc>
      </w:tr>
      <w:tr w14:paraId="37E5C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c9217abeeb6e46ac8415ee33ff13a461"/>
            <w:id w:val="1664749868"/>
          </w:sdtPr>
          <w:sdtContent>
            <w:tc>
              <w:tcPr>
                <w:tcW w:w="2269" w:type="dxa"/>
                <w:vAlign w:val="center"/>
              </w:tcPr>
              <w:p w14:paraId="44890E73">
                <w:pPr>
                  <w:rPr>
                    <w:rFonts w:ascii="Calibri" w:hAnsi="Calibri"/>
                    <w:sz w:val="18"/>
                    <w:szCs w:val="18"/>
                  </w:rPr>
                </w:pPr>
                <w:r>
                  <w:rPr>
                    <w:rFonts w:hint="eastAsia" w:ascii="Calibri" w:hAnsi="Calibri"/>
                    <w:sz w:val="18"/>
                    <w:szCs w:val="18"/>
                  </w:rPr>
                  <w:t>2．其他权益工具持有者投入资本</w:t>
                </w:r>
              </w:p>
            </w:tc>
          </w:sdtContent>
        </w:sdt>
        <w:tc>
          <w:tcPr>
            <w:tcW w:w="1701" w:type="dxa"/>
            <w:tcBorders>
              <w:right w:val="single" w:color="auto" w:sz="4" w:space="0"/>
            </w:tcBorders>
            <w:vAlign w:val="center"/>
          </w:tcPr>
          <w:p w14:paraId="7D48DC2C">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1DE249D1">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6DF115E3">
            <w:pPr>
              <w:jc w:val="right"/>
              <w:rPr>
                <w:rFonts w:asciiTheme="minorHAnsi" w:hAnsiTheme="minorHAnsi" w:cstheme="minorHAnsi"/>
                <w:sz w:val="20"/>
                <w:szCs w:val="20"/>
              </w:rPr>
            </w:pPr>
          </w:p>
        </w:tc>
        <w:tc>
          <w:tcPr>
            <w:tcW w:w="426" w:type="dxa"/>
            <w:tcBorders>
              <w:left w:val="single" w:color="auto" w:sz="4" w:space="0"/>
            </w:tcBorders>
            <w:vAlign w:val="center"/>
          </w:tcPr>
          <w:p w14:paraId="31FAD3DB">
            <w:pPr>
              <w:jc w:val="right"/>
              <w:rPr>
                <w:rFonts w:asciiTheme="minorHAnsi" w:hAnsiTheme="minorHAnsi" w:cstheme="minorHAnsi"/>
                <w:sz w:val="20"/>
                <w:szCs w:val="20"/>
              </w:rPr>
            </w:pPr>
          </w:p>
        </w:tc>
        <w:tc>
          <w:tcPr>
            <w:tcW w:w="1842" w:type="dxa"/>
            <w:vAlign w:val="center"/>
          </w:tcPr>
          <w:p w14:paraId="674A72DA">
            <w:pPr>
              <w:jc w:val="right"/>
              <w:rPr>
                <w:rFonts w:asciiTheme="minorHAnsi" w:hAnsiTheme="minorHAnsi" w:cstheme="minorHAnsi"/>
                <w:sz w:val="20"/>
                <w:szCs w:val="20"/>
              </w:rPr>
            </w:pPr>
          </w:p>
        </w:tc>
        <w:tc>
          <w:tcPr>
            <w:tcW w:w="1701" w:type="dxa"/>
            <w:vAlign w:val="center"/>
          </w:tcPr>
          <w:p w14:paraId="437B79AA">
            <w:pPr>
              <w:jc w:val="right"/>
              <w:rPr>
                <w:rFonts w:asciiTheme="minorHAnsi" w:hAnsiTheme="minorHAnsi" w:cstheme="minorHAnsi"/>
                <w:sz w:val="20"/>
                <w:szCs w:val="20"/>
              </w:rPr>
            </w:pPr>
          </w:p>
        </w:tc>
        <w:tc>
          <w:tcPr>
            <w:tcW w:w="1560" w:type="dxa"/>
            <w:vAlign w:val="center"/>
          </w:tcPr>
          <w:p w14:paraId="31240B73">
            <w:pPr>
              <w:jc w:val="right"/>
              <w:rPr>
                <w:rFonts w:asciiTheme="minorHAnsi" w:hAnsiTheme="minorHAnsi" w:cstheme="minorHAnsi"/>
                <w:sz w:val="20"/>
                <w:szCs w:val="20"/>
              </w:rPr>
            </w:pPr>
          </w:p>
        </w:tc>
        <w:tc>
          <w:tcPr>
            <w:tcW w:w="1701" w:type="dxa"/>
            <w:vAlign w:val="center"/>
          </w:tcPr>
          <w:p w14:paraId="002598A0">
            <w:pPr>
              <w:jc w:val="right"/>
              <w:rPr>
                <w:rFonts w:asciiTheme="minorHAnsi" w:hAnsiTheme="minorHAnsi" w:cstheme="minorHAnsi"/>
                <w:sz w:val="20"/>
                <w:szCs w:val="20"/>
              </w:rPr>
            </w:pPr>
          </w:p>
        </w:tc>
        <w:tc>
          <w:tcPr>
            <w:tcW w:w="1842" w:type="dxa"/>
            <w:vAlign w:val="center"/>
          </w:tcPr>
          <w:p w14:paraId="3AD7064E">
            <w:pPr>
              <w:jc w:val="right"/>
              <w:rPr>
                <w:rFonts w:asciiTheme="minorHAnsi" w:hAnsiTheme="minorHAnsi" w:cstheme="minorHAnsi"/>
                <w:sz w:val="20"/>
                <w:szCs w:val="20"/>
              </w:rPr>
            </w:pPr>
          </w:p>
        </w:tc>
        <w:tc>
          <w:tcPr>
            <w:tcW w:w="1701" w:type="dxa"/>
            <w:vAlign w:val="center"/>
          </w:tcPr>
          <w:p w14:paraId="4836C29F">
            <w:pPr>
              <w:jc w:val="right"/>
              <w:rPr>
                <w:rFonts w:asciiTheme="minorHAnsi" w:hAnsiTheme="minorHAnsi" w:cstheme="minorHAnsi"/>
                <w:sz w:val="20"/>
                <w:szCs w:val="20"/>
              </w:rPr>
            </w:pPr>
          </w:p>
        </w:tc>
      </w:tr>
      <w:tr w14:paraId="06C7F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5b62e12f39a04fa3a5e1647793ab3e5e"/>
            <w:id w:val="203692110"/>
          </w:sdtPr>
          <w:sdtContent>
            <w:tc>
              <w:tcPr>
                <w:tcW w:w="2269" w:type="dxa"/>
                <w:vAlign w:val="center"/>
              </w:tcPr>
              <w:p w14:paraId="6239DFC2">
                <w:pPr>
                  <w:rPr>
                    <w:rFonts w:ascii="Calibri" w:hAnsi="Calibri"/>
                    <w:sz w:val="18"/>
                    <w:szCs w:val="18"/>
                  </w:rPr>
                </w:pPr>
                <w:r>
                  <w:rPr>
                    <w:rFonts w:hint="eastAsia" w:ascii="Calibri" w:hAnsi="Calibri"/>
                    <w:sz w:val="18"/>
                    <w:szCs w:val="18"/>
                  </w:rPr>
                  <w:t>3</w:t>
                </w:r>
                <w:r>
                  <w:rPr>
                    <w:rFonts w:ascii="Calibri" w:hAnsi="Calibri"/>
                    <w:sz w:val="18"/>
                    <w:szCs w:val="18"/>
                  </w:rPr>
                  <w:t>．股份支付计入所有者权益的金额</w:t>
                </w:r>
              </w:p>
            </w:tc>
          </w:sdtContent>
        </w:sdt>
        <w:tc>
          <w:tcPr>
            <w:tcW w:w="1701" w:type="dxa"/>
            <w:tcBorders>
              <w:right w:val="single" w:color="auto" w:sz="4" w:space="0"/>
            </w:tcBorders>
            <w:vAlign w:val="center"/>
          </w:tcPr>
          <w:p w14:paraId="4601E4FF">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537B85C7">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00E33799">
            <w:pPr>
              <w:jc w:val="right"/>
              <w:rPr>
                <w:rFonts w:asciiTheme="minorHAnsi" w:hAnsiTheme="minorHAnsi" w:cstheme="minorHAnsi"/>
                <w:sz w:val="20"/>
                <w:szCs w:val="20"/>
              </w:rPr>
            </w:pPr>
          </w:p>
        </w:tc>
        <w:tc>
          <w:tcPr>
            <w:tcW w:w="426" w:type="dxa"/>
            <w:tcBorders>
              <w:left w:val="single" w:color="auto" w:sz="4" w:space="0"/>
            </w:tcBorders>
            <w:vAlign w:val="center"/>
          </w:tcPr>
          <w:p w14:paraId="0998C452">
            <w:pPr>
              <w:jc w:val="right"/>
              <w:rPr>
                <w:rFonts w:asciiTheme="minorHAnsi" w:hAnsiTheme="minorHAnsi" w:cstheme="minorHAnsi"/>
                <w:sz w:val="20"/>
                <w:szCs w:val="20"/>
              </w:rPr>
            </w:pPr>
          </w:p>
        </w:tc>
        <w:tc>
          <w:tcPr>
            <w:tcW w:w="1842" w:type="dxa"/>
            <w:vAlign w:val="center"/>
          </w:tcPr>
          <w:p w14:paraId="57BE52E0">
            <w:pPr>
              <w:jc w:val="right"/>
              <w:rPr>
                <w:rFonts w:asciiTheme="minorHAnsi" w:hAnsiTheme="minorHAnsi" w:cstheme="minorHAnsi"/>
                <w:sz w:val="20"/>
                <w:szCs w:val="20"/>
              </w:rPr>
            </w:pPr>
          </w:p>
        </w:tc>
        <w:tc>
          <w:tcPr>
            <w:tcW w:w="1701" w:type="dxa"/>
            <w:vAlign w:val="center"/>
          </w:tcPr>
          <w:p w14:paraId="0152D7E3">
            <w:pPr>
              <w:jc w:val="right"/>
              <w:rPr>
                <w:rFonts w:asciiTheme="minorHAnsi" w:hAnsiTheme="minorHAnsi" w:cstheme="minorHAnsi"/>
                <w:sz w:val="20"/>
                <w:szCs w:val="20"/>
              </w:rPr>
            </w:pPr>
            <w:r>
              <w:rPr>
                <w:rFonts w:asciiTheme="minorHAnsi" w:hAnsiTheme="minorHAnsi" w:cstheme="minorHAnsi"/>
                <w:sz w:val="20"/>
                <w:szCs w:val="20"/>
              </w:rPr>
              <w:t>-14,106,666.00</w:t>
            </w:r>
          </w:p>
        </w:tc>
        <w:tc>
          <w:tcPr>
            <w:tcW w:w="1560" w:type="dxa"/>
            <w:vAlign w:val="center"/>
          </w:tcPr>
          <w:p w14:paraId="73032C53">
            <w:pPr>
              <w:jc w:val="right"/>
              <w:rPr>
                <w:rFonts w:asciiTheme="minorHAnsi" w:hAnsiTheme="minorHAnsi" w:cstheme="minorHAnsi"/>
                <w:sz w:val="20"/>
                <w:szCs w:val="20"/>
              </w:rPr>
            </w:pPr>
          </w:p>
        </w:tc>
        <w:tc>
          <w:tcPr>
            <w:tcW w:w="1701" w:type="dxa"/>
            <w:vAlign w:val="center"/>
          </w:tcPr>
          <w:p w14:paraId="63587CD3">
            <w:pPr>
              <w:jc w:val="right"/>
              <w:rPr>
                <w:rFonts w:asciiTheme="minorHAnsi" w:hAnsiTheme="minorHAnsi" w:cstheme="minorHAnsi"/>
                <w:sz w:val="20"/>
                <w:szCs w:val="20"/>
              </w:rPr>
            </w:pPr>
          </w:p>
        </w:tc>
        <w:tc>
          <w:tcPr>
            <w:tcW w:w="1842" w:type="dxa"/>
            <w:vAlign w:val="center"/>
          </w:tcPr>
          <w:p w14:paraId="2B2F73A3">
            <w:pPr>
              <w:jc w:val="right"/>
              <w:rPr>
                <w:rFonts w:asciiTheme="minorHAnsi" w:hAnsiTheme="minorHAnsi" w:cstheme="minorHAnsi"/>
                <w:sz w:val="20"/>
                <w:szCs w:val="20"/>
              </w:rPr>
            </w:pPr>
          </w:p>
        </w:tc>
        <w:tc>
          <w:tcPr>
            <w:tcW w:w="1701" w:type="dxa"/>
            <w:vAlign w:val="center"/>
          </w:tcPr>
          <w:p w14:paraId="5010CD74">
            <w:pPr>
              <w:jc w:val="right"/>
              <w:rPr>
                <w:rFonts w:asciiTheme="minorHAnsi" w:hAnsiTheme="minorHAnsi" w:cstheme="minorHAnsi"/>
                <w:sz w:val="20"/>
                <w:szCs w:val="20"/>
              </w:rPr>
            </w:pPr>
            <w:r>
              <w:rPr>
                <w:rFonts w:asciiTheme="minorHAnsi" w:hAnsiTheme="minorHAnsi" w:cstheme="minorHAnsi"/>
                <w:sz w:val="20"/>
                <w:szCs w:val="20"/>
              </w:rPr>
              <w:t>14,106,666.00</w:t>
            </w:r>
          </w:p>
        </w:tc>
      </w:tr>
      <w:tr w14:paraId="68975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09a354c759244b168ea7e28904658be8"/>
            <w:id w:val="-1450311473"/>
          </w:sdtPr>
          <w:sdtContent>
            <w:tc>
              <w:tcPr>
                <w:tcW w:w="2269" w:type="dxa"/>
                <w:vAlign w:val="center"/>
              </w:tcPr>
              <w:p w14:paraId="400B2CDD">
                <w:pPr>
                  <w:rPr>
                    <w:rFonts w:ascii="Calibri" w:hAnsi="Calibri"/>
                    <w:sz w:val="18"/>
                    <w:szCs w:val="18"/>
                  </w:rPr>
                </w:pPr>
                <w:r>
                  <w:rPr>
                    <w:rFonts w:hint="eastAsia" w:ascii="Calibri" w:hAnsi="Calibri"/>
                    <w:sz w:val="18"/>
                    <w:szCs w:val="18"/>
                  </w:rPr>
                  <w:t>4</w:t>
                </w:r>
                <w:r>
                  <w:rPr>
                    <w:rFonts w:ascii="Calibri" w:hAnsi="Calibri"/>
                    <w:sz w:val="18"/>
                    <w:szCs w:val="18"/>
                  </w:rPr>
                  <w:t>．其他</w:t>
                </w:r>
              </w:p>
            </w:tc>
          </w:sdtContent>
        </w:sdt>
        <w:tc>
          <w:tcPr>
            <w:tcW w:w="1701" w:type="dxa"/>
            <w:tcBorders>
              <w:right w:val="single" w:color="auto" w:sz="4" w:space="0"/>
            </w:tcBorders>
            <w:vAlign w:val="center"/>
          </w:tcPr>
          <w:p w14:paraId="72D12C4B">
            <w:pPr>
              <w:jc w:val="right"/>
              <w:rPr>
                <w:rFonts w:asciiTheme="minorHAnsi" w:hAnsiTheme="minorHAnsi" w:cstheme="minorHAnsi"/>
                <w:sz w:val="20"/>
                <w:szCs w:val="20"/>
              </w:rPr>
            </w:pPr>
            <w:r>
              <w:rPr>
                <w:rFonts w:asciiTheme="minorHAnsi" w:hAnsiTheme="minorHAnsi" w:cstheme="minorHAnsi"/>
                <w:sz w:val="20"/>
                <w:szCs w:val="20"/>
              </w:rPr>
              <w:t>-11,883,379.00</w:t>
            </w:r>
          </w:p>
        </w:tc>
        <w:tc>
          <w:tcPr>
            <w:tcW w:w="567" w:type="dxa"/>
            <w:tcBorders>
              <w:left w:val="single" w:color="auto" w:sz="4" w:space="0"/>
              <w:right w:val="single" w:color="auto" w:sz="4" w:space="0"/>
            </w:tcBorders>
            <w:vAlign w:val="center"/>
          </w:tcPr>
          <w:p w14:paraId="711378A1">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518E932A">
            <w:pPr>
              <w:jc w:val="right"/>
              <w:rPr>
                <w:rFonts w:asciiTheme="minorHAnsi" w:hAnsiTheme="minorHAnsi" w:cstheme="minorHAnsi"/>
                <w:sz w:val="20"/>
                <w:szCs w:val="20"/>
              </w:rPr>
            </w:pPr>
          </w:p>
        </w:tc>
        <w:tc>
          <w:tcPr>
            <w:tcW w:w="426" w:type="dxa"/>
            <w:tcBorders>
              <w:left w:val="single" w:color="auto" w:sz="4" w:space="0"/>
            </w:tcBorders>
            <w:vAlign w:val="center"/>
          </w:tcPr>
          <w:p w14:paraId="5A8CF2E7">
            <w:pPr>
              <w:jc w:val="right"/>
              <w:rPr>
                <w:rFonts w:asciiTheme="minorHAnsi" w:hAnsiTheme="minorHAnsi" w:cstheme="minorHAnsi"/>
                <w:sz w:val="20"/>
                <w:szCs w:val="20"/>
              </w:rPr>
            </w:pPr>
          </w:p>
        </w:tc>
        <w:tc>
          <w:tcPr>
            <w:tcW w:w="1842" w:type="dxa"/>
            <w:vAlign w:val="center"/>
          </w:tcPr>
          <w:p w14:paraId="220AC451">
            <w:pPr>
              <w:jc w:val="right"/>
              <w:rPr>
                <w:rFonts w:asciiTheme="minorHAnsi" w:hAnsiTheme="minorHAnsi" w:cstheme="minorHAnsi"/>
                <w:sz w:val="20"/>
                <w:szCs w:val="20"/>
              </w:rPr>
            </w:pPr>
            <w:r>
              <w:rPr>
                <w:rFonts w:asciiTheme="minorHAnsi" w:hAnsiTheme="minorHAnsi" w:cstheme="minorHAnsi"/>
                <w:sz w:val="20"/>
                <w:szCs w:val="20"/>
              </w:rPr>
              <w:t>-122,946,596.95</w:t>
            </w:r>
          </w:p>
        </w:tc>
        <w:tc>
          <w:tcPr>
            <w:tcW w:w="1701" w:type="dxa"/>
            <w:vAlign w:val="center"/>
          </w:tcPr>
          <w:p w14:paraId="2C9CDC8F">
            <w:pPr>
              <w:jc w:val="right"/>
              <w:rPr>
                <w:rFonts w:asciiTheme="minorHAnsi" w:hAnsiTheme="minorHAnsi" w:cstheme="minorHAnsi"/>
                <w:sz w:val="20"/>
                <w:szCs w:val="20"/>
              </w:rPr>
            </w:pPr>
            <w:r>
              <w:rPr>
                <w:rFonts w:asciiTheme="minorHAnsi" w:hAnsiTheme="minorHAnsi" w:cstheme="minorHAnsi"/>
                <w:sz w:val="20"/>
                <w:szCs w:val="20"/>
              </w:rPr>
              <w:t>-120,723,309.95</w:t>
            </w:r>
          </w:p>
        </w:tc>
        <w:tc>
          <w:tcPr>
            <w:tcW w:w="1560" w:type="dxa"/>
            <w:vAlign w:val="center"/>
          </w:tcPr>
          <w:p w14:paraId="412B4D95">
            <w:pPr>
              <w:jc w:val="right"/>
              <w:rPr>
                <w:rFonts w:asciiTheme="minorHAnsi" w:hAnsiTheme="minorHAnsi" w:cstheme="minorHAnsi"/>
                <w:sz w:val="20"/>
                <w:szCs w:val="20"/>
              </w:rPr>
            </w:pPr>
          </w:p>
        </w:tc>
        <w:tc>
          <w:tcPr>
            <w:tcW w:w="1701" w:type="dxa"/>
            <w:vAlign w:val="center"/>
          </w:tcPr>
          <w:p w14:paraId="6485C8D6">
            <w:pPr>
              <w:jc w:val="right"/>
              <w:rPr>
                <w:rFonts w:asciiTheme="minorHAnsi" w:hAnsiTheme="minorHAnsi" w:cstheme="minorHAnsi"/>
                <w:sz w:val="20"/>
                <w:szCs w:val="20"/>
              </w:rPr>
            </w:pPr>
          </w:p>
        </w:tc>
        <w:tc>
          <w:tcPr>
            <w:tcW w:w="1842" w:type="dxa"/>
            <w:vAlign w:val="center"/>
          </w:tcPr>
          <w:p w14:paraId="0CB39919">
            <w:pPr>
              <w:jc w:val="right"/>
              <w:rPr>
                <w:rFonts w:asciiTheme="minorHAnsi" w:hAnsiTheme="minorHAnsi" w:cstheme="minorHAnsi"/>
                <w:sz w:val="20"/>
                <w:szCs w:val="20"/>
              </w:rPr>
            </w:pPr>
          </w:p>
        </w:tc>
        <w:tc>
          <w:tcPr>
            <w:tcW w:w="1701" w:type="dxa"/>
            <w:vAlign w:val="center"/>
          </w:tcPr>
          <w:p w14:paraId="5664EAE1">
            <w:pPr>
              <w:jc w:val="right"/>
              <w:rPr>
                <w:rFonts w:asciiTheme="minorHAnsi" w:hAnsiTheme="minorHAnsi" w:cstheme="minorHAnsi"/>
                <w:sz w:val="20"/>
                <w:szCs w:val="20"/>
              </w:rPr>
            </w:pPr>
            <w:r>
              <w:rPr>
                <w:rFonts w:asciiTheme="minorHAnsi" w:hAnsiTheme="minorHAnsi" w:cstheme="minorHAnsi"/>
                <w:sz w:val="20"/>
                <w:szCs w:val="20"/>
              </w:rPr>
              <w:t>-14,106,666.00</w:t>
            </w:r>
          </w:p>
        </w:tc>
      </w:tr>
      <w:tr w14:paraId="70AF0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806901fee79c40f688fa2f02ab1d596d"/>
            <w:id w:val="1276747126"/>
          </w:sdtPr>
          <w:sdtContent>
            <w:tc>
              <w:tcPr>
                <w:tcW w:w="2269" w:type="dxa"/>
                <w:vAlign w:val="center"/>
              </w:tcPr>
              <w:p w14:paraId="2922C393">
                <w:pPr>
                  <w:rPr>
                    <w:rFonts w:ascii="Calibri" w:hAnsi="Calibri"/>
                    <w:sz w:val="18"/>
                    <w:szCs w:val="18"/>
                  </w:rPr>
                </w:pPr>
                <w:r>
                  <w:rPr>
                    <w:rFonts w:ascii="Calibri" w:hAnsi="Calibri"/>
                    <w:sz w:val="18"/>
                    <w:szCs w:val="18"/>
                  </w:rPr>
                  <w:t>（</w:t>
                </w:r>
                <w:r>
                  <w:rPr>
                    <w:rFonts w:hint="eastAsia" w:ascii="Calibri" w:hAnsi="Calibri"/>
                    <w:sz w:val="18"/>
                    <w:szCs w:val="18"/>
                  </w:rPr>
                  <w:t>三</w:t>
                </w:r>
                <w:r>
                  <w:rPr>
                    <w:rFonts w:ascii="Calibri" w:hAnsi="Calibri"/>
                    <w:sz w:val="18"/>
                    <w:szCs w:val="18"/>
                  </w:rPr>
                  <w:t>）利润分配</w:t>
                </w:r>
              </w:p>
            </w:tc>
          </w:sdtContent>
        </w:sdt>
        <w:tc>
          <w:tcPr>
            <w:tcW w:w="1701" w:type="dxa"/>
            <w:tcBorders>
              <w:right w:val="single" w:color="auto" w:sz="4" w:space="0"/>
            </w:tcBorders>
            <w:vAlign w:val="center"/>
          </w:tcPr>
          <w:p w14:paraId="269ADC93">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038EA89B">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0C3F2EC4">
            <w:pPr>
              <w:jc w:val="right"/>
              <w:rPr>
                <w:rFonts w:asciiTheme="minorHAnsi" w:hAnsiTheme="minorHAnsi" w:cstheme="minorHAnsi"/>
                <w:sz w:val="20"/>
                <w:szCs w:val="20"/>
              </w:rPr>
            </w:pPr>
          </w:p>
        </w:tc>
        <w:tc>
          <w:tcPr>
            <w:tcW w:w="426" w:type="dxa"/>
            <w:tcBorders>
              <w:left w:val="single" w:color="auto" w:sz="4" w:space="0"/>
            </w:tcBorders>
            <w:vAlign w:val="center"/>
          </w:tcPr>
          <w:p w14:paraId="241136F3">
            <w:pPr>
              <w:jc w:val="right"/>
              <w:rPr>
                <w:rFonts w:asciiTheme="minorHAnsi" w:hAnsiTheme="minorHAnsi" w:cstheme="minorHAnsi"/>
                <w:sz w:val="20"/>
                <w:szCs w:val="20"/>
              </w:rPr>
            </w:pPr>
          </w:p>
        </w:tc>
        <w:tc>
          <w:tcPr>
            <w:tcW w:w="1842" w:type="dxa"/>
            <w:vAlign w:val="center"/>
          </w:tcPr>
          <w:p w14:paraId="39ABDFBB">
            <w:pPr>
              <w:jc w:val="right"/>
              <w:rPr>
                <w:rFonts w:asciiTheme="minorHAnsi" w:hAnsiTheme="minorHAnsi" w:cstheme="minorHAnsi"/>
                <w:sz w:val="20"/>
                <w:szCs w:val="20"/>
              </w:rPr>
            </w:pPr>
          </w:p>
        </w:tc>
        <w:tc>
          <w:tcPr>
            <w:tcW w:w="1701" w:type="dxa"/>
            <w:vAlign w:val="center"/>
          </w:tcPr>
          <w:p w14:paraId="151A81CF">
            <w:pPr>
              <w:jc w:val="right"/>
              <w:rPr>
                <w:rFonts w:asciiTheme="minorHAnsi" w:hAnsiTheme="minorHAnsi" w:cstheme="minorHAnsi"/>
                <w:sz w:val="20"/>
                <w:szCs w:val="20"/>
              </w:rPr>
            </w:pPr>
          </w:p>
        </w:tc>
        <w:tc>
          <w:tcPr>
            <w:tcW w:w="1560" w:type="dxa"/>
            <w:vAlign w:val="center"/>
          </w:tcPr>
          <w:p w14:paraId="673C7EDC">
            <w:pPr>
              <w:jc w:val="right"/>
              <w:rPr>
                <w:rFonts w:asciiTheme="minorHAnsi" w:hAnsiTheme="minorHAnsi" w:cstheme="minorHAnsi"/>
                <w:sz w:val="20"/>
                <w:szCs w:val="20"/>
              </w:rPr>
            </w:pPr>
          </w:p>
        </w:tc>
        <w:tc>
          <w:tcPr>
            <w:tcW w:w="1701" w:type="dxa"/>
            <w:vAlign w:val="center"/>
          </w:tcPr>
          <w:p w14:paraId="1CBE3545">
            <w:pPr>
              <w:jc w:val="right"/>
              <w:rPr>
                <w:rFonts w:asciiTheme="minorHAnsi" w:hAnsiTheme="minorHAnsi" w:cstheme="minorHAnsi"/>
                <w:sz w:val="20"/>
                <w:szCs w:val="20"/>
              </w:rPr>
            </w:pPr>
          </w:p>
        </w:tc>
        <w:tc>
          <w:tcPr>
            <w:tcW w:w="1842" w:type="dxa"/>
            <w:vAlign w:val="center"/>
          </w:tcPr>
          <w:p w14:paraId="1FF1A58B">
            <w:pPr>
              <w:jc w:val="right"/>
              <w:rPr>
                <w:rFonts w:asciiTheme="minorHAnsi" w:hAnsiTheme="minorHAnsi" w:cstheme="minorHAnsi"/>
                <w:sz w:val="20"/>
                <w:szCs w:val="20"/>
              </w:rPr>
            </w:pPr>
            <w:r>
              <w:rPr>
                <w:rFonts w:asciiTheme="minorHAnsi" w:hAnsiTheme="minorHAnsi" w:cstheme="minorHAnsi"/>
                <w:sz w:val="20"/>
                <w:szCs w:val="20"/>
              </w:rPr>
              <w:t>-495,433,518.50</w:t>
            </w:r>
          </w:p>
        </w:tc>
        <w:tc>
          <w:tcPr>
            <w:tcW w:w="1701" w:type="dxa"/>
            <w:vAlign w:val="center"/>
          </w:tcPr>
          <w:p w14:paraId="5E9F0508">
            <w:pPr>
              <w:jc w:val="right"/>
              <w:rPr>
                <w:rFonts w:asciiTheme="minorHAnsi" w:hAnsiTheme="minorHAnsi" w:cstheme="minorHAnsi"/>
                <w:sz w:val="20"/>
                <w:szCs w:val="20"/>
              </w:rPr>
            </w:pPr>
            <w:r>
              <w:rPr>
                <w:rFonts w:asciiTheme="minorHAnsi" w:hAnsiTheme="minorHAnsi" w:cstheme="minorHAnsi"/>
                <w:sz w:val="20"/>
                <w:szCs w:val="20"/>
              </w:rPr>
              <w:t>-495,433,518.50</w:t>
            </w:r>
          </w:p>
        </w:tc>
      </w:tr>
      <w:tr w14:paraId="19526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936c2d33e22476597644c98158847c6"/>
            <w:id w:val="433338582"/>
          </w:sdtPr>
          <w:sdtContent>
            <w:tc>
              <w:tcPr>
                <w:tcW w:w="2269" w:type="dxa"/>
                <w:vAlign w:val="center"/>
              </w:tcPr>
              <w:p w14:paraId="384CD3EB">
                <w:pPr>
                  <w:rPr>
                    <w:rFonts w:ascii="Calibri" w:hAnsi="Calibri"/>
                    <w:sz w:val="18"/>
                    <w:szCs w:val="18"/>
                  </w:rPr>
                </w:pPr>
                <w:r>
                  <w:rPr>
                    <w:rFonts w:ascii="Calibri" w:hAnsi="Calibri"/>
                    <w:sz w:val="18"/>
                    <w:szCs w:val="18"/>
                  </w:rPr>
                  <w:t>1．提取盈余公积</w:t>
                </w:r>
              </w:p>
            </w:tc>
          </w:sdtContent>
        </w:sdt>
        <w:tc>
          <w:tcPr>
            <w:tcW w:w="1701" w:type="dxa"/>
            <w:tcBorders>
              <w:right w:val="single" w:color="auto" w:sz="4" w:space="0"/>
            </w:tcBorders>
            <w:vAlign w:val="center"/>
          </w:tcPr>
          <w:p w14:paraId="1E5522D1">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5A9B4B19">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40436BEE">
            <w:pPr>
              <w:jc w:val="right"/>
              <w:rPr>
                <w:rFonts w:asciiTheme="minorHAnsi" w:hAnsiTheme="minorHAnsi" w:cstheme="minorHAnsi"/>
                <w:sz w:val="20"/>
                <w:szCs w:val="20"/>
              </w:rPr>
            </w:pPr>
          </w:p>
        </w:tc>
        <w:tc>
          <w:tcPr>
            <w:tcW w:w="426" w:type="dxa"/>
            <w:tcBorders>
              <w:left w:val="single" w:color="auto" w:sz="4" w:space="0"/>
            </w:tcBorders>
            <w:vAlign w:val="center"/>
          </w:tcPr>
          <w:p w14:paraId="676ECAC0">
            <w:pPr>
              <w:jc w:val="right"/>
              <w:rPr>
                <w:rFonts w:asciiTheme="minorHAnsi" w:hAnsiTheme="minorHAnsi" w:cstheme="minorHAnsi"/>
                <w:sz w:val="20"/>
                <w:szCs w:val="20"/>
              </w:rPr>
            </w:pPr>
          </w:p>
        </w:tc>
        <w:tc>
          <w:tcPr>
            <w:tcW w:w="1842" w:type="dxa"/>
            <w:vAlign w:val="center"/>
          </w:tcPr>
          <w:p w14:paraId="420A4C98">
            <w:pPr>
              <w:jc w:val="right"/>
              <w:rPr>
                <w:rFonts w:asciiTheme="minorHAnsi" w:hAnsiTheme="minorHAnsi" w:cstheme="minorHAnsi"/>
                <w:sz w:val="20"/>
                <w:szCs w:val="20"/>
              </w:rPr>
            </w:pPr>
          </w:p>
        </w:tc>
        <w:tc>
          <w:tcPr>
            <w:tcW w:w="1701" w:type="dxa"/>
            <w:vAlign w:val="center"/>
          </w:tcPr>
          <w:p w14:paraId="3CE5A4CA">
            <w:pPr>
              <w:jc w:val="right"/>
              <w:rPr>
                <w:rFonts w:asciiTheme="minorHAnsi" w:hAnsiTheme="minorHAnsi" w:cstheme="minorHAnsi"/>
                <w:sz w:val="20"/>
                <w:szCs w:val="20"/>
              </w:rPr>
            </w:pPr>
          </w:p>
        </w:tc>
        <w:tc>
          <w:tcPr>
            <w:tcW w:w="1560" w:type="dxa"/>
            <w:vAlign w:val="center"/>
          </w:tcPr>
          <w:p w14:paraId="36B0F616">
            <w:pPr>
              <w:jc w:val="right"/>
              <w:rPr>
                <w:rFonts w:asciiTheme="minorHAnsi" w:hAnsiTheme="minorHAnsi" w:cstheme="minorHAnsi"/>
                <w:sz w:val="20"/>
                <w:szCs w:val="20"/>
              </w:rPr>
            </w:pPr>
          </w:p>
        </w:tc>
        <w:tc>
          <w:tcPr>
            <w:tcW w:w="1701" w:type="dxa"/>
            <w:vAlign w:val="center"/>
          </w:tcPr>
          <w:p w14:paraId="4310010C">
            <w:pPr>
              <w:jc w:val="right"/>
              <w:rPr>
                <w:rFonts w:asciiTheme="minorHAnsi" w:hAnsiTheme="minorHAnsi" w:cstheme="minorHAnsi"/>
                <w:sz w:val="20"/>
                <w:szCs w:val="20"/>
              </w:rPr>
            </w:pPr>
          </w:p>
        </w:tc>
        <w:tc>
          <w:tcPr>
            <w:tcW w:w="1842" w:type="dxa"/>
            <w:vAlign w:val="center"/>
          </w:tcPr>
          <w:p w14:paraId="741DB71D">
            <w:pPr>
              <w:jc w:val="right"/>
              <w:rPr>
                <w:rFonts w:asciiTheme="minorHAnsi" w:hAnsiTheme="minorHAnsi" w:cstheme="minorHAnsi"/>
                <w:sz w:val="20"/>
                <w:szCs w:val="20"/>
              </w:rPr>
            </w:pPr>
          </w:p>
        </w:tc>
        <w:tc>
          <w:tcPr>
            <w:tcW w:w="1701" w:type="dxa"/>
            <w:vAlign w:val="center"/>
          </w:tcPr>
          <w:p w14:paraId="2816619C">
            <w:pPr>
              <w:jc w:val="right"/>
              <w:rPr>
                <w:rFonts w:asciiTheme="minorHAnsi" w:hAnsiTheme="minorHAnsi" w:cstheme="minorHAnsi"/>
                <w:sz w:val="20"/>
                <w:szCs w:val="20"/>
              </w:rPr>
            </w:pPr>
          </w:p>
        </w:tc>
      </w:tr>
      <w:tr w14:paraId="2CD74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210044b047ac492dbe47ba7aedd16fad"/>
            <w:id w:val="-1183128274"/>
          </w:sdtPr>
          <w:sdtContent>
            <w:tc>
              <w:tcPr>
                <w:tcW w:w="2269" w:type="dxa"/>
                <w:vAlign w:val="center"/>
              </w:tcPr>
              <w:p w14:paraId="0548DA98">
                <w:pPr>
                  <w:rPr>
                    <w:rFonts w:ascii="Calibri" w:hAnsi="Calibri"/>
                    <w:sz w:val="18"/>
                    <w:szCs w:val="18"/>
                  </w:rPr>
                </w:pPr>
                <w:r>
                  <w:rPr>
                    <w:rFonts w:hint="eastAsia" w:ascii="Calibri" w:hAnsi="Calibri"/>
                    <w:sz w:val="18"/>
                    <w:szCs w:val="18"/>
                  </w:rPr>
                  <w:t>2</w:t>
                </w:r>
                <w:r>
                  <w:rPr>
                    <w:rFonts w:ascii="Calibri" w:hAnsi="Calibri"/>
                    <w:sz w:val="18"/>
                    <w:szCs w:val="18"/>
                  </w:rPr>
                  <w:t>．对所有者（或股东）的分配</w:t>
                </w:r>
              </w:p>
            </w:tc>
          </w:sdtContent>
        </w:sdt>
        <w:tc>
          <w:tcPr>
            <w:tcW w:w="1701" w:type="dxa"/>
            <w:tcBorders>
              <w:right w:val="single" w:color="auto" w:sz="4" w:space="0"/>
            </w:tcBorders>
            <w:vAlign w:val="center"/>
          </w:tcPr>
          <w:p w14:paraId="46EB1A28">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0FB8916B">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71F44EFF">
            <w:pPr>
              <w:jc w:val="right"/>
              <w:rPr>
                <w:rFonts w:asciiTheme="minorHAnsi" w:hAnsiTheme="minorHAnsi" w:cstheme="minorHAnsi"/>
                <w:sz w:val="20"/>
                <w:szCs w:val="20"/>
              </w:rPr>
            </w:pPr>
          </w:p>
        </w:tc>
        <w:tc>
          <w:tcPr>
            <w:tcW w:w="426" w:type="dxa"/>
            <w:tcBorders>
              <w:left w:val="single" w:color="auto" w:sz="4" w:space="0"/>
            </w:tcBorders>
            <w:vAlign w:val="center"/>
          </w:tcPr>
          <w:p w14:paraId="732CA9FB">
            <w:pPr>
              <w:jc w:val="right"/>
              <w:rPr>
                <w:rFonts w:asciiTheme="minorHAnsi" w:hAnsiTheme="minorHAnsi" w:cstheme="minorHAnsi"/>
                <w:sz w:val="20"/>
                <w:szCs w:val="20"/>
              </w:rPr>
            </w:pPr>
          </w:p>
        </w:tc>
        <w:tc>
          <w:tcPr>
            <w:tcW w:w="1842" w:type="dxa"/>
            <w:vAlign w:val="center"/>
          </w:tcPr>
          <w:p w14:paraId="1699A480">
            <w:pPr>
              <w:jc w:val="right"/>
              <w:rPr>
                <w:rFonts w:asciiTheme="minorHAnsi" w:hAnsiTheme="minorHAnsi" w:cstheme="minorHAnsi"/>
                <w:sz w:val="20"/>
                <w:szCs w:val="20"/>
              </w:rPr>
            </w:pPr>
          </w:p>
        </w:tc>
        <w:tc>
          <w:tcPr>
            <w:tcW w:w="1701" w:type="dxa"/>
            <w:vAlign w:val="center"/>
          </w:tcPr>
          <w:p w14:paraId="6777E383">
            <w:pPr>
              <w:jc w:val="right"/>
              <w:rPr>
                <w:rFonts w:asciiTheme="minorHAnsi" w:hAnsiTheme="minorHAnsi" w:cstheme="minorHAnsi"/>
                <w:sz w:val="20"/>
                <w:szCs w:val="20"/>
              </w:rPr>
            </w:pPr>
          </w:p>
        </w:tc>
        <w:tc>
          <w:tcPr>
            <w:tcW w:w="1560" w:type="dxa"/>
            <w:vAlign w:val="center"/>
          </w:tcPr>
          <w:p w14:paraId="1873B77D">
            <w:pPr>
              <w:jc w:val="right"/>
              <w:rPr>
                <w:rFonts w:asciiTheme="minorHAnsi" w:hAnsiTheme="minorHAnsi" w:cstheme="minorHAnsi"/>
                <w:sz w:val="20"/>
                <w:szCs w:val="20"/>
              </w:rPr>
            </w:pPr>
          </w:p>
        </w:tc>
        <w:tc>
          <w:tcPr>
            <w:tcW w:w="1701" w:type="dxa"/>
            <w:vAlign w:val="center"/>
          </w:tcPr>
          <w:p w14:paraId="5D2DF970">
            <w:pPr>
              <w:jc w:val="right"/>
              <w:rPr>
                <w:rFonts w:asciiTheme="minorHAnsi" w:hAnsiTheme="minorHAnsi" w:cstheme="minorHAnsi"/>
                <w:sz w:val="20"/>
                <w:szCs w:val="20"/>
              </w:rPr>
            </w:pPr>
          </w:p>
        </w:tc>
        <w:tc>
          <w:tcPr>
            <w:tcW w:w="1842" w:type="dxa"/>
            <w:vAlign w:val="center"/>
          </w:tcPr>
          <w:p w14:paraId="5A5E674F">
            <w:pPr>
              <w:jc w:val="right"/>
              <w:rPr>
                <w:rFonts w:asciiTheme="minorHAnsi" w:hAnsiTheme="minorHAnsi" w:cstheme="minorHAnsi"/>
                <w:sz w:val="20"/>
                <w:szCs w:val="20"/>
              </w:rPr>
            </w:pPr>
            <w:r>
              <w:rPr>
                <w:rFonts w:asciiTheme="minorHAnsi" w:hAnsiTheme="minorHAnsi" w:cstheme="minorHAnsi"/>
                <w:sz w:val="20"/>
                <w:szCs w:val="20"/>
              </w:rPr>
              <w:t>-495,433,518.50</w:t>
            </w:r>
          </w:p>
        </w:tc>
        <w:tc>
          <w:tcPr>
            <w:tcW w:w="1701" w:type="dxa"/>
            <w:vAlign w:val="center"/>
          </w:tcPr>
          <w:p w14:paraId="7297C1BA">
            <w:pPr>
              <w:jc w:val="right"/>
              <w:rPr>
                <w:rFonts w:asciiTheme="minorHAnsi" w:hAnsiTheme="minorHAnsi" w:cstheme="minorHAnsi"/>
                <w:sz w:val="20"/>
                <w:szCs w:val="20"/>
              </w:rPr>
            </w:pPr>
            <w:r>
              <w:rPr>
                <w:rFonts w:asciiTheme="minorHAnsi" w:hAnsiTheme="minorHAnsi" w:cstheme="minorHAnsi"/>
                <w:sz w:val="20"/>
                <w:szCs w:val="20"/>
              </w:rPr>
              <w:t>-495,433,518.50</w:t>
            </w:r>
          </w:p>
        </w:tc>
      </w:tr>
      <w:tr w14:paraId="7268D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65affb7384874e8facf889d04ab4dd24"/>
            <w:id w:val="2080088609"/>
          </w:sdtPr>
          <w:sdtContent>
            <w:tc>
              <w:tcPr>
                <w:tcW w:w="2269" w:type="dxa"/>
                <w:vAlign w:val="center"/>
              </w:tcPr>
              <w:p w14:paraId="3605265C">
                <w:pPr>
                  <w:rPr>
                    <w:rFonts w:ascii="Calibri" w:hAnsi="Calibri"/>
                    <w:sz w:val="18"/>
                    <w:szCs w:val="18"/>
                  </w:rPr>
                </w:pPr>
                <w:r>
                  <w:rPr>
                    <w:rFonts w:hint="eastAsia" w:ascii="Calibri" w:hAnsi="Calibri"/>
                    <w:sz w:val="18"/>
                    <w:szCs w:val="18"/>
                  </w:rPr>
                  <w:t>3</w:t>
                </w:r>
                <w:r>
                  <w:rPr>
                    <w:rFonts w:ascii="Calibri" w:hAnsi="Calibri"/>
                    <w:sz w:val="18"/>
                    <w:szCs w:val="18"/>
                  </w:rPr>
                  <w:t>．其他</w:t>
                </w:r>
              </w:p>
            </w:tc>
          </w:sdtContent>
        </w:sdt>
        <w:tc>
          <w:tcPr>
            <w:tcW w:w="1701" w:type="dxa"/>
            <w:tcBorders>
              <w:right w:val="single" w:color="auto" w:sz="4" w:space="0"/>
            </w:tcBorders>
            <w:vAlign w:val="center"/>
          </w:tcPr>
          <w:p w14:paraId="1A8B5CE2">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7BE94FC5">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60C20092">
            <w:pPr>
              <w:jc w:val="right"/>
              <w:rPr>
                <w:rFonts w:asciiTheme="minorHAnsi" w:hAnsiTheme="minorHAnsi" w:cstheme="minorHAnsi"/>
                <w:sz w:val="20"/>
                <w:szCs w:val="20"/>
              </w:rPr>
            </w:pPr>
          </w:p>
        </w:tc>
        <w:tc>
          <w:tcPr>
            <w:tcW w:w="426" w:type="dxa"/>
            <w:tcBorders>
              <w:left w:val="single" w:color="auto" w:sz="4" w:space="0"/>
            </w:tcBorders>
            <w:vAlign w:val="center"/>
          </w:tcPr>
          <w:p w14:paraId="139947D7">
            <w:pPr>
              <w:jc w:val="right"/>
              <w:rPr>
                <w:rFonts w:asciiTheme="minorHAnsi" w:hAnsiTheme="minorHAnsi" w:cstheme="minorHAnsi"/>
                <w:sz w:val="20"/>
                <w:szCs w:val="20"/>
              </w:rPr>
            </w:pPr>
          </w:p>
        </w:tc>
        <w:tc>
          <w:tcPr>
            <w:tcW w:w="1842" w:type="dxa"/>
            <w:vAlign w:val="center"/>
          </w:tcPr>
          <w:p w14:paraId="14306AC8">
            <w:pPr>
              <w:jc w:val="right"/>
              <w:rPr>
                <w:rFonts w:asciiTheme="minorHAnsi" w:hAnsiTheme="minorHAnsi" w:cstheme="minorHAnsi"/>
                <w:sz w:val="20"/>
                <w:szCs w:val="20"/>
              </w:rPr>
            </w:pPr>
          </w:p>
        </w:tc>
        <w:tc>
          <w:tcPr>
            <w:tcW w:w="1701" w:type="dxa"/>
            <w:vAlign w:val="center"/>
          </w:tcPr>
          <w:p w14:paraId="246BC6B0">
            <w:pPr>
              <w:jc w:val="right"/>
              <w:rPr>
                <w:rFonts w:asciiTheme="minorHAnsi" w:hAnsiTheme="minorHAnsi" w:cstheme="minorHAnsi"/>
                <w:sz w:val="20"/>
                <w:szCs w:val="20"/>
              </w:rPr>
            </w:pPr>
          </w:p>
        </w:tc>
        <w:tc>
          <w:tcPr>
            <w:tcW w:w="1560" w:type="dxa"/>
            <w:vAlign w:val="center"/>
          </w:tcPr>
          <w:p w14:paraId="026BB94E">
            <w:pPr>
              <w:jc w:val="right"/>
              <w:rPr>
                <w:rFonts w:asciiTheme="minorHAnsi" w:hAnsiTheme="minorHAnsi" w:cstheme="minorHAnsi"/>
                <w:sz w:val="20"/>
                <w:szCs w:val="20"/>
              </w:rPr>
            </w:pPr>
          </w:p>
        </w:tc>
        <w:tc>
          <w:tcPr>
            <w:tcW w:w="1701" w:type="dxa"/>
            <w:vAlign w:val="center"/>
          </w:tcPr>
          <w:p w14:paraId="449133E0">
            <w:pPr>
              <w:jc w:val="right"/>
              <w:rPr>
                <w:rFonts w:asciiTheme="minorHAnsi" w:hAnsiTheme="minorHAnsi" w:cstheme="minorHAnsi"/>
                <w:sz w:val="20"/>
                <w:szCs w:val="20"/>
              </w:rPr>
            </w:pPr>
          </w:p>
        </w:tc>
        <w:tc>
          <w:tcPr>
            <w:tcW w:w="1842" w:type="dxa"/>
            <w:vAlign w:val="center"/>
          </w:tcPr>
          <w:p w14:paraId="3DEA784A">
            <w:pPr>
              <w:jc w:val="right"/>
              <w:rPr>
                <w:rFonts w:asciiTheme="minorHAnsi" w:hAnsiTheme="minorHAnsi" w:cstheme="minorHAnsi"/>
                <w:sz w:val="20"/>
                <w:szCs w:val="20"/>
              </w:rPr>
            </w:pPr>
          </w:p>
        </w:tc>
        <w:tc>
          <w:tcPr>
            <w:tcW w:w="1701" w:type="dxa"/>
            <w:vAlign w:val="center"/>
          </w:tcPr>
          <w:p w14:paraId="65975646">
            <w:pPr>
              <w:jc w:val="right"/>
              <w:rPr>
                <w:rFonts w:asciiTheme="minorHAnsi" w:hAnsiTheme="minorHAnsi" w:cstheme="minorHAnsi"/>
                <w:sz w:val="20"/>
                <w:szCs w:val="20"/>
              </w:rPr>
            </w:pPr>
          </w:p>
        </w:tc>
      </w:tr>
      <w:tr w14:paraId="01A11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ed39015638e6485d9ecad98bd3aaac6b"/>
            <w:id w:val="868336435"/>
          </w:sdtPr>
          <w:sdtContent>
            <w:tc>
              <w:tcPr>
                <w:tcW w:w="2269" w:type="dxa"/>
                <w:vAlign w:val="center"/>
              </w:tcPr>
              <w:p w14:paraId="5781082B">
                <w:pPr>
                  <w:rPr>
                    <w:rFonts w:ascii="Calibri" w:hAnsi="Calibri"/>
                    <w:sz w:val="18"/>
                    <w:szCs w:val="18"/>
                  </w:rPr>
                </w:pPr>
                <w:r>
                  <w:rPr>
                    <w:rFonts w:ascii="Calibri" w:hAnsi="Calibri"/>
                    <w:sz w:val="18"/>
                    <w:szCs w:val="18"/>
                  </w:rPr>
                  <w:t>（</w:t>
                </w:r>
                <w:r>
                  <w:rPr>
                    <w:rFonts w:hint="eastAsia" w:ascii="Calibri" w:hAnsi="Calibri"/>
                    <w:sz w:val="18"/>
                    <w:szCs w:val="18"/>
                  </w:rPr>
                  <w:t>四</w:t>
                </w:r>
                <w:r>
                  <w:rPr>
                    <w:rFonts w:ascii="Calibri" w:hAnsi="Calibri"/>
                    <w:sz w:val="18"/>
                    <w:szCs w:val="18"/>
                  </w:rPr>
                  <w:t>）所有者权益内部结转</w:t>
                </w:r>
              </w:p>
            </w:tc>
          </w:sdtContent>
        </w:sdt>
        <w:tc>
          <w:tcPr>
            <w:tcW w:w="1701" w:type="dxa"/>
            <w:tcBorders>
              <w:right w:val="single" w:color="auto" w:sz="4" w:space="0"/>
            </w:tcBorders>
            <w:vAlign w:val="center"/>
          </w:tcPr>
          <w:p w14:paraId="35E7264F">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598F8F90">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1E2FA7D9">
            <w:pPr>
              <w:jc w:val="right"/>
              <w:rPr>
                <w:rFonts w:asciiTheme="minorHAnsi" w:hAnsiTheme="minorHAnsi" w:cstheme="minorHAnsi"/>
                <w:sz w:val="20"/>
                <w:szCs w:val="20"/>
              </w:rPr>
            </w:pPr>
          </w:p>
        </w:tc>
        <w:tc>
          <w:tcPr>
            <w:tcW w:w="426" w:type="dxa"/>
            <w:tcBorders>
              <w:left w:val="single" w:color="auto" w:sz="4" w:space="0"/>
            </w:tcBorders>
            <w:vAlign w:val="center"/>
          </w:tcPr>
          <w:p w14:paraId="24DD4FDB">
            <w:pPr>
              <w:jc w:val="right"/>
              <w:rPr>
                <w:rFonts w:asciiTheme="minorHAnsi" w:hAnsiTheme="minorHAnsi" w:cstheme="minorHAnsi"/>
                <w:sz w:val="20"/>
                <w:szCs w:val="20"/>
              </w:rPr>
            </w:pPr>
          </w:p>
        </w:tc>
        <w:tc>
          <w:tcPr>
            <w:tcW w:w="1842" w:type="dxa"/>
            <w:vAlign w:val="center"/>
          </w:tcPr>
          <w:p w14:paraId="4FFE83B2">
            <w:pPr>
              <w:jc w:val="right"/>
              <w:rPr>
                <w:rFonts w:asciiTheme="minorHAnsi" w:hAnsiTheme="minorHAnsi" w:cstheme="minorHAnsi"/>
                <w:sz w:val="20"/>
                <w:szCs w:val="20"/>
              </w:rPr>
            </w:pPr>
          </w:p>
        </w:tc>
        <w:tc>
          <w:tcPr>
            <w:tcW w:w="1701" w:type="dxa"/>
            <w:vAlign w:val="center"/>
          </w:tcPr>
          <w:p w14:paraId="3CF05F37">
            <w:pPr>
              <w:jc w:val="right"/>
              <w:rPr>
                <w:rFonts w:asciiTheme="minorHAnsi" w:hAnsiTheme="minorHAnsi" w:cstheme="minorHAnsi"/>
                <w:sz w:val="20"/>
                <w:szCs w:val="20"/>
              </w:rPr>
            </w:pPr>
          </w:p>
        </w:tc>
        <w:tc>
          <w:tcPr>
            <w:tcW w:w="1560" w:type="dxa"/>
            <w:vAlign w:val="center"/>
          </w:tcPr>
          <w:p w14:paraId="12D069E3">
            <w:pPr>
              <w:jc w:val="right"/>
              <w:rPr>
                <w:rFonts w:asciiTheme="minorHAnsi" w:hAnsiTheme="minorHAnsi" w:cstheme="minorHAnsi"/>
                <w:sz w:val="20"/>
                <w:szCs w:val="20"/>
              </w:rPr>
            </w:pPr>
          </w:p>
        </w:tc>
        <w:tc>
          <w:tcPr>
            <w:tcW w:w="1701" w:type="dxa"/>
            <w:vAlign w:val="center"/>
          </w:tcPr>
          <w:p w14:paraId="355A95DE">
            <w:pPr>
              <w:jc w:val="right"/>
              <w:rPr>
                <w:rFonts w:asciiTheme="minorHAnsi" w:hAnsiTheme="minorHAnsi" w:cstheme="minorHAnsi"/>
                <w:sz w:val="20"/>
                <w:szCs w:val="20"/>
              </w:rPr>
            </w:pPr>
          </w:p>
        </w:tc>
        <w:tc>
          <w:tcPr>
            <w:tcW w:w="1842" w:type="dxa"/>
            <w:vAlign w:val="center"/>
          </w:tcPr>
          <w:p w14:paraId="55CC453D">
            <w:pPr>
              <w:jc w:val="right"/>
              <w:rPr>
                <w:rFonts w:asciiTheme="minorHAnsi" w:hAnsiTheme="minorHAnsi" w:cstheme="minorHAnsi"/>
                <w:sz w:val="20"/>
                <w:szCs w:val="20"/>
              </w:rPr>
            </w:pPr>
          </w:p>
        </w:tc>
        <w:tc>
          <w:tcPr>
            <w:tcW w:w="1701" w:type="dxa"/>
            <w:vAlign w:val="center"/>
          </w:tcPr>
          <w:p w14:paraId="6BB58A66">
            <w:pPr>
              <w:jc w:val="right"/>
              <w:rPr>
                <w:rFonts w:asciiTheme="minorHAnsi" w:hAnsiTheme="minorHAnsi" w:cstheme="minorHAnsi"/>
                <w:sz w:val="20"/>
                <w:szCs w:val="20"/>
              </w:rPr>
            </w:pPr>
          </w:p>
        </w:tc>
      </w:tr>
      <w:tr w14:paraId="1B065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16ddc46b3a95453788bdcaaebfae99fa"/>
            <w:id w:val="-669943157"/>
          </w:sdtPr>
          <w:sdtContent>
            <w:tc>
              <w:tcPr>
                <w:tcW w:w="2269" w:type="dxa"/>
                <w:vAlign w:val="center"/>
              </w:tcPr>
              <w:p w14:paraId="79EA4C67">
                <w:pPr>
                  <w:rPr>
                    <w:rFonts w:ascii="Calibri" w:hAnsi="Calibri"/>
                    <w:sz w:val="18"/>
                    <w:szCs w:val="18"/>
                  </w:rPr>
                </w:pPr>
                <w:r>
                  <w:rPr>
                    <w:rFonts w:ascii="Calibri" w:hAnsi="Calibri"/>
                    <w:sz w:val="18"/>
                    <w:szCs w:val="18"/>
                  </w:rPr>
                  <w:t>1．资本公积转增资本（或股本）</w:t>
                </w:r>
              </w:p>
            </w:tc>
          </w:sdtContent>
        </w:sdt>
        <w:tc>
          <w:tcPr>
            <w:tcW w:w="1701" w:type="dxa"/>
            <w:tcBorders>
              <w:right w:val="single" w:color="auto" w:sz="4" w:space="0"/>
            </w:tcBorders>
            <w:vAlign w:val="center"/>
          </w:tcPr>
          <w:p w14:paraId="79272D32">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44DB8125">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76B06453">
            <w:pPr>
              <w:jc w:val="right"/>
              <w:rPr>
                <w:rFonts w:asciiTheme="minorHAnsi" w:hAnsiTheme="minorHAnsi" w:cstheme="minorHAnsi"/>
                <w:sz w:val="20"/>
                <w:szCs w:val="20"/>
              </w:rPr>
            </w:pPr>
          </w:p>
        </w:tc>
        <w:tc>
          <w:tcPr>
            <w:tcW w:w="426" w:type="dxa"/>
            <w:tcBorders>
              <w:left w:val="single" w:color="auto" w:sz="4" w:space="0"/>
            </w:tcBorders>
            <w:vAlign w:val="center"/>
          </w:tcPr>
          <w:p w14:paraId="02DD4462">
            <w:pPr>
              <w:jc w:val="right"/>
              <w:rPr>
                <w:rFonts w:asciiTheme="minorHAnsi" w:hAnsiTheme="minorHAnsi" w:cstheme="minorHAnsi"/>
                <w:sz w:val="20"/>
                <w:szCs w:val="20"/>
              </w:rPr>
            </w:pPr>
          </w:p>
        </w:tc>
        <w:tc>
          <w:tcPr>
            <w:tcW w:w="1842" w:type="dxa"/>
            <w:vAlign w:val="center"/>
          </w:tcPr>
          <w:p w14:paraId="10BF7468">
            <w:pPr>
              <w:jc w:val="right"/>
              <w:rPr>
                <w:rFonts w:asciiTheme="minorHAnsi" w:hAnsiTheme="minorHAnsi" w:cstheme="minorHAnsi"/>
                <w:sz w:val="20"/>
                <w:szCs w:val="20"/>
              </w:rPr>
            </w:pPr>
          </w:p>
        </w:tc>
        <w:tc>
          <w:tcPr>
            <w:tcW w:w="1701" w:type="dxa"/>
            <w:vAlign w:val="center"/>
          </w:tcPr>
          <w:p w14:paraId="3ED75467">
            <w:pPr>
              <w:jc w:val="right"/>
              <w:rPr>
                <w:rFonts w:asciiTheme="minorHAnsi" w:hAnsiTheme="minorHAnsi" w:cstheme="minorHAnsi"/>
                <w:sz w:val="20"/>
                <w:szCs w:val="20"/>
              </w:rPr>
            </w:pPr>
          </w:p>
        </w:tc>
        <w:tc>
          <w:tcPr>
            <w:tcW w:w="1560" w:type="dxa"/>
            <w:vAlign w:val="center"/>
          </w:tcPr>
          <w:p w14:paraId="408B1696">
            <w:pPr>
              <w:jc w:val="right"/>
              <w:rPr>
                <w:rFonts w:asciiTheme="minorHAnsi" w:hAnsiTheme="minorHAnsi" w:cstheme="minorHAnsi"/>
                <w:sz w:val="20"/>
                <w:szCs w:val="20"/>
              </w:rPr>
            </w:pPr>
          </w:p>
        </w:tc>
        <w:tc>
          <w:tcPr>
            <w:tcW w:w="1701" w:type="dxa"/>
            <w:vAlign w:val="center"/>
          </w:tcPr>
          <w:p w14:paraId="2A77CD93">
            <w:pPr>
              <w:jc w:val="right"/>
              <w:rPr>
                <w:rFonts w:asciiTheme="minorHAnsi" w:hAnsiTheme="minorHAnsi" w:cstheme="minorHAnsi"/>
                <w:sz w:val="20"/>
                <w:szCs w:val="20"/>
              </w:rPr>
            </w:pPr>
          </w:p>
        </w:tc>
        <w:tc>
          <w:tcPr>
            <w:tcW w:w="1842" w:type="dxa"/>
            <w:vAlign w:val="center"/>
          </w:tcPr>
          <w:p w14:paraId="206956A9">
            <w:pPr>
              <w:jc w:val="right"/>
              <w:rPr>
                <w:rFonts w:asciiTheme="minorHAnsi" w:hAnsiTheme="minorHAnsi" w:cstheme="minorHAnsi"/>
                <w:sz w:val="20"/>
                <w:szCs w:val="20"/>
              </w:rPr>
            </w:pPr>
          </w:p>
        </w:tc>
        <w:tc>
          <w:tcPr>
            <w:tcW w:w="1701" w:type="dxa"/>
            <w:vAlign w:val="center"/>
          </w:tcPr>
          <w:p w14:paraId="69DCF9CD">
            <w:pPr>
              <w:jc w:val="right"/>
              <w:rPr>
                <w:rFonts w:asciiTheme="minorHAnsi" w:hAnsiTheme="minorHAnsi" w:cstheme="minorHAnsi"/>
                <w:sz w:val="20"/>
                <w:szCs w:val="20"/>
              </w:rPr>
            </w:pPr>
          </w:p>
        </w:tc>
      </w:tr>
      <w:tr w14:paraId="59932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f2b4bbca85e4693b990e3e25811eeab"/>
            <w:id w:val="-1910994872"/>
          </w:sdtPr>
          <w:sdtContent>
            <w:tc>
              <w:tcPr>
                <w:tcW w:w="2269" w:type="dxa"/>
                <w:vAlign w:val="center"/>
              </w:tcPr>
              <w:p w14:paraId="6A9B898D">
                <w:pPr>
                  <w:rPr>
                    <w:rFonts w:ascii="Calibri" w:hAnsi="Calibri"/>
                    <w:sz w:val="18"/>
                    <w:szCs w:val="18"/>
                  </w:rPr>
                </w:pPr>
                <w:r>
                  <w:rPr>
                    <w:rFonts w:ascii="Calibri" w:hAnsi="Calibri"/>
                    <w:sz w:val="18"/>
                    <w:szCs w:val="18"/>
                  </w:rPr>
                  <w:t>2．盈余公积转增资本（或股本）</w:t>
                </w:r>
              </w:p>
            </w:tc>
          </w:sdtContent>
        </w:sdt>
        <w:tc>
          <w:tcPr>
            <w:tcW w:w="1701" w:type="dxa"/>
            <w:tcBorders>
              <w:right w:val="single" w:color="auto" w:sz="4" w:space="0"/>
            </w:tcBorders>
            <w:vAlign w:val="center"/>
          </w:tcPr>
          <w:p w14:paraId="311C4E4B">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0C0EF155">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5BAA962B">
            <w:pPr>
              <w:jc w:val="right"/>
              <w:rPr>
                <w:rFonts w:asciiTheme="minorHAnsi" w:hAnsiTheme="minorHAnsi" w:cstheme="minorHAnsi"/>
                <w:sz w:val="20"/>
                <w:szCs w:val="20"/>
              </w:rPr>
            </w:pPr>
          </w:p>
        </w:tc>
        <w:tc>
          <w:tcPr>
            <w:tcW w:w="426" w:type="dxa"/>
            <w:tcBorders>
              <w:left w:val="single" w:color="auto" w:sz="4" w:space="0"/>
            </w:tcBorders>
            <w:vAlign w:val="center"/>
          </w:tcPr>
          <w:p w14:paraId="6CB763AB">
            <w:pPr>
              <w:jc w:val="right"/>
              <w:rPr>
                <w:rFonts w:asciiTheme="minorHAnsi" w:hAnsiTheme="minorHAnsi" w:cstheme="minorHAnsi"/>
                <w:sz w:val="20"/>
                <w:szCs w:val="20"/>
              </w:rPr>
            </w:pPr>
          </w:p>
        </w:tc>
        <w:tc>
          <w:tcPr>
            <w:tcW w:w="1842" w:type="dxa"/>
            <w:vAlign w:val="center"/>
          </w:tcPr>
          <w:p w14:paraId="7D720CD2">
            <w:pPr>
              <w:jc w:val="right"/>
              <w:rPr>
                <w:rFonts w:asciiTheme="minorHAnsi" w:hAnsiTheme="minorHAnsi" w:cstheme="minorHAnsi"/>
                <w:sz w:val="20"/>
                <w:szCs w:val="20"/>
              </w:rPr>
            </w:pPr>
          </w:p>
        </w:tc>
        <w:tc>
          <w:tcPr>
            <w:tcW w:w="1701" w:type="dxa"/>
            <w:vAlign w:val="center"/>
          </w:tcPr>
          <w:p w14:paraId="76148094">
            <w:pPr>
              <w:jc w:val="right"/>
              <w:rPr>
                <w:rFonts w:asciiTheme="minorHAnsi" w:hAnsiTheme="minorHAnsi" w:cstheme="minorHAnsi"/>
                <w:sz w:val="20"/>
                <w:szCs w:val="20"/>
              </w:rPr>
            </w:pPr>
          </w:p>
        </w:tc>
        <w:tc>
          <w:tcPr>
            <w:tcW w:w="1560" w:type="dxa"/>
            <w:vAlign w:val="center"/>
          </w:tcPr>
          <w:p w14:paraId="66ACF60E">
            <w:pPr>
              <w:jc w:val="right"/>
              <w:rPr>
                <w:rFonts w:asciiTheme="minorHAnsi" w:hAnsiTheme="minorHAnsi" w:cstheme="minorHAnsi"/>
                <w:sz w:val="20"/>
                <w:szCs w:val="20"/>
              </w:rPr>
            </w:pPr>
          </w:p>
        </w:tc>
        <w:tc>
          <w:tcPr>
            <w:tcW w:w="1701" w:type="dxa"/>
            <w:vAlign w:val="center"/>
          </w:tcPr>
          <w:p w14:paraId="304C0D8D">
            <w:pPr>
              <w:jc w:val="right"/>
              <w:rPr>
                <w:rFonts w:asciiTheme="minorHAnsi" w:hAnsiTheme="minorHAnsi" w:cstheme="minorHAnsi"/>
                <w:sz w:val="20"/>
                <w:szCs w:val="20"/>
              </w:rPr>
            </w:pPr>
          </w:p>
        </w:tc>
        <w:tc>
          <w:tcPr>
            <w:tcW w:w="1842" w:type="dxa"/>
            <w:vAlign w:val="center"/>
          </w:tcPr>
          <w:p w14:paraId="70EEEEBD">
            <w:pPr>
              <w:jc w:val="right"/>
              <w:rPr>
                <w:rFonts w:asciiTheme="minorHAnsi" w:hAnsiTheme="minorHAnsi" w:cstheme="minorHAnsi"/>
                <w:sz w:val="20"/>
                <w:szCs w:val="20"/>
              </w:rPr>
            </w:pPr>
          </w:p>
        </w:tc>
        <w:tc>
          <w:tcPr>
            <w:tcW w:w="1701" w:type="dxa"/>
            <w:vAlign w:val="center"/>
          </w:tcPr>
          <w:p w14:paraId="55A45BFA">
            <w:pPr>
              <w:jc w:val="right"/>
              <w:rPr>
                <w:rFonts w:asciiTheme="minorHAnsi" w:hAnsiTheme="minorHAnsi" w:cstheme="minorHAnsi"/>
                <w:sz w:val="20"/>
                <w:szCs w:val="20"/>
              </w:rPr>
            </w:pPr>
          </w:p>
        </w:tc>
      </w:tr>
      <w:tr w14:paraId="18DB4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15d6c710562e41cc9b0f916bb42a3ecd"/>
            <w:id w:val="2099049930"/>
          </w:sdtPr>
          <w:sdtContent>
            <w:tc>
              <w:tcPr>
                <w:tcW w:w="2269" w:type="dxa"/>
                <w:vAlign w:val="center"/>
              </w:tcPr>
              <w:p w14:paraId="1E6CD2C5">
                <w:pPr>
                  <w:rPr>
                    <w:rFonts w:ascii="Calibri" w:hAnsi="Calibri"/>
                    <w:sz w:val="18"/>
                    <w:szCs w:val="18"/>
                  </w:rPr>
                </w:pPr>
                <w:r>
                  <w:rPr>
                    <w:rFonts w:ascii="Calibri" w:hAnsi="Calibri"/>
                    <w:sz w:val="18"/>
                    <w:szCs w:val="18"/>
                  </w:rPr>
                  <w:t>3．盈余公积弥补亏损</w:t>
                </w:r>
              </w:p>
            </w:tc>
          </w:sdtContent>
        </w:sdt>
        <w:tc>
          <w:tcPr>
            <w:tcW w:w="1701" w:type="dxa"/>
            <w:tcBorders>
              <w:right w:val="single" w:color="auto" w:sz="4" w:space="0"/>
            </w:tcBorders>
            <w:vAlign w:val="center"/>
          </w:tcPr>
          <w:p w14:paraId="0AFEFAD8">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12E82BF4">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543F082A">
            <w:pPr>
              <w:jc w:val="right"/>
              <w:rPr>
                <w:rFonts w:asciiTheme="minorHAnsi" w:hAnsiTheme="minorHAnsi" w:cstheme="minorHAnsi"/>
                <w:sz w:val="20"/>
                <w:szCs w:val="20"/>
              </w:rPr>
            </w:pPr>
          </w:p>
        </w:tc>
        <w:tc>
          <w:tcPr>
            <w:tcW w:w="426" w:type="dxa"/>
            <w:tcBorders>
              <w:left w:val="single" w:color="auto" w:sz="4" w:space="0"/>
            </w:tcBorders>
            <w:vAlign w:val="center"/>
          </w:tcPr>
          <w:p w14:paraId="1FA9866D">
            <w:pPr>
              <w:jc w:val="right"/>
              <w:rPr>
                <w:rFonts w:asciiTheme="minorHAnsi" w:hAnsiTheme="minorHAnsi" w:cstheme="minorHAnsi"/>
                <w:sz w:val="20"/>
                <w:szCs w:val="20"/>
              </w:rPr>
            </w:pPr>
          </w:p>
        </w:tc>
        <w:tc>
          <w:tcPr>
            <w:tcW w:w="1842" w:type="dxa"/>
            <w:vAlign w:val="center"/>
          </w:tcPr>
          <w:p w14:paraId="68C216EB">
            <w:pPr>
              <w:jc w:val="right"/>
              <w:rPr>
                <w:rFonts w:asciiTheme="minorHAnsi" w:hAnsiTheme="minorHAnsi" w:cstheme="minorHAnsi"/>
                <w:sz w:val="20"/>
                <w:szCs w:val="20"/>
              </w:rPr>
            </w:pPr>
          </w:p>
        </w:tc>
        <w:tc>
          <w:tcPr>
            <w:tcW w:w="1701" w:type="dxa"/>
            <w:vAlign w:val="center"/>
          </w:tcPr>
          <w:p w14:paraId="54EFDD73">
            <w:pPr>
              <w:jc w:val="right"/>
              <w:rPr>
                <w:rFonts w:asciiTheme="minorHAnsi" w:hAnsiTheme="minorHAnsi" w:cstheme="minorHAnsi"/>
                <w:sz w:val="20"/>
                <w:szCs w:val="20"/>
              </w:rPr>
            </w:pPr>
          </w:p>
        </w:tc>
        <w:tc>
          <w:tcPr>
            <w:tcW w:w="1560" w:type="dxa"/>
            <w:vAlign w:val="center"/>
          </w:tcPr>
          <w:p w14:paraId="5E98126B">
            <w:pPr>
              <w:jc w:val="right"/>
              <w:rPr>
                <w:rFonts w:asciiTheme="minorHAnsi" w:hAnsiTheme="minorHAnsi" w:cstheme="minorHAnsi"/>
                <w:sz w:val="20"/>
                <w:szCs w:val="20"/>
              </w:rPr>
            </w:pPr>
          </w:p>
        </w:tc>
        <w:tc>
          <w:tcPr>
            <w:tcW w:w="1701" w:type="dxa"/>
            <w:vAlign w:val="center"/>
          </w:tcPr>
          <w:p w14:paraId="1F5517FF">
            <w:pPr>
              <w:jc w:val="right"/>
              <w:rPr>
                <w:rFonts w:asciiTheme="minorHAnsi" w:hAnsiTheme="minorHAnsi" w:cstheme="minorHAnsi"/>
                <w:sz w:val="20"/>
                <w:szCs w:val="20"/>
              </w:rPr>
            </w:pPr>
          </w:p>
        </w:tc>
        <w:tc>
          <w:tcPr>
            <w:tcW w:w="1842" w:type="dxa"/>
            <w:vAlign w:val="center"/>
          </w:tcPr>
          <w:p w14:paraId="1C9BDE14">
            <w:pPr>
              <w:jc w:val="right"/>
              <w:rPr>
                <w:rFonts w:asciiTheme="minorHAnsi" w:hAnsiTheme="minorHAnsi" w:cstheme="minorHAnsi"/>
                <w:sz w:val="20"/>
                <w:szCs w:val="20"/>
              </w:rPr>
            </w:pPr>
          </w:p>
        </w:tc>
        <w:tc>
          <w:tcPr>
            <w:tcW w:w="1701" w:type="dxa"/>
            <w:vAlign w:val="center"/>
          </w:tcPr>
          <w:p w14:paraId="06D2DDE5">
            <w:pPr>
              <w:jc w:val="right"/>
              <w:rPr>
                <w:rFonts w:asciiTheme="minorHAnsi" w:hAnsiTheme="minorHAnsi" w:cstheme="minorHAnsi"/>
                <w:sz w:val="20"/>
                <w:szCs w:val="20"/>
              </w:rPr>
            </w:pPr>
          </w:p>
        </w:tc>
      </w:tr>
      <w:tr w14:paraId="2E551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269" w:type="dxa"/>
            <w:vAlign w:val="center"/>
          </w:tcPr>
          <w:sdt>
            <w:sdtPr>
              <w:tag w:val="_PLD_f4cb17050ad540c1b6765bbc5ef1d185"/>
              <w:id w:val="-1099715144"/>
            </w:sdtPr>
            <w:sdtContent>
              <w:p w14:paraId="43DE6EB7">
                <w:pPr>
                  <w:pStyle w:val="48"/>
                  <w:rPr>
                    <w:sz w:val="20"/>
                    <w:szCs w:val="20"/>
                  </w:rPr>
                </w:pPr>
                <w:r>
                  <w:rPr>
                    <w:sz w:val="18"/>
                    <w:szCs w:val="18"/>
                  </w:rPr>
                  <w:t>4．设定受益计划变动额结转留存收益</w:t>
                </w:r>
              </w:p>
            </w:sdtContent>
          </w:sdt>
        </w:tc>
        <w:tc>
          <w:tcPr>
            <w:tcW w:w="1701" w:type="dxa"/>
            <w:tcBorders>
              <w:right w:val="single" w:color="auto" w:sz="4" w:space="0"/>
            </w:tcBorders>
            <w:vAlign w:val="center"/>
          </w:tcPr>
          <w:p w14:paraId="5A193424">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6A49959D">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3198F13A">
            <w:pPr>
              <w:jc w:val="right"/>
              <w:rPr>
                <w:rFonts w:asciiTheme="minorHAnsi" w:hAnsiTheme="minorHAnsi" w:cstheme="minorHAnsi"/>
                <w:sz w:val="20"/>
                <w:szCs w:val="20"/>
              </w:rPr>
            </w:pPr>
          </w:p>
        </w:tc>
        <w:tc>
          <w:tcPr>
            <w:tcW w:w="426" w:type="dxa"/>
            <w:tcBorders>
              <w:left w:val="single" w:color="auto" w:sz="4" w:space="0"/>
            </w:tcBorders>
            <w:vAlign w:val="center"/>
          </w:tcPr>
          <w:p w14:paraId="718F5B7D">
            <w:pPr>
              <w:jc w:val="right"/>
              <w:rPr>
                <w:rFonts w:asciiTheme="minorHAnsi" w:hAnsiTheme="minorHAnsi" w:cstheme="minorHAnsi"/>
                <w:sz w:val="20"/>
                <w:szCs w:val="20"/>
              </w:rPr>
            </w:pPr>
          </w:p>
        </w:tc>
        <w:tc>
          <w:tcPr>
            <w:tcW w:w="1842" w:type="dxa"/>
            <w:vAlign w:val="center"/>
          </w:tcPr>
          <w:p w14:paraId="7F02AB2C">
            <w:pPr>
              <w:jc w:val="right"/>
              <w:rPr>
                <w:rFonts w:asciiTheme="minorHAnsi" w:hAnsiTheme="minorHAnsi" w:cstheme="minorHAnsi"/>
                <w:sz w:val="20"/>
                <w:szCs w:val="20"/>
              </w:rPr>
            </w:pPr>
          </w:p>
        </w:tc>
        <w:tc>
          <w:tcPr>
            <w:tcW w:w="1701" w:type="dxa"/>
            <w:vAlign w:val="center"/>
          </w:tcPr>
          <w:p w14:paraId="039A33EE">
            <w:pPr>
              <w:jc w:val="right"/>
              <w:rPr>
                <w:rFonts w:asciiTheme="minorHAnsi" w:hAnsiTheme="minorHAnsi" w:cstheme="minorHAnsi"/>
                <w:sz w:val="20"/>
                <w:szCs w:val="20"/>
              </w:rPr>
            </w:pPr>
          </w:p>
        </w:tc>
        <w:tc>
          <w:tcPr>
            <w:tcW w:w="1560" w:type="dxa"/>
            <w:vAlign w:val="center"/>
          </w:tcPr>
          <w:p w14:paraId="5BF620E6">
            <w:pPr>
              <w:jc w:val="right"/>
              <w:rPr>
                <w:rFonts w:asciiTheme="minorHAnsi" w:hAnsiTheme="minorHAnsi" w:cstheme="minorHAnsi"/>
                <w:sz w:val="20"/>
                <w:szCs w:val="20"/>
              </w:rPr>
            </w:pPr>
          </w:p>
        </w:tc>
        <w:tc>
          <w:tcPr>
            <w:tcW w:w="1701" w:type="dxa"/>
            <w:vAlign w:val="center"/>
          </w:tcPr>
          <w:p w14:paraId="26E98221">
            <w:pPr>
              <w:jc w:val="right"/>
              <w:rPr>
                <w:rFonts w:asciiTheme="minorHAnsi" w:hAnsiTheme="minorHAnsi" w:cstheme="minorHAnsi"/>
                <w:sz w:val="20"/>
                <w:szCs w:val="20"/>
              </w:rPr>
            </w:pPr>
          </w:p>
        </w:tc>
        <w:tc>
          <w:tcPr>
            <w:tcW w:w="1842" w:type="dxa"/>
            <w:vAlign w:val="center"/>
          </w:tcPr>
          <w:p w14:paraId="289AA631">
            <w:pPr>
              <w:jc w:val="right"/>
              <w:rPr>
                <w:rFonts w:asciiTheme="minorHAnsi" w:hAnsiTheme="minorHAnsi" w:cstheme="minorHAnsi"/>
                <w:sz w:val="20"/>
                <w:szCs w:val="20"/>
              </w:rPr>
            </w:pPr>
          </w:p>
        </w:tc>
        <w:tc>
          <w:tcPr>
            <w:tcW w:w="1701" w:type="dxa"/>
            <w:vAlign w:val="center"/>
          </w:tcPr>
          <w:p w14:paraId="6FDBDF60">
            <w:pPr>
              <w:jc w:val="right"/>
              <w:rPr>
                <w:rFonts w:asciiTheme="minorHAnsi" w:hAnsiTheme="minorHAnsi" w:cstheme="minorHAnsi"/>
                <w:sz w:val="20"/>
                <w:szCs w:val="20"/>
              </w:rPr>
            </w:pPr>
          </w:p>
        </w:tc>
      </w:tr>
      <w:tr w14:paraId="7C7FA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269" w:type="dxa"/>
            <w:vAlign w:val="center"/>
          </w:tcPr>
          <w:sdt>
            <w:sdtPr>
              <w:tag w:val="_PLD_d570b02e3d674dc1a938a4710387119c"/>
              <w:id w:val="-985238477"/>
            </w:sdtPr>
            <w:sdtContent>
              <w:p w14:paraId="693F645E">
                <w:pPr>
                  <w:rPr>
                    <w:rFonts w:ascii="Calibri" w:hAnsi="Calibri"/>
                    <w:sz w:val="18"/>
                    <w:szCs w:val="18"/>
                  </w:rPr>
                </w:pPr>
                <w:r>
                  <w:rPr>
                    <w:rFonts w:ascii="Calibri" w:hAnsi="Calibri"/>
                    <w:sz w:val="18"/>
                    <w:szCs w:val="18"/>
                  </w:rPr>
                  <w:t>5．其他综合收益结转留存收益</w:t>
                </w:r>
              </w:p>
            </w:sdtContent>
          </w:sdt>
        </w:tc>
        <w:tc>
          <w:tcPr>
            <w:tcW w:w="1701" w:type="dxa"/>
            <w:tcBorders>
              <w:right w:val="single" w:color="auto" w:sz="4" w:space="0"/>
            </w:tcBorders>
            <w:vAlign w:val="center"/>
          </w:tcPr>
          <w:p w14:paraId="0B3A2853">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6E9447AD">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6F545842">
            <w:pPr>
              <w:jc w:val="right"/>
              <w:rPr>
                <w:rFonts w:asciiTheme="minorHAnsi" w:hAnsiTheme="minorHAnsi" w:cstheme="minorHAnsi"/>
                <w:sz w:val="20"/>
                <w:szCs w:val="20"/>
              </w:rPr>
            </w:pPr>
          </w:p>
        </w:tc>
        <w:tc>
          <w:tcPr>
            <w:tcW w:w="426" w:type="dxa"/>
            <w:tcBorders>
              <w:left w:val="single" w:color="auto" w:sz="4" w:space="0"/>
            </w:tcBorders>
            <w:vAlign w:val="center"/>
          </w:tcPr>
          <w:p w14:paraId="358C9B46">
            <w:pPr>
              <w:jc w:val="right"/>
              <w:rPr>
                <w:rFonts w:asciiTheme="minorHAnsi" w:hAnsiTheme="minorHAnsi" w:cstheme="minorHAnsi"/>
                <w:sz w:val="20"/>
                <w:szCs w:val="20"/>
              </w:rPr>
            </w:pPr>
          </w:p>
        </w:tc>
        <w:tc>
          <w:tcPr>
            <w:tcW w:w="1842" w:type="dxa"/>
            <w:vAlign w:val="center"/>
          </w:tcPr>
          <w:p w14:paraId="7460468D">
            <w:pPr>
              <w:jc w:val="right"/>
              <w:rPr>
                <w:rFonts w:asciiTheme="minorHAnsi" w:hAnsiTheme="minorHAnsi" w:cstheme="minorHAnsi"/>
                <w:sz w:val="20"/>
                <w:szCs w:val="20"/>
              </w:rPr>
            </w:pPr>
          </w:p>
        </w:tc>
        <w:tc>
          <w:tcPr>
            <w:tcW w:w="1701" w:type="dxa"/>
            <w:vAlign w:val="center"/>
          </w:tcPr>
          <w:p w14:paraId="41325233">
            <w:pPr>
              <w:jc w:val="right"/>
              <w:rPr>
                <w:rFonts w:asciiTheme="minorHAnsi" w:hAnsiTheme="minorHAnsi" w:cstheme="minorHAnsi"/>
                <w:sz w:val="20"/>
                <w:szCs w:val="20"/>
              </w:rPr>
            </w:pPr>
          </w:p>
        </w:tc>
        <w:tc>
          <w:tcPr>
            <w:tcW w:w="1560" w:type="dxa"/>
            <w:vAlign w:val="center"/>
          </w:tcPr>
          <w:p w14:paraId="4CE512F7">
            <w:pPr>
              <w:jc w:val="right"/>
              <w:rPr>
                <w:rFonts w:asciiTheme="minorHAnsi" w:hAnsiTheme="minorHAnsi" w:cstheme="minorHAnsi"/>
                <w:sz w:val="20"/>
                <w:szCs w:val="20"/>
              </w:rPr>
            </w:pPr>
          </w:p>
        </w:tc>
        <w:tc>
          <w:tcPr>
            <w:tcW w:w="1701" w:type="dxa"/>
            <w:vAlign w:val="center"/>
          </w:tcPr>
          <w:p w14:paraId="56818E29">
            <w:pPr>
              <w:jc w:val="right"/>
              <w:rPr>
                <w:rFonts w:asciiTheme="minorHAnsi" w:hAnsiTheme="minorHAnsi" w:cstheme="minorHAnsi"/>
                <w:sz w:val="20"/>
                <w:szCs w:val="20"/>
              </w:rPr>
            </w:pPr>
          </w:p>
        </w:tc>
        <w:tc>
          <w:tcPr>
            <w:tcW w:w="1842" w:type="dxa"/>
            <w:vAlign w:val="center"/>
          </w:tcPr>
          <w:p w14:paraId="25247AC2">
            <w:pPr>
              <w:jc w:val="right"/>
              <w:rPr>
                <w:rFonts w:asciiTheme="minorHAnsi" w:hAnsiTheme="minorHAnsi" w:cstheme="minorHAnsi"/>
                <w:sz w:val="20"/>
                <w:szCs w:val="20"/>
              </w:rPr>
            </w:pPr>
          </w:p>
        </w:tc>
        <w:tc>
          <w:tcPr>
            <w:tcW w:w="1701" w:type="dxa"/>
            <w:vAlign w:val="center"/>
          </w:tcPr>
          <w:p w14:paraId="0B0530D3">
            <w:pPr>
              <w:jc w:val="right"/>
              <w:rPr>
                <w:rFonts w:asciiTheme="minorHAnsi" w:hAnsiTheme="minorHAnsi" w:cstheme="minorHAnsi"/>
                <w:sz w:val="20"/>
                <w:szCs w:val="20"/>
              </w:rPr>
            </w:pPr>
          </w:p>
        </w:tc>
      </w:tr>
      <w:tr w14:paraId="54C81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269" w:type="dxa"/>
            <w:vAlign w:val="center"/>
          </w:tcPr>
          <w:sdt>
            <w:sdtPr>
              <w:tag w:val="_PLD_a5cd874c23c44b928dffd9bc4a74c38d"/>
              <w:id w:val="896869271"/>
            </w:sdtPr>
            <w:sdtContent>
              <w:p w14:paraId="057EB690">
                <w:pPr>
                  <w:pStyle w:val="48"/>
                  <w:rPr>
                    <w:sz w:val="20"/>
                    <w:szCs w:val="20"/>
                  </w:rPr>
                </w:pPr>
                <w:r>
                  <w:rPr>
                    <w:sz w:val="18"/>
                    <w:szCs w:val="18"/>
                  </w:rPr>
                  <w:t>6．其他</w:t>
                </w:r>
              </w:p>
            </w:sdtContent>
          </w:sdt>
        </w:tc>
        <w:tc>
          <w:tcPr>
            <w:tcW w:w="1701" w:type="dxa"/>
            <w:tcBorders>
              <w:right w:val="single" w:color="auto" w:sz="4" w:space="0"/>
            </w:tcBorders>
            <w:vAlign w:val="center"/>
          </w:tcPr>
          <w:p w14:paraId="68A3F05E">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2B377BFF">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2DD40F93">
            <w:pPr>
              <w:jc w:val="right"/>
              <w:rPr>
                <w:rFonts w:asciiTheme="minorHAnsi" w:hAnsiTheme="minorHAnsi" w:cstheme="minorHAnsi"/>
                <w:sz w:val="20"/>
                <w:szCs w:val="20"/>
              </w:rPr>
            </w:pPr>
          </w:p>
        </w:tc>
        <w:tc>
          <w:tcPr>
            <w:tcW w:w="426" w:type="dxa"/>
            <w:tcBorders>
              <w:left w:val="single" w:color="auto" w:sz="4" w:space="0"/>
            </w:tcBorders>
            <w:vAlign w:val="center"/>
          </w:tcPr>
          <w:p w14:paraId="3A6175CE">
            <w:pPr>
              <w:jc w:val="right"/>
              <w:rPr>
                <w:rFonts w:asciiTheme="minorHAnsi" w:hAnsiTheme="minorHAnsi" w:cstheme="minorHAnsi"/>
                <w:sz w:val="20"/>
                <w:szCs w:val="20"/>
              </w:rPr>
            </w:pPr>
          </w:p>
        </w:tc>
        <w:tc>
          <w:tcPr>
            <w:tcW w:w="1842" w:type="dxa"/>
            <w:vAlign w:val="center"/>
          </w:tcPr>
          <w:p w14:paraId="60DFC4D6">
            <w:pPr>
              <w:jc w:val="right"/>
              <w:rPr>
                <w:rFonts w:asciiTheme="minorHAnsi" w:hAnsiTheme="minorHAnsi" w:cstheme="minorHAnsi"/>
                <w:sz w:val="20"/>
                <w:szCs w:val="20"/>
              </w:rPr>
            </w:pPr>
          </w:p>
        </w:tc>
        <w:tc>
          <w:tcPr>
            <w:tcW w:w="1701" w:type="dxa"/>
            <w:vAlign w:val="center"/>
          </w:tcPr>
          <w:p w14:paraId="29EDA9FC">
            <w:pPr>
              <w:jc w:val="right"/>
              <w:rPr>
                <w:rFonts w:asciiTheme="minorHAnsi" w:hAnsiTheme="minorHAnsi" w:cstheme="minorHAnsi"/>
                <w:sz w:val="20"/>
                <w:szCs w:val="20"/>
              </w:rPr>
            </w:pPr>
          </w:p>
        </w:tc>
        <w:tc>
          <w:tcPr>
            <w:tcW w:w="1560" w:type="dxa"/>
            <w:vAlign w:val="center"/>
          </w:tcPr>
          <w:p w14:paraId="5D358949">
            <w:pPr>
              <w:jc w:val="right"/>
              <w:rPr>
                <w:rFonts w:asciiTheme="minorHAnsi" w:hAnsiTheme="minorHAnsi" w:cstheme="minorHAnsi"/>
                <w:sz w:val="20"/>
                <w:szCs w:val="20"/>
              </w:rPr>
            </w:pPr>
          </w:p>
        </w:tc>
        <w:tc>
          <w:tcPr>
            <w:tcW w:w="1701" w:type="dxa"/>
            <w:vAlign w:val="center"/>
          </w:tcPr>
          <w:p w14:paraId="70B8594D">
            <w:pPr>
              <w:jc w:val="right"/>
              <w:rPr>
                <w:rFonts w:asciiTheme="minorHAnsi" w:hAnsiTheme="minorHAnsi" w:cstheme="minorHAnsi"/>
                <w:sz w:val="20"/>
                <w:szCs w:val="20"/>
              </w:rPr>
            </w:pPr>
          </w:p>
        </w:tc>
        <w:tc>
          <w:tcPr>
            <w:tcW w:w="1842" w:type="dxa"/>
            <w:vAlign w:val="center"/>
          </w:tcPr>
          <w:p w14:paraId="441857DF">
            <w:pPr>
              <w:jc w:val="right"/>
              <w:rPr>
                <w:rFonts w:asciiTheme="minorHAnsi" w:hAnsiTheme="minorHAnsi" w:cstheme="minorHAnsi"/>
                <w:sz w:val="20"/>
                <w:szCs w:val="20"/>
              </w:rPr>
            </w:pPr>
          </w:p>
        </w:tc>
        <w:tc>
          <w:tcPr>
            <w:tcW w:w="1701" w:type="dxa"/>
            <w:vAlign w:val="center"/>
          </w:tcPr>
          <w:p w14:paraId="379687F1">
            <w:pPr>
              <w:jc w:val="right"/>
              <w:rPr>
                <w:rFonts w:asciiTheme="minorHAnsi" w:hAnsiTheme="minorHAnsi" w:cstheme="minorHAnsi"/>
                <w:sz w:val="20"/>
                <w:szCs w:val="20"/>
              </w:rPr>
            </w:pPr>
          </w:p>
        </w:tc>
      </w:tr>
      <w:tr w14:paraId="3E1D3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b6b13ecec0044452bf1609cb679a8ac5"/>
            <w:id w:val="-1728916712"/>
          </w:sdtPr>
          <w:sdtContent>
            <w:tc>
              <w:tcPr>
                <w:tcW w:w="2269" w:type="dxa"/>
                <w:vAlign w:val="center"/>
              </w:tcPr>
              <w:p w14:paraId="7DA8C18B">
                <w:pPr>
                  <w:rPr>
                    <w:rFonts w:ascii="Calibri" w:hAnsi="Calibri"/>
                    <w:sz w:val="18"/>
                    <w:szCs w:val="18"/>
                  </w:rPr>
                </w:pPr>
                <w:r>
                  <w:rPr>
                    <w:rFonts w:hint="eastAsia" w:ascii="Calibri" w:hAnsi="Calibri"/>
                    <w:sz w:val="18"/>
                    <w:szCs w:val="18"/>
                  </w:rPr>
                  <w:t>（五）专项储备</w:t>
                </w:r>
              </w:p>
            </w:tc>
          </w:sdtContent>
        </w:sdt>
        <w:tc>
          <w:tcPr>
            <w:tcW w:w="1701" w:type="dxa"/>
            <w:tcBorders>
              <w:right w:val="single" w:color="auto" w:sz="4" w:space="0"/>
            </w:tcBorders>
            <w:vAlign w:val="center"/>
          </w:tcPr>
          <w:p w14:paraId="3C0CBB98">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724A31DB">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4417186A">
            <w:pPr>
              <w:jc w:val="right"/>
              <w:rPr>
                <w:rFonts w:asciiTheme="minorHAnsi" w:hAnsiTheme="minorHAnsi" w:cstheme="minorHAnsi"/>
                <w:sz w:val="20"/>
                <w:szCs w:val="20"/>
              </w:rPr>
            </w:pPr>
          </w:p>
        </w:tc>
        <w:tc>
          <w:tcPr>
            <w:tcW w:w="426" w:type="dxa"/>
            <w:tcBorders>
              <w:left w:val="single" w:color="auto" w:sz="4" w:space="0"/>
            </w:tcBorders>
            <w:vAlign w:val="center"/>
          </w:tcPr>
          <w:p w14:paraId="06463D95">
            <w:pPr>
              <w:jc w:val="right"/>
              <w:rPr>
                <w:rFonts w:asciiTheme="minorHAnsi" w:hAnsiTheme="minorHAnsi" w:cstheme="minorHAnsi"/>
                <w:sz w:val="20"/>
                <w:szCs w:val="20"/>
              </w:rPr>
            </w:pPr>
          </w:p>
        </w:tc>
        <w:tc>
          <w:tcPr>
            <w:tcW w:w="1842" w:type="dxa"/>
            <w:vAlign w:val="center"/>
          </w:tcPr>
          <w:p w14:paraId="6B3E1D5F">
            <w:pPr>
              <w:jc w:val="right"/>
              <w:rPr>
                <w:rFonts w:asciiTheme="minorHAnsi" w:hAnsiTheme="minorHAnsi" w:cstheme="minorHAnsi"/>
                <w:sz w:val="20"/>
                <w:szCs w:val="20"/>
              </w:rPr>
            </w:pPr>
          </w:p>
        </w:tc>
        <w:tc>
          <w:tcPr>
            <w:tcW w:w="1701" w:type="dxa"/>
            <w:vAlign w:val="center"/>
          </w:tcPr>
          <w:p w14:paraId="6F8697B2">
            <w:pPr>
              <w:jc w:val="right"/>
              <w:rPr>
                <w:rFonts w:asciiTheme="minorHAnsi" w:hAnsiTheme="minorHAnsi" w:cstheme="minorHAnsi"/>
                <w:sz w:val="20"/>
                <w:szCs w:val="20"/>
              </w:rPr>
            </w:pPr>
          </w:p>
        </w:tc>
        <w:tc>
          <w:tcPr>
            <w:tcW w:w="1560" w:type="dxa"/>
            <w:vAlign w:val="center"/>
          </w:tcPr>
          <w:p w14:paraId="08E988AB">
            <w:pPr>
              <w:jc w:val="right"/>
              <w:rPr>
                <w:rFonts w:asciiTheme="minorHAnsi" w:hAnsiTheme="minorHAnsi" w:cstheme="minorHAnsi"/>
                <w:sz w:val="20"/>
                <w:szCs w:val="20"/>
              </w:rPr>
            </w:pPr>
          </w:p>
        </w:tc>
        <w:tc>
          <w:tcPr>
            <w:tcW w:w="1701" w:type="dxa"/>
            <w:vAlign w:val="center"/>
          </w:tcPr>
          <w:p w14:paraId="391462FE">
            <w:pPr>
              <w:jc w:val="right"/>
              <w:rPr>
                <w:rFonts w:asciiTheme="minorHAnsi" w:hAnsiTheme="minorHAnsi" w:cstheme="minorHAnsi"/>
                <w:sz w:val="20"/>
                <w:szCs w:val="20"/>
              </w:rPr>
            </w:pPr>
          </w:p>
        </w:tc>
        <w:tc>
          <w:tcPr>
            <w:tcW w:w="1842" w:type="dxa"/>
            <w:vAlign w:val="center"/>
          </w:tcPr>
          <w:p w14:paraId="75062AAC">
            <w:pPr>
              <w:jc w:val="right"/>
              <w:rPr>
                <w:rFonts w:asciiTheme="minorHAnsi" w:hAnsiTheme="minorHAnsi" w:cstheme="minorHAnsi"/>
                <w:sz w:val="20"/>
                <w:szCs w:val="20"/>
              </w:rPr>
            </w:pPr>
          </w:p>
        </w:tc>
        <w:tc>
          <w:tcPr>
            <w:tcW w:w="1701" w:type="dxa"/>
            <w:vAlign w:val="center"/>
          </w:tcPr>
          <w:p w14:paraId="420AF331">
            <w:pPr>
              <w:jc w:val="right"/>
              <w:rPr>
                <w:rFonts w:asciiTheme="minorHAnsi" w:hAnsiTheme="minorHAnsi" w:cstheme="minorHAnsi"/>
                <w:sz w:val="20"/>
                <w:szCs w:val="20"/>
              </w:rPr>
            </w:pPr>
          </w:p>
        </w:tc>
      </w:tr>
      <w:tr w14:paraId="34B36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cbede54ab9934d5ea45cda3f59593c28"/>
            <w:id w:val="-1183970377"/>
          </w:sdtPr>
          <w:sdtContent>
            <w:tc>
              <w:tcPr>
                <w:tcW w:w="2269" w:type="dxa"/>
                <w:vAlign w:val="center"/>
              </w:tcPr>
              <w:p w14:paraId="7AF383C9">
                <w:pPr>
                  <w:rPr>
                    <w:rFonts w:ascii="Calibri" w:hAnsi="Calibri"/>
                    <w:sz w:val="18"/>
                    <w:szCs w:val="18"/>
                  </w:rPr>
                </w:pPr>
                <w:r>
                  <w:rPr>
                    <w:rFonts w:hint="eastAsia" w:ascii="Calibri" w:hAnsi="Calibri"/>
                    <w:sz w:val="18"/>
                    <w:szCs w:val="18"/>
                  </w:rPr>
                  <w:t>1．本期提取</w:t>
                </w:r>
              </w:p>
            </w:tc>
          </w:sdtContent>
        </w:sdt>
        <w:tc>
          <w:tcPr>
            <w:tcW w:w="1701" w:type="dxa"/>
            <w:tcBorders>
              <w:right w:val="single" w:color="auto" w:sz="4" w:space="0"/>
            </w:tcBorders>
            <w:vAlign w:val="center"/>
          </w:tcPr>
          <w:p w14:paraId="15C6B32D">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03C13118">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625530F7">
            <w:pPr>
              <w:jc w:val="right"/>
              <w:rPr>
                <w:rFonts w:asciiTheme="minorHAnsi" w:hAnsiTheme="minorHAnsi" w:cstheme="minorHAnsi"/>
                <w:sz w:val="20"/>
                <w:szCs w:val="20"/>
              </w:rPr>
            </w:pPr>
          </w:p>
        </w:tc>
        <w:tc>
          <w:tcPr>
            <w:tcW w:w="426" w:type="dxa"/>
            <w:tcBorders>
              <w:left w:val="single" w:color="auto" w:sz="4" w:space="0"/>
            </w:tcBorders>
            <w:vAlign w:val="center"/>
          </w:tcPr>
          <w:p w14:paraId="2E942102">
            <w:pPr>
              <w:jc w:val="right"/>
              <w:rPr>
                <w:rFonts w:asciiTheme="minorHAnsi" w:hAnsiTheme="minorHAnsi" w:cstheme="minorHAnsi"/>
                <w:sz w:val="20"/>
                <w:szCs w:val="20"/>
              </w:rPr>
            </w:pPr>
          </w:p>
        </w:tc>
        <w:tc>
          <w:tcPr>
            <w:tcW w:w="1842" w:type="dxa"/>
            <w:vAlign w:val="center"/>
          </w:tcPr>
          <w:p w14:paraId="59DD40F3">
            <w:pPr>
              <w:jc w:val="right"/>
              <w:rPr>
                <w:rFonts w:asciiTheme="minorHAnsi" w:hAnsiTheme="minorHAnsi" w:cstheme="minorHAnsi"/>
                <w:sz w:val="20"/>
                <w:szCs w:val="20"/>
              </w:rPr>
            </w:pPr>
          </w:p>
        </w:tc>
        <w:tc>
          <w:tcPr>
            <w:tcW w:w="1701" w:type="dxa"/>
            <w:vAlign w:val="center"/>
          </w:tcPr>
          <w:p w14:paraId="67841028">
            <w:pPr>
              <w:jc w:val="right"/>
              <w:rPr>
                <w:rFonts w:asciiTheme="minorHAnsi" w:hAnsiTheme="minorHAnsi" w:cstheme="minorHAnsi"/>
                <w:sz w:val="20"/>
                <w:szCs w:val="20"/>
              </w:rPr>
            </w:pPr>
          </w:p>
        </w:tc>
        <w:tc>
          <w:tcPr>
            <w:tcW w:w="1560" w:type="dxa"/>
            <w:vAlign w:val="center"/>
          </w:tcPr>
          <w:p w14:paraId="5AB3D29B">
            <w:pPr>
              <w:jc w:val="right"/>
              <w:rPr>
                <w:rFonts w:asciiTheme="minorHAnsi" w:hAnsiTheme="minorHAnsi" w:cstheme="minorHAnsi"/>
                <w:sz w:val="20"/>
                <w:szCs w:val="20"/>
              </w:rPr>
            </w:pPr>
          </w:p>
        </w:tc>
        <w:tc>
          <w:tcPr>
            <w:tcW w:w="1701" w:type="dxa"/>
            <w:vAlign w:val="center"/>
          </w:tcPr>
          <w:p w14:paraId="7F8F4E85">
            <w:pPr>
              <w:jc w:val="right"/>
              <w:rPr>
                <w:rFonts w:asciiTheme="minorHAnsi" w:hAnsiTheme="minorHAnsi" w:cstheme="minorHAnsi"/>
                <w:sz w:val="20"/>
                <w:szCs w:val="20"/>
              </w:rPr>
            </w:pPr>
          </w:p>
        </w:tc>
        <w:tc>
          <w:tcPr>
            <w:tcW w:w="1842" w:type="dxa"/>
            <w:vAlign w:val="center"/>
          </w:tcPr>
          <w:p w14:paraId="24C71424">
            <w:pPr>
              <w:jc w:val="right"/>
              <w:rPr>
                <w:rFonts w:asciiTheme="minorHAnsi" w:hAnsiTheme="minorHAnsi" w:cstheme="minorHAnsi"/>
                <w:sz w:val="20"/>
                <w:szCs w:val="20"/>
              </w:rPr>
            </w:pPr>
          </w:p>
        </w:tc>
        <w:tc>
          <w:tcPr>
            <w:tcW w:w="1701" w:type="dxa"/>
            <w:vAlign w:val="center"/>
          </w:tcPr>
          <w:p w14:paraId="0215157B">
            <w:pPr>
              <w:jc w:val="right"/>
              <w:rPr>
                <w:rFonts w:asciiTheme="minorHAnsi" w:hAnsiTheme="minorHAnsi" w:cstheme="minorHAnsi"/>
                <w:sz w:val="20"/>
                <w:szCs w:val="20"/>
              </w:rPr>
            </w:pPr>
          </w:p>
        </w:tc>
      </w:tr>
      <w:tr w14:paraId="359B4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7900abe823e94277be091b3f1c7a54a5"/>
            <w:id w:val="-1069352456"/>
          </w:sdtPr>
          <w:sdtContent>
            <w:tc>
              <w:tcPr>
                <w:tcW w:w="2269" w:type="dxa"/>
                <w:vAlign w:val="center"/>
              </w:tcPr>
              <w:p w14:paraId="2A0D4575">
                <w:pPr>
                  <w:rPr>
                    <w:rFonts w:ascii="Calibri" w:hAnsi="Calibri"/>
                    <w:sz w:val="18"/>
                    <w:szCs w:val="18"/>
                  </w:rPr>
                </w:pPr>
                <w:r>
                  <w:rPr>
                    <w:rFonts w:hint="eastAsia" w:ascii="Calibri" w:hAnsi="Calibri"/>
                    <w:sz w:val="18"/>
                    <w:szCs w:val="18"/>
                  </w:rPr>
                  <w:t>2．本期使用</w:t>
                </w:r>
              </w:p>
            </w:tc>
          </w:sdtContent>
        </w:sdt>
        <w:tc>
          <w:tcPr>
            <w:tcW w:w="1701" w:type="dxa"/>
            <w:tcBorders>
              <w:right w:val="single" w:color="auto" w:sz="4" w:space="0"/>
            </w:tcBorders>
            <w:vAlign w:val="center"/>
          </w:tcPr>
          <w:p w14:paraId="6AAA9068">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0F90F9D2">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0C7FC7CA">
            <w:pPr>
              <w:jc w:val="right"/>
              <w:rPr>
                <w:rFonts w:asciiTheme="minorHAnsi" w:hAnsiTheme="minorHAnsi" w:cstheme="minorHAnsi"/>
                <w:sz w:val="20"/>
                <w:szCs w:val="20"/>
              </w:rPr>
            </w:pPr>
          </w:p>
        </w:tc>
        <w:tc>
          <w:tcPr>
            <w:tcW w:w="426" w:type="dxa"/>
            <w:tcBorders>
              <w:left w:val="single" w:color="auto" w:sz="4" w:space="0"/>
            </w:tcBorders>
            <w:vAlign w:val="center"/>
          </w:tcPr>
          <w:p w14:paraId="4FFC2FF4">
            <w:pPr>
              <w:jc w:val="right"/>
              <w:rPr>
                <w:rFonts w:asciiTheme="minorHAnsi" w:hAnsiTheme="minorHAnsi" w:cstheme="minorHAnsi"/>
                <w:sz w:val="20"/>
                <w:szCs w:val="20"/>
              </w:rPr>
            </w:pPr>
          </w:p>
        </w:tc>
        <w:tc>
          <w:tcPr>
            <w:tcW w:w="1842" w:type="dxa"/>
            <w:vAlign w:val="center"/>
          </w:tcPr>
          <w:p w14:paraId="0FB49A1C">
            <w:pPr>
              <w:jc w:val="right"/>
              <w:rPr>
                <w:rFonts w:asciiTheme="minorHAnsi" w:hAnsiTheme="minorHAnsi" w:cstheme="minorHAnsi"/>
                <w:sz w:val="20"/>
                <w:szCs w:val="20"/>
              </w:rPr>
            </w:pPr>
          </w:p>
        </w:tc>
        <w:tc>
          <w:tcPr>
            <w:tcW w:w="1701" w:type="dxa"/>
            <w:vAlign w:val="center"/>
          </w:tcPr>
          <w:p w14:paraId="56571777">
            <w:pPr>
              <w:jc w:val="right"/>
              <w:rPr>
                <w:rFonts w:asciiTheme="minorHAnsi" w:hAnsiTheme="minorHAnsi" w:cstheme="minorHAnsi"/>
                <w:sz w:val="20"/>
                <w:szCs w:val="20"/>
              </w:rPr>
            </w:pPr>
          </w:p>
        </w:tc>
        <w:tc>
          <w:tcPr>
            <w:tcW w:w="1560" w:type="dxa"/>
            <w:vAlign w:val="center"/>
          </w:tcPr>
          <w:p w14:paraId="6AE539E4">
            <w:pPr>
              <w:jc w:val="right"/>
              <w:rPr>
                <w:rFonts w:asciiTheme="minorHAnsi" w:hAnsiTheme="minorHAnsi" w:cstheme="minorHAnsi"/>
                <w:sz w:val="20"/>
                <w:szCs w:val="20"/>
              </w:rPr>
            </w:pPr>
          </w:p>
        </w:tc>
        <w:tc>
          <w:tcPr>
            <w:tcW w:w="1701" w:type="dxa"/>
            <w:vAlign w:val="center"/>
          </w:tcPr>
          <w:p w14:paraId="66E0CDC6">
            <w:pPr>
              <w:jc w:val="right"/>
              <w:rPr>
                <w:rFonts w:asciiTheme="minorHAnsi" w:hAnsiTheme="minorHAnsi" w:cstheme="minorHAnsi"/>
                <w:sz w:val="20"/>
                <w:szCs w:val="20"/>
              </w:rPr>
            </w:pPr>
          </w:p>
        </w:tc>
        <w:tc>
          <w:tcPr>
            <w:tcW w:w="1842" w:type="dxa"/>
            <w:vAlign w:val="center"/>
          </w:tcPr>
          <w:p w14:paraId="7ED36DFE">
            <w:pPr>
              <w:jc w:val="right"/>
              <w:rPr>
                <w:rFonts w:asciiTheme="minorHAnsi" w:hAnsiTheme="minorHAnsi" w:cstheme="minorHAnsi"/>
                <w:sz w:val="20"/>
                <w:szCs w:val="20"/>
              </w:rPr>
            </w:pPr>
          </w:p>
        </w:tc>
        <w:tc>
          <w:tcPr>
            <w:tcW w:w="1701" w:type="dxa"/>
            <w:vAlign w:val="center"/>
          </w:tcPr>
          <w:p w14:paraId="1CCCC3F9">
            <w:pPr>
              <w:jc w:val="right"/>
              <w:rPr>
                <w:rFonts w:asciiTheme="minorHAnsi" w:hAnsiTheme="minorHAnsi" w:cstheme="minorHAnsi"/>
                <w:sz w:val="20"/>
                <w:szCs w:val="20"/>
              </w:rPr>
            </w:pPr>
          </w:p>
        </w:tc>
      </w:tr>
      <w:tr w14:paraId="13548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7cf659a70268475ea7233d8b82adad5a"/>
            <w:id w:val="440037366"/>
          </w:sdtPr>
          <w:sdtContent>
            <w:tc>
              <w:tcPr>
                <w:tcW w:w="2269" w:type="dxa"/>
                <w:vAlign w:val="center"/>
              </w:tcPr>
              <w:p w14:paraId="1FCC89A5">
                <w:pPr>
                  <w:rPr>
                    <w:rFonts w:ascii="Calibri" w:hAnsi="Calibri"/>
                    <w:sz w:val="18"/>
                    <w:szCs w:val="18"/>
                  </w:rPr>
                </w:pPr>
                <w:r>
                  <w:rPr>
                    <w:rFonts w:hint="eastAsia" w:ascii="Calibri" w:hAnsi="Calibri"/>
                    <w:sz w:val="18"/>
                    <w:szCs w:val="18"/>
                  </w:rPr>
                  <w:t>（六）其他</w:t>
                </w:r>
              </w:p>
            </w:tc>
          </w:sdtContent>
        </w:sdt>
        <w:tc>
          <w:tcPr>
            <w:tcW w:w="1701" w:type="dxa"/>
            <w:tcBorders>
              <w:right w:val="single" w:color="auto" w:sz="4" w:space="0"/>
            </w:tcBorders>
            <w:vAlign w:val="center"/>
          </w:tcPr>
          <w:p w14:paraId="1F60216F">
            <w:pPr>
              <w:jc w:val="right"/>
              <w:rPr>
                <w:rFonts w:asciiTheme="minorHAnsi" w:hAnsiTheme="minorHAnsi" w:cstheme="minorHAnsi"/>
                <w:sz w:val="20"/>
                <w:szCs w:val="20"/>
              </w:rPr>
            </w:pPr>
          </w:p>
        </w:tc>
        <w:tc>
          <w:tcPr>
            <w:tcW w:w="567" w:type="dxa"/>
            <w:tcBorders>
              <w:left w:val="single" w:color="auto" w:sz="4" w:space="0"/>
              <w:right w:val="single" w:color="auto" w:sz="4" w:space="0"/>
            </w:tcBorders>
            <w:vAlign w:val="center"/>
          </w:tcPr>
          <w:p w14:paraId="49A6C7AF">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4C6430A8">
            <w:pPr>
              <w:jc w:val="right"/>
              <w:rPr>
                <w:rFonts w:asciiTheme="minorHAnsi" w:hAnsiTheme="minorHAnsi" w:cstheme="minorHAnsi"/>
                <w:sz w:val="20"/>
                <w:szCs w:val="20"/>
              </w:rPr>
            </w:pPr>
          </w:p>
        </w:tc>
        <w:tc>
          <w:tcPr>
            <w:tcW w:w="426" w:type="dxa"/>
            <w:tcBorders>
              <w:left w:val="single" w:color="auto" w:sz="4" w:space="0"/>
            </w:tcBorders>
            <w:vAlign w:val="center"/>
          </w:tcPr>
          <w:p w14:paraId="6C9708F8">
            <w:pPr>
              <w:jc w:val="right"/>
              <w:rPr>
                <w:rFonts w:asciiTheme="minorHAnsi" w:hAnsiTheme="minorHAnsi" w:cstheme="minorHAnsi"/>
                <w:sz w:val="20"/>
                <w:szCs w:val="20"/>
              </w:rPr>
            </w:pPr>
          </w:p>
        </w:tc>
        <w:tc>
          <w:tcPr>
            <w:tcW w:w="1842" w:type="dxa"/>
            <w:vAlign w:val="center"/>
          </w:tcPr>
          <w:p w14:paraId="4C21E5D2">
            <w:pPr>
              <w:jc w:val="right"/>
              <w:rPr>
                <w:rFonts w:asciiTheme="minorHAnsi" w:hAnsiTheme="minorHAnsi" w:cstheme="minorHAnsi"/>
                <w:sz w:val="20"/>
                <w:szCs w:val="20"/>
              </w:rPr>
            </w:pPr>
            <w:r>
              <w:rPr>
                <w:rFonts w:asciiTheme="minorHAnsi" w:hAnsiTheme="minorHAnsi" w:cstheme="minorHAnsi"/>
                <w:sz w:val="20"/>
                <w:szCs w:val="20"/>
              </w:rPr>
              <w:t>5,545,976.65</w:t>
            </w:r>
          </w:p>
        </w:tc>
        <w:tc>
          <w:tcPr>
            <w:tcW w:w="1701" w:type="dxa"/>
            <w:vAlign w:val="center"/>
          </w:tcPr>
          <w:p w14:paraId="5F453D3C">
            <w:pPr>
              <w:jc w:val="right"/>
              <w:rPr>
                <w:rFonts w:asciiTheme="minorHAnsi" w:hAnsiTheme="minorHAnsi" w:cstheme="minorHAnsi"/>
                <w:sz w:val="20"/>
                <w:szCs w:val="20"/>
              </w:rPr>
            </w:pPr>
            <w:r>
              <w:rPr>
                <w:rFonts w:asciiTheme="minorHAnsi" w:hAnsiTheme="minorHAnsi" w:cstheme="minorHAnsi"/>
                <w:sz w:val="20"/>
                <w:szCs w:val="20"/>
              </w:rPr>
              <w:t>300,279,281.09</w:t>
            </w:r>
          </w:p>
        </w:tc>
        <w:tc>
          <w:tcPr>
            <w:tcW w:w="1560" w:type="dxa"/>
            <w:vAlign w:val="center"/>
          </w:tcPr>
          <w:p w14:paraId="02EC5D24">
            <w:pPr>
              <w:jc w:val="right"/>
              <w:rPr>
                <w:rFonts w:asciiTheme="minorHAnsi" w:hAnsiTheme="minorHAnsi" w:cstheme="minorHAnsi"/>
                <w:sz w:val="20"/>
                <w:szCs w:val="20"/>
              </w:rPr>
            </w:pPr>
          </w:p>
        </w:tc>
        <w:tc>
          <w:tcPr>
            <w:tcW w:w="1701" w:type="dxa"/>
            <w:vAlign w:val="center"/>
          </w:tcPr>
          <w:p w14:paraId="609A0C11">
            <w:pPr>
              <w:jc w:val="right"/>
              <w:rPr>
                <w:rFonts w:asciiTheme="minorHAnsi" w:hAnsiTheme="minorHAnsi" w:cstheme="minorHAnsi"/>
                <w:sz w:val="20"/>
                <w:szCs w:val="20"/>
              </w:rPr>
            </w:pPr>
          </w:p>
        </w:tc>
        <w:tc>
          <w:tcPr>
            <w:tcW w:w="1842" w:type="dxa"/>
            <w:vAlign w:val="center"/>
          </w:tcPr>
          <w:p w14:paraId="58722206">
            <w:pPr>
              <w:jc w:val="right"/>
              <w:rPr>
                <w:rFonts w:asciiTheme="minorHAnsi" w:hAnsiTheme="minorHAnsi" w:cstheme="minorHAnsi"/>
                <w:sz w:val="20"/>
                <w:szCs w:val="20"/>
              </w:rPr>
            </w:pPr>
          </w:p>
        </w:tc>
        <w:tc>
          <w:tcPr>
            <w:tcW w:w="1701" w:type="dxa"/>
            <w:vAlign w:val="center"/>
          </w:tcPr>
          <w:p w14:paraId="41897722">
            <w:pPr>
              <w:jc w:val="right"/>
              <w:rPr>
                <w:rFonts w:asciiTheme="minorHAnsi" w:hAnsiTheme="minorHAnsi" w:cstheme="minorHAnsi"/>
                <w:sz w:val="20"/>
                <w:szCs w:val="20"/>
              </w:rPr>
            </w:pPr>
            <w:r>
              <w:rPr>
                <w:rFonts w:asciiTheme="minorHAnsi" w:hAnsiTheme="minorHAnsi" w:cstheme="minorHAnsi"/>
                <w:sz w:val="20"/>
                <w:szCs w:val="20"/>
              </w:rPr>
              <w:t>-294,733,304.44</w:t>
            </w:r>
          </w:p>
        </w:tc>
      </w:tr>
      <w:tr w14:paraId="0BFE4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6eacf5a90be4746898504dda5c8a2c0"/>
            <w:id w:val="1546720019"/>
          </w:sdtPr>
          <w:sdtContent>
            <w:tc>
              <w:tcPr>
                <w:tcW w:w="2269" w:type="dxa"/>
                <w:vAlign w:val="center"/>
              </w:tcPr>
              <w:p w14:paraId="1188F3A2">
                <w:pPr>
                  <w:rPr>
                    <w:rFonts w:ascii="Calibri" w:hAnsi="Calibri"/>
                    <w:sz w:val="18"/>
                    <w:szCs w:val="18"/>
                  </w:rPr>
                </w:pPr>
                <w:r>
                  <w:rPr>
                    <w:rFonts w:ascii="Calibri" w:hAnsi="Calibri"/>
                    <w:sz w:val="18"/>
                    <w:szCs w:val="18"/>
                  </w:rPr>
                  <w:t>四、本期期末余额</w:t>
                </w:r>
              </w:p>
            </w:tc>
          </w:sdtContent>
        </w:sdt>
        <w:tc>
          <w:tcPr>
            <w:tcW w:w="1701" w:type="dxa"/>
            <w:tcBorders>
              <w:right w:val="single" w:color="auto" w:sz="4" w:space="0"/>
            </w:tcBorders>
            <w:vAlign w:val="center"/>
          </w:tcPr>
          <w:p w14:paraId="6889C38D">
            <w:pPr>
              <w:jc w:val="right"/>
              <w:rPr>
                <w:rFonts w:asciiTheme="minorHAnsi" w:hAnsiTheme="minorHAnsi" w:cstheme="minorHAnsi"/>
                <w:sz w:val="20"/>
                <w:szCs w:val="20"/>
              </w:rPr>
            </w:pPr>
            <w:r>
              <w:rPr>
                <w:rFonts w:asciiTheme="minorHAnsi" w:hAnsiTheme="minorHAnsi" w:cstheme="minorHAnsi"/>
                <w:sz w:val="20"/>
                <w:szCs w:val="20"/>
              </w:rPr>
              <w:t>1,981,734,074.00</w:t>
            </w:r>
          </w:p>
        </w:tc>
        <w:tc>
          <w:tcPr>
            <w:tcW w:w="567" w:type="dxa"/>
            <w:tcBorders>
              <w:left w:val="single" w:color="auto" w:sz="4" w:space="0"/>
              <w:right w:val="single" w:color="auto" w:sz="4" w:space="0"/>
            </w:tcBorders>
            <w:vAlign w:val="center"/>
          </w:tcPr>
          <w:p w14:paraId="1D973470">
            <w:pPr>
              <w:jc w:val="right"/>
              <w:rPr>
                <w:rFonts w:asciiTheme="minorHAnsi" w:hAnsiTheme="minorHAnsi" w:cstheme="minorHAnsi"/>
                <w:sz w:val="20"/>
                <w:szCs w:val="20"/>
              </w:rPr>
            </w:pPr>
          </w:p>
        </w:tc>
        <w:tc>
          <w:tcPr>
            <w:tcW w:w="425" w:type="dxa"/>
            <w:tcBorders>
              <w:left w:val="single" w:color="auto" w:sz="4" w:space="0"/>
              <w:right w:val="single" w:color="auto" w:sz="4" w:space="0"/>
            </w:tcBorders>
            <w:vAlign w:val="center"/>
          </w:tcPr>
          <w:p w14:paraId="4299CA87">
            <w:pPr>
              <w:jc w:val="right"/>
              <w:rPr>
                <w:rFonts w:asciiTheme="minorHAnsi" w:hAnsiTheme="minorHAnsi" w:cstheme="minorHAnsi"/>
                <w:sz w:val="20"/>
                <w:szCs w:val="20"/>
              </w:rPr>
            </w:pPr>
          </w:p>
        </w:tc>
        <w:tc>
          <w:tcPr>
            <w:tcW w:w="426" w:type="dxa"/>
            <w:tcBorders>
              <w:left w:val="single" w:color="auto" w:sz="4" w:space="0"/>
            </w:tcBorders>
            <w:vAlign w:val="center"/>
          </w:tcPr>
          <w:p w14:paraId="15E8A739">
            <w:pPr>
              <w:jc w:val="right"/>
              <w:rPr>
                <w:rFonts w:asciiTheme="minorHAnsi" w:hAnsiTheme="minorHAnsi" w:cstheme="minorHAnsi"/>
                <w:sz w:val="20"/>
                <w:szCs w:val="20"/>
              </w:rPr>
            </w:pPr>
          </w:p>
        </w:tc>
        <w:tc>
          <w:tcPr>
            <w:tcW w:w="1842" w:type="dxa"/>
            <w:vAlign w:val="center"/>
          </w:tcPr>
          <w:p w14:paraId="21D7BD41">
            <w:pPr>
              <w:jc w:val="right"/>
              <w:rPr>
                <w:rFonts w:asciiTheme="minorHAnsi" w:hAnsiTheme="minorHAnsi" w:cstheme="minorHAnsi"/>
                <w:sz w:val="20"/>
                <w:szCs w:val="20"/>
              </w:rPr>
            </w:pPr>
            <w:r>
              <w:rPr>
                <w:rFonts w:asciiTheme="minorHAnsi" w:hAnsiTheme="minorHAnsi" w:cstheme="minorHAnsi"/>
                <w:sz w:val="20"/>
                <w:szCs w:val="20"/>
              </w:rPr>
              <w:t>464,144,788.49</w:t>
            </w:r>
          </w:p>
        </w:tc>
        <w:tc>
          <w:tcPr>
            <w:tcW w:w="1701" w:type="dxa"/>
            <w:vAlign w:val="center"/>
          </w:tcPr>
          <w:p w14:paraId="20786657">
            <w:pPr>
              <w:jc w:val="right"/>
              <w:rPr>
                <w:rFonts w:asciiTheme="minorHAnsi" w:hAnsiTheme="minorHAnsi" w:cstheme="minorHAnsi"/>
                <w:sz w:val="20"/>
                <w:szCs w:val="20"/>
              </w:rPr>
            </w:pPr>
            <w:r>
              <w:rPr>
                <w:rFonts w:asciiTheme="minorHAnsi" w:hAnsiTheme="minorHAnsi" w:cstheme="minorHAnsi"/>
                <w:sz w:val="20"/>
                <w:szCs w:val="20"/>
              </w:rPr>
              <w:t>300,279,281.09</w:t>
            </w:r>
          </w:p>
        </w:tc>
        <w:tc>
          <w:tcPr>
            <w:tcW w:w="1560" w:type="dxa"/>
            <w:vAlign w:val="center"/>
          </w:tcPr>
          <w:p w14:paraId="4CA08BE3">
            <w:pPr>
              <w:jc w:val="right"/>
              <w:rPr>
                <w:rFonts w:asciiTheme="minorHAnsi" w:hAnsiTheme="minorHAnsi" w:cstheme="minorHAnsi"/>
                <w:sz w:val="20"/>
                <w:szCs w:val="20"/>
              </w:rPr>
            </w:pPr>
            <w:r>
              <w:rPr>
                <w:rFonts w:asciiTheme="minorHAnsi" w:hAnsiTheme="minorHAnsi" w:cstheme="minorHAnsi"/>
                <w:sz w:val="20"/>
                <w:szCs w:val="20"/>
              </w:rPr>
              <w:t>6,910,223.58</w:t>
            </w:r>
          </w:p>
        </w:tc>
        <w:tc>
          <w:tcPr>
            <w:tcW w:w="1701" w:type="dxa"/>
            <w:vAlign w:val="center"/>
          </w:tcPr>
          <w:p w14:paraId="6E0995F7">
            <w:pPr>
              <w:jc w:val="right"/>
              <w:rPr>
                <w:rFonts w:asciiTheme="minorHAnsi" w:hAnsiTheme="minorHAnsi" w:cstheme="minorHAnsi"/>
                <w:sz w:val="20"/>
                <w:szCs w:val="20"/>
              </w:rPr>
            </w:pPr>
            <w:r>
              <w:rPr>
                <w:rFonts w:asciiTheme="minorHAnsi" w:hAnsiTheme="minorHAnsi" w:cstheme="minorHAnsi"/>
                <w:sz w:val="20"/>
                <w:szCs w:val="20"/>
              </w:rPr>
              <w:t>1,018,076,669.77</w:t>
            </w:r>
          </w:p>
        </w:tc>
        <w:tc>
          <w:tcPr>
            <w:tcW w:w="1842" w:type="dxa"/>
            <w:vAlign w:val="center"/>
          </w:tcPr>
          <w:p w14:paraId="688E7987">
            <w:pPr>
              <w:jc w:val="right"/>
              <w:rPr>
                <w:rFonts w:asciiTheme="minorHAnsi" w:hAnsiTheme="minorHAnsi" w:cstheme="minorHAnsi"/>
                <w:sz w:val="20"/>
                <w:szCs w:val="20"/>
              </w:rPr>
            </w:pPr>
            <w:r>
              <w:rPr>
                <w:rFonts w:asciiTheme="minorHAnsi" w:hAnsiTheme="minorHAnsi" w:cstheme="minorHAnsi"/>
                <w:sz w:val="20"/>
                <w:szCs w:val="20"/>
              </w:rPr>
              <w:t>3,432,915,917.08</w:t>
            </w:r>
          </w:p>
        </w:tc>
        <w:tc>
          <w:tcPr>
            <w:tcW w:w="1701" w:type="dxa"/>
            <w:vAlign w:val="center"/>
          </w:tcPr>
          <w:p w14:paraId="43D28F13">
            <w:pPr>
              <w:jc w:val="right"/>
              <w:rPr>
                <w:rFonts w:asciiTheme="minorHAnsi" w:hAnsiTheme="minorHAnsi" w:cstheme="minorHAnsi"/>
                <w:sz w:val="20"/>
                <w:szCs w:val="20"/>
              </w:rPr>
            </w:pPr>
            <w:r>
              <w:rPr>
                <w:rFonts w:asciiTheme="minorHAnsi" w:hAnsiTheme="minorHAnsi" w:cstheme="minorHAnsi"/>
                <w:sz w:val="20"/>
                <w:szCs w:val="20"/>
              </w:rPr>
              <w:t>6,603,502,391.83</w:t>
            </w:r>
          </w:p>
        </w:tc>
      </w:tr>
    </w:tbl>
    <w:p w14:paraId="1FEC7462"/>
    <w:p w14:paraId="667333F1">
      <w:pPr>
        <w:snapToGrid w:val="0"/>
        <w:spacing w:line="240" w:lineRule="atLeast"/>
        <w:rPr>
          <w:b/>
          <w:bCs/>
          <w:color w:val="FF0000"/>
        </w:rPr>
      </w:pPr>
      <w:r>
        <w:rPr>
          <w:rFonts w:hint="eastAsia"/>
        </w:rPr>
        <w:t>公司负责</w:t>
      </w:r>
      <w:r>
        <w:t>人</w:t>
      </w:r>
      <w:r>
        <w:rPr>
          <w:rFonts w:hint="eastAsia"/>
        </w:rPr>
        <w:t>：</w:t>
      </w:r>
      <w:sdt>
        <w:sdtPr>
          <w:rPr>
            <w:rFonts w:hint="eastAsia"/>
          </w:rPr>
          <w:alias w:val="公司负责人姓名"/>
          <w:tag w:val="_GBC_6042a2c12168484781348969a4da3e4c"/>
          <w:id w:val="-93791351"/>
          <w:placeholder>
            <w:docPart w:val="GBC22222222222222222222222222222"/>
          </w:placeholder>
          <w:dataBinding w:prefixMappings="xmlns:clcid-mr='clcid-mr'" w:xpath="/*/clcid-mr:GongSiFuZeRenXingMing[not(@periodRef)]" w:storeItemID="{89EBAB94-44A0-46A2-B712-30D997D04A6D}"/>
          <w:text/>
        </w:sdtPr>
        <w:sdtEndPr>
          <w:rPr>
            <w:rFonts w:hint="eastAsia"/>
          </w:rPr>
        </w:sdtEndPr>
        <w:sdtContent>
          <w:r>
            <w:rPr>
              <w:rFonts w:hint="eastAsia"/>
            </w:rPr>
            <w:t>李佳鸿</w:t>
          </w:r>
        </w:sdtContent>
      </w:sdt>
      <w:r>
        <w:rPr>
          <w:rFonts w:hint="eastAsia"/>
        </w:rPr>
        <w:t xml:space="preserve"> </w:t>
      </w:r>
      <w:r>
        <w:t xml:space="preserve">                               主管会计工作负责人</w:t>
      </w:r>
      <w:r>
        <w:rPr>
          <w:rFonts w:hint="eastAsia"/>
        </w:rPr>
        <w:t>：</w:t>
      </w:r>
      <w:sdt>
        <w:sdtPr>
          <w:rPr>
            <w:rFonts w:hint="eastAsia"/>
          </w:rPr>
          <w:alias w:val="主管会计工作负责人姓名"/>
          <w:tag w:val="_GBC_3008dab61aca43f0a6d82ef192943e79"/>
          <w:id w:val="-2106336978"/>
          <w:placeholder>
            <w:docPart w:val="GBC22222222222222222222222222222"/>
          </w:placeholder>
          <w:dataBinding w:prefixMappings="xmlns:clcid-mr='clcid-mr'" w:xpath="/*/clcid-mr:ZhuGuanKuaiJiGongZuoFuZeRenXingMing[not(@periodRef)]" w:storeItemID="{89EBAB94-44A0-46A2-B712-30D997D04A6D}"/>
          <w:text/>
        </w:sdtPr>
        <w:sdtEndPr>
          <w:rPr>
            <w:rFonts w:hint="eastAsia"/>
          </w:rPr>
        </w:sdtEndPr>
        <w:sdtContent>
          <w:r>
            <w:rPr>
              <w:rFonts w:hint="eastAsia"/>
            </w:rPr>
            <w:t>迟军玉</w:t>
          </w:r>
        </w:sdtContent>
      </w:sdt>
      <w:r>
        <w:rPr>
          <w:rFonts w:hint="eastAsia"/>
        </w:rPr>
        <w:t xml:space="preserve"> </w:t>
      </w:r>
      <w:r>
        <w:t xml:space="preserve">                                 会计机构负责人</w:t>
      </w:r>
      <w:r>
        <w:rPr>
          <w:rFonts w:hint="eastAsia"/>
        </w:rPr>
        <w:t>：</w:t>
      </w:r>
      <w:sdt>
        <w:sdtPr>
          <w:rPr>
            <w:rFonts w:hint="eastAsia"/>
          </w:rPr>
          <w:alias w:val="会计机构负责人姓名"/>
          <w:tag w:val="_GBC_e6c21b270080402ca8dbdc0cab514bde"/>
          <w:id w:val="652868937"/>
          <w:placeholder>
            <w:docPart w:val="GBC22222222222222222222222222222"/>
          </w:placeholder>
          <w:dataBinding w:prefixMappings="xmlns:clcid-mr='clcid-mr'" w:xpath="/*/clcid-mr:KuaiJiJiGouFuZeRenXingMing[not(@periodRef)]" w:storeItemID="{89EBAB94-44A0-46A2-B712-30D997D04A6D}"/>
          <w:text/>
        </w:sdtPr>
        <w:sdtEndPr>
          <w:rPr>
            <w:rFonts w:hint="eastAsia"/>
          </w:rPr>
        </w:sdtEndPr>
        <w:sdtContent>
          <w:r>
            <w:rPr>
              <w:rFonts w:hint="eastAsia"/>
            </w:rPr>
            <w:t>樊鸿宇</w:t>
          </w:r>
        </w:sdtContent>
      </w:sdt>
    </w:p>
    <w:p w14:paraId="0AC33179">
      <w:pPr>
        <w:rPr>
          <w:color w:val="FF0000"/>
        </w:rPr>
      </w:pPr>
    </w:p>
    <w:bookmarkEnd w:id="200"/>
    <w:p w14:paraId="5B4DDD31">
      <w:pPr>
        <w:snapToGrid w:val="0"/>
        <w:spacing w:line="240" w:lineRule="atLeast"/>
        <w:ind w:right="-153" w:rightChars="-73"/>
        <w:rPr>
          <w:b/>
          <w:bCs/>
          <w:color w:val="FF0000"/>
        </w:rPr>
      </w:pPr>
      <w:bookmarkStart w:id="201" w:name="_Hlk24980162"/>
      <w:bookmarkEnd w:id="201"/>
    </w:p>
    <w:p w14:paraId="62B791FB">
      <w:pPr>
        <w:snapToGrid w:val="0"/>
        <w:spacing w:line="240" w:lineRule="atLeast"/>
        <w:sectPr>
          <w:pgSz w:w="16838" w:h="11906" w:orient="landscape"/>
          <w:pgMar w:top="1276" w:right="1440" w:bottom="1797" w:left="1525" w:header="856" w:footer="992" w:gutter="0"/>
          <w:cols w:space="425" w:num="1"/>
          <w:docGrid w:linePitch="312" w:charSpace="0"/>
        </w:sectPr>
      </w:pPr>
      <w:bookmarkStart w:id="202" w:name="_Hlk533930396"/>
    </w:p>
    <w:bookmarkEnd w:id="202"/>
    <w:p w14:paraId="2F5A11E5">
      <w:pPr>
        <w:pStyle w:val="3"/>
        <w:numPr>
          <w:ilvl w:val="0"/>
          <w:numId w:val="51"/>
        </w:numPr>
        <w:rPr>
          <w:rFonts w:ascii="宋体" w:hAnsi="宋体"/>
        </w:rPr>
      </w:pPr>
      <w:r>
        <w:rPr>
          <w:rFonts w:hint="eastAsia"/>
        </w:rPr>
        <w:t>公司基本情况</w:t>
      </w:r>
    </w:p>
    <w:p w14:paraId="05349E22">
      <w:pPr>
        <w:pStyle w:val="4"/>
        <w:numPr>
          <w:ilvl w:val="0"/>
          <w:numId w:val="52"/>
        </w:numPr>
      </w:pPr>
      <w:r>
        <w:rPr>
          <w:rFonts w:hint="eastAsia"/>
        </w:rPr>
        <w:t>公司概况</w:t>
      </w:r>
    </w:p>
    <w:sdt>
      <w:sdtPr>
        <w:rPr>
          <w:rFonts w:hint="eastAsia"/>
        </w:rPr>
        <w:alias w:val="是否适用：公司概况[双击切换]"/>
        <w:tag w:val="_GBC_7b613deb8c7f4027b73602e5cd1d4a2e"/>
        <w:id w:val="1329563736"/>
        <w:placeholder>
          <w:docPart w:val="GBC22222222222222222222222222222"/>
        </w:placeholder>
      </w:sdtPr>
      <w:sdtEndPr>
        <w:rPr>
          <w:rFonts w:hint="eastAsia"/>
        </w:rPr>
      </w:sdtEndPr>
      <w:sdtContent>
        <w:p w14:paraId="30FDEDBE">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Calibri" w:hAnsi="Calibri"/>
        </w:rPr>
        <w:alias w:val="公司概况"/>
        <w:tag w:val="_GBC_dfec127af3a7441dade8cb0f67119e66"/>
        <w:id w:val="50195352"/>
        <w:placeholder>
          <w:docPart w:val="GBC22222222222222222222222222222"/>
        </w:placeholder>
      </w:sdtPr>
      <w:sdtEndPr>
        <w:rPr>
          <w:rFonts w:ascii="Calibri" w:hAnsi="Calibri"/>
        </w:rPr>
      </w:sdtEndPr>
      <w:sdtContent>
        <w:p w14:paraId="7A4122CC">
          <w:pPr>
            <w:pStyle w:val="12"/>
            <w:snapToGrid w:val="0"/>
            <w:spacing w:before="240" w:beforeLines="100" w:line="360" w:lineRule="auto"/>
            <w:ind w:firstLine="420" w:firstLineChars="200"/>
            <w:rPr>
              <w:rFonts w:ascii="宋体" w:hAnsi="宋体" w:cs="宋体"/>
            </w:rPr>
          </w:pPr>
          <w:r>
            <w:rPr>
              <w:rFonts w:hint="eastAsia" w:ascii="宋体" w:hAnsi="宋体" w:cs="宋体"/>
            </w:rPr>
            <w:t>（一）企业注册地、总部地址</w:t>
          </w:r>
        </w:p>
        <w:p w14:paraId="187DE6F9">
          <w:pPr>
            <w:widowControl w:val="0"/>
            <w:adjustRightInd w:val="0"/>
            <w:snapToGrid w:val="0"/>
            <w:spacing w:line="360" w:lineRule="auto"/>
            <w:ind w:firstLine="420" w:firstLineChars="200"/>
            <w:jc w:val="both"/>
            <w:textAlignment w:val="baseline"/>
            <w:rPr>
              <w:rFonts w:ascii="宋体" w:hAnsi="宋体" w:cs="宋体"/>
            </w:rPr>
          </w:pPr>
          <w:r>
            <w:rPr>
              <w:rFonts w:hint="eastAsia" w:ascii="宋体" w:hAnsi="宋体" w:cs="宋体"/>
            </w:rPr>
            <w:t>通化东宝药业股份有限公司(以下简称“本公司”或“公司”)注册地址为吉林省通化县东宝新村，公司总部地址为吉林省通化县东宝新村。统一社会信用代码：912205012445783007。</w:t>
          </w:r>
        </w:p>
        <w:p w14:paraId="57C4E201">
          <w:pPr>
            <w:widowControl w:val="0"/>
            <w:adjustRightInd w:val="0"/>
            <w:snapToGrid w:val="0"/>
            <w:spacing w:line="360" w:lineRule="auto"/>
            <w:ind w:firstLine="420" w:firstLineChars="200"/>
            <w:jc w:val="both"/>
            <w:textAlignment w:val="baseline"/>
            <w:rPr>
              <w:rFonts w:ascii="宋体" w:hAnsi="宋体" w:cs="宋体"/>
            </w:rPr>
          </w:pPr>
          <w:r>
            <w:rPr>
              <w:rFonts w:hint="eastAsia" w:ascii="宋体" w:hAnsi="宋体" w:cs="宋体"/>
            </w:rPr>
            <w:t>本公司是经吉林省经济体制改革委员会吉改批[1992]76号文批准，由原东宝实业集团有限公司所属通化白山制药五厂（现更名为通化东宝五药有限公司）为主体与通化白雪山制药厂、通化市石油工具厂共同发起设立的股份制试点企业，于1992年12月28日在吉林省通化市工商行政管理局依法登记注册。公司设立时总股本为5,400万股。</w:t>
          </w:r>
        </w:p>
        <w:p w14:paraId="3717B826">
          <w:pPr>
            <w:widowControl w:val="0"/>
            <w:adjustRightInd w:val="0"/>
            <w:snapToGrid w:val="0"/>
            <w:spacing w:line="360" w:lineRule="auto"/>
            <w:ind w:firstLine="420" w:firstLineChars="200"/>
            <w:jc w:val="both"/>
            <w:textAlignment w:val="baseline"/>
            <w:rPr>
              <w:rFonts w:ascii="宋体" w:hAnsi="宋体" w:cs="宋体"/>
            </w:rPr>
          </w:pPr>
          <w:r>
            <w:rPr>
              <w:rFonts w:hint="eastAsia" w:ascii="宋体" w:hAnsi="宋体" w:cs="宋体"/>
            </w:rPr>
            <w:t>1994年经吉林省政府吉政函[1993]370号批准，国家证监会证监审字[1994]26号文复审确认，公司向社会公开发行1,800万元人民币普通股（A股），并于1994年8月24日在上海证券交易所挂牌上市，股票代码为600867。</w:t>
          </w:r>
        </w:p>
        <w:p w14:paraId="57102803">
          <w:pPr>
            <w:widowControl w:val="0"/>
            <w:adjustRightInd w:val="0"/>
            <w:snapToGrid w:val="0"/>
            <w:spacing w:line="360" w:lineRule="auto"/>
            <w:ind w:firstLine="420" w:firstLineChars="200"/>
            <w:jc w:val="both"/>
            <w:textAlignment w:val="baseline"/>
            <w:rPr>
              <w:rFonts w:ascii="宋体" w:hAnsi="宋体" w:cs="宋体"/>
            </w:rPr>
          </w:pPr>
          <w:r>
            <w:rPr>
              <w:rFonts w:hint="eastAsia" w:ascii="宋体" w:hAnsi="宋体" w:cs="宋体"/>
            </w:rPr>
            <w:t>自挂牌上市以来，经历次增资及股本结构变更，截至2025年12月31日，公司的注册资本和实收股本均为人民币壹拾玖亿伍仟捌佰伍拾肆万贰仟捌佰贰拾玖元。</w:t>
          </w:r>
        </w:p>
        <w:p w14:paraId="28E29C0E">
          <w:pPr>
            <w:widowControl w:val="0"/>
            <w:adjustRightInd w:val="0"/>
            <w:snapToGrid w:val="0"/>
            <w:spacing w:line="360" w:lineRule="auto"/>
            <w:ind w:firstLine="420" w:firstLineChars="200"/>
            <w:jc w:val="both"/>
            <w:textAlignment w:val="baseline"/>
            <w:rPr>
              <w:rFonts w:ascii="宋体" w:hAnsi="宋体" w:cs="宋体"/>
            </w:rPr>
          </w:pPr>
          <w:r>
            <w:rPr>
              <w:rFonts w:hint="eastAsia" w:ascii="宋体" w:hAnsi="宋体" w:cs="宋体"/>
            </w:rPr>
            <w:t>（二）企业实际从事的主要经营活动</w:t>
          </w:r>
        </w:p>
        <w:p w14:paraId="4BDD4B22">
          <w:pPr>
            <w:widowControl w:val="0"/>
            <w:adjustRightInd w:val="0"/>
            <w:snapToGrid w:val="0"/>
            <w:spacing w:line="360" w:lineRule="auto"/>
            <w:ind w:firstLine="420" w:firstLineChars="200"/>
            <w:jc w:val="both"/>
            <w:textAlignment w:val="baseline"/>
            <w:rPr>
              <w:rFonts w:ascii="宋体" w:hAnsi="宋体" w:cs="宋体"/>
            </w:rPr>
          </w:pPr>
          <w:r>
            <w:rPr>
              <w:rFonts w:hint="eastAsia" w:ascii="宋体" w:hAnsi="宋体" w:cs="宋体"/>
            </w:rPr>
            <w:t>本公司主业为生物制药，单独主体和子公司涉足房地产及建材行业。主要产品为人胰岛素原料药及注射液、甘精胰岛素注射液、门冬胰岛素注射液、利拉鲁肽注射液、糖尿病相关的医疗器材、镇脑宁胶囊（中成药）、恩格列净片（化学药）、丽景花园小区商品房等。</w:t>
          </w:r>
        </w:p>
        <w:p w14:paraId="512AA812">
          <w:pPr>
            <w:widowControl w:val="0"/>
            <w:adjustRightInd w:val="0"/>
            <w:snapToGrid w:val="0"/>
            <w:spacing w:line="360" w:lineRule="auto"/>
            <w:ind w:firstLine="420" w:firstLineChars="200"/>
            <w:jc w:val="both"/>
            <w:textAlignment w:val="baseline"/>
            <w:rPr>
              <w:rFonts w:ascii="宋体" w:hAnsi="宋体" w:cs="宋体"/>
            </w:rPr>
          </w:pPr>
          <w:r>
            <w:rPr>
              <w:rFonts w:hint="eastAsia" w:ascii="宋体" w:hAnsi="宋体" w:cs="宋体"/>
            </w:rPr>
            <w:t>（三）财务报告的批准报出者和财务报告批准报出日</w:t>
          </w:r>
        </w:p>
        <w:p w14:paraId="27E76604">
          <w:pPr>
            <w:pStyle w:val="48"/>
            <w:spacing w:line="360" w:lineRule="auto"/>
            <w:ind w:firstLine="420" w:firstLineChars="200"/>
          </w:pPr>
          <w:r>
            <w:rPr>
              <w:rFonts w:hint="eastAsia" w:ascii="宋体" w:hAnsi="宋体"/>
              <w:kern w:val="0"/>
            </w:rPr>
            <w:t>本财务报告由本公司董事会于</w:t>
          </w:r>
          <w:r>
            <w:rPr>
              <w:rFonts w:hint="eastAsia" w:ascii="Times New Roman" w:hAnsi="Times New Roman"/>
              <w:kern w:val="0"/>
            </w:rPr>
            <w:t>202</w:t>
          </w:r>
          <w:r>
            <w:rPr>
              <w:rFonts w:ascii="Times New Roman" w:hAnsi="宋体"/>
              <w:kern w:val="0"/>
            </w:rPr>
            <w:t>6</w:t>
          </w:r>
          <w:r>
            <w:rPr>
              <w:rFonts w:hint="eastAsia" w:ascii="宋体" w:hAnsi="宋体"/>
              <w:kern w:val="0"/>
            </w:rPr>
            <w:t>年</w:t>
          </w:r>
          <w:r>
            <w:rPr>
              <w:rFonts w:hint="eastAsia" w:ascii="Times New Roman" w:hAnsi="Times New Roman"/>
              <w:kern w:val="0"/>
            </w:rPr>
            <w:t>4</w:t>
          </w:r>
          <w:r>
            <w:rPr>
              <w:rFonts w:hint="eastAsia" w:ascii="宋体" w:hAnsi="宋体"/>
              <w:kern w:val="0"/>
            </w:rPr>
            <w:t>月</w:t>
          </w:r>
          <w:r>
            <w:rPr>
              <w:rFonts w:ascii="Times New Roman" w:hAnsi="宋体"/>
              <w:kern w:val="0"/>
            </w:rPr>
            <w:t>17</w:t>
          </w:r>
          <w:r>
            <w:rPr>
              <w:rFonts w:hint="eastAsia" w:ascii="宋体" w:hAnsi="宋体"/>
              <w:kern w:val="0"/>
            </w:rPr>
            <w:t>日批准报出。</w:t>
          </w:r>
        </w:p>
      </w:sdtContent>
    </w:sdt>
    <w:p w14:paraId="53F8FE73">
      <w:pPr>
        <w:pStyle w:val="48"/>
      </w:pPr>
    </w:p>
    <w:p w14:paraId="35605957">
      <w:pPr>
        <w:pStyle w:val="3"/>
        <w:numPr>
          <w:ilvl w:val="0"/>
          <w:numId w:val="51"/>
        </w:numPr>
        <w:rPr>
          <w:rFonts w:ascii="宋体" w:hAnsi="宋体"/>
        </w:rPr>
      </w:pPr>
      <w:r>
        <w:rPr>
          <w:rFonts w:hint="eastAsia"/>
        </w:rPr>
        <w:t>财务报表的编制基础</w:t>
      </w:r>
    </w:p>
    <w:p w14:paraId="45D7E5FF">
      <w:pPr>
        <w:pStyle w:val="4"/>
        <w:numPr>
          <w:ilvl w:val="0"/>
          <w:numId w:val="53"/>
        </w:numPr>
      </w:pPr>
      <w:r>
        <w:t>编制基础</w:t>
      </w:r>
    </w:p>
    <w:sdt>
      <w:sdtPr>
        <w:rPr>
          <w:rFonts w:hint="eastAsia"/>
        </w:rPr>
        <w:alias w:val="财务报表的编制基础"/>
        <w:tag w:val="_GBC_1dc2375ed7ab49628f5badf2d5006405"/>
        <w:id w:val="-1699619586"/>
        <w:placeholder>
          <w:docPart w:val="GBC22222222222222222222222222222"/>
        </w:placeholder>
      </w:sdtPr>
      <w:sdtEndPr>
        <w:rPr>
          <w:rFonts w:hint="eastAsia"/>
        </w:rPr>
      </w:sdtEndPr>
      <w:sdtContent>
        <w:p w14:paraId="33587D18">
          <w:pPr>
            <w:pStyle w:val="48"/>
            <w:spacing w:line="360" w:lineRule="auto"/>
            <w:ind w:firstLine="420" w:firstLineChars="200"/>
          </w:pPr>
          <w:r>
            <w:rPr>
              <w:rFonts w:hint="eastAsia"/>
            </w:rPr>
            <w:t>本公司财务报表以持续经营为基础，根据实际发生的交易和事项，按照财政部颁布的《企业会计准则-基本准则》和具体会计准则等规定（以下称企业会计准则），并基于制定的重要会计政策和会计估计进行编制。</w:t>
          </w:r>
        </w:p>
      </w:sdtContent>
    </w:sdt>
    <w:p w14:paraId="2FA84BF9">
      <w:pPr>
        <w:pStyle w:val="48"/>
      </w:pPr>
    </w:p>
    <w:p w14:paraId="2DE71632">
      <w:pPr>
        <w:pStyle w:val="4"/>
        <w:numPr>
          <w:ilvl w:val="0"/>
          <w:numId w:val="53"/>
        </w:numPr>
      </w:pPr>
      <w:r>
        <w:rPr>
          <w:rFonts w:hint="eastAsia"/>
        </w:rPr>
        <w:t>持续经营</w:t>
      </w:r>
    </w:p>
    <w:sdt>
      <w:sdtPr>
        <w:rPr>
          <w:rFonts w:hint="eastAsia"/>
        </w:rPr>
        <w:alias w:val="是否适用：持续经营[双击切换]"/>
        <w:tag w:val="_GBC_fa7177dc4f164e56b4df7bebc60acf50"/>
        <w:id w:val="1490295648"/>
        <w:placeholder>
          <w:docPart w:val="GBC22222222222222222222222222222"/>
        </w:placeholder>
      </w:sdtPr>
      <w:sdtEndPr>
        <w:rPr>
          <w:rFonts w:hint="eastAsia"/>
        </w:rPr>
      </w:sdtEndPr>
      <w:sdtContent>
        <w:p w14:paraId="2134DD1A">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持续经营"/>
        <w:tag w:val="_GBC_dc876c24006b428987a041949eb554f3"/>
        <w:id w:val="2044708984"/>
        <w:placeholder>
          <w:docPart w:val="GBC22222222222222222222222222222"/>
        </w:placeholder>
      </w:sdtPr>
      <w:sdtContent>
        <w:p w14:paraId="4C90E8A9">
          <w:pPr>
            <w:pStyle w:val="48"/>
            <w:spacing w:line="360" w:lineRule="auto"/>
            <w:ind w:firstLine="420" w:firstLineChars="200"/>
          </w:pPr>
          <w:r>
            <w:rPr>
              <w:rFonts w:hint="eastAsia"/>
            </w:rPr>
            <w:t>本公司对自报告期末起12个月的持续经营能力进行了评估，未发现影响本公司持续经营能力的事项，本公司以持续经营为基础编制财务报表是合理的。</w:t>
          </w:r>
        </w:p>
      </w:sdtContent>
    </w:sdt>
    <w:p w14:paraId="02E6E3BB">
      <w:pPr>
        <w:pStyle w:val="48"/>
      </w:pPr>
    </w:p>
    <w:p w14:paraId="6F0538CB">
      <w:pPr>
        <w:pStyle w:val="3"/>
        <w:numPr>
          <w:ilvl w:val="0"/>
          <w:numId w:val="51"/>
        </w:numPr>
        <w:rPr>
          <w:rFonts w:ascii="宋体" w:hAnsi="宋体"/>
        </w:rPr>
      </w:pPr>
      <w:r>
        <w:rPr>
          <w:rFonts w:hint="eastAsia"/>
        </w:rPr>
        <w:t>重要会计政策及会计估计</w:t>
      </w:r>
    </w:p>
    <w:p w14:paraId="5FFEA33D">
      <w:pPr>
        <w:pStyle w:val="48"/>
      </w:pPr>
      <w:r>
        <w:rPr>
          <w:rFonts w:hint="eastAsia"/>
        </w:rPr>
        <w:t>具体会计政策和会计估计提示：</w:t>
      </w:r>
    </w:p>
    <w:sdt>
      <w:sdtPr>
        <w:alias w:val="是否适用：具体会计政策和会计估计提示[双击切换]"/>
        <w:tag w:val="_GBC_86fd142a599649f8a3574e6ddaba5f71"/>
        <w:id w:val="274833658"/>
        <w:placeholder>
          <w:docPart w:val="GBC22222222222222222222222222222"/>
        </w:placeholder>
      </w:sdtPr>
      <w:sdtContent>
        <w:p w14:paraId="15C7AA14">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132FA3D">
      <w:pPr>
        <w:pStyle w:val="48"/>
      </w:pPr>
    </w:p>
    <w:p w14:paraId="67E4D634">
      <w:pPr>
        <w:pStyle w:val="4"/>
        <w:numPr>
          <w:ilvl w:val="0"/>
          <w:numId w:val="54"/>
        </w:numPr>
      </w:pPr>
      <w:r>
        <w:t>遵循企业会计准则的声明</w:t>
      </w:r>
    </w:p>
    <w:sdt>
      <w:sdtPr>
        <w:rPr>
          <w:rFonts w:hint="eastAsia"/>
        </w:rPr>
        <w:alias w:val="会计准则和会计制度"/>
        <w:tag w:val="_GBC_a350b889163a4ef3bb500c021e6a6b47"/>
        <w:id w:val="109250720"/>
        <w:placeholder>
          <w:docPart w:val="GBC22222222222222222222222222222"/>
        </w:placeholder>
      </w:sdtPr>
      <w:sdtEndPr>
        <w:rPr>
          <w:rFonts w:hint="eastAsia"/>
        </w:rPr>
      </w:sdtEndPr>
      <w:sdtContent>
        <w:p w14:paraId="64A0D0FB">
          <w:pPr>
            <w:pStyle w:val="48"/>
            <w:spacing w:line="360" w:lineRule="auto"/>
            <w:ind w:firstLine="420" w:firstLineChars="200"/>
          </w:pPr>
          <w:r>
            <w:t>本公司所编制的财务报表符合企业会计准则的要求，真实、完整地反映了公司的财务状况、经营成果、股东权益变动和现金流量等有关信息。</w:t>
          </w:r>
        </w:p>
      </w:sdtContent>
    </w:sdt>
    <w:p w14:paraId="00189888">
      <w:pPr>
        <w:pStyle w:val="48"/>
      </w:pPr>
    </w:p>
    <w:p w14:paraId="1C180CFC">
      <w:pPr>
        <w:pStyle w:val="4"/>
        <w:numPr>
          <w:ilvl w:val="0"/>
          <w:numId w:val="54"/>
        </w:numPr>
      </w:pPr>
      <w:r>
        <w:t>会计期间</w:t>
      </w:r>
    </w:p>
    <w:sdt>
      <w:sdtPr>
        <w:rPr>
          <w:rFonts w:hint="eastAsia"/>
        </w:rPr>
        <w:alias w:val="会计年度"/>
        <w:tag w:val="_GBC_fc896fba50b143f8a06984831f5d5600"/>
        <w:id w:val="910657353"/>
        <w:placeholder>
          <w:docPart w:val="GBC22222222222222222222222222222"/>
        </w:placeholder>
      </w:sdtPr>
      <w:sdtEndPr>
        <w:rPr>
          <w:rFonts w:hint="eastAsia"/>
        </w:rPr>
      </w:sdtEndPr>
      <w:sdtContent>
        <w:p w14:paraId="03F034E0">
          <w:pPr>
            <w:pStyle w:val="48"/>
            <w:spacing w:line="360" w:lineRule="auto"/>
            <w:ind w:firstLine="420" w:firstLineChars="200"/>
          </w:pPr>
          <w:r>
            <w:rPr>
              <w:rFonts w:hint="eastAsia"/>
            </w:rPr>
            <w:t>本公司会计年度为公历年度，即每年1月1日起至12月31日止。</w:t>
          </w:r>
        </w:p>
      </w:sdtContent>
    </w:sdt>
    <w:p w14:paraId="78856E2D">
      <w:pPr>
        <w:pStyle w:val="48"/>
      </w:pPr>
    </w:p>
    <w:p w14:paraId="639781B1">
      <w:pPr>
        <w:pStyle w:val="4"/>
        <w:numPr>
          <w:ilvl w:val="0"/>
          <w:numId w:val="54"/>
        </w:numPr>
      </w:pPr>
      <w:r>
        <w:rPr>
          <w:rFonts w:hint="eastAsia"/>
        </w:rPr>
        <w:t>营业周期</w:t>
      </w:r>
    </w:p>
    <w:sdt>
      <w:sdtPr>
        <w:rPr>
          <w:rFonts w:hint="eastAsia"/>
        </w:rPr>
        <w:alias w:val="是否适用：营业周期[双击切换]"/>
        <w:tag w:val="_GBC_41bd09d0a4bd429996597e58a613259e"/>
        <w:id w:val="1238592717"/>
        <w:placeholder>
          <w:docPart w:val="GBC22222222222222222222222222222"/>
        </w:placeholder>
      </w:sdtPr>
      <w:sdtEndPr>
        <w:rPr>
          <w:rFonts w:hint="eastAsia"/>
        </w:rPr>
      </w:sdtEndPr>
      <w:sdtContent>
        <w:p w14:paraId="550CC71F">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营业周期"/>
        <w:tag w:val="_GBC_e145e43187d9463889884f48e9e0b234"/>
        <w:id w:val="1182172058"/>
        <w:placeholder>
          <w:docPart w:val="GBC22222222222222222222222222222"/>
        </w:placeholder>
      </w:sdtPr>
      <w:sdtContent>
        <w:p w14:paraId="2874CA6D">
          <w:pPr>
            <w:spacing w:line="360" w:lineRule="auto"/>
            <w:ind w:firstLine="420" w:firstLineChars="200"/>
            <w:rPr>
              <w:kern w:val="2"/>
            </w:rPr>
          </w:pPr>
          <w:r>
            <w:rPr>
              <w:rFonts w:hint="eastAsia"/>
            </w:rPr>
            <w:t>本公司以一年12个月作为正常营业周期，并以营业周期作为资产和负债的流动性划分标准。</w:t>
          </w:r>
        </w:p>
      </w:sdtContent>
    </w:sdt>
    <w:p w14:paraId="5FF98AB6">
      <w:pPr>
        <w:pStyle w:val="48"/>
      </w:pPr>
    </w:p>
    <w:p w14:paraId="1EDE51A8">
      <w:pPr>
        <w:pStyle w:val="4"/>
        <w:numPr>
          <w:ilvl w:val="0"/>
          <w:numId w:val="54"/>
        </w:numPr>
      </w:pPr>
      <w:r>
        <w:t>记账本位币</w:t>
      </w:r>
    </w:p>
    <w:sdt>
      <w:sdtPr>
        <w:rPr>
          <w:rFonts w:hint="eastAsia"/>
        </w:rPr>
        <w:alias w:val="记账本位币"/>
        <w:tag w:val="_GBC_3749a2357eba44e8b968cb41cda75ff1"/>
        <w:id w:val="-96416414"/>
        <w:placeholder>
          <w:docPart w:val="GBC22222222222222222222222222222"/>
        </w:placeholder>
      </w:sdtPr>
      <w:sdtEndPr>
        <w:rPr>
          <w:rFonts w:hint="eastAsia"/>
        </w:rPr>
      </w:sdtEndPr>
      <w:sdtContent>
        <w:p w14:paraId="3F67CF2C">
          <w:pPr>
            <w:pStyle w:val="48"/>
            <w:spacing w:line="360" w:lineRule="auto"/>
            <w:ind w:firstLine="420" w:firstLineChars="200"/>
          </w:pPr>
          <w:r>
            <w:rPr>
              <w:rFonts w:hint="eastAsia"/>
            </w:rPr>
            <w:t>本公司以人民币为记账本位币。</w:t>
          </w:r>
        </w:p>
      </w:sdtContent>
    </w:sdt>
    <w:p w14:paraId="0F9C811D">
      <w:pPr>
        <w:rPr>
          <w:kern w:val="2"/>
        </w:rPr>
      </w:pPr>
    </w:p>
    <w:p w14:paraId="29BD9C8B">
      <w:pPr>
        <w:pStyle w:val="4"/>
        <w:numPr>
          <w:ilvl w:val="0"/>
          <w:numId w:val="54"/>
        </w:numPr>
      </w:pPr>
      <w:bookmarkStart w:id="203" w:name="_Hlk182408346"/>
      <w:bookmarkStart w:id="204" w:name="_Hlk169007161"/>
      <w:bookmarkStart w:id="205" w:name="_Hlk167809539"/>
      <w:r>
        <w:rPr>
          <w:rFonts w:hint="eastAsia"/>
          <w:color w:val="000000" w:themeColor="text1"/>
          <w14:textFill>
            <w14:solidFill>
              <w14:schemeClr w14:val="tx1"/>
            </w14:solidFill>
          </w14:textFill>
        </w:rPr>
        <w:t>重要性标准确定方法和选择依据</w:t>
      </w:r>
    </w:p>
    <w:sdt>
      <w:sdtPr>
        <w:rPr>
          <w:color w:val="000000" w:themeColor="text1"/>
          <w14:textFill>
            <w14:solidFill>
              <w14:schemeClr w14:val="tx1"/>
            </w14:solidFill>
          </w14:textFill>
        </w:rPr>
        <w:alias w:val="是否适用：重要性标准确定方法和选择依据[双击切换]"/>
        <w:tag w:val="_GBC_f3fe7ba4d0b64357b4a1c06c771e5b1a"/>
        <w:id w:val="-2041353742"/>
        <w:placeholder>
          <w:docPart w:val="GBC22222222222222222222222222222"/>
        </w:placeholder>
      </w:sdtPr>
      <w:sdtEndPr>
        <w:rPr>
          <w:color w:val="000000" w:themeColor="text1"/>
          <w14:textFill>
            <w14:solidFill>
              <w14:schemeClr w14:val="tx1"/>
            </w14:solidFill>
          </w14:textFill>
        </w:rPr>
      </w:sdtEndPr>
      <w:sdtContent>
        <w:p w14:paraId="0A216461">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p w14:paraId="161E167B">
          <w:pPr>
            <w:spacing w:line="360" w:lineRule="auto"/>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1.财务报表项目的重要性</w:t>
          </w:r>
        </w:p>
        <w:p w14:paraId="0B4F1701">
          <w:pPr>
            <w:spacing w:line="360" w:lineRule="auto"/>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公司确定财务报表项目重要性，以是否影响财务报表使用者作出经济决策为原则，从性质和金额两方面考虑。财务报表项目金额的重要性，以相关项目占资产总额、负债总额、所有者权益总额、营业收入、净利润的一定比例5%为标准；财务报表项目性质的重要性，以是否属于日常经营活动、是否导致盈亏变化、是否影响监管指标等对财务状况和经营成果具有较大影响的因素为依据。</w:t>
          </w:r>
        </w:p>
        <w:p w14:paraId="54093583">
          <w:pPr>
            <w:spacing w:line="360" w:lineRule="auto"/>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2.财务报表项目附注明细项目的重要性</w:t>
          </w:r>
        </w:p>
        <w:p w14:paraId="15121232">
          <w:pPr>
            <w:spacing w:line="360" w:lineRule="auto"/>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公司确定财务报表项目附注明细项目的重要性，在财务报表项目重要性基础上，以具体项目占该项目一定比例，或结合金额确定，同时考虑具体项目的性质。某些项目对财务报表而言不具有重要性，但可能对附注而言具有重要性，仍需要在附注中单独披露。财务报表项目附注相关重要性标准为：</w:t>
          </w:r>
        </w:p>
      </w:sdtContent>
    </w:sdt>
    <w:bookmarkEnd w:id="203"/>
    <w:bookmarkEnd w:id="204"/>
    <w:bookmarkEnd w:id="205"/>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1"/>
        <w:gridCol w:w="4412"/>
      </w:tblGrid>
      <w:tr w14:paraId="3F38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dcbeb4305c44211925953c92ffe63a0"/>
            <w:id w:val="-1001959968"/>
          </w:sdtPr>
          <w:sdtContent>
            <w:tc>
              <w:tcPr>
                <w:tcW w:w="4411" w:type="dxa"/>
                <w:vAlign w:val="center"/>
              </w:tcPr>
              <w:p w14:paraId="38C2C9DD">
                <w:pPr>
                  <w:widowControl w:val="0"/>
                  <w:spacing w:line="276"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def90d798dba4c27b8c2b37b31086625"/>
            <w:id w:val="-481006321"/>
          </w:sdtPr>
          <w:sdtContent>
            <w:tc>
              <w:tcPr>
                <w:tcW w:w="4412" w:type="dxa"/>
                <w:vAlign w:val="center"/>
              </w:tcPr>
              <w:p w14:paraId="1B9049EA">
                <w:pPr>
                  <w:widowControl w:val="0"/>
                  <w:spacing w:line="276" w:lineRule="auto"/>
                  <w:jc w:val="center"/>
                  <w:rPr>
                    <w:color w:val="000000" w:themeColor="text1"/>
                    <w14:textFill>
                      <w14:solidFill>
                        <w14:schemeClr w14:val="tx1"/>
                      </w14:solidFill>
                    </w14:textFill>
                  </w:rPr>
                </w:pPr>
                <w:r>
                  <w:rPr>
                    <w:color w:val="000000" w:themeColor="text1"/>
                    <w14:textFill>
                      <w14:solidFill>
                        <w14:schemeClr w14:val="tx1"/>
                      </w14:solidFill>
                    </w14:textFill>
                  </w:rPr>
                  <w:t>重要性标准</w:t>
                </w:r>
              </w:p>
            </w:tc>
          </w:sdtContent>
        </w:sdt>
      </w:tr>
      <w:tr w14:paraId="18FB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748A56C0">
            <w:pPr>
              <w:pStyle w:val="48"/>
              <w:spacing w:line="276" w:lineRule="auto"/>
            </w:pPr>
            <w:r>
              <w:t>重要的单项计提坏账准备的应收款项</w:t>
            </w:r>
          </w:p>
        </w:tc>
        <w:tc>
          <w:tcPr>
            <w:tcW w:w="4412" w:type="dxa"/>
            <w:vAlign w:val="center"/>
          </w:tcPr>
          <w:p w14:paraId="02239169">
            <w:pPr>
              <w:pStyle w:val="48"/>
              <w:spacing w:line="276" w:lineRule="auto"/>
            </w:pPr>
            <w:r>
              <w:t>期末余额1000万元</w:t>
            </w:r>
          </w:p>
        </w:tc>
      </w:tr>
      <w:tr w14:paraId="787C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614DB989">
            <w:pPr>
              <w:pStyle w:val="48"/>
              <w:spacing w:line="276" w:lineRule="auto"/>
            </w:pPr>
            <w:r>
              <w:t>账龄超过一年以上的重要预付款项</w:t>
            </w:r>
          </w:p>
        </w:tc>
        <w:tc>
          <w:tcPr>
            <w:tcW w:w="4412" w:type="dxa"/>
            <w:vAlign w:val="center"/>
          </w:tcPr>
          <w:p w14:paraId="10B1E816">
            <w:pPr>
              <w:pStyle w:val="48"/>
              <w:spacing w:line="276" w:lineRule="auto"/>
            </w:pPr>
            <w:r>
              <w:t>期末余额500万元</w:t>
            </w:r>
          </w:p>
        </w:tc>
      </w:tr>
      <w:tr w14:paraId="1A10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380447D5">
            <w:pPr>
              <w:pStyle w:val="48"/>
              <w:spacing w:line="276" w:lineRule="auto"/>
            </w:pPr>
            <w:r>
              <w:t>重要的在建工程项目</w:t>
            </w:r>
          </w:p>
        </w:tc>
        <w:tc>
          <w:tcPr>
            <w:tcW w:w="4412" w:type="dxa"/>
            <w:vAlign w:val="center"/>
          </w:tcPr>
          <w:p w14:paraId="705FB926">
            <w:pPr>
              <w:pStyle w:val="48"/>
              <w:spacing w:line="276" w:lineRule="auto"/>
            </w:pPr>
            <w:r>
              <w:t>期末余额1000万元</w:t>
            </w:r>
          </w:p>
        </w:tc>
      </w:tr>
      <w:tr w14:paraId="7883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6F7916A5">
            <w:pPr>
              <w:pStyle w:val="48"/>
              <w:spacing w:line="276" w:lineRule="auto"/>
            </w:pPr>
            <w:r>
              <w:t>重要的资本化研发项目</w:t>
            </w:r>
          </w:p>
        </w:tc>
        <w:tc>
          <w:tcPr>
            <w:tcW w:w="4412" w:type="dxa"/>
            <w:vAlign w:val="center"/>
          </w:tcPr>
          <w:p w14:paraId="5EB0031F">
            <w:pPr>
              <w:pStyle w:val="48"/>
              <w:spacing w:line="276" w:lineRule="auto"/>
            </w:pPr>
            <w:r>
              <w:t>期末余额1000万元</w:t>
            </w:r>
          </w:p>
        </w:tc>
      </w:tr>
      <w:tr w14:paraId="13B2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1C310EB4">
            <w:pPr>
              <w:pStyle w:val="48"/>
              <w:spacing w:line="276" w:lineRule="auto"/>
            </w:pPr>
            <w:r>
              <w:t>账龄超过一年以上的重要应付账款及其他应付款</w:t>
            </w:r>
          </w:p>
        </w:tc>
        <w:tc>
          <w:tcPr>
            <w:tcW w:w="4412" w:type="dxa"/>
            <w:vAlign w:val="center"/>
          </w:tcPr>
          <w:p w14:paraId="415650D2">
            <w:pPr>
              <w:pStyle w:val="48"/>
              <w:spacing w:line="276" w:lineRule="auto"/>
            </w:pPr>
            <w:r>
              <w:t>期末余额500万元</w:t>
            </w:r>
          </w:p>
        </w:tc>
      </w:tr>
      <w:tr w14:paraId="3BB1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37477546">
            <w:pPr>
              <w:pStyle w:val="48"/>
              <w:spacing w:line="276" w:lineRule="auto"/>
            </w:pPr>
            <w:r>
              <w:t>重要的非全资子公司</w:t>
            </w:r>
          </w:p>
        </w:tc>
        <w:tc>
          <w:tcPr>
            <w:tcW w:w="4412" w:type="dxa"/>
            <w:vAlign w:val="center"/>
          </w:tcPr>
          <w:p w14:paraId="4F15319B">
            <w:pPr>
              <w:pStyle w:val="48"/>
              <w:spacing w:line="276" w:lineRule="auto"/>
            </w:pPr>
            <w:r>
              <w:t>子公司资产总额、营业收入或利润总额（或亏损额绝对值）之一或同时占合并财务报表相应项目5%以上</w:t>
            </w:r>
          </w:p>
        </w:tc>
      </w:tr>
      <w:tr w14:paraId="3B30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0743AB6C">
            <w:pPr>
              <w:pStyle w:val="48"/>
              <w:spacing w:line="276" w:lineRule="auto"/>
            </w:pPr>
            <w:r>
              <w:t>重要的债务重组</w:t>
            </w:r>
          </w:p>
        </w:tc>
        <w:tc>
          <w:tcPr>
            <w:tcW w:w="4412" w:type="dxa"/>
            <w:vAlign w:val="center"/>
          </w:tcPr>
          <w:p w14:paraId="1689DD44">
            <w:pPr>
              <w:pStyle w:val="48"/>
              <w:spacing w:line="276" w:lineRule="auto"/>
            </w:pPr>
            <w:r>
              <w:t>预计影响合并财务报表项目金额超过500万元</w:t>
            </w:r>
          </w:p>
        </w:tc>
      </w:tr>
      <w:tr w14:paraId="2347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503126E9">
            <w:pPr>
              <w:pStyle w:val="48"/>
              <w:spacing w:line="276" w:lineRule="auto"/>
            </w:pPr>
            <w:r>
              <w:t>重要的或有事项</w:t>
            </w:r>
          </w:p>
        </w:tc>
        <w:tc>
          <w:tcPr>
            <w:tcW w:w="4412" w:type="dxa"/>
            <w:vAlign w:val="center"/>
          </w:tcPr>
          <w:p w14:paraId="582340E8">
            <w:pPr>
              <w:pStyle w:val="48"/>
              <w:spacing w:line="276" w:lineRule="auto"/>
            </w:pPr>
            <w:r>
              <w:t>预计影响合并财务报表项目金额超过1000万元的或有事项</w:t>
            </w:r>
          </w:p>
        </w:tc>
      </w:tr>
      <w:tr w14:paraId="5E9F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14:paraId="0E0D9BE1">
            <w:pPr>
              <w:pStyle w:val="48"/>
              <w:spacing w:line="276" w:lineRule="auto"/>
            </w:pPr>
            <w:r>
              <w:t>重要的合营企业或联营企业</w:t>
            </w:r>
          </w:p>
        </w:tc>
        <w:tc>
          <w:tcPr>
            <w:tcW w:w="4412" w:type="dxa"/>
            <w:vAlign w:val="center"/>
          </w:tcPr>
          <w:p w14:paraId="09B7252D">
            <w:pPr>
              <w:pStyle w:val="48"/>
              <w:spacing w:line="276" w:lineRule="auto"/>
            </w:pPr>
            <w:r>
              <w:t>账面价值占合并财务报表长期股权投资项目10%以上</w:t>
            </w:r>
          </w:p>
        </w:tc>
      </w:tr>
    </w:tbl>
    <w:p w14:paraId="04668CE6"/>
    <w:p w14:paraId="4EDE5B63">
      <w:pPr>
        <w:pStyle w:val="4"/>
        <w:numPr>
          <w:ilvl w:val="0"/>
          <w:numId w:val="54"/>
        </w:numPr>
      </w:pPr>
      <w:r>
        <w:t>同一控制下和非同一控制下企业合并的会计处理方法</w:t>
      </w:r>
    </w:p>
    <w:sdt>
      <w:sdtPr>
        <w:rPr>
          <w:rFonts w:hint="eastAsia"/>
        </w:rPr>
        <w:alias w:val="是否适用：同一控制下和非同一控制下企业合并的会计处理方法[双击切换]"/>
        <w:tag w:val="_GBC_46d00db18b44411d8dd79543c30557e3"/>
        <w:id w:val="1466161254"/>
        <w:placeholder>
          <w:docPart w:val="GBC22222222222222222222222222222"/>
        </w:placeholder>
      </w:sdtPr>
      <w:sdtEndPr>
        <w:rPr>
          <w:rFonts w:hint="eastAsia"/>
        </w:rPr>
      </w:sdtEndPr>
      <w:sdtContent>
        <w:p w14:paraId="05188BB1">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同一控制下和非同一控制下企业合并的会计处理方法"/>
        <w:tag w:val="_GBC_ef4b9a8d4ac34f45a0f61a23267bcbb8"/>
        <w:id w:val="408358957"/>
        <w:placeholder>
          <w:docPart w:val="GBC22222222222222222222222222222"/>
        </w:placeholder>
      </w:sdtPr>
      <w:sdtEndPr>
        <w:rPr>
          <w:rFonts w:hint="eastAsia"/>
        </w:rPr>
      </w:sdtEndPr>
      <w:sdtContent>
        <w:p w14:paraId="4AB9FFB3">
          <w:pPr>
            <w:spacing w:line="360" w:lineRule="auto"/>
            <w:ind w:firstLine="420" w:firstLineChars="200"/>
            <w:jc w:val="both"/>
          </w:pPr>
          <w:r>
            <w:rPr>
              <w:rFonts w:hint="eastAsia"/>
            </w:rPr>
            <w:t>1.同一控制下的企业合并</w:t>
          </w:r>
        </w:p>
        <w:p w14:paraId="1937B31C">
          <w:pPr>
            <w:spacing w:line="360" w:lineRule="auto"/>
            <w:ind w:firstLine="420" w:firstLineChars="200"/>
            <w:jc w:val="both"/>
          </w:pPr>
          <w:r>
            <w:rPr>
              <w:rFonts w:hint="eastAsia"/>
            </w:rPr>
            <w:t>同一控制下企业合并形成的长期股权投资合并方以支付现金、转让非现金资产或承担债务方式作为合并对价的，在合并日按照被合并方所有者权益在最终控制方合并财务报表中的账面价值的份额作为长期股权投资的初始投资成本。合并方以发行权益性工具作为合并对价的，按发行股份的面值总额作为股本。长期股权投资的初始投资成本与合并对价账面价值（或发行股份面值总额）的差额，应当调整资本公积；资本公积不足冲减的，调整留存收益。</w:t>
          </w:r>
        </w:p>
        <w:p w14:paraId="4B2A8653">
          <w:pPr>
            <w:spacing w:line="360" w:lineRule="auto"/>
            <w:ind w:firstLine="420" w:firstLineChars="200"/>
            <w:jc w:val="both"/>
          </w:pPr>
          <w:r>
            <w:rPr>
              <w:rFonts w:hint="eastAsia"/>
            </w:rPr>
            <w:t>2.非同一控制下的企业合并</w:t>
          </w:r>
        </w:p>
        <w:p w14:paraId="61382BF8">
          <w:pPr>
            <w:spacing w:line="360" w:lineRule="auto"/>
            <w:ind w:firstLine="420" w:firstLineChars="200"/>
            <w:jc w:val="both"/>
            <w:rPr>
              <w:kern w:val="2"/>
            </w:rPr>
          </w:pPr>
          <w:r>
            <w:rPr>
              <w:rFonts w:hint="eastAsia"/>
            </w:rPr>
            <w:t>对于非同一控制下的企业合并，合并成本为购买方在购买日为取得对被购买方的控制权而付出的资产、发生或承担的负债以及发行的权益性证券的公允价值之和。非同一控制下企业合并中所取得的被购买方符合确认条件的可辨认资产、负债及或有负债，在购买日以公允价值计量。购买方对合并成本大于合并中取得的被购买方可辨认净资产公允价值份额的差额，体现为商誉价值。购买方对合并成本小于合并中取得的被购买方可辨认净资产公允价值份额的，经复核后合并成本仍小于合并中取得的被购买方可辨认净资产公允价值份额的差额，计入当期营业外收入。</w:t>
          </w:r>
        </w:p>
      </w:sdtContent>
    </w:sdt>
    <w:p w14:paraId="792E0A80">
      <w:pPr>
        <w:pStyle w:val="48"/>
      </w:pPr>
    </w:p>
    <w:p w14:paraId="674234D1">
      <w:pPr>
        <w:pStyle w:val="4"/>
        <w:numPr>
          <w:ilvl w:val="0"/>
          <w:numId w:val="54"/>
        </w:numPr>
      </w:pPr>
      <w:r>
        <w:rPr>
          <w:rFonts w:hint="eastAsia" w:ascii="宋体" w:hAnsi="宋体" w:cs="宋体"/>
          <w:kern w:val="0"/>
          <w:szCs w:val="24"/>
        </w:rPr>
        <w:t>控制的判断标准和</w:t>
      </w:r>
      <w:r>
        <w:t>合并财务报表的编制方法</w:t>
      </w:r>
    </w:p>
    <w:sdt>
      <w:sdtPr>
        <w:rPr>
          <w:rFonts w:hint="eastAsia"/>
        </w:rPr>
        <w:alias w:val="是否适用：控制的判断标准和合并财务报表的编制方法[双击切换]"/>
        <w:tag w:val="_GBC_d8312ea572e647a59b796bf708b54713"/>
        <w:id w:val="-648663633"/>
        <w:placeholder>
          <w:docPart w:val="GBC22222222222222222222222222222"/>
        </w:placeholder>
      </w:sdtPr>
      <w:sdtEndPr>
        <w:rPr>
          <w:rFonts w:hint="eastAsia"/>
        </w:rPr>
      </w:sdtEndPr>
      <w:sdtContent>
        <w:p w14:paraId="1ECA0ECE">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控制的判断标准和合并财务报表的编制方法"/>
        <w:tag w:val="_GBC_5201beca0c0944939b4a0d8d100d6fcf"/>
        <w:id w:val="-459034856"/>
        <w:placeholder>
          <w:docPart w:val="GBC22222222222222222222222222222"/>
        </w:placeholder>
      </w:sdtPr>
      <w:sdtEndPr>
        <w:rPr>
          <w:rFonts w:hint="eastAsia"/>
        </w:rPr>
      </w:sdtEndPr>
      <w:sdtContent>
        <w:p w14:paraId="10A2FB89">
          <w:pPr>
            <w:pStyle w:val="48"/>
            <w:spacing w:line="360" w:lineRule="auto"/>
            <w:ind w:firstLine="420" w:firstLineChars="200"/>
            <w:rPr>
              <w:bCs/>
            </w:rPr>
          </w:pPr>
          <w:r>
            <w:rPr>
              <w:rFonts w:hint="eastAsia"/>
              <w:bCs/>
            </w:rPr>
            <w:t>1.控制的判断标准</w:t>
          </w:r>
        </w:p>
        <w:p w14:paraId="4137B3C0">
          <w:pPr>
            <w:pStyle w:val="48"/>
            <w:spacing w:line="360" w:lineRule="auto"/>
            <w:ind w:firstLine="420" w:firstLineChars="200"/>
            <w:rPr>
              <w:bCs/>
            </w:rPr>
          </w:pPr>
          <w:r>
            <w:rPr>
              <w:rFonts w:hint="eastAsia"/>
              <w:bCs/>
            </w:rPr>
            <w:t>本公司合并财务报表的合并范围以控制为基础确定，具备以下三个要素的被投资单位，认定为对其控制：拥有对被投资单位的权力、因参与被投资单位的相关活动而享有可变回报、有能力运用对被投资单位的权力影响回报金额。</w:t>
          </w:r>
        </w:p>
        <w:p w14:paraId="3F081E0D">
          <w:pPr>
            <w:pStyle w:val="48"/>
            <w:spacing w:line="360" w:lineRule="auto"/>
            <w:ind w:firstLine="420" w:firstLineChars="200"/>
            <w:rPr>
              <w:bCs/>
            </w:rPr>
          </w:pPr>
          <w:r>
            <w:rPr>
              <w:rFonts w:hint="eastAsia"/>
              <w:bCs/>
            </w:rPr>
            <w:t>2.合并报表的编制方法</w:t>
          </w:r>
        </w:p>
        <w:p w14:paraId="157EF549">
          <w:pPr>
            <w:pStyle w:val="48"/>
            <w:spacing w:line="360" w:lineRule="auto"/>
            <w:ind w:firstLine="420" w:firstLineChars="200"/>
            <w:rPr>
              <w:bCs/>
            </w:rPr>
          </w:pPr>
          <w:r>
            <w:rPr>
              <w:rFonts w:hint="eastAsia"/>
              <w:bCs/>
            </w:rPr>
            <w:t>（1）统一母子公司的会计政策、统一母子公司的资产负债表日及会计期间</w:t>
          </w:r>
        </w:p>
        <w:p w14:paraId="369F034D">
          <w:pPr>
            <w:pStyle w:val="48"/>
            <w:spacing w:line="360" w:lineRule="auto"/>
            <w:ind w:firstLine="420" w:firstLineChars="200"/>
            <w:rPr>
              <w:bCs/>
            </w:rPr>
          </w:pPr>
          <w:r>
            <w:rPr>
              <w:rFonts w:hint="eastAsia"/>
              <w:bCs/>
            </w:rPr>
            <w:t>子公司与本公司采用的会计政策或会计期间不一致的，在编制合并财务报表时，按照本公司的会计政策或会计期间对子公司财务报表进行必要的调整。</w:t>
          </w:r>
        </w:p>
        <w:p w14:paraId="7C4E2CEC">
          <w:pPr>
            <w:pStyle w:val="48"/>
            <w:spacing w:line="360" w:lineRule="auto"/>
            <w:ind w:firstLine="420" w:firstLineChars="200"/>
            <w:rPr>
              <w:bCs/>
            </w:rPr>
          </w:pPr>
          <w:r>
            <w:rPr>
              <w:rFonts w:hint="eastAsia"/>
              <w:bCs/>
            </w:rPr>
            <w:t>（2）合并财务报表抵销事项</w:t>
          </w:r>
        </w:p>
        <w:p w14:paraId="7B776405">
          <w:pPr>
            <w:pStyle w:val="48"/>
            <w:spacing w:line="360" w:lineRule="auto"/>
            <w:ind w:firstLine="420" w:firstLineChars="200"/>
            <w:rPr>
              <w:bCs/>
            </w:rPr>
          </w:pPr>
          <w:r>
            <w:rPr>
              <w:rFonts w:hint="eastAsia"/>
              <w:bCs/>
            </w:rPr>
            <w:t>合并财务报表以母公司和子公司的财务报表为基础，已抵销了母公司与子公司、子公司相互之间发生的内部交易。子公司所有者权益中不属于本公司的份额，作为少数股东权益，在合并资产负债表中股东权益项目下以“少数股东权益”项目列示。子公司持有母公司的长期股权投资，视为母公司的库存股，作为股东权益的减项，在合并资产负债表中股东权益项目下以“减：库存股”项目列示。</w:t>
          </w:r>
        </w:p>
        <w:p w14:paraId="7D529212">
          <w:pPr>
            <w:pStyle w:val="48"/>
            <w:spacing w:line="360" w:lineRule="auto"/>
            <w:ind w:firstLine="420" w:firstLineChars="200"/>
            <w:rPr>
              <w:bCs/>
            </w:rPr>
          </w:pPr>
          <w:r>
            <w:rPr>
              <w:rFonts w:hint="eastAsia"/>
              <w:bCs/>
            </w:rPr>
            <w:t>（3）合并取得子公司会计处理</w:t>
          </w:r>
        </w:p>
        <w:p w14:paraId="0110001B">
          <w:pPr>
            <w:pStyle w:val="48"/>
            <w:spacing w:line="360" w:lineRule="auto"/>
            <w:ind w:firstLine="420" w:firstLineChars="200"/>
            <w:rPr>
              <w:bCs/>
            </w:rPr>
          </w:pPr>
          <w:r>
            <w:rPr>
              <w:rFonts w:hint="eastAsia"/>
              <w:bCs/>
            </w:rPr>
            <w:t>对于同一控制下企业合并取得的子公司，视同该企业合并于自最终控制方开始实施控制时已经发生，从合并当期的期初起将其资产、负债、经营成果和现金流量纳入合并财务报表；对于非同一控制下企业合并取得的子公司，在编制合并财务报表时，以购买日可辨认净资产公允价值为基础对其个别财务报表进行调整。</w:t>
          </w:r>
        </w:p>
        <w:p w14:paraId="6CAD360E">
          <w:pPr>
            <w:pStyle w:val="48"/>
            <w:spacing w:line="360" w:lineRule="auto"/>
            <w:ind w:firstLine="420" w:firstLineChars="200"/>
            <w:rPr>
              <w:bCs/>
            </w:rPr>
          </w:pPr>
          <w:r>
            <w:rPr>
              <w:rFonts w:hint="eastAsia"/>
              <w:bCs/>
            </w:rPr>
            <w:t>（4）处置子公司的会计处理</w:t>
          </w:r>
        </w:p>
        <w:p w14:paraId="1F4C30F5">
          <w:pPr>
            <w:pStyle w:val="48"/>
            <w:spacing w:line="360" w:lineRule="auto"/>
            <w:ind w:firstLine="420" w:firstLineChars="200"/>
          </w:pPr>
          <w:r>
            <w:rPr>
              <w:rFonts w:hint="eastAsia"/>
              <w:bCs/>
            </w:rPr>
            <w:t>在不丧失控制权的情况下部分处置对子公司的长期股权投资，在合并财务报表中，处置价款与处置长期股权投资相对应享有子公司自购买日或合并日开始持续计算的净资产份额之间的差额，调整资本公积，资本公积不足冲减的，调整留存收益。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同时冲减商誉。与原有子公司股权投资相关的其他综合收益等，在丧失控制权时转为当期投资收益。</w:t>
          </w:r>
        </w:p>
      </w:sdtContent>
    </w:sdt>
    <w:p w14:paraId="5DD8DE35">
      <w:pPr>
        <w:pStyle w:val="48"/>
      </w:pPr>
    </w:p>
    <w:p w14:paraId="5A40FA1B">
      <w:pPr>
        <w:pStyle w:val="4"/>
        <w:numPr>
          <w:ilvl w:val="0"/>
          <w:numId w:val="54"/>
        </w:num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661617955"/>
        <w:placeholder>
          <w:docPart w:val="GBC22222222222222222222222222222"/>
        </w:placeholder>
      </w:sdtPr>
      <w:sdtEndPr>
        <w:rPr>
          <w:rFonts w:hint="eastAsia"/>
        </w:rPr>
      </w:sdtEndPr>
      <w:sdtContent>
        <w:p w14:paraId="29ADF832">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营安排分类及共同经营会计处理方法"/>
        <w:tag w:val="_GBC_cf67ede4230c4056b34792c6a0db55e2"/>
        <w:id w:val="1358539076"/>
        <w:placeholder>
          <w:docPart w:val="GBC22222222222222222222222222222"/>
        </w:placeholder>
      </w:sdtPr>
      <w:sdtContent>
        <w:p w14:paraId="744AABA3">
          <w:pPr>
            <w:spacing w:line="360" w:lineRule="auto"/>
            <w:ind w:firstLine="420" w:firstLineChars="200"/>
            <w:jc w:val="both"/>
          </w:pPr>
          <w:r>
            <w:rPr>
              <w:rFonts w:hint="eastAsia"/>
            </w:rPr>
            <w:t>1.合营安排的分类</w:t>
          </w:r>
        </w:p>
        <w:p w14:paraId="332FF040">
          <w:pPr>
            <w:spacing w:line="360" w:lineRule="auto"/>
            <w:ind w:firstLine="420" w:firstLineChars="200"/>
            <w:jc w:val="both"/>
          </w:pPr>
          <w:r>
            <w:rPr>
              <w:rFonts w:hint="eastAsia"/>
            </w:rPr>
            <w:t>合营安排分为共同经营和合营企业。未通过单独主体达成的合营安排，划分为共同经营。单独主体，是指具有单独可辨认的财务架构的主体，包括单独的法人主体和不具备法人主体资格但法律认可的主体。通过单独主体达成的合营安排，通常划分为合营企业。相关事实和情况变化导致合营方在合营安排中享有的权利和承担的义务发生变化的，合营方对合营安排的分类进行重新评估。</w:t>
          </w:r>
        </w:p>
        <w:p w14:paraId="5FE63642">
          <w:pPr>
            <w:spacing w:line="360" w:lineRule="auto"/>
            <w:ind w:firstLine="420" w:firstLineChars="200"/>
            <w:jc w:val="both"/>
          </w:pPr>
          <w:r>
            <w:rPr>
              <w:rFonts w:hint="eastAsia"/>
            </w:rPr>
            <w:t>2.共同经营的会计处理</w:t>
          </w:r>
        </w:p>
        <w:p w14:paraId="7BC90523">
          <w:pPr>
            <w:spacing w:line="360" w:lineRule="auto"/>
            <w:ind w:firstLine="420" w:firstLineChars="200"/>
            <w:jc w:val="both"/>
          </w:pPr>
          <w:r>
            <w:rPr>
              <w:rFonts w:hint="eastAsia"/>
            </w:rPr>
            <w:t>本公司为共同经营参与方，确认与共同经营中利益份额相关的下列项目，并按照相关企业会计准则的规定进行会计处理：确认单独所持有的资产或负债，以及按份额确认共同持有的资产或负债；确认出售享有的共同经营产出份额所产生的收入；按份额确认共同经营因出售产出所产生的收入；确认单独所发生的费用，以及按份额确认共同经营发生的费用。</w:t>
          </w:r>
        </w:p>
        <w:p w14:paraId="2DC21731">
          <w:pPr>
            <w:spacing w:line="360" w:lineRule="auto"/>
            <w:ind w:firstLine="420" w:firstLineChars="200"/>
            <w:jc w:val="both"/>
          </w:pPr>
          <w:r>
            <w:rPr>
              <w:rFonts w:hint="eastAsia"/>
            </w:rPr>
            <w:t>本公司为共同经营不享有共同控制的参与方，如果享有该共同经营相关资产且承担该共同经营相关负债，参照共同经营参与方的规定进行会计处理；否则，按照相关企业会计准则的规定进行会计处理。</w:t>
          </w:r>
        </w:p>
        <w:p w14:paraId="54690CB4">
          <w:pPr>
            <w:spacing w:line="360" w:lineRule="auto"/>
            <w:ind w:firstLine="420" w:firstLineChars="200"/>
            <w:jc w:val="both"/>
          </w:pPr>
          <w:r>
            <w:rPr>
              <w:rFonts w:hint="eastAsia"/>
            </w:rPr>
            <w:t>3.合营企业的会计处理</w:t>
          </w:r>
        </w:p>
        <w:p w14:paraId="63829328">
          <w:pPr>
            <w:spacing w:line="360" w:lineRule="auto"/>
            <w:ind w:firstLine="420" w:firstLineChars="200"/>
            <w:jc w:val="both"/>
            <w:rPr>
              <w:b/>
              <w:bCs/>
            </w:rPr>
          </w:pPr>
          <w:r>
            <w:rPr>
              <w:rFonts w:hint="eastAsia"/>
            </w:rPr>
            <w:t>本公司为合营企业合营方，按照《企业会计准则第2号——长期股权投资》的规定对合营企业的投资进行会计处理；本公司为非合营方，根据对该合营企业的影响程度进行会计处理。</w:t>
          </w:r>
        </w:p>
      </w:sdtContent>
    </w:sdt>
    <w:p w14:paraId="2924C8EB">
      <w:pPr>
        <w:pStyle w:val="48"/>
      </w:pPr>
    </w:p>
    <w:p w14:paraId="0C33D827">
      <w:pPr>
        <w:pStyle w:val="4"/>
        <w:numPr>
          <w:ilvl w:val="0"/>
          <w:numId w:val="54"/>
        </w:numPr>
      </w:pPr>
      <w:r>
        <w:t>现金及现金等价物的确定标准</w:t>
      </w:r>
    </w:p>
    <w:sdt>
      <w:sdtPr>
        <w:rPr>
          <w:rFonts w:hint="eastAsia"/>
        </w:rPr>
        <w:alias w:val="现金及现金等价物的确定标准"/>
        <w:tag w:val="_GBC_54f6bc3e44e840bc85cb3872600823b5"/>
        <w:id w:val="-95794970"/>
        <w:placeholder>
          <w:docPart w:val="GBC22222222222222222222222222222"/>
        </w:placeholder>
      </w:sdtPr>
      <w:sdtEndPr>
        <w:rPr>
          <w:rFonts w:hint="eastAsia"/>
        </w:rPr>
      </w:sdtEndPr>
      <w:sdtContent>
        <w:p w14:paraId="39B32CE3">
          <w:pPr>
            <w:pStyle w:val="48"/>
            <w:spacing w:line="360" w:lineRule="auto"/>
            <w:ind w:firstLine="420" w:firstLineChars="200"/>
          </w:pPr>
          <w:r>
            <w:rPr>
              <w:rFonts w:hint="eastAsia"/>
            </w:rPr>
            <w:t>本公司在编制现金流量表时，将库存现金以及可以随时用于支付的存款确认为现金。将同时具备期限短（从购买日起三个月内到期）、流动性强、易于转换为已知金额现金、价值变动风险很小的投资确定为现金等价物；权益性投资不作为现金等价物。</w:t>
          </w:r>
        </w:p>
      </w:sdtContent>
    </w:sdt>
    <w:p w14:paraId="3355D6B5">
      <w:pPr>
        <w:pStyle w:val="48"/>
      </w:pPr>
    </w:p>
    <w:p w14:paraId="7142EDF0">
      <w:pPr>
        <w:pStyle w:val="4"/>
        <w:numPr>
          <w:ilvl w:val="0"/>
          <w:numId w:val="54"/>
        </w:numPr>
      </w:pPr>
      <w:r>
        <w:t>外币业务和外币报表折算</w:t>
      </w:r>
    </w:p>
    <w:sdt>
      <w:sdtPr>
        <w:rPr>
          <w:rFonts w:hint="eastAsia"/>
        </w:rPr>
        <w:alias w:val="是否适用：外币业务和外币报表折算[双击切换]"/>
        <w:tag w:val="_GBC_9c9def5a1d2241b5a3ee696d03433778"/>
        <w:id w:val="-69727814"/>
        <w:placeholder>
          <w:docPart w:val="GBC22222222222222222222222222222"/>
        </w:placeholder>
      </w:sdtPr>
      <w:sdtEndPr>
        <w:rPr>
          <w:rFonts w:hint="eastAsia"/>
        </w:rPr>
      </w:sdtEndPr>
      <w:sdtContent>
        <w:p w14:paraId="4DE15121">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外币业务核算方法"/>
        <w:tag w:val="_GBC_1703fe5fc56b42a8972c0906a4ac6d6b"/>
        <w:id w:val="1996841924"/>
        <w:placeholder>
          <w:docPart w:val="GBC22222222222222222222222222222"/>
        </w:placeholder>
      </w:sdtPr>
      <w:sdtEndPr>
        <w:rPr>
          <w:rFonts w:hint="eastAsia"/>
        </w:rPr>
      </w:sdtEndPr>
      <w:sdtContent>
        <w:p w14:paraId="6432E481">
          <w:pPr>
            <w:spacing w:line="360" w:lineRule="auto"/>
            <w:ind w:firstLine="420" w:firstLineChars="200"/>
            <w:jc w:val="both"/>
          </w:pPr>
          <w:r>
            <w:rPr>
              <w:rFonts w:hint="eastAsia"/>
            </w:rPr>
            <w:t>1.外币业务折算</w:t>
          </w:r>
        </w:p>
        <w:p w14:paraId="57ED91DE">
          <w:pPr>
            <w:spacing w:line="360" w:lineRule="auto"/>
            <w:ind w:firstLine="420" w:firstLineChars="200"/>
            <w:jc w:val="both"/>
          </w:pPr>
          <w:r>
            <w:rPr>
              <w:rFonts w:hint="eastAsia"/>
            </w:rPr>
            <w:t>本公司对发生的外币交易，采用与交易发生日即期汇率折合本位币入账。资产负债表日外币货币性项目按资产负债表日即期汇率折算，因该日的即期汇率与初始确认时或者前一资产负债表日即期汇率不同而产生的汇兑差额，除符合资本化条件的外币专门借款的汇兑差额在资本化期间予以资本化计入相关资产的成本外，均计入当期损益。以历史成本计量的外币非货币性项目，仍采用交易发生日的即期汇率折算，不改变其记账本位币金额。以公允价值计量的外币非货币性项目，采用公允价值确定日的即期汇率折算，折算后的记账本位币金额与原记账本位币金额的差额，作为公允价值变动(含汇率变动)处理，计入当期损益或确认为其他综合收益。</w:t>
          </w:r>
        </w:p>
        <w:p w14:paraId="3155B91C">
          <w:pPr>
            <w:spacing w:line="360" w:lineRule="auto"/>
            <w:ind w:firstLine="420" w:firstLineChars="200"/>
            <w:jc w:val="both"/>
          </w:pPr>
          <w:r>
            <w:rPr>
              <w:rFonts w:hint="eastAsia"/>
            </w:rPr>
            <w:t>2.外币财务报表折算</w:t>
          </w:r>
        </w:p>
        <w:p w14:paraId="188EC81F">
          <w:pPr>
            <w:spacing w:line="360" w:lineRule="auto"/>
            <w:ind w:firstLine="420" w:firstLineChars="200"/>
            <w:jc w:val="both"/>
            <w:rPr>
              <w:kern w:val="2"/>
            </w:rPr>
          </w:pPr>
          <w:r>
            <w:rPr>
              <w:rFonts w:hint="eastAsia"/>
            </w:rPr>
            <w:t>本公司的子公司、合营企业、联营企业等，若采用与本公司不同的记账本位币，需对其外币财务报表折算后，再进行会计核算及合并财务报表的编报。资产负债表中的资产和负债项目，采用资产负债表日的即期汇率折算，所有者权益项目除“未分配利润”项目外，其他项目采用发生时的即期汇率折算。利润表中的收入和费用项目，采用交易发生日的即期汇率折算。折算产生的外币财务报表折算差额，在资产负债表中所有者权益项目其他综合收益下列示。外币现金流量应当采用现金流量发生日的即期汇率。汇率变动对现金的影响额，在现金流量表中单独列示。处置境外经营时，与该境外经营有关的外币报表折算差额，全部或按处置该境外经营的比例转入处置当期损益。</w:t>
          </w:r>
        </w:p>
      </w:sdtContent>
    </w:sdt>
    <w:p w14:paraId="0FF58691">
      <w:pPr>
        <w:pStyle w:val="48"/>
      </w:pPr>
    </w:p>
    <w:p w14:paraId="4E6CDADF">
      <w:pPr>
        <w:pStyle w:val="4"/>
        <w:numPr>
          <w:ilvl w:val="0"/>
          <w:numId w:val="54"/>
        </w:numPr>
      </w:pPr>
      <w:r>
        <w:t>金融工具</w:t>
      </w:r>
    </w:p>
    <w:sdt>
      <w:sdtPr>
        <w:rPr>
          <w:rFonts w:hint="eastAsia"/>
        </w:rPr>
        <w:alias w:val="是否适用：金融工具_重要会计政策和估计[双击切换]"/>
        <w:tag w:val="_GBC_1537cea503f244c2af870a2a0d5fd7a9"/>
        <w:id w:val="-1690056241"/>
        <w:placeholder>
          <w:docPart w:val="GBC22222222222222222222222222222"/>
        </w:placeholder>
      </w:sdtPr>
      <w:sdtEndPr>
        <w:rPr>
          <w:rFonts w:hint="eastAsia"/>
        </w:rPr>
      </w:sdtEndPr>
      <w:sdtContent>
        <w:p w14:paraId="04F39910">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金融资产和金融负债的核算方法"/>
        <w:tag w:val="_GBC_b358067bbe2a49bf880c383a5db50d8a"/>
        <w:id w:val="1891995901"/>
        <w:placeholder>
          <w:docPart w:val="GBC22222222222222222222222222222"/>
        </w:placeholder>
      </w:sdtPr>
      <w:sdtEndPr>
        <w:rPr>
          <w:rFonts w:hint="eastAsia"/>
        </w:rPr>
      </w:sdtEndPr>
      <w:sdtContent>
        <w:p w14:paraId="1F45C9F4">
          <w:pPr>
            <w:pStyle w:val="48"/>
            <w:spacing w:line="360" w:lineRule="auto"/>
            <w:ind w:firstLine="420" w:firstLineChars="200"/>
          </w:pPr>
          <w:r>
            <w:rPr>
              <w:rFonts w:hint="eastAsia"/>
            </w:rPr>
            <w:t>1.金融工具的分类、确认和计量</w:t>
          </w:r>
        </w:p>
        <w:p w14:paraId="11FAC580">
          <w:pPr>
            <w:pStyle w:val="48"/>
            <w:spacing w:line="360" w:lineRule="auto"/>
            <w:ind w:firstLine="420" w:firstLineChars="200"/>
          </w:pPr>
          <w:r>
            <w:rPr>
              <w:rFonts w:hint="eastAsia"/>
            </w:rPr>
            <w:t>（1）金融资产</w:t>
          </w:r>
        </w:p>
        <w:p w14:paraId="09112794">
          <w:pPr>
            <w:pStyle w:val="48"/>
            <w:spacing w:line="360" w:lineRule="auto"/>
            <w:ind w:firstLine="420" w:firstLineChars="200"/>
          </w:pPr>
          <w:r>
            <w:rPr>
              <w:rFonts w:hint="eastAsia"/>
            </w:rPr>
            <w:t>根据管理金融资产的业务模式和金融资产的合同现金流量特征，本公司将金融资产划分为以下三类：</w:t>
          </w:r>
        </w:p>
        <w:p w14:paraId="7D7BB893">
          <w:pPr>
            <w:pStyle w:val="48"/>
            <w:spacing w:line="360" w:lineRule="auto"/>
            <w:ind w:firstLine="420" w:firstLineChars="200"/>
          </w:pPr>
          <w:r>
            <w:rPr>
              <w:rFonts w:hint="eastAsia"/>
            </w:rPr>
            <w:t>①以摊余成本计量的金融资产。管理此类金融资产的业务模式是以收取合同现金流量为目标，且此类金融资产的合同现金流量特征与基本借贷安排相一致，即在特定日期产生的现金流量仅为对本金和以未偿付本金金额为基础的利息的支付。该类金融资产后续按照实际利率法确认利息收入。</w:t>
          </w:r>
        </w:p>
        <w:p w14:paraId="744984AD">
          <w:pPr>
            <w:pStyle w:val="48"/>
            <w:spacing w:line="360" w:lineRule="auto"/>
            <w:ind w:firstLine="420" w:firstLineChars="200"/>
          </w:pPr>
          <w:r>
            <w:rPr>
              <w:rFonts w:hint="eastAsia"/>
            </w:rPr>
            <w:t>②以公允价值计量且其变动计入其他综合收益的金融资产。管理此类金融资产的业务模式既以收取合同现金流量又以出售该金融资产为目标，且此类金融资产的合同现金流量特征与基本借贷安排相一致。该类金融资产后续按照公允价值计量，且其变动计入其他综合收益，但按照实际利率法计算的利息收入、减值损失或利得及汇兑损益计入当期损益。</w:t>
          </w:r>
        </w:p>
        <w:p w14:paraId="48B1E812">
          <w:pPr>
            <w:pStyle w:val="48"/>
            <w:spacing w:line="360" w:lineRule="auto"/>
            <w:ind w:firstLine="420" w:firstLineChars="200"/>
          </w:pPr>
          <w:r>
            <w:rPr>
              <w:rFonts w:hint="eastAsia"/>
            </w:rPr>
            <w:t>③以公允价值计量且其变动计入当期损益。将持有的未划分为以摊余成本计量和以公允价值计量且其变动计入其他综合收益的金融资产，以公允价值计量，产生的利得或损失（包括利息和股利收入）计入当期损益。在初始确认时，如果能消除或减少会计错配，可以将金融资产不可撤销地指定为以公允价值计量且其变动计入当期损益的金融资产。该指定一经做出，不得撤销。</w:t>
          </w:r>
        </w:p>
        <w:p w14:paraId="252C55FF">
          <w:pPr>
            <w:pStyle w:val="48"/>
            <w:spacing w:line="360" w:lineRule="auto"/>
            <w:ind w:firstLine="420" w:firstLineChars="200"/>
          </w:pPr>
          <w:r>
            <w:rPr>
              <w:rFonts w:hint="eastAsia"/>
            </w:rPr>
            <w:t>对于非交易性权益工具投资，本公司可在初始确认时将其不可撤销地指定为以公允价值计量且其变动计入其他综合收益的金融资产。该指定在单项投资的基础上作出，且相关投资从发行者的角度符合权益工具的定义。该类金融资产以公允价值进行后续计量，除获得的股利（属于投资成本收回部分的除外）计入当期损益外，其他相关利得和损失均计入其他综合收益，且后续不转入当期损益。</w:t>
          </w:r>
        </w:p>
        <w:p w14:paraId="06CB9F87">
          <w:pPr>
            <w:pStyle w:val="48"/>
            <w:spacing w:line="360" w:lineRule="auto"/>
            <w:ind w:firstLine="420" w:firstLineChars="200"/>
          </w:pPr>
          <w:r>
            <w:rPr>
              <w:rFonts w:hint="eastAsia"/>
            </w:rPr>
            <w:t>（2）金融负债</w:t>
          </w:r>
        </w:p>
        <w:p w14:paraId="58CC786F">
          <w:pPr>
            <w:pStyle w:val="48"/>
            <w:spacing w:line="360" w:lineRule="auto"/>
            <w:ind w:firstLine="420" w:firstLineChars="200"/>
          </w:pPr>
          <w:r>
            <w:rPr>
              <w:rFonts w:hint="eastAsia"/>
            </w:rPr>
            <w:t>金融负债于初始确认时分类为：</w:t>
          </w:r>
        </w:p>
        <w:p w14:paraId="7569BCD4">
          <w:pPr>
            <w:pStyle w:val="48"/>
            <w:spacing w:line="360" w:lineRule="auto"/>
            <w:ind w:firstLine="420" w:firstLineChars="200"/>
          </w:pPr>
          <w:r>
            <w:rPr>
              <w:rFonts w:hint="eastAsia"/>
            </w:rPr>
            <w:t>①以公允价值计量且其变动计入当期损益的金融负债。该类金融负债以公允价值进行后续计量，形成的利得或损失计入当期损益。</w:t>
          </w:r>
        </w:p>
        <w:p w14:paraId="30CFB615">
          <w:pPr>
            <w:pStyle w:val="48"/>
            <w:spacing w:line="360" w:lineRule="auto"/>
            <w:ind w:firstLine="420" w:firstLineChars="200"/>
          </w:pPr>
          <w:r>
            <w:rPr>
              <w:rFonts w:hint="eastAsia"/>
            </w:rPr>
            <w:t>②金融资产转移不符合终止确认条件或继续涉入被转移金融资产所形成的金融负债。</w:t>
          </w:r>
        </w:p>
        <w:p w14:paraId="5470629D">
          <w:pPr>
            <w:pStyle w:val="48"/>
            <w:spacing w:line="360" w:lineRule="auto"/>
            <w:ind w:firstLine="420" w:firstLineChars="200"/>
          </w:pPr>
          <w:r>
            <w:rPr>
              <w:rFonts w:hint="eastAsia"/>
            </w:rPr>
            <w:t>③以摊余成本计量的金融负债。该类金融负债采用实际利率法以摊余成本计量。</w:t>
          </w:r>
        </w:p>
        <w:p w14:paraId="4F2745D6">
          <w:pPr>
            <w:pStyle w:val="48"/>
            <w:spacing w:line="360" w:lineRule="auto"/>
            <w:ind w:firstLine="420" w:firstLineChars="200"/>
          </w:pPr>
          <w:r>
            <w:rPr>
              <w:rFonts w:hint="eastAsia"/>
            </w:rPr>
            <w:t>2.金融工具的公允价值的确认方法</w:t>
          </w:r>
        </w:p>
        <w:p w14:paraId="47945008">
          <w:pPr>
            <w:pStyle w:val="48"/>
            <w:spacing w:line="360" w:lineRule="auto"/>
            <w:ind w:firstLine="420" w:firstLineChars="200"/>
          </w:pPr>
          <w:r>
            <w:rPr>
              <w:rFonts w:hint="eastAsia"/>
            </w:rPr>
            <w:t>存在活跃市场的金融工具，以活跃市场中的报价确定其公允价值；如不存在活跃市场，采用估值技术确定其公允价值。在有限情况下，如果用以确定公允价值的近期信息不足，或者公允价值的可能估计金额分布范围很广，而成本代表了该范围内对公允价值的最佳估计的，该成本可代表其在该分布范围内对公允价值的恰当估计。本公司利用初始确认日后可获得的关于被投资方业绩和经营的所有信息，判断成本能否代表公允价值。</w:t>
          </w:r>
        </w:p>
        <w:p w14:paraId="595F9F05">
          <w:pPr>
            <w:pStyle w:val="48"/>
            <w:spacing w:line="360" w:lineRule="auto"/>
            <w:ind w:firstLine="420" w:firstLineChars="200"/>
          </w:pPr>
          <w:r>
            <w:rPr>
              <w:rFonts w:hint="eastAsia"/>
            </w:rPr>
            <w:t>3.金融工具的终止确认</w:t>
          </w:r>
        </w:p>
        <w:p w14:paraId="2F21488A">
          <w:pPr>
            <w:pStyle w:val="48"/>
            <w:spacing w:line="360" w:lineRule="auto"/>
            <w:ind w:firstLine="420" w:firstLineChars="200"/>
          </w:pPr>
          <w:r>
            <w:rPr>
              <w:rFonts w:hint="eastAsia"/>
            </w:rPr>
            <w:t>金融资产满足下列条件之一的，予以终止确认：（1）收取金融资产现金流量的合同权利终止；（2）金融资产已转移，且符合终止确认条件。</w:t>
          </w:r>
        </w:p>
        <w:p w14:paraId="62317B6B">
          <w:pPr>
            <w:pStyle w:val="48"/>
            <w:spacing w:line="360" w:lineRule="auto"/>
            <w:ind w:firstLine="420" w:firstLineChars="200"/>
          </w:pPr>
          <w:r>
            <w:rPr>
              <w:rFonts w:hint="eastAsia"/>
            </w:rPr>
            <w:t>金融负债的现时义务全部或部分得以解除的，终止确认已解除的部分。如果现有负债被同一债权人以实质上几乎完全不同条款的另一金融负债所取代，或现有负债的条款被实质性修改，终止确认现有金融负债，并同时确认新金融负债。以常规方式买卖金融资产，按交易日会计进行确认和终止确认。</w:t>
          </w:r>
        </w:p>
      </w:sdtContent>
    </w:sdt>
    <w:p w14:paraId="2BB13BAC">
      <w:pPr>
        <w:pStyle w:val="48"/>
      </w:pPr>
    </w:p>
    <w:p w14:paraId="1DE07041">
      <w:pPr>
        <w:pStyle w:val="4"/>
        <w:numPr>
          <w:ilvl w:val="0"/>
          <w:numId w:val="54"/>
        </w:numPr>
      </w:pPr>
      <w:bookmarkStart w:id="206" w:name="_Hlk533667757"/>
      <w:r>
        <w:rPr>
          <w:rFonts w:hint="eastAsia" w:ascii="宋体" w:hAnsi="宋体" w:cs="宋体"/>
          <w:kern w:val="0"/>
          <w:szCs w:val="21"/>
        </w:rPr>
        <w:t>应收票据</w:t>
      </w:r>
    </w:p>
    <w:sdt>
      <w:sdtPr>
        <w:alias w:val="是否适用：应收票据_重要会计政策和估计[双击切换]"/>
        <w:tag w:val="_GBC_71282cbeee2f4e2784a0766b8ae627ef"/>
        <w:id w:val="-1516845991"/>
        <w:placeholder>
          <w:docPart w:val="GBC22222222222222222222222222222"/>
        </w:placeholder>
      </w:sdtPr>
      <w:sdtContent>
        <w:p w14:paraId="715F815C">
          <w:pPr>
            <w:pStyle w:val="48"/>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
          <w:sdtPr>
            <w:rPr>
              <w:rFonts w:ascii="宋体" w:hAnsi="宋体"/>
            </w:rPr>
            <w:alias w:val="应收票据按照信用风险特征组合计提坏账准备的组合类别及确定依据"/>
            <w:tag w:val="_GBC_753a33a28cdc45e4b5d0420bf9282a36"/>
            <w:id w:val="-1418861164"/>
            <w:placeholder>
              <w:docPart w:val="3451338222364C809A8C51EA8CBDFE3D"/>
            </w:placeholder>
          </w:sdtPr>
          <w:sdtEndPr>
            <w:rPr>
              <w:rFonts w:ascii="宋体" w:hAnsi="宋体"/>
            </w:rPr>
          </w:sdtEndPr>
          <w:sdtContent>
            <w:p w14:paraId="76B9D043">
              <w:pPr>
                <w:pStyle w:val="48"/>
                <w:rPr>
                  <w:rFonts w:ascii="宋体" w:hAnsi="宋体"/>
                </w:rPr>
              </w:pPr>
              <w:r>
                <w:rPr>
                  <w:rFonts w:hint="eastAsia" w:ascii="宋体" w:hAnsi="宋体"/>
                </w:rPr>
                <w:t>详见审计报告附注三（十二）预期信用损失的确定方法及会计处理方法</w:t>
              </w:r>
            </w:p>
            <w:p w14:paraId="7895D811">
              <w:pPr>
                <w:pStyle w:val="48"/>
                <w:rPr>
                  <w:rFonts w:ascii="宋体" w:hAnsi="宋体"/>
                </w:rPr>
              </w:pPr>
            </w:p>
          </w:sdtContent>
        </w:sdt>
      </w:sdtContent>
    </w:sdt>
    <w:bookmarkEnd w:id="206"/>
    <w:p w14:paraId="6660D421">
      <w:pPr>
        <w:rPr>
          <w:b/>
          <w:kern w:val="2"/>
          <w:szCs w:val="28"/>
        </w:rPr>
      </w:pPr>
      <w:r>
        <w:rPr>
          <w:b/>
          <w:kern w:val="2"/>
          <w:szCs w:val="28"/>
        </w:rPr>
        <w:t>按照信用风险特征组合计提坏账准备的组合类别及确定依据</w:t>
      </w:r>
    </w:p>
    <w:sdt>
      <w:sdtPr>
        <w:alias w:val="是否适用：应收票据按照信用风险特征组合计提坏账准备的组合类别及确定依据[双击切换]"/>
        <w:tag w:val="_GBC_bdbc02d09982499a9db8e87f1e92519c"/>
        <w:id w:val="-335228436"/>
        <w:placeholder>
          <w:docPart w:val="GBC22222222222222222222222222222"/>
        </w:placeholder>
      </w:sdtPr>
      <w:sdtContent>
        <w:p w14:paraId="73988CE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F3F47F3">
      <w:pPr>
        <w:rPr>
          <w:b/>
          <w:kern w:val="2"/>
          <w:szCs w:val="28"/>
        </w:rPr>
      </w:pPr>
      <w:r>
        <w:rPr>
          <w:b/>
          <w:kern w:val="2"/>
          <w:szCs w:val="28"/>
        </w:rPr>
        <w:t>基于账龄确认信用风险特征组合的账龄计算方法</w:t>
      </w:r>
    </w:p>
    <w:sdt>
      <w:sdtPr>
        <w:alias w:val="是否适用：应收票据基于账龄确认信用风险特征组合的账龄计算方法[双击切换]"/>
        <w:tag w:val="_GBC_4d2b71d4b5534e67ac5cf99b5efc3674"/>
        <w:id w:val="2138830397"/>
        <w:placeholder>
          <w:docPart w:val="GBC22222222222222222222222222222"/>
        </w:placeholder>
      </w:sdtPr>
      <w:sdtContent>
        <w:p w14:paraId="1641A63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8D1E209">
      <w:pPr>
        <w:rPr>
          <w:b/>
          <w:bCs/>
          <w:kern w:val="2"/>
          <w:szCs w:val="28"/>
        </w:rPr>
      </w:pPr>
    </w:p>
    <w:p w14:paraId="5CE63C06">
      <w:pPr>
        <w:rPr>
          <w:b/>
          <w:kern w:val="2"/>
          <w:szCs w:val="28"/>
        </w:rPr>
      </w:pPr>
      <w:r>
        <w:rPr>
          <w:b/>
          <w:kern w:val="2"/>
          <w:szCs w:val="28"/>
        </w:rPr>
        <w:t>按照单项计提坏账准备的单项计提判断标准</w:t>
      </w:r>
    </w:p>
    <w:sdt>
      <w:sdtPr>
        <w:alias w:val="是否适用：应收票据按照单项计提坏账准备的单项计提判断标准[双击切换]"/>
        <w:tag w:val="_GBC_acad24dddcfb47cb8bf9995785bdb5ca"/>
        <w:id w:val="1010184548"/>
        <w:placeholder>
          <w:docPart w:val="GBC22222222222222222222222222222"/>
        </w:placeholder>
      </w:sdtPr>
      <w:sdtContent>
        <w:p w14:paraId="5D770D4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38BB60">
      <w:pPr>
        <w:pStyle w:val="48"/>
      </w:pPr>
    </w:p>
    <w:p w14:paraId="76ADC266">
      <w:pPr>
        <w:pStyle w:val="4"/>
        <w:numPr>
          <w:ilvl w:val="0"/>
          <w:numId w:val="54"/>
        </w:numPr>
      </w:pPr>
      <w:bookmarkStart w:id="207" w:name="_Hlk152690378"/>
      <w:bookmarkStart w:id="208" w:name="_Hlk533667783"/>
      <w:r>
        <w:rPr>
          <w:rFonts w:hint="eastAsia" w:ascii="宋体" w:hAnsi="宋体" w:cs="宋体"/>
          <w:kern w:val="0"/>
          <w:szCs w:val="21"/>
        </w:rPr>
        <w:t>应收账款</w:t>
      </w:r>
    </w:p>
    <w:sdt>
      <w:sdtPr>
        <w:rPr>
          <w:rFonts w:hint="eastAsia" w:ascii="Times New Roman" w:hAnsi="Times New Roman"/>
          <w:kern w:val="0"/>
        </w:rPr>
        <w:alias w:val="是否适用：应收账款_重要会计政策和估计[双击切换]"/>
        <w:tag w:val="_GBC_d0c8b3edf5e1401fa6e5edeeb4e121b6"/>
        <w:id w:val="-889257195"/>
        <w:placeholder>
          <w:docPart w:val="GBC22222222222222222222222222222"/>
        </w:placeholder>
      </w:sdtPr>
      <w:sdtEndPr>
        <w:rPr>
          <w:rFonts w:hint="eastAsia" w:ascii="Times New Roman" w:hAnsi="Times New Roman"/>
          <w:kern w:val="0"/>
        </w:rPr>
      </w:sdtEndPr>
      <w:sdtContent>
        <w:p w14:paraId="397F7EE1">
          <w:pPr>
            <w:pStyle w:val="48"/>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p w14:paraId="761D5BE4">
          <w:pPr>
            <w:rPr>
              <w:rFonts w:ascii="Calibri" w:hAnsi="Calibri"/>
              <w:kern w:val="2"/>
            </w:rPr>
          </w:pPr>
          <w:r>
            <w:rPr>
              <w:rFonts w:hint="eastAsia" w:ascii="Calibri" w:hAnsi="Calibri"/>
              <w:kern w:val="2"/>
            </w:rPr>
            <w:t>详见审计报告附注三（十二）预期信用损失的确定方法及会计处理方法</w:t>
          </w:r>
        </w:p>
      </w:sdtContent>
    </w:sdt>
    <w:p w14:paraId="0F033F3F">
      <w:pPr>
        <w:pStyle w:val="48"/>
      </w:pPr>
    </w:p>
    <w:bookmarkEnd w:id="207"/>
    <w:bookmarkEnd w:id="208"/>
    <w:p w14:paraId="35FBE577">
      <w:pPr>
        <w:rPr>
          <w:b/>
          <w:kern w:val="2"/>
          <w:szCs w:val="28"/>
        </w:rPr>
      </w:pPr>
      <w:r>
        <w:rPr>
          <w:b/>
          <w:kern w:val="2"/>
          <w:szCs w:val="28"/>
        </w:rPr>
        <w:t>按照信用风险特征组合计提坏账准备的组合类别及确定依据</w:t>
      </w:r>
    </w:p>
    <w:sdt>
      <w:sdtPr>
        <w:alias w:val="是否适用：应收账款按照信用风险特征组合计提坏账准备的组合类别及确定依据[双击切换]"/>
        <w:tag w:val="_GBC_bbe660c8a4484f56bb4d8ca560cf5f0d"/>
        <w:id w:val="-2138258231"/>
        <w:placeholder>
          <w:docPart w:val="GBC22222222222222222222222222222"/>
        </w:placeholder>
      </w:sdtPr>
      <w:sdtContent>
        <w:p w14:paraId="2AFEFA4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3B6211E">
      <w:pPr>
        <w:rPr>
          <w:b/>
          <w:bCs/>
          <w:kern w:val="2"/>
          <w:szCs w:val="28"/>
        </w:rPr>
      </w:pPr>
    </w:p>
    <w:p w14:paraId="3AF16A5C">
      <w:pPr>
        <w:rPr>
          <w:b/>
          <w:kern w:val="2"/>
          <w:szCs w:val="28"/>
        </w:rPr>
      </w:pPr>
      <w:r>
        <w:rPr>
          <w:b/>
          <w:kern w:val="2"/>
          <w:szCs w:val="28"/>
        </w:rPr>
        <w:t>基于账龄确认信用风险特征组合的账龄计算方法</w:t>
      </w:r>
    </w:p>
    <w:sdt>
      <w:sdtPr>
        <w:alias w:val="是否适用：应收账款基于账龄确认信用风险特征组合的账龄计算方法[双击切换]"/>
        <w:tag w:val="_GBC_a894190385984ab79eb47091bc48cf44"/>
        <w:id w:val="-1158921561"/>
        <w:placeholder>
          <w:docPart w:val="GBC22222222222222222222222222222"/>
        </w:placeholder>
      </w:sdtPr>
      <w:sdtContent>
        <w:p w14:paraId="3AE3355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89C6BF">
      <w:pPr>
        <w:rPr>
          <w:b/>
          <w:bCs/>
          <w:kern w:val="2"/>
          <w:szCs w:val="28"/>
        </w:rPr>
      </w:pPr>
    </w:p>
    <w:p w14:paraId="6DF0E1B2">
      <w:pPr>
        <w:rPr>
          <w:b/>
          <w:kern w:val="2"/>
          <w:szCs w:val="28"/>
        </w:rPr>
      </w:pPr>
      <w:r>
        <w:rPr>
          <w:b/>
          <w:kern w:val="2"/>
          <w:szCs w:val="28"/>
        </w:rPr>
        <w:t>按照单项计提坏账准备的认定单项计提判断标准</w:t>
      </w:r>
    </w:p>
    <w:sdt>
      <w:sdtPr>
        <w:alias w:val="是否适用：应收账款按照单项计提坏账准备的单项计提判断标准[双击切换]"/>
        <w:tag w:val="_GBC_f7afe786f25942689e4acaa1b3bcb415"/>
        <w:id w:val="1680924201"/>
        <w:placeholder>
          <w:docPart w:val="GBC22222222222222222222222222222"/>
        </w:placeholder>
      </w:sdtPr>
      <w:sdtContent>
        <w:p w14:paraId="711AEBC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2853CB6">
      <w:pPr>
        <w:pStyle w:val="48"/>
      </w:pPr>
    </w:p>
    <w:p w14:paraId="5FCBAC90">
      <w:pPr>
        <w:pStyle w:val="4"/>
        <w:numPr>
          <w:ilvl w:val="0"/>
          <w:numId w:val="54"/>
        </w:numPr>
      </w:pPr>
      <w:bookmarkStart w:id="209" w:name="_Hlk152690443"/>
      <w:bookmarkStart w:id="210" w:name="_Hlk24102310"/>
      <w:r>
        <w:rPr>
          <w:rFonts w:hint="eastAsia"/>
        </w:rPr>
        <w:t>应收款项融资</w:t>
      </w:r>
    </w:p>
    <w:sdt>
      <w:sdtPr>
        <w:alias w:val="是否适用：应收款项融资_重要会计政策和估计[双击切换]"/>
        <w:tag w:val="_GBC_a2e41ba19b9541d683d17977f5a0e631"/>
        <w:id w:val="1007941718"/>
        <w:placeholder>
          <w:docPart w:val="GBC22222222222222222222222222222"/>
        </w:placeholder>
      </w:sdtPr>
      <w:sdtContent>
        <w:p w14:paraId="24E73B80">
          <w:pPr>
            <w:pStyle w:val="48"/>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
          <w:sdtPr>
            <w:alias w:val="应收票据按照信用风险特征组合计提坏账准备的组合类别及确定依据"/>
            <w:tag w:val="_GBC_753a33a28cdc45e4b5d0420bf9282a36"/>
            <w:id w:val="1318305627"/>
            <w:placeholder>
              <w:docPart w:val="4E2B4110E7EA437EB02AB075E7949D67"/>
            </w:placeholder>
          </w:sdtPr>
          <w:sdtContent>
            <w:p w14:paraId="742AB366">
              <w:pPr>
                <w:pStyle w:val="48"/>
              </w:pPr>
              <w:r>
                <w:rPr>
                  <w:rFonts w:hint="eastAsia"/>
                </w:rPr>
                <w:t>详见审计报告附注三（十二）预期信用损失的确定方法及会计处理方法</w:t>
              </w:r>
            </w:p>
            <w:p w14:paraId="55FDEBD8">
              <w:pPr>
                <w:pStyle w:val="48"/>
              </w:pPr>
            </w:p>
          </w:sdtContent>
        </w:sdt>
      </w:sdtContent>
    </w:sdt>
    <w:bookmarkEnd w:id="209"/>
    <w:bookmarkEnd w:id="210"/>
    <w:p w14:paraId="111DFE28">
      <w:pPr>
        <w:rPr>
          <w:b/>
          <w:kern w:val="2"/>
          <w:szCs w:val="28"/>
        </w:rPr>
      </w:pPr>
      <w:r>
        <w:rPr>
          <w:b/>
          <w:kern w:val="2"/>
          <w:szCs w:val="28"/>
        </w:rPr>
        <w:t>按照信用风险特征组合计提坏账准备的组合类别及确定依据</w:t>
      </w:r>
    </w:p>
    <w:sdt>
      <w:sdtPr>
        <w:alias w:val="是否适用：应收款项融资按照信用风险特征组合计提坏账准备的组合类别及确定依据[双击切换]"/>
        <w:tag w:val="_GBC_96c4eeead8b040d79bbd069f3f4f2aec"/>
        <w:id w:val="1864233680"/>
        <w:placeholder>
          <w:docPart w:val="GBC22222222222222222222222222222"/>
        </w:placeholder>
      </w:sdtPr>
      <w:sdtContent>
        <w:p w14:paraId="7687197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1041842">
      <w:pPr>
        <w:rPr>
          <w:b/>
          <w:bCs/>
          <w:kern w:val="2"/>
          <w:szCs w:val="28"/>
        </w:rPr>
      </w:pPr>
    </w:p>
    <w:p w14:paraId="14CD3F23">
      <w:pPr>
        <w:rPr>
          <w:b/>
          <w:kern w:val="2"/>
          <w:szCs w:val="28"/>
        </w:rPr>
      </w:pPr>
      <w:r>
        <w:rPr>
          <w:b/>
          <w:kern w:val="2"/>
          <w:szCs w:val="28"/>
        </w:rPr>
        <w:t>基于账龄确认信用风险特征组合的账龄计算方法</w:t>
      </w:r>
    </w:p>
    <w:sdt>
      <w:sdtPr>
        <w:alias w:val="是否适用：应收款项融资基于账龄确认信用风险特征组合的账龄计算方法[双击切换]"/>
        <w:tag w:val="_GBC_6088373057ea4aacb1a49ee381004fee"/>
        <w:id w:val="-414331241"/>
        <w:placeholder>
          <w:docPart w:val="GBC22222222222222222222222222222"/>
        </w:placeholder>
      </w:sdtPr>
      <w:sdtContent>
        <w:p w14:paraId="3A17881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155F0EB">
      <w:pPr>
        <w:rPr>
          <w:b/>
          <w:bCs/>
          <w:kern w:val="2"/>
          <w:szCs w:val="28"/>
        </w:rPr>
      </w:pPr>
    </w:p>
    <w:p w14:paraId="6DA73DDE">
      <w:pPr>
        <w:rPr>
          <w:b/>
          <w:kern w:val="2"/>
          <w:szCs w:val="28"/>
        </w:rPr>
      </w:pPr>
      <w:r>
        <w:rPr>
          <w:b/>
          <w:kern w:val="2"/>
          <w:szCs w:val="28"/>
        </w:rPr>
        <w:t>按照单项计提坏账准备的单项计提判断标准</w:t>
      </w:r>
    </w:p>
    <w:sdt>
      <w:sdtPr>
        <w:alias w:val="是否适用：应收款项融资按照单项计提坏账准备的单项计提判断标准[双击切换]"/>
        <w:tag w:val="_GBC_ee8c0fdee21e477387bf47d167b126ff"/>
        <w:id w:val="1820917751"/>
        <w:placeholder>
          <w:docPart w:val="GBC22222222222222222222222222222"/>
        </w:placeholder>
      </w:sdtPr>
      <w:sdtContent>
        <w:p w14:paraId="7C75057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4974B6E">
      <w:pPr>
        <w:pStyle w:val="48"/>
      </w:pPr>
    </w:p>
    <w:p w14:paraId="5DE8790E">
      <w:pPr>
        <w:pStyle w:val="4"/>
        <w:numPr>
          <w:ilvl w:val="0"/>
          <w:numId w:val="54"/>
        </w:numPr>
      </w:pPr>
      <w:bookmarkStart w:id="211" w:name="_Hlk533667836"/>
      <w:r>
        <w:rPr>
          <w:rFonts w:hint="eastAsia"/>
          <w:szCs w:val="21"/>
        </w:rPr>
        <w:t>其他应收款</w:t>
      </w:r>
    </w:p>
    <w:sdt>
      <w:sdtPr>
        <w:rPr>
          <w:rFonts w:hint="eastAsia"/>
        </w:rPr>
        <w:alias w:val="是否适用：其他应收款_重要会计政策和估计[双击切换]"/>
        <w:tag w:val="_GBC_bd9572d7068940d78105aa21662a4f54"/>
        <w:id w:val="1647781621"/>
        <w:placeholder>
          <w:docPart w:val="GBC22222222222222222222222222222"/>
        </w:placeholder>
      </w:sdtPr>
      <w:sdtEndPr>
        <w:rPr>
          <w:rFonts w:hint="eastAsia"/>
        </w:rPr>
      </w:sdtEndPr>
      <w:sdtContent>
        <w:p w14:paraId="2912EBFC">
          <w:pPr>
            <w:pStyle w:val="48"/>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
          <w:sdtPr>
            <w:alias w:val="应收票据按照信用风险特征组合计提坏账准备的组合类别及确定依据"/>
            <w:tag w:val="_GBC_753a33a28cdc45e4b5d0420bf9282a36"/>
            <w:id w:val="-1031884939"/>
            <w:placeholder>
              <w:docPart w:val="E6A683922E344762A064767855F6790C"/>
            </w:placeholder>
          </w:sdtPr>
          <w:sdtContent>
            <w:p w14:paraId="324E3207">
              <w:pPr>
                <w:pStyle w:val="48"/>
              </w:pPr>
              <w:r>
                <w:rPr>
                  <w:rFonts w:hint="eastAsia"/>
                </w:rPr>
                <w:t>详见审计报告附注三（十二）预期信用损失的确定方法及会计处理方法</w:t>
              </w:r>
            </w:p>
            <w:p w14:paraId="5AFA7DA7">
              <w:pPr>
                <w:pStyle w:val="48"/>
              </w:pPr>
            </w:p>
          </w:sdtContent>
        </w:sdt>
      </w:sdtContent>
    </w:sdt>
    <w:bookmarkEnd w:id="211"/>
    <w:p w14:paraId="4F692C0C">
      <w:pPr>
        <w:rPr>
          <w:b/>
          <w:kern w:val="2"/>
          <w:szCs w:val="28"/>
        </w:rPr>
      </w:pPr>
      <w:r>
        <w:rPr>
          <w:b/>
          <w:kern w:val="2"/>
          <w:szCs w:val="28"/>
        </w:rPr>
        <w:t>按照信用风险特征组合计提坏账准备的组合类别及确定依据</w:t>
      </w:r>
    </w:p>
    <w:sdt>
      <w:sdtPr>
        <w:alias w:val="是否适用：其他应收款按照信用风险特征组合计提坏账准备的组合类别及确定依据[双击切换]"/>
        <w:tag w:val="_GBC_f39444fc293a46c5ae832091674d34c9"/>
        <w:id w:val="-876317274"/>
        <w:placeholder>
          <w:docPart w:val="GBC22222222222222222222222222222"/>
        </w:placeholder>
      </w:sdtPr>
      <w:sdtContent>
        <w:p w14:paraId="278EAC5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5139C89">
      <w:pPr>
        <w:rPr>
          <w:b/>
          <w:bCs/>
          <w:kern w:val="2"/>
          <w:szCs w:val="28"/>
        </w:rPr>
      </w:pPr>
    </w:p>
    <w:p w14:paraId="655F747C">
      <w:pPr>
        <w:rPr>
          <w:b/>
          <w:kern w:val="2"/>
          <w:szCs w:val="28"/>
        </w:rPr>
      </w:pPr>
      <w:r>
        <w:rPr>
          <w:b/>
          <w:kern w:val="2"/>
          <w:szCs w:val="28"/>
        </w:rPr>
        <w:t>基于账龄确认信用风险特征组合的账龄计算方法</w:t>
      </w:r>
    </w:p>
    <w:sdt>
      <w:sdtPr>
        <w:alias w:val="是否适用：其他应收款基于账龄确认信用风险特征组合的账龄计算方法[双击切换]"/>
        <w:tag w:val="_GBC_212b4fcf685f4b098f47723f38f926d2"/>
        <w:id w:val="1625415031"/>
        <w:placeholder>
          <w:docPart w:val="GBC22222222222222222222222222222"/>
        </w:placeholder>
      </w:sdtPr>
      <w:sdtContent>
        <w:p w14:paraId="380DBC2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8152ADE">
      <w:pPr>
        <w:rPr>
          <w:b/>
          <w:bCs/>
          <w:kern w:val="2"/>
          <w:szCs w:val="28"/>
        </w:rPr>
      </w:pPr>
    </w:p>
    <w:p w14:paraId="072AB938">
      <w:pPr>
        <w:rPr>
          <w:b/>
          <w:kern w:val="2"/>
          <w:szCs w:val="28"/>
        </w:rPr>
      </w:pPr>
      <w:r>
        <w:rPr>
          <w:b/>
          <w:kern w:val="2"/>
          <w:szCs w:val="28"/>
        </w:rPr>
        <w:t>按照单项计提坏账准备的单项计提判断标准</w:t>
      </w:r>
    </w:p>
    <w:sdt>
      <w:sdtPr>
        <w:alias w:val="是否适用：其他应收款按照单项计提坏账准备的单项计提判断标准[双击切换]"/>
        <w:tag w:val="_GBC_ba17d337469a42e78d387da6c2afd4e3"/>
        <w:id w:val="-1890652381"/>
        <w:placeholder>
          <w:docPart w:val="GBC22222222222222222222222222222"/>
        </w:placeholder>
      </w:sdtPr>
      <w:sdtContent>
        <w:p w14:paraId="289F369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C903B76">
      <w:pPr>
        <w:pStyle w:val="48"/>
      </w:pPr>
    </w:p>
    <w:p w14:paraId="60F96267">
      <w:pPr>
        <w:pStyle w:val="4"/>
        <w:numPr>
          <w:ilvl w:val="0"/>
          <w:numId w:val="54"/>
        </w:numPr>
      </w:pPr>
      <w:r>
        <w:t>存货</w:t>
      </w:r>
    </w:p>
    <w:sdt>
      <w:sdtPr>
        <w:rPr>
          <w:rFonts w:hint="eastAsia"/>
        </w:rPr>
        <w:alias w:val="是否适用：存货_重要会计政策和估计[双击切换]"/>
        <w:tag w:val="_GBC_dcacbe0db27e4ea5b80fa4aefb3bdbac"/>
        <w:id w:val="400647371"/>
        <w:placeholder>
          <w:docPart w:val="GBC22222222222222222222222222222"/>
        </w:placeholder>
      </w:sdtPr>
      <w:sdtEndPr>
        <w:rPr>
          <w:rFonts w:hint="eastAsia"/>
        </w:rPr>
      </w:sdtEndPr>
      <w:sdtContent>
        <w:p w14:paraId="3D989735">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C22717B">
      <w:pPr>
        <w:rPr>
          <w:b/>
          <w:kern w:val="2"/>
          <w:szCs w:val="28"/>
        </w:rPr>
      </w:pPr>
      <w:bookmarkStart w:id="212" w:name="_Hlk152678121"/>
      <w:r>
        <w:rPr>
          <w:b/>
          <w:kern w:val="2"/>
          <w:szCs w:val="28"/>
        </w:rPr>
        <w:t>存货</w:t>
      </w:r>
      <w:r>
        <w:rPr>
          <w:rFonts w:hint="eastAsia"/>
          <w:b/>
          <w:kern w:val="2"/>
          <w:szCs w:val="28"/>
        </w:rPr>
        <w:t>类别、发出计价方法、盘存制度、低值易耗品和包装物的摊销方法</w:t>
      </w:r>
    </w:p>
    <w:bookmarkEnd w:id="212"/>
    <w:sdt>
      <w:sdtPr>
        <w:alias w:val="是否适用：存货类别、发出计价方法、盘存制度、低值易耗品和包装物的摊销方法[双击切换]"/>
        <w:tag w:val="_GBC_7a24117441bd45edbee63ef5c75fa013"/>
        <w:id w:val="560831875"/>
        <w:placeholder>
          <w:docPart w:val="GBC22222222222222222222222222222"/>
        </w:placeholder>
      </w:sdtPr>
      <w:sdtContent>
        <w:p w14:paraId="1D9FAFA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存货类别、发出计价方法、盘存制度、低值易耗品和包装物的摊销方法"/>
        <w:tag w:val="_GBC_3fcd1bdad070400f9c9e3e5d4c064f2b"/>
        <w:id w:val="12503355"/>
        <w:placeholder>
          <w:docPart w:val="GBC22222222222222222222222222222"/>
        </w:placeholder>
      </w:sdtPr>
      <w:sdtContent>
        <w:p w14:paraId="48784E36">
          <w:pPr>
            <w:pStyle w:val="48"/>
            <w:spacing w:line="360" w:lineRule="auto"/>
            <w:ind w:firstLine="420" w:firstLineChars="200"/>
          </w:pPr>
          <w:r>
            <w:rPr>
              <w:rFonts w:hint="eastAsia"/>
            </w:rPr>
            <w:t>1.存货分类：</w:t>
          </w:r>
        </w:p>
        <w:p w14:paraId="4DCA8F7E">
          <w:pPr>
            <w:pStyle w:val="48"/>
            <w:spacing w:line="360" w:lineRule="auto"/>
            <w:ind w:firstLine="420" w:firstLineChars="200"/>
          </w:pPr>
          <w:r>
            <w:rPr>
              <w:rFonts w:hint="eastAsia"/>
            </w:rPr>
            <w:t>存货是指本公司在日常活动中持有以备出售的产成品或商品、处在生产过程中的在产品、在生产过程或提供劳务过程中耗用的材料和物料等。本公司存货包括库存商品、在产品、原材料、开发产品（房地产）、发出商品。</w:t>
          </w:r>
        </w:p>
        <w:p w14:paraId="779F1A1E">
          <w:pPr>
            <w:pStyle w:val="48"/>
            <w:spacing w:line="360" w:lineRule="auto"/>
            <w:ind w:firstLine="420" w:firstLineChars="200"/>
          </w:pPr>
          <w:r>
            <w:rPr>
              <w:rFonts w:hint="eastAsia"/>
            </w:rPr>
            <w:t>2.存货取得和发出的计价方法：</w:t>
          </w:r>
        </w:p>
        <w:p w14:paraId="60D8D846">
          <w:pPr>
            <w:pStyle w:val="48"/>
            <w:spacing w:line="360" w:lineRule="auto"/>
            <w:ind w:firstLine="420" w:firstLineChars="200"/>
          </w:pPr>
          <w:r>
            <w:rPr>
              <w:rFonts w:hint="eastAsia"/>
            </w:rPr>
            <w:t>存货在取得时按实际成本计价，领用和发出时按加权平均法计价。</w:t>
          </w:r>
        </w:p>
        <w:p w14:paraId="091D9AC7">
          <w:pPr>
            <w:pStyle w:val="48"/>
            <w:spacing w:line="360" w:lineRule="auto"/>
            <w:ind w:firstLine="420" w:firstLineChars="200"/>
          </w:pPr>
          <w:r>
            <w:rPr>
              <w:rFonts w:hint="eastAsia"/>
            </w:rPr>
            <w:t>3.存货的盘存制度：</w:t>
          </w:r>
        </w:p>
        <w:p w14:paraId="00AEAF28">
          <w:pPr>
            <w:pStyle w:val="48"/>
            <w:spacing w:line="360" w:lineRule="auto"/>
            <w:ind w:firstLine="420" w:firstLineChars="200"/>
          </w:pPr>
          <w:r>
            <w:rPr>
              <w:rFonts w:hint="eastAsia"/>
            </w:rPr>
            <w:t>存货盘存制度为永续盘存制。</w:t>
          </w:r>
        </w:p>
        <w:p w14:paraId="1E283D3D">
          <w:pPr>
            <w:pStyle w:val="48"/>
            <w:spacing w:line="360" w:lineRule="auto"/>
            <w:ind w:firstLine="420" w:firstLineChars="200"/>
          </w:pPr>
          <w:r>
            <w:rPr>
              <w:rFonts w:hint="eastAsia"/>
            </w:rPr>
            <w:t>4.低值易耗品和包装物的摊销方法</w:t>
          </w:r>
        </w:p>
        <w:p w14:paraId="57070E83">
          <w:pPr>
            <w:pStyle w:val="48"/>
            <w:spacing w:line="360" w:lineRule="auto"/>
            <w:ind w:firstLine="420" w:firstLineChars="200"/>
          </w:pPr>
          <w:r>
            <w:rPr>
              <w:rFonts w:hint="eastAsia"/>
            </w:rPr>
            <w:t>低值易耗品和包装物采用一次转销法摊销。</w:t>
          </w:r>
        </w:p>
      </w:sdtContent>
    </w:sdt>
    <w:p w14:paraId="72533928">
      <w:pPr>
        <w:pStyle w:val="48"/>
      </w:pPr>
    </w:p>
    <w:p w14:paraId="577712CA">
      <w:pPr>
        <w:rPr>
          <w:b/>
          <w:kern w:val="2"/>
          <w:szCs w:val="28"/>
        </w:rPr>
      </w:pPr>
      <w:r>
        <w:rPr>
          <w:b/>
          <w:kern w:val="2"/>
          <w:szCs w:val="28"/>
        </w:rPr>
        <w:t>存货跌价准备的确认标准和计提方法</w:t>
      </w:r>
    </w:p>
    <w:sdt>
      <w:sdtPr>
        <w:alias w:val="是否适用：存货跌价准备的确认标准和计提方法[双击切换]"/>
        <w:tag w:val="_GBC_6e8ebb9994fe404dba2a12ec5c785d83"/>
        <w:id w:val="1282460779"/>
        <w:placeholder>
          <w:docPart w:val="GBC22222222222222222222222222222"/>
        </w:placeholder>
      </w:sdtPr>
      <w:sdtContent>
        <w:p w14:paraId="4442101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存货跌价准备的确认标准和计提方法"/>
        <w:tag w:val="_GBC_94e79c0b2c2f4552b5ec962b8df1c2f0"/>
        <w:id w:val="-1850559012"/>
        <w:placeholder>
          <w:docPart w:val="GBC22222222222222222222222222222"/>
        </w:placeholder>
      </w:sdtPr>
      <w:sdtContent>
        <w:p w14:paraId="7AC95117">
          <w:pPr>
            <w:pStyle w:val="48"/>
            <w:spacing w:line="360" w:lineRule="auto"/>
            <w:ind w:firstLine="420" w:firstLineChars="200"/>
          </w:pPr>
          <w:r>
            <w:rPr>
              <w:rFonts w:hint="eastAsia"/>
            </w:rPr>
            <w:t>资产负债表日，存货按照成本与可变现净值孰低计量，当期可变现净值低于成本时，提取存货跌价准备，并按单个存货项目计提存货跌价准备，但对于数量繁多、单价较低的存货，按照存货类别计提存货跌价准备。以前减记存货价值的影响因素已经消失的，存货跌价准备在原已计提的金额内转回。</w:t>
          </w:r>
        </w:p>
        <w:p w14:paraId="580F821A">
          <w:pPr>
            <w:pStyle w:val="48"/>
            <w:spacing w:line="360" w:lineRule="auto"/>
            <w:ind w:firstLine="420" w:firstLineChars="200"/>
          </w:pPr>
          <w:r>
            <w:rPr>
              <w:rFonts w:hint="eastAsia"/>
            </w:rPr>
            <w:t>在确定存货的可变现净值时，以取得的确凿证据为基础，同时考虑持有存货的目的以及资产负债表日后事项的影响。</w:t>
          </w:r>
        </w:p>
      </w:sdtContent>
    </w:sdt>
    <w:p w14:paraId="0EA69030">
      <w:pPr>
        <w:rPr>
          <w:b/>
          <w:kern w:val="2"/>
          <w:szCs w:val="28"/>
        </w:rPr>
      </w:pPr>
    </w:p>
    <w:p w14:paraId="3F9A9E3A">
      <w:pPr>
        <w:rPr>
          <w:b/>
          <w:kern w:val="2"/>
          <w:szCs w:val="28"/>
        </w:rPr>
      </w:pPr>
      <w:r>
        <w:rPr>
          <w:b/>
          <w:kern w:val="2"/>
          <w:szCs w:val="28"/>
        </w:rPr>
        <w:t>按照组合计提存货跌价准备的组合类别及确定依据</w:t>
      </w:r>
      <w:r>
        <w:rPr>
          <w:rFonts w:hint="eastAsia"/>
          <w:b/>
          <w:bCs/>
          <w:kern w:val="2"/>
          <w:szCs w:val="28"/>
        </w:rPr>
        <w:t>、</w:t>
      </w:r>
      <w:r>
        <w:rPr>
          <w:rFonts w:hint="eastAsia"/>
          <w:b/>
          <w:bCs/>
        </w:rPr>
        <w:t>不同类别存货可变现净值的确定依据</w:t>
      </w:r>
    </w:p>
    <w:sdt>
      <w:sdtPr>
        <w:alias w:val="是否适用：按照组合计提存货跌价准备的组合类别及确定依据、不同类别存货可变现净值的确定依据[双击切换]"/>
        <w:tag w:val="_GBC_497390f68e764f2baa3b06eda7d6c944"/>
        <w:id w:val="547576279"/>
        <w:placeholder>
          <w:docPart w:val="GBC22222222222222222222222222222"/>
        </w:placeholder>
      </w:sdtPr>
      <w:sdtContent>
        <w:p w14:paraId="367FE32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E3FD18">
      <w:pPr>
        <w:rPr>
          <w:b/>
          <w:kern w:val="2"/>
          <w:szCs w:val="28"/>
        </w:rPr>
      </w:pPr>
    </w:p>
    <w:p w14:paraId="7FBF188F">
      <w:pPr>
        <w:rPr>
          <w:b/>
          <w:kern w:val="2"/>
          <w:szCs w:val="28"/>
        </w:rPr>
      </w:pPr>
      <w:r>
        <w:rPr>
          <w:b/>
          <w:kern w:val="2"/>
          <w:szCs w:val="28"/>
        </w:rPr>
        <w:t>基于库龄确认存货可变现净值的各库龄组合可变现净值的计算方法和确定依据</w:t>
      </w:r>
    </w:p>
    <w:sdt>
      <w:sdtPr>
        <w:alias w:val="是否适用：基于库龄确认存货可变现净值的各库龄组合可变现净值的计算方法和确定依据[双击切换]"/>
        <w:tag w:val="_GBC_9d365dfe8a544c55a4c1edb1470b656d"/>
        <w:id w:val="717159465"/>
        <w:placeholder>
          <w:docPart w:val="GBC22222222222222222222222222222"/>
        </w:placeholder>
      </w:sdtPr>
      <w:sdtContent>
        <w:p w14:paraId="4D4FD01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E22B53F">
      <w:pPr>
        <w:pStyle w:val="48"/>
      </w:pPr>
    </w:p>
    <w:p w14:paraId="290559DD">
      <w:pPr>
        <w:pStyle w:val="4"/>
        <w:numPr>
          <w:ilvl w:val="0"/>
          <w:numId w:val="54"/>
        </w:numPr>
      </w:pPr>
      <w:bookmarkStart w:id="213" w:name="_Hlk533667851"/>
      <w:r>
        <w:rPr>
          <w:rFonts w:hint="eastAsia"/>
          <w:szCs w:val="21"/>
        </w:rPr>
        <w:t>合同资产</w:t>
      </w:r>
    </w:p>
    <w:sdt>
      <w:sdtPr>
        <w:rPr>
          <w:rFonts w:hint="eastAsia"/>
        </w:rPr>
        <w:alias w:val="是否适用：合同资产_重要会计政策和估计[双击切换]"/>
        <w:tag w:val="_GBC_5a88c6aff74e4eb184d0541279c7f45e"/>
        <w:id w:val="591824753"/>
        <w:placeholder>
          <w:docPart w:val="GBC22222222222222222222222222222"/>
        </w:placeholder>
      </w:sdtPr>
      <w:sdtEndPr>
        <w:rPr>
          <w:rFonts w:hint="eastAsia"/>
        </w:rPr>
      </w:sdtEndPr>
      <w:sdtContent>
        <w:p w14:paraId="784624CB">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237B254">
      <w:pPr>
        <w:rPr>
          <w:b/>
          <w:kern w:val="2"/>
          <w:szCs w:val="28"/>
        </w:rPr>
      </w:pPr>
      <w:r>
        <w:rPr>
          <w:rFonts w:hint="eastAsia"/>
          <w:b/>
          <w:kern w:val="2"/>
          <w:szCs w:val="28"/>
        </w:rPr>
        <w:t>合同资产的确认方法及标准</w:t>
      </w:r>
    </w:p>
    <w:sdt>
      <w:sdtPr>
        <w:alias w:val="是否适用：合同资产的确定方法、摊销方法和减值测试方法[双击切换]"/>
        <w:tag w:val="_GBC_1b5df72f15664694ad46f712f5c33e91"/>
        <w:id w:val="1615317988"/>
        <w:placeholder>
          <w:docPart w:val="GBC22222222222222222222222222222"/>
        </w:placeholder>
      </w:sdtPr>
      <w:sdtContent>
        <w:p w14:paraId="20C6652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同资产的确定方法、摊销方法和减值测试方法"/>
        <w:tag w:val="_GBC_82d4491d0bbc4d81ab154bd0c0c35176"/>
        <w:id w:val="1117265382"/>
        <w:placeholder>
          <w:docPart w:val="GBC22222222222222222222222222222"/>
        </w:placeholder>
      </w:sdtPr>
      <w:sdtContent>
        <w:p w14:paraId="6D001934">
          <w:pPr>
            <w:pStyle w:val="48"/>
            <w:spacing w:line="360" w:lineRule="auto"/>
            <w:ind w:firstLine="420" w:firstLineChars="200"/>
          </w:pPr>
          <w:r>
            <w:rPr>
              <w:rFonts w:hint="eastAsia"/>
            </w:rPr>
            <w:t>本公司将已向客户转让商品或服务而有权收取对价的权利（且该权利取决于时间流逝之外的其他因素）作为合同资产列示。合同资产的减值准备计提参照审计报告附注预期信用损失的确定方法。</w:t>
          </w:r>
        </w:p>
      </w:sdtContent>
    </w:sdt>
    <w:p w14:paraId="5FF8E4CA">
      <w:pPr>
        <w:pStyle w:val="48"/>
      </w:pPr>
    </w:p>
    <w:bookmarkEnd w:id="213"/>
    <w:p w14:paraId="4C97AF7C">
      <w:pPr>
        <w:rPr>
          <w:b/>
          <w:kern w:val="2"/>
          <w:szCs w:val="28"/>
        </w:rPr>
      </w:pPr>
      <w:r>
        <w:rPr>
          <w:b/>
          <w:kern w:val="2"/>
          <w:szCs w:val="28"/>
        </w:rPr>
        <w:t>按照信用风险特征组合计提坏账准备的组合类别及确定依据</w:t>
      </w:r>
    </w:p>
    <w:sdt>
      <w:sdtPr>
        <w:alias w:val="是否适用：合同资产按照信用风险特征组合计提坏账准备的组合类别及确定依据[双击切换]"/>
        <w:tag w:val="_GBC_ebbe09c3657c4b539cc844981adf91e4"/>
        <w:id w:val="1082798518"/>
        <w:placeholder>
          <w:docPart w:val="GBC22222222222222222222222222222"/>
        </w:placeholder>
      </w:sdtPr>
      <w:sdtContent>
        <w:p w14:paraId="10CDF67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890BA8A">
      <w:pPr>
        <w:rPr>
          <w:b/>
          <w:bCs/>
          <w:kern w:val="2"/>
          <w:szCs w:val="28"/>
        </w:rPr>
      </w:pPr>
    </w:p>
    <w:p w14:paraId="12CF1059">
      <w:pPr>
        <w:rPr>
          <w:b/>
          <w:kern w:val="2"/>
          <w:szCs w:val="28"/>
        </w:rPr>
      </w:pPr>
      <w:r>
        <w:rPr>
          <w:b/>
          <w:kern w:val="2"/>
          <w:szCs w:val="28"/>
        </w:rPr>
        <w:t>基于账龄确认信用风险特征组合的账龄计算方法</w:t>
      </w:r>
    </w:p>
    <w:sdt>
      <w:sdtPr>
        <w:alias w:val="是否适用：合同资产基于账龄确认信用风险特征组合的账龄计算方法[双击切换]"/>
        <w:tag w:val="_GBC_3400ff02bc46467bac74fee97f4388c5"/>
        <w:id w:val="-1649736014"/>
        <w:placeholder>
          <w:docPart w:val="GBC22222222222222222222222222222"/>
        </w:placeholder>
      </w:sdtPr>
      <w:sdtContent>
        <w:p w14:paraId="2C78E1A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6BB3EC1">
      <w:pPr>
        <w:rPr>
          <w:b/>
          <w:bCs/>
          <w:kern w:val="2"/>
          <w:szCs w:val="28"/>
        </w:rPr>
      </w:pPr>
    </w:p>
    <w:p w14:paraId="0209598D">
      <w:pPr>
        <w:rPr>
          <w:b/>
          <w:kern w:val="2"/>
          <w:szCs w:val="28"/>
        </w:rPr>
      </w:pPr>
      <w:r>
        <w:rPr>
          <w:b/>
          <w:kern w:val="2"/>
          <w:szCs w:val="28"/>
        </w:rPr>
        <w:t>按照单项计提坏账准备的认定单项计提判断标准</w:t>
      </w:r>
    </w:p>
    <w:sdt>
      <w:sdtPr>
        <w:alias w:val="是否适用：合同资产按照单项计提坏账准备的单项计提判断标准[双击切换]"/>
        <w:tag w:val="_GBC_aec9a536d61144fa91c2f954c8ff8473"/>
        <w:id w:val="1151872946"/>
        <w:placeholder>
          <w:docPart w:val="GBC22222222222222222222222222222"/>
        </w:placeholder>
      </w:sdtPr>
      <w:sdtContent>
        <w:p w14:paraId="18F4432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5A19CDA">
      <w:pPr>
        <w:pStyle w:val="48"/>
      </w:pPr>
    </w:p>
    <w:p w14:paraId="717E39A9">
      <w:pPr>
        <w:pStyle w:val="4"/>
        <w:numPr>
          <w:ilvl w:val="0"/>
          <w:numId w:val="54"/>
        </w:numPr>
      </w:pPr>
      <w:r>
        <w:rPr>
          <w:rFonts w:hint="eastAsia"/>
        </w:rPr>
        <w:t>持有</w:t>
      </w:r>
      <w:r>
        <w:rPr>
          <w:rFonts w:hint="eastAsia" w:ascii="宋体" w:hAnsi="宋体"/>
          <w:szCs w:val="21"/>
        </w:rPr>
        <w:t>待</w:t>
      </w:r>
      <w:r>
        <w:rPr>
          <w:rFonts w:ascii="宋体" w:hAnsi="宋体"/>
          <w:szCs w:val="21"/>
        </w:rPr>
        <w:t>售的非流动资产或处置组</w:t>
      </w:r>
    </w:p>
    <w:sdt>
      <w:sdtPr>
        <w:alias w:val="是否适用：持有待售的非流动资产或处置组[双击切换]"/>
        <w:tag w:val="_GBC_e7f5369a15ba4034bd2498c40687a411"/>
        <w:id w:val="-2146103784"/>
        <w:placeholder>
          <w:docPart w:val="GBC22222222222222222222222222222"/>
        </w:placeholder>
      </w:sdtPr>
      <w:sdtContent>
        <w:p w14:paraId="2F593F88">
          <w:pPr>
            <w:pStyle w:val="48"/>
          </w:pPr>
          <w:bookmarkStart w:id="214" w:name="_Hlk533151067"/>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9CC7E74">
      <w:pPr>
        <w:pStyle w:val="48"/>
      </w:pPr>
    </w:p>
    <w:bookmarkEnd w:id="214"/>
    <w:p w14:paraId="38A120FF">
      <w:pPr>
        <w:rPr>
          <w:b/>
          <w:kern w:val="2"/>
        </w:rPr>
      </w:pPr>
      <w:r>
        <w:rPr>
          <w:rFonts w:hint="eastAsia"/>
          <w:b/>
          <w:kern w:val="2"/>
        </w:rPr>
        <w:t>划分为持有待售的非流动资产或处置组的确认标准和会计处理方法</w:t>
      </w:r>
    </w:p>
    <w:sdt>
      <w:sdtPr>
        <w:alias w:val="是否适用：划分为持有待售的非流动资产或处置组的确认标准和会计处理方法[双击切换]"/>
        <w:tag w:val="_GBC_cf8b05c4ada54b2aac5743b74b5fdb45"/>
        <w:id w:val="1156724869"/>
        <w:placeholder>
          <w:docPart w:val="GBC22222222222222222222222222222"/>
        </w:placeholder>
      </w:sdtPr>
      <w:sdtContent>
        <w:p w14:paraId="338C834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划分为持有待售的非流动资产或处置组的确认标准和会计处理方法"/>
        <w:tag w:val="_GBC_c6470b887f9546e5999bdc424f840526"/>
        <w:id w:val="-2019067792"/>
        <w:placeholder>
          <w:docPart w:val="GBC22222222222222222222222222222"/>
        </w:placeholder>
      </w:sdtPr>
      <w:sdtContent>
        <w:p w14:paraId="79DDE9D0">
          <w:pPr>
            <w:pStyle w:val="48"/>
            <w:spacing w:line="360" w:lineRule="auto"/>
            <w:ind w:firstLine="420" w:firstLineChars="200"/>
          </w:pPr>
          <w:r>
            <w:rPr>
              <w:rFonts w:hint="eastAsia"/>
            </w:rPr>
            <w:t>本公司主要通过出售而非持续使用一项非流动资产或处置组收回其账面价值的，划分为持有待售类别，并满足下列条件：一是根据类似交易中出售此类资产或处置组的惯例，在当前状况下即可立即出售；二是出售极可能发生，即企业已经就一项出售计划作出决议且获得确定的购买承诺，预计出售将在一年内完成。有关规定要求企业相关权力机构或者监管部门批准后方可出售的，应当已经获得批准。</w:t>
          </w:r>
        </w:p>
        <w:p w14:paraId="01FF128C">
          <w:pPr>
            <w:pStyle w:val="48"/>
            <w:spacing w:line="360" w:lineRule="auto"/>
            <w:ind w:firstLine="420" w:firstLineChars="200"/>
          </w:pPr>
          <w:r>
            <w:rPr>
              <w:rFonts w:hint="eastAsia"/>
            </w:rPr>
            <w:t>初始计量或在资产负债表日重新计量持有待售的非流动资产或处置组时，其账面价值高于公允价值减去出售费用后的净额的，应当将账面价值减记至公允价值减去出售费用后的净额，减记的金额确认为资产减值损失计入当期损益，同时计提持有待售资产减值准备。</w:t>
          </w:r>
        </w:p>
        <w:p w14:paraId="0F296915">
          <w:pPr>
            <w:pStyle w:val="48"/>
            <w:spacing w:line="360" w:lineRule="auto"/>
            <w:ind w:firstLine="420" w:firstLineChars="200"/>
          </w:pPr>
          <w:r>
            <w:rPr>
              <w:rFonts w:hint="eastAsia"/>
            </w:rPr>
            <w:t>对于持有待售的处置组确认的资产减值损失金额，应当先抵减处置组中商誉的账面价值，再根据处置组中适用的《企业会计准则-持有待售的非流动资产、处置组和终止经营》计量规定的各项非流动资产账面价值所占比重，按比例抵减其账面价值。</w:t>
          </w:r>
        </w:p>
      </w:sdtContent>
    </w:sdt>
    <w:p w14:paraId="093E4D52">
      <w:pPr>
        <w:pStyle w:val="48"/>
      </w:pPr>
    </w:p>
    <w:p w14:paraId="38215301">
      <w:pPr>
        <w:rPr>
          <w:b/>
          <w:kern w:val="2"/>
        </w:rPr>
      </w:pPr>
      <w:r>
        <w:rPr>
          <w:b/>
          <w:kern w:val="2"/>
        </w:rPr>
        <w:t>终止经营的认定标准和列报方法</w:t>
      </w:r>
    </w:p>
    <w:sdt>
      <w:sdtPr>
        <w:alias w:val="是否适用：终止经营的认定标准和列报方法[双击切换]"/>
        <w:tag w:val="_GBC_a323dd7cc84c4bd1bc42320036ce854b"/>
        <w:id w:val="-1074277286"/>
        <w:placeholder>
          <w:docPart w:val="GBC22222222222222222222222222222"/>
        </w:placeholder>
      </w:sdtPr>
      <w:sdtContent>
        <w:p w14:paraId="151C018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终止经营的认定标准和列报方法"/>
        <w:tag w:val="_GBC_012c6381dc034a0a867c9e710d6df82d"/>
        <w:id w:val="-255672963"/>
        <w:placeholder>
          <w:docPart w:val="GBC22222222222222222222222222222"/>
        </w:placeholder>
      </w:sdtPr>
      <w:sdtContent>
        <w:p w14:paraId="2386E747">
          <w:pPr>
            <w:pStyle w:val="48"/>
            <w:spacing w:line="360" w:lineRule="auto"/>
            <w:ind w:firstLine="420" w:firstLineChars="200"/>
          </w:pPr>
          <w:r>
            <w:rPr>
              <w:rFonts w:hint="eastAsia"/>
            </w:rPr>
            <w:t>终止经营是满足下列条件之一的、能够单独区分的组成部分，且该组成部分已被本公司处置或被本公司划归为持有待售类别：该组成部分代表一项独立的主要业务或一个单独的主要经营地区；该组成部分是拟对一项独立的主要业务或一个单独的主要经营地区进行处置的一项相关联计划的一部分；该组成部分是专为转售而取得的子公司。</w:t>
          </w:r>
        </w:p>
        <w:p w14:paraId="59EA675B">
          <w:pPr>
            <w:pStyle w:val="48"/>
            <w:spacing w:line="360" w:lineRule="auto"/>
            <w:ind w:firstLine="420" w:firstLineChars="200"/>
          </w:pPr>
          <w:r>
            <w:rPr>
              <w:rFonts w:hint="eastAsia"/>
            </w:rPr>
            <w:t>本公司在利润表中分别列示持续经营损益和终止经营损益。终止经营的减值损失和转回金额等经营损益及处置损益作为终止经营损益列报。在附注中披露终止经营的收入、费用、利润总额、所得税费用（收益）和净利润，终止经营的资产或处置组确认的减值损失及其转回金额，终止经营的处置损益总额、所得税费用（收益）和处置净损益，终止经营的经营活动、投资活动和筹资活动现金流量净额，归属于母公司所有者的持续经营损益和终止经营损益。</w:t>
          </w:r>
        </w:p>
      </w:sdtContent>
    </w:sdt>
    <w:p w14:paraId="1EA2B729">
      <w:pPr>
        <w:pStyle w:val="48"/>
      </w:pPr>
    </w:p>
    <w:p w14:paraId="60F28C4C">
      <w:pPr>
        <w:pStyle w:val="4"/>
        <w:numPr>
          <w:ilvl w:val="0"/>
          <w:numId w:val="54"/>
        </w:numPr>
      </w:pPr>
      <w:r>
        <w:t>长期股权投资</w:t>
      </w:r>
    </w:p>
    <w:sdt>
      <w:sdtPr>
        <w:rPr>
          <w:rFonts w:hint="eastAsia"/>
        </w:rPr>
        <w:alias w:val="是否适用：长期股权投资_重要会计政策和估计[双击切换]"/>
        <w:tag w:val="_GBC_990faa4da4e64a5389a573293ba4981b"/>
        <w:id w:val="-1183434574"/>
        <w:placeholder>
          <w:docPart w:val="GBC22222222222222222222222222222"/>
        </w:placeholder>
      </w:sdtPr>
      <w:sdtEndPr>
        <w:rPr>
          <w:rFonts w:hint="eastAsia"/>
        </w:rPr>
      </w:sdtEndPr>
      <w:sdtContent>
        <w:p w14:paraId="5D911B6A">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Calibri" w:hAnsi="Calibri"/>
        </w:rPr>
        <w:alias w:val="长期股权投资的核算方法"/>
        <w:tag w:val="_GBC_3e77074cd50946b1bccdff9bc1c9556f"/>
        <w:id w:val="1489441156"/>
        <w:placeholder>
          <w:docPart w:val="GBC22222222222222222222222222222"/>
        </w:placeholder>
      </w:sdtPr>
      <w:sdtEndPr>
        <w:rPr>
          <w:rFonts w:ascii="Times New Roman" w:hAnsi="Courier New"/>
        </w:rPr>
      </w:sdtEndPr>
      <w:sdtContent>
        <w:p w14:paraId="72831B3D">
          <w:pPr>
            <w:pStyle w:val="12"/>
            <w:snapToGrid w:val="0"/>
            <w:spacing w:line="460" w:lineRule="atLeast"/>
            <w:ind w:firstLine="420" w:firstLineChars="200"/>
            <w:rPr>
              <w:rFonts w:hAnsi="宋体" w:cs="Arial"/>
              <w:kern w:val="0"/>
            </w:rPr>
          </w:pPr>
          <w:r>
            <w:rPr>
              <w:rFonts w:hint="eastAsia" w:hAnsi="宋体" w:cs="Arial"/>
              <w:kern w:val="0"/>
            </w:rPr>
            <w:t>1.共同控制、重大影响的判断标准</w:t>
          </w:r>
        </w:p>
        <w:p w14:paraId="190B993C">
          <w:pPr>
            <w:pStyle w:val="12"/>
            <w:snapToGrid w:val="0"/>
            <w:spacing w:line="460" w:lineRule="atLeast"/>
            <w:ind w:firstLine="420" w:firstLineChars="200"/>
            <w:rPr>
              <w:rFonts w:hAnsi="宋体" w:cs="Arial"/>
              <w:kern w:val="0"/>
            </w:rPr>
          </w:pPr>
          <w:r>
            <w:rPr>
              <w:rFonts w:hint="eastAsia" w:hAnsi="宋体" w:cs="Arial"/>
              <w:kern w:val="0"/>
            </w:rPr>
            <w:t>共同控制，是指对某项安排的回报产生重大影响的活动必须经过分享控制权的参与方一致同意后才能决策，包括商品或劳务的销售和购买、金融资产的管理、资产的购买和处置、研究与开发活动以及融资活动等。重大影响，是指当持有被投资单位20%以上至50%的表决权资本时，具有重大影响，或虽不足20%，但符合下列条件之一时，具有重大影响：在被投资单位的董事会或类似的权力机构中派有代表；参与被投资单位的政策制定过程；向被投资单位派出管理人员；被投资单位依赖投资公司的技术或技术资料；与被投资单位之间发生重要交易。</w:t>
          </w:r>
        </w:p>
        <w:p w14:paraId="148AD608">
          <w:pPr>
            <w:pStyle w:val="12"/>
            <w:snapToGrid w:val="0"/>
            <w:spacing w:line="460" w:lineRule="atLeast"/>
            <w:ind w:firstLine="420" w:firstLineChars="200"/>
            <w:rPr>
              <w:rFonts w:hAnsi="宋体" w:cs="Arial"/>
              <w:kern w:val="0"/>
            </w:rPr>
          </w:pPr>
          <w:r>
            <w:rPr>
              <w:rFonts w:hint="eastAsia" w:hAnsi="宋体" w:cs="Arial"/>
              <w:kern w:val="0"/>
            </w:rPr>
            <w:t>2.初始投资成本确定</w:t>
          </w:r>
        </w:p>
        <w:p w14:paraId="5A74D73B">
          <w:pPr>
            <w:pStyle w:val="12"/>
            <w:snapToGrid w:val="0"/>
            <w:spacing w:line="460" w:lineRule="atLeast"/>
            <w:ind w:firstLine="420" w:firstLineChars="200"/>
            <w:rPr>
              <w:rFonts w:hAnsi="宋体" w:cs="Arial"/>
              <w:kern w:val="0"/>
            </w:rPr>
          </w:pPr>
          <w:r>
            <w:rPr>
              <w:rFonts w:hint="eastAsia" w:hAnsi="宋体" w:cs="Arial"/>
              <w:kern w:val="0"/>
            </w:rPr>
            <w:t>对于企业合并取得的长期股权投资，如为同一控制下的企业合并，应当在合并日按照被合并方所有者权益在最终控制方合并财务报表中的账面价值的份额作为长期股权投资的初始投资成本；非同一控制下的企业合并，按照购买日确定的合并成本作为长期股权投资的初始投资成本；以支付现金取得的长期股权投资，初始投资成本为实际支付的购买价款；以发行权益性证券取得的长期股权投资，初始投资成本为发行权益性证券的公允价值；通过债务重组取得的长期股权投资，其初始投资成本按照债务重组准则有关规定确定；非货币性资产交换取得的长期股权投资，初始投资成本按照非货币性资产交换准则有关规定确定。</w:t>
          </w:r>
        </w:p>
        <w:p w14:paraId="07E6D114">
          <w:pPr>
            <w:pStyle w:val="12"/>
            <w:snapToGrid w:val="0"/>
            <w:spacing w:line="460" w:lineRule="atLeast"/>
            <w:ind w:firstLine="420" w:firstLineChars="200"/>
            <w:rPr>
              <w:rFonts w:hAnsi="宋体" w:cs="Arial"/>
              <w:kern w:val="0"/>
            </w:rPr>
          </w:pPr>
          <w:r>
            <w:rPr>
              <w:rFonts w:hint="eastAsia" w:hAnsi="宋体" w:cs="Arial"/>
              <w:kern w:val="0"/>
            </w:rPr>
            <w:t>3.后续计量及损益确认方法</w:t>
          </w:r>
        </w:p>
        <w:p w14:paraId="797A3A1C">
          <w:pPr>
            <w:pStyle w:val="12"/>
            <w:snapToGrid w:val="0"/>
            <w:spacing w:line="460" w:lineRule="atLeast"/>
            <w:ind w:firstLine="420" w:firstLineChars="200"/>
          </w:pPr>
          <w:r>
            <w:rPr>
              <w:rFonts w:hint="eastAsia" w:hAnsi="宋体" w:cs="Arial"/>
              <w:kern w:val="0"/>
            </w:rPr>
            <w:t>本公司能够对被投资单位实施控制的长期股权投资采用成本法核算，对联营企业和合营企业的长期股权投资采用权益法核算。对联营企业的权益性投资，其中一部分通过风险投资机构、共同基金、信托公司或包括投连险基金在内的类似主体间接持有的，无论以上主体是否对这部分投资具有重大影响，按照《企业会计准则第22号——金融工具确认和计量》的有关规定处理，并对其余部分采用权益法核算。</w:t>
          </w:r>
        </w:p>
      </w:sdtContent>
    </w:sdt>
    <w:p w14:paraId="2F2493B6">
      <w:pPr>
        <w:pStyle w:val="48"/>
      </w:pPr>
    </w:p>
    <w:p w14:paraId="51F73768">
      <w:pPr>
        <w:pStyle w:val="4"/>
        <w:numPr>
          <w:ilvl w:val="0"/>
          <w:numId w:val="54"/>
        </w:numPr>
      </w:pPr>
      <w:r>
        <w:t>投资性房地产</w:t>
      </w:r>
    </w:p>
    <w:p w14:paraId="227D7D6D">
      <w:pPr>
        <w:pStyle w:val="5"/>
        <w:numPr>
          <w:ilvl w:val="0"/>
          <w:numId w:val="55"/>
        </w:numPr>
      </w:pPr>
      <w:r>
        <w:rPr>
          <w:rFonts w:hint="eastAsia" w:ascii="宋体" w:hAnsi="宋体" w:cs="宋体"/>
          <w:kern w:val="0"/>
          <w:szCs w:val="24"/>
        </w:rPr>
        <w:t>如果</w:t>
      </w:r>
      <w:r>
        <w:rPr>
          <w:rFonts w:hint="eastAsia"/>
        </w:rPr>
        <w:t>采用成本计量模式的：</w:t>
      </w:r>
    </w:p>
    <w:p w14:paraId="4E8E00ED">
      <w:pPr>
        <w:pStyle w:val="18"/>
        <w:rPr>
          <w:rFonts w:ascii="宋体" w:hAnsi="宋体"/>
          <w:b w:val="0"/>
          <w:szCs w:val="21"/>
        </w:rPr>
      </w:pPr>
      <w:r>
        <w:rPr>
          <w:rFonts w:hint="eastAsia" w:ascii="宋体" w:hAnsi="宋体"/>
          <w:b w:val="0"/>
          <w:szCs w:val="21"/>
        </w:rPr>
        <w:t>折旧或摊销方法</w:t>
      </w:r>
    </w:p>
    <w:sdt>
      <w:sdtPr>
        <w:alias w:val="采用成本计量模式的折旧或摊销方法"/>
        <w:tag w:val="_GBC_5b2898357289426780691d99ea19aa67"/>
        <w:id w:val="808212798"/>
        <w:placeholder>
          <w:docPart w:val="GBC22222222222222222222222222222"/>
        </w:placeholder>
      </w:sdtPr>
      <w:sdtContent>
        <w:p w14:paraId="089A964E">
          <w:pPr>
            <w:pStyle w:val="48"/>
            <w:spacing w:line="360" w:lineRule="auto"/>
            <w:ind w:firstLine="420" w:firstLineChars="200"/>
          </w:pPr>
          <w:r>
            <w:rPr>
              <w:rFonts w:hint="eastAsia"/>
            </w:rPr>
            <w:t>本公司投资性房地产的类别，包括出租的土地使用权、出租的建筑物、持有并准备增值后转让的土地使用权。投资性房地产按照成本进行初始计量，采用成本模式进行后续计量。</w:t>
          </w:r>
        </w:p>
        <w:p w14:paraId="6982070B">
          <w:pPr>
            <w:pStyle w:val="48"/>
            <w:spacing w:line="360" w:lineRule="auto"/>
            <w:ind w:firstLine="420" w:firstLineChars="200"/>
          </w:pPr>
          <w:r>
            <w:rPr>
              <w:rFonts w:hint="eastAsia"/>
            </w:rPr>
            <w:t>本公司投资性房地产中出租的建筑物采用年限平均法计提折旧，具体核算政策与固定资产部分相同。投资性房地产中出租的土地使用权、持有并准备增值后转让的土地使用权采用直线法摊销，具体核算政策与无形资产部分相同。</w:t>
          </w:r>
        </w:p>
      </w:sdtContent>
    </w:sdt>
    <w:p w14:paraId="04AECEFE">
      <w:pPr>
        <w:pStyle w:val="48"/>
      </w:pPr>
    </w:p>
    <w:p w14:paraId="27493192">
      <w:pPr>
        <w:pStyle w:val="4"/>
        <w:numPr>
          <w:ilvl w:val="0"/>
          <w:numId w:val="54"/>
        </w:numPr>
      </w:pPr>
      <w:r>
        <w:t>固定资产</w:t>
      </w:r>
    </w:p>
    <w:p w14:paraId="21064297">
      <w:pPr>
        <w:pStyle w:val="5"/>
        <w:numPr>
          <w:ilvl w:val="0"/>
          <w:numId w:val="56"/>
        </w:numPr>
      </w:pPr>
      <w:r>
        <w:rPr>
          <w:rFonts w:hint="eastAsia"/>
        </w:rPr>
        <w:t>确认条件</w:t>
      </w:r>
    </w:p>
    <w:sdt>
      <w:sdtPr>
        <w:alias w:val="是否适用：固定资产确认条件[双击切换]"/>
        <w:tag w:val="_GBC_4c768c6eca804bab9e4fc027185bcda6"/>
        <w:id w:val="-99569724"/>
        <w:placeholder>
          <w:docPart w:val="GBC22222222222222222222222222222"/>
        </w:placeholder>
      </w:sdtPr>
      <w:sdtContent>
        <w:p w14:paraId="5771950B">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bCs/>
        </w:rPr>
        <w:alias w:val="固定资产确认条件"/>
        <w:tag w:val="_GBC_3044d53470b143fa9477fa34b85d4ec5"/>
        <w:id w:val="1756476503"/>
        <w:placeholder>
          <w:docPart w:val="GBC22222222222222222222222222222"/>
        </w:placeholder>
      </w:sdtPr>
      <w:sdtEndPr>
        <w:rPr>
          <w:b/>
          <w:bCs/>
        </w:rPr>
      </w:sdtEndPr>
      <w:sdtContent>
        <w:p w14:paraId="201C5AB0">
          <w:pPr>
            <w:spacing w:line="360" w:lineRule="auto"/>
            <w:ind w:firstLine="420" w:firstLineChars="200"/>
            <w:jc w:val="both"/>
            <w:rPr>
              <w:b/>
              <w:bCs/>
            </w:rPr>
          </w:pPr>
          <w:r>
            <w:rPr>
              <w:rFonts w:hint="eastAsia"/>
              <w:bCs/>
            </w:rPr>
            <w:t>固定资产指为生产商品、提供劳务、出租或经营管理而持有的，使用寿命超过一个会计年度的有形资产。同时满足以下条件时予以确认：与该固定资产有关的经济利益很可能流入企业；该固定资产的成本能够可靠地计量。</w:t>
          </w:r>
        </w:p>
      </w:sdtContent>
    </w:sdt>
    <w:p w14:paraId="2E59C29C">
      <w:pPr>
        <w:pStyle w:val="48"/>
      </w:pPr>
    </w:p>
    <w:p w14:paraId="009B100C">
      <w:pPr>
        <w:pStyle w:val="5"/>
        <w:numPr>
          <w:ilvl w:val="0"/>
          <w:numId w:val="56"/>
        </w:numPr>
      </w:pPr>
      <w:r>
        <w:rPr>
          <w:rFonts w:hint="eastAsia"/>
        </w:rPr>
        <w:t>折旧方法</w:t>
      </w:r>
    </w:p>
    <w:sdt>
      <w:sdtPr>
        <w:alias w:val="是否适用：固定资产折旧方法[双击切换]"/>
        <w:tag w:val="_GBC_f89f129fe73045168ebdc30031da9fdd"/>
        <w:id w:val="-590775707"/>
        <w:placeholder>
          <w:docPart w:val="GBC22222222222222222222222222222"/>
        </w:placeholder>
      </w:sdtPr>
      <w:sdtContent>
        <w:p w14:paraId="0FBDA793">
          <w:pPr>
            <w:pStyle w:val="48"/>
            <w:rPr>
              <w:rFonts w:ascii="宋体" w:hAnsi="宋体"/>
            </w:rPr>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29CB055">
      <w:pPr>
        <w:spacing w:line="360" w:lineRule="auto"/>
        <w:ind w:firstLine="420" w:firstLineChars="200"/>
        <w:jc w:val="both"/>
        <w:rPr>
          <w:rFonts w:ascii="Calibri" w:hAnsi="Calibri"/>
          <w:kern w:val="2"/>
        </w:rPr>
      </w:pPr>
      <w:r>
        <w:rPr>
          <w:rFonts w:hint="eastAsia" w:ascii="Calibri" w:hAnsi="Calibri"/>
          <w:kern w:val="2"/>
        </w:rPr>
        <w:t>本公司固定资产主要分为：房屋及建筑物、机器设备、运输设备、电子设备、其他；折旧方法采用年限平均法。根据各类固定资产的性质和使用情况，确定固定资产的使用寿命和预计净残值。年度终了，对固定资产的使用寿命、预计净残值和折旧方法进行复核，如与原先估计数存在差异的，进行相应的调整。除已提足折旧仍继续使用的固定资产和单独计价入账的土地之外，所有固定资产均计提折旧。</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9"/>
        <w:gridCol w:w="1674"/>
        <w:gridCol w:w="1674"/>
        <w:gridCol w:w="1676"/>
        <w:gridCol w:w="1676"/>
      </w:tblGrid>
      <w:tr w14:paraId="31B0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pct"/>
            <w:vAlign w:val="center"/>
          </w:tcPr>
          <w:p w14:paraId="725EE05B">
            <w:pPr>
              <w:spacing w:line="276" w:lineRule="auto"/>
              <w:jc w:val="center"/>
              <w:rPr>
                <w:rFonts w:ascii="Calibri" w:hAnsi="Calibri"/>
                <w:kern w:val="2"/>
              </w:rPr>
            </w:pPr>
            <w:r>
              <w:rPr>
                <w:rFonts w:hint="eastAsia" w:ascii="Calibri" w:hAnsi="Calibri"/>
                <w:kern w:val="2"/>
              </w:rPr>
              <w:t>资产类别</w:t>
            </w:r>
          </w:p>
        </w:tc>
        <w:tc>
          <w:tcPr>
            <w:tcW w:w="925" w:type="pct"/>
            <w:vAlign w:val="center"/>
          </w:tcPr>
          <w:p w14:paraId="14AE6DB1">
            <w:pPr>
              <w:spacing w:line="276" w:lineRule="auto"/>
              <w:jc w:val="center"/>
              <w:rPr>
                <w:rFonts w:ascii="Calibri" w:hAnsi="Calibri"/>
                <w:kern w:val="2"/>
              </w:rPr>
            </w:pPr>
            <w:r>
              <w:rPr>
                <w:rFonts w:hint="eastAsia" w:ascii="Calibri" w:hAnsi="Calibri"/>
                <w:kern w:val="2"/>
              </w:rPr>
              <w:t>折旧方法</w:t>
            </w:r>
          </w:p>
        </w:tc>
        <w:tc>
          <w:tcPr>
            <w:tcW w:w="925" w:type="pct"/>
            <w:vAlign w:val="center"/>
          </w:tcPr>
          <w:p w14:paraId="3CEE1113">
            <w:pPr>
              <w:spacing w:line="276" w:lineRule="auto"/>
              <w:jc w:val="center"/>
              <w:rPr>
                <w:rFonts w:ascii="Calibri" w:hAnsi="Calibri"/>
                <w:kern w:val="2"/>
              </w:rPr>
            </w:pPr>
            <w:r>
              <w:rPr>
                <w:rFonts w:hint="eastAsia" w:ascii="Calibri" w:hAnsi="Calibri"/>
                <w:kern w:val="2"/>
              </w:rPr>
              <w:t>折旧年限</w:t>
            </w:r>
          </w:p>
        </w:tc>
        <w:tc>
          <w:tcPr>
            <w:tcW w:w="926" w:type="pct"/>
            <w:vAlign w:val="center"/>
          </w:tcPr>
          <w:p w14:paraId="3E270D6B">
            <w:pPr>
              <w:spacing w:line="276" w:lineRule="auto"/>
              <w:jc w:val="center"/>
              <w:rPr>
                <w:rFonts w:ascii="Calibri" w:hAnsi="Calibri"/>
                <w:kern w:val="2"/>
              </w:rPr>
            </w:pPr>
            <w:r>
              <w:rPr>
                <w:rFonts w:hint="eastAsia" w:ascii="Calibri" w:hAnsi="Calibri"/>
                <w:kern w:val="2"/>
              </w:rPr>
              <w:t>残值率</w:t>
            </w:r>
          </w:p>
        </w:tc>
        <w:tc>
          <w:tcPr>
            <w:tcW w:w="926" w:type="pct"/>
            <w:vAlign w:val="center"/>
          </w:tcPr>
          <w:p w14:paraId="25ADC554">
            <w:pPr>
              <w:spacing w:line="276" w:lineRule="auto"/>
              <w:jc w:val="center"/>
              <w:rPr>
                <w:rFonts w:ascii="Calibri" w:hAnsi="Calibri"/>
                <w:kern w:val="2"/>
              </w:rPr>
            </w:pPr>
            <w:r>
              <w:rPr>
                <w:rFonts w:hint="eastAsia" w:ascii="Calibri" w:hAnsi="Calibri"/>
                <w:kern w:val="2"/>
              </w:rPr>
              <w:t>年折旧率（%）</w:t>
            </w:r>
          </w:p>
        </w:tc>
      </w:tr>
      <w:tr w14:paraId="6B00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pct"/>
            <w:vAlign w:val="center"/>
          </w:tcPr>
          <w:p w14:paraId="61C031ED">
            <w:pPr>
              <w:spacing w:line="276" w:lineRule="auto"/>
              <w:jc w:val="both"/>
              <w:rPr>
                <w:rFonts w:ascii="Calibri" w:hAnsi="Calibri"/>
                <w:kern w:val="2"/>
              </w:rPr>
            </w:pPr>
            <w:r>
              <w:rPr>
                <w:rFonts w:hint="eastAsia" w:ascii="Calibri" w:hAnsi="Calibri"/>
                <w:kern w:val="2"/>
              </w:rPr>
              <w:t>房屋及建筑物</w:t>
            </w:r>
          </w:p>
        </w:tc>
        <w:tc>
          <w:tcPr>
            <w:tcW w:w="925" w:type="pct"/>
            <w:vAlign w:val="center"/>
          </w:tcPr>
          <w:p w14:paraId="5A0C754D">
            <w:pPr>
              <w:spacing w:line="276" w:lineRule="auto"/>
              <w:jc w:val="center"/>
              <w:rPr>
                <w:rFonts w:ascii="Calibri" w:hAnsi="Calibri"/>
                <w:kern w:val="2"/>
              </w:rPr>
            </w:pPr>
            <w:r>
              <w:rPr>
                <w:rFonts w:hint="eastAsia" w:ascii="Calibri" w:hAnsi="Calibri"/>
                <w:kern w:val="2"/>
              </w:rPr>
              <w:t>直线法</w:t>
            </w:r>
          </w:p>
        </w:tc>
        <w:tc>
          <w:tcPr>
            <w:tcW w:w="925" w:type="pct"/>
            <w:vAlign w:val="center"/>
          </w:tcPr>
          <w:p w14:paraId="0B36219C">
            <w:pPr>
              <w:spacing w:line="276" w:lineRule="auto"/>
              <w:jc w:val="center"/>
              <w:rPr>
                <w:rFonts w:ascii="Calibri" w:hAnsi="Calibri"/>
                <w:kern w:val="2"/>
              </w:rPr>
            </w:pPr>
            <w:r>
              <w:rPr>
                <w:rFonts w:hint="eastAsia" w:ascii="Calibri" w:hAnsi="Calibri"/>
                <w:kern w:val="2"/>
              </w:rPr>
              <w:t>12—30</w:t>
            </w:r>
          </w:p>
        </w:tc>
        <w:tc>
          <w:tcPr>
            <w:tcW w:w="926" w:type="pct"/>
            <w:vAlign w:val="center"/>
          </w:tcPr>
          <w:p w14:paraId="0DEAECCF">
            <w:pPr>
              <w:spacing w:line="276" w:lineRule="auto"/>
              <w:jc w:val="center"/>
              <w:rPr>
                <w:rFonts w:ascii="Calibri" w:hAnsi="Calibri"/>
                <w:kern w:val="2"/>
              </w:rPr>
            </w:pPr>
            <w:r>
              <w:rPr>
                <w:rFonts w:hint="eastAsia" w:ascii="Calibri" w:hAnsi="Calibri"/>
                <w:kern w:val="2"/>
              </w:rPr>
              <w:t>5%</w:t>
            </w:r>
          </w:p>
        </w:tc>
        <w:tc>
          <w:tcPr>
            <w:tcW w:w="926" w:type="pct"/>
            <w:vAlign w:val="center"/>
          </w:tcPr>
          <w:p w14:paraId="036B87E0">
            <w:pPr>
              <w:spacing w:line="276" w:lineRule="auto"/>
              <w:jc w:val="center"/>
              <w:rPr>
                <w:rFonts w:ascii="Calibri" w:hAnsi="Calibri"/>
                <w:kern w:val="2"/>
              </w:rPr>
            </w:pPr>
            <w:r>
              <w:rPr>
                <w:rFonts w:hint="eastAsia" w:ascii="Calibri" w:hAnsi="Calibri"/>
                <w:kern w:val="2"/>
              </w:rPr>
              <w:t>3.17-7.92</w:t>
            </w:r>
          </w:p>
        </w:tc>
      </w:tr>
      <w:tr w14:paraId="1541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pct"/>
            <w:vAlign w:val="center"/>
          </w:tcPr>
          <w:p w14:paraId="50A88B4E">
            <w:pPr>
              <w:spacing w:line="276" w:lineRule="auto"/>
              <w:jc w:val="both"/>
              <w:rPr>
                <w:rFonts w:ascii="Calibri" w:hAnsi="Calibri"/>
                <w:kern w:val="2"/>
              </w:rPr>
            </w:pPr>
            <w:r>
              <w:rPr>
                <w:rFonts w:hint="eastAsia" w:ascii="Calibri" w:hAnsi="Calibri"/>
                <w:kern w:val="2"/>
              </w:rPr>
              <w:t>机器设备</w:t>
            </w:r>
          </w:p>
        </w:tc>
        <w:tc>
          <w:tcPr>
            <w:tcW w:w="925" w:type="pct"/>
            <w:vAlign w:val="center"/>
          </w:tcPr>
          <w:p w14:paraId="2AFA03E6">
            <w:pPr>
              <w:spacing w:line="276" w:lineRule="auto"/>
              <w:jc w:val="center"/>
              <w:rPr>
                <w:rFonts w:ascii="Calibri" w:hAnsi="Calibri"/>
                <w:kern w:val="2"/>
              </w:rPr>
            </w:pPr>
            <w:r>
              <w:rPr>
                <w:rFonts w:hint="eastAsia" w:ascii="Calibri" w:hAnsi="Calibri"/>
                <w:kern w:val="2"/>
              </w:rPr>
              <w:t>直线法</w:t>
            </w:r>
          </w:p>
        </w:tc>
        <w:tc>
          <w:tcPr>
            <w:tcW w:w="925" w:type="pct"/>
            <w:vAlign w:val="center"/>
          </w:tcPr>
          <w:p w14:paraId="1A0FE33E">
            <w:pPr>
              <w:spacing w:line="276" w:lineRule="auto"/>
              <w:jc w:val="center"/>
              <w:rPr>
                <w:rFonts w:ascii="Calibri" w:hAnsi="Calibri"/>
                <w:kern w:val="2"/>
              </w:rPr>
            </w:pPr>
            <w:r>
              <w:rPr>
                <w:rFonts w:hint="eastAsia" w:ascii="Calibri" w:hAnsi="Calibri"/>
                <w:kern w:val="2"/>
              </w:rPr>
              <w:t>10</w:t>
            </w:r>
          </w:p>
        </w:tc>
        <w:tc>
          <w:tcPr>
            <w:tcW w:w="926" w:type="pct"/>
            <w:vAlign w:val="center"/>
          </w:tcPr>
          <w:p w14:paraId="484D982D">
            <w:pPr>
              <w:spacing w:line="276" w:lineRule="auto"/>
              <w:jc w:val="center"/>
              <w:rPr>
                <w:rFonts w:ascii="Calibri" w:hAnsi="Calibri"/>
                <w:kern w:val="2"/>
              </w:rPr>
            </w:pPr>
            <w:r>
              <w:rPr>
                <w:rFonts w:hint="eastAsia" w:ascii="Calibri" w:hAnsi="Calibri"/>
                <w:kern w:val="2"/>
              </w:rPr>
              <w:t>5%</w:t>
            </w:r>
          </w:p>
        </w:tc>
        <w:tc>
          <w:tcPr>
            <w:tcW w:w="926" w:type="pct"/>
            <w:vAlign w:val="center"/>
          </w:tcPr>
          <w:p w14:paraId="426761A1">
            <w:pPr>
              <w:spacing w:line="276" w:lineRule="auto"/>
              <w:jc w:val="center"/>
              <w:rPr>
                <w:rFonts w:ascii="Calibri" w:hAnsi="Calibri"/>
                <w:kern w:val="2"/>
              </w:rPr>
            </w:pPr>
            <w:r>
              <w:rPr>
                <w:rFonts w:hint="eastAsia" w:ascii="Calibri" w:hAnsi="Calibri"/>
                <w:kern w:val="2"/>
              </w:rPr>
              <w:t>9.50</w:t>
            </w:r>
          </w:p>
        </w:tc>
      </w:tr>
      <w:tr w14:paraId="4313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pct"/>
            <w:vAlign w:val="center"/>
          </w:tcPr>
          <w:p w14:paraId="332C72C5">
            <w:pPr>
              <w:spacing w:line="276" w:lineRule="auto"/>
              <w:jc w:val="both"/>
              <w:rPr>
                <w:rFonts w:ascii="Calibri" w:hAnsi="Calibri"/>
                <w:kern w:val="2"/>
              </w:rPr>
            </w:pPr>
            <w:r>
              <w:rPr>
                <w:rFonts w:hint="eastAsia" w:ascii="Calibri" w:hAnsi="Calibri"/>
                <w:kern w:val="2"/>
              </w:rPr>
              <w:t>运输设备</w:t>
            </w:r>
          </w:p>
        </w:tc>
        <w:tc>
          <w:tcPr>
            <w:tcW w:w="925" w:type="pct"/>
            <w:vAlign w:val="center"/>
          </w:tcPr>
          <w:p w14:paraId="1188CAF6">
            <w:pPr>
              <w:spacing w:line="276" w:lineRule="auto"/>
              <w:jc w:val="center"/>
              <w:rPr>
                <w:rFonts w:ascii="Calibri" w:hAnsi="Calibri"/>
                <w:kern w:val="2"/>
              </w:rPr>
            </w:pPr>
            <w:r>
              <w:rPr>
                <w:rFonts w:hint="eastAsia" w:ascii="Calibri" w:hAnsi="Calibri"/>
                <w:kern w:val="2"/>
              </w:rPr>
              <w:t>直线法</w:t>
            </w:r>
          </w:p>
        </w:tc>
        <w:tc>
          <w:tcPr>
            <w:tcW w:w="925" w:type="pct"/>
            <w:vAlign w:val="center"/>
          </w:tcPr>
          <w:p w14:paraId="0271109A">
            <w:pPr>
              <w:spacing w:line="276" w:lineRule="auto"/>
              <w:jc w:val="center"/>
              <w:rPr>
                <w:rFonts w:ascii="Calibri" w:hAnsi="Calibri"/>
                <w:kern w:val="2"/>
              </w:rPr>
            </w:pPr>
            <w:r>
              <w:rPr>
                <w:rFonts w:hint="eastAsia" w:ascii="Calibri" w:hAnsi="Calibri"/>
                <w:kern w:val="2"/>
              </w:rPr>
              <w:t>4</w:t>
            </w:r>
          </w:p>
        </w:tc>
        <w:tc>
          <w:tcPr>
            <w:tcW w:w="926" w:type="pct"/>
            <w:vAlign w:val="center"/>
          </w:tcPr>
          <w:p w14:paraId="1E25F091">
            <w:pPr>
              <w:spacing w:line="276" w:lineRule="auto"/>
              <w:jc w:val="center"/>
              <w:rPr>
                <w:rFonts w:ascii="Calibri" w:hAnsi="Calibri"/>
                <w:kern w:val="2"/>
              </w:rPr>
            </w:pPr>
            <w:r>
              <w:rPr>
                <w:rFonts w:hint="eastAsia" w:ascii="Calibri" w:hAnsi="Calibri"/>
                <w:kern w:val="2"/>
              </w:rPr>
              <w:t>5%</w:t>
            </w:r>
          </w:p>
        </w:tc>
        <w:tc>
          <w:tcPr>
            <w:tcW w:w="926" w:type="pct"/>
            <w:vAlign w:val="center"/>
          </w:tcPr>
          <w:p w14:paraId="0F7C3878">
            <w:pPr>
              <w:spacing w:line="276" w:lineRule="auto"/>
              <w:jc w:val="center"/>
              <w:rPr>
                <w:rFonts w:ascii="Calibri" w:hAnsi="Calibri"/>
                <w:kern w:val="2"/>
              </w:rPr>
            </w:pPr>
            <w:r>
              <w:rPr>
                <w:rFonts w:hint="eastAsia" w:ascii="Calibri" w:hAnsi="Calibri"/>
                <w:kern w:val="2"/>
              </w:rPr>
              <w:t>23.75</w:t>
            </w:r>
          </w:p>
        </w:tc>
      </w:tr>
      <w:tr w14:paraId="3DD0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pct"/>
            <w:vAlign w:val="center"/>
          </w:tcPr>
          <w:p w14:paraId="173DC18C">
            <w:pPr>
              <w:spacing w:line="276" w:lineRule="auto"/>
              <w:jc w:val="both"/>
              <w:rPr>
                <w:rFonts w:ascii="Calibri" w:hAnsi="Calibri"/>
                <w:kern w:val="2"/>
              </w:rPr>
            </w:pPr>
            <w:r>
              <w:rPr>
                <w:rFonts w:hint="eastAsia" w:ascii="Calibri" w:hAnsi="Calibri"/>
                <w:kern w:val="2"/>
              </w:rPr>
              <w:t>电子设备</w:t>
            </w:r>
          </w:p>
        </w:tc>
        <w:tc>
          <w:tcPr>
            <w:tcW w:w="925" w:type="pct"/>
            <w:vAlign w:val="center"/>
          </w:tcPr>
          <w:p w14:paraId="4E989DC2">
            <w:pPr>
              <w:spacing w:line="276" w:lineRule="auto"/>
              <w:jc w:val="center"/>
              <w:rPr>
                <w:rFonts w:ascii="Calibri" w:hAnsi="Calibri"/>
                <w:kern w:val="2"/>
              </w:rPr>
            </w:pPr>
            <w:r>
              <w:rPr>
                <w:rFonts w:hint="eastAsia" w:ascii="Calibri" w:hAnsi="Calibri"/>
                <w:kern w:val="2"/>
              </w:rPr>
              <w:t>直线法</w:t>
            </w:r>
          </w:p>
        </w:tc>
        <w:tc>
          <w:tcPr>
            <w:tcW w:w="925" w:type="pct"/>
            <w:vAlign w:val="center"/>
          </w:tcPr>
          <w:p w14:paraId="6192B430">
            <w:pPr>
              <w:spacing w:line="276" w:lineRule="auto"/>
              <w:jc w:val="center"/>
              <w:rPr>
                <w:rFonts w:ascii="Calibri" w:hAnsi="Calibri"/>
                <w:kern w:val="2"/>
              </w:rPr>
            </w:pPr>
            <w:r>
              <w:rPr>
                <w:rFonts w:hint="eastAsia" w:ascii="Calibri" w:hAnsi="Calibri"/>
                <w:kern w:val="2"/>
              </w:rPr>
              <w:t>3</w:t>
            </w:r>
          </w:p>
        </w:tc>
        <w:tc>
          <w:tcPr>
            <w:tcW w:w="926" w:type="pct"/>
            <w:vAlign w:val="center"/>
          </w:tcPr>
          <w:p w14:paraId="508877FB">
            <w:pPr>
              <w:spacing w:line="276" w:lineRule="auto"/>
              <w:jc w:val="center"/>
              <w:rPr>
                <w:rFonts w:ascii="Calibri" w:hAnsi="Calibri"/>
                <w:kern w:val="2"/>
              </w:rPr>
            </w:pPr>
            <w:r>
              <w:rPr>
                <w:rFonts w:hint="eastAsia" w:ascii="Calibri" w:hAnsi="Calibri"/>
                <w:kern w:val="2"/>
              </w:rPr>
              <w:t>5%</w:t>
            </w:r>
          </w:p>
        </w:tc>
        <w:tc>
          <w:tcPr>
            <w:tcW w:w="926" w:type="pct"/>
            <w:vAlign w:val="center"/>
          </w:tcPr>
          <w:p w14:paraId="4DD5582B">
            <w:pPr>
              <w:spacing w:line="276" w:lineRule="auto"/>
              <w:jc w:val="center"/>
              <w:rPr>
                <w:rFonts w:ascii="Calibri" w:hAnsi="Calibri"/>
                <w:kern w:val="2"/>
              </w:rPr>
            </w:pPr>
            <w:r>
              <w:rPr>
                <w:rFonts w:hint="eastAsia" w:ascii="Calibri" w:hAnsi="Calibri"/>
                <w:kern w:val="2"/>
              </w:rPr>
              <w:t>31.67</w:t>
            </w:r>
          </w:p>
        </w:tc>
      </w:tr>
      <w:tr w14:paraId="60D3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pct"/>
            <w:vAlign w:val="center"/>
          </w:tcPr>
          <w:p w14:paraId="45EC8C49">
            <w:pPr>
              <w:spacing w:line="276" w:lineRule="auto"/>
              <w:jc w:val="both"/>
              <w:rPr>
                <w:rFonts w:ascii="Calibri" w:hAnsi="Calibri"/>
                <w:kern w:val="2"/>
              </w:rPr>
            </w:pPr>
            <w:r>
              <w:rPr>
                <w:rFonts w:hint="eastAsia" w:ascii="Calibri" w:hAnsi="Calibri"/>
                <w:kern w:val="2"/>
              </w:rPr>
              <w:t>其他</w:t>
            </w:r>
          </w:p>
        </w:tc>
        <w:tc>
          <w:tcPr>
            <w:tcW w:w="925" w:type="pct"/>
            <w:vAlign w:val="center"/>
          </w:tcPr>
          <w:p w14:paraId="6EEEFA3A">
            <w:pPr>
              <w:spacing w:line="276" w:lineRule="auto"/>
              <w:jc w:val="center"/>
              <w:rPr>
                <w:rFonts w:ascii="Calibri" w:hAnsi="Calibri"/>
                <w:kern w:val="2"/>
              </w:rPr>
            </w:pPr>
            <w:r>
              <w:rPr>
                <w:rFonts w:hint="eastAsia" w:ascii="Calibri" w:hAnsi="Calibri"/>
                <w:kern w:val="2"/>
              </w:rPr>
              <w:t>直线法</w:t>
            </w:r>
          </w:p>
        </w:tc>
        <w:tc>
          <w:tcPr>
            <w:tcW w:w="925" w:type="pct"/>
            <w:vAlign w:val="center"/>
          </w:tcPr>
          <w:p w14:paraId="5ABFF9F6">
            <w:pPr>
              <w:spacing w:line="276" w:lineRule="auto"/>
              <w:jc w:val="center"/>
              <w:rPr>
                <w:rFonts w:ascii="Calibri" w:hAnsi="Calibri"/>
                <w:kern w:val="2"/>
              </w:rPr>
            </w:pPr>
            <w:r>
              <w:rPr>
                <w:rFonts w:hint="eastAsia" w:ascii="Calibri" w:hAnsi="Calibri"/>
                <w:kern w:val="2"/>
              </w:rPr>
              <w:t>5</w:t>
            </w:r>
          </w:p>
        </w:tc>
        <w:tc>
          <w:tcPr>
            <w:tcW w:w="926" w:type="pct"/>
            <w:vAlign w:val="center"/>
          </w:tcPr>
          <w:p w14:paraId="6E5013DA">
            <w:pPr>
              <w:spacing w:line="276" w:lineRule="auto"/>
              <w:jc w:val="center"/>
              <w:rPr>
                <w:rFonts w:ascii="Calibri" w:hAnsi="Calibri"/>
                <w:kern w:val="2"/>
              </w:rPr>
            </w:pPr>
            <w:r>
              <w:rPr>
                <w:rFonts w:hint="eastAsia" w:ascii="Calibri" w:hAnsi="Calibri"/>
                <w:kern w:val="2"/>
              </w:rPr>
              <w:t>5%</w:t>
            </w:r>
          </w:p>
        </w:tc>
        <w:tc>
          <w:tcPr>
            <w:tcW w:w="926" w:type="pct"/>
            <w:vAlign w:val="center"/>
          </w:tcPr>
          <w:p w14:paraId="79CC5D23">
            <w:pPr>
              <w:spacing w:line="276" w:lineRule="auto"/>
              <w:jc w:val="center"/>
              <w:rPr>
                <w:rFonts w:ascii="Calibri" w:hAnsi="Calibri"/>
                <w:kern w:val="2"/>
              </w:rPr>
            </w:pPr>
            <w:r>
              <w:rPr>
                <w:rFonts w:hint="eastAsia" w:ascii="Calibri" w:hAnsi="Calibri"/>
                <w:kern w:val="2"/>
              </w:rPr>
              <w:t>19.00</w:t>
            </w:r>
          </w:p>
        </w:tc>
      </w:tr>
    </w:tbl>
    <w:p w14:paraId="3C8D7798">
      <w:pPr>
        <w:spacing w:line="360" w:lineRule="auto"/>
        <w:ind w:firstLine="420" w:firstLineChars="200"/>
        <w:jc w:val="both"/>
        <w:rPr>
          <w:rFonts w:ascii="Calibri" w:hAnsi="Calibri"/>
          <w:kern w:val="2"/>
        </w:rPr>
      </w:pPr>
      <w:r>
        <w:rPr>
          <w:rFonts w:hint="eastAsia" w:ascii="Calibri" w:hAnsi="Calibri"/>
          <w:kern w:val="2"/>
        </w:rPr>
        <w:t>3.其他说明</w:t>
      </w:r>
    </w:p>
    <w:p w14:paraId="4B7ECA9E">
      <w:pPr>
        <w:spacing w:line="360" w:lineRule="auto"/>
        <w:ind w:firstLine="420" w:firstLineChars="200"/>
        <w:jc w:val="both"/>
      </w:pPr>
      <w:r>
        <w:rPr>
          <w:rFonts w:hint="eastAsia" w:ascii="Calibri" w:hAnsi="Calibri"/>
          <w:kern w:val="2"/>
        </w:rPr>
        <w:t>符合资本化条件的固定资产装修费用：在两次装修期间与固定资产尚可使用年限两者中较短的期间内，采用年限平均法单独计提折旧。</w:t>
      </w:r>
    </w:p>
    <w:p w14:paraId="5AAC5F69">
      <w:pPr>
        <w:pStyle w:val="4"/>
        <w:numPr>
          <w:ilvl w:val="0"/>
          <w:numId w:val="54"/>
        </w:numPr>
      </w:pPr>
      <w:r>
        <w:t>在建工程</w:t>
      </w:r>
    </w:p>
    <w:sdt>
      <w:sdtPr>
        <w:rPr>
          <w:rFonts w:hint="eastAsia"/>
        </w:rPr>
        <w:alias w:val="是否适用：在建工程_重要会计政策和估计[双击切换]"/>
        <w:tag w:val="_GBC_00730441e5ea4f57b3cd3ff1ecc5c1bd"/>
        <w:id w:val="1589962381"/>
        <w:placeholder>
          <w:docPart w:val="GBC22222222222222222222222222222"/>
        </w:placeholder>
      </w:sdtPr>
      <w:sdtEndPr>
        <w:rPr>
          <w:rFonts w:hint="eastAsia"/>
        </w:rPr>
      </w:sdtEndPr>
      <w:sdtContent>
        <w:p w14:paraId="50CF68E5">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在建工程核算方法"/>
        <w:tag w:val="_GBC_ed79f983df814c58add61776fe84c76e"/>
        <w:id w:val="-1935896934"/>
        <w:placeholder>
          <w:docPart w:val="GBC22222222222222222222222222222"/>
        </w:placeholder>
      </w:sdtPr>
      <w:sdtEndPr>
        <w:rPr>
          <w:rFonts w:hint="eastAsia"/>
        </w:rPr>
      </w:sdtEndPr>
      <w:sdtContent>
        <w:p w14:paraId="64DB8B40">
          <w:pPr>
            <w:pStyle w:val="48"/>
            <w:spacing w:line="360" w:lineRule="auto"/>
            <w:ind w:firstLine="420" w:firstLineChars="200"/>
          </w:pPr>
          <w:r>
            <w:rPr>
              <w:rFonts w:hint="eastAsia"/>
            </w:rPr>
            <w:t>本公司在建工程主要为自营方式建造和出包方式建造。在建工程结转为固定资产的标准和时点，以在建工程达到预定可使用状态为依据。预定可使用状态的判断标准，应符合下列情况之一：固定资产的实体建造（包括安装）工作已经全部完成或实质上已经全部完成；已经试生产或试运行，并且其结果表明资产能够正常运行或能够稳定地生产出合格产品，或者试运行结果表明其能够正常运转或营业；该项建造的固定资产上的支出金额很少或者几乎不再发生；所购建的固定资产已经达到设计或合同要求，或与设计或合同要求基本相符。</w:t>
          </w:r>
        </w:p>
      </w:sdtContent>
    </w:sdt>
    <w:p w14:paraId="5E9DBB66">
      <w:pPr>
        <w:pStyle w:val="48"/>
      </w:pPr>
    </w:p>
    <w:p w14:paraId="4B923CA7">
      <w:pPr>
        <w:pStyle w:val="4"/>
        <w:numPr>
          <w:ilvl w:val="0"/>
          <w:numId w:val="54"/>
        </w:numPr>
      </w:pPr>
      <w:r>
        <w:t>借款费用</w:t>
      </w:r>
    </w:p>
    <w:sdt>
      <w:sdtPr>
        <w:rPr>
          <w:rFonts w:hint="eastAsia"/>
        </w:rPr>
        <w:alias w:val="是否适用：借款费用_重要会计政策和估计[双击切换]"/>
        <w:tag w:val="_GBC_84ea3b60fd54474487b81f25f176d989"/>
        <w:id w:val="121049401"/>
        <w:placeholder>
          <w:docPart w:val="GBC22222222222222222222222222222"/>
        </w:placeholder>
      </w:sdtPr>
      <w:sdtEndPr>
        <w:rPr>
          <w:rFonts w:hint="eastAsia"/>
        </w:rPr>
      </w:sdtEndPr>
      <w:sdtContent>
        <w:p w14:paraId="45074782">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借款费用的会计处理方法"/>
        <w:tag w:val="_GBC_2101c32d32c64f39a8b8fcd2b72dbb0a"/>
        <w:id w:val="-237945786"/>
        <w:placeholder>
          <w:docPart w:val="GBC22222222222222222222222222222"/>
        </w:placeholder>
      </w:sdtPr>
      <w:sdtEndPr>
        <w:rPr>
          <w:rFonts w:hint="eastAsia"/>
        </w:rPr>
      </w:sdtEndPr>
      <w:sdtContent>
        <w:p w14:paraId="68C97BB1">
          <w:pPr>
            <w:spacing w:line="360" w:lineRule="auto"/>
            <w:ind w:firstLine="420" w:firstLineChars="200"/>
            <w:jc w:val="both"/>
          </w:pPr>
          <w:r>
            <w:rPr>
              <w:rFonts w:hint="eastAsia"/>
            </w:rPr>
            <w:t>1.借款费用资本化的确认原则</w:t>
          </w:r>
        </w:p>
        <w:p w14:paraId="170224ED">
          <w:pPr>
            <w:spacing w:line="360" w:lineRule="auto"/>
            <w:ind w:firstLine="420" w:firstLineChars="200"/>
            <w:jc w:val="both"/>
          </w:pPr>
          <w:r>
            <w:rPr>
              <w:rFonts w:hint="eastAsia"/>
            </w:rPr>
            <w:t>本公司发生的借款费用，可直接归属于符合资本化条件的资产的购建或者生产的，予以资本化，计入相关资产成本；其他借款费用，在发生时根据其发生额确认为费用，计入当期损益。符合资本化条件的资产，是指需要经过相当长时间的购建或者生产活动才能达到预定可使用或者可销售状态的固定资产、投资性房地产和存货等资产。</w:t>
          </w:r>
        </w:p>
        <w:p w14:paraId="18A25A10">
          <w:pPr>
            <w:spacing w:line="360" w:lineRule="auto"/>
            <w:ind w:firstLine="420" w:firstLineChars="200"/>
            <w:jc w:val="both"/>
          </w:pPr>
          <w:r>
            <w:rPr>
              <w:rFonts w:hint="eastAsia"/>
            </w:rPr>
            <w:t>2.资本化金额计算方法</w:t>
          </w:r>
        </w:p>
        <w:p w14:paraId="04CC5A54">
          <w:pPr>
            <w:spacing w:line="360" w:lineRule="auto"/>
            <w:ind w:firstLine="420" w:firstLineChars="200"/>
            <w:jc w:val="both"/>
          </w:pPr>
          <w:r>
            <w:rPr>
              <w:rFonts w:hint="eastAsia"/>
            </w:rPr>
            <w:t>资本化期间，是指从借款费用开始资本化时点到停止资本化时点的期间，借款费用暂停资本化的期间不包括在内。在购建或生产过程中发生非正常中断、且中断时间连续超过3个月的，应当暂停借款费用的资本化。</w:t>
          </w:r>
        </w:p>
        <w:p w14:paraId="263EAF04">
          <w:pPr>
            <w:spacing w:line="360" w:lineRule="auto"/>
            <w:ind w:firstLine="420" w:firstLineChars="200"/>
            <w:jc w:val="both"/>
          </w:pPr>
          <w:r>
            <w:rPr>
              <w:rFonts w:hint="eastAsia"/>
            </w:rPr>
            <w:t>借入专门借款，按照专门借款当期实际发生的利息费用，减去将尚未动用的借款资金存入银行取得的利息收入或进行暂时性投资取得的投资收益后的金额确定；占用一般借款按照累计资产支出超过专门借款部分的资产支出加权平均数乘以所占用一般借款的资本化率计算确定，资本化率为一般借款的加权平均利率；借款存在折价或溢价的，按照实际利率法确定每一会计期间应摊销的折价或溢价金额，调整每期利息金额。</w:t>
          </w:r>
        </w:p>
        <w:p w14:paraId="77F2CD1C">
          <w:pPr>
            <w:spacing w:line="360" w:lineRule="auto"/>
            <w:ind w:firstLine="420" w:firstLineChars="200"/>
            <w:jc w:val="both"/>
            <w:rPr>
              <w:kern w:val="2"/>
            </w:rPr>
          </w:pPr>
          <w:r>
            <w:rPr>
              <w:rFonts w:hint="eastAsia"/>
            </w:rPr>
            <w:t>实际利率法是根据借款实际利率计算其摊余折价或溢价或利息费用的方法。其中实际利率是借款在预期存续期间的未来现金流量，折现为该借款当前账面价值所使用的利率。</w:t>
          </w:r>
        </w:p>
      </w:sdtContent>
    </w:sdt>
    <w:p w14:paraId="067A0DA9">
      <w:pPr>
        <w:pStyle w:val="48"/>
      </w:pPr>
    </w:p>
    <w:p w14:paraId="54107D67">
      <w:pPr>
        <w:pStyle w:val="4"/>
        <w:numPr>
          <w:ilvl w:val="0"/>
          <w:numId w:val="54"/>
        </w:numPr>
      </w:pPr>
      <w:r>
        <w:t>生物资产</w:t>
      </w:r>
    </w:p>
    <w:sdt>
      <w:sdtPr>
        <w:rPr>
          <w:rFonts w:hint="eastAsia"/>
        </w:rPr>
        <w:alias w:val="是否适用：生物资产_重要会计政策和估计[双击切换]"/>
        <w:tag w:val="_GBC_f511e8d0a6dc417eb1d10eeecb5b05a5"/>
        <w:id w:val="-1937284383"/>
        <w:placeholder>
          <w:docPart w:val="GBC22222222222222222222222222222"/>
        </w:placeholder>
      </w:sdtPr>
      <w:sdtEndPr>
        <w:rPr>
          <w:rFonts w:hint="eastAsia"/>
        </w:rPr>
      </w:sdtEndPr>
      <w:sdtContent>
        <w:p w14:paraId="47E361E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DE05EDB">
      <w:pPr>
        <w:pStyle w:val="48"/>
      </w:pPr>
    </w:p>
    <w:p w14:paraId="46DFC0BA">
      <w:pPr>
        <w:pStyle w:val="4"/>
        <w:numPr>
          <w:ilvl w:val="0"/>
          <w:numId w:val="54"/>
        </w:numPr>
      </w:pPr>
      <w:r>
        <w:t>油气资产</w:t>
      </w:r>
    </w:p>
    <w:sdt>
      <w:sdtPr>
        <w:rPr>
          <w:rFonts w:hint="eastAsia"/>
        </w:rPr>
        <w:alias w:val="是否适用：油气资产_重要会计政策和估计[双击切换]"/>
        <w:tag w:val="_GBC_fb60dd1d8d2346fb9b2e461875c070c9"/>
        <w:id w:val="1230196047"/>
        <w:placeholder>
          <w:docPart w:val="GBC22222222222222222222222222222"/>
        </w:placeholder>
      </w:sdtPr>
      <w:sdtEndPr>
        <w:rPr>
          <w:rFonts w:hint="eastAsia"/>
        </w:rPr>
      </w:sdtEndPr>
      <w:sdtContent>
        <w:p w14:paraId="7B5CD5C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EEA699A">
      <w:pPr>
        <w:pStyle w:val="48"/>
      </w:pPr>
    </w:p>
    <w:p w14:paraId="3157B19A">
      <w:pPr>
        <w:pStyle w:val="4"/>
        <w:numPr>
          <w:ilvl w:val="0"/>
          <w:numId w:val="54"/>
        </w:numPr>
      </w:pPr>
      <w:r>
        <w:t>无形资产</w:t>
      </w:r>
    </w:p>
    <w:p w14:paraId="4A6D473B">
      <w:pPr>
        <w:pStyle w:val="5"/>
        <w:numPr>
          <w:ilvl w:val="3"/>
          <w:numId w:val="57"/>
        </w:numPr>
        <w:ind w:left="426" w:hanging="426"/>
      </w:pPr>
      <w:r>
        <w:rPr>
          <w:rFonts w:hint="eastAsia"/>
        </w:rPr>
        <w:t>使用寿命及其确定依据、估计情况、摊销方法或复核程序</w:t>
      </w:r>
    </w:p>
    <w:sdt>
      <w:sdtPr>
        <w:alias w:val="是否适用：无形资产计价方法、使用寿命、减值测试[双击切换]"/>
        <w:tag w:val="_GBC_40df8c87b47d48bbbf73a71cc533a892"/>
        <w:id w:val="497469962"/>
        <w:placeholder>
          <w:docPart w:val="GBC22222222222222222222222222222"/>
        </w:placeholder>
      </w:sdtPr>
      <w:sdtContent>
        <w:p w14:paraId="4CB64A79">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无形资产计价方法、使用寿命、减值测试"/>
        <w:tag w:val="_GBC_a9e64b18f452482eb6674ec605618dcc"/>
        <w:id w:val="1420527890"/>
        <w:placeholder>
          <w:docPart w:val="GBC22222222222222222222222222222"/>
        </w:placeholder>
      </w:sdtPr>
      <w:sdtContent>
        <w:p w14:paraId="1429903F">
          <w:pPr>
            <w:pStyle w:val="48"/>
            <w:spacing w:line="360" w:lineRule="auto"/>
            <w:ind w:firstLine="420" w:firstLineChars="200"/>
          </w:pPr>
          <w:r>
            <w:rPr>
              <w:rFonts w:hint="eastAsia"/>
            </w:rPr>
            <w:t>1.无形资产的计价方法</w:t>
          </w:r>
        </w:p>
        <w:p w14:paraId="1FBCFD7E">
          <w:pPr>
            <w:pStyle w:val="48"/>
            <w:spacing w:line="360" w:lineRule="auto"/>
            <w:ind w:firstLine="420" w:firstLineChars="200"/>
          </w:pPr>
          <w:r>
            <w:rPr>
              <w:rFonts w:hint="eastAsia"/>
            </w:rPr>
            <w:t>本公司无形资产按照成本进行初始计量。购入的无形资产，按实际支付的价款和相关支出作为实际成本。投资者投入的无形资产，按投资合同或协议约定的价值确定实际成本，但合同或协议约定价值不公允的，按公允价值确定实际成本。自行开发的无形资产，其成本为达到预定用途前所发生的支出总额。</w:t>
          </w:r>
        </w:p>
        <w:p w14:paraId="5E7DED4A">
          <w:pPr>
            <w:pStyle w:val="48"/>
            <w:spacing w:line="360" w:lineRule="auto"/>
            <w:ind w:firstLine="420" w:firstLineChars="200"/>
          </w:pPr>
          <w:r>
            <w:rPr>
              <w:rFonts w:hint="eastAsia"/>
            </w:rPr>
            <w:t>2.使用寿命及其确定依据、估计情况、摊销方法或复核程序</w:t>
          </w:r>
        </w:p>
        <w:p w14:paraId="0B09B1C6">
          <w:pPr>
            <w:pStyle w:val="48"/>
            <w:spacing w:line="360" w:lineRule="auto"/>
            <w:ind w:firstLine="420" w:firstLineChars="200"/>
          </w:pPr>
          <w:r>
            <w:rPr>
              <w:rFonts w:hint="eastAsia"/>
            </w:rPr>
            <w:t>使用寿命有限无形资产采用下表列示进行摊销，并在年度终了，对无形资产的使用寿命和摊销方法进行复核，如与原先估计数存在差异的，进行相应的调整。使用寿命不确定的无形资产不摊销，但在年度终了，对使用寿命进行复核，当有确凿证据表明其使用寿命是有限的，则估计其使用寿命。</w:t>
          </w:r>
        </w:p>
        <w:p w14:paraId="51FB8B66">
          <w:pPr>
            <w:pStyle w:val="48"/>
            <w:spacing w:line="360" w:lineRule="auto"/>
            <w:ind w:firstLine="420" w:firstLineChars="200"/>
          </w:pPr>
          <w:r>
            <w:rPr>
              <w:rFonts w:hint="eastAsia"/>
            </w:rPr>
            <w:t>使用寿命有限的无形资产的使用寿命及其确定依据和摊销方法：</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219"/>
            <w:gridCol w:w="3267"/>
            <w:gridCol w:w="2563"/>
          </w:tblGrid>
          <w:tr w14:paraId="7BE5DD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9" w:type="pct"/>
                <w:tcBorders>
                  <w:top w:val="single" w:color="auto" w:sz="12" w:space="0"/>
                  <w:left w:val="single" w:color="auto" w:sz="4" w:space="0"/>
                  <w:bottom w:val="single" w:color="auto" w:sz="6" w:space="0"/>
                  <w:right w:val="single" w:color="auto" w:sz="6" w:space="0"/>
                </w:tcBorders>
                <w:vAlign w:val="center"/>
              </w:tcPr>
              <w:p w14:paraId="162702CB">
                <w:pPr>
                  <w:pStyle w:val="48"/>
                  <w:spacing w:line="276" w:lineRule="auto"/>
                  <w:jc w:val="center"/>
                </w:pPr>
                <w:r>
                  <w:rPr>
                    <w:rFonts w:hint="eastAsia"/>
                  </w:rPr>
                  <w:t>资产类别</w:t>
                </w:r>
              </w:p>
            </w:tc>
            <w:tc>
              <w:tcPr>
                <w:tcW w:w="1805" w:type="pct"/>
                <w:tcBorders>
                  <w:top w:val="single" w:color="auto" w:sz="12" w:space="0"/>
                  <w:left w:val="single" w:color="auto" w:sz="6" w:space="0"/>
                  <w:bottom w:val="single" w:color="auto" w:sz="6" w:space="0"/>
                  <w:right w:val="single" w:color="auto" w:sz="4" w:space="0"/>
                </w:tcBorders>
                <w:vAlign w:val="center"/>
              </w:tcPr>
              <w:p w14:paraId="7AB40A39">
                <w:pPr>
                  <w:pStyle w:val="48"/>
                  <w:spacing w:line="276" w:lineRule="auto"/>
                  <w:jc w:val="center"/>
                </w:pPr>
                <w:r>
                  <w:rPr>
                    <w:rFonts w:hint="eastAsia"/>
                  </w:rPr>
                  <w:t>使用寿命（年）</w:t>
                </w:r>
              </w:p>
            </w:tc>
            <w:tc>
              <w:tcPr>
                <w:tcW w:w="1416" w:type="pct"/>
                <w:tcBorders>
                  <w:top w:val="single" w:color="auto" w:sz="12" w:space="0"/>
                  <w:left w:val="single" w:color="auto" w:sz="6" w:space="0"/>
                  <w:bottom w:val="single" w:color="auto" w:sz="6" w:space="0"/>
                  <w:right w:val="single" w:color="auto" w:sz="4" w:space="0"/>
                </w:tcBorders>
                <w:vAlign w:val="center"/>
              </w:tcPr>
              <w:p w14:paraId="7163197A">
                <w:pPr>
                  <w:pStyle w:val="48"/>
                  <w:spacing w:line="276" w:lineRule="auto"/>
                  <w:jc w:val="center"/>
                </w:pPr>
                <w:r>
                  <w:rPr>
                    <w:rFonts w:hint="eastAsia"/>
                  </w:rPr>
                  <w:t>摊销方法</w:t>
                </w:r>
              </w:p>
            </w:tc>
          </w:tr>
          <w:tr w14:paraId="344228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9" w:type="pct"/>
                <w:tcBorders>
                  <w:top w:val="single" w:color="auto" w:sz="6" w:space="0"/>
                  <w:left w:val="single" w:color="auto" w:sz="4" w:space="0"/>
                  <w:bottom w:val="single" w:color="auto" w:sz="6" w:space="0"/>
                  <w:right w:val="single" w:color="auto" w:sz="6" w:space="0"/>
                </w:tcBorders>
                <w:vAlign w:val="center"/>
              </w:tcPr>
              <w:p w14:paraId="41C25A66">
                <w:pPr>
                  <w:pStyle w:val="48"/>
                  <w:spacing w:line="276" w:lineRule="auto"/>
                </w:pPr>
                <w:r>
                  <w:rPr>
                    <w:rFonts w:hint="eastAsia"/>
                  </w:rPr>
                  <w:t>专利技术与自主研发</w:t>
                </w:r>
              </w:p>
            </w:tc>
            <w:tc>
              <w:tcPr>
                <w:tcW w:w="1805" w:type="pct"/>
                <w:tcBorders>
                  <w:top w:val="single" w:color="auto" w:sz="6" w:space="0"/>
                  <w:left w:val="single" w:color="auto" w:sz="6" w:space="0"/>
                  <w:bottom w:val="single" w:color="auto" w:sz="6" w:space="0"/>
                  <w:right w:val="single" w:color="auto" w:sz="4" w:space="0"/>
                </w:tcBorders>
                <w:vAlign w:val="center"/>
              </w:tcPr>
              <w:p w14:paraId="25185BA8">
                <w:pPr>
                  <w:pStyle w:val="48"/>
                  <w:spacing w:line="276" w:lineRule="auto"/>
                </w:pPr>
                <w:r>
                  <w:rPr>
                    <w:rFonts w:hint="eastAsia"/>
                  </w:rPr>
                  <w:t>专利保护年限与10年</w:t>
                </w:r>
              </w:p>
            </w:tc>
            <w:tc>
              <w:tcPr>
                <w:tcW w:w="1416" w:type="pct"/>
                <w:tcBorders>
                  <w:top w:val="single" w:color="auto" w:sz="6" w:space="0"/>
                  <w:left w:val="single" w:color="auto" w:sz="6" w:space="0"/>
                  <w:bottom w:val="single" w:color="auto" w:sz="6" w:space="0"/>
                  <w:right w:val="single" w:color="auto" w:sz="4" w:space="0"/>
                </w:tcBorders>
                <w:vAlign w:val="center"/>
              </w:tcPr>
              <w:p w14:paraId="77F7F85E">
                <w:pPr>
                  <w:pStyle w:val="48"/>
                  <w:spacing w:line="276" w:lineRule="auto"/>
                </w:pPr>
                <w:r>
                  <w:rPr>
                    <w:rFonts w:hint="eastAsia"/>
                  </w:rPr>
                  <w:t>国家法律法规或者合同约定</w:t>
                </w:r>
              </w:p>
            </w:tc>
          </w:tr>
          <w:tr w14:paraId="05BBFA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9" w:type="pct"/>
                <w:tcBorders>
                  <w:top w:val="single" w:color="auto" w:sz="6" w:space="0"/>
                  <w:left w:val="single" w:color="auto" w:sz="4" w:space="0"/>
                  <w:bottom w:val="single" w:color="auto" w:sz="6" w:space="0"/>
                  <w:right w:val="single" w:color="auto" w:sz="6" w:space="0"/>
                </w:tcBorders>
                <w:vAlign w:val="center"/>
              </w:tcPr>
              <w:p w14:paraId="438B710C">
                <w:pPr>
                  <w:pStyle w:val="48"/>
                  <w:spacing w:line="276" w:lineRule="auto"/>
                </w:pPr>
                <w:r>
                  <w:rPr>
                    <w:rFonts w:hint="eastAsia"/>
                  </w:rPr>
                  <w:t>土地使用权</w:t>
                </w:r>
              </w:p>
            </w:tc>
            <w:tc>
              <w:tcPr>
                <w:tcW w:w="1805" w:type="pct"/>
                <w:tcBorders>
                  <w:top w:val="single" w:color="auto" w:sz="6" w:space="0"/>
                  <w:left w:val="single" w:color="auto" w:sz="6" w:space="0"/>
                  <w:bottom w:val="single" w:color="auto" w:sz="6" w:space="0"/>
                  <w:right w:val="single" w:color="auto" w:sz="4" w:space="0"/>
                </w:tcBorders>
                <w:vAlign w:val="center"/>
              </w:tcPr>
              <w:p w14:paraId="4838C82E">
                <w:pPr>
                  <w:pStyle w:val="48"/>
                  <w:spacing w:line="276" w:lineRule="auto"/>
                </w:pPr>
                <w:r>
                  <w:rPr>
                    <w:rFonts w:hint="eastAsia"/>
                  </w:rPr>
                  <w:t>50年</w:t>
                </w:r>
              </w:p>
            </w:tc>
            <w:tc>
              <w:tcPr>
                <w:tcW w:w="1416" w:type="pct"/>
                <w:tcBorders>
                  <w:top w:val="single" w:color="auto" w:sz="6" w:space="0"/>
                  <w:left w:val="single" w:color="auto" w:sz="6" w:space="0"/>
                  <w:bottom w:val="single" w:color="auto" w:sz="6" w:space="0"/>
                  <w:right w:val="single" w:color="auto" w:sz="4" w:space="0"/>
                </w:tcBorders>
                <w:vAlign w:val="center"/>
              </w:tcPr>
              <w:p w14:paraId="07B0ABFB">
                <w:pPr>
                  <w:pStyle w:val="48"/>
                  <w:spacing w:line="276" w:lineRule="auto"/>
                </w:pPr>
                <w:r>
                  <w:rPr>
                    <w:rFonts w:hint="eastAsia"/>
                  </w:rPr>
                  <w:t>权证上载明的使用期限</w:t>
                </w:r>
              </w:p>
            </w:tc>
          </w:tr>
          <w:tr w14:paraId="29FF05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9" w:type="pct"/>
                <w:tcBorders>
                  <w:top w:val="single" w:color="auto" w:sz="6" w:space="0"/>
                  <w:left w:val="single" w:color="auto" w:sz="4" w:space="0"/>
                  <w:bottom w:val="single" w:color="auto" w:sz="12" w:space="0"/>
                  <w:right w:val="single" w:color="auto" w:sz="6" w:space="0"/>
                </w:tcBorders>
                <w:vAlign w:val="center"/>
              </w:tcPr>
              <w:p w14:paraId="0551CD40">
                <w:pPr>
                  <w:pStyle w:val="48"/>
                  <w:spacing w:line="276" w:lineRule="auto"/>
                </w:pPr>
                <w:r>
                  <w:rPr>
                    <w:rFonts w:hint="eastAsia"/>
                  </w:rPr>
                  <w:t>软件</w:t>
                </w:r>
              </w:p>
            </w:tc>
            <w:tc>
              <w:tcPr>
                <w:tcW w:w="1805" w:type="pct"/>
                <w:tcBorders>
                  <w:top w:val="single" w:color="auto" w:sz="6" w:space="0"/>
                  <w:left w:val="single" w:color="auto" w:sz="6" w:space="0"/>
                  <w:bottom w:val="single" w:color="auto" w:sz="12" w:space="0"/>
                  <w:right w:val="single" w:color="auto" w:sz="4" w:space="0"/>
                </w:tcBorders>
                <w:vAlign w:val="center"/>
              </w:tcPr>
              <w:p w14:paraId="67A0AAE4">
                <w:pPr>
                  <w:pStyle w:val="48"/>
                  <w:spacing w:line="276" w:lineRule="auto"/>
                </w:pPr>
                <w:r>
                  <w:rPr>
                    <w:rFonts w:hint="eastAsia"/>
                  </w:rPr>
                  <w:t>3-10年</w:t>
                </w:r>
              </w:p>
            </w:tc>
            <w:tc>
              <w:tcPr>
                <w:tcW w:w="1416" w:type="pct"/>
                <w:tcBorders>
                  <w:top w:val="single" w:color="auto" w:sz="6" w:space="0"/>
                  <w:left w:val="single" w:color="auto" w:sz="6" w:space="0"/>
                  <w:bottom w:val="single" w:color="auto" w:sz="12" w:space="0"/>
                  <w:right w:val="single" w:color="auto" w:sz="4" w:space="0"/>
                </w:tcBorders>
                <w:vAlign w:val="center"/>
              </w:tcPr>
              <w:p w14:paraId="2C88E296">
                <w:pPr>
                  <w:pStyle w:val="48"/>
                  <w:spacing w:line="276" w:lineRule="auto"/>
                </w:pPr>
                <w:r>
                  <w:rPr>
                    <w:rFonts w:hint="eastAsia"/>
                  </w:rPr>
                  <w:t>公司预计受益年限</w:t>
                </w:r>
              </w:p>
            </w:tc>
          </w:tr>
        </w:tbl>
        <w:p w14:paraId="3EC88D83">
          <w:pPr>
            <w:pStyle w:val="48"/>
            <w:spacing w:line="360" w:lineRule="auto"/>
            <w:ind w:firstLine="420" w:firstLineChars="200"/>
          </w:pPr>
          <w:r>
            <w:rPr>
              <w:rFonts w:hint="eastAsia"/>
            </w:rPr>
            <w:t>本公司将无法预见该资产为公司带来经济利益的期限，或使用期限不确定的无形资产确定为使用寿命不确定的无形资产。使用寿命不确定的判断依据为：来源于合同性权利或其他法定权利，但合同规定或法律规定无明确使用年限；综合同行业情况或相关专家论证等，仍无法判断无形资产为公司带来经济利益的期限。</w:t>
          </w:r>
        </w:p>
        <w:p w14:paraId="3FB40551">
          <w:pPr>
            <w:pStyle w:val="48"/>
            <w:spacing w:line="360" w:lineRule="auto"/>
            <w:ind w:firstLine="420" w:firstLineChars="200"/>
          </w:pPr>
          <w:r>
            <w:rPr>
              <w:rFonts w:hint="eastAsia"/>
            </w:rPr>
            <w:t>每年年末，对使用寿命不确定的无形资产的使用寿命进行复核，主要采取自下而上的方式，由无形资产使用相关部门进行基础复核，评价使用寿命不确定判断依据是否存在变化等。</w:t>
          </w:r>
        </w:p>
        <w:p w14:paraId="1CDE9002">
          <w:pPr>
            <w:pStyle w:val="48"/>
          </w:pPr>
        </w:p>
      </w:sdtContent>
    </w:sdt>
    <w:p w14:paraId="39459F05">
      <w:pPr>
        <w:pStyle w:val="48"/>
      </w:pPr>
    </w:p>
    <w:p w14:paraId="5C726D7C">
      <w:pPr>
        <w:pStyle w:val="5"/>
        <w:numPr>
          <w:ilvl w:val="3"/>
          <w:numId w:val="57"/>
        </w:numPr>
        <w:ind w:left="426" w:hanging="426"/>
      </w:pPr>
      <w:r>
        <w:rPr>
          <w:rFonts w:hint="eastAsia"/>
        </w:rPr>
        <w:t>研发支出的归集范围及相关会计处理方法</w:t>
      </w:r>
    </w:p>
    <w:sdt>
      <w:sdtPr>
        <w:alias w:val="是否适用：无形资产内部研究开发支出会计政策[双击切换]"/>
        <w:tag w:val="_GBC_8f6b939ea36a42808f60b7c024994f2b"/>
        <w:id w:val="-856028599"/>
        <w:placeholder>
          <w:docPart w:val="GBC22222222222222222222222222222"/>
        </w:placeholder>
      </w:sdtPr>
      <w:sdtContent>
        <w:p w14:paraId="6AF8DAE0">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无形资产内部研究、开发支出会计政策"/>
        <w:tag w:val="_GBC_af7b1338d88344dfb8cd34ed66bfe672"/>
        <w:id w:val="-703553889"/>
        <w:placeholder>
          <w:docPart w:val="GBC22222222222222222222222222222"/>
        </w:placeholder>
      </w:sdtPr>
      <w:sdtContent>
        <w:p w14:paraId="5A75E9EF">
          <w:pPr>
            <w:pStyle w:val="48"/>
            <w:spacing w:line="360" w:lineRule="auto"/>
            <w:ind w:firstLine="420" w:firstLineChars="200"/>
          </w:pPr>
          <w:r>
            <w:rPr>
              <w:rFonts w:hint="eastAsia"/>
            </w:rPr>
            <w:t>研发支出的范围主要依据公司的研究开发项目情况制定，主要包括：研发人员人工费用、直接投入费用、折旧费用、无形资产摊销费用、药品研制临床试验费、委托外部研究开发费用、其他费用等。</w:t>
          </w:r>
        </w:p>
        <w:p w14:paraId="258E284A">
          <w:pPr>
            <w:pStyle w:val="48"/>
            <w:spacing w:line="360" w:lineRule="auto"/>
            <w:ind w:firstLine="420" w:firstLineChars="200"/>
          </w:pPr>
          <w:r>
            <w:rPr>
              <w:rFonts w:hint="eastAsia"/>
            </w:rPr>
            <w:t>本公司内部研究开发项目的支出，分为研究阶段支出与开发阶段支出。研究阶段的支出，于发生时计入当期损益；开发阶段的支出，满足确认为无形资产条件的转入无形资产核算。</w:t>
          </w:r>
        </w:p>
        <w:p w14:paraId="3AB38F4C">
          <w:pPr>
            <w:pStyle w:val="48"/>
            <w:spacing w:line="360" w:lineRule="auto"/>
            <w:ind w:firstLine="420" w:firstLineChars="200"/>
          </w:pPr>
          <w:r>
            <w:rPr>
              <w:rFonts w:hint="eastAsia"/>
            </w:rPr>
            <w:t>研究阶段支出和开发阶段支出的具体标准为：</w:t>
          </w:r>
        </w:p>
        <w:p w14:paraId="7683B54B">
          <w:pPr>
            <w:pStyle w:val="48"/>
            <w:spacing w:line="360" w:lineRule="auto"/>
            <w:ind w:firstLine="420" w:firstLineChars="200"/>
          </w:pPr>
          <w:r>
            <w:rPr>
              <w:rFonts w:hint="eastAsia"/>
            </w:rPr>
            <w:t>研究阶段支出包括为获取并理解新的科学或技术知识而进行的独创性的有计划调查（含市场研究），以及药品设计及试制、可行性动物实验注册检验（工业化制作、产品标准的制定、产品型式检验）、预临床试验（包括临床前试验、产品有效性与转归验证的动物实验）等所发生的应用研究、评价、最终选择的支出。</w:t>
          </w:r>
        </w:p>
        <w:p w14:paraId="59D39590">
          <w:pPr>
            <w:pStyle w:val="48"/>
            <w:spacing w:line="360" w:lineRule="auto"/>
            <w:ind w:firstLine="420" w:firstLineChars="200"/>
          </w:pPr>
          <w:r>
            <w:rPr>
              <w:rFonts w:hint="eastAsia"/>
            </w:rPr>
            <w:t>研究阶段是为进一步开发活动进行技术基础的准备，已进行的研究活动将来是否会转入开发、开发后是否会形成无形资产等均具有较大的不确定性。其特点是具有计划性、探索性，研究阶段支出应当于发生时计入当期损益，予以费用化。</w:t>
          </w:r>
        </w:p>
        <w:p w14:paraId="2F1D3382">
          <w:pPr>
            <w:pStyle w:val="48"/>
            <w:spacing w:line="360" w:lineRule="auto"/>
            <w:ind w:firstLine="420" w:firstLineChars="200"/>
          </w:pPr>
          <w:r>
            <w:rPr>
              <w:rFonts w:hint="eastAsia"/>
            </w:rPr>
            <w:t>开发阶段是利用已有的技术平台和已完成研究阶段的工作，在很大程度上具备了形成一项新产品或新技术的基本条件，在进行商业性生产或使用前，进行各种产品的注册临床试验和申报注册活动的支出。</w:t>
          </w:r>
        </w:p>
        <w:p w14:paraId="35933DC3">
          <w:pPr>
            <w:pStyle w:val="48"/>
            <w:spacing w:line="360" w:lineRule="auto"/>
            <w:ind w:firstLine="420" w:firstLineChars="200"/>
          </w:pPr>
          <w:r>
            <w:rPr>
              <w:rFonts w:hint="eastAsia"/>
            </w:rPr>
            <w:t>开发阶段的支出，须同时满足下列条件的，才能确认为无形资产：</w:t>
          </w:r>
        </w:p>
        <w:p w14:paraId="014B3D3A">
          <w:pPr>
            <w:pStyle w:val="48"/>
            <w:spacing w:line="360" w:lineRule="auto"/>
            <w:ind w:firstLine="420" w:firstLineChars="200"/>
          </w:pPr>
          <w:r>
            <w:rPr>
              <w:rFonts w:hint="eastAsia"/>
            </w:rPr>
            <w:t>（1）完成该无形资产以使其能够使用或出售在技术上具有可行性；</w:t>
          </w:r>
        </w:p>
        <w:p w14:paraId="3C364111">
          <w:pPr>
            <w:pStyle w:val="48"/>
            <w:spacing w:line="360" w:lineRule="auto"/>
            <w:ind w:firstLine="420" w:firstLineChars="200"/>
          </w:pPr>
          <w:r>
            <w:rPr>
              <w:rFonts w:hint="eastAsia"/>
            </w:rPr>
            <w:t>（2）具有完成该无形资产并使用或出售的意图；</w:t>
          </w:r>
        </w:p>
        <w:p w14:paraId="6447BF87">
          <w:pPr>
            <w:pStyle w:val="48"/>
            <w:spacing w:line="360" w:lineRule="auto"/>
            <w:ind w:firstLine="420" w:firstLineChars="200"/>
          </w:pPr>
          <w:r>
            <w:rPr>
              <w:rFonts w:hint="eastAsia"/>
            </w:rPr>
            <w:t>（3）无形资产产生经济利益的方式，包括能够证明运用该无形资产生产的产品存在市场或无形资产自身存在市场，无形资产将在内部使用的，应当证明其有用性；</w:t>
          </w:r>
        </w:p>
        <w:p w14:paraId="28A62178">
          <w:pPr>
            <w:pStyle w:val="48"/>
            <w:spacing w:line="360" w:lineRule="auto"/>
            <w:ind w:firstLine="420" w:firstLineChars="200"/>
          </w:pPr>
          <w:r>
            <w:rPr>
              <w:rFonts w:hint="eastAsia"/>
            </w:rPr>
            <w:t>（4）有足够的技术、财务资源和其他资源支持，以完成该无形资产的开发，并有能力使用或出售该无形资产；</w:t>
          </w:r>
        </w:p>
        <w:p w14:paraId="2CF388D1">
          <w:pPr>
            <w:pStyle w:val="48"/>
            <w:spacing w:line="360" w:lineRule="auto"/>
            <w:ind w:firstLine="420" w:firstLineChars="200"/>
          </w:pPr>
          <w:r>
            <w:rPr>
              <w:rFonts w:hint="eastAsia"/>
            </w:rPr>
            <w:t>（5）归属于该无形资产开发阶段的支出能够可靠地计量。</w:t>
          </w:r>
        </w:p>
        <w:p w14:paraId="5FBB83EF">
          <w:pPr>
            <w:pStyle w:val="48"/>
            <w:spacing w:line="360" w:lineRule="auto"/>
            <w:ind w:firstLine="420" w:firstLineChars="200"/>
          </w:pPr>
          <w:r>
            <w:rPr>
              <w:rFonts w:hint="eastAsia"/>
            </w:rPr>
            <w:t>本公司取得临床批文前所处研发阶段均界定为研究阶段；取得临床批文后至获得生产批文为止所处阶段均为开发阶段。取得药品生产批文则将开发支出转为无形资产。</w:t>
          </w:r>
        </w:p>
      </w:sdtContent>
    </w:sdt>
    <w:p w14:paraId="0F8F37EC">
      <w:pPr>
        <w:pStyle w:val="48"/>
      </w:pPr>
    </w:p>
    <w:p w14:paraId="363DC673">
      <w:pPr>
        <w:pStyle w:val="4"/>
        <w:numPr>
          <w:ilvl w:val="0"/>
          <w:numId w:val="54"/>
        </w:numPr>
      </w:pPr>
      <w:r>
        <w:rPr>
          <w:rFonts w:hint="eastAsia"/>
          <w:szCs w:val="21"/>
        </w:rPr>
        <w:t>长期资产减值</w:t>
      </w:r>
    </w:p>
    <w:sdt>
      <w:sdtPr>
        <w:rPr>
          <w:rFonts w:hint="eastAsia"/>
        </w:rPr>
        <w:alias w:val="是否适用：长期资产减值_重要会计政策和估计[双击切换]"/>
        <w:tag w:val="_GBC_e9110d6af45c4c0d808e2f284fadf642"/>
        <w:id w:val="-1462803166"/>
        <w:placeholder>
          <w:docPart w:val="GBC22222222222222222222222222222"/>
        </w:placeholder>
      </w:sdtPr>
      <w:sdtEndPr>
        <w:rPr>
          <w:rFonts w:hint="eastAsia"/>
        </w:rPr>
      </w:sdtEndPr>
      <w:sdtContent>
        <w:p w14:paraId="3CB0FFE0">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非金融长期资产减值测试方法及会计处理方法"/>
        <w:tag w:val="_GBC_0a065c1269a846f6923598a2c1fc4269"/>
        <w:id w:val="726959306"/>
        <w:placeholder>
          <w:docPart w:val="GBC22222222222222222222222222222"/>
        </w:placeholder>
      </w:sdtPr>
      <w:sdtEndPr>
        <w:rPr>
          <w:rFonts w:hint="eastAsia"/>
        </w:rPr>
      </w:sdtEndPr>
      <w:sdtContent>
        <w:p w14:paraId="5080DFB3">
          <w:pPr>
            <w:pStyle w:val="48"/>
            <w:spacing w:line="360" w:lineRule="auto"/>
            <w:ind w:firstLine="420" w:firstLineChars="200"/>
          </w:pPr>
          <w:r>
            <w:rPr>
              <w:rFonts w:hint="eastAsia"/>
            </w:rPr>
            <w:t>长期股权投资、采用成本模式计量的投资性房地产、固定资产、在建工程、使用权资产、采用成本模式计量的生产性生物资产、油气资产、无形资产等长期资产于资产负债表日存在减值迹象的，进行减值测试。减值测试结果表明资产的可收回金额低于其账面价值的，按其差额计提减值准备并计入减值损失。</w:t>
          </w:r>
        </w:p>
        <w:p w14:paraId="67C331AB">
          <w:pPr>
            <w:pStyle w:val="48"/>
            <w:spacing w:line="360" w:lineRule="auto"/>
            <w:ind w:firstLine="420" w:firstLineChars="200"/>
          </w:pPr>
          <w:r>
            <w:rPr>
              <w:rFonts w:hint="eastAsia"/>
            </w:rPr>
            <w:t>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14:paraId="578462DA">
          <w:pPr>
            <w:pStyle w:val="48"/>
            <w:spacing w:line="360" w:lineRule="auto"/>
            <w:ind w:firstLine="420" w:firstLineChars="200"/>
          </w:pPr>
          <w:r>
            <w:rPr>
              <w:rFonts w:hint="eastAsia"/>
            </w:rPr>
            <w:t>在财务报表中单独列示的商誉，无论是否存在减值迹象，至少每年进行减值测试。减值测试时，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14:paraId="4DB5898E">
          <w:pPr>
            <w:pStyle w:val="48"/>
            <w:spacing w:line="360" w:lineRule="auto"/>
            <w:ind w:firstLine="420" w:firstLineChars="200"/>
          </w:pPr>
          <w:r>
            <w:rPr>
              <w:rFonts w:hint="eastAsia"/>
            </w:rPr>
            <w:t>上述资产减值损失一经确认，以后期间不予转回价值得以恢复的部分。</w:t>
          </w:r>
        </w:p>
      </w:sdtContent>
    </w:sdt>
    <w:p w14:paraId="75819596">
      <w:pPr>
        <w:pStyle w:val="48"/>
      </w:pPr>
    </w:p>
    <w:p w14:paraId="01593D35">
      <w:pPr>
        <w:pStyle w:val="4"/>
        <w:numPr>
          <w:ilvl w:val="0"/>
          <w:numId w:val="54"/>
        </w:numPr>
      </w:pPr>
      <w:r>
        <w:t>长期待摊费用</w:t>
      </w:r>
    </w:p>
    <w:sdt>
      <w:sdtPr>
        <w:rPr>
          <w:rFonts w:hint="eastAsia"/>
        </w:rPr>
        <w:alias w:val="是否适用：长期待摊费用_重要会计政策和估计[双击切换]"/>
        <w:tag w:val="_GBC_5f2bbee5e66644d489f8d74ae8f96539"/>
        <w:id w:val="-1643489318"/>
        <w:placeholder>
          <w:docPart w:val="GBC22222222222222222222222222222"/>
        </w:placeholder>
      </w:sdtPr>
      <w:sdtEndPr>
        <w:rPr>
          <w:rFonts w:hint="eastAsia"/>
        </w:rPr>
      </w:sdtEndPr>
      <w:sdtContent>
        <w:p w14:paraId="33599552">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开办费、长期待摊费用摊销方法"/>
        <w:tag w:val="_GBC_a0e2b7a5a9454eaea97ca201421d7dde"/>
        <w:id w:val="-1496097773"/>
        <w:placeholder>
          <w:docPart w:val="GBC22222222222222222222222222222"/>
        </w:placeholder>
      </w:sdtPr>
      <w:sdtEndPr>
        <w:rPr>
          <w:rFonts w:hint="eastAsia"/>
        </w:rPr>
      </w:sdtEndPr>
      <w:sdtContent>
        <w:p w14:paraId="00C3D6ED">
          <w:pPr>
            <w:spacing w:line="360" w:lineRule="auto"/>
            <w:ind w:firstLine="420" w:firstLineChars="200"/>
            <w:jc w:val="both"/>
            <w:rPr>
              <w:kern w:val="2"/>
            </w:rPr>
          </w:pPr>
          <w:r>
            <w:rPr>
              <w:rFonts w:hint="eastAsia"/>
            </w:rPr>
            <w:t>本公司长期待摊费用是指已经支出，但受益期限在一年以上（不含一年）的各项费用。长期待摊费用按费用项目的受益期限分期摊销。若长期待摊的费用项目不能使以后会计期间受益，则将尚未摊销的该项目的摊余价值全部转入当期损益。</w:t>
          </w:r>
        </w:p>
      </w:sdtContent>
    </w:sdt>
    <w:p w14:paraId="52517D80">
      <w:pPr>
        <w:pStyle w:val="48"/>
      </w:pPr>
    </w:p>
    <w:p w14:paraId="739F7DDA">
      <w:pPr>
        <w:pStyle w:val="4"/>
        <w:numPr>
          <w:ilvl w:val="0"/>
          <w:numId w:val="54"/>
        </w:numPr>
      </w:pPr>
      <w:bookmarkStart w:id="215" w:name="_Hlk533668008"/>
      <w:r>
        <w:rPr>
          <w:rFonts w:hint="eastAsia"/>
          <w:szCs w:val="21"/>
        </w:rPr>
        <w:t>合同负债</w:t>
      </w:r>
    </w:p>
    <w:sdt>
      <w:sdtPr>
        <w:alias w:val="是否适用：合同负债的确定方法、摊销方法和减值测试方法[双击切换]"/>
        <w:tag w:val="_GBC_1d0f6a0a7f304d3f94158c9d73a7239a"/>
        <w:id w:val="-1436048275"/>
        <w:placeholder>
          <w:docPart w:val="GBC22222222222222222222222222222"/>
        </w:placeholder>
      </w:sdtPr>
      <w:sdtContent>
        <w:p w14:paraId="4E68082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同负债的确定方法、摊销方法和减值测试方法"/>
        <w:tag w:val="_GBC_0555b9144f6c494282d03f175d2fa19d"/>
        <w:id w:val="1341588296"/>
        <w:placeholder>
          <w:docPart w:val="GBC22222222222222222222222222222"/>
        </w:placeholder>
      </w:sdtPr>
      <w:sdtContent>
        <w:p w14:paraId="00E4BAD3">
          <w:pPr>
            <w:pStyle w:val="48"/>
            <w:spacing w:line="360" w:lineRule="auto"/>
            <w:ind w:firstLine="420" w:firstLineChars="200"/>
          </w:pPr>
          <w:r>
            <w:rPr>
              <w:rFonts w:hint="eastAsia"/>
            </w:rPr>
            <w:t>本公司将已收或应收客户对价而应向客户转让商品或提供服务的义务列示为合同负债，同一合同下的合同资产和合同负债以净额列示。</w:t>
          </w:r>
        </w:p>
      </w:sdtContent>
    </w:sdt>
    <w:p w14:paraId="19CD7D4D">
      <w:pPr>
        <w:pStyle w:val="48"/>
      </w:pPr>
    </w:p>
    <w:bookmarkEnd w:id="215"/>
    <w:p w14:paraId="49B05FB6">
      <w:pPr>
        <w:pStyle w:val="4"/>
        <w:numPr>
          <w:ilvl w:val="0"/>
          <w:numId w:val="54"/>
        </w:numPr>
      </w:pPr>
      <w:r>
        <w:rPr>
          <w:rFonts w:hint="eastAsia"/>
        </w:rPr>
        <w:t>职工薪酬</w:t>
      </w:r>
    </w:p>
    <w:p w14:paraId="14F14EB3">
      <w:pPr>
        <w:pStyle w:val="5"/>
        <w:numPr>
          <w:ilvl w:val="3"/>
          <w:numId w:val="58"/>
        </w:numPr>
        <w:ind w:left="426" w:hanging="426"/>
      </w:pPr>
      <w:r>
        <w:rPr>
          <w:rFonts w:hint="eastAsia"/>
        </w:rPr>
        <w:t>短期薪酬的会计处理方法</w:t>
      </w:r>
    </w:p>
    <w:sdt>
      <w:sdtPr>
        <w:rPr>
          <w:rFonts w:hint="eastAsia"/>
        </w:rPr>
        <w:alias w:val="是否适用：短期薪酬的会计处理方法[双击切换]"/>
        <w:tag w:val="_GBC_efadddc5ff4a48fb9432574c3528c6b3"/>
        <w:id w:val="594600251"/>
        <w:placeholder>
          <w:docPart w:val="GBC22222222222222222222222222222"/>
        </w:placeholder>
      </w:sdtPr>
      <w:sdtEndPr>
        <w:rPr>
          <w:rFonts w:hint="eastAsia"/>
        </w:rPr>
      </w:sdtEndPr>
      <w:sdtContent>
        <w:p w14:paraId="1A03D163">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短期薪酬的会计处理方法"/>
        <w:tag w:val="_GBC_8fdf44b194ac45fb945d36b9896df796"/>
        <w:id w:val="144172169"/>
        <w:placeholder>
          <w:docPart w:val="GBC22222222222222222222222222222"/>
        </w:placeholder>
      </w:sdtPr>
      <w:sdtContent>
        <w:p w14:paraId="19651BF3">
          <w:pPr>
            <w:pStyle w:val="48"/>
            <w:spacing w:line="360" w:lineRule="auto"/>
            <w:ind w:firstLine="420" w:firstLineChars="200"/>
          </w:pPr>
          <w:r>
            <w:rPr>
              <w:rFonts w:hint="eastAsia"/>
            </w:rPr>
            <w:t>在职工为本公司提供服务的会计期间，将实际发生的短期薪酬确认为负债，并计入当期损益，企业会计准则要求或允许计入资产成本的除外。本公司发生的职工福利费，在实际发生时根据实际发生额计入当期损益或相关资产成本。职工福利费为非货币性福利的，按照公允价值计量。本公司为职工缴纳的医疗保险费、工伤保险费、生育保险费等社会保险费和住房公积金，以及按规定提取的工会经费和职工教育经费，在职工提供服务的会计期间，根据规定的计提基础和计提比例计算确定相应的职工薪酬金额，并确认相应负债，计入当期损益或相关资产成本。</w:t>
          </w:r>
        </w:p>
      </w:sdtContent>
    </w:sdt>
    <w:p w14:paraId="49939591">
      <w:pPr>
        <w:pStyle w:val="48"/>
      </w:pPr>
    </w:p>
    <w:p w14:paraId="67F7CE2F">
      <w:pPr>
        <w:pStyle w:val="5"/>
        <w:numPr>
          <w:ilvl w:val="3"/>
          <w:numId w:val="58"/>
        </w:numPr>
        <w:ind w:left="426" w:hanging="426"/>
      </w:pPr>
      <w:r>
        <w:rPr>
          <w:rFonts w:hint="eastAsia"/>
        </w:rPr>
        <w:t>离职后福利的会计处理方法</w:t>
      </w:r>
    </w:p>
    <w:sdt>
      <w:sdtPr>
        <w:rPr>
          <w:rFonts w:hint="eastAsia"/>
        </w:rPr>
        <w:alias w:val="是否适用：离职后福利的会计处理方法[双击切换]"/>
        <w:tag w:val="_GBC_64248844b1544474ae8d85d08e7479af"/>
        <w:id w:val="-882792671"/>
        <w:placeholder>
          <w:docPart w:val="GBC22222222222222222222222222222"/>
        </w:placeholder>
      </w:sdtPr>
      <w:sdtEndPr>
        <w:rPr>
          <w:rFonts w:hint="eastAsia"/>
        </w:rPr>
      </w:sdtEndPr>
      <w:sdtContent>
        <w:p w14:paraId="42ACC5EB">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离职后福利的会计处理方法"/>
        <w:tag w:val="_GBC_3b0bafa6ef784ba99c829e2f60cf828e"/>
        <w:id w:val="-85843129"/>
        <w:placeholder>
          <w:docPart w:val="GBC22222222222222222222222222222"/>
        </w:placeholder>
      </w:sdtPr>
      <w:sdtContent>
        <w:p w14:paraId="28B61006">
          <w:pPr>
            <w:pStyle w:val="48"/>
            <w:spacing w:line="360" w:lineRule="auto"/>
            <w:ind w:firstLine="420" w:firstLineChars="200"/>
          </w:pPr>
          <w:r>
            <w:rPr>
              <w:rFonts w:hint="eastAsia" w:ascii="宋体" w:hAnsi="宋体"/>
              <w:kern w:val="0"/>
            </w:rPr>
            <w:t>本公司在职工提供服务的会计期间，根据设定提存计划计算的应缴存金额确认为负债，并计入当期损益或相关资产成本。根据预期累计福利单位法确定的公式将设定受益计划产生的福利义务归属于职工提供服务的期间，并计入当期损益或相关资产成本。</w:t>
          </w:r>
        </w:p>
      </w:sdtContent>
    </w:sdt>
    <w:p w14:paraId="682B4394">
      <w:pPr>
        <w:pStyle w:val="48"/>
      </w:pPr>
    </w:p>
    <w:p w14:paraId="1CB611BC">
      <w:pPr>
        <w:pStyle w:val="5"/>
        <w:numPr>
          <w:ilvl w:val="3"/>
          <w:numId w:val="58"/>
        </w:numPr>
        <w:ind w:left="426" w:hanging="426"/>
      </w:pPr>
      <w:r>
        <w:rPr>
          <w:rFonts w:hint="eastAsia"/>
        </w:rPr>
        <w:t>辞退福利的会计处理方法</w:t>
      </w:r>
    </w:p>
    <w:sdt>
      <w:sdtPr>
        <w:rPr>
          <w:rFonts w:hint="eastAsia"/>
        </w:rPr>
        <w:alias w:val="是否适用：辞退福利的会计处理方法[双击切换]"/>
        <w:tag w:val="_GBC_7a3bf6905df64c658fb0148a81f2964d"/>
        <w:id w:val="-1211726609"/>
        <w:placeholder>
          <w:docPart w:val="GBC22222222222222222222222222222"/>
        </w:placeholder>
      </w:sdtPr>
      <w:sdtEndPr>
        <w:rPr>
          <w:rFonts w:hint="eastAsia"/>
        </w:rPr>
      </w:sdtEndPr>
      <w:sdtContent>
        <w:p w14:paraId="699C8C63">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辞退福利的会计处理方法"/>
        <w:tag w:val="_GBC_a93705fb60b24bceb25c88a68ed87432"/>
        <w:id w:val="622195840"/>
        <w:placeholder>
          <w:docPart w:val="GBC22222222222222222222222222222"/>
        </w:placeholder>
      </w:sdtPr>
      <w:sdtContent>
        <w:p w14:paraId="0339249F">
          <w:pPr>
            <w:pStyle w:val="48"/>
            <w:spacing w:line="360" w:lineRule="auto"/>
            <w:ind w:firstLine="420" w:firstLineChars="200"/>
          </w:pPr>
          <w:r>
            <w:rPr>
              <w:rFonts w:hint="eastAsia"/>
            </w:rPr>
            <w:t>本公司向职工提供辞退福利时，在下列两者孰早日确认辞退福利产生的职工薪酬负债，并计入当期损益：本公司不能单方面撤回因解除劳动关系计划或裁减建议所提供的辞退福利时；本公司确认与涉及支付辞退福利的重组相关的成本或费用时。</w:t>
          </w:r>
        </w:p>
      </w:sdtContent>
    </w:sdt>
    <w:p w14:paraId="473844E0">
      <w:pPr>
        <w:pStyle w:val="48"/>
      </w:pPr>
    </w:p>
    <w:p w14:paraId="041CE3A5">
      <w:pPr>
        <w:pStyle w:val="5"/>
        <w:numPr>
          <w:ilvl w:val="3"/>
          <w:numId w:val="58"/>
        </w:numPr>
        <w:ind w:left="426" w:hanging="426"/>
      </w:pPr>
      <w:r>
        <w:rPr>
          <w:rFonts w:hint="eastAsia"/>
        </w:rPr>
        <w:t>其他长期职工福利的会计处理方法</w:t>
      </w:r>
    </w:p>
    <w:sdt>
      <w:sdtPr>
        <w:rPr>
          <w:rFonts w:hint="eastAsia"/>
        </w:rPr>
        <w:alias w:val="是否适用：其他长期职工福利的会计处理方法[双击切换]"/>
        <w:tag w:val="_GBC_94d434167e154a30ad2071a069525a71"/>
        <w:id w:val="1106389922"/>
        <w:placeholder>
          <w:docPart w:val="GBC22222222222222222222222222222"/>
        </w:placeholder>
      </w:sdtPr>
      <w:sdtEndPr>
        <w:rPr>
          <w:rFonts w:hint="eastAsia"/>
        </w:rPr>
      </w:sdtEndPr>
      <w:sdtContent>
        <w:p w14:paraId="0D6DE36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长期职工福利的会计处理方法"/>
        <w:tag w:val="_GBC_0e549e9400284de7b64ddf6ecc255dea"/>
        <w:id w:val="589664131"/>
        <w:placeholder>
          <w:docPart w:val="1394E3615A374432B550E41C69B84DC5"/>
        </w:placeholder>
      </w:sdtPr>
      <w:sdtContent>
        <w:p w14:paraId="210E3782">
          <w:pPr>
            <w:spacing w:line="360" w:lineRule="auto"/>
            <w:ind w:firstLine="420" w:firstLineChars="200"/>
            <w:jc w:val="both"/>
          </w:pPr>
          <w:r>
            <w:rPr>
              <w:rFonts w:hint="eastAsia"/>
            </w:rPr>
            <w:t>本公司向职工提供的其他长期职工福利，符合设定提存计划条件的，应当按照有关设定提存计划的规定进行处理；除此外，根据设定受益计划的有关规定，确认和计量其他长期职工福利净负债或净资产。</w:t>
          </w:r>
        </w:p>
      </w:sdtContent>
    </w:sdt>
    <w:p w14:paraId="258B4580">
      <w:pPr>
        <w:pStyle w:val="48"/>
      </w:pPr>
    </w:p>
    <w:p w14:paraId="6BE5900D">
      <w:pPr>
        <w:pStyle w:val="4"/>
        <w:numPr>
          <w:ilvl w:val="0"/>
          <w:numId w:val="54"/>
        </w:numPr>
      </w:pPr>
      <w:r>
        <w:t>预计负债</w:t>
      </w:r>
    </w:p>
    <w:sdt>
      <w:sdtPr>
        <w:rPr>
          <w:rFonts w:hint="eastAsia"/>
        </w:rPr>
        <w:alias w:val="是否适用：预计负债_重要会计政策和估计[双击切换]"/>
        <w:tag w:val="_GBC_546a7423773c46d2b57f08fc5fdbc638"/>
        <w:id w:val="-3200415"/>
        <w:placeholder>
          <w:docPart w:val="GBC22222222222222222222222222222"/>
        </w:placeholder>
      </w:sdtPr>
      <w:sdtEndPr>
        <w:rPr>
          <w:rFonts w:hint="eastAsia"/>
        </w:rPr>
      </w:sdtEndPr>
      <w:sdtContent>
        <w:p w14:paraId="2DA36438">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预计负债的核算方法"/>
        <w:tag w:val="_GBC_d6934772e41e485d9e00e349486f9d7e"/>
        <w:id w:val="645856188"/>
        <w:placeholder>
          <w:docPart w:val="GBC22222222222222222222222222222"/>
        </w:placeholder>
      </w:sdtPr>
      <w:sdtEndPr>
        <w:rPr>
          <w:rFonts w:hint="eastAsia"/>
        </w:rPr>
      </w:sdtEndPr>
      <w:sdtContent>
        <w:p w14:paraId="5697B962">
          <w:pPr>
            <w:pStyle w:val="48"/>
            <w:spacing w:line="360" w:lineRule="auto"/>
            <w:ind w:firstLine="420" w:firstLineChars="200"/>
          </w:pPr>
          <w:r>
            <w:rPr>
              <w:rFonts w:hint="eastAsia"/>
            </w:rPr>
            <w:t>当与或有事项相关的义务是公司承担的现时义务，且履行该义务很可能导致经济利益流出，同时其金额能够可靠地计量时确认该义务为预计负债。本公司按照履行相关现时义务所需支出的最佳估计数进行初始计量，如所需支出存在一个连续范围，且该范围内各种结果发生的可能性相同，最佳估计数按照该范围内的中间值确定；如涉及多个项目，按照各种可能结果及相关概率计算确定最佳估计数。</w:t>
          </w:r>
        </w:p>
        <w:p w14:paraId="57F85768">
          <w:pPr>
            <w:pStyle w:val="48"/>
            <w:spacing w:line="360" w:lineRule="auto"/>
            <w:ind w:firstLine="420" w:firstLineChars="200"/>
          </w:pPr>
          <w:r>
            <w:rPr>
              <w:rFonts w:hint="eastAsia"/>
            </w:rPr>
            <w:t>资产负债表日应当对预计负债账面价值进行复核，有确凿证据表明该账面价值不能真实反映当前最佳估计数，应当按照当前最佳估计数对该账面价值进行调整。</w:t>
          </w:r>
        </w:p>
      </w:sdtContent>
    </w:sdt>
    <w:p w14:paraId="10AEDED7">
      <w:pPr>
        <w:pStyle w:val="48"/>
      </w:pPr>
    </w:p>
    <w:p w14:paraId="6F84794C">
      <w:pPr>
        <w:pStyle w:val="4"/>
        <w:numPr>
          <w:ilvl w:val="0"/>
          <w:numId w:val="54"/>
        </w:numPr>
      </w:pPr>
      <w:r>
        <w:rPr>
          <w:rFonts w:hint="eastAsia"/>
        </w:rPr>
        <w:t>股份支付</w:t>
      </w:r>
    </w:p>
    <w:sdt>
      <w:sdtPr>
        <w:rPr>
          <w:rFonts w:hint="eastAsia"/>
        </w:rPr>
        <w:alias w:val="是否适用：股份支付_重要会计政策和估计[双击切换]"/>
        <w:tag w:val="_GBC_7741eb89da65434190830ba1cd87e4dc"/>
        <w:id w:val="-696771159"/>
        <w:placeholder>
          <w:docPart w:val="GBC22222222222222222222222222222"/>
        </w:placeholder>
      </w:sdtPr>
      <w:sdtEndPr>
        <w:rPr>
          <w:rFonts w:hint="eastAsia"/>
        </w:rPr>
      </w:sdtEndPr>
      <w:sdtContent>
        <w:p w14:paraId="5BC8A54A">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股份支付的核算方法"/>
        <w:tag w:val="_GBC_99e197c555ed4cf8aa00bbd5da2fe98b"/>
        <w:id w:val="1024127714"/>
        <w:placeholder>
          <w:docPart w:val="GBC22222222222222222222222222222"/>
        </w:placeholder>
      </w:sdtPr>
      <w:sdtContent>
        <w:p w14:paraId="5D4403F5">
          <w:pPr>
            <w:pStyle w:val="48"/>
            <w:spacing w:line="360" w:lineRule="auto"/>
            <w:ind w:firstLine="420" w:firstLineChars="200"/>
          </w:pPr>
          <w:r>
            <w:rPr>
              <w:rFonts w:hint="eastAsia"/>
            </w:rPr>
            <w:t>本公司的股份支付是为了获取职工提供服务而授予权益工具或者承担以权益工具为基础确定的负债的交易。本公司的股份支付分为以权益结算的股份支付和以现金结算的股份支付。</w:t>
          </w:r>
        </w:p>
        <w:p w14:paraId="43F83E00">
          <w:pPr>
            <w:pStyle w:val="48"/>
            <w:spacing w:line="360" w:lineRule="auto"/>
            <w:ind w:firstLine="420" w:firstLineChars="200"/>
          </w:pPr>
          <w:r>
            <w:rPr>
              <w:rFonts w:hint="eastAsia"/>
            </w:rPr>
            <w:t>1.以权益结算的股份支付</w:t>
          </w:r>
        </w:p>
        <w:p w14:paraId="76B41279">
          <w:pPr>
            <w:pStyle w:val="48"/>
            <w:spacing w:line="360" w:lineRule="auto"/>
            <w:ind w:firstLine="420" w:firstLineChars="200"/>
          </w:pPr>
          <w:r>
            <w:rPr>
              <w:rFonts w:hint="eastAsia"/>
            </w:rPr>
            <w:t>授予职工的以权益结算的股份支付</w:t>
          </w:r>
        </w:p>
        <w:p w14:paraId="4CD6223B">
          <w:pPr>
            <w:pStyle w:val="48"/>
            <w:spacing w:line="360" w:lineRule="auto"/>
            <w:ind w:firstLine="420" w:firstLineChars="200"/>
          </w:pPr>
          <w:r>
            <w:rPr>
              <w:rFonts w:hint="eastAsia"/>
            </w:rPr>
            <w:t>对于用以换取职工提供的服务的以权益结算的股份支付，本公司以授予职工权益工具在授予日的公允价值计量。该公允价值的金额在等待期内以对可行权权益工具数量的最佳估计为基础，按直线法计算计入相关成本或费用/在授予后立即可行权时，该公允价值的金额在授予日计入相关成本或费用，相应增加资本公积。</w:t>
          </w:r>
        </w:p>
        <w:p w14:paraId="79E181A2">
          <w:pPr>
            <w:pStyle w:val="48"/>
            <w:spacing w:line="360" w:lineRule="auto"/>
            <w:ind w:firstLine="420" w:firstLineChars="200"/>
          </w:pPr>
          <w:r>
            <w:rPr>
              <w:rFonts w:hint="eastAsia"/>
            </w:rPr>
            <w:t>在等待期内每个资产负债表日，本公司根据最新取得的可行权职工人数变动等后续信息做出最佳估计，修正预计可行权的权益工具数量。上述估计的影响计入当期相关成本或费用，并相应调整资本公积。</w:t>
          </w:r>
        </w:p>
        <w:p w14:paraId="2481A646">
          <w:pPr>
            <w:pStyle w:val="48"/>
            <w:spacing w:line="360" w:lineRule="auto"/>
            <w:ind w:firstLine="420" w:firstLineChars="200"/>
          </w:pPr>
          <w:r>
            <w:rPr>
              <w:rFonts w:hint="eastAsia"/>
            </w:rPr>
            <w:t>2.以现金结算的股份支付</w:t>
          </w:r>
        </w:p>
        <w:p w14:paraId="6645AB61">
          <w:pPr>
            <w:pStyle w:val="48"/>
            <w:spacing w:line="360" w:lineRule="auto"/>
            <w:ind w:firstLine="420" w:firstLineChars="200"/>
          </w:pPr>
          <w:r>
            <w:rPr>
              <w:rFonts w:hint="eastAsia"/>
            </w:rPr>
            <w:t>以现金结算的股份支付，按照本公司承担的以股份或其他权益工具为基础确定的负债的公允价值计量。授予后立即可行权的以现金结算的股份支付，在授予日计入相关成本或费用，相应增加负债。/在等待期的每个资产负债表日，以对可行权情况的最佳估计为基础，按照本公司承担负债的公允价值金额，将当期取得的服务计入成本或费用，相应增加负债。在相关负债结算前的每个资产负债表日以及结算日，对负债的公允价值重新计量，其变动计入当期损益。</w:t>
          </w:r>
        </w:p>
        <w:p w14:paraId="55EF43CC">
          <w:pPr>
            <w:pStyle w:val="48"/>
            <w:spacing w:line="360" w:lineRule="auto"/>
            <w:ind w:firstLine="420" w:firstLineChars="200"/>
          </w:pPr>
          <w:r>
            <w:rPr>
              <w:rFonts w:hint="eastAsia"/>
            </w:rPr>
            <w:t>3.实施、修改、终止股份支付计划的相关会计处理</w:t>
          </w:r>
        </w:p>
        <w:p w14:paraId="3116E54B">
          <w:pPr>
            <w:pStyle w:val="48"/>
            <w:spacing w:line="360" w:lineRule="auto"/>
            <w:ind w:firstLine="420" w:firstLineChars="200"/>
          </w:pPr>
          <w:r>
            <w:rPr>
              <w:rFonts w:hint="eastAsia"/>
            </w:rPr>
            <w:t>本公司对股份支付计划进行修改时，若修改增加了所授予权益工具的公允价值，按照权益工具公允价值的增加相应地确认取得服务的增加；若修改增加了所授予权益工具的数量，则将增加的权益工具的公允价值相应地确认为取得服务的增加。权益工具公允价值的增加是指修改前后的权益工具在修改日的公允价值之间的差额。若修改减少了股份支付公允价值总额或采用了其他不利于职工的方式修改股份支付计划的条款和条件，则仍继续对取得的服务进行会计处理，视同该变更从未发生，除非本公司取消了部分或全部已授予的权益工具。</w:t>
          </w:r>
        </w:p>
        <w:p w14:paraId="23C1F629">
          <w:pPr>
            <w:pStyle w:val="48"/>
            <w:spacing w:line="360" w:lineRule="auto"/>
            <w:ind w:firstLine="420" w:firstLineChars="200"/>
          </w:pPr>
          <w:r>
            <w:rPr>
              <w:rFonts w:hint="eastAsia"/>
            </w:rPr>
            <w:t>在等待期内，如果取消了授予的权益工具，本公司对取消所授予的权益性工具作为加速行权处理，将剩余等待期内应确认的金额立即计入当期损益，同时确认资本公积。职工或其他方能够选择满足非可行权条件但在等待期内未满足的，本公司将其作为授予权益工具的取消处理。</w:t>
          </w:r>
        </w:p>
      </w:sdtContent>
    </w:sdt>
    <w:p w14:paraId="379F2DF3">
      <w:pPr>
        <w:pStyle w:val="48"/>
      </w:pPr>
    </w:p>
    <w:p w14:paraId="66AD95EE">
      <w:pPr>
        <w:pStyle w:val="4"/>
        <w:numPr>
          <w:ilvl w:val="0"/>
          <w:numId w:val="54"/>
        </w:numPr>
      </w:pPr>
      <w:r>
        <w:rPr>
          <w:rFonts w:hint="eastAsia"/>
        </w:rPr>
        <w:t>优先股、永续债等其他金融工具</w:t>
      </w:r>
    </w:p>
    <w:sdt>
      <w:sdtPr>
        <w:rPr>
          <w:rFonts w:hint="eastAsia"/>
        </w:rPr>
        <w:alias w:val="是否适用：优先股、永续债等其他金融工具[双击切换]"/>
        <w:tag w:val="_GBC_00e1aed4ff2c40d6bda73971e87d6eb8"/>
        <w:id w:val="937875080"/>
        <w:placeholder>
          <w:docPart w:val="GBC22222222222222222222222222222"/>
        </w:placeholder>
      </w:sdtPr>
      <w:sdtEndPr>
        <w:rPr>
          <w:rFonts w:hint="eastAsia"/>
        </w:rPr>
      </w:sdtEndPr>
      <w:sdtContent>
        <w:p w14:paraId="2FFF00E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31E44F1">
      <w:pPr>
        <w:pStyle w:val="48"/>
      </w:pPr>
    </w:p>
    <w:p w14:paraId="5E7253C1">
      <w:pPr>
        <w:pStyle w:val="4"/>
        <w:numPr>
          <w:ilvl w:val="0"/>
          <w:numId w:val="54"/>
        </w:numPr>
      </w:pPr>
      <w:bookmarkStart w:id="216" w:name="_Hlk533668053"/>
      <w:r>
        <w:rPr>
          <w:rFonts w:hint="eastAsia"/>
          <w:szCs w:val="21"/>
        </w:rPr>
        <w:t>收入</w:t>
      </w:r>
    </w:p>
    <w:p w14:paraId="6EE160EE">
      <w:pPr>
        <w:pStyle w:val="5"/>
        <w:numPr>
          <w:ilvl w:val="3"/>
          <w:numId w:val="59"/>
        </w:numPr>
        <w:rPr>
          <w:szCs w:val="21"/>
        </w:rPr>
      </w:pPr>
      <w:r>
        <w:rPr>
          <w:rFonts w:hint="eastAsia"/>
          <w:szCs w:val="21"/>
        </w:rPr>
        <w:t>按照业务类型披露收入确认和计量所采用的会计政策</w:t>
      </w:r>
    </w:p>
    <w:sdt>
      <w:sdtPr>
        <w:alias w:val="是否适用：收入确认和计量所采用的会计政策[双击切换]"/>
        <w:tag w:val="_GBC_58b9f76eca7b4d9d8e5c5dfd0fba5c09"/>
        <w:id w:val="1215394764"/>
        <w:placeholder>
          <w:docPart w:val="GBC22222222222222222222222222222"/>
        </w:placeholder>
      </w:sdtPr>
      <w:sdtContent>
        <w:p w14:paraId="32FE88A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收入确认和计量所采用的会计政策"/>
        <w:tag w:val="_GBC_9ba2713a8f0a44ef9a4ee890aa13e0fb"/>
        <w:id w:val="-1518989900"/>
        <w:placeholder>
          <w:docPart w:val="GBC22222222222222222222222222222"/>
        </w:placeholder>
      </w:sdtPr>
      <w:sdtContent>
        <w:p w14:paraId="404C8042">
          <w:pPr>
            <w:pStyle w:val="48"/>
            <w:spacing w:line="360" w:lineRule="auto"/>
            <w:ind w:firstLine="420" w:firstLineChars="200"/>
          </w:pPr>
          <w:r>
            <w:rPr>
              <w:rFonts w:hint="eastAsia"/>
            </w:rPr>
            <w:t>1.一般原则</w:t>
          </w:r>
        </w:p>
        <w:p w14:paraId="3B619F18">
          <w:pPr>
            <w:pStyle w:val="48"/>
            <w:spacing w:line="360" w:lineRule="auto"/>
            <w:ind w:firstLine="420" w:firstLineChars="200"/>
          </w:pPr>
          <w:r>
            <w:rPr>
              <w:rFonts w:hint="eastAsia"/>
            </w:rPr>
            <w:t>本公司在履行了合同中的履约义务，即在客户取得相关商品或服务的控制权时，确认收入。</w:t>
          </w:r>
        </w:p>
        <w:p w14:paraId="0AF8849E">
          <w:pPr>
            <w:pStyle w:val="48"/>
            <w:spacing w:line="360" w:lineRule="auto"/>
            <w:ind w:firstLine="420" w:firstLineChars="200"/>
          </w:pPr>
          <w:r>
            <w:rPr>
              <w:rFonts w:hint="eastAsia"/>
            </w:rPr>
            <w:t>当本公司与客户之间的合同同时满足下列条件时，本公司在客户取得相关商品控制权时确认收入：</w:t>
          </w:r>
        </w:p>
        <w:p w14:paraId="6E7C752F">
          <w:pPr>
            <w:pStyle w:val="48"/>
            <w:spacing w:line="360" w:lineRule="auto"/>
            <w:ind w:firstLine="420" w:firstLineChars="200"/>
          </w:pPr>
          <w:r>
            <w:rPr>
              <w:rFonts w:hint="eastAsia"/>
            </w:rPr>
            <w:t>（1）合同各方已批准该合同并承诺将履行各自义务；</w:t>
          </w:r>
        </w:p>
        <w:p w14:paraId="049572C7">
          <w:pPr>
            <w:pStyle w:val="48"/>
            <w:spacing w:line="360" w:lineRule="auto"/>
            <w:ind w:firstLine="420" w:firstLineChars="200"/>
          </w:pPr>
          <w:r>
            <w:rPr>
              <w:rFonts w:hint="eastAsia"/>
            </w:rPr>
            <w:t>（2）该合同明确了合同各方与所转让商品或提供劳务（以下简称转让“商品”）相关的权利和义务；</w:t>
          </w:r>
        </w:p>
        <w:p w14:paraId="6669BC8B">
          <w:pPr>
            <w:pStyle w:val="48"/>
            <w:spacing w:line="360" w:lineRule="auto"/>
            <w:ind w:firstLine="420" w:firstLineChars="200"/>
          </w:pPr>
          <w:r>
            <w:rPr>
              <w:rFonts w:hint="eastAsia"/>
            </w:rPr>
            <w:t>（3）该合同有明确的与所转让商品相关的支付条款；</w:t>
          </w:r>
        </w:p>
        <w:p w14:paraId="39282CD5">
          <w:pPr>
            <w:pStyle w:val="48"/>
            <w:spacing w:line="360" w:lineRule="auto"/>
            <w:ind w:firstLine="420" w:firstLineChars="200"/>
          </w:pPr>
          <w:r>
            <w:rPr>
              <w:rFonts w:hint="eastAsia"/>
            </w:rPr>
            <w:t>（4）该合同具有商业实质，即履行该合同将改变企业未来现金流量的风险、时间分布或金额；</w:t>
          </w:r>
        </w:p>
        <w:p w14:paraId="70D02C51">
          <w:pPr>
            <w:pStyle w:val="48"/>
            <w:spacing w:line="360" w:lineRule="auto"/>
            <w:ind w:firstLine="420" w:firstLineChars="200"/>
          </w:pPr>
          <w:r>
            <w:rPr>
              <w:rFonts w:hint="eastAsia"/>
            </w:rPr>
            <w:t>（5）本公司因向客户转让商品而有权取得的对价很可能收回。</w:t>
          </w:r>
        </w:p>
        <w:p w14:paraId="7F99ED14">
          <w:pPr>
            <w:pStyle w:val="48"/>
            <w:spacing w:line="360" w:lineRule="auto"/>
            <w:ind w:firstLine="420" w:firstLineChars="200"/>
          </w:pPr>
          <w:r>
            <w:rPr>
              <w:rFonts w:hint="eastAsia"/>
            </w:rPr>
            <w:t>在合同开始日不符合前述规定的合同，本公司对其进行持续评估，并在其满足规定时进行会计处理。</w:t>
          </w:r>
        </w:p>
        <w:p w14:paraId="05613CE3">
          <w:pPr>
            <w:pStyle w:val="48"/>
            <w:spacing w:line="360" w:lineRule="auto"/>
            <w:ind w:firstLine="420" w:firstLineChars="200"/>
          </w:pPr>
          <w:r>
            <w:rPr>
              <w:rFonts w:hint="eastAsia"/>
            </w:rPr>
            <w:t>对于不符合前述规定的合同，本公司只有在不再负有向客户转让商品的剩余义务，且已向客户收取的对价无需退回时，才能将已收取的对价确认为收入；否则，将已收取的对价作为负债进行会计处理。没有商业实质的非货币性资产交换，不确认收入。</w:t>
          </w:r>
        </w:p>
        <w:p w14:paraId="71BA21E2">
          <w:pPr>
            <w:pStyle w:val="48"/>
            <w:spacing w:line="360" w:lineRule="auto"/>
            <w:ind w:firstLine="420" w:firstLineChars="200"/>
          </w:pPr>
          <w:r>
            <w:rPr>
              <w:rFonts w:hint="eastAsia"/>
            </w:rPr>
            <w:t>对于在某一时点履行的履约义务，本公司在客户取得相关商品或服务控制权时点确认收入。在判断客户是否已取得商品或服务控制权时，本公司考虑下列迹象：</w:t>
          </w:r>
        </w:p>
        <w:p w14:paraId="371B73B4">
          <w:pPr>
            <w:pStyle w:val="48"/>
            <w:spacing w:line="360" w:lineRule="auto"/>
            <w:ind w:firstLine="420" w:firstLineChars="200"/>
          </w:pPr>
          <w:r>
            <w:rPr>
              <w:rFonts w:hint="eastAsia"/>
            </w:rPr>
            <w:t>（1）本公司就该商品或服务享有现时收款权利，即客户就该商品负有现时付款义务；</w:t>
          </w:r>
        </w:p>
        <w:p w14:paraId="2413CE8C">
          <w:pPr>
            <w:pStyle w:val="48"/>
            <w:spacing w:line="360" w:lineRule="auto"/>
            <w:ind w:firstLine="420" w:firstLineChars="200"/>
          </w:pPr>
          <w:r>
            <w:rPr>
              <w:rFonts w:hint="eastAsia"/>
            </w:rPr>
            <w:t>（2）本公司已将该商品的法定所有权转移给客户，即客户已拥有该商品的法定所有权；</w:t>
          </w:r>
        </w:p>
        <w:p w14:paraId="74D0F827">
          <w:pPr>
            <w:pStyle w:val="48"/>
            <w:spacing w:line="360" w:lineRule="auto"/>
            <w:ind w:firstLine="420" w:firstLineChars="200"/>
          </w:pPr>
          <w:r>
            <w:rPr>
              <w:rFonts w:hint="eastAsia"/>
            </w:rPr>
            <w:t>（3）本公司已将该商品的实物转移给客户，即客户已实物占有该商品；</w:t>
          </w:r>
        </w:p>
        <w:p w14:paraId="493D43AC">
          <w:pPr>
            <w:pStyle w:val="48"/>
            <w:spacing w:line="360" w:lineRule="auto"/>
            <w:ind w:firstLine="420" w:firstLineChars="200"/>
          </w:pPr>
          <w:r>
            <w:rPr>
              <w:rFonts w:hint="eastAsia"/>
            </w:rPr>
            <w:t>（4）本公司已将该商品所有权上的主要风险和报酬转移给客户，即客户已取得该商品所有权上的主要风险和报酬；</w:t>
          </w:r>
        </w:p>
        <w:p w14:paraId="799CB4EA">
          <w:pPr>
            <w:pStyle w:val="48"/>
            <w:spacing w:line="360" w:lineRule="auto"/>
            <w:ind w:firstLine="420" w:firstLineChars="200"/>
          </w:pPr>
          <w:r>
            <w:rPr>
              <w:rFonts w:hint="eastAsia"/>
            </w:rPr>
            <w:t>（5）客户已接受该商品或服务；</w:t>
          </w:r>
        </w:p>
        <w:p w14:paraId="4C4E6141">
          <w:pPr>
            <w:pStyle w:val="48"/>
            <w:spacing w:line="360" w:lineRule="auto"/>
            <w:ind w:firstLine="420" w:firstLineChars="200"/>
          </w:pPr>
          <w:r>
            <w:rPr>
              <w:rFonts w:hint="eastAsia"/>
            </w:rPr>
            <w:t>（6）其他表明客户已取得商品控制权的迹象。</w:t>
          </w:r>
        </w:p>
        <w:p w14:paraId="2E0D177F">
          <w:pPr>
            <w:pStyle w:val="48"/>
            <w:spacing w:line="360" w:lineRule="auto"/>
            <w:ind w:firstLine="420" w:firstLineChars="200"/>
          </w:pPr>
          <w:r>
            <w:rPr>
              <w:rFonts w:hint="eastAsia"/>
            </w:rPr>
            <w:t>2.具体方法</w:t>
          </w:r>
        </w:p>
        <w:p w14:paraId="49851935">
          <w:pPr>
            <w:pStyle w:val="48"/>
            <w:spacing w:line="360" w:lineRule="auto"/>
            <w:ind w:firstLine="420" w:firstLineChars="200"/>
          </w:pPr>
          <w:r>
            <w:rPr>
              <w:rFonts w:hint="eastAsia"/>
            </w:rPr>
            <w:t>（1）国内销售</w:t>
          </w:r>
        </w:p>
        <w:p w14:paraId="446CF108">
          <w:pPr>
            <w:pStyle w:val="48"/>
            <w:spacing w:line="360" w:lineRule="auto"/>
            <w:ind w:firstLine="420" w:firstLineChars="200"/>
          </w:pPr>
          <w:r>
            <w:rPr>
              <w:rFonts w:hint="eastAsia"/>
            </w:rPr>
            <w:t>公司国内产品销售主要采用经销模式。即通过医药商业公司向医院进行药品的销售配送，商业公司不承担市场开发及推广职能。公司通过自主专业化学术推广进行市场开发。这种销售方式下，商业公司根据其配送区域内医院或药店的用药需求，向公司下发需求订单。公司审核授信情况并根据订单向合作医药商业公司销售药品，由各区域商业公司完成向医院及零售终端的药品销售及物流配送。公司对医药商业公司开具发票，取得收货回执后确认销售收入。</w:t>
          </w:r>
        </w:p>
        <w:p w14:paraId="6FFE629F">
          <w:pPr>
            <w:pStyle w:val="48"/>
            <w:spacing w:line="360" w:lineRule="auto"/>
            <w:ind w:firstLine="420" w:firstLineChars="200"/>
          </w:pPr>
          <w:r>
            <w:rPr>
              <w:rFonts w:hint="eastAsia"/>
            </w:rPr>
            <w:t>（2）海外销售</w:t>
          </w:r>
        </w:p>
        <w:p w14:paraId="7915249F">
          <w:pPr>
            <w:pStyle w:val="48"/>
            <w:spacing w:line="360" w:lineRule="auto"/>
            <w:ind w:firstLine="420" w:firstLineChars="200"/>
          </w:pPr>
          <w:r>
            <w:rPr>
              <w:rFonts w:hint="eastAsia"/>
            </w:rPr>
            <w:t>公司海外销售的产品目前主要是胰岛素原料药，采取代理出口的销售方式。公司取得海外客户预付款或信用证保证金后发货，在取得出口报关单并交付客户提单后确认销售收入。</w:t>
          </w:r>
        </w:p>
      </w:sdtContent>
    </w:sdt>
    <w:p w14:paraId="16DD61B8">
      <w:pPr>
        <w:pStyle w:val="48"/>
      </w:pPr>
    </w:p>
    <w:bookmarkEnd w:id="216"/>
    <w:p w14:paraId="3F43D039">
      <w:pPr>
        <w:pStyle w:val="5"/>
        <w:numPr>
          <w:ilvl w:val="3"/>
          <w:numId w:val="59"/>
        </w:numPr>
        <w:rPr>
          <w:szCs w:val="21"/>
        </w:rPr>
      </w:pPr>
      <w:bookmarkStart w:id="217" w:name="_Hlk533668087"/>
      <w:r>
        <w:rPr>
          <w:rFonts w:hint="eastAsia"/>
          <w:szCs w:val="21"/>
        </w:rPr>
        <w:t>同类业务采用不同经营模式涉及不同收入确认方式及计量方法</w:t>
      </w:r>
    </w:p>
    <w:sdt>
      <w:sdtPr>
        <w:alias w:val="是否适用：同类业务采用不同经营模式导致收入确认会计政策存在差异的情况[双击切换]"/>
        <w:tag w:val="_GBC_778cfed951bb4cf4997e2d67e4b1e3a9"/>
        <w:id w:val="-266462723"/>
        <w:placeholder>
          <w:docPart w:val="GBC22222222222222222222222222222"/>
        </w:placeholder>
      </w:sdtPr>
      <w:sdtContent>
        <w:p w14:paraId="1FADF54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597D3EF">
      <w:pPr>
        <w:pStyle w:val="48"/>
      </w:pPr>
    </w:p>
    <w:bookmarkEnd w:id="217"/>
    <w:p w14:paraId="53354406">
      <w:pPr>
        <w:pStyle w:val="4"/>
        <w:numPr>
          <w:ilvl w:val="0"/>
          <w:numId w:val="54"/>
        </w:numPr>
      </w:pPr>
      <w:bookmarkStart w:id="218" w:name="_Hlk533668133"/>
      <w:r>
        <w:rPr>
          <w:rFonts w:hint="eastAsia"/>
          <w:szCs w:val="21"/>
        </w:rPr>
        <w:t>合同成本</w:t>
      </w:r>
    </w:p>
    <w:sdt>
      <w:sdtPr>
        <w:alias w:val="是否适用：合同成本_重要会计政策和估计[双击切换]"/>
        <w:tag w:val="_GBC_c5b4accd569d48e8a81ed05eb0bf64fb"/>
        <w:id w:val="-28801631"/>
        <w:placeholder>
          <w:docPart w:val="GBC22222222222222222222222222222"/>
        </w:placeholder>
      </w:sdtPr>
      <w:sdtContent>
        <w:p w14:paraId="27A372A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同成本_重要会计政策和估计"/>
        <w:tag w:val="_GBC_74258d199b3d4540b8df00b35751b505"/>
        <w:id w:val="-1046293801"/>
        <w:placeholder>
          <w:docPart w:val="GBC22222222222222222222222222222"/>
        </w:placeholder>
      </w:sdtPr>
      <w:sdtContent>
        <w:p w14:paraId="4E63E9BC">
          <w:pPr>
            <w:pStyle w:val="48"/>
            <w:spacing w:line="360" w:lineRule="auto"/>
            <w:ind w:firstLine="420" w:firstLineChars="200"/>
          </w:pPr>
          <w:r>
            <w:rPr>
              <w:rFonts w:hint="eastAsia"/>
            </w:rPr>
            <w:t>合同成本包括为取得合同发生的增量成本及合同履约成本。为取得合同发生的增量成本（“合同取得成本”）是指不取得合同就不会发生的成本。该成本预期能够收回的，本公司将其作为合同取得成本确认为一项资产。</w:t>
          </w:r>
        </w:p>
        <w:p w14:paraId="139FD548">
          <w:pPr>
            <w:pStyle w:val="48"/>
            <w:spacing w:line="360" w:lineRule="auto"/>
            <w:ind w:firstLine="420" w:firstLineChars="200"/>
          </w:pPr>
          <w:r>
            <w:rPr>
              <w:rFonts w:hint="eastAsia"/>
            </w:rPr>
            <w:t>为履行合同发生的成本，不属于存货等其他企业会计准则规范范围且同时满足下列条件的，作为合同履约成本确认为一项资产：该成本与一份当前或预期取得的合同直接相关，包括直接人工、直接材料、制造费用（或类似费用）、明确由用户承担的成本以及仅因该合同而发生的其他成本；该成本增加了未来用于履行履约义务的资源；该成本预期能够收回。</w:t>
          </w:r>
        </w:p>
        <w:p w14:paraId="1F7C6335">
          <w:pPr>
            <w:pStyle w:val="48"/>
            <w:spacing w:line="360" w:lineRule="auto"/>
            <w:ind w:firstLine="420" w:firstLineChars="200"/>
          </w:pPr>
          <w:r>
            <w:rPr>
              <w:rFonts w:hint="eastAsia"/>
            </w:rPr>
            <w:t>本公司将确认为资产的合同履约成本，初始确认时摊销期限不超过一年或一个正常营业周期的，在资产负债表计入“存货”项目；初始确认时摊销期限在一年或一个正常营业周期以上的，在资产负债表中计入“其他非流动资产”项目。</w:t>
          </w:r>
        </w:p>
        <w:p w14:paraId="4C1928E9">
          <w:pPr>
            <w:pStyle w:val="48"/>
            <w:spacing w:line="360" w:lineRule="auto"/>
            <w:ind w:firstLine="420" w:firstLineChars="200"/>
          </w:pPr>
          <w:r>
            <w:rPr>
              <w:rFonts w:hint="eastAsia"/>
            </w:rPr>
            <w:t>本公司将确认为资产的合同取得成本，初始确认时摊销期限不超过一年或一个正常营业周期的，在资产负债表计入“其他流动资产”项目；初始确认时摊销期限在一年或一个正常营业周期以上的，在资产负债表中计入“其他非流动资产”项目。</w:t>
          </w:r>
        </w:p>
        <w:p w14:paraId="22516AB9">
          <w:pPr>
            <w:pStyle w:val="48"/>
            <w:spacing w:line="360" w:lineRule="auto"/>
            <w:ind w:firstLine="420" w:firstLineChars="200"/>
          </w:pPr>
          <w:r>
            <w:rPr>
              <w:rFonts w:hint="eastAsia"/>
            </w:rPr>
            <w:t>本公司对合同取得成本、合同履约成本确认的资产采用与该资产相关的商品收入确认相同的基础进行摊销，计入当期损益。取得合同的增量成本形成的资产的摊销年限不超过一年的，在发生时计入当期损益。</w:t>
          </w:r>
        </w:p>
        <w:p w14:paraId="1B137587">
          <w:pPr>
            <w:pStyle w:val="48"/>
            <w:spacing w:line="360" w:lineRule="auto"/>
            <w:ind w:firstLine="420" w:firstLineChars="200"/>
          </w:pPr>
          <w:r>
            <w:rPr>
              <w:rFonts w:hint="eastAsia"/>
            </w:rPr>
            <w:t>与合同成本有关的资产的账面价值高于下列两项的差额时，本公司将超出部分计提减值准备并确认为资产减值损失：因转让与该资产相关的商品预期能够取得的剩余对价；为转让该相关商品估计将要发生的成本。</w:t>
          </w:r>
        </w:p>
        <w:p w14:paraId="41DE42FA">
          <w:pPr>
            <w:pStyle w:val="48"/>
            <w:spacing w:line="360" w:lineRule="auto"/>
            <w:ind w:firstLine="420" w:firstLineChars="200"/>
          </w:pPr>
          <w:r>
            <w:rPr>
              <w:rFonts w:hint="eastAsia"/>
            </w:rPr>
            <w:t>以前期间减值的因素之后发生变化，使得前述两项差额高于该资产账面价值的，应当转回原已计提的资产减值准备，并计入当期损益，但转回后的资产账面价值不超过假定不计提减值准备情况的下该资产在转回日的账面价值。</w:t>
          </w:r>
        </w:p>
      </w:sdtContent>
    </w:sdt>
    <w:p w14:paraId="458C65D7">
      <w:pPr>
        <w:pStyle w:val="48"/>
      </w:pPr>
    </w:p>
    <w:bookmarkEnd w:id="218"/>
    <w:p w14:paraId="6BA0104A">
      <w:pPr>
        <w:pStyle w:val="4"/>
        <w:numPr>
          <w:ilvl w:val="0"/>
          <w:numId w:val="54"/>
        </w:numPr>
      </w:pPr>
      <w:bookmarkStart w:id="219" w:name="_Hlk533668149"/>
      <w:r>
        <w:t>政府补助</w:t>
      </w:r>
    </w:p>
    <w:sdt>
      <w:sdtPr>
        <w:alias w:val="是否适用：政府补助_重要会计政策和估计[双击切换]"/>
        <w:tag w:val="_GBC_d8ac76c6a68c49fb952fadc0e46c9ef4"/>
        <w:id w:val="-267783934"/>
        <w:placeholder>
          <w:docPart w:val="GBC22222222222222222222222222222"/>
        </w:placeholder>
      </w:sdtPr>
      <w:sdtContent>
        <w:p w14:paraId="5FF67BC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政府补助_重要会计政策和估计"/>
        <w:tag w:val="_GBC_cbcbe4da2edd4cf1b6108f1c89e035f7"/>
        <w:id w:val="1274218391"/>
        <w:placeholder>
          <w:docPart w:val="GBC22222222222222222222222222222"/>
        </w:placeholder>
      </w:sdtPr>
      <w:sdtContent>
        <w:p w14:paraId="44E3FF7D">
          <w:pPr>
            <w:pStyle w:val="48"/>
            <w:spacing w:line="360" w:lineRule="auto"/>
            <w:ind w:firstLine="420" w:firstLineChars="200"/>
          </w:pPr>
          <w:r>
            <w:rPr>
              <w:rFonts w:hint="eastAsia"/>
            </w:rPr>
            <w:t>1.与资产相关的政府补助会计处理</w:t>
          </w:r>
        </w:p>
        <w:p w14:paraId="1CCB84A8">
          <w:pPr>
            <w:pStyle w:val="48"/>
            <w:spacing w:line="360" w:lineRule="auto"/>
            <w:ind w:firstLine="420" w:firstLineChars="200"/>
          </w:pPr>
          <w:r>
            <w:rPr>
              <w:rFonts w:hint="eastAsia"/>
            </w:rPr>
            <w:t>政府补助是指本公司从政府无偿取得的货币性资产或非货币性资产（但不包括政府作为所有者投入的资本）。政府补助为货币性资产的，应当按照收到或应收的金额计量。政府补助为非货币性资产的，应当按照公允价值计量；公允价值不能可靠取得的，按照名义金额计量。</w:t>
          </w:r>
        </w:p>
        <w:p w14:paraId="40E523E6">
          <w:pPr>
            <w:pStyle w:val="48"/>
            <w:spacing w:line="360" w:lineRule="auto"/>
            <w:ind w:firstLine="420" w:firstLineChars="200"/>
          </w:pPr>
          <w:r>
            <w:rPr>
              <w:rFonts w:hint="eastAsia"/>
            </w:rPr>
            <w:t>与日常活动相关的政府补助，按照经济业务实质，计入其他收益。与日常活动无关的政府补助，计入营业外收入。</w:t>
          </w:r>
        </w:p>
        <w:p w14:paraId="2B9C88BC">
          <w:pPr>
            <w:pStyle w:val="48"/>
            <w:spacing w:line="360" w:lineRule="auto"/>
            <w:ind w:firstLine="420" w:firstLineChars="200"/>
          </w:pPr>
          <w:r>
            <w:rPr>
              <w:rFonts w:hint="eastAsia"/>
            </w:rPr>
            <w:t>政府文件明确规定用于购建或以其他方式形成长期资产的政府补助，确认为与资产相关的政府补助。政府文件未明确规定补助对象的，能够形成长期资产的，与资产价值相对应的政府补助部分作为与资产相关的政府补助，其余部分作为与收益相关的政府补助；难以区分的，将政府补助整体作为与收益相关的政府补助。与资产相关的政府补助确认为递延收益。确认为递延收益的金额，在相关资产使用寿命内按照合理、系统的方法分期计入当期损益。</w:t>
          </w:r>
        </w:p>
        <w:p w14:paraId="39016D0A">
          <w:pPr>
            <w:pStyle w:val="48"/>
            <w:spacing w:line="360" w:lineRule="auto"/>
            <w:ind w:firstLine="420" w:firstLineChars="200"/>
          </w:pPr>
          <w:r>
            <w:rPr>
              <w:rFonts w:hint="eastAsia"/>
            </w:rPr>
            <w:t>除与资产相关的政府补助之外的政府补助，确认为与收益相关的政府补助。与收益相关的政府补助用于补偿企业以后期间的相关费用或损失的，确认为递延收益，并在确认相关费用的期间，计入当期损益；用于补偿企业已发生的相关费用或损失的，直接计入当期损益。</w:t>
          </w:r>
        </w:p>
        <w:p w14:paraId="23414CCE">
          <w:pPr>
            <w:pStyle w:val="48"/>
            <w:spacing w:line="360" w:lineRule="auto"/>
            <w:ind w:firstLine="420" w:firstLineChars="200"/>
          </w:pPr>
          <w:r>
            <w:rPr>
              <w:rFonts w:hint="eastAsia"/>
            </w:rPr>
            <w:t>本公司取得政策性优惠贷款贴息，财政将贴息资金拨付给贷款银行，由贷款银行以政策性优惠利率向本公司提供贷款的，以实际收到的借款金额作为借款的入账价值，按照借款本金和该政策性优惠利率计算相关借款费用；财政将贴息资金直接拨付给本公司的，本公司将对应的贴息冲减相关借款费用。</w:t>
          </w:r>
        </w:p>
        <w:p w14:paraId="585F0ED9">
          <w:pPr>
            <w:pStyle w:val="48"/>
            <w:spacing w:line="360" w:lineRule="auto"/>
            <w:ind w:firstLine="420" w:firstLineChars="200"/>
          </w:pPr>
          <w:r>
            <w:rPr>
              <w:rFonts w:hint="eastAsia"/>
            </w:rPr>
            <w:t>2.政府补助确认时点</w:t>
          </w:r>
        </w:p>
        <w:p w14:paraId="745457F4">
          <w:pPr>
            <w:pStyle w:val="48"/>
            <w:spacing w:line="360" w:lineRule="auto"/>
            <w:ind w:firstLine="420" w:firstLineChars="200"/>
          </w:pPr>
          <w:r>
            <w:rPr>
              <w:rFonts w:hint="eastAsia"/>
            </w:rPr>
            <w:t>政府补助在满足政府补助所附条件并能够收到时确认。按照应收金额计量的政府补助，在期末有确凿证据表明能够符合财政扶持政策规定的相关条件且预计能够收到财政扶持资金时予以确认。除按照应收金额计量的政府补助外的其他政府补助，在实际收到补助款项时予以确认。</w:t>
          </w:r>
        </w:p>
      </w:sdtContent>
    </w:sdt>
    <w:p w14:paraId="122B7AE0">
      <w:pPr>
        <w:pStyle w:val="48"/>
      </w:pPr>
    </w:p>
    <w:bookmarkEnd w:id="219"/>
    <w:p w14:paraId="086B0BDB">
      <w:pPr>
        <w:pStyle w:val="4"/>
        <w:numPr>
          <w:ilvl w:val="0"/>
          <w:numId w:val="54"/>
        </w:numPr>
      </w:pPr>
      <w:r>
        <w:t>递延所得税资产/递延所得税负债</w:t>
      </w:r>
    </w:p>
    <w:sdt>
      <w:sdtPr>
        <w:rPr>
          <w:rFonts w:hint="eastAsia"/>
        </w:rPr>
        <w:alias w:val="是否适用：所得税的会计处理方法[双击切换]"/>
        <w:tag w:val="_GBC_7e8295f4559b44568e5d37a6a605588c"/>
        <w:id w:val="2044552786"/>
        <w:placeholder>
          <w:docPart w:val="GBC22222222222222222222222222222"/>
        </w:placeholder>
      </w:sdtPr>
      <w:sdtEndPr>
        <w:rPr>
          <w:rFonts w:hint="eastAsia"/>
        </w:rPr>
      </w:sdtEndPr>
      <w:sdtContent>
        <w:p w14:paraId="39E678B8">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所得税的会计处理方法"/>
        <w:tag w:val="_GBC_545dd84ed2b9458fa5e2b87aa1e1cc1c"/>
        <w:id w:val="-1217738317"/>
        <w:placeholder>
          <w:docPart w:val="GBC22222222222222222222222222222"/>
        </w:placeholder>
      </w:sdtPr>
      <w:sdtEndPr>
        <w:rPr>
          <w:rFonts w:hint="eastAsia"/>
        </w:rPr>
      </w:sdtEndPr>
      <w:sdtContent>
        <w:p w14:paraId="31B85ED1">
          <w:pPr>
            <w:pStyle w:val="48"/>
            <w:spacing w:line="360" w:lineRule="auto"/>
            <w:ind w:firstLine="420" w:firstLineChars="200"/>
          </w:pPr>
          <w:r>
            <w:rPr>
              <w:rFonts w:hint="eastAsia"/>
            </w:rPr>
            <w:t>1.递延所得税的确认</w:t>
          </w:r>
        </w:p>
        <w:p w14:paraId="1795F5D8">
          <w:pPr>
            <w:pStyle w:val="48"/>
            <w:spacing w:line="360" w:lineRule="auto"/>
            <w:ind w:firstLine="420" w:firstLineChars="200"/>
          </w:pPr>
          <w:r>
            <w:rPr>
              <w:rFonts w:hint="eastAsia"/>
            </w:rPr>
            <w:t>根据资产、负债的账面价值与其计税基础之间的差额（未作为资产和负债确认的项目按照税法规定可以确定其计税基础的，确定该计税基础为其差额），按照预期收回该资产或清偿该负债期间的适用税率计算确认递延所得税资产或递延所得税负债。</w:t>
          </w:r>
        </w:p>
        <w:p w14:paraId="577CFD5F">
          <w:pPr>
            <w:pStyle w:val="48"/>
            <w:spacing w:line="360" w:lineRule="auto"/>
            <w:ind w:firstLine="420" w:firstLineChars="200"/>
          </w:pPr>
          <w:r>
            <w:rPr>
              <w:rFonts w:hint="eastAsia"/>
            </w:rPr>
            <w:t>2.递延所得税的计量</w:t>
          </w:r>
        </w:p>
        <w:p w14:paraId="4AA11C21">
          <w:pPr>
            <w:pStyle w:val="48"/>
            <w:spacing w:line="360" w:lineRule="auto"/>
            <w:ind w:firstLine="420" w:firstLineChars="200"/>
          </w:pPr>
          <w:r>
            <w:rPr>
              <w:rFonts w:hint="eastAsia"/>
            </w:rPr>
            <w:t>递延所得税资产的确认以很可能取得用来抵扣可抵扣暂时性差异的应纳税所得额为限。资产负债表日，有确凿证据表明未来期间很可能获得足够的应纳税所得额用来抵扣可抵扣暂时性差异的，确认以前会计期间未确认的递延所得税资产。如未来期间很可能无法获得足够的应纳税所得额用以抵扣递延所得税资产的，则减记递延所得税资产的账面价值。</w:t>
          </w:r>
        </w:p>
        <w:p w14:paraId="6DADBDC2">
          <w:pPr>
            <w:pStyle w:val="48"/>
            <w:spacing w:line="360" w:lineRule="auto"/>
            <w:ind w:firstLine="420" w:firstLineChars="200"/>
          </w:pPr>
          <w:r>
            <w:rPr>
              <w:rFonts w:hint="eastAsia"/>
            </w:rPr>
            <w:t>对与子公司及联营企业投资相关的应纳税暂时性差异，确认递延所得税负债，除非本公司能够控制暂时性差异转回的时间且该暂时性差异在可预见的未来很可能不会转回。对与子公司及联营企业投资相关的可抵扣暂时性差异，当该暂时性差异在可预见的未来很可能转回且未来很可能获得用来抵扣可抵扣暂时性差异的应纳税所得额时，确认递延所得税资产。</w:t>
          </w:r>
        </w:p>
        <w:p w14:paraId="594FE873">
          <w:pPr>
            <w:pStyle w:val="48"/>
            <w:spacing w:line="360" w:lineRule="auto"/>
            <w:ind w:firstLine="420" w:firstLineChars="200"/>
          </w:pPr>
          <w:r>
            <w:rPr>
              <w:rFonts w:hint="eastAsia"/>
            </w:rPr>
            <w:t>3.递延所得税的净额抵消依据</w:t>
          </w:r>
        </w:p>
        <w:p w14:paraId="171DA19F">
          <w:pPr>
            <w:pStyle w:val="48"/>
            <w:spacing w:line="360" w:lineRule="auto"/>
            <w:ind w:firstLine="420" w:firstLineChars="200"/>
          </w:pPr>
          <w:r>
            <w:rPr>
              <w:rFonts w:hint="eastAsia"/>
            </w:rPr>
            <w:t>同时满足下列条件时，本公司将递延所得税资产及递延所得税负债以抵销后的净额列示：拥有以净额结算当期所得税资产及当期所得税负债的法定权利；递延所得税资产和递延所得税负债是与同一税收征管部门对同一纳税主体征收的所得税相关或者对不同的纳税主体相关，但在未来每一具有重要性的递延所得税资产和递延所得税负债转回的期间内，涉及的纳税主体意图以净额结算当期所得税资产及当期所得税负债或是同时取得资产、清偿债务。</w:t>
          </w:r>
        </w:p>
      </w:sdtContent>
    </w:sdt>
    <w:p w14:paraId="6719BA39">
      <w:pPr>
        <w:pStyle w:val="48"/>
      </w:pPr>
    </w:p>
    <w:p w14:paraId="2ADB6BD7">
      <w:pPr>
        <w:pStyle w:val="4"/>
        <w:numPr>
          <w:ilvl w:val="0"/>
          <w:numId w:val="54"/>
        </w:numPr>
      </w:pPr>
      <w:r>
        <w:t>租赁</w:t>
      </w:r>
    </w:p>
    <w:sdt>
      <w:sdtPr>
        <w:alias w:val="是否适用：租赁_重要会计政策和估计[双击切换]"/>
        <w:tag w:val="_GBC_6915a792f5f54d76bb3c5c2090ce337f"/>
        <w:id w:val="1017035296"/>
        <w:placeholder>
          <w:docPart w:val="GBC22222222222222222222222222222"/>
        </w:placeholder>
      </w:sdtPr>
      <w:sdtContent>
        <w:p w14:paraId="7958ED2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37BE911">
      <w:pPr>
        <w:spacing w:line="360" w:lineRule="auto"/>
        <w:ind w:firstLine="420" w:firstLineChars="200"/>
        <w:jc w:val="both"/>
        <w:rPr>
          <w:rFonts w:ascii="Calibri" w:hAnsi="Calibri"/>
          <w:kern w:val="2"/>
          <w:szCs w:val="32"/>
        </w:rPr>
      </w:pPr>
      <w:r>
        <w:rPr>
          <w:rFonts w:hint="eastAsia" w:ascii="Calibri" w:hAnsi="Calibri"/>
          <w:kern w:val="2"/>
          <w:szCs w:val="32"/>
        </w:rPr>
        <w:t>本公司在合同开始日，将评估合同是否为租赁或包含租赁。如果合同中一方让渡了在一定期间内控制一项或多项已识别资产使用的权利以换取对价，则该合同为租赁或包含租赁。</w:t>
      </w:r>
    </w:p>
    <w:p w14:paraId="6E5B16E9">
      <w:pPr>
        <w:spacing w:line="360" w:lineRule="auto"/>
        <w:ind w:firstLine="420" w:firstLineChars="200"/>
        <w:jc w:val="both"/>
        <w:rPr>
          <w:rFonts w:ascii="Calibri" w:hAnsi="Calibri"/>
          <w:kern w:val="2"/>
          <w:szCs w:val="32"/>
        </w:rPr>
      </w:pPr>
      <w:r>
        <w:rPr>
          <w:rFonts w:hint="eastAsia" w:ascii="Calibri" w:hAnsi="Calibri"/>
          <w:kern w:val="2"/>
          <w:szCs w:val="32"/>
        </w:rPr>
        <w:t>1.承租人的会计处理</w:t>
      </w:r>
    </w:p>
    <w:p w14:paraId="6AC4A10E">
      <w:pPr>
        <w:spacing w:line="360" w:lineRule="auto"/>
        <w:ind w:firstLine="420" w:firstLineChars="200"/>
        <w:jc w:val="both"/>
        <w:rPr>
          <w:rFonts w:ascii="Calibri" w:hAnsi="Calibri"/>
          <w:kern w:val="2"/>
          <w:szCs w:val="32"/>
        </w:rPr>
      </w:pPr>
      <w:r>
        <w:rPr>
          <w:rFonts w:hint="eastAsia" w:ascii="Calibri" w:hAnsi="Calibri"/>
          <w:kern w:val="2"/>
          <w:szCs w:val="32"/>
        </w:rPr>
        <w:t>在租赁期开始日，本公司对除短期租赁和低价值资产租赁以外的租赁确认使用权资产和租赁负债，并在租赁期内分别确认折旧费用和利息费用。</w:t>
      </w:r>
    </w:p>
    <w:p w14:paraId="0104A993">
      <w:pPr>
        <w:spacing w:line="360" w:lineRule="auto"/>
        <w:ind w:firstLine="420" w:firstLineChars="200"/>
        <w:jc w:val="both"/>
        <w:rPr>
          <w:rFonts w:ascii="Calibri" w:hAnsi="Calibri"/>
          <w:kern w:val="2"/>
          <w:szCs w:val="32"/>
        </w:rPr>
      </w:pPr>
      <w:r>
        <w:rPr>
          <w:rFonts w:hint="eastAsia" w:ascii="Calibri" w:hAnsi="Calibri"/>
          <w:kern w:val="2"/>
          <w:szCs w:val="32"/>
        </w:rPr>
        <w:t>（1）使用权资产</w:t>
      </w:r>
    </w:p>
    <w:p w14:paraId="057DBD95">
      <w:pPr>
        <w:spacing w:line="360" w:lineRule="auto"/>
        <w:ind w:firstLine="420" w:firstLineChars="200"/>
        <w:jc w:val="both"/>
        <w:rPr>
          <w:rFonts w:ascii="Calibri" w:hAnsi="Calibri"/>
          <w:kern w:val="2"/>
          <w:szCs w:val="32"/>
        </w:rPr>
      </w:pPr>
      <w:r>
        <w:rPr>
          <w:rFonts w:hint="eastAsia" w:ascii="Calibri" w:hAnsi="Calibri"/>
          <w:kern w:val="2"/>
          <w:szCs w:val="32"/>
        </w:rPr>
        <w:t>在租赁期开始日，使用权资产按照成本进行初始计量。该成本包括租赁负债的初始计量金额，在租赁期开始日或之前支付的已扣除租赁激励的租赁付款额，初始直接费用等。</w:t>
      </w:r>
    </w:p>
    <w:p w14:paraId="3A8D2A48">
      <w:pPr>
        <w:spacing w:line="360" w:lineRule="auto"/>
        <w:ind w:firstLine="420" w:firstLineChars="200"/>
        <w:jc w:val="both"/>
        <w:rPr>
          <w:rFonts w:ascii="Calibri" w:hAnsi="Calibri"/>
          <w:kern w:val="2"/>
          <w:szCs w:val="32"/>
        </w:rPr>
      </w:pPr>
      <w:r>
        <w:rPr>
          <w:rFonts w:hint="eastAsia" w:ascii="Calibri" w:hAnsi="Calibri"/>
          <w:kern w:val="2"/>
          <w:szCs w:val="32"/>
        </w:rPr>
        <w:t>对于能合理确定租赁期届满时将取得租赁资产所有权的，在租赁资产预计剩余使用寿命内计提折旧；若无法合理确定，在租赁期与租赁资产剩余使用寿命两者孰短的期间内计提折旧。当可收回金额低于使用权资产的账面价值时，将其账面价值减记至可收回金额。</w:t>
      </w:r>
    </w:p>
    <w:p w14:paraId="05FC61C3">
      <w:pPr>
        <w:spacing w:line="360" w:lineRule="auto"/>
        <w:ind w:firstLine="420" w:firstLineChars="200"/>
        <w:jc w:val="both"/>
        <w:rPr>
          <w:rFonts w:ascii="Calibri" w:hAnsi="Calibri"/>
          <w:kern w:val="2"/>
          <w:szCs w:val="32"/>
        </w:rPr>
      </w:pPr>
      <w:r>
        <w:rPr>
          <w:rFonts w:hint="eastAsia" w:ascii="Calibri" w:hAnsi="Calibri"/>
          <w:kern w:val="2"/>
          <w:szCs w:val="32"/>
        </w:rPr>
        <w:t>（2）租赁负债</w:t>
      </w:r>
    </w:p>
    <w:p w14:paraId="2C543D55">
      <w:pPr>
        <w:spacing w:line="360" w:lineRule="auto"/>
        <w:ind w:firstLine="420" w:firstLineChars="200"/>
        <w:jc w:val="both"/>
        <w:rPr>
          <w:rFonts w:ascii="Calibri" w:hAnsi="Calibri"/>
          <w:kern w:val="2"/>
          <w:szCs w:val="32"/>
        </w:rPr>
      </w:pPr>
      <w:r>
        <w:rPr>
          <w:rFonts w:hint="eastAsia" w:ascii="Calibri" w:hAnsi="Calibri"/>
          <w:kern w:val="2"/>
          <w:szCs w:val="32"/>
        </w:rPr>
        <w:t>租赁负债按照租赁期开始日尚未支付的租赁付款额的现值进行初始计量。租赁付款额包括固定付款额，以及在合理确定将行使购买选择权或终止租赁选择权时需支付的款项等。未纳入租赁负债计量的可变租赁付款额在实际发生时计入当期损益。</w:t>
      </w:r>
    </w:p>
    <w:p w14:paraId="14BD1CBC">
      <w:pPr>
        <w:spacing w:line="360" w:lineRule="auto"/>
        <w:ind w:firstLine="420" w:firstLineChars="200"/>
        <w:jc w:val="both"/>
        <w:rPr>
          <w:rFonts w:ascii="Calibri" w:hAnsi="Calibri"/>
          <w:kern w:val="2"/>
          <w:szCs w:val="32"/>
        </w:rPr>
      </w:pPr>
      <w:r>
        <w:rPr>
          <w:rFonts w:hint="eastAsia" w:ascii="Calibri" w:hAnsi="Calibri"/>
          <w:kern w:val="2"/>
          <w:szCs w:val="32"/>
        </w:rPr>
        <w:t>本公司采用租赁内含利率作为折现率；若无法合理确定租赁内含利率，则采用本公司的增量借款利率作为折现率。按照固定的周期性利率，即本公司所采用的折现率或修订后的折现率计算租赁负债在租赁期内各期间的利息费用，并计入财务费用。</w:t>
      </w:r>
    </w:p>
    <w:p w14:paraId="7EB67D61">
      <w:pPr>
        <w:rPr>
          <w:rFonts w:ascii="Calibri" w:hAnsi="Calibri"/>
          <w:b/>
          <w:kern w:val="2"/>
          <w:szCs w:val="32"/>
        </w:rPr>
      </w:pPr>
      <w:r>
        <w:rPr>
          <w:rFonts w:ascii="Calibri" w:hAnsi="Calibri"/>
          <w:b/>
          <w:kern w:val="2"/>
          <w:szCs w:val="32"/>
        </w:rPr>
        <w:t>作为承租方对短期租赁和低价值资产租赁进行简化处理的判断依据和会计处理方法</w:t>
      </w:r>
    </w:p>
    <w:sdt>
      <w:sdtPr>
        <w:alias w:val="是否适用：作为承租方对短期租赁和低价值资产租赁进行简化处理的判断依据和会计处理方法[双击切换]"/>
        <w:tag w:val="_GBC_96c8873101a04b4ab58dc379b95e7de7"/>
        <w:id w:val="-1219736805"/>
        <w:placeholder>
          <w:docPart w:val="GBC22222222222222222222222222222"/>
        </w:placeholder>
      </w:sdtPr>
      <w:sdtContent>
        <w:p w14:paraId="0A32A92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作为承租方对短期租赁和低价值资产租赁进行简化处理的判断依据和会计处理方法"/>
        <w:tag w:val="_GBC_608ebcbb99ad40879d4235963013eef6"/>
        <w:id w:val="-1736319738"/>
        <w:placeholder>
          <w:docPart w:val="GBC22222222222222222222222222222"/>
        </w:placeholder>
      </w:sdtPr>
      <w:sdtContent>
        <w:p w14:paraId="56A9BD55">
          <w:pPr>
            <w:pStyle w:val="48"/>
            <w:spacing w:line="360" w:lineRule="auto"/>
            <w:ind w:firstLine="420" w:firstLineChars="200"/>
          </w:pPr>
          <w:r>
            <w:rPr>
              <w:rFonts w:hint="eastAsia"/>
            </w:rPr>
            <w:t>对于租赁期不超过12个月的短期租赁，以及单项资产全新时价值低于10,000.00元的租赁，本公司选择不确认使用权资产和租赁负债，将相关租金支出在租赁期内各个期间按照直线法计入当期损益或相关资产成本。</w:t>
          </w:r>
        </w:p>
      </w:sdtContent>
    </w:sdt>
    <w:p w14:paraId="0FD17F78">
      <w:pPr>
        <w:rPr>
          <w:rFonts w:ascii="Calibri" w:hAnsi="Calibri"/>
          <w:kern w:val="2"/>
          <w:szCs w:val="32"/>
        </w:rPr>
      </w:pPr>
    </w:p>
    <w:p w14:paraId="3BBBE9B6">
      <w:pPr>
        <w:rPr>
          <w:rFonts w:ascii="Calibri" w:hAnsi="Calibri"/>
          <w:b/>
          <w:kern w:val="2"/>
          <w:szCs w:val="32"/>
        </w:rPr>
      </w:pPr>
      <w:r>
        <w:rPr>
          <w:rFonts w:ascii="Calibri" w:hAnsi="Calibri"/>
          <w:b/>
          <w:kern w:val="2"/>
          <w:szCs w:val="32"/>
        </w:rPr>
        <w:t>作为出租方的租赁分类标准和会计处理方法</w:t>
      </w:r>
    </w:p>
    <w:sdt>
      <w:sdtPr>
        <w:alias w:val="是否适用：作为出租方的租赁分类标准和会计处理方法[双击切换]"/>
        <w:tag w:val="_GBC_4ce66446786b4db69563b4f1b2b86d89"/>
        <w:id w:val="-1764597400"/>
        <w:placeholder>
          <w:docPart w:val="GBC22222222222222222222222222222"/>
        </w:placeholder>
      </w:sdtPr>
      <w:sdtContent>
        <w:p w14:paraId="41EF394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作为出租方的租赁分类标准和会计处理方法"/>
        <w:tag w:val="_GBC_ca849938b2044c5a8ca6cd68a06181a3"/>
        <w:id w:val="482356374"/>
        <w:placeholder>
          <w:docPart w:val="GBC22222222222222222222222222222"/>
        </w:placeholder>
      </w:sdtPr>
      <w:sdtContent>
        <w:p w14:paraId="374BD578">
          <w:pPr>
            <w:pStyle w:val="48"/>
            <w:spacing w:line="360" w:lineRule="auto"/>
            <w:ind w:firstLine="420" w:firstLineChars="200"/>
          </w:pPr>
          <w:r>
            <w:rPr>
              <w:rFonts w:hint="eastAsia"/>
            </w:rPr>
            <w:t>本公司在租赁开始日，将实质上转移了与租赁资产所有权有关的几乎全部风险和报酬的租赁确认为融资租赁，除此之外的均为经营租赁。</w:t>
          </w:r>
        </w:p>
        <w:p w14:paraId="0A56EA2E">
          <w:pPr>
            <w:pStyle w:val="48"/>
            <w:spacing w:line="360" w:lineRule="auto"/>
            <w:ind w:firstLine="420" w:firstLineChars="200"/>
          </w:pPr>
          <w:r>
            <w:rPr>
              <w:rFonts w:hint="eastAsia"/>
            </w:rPr>
            <w:t>（1）经营租赁会计处理</w:t>
          </w:r>
        </w:p>
        <w:p w14:paraId="11F12500">
          <w:pPr>
            <w:pStyle w:val="48"/>
            <w:spacing w:line="360" w:lineRule="auto"/>
            <w:ind w:firstLine="420" w:firstLineChars="200"/>
          </w:pPr>
          <w:r>
            <w:rPr>
              <w:rFonts w:hint="eastAsia"/>
            </w:rPr>
            <w:t>经营租赁的租金收入在租赁期内按直线法确认。对初始直接费用予以资本化，在租赁期内按照与租金收入相同的确认基础分期计入当期收益，未计入租赁收款额的可变租金在实际发生时计入租金收入。</w:t>
          </w:r>
        </w:p>
        <w:p w14:paraId="251EFFE7">
          <w:pPr>
            <w:pStyle w:val="48"/>
            <w:spacing w:line="360" w:lineRule="auto"/>
            <w:ind w:firstLine="420" w:firstLineChars="200"/>
          </w:pPr>
          <w:r>
            <w:rPr>
              <w:rFonts w:hint="eastAsia"/>
            </w:rPr>
            <w:t>（2）融资租赁会计处理</w:t>
          </w:r>
        </w:p>
        <w:p w14:paraId="48C23316">
          <w:pPr>
            <w:pStyle w:val="48"/>
            <w:spacing w:line="360" w:lineRule="auto"/>
            <w:ind w:firstLine="420" w:firstLineChars="200"/>
          </w:pPr>
          <w:r>
            <w:rPr>
              <w:rFonts w:hint="eastAsia"/>
            </w:rPr>
            <w:t>在租赁开始日，将应收融资租赁款，未担保余值之和与其现值的差额确认为未实现融资收益，在将来收到租金的各期间内确认为租赁收入，并终止确认融资租赁资产。初始直接费用计入应收融资租赁款的初始入账价值中。</w:t>
          </w:r>
        </w:p>
      </w:sdtContent>
    </w:sdt>
    <w:p w14:paraId="3F8C2363">
      <w:pPr>
        <w:pStyle w:val="48"/>
      </w:pPr>
    </w:p>
    <w:p w14:paraId="05710812">
      <w:pPr>
        <w:pStyle w:val="4"/>
        <w:numPr>
          <w:ilvl w:val="0"/>
          <w:numId w:val="54"/>
        </w:numPr>
      </w:pPr>
      <w:r>
        <w:rPr>
          <w:rFonts w:hint="eastAsia"/>
        </w:rPr>
        <w:t>其他重要的会计政策和会计估计</w:t>
      </w:r>
    </w:p>
    <w:sdt>
      <w:sdtPr>
        <w:rPr>
          <w:rFonts w:hint="eastAsia"/>
        </w:rPr>
        <w:alias w:val="是否适用：其他重要的会计政策和会计估计[双击切换]"/>
        <w:tag w:val="_GBC_b463c26b00e64f799c5b85b2c1c805fb"/>
        <w:id w:val="-852025106"/>
        <w:placeholder>
          <w:docPart w:val="GBC22222222222222222222222222222"/>
        </w:placeholder>
      </w:sdtPr>
      <w:sdtEndPr>
        <w:rPr>
          <w:rFonts w:hint="eastAsia"/>
        </w:rPr>
      </w:sdtEndPr>
      <w:sdtContent>
        <w:p w14:paraId="2383B24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8EBFA2">
      <w:pPr>
        <w:pStyle w:val="48"/>
      </w:pPr>
    </w:p>
    <w:p w14:paraId="691291B4">
      <w:pPr>
        <w:pStyle w:val="4"/>
        <w:numPr>
          <w:ilvl w:val="0"/>
          <w:numId w:val="54"/>
        </w:numPr>
      </w:pPr>
      <w:r>
        <w:rPr>
          <w:rFonts w:hint="eastAsia"/>
        </w:rPr>
        <w:t>重要</w:t>
      </w:r>
      <w:r>
        <w:t>会计政策</w:t>
      </w:r>
      <w:r>
        <w:rPr>
          <w:rFonts w:hint="eastAsia"/>
        </w:rPr>
        <w:t>和</w:t>
      </w:r>
      <w:r>
        <w:t>会计估计的变更</w:t>
      </w:r>
    </w:p>
    <w:p w14:paraId="3280E75C">
      <w:pPr>
        <w:pStyle w:val="48"/>
        <w:spacing w:line="360" w:lineRule="auto"/>
        <w:ind w:firstLine="420" w:firstLineChars="200"/>
      </w:pPr>
      <w:bookmarkStart w:id="220" w:name="_Hlk190174246"/>
      <w:r>
        <w:rPr>
          <w:rFonts w:hint="eastAsia"/>
        </w:rPr>
        <w:t>1.重要会计政策变更</w:t>
      </w:r>
    </w:p>
    <w:p w14:paraId="0E7A8E8B">
      <w:pPr>
        <w:pStyle w:val="48"/>
        <w:spacing w:line="360" w:lineRule="auto"/>
        <w:ind w:firstLine="420" w:firstLineChars="200"/>
      </w:pPr>
      <w:r>
        <w:rPr>
          <w:rFonts w:hint="eastAsia"/>
        </w:rPr>
        <w:t>本报告期公司重要会计政策未发生变更。</w:t>
      </w:r>
    </w:p>
    <w:p w14:paraId="1D3A63AF">
      <w:pPr>
        <w:pStyle w:val="48"/>
        <w:spacing w:line="360" w:lineRule="auto"/>
        <w:ind w:firstLine="420" w:firstLineChars="200"/>
      </w:pPr>
      <w:r>
        <w:rPr>
          <w:rFonts w:hint="eastAsia"/>
        </w:rPr>
        <w:t>2.重要会计估计变更</w:t>
      </w:r>
    </w:p>
    <w:p w14:paraId="5332BF3C">
      <w:pPr>
        <w:pStyle w:val="48"/>
        <w:spacing w:line="360" w:lineRule="auto"/>
        <w:ind w:firstLine="420" w:firstLineChars="200"/>
      </w:pPr>
      <w:r>
        <w:rPr>
          <w:rFonts w:hint="eastAsia"/>
        </w:rPr>
        <w:t>本报告期公司重要会计估计未发生变更。。</w:t>
      </w:r>
    </w:p>
    <w:p w14:paraId="04BB13D0">
      <w:pPr>
        <w:pStyle w:val="48"/>
      </w:pPr>
    </w:p>
    <w:bookmarkEnd w:id="220"/>
    <w:p w14:paraId="2ED73423">
      <w:pPr>
        <w:pStyle w:val="4"/>
        <w:numPr>
          <w:ilvl w:val="0"/>
          <w:numId w:val="54"/>
        </w:numPr>
      </w:pPr>
      <w:bookmarkStart w:id="221" w:name="_Hlk10465969"/>
      <w:bookmarkEnd w:id="221"/>
      <w:bookmarkStart w:id="222" w:name="_Hlk24100246"/>
      <w:r>
        <w:rPr>
          <w:rFonts w:asciiTheme="majorEastAsia" w:hAnsiTheme="majorEastAsia" w:eastAsiaTheme="majorEastAsia"/>
        </w:rPr>
        <w:t>2025</w:t>
      </w:r>
      <w:r>
        <w:t>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1169783783"/>
        <w:placeholder>
          <w:docPart w:val="GBC22222222222222222222222222222"/>
        </w:placeholder>
      </w:sdtPr>
      <w:sdtEndPr>
        <w:rPr>
          <w:rFonts w:hint="eastAsia"/>
        </w:rPr>
      </w:sdtEndPr>
      <w:sdtContent>
        <w:p w14:paraId="23F823B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5E7681B">
      <w:pPr>
        <w:pStyle w:val="48"/>
      </w:pPr>
    </w:p>
    <w:bookmarkEnd w:id="222"/>
    <w:p w14:paraId="198AA12D">
      <w:pPr>
        <w:pStyle w:val="4"/>
        <w:numPr>
          <w:ilvl w:val="0"/>
          <w:numId w:val="54"/>
        </w:numPr>
      </w:pPr>
      <w:bookmarkStart w:id="223" w:name="_Hlk24100423"/>
      <w:bookmarkEnd w:id="223"/>
      <w:r>
        <w:rPr>
          <w:rFonts w:hint="eastAsia"/>
        </w:rPr>
        <w:t>其他</w:t>
      </w:r>
    </w:p>
    <w:sdt>
      <w:sdtPr>
        <w:rPr>
          <w:rFonts w:hint="eastAsia"/>
        </w:rPr>
        <w:alias w:val="是否适用：公司主要会计政策、会计估计和前期差错的其他说明[双击切换]"/>
        <w:tag w:val="_GBC_bcb348c2b015461e9de30ce69ad888ae"/>
        <w:id w:val="1742365544"/>
        <w:placeholder>
          <w:docPart w:val="GBC22222222222222222222222222222"/>
        </w:placeholder>
      </w:sdtPr>
      <w:sdtEndPr>
        <w:rPr>
          <w:rFonts w:hint="eastAsia"/>
        </w:rPr>
      </w:sdtEndPr>
      <w:sdtContent>
        <w:p w14:paraId="7C9F6DF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90F3A70">
      <w:pPr>
        <w:pStyle w:val="48"/>
      </w:pPr>
    </w:p>
    <w:p w14:paraId="0A7E32A2">
      <w:pPr>
        <w:pStyle w:val="3"/>
        <w:numPr>
          <w:ilvl w:val="0"/>
          <w:numId w:val="51"/>
        </w:numPr>
        <w:rPr>
          <w:rFonts w:ascii="宋体" w:hAnsi="宋体"/>
        </w:rPr>
      </w:pPr>
      <w:r>
        <w:rPr>
          <w:rFonts w:hint="eastAsia"/>
        </w:rPr>
        <w:t>税项</w:t>
      </w:r>
    </w:p>
    <w:p w14:paraId="5D1EB4F0">
      <w:pPr>
        <w:pStyle w:val="4"/>
        <w:numPr>
          <w:ilvl w:val="0"/>
          <w:numId w:val="60"/>
        </w:numPr>
        <w:tabs>
          <w:tab w:val="left" w:pos="546"/>
        </w:tabs>
      </w:pPr>
      <w:r>
        <w:t>主要税种及税率</w:t>
      </w:r>
    </w:p>
    <w:p w14:paraId="3D6A0093">
      <w:pPr>
        <w:pStyle w:val="48"/>
      </w:pPr>
      <w:r>
        <w:t>主要税种及税率</w:t>
      </w:r>
      <w:r>
        <w:rPr>
          <w:rFonts w:hint="eastAsia"/>
        </w:rPr>
        <w:t>情况</w:t>
      </w:r>
    </w:p>
    <w:sdt>
      <w:sdtPr>
        <w:alias w:val="是否适用：主要税种及税率情况 [双击切换]"/>
        <w:tag w:val="_GBC_f900f926144b41b9ba020b5a24aff3c0"/>
        <w:id w:val="1115032639"/>
        <w:placeholder>
          <w:docPart w:val="GBC22222222222222222222222222222"/>
        </w:placeholder>
      </w:sdtPr>
      <w:sdtContent>
        <w:p w14:paraId="6A08B5AB">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4962"/>
        <w:gridCol w:w="2389"/>
      </w:tblGrid>
      <w:tr w14:paraId="1A90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758c089ae1414f99b1cc36321c29a1"/>
            <w:id w:val="67859802"/>
          </w:sdtPr>
          <w:sdtContent>
            <w:tc>
              <w:tcPr>
                <w:tcW w:w="1696" w:type="dxa"/>
                <w:vAlign w:val="center"/>
              </w:tcPr>
              <w:p w14:paraId="6A8D7F10">
                <w:pPr>
                  <w:jc w:val="center"/>
                  <w:rPr>
                    <w:rFonts w:ascii="Calibri" w:hAnsi="Calibri"/>
                    <w:sz w:val="20"/>
                    <w:szCs w:val="20"/>
                  </w:rPr>
                </w:pPr>
                <w:r>
                  <w:rPr>
                    <w:rFonts w:ascii="Calibri" w:hAnsi="Calibri"/>
                    <w:sz w:val="20"/>
                    <w:szCs w:val="20"/>
                  </w:rPr>
                  <w:t>税种</w:t>
                </w:r>
              </w:p>
            </w:tc>
          </w:sdtContent>
        </w:sdt>
        <w:sdt>
          <w:sdtPr>
            <w:tag w:val="_PLD_0e1599c84a4d47cc8f6f9b3d3069a1bd"/>
            <w:id w:val="1658648970"/>
          </w:sdtPr>
          <w:sdtContent>
            <w:tc>
              <w:tcPr>
                <w:tcW w:w="4962" w:type="dxa"/>
                <w:vAlign w:val="center"/>
              </w:tcPr>
              <w:p w14:paraId="0E5DF029">
                <w:pPr>
                  <w:spacing w:line="276" w:lineRule="auto"/>
                  <w:jc w:val="center"/>
                  <w:rPr>
                    <w:rFonts w:ascii="Calibri" w:hAnsi="Calibri"/>
                    <w:sz w:val="20"/>
                    <w:szCs w:val="20"/>
                  </w:rPr>
                </w:pPr>
                <w:r>
                  <w:rPr>
                    <w:rFonts w:ascii="Calibri" w:hAnsi="Calibri"/>
                    <w:sz w:val="20"/>
                    <w:szCs w:val="20"/>
                  </w:rPr>
                  <w:t>计税依据</w:t>
                </w:r>
              </w:p>
            </w:tc>
          </w:sdtContent>
        </w:sdt>
        <w:sdt>
          <w:sdtPr>
            <w:tag w:val="_PLD_74e07bcec6714b078c64caa53447462a"/>
            <w:id w:val="-1745014251"/>
          </w:sdtPr>
          <w:sdtContent>
            <w:tc>
              <w:tcPr>
                <w:tcW w:w="2389" w:type="dxa"/>
                <w:vAlign w:val="center"/>
              </w:tcPr>
              <w:p w14:paraId="50CA878B">
                <w:pPr>
                  <w:spacing w:line="276" w:lineRule="auto"/>
                  <w:jc w:val="center"/>
                  <w:rPr>
                    <w:rFonts w:ascii="Calibri" w:hAnsi="Calibri"/>
                    <w:sz w:val="20"/>
                    <w:szCs w:val="20"/>
                  </w:rPr>
                </w:pPr>
                <w:r>
                  <w:rPr>
                    <w:rFonts w:ascii="Calibri" w:hAnsi="Calibri"/>
                    <w:sz w:val="20"/>
                    <w:szCs w:val="20"/>
                  </w:rPr>
                  <w:t>税率</w:t>
                </w:r>
              </w:p>
            </w:tc>
          </w:sdtContent>
        </w:sdt>
      </w:tr>
      <w:tr w14:paraId="2069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14:paraId="166DCE91">
            <w:pPr>
              <w:pStyle w:val="48"/>
              <w:rPr>
                <w:sz w:val="20"/>
                <w:szCs w:val="20"/>
              </w:rPr>
            </w:pPr>
            <w:r>
              <w:rPr>
                <w:sz w:val="20"/>
                <w:szCs w:val="20"/>
              </w:rPr>
              <w:t>增值税</w:t>
            </w:r>
          </w:p>
        </w:tc>
        <w:tc>
          <w:tcPr>
            <w:tcW w:w="4962" w:type="dxa"/>
            <w:vAlign w:val="center"/>
          </w:tcPr>
          <w:p w14:paraId="77F8E204">
            <w:pPr>
              <w:pStyle w:val="48"/>
              <w:spacing w:line="276" w:lineRule="auto"/>
              <w:rPr>
                <w:sz w:val="20"/>
                <w:szCs w:val="20"/>
              </w:rPr>
            </w:pPr>
            <w:r>
              <w:rPr>
                <w:sz w:val="20"/>
                <w:szCs w:val="20"/>
              </w:rPr>
              <w:t>1、按税法规定计算的销售货物和提供应税劳务以及销售服务、无形资产或者不动产取得的收入为基础计算销项税额，在扣除当期允许抵扣的进项税额后，差额部分为应交增值税；2、生物制品（胰岛素原料药和注射液）从2015年1月1日起至2025年12月31日止按简易办法征税，征收率为3%；3、房产租赁和商品房销售从2016年5月1日起按简易办法征税，征收率为5%。</w:t>
            </w:r>
          </w:p>
        </w:tc>
        <w:tc>
          <w:tcPr>
            <w:tcW w:w="2389" w:type="dxa"/>
            <w:vAlign w:val="center"/>
          </w:tcPr>
          <w:p w14:paraId="4086B82F">
            <w:pPr>
              <w:pStyle w:val="48"/>
              <w:spacing w:line="276" w:lineRule="auto"/>
              <w:rPr>
                <w:sz w:val="20"/>
                <w:szCs w:val="20"/>
              </w:rPr>
            </w:pPr>
            <w:r>
              <w:rPr>
                <w:sz w:val="20"/>
                <w:szCs w:val="20"/>
              </w:rPr>
              <w:t>3%、5%、6%、9%、13%</w:t>
            </w:r>
          </w:p>
        </w:tc>
      </w:tr>
      <w:tr w14:paraId="4DF8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14:paraId="54CAF73C">
            <w:pPr>
              <w:pStyle w:val="48"/>
              <w:rPr>
                <w:sz w:val="20"/>
                <w:szCs w:val="20"/>
              </w:rPr>
            </w:pPr>
            <w:r>
              <w:rPr>
                <w:sz w:val="20"/>
                <w:szCs w:val="20"/>
              </w:rPr>
              <w:t>城市维护建设税</w:t>
            </w:r>
          </w:p>
        </w:tc>
        <w:tc>
          <w:tcPr>
            <w:tcW w:w="4962" w:type="dxa"/>
            <w:vAlign w:val="center"/>
          </w:tcPr>
          <w:p w14:paraId="37613AB7">
            <w:pPr>
              <w:pStyle w:val="48"/>
              <w:spacing w:line="276" w:lineRule="auto"/>
              <w:rPr>
                <w:sz w:val="20"/>
                <w:szCs w:val="20"/>
              </w:rPr>
            </w:pPr>
            <w:r>
              <w:rPr>
                <w:sz w:val="20"/>
                <w:szCs w:val="20"/>
              </w:rPr>
              <w:t>按实际缴纳的增值税计征</w:t>
            </w:r>
          </w:p>
        </w:tc>
        <w:tc>
          <w:tcPr>
            <w:tcW w:w="2389" w:type="dxa"/>
            <w:vAlign w:val="center"/>
          </w:tcPr>
          <w:p w14:paraId="12CF9EF9">
            <w:pPr>
              <w:pStyle w:val="48"/>
              <w:spacing w:line="276" w:lineRule="auto"/>
              <w:rPr>
                <w:sz w:val="20"/>
                <w:szCs w:val="20"/>
              </w:rPr>
            </w:pPr>
            <w:r>
              <w:rPr>
                <w:sz w:val="20"/>
                <w:szCs w:val="20"/>
              </w:rPr>
              <w:t>1%、5%、7%</w:t>
            </w:r>
          </w:p>
        </w:tc>
      </w:tr>
      <w:tr w14:paraId="3BD48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14:paraId="34D47697">
            <w:pPr>
              <w:pStyle w:val="48"/>
              <w:rPr>
                <w:sz w:val="20"/>
                <w:szCs w:val="20"/>
              </w:rPr>
            </w:pPr>
            <w:r>
              <w:rPr>
                <w:sz w:val="20"/>
                <w:szCs w:val="20"/>
              </w:rPr>
              <w:t>教育费附加</w:t>
            </w:r>
          </w:p>
        </w:tc>
        <w:tc>
          <w:tcPr>
            <w:tcW w:w="4962" w:type="dxa"/>
            <w:vAlign w:val="center"/>
          </w:tcPr>
          <w:p w14:paraId="1146B3B3">
            <w:pPr>
              <w:pStyle w:val="48"/>
              <w:spacing w:line="276" w:lineRule="auto"/>
              <w:rPr>
                <w:sz w:val="20"/>
                <w:szCs w:val="20"/>
              </w:rPr>
            </w:pPr>
            <w:r>
              <w:rPr>
                <w:sz w:val="20"/>
                <w:szCs w:val="20"/>
              </w:rPr>
              <w:t>按实际缴纳的增值税计征</w:t>
            </w:r>
          </w:p>
        </w:tc>
        <w:tc>
          <w:tcPr>
            <w:tcW w:w="2389" w:type="dxa"/>
            <w:vAlign w:val="center"/>
          </w:tcPr>
          <w:p w14:paraId="53727F4B">
            <w:pPr>
              <w:pStyle w:val="48"/>
              <w:spacing w:line="276" w:lineRule="auto"/>
              <w:rPr>
                <w:sz w:val="20"/>
                <w:szCs w:val="20"/>
              </w:rPr>
            </w:pPr>
            <w:r>
              <w:rPr>
                <w:sz w:val="20"/>
                <w:szCs w:val="20"/>
              </w:rPr>
              <w:t>3%</w:t>
            </w:r>
          </w:p>
        </w:tc>
      </w:tr>
      <w:tr w14:paraId="03E3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14:paraId="615298A1">
            <w:pPr>
              <w:pStyle w:val="48"/>
              <w:rPr>
                <w:sz w:val="20"/>
                <w:szCs w:val="20"/>
              </w:rPr>
            </w:pPr>
            <w:r>
              <w:rPr>
                <w:sz w:val="20"/>
                <w:szCs w:val="20"/>
              </w:rPr>
              <w:t>地方教育费附加</w:t>
            </w:r>
          </w:p>
        </w:tc>
        <w:tc>
          <w:tcPr>
            <w:tcW w:w="4962" w:type="dxa"/>
            <w:vAlign w:val="center"/>
          </w:tcPr>
          <w:p w14:paraId="35FDFC9F">
            <w:pPr>
              <w:pStyle w:val="48"/>
              <w:spacing w:line="276" w:lineRule="auto"/>
              <w:rPr>
                <w:sz w:val="20"/>
                <w:szCs w:val="20"/>
              </w:rPr>
            </w:pPr>
            <w:r>
              <w:rPr>
                <w:sz w:val="20"/>
                <w:szCs w:val="20"/>
              </w:rPr>
              <w:t>按实际缴纳的增值税计征</w:t>
            </w:r>
          </w:p>
        </w:tc>
        <w:tc>
          <w:tcPr>
            <w:tcW w:w="2389" w:type="dxa"/>
            <w:vAlign w:val="center"/>
          </w:tcPr>
          <w:p w14:paraId="030C7182">
            <w:pPr>
              <w:pStyle w:val="48"/>
              <w:spacing w:line="276" w:lineRule="auto"/>
              <w:rPr>
                <w:sz w:val="20"/>
                <w:szCs w:val="20"/>
              </w:rPr>
            </w:pPr>
            <w:r>
              <w:rPr>
                <w:sz w:val="20"/>
                <w:szCs w:val="20"/>
              </w:rPr>
              <w:t>2%</w:t>
            </w:r>
          </w:p>
        </w:tc>
      </w:tr>
      <w:tr w14:paraId="14F8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14:paraId="1DE5E1B1">
            <w:pPr>
              <w:pStyle w:val="48"/>
              <w:rPr>
                <w:sz w:val="20"/>
                <w:szCs w:val="20"/>
              </w:rPr>
            </w:pPr>
            <w:r>
              <w:rPr>
                <w:sz w:val="20"/>
                <w:szCs w:val="20"/>
              </w:rPr>
              <w:t>企业所得税</w:t>
            </w:r>
          </w:p>
        </w:tc>
        <w:tc>
          <w:tcPr>
            <w:tcW w:w="4962" w:type="dxa"/>
            <w:vAlign w:val="center"/>
          </w:tcPr>
          <w:p w14:paraId="430F6801">
            <w:pPr>
              <w:pStyle w:val="48"/>
              <w:spacing w:line="276" w:lineRule="auto"/>
              <w:rPr>
                <w:sz w:val="20"/>
                <w:szCs w:val="20"/>
              </w:rPr>
            </w:pPr>
            <w:r>
              <w:rPr>
                <w:sz w:val="20"/>
                <w:szCs w:val="20"/>
              </w:rPr>
              <w:t>按应纳税所得额计征</w:t>
            </w:r>
          </w:p>
        </w:tc>
        <w:tc>
          <w:tcPr>
            <w:tcW w:w="2389" w:type="dxa"/>
            <w:vAlign w:val="center"/>
          </w:tcPr>
          <w:p w14:paraId="7F267B68">
            <w:pPr>
              <w:pStyle w:val="48"/>
              <w:spacing w:line="276" w:lineRule="auto"/>
              <w:rPr>
                <w:sz w:val="20"/>
                <w:szCs w:val="20"/>
              </w:rPr>
            </w:pPr>
            <w:r>
              <w:rPr>
                <w:sz w:val="20"/>
                <w:szCs w:val="20"/>
              </w:rPr>
              <w:t>15%、25%</w:t>
            </w:r>
          </w:p>
        </w:tc>
      </w:tr>
    </w:tbl>
    <w:p w14:paraId="5F93E9BD">
      <w:pPr>
        <w:spacing w:line="360" w:lineRule="auto"/>
        <w:ind w:firstLine="420" w:firstLineChars="200"/>
        <w:jc w:val="both"/>
      </w:pPr>
      <w:r>
        <w:rPr>
          <w:rFonts w:hint="eastAsia"/>
        </w:rPr>
        <w:t>1.增值税</w:t>
      </w:r>
    </w:p>
    <w:p w14:paraId="0A4A68F5">
      <w:pPr>
        <w:spacing w:line="360" w:lineRule="auto"/>
        <w:ind w:firstLine="420" w:firstLineChars="200"/>
        <w:jc w:val="both"/>
      </w:pPr>
      <w:r>
        <w:rPr>
          <w:rFonts w:hint="eastAsia"/>
        </w:rPr>
        <w:t>公司与合并财务报表范围内的各子公司和单独主体均为增值税一般纳税人。</w:t>
      </w:r>
    </w:p>
    <w:p w14:paraId="4301B199">
      <w:pPr>
        <w:spacing w:line="360" w:lineRule="auto"/>
        <w:ind w:firstLine="420" w:firstLineChars="200"/>
        <w:jc w:val="both"/>
      </w:pPr>
      <w:r>
        <w:rPr>
          <w:rFonts w:hint="eastAsia"/>
        </w:rPr>
        <w:t>公司的生物制品（胰岛素原料药和注射液）销售适用3%的简易征收率；单独主体-通化东宝金弘基房地产开发有限公司通化县第一分公司的商品房销售和子公司北京东宝生物技术有限公司的房屋租赁收入适用5%的简易征收率。</w:t>
      </w:r>
    </w:p>
    <w:p w14:paraId="7A833877">
      <w:pPr>
        <w:spacing w:line="360" w:lineRule="auto"/>
        <w:ind w:firstLine="420" w:firstLineChars="200"/>
        <w:jc w:val="both"/>
      </w:pPr>
      <w:r>
        <w:rPr>
          <w:rFonts w:hint="eastAsia"/>
        </w:rPr>
        <w:t>2.城市维护建设税、教育费附加</w:t>
      </w:r>
    </w:p>
    <w:p w14:paraId="6CF885B6">
      <w:pPr>
        <w:spacing w:line="360" w:lineRule="auto"/>
        <w:ind w:firstLine="420" w:firstLineChars="200"/>
        <w:jc w:val="both"/>
      </w:pPr>
      <w:r>
        <w:rPr>
          <w:rFonts w:hint="eastAsia"/>
        </w:rPr>
        <w:t>公司及子公司城市维护建设税按应缴纳流转税额的1%、5%或7%计缴；教育费附加按应缴纳流转税额的3%计缴；地方教育费附加按应缴纳流转税额的2%计缴。</w:t>
      </w:r>
    </w:p>
    <w:p w14:paraId="4F627BF5">
      <w:pPr>
        <w:spacing w:line="360" w:lineRule="auto"/>
        <w:ind w:firstLine="420" w:firstLineChars="200"/>
        <w:jc w:val="both"/>
      </w:pPr>
      <w:r>
        <w:rPr>
          <w:rFonts w:hint="eastAsia"/>
        </w:rPr>
        <w:t>3.企业所得税</w:t>
      </w:r>
    </w:p>
    <w:p w14:paraId="7F3754EA">
      <w:pPr>
        <w:spacing w:line="360" w:lineRule="auto"/>
        <w:ind w:firstLine="420" w:firstLineChars="200"/>
        <w:jc w:val="both"/>
      </w:pPr>
      <w:r>
        <w:rPr>
          <w:rFonts w:hint="eastAsia"/>
        </w:rPr>
        <w:t>公司为吉林省高新技术企业，执行的企业所得税税率为15%；除长春东宝药业有限公司、通化紫星生物制药有限公司和上海桔医网络科技有限公司执行小型微利企业税收优惠政策外，其他各子公司及单独主体执行的企业所得税税率均为25%。</w:t>
      </w:r>
    </w:p>
    <w:p w14:paraId="32581DE8">
      <w:pPr>
        <w:pStyle w:val="48"/>
      </w:pPr>
      <w:r>
        <w:rPr>
          <w:rFonts w:hint="eastAsia"/>
        </w:rPr>
        <w:t>存在不同企业所得税税率纳税主体的，披露情况说明</w:t>
      </w:r>
    </w:p>
    <w:sdt>
      <w:sdtPr>
        <w:alias w:val="是否适用：存在不同企业所得税税率纳税主体的，披露情况说明[双击切换]"/>
        <w:tag w:val="_GBC_f117cb1e9d6f4e82900861637cf6a799"/>
        <w:id w:val="-217050356"/>
        <w:placeholder>
          <w:docPart w:val="GBC22222222222222222222222222222"/>
        </w:placeholder>
      </w:sdtPr>
      <w:sdtContent>
        <w:p w14:paraId="49AE5DA5">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B98A76B">
      <w:pPr>
        <w:pStyle w:val="48"/>
      </w:pPr>
    </w:p>
    <w:p w14:paraId="566F85B1">
      <w:pPr>
        <w:pStyle w:val="4"/>
        <w:numPr>
          <w:ilvl w:val="0"/>
          <w:numId w:val="60"/>
        </w:numPr>
        <w:tabs>
          <w:tab w:val="left" w:pos="546"/>
        </w:tabs>
      </w:pPr>
      <w:r>
        <w:t>税收优惠</w:t>
      </w:r>
    </w:p>
    <w:sdt>
      <w:sdtPr>
        <w:rPr>
          <w:rFonts w:hint="eastAsia"/>
        </w:rPr>
        <w:alias w:val="是否适用：税收优惠[双击切换]"/>
        <w:tag w:val="_GBC_7b649dcf8ab54475bffc51edb3c33588"/>
        <w:id w:val="1490591642"/>
        <w:placeholder>
          <w:docPart w:val="GBC22222222222222222222222222222"/>
        </w:placeholder>
      </w:sdtPr>
      <w:sdtEndPr>
        <w:rPr>
          <w:rFonts w:hint="eastAsia"/>
        </w:rPr>
      </w:sdtEndPr>
      <w:sdtContent>
        <w:p w14:paraId="56248AD7">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优惠税赋及批文"/>
        <w:tag w:val="_GBC_3bbdacdaa3ba421fb8a81b9bda047bb4"/>
        <w:id w:val="992067944"/>
        <w:placeholder>
          <w:docPart w:val="GBC22222222222222222222222222222"/>
        </w:placeholder>
      </w:sdtPr>
      <w:sdtEndPr>
        <w:rPr>
          <w:rFonts w:hint="eastAsia"/>
        </w:rPr>
      </w:sdtEndPr>
      <w:sdtContent>
        <w:p w14:paraId="3014F55C">
          <w:pPr>
            <w:pStyle w:val="48"/>
            <w:spacing w:line="360" w:lineRule="auto"/>
            <w:ind w:firstLine="420" w:firstLineChars="200"/>
          </w:pPr>
          <w:r>
            <w:rPr>
              <w:rFonts w:hint="eastAsia"/>
            </w:rPr>
            <w:t>1.根据《财政部国家税务总局关于部分货物适用增值税低税率和简易办法征收增值税政策的通知》（财税[2009]9号），用微生物、微生物代谢产物、动物毒素、人或动物的血液或组织制成的生物制品可按简易办法依照6%征收率计算缴纳增值税。财政部、国家税务总局下发《关于简并增值税征收率政策的通知》（财税[2014]57号）第三条规定“关于财税[2009]9号文件第二条第（四）项“依照6%征收率”调整为“依照3%征收率”。公司的生物制品销售适用3%的简易征收率。</w:t>
          </w:r>
        </w:p>
        <w:p w14:paraId="609E5EF3">
          <w:pPr>
            <w:pStyle w:val="48"/>
            <w:spacing w:line="360" w:lineRule="auto"/>
            <w:ind w:firstLine="420" w:firstLineChars="200"/>
          </w:pPr>
          <w:r>
            <w:rPr>
              <w:rFonts w:hint="eastAsia"/>
            </w:rPr>
            <w:t>2.根据《高新技术企业认定管理办法》（国科发火〔2016〕32号）和《高新技术企业认定管理工作指引》（国科发火〔2016〕195号）有关规定，公司被列入吉林省认定机构2023年认定报备的第一批高新技术企业备案名单，证书编号：GR202322000032，发证日期：2023年10月16日，有效期为三年（2023年—2025年）。本次系公司原高新技术企业有效期满后的再次认定，根据国家有关规定，公司自通过国家高新技术企业认定起连续三年可继续享受国家关于高新技术企业的税收优惠政策，即按15%的税率缴纳企业所得税。</w:t>
          </w:r>
        </w:p>
        <w:p w14:paraId="35D15701">
          <w:pPr>
            <w:pStyle w:val="48"/>
            <w:spacing w:line="360" w:lineRule="auto"/>
            <w:ind w:firstLine="420" w:firstLineChars="200"/>
          </w:pPr>
          <w:r>
            <w:rPr>
              <w:rFonts w:hint="eastAsia"/>
            </w:rPr>
            <w:t>3. 长春东宝药业有限公司、通化紫星生物制药有限公司和上海桔医网络科技有限公司本期作为小型微利企业，依据《财政部 税务总局公告2023年第12号》，减按25%计算应纳税所得额，按20%的税率缴纳企业所得税。</w:t>
          </w:r>
        </w:p>
      </w:sdtContent>
    </w:sdt>
    <w:p w14:paraId="7F5A67B8">
      <w:pPr>
        <w:rPr>
          <w:rFonts w:asciiTheme="minorEastAsia" w:hAnsiTheme="minorEastAsia" w:eastAsiaTheme="minorEastAsia"/>
        </w:rPr>
      </w:pPr>
    </w:p>
    <w:p w14:paraId="1FDBDD0F">
      <w:pPr>
        <w:pStyle w:val="4"/>
        <w:numPr>
          <w:ilvl w:val="0"/>
          <w:numId w:val="60"/>
        </w:numPr>
        <w:tabs>
          <w:tab w:val="left" w:pos="546"/>
        </w:tabs>
      </w:pPr>
      <w:r>
        <w:t>其他</w:t>
      </w:r>
    </w:p>
    <w:sdt>
      <w:sdtPr>
        <w:rPr>
          <w:rFonts w:hint="eastAsia"/>
        </w:rPr>
        <w:alias w:val="是否适用：税项说明[双击切换]"/>
        <w:tag w:val="_GBC_cb15d487e8d84ad7877bd8820156d381"/>
        <w:id w:val="259030189"/>
        <w:placeholder>
          <w:docPart w:val="GBC22222222222222222222222222222"/>
        </w:placeholder>
      </w:sdtPr>
      <w:sdtEndPr>
        <w:rPr>
          <w:rFonts w:hint="eastAsia"/>
        </w:rPr>
      </w:sdtEndPr>
      <w:sdtContent>
        <w:p w14:paraId="21CFDCE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7A005C">
      <w:pPr>
        <w:pStyle w:val="48"/>
      </w:pPr>
    </w:p>
    <w:p w14:paraId="28C70DA9">
      <w:pPr>
        <w:pStyle w:val="3"/>
        <w:numPr>
          <w:ilvl w:val="0"/>
          <w:numId w:val="51"/>
        </w:numPr>
        <w:rPr>
          <w:rFonts w:ascii="宋体" w:hAnsi="宋体"/>
        </w:rPr>
      </w:pPr>
      <w:r>
        <w:rPr>
          <w:rFonts w:hint="eastAsia"/>
        </w:rPr>
        <w:t>合并财务报表项目注释</w:t>
      </w:r>
    </w:p>
    <w:p w14:paraId="7F773E58">
      <w:pPr>
        <w:pStyle w:val="4"/>
        <w:numPr>
          <w:ilvl w:val="0"/>
          <w:numId w:val="61"/>
        </w:numPr>
        <w:rPr>
          <w:szCs w:val="21"/>
        </w:rPr>
      </w:pPr>
      <w:r>
        <w:rPr>
          <w:szCs w:val="21"/>
        </w:rPr>
        <w:t>货币资金</w:t>
      </w:r>
    </w:p>
    <w:sdt>
      <w:sdtPr>
        <w:rPr>
          <w:rFonts w:hint="eastAsia"/>
        </w:rPr>
        <w:alias w:val="是否适用：货币资金[双击切换]"/>
        <w:tag w:val="_GBC_7583a9a918ef405ba2d26448cc628ff5"/>
        <w:id w:val="-1495804152"/>
        <w:placeholder>
          <w:docPart w:val="GBC22222222222222222222222222222"/>
        </w:placeholder>
      </w:sdtPr>
      <w:sdtEndPr>
        <w:rPr>
          <w:rFonts w:hint="eastAsia"/>
        </w:rPr>
      </w:sdtEndPr>
      <w:sdtContent>
        <w:p w14:paraId="11780C7E">
          <w:pPr>
            <w:snapToGrid w:val="0"/>
            <w:spacing w:line="240" w:lineRule="atLeast"/>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6CF3F61">
      <w:pPr>
        <w:snapToGrid w:val="0"/>
        <w:spacing w:line="240" w:lineRule="atLeast"/>
        <w:jc w:val="right"/>
      </w:pPr>
      <w:r>
        <w:rPr>
          <w:rFonts w:hint="eastAsia"/>
        </w:rPr>
        <w:t>单位：</w:t>
      </w:r>
      <w:sdt>
        <w:sdtPr>
          <w:rPr>
            <w:rFonts w:hint="eastAsia"/>
          </w:rPr>
          <w:alias w:val="单位：财务附注：货币资金"/>
          <w:tag w:val="_GBC_837f4fb04cac4b8aa6bed7dc457a1486"/>
          <w:id w:val="-9163885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货币资金"/>
          <w:tag w:val="_GBC_6a1d907ad1af44b1a90a92ac03d51b34"/>
          <w:id w:val="19545168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2275"/>
        <w:gridCol w:w="3379"/>
        <w:gridCol w:w="3404"/>
      </w:tblGrid>
      <w:tr w14:paraId="68F6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40e7daf451b4f14ba49162bfbbd1e72"/>
            <w:id w:val="-1389566794"/>
          </w:sdtPr>
          <w:sdtContent>
            <w:tc>
              <w:tcPr>
                <w:tcW w:w="2275" w:type="dxa"/>
                <w:vAlign w:val="center"/>
              </w:tcPr>
              <w:p w14:paraId="202D9E53">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项目</w:t>
                </w:r>
              </w:p>
            </w:tc>
          </w:sdtContent>
        </w:sdt>
        <w:sdt>
          <w:sdtPr>
            <w:tag w:val="_PLD_79d1e78073b542bda1ea85bf8925b2cd"/>
            <w:id w:val="-2137555658"/>
          </w:sdtPr>
          <w:sdtContent>
            <w:tc>
              <w:tcPr>
                <w:tcW w:w="3379" w:type="dxa"/>
                <w:vAlign w:val="center"/>
              </w:tcPr>
              <w:p w14:paraId="01B8CFE4">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期末余额</w:t>
                </w:r>
              </w:p>
            </w:tc>
          </w:sdtContent>
        </w:sdt>
        <w:sdt>
          <w:sdtPr>
            <w:tag w:val="_PLD_725adef951424bb094850d632de69fd0"/>
            <w:id w:val="-582602977"/>
          </w:sdtPr>
          <w:sdtContent>
            <w:tc>
              <w:tcPr>
                <w:tcW w:w="3404" w:type="dxa"/>
                <w:vAlign w:val="center"/>
              </w:tcPr>
              <w:p w14:paraId="598EEE43">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期初余额</w:t>
                </w:r>
              </w:p>
            </w:tc>
          </w:sdtContent>
        </w:sdt>
      </w:tr>
      <w:tr w14:paraId="7B91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2275" w:type="dxa"/>
            <w:vAlign w:val="center"/>
          </w:tcPr>
          <w:p w14:paraId="72759803">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库存现金</w:t>
            </w:r>
          </w:p>
        </w:tc>
        <w:tc>
          <w:tcPr>
            <w:tcW w:w="3379" w:type="dxa"/>
            <w:vAlign w:val="center"/>
          </w:tcPr>
          <w:p w14:paraId="37618692">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117,097.92</w:t>
            </w:r>
          </w:p>
        </w:tc>
        <w:tc>
          <w:tcPr>
            <w:tcW w:w="3404" w:type="dxa"/>
            <w:vAlign w:val="center"/>
          </w:tcPr>
          <w:p w14:paraId="4D810BB8">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98,420.06</w:t>
            </w:r>
          </w:p>
        </w:tc>
      </w:tr>
      <w:tr w14:paraId="3222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2275" w:type="dxa"/>
            <w:vAlign w:val="center"/>
          </w:tcPr>
          <w:p w14:paraId="45339822">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银行存款</w:t>
            </w:r>
          </w:p>
        </w:tc>
        <w:tc>
          <w:tcPr>
            <w:tcW w:w="3379" w:type="dxa"/>
            <w:vAlign w:val="center"/>
          </w:tcPr>
          <w:p w14:paraId="612A9B71">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1,425,056,493.76</w:t>
            </w:r>
          </w:p>
        </w:tc>
        <w:tc>
          <w:tcPr>
            <w:tcW w:w="3404" w:type="dxa"/>
            <w:vAlign w:val="center"/>
          </w:tcPr>
          <w:p w14:paraId="7B2C5F27">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590,096,868.02</w:t>
            </w:r>
          </w:p>
        </w:tc>
      </w:tr>
      <w:tr w14:paraId="461C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2275" w:type="dxa"/>
            <w:vAlign w:val="center"/>
          </w:tcPr>
          <w:p w14:paraId="3D472E51">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其他货币资金</w:t>
            </w:r>
          </w:p>
        </w:tc>
        <w:tc>
          <w:tcPr>
            <w:tcW w:w="3379" w:type="dxa"/>
            <w:vAlign w:val="center"/>
          </w:tcPr>
          <w:p w14:paraId="172D08A0">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8,661,031.81</w:t>
            </w:r>
          </w:p>
        </w:tc>
        <w:tc>
          <w:tcPr>
            <w:tcW w:w="3404" w:type="dxa"/>
            <w:vAlign w:val="center"/>
          </w:tcPr>
          <w:p w14:paraId="63690F9D">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4.05</w:t>
            </w:r>
          </w:p>
        </w:tc>
      </w:tr>
      <w:tr w14:paraId="042D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2275" w:type="dxa"/>
            <w:vAlign w:val="center"/>
          </w:tcPr>
          <w:p w14:paraId="0F2E336F">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存放财务公司存款</w:t>
            </w:r>
          </w:p>
        </w:tc>
        <w:tc>
          <w:tcPr>
            <w:tcW w:w="3379" w:type="dxa"/>
            <w:vAlign w:val="center"/>
          </w:tcPr>
          <w:p w14:paraId="5BC57A56">
            <w:pPr>
              <w:tabs>
                <w:tab w:val="left" w:pos="2350"/>
              </w:tabs>
              <w:autoSpaceDE w:val="0"/>
              <w:autoSpaceDN w:val="0"/>
              <w:adjustRightInd w:val="0"/>
              <w:snapToGrid w:val="0"/>
              <w:spacing w:line="240" w:lineRule="atLeast"/>
              <w:jc w:val="right"/>
              <w:rPr>
                <w:rFonts w:ascii="Calibri" w:hAnsi="Calibri"/>
                <w:sz w:val="20"/>
                <w:szCs w:val="20"/>
              </w:rPr>
            </w:pPr>
          </w:p>
        </w:tc>
        <w:tc>
          <w:tcPr>
            <w:tcW w:w="3404" w:type="dxa"/>
            <w:vAlign w:val="center"/>
          </w:tcPr>
          <w:p w14:paraId="5969D94D">
            <w:pPr>
              <w:autoSpaceDE w:val="0"/>
              <w:autoSpaceDN w:val="0"/>
              <w:adjustRightInd w:val="0"/>
              <w:snapToGrid w:val="0"/>
              <w:spacing w:line="240" w:lineRule="atLeast"/>
              <w:jc w:val="right"/>
              <w:rPr>
                <w:rFonts w:ascii="Calibri" w:hAnsi="Calibri"/>
                <w:sz w:val="20"/>
                <w:szCs w:val="20"/>
              </w:rPr>
            </w:pPr>
          </w:p>
        </w:tc>
      </w:tr>
      <w:tr w14:paraId="1FA2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2275" w:type="dxa"/>
            <w:vAlign w:val="center"/>
          </w:tcPr>
          <w:p w14:paraId="153F0BDD">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合计</w:t>
            </w:r>
          </w:p>
        </w:tc>
        <w:tc>
          <w:tcPr>
            <w:tcW w:w="3379" w:type="dxa"/>
            <w:vAlign w:val="center"/>
          </w:tcPr>
          <w:p w14:paraId="45AA46CC">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1,433,834,623.49</w:t>
            </w:r>
          </w:p>
        </w:tc>
        <w:tc>
          <w:tcPr>
            <w:tcW w:w="3404" w:type="dxa"/>
            <w:vAlign w:val="center"/>
          </w:tcPr>
          <w:p w14:paraId="07B37A09">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590,195,292.13</w:t>
            </w:r>
          </w:p>
        </w:tc>
      </w:tr>
      <w:tr w14:paraId="0665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2275" w:type="dxa"/>
            <w:vAlign w:val="center"/>
          </w:tcPr>
          <w:p w14:paraId="7241A269">
            <w:pPr>
              <w:autoSpaceDE w:val="0"/>
              <w:autoSpaceDN w:val="0"/>
              <w:adjustRightInd w:val="0"/>
              <w:snapToGrid w:val="0"/>
              <w:ind w:firstLine="400" w:firstLineChars="200"/>
              <w:rPr>
                <w:rFonts w:ascii="Calibri" w:hAnsi="Calibri"/>
                <w:sz w:val="20"/>
                <w:szCs w:val="20"/>
              </w:rPr>
            </w:pPr>
            <w:r>
              <w:rPr>
                <w:rFonts w:hint="eastAsia" w:ascii="Calibri" w:hAnsi="Calibri"/>
                <w:sz w:val="20"/>
                <w:szCs w:val="20"/>
              </w:rPr>
              <w:t>其中：存放在境外的款项总额</w:t>
            </w:r>
          </w:p>
        </w:tc>
        <w:tc>
          <w:tcPr>
            <w:tcW w:w="3379" w:type="dxa"/>
            <w:vAlign w:val="center"/>
          </w:tcPr>
          <w:p w14:paraId="40B8E01C">
            <w:pPr>
              <w:autoSpaceDE w:val="0"/>
              <w:autoSpaceDN w:val="0"/>
              <w:adjustRightInd w:val="0"/>
              <w:snapToGrid w:val="0"/>
              <w:spacing w:line="240" w:lineRule="atLeast"/>
              <w:jc w:val="right"/>
              <w:rPr>
                <w:rFonts w:ascii="Calibri" w:hAnsi="Calibri"/>
                <w:sz w:val="20"/>
                <w:szCs w:val="20"/>
              </w:rPr>
            </w:pPr>
          </w:p>
        </w:tc>
        <w:tc>
          <w:tcPr>
            <w:tcW w:w="3404" w:type="dxa"/>
            <w:vAlign w:val="center"/>
          </w:tcPr>
          <w:p w14:paraId="29DB1059">
            <w:pPr>
              <w:autoSpaceDE w:val="0"/>
              <w:autoSpaceDN w:val="0"/>
              <w:adjustRightInd w:val="0"/>
              <w:snapToGrid w:val="0"/>
              <w:spacing w:line="240" w:lineRule="atLeast"/>
              <w:jc w:val="right"/>
              <w:rPr>
                <w:rFonts w:ascii="Calibri" w:hAnsi="Calibri"/>
                <w:sz w:val="20"/>
                <w:szCs w:val="20"/>
              </w:rPr>
            </w:pPr>
          </w:p>
        </w:tc>
      </w:tr>
    </w:tbl>
    <w:p w14:paraId="6750545E">
      <w:pPr>
        <w:pStyle w:val="48"/>
      </w:pPr>
    </w:p>
    <w:p w14:paraId="5C7E4FBD">
      <w:pPr>
        <w:pStyle w:val="48"/>
      </w:pPr>
    </w:p>
    <w:p w14:paraId="4C9C3A15">
      <w:pPr>
        <w:pStyle w:val="4"/>
        <w:numPr>
          <w:ilvl w:val="0"/>
          <w:numId w:val="61"/>
        </w:numPr>
        <w:rPr>
          <w:szCs w:val="21"/>
        </w:rPr>
      </w:pPr>
      <w:r>
        <w:rPr>
          <w:szCs w:val="21"/>
        </w:rPr>
        <w:t>交易性金融资产</w:t>
      </w:r>
    </w:p>
    <w:sdt>
      <w:sdtPr>
        <w:alias w:val="是否适用：交易性金融资产[双击切换]"/>
        <w:tag w:val="_GBC_c852c730c6fa4a3e8930f5cbbab9909f"/>
        <w:id w:val="918133051"/>
        <w:placeholder>
          <w:docPart w:val="GBC22222222222222222222222222222"/>
        </w:placeholder>
      </w:sdtPr>
      <w:sdtContent>
        <w:p w14:paraId="658DBDD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9BADDD5">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5510729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交易性金融资产"/>
          <w:tag w:val="_GBC_e8e3367ec5e14f73842c7a3ca8b264a2"/>
          <w:id w:val="-2458066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2068"/>
        <w:gridCol w:w="2086"/>
        <w:gridCol w:w="2087"/>
      </w:tblGrid>
      <w:tr w14:paraId="7A5C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b99f59eccaa43478dfbfc184cd2ce48"/>
            <w:id w:val="-1915613544"/>
          </w:sdtPr>
          <w:sdtContent>
            <w:tc>
              <w:tcPr>
                <w:tcW w:w="2808" w:type="dxa"/>
                <w:vAlign w:val="center"/>
              </w:tcPr>
              <w:p w14:paraId="455331CF">
                <w:pPr>
                  <w:jc w:val="center"/>
                  <w:rPr>
                    <w:rFonts w:ascii="Calibri" w:hAnsi="Calibri"/>
                    <w:sz w:val="20"/>
                    <w:szCs w:val="20"/>
                  </w:rPr>
                </w:pPr>
                <w:r>
                  <w:rPr>
                    <w:rFonts w:hint="eastAsia" w:ascii="Calibri" w:hAnsi="Calibri"/>
                    <w:sz w:val="20"/>
                    <w:szCs w:val="20"/>
                  </w:rPr>
                  <w:t>项目</w:t>
                </w:r>
              </w:p>
            </w:tc>
          </w:sdtContent>
        </w:sdt>
        <w:sdt>
          <w:sdtPr>
            <w:tag w:val="_PLD_caf9d9000b3e44c1817249ef4121d5db"/>
            <w:id w:val="645554318"/>
          </w:sdtPr>
          <w:sdtContent>
            <w:tc>
              <w:tcPr>
                <w:tcW w:w="2068" w:type="dxa"/>
                <w:vAlign w:val="center"/>
              </w:tcPr>
              <w:p w14:paraId="6C5873D2">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期末余额</w:t>
                </w:r>
              </w:p>
            </w:tc>
          </w:sdtContent>
        </w:sdt>
        <w:sdt>
          <w:sdtPr>
            <w:tag w:val="_PLD_fd58d8f4bb044aef9b5735371503f591"/>
            <w:id w:val="1918596024"/>
          </w:sdtPr>
          <w:sdtContent>
            <w:tc>
              <w:tcPr>
                <w:tcW w:w="2086" w:type="dxa"/>
                <w:vAlign w:val="center"/>
              </w:tcPr>
              <w:p w14:paraId="57109968">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期初余额</w:t>
                </w:r>
              </w:p>
            </w:tc>
          </w:sdtContent>
        </w:sdt>
        <w:tc>
          <w:tcPr>
            <w:tcW w:w="2087" w:type="dxa"/>
            <w:vAlign w:val="center"/>
          </w:tcPr>
          <w:sdt>
            <w:sdtPr>
              <w:tag w:val="_PLD_e55b7f6937ab489e93d6d5561f99f11e"/>
              <w:id w:val="-1365282887"/>
            </w:sdtPr>
            <w:sdtContent>
              <w:p w14:paraId="57B295EF">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指定理由和依据</w:t>
                </w:r>
              </w:p>
            </w:sdtContent>
          </w:sdt>
        </w:tc>
      </w:tr>
      <w:tr w14:paraId="39E9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center"/>
          </w:tcPr>
          <w:p w14:paraId="5AA1E038">
            <w:pPr>
              <w:autoSpaceDE w:val="0"/>
              <w:autoSpaceDN w:val="0"/>
              <w:adjustRightInd w:val="0"/>
              <w:rPr>
                <w:rFonts w:ascii="Calibri" w:hAnsi="Calibri"/>
                <w:sz w:val="20"/>
                <w:szCs w:val="20"/>
              </w:rPr>
            </w:pPr>
            <w:r>
              <w:rPr>
                <w:rFonts w:hint="eastAsia" w:ascii="Calibri" w:hAnsi="Calibri"/>
                <w:sz w:val="20"/>
                <w:szCs w:val="20"/>
              </w:rPr>
              <w:t>指定以公允价值计量且其变动计入当期损益的金融资产</w:t>
            </w:r>
          </w:p>
        </w:tc>
        <w:tc>
          <w:tcPr>
            <w:tcW w:w="2068" w:type="dxa"/>
            <w:vAlign w:val="center"/>
          </w:tcPr>
          <w:p w14:paraId="0D4EB911">
            <w:pPr>
              <w:jc w:val="right"/>
              <w:rPr>
                <w:rFonts w:asciiTheme="minorHAnsi" w:hAnsiTheme="minorHAnsi" w:cstheme="minorHAnsi"/>
                <w:sz w:val="20"/>
                <w:szCs w:val="20"/>
              </w:rPr>
            </w:pPr>
            <w:r>
              <w:rPr>
                <w:rFonts w:asciiTheme="minorHAnsi" w:hAnsiTheme="minorHAnsi" w:cstheme="minorHAnsi"/>
                <w:sz w:val="20"/>
                <w:szCs w:val="20"/>
              </w:rPr>
              <w:t>63,218,438.36</w:t>
            </w:r>
          </w:p>
        </w:tc>
        <w:tc>
          <w:tcPr>
            <w:tcW w:w="2086" w:type="dxa"/>
            <w:vAlign w:val="center"/>
          </w:tcPr>
          <w:p w14:paraId="0E7B3F91">
            <w:pPr>
              <w:jc w:val="right"/>
              <w:rPr>
                <w:rFonts w:asciiTheme="minorHAnsi" w:hAnsiTheme="minorHAnsi" w:cstheme="minorHAnsi"/>
                <w:sz w:val="20"/>
                <w:szCs w:val="20"/>
              </w:rPr>
            </w:pPr>
            <w:r>
              <w:rPr>
                <w:rFonts w:asciiTheme="minorHAnsi" w:hAnsiTheme="minorHAnsi" w:cstheme="minorHAnsi"/>
                <w:sz w:val="20"/>
                <w:szCs w:val="20"/>
              </w:rPr>
              <w:t>55,400,927.52</w:t>
            </w:r>
          </w:p>
        </w:tc>
        <w:tc>
          <w:tcPr>
            <w:tcW w:w="2087" w:type="dxa"/>
            <w:vAlign w:val="center"/>
          </w:tcPr>
          <w:p w14:paraId="49747AD2">
            <w:pPr>
              <w:pStyle w:val="48"/>
              <w:rPr>
                <w:sz w:val="20"/>
                <w:szCs w:val="20"/>
              </w:rPr>
            </w:pPr>
          </w:p>
        </w:tc>
      </w:tr>
      <w:tr w14:paraId="08FA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1663a7b621f4b3eb912bf6125dd9966"/>
            <w:id w:val="911279241"/>
          </w:sdtPr>
          <w:sdtContent>
            <w:tc>
              <w:tcPr>
                <w:tcW w:w="9049" w:type="dxa"/>
                <w:gridSpan w:val="4"/>
                <w:vAlign w:val="center"/>
              </w:tcPr>
              <w:p w14:paraId="51A450B9">
                <w:pPr>
                  <w:pStyle w:val="48"/>
                  <w:rPr>
                    <w:sz w:val="20"/>
                    <w:szCs w:val="20"/>
                  </w:rPr>
                </w:pPr>
                <w:r>
                  <w:rPr>
                    <w:rFonts w:hint="eastAsia"/>
                    <w:sz w:val="20"/>
                    <w:szCs w:val="20"/>
                  </w:rPr>
                  <w:t>其中：</w:t>
                </w:r>
              </w:p>
            </w:tc>
          </w:sdtContent>
        </w:sdt>
      </w:tr>
      <w:tr w14:paraId="5CD0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center"/>
          </w:tcPr>
          <w:p w14:paraId="3639F3FE">
            <w:pPr>
              <w:autoSpaceDE w:val="0"/>
              <w:autoSpaceDN w:val="0"/>
              <w:adjustRightInd w:val="0"/>
              <w:ind w:firstLine="540" w:firstLineChars="270"/>
              <w:rPr>
                <w:rFonts w:ascii="Calibri" w:hAnsi="Calibri"/>
                <w:sz w:val="20"/>
                <w:szCs w:val="20"/>
              </w:rPr>
            </w:pPr>
            <w:bookmarkStart w:id="224" w:name="_Hlk533595247"/>
            <w:r>
              <w:rPr>
                <w:rFonts w:hint="eastAsia" w:ascii="Calibri" w:hAnsi="Calibri"/>
                <w:sz w:val="20"/>
                <w:szCs w:val="20"/>
              </w:rPr>
              <w:t>银行结构性理财产品</w:t>
            </w:r>
          </w:p>
        </w:tc>
        <w:tc>
          <w:tcPr>
            <w:tcW w:w="2068" w:type="dxa"/>
            <w:vAlign w:val="center"/>
          </w:tcPr>
          <w:p w14:paraId="209A1D71">
            <w:pPr>
              <w:jc w:val="right"/>
              <w:rPr>
                <w:rFonts w:asciiTheme="minorHAnsi" w:hAnsiTheme="minorHAnsi" w:cstheme="minorHAnsi"/>
                <w:sz w:val="20"/>
                <w:szCs w:val="20"/>
              </w:rPr>
            </w:pPr>
            <w:r>
              <w:rPr>
                <w:rFonts w:asciiTheme="minorHAnsi" w:hAnsiTheme="minorHAnsi" w:cstheme="minorHAnsi"/>
                <w:sz w:val="20"/>
                <w:szCs w:val="20"/>
              </w:rPr>
              <w:t>63,218,438.36</w:t>
            </w:r>
          </w:p>
        </w:tc>
        <w:tc>
          <w:tcPr>
            <w:tcW w:w="2086" w:type="dxa"/>
            <w:vAlign w:val="center"/>
          </w:tcPr>
          <w:p w14:paraId="70EB13D2">
            <w:pPr>
              <w:jc w:val="right"/>
              <w:rPr>
                <w:rFonts w:asciiTheme="minorHAnsi" w:hAnsiTheme="minorHAnsi" w:cstheme="minorHAnsi"/>
                <w:sz w:val="20"/>
                <w:szCs w:val="20"/>
              </w:rPr>
            </w:pPr>
            <w:r>
              <w:rPr>
                <w:rFonts w:asciiTheme="minorHAnsi" w:hAnsiTheme="minorHAnsi" w:cstheme="minorHAnsi"/>
                <w:sz w:val="20"/>
                <w:szCs w:val="20"/>
              </w:rPr>
              <w:t>55,400,927.52</w:t>
            </w:r>
          </w:p>
        </w:tc>
        <w:tc>
          <w:tcPr>
            <w:tcW w:w="2087" w:type="dxa"/>
            <w:vAlign w:val="center"/>
          </w:tcPr>
          <w:p w14:paraId="0E023427">
            <w:pPr>
              <w:pStyle w:val="48"/>
              <w:rPr>
                <w:sz w:val="20"/>
                <w:szCs w:val="20"/>
              </w:rPr>
            </w:pPr>
            <w:r>
              <w:rPr>
                <w:rFonts w:hint="eastAsia"/>
                <w:sz w:val="20"/>
                <w:szCs w:val="20"/>
              </w:rPr>
              <w:t>衍生金融工具</w:t>
            </w:r>
          </w:p>
        </w:tc>
      </w:tr>
      <w:bookmarkEnd w:id="224"/>
      <w:tr w14:paraId="6F3A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center"/>
          </w:tcPr>
          <w:p w14:paraId="441EDB73">
            <w:pPr>
              <w:jc w:val="center"/>
              <w:rPr>
                <w:rFonts w:ascii="Calibri" w:hAnsi="Calibri"/>
                <w:sz w:val="20"/>
                <w:szCs w:val="20"/>
              </w:rPr>
            </w:pPr>
            <w:r>
              <w:rPr>
                <w:rFonts w:hint="eastAsia" w:ascii="Calibri" w:hAnsi="Calibri"/>
                <w:sz w:val="20"/>
                <w:szCs w:val="20"/>
              </w:rPr>
              <w:t>合计</w:t>
            </w:r>
          </w:p>
        </w:tc>
        <w:tc>
          <w:tcPr>
            <w:tcW w:w="2068" w:type="dxa"/>
            <w:vAlign w:val="center"/>
          </w:tcPr>
          <w:p w14:paraId="72245CB5">
            <w:pPr>
              <w:jc w:val="right"/>
              <w:rPr>
                <w:rFonts w:asciiTheme="minorHAnsi" w:hAnsiTheme="minorHAnsi" w:cstheme="minorHAnsi"/>
                <w:sz w:val="20"/>
                <w:szCs w:val="20"/>
              </w:rPr>
            </w:pPr>
            <w:r>
              <w:rPr>
                <w:rFonts w:asciiTheme="minorHAnsi" w:hAnsiTheme="minorHAnsi" w:cstheme="minorHAnsi"/>
                <w:sz w:val="20"/>
                <w:szCs w:val="20"/>
              </w:rPr>
              <w:t>63,218,438.36</w:t>
            </w:r>
          </w:p>
        </w:tc>
        <w:tc>
          <w:tcPr>
            <w:tcW w:w="2086" w:type="dxa"/>
            <w:vAlign w:val="center"/>
          </w:tcPr>
          <w:p w14:paraId="437CA60E">
            <w:pPr>
              <w:jc w:val="right"/>
              <w:rPr>
                <w:rFonts w:asciiTheme="minorHAnsi" w:hAnsiTheme="minorHAnsi" w:cstheme="minorHAnsi"/>
                <w:sz w:val="20"/>
                <w:szCs w:val="20"/>
              </w:rPr>
            </w:pPr>
            <w:r>
              <w:rPr>
                <w:rFonts w:asciiTheme="minorHAnsi" w:hAnsiTheme="minorHAnsi" w:cstheme="minorHAnsi"/>
                <w:sz w:val="20"/>
                <w:szCs w:val="20"/>
              </w:rPr>
              <w:t>55,400,927.52</w:t>
            </w:r>
          </w:p>
        </w:tc>
        <w:tc>
          <w:tcPr>
            <w:tcW w:w="2087" w:type="dxa"/>
            <w:vAlign w:val="center"/>
          </w:tcPr>
          <w:p w14:paraId="43AE67B5">
            <w:pPr>
              <w:jc w:val="right"/>
              <w:rPr>
                <w:rFonts w:ascii="Calibri" w:hAnsi="Calibri"/>
                <w:sz w:val="20"/>
                <w:szCs w:val="20"/>
              </w:rPr>
            </w:pPr>
            <w:r>
              <w:rPr>
                <w:rFonts w:hint="eastAsia" w:ascii="Calibri" w:hAnsi="Calibri"/>
                <w:sz w:val="20"/>
                <w:szCs w:val="20"/>
              </w:rPr>
              <w:t>/</w:t>
            </w:r>
          </w:p>
        </w:tc>
      </w:tr>
    </w:tbl>
    <w:p w14:paraId="7C6155B7">
      <w:pPr>
        <w:pStyle w:val="48"/>
      </w:pPr>
      <w:r>
        <w:rPr>
          <w:rFonts w:hint="eastAsia"/>
        </w:rPr>
        <w:t>其他</w:t>
      </w:r>
      <w:r>
        <w:t>说明：</w:t>
      </w:r>
    </w:p>
    <w:sdt>
      <w:sdtPr>
        <w:alias w:val="是否适用：交易性金融资产的说明[双击切换]"/>
        <w:tag w:val="_GBC_9bed9315a85147e7ac11c2b4bac78358"/>
        <w:id w:val="1352910729"/>
        <w:placeholder>
          <w:docPart w:val="GBC22222222222222222222222222222"/>
        </w:placeholder>
      </w:sdtPr>
      <w:sdtContent>
        <w:p w14:paraId="008681F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Calibri" w:hAnsi="Calibri"/>
          <w:kern w:val="2"/>
        </w:rPr>
        <w:alias w:val="交易性金融资产的说明"/>
        <w:tag w:val="_GBC_20a177fc99e145c4bb7b3119682db963"/>
        <w:id w:val="713168251"/>
        <w:placeholder>
          <w:docPart w:val="GBC22222222222222222222222222222"/>
        </w:placeholder>
      </w:sdtPr>
      <w:sdtEndPr>
        <w:rPr>
          <w:rFonts w:ascii="Calibri" w:hAnsi="Calibri"/>
          <w:kern w:val="2"/>
        </w:rPr>
      </w:sdtEndPr>
      <w:sdtContent>
        <w:p w14:paraId="5FA0BF79">
          <w:pPr>
            <w:spacing w:before="120" w:beforeLines="50"/>
            <w:ind w:firstLine="420" w:firstLineChars="200"/>
            <w:rPr>
              <w:rFonts w:ascii="宋体" w:hAnsi="宋体"/>
              <w:kern w:val="2"/>
            </w:rPr>
          </w:pPr>
          <w:r>
            <w:rPr>
              <w:rFonts w:ascii="宋体" w:hAnsi="宋体"/>
              <w:kern w:val="2"/>
            </w:rPr>
            <w:t>银行结构性理财产品说明如下：</w:t>
          </w:r>
        </w:p>
        <w:p w14:paraId="08B2B4F5">
          <w:pPr>
            <w:spacing w:before="120" w:beforeLines="50"/>
            <w:ind w:firstLine="420" w:firstLineChars="200"/>
            <w:jc w:val="right"/>
            <w:rPr>
              <w:kern w:val="2"/>
            </w:rPr>
          </w:pPr>
          <w:r>
            <w:rPr>
              <w:rFonts w:hint="eastAsia"/>
              <w:kern w:val="2"/>
            </w:rPr>
            <w:t>单位：</w:t>
          </w:r>
          <w:sdt>
            <w:sdtPr>
              <w:rPr>
                <w:rFonts w:hint="eastAsia"/>
                <w:kern w:val="2"/>
              </w:rPr>
              <w:alias w:val="单位：财务附注：交易性金融资产"/>
              <w:tag w:val="_GBC_cba5007820a8401a8539607d9d055f75"/>
              <w:id w:val="643784689"/>
              <w:placeholder>
                <w:docPart w:val="2B6583D4F181483CB9E35AB5440E2843"/>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kern w:val="2"/>
              </w:rPr>
            </w:sdtEndPr>
            <w:sdtContent>
              <w:r>
                <w:rPr>
                  <w:rFonts w:hint="eastAsia"/>
                  <w:kern w:val="2"/>
                </w:rPr>
                <w:t>元</w:t>
              </w:r>
            </w:sdtContent>
          </w:sdt>
          <w:r>
            <w:rPr>
              <w:rFonts w:hint="eastAsia"/>
              <w:kern w:val="2"/>
            </w:rPr>
            <w:t xml:space="preserve">  币种：</w:t>
          </w:r>
          <w:sdt>
            <w:sdtPr>
              <w:rPr>
                <w:rFonts w:hint="eastAsia"/>
                <w:kern w:val="2"/>
              </w:rPr>
              <w:alias w:val="币种：财务附注：交易性金融资产"/>
              <w:tag w:val="_GBC_e8e3367ec5e14f73842c7a3ca8b264a2"/>
              <w:id w:val="-178205828"/>
              <w:placeholder>
                <w:docPart w:val="2B6583D4F181483CB9E35AB5440E284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kern w:val="2"/>
              </w:rPr>
            </w:sdtEndPr>
            <w:sdtContent>
              <w:r>
                <w:rPr>
                  <w:rFonts w:hint="eastAsia"/>
                  <w:kern w:val="2"/>
                </w:rPr>
                <w:t>人民币</w:t>
              </w:r>
            </w:sdtContent>
          </w:sdt>
        </w:p>
        <w:tbl>
          <w:tblPr>
            <w:tblStyle w:val="19"/>
            <w:tblW w:w="906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696"/>
            <w:gridCol w:w="1411"/>
            <w:gridCol w:w="1411"/>
            <w:gridCol w:w="1411"/>
            <w:gridCol w:w="2010"/>
            <w:gridCol w:w="1130"/>
          </w:tblGrid>
          <w:tr w14:paraId="606CFE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35" w:type="pct"/>
                <w:tcBorders>
                  <w:top w:val="single" w:color="auto" w:sz="12" w:space="0"/>
                  <w:left w:val="nil"/>
                  <w:bottom w:val="single" w:color="auto" w:sz="2" w:space="0"/>
                  <w:right w:val="single" w:color="auto" w:sz="2" w:space="0"/>
                </w:tcBorders>
                <w:vAlign w:val="center"/>
              </w:tcPr>
              <w:p w14:paraId="54EFE852">
                <w:pPr>
                  <w:widowControl w:val="0"/>
                  <w:autoSpaceDE w:val="0"/>
                  <w:autoSpaceDN w:val="0"/>
                  <w:adjustRightInd w:val="0"/>
                  <w:jc w:val="center"/>
                  <w:rPr>
                    <w:kern w:val="2"/>
                    <w:sz w:val="18"/>
                    <w:szCs w:val="18"/>
                  </w:rPr>
                </w:pPr>
                <w:r>
                  <w:rPr>
                    <w:rFonts w:ascii="宋体" w:hAnsi="宋体"/>
                    <w:kern w:val="2"/>
                    <w:sz w:val="18"/>
                    <w:szCs w:val="18"/>
                  </w:rPr>
                  <w:t>存放银行</w:t>
                </w:r>
              </w:p>
            </w:tc>
            <w:tc>
              <w:tcPr>
                <w:tcW w:w="778" w:type="pct"/>
                <w:tcBorders>
                  <w:top w:val="single" w:color="auto" w:sz="12" w:space="0"/>
                  <w:left w:val="single" w:color="auto" w:sz="2" w:space="0"/>
                  <w:bottom w:val="single" w:color="auto" w:sz="2" w:space="0"/>
                  <w:right w:val="single" w:color="auto" w:sz="2" w:space="0"/>
                </w:tcBorders>
                <w:vAlign w:val="center"/>
              </w:tcPr>
              <w:p w14:paraId="40FF609D">
                <w:pPr>
                  <w:widowControl w:val="0"/>
                  <w:autoSpaceDE w:val="0"/>
                  <w:autoSpaceDN w:val="0"/>
                  <w:adjustRightInd w:val="0"/>
                  <w:jc w:val="center"/>
                  <w:rPr>
                    <w:kern w:val="2"/>
                    <w:sz w:val="18"/>
                    <w:szCs w:val="18"/>
                  </w:rPr>
                </w:pPr>
                <w:r>
                  <w:rPr>
                    <w:rFonts w:ascii="宋体" w:hAnsi="宋体"/>
                    <w:kern w:val="2"/>
                    <w:sz w:val="18"/>
                    <w:szCs w:val="18"/>
                  </w:rPr>
                  <w:t>理财产品特征</w:t>
                </w:r>
              </w:p>
            </w:tc>
            <w:tc>
              <w:tcPr>
                <w:tcW w:w="778" w:type="pct"/>
                <w:tcBorders>
                  <w:top w:val="single" w:color="auto" w:sz="12" w:space="0"/>
                  <w:left w:val="single" w:color="auto" w:sz="2" w:space="0"/>
                  <w:bottom w:val="single" w:color="auto" w:sz="2" w:space="0"/>
                  <w:right w:val="single" w:color="auto" w:sz="2" w:space="0"/>
                </w:tcBorders>
                <w:vAlign w:val="center"/>
              </w:tcPr>
              <w:p w14:paraId="2E7C03BE">
                <w:pPr>
                  <w:widowControl w:val="0"/>
                  <w:jc w:val="center"/>
                  <w:rPr>
                    <w:kern w:val="2"/>
                    <w:sz w:val="18"/>
                    <w:szCs w:val="18"/>
                  </w:rPr>
                </w:pPr>
                <w:r>
                  <w:rPr>
                    <w:rFonts w:ascii="宋体" w:hAnsi="宋体"/>
                    <w:kern w:val="2"/>
                    <w:sz w:val="18"/>
                    <w:szCs w:val="18"/>
                  </w:rPr>
                  <w:t>本金</w:t>
                </w:r>
              </w:p>
            </w:tc>
            <w:tc>
              <w:tcPr>
                <w:tcW w:w="778" w:type="pct"/>
                <w:tcBorders>
                  <w:top w:val="single" w:color="auto" w:sz="12" w:space="0"/>
                  <w:left w:val="single" w:color="auto" w:sz="2" w:space="0"/>
                  <w:bottom w:val="single" w:color="auto" w:sz="2" w:space="0"/>
                  <w:right w:val="single" w:color="auto" w:sz="2" w:space="0"/>
                </w:tcBorders>
                <w:vAlign w:val="center"/>
              </w:tcPr>
              <w:p w14:paraId="7A6E4CCB">
                <w:pPr>
                  <w:widowControl w:val="0"/>
                  <w:jc w:val="center"/>
                  <w:rPr>
                    <w:kern w:val="2"/>
                    <w:sz w:val="18"/>
                    <w:szCs w:val="18"/>
                  </w:rPr>
                </w:pPr>
                <w:r>
                  <w:rPr>
                    <w:rFonts w:ascii="宋体" w:hAnsi="宋体"/>
                    <w:kern w:val="2"/>
                    <w:sz w:val="18"/>
                    <w:szCs w:val="18"/>
                  </w:rPr>
                  <w:t>公允价值变动</w:t>
                </w:r>
              </w:p>
            </w:tc>
            <w:tc>
              <w:tcPr>
                <w:tcW w:w="1108" w:type="pct"/>
                <w:tcBorders>
                  <w:top w:val="single" w:color="auto" w:sz="12" w:space="0"/>
                  <w:left w:val="single" w:color="auto" w:sz="2" w:space="0"/>
                  <w:bottom w:val="single" w:color="auto" w:sz="2" w:space="0"/>
                  <w:right w:val="single" w:color="auto" w:sz="2" w:space="0"/>
                </w:tcBorders>
                <w:vAlign w:val="center"/>
              </w:tcPr>
              <w:p w14:paraId="4F0ED560">
                <w:pPr>
                  <w:widowControl w:val="0"/>
                  <w:jc w:val="center"/>
                  <w:rPr>
                    <w:kern w:val="2"/>
                    <w:sz w:val="18"/>
                    <w:szCs w:val="18"/>
                  </w:rPr>
                </w:pPr>
                <w:r>
                  <w:rPr>
                    <w:rFonts w:ascii="宋体" w:hAnsi="宋体"/>
                    <w:kern w:val="2"/>
                    <w:sz w:val="18"/>
                    <w:szCs w:val="18"/>
                  </w:rPr>
                  <w:t>收益区间</w:t>
                </w:r>
              </w:p>
            </w:tc>
            <w:tc>
              <w:tcPr>
                <w:tcW w:w="623" w:type="pct"/>
                <w:tcBorders>
                  <w:top w:val="single" w:color="auto" w:sz="12" w:space="0"/>
                  <w:left w:val="single" w:color="auto" w:sz="2" w:space="0"/>
                  <w:bottom w:val="single" w:color="auto" w:sz="2" w:space="0"/>
                  <w:right w:val="nil"/>
                </w:tcBorders>
                <w:vAlign w:val="center"/>
              </w:tcPr>
              <w:p w14:paraId="3A4FAE73">
                <w:pPr>
                  <w:widowControl w:val="0"/>
                  <w:jc w:val="center"/>
                  <w:rPr>
                    <w:kern w:val="2"/>
                    <w:sz w:val="18"/>
                    <w:szCs w:val="18"/>
                  </w:rPr>
                </w:pPr>
                <w:r>
                  <w:rPr>
                    <w:rFonts w:ascii="宋体" w:hAnsi="宋体"/>
                    <w:kern w:val="2"/>
                    <w:sz w:val="18"/>
                    <w:szCs w:val="18"/>
                  </w:rPr>
                  <w:t>产品到期日</w:t>
                </w:r>
              </w:p>
            </w:tc>
          </w:tr>
          <w:tr w14:paraId="050B79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35" w:type="pct"/>
                <w:tcBorders>
                  <w:top w:val="single" w:color="auto" w:sz="2" w:space="0"/>
                  <w:left w:val="nil"/>
                  <w:bottom w:val="single" w:color="auto" w:sz="2" w:space="0"/>
                  <w:right w:val="single" w:color="auto" w:sz="2" w:space="0"/>
                </w:tcBorders>
                <w:vAlign w:val="center"/>
              </w:tcPr>
              <w:p w14:paraId="3243A950">
                <w:pPr>
                  <w:widowControl w:val="0"/>
                  <w:autoSpaceDE w:val="0"/>
                  <w:autoSpaceDN w:val="0"/>
                  <w:adjustRightInd w:val="0"/>
                  <w:jc w:val="both"/>
                  <w:rPr>
                    <w:sz w:val="18"/>
                    <w:szCs w:val="18"/>
                    <w:highlight w:val="yellow"/>
                  </w:rPr>
                </w:pPr>
                <w:r>
                  <w:rPr>
                    <w:rFonts w:hint="eastAsia" w:ascii="宋体" w:hAnsi="宋体"/>
                    <w:color w:val="000000"/>
                    <w:sz w:val="18"/>
                    <w:szCs w:val="18"/>
                  </w:rPr>
                  <w:t>交通银行股份有限公司北京自贸试验区支行</w:t>
                </w:r>
              </w:p>
            </w:tc>
            <w:tc>
              <w:tcPr>
                <w:tcW w:w="778" w:type="pct"/>
                <w:tcBorders>
                  <w:top w:val="single" w:color="auto" w:sz="2" w:space="0"/>
                  <w:left w:val="single" w:color="auto" w:sz="2" w:space="0"/>
                  <w:bottom w:val="single" w:color="auto" w:sz="2" w:space="0"/>
                  <w:right w:val="single" w:color="auto" w:sz="2" w:space="0"/>
                </w:tcBorders>
                <w:vAlign w:val="center"/>
              </w:tcPr>
              <w:p w14:paraId="75BDE6A9">
                <w:pPr>
                  <w:widowControl w:val="0"/>
                  <w:autoSpaceDE w:val="0"/>
                  <w:autoSpaceDN w:val="0"/>
                  <w:adjustRightInd w:val="0"/>
                  <w:jc w:val="center"/>
                  <w:rPr>
                    <w:sz w:val="18"/>
                    <w:szCs w:val="18"/>
                    <w:highlight w:val="yellow"/>
                  </w:rPr>
                </w:pPr>
                <w:r>
                  <w:rPr>
                    <w:rFonts w:hint="eastAsia" w:ascii="宋体" w:hAnsi="宋体"/>
                    <w:color w:val="000000"/>
                    <w:sz w:val="18"/>
                    <w:szCs w:val="18"/>
                  </w:rPr>
                  <w:t>结构性存款</w:t>
                </w:r>
              </w:p>
            </w:tc>
            <w:tc>
              <w:tcPr>
                <w:tcW w:w="778" w:type="pct"/>
                <w:tcBorders>
                  <w:top w:val="single" w:color="auto" w:sz="2" w:space="0"/>
                  <w:left w:val="single" w:color="auto" w:sz="2" w:space="0"/>
                  <w:bottom w:val="single" w:color="auto" w:sz="2" w:space="0"/>
                  <w:right w:val="single" w:color="auto" w:sz="2" w:space="0"/>
                </w:tcBorders>
                <w:vAlign w:val="center"/>
              </w:tcPr>
              <w:p w14:paraId="53E907AD">
                <w:pPr>
                  <w:widowControl w:val="0"/>
                  <w:adjustRightInd w:val="0"/>
                  <w:snapToGrid w:val="0"/>
                  <w:jc w:val="right"/>
                  <w:rPr>
                    <w:rFonts w:asciiTheme="minorHAnsi" w:hAnsiTheme="minorHAnsi" w:cstheme="minorHAnsi"/>
                    <w:sz w:val="18"/>
                    <w:szCs w:val="18"/>
                    <w:highlight w:val="yellow"/>
                  </w:rPr>
                </w:pPr>
                <w:r>
                  <w:rPr>
                    <w:rFonts w:asciiTheme="minorHAnsi" w:hAnsiTheme="minorHAnsi" w:cstheme="minorHAnsi"/>
                    <w:color w:val="000000"/>
                    <w:sz w:val="18"/>
                    <w:szCs w:val="18"/>
                  </w:rPr>
                  <w:t>25,000,000.00</w:t>
                </w:r>
              </w:p>
            </w:tc>
            <w:tc>
              <w:tcPr>
                <w:tcW w:w="778" w:type="pct"/>
                <w:tcBorders>
                  <w:top w:val="single" w:color="auto" w:sz="2" w:space="0"/>
                  <w:left w:val="single" w:color="auto" w:sz="2" w:space="0"/>
                  <w:bottom w:val="single" w:color="auto" w:sz="2" w:space="0"/>
                  <w:right w:val="single" w:color="auto" w:sz="2" w:space="0"/>
                </w:tcBorders>
                <w:vAlign w:val="center"/>
              </w:tcPr>
              <w:p w14:paraId="57B1F8A0">
                <w:pPr>
                  <w:widowControl w:val="0"/>
                  <w:adjustRightInd w:val="0"/>
                  <w:snapToGrid w:val="0"/>
                  <w:jc w:val="right"/>
                  <w:rPr>
                    <w:rFonts w:asciiTheme="minorHAnsi" w:hAnsiTheme="minorHAnsi" w:cstheme="minorHAnsi"/>
                    <w:sz w:val="18"/>
                    <w:szCs w:val="18"/>
                    <w:highlight w:val="yellow"/>
                  </w:rPr>
                </w:pPr>
                <w:r>
                  <w:rPr>
                    <w:rFonts w:asciiTheme="minorHAnsi" w:hAnsiTheme="minorHAnsi" w:cstheme="minorHAnsi"/>
                    <w:color w:val="000000"/>
                    <w:sz w:val="18"/>
                    <w:szCs w:val="18"/>
                  </w:rPr>
                  <w:t>146,986.31</w:t>
                </w:r>
              </w:p>
            </w:tc>
            <w:tc>
              <w:tcPr>
                <w:tcW w:w="1108" w:type="pct"/>
                <w:tcBorders>
                  <w:top w:val="single" w:color="auto" w:sz="2" w:space="0"/>
                  <w:left w:val="single" w:color="auto" w:sz="2" w:space="0"/>
                  <w:bottom w:val="single" w:color="auto" w:sz="2" w:space="0"/>
                  <w:right w:val="single" w:color="auto" w:sz="2" w:space="0"/>
                </w:tcBorders>
                <w:vAlign w:val="center"/>
              </w:tcPr>
              <w:p w14:paraId="33DC29DE">
                <w:pPr>
                  <w:widowControl w:val="0"/>
                  <w:autoSpaceDE w:val="0"/>
                  <w:autoSpaceDN w:val="0"/>
                  <w:adjustRightInd w:val="0"/>
                  <w:jc w:val="right"/>
                  <w:rPr>
                    <w:rFonts w:asciiTheme="minorHAnsi" w:hAnsiTheme="minorHAnsi" w:cstheme="minorHAnsi"/>
                    <w:sz w:val="18"/>
                    <w:szCs w:val="18"/>
                    <w:highlight w:val="yellow"/>
                  </w:rPr>
                </w:pPr>
                <w:r>
                  <w:rPr>
                    <w:rFonts w:asciiTheme="minorHAnsi" w:hAnsiTheme="minorHAnsi" w:cstheme="minorHAnsi"/>
                    <w:color w:val="000000"/>
                    <w:sz w:val="18"/>
                    <w:szCs w:val="18"/>
                  </w:rPr>
                  <w:t>1.65%-1.45%-0.85%</w:t>
                </w:r>
              </w:p>
            </w:tc>
            <w:tc>
              <w:tcPr>
                <w:tcW w:w="623" w:type="pct"/>
                <w:tcBorders>
                  <w:top w:val="single" w:color="auto" w:sz="2" w:space="0"/>
                  <w:left w:val="single" w:color="auto" w:sz="2" w:space="0"/>
                  <w:bottom w:val="single" w:color="auto" w:sz="2" w:space="0"/>
                  <w:right w:val="nil"/>
                </w:tcBorders>
                <w:vAlign w:val="center"/>
              </w:tcPr>
              <w:p w14:paraId="1CB5727B">
                <w:pPr>
                  <w:widowControl w:val="0"/>
                  <w:jc w:val="center"/>
                  <w:rPr>
                    <w:rFonts w:asciiTheme="minorHAnsi" w:hAnsiTheme="minorHAnsi" w:cstheme="minorHAnsi"/>
                    <w:kern w:val="2"/>
                    <w:sz w:val="18"/>
                    <w:szCs w:val="18"/>
                    <w:highlight w:val="yellow"/>
                  </w:rPr>
                </w:pPr>
                <w:r>
                  <w:rPr>
                    <w:rFonts w:asciiTheme="minorHAnsi" w:hAnsiTheme="minorHAnsi" w:cstheme="minorHAnsi"/>
                    <w:color w:val="000000"/>
                    <w:sz w:val="18"/>
                    <w:szCs w:val="18"/>
                  </w:rPr>
                  <w:t>2026/8/10</w:t>
                </w:r>
              </w:p>
            </w:tc>
          </w:tr>
          <w:tr w14:paraId="3ED024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35" w:type="pct"/>
                <w:tcBorders>
                  <w:top w:val="single" w:color="auto" w:sz="2" w:space="0"/>
                  <w:left w:val="nil"/>
                  <w:bottom w:val="single" w:color="auto" w:sz="2" w:space="0"/>
                  <w:right w:val="single" w:color="auto" w:sz="2" w:space="0"/>
                </w:tcBorders>
                <w:vAlign w:val="center"/>
              </w:tcPr>
              <w:p w14:paraId="012BAD60">
                <w:pPr>
                  <w:widowControl w:val="0"/>
                  <w:autoSpaceDE w:val="0"/>
                  <w:autoSpaceDN w:val="0"/>
                  <w:adjustRightInd w:val="0"/>
                  <w:jc w:val="both"/>
                  <w:rPr>
                    <w:sz w:val="18"/>
                    <w:szCs w:val="18"/>
                    <w:highlight w:val="yellow"/>
                  </w:rPr>
                </w:pPr>
                <w:r>
                  <w:rPr>
                    <w:rFonts w:hint="eastAsia" w:ascii="宋体" w:hAnsi="宋体"/>
                    <w:color w:val="000000"/>
                    <w:sz w:val="18"/>
                    <w:szCs w:val="18"/>
                  </w:rPr>
                  <w:t>交通银行股份有限公司北京自贸试验区支行</w:t>
                </w:r>
              </w:p>
            </w:tc>
            <w:tc>
              <w:tcPr>
                <w:tcW w:w="778" w:type="pct"/>
                <w:tcBorders>
                  <w:top w:val="single" w:color="auto" w:sz="2" w:space="0"/>
                  <w:left w:val="single" w:color="auto" w:sz="2" w:space="0"/>
                  <w:bottom w:val="single" w:color="auto" w:sz="2" w:space="0"/>
                  <w:right w:val="single" w:color="auto" w:sz="2" w:space="0"/>
                </w:tcBorders>
                <w:vAlign w:val="center"/>
              </w:tcPr>
              <w:p w14:paraId="143F2B7E">
                <w:pPr>
                  <w:widowControl w:val="0"/>
                  <w:autoSpaceDE w:val="0"/>
                  <w:autoSpaceDN w:val="0"/>
                  <w:adjustRightInd w:val="0"/>
                  <w:jc w:val="center"/>
                  <w:rPr>
                    <w:sz w:val="18"/>
                    <w:szCs w:val="18"/>
                    <w:highlight w:val="yellow"/>
                  </w:rPr>
                </w:pPr>
                <w:r>
                  <w:rPr>
                    <w:rFonts w:hint="eastAsia" w:ascii="宋体" w:hAnsi="宋体"/>
                    <w:color w:val="000000"/>
                    <w:sz w:val="18"/>
                    <w:szCs w:val="18"/>
                  </w:rPr>
                  <w:t>结构性存款</w:t>
                </w:r>
              </w:p>
            </w:tc>
            <w:tc>
              <w:tcPr>
                <w:tcW w:w="778" w:type="pct"/>
                <w:tcBorders>
                  <w:top w:val="single" w:color="auto" w:sz="2" w:space="0"/>
                  <w:left w:val="single" w:color="auto" w:sz="2" w:space="0"/>
                  <w:bottom w:val="single" w:color="auto" w:sz="2" w:space="0"/>
                  <w:right w:val="single" w:color="auto" w:sz="2" w:space="0"/>
                </w:tcBorders>
                <w:vAlign w:val="center"/>
              </w:tcPr>
              <w:p w14:paraId="0B482873">
                <w:pPr>
                  <w:widowControl w:val="0"/>
                  <w:adjustRightInd w:val="0"/>
                  <w:snapToGrid w:val="0"/>
                  <w:jc w:val="right"/>
                  <w:rPr>
                    <w:rFonts w:asciiTheme="minorHAnsi" w:hAnsiTheme="minorHAnsi" w:cstheme="minorHAnsi"/>
                    <w:sz w:val="18"/>
                    <w:szCs w:val="18"/>
                    <w:highlight w:val="yellow"/>
                  </w:rPr>
                </w:pPr>
                <w:r>
                  <w:rPr>
                    <w:rFonts w:asciiTheme="minorHAnsi" w:hAnsiTheme="minorHAnsi" w:cstheme="minorHAnsi"/>
                    <w:color w:val="000000"/>
                    <w:sz w:val="18"/>
                    <w:szCs w:val="18"/>
                  </w:rPr>
                  <w:t>16,000,000.00</w:t>
                </w:r>
              </w:p>
            </w:tc>
            <w:tc>
              <w:tcPr>
                <w:tcW w:w="778" w:type="pct"/>
                <w:tcBorders>
                  <w:top w:val="single" w:color="auto" w:sz="2" w:space="0"/>
                  <w:left w:val="single" w:color="auto" w:sz="2" w:space="0"/>
                  <w:bottom w:val="single" w:color="auto" w:sz="2" w:space="0"/>
                  <w:right w:val="single" w:color="auto" w:sz="2" w:space="0"/>
                </w:tcBorders>
                <w:vAlign w:val="center"/>
              </w:tcPr>
              <w:p w14:paraId="3125AF44">
                <w:pPr>
                  <w:widowControl w:val="0"/>
                  <w:adjustRightInd w:val="0"/>
                  <w:snapToGrid w:val="0"/>
                  <w:jc w:val="right"/>
                  <w:rPr>
                    <w:rFonts w:asciiTheme="minorHAnsi" w:hAnsiTheme="minorHAnsi" w:cstheme="minorHAnsi"/>
                    <w:sz w:val="18"/>
                    <w:szCs w:val="18"/>
                    <w:highlight w:val="yellow"/>
                  </w:rPr>
                </w:pPr>
                <w:r>
                  <w:rPr>
                    <w:rFonts w:asciiTheme="minorHAnsi" w:hAnsiTheme="minorHAnsi" w:cstheme="minorHAnsi"/>
                    <w:color w:val="000000"/>
                    <w:sz w:val="18"/>
                    <w:szCs w:val="18"/>
                  </w:rPr>
                  <w:t>54,575.34</w:t>
                </w:r>
              </w:p>
            </w:tc>
            <w:tc>
              <w:tcPr>
                <w:tcW w:w="1108" w:type="pct"/>
                <w:tcBorders>
                  <w:top w:val="single" w:color="auto" w:sz="2" w:space="0"/>
                  <w:left w:val="single" w:color="auto" w:sz="2" w:space="0"/>
                  <w:bottom w:val="single" w:color="auto" w:sz="2" w:space="0"/>
                  <w:right w:val="single" w:color="auto" w:sz="2" w:space="0"/>
                </w:tcBorders>
                <w:vAlign w:val="center"/>
              </w:tcPr>
              <w:p w14:paraId="3DD065A1">
                <w:pPr>
                  <w:widowControl w:val="0"/>
                  <w:autoSpaceDE w:val="0"/>
                  <w:autoSpaceDN w:val="0"/>
                  <w:adjustRightInd w:val="0"/>
                  <w:jc w:val="right"/>
                  <w:rPr>
                    <w:rFonts w:asciiTheme="minorHAnsi" w:hAnsiTheme="minorHAnsi" w:cstheme="minorHAnsi"/>
                    <w:sz w:val="18"/>
                    <w:szCs w:val="18"/>
                    <w:highlight w:val="yellow"/>
                  </w:rPr>
                </w:pPr>
                <w:r>
                  <w:rPr>
                    <w:rFonts w:asciiTheme="minorHAnsi" w:hAnsiTheme="minorHAnsi" w:cstheme="minorHAnsi"/>
                    <w:color w:val="000000"/>
                    <w:sz w:val="18"/>
                    <w:szCs w:val="18"/>
                  </w:rPr>
                  <w:t>1.7%-1.5%-0.85%</w:t>
                </w:r>
              </w:p>
            </w:tc>
            <w:tc>
              <w:tcPr>
                <w:tcW w:w="623" w:type="pct"/>
                <w:tcBorders>
                  <w:top w:val="single" w:color="auto" w:sz="2" w:space="0"/>
                  <w:left w:val="single" w:color="auto" w:sz="2" w:space="0"/>
                  <w:bottom w:val="single" w:color="auto" w:sz="2" w:space="0"/>
                  <w:right w:val="nil"/>
                </w:tcBorders>
                <w:vAlign w:val="center"/>
              </w:tcPr>
              <w:p w14:paraId="53E5831E">
                <w:pPr>
                  <w:widowControl w:val="0"/>
                  <w:jc w:val="center"/>
                  <w:rPr>
                    <w:rFonts w:asciiTheme="minorHAnsi" w:hAnsiTheme="minorHAnsi" w:cstheme="minorHAnsi"/>
                    <w:kern w:val="2"/>
                    <w:sz w:val="18"/>
                    <w:szCs w:val="18"/>
                    <w:highlight w:val="yellow"/>
                  </w:rPr>
                </w:pPr>
                <w:r>
                  <w:rPr>
                    <w:rFonts w:asciiTheme="minorHAnsi" w:hAnsiTheme="minorHAnsi" w:cstheme="minorHAnsi"/>
                    <w:color w:val="000000"/>
                    <w:sz w:val="18"/>
                    <w:szCs w:val="18"/>
                  </w:rPr>
                  <w:t>2026/10/8</w:t>
                </w:r>
              </w:p>
            </w:tc>
          </w:tr>
          <w:tr w14:paraId="57AE91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35" w:type="pct"/>
                <w:tcBorders>
                  <w:top w:val="single" w:color="auto" w:sz="2" w:space="0"/>
                  <w:left w:val="nil"/>
                  <w:bottom w:val="single" w:color="auto" w:sz="2" w:space="0"/>
                  <w:right w:val="single" w:color="auto" w:sz="2" w:space="0"/>
                </w:tcBorders>
                <w:vAlign w:val="center"/>
              </w:tcPr>
              <w:p w14:paraId="082115D0">
                <w:pPr>
                  <w:widowControl w:val="0"/>
                  <w:autoSpaceDE w:val="0"/>
                  <w:autoSpaceDN w:val="0"/>
                  <w:adjustRightInd w:val="0"/>
                  <w:jc w:val="both"/>
                  <w:rPr>
                    <w:sz w:val="18"/>
                    <w:szCs w:val="18"/>
                    <w:highlight w:val="yellow"/>
                  </w:rPr>
                </w:pPr>
                <w:r>
                  <w:rPr>
                    <w:rFonts w:hint="eastAsia" w:ascii="宋体" w:hAnsi="宋体"/>
                    <w:color w:val="000000"/>
                    <w:sz w:val="18"/>
                    <w:szCs w:val="18"/>
                  </w:rPr>
                  <w:t>交通银行股份有限公司北京自贸试验区支行</w:t>
                </w:r>
              </w:p>
            </w:tc>
            <w:tc>
              <w:tcPr>
                <w:tcW w:w="778" w:type="pct"/>
                <w:tcBorders>
                  <w:top w:val="single" w:color="auto" w:sz="2" w:space="0"/>
                  <w:left w:val="single" w:color="auto" w:sz="2" w:space="0"/>
                  <w:bottom w:val="single" w:color="auto" w:sz="2" w:space="0"/>
                  <w:right w:val="single" w:color="auto" w:sz="2" w:space="0"/>
                </w:tcBorders>
                <w:vAlign w:val="center"/>
              </w:tcPr>
              <w:p w14:paraId="03FFDF64">
                <w:pPr>
                  <w:widowControl w:val="0"/>
                  <w:autoSpaceDE w:val="0"/>
                  <w:autoSpaceDN w:val="0"/>
                  <w:adjustRightInd w:val="0"/>
                  <w:jc w:val="center"/>
                  <w:rPr>
                    <w:sz w:val="18"/>
                    <w:szCs w:val="18"/>
                    <w:highlight w:val="yellow"/>
                  </w:rPr>
                </w:pPr>
                <w:r>
                  <w:rPr>
                    <w:rFonts w:hint="eastAsia" w:ascii="宋体" w:hAnsi="宋体"/>
                    <w:color w:val="000000"/>
                    <w:sz w:val="18"/>
                    <w:szCs w:val="18"/>
                  </w:rPr>
                  <w:t>结构性存款</w:t>
                </w:r>
              </w:p>
            </w:tc>
            <w:tc>
              <w:tcPr>
                <w:tcW w:w="778" w:type="pct"/>
                <w:tcBorders>
                  <w:top w:val="single" w:color="auto" w:sz="2" w:space="0"/>
                  <w:left w:val="single" w:color="auto" w:sz="2" w:space="0"/>
                  <w:bottom w:val="single" w:color="auto" w:sz="2" w:space="0"/>
                  <w:right w:val="single" w:color="auto" w:sz="2" w:space="0"/>
                </w:tcBorders>
                <w:vAlign w:val="center"/>
              </w:tcPr>
              <w:p w14:paraId="489D3D5B">
                <w:pPr>
                  <w:widowControl w:val="0"/>
                  <w:adjustRightInd w:val="0"/>
                  <w:snapToGrid w:val="0"/>
                  <w:jc w:val="right"/>
                  <w:rPr>
                    <w:rFonts w:asciiTheme="minorHAnsi" w:hAnsiTheme="minorHAnsi" w:cstheme="minorHAnsi"/>
                    <w:sz w:val="18"/>
                    <w:szCs w:val="18"/>
                    <w:highlight w:val="yellow"/>
                  </w:rPr>
                </w:pPr>
                <w:r>
                  <w:rPr>
                    <w:rFonts w:asciiTheme="minorHAnsi" w:hAnsiTheme="minorHAnsi" w:cstheme="minorHAnsi"/>
                    <w:color w:val="000000"/>
                    <w:sz w:val="18"/>
                    <w:szCs w:val="18"/>
                  </w:rPr>
                  <w:t>22,000,000.00</w:t>
                </w:r>
              </w:p>
            </w:tc>
            <w:tc>
              <w:tcPr>
                <w:tcW w:w="778" w:type="pct"/>
                <w:tcBorders>
                  <w:top w:val="single" w:color="auto" w:sz="2" w:space="0"/>
                  <w:left w:val="single" w:color="auto" w:sz="2" w:space="0"/>
                  <w:bottom w:val="single" w:color="auto" w:sz="2" w:space="0"/>
                  <w:right w:val="single" w:color="auto" w:sz="2" w:space="0"/>
                </w:tcBorders>
                <w:vAlign w:val="center"/>
              </w:tcPr>
              <w:p w14:paraId="2CF22CF1">
                <w:pPr>
                  <w:widowControl w:val="0"/>
                  <w:adjustRightInd w:val="0"/>
                  <w:snapToGrid w:val="0"/>
                  <w:jc w:val="right"/>
                  <w:rPr>
                    <w:rFonts w:asciiTheme="minorHAnsi" w:hAnsiTheme="minorHAnsi" w:cstheme="minorHAnsi"/>
                    <w:sz w:val="18"/>
                    <w:szCs w:val="18"/>
                    <w:highlight w:val="yellow"/>
                  </w:rPr>
                </w:pPr>
                <w:r>
                  <w:rPr>
                    <w:rFonts w:asciiTheme="minorHAnsi" w:hAnsiTheme="minorHAnsi" w:cstheme="minorHAnsi"/>
                    <w:color w:val="000000"/>
                    <w:sz w:val="18"/>
                    <w:szCs w:val="18"/>
                  </w:rPr>
                  <w:t>16,876.71</w:t>
                </w:r>
              </w:p>
            </w:tc>
            <w:tc>
              <w:tcPr>
                <w:tcW w:w="1108" w:type="pct"/>
                <w:tcBorders>
                  <w:top w:val="single" w:color="auto" w:sz="2" w:space="0"/>
                  <w:left w:val="single" w:color="auto" w:sz="2" w:space="0"/>
                  <w:bottom w:val="single" w:color="auto" w:sz="2" w:space="0"/>
                  <w:right w:val="single" w:color="auto" w:sz="2" w:space="0"/>
                </w:tcBorders>
                <w:vAlign w:val="center"/>
              </w:tcPr>
              <w:p w14:paraId="09B6B93B">
                <w:pPr>
                  <w:widowControl w:val="0"/>
                  <w:autoSpaceDE w:val="0"/>
                  <w:autoSpaceDN w:val="0"/>
                  <w:adjustRightInd w:val="0"/>
                  <w:jc w:val="right"/>
                  <w:rPr>
                    <w:rFonts w:asciiTheme="minorHAnsi" w:hAnsiTheme="minorHAnsi" w:cstheme="minorHAnsi"/>
                    <w:sz w:val="18"/>
                    <w:szCs w:val="18"/>
                    <w:highlight w:val="yellow"/>
                  </w:rPr>
                </w:pPr>
                <w:r>
                  <w:rPr>
                    <w:rFonts w:asciiTheme="minorHAnsi" w:hAnsiTheme="minorHAnsi" w:cstheme="minorHAnsi"/>
                    <w:color w:val="000000"/>
                    <w:sz w:val="18"/>
                    <w:szCs w:val="18"/>
                  </w:rPr>
                  <w:t>1.6%-1.4%-0.65%</w:t>
                </w:r>
              </w:p>
            </w:tc>
            <w:tc>
              <w:tcPr>
                <w:tcW w:w="623" w:type="pct"/>
                <w:tcBorders>
                  <w:top w:val="single" w:color="auto" w:sz="2" w:space="0"/>
                  <w:left w:val="single" w:color="auto" w:sz="2" w:space="0"/>
                  <w:bottom w:val="single" w:color="auto" w:sz="2" w:space="0"/>
                  <w:right w:val="nil"/>
                </w:tcBorders>
                <w:vAlign w:val="center"/>
              </w:tcPr>
              <w:p w14:paraId="16356D92">
                <w:pPr>
                  <w:widowControl w:val="0"/>
                  <w:jc w:val="center"/>
                  <w:rPr>
                    <w:rFonts w:asciiTheme="minorHAnsi" w:hAnsiTheme="minorHAnsi" w:cstheme="minorHAnsi"/>
                    <w:kern w:val="2"/>
                    <w:sz w:val="18"/>
                    <w:szCs w:val="18"/>
                    <w:highlight w:val="yellow"/>
                  </w:rPr>
                </w:pPr>
                <w:r>
                  <w:rPr>
                    <w:rFonts w:asciiTheme="minorHAnsi" w:hAnsiTheme="minorHAnsi" w:cstheme="minorHAnsi"/>
                    <w:color w:val="000000"/>
                    <w:sz w:val="18"/>
                    <w:szCs w:val="18"/>
                  </w:rPr>
                  <w:t>2026/5/14</w:t>
                </w:r>
              </w:p>
            </w:tc>
          </w:tr>
          <w:tr w14:paraId="2B3881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35" w:type="pct"/>
                <w:tcBorders>
                  <w:top w:val="single" w:color="auto" w:sz="2" w:space="0"/>
                  <w:left w:val="nil"/>
                  <w:bottom w:val="single" w:color="auto" w:sz="12" w:space="0"/>
                  <w:right w:val="single" w:color="auto" w:sz="2" w:space="0"/>
                </w:tcBorders>
                <w:vAlign w:val="center"/>
              </w:tcPr>
              <w:p w14:paraId="29938280">
                <w:pPr>
                  <w:widowControl w:val="0"/>
                  <w:autoSpaceDE w:val="0"/>
                  <w:autoSpaceDN w:val="0"/>
                  <w:adjustRightInd w:val="0"/>
                  <w:jc w:val="center"/>
                  <w:rPr>
                    <w:sz w:val="18"/>
                    <w:szCs w:val="18"/>
                  </w:rPr>
                </w:pPr>
                <w:r>
                  <w:rPr>
                    <w:rFonts w:ascii="宋体" w:hAnsi="宋体"/>
                    <w:sz w:val="18"/>
                    <w:szCs w:val="18"/>
                  </w:rPr>
                  <w:t>合计</w:t>
                </w:r>
              </w:p>
            </w:tc>
            <w:tc>
              <w:tcPr>
                <w:tcW w:w="778" w:type="pct"/>
                <w:tcBorders>
                  <w:top w:val="single" w:color="auto" w:sz="2" w:space="0"/>
                  <w:left w:val="single" w:color="auto" w:sz="2" w:space="0"/>
                  <w:bottom w:val="single" w:color="auto" w:sz="12" w:space="0"/>
                  <w:right w:val="single" w:color="auto" w:sz="2" w:space="0"/>
                </w:tcBorders>
                <w:vAlign w:val="center"/>
              </w:tcPr>
              <w:p w14:paraId="72E670F4">
                <w:pPr>
                  <w:widowControl w:val="0"/>
                  <w:autoSpaceDE w:val="0"/>
                  <w:autoSpaceDN w:val="0"/>
                  <w:adjustRightInd w:val="0"/>
                  <w:jc w:val="center"/>
                  <w:rPr>
                    <w:sz w:val="18"/>
                    <w:szCs w:val="18"/>
                  </w:rPr>
                </w:pPr>
              </w:p>
            </w:tc>
            <w:tc>
              <w:tcPr>
                <w:tcW w:w="778" w:type="pct"/>
                <w:tcBorders>
                  <w:top w:val="single" w:color="auto" w:sz="2" w:space="0"/>
                  <w:left w:val="single" w:color="auto" w:sz="2" w:space="0"/>
                  <w:bottom w:val="single" w:color="auto" w:sz="12" w:space="0"/>
                  <w:right w:val="single" w:color="auto" w:sz="2" w:space="0"/>
                </w:tcBorders>
                <w:vAlign w:val="center"/>
              </w:tcPr>
              <w:p w14:paraId="782471C2">
                <w:pPr>
                  <w:widowControl w:val="0"/>
                  <w:adjustRightInd w:val="0"/>
                  <w:snapToGrid w:val="0"/>
                  <w:jc w:val="right"/>
                  <w:rPr>
                    <w:rFonts w:asciiTheme="minorHAnsi" w:hAnsiTheme="minorHAnsi" w:cstheme="minorHAnsi"/>
                    <w:sz w:val="18"/>
                    <w:szCs w:val="18"/>
                    <w:highlight w:val="yellow"/>
                  </w:rPr>
                </w:pPr>
                <w:r>
                  <w:rPr>
                    <w:rFonts w:asciiTheme="minorHAnsi" w:hAnsiTheme="minorHAnsi" w:cstheme="minorHAnsi"/>
                    <w:color w:val="000000"/>
                    <w:sz w:val="18"/>
                    <w:szCs w:val="18"/>
                  </w:rPr>
                  <w:t>63,000,000.00</w:t>
                </w:r>
              </w:p>
            </w:tc>
            <w:tc>
              <w:tcPr>
                <w:tcW w:w="778" w:type="pct"/>
                <w:tcBorders>
                  <w:top w:val="single" w:color="auto" w:sz="2" w:space="0"/>
                  <w:left w:val="single" w:color="auto" w:sz="2" w:space="0"/>
                  <w:bottom w:val="single" w:color="auto" w:sz="12" w:space="0"/>
                  <w:right w:val="single" w:color="auto" w:sz="2" w:space="0"/>
                </w:tcBorders>
                <w:vAlign w:val="center"/>
              </w:tcPr>
              <w:p w14:paraId="0B2AE848">
                <w:pPr>
                  <w:widowControl w:val="0"/>
                  <w:autoSpaceDE w:val="0"/>
                  <w:autoSpaceDN w:val="0"/>
                  <w:adjustRightInd w:val="0"/>
                  <w:snapToGrid w:val="0"/>
                  <w:jc w:val="right"/>
                  <w:rPr>
                    <w:rFonts w:asciiTheme="minorHAnsi" w:hAnsiTheme="minorHAnsi" w:cstheme="minorHAnsi"/>
                    <w:sz w:val="18"/>
                    <w:szCs w:val="18"/>
                    <w:highlight w:val="yellow"/>
                  </w:rPr>
                </w:pPr>
                <w:r>
                  <w:rPr>
                    <w:rFonts w:asciiTheme="minorHAnsi" w:hAnsiTheme="minorHAnsi" w:cstheme="minorHAnsi"/>
                    <w:color w:val="000000"/>
                    <w:sz w:val="18"/>
                    <w:szCs w:val="18"/>
                  </w:rPr>
                  <w:t>218,438.36</w:t>
                </w:r>
              </w:p>
            </w:tc>
            <w:tc>
              <w:tcPr>
                <w:tcW w:w="1108" w:type="pct"/>
                <w:tcBorders>
                  <w:top w:val="single" w:color="auto" w:sz="2" w:space="0"/>
                  <w:left w:val="single" w:color="auto" w:sz="2" w:space="0"/>
                  <w:bottom w:val="single" w:color="auto" w:sz="12" w:space="0"/>
                  <w:right w:val="single" w:color="auto" w:sz="2" w:space="0"/>
                </w:tcBorders>
                <w:vAlign w:val="center"/>
              </w:tcPr>
              <w:p w14:paraId="4E12580C">
                <w:pPr>
                  <w:widowControl w:val="0"/>
                  <w:autoSpaceDE w:val="0"/>
                  <w:autoSpaceDN w:val="0"/>
                  <w:adjustRightInd w:val="0"/>
                  <w:jc w:val="right"/>
                  <w:rPr>
                    <w:rFonts w:ascii="宋体" w:hAnsi="宋体"/>
                    <w:sz w:val="18"/>
                    <w:szCs w:val="18"/>
                  </w:rPr>
                </w:pPr>
              </w:p>
            </w:tc>
            <w:tc>
              <w:tcPr>
                <w:tcW w:w="623" w:type="pct"/>
                <w:tcBorders>
                  <w:top w:val="single" w:color="auto" w:sz="2" w:space="0"/>
                  <w:left w:val="single" w:color="auto" w:sz="2" w:space="0"/>
                  <w:bottom w:val="single" w:color="auto" w:sz="12" w:space="0"/>
                  <w:right w:val="nil"/>
                </w:tcBorders>
                <w:vAlign w:val="center"/>
              </w:tcPr>
              <w:p w14:paraId="1FE128D2">
                <w:pPr>
                  <w:widowControl w:val="0"/>
                  <w:jc w:val="right"/>
                  <w:rPr>
                    <w:rFonts w:ascii="宋体" w:hAnsi="宋体"/>
                    <w:kern w:val="2"/>
                    <w:sz w:val="18"/>
                    <w:szCs w:val="18"/>
                  </w:rPr>
                </w:pPr>
              </w:p>
            </w:tc>
          </w:tr>
        </w:tbl>
        <w:p w14:paraId="62F90CFE">
          <w:pPr>
            <w:pStyle w:val="48"/>
          </w:pPr>
        </w:p>
      </w:sdtContent>
    </w:sdt>
    <w:p w14:paraId="0399526A">
      <w:pPr>
        <w:pStyle w:val="48"/>
      </w:pPr>
    </w:p>
    <w:p w14:paraId="557B1249">
      <w:pPr>
        <w:pStyle w:val="4"/>
        <w:numPr>
          <w:ilvl w:val="0"/>
          <w:numId w:val="61"/>
        </w:numPr>
        <w:rPr>
          <w:szCs w:val="21"/>
        </w:rPr>
      </w:pPr>
      <w:r>
        <w:rPr>
          <w:szCs w:val="21"/>
        </w:rPr>
        <w:t>衍生金融资产</w:t>
      </w:r>
    </w:p>
    <w:sdt>
      <w:sdtPr>
        <w:alias w:val="是否适用：衍生金融资产[双击切换]"/>
        <w:tag w:val="_GBC_d17bfaab262c4a499d0afca62045c5e0"/>
        <w:id w:val="1424067462"/>
        <w:placeholder>
          <w:docPart w:val="GBC22222222222222222222222222222"/>
        </w:placeholder>
      </w:sdtPr>
      <w:sdtContent>
        <w:p w14:paraId="06E5E2F4">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482F3D6">
      <w:pPr>
        <w:snapToGrid w:val="0"/>
      </w:pPr>
    </w:p>
    <w:p w14:paraId="6FC78CF3">
      <w:pPr>
        <w:snapToGrid w:val="0"/>
        <w:spacing w:line="240" w:lineRule="atLeast"/>
        <w:ind w:left="1470" w:right="25" w:rightChars="12" w:hanging="1470" w:hangingChars="700"/>
      </w:pPr>
    </w:p>
    <w:p w14:paraId="0DB392FF">
      <w:pPr>
        <w:pStyle w:val="4"/>
        <w:numPr>
          <w:ilvl w:val="0"/>
          <w:numId w:val="61"/>
        </w:numPr>
        <w:rPr>
          <w:szCs w:val="21"/>
        </w:rPr>
      </w:pPr>
      <w:r>
        <w:rPr>
          <w:szCs w:val="21"/>
        </w:rPr>
        <w:t>应收票据</w:t>
      </w:r>
    </w:p>
    <w:p w14:paraId="1FCE458E">
      <w:pPr>
        <w:pStyle w:val="5"/>
        <w:numPr>
          <w:ilvl w:val="3"/>
          <w:numId w:val="62"/>
        </w:numPr>
        <w:ind w:left="426" w:hanging="426"/>
      </w:pPr>
      <w:r>
        <w:rPr>
          <w:rFonts w:hint="eastAsia"/>
        </w:rPr>
        <w:t>应收票据分类列示</w:t>
      </w:r>
    </w:p>
    <w:sdt>
      <w:sdtPr>
        <w:alias w:val="是否适用：应收票据分类列示[双击切换]"/>
        <w:tag w:val="_GBC_bdf010020d484a01ae60c52d7465a06a"/>
        <w:id w:val="678161106"/>
        <w:placeholder>
          <w:docPart w:val="GBC22222222222222222222222222222"/>
        </w:placeholder>
      </w:sdtPr>
      <w:sdtContent>
        <w:p w14:paraId="20FA40A3">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06C57B8">
      <w:pPr>
        <w:snapToGrid w:val="0"/>
        <w:spacing w:line="240" w:lineRule="atLeast"/>
        <w:jc w:val="right"/>
      </w:pPr>
      <w:r>
        <w:rPr>
          <w:rFonts w:hint="eastAsia"/>
        </w:rPr>
        <w:t>单位：</w:t>
      </w:r>
      <w:sdt>
        <w:sdtPr>
          <w:rPr>
            <w:rFonts w:hint="eastAsia"/>
          </w:rPr>
          <w:alias w:val="单位：财务附注：应收票据分类"/>
          <w:tag w:val="_GBC_4fa3399364a4449485326bfdb1de5245"/>
          <w:id w:val="-1040435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收票据分类"/>
          <w:tag w:val="_GBC_0daf818486924555b786788616dee3e7"/>
          <w:id w:val="3769803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2991"/>
        <w:gridCol w:w="3128"/>
        <w:gridCol w:w="2936"/>
      </w:tblGrid>
      <w:tr w14:paraId="45F7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d44f6beac5e4b8688c30e166c6780c8"/>
            <w:id w:val="-1570649672"/>
          </w:sdtPr>
          <w:sdtContent>
            <w:tc>
              <w:tcPr>
                <w:tcW w:w="2991" w:type="dxa"/>
                <w:vAlign w:val="center"/>
              </w:tcPr>
              <w:p w14:paraId="6E000161">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项目</w:t>
                </w:r>
              </w:p>
            </w:tc>
          </w:sdtContent>
        </w:sdt>
        <w:sdt>
          <w:sdtPr>
            <w:tag w:val="_PLD_dea2f5c6a1cb487287096a3435e5e8de"/>
            <w:id w:val="-316114797"/>
          </w:sdtPr>
          <w:sdtContent>
            <w:tc>
              <w:tcPr>
                <w:tcW w:w="3128" w:type="dxa"/>
                <w:vAlign w:val="center"/>
              </w:tcPr>
              <w:p w14:paraId="6F11746C">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期末余额</w:t>
                </w:r>
              </w:p>
            </w:tc>
          </w:sdtContent>
        </w:sdt>
        <w:sdt>
          <w:sdtPr>
            <w:tag w:val="_PLD_5d16922842b04d10836d1bc80b3b3b4e"/>
            <w:id w:val="-332534414"/>
          </w:sdtPr>
          <w:sdtContent>
            <w:tc>
              <w:tcPr>
                <w:tcW w:w="2936" w:type="dxa"/>
                <w:vAlign w:val="center"/>
              </w:tcPr>
              <w:p w14:paraId="34476807">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期初余额</w:t>
                </w:r>
              </w:p>
            </w:tc>
          </w:sdtContent>
        </w:sdt>
      </w:tr>
      <w:tr w14:paraId="4435E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2991" w:type="dxa"/>
            <w:vAlign w:val="center"/>
          </w:tcPr>
          <w:p w14:paraId="3F757512">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银行承兑票据</w:t>
            </w:r>
          </w:p>
        </w:tc>
        <w:tc>
          <w:tcPr>
            <w:tcW w:w="3128" w:type="dxa"/>
            <w:vAlign w:val="center"/>
          </w:tcPr>
          <w:p w14:paraId="679D8F0F">
            <w:pPr>
              <w:ind w:right="13"/>
              <w:jc w:val="right"/>
              <w:rPr>
                <w:rFonts w:ascii="Calibri" w:hAnsi="Calibri"/>
                <w:sz w:val="20"/>
                <w:szCs w:val="20"/>
              </w:rPr>
            </w:pPr>
            <w:r>
              <w:rPr>
                <w:rFonts w:ascii="Calibri" w:hAnsi="Calibri"/>
                <w:sz w:val="20"/>
                <w:szCs w:val="20"/>
              </w:rPr>
              <w:t>16,074,681.54</w:t>
            </w:r>
          </w:p>
        </w:tc>
        <w:tc>
          <w:tcPr>
            <w:tcW w:w="2936" w:type="dxa"/>
            <w:vAlign w:val="center"/>
          </w:tcPr>
          <w:p w14:paraId="40E399C6">
            <w:pPr>
              <w:ind w:right="13"/>
              <w:jc w:val="right"/>
              <w:rPr>
                <w:rFonts w:ascii="Calibri" w:hAnsi="Calibri"/>
                <w:sz w:val="20"/>
                <w:szCs w:val="20"/>
              </w:rPr>
            </w:pPr>
            <w:r>
              <w:rPr>
                <w:rFonts w:ascii="Calibri" w:hAnsi="Calibri"/>
                <w:sz w:val="20"/>
                <w:szCs w:val="20"/>
              </w:rPr>
              <w:t>6,634,809.89</w:t>
            </w:r>
          </w:p>
        </w:tc>
      </w:tr>
      <w:tr w14:paraId="6372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2991" w:type="dxa"/>
            <w:vAlign w:val="center"/>
          </w:tcPr>
          <w:p w14:paraId="1F133B53">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合计</w:t>
            </w:r>
          </w:p>
        </w:tc>
        <w:tc>
          <w:tcPr>
            <w:tcW w:w="3128" w:type="dxa"/>
            <w:vAlign w:val="center"/>
          </w:tcPr>
          <w:p w14:paraId="72856571">
            <w:pPr>
              <w:jc w:val="right"/>
              <w:rPr>
                <w:rFonts w:ascii="Calibri" w:hAnsi="Calibri"/>
                <w:sz w:val="20"/>
                <w:szCs w:val="20"/>
              </w:rPr>
            </w:pPr>
            <w:r>
              <w:rPr>
                <w:rFonts w:ascii="Calibri" w:hAnsi="Calibri"/>
                <w:sz w:val="20"/>
                <w:szCs w:val="20"/>
              </w:rPr>
              <w:t>16,074,681.54</w:t>
            </w:r>
          </w:p>
        </w:tc>
        <w:tc>
          <w:tcPr>
            <w:tcW w:w="2936" w:type="dxa"/>
            <w:vAlign w:val="center"/>
          </w:tcPr>
          <w:p w14:paraId="07EFF2D4">
            <w:pPr>
              <w:autoSpaceDE w:val="0"/>
              <w:autoSpaceDN w:val="0"/>
              <w:adjustRightInd w:val="0"/>
              <w:jc w:val="right"/>
              <w:rPr>
                <w:rFonts w:ascii="Calibri" w:hAnsi="Calibri"/>
                <w:sz w:val="20"/>
                <w:szCs w:val="20"/>
              </w:rPr>
            </w:pPr>
            <w:r>
              <w:rPr>
                <w:rFonts w:ascii="Calibri" w:hAnsi="Calibri"/>
                <w:sz w:val="20"/>
                <w:szCs w:val="20"/>
              </w:rPr>
              <w:t>6,634,809.89</w:t>
            </w:r>
          </w:p>
        </w:tc>
      </w:tr>
    </w:tbl>
    <w:p w14:paraId="69BD64F2">
      <w:pPr>
        <w:snapToGrid w:val="0"/>
        <w:spacing w:line="240" w:lineRule="atLeast"/>
      </w:pPr>
    </w:p>
    <w:p w14:paraId="3AF7E82F">
      <w:pPr>
        <w:pStyle w:val="5"/>
        <w:numPr>
          <w:ilvl w:val="3"/>
          <w:numId w:val="62"/>
        </w:numPr>
        <w:ind w:left="426" w:hanging="426"/>
      </w:pPr>
      <w:r>
        <w:rPr>
          <w:rFonts w:hint="eastAsia"/>
        </w:rPr>
        <w:t>期末公司已质押的应收票据</w:t>
      </w:r>
    </w:p>
    <w:sdt>
      <w:sdtPr>
        <w:alias w:val="是否适用：期末公司已质押的应收票据[双击切换]"/>
        <w:tag w:val="_GBC_5281ffb2b9304a49a6db0c913bbaac53"/>
        <w:id w:val="-1447236691"/>
        <w:placeholder>
          <w:docPart w:val="GBC22222222222222222222222222222"/>
        </w:placeholder>
      </w:sdtPr>
      <w:sdtContent>
        <w:p w14:paraId="0F76A3D1">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89EE06F">
      <w:pPr>
        <w:pStyle w:val="48"/>
      </w:pPr>
    </w:p>
    <w:p w14:paraId="36997B43">
      <w:pPr>
        <w:pStyle w:val="5"/>
        <w:numPr>
          <w:ilvl w:val="3"/>
          <w:numId w:val="62"/>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295752805"/>
        <w:placeholder>
          <w:docPart w:val="GBC22222222222222222222222222222"/>
        </w:placeholder>
      </w:sdtPr>
      <w:sdtContent>
        <w:p w14:paraId="5691FEA7">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8D73E8">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8032379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7895932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3049"/>
        <w:gridCol w:w="3121"/>
      </w:tblGrid>
      <w:tr w14:paraId="2D3C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a87ff67e5b45fd8796a3a35ba8193e"/>
            <w:id w:val="-393437499"/>
          </w:sdtPr>
          <w:sdtContent>
            <w:tc>
              <w:tcPr>
                <w:tcW w:w="2877" w:type="dxa"/>
                <w:vAlign w:val="center"/>
              </w:tcPr>
              <w:p w14:paraId="749BE8C6">
                <w:pPr>
                  <w:jc w:val="center"/>
                  <w:rPr>
                    <w:rFonts w:ascii="Calibri" w:hAnsi="Calibri"/>
                    <w:sz w:val="20"/>
                    <w:szCs w:val="20"/>
                  </w:rPr>
                </w:pPr>
                <w:r>
                  <w:rPr>
                    <w:rFonts w:hint="eastAsia" w:ascii="Calibri" w:hAnsi="Calibri"/>
                    <w:sz w:val="20"/>
                    <w:szCs w:val="20"/>
                  </w:rPr>
                  <w:t>项目</w:t>
                </w:r>
              </w:p>
            </w:tc>
          </w:sdtContent>
        </w:sdt>
        <w:sdt>
          <w:sdtPr>
            <w:tag w:val="_PLD_f9150e3257574b5dab33b7c7a9c74bd0"/>
            <w:id w:val="1279998830"/>
          </w:sdtPr>
          <w:sdtContent>
            <w:tc>
              <w:tcPr>
                <w:tcW w:w="3049" w:type="dxa"/>
                <w:vAlign w:val="center"/>
              </w:tcPr>
              <w:p w14:paraId="52882875">
                <w:pPr>
                  <w:jc w:val="center"/>
                  <w:rPr>
                    <w:rFonts w:ascii="Calibri" w:hAnsi="Calibri"/>
                    <w:sz w:val="20"/>
                    <w:szCs w:val="20"/>
                  </w:rPr>
                </w:pPr>
                <w:r>
                  <w:rPr>
                    <w:rFonts w:hint="eastAsia" w:ascii="Calibri" w:hAnsi="Calibri"/>
                    <w:sz w:val="20"/>
                    <w:szCs w:val="20"/>
                  </w:rPr>
                  <w:t>期末终止确认金额</w:t>
                </w:r>
              </w:p>
            </w:tc>
          </w:sdtContent>
        </w:sdt>
        <w:sdt>
          <w:sdtPr>
            <w:tag w:val="_PLD_4f99e6fe1d4c4c57bab686890f8d0f57"/>
            <w:id w:val="1315066351"/>
          </w:sdtPr>
          <w:sdtContent>
            <w:tc>
              <w:tcPr>
                <w:tcW w:w="3121" w:type="dxa"/>
                <w:vAlign w:val="center"/>
              </w:tcPr>
              <w:p w14:paraId="74AF360B">
                <w:pPr>
                  <w:jc w:val="center"/>
                  <w:rPr>
                    <w:rFonts w:ascii="Calibri" w:hAnsi="Calibri"/>
                    <w:sz w:val="20"/>
                    <w:szCs w:val="20"/>
                  </w:rPr>
                </w:pPr>
                <w:r>
                  <w:rPr>
                    <w:rFonts w:hint="eastAsia" w:ascii="Calibri" w:hAnsi="Calibri"/>
                    <w:sz w:val="20"/>
                    <w:szCs w:val="20"/>
                  </w:rPr>
                  <w:t>期末未终止确认金额</w:t>
                </w:r>
              </w:p>
            </w:tc>
          </w:sdtContent>
        </w:sdt>
      </w:tr>
      <w:tr w14:paraId="688B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7" w:type="dxa"/>
            <w:vAlign w:val="center"/>
          </w:tcPr>
          <w:p w14:paraId="580ED6DF">
            <w:pPr>
              <w:pStyle w:val="48"/>
              <w:rPr>
                <w:sz w:val="20"/>
                <w:szCs w:val="20"/>
              </w:rPr>
            </w:pPr>
            <w:r>
              <w:rPr>
                <w:rFonts w:hint="eastAsia"/>
                <w:sz w:val="20"/>
                <w:szCs w:val="20"/>
              </w:rPr>
              <w:t>银行承兑票据</w:t>
            </w:r>
          </w:p>
        </w:tc>
        <w:tc>
          <w:tcPr>
            <w:tcW w:w="3049" w:type="dxa"/>
            <w:vAlign w:val="center"/>
          </w:tcPr>
          <w:p w14:paraId="661C0894">
            <w:pPr>
              <w:jc w:val="right"/>
              <w:rPr>
                <w:rFonts w:ascii="Calibri" w:hAnsi="Calibri"/>
                <w:sz w:val="20"/>
                <w:szCs w:val="20"/>
              </w:rPr>
            </w:pPr>
          </w:p>
        </w:tc>
        <w:tc>
          <w:tcPr>
            <w:tcW w:w="3121" w:type="dxa"/>
            <w:vAlign w:val="center"/>
          </w:tcPr>
          <w:p w14:paraId="5D7BDA6A">
            <w:pPr>
              <w:jc w:val="right"/>
              <w:rPr>
                <w:rFonts w:ascii="Calibri" w:hAnsi="Calibri"/>
                <w:sz w:val="20"/>
                <w:szCs w:val="20"/>
              </w:rPr>
            </w:pPr>
            <w:r>
              <w:rPr>
                <w:rFonts w:ascii="Calibri" w:hAnsi="Calibri"/>
                <w:sz w:val="20"/>
                <w:szCs w:val="20"/>
              </w:rPr>
              <w:t>9,845,171.18</w:t>
            </w:r>
          </w:p>
        </w:tc>
      </w:tr>
      <w:tr w14:paraId="2DAF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7" w:type="dxa"/>
            <w:vAlign w:val="center"/>
          </w:tcPr>
          <w:p w14:paraId="4620A336">
            <w:pPr>
              <w:jc w:val="center"/>
              <w:rPr>
                <w:rFonts w:ascii="Calibri" w:hAnsi="Calibri"/>
                <w:sz w:val="20"/>
                <w:szCs w:val="20"/>
              </w:rPr>
            </w:pPr>
            <w:r>
              <w:rPr>
                <w:rFonts w:hint="eastAsia" w:ascii="Calibri" w:hAnsi="Calibri"/>
                <w:sz w:val="20"/>
                <w:szCs w:val="20"/>
              </w:rPr>
              <w:t>合计</w:t>
            </w:r>
          </w:p>
        </w:tc>
        <w:tc>
          <w:tcPr>
            <w:tcW w:w="3049" w:type="dxa"/>
            <w:vAlign w:val="center"/>
          </w:tcPr>
          <w:p w14:paraId="7BAFC222">
            <w:pPr>
              <w:jc w:val="right"/>
              <w:rPr>
                <w:rFonts w:ascii="Calibri" w:hAnsi="Calibri"/>
                <w:sz w:val="20"/>
                <w:szCs w:val="20"/>
              </w:rPr>
            </w:pPr>
          </w:p>
        </w:tc>
        <w:tc>
          <w:tcPr>
            <w:tcW w:w="3121" w:type="dxa"/>
            <w:vAlign w:val="center"/>
          </w:tcPr>
          <w:p w14:paraId="3D239699">
            <w:pPr>
              <w:jc w:val="right"/>
              <w:rPr>
                <w:rFonts w:ascii="Calibri" w:hAnsi="Calibri"/>
                <w:sz w:val="20"/>
                <w:szCs w:val="20"/>
              </w:rPr>
            </w:pPr>
            <w:r>
              <w:rPr>
                <w:rFonts w:ascii="Calibri" w:hAnsi="Calibri"/>
                <w:sz w:val="20"/>
                <w:szCs w:val="20"/>
              </w:rPr>
              <w:t>9,845,171.18</w:t>
            </w:r>
          </w:p>
        </w:tc>
      </w:tr>
    </w:tbl>
    <w:p w14:paraId="187C2B9B">
      <w:pPr>
        <w:rPr>
          <w:kern w:val="2"/>
        </w:rPr>
      </w:pPr>
    </w:p>
    <w:p w14:paraId="5E23F7C0">
      <w:pPr>
        <w:pStyle w:val="5"/>
        <w:numPr>
          <w:ilvl w:val="3"/>
          <w:numId w:val="62"/>
        </w:numPr>
        <w:ind w:left="426" w:hanging="426"/>
      </w:pPr>
      <w:bookmarkStart w:id="225" w:name="_Hlk533596246"/>
      <w:r>
        <w:rPr>
          <w:rFonts w:hint="eastAsia"/>
        </w:rPr>
        <w:t>按坏账计提方法分类披露</w:t>
      </w:r>
    </w:p>
    <w:sdt>
      <w:sdtPr>
        <w:alias w:val="是否适用：应收票据按坏账计提方法分类披露[双击切换]"/>
        <w:tag w:val="_GBC_806abc31b942462ba4b46f92c99312a5"/>
        <w:id w:val="-1881624319"/>
        <w:placeholder>
          <w:docPart w:val="GBC22222222222222222222222222222"/>
        </w:placeholder>
      </w:sdtPr>
      <w:sdtContent>
        <w:p w14:paraId="6E7DB2D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58922AE">
      <w:pPr>
        <w:pStyle w:val="30"/>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3751656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应收票据按坏账计提方法分类披露"/>
          <w:tag w:val="_GBC_601e6cb0999d4fd599cfcacf79d2aa28"/>
          <w:id w:val="-11909077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57"/>
        <w:tblW w:w="11057"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134"/>
        <w:gridCol w:w="709"/>
        <w:gridCol w:w="992"/>
        <w:gridCol w:w="567"/>
        <w:gridCol w:w="1276"/>
        <w:gridCol w:w="1134"/>
        <w:gridCol w:w="850"/>
        <w:gridCol w:w="993"/>
        <w:gridCol w:w="708"/>
        <w:gridCol w:w="1134"/>
      </w:tblGrid>
      <w:tr w14:paraId="4157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tag w:val="_PLD_694877484ae448bcbdceead91da15b38"/>
            <w:id w:val="1638532521"/>
          </w:sdtPr>
          <w:sdtContent>
            <w:tc>
              <w:tcPr>
                <w:tcW w:w="1560" w:type="dxa"/>
                <w:vMerge w:val="restart"/>
                <w:tcBorders>
                  <w:top w:val="single" w:color="auto" w:sz="4" w:space="0"/>
                  <w:left w:val="single" w:color="auto" w:sz="4" w:space="0"/>
                  <w:right w:val="single" w:color="auto" w:sz="4" w:space="0"/>
                </w:tcBorders>
                <w:vAlign w:val="center"/>
              </w:tcPr>
              <w:p w14:paraId="613236A2">
                <w:pPr>
                  <w:jc w:val="center"/>
                  <w:rPr>
                    <w:rFonts w:ascii="Calibri" w:hAnsi="Calibri"/>
                    <w:sz w:val="20"/>
                    <w:szCs w:val="20"/>
                  </w:rPr>
                </w:pPr>
                <w:bookmarkStart w:id="226" w:name="_Hlk533511527"/>
                <w:r>
                  <w:rPr>
                    <w:rFonts w:hint="eastAsia" w:ascii="Calibri" w:hAnsi="Calibri"/>
                    <w:sz w:val="20"/>
                    <w:szCs w:val="20"/>
                  </w:rPr>
                  <w:t>类别</w:t>
                </w:r>
              </w:p>
            </w:tc>
          </w:sdtContent>
        </w:sdt>
        <w:sdt>
          <w:sdtPr>
            <w:tag w:val="_PLD_fafb5208264e4d4bb8e6b267fb648c20"/>
            <w:id w:val="2038853420"/>
          </w:sdtPr>
          <w:sdtContent>
            <w:tc>
              <w:tcPr>
                <w:tcW w:w="4678" w:type="dxa"/>
                <w:gridSpan w:val="5"/>
                <w:tcBorders>
                  <w:top w:val="single" w:color="auto" w:sz="4" w:space="0"/>
                  <w:left w:val="single" w:color="auto" w:sz="4" w:space="0"/>
                  <w:right w:val="single" w:color="auto" w:sz="4" w:space="0"/>
                </w:tcBorders>
                <w:vAlign w:val="center"/>
              </w:tcPr>
              <w:p w14:paraId="7D653A89">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期末余额</w:t>
                </w:r>
              </w:p>
            </w:tc>
          </w:sdtContent>
        </w:sdt>
        <w:sdt>
          <w:sdtPr>
            <w:tag w:val="_PLD_8205b68975c546be850548a72e9a6054"/>
            <w:id w:val="885075045"/>
          </w:sdtPr>
          <w:sdtContent>
            <w:tc>
              <w:tcPr>
                <w:tcW w:w="4819" w:type="dxa"/>
                <w:gridSpan w:val="5"/>
                <w:tcBorders>
                  <w:top w:val="single" w:color="auto" w:sz="4" w:space="0"/>
                  <w:left w:val="single" w:color="auto" w:sz="4" w:space="0"/>
                  <w:right w:val="single" w:color="auto" w:sz="4" w:space="0"/>
                </w:tcBorders>
                <w:vAlign w:val="center"/>
              </w:tcPr>
              <w:p w14:paraId="747A6060">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期初余额</w:t>
                </w:r>
              </w:p>
            </w:tc>
          </w:sdtContent>
        </w:sdt>
      </w:tr>
      <w:tr w14:paraId="0841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1560" w:type="dxa"/>
            <w:vMerge w:val="continue"/>
            <w:tcBorders>
              <w:left w:val="single" w:color="auto" w:sz="4" w:space="0"/>
              <w:right w:val="single" w:color="auto" w:sz="4" w:space="0"/>
            </w:tcBorders>
            <w:vAlign w:val="center"/>
          </w:tcPr>
          <w:p w14:paraId="55FF8182">
            <w:pPr>
              <w:pStyle w:val="48"/>
              <w:rPr>
                <w:sz w:val="20"/>
                <w:szCs w:val="20"/>
              </w:rPr>
            </w:pPr>
          </w:p>
        </w:tc>
        <w:sdt>
          <w:sdtPr>
            <w:tag w:val="_PLD_7056cf81ea5945de8de7b1a9d0e25fd7"/>
            <w:id w:val="1983495977"/>
          </w:sdtPr>
          <w:sdtContent>
            <w:tc>
              <w:tcPr>
                <w:tcW w:w="1843" w:type="dxa"/>
                <w:gridSpan w:val="2"/>
                <w:tcBorders>
                  <w:top w:val="single" w:color="auto" w:sz="4" w:space="0"/>
                  <w:left w:val="single" w:color="auto" w:sz="4" w:space="0"/>
                  <w:bottom w:val="single" w:color="auto" w:sz="4" w:space="0"/>
                  <w:right w:val="single" w:color="auto" w:sz="4" w:space="0"/>
                </w:tcBorders>
                <w:vAlign w:val="center"/>
              </w:tcPr>
              <w:p w14:paraId="1F93E7BC">
                <w:pPr>
                  <w:jc w:val="center"/>
                  <w:rPr>
                    <w:rFonts w:ascii="Calibri" w:hAnsi="Calibri"/>
                    <w:sz w:val="20"/>
                    <w:szCs w:val="20"/>
                  </w:rPr>
                </w:pPr>
                <w:r>
                  <w:rPr>
                    <w:rFonts w:hint="eastAsia" w:ascii="Calibri" w:hAnsi="Calibri"/>
                    <w:sz w:val="20"/>
                    <w:szCs w:val="20"/>
                  </w:rPr>
                  <w:t>账面余额</w:t>
                </w:r>
              </w:p>
            </w:tc>
          </w:sdtContent>
        </w:sdt>
        <w:sdt>
          <w:sdtPr>
            <w:tag w:val="_PLD_34f16de3fbfe4d57907bcde799e70cf5"/>
            <w:id w:val="-494570571"/>
          </w:sdtPr>
          <w:sdtContent>
            <w:tc>
              <w:tcPr>
                <w:tcW w:w="1559" w:type="dxa"/>
                <w:gridSpan w:val="2"/>
                <w:tcBorders>
                  <w:top w:val="single" w:color="auto" w:sz="4" w:space="0"/>
                  <w:left w:val="single" w:color="auto" w:sz="4" w:space="0"/>
                  <w:bottom w:val="single" w:color="auto" w:sz="4" w:space="0"/>
                  <w:right w:val="single" w:color="auto" w:sz="4" w:space="0"/>
                </w:tcBorders>
                <w:vAlign w:val="center"/>
              </w:tcPr>
              <w:p w14:paraId="65C718B4">
                <w:pPr>
                  <w:jc w:val="center"/>
                  <w:rPr>
                    <w:rFonts w:ascii="Calibri" w:hAnsi="Calibri"/>
                    <w:sz w:val="20"/>
                    <w:szCs w:val="20"/>
                  </w:rPr>
                </w:pPr>
                <w:r>
                  <w:rPr>
                    <w:rFonts w:hint="eastAsia" w:ascii="Calibri" w:hAnsi="Calibri"/>
                    <w:sz w:val="20"/>
                    <w:szCs w:val="20"/>
                  </w:rPr>
                  <w:t>坏账准备</w:t>
                </w:r>
              </w:p>
            </w:tc>
          </w:sdtContent>
        </w:sdt>
        <w:sdt>
          <w:sdtPr>
            <w:tag w:val="_PLD_cd77106f5f004386a9ab2d4ac038ed51"/>
            <w:id w:val="820078910"/>
          </w:sdtPr>
          <w:sdtContent>
            <w:tc>
              <w:tcPr>
                <w:tcW w:w="1276" w:type="dxa"/>
                <w:vMerge w:val="restart"/>
                <w:tcBorders>
                  <w:top w:val="single" w:color="auto" w:sz="4" w:space="0"/>
                  <w:left w:val="single" w:color="auto" w:sz="4" w:space="0"/>
                  <w:right w:val="single" w:color="auto" w:sz="4" w:space="0"/>
                </w:tcBorders>
                <w:vAlign w:val="center"/>
              </w:tcPr>
              <w:p w14:paraId="6F008B0A">
                <w:pPr>
                  <w:jc w:val="center"/>
                  <w:rPr>
                    <w:rFonts w:ascii="Calibri" w:hAnsi="Calibri"/>
                    <w:sz w:val="20"/>
                    <w:szCs w:val="20"/>
                  </w:rPr>
                </w:pPr>
                <w:r>
                  <w:rPr>
                    <w:rFonts w:hint="eastAsia" w:ascii="Calibri" w:hAnsi="Calibri"/>
                    <w:sz w:val="20"/>
                    <w:szCs w:val="20"/>
                  </w:rPr>
                  <w:t>账面</w:t>
                </w:r>
              </w:p>
              <w:p w14:paraId="61A58C68">
                <w:pPr>
                  <w:jc w:val="center"/>
                  <w:rPr>
                    <w:rFonts w:ascii="Calibri" w:hAnsi="Calibri"/>
                    <w:sz w:val="20"/>
                    <w:szCs w:val="20"/>
                  </w:rPr>
                </w:pPr>
                <w:r>
                  <w:rPr>
                    <w:rFonts w:hint="eastAsia" w:ascii="Calibri" w:hAnsi="Calibri"/>
                    <w:sz w:val="20"/>
                    <w:szCs w:val="20"/>
                  </w:rPr>
                  <w:t>价值</w:t>
                </w:r>
              </w:p>
            </w:tc>
          </w:sdtContent>
        </w:sdt>
        <w:sdt>
          <w:sdtPr>
            <w:tag w:val="_PLD_f426e0de2bf0466d9f5f3a3cac025942"/>
            <w:id w:val="-704946371"/>
          </w:sdtPr>
          <w:sdtContent>
            <w:tc>
              <w:tcPr>
                <w:tcW w:w="1984" w:type="dxa"/>
                <w:gridSpan w:val="2"/>
                <w:tcBorders>
                  <w:top w:val="single" w:color="auto" w:sz="4" w:space="0"/>
                  <w:left w:val="single" w:color="auto" w:sz="4" w:space="0"/>
                  <w:right w:val="single" w:color="auto" w:sz="4" w:space="0"/>
                </w:tcBorders>
                <w:vAlign w:val="center"/>
              </w:tcPr>
              <w:p w14:paraId="24A0C14D">
                <w:pPr>
                  <w:jc w:val="center"/>
                  <w:rPr>
                    <w:rFonts w:ascii="Calibri" w:hAnsi="Calibri"/>
                    <w:sz w:val="20"/>
                    <w:szCs w:val="20"/>
                  </w:rPr>
                </w:pPr>
                <w:r>
                  <w:rPr>
                    <w:rFonts w:hint="eastAsia" w:ascii="Calibri" w:hAnsi="Calibri"/>
                    <w:sz w:val="20"/>
                    <w:szCs w:val="20"/>
                  </w:rPr>
                  <w:t>账面余额</w:t>
                </w:r>
              </w:p>
            </w:tc>
          </w:sdtContent>
        </w:sdt>
        <w:sdt>
          <w:sdtPr>
            <w:tag w:val="_PLD_42ed37b6856f4ff3b7f03ee8855d758a"/>
            <w:id w:val="-134180764"/>
          </w:sdtPr>
          <w:sdtContent>
            <w:tc>
              <w:tcPr>
                <w:tcW w:w="1701" w:type="dxa"/>
                <w:gridSpan w:val="2"/>
                <w:tcBorders>
                  <w:top w:val="single" w:color="auto" w:sz="4" w:space="0"/>
                  <w:left w:val="single" w:color="auto" w:sz="4" w:space="0"/>
                  <w:right w:val="single" w:color="auto" w:sz="4" w:space="0"/>
                </w:tcBorders>
                <w:vAlign w:val="center"/>
              </w:tcPr>
              <w:p w14:paraId="42C918A6">
                <w:pPr>
                  <w:jc w:val="center"/>
                  <w:rPr>
                    <w:rFonts w:ascii="Calibri" w:hAnsi="Calibri"/>
                    <w:sz w:val="20"/>
                    <w:szCs w:val="20"/>
                  </w:rPr>
                </w:pPr>
                <w:r>
                  <w:rPr>
                    <w:rFonts w:hint="eastAsia" w:ascii="Calibri" w:hAnsi="Calibri"/>
                    <w:sz w:val="20"/>
                    <w:szCs w:val="20"/>
                  </w:rPr>
                  <w:t>坏账准备</w:t>
                </w:r>
              </w:p>
            </w:tc>
          </w:sdtContent>
        </w:sdt>
        <w:sdt>
          <w:sdtPr>
            <w:tag w:val="_PLD_f82bf84717ad44b1847dfdc19cbcf7f8"/>
            <w:id w:val="-1588453069"/>
          </w:sdtPr>
          <w:sdtContent>
            <w:tc>
              <w:tcPr>
                <w:tcW w:w="1134" w:type="dxa"/>
                <w:vMerge w:val="restart"/>
                <w:tcBorders>
                  <w:top w:val="single" w:color="auto" w:sz="4" w:space="0"/>
                  <w:left w:val="single" w:color="auto" w:sz="4" w:space="0"/>
                  <w:right w:val="single" w:color="auto" w:sz="4" w:space="0"/>
                </w:tcBorders>
                <w:vAlign w:val="center"/>
              </w:tcPr>
              <w:p w14:paraId="4E190B91">
                <w:pPr>
                  <w:jc w:val="center"/>
                  <w:rPr>
                    <w:rFonts w:ascii="Calibri" w:hAnsi="Calibri"/>
                    <w:sz w:val="20"/>
                    <w:szCs w:val="20"/>
                  </w:rPr>
                </w:pPr>
                <w:r>
                  <w:rPr>
                    <w:rFonts w:hint="eastAsia" w:ascii="Calibri" w:hAnsi="Calibri"/>
                    <w:sz w:val="20"/>
                    <w:szCs w:val="20"/>
                  </w:rPr>
                  <w:t>账面</w:t>
                </w:r>
              </w:p>
              <w:p w14:paraId="26180443">
                <w:pPr>
                  <w:jc w:val="center"/>
                  <w:rPr>
                    <w:rFonts w:ascii="Calibri" w:hAnsi="Calibri"/>
                    <w:sz w:val="20"/>
                    <w:szCs w:val="20"/>
                  </w:rPr>
                </w:pPr>
                <w:r>
                  <w:rPr>
                    <w:rFonts w:hint="eastAsia" w:ascii="Calibri" w:hAnsi="Calibri"/>
                    <w:sz w:val="20"/>
                    <w:szCs w:val="20"/>
                  </w:rPr>
                  <w:t>价值</w:t>
                </w:r>
              </w:p>
            </w:tc>
          </w:sdtContent>
        </w:sdt>
      </w:tr>
      <w:tr w14:paraId="1CE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1560" w:type="dxa"/>
            <w:vMerge w:val="continue"/>
            <w:tcBorders>
              <w:left w:val="single" w:color="auto" w:sz="4" w:space="0"/>
              <w:bottom w:val="single" w:color="auto" w:sz="4" w:space="0"/>
              <w:right w:val="single" w:color="auto" w:sz="4" w:space="0"/>
            </w:tcBorders>
            <w:vAlign w:val="center"/>
          </w:tcPr>
          <w:p w14:paraId="7A6FFA72">
            <w:pPr>
              <w:pStyle w:val="48"/>
              <w:rPr>
                <w:sz w:val="20"/>
                <w:szCs w:val="20"/>
              </w:rPr>
            </w:pPr>
          </w:p>
        </w:tc>
        <w:sdt>
          <w:sdtPr>
            <w:tag w:val="_PLD_aa10a65b20404088a51399b13bc1f8a5"/>
            <w:id w:val="-406300674"/>
          </w:sdtPr>
          <w:sdtContent>
            <w:tc>
              <w:tcPr>
                <w:tcW w:w="1134" w:type="dxa"/>
                <w:tcBorders>
                  <w:left w:val="single" w:color="auto" w:sz="4" w:space="0"/>
                  <w:bottom w:val="single" w:color="auto" w:sz="4" w:space="0"/>
                  <w:right w:val="single" w:color="auto" w:sz="4" w:space="0"/>
                </w:tcBorders>
                <w:vAlign w:val="center"/>
              </w:tcPr>
              <w:p w14:paraId="53C65EB4">
                <w:pPr>
                  <w:jc w:val="center"/>
                  <w:rPr>
                    <w:rFonts w:ascii="Calibri" w:hAnsi="Calibri"/>
                    <w:sz w:val="20"/>
                    <w:szCs w:val="20"/>
                  </w:rPr>
                </w:pPr>
                <w:r>
                  <w:rPr>
                    <w:rFonts w:hint="eastAsia" w:ascii="Calibri" w:hAnsi="Calibri"/>
                    <w:sz w:val="20"/>
                    <w:szCs w:val="20"/>
                  </w:rPr>
                  <w:t>金额</w:t>
                </w:r>
              </w:p>
            </w:tc>
          </w:sdtContent>
        </w:sdt>
        <w:sdt>
          <w:sdtPr>
            <w:tag w:val="_PLD_5ca29603eb73434e9c2b6a938262bcf4"/>
            <w:id w:val="87978109"/>
          </w:sdtPr>
          <w:sdtContent>
            <w:tc>
              <w:tcPr>
                <w:tcW w:w="709" w:type="dxa"/>
                <w:tcBorders>
                  <w:left w:val="single" w:color="auto" w:sz="4" w:space="0"/>
                  <w:bottom w:val="single" w:color="auto" w:sz="4" w:space="0"/>
                  <w:right w:val="single" w:color="auto" w:sz="4" w:space="0"/>
                </w:tcBorders>
                <w:vAlign w:val="center"/>
              </w:tcPr>
              <w:p w14:paraId="4FA5ADD1">
                <w:pPr>
                  <w:jc w:val="center"/>
                  <w:rPr>
                    <w:rFonts w:ascii="Calibri" w:hAnsi="Calibri"/>
                    <w:sz w:val="20"/>
                    <w:szCs w:val="20"/>
                  </w:rPr>
                </w:pPr>
                <w:r>
                  <w:rPr>
                    <w:rFonts w:hint="eastAsia" w:ascii="Calibri" w:hAnsi="Calibri"/>
                    <w:sz w:val="20"/>
                    <w:szCs w:val="20"/>
                  </w:rPr>
                  <w:t>比例</w:t>
                </w:r>
                <w:r>
                  <w:rPr>
                    <w:rFonts w:ascii="Calibri" w:hAnsi="Calibri"/>
                    <w:sz w:val="20"/>
                    <w:szCs w:val="20"/>
                  </w:rPr>
                  <w:t>(%)</w:t>
                </w:r>
              </w:p>
            </w:tc>
          </w:sdtContent>
        </w:sdt>
        <w:sdt>
          <w:sdtPr>
            <w:tag w:val="_PLD_6964d79d10954e17b7bb61b577242def"/>
            <w:id w:val="-1103800478"/>
          </w:sdtPr>
          <w:sdtContent>
            <w:tc>
              <w:tcPr>
                <w:tcW w:w="992" w:type="dxa"/>
                <w:tcBorders>
                  <w:left w:val="single" w:color="auto" w:sz="4" w:space="0"/>
                  <w:bottom w:val="single" w:color="auto" w:sz="4" w:space="0"/>
                  <w:right w:val="single" w:color="auto" w:sz="4" w:space="0"/>
                </w:tcBorders>
                <w:vAlign w:val="center"/>
              </w:tcPr>
              <w:p w14:paraId="0BE3F2BC">
                <w:pPr>
                  <w:jc w:val="center"/>
                  <w:rPr>
                    <w:rFonts w:ascii="Calibri" w:hAnsi="Calibri"/>
                    <w:sz w:val="20"/>
                    <w:szCs w:val="20"/>
                  </w:rPr>
                </w:pPr>
                <w:r>
                  <w:rPr>
                    <w:rFonts w:hint="eastAsia" w:ascii="Calibri" w:hAnsi="Calibri"/>
                    <w:sz w:val="20"/>
                    <w:szCs w:val="20"/>
                  </w:rPr>
                  <w:t>金额</w:t>
                </w:r>
              </w:p>
            </w:tc>
          </w:sdtContent>
        </w:sdt>
        <w:sdt>
          <w:sdtPr>
            <w:tag w:val="_PLD_3b8eaa1922a244bea17eec1b5b1e71f7"/>
            <w:id w:val="-1586692129"/>
          </w:sdtPr>
          <w:sdtContent>
            <w:tc>
              <w:tcPr>
                <w:tcW w:w="567" w:type="dxa"/>
                <w:tcBorders>
                  <w:left w:val="single" w:color="auto" w:sz="4" w:space="0"/>
                  <w:bottom w:val="single" w:color="auto" w:sz="4" w:space="0"/>
                  <w:right w:val="single" w:color="auto" w:sz="4" w:space="0"/>
                </w:tcBorders>
                <w:vAlign w:val="center"/>
              </w:tcPr>
              <w:p w14:paraId="466C0B2D">
                <w:pPr>
                  <w:jc w:val="center"/>
                  <w:rPr>
                    <w:rFonts w:ascii="Calibri" w:hAnsi="Calibri"/>
                    <w:sz w:val="20"/>
                    <w:szCs w:val="20"/>
                  </w:rPr>
                </w:pPr>
                <w:r>
                  <w:rPr>
                    <w:rFonts w:hint="eastAsia" w:ascii="Calibri" w:hAnsi="Calibri"/>
                    <w:sz w:val="20"/>
                    <w:szCs w:val="20"/>
                  </w:rPr>
                  <w:t>计提比例</w:t>
                </w:r>
                <w:r>
                  <w:rPr>
                    <w:rFonts w:ascii="Calibri" w:hAnsi="Calibri"/>
                    <w:sz w:val="20"/>
                    <w:szCs w:val="20"/>
                  </w:rPr>
                  <w:t>(%)</w:t>
                </w:r>
              </w:p>
            </w:tc>
          </w:sdtContent>
        </w:sdt>
        <w:tc>
          <w:tcPr>
            <w:tcW w:w="1276" w:type="dxa"/>
            <w:vMerge w:val="continue"/>
            <w:tcBorders>
              <w:left w:val="single" w:color="auto" w:sz="4" w:space="0"/>
              <w:bottom w:val="single" w:color="auto" w:sz="4" w:space="0"/>
              <w:right w:val="single" w:color="auto" w:sz="4" w:space="0"/>
            </w:tcBorders>
            <w:vAlign w:val="center"/>
          </w:tcPr>
          <w:p w14:paraId="6FBEDFC7">
            <w:pPr>
              <w:jc w:val="center"/>
              <w:rPr>
                <w:rFonts w:ascii="Calibri" w:hAnsi="Calibri"/>
                <w:sz w:val="20"/>
                <w:szCs w:val="20"/>
              </w:rPr>
            </w:pPr>
          </w:p>
        </w:tc>
        <w:sdt>
          <w:sdtPr>
            <w:tag w:val="_PLD_2643b99ff0364343807a178f0f8dd5da"/>
            <w:id w:val="1921454168"/>
          </w:sdtPr>
          <w:sdtContent>
            <w:tc>
              <w:tcPr>
                <w:tcW w:w="1134" w:type="dxa"/>
                <w:tcBorders>
                  <w:left w:val="single" w:color="auto" w:sz="4" w:space="0"/>
                  <w:bottom w:val="single" w:color="auto" w:sz="4" w:space="0"/>
                  <w:right w:val="single" w:color="auto" w:sz="4" w:space="0"/>
                </w:tcBorders>
                <w:vAlign w:val="center"/>
              </w:tcPr>
              <w:p w14:paraId="27C844A3">
                <w:pPr>
                  <w:jc w:val="center"/>
                  <w:rPr>
                    <w:rFonts w:ascii="Calibri" w:hAnsi="Calibri"/>
                    <w:sz w:val="20"/>
                    <w:szCs w:val="20"/>
                  </w:rPr>
                </w:pPr>
                <w:r>
                  <w:rPr>
                    <w:rFonts w:hint="eastAsia" w:ascii="Calibri" w:hAnsi="Calibri"/>
                    <w:sz w:val="20"/>
                    <w:szCs w:val="20"/>
                  </w:rPr>
                  <w:t>金额</w:t>
                </w:r>
              </w:p>
            </w:tc>
          </w:sdtContent>
        </w:sdt>
        <w:sdt>
          <w:sdtPr>
            <w:tag w:val="_PLD_889230571c2941e88f231f43b4b8a99e"/>
            <w:id w:val="1104068617"/>
          </w:sdtPr>
          <w:sdtContent>
            <w:tc>
              <w:tcPr>
                <w:tcW w:w="850" w:type="dxa"/>
                <w:tcBorders>
                  <w:left w:val="single" w:color="auto" w:sz="4" w:space="0"/>
                  <w:bottom w:val="single" w:color="auto" w:sz="4" w:space="0"/>
                  <w:right w:val="single" w:color="auto" w:sz="4" w:space="0"/>
                </w:tcBorders>
                <w:vAlign w:val="center"/>
              </w:tcPr>
              <w:p w14:paraId="3C465CF7">
                <w:pPr>
                  <w:jc w:val="center"/>
                  <w:rPr>
                    <w:rFonts w:ascii="Calibri" w:hAnsi="Calibri"/>
                    <w:sz w:val="20"/>
                    <w:szCs w:val="20"/>
                  </w:rPr>
                </w:pPr>
                <w:r>
                  <w:rPr>
                    <w:rFonts w:hint="eastAsia" w:ascii="Calibri" w:hAnsi="Calibri"/>
                    <w:sz w:val="20"/>
                    <w:szCs w:val="20"/>
                  </w:rPr>
                  <w:t>比例</w:t>
                </w:r>
                <w:r>
                  <w:rPr>
                    <w:rFonts w:ascii="Calibri" w:hAnsi="Calibri"/>
                    <w:sz w:val="20"/>
                    <w:szCs w:val="20"/>
                  </w:rPr>
                  <w:t>(%)</w:t>
                </w:r>
              </w:p>
            </w:tc>
          </w:sdtContent>
        </w:sdt>
        <w:sdt>
          <w:sdtPr>
            <w:tag w:val="_PLD_e1c946a6d26548c493697d23050b8325"/>
            <w:id w:val="1943955155"/>
          </w:sdtPr>
          <w:sdtContent>
            <w:tc>
              <w:tcPr>
                <w:tcW w:w="993" w:type="dxa"/>
                <w:tcBorders>
                  <w:left w:val="single" w:color="auto" w:sz="4" w:space="0"/>
                  <w:bottom w:val="single" w:color="auto" w:sz="4" w:space="0"/>
                  <w:right w:val="single" w:color="auto" w:sz="4" w:space="0"/>
                </w:tcBorders>
                <w:vAlign w:val="center"/>
              </w:tcPr>
              <w:p w14:paraId="7FB46969">
                <w:pPr>
                  <w:jc w:val="center"/>
                  <w:rPr>
                    <w:rFonts w:ascii="Calibri" w:hAnsi="Calibri"/>
                    <w:sz w:val="20"/>
                    <w:szCs w:val="20"/>
                  </w:rPr>
                </w:pPr>
                <w:r>
                  <w:rPr>
                    <w:rFonts w:hint="eastAsia" w:ascii="Calibri" w:hAnsi="Calibri"/>
                    <w:sz w:val="20"/>
                    <w:szCs w:val="20"/>
                  </w:rPr>
                  <w:t>金额</w:t>
                </w:r>
              </w:p>
            </w:tc>
          </w:sdtContent>
        </w:sdt>
        <w:sdt>
          <w:sdtPr>
            <w:tag w:val="_PLD_8bfda0f6261147ccb519211fb86f82f6"/>
            <w:id w:val="367495247"/>
          </w:sdtPr>
          <w:sdtContent>
            <w:tc>
              <w:tcPr>
                <w:tcW w:w="708" w:type="dxa"/>
                <w:tcBorders>
                  <w:left w:val="single" w:color="auto" w:sz="4" w:space="0"/>
                  <w:bottom w:val="single" w:color="auto" w:sz="4" w:space="0"/>
                  <w:right w:val="single" w:color="auto" w:sz="4" w:space="0"/>
                </w:tcBorders>
                <w:vAlign w:val="center"/>
              </w:tcPr>
              <w:p w14:paraId="7A8BC5CE">
                <w:pPr>
                  <w:jc w:val="center"/>
                  <w:rPr>
                    <w:rFonts w:ascii="Calibri" w:hAnsi="Calibri"/>
                    <w:sz w:val="20"/>
                    <w:szCs w:val="20"/>
                  </w:rPr>
                </w:pPr>
                <w:r>
                  <w:rPr>
                    <w:rFonts w:hint="eastAsia" w:ascii="Calibri" w:hAnsi="Calibri"/>
                    <w:sz w:val="20"/>
                    <w:szCs w:val="20"/>
                  </w:rPr>
                  <w:t>计提比例</w:t>
                </w:r>
                <w:r>
                  <w:rPr>
                    <w:rFonts w:ascii="Calibri" w:hAnsi="Calibri"/>
                    <w:sz w:val="20"/>
                    <w:szCs w:val="20"/>
                  </w:rPr>
                  <w:t>(%)</w:t>
                </w:r>
              </w:p>
            </w:tc>
          </w:sdtContent>
        </w:sdt>
        <w:tc>
          <w:tcPr>
            <w:tcW w:w="1134" w:type="dxa"/>
            <w:vMerge w:val="continue"/>
            <w:tcBorders>
              <w:left w:val="single" w:color="auto" w:sz="4" w:space="0"/>
              <w:bottom w:val="single" w:color="auto" w:sz="4" w:space="0"/>
              <w:right w:val="single" w:color="auto" w:sz="4" w:space="0"/>
            </w:tcBorders>
            <w:vAlign w:val="center"/>
          </w:tcPr>
          <w:p w14:paraId="24B2BCA5">
            <w:pPr>
              <w:jc w:val="center"/>
              <w:rPr>
                <w:rFonts w:ascii="Calibri" w:hAnsi="Calibri"/>
                <w:sz w:val="20"/>
                <w:szCs w:val="20"/>
              </w:rPr>
            </w:pPr>
          </w:p>
        </w:tc>
      </w:tr>
      <w:tr w14:paraId="4036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tcBorders>
              <w:top w:val="single" w:color="auto" w:sz="4" w:space="0"/>
              <w:left w:val="single" w:color="auto" w:sz="4" w:space="0"/>
              <w:bottom w:val="single" w:color="auto" w:sz="4" w:space="0"/>
              <w:right w:val="single" w:color="auto" w:sz="4" w:space="0"/>
            </w:tcBorders>
            <w:vAlign w:val="center"/>
          </w:tcPr>
          <w:p w14:paraId="41AE23D3">
            <w:pPr>
              <w:pStyle w:val="48"/>
              <w:rPr>
                <w:sz w:val="20"/>
                <w:szCs w:val="20"/>
              </w:rPr>
            </w:pPr>
            <w:r>
              <w:rPr>
                <w:rFonts w:hint="eastAsia"/>
                <w:sz w:val="20"/>
                <w:szCs w:val="20"/>
              </w:rPr>
              <w:t>按组合计提坏账准备</w:t>
            </w:r>
          </w:p>
        </w:tc>
        <w:tc>
          <w:tcPr>
            <w:tcW w:w="1134" w:type="dxa"/>
            <w:tcBorders>
              <w:top w:val="single" w:color="auto" w:sz="4" w:space="0"/>
              <w:left w:val="single" w:color="auto" w:sz="4" w:space="0"/>
              <w:bottom w:val="single" w:color="auto" w:sz="4" w:space="0"/>
              <w:right w:val="single" w:color="auto" w:sz="4" w:space="0"/>
            </w:tcBorders>
            <w:vAlign w:val="center"/>
          </w:tcPr>
          <w:p w14:paraId="5EF16C6E">
            <w:pPr>
              <w:jc w:val="right"/>
              <w:rPr>
                <w:rFonts w:ascii="Calibri" w:hAnsi="Calibri"/>
                <w:sz w:val="15"/>
                <w:szCs w:val="15"/>
              </w:rPr>
            </w:pPr>
            <w:r>
              <w:rPr>
                <w:rFonts w:ascii="Calibri" w:hAnsi="Calibri"/>
                <w:sz w:val="15"/>
                <w:szCs w:val="15"/>
              </w:rPr>
              <w:t>16,920,717.41</w:t>
            </w:r>
          </w:p>
        </w:tc>
        <w:tc>
          <w:tcPr>
            <w:tcW w:w="709" w:type="dxa"/>
            <w:tcBorders>
              <w:top w:val="single" w:color="auto" w:sz="4" w:space="0"/>
              <w:left w:val="single" w:color="auto" w:sz="4" w:space="0"/>
              <w:bottom w:val="single" w:color="auto" w:sz="4" w:space="0"/>
              <w:right w:val="single" w:color="auto" w:sz="4" w:space="0"/>
            </w:tcBorders>
            <w:vAlign w:val="center"/>
          </w:tcPr>
          <w:p w14:paraId="33749D41">
            <w:pPr>
              <w:jc w:val="right"/>
              <w:rPr>
                <w:rFonts w:ascii="Calibri" w:hAnsi="Calibri"/>
                <w:sz w:val="15"/>
                <w:szCs w:val="15"/>
              </w:rPr>
            </w:pPr>
            <w:r>
              <w:rPr>
                <w:rFonts w:ascii="Calibri" w:hAnsi="Calibri"/>
                <w:sz w:val="15"/>
                <w:szCs w:val="15"/>
              </w:rPr>
              <w:t>100.00</w:t>
            </w:r>
          </w:p>
        </w:tc>
        <w:tc>
          <w:tcPr>
            <w:tcW w:w="992" w:type="dxa"/>
            <w:tcBorders>
              <w:top w:val="single" w:color="auto" w:sz="4" w:space="0"/>
              <w:left w:val="single" w:color="auto" w:sz="4" w:space="0"/>
              <w:bottom w:val="single" w:color="auto" w:sz="4" w:space="0"/>
              <w:right w:val="single" w:color="auto" w:sz="4" w:space="0"/>
            </w:tcBorders>
            <w:vAlign w:val="center"/>
          </w:tcPr>
          <w:p w14:paraId="47A36B35">
            <w:pPr>
              <w:jc w:val="right"/>
              <w:rPr>
                <w:rFonts w:ascii="Calibri" w:hAnsi="Calibri"/>
                <w:sz w:val="15"/>
                <w:szCs w:val="15"/>
              </w:rPr>
            </w:pPr>
            <w:r>
              <w:rPr>
                <w:rFonts w:ascii="Calibri" w:hAnsi="Calibri"/>
                <w:sz w:val="15"/>
                <w:szCs w:val="15"/>
              </w:rPr>
              <w:t>846,035.87</w:t>
            </w:r>
          </w:p>
        </w:tc>
        <w:tc>
          <w:tcPr>
            <w:tcW w:w="567" w:type="dxa"/>
            <w:tcBorders>
              <w:top w:val="single" w:color="auto" w:sz="4" w:space="0"/>
              <w:left w:val="single" w:color="auto" w:sz="4" w:space="0"/>
              <w:bottom w:val="single" w:color="auto" w:sz="4" w:space="0"/>
              <w:right w:val="single" w:color="auto" w:sz="4" w:space="0"/>
            </w:tcBorders>
            <w:vAlign w:val="center"/>
          </w:tcPr>
          <w:p w14:paraId="385B9F02">
            <w:pPr>
              <w:jc w:val="right"/>
              <w:rPr>
                <w:rFonts w:ascii="Calibri" w:hAnsi="Calibri"/>
                <w:sz w:val="15"/>
                <w:szCs w:val="15"/>
              </w:rPr>
            </w:pPr>
            <w:r>
              <w:rPr>
                <w:rFonts w:ascii="Calibri" w:hAnsi="Calibri"/>
                <w:sz w:val="15"/>
                <w:szCs w:val="15"/>
              </w:rPr>
              <w:t>5.00</w:t>
            </w:r>
          </w:p>
        </w:tc>
        <w:tc>
          <w:tcPr>
            <w:tcW w:w="1276" w:type="dxa"/>
            <w:tcBorders>
              <w:top w:val="single" w:color="auto" w:sz="4" w:space="0"/>
              <w:left w:val="single" w:color="auto" w:sz="4" w:space="0"/>
              <w:bottom w:val="single" w:color="auto" w:sz="4" w:space="0"/>
              <w:right w:val="single" w:color="auto" w:sz="4" w:space="0"/>
            </w:tcBorders>
            <w:vAlign w:val="center"/>
          </w:tcPr>
          <w:p w14:paraId="0287D3AE">
            <w:pPr>
              <w:jc w:val="right"/>
              <w:rPr>
                <w:rFonts w:ascii="Calibri" w:hAnsi="Calibri"/>
                <w:sz w:val="15"/>
                <w:szCs w:val="15"/>
              </w:rPr>
            </w:pPr>
            <w:r>
              <w:rPr>
                <w:rFonts w:ascii="Calibri" w:hAnsi="Calibri"/>
                <w:sz w:val="15"/>
                <w:szCs w:val="15"/>
              </w:rPr>
              <w:t>16,074,681.54</w:t>
            </w:r>
          </w:p>
        </w:tc>
        <w:tc>
          <w:tcPr>
            <w:tcW w:w="1134" w:type="dxa"/>
            <w:tcBorders>
              <w:top w:val="single" w:color="auto" w:sz="4" w:space="0"/>
              <w:left w:val="single" w:color="auto" w:sz="4" w:space="0"/>
              <w:bottom w:val="single" w:color="auto" w:sz="4" w:space="0"/>
              <w:right w:val="single" w:color="auto" w:sz="4" w:space="0"/>
            </w:tcBorders>
            <w:vAlign w:val="center"/>
          </w:tcPr>
          <w:p w14:paraId="6C9D4081">
            <w:pPr>
              <w:jc w:val="right"/>
              <w:rPr>
                <w:rFonts w:ascii="Calibri" w:hAnsi="Calibri"/>
                <w:sz w:val="15"/>
                <w:szCs w:val="15"/>
              </w:rPr>
            </w:pPr>
            <w:r>
              <w:rPr>
                <w:rFonts w:ascii="Calibri" w:hAnsi="Calibri"/>
                <w:sz w:val="15"/>
                <w:szCs w:val="15"/>
              </w:rPr>
              <w:t>6,984,010.41</w:t>
            </w:r>
          </w:p>
        </w:tc>
        <w:tc>
          <w:tcPr>
            <w:tcW w:w="850" w:type="dxa"/>
            <w:tcBorders>
              <w:top w:val="single" w:color="auto" w:sz="4" w:space="0"/>
              <w:left w:val="single" w:color="auto" w:sz="4" w:space="0"/>
              <w:bottom w:val="single" w:color="auto" w:sz="4" w:space="0"/>
              <w:right w:val="single" w:color="auto" w:sz="4" w:space="0"/>
            </w:tcBorders>
            <w:vAlign w:val="center"/>
          </w:tcPr>
          <w:p w14:paraId="39652D8C">
            <w:pPr>
              <w:jc w:val="right"/>
              <w:rPr>
                <w:rFonts w:ascii="Calibri" w:hAnsi="Calibri"/>
                <w:sz w:val="15"/>
                <w:szCs w:val="15"/>
              </w:rPr>
            </w:pPr>
            <w:r>
              <w:rPr>
                <w:rFonts w:ascii="Calibri" w:hAnsi="Calibri"/>
                <w:sz w:val="15"/>
                <w:szCs w:val="15"/>
              </w:rPr>
              <w:t>100.00</w:t>
            </w:r>
          </w:p>
        </w:tc>
        <w:tc>
          <w:tcPr>
            <w:tcW w:w="993" w:type="dxa"/>
            <w:tcBorders>
              <w:top w:val="single" w:color="auto" w:sz="4" w:space="0"/>
              <w:left w:val="single" w:color="auto" w:sz="4" w:space="0"/>
              <w:bottom w:val="single" w:color="auto" w:sz="4" w:space="0"/>
              <w:right w:val="single" w:color="auto" w:sz="4" w:space="0"/>
            </w:tcBorders>
            <w:vAlign w:val="center"/>
          </w:tcPr>
          <w:p w14:paraId="74FC90F3">
            <w:pPr>
              <w:jc w:val="right"/>
              <w:rPr>
                <w:rFonts w:ascii="Calibri" w:hAnsi="Calibri"/>
                <w:sz w:val="15"/>
                <w:szCs w:val="15"/>
              </w:rPr>
            </w:pPr>
            <w:r>
              <w:rPr>
                <w:rFonts w:ascii="Calibri" w:hAnsi="Calibri"/>
                <w:sz w:val="15"/>
                <w:szCs w:val="15"/>
              </w:rPr>
              <w:t>349,200.52</w:t>
            </w:r>
          </w:p>
        </w:tc>
        <w:tc>
          <w:tcPr>
            <w:tcW w:w="708" w:type="dxa"/>
            <w:tcBorders>
              <w:top w:val="single" w:color="auto" w:sz="4" w:space="0"/>
              <w:left w:val="single" w:color="auto" w:sz="4" w:space="0"/>
              <w:bottom w:val="single" w:color="auto" w:sz="4" w:space="0"/>
              <w:right w:val="single" w:color="auto" w:sz="4" w:space="0"/>
            </w:tcBorders>
            <w:vAlign w:val="center"/>
          </w:tcPr>
          <w:p w14:paraId="2D411372">
            <w:pPr>
              <w:jc w:val="right"/>
              <w:rPr>
                <w:rFonts w:ascii="Calibri" w:hAnsi="Calibri"/>
                <w:sz w:val="15"/>
                <w:szCs w:val="15"/>
              </w:rPr>
            </w:pPr>
            <w:r>
              <w:rPr>
                <w:rFonts w:ascii="Calibri" w:hAnsi="Calibri"/>
                <w:sz w:val="15"/>
                <w:szCs w:val="15"/>
              </w:rPr>
              <w:t>5.00</w:t>
            </w:r>
          </w:p>
        </w:tc>
        <w:tc>
          <w:tcPr>
            <w:tcW w:w="1134" w:type="dxa"/>
            <w:tcBorders>
              <w:top w:val="single" w:color="auto" w:sz="4" w:space="0"/>
              <w:left w:val="single" w:color="auto" w:sz="4" w:space="0"/>
              <w:bottom w:val="single" w:color="auto" w:sz="4" w:space="0"/>
              <w:right w:val="single" w:color="auto" w:sz="4" w:space="0"/>
            </w:tcBorders>
            <w:vAlign w:val="center"/>
          </w:tcPr>
          <w:p w14:paraId="4A86F310">
            <w:pPr>
              <w:jc w:val="right"/>
              <w:rPr>
                <w:rFonts w:ascii="Calibri" w:hAnsi="Calibri"/>
                <w:sz w:val="15"/>
                <w:szCs w:val="15"/>
              </w:rPr>
            </w:pPr>
            <w:r>
              <w:rPr>
                <w:rFonts w:ascii="Calibri" w:hAnsi="Calibri"/>
                <w:sz w:val="15"/>
                <w:szCs w:val="15"/>
              </w:rPr>
              <w:t>6,634,809.89</w:t>
            </w:r>
          </w:p>
        </w:tc>
      </w:tr>
      <w:tr w14:paraId="2B7B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1b5e68cf63514e05be52ed5144827551"/>
            <w:id w:val="1874110697"/>
          </w:sdtPr>
          <w:sdtContent>
            <w:tc>
              <w:tcPr>
                <w:tcW w:w="11057" w:type="dxa"/>
                <w:gridSpan w:val="11"/>
                <w:tcBorders>
                  <w:top w:val="single" w:color="auto" w:sz="4" w:space="0"/>
                  <w:left w:val="single" w:color="auto" w:sz="4" w:space="0"/>
                  <w:bottom w:val="single" w:color="auto" w:sz="4" w:space="0"/>
                  <w:right w:val="single" w:color="auto" w:sz="4" w:space="0"/>
                </w:tcBorders>
                <w:vAlign w:val="center"/>
              </w:tcPr>
              <w:p w14:paraId="3EAE0CFC">
                <w:pPr>
                  <w:pStyle w:val="48"/>
                  <w:rPr>
                    <w:sz w:val="20"/>
                    <w:szCs w:val="20"/>
                  </w:rPr>
                </w:pPr>
                <w:r>
                  <w:rPr>
                    <w:rFonts w:hint="eastAsia"/>
                    <w:sz w:val="20"/>
                    <w:szCs w:val="20"/>
                  </w:rPr>
                  <w:t>其中：</w:t>
                </w:r>
              </w:p>
            </w:tc>
          </w:sdtContent>
        </w:sdt>
      </w:tr>
      <w:tr w14:paraId="6BC5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alias w:val="按组合计提坏账准备的应收票据明细-类别"/>
            <w:tag w:val="_GBC_ed7e56cbe7ea453aaa8bd5fc800408c8"/>
            <w:id w:val="1708529674"/>
          </w:sdtPr>
          <w:sdtContent>
            <w:tc>
              <w:tcPr>
                <w:tcW w:w="1560" w:type="dxa"/>
                <w:tcBorders>
                  <w:top w:val="single" w:color="auto" w:sz="4" w:space="0"/>
                  <w:left w:val="single" w:color="auto" w:sz="4" w:space="0"/>
                  <w:bottom w:val="single" w:color="auto" w:sz="4" w:space="0"/>
                  <w:right w:val="single" w:color="auto" w:sz="4" w:space="0"/>
                </w:tcBorders>
                <w:vAlign w:val="center"/>
              </w:tcPr>
              <w:p w14:paraId="79FA2220">
                <w:pPr>
                  <w:jc w:val="both"/>
                  <w:rPr>
                    <w:rFonts w:ascii="Calibri" w:hAnsi="Calibri"/>
                    <w:sz w:val="20"/>
                    <w:szCs w:val="20"/>
                  </w:rPr>
                </w:pPr>
                <w:r>
                  <w:rPr>
                    <w:rFonts w:hint="eastAsia" w:ascii="Calibri" w:hAnsi="Calibri"/>
                    <w:sz w:val="20"/>
                    <w:szCs w:val="20"/>
                  </w:rPr>
                  <w:t>银行承兑汇票</w:t>
                </w:r>
              </w:p>
            </w:tc>
          </w:sdtContent>
        </w:sdt>
        <w:tc>
          <w:tcPr>
            <w:tcW w:w="1134" w:type="dxa"/>
            <w:tcBorders>
              <w:top w:val="single" w:color="auto" w:sz="4" w:space="0"/>
              <w:left w:val="single" w:color="auto" w:sz="4" w:space="0"/>
              <w:bottom w:val="single" w:color="auto" w:sz="4" w:space="0"/>
              <w:right w:val="single" w:color="auto" w:sz="4" w:space="0"/>
            </w:tcBorders>
            <w:vAlign w:val="center"/>
          </w:tcPr>
          <w:p w14:paraId="4447A72E">
            <w:pPr>
              <w:jc w:val="right"/>
              <w:rPr>
                <w:rFonts w:ascii="Calibri" w:hAnsi="Calibri"/>
                <w:sz w:val="15"/>
                <w:szCs w:val="15"/>
              </w:rPr>
            </w:pPr>
            <w:r>
              <w:rPr>
                <w:rFonts w:ascii="Calibri" w:hAnsi="Calibri"/>
                <w:sz w:val="15"/>
                <w:szCs w:val="15"/>
              </w:rPr>
              <w:t>16,920,717.41</w:t>
            </w:r>
          </w:p>
        </w:tc>
        <w:tc>
          <w:tcPr>
            <w:tcW w:w="709" w:type="dxa"/>
            <w:tcBorders>
              <w:top w:val="single" w:color="auto" w:sz="4" w:space="0"/>
              <w:left w:val="single" w:color="auto" w:sz="4" w:space="0"/>
              <w:bottom w:val="single" w:color="auto" w:sz="4" w:space="0"/>
              <w:right w:val="single" w:color="auto" w:sz="4" w:space="0"/>
            </w:tcBorders>
            <w:vAlign w:val="center"/>
          </w:tcPr>
          <w:p w14:paraId="687314FE">
            <w:pPr>
              <w:jc w:val="right"/>
              <w:rPr>
                <w:rFonts w:ascii="Calibri" w:hAnsi="Calibri"/>
                <w:sz w:val="15"/>
                <w:szCs w:val="15"/>
              </w:rPr>
            </w:pPr>
            <w:r>
              <w:rPr>
                <w:rFonts w:ascii="Calibri" w:hAnsi="Calibri"/>
                <w:sz w:val="15"/>
                <w:szCs w:val="15"/>
              </w:rPr>
              <w:t>100.00</w:t>
            </w:r>
          </w:p>
        </w:tc>
        <w:tc>
          <w:tcPr>
            <w:tcW w:w="992" w:type="dxa"/>
            <w:tcBorders>
              <w:top w:val="single" w:color="auto" w:sz="4" w:space="0"/>
              <w:left w:val="single" w:color="auto" w:sz="4" w:space="0"/>
              <w:bottom w:val="single" w:color="auto" w:sz="4" w:space="0"/>
              <w:right w:val="single" w:color="auto" w:sz="4" w:space="0"/>
            </w:tcBorders>
            <w:vAlign w:val="center"/>
          </w:tcPr>
          <w:p w14:paraId="2CAACE4A">
            <w:pPr>
              <w:jc w:val="right"/>
              <w:rPr>
                <w:rFonts w:ascii="Calibri" w:hAnsi="Calibri"/>
                <w:sz w:val="15"/>
                <w:szCs w:val="15"/>
              </w:rPr>
            </w:pPr>
            <w:r>
              <w:rPr>
                <w:rFonts w:ascii="Calibri" w:hAnsi="Calibri"/>
                <w:sz w:val="15"/>
                <w:szCs w:val="15"/>
              </w:rPr>
              <w:t>846,035.87</w:t>
            </w:r>
          </w:p>
        </w:tc>
        <w:tc>
          <w:tcPr>
            <w:tcW w:w="567" w:type="dxa"/>
            <w:tcBorders>
              <w:top w:val="single" w:color="auto" w:sz="4" w:space="0"/>
              <w:left w:val="single" w:color="auto" w:sz="4" w:space="0"/>
              <w:bottom w:val="single" w:color="auto" w:sz="4" w:space="0"/>
              <w:right w:val="single" w:color="auto" w:sz="4" w:space="0"/>
            </w:tcBorders>
            <w:vAlign w:val="center"/>
          </w:tcPr>
          <w:p w14:paraId="0FDF0EF1">
            <w:pPr>
              <w:jc w:val="right"/>
              <w:rPr>
                <w:rFonts w:ascii="Calibri" w:hAnsi="Calibri"/>
                <w:sz w:val="15"/>
                <w:szCs w:val="15"/>
              </w:rPr>
            </w:pPr>
            <w:r>
              <w:rPr>
                <w:rFonts w:ascii="Calibri" w:hAnsi="Calibri"/>
                <w:sz w:val="15"/>
                <w:szCs w:val="15"/>
              </w:rPr>
              <w:t>5.00</w:t>
            </w:r>
          </w:p>
        </w:tc>
        <w:tc>
          <w:tcPr>
            <w:tcW w:w="1276" w:type="dxa"/>
            <w:tcBorders>
              <w:top w:val="single" w:color="auto" w:sz="4" w:space="0"/>
              <w:left w:val="single" w:color="auto" w:sz="4" w:space="0"/>
              <w:bottom w:val="single" w:color="auto" w:sz="4" w:space="0"/>
              <w:right w:val="single" w:color="auto" w:sz="4" w:space="0"/>
            </w:tcBorders>
            <w:vAlign w:val="center"/>
          </w:tcPr>
          <w:p w14:paraId="75FA7A68">
            <w:pPr>
              <w:jc w:val="right"/>
              <w:rPr>
                <w:rFonts w:ascii="Calibri" w:hAnsi="Calibri"/>
                <w:sz w:val="15"/>
                <w:szCs w:val="15"/>
              </w:rPr>
            </w:pPr>
            <w:r>
              <w:rPr>
                <w:rFonts w:ascii="Calibri" w:hAnsi="Calibri"/>
                <w:sz w:val="15"/>
                <w:szCs w:val="15"/>
              </w:rPr>
              <w:t>16,074,681.54</w:t>
            </w:r>
          </w:p>
        </w:tc>
        <w:tc>
          <w:tcPr>
            <w:tcW w:w="1134" w:type="dxa"/>
            <w:tcBorders>
              <w:top w:val="single" w:color="auto" w:sz="4" w:space="0"/>
              <w:left w:val="single" w:color="auto" w:sz="4" w:space="0"/>
              <w:bottom w:val="single" w:color="auto" w:sz="4" w:space="0"/>
              <w:right w:val="single" w:color="auto" w:sz="4" w:space="0"/>
            </w:tcBorders>
            <w:vAlign w:val="center"/>
          </w:tcPr>
          <w:p w14:paraId="0547FC95">
            <w:pPr>
              <w:jc w:val="right"/>
              <w:rPr>
                <w:rFonts w:ascii="Calibri" w:hAnsi="Calibri"/>
                <w:sz w:val="15"/>
                <w:szCs w:val="15"/>
              </w:rPr>
            </w:pPr>
            <w:r>
              <w:rPr>
                <w:rFonts w:ascii="Calibri" w:hAnsi="Calibri"/>
                <w:sz w:val="15"/>
                <w:szCs w:val="15"/>
              </w:rPr>
              <w:t>6,984,010.41</w:t>
            </w:r>
          </w:p>
        </w:tc>
        <w:tc>
          <w:tcPr>
            <w:tcW w:w="850" w:type="dxa"/>
            <w:tcBorders>
              <w:top w:val="single" w:color="auto" w:sz="4" w:space="0"/>
              <w:left w:val="single" w:color="auto" w:sz="4" w:space="0"/>
              <w:bottom w:val="single" w:color="auto" w:sz="4" w:space="0"/>
              <w:right w:val="single" w:color="auto" w:sz="4" w:space="0"/>
            </w:tcBorders>
            <w:vAlign w:val="center"/>
          </w:tcPr>
          <w:p w14:paraId="773199EB">
            <w:pPr>
              <w:jc w:val="right"/>
              <w:rPr>
                <w:rFonts w:ascii="Calibri" w:hAnsi="Calibri"/>
                <w:sz w:val="15"/>
                <w:szCs w:val="15"/>
              </w:rPr>
            </w:pPr>
            <w:r>
              <w:rPr>
                <w:rFonts w:ascii="Calibri" w:hAnsi="Calibri"/>
                <w:sz w:val="15"/>
                <w:szCs w:val="15"/>
              </w:rPr>
              <w:t>100.00</w:t>
            </w:r>
          </w:p>
        </w:tc>
        <w:tc>
          <w:tcPr>
            <w:tcW w:w="993" w:type="dxa"/>
            <w:tcBorders>
              <w:top w:val="single" w:color="auto" w:sz="4" w:space="0"/>
              <w:left w:val="single" w:color="auto" w:sz="4" w:space="0"/>
              <w:bottom w:val="single" w:color="auto" w:sz="4" w:space="0"/>
              <w:right w:val="single" w:color="auto" w:sz="4" w:space="0"/>
            </w:tcBorders>
            <w:vAlign w:val="center"/>
          </w:tcPr>
          <w:p w14:paraId="737773C8">
            <w:pPr>
              <w:jc w:val="right"/>
              <w:rPr>
                <w:rFonts w:ascii="Calibri" w:hAnsi="Calibri"/>
                <w:sz w:val="15"/>
                <w:szCs w:val="15"/>
              </w:rPr>
            </w:pPr>
            <w:r>
              <w:rPr>
                <w:rFonts w:ascii="Calibri" w:hAnsi="Calibri"/>
                <w:sz w:val="15"/>
                <w:szCs w:val="15"/>
              </w:rPr>
              <w:t>349,200.52</w:t>
            </w:r>
          </w:p>
        </w:tc>
        <w:tc>
          <w:tcPr>
            <w:tcW w:w="708" w:type="dxa"/>
            <w:tcBorders>
              <w:top w:val="single" w:color="auto" w:sz="4" w:space="0"/>
              <w:left w:val="single" w:color="auto" w:sz="4" w:space="0"/>
              <w:bottom w:val="single" w:color="auto" w:sz="4" w:space="0"/>
              <w:right w:val="single" w:color="auto" w:sz="4" w:space="0"/>
            </w:tcBorders>
            <w:vAlign w:val="center"/>
          </w:tcPr>
          <w:p w14:paraId="07570059">
            <w:pPr>
              <w:jc w:val="right"/>
              <w:rPr>
                <w:rFonts w:ascii="Calibri" w:hAnsi="Calibri"/>
                <w:sz w:val="15"/>
                <w:szCs w:val="15"/>
              </w:rPr>
            </w:pPr>
            <w:r>
              <w:rPr>
                <w:rFonts w:ascii="Calibri" w:hAnsi="Calibri"/>
                <w:sz w:val="15"/>
                <w:szCs w:val="15"/>
              </w:rPr>
              <w:t>5.00</w:t>
            </w:r>
          </w:p>
        </w:tc>
        <w:tc>
          <w:tcPr>
            <w:tcW w:w="1134" w:type="dxa"/>
            <w:tcBorders>
              <w:top w:val="single" w:color="auto" w:sz="4" w:space="0"/>
              <w:left w:val="single" w:color="auto" w:sz="4" w:space="0"/>
              <w:bottom w:val="single" w:color="auto" w:sz="4" w:space="0"/>
              <w:right w:val="single" w:color="auto" w:sz="4" w:space="0"/>
            </w:tcBorders>
            <w:vAlign w:val="center"/>
          </w:tcPr>
          <w:p w14:paraId="0293034C">
            <w:pPr>
              <w:jc w:val="right"/>
              <w:rPr>
                <w:rFonts w:ascii="Calibri" w:hAnsi="Calibri"/>
                <w:sz w:val="15"/>
                <w:szCs w:val="15"/>
              </w:rPr>
            </w:pPr>
            <w:r>
              <w:rPr>
                <w:rFonts w:ascii="Calibri" w:hAnsi="Calibri"/>
                <w:sz w:val="15"/>
                <w:szCs w:val="15"/>
              </w:rPr>
              <w:t>6,634,809.89</w:t>
            </w:r>
          </w:p>
        </w:tc>
      </w:tr>
      <w:tr w14:paraId="0E52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0" w:type="dxa"/>
            <w:tcBorders>
              <w:top w:val="single" w:color="auto" w:sz="4" w:space="0"/>
              <w:left w:val="single" w:color="auto" w:sz="4" w:space="0"/>
              <w:bottom w:val="single" w:color="auto" w:sz="4" w:space="0"/>
              <w:right w:val="single" w:color="auto" w:sz="4" w:space="0"/>
            </w:tcBorders>
            <w:vAlign w:val="center"/>
          </w:tcPr>
          <w:p w14:paraId="5A5035B6">
            <w:pPr>
              <w:autoSpaceDE w:val="0"/>
              <w:autoSpaceDN w:val="0"/>
              <w:adjustRightInd w:val="0"/>
              <w:jc w:val="center"/>
              <w:rPr>
                <w:rFonts w:ascii="Calibri" w:hAnsi="Calibri"/>
                <w:sz w:val="20"/>
                <w:szCs w:val="20"/>
              </w:rPr>
            </w:pPr>
            <w:r>
              <w:rPr>
                <w:rFonts w:hint="eastAsia" w:ascii="Calibri" w:hAnsi="Calibri"/>
                <w:sz w:val="20"/>
                <w:szCs w:val="20"/>
              </w:rPr>
              <w:t>合计</w:t>
            </w:r>
          </w:p>
        </w:tc>
        <w:tc>
          <w:tcPr>
            <w:tcW w:w="1134" w:type="dxa"/>
            <w:tcBorders>
              <w:top w:val="single" w:color="auto" w:sz="4" w:space="0"/>
              <w:left w:val="single" w:color="auto" w:sz="4" w:space="0"/>
              <w:bottom w:val="single" w:color="auto" w:sz="4" w:space="0"/>
              <w:right w:val="single" w:color="auto" w:sz="4" w:space="0"/>
            </w:tcBorders>
            <w:vAlign w:val="center"/>
          </w:tcPr>
          <w:p w14:paraId="74657C7A">
            <w:pPr>
              <w:jc w:val="right"/>
              <w:rPr>
                <w:rFonts w:ascii="Calibri" w:hAnsi="Calibri"/>
                <w:sz w:val="15"/>
                <w:szCs w:val="15"/>
              </w:rPr>
            </w:pPr>
            <w:r>
              <w:rPr>
                <w:rFonts w:ascii="Calibri" w:hAnsi="Calibri"/>
                <w:sz w:val="15"/>
                <w:szCs w:val="15"/>
              </w:rPr>
              <w:t>16,920,717.41</w:t>
            </w:r>
          </w:p>
        </w:tc>
        <w:tc>
          <w:tcPr>
            <w:tcW w:w="709" w:type="dxa"/>
            <w:tcBorders>
              <w:top w:val="single" w:color="auto" w:sz="4" w:space="0"/>
              <w:left w:val="single" w:color="auto" w:sz="4" w:space="0"/>
              <w:bottom w:val="single" w:color="auto" w:sz="4" w:space="0"/>
              <w:right w:val="single" w:color="auto" w:sz="4" w:space="0"/>
            </w:tcBorders>
            <w:vAlign w:val="center"/>
          </w:tcPr>
          <w:p w14:paraId="451EC728">
            <w:pPr>
              <w:jc w:val="center"/>
              <w:rPr>
                <w:rFonts w:ascii="Calibri" w:hAnsi="Calibri"/>
                <w:sz w:val="15"/>
                <w:szCs w:val="15"/>
              </w:rPr>
            </w:pPr>
            <w:r>
              <w:rPr>
                <w:rFonts w:hint="eastAsia" w:ascii="Calibri" w:hAnsi="Calibri"/>
                <w:sz w:val="15"/>
                <w:szCs w:val="15"/>
              </w:rPr>
              <w:t>/</w:t>
            </w:r>
          </w:p>
        </w:tc>
        <w:tc>
          <w:tcPr>
            <w:tcW w:w="992" w:type="dxa"/>
            <w:tcBorders>
              <w:top w:val="single" w:color="auto" w:sz="4" w:space="0"/>
              <w:left w:val="single" w:color="auto" w:sz="4" w:space="0"/>
              <w:bottom w:val="single" w:color="auto" w:sz="4" w:space="0"/>
              <w:right w:val="single" w:color="auto" w:sz="4" w:space="0"/>
            </w:tcBorders>
            <w:vAlign w:val="center"/>
          </w:tcPr>
          <w:p w14:paraId="791686C1">
            <w:pPr>
              <w:jc w:val="right"/>
              <w:rPr>
                <w:rFonts w:ascii="Calibri" w:hAnsi="Calibri"/>
                <w:sz w:val="15"/>
                <w:szCs w:val="15"/>
              </w:rPr>
            </w:pPr>
            <w:r>
              <w:rPr>
                <w:rFonts w:ascii="Calibri" w:hAnsi="Calibri"/>
                <w:sz w:val="15"/>
                <w:szCs w:val="15"/>
              </w:rPr>
              <w:t>846,035.87</w:t>
            </w:r>
          </w:p>
        </w:tc>
        <w:tc>
          <w:tcPr>
            <w:tcW w:w="567" w:type="dxa"/>
            <w:tcBorders>
              <w:top w:val="single" w:color="auto" w:sz="4" w:space="0"/>
              <w:left w:val="single" w:color="auto" w:sz="4" w:space="0"/>
              <w:bottom w:val="single" w:color="auto" w:sz="4" w:space="0"/>
              <w:right w:val="single" w:color="auto" w:sz="4" w:space="0"/>
            </w:tcBorders>
            <w:vAlign w:val="center"/>
          </w:tcPr>
          <w:p w14:paraId="5B937D58">
            <w:pPr>
              <w:jc w:val="center"/>
              <w:rPr>
                <w:rFonts w:ascii="Calibri" w:hAnsi="Calibri"/>
                <w:sz w:val="15"/>
                <w:szCs w:val="15"/>
              </w:rPr>
            </w:pPr>
            <w:r>
              <w:rPr>
                <w:rFonts w:hint="eastAsia" w:ascii="Calibri" w:hAnsi="Calibri"/>
                <w:sz w:val="15"/>
                <w:szCs w:val="15"/>
              </w:rPr>
              <w:t>/</w:t>
            </w:r>
          </w:p>
        </w:tc>
        <w:tc>
          <w:tcPr>
            <w:tcW w:w="1276" w:type="dxa"/>
            <w:tcBorders>
              <w:top w:val="single" w:color="auto" w:sz="4" w:space="0"/>
              <w:left w:val="single" w:color="auto" w:sz="4" w:space="0"/>
              <w:bottom w:val="single" w:color="auto" w:sz="4" w:space="0"/>
              <w:right w:val="single" w:color="auto" w:sz="4" w:space="0"/>
            </w:tcBorders>
            <w:vAlign w:val="center"/>
          </w:tcPr>
          <w:p w14:paraId="15435E09">
            <w:pPr>
              <w:jc w:val="right"/>
              <w:rPr>
                <w:rFonts w:ascii="Calibri" w:hAnsi="Calibri"/>
                <w:sz w:val="15"/>
                <w:szCs w:val="15"/>
              </w:rPr>
            </w:pPr>
            <w:r>
              <w:rPr>
                <w:rFonts w:ascii="Calibri" w:hAnsi="Calibri"/>
                <w:sz w:val="15"/>
                <w:szCs w:val="15"/>
              </w:rPr>
              <w:t>16,074,681.54</w:t>
            </w:r>
          </w:p>
        </w:tc>
        <w:tc>
          <w:tcPr>
            <w:tcW w:w="1134" w:type="dxa"/>
            <w:tcBorders>
              <w:top w:val="single" w:color="auto" w:sz="4" w:space="0"/>
              <w:left w:val="single" w:color="auto" w:sz="4" w:space="0"/>
              <w:bottom w:val="single" w:color="auto" w:sz="4" w:space="0"/>
              <w:right w:val="single" w:color="auto" w:sz="4" w:space="0"/>
            </w:tcBorders>
            <w:vAlign w:val="center"/>
          </w:tcPr>
          <w:p w14:paraId="2A91B248">
            <w:pPr>
              <w:jc w:val="right"/>
              <w:rPr>
                <w:rFonts w:ascii="Calibri" w:hAnsi="Calibri"/>
                <w:sz w:val="15"/>
                <w:szCs w:val="15"/>
              </w:rPr>
            </w:pPr>
            <w:r>
              <w:rPr>
                <w:rFonts w:ascii="Calibri" w:hAnsi="Calibri"/>
                <w:sz w:val="15"/>
                <w:szCs w:val="15"/>
              </w:rPr>
              <w:t>6,984,010.41</w:t>
            </w:r>
          </w:p>
        </w:tc>
        <w:tc>
          <w:tcPr>
            <w:tcW w:w="850" w:type="dxa"/>
            <w:tcBorders>
              <w:top w:val="single" w:color="auto" w:sz="4" w:space="0"/>
              <w:left w:val="single" w:color="auto" w:sz="4" w:space="0"/>
              <w:bottom w:val="single" w:color="auto" w:sz="4" w:space="0"/>
              <w:right w:val="single" w:color="auto" w:sz="4" w:space="0"/>
            </w:tcBorders>
            <w:vAlign w:val="center"/>
          </w:tcPr>
          <w:p w14:paraId="1DA0F4F7">
            <w:pPr>
              <w:jc w:val="center"/>
              <w:rPr>
                <w:rFonts w:ascii="Calibri" w:hAnsi="Calibri"/>
                <w:sz w:val="15"/>
                <w:szCs w:val="15"/>
              </w:rPr>
            </w:pPr>
            <w:r>
              <w:rPr>
                <w:rFonts w:hint="eastAsia" w:ascii="Calibri" w:hAnsi="Calibri"/>
                <w:sz w:val="15"/>
                <w:szCs w:val="15"/>
              </w:rPr>
              <w:t>/</w:t>
            </w:r>
          </w:p>
        </w:tc>
        <w:tc>
          <w:tcPr>
            <w:tcW w:w="993" w:type="dxa"/>
            <w:tcBorders>
              <w:top w:val="single" w:color="auto" w:sz="4" w:space="0"/>
              <w:left w:val="single" w:color="auto" w:sz="4" w:space="0"/>
              <w:bottom w:val="single" w:color="auto" w:sz="4" w:space="0"/>
              <w:right w:val="single" w:color="auto" w:sz="4" w:space="0"/>
            </w:tcBorders>
            <w:vAlign w:val="center"/>
          </w:tcPr>
          <w:p w14:paraId="41F109EE">
            <w:pPr>
              <w:jc w:val="right"/>
              <w:rPr>
                <w:rFonts w:ascii="Calibri" w:hAnsi="Calibri"/>
                <w:sz w:val="15"/>
                <w:szCs w:val="15"/>
              </w:rPr>
            </w:pPr>
            <w:r>
              <w:rPr>
                <w:rFonts w:ascii="Calibri" w:hAnsi="Calibri"/>
                <w:sz w:val="15"/>
                <w:szCs w:val="15"/>
              </w:rPr>
              <w:t>349,200.52</w:t>
            </w:r>
          </w:p>
        </w:tc>
        <w:tc>
          <w:tcPr>
            <w:tcW w:w="708" w:type="dxa"/>
            <w:tcBorders>
              <w:top w:val="single" w:color="auto" w:sz="4" w:space="0"/>
              <w:left w:val="single" w:color="auto" w:sz="4" w:space="0"/>
              <w:bottom w:val="single" w:color="auto" w:sz="4" w:space="0"/>
              <w:right w:val="single" w:color="auto" w:sz="4" w:space="0"/>
            </w:tcBorders>
            <w:vAlign w:val="center"/>
          </w:tcPr>
          <w:p w14:paraId="0031000F">
            <w:pPr>
              <w:jc w:val="center"/>
              <w:rPr>
                <w:rFonts w:ascii="Calibri" w:hAnsi="Calibri"/>
                <w:sz w:val="15"/>
                <w:szCs w:val="15"/>
              </w:rPr>
            </w:pPr>
            <w:r>
              <w:rPr>
                <w:rFonts w:hint="eastAsia" w:ascii="Calibri" w:hAnsi="Calibri"/>
                <w:sz w:val="15"/>
                <w:szCs w:val="15"/>
              </w:rPr>
              <w:t>/</w:t>
            </w:r>
          </w:p>
        </w:tc>
        <w:tc>
          <w:tcPr>
            <w:tcW w:w="1134" w:type="dxa"/>
            <w:tcBorders>
              <w:top w:val="single" w:color="auto" w:sz="4" w:space="0"/>
              <w:left w:val="single" w:color="auto" w:sz="4" w:space="0"/>
              <w:bottom w:val="single" w:color="auto" w:sz="4" w:space="0"/>
              <w:right w:val="single" w:color="auto" w:sz="4" w:space="0"/>
            </w:tcBorders>
            <w:vAlign w:val="center"/>
          </w:tcPr>
          <w:p w14:paraId="744D5111">
            <w:pPr>
              <w:jc w:val="right"/>
              <w:rPr>
                <w:rFonts w:ascii="Calibri" w:hAnsi="Calibri"/>
                <w:sz w:val="15"/>
                <w:szCs w:val="15"/>
              </w:rPr>
            </w:pPr>
            <w:r>
              <w:rPr>
                <w:rFonts w:ascii="Calibri" w:hAnsi="Calibri"/>
                <w:sz w:val="15"/>
                <w:szCs w:val="15"/>
              </w:rPr>
              <w:t>6,634,809.89</w:t>
            </w:r>
          </w:p>
        </w:tc>
      </w:tr>
    </w:tbl>
    <w:p w14:paraId="05792E17">
      <w:pPr>
        <w:pStyle w:val="48"/>
      </w:pPr>
    </w:p>
    <w:bookmarkEnd w:id="225"/>
    <w:bookmarkEnd w:id="226"/>
    <w:p w14:paraId="1761C592">
      <w:pPr>
        <w:pStyle w:val="48"/>
      </w:pPr>
      <w:r>
        <w:rPr>
          <w:rFonts w:hint="eastAsia"/>
        </w:rPr>
        <w:t>按单项计提坏账准备：</w:t>
      </w:r>
    </w:p>
    <w:sdt>
      <w:sdtPr>
        <w:rPr>
          <w:rFonts w:hint="eastAsia"/>
        </w:rPr>
        <w:alias w:val="是否适用：按单项计提坏账准备的应收票据详细情况[双击切换]"/>
        <w:tag w:val="_GBC_9f41f638de8f4c42b9d00ca6755931fb"/>
        <w:id w:val="1322079524"/>
        <w:placeholder>
          <w:docPart w:val="GBC22222222222222222222222222222"/>
        </w:placeholder>
      </w:sdtPr>
      <w:sdtEndPr>
        <w:rPr>
          <w:rFonts w:hint="eastAsia"/>
        </w:rPr>
      </w:sdtEndPr>
      <w:sdtContent>
        <w:p w14:paraId="3DB097B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7ADB4E">
      <w:pPr>
        <w:pStyle w:val="48"/>
      </w:pPr>
      <w:bookmarkStart w:id="227" w:name="_Hlk533597423"/>
    </w:p>
    <w:p w14:paraId="12F4ADD2">
      <w:pPr>
        <w:pStyle w:val="48"/>
      </w:pPr>
    </w:p>
    <w:bookmarkEnd w:id="227"/>
    <w:sdt>
      <w:sdtPr>
        <w:tag w:val="_PLD_c5822df72e094b5083c45a32639c6995"/>
        <w:id w:val="1331180848"/>
      </w:sdtPr>
      <w:sdtContent>
        <w:p w14:paraId="48C2C2B3">
          <w:pPr>
            <w:rPr>
              <w:rFonts w:asciiTheme="minorHAnsi" w:hAnsiTheme="minorHAnsi" w:cstheme="minorBidi"/>
              <w:bCs/>
              <w:szCs w:val="22"/>
            </w:rPr>
          </w:pPr>
          <w:r>
            <w:rPr>
              <w:rFonts w:hint="eastAsia" w:asciiTheme="minorHAnsi" w:hAnsiTheme="minorHAnsi" w:cstheme="minorBidi"/>
              <w:bCs/>
              <w:szCs w:val="22"/>
            </w:rPr>
            <w:t>按组合计提坏账准备：</w:t>
          </w:r>
        </w:p>
      </w:sdtContent>
    </w:sdt>
    <w:sdt>
      <w:sdtPr>
        <w:rPr>
          <w:rFonts w:hint="eastAsia" w:asciiTheme="minorHAnsi" w:hAnsiTheme="minorHAnsi" w:cstheme="minorBidi"/>
          <w:bCs/>
          <w:szCs w:val="22"/>
        </w:rPr>
        <w:alias w:val="是否适用：按组合计提坏账准备的应收票据详细情况[双击切换]"/>
        <w:tag w:val="_GBC_6007da8f43a241c5b804069722b7b005"/>
        <w:id w:val="-1285804589"/>
        <w:lock w:val="contentLocked"/>
        <w:placeholder>
          <w:docPart w:val="GBC22222222222222222222222222222"/>
        </w:placeholder>
      </w:sdtPr>
      <w:sdtEndPr>
        <w:rPr>
          <w:rFonts w:hint="eastAsia" w:asciiTheme="minorHAnsi" w:hAnsiTheme="minorHAnsi" w:cstheme="minorBidi"/>
          <w:bCs/>
          <w:szCs w:val="22"/>
        </w:rPr>
      </w:sdtEndPr>
      <w:sdtContent>
        <w:p w14:paraId="38703E18">
          <w:pPr>
            <w:rPr>
              <w:rFonts w:asciiTheme="minorHAnsi" w:hAnsiTheme="minorHAnsi" w:cstheme="minorBidi"/>
              <w:bCs/>
              <w:szCs w:val="22"/>
            </w:rPr>
          </w:pPr>
          <w:r>
            <w:rPr>
              <w:rFonts w:ascii="宋体" w:hAnsi="宋体" w:cstheme="minorBidi"/>
              <w:bCs/>
              <w:szCs w:val="22"/>
            </w:rPr>
            <w:fldChar w:fldCharType="begin"/>
          </w:r>
          <w:r>
            <w:rPr>
              <w:rFonts w:ascii="宋体" w:hAnsi="宋体" w:cstheme="minorBidi"/>
              <w:bCs/>
              <w:szCs w:val="22"/>
            </w:rPr>
            <w:instrText xml:space="preserve"> </w:instrText>
          </w:r>
          <w:r>
            <w:rPr>
              <w:rFonts w:hint="eastAsia" w:ascii="宋体" w:hAnsi="宋体" w:cstheme="minorBidi"/>
              <w:bCs/>
              <w:szCs w:val="22"/>
            </w:rPr>
            <w:instrText xml:space="preserve">MACROBUTTON  SnrToggleCheckbox √适用</w:instrText>
          </w:r>
          <w:r>
            <w:rPr>
              <w:rFonts w:ascii="宋体" w:hAnsi="宋体" w:cstheme="minorBidi"/>
              <w:bCs/>
              <w:szCs w:val="22"/>
            </w:rPr>
            <w:instrText xml:space="preserve">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14:paraId="1A37C629">
      <w:pPr>
        <w:rPr>
          <w:rFonts w:asciiTheme="minorHAnsi" w:hAnsiTheme="minorHAnsi" w:cstheme="minorBidi"/>
          <w:bCs/>
          <w:szCs w:val="22"/>
        </w:rPr>
      </w:pPr>
      <w:bookmarkStart w:id="228" w:name="_Hlk533601037"/>
      <w:r>
        <w:rPr>
          <w:rFonts w:hint="eastAsia"/>
        </w:rPr>
        <w:t>组合计提项目</w:t>
      </w:r>
      <w:r>
        <w:rPr>
          <w:rFonts w:hint="eastAsia" w:asciiTheme="minorHAnsi" w:hAnsiTheme="minorHAnsi" w:cstheme="minorBidi"/>
          <w:bCs/>
          <w:szCs w:val="22"/>
        </w:rPr>
        <w:t>：</w:t>
      </w:r>
      <w:sdt>
        <w:sdtPr>
          <w:rPr>
            <w:rFonts w:hint="eastAsia" w:asciiTheme="minorHAnsi" w:hAnsiTheme="minorHAnsi" w:cstheme="minorBidi"/>
            <w:bCs/>
            <w:szCs w:val="22"/>
          </w:rPr>
          <w:alias w:val="按组合计提坏账准备的应收票据明细-类别"/>
          <w:tag w:val="_GBC_d433aaa229cd452c9e29c0f4c5efd15b"/>
          <w:id w:val="1218405090"/>
          <w:placeholder>
            <w:docPart w:val="GBC22222222222222222222222222222"/>
          </w:placeholder>
          <w:comboBox>
            <w:listItem w:displayText="银行承兑汇票" w:value="银行承兑汇票"/>
          </w:comboBox>
        </w:sdtPr>
        <w:sdtEndPr>
          <w:rPr>
            <w:rFonts w:hint="eastAsia" w:asciiTheme="minorHAnsi" w:hAnsiTheme="minorHAnsi" w:cstheme="minorBidi"/>
            <w:bCs/>
            <w:szCs w:val="22"/>
          </w:rPr>
        </w:sdtEndPr>
        <w:sdtContent>
          <w:r>
            <w:rPr>
              <w:rFonts w:hint="eastAsia" w:asciiTheme="minorHAnsi" w:hAnsiTheme="minorHAnsi" w:cstheme="minorBidi"/>
              <w:bCs/>
              <w:szCs w:val="22"/>
            </w:rPr>
            <w:t>银行承兑汇票</w:t>
          </w:r>
        </w:sdtContent>
      </w:sdt>
    </w:p>
    <w:p w14:paraId="1F4EB4A7">
      <w:pPr>
        <w:autoSpaceDE w:val="0"/>
        <w:autoSpaceDN w:val="0"/>
        <w:adjustRightInd w:val="0"/>
        <w:ind w:left="5880" w:right="105"/>
        <w:jc w:val="right"/>
      </w:pPr>
      <w:r>
        <w:rPr>
          <w:rFonts w:hint="eastAsia"/>
        </w:rPr>
        <w:t>单位：</w:t>
      </w:r>
      <w:sdt>
        <w:sdtPr>
          <w:rPr>
            <w:rFonts w:hint="eastAsia"/>
          </w:rPr>
          <w:alias w:val="单位：按组合计提坏账准备的应收票据详细情况"/>
          <w:tag w:val="_GBC_dd22ce6fdcd5426dbe2948860a8cd0a2"/>
          <w:id w:val="-4877923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按组合计提坏账准备的应收票据详细情况"/>
          <w:tag w:val="_GBC_6593230bd891417499c638314f150d60"/>
          <w:id w:val="548984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2309"/>
        <w:gridCol w:w="2350"/>
        <w:gridCol w:w="2294"/>
      </w:tblGrid>
      <w:tr w14:paraId="2365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4ad584541ec46019bc0ec583b56e6dc"/>
            <w:id w:val="670455302"/>
          </w:sdtPr>
          <w:sdtContent>
            <w:tc>
              <w:tcPr>
                <w:tcW w:w="2095" w:type="dxa"/>
                <w:vMerge w:val="restart"/>
                <w:vAlign w:val="center"/>
              </w:tcPr>
              <w:p w14:paraId="7E892806">
                <w:pPr>
                  <w:jc w:val="center"/>
                  <w:rPr>
                    <w:rFonts w:ascii="Calibri" w:hAnsi="Calibri"/>
                    <w:sz w:val="20"/>
                    <w:szCs w:val="20"/>
                  </w:rPr>
                </w:pPr>
                <w:r>
                  <w:rPr>
                    <w:rFonts w:hint="eastAsia" w:ascii="Calibri" w:hAnsi="Calibri"/>
                    <w:sz w:val="20"/>
                    <w:szCs w:val="20"/>
                  </w:rPr>
                  <w:t>名称</w:t>
                </w:r>
              </w:p>
            </w:tc>
          </w:sdtContent>
        </w:sdt>
        <w:sdt>
          <w:sdtPr>
            <w:tag w:val="_PLD_4cf87ed9c9624586a738a40c94ad8178"/>
            <w:id w:val="1819619467"/>
          </w:sdtPr>
          <w:sdtContent>
            <w:tc>
              <w:tcPr>
                <w:tcW w:w="6953" w:type="dxa"/>
                <w:gridSpan w:val="3"/>
                <w:vAlign w:val="center"/>
              </w:tcPr>
              <w:p w14:paraId="52CC610A">
                <w:pPr>
                  <w:jc w:val="center"/>
                  <w:rPr>
                    <w:rFonts w:ascii="Calibri" w:hAnsi="Calibri"/>
                    <w:sz w:val="20"/>
                    <w:szCs w:val="20"/>
                  </w:rPr>
                </w:pPr>
                <w:r>
                  <w:rPr>
                    <w:rFonts w:hint="eastAsia" w:ascii="Calibri" w:hAnsi="Calibri"/>
                    <w:sz w:val="20"/>
                    <w:szCs w:val="20"/>
                  </w:rPr>
                  <w:t>期末余额</w:t>
                </w:r>
              </w:p>
            </w:tc>
          </w:sdtContent>
        </w:sdt>
      </w:tr>
      <w:tr w14:paraId="0A34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Merge w:val="continue"/>
            <w:vAlign w:val="center"/>
          </w:tcPr>
          <w:p w14:paraId="2EB139F7">
            <w:pPr>
              <w:jc w:val="center"/>
              <w:rPr>
                <w:rFonts w:ascii="Calibri" w:hAnsi="Calibri"/>
                <w:sz w:val="20"/>
                <w:szCs w:val="20"/>
              </w:rPr>
            </w:pPr>
          </w:p>
        </w:tc>
        <w:sdt>
          <w:sdtPr>
            <w:tag w:val="_PLD_c7947e62ac1341a0ab9934cdaf575521"/>
            <w:id w:val="-1760060312"/>
          </w:sdtPr>
          <w:sdtContent>
            <w:tc>
              <w:tcPr>
                <w:tcW w:w="2309" w:type="dxa"/>
                <w:vAlign w:val="center"/>
              </w:tcPr>
              <w:p w14:paraId="542066F1">
                <w:pPr>
                  <w:jc w:val="center"/>
                  <w:rPr>
                    <w:rFonts w:ascii="Calibri" w:hAnsi="Calibri"/>
                    <w:sz w:val="20"/>
                    <w:szCs w:val="20"/>
                  </w:rPr>
                </w:pPr>
                <w:r>
                  <w:rPr>
                    <w:rFonts w:hint="eastAsia" w:ascii="Calibri" w:hAnsi="Calibri"/>
                    <w:sz w:val="20"/>
                    <w:szCs w:val="20"/>
                  </w:rPr>
                  <w:t>账面余额</w:t>
                </w:r>
              </w:p>
            </w:tc>
          </w:sdtContent>
        </w:sdt>
        <w:sdt>
          <w:sdtPr>
            <w:tag w:val="_PLD_b0f88303dbd14344a84ee332cb6d53f9"/>
            <w:id w:val="-1515685406"/>
          </w:sdtPr>
          <w:sdtContent>
            <w:tc>
              <w:tcPr>
                <w:tcW w:w="2350" w:type="dxa"/>
                <w:vAlign w:val="center"/>
              </w:tcPr>
              <w:p w14:paraId="7CB30910">
                <w:pPr>
                  <w:jc w:val="center"/>
                  <w:rPr>
                    <w:rFonts w:ascii="Calibri" w:hAnsi="Calibri"/>
                    <w:sz w:val="20"/>
                    <w:szCs w:val="20"/>
                  </w:rPr>
                </w:pPr>
                <w:r>
                  <w:rPr>
                    <w:rFonts w:hint="eastAsia" w:ascii="Calibri" w:hAnsi="Calibri"/>
                    <w:sz w:val="20"/>
                    <w:szCs w:val="20"/>
                  </w:rPr>
                  <w:t>坏账准备</w:t>
                </w:r>
              </w:p>
            </w:tc>
          </w:sdtContent>
        </w:sdt>
        <w:sdt>
          <w:sdtPr>
            <w:tag w:val="_PLD_2ac8d6b7fbbb4250ab600dfdbe0fcb56"/>
            <w:id w:val="1000092515"/>
          </w:sdtPr>
          <w:sdtContent>
            <w:tc>
              <w:tcPr>
                <w:tcW w:w="2294" w:type="dxa"/>
                <w:vAlign w:val="center"/>
              </w:tcPr>
              <w:p w14:paraId="3CFB24A6">
                <w:pPr>
                  <w:jc w:val="center"/>
                  <w:rPr>
                    <w:rFonts w:ascii="Calibri" w:hAnsi="Calibri"/>
                    <w:sz w:val="20"/>
                    <w:szCs w:val="20"/>
                  </w:rPr>
                </w:pPr>
                <w:r>
                  <w:rPr>
                    <w:rFonts w:ascii="Calibri" w:hAnsi="Calibri"/>
                    <w:sz w:val="20"/>
                    <w:szCs w:val="20"/>
                  </w:rPr>
                  <w:t>计提比例</w:t>
                </w:r>
                <w:r>
                  <w:rPr>
                    <w:rFonts w:hint="eastAsia" w:ascii="Calibri" w:hAnsi="Calibri"/>
                    <w:sz w:val="20"/>
                    <w:szCs w:val="20"/>
                  </w:rPr>
                  <w:t>（%）</w:t>
                </w:r>
              </w:p>
            </w:tc>
          </w:sdtContent>
        </w:sdt>
      </w:tr>
      <w:tr w14:paraId="2346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0F50E600">
            <w:pPr>
              <w:pStyle w:val="48"/>
              <w:rPr>
                <w:sz w:val="20"/>
                <w:szCs w:val="20"/>
              </w:rPr>
            </w:pPr>
            <w:r>
              <w:rPr>
                <w:rFonts w:hint="eastAsia"/>
                <w:sz w:val="20"/>
                <w:szCs w:val="20"/>
              </w:rPr>
              <w:t>银行承兑汇票</w:t>
            </w:r>
          </w:p>
        </w:tc>
        <w:tc>
          <w:tcPr>
            <w:tcW w:w="2309" w:type="dxa"/>
            <w:vAlign w:val="center"/>
          </w:tcPr>
          <w:p w14:paraId="36D882EB">
            <w:pPr>
              <w:jc w:val="right"/>
              <w:rPr>
                <w:rFonts w:ascii="Calibri" w:hAnsi="Calibri"/>
                <w:sz w:val="20"/>
                <w:szCs w:val="20"/>
              </w:rPr>
            </w:pPr>
            <w:r>
              <w:rPr>
                <w:rFonts w:ascii="Calibri" w:hAnsi="Calibri"/>
                <w:sz w:val="20"/>
                <w:szCs w:val="20"/>
              </w:rPr>
              <w:t>16,920,717.41</w:t>
            </w:r>
          </w:p>
        </w:tc>
        <w:tc>
          <w:tcPr>
            <w:tcW w:w="2350" w:type="dxa"/>
            <w:vAlign w:val="center"/>
          </w:tcPr>
          <w:p w14:paraId="1BACB07C">
            <w:pPr>
              <w:jc w:val="right"/>
              <w:rPr>
                <w:rFonts w:ascii="Calibri" w:hAnsi="Calibri"/>
                <w:sz w:val="20"/>
                <w:szCs w:val="20"/>
              </w:rPr>
            </w:pPr>
            <w:r>
              <w:rPr>
                <w:rFonts w:ascii="Calibri" w:hAnsi="Calibri"/>
                <w:sz w:val="20"/>
                <w:szCs w:val="20"/>
              </w:rPr>
              <w:t>846,035.87</w:t>
            </w:r>
          </w:p>
        </w:tc>
        <w:tc>
          <w:tcPr>
            <w:tcW w:w="2294" w:type="dxa"/>
            <w:vAlign w:val="center"/>
          </w:tcPr>
          <w:p w14:paraId="394B6ECF">
            <w:pPr>
              <w:jc w:val="right"/>
              <w:rPr>
                <w:rFonts w:ascii="Calibri" w:hAnsi="Calibri"/>
                <w:sz w:val="20"/>
                <w:szCs w:val="20"/>
              </w:rPr>
            </w:pPr>
            <w:r>
              <w:rPr>
                <w:rFonts w:hint="eastAsia" w:ascii="Calibri" w:hAnsi="Calibri"/>
                <w:sz w:val="20"/>
                <w:szCs w:val="20"/>
              </w:rPr>
              <w:t>5</w:t>
            </w:r>
            <w:r>
              <w:rPr>
                <w:rFonts w:ascii="Calibri" w:hAnsi="Calibri"/>
                <w:sz w:val="20"/>
                <w:szCs w:val="20"/>
              </w:rPr>
              <w:t>.00</w:t>
            </w:r>
          </w:p>
        </w:tc>
      </w:tr>
      <w:tr w14:paraId="51C6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59AFC307">
            <w:pPr>
              <w:jc w:val="center"/>
              <w:rPr>
                <w:rFonts w:ascii="Calibri" w:hAnsi="Calibri"/>
                <w:sz w:val="20"/>
                <w:szCs w:val="20"/>
              </w:rPr>
            </w:pPr>
            <w:r>
              <w:rPr>
                <w:rFonts w:hint="eastAsia" w:ascii="Calibri" w:hAnsi="Calibri"/>
                <w:sz w:val="20"/>
                <w:szCs w:val="20"/>
              </w:rPr>
              <w:t>合计</w:t>
            </w:r>
          </w:p>
        </w:tc>
        <w:tc>
          <w:tcPr>
            <w:tcW w:w="2309" w:type="dxa"/>
            <w:vAlign w:val="center"/>
          </w:tcPr>
          <w:p w14:paraId="1C43CC80">
            <w:pPr>
              <w:jc w:val="right"/>
              <w:rPr>
                <w:rFonts w:ascii="Calibri" w:hAnsi="Calibri"/>
                <w:sz w:val="20"/>
                <w:szCs w:val="20"/>
              </w:rPr>
            </w:pPr>
            <w:r>
              <w:rPr>
                <w:rFonts w:ascii="Calibri" w:hAnsi="Calibri"/>
                <w:sz w:val="20"/>
                <w:szCs w:val="20"/>
              </w:rPr>
              <w:t>16,920,717.41</w:t>
            </w:r>
          </w:p>
        </w:tc>
        <w:tc>
          <w:tcPr>
            <w:tcW w:w="2350" w:type="dxa"/>
            <w:vAlign w:val="center"/>
          </w:tcPr>
          <w:p w14:paraId="2F96F76F">
            <w:pPr>
              <w:jc w:val="right"/>
              <w:rPr>
                <w:rFonts w:ascii="Calibri" w:hAnsi="Calibri"/>
                <w:sz w:val="20"/>
                <w:szCs w:val="20"/>
              </w:rPr>
            </w:pPr>
            <w:r>
              <w:rPr>
                <w:rFonts w:ascii="Calibri" w:hAnsi="Calibri"/>
                <w:sz w:val="20"/>
                <w:szCs w:val="20"/>
              </w:rPr>
              <w:t>846,035.87</w:t>
            </w:r>
          </w:p>
        </w:tc>
        <w:tc>
          <w:tcPr>
            <w:tcW w:w="2294" w:type="dxa"/>
            <w:vAlign w:val="center"/>
          </w:tcPr>
          <w:p w14:paraId="7182DF08">
            <w:pPr>
              <w:jc w:val="right"/>
              <w:rPr>
                <w:rFonts w:ascii="Calibri" w:hAnsi="Calibri"/>
                <w:sz w:val="20"/>
                <w:szCs w:val="20"/>
              </w:rPr>
            </w:pPr>
            <w:r>
              <w:rPr>
                <w:rFonts w:hint="eastAsia" w:ascii="Calibri" w:hAnsi="Calibri"/>
                <w:sz w:val="20"/>
                <w:szCs w:val="20"/>
              </w:rPr>
              <w:t>5</w:t>
            </w:r>
            <w:r>
              <w:rPr>
                <w:rFonts w:ascii="Calibri" w:hAnsi="Calibri"/>
                <w:sz w:val="20"/>
                <w:szCs w:val="20"/>
              </w:rPr>
              <w:t>.00</w:t>
            </w:r>
          </w:p>
        </w:tc>
      </w:tr>
    </w:tbl>
    <w:p w14:paraId="4C22A133">
      <w:pPr>
        <w:pStyle w:val="48"/>
      </w:pPr>
      <w:r>
        <w:rPr>
          <w:rFonts w:hint="eastAsia"/>
        </w:rPr>
        <w:t>按组合计提坏账准备的说明</w:t>
      </w:r>
    </w:p>
    <w:sdt>
      <w:sdtPr>
        <w:alias w:val="是否适用：按组合计提坏账准备的应收票据确认标准[双击切换]"/>
        <w:tag w:val="_GBC_8da9c261e1b645a580319dc9ae336a84"/>
        <w:id w:val="-1550845642"/>
        <w:placeholder>
          <w:docPart w:val="GBC22222222222222222222222222222"/>
        </w:placeholder>
      </w:sdtPr>
      <w:sdtContent>
        <w:p w14:paraId="52D0921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E5F3B28">
      <w:pPr>
        <w:rPr>
          <w:rFonts w:asciiTheme="minorHAnsi" w:hAnsiTheme="minorHAnsi" w:cstheme="minorBidi"/>
          <w:b/>
          <w:bCs/>
          <w:szCs w:val="22"/>
        </w:rPr>
      </w:pPr>
    </w:p>
    <w:bookmarkEnd w:id="228"/>
    <w:p w14:paraId="78A04411">
      <w:pPr>
        <w:rPr>
          <w:rFonts w:cstheme="minorBidi"/>
          <w:bCs/>
          <w:szCs w:val="22"/>
        </w:rPr>
      </w:pPr>
      <w:bookmarkStart w:id="229" w:name="_Hlk153356892"/>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8365966006504a25b2c8db13d573e88d"/>
        <w:id w:val="211613281"/>
        <w:placeholder>
          <w:docPart w:val="GBC22222222222222222222222222222"/>
        </w:placeholder>
      </w:sdtPr>
      <w:sdtEndPr>
        <w:rPr>
          <w:rFonts w:cstheme="minorBidi"/>
          <w:bCs/>
          <w:szCs w:val="22"/>
        </w:rPr>
      </w:sdtEndPr>
      <w:sdtContent>
        <w:p w14:paraId="39204C3A">
          <w:pPr>
            <w:rPr>
              <w:rFonts w:cstheme="minorBidi"/>
              <w:bCs/>
              <w:szCs w:val="22"/>
            </w:rPr>
          </w:pPr>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14:paraId="0F096B43">
      <w:pPr>
        <w:rPr>
          <w:bCs/>
          <w:szCs w:val="22"/>
        </w:rPr>
      </w:pPr>
    </w:p>
    <w:p w14:paraId="5A4E9E0C">
      <w:pPr>
        <w:rPr>
          <w:rFonts w:asciiTheme="minorHAnsi" w:hAnsiTheme="minorHAnsi" w:cstheme="minorBidi"/>
          <w:b/>
          <w:bCs/>
          <w:szCs w:val="22"/>
        </w:rPr>
      </w:pPr>
    </w:p>
    <w:p w14:paraId="4544A154">
      <w:pPr>
        <w:pStyle w:val="38"/>
      </w:pPr>
      <w:r>
        <w:rPr>
          <w:rFonts w:hint="eastAsia"/>
        </w:rPr>
        <w:t>对本期发生损失准备变动的应收票据账面余额显著变动的情况说明：</w:t>
      </w:r>
    </w:p>
    <w:sdt>
      <w:sdtPr>
        <w:alias w:val="是否适用：对本期发生损失准备变动的账面余额显著变动的情况说明[双击切换]"/>
        <w:tag w:val="_GBC_2f34fd35c9654c8fa0b6583125cc946c"/>
        <w:id w:val="-946918698"/>
        <w:placeholder>
          <w:docPart w:val="GBC22222222222222222222222222222"/>
        </w:placeholder>
      </w:sdtPr>
      <w:sdtContent>
        <w:p w14:paraId="554E34C0">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47A2004">
      <w:pPr>
        <w:rPr>
          <w:rFonts w:asciiTheme="minorHAnsi" w:hAnsiTheme="minorHAnsi" w:cstheme="minorBidi"/>
          <w:b/>
          <w:bCs/>
          <w:szCs w:val="22"/>
        </w:rPr>
      </w:pPr>
    </w:p>
    <w:bookmarkEnd w:id="229"/>
    <w:p w14:paraId="63D3C531">
      <w:pPr>
        <w:pStyle w:val="5"/>
        <w:numPr>
          <w:ilvl w:val="3"/>
          <w:numId w:val="62"/>
        </w:numPr>
        <w:ind w:left="426" w:hanging="426"/>
      </w:pPr>
      <w:bookmarkStart w:id="230" w:name="_Hlk532980547"/>
      <w:bookmarkStart w:id="231" w:name="_Hlk154148795"/>
      <w:r>
        <w:rPr>
          <w:rFonts w:hint="eastAsia"/>
        </w:rPr>
        <w:t>坏账准备的情况</w:t>
      </w:r>
    </w:p>
    <w:sdt>
      <w:sdtPr>
        <w:alias w:val="是否适用：应收票据坏账准备情况[双击切换]"/>
        <w:tag w:val="_GBC_3c7b44ae9e3b4aa6a67012163093206f"/>
        <w:id w:val="-1635555671"/>
        <w:placeholder>
          <w:docPart w:val="GBC22222222222222222222222222222"/>
        </w:placeholder>
      </w:sdtPr>
      <w:sdtContent>
        <w:p w14:paraId="25BD1FD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37BE21">
      <w:pPr>
        <w:pStyle w:val="30"/>
        <w:snapToGrid w:val="0"/>
        <w:spacing w:line="240" w:lineRule="atLeast"/>
        <w:ind w:left="425" w:firstLine="0" w:firstLineChars="0"/>
        <w:jc w:val="right"/>
        <w:rPr>
          <w:szCs w:val="21"/>
        </w:rPr>
      </w:pPr>
      <w:r>
        <w:rPr>
          <w:rFonts w:hint="eastAsia"/>
          <w:szCs w:val="21"/>
        </w:rPr>
        <w:t>单位：</w:t>
      </w:r>
      <w:sdt>
        <w:sdtPr>
          <w:rPr>
            <w:rFonts w:hint="eastAsia"/>
            <w:szCs w:val="21"/>
          </w:rPr>
          <w:alias w:val="单位：应收票据坏账准备情况"/>
          <w:tag w:val="_GBC_369a6567da6f4681886799eccc7ce30e"/>
          <w:id w:val="-14460771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应收票据坏账准备情况"/>
          <w:tag w:val="_GBC_2ca7f0c4216640399e139055a5b3f6df"/>
          <w:id w:val="-4971138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57"/>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463"/>
        <w:gridCol w:w="1221"/>
        <w:gridCol w:w="1221"/>
        <w:gridCol w:w="1357"/>
        <w:gridCol w:w="1487"/>
        <w:gridCol w:w="1085"/>
        <w:gridCol w:w="1221"/>
      </w:tblGrid>
      <w:tr w14:paraId="357A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5c2e077065ea4069947c5dad1aefe7c9"/>
            <w:id w:val="-822580787"/>
          </w:sdtPr>
          <w:sdtContent>
            <w:tc>
              <w:tcPr>
                <w:tcW w:w="1463" w:type="dxa"/>
                <w:vMerge w:val="restart"/>
                <w:shd w:val="clear" w:color="auto" w:fill="FFFFFF"/>
                <w:vAlign w:val="center"/>
              </w:tcPr>
              <w:p w14:paraId="77124B1C">
                <w:pPr>
                  <w:jc w:val="center"/>
                  <w:rPr>
                    <w:rFonts w:ascii="Calibri" w:hAnsi="Calibri"/>
                    <w:sz w:val="20"/>
                    <w:szCs w:val="20"/>
                  </w:rPr>
                </w:pPr>
                <w:r>
                  <w:rPr>
                    <w:rFonts w:ascii="Calibri" w:hAnsi="Calibri"/>
                    <w:sz w:val="20"/>
                    <w:szCs w:val="20"/>
                  </w:rPr>
                  <w:t>类别</w:t>
                </w:r>
              </w:p>
            </w:tc>
          </w:sdtContent>
        </w:sdt>
        <w:sdt>
          <w:sdtPr>
            <w:tag w:val="_PLD_be42aed4ff82447ca43a862394d9d8b0"/>
            <w:id w:val="829940270"/>
          </w:sdtPr>
          <w:sdtContent>
            <w:tc>
              <w:tcPr>
                <w:tcW w:w="1221" w:type="dxa"/>
                <w:vMerge w:val="restart"/>
                <w:shd w:val="clear" w:color="auto" w:fill="FFFFFF"/>
                <w:vAlign w:val="center"/>
              </w:tcPr>
              <w:p w14:paraId="70A7B21B">
                <w:pPr>
                  <w:jc w:val="center"/>
                  <w:rPr>
                    <w:rFonts w:ascii="Calibri" w:hAnsi="Calibri"/>
                    <w:sz w:val="20"/>
                    <w:szCs w:val="20"/>
                  </w:rPr>
                </w:pPr>
                <w:r>
                  <w:rPr>
                    <w:rFonts w:ascii="Calibri" w:hAnsi="Calibri"/>
                    <w:sz w:val="20"/>
                    <w:szCs w:val="20"/>
                  </w:rPr>
                  <w:t>期初余额</w:t>
                </w:r>
              </w:p>
            </w:tc>
          </w:sdtContent>
        </w:sdt>
        <w:sdt>
          <w:sdtPr>
            <w:tag w:val="_PLD_6aa2190a976944ebbcbd0551027474a9"/>
            <w:id w:val="1668903240"/>
          </w:sdtPr>
          <w:sdtContent>
            <w:tc>
              <w:tcPr>
                <w:tcW w:w="5150" w:type="dxa"/>
                <w:gridSpan w:val="4"/>
                <w:shd w:val="clear" w:color="auto" w:fill="FFFFFF"/>
                <w:vAlign w:val="center"/>
              </w:tcPr>
              <w:p w14:paraId="33010ACD">
                <w:pPr>
                  <w:jc w:val="center"/>
                  <w:rPr>
                    <w:rFonts w:ascii="Calibri" w:hAnsi="Calibri"/>
                    <w:sz w:val="20"/>
                    <w:szCs w:val="20"/>
                  </w:rPr>
                </w:pPr>
                <w:r>
                  <w:rPr>
                    <w:rFonts w:hint="eastAsia" w:ascii="Calibri" w:hAnsi="Calibri"/>
                    <w:sz w:val="20"/>
                    <w:szCs w:val="20"/>
                  </w:rPr>
                  <w:t>本期变动</w:t>
                </w:r>
                <w:r>
                  <w:rPr>
                    <w:rFonts w:ascii="Calibri" w:hAnsi="Calibri"/>
                    <w:sz w:val="20"/>
                    <w:szCs w:val="20"/>
                  </w:rPr>
                  <w:t>金额</w:t>
                </w:r>
              </w:p>
            </w:tc>
          </w:sdtContent>
        </w:sdt>
        <w:sdt>
          <w:sdtPr>
            <w:tag w:val="_PLD_b9edf7d7d59c4a92b06644af7a055d81"/>
            <w:id w:val="816467307"/>
          </w:sdtPr>
          <w:sdtContent>
            <w:tc>
              <w:tcPr>
                <w:tcW w:w="1221" w:type="dxa"/>
                <w:vMerge w:val="restart"/>
                <w:shd w:val="clear" w:color="auto" w:fill="FFFFFF"/>
                <w:vAlign w:val="center"/>
              </w:tcPr>
              <w:p w14:paraId="4BFD1084">
                <w:pPr>
                  <w:jc w:val="center"/>
                  <w:rPr>
                    <w:rFonts w:ascii="Calibri" w:hAnsi="Calibri"/>
                    <w:sz w:val="20"/>
                    <w:szCs w:val="20"/>
                  </w:rPr>
                </w:pPr>
                <w:r>
                  <w:rPr>
                    <w:rFonts w:ascii="Calibri" w:hAnsi="Calibri"/>
                    <w:sz w:val="20"/>
                    <w:szCs w:val="20"/>
                  </w:rPr>
                  <w:t>期末余额</w:t>
                </w:r>
              </w:p>
            </w:tc>
          </w:sdtContent>
        </w:sdt>
      </w:tr>
      <w:tr w14:paraId="1DE5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463" w:type="dxa"/>
            <w:vMerge w:val="continue"/>
            <w:shd w:val="clear" w:color="auto" w:fill="FFFFFF"/>
            <w:vAlign w:val="center"/>
          </w:tcPr>
          <w:p w14:paraId="0C453F51">
            <w:pPr>
              <w:jc w:val="center"/>
              <w:rPr>
                <w:rFonts w:ascii="Calibri" w:hAnsi="Calibri"/>
                <w:sz w:val="20"/>
                <w:szCs w:val="20"/>
              </w:rPr>
            </w:pPr>
          </w:p>
        </w:tc>
        <w:tc>
          <w:tcPr>
            <w:tcW w:w="1221" w:type="dxa"/>
            <w:vMerge w:val="continue"/>
            <w:shd w:val="clear" w:color="auto" w:fill="FFFFFF"/>
            <w:vAlign w:val="center"/>
          </w:tcPr>
          <w:p w14:paraId="29458D3D">
            <w:pPr>
              <w:jc w:val="right"/>
              <w:rPr>
                <w:rFonts w:ascii="Calibri" w:hAnsi="Calibri"/>
                <w:sz w:val="20"/>
                <w:szCs w:val="20"/>
              </w:rPr>
            </w:pPr>
          </w:p>
        </w:tc>
        <w:sdt>
          <w:sdtPr>
            <w:tag w:val="_PLD_36062efa6f854d3c8eee6ca1e0b72bca"/>
            <w:id w:val="1585489355"/>
          </w:sdtPr>
          <w:sdtContent>
            <w:tc>
              <w:tcPr>
                <w:tcW w:w="1221" w:type="dxa"/>
                <w:shd w:val="clear" w:color="auto" w:fill="FFFFFF"/>
                <w:vAlign w:val="center"/>
              </w:tcPr>
              <w:p w14:paraId="0DEB11E8">
                <w:pPr>
                  <w:jc w:val="center"/>
                  <w:rPr>
                    <w:rFonts w:ascii="Calibri" w:hAnsi="Calibri"/>
                    <w:sz w:val="20"/>
                    <w:szCs w:val="20"/>
                  </w:rPr>
                </w:pPr>
                <w:r>
                  <w:rPr>
                    <w:rFonts w:ascii="Calibri" w:hAnsi="Calibri"/>
                    <w:sz w:val="20"/>
                    <w:szCs w:val="20"/>
                  </w:rPr>
                  <w:t>计提</w:t>
                </w:r>
              </w:p>
            </w:tc>
          </w:sdtContent>
        </w:sdt>
        <w:sdt>
          <w:sdtPr>
            <w:tag w:val="_PLD_0b4224d18fad47e08fa90eb4f8c7e612"/>
            <w:id w:val="-1020084006"/>
          </w:sdtPr>
          <w:sdtContent>
            <w:tc>
              <w:tcPr>
                <w:tcW w:w="1357" w:type="dxa"/>
                <w:shd w:val="clear" w:color="auto" w:fill="FFFFFF"/>
                <w:vAlign w:val="center"/>
              </w:tcPr>
              <w:p w14:paraId="08BABBBE">
                <w:pPr>
                  <w:jc w:val="center"/>
                  <w:rPr>
                    <w:rFonts w:ascii="Calibri" w:hAnsi="Calibri"/>
                    <w:sz w:val="20"/>
                    <w:szCs w:val="20"/>
                  </w:rPr>
                </w:pPr>
                <w:r>
                  <w:rPr>
                    <w:rFonts w:hint="eastAsia" w:ascii="Calibri" w:hAnsi="Calibri"/>
                    <w:sz w:val="20"/>
                    <w:szCs w:val="20"/>
                  </w:rPr>
                  <w:t>收回或转回</w:t>
                </w:r>
              </w:p>
            </w:tc>
          </w:sdtContent>
        </w:sdt>
        <w:tc>
          <w:tcPr>
            <w:tcW w:w="1487" w:type="dxa"/>
            <w:shd w:val="clear" w:color="auto" w:fill="FFFFFF"/>
            <w:vAlign w:val="center"/>
          </w:tcPr>
          <w:sdt>
            <w:sdtPr>
              <w:tag w:val="_PLD_dff8ef418de94a2b8e2615f6e297e890"/>
              <w:id w:val="-674503196"/>
            </w:sdtPr>
            <w:sdtContent>
              <w:p w14:paraId="0BBD8E38">
                <w:pPr>
                  <w:jc w:val="center"/>
                  <w:rPr>
                    <w:rFonts w:ascii="Calibri" w:hAnsi="Calibri"/>
                    <w:sz w:val="20"/>
                    <w:szCs w:val="20"/>
                  </w:rPr>
                </w:pPr>
                <w:r>
                  <w:rPr>
                    <w:rFonts w:hint="eastAsia" w:ascii="Calibri" w:hAnsi="Calibri"/>
                    <w:sz w:val="20"/>
                    <w:szCs w:val="20"/>
                  </w:rPr>
                  <w:t>转销或核销</w:t>
                </w:r>
              </w:p>
            </w:sdtContent>
          </w:sdt>
        </w:tc>
        <w:tc>
          <w:tcPr>
            <w:tcW w:w="1085" w:type="dxa"/>
            <w:shd w:val="clear" w:color="auto" w:fill="FFFFFF"/>
            <w:vAlign w:val="center"/>
          </w:tcPr>
          <w:sdt>
            <w:sdtPr>
              <w:tag w:val="_PLD_529e6104ed0640fcab7db5615e37639f"/>
              <w:id w:val="-708576325"/>
            </w:sdtPr>
            <w:sdtContent>
              <w:p w14:paraId="24E3FE48">
                <w:pPr>
                  <w:jc w:val="center"/>
                  <w:rPr>
                    <w:rFonts w:ascii="Calibri" w:hAnsi="Calibri"/>
                    <w:sz w:val="20"/>
                    <w:szCs w:val="20"/>
                  </w:rPr>
                </w:pPr>
                <w:r>
                  <w:rPr>
                    <w:rFonts w:hint="eastAsia" w:ascii="Calibri" w:hAnsi="Calibri"/>
                    <w:sz w:val="20"/>
                    <w:szCs w:val="20"/>
                  </w:rPr>
                  <w:t>其他变动</w:t>
                </w:r>
              </w:p>
            </w:sdtContent>
          </w:sdt>
        </w:tc>
        <w:tc>
          <w:tcPr>
            <w:tcW w:w="1221" w:type="dxa"/>
            <w:vMerge w:val="continue"/>
            <w:shd w:val="clear" w:color="auto" w:fill="FFFFFF"/>
            <w:vAlign w:val="center"/>
          </w:tcPr>
          <w:p w14:paraId="5BB33268">
            <w:pPr>
              <w:jc w:val="right"/>
              <w:rPr>
                <w:rFonts w:ascii="Calibri" w:hAnsi="Calibri"/>
                <w:sz w:val="20"/>
                <w:szCs w:val="20"/>
              </w:rPr>
            </w:pPr>
          </w:p>
        </w:tc>
      </w:tr>
      <w:tr w14:paraId="7FB9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463" w:type="dxa"/>
            <w:vAlign w:val="center"/>
          </w:tcPr>
          <w:p w14:paraId="42ECE04C">
            <w:pPr>
              <w:rPr>
                <w:rFonts w:ascii="Calibri" w:hAnsi="Calibri"/>
                <w:sz w:val="20"/>
                <w:szCs w:val="20"/>
              </w:rPr>
            </w:pPr>
            <w:r>
              <w:rPr>
                <w:rFonts w:ascii="Calibri" w:hAnsi="Calibri"/>
                <w:sz w:val="20"/>
                <w:szCs w:val="20"/>
              </w:rPr>
              <w:t>按组合计提坏账准备</w:t>
            </w:r>
          </w:p>
        </w:tc>
        <w:tc>
          <w:tcPr>
            <w:tcW w:w="1221" w:type="dxa"/>
            <w:vAlign w:val="center"/>
          </w:tcPr>
          <w:p w14:paraId="57574987">
            <w:pPr>
              <w:jc w:val="right"/>
              <w:rPr>
                <w:rFonts w:ascii="Calibri" w:hAnsi="Calibri"/>
                <w:sz w:val="20"/>
                <w:szCs w:val="20"/>
              </w:rPr>
            </w:pPr>
            <w:r>
              <w:rPr>
                <w:rFonts w:ascii="Calibri" w:hAnsi="Calibri"/>
                <w:sz w:val="20"/>
                <w:szCs w:val="20"/>
              </w:rPr>
              <w:t>349,200.52</w:t>
            </w:r>
          </w:p>
        </w:tc>
        <w:tc>
          <w:tcPr>
            <w:tcW w:w="1221" w:type="dxa"/>
            <w:vAlign w:val="center"/>
          </w:tcPr>
          <w:p w14:paraId="41CC19DC">
            <w:pPr>
              <w:jc w:val="right"/>
              <w:rPr>
                <w:rFonts w:ascii="Calibri" w:hAnsi="Calibri"/>
                <w:sz w:val="20"/>
                <w:szCs w:val="20"/>
              </w:rPr>
            </w:pPr>
            <w:r>
              <w:rPr>
                <w:rFonts w:ascii="Calibri" w:hAnsi="Calibri"/>
                <w:sz w:val="20"/>
                <w:szCs w:val="20"/>
              </w:rPr>
              <w:t>496,835.35</w:t>
            </w:r>
          </w:p>
        </w:tc>
        <w:tc>
          <w:tcPr>
            <w:tcW w:w="1357" w:type="dxa"/>
            <w:vAlign w:val="center"/>
          </w:tcPr>
          <w:p w14:paraId="051498E5">
            <w:pPr>
              <w:jc w:val="right"/>
              <w:rPr>
                <w:rFonts w:ascii="Calibri" w:hAnsi="Calibri"/>
                <w:sz w:val="20"/>
                <w:szCs w:val="20"/>
              </w:rPr>
            </w:pPr>
          </w:p>
        </w:tc>
        <w:tc>
          <w:tcPr>
            <w:tcW w:w="1487" w:type="dxa"/>
            <w:vAlign w:val="center"/>
          </w:tcPr>
          <w:p w14:paraId="598F4212">
            <w:pPr>
              <w:jc w:val="right"/>
              <w:rPr>
                <w:rFonts w:ascii="Calibri" w:hAnsi="Calibri"/>
                <w:sz w:val="20"/>
                <w:szCs w:val="20"/>
              </w:rPr>
            </w:pPr>
          </w:p>
        </w:tc>
        <w:tc>
          <w:tcPr>
            <w:tcW w:w="1085" w:type="dxa"/>
            <w:vAlign w:val="center"/>
          </w:tcPr>
          <w:p w14:paraId="74D03F7F">
            <w:pPr>
              <w:jc w:val="right"/>
              <w:rPr>
                <w:rFonts w:ascii="Calibri" w:hAnsi="Calibri"/>
                <w:sz w:val="20"/>
                <w:szCs w:val="20"/>
              </w:rPr>
            </w:pPr>
          </w:p>
        </w:tc>
        <w:tc>
          <w:tcPr>
            <w:tcW w:w="1221" w:type="dxa"/>
            <w:vAlign w:val="center"/>
          </w:tcPr>
          <w:p w14:paraId="457BC971">
            <w:pPr>
              <w:jc w:val="right"/>
              <w:rPr>
                <w:rFonts w:ascii="Calibri" w:hAnsi="Calibri"/>
                <w:sz w:val="20"/>
                <w:szCs w:val="20"/>
              </w:rPr>
            </w:pPr>
            <w:r>
              <w:rPr>
                <w:rFonts w:ascii="Calibri" w:hAnsi="Calibri"/>
                <w:sz w:val="20"/>
                <w:szCs w:val="20"/>
              </w:rPr>
              <w:t>846,035.87</w:t>
            </w:r>
          </w:p>
        </w:tc>
      </w:tr>
      <w:tr w14:paraId="6FFA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463" w:type="dxa"/>
            <w:vAlign w:val="center"/>
          </w:tcPr>
          <w:p w14:paraId="34240876">
            <w:pPr>
              <w:jc w:val="center"/>
              <w:rPr>
                <w:rFonts w:ascii="Calibri" w:hAnsi="Calibri"/>
                <w:sz w:val="20"/>
                <w:szCs w:val="20"/>
              </w:rPr>
            </w:pPr>
            <w:r>
              <w:rPr>
                <w:rFonts w:hint="eastAsia" w:ascii="Calibri" w:hAnsi="Calibri"/>
                <w:sz w:val="20"/>
                <w:szCs w:val="20"/>
              </w:rPr>
              <w:t>合计</w:t>
            </w:r>
          </w:p>
        </w:tc>
        <w:tc>
          <w:tcPr>
            <w:tcW w:w="1221" w:type="dxa"/>
            <w:vAlign w:val="center"/>
          </w:tcPr>
          <w:p w14:paraId="25A4593E">
            <w:pPr>
              <w:jc w:val="right"/>
              <w:rPr>
                <w:rFonts w:ascii="Calibri" w:hAnsi="Calibri"/>
                <w:sz w:val="20"/>
                <w:szCs w:val="20"/>
              </w:rPr>
            </w:pPr>
            <w:r>
              <w:rPr>
                <w:rFonts w:ascii="Calibri" w:hAnsi="Calibri"/>
                <w:sz w:val="20"/>
                <w:szCs w:val="20"/>
              </w:rPr>
              <w:t>349,200.52</w:t>
            </w:r>
          </w:p>
        </w:tc>
        <w:tc>
          <w:tcPr>
            <w:tcW w:w="1221" w:type="dxa"/>
            <w:vAlign w:val="center"/>
          </w:tcPr>
          <w:p w14:paraId="03299ED3">
            <w:pPr>
              <w:jc w:val="right"/>
              <w:rPr>
                <w:rFonts w:ascii="Calibri" w:hAnsi="Calibri"/>
                <w:sz w:val="20"/>
                <w:szCs w:val="20"/>
              </w:rPr>
            </w:pPr>
            <w:r>
              <w:rPr>
                <w:rFonts w:ascii="Calibri" w:hAnsi="Calibri"/>
                <w:sz w:val="20"/>
                <w:szCs w:val="20"/>
              </w:rPr>
              <w:t>496,835.35</w:t>
            </w:r>
          </w:p>
        </w:tc>
        <w:tc>
          <w:tcPr>
            <w:tcW w:w="1357" w:type="dxa"/>
            <w:vAlign w:val="center"/>
          </w:tcPr>
          <w:p w14:paraId="7A00ADC6">
            <w:pPr>
              <w:jc w:val="right"/>
              <w:rPr>
                <w:rFonts w:ascii="Calibri" w:hAnsi="Calibri"/>
                <w:sz w:val="20"/>
                <w:szCs w:val="20"/>
              </w:rPr>
            </w:pPr>
          </w:p>
        </w:tc>
        <w:tc>
          <w:tcPr>
            <w:tcW w:w="1487" w:type="dxa"/>
            <w:vAlign w:val="center"/>
          </w:tcPr>
          <w:p w14:paraId="13584B76">
            <w:pPr>
              <w:jc w:val="right"/>
              <w:rPr>
                <w:rFonts w:ascii="Calibri" w:hAnsi="Calibri"/>
                <w:sz w:val="20"/>
                <w:szCs w:val="20"/>
              </w:rPr>
            </w:pPr>
          </w:p>
        </w:tc>
        <w:tc>
          <w:tcPr>
            <w:tcW w:w="1085" w:type="dxa"/>
            <w:vAlign w:val="center"/>
          </w:tcPr>
          <w:p w14:paraId="7F95EC3A">
            <w:pPr>
              <w:jc w:val="right"/>
              <w:rPr>
                <w:rFonts w:ascii="Calibri" w:hAnsi="Calibri"/>
                <w:sz w:val="20"/>
                <w:szCs w:val="20"/>
              </w:rPr>
            </w:pPr>
          </w:p>
        </w:tc>
        <w:tc>
          <w:tcPr>
            <w:tcW w:w="1221" w:type="dxa"/>
            <w:vAlign w:val="center"/>
          </w:tcPr>
          <w:p w14:paraId="4469E17E">
            <w:pPr>
              <w:jc w:val="right"/>
              <w:rPr>
                <w:rFonts w:ascii="Calibri" w:hAnsi="Calibri"/>
                <w:sz w:val="20"/>
                <w:szCs w:val="20"/>
              </w:rPr>
            </w:pPr>
            <w:r>
              <w:rPr>
                <w:rFonts w:ascii="Calibri" w:hAnsi="Calibri"/>
                <w:sz w:val="20"/>
                <w:szCs w:val="20"/>
              </w:rPr>
              <w:t>846,035.87</w:t>
            </w:r>
          </w:p>
        </w:tc>
      </w:tr>
    </w:tbl>
    <w:p w14:paraId="0F77F824"/>
    <w:p w14:paraId="1F9A941C">
      <w:pPr>
        <w:pStyle w:val="48"/>
      </w:pPr>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607458662"/>
        <w:placeholder>
          <w:docPart w:val="GBC22222222222222222222222222222"/>
        </w:placeholder>
      </w:sdtPr>
      <w:sdtEndPr>
        <w:rPr>
          <w:rFonts w:hint="eastAsia"/>
        </w:rPr>
      </w:sdtEndPr>
      <w:sdtContent>
        <w:p w14:paraId="0B36840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EBBE89B">
      <w:pPr>
        <w:rPr>
          <w:rFonts w:asciiTheme="minorHAnsi" w:hAnsiTheme="minorHAnsi" w:cstheme="minorBidi"/>
          <w:b/>
          <w:bCs/>
          <w:szCs w:val="22"/>
        </w:rPr>
      </w:pPr>
    </w:p>
    <w:p w14:paraId="638E6522">
      <w:pPr>
        <w:rPr>
          <w:rFonts w:asciiTheme="minorHAnsi" w:hAnsiTheme="minorHAnsi" w:cstheme="minorBidi"/>
          <w:b/>
          <w:bCs/>
          <w:szCs w:val="22"/>
        </w:rPr>
      </w:pPr>
    </w:p>
    <w:bookmarkEnd w:id="230"/>
    <w:bookmarkEnd w:id="231"/>
    <w:p w14:paraId="7C47D9E7">
      <w:pPr>
        <w:pStyle w:val="5"/>
        <w:numPr>
          <w:ilvl w:val="3"/>
          <w:numId w:val="62"/>
        </w:numPr>
        <w:ind w:left="426" w:hanging="426"/>
      </w:pPr>
      <w:bookmarkStart w:id="232" w:name="_Hlk152837614"/>
      <w:bookmarkStart w:id="233" w:name="_Hlk532982011"/>
      <w:r>
        <w:rPr>
          <w:rFonts w:hint="eastAsia"/>
        </w:rPr>
        <w:t>本期实际核销的应收票据情况</w:t>
      </w:r>
    </w:p>
    <w:sdt>
      <w:sdtPr>
        <w:alias w:val="是否适用：实际核销的应收票据[双击切换]"/>
        <w:tag w:val="_GBC_a0d8af67abfc4a1698fd198064d3b108"/>
        <w:id w:val="-111279862"/>
        <w:placeholder>
          <w:docPart w:val="GBC22222222222222222222222222222"/>
        </w:placeholder>
      </w:sdtPr>
      <w:sdtContent>
        <w:p w14:paraId="41D24AB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46D81B8">
      <w:pPr>
        <w:pStyle w:val="48"/>
      </w:pPr>
    </w:p>
    <w:bookmarkEnd w:id="232"/>
    <w:p w14:paraId="7BF653D8">
      <w:pPr>
        <w:pStyle w:val="48"/>
      </w:pPr>
      <w:bookmarkStart w:id="234" w:name="_Hlk152837635"/>
      <w:r>
        <w:rPr>
          <w:rFonts w:hint="eastAsia"/>
        </w:rPr>
        <w:t>其中重要的应收票据核销情况：</w:t>
      </w:r>
    </w:p>
    <w:sdt>
      <w:sdtPr>
        <w:alias w:val="是否适用：重要的应收票据核销[双击切换]"/>
        <w:tag w:val="_GBC_8a4eb0fe2cd044db955869f172508ff4"/>
        <w:id w:val="1812444266"/>
        <w:placeholder>
          <w:docPart w:val="GBC22222222222222222222222222222"/>
        </w:placeholder>
      </w:sdtPr>
      <w:sdtContent>
        <w:p w14:paraId="5A7AA54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878F4E7">
      <w:pPr>
        <w:pStyle w:val="48"/>
      </w:pPr>
    </w:p>
    <w:bookmarkEnd w:id="234"/>
    <w:p w14:paraId="61850E17">
      <w:pPr>
        <w:snapToGrid w:val="0"/>
        <w:spacing w:line="240" w:lineRule="atLeast"/>
      </w:pPr>
      <w:bookmarkStart w:id="235" w:name="_Hlk152837641"/>
      <w:r>
        <w:rPr>
          <w:rFonts w:hint="eastAsia"/>
        </w:rPr>
        <w:t>应收票据核销说明：</w:t>
      </w:r>
    </w:p>
    <w:sdt>
      <w:sdtPr>
        <w:rPr>
          <w:rFonts w:asciiTheme="minorHAnsi" w:hAnsiTheme="minorHAnsi" w:cstheme="minorBidi"/>
          <w:bCs/>
          <w:szCs w:val="22"/>
        </w:rPr>
        <w:alias w:val="是否适用：应收票据核销说明[双击切换]"/>
        <w:tag w:val="_GBC_8e9a6863f024409f96d0d85cebbd362b"/>
        <w:id w:val="-1021778081"/>
        <w:placeholder>
          <w:docPart w:val="GBC22222222222222222222222222222"/>
        </w:placeholder>
      </w:sdtPr>
      <w:sdtEndPr>
        <w:rPr>
          <w:rFonts w:asciiTheme="minorHAnsi" w:hAnsiTheme="minorHAnsi" w:cstheme="minorBidi"/>
          <w:bCs/>
          <w:szCs w:val="22"/>
        </w:rPr>
      </w:sdtEndPr>
      <w:sdtContent>
        <w:p w14:paraId="4083DA9D">
          <w:pPr>
            <w:rPr>
              <w:rFonts w:asciiTheme="minorHAnsi" w:hAnsiTheme="minorHAnsi" w:cstheme="minorBidi"/>
              <w:bCs/>
              <w:szCs w:val="22"/>
            </w:rPr>
          </w:pPr>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14:paraId="3B33823C">
      <w:pPr>
        <w:rPr>
          <w:rFonts w:asciiTheme="minorHAnsi" w:hAnsiTheme="minorHAnsi" w:cstheme="minorBidi"/>
          <w:b/>
          <w:bCs/>
          <w:szCs w:val="22"/>
        </w:rPr>
      </w:pPr>
    </w:p>
    <w:bookmarkEnd w:id="233"/>
    <w:bookmarkEnd w:id="235"/>
    <w:p w14:paraId="5ED12162">
      <w:pPr>
        <w:pStyle w:val="48"/>
      </w:pPr>
      <w:r>
        <w:rPr>
          <w:rFonts w:hint="eastAsia"/>
        </w:rPr>
        <w:t>其他说明：</w:t>
      </w:r>
    </w:p>
    <w:sdt>
      <w:sdtPr>
        <w:alias w:val="是否适用：应收票据的说明[双击切换]"/>
        <w:tag w:val="_GBC_dc21e09520924a5db7020ba029631550"/>
        <w:id w:val="771513447"/>
        <w:placeholder>
          <w:docPart w:val="GBC22222222222222222222222222222"/>
        </w:placeholder>
      </w:sdtPr>
      <w:sdtContent>
        <w:p w14:paraId="27DF7A23">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47073B7">
      <w:pPr>
        <w:snapToGrid w:val="0"/>
        <w:spacing w:line="240" w:lineRule="atLeast"/>
      </w:pPr>
    </w:p>
    <w:p w14:paraId="51F5404A">
      <w:pPr>
        <w:pStyle w:val="4"/>
        <w:numPr>
          <w:ilvl w:val="0"/>
          <w:numId w:val="61"/>
        </w:numPr>
        <w:rPr>
          <w:szCs w:val="21"/>
        </w:rPr>
      </w:pPr>
      <w:r>
        <w:rPr>
          <w:szCs w:val="21"/>
        </w:rPr>
        <w:t>应收账款</w:t>
      </w:r>
    </w:p>
    <w:p w14:paraId="21EDA14F">
      <w:pPr>
        <w:pStyle w:val="5"/>
        <w:numPr>
          <w:ilvl w:val="3"/>
          <w:numId w:val="63"/>
        </w:numPr>
        <w:ind w:left="426" w:hanging="426"/>
      </w:pPr>
      <w:r>
        <w:rPr>
          <w:rFonts w:hint="eastAsia"/>
        </w:rPr>
        <w:t>按账龄披露</w:t>
      </w:r>
    </w:p>
    <w:sdt>
      <w:sdtPr>
        <w:rPr>
          <w:rFonts w:hint="eastAsia"/>
        </w:rPr>
        <w:alias w:val="是否适用：组合中，按账龄分析法计提坏账准备的应收账款[双击切换]"/>
        <w:tag w:val="_GBC_f6086903419d448ab27bc2735b69674a"/>
        <w:id w:val="1228112098"/>
        <w:placeholder>
          <w:docPart w:val="GBC22222222222222222222222222222"/>
        </w:placeholder>
      </w:sdtPr>
      <w:sdtEndPr>
        <w:rPr>
          <w:rFonts w:hint="eastAsia"/>
        </w:rPr>
      </w:sdtEndPr>
      <w:sdtContent>
        <w:p w14:paraId="74279965">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76197AD">
      <w:pPr>
        <w:jc w:val="right"/>
      </w:pPr>
      <w:r>
        <w:rPr>
          <w:rFonts w:hint="eastAsia"/>
        </w:rPr>
        <w:t>单位：</w:t>
      </w:r>
      <w:sdt>
        <w:sdtPr>
          <w:rPr>
            <w:rFonts w:hint="eastAsia"/>
          </w:rPr>
          <w:alias w:val="单位：财务附注：单项金额不重大但按信用风险特征组合后该组合的风险较大的应收账款"/>
          <w:tag w:val="_GBC_eeeef14b591e4a8d839681ee71744810"/>
          <w:id w:val="-11420276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单项金额不重大但按信用风险特征组合后该组合的风险较大的应收账款"/>
          <w:tag w:val="_GBC_380b2c118777445781c47a562212f944"/>
          <w:id w:val="-18800068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3051"/>
        <w:gridCol w:w="3051"/>
      </w:tblGrid>
      <w:tr w14:paraId="142F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987827fb8f754c15801979884cb78127"/>
            <w:id w:val="675313998"/>
          </w:sdtPr>
          <w:sdtContent>
            <w:tc>
              <w:tcPr>
                <w:tcW w:w="2946" w:type="dxa"/>
                <w:tcBorders>
                  <w:top w:val="single" w:color="auto" w:sz="4" w:space="0"/>
                  <w:left w:val="single" w:color="auto" w:sz="4" w:space="0"/>
                  <w:bottom w:val="single" w:color="auto" w:sz="4" w:space="0"/>
                  <w:right w:val="single" w:color="auto" w:sz="4" w:space="0"/>
                </w:tcBorders>
                <w:vAlign w:val="center"/>
              </w:tcPr>
              <w:p w14:paraId="3E61A907">
                <w:pPr>
                  <w:jc w:val="center"/>
                  <w:rPr>
                    <w:rFonts w:ascii="Calibri" w:hAnsi="Calibri"/>
                    <w:sz w:val="20"/>
                    <w:szCs w:val="20"/>
                  </w:rPr>
                </w:pPr>
                <w:r>
                  <w:rPr>
                    <w:rFonts w:hint="eastAsia" w:ascii="Calibri" w:hAnsi="Calibri"/>
                    <w:sz w:val="20"/>
                    <w:szCs w:val="20"/>
                  </w:rPr>
                  <w:t>账龄</w:t>
                </w:r>
              </w:p>
            </w:tc>
          </w:sdtContent>
        </w:sdt>
        <w:sdt>
          <w:sdtPr>
            <w:tag w:val="_PLD_53a2def126e844eabd4ea223442a8a87"/>
            <w:id w:val="304290257"/>
          </w:sdtPr>
          <w:sdtContent>
            <w:tc>
              <w:tcPr>
                <w:tcW w:w="3051" w:type="dxa"/>
                <w:tcBorders>
                  <w:top w:val="single" w:color="auto" w:sz="4" w:space="0"/>
                  <w:left w:val="single" w:color="auto" w:sz="4" w:space="0"/>
                  <w:bottom w:val="single" w:color="auto" w:sz="4" w:space="0"/>
                  <w:right w:val="single" w:color="auto" w:sz="4" w:space="0"/>
                </w:tcBorders>
                <w:vAlign w:val="center"/>
              </w:tcPr>
              <w:p w14:paraId="3C8EAAF3">
                <w:pPr>
                  <w:jc w:val="center"/>
                  <w:rPr>
                    <w:rFonts w:ascii="Calibri" w:hAnsi="Calibri"/>
                    <w:sz w:val="20"/>
                    <w:szCs w:val="20"/>
                  </w:rPr>
                </w:pPr>
                <w:r>
                  <w:rPr>
                    <w:rFonts w:hint="eastAsia" w:ascii="Calibri" w:hAnsi="Calibri"/>
                    <w:sz w:val="20"/>
                    <w:szCs w:val="20"/>
                  </w:rPr>
                  <w:t>期末账面余额</w:t>
                </w:r>
              </w:p>
            </w:tc>
          </w:sdtContent>
        </w:sdt>
        <w:sdt>
          <w:sdtPr>
            <w:tag w:val="_PLD_a827d93406c24ad3bf1a17438f1117c1"/>
            <w:id w:val="-1564868962"/>
          </w:sdtPr>
          <w:sdtContent>
            <w:tc>
              <w:tcPr>
                <w:tcW w:w="3051" w:type="dxa"/>
                <w:tcBorders>
                  <w:top w:val="single" w:color="auto" w:sz="4" w:space="0"/>
                  <w:left w:val="single" w:color="auto" w:sz="4" w:space="0"/>
                  <w:bottom w:val="single" w:color="auto" w:sz="4" w:space="0"/>
                  <w:right w:val="single" w:color="auto" w:sz="4" w:space="0"/>
                </w:tcBorders>
                <w:vAlign w:val="center"/>
              </w:tcPr>
              <w:p w14:paraId="6301431B">
                <w:pPr>
                  <w:jc w:val="center"/>
                  <w:rPr>
                    <w:rFonts w:ascii="Calibri" w:hAnsi="Calibri"/>
                    <w:sz w:val="20"/>
                    <w:szCs w:val="20"/>
                  </w:rPr>
                </w:pPr>
                <w:r>
                  <w:rPr>
                    <w:rFonts w:hint="eastAsia" w:ascii="Calibri" w:hAnsi="Calibri"/>
                    <w:sz w:val="20"/>
                    <w:szCs w:val="20"/>
                  </w:rPr>
                  <w:t>期初账面余额</w:t>
                </w:r>
              </w:p>
            </w:tc>
          </w:sdtContent>
        </w:sdt>
      </w:tr>
      <w:tr w14:paraId="3B9C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2E616BEC">
            <w:pPr>
              <w:pStyle w:val="48"/>
              <w:rPr>
                <w:sz w:val="20"/>
                <w:szCs w:val="20"/>
              </w:rPr>
            </w:pPr>
            <w:r>
              <w:rPr>
                <w:rFonts w:hint="eastAsia"/>
                <w:sz w:val="20"/>
                <w:szCs w:val="20"/>
              </w:rPr>
              <w:t>1年以内（含1年）</w:t>
            </w:r>
          </w:p>
        </w:tc>
        <w:tc>
          <w:tcPr>
            <w:tcW w:w="3051" w:type="dxa"/>
            <w:tcBorders>
              <w:top w:val="single" w:color="auto" w:sz="4" w:space="0"/>
              <w:left w:val="single" w:color="auto" w:sz="4" w:space="0"/>
              <w:bottom w:val="single" w:color="auto" w:sz="4" w:space="0"/>
              <w:right w:val="single" w:color="auto" w:sz="4" w:space="0"/>
            </w:tcBorders>
            <w:vAlign w:val="center"/>
          </w:tcPr>
          <w:p w14:paraId="65442B61">
            <w:pPr>
              <w:jc w:val="right"/>
              <w:rPr>
                <w:rFonts w:ascii="Calibri" w:hAnsi="Calibri"/>
                <w:sz w:val="20"/>
                <w:szCs w:val="20"/>
              </w:rPr>
            </w:pPr>
            <w:r>
              <w:rPr>
                <w:rFonts w:ascii="Calibri" w:hAnsi="Calibri"/>
                <w:sz w:val="20"/>
                <w:szCs w:val="20"/>
              </w:rPr>
              <w:t>427,198,535.83</w:t>
            </w:r>
          </w:p>
        </w:tc>
        <w:tc>
          <w:tcPr>
            <w:tcW w:w="3051" w:type="dxa"/>
            <w:tcBorders>
              <w:top w:val="single" w:color="auto" w:sz="4" w:space="0"/>
              <w:left w:val="single" w:color="auto" w:sz="4" w:space="0"/>
              <w:bottom w:val="single" w:color="auto" w:sz="4" w:space="0"/>
              <w:right w:val="single" w:color="auto" w:sz="4" w:space="0"/>
            </w:tcBorders>
            <w:vAlign w:val="center"/>
          </w:tcPr>
          <w:p w14:paraId="70244B7E">
            <w:pPr>
              <w:jc w:val="right"/>
              <w:rPr>
                <w:rFonts w:ascii="Calibri" w:hAnsi="Calibri"/>
                <w:sz w:val="20"/>
                <w:szCs w:val="20"/>
              </w:rPr>
            </w:pPr>
            <w:r>
              <w:rPr>
                <w:rFonts w:ascii="Calibri" w:hAnsi="Calibri"/>
                <w:sz w:val="20"/>
                <w:szCs w:val="20"/>
              </w:rPr>
              <w:t>476,266,387.26</w:t>
            </w:r>
          </w:p>
        </w:tc>
      </w:tr>
      <w:tr w14:paraId="2FAD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3A0ED530">
            <w:pPr>
              <w:pStyle w:val="48"/>
              <w:rPr>
                <w:sz w:val="20"/>
                <w:szCs w:val="20"/>
              </w:rPr>
            </w:pPr>
            <w:r>
              <w:rPr>
                <w:rFonts w:hint="eastAsia"/>
                <w:sz w:val="20"/>
                <w:szCs w:val="20"/>
              </w:rPr>
              <w:t>1年以内</w:t>
            </w:r>
          </w:p>
        </w:tc>
        <w:tc>
          <w:tcPr>
            <w:tcW w:w="3051" w:type="dxa"/>
            <w:tcBorders>
              <w:top w:val="single" w:color="auto" w:sz="4" w:space="0"/>
              <w:left w:val="single" w:color="auto" w:sz="4" w:space="0"/>
              <w:bottom w:val="single" w:color="auto" w:sz="4" w:space="0"/>
              <w:right w:val="single" w:color="auto" w:sz="4" w:space="0"/>
            </w:tcBorders>
            <w:vAlign w:val="center"/>
          </w:tcPr>
          <w:p w14:paraId="4F7199C1">
            <w:pPr>
              <w:jc w:val="right"/>
              <w:rPr>
                <w:rFonts w:ascii="Calibri" w:hAnsi="Calibri"/>
                <w:sz w:val="20"/>
                <w:szCs w:val="20"/>
              </w:rPr>
            </w:pPr>
            <w:r>
              <w:rPr>
                <w:rFonts w:ascii="Calibri" w:hAnsi="Calibri"/>
                <w:sz w:val="20"/>
                <w:szCs w:val="20"/>
              </w:rPr>
              <w:t>427,198,535.83</w:t>
            </w:r>
          </w:p>
        </w:tc>
        <w:tc>
          <w:tcPr>
            <w:tcW w:w="3051" w:type="dxa"/>
            <w:tcBorders>
              <w:top w:val="single" w:color="auto" w:sz="4" w:space="0"/>
              <w:left w:val="single" w:color="auto" w:sz="4" w:space="0"/>
              <w:bottom w:val="single" w:color="auto" w:sz="4" w:space="0"/>
              <w:right w:val="single" w:color="auto" w:sz="4" w:space="0"/>
            </w:tcBorders>
            <w:vAlign w:val="center"/>
          </w:tcPr>
          <w:p w14:paraId="40E77B89">
            <w:pPr>
              <w:jc w:val="right"/>
              <w:rPr>
                <w:rFonts w:ascii="Calibri" w:hAnsi="Calibri"/>
                <w:sz w:val="20"/>
                <w:szCs w:val="20"/>
              </w:rPr>
            </w:pPr>
            <w:r>
              <w:rPr>
                <w:rFonts w:ascii="Calibri" w:hAnsi="Calibri"/>
                <w:sz w:val="20"/>
                <w:szCs w:val="20"/>
              </w:rPr>
              <w:t>476,266,387.26</w:t>
            </w:r>
          </w:p>
        </w:tc>
      </w:tr>
      <w:tr w14:paraId="17633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2B661673">
            <w:pPr>
              <w:pStyle w:val="48"/>
              <w:rPr>
                <w:sz w:val="20"/>
                <w:szCs w:val="20"/>
              </w:rPr>
            </w:pPr>
            <w:r>
              <w:rPr>
                <w:rFonts w:hint="eastAsia"/>
                <w:sz w:val="20"/>
                <w:szCs w:val="20"/>
              </w:rPr>
              <w:t>1至2年</w:t>
            </w:r>
          </w:p>
        </w:tc>
        <w:tc>
          <w:tcPr>
            <w:tcW w:w="3051" w:type="dxa"/>
            <w:tcBorders>
              <w:top w:val="single" w:color="auto" w:sz="4" w:space="0"/>
              <w:left w:val="single" w:color="auto" w:sz="4" w:space="0"/>
              <w:bottom w:val="single" w:color="auto" w:sz="4" w:space="0"/>
              <w:right w:val="single" w:color="auto" w:sz="4" w:space="0"/>
            </w:tcBorders>
            <w:vAlign w:val="center"/>
          </w:tcPr>
          <w:p w14:paraId="405AD39E">
            <w:pPr>
              <w:jc w:val="right"/>
              <w:rPr>
                <w:rFonts w:ascii="Calibri" w:hAnsi="Calibri"/>
                <w:sz w:val="20"/>
                <w:szCs w:val="20"/>
              </w:rPr>
            </w:pPr>
            <w:r>
              <w:rPr>
                <w:rFonts w:ascii="Calibri" w:hAnsi="Calibri"/>
                <w:sz w:val="20"/>
                <w:szCs w:val="20"/>
              </w:rPr>
              <w:t>921,470.12</w:t>
            </w:r>
          </w:p>
        </w:tc>
        <w:tc>
          <w:tcPr>
            <w:tcW w:w="3051" w:type="dxa"/>
            <w:tcBorders>
              <w:top w:val="single" w:color="auto" w:sz="4" w:space="0"/>
              <w:left w:val="single" w:color="auto" w:sz="4" w:space="0"/>
              <w:bottom w:val="single" w:color="auto" w:sz="4" w:space="0"/>
              <w:right w:val="single" w:color="auto" w:sz="4" w:space="0"/>
            </w:tcBorders>
            <w:vAlign w:val="center"/>
          </w:tcPr>
          <w:p w14:paraId="06D84733">
            <w:pPr>
              <w:jc w:val="right"/>
              <w:rPr>
                <w:rFonts w:ascii="Calibri" w:hAnsi="Calibri"/>
                <w:sz w:val="20"/>
                <w:szCs w:val="20"/>
              </w:rPr>
            </w:pPr>
            <w:r>
              <w:rPr>
                <w:rFonts w:ascii="Calibri" w:hAnsi="Calibri"/>
                <w:sz w:val="20"/>
                <w:szCs w:val="20"/>
              </w:rPr>
              <w:t>35,129,011.95</w:t>
            </w:r>
          </w:p>
        </w:tc>
      </w:tr>
      <w:tr w14:paraId="594B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67507D50">
            <w:pPr>
              <w:pStyle w:val="48"/>
              <w:rPr>
                <w:sz w:val="20"/>
                <w:szCs w:val="20"/>
              </w:rPr>
            </w:pPr>
            <w:r>
              <w:rPr>
                <w:rFonts w:hint="eastAsia"/>
                <w:sz w:val="20"/>
                <w:szCs w:val="20"/>
              </w:rPr>
              <w:t>2至3年</w:t>
            </w:r>
          </w:p>
        </w:tc>
        <w:tc>
          <w:tcPr>
            <w:tcW w:w="3051" w:type="dxa"/>
            <w:tcBorders>
              <w:top w:val="single" w:color="auto" w:sz="4" w:space="0"/>
              <w:left w:val="single" w:color="auto" w:sz="4" w:space="0"/>
              <w:bottom w:val="single" w:color="auto" w:sz="4" w:space="0"/>
              <w:right w:val="single" w:color="auto" w:sz="4" w:space="0"/>
            </w:tcBorders>
            <w:vAlign w:val="center"/>
          </w:tcPr>
          <w:p w14:paraId="3ED7D244">
            <w:pPr>
              <w:jc w:val="right"/>
              <w:rPr>
                <w:rFonts w:ascii="Calibri" w:hAnsi="Calibri"/>
                <w:sz w:val="20"/>
                <w:szCs w:val="20"/>
              </w:rPr>
            </w:pPr>
            <w:r>
              <w:rPr>
                <w:rFonts w:ascii="Calibri" w:hAnsi="Calibri"/>
                <w:sz w:val="20"/>
                <w:szCs w:val="20"/>
              </w:rPr>
              <w:t>2,405,591.32</w:t>
            </w:r>
          </w:p>
        </w:tc>
        <w:tc>
          <w:tcPr>
            <w:tcW w:w="3051" w:type="dxa"/>
            <w:tcBorders>
              <w:top w:val="single" w:color="auto" w:sz="4" w:space="0"/>
              <w:left w:val="single" w:color="auto" w:sz="4" w:space="0"/>
              <w:bottom w:val="single" w:color="auto" w:sz="4" w:space="0"/>
              <w:right w:val="single" w:color="auto" w:sz="4" w:space="0"/>
            </w:tcBorders>
            <w:vAlign w:val="center"/>
          </w:tcPr>
          <w:p w14:paraId="0E53F741">
            <w:pPr>
              <w:jc w:val="right"/>
              <w:rPr>
                <w:rFonts w:ascii="Calibri" w:hAnsi="Calibri"/>
                <w:sz w:val="20"/>
                <w:szCs w:val="20"/>
              </w:rPr>
            </w:pPr>
            <w:r>
              <w:rPr>
                <w:rFonts w:ascii="Calibri" w:hAnsi="Calibri"/>
                <w:sz w:val="20"/>
                <w:szCs w:val="20"/>
              </w:rPr>
              <w:t>1,328,308.49</w:t>
            </w:r>
          </w:p>
        </w:tc>
      </w:tr>
      <w:tr w14:paraId="5433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43E61507">
            <w:pPr>
              <w:pStyle w:val="48"/>
              <w:rPr>
                <w:sz w:val="20"/>
                <w:szCs w:val="20"/>
              </w:rPr>
            </w:pPr>
            <w:r>
              <w:rPr>
                <w:rFonts w:hint="eastAsia"/>
                <w:sz w:val="20"/>
                <w:szCs w:val="20"/>
              </w:rPr>
              <w:t>3至4年</w:t>
            </w:r>
          </w:p>
        </w:tc>
        <w:tc>
          <w:tcPr>
            <w:tcW w:w="3051" w:type="dxa"/>
            <w:tcBorders>
              <w:top w:val="single" w:color="auto" w:sz="4" w:space="0"/>
              <w:left w:val="single" w:color="auto" w:sz="4" w:space="0"/>
              <w:bottom w:val="single" w:color="auto" w:sz="4" w:space="0"/>
              <w:right w:val="single" w:color="auto" w:sz="4" w:space="0"/>
            </w:tcBorders>
            <w:vAlign w:val="center"/>
          </w:tcPr>
          <w:p w14:paraId="6690FFDF">
            <w:pPr>
              <w:jc w:val="right"/>
              <w:rPr>
                <w:rFonts w:ascii="Calibri" w:hAnsi="Calibri"/>
                <w:sz w:val="20"/>
                <w:szCs w:val="20"/>
              </w:rPr>
            </w:pPr>
            <w:r>
              <w:rPr>
                <w:rFonts w:ascii="Calibri" w:hAnsi="Calibri"/>
                <w:sz w:val="20"/>
                <w:szCs w:val="20"/>
              </w:rPr>
              <w:t>140,771.06</w:t>
            </w:r>
          </w:p>
        </w:tc>
        <w:tc>
          <w:tcPr>
            <w:tcW w:w="3051" w:type="dxa"/>
            <w:tcBorders>
              <w:top w:val="single" w:color="auto" w:sz="4" w:space="0"/>
              <w:left w:val="single" w:color="auto" w:sz="4" w:space="0"/>
              <w:bottom w:val="single" w:color="auto" w:sz="4" w:space="0"/>
              <w:right w:val="single" w:color="auto" w:sz="4" w:space="0"/>
            </w:tcBorders>
            <w:vAlign w:val="center"/>
          </w:tcPr>
          <w:p w14:paraId="24D78DD5">
            <w:pPr>
              <w:jc w:val="right"/>
              <w:rPr>
                <w:rFonts w:ascii="Calibri" w:hAnsi="Calibri"/>
                <w:sz w:val="20"/>
                <w:szCs w:val="20"/>
              </w:rPr>
            </w:pPr>
            <w:r>
              <w:rPr>
                <w:rFonts w:ascii="Calibri" w:hAnsi="Calibri"/>
                <w:sz w:val="20"/>
                <w:szCs w:val="20"/>
              </w:rPr>
              <w:t>73,190.68</w:t>
            </w:r>
          </w:p>
        </w:tc>
      </w:tr>
      <w:tr w14:paraId="24F7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2307DBF0">
            <w:pPr>
              <w:pStyle w:val="48"/>
              <w:rPr>
                <w:sz w:val="20"/>
                <w:szCs w:val="20"/>
              </w:rPr>
            </w:pPr>
            <w:r>
              <w:rPr>
                <w:rFonts w:hint="eastAsia"/>
                <w:sz w:val="20"/>
                <w:szCs w:val="20"/>
              </w:rPr>
              <w:t>4至5年</w:t>
            </w:r>
          </w:p>
        </w:tc>
        <w:tc>
          <w:tcPr>
            <w:tcW w:w="3051" w:type="dxa"/>
            <w:tcBorders>
              <w:top w:val="single" w:color="auto" w:sz="4" w:space="0"/>
              <w:left w:val="single" w:color="auto" w:sz="4" w:space="0"/>
              <w:bottom w:val="single" w:color="auto" w:sz="4" w:space="0"/>
              <w:right w:val="single" w:color="auto" w:sz="4" w:space="0"/>
            </w:tcBorders>
            <w:vAlign w:val="center"/>
          </w:tcPr>
          <w:p w14:paraId="46CDBEEE">
            <w:pPr>
              <w:jc w:val="right"/>
              <w:rPr>
                <w:rFonts w:ascii="Calibri" w:hAnsi="Calibri"/>
                <w:sz w:val="20"/>
                <w:szCs w:val="20"/>
              </w:rPr>
            </w:pPr>
          </w:p>
        </w:tc>
        <w:tc>
          <w:tcPr>
            <w:tcW w:w="3051" w:type="dxa"/>
            <w:tcBorders>
              <w:top w:val="single" w:color="auto" w:sz="4" w:space="0"/>
              <w:left w:val="single" w:color="auto" w:sz="4" w:space="0"/>
              <w:bottom w:val="single" w:color="auto" w:sz="4" w:space="0"/>
              <w:right w:val="single" w:color="auto" w:sz="4" w:space="0"/>
            </w:tcBorders>
            <w:vAlign w:val="center"/>
          </w:tcPr>
          <w:p w14:paraId="1AFDDC0F">
            <w:pPr>
              <w:jc w:val="right"/>
              <w:rPr>
                <w:rFonts w:ascii="Calibri" w:hAnsi="Calibri"/>
                <w:sz w:val="20"/>
                <w:szCs w:val="20"/>
              </w:rPr>
            </w:pPr>
            <w:r>
              <w:rPr>
                <w:rFonts w:ascii="Calibri" w:hAnsi="Calibri"/>
                <w:sz w:val="20"/>
                <w:szCs w:val="20"/>
              </w:rPr>
              <w:t>154,848.60</w:t>
            </w:r>
          </w:p>
        </w:tc>
      </w:tr>
      <w:tr w14:paraId="2F3E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214F7C24">
            <w:pPr>
              <w:pStyle w:val="48"/>
              <w:rPr>
                <w:sz w:val="20"/>
                <w:szCs w:val="20"/>
              </w:rPr>
            </w:pPr>
            <w:r>
              <w:rPr>
                <w:rFonts w:hint="eastAsia"/>
                <w:sz w:val="20"/>
                <w:szCs w:val="20"/>
              </w:rPr>
              <w:t>5年以上</w:t>
            </w:r>
          </w:p>
        </w:tc>
        <w:tc>
          <w:tcPr>
            <w:tcW w:w="3051" w:type="dxa"/>
            <w:tcBorders>
              <w:top w:val="single" w:color="auto" w:sz="4" w:space="0"/>
              <w:left w:val="single" w:color="auto" w:sz="4" w:space="0"/>
              <w:bottom w:val="single" w:color="auto" w:sz="4" w:space="0"/>
              <w:right w:val="single" w:color="auto" w:sz="4" w:space="0"/>
            </w:tcBorders>
            <w:vAlign w:val="center"/>
          </w:tcPr>
          <w:p w14:paraId="72521DCE">
            <w:pPr>
              <w:jc w:val="right"/>
              <w:rPr>
                <w:rFonts w:ascii="Calibri" w:hAnsi="Calibri"/>
                <w:sz w:val="20"/>
                <w:szCs w:val="20"/>
              </w:rPr>
            </w:pPr>
            <w:r>
              <w:rPr>
                <w:rFonts w:ascii="Calibri" w:hAnsi="Calibri"/>
                <w:sz w:val="20"/>
                <w:szCs w:val="20"/>
              </w:rPr>
              <w:t>91,388,488.79</w:t>
            </w:r>
          </w:p>
        </w:tc>
        <w:tc>
          <w:tcPr>
            <w:tcW w:w="3051" w:type="dxa"/>
            <w:tcBorders>
              <w:top w:val="single" w:color="auto" w:sz="4" w:space="0"/>
              <w:left w:val="single" w:color="auto" w:sz="4" w:space="0"/>
              <w:bottom w:val="single" w:color="auto" w:sz="4" w:space="0"/>
              <w:right w:val="single" w:color="auto" w:sz="4" w:space="0"/>
            </w:tcBorders>
            <w:vAlign w:val="center"/>
          </w:tcPr>
          <w:p w14:paraId="6680BD03">
            <w:pPr>
              <w:jc w:val="right"/>
              <w:rPr>
                <w:rFonts w:ascii="Calibri" w:hAnsi="Calibri"/>
                <w:sz w:val="20"/>
                <w:szCs w:val="20"/>
              </w:rPr>
            </w:pPr>
            <w:r>
              <w:rPr>
                <w:rFonts w:ascii="Calibri" w:hAnsi="Calibri"/>
                <w:sz w:val="20"/>
                <w:szCs w:val="20"/>
              </w:rPr>
              <w:t>104,045,119.07</w:t>
            </w:r>
          </w:p>
        </w:tc>
      </w:tr>
      <w:tr w14:paraId="08CD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74D21766">
            <w:pPr>
              <w:jc w:val="center"/>
              <w:rPr>
                <w:rFonts w:ascii="Calibri" w:hAnsi="Calibri"/>
                <w:sz w:val="20"/>
                <w:szCs w:val="20"/>
              </w:rPr>
            </w:pPr>
            <w:r>
              <w:rPr>
                <w:rFonts w:hint="eastAsia" w:ascii="Calibri" w:hAnsi="Calibri"/>
                <w:sz w:val="20"/>
                <w:szCs w:val="20"/>
              </w:rPr>
              <w:t>合计</w:t>
            </w:r>
          </w:p>
        </w:tc>
        <w:tc>
          <w:tcPr>
            <w:tcW w:w="3051" w:type="dxa"/>
            <w:tcBorders>
              <w:top w:val="single" w:color="auto" w:sz="4" w:space="0"/>
              <w:left w:val="single" w:color="auto" w:sz="4" w:space="0"/>
              <w:bottom w:val="single" w:color="auto" w:sz="4" w:space="0"/>
              <w:right w:val="single" w:color="auto" w:sz="4" w:space="0"/>
            </w:tcBorders>
            <w:vAlign w:val="center"/>
          </w:tcPr>
          <w:p w14:paraId="3FE9101D">
            <w:pPr>
              <w:jc w:val="right"/>
              <w:rPr>
                <w:rFonts w:ascii="Calibri" w:hAnsi="Calibri"/>
                <w:sz w:val="20"/>
                <w:szCs w:val="20"/>
              </w:rPr>
            </w:pPr>
            <w:r>
              <w:rPr>
                <w:rFonts w:ascii="Calibri" w:hAnsi="Calibri"/>
                <w:sz w:val="20"/>
                <w:szCs w:val="20"/>
              </w:rPr>
              <w:t>522,054,857.12</w:t>
            </w:r>
          </w:p>
        </w:tc>
        <w:tc>
          <w:tcPr>
            <w:tcW w:w="3051" w:type="dxa"/>
            <w:tcBorders>
              <w:top w:val="single" w:color="auto" w:sz="4" w:space="0"/>
              <w:left w:val="single" w:color="auto" w:sz="4" w:space="0"/>
              <w:bottom w:val="single" w:color="auto" w:sz="4" w:space="0"/>
              <w:right w:val="single" w:color="auto" w:sz="4" w:space="0"/>
            </w:tcBorders>
            <w:vAlign w:val="center"/>
          </w:tcPr>
          <w:p w14:paraId="08D20C0D">
            <w:pPr>
              <w:jc w:val="right"/>
              <w:rPr>
                <w:rFonts w:ascii="Calibri" w:hAnsi="Calibri"/>
                <w:sz w:val="20"/>
                <w:szCs w:val="20"/>
              </w:rPr>
            </w:pPr>
            <w:r>
              <w:rPr>
                <w:rFonts w:ascii="Calibri" w:hAnsi="Calibri"/>
                <w:sz w:val="20"/>
                <w:szCs w:val="20"/>
              </w:rPr>
              <w:t>616,996,866.05</w:t>
            </w:r>
          </w:p>
        </w:tc>
      </w:tr>
    </w:tbl>
    <w:p w14:paraId="1A5C35BF">
      <w:pPr>
        <w:pStyle w:val="48"/>
      </w:pPr>
    </w:p>
    <w:p w14:paraId="0DBE9783">
      <w:pPr>
        <w:pStyle w:val="48"/>
      </w:pPr>
    </w:p>
    <w:p w14:paraId="0026FA0A">
      <w:pPr>
        <w:pStyle w:val="5"/>
        <w:numPr>
          <w:ilvl w:val="3"/>
          <w:numId w:val="63"/>
        </w:numPr>
        <w:ind w:left="426" w:hanging="426"/>
      </w:pPr>
      <w:bookmarkStart w:id="236" w:name="_Hlk533601584"/>
      <w:r>
        <w:rPr>
          <w:rFonts w:hint="eastAsia"/>
        </w:rPr>
        <w:t>按坏账计提方法分类披露</w:t>
      </w:r>
    </w:p>
    <w:sdt>
      <w:sdtPr>
        <w:alias w:val="是否适用：应收账款分类披露[双击切换]"/>
        <w:tag w:val="_GBC_5532cbb0484a40fcb185be4bb8709d46"/>
        <w:id w:val="1388834213"/>
        <w:placeholder>
          <w:docPart w:val="GBC22222222222222222222222222222"/>
        </w:placeholder>
      </w:sdtPr>
      <w:sdtContent>
        <w:p w14:paraId="585B5CF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D7DBF43">
      <w:pPr>
        <w:pStyle w:val="30"/>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财务附注：应收账款按种类披露"/>
          <w:tag w:val="_GBC_9672a88fa94c441f9769b560659b37f6"/>
          <w:id w:val="12189379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45ed90b2e73740bfa8c1f5d7d12ff35e"/>
          <w:id w:val="-17249716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57"/>
        <w:tblW w:w="11483"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76"/>
        <w:gridCol w:w="709"/>
        <w:gridCol w:w="1276"/>
        <w:gridCol w:w="708"/>
        <w:gridCol w:w="1276"/>
        <w:gridCol w:w="1276"/>
        <w:gridCol w:w="709"/>
        <w:gridCol w:w="1275"/>
        <w:gridCol w:w="709"/>
        <w:gridCol w:w="1276"/>
      </w:tblGrid>
      <w:tr w14:paraId="69BD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tag w:val="_PLD_f8d5a19b9b724da98e30475a6df20be9"/>
            <w:id w:val="-2070335156"/>
          </w:sdtPr>
          <w:sdtContent>
            <w:tc>
              <w:tcPr>
                <w:tcW w:w="993" w:type="dxa"/>
                <w:vMerge w:val="restart"/>
                <w:tcBorders>
                  <w:top w:val="single" w:color="auto" w:sz="4" w:space="0"/>
                  <w:left w:val="single" w:color="auto" w:sz="4" w:space="0"/>
                  <w:right w:val="single" w:color="auto" w:sz="4" w:space="0"/>
                </w:tcBorders>
                <w:vAlign w:val="center"/>
              </w:tcPr>
              <w:p w14:paraId="3D061087">
                <w:pPr>
                  <w:jc w:val="center"/>
                  <w:rPr>
                    <w:rFonts w:ascii="Calibri" w:hAnsi="Calibri"/>
                    <w:sz w:val="20"/>
                    <w:szCs w:val="20"/>
                  </w:rPr>
                </w:pPr>
                <w:r>
                  <w:rPr>
                    <w:rFonts w:hint="eastAsia" w:ascii="Calibri" w:hAnsi="Calibri"/>
                    <w:sz w:val="20"/>
                    <w:szCs w:val="20"/>
                  </w:rPr>
                  <w:t>类别</w:t>
                </w:r>
              </w:p>
            </w:tc>
          </w:sdtContent>
        </w:sdt>
        <w:sdt>
          <w:sdtPr>
            <w:tag w:val="_PLD_8e6cd64a5cc84d259bab748be3f49169"/>
            <w:id w:val="-2118747798"/>
          </w:sdtPr>
          <w:sdtContent>
            <w:tc>
              <w:tcPr>
                <w:tcW w:w="5245" w:type="dxa"/>
                <w:gridSpan w:val="5"/>
                <w:tcBorders>
                  <w:top w:val="single" w:color="auto" w:sz="4" w:space="0"/>
                  <w:left w:val="single" w:color="auto" w:sz="4" w:space="0"/>
                  <w:right w:val="single" w:color="auto" w:sz="4" w:space="0"/>
                </w:tcBorders>
                <w:vAlign w:val="center"/>
              </w:tcPr>
              <w:p w14:paraId="1B06A0DD">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期末余额</w:t>
                </w:r>
              </w:p>
            </w:tc>
          </w:sdtContent>
        </w:sdt>
        <w:sdt>
          <w:sdtPr>
            <w:tag w:val="_PLD_f3718624b866493ab3b8d8edadf10560"/>
            <w:id w:val="999074243"/>
          </w:sdtPr>
          <w:sdtContent>
            <w:tc>
              <w:tcPr>
                <w:tcW w:w="5245" w:type="dxa"/>
                <w:gridSpan w:val="5"/>
                <w:tcBorders>
                  <w:top w:val="single" w:color="auto" w:sz="4" w:space="0"/>
                  <w:left w:val="single" w:color="auto" w:sz="4" w:space="0"/>
                  <w:right w:val="single" w:color="auto" w:sz="4" w:space="0"/>
                </w:tcBorders>
                <w:vAlign w:val="center"/>
              </w:tcPr>
              <w:p w14:paraId="0DF9D88D">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期初余额</w:t>
                </w:r>
              </w:p>
            </w:tc>
          </w:sdtContent>
        </w:sdt>
      </w:tr>
      <w:tr w14:paraId="1C39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993" w:type="dxa"/>
            <w:vMerge w:val="continue"/>
            <w:tcBorders>
              <w:left w:val="single" w:color="auto" w:sz="4" w:space="0"/>
              <w:right w:val="single" w:color="auto" w:sz="4" w:space="0"/>
            </w:tcBorders>
            <w:vAlign w:val="center"/>
          </w:tcPr>
          <w:p w14:paraId="50BD362A">
            <w:pPr>
              <w:pStyle w:val="48"/>
              <w:rPr>
                <w:sz w:val="20"/>
                <w:szCs w:val="20"/>
              </w:rPr>
            </w:pPr>
          </w:p>
        </w:tc>
        <w:sdt>
          <w:sdtPr>
            <w:tag w:val="_PLD_696c52ce758e49deb616a7fb8df8ee20"/>
            <w:id w:val="-44297642"/>
          </w:sdtPr>
          <w:sdtContent>
            <w:tc>
              <w:tcPr>
                <w:tcW w:w="1985" w:type="dxa"/>
                <w:gridSpan w:val="2"/>
                <w:tcBorders>
                  <w:top w:val="single" w:color="auto" w:sz="4" w:space="0"/>
                  <w:left w:val="single" w:color="auto" w:sz="4" w:space="0"/>
                  <w:bottom w:val="single" w:color="auto" w:sz="4" w:space="0"/>
                  <w:right w:val="single" w:color="auto" w:sz="4" w:space="0"/>
                </w:tcBorders>
                <w:vAlign w:val="center"/>
              </w:tcPr>
              <w:p w14:paraId="79D0D117">
                <w:pPr>
                  <w:jc w:val="center"/>
                  <w:rPr>
                    <w:rFonts w:ascii="Calibri" w:hAnsi="Calibri"/>
                    <w:sz w:val="20"/>
                    <w:szCs w:val="20"/>
                  </w:rPr>
                </w:pPr>
                <w:r>
                  <w:rPr>
                    <w:rFonts w:hint="eastAsia" w:ascii="Calibri" w:hAnsi="Calibri"/>
                    <w:sz w:val="20"/>
                    <w:szCs w:val="20"/>
                  </w:rPr>
                  <w:t>账面余额</w:t>
                </w:r>
              </w:p>
            </w:tc>
          </w:sdtContent>
        </w:sdt>
        <w:sdt>
          <w:sdtPr>
            <w:tag w:val="_PLD_1ca261fa1763424688ba2be8550f43e1"/>
            <w:id w:val="-1479690947"/>
          </w:sdtPr>
          <w:sdtContent>
            <w:tc>
              <w:tcPr>
                <w:tcW w:w="1984" w:type="dxa"/>
                <w:gridSpan w:val="2"/>
                <w:tcBorders>
                  <w:top w:val="single" w:color="auto" w:sz="4" w:space="0"/>
                  <w:left w:val="single" w:color="auto" w:sz="4" w:space="0"/>
                  <w:bottom w:val="single" w:color="auto" w:sz="4" w:space="0"/>
                  <w:right w:val="single" w:color="auto" w:sz="4" w:space="0"/>
                </w:tcBorders>
                <w:vAlign w:val="center"/>
              </w:tcPr>
              <w:p w14:paraId="05877D6B">
                <w:pPr>
                  <w:jc w:val="center"/>
                  <w:rPr>
                    <w:rFonts w:ascii="Calibri" w:hAnsi="Calibri"/>
                    <w:sz w:val="20"/>
                    <w:szCs w:val="20"/>
                  </w:rPr>
                </w:pPr>
                <w:r>
                  <w:rPr>
                    <w:rFonts w:hint="eastAsia" w:ascii="Calibri" w:hAnsi="Calibri"/>
                    <w:sz w:val="20"/>
                    <w:szCs w:val="20"/>
                  </w:rPr>
                  <w:t>坏账准备</w:t>
                </w:r>
              </w:p>
            </w:tc>
          </w:sdtContent>
        </w:sdt>
        <w:sdt>
          <w:sdtPr>
            <w:tag w:val="_PLD_caaf7fb85a4a432890635f2eb9c38cd5"/>
            <w:id w:val="1500158692"/>
          </w:sdtPr>
          <w:sdtContent>
            <w:tc>
              <w:tcPr>
                <w:tcW w:w="1276" w:type="dxa"/>
                <w:vMerge w:val="restart"/>
                <w:tcBorders>
                  <w:top w:val="single" w:color="auto" w:sz="4" w:space="0"/>
                  <w:left w:val="single" w:color="auto" w:sz="4" w:space="0"/>
                  <w:right w:val="single" w:color="auto" w:sz="4" w:space="0"/>
                </w:tcBorders>
                <w:vAlign w:val="center"/>
              </w:tcPr>
              <w:p w14:paraId="38AB5A53">
                <w:pPr>
                  <w:jc w:val="center"/>
                  <w:rPr>
                    <w:rFonts w:ascii="Calibri" w:hAnsi="Calibri"/>
                    <w:sz w:val="20"/>
                    <w:szCs w:val="20"/>
                  </w:rPr>
                </w:pPr>
                <w:r>
                  <w:rPr>
                    <w:rFonts w:hint="eastAsia" w:ascii="Calibri" w:hAnsi="Calibri"/>
                    <w:sz w:val="20"/>
                    <w:szCs w:val="20"/>
                  </w:rPr>
                  <w:t>账面</w:t>
                </w:r>
              </w:p>
              <w:p w14:paraId="737B92EE">
                <w:pPr>
                  <w:jc w:val="center"/>
                  <w:rPr>
                    <w:rFonts w:ascii="Calibri" w:hAnsi="Calibri"/>
                    <w:sz w:val="20"/>
                    <w:szCs w:val="20"/>
                  </w:rPr>
                </w:pPr>
                <w:r>
                  <w:rPr>
                    <w:rFonts w:hint="eastAsia" w:ascii="Calibri" w:hAnsi="Calibri"/>
                    <w:sz w:val="20"/>
                    <w:szCs w:val="20"/>
                  </w:rPr>
                  <w:t>价值</w:t>
                </w:r>
              </w:p>
            </w:tc>
          </w:sdtContent>
        </w:sdt>
        <w:sdt>
          <w:sdtPr>
            <w:tag w:val="_PLD_f01498a5d6634d7ab63dd393e266902a"/>
            <w:id w:val="-2017525365"/>
          </w:sdtPr>
          <w:sdtContent>
            <w:tc>
              <w:tcPr>
                <w:tcW w:w="1985" w:type="dxa"/>
                <w:gridSpan w:val="2"/>
                <w:tcBorders>
                  <w:top w:val="single" w:color="auto" w:sz="4" w:space="0"/>
                  <w:left w:val="single" w:color="auto" w:sz="4" w:space="0"/>
                  <w:right w:val="single" w:color="auto" w:sz="4" w:space="0"/>
                </w:tcBorders>
                <w:vAlign w:val="center"/>
              </w:tcPr>
              <w:p w14:paraId="26FED872">
                <w:pPr>
                  <w:jc w:val="center"/>
                  <w:rPr>
                    <w:rFonts w:ascii="Calibri" w:hAnsi="Calibri"/>
                    <w:sz w:val="20"/>
                    <w:szCs w:val="20"/>
                  </w:rPr>
                </w:pPr>
                <w:r>
                  <w:rPr>
                    <w:rFonts w:hint="eastAsia" w:ascii="Calibri" w:hAnsi="Calibri"/>
                    <w:sz w:val="20"/>
                    <w:szCs w:val="20"/>
                  </w:rPr>
                  <w:t>账面余额</w:t>
                </w:r>
              </w:p>
            </w:tc>
          </w:sdtContent>
        </w:sdt>
        <w:sdt>
          <w:sdtPr>
            <w:tag w:val="_PLD_e9336373677a4e1781b6e81f705c1bec"/>
            <w:id w:val="2095818075"/>
          </w:sdtPr>
          <w:sdtContent>
            <w:tc>
              <w:tcPr>
                <w:tcW w:w="1984" w:type="dxa"/>
                <w:gridSpan w:val="2"/>
                <w:tcBorders>
                  <w:top w:val="single" w:color="auto" w:sz="4" w:space="0"/>
                  <w:left w:val="single" w:color="auto" w:sz="4" w:space="0"/>
                  <w:right w:val="single" w:color="auto" w:sz="4" w:space="0"/>
                </w:tcBorders>
                <w:vAlign w:val="center"/>
              </w:tcPr>
              <w:p w14:paraId="75092E5E">
                <w:pPr>
                  <w:jc w:val="center"/>
                  <w:rPr>
                    <w:rFonts w:ascii="Calibri" w:hAnsi="Calibri"/>
                    <w:sz w:val="20"/>
                    <w:szCs w:val="20"/>
                  </w:rPr>
                </w:pPr>
                <w:r>
                  <w:rPr>
                    <w:rFonts w:hint="eastAsia" w:ascii="Calibri" w:hAnsi="Calibri"/>
                    <w:sz w:val="20"/>
                    <w:szCs w:val="20"/>
                  </w:rPr>
                  <w:t>坏账准备</w:t>
                </w:r>
              </w:p>
            </w:tc>
          </w:sdtContent>
        </w:sdt>
        <w:sdt>
          <w:sdtPr>
            <w:tag w:val="_PLD_09bacc527e7b4910a0c82606fe4a5754"/>
            <w:id w:val="-86697080"/>
          </w:sdtPr>
          <w:sdtContent>
            <w:tc>
              <w:tcPr>
                <w:tcW w:w="1276" w:type="dxa"/>
                <w:vMerge w:val="restart"/>
                <w:tcBorders>
                  <w:top w:val="single" w:color="auto" w:sz="4" w:space="0"/>
                  <w:left w:val="single" w:color="auto" w:sz="4" w:space="0"/>
                  <w:right w:val="single" w:color="auto" w:sz="4" w:space="0"/>
                </w:tcBorders>
                <w:vAlign w:val="center"/>
              </w:tcPr>
              <w:p w14:paraId="29FBD29F">
                <w:pPr>
                  <w:jc w:val="center"/>
                  <w:rPr>
                    <w:rFonts w:ascii="Calibri" w:hAnsi="Calibri"/>
                    <w:sz w:val="20"/>
                    <w:szCs w:val="20"/>
                  </w:rPr>
                </w:pPr>
                <w:r>
                  <w:rPr>
                    <w:rFonts w:hint="eastAsia" w:ascii="Calibri" w:hAnsi="Calibri"/>
                    <w:sz w:val="20"/>
                    <w:szCs w:val="20"/>
                  </w:rPr>
                  <w:t>账面</w:t>
                </w:r>
              </w:p>
              <w:p w14:paraId="1A0F76BA">
                <w:pPr>
                  <w:jc w:val="center"/>
                  <w:rPr>
                    <w:rFonts w:ascii="Calibri" w:hAnsi="Calibri"/>
                    <w:sz w:val="20"/>
                    <w:szCs w:val="20"/>
                  </w:rPr>
                </w:pPr>
                <w:r>
                  <w:rPr>
                    <w:rFonts w:hint="eastAsia" w:ascii="Calibri" w:hAnsi="Calibri"/>
                    <w:sz w:val="20"/>
                    <w:szCs w:val="20"/>
                  </w:rPr>
                  <w:t>价值</w:t>
                </w:r>
              </w:p>
            </w:tc>
          </w:sdtContent>
        </w:sdt>
      </w:tr>
      <w:tr w14:paraId="5971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993" w:type="dxa"/>
            <w:vMerge w:val="continue"/>
            <w:tcBorders>
              <w:left w:val="single" w:color="auto" w:sz="4" w:space="0"/>
              <w:bottom w:val="single" w:color="auto" w:sz="4" w:space="0"/>
              <w:right w:val="single" w:color="auto" w:sz="4" w:space="0"/>
            </w:tcBorders>
            <w:vAlign w:val="center"/>
          </w:tcPr>
          <w:p w14:paraId="081874D9">
            <w:pPr>
              <w:pStyle w:val="48"/>
              <w:rPr>
                <w:sz w:val="20"/>
                <w:szCs w:val="20"/>
              </w:rPr>
            </w:pPr>
          </w:p>
        </w:tc>
        <w:sdt>
          <w:sdtPr>
            <w:tag w:val="_PLD_9a908e63a38c4885ae2f80c1b860b93a"/>
            <w:id w:val="1894929724"/>
          </w:sdtPr>
          <w:sdtContent>
            <w:tc>
              <w:tcPr>
                <w:tcW w:w="1276" w:type="dxa"/>
                <w:tcBorders>
                  <w:left w:val="single" w:color="auto" w:sz="4" w:space="0"/>
                  <w:bottom w:val="single" w:color="auto" w:sz="4" w:space="0"/>
                  <w:right w:val="single" w:color="auto" w:sz="4" w:space="0"/>
                </w:tcBorders>
                <w:vAlign w:val="center"/>
              </w:tcPr>
              <w:p w14:paraId="145C85DB">
                <w:pPr>
                  <w:jc w:val="center"/>
                  <w:rPr>
                    <w:rFonts w:ascii="Calibri" w:hAnsi="Calibri"/>
                    <w:sz w:val="20"/>
                    <w:szCs w:val="20"/>
                  </w:rPr>
                </w:pPr>
                <w:r>
                  <w:rPr>
                    <w:rFonts w:hint="eastAsia" w:ascii="Calibri" w:hAnsi="Calibri"/>
                    <w:sz w:val="20"/>
                    <w:szCs w:val="20"/>
                  </w:rPr>
                  <w:t>金额</w:t>
                </w:r>
              </w:p>
            </w:tc>
          </w:sdtContent>
        </w:sdt>
        <w:sdt>
          <w:sdtPr>
            <w:tag w:val="_PLD_df211ff0344e48aa8266bff852c13d4a"/>
            <w:id w:val="622113597"/>
          </w:sdtPr>
          <w:sdtContent>
            <w:tc>
              <w:tcPr>
                <w:tcW w:w="709" w:type="dxa"/>
                <w:tcBorders>
                  <w:left w:val="single" w:color="auto" w:sz="4" w:space="0"/>
                  <w:bottom w:val="single" w:color="auto" w:sz="4" w:space="0"/>
                  <w:right w:val="single" w:color="auto" w:sz="4" w:space="0"/>
                </w:tcBorders>
                <w:vAlign w:val="center"/>
              </w:tcPr>
              <w:p w14:paraId="752A2B15">
                <w:pPr>
                  <w:jc w:val="center"/>
                  <w:rPr>
                    <w:rFonts w:ascii="Calibri" w:hAnsi="Calibri"/>
                    <w:sz w:val="20"/>
                    <w:szCs w:val="20"/>
                  </w:rPr>
                </w:pPr>
                <w:r>
                  <w:rPr>
                    <w:rFonts w:hint="eastAsia" w:ascii="Calibri" w:hAnsi="Calibri"/>
                    <w:sz w:val="20"/>
                    <w:szCs w:val="20"/>
                  </w:rPr>
                  <w:t>比例</w:t>
                </w:r>
                <w:r>
                  <w:rPr>
                    <w:rFonts w:ascii="Calibri" w:hAnsi="Calibri"/>
                    <w:sz w:val="20"/>
                    <w:szCs w:val="20"/>
                  </w:rPr>
                  <w:t>(%)</w:t>
                </w:r>
              </w:p>
            </w:tc>
          </w:sdtContent>
        </w:sdt>
        <w:sdt>
          <w:sdtPr>
            <w:tag w:val="_PLD_bc7278fbd5c542a3abfb9a55090a49e0"/>
            <w:id w:val="-1972042310"/>
          </w:sdtPr>
          <w:sdtContent>
            <w:tc>
              <w:tcPr>
                <w:tcW w:w="1276" w:type="dxa"/>
                <w:tcBorders>
                  <w:left w:val="single" w:color="auto" w:sz="4" w:space="0"/>
                  <w:bottom w:val="single" w:color="auto" w:sz="4" w:space="0"/>
                  <w:right w:val="single" w:color="auto" w:sz="4" w:space="0"/>
                </w:tcBorders>
                <w:vAlign w:val="center"/>
              </w:tcPr>
              <w:p w14:paraId="3AADF103">
                <w:pPr>
                  <w:jc w:val="center"/>
                  <w:rPr>
                    <w:rFonts w:ascii="Calibri" w:hAnsi="Calibri"/>
                    <w:sz w:val="20"/>
                    <w:szCs w:val="20"/>
                  </w:rPr>
                </w:pPr>
                <w:r>
                  <w:rPr>
                    <w:rFonts w:hint="eastAsia" w:ascii="Calibri" w:hAnsi="Calibri"/>
                    <w:sz w:val="20"/>
                    <w:szCs w:val="20"/>
                  </w:rPr>
                  <w:t>金额</w:t>
                </w:r>
              </w:p>
            </w:tc>
          </w:sdtContent>
        </w:sdt>
        <w:sdt>
          <w:sdtPr>
            <w:tag w:val="_PLD_98f107e07b5b44938d61d6b0984d9e2b"/>
            <w:id w:val="-290442831"/>
          </w:sdtPr>
          <w:sdtContent>
            <w:tc>
              <w:tcPr>
                <w:tcW w:w="708" w:type="dxa"/>
                <w:tcBorders>
                  <w:left w:val="single" w:color="auto" w:sz="4" w:space="0"/>
                  <w:bottom w:val="single" w:color="auto" w:sz="4" w:space="0"/>
                  <w:right w:val="single" w:color="auto" w:sz="4" w:space="0"/>
                </w:tcBorders>
                <w:vAlign w:val="center"/>
              </w:tcPr>
              <w:p w14:paraId="470C6420">
                <w:pPr>
                  <w:jc w:val="center"/>
                  <w:rPr>
                    <w:rFonts w:ascii="Calibri" w:hAnsi="Calibri"/>
                    <w:sz w:val="20"/>
                    <w:szCs w:val="20"/>
                  </w:rPr>
                </w:pPr>
                <w:r>
                  <w:rPr>
                    <w:rFonts w:hint="eastAsia" w:ascii="Calibri" w:hAnsi="Calibri"/>
                    <w:sz w:val="20"/>
                    <w:szCs w:val="20"/>
                  </w:rPr>
                  <w:t>计提比例</w:t>
                </w:r>
                <w:r>
                  <w:rPr>
                    <w:rFonts w:ascii="Calibri" w:hAnsi="Calibri"/>
                    <w:sz w:val="20"/>
                    <w:szCs w:val="20"/>
                  </w:rPr>
                  <w:t>(%)</w:t>
                </w:r>
              </w:p>
            </w:tc>
          </w:sdtContent>
        </w:sdt>
        <w:tc>
          <w:tcPr>
            <w:tcW w:w="1276" w:type="dxa"/>
            <w:vMerge w:val="continue"/>
            <w:tcBorders>
              <w:left w:val="single" w:color="auto" w:sz="4" w:space="0"/>
              <w:bottom w:val="single" w:color="auto" w:sz="4" w:space="0"/>
              <w:right w:val="single" w:color="auto" w:sz="4" w:space="0"/>
            </w:tcBorders>
            <w:vAlign w:val="center"/>
          </w:tcPr>
          <w:p w14:paraId="74E382E5">
            <w:pPr>
              <w:jc w:val="center"/>
              <w:rPr>
                <w:rFonts w:ascii="Calibri" w:hAnsi="Calibri"/>
                <w:sz w:val="20"/>
                <w:szCs w:val="20"/>
              </w:rPr>
            </w:pPr>
          </w:p>
        </w:tc>
        <w:sdt>
          <w:sdtPr>
            <w:tag w:val="_PLD_27c35a851bfc461b93652bdd1c4da46e"/>
            <w:id w:val="-1803532589"/>
          </w:sdtPr>
          <w:sdtContent>
            <w:tc>
              <w:tcPr>
                <w:tcW w:w="1276" w:type="dxa"/>
                <w:tcBorders>
                  <w:left w:val="single" w:color="auto" w:sz="4" w:space="0"/>
                  <w:bottom w:val="single" w:color="auto" w:sz="4" w:space="0"/>
                  <w:right w:val="single" w:color="auto" w:sz="4" w:space="0"/>
                </w:tcBorders>
                <w:vAlign w:val="center"/>
              </w:tcPr>
              <w:p w14:paraId="6CBA9784">
                <w:pPr>
                  <w:jc w:val="center"/>
                  <w:rPr>
                    <w:rFonts w:ascii="Calibri" w:hAnsi="Calibri"/>
                    <w:sz w:val="20"/>
                    <w:szCs w:val="20"/>
                  </w:rPr>
                </w:pPr>
                <w:r>
                  <w:rPr>
                    <w:rFonts w:hint="eastAsia" w:ascii="Calibri" w:hAnsi="Calibri"/>
                    <w:sz w:val="20"/>
                    <w:szCs w:val="20"/>
                  </w:rPr>
                  <w:t>金额</w:t>
                </w:r>
              </w:p>
            </w:tc>
          </w:sdtContent>
        </w:sdt>
        <w:sdt>
          <w:sdtPr>
            <w:tag w:val="_PLD_8cdcb4d0cfc74ea299eeda00998b7eed"/>
            <w:id w:val="1321546892"/>
          </w:sdtPr>
          <w:sdtContent>
            <w:tc>
              <w:tcPr>
                <w:tcW w:w="709" w:type="dxa"/>
                <w:tcBorders>
                  <w:left w:val="single" w:color="auto" w:sz="4" w:space="0"/>
                  <w:bottom w:val="single" w:color="auto" w:sz="4" w:space="0"/>
                  <w:right w:val="single" w:color="auto" w:sz="4" w:space="0"/>
                </w:tcBorders>
                <w:vAlign w:val="center"/>
              </w:tcPr>
              <w:p w14:paraId="5F8D8950">
                <w:pPr>
                  <w:jc w:val="center"/>
                  <w:rPr>
                    <w:rFonts w:ascii="Calibri" w:hAnsi="Calibri"/>
                    <w:sz w:val="20"/>
                    <w:szCs w:val="20"/>
                  </w:rPr>
                </w:pPr>
                <w:r>
                  <w:rPr>
                    <w:rFonts w:hint="eastAsia" w:ascii="Calibri" w:hAnsi="Calibri"/>
                    <w:sz w:val="20"/>
                    <w:szCs w:val="20"/>
                  </w:rPr>
                  <w:t>比例</w:t>
                </w:r>
                <w:r>
                  <w:rPr>
                    <w:rFonts w:ascii="Calibri" w:hAnsi="Calibri"/>
                    <w:sz w:val="20"/>
                    <w:szCs w:val="20"/>
                  </w:rPr>
                  <w:t>(%)</w:t>
                </w:r>
              </w:p>
            </w:tc>
          </w:sdtContent>
        </w:sdt>
        <w:sdt>
          <w:sdtPr>
            <w:tag w:val="_PLD_205ec069d7004eaba20d3af25a7dfeda"/>
            <w:id w:val="991914711"/>
          </w:sdtPr>
          <w:sdtContent>
            <w:tc>
              <w:tcPr>
                <w:tcW w:w="1275" w:type="dxa"/>
                <w:tcBorders>
                  <w:left w:val="single" w:color="auto" w:sz="4" w:space="0"/>
                  <w:bottom w:val="single" w:color="auto" w:sz="4" w:space="0"/>
                  <w:right w:val="single" w:color="auto" w:sz="4" w:space="0"/>
                </w:tcBorders>
                <w:vAlign w:val="center"/>
              </w:tcPr>
              <w:p w14:paraId="47C38EAA">
                <w:pPr>
                  <w:jc w:val="center"/>
                  <w:rPr>
                    <w:rFonts w:ascii="Calibri" w:hAnsi="Calibri"/>
                    <w:sz w:val="20"/>
                    <w:szCs w:val="20"/>
                  </w:rPr>
                </w:pPr>
                <w:r>
                  <w:rPr>
                    <w:rFonts w:hint="eastAsia" w:ascii="Calibri" w:hAnsi="Calibri"/>
                    <w:sz w:val="20"/>
                    <w:szCs w:val="20"/>
                  </w:rPr>
                  <w:t>金额</w:t>
                </w:r>
              </w:p>
            </w:tc>
          </w:sdtContent>
        </w:sdt>
        <w:sdt>
          <w:sdtPr>
            <w:tag w:val="_PLD_cee6517bce154e26a5f2a917cc143a54"/>
            <w:id w:val="67319422"/>
          </w:sdtPr>
          <w:sdtContent>
            <w:tc>
              <w:tcPr>
                <w:tcW w:w="709" w:type="dxa"/>
                <w:tcBorders>
                  <w:left w:val="single" w:color="auto" w:sz="4" w:space="0"/>
                  <w:bottom w:val="single" w:color="auto" w:sz="4" w:space="0"/>
                  <w:right w:val="single" w:color="auto" w:sz="4" w:space="0"/>
                </w:tcBorders>
                <w:vAlign w:val="center"/>
              </w:tcPr>
              <w:p w14:paraId="40E9B02F">
                <w:pPr>
                  <w:jc w:val="center"/>
                  <w:rPr>
                    <w:rFonts w:ascii="Calibri" w:hAnsi="Calibri"/>
                    <w:sz w:val="20"/>
                    <w:szCs w:val="20"/>
                  </w:rPr>
                </w:pPr>
                <w:r>
                  <w:rPr>
                    <w:rFonts w:hint="eastAsia" w:ascii="Calibri" w:hAnsi="Calibri"/>
                    <w:sz w:val="20"/>
                    <w:szCs w:val="20"/>
                  </w:rPr>
                  <w:t>计提比例</w:t>
                </w:r>
                <w:r>
                  <w:rPr>
                    <w:rFonts w:ascii="Calibri" w:hAnsi="Calibri"/>
                    <w:sz w:val="20"/>
                    <w:szCs w:val="20"/>
                  </w:rPr>
                  <w:t>(%)</w:t>
                </w:r>
              </w:p>
            </w:tc>
          </w:sdtContent>
        </w:sdt>
        <w:tc>
          <w:tcPr>
            <w:tcW w:w="1276" w:type="dxa"/>
            <w:vMerge w:val="continue"/>
            <w:tcBorders>
              <w:left w:val="single" w:color="auto" w:sz="4" w:space="0"/>
              <w:bottom w:val="single" w:color="auto" w:sz="4" w:space="0"/>
              <w:right w:val="single" w:color="auto" w:sz="4" w:space="0"/>
            </w:tcBorders>
            <w:vAlign w:val="center"/>
          </w:tcPr>
          <w:p w14:paraId="3E146284">
            <w:pPr>
              <w:jc w:val="center"/>
              <w:rPr>
                <w:rFonts w:ascii="Calibri" w:hAnsi="Calibri"/>
                <w:sz w:val="20"/>
                <w:szCs w:val="20"/>
              </w:rPr>
            </w:pPr>
          </w:p>
        </w:tc>
      </w:tr>
      <w:tr w14:paraId="17CE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93" w:type="dxa"/>
            <w:tcBorders>
              <w:top w:val="single" w:color="auto" w:sz="4" w:space="0"/>
              <w:left w:val="single" w:color="auto" w:sz="4" w:space="0"/>
              <w:bottom w:val="single" w:color="auto" w:sz="4" w:space="0"/>
              <w:right w:val="single" w:color="auto" w:sz="4" w:space="0"/>
            </w:tcBorders>
            <w:vAlign w:val="center"/>
          </w:tcPr>
          <w:p w14:paraId="2DCF91EE">
            <w:pPr>
              <w:pStyle w:val="48"/>
              <w:rPr>
                <w:sz w:val="20"/>
                <w:szCs w:val="20"/>
              </w:rPr>
            </w:pPr>
            <w:r>
              <w:rPr>
                <w:rFonts w:hint="eastAsia"/>
                <w:sz w:val="20"/>
                <w:szCs w:val="20"/>
              </w:rPr>
              <w:t>按单项计提坏账准备</w:t>
            </w:r>
          </w:p>
        </w:tc>
        <w:tc>
          <w:tcPr>
            <w:tcW w:w="1276" w:type="dxa"/>
            <w:tcBorders>
              <w:top w:val="single" w:color="auto" w:sz="4" w:space="0"/>
              <w:left w:val="single" w:color="auto" w:sz="4" w:space="0"/>
              <w:bottom w:val="single" w:color="auto" w:sz="4" w:space="0"/>
              <w:right w:val="single" w:color="auto" w:sz="4" w:space="0"/>
            </w:tcBorders>
            <w:vAlign w:val="center"/>
          </w:tcPr>
          <w:p w14:paraId="7A142FA5">
            <w:pPr>
              <w:jc w:val="right"/>
              <w:rPr>
                <w:rFonts w:ascii="Calibri" w:hAnsi="Calibri"/>
                <w:sz w:val="15"/>
                <w:szCs w:val="15"/>
              </w:rPr>
            </w:pPr>
            <w:r>
              <w:rPr>
                <w:rFonts w:ascii="Calibri" w:hAnsi="Calibri"/>
                <w:sz w:val="15"/>
                <w:szCs w:val="15"/>
              </w:rPr>
              <w:t>21,817,562.92</w:t>
            </w:r>
          </w:p>
        </w:tc>
        <w:tc>
          <w:tcPr>
            <w:tcW w:w="709" w:type="dxa"/>
            <w:tcBorders>
              <w:top w:val="single" w:color="auto" w:sz="4" w:space="0"/>
              <w:left w:val="single" w:color="auto" w:sz="4" w:space="0"/>
              <w:bottom w:val="single" w:color="auto" w:sz="4" w:space="0"/>
              <w:right w:val="single" w:color="auto" w:sz="4" w:space="0"/>
            </w:tcBorders>
            <w:vAlign w:val="center"/>
          </w:tcPr>
          <w:p w14:paraId="55588E43">
            <w:pPr>
              <w:jc w:val="right"/>
              <w:rPr>
                <w:rFonts w:ascii="Calibri" w:hAnsi="Calibri"/>
                <w:sz w:val="15"/>
                <w:szCs w:val="15"/>
              </w:rPr>
            </w:pPr>
            <w:r>
              <w:rPr>
                <w:rFonts w:ascii="Calibri" w:hAnsi="Calibri"/>
                <w:sz w:val="15"/>
                <w:szCs w:val="15"/>
              </w:rPr>
              <w:t>4.18</w:t>
            </w:r>
          </w:p>
        </w:tc>
        <w:tc>
          <w:tcPr>
            <w:tcW w:w="1276" w:type="dxa"/>
            <w:tcBorders>
              <w:top w:val="single" w:color="auto" w:sz="4" w:space="0"/>
              <w:left w:val="single" w:color="auto" w:sz="4" w:space="0"/>
              <w:bottom w:val="single" w:color="auto" w:sz="4" w:space="0"/>
              <w:right w:val="single" w:color="auto" w:sz="4" w:space="0"/>
            </w:tcBorders>
            <w:vAlign w:val="center"/>
          </w:tcPr>
          <w:p w14:paraId="13F64856">
            <w:pPr>
              <w:jc w:val="right"/>
              <w:rPr>
                <w:rFonts w:ascii="Calibri" w:hAnsi="Calibri"/>
                <w:sz w:val="15"/>
                <w:szCs w:val="15"/>
              </w:rPr>
            </w:pPr>
            <w:r>
              <w:rPr>
                <w:rFonts w:ascii="Calibri" w:hAnsi="Calibri"/>
                <w:sz w:val="15"/>
                <w:szCs w:val="15"/>
              </w:rPr>
              <w:t>21,817,562.92</w:t>
            </w:r>
          </w:p>
        </w:tc>
        <w:tc>
          <w:tcPr>
            <w:tcW w:w="708" w:type="dxa"/>
            <w:tcBorders>
              <w:top w:val="single" w:color="auto" w:sz="4" w:space="0"/>
              <w:left w:val="single" w:color="auto" w:sz="4" w:space="0"/>
              <w:bottom w:val="single" w:color="auto" w:sz="4" w:space="0"/>
              <w:right w:val="single" w:color="auto" w:sz="4" w:space="0"/>
            </w:tcBorders>
            <w:vAlign w:val="center"/>
          </w:tcPr>
          <w:p w14:paraId="4E65C4FF">
            <w:pPr>
              <w:jc w:val="right"/>
              <w:rPr>
                <w:rFonts w:ascii="Calibri" w:hAnsi="Calibri"/>
                <w:sz w:val="15"/>
                <w:szCs w:val="15"/>
              </w:rPr>
            </w:pPr>
            <w:r>
              <w:rPr>
                <w:rFonts w:ascii="Calibri" w:hAnsi="Calibri"/>
                <w:sz w:val="15"/>
                <w:szCs w:val="15"/>
              </w:rPr>
              <w:t>100.00</w:t>
            </w:r>
          </w:p>
        </w:tc>
        <w:tc>
          <w:tcPr>
            <w:tcW w:w="1276" w:type="dxa"/>
            <w:tcBorders>
              <w:top w:val="single" w:color="auto" w:sz="4" w:space="0"/>
              <w:left w:val="single" w:color="auto" w:sz="4" w:space="0"/>
              <w:bottom w:val="single" w:color="auto" w:sz="4" w:space="0"/>
              <w:right w:val="single" w:color="auto" w:sz="4" w:space="0"/>
            </w:tcBorders>
            <w:vAlign w:val="center"/>
          </w:tcPr>
          <w:p w14:paraId="54E9F568">
            <w:pPr>
              <w:jc w:val="right"/>
              <w:rPr>
                <w:rFonts w:ascii="Calibri" w:hAnsi="Calibri"/>
                <w:sz w:val="15"/>
                <w:szCs w:val="15"/>
              </w:rPr>
            </w:pPr>
          </w:p>
        </w:tc>
        <w:tc>
          <w:tcPr>
            <w:tcW w:w="1276" w:type="dxa"/>
            <w:tcBorders>
              <w:top w:val="single" w:color="auto" w:sz="4" w:space="0"/>
              <w:left w:val="single" w:color="auto" w:sz="4" w:space="0"/>
              <w:bottom w:val="single" w:color="auto" w:sz="4" w:space="0"/>
              <w:right w:val="single" w:color="auto" w:sz="4" w:space="0"/>
            </w:tcBorders>
            <w:vAlign w:val="center"/>
          </w:tcPr>
          <w:p w14:paraId="438BC4F0">
            <w:pPr>
              <w:jc w:val="right"/>
              <w:rPr>
                <w:rFonts w:ascii="Calibri" w:hAnsi="Calibri"/>
                <w:sz w:val="15"/>
                <w:szCs w:val="15"/>
              </w:rPr>
            </w:pPr>
            <w:r>
              <w:rPr>
                <w:rFonts w:ascii="Calibri" w:hAnsi="Calibri"/>
                <w:sz w:val="15"/>
                <w:szCs w:val="15"/>
              </w:rPr>
              <w:t>21,969,130.57</w:t>
            </w:r>
          </w:p>
        </w:tc>
        <w:tc>
          <w:tcPr>
            <w:tcW w:w="709" w:type="dxa"/>
            <w:tcBorders>
              <w:top w:val="single" w:color="auto" w:sz="4" w:space="0"/>
              <w:left w:val="single" w:color="auto" w:sz="4" w:space="0"/>
              <w:bottom w:val="single" w:color="auto" w:sz="4" w:space="0"/>
              <w:right w:val="single" w:color="auto" w:sz="4" w:space="0"/>
            </w:tcBorders>
            <w:vAlign w:val="center"/>
          </w:tcPr>
          <w:p w14:paraId="51D31997">
            <w:pPr>
              <w:jc w:val="right"/>
              <w:rPr>
                <w:rFonts w:ascii="Calibri" w:hAnsi="Calibri"/>
                <w:sz w:val="15"/>
                <w:szCs w:val="15"/>
              </w:rPr>
            </w:pPr>
            <w:r>
              <w:rPr>
                <w:rFonts w:ascii="Calibri" w:hAnsi="Calibri"/>
                <w:sz w:val="15"/>
                <w:szCs w:val="15"/>
              </w:rPr>
              <w:t>3.56</w:t>
            </w:r>
          </w:p>
        </w:tc>
        <w:tc>
          <w:tcPr>
            <w:tcW w:w="1275" w:type="dxa"/>
            <w:tcBorders>
              <w:top w:val="single" w:color="auto" w:sz="4" w:space="0"/>
              <w:left w:val="single" w:color="auto" w:sz="4" w:space="0"/>
              <w:bottom w:val="single" w:color="auto" w:sz="4" w:space="0"/>
              <w:right w:val="single" w:color="auto" w:sz="4" w:space="0"/>
            </w:tcBorders>
            <w:vAlign w:val="center"/>
          </w:tcPr>
          <w:p w14:paraId="2D4B3B0F">
            <w:pPr>
              <w:jc w:val="right"/>
              <w:rPr>
                <w:rFonts w:ascii="Calibri" w:hAnsi="Calibri"/>
                <w:sz w:val="15"/>
                <w:szCs w:val="15"/>
              </w:rPr>
            </w:pPr>
            <w:r>
              <w:rPr>
                <w:rFonts w:ascii="Calibri" w:hAnsi="Calibri"/>
                <w:sz w:val="15"/>
                <w:szCs w:val="15"/>
              </w:rPr>
              <w:t>21,969,130.57</w:t>
            </w:r>
          </w:p>
        </w:tc>
        <w:tc>
          <w:tcPr>
            <w:tcW w:w="709" w:type="dxa"/>
            <w:tcBorders>
              <w:top w:val="single" w:color="auto" w:sz="4" w:space="0"/>
              <w:left w:val="single" w:color="auto" w:sz="4" w:space="0"/>
              <w:bottom w:val="single" w:color="auto" w:sz="4" w:space="0"/>
              <w:right w:val="single" w:color="auto" w:sz="4" w:space="0"/>
            </w:tcBorders>
            <w:vAlign w:val="center"/>
          </w:tcPr>
          <w:p w14:paraId="718DB413">
            <w:pPr>
              <w:jc w:val="right"/>
              <w:rPr>
                <w:rFonts w:ascii="Calibri" w:hAnsi="Calibri"/>
                <w:sz w:val="15"/>
                <w:szCs w:val="15"/>
              </w:rPr>
            </w:pPr>
            <w:r>
              <w:rPr>
                <w:rFonts w:ascii="Calibri" w:hAnsi="Calibri"/>
                <w:sz w:val="15"/>
                <w:szCs w:val="15"/>
              </w:rPr>
              <w:t>100.00</w:t>
            </w:r>
          </w:p>
        </w:tc>
        <w:tc>
          <w:tcPr>
            <w:tcW w:w="1276" w:type="dxa"/>
            <w:tcBorders>
              <w:top w:val="single" w:color="auto" w:sz="4" w:space="0"/>
              <w:left w:val="single" w:color="auto" w:sz="4" w:space="0"/>
              <w:bottom w:val="single" w:color="auto" w:sz="4" w:space="0"/>
              <w:right w:val="single" w:color="auto" w:sz="4" w:space="0"/>
            </w:tcBorders>
            <w:vAlign w:val="center"/>
          </w:tcPr>
          <w:p w14:paraId="2CB9A7A1">
            <w:pPr>
              <w:jc w:val="right"/>
              <w:rPr>
                <w:rFonts w:ascii="Calibri" w:hAnsi="Calibri"/>
                <w:sz w:val="20"/>
                <w:szCs w:val="20"/>
              </w:rPr>
            </w:pPr>
          </w:p>
        </w:tc>
      </w:tr>
      <w:tr w14:paraId="4167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2843924a07e24276b2592afce851b5fd"/>
            <w:id w:val="-734473780"/>
          </w:sdtPr>
          <w:sdtContent>
            <w:tc>
              <w:tcPr>
                <w:tcW w:w="11483" w:type="dxa"/>
                <w:gridSpan w:val="11"/>
                <w:tcBorders>
                  <w:top w:val="single" w:color="auto" w:sz="4" w:space="0"/>
                  <w:left w:val="single" w:color="auto" w:sz="4" w:space="0"/>
                  <w:bottom w:val="single" w:color="auto" w:sz="4" w:space="0"/>
                  <w:right w:val="single" w:color="auto" w:sz="4" w:space="0"/>
                </w:tcBorders>
                <w:vAlign w:val="center"/>
              </w:tcPr>
              <w:p w14:paraId="6FFDAB53">
                <w:pPr>
                  <w:pStyle w:val="48"/>
                  <w:rPr>
                    <w:sz w:val="20"/>
                    <w:szCs w:val="20"/>
                  </w:rPr>
                </w:pPr>
                <w:r>
                  <w:rPr>
                    <w:rFonts w:hint="eastAsia"/>
                    <w:sz w:val="20"/>
                    <w:szCs w:val="20"/>
                  </w:rPr>
                  <w:t>其中：</w:t>
                </w:r>
              </w:p>
            </w:tc>
          </w:sdtContent>
        </w:sdt>
      </w:tr>
      <w:tr w14:paraId="61AB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alias w:val="按单项计提坏账准备的应收账款明细-类别"/>
            <w:tag w:val="_GBC_886eea3bd42a4a8b945a70eaa8cff3df"/>
            <w:id w:val="-640112756"/>
          </w:sdtPr>
          <w:sdtContent>
            <w:tc>
              <w:tcPr>
                <w:tcW w:w="993" w:type="dxa"/>
                <w:tcBorders>
                  <w:top w:val="single" w:color="auto" w:sz="4" w:space="0"/>
                  <w:left w:val="single" w:color="auto" w:sz="4" w:space="0"/>
                  <w:bottom w:val="single" w:color="auto" w:sz="4" w:space="0"/>
                  <w:right w:val="single" w:color="auto" w:sz="4" w:space="0"/>
                </w:tcBorders>
                <w:vAlign w:val="center"/>
              </w:tcPr>
              <w:p w14:paraId="404F9373">
                <w:pPr>
                  <w:jc w:val="both"/>
                  <w:rPr>
                    <w:rFonts w:ascii="Calibri" w:hAnsi="Calibri"/>
                    <w:color w:val="808080"/>
                    <w:sz w:val="20"/>
                    <w:szCs w:val="20"/>
                  </w:rPr>
                </w:pPr>
                <w:r>
                  <w:rPr>
                    <w:rFonts w:hint="eastAsia" w:ascii="Calibri" w:hAnsi="Calibri"/>
                    <w:sz w:val="20"/>
                    <w:szCs w:val="20"/>
                  </w:rPr>
                  <w:t>单项金额不重大但单独计提坏账准备</w:t>
                </w:r>
              </w:p>
            </w:tc>
          </w:sdtContent>
        </w:sdt>
        <w:tc>
          <w:tcPr>
            <w:tcW w:w="1276" w:type="dxa"/>
            <w:tcBorders>
              <w:top w:val="single" w:color="auto" w:sz="4" w:space="0"/>
              <w:left w:val="single" w:color="auto" w:sz="4" w:space="0"/>
              <w:bottom w:val="single" w:color="auto" w:sz="4" w:space="0"/>
              <w:right w:val="single" w:color="auto" w:sz="4" w:space="0"/>
            </w:tcBorders>
            <w:vAlign w:val="center"/>
          </w:tcPr>
          <w:p w14:paraId="5DB732D7">
            <w:pPr>
              <w:jc w:val="right"/>
              <w:rPr>
                <w:rFonts w:ascii="Calibri" w:hAnsi="Calibri"/>
                <w:sz w:val="15"/>
                <w:szCs w:val="15"/>
              </w:rPr>
            </w:pPr>
            <w:r>
              <w:rPr>
                <w:rFonts w:ascii="Calibri" w:hAnsi="Calibri"/>
                <w:sz w:val="15"/>
                <w:szCs w:val="15"/>
              </w:rPr>
              <w:t>21,817,562.92</w:t>
            </w:r>
          </w:p>
        </w:tc>
        <w:tc>
          <w:tcPr>
            <w:tcW w:w="709" w:type="dxa"/>
            <w:tcBorders>
              <w:top w:val="single" w:color="auto" w:sz="4" w:space="0"/>
              <w:left w:val="single" w:color="auto" w:sz="4" w:space="0"/>
              <w:bottom w:val="single" w:color="auto" w:sz="4" w:space="0"/>
              <w:right w:val="single" w:color="auto" w:sz="4" w:space="0"/>
            </w:tcBorders>
            <w:vAlign w:val="center"/>
          </w:tcPr>
          <w:p w14:paraId="60BAD202">
            <w:pPr>
              <w:jc w:val="right"/>
              <w:rPr>
                <w:rFonts w:ascii="Calibri" w:hAnsi="Calibri"/>
                <w:sz w:val="15"/>
                <w:szCs w:val="15"/>
              </w:rPr>
            </w:pPr>
            <w:r>
              <w:rPr>
                <w:rFonts w:ascii="Calibri" w:hAnsi="Calibri"/>
                <w:sz w:val="15"/>
                <w:szCs w:val="15"/>
              </w:rPr>
              <w:t>4.18</w:t>
            </w:r>
          </w:p>
        </w:tc>
        <w:tc>
          <w:tcPr>
            <w:tcW w:w="1276" w:type="dxa"/>
            <w:tcBorders>
              <w:top w:val="single" w:color="auto" w:sz="4" w:space="0"/>
              <w:left w:val="single" w:color="auto" w:sz="4" w:space="0"/>
              <w:bottom w:val="single" w:color="auto" w:sz="4" w:space="0"/>
              <w:right w:val="single" w:color="auto" w:sz="4" w:space="0"/>
            </w:tcBorders>
            <w:vAlign w:val="center"/>
          </w:tcPr>
          <w:p w14:paraId="2ABDB9F0">
            <w:pPr>
              <w:jc w:val="right"/>
              <w:rPr>
                <w:rFonts w:ascii="Calibri" w:hAnsi="Calibri"/>
                <w:sz w:val="15"/>
                <w:szCs w:val="15"/>
              </w:rPr>
            </w:pPr>
            <w:r>
              <w:rPr>
                <w:rFonts w:ascii="Calibri" w:hAnsi="Calibri"/>
                <w:sz w:val="15"/>
                <w:szCs w:val="15"/>
              </w:rPr>
              <w:t>21,817,562.92</w:t>
            </w:r>
          </w:p>
        </w:tc>
        <w:tc>
          <w:tcPr>
            <w:tcW w:w="708" w:type="dxa"/>
            <w:tcBorders>
              <w:top w:val="single" w:color="auto" w:sz="4" w:space="0"/>
              <w:left w:val="single" w:color="auto" w:sz="4" w:space="0"/>
              <w:bottom w:val="single" w:color="auto" w:sz="4" w:space="0"/>
              <w:right w:val="single" w:color="auto" w:sz="4" w:space="0"/>
            </w:tcBorders>
            <w:vAlign w:val="center"/>
          </w:tcPr>
          <w:p w14:paraId="38742CF0">
            <w:pPr>
              <w:jc w:val="right"/>
              <w:rPr>
                <w:rFonts w:ascii="Calibri" w:hAnsi="Calibri"/>
                <w:sz w:val="15"/>
                <w:szCs w:val="15"/>
              </w:rPr>
            </w:pPr>
            <w:r>
              <w:rPr>
                <w:rFonts w:ascii="Calibri" w:hAnsi="Calibri"/>
                <w:sz w:val="15"/>
                <w:szCs w:val="15"/>
              </w:rPr>
              <w:t>100.00</w:t>
            </w:r>
          </w:p>
        </w:tc>
        <w:tc>
          <w:tcPr>
            <w:tcW w:w="1276" w:type="dxa"/>
            <w:tcBorders>
              <w:top w:val="single" w:color="auto" w:sz="4" w:space="0"/>
              <w:left w:val="single" w:color="auto" w:sz="4" w:space="0"/>
              <w:bottom w:val="single" w:color="auto" w:sz="4" w:space="0"/>
              <w:right w:val="single" w:color="auto" w:sz="4" w:space="0"/>
            </w:tcBorders>
            <w:vAlign w:val="center"/>
          </w:tcPr>
          <w:p w14:paraId="32D3A697">
            <w:pPr>
              <w:jc w:val="right"/>
              <w:rPr>
                <w:rFonts w:ascii="Calibri" w:hAnsi="Calibri"/>
                <w:sz w:val="15"/>
                <w:szCs w:val="15"/>
              </w:rPr>
            </w:pPr>
          </w:p>
        </w:tc>
        <w:tc>
          <w:tcPr>
            <w:tcW w:w="1276" w:type="dxa"/>
            <w:tcBorders>
              <w:top w:val="single" w:color="auto" w:sz="4" w:space="0"/>
              <w:left w:val="single" w:color="auto" w:sz="4" w:space="0"/>
              <w:bottom w:val="single" w:color="auto" w:sz="4" w:space="0"/>
              <w:right w:val="single" w:color="auto" w:sz="4" w:space="0"/>
            </w:tcBorders>
            <w:vAlign w:val="center"/>
          </w:tcPr>
          <w:p w14:paraId="2A01D6CC">
            <w:pPr>
              <w:jc w:val="right"/>
              <w:rPr>
                <w:rFonts w:ascii="Calibri" w:hAnsi="Calibri"/>
                <w:sz w:val="15"/>
                <w:szCs w:val="15"/>
              </w:rPr>
            </w:pPr>
            <w:r>
              <w:rPr>
                <w:rFonts w:ascii="Calibri" w:hAnsi="Calibri"/>
                <w:sz w:val="15"/>
                <w:szCs w:val="15"/>
              </w:rPr>
              <w:t>21,969,130.57</w:t>
            </w:r>
          </w:p>
        </w:tc>
        <w:tc>
          <w:tcPr>
            <w:tcW w:w="709" w:type="dxa"/>
            <w:tcBorders>
              <w:top w:val="single" w:color="auto" w:sz="4" w:space="0"/>
              <w:left w:val="single" w:color="auto" w:sz="4" w:space="0"/>
              <w:bottom w:val="single" w:color="auto" w:sz="4" w:space="0"/>
              <w:right w:val="single" w:color="auto" w:sz="4" w:space="0"/>
            </w:tcBorders>
            <w:vAlign w:val="center"/>
          </w:tcPr>
          <w:p w14:paraId="454EFE4A">
            <w:pPr>
              <w:jc w:val="right"/>
              <w:rPr>
                <w:rFonts w:ascii="Calibri" w:hAnsi="Calibri"/>
                <w:sz w:val="15"/>
                <w:szCs w:val="15"/>
              </w:rPr>
            </w:pPr>
            <w:r>
              <w:rPr>
                <w:rFonts w:ascii="Calibri" w:hAnsi="Calibri"/>
                <w:sz w:val="15"/>
                <w:szCs w:val="15"/>
              </w:rPr>
              <w:t>3.56</w:t>
            </w:r>
          </w:p>
        </w:tc>
        <w:tc>
          <w:tcPr>
            <w:tcW w:w="1275" w:type="dxa"/>
            <w:tcBorders>
              <w:top w:val="single" w:color="auto" w:sz="4" w:space="0"/>
              <w:left w:val="single" w:color="auto" w:sz="4" w:space="0"/>
              <w:bottom w:val="single" w:color="auto" w:sz="4" w:space="0"/>
              <w:right w:val="single" w:color="auto" w:sz="4" w:space="0"/>
            </w:tcBorders>
            <w:vAlign w:val="center"/>
          </w:tcPr>
          <w:p w14:paraId="4D35585E">
            <w:pPr>
              <w:jc w:val="right"/>
              <w:rPr>
                <w:rFonts w:ascii="Calibri" w:hAnsi="Calibri"/>
                <w:sz w:val="15"/>
                <w:szCs w:val="15"/>
              </w:rPr>
            </w:pPr>
            <w:r>
              <w:rPr>
                <w:rFonts w:ascii="Calibri" w:hAnsi="Calibri"/>
                <w:sz w:val="15"/>
                <w:szCs w:val="15"/>
              </w:rPr>
              <w:t>21,969,130.57</w:t>
            </w:r>
          </w:p>
        </w:tc>
        <w:tc>
          <w:tcPr>
            <w:tcW w:w="709" w:type="dxa"/>
            <w:tcBorders>
              <w:top w:val="single" w:color="auto" w:sz="4" w:space="0"/>
              <w:left w:val="single" w:color="auto" w:sz="4" w:space="0"/>
              <w:bottom w:val="single" w:color="auto" w:sz="4" w:space="0"/>
              <w:right w:val="single" w:color="auto" w:sz="4" w:space="0"/>
            </w:tcBorders>
            <w:vAlign w:val="center"/>
          </w:tcPr>
          <w:p w14:paraId="487E6AA1">
            <w:pPr>
              <w:jc w:val="right"/>
              <w:rPr>
                <w:rFonts w:ascii="Calibri" w:hAnsi="Calibri"/>
                <w:sz w:val="15"/>
                <w:szCs w:val="15"/>
              </w:rPr>
            </w:pPr>
            <w:r>
              <w:rPr>
                <w:rFonts w:ascii="Calibri" w:hAnsi="Calibri"/>
                <w:sz w:val="15"/>
                <w:szCs w:val="15"/>
              </w:rPr>
              <w:t>100.00</w:t>
            </w:r>
          </w:p>
        </w:tc>
        <w:tc>
          <w:tcPr>
            <w:tcW w:w="1276" w:type="dxa"/>
            <w:tcBorders>
              <w:top w:val="single" w:color="auto" w:sz="4" w:space="0"/>
              <w:left w:val="single" w:color="auto" w:sz="4" w:space="0"/>
              <w:bottom w:val="single" w:color="auto" w:sz="4" w:space="0"/>
              <w:right w:val="single" w:color="auto" w:sz="4" w:space="0"/>
            </w:tcBorders>
            <w:vAlign w:val="center"/>
          </w:tcPr>
          <w:p w14:paraId="3B8C16B8">
            <w:pPr>
              <w:jc w:val="right"/>
              <w:rPr>
                <w:rFonts w:ascii="Calibri" w:hAnsi="Calibri"/>
                <w:sz w:val="15"/>
                <w:szCs w:val="15"/>
              </w:rPr>
            </w:pPr>
          </w:p>
        </w:tc>
      </w:tr>
      <w:tr w14:paraId="7679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93" w:type="dxa"/>
            <w:tcBorders>
              <w:top w:val="single" w:color="auto" w:sz="4" w:space="0"/>
              <w:left w:val="single" w:color="auto" w:sz="4" w:space="0"/>
              <w:bottom w:val="single" w:color="auto" w:sz="4" w:space="0"/>
              <w:right w:val="single" w:color="auto" w:sz="4" w:space="0"/>
            </w:tcBorders>
            <w:vAlign w:val="center"/>
          </w:tcPr>
          <w:p w14:paraId="05C4C577">
            <w:pPr>
              <w:pStyle w:val="48"/>
              <w:rPr>
                <w:sz w:val="20"/>
                <w:szCs w:val="20"/>
              </w:rPr>
            </w:pPr>
            <w:r>
              <w:rPr>
                <w:rFonts w:hint="eastAsia"/>
                <w:sz w:val="20"/>
                <w:szCs w:val="20"/>
              </w:rPr>
              <w:t>按组合计提坏账准备</w:t>
            </w:r>
          </w:p>
        </w:tc>
        <w:tc>
          <w:tcPr>
            <w:tcW w:w="1276" w:type="dxa"/>
            <w:tcBorders>
              <w:top w:val="single" w:color="auto" w:sz="4" w:space="0"/>
              <w:left w:val="single" w:color="auto" w:sz="4" w:space="0"/>
              <w:bottom w:val="single" w:color="auto" w:sz="4" w:space="0"/>
              <w:right w:val="single" w:color="auto" w:sz="4" w:space="0"/>
            </w:tcBorders>
            <w:vAlign w:val="center"/>
          </w:tcPr>
          <w:p w14:paraId="5FDAFAD3">
            <w:pPr>
              <w:jc w:val="right"/>
              <w:rPr>
                <w:rFonts w:ascii="Calibri" w:hAnsi="Calibri"/>
                <w:sz w:val="15"/>
                <w:szCs w:val="15"/>
              </w:rPr>
            </w:pPr>
            <w:r>
              <w:rPr>
                <w:rFonts w:ascii="Calibri" w:hAnsi="Calibri"/>
                <w:sz w:val="15"/>
                <w:szCs w:val="15"/>
              </w:rPr>
              <w:t>500,237,294.20</w:t>
            </w:r>
          </w:p>
        </w:tc>
        <w:tc>
          <w:tcPr>
            <w:tcW w:w="709" w:type="dxa"/>
            <w:tcBorders>
              <w:top w:val="single" w:color="auto" w:sz="4" w:space="0"/>
              <w:left w:val="single" w:color="auto" w:sz="4" w:space="0"/>
              <w:bottom w:val="single" w:color="auto" w:sz="4" w:space="0"/>
              <w:right w:val="single" w:color="auto" w:sz="4" w:space="0"/>
            </w:tcBorders>
            <w:vAlign w:val="center"/>
          </w:tcPr>
          <w:p w14:paraId="02D13871">
            <w:pPr>
              <w:jc w:val="right"/>
              <w:rPr>
                <w:rFonts w:ascii="Calibri" w:hAnsi="Calibri"/>
                <w:sz w:val="15"/>
                <w:szCs w:val="15"/>
              </w:rPr>
            </w:pPr>
            <w:r>
              <w:rPr>
                <w:rFonts w:ascii="Calibri" w:hAnsi="Calibri"/>
                <w:sz w:val="15"/>
                <w:szCs w:val="15"/>
              </w:rPr>
              <w:t>95.82</w:t>
            </w:r>
          </w:p>
        </w:tc>
        <w:tc>
          <w:tcPr>
            <w:tcW w:w="1276" w:type="dxa"/>
            <w:tcBorders>
              <w:top w:val="single" w:color="auto" w:sz="4" w:space="0"/>
              <w:left w:val="single" w:color="auto" w:sz="4" w:space="0"/>
              <w:bottom w:val="single" w:color="auto" w:sz="4" w:space="0"/>
              <w:right w:val="single" w:color="auto" w:sz="4" w:space="0"/>
            </w:tcBorders>
            <w:vAlign w:val="center"/>
          </w:tcPr>
          <w:p w14:paraId="30F25F00">
            <w:pPr>
              <w:jc w:val="right"/>
              <w:rPr>
                <w:rFonts w:ascii="Calibri" w:hAnsi="Calibri"/>
                <w:sz w:val="15"/>
                <w:szCs w:val="15"/>
              </w:rPr>
            </w:pPr>
            <w:r>
              <w:rPr>
                <w:rFonts w:ascii="Calibri" w:hAnsi="Calibri"/>
                <w:sz w:val="15"/>
                <w:szCs w:val="15"/>
              </w:rPr>
              <w:t>91,215,957.09</w:t>
            </w:r>
          </w:p>
        </w:tc>
        <w:tc>
          <w:tcPr>
            <w:tcW w:w="708" w:type="dxa"/>
            <w:tcBorders>
              <w:top w:val="single" w:color="auto" w:sz="4" w:space="0"/>
              <w:left w:val="single" w:color="auto" w:sz="4" w:space="0"/>
              <w:bottom w:val="single" w:color="auto" w:sz="4" w:space="0"/>
              <w:right w:val="single" w:color="auto" w:sz="4" w:space="0"/>
            </w:tcBorders>
            <w:vAlign w:val="center"/>
          </w:tcPr>
          <w:p w14:paraId="4CDC4803">
            <w:pPr>
              <w:jc w:val="right"/>
              <w:rPr>
                <w:rFonts w:ascii="Calibri" w:hAnsi="Calibri"/>
                <w:sz w:val="15"/>
                <w:szCs w:val="15"/>
              </w:rPr>
            </w:pPr>
            <w:r>
              <w:rPr>
                <w:rFonts w:ascii="Calibri" w:hAnsi="Calibri"/>
                <w:sz w:val="15"/>
                <w:szCs w:val="15"/>
              </w:rPr>
              <w:t>18.23</w:t>
            </w:r>
          </w:p>
        </w:tc>
        <w:tc>
          <w:tcPr>
            <w:tcW w:w="1276" w:type="dxa"/>
            <w:tcBorders>
              <w:top w:val="single" w:color="auto" w:sz="4" w:space="0"/>
              <w:left w:val="single" w:color="auto" w:sz="4" w:space="0"/>
              <w:bottom w:val="single" w:color="auto" w:sz="4" w:space="0"/>
              <w:right w:val="single" w:color="auto" w:sz="4" w:space="0"/>
            </w:tcBorders>
            <w:vAlign w:val="center"/>
          </w:tcPr>
          <w:p w14:paraId="440048B0">
            <w:pPr>
              <w:jc w:val="right"/>
              <w:rPr>
                <w:rFonts w:ascii="Calibri" w:hAnsi="Calibri"/>
                <w:sz w:val="15"/>
                <w:szCs w:val="15"/>
              </w:rPr>
            </w:pPr>
            <w:r>
              <w:rPr>
                <w:rFonts w:ascii="Calibri" w:hAnsi="Calibri"/>
                <w:sz w:val="15"/>
                <w:szCs w:val="15"/>
              </w:rPr>
              <w:t>409,021,337.11</w:t>
            </w:r>
          </w:p>
        </w:tc>
        <w:tc>
          <w:tcPr>
            <w:tcW w:w="1276" w:type="dxa"/>
            <w:tcBorders>
              <w:top w:val="single" w:color="auto" w:sz="4" w:space="0"/>
              <w:left w:val="single" w:color="auto" w:sz="4" w:space="0"/>
              <w:bottom w:val="single" w:color="auto" w:sz="4" w:space="0"/>
              <w:right w:val="single" w:color="auto" w:sz="4" w:space="0"/>
            </w:tcBorders>
            <w:vAlign w:val="center"/>
          </w:tcPr>
          <w:p w14:paraId="27EC4BD8">
            <w:pPr>
              <w:jc w:val="right"/>
              <w:rPr>
                <w:rFonts w:ascii="Calibri" w:hAnsi="Calibri"/>
                <w:sz w:val="15"/>
                <w:szCs w:val="15"/>
              </w:rPr>
            </w:pPr>
            <w:r>
              <w:rPr>
                <w:rFonts w:ascii="Calibri" w:hAnsi="Calibri"/>
                <w:sz w:val="15"/>
                <w:szCs w:val="15"/>
              </w:rPr>
              <w:t>595,027,735.48</w:t>
            </w:r>
          </w:p>
        </w:tc>
        <w:tc>
          <w:tcPr>
            <w:tcW w:w="709" w:type="dxa"/>
            <w:tcBorders>
              <w:top w:val="single" w:color="auto" w:sz="4" w:space="0"/>
              <w:left w:val="single" w:color="auto" w:sz="4" w:space="0"/>
              <w:bottom w:val="single" w:color="auto" w:sz="4" w:space="0"/>
              <w:right w:val="single" w:color="auto" w:sz="4" w:space="0"/>
            </w:tcBorders>
            <w:vAlign w:val="center"/>
          </w:tcPr>
          <w:p w14:paraId="0E7CA197">
            <w:pPr>
              <w:jc w:val="right"/>
              <w:rPr>
                <w:rFonts w:ascii="Calibri" w:hAnsi="Calibri"/>
                <w:sz w:val="15"/>
                <w:szCs w:val="15"/>
              </w:rPr>
            </w:pPr>
            <w:r>
              <w:rPr>
                <w:rFonts w:ascii="Calibri" w:hAnsi="Calibri"/>
                <w:sz w:val="15"/>
                <w:szCs w:val="15"/>
              </w:rPr>
              <w:t>96.44</w:t>
            </w:r>
          </w:p>
        </w:tc>
        <w:tc>
          <w:tcPr>
            <w:tcW w:w="1275" w:type="dxa"/>
            <w:tcBorders>
              <w:top w:val="single" w:color="auto" w:sz="4" w:space="0"/>
              <w:left w:val="single" w:color="auto" w:sz="4" w:space="0"/>
              <w:bottom w:val="single" w:color="auto" w:sz="4" w:space="0"/>
              <w:right w:val="single" w:color="auto" w:sz="4" w:space="0"/>
            </w:tcBorders>
            <w:vAlign w:val="center"/>
          </w:tcPr>
          <w:p w14:paraId="0B1138A2">
            <w:pPr>
              <w:jc w:val="right"/>
              <w:rPr>
                <w:rFonts w:ascii="Calibri" w:hAnsi="Calibri"/>
                <w:sz w:val="15"/>
                <w:szCs w:val="15"/>
              </w:rPr>
            </w:pPr>
            <w:r>
              <w:rPr>
                <w:rFonts w:ascii="Calibri" w:hAnsi="Calibri"/>
                <w:sz w:val="15"/>
                <w:szCs w:val="15"/>
              </w:rPr>
              <w:t>108,515,696.10</w:t>
            </w:r>
          </w:p>
        </w:tc>
        <w:tc>
          <w:tcPr>
            <w:tcW w:w="709" w:type="dxa"/>
            <w:tcBorders>
              <w:top w:val="single" w:color="auto" w:sz="4" w:space="0"/>
              <w:left w:val="single" w:color="auto" w:sz="4" w:space="0"/>
              <w:bottom w:val="single" w:color="auto" w:sz="4" w:space="0"/>
              <w:right w:val="single" w:color="auto" w:sz="4" w:space="0"/>
            </w:tcBorders>
            <w:vAlign w:val="center"/>
          </w:tcPr>
          <w:p w14:paraId="21D1D9A7">
            <w:pPr>
              <w:jc w:val="right"/>
              <w:rPr>
                <w:rFonts w:ascii="Calibri" w:hAnsi="Calibri"/>
                <w:sz w:val="15"/>
                <w:szCs w:val="15"/>
              </w:rPr>
            </w:pPr>
            <w:r>
              <w:rPr>
                <w:rFonts w:ascii="Calibri" w:hAnsi="Calibri"/>
                <w:sz w:val="15"/>
                <w:szCs w:val="15"/>
              </w:rPr>
              <w:t>18.24</w:t>
            </w:r>
          </w:p>
        </w:tc>
        <w:tc>
          <w:tcPr>
            <w:tcW w:w="1276" w:type="dxa"/>
            <w:tcBorders>
              <w:top w:val="single" w:color="auto" w:sz="4" w:space="0"/>
              <w:left w:val="single" w:color="auto" w:sz="4" w:space="0"/>
              <w:bottom w:val="single" w:color="auto" w:sz="4" w:space="0"/>
              <w:right w:val="single" w:color="auto" w:sz="4" w:space="0"/>
            </w:tcBorders>
            <w:vAlign w:val="center"/>
          </w:tcPr>
          <w:p w14:paraId="71871893">
            <w:pPr>
              <w:jc w:val="right"/>
              <w:rPr>
                <w:rFonts w:ascii="Calibri" w:hAnsi="Calibri"/>
                <w:sz w:val="15"/>
                <w:szCs w:val="15"/>
              </w:rPr>
            </w:pPr>
            <w:r>
              <w:rPr>
                <w:rFonts w:ascii="Calibri" w:hAnsi="Calibri"/>
                <w:sz w:val="15"/>
                <w:szCs w:val="15"/>
              </w:rPr>
              <w:t>486,512,039.38</w:t>
            </w:r>
          </w:p>
        </w:tc>
      </w:tr>
      <w:tr w14:paraId="7FE0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ce0cfa8fc80147608db7db4b7ce1db69"/>
            <w:id w:val="-146900661"/>
          </w:sdtPr>
          <w:sdtContent>
            <w:tc>
              <w:tcPr>
                <w:tcW w:w="11483" w:type="dxa"/>
                <w:gridSpan w:val="11"/>
                <w:tcBorders>
                  <w:top w:val="single" w:color="auto" w:sz="4" w:space="0"/>
                  <w:left w:val="single" w:color="auto" w:sz="4" w:space="0"/>
                  <w:bottom w:val="single" w:color="auto" w:sz="4" w:space="0"/>
                  <w:right w:val="single" w:color="auto" w:sz="4" w:space="0"/>
                </w:tcBorders>
                <w:vAlign w:val="center"/>
              </w:tcPr>
              <w:p w14:paraId="32A129FB">
                <w:pPr>
                  <w:pStyle w:val="48"/>
                  <w:rPr>
                    <w:sz w:val="20"/>
                    <w:szCs w:val="20"/>
                  </w:rPr>
                </w:pPr>
                <w:r>
                  <w:rPr>
                    <w:rFonts w:hint="eastAsia"/>
                    <w:sz w:val="20"/>
                    <w:szCs w:val="20"/>
                  </w:rPr>
                  <w:t>其中：</w:t>
                </w:r>
              </w:p>
            </w:tc>
          </w:sdtContent>
        </w:sdt>
      </w:tr>
      <w:tr w14:paraId="7F4A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alias w:val="按组合计提坏账准备的应收账款明细-组合名称"/>
            <w:tag w:val="_GBC_a216a551f9d54c89b88dad6bcecd942d"/>
            <w:id w:val="1681849632"/>
          </w:sdtPr>
          <w:sdtContent>
            <w:tc>
              <w:tcPr>
                <w:tcW w:w="993" w:type="dxa"/>
                <w:tcBorders>
                  <w:top w:val="single" w:color="auto" w:sz="4" w:space="0"/>
                  <w:left w:val="single" w:color="auto" w:sz="4" w:space="0"/>
                  <w:bottom w:val="single" w:color="auto" w:sz="4" w:space="0"/>
                  <w:right w:val="single" w:color="auto" w:sz="4" w:space="0"/>
                </w:tcBorders>
                <w:vAlign w:val="center"/>
              </w:tcPr>
              <w:p w14:paraId="0B80EA8C">
                <w:pPr>
                  <w:jc w:val="both"/>
                  <w:rPr>
                    <w:rFonts w:ascii="Calibri" w:hAnsi="Calibri"/>
                    <w:color w:val="808080"/>
                    <w:sz w:val="20"/>
                    <w:szCs w:val="20"/>
                  </w:rPr>
                </w:pPr>
                <w:r>
                  <w:rPr>
                    <w:rFonts w:hint="eastAsia" w:ascii="Calibri" w:hAnsi="Calibri"/>
                    <w:sz w:val="20"/>
                    <w:szCs w:val="20"/>
                  </w:rPr>
                  <w:t>按信用风险特征组合计提坏账准备</w:t>
                </w:r>
              </w:p>
            </w:tc>
          </w:sdtContent>
        </w:sdt>
        <w:tc>
          <w:tcPr>
            <w:tcW w:w="1276" w:type="dxa"/>
            <w:tcBorders>
              <w:top w:val="single" w:color="auto" w:sz="4" w:space="0"/>
              <w:left w:val="single" w:color="auto" w:sz="4" w:space="0"/>
              <w:bottom w:val="single" w:color="auto" w:sz="4" w:space="0"/>
              <w:right w:val="single" w:color="auto" w:sz="4" w:space="0"/>
            </w:tcBorders>
            <w:vAlign w:val="center"/>
          </w:tcPr>
          <w:p w14:paraId="422DC382">
            <w:pPr>
              <w:jc w:val="right"/>
              <w:rPr>
                <w:rFonts w:ascii="Calibri" w:hAnsi="Calibri"/>
                <w:sz w:val="15"/>
                <w:szCs w:val="15"/>
              </w:rPr>
            </w:pPr>
            <w:r>
              <w:rPr>
                <w:rFonts w:ascii="Calibri" w:hAnsi="Calibri"/>
                <w:sz w:val="15"/>
                <w:szCs w:val="15"/>
              </w:rPr>
              <w:t>500,237,294.20</w:t>
            </w:r>
          </w:p>
        </w:tc>
        <w:tc>
          <w:tcPr>
            <w:tcW w:w="709" w:type="dxa"/>
            <w:tcBorders>
              <w:top w:val="single" w:color="auto" w:sz="4" w:space="0"/>
              <w:left w:val="single" w:color="auto" w:sz="4" w:space="0"/>
              <w:bottom w:val="single" w:color="auto" w:sz="4" w:space="0"/>
              <w:right w:val="single" w:color="auto" w:sz="4" w:space="0"/>
            </w:tcBorders>
            <w:vAlign w:val="center"/>
          </w:tcPr>
          <w:p w14:paraId="094176FB">
            <w:pPr>
              <w:jc w:val="right"/>
              <w:rPr>
                <w:rFonts w:ascii="Calibri" w:hAnsi="Calibri"/>
                <w:sz w:val="15"/>
                <w:szCs w:val="15"/>
              </w:rPr>
            </w:pPr>
            <w:r>
              <w:rPr>
                <w:rFonts w:ascii="Calibri" w:hAnsi="Calibri"/>
                <w:sz w:val="15"/>
                <w:szCs w:val="15"/>
              </w:rPr>
              <w:t>95.82</w:t>
            </w:r>
          </w:p>
        </w:tc>
        <w:tc>
          <w:tcPr>
            <w:tcW w:w="1276" w:type="dxa"/>
            <w:tcBorders>
              <w:top w:val="single" w:color="auto" w:sz="4" w:space="0"/>
              <w:left w:val="single" w:color="auto" w:sz="4" w:space="0"/>
              <w:bottom w:val="single" w:color="auto" w:sz="4" w:space="0"/>
              <w:right w:val="single" w:color="auto" w:sz="4" w:space="0"/>
            </w:tcBorders>
            <w:vAlign w:val="center"/>
          </w:tcPr>
          <w:p w14:paraId="0FBD34C4">
            <w:pPr>
              <w:jc w:val="right"/>
              <w:rPr>
                <w:rFonts w:ascii="Calibri" w:hAnsi="Calibri"/>
                <w:sz w:val="15"/>
                <w:szCs w:val="15"/>
              </w:rPr>
            </w:pPr>
            <w:r>
              <w:rPr>
                <w:rFonts w:ascii="Calibri" w:hAnsi="Calibri"/>
                <w:sz w:val="15"/>
                <w:szCs w:val="15"/>
              </w:rPr>
              <w:t>91,215,957.09</w:t>
            </w:r>
          </w:p>
        </w:tc>
        <w:tc>
          <w:tcPr>
            <w:tcW w:w="708" w:type="dxa"/>
            <w:tcBorders>
              <w:top w:val="single" w:color="auto" w:sz="4" w:space="0"/>
              <w:left w:val="single" w:color="auto" w:sz="4" w:space="0"/>
              <w:bottom w:val="single" w:color="auto" w:sz="4" w:space="0"/>
              <w:right w:val="single" w:color="auto" w:sz="4" w:space="0"/>
            </w:tcBorders>
            <w:vAlign w:val="center"/>
          </w:tcPr>
          <w:p w14:paraId="3E1F3EE4">
            <w:pPr>
              <w:jc w:val="right"/>
              <w:rPr>
                <w:rFonts w:ascii="Calibri" w:hAnsi="Calibri"/>
                <w:sz w:val="15"/>
                <w:szCs w:val="15"/>
              </w:rPr>
            </w:pPr>
            <w:r>
              <w:rPr>
                <w:rFonts w:ascii="Calibri" w:hAnsi="Calibri"/>
                <w:sz w:val="15"/>
                <w:szCs w:val="15"/>
              </w:rPr>
              <w:t>18.23</w:t>
            </w:r>
          </w:p>
        </w:tc>
        <w:tc>
          <w:tcPr>
            <w:tcW w:w="1276" w:type="dxa"/>
            <w:tcBorders>
              <w:top w:val="single" w:color="auto" w:sz="4" w:space="0"/>
              <w:left w:val="single" w:color="auto" w:sz="4" w:space="0"/>
              <w:bottom w:val="single" w:color="auto" w:sz="4" w:space="0"/>
              <w:right w:val="single" w:color="auto" w:sz="4" w:space="0"/>
            </w:tcBorders>
            <w:vAlign w:val="center"/>
          </w:tcPr>
          <w:p w14:paraId="72D846D2">
            <w:pPr>
              <w:jc w:val="right"/>
              <w:rPr>
                <w:rFonts w:ascii="Calibri" w:hAnsi="Calibri"/>
                <w:sz w:val="15"/>
                <w:szCs w:val="15"/>
              </w:rPr>
            </w:pPr>
            <w:r>
              <w:rPr>
                <w:rFonts w:ascii="Calibri" w:hAnsi="Calibri"/>
                <w:sz w:val="15"/>
                <w:szCs w:val="15"/>
              </w:rPr>
              <w:t>409,021,337.11</w:t>
            </w:r>
          </w:p>
        </w:tc>
        <w:tc>
          <w:tcPr>
            <w:tcW w:w="1276" w:type="dxa"/>
            <w:tcBorders>
              <w:top w:val="single" w:color="auto" w:sz="4" w:space="0"/>
              <w:left w:val="single" w:color="auto" w:sz="4" w:space="0"/>
              <w:bottom w:val="single" w:color="auto" w:sz="4" w:space="0"/>
              <w:right w:val="single" w:color="auto" w:sz="4" w:space="0"/>
            </w:tcBorders>
            <w:vAlign w:val="center"/>
          </w:tcPr>
          <w:p w14:paraId="601B537C">
            <w:pPr>
              <w:jc w:val="right"/>
              <w:rPr>
                <w:rFonts w:ascii="Calibri" w:hAnsi="Calibri"/>
                <w:sz w:val="15"/>
                <w:szCs w:val="15"/>
              </w:rPr>
            </w:pPr>
            <w:r>
              <w:rPr>
                <w:rFonts w:ascii="Calibri" w:hAnsi="Calibri"/>
                <w:sz w:val="15"/>
                <w:szCs w:val="15"/>
              </w:rPr>
              <w:t>595,027,735.48</w:t>
            </w:r>
          </w:p>
        </w:tc>
        <w:tc>
          <w:tcPr>
            <w:tcW w:w="709" w:type="dxa"/>
            <w:tcBorders>
              <w:top w:val="single" w:color="auto" w:sz="4" w:space="0"/>
              <w:left w:val="single" w:color="auto" w:sz="4" w:space="0"/>
              <w:bottom w:val="single" w:color="auto" w:sz="4" w:space="0"/>
              <w:right w:val="single" w:color="auto" w:sz="4" w:space="0"/>
            </w:tcBorders>
            <w:vAlign w:val="center"/>
          </w:tcPr>
          <w:p w14:paraId="57B3B058">
            <w:pPr>
              <w:jc w:val="right"/>
              <w:rPr>
                <w:rFonts w:ascii="Calibri" w:hAnsi="Calibri"/>
                <w:sz w:val="15"/>
                <w:szCs w:val="15"/>
              </w:rPr>
            </w:pPr>
            <w:r>
              <w:rPr>
                <w:rFonts w:ascii="Calibri" w:hAnsi="Calibri"/>
                <w:sz w:val="15"/>
                <w:szCs w:val="15"/>
              </w:rPr>
              <w:t>96.44</w:t>
            </w:r>
          </w:p>
        </w:tc>
        <w:tc>
          <w:tcPr>
            <w:tcW w:w="1275" w:type="dxa"/>
            <w:tcBorders>
              <w:top w:val="single" w:color="auto" w:sz="4" w:space="0"/>
              <w:left w:val="single" w:color="auto" w:sz="4" w:space="0"/>
              <w:bottom w:val="single" w:color="auto" w:sz="4" w:space="0"/>
              <w:right w:val="single" w:color="auto" w:sz="4" w:space="0"/>
            </w:tcBorders>
            <w:vAlign w:val="center"/>
          </w:tcPr>
          <w:p w14:paraId="00A783DF">
            <w:pPr>
              <w:jc w:val="right"/>
              <w:rPr>
                <w:rFonts w:ascii="Calibri" w:hAnsi="Calibri"/>
                <w:sz w:val="15"/>
                <w:szCs w:val="15"/>
              </w:rPr>
            </w:pPr>
            <w:r>
              <w:rPr>
                <w:rFonts w:ascii="Calibri" w:hAnsi="Calibri"/>
                <w:sz w:val="15"/>
                <w:szCs w:val="15"/>
              </w:rPr>
              <w:t>108,515,696.10</w:t>
            </w:r>
          </w:p>
        </w:tc>
        <w:tc>
          <w:tcPr>
            <w:tcW w:w="709" w:type="dxa"/>
            <w:tcBorders>
              <w:top w:val="single" w:color="auto" w:sz="4" w:space="0"/>
              <w:left w:val="single" w:color="auto" w:sz="4" w:space="0"/>
              <w:bottom w:val="single" w:color="auto" w:sz="4" w:space="0"/>
              <w:right w:val="single" w:color="auto" w:sz="4" w:space="0"/>
            </w:tcBorders>
            <w:vAlign w:val="center"/>
          </w:tcPr>
          <w:p w14:paraId="13FD03B8">
            <w:pPr>
              <w:jc w:val="right"/>
              <w:rPr>
                <w:rFonts w:ascii="Calibri" w:hAnsi="Calibri"/>
                <w:sz w:val="15"/>
                <w:szCs w:val="15"/>
              </w:rPr>
            </w:pPr>
            <w:r>
              <w:rPr>
                <w:rFonts w:ascii="Calibri" w:hAnsi="Calibri"/>
                <w:sz w:val="15"/>
                <w:szCs w:val="15"/>
              </w:rPr>
              <w:t>18.24</w:t>
            </w:r>
          </w:p>
        </w:tc>
        <w:tc>
          <w:tcPr>
            <w:tcW w:w="1276" w:type="dxa"/>
            <w:tcBorders>
              <w:top w:val="single" w:color="auto" w:sz="4" w:space="0"/>
              <w:left w:val="single" w:color="auto" w:sz="4" w:space="0"/>
              <w:bottom w:val="single" w:color="auto" w:sz="4" w:space="0"/>
              <w:right w:val="single" w:color="auto" w:sz="4" w:space="0"/>
            </w:tcBorders>
            <w:vAlign w:val="center"/>
          </w:tcPr>
          <w:p w14:paraId="2EF01E38">
            <w:pPr>
              <w:jc w:val="right"/>
              <w:rPr>
                <w:rFonts w:ascii="Calibri" w:hAnsi="Calibri"/>
                <w:sz w:val="15"/>
                <w:szCs w:val="15"/>
              </w:rPr>
            </w:pPr>
            <w:r>
              <w:rPr>
                <w:rFonts w:ascii="Calibri" w:hAnsi="Calibri"/>
                <w:sz w:val="15"/>
                <w:szCs w:val="15"/>
              </w:rPr>
              <w:t>486,512,039.38</w:t>
            </w:r>
          </w:p>
        </w:tc>
      </w:tr>
      <w:tr w14:paraId="1E1D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93" w:type="dxa"/>
            <w:tcBorders>
              <w:top w:val="single" w:color="auto" w:sz="4" w:space="0"/>
              <w:left w:val="single" w:color="auto" w:sz="4" w:space="0"/>
              <w:bottom w:val="single" w:color="auto" w:sz="4" w:space="0"/>
              <w:right w:val="single" w:color="auto" w:sz="4" w:space="0"/>
            </w:tcBorders>
            <w:vAlign w:val="center"/>
          </w:tcPr>
          <w:p w14:paraId="1B90280E">
            <w:pPr>
              <w:autoSpaceDE w:val="0"/>
              <w:autoSpaceDN w:val="0"/>
              <w:adjustRightInd w:val="0"/>
              <w:jc w:val="center"/>
              <w:rPr>
                <w:rFonts w:ascii="Calibri" w:hAnsi="Calibri"/>
                <w:sz w:val="20"/>
                <w:szCs w:val="20"/>
              </w:rPr>
            </w:pPr>
            <w:r>
              <w:rPr>
                <w:rFonts w:hint="eastAsia" w:ascii="Calibri" w:hAnsi="Calibri"/>
                <w:sz w:val="20"/>
                <w:szCs w:val="20"/>
              </w:rPr>
              <w:t>合计</w:t>
            </w:r>
          </w:p>
        </w:tc>
        <w:tc>
          <w:tcPr>
            <w:tcW w:w="1276" w:type="dxa"/>
            <w:tcBorders>
              <w:top w:val="single" w:color="auto" w:sz="4" w:space="0"/>
              <w:left w:val="single" w:color="auto" w:sz="4" w:space="0"/>
              <w:bottom w:val="single" w:color="auto" w:sz="4" w:space="0"/>
              <w:right w:val="single" w:color="auto" w:sz="4" w:space="0"/>
            </w:tcBorders>
            <w:vAlign w:val="center"/>
          </w:tcPr>
          <w:p w14:paraId="09A8AF95">
            <w:pPr>
              <w:jc w:val="right"/>
              <w:rPr>
                <w:rFonts w:ascii="Calibri" w:hAnsi="Calibri"/>
                <w:sz w:val="15"/>
                <w:szCs w:val="15"/>
              </w:rPr>
            </w:pPr>
            <w:r>
              <w:rPr>
                <w:rFonts w:ascii="Calibri" w:hAnsi="Calibri"/>
                <w:sz w:val="15"/>
                <w:szCs w:val="15"/>
              </w:rPr>
              <w:t>522,054,857.12</w:t>
            </w:r>
          </w:p>
        </w:tc>
        <w:tc>
          <w:tcPr>
            <w:tcW w:w="709" w:type="dxa"/>
            <w:tcBorders>
              <w:top w:val="single" w:color="auto" w:sz="4" w:space="0"/>
              <w:left w:val="single" w:color="auto" w:sz="4" w:space="0"/>
              <w:bottom w:val="single" w:color="auto" w:sz="4" w:space="0"/>
              <w:right w:val="single" w:color="auto" w:sz="4" w:space="0"/>
            </w:tcBorders>
            <w:vAlign w:val="center"/>
          </w:tcPr>
          <w:p w14:paraId="2A97616F">
            <w:pPr>
              <w:jc w:val="right"/>
              <w:rPr>
                <w:rFonts w:ascii="Calibri" w:hAnsi="Calibri"/>
                <w:sz w:val="15"/>
                <w:szCs w:val="15"/>
              </w:rPr>
            </w:pPr>
            <w:r>
              <w:rPr>
                <w:rFonts w:ascii="Calibri" w:hAnsi="Calibri"/>
                <w:sz w:val="15"/>
                <w:szCs w:val="15"/>
              </w:rPr>
              <w:t>100.00</w:t>
            </w:r>
          </w:p>
        </w:tc>
        <w:tc>
          <w:tcPr>
            <w:tcW w:w="1276" w:type="dxa"/>
            <w:tcBorders>
              <w:top w:val="single" w:color="auto" w:sz="4" w:space="0"/>
              <w:left w:val="single" w:color="auto" w:sz="4" w:space="0"/>
              <w:bottom w:val="single" w:color="auto" w:sz="4" w:space="0"/>
              <w:right w:val="single" w:color="auto" w:sz="4" w:space="0"/>
            </w:tcBorders>
            <w:vAlign w:val="center"/>
          </w:tcPr>
          <w:p w14:paraId="2381592A">
            <w:pPr>
              <w:jc w:val="right"/>
              <w:rPr>
                <w:rFonts w:ascii="Calibri" w:hAnsi="Calibri"/>
                <w:sz w:val="15"/>
                <w:szCs w:val="15"/>
              </w:rPr>
            </w:pPr>
            <w:r>
              <w:rPr>
                <w:rFonts w:ascii="Calibri" w:hAnsi="Calibri"/>
                <w:sz w:val="15"/>
                <w:szCs w:val="15"/>
              </w:rPr>
              <w:t>113,033,520.01</w:t>
            </w:r>
          </w:p>
        </w:tc>
        <w:tc>
          <w:tcPr>
            <w:tcW w:w="708" w:type="dxa"/>
            <w:tcBorders>
              <w:top w:val="single" w:color="auto" w:sz="4" w:space="0"/>
              <w:left w:val="single" w:color="auto" w:sz="4" w:space="0"/>
              <w:bottom w:val="single" w:color="auto" w:sz="4" w:space="0"/>
              <w:right w:val="single" w:color="auto" w:sz="4" w:space="0"/>
            </w:tcBorders>
            <w:vAlign w:val="center"/>
          </w:tcPr>
          <w:p w14:paraId="504A02C9">
            <w:pPr>
              <w:jc w:val="right"/>
              <w:rPr>
                <w:rFonts w:ascii="Calibri" w:hAnsi="Calibri"/>
                <w:sz w:val="15"/>
                <w:szCs w:val="15"/>
              </w:rPr>
            </w:pPr>
            <w:r>
              <w:rPr>
                <w:rFonts w:ascii="Calibri" w:hAnsi="Calibri"/>
                <w:sz w:val="15"/>
                <w:szCs w:val="15"/>
              </w:rPr>
              <w:t>21.65</w:t>
            </w:r>
          </w:p>
        </w:tc>
        <w:tc>
          <w:tcPr>
            <w:tcW w:w="1276" w:type="dxa"/>
            <w:tcBorders>
              <w:top w:val="single" w:color="auto" w:sz="4" w:space="0"/>
              <w:left w:val="single" w:color="auto" w:sz="4" w:space="0"/>
              <w:bottom w:val="single" w:color="auto" w:sz="4" w:space="0"/>
              <w:right w:val="single" w:color="auto" w:sz="4" w:space="0"/>
            </w:tcBorders>
            <w:vAlign w:val="center"/>
          </w:tcPr>
          <w:p w14:paraId="14DDB0AB">
            <w:pPr>
              <w:jc w:val="right"/>
              <w:rPr>
                <w:rFonts w:ascii="Calibri" w:hAnsi="Calibri"/>
                <w:sz w:val="15"/>
                <w:szCs w:val="15"/>
              </w:rPr>
            </w:pPr>
            <w:r>
              <w:rPr>
                <w:rFonts w:ascii="Calibri" w:hAnsi="Calibri"/>
                <w:sz w:val="15"/>
                <w:szCs w:val="15"/>
              </w:rPr>
              <w:t>409,021,337.11</w:t>
            </w:r>
          </w:p>
        </w:tc>
        <w:tc>
          <w:tcPr>
            <w:tcW w:w="1276" w:type="dxa"/>
            <w:tcBorders>
              <w:top w:val="single" w:color="auto" w:sz="4" w:space="0"/>
              <w:left w:val="single" w:color="auto" w:sz="4" w:space="0"/>
              <w:bottom w:val="single" w:color="auto" w:sz="4" w:space="0"/>
              <w:right w:val="single" w:color="auto" w:sz="4" w:space="0"/>
            </w:tcBorders>
            <w:vAlign w:val="center"/>
          </w:tcPr>
          <w:p w14:paraId="3F76759E">
            <w:pPr>
              <w:jc w:val="right"/>
              <w:rPr>
                <w:rFonts w:ascii="Calibri" w:hAnsi="Calibri"/>
                <w:sz w:val="15"/>
                <w:szCs w:val="15"/>
              </w:rPr>
            </w:pPr>
            <w:r>
              <w:rPr>
                <w:rFonts w:ascii="Calibri" w:hAnsi="Calibri"/>
                <w:sz w:val="15"/>
                <w:szCs w:val="15"/>
              </w:rPr>
              <w:t>616,996,866.05</w:t>
            </w:r>
          </w:p>
        </w:tc>
        <w:tc>
          <w:tcPr>
            <w:tcW w:w="709" w:type="dxa"/>
            <w:tcBorders>
              <w:top w:val="single" w:color="auto" w:sz="4" w:space="0"/>
              <w:left w:val="single" w:color="auto" w:sz="4" w:space="0"/>
              <w:bottom w:val="single" w:color="auto" w:sz="4" w:space="0"/>
              <w:right w:val="single" w:color="auto" w:sz="4" w:space="0"/>
            </w:tcBorders>
            <w:vAlign w:val="center"/>
          </w:tcPr>
          <w:p w14:paraId="4683D607">
            <w:pPr>
              <w:jc w:val="right"/>
              <w:rPr>
                <w:rFonts w:ascii="Calibri" w:hAnsi="Calibri"/>
                <w:sz w:val="15"/>
                <w:szCs w:val="15"/>
              </w:rPr>
            </w:pPr>
            <w:r>
              <w:rPr>
                <w:rFonts w:ascii="Calibri" w:hAnsi="Calibri"/>
                <w:sz w:val="15"/>
                <w:szCs w:val="15"/>
              </w:rPr>
              <w:t>100.00</w:t>
            </w:r>
          </w:p>
        </w:tc>
        <w:tc>
          <w:tcPr>
            <w:tcW w:w="1275" w:type="dxa"/>
            <w:tcBorders>
              <w:top w:val="single" w:color="auto" w:sz="4" w:space="0"/>
              <w:left w:val="single" w:color="auto" w:sz="4" w:space="0"/>
              <w:bottom w:val="single" w:color="auto" w:sz="4" w:space="0"/>
              <w:right w:val="single" w:color="auto" w:sz="4" w:space="0"/>
            </w:tcBorders>
            <w:vAlign w:val="center"/>
          </w:tcPr>
          <w:p w14:paraId="754727E9">
            <w:pPr>
              <w:jc w:val="right"/>
              <w:rPr>
                <w:rFonts w:ascii="Calibri" w:hAnsi="Calibri"/>
                <w:sz w:val="15"/>
                <w:szCs w:val="15"/>
              </w:rPr>
            </w:pPr>
            <w:r>
              <w:rPr>
                <w:rFonts w:ascii="Calibri" w:hAnsi="Calibri"/>
                <w:sz w:val="15"/>
                <w:szCs w:val="15"/>
              </w:rPr>
              <w:t>130,484,826.67</w:t>
            </w:r>
          </w:p>
        </w:tc>
        <w:tc>
          <w:tcPr>
            <w:tcW w:w="709" w:type="dxa"/>
            <w:tcBorders>
              <w:top w:val="single" w:color="auto" w:sz="4" w:space="0"/>
              <w:left w:val="single" w:color="auto" w:sz="4" w:space="0"/>
              <w:bottom w:val="single" w:color="auto" w:sz="4" w:space="0"/>
              <w:right w:val="single" w:color="auto" w:sz="4" w:space="0"/>
            </w:tcBorders>
            <w:vAlign w:val="center"/>
          </w:tcPr>
          <w:p w14:paraId="4C02064F">
            <w:pPr>
              <w:jc w:val="right"/>
              <w:rPr>
                <w:rFonts w:ascii="Calibri" w:hAnsi="Calibri"/>
                <w:sz w:val="15"/>
                <w:szCs w:val="15"/>
              </w:rPr>
            </w:pPr>
            <w:r>
              <w:rPr>
                <w:rFonts w:ascii="Calibri" w:hAnsi="Calibri"/>
                <w:sz w:val="15"/>
                <w:szCs w:val="15"/>
              </w:rPr>
              <w:t>21.15</w:t>
            </w:r>
          </w:p>
        </w:tc>
        <w:tc>
          <w:tcPr>
            <w:tcW w:w="1276" w:type="dxa"/>
            <w:tcBorders>
              <w:top w:val="single" w:color="auto" w:sz="4" w:space="0"/>
              <w:left w:val="single" w:color="auto" w:sz="4" w:space="0"/>
              <w:bottom w:val="single" w:color="auto" w:sz="4" w:space="0"/>
              <w:right w:val="single" w:color="auto" w:sz="4" w:space="0"/>
            </w:tcBorders>
            <w:vAlign w:val="center"/>
          </w:tcPr>
          <w:p w14:paraId="62FDAB80">
            <w:pPr>
              <w:jc w:val="right"/>
              <w:rPr>
                <w:rFonts w:ascii="Calibri" w:hAnsi="Calibri"/>
                <w:sz w:val="15"/>
                <w:szCs w:val="15"/>
              </w:rPr>
            </w:pPr>
            <w:r>
              <w:rPr>
                <w:rFonts w:ascii="Calibri" w:hAnsi="Calibri"/>
                <w:sz w:val="15"/>
                <w:szCs w:val="15"/>
              </w:rPr>
              <w:t>486,512,039.38</w:t>
            </w:r>
          </w:p>
        </w:tc>
      </w:tr>
    </w:tbl>
    <w:p w14:paraId="5ADBEA33">
      <w:pPr>
        <w:pStyle w:val="48"/>
      </w:pPr>
    </w:p>
    <w:bookmarkEnd w:id="236"/>
    <w:p w14:paraId="38E35545">
      <w:pPr>
        <w:pStyle w:val="48"/>
      </w:pPr>
      <w:bookmarkStart w:id="237" w:name="_Hlk533606785"/>
      <w:r>
        <w:rPr>
          <w:rFonts w:hint="eastAsia"/>
        </w:rPr>
        <w:t>按单项计提坏账准备：</w:t>
      </w:r>
    </w:p>
    <w:sdt>
      <w:sdtPr>
        <w:rPr>
          <w:rFonts w:hint="eastAsia"/>
        </w:rPr>
        <w:alias w:val="是否适用：按单项计提坏账准备的应收账款详细情况[双击切换]"/>
        <w:tag w:val="_GBC_1add32cead514597854ff8ba7f5bf59e"/>
        <w:id w:val="301821242"/>
        <w:placeholder>
          <w:docPart w:val="GBC22222222222222222222222222222"/>
        </w:placeholder>
      </w:sdtPr>
      <w:sdtEndPr>
        <w:rPr>
          <w:rFonts w:hint="eastAsia"/>
        </w:rPr>
      </w:sdtEndPr>
      <w:sdtContent>
        <w:p w14:paraId="7D92A925">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00876C5">
      <w:pPr>
        <w:autoSpaceDE w:val="0"/>
        <w:autoSpaceDN w:val="0"/>
        <w:adjustRightInd w:val="0"/>
        <w:ind w:left="5880" w:right="105"/>
        <w:jc w:val="right"/>
      </w:pPr>
      <w:r>
        <w:rPr>
          <w:rFonts w:hint="eastAsia"/>
        </w:rPr>
        <w:t>单位：</w:t>
      </w:r>
      <w:sdt>
        <w:sdtPr>
          <w:rPr>
            <w:rFonts w:hint="eastAsia"/>
          </w:rPr>
          <w:alias w:val="单位：按单项计提坏账准备的应收账款详细情况"/>
          <w:tag w:val="_GBC_895a0edb0a3a4e12b8b3c0e2c547284e"/>
          <w:id w:val="-17922828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按单项计提坏账准备的应收账款详细情况"/>
          <w:tag w:val="_GBC_ceb9b753925d4115a51bdbcf043dc1b2"/>
          <w:id w:val="-7940614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9"/>
        <w:gridCol w:w="1699"/>
        <w:gridCol w:w="1701"/>
        <w:gridCol w:w="1699"/>
        <w:gridCol w:w="1851"/>
      </w:tblGrid>
      <w:tr w14:paraId="102A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7fa41067b8749859d9b8b001dab9dde"/>
            <w:id w:val="1597523288"/>
          </w:sdtPr>
          <w:sdtContent>
            <w:tc>
              <w:tcPr>
                <w:tcW w:w="2099" w:type="dxa"/>
                <w:vMerge w:val="restart"/>
                <w:vAlign w:val="center"/>
              </w:tcPr>
              <w:p w14:paraId="708197CD">
                <w:pPr>
                  <w:jc w:val="center"/>
                  <w:rPr>
                    <w:rFonts w:ascii="Calibri" w:hAnsi="Calibri"/>
                    <w:sz w:val="20"/>
                    <w:szCs w:val="20"/>
                  </w:rPr>
                </w:pPr>
                <w:r>
                  <w:rPr>
                    <w:rFonts w:hint="eastAsia" w:ascii="Calibri" w:hAnsi="Calibri"/>
                    <w:sz w:val="20"/>
                    <w:szCs w:val="20"/>
                  </w:rPr>
                  <w:t>名称</w:t>
                </w:r>
              </w:p>
            </w:tc>
          </w:sdtContent>
        </w:sdt>
        <w:sdt>
          <w:sdtPr>
            <w:tag w:val="_PLD_53121e07f76046af9290059d0b8136d4"/>
            <w:id w:val="-2014135622"/>
          </w:sdtPr>
          <w:sdtContent>
            <w:tc>
              <w:tcPr>
                <w:tcW w:w="6950" w:type="dxa"/>
                <w:gridSpan w:val="4"/>
                <w:vAlign w:val="center"/>
              </w:tcPr>
              <w:p w14:paraId="7037CB91">
                <w:pPr>
                  <w:jc w:val="center"/>
                  <w:rPr>
                    <w:rFonts w:ascii="Calibri" w:hAnsi="Calibri"/>
                    <w:sz w:val="20"/>
                    <w:szCs w:val="20"/>
                  </w:rPr>
                </w:pPr>
                <w:r>
                  <w:rPr>
                    <w:rFonts w:hint="eastAsia" w:ascii="Calibri" w:hAnsi="Calibri"/>
                    <w:sz w:val="20"/>
                    <w:szCs w:val="20"/>
                  </w:rPr>
                  <w:t>期末余额</w:t>
                </w:r>
              </w:p>
            </w:tc>
          </w:sdtContent>
        </w:sdt>
      </w:tr>
      <w:tr w14:paraId="2013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9" w:type="dxa"/>
            <w:vMerge w:val="continue"/>
            <w:vAlign w:val="center"/>
          </w:tcPr>
          <w:p w14:paraId="6900C0CE">
            <w:pPr>
              <w:jc w:val="center"/>
              <w:rPr>
                <w:rFonts w:ascii="Calibri" w:hAnsi="Calibri"/>
                <w:sz w:val="20"/>
                <w:szCs w:val="20"/>
              </w:rPr>
            </w:pPr>
          </w:p>
        </w:tc>
        <w:sdt>
          <w:sdtPr>
            <w:tag w:val="_PLD_89b2d64d2083464fae141734d17523d3"/>
            <w:id w:val="-832362741"/>
          </w:sdtPr>
          <w:sdtContent>
            <w:tc>
              <w:tcPr>
                <w:tcW w:w="1699" w:type="dxa"/>
                <w:vAlign w:val="center"/>
              </w:tcPr>
              <w:p w14:paraId="0641FB00">
                <w:pPr>
                  <w:jc w:val="center"/>
                  <w:rPr>
                    <w:rFonts w:ascii="Calibri" w:hAnsi="Calibri"/>
                    <w:sz w:val="20"/>
                    <w:szCs w:val="20"/>
                  </w:rPr>
                </w:pPr>
                <w:r>
                  <w:rPr>
                    <w:rFonts w:hint="eastAsia" w:ascii="Calibri" w:hAnsi="Calibri"/>
                    <w:sz w:val="20"/>
                    <w:szCs w:val="20"/>
                  </w:rPr>
                  <w:t>账面余额</w:t>
                </w:r>
              </w:p>
            </w:tc>
          </w:sdtContent>
        </w:sdt>
        <w:sdt>
          <w:sdtPr>
            <w:tag w:val="_PLD_ace529544c544606915552a352f0e13b"/>
            <w:id w:val="622888418"/>
          </w:sdtPr>
          <w:sdtContent>
            <w:tc>
              <w:tcPr>
                <w:tcW w:w="1701" w:type="dxa"/>
                <w:vAlign w:val="center"/>
              </w:tcPr>
              <w:p w14:paraId="09D690D5">
                <w:pPr>
                  <w:jc w:val="center"/>
                  <w:rPr>
                    <w:rFonts w:ascii="Calibri" w:hAnsi="Calibri"/>
                    <w:sz w:val="20"/>
                    <w:szCs w:val="20"/>
                  </w:rPr>
                </w:pPr>
                <w:r>
                  <w:rPr>
                    <w:rFonts w:hint="eastAsia" w:ascii="Calibri" w:hAnsi="Calibri"/>
                    <w:sz w:val="20"/>
                    <w:szCs w:val="20"/>
                  </w:rPr>
                  <w:t>坏账准备</w:t>
                </w:r>
              </w:p>
            </w:tc>
          </w:sdtContent>
        </w:sdt>
        <w:sdt>
          <w:sdtPr>
            <w:tag w:val="_PLD_8fd7658c68a540cf9892f97231c626d7"/>
            <w:id w:val="-1864816902"/>
          </w:sdtPr>
          <w:sdtContent>
            <w:tc>
              <w:tcPr>
                <w:tcW w:w="1699" w:type="dxa"/>
                <w:vAlign w:val="center"/>
              </w:tcPr>
              <w:p w14:paraId="09CF7317">
                <w:pPr>
                  <w:jc w:val="center"/>
                  <w:rPr>
                    <w:rFonts w:ascii="Calibri" w:hAnsi="Calibri"/>
                    <w:sz w:val="20"/>
                    <w:szCs w:val="20"/>
                  </w:rPr>
                </w:pPr>
                <w:r>
                  <w:rPr>
                    <w:rFonts w:ascii="Calibri" w:hAnsi="Calibri"/>
                    <w:sz w:val="20"/>
                    <w:szCs w:val="20"/>
                  </w:rPr>
                  <w:t>计提比例</w:t>
                </w:r>
                <w:r>
                  <w:rPr>
                    <w:rFonts w:hint="eastAsia" w:ascii="Calibri" w:hAnsi="Calibri"/>
                    <w:sz w:val="20"/>
                    <w:szCs w:val="20"/>
                  </w:rPr>
                  <w:t>（%）</w:t>
                </w:r>
              </w:p>
            </w:tc>
          </w:sdtContent>
        </w:sdt>
        <w:sdt>
          <w:sdtPr>
            <w:tag w:val="_PLD_e9726e8171bb463ba9719bc643c14988"/>
            <w:id w:val="-1963417047"/>
          </w:sdtPr>
          <w:sdtContent>
            <w:tc>
              <w:tcPr>
                <w:tcW w:w="1851" w:type="dxa"/>
                <w:vAlign w:val="center"/>
              </w:tcPr>
              <w:p w14:paraId="216ABBED">
                <w:pPr>
                  <w:jc w:val="center"/>
                  <w:rPr>
                    <w:rFonts w:ascii="Calibri" w:hAnsi="Calibri"/>
                    <w:sz w:val="20"/>
                    <w:szCs w:val="20"/>
                  </w:rPr>
                </w:pPr>
                <w:r>
                  <w:rPr>
                    <w:rFonts w:hint="eastAsia" w:ascii="Calibri" w:hAnsi="Calibri"/>
                    <w:sz w:val="20"/>
                    <w:szCs w:val="20"/>
                  </w:rPr>
                  <w:t>计提理由</w:t>
                </w:r>
              </w:p>
            </w:tc>
          </w:sdtContent>
        </w:sdt>
      </w:tr>
      <w:tr w14:paraId="5FCE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9" w:type="dxa"/>
            <w:vAlign w:val="center"/>
          </w:tcPr>
          <w:p w14:paraId="1E39EAA8">
            <w:pPr>
              <w:pStyle w:val="48"/>
              <w:rPr>
                <w:sz w:val="20"/>
                <w:szCs w:val="20"/>
              </w:rPr>
            </w:pPr>
            <w:r>
              <w:rPr>
                <w:sz w:val="20"/>
                <w:szCs w:val="20"/>
              </w:rPr>
              <w:t>圣光集团医药物流有限公司</w:t>
            </w:r>
          </w:p>
        </w:tc>
        <w:tc>
          <w:tcPr>
            <w:tcW w:w="1699" w:type="dxa"/>
            <w:vAlign w:val="center"/>
          </w:tcPr>
          <w:p w14:paraId="1B8CFCE6">
            <w:pPr>
              <w:jc w:val="right"/>
              <w:rPr>
                <w:rFonts w:ascii="Calibri" w:hAnsi="Calibri"/>
                <w:sz w:val="20"/>
                <w:szCs w:val="20"/>
              </w:rPr>
            </w:pPr>
            <w:r>
              <w:rPr>
                <w:rFonts w:ascii="Calibri" w:hAnsi="Calibri"/>
                <w:sz w:val="20"/>
                <w:szCs w:val="20"/>
              </w:rPr>
              <w:t>6,949,967.00</w:t>
            </w:r>
          </w:p>
        </w:tc>
        <w:tc>
          <w:tcPr>
            <w:tcW w:w="1701" w:type="dxa"/>
            <w:vAlign w:val="center"/>
          </w:tcPr>
          <w:p w14:paraId="43DC84BB">
            <w:pPr>
              <w:jc w:val="right"/>
              <w:rPr>
                <w:rFonts w:ascii="Calibri" w:hAnsi="Calibri"/>
                <w:sz w:val="20"/>
                <w:szCs w:val="20"/>
              </w:rPr>
            </w:pPr>
            <w:r>
              <w:rPr>
                <w:rFonts w:ascii="Calibri" w:hAnsi="Calibri"/>
                <w:sz w:val="20"/>
                <w:szCs w:val="20"/>
              </w:rPr>
              <w:t>6,949,967.00</w:t>
            </w:r>
          </w:p>
        </w:tc>
        <w:tc>
          <w:tcPr>
            <w:tcW w:w="1699" w:type="dxa"/>
            <w:vAlign w:val="center"/>
          </w:tcPr>
          <w:p w14:paraId="4787E276">
            <w:pPr>
              <w:jc w:val="right"/>
              <w:rPr>
                <w:rFonts w:ascii="Calibri" w:hAnsi="Calibri"/>
                <w:sz w:val="20"/>
                <w:szCs w:val="20"/>
              </w:rPr>
            </w:pPr>
            <w:r>
              <w:rPr>
                <w:rFonts w:ascii="Calibri" w:hAnsi="Calibri"/>
                <w:sz w:val="20"/>
                <w:szCs w:val="20"/>
              </w:rPr>
              <w:t>100.00</w:t>
            </w:r>
          </w:p>
        </w:tc>
        <w:tc>
          <w:tcPr>
            <w:tcW w:w="1851" w:type="dxa"/>
            <w:vAlign w:val="center"/>
          </w:tcPr>
          <w:p w14:paraId="6325BD91">
            <w:pPr>
              <w:pStyle w:val="48"/>
              <w:rPr>
                <w:sz w:val="20"/>
                <w:szCs w:val="20"/>
              </w:rPr>
            </w:pPr>
            <w:r>
              <w:rPr>
                <w:sz w:val="20"/>
                <w:szCs w:val="20"/>
              </w:rPr>
              <w:t>债务单位破产重整</w:t>
            </w:r>
          </w:p>
        </w:tc>
      </w:tr>
      <w:tr w14:paraId="5D39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9" w:type="dxa"/>
            <w:vAlign w:val="center"/>
          </w:tcPr>
          <w:p w14:paraId="60D35788">
            <w:pPr>
              <w:pStyle w:val="48"/>
              <w:rPr>
                <w:sz w:val="20"/>
                <w:szCs w:val="20"/>
              </w:rPr>
            </w:pPr>
            <w:r>
              <w:rPr>
                <w:sz w:val="20"/>
                <w:szCs w:val="20"/>
              </w:rPr>
              <w:t>绿地本溪置业有限公司等20家单位</w:t>
            </w:r>
          </w:p>
        </w:tc>
        <w:tc>
          <w:tcPr>
            <w:tcW w:w="1699" w:type="dxa"/>
            <w:vAlign w:val="center"/>
          </w:tcPr>
          <w:p w14:paraId="702B4F3F">
            <w:pPr>
              <w:jc w:val="right"/>
              <w:rPr>
                <w:rFonts w:ascii="Calibri" w:hAnsi="Calibri"/>
                <w:sz w:val="20"/>
                <w:szCs w:val="20"/>
              </w:rPr>
            </w:pPr>
            <w:r>
              <w:rPr>
                <w:rFonts w:ascii="Calibri" w:hAnsi="Calibri"/>
                <w:sz w:val="20"/>
                <w:szCs w:val="20"/>
              </w:rPr>
              <w:t>14,867,595.92</w:t>
            </w:r>
          </w:p>
        </w:tc>
        <w:tc>
          <w:tcPr>
            <w:tcW w:w="1701" w:type="dxa"/>
            <w:vAlign w:val="center"/>
          </w:tcPr>
          <w:p w14:paraId="689FD2AE">
            <w:pPr>
              <w:jc w:val="right"/>
              <w:rPr>
                <w:rFonts w:ascii="Calibri" w:hAnsi="Calibri"/>
                <w:sz w:val="20"/>
                <w:szCs w:val="20"/>
              </w:rPr>
            </w:pPr>
            <w:r>
              <w:rPr>
                <w:rFonts w:ascii="Calibri" w:hAnsi="Calibri"/>
                <w:sz w:val="20"/>
                <w:szCs w:val="20"/>
              </w:rPr>
              <w:t>14,867,595.92</w:t>
            </w:r>
          </w:p>
        </w:tc>
        <w:tc>
          <w:tcPr>
            <w:tcW w:w="1699" w:type="dxa"/>
            <w:vAlign w:val="center"/>
          </w:tcPr>
          <w:p w14:paraId="76D3D02D">
            <w:pPr>
              <w:jc w:val="right"/>
              <w:rPr>
                <w:rFonts w:ascii="Calibri" w:hAnsi="Calibri"/>
                <w:sz w:val="20"/>
                <w:szCs w:val="20"/>
              </w:rPr>
            </w:pPr>
            <w:r>
              <w:rPr>
                <w:rFonts w:ascii="Calibri" w:hAnsi="Calibri"/>
                <w:sz w:val="20"/>
                <w:szCs w:val="20"/>
              </w:rPr>
              <w:t>100.00</w:t>
            </w:r>
          </w:p>
        </w:tc>
        <w:tc>
          <w:tcPr>
            <w:tcW w:w="1851" w:type="dxa"/>
            <w:vAlign w:val="center"/>
          </w:tcPr>
          <w:p w14:paraId="2DC8D667">
            <w:pPr>
              <w:pStyle w:val="48"/>
              <w:rPr>
                <w:sz w:val="20"/>
                <w:szCs w:val="20"/>
              </w:rPr>
            </w:pPr>
            <w:r>
              <w:rPr>
                <w:sz w:val="20"/>
                <w:szCs w:val="20"/>
              </w:rPr>
              <w:t>清算解散中的子公司应收债权，预期全部无法收回</w:t>
            </w:r>
          </w:p>
        </w:tc>
      </w:tr>
      <w:tr w14:paraId="474F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9" w:type="dxa"/>
            <w:vAlign w:val="center"/>
          </w:tcPr>
          <w:p w14:paraId="3DC099CA">
            <w:pPr>
              <w:jc w:val="center"/>
              <w:rPr>
                <w:rFonts w:ascii="Calibri" w:hAnsi="Calibri"/>
                <w:sz w:val="20"/>
                <w:szCs w:val="20"/>
              </w:rPr>
            </w:pPr>
            <w:r>
              <w:rPr>
                <w:rFonts w:hint="eastAsia" w:ascii="Calibri" w:hAnsi="Calibri"/>
                <w:sz w:val="20"/>
                <w:szCs w:val="20"/>
              </w:rPr>
              <w:t>合计</w:t>
            </w:r>
          </w:p>
        </w:tc>
        <w:tc>
          <w:tcPr>
            <w:tcW w:w="1699" w:type="dxa"/>
            <w:vAlign w:val="center"/>
          </w:tcPr>
          <w:p w14:paraId="16DE84AE">
            <w:pPr>
              <w:jc w:val="right"/>
              <w:rPr>
                <w:rFonts w:ascii="Calibri" w:hAnsi="Calibri"/>
                <w:sz w:val="20"/>
                <w:szCs w:val="20"/>
              </w:rPr>
            </w:pPr>
            <w:r>
              <w:rPr>
                <w:rFonts w:ascii="Calibri" w:hAnsi="Calibri"/>
                <w:sz w:val="20"/>
                <w:szCs w:val="20"/>
              </w:rPr>
              <w:t>21,817,562.92</w:t>
            </w:r>
          </w:p>
        </w:tc>
        <w:tc>
          <w:tcPr>
            <w:tcW w:w="1701" w:type="dxa"/>
            <w:vAlign w:val="center"/>
          </w:tcPr>
          <w:p w14:paraId="27B69C31">
            <w:pPr>
              <w:jc w:val="right"/>
              <w:rPr>
                <w:rFonts w:ascii="Calibri" w:hAnsi="Calibri"/>
                <w:sz w:val="20"/>
                <w:szCs w:val="20"/>
              </w:rPr>
            </w:pPr>
            <w:r>
              <w:rPr>
                <w:rFonts w:ascii="Calibri" w:hAnsi="Calibri"/>
                <w:sz w:val="20"/>
                <w:szCs w:val="20"/>
              </w:rPr>
              <w:t>21,817,562.92</w:t>
            </w:r>
          </w:p>
        </w:tc>
        <w:tc>
          <w:tcPr>
            <w:tcW w:w="1699" w:type="dxa"/>
            <w:vAlign w:val="center"/>
          </w:tcPr>
          <w:p w14:paraId="4AD7CC34">
            <w:pPr>
              <w:jc w:val="right"/>
              <w:rPr>
                <w:rFonts w:ascii="Calibri" w:hAnsi="Calibri"/>
                <w:sz w:val="20"/>
                <w:szCs w:val="20"/>
              </w:rPr>
            </w:pPr>
            <w:r>
              <w:rPr>
                <w:rFonts w:ascii="Calibri" w:hAnsi="Calibri"/>
                <w:sz w:val="20"/>
                <w:szCs w:val="20"/>
              </w:rPr>
              <w:t>100.00</w:t>
            </w:r>
          </w:p>
        </w:tc>
        <w:tc>
          <w:tcPr>
            <w:tcW w:w="1851" w:type="dxa"/>
            <w:vAlign w:val="center"/>
          </w:tcPr>
          <w:p w14:paraId="7566D2FE">
            <w:pPr>
              <w:jc w:val="center"/>
              <w:rPr>
                <w:rFonts w:ascii="Calibri" w:hAnsi="Calibri"/>
                <w:sz w:val="20"/>
                <w:szCs w:val="20"/>
              </w:rPr>
            </w:pPr>
            <w:r>
              <w:rPr>
                <w:rFonts w:hint="eastAsia" w:ascii="Calibri" w:hAnsi="Calibri"/>
                <w:sz w:val="20"/>
                <w:szCs w:val="20"/>
              </w:rPr>
              <w:t>/</w:t>
            </w:r>
          </w:p>
        </w:tc>
      </w:tr>
    </w:tbl>
    <w:p w14:paraId="39633F0A"/>
    <w:p w14:paraId="2EE9975F">
      <w:pPr>
        <w:pStyle w:val="48"/>
      </w:pPr>
      <w:r>
        <w:rPr>
          <w:rFonts w:hint="eastAsia"/>
        </w:rPr>
        <w:t>按单项计提坏账准备的说明：</w:t>
      </w:r>
    </w:p>
    <w:sdt>
      <w:sdtPr>
        <w:alias w:val="是否适用：按单项计提坏账准备的应收账款说明[双击切换]"/>
        <w:tag w:val="_GBC_e665d0e996124f458355f06bf32118ca"/>
        <w:id w:val="-2146564522"/>
        <w:placeholder>
          <w:docPart w:val="GBC22222222222222222222222222222"/>
        </w:placeholder>
      </w:sdtPr>
      <w:sdtContent>
        <w:p w14:paraId="34A7DB7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A16F505">
      <w:pPr>
        <w:pStyle w:val="48"/>
      </w:pPr>
    </w:p>
    <w:bookmarkEnd w:id="237"/>
    <w:sdt>
      <w:sdtPr>
        <w:tag w:val="_PLD_21b31dda4e9f44bd901ccb9e126e1392"/>
        <w:id w:val="-1935579116"/>
      </w:sdtPr>
      <w:sdtContent>
        <w:p w14:paraId="58FC326F">
          <w:pPr>
            <w:pStyle w:val="48"/>
          </w:pPr>
          <w:r>
            <w:rPr>
              <w:rFonts w:hint="eastAsia"/>
            </w:rPr>
            <w:t>按组合计提坏账准备：</w:t>
          </w:r>
        </w:p>
      </w:sdtContent>
    </w:sdt>
    <w:sdt>
      <w:sdtPr>
        <w:rPr>
          <w:rFonts w:hint="eastAsia"/>
        </w:rPr>
        <w:alias w:val="是否适用：按组合计提坏账准备的应收账款详细情况[双击切换]"/>
        <w:tag w:val="_GBC_600909a2591c4c1187685fb640783e4a"/>
        <w:id w:val="419762621"/>
        <w:lock w:val="contentLocked"/>
        <w:placeholder>
          <w:docPart w:val="GBC22222222222222222222222222222"/>
        </w:placeholder>
      </w:sdtPr>
      <w:sdtEndPr>
        <w:rPr>
          <w:rFonts w:hint="eastAsia"/>
        </w:rPr>
      </w:sdtEndPr>
      <w:sdtContent>
        <w:p w14:paraId="77D9C3D4">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A407F24">
      <w:pPr>
        <w:pStyle w:val="48"/>
      </w:pPr>
      <w:bookmarkStart w:id="238" w:name="_Hlk533607573"/>
      <w:r>
        <w:rPr>
          <w:rFonts w:hint="eastAsia"/>
        </w:rPr>
        <w:t>组合计提项目：</w:t>
      </w:r>
      <w:sdt>
        <w:sdtPr>
          <w:rPr>
            <w:rFonts w:hint="eastAsia"/>
          </w:rPr>
          <w:alias w:val="按组合计提坏账准备的应收账款明细-组合名称"/>
          <w:tag w:val="_GBC_a99af83acd7e492a99d5eed2536b8adb"/>
          <w:id w:val="-1182431189"/>
          <w:placeholder>
            <w:docPart w:val="GBC22222222222222222222222222222"/>
          </w:placeholder>
          <w:comboBox>
            <w:listItem w:displayText="按信用风险特征组合计提坏账准备" w:value="按信用风险特征组合计提坏账准备"/>
          </w:comboBox>
        </w:sdtPr>
        <w:sdtEndPr>
          <w:rPr>
            <w:rFonts w:hint="eastAsia"/>
          </w:rPr>
        </w:sdtEndPr>
        <w:sdtContent>
          <w:r>
            <w:rPr>
              <w:rFonts w:hint="eastAsia"/>
            </w:rPr>
            <w:t>按信用风险特征组合计提坏账准备</w:t>
          </w:r>
        </w:sdtContent>
      </w:sdt>
    </w:p>
    <w:p w14:paraId="6802D390">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048426f3fbc6488d9ff13660d47dce88"/>
          <w:id w:val="7238750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按组合计提坏账准备的应收账款详细情况"/>
          <w:tag w:val="_GBC_2a89eacddb4842daa40a2883ae740824"/>
          <w:id w:val="-1359544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2309"/>
        <w:gridCol w:w="2350"/>
        <w:gridCol w:w="2294"/>
      </w:tblGrid>
      <w:tr w14:paraId="388E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fac25a376f4d4b884d95c8c8b4cdbd"/>
            <w:id w:val="-1601255173"/>
          </w:sdtPr>
          <w:sdtContent>
            <w:tc>
              <w:tcPr>
                <w:tcW w:w="2095" w:type="dxa"/>
                <w:vMerge w:val="restart"/>
                <w:vAlign w:val="center"/>
              </w:tcPr>
              <w:p w14:paraId="42414BCB">
                <w:pPr>
                  <w:jc w:val="center"/>
                  <w:rPr>
                    <w:rFonts w:ascii="Calibri" w:hAnsi="Calibri"/>
                    <w:sz w:val="20"/>
                    <w:szCs w:val="20"/>
                  </w:rPr>
                </w:pPr>
                <w:r>
                  <w:rPr>
                    <w:rFonts w:hint="eastAsia" w:ascii="Calibri" w:hAnsi="Calibri"/>
                    <w:sz w:val="20"/>
                    <w:szCs w:val="20"/>
                  </w:rPr>
                  <w:t>名称</w:t>
                </w:r>
              </w:p>
            </w:tc>
          </w:sdtContent>
        </w:sdt>
        <w:sdt>
          <w:sdtPr>
            <w:tag w:val="_PLD_2ea73da2ba22410090605fad4228c06a"/>
            <w:id w:val="-1524011529"/>
          </w:sdtPr>
          <w:sdtContent>
            <w:tc>
              <w:tcPr>
                <w:tcW w:w="6953" w:type="dxa"/>
                <w:gridSpan w:val="3"/>
                <w:vAlign w:val="center"/>
              </w:tcPr>
              <w:p w14:paraId="7CC4D533">
                <w:pPr>
                  <w:jc w:val="center"/>
                  <w:rPr>
                    <w:rFonts w:ascii="Calibri" w:hAnsi="Calibri"/>
                    <w:sz w:val="20"/>
                    <w:szCs w:val="20"/>
                  </w:rPr>
                </w:pPr>
                <w:r>
                  <w:rPr>
                    <w:rFonts w:hint="eastAsia" w:ascii="Calibri" w:hAnsi="Calibri"/>
                    <w:sz w:val="20"/>
                    <w:szCs w:val="20"/>
                  </w:rPr>
                  <w:t>期末余额</w:t>
                </w:r>
              </w:p>
            </w:tc>
          </w:sdtContent>
        </w:sdt>
      </w:tr>
      <w:tr w14:paraId="15B5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Merge w:val="continue"/>
            <w:vAlign w:val="center"/>
          </w:tcPr>
          <w:p w14:paraId="5886BBB2">
            <w:pPr>
              <w:jc w:val="center"/>
              <w:rPr>
                <w:rFonts w:ascii="Calibri" w:hAnsi="Calibri"/>
                <w:sz w:val="20"/>
                <w:szCs w:val="20"/>
              </w:rPr>
            </w:pPr>
          </w:p>
        </w:tc>
        <w:sdt>
          <w:sdtPr>
            <w:tag w:val="_PLD_841eb33e3b60464dbe6b3cefac602503"/>
            <w:id w:val="-96489345"/>
          </w:sdtPr>
          <w:sdtContent>
            <w:tc>
              <w:tcPr>
                <w:tcW w:w="2309" w:type="dxa"/>
                <w:vAlign w:val="center"/>
              </w:tcPr>
              <w:p w14:paraId="64BCB2BC">
                <w:pPr>
                  <w:jc w:val="center"/>
                  <w:rPr>
                    <w:rFonts w:ascii="Calibri" w:hAnsi="Calibri"/>
                    <w:sz w:val="20"/>
                    <w:szCs w:val="20"/>
                  </w:rPr>
                </w:pPr>
                <w:r>
                  <w:rPr>
                    <w:rFonts w:hint="eastAsia" w:ascii="Calibri" w:hAnsi="Calibri"/>
                    <w:sz w:val="20"/>
                    <w:szCs w:val="20"/>
                  </w:rPr>
                  <w:t>账面余额</w:t>
                </w:r>
              </w:p>
            </w:tc>
          </w:sdtContent>
        </w:sdt>
        <w:sdt>
          <w:sdtPr>
            <w:tag w:val="_PLD_b28da65f0aac478c80ab20a817d350ac"/>
            <w:id w:val="1377890519"/>
          </w:sdtPr>
          <w:sdtContent>
            <w:tc>
              <w:tcPr>
                <w:tcW w:w="2350" w:type="dxa"/>
                <w:vAlign w:val="center"/>
              </w:tcPr>
              <w:p w14:paraId="3C85B7C7">
                <w:pPr>
                  <w:jc w:val="center"/>
                  <w:rPr>
                    <w:rFonts w:ascii="Calibri" w:hAnsi="Calibri"/>
                    <w:sz w:val="20"/>
                    <w:szCs w:val="20"/>
                  </w:rPr>
                </w:pPr>
                <w:r>
                  <w:rPr>
                    <w:rFonts w:hint="eastAsia" w:ascii="Calibri" w:hAnsi="Calibri"/>
                    <w:sz w:val="20"/>
                    <w:szCs w:val="20"/>
                  </w:rPr>
                  <w:t>坏账准备</w:t>
                </w:r>
              </w:p>
            </w:tc>
          </w:sdtContent>
        </w:sdt>
        <w:sdt>
          <w:sdtPr>
            <w:tag w:val="_PLD_98321f537bf94701b17705eae6c543e2"/>
            <w:id w:val="-458571223"/>
          </w:sdtPr>
          <w:sdtContent>
            <w:tc>
              <w:tcPr>
                <w:tcW w:w="2294" w:type="dxa"/>
                <w:vAlign w:val="center"/>
              </w:tcPr>
              <w:p w14:paraId="6A5AB96F">
                <w:pPr>
                  <w:jc w:val="center"/>
                  <w:rPr>
                    <w:rFonts w:ascii="Calibri" w:hAnsi="Calibri"/>
                    <w:sz w:val="20"/>
                    <w:szCs w:val="20"/>
                  </w:rPr>
                </w:pPr>
                <w:r>
                  <w:rPr>
                    <w:rFonts w:ascii="Calibri" w:hAnsi="Calibri"/>
                    <w:sz w:val="20"/>
                    <w:szCs w:val="20"/>
                  </w:rPr>
                  <w:t>计提比例</w:t>
                </w:r>
                <w:r>
                  <w:rPr>
                    <w:rFonts w:hint="eastAsia" w:ascii="Calibri" w:hAnsi="Calibri"/>
                    <w:sz w:val="20"/>
                    <w:szCs w:val="20"/>
                  </w:rPr>
                  <w:t>（%）</w:t>
                </w:r>
              </w:p>
            </w:tc>
          </w:sdtContent>
        </w:sdt>
      </w:tr>
      <w:tr w14:paraId="5C37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155A836E">
            <w:pPr>
              <w:pStyle w:val="48"/>
              <w:rPr>
                <w:sz w:val="20"/>
                <w:szCs w:val="20"/>
              </w:rPr>
            </w:pPr>
            <w:r>
              <w:rPr>
                <w:sz w:val="20"/>
                <w:szCs w:val="20"/>
              </w:rPr>
              <w:t>1年以内</w:t>
            </w:r>
          </w:p>
        </w:tc>
        <w:tc>
          <w:tcPr>
            <w:tcW w:w="2309" w:type="dxa"/>
            <w:vAlign w:val="center"/>
          </w:tcPr>
          <w:p w14:paraId="37FEFAE3">
            <w:pPr>
              <w:jc w:val="right"/>
              <w:rPr>
                <w:rFonts w:ascii="Calibri" w:hAnsi="Calibri"/>
                <w:sz w:val="20"/>
                <w:szCs w:val="20"/>
              </w:rPr>
            </w:pPr>
            <w:r>
              <w:rPr>
                <w:rFonts w:ascii="Calibri" w:hAnsi="Calibri"/>
                <w:sz w:val="20"/>
                <w:szCs w:val="20"/>
              </w:rPr>
              <w:t>427,198,535.83</w:t>
            </w:r>
          </w:p>
        </w:tc>
        <w:tc>
          <w:tcPr>
            <w:tcW w:w="2350" w:type="dxa"/>
            <w:vAlign w:val="center"/>
          </w:tcPr>
          <w:p w14:paraId="4D4A7ADF">
            <w:pPr>
              <w:jc w:val="right"/>
              <w:rPr>
                <w:rFonts w:ascii="Calibri" w:hAnsi="Calibri"/>
                <w:sz w:val="20"/>
                <w:szCs w:val="20"/>
              </w:rPr>
            </w:pPr>
            <w:r>
              <w:rPr>
                <w:rFonts w:ascii="Calibri" w:hAnsi="Calibri"/>
                <w:sz w:val="20"/>
                <w:szCs w:val="20"/>
              </w:rPr>
              <w:t>21,359,926.79</w:t>
            </w:r>
          </w:p>
        </w:tc>
        <w:tc>
          <w:tcPr>
            <w:tcW w:w="2294" w:type="dxa"/>
            <w:vAlign w:val="center"/>
          </w:tcPr>
          <w:p w14:paraId="4E2E384D">
            <w:pPr>
              <w:jc w:val="right"/>
              <w:rPr>
                <w:rFonts w:ascii="Calibri" w:hAnsi="Calibri"/>
                <w:sz w:val="20"/>
                <w:szCs w:val="20"/>
              </w:rPr>
            </w:pPr>
            <w:r>
              <w:rPr>
                <w:rFonts w:ascii="Calibri" w:hAnsi="Calibri"/>
                <w:sz w:val="20"/>
                <w:szCs w:val="20"/>
              </w:rPr>
              <w:t>5.00</w:t>
            </w:r>
          </w:p>
        </w:tc>
      </w:tr>
      <w:tr w14:paraId="6CA4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326B5C72">
            <w:pPr>
              <w:pStyle w:val="48"/>
              <w:rPr>
                <w:sz w:val="20"/>
                <w:szCs w:val="20"/>
              </w:rPr>
            </w:pPr>
            <w:r>
              <w:rPr>
                <w:sz w:val="20"/>
                <w:szCs w:val="20"/>
              </w:rPr>
              <w:t>1至2年</w:t>
            </w:r>
          </w:p>
        </w:tc>
        <w:tc>
          <w:tcPr>
            <w:tcW w:w="2309" w:type="dxa"/>
            <w:vAlign w:val="center"/>
          </w:tcPr>
          <w:p w14:paraId="15E08EF1">
            <w:pPr>
              <w:jc w:val="right"/>
              <w:rPr>
                <w:rFonts w:ascii="Calibri" w:hAnsi="Calibri"/>
                <w:sz w:val="20"/>
                <w:szCs w:val="20"/>
              </w:rPr>
            </w:pPr>
            <w:r>
              <w:rPr>
                <w:rFonts w:ascii="Calibri" w:hAnsi="Calibri"/>
                <w:sz w:val="20"/>
                <w:szCs w:val="20"/>
              </w:rPr>
              <w:t>921,470.12</w:t>
            </w:r>
          </w:p>
        </w:tc>
        <w:tc>
          <w:tcPr>
            <w:tcW w:w="2350" w:type="dxa"/>
            <w:vAlign w:val="center"/>
          </w:tcPr>
          <w:p w14:paraId="0D61408F">
            <w:pPr>
              <w:jc w:val="right"/>
              <w:rPr>
                <w:rFonts w:ascii="Calibri" w:hAnsi="Calibri"/>
                <w:sz w:val="20"/>
                <w:szCs w:val="20"/>
              </w:rPr>
            </w:pPr>
            <w:r>
              <w:rPr>
                <w:rFonts w:ascii="Calibri" w:hAnsi="Calibri"/>
                <w:sz w:val="20"/>
                <w:szCs w:val="20"/>
              </w:rPr>
              <w:t>64,502.91</w:t>
            </w:r>
          </w:p>
        </w:tc>
        <w:tc>
          <w:tcPr>
            <w:tcW w:w="2294" w:type="dxa"/>
            <w:vAlign w:val="center"/>
          </w:tcPr>
          <w:p w14:paraId="0D47C92B">
            <w:pPr>
              <w:jc w:val="right"/>
              <w:rPr>
                <w:rFonts w:ascii="Calibri" w:hAnsi="Calibri"/>
                <w:sz w:val="20"/>
                <w:szCs w:val="20"/>
              </w:rPr>
            </w:pPr>
            <w:r>
              <w:rPr>
                <w:rFonts w:ascii="Calibri" w:hAnsi="Calibri"/>
                <w:sz w:val="20"/>
                <w:szCs w:val="20"/>
              </w:rPr>
              <w:t>7.00</w:t>
            </w:r>
          </w:p>
        </w:tc>
      </w:tr>
      <w:tr w14:paraId="6B4E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012C5BE0">
            <w:pPr>
              <w:pStyle w:val="48"/>
              <w:rPr>
                <w:sz w:val="20"/>
                <w:szCs w:val="20"/>
              </w:rPr>
            </w:pPr>
            <w:r>
              <w:rPr>
                <w:sz w:val="20"/>
                <w:szCs w:val="20"/>
              </w:rPr>
              <w:t>2至3年</w:t>
            </w:r>
          </w:p>
        </w:tc>
        <w:tc>
          <w:tcPr>
            <w:tcW w:w="2309" w:type="dxa"/>
            <w:vAlign w:val="center"/>
          </w:tcPr>
          <w:p w14:paraId="7CE57C7C">
            <w:pPr>
              <w:jc w:val="right"/>
              <w:rPr>
                <w:rFonts w:ascii="Calibri" w:hAnsi="Calibri"/>
                <w:sz w:val="20"/>
                <w:szCs w:val="20"/>
              </w:rPr>
            </w:pPr>
            <w:r>
              <w:rPr>
                <w:rFonts w:ascii="Calibri" w:hAnsi="Calibri"/>
                <w:sz w:val="20"/>
                <w:szCs w:val="20"/>
              </w:rPr>
              <w:t>2,405,591.32</w:t>
            </w:r>
          </w:p>
        </w:tc>
        <w:tc>
          <w:tcPr>
            <w:tcW w:w="2350" w:type="dxa"/>
            <w:vAlign w:val="center"/>
          </w:tcPr>
          <w:p w14:paraId="2008C4E6">
            <w:pPr>
              <w:jc w:val="right"/>
              <w:rPr>
                <w:rFonts w:ascii="Calibri" w:hAnsi="Calibri"/>
                <w:sz w:val="20"/>
                <w:szCs w:val="20"/>
              </w:rPr>
            </w:pPr>
            <w:r>
              <w:rPr>
                <w:rFonts w:ascii="Calibri" w:hAnsi="Calibri"/>
                <w:sz w:val="20"/>
                <w:szCs w:val="20"/>
              </w:rPr>
              <w:t>192,447.31</w:t>
            </w:r>
          </w:p>
        </w:tc>
        <w:tc>
          <w:tcPr>
            <w:tcW w:w="2294" w:type="dxa"/>
            <w:vAlign w:val="center"/>
          </w:tcPr>
          <w:p w14:paraId="2F81EB90">
            <w:pPr>
              <w:jc w:val="right"/>
              <w:rPr>
                <w:rFonts w:ascii="Calibri" w:hAnsi="Calibri"/>
                <w:sz w:val="20"/>
                <w:szCs w:val="20"/>
              </w:rPr>
            </w:pPr>
            <w:r>
              <w:rPr>
                <w:rFonts w:ascii="Calibri" w:hAnsi="Calibri"/>
                <w:sz w:val="20"/>
                <w:szCs w:val="20"/>
              </w:rPr>
              <w:t>8.00</w:t>
            </w:r>
          </w:p>
        </w:tc>
      </w:tr>
      <w:tr w14:paraId="7B8A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133FE742">
            <w:pPr>
              <w:pStyle w:val="48"/>
              <w:rPr>
                <w:sz w:val="20"/>
                <w:szCs w:val="20"/>
              </w:rPr>
            </w:pPr>
            <w:r>
              <w:rPr>
                <w:sz w:val="20"/>
                <w:szCs w:val="20"/>
              </w:rPr>
              <w:t>3至4年</w:t>
            </w:r>
          </w:p>
        </w:tc>
        <w:tc>
          <w:tcPr>
            <w:tcW w:w="2309" w:type="dxa"/>
            <w:vAlign w:val="center"/>
          </w:tcPr>
          <w:p w14:paraId="0DC264BD">
            <w:pPr>
              <w:jc w:val="right"/>
              <w:rPr>
                <w:rFonts w:ascii="Calibri" w:hAnsi="Calibri"/>
                <w:sz w:val="20"/>
                <w:szCs w:val="20"/>
              </w:rPr>
            </w:pPr>
            <w:r>
              <w:rPr>
                <w:rFonts w:ascii="Calibri" w:hAnsi="Calibri"/>
                <w:sz w:val="20"/>
                <w:szCs w:val="20"/>
              </w:rPr>
              <w:t>140,771.06</w:t>
            </w:r>
          </w:p>
        </w:tc>
        <w:tc>
          <w:tcPr>
            <w:tcW w:w="2350" w:type="dxa"/>
            <w:vAlign w:val="center"/>
          </w:tcPr>
          <w:p w14:paraId="1A8D6C51">
            <w:pPr>
              <w:jc w:val="right"/>
              <w:rPr>
                <w:rFonts w:ascii="Calibri" w:hAnsi="Calibri"/>
                <w:sz w:val="20"/>
                <w:szCs w:val="20"/>
              </w:rPr>
            </w:pPr>
            <w:r>
              <w:rPr>
                <w:rFonts w:ascii="Calibri" w:hAnsi="Calibri"/>
                <w:sz w:val="20"/>
                <w:szCs w:val="20"/>
              </w:rPr>
              <w:t>28,154.21</w:t>
            </w:r>
          </w:p>
        </w:tc>
        <w:tc>
          <w:tcPr>
            <w:tcW w:w="2294" w:type="dxa"/>
            <w:vAlign w:val="center"/>
          </w:tcPr>
          <w:p w14:paraId="0F5B3E2D">
            <w:pPr>
              <w:jc w:val="right"/>
              <w:rPr>
                <w:rFonts w:ascii="Calibri" w:hAnsi="Calibri"/>
                <w:sz w:val="20"/>
                <w:szCs w:val="20"/>
              </w:rPr>
            </w:pPr>
            <w:r>
              <w:rPr>
                <w:rFonts w:ascii="Calibri" w:hAnsi="Calibri"/>
                <w:sz w:val="20"/>
                <w:szCs w:val="20"/>
              </w:rPr>
              <w:t>20.00</w:t>
            </w:r>
          </w:p>
        </w:tc>
      </w:tr>
      <w:tr w14:paraId="6749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55FC67E7">
            <w:pPr>
              <w:pStyle w:val="48"/>
              <w:rPr>
                <w:sz w:val="20"/>
                <w:szCs w:val="20"/>
              </w:rPr>
            </w:pPr>
            <w:r>
              <w:rPr>
                <w:sz w:val="20"/>
                <w:szCs w:val="20"/>
              </w:rPr>
              <w:t>4至5年</w:t>
            </w:r>
          </w:p>
        </w:tc>
        <w:tc>
          <w:tcPr>
            <w:tcW w:w="2309" w:type="dxa"/>
            <w:vAlign w:val="center"/>
          </w:tcPr>
          <w:p w14:paraId="30CC411B">
            <w:pPr>
              <w:jc w:val="right"/>
              <w:rPr>
                <w:rFonts w:ascii="Calibri" w:hAnsi="Calibri"/>
                <w:sz w:val="20"/>
                <w:szCs w:val="20"/>
              </w:rPr>
            </w:pPr>
          </w:p>
        </w:tc>
        <w:tc>
          <w:tcPr>
            <w:tcW w:w="2350" w:type="dxa"/>
            <w:vAlign w:val="center"/>
          </w:tcPr>
          <w:p w14:paraId="17E2F806">
            <w:pPr>
              <w:jc w:val="right"/>
              <w:rPr>
                <w:rFonts w:ascii="Calibri" w:hAnsi="Calibri"/>
                <w:sz w:val="20"/>
                <w:szCs w:val="20"/>
              </w:rPr>
            </w:pPr>
          </w:p>
        </w:tc>
        <w:tc>
          <w:tcPr>
            <w:tcW w:w="2294" w:type="dxa"/>
            <w:vAlign w:val="center"/>
          </w:tcPr>
          <w:p w14:paraId="56A3B8D1">
            <w:pPr>
              <w:jc w:val="right"/>
              <w:rPr>
                <w:rFonts w:ascii="Calibri" w:hAnsi="Calibri"/>
                <w:sz w:val="20"/>
                <w:szCs w:val="20"/>
              </w:rPr>
            </w:pPr>
          </w:p>
        </w:tc>
      </w:tr>
      <w:tr w14:paraId="12E1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46872564">
            <w:pPr>
              <w:pStyle w:val="48"/>
              <w:rPr>
                <w:sz w:val="20"/>
                <w:szCs w:val="20"/>
              </w:rPr>
            </w:pPr>
            <w:r>
              <w:rPr>
                <w:sz w:val="20"/>
                <w:szCs w:val="20"/>
              </w:rPr>
              <w:t>5年以上</w:t>
            </w:r>
          </w:p>
        </w:tc>
        <w:tc>
          <w:tcPr>
            <w:tcW w:w="2309" w:type="dxa"/>
            <w:vAlign w:val="center"/>
          </w:tcPr>
          <w:p w14:paraId="5638AB8D">
            <w:pPr>
              <w:jc w:val="right"/>
              <w:rPr>
                <w:rFonts w:ascii="Calibri" w:hAnsi="Calibri"/>
                <w:sz w:val="20"/>
                <w:szCs w:val="20"/>
              </w:rPr>
            </w:pPr>
            <w:r>
              <w:rPr>
                <w:rFonts w:ascii="Calibri" w:hAnsi="Calibri"/>
                <w:sz w:val="20"/>
                <w:szCs w:val="20"/>
              </w:rPr>
              <w:t>69,570,925.87</w:t>
            </w:r>
          </w:p>
        </w:tc>
        <w:tc>
          <w:tcPr>
            <w:tcW w:w="2350" w:type="dxa"/>
            <w:vAlign w:val="center"/>
          </w:tcPr>
          <w:p w14:paraId="1B2D7932">
            <w:pPr>
              <w:jc w:val="right"/>
              <w:rPr>
                <w:rFonts w:ascii="Calibri" w:hAnsi="Calibri"/>
                <w:sz w:val="20"/>
                <w:szCs w:val="20"/>
              </w:rPr>
            </w:pPr>
            <w:r>
              <w:rPr>
                <w:rFonts w:ascii="Calibri" w:hAnsi="Calibri"/>
                <w:sz w:val="20"/>
                <w:szCs w:val="20"/>
              </w:rPr>
              <w:t>69,570,925.87</w:t>
            </w:r>
          </w:p>
        </w:tc>
        <w:tc>
          <w:tcPr>
            <w:tcW w:w="2294" w:type="dxa"/>
            <w:vAlign w:val="center"/>
          </w:tcPr>
          <w:p w14:paraId="795445A8">
            <w:pPr>
              <w:jc w:val="right"/>
              <w:rPr>
                <w:rFonts w:ascii="Calibri" w:hAnsi="Calibri"/>
                <w:sz w:val="20"/>
                <w:szCs w:val="20"/>
              </w:rPr>
            </w:pPr>
            <w:r>
              <w:rPr>
                <w:rFonts w:ascii="Calibri" w:hAnsi="Calibri"/>
                <w:sz w:val="20"/>
                <w:szCs w:val="20"/>
              </w:rPr>
              <w:t>100.00</w:t>
            </w:r>
          </w:p>
        </w:tc>
      </w:tr>
      <w:tr w14:paraId="4F35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6A072DC5">
            <w:pPr>
              <w:jc w:val="center"/>
              <w:rPr>
                <w:rFonts w:ascii="Calibri" w:hAnsi="Calibri"/>
                <w:sz w:val="20"/>
                <w:szCs w:val="20"/>
              </w:rPr>
            </w:pPr>
            <w:r>
              <w:rPr>
                <w:rFonts w:hint="eastAsia" w:ascii="Calibri" w:hAnsi="Calibri"/>
                <w:sz w:val="20"/>
                <w:szCs w:val="20"/>
              </w:rPr>
              <w:t>合计</w:t>
            </w:r>
          </w:p>
        </w:tc>
        <w:tc>
          <w:tcPr>
            <w:tcW w:w="2309" w:type="dxa"/>
            <w:vAlign w:val="center"/>
          </w:tcPr>
          <w:p w14:paraId="7CD9DC15">
            <w:pPr>
              <w:jc w:val="right"/>
              <w:rPr>
                <w:rFonts w:ascii="Calibri" w:hAnsi="Calibri"/>
                <w:sz w:val="20"/>
                <w:szCs w:val="20"/>
              </w:rPr>
            </w:pPr>
            <w:r>
              <w:rPr>
                <w:rFonts w:ascii="Calibri" w:hAnsi="Calibri"/>
                <w:sz w:val="20"/>
                <w:szCs w:val="20"/>
              </w:rPr>
              <w:t>500,237,294.20</w:t>
            </w:r>
          </w:p>
        </w:tc>
        <w:tc>
          <w:tcPr>
            <w:tcW w:w="2350" w:type="dxa"/>
            <w:vAlign w:val="center"/>
          </w:tcPr>
          <w:p w14:paraId="151C615F">
            <w:pPr>
              <w:jc w:val="right"/>
              <w:rPr>
                <w:rFonts w:ascii="Calibri" w:hAnsi="Calibri"/>
                <w:sz w:val="20"/>
                <w:szCs w:val="20"/>
              </w:rPr>
            </w:pPr>
            <w:r>
              <w:rPr>
                <w:rFonts w:ascii="Calibri" w:hAnsi="Calibri"/>
                <w:sz w:val="20"/>
                <w:szCs w:val="20"/>
              </w:rPr>
              <w:t>91,215,957.09</w:t>
            </w:r>
          </w:p>
        </w:tc>
        <w:tc>
          <w:tcPr>
            <w:tcW w:w="2294" w:type="dxa"/>
            <w:vAlign w:val="center"/>
          </w:tcPr>
          <w:p w14:paraId="35A416D7">
            <w:pPr>
              <w:jc w:val="right"/>
              <w:rPr>
                <w:rFonts w:ascii="Calibri" w:hAnsi="Calibri"/>
                <w:sz w:val="20"/>
                <w:szCs w:val="20"/>
              </w:rPr>
            </w:pPr>
            <w:r>
              <w:rPr>
                <w:rFonts w:ascii="Calibri" w:hAnsi="Calibri"/>
                <w:sz w:val="20"/>
                <w:szCs w:val="20"/>
              </w:rPr>
              <w:t>18.23</w:t>
            </w:r>
          </w:p>
        </w:tc>
      </w:tr>
    </w:tbl>
    <w:p w14:paraId="3A81AE05"/>
    <w:p w14:paraId="0074E67C">
      <w:pPr>
        <w:pStyle w:val="48"/>
      </w:pPr>
      <w:r>
        <w:rPr>
          <w:rFonts w:hint="eastAsia"/>
        </w:rPr>
        <w:t>按组合计提坏账准备的说明：</w:t>
      </w:r>
    </w:p>
    <w:sdt>
      <w:sdtPr>
        <w:alias w:val="是否适用：按组合计提坏账准备的应收账款确认标准[双击切换]"/>
        <w:tag w:val="_GBC_d256dc36994548098f599f5c34cca3f5"/>
        <w:id w:val="1624656526"/>
        <w:placeholder>
          <w:docPart w:val="GBC22222222222222222222222222222"/>
        </w:placeholder>
      </w:sdtPr>
      <w:sdtContent>
        <w:p w14:paraId="7F0AF9A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B019EAC">
      <w:pPr>
        <w:pStyle w:val="48"/>
      </w:pPr>
    </w:p>
    <w:bookmarkEnd w:id="238"/>
    <w:p w14:paraId="21ACE925">
      <w:pPr>
        <w:rPr>
          <w:rFonts w:cstheme="minorBidi"/>
          <w:bCs/>
          <w:szCs w:val="22"/>
        </w:rPr>
      </w:pPr>
      <w:bookmarkStart w:id="239" w:name="_Hlk153357523"/>
      <w:bookmarkStart w:id="240" w:name="_Hlk154134618"/>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8d4cb2336033407eaff135a13955b32a"/>
        <w:id w:val="-495955891"/>
        <w:placeholder>
          <w:docPart w:val="GBC22222222222222222222222222222"/>
        </w:placeholder>
      </w:sdtPr>
      <w:sdtEndPr>
        <w:rPr>
          <w:rFonts w:cstheme="minorBidi"/>
          <w:bCs/>
          <w:szCs w:val="22"/>
        </w:rPr>
      </w:sdtEndPr>
      <w:sdtContent>
        <w:p w14:paraId="6DD5FCCA">
          <w:pPr>
            <w:rPr>
              <w:rFonts w:cstheme="minorBidi"/>
              <w:bCs/>
              <w:szCs w:val="22"/>
            </w:rPr>
          </w:pPr>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14:paraId="0F8AC99F">
      <w:pPr>
        <w:rPr>
          <w:bCs/>
          <w:szCs w:val="22"/>
        </w:rPr>
      </w:pPr>
    </w:p>
    <w:p w14:paraId="58062BFB">
      <w:pPr>
        <w:rPr>
          <w:rFonts w:asciiTheme="minorHAnsi" w:hAnsiTheme="minorHAnsi" w:cstheme="minorBidi"/>
          <w:b/>
          <w:bCs/>
          <w:szCs w:val="22"/>
        </w:rPr>
      </w:pPr>
    </w:p>
    <w:p w14:paraId="28FAFA75">
      <w:pPr>
        <w:pStyle w:val="38"/>
      </w:pPr>
      <w:r>
        <w:rPr>
          <w:rFonts w:hint="eastAsia"/>
        </w:rPr>
        <w:t>对本期发生损失准备变动的应收账款账面余额显著变动的情况说明：</w:t>
      </w:r>
    </w:p>
    <w:sdt>
      <w:sdtPr>
        <w:alias w:val="是否适用：对本期发生损失准备变动的账面余额显著变动的情况说明[双击切换]"/>
        <w:tag w:val="_GBC_253db3108f924621ad49e8a14b359867"/>
        <w:id w:val="1003012839"/>
        <w:placeholder>
          <w:docPart w:val="GBC22222222222222222222222222222"/>
        </w:placeholder>
      </w:sdtPr>
      <w:sdtContent>
        <w:p w14:paraId="603AED89">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43EE097">
      <w:pPr>
        <w:rPr>
          <w:rFonts w:asciiTheme="minorHAnsi" w:hAnsiTheme="minorHAnsi" w:cstheme="minorBidi"/>
          <w:b/>
          <w:bCs/>
          <w:szCs w:val="22"/>
        </w:rPr>
      </w:pPr>
    </w:p>
    <w:bookmarkEnd w:id="239"/>
    <w:bookmarkEnd w:id="240"/>
    <w:p w14:paraId="495AEE0C">
      <w:pPr>
        <w:pStyle w:val="5"/>
        <w:numPr>
          <w:ilvl w:val="3"/>
          <w:numId w:val="63"/>
        </w:numPr>
        <w:ind w:left="426" w:hanging="426"/>
      </w:pPr>
      <w:bookmarkStart w:id="241" w:name="_Hlk532991911"/>
      <w:r>
        <w:rPr>
          <w:rFonts w:hint="eastAsia"/>
        </w:rPr>
        <w:t>坏账准备的情况</w:t>
      </w:r>
    </w:p>
    <w:sdt>
      <w:sdtPr>
        <w:alias w:val="是否适用：应收账款坏账准备[双击切换]"/>
        <w:tag w:val="_GBC_9f417fa21150444abc4efab15ee99d53"/>
        <w:id w:val="-1824182695"/>
        <w:placeholder>
          <w:docPart w:val="GBC22222222222222222222222222222"/>
        </w:placeholder>
      </w:sdtPr>
      <w:sdtContent>
        <w:p w14:paraId="2719EFF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B81188C">
      <w:pPr>
        <w:pStyle w:val="30"/>
        <w:snapToGrid w:val="0"/>
        <w:spacing w:line="240" w:lineRule="atLeast"/>
        <w:ind w:left="425" w:firstLine="0" w:firstLineChars="0"/>
        <w:jc w:val="right"/>
        <w:rPr>
          <w:szCs w:val="21"/>
        </w:rPr>
      </w:pPr>
      <w:r>
        <w:rPr>
          <w:rFonts w:hint="eastAsia"/>
          <w:szCs w:val="21"/>
        </w:rPr>
        <w:t>单位：</w:t>
      </w:r>
      <w:sdt>
        <w:sdtPr>
          <w:rPr>
            <w:rFonts w:hint="eastAsia"/>
            <w:szCs w:val="21"/>
          </w:rPr>
          <w:alias w:val="单位：应收账款坏账准备"/>
          <w:tag w:val="_GBC_c27d9b760b54449682d5a777e36369c3"/>
          <w:id w:val="-8130168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应收账款坏账准备"/>
          <w:tag w:val="_GBC_0ea3ceddf10d4313a5111e5088ac98cf"/>
          <w:id w:val="3022067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41"/>
    <w:tbl>
      <w:tblPr>
        <w:tblStyle w:val="5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482"/>
        <w:gridCol w:w="1632"/>
        <w:gridCol w:w="963"/>
        <w:gridCol w:w="1447"/>
        <w:gridCol w:w="1045"/>
        <w:gridCol w:w="939"/>
        <w:gridCol w:w="1548"/>
      </w:tblGrid>
      <w:tr w14:paraId="0DC2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4744c2787819466dad3d228aea9d34a1"/>
            <w:id w:val="-1378625498"/>
          </w:sdtPr>
          <w:sdtContent>
            <w:tc>
              <w:tcPr>
                <w:tcW w:w="1482" w:type="dxa"/>
                <w:vMerge w:val="restart"/>
                <w:shd w:val="clear" w:color="auto" w:fill="FFFFFF"/>
                <w:vAlign w:val="center"/>
              </w:tcPr>
              <w:p w14:paraId="7EE2CD92">
                <w:pPr>
                  <w:jc w:val="center"/>
                  <w:rPr>
                    <w:rFonts w:ascii="Calibri" w:hAnsi="Calibri"/>
                    <w:sz w:val="20"/>
                    <w:szCs w:val="20"/>
                  </w:rPr>
                </w:pPr>
                <w:r>
                  <w:rPr>
                    <w:rFonts w:ascii="Calibri" w:hAnsi="Calibri"/>
                    <w:sz w:val="20"/>
                    <w:szCs w:val="20"/>
                  </w:rPr>
                  <w:t>类别</w:t>
                </w:r>
              </w:p>
            </w:tc>
          </w:sdtContent>
        </w:sdt>
        <w:sdt>
          <w:sdtPr>
            <w:tag w:val="_PLD_c730e797b90345869cdb1a0f449d27c4"/>
            <w:id w:val="-1576431457"/>
          </w:sdtPr>
          <w:sdtContent>
            <w:tc>
              <w:tcPr>
                <w:tcW w:w="1632" w:type="dxa"/>
                <w:vMerge w:val="restart"/>
                <w:shd w:val="clear" w:color="auto" w:fill="FFFFFF"/>
                <w:vAlign w:val="center"/>
              </w:tcPr>
              <w:p w14:paraId="610BCD2B">
                <w:pPr>
                  <w:jc w:val="center"/>
                  <w:rPr>
                    <w:rFonts w:ascii="Calibri" w:hAnsi="Calibri"/>
                    <w:sz w:val="20"/>
                    <w:szCs w:val="20"/>
                  </w:rPr>
                </w:pPr>
                <w:r>
                  <w:rPr>
                    <w:rFonts w:ascii="Calibri" w:hAnsi="Calibri"/>
                    <w:sz w:val="20"/>
                    <w:szCs w:val="20"/>
                  </w:rPr>
                  <w:t>期初余额</w:t>
                </w:r>
              </w:p>
            </w:tc>
          </w:sdtContent>
        </w:sdt>
        <w:sdt>
          <w:sdtPr>
            <w:tag w:val="_PLD_b648ee5a72ff43aabfa5e5467354f612"/>
            <w:id w:val="-1927407382"/>
          </w:sdtPr>
          <w:sdtContent>
            <w:tc>
              <w:tcPr>
                <w:tcW w:w="4394" w:type="dxa"/>
                <w:gridSpan w:val="4"/>
                <w:shd w:val="clear" w:color="auto" w:fill="FFFFFF"/>
                <w:vAlign w:val="center"/>
              </w:tcPr>
              <w:p w14:paraId="255546DB">
                <w:pPr>
                  <w:jc w:val="center"/>
                  <w:rPr>
                    <w:rFonts w:ascii="Calibri" w:hAnsi="Calibri"/>
                    <w:sz w:val="20"/>
                    <w:szCs w:val="20"/>
                  </w:rPr>
                </w:pPr>
                <w:r>
                  <w:rPr>
                    <w:rFonts w:hint="eastAsia" w:ascii="Calibri" w:hAnsi="Calibri"/>
                    <w:sz w:val="20"/>
                    <w:szCs w:val="20"/>
                  </w:rPr>
                  <w:t>本期变动</w:t>
                </w:r>
                <w:r>
                  <w:rPr>
                    <w:rFonts w:ascii="Calibri" w:hAnsi="Calibri"/>
                    <w:sz w:val="20"/>
                    <w:szCs w:val="20"/>
                  </w:rPr>
                  <w:t>金额</w:t>
                </w:r>
              </w:p>
            </w:tc>
          </w:sdtContent>
        </w:sdt>
        <w:sdt>
          <w:sdtPr>
            <w:tag w:val="_PLD_670842119a0446778c0343318379e7bb"/>
            <w:id w:val="474422788"/>
          </w:sdtPr>
          <w:sdtContent>
            <w:tc>
              <w:tcPr>
                <w:tcW w:w="1548" w:type="dxa"/>
                <w:vMerge w:val="restart"/>
                <w:shd w:val="clear" w:color="auto" w:fill="FFFFFF"/>
                <w:vAlign w:val="center"/>
              </w:tcPr>
              <w:p w14:paraId="40F5E16F">
                <w:pPr>
                  <w:jc w:val="center"/>
                  <w:rPr>
                    <w:rFonts w:ascii="Calibri" w:hAnsi="Calibri"/>
                    <w:sz w:val="20"/>
                    <w:szCs w:val="20"/>
                  </w:rPr>
                </w:pPr>
                <w:r>
                  <w:rPr>
                    <w:rFonts w:ascii="Calibri" w:hAnsi="Calibri"/>
                    <w:sz w:val="20"/>
                    <w:szCs w:val="20"/>
                  </w:rPr>
                  <w:t>期末余额</w:t>
                </w:r>
              </w:p>
            </w:tc>
          </w:sdtContent>
        </w:sdt>
      </w:tr>
      <w:tr w14:paraId="3108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482" w:type="dxa"/>
            <w:vMerge w:val="continue"/>
            <w:shd w:val="clear" w:color="auto" w:fill="FFFFFF"/>
            <w:vAlign w:val="center"/>
          </w:tcPr>
          <w:p w14:paraId="09588034">
            <w:pPr>
              <w:jc w:val="center"/>
              <w:rPr>
                <w:rFonts w:ascii="Calibri" w:hAnsi="Calibri"/>
                <w:sz w:val="20"/>
                <w:szCs w:val="20"/>
              </w:rPr>
            </w:pPr>
          </w:p>
        </w:tc>
        <w:tc>
          <w:tcPr>
            <w:tcW w:w="1632" w:type="dxa"/>
            <w:vMerge w:val="continue"/>
            <w:shd w:val="clear" w:color="auto" w:fill="FFFFFF"/>
            <w:vAlign w:val="center"/>
          </w:tcPr>
          <w:p w14:paraId="2F011C36">
            <w:pPr>
              <w:jc w:val="center"/>
              <w:rPr>
                <w:rFonts w:ascii="Calibri" w:hAnsi="Calibri"/>
                <w:sz w:val="20"/>
                <w:szCs w:val="20"/>
              </w:rPr>
            </w:pPr>
          </w:p>
        </w:tc>
        <w:sdt>
          <w:sdtPr>
            <w:tag w:val="_PLD_9f89b7b6eb974ea9b6438eecb96ab8d7"/>
            <w:id w:val="-680502724"/>
          </w:sdtPr>
          <w:sdtContent>
            <w:tc>
              <w:tcPr>
                <w:tcW w:w="963" w:type="dxa"/>
                <w:shd w:val="clear" w:color="auto" w:fill="FFFFFF"/>
                <w:vAlign w:val="center"/>
              </w:tcPr>
              <w:p w14:paraId="17085F14">
                <w:pPr>
                  <w:jc w:val="center"/>
                  <w:rPr>
                    <w:rFonts w:ascii="Calibri" w:hAnsi="Calibri"/>
                    <w:sz w:val="20"/>
                    <w:szCs w:val="20"/>
                  </w:rPr>
                </w:pPr>
                <w:r>
                  <w:rPr>
                    <w:rFonts w:ascii="Calibri" w:hAnsi="Calibri"/>
                    <w:sz w:val="20"/>
                    <w:szCs w:val="20"/>
                  </w:rPr>
                  <w:t>计提</w:t>
                </w:r>
              </w:p>
            </w:tc>
          </w:sdtContent>
        </w:sdt>
        <w:sdt>
          <w:sdtPr>
            <w:tag w:val="_PLD_d83025520e1c49cb905bac81a5fe67a9"/>
            <w:id w:val="394097614"/>
          </w:sdtPr>
          <w:sdtContent>
            <w:tc>
              <w:tcPr>
                <w:tcW w:w="1447" w:type="dxa"/>
                <w:shd w:val="clear" w:color="auto" w:fill="FFFFFF"/>
                <w:vAlign w:val="center"/>
              </w:tcPr>
              <w:p w14:paraId="64F4601F">
                <w:pPr>
                  <w:jc w:val="center"/>
                  <w:rPr>
                    <w:rFonts w:ascii="Calibri" w:hAnsi="Calibri"/>
                    <w:sz w:val="20"/>
                    <w:szCs w:val="20"/>
                  </w:rPr>
                </w:pPr>
                <w:r>
                  <w:rPr>
                    <w:rFonts w:hint="eastAsia" w:ascii="Calibri" w:hAnsi="Calibri"/>
                    <w:sz w:val="20"/>
                    <w:szCs w:val="20"/>
                  </w:rPr>
                  <w:t>收回或转回</w:t>
                </w:r>
              </w:p>
            </w:tc>
          </w:sdtContent>
        </w:sdt>
        <w:tc>
          <w:tcPr>
            <w:tcW w:w="1045" w:type="dxa"/>
            <w:shd w:val="clear" w:color="auto" w:fill="FFFFFF"/>
            <w:vAlign w:val="center"/>
          </w:tcPr>
          <w:sdt>
            <w:sdtPr>
              <w:tag w:val="_PLD_43341cdf094c434589f9f5a4eeb8fb4a"/>
              <w:id w:val="326408640"/>
            </w:sdtPr>
            <w:sdtContent>
              <w:p w14:paraId="0CF6C9D4">
                <w:pPr>
                  <w:jc w:val="center"/>
                  <w:rPr>
                    <w:rFonts w:ascii="Calibri" w:hAnsi="Calibri"/>
                    <w:sz w:val="20"/>
                    <w:szCs w:val="20"/>
                  </w:rPr>
                </w:pPr>
                <w:r>
                  <w:rPr>
                    <w:rFonts w:hint="eastAsia" w:ascii="Calibri" w:hAnsi="Calibri"/>
                    <w:sz w:val="20"/>
                    <w:szCs w:val="20"/>
                  </w:rPr>
                  <w:t>转销或核销</w:t>
                </w:r>
              </w:p>
            </w:sdtContent>
          </w:sdt>
        </w:tc>
        <w:tc>
          <w:tcPr>
            <w:tcW w:w="939" w:type="dxa"/>
            <w:shd w:val="clear" w:color="auto" w:fill="FFFFFF"/>
            <w:vAlign w:val="center"/>
          </w:tcPr>
          <w:sdt>
            <w:sdtPr>
              <w:tag w:val="_PLD_4105509cd7cf412981897dd91879a014"/>
              <w:id w:val="-1100418712"/>
            </w:sdtPr>
            <w:sdtContent>
              <w:p w14:paraId="3027F647">
                <w:pPr>
                  <w:jc w:val="center"/>
                  <w:rPr>
                    <w:rFonts w:ascii="Calibri" w:hAnsi="Calibri"/>
                    <w:sz w:val="20"/>
                    <w:szCs w:val="20"/>
                  </w:rPr>
                </w:pPr>
                <w:r>
                  <w:rPr>
                    <w:rFonts w:hint="eastAsia" w:ascii="Calibri" w:hAnsi="Calibri"/>
                    <w:sz w:val="20"/>
                    <w:szCs w:val="20"/>
                  </w:rPr>
                  <w:t>其他变动</w:t>
                </w:r>
              </w:p>
            </w:sdtContent>
          </w:sdt>
        </w:tc>
        <w:tc>
          <w:tcPr>
            <w:tcW w:w="1548" w:type="dxa"/>
            <w:vMerge w:val="continue"/>
            <w:shd w:val="clear" w:color="auto" w:fill="FFFFFF"/>
            <w:vAlign w:val="center"/>
          </w:tcPr>
          <w:p w14:paraId="65538CA7">
            <w:pPr>
              <w:jc w:val="right"/>
              <w:rPr>
                <w:rFonts w:ascii="Calibri" w:hAnsi="Calibri"/>
                <w:sz w:val="20"/>
                <w:szCs w:val="20"/>
              </w:rPr>
            </w:pPr>
          </w:p>
        </w:tc>
      </w:tr>
      <w:tr w14:paraId="000D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482" w:type="dxa"/>
            <w:vAlign w:val="center"/>
          </w:tcPr>
          <w:p w14:paraId="67FFC1BF">
            <w:pPr>
              <w:rPr>
                <w:rFonts w:ascii="Calibri" w:hAnsi="Calibri"/>
                <w:sz w:val="20"/>
                <w:szCs w:val="20"/>
              </w:rPr>
            </w:pPr>
            <w:r>
              <w:rPr>
                <w:rFonts w:ascii="Calibri" w:hAnsi="Calibri"/>
                <w:sz w:val="20"/>
                <w:szCs w:val="20"/>
              </w:rPr>
              <w:t>单项评估计提</w:t>
            </w:r>
          </w:p>
        </w:tc>
        <w:tc>
          <w:tcPr>
            <w:tcW w:w="1632" w:type="dxa"/>
            <w:vAlign w:val="center"/>
          </w:tcPr>
          <w:p w14:paraId="67090E59">
            <w:pPr>
              <w:jc w:val="right"/>
              <w:rPr>
                <w:rFonts w:ascii="Calibri" w:hAnsi="Calibri"/>
                <w:sz w:val="20"/>
                <w:szCs w:val="20"/>
              </w:rPr>
            </w:pPr>
            <w:r>
              <w:rPr>
                <w:rFonts w:ascii="Calibri" w:hAnsi="Calibri"/>
                <w:sz w:val="20"/>
                <w:szCs w:val="20"/>
              </w:rPr>
              <w:t>21,969,130.57</w:t>
            </w:r>
          </w:p>
        </w:tc>
        <w:tc>
          <w:tcPr>
            <w:tcW w:w="963" w:type="dxa"/>
            <w:vAlign w:val="center"/>
          </w:tcPr>
          <w:p w14:paraId="16028231">
            <w:pPr>
              <w:jc w:val="right"/>
              <w:rPr>
                <w:rFonts w:ascii="Calibri" w:hAnsi="Calibri"/>
                <w:sz w:val="20"/>
                <w:szCs w:val="20"/>
              </w:rPr>
            </w:pPr>
          </w:p>
        </w:tc>
        <w:tc>
          <w:tcPr>
            <w:tcW w:w="1447" w:type="dxa"/>
            <w:vAlign w:val="center"/>
          </w:tcPr>
          <w:p w14:paraId="362ADD84">
            <w:pPr>
              <w:jc w:val="right"/>
              <w:rPr>
                <w:rFonts w:ascii="Calibri" w:hAnsi="Calibri"/>
                <w:sz w:val="20"/>
                <w:szCs w:val="20"/>
              </w:rPr>
            </w:pPr>
            <w:r>
              <w:rPr>
                <w:rFonts w:ascii="Calibri" w:hAnsi="Calibri"/>
                <w:sz w:val="20"/>
                <w:szCs w:val="20"/>
              </w:rPr>
              <w:t>151,567.65</w:t>
            </w:r>
          </w:p>
        </w:tc>
        <w:tc>
          <w:tcPr>
            <w:tcW w:w="1045" w:type="dxa"/>
            <w:vAlign w:val="center"/>
          </w:tcPr>
          <w:p w14:paraId="12BF3417">
            <w:pPr>
              <w:jc w:val="right"/>
              <w:rPr>
                <w:rFonts w:ascii="Calibri" w:hAnsi="Calibri"/>
                <w:sz w:val="20"/>
                <w:szCs w:val="20"/>
              </w:rPr>
            </w:pPr>
          </w:p>
        </w:tc>
        <w:tc>
          <w:tcPr>
            <w:tcW w:w="939" w:type="dxa"/>
            <w:vAlign w:val="center"/>
          </w:tcPr>
          <w:p w14:paraId="0B85F24A">
            <w:pPr>
              <w:jc w:val="right"/>
              <w:rPr>
                <w:rFonts w:ascii="Calibri" w:hAnsi="Calibri"/>
                <w:sz w:val="20"/>
                <w:szCs w:val="20"/>
              </w:rPr>
            </w:pPr>
          </w:p>
        </w:tc>
        <w:tc>
          <w:tcPr>
            <w:tcW w:w="1548" w:type="dxa"/>
            <w:vAlign w:val="center"/>
          </w:tcPr>
          <w:p w14:paraId="64F6B635">
            <w:pPr>
              <w:jc w:val="right"/>
              <w:rPr>
                <w:rFonts w:ascii="Calibri" w:hAnsi="Calibri"/>
                <w:sz w:val="20"/>
                <w:szCs w:val="20"/>
              </w:rPr>
            </w:pPr>
            <w:r>
              <w:rPr>
                <w:rFonts w:ascii="Calibri" w:hAnsi="Calibri"/>
                <w:sz w:val="20"/>
                <w:szCs w:val="20"/>
              </w:rPr>
              <w:t>21,817,562.92</w:t>
            </w:r>
          </w:p>
        </w:tc>
      </w:tr>
      <w:tr w14:paraId="6195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482" w:type="dxa"/>
            <w:vAlign w:val="center"/>
          </w:tcPr>
          <w:p w14:paraId="02E68BCF">
            <w:pPr>
              <w:rPr>
                <w:rFonts w:ascii="Calibri" w:hAnsi="Calibri"/>
                <w:sz w:val="20"/>
                <w:szCs w:val="20"/>
              </w:rPr>
            </w:pPr>
            <w:r>
              <w:rPr>
                <w:rFonts w:ascii="Calibri" w:hAnsi="Calibri"/>
                <w:sz w:val="20"/>
                <w:szCs w:val="20"/>
              </w:rPr>
              <w:t>信用风险组合</w:t>
            </w:r>
          </w:p>
        </w:tc>
        <w:tc>
          <w:tcPr>
            <w:tcW w:w="1632" w:type="dxa"/>
            <w:vAlign w:val="center"/>
          </w:tcPr>
          <w:p w14:paraId="723F3519">
            <w:pPr>
              <w:jc w:val="right"/>
              <w:rPr>
                <w:rFonts w:ascii="Calibri" w:hAnsi="Calibri"/>
                <w:sz w:val="20"/>
                <w:szCs w:val="20"/>
              </w:rPr>
            </w:pPr>
            <w:r>
              <w:rPr>
                <w:rFonts w:ascii="Calibri" w:hAnsi="Calibri"/>
                <w:sz w:val="20"/>
                <w:szCs w:val="20"/>
              </w:rPr>
              <w:t>108,515,696.10</w:t>
            </w:r>
          </w:p>
        </w:tc>
        <w:tc>
          <w:tcPr>
            <w:tcW w:w="963" w:type="dxa"/>
            <w:vAlign w:val="center"/>
          </w:tcPr>
          <w:p w14:paraId="21232040">
            <w:pPr>
              <w:jc w:val="right"/>
              <w:rPr>
                <w:rFonts w:ascii="Calibri" w:hAnsi="Calibri"/>
                <w:sz w:val="20"/>
                <w:szCs w:val="20"/>
              </w:rPr>
            </w:pPr>
          </w:p>
        </w:tc>
        <w:tc>
          <w:tcPr>
            <w:tcW w:w="1447" w:type="dxa"/>
            <w:vAlign w:val="center"/>
          </w:tcPr>
          <w:p w14:paraId="2BE3977E">
            <w:pPr>
              <w:jc w:val="right"/>
              <w:rPr>
                <w:rFonts w:ascii="Calibri" w:hAnsi="Calibri"/>
                <w:sz w:val="20"/>
                <w:szCs w:val="20"/>
              </w:rPr>
            </w:pPr>
            <w:r>
              <w:rPr>
                <w:rFonts w:ascii="Calibri" w:hAnsi="Calibri"/>
                <w:sz w:val="20"/>
                <w:szCs w:val="20"/>
              </w:rPr>
              <w:t>17,299,739.01</w:t>
            </w:r>
          </w:p>
        </w:tc>
        <w:tc>
          <w:tcPr>
            <w:tcW w:w="1045" w:type="dxa"/>
            <w:vAlign w:val="center"/>
          </w:tcPr>
          <w:p w14:paraId="71D14CCB">
            <w:pPr>
              <w:jc w:val="right"/>
              <w:rPr>
                <w:rFonts w:ascii="Calibri" w:hAnsi="Calibri"/>
                <w:sz w:val="20"/>
                <w:szCs w:val="20"/>
              </w:rPr>
            </w:pPr>
          </w:p>
        </w:tc>
        <w:tc>
          <w:tcPr>
            <w:tcW w:w="939" w:type="dxa"/>
            <w:vAlign w:val="center"/>
          </w:tcPr>
          <w:p w14:paraId="533D943D">
            <w:pPr>
              <w:jc w:val="right"/>
              <w:rPr>
                <w:rFonts w:ascii="Calibri" w:hAnsi="Calibri"/>
                <w:sz w:val="20"/>
                <w:szCs w:val="20"/>
              </w:rPr>
            </w:pPr>
          </w:p>
        </w:tc>
        <w:tc>
          <w:tcPr>
            <w:tcW w:w="1548" w:type="dxa"/>
            <w:vAlign w:val="center"/>
          </w:tcPr>
          <w:p w14:paraId="627B06FB">
            <w:pPr>
              <w:jc w:val="right"/>
              <w:rPr>
                <w:rFonts w:ascii="Calibri" w:hAnsi="Calibri"/>
                <w:sz w:val="20"/>
                <w:szCs w:val="20"/>
              </w:rPr>
            </w:pPr>
            <w:r>
              <w:rPr>
                <w:rFonts w:ascii="Calibri" w:hAnsi="Calibri"/>
                <w:sz w:val="20"/>
                <w:szCs w:val="20"/>
              </w:rPr>
              <w:t>91,215,957.09</w:t>
            </w:r>
          </w:p>
        </w:tc>
      </w:tr>
      <w:tr w14:paraId="2426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482" w:type="dxa"/>
            <w:vAlign w:val="center"/>
          </w:tcPr>
          <w:p w14:paraId="703D96FA">
            <w:pPr>
              <w:jc w:val="center"/>
              <w:rPr>
                <w:rFonts w:ascii="Calibri" w:hAnsi="Calibri"/>
                <w:sz w:val="20"/>
                <w:szCs w:val="20"/>
              </w:rPr>
            </w:pPr>
            <w:r>
              <w:rPr>
                <w:rFonts w:hint="eastAsia" w:ascii="Calibri" w:hAnsi="Calibri"/>
                <w:sz w:val="20"/>
                <w:szCs w:val="20"/>
              </w:rPr>
              <w:t>合计</w:t>
            </w:r>
          </w:p>
        </w:tc>
        <w:tc>
          <w:tcPr>
            <w:tcW w:w="1632" w:type="dxa"/>
            <w:vAlign w:val="center"/>
          </w:tcPr>
          <w:p w14:paraId="1AE07031">
            <w:pPr>
              <w:jc w:val="right"/>
              <w:rPr>
                <w:rFonts w:ascii="Calibri" w:hAnsi="Calibri"/>
                <w:sz w:val="20"/>
                <w:szCs w:val="20"/>
              </w:rPr>
            </w:pPr>
            <w:r>
              <w:rPr>
                <w:rFonts w:ascii="Calibri" w:hAnsi="Calibri"/>
                <w:sz w:val="20"/>
                <w:szCs w:val="20"/>
              </w:rPr>
              <w:t>130,484,826.67</w:t>
            </w:r>
          </w:p>
        </w:tc>
        <w:tc>
          <w:tcPr>
            <w:tcW w:w="963" w:type="dxa"/>
            <w:vAlign w:val="center"/>
          </w:tcPr>
          <w:p w14:paraId="09396F41">
            <w:pPr>
              <w:jc w:val="right"/>
              <w:rPr>
                <w:rFonts w:ascii="Calibri" w:hAnsi="Calibri"/>
                <w:sz w:val="20"/>
                <w:szCs w:val="20"/>
              </w:rPr>
            </w:pPr>
          </w:p>
        </w:tc>
        <w:tc>
          <w:tcPr>
            <w:tcW w:w="1447" w:type="dxa"/>
            <w:vAlign w:val="center"/>
          </w:tcPr>
          <w:p w14:paraId="04812787">
            <w:pPr>
              <w:jc w:val="right"/>
              <w:rPr>
                <w:rFonts w:ascii="Calibri" w:hAnsi="Calibri"/>
                <w:sz w:val="20"/>
                <w:szCs w:val="20"/>
              </w:rPr>
            </w:pPr>
            <w:r>
              <w:rPr>
                <w:rFonts w:ascii="Calibri" w:hAnsi="Calibri"/>
                <w:sz w:val="20"/>
                <w:szCs w:val="20"/>
              </w:rPr>
              <w:t>17,451,306.66</w:t>
            </w:r>
          </w:p>
        </w:tc>
        <w:tc>
          <w:tcPr>
            <w:tcW w:w="1045" w:type="dxa"/>
            <w:vAlign w:val="center"/>
          </w:tcPr>
          <w:p w14:paraId="43792B2C">
            <w:pPr>
              <w:jc w:val="right"/>
              <w:rPr>
                <w:rFonts w:ascii="Calibri" w:hAnsi="Calibri"/>
                <w:sz w:val="20"/>
                <w:szCs w:val="20"/>
              </w:rPr>
            </w:pPr>
          </w:p>
        </w:tc>
        <w:tc>
          <w:tcPr>
            <w:tcW w:w="939" w:type="dxa"/>
            <w:vAlign w:val="center"/>
          </w:tcPr>
          <w:p w14:paraId="5CCA53F8">
            <w:pPr>
              <w:jc w:val="right"/>
              <w:rPr>
                <w:rFonts w:ascii="Calibri" w:hAnsi="Calibri"/>
                <w:sz w:val="20"/>
                <w:szCs w:val="20"/>
              </w:rPr>
            </w:pPr>
          </w:p>
        </w:tc>
        <w:tc>
          <w:tcPr>
            <w:tcW w:w="1548" w:type="dxa"/>
            <w:vAlign w:val="center"/>
          </w:tcPr>
          <w:p w14:paraId="229F9195">
            <w:pPr>
              <w:jc w:val="right"/>
              <w:rPr>
                <w:rFonts w:ascii="Calibri" w:hAnsi="Calibri"/>
                <w:sz w:val="20"/>
                <w:szCs w:val="20"/>
              </w:rPr>
            </w:pPr>
            <w:r>
              <w:rPr>
                <w:rFonts w:ascii="Calibri" w:hAnsi="Calibri"/>
                <w:sz w:val="20"/>
                <w:szCs w:val="20"/>
              </w:rPr>
              <w:t>113,033,520.01</w:t>
            </w:r>
          </w:p>
        </w:tc>
      </w:tr>
    </w:tbl>
    <w:p w14:paraId="33EC21B6"/>
    <w:p w14:paraId="1F4E06F7">
      <w:pPr>
        <w:pStyle w:val="48"/>
      </w:pPr>
      <w:r>
        <w:rPr>
          <w:rFonts w:hint="eastAsia"/>
        </w:rPr>
        <w:t>其中本期坏账准备收回或转回金额重要的：</w:t>
      </w:r>
    </w:p>
    <w:sdt>
      <w:sdtPr>
        <w:alias w:val="是否适用：其中本期坏账准备收回或转回金额重要的[双击切换]"/>
        <w:tag w:val="_GBC_6da74212535e450f9d1465f00dddd00b"/>
        <w:id w:val="1143387617"/>
        <w:placeholder>
          <w:docPart w:val="GBC22222222222222222222222222222"/>
        </w:placeholder>
      </w:sdtPr>
      <w:sdtContent>
        <w:p w14:paraId="09F49508">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584FDBB">
      <w:pPr>
        <w:pStyle w:val="48"/>
      </w:pPr>
    </w:p>
    <w:p w14:paraId="2A406AB5">
      <w:pPr>
        <w:ind w:right="42" w:rightChars="20"/>
      </w:pPr>
    </w:p>
    <w:p w14:paraId="6728E865">
      <w:pPr>
        <w:ind w:right="-1594" w:rightChars="-759"/>
      </w:pPr>
    </w:p>
    <w:p w14:paraId="405CC570">
      <w:pPr>
        <w:pStyle w:val="5"/>
        <w:numPr>
          <w:ilvl w:val="3"/>
          <w:numId w:val="63"/>
        </w:numPr>
        <w:ind w:left="426" w:hanging="426"/>
      </w:pPr>
      <w:r>
        <w:rPr>
          <w:rFonts w:hint="eastAsia"/>
        </w:rPr>
        <w:t>本期实际核销的应收账款情况</w:t>
      </w:r>
    </w:p>
    <w:sdt>
      <w:sdtPr>
        <w:alias w:val="是否适用：本期实际核销的应收账款情况[双击切换]"/>
        <w:tag w:val="_GBC_a6ff40b990b34b00968a4938eac82a74"/>
        <w:id w:val="1795868813"/>
        <w:placeholder>
          <w:docPart w:val="GBC22222222222222222222222222222"/>
        </w:placeholder>
      </w:sdtPr>
      <w:sdtContent>
        <w:p w14:paraId="64242AD8">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6CCF051">
      <w:pPr>
        <w:jc w:val="right"/>
      </w:pPr>
      <w:r>
        <w:rPr>
          <w:rFonts w:hint="eastAsia"/>
        </w:rPr>
        <w:t>单位：</w:t>
      </w:r>
      <w:sdt>
        <w:sdtPr>
          <w:rPr>
            <w:rFonts w:hint="eastAsia"/>
          </w:rPr>
          <w:alias w:val="单位：财务附注：本报告期实际核销的应收款项情况"/>
          <w:tag w:val="_GBC_120829dd17474bb7a477e3113cdeaa92"/>
          <w:id w:val="5884283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本报告期实际核销的应收款项情况"/>
          <w:tag w:val="_GBC_23c46b534069436795b165d258eb279c"/>
          <w:id w:val="-14124589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2"/>
        <w:gridCol w:w="4776"/>
      </w:tblGrid>
      <w:tr w14:paraId="1401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1b4d2de9bc4878bfaf030b4ac7f864"/>
            <w:id w:val="291562190"/>
          </w:sdtPr>
          <w:sdtContent>
            <w:tc>
              <w:tcPr>
                <w:tcW w:w="4272" w:type="dxa"/>
                <w:vAlign w:val="center"/>
              </w:tcPr>
              <w:p w14:paraId="5FAA2E73">
                <w:pPr>
                  <w:jc w:val="center"/>
                  <w:rPr>
                    <w:rFonts w:ascii="Calibri" w:hAnsi="Calibri"/>
                    <w:sz w:val="20"/>
                    <w:szCs w:val="20"/>
                  </w:rPr>
                </w:pPr>
                <w:r>
                  <w:rPr>
                    <w:rFonts w:hint="eastAsia" w:ascii="Calibri" w:hAnsi="Calibri"/>
                    <w:sz w:val="20"/>
                    <w:szCs w:val="20"/>
                  </w:rPr>
                  <w:t>项目</w:t>
                </w:r>
              </w:p>
            </w:tc>
          </w:sdtContent>
        </w:sdt>
        <w:sdt>
          <w:sdtPr>
            <w:tag w:val="_PLD_8157ba5967c14e4e821de564c4546b40"/>
            <w:id w:val="1740055467"/>
          </w:sdtPr>
          <w:sdtContent>
            <w:tc>
              <w:tcPr>
                <w:tcW w:w="4776" w:type="dxa"/>
                <w:vAlign w:val="center"/>
              </w:tcPr>
              <w:p w14:paraId="611A02DD">
                <w:pPr>
                  <w:jc w:val="center"/>
                  <w:rPr>
                    <w:rFonts w:ascii="Calibri" w:hAnsi="Calibri"/>
                    <w:sz w:val="20"/>
                    <w:szCs w:val="20"/>
                  </w:rPr>
                </w:pPr>
                <w:r>
                  <w:rPr>
                    <w:rFonts w:hint="eastAsia" w:ascii="Calibri" w:hAnsi="Calibri"/>
                    <w:sz w:val="20"/>
                    <w:szCs w:val="20"/>
                  </w:rPr>
                  <w:t>核销金额</w:t>
                </w:r>
              </w:p>
            </w:tc>
          </w:sdtContent>
        </w:sdt>
      </w:tr>
      <w:tr w14:paraId="6E1D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72" w:type="dxa"/>
            <w:vAlign w:val="center"/>
          </w:tcPr>
          <w:p w14:paraId="76C67F0D">
            <w:pPr>
              <w:pStyle w:val="48"/>
              <w:rPr>
                <w:sz w:val="20"/>
                <w:szCs w:val="20"/>
              </w:rPr>
            </w:pPr>
            <w:r>
              <w:rPr>
                <w:rFonts w:hint="eastAsia"/>
                <w:sz w:val="20"/>
                <w:szCs w:val="20"/>
              </w:rPr>
              <w:t>实际核销的应收账款</w:t>
            </w:r>
          </w:p>
        </w:tc>
        <w:tc>
          <w:tcPr>
            <w:tcW w:w="4776" w:type="dxa"/>
            <w:vAlign w:val="center"/>
          </w:tcPr>
          <w:p w14:paraId="05A7F4BD">
            <w:pPr>
              <w:jc w:val="right"/>
              <w:rPr>
                <w:rFonts w:ascii="Calibri" w:hAnsi="Calibri"/>
                <w:sz w:val="20"/>
                <w:szCs w:val="20"/>
              </w:rPr>
            </w:pPr>
            <w:r>
              <w:rPr>
                <w:rFonts w:ascii="Calibri" w:hAnsi="Calibri"/>
                <w:sz w:val="20"/>
                <w:szCs w:val="20"/>
              </w:rPr>
              <w:t>13,679,577.81</w:t>
            </w:r>
          </w:p>
        </w:tc>
      </w:tr>
    </w:tbl>
    <w:p w14:paraId="5C9C3E88">
      <w:pPr>
        <w:pStyle w:val="48"/>
      </w:pPr>
    </w:p>
    <w:p w14:paraId="156B5340">
      <w:pPr>
        <w:pStyle w:val="48"/>
      </w:pPr>
      <w:r>
        <w:rPr>
          <w:rFonts w:hint="eastAsia"/>
        </w:rPr>
        <w:t>其中重要的应收账款核销情况</w:t>
      </w:r>
    </w:p>
    <w:sdt>
      <w:sdtPr>
        <w:alias w:val="是否适用：其中重要的应收账款核销情况[双击切换]"/>
        <w:tag w:val="_GBC_3c12c3e5b4fd4acda2beb7a5cacacd97"/>
        <w:id w:val="-1352416765"/>
        <w:placeholder>
          <w:docPart w:val="GBC22222222222222222222222222222"/>
        </w:placeholder>
      </w:sdtPr>
      <w:sdtContent>
        <w:p w14:paraId="0B1D257D">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5BE4DEC">
      <w:pPr>
        <w:pStyle w:val="48"/>
      </w:pPr>
    </w:p>
    <w:p w14:paraId="6976DF56">
      <w:pPr>
        <w:snapToGrid w:val="0"/>
        <w:spacing w:line="240" w:lineRule="atLeast"/>
      </w:pPr>
      <w:r>
        <w:rPr>
          <w:rFonts w:hint="eastAsia"/>
        </w:rPr>
        <w:t>应收账款核销说明：</w:t>
      </w:r>
    </w:p>
    <w:sdt>
      <w:sdtPr>
        <w:alias w:val="是否适用：应收账款核销说明[双击切换]"/>
        <w:tag w:val="_GBC_e00d0b458c1b4b5f99d670e3f2a2b2e2"/>
        <w:id w:val="1178476395"/>
        <w:placeholder>
          <w:docPart w:val="GBC22222222222222222222222222222"/>
        </w:placeholder>
      </w:sdtPr>
      <w:sdtContent>
        <w:p w14:paraId="4CD78D4C">
          <w:pPr>
            <w:snapToGrid w:val="0"/>
            <w:spacing w:line="240" w:lineRule="atLeast"/>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55CFD5A">
      <w:pPr>
        <w:pStyle w:val="48"/>
      </w:pPr>
    </w:p>
    <w:p w14:paraId="24B86570">
      <w:pPr>
        <w:pStyle w:val="5"/>
        <w:numPr>
          <w:ilvl w:val="3"/>
          <w:numId w:val="63"/>
        </w:numPr>
        <w:ind w:left="426" w:hanging="426"/>
      </w:pPr>
      <w:r>
        <w:rPr>
          <w:rFonts w:hint="eastAsia"/>
        </w:rPr>
        <w:t>按欠款方归集的期末余额前五名的应收账款和合同资产情况</w:t>
      </w:r>
    </w:p>
    <w:sdt>
      <w:sdtPr>
        <w:rPr>
          <w:rFonts w:hint="eastAsia"/>
        </w:rPr>
        <w:alias w:val="是否适用：按欠款方归集的期末余额前五名的应收账款情况[双击切换]"/>
        <w:tag w:val="_GBC_384d0a1c7eac41bb9693117cbe9c7e5b"/>
        <w:id w:val="1450739846"/>
        <w:placeholder>
          <w:docPart w:val="GBC22222222222222222222222222222"/>
        </w:placeholder>
      </w:sdtPr>
      <w:sdtEndPr>
        <w:rPr>
          <w:rFonts w:hint="eastAsia"/>
        </w:rPr>
      </w:sdtEndPr>
      <w:sdtContent>
        <w:p w14:paraId="50A25726">
          <w:pPr>
            <w:snapToGrid w:val="0"/>
            <w:spacing w:line="240" w:lineRule="atLeast"/>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7A65D32">
      <w:pPr>
        <w:snapToGrid w:val="0"/>
        <w:spacing w:line="240" w:lineRule="atLeast"/>
        <w:jc w:val="right"/>
      </w:pPr>
      <w:r>
        <w:rPr>
          <w:rFonts w:hint="eastAsia"/>
        </w:rPr>
        <w:t>单位：</w:t>
      </w:r>
      <w:sdt>
        <w:sdtPr>
          <w:alias w:val="单位：财务附注：应收账款前五名欠款情况"/>
          <w:tag w:val="_GBC_95040abe54a0489f8b830082545a50f5"/>
          <w:id w:val="-50258571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应收账款前五名欠款情况"/>
          <w:tag w:val="_GBC_2e7ff062f76c406d86d744597244f24c"/>
          <w:id w:val="-2727114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607"/>
        <w:gridCol w:w="1407"/>
        <w:gridCol w:w="1507"/>
        <w:gridCol w:w="1507"/>
        <w:gridCol w:w="1507"/>
      </w:tblGrid>
      <w:tr w14:paraId="52A2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393da722a1e6440ebfe654baf23b690e"/>
            <w:id w:val="-915016001"/>
          </w:sdtPr>
          <w:sdtContent>
            <w:tc>
              <w:tcPr>
                <w:tcW w:w="1507" w:type="dxa"/>
                <w:vAlign w:val="center"/>
              </w:tcPr>
              <w:p w14:paraId="665FB387">
                <w:pPr>
                  <w:ind w:right="105"/>
                  <w:jc w:val="center"/>
                  <w:rPr>
                    <w:rFonts w:ascii="Calibri" w:hAnsi="Calibri"/>
                    <w:sz w:val="20"/>
                    <w:szCs w:val="20"/>
                  </w:rPr>
                </w:pPr>
                <w:r>
                  <w:rPr>
                    <w:rFonts w:hint="eastAsia" w:ascii="Calibri" w:hAnsi="Calibri"/>
                    <w:sz w:val="20"/>
                    <w:szCs w:val="20"/>
                  </w:rPr>
                  <w:t>单位名称</w:t>
                </w:r>
              </w:p>
            </w:tc>
          </w:sdtContent>
        </w:sdt>
        <w:sdt>
          <w:sdtPr>
            <w:tag w:val="_PLD_e14b89c8ccbc4e1fbb83ed437d4f7c27"/>
            <w:id w:val="1522669187"/>
          </w:sdtPr>
          <w:sdtContent>
            <w:tc>
              <w:tcPr>
                <w:tcW w:w="1607" w:type="dxa"/>
                <w:vAlign w:val="center"/>
              </w:tcPr>
              <w:p w14:paraId="2E91E540">
                <w:pPr>
                  <w:ind w:right="73"/>
                  <w:jc w:val="center"/>
                  <w:rPr>
                    <w:rFonts w:ascii="Calibri" w:hAnsi="Calibri"/>
                    <w:sz w:val="20"/>
                    <w:szCs w:val="20"/>
                  </w:rPr>
                </w:pPr>
                <w:r>
                  <w:rPr>
                    <w:rFonts w:hint="eastAsia" w:ascii="Calibri" w:hAnsi="Calibri"/>
                    <w:sz w:val="20"/>
                    <w:szCs w:val="20"/>
                  </w:rPr>
                  <w:t>应收账款期末余额</w:t>
                </w:r>
              </w:p>
            </w:tc>
          </w:sdtContent>
        </w:sdt>
        <w:sdt>
          <w:sdtPr>
            <w:tag w:val="_PLD_9e781bfbeaa241238adba8f92d150259"/>
            <w:id w:val="-201946308"/>
          </w:sdtPr>
          <w:sdtContent>
            <w:tc>
              <w:tcPr>
                <w:tcW w:w="1407" w:type="dxa"/>
                <w:vAlign w:val="center"/>
              </w:tcPr>
              <w:p w14:paraId="70DCB631">
                <w:pPr>
                  <w:jc w:val="center"/>
                  <w:rPr>
                    <w:rFonts w:ascii="Calibri" w:hAnsi="Calibri"/>
                    <w:sz w:val="20"/>
                    <w:szCs w:val="20"/>
                  </w:rPr>
                </w:pPr>
                <w:r>
                  <w:rPr>
                    <w:rFonts w:hint="eastAsia" w:ascii="Calibri" w:hAnsi="Calibri"/>
                    <w:sz w:val="20"/>
                    <w:szCs w:val="20"/>
                  </w:rPr>
                  <w:t>合同资产期末余额</w:t>
                </w:r>
              </w:p>
            </w:tc>
          </w:sdtContent>
        </w:sdt>
        <w:sdt>
          <w:sdtPr>
            <w:tag w:val="_PLD_666c0ccb3f21467e9e36a3c674bf8485"/>
            <w:id w:val="-943459835"/>
          </w:sdtPr>
          <w:sdtContent>
            <w:tc>
              <w:tcPr>
                <w:tcW w:w="1507" w:type="dxa"/>
                <w:vAlign w:val="center"/>
              </w:tcPr>
              <w:p w14:paraId="641BDEE1">
                <w:pPr>
                  <w:jc w:val="center"/>
                  <w:rPr>
                    <w:rFonts w:ascii="Calibri" w:hAnsi="Calibri"/>
                    <w:sz w:val="20"/>
                    <w:szCs w:val="20"/>
                  </w:rPr>
                </w:pPr>
                <w:r>
                  <w:rPr>
                    <w:rFonts w:hint="eastAsia" w:ascii="Calibri" w:hAnsi="Calibri"/>
                    <w:sz w:val="20"/>
                    <w:szCs w:val="20"/>
                  </w:rPr>
                  <w:t>应收账款和合同资产期末余额</w:t>
                </w:r>
              </w:p>
            </w:tc>
          </w:sdtContent>
        </w:sdt>
        <w:sdt>
          <w:sdtPr>
            <w:tag w:val="_PLD_8b734501e3a344dda6644cb9d228c237"/>
            <w:id w:val="531153337"/>
          </w:sdtPr>
          <w:sdtContent>
            <w:tc>
              <w:tcPr>
                <w:tcW w:w="1507" w:type="dxa"/>
                <w:vAlign w:val="center"/>
              </w:tcPr>
              <w:p w14:paraId="5F797923">
                <w:pPr>
                  <w:jc w:val="center"/>
                  <w:rPr>
                    <w:rFonts w:ascii="Calibri" w:hAnsi="Calibri"/>
                    <w:sz w:val="20"/>
                    <w:szCs w:val="20"/>
                  </w:rPr>
                </w:pPr>
                <w:r>
                  <w:rPr>
                    <w:rFonts w:hint="eastAsia" w:ascii="Calibri" w:hAnsi="Calibri"/>
                    <w:sz w:val="20"/>
                    <w:szCs w:val="20"/>
                  </w:rPr>
                  <w:t>占应收账款和合同资产期末余额合计数的比例（%）</w:t>
                </w:r>
              </w:p>
            </w:tc>
          </w:sdtContent>
        </w:sdt>
        <w:sdt>
          <w:sdtPr>
            <w:tag w:val="_PLD_e198f1b6108c4fccacfc45ea46e8ff41"/>
            <w:id w:val="798192726"/>
          </w:sdtPr>
          <w:sdtContent>
            <w:tc>
              <w:tcPr>
                <w:tcW w:w="1507" w:type="dxa"/>
                <w:vAlign w:val="center"/>
              </w:tcPr>
              <w:p w14:paraId="22BB6F28">
                <w:pPr>
                  <w:jc w:val="center"/>
                  <w:rPr>
                    <w:rFonts w:ascii="Calibri" w:hAnsi="Calibri"/>
                    <w:sz w:val="20"/>
                    <w:szCs w:val="20"/>
                  </w:rPr>
                </w:pPr>
                <w:r>
                  <w:rPr>
                    <w:rFonts w:hint="eastAsia" w:ascii="Calibri" w:hAnsi="Calibri"/>
                    <w:sz w:val="20"/>
                    <w:szCs w:val="20"/>
                  </w:rPr>
                  <w:t>坏账准备期末余额</w:t>
                </w:r>
              </w:p>
            </w:tc>
          </w:sdtContent>
        </w:sdt>
      </w:tr>
      <w:tr w14:paraId="1C1B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07" w:type="dxa"/>
            <w:vAlign w:val="center"/>
          </w:tcPr>
          <w:p w14:paraId="15622EB5">
            <w:pPr>
              <w:ind w:right="105"/>
              <w:jc w:val="both"/>
              <w:rPr>
                <w:rFonts w:ascii="Calibri" w:hAnsi="Calibri"/>
                <w:sz w:val="20"/>
                <w:szCs w:val="20"/>
              </w:rPr>
            </w:pPr>
            <w:r>
              <w:rPr>
                <w:rFonts w:ascii="Calibri" w:hAnsi="Calibri"/>
                <w:sz w:val="20"/>
                <w:szCs w:val="20"/>
              </w:rPr>
              <w:t>国药控股股份有限公司</w:t>
            </w:r>
          </w:p>
        </w:tc>
        <w:tc>
          <w:tcPr>
            <w:tcW w:w="1607" w:type="dxa"/>
            <w:vAlign w:val="center"/>
          </w:tcPr>
          <w:p w14:paraId="12491486">
            <w:pPr>
              <w:ind w:right="73"/>
              <w:jc w:val="right"/>
              <w:rPr>
                <w:rFonts w:ascii="Calibri" w:hAnsi="Calibri"/>
                <w:sz w:val="20"/>
                <w:szCs w:val="20"/>
              </w:rPr>
            </w:pPr>
            <w:r>
              <w:rPr>
                <w:rFonts w:ascii="Calibri" w:hAnsi="Calibri"/>
                <w:sz w:val="20"/>
                <w:szCs w:val="20"/>
              </w:rPr>
              <w:t>142,273,793.16</w:t>
            </w:r>
          </w:p>
        </w:tc>
        <w:tc>
          <w:tcPr>
            <w:tcW w:w="1407" w:type="dxa"/>
            <w:vAlign w:val="center"/>
          </w:tcPr>
          <w:p w14:paraId="291AFD56">
            <w:pPr>
              <w:jc w:val="right"/>
              <w:rPr>
                <w:rFonts w:ascii="Calibri" w:hAnsi="Calibri"/>
                <w:sz w:val="20"/>
                <w:szCs w:val="20"/>
              </w:rPr>
            </w:pPr>
          </w:p>
        </w:tc>
        <w:tc>
          <w:tcPr>
            <w:tcW w:w="1507" w:type="dxa"/>
            <w:vAlign w:val="center"/>
          </w:tcPr>
          <w:p w14:paraId="6BB77793">
            <w:pPr>
              <w:jc w:val="right"/>
              <w:rPr>
                <w:rFonts w:ascii="Calibri" w:hAnsi="Calibri"/>
                <w:sz w:val="20"/>
                <w:szCs w:val="20"/>
              </w:rPr>
            </w:pPr>
            <w:r>
              <w:rPr>
                <w:rFonts w:ascii="Calibri" w:hAnsi="Calibri"/>
                <w:sz w:val="20"/>
                <w:szCs w:val="20"/>
              </w:rPr>
              <w:t>142,273,793.16</w:t>
            </w:r>
          </w:p>
        </w:tc>
        <w:tc>
          <w:tcPr>
            <w:tcW w:w="1507" w:type="dxa"/>
            <w:vAlign w:val="center"/>
          </w:tcPr>
          <w:p w14:paraId="2977D89B">
            <w:pPr>
              <w:jc w:val="right"/>
              <w:rPr>
                <w:rFonts w:ascii="Calibri" w:hAnsi="Calibri"/>
                <w:sz w:val="20"/>
                <w:szCs w:val="20"/>
              </w:rPr>
            </w:pPr>
            <w:r>
              <w:rPr>
                <w:rFonts w:ascii="Calibri" w:hAnsi="Calibri"/>
                <w:sz w:val="20"/>
                <w:szCs w:val="20"/>
              </w:rPr>
              <w:t>27.25</w:t>
            </w:r>
          </w:p>
        </w:tc>
        <w:tc>
          <w:tcPr>
            <w:tcW w:w="1507" w:type="dxa"/>
            <w:vAlign w:val="center"/>
          </w:tcPr>
          <w:p w14:paraId="50426EB7">
            <w:pPr>
              <w:jc w:val="right"/>
              <w:rPr>
                <w:rFonts w:ascii="Calibri" w:hAnsi="Calibri"/>
                <w:sz w:val="20"/>
                <w:szCs w:val="20"/>
              </w:rPr>
            </w:pPr>
            <w:r>
              <w:rPr>
                <w:rFonts w:ascii="Calibri" w:hAnsi="Calibri"/>
                <w:sz w:val="20"/>
                <w:szCs w:val="20"/>
              </w:rPr>
              <w:t>7,129,426.49</w:t>
            </w:r>
          </w:p>
        </w:tc>
      </w:tr>
      <w:tr w14:paraId="54EE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07" w:type="dxa"/>
            <w:vAlign w:val="center"/>
          </w:tcPr>
          <w:p w14:paraId="391CE847">
            <w:pPr>
              <w:ind w:right="105"/>
              <w:jc w:val="both"/>
              <w:rPr>
                <w:rFonts w:ascii="Calibri" w:hAnsi="Calibri"/>
                <w:sz w:val="20"/>
                <w:szCs w:val="20"/>
              </w:rPr>
            </w:pPr>
            <w:r>
              <w:rPr>
                <w:rFonts w:ascii="Calibri" w:hAnsi="Calibri"/>
                <w:sz w:val="20"/>
                <w:szCs w:val="20"/>
              </w:rPr>
              <w:t>华润医药商业集团有限公司</w:t>
            </w:r>
          </w:p>
        </w:tc>
        <w:tc>
          <w:tcPr>
            <w:tcW w:w="1607" w:type="dxa"/>
            <w:vAlign w:val="center"/>
          </w:tcPr>
          <w:p w14:paraId="18321499">
            <w:pPr>
              <w:ind w:right="73"/>
              <w:jc w:val="right"/>
              <w:rPr>
                <w:rFonts w:ascii="Calibri" w:hAnsi="Calibri"/>
                <w:sz w:val="20"/>
                <w:szCs w:val="20"/>
              </w:rPr>
            </w:pPr>
            <w:r>
              <w:rPr>
                <w:rFonts w:ascii="Calibri" w:hAnsi="Calibri"/>
                <w:sz w:val="20"/>
                <w:szCs w:val="20"/>
              </w:rPr>
              <w:t>49,147,450.47</w:t>
            </w:r>
          </w:p>
        </w:tc>
        <w:tc>
          <w:tcPr>
            <w:tcW w:w="1407" w:type="dxa"/>
            <w:vAlign w:val="center"/>
          </w:tcPr>
          <w:p w14:paraId="2C62E4F6">
            <w:pPr>
              <w:jc w:val="right"/>
              <w:rPr>
                <w:rFonts w:ascii="Calibri" w:hAnsi="Calibri"/>
                <w:sz w:val="20"/>
                <w:szCs w:val="20"/>
              </w:rPr>
            </w:pPr>
          </w:p>
        </w:tc>
        <w:tc>
          <w:tcPr>
            <w:tcW w:w="1507" w:type="dxa"/>
            <w:vAlign w:val="center"/>
          </w:tcPr>
          <w:p w14:paraId="2802B761">
            <w:pPr>
              <w:jc w:val="right"/>
              <w:rPr>
                <w:rFonts w:ascii="Calibri" w:hAnsi="Calibri"/>
                <w:sz w:val="20"/>
                <w:szCs w:val="20"/>
              </w:rPr>
            </w:pPr>
            <w:r>
              <w:rPr>
                <w:rFonts w:ascii="Calibri" w:hAnsi="Calibri"/>
                <w:sz w:val="20"/>
                <w:szCs w:val="20"/>
              </w:rPr>
              <w:t>49,147,450.47</w:t>
            </w:r>
          </w:p>
        </w:tc>
        <w:tc>
          <w:tcPr>
            <w:tcW w:w="1507" w:type="dxa"/>
            <w:vAlign w:val="center"/>
          </w:tcPr>
          <w:p w14:paraId="001D2386">
            <w:pPr>
              <w:jc w:val="right"/>
              <w:rPr>
                <w:rFonts w:ascii="Calibri" w:hAnsi="Calibri"/>
                <w:sz w:val="20"/>
                <w:szCs w:val="20"/>
              </w:rPr>
            </w:pPr>
            <w:r>
              <w:rPr>
                <w:rFonts w:ascii="Calibri" w:hAnsi="Calibri"/>
                <w:sz w:val="20"/>
                <w:szCs w:val="20"/>
              </w:rPr>
              <w:t>9.41</w:t>
            </w:r>
          </w:p>
        </w:tc>
        <w:tc>
          <w:tcPr>
            <w:tcW w:w="1507" w:type="dxa"/>
            <w:vAlign w:val="center"/>
          </w:tcPr>
          <w:p w14:paraId="34A877BB">
            <w:pPr>
              <w:jc w:val="right"/>
              <w:rPr>
                <w:rFonts w:ascii="Calibri" w:hAnsi="Calibri"/>
                <w:sz w:val="20"/>
                <w:szCs w:val="20"/>
              </w:rPr>
            </w:pPr>
            <w:r>
              <w:rPr>
                <w:rFonts w:ascii="Calibri" w:hAnsi="Calibri"/>
                <w:sz w:val="20"/>
                <w:szCs w:val="20"/>
              </w:rPr>
              <w:t>2,550,032.86</w:t>
            </w:r>
          </w:p>
        </w:tc>
      </w:tr>
      <w:tr w14:paraId="1983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07" w:type="dxa"/>
            <w:vAlign w:val="center"/>
          </w:tcPr>
          <w:p w14:paraId="459EEC06">
            <w:pPr>
              <w:ind w:right="105"/>
              <w:jc w:val="both"/>
              <w:rPr>
                <w:rFonts w:ascii="Calibri" w:hAnsi="Calibri"/>
                <w:sz w:val="20"/>
                <w:szCs w:val="20"/>
              </w:rPr>
            </w:pPr>
            <w:r>
              <w:rPr>
                <w:rFonts w:ascii="Calibri" w:hAnsi="Calibri"/>
                <w:sz w:val="20"/>
                <w:szCs w:val="20"/>
              </w:rPr>
              <w:t>九州通医药集团股份有限公司</w:t>
            </w:r>
          </w:p>
        </w:tc>
        <w:tc>
          <w:tcPr>
            <w:tcW w:w="1607" w:type="dxa"/>
            <w:vAlign w:val="center"/>
          </w:tcPr>
          <w:p w14:paraId="1B9603B7">
            <w:pPr>
              <w:ind w:right="73"/>
              <w:jc w:val="right"/>
              <w:rPr>
                <w:rFonts w:ascii="Calibri" w:hAnsi="Calibri"/>
                <w:sz w:val="20"/>
                <w:szCs w:val="20"/>
              </w:rPr>
            </w:pPr>
            <w:r>
              <w:rPr>
                <w:rFonts w:ascii="Calibri" w:hAnsi="Calibri"/>
                <w:sz w:val="20"/>
                <w:szCs w:val="20"/>
              </w:rPr>
              <w:t>21,549,598.03</w:t>
            </w:r>
          </w:p>
        </w:tc>
        <w:tc>
          <w:tcPr>
            <w:tcW w:w="1407" w:type="dxa"/>
            <w:vAlign w:val="center"/>
          </w:tcPr>
          <w:p w14:paraId="534C108D">
            <w:pPr>
              <w:jc w:val="right"/>
              <w:rPr>
                <w:rFonts w:ascii="Calibri" w:hAnsi="Calibri"/>
                <w:sz w:val="20"/>
                <w:szCs w:val="20"/>
              </w:rPr>
            </w:pPr>
          </w:p>
        </w:tc>
        <w:tc>
          <w:tcPr>
            <w:tcW w:w="1507" w:type="dxa"/>
            <w:vAlign w:val="center"/>
          </w:tcPr>
          <w:p w14:paraId="0F712969">
            <w:pPr>
              <w:jc w:val="right"/>
              <w:rPr>
                <w:rFonts w:ascii="Calibri" w:hAnsi="Calibri"/>
                <w:sz w:val="20"/>
                <w:szCs w:val="20"/>
              </w:rPr>
            </w:pPr>
            <w:r>
              <w:rPr>
                <w:rFonts w:ascii="Calibri" w:hAnsi="Calibri"/>
                <w:sz w:val="20"/>
                <w:szCs w:val="20"/>
              </w:rPr>
              <w:t>21,549,598.03</w:t>
            </w:r>
          </w:p>
        </w:tc>
        <w:tc>
          <w:tcPr>
            <w:tcW w:w="1507" w:type="dxa"/>
            <w:vAlign w:val="center"/>
          </w:tcPr>
          <w:p w14:paraId="7A9F372E">
            <w:pPr>
              <w:jc w:val="right"/>
              <w:rPr>
                <w:rFonts w:ascii="Calibri" w:hAnsi="Calibri"/>
                <w:sz w:val="20"/>
                <w:szCs w:val="20"/>
              </w:rPr>
            </w:pPr>
            <w:r>
              <w:rPr>
                <w:rFonts w:ascii="Calibri" w:hAnsi="Calibri"/>
                <w:sz w:val="20"/>
                <w:szCs w:val="20"/>
              </w:rPr>
              <w:t>4.13</w:t>
            </w:r>
          </w:p>
        </w:tc>
        <w:tc>
          <w:tcPr>
            <w:tcW w:w="1507" w:type="dxa"/>
            <w:vAlign w:val="center"/>
          </w:tcPr>
          <w:p w14:paraId="753EF068">
            <w:pPr>
              <w:jc w:val="right"/>
              <w:rPr>
                <w:rFonts w:ascii="Calibri" w:hAnsi="Calibri"/>
                <w:sz w:val="20"/>
                <w:szCs w:val="20"/>
              </w:rPr>
            </w:pPr>
            <w:r>
              <w:rPr>
                <w:rFonts w:ascii="Calibri" w:hAnsi="Calibri"/>
                <w:sz w:val="20"/>
                <w:szCs w:val="20"/>
              </w:rPr>
              <w:t>1,078,881.42</w:t>
            </w:r>
          </w:p>
        </w:tc>
      </w:tr>
      <w:tr w14:paraId="5DBE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07" w:type="dxa"/>
            <w:vAlign w:val="center"/>
          </w:tcPr>
          <w:p w14:paraId="040C4EAE">
            <w:pPr>
              <w:ind w:right="105"/>
              <w:jc w:val="both"/>
              <w:rPr>
                <w:rFonts w:ascii="Calibri" w:hAnsi="Calibri"/>
                <w:sz w:val="20"/>
                <w:szCs w:val="20"/>
              </w:rPr>
            </w:pPr>
            <w:r>
              <w:rPr>
                <w:rFonts w:ascii="Calibri" w:hAnsi="Calibri"/>
                <w:sz w:val="20"/>
                <w:szCs w:val="20"/>
              </w:rPr>
              <w:t>上药控股有限公司</w:t>
            </w:r>
          </w:p>
        </w:tc>
        <w:tc>
          <w:tcPr>
            <w:tcW w:w="1607" w:type="dxa"/>
            <w:vAlign w:val="center"/>
          </w:tcPr>
          <w:p w14:paraId="47C02BB8">
            <w:pPr>
              <w:ind w:right="73"/>
              <w:jc w:val="right"/>
              <w:rPr>
                <w:rFonts w:ascii="Calibri" w:hAnsi="Calibri"/>
                <w:sz w:val="20"/>
                <w:szCs w:val="20"/>
              </w:rPr>
            </w:pPr>
            <w:r>
              <w:rPr>
                <w:rFonts w:ascii="Calibri" w:hAnsi="Calibri"/>
                <w:sz w:val="20"/>
                <w:szCs w:val="20"/>
              </w:rPr>
              <w:t>21,026,168.99</w:t>
            </w:r>
          </w:p>
        </w:tc>
        <w:tc>
          <w:tcPr>
            <w:tcW w:w="1407" w:type="dxa"/>
            <w:vAlign w:val="center"/>
          </w:tcPr>
          <w:p w14:paraId="6259B3BF">
            <w:pPr>
              <w:jc w:val="right"/>
              <w:rPr>
                <w:rFonts w:ascii="Calibri" w:hAnsi="Calibri"/>
                <w:sz w:val="20"/>
                <w:szCs w:val="20"/>
              </w:rPr>
            </w:pPr>
          </w:p>
        </w:tc>
        <w:tc>
          <w:tcPr>
            <w:tcW w:w="1507" w:type="dxa"/>
            <w:vAlign w:val="center"/>
          </w:tcPr>
          <w:p w14:paraId="66567662">
            <w:pPr>
              <w:jc w:val="right"/>
              <w:rPr>
                <w:rFonts w:ascii="Calibri" w:hAnsi="Calibri"/>
                <w:sz w:val="20"/>
                <w:szCs w:val="20"/>
              </w:rPr>
            </w:pPr>
            <w:r>
              <w:rPr>
                <w:rFonts w:ascii="Calibri" w:hAnsi="Calibri"/>
                <w:sz w:val="20"/>
                <w:szCs w:val="20"/>
              </w:rPr>
              <w:t>21,026,168.99</w:t>
            </w:r>
          </w:p>
        </w:tc>
        <w:tc>
          <w:tcPr>
            <w:tcW w:w="1507" w:type="dxa"/>
            <w:vAlign w:val="center"/>
          </w:tcPr>
          <w:p w14:paraId="72555251">
            <w:pPr>
              <w:jc w:val="right"/>
              <w:rPr>
                <w:rFonts w:ascii="Calibri" w:hAnsi="Calibri"/>
                <w:sz w:val="20"/>
                <w:szCs w:val="20"/>
              </w:rPr>
            </w:pPr>
            <w:r>
              <w:rPr>
                <w:rFonts w:ascii="Calibri" w:hAnsi="Calibri"/>
                <w:sz w:val="20"/>
                <w:szCs w:val="20"/>
              </w:rPr>
              <w:t>4.03</w:t>
            </w:r>
          </w:p>
        </w:tc>
        <w:tc>
          <w:tcPr>
            <w:tcW w:w="1507" w:type="dxa"/>
            <w:vAlign w:val="center"/>
          </w:tcPr>
          <w:p w14:paraId="7278CA0D">
            <w:pPr>
              <w:jc w:val="right"/>
              <w:rPr>
                <w:rFonts w:ascii="Calibri" w:hAnsi="Calibri"/>
                <w:sz w:val="20"/>
                <w:szCs w:val="20"/>
              </w:rPr>
            </w:pPr>
            <w:r>
              <w:rPr>
                <w:rFonts w:ascii="Calibri" w:hAnsi="Calibri"/>
                <w:sz w:val="20"/>
                <w:szCs w:val="20"/>
              </w:rPr>
              <w:t>1,051,308.45</w:t>
            </w:r>
          </w:p>
        </w:tc>
      </w:tr>
      <w:tr w14:paraId="171F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07" w:type="dxa"/>
            <w:vAlign w:val="center"/>
          </w:tcPr>
          <w:p w14:paraId="79D97061">
            <w:pPr>
              <w:ind w:right="105"/>
              <w:jc w:val="both"/>
              <w:rPr>
                <w:rFonts w:ascii="Calibri" w:hAnsi="Calibri"/>
                <w:sz w:val="20"/>
                <w:szCs w:val="20"/>
              </w:rPr>
            </w:pPr>
            <w:r>
              <w:rPr>
                <w:rFonts w:ascii="Calibri" w:hAnsi="Calibri"/>
                <w:sz w:val="20"/>
                <w:szCs w:val="20"/>
              </w:rPr>
              <w:t>MJ.BIOPHARM PVT.LTD</w:t>
            </w:r>
          </w:p>
        </w:tc>
        <w:tc>
          <w:tcPr>
            <w:tcW w:w="1607" w:type="dxa"/>
            <w:vAlign w:val="center"/>
          </w:tcPr>
          <w:p w14:paraId="552C6A3C">
            <w:pPr>
              <w:ind w:right="73"/>
              <w:jc w:val="right"/>
              <w:rPr>
                <w:rFonts w:ascii="Calibri" w:hAnsi="Calibri"/>
                <w:sz w:val="20"/>
                <w:szCs w:val="20"/>
              </w:rPr>
            </w:pPr>
            <w:r>
              <w:rPr>
                <w:rFonts w:ascii="Calibri" w:hAnsi="Calibri"/>
                <w:sz w:val="20"/>
                <w:szCs w:val="20"/>
              </w:rPr>
              <w:t>17,132,700.00</w:t>
            </w:r>
          </w:p>
        </w:tc>
        <w:tc>
          <w:tcPr>
            <w:tcW w:w="1407" w:type="dxa"/>
            <w:vAlign w:val="center"/>
          </w:tcPr>
          <w:p w14:paraId="10009D64">
            <w:pPr>
              <w:jc w:val="right"/>
              <w:rPr>
                <w:rFonts w:ascii="Calibri" w:hAnsi="Calibri"/>
                <w:sz w:val="20"/>
                <w:szCs w:val="20"/>
              </w:rPr>
            </w:pPr>
          </w:p>
        </w:tc>
        <w:tc>
          <w:tcPr>
            <w:tcW w:w="1507" w:type="dxa"/>
            <w:vAlign w:val="center"/>
          </w:tcPr>
          <w:p w14:paraId="362789A6">
            <w:pPr>
              <w:jc w:val="right"/>
              <w:rPr>
                <w:rFonts w:ascii="Calibri" w:hAnsi="Calibri"/>
                <w:sz w:val="20"/>
                <w:szCs w:val="20"/>
              </w:rPr>
            </w:pPr>
            <w:r>
              <w:rPr>
                <w:rFonts w:ascii="Calibri" w:hAnsi="Calibri"/>
                <w:sz w:val="20"/>
                <w:szCs w:val="20"/>
              </w:rPr>
              <w:t>17,132,700.00</w:t>
            </w:r>
          </w:p>
        </w:tc>
        <w:tc>
          <w:tcPr>
            <w:tcW w:w="1507" w:type="dxa"/>
            <w:vAlign w:val="center"/>
          </w:tcPr>
          <w:p w14:paraId="69162FEC">
            <w:pPr>
              <w:jc w:val="right"/>
              <w:rPr>
                <w:rFonts w:ascii="Calibri" w:hAnsi="Calibri"/>
                <w:sz w:val="20"/>
                <w:szCs w:val="20"/>
              </w:rPr>
            </w:pPr>
            <w:r>
              <w:rPr>
                <w:rFonts w:ascii="Calibri" w:hAnsi="Calibri"/>
                <w:sz w:val="20"/>
                <w:szCs w:val="20"/>
              </w:rPr>
              <w:t>3.28</w:t>
            </w:r>
          </w:p>
        </w:tc>
        <w:tc>
          <w:tcPr>
            <w:tcW w:w="1507" w:type="dxa"/>
            <w:vAlign w:val="center"/>
          </w:tcPr>
          <w:p w14:paraId="08E86A9A">
            <w:pPr>
              <w:jc w:val="right"/>
              <w:rPr>
                <w:rFonts w:ascii="Calibri" w:hAnsi="Calibri"/>
                <w:sz w:val="20"/>
                <w:szCs w:val="20"/>
              </w:rPr>
            </w:pPr>
            <w:r>
              <w:rPr>
                <w:rFonts w:ascii="Calibri" w:hAnsi="Calibri"/>
                <w:sz w:val="20"/>
                <w:szCs w:val="20"/>
              </w:rPr>
              <w:t>856,635.00</w:t>
            </w:r>
          </w:p>
        </w:tc>
      </w:tr>
      <w:tr w14:paraId="691A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07" w:type="dxa"/>
            <w:vAlign w:val="center"/>
          </w:tcPr>
          <w:p w14:paraId="4F2116B9">
            <w:pPr>
              <w:ind w:right="105"/>
              <w:jc w:val="center"/>
              <w:rPr>
                <w:rFonts w:ascii="Calibri" w:hAnsi="Calibri"/>
                <w:sz w:val="20"/>
                <w:szCs w:val="20"/>
              </w:rPr>
            </w:pPr>
            <w:r>
              <w:rPr>
                <w:rFonts w:hint="eastAsia" w:ascii="Calibri" w:hAnsi="Calibri"/>
                <w:sz w:val="20"/>
                <w:szCs w:val="20"/>
              </w:rPr>
              <w:t>合计</w:t>
            </w:r>
          </w:p>
        </w:tc>
        <w:tc>
          <w:tcPr>
            <w:tcW w:w="1607" w:type="dxa"/>
            <w:vAlign w:val="center"/>
          </w:tcPr>
          <w:p w14:paraId="6BD543BC">
            <w:pPr>
              <w:ind w:right="73"/>
              <w:jc w:val="right"/>
              <w:rPr>
                <w:rFonts w:ascii="Calibri" w:hAnsi="Calibri"/>
                <w:sz w:val="20"/>
                <w:szCs w:val="20"/>
              </w:rPr>
            </w:pPr>
            <w:r>
              <w:rPr>
                <w:rFonts w:ascii="Calibri" w:hAnsi="Calibri"/>
                <w:sz w:val="20"/>
                <w:szCs w:val="20"/>
              </w:rPr>
              <w:t>251,129,710.65</w:t>
            </w:r>
          </w:p>
        </w:tc>
        <w:tc>
          <w:tcPr>
            <w:tcW w:w="1407" w:type="dxa"/>
            <w:vAlign w:val="center"/>
          </w:tcPr>
          <w:p w14:paraId="77AD8DD7">
            <w:pPr>
              <w:jc w:val="right"/>
              <w:rPr>
                <w:rFonts w:ascii="Calibri" w:hAnsi="Calibri"/>
                <w:sz w:val="20"/>
                <w:szCs w:val="20"/>
              </w:rPr>
            </w:pPr>
          </w:p>
        </w:tc>
        <w:tc>
          <w:tcPr>
            <w:tcW w:w="1507" w:type="dxa"/>
            <w:vAlign w:val="center"/>
          </w:tcPr>
          <w:p w14:paraId="7247959B">
            <w:pPr>
              <w:jc w:val="right"/>
              <w:rPr>
                <w:rFonts w:ascii="Calibri" w:hAnsi="Calibri"/>
                <w:sz w:val="20"/>
                <w:szCs w:val="20"/>
              </w:rPr>
            </w:pPr>
            <w:r>
              <w:rPr>
                <w:rFonts w:ascii="Calibri" w:hAnsi="Calibri"/>
                <w:sz w:val="20"/>
                <w:szCs w:val="20"/>
              </w:rPr>
              <w:t>251,129,710.65</w:t>
            </w:r>
          </w:p>
        </w:tc>
        <w:tc>
          <w:tcPr>
            <w:tcW w:w="1507" w:type="dxa"/>
            <w:vAlign w:val="center"/>
          </w:tcPr>
          <w:p w14:paraId="1520622C">
            <w:pPr>
              <w:jc w:val="right"/>
              <w:rPr>
                <w:rFonts w:ascii="Calibri" w:hAnsi="Calibri"/>
                <w:sz w:val="20"/>
                <w:szCs w:val="20"/>
              </w:rPr>
            </w:pPr>
            <w:r>
              <w:rPr>
                <w:rFonts w:ascii="Calibri" w:hAnsi="Calibri"/>
                <w:sz w:val="20"/>
                <w:szCs w:val="20"/>
              </w:rPr>
              <w:t>48.10</w:t>
            </w:r>
          </w:p>
        </w:tc>
        <w:tc>
          <w:tcPr>
            <w:tcW w:w="1507" w:type="dxa"/>
            <w:vAlign w:val="center"/>
          </w:tcPr>
          <w:p w14:paraId="135EC120">
            <w:pPr>
              <w:jc w:val="right"/>
              <w:rPr>
                <w:rFonts w:ascii="Calibri" w:hAnsi="Calibri"/>
                <w:sz w:val="20"/>
                <w:szCs w:val="20"/>
              </w:rPr>
            </w:pPr>
            <w:r>
              <w:rPr>
                <w:rFonts w:ascii="Calibri" w:hAnsi="Calibri"/>
                <w:sz w:val="20"/>
                <w:szCs w:val="20"/>
              </w:rPr>
              <w:t>12,666,284.22</w:t>
            </w:r>
          </w:p>
        </w:tc>
      </w:tr>
    </w:tbl>
    <w:p w14:paraId="76BFF428"/>
    <w:p w14:paraId="34CB3855">
      <w:pPr>
        <w:snapToGrid w:val="0"/>
        <w:spacing w:line="240" w:lineRule="atLeast"/>
      </w:pPr>
    </w:p>
    <w:p w14:paraId="67BFB917">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34157649"/>
        <w:placeholder>
          <w:docPart w:val="GBC22222222222222222222222222222"/>
        </w:placeholder>
      </w:sdtPr>
      <w:sdtEndPr>
        <w:rPr>
          <w:rFonts w:hint="eastAsia"/>
        </w:rPr>
      </w:sdtEndPr>
      <w:sdtContent>
        <w:p w14:paraId="567E7151">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C166CED">
      <w:pPr>
        <w:pStyle w:val="48"/>
      </w:pPr>
    </w:p>
    <w:p w14:paraId="185074EE">
      <w:pPr>
        <w:pStyle w:val="4"/>
        <w:numPr>
          <w:ilvl w:val="0"/>
          <w:numId w:val="61"/>
        </w:numPr>
        <w:rPr>
          <w:szCs w:val="21"/>
        </w:rPr>
      </w:pPr>
      <w:bookmarkStart w:id="242" w:name="_Hlk533409560"/>
      <w:r>
        <w:rPr>
          <w:szCs w:val="21"/>
        </w:rPr>
        <w:t>合同资产</w:t>
      </w:r>
    </w:p>
    <w:p w14:paraId="027B5D2A">
      <w:pPr>
        <w:pStyle w:val="5"/>
        <w:numPr>
          <w:ilvl w:val="3"/>
          <w:numId w:val="64"/>
        </w:numPr>
        <w:ind w:left="426" w:hanging="426"/>
      </w:pPr>
      <w:bookmarkStart w:id="243" w:name="_Hlk532992678"/>
      <w:r>
        <w:rPr>
          <w:rFonts w:hint="eastAsia"/>
        </w:rPr>
        <w:t>合同资产情况</w:t>
      </w:r>
    </w:p>
    <w:sdt>
      <w:sdtPr>
        <w:alias w:val="是否适用：合同资产情况[双击切换]"/>
        <w:tag w:val="_GBC_71da29cd2c0f4ec4a2849d6760e0ec90"/>
        <w:id w:val="819469225"/>
        <w:placeholder>
          <w:docPart w:val="GBC22222222222222222222222222222"/>
        </w:placeholder>
      </w:sdtPr>
      <w:sdtContent>
        <w:p w14:paraId="2E8197F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4924388">
      <w:pPr>
        <w:pStyle w:val="48"/>
      </w:pPr>
    </w:p>
    <w:bookmarkEnd w:id="242"/>
    <w:bookmarkEnd w:id="243"/>
    <w:p w14:paraId="3A181C0C">
      <w:pPr>
        <w:pStyle w:val="5"/>
        <w:numPr>
          <w:ilvl w:val="3"/>
          <w:numId w:val="64"/>
        </w:numPr>
        <w:ind w:left="426" w:hanging="426"/>
      </w:pPr>
      <w:bookmarkStart w:id="244" w:name="_Hlk532993169"/>
      <w:r>
        <w:rPr>
          <w:rFonts w:hint="eastAsia"/>
        </w:rPr>
        <w:t>报告期内账面价值发生重大变动的金额和原因</w:t>
      </w:r>
    </w:p>
    <w:sdt>
      <w:sdtPr>
        <w:alias w:val="是否适用：合同资产账面价值发生重大变动[双击切换]"/>
        <w:tag w:val="_GBC_d707053a57f34cbab810279b617bfcc7"/>
        <w:id w:val="706453161"/>
        <w:placeholder>
          <w:docPart w:val="GBC22222222222222222222222222222"/>
        </w:placeholder>
      </w:sdtPr>
      <w:sdtContent>
        <w:p w14:paraId="5ED5925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2C87B35">
      <w:pPr>
        <w:pStyle w:val="48"/>
      </w:pPr>
    </w:p>
    <w:p w14:paraId="5862F262">
      <w:pPr>
        <w:pStyle w:val="5"/>
        <w:numPr>
          <w:ilvl w:val="3"/>
          <w:numId w:val="64"/>
        </w:numPr>
        <w:ind w:left="426" w:hanging="426"/>
      </w:pPr>
      <w:bookmarkStart w:id="245" w:name="_Hlk153378989"/>
      <w:r>
        <w:rPr>
          <w:rFonts w:hint="eastAsia"/>
        </w:rPr>
        <w:t>按坏账计提方法分类披露</w:t>
      </w:r>
    </w:p>
    <w:sdt>
      <w:sdtPr>
        <w:alias w:val="是否适用：按坏账计提方法分类披露[双击切换]"/>
        <w:tag w:val="_GBC_6dd4a97ab67f497ba65822d927d1d29e"/>
        <w:id w:val="-2076733980"/>
        <w:placeholder>
          <w:docPart w:val="GBC22222222222222222222222222222"/>
        </w:placeholder>
      </w:sdtPr>
      <w:sdtContent>
        <w:p w14:paraId="5998E2D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F1F6A88">
      <w:pPr>
        <w:pStyle w:val="48"/>
      </w:pPr>
    </w:p>
    <w:p w14:paraId="60B7B5DB">
      <w:pPr>
        <w:pStyle w:val="48"/>
      </w:pPr>
      <w:r>
        <w:rPr>
          <w:rFonts w:hint="eastAsia"/>
        </w:rPr>
        <w:t>按单项计提坏账准备：</w:t>
      </w:r>
    </w:p>
    <w:sdt>
      <w:sdtPr>
        <w:alias w:val="是否适用：按单项计提坏账准备的详细情况[双击切换]"/>
        <w:tag w:val="_GBC_0ab170ec63fb435387c8b835e9d77a54"/>
        <w:id w:val="284709169"/>
        <w:placeholder>
          <w:docPart w:val="GBC22222222222222222222222222222"/>
        </w:placeholder>
      </w:sdtPr>
      <w:sdtContent>
        <w:p w14:paraId="50F8FEB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4B8E9E0">
      <w:pPr>
        <w:pStyle w:val="48"/>
      </w:pPr>
    </w:p>
    <w:p w14:paraId="39695A51">
      <w:pPr>
        <w:pStyle w:val="48"/>
      </w:pPr>
      <w:r>
        <w:rPr>
          <w:rFonts w:hint="eastAsia"/>
        </w:rPr>
        <w:t>按单项计提坏账准备的说明：</w:t>
      </w:r>
    </w:p>
    <w:sdt>
      <w:sdtPr>
        <w:alias w:val="是否适用：按单项计提坏账准备的说明[双击切换]"/>
        <w:tag w:val="_GBC_0aa7517d534e4bfeae4b430fe21b3412"/>
        <w:id w:val="-1173644108"/>
        <w:placeholder>
          <w:docPart w:val="GBC22222222222222222222222222222"/>
        </w:placeholder>
      </w:sdtPr>
      <w:sdtContent>
        <w:p w14:paraId="7AF7B3B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A6A0DA3">
      <w:pPr>
        <w:pStyle w:val="48"/>
      </w:pPr>
    </w:p>
    <w:p w14:paraId="128E6F71">
      <w:pPr>
        <w:rPr>
          <w:rFonts w:ascii="Calibri" w:hAnsi="Calibri"/>
          <w:bCs/>
          <w:szCs w:val="22"/>
        </w:rPr>
      </w:pPr>
      <w:r>
        <w:rPr>
          <w:rFonts w:hint="eastAsia" w:ascii="Calibri" w:hAnsi="Calibri"/>
          <w:bCs/>
          <w:szCs w:val="22"/>
        </w:rPr>
        <w:t>按组合计提坏账准备：</w:t>
      </w:r>
    </w:p>
    <w:sdt>
      <w:sdtPr>
        <w:rPr>
          <w:rFonts w:ascii="Calibri" w:hAnsi="Calibri"/>
          <w:bCs/>
          <w:szCs w:val="22"/>
        </w:rPr>
        <w:alias w:val="是否适用：按组合计提坏账准备的详细情况[双击切换]"/>
        <w:tag w:val="_GBC_dd62dad60e90472bb2ac73e80b2edb97"/>
        <w:id w:val="-423111019"/>
        <w:placeholder>
          <w:docPart w:val="GBC22222222222222222222222222222"/>
        </w:placeholder>
      </w:sdtPr>
      <w:sdtEndPr>
        <w:rPr>
          <w:rFonts w:ascii="Calibri" w:hAnsi="Calibri"/>
          <w:bCs/>
          <w:szCs w:val="22"/>
        </w:rPr>
      </w:sdtEndPr>
      <w:sdtContent>
        <w:p w14:paraId="71F6FE6E">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5902F994">
      <w:pPr>
        <w:pStyle w:val="48"/>
      </w:pPr>
    </w:p>
    <w:p w14:paraId="2E138649">
      <w:pPr>
        <w:rPr>
          <w:rFonts w:ascii="Calibri" w:hAnsi="Calibri"/>
          <w:b/>
          <w:bCs/>
          <w:szCs w:val="22"/>
        </w:rPr>
      </w:pPr>
    </w:p>
    <w:bookmarkEnd w:id="245"/>
    <w:p w14:paraId="6F1A5EF8">
      <w:pPr>
        <w:rPr>
          <w:rFonts w:cstheme="minorBidi"/>
          <w:bCs/>
          <w:szCs w:val="22"/>
        </w:rPr>
      </w:pPr>
      <w:bookmarkStart w:id="246" w:name="_Hlk153379126"/>
      <w:bookmarkStart w:id="247" w:name="_Hlk154135145"/>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af66bce1fada4aaa845a8f566731a4cf"/>
        <w:id w:val="926158901"/>
        <w:placeholder>
          <w:docPart w:val="GBC22222222222222222222222222222"/>
        </w:placeholder>
      </w:sdtPr>
      <w:sdtEndPr>
        <w:rPr>
          <w:rFonts w:cstheme="minorBidi"/>
          <w:bCs/>
          <w:szCs w:val="22"/>
        </w:rPr>
      </w:sdtEndPr>
      <w:sdtContent>
        <w:p w14:paraId="6D5F4726">
          <w:pPr>
            <w:rPr>
              <w:rFonts w:cstheme="minorBidi"/>
              <w:bCs/>
              <w:szCs w:val="22"/>
            </w:rPr>
          </w:pPr>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14:paraId="51A85698"/>
    <w:p w14:paraId="634139C4">
      <w:pPr>
        <w:pStyle w:val="38"/>
      </w:pPr>
      <w:r>
        <w:rPr>
          <w:rFonts w:hint="eastAsia"/>
        </w:rPr>
        <w:t>对本期发生损失准备变动的合同资产账面余额显著变动的情况说明：</w:t>
      </w:r>
    </w:p>
    <w:sdt>
      <w:sdtPr>
        <w:alias w:val="是否适用：对本期发生损失准备变动的账面余额显著变动的情况说明[双击切换]"/>
        <w:tag w:val="_GBC_5d2109eaa8194f47bcc2f4bbd6c081ae"/>
        <w:id w:val="-1433744691"/>
        <w:placeholder>
          <w:docPart w:val="GBC22222222222222222222222222222"/>
        </w:placeholder>
      </w:sdtPr>
      <w:sdtContent>
        <w:p w14:paraId="796569E3">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B7E5D1B">
      <w:pPr>
        <w:rPr>
          <w:rFonts w:asciiTheme="minorHAnsi" w:hAnsiTheme="minorHAnsi" w:cstheme="minorBidi"/>
          <w:b/>
          <w:bCs/>
          <w:szCs w:val="22"/>
        </w:rPr>
      </w:pPr>
    </w:p>
    <w:bookmarkEnd w:id="244"/>
    <w:bookmarkEnd w:id="246"/>
    <w:bookmarkEnd w:id="247"/>
    <w:p w14:paraId="2D05A87C">
      <w:pPr>
        <w:pStyle w:val="5"/>
        <w:numPr>
          <w:ilvl w:val="3"/>
          <w:numId w:val="64"/>
        </w:numPr>
        <w:ind w:left="426" w:hanging="426"/>
      </w:pPr>
      <w:bookmarkStart w:id="248" w:name="_Hlk533847869"/>
      <w:r>
        <w:rPr>
          <w:rFonts w:hint="eastAsia"/>
        </w:rPr>
        <w:t>本期合同资产计提坏账准备情况</w:t>
      </w:r>
    </w:p>
    <w:sdt>
      <w:sdtPr>
        <w:alias w:val="是否适用：合同资产减值准备[双击切换]"/>
        <w:tag w:val="_GBC_7a32a2cf2788460d8c760b8ac21cef48"/>
        <w:id w:val="451517620"/>
        <w:placeholder>
          <w:docPart w:val="GBC22222222222222222222222222222"/>
        </w:placeholder>
      </w:sdtPr>
      <w:sdtContent>
        <w:p w14:paraId="4A241F6B">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BDE9C39">
      <w:pPr>
        <w:autoSpaceDE w:val="0"/>
        <w:autoSpaceDN w:val="0"/>
        <w:adjustRightInd w:val="0"/>
        <w:ind w:right="105" w:rightChars="50"/>
      </w:pPr>
      <w:bookmarkStart w:id="249" w:name="_Hlk182483958"/>
    </w:p>
    <w:bookmarkEnd w:id="249"/>
    <w:p w14:paraId="01628721">
      <w:pPr>
        <w:pStyle w:val="48"/>
      </w:pPr>
      <w:bookmarkStart w:id="250" w:name="_Hlk153379287"/>
      <w:r>
        <w:rPr>
          <w:rFonts w:hint="eastAsia"/>
        </w:rPr>
        <w:t>其中本期坏账准备收回或转回金额重要的：</w:t>
      </w:r>
    </w:p>
    <w:sdt>
      <w:sdtPr>
        <w:alias w:val="是否适用：本期坏账准备收回或转回金额重要的[双击切换]"/>
        <w:tag w:val="_GBC_40c6e5cd3d9b48fa9d8ddf51159f73e3"/>
        <w:id w:val="-375309008"/>
        <w:placeholder>
          <w:docPart w:val="GBC22222222222222222222222222222"/>
        </w:placeholder>
      </w:sdtPr>
      <w:sdtContent>
        <w:p w14:paraId="028E055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904A97E">
      <w:pPr>
        <w:pStyle w:val="48"/>
      </w:pPr>
    </w:p>
    <w:p w14:paraId="3B31EFA5">
      <w:pPr>
        <w:ind w:right="42" w:rightChars="20"/>
      </w:pPr>
    </w:p>
    <w:p w14:paraId="5F34F360">
      <w:pPr>
        <w:ind w:right="-1594" w:rightChars="-759"/>
      </w:pPr>
    </w:p>
    <w:bookmarkEnd w:id="250"/>
    <w:p w14:paraId="746C5764">
      <w:pPr>
        <w:pStyle w:val="5"/>
        <w:numPr>
          <w:ilvl w:val="3"/>
          <w:numId w:val="64"/>
        </w:numPr>
        <w:ind w:left="426" w:hanging="426"/>
      </w:pPr>
      <w:bookmarkStart w:id="251" w:name="_Hlk153379426"/>
      <w:r>
        <w:rPr>
          <w:rFonts w:hint="eastAsia"/>
        </w:rPr>
        <w:t>本期实际核销的合同资产情况</w:t>
      </w:r>
    </w:p>
    <w:sdt>
      <w:sdtPr>
        <w:alias w:val="是否适用：实际核销的情况[双击切换]"/>
        <w:tag w:val="_GBC_d2036f8632c6441bbae156d4fcc0a1bb"/>
        <w:id w:val="427166592"/>
        <w:placeholder>
          <w:docPart w:val="GBC22222222222222222222222222222"/>
        </w:placeholder>
      </w:sdtPr>
      <w:sdtContent>
        <w:p w14:paraId="18B292C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9EAD766">
      <w:pPr>
        <w:pStyle w:val="48"/>
      </w:pPr>
    </w:p>
    <w:p w14:paraId="18F2FFF6">
      <w:pPr>
        <w:pStyle w:val="48"/>
      </w:pPr>
      <w:r>
        <w:rPr>
          <w:rFonts w:hint="eastAsia"/>
        </w:rPr>
        <w:t>其中重要的合同资产核销情况</w:t>
      </w:r>
    </w:p>
    <w:sdt>
      <w:sdtPr>
        <w:rPr>
          <w:rFonts w:hint="eastAsia"/>
        </w:rPr>
        <w:alias w:val="是否适用：重要的核销情况[双击切换]"/>
        <w:tag w:val="_GBC_a32f8e56eb4941f98078bbae5f9968b0"/>
        <w:id w:val="1070388340"/>
        <w:placeholder>
          <w:docPart w:val="GBC22222222222222222222222222222"/>
        </w:placeholder>
      </w:sdtPr>
      <w:sdtEndPr>
        <w:rPr>
          <w:rFonts w:hint="eastAsia"/>
        </w:rPr>
      </w:sdtEndPr>
      <w:sdtContent>
        <w:p w14:paraId="6E27011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B87A335">
      <w:pPr>
        <w:pStyle w:val="48"/>
      </w:pPr>
    </w:p>
    <w:p w14:paraId="3E4AAC82">
      <w:pPr>
        <w:snapToGrid w:val="0"/>
        <w:spacing w:line="240" w:lineRule="atLeast"/>
      </w:pPr>
      <w:r>
        <w:rPr>
          <w:rFonts w:hint="eastAsia"/>
        </w:rPr>
        <w:t>合同资产核销说明：</w:t>
      </w:r>
    </w:p>
    <w:sdt>
      <w:sdtPr>
        <w:alias w:val="是否适用：核销说明[双击切换]"/>
        <w:tag w:val="_GBC_837b8448d70d489b99f47e83a77e0bef"/>
        <w:id w:val="1640845749"/>
        <w:placeholder>
          <w:docPart w:val="GBC22222222222222222222222222222"/>
        </w:placeholder>
      </w:sdtPr>
      <w:sdtContent>
        <w:p w14:paraId="0CDCC225">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87919EC">
      <w:pPr>
        <w:pStyle w:val="48"/>
      </w:pPr>
    </w:p>
    <w:bookmarkEnd w:id="248"/>
    <w:bookmarkEnd w:id="251"/>
    <w:p w14:paraId="13E6AC35">
      <w:pPr>
        <w:pStyle w:val="48"/>
      </w:pPr>
      <w:r>
        <w:rPr>
          <w:rFonts w:hint="eastAsia"/>
        </w:rPr>
        <w:t>其他说明：</w:t>
      </w:r>
    </w:p>
    <w:sdt>
      <w:sdtPr>
        <w:alias w:val="是否适用：合同资产其他说明[双击切换]"/>
        <w:tag w:val="_GBC_92ce0006559b479d93e7dbde6e8efca4"/>
        <w:id w:val="1136689514"/>
        <w:placeholder>
          <w:docPart w:val="GBC22222222222222222222222222222"/>
        </w:placeholder>
      </w:sdtPr>
      <w:sdtContent>
        <w:p w14:paraId="2C74476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C3DB16">
      <w:pPr>
        <w:pStyle w:val="48"/>
      </w:pPr>
    </w:p>
    <w:p w14:paraId="0D9CC499">
      <w:pPr>
        <w:pStyle w:val="4"/>
        <w:numPr>
          <w:ilvl w:val="0"/>
          <w:numId w:val="61"/>
        </w:numPr>
        <w:rPr>
          <w:szCs w:val="21"/>
        </w:rPr>
      </w:pPr>
      <w:bookmarkStart w:id="252" w:name="_Hlk24102175"/>
      <w:r>
        <w:rPr>
          <w:szCs w:val="21"/>
        </w:rPr>
        <w:t>应收款项融资</w:t>
      </w:r>
    </w:p>
    <w:p w14:paraId="202D6CF4">
      <w:pPr>
        <w:pStyle w:val="5"/>
        <w:numPr>
          <w:ilvl w:val="0"/>
          <w:numId w:val="65"/>
        </w:numPr>
      </w:pPr>
      <w:r>
        <w:rPr>
          <w:rFonts w:hint="eastAsia"/>
        </w:rPr>
        <w:t>应收款项融资分类列示</w:t>
      </w:r>
    </w:p>
    <w:sdt>
      <w:sdtPr>
        <w:alias w:val="是否适用：应收款项融资[双击切换]"/>
        <w:tag w:val="_GBC_e38b7d767cdd4e9f8dd5f7f6ea2330da"/>
        <w:id w:val="-1996020428"/>
        <w:placeholder>
          <w:docPart w:val="GBC22222222222222222222222222222"/>
        </w:placeholder>
      </w:sdtPr>
      <w:sdtContent>
        <w:p w14:paraId="6AD8A66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CBF5934">
      <w:pPr>
        <w:ind w:left="420" w:right="-98"/>
        <w:jc w:val="right"/>
      </w:pPr>
      <w:r>
        <w:rPr>
          <w:rFonts w:hint="eastAsia"/>
        </w:rPr>
        <w:t xml:space="preserve">  单位：</w:t>
      </w:r>
      <w:sdt>
        <w:sdtPr>
          <w:rPr>
            <w:rFonts w:hint="eastAsia"/>
          </w:rPr>
          <w:alias w:val="单位：应收款项融资"/>
          <w:tag w:val="_GBC_718fb908b95f48ec84742dfac4338fd4"/>
          <w:id w:val="-203093884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应收款项融资"/>
          <w:tag w:val="_GBC_e0c43db94ecc4e51b884c86496138ea2"/>
          <w:id w:val="-17568856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7"/>
        <w:gridCol w:w="2890"/>
        <w:gridCol w:w="2899"/>
      </w:tblGrid>
      <w:tr w14:paraId="5859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e528ffb61e4b53acdd40b3208f06a9"/>
            <w:id w:val="888072543"/>
          </w:sdtPr>
          <w:sdtContent>
            <w:tc>
              <w:tcPr>
                <w:tcW w:w="3237" w:type="dxa"/>
                <w:vAlign w:val="center"/>
              </w:tcPr>
              <w:p w14:paraId="726820CC">
                <w:pPr>
                  <w:jc w:val="center"/>
                  <w:rPr>
                    <w:rFonts w:ascii="Calibri" w:hAnsi="Calibri"/>
                    <w:sz w:val="20"/>
                    <w:szCs w:val="20"/>
                  </w:rPr>
                </w:pPr>
                <w:bookmarkStart w:id="253" w:name="_Hlk12969247"/>
                <w:bookmarkStart w:id="254" w:name="_Hlk13057555"/>
                <w:r>
                  <w:rPr>
                    <w:rFonts w:hint="eastAsia" w:ascii="Calibri" w:hAnsi="Calibri"/>
                    <w:sz w:val="20"/>
                    <w:szCs w:val="20"/>
                  </w:rPr>
                  <w:t>项目</w:t>
                </w:r>
              </w:p>
            </w:tc>
          </w:sdtContent>
        </w:sdt>
        <w:sdt>
          <w:sdtPr>
            <w:tag w:val="_PLD_8d81c1822e774f6081deb29ea5466dc8"/>
            <w:id w:val="1254473484"/>
          </w:sdtPr>
          <w:sdtContent>
            <w:tc>
              <w:tcPr>
                <w:tcW w:w="2890" w:type="dxa"/>
                <w:vAlign w:val="center"/>
              </w:tcPr>
              <w:p w14:paraId="1CA56115">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期末余额</w:t>
                </w:r>
              </w:p>
            </w:tc>
          </w:sdtContent>
        </w:sdt>
        <w:sdt>
          <w:sdtPr>
            <w:tag w:val="_PLD_c1ad8d0386f942b4b74733e3287ad275"/>
            <w:id w:val="-1730137940"/>
          </w:sdtPr>
          <w:sdtContent>
            <w:tc>
              <w:tcPr>
                <w:tcW w:w="2899" w:type="dxa"/>
                <w:vAlign w:val="center"/>
              </w:tcPr>
              <w:p w14:paraId="6F12048B">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期初余额</w:t>
                </w:r>
              </w:p>
            </w:tc>
          </w:sdtContent>
        </w:sdt>
      </w:tr>
      <w:tr w14:paraId="30D9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vAlign w:val="center"/>
          </w:tcPr>
          <w:p w14:paraId="6A601C81">
            <w:pPr>
              <w:autoSpaceDE w:val="0"/>
              <w:autoSpaceDN w:val="0"/>
              <w:adjustRightInd w:val="0"/>
              <w:rPr>
                <w:rFonts w:ascii="Calibri" w:hAnsi="Calibri"/>
                <w:sz w:val="20"/>
                <w:szCs w:val="20"/>
              </w:rPr>
            </w:pPr>
            <w:r>
              <w:rPr>
                <w:rFonts w:hint="eastAsia" w:ascii="Calibri" w:hAnsi="Calibri"/>
                <w:sz w:val="20"/>
                <w:szCs w:val="20"/>
              </w:rPr>
              <w:t>银行承兑汇票</w:t>
            </w:r>
          </w:p>
        </w:tc>
        <w:tc>
          <w:tcPr>
            <w:tcW w:w="2890" w:type="dxa"/>
            <w:vAlign w:val="center"/>
          </w:tcPr>
          <w:p w14:paraId="59A842B3">
            <w:pPr>
              <w:jc w:val="right"/>
              <w:rPr>
                <w:rFonts w:ascii="Calibri" w:hAnsi="Calibri"/>
                <w:sz w:val="20"/>
                <w:szCs w:val="20"/>
              </w:rPr>
            </w:pPr>
            <w:r>
              <w:rPr>
                <w:rFonts w:ascii="Calibri" w:hAnsi="Calibri"/>
                <w:sz w:val="20"/>
                <w:szCs w:val="20"/>
              </w:rPr>
              <w:t>58,067,116.90</w:t>
            </w:r>
          </w:p>
        </w:tc>
        <w:tc>
          <w:tcPr>
            <w:tcW w:w="2899" w:type="dxa"/>
            <w:vAlign w:val="center"/>
          </w:tcPr>
          <w:p w14:paraId="149CED24">
            <w:pPr>
              <w:jc w:val="right"/>
              <w:rPr>
                <w:rFonts w:ascii="Calibri" w:hAnsi="Calibri"/>
                <w:sz w:val="20"/>
                <w:szCs w:val="20"/>
              </w:rPr>
            </w:pPr>
            <w:r>
              <w:rPr>
                <w:rFonts w:ascii="Calibri" w:hAnsi="Calibri"/>
                <w:sz w:val="20"/>
                <w:szCs w:val="20"/>
              </w:rPr>
              <w:t>54,419,623.26</w:t>
            </w:r>
          </w:p>
        </w:tc>
      </w:tr>
      <w:tr w14:paraId="3444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7" w:type="dxa"/>
            <w:vAlign w:val="center"/>
          </w:tcPr>
          <w:p w14:paraId="3AE2E616">
            <w:pPr>
              <w:jc w:val="center"/>
              <w:rPr>
                <w:rFonts w:ascii="Calibri" w:hAnsi="Calibri"/>
                <w:sz w:val="20"/>
                <w:szCs w:val="20"/>
              </w:rPr>
            </w:pPr>
            <w:r>
              <w:rPr>
                <w:rFonts w:hint="eastAsia" w:ascii="Calibri" w:hAnsi="Calibri"/>
                <w:sz w:val="20"/>
                <w:szCs w:val="20"/>
              </w:rPr>
              <w:t>合计</w:t>
            </w:r>
          </w:p>
        </w:tc>
        <w:tc>
          <w:tcPr>
            <w:tcW w:w="2890" w:type="dxa"/>
            <w:vAlign w:val="center"/>
          </w:tcPr>
          <w:p w14:paraId="3F7B43FF">
            <w:pPr>
              <w:jc w:val="right"/>
              <w:rPr>
                <w:rFonts w:ascii="Calibri" w:hAnsi="Calibri"/>
                <w:sz w:val="20"/>
                <w:szCs w:val="20"/>
              </w:rPr>
            </w:pPr>
            <w:r>
              <w:rPr>
                <w:rFonts w:ascii="Calibri" w:hAnsi="Calibri"/>
                <w:sz w:val="20"/>
                <w:szCs w:val="20"/>
              </w:rPr>
              <w:t>58,067,116.90</w:t>
            </w:r>
          </w:p>
        </w:tc>
        <w:tc>
          <w:tcPr>
            <w:tcW w:w="2899" w:type="dxa"/>
            <w:vAlign w:val="center"/>
          </w:tcPr>
          <w:p w14:paraId="13874299">
            <w:pPr>
              <w:jc w:val="right"/>
              <w:rPr>
                <w:rFonts w:ascii="Calibri" w:hAnsi="Calibri"/>
                <w:sz w:val="20"/>
                <w:szCs w:val="20"/>
              </w:rPr>
            </w:pPr>
            <w:r>
              <w:rPr>
                <w:rFonts w:ascii="Calibri" w:hAnsi="Calibri"/>
                <w:sz w:val="20"/>
                <w:szCs w:val="20"/>
              </w:rPr>
              <w:t>54,419,623.26</w:t>
            </w:r>
          </w:p>
        </w:tc>
      </w:tr>
    </w:tbl>
    <w:p w14:paraId="3D0DBD01">
      <w:pPr>
        <w:pStyle w:val="48"/>
      </w:pPr>
    </w:p>
    <w:p w14:paraId="6E1BBCF6">
      <w:pPr>
        <w:pStyle w:val="5"/>
        <w:numPr>
          <w:ilvl w:val="0"/>
          <w:numId w:val="65"/>
        </w:numPr>
      </w:pPr>
      <w:r>
        <w:rPr>
          <w:rFonts w:hint="eastAsia"/>
        </w:rPr>
        <w:t>期末公司已质押的应收款项融资</w:t>
      </w:r>
    </w:p>
    <w:sdt>
      <w:sdtPr>
        <w:alias w:val="是否适用：期末公司已质押的应收款项融资[双击切换]"/>
        <w:tag w:val="_GBC_31b898cd43844d68932063bb1e6347a8"/>
        <w:id w:val="-2014985058"/>
        <w:placeholder>
          <w:docPart w:val="GBC22222222222222222222222222222"/>
        </w:placeholder>
      </w:sdtPr>
      <w:sdtContent>
        <w:p w14:paraId="2DDAB27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C0325EC">
      <w:pPr>
        <w:pStyle w:val="48"/>
      </w:pPr>
    </w:p>
    <w:p w14:paraId="7DA76DFF">
      <w:pPr>
        <w:pStyle w:val="5"/>
        <w:numPr>
          <w:ilvl w:val="0"/>
          <w:numId w:val="65"/>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1963459441"/>
        <w:placeholder>
          <w:docPart w:val="GBC22222222222222222222222222222"/>
        </w:placeholder>
      </w:sdtPr>
      <w:sdtContent>
        <w:p w14:paraId="66FB4D4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9D18B83">
      <w:pPr>
        <w:jc w:val="right"/>
      </w:pPr>
      <w:r>
        <w:rPr>
          <w:rFonts w:hint="eastAsia"/>
        </w:rPr>
        <w:t>单位：</w:t>
      </w:r>
      <w:sdt>
        <w:sdtPr>
          <w:rPr>
            <w:rFonts w:hint="eastAsia"/>
          </w:rPr>
          <w:alias w:val="单位：期末公司已背书或贴现且在资产负债表日尚未到期的应收款项融资"/>
          <w:tag w:val="_GBC_93228107c43a481da9506f790cd8af92"/>
          <w:id w:val="135892415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期末公司已背书或贴现且在资产负债表日尚未到期的应收款项融资"/>
          <w:tag w:val="_GBC_321f16b9d20241dd9a8da269a46b1e36"/>
          <w:id w:val="-5951687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3050"/>
        <w:gridCol w:w="3122"/>
      </w:tblGrid>
      <w:tr w14:paraId="0853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3b7f0ccb35e48099a6f7696604b4e21"/>
            <w:id w:val="-1477529452"/>
          </w:sdtPr>
          <w:sdtContent>
            <w:tc>
              <w:tcPr>
                <w:tcW w:w="2877" w:type="dxa"/>
                <w:vAlign w:val="center"/>
              </w:tcPr>
              <w:p w14:paraId="0D546A6E">
                <w:pPr>
                  <w:jc w:val="center"/>
                  <w:rPr>
                    <w:rFonts w:ascii="Calibri" w:hAnsi="Calibri"/>
                    <w:sz w:val="20"/>
                    <w:szCs w:val="20"/>
                  </w:rPr>
                </w:pPr>
                <w:r>
                  <w:rPr>
                    <w:rFonts w:hint="eastAsia" w:ascii="Calibri" w:hAnsi="Calibri"/>
                    <w:sz w:val="20"/>
                    <w:szCs w:val="20"/>
                  </w:rPr>
                  <w:t>项目</w:t>
                </w:r>
              </w:p>
            </w:tc>
          </w:sdtContent>
        </w:sdt>
        <w:sdt>
          <w:sdtPr>
            <w:tag w:val="_PLD_149743054c254feca84017182a25be7d"/>
            <w:id w:val="-2019385460"/>
          </w:sdtPr>
          <w:sdtContent>
            <w:tc>
              <w:tcPr>
                <w:tcW w:w="3050" w:type="dxa"/>
                <w:vAlign w:val="center"/>
              </w:tcPr>
              <w:p w14:paraId="08882E43">
                <w:pPr>
                  <w:jc w:val="center"/>
                  <w:rPr>
                    <w:rFonts w:ascii="Calibri" w:hAnsi="Calibri"/>
                    <w:sz w:val="20"/>
                    <w:szCs w:val="20"/>
                  </w:rPr>
                </w:pPr>
                <w:r>
                  <w:rPr>
                    <w:rFonts w:hint="eastAsia" w:ascii="Calibri" w:hAnsi="Calibri"/>
                    <w:sz w:val="20"/>
                    <w:szCs w:val="20"/>
                  </w:rPr>
                  <w:t>期末终止确认金额</w:t>
                </w:r>
              </w:p>
            </w:tc>
          </w:sdtContent>
        </w:sdt>
        <w:sdt>
          <w:sdtPr>
            <w:tag w:val="_PLD_9f59617eec3d4ee4b21512d75b778f97"/>
            <w:id w:val="296341139"/>
          </w:sdtPr>
          <w:sdtContent>
            <w:tc>
              <w:tcPr>
                <w:tcW w:w="3122" w:type="dxa"/>
                <w:vAlign w:val="center"/>
              </w:tcPr>
              <w:p w14:paraId="163D4771">
                <w:pPr>
                  <w:jc w:val="center"/>
                  <w:rPr>
                    <w:rFonts w:ascii="Calibri" w:hAnsi="Calibri"/>
                    <w:sz w:val="20"/>
                    <w:szCs w:val="20"/>
                  </w:rPr>
                </w:pPr>
                <w:r>
                  <w:rPr>
                    <w:rFonts w:hint="eastAsia" w:ascii="Calibri" w:hAnsi="Calibri"/>
                    <w:sz w:val="20"/>
                    <w:szCs w:val="20"/>
                  </w:rPr>
                  <w:t>期末未终止确认金额</w:t>
                </w:r>
              </w:p>
            </w:tc>
          </w:sdtContent>
        </w:sdt>
      </w:tr>
      <w:tr w14:paraId="10F8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7" w:type="dxa"/>
            <w:vAlign w:val="center"/>
          </w:tcPr>
          <w:p w14:paraId="439668D7">
            <w:pPr>
              <w:adjustRightInd w:val="0"/>
              <w:snapToGrid w:val="0"/>
              <w:jc w:val="both"/>
              <w:outlineLvl w:val="0"/>
              <w:rPr>
                <w:rFonts w:ascii="宋体" w:hAnsi="宋体"/>
                <w:sz w:val="18"/>
                <w:szCs w:val="18"/>
              </w:rPr>
            </w:pPr>
            <w:r>
              <w:rPr>
                <w:rFonts w:ascii="宋体" w:hAnsi="宋体"/>
                <w:sz w:val="18"/>
                <w:szCs w:val="18"/>
              </w:rPr>
              <w:t>银行承兑汇票</w:t>
            </w:r>
          </w:p>
        </w:tc>
        <w:tc>
          <w:tcPr>
            <w:tcW w:w="3050" w:type="dxa"/>
            <w:vAlign w:val="center"/>
          </w:tcPr>
          <w:p w14:paraId="06A1E1C2">
            <w:pPr>
              <w:jc w:val="right"/>
              <w:rPr>
                <w:rFonts w:ascii="Calibri" w:hAnsi="Calibri"/>
                <w:sz w:val="20"/>
                <w:szCs w:val="20"/>
              </w:rPr>
            </w:pPr>
            <w:r>
              <w:rPr>
                <w:rFonts w:ascii="Calibri" w:hAnsi="Calibri"/>
                <w:sz w:val="20"/>
                <w:szCs w:val="20"/>
              </w:rPr>
              <w:t>57,662,229.36</w:t>
            </w:r>
          </w:p>
        </w:tc>
        <w:tc>
          <w:tcPr>
            <w:tcW w:w="3122" w:type="dxa"/>
            <w:vAlign w:val="center"/>
          </w:tcPr>
          <w:p w14:paraId="403321E2">
            <w:pPr>
              <w:jc w:val="right"/>
              <w:rPr>
                <w:rFonts w:ascii="Calibri" w:hAnsi="Calibri"/>
                <w:sz w:val="20"/>
                <w:szCs w:val="20"/>
              </w:rPr>
            </w:pPr>
          </w:p>
        </w:tc>
      </w:tr>
      <w:tr w14:paraId="421E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7" w:type="dxa"/>
            <w:vAlign w:val="center"/>
          </w:tcPr>
          <w:p w14:paraId="6F51DBE4">
            <w:pPr>
              <w:jc w:val="center"/>
              <w:rPr>
                <w:rFonts w:ascii="Calibri" w:hAnsi="Calibri"/>
                <w:sz w:val="20"/>
                <w:szCs w:val="20"/>
              </w:rPr>
            </w:pPr>
            <w:r>
              <w:rPr>
                <w:rFonts w:hint="eastAsia" w:ascii="Calibri" w:hAnsi="Calibri"/>
                <w:sz w:val="20"/>
                <w:szCs w:val="20"/>
              </w:rPr>
              <w:t>合计</w:t>
            </w:r>
          </w:p>
        </w:tc>
        <w:tc>
          <w:tcPr>
            <w:tcW w:w="3050" w:type="dxa"/>
            <w:vAlign w:val="center"/>
          </w:tcPr>
          <w:p w14:paraId="303C5CC2">
            <w:pPr>
              <w:jc w:val="right"/>
              <w:rPr>
                <w:rFonts w:ascii="Calibri" w:hAnsi="Calibri"/>
                <w:sz w:val="20"/>
                <w:szCs w:val="20"/>
              </w:rPr>
            </w:pPr>
            <w:r>
              <w:rPr>
                <w:rFonts w:ascii="Calibri" w:hAnsi="Calibri"/>
                <w:sz w:val="20"/>
                <w:szCs w:val="20"/>
              </w:rPr>
              <w:t>57,662,229.36</w:t>
            </w:r>
          </w:p>
        </w:tc>
        <w:tc>
          <w:tcPr>
            <w:tcW w:w="3122" w:type="dxa"/>
            <w:vAlign w:val="center"/>
          </w:tcPr>
          <w:p w14:paraId="2684EDB0">
            <w:pPr>
              <w:jc w:val="right"/>
              <w:rPr>
                <w:rFonts w:ascii="Calibri" w:hAnsi="Calibri"/>
                <w:sz w:val="20"/>
                <w:szCs w:val="20"/>
              </w:rPr>
            </w:pPr>
          </w:p>
        </w:tc>
      </w:tr>
    </w:tbl>
    <w:p w14:paraId="52C260D2">
      <w:pPr>
        <w:pStyle w:val="48"/>
      </w:pPr>
    </w:p>
    <w:p w14:paraId="295E84FD">
      <w:pPr>
        <w:pStyle w:val="5"/>
        <w:numPr>
          <w:ilvl w:val="0"/>
          <w:numId w:val="65"/>
        </w:numPr>
      </w:pPr>
      <w:r>
        <w:rPr>
          <w:rFonts w:hint="eastAsia"/>
        </w:rPr>
        <w:t>按坏账计提方法分类披露</w:t>
      </w:r>
    </w:p>
    <w:sdt>
      <w:sdtPr>
        <w:alias w:val="是否适用：按坏账计提方法分类披露[双击切换]"/>
        <w:tag w:val="_GBC_bb62f97adc6849f2b3d956a701e7fa7d"/>
        <w:id w:val="1228189003"/>
        <w:placeholder>
          <w:docPart w:val="GBC22222222222222222222222222222"/>
        </w:placeholder>
      </w:sdtPr>
      <w:sdtContent>
        <w:p w14:paraId="0C32D56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135EA64">
      <w:pPr>
        <w:pStyle w:val="48"/>
      </w:pPr>
    </w:p>
    <w:p w14:paraId="1B8C8B3F">
      <w:pPr>
        <w:pStyle w:val="48"/>
      </w:pPr>
      <w:r>
        <w:rPr>
          <w:rFonts w:hint="eastAsia"/>
        </w:rPr>
        <w:t>按单项计提坏账准备：</w:t>
      </w:r>
    </w:p>
    <w:sdt>
      <w:sdtPr>
        <w:alias w:val="是否适用：按单项计提坏账准备的详细情况[双击切换]"/>
        <w:tag w:val="_GBC_65f67a26c8854813ab351f644b5cb549"/>
        <w:id w:val="-849475312"/>
        <w:placeholder>
          <w:docPart w:val="GBC22222222222222222222222222222"/>
        </w:placeholder>
      </w:sdtPr>
      <w:sdtContent>
        <w:p w14:paraId="2C9C931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AFE35BE">
      <w:pPr>
        <w:pStyle w:val="48"/>
      </w:pPr>
    </w:p>
    <w:p w14:paraId="6A0EF2F8">
      <w:pPr>
        <w:pStyle w:val="48"/>
      </w:pPr>
      <w:r>
        <w:rPr>
          <w:rFonts w:hint="eastAsia"/>
        </w:rPr>
        <w:t>按单项计提坏账准备的说明：</w:t>
      </w:r>
    </w:p>
    <w:sdt>
      <w:sdtPr>
        <w:alias w:val="是否适用：按单项计提坏账准备的说明[双击切换]"/>
        <w:tag w:val="_GBC_d2e6ec1c09f24f3f8d01b46d2d307db0"/>
        <w:id w:val="-1652513769"/>
        <w:placeholder>
          <w:docPart w:val="GBC22222222222222222222222222222"/>
        </w:placeholder>
      </w:sdtPr>
      <w:sdtContent>
        <w:p w14:paraId="2572856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D9545E7">
      <w:pPr>
        <w:pStyle w:val="48"/>
      </w:pPr>
    </w:p>
    <w:p w14:paraId="0BDB386A">
      <w:pPr>
        <w:rPr>
          <w:rFonts w:ascii="Calibri" w:hAnsi="Calibri"/>
          <w:bCs/>
          <w:szCs w:val="22"/>
        </w:rPr>
      </w:pPr>
      <w:r>
        <w:rPr>
          <w:rFonts w:hint="eastAsia" w:ascii="Calibri" w:hAnsi="Calibri"/>
          <w:bCs/>
          <w:szCs w:val="22"/>
        </w:rPr>
        <w:t>按组合计提坏账准备：</w:t>
      </w:r>
    </w:p>
    <w:sdt>
      <w:sdtPr>
        <w:rPr>
          <w:rFonts w:ascii="Calibri" w:hAnsi="Calibri"/>
          <w:bCs/>
          <w:szCs w:val="22"/>
        </w:rPr>
        <w:alias w:val="是否适用：按组合计提坏账准备的详细情况[双击切换]"/>
        <w:tag w:val="_GBC_8f072c0ad15941d789bf25455711e72b"/>
        <w:id w:val="2040007151"/>
        <w:placeholder>
          <w:docPart w:val="GBC22222222222222222222222222222"/>
        </w:placeholder>
      </w:sdtPr>
      <w:sdtEndPr>
        <w:rPr>
          <w:rFonts w:ascii="Calibri" w:hAnsi="Calibri"/>
          <w:bCs/>
          <w:szCs w:val="22"/>
        </w:rPr>
      </w:sdtEndPr>
      <w:sdtContent>
        <w:p w14:paraId="13661772">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5F91A216">
      <w:pPr>
        <w:pStyle w:val="48"/>
      </w:pPr>
    </w:p>
    <w:p w14:paraId="2632BFD1">
      <w:pPr>
        <w:rPr>
          <w:rFonts w:ascii="Calibri" w:hAnsi="Calibri"/>
          <w:b/>
          <w:bCs/>
          <w:szCs w:val="22"/>
        </w:rPr>
      </w:pPr>
    </w:p>
    <w:p w14:paraId="5D7BB585">
      <w:pPr>
        <w:rPr>
          <w:rFonts w:cstheme="minorBidi"/>
          <w:bCs/>
          <w:szCs w:val="22"/>
        </w:rPr>
      </w:pPr>
      <w:bookmarkStart w:id="255" w:name="_Hlk154134692"/>
      <w:bookmarkStart w:id="256" w:name="_Hlk153372713"/>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711e992fa6a34dd7aa5a5725743204fa"/>
        <w:id w:val="-798684877"/>
        <w:placeholder>
          <w:docPart w:val="GBC22222222222222222222222222222"/>
        </w:placeholder>
      </w:sdtPr>
      <w:sdtEndPr>
        <w:rPr>
          <w:rFonts w:cstheme="minorBidi"/>
          <w:bCs/>
          <w:szCs w:val="22"/>
        </w:rPr>
      </w:sdtEndPr>
      <w:sdtContent>
        <w:p w14:paraId="73DD3A04">
          <w:pPr>
            <w:rPr>
              <w:rFonts w:cstheme="minorBidi"/>
              <w:bCs/>
              <w:szCs w:val="22"/>
            </w:rPr>
          </w:pPr>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14:paraId="35C36D9E"/>
    <w:p w14:paraId="4AD931A8">
      <w:pPr>
        <w:rPr>
          <w:rFonts w:asciiTheme="minorHAnsi" w:hAnsiTheme="minorHAnsi" w:cstheme="minorBidi"/>
          <w:b/>
          <w:bCs/>
          <w:szCs w:val="22"/>
        </w:rPr>
      </w:pPr>
    </w:p>
    <w:p w14:paraId="73CB8F99">
      <w:pPr>
        <w:pStyle w:val="38"/>
      </w:pPr>
      <w:r>
        <w:rPr>
          <w:rFonts w:hint="eastAsia"/>
        </w:rPr>
        <w:t>对本期发生损失准备变动的应收款项融资账面余额显著变动的情况说明：</w:t>
      </w:r>
    </w:p>
    <w:sdt>
      <w:sdtPr>
        <w:alias w:val="是否适用：对本期发生损失准备变动的账面余额显著变动的情况说明[双击切换]"/>
        <w:tag w:val="_GBC_14de6d8177254b0abb86a102aa2886f9"/>
        <w:id w:val="-1825038488"/>
        <w:placeholder>
          <w:docPart w:val="GBC22222222222222222222222222222"/>
        </w:placeholder>
      </w:sdtPr>
      <w:sdtContent>
        <w:p w14:paraId="22D818FF">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87BD276">
      <w:pPr>
        <w:rPr>
          <w:rFonts w:asciiTheme="minorHAnsi" w:hAnsiTheme="minorHAnsi" w:cstheme="minorBidi"/>
          <w:b/>
          <w:bCs/>
          <w:szCs w:val="22"/>
        </w:rPr>
      </w:pPr>
    </w:p>
    <w:bookmarkEnd w:id="255"/>
    <w:bookmarkEnd w:id="256"/>
    <w:p w14:paraId="314B30A5">
      <w:pPr>
        <w:pStyle w:val="5"/>
        <w:numPr>
          <w:ilvl w:val="0"/>
          <w:numId w:val="65"/>
        </w:numPr>
      </w:pPr>
      <w:r>
        <w:rPr>
          <w:rFonts w:hint="eastAsia"/>
        </w:rPr>
        <w:t>坏账准备的情况</w:t>
      </w:r>
    </w:p>
    <w:sdt>
      <w:sdtPr>
        <w:alias w:val="是否适用：坏账准备情况[双击切换]"/>
        <w:tag w:val="_GBC_9eb14f08b86f4a7096cd60413baf3092"/>
        <w:id w:val="-1594394294"/>
        <w:placeholder>
          <w:docPart w:val="GBC22222222222222222222222222222"/>
        </w:placeholder>
      </w:sdtPr>
      <w:sdtContent>
        <w:p w14:paraId="06C0342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C18ADC">
      <w:pPr>
        <w:pStyle w:val="48"/>
      </w:pPr>
    </w:p>
    <w:p w14:paraId="49524AAE">
      <w:pPr>
        <w:pStyle w:val="48"/>
      </w:pPr>
      <w:r>
        <w:rPr>
          <w:rFonts w:hint="eastAsia"/>
        </w:rPr>
        <w:t>其中本期坏账准备收回或转回金额重要的：</w:t>
      </w:r>
    </w:p>
    <w:sdt>
      <w:sdtPr>
        <w:alias w:val="是否适用：本期坏账准备收回或转回金额重要的[双击切换]"/>
        <w:tag w:val="_GBC_2b51db20288a43b39962432da30280fe"/>
        <w:id w:val="-1368367660"/>
        <w:placeholder>
          <w:docPart w:val="GBC22222222222222222222222222222"/>
        </w:placeholder>
      </w:sdtPr>
      <w:sdtContent>
        <w:p w14:paraId="65615FC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C41D79D">
      <w:pPr>
        <w:pStyle w:val="48"/>
      </w:pPr>
    </w:p>
    <w:p w14:paraId="39ECB0F5">
      <w:pPr>
        <w:ind w:right="42" w:rightChars="20"/>
      </w:pPr>
    </w:p>
    <w:p w14:paraId="519479DB">
      <w:pPr>
        <w:ind w:right="-1594" w:rightChars="-759"/>
      </w:pPr>
    </w:p>
    <w:p w14:paraId="76287DC2">
      <w:pPr>
        <w:pStyle w:val="5"/>
        <w:numPr>
          <w:ilvl w:val="0"/>
          <w:numId w:val="65"/>
        </w:numPr>
      </w:pPr>
      <w:r>
        <w:rPr>
          <w:rFonts w:hint="eastAsia"/>
        </w:rPr>
        <w:t>本期实际核销的应收款项融资情况</w:t>
      </w:r>
    </w:p>
    <w:sdt>
      <w:sdtPr>
        <w:alias w:val="是否适用：实际核销的情况[双击切换]"/>
        <w:tag w:val="_GBC_4075b47847034ec5b4b4aeeb85217687"/>
        <w:id w:val="-983687463"/>
        <w:placeholder>
          <w:docPart w:val="GBC22222222222222222222222222222"/>
        </w:placeholder>
      </w:sdtPr>
      <w:sdtContent>
        <w:p w14:paraId="5D7BE4C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8B5432C">
      <w:pPr>
        <w:pStyle w:val="48"/>
      </w:pPr>
    </w:p>
    <w:p w14:paraId="40DEEF3C">
      <w:pPr>
        <w:pStyle w:val="48"/>
      </w:pPr>
      <w:r>
        <w:rPr>
          <w:rFonts w:hint="eastAsia"/>
        </w:rPr>
        <w:t>其中重要的应收款项融资核销情况</w:t>
      </w:r>
    </w:p>
    <w:sdt>
      <w:sdtPr>
        <w:rPr>
          <w:rFonts w:hint="eastAsia"/>
        </w:rPr>
        <w:alias w:val="是否适用：重要的核销情况[双击切换]"/>
        <w:tag w:val="_GBC_a1c05dd99dc343f883b67997da317840"/>
        <w:id w:val="1035919932"/>
        <w:placeholder>
          <w:docPart w:val="GBC22222222222222222222222222222"/>
        </w:placeholder>
      </w:sdtPr>
      <w:sdtEndPr>
        <w:rPr>
          <w:rFonts w:hint="eastAsia"/>
        </w:rPr>
      </w:sdtEndPr>
      <w:sdtContent>
        <w:p w14:paraId="16D391A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D9E26B0">
      <w:pPr>
        <w:pStyle w:val="48"/>
      </w:pPr>
    </w:p>
    <w:p w14:paraId="4D66FD29">
      <w:pPr>
        <w:snapToGrid w:val="0"/>
        <w:spacing w:line="240" w:lineRule="atLeast"/>
      </w:pPr>
      <w:r>
        <w:rPr>
          <w:rFonts w:hint="eastAsia"/>
        </w:rPr>
        <w:t>核销说明：</w:t>
      </w:r>
    </w:p>
    <w:sdt>
      <w:sdtPr>
        <w:alias w:val="是否适用：核销说明[双击切换]"/>
        <w:tag w:val="_GBC_960239b4d8f94352ba13280d190272c1"/>
        <w:id w:val="-2004886355"/>
        <w:placeholder>
          <w:docPart w:val="GBC22222222222222222222222222222"/>
        </w:placeholder>
      </w:sdtPr>
      <w:sdtContent>
        <w:p w14:paraId="18DA1730">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335E32">
      <w:pPr>
        <w:pStyle w:val="48"/>
      </w:pPr>
    </w:p>
    <w:p w14:paraId="734E5D5E">
      <w:pPr>
        <w:pStyle w:val="5"/>
        <w:numPr>
          <w:ilvl w:val="0"/>
          <w:numId w:val="65"/>
        </w:numPr>
      </w:pPr>
      <w:r>
        <w:rPr>
          <w:rFonts w:hint="eastAsia"/>
        </w:rPr>
        <w:t>应收款项融资本期增减变动及公允价值变动情况：</w:t>
      </w:r>
    </w:p>
    <w:sdt>
      <w:sdtPr>
        <w:rPr>
          <w:rFonts w:hint="eastAsia"/>
        </w:rPr>
        <w:alias w:val="是否适用：应收款项融资本期增减变动及公允价值变动情况[双击切换]"/>
        <w:tag w:val="_GBC_1265a117176c43939de7d6d1e043f692"/>
        <w:id w:val="-1486555004"/>
        <w:placeholder>
          <w:docPart w:val="GBC22222222222222222222222222222"/>
        </w:placeholder>
      </w:sdtPr>
      <w:sdtEndPr>
        <w:rPr>
          <w:rFonts w:hint="eastAsia"/>
        </w:rPr>
      </w:sdtEndPr>
      <w:sdtContent>
        <w:p w14:paraId="17F8713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1A9561">
      <w:pPr>
        <w:pStyle w:val="48"/>
      </w:pPr>
    </w:p>
    <w:bookmarkEnd w:id="252"/>
    <w:bookmarkEnd w:id="253"/>
    <w:bookmarkEnd w:id="254"/>
    <w:p w14:paraId="682C7ECC">
      <w:pPr>
        <w:pStyle w:val="5"/>
        <w:numPr>
          <w:ilvl w:val="0"/>
          <w:numId w:val="65"/>
        </w:numPr>
      </w:pPr>
      <w:r>
        <w:rPr>
          <w:rFonts w:hint="eastAsia"/>
        </w:rPr>
        <w:t>其他说明</w:t>
      </w:r>
    </w:p>
    <w:sdt>
      <w:sdtPr>
        <w:rPr>
          <w:rFonts w:hint="eastAsia"/>
        </w:rPr>
        <w:alias w:val="是否适用：应收款项融资其他说明[双击切换]"/>
        <w:tag w:val="_GBC_19d5ef5dfbe64f2d98d9ab83a2e48c14"/>
        <w:id w:val="175779501"/>
        <w:placeholder>
          <w:docPart w:val="GBC22222222222222222222222222222"/>
        </w:placeholder>
      </w:sdtPr>
      <w:sdtEndPr>
        <w:rPr>
          <w:rFonts w:hint="eastAsia"/>
        </w:rPr>
      </w:sdtEndPr>
      <w:sdtContent>
        <w:p w14:paraId="0417EDA1">
          <w:pPr>
            <w:pStyle w:val="48"/>
          </w:pPr>
          <w:bookmarkStart w:id="257" w:name="_Hlk1305739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57"/>
    <w:p w14:paraId="5C59B2AF">
      <w:pPr>
        <w:pStyle w:val="48"/>
      </w:pPr>
    </w:p>
    <w:p w14:paraId="645C5892">
      <w:pPr>
        <w:pStyle w:val="4"/>
        <w:numPr>
          <w:ilvl w:val="0"/>
          <w:numId w:val="61"/>
        </w:numPr>
        <w:rPr>
          <w:szCs w:val="21"/>
        </w:rPr>
      </w:pPr>
      <w:r>
        <w:rPr>
          <w:szCs w:val="21"/>
        </w:rPr>
        <w:t>预付款项</w:t>
      </w:r>
    </w:p>
    <w:p w14:paraId="7488E27D">
      <w:pPr>
        <w:pStyle w:val="5"/>
        <w:numPr>
          <w:ilvl w:val="3"/>
          <w:numId w:val="66"/>
        </w:numPr>
        <w:ind w:left="426" w:hanging="426"/>
      </w:pPr>
      <w:r>
        <w:rPr>
          <w:rFonts w:hint="eastAsia"/>
        </w:rPr>
        <w:t>预付款项按账龄列示</w:t>
      </w:r>
    </w:p>
    <w:sdt>
      <w:sdtPr>
        <w:rPr>
          <w:rFonts w:hint="eastAsia"/>
        </w:rPr>
        <w:alias w:val="是否适用：预付款项按账龄列示[双击切换]"/>
        <w:tag w:val="_GBC_9c50af2eedb44a33921bab4a9f5ef35c"/>
        <w:id w:val="1212618897"/>
        <w:placeholder>
          <w:docPart w:val="GBC22222222222222222222222222222"/>
        </w:placeholder>
      </w:sdtPr>
      <w:sdtEndPr>
        <w:rPr>
          <w:rFonts w:hint="eastAsia"/>
        </w:rPr>
      </w:sdtEndPr>
      <w:sdtContent>
        <w:p w14:paraId="30439AF5">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7B6E04">
      <w:pPr>
        <w:jc w:val="right"/>
        <w:rPr>
          <w:b/>
        </w:rPr>
      </w:pPr>
      <w:r>
        <w:rPr>
          <w:rFonts w:hint="eastAsia"/>
        </w:rPr>
        <w:t>单位：</w:t>
      </w:r>
      <w:sdt>
        <w:sdtPr>
          <w:rPr>
            <w:rFonts w:hint="eastAsia"/>
          </w:rPr>
          <w:alias w:val="单位：财务附注：预付账款账龄"/>
          <w:tag w:val="_GBC_25e874c523c14d528beabbdb96c27981"/>
          <w:id w:val="-13633618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预付账款账龄"/>
          <w:tag w:val="_GBC_5fd49f072b7e406886d7d66537c647e5"/>
          <w:id w:val="-10351095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386"/>
        <w:gridCol w:w="1925"/>
        <w:gridCol w:w="1912"/>
        <w:gridCol w:w="1909"/>
        <w:gridCol w:w="1926"/>
      </w:tblGrid>
      <w:tr w14:paraId="204A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37" w:hRule="atLeast"/>
        </w:trPr>
        <w:sdt>
          <w:sdtPr>
            <w:tag w:val="_PLD_497c76328aa14442bd9ed8d02efaffdc"/>
            <w:id w:val="1347986171"/>
          </w:sdtPr>
          <w:sdtContent>
            <w:tc>
              <w:tcPr>
                <w:tcW w:w="1386" w:type="dxa"/>
                <w:vMerge w:val="restart"/>
                <w:vAlign w:val="center"/>
              </w:tcPr>
              <w:p w14:paraId="5B643AEB">
                <w:pPr>
                  <w:ind w:right="5"/>
                  <w:jc w:val="center"/>
                  <w:rPr>
                    <w:rFonts w:ascii="Calibri" w:hAnsi="Calibri"/>
                    <w:sz w:val="20"/>
                    <w:szCs w:val="20"/>
                  </w:rPr>
                </w:pPr>
                <w:r>
                  <w:rPr>
                    <w:rFonts w:hint="eastAsia" w:ascii="Calibri" w:hAnsi="Calibri"/>
                    <w:sz w:val="20"/>
                    <w:szCs w:val="20"/>
                  </w:rPr>
                  <w:t>账龄</w:t>
                </w:r>
              </w:p>
            </w:tc>
          </w:sdtContent>
        </w:sdt>
        <w:sdt>
          <w:sdtPr>
            <w:tag w:val="_PLD_3c7cef9fd55549768916decb59114918"/>
            <w:id w:val="-884948866"/>
          </w:sdtPr>
          <w:sdtContent>
            <w:tc>
              <w:tcPr>
                <w:tcW w:w="3837" w:type="dxa"/>
                <w:gridSpan w:val="2"/>
                <w:vAlign w:val="center"/>
              </w:tcPr>
              <w:p w14:paraId="17AC7F3B">
                <w:pPr>
                  <w:ind w:right="5"/>
                  <w:jc w:val="center"/>
                  <w:rPr>
                    <w:rFonts w:ascii="Calibri" w:hAnsi="Calibri"/>
                    <w:sz w:val="20"/>
                    <w:szCs w:val="20"/>
                  </w:rPr>
                </w:pPr>
                <w:r>
                  <w:rPr>
                    <w:rFonts w:hint="eastAsia" w:ascii="Calibri" w:hAnsi="Calibri"/>
                    <w:sz w:val="20"/>
                    <w:szCs w:val="20"/>
                  </w:rPr>
                  <w:t>期末余额</w:t>
                </w:r>
              </w:p>
            </w:tc>
          </w:sdtContent>
        </w:sdt>
        <w:sdt>
          <w:sdtPr>
            <w:tag w:val="_PLD_3338d9aea932468fa8faa1bef2db4526"/>
            <w:id w:val="144013787"/>
          </w:sdtPr>
          <w:sdtContent>
            <w:tc>
              <w:tcPr>
                <w:tcW w:w="3835" w:type="dxa"/>
                <w:gridSpan w:val="2"/>
                <w:vAlign w:val="center"/>
              </w:tcPr>
              <w:p w14:paraId="5544BC19">
                <w:pPr>
                  <w:ind w:right="5"/>
                  <w:jc w:val="center"/>
                  <w:rPr>
                    <w:rFonts w:ascii="Calibri" w:hAnsi="Calibri"/>
                    <w:sz w:val="20"/>
                    <w:szCs w:val="20"/>
                  </w:rPr>
                </w:pPr>
                <w:r>
                  <w:rPr>
                    <w:rFonts w:hint="eastAsia" w:ascii="Calibri" w:hAnsi="Calibri"/>
                    <w:sz w:val="20"/>
                    <w:szCs w:val="20"/>
                  </w:rPr>
                  <w:t>期初余额</w:t>
                </w:r>
              </w:p>
            </w:tc>
          </w:sdtContent>
        </w:sdt>
      </w:tr>
      <w:tr w14:paraId="0BF0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86" w:type="dxa"/>
            <w:vMerge w:val="continue"/>
            <w:vAlign w:val="center"/>
          </w:tcPr>
          <w:p w14:paraId="57DED316">
            <w:pPr>
              <w:pStyle w:val="48"/>
              <w:rPr>
                <w:sz w:val="20"/>
                <w:szCs w:val="20"/>
              </w:rPr>
            </w:pPr>
          </w:p>
        </w:tc>
        <w:sdt>
          <w:sdtPr>
            <w:tag w:val="_PLD_2b1b05d61c574fe485d979f04a81c8c9"/>
            <w:id w:val="875201898"/>
          </w:sdtPr>
          <w:sdtContent>
            <w:tc>
              <w:tcPr>
                <w:tcW w:w="1925" w:type="dxa"/>
                <w:vAlign w:val="center"/>
              </w:tcPr>
              <w:p w14:paraId="75D2EEE8">
                <w:pPr>
                  <w:ind w:right="5"/>
                  <w:jc w:val="center"/>
                  <w:rPr>
                    <w:rFonts w:ascii="Calibri" w:hAnsi="Calibri"/>
                    <w:sz w:val="20"/>
                    <w:szCs w:val="20"/>
                  </w:rPr>
                </w:pPr>
                <w:r>
                  <w:rPr>
                    <w:rFonts w:hint="eastAsia" w:ascii="Calibri" w:hAnsi="Calibri"/>
                    <w:sz w:val="20"/>
                    <w:szCs w:val="20"/>
                  </w:rPr>
                  <w:t>金额</w:t>
                </w:r>
              </w:p>
            </w:tc>
          </w:sdtContent>
        </w:sdt>
        <w:sdt>
          <w:sdtPr>
            <w:tag w:val="_PLD_7faf25028eff45ce8c6bf33a9060f296"/>
            <w:id w:val="-2126680891"/>
          </w:sdtPr>
          <w:sdtContent>
            <w:tc>
              <w:tcPr>
                <w:tcW w:w="1912" w:type="dxa"/>
                <w:vAlign w:val="center"/>
              </w:tcPr>
              <w:p w14:paraId="0BD4C676">
                <w:pPr>
                  <w:ind w:right="5"/>
                  <w:jc w:val="center"/>
                  <w:rPr>
                    <w:rFonts w:ascii="Calibri" w:hAnsi="Calibri"/>
                    <w:sz w:val="20"/>
                    <w:szCs w:val="20"/>
                  </w:rPr>
                </w:pPr>
                <w:r>
                  <w:rPr>
                    <w:rFonts w:hint="eastAsia" w:ascii="Calibri" w:hAnsi="Calibri"/>
                    <w:sz w:val="20"/>
                    <w:szCs w:val="20"/>
                  </w:rPr>
                  <w:t>比例</w:t>
                </w:r>
                <w:r>
                  <w:rPr>
                    <w:rFonts w:ascii="Calibri" w:hAnsi="Calibri"/>
                    <w:sz w:val="20"/>
                    <w:szCs w:val="20"/>
                  </w:rPr>
                  <w:t>(%)</w:t>
                </w:r>
              </w:p>
            </w:tc>
          </w:sdtContent>
        </w:sdt>
        <w:sdt>
          <w:sdtPr>
            <w:tag w:val="_PLD_56219e7f20ba4e60b1a3edd32c1c534e"/>
            <w:id w:val="679242238"/>
          </w:sdtPr>
          <w:sdtContent>
            <w:tc>
              <w:tcPr>
                <w:tcW w:w="1909" w:type="dxa"/>
                <w:vAlign w:val="center"/>
              </w:tcPr>
              <w:p w14:paraId="24AE9F38">
                <w:pPr>
                  <w:ind w:right="5"/>
                  <w:jc w:val="center"/>
                  <w:rPr>
                    <w:rFonts w:ascii="Calibri" w:hAnsi="Calibri"/>
                    <w:sz w:val="20"/>
                    <w:szCs w:val="20"/>
                  </w:rPr>
                </w:pPr>
                <w:r>
                  <w:rPr>
                    <w:rFonts w:hint="eastAsia" w:ascii="Calibri" w:hAnsi="Calibri"/>
                    <w:sz w:val="20"/>
                    <w:szCs w:val="20"/>
                  </w:rPr>
                  <w:t>金额</w:t>
                </w:r>
              </w:p>
            </w:tc>
          </w:sdtContent>
        </w:sdt>
        <w:sdt>
          <w:sdtPr>
            <w:tag w:val="_PLD_430fca228ced43ada83018b2091f7abf"/>
            <w:id w:val="-1892111892"/>
          </w:sdtPr>
          <w:sdtContent>
            <w:tc>
              <w:tcPr>
                <w:tcW w:w="1926" w:type="dxa"/>
                <w:vAlign w:val="center"/>
              </w:tcPr>
              <w:p w14:paraId="59664AB9">
                <w:pPr>
                  <w:ind w:right="5"/>
                  <w:jc w:val="center"/>
                  <w:rPr>
                    <w:rFonts w:ascii="Calibri" w:hAnsi="Calibri"/>
                    <w:sz w:val="20"/>
                    <w:szCs w:val="20"/>
                  </w:rPr>
                </w:pPr>
                <w:r>
                  <w:rPr>
                    <w:rFonts w:hint="eastAsia" w:ascii="Calibri" w:hAnsi="Calibri"/>
                    <w:sz w:val="20"/>
                    <w:szCs w:val="20"/>
                  </w:rPr>
                  <w:t>比例</w:t>
                </w:r>
                <w:r>
                  <w:rPr>
                    <w:rFonts w:ascii="Calibri" w:hAnsi="Calibri"/>
                    <w:sz w:val="20"/>
                    <w:szCs w:val="20"/>
                  </w:rPr>
                  <w:t>(%)</w:t>
                </w:r>
              </w:p>
            </w:tc>
          </w:sdtContent>
        </w:sdt>
      </w:tr>
      <w:tr w14:paraId="203C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99" w:hRule="atLeast"/>
        </w:trPr>
        <w:tc>
          <w:tcPr>
            <w:tcW w:w="1386" w:type="dxa"/>
            <w:vAlign w:val="center"/>
          </w:tcPr>
          <w:p w14:paraId="63DAB79E">
            <w:pPr>
              <w:ind w:right="5"/>
              <w:rPr>
                <w:rFonts w:ascii="Calibri" w:hAnsi="Calibri"/>
                <w:sz w:val="20"/>
                <w:szCs w:val="20"/>
              </w:rPr>
            </w:pPr>
            <w:r>
              <w:rPr>
                <w:rFonts w:hint="eastAsia" w:ascii="Calibri" w:hAnsi="Calibri"/>
                <w:sz w:val="20"/>
                <w:szCs w:val="20"/>
              </w:rPr>
              <w:t>1年以内</w:t>
            </w:r>
          </w:p>
        </w:tc>
        <w:tc>
          <w:tcPr>
            <w:tcW w:w="1925" w:type="dxa"/>
            <w:vAlign w:val="center"/>
          </w:tcPr>
          <w:p w14:paraId="202B8F9F">
            <w:pPr>
              <w:ind w:right="5"/>
              <w:jc w:val="right"/>
              <w:rPr>
                <w:rFonts w:ascii="Calibri" w:hAnsi="Calibri"/>
                <w:sz w:val="20"/>
                <w:szCs w:val="20"/>
              </w:rPr>
            </w:pPr>
            <w:r>
              <w:rPr>
                <w:rFonts w:ascii="Calibri" w:hAnsi="Calibri"/>
                <w:sz w:val="20"/>
                <w:szCs w:val="20"/>
              </w:rPr>
              <w:t>37,953,473.45</w:t>
            </w:r>
          </w:p>
        </w:tc>
        <w:tc>
          <w:tcPr>
            <w:tcW w:w="1912" w:type="dxa"/>
            <w:vAlign w:val="center"/>
          </w:tcPr>
          <w:p w14:paraId="423EC360">
            <w:pPr>
              <w:ind w:right="5"/>
              <w:jc w:val="right"/>
              <w:rPr>
                <w:rFonts w:ascii="Calibri" w:hAnsi="Calibri"/>
                <w:sz w:val="20"/>
                <w:szCs w:val="20"/>
              </w:rPr>
            </w:pPr>
            <w:r>
              <w:rPr>
                <w:rFonts w:ascii="Calibri" w:hAnsi="Calibri"/>
                <w:sz w:val="20"/>
                <w:szCs w:val="20"/>
              </w:rPr>
              <w:t>97.54</w:t>
            </w:r>
          </w:p>
        </w:tc>
        <w:tc>
          <w:tcPr>
            <w:tcW w:w="1909" w:type="dxa"/>
            <w:vAlign w:val="center"/>
          </w:tcPr>
          <w:p w14:paraId="1A4EBEBC">
            <w:pPr>
              <w:ind w:right="5"/>
              <w:jc w:val="right"/>
              <w:rPr>
                <w:rFonts w:ascii="Calibri" w:hAnsi="Calibri"/>
                <w:sz w:val="20"/>
                <w:szCs w:val="20"/>
              </w:rPr>
            </w:pPr>
            <w:r>
              <w:rPr>
                <w:rFonts w:ascii="Calibri" w:hAnsi="Calibri"/>
                <w:sz w:val="20"/>
                <w:szCs w:val="20"/>
              </w:rPr>
              <w:t>27,715,180.79</w:t>
            </w:r>
          </w:p>
        </w:tc>
        <w:tc>
          <w:tcPr>
            <w:tcW w:w="1926" w:type="dxa"/>
            <w:vAlign w:val="center"/>
          </w:tcPr>
          <w:p w14:paraId="56B31B2D">
            <w:pPr>
              <w:ind w:right="5"/>
              <w:jc w:val="right"/>
              <w:rPr>
                <w:rFonts w:ascii="Calibri" w:hAnsi="Calibri"/>
                <w:sz w:val="20"/>
                <w:szCs w:val="20"/>
              </w:rPr>
            </w:pPr>
            <w:r>
              <w:rPr>
                <w:rFonts w:ascii="Calibri" w:hAnsi="Calibri"/>
                <w:sz w:val="20"/>
                <w:szCs w:val="20"/>
              </w:rPr>
              <w:t>97.71</w:t>
            </w:r>
          </w:p>
        </w:tc>
      </w:tr>
      <w:tr w14:paraId="72AA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86" w:type="dxa"/>
            <w:vAlign w:val="center"/>
          </w:tcPr>
          <w:p w14:paraId="538CD2A6">
            <w:pPr>
              <w:ind w:right="5"/>
              <w:rPr>
                <w:rFonts w:ascii="Calibri" w:hAnsi="Calibri"/>
                <w:sz w:val="20"/>
                <w:szCs w:val="20"/>
              </w:rPr>
            </w:pPr>
            <w:r>
              <w:rPr>
                <w:rFonts w:hint="eastAsia" w:ascii="Calibri" w:hAnsi="Calibri"/>
                <w:sz w:val="20"/>
                <w:szCs w:val="20"/>
              </w:rPr>
              <w:t>1至2年</w:t>
            </w:r>
          </w:p>
        </w:tc>
        <w:tc>
          <w:tcPr>
            <w:tcW w:w="1925" w:type="dxa"/>
            <w:vAlign w:val="center"/>
          </w:tcPr>
          <w:p w14:paraId="7C689F65">
            <w:pPr>
              <w:ind w:right="5"/>
              <w:jc w:val="right"/>
              <w:rPr>
                <w:rFonts w:ascii="Calibri" w:hAnsi="Calibri"/>
                <w:sz w:val="20"/>
                <w:szCs w:val="20"/>
              </w:rPr>
            </w:pPr>
            <w:r>
              <w:rPr>
                <w:rFonts w:ascii="Calibri" w:hAnsi="Calibri"/>
                <w:sz w:val="20"/>
                <w:szCs w:val="20"/>
              </w:rPr>
              <w:t>821,000.00</w:t>
            </w:r>
          </w:p>
        </w:tc>
        <w:tc>
          <w:tcPr>
            <w:tcW w:w="1912" w:type="dxa"/>
            <w:vAlign w:val="center"/>
          </w:tcPr>
          <w:p w14:paraId="53D3FEF9">
            <w:pPr>
              <w:ind w:right="5"/>
              <w:jc w:val="right"/>
              <w:rPr>
                <w:rFonts w:ascii="Calibri" w:hAnsi="Calibri"/>
                <w:sz w:val="20"/>
                <w:szCs w:val="20"/>
              </w:rPr>
            </w:pPr>
            <w:r>
              <w:rPr>
                <w:rFonts w:ascii="Calibri" w:hAnsi="Calibri"/>
                <w:sz w:val="20"/>
                <w:szCs w:val="20"/>
              </w:rPr>
              <w:t>2.11</w:t>
            </w:r>
          </w:p>
        </w:tc>
        <w:tc>
          <w:tcPr>
            <w:tcW w:w="1909" w:type="dxa"/>
            <w:vAlign w:val="center"/>
          </w:tcPr>
          <w:p w14:paraId="4B9279A1">
            <w:pPr>
              <w:ind w:right="5"/>
              <w:jc w:val="right"/>
              <w:rPr>
                <w:rFonts w:ascii="Calibri" w:hAnsi="Calibri"/>
                <w:sz w:val="20"/>
                <w:szCs w:val="20"/>
              </w:rPr>
            </w:pPr>
            <w:r>
              <w:rPr>
                <w:rFonts w:ascii="Calibri" w:hAnsi="Calibri"/>
                <w:sz w:val="20"/>
                <w:szCs w:val="20"/>
              </w:rPr>
              <w:t>360,945.73</w:t>
            </w:r>
          </w:p>
        </w:tc>
        <w:tc>
          <w:tcPr>
            <w:tcW w:w="1926" w:type="dxa"/>
            <w:vAlign w:val="center"/>
          </w:tcPr>
          <w:p w14:paraId="69D71053">
            <w:pPr>
              <w:ind w:right="5"/>
              <w:jc w:val="right"/>
              <w:rPr>
                <w:rFonts w:ascii="Calibri" w:hAnsi="Calibri"/>
                <w:sz w:val="20"/>
                <w:szCs w:val="20"/>
              </w:rPr>
            </w:pPr>
            <w:r>
              <w:rPr>
                <w:rFonts w:ascii="Calibri" w:hAnsi="Calibri"/>
                <w:sz w:val="20"/>
                <w:szCs w:val="20"/>
              </w:rPr>
              <w:t>1.27</w:t>
            </w:r>
          </w:p>
        </w:tc>
      </w:tr>
      <w:tr w14:paraId="66FF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86" w:type="dxa"/>
            <w:vAlign w:val="center"/>
          </w:tcPr>
          <w:p w14:paraId="57F77449">
            <w:pPr>
              <w:ind w:right="5"/>
              <w:rPr>
                <w:rFonts w:ascii="Calibri" w:hAnsi="Calibri"/>
                <w:sz w:val="20"/>
                <w:szCs w:val="20"/>
              </w:rPr>
            </w:pPr>
            <w:r>
              <w:rPr>
                <w:rFonts w:hint="eastAsia" w:ascii="Calibri" w:hAnsi="Calibri"/>
                <w:sz w:val="20"/>
                <w:szCs w:val="20"/>
              </w:rPr>
              <w:t>2至3年</w:t>
            </w:r>
          </w:p>
        </w:tc>
        <w:tc>
          <w:tcPr>
            <w:tcW w:w="1925" w:type="dxa"/>
            <w:vAlign w:val="center"/>
          </w:tcPr>
          <w:p w14:paraId="164ED3B7">
            <w:pPr>
              <w:ind w:right="5"/>
              <w:jc w:val="right"/>
              <w:rPr>
                <w:rFonts w:ascii="Calibri" w:hAnsi="Calibri"/>
                <w:sz w:val="20"/>
                <w:szCs w:val="20"/>
              </w:rPr>
            </w:pPr>
            <w:r>
              <w:rPr>
                <w:rFonts w:ascii="Calibri" w:hAnsi="Calibri"/>
                <w:sz w:val="20"/>
                <w:szCs w:val="20"/>
              </w:rPr>
              <w:t>71,536.00</w:t>
            </w:r>
          </w:p>
        </w:tc>
        <w:tc>
          <w:tcPr>
            <w:tcW w:w="1912" w:type="dxa"/>
            <w:vAlign w:val="center"/>
          </w:tcPr>
          <w:p w14:paraId="37CE6153">
            <w:pPr>
              <w:ind w:right="5"/>
              <w:jc w:val="right"/>
              <w:rPr>
                <w:rFonts w:ascii="Calibri" w:hAnsi="Calibri"/>
                <w:sz w:val="20"/>
                <w:szCs w:val="20"/>
              </w:rPr>
            </w:pPr>
            <w:r>
              <w:rPr>
                <w:rFonts w:ascii="Calibri" w:hAnsi="Calibri"/>
                <w:sz w:val="20"/>
                <w:szCs w:val="20"/>
              </w:rPr>
              <w:t>0.18</w:t>
            </w:r>
          </w:p>
        </w:tc>
        <w:tc>
          <w:tcPr>
            <w:tcW w:w="1909" w:type="dxa"/>
            <w:vAlign w:val="center"/>
          </w:tcPr>
          <w:p w14:paraId="1DD59C6D">
            <w:pPr>
              <w:ind w:right="5"/>
              <w:jc w:val="right"/>
              <w:rPr>
                <w:rFonts w:ascii="Calibri" w:hAnsi="Calibri"/>
                <w:sz w:val="20"/>
                <w:szCs w:val="20"/>
              </w:rPr>
            </w:pPr>
            <w:r>
              <w:rPr>
                <w:rFonts w:ascii="Calibri" w:hAnsi="Calibri"/>
                <w:sz w:val="20"/>
                <w:szCs w:val="20"/>
              </w:rPr>
              <w:t>283,539.60</w:t>
            </w:r>
          </w:p>
        </w:tc>
        <w:tc>
          <w:tcPr>
            <w:tcW w:w="1926" w:type="dxa"/>
            <w:vAlign w:val="center"/>
          </w:tcPr>
          <w:p w14:paraId="477476DC">
            <w:pPr>
              <w:ind w:right="5"/>
              <w:jc w:val="right"/>
              <w:rPr>
                <w:rFonts w:ascii="Calibri" w:hAnsi="Calibri"/>
                <w:sz w:val="20"/>
                <w:szCs w:val="20"/>
              </w:rPr>
            </w:pPr>
            <w:r>
              <w:rPr>
                <w:rFonts w:ascii="Calibri" w:hAnsi="Calibri"/>
                <w:sz w:val="20"/>
                <w:szCs w:val="20"/>
              </w:rPr>
              <w:t>1.00</w:t>
            </w:r>
          </w:p>
        </w:tc>
      </w:tr>
      <w:tr w14:paraId="614B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86" w:type="dxa"/>
            <w:vAlign w:val="center"/>
          </w:tcPr>
          <w:p w14:paraId="7C094A5F">
            <w:pPr>
              <w:ind w:right="5"/>
              <w:rPr>
                <w:rFonts w:ascii="Calibri" w:hAnsi="Calibri"/>
                <w:sz w:val="20"/>
                <w:szCs w:val="20"/>
              </w:rPr>
            </w:pPr>
            <w:r>
              <w:rPr>
                <w:rFonts w:hint="eastAsia" w:ascii="Calibri" w:hAnsi="Calibri"/>
                <w:sz w:val="20"/>
                <w:szCs w:val="20"/>
              </w:rPr>
              <w:t>3年以上</w:t>
            </w:r>
          </w:p>
        </w:tc>
        <w:tc>
          <w:tcPr>
            <w:tcW w:w="1925" w:type="dxa"/>
            <w:vAlign w:val="center"/>
          </w:tcPr>
          <w:p w14:paraId="3E48064E">
            <w:pPr>
              <w:ind w:right="5"/>
              <w:jc w:val="right"/>
              <w:rPr>
                <w:rFonts w:ascii="Calibri" w:hAnsi="Calibri"/>
                <w:sz w:val="20"/>
                <w:szCs w:val="20"/>
              </w:rPr>
            </w:pPr>
            <w:r>
              <w:rPr>
                <w:rFonts w:ascii="Calibri" w:hAnsi="Calibri"/>
                <w:sz w:val="20"/>
                <w:szCs w:val="20"/>
              </w:rPr>
              <w:t>65,561.60</w:t>
            </w:r>
          </w:p>
        </w:tc>
        <w:tc>
          <w:tcPr>
            <w:tcW w:w="1912" w:type="dxa"/>
            <w:vAlign w:val="center"/>
          </w:tcPr>
          <w:p w14:paraId="089496E4">
            <w:pPr>
              <w:ind w:right="5"/>
              <w:jc w:val="right"/>
              <w:rPr>
                <w:rFonts w:ascii="Calibri" w:hAnsi="Calibri"/>
                <w:sz w:val="20"/>
                <w:szCs w:val="20"/>
              </w:rPr>
            </w:pPr>
            <w:r>
              <w:rPr>
                <w:rFonts w:ascii="Calibri" w:hAnsi="Calibri"/>
                <w:sz w:val="20"/>
                <w:szCs w:val="20"/>
              </w:rPr>
              <w:t>0.17</w:t>
            </w:r>
          </w:p>
        </w:tc>
        <w:tc>
          <w:tcPr>
            <w:tcW w:w="1909" w:type="dxa"/>
            <w:vAlign w:val="center"/>
          </w:tcPr>
          <w:p w14:paraId="017896E5">
            <w:pPr>
              <w:ind w:right="5"/>
              <w:jc w:val="right"/>
              <w:rPr>
                <w:rFonts w:ascii="Calibri" w:hAnsi="Calibri"/>
                <w:sz w:val="20"/>
                <w:szCs w:val="20"/>
              </w:rPr>
            </w:pPr>
            <w:r>
              <w:rPr>
                <w:rFonts w:ascii="Calibri" w:hAnsi="Calibri"/>
                <w:sz w:val="20"/>
                <w:szCs w:val="20"/>
              </w:rPr>
              <w:t>5,697.00</w:t>
            </w:r>
          </w:p>
        </w:tc>
        <w:tc>
          <w:tcPr>
            <w:tcW w:w="1926" w:type="dxa"/>
            <w:vAlign w:val="center"/>
          </w:tcPr>
          <w:p w14:paraId="26A0BC3A">
            <w:pPr>
              <w:ind w:right="5"/>
              <w:jc w:val="right"/>
              <w:rPr>
                <w:rFonts w:ascii="Calibri" w:hAnsi="Calibri"/>
                <w:sz w:val="20"/>
                <w:szCs w:val="20"/>
              </w:rPr>
            </w:pPr>
            <w:r>
              <w:rPr>
                <w:rFonts w:ascii="Calibri" w:hAnsi="Calibri"/>
                <w:sz w:val="20"/>
                <w:szCs w:val="20"/>
              </w:rPr>
              <w:t>0.02</w:t>
            </w:r>
          </w:p>
        </w:tc>
      </w:tr>
      <w:tr w14:paraId="6580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86" w:type="dxa"/>
            <w:vAlign w:val="center"/>
          </w:tcPr>
          <w:p w14:paraId="4C543EAA">
            <w:pPr>
              <w:ind w:right="5"/>
              <w:jc w:val="center"/>
              <w:rPr>
                <w:rFonts w:ascii="Calibri" w:hAnsi="Calibri"/>
                <w:sz w:val="20"/>
                <w:szCs w:val="20"/>
              </w:rPr>
            </w:pPr>
            <w:r>
              <w:rPr>
                <w:rFonts w:hint="eastAsia" w:ascii="Calibri" w:hAnsi="Calibri"/>
                <w:sz w:val="20"/>
                <w:szCs w:val="20"/>
              </w:rPr>
              <w:t>合计</w:t>
            </w:r>
          </w:p>
        </w:tc>
        <w:tc>
          <w:tcPr>
            <w:tcW w:w="1925" w:type="dxa"/>
            <w:vAlign w:val="center"/>
          </w:tcPr>
          <w:p w14:paraId="2C5E0896">
            <w:pPr>
              <w:ind w:right="5"/>
              <w:jc w:val="right"/>
              <w:rPr>
                <w:rFonts w:ascii="Calibri" w:hAnsi="Calibri"/>
                <w:sz w:val="20"/>
                <w:szCs w:val="20"/>
              </w:rPr>
            </w:pPr>
            <w:r>
              <w:rPr>
                <w:rFonts w:ascii="Calibri" w:hAnsi="Calibri"/>
                <w:sz w:val="20"/>
                <w:szCs w:val="20"/>
              </w:rPr>
              <w:t>38,911,571.05</w:t>
            </w:r>
          </w:p>
        </w:tc>
        <w:tc>
          <w:tcPr>
            <w:tcW w:w="1912" w:type="dxa"/>
            <w:vAlign w:val="center"/>
          </w:tcPr>
          <w:p w14:paraId="39171388">
            <w:pPr>
              <w:ind w:right="5"/>
              <w:jc w:val="right"/>
              <w:rPr>
                <w:rFonts w:ascii="Calibri" w:hAnsi="Calibri"/>
                <w:sz w:val="20"/>
                <w:szCs w:val="20"/>
              </w:rPr>
            </w:pPr>
            <w:r>
              <w:rPr>
                <w:rFonts w:ascii="Calibri" w:hAnsi="Calibri"/>
                <w:sz w:val="20"/>
                <w:szCs w:val="20"/>
              </w:rPr>
              <w:t>100.00</w:t>
            </w:r>
          </w:p>
        </w:tc>
        <w:tc>
          <w:tcPr>
            <w:tcW w:w="1909" w:type="dxa"/>
            <w:vAlign w:val="center"/>
          </w:tcPr>
          <w:p w14:paraId="1CD452F4">
            <w:pPr>
              <w:ind w:right="5"/>
              <w:jc w:val="right"/>
              <w:rPr>
                <w:rFonts w:ascii="Calibri" w:hAnsi="Calibri"/>
                <w:sz w:val="20"/>
                <w:szCs w:val="20"/>
              </w:rPr>
            </w:pPr>
            <w:r>
              <w:rPr>
                <w:rFonts w:ascii="Calibri" w:hAnsi="Calibri"/>
                <w:sz w:val="20"/>
                <w:szCs w:val="20"/>
              </w:rPr>
              <w:t>28,365,363.12</w:t>
            </w:r>
          </w:p>
        </w:tc>
        <w:tc>
          <w:tcPr>
            <w:tcW w:w="1926" w:type="dxa"/>
            <w:vAlign w:val="center"/>
          </w:tcPr>
          <w:p w14:paraId="6547F388">
            <w:pPr>
              <w:ind w:right="5"/>
              <w:jc w:val="right"/>
              <w:rPr>
                <w:rFonts w:ascii="Calibri" w:hAnsi="Calibri"/>
                <w:sz w:val="20"/>
                <w:szCs w:val="20"/>
              </w:rPr>
            </w:pPr>
            <w:r>
              <w:rPr>
                <w:rFonts w:ascii="Calibri" w:hAnsi="Calibri"/>
                <w:sz w:val="20"/>
                <w:szCs w:val="20"/>
              </w:rPr>
              <w:t>100.00</w:t>
            </w:r>
          </w:p>
        </w:tc>
      </w:tr>
    </w:tbl>
    <w:p w14:paraId="2D816A15">
      <w:pPr>
        <w:pStyle w:val="48"/>
      </w:pPr>
    </w:p>
    <w:p w14:paraId="2F5321D9">
      <w:pPr>
        <w:pStyle w:val="48"/>
      </w:pPr>
    </w:p>
    <w:p w14:paraId="042F82CD">
      <w:pPr>
        <w:pStyle w:val="5"/>
        <w:numPr>
          <w:ilvl w:val="3"/>
          <w:numId w:val="66"/>
        </w:numPr>
        <w:ind w:left="426" w:hanging="426"/>
      </w:pPr>
      <w:r>
        <w:rPr>
          <w:rFonts w:hint="eastAsia"/>
        </w:rPr>
        <w:t>按预付对象归集的期末余额前五名的预付款情况</w:t>
      </w:r>
    </w:p>
    <w:sdt>
      <w:sdtPr>
        <w:rPr>
          <w:rFonts w:hint="eastAsia"/>
        </w:rPr>
        <w:alias w:val="是否适用：按预付对象归集的期末余额前五名的预付款情况[双击切换]"/>
        <w:tag w:val="_GBC_6359dc471e0a406c8706681c2db6e149"/>
        <w:id w:val="-8998040"/>
        <w:placeholder>
          <w:docPart w:val="GBC22222222222222222222222222222"/>
        </w:placeholder>
      </w:sdtPr>
      <w:sdtEndPr>
        <w:rPr>
          <w:rFonts w:hint="eastAsia"/>
        </w:rPr>
      </w:sdtEndPr>
      <w:sdtContent>
        <w:p w14:paraId="540EB138">
          <w:pPr>
            <w:snapToGrid w:val="0"/>
            <w:spacing w:line="240" w:lineRule="atLeast"/>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CF3C306">
      <w:pPr>
        <w:snapToGrid w:val="0"/>
        <w:spacing w:line="240" w:lineRule="atLeast"/>
        <w:jc w:val="right"/>
      </w:pPr>
      <w:r>
        <w:rPr>
          <w:rFonts w:hint="eastAsia"/>
        </w:rPr>
        <w:t>单位：</w:t>
      </w:r>
      <w:sdt>
        <w:sdtPr>
          <w:rPr>
            <w:rFonts w:hint="eastAsia"/>
          </w:rPr>
          <w:alias w:val="单位：按预付对象归集的期末余额前五名的预付款情况"/>
          <w:tag w:val="_GBC_1bbaf3870d2242f8a1ec8260382d458c"/>
          <w:id w:val="-5632400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按预付对象归集的期末余额前五名的预付款情况"/>
          <w:tag w:val="_GBC_77617525e63041b99aaabf038d02c871"/>
          <w:id w:val="1349916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1"/>
        <w:gridCol w:w="3013"/>
        <w:gridCol w:w="3013"/>
      </w:tblGrid>
      <w:tr w14:paraId="5B05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ab17d7ae0014b6192c9dd0e6d3d3a25"/>
            <w:id w:val="750860402"/>
          </w:sdtPr>
          <w:sdtContent>
            <w:tc>
              <w:tcPr>
                <w:tcW w:w="3011" w:type="dxa"/>
                <w:vAlign w:val="center"/>
              </w:tcPr>
              <w:p w14:paraId="3D69F267">
                <w:pPr>
                  <w:ind w:right="105"/>
                  <w:jc w:val="center"/>
                  <w:rPr>
                    <w:rFonts w:ascii="Calibri" w:hAnsi="Calibri"/>
                    <w:sz w:val="20"/>
                    <w:szCs w:val="20"/>
                  </w:rPr>
                </w:pPr>
                <w:r>
                  <w:rPr>
                    <w:rFonts w:hint="eastAsia" w:ascii="Calibri" w:hAnsi="Calibri"/>
                    <w:sz w:val="20"/>
                    <w:szCs w:val="20"/>
                  </w:rPr>
                  <w:t>单位名称</w:t>
                </w:r>
              </w:p>
            </w:tc>
          </w:sdtContent>
        </w:sdt>
        <w:sdt>
          <w:sdtPr>
            <w:tag w:val="_PLD_cdd4a1e632c94d14908eb36a620946a9"/>
            <w:id w:val="-755278518"/>
          </w:sdtPr>
          <w:sdtContent>
            <w:tc>
              <w:tcPr>
                <w:tcW w:w="3013" w:type="dxa"/>
                <w:vAlign w:val="center"/>
              </w:tcPr>
              <w:p w14:paraId="337315F8">
                <w:pPr>
                  <w:ind w:right="73"/>
                  <w:jc w:val="center"/>
                  <w:rPr>
                    <w:rFonts w:ascii="Calibri" w:hAnsi="Calibri"/>
                    <w:sz w:val="20"/>
                    <w:szCs w:val="20"/>
                  </w:rPr>
                </w:pPr>
                <w:r>
                  <w:rPr>
                    <w:rFonts w:hint="eastAsia" w:ascii="Calibri" w:hAnsi="Calibri"/>
                    <w:sz w:val="20"/>
                    <w:szCs w:val="20"/>
                  </w:rPr>
                  <w:t>期末余额</w:t>
                </w:r>
              </w:p>
            </w:tc>
          </w:sdtContent>
        </w:sdt>
        <w:sdt>
          <w:sdtPr>
            <w:tag w:val="_PLD_c9db34035f63426095900b82cc8a8131"/>
            <w:id w:val="727199373"/>
          </w:sdtPr>
          <w:sdtContent>
            <w:tc>
              <w:tcPr>
                <w:tcW w:w="3013" w:type="dxa"/>
                <w:vAlign w:val="center"/>
              </w:tcPr>
              <w:p w14:paraId="6CEE094E">
                <w:pPr>
                  <w:jc w:val="center"/>
                  <w:rPr>
                    <w:rFonts w:ascii="Calibri" w:hAnsi="Calibri"/>
                    <w:sz w:val="20"/>
                    <w:szCs w:val="20"/>
                  </w:rPr>
                </w:pPr>
                <w:r>
                  <w:rPr>
                    <w:rFonts w:hint="eastAsia" w:ascii="Calibri" w:hAnsi="Calibri"/>
                    <w:sz w:val="20"/>
                    <w:szCs w:val="20"/>
                  </w:rPr>
                  <w:t>占预付款项期末余额合计数的比例(</w:t>
                </w:r>
                <w:r>
                  <w:rPr>
                    <w:rFonts w:ascii="Calibri" w:hAnsi="Calibri"/>
                    <w:sz w:val="20"/>
                    <w:szCs w:val="20"/>
                  </w:rPr>
                  <w:t>%)</w:t>
                </w:r>
              </w:p>
            </w:tc>
          </w:sdtContent>
        </w:sdt>
      </w:tr>
      <w:tr w14:paraId="5B2E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11" w:type="dxa"/>
            <w:vAlign w:val="center"/>
          </w:tcPr>
          <w:p w14:paraId="37AC9CB1">
            <w:pPr>
              <w:ind w:right="105"/>
              <w:rPr>
                <w:rFonts w:ascii="Calibri" w:hAnsi="Calibri"/>
                <w:sz w:val="20"/>
                <w:szCs w:val="20"/>
              </w:rPr>
            </w:pPr>
            <w:r>
              <w:rPr>
                <w:rFonts w:ascii="Calibri" w:hAnsi="Calibri"/>
                <w:sz w:val="20"/>
                <w:szCs w:val="20"/>
              </w:rPr>
              <w:t>甘云医药科技（海南）有限公司</w:t>
            </w:r>
          </w:p>
        </w:tc>
        <w:tc>
          <w:tcPr>
            <w:tcW w:w="3013" w:type="dxa"/>
            <w:vAlign w:val="center"/>
          </w:tcPr>
          <w:p w14:paraId="2AA422BE">
            <w:pPr>
              <w:ind w:right="73"/>
              <w:jc w:val="right"/>
              <w:rPr>
                <w:rFonts w:ascii="Calibri" w:hAnsi="Calibri"/>
                <w:sz w:val="20"/>
                <w:szCs w:val="20"/>
              </w:rPr>
            </w:pPr>
            <w:r>
              <w:rPr>
                <w:rFonts w:ascii="Calibri" w:hAnsi="Calibri"/>
                <w:sz w:val="20"/>
                <w:szCs w:val="20"/>
              </w:rPr>
              <w:t>8,154,120.00</w:t>
            </w:r>
          </w:p>
        </w:tc>
        <w:tc>
          <w:tcPr>
            <w:tcW w:w="3013" w:type="dxa"/>
            <w:vAlign w:val="center"/>
          </w:tcPr>
          <w:p w14:paraId="6945A953">
            <w:pPr>
              <w:jc w:val="right"/>
              <w:rPr>
                <w:rFonts w:ascii="Calibri" w:hAnsi="Calibri"/>
                <w:sz w:val="20"/>
                <w:szCs w:val="20"/>
              </w:rPr>
            </w:pPr>
            <w:r>
              <w:rPr>
                <w:rFonts w:ascii="Calibri" w:hAnsi="Calibri"/>
                <w:sz w:val="20"/>
                <w:szCs w:val="20"/>
              </w:rPr>
              <w:t>20.96</w:t>
            </w:r>
          </w:p>
        </w:tc>
      </w:tr>
      <w:tr w14:paraId="11F5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11" w:type="dxa"/>
            <w:vAlign w:val="center"/>
          </w:tcPr>
          <w:p w14:paraId="5DAB3EC0">
            <w:pPr>
              <w:ind w:right="105"/>
              <w:rPr>
                <w:rFonts w:ascii="Calibri" w:hAnsi="Calibri"/>
                <w:sz w:val="20"/>
                <w:szCs w:val="20"/>
              </w:rPr>
            </w:pPr>
            <w:r>
              <w:rPr>
                <w:rFonts w:ascii="Calibri" w:hAnsi="Calibri"/>
                <w:sz w:val="20"/>
                <w:szCs w:val="20"/>
              </w:rPr>
              <w:t>乐嘉文制药科技有限公司</w:t>
            </w:r>
          </w:p>
        </w:tc>
        <w:tc>
          <w:tcPr>
            <w:tcW w:w="3013" w:type="dxa"/>
            <w:vAlign w:val="center"/>
          </w:tcPr>
          <w:p w14:paraId="60F4B9B3">
            <w:pPr>
              <w:ind w:right="73"/>
              <w:jc w:val="right"/>
              <w:rPr>
                <w:rFonts w:ascii="Calibri" w:hAnsi="Calibri"/>
                <w:sz w:val="20"/>
                <w:szCs w:val="20"/>
              </w:rPr>
            </w:pPr>
            <w:r>
              <w:rPr>
                <w:rFonts w:ascii="Calibri" w:hAnsi="Calibri"/>
                <w:sz w:val="20"/>
                <w:szCs w:val="20"/>
              </w:rPr>
              <w:t>5,147,217.00</w:t>
            </w:r>
          </w:p>
        </w:tc>
        <w:tc>
          <w:tcPr>
            <w:tcW w:w="3013" w:type="dxa"/>
            <w:vAlign w:val="center"/>
          </w:tcPr>
          <w:p w14:paraId="77CD426D">
            <w:pPr>
              <w:jc w:val="right"/>
              <w:rPr>
                <w:rFonts w:ascii="Calibri" w:hAnsi="Calibri"/>
                <w:sz w:val="20"/>
                <w:szCs w:val="20"/>
              </w:rPr>
            </w:pPr>
            <w:r>
              <w:rPr>
                <w:rFonts w:ascii="Calibri" w:hAnsi="Calibri"/>
                <w:sz w:val="20"/>
                <w:szCs w:val="20"/>
              </w:rPr>
              <w:t>13.23</w:t>
            </w:r>
          </w:p>
        </w:tc>
      </w:tr>
      <w:tr w14:paraId="3985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11" w:type="dxa"/>
            <w:vAlign w:val="center"/>
          </w:tcPr>
          <w:p w14:paraId="525EC521">
            <w:pPr>
              <w:ind w:right="105"/>
              <w:rPr>
                <w:rFonts w:ascii="Calibri" w:hAnsi="Calibri"/>
                <w:sz w:val="20"/>
                <w:szCs w:val="20"/>
              </w:rPr>
            </w:pPr>
            <w:r>
              <w:rPr>
                <w:rFonts w:ascii="Calibri" w:hAnsi="Calibri"/>
                <w:sz w:val="20"/>
                <w:szCs w:val="20"/>
              </w:rPr>
              <w:t>通化华润燃气有限公司</w:t>
            </w:r>
          </w:p>
        </w:tc>
        <w:tc>
          <w:tcPr>
            <w:tcW w:w="3013" w:type="dxa"/>
            <w:vAlign w:val="center"/>
          </w:tcPr>
          <w:p w14:paraId="5630460F">
            <w:pPr>
              <w:ind w:right="73"/>
              <w:jc w:val="right"/>
              <w:rPr>
                <w:rFonts w:ascii="Calibri" w:hAnsi="Calibri"/>
                <w:sz w:val="20"/>
                <w:szCs w:val="20"/>
              </w:rPr>
            </w:pPr>
            <w:r>
              <w:rPr>
                <w:rFonts w:ascii="Calibri" w:hAnsi="Calibri"/>
                <w:sz w:val="20"/>
                <w:szCs w:val="20"/>
              </w:rPr>
              <w:t>4,894,734.95</w:t>
            </w:r>
          </w:p>
        </w:tc>
        <w:tc>
          <w:tcPr>
            <w:tcW w:w="3013" w:type="dxa"/>
            <w:vAlign w:val="center"/>
          </w:tcPr>
          <w:p w14:paraId="7A658A8D">
            <w:pPr>
              <w:jc w:val="right"/>
              <w:rPr>
                <w:rFonts w:ascii="Calibri" w:hAnsi="Calibri"/>
                <w:sz w:val="20"/>
                <w:szCs w:val="20"/>
              </w:rPr>
            </w:pPr>
            <w:r>
              <w:rPr>
                <w:rFonts w:ascii="Calibri" w:hAnsi="Calibri"/>
                <w:sz w:val="20"/>
                <w:szCs w:val="20"/>
              </w:rPr>
              <w:t>12.58</w:t>
            </w:r>
          </w:p>
        </w:tc>
      </w:tr>
      <w:tr w14:paraId="4A98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11" w:type="dxa"/>
            <w:vAlign w:val="center"/>
          </w:tcPr>
          <w:p w14:paraId="30E81D4A">
            <w:pPr>
              <w:ind w:right="105"/>
              <w:rPr>
                <w:rFonts w:ascii="Calibri" w:hAnsi="Calibri"/>
                <w:sz w:val="20"/>
                <w:szCs w:val="20"/>
              </w:rPr>
            </w:pPr>
            <w:r>
              <w:rPr>
                <w:rFonts w:ascii="Calibri" w:hAnsi="Calibri"/>
                <w:sz w:val="20"/>
                <w:szCs w:val="20"/>
              </w:rPr>
              <w:t>沈阳新新西科贸有限公司</w:t>
            </w:r>
          </w:p>
        </w:tc>
        <w:tc>
          <w:tcPr>
            <w:tcW w:w="3013" w:type="dxa"/>
            <w:vAlign w:val="center"/>
          </w:tcPr>
          <w:p w14:paraId="4356BAAE">
            <w:pPr>
              <w:ind w:right="73"/>
              <w:jc w:val="right"/>
              <w:rPr>
                <w:rFonts w:ascii="Calibri" w:hAnsi="Calibri"/>
                <w:sz w:val="20"/>
                <w:szCs w:val="20"/>
              </w:rPr>
            </w:pPr>
            <w:r>
              <w:rPr>
                <w:rFonts w:ascii="Calibri" w:hAnsi="Calibri"/>
                <w:sz w:val="20"/>
                <w:szCs w:val="20"/>
              </w:rPr>
              <w:t>3,493,370.00</w:t>
            </w:r>
          </w:p>
        </w:tc>
        <w:tc>
          <w:tcPr>
            <w:tcW w:w="3013" w:type="dxa"/>
            <w:vAlign w:val="center"/>
          </w:tcPr>
          <w:p w14:paraId="334C36FB">
            <w:pPr>
              <w:jc w:val="right"/>
              <w:rPr>
                <w:rFonts w:ascii="Calibri" w:hAnsi="Calibri"/>
                <w:sz w:val="20"/>
                <w:szCs w:val="20"/>
              </w:rPr>
            </w:pPr>
            <w:r>
              <w:rPr>
                <w:rFonts w:ascii="Calibri" w:hAnsi="Calibri"/>
                <w:sz w:val="20"/>
                <w:szCs w:val="20"/>
              </w:rPr>
              <w:t>8.98</w:t>
            </w:r>
          </w:p>
        </w:tc>
      </w:tr>
      <w:tr w14:paraId="51F8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11" w:type="dxa"/>
            <w:vAlign w:val="center"/>
          </w:tcPr>
          <w:p w14:paraId="69B4C11C">
            <w:pPr>
              <w:ind w:right="105"/>
              <w:rPr>
                <w:rFonts w:ascii="Calibri" w:hAnsi="Calibri"/>
                <w:sz w:val="20"/>
                <w:szCs w:val="20"/>
              </w:rPr>
            </w:pPr>
            <w:r>
              <w:rPr>
                <w:rFonts w:ascii="Calibri" w:hAnsi="Calibri"/>
                <w:sz w:val="20"/>
                <w:szCs w:val="20"/>
              </w:rPr>
              <w:t>Merck LTD默克香港有限公司</w:t>
            </w:r>
          </w:p>
        </w:tc>
        <w:tc>
          <w:tcPr>
            <w:tcW w:w="3013" w:type="dxa"/>
            <w:vAlign w:val="center"/>
          </w:tcPr>
          <w:p w14:paraId="2FF9C83B">
            <w:pPr>
              <w:ind w:right="73"/>
              <w:jc w:val="right"/>
              <w:rPr>
                <w:rFonts w:ascii="Calibri" w:hAnsi="Calibri"/>
                <w:sz w:val="20"/>
                <w:szCs w:val="20"/>
              </w:rPr>
            </w:pPr>
            <w:r>
              <w:rPr>
                <w:rFonts w:ascii="Calibri" w:hAnsi="Calibri"/>
                <w:sz w:val="20"/>
                <w:szCs w:val="20"/>
              </w:rPr>
              <w:t>2,831,083.37</w:t>
            </w:r>
          </w:p>
        </w:tc>
        <w:tc>
          <w:tcPr>
            <w:tcW w:w="3013" w:type="dxa"/>
            <w:vAlign w:val="center"/>
          </w:tcPr>
          <w:p w14:paraId="053C0135">
            <w:pPr>
              <w:jc w:val="right"/>
              <w:rPr>
                <w:rFonts w:ascii="Calibri" w:hAnsi="Calibri"/>
                <w:sz w:val="20"/>
                <w:szCs w:val="20"/>
              </w:rPr>
            </w:pPr>
            <w:r>
              <w:rPr>
                <w:rFonts w:ascii="Calibri" w:hAnsi="Calibri"/>
                <w:sz w:val="20"/>
                <w:szCs w:val="20"/>
              </w:rPr>
              <w:t>7.28</w:t>
            </w:r>
          </w:p>
        </w:tc>
      </w:tr>
      <w:tr w14:paraId="27A5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11" w:type="dxa"/>
            <w:vAlign w:val="center"/>
          </w:tcPr>
          <w:p w14:paraId="5082ED5B">
            <w:pPr>
              <w:ind w:right="105"/>
              <w:jc w:val="center"/>
              <w:rPr>
                <w:rFonts w:ascii="Calibri" w:hAnsi="Calibri"/>
                <w:sz w:val="20"/>
                <w:szCs w:val="20"/>
              </w:rPr>
            </w:pPr>
            <w:r>
              <w:rPr>
                <w:rFonts w:hint="eastAsia" w:ascii="Calibri" w:hAnsi="Calibri"/>
                <w:sz w:val="20"/>
                <w:szCs w:val="20"/>
              </w:rPr>
              <w:t>合计</w:t>
            </w:r>
          </w:p>
        </w:tc>
        <w:tc>
          <w:tcPr>
            <w:tcW w:w="3013" w:type="dxa"/>
            <w:vAlign w:val="center"/>
          </w:tcPr>
          <w:p w14:paraId="56CB3407">
            <w:pPr>
              <w:ind w:right="73"/>
              <w:jc w:val="right"/>
              <w:rPr>
                <w:rFonts w:ascii="Calibri" w:hAnsi="Calibri"/>
                <w:sz w:val="20"/>
                <w:szCs w:val="20"/>
              </w:rPr>
            </w:pPr>
            <w:r>
              <w:rPr>
                <w:rFonts w:ascii="Calibri" w:hAnsi="Calibri"/>
                <w:sz w:val="20"/>
                <w:szCs w:val="20"/>
              </w:rPr>
              <w:t>24,520,525.32</w:t>
            </w:r>
          </w:p>
        </w:tc>
        <w:tc>
          <w:tcPr>
            <w:tcW w:w="3013" w:type="dxa"/>
            <w:vAlign w:val="center"/>
          </w:tcPr>
          <w:p w14:paraId="2D7715BA">
            <w:pPr>
              <w:jc w:val="right"/>
              <w:rPr>
                <w:rFonts w:ascii="Calibri" w:hAnsi="Calibri"/>
                <w:sz w:val="20"/>
                <w:szCs w:val="20"/>
              </w:rPr>
            </w:pPr>
            <w:r>
              <w:rPr>
                <w:rFonts w:ascii="Calibri" w:hAnsi="Calibri"/>
                <w:sz w:val="20"/>
                <w:szCs w:val="20"/>
              </w:rPr>
              <w:t>63.03</w:t>
            </w:r>
          </w:p>
        </w:tc>
      </w:tr>
    </w:tbl>
    <w:p w14:paraId="04FF49BC"/>
    <w:p w14:paraId="614CBA89">
      <w:pPr>
        <w:snapToGrid w:val="0"/>
        <w:spacing w:line="240" w:lineRule="atLeast"/>
      </w:pPr>
    </w:p>
    <w:p w14:paraId="242E96D1">
      <w:pPr>
        <w:snapToGrid w:val="0"/>
        <w:spacing w:line="240" w:lineRule="atLeast"/>
      </w:pPr>
    </w:p>
    <w:p w14:paraId="6D0B4075">
      <w:pPr>
        <w:pStyle w:val="48"/>
      </w:pPr>
      <w:r>
        <w:rPr>
          <w:rFonts w:hint="eastAsia"/>
        </w:rPr>
        <w:t>其他说明：</w:t>
      </w:r>
    </w:p>
    <w:sdt>
      <w:sdtPr>
        <w:rPr>
          <w:rFonts w:hint="eastAsia"/>
        </w:rPr>
        <w:alias w:val="是否适用：预付帐款的说明[双击切换]"/>
        <w:tag w:val="_GBC_292d88b78b6d439981e508e0126d8061"/>
        <w:id w:val="-620993063"/>
        <w:placeholder>
          <w:docPart w:val="GBC22222222222222222222222222222"/>
        </w:placeholder>
      </w:sdtPr>
      <w:sdtEndPr>
        <w:rPr>
          <w:rFonts w:hint="eastAsia"/>
        </w:rPr>
      </w:sdtEndPr>
      <w:sdtContent>
        <w:p w14:paraId="55AFE3C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58900B1">
      <w:pPr>
        <w:pStyle w:val="48"/>
      </w:pPr>
    </w:p>
    <w:p w14:paraId="76B4D630">
      <w:pPr>
        <w:pStyle w:val="4"/>
        <w:numPr>
          <w:ilvl w:val="0"/>
          <w:numId w:val="61"/>
        </w:numPr>
        <w:rPr>
          <w:szCs w:val="21"/>
        </w:rPr>
      </w:pPr>
      <w:r>
        <w:rPr>
          <w:szCs w:val="21"/>
        </w:rPr>
        <w:t>其他应收款</w:t>
      </w:r>
    </w:p>
    <w:p w14:paraId="26A18190">
      <w:pPr>
        <w:pStyle w:val="5"/>
      </w:pPr>
      <w:bookmarkStart w:id="258" w:name="_Hlk532906090"/>
      <w:r>
        <w:rPr>
          <w:rFonts w:hint="eastAsia" w:ascii="宋体" w:hAnsi="宋体" w:eastAsia="宋体" w:cs="宋体"/>
          <w:kern w:val="0"/>
          <w:szCs w:val="24"/>
        </w:rPr>
        <w:t>项目列示</w:t>
      </w:r>
    </w:p>
    <w:sdt>
      <w:sdtPr>
        <w:alias w:val="是否适用：其他应收款分类列示[双击切换]"/>
        <w:tag w:val="_GBC_5cf24a2049f64010a4df1f0db5a97234"/>
        <w:id w:val="22370464"/>
        <w:placeholder>
          <w:docPart w:val="GBC22222222222222222222222222222"/>
        </w:placeholder>
      </w:sdtPr>
      <w:sdtContent>
        <w:p w14:paraId="7C6C4ED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CAAF73C">
      <w:pPr>
        <w:jc w:val="right"/>
      </w:pPr>
      <w:r>
        <w:rPr>
          <w:rFonts w:hint="eastAsia"/>
        </w:rPr>
        <w:t>单位：</w:t>
      </w:r>
      <w:sdt>
        <w:sdtPr>
          <w:rPr>
            <w:rFonts w:hint="eastAsia"/>
          </w:rPr>
          <w:alias w:val="单位：其他应收款分类列示"/>
          <w:tag w:val="_GBC_7f9aa6546943491ca0ac8585be1822b5"/>
          <w:id w:val="12240151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其他应收款分类列示"/>
          <w:tag w:val="_GBC_04bd5c819b004daf9b35f05cdd98046d"/>
          <w:id w:val="3545461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196"/>
        <w:gridCol w:w="2938"/>
        <w:gridCol w:w="2924"/>
      </w:tblGrid>
      <w:tr w14:paraId="4486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377dcbf8fc04365884311b6628ee70c"/>
            <w:id w:val="1871248442"/>
          </w:sdtPr>
          <w:sdtContent>
            <w:tc>
              <w:tcPr>
                <w:tcW w:w="3196" w:type="dxa"/>
                <w:vAlign w:val="center"/>
              </w:tcPr>
              <w:p w14:paraId="617CF9B9">
                <w:pPr>
                  <w:jc w:val="center"/>
                  <w:rPr>
                    <w:rFonts w:ascii="Calibri" w:hAnsi="Calibri"/>
                    <w:sz w:val="20"/>
                    <w:szCs w:val="20"/>
                  </w:rPr>
                </w:pPr>
                <w:r>
                  <w:rPr>
                    <w:rFonts w:hint="eastAsia" w:ascii="Calibri" w:hAnsi="Calibri"/>
                    <w:sz w:val="20"/>
                    <w:szCs w:val="20"/>
                  </w:rPr>
                  <w:t>项目</w:t>
                </w:r>
              </w:p>
            </w:tc>
          </w:sdtContent>
        </w:sdt>
        <w:sdt>
          <w:sdtPr>
            <w:tag w:val="_PLD_9eed799cfa4b445abd6bf2c21c8e53d1"/>
            <w:id w:val="-1557547390"/>
          </w:sdtPr>
          <w:sdtContent>
            <w:tc>
              <w:tcPr>
                <w:tcW w:w="2938" w:type="dxa"/>
                <w:vAlign w:val="center"/>
              </w:tcPr>
              <w:p w14:paraId="73544D90">
                <w:pPr>
                  <w:jc w:val="center"/>
                  <w:rPr>
                    <w:rFonts w:ascii="Calibri" w:hAnsi="Calibri"/>
                    <w:sz w:val="20"/>
                    <w:szCs w:val="20"/>
                  </w:rPr>
                </w:pPr>
                <w:r>
                  <w:rPr>
                    <w:rFonts w:hint="eastAsia" w:ascii="Calibri" w:hAnsi="Calibri"/>
                    <w:sz w:val="20"/>
                    <w:szCs w:val="20"/>
                  </w:rPr>
                  <w:t>期末余额</w:t>
                </w:r>
              </w:p>
            </w:tc>
          </w:sdtContent>
        </w:sdt>
        <w:sdt>
          <w:sdtPr>
            <w:tag w:val="_PLD_200365ee1196470e91075b949a7f5552"/>
            <w:id w:val="-184830283"/>
          </w:sdtPr>
          <w:sdtContent>
            <w:tc>
              <w:tcPr>
                <w:tcW w:w="2924" w:type="dxa"/>
                <w:vAlign w:val="center"/>
              </w:tcPr>
              <w:p w14:paraId="3C787A26">
                <w:pPr>
                  <w:jc w:val="center"/>
                  <w:rPr>
                    <w:rFonts w:ascii="Calibri" w:hAnsi="Calibri"/>
                    <w:sz w:val="20"/>
                    <w:szCs w:val="20"/>
                  </w:rPr>
                </w:pPr>
                <w:r>
                  <w:rPr>
                    <w:rFonts w:hint="eastAsia" w:ascii="Calibri" w:hAnsi="Calibri"/>
                    <w:sz w:val="20"/>
                    <w:szCs w:val="20"/>
                  </w:rPr>
                  <w:t>期初余额</w:t>
                </w:r>
              </w:p>
            </w:tc>
          </w:sdtContent>
        </w:sdt>
      </w:tr>
      <w:tr w14:paraId="53AD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196" w:type="dxa"/>
            <w:vAlign w:val="center"/>
          </w:tcPr>
          <w:p w14:paraId="563CE96E">
            <w:pPr>
              <w:ind w:right="5"/>
              <w:rPr>
                <w:rFonts w:ascii="Calibri" w:hAnsi="Calibri"/>
                <w:sz w:val="20"/>
                <w:szCs w:val="20"/>
              </w:rPr>
            </w:pPr>
            <w:r>
              <w:rPr>
                <w:rFonts w:hint="eastAsia" w:ascii="Calibri" w:hAnsi="Calibri"/>
                <w:sz w:val="20"/>
                <w:szCs w:val="20"/>
              </w:rPr>
              <w:t>应收利息</w:t>
            </w:r>
          </w:p>
        </w:tc>
        <w:tc>
          <w:tcPr>
            <w:tcW w:w="2938" w:type="dxa"/>
            <w:vAlign w:val="center"/>
          </w:tcPr>
          <w:p w14:paraId="7066CD17">
            <w:pPr>
              <w:ind w:right="5"/>
              <w:jc w:val="right"/>
              <w:rPr>
                <w:rFonts w:ascii="Calibri" w:hAnsi="Calibri"/>
                <w:sz w:val="20"/>
                <w:szCs w:val="20"/>
              </w:rPr>
            </w:pPr>
          </w:p>
        </w:tc>
        <w:tc>
          <w:tcPr>
            <w:tcW w:w="2924" w:type="dxa"/>
            <w:vAlign w:val="center"/>
          </w:tcPr>
          <w:p w14:paraId="751E3267">
            <w:pPr>
              <w:ind w:right="5"/>
              <w:jc w:val="right"/>
              <w:rPr>
                <w:rFonts w:ascii="Calibri" w:hAnsi="Calibri"/>
                <w:sz w:val="20"/>
                <w:szCs w:val="20"/>
              </w:rPr>
            </w:pPr>
          </w:p>
        </w:tc>
      </w:tr>
      <w:tr w14:paraId="1DB9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196" w:type="dxa"/>
            <w:vAlign w:val="center"/>
          </w:tcPr>
          <w:p w14:paraId="37D77F37">
            <w:pPr>
              <w:ind w:right="5"/>
              <w:rPr>
                <w:rFonts w:ascii="Calibri" w:hAnsi="Calibri"/>
                <w:sz w:val="20"/>
                <w:szCs w:val="20"/>
              </w:rPr>
            </w:pPr>
            <w:r>
              <w:rPr>
                <w:rFonts w:hint="eastAsia" w:ascii="Calibri" w:hAnsi="Calibri"/>
                <w:sz w:val="20"/>
                <w:szCs w:val="20"/>
              </w:rPr>
              <w:t>应收股利</w:t>
            </w:r>
          </w:p>
        </w:tc>
        <w:tc>
          <w:tcPr>
            <w:tcW w:w="2938" w:type="dxa"/>
            <w:vAlign w:val="center"/>
          </w:tcPr>
          <w:p w14:paraId="5C5EE196">
            <w:pPr>
              <w:ind w:right="5"/>
              <w:jc w:val="right"/>
              <w:rPr>
                <w:rFonts w:ascii="Calibri" w:hAnsi="Calibri"/>
                <w:sz w:val="20"/>
                <w:szCs w:val="20"/>
              </w:rPr>
            </w:pPr>
          </w:p>
        </w:tc>
        <w:tc>
          <w:tcPr>
            <w:tcW w:w="2924" w:type="dxa"/>
            <w:vAlign w:val="center"/>
          </w:tcPr>
          <w:p w14:paraId="45F9BD2F">
            <w:pPr>
              <w:ind w:right="5"/>
              <w:jc w:val="right"/>
              <w:rPr>
                <w:rFonts w:ascii="Calibri" w:hAnsi="Calibri"/>
                <w:sz w:val="20"/>
                <w:szCs w:val="20"/>
              </w:rPr>
            </w:pPr>
          </w:p>
        </w:tc>
      </w:tr>
      <w:tr w14:paraId="1DB6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196" w:type="dxa"/>
            <w:vAlign w:val="center"/>
          </w:tcPr>
          <w:p w14:paraId="796BA31C">
            <w:pPr>
              <w:ind w:right="5"/>
              <w:rPr>
                <w:rFonts w:ascii="Calibri" w:hAnsi="Calibri"/>
                <w:sz w:val="20"/>
                <w:szCs w:val="20"/>
              </w:rPr>
            </w:pPr>
            <w:r>
              <w:rPr>
                <w:rFonts w:hint="eastAsia" w:ascii="Calibri" w:hAnsi="Calibri"/>
                <w:sz w:val="20"/>
                <w:szCs w:val="20"/>
              </w:rPr>
              <w:t>其他应收款</w:t>
            </w:r>
          </w:p>
        </w:tc>
        <w:tc>
          <w:tcPr>
            <w:tcW w:w="2938" w:type="dxa"/>
            <w:vAlign w:val="center"/>
          </w:tcPr>
          <w:p w14:paraId="380F3E64">
            <w:pPr>
              <w:ind w:right="5"/>
              <w:jc w:val="right"/>
              <w:rPr>
                <w:rFonts w:ascii="Calibri" w:hAnsi="Calibri"/>
                <w:sz w:val="20"/>
                <w:szCs w:val="20"/>
              </w:rPr>
            </w:pPr>
            <w:r>
              <w:rPr>
                <w:rFonts w:ascii="Calibri" w:hAnsi="Calibri"/>
                <w:sz w:val="20"/>
                <w:szCs w:val="20"/>
              </w:rPr>
              <w:t>10,524,522.55</w:t>
            </w:r>
          </w:p>
        </w:tc>
        <w:tc>
          <w:tcPr>
            <w:tcW w:w="2924" w:type="dxa"/>
            <w:vAlign w:val="center"/>
          </w:tcPr>
          <w:p w14:paraId="1683367A">
            <w:pPr>
              <w:ind w:right="5"/>
              <w:jc w:val="right"/>
              <w:rPr>
                <w:rFonts w:ascii="Calibri" w:hAnsi="Calibri"/>
                <w:sz w:val="20"/>
                <w:szCs w:val="20"/>
              </w:rPr>
            </w:pPr>
            <w:r>
              <w:rPr>
                <w:rFonts w:ascii="Calibri" w:hAnsi="Calibri"/>
                <w:sz w:val="20"/>
                <w:szCs w:val="20"/>
              </w:rPr>
              <w:t>7,881,764.21</w:t>
            </w:r>
          </w:p>
        </w:tc>
      </w:tr>
      <w:tr w14:paraId="38814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196" w:type="dxa"/>
            <w:vAlign w:val="center"/>
          </w:tcPr>
          <w:p w14:paraId="4B295E7C">
            <w:pPr>
              <w:autoSpaceDE w:val="0"/>
              <w:autoSpaceDN w:val="0"/>
              <w:adjustRightInd w:val="0"/>
              <w:rPr>
                <w:rFonts w:ascii="Calibri" w:hAnsi="Calibri"/>
                <w:sz w:val="20"/>
                <w:szCs w:val="20"/>
              </w:rPr>
            </w:pPr>
            <w:r>
              <w:rPr>
                <w:rFonts w:hint="eastAsia" w:ascii="Calibri" w:hAnsi="Calibri"/>
                <w:sz w:val="20"/>
                <w:szCs w:val="20"/>
              </w:rPr>
              <w:t>合计</w:t>
            </w:r>
          </w:p>
        </w:tc>
        <w:tc>
          <w:tcPr>
            <w:tcW w:w="2938" w:type="dxa"/>
            <w:vAlign w:val="center"/>
          </w:tcPr>
          <w:p w14:paraId="296BB6A8">
            <w:pPr>
              <w:jc w:val="right"/>
              <w:rPr>
                <w:rFonts w:ascii="Calibri" w:hAnsi="Calibri"/>
                <w:sz w:val="20"/>
                <w:szCs w:val="20"/>
              </w:rPr>
            </w:pPr>
            <w:r>
              <w:rPr>
                <w:rFonts w:ascii="Calibri" w:hAnsi="Calibri"/>
                <w:sz w:val="20"/>
                <w:szCs w:val="20"/>
              </w:rPr>
              <w:t>10,524,522.55</w:t>
            </w:r>
          </w:p>
        </w:tc>
        <w:tc>
          <w:tcPr>
            <w:tcW w:w="2924" w:type="dxa"/>
            <w:vAlign w:val="center"/>
          </w:tcPr>
          <w:p w14:paraId="5FD3A800">
            <w:pPr>
              <w:jc w:val="right"/>
              <w:rPr>
                <w:rFonts w:ascii="Calibri" w:hAnsi="Calibri"/>
                <w:sz w:val="20"/>
                <w:szCs w:val="20"/>
              </w:rPr>
            </w:pPr>
            <w:r>
              <w:rPr>
                <w:rFonts w:ascii="Calibri" w:hAnsi="Calibri"/>
                <w:sz w:val="20"/>
                <w:szCs w:val="20"/>
              </w:rPr>
              <w:t>7,881,764.21</w:t>
            </w:r>
          </w:p>
        </w:tc>
      </w:tr>
    </w:tbl>
    <w:p w14:paraId="2526E0D5">
      <w:pPr>
        <w:pStyle w:val="48"/>
      </w:pPr>
    </w:p>
    <w:bookmarkEnd w:id="258"/>
    <w:p w14:paraId="2F99D96E">
      <w:pPr>
        <w:pStyle w:val="48"/>
      </w:pPr>
      <w:bookmarkStart w:id="259" w:name="_Hlk532906097"/>
      <w:r>
        <w:rPr>
          <w:rFonts w:hint="eastAsia"/>
        </w:rPr>
        <w:t>其他说明</w:t>
      </w:r>
      <w:bookmarkEnd w:id="259"/>
      <w:r>
        <w:rPr>
          <w:rFonts w:hint="eastAsia"/>
        </w:rPr>
        <w:t>：</w:t>
      </w:r>
    </w:p>
    <w:sdt>
      <w:sdtPr>
        <w:alias w:val="是否适用：其他应收款分类列示其他说明[双击切换]"/>
        <w:tag w:val="_GBC_87a25d8043fc4fcfac6a8c802b58dfc7"/>
        <w:id w:val="-1866359054"/>
        <w:placeholder>
          <w:docPart w:val="GBC22222222222222222222222222222"/>
        </w:placeholder>
      </w:sdtPr>
      <w:sdtContent>
        <w:p w14:paraId="0D366ED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59B74A5">
      <w:pPr>
        <w:pStyle w:val="48"/>
      </w:pPr>
    </w:p>
    <w:p w14:paraId="5F62DDD9">
      <w:pPr>
        <w:pStyle w:val="5"/>
        <w:ind w:left="360" w:hanging="360"/>
      </w:pPr>
      <w:r>
        <w:rPr>
          <w:rFonts w:hint="eastAsia"/>
        </w:rPr>
        <w:t>应收利息</w:t>
      </w:r>
    </w:p>
    <w:p w14:paraId="2273A4C0">
      <w:pPr>
        <w:pStyle w:val="6"/>
        <w:numPr>
          <w:ilvl w:val="0"/>
          <w:numId w:val="67"/>
        </w:numPr>
        <w:ind w:leftChars="0"/>
      </w:pPr>
      <w:r>
        <w:rPr>
          <w:rFonts w:hint="eastAsia"/>
        </w:rPr>
        <w:t>应收利息分类</w:t>
      </w:r>
    </w:p>
    <w:sdt>
      <w:sdtPr>
        <w:alias w:val="是否适用：应收利息分类[双击切换]"/>
        <w:tag w:val="_GBC_83217ec91e3240eeb9ff337eca1b11bb"/>
        <w:id w:val="-369385642"/>
        <w:placeholder>
          <w:docPart w:val="GBC22222222222222222222222222222"/>
        </w:placeholder>
      </w:sdtPr>
      <w:sdtContent>
        <w:p w14:paraId="3BAB2604">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048548A">
      <w:pPr>
        <w:pStyle w:val="48"/>
      </w:pPr>
    </w:p>
    <w:p w14:paraId="2512F1D1">
      <w:pPr>
        <w:pStyle w:val="6"/>
        <w:numPr>
          <w:ilvl w:val="0"/>
          <w:numId w:val="67"/>
        </w:numPr>
        <w:ind w:leftChars="0"/>
      </w:pPr>
      <w:r>
        <w:rPr>
          <w:rFonts w:hint="eastAsia"/>
        </w:rPr>
        <w:t>重要逾期利息</w:t>
      </w:r>
    </w:p>
    <w:sdt>
      <w:sdtPr>
        <w:alias w:val="是否适用：重要逾期利息[双击切换]"/>
        <w:tag w:val="_GBC_4720cbb6fd9144c2b14ef7120e6159be"/>
        <w:id w:val="113565171"/>
        <w:placeholder>
          <w:docPart w:val="GBC22222222222222222222222222222"/>
        </w:placeholder>
      </w:sdtPr>
      <w:sdtContent>
        <w:p w14:paraId="0F31EBC4">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5056ED7">
      <w:pPr>
        <w:pStyle w:val="48"/>
      </w:pPr>
    </w:p>
    <w:p w14:paraId="5B2BA0D1">
      <w:pPr>
        <w:pStyle w:val="6"/>
        <w:numPr>
          <w:ilvl w:val="0"/>
          <w:numId w:val="67"/>
        </w:numPr>
        <w:ind w:leftChars="0"/>
      </w:pPr>
      <w:bookmarkStart w:id="260" w:name="_Hlk153374831"/>
      <w:r>
        <w:rPr>
          <w:rFonts w:hint="eastAsia"/>
        </w:rPr>
        <w:t>按坏账计提方法分类披露</w:t>
      </w:r>
    </w:p>
    <w:sdt>
      <w:sdtPr>
        <w:alias w:val="是否适用：按坏账计提方法分类披露[双击切换]"/>
        <w:tag w:val="_GBC_4dfa1c3f378a461fb32dcc384b94c01c"/>
        <w:id w:val="164369887"/>
        <w:placeholder>
          <w:docPart w:val="GBC22222222222222222222222222222"/>
        </w:placeholder>
      </w:sdtPr>
      <w:sdtContent>
        <w:p w14:paraId="1A803EA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3A4B2B9">
      <w:pPr>
        <w:pStyle w:val="48"/>
      </w:pPr>
    </w:p>
    <w:p w14:paraId="5441D4A9">
      <w:pPr>
        <w:pStyle w:val="48"/>
      </w:pPr>
      <w:r>
        <w:rPr>
          <w:rFonts w:hint="eastAsia"/>
        </w:rPr>
        <w:t>按单项计提坏账准备：</w:t>
      </w:r>
    </w:p>
    <w:sdt>
      <w:sdtPr>
        <w:alias w:val="是否适用：按单项计提坏账准备的详细情况[双击切换]"/>
        <w:tag w:val="_GBC_f555101264ef4acba1df68e54d30175a"/>
        <w:id w:val="1026989897"/>
        <w:placeholder>
          <w:docPart w:val="GBC22222222222222222222222222222"/>
        </w:placeholder>
      </w:sdtPr>
      <w:sdtContent>
        <w:p w14:paraId="64C26DE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A680FD9">
      <w:pPr>
        <w:pStyle w:val="48"/>
      </w:pPr>
    </w:p>
    <w:p w14:paraId="31A149AC">
      <w:pPr>
        <w:pStyle w:val="48"/>
      </w:pPr>
      <w:r>
        <w:rPr>
          <w:rFonts w:hint="eastAsia"/>
        </w:rPr>
        <w:t>按单项计提坏账准备的说明：</w:t>
      </w:r>
    </w:p>
    <w:sdt>
      <w:sdtPr>
        <w:alias w:val="是否适用：按单项计提坏账准备的说明[双击切换]"/>
        <w:tag w:val="_GBC_e7140d40a6d84e56957900180d1e6af2"/>
        <w:id w:val="1095362965"/>
        <w:placeholder>
          <w:docPart w:val="GBC22222222222222222222222222222"/>
        </w:placeholder>
      </w:sdtPr>
      <w:sdtContent>
        <w:p w14:paraId="005631E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689217E">
      <w:pPr>
        <w:pStyle w:val="48"/>
      </w:pPr>
    </w:p>
    <w:p w14:paraId="1AFAC9F4">
      <w:pPr>
        <w:rPr>
          <w:rFonts w:ascii="Calibri" w:hAnsi="Calibri"/>
          <w:bCs/>
          <w:szCs w:val="22"/>
        </w:rPr>
      </w:pPr>
      <w:r>
        <w:rPr>
          <w:rFonts w:hint="eastAsia" w:ascii="Calibri" w:hAnsi="Calibri"/>
          <w:bCs/>
          <w:szCs w:val="22"/>
        </w:rPr>
        <w:t>按组合计提坏账准备：</w:t>
      </w:r>
    </w:p>
    <w:sdt>
      <w:sdtPr>
        <w:rPr>
          <w:rFonts w:ascii="Calibri" w:hAnsi="Calibri"/>
          <w:bCs/>
          <w:szCs w:val="22"/>
        </w:rPr>
        <w:alias w:val="是否适用：按组合计提坏账准备的详细情况[双击切换]"/>
        <w:tag w:val="_GBC_ee220409efb74ad0a4dffa7172a6bdf0"/>
        <w:id w:val="593593122"/>
        <w:placeholder>
          <w:docPart w:val="GBC22222222222222222222222222222"/>
        </w:placeholder>
      </w:sdtPr>
      <w:sdtEndPr>
        <w:rPr>
          <w:rFonts w:ascii="Calibri" w:hAnsi="Calibri"/>
          <w:bCs/>
          <w:szCs w:val="22"/>
        </w:rPr>
      </w:sdtEndPr>
      <w:sdtContent>
        <w:p w14:paraId="59174830">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78FFAD7D">
      <w:pPr>
        <w:pStyle w:val="48"/>
      </w:pPr>
    </w:p>
    <w:p w14:paraId="63F32C4C">
      <w:pPr>
        <w:rPr>
          <w:rFonts w:ascii="Calibri" w:hAnsi="Calibri"/>
          <w:b/>
          <w:bCs/>
          <w:szCs w:val="22"/>
        </w:rPr>
      </w:pPr>
    </w:p>
    <w:bookmarkEnd w:id="260"/>
    <w:p w14:paraId="719E9715">
      <w:pPr>
        <w:pStyle w:val="6"/>
        <w:numPr>
          <w:ilvl w:val="0"/>
          <w:numId w:val="67"/>
        </w:numPr>
        <w:ind w:leftChars="0"/>
      </w:pPr>
      <w:bookmarkStart w:id="261" w:name="_Hlk533867290"/>
      <w:r>
        <w:rPr>
          <w:rFonts w:hint="eastAsia"/>
        </w:rPr>
        <w:t>按预期信用损失一般模型计提坏账准备</w:t>
      </w:r>
    </w:p>
    <w:sdt>
      <w:sdtPr>
        <w:alias w:val="是否适用：应收利息坏账准备调节表[双击切换]"/>
        <w:tag w:val="_GBC_2926f106217b4c11a5fe606b79f60d83"/>
        <w:id w:val="-92410763"/>
        <w:placeholder>
          <w:docPart w:val="GBC22222222222222222222222222222"/>
        </w:placeholder>
      </w:sdtPr>
      <w:sdtContent>
        <w:p w14:paraId="18A72E1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7852ECE">
      <w:pPr>
        <w:pStyle w:val="38"/>
      </w:pPr>
      <w:r>
        <w:rPr>
          <w:rFonts w:hint="eastAsia"/>
        </w:rPr>
        <w:t>对本期发生损失准备变动的应收利息账面余额显著变动的情况说明：</w:t>
      </w:r>
    </w:p>
    <w:sdt>
      <w:sdtPr>
        <w:alias w:val="是否适用：应收利息本期发生损失准备变动且账面余额显著变动的情况说明[双击切换]"/>
        <w:tag w:val="_GBC_07d71685a64f4800b3e351083fc5c9ae"/>
        <w:id w:val="1099066212"/>
        <w:placeholder>
          <w:docPart w:val="GBC22222222222222222222222222222"/>
        </w:placeholder>
      </w:sdtPr>
      <w:sdtContent>
        <w:p w14:paraId="4808ED3D">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0E14D06">
      <w:pPr>
        <w:autoSpaceDE w:val="0"/>
        <w:autoSpaceDN w:val="0"/>
        <w:adjustRightInd w:val="0"/>
        <w:ind w:right="105" w:rightChars="50"/>
      </w:pPr>
    </w:p>
    <w:bookmarkEnd w:id="261"/>
    <w:p w14:paraId="2EA69275">
      <w:pPr>
        <w:pStyle w:val="6"/>
        <w:numPr>
          <w:ilvl w:val="0"/>
          <w:numId w:val="67"/>
        </w:numPr>
        <w:ind w:leftChars="0"/>
      </w:pPr>
      <w:bookmarkStart w:id="262" w:name="_Hlk153375041"/>
      <w:r>
        <w:rPr>
          <w:rFonts w:hint="eastAsia"/>
        </w:rPr>
        <w:t>坏账准备的情况</w:t>
      </w:r>
    </w:p>
    <w:sdt>
      <w:sdtPr>
        <w:alias w:val="是否适用：坏账准备情况[双击切换]"/>
        <w:tag w:val="_GBC_faf892fca7fd4a8ebcdef2231ff828bc"/>
        <w:id w:val="-1174793848"/>
        <w:placeholder>
          <w:docPart w:val="GBC22222222222222222222222222222"/>
        </w:placeholder>
      </w:sdtPr>
      <w:sdtContent>
        <w:p w14:paraId="2F82199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EEA542">
      <w:pPr>
        <w:pStyle w:val="48"/>
      </w:pPr>
    </w:p>
    <w:p w14:paraId="4302CDA1">
      <w:pPr>
        <w:pStyle w:val="48"/>
      </w:pPr>
      <w:r>
        <w:rPr>
          <w:rFonts w:hint="eastAsia"/>
        </w:rPr>
        <w:t>其中本期坏账准备收回或转回金额重要的：</w:t>
      </w:r>
    </w:p>
    <w:sdt>
      <w:sdtPr>
        <w:alias w:val="是否适用：本期坏账准备收回或转回金额重要的[双击切换]"/>
        <w:tag w:val="_GBC_5a2d052a52b74bb7a867cb7ad62574c9"/>
        <w:id w:val="312299730"/>
        <w:placeholder>
          <w:docPart w:val="GBC22222222222222222222222222222"/>
        </w:placeholder>
      </w:sdtPr>
      <w:sdtContent>
        <w:p w14:paraId="57B6A36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4D4DB22">
      <w:pPr>
        <w:pStyle w:val="48"/>
      </w:pPr>
    </w:p>
    <w:p w14:paraId="6298DC90">
      <w:pPr>
        <w:ind w:right="-1594" w:rightChars="-759"/>
      </w:pPr>
    </w:p>
    <w:p w14:paraId="536704E7">
      <w:pPr>
        <w:pStyle w:val="6"/>
        <w:numPr>
          <w:ilvl w:val="0"/>
          <w:numId w:val="67"/>
        </w:numPr>
        <w:ind w:leftChars="0"/>
      </w:pPr>
      <w:r>
        <w:rPr>
          <w:rFonts w:hint="eastAsia"/>
        </w:rPr>
        <w:t>本期实际核销的应收利息情况</w:t>
      </w:r>
    </w:p>
    <w:sdt>
      <w:sdtPr>
        <w:alias w:val="是否适用：实际核销的情况[双击切换]"/>
        <w:tag w:val="_GBC_d4fcf512bafe4a40a1f75d78eee0f333"/>
        <w:id w:val="-1069654103"/>
        <w:placeholder>
          <w:docPart w:val="GBC22222222222222222222222222222"/>
        </w:placeholder>
      </w:sdtPr>
      <w:sdtContent>
        <w:p w14:paraId="0FF337D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A6F638B">
      <w:pPr>
        <w:pStyle w:val="48"/>
      </w:pPr>
    </w:p>
    <w:p w14:paraId="4CCE2333">
      <w:pPr>
        <w:pStyle w:val="48"/>
      </w:pPr>
      <w:r>
        <w:rPr>
          <w:rFonts w:hint="eastAsia"/>
        </w:rPr>
        <w:t>其中重要的应收利息核销情况</w:t>
      </w:r>
    </w:p>
    <w:sdt>
      <w:sdtPr>
        <w:rPr>
          <w:rFonts w:hint="eastAsia"/>
        </w:rPr>
        <w:alias w:val="是否适用：重要的核销情况[双击切换]"/>
        <w:tag w:val="_GBC_2cc69a5549814fd6aee1164366f580ec"/>
        <w:id w:val="-2045817237"/>
        <w:placeholder>
          <w:docPart w:val="GBC22222222222222222222222222222"/>
        </w:placeholder>
      </w:sdtPr>
      <w:sdtEndPr>
        <w:rPr>
          <w:rFonts w:hint="eastAsia"/>
        </w:rPr>
      </w:sdtEndPr>
      <w:sdtContent>
        <w:p w14:paraId="54ECEA5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F7700A3">
      <w:pPr>
        <w:pStyle w:val="48"/>
      </w:pPr>
    </w:p>
    <w:p w14:paraId="69AD7A26">
      <w:pPr>
        <w:snapToGrid w:val="0"/>
        <w:spacing w:line="240" w:lineRule="atLeast"/>
      </w:pPr>
      <w:r>
        <w:rPr>
          <w:rFonts w:hint="eastAsia"/>
        </w:rPr>
        <w:t>核销说明：</w:t>
      </w:r>
    </w:p>
    <w:sdt>
      <w:sdtPr>
        <w:alias w:val="是否适用：核销说明[双击切换]"/>
        <w:tag w:val="_GBC_d8b86767c1604cb69ee84c043aa1b8dc"/>
        <w:id w:val="-465352112"/>
        <w:placeholder>
          <w:docPart w:val="GBC22222222222222222222222222222"/>
        </w:placeholder>
      </w:sdtPr>
      <w:sdtContent>
        <w:p w14:paraId="12F2AE54">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E07779B">
      <w:pPr>
        <w:pStyle w:val="48"/>
      </w:pPr>
    </w:p>
    <w:bookmarkEnd w:id="262"/>
    <w:p w14:paraId="132AFADA">
      <w:pPr>
        <w:pStyle w:val="48"/>
      </w:pPr>
      <w:r>
        <w:rPr>
          <w:rFonts w:hint="eastAsia"/>
        </w:rPr>
        <w:t>其他说明：</w:t>
      </w:r>
    </w:p>
    <w:sdt>
      <w:sdtPr>
        <w:rPr>
          <w:rFonts w:hint="eastAsia"/>
        </w:rPr>
        <w:alias w:val="是否适用：应收利息的说明[双击切换]"/>
        <w:tag w:val="_GBC_353af20a1db84c639b0e03e660c37a48"/>
        <w:id w:val="-212038230"/>
        <w:placeholder>
          <w:docPart w:val="GBC22222222222222222222222222222"/>
        </w:placeholder>
      </w:sdtPr>
      <w:sdtEndPr>
        <w:rPr>
          <w:rFonts w:hint="eastAsia"/>
        </w:rPr>
      </w:sdtEndPr>
      <w:sdtContent>
        <w:p w14:paraId="77F89AB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0B50E5">
      <w:pPr>
        <w:pStyle w:val="48"/>
      </w:pPr>
    </w:p>
    <w:p w14:paraId="61EA210F">
      <w:pPr>
        <w:pStyle w:val="5"/>
        <w:ind w:left="360" w:hanging="360"/>
      </w:pPr>
      <w:r>
        <w:rPr>
          <w:rFonts w:hint="eastAsia"/>
        </w:rPr>
        <w:t>应收股利</w:t>
      </w:r>
    </w:p>
    <w:p w14:paraId="69C898C6">
      <w:pPr>
        <w:pStyle w:val="6"/>
        <w:numPr>
          <w:ilvl w:val="0"/>
          <w:numId w:val="68"/>
        </w:numPr>
        <w:ind w:leftChars="0"/>
      </w:pPr>
      <w:r>
        <w:rPr>
          <w:rFonts w:hint="eastAsia"/>
        </w:rPr>
        <w:t>应收股利</w:t>
      </w:r>
    </w:p>
    <w:sdt>
      <w:sdtPr>
        <w:alias w:val="是否适用：应收股利[双击切换]"/>
        <w:tag w:val="_GBC_c0f7b0360a644690b0472107042df17a"/>
        <w:id w:val="-1231607830"/>
        <w:placeholder>
          <w:docPart w:val="GBC22222222222222222222222222222"/>
        </w:placeholder>
      </w:sdtPr>
      <w:sdtContent>
        <w:p w14:paraId="5D67775A">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9F1E3B8">
      <w:pPr>
        <w:pStyle w:val="48"/>
      </w:pPr>
    </w:p>
    <w:p w14:paraId="791A338D">
      <w:pPr>
        <w:pStyle w:val="6"/>
        <w:numPr>
          <w:ilvl w:val="0"/>
          <w:numId w:val="68"/>
        </w:numPr>
        <w:ind w:leftChars="0"/>
      </w:pPr>
      <w:r>
        <w:rPr>
          <w:rFonts w:hint="eastAsia"/>
        </w:rPr>
        <w:t>重要的账龄超过1年的应收股利</w:t>
      </w:r>
    </w:p>
    <w:p w14:paraId="7B1BEC44">
      <w:pPr>
        <w:pStyle w:val="48"/>
      </w:pPr>
      <w:sdt>
        <w:sdtPr>
          <w:rPr>
            <w:rFonts w:hint="eastAsia"/>
          </w:rPr>
          <w:alias w:val="是否适用：重要的账龄超过1年的应收股利[双击切换]"/>
          <w:tag w:val="_GBC_d46c4e6d2f2e4e20b430a619bde9abe8"/>
          <w:id w:val="-1579748400"/>
          <w:placeholder>
            <w:docPart w:val="GBC22222222222222222222222222222"/>
          </w:placeholder>
        </w:sdtPr>
        <w:sdtEndPr>
          <w:rPr>
            <w:rFonts w:hint="eastAsia"/>
          </w:rPr>
        </w:sdtEnd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1AE1B926">
      <w:pPr>
        <w:pStyle w:val="48"/>
      </w:pPr>
    </w:p>
    <w:p w14:paraId="056FB74C">
      <w:pPr>
        <w:pStyle w:val="6"/>
        <w:numPr>
          <w:ilvl w:val="0"/>
          <w:numId w:val="68"/>
        </w:numPr>
        <w:ind w:leftChars="0"/>
      </w:pPr>
      <w:bookmarkStart w:id="263" w:name="_Hlk153377225"/>
      <w:r>
        <w:rPr>
          <w:rFonts w:hint="eastAsia"/>
        </w:rPr>
        <w:t>按坏账计提方法分类披露</w:t>
      </w:r>
    </w:p>
    <w:sdt>
      <w:sdtPr>
        <w:alias w:val="是否适用：按坏账计提方法分类披露[双击切换]"/>
        <w:tag w:val="_GBC_ad0add93fbe54bc5984d3fdcd19c4070"/>
        <w:id w:val="1008634589"/>
        <w:placeholder>
          <w:docPart w:val="GBC22222222222222222222222222222"/>
        </w:placeholder>
      </w:sdtPr>
      <w:sdtContent>
        <w:p w14:paraId="0863E39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E3D1CC2">
      <w:pPr>
        <w:pStyle w:val="48"/>
      </w:pPr>
    </w:p>
    <w:p w14:paraId="744C3438">
      <w:pPr>
        <w:pStyle w:val="48"/>
      </w:pPr>
      <w:r>
        <w:rPr>
          <w:rFonts w:hint="eastAsia"/>
        </w:rPr>
        <w:t>按单项计提坏账准备：</w:t>
      </w:r>
    </w:p>
    <w:sdt>
      <w:sdtPr>
        <w:alias w:val="是否适用：按单项计提坏账准备的详细情况[双击切换]"/>
        <w:tag w:val="_GBC_0715807534664009b6e06e12b5244cb0"/>
        <w:id w:val="-865975042"/>
        <w:placeholder>
          <w:docPart w:val="GBC22222222222222222222222222222"/>
        </w:placeholder>
      </w:sdtPr>
      <w:sdtContent>
        <w:p w14:paraId="452890C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8A9B9D6">
      <w:pPr>
        <w:pStyle w:val="48"/>
      </w:pPr>
    </w:p>
    <w:p w14:paraId="4D302FF3">
      <w:pPr>
        <w:pStyle w:val="48"/>
      </w:pPr>
      <w:r>
        <w:rPr>
          <w:rFonts w:hint="eastAsia"/>
        </w:rPr>
        <w:t>按单项计提坏账准备的说明：</w:t>
      </w:r>
    </w:p>
    <w:sdt>
      <w:sdtPr>
        <w:alias w:val="是否适用：按单项计提坏账准备的说明[双击切换]"/>
        <w:tag w:val="_GBC_22fd3e53fab548e0b8db7ad77d176da5"/>
        <w:id w:val="171147365"/>
        <w:placeholder>
          <w:docPart w:val="GBC22222222222222222222222222222"/>
        </w:placeholder>
      </w:sdtPr>
      <w:sdtContent>
        <w:p w14:paraId="419D5D7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7F07C9F">
      <w:pPr>
        <w:pStyle w:val="48"/>
      </w:pPr>
    </w:p>
    <w:p w14:paraId="30966D68">
      <w:pPr>
        <w:rPr>
          <w:rFonts w:ascii="Calibri" w:hAnsi="Calibri"/>
          <w:bCs/>
          <w:szCs w:val="22"/>
        </w:rPr>
      </w:pPr>
      <w:r>
        <w:rPr>
          <w:rFonts w:hint="eastAsia" w:ascii="Calibri" w:hAnsi="Calibri"/>
          <w:bCs/>
          <w:szCs w:val="22"/>
        </w:rPr>
        <w:t>按组合计提坏账准备：</w:t>
      </w:r>
    </w:p>
    <w:sdt>
      <w:sdtPr>
        <w:rPr>
          <w:rFonts w:ascii="Calibri" w:hAnsi="Calibri"/>
          <w:bCs/>
          <w:szCs w:val="22"/>
        </w:rPr>
        <w:alias w:val="是否适用：按组合计提坏账准备的详细情况[双击切换]"/>
        <w:tag w:val="_GBC_3fb2695da2d2471f82cd62f8736c521e"/>
        <w:id w:val="-2123377100"/>
        <w:placeholder>
          <w:docPart w:val="GBC22222222222222222222222222222"/>
        </w:placeholder>
      </w:sdtPr>
      <w:sdtEndPr>
        <w:rPr>
          <w:rFonts w:ascii="Calibri" w:hAnsi="Calibri"/>
          <w:bCs/>
          <w:szCs w:val="22"/>
        </w:rPr>
      </w:sdtEndPr>
      <w:sdtContent>
        <w:p w14:paraId="6D2BAB31">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5BE91A0A">
      <w:pPr>
        <w:pStyle w:val="48"/>
      </w:pPr>
    </w:p>
    <w:p w14:paraId="7B9173A9">
      <w:pPr>
        <w:rPr>
          <w:rFonts w:ascii="Calibri" w:hAnsi="Calibri"/>
          <w:b/>
          <w:bCs/>
          <w:szCs w:val="22"/>
        </w:rPr>
      </w:pPr>
    </w:p>
    <w:bookmarkEnd w:id="263"/>
    <w:p w14:paraId="07DA87D2">
      <w:pPr>
        <w:pStyle w:val="6"/>
        <w:numPr>
          <w:ilvl w:val="0"/>
          <w:numId w:val="68"/>
        </w:numPr>
        <w:ind w:leftChars="0"/>
      </w:pPr>
      <w:bookmarkStart w:id="264" w:name="_Hlk533421146"/>
      <w:r>
        <w:rPr>
          <w:rFonts w:hint="eastAsia"/>
        </w:rPr>
        <w:t xml:space="preserve">按预期信用损失一般模型计提坏账准备 </w:t>
      </w:r>
    </w:p>
    <w:sdt>
      <w:sdtPr>
        <w:alias w:val="是否适用：应收股利坏账准备调节表[双击切换]"/>
        <w:tag w:val="_GBC_847cf15503744e02b8ac7395c17d2da6"/>
        <w:id w:val="-39903068"/>
        <w:placeholder>
          <w:docPart w:val="GBC22222222222222222222222222222"/>
        </w:placeholder>
      </w:sdtPr>
      <w:sdtContent>
        <w:p w14:paraId="0B2170E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7DF3C3">
      <w:pPr>
        <w:pStyle w:val="48"/>
      </w:pPr>
    </w:p>
    <w:p w14:paraId="4E285D76">
      <w:pPr>
        <w:rPr>
          <w:bCs/>
          <w:szCs w:val="22"/>
        </w:rPr>
      </w:pPr>
    </w:p>
    <w:p w14:paraId="71AEFF12">
      <w:pPr>
        <w:autoSpaceDE w:val="0"/>
        <w:autoSpaceDN w:val="0"/>
        <w:adjustRightInd w:val="0"/>
        <w:ind w:right="105" w:rightChars="50"/>
      </w:pPr>
    </w:p>
    <w:p w14:paraId="6FBBC275">
      <w:pPr>
        <w:pStyle w:val="38"/>
      </w:pPr>
      <w:r>
        <w:rPr>
          <w:rFonts w:hint="eastAsia"/>
        </w:rPr>
        <w:t>对本期发生损失准备变动的应收股利账面余额显著变动的情况说明：</w:t>
      </w:r>
    </w:p>
    <w:sdt>
      <w:sdtPr>
        <w:alias w:val="是否适用：应收股利本期发生损失准备变动且账面余额显著变动的情况说明[双击切换]"/>
        <w:tag w:val="_GBC_f431acf85fd94f1eb2cd4d70b0f69b2c"/>
        <w:id w:val="260493653"/>
        <w:placeholder>
          <w:docPart w:val="GBC22222222222222222222222222222"/>
        </w:placeholder>
      </w:sdtPr>
      <w:sdtContent>
        <w:p w14:paraId="03C6C1A1">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CE7528">
      <w:pPr>
        <w:autoSpaceDE w:val="0"/>
        <w:autoSpaceDN w:val="0"/>
        <w:adjustRightInd w:val="0"/>
        <w:ind w:right="105" w:rightChars="50"/>
      </w:pPr>
    </w:p>
    <w:bookmarkEnd w:id="264"/>
    <w:p w14:paraId="00B5808D">
      <w:pPr>
        <w:pStyle w:val="6"/>
        <w:numPr>
          <w:ilvl w:val="0"/>
          <w:numId w:val="68"/>
        </w:numPr>
        <w:ind w:leftChars="0"/>
      </w:pPr>
      <w:bookmarkStart w:id="265" w:name="_Hlk153377452"/>
      <w:r>
        <w:rPr>
          <w:rFonts w:hint="eastAsia"/>
        </w:rPr>
        <w:t>坏账准备的情况</w:t>
      </w:r>
    </w:p>
    <w:sdt>
      <w:sdtPr>
        <w:alias w:val="是否适用：坏账准备情况[双击切换]"/>
        <w:tag w:val="_GBC_3425c1c233b1473ca1aaf53c81088091"/>
        <w:id w:val="977883964"/>
        <w:placeholder>
          <w:docPart w:val="GBC22222222222222222222222222222"/>
        </w:placeholder>
      </w:sdtPr>
      <w:sdtContent>
        <w:p w14:paraId="7D374C5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7E0BE26">
      <w:pPr>
        <w:pStyle w:val="48"/>
      </w:pPr>
    </w:p>
    <w:p w14:paraId="464E54E4">
      <w:pPr>
        <w:pStyle w:val="48"/>
      </w:pPr>
      <w:r>
        <w:rPr>
          <w:rFonts w:hint="eastAsia"/>
        </w:rPr>
        <w:t>其中本期坏账准备收回或转回金额重要的：</w:t>
      </w:r>
    </w:p>
    <w:sdt>
      <w:sdtPr>
        <w:alias w:val="是否适用：本期坏账准备收回或转回金额重要的[双击切换]"/>
        <w:tag w:val="_GBC_d8ca1b67740e4a2e8d7777b8dee9c902"/>
        <w:id w:val="1797796690"/>
        <w:placeholder>
          <w:docPart w:val="GBC22222222222222222222222222222"/>
        </w:placeholder>
      </w:sdtPr>
      <w:sdtContent>
        <w:p w14:paraId="7EDBF6E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93D179">
      <w:pPr>
        <w:pStyle w:val="48"/>
      </w:pPr>
    </w:p>
    <w:p w14:paraId="50F9031E">
      <w:pPr>
        <w:ind w:right="42" w:rightChars="20"/>
      </w:pPr>
    </w:p>
    <w:p w14:paraId="5E63006C">
      <w:pPr>
        <w:ind w:right="-1594" w:rightChars="-759"/>
      </w:pPr>
    </w:p>
    <w:p w14:paraId="57D05807">
      <w:pPr>
        <w:pStyle w:val="6"/>
        <w:numPr>
          <w:ilvl w:val="0"/>
          <w:numId w:val="68"/>
        </w:numPr>
        <w:ind w:leftChars="0"/>
      </w:pPr>
      <w:r>
        <w:rPr>
          <w:rFonts w:hint="eastAsia"/>
        </w:rPr>
        <w:t>本期实际核销的应收股利情况</w:t>
      </w:r>
    </w:p>
    <w:sdt>
      <w:sdtPr>
        <w:alias w:val="是否适用：实际核销的情况[双击切换]"/>
        <w:tag w:val="_GBC_affd5e7be1cd4edaac5e7416308656eb"/>
        <w:id w:val="936722695"/>
        <w:placeholder>
          <w:docPart w:val="GBC22222222222222222222222222222"/>
        </w:placeholder>
      </w:sdtPr>
      <w:sdtContent>
        <w:p w14:paraId="7A57A10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79F7A6F">
      <w:pPr>
        <w:pStyle w:val="48"/>
      </w:pPr>
    </w:p>
    <w:p w14:paraId="3B1FF6E8">
      <w:pPr>
        <w:pStyle w:val="48"/>
      </w:pPr>
      <w:r>
        <w:rPr>
          <w:rFonts w:hint="eastAsia"/>
        </w:rPr>
        <w:t>其中重要的应收股利核销情况</w:t>
      </w:r>
    </w:p>
    <w:sdt>
      <w:sdtPr>
        <w:rPr>
          <w:rFonts w:hint="eastAsia"/>
        </w:rPr>
        <w:alias w:val="是否适用：重要的核销情况[双击切换]"/>
        <w:tag w:val="_GBC_a09dafd42ae74d3fae2308963d62171e"/>
        <w:id w:val="53752572"/>
        <w:placeholder>
          <w:docPart w:val="GBC22222222222222222222222222222"/>
        </w:placeholder>
      </w:sdtPr>
      <w:sdtEndPr>
        <w:rPr>
          <w:rFonts w:hint="eastAsia"/>
        </w:rPr>
      </w:sdtEndPr>
      <w:sdtContent>
        <w:p w14:paraId="6F0B21D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5144E41">
      <w:pPr>
        <w:pStyle w:val="48"/>
      </w:pPr>
    </w:p>
    <w:p w14:paraId="73FC4698">
      <w:pPr>
        <w:snapToGrid w:val="0"/>
        <w:spacing w:line="240" w:lineRule="atLeast"/>
      </w:pPr>
      <w:r>
        <w:rPr>
          <w:rFonts w:hint="eastAsia"/>
        </w:rPr>
        <w:t>核销说明：</w:t>
      </w:r>
    </w:p>
    <w:sdt>
      <w:sdtPr>
        <w:alias w:val="是否适用：核销说明[双击切换]"/>
        <w:tag w:val="_GBC_fd7a575bc84240be8d95e73a6c70d53d"/>
        <w:id w:val="226877434"/>
        <w:placeholder>
          <w:docPart w:val="GBC22222222222222222222222222222"/>
        </w:placeholder>
      </w:sdtPr>
      <w:sdtContent>
        <w:p w14:paraId="655E59B0">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C22D577">
      <w:pPr>
        <w:pStyle w:val="48"/>
      </w:pPr>
    </w:p>
    <w:bookmarkEnd w:id="265"/>
    <w:p w14:paraId="71B87ACA">
      <w:pPr>
        <w:pStyle w:val="48"/>
      </w:pPr>
      <w:r>
        <w:rPr>
          <w:rFonts w:hint="eastAsia"/>
        </w:rPr>
        <w:t>其他说明：</w:t>
      </w:r>
    </w:p>
    <w:p w14:paraId="38A8F502">
      <w:pPr>
        <w:pStyle w:val="48"/>
      </w:pPr>
      <w:sdt>
        <w:sdtPr>
          <w:alias w:val="是否适用：应收股利的说明[双击切换]"/>
          <w:tag w:val="_GBC_22314d2cdf794d5f90af92f13665da22"/>
          <w:id w:val="-500437037"/>
          <w:placeholder>
            <w:docPart w:val="GBC22222222222222222222222222222"/>
          </w:placeholder>
        </w:sdt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008FF315">
      <w:pPr>
        <w:snapToGrid w:val="0"/>
        <w:spacing w:line="240" w:lineRule="atLeast"/>
        <w:ind w:right="25" w:rightChars="12"/>
        <w:rPr>
          <w:color w:val="FF0000"/>
        </w:rPr>
      </w:pPr>
    </w:p>
    <w:p w14:paraId="56ED7D58">
      <w:pPr>
        <w:pStyle w:val="5"/>
        <w:ind w:left="360" w:hanging="360"/>
      </w:pPr>
      <w:r>
        <w:rPr>
          <w:rFonts w:hint="eastAsia"/>
        </w:rPr>
        <w:t>其他应收款</w:t>
      </w:r>
    </w:p>
    <w:p w14:paraId="5D711BB9">
      <w:pPr>
        <w:pStyle w:val="6"/>
        <w:numPr>
          <w:ilvl w:val="0"/>
          <w:numId w:val="69"/>
        </w:numPr>
        <w:ind w:leftChars="0"/>
      </w:pPr>
      <w:bookmarkStart w:id="266" w:name="_Hlk533421204"/>
      <w:r>
        <w:rPr>
          <w:rFonts w:hint="eastAsia"/>
        </w:rPr>
        <w:t>按账龄披露</w:t>
      </w:r>
      <w:bookmarkEnd w:id="266"/>
    </w:p>
    <w:sdt>
      <w:sdtPr>
        <w:rPr>
          <w:rFonts w:hint="eastAsia"/>
        </w:rPr>
        <w:alias w:val="是否适用：组合中，按账龄分析法计提坏账准备的其他应收账款[双击切换]"/>
        <w:tag w:val="_GBC_b46a4e720a884c40b402c5b30a4f4432"/>
        <w:id w:val="-374553167"/>
        <w:placeholder>
          <w:docPart w:val="GBC22222222222222222222222222222"/>
        </w:placeholder>
      </w:sdtPr>
      <w:sdtEndPr>
        <w:rPr>
          <w:rFonts w:hint="eastAsia"/>
        </w:rPr>
      </w:sdtEndPr>
      <w:sdtContent>
        <w:p w14:paraId="1D603E0B">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31FBA47">
      <w:pPr>
        <w:jc w:val="right"/>
      </w:pPr>
      <w:r>
        <w:rPr>
          <w:rFonts w:hint="eastAsia"/>
        </w:rPr>
        <w:t>单位：</w:t>
      </w:r>
      <w:sdt>
        <w:sdtPr>
          <w:rPr>
            <w:rFonts w:hint="eastAsia"/>
          </w:rPr>
          <w:alias w:val="单位：财务附注：单项金额不重大但按信用风险特征组合后该组合的风险较大的其他应收账款"/>
          <w:tag w:val="_GBC_6ca37718de0645da8a1de40ee1bb1597"/>
          <w:id w:val="21436920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单项金额不重大但按信用风险特征组合后该组合的风险较大的其他应收账款"/>
          <w:tag w:val="_GBC_eccd3e1ac8d04ff882b9e0189e7dd629"/>
          <w:id w:val="17616374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072"/>
        <w:gridCol w:w="2993"/>
        <w:gridCol w:w="2993"/>
      </w:tblGrid>
      <w:tr w14:paraId="3188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693c274d2774e098d4e6f0b6ce787c4"/>
            <w:id w:val="-777102206"/>
          </w:sdtPr>
          <w:sdtContent>
            <w:tc>
              <w:tcPr>
                <w:tcW w:w="3072" w:type="dxa"/>
                <w:tcBorders>
                  <w:top w:val="single" w:color="auto" w:sz="4" w:space="0"/>
                  <w:left w:val="single" w:color="auto" w:sz="4" w:space="0"/>
                  <w:bottom w:val="single" w:color="auto" w:sz="4" w:space="0"/>
                  <w:right w:val="single" w:color="auto" w:sz="4" w:space="0"/>
                </w:tcBorders>
                <w:vAlign w:val="center"/>
              </w:tcPr>
              <w:p w14:paraId="13D77CEF">
                <w:pPr>
                  <w:jc w:val="center"/>
                  <w:rPr>
                    <w:rFonts w:ascii="Calibri" w:hAnsi="Calibri"/>
                    <w:sz w:val="20"/>
                    <w:szCs w:val="20"/>
                  </w:rPr>
                </w:pPr>
                <w:r>
                  <w:rPr>
                    <w:rFonts w:hint="eastAsia" w:ascii="Calibri" w:hAnsi="Calibri"/>
                    <w:sz w:val="20"/>
                    <w:szCs w:val="20"/>
                  </w:rPr>
                  <w:t>账龄</w:t>
                </w:r>
              </w:p>
            </w:tc>
          </w:sdtContent>
        </w:sdt>
        <w:sdt>
          <w:sdtPr>
            <w:tag w:val="_PLD_592d3cc76c64401da21e664b374ad045"/>
            <w:id w:val="726576710"/>
          </w:sdtPr>
          <w:sdtContent>
            <w:tc>
              <w:tcPr>
                <w:tcW w:w="2993" w:type="dxa"/>
                <w:tcBorders>
                  <w:top w:val="single" w:color="auto" w:sz="4" w:space="0"/>
                  <w:left w:val="single" w:color="auto" w:sz="4" w:space="0"/>
                  <w:bottom w:val="single" w:color="auto" w:sz="4" w:space="0"/>
                  <w:right w:val="single" w:color="auto" w:sz="4" w:space="0"/>
                </w:tcBorders>
                <w:vAlign w:val="center"/>
              </w:tcPr>
              <w:p w14:paraId="3DEF2CDF">
                <w:pPr>
                  <w:jc w:val="center"/>
                  <w:rPr>
                    <w:rFonts w:ascii="Calibri" w:hAnsi="Calibri"/>
                    <w:sz w:val="20"/>
                    <w:szCs w:val="20"/>
                  </w:rPr>
                </w:pPr>
                <w:r>
                  <w:rPr>
                    <w:rFonts w:hint="eastAsia" w:ascii="Calibri" w:hAnsi="Calibri"/>
                    <w:sz w:val="20"/>
                    <w:szCs w:val="20"/>
                  </w:rPr>
                  <w:t>期末账面余额</w:t>
                </w:r>
              </w:p>
            </w:tc>
          </w:sdtContent>
        </w:sdt>
        <w:tc>
          <w:tcPr>
            <w:tcW w:w="2993" w:type="dxa"/>
            <w:tcBorders>
              <w:top w:val="single" w:color="auto" w:sz="4" w:space="0"/>
              <w:left w:val="single" w:color="auto" w:sz="4" w:space="0"/>
              <w:bottom w:val="single" w:color="auto" w:sz="4" w:space="0"/>
              <w:right w:val="single" w:color="auto" w:sz="4" w:space="0"/>
            </w:tcBorders>
            <w:vAlign w:val="center"/>
          </w:tcPr>
          <w:sdt>
            <w:sdtPr>
              <w:tag w:val="_PLD_9bcf94b318874d63924c35d852b5b3c8"/>
              <w:id w:val="445039893"/>
            </w:sdtPr>
            <w:sdtContent>
              <w:p w14:paraId="6E1FD206">
                <w:pPr>
                  <w:jc w:val="center"/>
                  <w:rPr>
                    <w:rFonts w:ascii="Calibri" w:hAnsi="Calibri"/>
                    <w:sz w:val="20"/>
                    <w:szCs w:val="20"/>
                  </w:rPr>
                </w:pPr>
                <w:r>
                  <w:rPr>
                    <w:rFonts w:hint="eastAsia" w:ascii="Calibri" w:hAnsi="Calibri"/>
                    <w:sz w:val="20"/>
                    <w:szCs w:val="20"/>
                  </w:rPr>
                  <w:t>期初账面余额</w:t>
                </w:r>
              </w:p>
            </w:sdtContent>
          </w:sdt>
        </w:tc>
      </w:tr>
      <w:tr w14:paraId="4737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73BCA670">
            <w:pPr>
              <w:pStyle w:val="48"/>
              <w:rPr>
                <w:sz w:val="20"/>
                <w:szCs w:val="20"/>
              </w:rPr>
            </w:pPr>
            <w:r>
              <w:rPr>
                <w:rFonts w:hint="eastAsia"/>
                <w:sz w:val="20"/>
                <w:szCs w:val="20"/>
              </w:rPr>
              <w:t>1年以内（含1年）</w:t>
            </w:r>
          </w:p>
        </w:tc>
        <w:tc>
          <w:tcPr>
            <w:tcW w:w="2993" w:type="dxa"/>
            <w:tcBorders>
              <w:top w:val="single" w:color="auto" w:sz="4" w:space="0"/>
              <w:left w:val="single" w:color="auto" w:sz="4" w:space="0"/>
              <w:bottom w:val="single" w:color="auto" w:sz="4" w:space="0"/>
              <w:right w:val="single" w:color="auto" w:sz="4" w:space="0"/>
            </w:tcBorders>
            <w:vAlign w:val="center"/>
          </w:tcPr>
          <w:p w14:paraId="23D14A47">
            <w:pPr>
              <w:jc w:val="right"/>
              <w:rPr>
                <w:rFonts w:ascii="Calibri" w:hAnsi="Calibri"/>
                <w:sz w:val="20"/>
                <w:szCs w:val="20"/>
              </w:rPr>
            </w:pPr>
            <w:r>
              <w:rPr>
                <w:rFonts w:ascii="Calibri" w:hAnsi="Calibri"/>
                <w:sz w:val="20"/>
                <w:szCs w:val="20"/>
              </w:rPr>
              <w:t>5,041,529.00</w:t>
            </w:r>
          </w:p>
        </w:tc>
        <w:tc>
          <w:tcPr>
            <w:tcW w:w="2993" w:type="dxa"/>
            <w:tcBorders>
              <w:top w:val="single" w:color="auto" w:sz="4" w:space="0"/>
              <w:left w:val="single" w:color="auto" w:sz="4" w:space="0"/>
              <w:bottom w:val="single" w:color="auto" w:sz="4" w:space="0"/>
              <w:right w:val="single" w:color="auto" w:sz="4" w:space="0"/>
            </w:tcBorders>
            <w:vAlign w:val="center"/>
          </w:tcPr>
          <w:p w14:paraId="6D44335E">
            <w:pPr>
              <w:jc w:val="right"/>
              <w:rPr>
                <w:rFonts w:ascii="Calibri" w:hAnsi="Calibri"/>
                <w:sz w:val="20"/>
                <w:szCs w:val="20"/>
              </w:rPr>
            </w:pPr>
            <w:r>
              <w:rPr>
                <w:rFonts w:ascii="Calibri" w:hAnsi="Calibri"/>
                <w:sz w:val="20"/>
                <w:szCs w:val="20"/>
              </w:rPr>
              <w:t>3,847,750.33</w:t>
            </w:r>
          </w:p>
        </w:tc>
      </w:tr>
      <w:tr w14:paraId="7579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05109BB4">
            <w:pPr>
              <w:pStyle w:val="48"/>
              <w:rPr>
                <w:sz w:val="20"/>
                <w:szCs w:val="20"/>
              </w:rPr>
            </w:pPr>
            <w:r>
              <w:rPr>
                <w:rFonts w:hint="eastAsia"/>
                <w:sz w:val="20"/>
                <w:szCs w:val="20"/>
              </w:rPr>
              <w:t>1年以内</w:t>
            </w:r>
          </w:p>
        </w:tc>
        <w:tc>
          <w:tcPr>
            <w:tcW w:w="2993" w:type="dxa"/>
            <w:tcBorders>
              <w:top w:val="single" w:color="auto" w:sz="4" w:space="0"/>
              <w:left w:val="single" w:color="auto" w:sz="4" w:space="0"/>
              <w:bottom w:val="single" w:color="auto" w:sz="4" w:space="0"/>
              <w:right w:val="single" w:color="auto" w:sz="4" w:space="0"/>
            </w:tcBorders>
            <w:vAlign w:val="center"/>
          </w:tcPr>
          <w:p w14:paraId="2E423085">
            <w:pPr>
              <w:jc w:val="right"/>
              <w:rPr>
                <w:rFonts w:ascii="Calibri" w:hAnsi="Calibri"/>
                <w:sz w:val="20"/>
                <w:szCs w:val="20"/>
              </w:rPr>
            </w:pPr>
            <w:r>
              <w:rPr>
                <w:rFonts w:ascii="Calibri" w:hAnsi="Calibri"/>
                <w:sz w:val="20"/>
                <w:szCs w:val="20"/>
              </w:rPr>
              <w:t>5,041,529.00</w:t>
            </w:r>
          </w:p>
        </w:tc>
        <w:tc>
          <w:tcPr>
            <w:tcW w:w="2993" w:type="dxa"/>
            <w:tcBorders>
              <w:top w:val="single" w:color="auto" w:sz="4" w:space="0"/>
              <w:left w:val="single" w:color="auto" w:sz="4" w:space="0"/>
              <w:bottom w:val="single" w:color="auto" w:sz="4" w:space="0"/>
              <w:right w:val="single" w:color="auto" w:sz="4" w:space="0"/>
            </w:tcBorders>
            <w:vAlign w:val="center"/>
          </w:tcPr>
          <w:p w14:paraId="38175999">
            <w:pPr>
              <w:jc w:val="right"/>
              <w:rPr>
                <w:rFonts w:ascii="Calibri" w:hAnsi="Calibri"/>
                <w:sz w:val="20"/>
                <w:szCs w:val="20"/>
              </w:rPr>
            </w:pPr>
            <w:r>
              <w:rPr>
                <w:rFonts w:ascii="Calibri" w:hAnsi="Calibri"/>
                <w:sz w:val="20"/>
                <w:szCs w:val="20"/>
              </w:rPr>
              <w:t>3,847,750.33</w:t>
            </w:r>
          </w:p>
        </w:tc>
      </w:tr>
      <w:tr w14:paraId="0725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2EDA824F">
            <w:pPr>
              <w:pStyle w:val="48"/>
              <w:rPr>
                <w:sz w:val="20"/>
                <w:szCs w:val="20"/>
              </w:rPr>
            </w:pPr>
            <w:r>
              <w:rPr>
                <w:rFonts w:hint="eastAsia"/>
                <w:sz w:val="20"/>
                <w:szCs w:val="20"/>
              </w:rPr>
              <w:t>1至2年</w:t>
            </w:r>
          </w:p>
        </w:tc>
        <w:tc>
          <w:tcPr>
            <w:tcW w:w="2993" w:type="dxa"/>
            <w:tcBorders>
              <w:top w:val="single" w:color="auto" w:sz="4" w:space="0"/>
              <w:left w:val="single" w:color="auto" w:sz="4" w:space="0"/>
              <w:bottom w:val="single" w:color="auto" w:sz="4" w:space="0"/>
              <w:right w:val="single" w:color="auto" w:sz="4" w:space="0"/>
            </w:tcBorders>
            <w:vAlign w:val="center"/>
          </w:tcPr>
          <w:p w14:paraId="78E99C22">
            <w:pPr>
              <w:jc w:val="right"/>
              <w:rPr>
                <w:rFonts w:ascii="Calibri" w:hAnsi="Calibri"/>
                <w:sz w:val="20"/>
                <w:szCs w:val="20"/>
              </w:rPr>
            </w:pPr>
            <w:r>
              <w:rPr>
                <w:rFonts w:ascii="Calibri" w:hAnsi="Calibri"/>
                <w:sz w:val="20"/>
                <w:szCs w:val="20"/>
              </w:rPr>
              <w:t>1,780,476.51</w:t>
            </w:r>
          </w:p>
        </w:tc>
        <w:tc>
          <w:tcPr>
            <w:tcW w:w="2993" w:type="dxa"/>
            <w:tcBorders>
              <w:top w:val="single" w:color="auto" w:sz="4" w:space="0"/>
              <w:left w:val="single" w:color="auto" w:sz="4" w:space="0"/>
              <w:bottom w:val="single" w:color="auto" w:sz="4" w:space="0"/>
              <w:right w:val="single" w:color="auto" w:sz="4" w:space="0"/>
            </w:tcBorders>
            <w:vAlign w:val="center"/>
          </w:tcPr>
          <w:p w14:paraId="423FFB86">
            <w:pPr>
              <w:jc w:val="right"/>
              <w:rPr>
                <w:rFonts w:ascii="Calibri" w:hAnsi="Calibri"/>
                <w:sz w:val="20"/>
                <w:szCs w:val="20"/>
              </w:rPr>
            </w:pPr>
            <w:r>
              <w:rPr>
                <w:rFonts w:ascii="Calibri" w:hAnsi="Calibri"/>
                <w:sz w:val="20"/>
                <w:szCs w:val="20"/>
              </w:rPr>
              <w:t>618,841.43</w:t>
            </w:r>
          </w:p>
        </w:tc>
      </w:tr>
      <w:tr w14:paraId="11797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65BBD7D6">
            <w:pPr>
              <w:pStyle w:val="48"/>
              <w:rPr>
                <w:sz w:val="20"/>
                <w:szCs w:val="20"/>
              </w:rPr>
            </w:pPr>
            <w:r>
              <w:rPr>
                <w:rFonts w:hint="eastAsia"/>
                <w:sz w:val="20"/>
                <w:szCs w:val="20"/>
              </w:rPr>
              <w:t>2至3年</w:t>
            </w:r>
          </w:p>
        </w:tc>
        <w:tc>
          <w:tcPr>
            <w:tcW w:w="2993" w:type="dxa"/>
            <w:tcBorders>
              <w:top w:val="single" w:color="auto" w:sz="4" w:space="0"/>
              <w:left w:val="single" w:color="auto" w:sz="4" w:space="0"/>
              <w:bottom w:val="single" w:color="auto" w:sz="4" w:space="0"/>
              <w:right w:val="single" w:color="auto" w:sz="4" w:space="0"/>
            </w:tcBorders>
            <w:vAlign w:val="center"/>
          </w:tcPr>
          <w:p w14:paraId="07E1CD51">
            <w:pPr>
              <w:jc w:val="right"/>
              <w:rPr>
                <w:rFonts w:ascii="Calibri" w:hAnsi="Calibri"/>
                <w:sz w:val="20"/>
                <w:szCs w:val="20"/>
              </w:rPr>
            </w:pPr>
            <w:r>
              <w:rPr>
                <w:rFonts w:ascii="Calibri" w:hAnsi="Calibri"/>
                <w:sz w:val="20"/>
                <w:szCs w:val="20"/>
              </w:rPr>
              <w:t>131,100.67</w:t>
            </w:r>
          </w:p>
        </w:tc>
        <w:tc>
          <w:tcPr>
            <w:tcW w:w="2993" w:type="dxa"/>
            <w:tcBorders>
              <w:top w:val="single" w:color="auto" w:sz="4" w:space="0"/>
              <w:left w:val="single" w:color="auto" w:sz="4" w:space="0"/>
              <w:bottom w:val="single" w:color="auto" w:sz="4" w:space="0"/>
              <w:right w:val="single" w:color="auto" w:sz="4" w:space="0"/>
            </w:tcBorders>
            <w:vAlign w:val="center"/>
          </w:tcPr>
          <w:p w14:paraId="0C606B4E">
            <w:pPr>
              <w:jc w:val="right"/>
              <w:rPr>
                <w:rFonts w:ascii="Calibri" w:hAnsi="Calibri"/>
                <w:sz w:val="20"/>
                <w:szCs w:val="20"/>
              </w:rPr>
            </w:pPr>
            <w:r>
              <w:rPr>
                <w:rFonts w:ascii="Calibri" w:hAnsi="Calibri"/>
                <w:sz w:val="20"/>
                <w:szCs w:val="20"/>
              </w:rPr>
              <w:t>992,259.53</w:t>
            </w:r>
          </w:p>
        </w:tc>
      </w:tr>
      <w:tr w14:paraId="4740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48C6E05E">
            <w:pPr>
              <w:pStyle w:val="48"/>
              <w:rPr>
                <w:sz w:val="20"/>
                <w:szCs w:val="20"/>
              </w:rPr>
            </w:pPr>
            <w:r>
              <w:rPr>
                <w:rFonts w:hint="eastAsia"/>
                <w:sz w:val="20"/>
                <w:szCs w:val="20"/>
              </w:rPr>
              <w:t>3至4年</w:t>
            </w:r>
          </w:p>
        </w:tc>
        <w:tc>
          <w:tcPr>
            <w:tcW w:w="2993" w:type="dxa"/>
            <w:tcBorders>
              <w:top w:val="single" w:color="auto" w:sz="4" w:space="0"/>
              <w:left w:val="single" w:color="auto" w:sz="4" w:space="0"/>
              <w:bottom w:val="single" w:color="auto" w:sz="4" w:space="0"/>
              <w:right w:val="single" w:color="auto" w:sz="4" w:space="0"/>
            </w:tcBorders>
            <w:vAlign w:val="center"/>
          </w:tcPr>
          <w:p w14:paraId="24D090DB">
            <w:pPr>
              <w:jc w:val="right"/>
              <w:rPr>
                <w:rFonts w:ascii="Calibri" w:hAnsi="Calibri"/>
                <w:sz w:val="20"/>
                <w:szCs w:val="20"/>
              </w:rPr>
            </w:pPr>
            <w:r>
              <w:rPr>
                <w:rFonts w:ascii="Calibri" w:hAnsi="Calibri"/>
                <w:sz w:val="20"/>
                <w:szCs w:val="20"/>
              </w:rPr>
              <w:t>992,066.49</w:t>
            </w:r>
          </w:p>
        </w:tc>
        <w:tc>
          <w:tcPr>
            <w:tcW w:w="2993" w:type="dxa"/>
            <w:tcBorders>
              <w:top w:val="single" w:color="auto" w:sz="4" w:space="0"/>
              <w:left w:val="single" w:color="auto" w:sz="4" w:space="0"/>
              <w:bottom w:val="single" w:color="auto" w:sz="4" w:space="0"/>
              <w:right w:val="single" w:color="auto" w:sz="4" w:space="0"/>
            </w:tcBorders>
            <w:vAlign w:val="center"/>
          </w:tcPr>
          <w:p w14:paraId="4375A569">
            <w:pPr>
              <w:jc w:val="right"/>
              <w:rPr>
                <w:rFonts w:ascii="Calibri" w:hAnsi="Calibri"/>
                <w:sz w:val="20"/>
                <w:szCs w:val="20"/>
              </w:rPr>
            </w:pPr>
            <w:r>
              <w:rPr>
                <w:rFonts w:ascii="Calibri" w:hAnsi="Calibri"/>
                <w:sz w:val="20"/>
                <w:szCs w:val="20"/>
              </w:rPr>
              <w:t>55,000.00</w:t>
            </w:r>
          </w:p>
        </w:tc>
      </w:tr>
      <w:tr w14:paraId="5091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7A91F0D6">
            <w:pPr>
              <w:pStyle w:val="48"/>
              <w:rPr>
                <w:sz w:val="20"/>
                <w:szCs w:val="20"/>
              </w:rPr>
            </w:pPr>
            <w:r>
              <w:rPr>
                <w:rFonts w:hint="eastAsia"/>
                <w:sz w:val="20"/>
                <w:szCs w:val="20"/>
              </w:rPr>
              <w:t>4至5年</w:t>
            </w:r>
          </w:p>
        </w:tc>
        <w:tc>
          <w:tcPr>
            <w:tcW w:w="2993" w:type="dxa"/>
            <w:tcBorders>
              <w:top w:val="single" w:color="auto" w:sz="4" w:space="0"/>
              <w:left w:val="single" w:color="auto" w:sz="4" w:space="0"/>
              <w:bottom w:val="single" w:color="auto" w:sz="4" w:space="0"/>
              <w:right w:val="single" w:color="auto" w:sz="4" w:space="0"/>
            </w:tcBorders>
            <w:vAlign w:val="center"/>
          </w:tcPr>
          <w:p w14:paraId="6671DA2C">
            <w:pPr>
              <w:jc w:val="right"/>
              <w:rPr>
                <w:rFonts w:ascii="Calibri" w:hAnsi="Calibri"/>
                <w:sz w:val="20"/>
                <w:szCs w:val="20"/>
              </w:rPr>
            </w:pPr>
            <w:r>
              <w:rPr>
                <w:rFonts w:ascii="Calibri" w:hAnsi="Calibri"/>
                <w:sz w:val="20"/>
                <w:szCs w:val="20"/>
              </w:rPr>
              <w:t>55,000.00</w:t>
            </w:r>
          </w:p>
        </w:tc>
        <w:tc>
          <w:tcPr>
            <w:tcW w:w="2993" w:type="dxa"/>
            <w:tcBorders>
              <w:top w:val="single" w:color="auto" w:sz="4" w:space="0"/>
              <w:left w:val="single" w:color="auto" w:sz="4" w:space="0"/>
              <w:bottom w:val="single" w:color="auto" w:sz="4" w:space="0"/>
              <w:right w:val="single" w:color="auto" w:sz="4" w:space="0"/>
            </w:tcBorders>
            <w:vAlign w:val="center"/>
          </w:tcPr>
          <w:p w14:paraId="56C9A803">
            <w:pPr>
              <w:jc w:val="right"/>
              <w:rPr>
                <w:rFonts w:ascii="Calibri" w:hAnsi="Calibri"/>
                <w:sz w:val="20"/>
                <w:szCs w:val="20"/>
              </w:rPr>
            </w:pPr>
            <w:r>
              <w:rPr>
                <w:rFonts w:ascii="Calibri" w:hAnsi="Calibri"/>
                <w:sz w:val="20"/>
                <w:szCs w:val="20"/>
              </w:rPr>
              <w:t>478,000.00</w:t>
            </w:r>
          </w:p>
        </w:tc>
      </w:tr>
      <w:tr w14:paraId="21DA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1740F76D">
            <w:pPr>
              <w:pStyle w:val="48"/>
              <w:rPr>
                <w:sz w:val="20"/>
                <w:szCs w:val="20"/>
              </w:rPr>
            </w:pPr>
            <w:r>
              <w:rPr>
                <w:rFonts w:hint="eastAsia"/>
                <w:sz w:val="20"/>
                <w:szCs w:val="20"/>
              </w:rPr>
              <w:t>5年以上</w:t>
            </w:r>
          </w:p>
        </w:tc>
        <w:tc>
          <w:tcPr>
            <w:tcW w:w="2993" w:type="dxa"/>
            <w:tcBorders>
              <w:top w:val="single" w:color="auto" w:sz="4" w:space="0"/>
              <w:left w:val="single" w:color="auto" w:sz="4" w:space="0"/>
              <w:bottom w:val="single" w:color="auto" w:sz="4" w:space="0"/>
              <w:right w:val="single" w:color="auto" w:sz="4" w:space="0"/>
            </w:tcBorders>
            <w:vAlign w:val="center"/>
          </w:tcPr>
          <w:p w14:paraId="7004636E">
            <w:pPr>
              <w:jc w:val="right"/>
              <w:rPr>
                <w:rFonts w:ascii="Calibri" w:hAnsi="Calibri"/>
                <w:sz w:val="20"/>
                <w:szCs w:val="20"/>
              </w:rPr>
            </w:pPr>
            <w:r>
              <w:rPr>
                <w:rFonts w:ascii="Calibri" w:hAnsi="Calibri"/>
                <w:sz w:val="20"/>
                <w:szCs w:val="20"/>
              </w:rPr>
              <w:t>4,833,695.30</w:t>
            </w:r>
          </w:p>
        </w:tc>
        <w:tc>
          <w:tcPr>
            <w:tcW w:w="2993" w:type="dxa"/>
            <w:tcBorders>
              <w:top w:val="single" w:color="auto" w:sz="4" w:space="0"/>
              <w:left w:val="single" w:color="auto" w:sz="4" w:space="0"/>
              <w:bottom w:val="single" w:color="auto" w:sz="4" w:space="0"/>
              <w:right w:val="single" w:color="auto" w:sz="4" w:space="0"/>
            </w:tcBorders>
            <w:vAlign w:val="center"/>
          </w:tcPr>
          <w:p w14:paraId="60C2E018">
            <w:pPr>
              <w:jc w:val="right"/>
              <w:rPr>
                <w:rFonts w:ascii="Calibri" w:hAnsi="Calibri"/>
                <w:sz w:val="20"/>
                <w:szCs w:val="20"/>
              </w:rPr>
            </w:pPr>
            <w:r>
              <w:rPr>
                <w:rFonts w:ascii="Calibri" w:hAnsi="Calibri"/>
                <w:sz w:val="20"/>
                <w:szCs w:val="20"/>
              </w:rPr>
              <w:t>4,398,830.07</w:t>
            </w:r>
          </w:p>
        </w:tc>
      </w:tr>
      <w:tr w14:paraId="54BB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39001D4E">
            <w:pPr>
              <w:jc w:val="center"/>
              <w:rPr>
                <w:rFonts w:ascii="Calibri" w:hAnsi="Calibri"/>
                <w:sz w:val="20"/>
                <w:szCs w:val="20"/>
              </w:rPr>
            </w:pPr>
            <w:r>
              <w:rPr>
                <w:rFonts w:hint="eastAsia" w:ascii="Calibri" w:hAnsi="Calibri"/>
                <w:sz w:val="20"/>
                <w:szCs w:val="20"/>
              </w:rPr>
              <w:t>合计</w:t>
            </w:r>
          </w:p>
        </w:tc>
        <w:tc>
          <w:tcPr>
            <w:tcW w:w="2993" w:type="dxa"/>
            <w:tcBorders>
              <w:top w:val="single" w:color="auto" w:sz="4" w:space="0"/>
              <w:left w:val="single" w:color="auto" w:sz="4" w:space="0"/>
              <w:bottom w:val="single" w:color="auto" w:sz="4" w:space="0"/>
              <w:right w:val="single" w:color="auto" w:sz="4" w:space="0"/>
            </w:tcBorders>
            <w:vAlign w:val="center"/>
          </w:tcPr>
          <w:p w14:paraId="110FCD6C">
            <w:pPr>
              <w:jc w:val="right"/>
              <w:rPr>
                <w:rFonts w:ascii="Calibri" w:hAnsi="Calibri"/>
                <w:sz w:val="20"/>
                <w:szCs w:val="20"/>
              </w:rPr>
            </w:pPr>
            <w:r>
              <w:rPr>
                <w:rFonts w:ascii="Calibri" w:hAnsi="Calibri"/>
                <w:sz w:val="20"/>
                <w:szCs w:val="20"/>
              </w:rPr>
              <w:t>12,833,867.97</w:t>
            </w:r>
          </w:p>
        </w:tc>
        <w:tc>
          <w:tcPr>
            <w:tcW w:w="2993" w:type="dxa"/>
            <w:tcBorders>
              <w:top w:val="single" w:color="auto" w:sz="4" w:space="0"/>
              <w:left w:val="single" w:color="auto" w:sz="4" w:space="0"/>
              <w:bottom w:val="single" w:color="auto" w:sz="4" w:space="0"/>
              <w:right w:val="single" w:color="auto" w:sz="4" w:space="0"/>
            </w:tcBorders>
            <w:vAlign w:val="center"/>
          </w:tcPr>
          <w:p w14:paraId="5500D987">
            <w:pPr>
              <w:jc w:val="right"/>
              <w:rPr>
                <w:rFonts w:ascii="Calibri" w:hAnsi="Calibri"/>
                <w:sz w:val="20"/>
                <w:szCs w:val="20"/>
              </w:rPr>
            </w:pPr>
            <w:r>
              <w:rPr>
                <w:rFonts w:ascii="Calibri" w:hAnsi="Calibri"/>
                <w:sz w:val="20"/>
                <w:szCs w:val="20"/>
              </w:rPr>
              <w:t>10,390,681.36</w:t>
            </w:r>
          </w:p>
        </w:tc>
      </w:tr>
    </w:tbl>
    <w:p w14:paraId="56951501">
      <w:pPr>
        <w:pStyle w:val="48"/>
      </w:pPr>
    </w:p>
    <w:p w14:paraId="0D8C99D2">
      <w:pPr>
        <w:pStyle w:val="48"/>
      </w:pPr>
    </w:p>
    <w:p w14:paraId="2242C3FF">
      <w:pPr>
        <w:pStyle w:val="6"/>
        <w:numPr>
          <w:ilvl w:val="0"/>
          <w:numId w:val="69"/>
        </w:numPr>
        <w:ind w:leftChars="0"/>
      </w:pPr>
      <w:r>
        <w:rPr>
          <w:rFonts w:hint="eastAsia"/>
        </w:rPr>
        <w:t>按款项性质分类情况</w:t>
      </w:r>
    </w:p>
    <w:p w14:paraId="53AFE5E8">
      <w:pPr>
        <w:pStyle w:val="48"/>
      </w:pPr>
      <w:sdt>
        <w:sdtPr>
          <w:alias w:val="是否适用：其他应收款按款项性质分类情况[双击切换]"/>
          <w:tag w:val="_GBC_f8f8208812d5412eb0a2fdddf1a9d330"/>
          <w:id w:val="589896960"/>
          <w:placeholder>
            <w:docPart w:val="GBC22222222222222222222222222222"/>
          </w:placeholder>
        </w:sdtPr>
        <w:sdtContent>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7C2C99F6">
      <w:pPr>
        <w:jc w:val="right"/>
      </w:pPr>
      <w:r>
        <w:rPr>
          <w:rFonts w:hint="eastAsia"/>
        </w:rPr>
        <w:t>单位：</w:t>
      </w:r>
      <w:sdt>
        <w:sdtPr>
          <w:rPr>
            <w:rFonts w:hint="eastAsia"/>
          </w:rPr>
          <w:alias w:val="单位：财务附注：其他应收款按款项性质分类情况"/>
          <w:tag w:val="_GBC_6e3e3b79e1a6467e8f5cdcabc0a95e4a"/>
          <w:id w:val="-9524728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5476924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6"/>
        <w:gridCol w:w="2980"/>
        <w:gridCol w:w="2991"/>
      </w:tblGrid>
      <w:tr w14:paraId="5AF1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3e4ae09c73a4371a49803278d537455"/>
            <w:id w:val="-817100629"/>
          </w:sdtPr>
          <w:sdtContent>
            <w:tc>
              <w:tcPr>
                <w:tcW w:w="3076" w:type="dxa"/>
                <w:vAlign w:val="center"/>
              </w:tcPr>
              <w:p w14:paraId="332F7D3F">
                <w:pPr>
                  <w:jc w:val="center"/>
                  <w:rPr>
                    <w:rFonts w:ascii="Calibri" w:hAnsi="Calibri"/>
                    <w:sz w:val="20"/>
                    <w:szCs w:val="20"/>
                  </w:rPr>
                </w:pPr>
                <w:bookmarkStart w:id="267" w:name="_Hlk533867880"/>
                <w:r>
                  <w:rPr>
                    <w:rFonts w:hint="eastAsia" w:ascii="Calibri" w:hAnsi="Calibri"/>
                    <w:sz w:val="20"/>
                    <w:szCs w:val="20"/>
                  </w:rPr>
                  <w:t>款项性质</w:t>
                </w:r>
              </w:p>
            </w:tc>
          </w:sdtContent>
        </w:sdt>
        <w:sdt>
          <w:sdtPr>
            <w:tag w:val="_PLD_166416173edb4a39b34c47c78d0dc766"/>
            <w:id w:val="-1029259425"/>
          </w:sdtPr>
          <w:sdtContent>
            <w:tc>
              <w:tcPr>
                <w:tcW w:w="2980" w:type="dxa"/>
                <w:vAlign w:val="center"/>
              </w:tcPr>
              <w:p w14:paraId="7FE36940">
                <w:pPr>
                  <w:jc w:val="center"/>
                  <w:rPr>
                    <w:rFonts w:ascii="Calibri" w:hAnsi="Calibri"/>
                    <w:sz w:val="20"/>
                    <w:szCs w:val="20"/>
                  </w:rPr>
                </w:pPr>
                <w:r>
                  <w:rPr>
                    <w:rFonts w:hint="eastAsia" w:ascii="Calibri" w:hAnsi="Calibri"/>
                    <w:sz w:val="20"/>
                    <w:szCs w:val="20"/>
                  </w:rPr>
                  <w:t>期末账面余额</w:t>
                </w:r>
              </w:p>
            </w:tc>
          </w:sdtContent>
        </w:sdt>
        <w:sdt>
          <w:sdtPr>
            <w:tag w:val="_PLD_a78baace40634aeaaff4786c955e1f60"/>
            <w:id w:val="131984328"/>
          </w:sdtPr>
          <w:sdtContent>
            <w:tc>
              <w:tcPr>
                <w:tcW w:w="2991" w:type="dxa"/>
                <w:vAlign w:val="center"/>
              </w:tcPr>
              <w:p w14:paraId="074E4F84">
                <w:pPr>
                  <w:jc w:val="center"/>
                  <w:rPr>
                    <w:rFonts w:ascii="Calibri" w:hAnsi="Calibri"/>
                    <w:sz w:val="20"/>
                    <w:szCs w:val="20"/>
                  </w:rPr>
                </w:pPr>
                <w:r>
                  <w:rPr>
                    <w:rFonts w:hint="eastAsia" w:ascii="Calibri" w:hAnsi="Calibri"/>
                    <w:sz w:val="20"/>
                    <w:szCs w:val="20"/>
                  </w:rPr>
                  <w:t>期初账面余额</w:t>
                </w:r>
              </w:p>
            </w:tc>
          </w:sdtContent>
        </w:sdt>
      </w:tr>
      <w:tr w14:paraId="1A4A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6" w:type="dxa"/>
            <w:vAlign w:val="center"/>
          </w:tcPr>
          <w:p w14:paraId="1F237808">
            <w:pPr>
              <w:pStyle w:val="48"/>
              <w:rPr>
                <w:sz w:val="20"/>
                <w:szCs w:val="20"/>
              </w:rPr>
            </w:pPr>
            <w:r>
              <w:rPr>
                <w:sz w:val="20"/>
                <w:szCs w:val="20"/>
              </w:rPr>
              <w:t>备用金</w:t>
            </w:r>
          </w:p>
        </w:tc>
        <w:tc>
          <w:tcPr>
            <w:tcW w:w="2980" w:type="dxa"/>
            <w:vAlign w:val="center"/>
          </w:tcPr>
          <w:p w14:paraId="6CDD2D55">
            <w:pPr>
              <w:jc w:val="right"/>
              <w:rPr>
                <w:rFonts w:ascii="Calibri" w:hAnsi="Calibri"/>
                <w:sz w:val="20"/>
                <w:szCs w:val="20"/>
              </w:rPr>
            </w:pPr>
            <w:r>
              <w:rPr>
                <w:rFonts w:ascii="Calibri" w:hAnsi="Calibri"/>
                <w:sz w:val="20"/>
                <w:szCs w:val="20"/>
              </w:rPr>
              <w:t>1,500,772.48</w:t>
            </w:r>
          </w:p>
        </w:tc>
        <w:tc>
          <w:tcPr>
            <w:tcW w:w="2991" w:type="dxa"/>
            <w:vAlign w:val="center"/>
          </w:tcPr>
          <w:p w14:paraId="00B7B08F">
            <w:pPr>
              <w:jc w:val="right"/>
              <w:rPr>
                <w:rFonts w:ascii="Calibri" w:hAnsi="Calibri"/>
                <w:sz w:val="20"/>
                <w:szCs w:val="20"/>
              </w:rPr>
            </w:pPr>
            <w:r>
              <w:rPr>
                <w:rFonts w:ascii="Calibri" w:hAnsi="Calibri"/>
                <w:sz w:val="20"/>
                <w:szCs w:val="20"/>
              </w:rPr>
              <w:t>769,761.78</w:t>
            </w:r>
          </w:p>
        </w:tc>
      </w:tr>
      <w:tr w14:paraId="27C4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6" w:type="dxa"/>
            <w:vAlign w:val="center"/>
          </w:tcPr>
          <w:p w14:paraId="303E3758">
            <w:pPr>
              <w:pStyle w:val="48"/>
              <w:rPr>
                <w:sz w:val="20"/>
                <w:szCs w:val="20"/>
              </w:rPr>
            </w:pPr>
            <w:r>
              <w:rPr>
                <w:sz w:val="20"/>
                <w:szCs w:val="20"/>
              </w:rPr>
              <w:t>关联单位往来款</w:t>
            </w:r>
          </w:p>
        </w:tc>
        <w:tc>
          <w:tcPr>
            <w:tcW w:w="2980" w:type="dxa"/>
            <w:vAlign w:val="center"/>
          </w:tcPr>
          <w:p w14:paraId="2CB3D737">
            <w:pPr>
              <w:jc w:val="right"/>
              <w:rPr>
                <w:rFonts w:ascii="Calibri" w:hAnsi="Calibri"/>
                <w:sz w:val="20"/>
                <w:szCs w:val="20"/>
              </w:rPr>
            </w:pPr>
          </w:p>
        </w:tc>
        <w:tc>
          <w:tcPr>
            <w:tcW w:w="2991" w:type="dxa"/>
            <w:vAlign w:val="center"/>
          </w:tcPr>
          <w:p w14:paraId="55905B89">
            <w:pPr>
              <w:jc w:val="right"/>
              <w:rPr>
                <w:rFonts w:ascii="Calibri" w:hAnsi="Calibri"/>
                <w:sz w:val="20"/>
                <w:szCs w:val="20"/>
              </w:rPr>
            </w:pPr>
            <w:r>
              <w:rPr>
                <w:rFonts w:ascii="Calibri" w:hAnsi="Calibri"/>
                <w:sz w:val="20"/>
                <w:szCs w:val="20"/>
              </w:rPr>
              <w:t>911,062.11</w:t>
            </w:r>
          </w:p>
        </w:tc>
      </w:tr>
      <w:tr w14:paraId="7949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6" w:type="dxa"/>
            <w:vAlign w:val="center"/>
          </w:tcPr>
          <w:p w14:paraId="05DFE54B">
            <w:pPr>
              <w:pStyle w:val="48"/>
              <w:rPr>
                <w:sz w:val="20"/>
                <w:szCs w:val="20"/>
              </w:rPr>
            </w:pPr>
            <w:r>
              <w:rPr>
                <w:sz w:val="20"/>
                <w:szCs w:val="20"/>
              </w:rPr>
              <w:t>外部单位往来款</w:t>
            </w:r>
          </w:p>
        </w:tc>
        <w:tc>
          <w:tcPr>
            <w:tcW w:w="2980" w:type="dxa"/>
            <w:vAlign w:val="center"/>
          </w:tcPr>
          <w:p w14:paraId="58AE37EE">
            <w:pPr>
              <w:jc w:val="right"/>
              <w:rPr>
                <w:rFonts w:ascii="Calibri" w:hAnsi="Calibri"/>
                <w:sz w:val="20"/>
                <w:szCs w:val="20"/>
              </w:rPr>
            </w:pPr>
            <w:r>
              <w:rPr>
                <w:rFonts w:ascii="Calibri" w:hAnsi="Calibri"/>
                <w:sz w:val="20"/>
                <w:szCs w:val="20"/>
              </w:rPr>
              <w:t>7,884,646.93</w:t>
            </w:r>
          </w:p>
        </w:tc>
        <w:tc>
          <w:tcPr>
            <w:tcW w:w="2991" w:type="dxa"/>
            <w:vAlign w:val="center"/>
          </w:tcPr>
          <w:p w14:paraId="4FAC93E7">
            <w:pPr>
              <w:jc w:val="right"/>
              <w:rPr>
                <w:rFonts w:ascii="Calibri" w:hAnsi="Calibri"/>
                <w:sz w:val="20"/>
                <w:szCs w:val="20"/>
              </w:rPr>
            </w:pPr>
            <w:r>
              <w:rPr>
                <w:rFonts w:ascii="Calibri" w:hAnsi="Calibri"/>
                <w:sz w:val="20"/>
                <w:szCs w:val="20"/>
              </w:rPr>
              <w:t>5,400,857.47</w:t>
            </w:r>
          </w:p>
        </w:tc>
      </w:tr>
      <w:tr w14:paraId="2AA3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6" w:type="dxa"/>
            <w:vAlign w:val="center"/>
          </w:tcPr>
          <w:p w14:paraId="3F0FF675">
            <w:pPr>
              <w:pStyle w:val="48"/>
              <w:rPr>
                <w:sz w:val="20"/>
                <w:szCs w:val="20"/>
              </w:rPr>
            </w:pPr>
            <w:r>
              <w:rPr>
                <w:sz w:val="20"/>
                <w:szCs w:val="20"/>
              </w:rPr>
              <w:t>暂付款</w:t>
            </w:r>
          </w:p>
        </w:tc>
        <w:tc>
          <w:tcPr>
            <w:tcW w:w="2980" w:type="dxa"/>
            <w:vAlign w:val="center"/>
          </w:tcPr>
          <w:p w14:paraId="52E38AE5">
            <w:pPr>
              <w:jc w:val="right"/>
              <w:rPr>
                <w:rFonts w:ascii="Calibri" w:hAnsi="Calibri"/>
                <w:sz w:val="20"/>
                <w:szCs w:val="20"/>
              </w:rPr>
            </w:pPr>
            <w:r>
              <w:rPr>
                <w:rFonts w:ascii="Calibri" w:hAnsi="Calibri"/>
                <w:sz w:val="20"/>
                <w:szCs w:val="20"/>
              </w:rPr>
              <w:t>3,448,448.56</w:t>
            </w:r>
          </w:p>
        </w:tc>
        <w:tc>
          <w:tcPr>
            <w:tcW w:w="2991" w:type="dxa"/>
            <w:vAlign w:val="center"/>
          </w:tcPr>
          <w:p w14:paraId="4EE530E0">
            <w:pPr>
              <w:jc w:val="right"/>
              <w:rPr>
                <w:rFonts w:ascii="Calibri" w:hAnsi="Calibri"/>
                <w:sz w:val="20"/>
                <w:szCs w:val="20"/>
              </w:rPr>
            </w:pPr>
            <w:r>
              <w:rPr>
                <w:rFonts w:ascii="Calibri" w:hAnsi="Calibri"/>
                <w:sz w:val="20"/>
                <w:szCs w:val="20"/>
              </w:rPr>
              <w:t>3,309,000.00</w:t>
            </w:r>
          </w:p>
        </w:tc>
      </w:tr>
      <w:tr w14:paraId="3080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6" w:type="dxa"/>
            <w:vAlign w:val="center"/>
          </w:tcPr>
          <w:p w14:paraId="5A7C599E">
            <w:pPr>
              <w:jc w:val="center"/>
              <w:rPr>
                <w:rFonts w:ascii="Calibri" w:hAnsi="Calibri"/>
                <w:sz w:val="20"/>
                <w:szCs w:val="20"/>
              </w:rPr>
            </w:pPr>
            <w:r>
              <w:rPr>
                <w:rFonts w:ascii="Calibri" w:hAnsi="Calibri"/>
                <w:sz w:val="20"/>
                <w:szCs w:val="20"/>
              </w:rPr>
              <w:t>合计</w:t>
            </w:r>
          </w:p>
        </w:tc>
        <w:tc>
          <w:tcPr>
            <w:tcW w:w="2980" w:type="dxa"/>
            <w:vAlign w:val="center"/>
          </w:tcPr>
          <w:p w14:paraId="4D87EACD">
            <w:pPr>
              <w:jc w:val="right"/>
              <w:rPr>
                <w:rFonts w:ascii="Calibri" w:hAnsi="Calibri"/>
                <w:sz w:val="20"/>
                <w:szCs w:val="20"/>
              </w:rPr>
            </w:pPr>
            <w:r>
              <w:rPr>
                <w:rFonts w:ascii="Calibri" w:hAnsi="Calibri"/>
                <w:sz w:val="20"/>
                <w:szCs w:val="20"/>
              </w:rPr>
              <w:t>12,833,867.97</w:t>
            </w:r>
          </w:p>
        </w:tc>
        <w:tc>
          <w:tcPr>
            <w:tcW w:w="2991" w:type="dxa"/>
            <w:vAlign w:val="center"/>
          </w:tcPr>
          <w:p w14:paraId="07CE8BF4">
            <w:pPr>
              <w:jc w:val="right"/>
              <w:rPr>
                <w:rFonts w:ascii="Calibri" w:hAnsi="Calibri"/>
                <w:sz w:val="20"/>
                <w:szCs w:val="20"/>
              </w:rPr>
            </w:pPr>
            <w:r>
              <w:rPr>
                <w:rFonts w:ascii="Calibri" w:hAnsi="Calibri"/>
                <w:sz w:val="20"/>
                <w:szCs w:val="20"/>
              </w:rPr>
              <w:t>10,390,681.36</w:t>
            </w:r>
          </w:p>
        </w:tc>
      </w:tr>
    </w:tbl>
    <w:p w14:paraId="43D0E6BA"/>
    <w:p w14:paraId="1EB73978">
      <w:pPr>
        <w:pStyle w:val="6"/>
        <w:numPr>
          <w:ilvl w:val="0"/>
          <w:numId w:val="69"/>
        </w:numPr>
        <w:ind w:leftChars="0"/>
      </w:pPr>
      <w:r>
        <w:rPr>
          <w:rFonts w:hint="eastAsia"/>
        </w:rPr>
        <w:t>坏账准备计提情况</w:t>
      </w:r>
    </w:p>
    <w:sdt>
      <w:sdtPr>
        <w:alias w:val="是否适用：其他应收款坏账准备调节表[双击切换]"/>
        <w:tag w:val="_GBC_89d7c1af9f504137a919fea1a314fa80"/>
        <w:id w:val="1127045052"/>
        <w:placeholder>
          <w:docPart w:val="GBC22222222222222222222222222222"/>
        </w:placeholder>
      </w:sdtPr>
      <w:sdtContent>
        <w:p w14:paraId="183C9AB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A020BD0">
      <w:pPr>
        <w:autoSpaceDE w:val="0"/>
        <w:autoSpaceDN w:val="0"/>
        <w:adjustRightInd w:val="0"/>
        <w:ind w:right="105" w:rightChars="50"/>
        <w:jc w:val="right"/>
      </w:pPr>
      <w:r>
        <w:rPr>
          <w:rFonts w:hint="eastAsia"/>
        </w:rPr>
        <w:t>单位：</w:t>
      </w:r>
      <w:sdt>
        <w:sdtPr>
          <w:rPr>
            <w:rFonts w:hint="eastAsia"/>
          </w:rPr>
          <w:alias w:val="单位：其他应收款坏账准备调节表"/>
          <w:tag w:val="_GBC_1e902dc07fc44240af1ff69475733c28"/>
          <w:id w:val="7586520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其他应收款坏账准备调节表"/>
          <w:tag w:val="_GBC_5e93354ddb8841df82a0d16f2f5b44ae"/>
          <w:id w:val="-14877042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560"/>
        <w:gridCol w:w="1985"/>
        <w:gridCol w:w="1985"/>
        <w:gridCol w:w="1706"/>
      </w:tblGrid>
      <w:tr w14:paraId="68F0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f734c3456a843bda898d16924c52045"/>
            <w:id w:val="-1259203445"/>
          </w:sdtPr>
          <w:sdtContent>
            <w:tc>
              <w:tcPr>
                <w:tcW w:w="1811" w:type="dxa"/>
                <w:vMerge w:val="restart"/>
                <w:vAlign w:val="center"/>
              </w:tcPr>
              <w:p w14:paraId="57317B8E">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tag w:val="_PLD_cc2d5e47d032466f8f32fd4edec15e33"/>
            <w:id w:val="1436784416"/>
          </w:sdtPr>
          <w:sdtContent>
            <w:tc>
              <w:tcPr>
                <w:tcW w:w="1560" w:type="dxa"/>
                <w:vAlign w:val="center"/>
              </w:tcPr>
              <w:p w14:paraId="11FEFD7D">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tag w:val="_PLD_f7ffd31ab3534493bb75ab7d04c0c751"/>
            <w:id w:val="139239996"/>
          </w:sdtPr>
          <w:sdtContent>
            <w:tc>
              <w:tcPr>
                <w:tcW w:w="1985" w:type="dxa"/>
                <w:vAlign w:val="center"/>
              </w:tcPr>
              <w:p w14:paraId="46D5DDC8">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tag w:val="_PLD_b787de87168848159cb3a46726196c34"/>
            <w:id w:val="1205369763"/>
          </w:sdtPr>
          <w:sdtContent>
            <w:tc>
              <w:tcPr>
                <w:tcW w:w="1985" w:type="dxa"/>
                <w:vAlign w:val="center"/>
              </w:tcPr>
              <w:p w14:paraId="1F613C50">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tag w:val="_PLD_3b31af1f922741a8874346a86f3e2d25"/>
            <w:id w:val="1733971419"/>
          </w:sdtPr>
          <w:sdtContent>
            <w:tc>
              <w:tcPr>
                <w:tcW w:w="1706" w:type="dxa"/>
                <w:vMerge w:val="restart"/>
                <w:vAlign w:val="center"/>
              </w:tcPr>
              <w:p w14:paraId="55BC79CD">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14:paraId="3EAE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359766E4">
            <w:pPr>
              <w:jc w:val="center"/>
              <w:rPr>
                <w:rFonts w:ascii="Calibri" w:hAnsi="Calibri"/>
                <w:color w:val="008000"/>
                <w:sz w:val="20"/>
                <w:szCs w:val="20"/>
              </w:rPr>
            </w:pPr>
          </w:p>
        </w:tc>
        <w:sdt>
          <w:sdtPr>
            <w:tag w:val="_PLD_7158bbb0fd6b45478d53b382f0c1a5e9"/>
            <w:id w:val="705363753"/>
          </w:sdtPr>
          <w:sdtContent>
            <w:tc>
              <w:tcPr>
                <w:tcW w:w="1560" w:type="dxa"/>
                <w:vAlign w:val="center"/>
              </w:tcPr>
              <w:p w14:paraId="3FBFA4DC">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tag w:val="_PLD_a456fd5785a44d89b944d155197986fc"/>
            <w:id w:val="882292534"/>
          </w:sdtPr>
          <w:sdtContent>
            <w:tc>
              <w:tcPr>
                <w:tcW w:w="1985" w:type="dxa"/>
                <w:vAlign w:val="center"/>
              </w:tcPr>
              <w:p w14:paraId="5799117C">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tag w:val="_PLD_fb9265a3aa334f7ab93242b9630540b0"/>
            <w:id w:val="-36665664"/>
          </w:sdtPr>
          <w:sdtContent>
            <w:tc>
              <w:tcPr>
                <w:tcW w:w="1985" w:type="dxa"/>
                <w:vAlign w:val="center"/>
              </w:tcPr>
              <w:p w14:paraId="05B20C9C">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1706" w:type="dxa"/>
            <w:vMerge w:val="continue"/>
            <w:vAlign w:val="center"/>
          </w:tcPr>
          <w:p w14:paraId="4AEA27E9">
            <w:pPr>
              <w:jc w:val="center"/>
              <w:rPr>
                <w:rFonts w:ascii="Calibri" w:hAnsi="Calibri"/>
                <w:color w:val="008000"/>
                <w:sz w:val="20"/>
                <w:szCs w:val="20"/>
              </w:rPr>
            </w:pPr>
          </w:p>
        </w:tc>
      </w:tr>
      <w:tr w14:paraId="3205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670ED847">
            <w:pPr>
              <w:pStyle w:val="42"/>
              <w:spacing w:after="0" w:line="240" w:lineRule="auto"/>
              <w:jc w:val="both"/>
              <w:rPr>
                <w:rFonts w:ascii="宋体" w:hAnsi="宋体" w:eastAsia="宋体" w:cs="宋体"/>
                <w:sz w:val="21"/>
                <w:szCs w:val="21"/>
                <w:lang w:eastAsia="zh-CN"/>
              </w:rPr>
            </w:pPr>
            <w:r>
              <w:rPr>
                <w:rFonts w:ascii="宋体" w:hAnsi="宋体" w:eastAsia="宋体" w:cs="宋体"/>
                <w:sz w:val="21"/>
                <w:szCs w:val="21"/>
                <w:lang w:eastAsia="zh-CN"/>
              </w:rPr>
              <w:t>2025年</w:t>
            </w:r>
            <w:r>
              <w:rPr>
                <w:rFonts w:hint="eastAsia" w:ascii="宋体" w:hAnsi="宋体" w:eastAsia="宋体" w:cs="宋体"/>
                <w:sz w:val="21"/>
                <w:szCs w:val="21"/>
                <w:lang w:eastAsia="zh-CN"/>
              </w:rPr>
              <w:t>1月1日余额</w:t>
            </w:r>
          </w:p>
        </w:tc>
        <w:tc>
          <w:tcPr>
            <w:tcW w:w="1560" w:type="dxa"/>
            <w:vAlign w:val="center"/>
          </w:tcPr>
          <w:p w14:paraId="1C40D560">
            <w:pPr>
              <w:jc w:val="right"/>
              <w:rPr>
                <w:rFonts w:ascii="Calibri" w:hAnsi="Calibri"/>
                <w:sz w:val="20"/>
                <w:szCs w:val="20"/>
              </w:rPr>
            </w:pPr>
            <w:r>
              <w:rPr>
                <w:rFonts w:ascii="Calibri" w:hAnsi="Calibri"/>
                <w:sz w:val="20"/>
                <w:szCs w:val="20"/>
              </w:rPr>
              <w:t>189,386.24</w:t>
            </w:r>
          </w:p>
        </w:tc>
        <w:tc>
          <w:tcPr>
            <w:tcW w:w="1985" w:type="dxa"/>
            <w:vAlign w:val="center"/>
          </w:tcPr>
          <w:p w14:paraId="03D7FF62">
            <w:pPr>
              <w:jc w:val="right"/>
              <w:rPr>
                <w:rFonts w:ascii="Calibri" w:hAnsi="Calibri"/>
                <w:sz w:val="20"/>
                <w:szCs w:val="20"/>
              </w:rPr>
            </w:pPr>
            <w:r>
              <w:rPr>
                <w:rFonts w:ascii="Calibri" w:hAnsi="Calibri"/>
                <w:sz w:val="20"/>
                <w:szCs w:val="20"/>
              </w:rPr>
              <w:t>1,867,217.81</w:t>
            </w:r>
          </w:p>
        </w:tc>
        <w:tc>
          <w:tcPr>
            <w:tcW w:w="1985" w:type="dxa"/>
            <w:vAlign w:val="center"/>
          </w:tcPr>
          <w:p w14:paraId="3F0C786B">
            <w:pPr>
              <w:jc w:val="right"/>
              <w:rPr>
                <w:rFonts w:ascii="Calibri" w:hAnsi="Calibri"/>
                <w:sz w:val="20"/>
                <w:szCs w:val="20"/>
              </w:rPr>
            </w:pPr>
            <w:r>
              <w:rPr>
                <w:rFonts w:ascii="Calibri" w:hAnsi="Calibri"/>
                <w:sz w:val="20"/>
                <w:szCs w:val="20"/>
              </w:rPr>
              <w:t>452,313.10</w:t>
            </w:r>
          </w:p>
        </w:tc>
        <w:tc>
          <w:tcPr>
            <w:tcW w:w="1706" w:type="dxa"/>
            <w:vAlign w:val="center"/>
          </w:tcPr>
          <w:p w14:paraId="3572F544">
            <w:pPr>
              <w:jc w:val="right"/>
              <w:rPr>
                <w:rFonts w:ascii="Calibri" w:hAnsi="Calibri"/>
                <w:sz w:val="20"/>
                <w:szCs w:val="20"/>
              </w:rPr>
            </w:pPr>
            <w:r>
              <w:rPr>
                <w:rFonts w:ascii="Calibri" w:hAnsi="Calibri"/>
                <w:sz w:val="20"/>
                <w:szCs w:val="20"/>
              </w:rPr>
              <w:t>2,508,917.15</w:t>
            </w:r>
          </w:p>
        </w:tc>
      </w:tr>
      <w:tr w14:paraId="22F0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6857F5A3">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2025年1月1日余额在本期</w:t>
            </w:r>
          </w:p>
        </w:tc>
        <w:tc>
          <w:tcPr>
            <w:tcW w:w="1560" w:type="dxa"/>
            <w:vAlign w:val="center"/>
          </w:tcPr>
          <w:p w14:paraId="6B11CCD6">
            <w:pPr>
              <w:jc w:val="right"/>
              <w:rPr>
                <w:rFonts w:ascii="Calibri" w:hAnsi="Calibri"/>
                <w:sz w:val="20"/>
                <w:szCs w:val="20"/>
              </w:rPr>
            </w:pPr>
          </w:p>
        </w:tc>
        <w:tc>
          <w:tcPr>
            <w:tcW w:w="1985" w:type="dxa"/>
            <w:vAlign w:val="center"/>
          </w:tcPr>
          <w:p w14:paraId="7661D287">
            <w:pPr>
              <w:jc w:val="right"/>
              <w:rPr>
                <w:rFonts w:ascii="Calibri" w:hAnsi="Calibri"/>
                <w:sz w:val="20"/>
                <w:szCs w:val="20"/>
              </w:rPr>
            </w:pPr>
          </w:p>
        </w:tc>
        <w:tc>
          <w:tcPr>
            <w:tcW w:w="1985" w:type="dxa"/>
            <w:vAlign w:val="center"/>
          </w:tcPr>
          <w:p w14:paraId="4F2AD11F">
            <w:pPr>
              <w:jc w:val="right"/>
              <w:rPr>
                <w:rFonts w:ascii="Calibri" w:hAnsi="Calibri"/>
                <w:sz w:val="20"/>
                <w:szCs w:val="20"/>
              </w:rPr>
            </w:pPr>
          </w:p>
        </w:tc>
        <w:tc>
          <w:tcPr>
            <w:tcW w:w="1706" w:type="dxa"/>
            <w:vAlign w:val="center"/>
          </w:tcPr>
          <w:p w14:paraId="2CB4BCF2">
            <w:pPr>
              <w:jc w:val="right"/>
              <w:rPr>
                <w:rFonts w:ascii="Calibri" w:hAnsi="Calibri"/>
                <w:sz w:val="20"/>
                <w:szCs w:val="20"/>
              </w:rPr>
            </w:pPr>
          </w:p>
        </w:tc>
      </w:tr>
      <w:tr w14:paraId="7B3F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2FC93E33">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--转入第二阶段</w:t>
            </w:r>
          </w:p>
        </w:tc>
        <w:tc>
          <w:tcPr>
            <w:tcW w:w="1560" w:type="dxa"/>
            <w:vAlign w:val="center"/>
          </w:tcPr>
          <w:p w14:paraId="3B4ACAC4">
            <w:pPr>
              <w:jc w:val="right"/>
              <w:rPr>
                <w:rFonts w:ascii="Calibri" w:hAnsi="Calibri"/>
                <w:sz w:val="20"/>
                <w:szCs w:val="20"/>
              </w:rPr>
            </w:pPr>
            <w:r>
              <w:rPr>
                <w:rFonts w:ascii="Calibri" w:hAnsi="Calibri"/>
                <w:sz w:val="20"/>
                <w:szCs w:val="20"/>
              </w:rPr>
              <w:t>-84,121.16</w:t>
            </w:r>
          </w:p>
        </w:tc>
        <w:tc>
          <w:tcPr>
            <w:tcW w:w="1985" w:type="dxa"/>
            <w:vAlign w:val="center"/>
          </w:tcPr>
          <w:p w14:paraId="41DDE6E8">
            <w:pPr>
              <w:jc w:val="right"/>
              <w:rPr>
                <w:rFonts w:ascii="Calibri" w:hAnsi="Calibri"/>
                <w:sz w:val="20"/>
                <w:szCs w:val="20"/>
              </w:rPr>
            </w:pPr>
            <w:r>
              <w:rPr>
                <w:rFonts w:ascii="Calibri" w:hAnsi="Calibri"/>
                <w:sz w:val="20"/>
                <w:szCs w:val="20"/>
              </w:rPr>
              <w:t>84,121.16</w:t>
            </w:r>
          </w:p>
        </w:tc>
        <w:tc>
          <w:tcPr>
            <w:tcW w:w="1985" w:type="dxa"/>
            <w:vAlign w:val="center"/>
          </w:tcPr>
          <w:p w14:paraId="081600BB">
            <w:pPr>
              <w:jc w:val="right"/>
              <w:rPr>
                <w:rFonts w:ascii="Calibri" w:hAnsi="Calibri"/>
                <w:sz w:val="20"/>
                <w:szCs w:val="20"/>
              </w:rPr>
            </w:pPr>
          </w:p>
        </w:tc>
        <w:tc>
          <w:tcPr>
            <w:tcW w:w="1706" w:type="dxa"/>
            <w:vAlign w:val="center"/>
          </w:tcPr>
          <w:p w14:paraId="0DAF68A7">
            <w:pPr>
              <w:jc w:val="right"/>
              <w:rPr>
                <w:rFonts w:ascii="Calibri" w:hAnsi="Calibri"/>
                <w:sz w:val="20"/>
                <w:szCs w:val="20"/>
              </w:rPr>
            </w:pPr>
          </w:p>
        </w:tc>
      </w:tr>
      <w:tr w14:paraId="388B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68B037CC">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--转入第三阶段</w:t>
            </w:r>
          </w:p>
        </w:tc>
        <w:tc>
          <w:tcPr>
            <w:tcW w:w="1560" w:type="dxa"/>
            <w:vAlign w:val="center"/>
          </w:tcPr>
          <w:p w14:paraId="6359B0C6">
            <w:pPr>
              <w:jc w:val="right"/>
              <w:rPr>
                <w:rFonts w:ascii="Calibri" w:hAnsi="Calibri"/>
                <w:sz w:val="20"/>
                <w:szCs w:val="20"/>
              </w:rPr>
            </w:pPr>
          </w:p>
        </w:tc>
        <w:tc>
          <w:tcPr>
            <w:tcW w:w="1985" w:type="dxa"/>
            <w:vAlign w:val="center"/>
          </w:tcPr>
          <w:p w14:paraId="541EF489">
            <w:pPr>
              <w:jc w:val="right"/>
              <w:rPr>
                <w:rFonts w:ascii="Calibri" w:hAnsi="Calibri"/>
                <w:sz w:val="20"/>
                <w:szCs w:val="20"/>
              </w:rPr>
            </w:pPr>
            <w:r>
              <w:rPr>
                <w:rFonts w:ascii="Calibri" w:hAnsi="Calibri"/>
                <w:sz w:val="20"/>
                <w:szCs w:val="20"/>
              </w:rPr>
              <w:t>-1,300,000.00</w:t>
            </w:r>
          </w:p>
        </w:tc>
        <w:tc>
          <w:tcPr>
            <w:tcW w:w="1985" w:type="dxa"/>
            <w:vAlign w:val="center"/>
          </w:tcPr>
          <w:p w14:paraId="02FE9338">
            <w:pPr>
              <w:jc w:val="right"/>
              <w:rPr>
                <w:rFonts w:ascii="Calibri" w:hAnsi="Calibri"/>
                <w:sz w:val="20"/>
                <w:szCs w:val="20"/>
              </w:rPr>
            </w:pPr>
            <w:r>
              <w:rPr>
                <w:rFonts w:ascii="Calibri" w:hAnsi="Calibri"/>
                <w:sz w:val="20"/>
                <w:szCs w:val="20"/>
              </w:rPr>
              <w:t>1,300,000.00</w:t>
            </w:r>
          </w:p>
        </w:tc>
        <w:tc>
          <w:tcPr>
            <w:tcW w:w="1706" w:type="dxa"/>
            <w:vAlign w:val="center"/>
          </w:tcPr>
          <w:p w14:paraId="4A7CD892">
            <w:pPr>
              <w:jc w:val="right"/>
              <w:rPr>
                <w:rFonts w:ascii="Calibri" w:hAnsi="Calibri"/>
                <w:sz w:val="20"/>
                <w:szCs w:val="20"/>
              </w:rPr>
            </w:pPr>
          </w:p>
        </w:tc>
      </w:tr>
      <w:tr w14:paraId="1DBB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5C66C066">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--转回第二阶段</w:t>
            </w:r>
          </w:p>
        </w:tc>
        <w:tc>
          <w:tcPr>
            <w:tcW w:w="1560" w:type="dxa"/>
            <w:vAlign w:val="center"/>
          </w:tcPr>
          <w:p w14:paraId="343E84D8">
            <w:pPr>
              <w:jc w:val="right"/>
              <w:rPr>
                <w:rFonts w:ascii="Calibri" w:hAnsi="Calibri"/>
                <w:sz w:val="20"/>
                <w:szCs w:val="20"/>
              </w:rPr>
            </w:pPr>
          </w:p>
        </w:tc>
        <w:tc>
          <w:tcPr>
            <w:tcW w:w="1985" w:type="dxa"/>
            <w:vAlign w:val="center"/>
          </w:tcPr>
          <w:p w14:paraId="53704784">
            <w:pPr>
              <w:jc w:val="right"/>
              <w:rPr>
                <w:rFonts w:ascii="Calibri" w:hAnsi="Calibri"/>
                <w:sz w:val="20"/>
                <w:szCs w:val="20"/>
              </w:rPr>
            </w:pPr>
          </w:p>
        </w:tc>
        <w:tc>
          <w:tcPr>
            <w:tcW w:w="1985" w:type="dxa"/>
            <w:vAlign w:val="center"/>
          </w:tcPr>
          <w:p w14:paraId="36B946A3">
            <w:pPr>
              <w:jc w:val="right"/>
              <w:rPr>
                <w:rFonts w:ascii="Calibri" w:hAnsi="Calibri"/>
                <w:sz w:val="20"/>
                <w:szCs w:val="20"/>
              </w:rPr>
            </w:pPr>
          </w:p>
        </w:tc>
        <w:tc>
          <w:tcPr>
            <w:tcW w:w="1706" w:type="dxa"/>
            <w:vAlign w:val="center"/>
          </w:tcPr>
          <w:p w14:paraId="7C337D7E">
            <w:pPr>
              <w:jc w:val="right"/>
              <w:rPr>
                <w:rFonts w:ascii="Calibri" w:hAnsi="Calibri"/>
                <w:sz w:val="20"/>
                <w:szCs w:val="20"/>
              </w:rPr>
            </w:pPr>
          </w:p>
        </w:tc>
      </w:tr>
      <w:tr w14:paraId="5FD2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2D593743">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--转回第一阶段</w:t>
            </w:r>
          </w:p>
        </w:tc>
        <w:tc>
          <w:tcPr>
            <w:tcW w:w="1560" w:type="dxa"/>
            <w:vAlign w:val="center"/>
          </w:tcPr>
          <w:p w14:paraId="64869EA6">
            <w:pPr>
              <w:jc w:val="right"/>
              <w:rPr>
                <w:rFonts w:ascii="Calibri" w:hAnsi="Calibri"/>
                <w:sz w:val="20"/>
                <w:szCs w:val="20"/>
              </w:rPr>
            </w:pPr>
          </w:p>
        </w:tc>
        <w:tc>
          <w:tcPr>
            <w:tcW w:w="1985" w:type="dxa"/>
            <w:vAlign w:val="center"/>
          </w:tcPr>
          <w:p w14:paraId="09667762">
            <w:pPr>
              <w:jc w:val="right"/>
              <w:rPr>
                <w:rFonts w:ascii="Calibri" w:hAnsi="Calibri"/>
                <w:sz w:val="20"/>
                <w:szCs w:val="20"/>
              </w:rPr>
            </w:pPr>
          </w:p>
        </w:tc>
        <w:tc>
          <w:tcPr>
            <w:tcW w:w="1985" w:type="dxa"/>
            <w:vAlign w:val="center"/>
          </w:tcPr>
          <w:p w14:paraId="53426C69">
            <w:pPr>
              <w:jc w:val="right"/>
              <w:rPr>
                <w:rFonts w:ascii="Calibri" w:hAnsi="Calibri"/>
                <w:sz w:val="20"/>
                <w:szCs w:val="20"/>
              </w:rPr>
            </w:pPr>
          </w:p>
        </w:tc>
        <w:tc>
          <w:tcPr>
            <w:tcW w:w="1706" w:type="dxa"/>
            <w:vAlign w:val="center"/>
          </w:tcPr>
          <w:p w14:paraId="16571056">
            <w:pPr>
              <w:jc w:val="right"/>
              <w:rPr>
                <w:rFonts w:ascii="Calibri" w:hAnsi="Calibri"/>
                <w:sz w:val="20"/>
                <w:szCs w:val="20"/>
              </w:rPr>
            </w:pPr>
          </w:p>
        </w:tc>
      </w:tr>
      <w:tr w14:paraId="10AD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0EA12A51">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本期计提</w:t>
            </w:r>
          </w:p>
        </w:tc>
        <w:tc>
          <w:tcPr>
            <w:tcW w:w="1560" w:type="dxa"/>
            <w:vAlign w:val="center"/>
          </w:tcPr>
          <w:p w14:paraId="7A5575B5">
            <w:pPr>
              <w:jc w:val="right"/>
              <w:rPr>
                <w:rFonts w:ascii="Calibri" w:hAnsi="Calibri"/>
                <w:sz w:val="20"/>
                <w:szCs w:val="20"/>
              </w:rPr>
            </w:pPr>
            <w:r>
              <w:rPr>
                <w:rFonts w:ascii="Calibri" w:hAnsi="Calibri"/>
                <w:sz w:val="20"/>
                <w:szCs w:val="20"/>
              </w:rPr>
              <w:t>183,737.40</w:t>
            </w:r>
          </w:p>
        </w:tc>
        <w:tc>
          <w:tcPr>
            <w:tcW w:w="1985" w:type="dxa"/>
            <w:vAlign w:val="center"/>
          </w:tcPr>
          <w:p w14:paraId="0FBD22E7">
            <w:pPr>
              <w:jc w:val="right"/>
              <w:rPr>
                <w:rFonts w:ascii="Calibri" w:hAnsi="Calibri"/>
                <w:sz w:val="20"/>
                <w:szCs w:val="20"/>
              </w:rPr>
            </w:pPr>
            <w:r>
              <w:rPr>
                <w:rFonts w:ascii="Calibri" w:hAnsi="Calibri"/>
                <w:sz w:val="20"/>
                <w:szCs w:val="20"/>
              </w:rPr>
              <w:t>142,662.17</w:t>
            </w:r>
          </w:p>
        </w:tc>
        <w:tc>
          <w:tcPr>
            <w:tcW w:w="1985" w:type="dxa"/>
            <w:vAlign w:val="center"/>
          </w:tcPr>
          <w:p w14:paraId="2FF94E19">
            <w:pPr>
              <w:jc w:val="right"/>
              <w:rPr>
                <w:rFonts w:ascii="Calibri" w:hAnsi="Calibri"/>
                <w:sz w:val="20"/>
                <w:szCs w:val="20"/>
              </w:rPr>
            </w:pPr>
            <w:r>
              <w:rPr>
                <w:rFonts w:ascii="Calibri" w:hAnsi="Calibri"/>
                <w:sz w:val="20"/>
                <w:szCs w:val="20"/>
              </w:rPr>
              <w:t>200,000.00</w:t>
            </w:r>
          </w:p>
        </w:tc>
        <w:tc>
          <w:tcPr>
            <w:tcW w:w="1706" w:type="dxa"/>
            <w:vAlign w:val="center"/>
          </w:tcPr>
          <w:p w14:paraId="652E732A">
            <w:pPr>
              <w:jc w:val="right"/>
              <w:rPr>
                <w:rFonts w:ascii="Calibri" w:hAnsi="Calibri"/>
                <w:sz w:val="20"/>
                <w:szCs w:val="20"/>
              </w:rPr>
            </w:pPr>
            <w:r>
              <w:rPr>
                <w:rFonts w:ascii="Calibri" w:hAnsi="Calibri"/>
                <w:sz w:val="20"/>
                <w:szCs w:val="20"/>
              </w:rPr>
              <w:t>526,399.57</w:t>
            </w:r>
          </w:p>
        </w:tc>
      </w:tr>
      <w:tr w14:paraId="069C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496A3B74">
            <w:pPr>
              <w:pStyle w:val="42"/>
              <w:spacing w:after="0" w:line="24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本期转回</w:t>
            </w:r>
          </w:p>
        </w:tc>
        <w:tc>
          <w:tcPr>
            <w:tcW w:w="1560" w:type="dxa"/>
            <w:vAlign w:val="center"/>
          </w:tcPr>
          <w:p w14:paraId="56418C71">
            <w:pPr>
              <w:jc w:val="right"/>
              <w:rPr>
                <w:rFonts w:ascii="Calibri" w:hAnsi="Calibri"/>
                <w:sz w:val="20"/>
                <w:szCs w:val="20"/>
              </w:rPr>
            </w:pPr>
            <w:r>
              <w:rPr>
                <w:rFonts w:ascii="Calibri" w:hAnsi="Calibri"/>
                <w:sz w:val="20"/>
                <w:szCs w:val="20"/>
              </w:rPr>
              <w:t>35,523.43</w:t>
            </w:r>
          </w:p>
        </w:tc>
        <w:tc>
          <w:tcPr>
            <w:tcW w:w="1985" w:type="dxa"/>
            <w:vAlign w:val="center"/>
          </w:tcPr>
          <w:p w14:paraId="13961700">
            <w:pPr>
              <w:jc w:val="right"/>
              <w:rPr>
                <w:rFonts w:ascii="Calibri" w:hAnsi="Calibri"/>
                <w:sz w:val="20"/>
                <w:szCs w:val="20"/>
              </w:rPr>
            </w:pPr>
          </w:p>
        </w:tc>
        <w:tc>
          <w:tcPr>
            <w:tcW w:w="1985" w:type="dxa"/>
            <w:vAlign w:val="center"/>
          </w:tcPr>
          <w:p w14:paraId="0CE687FD">
            <w:pPr>
              <w:jc w:val="right"/>
              <w:rPr>
                <w:rFonts w:ascii="Calibri" w:hAnsi="Calibri"/>
                <w:sz w:val="20"/>
                <w:szCs w:val="20"/>
              </w:rPr>
            </w:pPr>
            <w:r>
              <w:rPr>
                <w:rFonts w:ascii="Calibri" w:hAnsi="Calibri"/>
                <w:sz w:val="20"/>
                <w:szCs w:val="20"/>
              </w:rPr>
              <w:t>38,134.77</w:t>
            </w:r>
          </w:p>
        </w:tc>
        <w:tc>
          <w:tcPr>
            <w:tcW w:w="1706" w:type="dxa"/>
            <w:vAlign w:val="center"/>
          </w:tcPr>
          <w:p w14:paraId="0097B501">
            <w:pPr>
              <w:jc w:val="right"/>
              <w:rPr>
                <w:rFonts w:ascii="Calibri" w:hAnsi="Calibri"/>
                <w:sz w:val="20"/>
                <w:szCs w:val="20"/>
              </w:rPr>
            </w:pPr>
            <w:r>
              <w:rPr>
                <w:rFonts w:ascii="Calibri" w:hAnsi="Calibri"/>
                <w:sz w:val="20"/>
                <w:szCs w:val="20"/>
              </w:rPr>
              <w:t>73,658.20</w:t>
            </w:r>
          </w:p>
        </w:tc>
      </w:tr>
      <w:tr w14:paraId="69770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6855C873">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本期转销</w:t>
            </w:r>
          </w:p>
        </w:tc>
        <w:tc>
          <w:tcPr>
            <w:tcW w:w="1560" w:type="dxa"/>
            <w:vAlign w:val="center"/>
          </w:tcPr>
          <w:p w14:paraId="5EB0FDB4">
            <w:pPr>
              <w:jc w:val="right"/>
              <w:rPr>
                <w:rFonts w:ascii="Calibri" w:hAnsi="Calibri"/>
                <w:sz w:val="20"/>
                <w:szCs w:val="20"/>
              </w:rPr>
            </w:pPr>
          </w:p>
        </w:tc>
        <w:tc>
          <w:tcPr>
            <w:tcW w:w="1985" w:type="dxa"/>
            <w:vAlign w:val="center"/>
          </w:tcPr>
          <w:p w14:paraId="76C07CB5">
            <w:pPr>
              <w:jc w:val="right"/>
              <w:rPr>
                <w:rFonts w:ascii="Calibri" w:hAnsi="Calibri"/>
                <w:sz w:val="20"/>
                <w:szCs w:val="20"/>
              </w:rPr>
            </w:pPr>
          </w:p>
        </w:tc>
        <w:tc>
          <w:tcPr>
            <w:tcW w:w="1985" w:type="dxa"/>
            <w:vAlign w:val="center"/>
          </w:tcPr>
          <w:p w14:paraId="6112C885">
            <w:pPr>
              <w:jc w:val="right"/>
              <w:rPr>
                <w:rFonts w:ascii="Calibri" w:hAnsi="Calibri"/>
                <w:sz w:val="20"/>
                <w:szCs w:val="20"/>
              </w:rPr>
            </w:pPr>
          </w:p>
        </w:tc>
        <w:tc>
          <w:tcPr>
            <w:tcW w:w="1706" w:type="dxa"/>
            <w:vAlign w:val="center"/>
          </w:tcPr>
          <w:p w14:paraId="719EFDF8">
            <w:pPr>
              <w:jc w:val="right"/>
              <w:rPr>
                <w:rFonts w:ascii="Calibri" w:hAnsi="Calibri"/>
                <w:sz w:val="20"/>
                <w:szCs w:val="20"/>
              </w:rPr>
            </w:pPr>
          </w:p>
        </w:tc>
      </w:tr>
      <w:tr w14:paraId="3275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30E8DC61">
            <w:pPr>
              <w:pStyle w:val="42"/>
              <w:spacing w:after="0" w:line="24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本期核销</w:t>
            </w:r>
          </w:p>
        </w:tc>
        <w:tc>
          <w:tcPr>
            <w:tcW w:w="1560" w:type="dxa"/>
            <w:vAlign w:val="center"/>
          </w:tcPr>
          <w:p w14:paraId="4A611986">
            <w:pPr>
              <w:jc w:val="right"/>
              <w:rPr>
                <w:rFonts w:ascii="Calibri" w:hAnsi="Calibri"/>
                <w:sz w:val="20"/>
                <w:szCs w:val="20"/>
              </w:rPr>
            </w:pPr>
          </w:p>
        </w:tc>
        <w:tc>
          <w:tcPr>
            <w:tcW w:w="1985" w:type="dxa"/>
            <w:vAlign w:val="center"/>
          </w:tcPr>
          <w:p w14:paraId="170CCB95">
            <w:pPr>
              <w:jc w:val="right"/>
              <w:rPr>
                <w:rFonts w:ascii="Calibri" w:hAnsi="Calibri"/>
                <w:sz w:val="20"/>
                <w:szCs w:val="20"/>
              </w:rPr>
            </w:pPr>
          </w:p>
        </w:tc>
        <w:tc>
          <w:tcPr>
            <w:tcW w:w="1985" w:type="dxa"/>
            <w:vAlign w:val="center"/>
          </w:tcPr>
          <w:p w14:paraId="59CE175A">
            <w:pPr>
              <w:jc w:val="right"/>
              <w:rPr>
                <w:rFonts w:ascii="Calibri" w:hAnsi="Calibri"/>
                <w:sz w:val="20"/>
                <w:szCs w:val="20"/>
              </w:rPr>
            </w:pPr>
            <w:r>
              <w:rPr>
                <w:rFonts w:ascii="Calibri" w:hAnsi="Calibri"/>
                <w:sz w:val="20"/>
                <w:szCs w:val="20"/>
              </w:rPr>
              <w:t>652,313.10</w:t>
            </w:r>
          </w:p>
        </w:tc>
        <w:tc>
          <w:tcPr>
            <w:tcW w:w="1706" w:type="dxa"/>
            <w:vAlign w:val="center"/>
          </w:tcPr>
          <w:p w14:paraId="5597D58D">
            <w:pPr>
              <w:jc w:val="right"/>
              <w:rPr>
                <w:rFonts w:ascii="Calibri" w:hAnsi="Calibri"/>
                <w:sz w:val="20"/>
                <w:szCs w:val="20"/>
              </w:rPr>
            </w:pPr>
            <w:r>
              <w:rPr>
                <w:rFonts w:ascii="Calibri" w:hAnsi="Calibri"/>
                <w:sz w:val="20"/>
                <w:szCs w:val="20"/>
              </w:rPr>
              <w:t>652,313.10</w:t>
            </w:r>
          </w:p>
        </w:tc>
      </w:tr>
      <w:tr w14:paraId="673B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2188E8D1">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其他变动</w:t>
            </w:r>
          </w:p>
        </w:tc>
        <w:tc>
          <w:tcPr>
            <w:tcW w:w="1560" w:type="dxa"/>
            <w:vAlign w:val="center"/>
          </w:tcPr>
          <w:p w14:paraId="0F9DC5C2">
            <w:pPr>
              <w:jc w:val="right"/>
              <w:rPr>
                <w:rFonts w:ascii="Calibri" w:hAnsi="Calibri"/>
                <w:sz w:val="20"/>
                <w:szCs w:val="20"/>
              </w:rPr>
            </w:pPr>
          </w:p>
        </w:tc>
        <w:tc>
          <w:tcPr>
            <w:tcW w:w="1985" w:type="dxa"/>
            <w:vAlign w:val="center"/>
          </w:tcPr>
          <w:p w14:paraId="36C2C64D">
            <w:pPr>
              <w:jc w:val="right"/>
              <w:rPr>
                <w:rFonts w:ascii="Calibri" w:hAnsi="Calibri"/>
                <w:sz w:val="20"/>
                <w:szCs w:val="20"/>
              </w:rPr>
            </w:pPr>
          </w:p>
        </w:tc>
        <w:tc>
          <w:tcPr>
            <w:tcW w:w="1985" w:type="dxa"/>
            <w:vAlign w:val="center"/>
          </w:tcPr>
          <w:p w14:paraId="55DF6161">
            <w:pPr>
              <w:jc w:val="right"/>
              <w:rPr>
                <w:rFonts w:ascii="Calibri" w:hAnsi="Calibri"/>
                <w:sz w:val="20"/>
                <w:szCs w:val="20"/>
              </w:rPr>
            </w:pPr>
          </w:p>
        </w:tc>
        <w:tc>
          <w:tcPr>
            <w:tcW w:w="1706" w:type="dxa"/>
            <w:vAlign w:val="center"/>
          </w:tcPr>
          <w:p w14:paraId="402A2EBC">
            <w:pPr>
              <w:jc w:val="right"/>
              <w:rPr>
                <w:rFonts w:ascii="Calibri" w:hAnsi="Calibri"/>
                <w:sz w:val="20"/>
                <w:szCs w:val="20"/>
              </w:rPr>
            </w:pPr>
          </w:p>
        </w:tc>
      </w:tr>
      <w:tr w14:paraId="32DD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0915F20D">
            <w:pPr>
              <w:pStyle w:val="4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2025年12月31日</w:t>
            </w:r>
            <w:r>
              <w:rPr>
                <w:rFonts w:hint="eastAsia" w:ascii="宋体" w:hAnsi="宋体" w:eastAsia="宋体" w:cs="宋体"/>
                <w:sz w:val="21"/>
                <w:szCs w:val="21"/>
                <w:lang w:eastAsia="zh-CN"/>
              </w:rPr>
              <w:t>余额</w:t>
            </w:r>
          </w:p>
        </w:tc>
        <w:tc>
          <w:tcPr>
            <w:tcW w:w="1560" w:type="dxa"/>
            <w:vAlign w:val="center"/>
          </w:tcPr>
          <w:p w14:paraId="64D01A0C">
            <w:pPr>
              <w:jc w:val="right"/>
              <w:rPr>
                <w:rFonts w:ascii="Calibri" w:hAnsi="Calibri"/>
                <w:sz w:val="20"/>
                <w:szCs w:val="20"/>
              </w:rPr>
            </w:pPr>
            <w:r>
              <w:rPr>
                <w:rFonts w:ascii="Calibri" w:hAnsi="Calibri"/>
                <w:sz w:val="20"/>
                <w:szCs w:val="20"/>
              </w:rPr>
              <w:t>253,479.05</w:t>
            </w:r>
          </w:p>
        </w:tc>
        <w:tc>
          <w:tcPr>
            <w:tcW w:w="1985" w:type="dxa"/>
            <w:vAlign w:val="center"/>
          </w:tcPr>
          <w:p w14:paraId="04C76ABA">
            <w:pPr>
              <w:jc w:val="right"/>
              <w:rPr>
                <w:rFonts w:ascii="Calibri" w:hAnsi="Calibri"/>
                <w:sz w:val="20"/>
                <w:szCs w:val="20"/>
              </w:rPr>
            </w:pPr>
            <w:r>
              <w:rPr>
                <w:rFonts w:ascii="Calibri" w:hAnsi="Calibri"/>
                <w:sz w:val="20"/>
                <w:szCs w:val="20"/>
              </w:rPr>
              <w:t>794,001.14</w:t>
            </w:r>
          </w:p>
        </w:tc>
        <w:tc>
          <w:tcPr>
            <w:tcW w:w="1985" w:type="dxa"/>
            <w:vAlign w:val="center"/>
          </w:tcPr>
          <w:p w14:paraId="0937E344">
            <w:pPr>
              <w:jc w:val="right"/>
              <w:rPr>
                <w:rFonts w:ascii="Calibri" w:hAnsi="Calibri"/>
                <w:sz w:val="20"/>
                <w:szCs w:val="20"/>
              </w:rPr>
            </w:pPr>
            <w:r>
              <w:rPr>
                <w:rFonts w:ascii="Calibri" w:hAnsi="Calibri"/>
                <w:sz w:val="20"/>
                <w:szCs w:val="20"/>
              </w:rPr>
              <w:t>1,261,865.23</w:t>
            </w:r>
          </w:p>
        </w:tc>
        <w:tc>
          <w:tcPr>
            <w:tcW w:w="1706" w:type="dxa"/>
            <w:vAlign w:val="center"/>
          </w:tcPr>
          <w:p w14:paraId="261A81DB">
            <w:pPr>
              <w:jc w:val="right"/>
              <w:rPr>
                <w:rFonts w:ascii="Calibri" w:hAnsi="Calibri"/>
                <w:sz w:val="20"/>
                <w:szCs w:val="20"/>
              </w:rPr>
            </w:pPr>
            <w:r>
              <w:rPr>
                <w:rFonts w:ascii="Calibri" w:hAnsi="Calibri"/>
                <w:sz w:val="20"/>
                <w:szCs w:val="20"/>
              </w:rPr>
              <w:t>2,309,345.42</w:t>
            </w:r>
          </w:p>
        </w:tc>
      </w:tr>
    </w:tbl>
    <w:p w14:paraId="71B6D05B"/>
    <w:p w14:paraId="31784BA4">
      <w:pPr>
        <w:rPr>
          <w:bCs/>
          <w:szCs w:val="22"/>
        </w:rPr>
      </w:pPr>
    </w:p>
    <w:p w14:paraId="57DE9A9A">
      <w:pPr>
        <w:pStyle w:val="48"/>
      </w:pPr>
    </w:p>
    <w:p w14:paraId="0F9858CD">
      <w:pPr>
        <w:pStyle w:val="38"/>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107656698"/>
        <w:placeholder>
          <w:docPart w:val="GBC22222222222222222222222222222"/>
        </w:placeholder>
      </w:sdtPr>
      <w:sdtContent>
        <w:p w14:paraId="383A558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B778346">
      <w:pPr>
        <w:pStyle w:val="48"/>
      </w:pPr>
    </w:p>
    <w:bookmarkEnd w:id="267"/>
    <w:p w14:paraId="3080ECDC">
      <w:pPr>
        <w:pStyle w:val="48"/>
      </w:pPr>
      <w:bookmarkStart w:id="268" w:name="_Hlk534806817"/>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1085985969"/>
        <w:placeholder>
          <w:docPart w:val="GBC22222222222222222222222222222"/>
        </w:placeholder>
      </w:sdtPr>
      <w:sdtContent>
        <w:p w14:paraId="430CBC9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EDCEE4B">
      <w:pPr>
        <w:pStyle w:val="48"/>
      </w:pPr>
    </w:p>
    <w:bookmarkEnd w:id="268"/>
    <w:p w14:paraId="5F8BD131">
      <w:pPr>
        <w:pStyle w:val="6"/>
        <w:numPr>
          <w:ilvl w:val="0"/>
          <w:numId w:val="69"/>
        </w:numPr>
        <w:ind w:leftChars="0"/>
      </w:pPr>
      <w:bookmarkStart w:id="269" w:name="_Hlk532831394"/>
      <w:r>
        <w:rPr>
          <w:rFonts w:hint="eastAsia"/>
        </w:rPr>
        <w:t>坏账准备的情况</w:t>
      </w:r>
    </w:p>
    <w:sdt>
      <w:sdtPr>
        <w:alias w:val="是否适用：其他应收款坏账准备[双击切换]"/>
        <w:tag w:val="_GBC_524ff4c8c6e549ef8e2bf00ca72ddbb6"/>
        <w:id w:val="-1278952185"/>
        <w:placeholder>
          <w:docPart w:val="GBC22222222222222222222222222222"/>
        </w:placeholder>
      </w:sdtPr>
      <w:sdtContent>
        <w:p w14:paraId="7C25EEF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9204C30">
      <w:pPr>
        <w:pStyle w:val="30"/>
        <w:snapToGrid w:val="0"/>
        <w:spacing w:line="240" w:lineRule="atLeast"/>
        <w:ind w:left="425" w:firstLine="0" w:firstLineChars="0"/>
        <w:jc w:val="right"/>
        <w:rPr>
          <w:szCs w:val="21"/>
        </w:rPr>
      </w:pPr>
      <w:r>
        <w:rPr>
          <w:rFonts w:hint="eastAsia"/>
          <w:szCs w:val="21"/>
        </w:rPr>
        <w:t>单位：</w:t>
      </w:r>
      <w:sdt>
        <w:sdtPr>
          <w:rPr>
            <w:rFonts w:hint="eastAsia"/>
            <w:szCs w:val="21"/>
          </w:rPr>
          <w:alias w:val="单位：其他应收款坏账准备"/>
          <w:tag w:val="_GBC_a1cc48852f8047719c9f4b9326a997e3"/>
          <w:id w:val="4041178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
          <w:tag w:val="_GBC_cc05d2791f5f4983a0b6c04ec0989295"/>
          <w:id w:val="1431687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5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545"/>
        <w:gridCol w:w="1569"/>
        <w:gridCol w:w="1417"/>
        <w:gridCol w:w="1276"/>
        <w:gridCol w:w="1276"/>
        <w:gridCol w:w="567"/>
        <w:gridCol w:w="1408"/>
      </w:tblGrid>
      <w:tr w14:paraId="7FD2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26385dc5e422410c8676e4fee82120cb"/>
            <w:id w:val="212016753"/>
          </w:sdtPr>
          <w:sdtContent>
            <w:tc>
              <w:tcPr>
                <w:tcW w:w="1545" w:type="dxa"/>
                <w:vMerge w:val="restart"/>
                <w:shd w:val="clear" w:color="auto" w:fill="FFFFFF"/>
                <w:vAlign w:val="center"/>
              </w:tcPr>
              <w:p w14:paraId="0A43E623">
                <w:pPr>
                  <w:widowControl w:val="0"/>
                  <w:jc w:val="center"/>
                  <w:rPr>
                    <w:rFonts w:ascii="Calibri" w:hAnsi="Calibri"/>
                    <w:sz w:val="20"/>
                    <w:szCs w:val="20"/>
                  </w:rPr>
                </w:pPr>
                <w:r>
                  <w:rPr>
                    <w:rFonts w:ascii="Calibri" w:hAnsi="Calibri"/>
                    <w:sz w:val="20"/>
                    <w:szCs w:val="20"/>
                  </w:rPr>
                  <w:t>类别</w:t>
                </w:r>
              </w:p>
            </w:tc>
          </w:sdtContent>
        </w:sdt>
        <w:sdt>
          <w:sdtPr>
            <w:tag w:val="_PLD_325dd74545cb4f67921ea1cc7ed20a2b"/>
            <w:id w:val="720558915"/>
          </w:sdtPr>
          <w:sdtContent>
            <w:tc>
              <w:tcPr>
                <w:tcW w:w="1569" w:type="dxa"/>
                <w:vMerge w:val="restart"/>
                <w:shd w:val="clear" w:color="auto" w:fill="FFFFFF"/>
                <w:vAlign w:val="center"/>
              </w:tcPr>
              <w:p w14:paraId="1D2894F4">
                <w:pPr>
                  <w:widowControl w:val="0"/>
                  <w:jc w:val="center"/>
                  <w:rPr>
                    <w:rFonts w:ascii="Calibri" w:hAnsi="Calibri"/>
                    <w:sz w:val="20"/>
                    <w:szCs w:val="20"/>
                  </w:rPr>
                </w:pPr>
                <w:r>
                  <w:rPr>
                    <w:rFonts w:ascii="Calibri" w:hAnsi="Calibri"/>
                    <w:sz w:val="20"/>
                    <w:szCs w:val="20"/>
                  </w:rPr>
                  <w:t>期初余额</w:t>
                </w:r>
              </w:p>
            </w:tc>
          </w:sdtContent>
        </w:sdt>
        <w:sdt>
          <w:sdtPr>
            <w:tag w:val="_PLD_d513696ccf0b46ccb4ea6d2ef23dbbd2"/>
            <w:id w:val="-207185109"/>
          </w:sdtPr>
          <w:sdtContent>
            <w:tc>
              <w:tcPr>
                <w:tcW w:w="4536" w:type="dxa"/>
                <w:gridSpan w:val="4"/>
                <w:shd w:val="clear" w:color="auto" w:fill="FFFFFF"/>
                <w:vAlign w:val="center"/>
              </w:tcPr>
              <w:p w14:paraId="31C484A8">
                <w:pPr>
                  <w:widowControl w:val="0"/>
                  <w:jc w:val="center"/>
                  <w:rPr>
                    <w:rFonts w:ascii="Calibri" w:hAnsi="Calibri"/>
                    <w:sz w:val="20"/>
                    <w:szCs w:val="20"/>
                  </w:rPr>
                </w:pPr>
                <w:r>
                  <w:rPr>
                    <w:rFonts w:hint="eastAsia" w:ascii="Calibri" w:hAnsi="Calibri"/>
                    <w:sz w:val="20"/>
                    <w:szCs w:val="20"/>
                  </w:rPr>
                  <w:t>本期变动</w:t>
                </w:r>
                <w:r>
                  <w:rPr>
                    <w:rFonts w:ascii="Calibri" w:hAnsi="Calibri"/>
                    <w:sz w:val="20"/>
                    <w:szCs w:val="20"/>
                  </w:rPr>
                  <w:t>金额</w:t>
                </w:r>
              </w:p>
            </w:tc>
          </w:sdtContent>
        </w:sdt>
        <w:sdt>
          <w:sdtPr>
            <w:tag w:val="_PLD_20b48d7d53584edf917ab5d4207d6a9c"/>
            <w:id w:val="292883132"/>
          </w:sdtPr>
          <w:sdtContent>
            <w:tc>
              <w:tcPr>
                <w:tcW w:w="1408" w:type="dxa"/>
                <w:vMerge w:val="restart"/>
                <w:shd w:val="clear" w:color="auto" w:fill="FFFFFF"/>
                <w:vAlign w:val="center"/>
              </w:tcPr>
              <w:p w14:paraId="0AC11839">
                <w:pPr>
                  <w:widowControl w:val="0"/>
                  <w:jc w:val="center"/>
                  <w:rPr>
                    <w:rFonts w:ascii="Calibri" w:hAnsi="Calibri"/>
                    <w:sz w:val="20"/>
                    <w:szCs w:val="20"/>
                  </w:rPr>
                </w:pPr>
                <w:r>
                  <w:rPr>
                    <w:rFonts w:ascii="Calibri" w:hAnsi="Calibri"/>
                    <w:sz w:val="20"/>
                    <w:szCs w:val="20"/>
                  </w:rPr>
                  <w:t>期末余额</w:t>
                </w:r>
              </w:p>
            </w:tc>
          </w:sdtContent>
        </w:sdt>
      </w:tr>
      <w:tr w14:paraId="74CF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45" w:type="dxa"/>
            <w:vMerge w:val="continue"/>
            <w:shd w:val="clear" w:color="auto" w:fill="FFFFFF"/>
            <w:vAlign w:val="center"/>
          </w:tcPr>
          <w:p w14:paraId="7383E82B">
            <w:pPr>
              <w:widowControl w:val="0"/>
              <w:jc w:val="center"/>
              <w:rPr>
                <w:rFonts w:ascii="Calibri" w:hAnsi="Calibri"/>
                <w:sz w:val="20"/>
                <w:szCs w:val="20"/>
              </w:rPr>
            </w:pPr>
          </w:p>
        </w:tc>
        <w:tc>
          <w:tcPr>
            <w:tcW w:w="1569" w:type="dxa"/>
            <w:vMerge w:val="continue"/>
            <w:shd w:val="clear" w:color="auto" w:fill="FFFFFF"/>
            <w:vAlign w:val="center"/>
          </w:tcPr>
          <w:p w14:paraId="594C9F7A">
            <w:pPr>
              <w:widowControl w:val="0"/>
              <w:jc w:val="center"/>
              <w:rPr>
                <w:rFonts w:ascii="Calibri" w:hAnsi="Calibri"/>
                <w:sz w:val="20"/>
                <w:szCs w:val="20"/>
              </w:rPr>
            </w:pPr>
          </w:p>
        </w:tc>
        <w:sdt>
          <w:sdtPr>
            <w:tag w:val="_PLD_97824acb5c834e9fbe6cf8e4b6cac761"/>
            <w:id w:val="468481154"/>
          </w:sdtPr>
          <w:sdtContent>
            <w:tc>
              <w:tcPr>
                <w:tcW w:w="1417" w:type="dxa"/>
                <w:shd w:val="clear" w:color="auto" w:fill="FFFFFF"/>
                <w:vAlign w:val="center"/>
              </w:tcPr>
              <w:p w14:paraId="6B7773BC">
                <w:pPr>
                  <w:widowControl w:val="0"/>
                  <w:jc w:val="center"/>
                  <w:rPr>
                    <w:rFonts w:ascii="Calibri" w:hAnsi="Calibri"/>
                    <w:sz w:val="20"/>
                    <w:szCs w:val="20"/>
                  </w:rPr>
                </w:pPr>
                <w:r>
                  <w:rPr>
                    <w:rFonts w:ascii="Calibri" w:hAnsi="Calibri"/>
                    <w:sz w:val="20"/>
                    <w:szCs w:val="20"/>
                  </w:rPr>
                  <w:t>计提</w:t>
                </w:r>
              </w:p>
            </w:tc>
          </w:sdtContent>
        </w:sdt>
        <w:sdt>
          <w:sdtPr>
            <w:tag w:val="_PLD_233002cee9bc4108842b58a08731b243"/>
            <w:id w:val="-402608797"/>
          </w:sdtPr>
          <w:sdtContent>
            <w:tc>
              <w:tcPr>
                <w:tcW w:w="1276" w:type="dxa"/>
                <w:shd w:val="clear" w:color="auto" w:fill="FFFFFF"/>
                <w:vAlign w:val="center"/>
              </w:tcPr>
              <w:p w14:paraId="703501FF">
                <w:pPr>
                  <w:widowControl w:val="0"/>
                  <w:jc w:val="center"/>
                  <w:rPr>
                    <w:rFonts w:ascii="Calibri" w:hAnsi="Calibri"/>
                    <w:sz w:val="20"/>
                    <w:szCs w:val="20"/>
                  </w:rPr>
                </w:pPr>
                <w:r>
                  <w:rPr>
                    <w:rFonts w:hint="eastAsia" w:ascii="Calibri" w:hAnsi="Calibri"/>
                    <w:sz w:val="20"/>
                    <w:szCs w:val="20"/>
                  </w:rPr>
                  <w:t>收回或转回</w:t>
                </w:r>
              </w:p>
            </w:tc>
          </w:sdtContent>
        </w:sdt>
        <w:sdt>
          <w:sdtPr>
            <w:tag w:val="_PLD_6bcdf2328a584128aba90aa75e33c767"/>
            <w:id w:val="410968734"/>
          </w:sdtPr>
          <w:sdtContent>
            <w:tc>
              <w:tcPr>
                <w:tcW w:w="1276" w:type="dxa"/>
                <w:shd w:val="clear" w:color="auto" w:fill="FFFFFF"/>
                <w:vAlign w:val="center"/>
              </w:tcPr>
              <w:p w14:paraId="06FAC958">
                <w:pPr>
                  <w:widowControl w:val="0"/>
                  <w:jc w:val="center"/>
                  <w:rPr>
                    <w:rFonts w:ascii="Calibri" w:hAnsi="Calibri"/>
                    <w:sz w:val="20"/>
                    <w:szCs w:val="20"/>
                  </w:rPr>
                </w:pPr>
                <w:r>
                  <w:rPr>
                    <w:rFonts w:hint="eastAsia" w:ascii="Calibri" w:hAnsi="Calibri"/>
                    <w:sz w:val="20"/>
                    <w:szCs w:val="20"/>
                  </w:rPr>
                  <w:t>转销或核销</w:t>
                </w:r>
              </w:p>
            </w:tc>
          </w:sdtContent>
        </w:sdt>
        <w:tc>
          <w:tcPr>
            <w:tcW w:w="567" w:type="dxa"/>
            <w:shd w:val="clear" w:color="auto" w:fill="FFFFFF"/>
            <w:vAlign w:val="center"/>
          </w:tcPr>
          <w:sdt>
            <w:sdtPr>
              <w:tag w:val="_PLD_da684cd2e7cd4d42baf40bc9d95a0ce8"/>
              <w:id w:val="1022588855"/>
            </w:sdtPr>
            <w:sdtContent>
              <w:p w14:paraId="5ECFCE6C">
                <w:pPr>
                  <w:widowControl w:val="0"/>
                  <w:jc w:val="center"/>
                  <w:rPr>
                    <w:rFonts w:ascii="Calibri" w:hAnsi="Calibri"/>
                    <w:sz w:val="20"/>
                    <w:szCs w:val="20"/>
                  </w:rPr>
                </w:pPr>
                <w:r>
                  <w:rPr>
                    <w:rFonts w:hint="eastAsia" w:ascii="Calibri" w:hAnsi="Calibri"/>
                    <w:sz w:val="20"/>
                    <w:szCs w:val="20"/>
                  </w:rPr>
                  <w:t>其他变动</w:t>
                </w:r>
              </w:p>
            </w:sdtContent>
          </w:sdt>
        </w:tc>
        <w:tc>
          <w:tcPr>
            <w:tcW w:w="1408" w:type="dxa"/>
            <w:vMerge w:val="continue"/>
            <w:shd w:val="clear" w:color="auto" w:fill="FFFFFF"/>
            <w:vAlign w:val="center"/>
          </w:tcPr>
          <w:p w14:paraId="440A0AA5">
            <w:pPr>
              <w:widowControl w:val="0"/>
              <w:jc w:val="right"/>
              <w:rPr>
                <w:rFonts w:ascii="Calibri" w:hAnsi="Calibri"/>
                <w:sz w:val="20"/>
                <w:szCs w:val="20"/>
              </w:rPr>
            </w:pPr>
          </w:p>
        </w:tc>
      </w:tr>
      <w:tr w14:paraId="608D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45" w:type="dxa"/>
            <w:vAlign w:val="center"/>
          </w:tcPr>
          <w:p w14:paraId="4D2058C7">
            <w:pPr>
              <w:widowControl w:val="0"/>
              <w:rPr>
                <w:rFonts w:ascii="Calibri" w:hAnsi="Calibri"/>
                <w:sz w:val="20"/>
                <w:szCs w:val="20"/>
              </w:rPr>
            </w:pPr>
            <w:r>
              <w:rPr>
                <w:rFonts w:hint="eastAsia" w:ascii="Calibri" w:hAnsi="Calibri"/>
                <w:sz w:val="20"/>
                <w:szCs w:val="20"/>
              </w:rPr>
              <w:t>信用风险组合</w:t>
            </w:r>
          </w:p>
        </w:tc>
        <w:tc>
          <w:tcPr>
            <w:tcW w:w="1569" w:type="dxa"/>
            <w:vAlign w:val="center"/>
          </w:tcPr>
          <w:p w14:paraId="73FDE666">
            <w:pPr>
              <w:widowControl w:val="0"/>
              <w:jc w:val="right"/>
              <w:rPr>
                <w:rFonts w:ascii="Calibri" w:hAnsi="Calibri"/>
                <w:sz w:val="20"/>
                <w:szCs w:val="20"/>
              </w:rPr>
            </w:pPr>
            <w:r>
              <w:rPr>
                <w:rFonts w:ascii="Calibri" w:hAnsi="Calibri"/>
                <w:sz w:val="20"/>
                <w:szCs w:val="20"/>
              </w:rPr>
              <w:t>2,508,917.15</w:t>
            </w:r>
          </w:p>
        </w:tc>
        <w:tc>
          <w:tcPr>
            <w:tcW w:w="1417" w:type="dxa"/>
            <w:vAlign w:val="center"/>
          </w:tcPr>
          <w:p w14:paraId="76CA1AC9">
            <w:pPr>
              <w:widowControl w:val="0"/>
              <w:jc w:val="right"/>
              <w:rPr>
                <w:rFonts w:ascii="Calibri" w:hAnsi="Calibri"/>
                <w:sz w:val="20"/>
                <w:szCs w:val="20"/>
              </w:rPr>
            </w:pPr>
            <w:r>
              <w:rPr>
                <w:rFonts w:ascii="Calibri" w:hAnsi="Calibri"/>
                <w:sz w:val="20"/>
                <w:szCs w:val="20"/>
              </w:rPr>
              <w:t>526,399.57</w:t>
            </w:r>
          </w:p>
        </w:tc>
        <w:tc>
          <w:tcPr>
            <w:tcW w:w="1276" w:type="dxa"/>
            <w:vAlign w:val="center"/>
          </w:tcPr>
          <w:p w14:paraId="60259C27">
            <w:pPr>
              <w:widowControl w:val="0"/>
              <w:jc w:val="right"/>
              <w:rPr>
                <w:rFonts w:ascii="Calibri" w:hAnsi="Calibri"/>
                <w:sz w:val="20"/>
                <w:szCs w:val="20"/>
              </w:rPr>
            </w:pPr>
            <w:r>
              <w:rPr>
                <w:rFonts w:ascii="Calibri" w:hAnsi="Calibri"/>
                <w:sz w:val="20"/>
                <w:szCs w:val="20"/>
              </w:rPr>
              <w:t>73,658.20</w:t>
            </w:r>
          </w:p>
        </w:tc>
        <w:tc>
          <w:tcPr>
            <w:tcW w:w="1276" w:type="dxa"/>
            <w:vAlign w:val="center"/>
          </w:tcPr>
          <w:p w14:paraId="7DAEAE94">
            <w:pPr>
              <w:widowControl w:val="0"/>
              <w:jc w:val="right"/>
              <w:rPr>
                <w:rFonts w:ascii="Calibri" w:hAnsi="Calibri"/>
                <w:sz w:val="20"/>
                <w:szCs w:val="20"/>
              </w:rPr>
            </w:pPr>
            <w:r>
              <w:rPr>
                <w:rFonts w:ascii="Calibri" w:hAnsi="Calibri"/>
                <w:sz w:val="20"/>
                <w:szCs w:val="20"/>
              </w:rPr>
              <w:t>652,313.10</w:t>
            </w:r>
          </w:p>
        </w:tc>
        <w:tc>
          <w:tcPr>
            <w:tcW w:w="567" w:type="dxa"/>
            <w:vAlign w:val="center"/>
          </w:tcPr>
          <w:p w14:paraId="00CDA9B1">
            <w:pPr>
              <w:widowControl w:val="0"/>
              <w:jc w:val="right"/>
              <w:rPr>
                <w:rFonts w:ascii="Calibri" w:hAnsi="Calibri"/>
                <w:sz w:val="20"/>
                <w:szCs w:val="20"/>
              </w:rPr>
            </w:pPr>
          </w:p>
        </w:tc>
        <w:tc>
          <w:tcPr>
            <w:tcW w:w="1408" w:type="dxa"/>
            <w:vAlign w:val="center"/>
          </w:tcPr>
          <w:p w14:paraId="76C5D2FE">
            <w:pPr>
              <w:widowControl w:val="0"/>
              <w:jc w:val="right"/>
              <w:rPr>
                <w:rFonts w:ascii="Calibri" w:hAnsi="Calibri"/>
                <w:sz w:val="20"/>
                <w:szCs w:val="20"/>
              </w:rPr>
            </w:pPr>
            <w:r>
              <w:rPr>
                <w:rFonts w:ascii="Calibri" w:hAnsi="Calibri"/>
                <w:sz w:val="20"/>
                <w:szCs w:val="20"/>
              </w:rPr>
              <w:t>2,309,345.42</w:t>
            </w:r>
          </w:p>
        </w:tc>
      </w:tr>
      <w:tr w14:paraId="027D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45" w:type="dxa"/>
            <w:vAlign w:val="center"/>
          </w:tcPr>
          <w:p w14:paraId="71F45B22">
            <w:pPr>
              <w:widowControl w:val="0"/>
              <w:jc w:val="center"/>
              <w:rPr>
                <w:rFonts w:ascii="Calibri" w:hAnsi="Calibri"/>
                <w:sz w:val="20"/>
                <w:szCs w:val="20"/>
              </w:rPr>
            </w:pPr>
            <w:r>
              <w:rPr>
                <w:rFonts w:hint="eastAsia" w:ascii="Calibri" w:hAnsi="Calibri"/>
                <w:sz w:val="20"/>
                <w:szCs w:val="20"/>
              </w:rPr>
              <w:t>合计</w:t>
            </w:r>
          </w:p>
        </w:tc>
        <w:tc>
          <w:tcPr>
            <w:tcW w:w="1569" w:type="dxa"/>
            <w:vAlign w:val="center"/>
          </w:tcPr>
          <w:p w14:paraId="1F6F91D5">
            <w:pPr>
              <w:widowControl w:val="0"/>
              <w:jc w:val="right"/>
              <w:rPr>
                <w:rFonts w:ascii="Calibri" w:hAnsi="Calibri"/>
                <w:sz w:val="20"/>
                <w:szCs w:val="20"/>
              </w:rPr>
            </w:pPr>
            <w:r>
              <w:rPr>
                <w:rFonts w:ascii="Calibri" w:hAnsi="Calibri"/>
                <w:sz w:val="20"/>
                <w:szCs w:val="20"/>
              </w:rPr>
              <w:t>2,508,917.15</w:t>
            </w:r>
          </w:p>
        </w:tc>
        <w:tc>
          <w:tcPr>
            <w:tcW w:w="1417" w:type="dxa"/>
            <w:vAlign w:val="center"/>
          </w:tcPr>
          <w:p w14:paraId="4CB6980A">
            <w:pPr>
              <w:widowControl w:val="0"/>
              <w:jc w:val="right"/>
              <w:rPr>
                <w:rFonts w:ascii="Calibri" w:hAnsi="Calibri"/>
                <w:sz w:val="20"/>
                <w:szCs w:val="20"/>
              </w:rPr>
            </w:pPr>
            <w:r>
              <w:rPr>
                <w:rFonts w:ascii="Calibri" w:hAnsi="Calibri"/>
                <w:sz w:val="20"/>
                <w:szCs w:val="20"/>
              </w:rPr>
              <w:t>526,399.57</w:t>
            </w:r>
          </w:p>
        </w:tc>
        <w:tc>
          <w:tcPr>
            <w:tcW w:w="1276" w:type="dxa"/>
            <w:vAlign w:val="center"/>
          </w:tcPr>
          <w:p w14:paraId="39ED68AF">
            <w:pPr>
              <w:widowControl w:val="0"/>
              <w:jc w:val="right"/>
              <w:rPr>
                <w:rFonts w:ascii="Calibri" w:hAnsi="Calibri"/>
                <w:sz w:val="20"/>
                <w:szCs w:val="20"/>
              </w:rPr>
            </w:pPr>
            <w:r>
              <w:rPr>
                <w:rFonts w:ascii="Calibri" w:hAnsi="Calibri"/>
                <w:sz w:val="20"/>
                <w:szCs w:val="20"/>
              </w:rPr>
              <w:t>73,658.20</w:t>
            </w:r>
          </w:p>
        </w:tc>
        <w:tc>
          <w:tcPr>
            <w:tcW w:w="1276" w:type="dxa"/>
            <w:vAlign w:val="center"/>
          </w:tcPr>
          <w:p w14:paraId="6C713C6D">
            <w:pPr>
              <w:widowControl w:val="0"/>
              <w:jc w:val="right"/>
              <w:rPr>
                <w:rFonts w:ascii="Calibri" w:hAnsi="Calibri"/>
                <w:sz w:val="20"/>
                <w:szCs w:val="20"/>
              </w:rPr>
            </w:pPr>
            <w:r>
              <w:rPr>
                <w:rFonts w:ascii="Calibri" w:hAnsi="Calibri"/>
                <w:sz w:val="20"/>
                <w:szCs w:val="20"/>
              </w:rPr>
              <w:t>652,313.10</w:t>
            </w:r>
          </w:p>
        </w:tc>
        <w:tc>
          <w:tcPr>
            <w:tcW w:w="567" w:type="dxa"/>
            <w:vAlign w:val="center"/>
          </w:tcPr>
          <w:p w14:paraId="1EBA0B83">
            <w:pPr>
              <w:widowControl w:val="0"/>
              <w:jc w:val="right"/>
              <w:rPr>
                <w:rFonts w:ascii="Calibri" w:hAnsi="Calibri"/>
                <w:sz w:val="20"/>
                <w:szCs w:val="20"/>
              </w:rPr>
            </w:pPr>
          </w:p>
        </w:tc>
        <w:tc>
          <w:tcPr>
            <w:tcW w:w="1408" w:type="dxa"/>
            <w:vAlign w:val="center"/>
          </w:tcPr>
          <w:p w14:paraId="7DCBA522">
            <w:pPr>
              <w:widowControl w:val="0"/>
              <w:jc w:val="right"/>
              <w:rPr>
                <w:rFonts w:ascii="Calibri" w:hAnsi="Calibri"/>
                <w:sz w:val="20"/>
                <w:szCs w:val="20"/>
              </w:rPr>
            </w:pPr>
            <w:r>
              <w:rPr>
                <w:rFonts w:ascii="Calibri" w:hAnsi="Calibri"/>
                <w:sz w:val="20"/>
                <w:szCs w:val="20"/>
              </w:rPr>
              <w:t>2,309,345.42</w:t>
            </w:r>
          </w:p>
        </w:tc>
      </w:tr>
    </w:tbl>
    <w:p w14:paraId="430F1A41">
      <w:pPr>
        <w:pStyle w:val="48"/>
      </w:pPr>
    </w:p>
    <w:p w14:paraId="7CC1B164">
      <w:pPr>
        <w:pStyle w:val="48"/>
      </w:pPr>
      <w:bookmarkStart w:id="270" w:name="_Hlk154157836"/>
      <w:r>
        <w:rPr>
          <w:rFonts w:hint="eastAsia"/>
        </w:rPr>
        <w:t>其中本期坏账准备转回或收回金额重要的：</w:t>
      </w:r>
    </w:p>
    <w:sdt>
      <w:sdtPr>
        <w:alias w:val="是否适用：其中本期其他应收账款坏账准备收回或转回金额重要的[双击切换]"/>
        <w:tag w:val="_GBC_c99a80b9a36440d7b9ed3ce899868361"/>
        <w:id w:val="-14775072"/>
        <w:placeholder>
          <w:docPart w:val="GBC22222222222222222222222222222"/>
        </w:placeholder>
      </w:sdtPr>
      <w:sdtContent>
        <w:p w14:paraId="2976FFD3">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944CF88">
      <w:pPr>
        <w:pStyle w:val="48"/>
      </w:pPr>
    </w:p>
    <w:p w14:paraId="20A62B88">
      <w:pPr>
        <w:pStyle w:val="48"/>
      </w:pPr>
    </w:p>
    <w:bookmarkEnd w:id="269"/>
    <w:bookmarkEnd w:id="270"/>
    <w:p w14:paraId="22F718B5">
      <w:pPr>
        <w:pStyle w:val="6"/>
        <w:numPr>
          <w:ilvl w:val="0"/>
          <w:numId w:val="69"/>
        </w:numPr>
        <w:ind w:leftChars="0"/>
      </w:pPr>
      <w:r>
        <w:rPr>
          <w:rFonts w:hint="eastAsia"/>
        </w:rPr>
        <w:t>本期实际核销的其他应收款情况</w:t>
      </w:r>
    </w:p>
    <w:sdt>
      <w:sdtPr>
        <w:alias w:val="是否适用：本期实际核销的其他应收款情况[双击切换]"/>
        <w:tag w:val="_GBC_2ce86125d6b94b148fa674141e6497b1"/>
        <w:id w:val="524065083"/>
        <w:placeholder>
          <w:docPart w:val="GBC22222222222222222222222222222"/>
        </w:placeholder>
      </w:sdtPr>
      <w:sdtContent>
        <w:p w14:paraId="0168E544">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E1D4432">
      <w:pPr>
        <w:jc w:val="right"/>
      </w:pPr>
      <w:r>
        <w:rPr>
          <w:rFonts w:hint="eastAsia"/>
        </w:rPr>
        <w:t>单位：</w:t>
      </w:r>
      <w:sdt>
        <w:sdtPr>
          <w:rPr>
            <w:rFonts w:hint="eastAsia"/>
          </w:rPr>
          <w:alias w:val="单位：财务附注：本报告期实际核销的其他应收款项情况"/>
          <w:tag w:val="_GBC_b44e35ef641b42dbb8431fa4625a2457"/>
          <w:id w:val="-6233914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本报告期实际核销的其他应收款项情况"/>
          <w:tag w:val="_GBC_5908d1cb324b4d60915517ea5537d0f4"/>
          <w:id w:val="-18776198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1" w:type="dxa"/>
          <w:bottom w:w="0" w:type="dxa"/>
          <w:right w:w="31" w:type="dxa"/>
        </w:tblCellMar>
      </w:tblPr>
      <w:tblGrid>
        <w:gridCol w:w="4429"/>
        <w:gridCol w:w="4465"/>
      </w:tblGrid>
      <w:tr w14:paraId="39B2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37dfaf7051a145ae922646054d926a0e"/>
            <w:id w:val="-422418427"/>
          </w:sdtPr>
          <w:sdtContent>
            <w:tc>
              <w:tcPr>
                <w:tcW w:w="4429" w:type="dxa"/>
                <w:vAlign w:val="center"/>
              </w:tcPr>
              <w:p w14:paraId="1AF56B27">
                <w:pPr>
                  <w:ind w:right="73"/>
                  <w:jc w:val="center"/>
                  <w:rPr>
                    <w:rFonts w:ascii="Calibri" w:hAnsi="Calibri"/>
                    <w:sz w:val="20"/>
                    <w:szCs w:val="20"/>
                  </w:rPr>
                </w:pPr>
                <w:r>
                  <w:rPr>
                    <w:rFonts w:hint="eastAsia" w:ascii="Calibri" w:hAnsi="Calibri"/>
                    <w:sz w:val="20"/>
                    <w:szCs w:val="20"/>
                  </w:rPr>
                  <w:t>项目</w:t>
                </w:r>
              </w:p>
            </w:tc>
          </w:sdtContent>
        </w:sdt>
        <w:sdt>
          <w:sdtPr>
            <w:tag w:val="_PLD_57b56183aec749d9a0e8479977704a0b"/>
            <w:id w:val="-617764228"/>
          </w:sdtPr>
          <w:sdtContent>
            <w:tc>
              <w:tcPr>
                <w:tcW w:w="4465" w:type="dxa"/>
                <w:vAlign w:val="center"/>
              </w:tcPr>
              <w:p w14:paraId="4AB698C0">
                <w:pPr>
                  <w:ind w:right="73"/>
                  <w:jc w:val="center"/>
                  <w:rPr>
                    <w:rFonts w:ascii="Calibri" w:hAnsi="Calibri"/>
                    <w:sz w:val="20"/>
                    <w:szCs w:val="20"/>
                  </w:rPr>
                </w:pPr>
                <w:r>
                  <w:rPr>
                    <w:rFonts w:hint="eastAsia" w:ascii="Calibri" w:hAnsi="Calibri"/>
                    <w:sz w:val="20"/>
                    <w:szCs w:val="20"/>
                  </w:rPr>
                  <w:t>核销金额</w:t>
                </w:r>
              </w:p>
            </w:tc>
          </w:sdtContent>
        </w:sdt>
      </w:tr>
      <w:tr w14:paraId="6FEB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9" w:type="dxa"/>
            <w:vAlign w:val="center"/>
          </w:tcPr>
          <w:p w14:paraId="7AD57317">
            <w:pPr>
              <w:ind w:right="73"/>
              <w:rPr>
                <w:rFonts w:ascii="Calibri" w:hAnsi="Calibri"/>
                <w:sz w:val="20"/>
                <w:szCs w:val="20"/>
              </w:rPr>
            </w:pPr>
            <w:r>
              <w:rPr>
                <w:rFonts w:hint="eastAsia" w:ascii="Calibri" w:hAnsi="Calibri"/>
                <w:sz w:val="20"/>
                <w:szCs w:val="20"/>
              </w:rPr>
              <w:t>实际核销的其他应收款</w:t>
            </w:r>
          </w:p>
        </w:tc>
        <w:tc>
          <w:tcPr>
            <w:tcW w:w="4465" w:type="dxa"/>
            <w:vAlign w:val="center"/>
          </w:tcPr>
          <w:p w14:paraId="198FAE42">
            <w:pPr>
              <w:ind w:right="73"/>
              <w:jc w:val="right"/>
              <w:rPr>
                <w:rFonts w:ascii="Calibri" w:hAnsi="Calibri"/>
                <w:sz w:val="20"/>
                <w:szCs w:val="20"/>
              </w:rPr>
            </w:pPr>
            <w:r>
              <w:rPr>
                <w:rFonts w:ascii="Calibri" w:hAnsi="Calibri"/>
                <w:sz w:val="20"/>
                <w:szCs w:val="20"/>
              </w:rPr>
              <w:t>652,313.10</w:t>
            </w:r>
          </w:p>
        </w:tc>
      </w:tr>
    </w:tbl>
    <w:p w14:paraId="4ED90C6B">
      <w:pPr>
        <w:pStyle w:val="48"/>
      </w:pPr>
    </w:p>
    <w:p w14:paraId="703B643F">
      <w:pPr>
        <w:pStyle w:val="48"/>
      </w:pPr>
      <w:r>
        <w:rPr>
          <w:rFonts w:hint="eastAsia"/>
        </w:rPr>
        <w:t>其中重要的其他应收款核销情况：</w:t>
      </w:r>
    </w:p>
    <w:sdt>
      <w:sdtPr>
        <w:alias w:val="是否适用：其中重要的其他应收款核销情况[双击切换]"/>
        <w:tag w:val="_GBC_6f3b8f9a05dc4f2082e4ad20a1930006"/>
        <w:id w:val="-877773624"/>
        <w:placeholder>
          <w:docPart w:val="GBC22222222222222222222222222222"/>
        </w:placeholder>
      </w:sdtPr>
      <w:sdtContent>
        <w:p w14:paraId="1898F499">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3224774">
      <w:pPr>
        <w:pStyle w:val="48"/>
      </w:pPr>
    </w:p>
    <w:p w14:paraId="723556C4">
      <w:pPr>
        <w:snapToGrid w:val="0"/>
        <w:spacing w:line="240" w:lineRule="atLeast"/>
        <w:rPr>
          <w:b/>
          <w:bCs/>
        </w:rPr>
      </w:pPr>
      <w:r>
        <w:rPr>
          <w:rFonts w:hint="eastAsia"/>
        </w:rPr>
        <w:t>其他应收款核销说明：</w:t>
      </w:r>
    </w:p>
    <w:sdt>
      <w:sdtPr>
        <w:alias w:val="是否适用：其他应收款冲销坏帐明细的说明[双击切换]"/>
        <w:tag w:val="_GBC_c894606830c4440ba090ef98078b372b"/>
        <w:id w:val="-1955163555"/>
        <w:placeholder>
          <w:docPart w:val="GBC22222222222222222222222222222"/>
        </w:placeholder>
      </w:sdtPr>
      <w:sdtContent>
        <w:p w14:paraId="0D96C66A">
          <w:pPr>
            <w:snapToGrid w:val="0"/>
            <w:spacing w:line="240" w:lineRule="atLeast"/>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B16B4E">
      <w:pPr>
        <w:snapToGrid w:val="0"/>
        <w:spacing w:line="240" w:lineRule="atLeast"/>
      </w:pPr>
    </w:p>
    <w:p w14:paraId="5FF34374">
      <w:pPr>
        <w:pStyle w:val="6"/>
        <w:numPr>
          <w:ilvl w:val="0"/>
          <w:numId w:val="69"/>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681974532"/>
        <w:placeholder>
          <w:docPart w:val="GBC22222222222222222222222222222"/>
        </w:placeholder>
      </w:sdtPr>
      <w:sdtContent>
        <w:p w14:paraId="546A3F08">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32303A6">
      <w:pPr>
        <w:jc w:val="right"/>
      </w:pPr>
      <w:r>
        <w:rPr>
          <w:rFonts w:hint="eastAsia"/>
        </w:rPr>
        <w:t>单位：</w:t>
      </w:r>
      <w:sdt>
        <w:sdtPr>
          <w:rPr>
            <w:rFonts w:hint="eastAsia"/>
          </w:rPr>
          <w:alias w:val="单位财务附注：其他应收账款前五名欠款情况"/>
          <w:tag w:val="_GBC_06f7a71e039445228d80a5741df4c4f7"/>
          <w:id w:val="-559391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20156002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691"/>
        <w:gridCol w:w="1352"/>
        <w:gridCol w:w="1379"/>
        <w:gridCol w:w="1353"/>
        <w:gridCol w:w="1706"/>
      </w:tblGrid>
      <w:tr w14:paraId="4F06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f30fc2dc8886472699c892f0395ab05e"/>
            <w:id w:val="1885296870"/>
          </w:sdtPr>
          <w:sdtContent>
            <w:tc>
              <w:tcPr>
                <w:tcW w:w="1565" w:type="dxa"/>
                <w:vAlign w:val="center"/>
              </w:tcPr>
              <w:p w14:paraId="5C8EFA88">
                <w:pPr>
                  <w:ind w:right="105"/>
                  <w:jc w:val="center"/>
                  <w:rPr>
                    <w:rFonts w:ascii="Calibri" w:hAnsi="Calibri"/>
                    <w:sz w:val="20"/>
                    <w:szCs w:val="20"/>
                  </w:rPr>
                </w:pPr>
                <w:r>
                  <w:rPr>
                    <w:rFonts w:hint="eastAsia" w:ascii="Calibri" w:hAnsi="Calibri"/>
                    <w:sz w:val="20"/>
                    <w:szCs w:val="20"/>
                  </w:rPr>
                  <w:t>单位名称</w:t>
                </w:r>
              </w:p>
            </w:tc>
          </w:sdtContent>
        </w:sdt>
        <w:sdt>
          <w:sdtPr>
            <w:tag w:val="_PLD_1bc905abb4bf4c679b9fbe0a7587d651"/>
            <w:id w:val="-1250878908"/>
          </w:sdtPr>
          <w:sdtContent>
            <w:tc>
              <w:tcPr>
                <w:tcW w:w="1691" w:type="dxa"/>
                <w:vAlign w:val="center"/>
              </w:tcPr>
              <w:p w14:paraId="00BE6734">
                <w:pPr>
                  <w:ind w:right="73"/>
                  <w:jc w:val="center"/>
                  <w:rPr>
                    <w:rFonts w:ascii="Calibri" w:hAnsi="Calibri"/>
                    <w:sz w:val="20"/>
                    <w:szCs w:val="20"/>
                  </w:rPr>
                </w:pPr>
                <w:r>
                  <w:rPr>
                    <w:rFonts w:hint="eastAsia" w:ascii="Calibri" w:hAnsi="Calibri"/>
                    <w:sz w:val="20"/>
                    <w:szCs w:val="20"/>
                  </w:rPr>
                  <w:t>期末余额</w:t>
                </w:r>
              </w:p>
            </w:tc>
          </w:sdtContent>
        </w:sdt>
        <w:sdt>
          <w:sdtPr>
            <w:tag w:val="_PLD_055b75c0a3cf450e995ac7e13fdc0c08"/>
            <w:id w:val="-410468780"/>
          </w:sdtPr>
          <w:sdtContent>
            <w:tc>
              <w:tcPr>
                <w:tcW w:w="1352" w:type="dxa"/>
                <w:vAlign w:val="center"/>
              </w:tcPr>
              <w:p w14:paraId="6AC99C61">
                <w:pPr>
                  <w:jc w:val="center"/>
                  <w:rPr>
                    <w:rFonts w:ascii="Calibri" w:hAnsi="Calibri"/>
                    <w:sz w:val="20"/>
                    <w:szCs w:val="20"/>
                  </w:rPr>
                </w:pPr>
                <w:r>
                  <w:rPr>
                    <w:rFonts w:hint="eastAsia" w:ascii="Calibri" w:hAnsi="Calibri"/>
                    <w:sz w:val="20"/>
                    <w:szCs w:val="20"/>
                  </w:rPr>
                  <w:t>占其他应收款期末余额合计数的比例(</w:t>
                </w:r>
                <w:r>
                  <w:rPr>
                    <w:rFonts w:ascii="Calibri" w:hAnsi="Calibri"/>
                    <w:sz w:val="20"/>
                    <w:szCs w:val="20"/>
                  </w:rPr>
                  <w:t>%)</w:t>
                </w:r>
              </w:p>
            </w:tc>
          </w:sdtContent>
        </w:sdt>
        <w:sdt>
          <w:sdtPr>
            <w:tag w:val="_PLD_44129b8132114de2a4d33c4acb8af98f"/>
            <w:id w:val="63683970"/>
          </w:sdtPr>
          <w:sdtContent>
            <w:tc>
              <w:tcPr>
                <w:tcW w:w="1379" w:type="dxa"/>
                <w:vAlign w:val="center"/>
              </w:tcPr>
              <w:p w14:paraId="7E79CB80">
                <w:pPr>
                  <w:ind w:right="73"/>
                  <w:jc w:val="center"/>
                  <w:rPr>
                    <w:rFonts w:ascii="Calibri" w:hAnsi="Calibri"/>
                    <w:sz w:val="20"/>
                    <w:szCs w:val="20"/>
                  </w:rPr>
                </w:pPr>
                <w:r>
                  <w:rPr>
                    <w:rFonts w:hint="eastAsia" w:ascii="Calibri" w:hAnsi="Calibri"/>
                    <w:sz w:val="20"/>
                    <w:szCs w:val="20"/>
                  </w:rPr>
                  <w:t>款项的性质</w:t>
                </w:r>
              </w:p>
            </w:tc>
          </w:sdtContent>
        </w:sdt>
        <w:sdt>
          <w:sdtPr>
            <w:tag w:val="_PLD_d9231de346f74815b1bc7c82527b1ef5"/>
            <w:id w:val="-1839303028"/>
          </w:sdtPr>
          <w:sdtContent>
            <w:tc>
              <w:tcPr>
                <w:tcW w:w="1353" w:type="dxa"/>
                <w:vAlign w:val="center"/>
              </w:tcPr>
              <w:p w14:paraId="23A6141F">
                <w:pPr>
                  <w:ind w:right="73"/>
                  <w:jc w:val="center"/>
                  <w:rPr>
                    <w:rFonts w:ascii="Calibri" w:hAnsi="Calibri"/>
                    <w:sz w:val="20"/>
                    <w:szCs w:val="20"/>
                  </w:rPr>
                </w:pPr>
                <w:r>
                  <w:rPr>
                    <w:rFonts w:hint="eastAsia" w:ascii="Calibri" w:hAnsi="Calibri"/>
                    <w:sz w:val="20"/>
                    <w:szCs w:val="20"/>
                  </w:rPr>
                  <w:t>账龄</w:t>
                </w:r>
              </w:p>
            </w:tc>
          </w:sdtContent>
        </w:sdt>
        <w:sdt>
          <w:sdtPr>
            <w:tag w:val="_PLD_a7951a260c094fc8b8b64f2d1e6a933e"/>
            <w:id w:val="1102833881"/>
          </w:sdtPr>
          <w:sdtContent>
            <w:tc>
              <w:tcPr>
                <w:tcW w:w="1706" w:type="dxa"/>
                <w:vAlign w:val="center"/>
              </w:tcPr>
              <w:p w14:paraId="4BFE8C9E">
                <w:pPr>
                  <w:jc w:val="center"/>
                  <w:rPr>
                    <w:rFonts w:ascii="Calibri" w:hAnsi="Calibri"/>
                    <w:sz w:val="20"/>
                    <w:szCs w:val="20"/>
                  </w:rPr>
                </w:pPr>
                <w:r>
                  <w:rPr>
                    <w:rFonts w:hint="eastAsia" w:ascii="Calibri" w:hAnsi="Calibri"/>
                    <w:sz w:val="20"/>
                    <w:szCs w:val="20"/>
                  </w:rPr>
                  <w:t>坏账准备</w:t>
                </w:r>
              </w:p>
              <w:p w14:paraId="2863D1E4">
                <w:pPr>
                  <w:jc w:val="center"/>
                  <w:rPr>
                    <w:rFonts w:ascii="Calibri" w:hAnsi="Calibri"/>
                    <w:sz w:val="20"/>
                    <w:szCs w:val="20"/>
                  </w:rPr>
                </w:pPr>
                <w:r>
                  <w:rPr>
                    <w:rFonts w:hint="eastAsia" w:ascii="Calibri" w:hAnsi="Calibri"/>
                    <w:sz w:val="20"/>
                    <w:szCs w:val="20"/>
                  </w:rPr>
                  <w:t>期末余额</w:t>
                </w:r>
              </w:p>
            </w:tc>
          </w:sdtContent>
        </w:sdt>
      </w:tr>
      <w:tr w14:paraId="4A97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5" w:type="dxa"/>
            <w:vAlign w:val="center"/>
          </w:tcPr>
          <w:p w14:paraId="072B070E">
            <w:pPr>
              <w:ind w:right="105"/>
              <w:jc w:val="both"/>
              <w:rPr>
                <w:rFonts w:ascii="Calibri" w:hAnsi="Calibri"/>
                <w:sz w:val="20"/>
                <w:szCs w:val="20"/>
              </w:rPr>
            </w:pPr>
            <w:r>
              <w:rPr>
                <w:rFonts w:ascii="Calibri" w:hAnsi="Calibri"/>
                <w:sz w:val="20"/>
                <w:szCs w:val="20"/>
              </w:rPr>
              <w:t>诺华（中国）生物医学研究有限公司</w:t>
            </w:r>
          </w:p>
        </w:tc>
        <w:tc>
          <w:tcPr>
            <w:tcW w:w="1691" w:type="dxa"/>
            <w:vAlign w:val="center"/>
          </w:tcPr>
          <w:p w14:paraId="1929D9C9">
            <w:pPr>
              <w:ind w:right="73"/>
              <w:jc w:val="right"/>
              <w:rPr>
                <w:rFonts w:ascii="Calibri" w:hAnsi="Calibri"/>
                <w:sz w:val="20"/>
                <w:szCs w:val="20"/>
              </w:rPr>
            </w:pPr>
            <w:r>
              <w:rPr>
                <w:rFonts w:ascii="Calibri" w:hAnsi="Calibri"/>
                <w:sz w:val="20"/>
                <w:szCs w:val="20"/>
              </w:rPr>
              <w:t>2,688,686.79</w:t>
            </w:r>
          </w:p>
        </w:tc>
        <w:tc>
          <w:tcPr>
            <w:tcW w:w="1352" w:type="dxa"/>
            <w:vAlign w:val="center"/>
          </w:tcPr>
          <w:p w14:paraId="6926825C">
            <w:pPr>
              <w:jc w:val="right"/>
              <w:rPr>
                <w:rFonts w:ascii="Calibri" w:hAnsi="Calibri"/>
                <w:sz w:val="20"/>
                <w:szCs w:val="20"/>
              </w:rPr>
            </w:pPr>
            <w:r>
              <w:rPr>
                <w:rFonts w:ascii="Calibri" w:hAnsi="Calibri"/>
                <w:sz w:val="20"/>
                <w:szCs w:val="20"/>
              </w:rPr>
              <w:t>20.95</w:t>
            </w:r>
          </w:p>
        </w:tc>
        <w:tc>
          <w:tcPr>
            <w:tcW w:w="1379" w:type="dxa"/>
            <w:vAlign w:val="center"/>
          </w:tcPr>
          <w:p w14:paraId="03AAC8CE">
            <w:pPr>
              <w:ind w:right="73"/>
              <w:jc w:val="center"/>
              <w:rPr>
                <w:rFonts w:ascii="Calibri" w:hAnsi="Calibri"/>
                <w:sz w:val="20"/>
                <w:szCs w:val="20"/>
              </w:rPr>
            </w:pPr>
            <w:r>
              <w:rPr>
                <w:rFonts w:ascii="Calibri" w:hAnsi="Calibri"/>
                <w:sz w:val="20"/>
                <w:szCs w:val="20"/>
              </w:rPr>
              <w:t>租房保证金</w:t>
            </w:r>
          </w:p>
        </w:tc>
        <w:tc>
          <w:tcPr>
            <w:tcW w:w="1353" w:type="dxa"/>
            <w:vAlign w:val="center"/>
          </w:tcPr>
          <w:p w14:paraId="04214D91">
            <w:pPr>
              <w:ind w:right="73"/>
              <w:rPr>
                <w:rFonts w:ascii="Calibri" w:hAnsi="Calibri"/>
                <w:sz w:val="20"/>
                <w:szCs w:val="20"/>
              </w:rPr>
            </w:pPr>
            <w:r>
              <w:rPr>
                <w:rFonts w:ascii="Calibri" w:hAnsi="Calibri"/>
                <w:sz w:val="20"/>
                <w:szCs w:val="20"/>
              </w:rPr>
              <w:t>2年以内</w:t>
            </w:r>
          </w:p>
        </w:tc>
        <w:tc>
          <w:tcPr>
            <w:tcW w:w="1706" w:type="dxa"/>
            <w:vAlign w:val="center"/>
          </w:tcPr>
          <w:p w14:paraId="3A8F612A">
            <w:pPr>
              <w:jc w:val="right"/>
              <w:rPr>
                <w:rFonts w:ascii="Calibri" w:hAnsi="Calibri"/>
                <w:sz w:val="20"/>
                <w:szCs w:val="20"/>
              </w:rPr>
            </w:pPr>
            <w:r>
              <w:rPr>
                <w:rFonts w:ascii="Calibri" w:hAnsi="Calibri"/>
                <w:sz w:val="20"/>
                <w:szCs w:val="20"/>
              </w:rPr>
              <w:t>166,981.48</w:t>
            </w:r>
          </w:p>
        </w:tc>
      </w:tr>
      <w:tr w14:paraId="7C6F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5" w:type="dxa"/>
            <w:vAlign w:val="center"/>
          </w:tcPr>
          <w:p w14:paraId="25E8D386">
            <w:pPr>
              <w:ind w:right="105"/>
              <w:jc w:val="both"/>
              <w:rPr>
                <w:rFonts w:ascii="Calibri" w:hAnsi="Calibri"/>
                <w:sz w:val="20"/>
                <w:szCs w:val="20"/>
              </w:rPr>
            </w:pPr>
            <w:r>
              <w:rPr>
                <w:rFonts w:ascii="Calibri" w:hAnsi="Calibri"/>
                <w:sz w:val="20"/>
                <w:szCs w:val="20"/>
              </w:rPr>
              <w:t>吉林省龙风药业有限公司</w:t>
            </w:r>
          </w:p>
        </w:tc>
        <w:tc>
          <w:tcPr>
            <w:tcW w:w="1691" w:type="dxa"/>
            <w:vAlign w:val="center"/>
          </w:tcPr>
          <w:p w14:paraId="5A5C09A1">
            <w:pPr>
              <w:ind w:right="73"/>
              <w:jc w:val="right"/>
              <w:rPr>
                <w:rFonts w:ascii="Calibri" w:hAnsi="Calibri"/>
                <w:sz w:val="20"/>
                <w:szCs w:val="20"/>
              </w:rPr>
            </w:pPr>
            <w:r>
              <w:rPr>
                <w:rFonts w:ascii="Calibri" w:hAnsi="Calibri"/>
                <w:sz w:val="20"/>
                <w:szCs w:val="20"/>
              </w:rPr>
              <w:t>1,300,000.00</w:t>
            </w:r>
          </w:p>
        </w:tc>
        <w:tc>
          <w:tcPr>
            <w:tcW w:w="1352" w:type="dxa"/>
            <w:vAlign w:val="center"/>
          </w:tcPr>
          <w:p w14:paraId="0329576A">
            <w:pPr>
              <w:jc w:val="right"/>
              <w:rPr>
                <w:rFonts w:ascii="Calibri" w:hAnsi="Calibri"/>
                <w:sz w:val="20"/>
                <w:szCs w:val="20"/>
              </w:rPr>
            </w:pPr>
            <w:r>
              <w:rPr>
                <w:rFonts w:ascii="Calibri" w:hAnsi="Calibri"/>
                <w:sz w:val="20"/>
                <w:szCs w:val="20"/>
              </w:rPr>
              <w:t>10.13</w:t>
            </w:r>
          </w:p>
        </w:tc>
        <w:tc>
          <w:tcPr>
            <w:tcW w:w="1379" w:type="dxa"/>
            <w:vAlign w:val="center"/>
          </w:tcPr>
          <w:p w14:paraId="79466DA4">
            <w:pPr>
              <w:ind w:right="73"/>
              <w:jc w:val="center"/>
              <w:rPr>
                <w:rFonts w:ascii="Calibri" w:hAnsi="Calibri"/>
                <w:sz w:val="20"/>
                <w:szCs w:val="20"/>
              </w:rPr>
            </w:pPr>
            <w:r>
              <w:rPr>
                <w:rFonts w:ascii="Calibri" w:hAnsi="Calibri"/>
                <w:sz w:val="20"/>
                <w:szCs w:val="20"/>
              </w:rPr>
              <w:t>药材采购款</w:t>
            </w:r>
          </w:p>
        </w:tc>
        <w:tc>
          <w:tcPr>
            <w:tcW w:w="1353" w:type="dxa"/>
            <w:vAlign w:val="center"/>
          </w:tcPr>
          <w:p w14:paraId="2FA59CCC">
            <w:pPr>
              <w:ind w:right="73"/>
              <w:rPr>
                <w:rFonts w:ascii="Calibri" w:hAnsi="Calibri"/>
                <w:sz w:val="20"/>
                <w:szCs w:val="20"/>
              </w:rPr>
            </w:pPr>
            <w:r>
              <w:rPr>
                <w:rFonts w:ascii="Calibri" w:hAnsi="Calibri"/>
                <w:sz w:val="20"/>
                <w:szCs w:val="20"/>
              </w:rPr>
              <w:t>5年以上</w:t>
            </w:r>
          </w:p>
        </w:tc>
        <w:tc>
          <w:tcPr>
            <w:tcW w:w="1706" w:type="dxa"/>
            <w:vAlign w:val="center"/>
          </w:tcPr>
          <w:p w14:paraId="5E544E4A">
            <w:pPr>
              <w:jc w:val="right"/>
              <w:rPr>
                <w:rFonts w:ascii="Calibri" w:hAnsi="Calibri"/>
                <w:sz w:val="20"/>
                <w:szCs w:val="20"/>
              </w:rPr>
            </w:pPr>
            <w:r>
              <w:rPr>
                <w:rFonts w:ascii="Calibri" w:hAnsi="Calibri"/>
                <w:sz w:val="20"/>
                <w:szCs w:val="20"/>
              </w:rPr>
              <w:t>1,300,000.00</w:t>
            </w:r>
          </w:p>
        </w:tc>
      </w:tr>
      <w:tr w14:paraId="42D80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5" w:type="dxa"/>
            <w:vAlign w:val="center"/>
          </w:tcPr>
          <w:p w14:paraId="50F40617">
            <w:pPr>
              <w:ind w:right="105"/>
              <w:jc w:val="both"/>
              <w:rPr>
                <w:rFonts w:ascii="Calibri" w:hAnsi="Calibri"/>
                <w:sz w:val="20"/>
                <w:szCs w:val="20"/>
              </w:rPr>
            </w:pPr>
            <w:r>
              <w:rPr>
                <w:rFonts w:ascii="Calibri" w:hAnsi="Calibri"/>
                <w:sz w:val="20"/>
                <w:szCs w:val="20"/>
              </w:rPr>
              <w:t>上海康德莱企业发展集团股份有限公司</w:t>
            </w:r>
          </w:p>
        </w:tc>
        <w:tc>
          <w:tcPr>
            <w:tcW w:w="1691" w:type="dxa"/>
            <w:vAlign w:val="center"/>
          </w:tcPr>
          <w:p w14:paraId="658C6E3A">
            <w:pPr>
              <w:ind w:right="73"/>
              <w:jc w:val="right"/>
              <w:rPr>
                <w:rFonts w:ascii="Calibri" w:hAnsi="Calibri"/>
                <w:sz w:val="20"/>
                <w:szCs w:val="20"/>
              </w:rPr>
            </w:pPr>
            <w:r>
              <w:rPr>
                <w:rFonts w:ascii="Calibri" w:hAnsi="Calibri"/>
                <w:sz w:val="20"/>
                <w:szCs w:val="20"/>
              </w:rPr>
              <w:t>1,000,000.00</w:t>
            </w:r>
          </w:p>
        </w:tc>
        <w:tc>
          <w:tcPr>
            <w:tcW w:w="1352" w:type="dxa"/>
            <w:vAlign w:val="center"/>
          </w:tcPr>
          <w:p w14:paraId="75F47564">
            <w:pPr>
              <w:jc w:val="right"/>
              <w:rPr>
                <w:rFonts w:ascii="Calibri" w:hAnsi="Calibri"/>
                <w:sz w:val="20"/>
                <w:szCs w:val="20"/>
              </w:rPr>
            </w:pPr>
            <w:r>
              <w:rPr>
                <w:rFonts w:ascii="Calibri" w:hAnsi="Calibri"/>
                <w:sz w:val="20"/>
                <w:szCs w:val="20"/>
              </w:rPr>
              <w:t>7.79</w:t>
            </w:r>
          </w:p>
        </w:tc>
        <w:tc>
          <w:tcPr>
            <w:tcW w:w="1379" w:type="dxa"/>
            <w:vAlign w:val="center"/>
          </w:tcPr>
          <w:p w14:paraId="63FCFC5B">
            <w:pPr>
              <w:ind w:right="73"/>
              <w:jc w:val="center"/>
              <w:rPr>
                <w:rFonts w:ascii="Calibri" w:hAnsi="Calibri"/>
                <w:sz w:val="20"/>
                <w:szCs w:val="20"/>
              </w:rPr>
            </w:pPr>
            <w:r>
              <w:rPr>
                <w:rFonts w:ascii="Calibri" w:hAnsi="Calibri"/>
                <w:sz w:val="20"/>
                <w:szCs w:val="20"/>
              </w:rPr>
              <w:t>采购保证金</w:t>
            </w:r>
          </w:p>
        </w:tc>
        <w:tc>
          <w:tcPr>
            <w:tcW w:w="1353" w:type="dxa"/>
            <w:vAlign w:val="center"/>
          </w:tcPr>
          <w:p w14:paraId="599FF640">
            <w:pPr>
              <w:ind w:right="73"/>
              <w:rPr>
                <w:rFonts w:ascii="Calibri" w:hAnsi="Calibri"/>
                <w:sz w:val="20"/>
                <w:szCs w:val="20"/>
              </w:rPr>
            </w:pPr>
            <w:r>
              <w:rPr>
                <w:rFonts w:ascii="Calibri" w:hAnsi="Calibri"/>
                <w:sz w:val="20"/>
                <w:szCs w:val="20"/>
              </w:rPr>
              <w:t>1年以内</w:t>
            </w:r>
          </w:p>
        </w:tc>
        <w:tc>
          <w:tcPr>
            <w:tcW w:w="1706" w:type="dxa"/>
            <w:vAlign w:val="center"/>
          </w:tcPr>
          <w:p w14:paraId="621F1393">
            <w:pPr>
              <w:jc w:val="right"/>
              <w:rPr>
                <w:rFonts w:ascii="Calibri" w:hAnsi="Calibri"/>
                <w:sz w:val="20"/>
                <w:szCs w:val="20"/>
              </w:rPr>
            </w:pPr>
            <w:r>
              <w:rPr>
                <w:rFonts w:ascii="Calibri" w:hAnsi="Calibri"/>
                <w:sz w:val="20"/>
                <w:szCs w:val="20"/>
              </w:rPr>
              <w:t>50,000.00</w:t>
            </w:r>
          </w:p>
        </w:tc>
      </w:tr>
      <w:tr w14:paraId="5910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5" w:type="dxa"/>
            <w:vAlign w:val="center"/>
          </w:tcPr>
          <w:p w14:paraId="54D9D554">
            <w:pPr>
              <w:ind w:right="105"/>
              <w:jc w:val="both"/>
              <w:rPr>
                <w:rFonts w:ascii="Calibri" w:hAnsi="Calibri"/>
                <w:sz w:val="20"/>
                <w:szCs w:val="20"/>
              </w:rPr>
            </w:pPr>
            <w:r>
              <w:rPr>
                <w:rFonts w:ascii="Calibri" w:hAnsi="Calibri"/>
                <w:sz w:val="20"/>
                <w:szCs w:val="20"/>
              </w:rPr>
              <w:t>北京中海广场商业发展有限公司</w:t>
            </w:r>
          </w:p>
        </w:tc>
        <w:tc>
          <w:tcPr>
            <w:tcW w:w="1691" w:type="dxa"/>
            <w:vAlign w:val="center"/>
          </w:tcPr>
          <w:p w14:paraId="09287A7B">
            <w:pPr>
              <w:ind w:right="73"/>
              <w:jc w:val="right"/>
              <w:rPr>
                <w:rFonts w:ascii="Calibri" w:hAnsi="Calibri"/>
                <w:sz w:val="20"/>
                <w:szCs w:val="20"/>
              </w:rPr>
            </w:pPr>
            <w:r>
              <w:rPr>
                <w:rFonts w:ascii="Calibri" w:hAnsi="Calibri"/>
                <w:sz w:val="20"/>
                <w:szCs w:val="20"/>
              </w:rPr>
              <w:t>820,938.24</w:t>
            </w:r>
          </w:p>
        </w:tc>
        <w:tc>
          <w:tcPr>
            <w:tcW w:w="1352" w:type="dxa"/>
            <w:vAlign w:val="center"/>
          </w:tcPr>
          <w:p w14:paraId="6D186CA4">
            <w:pPr>
              <w:jc w:val="right"/>
              <w:rPr>
                <w:rFonts w:ascii="Calibri" w:hAnsi="Calibri"/>
                <w:sz w:val="20"/>
                <w:szCs w:val="20"/>
              </w:rPr>
            </w:pPr>
            <w:r>
              <w:rPr>
                <w:rFonts w:ascii="Calibri" w:hAnsi="Calibri"/>
                <w:sz w:val="20"/>
                <w:szCs w:val="20"/>
              </w:rPr>
              <w:t>6.40</w:t>
            </w:r>
          </w:p>
        </w:tc>
        <w:tc>
          <w:tcPr>
            <w:tcW w:w="1379" w:type="dxa"/>
            <w:vAlign w:val="center"/>
          </w:tcPr>
          <w:p w14:paraId="4CCAA15A">
            <w:pPr>
              <w:ind w:right="73"/>
              <w:jc w:val="center"/>
              <w:rPr>
                <w:rFonts w:ascii="Calibri" w:hAnsi="Calibri"/>
                <w:sz w:val="20"/>
                <w:szCs w:val="20"/>
              </w:rPr>
            </w:pPr>
            <w:r>
              <w:rPr>
                <w:rFonts w:ascii="Calibri" w:hAnsi="Calibri"/>
                <w:sz w:val="20"/>
                <w:szCs w:val="20"/>
              </w:rPr>
              <w:t>租赁保证金</w:t>
            </w:r>
          </w:p>
        </w:tc>
        <w:tc>
          <w:tcPr>
            <w:tcW w:w="1353" w:type="dxa"/>
            <w:vAlign w:val="center"/>
          </w:tcPr>
          <w:p w14:paraId="35BC1342">
            <w:pPr>
              <w:ind w:right="73"/>
              <w:rPr>
                <w:rFonts w:ascii="Calibri" w:hAnsi="Calibri"/>
                <w:sz w:val="20"/>
                <w:szCs w:val="20"/>
              </w:rPr>
            </w:pPr>
            <w:r>
              <w:rPr>
                <w:rFonts w:ascii="Calibri" w:hAnsi="Calibri"/>
                <w:sz w:val="20"/>
                <w:szCs w:val="20"/>
              </w:rPr>
              <w:t>1年以内</w:t>
            </w:r>
          </w:p>
        </w:tc>
        <w:tc>
          <w:tcPr>
            <w:tcW w:w="1706" w:type="dxa"/>
            <w:vAlign w:val="center"/>
          </w:tcPr>
          <w:p w14:paraId="4B25476D">
            <w:pPr>
              <w:jc w:val="right"/>
              <w:rPr>
                <w:rFonts w:ascii="Calibri" w:hAnsi="Calibri"/>
                <w:sz w:val="20"/>
                <w:szCs w:val="20"/>
              </w:rPr>
            </w:pPr>
            <w:r>
              <w:rPr>
                <w:rFonts w:ascii="Calibri" w:hAnsi="Calibri"/>
                <w:sz w:val="20"/>
                <w:szCs w:val="20"/>
              </w:rPr>
              <w:t>41,046.91</w:t>
            </w:r>
          </w:p>
        </w:tc>
      </w:tr>
      <w:tr w14:paraId="0A24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5" w:type="dxa"/>
            <w:vAlign w:val="center"/>
          </w:tcPr>
          <w:p w14:paraId="6DCC8A46">
            <w:pPr>
              <w:ind w:right="105"/>
              <w:jc w:val="both"/>
              <w:rPr>
                <w:rFonts w:ascii="Calibri" w:hAnsi="Calibri"/>
                <w:sz w:val="20"/>
                <w:szCs w:val="20"/>
              </w:rPr>
            </w:pPr>
            <w:r>
              <w:rPr>
                <w:rFonts w:ascii="Calibri" w:hAnsi="Calibri"/>
                <w:sz w:val="20"/>
                <w:szCs w:val="20"/>
              </w:rPr>
              <w:t>国网吉林省电力有限公司通化市城郊供电公司</w:t>
            </w:r>
          </w:p>
        </w:tc>
        <w:tc>
          <w:tcPr>
            <w:tcW w:w="1691" w:type="dxa"/>
            <w:vAlign w:val="center"/>
          </w:tcPr>
          <w:p w14:paraId="3F88EC2B">
            <w:pPr>
              <w:ind w:right="73"/>
              <w:jc w:val="right"/>
              <w:rPr>
                <w:rFonts w:ascii="Calibri" w:hAnsi="Calibri"/>
                <w:sz w:val="20"/>
                <w:szCs w:val="20"/>
              </w:rPr>
            </w:pPr>
            <w:r>
              <w:rPr>
                <w:rFonts w:ascii="Calibri" w:hAnsi="Calibri"/>
                <w:sz w:val="20"/>
                <w:szCs w:val="20"/>
              </w:rPr>
              <w:t>700,000.00</w:t>
            </w:r>
          </w:p>
        </w:tc>
        <w:tc>
          <w:tcPr>
            <w:tcW w:w="1352" w:type="dxa"/>
            <w:vAlign w:val="center"/>
          </w:tcPr>
          <w:p w14:paraId="1DA6B5F5">
            <w:pPr>
              <w:jc w:val="right"/>
              <w:rPr>
                <w:rFonts w:ascii="Calibri" w:hAnsi="Calibri"/>
                <w:sz w:val="20"/>
                <w:szCs w:val="20"/>
              </w:rPr>
            </w:pPr>
            <w:r>
              <w:rPr>
                <w:rFonts w:ascii="Calibri" w:hAnsi="Calibri"/>
                <w:sz w:val="20"/>
                <w:szCs w:val="20"/>
              </w:rPr>
              <w:t>5.45</w:t>
            </w:r>
          </w:p>
        </w:tc>
        <w:tc>
          <w:tcPr>
            <w:tcW w:w="1379" w:type="dxa"/>
            <w:vAlign w:val="center"/>
          </w:tcPr>
          <w:p w14:paraId="1943B5B0">
            <w:pPr>
              <w:ind w:right="73"/>
              <w:jc w:val="center"/>
              <w:rPr>
                <w:rFonts w:ascii="Calibri" w:hAnsi="Calibri"/>
                <w:sz w:val="20"/>
                <w:szCs w:val="20"/>
              </w:rPr>
            </w:pPr>
            <w:r>
              <w:rPr>
                <w:rFonts w:ascii="Calibri" w:hAnsi="Calibri"/>
                <w:sz w:val="20"/>
                <w:szCs w:val="20"/>
              </w:rPr>
              <w:t>电费押金</w:t>
            </w:r>
          </w:p>
        </w:tc>
        <w:tc>
          <w:tcPr>
            <w:tcW w:w="1353" w:type="dxa"/>
            <w:vAlign w:val="center"/>
          </w:tcPr>
          <w:p w14:paraId="00511382">
            <w:pPr>
              <w:ind w:right="73"/>
              <w:rPr>
                <w:rFonts w:ascii="Calibri" w:hAnsi="Calibri"/>
                <w:sz w:val="20"/>
                <w:szCs w:val="20"/>
              </w:rPr>
            </w:pPr>
            <w:r>
              <w:rPr>
                <w:rFonts w:ascii="Calibri" w:hAnsi="Calibri"/>
                <w:sz w:val="20"/>
                <w:szCs w:val="20"/>
              </w:rPr>
              <w:t>3至4年</w:t>
            </w:r>
          </w:p>
        </w:tc>
        <w:tc>
          <w:tcPr>
            <w:tcW w:w="1706" w:type="dxa"/>
            <w:vAlign w:val="center"/>
          </w:tcPr>
          <w:p w14:paraId="5FD0FCC6">
            <w:pPr>
              <w:jc w:val="right"/>
              <w:rPr>
                <w:rFonts w:ascii="Calibri" w:hAnsi="Calibri"/>
                <w:sz w:val="20"/>
                <w:szCs w:val="20"/>
              </w:rPr>
            </w:pPr>
            <w:r>
              <w:rPr>
                <w:rFonts w:ascii="Calibri" w:hAnsi="Calibri"/>
                <w:sz w:val="20"/>
                <w:szCs w:val="20"/>
              </w:rPr>
              <w:t>140,000.00</w:t>
            </w:r>
          </w:p>
        </w:tc>
      </w:tr>
      <w:tr w14:paraId="3853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65" w:type="dxa"/>
            <w:vAlign w:val="center"/>
          </w:tcPr>
          <w:p w14:paraId="7DB77AA1">
            <w:pPr>
              <w:ind w:right="105"/>
              <w:jc w:val="center"/>
              <w:rPr>
                <w:rFonts w:ascii="Calibri" w:hAnsi="Calibri"/>
                <w:sz w:val="20"/>
                <w:szCs w:val="20"/>
              </w:rPr>
            </w:pPr>
            <w:r>
              <w:rPr>
                <w:rFonts w:hint="eastAsia" w:ascii="Calibri" w:hAnsi="Calibri"/>
                <w:sz w:val="20"/>
                <w:szCs w:val="20"/>
              </w:rPr>
              <w:t>合计</w:t>
            </w:r>
          </w:p>
        </w:tc>
        <w:tc>
          <w:tcPr>
            <w:tcW w:w="1691" w:type="dxa"/>
            <w:vAlign w:val="center"/>
          </w:tcPr>
          <w:p w14:paraId="2C2E6628">
            <w:pPr>
              <w:ind w:right="73"/>
              <w:jc w:val="right"/>
              <w:rPr>
                <w:rFonts w:ascii="Calibri" w:hAnsi="Calibri"/>
                <w:sz w:val="20"/>
                <w:szCs w:val="20"/>
              </w:rPr>
            </w:pPr>
            <w:r>
              <w:rPr>
                <w:rFonts w:ascii="Calibri" w:hAnsi="Calibri"/>
                <w:sz w:val="20"/>
                <w:szCs w:val="20"/>
              </w:rPr>
              <w:t>6,509,625.03</w:t>
            </w:r>
          </w:p>
        </w:tc>
        <w:tc>
          <w:tcPr>
            <w:tcW w:w="1352" w:type="dxa"/>
            <w:vAlign w:val="center"/>
          </w:tcPr>
          <w:p w14:paraId="0E4D3D5A">
            <w:pPr>
              <w:jc w:val="right"/>
              <w:rPr>
                <w:rFonts w:ascii="Calibri" w:hAnsi="Calibri"/>
                <w:sz w:val="20"/>
                <w:szCs w:val="20"/>
              </w:rPr>
            </w:pPr>
            <w:r>
              <w:rPr>
                <w:rFonts w:ascii="Calibri" w:hAnsi="Calibri"/>
                <w:sz w:val="20"/>
                <w:szCs w:val="20"/>
              </w:rPr>
              <w:t>50.72</w:t>
            </w:r>
          </w:p>
        </w:tc>
        <w:tc>
          <w:tcPr>
            <w:tcW w:w="1379" w:type="dxa"/>
            <w:vAlign w:val="center"/>
          </w:tcPr>
          <w:p w14:paraId="4AD7F831">
            <w:pPr>
              <w:ind w:right="73"/>
              <w:jc w:val="center"/>
              <w:rPr>
                <w:rFonts w:ascii="Calibri" w:hAnsi="Calibri"/>
                <w:sz w:val="20"/>
                <w:szCs w:val="20"/>
              </w:rPr>
            </w:pPr>
            <w:r>
              <w:rPr>
                <w:rFonts w:ascii="Calibri" w:hAnsi="Calibri"/>
                <w:sz w:val="20"/>
                <w:szCs w:val="20"/>
              </w:rPr>
              <w:t>/</w:t>
            </w:r>
          </w:p>
        </w:tc>
        <w:tc>
          <w:tcPr>
            <w:tcW w:w="1353" w:type="dxa"/>
            <w:vAlign w:val="center"/>
          </w:tcPr>
          <w:p w14:paraId="2501B142">
            <w:pPr>
              <w:ind w:right="73"/>
              <w:jc w:val="center"/>
              <w:rPr>
                <w:rFonts w:ascii="Calibri" w:hAnsi="Calibri"/>
                <w:sz w:val="20"/>
                <w:szCs w:val="20"/>
              </w:rPr>
            </w:pPr>
            <w:r>
              <w:rPr>
                <w:rFonts w:ascii="Calibri" w:hAnsi="Calibri"/>
                <w:sz w:val="20"/>
                <w:szCs w:val="20"/>
              </w:rPr>
              <w:t>/</w:t>
            </w:r>
          </w:p>
        </w:tc>
        <w:tc>
          <w:tcPr>
            <w:tcW w:w="1706" w:type="dxa"/>
            <w:vAlign w:val="center"/>
          </w:tcPr>
          <w:p w14:paraId="52AF2B83">
            <w:pPr>
              <w:jc w:val="right"/>
              <w:rPr>
                <w:rFonts w:ascii="Calibri" w:hAnsi="Calibri"/>
                <w:sz w:val="20"/>
                <w:szCs w:val="20"/>
              </w:rPr>
            </w:pPr>
            <w:r>
              <w:rPr>
                <w:rFonts w:ascii="Calibri" w:hAnsi="Calibri"/>
                <w:sz w:val="20"/>
                <w:szCs w:val="20"/>
              </w:rPr>
              <w:t>1,698,028.39</w:t>
            </w:r>
          </w:p>
        </w:tc>
      </w:tr>
    </w:tbl>
    <w:p w14:paraId="4A5BF22B"/>
    <w:p w14:paraId="0C2884B2">
      <w:pPr>
        <w:pStyle w:val="6"/>
        <w:numPr>
          <w:ilvl w:val="0"/>
          <w:numId w:val="69"/>
        </w:numPr>
        <w:ind w:leftChars="0"/>
      </w:pPr>
      <w:r>
        <w:rPr>
          <w:rFonts w:hint="eastAsia"/>
        </w:rPr>
        <w:t>因资金集中管理而列报于其他应收款</w:t>
      </w:r>
    </w:p>
    <w:sdt>
      <w:sdtPr>
        <w:alias w:val="是否适用：因资金集中管理而列报于其他应收款[双击切换]"/>
        <w:tag w:val="_GBC_b8da09aaaa6f41fc9a0da9e70575d260"/>
        <w:id w:val="-1812321111"/>
        <w:placeholder>
          <w:docPart w:val="GBC22222222222222222222222222222"/>
        </w:placeholder>
      </w:sdtPr>
      <w:sdtContent>
        <w:p w14:paraId="66DC44F8">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D3A0882">
      <w:pPr>
        <w:snapToGrid w:val="0"/>
        <w:spacing w:line="240" w:lineRule="atLeast"/>
      </w:pPr>
    </w:p>
    <w:p w14:paraId="0EC87EFF">
      <w:pPr>
        <w:pStyle w:val="48"/>
      </w:pPr>
      <w:r>
        <w:rPr>
          <w:rFonts w:hint="eastAsia"/>
        </w:rPr>
        <w:t>其他</w:t>
      </w:r>
      <w:r>
        <w:t>说明：</w:t>
      </w:r>
    </w:p>
    <w:sdt>
      <w:sdtPr>
        <w:rPr>
          <w:rFonts w:hint="eastAsia"/>
        </w:rPr>
        <w:alias w:val="是否适用：其他应收款的其他说明[双击切换]"/>
        <w:tag w:val="_GBC_f19370687b664bbeafd6d2809311f81e"/>
        <w:id w:val="2048483753"/>
        <w:placeholder>
          <w:docPart w:val="GBC22222222222222222222222222222"/>
        </w:placeholder>
      </w:sdtPr>
      <w:sdtEndPr>
        <w:rPr>
          <w:rFonts w:hint="eastAsia"/>
        </w:rPr>
      </w:sdtEndPr>
      <w:sdtContent>
        <w:p w14:paraId="320CCBE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3C5C7E2">
      <w:pPr>
        <w:pStyle w:val="48"/>
      </w:pPr>
    </w:p>
    <w:p w14:paraId="27D927A3">
      <w:pPr>
        <w:pStyle w:val="4"/>
        <w:numPr>
          <w:ilvl w:val="0"/>
          <w:numId w:val="61"/>
        </w:numPr>
        <w:rPr>
          <w:szCs w:val="21"/>
        </w:rPr>
      </w:pPr>
      <w:r>
        <w:rPr>
          <w:szCs w:val="21"/>
        </w:rPr>
        <w:t>存货</w:t>
      </w:r>
    </w:p>
    <w:p w14:paraId="25F6BCD6">
      <w:pPr>
        <w:pStyle w:val="5"/>
        <w:numPr>
          <w:ilvl w:val="3"/>
          <w:numId w:val="70"/>
        </w:numPr>
        <w:ind w:left="426" w:hanging="426"/>
      </w:pPr>
      <w:bookmarkStart w:id="271" w:name="_Hlk532992451"/>
      <w:bookmarkStart w:id="272" w:name="_Hlk24116366"/>
      <w:r>
        <w:rPr>
          <w:rFonts w:hint="eastAsia"/>
        </w:rPr>
        <w:t>存货分类</w:t>
      </w:r>
    </w:p>
    <w:sdt>
      <w:sdtPr>
        <w:alias w:val="是否适用：存货分类[双击切换]"/>
        <w:tag w:val="_GBC_357bbe1b1f034d20ba175209243f1121"/>
        <w:id w:val="-774631348"/>
        <w:placeholder>
          <w:docPart w:val="GBC22222222222222222222222222222"/>
        </w:placeholder>
      </w:sdtPr>
      <w:sdtContent>
        <w:p w14:paraId="2BA6B2D0">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79279D3">
      <w:pPr>
        <w:jc w:val="right"/>
      </w:pPr>
      <w:r>
        <w:rPr>
          <w:rFonts w:hint="eastAsia"/>
        </w:rPr>
        <w:t>单位：</w:t>
      </w:r>
      <w:sdt>
        <w:sdtPr>
          <w:rPr>
            <w:rFonts w:hint="eastAsia"/>
          </w:rPr>
          <w:alias w:val="单位：财务附注：存货分类"/>
          <w:tag w:val="_GBC_d8d041ff281d42b2825673de12d9cf99"/>
          <w:id w:val="19072633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存货分类"/>
          <w:tag w:val="_GBC_dfe02fee4d9a4b77b46c5afad867d464"/>
          <w:id w:val="5397889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271"/>
    <w:bookmarkEnd w:id="272"/>
    <w:tbl>
      <w:tblPr>
        <w:tblStyle w:val="5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379"/>
        <w:gridCol w:w="1276"/>
        <w:gridCol w:w="1418"/>
        <w:gridCol w:w="1417"/>
        <w:gridCol w:w="1276"/>
        <w:gridCol w:w="1417"/>
      </w:tblGrid>
      <w:tr w14:paraId="5115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c7ef81863f9f475b86b8ee43ac7e9274"/>
            <w:id w:val="1178088554"/>
          </w:sdtPr>
          <w:sdtContent>
            <w:tc>
              <w:tcPr>
                <w:tcW w:w="1451" w:type="dxa"/>
                <w:vMerge w:val="restart"/>
                <w:vAlign w:val="center"/>
              </w:tcPr>
              <w:p w14:paraId="49852E0A">
                <w:pPr>
                  <w:jc w:val="center"/>
                  <w:rPr>
                    <w:rFonts w:ascii="Calibri" w:hAnsi="Calibri"/>
                    <w:sz w:val="20"/>
                    <w:szCs w:val="20"/>
                  </w:rPr>
                </w:pPr>
                <w:bookmarkStart w:id="273" w:name="_Hlk182484983"/>
                <w:r>
                  <w:rPr>
                    <w:rFonts w:hint="eastAsia" w:ascii="Calibri" w:hAnsi="Calibri"/>
                    <w:sz w:val="20"/>
                    <w:szCs w:val="20"/>
                  </w:rPr>
                  <w:t>项目</w:t>
                </w:r>
              </w:p>
            </w:tc>
          </w:sdtContent>
        </w:sdt>
        <w:sdt>
          <w:sdtPr>
            <w:tag w:val="_PLD_68fbd4316a69442d924038f565882f99"/>
            <w:id w:val="597141402"/>
          </w:sdtPr>
          <w:sdtContent>
            <w:tc>
              <w:tcPr>
                <w:tcW w:w="4073" w:type="dxa"/>
                <w:gridSpan w:val="3"/>
                <w:vAlign w:val="center"/>
              </w:tcPr>
              <w:p w14:paraId="553557C0">
                <w:pPr>
                  <w:spacing w:line="276" w:lineRule="auto"/>
                  <w:jc w:val="center"/>
                  <w:rPr>
                    <w:rFonts w:ascii="Calibri" w:hAnsi="Calibri"/>
                    <w:sz w:val="20"/>
                    <w:szCs w:val="20"/>
                  </w:rPr>
                </w:pPr>
                <w:r>
                  <w:rPr>
                    <w:rFonts w:hint="eastAsia" w:ascii="Calibri" w:hAnsi="Calibri"/>
                    <w:sz w:val="20"/>
                    <w:szCs w:val="20"/>
                  </w:rPr>
                  <w:t>期末余额</w:t>
                </w:r>
              </w:p>
            </w:tc>
          </w:sdtContent>
        </w:sdt>
        <w:sdt>
          <w:sdtPr>
            <w:tag w:val="_PLD_39f6313de32c45ce95b6a2ef18238d4a"/>
            <w:id w:val="855317300"/>
          </w:sdtPr>
          <w:sdtContent>
            <w:tc>
              <w:tcPr>
                <w:tcW w:w="4110" w:type="dxa"/>
                <w:gridSpan w:val="3"/>
                <w:vAlign w:val="center"/>
              </w:tcPr>
              <w:p w14:paraId="2B3B3F9E">
                <w:pPr>
                  <w:spacing w:line="276" w:lineRule="auto"/>
                  <w:jc w:val="center"/>
                  <w:rPr>
                    <w:rFonts w:ascii="Calibri" w:hAnsi="Calibri"/>
                    <w:sz w:val="20"/>
                    <w:szCs w:val="20"/>
                  </w:rPr>
                </w:pPr>
                <w:r>
                  <w:rPr>
                    <w:rFonts w:hint="eastAsia" w:ascii="Calibri" w:hAnsi="Calibri"/>
                    <w:sz w:val="20"/>
                    <w:szCs w:val="20"/>
                  </w:rPr>
                  <w:t>期初余额</w:t>
                </w:r>
              </w:p>
            </w:tc>
          </w:sdtContent>
        </w:sdt>
      </w:tr>
      <w:tr w14:paraId="24D9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51" w:type="dxa"/>
            <w:vMerge w:val="continue"/>
            <w:vAlign w:val="center"/>
          </w:tcPr>
          <w:p w14:paraId="2C2CACDA">
            <w:pPr>
              <w:ind w:right="5"/>
              <w:jc w:val="center"/>
              <w:rPr>
                <w:rFonts w:ascii="Calibri" w:hAnsi="Calibri"/>
                <w:sz w:val="20"/>
                <w:szCs w:val="20"/>
              </w:rPr>
            </w:pPr>
          </w:p>
        </w:tc>
        <w:sdt>
          <w:sdtPr>
            <w:tag w:val="_PLD_73436d894fc444d5b519a3b75a689324"/>
            <w:id w:val="-178669203"/>
          </w:sdtPr>
          <w:sdtContent>
            <w:tc>
              <w:tcPr>
                <w:tcW w:w="1379" w:type="dxa"/>
                <w:vAlign w:val="center"/>
              </w:tcPr>
              <w:p w14:paraId="0889DE78">
                <w:pPr>
                  <w:ind w:right="5"/>
                  <w:jc w:val="center"/>
                  <w:rPr>
                    <w:rFonts w:ascii="Calibri" w:hAnsi="Calibri"/>
                    <w:sz w:val="20"/>
                    <w:szCs w:val="20"/>
                  </w:rPr>
                </w:pPr>
                <w:r>
                  <w:rPr>
                    <w:rFonts w:hint="eastAsia" w:ascii="Calibri" w:hAnsi="Calibri"/>
                    <w:sz w:val="20"/>
                    <w:szCs w:val="20"/>
                  </w:rPr>
                  <w:t>账面余额</w:t>
                </w:r>
              </w:p>
            </w:tc>
          </w:sdtContent>
        </w:sdt>
        <w:tc>
          <w:tcPr>
            <w:tcW w:w="1276" w:type="dxa"/>
            <w:vAlign w:val="center"/>
          </w:tcPr>
          <w:p w14:paraId="0095C705">
            <w:pPr>
              <w:ind w:right="5"/>
              <w:jc w:val="center"/>
              <w:rPr>
                <w:rFonts w:ascii="Calibri" w:hAnsi="Calibri"/>
                <w:sz w:val="20"/>
                <w:szCs w:val="20"/>
              </w:rPr>
            </w:pPr>
            <w:sdt>
              <w:sdtPr>
                <w:tag w:val="_PLD_09cd496fa8624ad4a9538b5b209e6d5a"/>
                <w:id w:val="-545070689"/>
              </w:sdtPr>
              <w:sdtContent>
                <w:r>
                  <w:rPr>
                    <w:rFonts w:hint="eastAsia" w:ascii="Calibri" w:hAnsi="Calibri"/>
                    <w:sz w:val="20"/>
                    <w:szCs w:val="20"/>
                  </w:rPr>
                  <w:t>存货跌价准备</w:t>
                </w:r>
                <w:r>
                  <w:rPr>
                    <w:rFonts w:ascii="Calibri" w:hAnsi="Calibri"/>
                    <w:sz w:val="20"/>
                    <w:szCs w:val="20"/>
                  </w:rPr>
                  <w:t>/合同履约成本减值准备</w:t>
                </w:r>
              </w:sdtContent>
            </w:sdt>
          </w:p>
        </w:tc>
        <w:sdt>
          <w:sdtPr>
            <w:tag w:val="_PLD_2c7532c412cf491899c310ef9902157e"/>
            <w:id w:val="175861204"/>
          </w:sdtPr>
          <w:sdtContent>
            <w:tc>
              <w:tcPr>
                <w:tcW w:w="1418" w:type="dxa"/>
                <w:vAlign w:val="center"/>
              </w:tcPr>
              <w:p w14:paraId="3F3198AA">
                <w:pPr>
                  <w:ind w:right="5"/>
                  <w:jc w:val="center"/>
                  <w:rPr>
                    <w:rFonts w:ascii="Calibri" w:hAnsi="Calibri"/>
                    <w:sz w:val="20"/>
                    <w:szCs w:val="20"/>
                  </w:rPr>
                </w:pPr>
                <w:r>
                  <w:rPr>
                    <w:rFonts w:hint="eastAsia" w:ascii="Calibri" w:hAnsi="Calibri"/>
                    <w:sz w:val="20"/>
                    <w:szCs w:val="20"/>
                  </w:rPr>
                  <w:t>账面价值</w:t>
                </w:r>
              </w:p>
            </w:tc>
          </w:sdtContent>
        </w:sdt>
        <w:sdt>
          <w:sdtPr>
            <w:tag w:val="_PLD_6c2924a6d3da466f96c5c2e2f2d81de1"/>
            <w:id w:val="-1494103516"/>
          </w:sdtPr>
          <w:sdtContent>
            <w:tc>
              <w:tcPr>
                <w:tcW w:w="1417" w:type="dxa"/>
                <w:vAlign w:val="center"/>
              </w:tcPr>
              <w:p w14:paraId="5BFD241D">
                <w:pPr>
                  <w:ind w:right="5"/>
                  <w:jc w:val="center"/>
                  <w:rPr>
                    <w:rFonts w:ascii="Calibri" w:hAnsi="Calibri"/>
                    <w:sz w:val="20"/>
                    <w:szCs w:val="20"/>
                  </w:rPr>
                </w:pPr>
                <w:r>
                  <w:rPr>
                    <w:rFonts w:hint="eastAsia" w:ascii="Calibri" w:hAnsi="Calibri"/>
                    <w:sz w:val="20"/>
                    <w:szCs w:val="20"/>
                  </w:rPr>
                  <w:t>账面余额</w:t>
                </w:r>
              </w:p>
            </w:tc>
          </w:sdtContent>
        </w:sdt>
        <w:tc>
          <w:tcPr>
            <w:tcW w:w="1276" w:type="dxa"/>
            <w:vAlign w:val="center"/>
          </w:tcPr>
          <w:p w14:paraId="1C374B85">
            <w:pPr>
              <w:ind w:right="5"/>
              <w:jc w:val="center"/>
              <w:rPr>
                <w:rFonts w:ascii="Calibri" w:hAnsi="Calibri"/>
                <w:sz w:val="20"/>
                <w:szCs w:val="20"/>
              </w:rPr>
            </w:pPr>
            <w:sdt>
              <w:sdtPr>
                <w:tag w:val="_PLD_e5df78ba36d146dfb7eedab7ddd98031"/>
                <w:id w:val="649414397"/>
              </w:sdtPr>
              <w:sdtContent>
                <w:r>
                  <w:rPr>
                    <w:rFonts w:hint="eastAsia" w:ascii="Calibri" w:hAnsi="Calibri"/>
                    <w:sz w:val="20"/>
                    <w:szCs w:val="20"/>
                  </w:rPr>
                  <w:t>存货跌价准备</w:t>
                </w:r>
                <w:r>
                  <w:rPr>
                    <w:rFonts w:ascii="Calibri" w:hAnsi="Calibri"/>
                    <w:sz w:val="20"/>
                    <w:szCs w:val="20"/>
                  </w:rPr>
                  <w:t>/合同履约成本减值准备</w:t>
                </w:r>
              </w:sdtContent>
            </w:sdt>
          </w:p>
        </w:tc>
        <w:sdt>
          <w:sdtPr>
            <w:tag w:val="_PLD_ba07e513b5504e03b2dcef7d8421fa16"/>
            <w:id w:val="-1694303825"/>
          </w:sdtPr>
          <w:sdtContent>
            <w:tc>
              <w:tcPr>
                <w:tcW w:w="1417" w:type="dxa"/>
                <w:vAlign w:val="center"/>
              </w:tcPr>
              <w:p w14:paraId="3599CBA3">
                <w:pPr>
                  <w:ind w:right="5"/>
                  <w:jc w:val="center"/>
                  <w:rPr>
                    <w:rFonts w:ascii="Calibri" w:hAnsi="Calibri"/>
                    <w:sz w:val="20"/>
                    <w:szCs w:val="20"/>
                  </w:rPr>
                </w:pPr>
                <w:r>
                  <w:rPr>
                    <w:rFonts w:hint="eastAsia" w:ascii="Calibri" w:hAnsi="Calibri"/>
                    <w:sz w:val="20"/>
                    <w:szCs w:val="20"/>
                  </w:rPr>
                  <w:t>账面价值</w:t>
                </w:r>
              </w:p>
            </w:tc>
          </w:sdtContent>
        </w:sdt>
      </w:tr>
      <w:tr w14:paraId="625C7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51" w:type="dxa"/>
            <w:vAlign w:val="center"/>
          </w:tcPr>
          <w:p w14:paraId="7FAD6CC3">
            <w:pPr>
              <w:ind w:right="5"/>
              <w:rPr>
                <w:rFonts w:ascii="Calibri" w:hAnsi="Calibri"/>
                <w:sz w:val="20"/>
                <w:szCs w:val="20"/>
              </w:rPr>
            </w:pPr>
            <w:r>
              <w:rPr>
                <w:rFonts w:hint="eastAsia" w:ascii="Calibri" w:hAnsi="Calibri"/>
                <w:sz w:val="20"/>
                <w:szCs w:val="20"/>
              </w:rPr>
              <w:t>原材料</w:t>
            </w:r>
          </w:p>
        </w:tc>
        <w:tc>
          <w:tcPr>
            <w:tcW w:w="1379" w:type="dxa"/>
            <w:vAlign w:val="center"/>
          </w:tcPr>
          <w:p w14:paraId="34EDEEAA">
            <w:pPr>
              <w:spacing w:line="276" w:lineRule="auto"/>
              <w:ind w:right="5"/>
              <w:jc w:val="right"/>
              <w:rPr>
                <w:rFonts w:ascii="Calibri" w:hAnsi="Calibri"/>
                <w:sz w:val="18"/>
                <w:szCs w:val="18"/>
              </w:rPr>
            </w:pPr>
            <w:r>
              <w:rPr>
                <w:rFonts w:ascii="Calibri" w:hAnsi="Calibri"/>
                <w:sz w:val="18"/>
                <w:szCs w:val="18"/>
              </w:rPr>
              <w:t>294,688,343.58</w:t>
            </w:r>
          </w:p>
        </w:tc>
        <w:tc>
          <w:tcPr>
            <w:tcW w:w="1276" w:type="dxa"/>
            <w:vAlign w:val="center"/>
          </w:tcPr>
          <w:p w14:paraId="7AA06559">
            <w:pPr>
              <w:spacing w:line="276" w:lineRule="auto"/>
              <w:ind w:right="5"/>
              <w:jc w:val="right"/>
              <w:rPr>
                <w:rFonts w:ascii="Calibri" w:hAnsi="Calibri"/>
                <w:sz w:val="18"/>
                <w:szCs w:val="18"/>
              </w:rPr>
            </w:pPr>
            <w:r>
              <w:rPr>
                <w:rFonts w:ascii="Calibri" w:hAnsi="Calibri"/>
                <w:sz w:val="18"/>
                <w:szCs w:val="18"/>
              </w:rPr>
              <w:t>16,910,921.79</w:t>
            </w:r>
          </w:p>
        </w:tc>
        <w:tc>
          <w:tcPr>
            <w:tcW w:w="1418" w:type="dxa"/>
            <w:vAlign w:val="center"/>
          </w:tcPr>
          <w:p w14:paraId="378A1728">
            <w:pPr>
              <w:spacing w:line="276" w:lineRule="auto"/>
              <w:ind w:right="5"/>
              <w:jc w:val="right"/>
              <w:rPr>
                <w:rFonts w:ascii="Calibri" w:hAnsi="Calibri"/>
                <w:sz w:val="18"/>
                <w:szCs w:val="18"/>
              </w:rPr>
            </w:pPr>
            <w:r>
              <w:rPr>
                <w:rFonts w:ascii="Calibri" w:hAnsi="Calibri"/>
                <w:sz w:val="18"/>
                <w:szCs w:val="18"/>
              </w:rPr>
              <w:t>277,777,421.79</w:t>
            </w:r>
          </w:p>
        </w:tc>
        <w:tc>
          <w:tcPr>
            <w:tcW w:w="1417" w:type="dxa"/>
            <w:vAlign w:val="center"/>
          </w:tcPr>
          <w:p w14:paraId="0C0F00C3">
            <w:pPr>
              <w:spacing w:line="276" w:lineRule="auto"/>
              <w:ind w:right="5"/>
              <w:jc w:val="right"/>
              <w:rPr>
                <w:rFonts w:ascii="Calibri" w:hAnsi="Calibri"/>
                <w:sz w:val="18"/>
                <w:szCs w:val="18"/>
              </w:rPr>
            </w:pPr>
            <w:r>
              <w:rPr>
                <w:rFonts w:ascii="Calibri" w:hAnsi="Calibri"/>
                <w:sz w:val="18"/>
                <w:szCs w:val="18"/>
              </w:rPr>
              <w:t>236,604,794.47</w:t>
            </w:r>
          </w:p>
        </w:tc>
        <w:tc>
          <w:tcPr>
            <w:tcW w:w="1276" w:type="dxa"/>
            <w:vAlign w:val="center"/>
          </w:tcPr>
          <w:p w14:paraId="578BDEF6">
            <w:pPr>
              <w:spacing w:line="276" w:lineRule="auto"/>
              <w:ind w:right="5"/>
              <w:jc w:val="right"/>
              <w:rPr>
                <w:rFonts w:ascii="Calibri" w:hAnsi="Calibri"/>
                <w:sz w:val="18"/>
                <w:szCs w:val="18"/>
              </w:rPr>
            </w:pPr>
            <w:r>
              <w:rPr>
                <w:rFonts w:ascii="Calibri" w:hAnsi="Calibri"/>
                <w:sz w:val="18"/>
                <w:szCs w:val="18"/>
              </w:rPr>
              <w:t>12,109,259.65</w:t>
            </w:r>
          </w:p>
        </w:tc>
        <w:tc>
          <w:tcPr>
            <w:tcW w:w="1417" w:type="dxa"/>
            <w:vAlign w:val="center"/>
          </w:tcPr>
          <w:p w14:paraId="235013F4">
            <w:pPr>
              <w:spacing w:line="276" w:lineRule="auto"/>
              <w:ind w:right="5"/>
              <w:jc w:val="right"/>
              <w:rPr>
                <w:rFonts w:ascii="Calibri" w:hAnsi="Calibri"/>
                <w:sz w:val="18"/>
                <w:szCs w:val="18"/>
              </w:rPr>
            </w:pPr>
            <w:r>
              <w:rPr>
                <w:rFonts w:ascii="Calibri" w:hAnsi="Calibri"/>
                <w:sz w:val="18"/>
                <w:szCs w:val="18"/>
              </w:rPr>
              <w:t>224,495,534.82</w:t>
            </w:r>
          </w:p>
        </w:tc>
      </w:tr>
      <w:tr w14:paraId="2A52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51" w:type="dxa"/>
            <w:vAlign w:val="center"/>
          </w:tcPr>
          <w:p w14:paraId="0FDC5AC4">
            <w:pPr>
              <w:ind w:right="5"/>
              <w:rPr>
                <w:rFonts w:ascii="Calibri" w:hAnsi="Calibri"/>
                <w:sz w:val="20"/>
                <w:szCs w:val="20"/>
              </w:rPr>
            </w:pPr>
            <w:r>
              <w:rPr>
                <w:rFonts w:hint="eastAsia" w:ascii="Calibri" w:hAnsi="Calibri"/>
                <w:sz w:val="20"/>
                <w:szCs w:val="20"/>
              </w:rPr>
              <w:t>在产品</w:t>
            </w:r>
          </w:p>
        </w:tc>
        <w:tc>
          <w:tcPr>
            <w:tcW w:w="1379" w:type="dxa"/>
            <w:vAlign w:val="center"/>
          </w:tcPr>
          <w:p w14:paraId="25F497BA">
            <w:pPr>
              <w:spacing w:line="276" w:lineRule="auto"/>
              <w:ind w:right="5"/>
              <w:jc w:val="right"/>
              <w:rPr>
                <w:rFonts w:ascii="Calibri" w:hAnsi="Calibri"/>
                <w:sz w:val="18"/>
                <w:szCs w:val="18"/>
              </w:rPr>
            </w:pPr>
            <w:r>
              <w:rPr>
                <w:rFonts w:ascii="Calibri" w:hAnsi="Calibri"/>
                <w:sz w:val="18"/>
                <w:szCs w:val="18"/>
              </w:rPr>
              <w:t>27,391,559.38</w:t>
            </w:r>
          </w:p>
        </w:tc>
        <w:tc>
          <w:tcPr>
            <w:tcW w:w="1276" w:type="dxa"/>
            <w:vAlign w:val="center"/>
          </w:tcPr>
          <w:p w14:paraId="39A0B1A1">
            <w:pPr>
              <w:spacing w:line="276" w:lineRule="auto"/>
              <w:ind w:right="5"/>
              <w:jc w:val="right"/>
              <w:rPr>
                <w:rFonts w:ascii="Calibri" w:hAnsi="Calibri"/>
                <w:sz w:val="18"/>
                <w:szCs w:val="18"/>
              </w:rPr>
            </w:pPr>
          </w:p>
        </w:tc>
        <w:tc>
          <w:tcPr>
            <w:tcW w:w="1418" w:type="dxa"/>
            <w:vAlign w:val="center"/>
          </w:tcPr>
          <w:p w14:paraId="04EDC8A0">
            <w:pPr>
              <w:spacing w:line="276" w:lineRule="auto"/>
              <w:ind w:right="5"/>
              <w:jc w:val="right"/>
              <w:rPr>
                <w:rFonts w:ascii="Calibri" w:hAnsi="Calibri"/>
                <w:sz w:val="18"/>
                <w:szCs w:val="18"/>
              </w:rPr>
            </w:pPr>
            <w:r>
              <w:rPr>
                <w:rFonts w:ascii="Calibri" w:hAnsi="Calibri"/>
                <w:sz w:val="18"/>
                <w:szCs w:val="18"/>
              </w:rPr>
              <w:t>27,391,559.38</w:t>
            </w:r>
          </w:p>
        </w:tc>
        <w:tc>
          <w:tcPr>
            <w:tcW w:w="1417" w:type="dxa"/>
            <w:vAlign w:val="center"/>
          </w:tcPr>
          <w:p w14:paraId="34BDF4A4">
            <w:pPr>
              <w:spacing w:line="276" w:lineRule="auto"/>
              <w:ind w:right="5"/>
              <w:jc w:val="right"/>
              <w:rPr>
                <w:rFonts w:ascii="Calibri" w:hAnsi="Calibri"/>
                <w:sz w:val="18"/>
                <w:szCs w:val="18"/>
              </w:rPr>
            </w:pPr>
            <w:r>
              <w:rPr>
                <w:rFonts w:ascii="Calibri" w:hAnsi="Calibri"/>
                <w:sz w:val="18"/>
                <w:szCs w:val="18"/>
              </w:rPr>
              <w:t>18,492,635.82</w:t>
            </w:r>
          </w:p>
        </w:tc>
        <w:tc>
          <w:tcPr>
            <w:tcW w:w="1276" w:type="dxa"/>
            <w:vAlign w:val="center"/>
          </w:tcPr>
          <w:p w14:paraId="63D3C0EA">
            <w:pPr>
              <w:spacing w:line="276" w:lineRule="auto"/>
              <w:ind w:right="5"/>
              <w:jc w:val="right"/>
              <w:rPr>
                <w:rFonts w:ascii="Calibri" w:hAnsi="Calibri"/>
                <w:sz w:val="18"/>
                <w:szCs w:val="18"/>
              </w:rPr>
            </w:pPr>
          </w:p>
        </w:tc>
        <w:tc>
          <w:tcPr>
            <w:tcW w:w="1417" w:type="dxa"/>
            <w:vAlign w:val="center"/>
          </w:tcPr>
          <w:p w14:paraId="021593AE">
            <w:pPr>
              <w:spacing w:line="276" w:lineRule="auto"/>
              <w:ind w:right="5"/>
              <w:jc w:val="right"/>
              <w:rPr>
                <w:rFonts w:ascii="Calibri" w:hAnsi="Calibri"/>
                <w:sz w:val="18"/>
                <w:szCs w:val="18"/>
              </w:rPr>
            </w:pPr>
            <w:r>
              <w:rPr>
                <w:rFonts w:ascii="Calibri" w:hAnsi="Calibri"/>
                <w:sz w:val="18"/>
                <w:szCs w:val="18"/>
              </w:rPr>
              <w:t>18,492,635.82</w:t>
            </w:r>
          </w:p>
        </w:tc>
      </w:tr>
      <w:tr w14:paraId="7C4A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51" w:type="dxa"/>
            <w:vAlign w:val="center"/>
          </w:tcPr>
          <w:p w14:paraId="63EC006F">
            <w:pPr>
              <w:ind w:right="5"/>
              <w:rPr>
                <w:rFonts w:ascii="Calibri" w:hAnsi="Calibri"/>
                <w:sz w:val="20"/>
                <w:szCs w:val="20"/>
              </w:rPr>
            </w:pPr>
            <w:r>
              <w:rPr>
                <w:rFonts w:hint="eastAsia" w:ascii="Calibri" w:hAnsi="Calibri"/>
                <w:sz w:val="20"/>
                <w:szCs w:val="20"/>
              </w:rPr>
              <w:t>库存商品</w:t>
            </w:r>
          </w:p>
        </w:tc>
        <w:tc>
          <w:tcPr>
            <w:tcW w:w="1379" w:type="dxa"/>
            <w:vAlign w:val="center"/>
          </w:tcPr>
          <w:p w14:paraId="6F4D5C36">
            <w:pPr>
              <w:spacing w:line="276" w:lineRule="auto"/>
              <w:ind w:right="5"/>
              <w:jc w:val="right"/>
              <w:rPr>
                <w:rFonts w:ascii="Calibri" w:hAnsi="Calibri"/>
                <w:sz w:val="18"/>
                <w:szCs w:val="18"/>
              </w:rPr>
            </w:pPr>
            <w:r>
              <w:rPr>
                <w:rFonts w:ascii="Calibri" w:hAnsi="Calibri"/>
                <w:sz w:val="18"/>
                <w:szCs w:val="18"/>
              </w:rPr>
              <w:t>254,846,505.08</w:t>
            </w:r>
          </w:p>
        </w:tc>
        <w:tc>
          <w:tcPr>
            <w:tcW w:w="1276" w:type="dxa"/>
            <w:vAlign w:val="center"/>
          </w:tcPr>
          <w:p w14:paraId="4246B5DF">
            <w:pPr>
              <w:spacing w:line="276" w:lineRule="auto"/>
              <w:ind w:right="5"/>
              <w:jc w:val="right"/>
              <w:rPr>
                <w:rFonts w:ascii="Calibri" w:hAnsi="Calibri"/>
                <w:sz w:val="18"/>
                <w:szCs w:val="18"/>
              </w:rPr>
            </w:pPr>
            <w:r>
              <w:rPr>
                <w:rFonts w:ascii="Calibri" w:hAnsi="Calibri"/>
                <w:sz w:val="18"/>
                <w:szCs w:val="18"/>
              </w:rPr>
              <w:t>7,518,918.90</w:t>
            </w:r>
          </w:p>
        </w:tc>
        <w:tc>
          <w:tcPr>
            <w:tcW w:w="1418" w:type="dxa"/>
            <w:vAlign w:val="center"/>
          </w:tcPr>
          <w:p w14:paraId="4A38416A">
            <w:pPr>
              <w:spacing w:line="276" w:lineRule="auto"/>
              <w:ind w:right="5"/>
              <w:jc w:val="right"/>
              <w:rPr>
                <w:rFonts w:ascii="Calibri" w:hAnsi="Calibri"/>
                <w:sz w:val="18"/>
                <w:szCs w:val="18"/>
              </w:rPr>
            </w:pPr>
            <w:r>
              <w:rPr>
                <w:rFonts w:ascii="Calibri" w:hAnsi="Calibri"/>
                <w:sz w:val="18"/>
                <w:szCs w:val="18"/>
              </w:rPr>
              <w:t>247,327,586.18</w:t>
            </w:r>
          </w:p>
        </w:tc>
        <w:tc>
          <w:tcPr>
            <w:tcW w:w="1417" w:type="dxa"/>
            <w:vAlign w:val="center"/>
          </w:tcPr>
          <w:p w14:paraId="34872996">
            <w:pPr>
              <w:spacing w:line="276" w:lineRule="auto"/>
              <w:ind w:right="5"/>
              <w:jc w:val="right"/>
              <w:rPr>
                <w:rFonts w:ascii="Calibri" w:hAnsi="Calibri"/>
                <w:sz w:val="18"/>
                <w:szCs w:val="18"/>
              </w:rPr>
            </w:pPr>
            <w:r>
              <w:rPr>
                <w:rFonts w:ascii="Calibri" w:hAnsi="Calibri"/>
                <w:sz w:val="18"/>
                <w:szCs w:val="18"/>
              </w:rPr>
              <w:t>336,799,638.16</w:t>
            </w:r>
          </w:p>
        </w:tc>
        <w:tc>
          <w:tcPr>
            <w:tcW w:w="1276" w:type="dxa"/>
            <w:vAlign w:val="center"/>
          </w:tcPr>
          <w:p w14:paraId="07241B22">
            <w:pPr>
              <w:spacing w:line="276" w:lineRule="auto"/>
              <w:ind w:right="5"/>
              <w:jc w:val="right"/>
              <w:rPr>
                <w:rFonts w:ascii="Calibri" w:hAnsi="Calibri"/>
                <w:sz w:val="18"/>
                <w:szCs w:val="18"/>
              </w:rPr>
            </w:pPr>
            <w:r>
              <w:rPr>
                <w:rFonts w:ascii="Calibri" w:hAnsi="Calibri"/>
                <w:sz w:val="18"/>
                <w:szCs w:val="18"/>
              </w:rPr>
              <w:t>5,373,608.86</w:t>
            </w:r>
          </w:p>
        </w:tc>
        <w:tc>
          <w:tcPr>
            <w:tcW w:w="1417" w:type="dxa"/>
            <w:vAlign w:val="center"/>
          </w:tcPr>
          <w:p w14:paraId="702AC214">
            <w:pPr>
              <w:spacing w:line="276" w:lineRule="auto"/>
              <w:ind w:right="5"/>
              <w:jc w:val="right"/>
              <w:rPr>
                <w:rFonts w:ascii="Calibri" w:hAnsi="Calibri"/>
                <w:sz w:val="18"/>
                <w:szCs w:val="18"/>
              </w:rPr>
            </w:pPr>
            <w:r>
              <w:rPr>
                <w:rFonts w:ascii="Calibri" w:hAnsi="Calibri"/>
                <w:sz w:val="18"/>
                <w:szCs w:val="18"/>
              </w:rPr>
              <w:t>331,426,029.30</w:t>
            </w:r>
          </w:p>
        </w:tc>
      </w:tr>
      <w:tr w14:paraId="2C31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51" w:type="dxa"/>
            <w:vAlign w:val="center"/>
          </w:tcPr>
          <w:p w14:paraId="5F55CE1C">
            <w:pPr>
              <w:ind w:right="5"/>
              <w:rPr>
                <w:rFonts w:ascii="Calibri" w:hAnsi="Calibri"/>
                <w:sz w:val="20"/>
                <w:szCs w:val="20"/>
              </w:rPr>
            </w:pPr>
            <w:r>
              <w:rPr>
                <w:rFonts w:ascii="Calibri" w:hAnsi="Calibri"/>
                <w:sz w:val="20"/>
                <w:szCs w:val="20"/>
              </w:rPr>
              <w:t>开发产品（房地产）</w:t>
            </w:r>
          </w:p>
        </w:tc>
        <w:tc>
          <w:tcPr>
            <w:tcW w:w="1379" w:type="dxa"/>
            <w:vAlign w:val="center"/>
          </w:tcPr>
          <w:p w14:paraId="536DA8DF">
            <w:pPr>
              <w:spacing w:line="276" w:lineRule="auto"/>
              <w:ind w:right="5"/>
              <w:jc w:val="right"/>
              <w:rPr>
                <w:rFonts w:ascii="Calibri" w:hAnsi="Calibri"/>
                <w:sz w:val="18"/>
                <w:szCs w:val="18"/>
              </w:rPr>
            </w:pPr>
            <w:r>
              <w:rPr>
                <w:rFonts w:ascii="Calibri" w:hAnsi="Calibri"/>
                <w:sz w:val="18"/>
                <w:szCs w:val="18"/>
              </w:rPr>
              <w:t>177,509,047.42</w:t>
            </w:r>
          </w:p>
        </w:tc>
        <w:tc>
          <w:tcPr>
            <w:tcW w:w="1276" w:type="dxa"/>
            <w:vAlign w:val="center"/>
          </w:tcPr>
          <w:p w14:paraId="55D6A94B">
            <w:pPr>
              <w:spacing w:line="276" w:lineRule="auto"/>
              <w:ind w:right="5"/>
              <w:jc w:val="right"/>
              <w:rPr>
                <w:rFonts w:ascii="Calibri" w:hAnsi="Calibri"/>
                <w:sz w:val="18"/>
                <w:szCs w:val="18"/>
              </w:rPr>
            </w:pPr>
            <w:r>
              <w:rPr>
                <w:rFonts w:ascii="Calibri" w:hAnsi="Calibri"/>
                <w:sz w:val="18"/>
                <w:szCs w:val="18"/>
              </w:rPr>
              <w:t>26,621,048.94</w:t>
            </w:r>
          </w:p>
        </w:tc>
        <w:tc>
          <w:tcPr>
            <w:tcW w:w="1418" w:type="dxa"/>
            <w:vAlign w:val="center"/>
          </w:tcPr>
          <w:p w14:paraId="34B91CEA">
            <w:pPr>
              <w:spacing w:line="276" w:lineRule="auto"/>
              <w:ind w:right="5"/>
              <w:jc w:val="right"/>
              <w:rPr>
                <w:rFonts w:ascii="Calibri" w:hAnsi="Calibri"/>
                <w:sz w:val="18"/>
                <w:szCs w:val="18"/>
              </w:rPr>
            </w:pPr>
            <w:r>
              <w:rPr>
                <w:rFonts w:ascii="Calibri" w:hAnsi="Calibri"/>
                <w:sz w:val="18"/>
                <w:szCs w:val="18"/>
              </w:rPr>
              <w:t>150,887,998.48</w:t>
            </w:r>
          </w:p>
        </w:tc>
        <w:tc>
          <w:tcPr>
            <w:tcW w:w="1417" w:type="dxa"/>
            <w:vAlign w:val="center"/>
          </w:tcPr>
          <w:p w14:paraId="664F819A">
            <w:pPr>
              <w:spacing w:line="276" w:lineRule="auto"/>
              <w:ind w:right="5"/>
              <w:jc w:val="right"/>
              <w:rPr>
                <w:rFonts w:ascii="Calibri" w:hAnsi="Calibri"/>
                <w:sz w:val="18"/>
                <w:szCs w:val="18"/>
              </w:rPr>
            </w:pPr>
            <w:r>
              <w:rPr>
                <w:rFonts w:ascii="Calibri" w:hAnsi="Calibri"/>
                <w:sz w:val="18"/>
                <w:szCs w:val="18"/>
              </w:rPr>
              <w:t>183,617,555.10</w:t>
            </w:r>
          </w:p>
        </w:tc>
        <w:tc>
          <w:tcPr>
            <w:tcW w:w="1276" w:type="dxa"/>
            <w:vAlign w:val="center"/>
          </w:tcPr>
          <w:p w14:paraId="484AD3BB">
            <w:pPr>
              <w:spacing w:line="276" w:lineRule="auto"/>
              <w:ind w:right="5"/>
              <w:jc w:val="right"/>
              <w:rPr>
                <w:rFonts w:ascii="Calibri" w:hAnsi="Calibri"/>
                <w:sz w:val="18"/>
                <w:szCs w:val="18"/>
              </w:rPr>
            </w:pPr>
            <w:r>
              <w:rPr>
                <w:rFonts w:ascii="Calibri" w:hAnsi="Calibri"/>
                <w:sz w:val="18"/>
                <w:szCs w:val="18"/>
              </w:rPr>
              <w:t>26,080,962.00</w:t>
            </w:r>
          </w:p>
        </w:tc>
        <w:tc>
          <w:tcPr>
            <w:tcW w:w="1417" w:type="dxa"/>
            <w:vAlign w:val="center"/>
          </w:tcPr>
          <w:p w14:paraId="0950DA26">
            <w:pPr>
              <w:spacing w:line="276" w:lineRule="auto"/>
              <w:ind w:right="5"/>
              <w:jc w:val="right"/>
              <w:rPr>
                <w:rFonts w:ascii="Calibri" w:hAnsi="Calibri"/>
                <w:sz w:val="18"/>
                <w:szCs w:val="18"/>
              </w:rPr>
            </w:pPr>
            <w:r>
              <w:rPr>
                <w:rFonts w:ascii="Calibri" w:hAnsi="Calibri"/>
                <w:sz w:val="18"/>
                <w:szCs w:val="18"/>
              </w:rPr>
              <w:t>157,536,593.10</w:t>
            </w:r>
          </w:p>
        </w:tc>
      </w:tr>
      <w:tr w14:paraId="08DB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51" w:type="dxa"/>
            <w:vAlign w:val="center"/>
          </w:tcPr>
          <w:p w14:paraId="394C57DE">
            <w:pPr>
              <w:ind w:right="5"/>
              <w:rPr>
                <w:rFonts w:ascii="Calibri" w:hAnsi="Calibri"/>
                <w:sz w:val="20"/>
                <w:szCs w:val="20"/>
              </w:rPr>
            </w:pPr>
            <w:r>
              <w:rPr>
                <w:rFonts w:ascii="Calibri" w:hAnsi="Calibri"/>
                <w:sz w:val="20"/>
                <w:szCs w:val="20"/>
              </w:rPr>
              <w:t>发出商品</w:t>
            </w:r>
          </w:p>
        </w:tc>
        <w:tc>
          <w:tcPr>
            <w:tcW w:w="1379" w:type="dxa"/>
            <w:vAlign w:val="center"/>
          </w:tcPr>
          <w:p w14:paraId="7ACA49BB">
            <w:pPr>
              <w:spacing w:line="276" w:lineRule="auto"/>
              <w:ind w:right="5"/>
              <w:jc w:val="right"/>
              <w:rPr>
                <w:rFonts w:ascii="Calibri" w:hAnsi="Calibri"/>
                <w:sz w:val="18"/>
                <w:szCs w:val="18"/>
              </w:rPr>
            </w:pPr>
            <w:r>
              <w:rPr>
                <w:rFonts w:ascii="Calibri" w:hAnsi="Calibri"/>
                <w:sz w:val="18"/>
                <w:szCs w:val="18"/>
              </w:rPr>
              <w:t>838,834.95</w:t>
            </w:r>
          </w:p>
        </w:tc>
        <w:tc>
          <w:tcPr>
            <w:tcW w:w="1276" w:type="dxa"/>
            <w:vAlign w:val="center"/>
          </w:tcPr>
          <w:p w14:paraId="1ED9A170">
            <w:pPr>
              <w:spacing w:line="276" w:lineRule="auto"/>
              <w:ind w:right="5"/>
              <w:jc w:val="right"/>
              <w:rPr>
                <w:rFonts w:ascii="Calibri" w:hAnsi="Calibri"/>
                <w:sz w:val="18"/>
                <w:szCs w:val="18"/>
              </w:rPr>
            </w:pPr>
          </w:p>
        </w:tc>
        <w:tc>
          <w:tcPr>
            <w:tcW w:w="1418" w:type="dxa"/>
            <w:vAlign w:val="center"/>
          </w:tcPr>
          <w:p w14:paraId="55D9E185">
            <w:pPr>
              <w:spacing w:line="276" w:lineRule="auto"/>
              <w:ind w:right="5"/>
              <w:jc w:val="right"/>
              <w:rPr>
                <w:rFonts w:ascii="Calibri" w:hAnsi="Calibri"/>
                <w:sz w:val="18"/>
                <w:szCs w:val="18"/>
              </w:rPr>
            </w:pPr>
            <w:r>
              <w:rPr>
                <w:rFonts w:ascii="Calibri" w:hAnsi="Calibri"/>
                <w:sz w:val="18"/>
                <w:szCs w:val="18"/>
              </w:rPr>
              <w:t>838,834.95</w:t>
            </w:r>
          </w:p>
        </w:tc>
        <w:tc>
          <w:tcPr>
            <w:tcW w:w="1417" w:type="dxa"/>
            <w:vAlign w:val="center"/>
          </w:tcPr>
          <w:p w14:paraId="2F8F7329">
            <w:pPr>
              <w:spacing w:line="276" w:lineRule="auto"/>
              <w:ind w:right="5"/>
              <w:jc w:val="right"/>
              <w:rPr>
                <w:rFonts w:ascii="Calibri" w:hAnsi="Calibri"/>
                <w:sz w:val="18"/>
                <w:szCs w:val="18"/>
              </w:rPr>
            </w:pPr>
            <w:r>
              <w:rPr>
                <w:rFonts w:ascii="Calibri" w:hAnsi="Calibri"/>
                <w:sz w:val="18"/>
                <w:szCs w:val="18"/>
              </w:rPr>
              <w:t>4,358,519.87</w:t>
            </w:r>
          </w:p>
        </w:tc>
        <w:tc>
          <w:tcPr>
            <w:tcW w:w="1276" w:type="dxa"/>
            <w:vAlign w:val="center"/>
          </w:tcPr>
          <w:p w14:paraId="66B4A19B">
            <w:pPr>
              <w:spacing w:line="276" w:lineRule="auto"/>
              <w:ind w:right="5"/>
              <w:jc w:val="right"/>
              <w:rPr>
                <w:rFonts w:ascii="Calibri" w:hAnsi="Calibri"/>
                <w:sz w:val="18"/>
                <w:szCs w:val="18"/>
              </w:rPr>
            </w:pPr>
          </w:p>
        </w:tc>
        <w:tc>
          <w:tcPr>
            <w:tcW w:w="1417" w:type="dxa"/>
            <w:vAlign w:val="center"/>
          </w:tcPr>
          <w:p w14:paraId="7DC0B5CA">
            <w:pPr>
              <w:spacing w:line="276" w:lineRule="auto"/>
              <w:ind w:right="5"/>
              <w:jc w:val="right"/>
              <w:rPr>
                <w:rFonts w:ascii="Calibri" w:hAnsi="Calibri"/>
                <w:sz w:val="18"/>
                <w:szCs w:val="18"/>
              </w:rPr>
            </w:pPr>
            <w:r>
              <w:rPr>
                <w:rFonts w:ascii="Calibri" w:hAnsi="Calibri"/>
                <w:sz w:val="18"/>
                <w:szCs w:val="18"/>
              </w:rPr>
              <w:t>4,358,519.87</w:t>
            </w:r>
          </w:p>
        </w:tc>
      </w:tr>
      <w:tr w14:paraId="5D0B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51" w:type="dxa"/>
            <w:vAlign w:val="center"/>
          </w:tcPr>
          <w:p w14:paraId="57B6CFE3">
            <w:pPr>
              <w:ind w:right="5"/>
              <w:jc w:val="center"/>
              <w:rPr>
                <w:rFonts w:ascii="Calibri" w:hAnsi="Calibri"/>
                <w:sz w:val="20"/>
                <w:szCs w:val="20"/>
              </w:rPr>
            </w:pPr>
            <w:r>
              <w:rPr>
                <w:rFonts w:hint="eastAsia" w:ascii="Calibri" w:hAnsi="Calibri"/>
                <w:sz w:val="20"/>
                <w:szCs w:val="20"/>
              </w:rPr>
              <w:t>合计</w:t>
            </w:r>
          </w:p>
        </w:tc>
        <w:tc>
          <w:tcPr>
            <w:tcW w:w="1379" w:type="dxa"/>
            <w:vAlign w:val="center"/>
          </w:tcPr>
          <w:p w14:paraId="316D36F3">
            <w:pPr>
              <w:spacing w:line="276" w:lineRule="auto"/>
              <w:ind w:right="5"/>
              <w:jc w:val="right"/>
              <w:rPr>
                <w:rFonts w:ascii="Calibri" w:hAnsi="Calibri"/>
                <w:sz w:val="18"/>
                <w:szCs w:val="18"/>
              </w:rPr>
            </w:pPr>
            <w:r>
              <w:rPr>
                <w:rFonts w:ascii="Calibri" w:hAnsi="Calibri"/>
                <w:sz w:val="18"/>
                <w:szCs w:val="18"/>
              </w:rPr>
              <w:t>755,274,290.41</w:t>
            </w:r>
          </w:p>
        </w:tc>
        <w:tc>
          <w:tcPr>
            <w:tcW w:w="1276" w:type="dxa"/>
            <w:vAlign w:val="center"/>
          </w:tcPr>
          <w:p w14:paraId="7D66481B">
            <w:pPr>
              <w:spacing w:line="276" w:lineRule="auto"/>
              <w:ind w:right="5"/>
              <w:jc w:val="right"/>
              <w:rPr>
                <w:rFonts w:ascii="Calibri" w:hAnsi="Calibri"/>
                <w:sz w:val="18"/>
                <w:szCs w:val="18"/>
              </w:rPr>
            </w:pPr>
            <w:r>
              <w:rPr>
                <w:rFonts w:ascii="Calibri" w:hAnsi="Calibri"/>
                <w:sz w:val="18"/>
                <w:szCs w:val="18"/>
              </w:rPr>
              <w:t>51,050,889.63</w:t>
            </w:r>
          </w:p>
        </w:tc>
        <w:tc>
          <w:tcPr>
            <w:tcW w:w="1418" w:type="dxa"/>
            <w:vAlign w:val="center"/>
          </w:tcPr>
          <w:p w14:paraId="5BD3AA2A">
            <w:pPr>
              <w:spacing w:line="276" w:lineRule="auto"/>
              <w:ind w:right="5"/>
              <w:jc w:val="right"/>
              <w:rPr>
                <w:rFonts w:ascii="Calibri" w:hAnsi="Calibri"/>
                <w:sz w:val="18"/>
                <w:szCs w:val="18"/>
              </w:rPr>
            </w:pPr>
            <w:r>
              <w:rPr>
                <w:rFonts w:ascii="Calibri" w:hAnsi="Calibri"/>
                <w:sz w:val="18"/>
                <w:szCs w:val="18"/>
              </w:rPr>
              <w:t>704,223,400.78</w:t>
            </w:r>
          </w:p>
        </w:tc>
        <w:tc>
          <w:tcPr>
            <w:tcW w:w="1417" w:type="dxa"/>
            <w:vAlign w:val="center"/>
          </w:tcPr>
          <w:p w14:paraId="0CBACFDA">
            <w:pPr>
              <w:spacing w:line="276" w:lineRule="auto"/>
              <w:ind w:right="5"/>
              <w:jc w:val="right"/>
              <w:rPr>
                <w:rFonts w:ascii="Calibri" w:hAnsi="Calibri"/>
                <w:sz w:val="18"/>
                <w:szCs w:val="18"/>
              </w:rPr>
            </w:pPr>
            <w:r>
              <w:rPr>
                <w:rFonts w:ascii="Calibri" w:hAnsi="Calibri"/>
                <w:sz w:val="18"/>
                <w:szCs w:val="18"/>
              </w:rPr>
              <w:t>779,873,143.42</w:t>
            </w:r>
          </w:p>
        </w:tc>
        <w:tc>
          <w:tcPr>
            <w:tcW w:w="1276" w:type="dxa"/>
            <w:vAlign w:val="center"/>
          </w:tcPr>
          <w:p w14:paraId="13D62D78">
            <w:pPr>
              <w:spacing w:line="276" w:lineRule="auto"/>
              <w:ind w:right="5"/>
              <w:jc w:val="right"/>
              <w:rPr>
                <w:rFonts w:ascii="Calibri" w:hAnsi="Calibri"/>
                <w:sz w:val="18"/>
                <w:szCs w:val="18"/>
              </w:rPr>
            </w:pPr>
            <w:r>
              <w:rPr>
                <w:rFonts w:ascii="Calibri" w:hAnsi="Calibri"/>
                <w:sz w:val="18"/>
                <w:szCs w:val="18"/>
              </w:rPr>
              <w:t>43,563,830.51</w:t>
            </w:r>
          </w:p>
        </w:tc>
        <w:tc>
          <w:tcPr>
            <w:tcW w:w="1417" w:type="dxa"/>
            <w:vAlign w:val="center"/>
          </w:tcPr>
          <w:p w14:paraId="0E9AF6AB">
            <w:pPr>
              <w:spacing w:line="276" w:lineRule="auto"/>
              <w:ind w:right="5"/>
              <w:jc w:val="right"/>
              <w:rPr>
                <w:rFonts w:ascii="Calibri" w:hAnsi="Calibri"/>
                <w:sz w:val="18"/>
                <w:szCs w:val="18"/>
              </w:rPr>
            </w:pPr>
            <w:r>
              <w:rPr>
                <w:rFonts w:ascii="Calibri" w:hAnsi="Calibri"/>
                <w:sz w:val="18"/>
                <w:szCs w:val="18"/>
              </w:rPr>
              <w:t>736,309,312.91</w:t>
            </w:r>
          </w:p>
        </w:tc>
      </w:tr>
    </w:tbl>
    <w:p w14:paraId="782FA249"/>
    <w:p w14:paraId="5CD7B99C">
      <w:pPr>
        <w:pStyle w:val="5"/>
        <w:numPr>
          <w:ilvl w:val="3"/>
          <w:numId w:val="70"/>
        </w:numPr>
        <w:ind w:left="426" w:hanging="426"/>
      </w:pPr>
      <w:r>
        <w:rPr>
          <w:rFonts w:hint="eastAsia"/>
        </w:rPr>
        <w:t>确认为存货的数据资源</w:t>
      </w:r>
    </w:p>
    <w:sdt>
      <w:sdtPr>
        <w:rPr>
          <w:rFonts w:hint="eastAsia"/>
          <w:color w:val="000000" w:themeColor="text1"/>
          <w14:textFill>
            <w14:solidFill>
              <w14:schemeClr w14:val="tx1"/>
            </w14:solidFill>
          </w14:textFill>
        </w:rPr>
        <w:alias w:val="是否适用：确认为存货的数据资源[双击切换]"/>
        <w:tag w:val="_GBC_a7d9b8c6ebca4003bf262295877405d7"/>
        <w:id w:val="-1103644160"/>
        <w:placeholder>
          <w:docPart w:val="GBC22222222222222222222222222222"/>
        </w:placeholder>
      </w:sdtPr>
      <w:sdtEndPr>
        <w:rPr>
          <w:rFonts w:hint="eastAsia"/>
          <w:color w:val="000000" w:themeColor="text1"/>
          <w14:textFill>
            <w14:solidFill>
              <w14:schemeClr w14:val="tx1"/>
            </w14:solidFill>
          </w14:textFill>
        </w:rPr>
      </w:sdtEndPr>
      <w:sdtContent>
        <w:p w14:paraId="7B5BFA4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8CF7E88">
      <w:pPr>
        <w:rPr>
          <w:color w:val="000000" w:themeColor="text1"/>
          <w14:textFill>
            <w14:solidFill>
              <w14:schemeClr w14:val="tx1"/>
            </w14:solidFill>
          </w14:textFill>
        </w:rPr>
      </w:pPr>
    </w:p>
    <w:p w14:paraId="0B6E7A6D">
      <w:pPr>
        <w:rPr>
          <w:color w:val="000000" w:themeColor="text1"/>
          <w14:textFill>
            <w14:solidFill>
              <w14:schemeClr w14:val="tx1"/>
            </w14:solidFill>
          </w14:textFill>
        </w:rPr>
      </w:pPr>
    </w:p>
    <w:bookmarkEnd w:id="273"/>
    <w:sdt>
      <w:sdtPr>
        <w:tag w:val="_PLD_b03e65bc536a43eab5570263a106c71d"/>
        <w:id w:val="-1592840048"/>
      </w:sdtPr>
      <w:sdtContent>
        <w:p w14:paraId="1B588332">
          <w:pPr>
            <w:pStyle w:val="5"/>
            <w:numPr>
              <w:ilvl w:val="3"/>
              <w:numId w:val="70"/>
            </w:numPr>
            <w:ind w:left="426" w:hanging="426"/>
          </w:pPr>
          <w:bookmarkStart w:id="274" w:name="_Hlk533079150"/>
          <w:r>
            <w:rPr>
              <w:rFonts w:hint="eastAsia"/>
            </w:rPr>
            <w:t>存货跌价准备及合同履约成本减值准备</w:t>
          </w:r>
        </w:p>
      </w:sdtContent>
    </w:sdt>
    <w:sdt>
      <w:sdtPr>
        <w:alias w:val="是否适用：存货跌价准备[双击切换]"/>
        <w:tag w:val="_GBC_c61866b530ae491eb21bee1edd36619e"/>
        <w:id w:val="1255173225"/>
        <w:placeholder>
          <w:docPart w:val="GBC22222222222222222222222222222"/>
        </w:placeholder>
      </w:sdtPr>
      <w:sdtContent>
        <w:p w14:paraId="4B88D184">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9B787F9">
      <w:pPr>
        <w:jc w:val="right"/>
      </w:pPr>
      <w:r>
        <w:rPr>
          <w:rFonts w:hint="eastAsia"/>
        </w:rPr>
        <w:t>单位：</w:t>
      </w:r>
      <w:sdt>
        <w:sdtPr>
          <w:rPr>
            <w:rFonts w:hint="eastAsia"/>
          </w:rPr>
          <w:alias w:val="单位：存货跌价准备"/>
          <w:tag w:val="_GBC_2d3e3a5e2ff44ef3bbef756054f246f3"/>
          <w:id w:val="12033588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存货跌价准备"/>
          <w:tag w:val="_GBC_c51bd05fe51f4b609e7e1904eb064d34"/>
          <w:id w:val="-8577411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483"/>
        <w:gridCol w:w="1418"/>
        <w:gridCol w:w="654"/>
        <w:gridCol w:w="1330"/>
        <w:gridCol w:w="851"/>
        <w:gridCol w:w="1396"/>
      </w:tblGrid>
      <w:tr w14:paraId="3E20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sdt>
          <w:sdtPr>
            <w:tag w:val="_PLD_4ac7cc4fa4994c1db43ed3b367defc13"/>
            <w:id w:val="2016954188"/>
          </w:sdtPr>
          <w:sdtContent>
            <w:tc>
              <w:tcPr>
                <w:tcW w:w="1914" w:type="dxa"/>
                <w:vMerge w:val="restart"/>
                <w:tcBorders>
                  <w:top w:val="single" w:color="auto" w:sz="4" w:space="0"/>
                  <w:left w:val="single" w:color="auto" w:sz="4" w:space="0"/>
                  <w:bottom w:val="single" w:color="auto" w:sz="4" w:space="0"/>
                  <w:right w:val="single" w:color="auto" w:sz="4" w:space="0"/>
                </w:tcBorders>
                <w:vAlign w:val="center"/>
              </w:tcPr>
              <w:p w14:paraId="0D30EBD0">
                <w:pPr>
                  <w:jc w:val="center"/>
                  <w:rPr>
                    <w:rFonts w:ascii="Calibri" w:hAnsi="Calibri"/>
                    <w:sz w:val="20"/>
                    <w:szCs w:val="20"/>
                  </w:rPr>
                </w:pPr>
                <w:r>
                  <w:rPr>
                    <w:rFonts w:hint="eastAsia" w:ascii="Calibri" w:hAnsi="Calibri"/>
                    <w:sz w:val="20"/>
                    <w:szCs w:val="20"/>
                  </w:rPr>
                  <w:t>项目</w:t>
                </w:r>
              </w:p>
            </w:tc>
          </w:sdtContent>
        </w:sdt>
        <w:sdt>
          <w:sdtPr>
            <w:tag w:val="_PLD_7a2e758257864908b13bf89a561f9b5a"/>
            <w:id w:val="-2010672196"/>
          </w:sdtPr>
          <w:sdtContent>
            <w:tc>
              <w:tcPr>
                <w:tcW w:w="1483" w:type="dxa"/>
                <w:vMerge w:val="restart"/>
                <w:tcBorders>
                  <w:top w:val="single" w:color="auto" w:sz="4" w:space="0"/>
                  <w:left w:val="single" w:color="auto" w:sz="4" w:space="0"/>
                  <w:bottom w:val="single" w:color="auto" w:sz="4" w:space="0"/>
                  <w:right w:val="single" w:color="auto" w:sz="4" w:space="0"/>
                </w:tcBorders>
                <w:vAlign w:val="center"/>
              </w:tcPr>
              <w:p w14:paraId="5C35E59D">
                <w:pPr>
                  <w:jc w:val="center"/>
                  <w:rPr>
                    <w:rFonts w:ascii="Calibri" w:hAnsi="Calibri"/>
                    <w:sz w:val="20"/>
                    <w:szCs w:val="20"/>
                  </w:rPr>
                </w:pPr>
                <w:r>
                  <w:rPr>
                    <w:rFonts w:hint="eastAsia" w:ascii="Calibri" w:hAnsi="Calibri"/>
                    <w:sz w:val="20"/>
                    <w:szCs w:val="20"/>
                  </w:rPr>
                  <w:t>期初余额</w:t>
                </w:r>
              </w:p>
            </w:tc>
          </w:sdtContent>
        </w:sdt>
        <w:sdt>
          <w:sdtPr>
            <w:tag w:val="_PLD_d95d27d30a6440b5ba0d3798473f422e"/>
            <w:id w:val="-469128672"/>
          </w:sdtPr>
          <w:sdtContent>
            <w:tc>
              <w:tcPr>
                <w:tcW w:w="2072" w:type="dxa"/>
                <w:gridSpan w:val="2"/>
                <w:tcBorders>
                  <w:top w:val="single" w:color="auto" w:sz="4" w:space="0"/>
                  <w:left w:val="single" w:color="auto" w:sz="4" w:space="0"/>
                  <w:right w:val="single" w:color="auto" w:sz="4" w:space="0"/>
                </w:tcBorders>
                <w:vAlign w:val="center"/>
              </w:tcPr>
              <w:p w14:paraId="740763BA">
                <w:pPr>
                  <w:jc w:val="center"/>
                  <w:rPr>
                    <w:rFonts w:ascii="Calibri" w:hAnsi="Calibri"/>
                    <w:sz w:val="20"/>
                    <w:szCs w:val="20"/>
                  </w:rPr>
                </w:pPr>
                <w:r>
                  <w:rPr>
                    <w:rFonts w:hint="eastAsia" w:ascii="Calibri" w:hAnsi="Calibri"/>
                    <w:sz w:val="20"/>
                    <w:szCs w:val="20"/>
                  </w:rPr>
                  <w:t>本期增加金额</w:t>
                </w:r>
              </w:p>
            </w:tc>
          </w:sdtContent>
        </w:sdt>
        <w:sdt>
          <w:sdtPr>
            <w:tag w:val="_PLD_cb7d37811bf944e4a7bb31b4366efaeb"/>
            <w:id w:val="-541211190"/>
          </w:sdtPr>
          <w:sdtContent>
            <w:tc>
              <w:tcPr>
                <w:tcW w:w="2181" w:type="dxa"/>
                <w:gridSpan w:val="2"/>
                <w:tcBorders>
                  <w:top w:val="single" w:color="auto" w:sz="4" w:space="0"/>
                  <w:left w:val="single" w:color="auto" w:sz="4" w:space="0"/>
                  <w:right w:val="single" w:color="auto" w:sz="4" w:space="0"/>
                </w:tcBorders>
                <w:vAlign w:val="center"/>
              </w:tcPr>
              <w:p w14:paraId="4FB0216C">
                <w:pPr>
                  <w:jc w:val="center"/>
                  <w:rPr>
                    <w:rFonts w:ascii="Calibri" w:hAnsi="Calibri"/>
                    <w:sz w:val="20"/>
                    <w:szCs w:val="20"/>
                  </w:rPr>
                </w:pPr>
                <w:r>
                  <w:rPr>
                    <w:rFonts w:hint="eastAsia" w:ascii="Calibri" w:hAnsi="Calibri"/>
                    <w:sz w:val="20"/>
                    <w:szCs w:val="20"/>
                  </w:rPr>
                  <w:t>本期减少金额</w:t>
                </w:r>
              </w:p>
            </w:tc>
          </w:sdtContent>
        </w:sdt>
        <w:sdt>
          <w:sdtPr>
            <w:tag w:val="_PLD_b2523ee7f028451790c9f2ef6e216a59"/>
            <w:id w:val="854692888"/>
          </w:sdtPr>
          <w:sdtContent>
            <w:tc>
              <w:tcPr>
                <w:tcW w:w="1396" w:type="dxa"/>
                <w:vMerge w:val="restart"/>
                <w:tcBorders>
                  <w:top w:val="single" w:color="auto" w:sz="4" w:space="0"/>
                  <w:left w:val="single" w:color="auto" w:sz="4" w:space="0"/>
                  <w:bottom w:val="single" w:color="auto" w:sz="4" w:space="0"/>
                  <w:right w:val="single" w:color="auto" w:sz="4" w:space="0"/>
                </w:tcBorders>
                <w:vAlign w:val="center"/>
              </w:tcPr>
              <w:p w14:paraId="4BF44A11">
                <w:pPr>
                  <w:jc w:val="center"/>
                  <w:rPr>
                    <w:rFonts w:ascii="Calibri" w:hAnsi="Calibri"/>
                    <w:sz w:val="20"/>
                    <w:szCs w:val="20"/>
                  </w:rPr>
                </w:pPr>
                <w:r>
                  <w:rPr>
                    <w:rFonts w:hint="eastAsia" w:ascii="Calibri" w:hAnsi="Calibri"/>
                    <w:sz w:val="20"/>
                    <w:szCs w:val="20"/>
                  </w:rPr>
                  <w:t>期末余额</w:t>
                </w:r>
              </w:p>
            </w:tc>
          </w:sdtContent>
        </w:sdt>
      </w:tr>
      <w:tr w14:paraId="54D6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914" w:type="dxa"/>
            <w:vMerge w:val="continue"/>
            <w:tcBorders>
              <w:top w:val="single" w:color="auto" w:sz="4" w:space="0"/>
              <w:left w:val="single" w:color="auto" w:sz="4" w:space="0"/>
              <w:bottom w:val="single" w:color="auto" w:sz="4" w:space="0"/>
              <w:right w:val="single" w:color="auto" w:sz="4" w:space="0"/>
            </w:tcBorders>
            <w:vAlign w:val="center"/>
          </w:tcPr>
          <w:p w14:paraId="32C83490">
            <w:pPr>
              <w:jc w:val="center"/>
              <w:rPr>
                <w:rFonts w:ascii="Calibri" w:hAnsi="Calibri"/>
                <w:sz w:val="20"/>
                <w:szCs w:val="20"/>
              </w:rPr>
            </w:pPr>
          </w:p>
        </w:tc>
        <w:tc>
          <w:tcPr>
            <w:tcW w:w="1483" w:type="dxa"/>
            <w:vMerge w:val="continue"/>
            <w:tcBorders>
              <w:top w:val="single" w:color="auto" w:sz="4" w:space="0"/>
              <w:left w:val="single" w:color="auto" w:sz="4" w:space="0"/>
              <w:bottom w:val="single" w:color="auto" w:sz="4" w:space="0"/>
              <w:right w:val="single" w:color="auto" w:sz="4" w:space="0"/>
            </w:tcBorders>
            <w:vAlign w:val="center"/>
          </w:tcPr>
          <w:p w14:paraId="7D500C2D">
            <w:pPr>
              <w:jc w:val="center"/>
              <w:rPr>
                <w:rFonts w:ascii="Calibri" w:hAnsi="Calibri"/>
                <w:sz w:val="20"/>
                <w:szCs w:val="20"/>
              </w:rPr>
            </w:pPr>
          </w:p>
        </w:tc>
        <w:sdt>
          <w:sdtPr>
            <w:tag w:val="_PLD_16a8dea59b924b23a28ea45988190955"/>
            <w:id w:val="-1321959798"/>
          </w:sdtPr>
          <w:sdtContent>
            <w:tc>
              <w:tcPr>
                <w:tcW w:w="1418" w:type="dxa"/>
                <w:tcBorders>
                  <w:left w:val="single" w:color="auto" w:sz="4" w:space="0"/>
                  <w:bottom w:val="single" w:color="auto" w:sz="4" w:space="0"/>
                  <w:right w:val="single" w:color="auto" w:sz="4" w:space="0"/>
                </w:tcBorders>
                <w:vAlign w:val="center"/>
              </w:tcPr>
              <w:p w14:paraId="06DB2994">
                <w:pPr>
                  <w:jc w:val="center"/>
                  <w:rPr>
                    <w:rFonts w:ascii="Calibri" w:hAnsi="Calibri"/>
                    <w:sz w:val="20"/>
                    <w:szCs w:val="20"/>
                  </w:rPr>
                </w:pPr>
                <w:r>
                  <w:rPr>
                    <w:rFonts w:hint="eastAsia" w:ascii="Calibri" w:hAnsi="Calibri"/>
                    <w:sz w:val="20"/>
                    <w:szCs w:val="20"/>
                  </w:rPr>
                  <w:t>计提</w:t>
                </w:r>
              </w:p>
            </w:tc>
          </w:sdtContent>
        </w:sdt>
        <w:sdt>
          <w:sdtPr>
            <w:tag w:val="_PLD_621a418b64e54315a5981611a5504791"/>
            <w:id w:val="-956258328"/>
          </w:sdtPr>
          <w:sdtContent>
            <w:tc>
              <w:tcPr>
                <w:tcW w:w="654" w:type="dxa"/>
                <w:tcBorders>
                  <w:left w:val="single" w:color="auto" w:sz="4" w:space="0"/>
                  <w:bottom w:val="single" w:color="auto" w:sz="4" w:space="0"/>
                  <w:right w:val="single" w:color="auto" w:sz="4" w:space="0"/>
                </w:tcBorders>
                <w:vAlign w:val="center"/>
              </w:tcPr>
              <w:p w14:paraId="7548D5DC">
                <w:pPr>
                  <w:jc w:val="center"/>
                  <w:rPr>
                    <w:rFonts w:ascii="Calibri" w:hAnsi="Calibri"/>
                    <w:sz w:val="20"/>
                    <w:szCs w:val="20"/>
                  </w:rPr>
                </w:pPr>
                <w:r>
                  <w:rPr>
                    <w:rFonts w:hint="eastAsia" w:ascii="Calibri" w:hAnsi="Calibri"/>
                    <w:sz w:val="20"/>
                    <w:szCs w:val="20"/>
                  </w:rPr>
                  <w:t>其他</w:t>
                </w:r>
              </w:p>
            </w:tc>
          </w:sdtContent>
        </w:sdt>
        <w:sdt>
          <w:sdtPr>
            <w:tag w:val="_PLD_1928b16982a747c59a563fa4d086d9fc"/>
            <w:id w:val="-715664941"/>
          </w:sdtPr>
          <w:sdtContent>
            <w:tc>
              <w:tcPr>
                <w:tcW w:w="1330" w:type="dxa"/>
                <w:tcBorders>
                  <w:top w:val="single" w:color="auto" w:sz="4" w:space="0"/>
                  <w:left w:val="single" w:color="auto" w:sz="4" w:space="0"/>
                  <w:bottom w:val="single" w:color="auto" w:sz="4" w:space="0"/>
                  <w:right w:val="single" w:color="auto" w:sz="4" w:space="0"/>
                </w:tcBorders>
                <w:vAlign w:val="center"/>
              </w:tcPr>
              <w:p w14:paraId="7021C437">
                <w:pPr>
                  <w:jc w:val="center"/>
                  <w:rPr>
                    <w:rFonts w:ascii="Calibri" w:hAnsi="Calibri"/>
                    <w:sz w:val="20"/>
                    <w:szCs w:val="20"/>
                  </w:rPr>
                </w:pPr>
                <w:r>
                  <w:rPr>
                    <w:rFonts w:hint="eastAsia" w:ascii="Calibri" w:hAnsi="Calibri"/>
                    <w:sz w:val="20"/>
                    <w:szCs w:val="20"/>
                  </w:rPr>
                  <w:t>转回或转销</w:t>
                </w:r>
              </w:p>
            </w:tc>
          </w:sdtContent>
        </w:sdt>
        <w:sdt>
          <w:sdtPr>
            <w:tag w:val="_PLD_1472e7afb261461b8468e1969b080fd5"/>
            <w:id w:val="-97485442"/>
          </w:sdtPr>
          <w:sdtContent>
            <w:tc>
              <w:tcPr>
                <w:tcW w:w="851" w:type="dxa"/>
                <w:tcBorders>
                  <w:top w:val="single" w:color="auto" w:sz="4" w:space="0"/>
                  <w:left w:val="single" w:color="auto" w:sz="4" w:space="0"/>
                  <w:bottom w:val="single" w:color="auto" w:sz="4" w:space="0"/>
                  <w:right w:val="single" w:color="auto" w:sz="4" w:space="0"/>
                </w:tcBorders>
                <w:vAlign w:val="center"/>
              </w:tcPr>
              <w:p w14:paraId="0DA5D988">
                <w:pPr>
                  <w:jc w:val="center"/>
                  <w:rPr>
                    <w:rFonts w:ascii="Calibri" w:hAnsi="Calibri"/>
                    <w:sz w:val="20"/>
                    <w:szCs w:val="20"/>
                  </w:rPr>
                </w:pPr>
                <w:r>
                  <w:rPr>
                    <w:rFonts w:hint="eastAsia" w:ascii="Calibri" w:hAnsi="Calibri"/>
                    <w:sz w:val="20"/>
                    <w:szCs w:val="20"/>
                  </w:rPr>
                  <w:t>其他</w:t>
                </w:r>
              </w:p>
            </w:tc>
          </w:sdtContent>
        </w:sdt>
        <w:tc>
          <w:tcPr>
            <w:tcW w:w="1396" w:type="dxa"/>
            <w:vMerge w:val="continue"/>
            <w:tcBorders>
              <w:top w:val="single" w:color="auto" w:sz="4" w:space="0"/>
              <w:left w:val="single" w:color="auto" w:sz="4" w:space="0"/>
              <w:bottom w:val="single" w:color="auto" w:sz="4" w:space="0"/>
              <w:right w:val="single" w:color="auto" w:sz="4" w:space="0"/>
            </w:tcBorders>
            <w:vAlign w:val="center"/>
          </w:tcPr>
          <w:p w14:paraId="2A9797D1">
            <w:pPr>
              <w:jc w:val="center"/>
              <w:rPr>
                <w:rFonts w:ascii="Calibri" w:hAnsi="Calibri"/>
                <w:sz w:val="20"/>
                <w:szCs w:val="20"/>
              </w:rPr>
            </w:pPr>
          </w:p>
        </w:tc>
      </w:tr>
      <w:tr w14:paraId="115E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14" w:type="dxa"/>
            <w:tcBorders>
              <w:top w:val="single" w:color="auto" w:sz="4" w:space="0"/>
              <w:left w:val="single" w:color="auto" w:sz="4" w:space="0"/>
              <w:bottom w:val="single" w:color="auto" w:sz="4" w:space="0"/>
              <w:right w:val="single" w:color="auto" w:sz="4" w:space="0"/>
            </w:tcBorders>
            <w:vAlign w:val="center"/>
          </w:tcPr>
          <w:p w14:paraId="4DB9700E">
            <w:pPr>
              <w:pStyle w:val="48"/>
              <w:rPr>
                <w:sz w:val="20"/>
                <w:szCs w:val="20"/>
              </w:rPr>
            </w:pPr>
            <w:r>
              <w:rPr>
                <w:rFonts w:hint="eastAsia"/>
                <w:sz w:val="20"/>
                <w:szCs w:val="20"/>
              </w:rPr>
              <w:t>原材料</w:t>
            </w:r>
          </w:p>
        </w:tc>
        <w:tc>
          <w:tcPr>
            <w:tcW w:w="1483" w:type="dxa"/>
            <w:tcBorders>
              <w:top w:val="single" w:color="auto" w:sz="4" w:space="0"/>
              <w:left w:val="single" w:color="auto" w:sz="4" w:space="0"/>
              <w:bottom w:val="single" w:color="auto" w:sz="4" w:space="0"/>
              <w:right w:val="single" w:color="auto" w:sz="4" w:space="0"/>
            </w:tcBorders>
            <w:vAlign w:val="center"/>
          </w:tcPr>
          <w:p w14:paraId="1451567F">
            <w:pPr>
              <w:ind w:right="5"/>
              <w:jc w:val="right"/>
              <w:rPr>
                <w:rFonts w:ascii="Calibri" w:hAnsi="Calibri"/>
                <w:sz w:val="20"/>
                <w:szCs w:val="20"/>
              </w:rPr>
            </w:pPr>
            <w:r>
              <w:rPr>
                <w:rFonts w:ascii="Calibri" w:hAnsi="Calibri"/>
                <w:sz w:val="20"/>
                <w:szCs w:val="20"/>
              </w:rPr>
              <w:t>12,109,259.65</w:t>
            </w:r>
          </w:p>
        </w:tc>
        <w:tc>
          <w:tcPr>
            <w:tcW w:w="1418" w:type="dxa"/>
            <w:tcBorders>
              <w:top w:val="single" w:color="auto" w:sz="4" w:space="0"/>
              <w:left w:val="single" w:color="auto" w:sz="4" w:space="0"/>
              <w:bottom w:val="single" w:color="auto" w:sz="4" w:space="0"/>
              <w:right w:val="single" w:color="auto" w:sz="4" w:space="0"/>
            </w:tcBorders>
            <w:vAlign w:val="center"/>
          </w:tcPr>
          <w:p w14:paraId="096288B6">
            <w:pPr>
              <w:jc w:val="right"/>
              <w:rPr>
                <w:rFonts w:ascii="Calibri" w:hAnsi="Calibri"/>
                <w:sz w:val="20"/>
                <w:szCs w:val="20"/>
              </w:rPr>
            </w:pPr>
            <w:r>
              <w:rPr>
                <w:rFonts w:ascii="Calibri" w:hAnsi="Calibri"/>
                <w:sz w:val="20"/>
                <w:szCs w:val="20"/>
              </w:rPr>
              <w:t>6,618,758.01</w:t>
            </w:r>
          </w:p>
        </w:tc>
        <w:tc>
          <w:tcPr>
            <w:tcW w:w="654" w:type="dxa"/>
            <w:tcBorders>
              <w:top w:val="single" w:color="auto" w:sz="4" w:space="0"/>
              <w:left w:val="single" w:color="auto" w:sz="4" w:space="0"/>
              <w:bottom w:val="single" w:color="auto" w:sz="4" w:space="0"/>
              <w:right w:val="single" w:color="auto" w:sz="4" w:space="0"/>
            </w:tcBorders>
            <w:vAlign w:val="center"/>
          </w:tcPr>
          <w:p w14:paraId="5430964C">
            <w:pPr>
              <w:jc w:val="right"/>
              <w:rPr>
                <w:rFonts w:ascii="Calibri" w:hAnsi="Calibri"/>
                <w:sz w:val="20"/>
                <w:szCs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6FCE365E">
            <w:pPr>
              <w:jc w:val="right"/>
              <w:rPr>
                <w:rFonts w:ascii="Calibri" w:hAnsi="Calibri"/>
                <w:sz w:val="20"/>
                <w:szCs w:val="20"/>
              </w:rPr>
            </w:pPr>
            <w:r>
              <w:rPr>
                <w:rFonts w:ascii="Calibri" w:hAnsi="Calibri"/>
                <w:sz w:val="20"/>
                <w:szCs w:val="20"/>
              </w:rPr>
              <w:t>1,817,095.87</w:t>
            </w:r>
          </w:p>
        </w:tc>
        <w:tc>
          <w:tcPr>
            <w:tcW w:w="851" w:type="dxa"/>
            <w:tcBorders>
              <w:top w:val="single" w:color="auto" w:sz="4" w:space="0"/>
              <w:left w:val="single" w:color="auto" w:sz="4" w:space="0"/>
              <w:bottom w:val="single" w:color="auto" w:sz="4" w:space="0"/>
              <w:right w:val="single" w:color="auto" w:sz="4" w:space="0"/>
            </w:tcBorders>
            <w:vAlign w:val="center"/>
          </w:tcPr>
          <w:p w14:paraId="61B14F4D">
            <w:pPr>
              <w:jc w:val="right"/>
              <w:rPr>
                <w:rFonts w:ascii="Calibri" w:hAnsi="Calibri"/>
                <w:sz w:val="20"/>
                <w:szCs w:val="20"/>
              </w:rPr>
            </w:pPr>
          </w:p>
        </w:tc>
        <w:tc>
          <w:tcPr>
            <w:tcW w:w="1396" w:type="dxa"/>
            <w:tcBorders>
              <w:top w:val="single" w:color="auto" w:sz="4" w:space="0"/>
              <w:left w:val="single" w:color="auto" w:sz="4" w:space="0"/>
              <w:bottom w:val="single" w:color="auto" w:sz="4" w:space="0"/>
              <w:right w:val="single" w:color="auto" w:sz="4" w:space="0"/>
            </w:tcBorders>
            <w:vAlign w:val="center"/>
          </w:tcPr>
          <w:p w14:paraId="0ED0EF5A">
            <w:pPr>
              <w:ind w:right="5"/>
              <w:jc w:val="right"/>
              <w:rPr>
                <w:rFonts w:ascii="Calibri" w:hAnsi="Calibri"/>
                <w:sz w:val="20"/>
                <w:szCs w:val="20"/>
              </w:rPr>
            </w:pPr>
            <w:r>
              <w:rPr>
                <w:rFonts w:ascii="Calibri" w:hAnsi="Calibri"/>
                <w:sz w:val="20"/>
                <w:szCs w:val="20"/>
              </w:rPr>
              <w:t>16,910,921.79</w:t>
            </w:r>
          </w:p>
        </w:tc>
      </w:tr>
      <w:tr w14:paraId="2E8F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14" w:type="dxa"/>
            <w:tcBorders>
              <w:top w:val="single" w:color="auto" w:sz="4" w:space="0"/>
              <w:left w:val="single" w:color="auto" w:sz="4" w:space="0"/>
              <w:bottom w:val="single" w:color="auto" w:sz="4" w:space="0"/>
              <w:right w:val="single" w:color="auto" w:sz="4" w:space="0"/>
            </w:tcBorders>
            <w:vAlign w:val="center"/>
          </w:tcPr>
          <w:p w14:paraId="7B1EB611">
            <w:pPr>
              <w:pStyle w:val="48"/>
              <w:rPr>
                <w:sz w:val="20"/>
                <w:szCs w:val="20"/>
              </w:rPr>
            </w:pPr>
            <w:r>
              <w:rPr>
                <w:rFonts w:hint="eastAsia"/>
                <w:sz w:val="20"/>
                <w:szCs w:val="20"/>
              </w:rPr>
              <w:t>在产品</w:t>
            </w:r>
          </w:p>
        </w:tc>
        <w:tc>
          <w:tcPr>
            <w:tcW w:w="1483" w:type="dxa"/>
            <w:tcBorders>
              <w:top w:val="single" w:color="auto" w:sz="4" w:space="0"/>
              <w:left w:val="single" w:color="auto" w:sz="4" w:space="0"/>
              <w:bottom w:val="single" w:color="auto" w:sz="4" w:space="0"/>
              <w:right w:val="single" w:color="auto" w:sz="4" w:space="0"/>
            </w:tcBorders>
            <w:vAlign w:val="center"/>
          </w:tcPr>
          <w:p w14:paraId="5E708EC6">
            <w:pPr>
              <w:ind w:right="5"/>
              <w:jc w:val="right"/>
              <w:rPr>
                <w:rFonts w:ascii="Calibri" w:hAnsi="Calibri"/>
                <w:sz w:val="20"/>
                <w:szCs w:val="20"/>
              </w:rPr>
            </w:pPr>
          </w:p>
        </w:tc>
        <w:tc>
          <w:tcPr>
            <w:tcW w:w="1418" w:type="dxa"/>
            <w:tcBorders>
              <w:top w:val="single" w:color="auto" w:sz="4" w:space="0"/>
              <w:left w:val="single" w:color="auto" w:sz="4" w:space="0"/>
              <w:bottom w:val="single" w:color="auto" w:sz="4" w:space="0"/>
              <w:right w:val="single" w:color="auto" w:sz="4" w:space="0"/>
            </w:tcBorders>
            <w:vAlign w:val="center"/>
          </w:tcPr>
          <w:p w14:paraId="1B6F3511">
            <w:pPr>
              <w:jc w:val="right"/>
              <w:rPr>
                <w:rFonts w:ascii="Calibri" w:hAnsi="Calibri"/>
                <w:sz w:val="20"/>
                <w:szCs w:val="20"/>
              </w:rPr>
            </w:pPr>
          </w:p>
        </w:tc>
        <w:tc>
          <w:tcPr>
            <w:tcW w:w="654" w:type="dxa"/>
            <w:tcBorders>
              <w:top w:val="single" w:color="auto" w:sz="4" w:space="0"/>
              <w:left w:val="single" w:color="auto" w:sz="4" w:space="0"/>
              <w:bottom w:val="single" w:color="auto" w:sz="4" w:space="0"/>
              <w:right w:val="single" w:color="auto" w:sz="4" w:space="0"/>
            </w:tcBorders>
            <w:vAlign w:val="center"/>
          </w:tcPr>
          <w:p w14:paraId="2EB01108">
            <w:pPr>
              <w:jc w:val="right"/>
              <w:rPr>
                <w:rFonts w:ascii="Calibri" w:hAnsi="Calibri"/>
                <w:sz w:val="20"/>
                <w:szCs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4774459B">
            <w:pPr>
              <w:jc w:val="right"/>
              <w:rPr>
                <w:rFonts w:ascii="Calibri" w:hAnsi="Calibri"/>
                <w:sz w:val="20"/>
                <w:szCs w:val="20"/>
              </w:rPr>
            </w:pPr>
          </w:p>
        </w:tc>
        <w:tc>
          <w:tcPr>
            <w:tcW w:w="851" w:type="dxa"/>
            <w:tcBorders>
              <w:top w:val="single" w:color="auto" w:sz="4" w:space="0"/>
              <w:left w:val="single" w:color="auto" w:sz="4" w:space="0"/>
              <w:right w:val="single" w:color="auto" w:sz="4" w:space="0"/>
            </w:tcBorders>
            <w:vAlign w:val="center"/>
          </w:tcPr>
          <w:p w14:paraId="3BB125FF">
            <w:pPr>
              <w:jc w:val="right"/>
              <w:rPr>
                <w:rFonts w:ascii="Calibri" w:hAnsi="Calibri"/>
                <w:sz w:val="20"/>
                <w:szCs w:val="20"/>
              </w:rPr>
            </w:pPr>
          </w:p>
        </w:tc>
        <w:tc>
          <w:tcPr>
            <w:tcW w:w="1396" w:type="dxa"/>
            <w:tcBorders>
              <w:top w:val="single" w:color="auto" w:sz="4" w:space="0"/>
              <w:left w:val="single" w:color="auto" w:sz="4" w:space="0"/>
              <w:bottom w:val="single" w:color="auto" w:sz="4" w:space="0"/>
              <w:right w:val="single" w:color="auto" w:sz="4" w:space="0"/>
            </w:tcBorders>
            <w:vAlign w:val="center"/>
          </w:tcPr>
          <w:p w14:paraId="73E91E52">
            <w:pPr>
              <w:ind w:right="5"/>
              <w:jc w:val="right"/>
              <w:rPr>
                <w:rFonts w:ascii="Calibri" w:hAnsi="Calibri"/>
                <w:sz w:val="20"/>
                <w:szCs w:val="20"/>
              </w:rPr>
            </w:pPr>
          </w:p>
        </w:tc>
      </w:tr>
      <w:tr w14:paraId="3C51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14" w:type="dxa"/>
            <w:tcBorders>
              <w:top w:val="single" w:color="auto" w:sz="4" w:space="0"/>
              <w:left w:val="single" w:color="auto" w:sz="4" w:space="0"/>
              <w:bottom w:val="single" w:color="auto" w:sz="4" w:space="0"/>
              <w:right w:val="single" w:color="auto" w:sz="4" w:space="0"/>
            </w:tcBorders>
            <w:vAlign w:val="center"/>
          </w:tcPr>
          <w:p w14:paraId="49F486AE">
            <w:pPr>
              <w:pStyle w:val="48"/>
              <w:rPr>
                <w:sz w:val="20"/>
                <w:szCs w:val="20"/>
              </w:rPr>
            </w:pPr>
            <w:r>
              <w:rPr>
                <w:rFonts w:hint="eastAsia"/>
                <w:sz w:val="20"/>
                <w:szCs w:val="20"/>
              </w:rPr>
              <w:t>库存商品</w:t>
            </w:r>
          </w:p>
        </w:tc>
        <w:tc>
          <w:tcPr>
            <w:tcW w:w="1483" w:type="dxa"/>
            <w:tcBorders>
              <w:top w:val="single" w:color="auto" w:sz="4" w:space="0"/>
              <w:left w:val="single" w:color="auto" w:sz="4" w:space="0"/>
              <w:bottom w:val="single" w:color="auto" w:sz="4" w:space="0"/>
              <w:right w:val="single" w:color="auto" w:sz="4" w:space="0"/>
            </w:tcBorders>
            <w:vAlign w:val="center"/>
          </w:tcPr>
          <w:p w14:paraId="55A31C62">
            <w:pPr>
              <w:ind w:right="5"/>
              <w:jc w:val="right"/>
              <w:rPr>
                <w:rFonts w:ascii="Calibri" w:hAnsi="Calibri"/>
                <w:sz w:val="20"/>
                <w:szCs w:val="20"/>
              </w:rPr>
            </w:pPr>
            <w:r>
              <w:rPr>
                <w:rFonts w:ascii="Calibri" w:hAnsi="Calibri"/>
                <w:sz w:val="20"/>
                <w:szCs w:val="20"/>
              </w:rPr>
              <w:t>5,373,608.86</w:t>
            </w:r>
          </w:p>
        </w:tc>
        <w:tc>
          <w:tcPr>
            <w:tcW w:w="1418" w:type="dxa"/>
            <w:tcBorders>
              <w:top w:val="single" w:color="auto" w:sz="4" w:space="0"/>
              <w:left w:val="single" w:color="auto" w:sz="4" w:space="0"/>
              <w:bottom w:val="single" w:color="auto" w:sz="4" w:space="0"/>
              <w:right w:val="single" w:color="auto" w:sz="4" w:space="0"/>
            </w:tcBorders>
            <w:vAlign w:val="center"/>
          </w:tcPr>
          <w:p w14:paraId="190CA3FB">
            <w:pPr>
              <w:jc w:val="right"/>
              <w:rPr>
                <w:rFonts w:ascii="Calibri" w:hAnsi="Calibri"/>
                <w:sz w:val="20"/>
                <w:szCs w:val="20"/>
              </w:rPr>
            </w:pPr>
            <w:r>
              <w:rPr>
                <w:rFonts w:ascii="Calibri" w:hAnsi="Calibri"/>
                <w:sz w:val="20"/>
                <w:szCs w:val="20"/>
              </w:rPr>
              <w:t>4,361,190.72</w:t>
            </w:r>
          </w:p>
        </w:tc>
        <w:tc>
          <w:tcPr>
            <w:tcW w:w="654" w:type="dxa"/>
            <w:tcBorders>
              <w:top w:val="single" w:color="auto" w:sz="4" w:space="0"/>
              <w:left w:val="single" w:color="auto" w:sz="4" w:space="0"/>
              <w:bottom w:val="single" w:color="auto" w:sz="4" w:space="0"/>
              <w:right w:val="single" w:color="auto" w:sz="4" w:space="0"/>
            </w:tcBorders>
            <w:vAlign w:val="center"/>
          </w:tcPr>
          <w:p w14:paraId="1AFD2728">
            <w:pPr>
              <w:jc w:val="right"/>
              <w:rPr>
                <w:rFonts w:ascii="Calibri" w:hAnsi="Calibri"/>
                <w:sz w:val="20"/>
                <w:szCs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4D5988F4">
            <w:pPr>
              <w:jc w:val="right"/>
              <w:rPr>
                <w:rFonts w:ascii="Calibri" w:hAnsi="Calibri"/>
                <w:sz w:val="20"/>
                <w:szCs w:val="20"/>
              </w:rPr>
            </w:pPr>
            <w:r>
              <w:rPr>
                <w:rFonts w:ascii="Calibri" w:hAnsi="Calibri"/>
                <w:sz w:val="20"/>
                <w:szCs w:val="20"/>
              </w:rPr>
              <w:t>2,215,880.68</w:t>
            </w:r>
          </w:p>
        </w:tc>
        <w:tc>
          <w:tcPr>
            <w:tcW w:w="851" w:type="dxa"/>
            <w:tcBorders>
              <w:left w:val="single" w:color="auto" w:sz="4" w:space="0"/>
              <w:right w:val="single" w:color="auto" w:sz="4" w:space="0"/>
            </w:tcBorders>
            <w:vAlign w:val="center"/>
          </w:tcPr>
          <w:p w14:paraId="1D405A82">
            <w:pPr>
              <w:jc w:val="right"/>
              <w:rPr>
                <w:rFonts w:ascii="Calibri" w:hAnsi="Calibri"/>
                <w:sz w:val="20"/>
                <w:szCs w:val="20"/>
              </w:rPr>
            </w:pPr>
          </w:p>
        </w:tc>
        <w:tc>
          <w:tcPr>
            <w:tcW w:w="1396" w:type="dxa"/>
            <w:tcBorders>
              <w:top w:val="single" w:color="auto" w:sz="4" w:space="0"/>
              <w:left w:val="single" w:color="auto" w:sz="4" w:space="0"/>
              <w:bottom w:val="single" w:color="auto" w:sz="4" w:space="0"/>
              <w:right w:val="single" w:color="auto" w:sz="4" w:space="0"/>
            </w:tcBorders>
            <w:vAlign w:val="center"/>
          </w:tcPr>
          <w:p w14:paraId="54077D03">
            <w:pPr>
              <w:ind w:right="5"/>
              <w:jc w:val="right"/>
              <w:rPr>
                <w:rFonts w:ascii="Calibri" w:hAnsi="Calibri"/>
                <w:sz w:val="20"/>
                <w:szCs w:val="20"/>
              </w:rPr>
            </w:pPr>
            <w:r>
              <w:rPr>
                <w:rFonts w:ascii="Calibri" w:hAnsi="Calibri"/>
                <w:sz w:val="20"/>
                <w:szCs w:val="20"/>
              </w:rPr>
              <w:t>7,518,918.90</w:t>
            </w:r>
          </w:p>
        </w:tc>
      </w:tr>
      <w:tr w14:paraId="2FB4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14" w:type="dxa"/>
            <w:tcBorders>
              <w:top w:val="single" w:color="auto" w:sz="4" w:space="0"/>
              <w:left w:val="single" w:color="auto" w:sz="4" w:space="0"/>
              <w:bottom w:val="single" w:color="auto" w:sz="4" w:space="0"/>
              <w:right w:val="single" w:color="auto" w:sz="4" w:space="0"/>
            </w:tcBorders>
            <w:vAlign w:val="center"/>
          </w:tcPr>
          <w:p w14:paraId="03DD4E6D">
            <w:pPr>
              <w:jc w:val="both"/>
              <w:rPr>
                <w:rFonts w:ascii="Calibri" w:hAnsi="Calibri"/>
                <w:sz w:val="20"/>
                <w:szCs w:val="20"/>
              </w:rPr>
            </w:pPr>
            <w:r>
              <w:rPr>
                <w:rFonts w:ascii="宋体" w:hAnsi="宋体"/>
                <w:sz w:val="18"/>
                <w:szCs w:val="18"/>
              </w:rPr>
              <w:t>开发产品（房地产）</w:t>
            </w:r>
          </w:p>
        </w:tc>
        <w:tc>
          <w:tcPr>
            <w:tcW w:w="1483" w:type="dxa"/>
            <w:tcBorders>
              <w:top w:val="single" w:color="auto" w:sz="4" w:space="0"/>
              <w:left w:val="single" w:color="auto" w:sz="4" w:space="0"/>
              <w:bottom w:val="single" w:color="auto" w:sz="4" w:space="0"/>
              <w:right w:val="single" w:color="auto" w:sz="4" w:space="0"/>
            </w:tcBorders>
            <w:vAlign w:val="center"/>
          </w:tcPr>
          <w:p w14:paraId="118F076D">
            <w:pPr>
              <w:ind w:right="5"/>
              <w:jc w:val="right"/>
              <w:rPr>
                <w:rFonts w:ascii="Calibri" w:hAnsi="Calibri"/>
                <w:sz w:val="20"/>
                <w:szCs w:val="20"/>
              </w:rPr>
            </w:pPr>
            <w:r>
              <w:rPr>
                <w:rFonts w:ascii="Calibri" w:hAnsi="Calibri"/>
                <w:sz w:val="20"/>
                <w:szCs w:val="20"/>
              </w:rPr>
              <w:t>26,080,962.00</w:t>
            </w:r>
          </w:p>
        </w:tc>
        <w:tc>
          <w:tcPr>
            <w:tcW w:w="1418" w:type="dxa"/>
            <w:tcBorders>
              <w:top w:val="single" w:color="auto" w:sz="4" w:space="0"/>
              <w:left w:val="single" w:color="auto" w:sz="4" w:space="0"/>
              <w:bottom w:val="single" w:color="auto" w:sz="4" w:space="0"/>
              <w:right w:val="single" w:color="auto" w:sz="4" w:space="0"/>
            </w:tcBorders>
            <w:vAlign w:val="center"/>
          </w:tcPr>
          <w:p w14:paraId="1BD62E08">
            <w:pPr>
              <w:jc w:val="right"/>
              <w:rPr>
                <w:rFonts w:ascii="Calibri" w:hAnsi="Calibri"/>
                <w:sz w:val="20"/>
                <w:szCs w:val="20"/>
              </w:rPr>
            </w:pPr>
            <w:r>
              <w:rPr>
                <w:rFonts w:ascii="Calibri" w:hAnsi="Calibri"/>
                <w:sz w:val="20"/>
                <w:szCs w:val="20"/>
              </w:rPr>
              <w:t>735,131.21</w:t>
            </w:r>
          </w:p>
        </w:tc>
        <w:tc>
          <w:tcPr>
            <w:tcW w:w="654" w:type="dxa"/>
            <w:tcBorders>
              <w:top w:val="single" w:color="auto" w:sz="4" w:space="0"/>
              <w:left w:val="single" w:color="auto" w:sz="4" w:space="0"/>
              <w:bottom w:val="single" w:color="auto" w:sz="4" w:space="0"/>
              <w:right w:val="single" w:color="auto" w:sz="4" w:space="0"/>
            </w:tcBorders>
            <w:vAlign w:val="center"/>
          </w:tcPr>
          <w:p w14:paraId="6779D229">
            <w:pPr>
              <w:jc w:val="right"/>
              <w:rPr>
                <w:rFonts w:ascii="Calibri" w:hAnsi="Calibri"/>
                <w:sz w:val="20"/>
                <w:szCs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25BDC37E">
            <w:pPr>
              <w:jc w:val="right"/>
              <w:rPr>
                <w:rFonts w:ascii="Calibri" w:hAnsi="Calibri"/>
                <w:sz w:val="20"/>
                <w:szCs w:val="20"/>
              </w:rPr>
            </w:pPr>
            <w:r>
              <w:rPr>
                <w:rFonts w:ascii="Calibri" w:hAnsi="Calibri"/>
                <w:sz w:val="20"/>
                <w:szCs w:val="20"/>
              </w:rPr>
              <w:t>195,044.27</w:t>
            </w:r>
          </w:p>
        </w:tc>
        <w:tc>
          <w:tcPr>
            <w:tcW w:w="851" w:type="dxa"/>
            <w:tcBorders>
              <w:left w:val="single" w:color="auto" w:sz="4" w:space="0"/>
              <w:right w:val="single" w:color="auto" w:sz="4" w:space="0"/>
            </w:tcBorders>
            <w:vAlign w:val="center"/>
          </w:tcPr>
          <w:p w14:paraId="07F09CFB">
            <w:pPr>
              <w:jc w:val="right"/>
              <w:rPr>
                <w:rFonts w:ascii="Calibri" w:hAnsi="Calibri"/>
                <w:sz w:val="20"/>
                <w:szCs w:val="20"/>
              </w:rPr>
            </w:pPr>
          </w:p>
        </w:tc>
        <w:tc>
          <w:tcPr>
            <w:tcW w:w="1396" w:type="dxa"/>
            <w:tcBorders>
              <w:top w:val="single" w:color="auto" w:sz="4" w:space="0"/>
              <w:left w:val="single" w:color="auto" w:sz="4" w:space="0"/>
              <w:bottom w:val="single" w:color="auto" w:sz="4" w:space="0"/>
              <w:right w:val="single" w:color="auto" w:sz="4" w:space="0"/>
            </w:tcBorders>
            <w:vAlign w:val="center"/>
          </w:tcPr>
          <w:p w14:paraId="62E7721C">
            <w:pPr>
              <w:ind w:right="5"/>
              <w:jc w:val="right"/>
              <w:rPr>
                <w:rFonts w:ascii="Calibri" w:hAnsi="Calibri"/>
                <w:sz w:val="20"/>
                <w:szCs w:val="20"/>
              </w:rPr>
            </w:pPr>
            <w:r>
              <w:rPr>
                <w:rFonts w:ascii="Calibri" w:hAnsi="Calibri"/>
                <w:sz w:val="20"/>
                <w:szCs w:val="20"/>
              </w:rPr>
              <w:t>26,621,048.94</w:t>
            </w:r>
          </w:p>
        </w:tc>
      </w:tr>
      <w:tr w14:paraId="4E40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14" w:type="dxa"/>
            <w:tcBorders>
              <w:top w:val="single" w:color="auto" w:sz="4" w:space="0"/>
              <w:left w:val="single" w:color="auto" w:sz="4" w:space="0"/>
              <w:bottom w:val="single" w:color="auto" w:sz="4" w:space="0"/>
              <w:right w:val="single" w:color="auto" w:sz="4" w:space="0"/>
            </w:tcBorders>
            <w:vAlign w:val="center"/>
          </w:tcPr>
          <w:p w14:paraId="6165078B">
            <w:pPr>
              <w:jc w:val="center"/>
              <w:rPr>
                <w:rFonts w:ascii="Calibri" w:hAnsi="Calibri"/>
                <w:sz w:val="20"/>
                <w:szCs w:val="20"/>
              </w:rPr>
            </w:pPr>
            <w:r>
              <w:rPr>
                <w:rFonts w:hint="eastAsia" w:ascii="Calibri" w:hAnsi="Calibri"/>
                <w:sz w:val="20"/>
                <w:szCs w:val="20"/>
              </w:rPr>
              <w:t>合计</w:t>
            </w:r>
          </w:p>
        </w:tc>
        <w:tc>
          <w:tcPr>
            <w:tcW w:w="1483" w:type="dxa"/>
            <w:tcBorders>
              <w:top w:val="single" w:color="auto" w:sz="4" w:space="0"/>
              <w:left w:val="single" w:color="auto" w:sz="4" w:space="0"/>
              <w:bottom w:val="single" w:color="auto" w:sz="4" w:space="0"/>
              <w:right w:val="single" w:color="auto" w:sz="4" w:space="0"/>
            </w:tcBorders>
            <w:vAlign w:val="center"/>
          </w:tcPr>
          <w:p w14:paraId="20578532">
            <w:pPr>
              <w:ind w:right="5"/>
              <w:jc w:val="right"/>
              <w:rPr>
                <w:rFonts w:ascii="Calibri" w:hAnsi="Calibri"/>
                <w:sz w:val="20"/>
                <w:szCs w:val="20"/>
              </w:rPr>
            </w:pPr>
            <w:r>
              <w:rPr>
                <w:rFonts w:ascii="Calibri" w:hAnsi="Calibri"/>
                <w:sz w:val="20"/>
                <w:szCs w:val="20"/>
              </w:rPr>
              <w:t>43,563,830.51</w:t>
            </w:r>
          </w:p>
        </w:tc>
        <w:tc>
          <w:tcPr>
            <w:tcW w:w="1418" w:type="dxa"/>
            <w:tcBorders>
              <w:top w:val="single" w:color="auto" w:sz="4" w:space="0"/>
              <w:left w:val="single" w:color="auto" w:sz="4" w:space="0"/>
              <w:bottom w:val="single" w:color="auto" w:sz="4" w:space="0"/>
              <w:right w:val="single" w:color="auto" w:sz="4" w:space="0"/>
            </w:tcBorders>
            <w:vAlign w:val="center"/>
          </w:tcPr>
          <w:p w14:paraId="403D7FEE">
            <w:pPr>
              <w:jc w:val="right"/>
              <w:rPr>
                <w:rFonts w:ascii="Calibri" w:hAnsi="Calibri"/>
                <w:sz w:val="20"/>
                <w:szCs w:val="20"/>
              </w:rPr>
            </w:pPr>
            <w:r>
              <w:rPr>
                <w:rFonts w:ascii="Calibri" w:hAnsi="Calibri"/>
                <w:sz w:val="20"/>
                <w:szCs w:val="20"/>
              </w:rPr>
              <w:t>11,715,079.94</w:t>
            </w:r>
          </w:p>
        </w:tc>
        <w:tc>
          <w:tcPr>
            <w:tcW w:w="654" w:type="dxa"/>
            <w:tcBorders>
              <w:top w:val="single" w:color="auto" w:sz="4" w:space="0"/>
              <w:left w:val="single" w:color="auto" w:sz="4" w:space="0"/>
              <w:bottom w:val="single" w:color="auto" w:sz="4" w:space="0"/>
              <w:right w:val="single" w:color="auto" w:sz="4" w:space="0"/>
            </w:tcBorders>
            <w:vAlign w:val="center"/>
          </w:tcPr>
          <w:p w14:paraId="05775261">
            <w:pPr>
              <w:jc w:val="right"/>
              <w:rPr>
                <w:rFonts w:ascii="Calibri" w:hAnsi="Calibri"/>
                <w:sz w:val="20"/>
                <w:szCs w:val="20"/>
              </w:rPr>
            </w:pPr>
          </w:p>
        </w:tc>
        <w:tc>
          <w:tcPr>
            <w:tcW w:w="1330" w:type="dxa"/>
            <w:tcBorders>
              <w:top w:val="single" w:color="auto" w:sz="4" w:space="0"/>
              <w:left w:val="single" w:color="auto" w:sz="4" w:space="0"/>
              <w:bottom w:val="single" w:color="auto" w:sz="4" w:space="0"/>
              <w:right w:val="single" w:color="auto" w:sz="4" w:space="0"/>
            </w:tcBorders>
            <w:vAlign w:val="center"/>
          </w:tcPr>
          <w:p w14:paraId="79E18BD0">
            <w:pPr>
              <w:jc w:val="right"/>
              <w:rPr>
                <w:rFonts w:ascii="Calibri" w:hAnsi="Calibri"/>
                <w:sz w:val="20"/>
                <w:szCs w:val="20"/>
              </w:rPr>
            </w:pPr>
            <w:r>
              <w:rPr>
                <w:rFonts w:ascii="Calibri" w:hAnsi="Calibri"/>
                <w:sz w:val="20"/>
                <w:szCs w:val="20"/>
              </w:rPr>
              <w:t>4,228,020.82</w:t>
            </w:r>
          </w:p>
        </w:tc>
        <w:tc>
          <w:tcPr>
            <w:tcW w:w="851" w:type="dxa"/>
            <w:tcBorders>
              <w:left w:val="single" w:color="auto" w:sz="4" w:space="0"/>
              <w:bottom w:val="single" w:color="auto" w:sz="4" w:space="0"/>
              <w:right w:val="single" w:color="auto" w:sz="4" w:space="0"/>
            </w:tcBorders>
            <w:vAlign w:val="center"/>
          </w:tcPr>
          <w:p w14:paraId="27F65012">
            <w:pPr>
              <w:jc w:val="right"/>
              <w:rPr>
                <w:rFonts w:ascii="Calibri" w:hAnsi="Calibri"/>
                <w:sz w:val="20"/>
                <w:szCs w:val="20"/>
              </w:rPr>
            </w:pPr>
          </w:p>
        </w:tc>
        <w:tc>
          <w:tcPr>
            <w:tcW w:w="1396" w:type="dxa"/>
            <w:tcBorders>
              <w:top w:val="single" w:color="auto" w:sz="4" w:space="0"/>
              <w:left w:val="single" w:color="auto" w:sz="4" w:space="0"/>
              <w:bottom w:val="single" w:color="auto" w:sz="4" w:space="0"/>
              <w:right w:val="single" w:color="auto" w:sz="4" w:space="0"/>
            </w:tcBorders>
            <w:vAlign w:val="center"/>
          </w:tcPr>
          <w:p w14:paraId="293B4E48">
            <w:pPr>
              <w:ind w:right="5"/>
              <w:jc w:val="right"/>
              <w:rPr>
                <w:rFonts w:ascii="Calibri" w:hAnsi="Calibri"/>
                <w:sz w:val="20"/>
                <w:szCs w:val="20"/>
              </w:rPr>
            </w:pPr>
            <w:r>
              <w:rPr>
                <w:rFonts w:ascii="Calibri" w:hAnsi="Calibri"/>
                <w:sz w:val="20"/>
                <w:szCs w:val="20"/>
              </w:rPr>
              <w:t>51,050,889.63</w:t>
            </w:r>
          </w:p>
        </w:tc>
      </w:tr>
    </w:tbl>
    <w:p w14:paraId="554E011F">
      <w:pPr>
        <w:pStyle w:val="48"/>
      </w:pPr>
    </w:p>
    <w:bookmarkEnd w:id="274"/>
    <w:p w14:paraId="58E2D4AC">
      <w:pPr>
        <w:pStyle w:val="48"/>
      </w:pPr>
      <w:r>
        <w:t>本期转回或转销存货跌价准备的原因</w:t>
      </w:r>
    </w:p>
    <w:sdt>
      <w:sdtPr>
        <w:alias w:val="是否适用：本期转回或转销存货跌价准备的原因[双击切换]"/>
        <w:tag w:val="_GBC_91edca895f07450c8e82d2352caede25"/>
        <w:id w:val="-1673252188"/>
        <w:placeholder>
          <w:docPart w:val="GBC22222222222222222222222222222"/>
        </w:placeholder>
      </w:sdtPr>
      <w:sdtContent>
        <w:p w14:paraId="49C53AC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3380D2">
      <w:pPr>
        <w:pStyle w:val="48"/>
      </w:pPr>
    </w:p>
    <w:p w14:paraId="0CD2CB12">
      <w:pPr>
        <w:pStyle w:val="48"/>
      </w:pPr>
      <w:r>
        <w:rPr>
          <w:rFonts w:hint="eastAsia"/>
        </w:rPr>
        <w:t>按组合计提存货跌价准备</w:t>
      </w:r>
    </w:p>
    <w:sdt>
      <w:sdtPr>
        <w:alias w:val="是否适用：按组合计提存货跌价准备[双击切换]"/>
        <w:tag w:val="_GBC_7654282f8cf847d8a55f8274afb7a726"/>
        <w:id w:val="-1747643035"/>
        <w:placeholder>
          <w:docPart w:val="GBC22222222222222222222222222222"/>
        </w:placeholder>
      </w:sdtPr>
      <w:sdtContent>
        <w:p w14:paraId="6B61298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BA73C4D">
      <w:pPr>
        <w:pStyle w:val="48"/>
      </w:pPr>
    </w:p>
    <w:p w14:paraId="34FC7E88">
      <w:pPr>
        <w:pStyle w:val="48"/>
      </w:pPr>
      <w:r>
        <w:rPr>
          <w:rFonts w:hint="eastAsia"/>
        </w:rPr>
        <w:t>按组合计提存货跌价准备的计提标准</w:t>
      </w:r>
    </w:p>
    <w:sdt>
      <w:sdtPr>
        <w:alias w:val="是否适用：按组合计提存货跌价准备的计提标准[双击切换]"/>
        <w:tag w:val="_GBC_5ff59a2951ec4f938d7af938cd197e63"/>
        <w:id w:val="603309680"/>
        <w:placeholder>
          <w:docPart w:val="GBC22222222222222222222222222222"/>
        </w:placeholder>
      </w:sdtPr>
      <w:sdtContent>
        <w:p w14:paraId="7294554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90B2213">
      <w:pPr>
        <w:pStyle w:val="48"/>
      </w:pPr>
    </w:p>
    <w:p w14:paraId="30A7D92B">
      <w:pPr>
        <w:pStyle w:val="5"/>
        <w:numPr>
          <w:ilvl w:val="3"/>
          <w:numId w:val="70"/>
        </w:numPr>
        <w:ind w:left="426" w:hanging="426"/>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1768425708"/>
        <w:placeholder>
          <w:docPart w:val="GBC22222222222222222222222222222"/>
        </w:placeholder>
      </w:sdtPr>
      <w:sdtEndPr>
        <w:rPr>
          <w:rFonts w:hint="eastAsia"/>
        </w:rPr>
      </w:sdtEndPr>
      <w:sdtContent>
        <w:p w14:paraId="795638F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660292C">
      <w:pPr>
        <w:pStyle w:val="48"/>
      </w:pPr>
    </w:p>
    <w:p w14:paraId="319274EF">
      <w:pPr>
        <w:pStyle w:val="5"/>
        <w:numPr>
          <w:ilvl w:val="3"/>
          <w:numId w:val="70"/>
        </w:numPr>
        <w:ind w:left="426" w:hanging="426"/>
      </w:pPr>
      <w:r>
        <w:rPr>
          <w:rFonts w:hint="eastAsia"/>
        </w:rPr>
        <w:t>合同履约成本本期摊销金额的说明</w:t>
      </w:r>
    </w:p>
    <w:sdt>
      <w:sdtPr>
        <w:alias w:val="是否适用：合同履约成本本期摊销金额的说明[双击切换]"/>
        <w:tag w:val="_GBC_7532d5a15e3d45fa8d69ad2921659b13"/>
        <w:id w:val="-1816175659"/>
        <w:placeholder>
          <w:docPart w:val="GBC22222222222222222222222222222"/>
        </w:placeholder>
      </w:sdtPr>
      <w:sdtContent>
        <w:p w14:paraId="015F329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A082E4F">
      <w:pPr>
        <w:pStyle w:val="48"/>
      </w:pPr>
    </w:p>
    <w:p w14:paraId="73904B05">
      <w:pPr>
        <w:pStyle w:val="48"/>
      </w:pPr>
      <w:r>
        <w:rPr>
          <w:rFonts w:hint="eastAsia"/>
        </w:rPr>
        <w:t>其他说明：</w:t>
      </w:r>
    </w:p>
    <w:sdt>
      <w:sdtPr>
        <w:rPr>
          <w:rFonts w:hint="eastAsia"/>
        </w:rPr>
        <w:alias w:val="是否适用：建造合同形成的已完工未结算资产的其他说明[双击切换]"/>
        <w:tag w:val="_GBC_441099179b66496e99c8de04f24782ad"/>
        <w:id w:val="-955255222"/>
        <w:placeholder>
          <w:docPart w:val="GBC22222222222222222222222222222"/>
        </w:placeholder>
      </w:sdtPr>
      <w:sdtEndPr>
        <w:rPr>
          <w:rFonts w:hint="eastAsia"/>
        </w:rPr>
      </w:sdtEndPr>
      <w:sdtContent>
        <w:p w14:paraId="2573FC9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85FE0E6">
      <w:pPr>
        <w:pStyle w:val="48"/>
      </w:pPr>
    </w:p>
    <w:p w14:paraId="4884E835">
      <w:pPr>
        <w:pStyle w:val="4"/>
        <w:numPr>
          <w:ilvl w:val="0"/>
          <w:numId w:val="61"/>
        </w:numPr>
        <w:rPr>
          <w:szCs w:val="21"/>
        </w:rPr>
      </w:pPr>
      <w:bookmarkStart w:id="275" w:name="_Hlk24380621"/>
      <w:r>
        <w:rPr>
          <w:szCs w:val="21"/>
        </w:rPr>
        <w:t>持有待售资产</w:t>
      </w:r>
    </w:p>
    <w:sdt>
      <w:sdtPr>
        <w:alias w:val="是否适用：划分为持有待售的资产[双击切换]"/>
        <w:tag w:val="_GBC_78f2c13384374d8eb0edd5d62d86bc52"/>
        <w:id w:val="554888464"/>
        <w:placeholder>
          <w:docPart w:val="GBC22222222222222222222222222222"/>
        </w:placeholder>
      </w:sdtPr>
      <w:sdtContent>
        <w:p w14:paraId="4795655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1AA94DF">
      <w:pPr>
        <w:pStyle w:val="48"/>
      </w:pPr>
    </w:p>
    <w:p w14:paraId="478B8BD3">
      <w:pPr>
        <w:pStyle w:val="48"/>
      </w:pPr>
    </w:p>
    <w:bookmarkEnd w:id="275"/>
    <w:p w14:paraId="15D08A78">
      <w:pPr>
        <w:pStyle w:val="4"/>
        <w:numPr>
          <w:ilvl w:val="0"/>
          <w:numId w:val="61"/>
        </w:numPr>
        <w:rPr>
          <w:szCs w:val="21"/>
        </w:rPr>
      </w:pPr>
      <w:bookmarkStart w:id="276" w:name="_Hlk533608872"/>
      <w:r>
        <w:rPr>
          <w:szCs w:val="21"/>
        </w:rPr>
        <w:t>一年内到期的非流动资产</w:t>
      </w:r>
    </w:p>
    <w:sdt>
      <w:sdtPr>
        <w:alias w:val="是否适用：一年内到期的非流动资产[双击切换]"/>
        <w:tag w:val="_GBC_ed2c28c8d4014bbb85fa424cc20fe6d7"/>
        <w:id w:val="1076479955"/>
        <w:placeholder>
          <w:docPart w:val="GBC22222222222222222222222222222"/>
        </w:placeholder>
      </w:sdtPr>
      <w:sdtContent>
        <w:p w14:paraId="7E982CF5">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38F5BD7">
      <w:pPr>
        <w:pStyle w:val="48"/>
      </w:pPr>
    </w:p>
    <w:p w14:paraId="5286DE9B">
      <w:pPr>
        <w:pStyle w:val="5"/>
      </w:pPr>
      <w:r>
        <w:rPr>
          <w:rFonts w:hint="eastAsia"/>
        </w:rPr>
        <w:t>一年内到期的债权投资</w:t>
      </w:r>
    </w:p>
    <w:sdt>
      <w:sdtPr>
        <w:alias w:val="是否适用：一年内到期的债权投资[双击切换]"/>
        <w:tag w:val="_GBC_21106d2d4b32436eb1949dc414c4e6e2"/>
        <w:id w:val="507564974"/>
        <w:placeholder>
          <w:docPart w:val="GBC22222222222222222222222222222"/>
        </w:placeholder>
      </w:sdtPr>
      <w:sdtContent>
        <w:p w14:paraId="6ED8F60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4581C34">
      <w:pPr>
        <w:ind w:right="210"/>
      </w:pPr>
    </w:p>
    <w:p w14:paraId="3251CB4D">
      <w:pPr>
        <w:ind w:right="210"/>
      </w:pPr>
    </w:p>
    <w:p w14:paraId="6F5A63F2">
      <w:pPr>
        <w:pStyle w:val="5"/>
      </w:pPr>
      <w:r>
        <w:rPr>
          <w:rFonts w:hint="eastAsia"/>
        </w:rPr>
        <w:t>一年内到期的其他债权投资</w:t>
      </w:r>
    </w:p>
    <w:sdt>
      <w:sdtPr>
        <w:alias w:val="是否适用：一年内到期的其他债权投资[双击切换]"/>
        <w:tag w:val="_GBC_7e23007806f94dceb2b97ed0f5d1e010"/>
        <w:id w:val="-1051465569"/>
        <w:placeholder>
          <w:docPart w:val="GBC22222222222222222222222222222"/>
        </w:placeholder>
      </w:sdtPr>
      <w:sdtContent>
        <w:p w14:paraId="59BEAF6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EF9F4B5">
      <w:pPr>
        <w:pStyle w:val="48"/>
      </w:pPr>
    </w:p>
    <w:p w14:paraId="35A7CA77">
      <w:pPr>
        <w:ind w:right="210"/>
      </w:pPr>
    </w:p>
    <w:bookmarkEnd w:id="276"/>
    <w:p w14:paraId="1C904A05">
      <w:pPr>
        <w:pStyle w:val="4"/>
        <w:numPr>
          <w:ilvl w:val="0"/>
          <w:numId w:val="61"/>
        </w:numPr>
        <w:rPr>
          <w:szCs w:val="21"/>
        </w:rPr>
      </w:pPr>
      <w:bookmarkStart w:id="277" w:name="_Hlk533609053"/>
      <w:r>
        <w:rPr>
          <w:szCs w:val="21"/>
        </w:rPr>
        <w:t>其他流动资产</w:t>
      </w:r>
    </w:p>
    <w:sdt>
      <w:sdtPr>
        <w:alias w:val="是否适用：其他流动资产[双击切换]"/>
        <w:tag w:val="_GBC_49fe7514f24d4f7fbf009ae51ff98d5a"/>
        <w:id w:val="-1697613718"/>
        <w:placeholder>
          <w:docPart w:val="GBC22222222222222222222222222222"/>
        </w:placeholder>
      </w:sdtPr>
      <w:sdtContent>
        <w:p w14:paraId="19CBFA36">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01CDF3B">
      <w:pPr>
        <w:jc w:val="right"/>
      </w:pPr>
      <w:r>
        <w:rPr>
          <w:rFonts w:hint="eastAsia"/>
        </w:rPr>
        <w:t>单位：</w:t>
      </w:r>
      <w:sdt>
        <w:sdtPr>
          <w:rPr>
            <w:rFonts w:hint="eastAsia"/>
          </w:rPr>
          <w:alias w:val="单位：其他流动资产"/>
          <w:tag w:val="_GBC_8aa27294471c4172ba97de2c15d029c6"/>
          <w:id w:val="-4720520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18495527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6"/>
        <w:gridCol w:w="2917"/>
        <w:gridCol w:w="2845"/>
      </w:tblGrid>
      <w:tr w14:paraId="35A1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34f889fb3794268b1f04c9534377486"/>
            <w:id w:val="-1552306632"/>
          </w:sdtPr>
          <w:sdtContent>
            <w:tc>
              <w:tcPr>
                <w:tcW w:w="3286" w:type="dxa"/>
                <w:vAlign w:val="center"/>
              </w:tcPr>
              <w:p w14:paraId="46E035FB">
                <w:pPr>
                  <w:jc w:val="center"/>
                  <w:rPr>
                    <w:rFonts w:ascii="Calibri" w:hAnsi="Calibri"/>
                    <w:sz w:val="20"/>
                    <w:szCs w:val="20"/>
                  </w:rPr>
                </w:pPr>
                <w:r>
                  <w:rPr>
                    <w:rFonts w:hint="eastAsia" w:ascii="Calibri" w:hAnsi="Calibri"/>
                    <w:sz w:val="20"/>
                    <w:szCs w:val="20"/>
                  </w:rPr>
                  <w:t>项目</w:t>
                </w:r>
              </w:p>
            </w:tc>
          </w:sdtContent>
        </w:sdt>
        <w:sdt>
          <w:sdtPr>
            <w:tag w:val="_PLD_97b9b7e912e14a06b24f532e76914900"/>
            <w:id w:val="200608298"/>
          </w:sdtPr>
          <w:sdtContent>
            <w:tc>
              <w:tcPr>
                <w:tcW w:w="2917" w:type="dxa"/>
                <w:vAlign w:val="center"/>
              </w:tcPr>
              <w:p w14:paraId="6A21E9B9">
                <w:pPr>
                  <w:jc w:val="center"/>
                  <w:rPr>
                    <w:rFonts w:ascii="Calibri" w:hAnsi="Calibri"/>
                    <w:sz w:val="20"/>
                    <w:szCs w:val="20"/>
                  </w:rPr>
                </w:pPr>
                <w:r>
                  <w:rPr>
                    <w:rFonts w:hint="eastAsia" w:ascii="Calibri" w:hAnsi="Calibri"/>
                    <w:sz w:val="20"/>
                    <w:szCs w:val="20"/>
                  </w:rPr>
                  <w:t>期末余额</w:t>
                </w:r>
              </w:p>
            </w:tc>
          </w:sdtContent>
        </w:sdt>
        <w:sdt>
          <w:sdtPr>
            <w:tag w:val="_PLD_c02c94d4c7614f3cadd2972514fb87f4"/>
            <w:id w:val="647788979"/>
          </w:sdtPr>
          <w:sdtContent>
            <w:tc>
              <w:tcPr>
                <w:tcW w:w="2845" w:type="dxa"/>
                <w:vAlign w:val="center"/>
              </w:tcPr>
              <w:p w14:paraId="6A57D98D">
                <w:pPr>
                  <w:jc w:val="center"/>
                  <w:rPr>
                    <w:rFonts w:ascii="Calibri" w:hAnsi="Calibri"/>
                    <w:sz w:val="20"/>
                    <w:szCs w:val="20"/>
                  </w:rPr>
                </w:pPr>
                <w:r>
                  <w:rPr>
                    <w:rFonts w:hint="eastAsia" w:ascii="Calibri" w:hAnsi="Calibri"/>
                    <w:sz w:val="20"/>
                    <w:szCs w:val="20"/>
                  </w:rPr>
                  <w:t>期初余额</w:t>
                </w:r>
              </w:p>
            </w:tc>
          </w:sdtContent>
        </w:sdt>
      </w:tr>
      <w:tr w14:paraId="0008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6" w:type="dxa"/>
            <w:vAlign w:val="center"/>
          </w:tcPr>
          <w:p w14:paraId="06DC0FD3">
            <w:pPr>
              <w:pStyle w:val="48"/>
              <w:rPr>
                <w:sz w:val="20"/>
                <w:szCs w:val="20"/>
              </w:rPr>
            </w:pPr>
            <w:r>
              <w:rPr>
                <w:rFonts w:hint="eastAsia"/>
                <w:sz w:val="20"/>
                <w:szCs w:val="20"/>
              </w:rPr>
              <w:t>合同取得成本</w:t>
            </w:r>
          </w:p>
        </w:tc>
        <w:tc>
          <w:tcPr>
            <w:tcW w:w="2917" w:type="dxa"/>
            <w:vAlign w:val="center"/>
          </w:tcPr>
          <w:p w14:paraId="04D6583C">
            <w:pPr>
              <w:jc w:val="right"/>
              <w:rPr>
                <w:rFonts w:ascii="Calibri" w:hAnsi="Calibri"/>
                <w:sz w:val="20"/>
                <w:szCs w:val="20"/>
              </w:rPr>
            </w:pPr>
          </w:p>
        </w:tc>
        <w:tc>
          <w:tcPr>
            <w:tcW w:w="2845" w:type="dxa"/>
            <w:vAlign w:val="center"/>
          </w:tcPr>
          <w:p w14:paraId="78B3DBA1">
            <w:pPr>
              <w:jc w:val="right"/>
              <w:rPr>
                <w:rFonts w:ascii="Calibri" w:hAnsi="Calibri"/>
                <w:sz w:val="20"/>
                <w:szCs w:val="20"/>
              </w:rPr>
            </w:pPr>
          </w:p>
        </w:tc>
      </w:tr>
      <w:tr w14:paraId="1360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86" w:type="dxa"/>
            <w:vAlign w:val="center"/>
          </w:tcPr>
          <w:p w14:paraId="7D3393A5">
            <w:pPr>
              <w:pStyle w:val="48"/>
              <w:rPr>
                <w:sz w:val="20"/>
                <w:szCs w:val="20"/>
              </w:rPr>
            </w:pPr>
            <w:r>
              <w:rPr>
                <w:rFonts w:hint="eastAsia"/>
                <w:sz w:val="20"/>
                <w:szCs w:val="20"/>
              </w:rPr>
              <w:t>应收退货成本</w:t>
            </w:r>
          </w:p>
        </w:tc>
        <w:tc>
          <w:tcPr>
            <w:tcW w:w="2917" w:type="dxa"/>
            <w:vAlign w:val="center"/>
          </w:tcPr>
          <w:p w14:paraId="36BB8F33">
            <w:pPr>
              <w:jc w:val="right"/>
              <w:rPr>
                <w:rFonts w:ascii="Calibri" w:hAnsi="Calibri"/>
                <w:sz w:val="20"/>
                <w:szCs w:val="20"/>
              </w:rPr>
            </w:pPr>
          </w:p>
        </w:tc>
        <w:tc>
          <w:tcPr>
            <w:tcW w:w="2845" w:type="dxa"/>
            <w:vAlign w:val="center"/>
          </w:tcPr>
          <w:p w14:paraId="546E82A1">
            <w:pPr>
              <w:jc w:val="right"/>
              <w:rPr>
                <w:rFonts w:ascii="Calibri" w:hAnsi="Calibri"/>
                <w:sz w:val="20"/>
                <w:szCs w:val="20"/>
              </w:rPr>
            </w:pPr>
          </w:p>
        </w:tc>
      </w:tr>
      <w:tr w14:paraId="0023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6" w:type="dxa"/>
            <w:vAlign w:val="center"/>
          </w:tcPr>
          <w:p w14:paraId="24256AF2">
            <w:pPr>
              <w:snapToGrid w:val="0"/>
              <w:rPr>
                <w:rFonts w:ascii="Calibri" w:hAnsi="Calibri"/>
                <w:sz w:val="20"/>
                <w:szCs w:val="20"/>
              </w:rPr>
            </w:pPr>
            <w:r>
              <w:rPr>
                <w:rFonts w:ascii="Calibri" w:hAnsi="Calibri"/>
                <w:sz w:val="20"/>
                <w:szCs w:val="20"/>
              </w:rPr>
              <w:t>进项税留抵与待认证进项税</w:t>
            </w:r>
          </w:p>
        </w:tc>
        <w:tc>
          <w:tcPr>
            <w:tcW w:w="2917" w:type="dxa"/>
            <w:vAlign w:val="center"/>
          </w:tcPr>
          <w:p w14:paraId="06B75870">
            <w:pPr>
              <w:snapToGrid w:val="0"/>
              <w:jc w:val="right"/>
              <w:rPr>
                <w:rFonts w:ascii="Calibri" w:hAnsi="Calibri"/>
                <w:sz w:val="20"/>
                <w:szCs w:val="20"/>
              </w:rPr>
            </w:pPr>
            <w:r>
              <w:rPr>
                <w:rFonts w:ascii="Calibri" w:hAnsi="Calibri"/>
                <w:sz w:val="20"/>
                <w:szCs w:val="20"/>
              </w:rPr>
              <w:t>6,063,313.00</w:t>
            </w:r>
          </w:p>
        </w:tc>
        <w:tc>
          <w:tcPr>
            <w:tcW w:w="2845" w:type="dxa"/>
            <w:vAlign w:val="center"/>
          </w:tcPr>
          <w:p w14:paraId="29D11EF4">
            <w:pPr>
              <w:snapToGrid w:val="0"/>
              <w:jc w:val="right"/>
              <w:rPr>
                <w:rFonts w:ascii="Calibri" w:hAnsi="Calibri"/>
                <w:sz w:val="20"/>
                <w:szCs w:val="20"/>
              </w:rPr>
            </w:pPr>
            <w:r>
              <w:rPr>
                <w:rFonts w:ascii="Calibri" w:hAnsi="Calibri"/>
                <w:sz w:val="20"/>
                <w:szCs w:val="20"/>
              </w:rPr>
              <w:t>14,005,605.07</w:t>
            </w:r>
          </w:p>
        </w:tc>
      </w:tr>
      <w:tr w14:paraId="6FAE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6" w:type="dxa"/>
            <w:vAlign w:val="center"/>
          </w:tcPr>
          <w:p w14:paraId="4E87C883">
            <w:pPr>
              <w:snapToGrid w:val="0"/>
              <w:rPr>
                <w:rFonts w:ascii="Calibri" w:hAnsi="Calibri"/>
                <w:sz w:val="20"/>
                <w:szCs w:val="20"/>
              </w:rPr>
            </w:pPr>
            <w:r>
              <w:rPr>
                <w:rFonts w:ascii="Calibri" w:hAnsi="Calibri"/>
                <w:sz w:val="20"/>
                <w:szCs w:val="20"/>
              </w:rPr>
              <w:t>预交的企业所得税</w:t>
            </w:r>
          </w:p>
        </w:tc>
        <w:tc>
          <w:tcPr>
            <w:tcW w:w="2917" w:type="dxa"/>
            <w:vAlign w:val="center"/>
          </w:tcPr>
          <w:p w14:paraId="784B06CF">
            <w:pPr>
              <w:snapToGrid w:val="0"/>
              <w:jc w:val="right"/>
              <w:rPr>
                <w:rFonts w:ascii="Calibri" w:hAnsi="Calibri"/>
                <w:sz w:val="20"/>
                <w:szCs w:val="20"/>
              </w:rPr>
            </w:pPr>
            <w:r>
              <w:rPr>
                <w:rFonts w:ascii="Calibri" w:hAnsi="Calibri"/>
                <w:sz w:val="20"/>
                <w:szCs w:val="20"/>
              </w:rPr>
              <w:t>5,195,394.24</w:t>
            </w:r>
          </w:p>
        </w:tc>
        <w:tc>
          <w:tcPr>
            <w:tcW w:w="2845" w:type="dxa"/>
            <w:vAlign w:val="center"/>
          </w:tcPr>
          <w:p w14:paraId="22CC333E">
            <w:pPr>
              <w:snapToGrid w:val="0"/>
              <w:jc w:val="right"/>
              <w:rPr>
                <w:rFonts w:ascii="Calibri" w:hAnsi="Calibri"/>
                <w:sz w:val="20"/>
                <w:szCs w:val="20"/>
              </w:rPr>
            </w:pPr>
            <w:r>
              <w:rPr>
                <w:rFonts w:ascii="Calibri" w:hAnsi="Calibri"/>
                <w:sz w:val="20"/>
                <w:szCs w:val="20"/>
              </w:rPr>
              <w:t>29,951,261.31</w:t>
            </w:r>
          </w:p>
        </w:tc>
      </w:tr>
      <w:tr w14:paraId="0B07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6" w:type="dxa"/>
            <w:vAlign w:val="center"/>
          </w:tcPr>
          <w:p w14:paraId="107551B7">
            <w:pPr>
              <w:snapToGrid w:val="0"/>
              <w:rPr>
                <w:rFonts w:ascii="Calibri" w:hAnsi="Calibri"/>
                <w:sz w:val="20"/>
                <w:szCs w:val="20"/>
              </w:rPr>
            </w:pPr>
            <w:r>
              <w:rPr>
                <w:rFonts w:ascii="Calibri" w:hAnsi="Calibri"/>
                <w:sz w:val="20"/>
                <w:szCs w:val="20"/>
              </w:rPr>
              <w:t>预交的其他税费</w:t>
            </w:r>
          </w:p>
        </w:tc>
        <w:tc>
          <w:tcPr>
            <w:tcW w:w="2917" w:type="dxa"/>
            <w:vAlign w:val="center"/>
          </w:tcPr>
          <w:p w14:paraId="07855C41">
            <w:pPr>
              <w:snapToGrid w:val="0"/>
              <w:jc w:val="right"/>
              <w:rPr>
                <w:rFonts w:ascii="Calibri" w:hAnsi="Calibri"/>
                <w:sz w:val="20"/>
                <w:szCs w:val="20"/>
              </w:rPr>
            </w:pPr>
            <w:r>
              <w:rPr>
                <w:rFonts w:ascii="Calibri" w:hAnsi="Calibri"/>
                <w:sz w:val="20"/>
                <w:szCs w:val="20"/>
              </w:rPr>
              <w:t>1,594,106.95</w:t>
            </w:r>
          </w:p>
        </w:tc>
        <w:tc>
          <w:tcPr>
            <w:tcW w:w="2845" w:type="dxa"/>
            <w:vAlign w:val="center"/>
          </w:tcPr>
          <w:p w14:paraId="69A97529">
            <w:pPr>
              <w:snapToGrid w:val="0"/>
              <w:jc w:val="right"/>
              <w:rPr>
                <w:rFonts w:ascii="Calibri" w:hAnsi="Calibri"/>
                <w:sz w:val="20"/>
                <w:szCs w:val="20"/>
              </w:rPr>
            </w:pPr>
            <w:r>
              <w:rPr>
                <w:rFonts w:ascii="Calibri" w:hAnsi="Calibri"/>
                <w:sz w:val="20"/>
                <w:szCs w:val="20"/>
              </w:rPr>
              <w:t>240,158.03</w:t>
            </w:r>
          </w:p>
        </w:tc>
      </w:tr>
      <w:tr w14:paraId="78BB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6" w:type="dxa"/>
            <w:vAlign w:val="center"/>
          </w:tcPr>
          <w:p w14:paraId="6401B183">
            <w:pPr>
              <w:snapToGrid w:val="0"/>
              <w:ind w:left="-107" w:leftChars="-51"/>
              <w:jc w:val="center"/>
              <w:rPr>
                <w:rFonts w:ascii="Calibri" w:hAnsi="Calibri"/>
                <w:sz w:val="20"/>
                <w:szCs w:val="20"/>
              </w:rPr>
            </w:pPr>
            <w:r>
              <w:rPr>
                <w:rFonts w:hint="eastAsia" w:ascii="Calibri" w:hAnsi="Calibri"/>
                <w:sz w:val="20"/>
                <w:szCs w:val="20"/>
              </w:rPr>
              <w:t>合计</w:t>
            </w:r>
          </w:p>
        </w:tc>
        <w:tc>
          <w:tcPr>
            <w:tcW w:w="2917" w:type="dxa"/>
            <w:vAlign w:val="center"/>
          </w:tcPr>
          <w:p w14:paraId="76CB3C19">
            <w:pPr>
              <w:snapToGrid w:val="0"/>
              <w:jc w:val="right"/>
              <w:rPr>
                <w:rFonts w:ascii="Calibri" w:hAnsi="Calibri"/>
                <w:sz w:val="20"/>
                <w:szCs w:val="20"/>
              </w:rPr>
            </w:pPr>
            <w:r>
              <w:rPr>
                <w:rFonts w:ascii="Calibri" w:hAnsi="Calibri"/>
                <w:sz w:val="20"/>
                <w:szCs w:val="20"/>
              </w:rPr>
              <w:t>12,852,814.19</w:t>
            </w:r>
          </w:p>
        </w:tc>
        <w:tc>
          <w:tcPr>
            <w:tcW w:w="2845" w:type="dxa"/>
            <w:vAlign w:val="center"/>
          </w:tcPr>
          <w:p w14:paraId="06CAB74A">
            <w:pPr>
              <w:snapToGrid w:val="0"/>
              <w:jc w:val="right"/>
              <w:rPr>
                <w:rFonts w:ascii="Calibri" w:hAnsi="Calibri"/>
                <w:sz w:val="20"/>
                <w:szCs w:val="20"/>
              </w:rPr>
            </w:pPr>
            <w:r>
              <w:rPr>
                <w:rFonts w:ascii="Calibri" w:hAnsi="Calibri"/>
                <w:sz w:val="20"/>
                <w:szCs w:val="20"/>
              </w:rPr>
              <w:t>44,197,024.41</w:t>
            </w:r>
          </w:p>
        </w:tc>
      </w:tr>
    </w:tbl>
    <w:p w14:paraId="614D9AED"/>
    <w:p w14:paraId="44FBF7B2">
      <w:pPr>
        <w:pStyle w:val="48"/>
      </w:pPr>
    </w:p>
    <w:bookmarkEnd w:id="277"/>
    <w:p w14:paraId="537B8984">
      <w:pPr>
        <w:pStyle w:val="4"/>
        <w:numPr>
          <w:ilvl w:val="0"/>
          <w:numId w:val="61"/>
        </w:numPr>
        <w:rPr>
          <w:szCs w:val="21"/>
        </w:rPr>
      </w:pPr>
      <w:bookmarkStart w:id="278" w:name="_Hlk533409588"/>
      <w:r>
        <w:rPr>
          <w:szCs w:val="21"/>
        </w:rPr>
        <w:t>债权投资</w:t>
      </w:r>
    </w:p>
    <w:p w14:paraId="06740C52">
      <w:pPr>
        <w:pStyle w:val="5"/>
        <w:numPr>
          <w:ilvl w:val="3"/>
          <w:numId w:val="71"/>
        </w:numPr>
        <w:ind w:left="426" w:hanging="426"/>
      </w:pPr>
      <w:bookmarkStart w:id="279" w:name="_Hlk532993723"/>
      <w:r>
        <w:rPr>
          <w:rFonts w:hint="eastAsia"/>
        </w:rPr>
        <w:t>债权投资情况</w:t>
      </w:r>
    </w:p>
    <w:sdt>
      <w:sdtPr>
        <w:alias w:val="是否适用：以摊余成本计量的长期债权投资[双击切换]"/>
        <w:tag w:val="_GBC_dbc7f90615cc46578228904cb4aa1cff"/>
        <w:id w:val="1549566710"/>
        <w:placeholder>
          <w:docPart w:val="GBC22222222222222222222222222222"/>
        </w:placeholder>
      </w:sdtPr>
      <w:sdtContent>
        <w:p w14:paraId="04C71F1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7596052">
      <w:pPr>
        <w:pStyle w:val="48"/>
      </w:pPr>
    </w:p>
    <w:p w14:paraId="63FFEAF2">
      <w:pPr>
        <w:pStyle w:val="48"/>
      </w:pPr>
      <w:bookmarkStart w:id="280" w:name="_Hlk153455457"/>
      <w:r>
        <w:rPr>
          <w:rFonts w:hint="eastAsia"/>
        </w:rPr>
        <w:t>债权投资减值准备本期变动情况</w:t>
      </w:r>
    </w:p>
    <w:sdt>
      <w:sdtPr>
        <w:alias w:val="是否适用：减值准备本期变动情况[双击切换]"/>
        <w:tag w:val="_GBC_87c0bbb5863948af834604c8aeaf814f"/>
        <w:id w:val="-1144040396"/>
        <w:placeholder>
          <w:docPart w:val="GBC22222222222222222222222222222"/>
        </w:placeholder>
      </w:sdtPr>
      <w:sdtContent>
        <w:p w14:paraId="1A6B242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EB431D">
      <w:pPr>
        <w:pStyle w:val="48"/>
      </w:pPr>
    </w:p>
    <w:bookmarkEnd w:id="280"/>
    <w:p w14:paraId="4AEF8125">
      <w:pPr>
        <w:pStyle w:val="5"/>
        <w:numPr>
          <w:ilvl w:val="3"/>
          <w:numId w:val="71"/>
        </w:numPr>
        <w:ind w:left="426" w:hanging="426"/>
      </w:pPr>
      <w:bookmarkStart w:id="281" w:name="_Hlk532994191"/>
      <w:r>
        <w:rPr>
          <w:rFonts w:hint="eastAsia"/>
        </w:rPr>
        <w:t>期末重要的债权投资</w:t>
      </w:r>
    </w:p>
    <w:sdt>
      <w:sdtPr>
        <w:alias w:val="是否适用：重要的债权投资[双击切换]"/>
        <w:tag w:val="_GBC_ca6db275ff8944c2900ec34693d6ebf6"/>
        <w:id w:val="-1088683169"/>
        <w:placeholder>
          <w:docPart w:val="GBC22222222222222222222222222222"/>
        </w:placeholder>
      </w:sdtPr>
      <w:sdtContent>
        <w:p w14:paraId="6885CFC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6E70BBA">
      <w:pPr>
        <w:pStyle w:val="48"/>
      </w:pPr>
    </w:p>
    <w:bookmarkEnd w:id="278"/>
    <w:bookmarkEnd w:id="279"/>
    <w:bookmarkEnd w:id="281"/>
    <w:p w14:paraId="7E3DA664">
      <w:pPr>
        <w:pStyle w:val="5"/>
        <w:numPr>
          <w:ilvl w:val="3"/>
          <w:numId w:val="71"/>
        </w:numPr>
        <w:ind w:left="426" w:hanging="426"/>
      </w:pPr>
      <w:bookmarkStart w:id="282" w:name="_Hlk533872317"/>
      <w:r>
        <w:rPr>
          <w:rFonts w:hint="eastAsia"/>
        </w:rPr>
        <w:t>减值准备计提情况</w:t>
      </w:r>
    </w:p>
    <w:sdt>
      <w:sdtPr>
        <w:alias w:val="是否适用：债权投资减值准备调节表[双击切换]"/>
        <w:tag w:val="_GBC_686136d6dd874d559865e7aa5dd1a835"/>
        <w:id w:val="868954954"/>
        <w:placeholder>
          <w:docPart w:val="GBC22222222222222222222222222222"/>
        </w:placeholder>
      </w:sdtPr>
      <w:sdtContent>
        <w:p w14:paraId="4E6996F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8DD19A">
      <w:pPr>
        <w:pStyle w:val="48"/>
      </w:pPr>
    </w:p>
    <w:p w14:paraId="1CD58852">
      <w:pPr>
        <w:pStyle w:val="48"/>
      </w:pPr>
    </w:p>
    <w:p w14:paraId="47FBA004">
      <w:pPr>
        <w:pStyle w:val="38"/>
      </w:pPr>
      <w:r>
        <w:rPr>
          <w:rFonts w:hint="eastAsia"/>
        </w:rPr>
        <w:t>对本期发生损失准备变动的债权投资账面余额显著变动的情况说明：</w:t>
      </w:r>
    </w:p>
    <w:sdt>
      <w:sdtPr>
        <w:alias w:val="是否适用：债权投资本期发生损失准备变动且账面余额显著变动的情况说明[双击切换]"/>
        <w:tag w:val="_GBC_5f05e251eb914f049048988a9e9168df"/>
        <w:id w:val="-352954554"/>
        <w:placeholder>
          <w:docPart w:val="GBC22222222222222222222222222222"/>
        </w:placeholder>
      </w:sdtPr>
      <w:sdtContent>
        <w:p w14:paraId="1B6FC2A6">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3D3BEA0">
      <w:pPr>
        <w:autoSpaceDE w:val="0"/>
        <w:autoSpaceDN w:val="0"/>
        <w:adjustRightInd w:val="0"/>
        <w:ind w:right="105" w:rightChars="50"/>
      </w:pPr>
    </w:p>
    <w:bookmarkEnd w:id="282"/>
    <w:p w14:paraId="7ACC80FD">
      <w:pPr>
        <w:pStyle w:val="38"/>
      </w:pPr>
      <w:r>
        <w:rPr>
          <w:rFonts w:hint="eastAsia"/>
        </w:rPr>
        <w:t>本</w:t>
      </w:r>
      <w:r>
        <w:t>期减</w:t>
      </w:r>
      <w:r>
        <w:rPr>
          <w:rFonts w:hint="eastAsia"/>
        </w:rPr>
        <w:t>值</w:t>
      </w:r>
      <w:r>
        <w:t>准备计提金额以及评估金融工具的</w:t>
      </w:r>
      <w:r>
        <w:rPr>
          <w:rFonts w:hint="eastAsia"/>
        </w:rPr>
        <w:t>信用风险是否显著增加的采用依据</w:t>
      </w:r>
    </w:p>
    <w:sdt>
      <w:sdtPr>
        <w:alias w:val="是否适用：债权投资减值准备计提金额以及评估金融工具的信用风险显著增加的采用依据[双击切换]"/>
        <w:tag w:val="_GBC_799f699e556f4272acd7681b17e4ede5"/>
        <w:id w:val="1179162207"/>
        <w:placeholder>
          <w:docPart w:val="GBC22222222222222222222222222222"/>
        </w:placeholder>
      </w:sdtPr>
      <w:sdtContent>
        <w:p w14:paraId="683EECC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53C2C19">
      <w:pPr>
        <w:pStyle w:val="48"/>
      </w:pPr>
    </w:p>
    <w:p w14:paraId="501E56D4">
      <w:pPr>
        <w:pStyle w:val="5"/>
        <w:numPr>
          <w:ilvl w:val="3"/>
          <w:numId w:val="71"/>
        </w:numPr>
        <w:ind w:left="426" w:hanging="426"/>
      </w:pPr>
      <w:bookmarkStart w:id="283" w:name="_Hlk153455555"/>
      <w:r>
        <w:rPr>
          <w:rFonts w:hint="eastAsia"/>
        </w:rPr>
        <w:t>本期实际的核销债权投资情况</w:t>
      </w:r>
    </w:p>
    <w:sdt>
      <w:sdtPr>
        <w:alias w:val="是否适用：实际核销的情况[双击切换]"/>
        <w:tag w:val="_GBC_fc91e5e5672d4b4eb2e0779a0867e84c"/>
        <w:id w:val="-756979205"/>
        <w:placeholder>
          <w:docPart w:val="GBC22222222222222222222222222222"/>
        </w:placeholder>
      </w:sdtPr>
      <w:sdtContent>
        <w:p w14:paraId="04FF50A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4B7698">
      <w:pPr>
        <w:pStyle w:val="48"/>
      </w:pPr>
    </w:p>
    <w:p w14:paraId="55BD82C1">
      <w:pPr>
        <w:pStyle w:val="48"/>
      </w:pPr>
      <w:r>
        <w:rPr>
          <w:rFonts w:hint="eastAsia"/>
        </w:rPr>
        <w:t>其中重要的债权投资</w:t>
      </w:r>
      <w:r>
        <w:t>情况</w:t>
      </w:r>
      <w:r>
        <w:rPr>
          <w:rFonts w:hint="eastAsia"/>
        </w:rPr>
        <w:t>核销情况</w:t>
      </w:r>
    </w:p>
    <w:sdt>
      <w:sdtPr>
        <w:rPr>
          <w:rFonts w:hint="eastAsia"/>
        </w:rPr>
        <w:alias w:val="是否适用：重要的核销情况[双击切换]"/>
        <w:tag w:val="_GBC_b1835377ab8f4324a0ddc492f3da304c"/>
        <w:id w:val="-316728660"/>
        <w:placeholder>
          <w:docPart w:val="GBC22222222222222222222222222222"/>
        </w:placeholder>
      </w:sdtPr>
      <w:sdtEndPr>
        <w:rPr>
          <w:rFonts w:hint="eastAsia"/>
        </w:rPr>
      </w:sdtEndPr>
      <w:sdtContent>
        <w:p w14:paraId="0BCF83D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8649BF1">
      <w:pPr>
        <w:pStyle w:val="48"/>
      </w:pPr>
    </w:p>
    <w:p w14:paraId="2F7D080C">
      <w:pPr>
        <w:snapToGrid w:val="0"/>
        <w:spacing w:line="240" w:lineRule="atLeast"/>
      </w:pPr>
      <w:r>
        <w:rPr>
          <w:rFonts w:hint="eastAsia"/>
        </w:rPr>
        <w:t>债权投资的核销说明：</w:t>
      </w:r>
    </w:p>
    <w:sdt>
      <w:sdtPr>
        <w:alias w:val="是否适用：核销说明[双击切换]"/>
        <w:tag w:val="_GBC_f135d5c946cc473182fa418ce9c408ae"/>
        <w:id w:val="1307977541"/>
        <w:placeholder>
          <w:docPart w:val="GBC22222222222222222222222222222"/>
        </w:placeholder>
      </w:sdtPr>
      <w:sdtContent>
        <w:p w14:paraId="7835A5E6">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57A05FF">
      <w:pPr>
        <w:pStyle w:val="48"/>
      </w:pPr>
    </w:p>
    <w:bookmarkEnd w:id="283"/>
    <w:p w14:paraId="65B477B8">
      <w:pPr>
        <w:pStyle w:val="48"/>
      </w:pPr>
      <w:r>
        <w:rPr>
          <w:rFonts w:hint="eastAsia"/>
        </w:rPr>
        <w:t>其他说明：</w:t>
      </w:r>
    </w:p>
    <w:sdt>
      <w:sdtPr>
        <w:alias w:val="是否适用：债权投资其他说明[双击切换]"/>
        <w:tag w:val="_GBC_17cf4c675aec4f36816c24c079df205c"/>
        <w:id w:val="-226067009"/>
        <w:placeholder>
          <w:docPart w:val="GBC22222222222222222222222222222"/>
        </w:placeholder>
      </w:sdtPr>
      <w:sdtContent>
        <w:p w14:paraId="311D0F9A">
          <w:pPr>
            <w:ind w:right="21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C960AA6">
      <w:pPr>
        <w:ind w:right="210"/>
      </w:pPr>
    </w:p>
    <w:p w14:paraId="119683C9">
      <w:pPr>
        <w:pStyle w:val="4"/>
        <w:numPr>
          <w:ilvl w:val="0"/>
          <w:numId w:val="61"/>
        </w:numPr>
        <w:rPr>
          <w:szCs w:val="21"/>
        </w:rPr>
      </w:pPr>
      <w:r>
        <w:rPr>
          <w:szCs w:val="21"/>
        </w:rPr>
        <w:t>其他债权投资</w:t>
      </w:r>
    </w:p>
    <w:p w14:paraId="20E206B3">
      <w:pPr>
        <w:pStyle w:val="5"/>
        <w:numPr>
          <w:ilvl w:val="3"/>
          <w:numId w:val="72"/>
        </w:numPr>
        <w:ind w:left="426" w:hanging="426"/>
      </w:pPr>
      <w:r>
        <w:rPr>
          <w:rFonts w:hint="eastAsia"/>
        </w:rPr>
        <w:t>其他债权投资情况</w:t>
      </w:r>
    </w:p>
    <w:sdt>
      <w:sdtPr>
        <w:alias w:val="是否适用：其他债权投资情况[双击切换]"/>
        <w:tag w:val="_GBC_23599130a9db43be881f1fb4a46d3b7e"/>
        <w:id w:val="1897461172"/>
        <w:placeholder>
          <w:docPart w:val="GBC22222222222222222222222222222"/>
        </w:placeholder>
      </w:sdtPr>
      <w:sdtContent>
        <w:p w14:paraId="0FD5ADB9">
          <w:pPr>
            <w:ind w:right="21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6ABCFDA">
      <w:pPr>
        <w:ind w:right="210"/>
      </w:pPr>
    </w:p>
    <w:p w14:paraId="3DD79A0A">
      <w:pPr>
        <w:pStyle w:val="48"/>
      </w:pPr>
      <w:bookmarkStart w:id="284" w:name="_Hlk153455695"/>
      <w:r>
        <w:rPr>
          <w:rFonts w:hint="eastAsia"/>
        </w:rPr>
        <w:t>其他债权投资减值准备本期变动情况</w:t>
      </w:r>
    </w:p>
    <w:sdt>
      <w:sdtPr>
        <w:alias w:val="是否适用：减值准备本期变动情况[双击切换]"/>
        <w:tag w:val="_GBC_3e5ec98f577f4409b379fbfcb3b1cc79"/>
        <w:id w:val="-1432119204"/>
        <w:placeholder>
          <w:docPart w:val="GBC22222222222222222222222222222"/>
        </w:placeholder>
      </w:sdtPr>
      <w:sdtContent>
        <w:p w14:paraId="3B919F6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84"/>
    <w:p w14:paraId="5CE200D3">
      <w:pPr>
        <w:pStyle w:val="48"/>
      </w:pPr>
    </w:p>
    <w:p w14:paraId="4B3062DF">
      <w:pPr>
        <w:pStyle w:val="5"/>
        <w:numPr>
          <w:ilvl w:val="3"/>
          <w:numId w:val="72"/>
        </w:numPr>
        <w:ind w:left="426" w:hanging="426"/>
      </w:pPr>
      <w:bookmarkStart w:id="285" w:name="_Hlk533848078"/>
      <w:r>
        <w:rPr>
          <w:rFonts w:hint="eastAsia"/>
        </w:rPr>
        <w:t>期末重要的其他债权投资</w:t>
      </w:r>
    </w:p>
    <w:sdt>
      <w:sdtPr>
        <w:alias w:val="是否适用：重要的其他债权投资[双击切换]"/>
        <w:tag w:val="_GBC_bb82f40f19284b2489199fbaa477b35c"/>
        <w:id w:val="1100603059"/>
        <w:placeholder>
          <w:docPart w:val="GBC22222222222222222222222222222"/>
        </w:placeholder>
      </w:sdtPr>
      <w:sdtContent>
        <w:p w14:paraId="3E251756">
          <w:pPr>
            <w:ind w:right="21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A85C031">
      <w:pPr>
        <w:ind w:right="210"/>
      </w:pPr>
    </w:p>
    <w:bookmarkEnd w:id="285"/>
    <w:p w14:paraId="252AA0EE">
      <w:pPr>
        <w:pStyle w:val="5"/>
        <w:numPr>
          <w:ilvl w:val="3"/>
          <w:numId w:val="72"/>
        </w:numPr>
        <w:ind w:left="426" w:hanging="426"/>
      </w:pPr>
      <w:bookmarkStart w:id="286" w:name="_Hlk533872678"/>
      <w:r>
        <w:rPr>
          <w:rFonts w:hint="eastAsia"/>
        </w:rPr>
        <w:t>减值准备计提情况</w:t>
      </w:r>
    </w:p>
    <w:sdt>
      <w:sdtPr>
        <w:alias w:val="是否适用：其他债权投资减值准备调节表[双击切换]"/>
        <w:tag w:val="_GBC_4fb0e145a1004885abb87d20ed68a2ed"/>
        <w:id w:val="-2065174915"/>
        <w:placeholder>
          <w:docPart w:val="GBC22222222222222222222222222222"/>
        </w:placeholder>
      </w:sdtPr>
      <w:sdtContent>
        <w:p w14:paraId="3BE7CD4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8E7481F">
      <w:pPr>
        <w:pStyle w:val="48"/>
      </w:pPr>
    </w:p>
    <w:p w14:paraId="32508EA1">
      <w:pPr>
        <w:pStyle w:val="48"/>
      </w:pPr>
    </w:p>
    <w:p w14:paraId="1C5E277E">
      <w:pPr>
        <w:pStyle w:val="38"/>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1202363936"/>
        <w:placeholder>
          <w:docPart w:val="GBC22222222222222222222222222222"/>
        </w:placeholder>
      </w:sdtPr>
      <w:sdtContent>
        <w:p w14:paraId="6925D98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2225B5E">
      <w:pPr>
        <w:pStyle w:val="48"/>
      </w:pPr>
    </w:p>
    <w:bookmarkEnd w:id="286"/>
    <w:p w14:paraId="730A60ED">
      <w:pPr>
        <w:pStyle w:val="38"/>
      </w:pPr>
      <w:bookmarkStart w:id="287" w:name="_Hlk533848073"/>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2018733354"/>
        <w:placeholder>
          <w:docPart w:val="GBC22222222222222222222222222222"/>
        </w:placeholder>
      </w:sdtPr>
      <w:sdtContent>
        <w:p w14:paraId="56E769A3">
          <w:pPr>
            <w:ind w:right="21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B0D39A6">
      <w:pPr>
        <w:ind w:right="210"/>
      </w:pPr>
    </w:p>
    <w:bookmarkEnd w:id="287"/>
    <w:p w14:paraId="6CD4DA14">
      <w:pPr>
        <w:pStyle w:val="5"/>
        <w:numPr>
          <w:ilvl w:val="3"/>
          <w:numId w:val="72"/>
        </w:numPr>
        <w:ind w:left="426" w:hanging="426"/>
      </w:pPr>
      <w:bookmarkStart w:id="288" w:name="_Hlk153456989"/>
      <w:r>
        <w:rPr>
          <w:rFonts w:hint="eastAsia"/>
        </w:rPr>
        <w:t>本期实际核销的其他债权投资情况</w:t>
      </w:r>
    </w:p>
    <w:sdt>
      <w:sdtPr>
        <w:alias w:val="是否适用：实际核销的情况[双击切换]"/>
        <w:tag w:val="_GBC_7ae85c2d27ec44faaa716fc50cbdc0bf"/>
        <w:id w:val="1315913626"/>
        <w:placeholder>
          <w:docPart w:val="GBC22222222222222222222222222222"/>
        </w:placeholder>
      </w:sdtPr>
      <w:sdtContent>
        <w:p w14:paraId="1485930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26872D1">
      <w:pPr>
        <w:pStyle w:val="48"/>
      </w:pPr>
    </w:p>
    <w:p w14:paraId="6F33D2F9">
      <w:pPr>
        <w:pStyle w:val="48"/>
      </w:pPr>
      <w:r>
        <w:rPr>
          <w:rFonts w:hint="eastAsia"/>
        </w:rPr>
        <w:t>其中重要的其他债权投资</w:t>
      </w:r>
      <w:r>
        <w:t>情况</w:t>
      </w:r>
      <w:r>
        <w:rPr>
          <w:rFonts w:hint="eastAsia"/>
        </w:rPr>
        <w:t>核销情况</w:t>
      </w:r>
    </w:p>
    <w:sdt>
      <w:sdtPr>
        <w:rPr>
          <w:rFonts w:hint="eastAsia"/>
        </w:rPr>
        <w:alias w:val="是否适用：重要的核销情况[双击切换]"/>
        <w:tag w:val="_GBC_d4c60ae51ff54b7399e4fd6edd2e8504"/>
        <w:id w:val="-764606676"/>
        <w:placeholder>
          <w:docPart w:val="GBC22222222222222222222222222222"/>
        </w:placeholder>
      </w:sdtPr>
      <w:sdtEndPr>
        <w:rPr>
          <w:rFonts w:hint="eastAsia"/>
        </w:rPr>
      </w:sdtEndPr>
      <w:sdtContent>
        <w:p w14:paraId="1D0E4ED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B60FA32">
      <w:pPr>
        <w:pStyle w:val="48"/>
      </w:pPr>
    </w:p>
    <w:p w14:paraId="30DF3F13">
      <w:pPr>
        <w:snapToGrid w:val="0"/>
        <w:spacing w:line="240" w:lineRule="atLeast"/>
      </w:pPr>
      <w:r>
        <w:rPr>
          <w:rFonts w:hint="eastAsia"/>
        </w:rPr>
        <w:t>其他债权投资的核销说明：</w:t>
      </w:r>
    </w:p>
    <w:sdt>
      <w:sdtPr>
        <w:alias w:val="是否适用：核销说明[双击切换]"/>
        <w:tag w:val="_GBC_689ae117433c459c8a9722be4d19d604"/>
        <w:id w:val="-661011846"/>
        <w:placeholder>
          <w:docPart w:val="GBC22222222222222222222222222222"/>
        </w:placeholder>
      </w:sdtPr>
      <w:sdtContent>
        <w:p w14:paraId="07AC2502">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837EBFB">
      <w:pPr>
        <w:pStyle w:val="48"/>
      </w:pPr>
    </w:p>
    <w:bookmarkEnd w:id="288"/>
    <w:p w14:paraId="26734D1A">
      <w:pPr>
        <w:pStyle w:val="48"/>
      </w:pPr>
      <w:bookmarkStart w:id="289" w:name="_Hlk533848097"/>
      <w:r>
        <w:rPr>
          <w:rFonts w:hint="eastAsia"/>
        </w:rPr>
        <w:t>其他说明：</w:t>
      </w:r>
      <w:bookmarkEnd w:id="289"/>
    </w:p>
    <w:sdt>
      <w:sdtPr>
        <w:alias w:val="是否适用：其他债权投资其他说明[双击切换]"/>
        <w:tag w:val="_GBC_ce8084fd599f45febc44624db662adaa"/>
        <w:id w:val="-526948489"/>
        <w:placeholder>
          <w:docPart w:val="GBC22222222222222222222222222222"/>
        </w:placeholder>
      </w:sdtPr>
      <w:sdtContent>
        <w:p w14:paraId="04D0ADA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10A0FA1">
      <w:pPr>
        <w:pStyle w:val="48"/>
      </w:pPr>
    </w:p>
    <w:p w14:paraId="0E473CB8">
      <w:pPr>
        <w:pStyle w:val="4"/>
        <w:numPr>
          <w:ilvl w:val="0"/>
          <w:numId w:val="61"/>
        </w:numPr>
        <w:rPr>
          <w:szCs w:val="21"/>
        </w:rPr>
      </w:pPr>
      <w:r>
        <w:rPr>
          <w:szCs w:val="21"/>
        </w:rPr>
        <w:t>长期应收款</w:t>
      </w:r>
    </w:p>
    <w:p w14:paraId="69F9A076">
      <w:pPr>
        <w:pStyle w:val="5"/>
        <w:numPr>
          <w:ilvl w:val="3"/>
          <w:numId w:val="73"/>
        </w:numPr>
        <w:ind w:left="426" w:hanging="426"/>
      </w:pPr>
      <w:r>
        <w:rPr>
          <w:rFonts w:hint="eastAsia"/>
        </w:rPr>
        <w:t>长期应收款情况</w:t>
      </w:r>
    </w:p>
    <w:sdt>
      <w:sdtPr>
        <w:alias w:val="是否适用：长期应收款情况[双击切换]"/>
        <w:tag w:val="_GBC_0c54e576828240c482e58c8a9f7cd173"/>
        <w:id w:val="1139618588"/>
        <w:placeholder>
          <w:docPart w:val="GBC22222222222222222222222222222"/>
        </w:placeholder>
      </w:sdtPr>
      <w:sdtContent>
        <w:p w14:paraId="07CA3C06">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C2D9B1C">
      <w:pPr>
        <w:pStyle w:val="48"/>
        <w:rPr>
          <w:color w:val="FF0000"/>
        </w:rPr>
      </w:pPr>
    </w:p>
    <w:p w14:paraId="7FC3C55C">
      <w:pPr>
        <w:pStyle w:val="5"/>
        <w:numPr>
          <w:ilvl w:val="3"/>
          <w:numId w:val="73"/>
        </w:numPr>
        <w:ind w:left="426" w:hanging="426"/>
      </w:pPr>
      <w:bookmarkStart w:id="290" w:name="_Hlk153457348"/>
      <w:r>
        <w:rPr>
          <w:rFonts w:hint="eastAsia"/>
        </w:rPr>
        <w:t>按坏账计提方法分类披露</w:t>
      </w:r>
    </w:p>
    <w:sdt>
      <w:sdtPr>
        <w:alias w:val="是否适用：按坏账计提方法分类披露[双击切换]"/>
        <w:tag w:val="_GBC_b88f58fcc61342f3b795c44388b6782b"/>
        <w:id w:val="-208034474"/>
        <w:placeholder>
          <w:docPart w:val="GBC22222222222222222222222222222"/>
        </w:placeholder>
      </w:sdtPr>
      <w:sdtContent>
        <w:p w14:paraId="382ACB6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4BF428">
      <w:pPr>
        <w:pStyle w:val="48"/>
      </w:pPr>
    </w:p>
    <w:p w14:paraId="52B02C51">
      <w:pPr>
        <w:pStyle w:val="48"/>
      </w:pPr>
      <w:r>
        <w:rPr>
          <w:rFonts w:hint="eastAsia"/>
        </w:rPr>
        <w:t>按单项计提坏账准备：</w:t>
      </w:r>
    </w:p>
    <w:sdt>
      <w:sdtPr>
        <w:alias w:val="是否适用：按单项计提坏账准备的详细情况[双击切换]"/>
        <w:tag w:val="_GBC_19243c464e23496a87380a02fccd7f4a"/>
        <w:id w:val="-2068794778"/>
        <w:placeholder>
          <w:docPart w:val="GBC22222222222222222222222222222"/>
        </w:placeholder>
      </w:sdtPr>
      <w:sdtContent>
        <w:p w14:paraId="478A8BE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4607AD1">
      <w:pPr>
        <w:pStyle w:val="48"/>
      </w:pPr>
    </w:p>
    <w:p w14:paraId="2E8CCF6E">
      <w:pPr>
        <w:pStyle w:val="48"/>
      </w:pPr>
      <w:r>
        <w:rPr>
          <w:rFonts w:hint="eastAsia"/>
        </w:rPr>
        <w:t>按单项计提坏账准备的说明：</w:t>
      </w:r>
    </w:p>
    <w:sdt>
      <w:sdtPr>
        <w:alias w:val="是否适用：按单项计提坏账准备的说明[双击切换]"/>
        <w:tag w:val="_GBC_ee6f2bb0912a4ff4a6aa0561400844a8"/>
        <w:id w:val="1534615229"/>
        <w:placeholder>
          <w:docPart w:val="GBC22222222222222222222222222222"/>
        </w:placeholder>
      </w:sdtPr>
      <w:sdtContent>
        <w:p w14:paraId="2EC83EB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96CA24">
      <w:pPr>
        <w:pStyle w:val="48"/>
      </w:pPr>
    </w:p>
    <w:p w14:paraId="0954E901">
      <w:pPr>
        <w:rPr>
          <w:rFonts w:ascii="Calibri" w:hAnsi="Calibri"/>
          <w:bCs/>
          <w:szCs w:val="22"/>
        </w:rPr>
      </w:pPr>
      <w:r>
        <w:rPr>
          <w:rFonts w:hint="eastAsia" w:ascii="Calibri" w:hAnsi="Calibri"/>
          <w:bCs/>
          <w:szCs w:val="22"/>
        </w:rPr>
        <w:t>按组合计提坏账准备：</w:t>
      </w:r>
    </w:p>
    <w:sdt>
      <w:sdtPr>
        <w:rPr>
          <w:rFonts w:ascii="Calibri" w:hAnsi="Calibri"/>
          <w:bCs/>
          <w:szCs w:val="22"/>
        </w:rPr>
        <w:alias w:val="是否适用：按组合计提坏账准备的详细情况[双击切换]"/>
        <w:tag w:val="_GBC_e6c71fc91a6941b5af515956aed70086"/>
        <w:id w:val="-330365753"/>
        <w:placeholder>
          <w:docPart w:val="GBC22222222222222222222222222222"/>
        </w:placeholder>
      </w:sdtPr>
      <w:sdtEndPr>
        <w:rPr>
          <w:rFonts w:ascii="Calibri" w:hAnsi="Calibri"/>
          <w:bCs/>
          <w:szCs w:val="22"/>
        </w:rPr>
      </w:sdtEndPr>
      <w:sdtContent>
        <w:p w14:paraId="1580F1B2">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318BEA73">
      <w:pPr>
        <w:pStyle w:val="48"/>
      </w:pPr>
    </w:p>
    <w:p w14:paraId="76A49349">
      <w:pPr>
        <w:rPr>
          <w:rFonts w:ascii="Calibri" w:hAnsi="Calibri"/>
          <w:b/>
          <w:bCs/>
          <w:szCs w:val="22"/>
        </w:rPr>
      </w:pPr>
    </w:p>
    <w:bookmarkEnd w:id="290"/>
    <w:p w14:paraId="55D24608">
      <w:pPr>
        <w:pStyle w:val="5"/>
        <w:numPr>
          <w:ilvl w:val="3"/>
          <w:numId w:val="73"/>
        </w:numPr>
        <w:ind w:left="426" w:hanging="426"/>
      </w:pPr>
      <w:bookmarkStart w:id="291" w:name="_Hlk533872428"/>
      <w:r>
        <w:rPr>
          <w:rFonts w:hint="eastAsia"/>
        </w:rPr>
        <w:t>按预期信用损失一般模型计提坏账准备</w:t>
      </w:r>
    </w:p>
    <w:sdt>
      <w:sdtPr>
        <w:alias w:val="是否适用：长期应收款坏账准备调节表[双击切换]"/>
        <w:tag w:val="_GBC_83c414b79fa243258be4f4c6998e475c"/>
        <w:id w:val="675148080"/>
        <w:placeholder>
          <w:docPart w:val="GBC22222222222222222222222222222"/>
        </w:placeholder>
      </w:sdtPr>
      <w:sdtContent>
        <w:p w14:paraId="3DF93B0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86E8E5E">
      <w:pPr>
        <w:pStyle w:val="48"/>
      </w:pPr>
    </w:p>
    <w:p w14:paraId="7329A101">
      <w:pPr>
        <w:pStyle w:val="48"/>
      </w:pPr>
    </w:p>
    <w:p w14:paraId="11C67F7A">
      <w:pPr>
        <w:pStyle w:val="38"/>
      </w:pPr>
      <w:r>
        <w:rPr>
          <w:rFonts w:hint="eastAsia"/>
        </w:rPr>
        <w:t>对本期发生损失准备变动的长期应收款账面余额显著变动的情况说明：</w:t>
      </w:r>
    </w:p>
    <w:sdt>
      <w:sdtPr>
        <w:alias w:val="是否适用：长期应收款本期发生损失准备变动且账面余额显著变动的情况说明[双击切换]"/>
        <w:tag w:val="_GBC_8e2c1b904a3a4c10829d424151d47109"/>
        <w:id w:val="-975217282"/>
        <w:placeholder>
          <w:docPart w:val="GBC22222222222222222222222222222"/>
        </w:placeholder>
      </w:sdtPr>
      <w:sdtContent>
        <w:p w14:paraId="2271D45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78995DC">
      <w:pPr>
        <w:pStyle w:val="48"/>
      </w:pPr>
    </w:p>
    <w:bookmarkEnd w:id="291"/>
    <w:p w14:paraId="2D594D75">
      <w:pPr>
        <w:pStyle w:val="38"/>
      </w:pPr>
      <w:r>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ceed52ae8ff44f9ca03fb80cb11f18fc"/>
        <w:id w:val="554431987"/>
        <w:placeholder>
          <w:docPart w:val="GBC22222222222222222222222222222"/>
        </w:placeholder>
      </w:sdtPr>
      <w:sdtContent>
        <w:p w14:paraId="01B2B7A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981504A">
      <w:pPr>
        <w:pStyle w:val="48"/>
      </w:pPr>
    </w:p>
    <w:p w14:paraId="51C76FAF">
      <w:pPr>
        <w:pStyle w:val="5"/>
        <w:numPr>
          <w:ilvl w:val="3"/>
          <w:numId w:val="73"/>
        </w:numPr>
        <w:ind w:left="426" w:hanging="426"/>
      </w:pPr>
      <w:bookmarkStart w:id="292" w:name="_Hlk154131356"/>
      <w:bookmarkStart w:id="293" w:name="_Hlk153457634"/>
      <w:r>
        <w:rPr>
          <w:rFonts w:hint="eastAsia"/>
        </w:rPr>
        <w:t>坏账准备的情况</w:t>
      </w:r>
    </w:p>
    <w:sdt>
      <w:sdtPr>
        <w:alias w:val="是否适用：坏账准备情况[双击切换]"/>
        <w:tag w:val="_GBC_1878fe8dd18b4d7f9eb1b263bc7833d1"/>
        <w:id w:val="870194936"/>
        <w:placeholder>
          <w:docPart w:val="GBC22222222222222222222222222222"/>
        </w:placeholder>
      </w:sdtPr>
      <w:sdtContent>
        <w:p w14:paraId="155D5D8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23FC9FB">
      <w:pPr>
        <w:pStyle w:val="48"/>
      </w:pPr>
    </w:p>
    <w:bookmarkEnd w:id="292"/>
    <w:p w14:paraId="6E4AA878">
      <w:pPr>
        <w:pStyle w:val="48"/>
      </w:pPr>
      <w:r>
        <w:rPr>
          <w:rFonts w:hint="eastAsia"/>
        </w:rPr>
        <w:t>其中本期坏账准备收回或转回金额重要的：</w:t>
      </w:r>
    </w:p>
    <w:sdt>
      <w:sdtPr>
        <w:alias w:val="是否适用：本期坏账准备收回或转回金额重要的[双击切换]"/>
        <w:tag w:val="_GBC_b4e3b5deca584587a596a753699de6b7"/>
        <w:id w:val="145940756"/>
        <w:placeholder>
          <w:docPart w:val="GBC22222222222222222222222222222"/>
        </w:placeholder>
      </w:sdtPr>
      <w:sdtContent>
        <w:p w14:paraId="3149BB0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9DE563F">
      <w:pPr>
        <w:pStyle w:val="48"/>
      </w:pPr>
    </w:p>
    <w:p w14:paraId="72325B83">
      <w:pPr>
        <w:ind w:right="-1594" w:rightChars="-759"/>
      </w:pPr>
    </w:p>
    <w:p w14:paraId="391907BA">
      <w:pPr>
        <w:pStyle w:val="5"/>
        <w:numPr>
          <w:ilvl w:val="3"/>
          <w:numId w:val="73"/>
        </w:numPr>
        <w:ind w:left="426" w:hanging="426"/>
      </w:pPr>
      <w:r>
        <w:rPr>
          <w:rFonts w:hint="eastAsia"/>
        </w:rPr>
        <w:t>本期实际核销的长期应收款情况</w:t>
      </w:r>
    </w:p>
    <w:sdt>
      <w:sdtPr>
        <w:alias w:val="是否适用：实际核销的情况[双击切换]"/>
        <w:tag w:val="_GBC_e9d4e4f95df144d1beb521844e7c35e7"/>
        <w:id w:val="765504528"/>
        <w:placeholder>
          <w:docPart w:val="GBC22222222222222222222222222222"/>
        </w:placeholder>
      </w:sdtPr>
      <w:sdtContent>
        <w:p w14:paraId="01C5C30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9AABE0D">
      <w:pPr>
        <w:pStyle w:val="48"/>
      </w:pPr>
    </w:p>
    <w:p w14:paraId="45582578">
      <w:pPr>
        <w:pStyle w:val="48"/>
      </w:pPr>
      <w:r>
        <w:rPr>
          <w:rFonts w:hint="eastAsia"/>
        </w:rPr>
        <w:t>其中重要的长期应收款核销情况</w:t>
      </w:r>
    </w:p>
    <w:sdt>
      <w:sdtPr>
        <w:rPr>
          <w:rFonts w:hint="eastAsia"/>
        </w:rPr>
        <w:alias w:val="是否适用：重要的核销情况[双击切换]"/>
        <w:tag w:val="_GBC_17fbcf123507404b9fc25df0517e3788"/>
        <w:id w:val="1744061503"/>
        <w:placeholder>
          <w:docPart w:val="GBC22222222222222222222222222222"/>
        </w:placeholder>
      </w:sdtPr>
      <w:sdtEndPr>
        <w:rPr>
          <w:rFonts w:hint="eastAsia"/>
        </w:rPr>
      </w:sdtEndPr>
      <w:sdtContent>
        <w:p w14:paraId="3C505C4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3417E6">
      <w:pPr>
        <w:pStyle w:val="48"/>
      </w:pPr>
    </w:p>
    <w:p w14:paraId="1DA85D66">
      <w:pPr>
        <w:snapToGrid w:val="0"/>
        <w:spacing w:line="240" w:lineRule="atLeast"/>
      </w:pPr>
      <w:r>
        <w:rPr>
          <w:rFonts w:hint="eastAsia"/>
        </w:rPr>
        <w:t>长期应收款核销说明：</w:t>
      </w:r>
    </w:p>
    <w:sdt>
      <w:sdtPr>
        <w:alias w:val="是否适用：核销说明[双击切换]"/>
        <w:tag w:val="_GBC_b5e2283b2a954039b963ac2506245e4d"/>
        <w:id w:val="1959534705"/>
        <w:placeholder>
          <w:docPart w:val="GBC22222222222222222222222222222"/>
        </w:placeholder>
      </w:sdtPr>
      <w:sdtContent>
        <w:p w14:paraId="2E362BA8">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CADAFEF">
      <w:pPr>
        <w:pStyle w:val="48"/>
      </w:pPr>
    </w:p>
    <w:bookmarkEnd w:id="293"/>
    <w:p w14:paraId="79F14042">
      <w:pPr>
        <w:pStyle w:val="48"/>
      </w:pPr>
      <w:r>
        <w:rPr>
          <w:rFonts w:hint="eastAsia"/>
        </w:rPr>
        <w:t>其他说明：</w:t>
      </w:r>
    </w:p>
    <w:sdt>
      <w:sdtPr>
        <w:alias w:val="是否适用：长期应收款的其他说明[双击切换]"/>
        <w:tag w:val="_GBC_374ef9a861254142b9ef8519d87eb5ac"/>
        <w:id w:val="-1538040377"/>
        <w:placeholder>
          <w:docPart w:val="GBC22222222222222222222222222222"/>
        </w:placeholder>
      </w:sdtPr>
      <w:sdtContent>
        <w:p w14:paraId="41078315">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CF0D73A">
      <w:pPr>
        <w:pStyle w:val="48"/>
        <w:sectPr>
          <w:pgSz w:w="11906" w:h="16838"/>
          <w:pgMar w:top="1440" w:right="1797" w:bottom="1525" w:left="1276" w:header="856" w:footer="992" w:gutter="0"/>
          <w:cols w:space="425" w:num="1"/>
          <w:docGrid w:linePitch="312" w:charSpace="0"/>
        </w:sectPr>
      </w:pPr>
    </w:p>
    <w:p w14:paraId="2AC03FA5">
      <w:pPr>
        <w:pStyle w:val="48"/>
      </w:pPr>
    </w:p>
    <w:p w14:paraId="1AFD50E5">
      <w:pPr>
        <w:pStyle w:val="4"/>
        <w:numPr>
          <w:ilvl w:val="0"/>
          <w:numId w:val="61"/>
        </w:numPr>
        <w:rPr>
          <w:szCs w:val="21"/>
        </w:rPr>
      </w:pPr>
      <w:r>
        <w:rPr>
          <w:szCs w:val="21"/>
        </w:rPr>
        <w:t>长期股权投资</w:t>
      </w:r>
    </w:p>
    <w:p w14:paraId="5748D67D">
      <w:pPr>
        <w:pStyle w:val="5"/>
        <w:numPr>
          <w:ilvl w:val="0"/>
          <w:numId w:val="74"/>
        </w:numPr>
      </w:pPr>
      <w:bookmarkStart w:id="294" w:name="_Hlk152856977"/>
      <w:r>
        <w:rPr>
          <w:rFonts w:hint="eastAsia"/>
        </w:rPr>
        <w:t>长期股权投资情况</w:t>
      </w:r>
    </w:p>
    <w:p w14:paraId="1AE912A9">
      <w:pPr>
        <w:pStyle w:val="48"/>
      </w:pPr>
      <w:sdt>
        <w:sdtPr>
          <w:rPr>
            <w:rFonts w:hint="eastAsia"/>
          </w:rPr>
          <w:alias w:val="是否适用：长期股权投资[双击切换]"/>
          <w:tag w:val="_GBC_94e2c461d3d34280a0a5f1e908656d3e"/>
          <w:id w:val="-718274086"/>
          <w:placeholder>
            <w:docPart w:val="GBC22222222222222222222222222222"/>
          </w:placeholder>
        </w:sdtPr>
        <w:sdtEndPr>
          <w:rPr>
            <w:rFonts w:hint="eastAsia"/>
          </w:rPr>
        </w:sdtEndPr>
        <w:sdtContent>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1FB3A40C">
      <w:pPr>
        <w:jc w:val="right"/>
      </w:pPr>
      <w:r>
        <w:rPr>
          <w:rFonts w:hint="eastAsia"/>
        </w:rPr>
        <w:t>单位：</w:t>
      </w:r>
      <w:sdt>
        <w:sdtPr>
          <w:rPr>
            <w:rFonts w:hint="eastAsia"/>
          </w:rPr>
          <w:alias w:val="单位：财务附注：长期股权投资"/>
          <w:tag w:val="_GBC_9ef1128bd666425898c1d0386f4940f0"/>
          <w:id w:val="14058808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长期股权投资"/>
          <w:tag w:val="_GBC_3839232c7f594f79a27ec799cde377b3"/>
          <w:id w:val="-7337020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294"/>
    <w:tbl>
      <w:tblPr>
        <w:tblStyle w:val="57"/>
        <w:tblW w:w="15947"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761"/>
        <w:gridCol w:w="649"/>
        <w:gridCol w:w="1417"/>
        <w:gridCol w:w="1559"/>
        <w:gridCol w:w="1418"/>
        <w:gridCol w:w="1417"/>
        <w:gridCol w:w="1560"/>
        <w:gridCol w:w="552"/>
        <w:gridCol w:w="1574"/>
        <w:gridCol w:w="1559"/>
        <w:gridCol w:w="637"/>
      </w:tblGrid>
      <w:tr w14:paraId="14B3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tag w:val="_PLD_904000e8ce384d4988e09c22d5f8f725"/>
            <w:id w:val="-362290566"/>
          </w:sdtPr>
          <w:sdtContent>
            <w:tc>
              <w:tcPr>
                <w:tcW w:w="1844" w:type="dxa"/>
                <w:vMerge w:val="restart"/>
                <w:tcBorders>
                  <w:top w:val="single" w:color="auto" w:sz="4" w:space="0"/>
                  <w:left w:val="single" w:color="auto" w:sz="4" w:space="0"/>
                  <w:right w:val="single" w:color="auto" w:sz="4" w:space="0"/>
                </w:tcBorders>
                <w:vAlign w:val="center"/>
              </w:tcPr>
              <w:p w14:paraId="1C52FBA8">
                <w:pPr>
                  <w:spacing w:line="276" w:lineRule="auto"/>
                  <w:jc w:val="center"/>
                  <w:rPr>
                    <w:rFonts w:ascii="Calibri" w:hAnsi="Calibri"/>
                    <w:sz w:val="20"/>
                    <w:szCs w:val="20"/>
                  </w:rPr>
                </w:pPr>
                <w:r>
                  <w:rPr>
                    <w:rFonts w:hint="eastAsia" w:ascii="Calibri" w:hAnsi="Calibri"/>
                    <w:sz w:val="20"/>
                    <w:szCs w:val="20"/>
                  </w:rPr>
                  <w:t>被投资单位</w:t>
                </w:r>
              </w:p>
            </w:tc>
          </w:sdtContent>
        </w:sdt>
        <w:sdt>
          <w:sdtPr>
            <w:tag w:val="_PLD_2325481f20324f949b4d5af7cfe3ea45"/>
            <w:id w:val="-701633535"/>
          </w:sdtPr>
          <w:sdtContent>
            <w:tc>
              <w:tcPr>
                <w:tcW w:w="1761" w:type="dxa"/>
                <w:vMerge w:val="restart"/>
                <w:tcBorders>
                  <w:top w:val="single" w:color="auto" w:sz="4" w:space="0"/>
                  <w:left w:val="single" w:color="auto" w:sz="4" w:space="0"/>
                  <w:right w:val="single" w:color="auto" w:sz="4" w:space="0"/>
                </w:tcBorders>
                <w:vAlign w:val="center"/>
              </w:tcPr>
              <w:p w14:paraId="7D550A90">
                <w:pPr>
                  <w:spacing w:line="276" w:lineRule="auto"/>
                  <w:jc w:val="center"/>
                  <w:rPr>
                    <w:rFonts w:ascii="Calibri" w:hAnsi="Calibri"/>
                    <w:sz w:val="20"/>
                    <w:szCs w:val="20"/>
                  </w:rPr>
                </w:pPr>
                <w:r>
                  <w:rPr>
                    <w:rFonts w:hint="eastAsia" w:ascii="Calibri" w:hAnsi="Calibri"/>
                    <w:sz w:val="20"/>
                    <w:szCs w:val="20"/>
                  </w:rPr>
                  <w:t>期初</w:t>
                </w:r>
              </w:p>
              <w:p w14:paraId="438CF208">
                <w:pPr>
                  <w:spacing w:line="276" w:lineRule="auto"/>
                  <w:jc w:val="center"/>
                  <w:rPr>
                    <w:rFonts w:ascii="Calibri" w:hAnsi="Calibri"/>
                    <w:sz w:val="20"/>
                    <w:szCs w:val="20"/>
                  </w:rPr>
                </w:pPr>
                <w:r>
                  <w:rPr>
                    <w:rFonts w:hint="eastAsia" w:ascii="Calibri" w:hAnsi="Calibri"/>
                    <w:sz w:val="20"/>
                    <w:szCs w:val="20"/>
                  </w:rPr>
                  <w:t>余额（账面价值）</w:t>
                </w:r>
              </w:p>
            </w:tc>
          </w:sdtContent>
        </w:sdt>
        <w:sdt>
          <w:sdtPr>
            <w:tag w:val="_PLD_62e0836260734d34965d8070b1a6f2dd"/>
            <w:id w:val="1618327652"/>
          </w:sdtPr>
          <w:sdtContent>
            <w:tc>
              <w:tcPr>
                <w:tcW w:w="10146" w:type="dxa"/>
                <w:gridSpan w:val="8"/>
                <w:tcBorders>
                  <w:top w:val="single" w:color="auto" w:sz="4" w:space="0"/>
                  <w:left w:val="single" w:color="auto" w:sz="4" w:space="0"/>
                  <w:bottom w:val="single" w:color="auto" w:sz="4" w:space="0"/>
                  <w:right w:val="single" w:color="auto" w:sz="4" w:space="0"/>
                </w:tcBorders>
                <w:vAlign w:val="center"/>
              </w:tcPr>
              <w:p w14:paraId="4AABBFF5">
                <w:pPr>
                  <w:spacing w:line="276" w:lineRule="auto"/>
                  <w:jc w:val="center"/>
                  <w:rPr>
                    <w:rFonts w:ascii="Calibri" w:hAnsi="Calibri"/>
                    <w:sz w:val="20"/>
                    <w:szCs w:val="20"/>
                  </w:rPr>
                </w:pPr>
                <w:r>
                  <w:rPr>
                    <w:rFonts w:hint="eastAsia" w:ascii="Calibri" w:hAnsi="Calibri"/>
                    <w:sz w:val="20"/>
                    <w:szCs w:val="20"/>
                  </w:rPr>
                  <w:t>本期增减变动</w:t>
                </w:r>
              </w:p>
            </w:tc>
          </w:sdtContent>
        </w:sdt>
        <w:sdt>
          <w:sdtPr>
            <w:tag w:val="_PLD_7b9429fc29b64f4c83eea02ed0cad7ba"/>
            <w:id w:val="1122581726"/>
          </w:sdtPr>
          <w:sdtContent>
            <w:tc>
              <w:tcPr>
                <w:tcW w:w="1559" w:type="dxa"/>
                <w:vMerge w:val="restart"/>
                <w:tcBorders>
                  <w:top w:val="single" w:color="auto" w:sz="4" w:space="0"/>
                  <w:left w:val="single" w:color="auto" w:sz="4" w:space="0"/>
                  <w:right w:val="single" w:color="auto" w:sz="4" w:space="0"/>
                </w:tcBorders>
                <w:vAlign w:val="center"/>
              </w:tcPr>
              <w:p w14:paraId="5855CD32">
                <w:pPr>
                  <w:spacing w:line="276" w:lineRule="auto"/>
                  <w:jc w:val="center"/>
                  <w:rPr>
                    <w:rFonts w:ascii="Calibri" w:hAnsi="Calibri"/>
                    <w:sz w:val="20"/>
                    <w:szCs w:val="20"/>
                  </w:rPr>
                </w:pPr>
                <w:r>
                  <w:rPr>
                    <w:rFonts w:hint="eastAsia" w:ascii="Calibri" w:hAnsi="Calibri"/>
                    <w:sz w:val="20"/>
                    <w:szCs w:val="20"/>
                  </w:rPr>
                  <w:t>期末</w:t>
                </w:r>
              </w:p>
              <w:p w14:paraId="55A4419E">
                <w:pPr>
                  <w:spacing w:line="276" w:lineRule="auto"/>
                  <w:jc w:val="center"/>
                  <w:rPr>
                    <w:rFonts w:ascii="Calibri" w:hAnsi="Calibri"/>
                    <w:sz w:val="20"/>
                    <w:szCs w:val="20"/>
                  </w:rPr>
                </w:pPr>
                <w:r>
                  <w:rPr>
                    <w:rFonts w:hint="eastAsia" w:ascii="Calibri" w:hAnsi="Calibri"/>
                    <w:sz w:val="20"/>
                    <w:szCs w:val="20"/>
                  </w:rPr>
                  <w:t>余额（账面价值）</w:t>
                </w:r>
              </w:p>
            </w:tc>
          </w:sdtContent>
        </w:sdt>
        <w:sdt>
          <w:sdtPr>
            <w:tag w:val="_PLD_79298dc466f54a239357520005d5d0d6"/>
            <w:id w:val="1363486607"/>
          </w:sdtPr>
          <w:sdtContent>
            <w:tc>
              <w:tcPr>
                <w:tcW w:w="637" w:type="dxa"/>
                <w:vMerge w:val="restart"/>
                <w:tcBorders>
                  <w:top w:val="single" w:color="auto" w:sz="4" w:space="0"/>
                  <w:left w:val="single" w:color="auto" w:sz="4" w:space="0"/>
                  <w:right w:val="single" w:color="auto" w:sz="4" w:space="0"/>
                </w:tcBorders>
                <w:vAlign w:val="center"/>
              </w:tcPr>
              <w:p w14:paraId="2D02C96F">
                <w:pPr>
                  <w:spacing w:line="276" w:lineRule="auto"/>
                  <w:jc w:val="center"/>
                  <w:rPr>
                    <w:rFonts w:ascii="Calibri" w:hAnsi="Calibri"/>
                    <w:sz w:val="20"/>
                    <w:szCs w:val="20"/>
                  </w:rPr>
                </w:pPr>
                <w:r>
                  <w:rPr>
                    <w:rFonts w:hint="eastAsia" w:ascii="Calibri" w:hAnsi="Calibri"/>
                    <w:sz w:val="20"/>
                    <w:szCs w:val="20"/>
                  </w:rPr>
                  <w:t>减值准备期末余额</w:t>
                </w:r>
              </w:p>
            </w:tc>
          </w:sdtContent>
        </w:sdt>
      </w:tr>
      <w:tr w14:paraId="1EE7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1844" w:type="dxa"/>
            <w:vMerge w:val="continue"/>
            <w:tcBorders>
              <w:left w:val="single" w:color="auto" w:sz="4" w:space="0"/>
              <w:bottom w:val="single" w:color="auto" w:sz="4" w:space="0"/>
              <w:right w:val="single" w:color="auto" w:sz="4" w:space="0"/>
            </w:tcBorders>
            <w:vAlign w:val="center"/>
          </w:tcPr>
          <w:p w14:paraId="16FDC127">
            <w:pPr>
              <w:spacing w:line="276" w:lineRule="auto"/>
              <w:jc w:val="center"/>
              <w:rPr>
                <w:rFonts w:ascii="Calibri" w:hAnsi="Calibri"/>
                <w:sz w:val="20"/>
                <w:szCs w:val="20"/>
              </w:rPr>
            </w:pPr>
          </w:p>
        </w:tc>
        <w:tc>
          <w:tcPr>
            <w:tcW w:w="1761" w:type="dxa"/>
            <w:vMerge w:val="continue"/>
            <w:tcBorders>
              <w:left w:val="single" w:color="auto" w:sz="4" w:space="0"/>
              <w:bottom w:val="single" w:color="auto" w:sz="4" w:space="0"/>
              <w:right w:val="single" w:color="auto" w:sz="4" w:space="0"/>
            </w:tcBorders>
            <w:vAlign w:val="center"/>
          </w:tcPr>
          <w:p w14:paraId="694423A7">
            <w:pPr>
              <w:spacing w:line="276" w:lineRule="auto"/>
              <w:jc w:val="center"/>
              <w:rPr>
                <w:rFonts w:ascii="Calibri" w:hAnsi="Calibri"/>
                <w:sz w:val="20"/>
                <w:szCs w:val="20"/>
              </w:rPr>
            </w:pPr>
          </w:p>
        </w:tc>
        <w:sdt>
          <w:sdtPr>
            <w:tag w:val="_PLD_32174384d8204c80ab4f8eb2ee1b7c00"/>
            <w:id w:val="-610051002"/>
          </w:sdtPr>
          <w:sdtContent>
            <w:tc>
              <w:tcPr>
                <w:tcW w:w="649" w:type="dxa"/>
                <w:tcBorders>
                  <w:top w:val="single" w:color="auto" w:sz="4" w:space="0"/>
                  <w:left w:val="single" w:color="auto" w:sz="4" w:space="0"/>
                  <w:bottom w:val="single" w:color="auto" w:sz="4" w:space="0"/>
                  <w:right w:val="single" w:color="auto" w:sz="4" w:space="0"/>
                </w:tcBorders>
                <w:vAlign w:val="center"/>
              </w:tcPr>
              <w:p w14:paraId="6503F6A3">
                <w:pPr>
                  <w:spacing w:line="276" w:lineRule="auto"/>
                  <w:jc w:val="center"/>
                  <w:rPr>
                    <w:rFonts w:ascii="Calibri" w:hAnsi="Calibri"/>
                    <w:sz w:val="20"/>
                    <w:szCs w:val="20"/>
                  </w:rPr>
                </w:pPr>
                <w:r>
                  <w:rPr>
                    <w:rFonts w:hint="eastAsia" w:ascii="Calibri" w:hAnsi="Calibri"/>
                    <w:sz w:val="20"/>
                    <w:szCs w:val="20"/>
                  </w:rPr>
                  <w:t>追加投资</w:t>
                </w:r>
              </w:p>
            </w:tc>
          </w:sdtContent>
        </w:sdt>
        <w:sdt>
          <w:sdtPr>
            <w:tag w:val="_PLD_095046b604db44b8b22c0d62f18b7d7b"/>
            <w:id w:val="1128208636"/>
          </w:sdtPr>
          <w:sdtContent>
            <w:tc>
              <w:tcPr>
                <w:tcW w:w="1417" w:type="dxa"/>
                <w:tcBorders>
                  <w:top w:val="single" w:color="auto" w:sz="4" w:space="0"/>
                  <w:left w:val="single" w:color="auto" w:sz="4" w:space="0"/>
                  <w:bottom w:val="single" w:color="auto" w:sz="4" w:space="0"/>
                  <w:right w:val="single" w:color="auto" w:sz="4" w:space="0"/>
                </w:tcBorders>
                <w:vAlign w:val="center"/>
              </w:tcPr>
              <w:p w14:paraId="46FD580B">
                <w:pPr>
                  <w:spacing w:line="276" w:lineRule="auto"/>
                  <w:jc w:val="center"/>
                  <w:rPr>
                    <w:rFonts w:ascii="Calibri" w:hAnsi="Calibri"/>
                    <w:sz w:val="20"/>
                    <w:szCs w:val="20"/>
                  </w:rPr>
                </w:pPr>
                <w:r>
                  <w:rPr>
                    <w:rFonts w:hint="eastAsia" w:ascii="Calibri" w:hAnsi="Calibri"/>
                    <w:sz w:val="20"/>
                    <w:szCs w:val="20"/>
                  </w:rPr>
                  <w:t>减少投资</w:t>
                </w:r>
              </w:p>
            </w:tc>
          </w:sdtContent>
        </w:sdt>
        <w:sdt>
          <w:sdtPr>
            <w:tag w:val="_PLD_6b1aa2f12a4b43c9acfdfe03af1b69b5"/>
            <w:id w:val="-1162692980"/>
          </w:sdtPr>
          <w:sdtContent>
            <w:tc>
              <w:tcPr>
                <w:tcW w:w="1559" w:type="dxa"/>
                <w:tcBorders>
                  <w:top w:val="single" w:color="auto" w:sz="4" w:space="0"/>
                  <w:left w:val="single" w:color="auto" w:sz="4" w:space="0"/>
                  <w:bottom w:val="single" w:color="auto" w:sz="4" w:space="0"/>
                  <w:right w:val="single" w:color="auto" w:sz="4" w:space="0"/>
                </w:tcBorders>
                <w:vAlign w:val="center"/>
              </w:tcPr>
              <w:p w14:paraId="10C85182">
                <w:pPr>
                  <w:spacing w:line="276" w:lineRule="auto"/>
                  <w:jc w:val="center"/>
                  <w:rPr>
                    <w:rFonts w:ascii="Calibri" w:hAnsi="Calibri"/>
                    <w:sz w:val="20"/>
                    <w:szCs w:val="20"/>
                  </w:rPr>
                </w:pPr>
                <w:r>
                  <w:rPr>
                    <w:rFonts w:hint="eastAsia" w:ascii="Calibri" w:hAnsi="Calibri"/>
                    <w:sz w:val="20"/>
                    <w:szCs w:val="20"/>
                  </w:rPr>
                  <w:t>权益法下确认的投资损益</w:t>
                </w:r>
              </w:p>
            </w:tc>
          </w:sdtContent>
        </w:sdt>
        <w:sdt>
          <w:sdtPr>
            <w:tag w:val="_PLD_7843f54d0d14415a8d81c3e768bcd483"/>
            <w:id w:val="-357200524"/>
          </w:sdtPr>
          <w:sdtContent>
            <w:tc>
              <w:tcPr>
                <w:tcW w:w="1418" w:type="dxa"/>
                <w:tcBorders>
                  <w:top w:val="single" w:color="auto" w:sz="4" w:space="0"/>
                  <w:left w:val="single" w:color="auto" w:sz="4" w:space="0"/>
                  <w:bottom w:val="single" w:color="auto" w:sz="4" w:space="0"/>
                  <w:right w:val="single" w:color="auto" w:sz="4" w:space="0"/>
                </w:tcBorders>
                <w:vAlign w:val="center"/>
              </w:tcPr>
              <w:p w14:paraId="2660E38A">
                <w:pPr>
                  <w:spacing w:line="276" w:lineRule="auto"/>
                  <w:jc w:val="center"/>
                  <w:rPr>
                    <w:rFonts w:ascii="Calibri" w:hAnsi="Calibri"/>
                    <w:sz w:val="20"/>
                    <w:szCs w:val="20"/>
                  </w:rPr>
                </w:pPr>
                <w:r>
                  <w:rPr>
                    <w:rFonts w:hint="eastAsia" w:ascii="Calibri" w:hAnsi="Calibri"/>
                    <w:sz w:val="20"/>
                    <w:szCs w:val="20"/>
                  </w:rPr>
                  <w:t>其他综合收益调整</w:t>
                </w:r>
              </w:p>
            </w:tc>
          </w:sdtContent>
        </w:sdt>
        <w:sdt>
          <w:sdtPr>
            <w:tag w:val="_PLD_dd698127723b4ea0815eca9ac49240a1"/>
            <w:id w:val="-329825366"/>
          </w:sdtPr>
          <w:sdtContent>
            <w:tc>
              <w:tcPr>
                <w:tcW w:w="1417" w:type="dxa"/>
                <w:tcBorders>
                  <w:top w:val="single" w:color="auto" w:sz="4" w:space="0"/>
                  <w:left w:val="single" w:color="auto" w:sz="4" w:space="0"/>
                  <w:bottom w:val="single" w:color="auto" w:sz="4" w:space="0"/>
                  <w:right w:val="single" w:color="auto" w:sz="4" w:space="0"/>
                </w:tcBorders>
                <w:vAlign w:val="center"/>
              </w:tcPr>
              <w:p w14:paraId="2B451CBC">
                <w:pPr>
                  <w:spacing w:line="276" w:lineRule="auto"/>
                  <w:jc w:val="center"/>
                  <w:rPr>
                    <w:rFonts w:ascii="Calibri" w:hAnsi="Calibri"/>
                    <w:sz w:val="20"/>
                    <w:szCs w:val="20"/>
                  </w:rPr>
                </w:pPr>
                <w:r>
                  <w:rPr>
                    <w:rFonts w:hint="eastAsia" w:ascii="Calibri" w:hAnsi="Calibri"/>
                    <w:sz w:val="20"/>
                    <w:szCs w:val="20"/>
                  </w:rPr>
                  <w:t>其他权益变动</w:t>
                </w:r>
              </w:p>
            </w:tc>
          </w:sdtContent>
        </w:sdt>
        <w:sdt>
          <w:sdtPr>
            <w:tag w:val="_PLD_6d37a876ad014b7ba59d452d3d7f5f15"/>
            <w:id w:val="603392036"/>
          </w:sdtPr>
          <w:sdtContent>
            <w:tc>
              <w:tcPr>
                <w:tcW w:w="1560" w:type="dxa"/>
                <w:tcBorders>
                  <w:top w:val="single" w:color="auto" w:sz="4" w:space="0"/>
                  <w:left w:val="single" w:color="auto" w:sz="4" w:space="0"/>
                  <w:bottom w:val="single" w:color="auto" w:sz="4" w:space="0"/>
                  <w:right w:val="single" w:color="auto" w:sz="4" w:space="0"/>
                </w:tcBorders>
                <w:vAlign w:val="center"/>
              </w:tcPr>
              <w:p w14:paraId="77A8EEA0">
                <w:pPr>
                  <w:spacing w:line="276" w:lineRule="auto"/>
                  <w:jc w:val="center"/>
                  <w:rPr>
                    <w:rFonts w:ascii="Calibri" w:hAnsi="Calibri"/>
                    <w:sz w:val="20"/>
                    <w:szCs w:val="20"/>
                  </w:rPr>
                </w:pPr>
                <w:r>
                  <w:rPr>
                    <w:rFonts w:hint="eastAsia" w:ascii="Calibri" w:hAnsi="Calibri"/>
                    <w:sz w:val="20"/>
                    <w:szCs w:val="20"/>
                  </w:rPr>
                  <w:t>宣告发放现金股利或利润</w:t>
                </w:r>
              </w:p>
            </w:tc>
          </w:sdtContent>
        </w:sdt>
        <w:sdt>
          <w:sdtPr>
            <w:tag w:val="_PLD_050d96d5e62f42b9bb4f13a2ca047503"/>
            <w:id w:val="-1588376152"/>
          </w:sdtPr>
          <w:sdtContent>
            <w:tc>
              <w:tcPr>
                <w:tcW w:w="552" w:type="dxa"/>
                <w:tcBorders>
                  <w:top w:val="single" w:color="auto" w:sz="4" w:space="0"/>
                  <w:left w:val="single" w:color="auto" w:sz="4" w:space="0"/>
                  <w:bottom w:val="single" w:color="auto" w:sz="4" w:space="0"/>
                  <w:right w:val="single" w:color="auto" w:sz="4" w:space="0"/>
                </w:tcBorders>
                <w:vAlign w:val="center"/>
              </w:tcPr>
              <w:p w14:paraId="74BD9BA6">
                <w:pPr>
                  <w:spacing w:line="276" w:lineRule="auto"/>
                  <w:jc w:val="center"/>
                  <w:rPr>
                    <w:rFonts w:ascii="Calibri" w:hAnsi="Calibri"/>
                    <w:sz w:val="20"/>
                    <w:szCs w:val="20"/>
                  </w:rPr>
                </w:pPr>
                <w:r>
                  <w:rPr>
                    <w:rFonts w:hint="eastAsia" w:ascii="Calibri" w:hAnsi="Calibri"/>
                    <w:sz w:val="20"/>
                    <w:szCs w:val="20"/>
                  </w:rPr>
                  <w:t>计提减值准备</w:t>
                </w:r>
              </w:p>
            </w:tc>
          </w:sdtContent>
        </w:sdt>
        <w:sdt>
          <w:sdtPr>
            <w:tag w:val="_PLD_add111e25b4543c48121d495919f2030"/>
            <w:id w:val="1746609915"/>
          </w:sdtPr>
          <w:sdtContent>
            <w:tc>
              <w:tcPr>
                <w:tcW w:w="1574" w:type="dxa"/>
                <w:tcBorders>
                  <w:top w:val="single" w:color="auto" w:sz="4" w:space="0"/>
                  <w:left w:val="single" w:color="auto" w:sz="4" w:space="0"/>
                  <w:bottom w:val="single" w:color="auto" w:sz="4" w:space="0"/>
                  <w:right w:val="single" w:color="auto" w:sz="4" w:space="0"/>
                </w:tcBorders>
                <w:vAlign w:val="center"/>
              </w:tcPr>
              <w:p w14:paraId="201A7D8B">
                <w:pPr>
                  <w:spacing w:line="276" w:lineRule="auto"/>
                  <w:jc w:val="center"/>
                  <w:rPr>
                    <w:rFonts w:ascii="Calibri" w:hAnsi="Calibri"/>
                    <w:sz w:val="20"/>
                    <w:szCs w:val="20"/>
                  </w:rPr>
                </w:pPr>
                <w:r>
                  <w:rPr>
                    <w:rFonts w:hint="eastAsia" w:ascii="Calibri" w:hAnsi="Calibri"/>
                    <w:sz w:val="20"/>
                    <w:szCs w:val="20"/>
                  </w:rPr>
                  <w:t>其他</w:t>
                </w:r>
              </w:p>
            </w:tc>
          </w:sdtContent>
        </w:sdt>
        <w:tc>
          <w:tcPr>
            <w:tcW w:w="1559" w:type="dxa"/>
            <w:vMerge w:val="continue"/>
            <w:tcBorders>
              <w:left w:val="single" w:color="auto" w:sz="4" w:space="0"/>
              <w:bottom w:val="single" w:color="auto" w:sz="4" w:space="0"/>
              <w:right w:val="single" w:color="auto" w:sz="4" w:space="0"/>
            </w:tcBorders>
            <w:vAlign w:val="center"/>
          </w:tcPr>
          <w:p w14:paraId="23A12A8A">
            <w:pPr>
              <w:spacing w:line="276" w:lineRule="auto"/>
              <w:jc w:val="center"/>
              <w:rPr>
                <w:rFonts w:ascii="Calibri" w:hAnsi="Calibri"/>
                <w:sz w:val="20"/>
                <w:szCs w:val="20"/>
              </w:rPr>
            </w:pPr>
          </w:p>
        </w:tc>
        <w:tc>
          <w:tcPr>
            <w:tcW w:w="637" w:type="dxa"/>
            <w:vMerge w:val="continue"/>
            <w:tcBorders>
              <w:left w:val="single" w:color="auto" w:sz="4" w:space="0"/>
              <w:bottom w:val="single" w:color="auto" w:sz="4" w:space="0"/>
              <w:right w:val="single" w:color="auto" w:sz="4" w:space="0"/>
            </w:tcBorders>
            <w:vAlign w:val="center"/>
          </w:tcPr>
          <w:p w14:paraId="63230C01">
            <w:pPr>
              <w:spacing w:line="276" w:lineRule="auto"/>
              <w:jc w:val="center"/>
              <w:rPr>
                <w:rFonts w:ascii="Calibri" w:hAnsi="Calibri"/>
                <w:sz w:val="20"/>
                <w:szCs w:val="20"/>
              </w:rPr>
            </w:pPr>
          </w:p>
        </w:tc>
      </w:tr>
      <w:tr w14:paraId="07C1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tag w:val="_PLD_2c448562bca04f23a9ec97848768cd82"/>
            <w:id w:val="-1111435221"/>
          </w:sdtPr>
          <w:sdtContent>
            <w:tc>
              <w:tcPr>
                <w:tcW w:w="15947" w:type="dxa"/>
                <w:gridSpan w:val="12"/>
                <w:tcBorders>
                  <w:top w:val="single" w:color="auto" w:sz="4" w:space="0"/>
                  <w:left w:val="single" w:color="auto" w:sz="4" w:space="0"/>
                  <w:bottom w:val="single" w:color="auto" w:sz="4" w:space="0"/>
                  <w:right w:val="single" w:color="auto" w:sz="4" w:space="0"/>
                </w:tcBorders>
                <w:vAlign w:val="center"/>
              </w:tcPr>
              <w:p w14:paraId="5FE248F1">
                <w:pPr>
                  <w:spacing w:line="276" w:lineRule="auto"/>
                  <w:rPr>
                    <w:rFonts w:ascii="Calibri" w:hAnsi="Calibri"/>
                    <w:sz w:val="20"/>
                    <w:szCs w:val="20"/>
                  </w:rPr>
                </w:pPr>
                <w:r>
                  <w:rPr>
                    <w:rFonts w:hint="eastAsia" w:ascii="Calibri" w:hAnsi="Calibri"/>
                    <w:sz w:val="20"/>
                    <w:szCs w:val="20"/>
                  </w:rPr>
                  <w:t>联营企业</w:t>
                </w:r>
              </w:p>
            </w:tc>
          </w:sdtContent>
        </w:sdt>
      </w:tr>
      <w:tr w14:paraId="7872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844" w:type="dxa"/>
            <w:tcBorders>
              <w:top w:val="single" w:color="auto" w:sz="4" w:space="0"/>
              <w:left w:val="single" w:color="auto" w:sz="4" w:space="0"/>
              <w:bottom w:val="single" w:color="auto" w:sz="4" w:space="0"/>
              <w:right w:val="single" w:color="auto" w:sz="4" w:space="0"/>
            </w:tcBorders>
            <w:vAlign w:val="center"/>
          </w:tcPr>
          <w:p w14:paraId="320F3A1D">
            <w:pPr>
              <w:spacing w:line="276" w:lineRule="auto"/>
              <w:jc w:val="both"/>
              <w:rPr>
                <w:rFonts w:ascii="Calibri" w:hAnsi="Calibri"/>
                <w:sz w:val="20"/>
                <w:szCs w:val="20"/>
              </w:rPr>
            </w:pPr>
            <w:r>
              <w:rPr>
                <w:rFonts w:ascii="Calibri" w:hAnsi="Calibri"/>
                <w:sz w:val="20"/>
                <w:szCs w:val="20"/>
              </w:rPr>
              <w:t>厦门特宝生物工程股份有限公司</w:t>
            </w:r>
          </w:p>
        </w:tc>
        <w:tc>
          <w:tcPr>
            <w:tcW w:w="1761" w:type="dxa"/>
            <w:tcBorders>
              <w:top w:val="single" w:color="auto" w:sz="4" w:space="0"/>
              <w:left w:val="single" w:color="auto" w:sz="4" w:space="0"/>
              <w:bottom w:val="single" w:color="auto" w:sz="4" w:space="0"/>
              <w:right w:val="single" w:color="auto" w:sz="4" w:space="0"/>
            </w:tcBorders>
            <w:vAlign w:val="center"/>
          </w:tcPr>
          <w:p w14:paraId="20FFF574">
            <w:pPr>
              <w:spacing w:line="276" w:lineRule="auto"/>
              <w:jc w:val="right"/>
              <w:rPr>
                <w:rFonts w:ascii="Calibri" w:hAnsi="Calibri"/>
                <w:sz w:val="20"/>
                <w:szCs w:val="20"/>
              </w:rPr>
            </w:pPr>
            <w:r>
              <w:rPr>
                <w:rFonts w:ascii="Calibri" w:hAnsi="Calibri"/>
                <w:sz w:val="20"/>
                <w:szCs w:val="20"/>
              </w:rPr>
              <w:t>409,234,300.15</w:t>
            </w:r>
          </w:p>
        </w:tc>
        <w:tc>
          <w:tcPr>
            <w:tcW w:w="649" w:type="dxa"/>
            <w:tcBorders>
              <w:top w:val="single" w:color="auto" w:sz="4" w:space="0"/>
              <w:left w:val="single" w:color="auto" w:sz="4" w:space="0"/>
              <w:bottom w:val="single" w:color="auto" w:sz="4" w:space="0"/>
              <w:right w:val="single" w:color="auto" w:sz="4" w:space="0"/>
            </w:tcBorders>
            <w:vAlign w:val="center"/>
          </w:tcPr>
          <w:p w14:paraId="1DA733D6">
            <w:pPr>
              <w:spacing w:line="276" w:lineRule="auto"/>
              <w:jc w:val="right"/>
              <w:rPr>
                <w:rFonts w:ascii="Calibri" w:hAnsi="Calibri"/>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410B11CA">
            <w:pPr>
              <w:spacing w:line="276" w:lineRule="auto"/>
              <w:jc w:val="right"/>
              <w:rPr>
                <w:rFonts w:ascii="Calibri" w:hAnsi="Calibri"/>
                <w:sz w:val="20"/>
                <w:szCs w:val="20"/>
              </w:rPr>
            </w:pPr>
            <w:r>
              <w:rPr>
                <w:rFonts w:ascii="Calibri" w:hAnsi="Calibri"/>
                <w:sz w:val="20"/>
                <w:szCs w:val="20"/>
              </w:rPr>
              <w:t>29,658,616.61</w:t>
            </w:r>
          </w:p>
        </w:tc>
        <w:tc>
          <w:tcPr>
            <w:tcW w:w="1559" w:type="dxa"/>
            <w:tcBorders>
              <w:top w:val="single" w:color="auto" w:sz="4" w:space="0"/>
              <w:left w:val="single" w:color="auto" w:sz="4" w:space="0"/>
              <w:bottom w:val="single" w:color="auto" w:sz="4" w:space="0"/>
              <w:right w:val="single" w:color="auto" w:sz="4" w:space="0"/>
            </w:tcBorders>
            <w:vAlign w:val="center"/>
          </w:tcPr>
          <w:p w14:paraId="0D900901">
            <w:pPr>
              <w:spacing w:line="276" w:lineRule="auto"/>
              <w:jc w:val="right"/>
              <w:rPr>
                <w:rFonts w:ascii="Calibri" w:hAnsi="Calibri"/>
                <w:sz w:val="20"/>
                <w:szCs w:val="20"/>
              </w:rPr>
            </w:pPr>
            <w:r>
              <w:rPr>
                <w:rFonts w:ascii="Calibri" w:hAnsi="Calibri"/>
                <w:sz w:val="20"/>
                <w:szCs w:val="20"/>
              </w:rPr>
              <w:t>130,756,823.68</w:t>
            </w:r>
          </w:p>
        </w:tc>
        <w:tc>
          <w:tcPr>
            <w:tcW w:w="1418" w:type="dxa"/>
            <w:tcBorders>
              <w:top w:val="single" w:color="auto" w:sz="4" w:space="0"/>
              <w:left w:val="single" w:color="auto" w:sz="4" w:space="0"/>
              <w:bottom w:val="single" w:color="auto" w:sz="4" w:space="0"/>
              <w:right w:val="single" w:color="auto" w:sz="4" w:space="0"/>
            </w:tcBorders>
            <w:vAlign w:val="center"/>
          </w:tcPr>
          <w:p w14:paraId="2AC0988C">
            <w:pPr>
              <w:spacing w:line="276" w:lineRule="auto"/>
              <w:jc w:val="right"/>
              <w:rPr>
                <w:rFonts w:ascii="Calibri" w:hAnsi="Calibri"/>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07A60A53">
            <w:pPr>
              <w:spacing w:line="276" w:lineRule="auto"/>
              <w:jc w:val="right"/>
              <w:rPr>
                <w:rFonts w:ascii="Calibri" w:hAnsi="Calibri"/>
                <w:sz w:val="20"/>
                <w:szCs w:val="20"/>
              </w:rPr>
            </w:pPr>
            <w:r>
              <w:rPr>
                <w:rFonts w:ascii="Calibri" w:hAnsi="Calibri"/>
                <w:sz w:val="20"/>
                <w:szCs w:val="20"/>
              </w:rPr>
              <w:t>12,534,599.90</w:t>
            </w:r>
          </w:p>
        </w:tc>
        <w:tc>
          <w:tcPr>
            <w:tcW w:w="1560" w:type="dxa"/>
            <w:tcBorders>
              <w:top w:val="single" w:color="auto" w:sz="4" w:space="0"/>
              <w:left w:val="single" w:color="auto" w:sz="4" w:space="0"/>
              <w:bottom w:val="single" w:color="auto" w:sz="4" w:space="0"/>
              <w:right w:val="single" w:color="auto" w:sz="4" w:space="0"/>
            </w:tcBorders>
            <w:vAlign w:val="center"/>
          </w:tcPr>
          <w:p w14:paraId="71F66BFD">
            <w:pPr>
              <w:spacing w:line="276" w:lineRule="auto"/>
              <w:jc w:val="right"/>
              <w:rPr>
                <w:rFonts w:ascii="Calibri" w:hAnsi="Calibri"/>
                <w:sz w:val="20"/>
                <w:szCs w:val="20"/>
              </w:rPr>
            </w:pPr>
            <w:r>
              <w:rPr>
                <w:rFonts w:ascii="Calibri" w:hAnsi="Calibri"/>
                <w:sz w:val="20"/>
                <w:szCs w:val="20"/>
              </w:rPr>
              <w:t>-40,424,070.68</w:t>
            </w:r>
          </w:p>
        </w:tc>
        <w:tc>
          <w:tcPr>
            <w:tcW w:w="552" w:type="dxa"/>
            <w:tcBorders>
              <w:top w:val="single" w:color="auto" w:sz="4" w:space="0"/>
              <w:left w:val="single" w:color="auto" w:sz="4" w:space="0"/>
              <w:bottom w:val="single" w:color="auto" w:sz="4" w:space="0"/>
              <w:right w:val="single" w:color="auto" w:sz="4" w:space="0"/>
            </w:tcBorders>
            <w:vAlign w:val="center"/>
          </w:tcPr>
          <w:p w14:paraId="0AF86CED">
            <w:pPr>
              <w:spacing w:line="276" w:lineRule="auto"/>
              <w:jc w:val="right"/>
              <w:rPr>
                <w:rFonts w:ascii="Calibri" w:hAnsi="Calibri"/>
                <w:sz w:val="20"/>
                <w:szCs w:val="20"/>
              </w:rPr>
            </w:pPr>
          </w:p>
        </w:tc>
        <w:tc>
          <w:tcPr>
            <w:tcW w:w="1574" w:type="dxa"/>
            <w:tcBorders>
              <w:top w:val="single" w:color="auto" w:sz="4" w:space="0"/>
              <w:left w:val="single" w:color="auto" w:sz="4" w:space="0"/>
              <w:bottom w:val="single" w:color="auto" w:sz="4" w:space="0"/>
              <w:right w:val="single" w:color="auto" w:sz="4" w:space="0"/>
            </w:tcBorders>
            <w:vAlign w:val="center"/>
          </w:tcPr>
          <w:p w14:paraId="219D8B0A">
            <w:pPr>
              <w:spacing w:line="276" w:lineRule="auto"/>
              <w:jc w:val="right"/>
              <w:rPr>
                <w:rFonts w:ascii="Calibri" w:hAnsi="Calibri"/>
                <w:sz w:val="20"/>
                <w:szCs w:val="20"/>
              </w:rPr>
            </w:pPr>
            <w:r>
              <w:rPr>
                <w:rFonts w:ascii="Calibri" w:hAnsi="Calibri"/>
                <w:sz w:val="20"/>
                <w:szCs w:val="20"/>
              </w:rPr>
              <w:t>-127,398,434.52</w:t>
            </w:r>
          </w:p>
        </w:tc>
        <w:tc>
          <w:tcPr>
            <w:tcW w:w="1559" w:type="dxa"/>
            <w:tcBorders>
              <w:top w:val="single" w:color="auto" w:sz="4" w:space="0"/>
              <w:left w:val="single" w:color="auto" w:sz="4" w:space="0"/>
              <w:bottom w:val="single" w:color="auto" w:sz="4" w:space="0"/>
              <w:right w:val="single" w:color="auto" w:sz="4" w:space="0"/>
            </w:tcBorders>
            <w:vAlign w:val="center"/>
          </w:tcPr>
          <w:p w14:paraId="1266720C">
            <w:pPr>
              <w:spacing w:line="276" w:lineRule="auto"/>
              <w:jc w:val="right"/>
              <w:rPr>
                <w:rFonts w:ascii="Calibri" w:hAnsi="Calibri"/>
                <w:sz w:val="20"/>
                <w:szCs w:val="20"/>
              </w:rPr>
            </w:pPr>
            <w:r>
              <w:rPr>
                <w:rFonts w:ascii="Calibri" w:hAnsi="Calibri"/>
                <w:sz w:val="20"/>
                <w:szCs w:val="20"/>
              </w:rPr>
              <w:t>355,044,601.92</w:t>
            </w:r>
          </w:p>
        </w:tc>
        <w:tc>
          <w:tcPr>
            <w:tcW w:w="637" w:type="dxa"/>
            <w:tcBorders>
              <w:top w:val="single" w:color="auto" w:sz="4" w:space="0"/>
              <w:left w:val="single" w:color="auto" w:sz="4" w:space="0"/>
              <w:bottom w:val="single" w:color="auto" w:sz="4" w:space="0"/>
              <w:right w:val="single" w:color="auto" w:sz="4" w:space="0"/>
            </w:tcBorders>
            <w:vAlign w:val="center"/>
          </w:tcPr>
          <w:p w14:paraId="44CE299D">
            <w:pPr>
              <w:spacing w:line="276" w:lineRule="auto"/>
              <w:jc w:val="right"/>
              <w:rPr>
                <w:rFonts w:ascii="Calibri" w:hAnsi="Calibri"/>
                <w:sz w:val="20"/>
                <w:szCs w:val="20"/>
              </w:rPr>
            </w:pPr>
          </w:p>
        </w:tc>
      </w:tr>
      <w:tr w14:paraId="7479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844" w:type="dxa"/>
            <w:tcBorders>
              <w:top w:val="single" w:color="auto" w:sz="4" w:space="0"/>
              <w:left w:val="single" w:color="auto" w:sz="4" w:space="0"/>
              <w:bottom w:val="single" w:color="auto" w:sz="4" w:space="0"/>
              <w:right w:val="single" w:color="auto" w:sz="4" w:space="0"/>
            </w:tcBorders>
            <w:vAlign w:val="center"/>
          </w:tcPr>
          <w:p w14:paraId="7CC0B8F9">
            <w:pPr>
              <w:spacing w:line="276" w:lineRule="auto"/>
              <w:jc w:val="both"/>
              <w:rPr>
                <w:rFonts w:ascii="Calibri" w:hAnsi="Calibri"/>
                <w:sz w:val="20"/>
                <w:szCs w:val="20"/>
              </w:rPr>
            </w:pPr>
            <w:r>
              <w:rPr>
                <w:rFonts w:ascii="Calibri" w:hAnsi="Calibri"/>
                <w:sz w:val="20"/>
                <w:szCs w:val="20"/>
              </w:rPr>
              <w:t>华广生技股份有限公司</w:t>
            </w:r>
          </w:p>
        </w:tc>
        <w:tc>
          <w:tcPr>
            <w:tcW w:w="1761" w:type="dxa"/>
            <w:tcBorders>
              <w:top w:val="single" w:color="auto" w:sz="4" w:space="0"/>
              <w:left w:val="single" w:color="auto" w:sz="4" w:space="0"/>
              <w:bottom w:val="single" w:color="auto" w:sz="4" w:space="0"/>
              <w:right w:val="single" w:color="auto" w:sz="4" w:space="0"/>
            </w:tcBorders>
            <w:vAlign w:val="center"/>
          </w:tcPr>
          <w:p w14:paraId="6900DBC3">
            <w:pPr>
              <w:spacing w:line="276" w:lineRule="auto"/>
              <w:jc w:val="right"/>
              <w:rPr>
                <w:rFonts w:ascii="Calibri" w:hAnsi="Calibri"/>
                <w:sz w:val="20"/>
                <w:szCs w:val="20"/>
              </w:rPr>
            </w:pPr>
            <w:r>
              <w:rPr>
                <w:rFonts w:ascii="Calibri" w:hAnsi="Calibri"/>
                <w:sz w:val="20"/>
                <w:szCs w:val="20"/>
              </w:rPr>
              <w:t>84,117,300.92</w:t>
            </w:r>
          </w:p>
        </w:tc>
        <w:tc>
          <w:tcPr>
            <w:tcW w:w="649" w:type="dxa"/>
            <w:tcBorders>
              <w:top w:val="single" w:color="auto" w:sz="4" w:space="0"/>
              <w:left w:val="single" w:color="auto" w:sz="4" w:space="0"/>
              <w:bottom w:val="single" w:color="auto" w:sz="4" w:space="0"/>
              <w:right w:val="single" w:color="auto" w:sz="4" w:space="0"/>
            </w:tcBorders>
            <w:vAlign w:val="center"/>
          </w:tcPr>
          <w:p w14:paraId="387DE4C0">
            <w:pPr>
              <w:spacing w:line="276" w:lineRule="auto"/>
              <w:jc w:val="right"/>
              <w:rPr>
                <w:rFonts w:ascii="Calibri" w:hAnsi="Calibri"/>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7EA6D8B9">
            <w:pPr>
              <w:spacing w:line="276" w:lineRule="auto"/>
              <w:jc w:val="right"/>
              <w:rPr>
                <w:rFonts w:ascii="Calibri" w:hAnsi="Calibri"/>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1E4129D2">
            <w:pPr>
              <w:spacing w:line="276" w:lineRule="auto"/>
              <w:jc w:val="right"/>
              <w:rPr>
                <w:rFonts w:ascii="Calibri" w:hAnsi="Calibri"/>
                <w:sz w:val="20"/>
                <w:szCs w:val="20"/>
              </w:rPr>
            </w:pPr>
            <w:r>
              <w:rPr>
                <w:rFonts w:ascii="Calibri" w:hAnsi="Calibri"/>
                <w:sz w:val="20"/>
                <w:szCs w:val="20"/>
              </w:rPr>
              <w:t>-10,810,077.12</w:t>
            </w:r>
          </w:p>
        </w:tc>
        <w:tc>
          <w:tcPr>
            <w:tcW w:w="1418" w:type="dxa"/>
            <w:tcBorders>
              <w:top w:val="single" w:color="auto" w:sz="4" w:space="0"/>
              <w:left w:val="single" w:color="auto" w:sz="4" w:space="0"/>
              <w:bottom w:val="single" w:color="auto" w:sz="4" w:space="0"/>
              <w:right w:val="single" w:color="auto" w:sz="4" w:space="0"/>
            </w:tcBorders>
            <w:vAlign w:val="center"/>
          </w:tcPr>
          <w:p w14:paraId="068961D9">
            <w:pPr>
              <w:spacing w:line="276" w:lineRule="auto"/>
              <w:jc w:val="right"/>
              <w:rPr>
                <w:rFonts w:ascii="Calibri" w:hAnsi="Calibri"/>
                <w:sz w:val="20"/>
                <w:szCs w:val="20"/>
              </w:rPr>
            </w:pPr>
            <w:r>
              <w:rPr>
                <w:rFonts w:ascii="Calibri" w:hAnsi="Calibri"/>
                <w:sz w:val="20"/>
                <w:szCs w:val="20"/>
              </w:rPr>
              <w:t>1,641,196.38</w:t>
            </w:r>
          </w:p>
        </w:tc>
        <w:tc>
          <w:tcPr>
            <w:tcW w:w="1417" w:type="dxa"/>
            <w:tcBorders>
              <w:top w:val="single" w:color="auto" w:sz="4" w:space="0"/>
              <w:left w:val="single" w:color="auto" w:sz="4" w:space="0"/>
              <w:bottom w:val="single" w:color="auto" w:sz="4" w:space="0"/>
              <w:right w:val="single" w:color="auto" w:sz="4" w:space="0"/>
            </w:tcBorders>
            <w:vAlign w:val="center"/>
          </w:tcPr>
          <w:p w14:paraId="4E9017D0">
            <w:pPr>
              <w:spacing w:line="276" w:lineRule="auto"/>
              <w:jc w:val="right"/>
              <w:rPr>
                <w:rFonts w:ascii="Calibri" w:hAnsi="Calibri"/>
                <w:sz w:val="20"/>
                <w:szCs w:val="20"/>
              </w:rPr>
            </w:pPr>
            <w:r>
              <w:rPr>
                <w:rFonts w:ascii="Calibri" w:hAnsi="Calibri"/>
                <w:sz w:val="20"/>
                <w:szCs w:val="20"/>
              </w:rPr>
              <w:t>947,581.98</w:t>
            </w:r>
          </w:p>
        </w:tc>
        <w:tc>
          <w:tcPr>
            <w:tcW w:w="1560" w:type="dxa"/>
            <w:tcBorders>
              <w:top w:val="single" w:color="auto" w:sz="4" w:space="0"/>
              <w:left w:val="single" w:color="auto" w:sz="4" w:space="0"/>
              <w:bottom w:val="single" w:color="auto" w:sz="4" w:space="0"/>
              <w:right w:val="single" w:color="auto" w:sz="4" w:space="0"/>
            </w:tcBorders>
            <w:vAlign w:val="center"/>
          </w:tcPr>
          <w:p w14:paraId="6699CF34">
            <w:pPr>
              <w:spacing w:line="276" w:lineRule="auto"/>
              <w:jc w:val="right"/>
              <w:rPr>
                <w:rFonts w:ascii="Calibri" w:hAnsi="Calibri"/>
                <w:sz w:val="20"/>
                <w:szCs w:val="20"/>
              </w:rPr>
            </w:pPr>
          </w:p>
        </w:tc>
        <w:tc>
          <w:tcPr>
            <w:tcW w:w="552" w:type="dxa"/>
            <w:tcBorders>
              <w:top w:val="single" w:color="auto" w:sz="4" w:space="0"/>
              <w:left w:val="single" w:color="auto" w:sz="4" w:space="0"/>
              <w:bottom w:val="single" w:color="auto" w:sz="4" w:space="0"/>
              <w:right w:val="single" w:color="auto" w:sz="4" w:space="0"/>
            </w:tcBorders>
            <w:vAlign w:val="center"/>
          </w:tcPr>
          <w:p w14:paraId="1AFC0285">
            <w:pPr>
              <w:spacing w:line="276" w:lineRule="auto"/>
              <w:jc w:val="right"/>
              <w:rPr>
                <w:rFonts w:ascii="Calibri" w:hAnsi="Calibri"/>
                <w:sz w:val="20"/>
                <w:szCs w:val="20"/>
              </w:rPr>
            </w:pPr>
          </w:p>
        </w:tc>
        <w:tc>
          <w:tcPr>
            <w:tcW w:w="1574" w:type="dxa"/>
            <w:tcBorders>
              <w:top w:val="single" w:color="auto" w:sz="4" w:space="0"/>
              <w:left w:val="single" w:color="auto" w:sz="4" w:space="0"/>
              <w:bottom w:val="single" w:color="auto" w:sz="4" w:space="0"/>
              <w:right w:val="single" w:color="auto" w:sz="4" w:space="0"/>
            </w:tcBorders>
            <w:vAlign w:val="center"/>
          </w:tcPr>
          <w:p w14:paraId="3E949BDA">
            <w:pPr>
              <w:spacing w:line="276" w:lineRule="auto"/>
              <w:jc w:val="right"/>
              <w:rPr>
                <w:rFonts w:ascii="Calibri" w:hAnsi="Calibri"/>
                <w:sz w:val="20"/>
                <w:szCs w:val="20"/>
              </w:rPr>
            </w:pPr>
            <w:r>
              <w:rPr>
                <w:rFonts w:ascii="Calibri" w:hAnsi="Calibri"/>
                <w:sz w:val="20"/>
                <w:szCs w:val="20"/>
              </w:rPr>
              <w:t>476,341.33</w:t>
            </w:r>
          </w:p>
        </w:tc>
        <w:tc>
          <w:tcPr>
            <w:tcW w:w="1559" w:type="dxa"/>
            <w:tcBorders>
              <w:top w:val="single" w:color="auto" w:sz="4" w:space="0"/>
              <w:left w:val="single" w:color="auto" w:sz="4" w:space="0"/>
              <w:bottom w:val="single" w:color="auto" w:sz="4" w:space="0"/>
              <w:right w:val="single" w:color="auto" w:sz="4" w:space="0"/>
            </w:tcBorders>
            <w:vAlign w:val="center"/>
          </w:tcPr>
          <w:p w14:paraId="124031C4">
            <w:pPr>
              <w:spacing w:line="276" w:lineRule="auto"/>
              <w:jc w:val="right"/>
              <w:rPr>
                <w:rFonts w:ascii="Calibri" w:hAnsi="Calibri"/>
                <w:sz w:val="20"/>
                <w:szCs w:val="20"/>
              </w:rPr>
            </w:pPr>
            <w:r>
              <w:rPr>
                <w:rFonts w:ascii="Calibri" w:hAnsi="Calibri"/>
                <w:sz w:val="20"/>
                <w:szCs w:val="20"/>
              </w:rPr>
              <w:t>76,372,343.49</w:t>
            </w:r>
          </w:p>
        </w:tc>
        <w:tc>
          <w:tcPr>
            <w:tcW w:w="637" w:type="dxa"/>
            <w:tcBorders>
              <w:top w:val="single" w:color="auto" w:sz="4" w:space="0"/>
              <w:left w:val="single" w:color="auto" w:sz="4" w:space="0"/>
              <w:bottom w:val="single" w:color="auto" w:sz="4" w:space="0"/>
              <w:right w:val="single" w:color="auto" w:sz="4" w:space="0"/>
            </w:tcBorders>
            <w:vAlign w:val="center"/>
          </w:tcPr>
          <w:p w14:paraId="6042D71D">
            <w:pPr>
              <w:spacing w:line="276" w:lineRule="auto"/>
              <w:jc w:val="right"/>
              <w:rPr>
                <w:rFonts w:ascii="Calibri" w:hAnsi="Calibri"/>
                <w:sz w:val="20"/>
                <w:szCs w:val="20"/>
              </w:rPr>
            </w:pPr>
          </w:p>
        </w:tc>
      </w:tr>
      <w:tr w14:paraId="51BE6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844" w:type="dxa"/>
            <w:tcBorders>
              <w:top w:val="single" w:color="auto" w:sz="4" w:space="0"/>
              <w:left w:val="single" w:color="auto" w:sz="4" w:space="0"/>
              <w:bottom w:val="single" w:color="auto" w:sz="4" w:space="0"/>
              <w:right w:val="single" w:color="auto" w:sz="4" w:space="0"/>
            </w:tcBorders>
            <w:vAlign w:val="center"/>
          </w:tcPr>
          <w:p w14:paraId="462ABB24">
            <w:pPr>
              <w:spacing w:line="276" w:lineRule="auto"/>
              <w:jc w:val="both"/>
              <w:rPr>
                <w:rFonts w:ascii="Calibri" w:hAnsi="Calibri"/>
                <w:sz w:val="20"/>
                <w:szCs w:val="20"/>
              </w:rPr>
            </w:pPr>
            <w:r>
              <w:rPr>
                <w:rFonts w:ascii="Calibri" w:hAnsi="Calibri"/>
                <w:sz w:val="20"/>
                <w:szCs w:val="20"/>
              </w:rPr>
              <w:t>君合盟生物制药（杭州）</w:t>
            </w:r>
            <w:r>
              <w:rPr>
                <w:rFonts w:hint="eastAsia" w:ascii="Calibri" w:hAnsi="Calibri"/>
                <w:sz w:val="20"/>
                <w:szCs w:val="20"/>
              </w:rPr>
              <w:t>股份</w:t>
            </w:r>
            <w:r>
              <w:rPr>
                <w:rFonts w:ascii="Calibri" w:hAnsi="Calibri"/>
                <w:sz w:val="20"/>
                <w:szCs w:val="20"/>
              </w:rPr>
              <w:t>有限公司</w:t>
            </w:r>
          </w:p>
        </w:tc>
        <w:tc>
          <w:tcPr>
            <w:tcW w:w="1761" w:type="dxa"/>
            <w:tcBorders>
              <w:top w:val="single" w:color="auto" w:sz="4" w:space="0"/>
              <w:left w:val="single" w:color="auto" w:sz="4" w:space="0"/>
              <w:bottom w:val="single" w:color="auto" w:sz="4" w:space="0"/>
              <w:right w:val="single" w:color="auto" w:sz="4" w:space="0"/>
            </w:tcBorders>
            <w:vAlign w:val="center"/>
          </w:tcPr>
          <w:p w14:paraId="38B3384D">
            <w:pPr>
              <w:spacing w:line="276" w:lineRule="auto"/>
              <w:jc w:val="right"/>
              <w:rPr>
                <w:rFonts w:ascii="Calibri" w:hAnsi="Calibri"/>
                <w:sz w:val="20"/>
                <w:szCs w:val="20"/>
              </w:rPr>
            </w:pPr>
            <w:r>
              <w:rPr>
                <w:rFonts w:ascii="Calibri" w:hAnsi="Calibri"/>
                <w:sz w:val="20"/>
                <w:szCs w:val="20"/>
              </w:rPr>
              <w:t>98,194,038.55</w:t>
            </w:r>
          </w:p>
        </w:tc>
        <w:tc>
          <w:tcPr>
            <w:tcW w:w="649" w:type="dxa"/>
            <w:tcBorders>
              <w:top w:val="single" w:color="auto" w:sz="4" w:space="0"/>
              <w:left w:val="single" w:color="auto" w:sz="4" w:space="0"/>
              <w:bottom w:val="single" w:color="auto" w:sz="4" w:space="0"/>
              <w:right w:val="single" w:color="auto" w:sz="4" w:space="0"/>
            </w:tcBorders>
            <w:vAlign w:val="center"/>
          </w:tcPr>
          <w:p w14:paraId="595FCEB4">
            <w:pPr>
              <w:spacing w:line="276" w:lineRule="auto"/>
              <w:jc w:val="right"/>
              <w:rPr>
                <w:rFonts w:ascii="Calibri" w:hAnsi="Calibri"/>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3AB30F02">
            <w:pPr>
              <w:spacing w:line="276" w:lineRule="auto"/>
              <w:jc w:val="right"/>
              <w:rPr>
                <w:rFonts w:ascii="Calibri" w:hAnsi="Calibri"/>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2B6E2BCA">
            <w:pPr>
              <w:spacing w:line="276" w:lineRule="auto"/>
              <w:jc w:val="right"/>
              <w:rPr>
                <w:rFonts w:ascii="Calibri" w:hAnsi="Calibri"/>
                <w:sz w:val="20"/>
                <w:szCs w:val="20"/>
              </w:rPr>
            </w:pPr>
            <w:r>
              <w:rPr>
                <w:rFonts w:ascii="Calibri" w:hAnsi="Calibri"/>
                <w:sz w:val="20"/>
                <w:szCs w:val="20"/>
              </w:rPr>
              <w:t>-40,588,514.92</w:t>
            </w:r>
          </w:p>
        </w:tc>
        <w:tc>
          <w:tcPr>
            <w:tcW w:w="1418" w:type="dxa"/>
            <w:tcBorders>
              <w:top w:val="single" w:color="auto" w:sz="4" w:space="0"/>
              <w:left w:val="single" w:color="auto" w:sz="4" w:space="0"/>
              <w:bottom w:val="single" w:color="auto" w:sz="4" w:space="0"/>
              <w:right w:val="single" w:color="auto" w:sz="4" w:space="0"/>
            </w:tcBorders>
            <w:vAlign w:val="center"/>
          </w:tcPr>
          <w:p w14:paraId="5C564779">
            <w:pPr>
              <w:spacing w:line="276" w:lineRule="auto"/>
              <w:jc w:val="right"/>
              <w:rPr>
                <w:rFonts w:ascii="Calibri" w:hAnsi="Calibri"/>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03554D6D">
            <w:pPr>
              <w:spacing w:line="276" w:lineRule="auto"/>
              <w:jc w:val="right"/>
              <w:rPr>
                <w:rFonts w:ascii="Calibri" w:hAnsi="Calibri"/>
                <w:sz w:val="20"/>
                <w:szCs w:val="20"/>
              </w:rPr>
            </w:pPr>
            <w:r>
              <w:rPr>
                <w:rFonts w:ascii="Calibri" w:hAnsi="Calibri"/>
                <w:sz w:val="20"/>
                <w:szCs w:val="20"/>
              </w:rPr>
              <w:t>11,558,473.82</w:t>
            </w:r>
          </w:p>
        </w:tc>
        <w:tc>
          <w:tcPr>
            <w:tcW w:w="1560" w:type="dxa"/>
            <w:tcBorders>
              <w:top w:val="single" w:color="auto" w:sz="4" w:space="0"/>
              <w:left w:val="single" w:color="auto" w:sz="4" w:space="0"/>
              <w:bottom w:val="single" w:color="auto" w:sz="4" w:space="0"/>
              <w:right w:val="single" w:color="auto" w:sz="4" w:space="0"/>
            </w:tcBorders>
            <w:vAlign w:val="center"/>
          </w:tcPr>
          <w:p w14:paraId="3AAD6548">
            <w:pPr>
              <w:spacing w:line="276" w:lineRule="auto"/>
              <w:jc w:val="right"/>
              <w:rPr>
                <w:rFonts w:ascii="Calibri" w:hAnsi="Calibri"/>
                <w:sz w:val="20"/>
                <w:szCs w:val="20"/>
              </w:rPr>
            </w:pPr>
          </w:p>
        </w:tc>
        <w:tc>
          <w:tcPr>
            <w:tcW w:w="552" w:type="dxa"/>
            <w:tcBorders>
              <w:top w:val="single" w:color="auto" w:sz="4" w:space="0"/>
              <w:left w:val="single" w:color="auto" w:sz="4" w:space="0"/>
              <w:bottom w:val="single" w:color="auto" w:sz="4" w:space="0"/>
              <w:right w:val="single" w:color="auto" w:sz="4" w:space="0"/>
            </w:tcBorders>
            <w:vAlign w:val="center"/>
          </w:tcPr>
          <w:p w14:paraId="2129888D">
            <w:pPr>
              <w:spacing w:line="276" w:lineRule="auto"/>
              <w:jc w:val="right"/>
              <w:rPr>
                <w:rFonts w:ascii="Calibri" w:hAnsi="Calibri"/>
                <w:sz w:val="20"/>
                <w:szCs w:val="20"/>
              </w:rPr>
            </w:pPr>
          </w:p>
        </w:tc>
        <w:tc>
          <w:tcPr>
            <w:tcW w:w="1574" w:type="dxa"/>
            <w:tcBorders>
              <w:top w:val="single" w:color="auto" w:sz="4" w:space="0"/>
              <w:left w:val="single" w:color="auto" w:sz="4" w:space="0"/>
              <w:bottom w:val="single" w:color="auto" w:sz="4" w:space="0"/>
              <w:right w:val="single" w:color="auto" w:sz="4" w:space="0"/>
            </w:tcBorders>
            <w:vAlign w:val="center"/>
          </w:tcPr>
          <w:p w14:paraId="417C32D7">
            <w:pPr>
              <w:spacing w:line="276" w:lineRule="auto"/>
              <w:jc w:val="right"/>
              <w:rPr>
                <w:rFonts w:ascii="Calibri" w:hAnsi="Calibri"/>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1838290F">
            <w:pPr>
              <w:spacing w:line="276" w:lineRule="auto"/>
              <w:jc w:val="right"/>
              <w:rPr>
                <w:rFonts w:ascii="Calibri" w:hAnsi="Calibri"/>
                <w:sz w:val="20"/>
                <w:szCs w:val="20"/>
              </w:rPr>
            </w:pPr>
            <w:r>
              <w:rPr>
                <w:rFonts w:ascii="Calibri" w:hAnsi="Calibri"/>
                <w:sz w:val="20"/>
                <w:szCs w:val="20"/>
              </w:rPr>
              <w:t>69,163,997.45</w:t>
            </w:r>
          </w:p>
        </w:tc>
        <w:tc>
          <w:tcPr>
            <w:tcW w:w="637" w:type="dxa"/>
            <w:tcBorders>
              <w:top w:val="single" w:color="auto" w:sz="4" w:space="0"/>
              <w:left w:val="single" w:color="auto" w:sz="4" w:space="0"/>
              <w:bottom w:val="single" w:color="auto" w:sz="4" w:space="0"/>
              <w:right w:val="single" w:color="auto" w:sz="4" w:space="0"/>
            </w:tcBorders>
            <w:vAlign w:val="center"/>
          </w:tcPr>
          <w:p w14:paraId="63FED7E6">
            <w:pPr>
              <w:spacing w:line="276" w:lineRule="auto"/>
              <w:jc w:val="right"/>
              <w:rPr>
                <w:rFonts w:ascii="Calibri" w:hAnsi="Calibri"/>
                <w:sz w:val="20"/>
                <w:szCs w:val="20"/>
              </w:rPr>
            </w:pPr>
          </w:p>
        </w:tc>
      </w:tr>
      <w:tr w14:paraId="3C9A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844" w:type="dxa"/>
            <w:tcBorders>
              <w:top w:val="single" w:color="auto" w:sz="4" w:space="0"/>
              <w:left w:val="single" w:color="auto" w:sz="4" w:space="0"/>
              <w:bottom w:val="single" w:color="auto" w:sz="4" w:space="0"/>
              <w:right w:val="single" w:color="auto" w:sz="4" w:space="0"/>
            </w:tcBorders>
            <w:vAlign w:val="center"/>
          </w:tcPr>
          <w:p w14:paraId="262910F6">
            <w:pPr>
              <w:spacing w:line="276" w:lineRule="auto"/>
              <w:jc w:val="center"/>
              <w:rPr>
                <w:rFonts w:ascii="Calibri" w:hAnsi="Calibri"/>
                <w:sz w:val="20"/>
                <w:szCs w:val="20"/>
              </w:rPr>
            </w:pPr>
            <w:r>
              <w:rPr>
                <w:rFonts w:hint="eastAsia" w:ascii="Calibri" w:hAnsi="Calibri"/>
                <w:sz w:val="20"/>
                <w:szCs w:val="20"/>
              </w:rPr>
              <w:t>合计</w:t>
            </w:r>
          </w:p>
        </w:tc>
        <w:tc>
          <w:tcPr>
            <w:tcW w:w="1761" w:type="dxa"/>
            <w:tcBorders>
              <w:top w:val="single" w:color="auto" w:sz="4" w:space="0"/>
              <w:left w:val="single" w:color="auto" w:sz="4" w:space="0"/>
              <w:bottom w:val="single" w:color="auto" w:sz="4" w:space="0"/>
              <w:right w:val="single" w:color="auto" w:sz="4" w:space="0"/>
            </w:tcBorders>
            <w:vAlign w:val="center"/>
          </w:tcPr>
          <w:p w14:paraId="71E934C1">
            <w:pPr>
              <w:spacing w:line="276" w:lineRule="auto"/>
              <w:jc w:val="right"/>
              <w:rPr>
                <w:rFonts w:ascii="Calibri" w:hAnsi="Calibri"/>
                <w:sz w:val="20"/>
                <w:szCs w:val="20"/>
              </w:rPr>
            </w:pPr>
            <w:r>
              <w:rPr>
                <w:rFonts w:ascii="Calibri" w:hAnsi="Calibri"/>
                <w:sz w:val="20"/>
                <w:szCs w:val="20"/>
              </w:rPr>
              <w:t>591,545,639.62</w:t>
            </w:r>
          </w:p>
        </w:tc>
        <w:tc>
          <w:tcPr>
            <w:tcW w:w="649" w:type="dxa"/>
            <w:tcBorders>
              <w:top w:val="single" w:color="auto" w:sz="4" w:space="0"/>
              <w:left w:val="single" w:color="auto" w:sz="4" w:space="0"/>
              <w:bottom w:val="single" w:color="auto" w:sz="4" w:space="0"/>
              <w:right w:val="single" w:color="auto" w:sz="4" w:space="0"/>
            </w:tcBorders>
            <w:vAlign w:val="center"/>
          </w:tcPr>
          <w:p w14:paraId="53E4AE46">
            <w:pPr>
              <w:spacing w:line="276" w:lineRule="auto"/>
              <w:jc w:val="right"/>
              <w:rPr>
                <w:rFonts w:ascii="Calibri" w:hAnsi="Calibri"/>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4D8479FE">
            <w:pPr>
              <w:spacing w:line="276" w:lineRule="auto"/>
              <w:jc w:val="right"/>
              <w:rPr>
                <w:rFonts w:ascii="Calibri" w:hAnsi="Calibri"/>
                <w:sz w:val="20"/>
                <w:szCs w:val="20"/>
              </w:rPr>
            </w:pPr>
            <w:r>
              <w:rPr>
                <w:rFonts w:ascii="Calibri" w:hAnsi="Calibri"/>
                <w:sz w:val="20"/>
                <w:szCs w:val="20"/>
              </w:rPr>
              <w:t>29,658,616.61</w:t>
            </w:r>
          </w:p>
        </w:tc>
        <w:tc>
          <w:tcPr>
            <w:tcW w:w="1559" w:type="dxa"/>
            <w:tcBorders>
              <w:top w:val="single" w:color="auto" w:sz="4" w:space="0"/>
              <w:left w:val="single" w:color="auto" w:sz="4" w:space="0"/>
              <w:bottom w:val="single" w:color="auto" w:sz="4" w:space="0"/>
              <w:right w:val="single" w:color="auto" w:sz="4" w:space="0"/>
            </w:tcBorders>
            <w:vAlign w:val="center"/>
          </w:tcPr>
          <w:p w14:paraId="1511FB8E">
            <w:pPr>
              <w:spacing w:line="276" w:lineRule="auto"/>
              <w:jc w:val="right"/>
              <w:rPr>
                <w:rFonts w:ascii="Calibri" w:hAnsi="Calibri"/>
                <w:sz w:val="20"/>
                <w:szCs w:val="20"/>
              </w:rPr>
            </w:pPr>
            <w:r>
              <w:rPr>
                <w:rFonts w:ascii="Calibri" w:hAnsi="Calibri"/>
                <w:sz w:val="20"/>
                <w:szCs w:val="20"/>
              </w:rPr>
              <w:t>79,358,231.64</w:t>
            </w:r>
          </w:p>
        </w:tc>
        <w:tc>
          <w:tcPr>
            <w:tcW w:w="1418" w:type="dxa"/>
            <w:tcBorders>
              <w:top w:val="single" w:color="auto" w:sz="4" w:space="0"/>
              <w:left w:val="single" w:color="auto" w:sz="4" w:space="0"/>
              <w:bottom w:val="single" w:color="auto" w:sz="4" w:space="0"/>
              <w:right w:val="single" w:color="auto" w:sz="4" w:space="0"/>
            </w:tcBorders>
            <w:vAlign w:val="center"/>
          </w:tcPr>
          <w:p w14:paraId="51347DB4">
            <w:pPr>
              <w:spacing w:line="276" w:lineRule="auto"/>
              <w:jc w:val="right"/>
              <w:rPr>
                <w:rFonts w:ascii="Calibri" w:hAnsi="Calibri"/>
                <w:sz w:val="20"/>
                <w:szCs w:val="20"/>
              </w:rPr>
            </w:pPr>
            <w:r>
              <w:rPr>
                <w:rFonts w:ascii="Calibri" w:hAnsi="Calibri"/>
                <w:sz w:val="20"/>
                <w:szCs w:val="20"/>
              </w:rPr>
              <w:t>1,641,196.38</w:t>
            </w:r>
          </w:p>
        </w:tc>
        <w:tc>
          <w:tcPr>
            <w:tcW w:w="1417" w:type="dxa"/>
            <w:tcBorders>
              <w:top w:val="single" w:color="auto" w:sz="4" w:space="0"/>
              <w:left w:val="single" w:color="auto" w:sz="4" w:space="0"/>
              <w:bottom w:val="single" w:color="auto" w:sz="4" w:space="0"/>
              <w:right w:val="single" w:color="auto" w:sz="4" w:space="0"/>
            </w:tcBorders>
            <w:vAlign w:val="center"/>
          </w:tcPr>
          <w:p w14:paraId="6D216041">
            <w:pPr>
              <w:spacing w:line="276" w:lineRule="auto"/>
              <w:jc w:val="right"/>
              <w:rPr>
                <w:rFonts w:ascii="Calibri" w:hAnsi="Calibri"/>
                <w:sz w:val="20"/>
                <w:szCs w:val="20"/>
              </w:rPr>
            </w:pPr>
            <w:r>
              <w:rPr>
                <w:rFonts w:ascii="Calibri" w:hAnsi="Calibri"/>
                <w:sz w:val="20"/>
                <w:szCs w:val="20"/>
              </w:rPr>
              <w:t>25,040,655.70</w:t>
            </w:r>
          </w:p>
        </w:tc>
        <w:tc>
          <w:tcPr>
            <w:tcW w:w="1560" w:type="dxa"/>
            <w:tcBorders>
              <w:top w:val="single" w:color="auto" w:sz="4" w:space="0"/>
              <w:left w:val="single" w:color="auto" w:sz="4" w:space="0"/>
              <w:bottom w:val="single" w:color="auto" w:sz="4" w:space="0"/>
              <w:right w:val="single" w:color="auto" w:sz="4" w:space="0"/>
            </w:tcBorders>
            <w:vAlign w:val="center"/>
          </w:tcPr>
          <w:p w14:paraId="67B7B88B">
            <w:pPr>
              <w:spacing w:line="276" w:lineRule="auto"/>
              <w:jc w:val="right"/>
              <w:rPr>
                <w:rFonts w:ascii="Calibri" w:hAnsi="Calibri"/>
                <w:sz w:val="20"/>
                <w:szCs w:val="20"/>
              </w:rPr>
            </w:pPr>
            <w:r>
              <w:rPr>
                <w:rFonts w:ascii="Calibri" w:hAnsi="Calibri"/>
                <w:sz w:val="20"/>
                <w:szCs w:val="20"/>
              </w:rPr>
              <w:t>-40,424,070.68</w:t>
            </w:r>
          </w:p>
        </w:tc>
        <w:tc>
          <w:tcPr>
            <w:tcW w:w="552" w:type="dxa"/>
            <w:tcBorders>
              <w:top w:val="single" w:color="auto" w:sz="4" w:space="0"/>
              <w:left w:val="single" w:color="auto" w:sz="4" w:space="0"/>
              <w:bottom w:val="single" w:color="auto" w:sz="4" w:space="0"/>
              <w:right w:val="single" w:color="auto" w:sz="4" w:space="0"/>
            </w:tcBorders>
            <w:vAlign w:val="center"/>
          </w:tcPr>
          <w:p w14:paraId="1BB8835F">
            <w:pPr>
              <w:spacing w:line="276" w:lineRule="auto"/>
              <w:jc w:val="right"/>
              <w:rPr>
                <w:rFonts w:ascii="Calibri" w:hAnsi="Calibri"/>
                <w:sz w:val="20"/>
                <w:szCs w:val="20"/>
              </w:rPr>
            </w:pPr>
          </w:p>
        </w:tc>
        <w:tc>
          <w:tcPr>
            <w:tcW w:w="1574" w:type="dxa"/>
            <w:tcBorders>
              <w:top w:val="single" w:color="auto" w:sz="4" w:space="0"/>
              <w:left w:val="single" w:color="auto" w:sz="4" w:space="0"/>
              <w:bottom w:val="single" w:color="auto" w:sz="4" w:space="0"/>
              <w:right w:val="single" w:color="auto" w:sz="4" w:space="0"/>
            </w:tcBorders>
            <w:vAlign w:val="center"/>
          </w:tcPr>
          <w:p w14:paraId="0D7FDAAF">
            <w:pPr>
              <w:spacing w:line="276" w:lineRule="auto"/>
              <w:jc w:val="right"/>
              <w:rPr>
                <w:rFonts w:ascii="Calibri" w:hAnsi="Calibri"/>
                <w:sz w:val="20"/>
                <w:szCs w:val="20"/>
              </w:rPr>
            </w:pPr>
            <w:r>
              <w:rPr>
                <w:rFonts w:ascii="Calibri" w:hAnsi="Calibri"/>
                <w:sz w:val="20"/>
                <w:szCs w:val="20"/>
              </w:rPr>
              <w:t>-126,922,093.19</w:t>
            </w:r>
          </w:p>
        </w:tc>
        <w:tc>
          <w:tcPr>
            <w:tcW w:w="1559" w:type="dxa"/>
            <w:tcBorders>
              <w:top w:val="single" w:color="auto" w:sz="4" w:space="0"/>
              <w:left w:val="single" w:color="auto" w:sz="4" w:space="0"/>
              <w:bottom w:val="single" w:color="auto" w:sz="4" w:space="0"/>
              <w:right w:val="single" w:color="auto" w:sz="4" w:space="0"/>
            </w:tcBorders>
            <w:vAlign w:val="center"/>
          </w:tcPr>
          <w:p w14:paraId="54AAB296">
            <w:pPr>
              <w:spacing w:line="276" w:lineRule="auto"/>
              <w:jc w:val="right"/>
              <w:rPr>
                <w:rFonts w:ascii="Calibri" w:hAnsi="Calibri"/>
                <w:sz w:val="20"/>
                <w:szCs w:val="20"/>
              </w:rPr>
            </w:pPr>
            <w:r>
              <w:rPr>
                <w:rFonts w:ascii="Calibri" w:hAnsi="Calibri"/>
                <w:sz w:val="20"/>
                <w:szCs w:val="20"/>
              </w:rPr>
              <w:t>500,580,942.86</w:t>
            </w:r>
          </w:p>
        </w:tc>
        <w:tc>
          <w:tcPr>
            <w:tcW w:w="637" w:type="dxa"/>
            <w:tcBorders>
              <w:top w:val="single" w:color="auto" w:sz="4" w:space="0"/>
              <w:left w:val="single" w:color="auto" w:sz="4" w:space="0"/>
              <w:bottom w:val="single" w:color="auto" w:sz="4" w:space="0"/>
              <w:right w:val="single" w:color="auto" w:sz="4" w:space="0"/>
            </w:tcBorders>
            <w:vAlign w:val="center"/>
          </w:tcPr>
          <w:p w14:paraId="2B9957F8">
            <w:pPr>
              <w:spacing w:line="276" w:lineRule="auto"/>
              <w:jc w:val="right"/>
              <w:rPr>
                <w:rFonts w:ascii="Calibri" w:hAnsi="Calibri"/>
                <w:sz w:val="20"/>
                <w:szCs w:val="20"/>
              </w:rPr>
            </w:pPr>
          </w:p>
        </w:tc>
      </w:tr>
    </w:tbl>
    <w:p w14:paraId="3139BE9E">
      <w:pPr>
        <w:spacing w:line="360" w:lineRule="auto"/>
        <w:ind w:firstLine="420" w:firstLineChars="200"/>
        <w:jc w:val="both"/>
      </w:pPr>
      <w:r>
        <w:rPr>
          <w:rFonts w:hint="eastAsia"/>
        </w:rPr>
        <w:t>1.厦门特宝生物工程股份有限公司的长期股权投资本期增减变动“其他”系公司于2025年5月22日向西藏信托有限公司转让了无限售条件流通股股份23,187,600股，占其当前总股本的5.70%，导致权益法下累计确认的投资损益和其他权益变动部分对应减少。</w:t>
      </w:r>
    </w:p>
    <w:p w14:paraId="399EF9B1">
      <w:pPr>
        <w:spacing w:line="360" w:lineRule="auto"/>
        <w:ind w:firstLine="420" w:firstLineChars="200"/>
        <w:jc w:val="both"/>
        <w:sectPr>
          <w:pgSz w:w="16838" w:h="11906" w:orient="landscape"/>
          <w:pgMar w:top="1276" w:right="1440" w:bottom="1797" w:left="1525" w:header="856" w:footer="992" w:gutter="0"/>
          <w:cols w:space="425" w:num="1"/>
          <w:docGrid w:linePitch="312" w:charSpace="0"/>
        </w:sectPr>
      </w:pPr>
      <w:r>
        <w:rPr>
          <w:rFonts w:hint="eastAsia"/>
        </w:rPr>
        <w:t>2.华广生技股份有限公司的长期股权投资本期增减变动“其他”系逆流交易产生的影响。</w:t>
      </w:r>
    </w:p>
    <w:p w14:paraId="17F8D13D">
      <w:pPr>
        <w:pStyle w:val="5"/>
        <w:numPr>
          <w:ilvl w:val="0"/>
          <w:numId w:val="74"/>
        </w:numPr>
      </w:pPr>
      <w:r>
        <w:rPr>
          <w:rFonts w:hint="eastAsia"/>
        </w:rPr>
        <w:t>长期股权投资的减值测试情况</w:t>
      </w:r>
    </w:p>
    <w:sdt>
      <w:sdtPr>
        <w:alias w:val="是否适用：减值测试情况[双击切换]"/>
        <w:tag w:val="_GBC_869bca5d4169451086ae6ff386220647"/>
        <w:id w:val="2082782055"/>
        <w:placeholder>
          <w:docPart w:val="GBC22222222222222222222222222222"/>
        </w:placeholder>
      </w:sdtPr>
      <w:sdtContent>
        <w:p w14:paraId="68DAD65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1B54D4B">
      <w:pPr>
        <w:snapToGrid w:val="0"/>
        <w:spacing w:line="240" w:lineRule="atLeast"/>
      </w:pPr>
    </w:p>
    <w:p w14:paraId="70F93F09">
      <w:pPr>
        <w:pStyle w:val="4"/>
        <w:numPr>
          <w:ilvl w:val="0"/>
          <w:numId w:val="61"/>
        </w:numPr>
        <w:rPr>
          <w:szCs w:val="21"/>
        </w:rPr>
      </w:pPr>
      <w:bookmarkStart w:id="295" w:name="_Hlk533409702"/>
      <w:bookmarkStart w:id="296" w:name="_Hlk152858292"/>
      <w:bookmarkStart w:id="297" w:name="_Hlk533409746"/>
      <w:r>
        <w:rPr>
          <w:szCs w:val="21"/>
        </w:rPr>
        <w:t>其他权益工具投资</w:t>
      </w:r>
    </w:p>
    <w:p w14:paraId="5F9201EF">
      <w:pPr>
        <w:pStyle w:val="5"/>
        <w:numPr>
          <w:ilvl w:val="3"/>
          <w:numId w:val="75"/>
        </w:numPr>
        <w:ind w:left="426" w:hanging="426"/>
      </w:pPr>
      <w:bookmarkStart w:id="298" w:name="_Hlk532994936"/>
      <w:r>
        <w:rPr>
          <w:rFonts w:hint="eastAsia"/>
        </w:rPr>
        <w:t>其他权益工具投资情况</w:t>
      </w:r>
    </w:p>
    <w:sdt>
      <w:sdtPr>
        <w:alias w:val="是否适用：其他权益工具投资情况[双击切换]"/>
        <w:tag w:val="_GBC_d086d5c38ce84090b98eac90481c97aa"/>
        <w:id w:val="-1542505168"/>
        <w:placeholder>
          <w:docPart w:val="GBC22222222222222222222222222222"/>
        </w:placeholder>
      </w:sdtPr>
      <w:sdtContent>
        <w:p w14:paraId="79D9FE5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02E91B0">
      <w:pPr>
        <w:autoSpaceDE w:val="0"/>
        <w:autoSpaceDN w:val="0"/>
        <w:adjustRightInd w:val="0"/>
        <w:ind w:left="5880" w:right="105"/>
        <w:jc w:val="right"/>
      </w:pPr>
      <w:r>
        <w:rPr>
          <w:rFonts w:hint="eastAsia"/>
        </w:rPr>
        <w:t>单位：</w:t>
      </w:r>
      <w:sdt>
        <w:sdtPr>
          <w:rPr>
            <w:rFonts w:hint="eastAsia"/>
          </w:rPr>
          <w:alias w:val="单位：其他权益工具投资情况"/>
          <w:tag w:val="_GBC_afada4c07d144e589675aeac548ff1d0"/>
          <w:id w:val="-13860228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其他权益工具投资情况"/>
          <w:tag w:val="_GBC_b0fd0da2e6914f91b6f9923463f182a5"/>
          <w:id w:val="-19383649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295"/>
    <w:bookmarkEnd w:id="296"/>
    <w:bookmarkEnd w:id="298"/>
    <w:tbl>
      <w:tblPr>
        <w:tblStyle w:val="57"/>
        <w:tblW w:w="15622"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1469"/>
        <w:gridCol w:w="1418"/>
        <w:gridCol w:w="741"/>
        <w:gridCol w:w="1397"/>
        <w:gridCol w:w="1290"/>
        <w:gridCol w:w="683"/>
        <w:gridCol w:w="1465"/>
        <w:gridCol w:w="661"/>
        <w:gridCol w:w="1417"/>
        <w:gridCol w:w="1134"/>
        <w:gridCol w:w="1730"/>
      </w:tblGrid>
      <w:tr w14:paraId="4C01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sdt>
          <w:sdtPr>
            <w:tag w:val="_PLD_0f1e4cd012be4666a6aee1d8ddb3d5fc"/>
            <w:id w:val="58604050"/>
          </w:sdtPr>
          <w:sdtContent>
            <w:tc>
              <w:tcPr>
                <w:tcW w:w="2217" w:type="dxa"/>
                <w:vMerge w:val="restart"/>
                <w:tcBorders>
                  <w:top w:val="single" w:color="auto" w:sz="4" w:space="0"/>
                  <w:left w:val="single" w:color="auto" w:sz="4" w:space="0"/>
                  <w:right w:val="single" w:color="auto" w:sz="4" w:space="0"/>
                </w:tcBorders>
                <w:vAlign w:val="center"/>
              </w:tcPr>
              <w:p w14:paraId="15E0910A">
                <w:pPr>
                  <w:spacing w:line="276" w:lineRule="auto"/>
                  <w:jc w:val="center"/>
                  <w:rPr>
                    <w:rFonts w:ascii="Calibri" w:hAnsi="Calibri"/>
                    <w:sz w:val="20"/>
                    <w:szCs w:val="20"/>
                  </w:rPr>
                </w:pPr>
                <w:r>
                  <w:rPr>
                    <w:rFonts w:hint="eastAsia" w:ascii="Calibri" w:hAnsi="Calibri"/>
                    <w:sz w:val="20"/>
                    <w:szCs w:val="20"/>
                  </w:rPr>
                  <w:t>项目</w:t>
                </w:r>
              </w:p>
            </w:tc>
          </w:sdtContent>
        </w:sdt>
        <w:sdt>
          <w:sdtPr>
            <w:tag w:val="_PLD_cd86550f752a4870b5ecfa3ace922f6d"/>
            <w:id w:val="694655642"/>
          </w:sdtPr>
          <w:sdtContent>
            <w:tc>
              <w:tcPr>
                <w:tcW w:w="1469" w:type="dxa"/>
                <w:vMerge w:val="restart"/>
                <w:tcBorders>
                  <w:top w:val="single" w:color="auto" w:sz="4" w:space="0"/>
                  <w:left w:val="single" w:color="auto" w:sz="4" w:space="0"/>
                  <w:right w:val="single" w:color="auto" w:sz="4" w:space="0"/>
                </w:tcBorders>
                <w:vAlign w:val="center"/>
              </w:tcPr>
              <w:p w14:paraId="6A2ADF07">
                <w:pPr>
                  <w:spacing w:line="276" w:lineRule="auto"/>
                  <w:jc w:val="center"/>
                  <w:rPr>
                    <w:rFonts w:ascii="Calibri" w:hAnsi="Calibri"/>
                    <w:sz w:val="20"/>
                    <w:szCs w:val="20"/>
                  </w:rPr>
                </w:pPr>
                <w:r>
                  <w:rPr>
                    <w:rFonts w:hint="eastAsia" w:ascii="Calibri" w:hAnsi="Calibri"/>
                    <w:sz w:val="20"/>
                    <w:szCs w:val="20"/>
                  </w:rPr>
                  <w:t>期初</w:t>
                </w:r>
              </w:p>
              <w:p w14:paraId="3E5D8C73">
                <w:pPr>
                  <w:spacing w:line="276" w:lineRule="auto"/>
                  <w:jc w:val="center"/>
                  <w:rPr>
                    <w:rFonts w:ascii="Calibri" w:hAnsi="Calibri"/>
                    <w:sz w:val="20"/>
                    <w:szCs w:val="20"/>
                  </w:rPr>
                </w:pPr>
                <w:r>
                  <w:rPr>
                    <w:rFonts w:hint="eastAsia" w:ascii="Calibri" w:hAnsi="Calibri"/>
                    <w:sz w:val="20"/>
                    <w:szCs w:val="20"/>
                  </w:rPr>
                  <w:t>余额</w:t>
                </w:r>
              </w:p>
            </w:tc>
          </w:sdtContent>
        </w:sdt>
        <w:sdt>
          <w:sdtPr>
            <w:tag w:val="_PLD_379e5b07c94943c082f8141e69827eb8"/>
            <w:id w:val="1677929812"/>
          </w:sdtPr>
          <w:sdtContent>
            <w:tc>
              <w:tcPr>
                <w:tcW w:w="5529" w:type="dxa"/>
                <w:gridSpan w:val="5"/>
                <w:tcBorders>
                  <w:top w:val="single" w:color="auto" w:sz="4" w:space="0"/>
                  <w:left w:val="single" w:color="auto" w:sz="4" w:space="0"/>
                  <w:bottom w:val="single" w:color="auto" w:sz="4" w:space="0"/>
                  <w:right w:val="single" w:color="auto" w:sz="4" w:space="0"/>
                </w:tcBorders>
                <w:vAlign w:val="center"/>
              </w:tcPr>
              <w:p w14:paraId="3E81A489">
                <w:pPr>
                  <w:spacing w:line="276" w:lineRule="auto"/>
                  <w:jc w:val="center"/>
                  <w:rPr>
                    <w:rFonts w:ascii="Calibri" w:hAnsi="Calibri"/>
                    <w:sz w:val="20"/>
                    <w:szCs w:val="20"/>
                  </w:rPr>
                </w:pPr>
                <w:r>
                  <w:rPr>
                    <w:rFonts w:hint="eastAsia" w:ascii="Calibri" w:hAnsi="Calibri"/>
                    <w:sz w:val="20"/>
                    <w:szCs w:val="20"/>
                  </w:rPr>
                  <w:t>本期增减变动</w:t>
                </w:r>
              </w:p>
            </w:tc>
          </w:sdtContent>
        </w:sdt>
        <w:sdt>
          <w:sdtPr>
            <w:tag w:val="_PLD_ac415aedc9c6446485bac805332ca59b"/>
            <w:id w:val="889838970"/>
          </w:sdtPr>
          <w:sdtContent>
            <w:tc>
              <w:tcPr>
                <w:tcW w:w="1465" w:type="dxa"/>
                <w:vMerge w:val="restart"/>
                <w:tcBorders>
                  <w:top w:val="single" w:color="auto" w:sz="4" w:space="0"/>
                  <w:left w:val="single" w:color="auto" w:sz="4" w:space="0"/>
                  <w:right w:val="single" w:color="auto" w:sz="4" w:space="0"/>
                </w:tcBorders>
                <w:vAlign w:val="center"/>
              </w:tcPr>
              <w:p w14:paraId="452C6D5D">
                <w:pPr>
                  <w:spacing w:line="276" w:lineRule="auto"/>
                  <w:jc w:val="center"/>
                  <w:rPr>
                    <w:rFonts w:ascii="Calibri" w:hAnsi="Calibri"/>
                    <w:sz w:val="20"/>
                    <w:szCs w:val="20"/>
                  </w:rPr>
                </w:pPr>
                <w:r>
                  <w:rPr>
                    <w:rFonts w:hint="eastAsia" w:ascii="Calibri" w:hAnsi="Calibri"/>
                    <w:sz w:val="20"/>
                    <w:szCs w:val="20"/>
                  </w:rPr>
                  <w:t>期末</w:t>
                </w:r>
              </w:p>
              <w:p w14:paraId="5395576A">
                <w:pPr>
                  <w:spacing w:line="276" w:lineRule="auto"/>
                  <w:jc w:val="center"/>
                  <w:rPr>
                    <w:rFonts w:ascii="Calibri" w:hAnsi="Calibri"/>
                    <w:sz w:val="20"/>
                    <w:szCs w:val="20"/>
                  </w:rPr>
                </w:pPr>
                <w:r>
                  <w:rPr>
                    <w:rFonts w:hint="eastAsia" w:ascii="Calibri" w:hAnsi="Calibri"/>
                    <w:sz w:val="20"/>
                    <w:szCs w:val="20"/>
                  </w:rPr>
                  <w:t>余额</w:t>
                </w:r>
              </w:p>
            </w:tc>
          </w:sdtContent>
        </w:sdt>
        <w:sdt>
          <w:sdtPr>
            <w:tag w:val="_PLD_d139f6e8adbe4eb2bd13c29bba65a2f9"/>
            <w:id w:val="101391137"/>
          </w:sdtPr>
          <w:sdtContent>
            <w:tc>
              <w:tcPr>
                <w:tcW w:w="661" w:type="dxa"/>
                <w:vMerge w:val="restart"/>
                <w:tcBorders>
                  <w:top w:val="single" w:color="auto" w:sz="4" w:space="0"/>
                  <w:left w:val="single" w:color="auto" w:sz="4" w:space="0"/>
                  <w:right w:val="single" w:color="auto" w:sz="4" w:space="0"/>
                </w:tcBorders>
                <w:vAlign w:val="center"/>
              </w:tcPr>
              <w:p w14:paraId="1FDBAF92">
                <w:pPr>
                  <w:spacing w:line="276" w:lineRule="auto"/>
                  <w:jc w:val="center"/>
                  <w:rPr>
                    <w:rFonts w:ascii="Calibri" w:hAnsi="Calibri"/>
                    <w:sz w:val="20"/>
                    <w:szCs w:val="20"/>
                  </w:rPr>
                </w:pPr>
                <w:r>
                  <w:rPr>
                    <w:rFonts w:hint="eastAsia" w:ascii="Calibri" w:hAnsi="Calibri"/>
                    <w:sz w:val="20"/>
                    <w:szCs w:val="20"/>
                  </w:rPr>
                  <w:t>本期确认的股利收入</w:t>
                </w:r>
              </w:p>
            </w:tc>
          </w:sdtContent>
        </w:sdt>
        <w:sdt>
          <w:sdtPr>
            <w:tag w:val="_PLD_0bed6b4465254f08b9b73b5b113c87f5"/>
            <w:id w:val="512809727"/>
          </w:sdtPr>
          <w:sdtContent>
            <w:tc>
              <w:tcPr>
                <w:tcW w:w="1417" w:type="dxa"/>
                <w:vMerge w:val="restart"/>
                <w:tcBorders>
                  <w:top w:val="single" w:color="auto" w:sz="4" w:space="0"/>
                  <w:left w:val="single" w:color="auto" w:sz="4" w:space="0"/>
                  <w:right w:val="single" w:color="auto" w:sz="4" w:space="0"/>
                </w:tcBorders>
                <w:vAlign w:val="center"/>
              </w:tcPr>
              <w:p w14:paraId="66701734">
                <w:pPr>
                  <w:spacing w:line="276" w:lineRule="auto"/>
                  <w:jc w:val="center"/>
                  <w:rPr>
                    <w:rFonts w:ascii="Calibri" w:hAnsi="Calibri"/>
                    <w:sz w:val="20"/>
                    <w:szCs w:val="20"/>
                  </w:rPr>
                </w:pPr>
                <w:r>
                  <w:rPr>
                    <w:rFonts w:hint="eastAsia" w:ascii="Calibri" w:hAnsi="Calibri"/>
                    <w:sz w:val="20"/>
                    <w:szCs w:val="20"/>
                  </w:rPr>
                  <w:t>累计计入其他综合收益的利得</w:t>
                </w:r>
              </w:p>
            </w:tc>
          </w:sdtContent>
        </w:sdt>
        <w:sdt>
          <w:sdtPr>
            <w:tag w:val="_PLD_e1975ba88e6f4c8d8d6ca2c971af1701"/>
            <w:id w:val="-629858517"/>
          </w:sdtPr>
          <w:sdtContent>
            <w:tc>
              <w:tcPr>
                <w:tcW w:w="1134" w:type="dxa"/>
                <w:vMerge w:val="restart"/>
                <w:tcBorders>
                  <w:top w:val="single" w:color="auto" w:sz="4" w:space="0"/>
                  <w:left w:val="single" w:color="auto" w:sz="4" w:space="0"/>
                  <w:right w:val="single" w:color="auto" w:sz="4" w:space="0"/>
                </w:tcBorders>
                <w:vAlign w:val="center"/>
              </w:tcPr>
              <w:p w14:paraId="1987F0A3">
                <w:pPr>
                  <w:spacing w:line="276" w:lineRule="auto"/>
                  <w:jc w:val="center"/>
                  <w:rPr>
                    <w:rFonts w:ascii="Calibri" w:hAnsi="Calibri"/>
                    <w:sz w:val="20"/>
                    <w:szCs w:val="20"/>
                  </w:rPr>
                </w:pPr>
                <w:r>
                  <w:rPr>
                    <w:rFonts w:hint="eastAsia" w:ascii="Calibri" w:hAnsi="Calibri"/>
                    <w:sz w:val="20"/>
                    <w:szCs w:val="20"/>
                  </w:rPr>
                  <w:t>累计计入其他综合收益的损失</w:t>
                </w:r>
              </w:p>
            </w:tc>
          </w:sdtContent>
        </w:sdt>
        <w:sdt>
          <w:sdtPr>
            <w:tag w:val="_PLD_22e80ab64b37459ebc83e5b928d25051"/>
            <w:id w:val="360630699"/>
          </w:sdtPr>
          <w:sdtContent>
            <w:tc>
              <w:tcPr>
                <w:tcW w:w="1730" w:type="dxa"/>
                <w:vMerge w:val="restart"/>
                <w:tcBorders>
                  <w:top w:val="single" w:color="auto" w:sz="4" w:space="0"/>
                  <w:left w:val="single" w:color="auto" w:sz="4" w:space="0"/>
                  <w:right w:val="single" w:color="auto" w:sz="4" w:space="0"/>
                </w:tcBorders>
                <w:vAlign w:val="center"/>
              </w:tcPr>
              <w:p w14:paraId="0885E436">
                <w:pPr>
                  <w:jc w:val="center"/>
                  <w:rPr>
                    <w:rFonts w:ascii="Calibri" w:hAnsi="Calibri"/>
                    <w:sz w:val="20"/>
                    <w:szCs w:val="20"/>
                  </w:rPr>
                </w:pPr>
                <w:r>
                  <w:rPr>
                    <w:rFonts w:hint="eastAsia" w:ascii="Calibri" w:hAnsi="Calibri"/>
                    <w:sz w:val="20"/>
                    <w:szCs w:val="20"/>
                  </w:rPr>
                  <w:t>指定为以公允价值计量且其变动计入其他综合收益的原因</w:t>
                </w:r>
              </w:p>
            </w:tc>
          </w:sdtContent>
        </w:sdt>
      </w:tr>
      <w:tr w14:paraId="6505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2217" w:type="dxa"/>
            <w:vMerge w:val="continue"/>
            <w:tcBorders>
              <w:left w:val="single" w:color="auto" w:sz="4" w:space="0"/>
              <w:bottom w:val="single" w:color="auto" w:sz="4" w:space="0"/>
              <w:right w:val="single" w:color="auto" w:sz="4" w:space="0"/>
            </w:tcBorders>
            <w:vAlign w:val="center"/>
          </w:tcPr>
          <w:p w14:paraId="40E7D6D0">
            <w:pPr>
              <w:spacing w:line="276" w:lineRule="auto"/>
              <w:jc w:val="center"/>
              <w:rPr>
                <w:rFonts w:ascii="Calibri" w:hAnsi="Calibri"/>
                <w:sz w:val="20"/>
                <w:szCs w:val="20"/>
              </w:rPr>
            </w:pPr>
          </w:p>
        </w:tc>
        <w:tc>
          <w:tcPr>
            <w:tcW w:w="1469" w:type="dxa"/>
            <w:vMerge w:val="continue"/>
            <w:tcBorders>
              <w:left w:val="single" w:color="auto" w:sz="4" w:space="0"/>
              <w:bottom w:val="single" w:color="auto" w:sz="4" w:space="0"/>
              <w:right w:val="single" w:color="auto" w:sz="4" w:space="0"/>
            </w:tcBorders>
            <w:vAlign w:val="center"/>
          </w:tcPr>
          <w:p w14:paraId="75312459">
            <w:pPr>
              <w:spacing w:line="276" w:lineRule="auto"/>
              <w:jc w:val="center"/>
              <w:rPr>
                <w:rFonts w:ascii="Calibri" w:hAnsi="Calibri"/>
                <w:sz w:val="20"/>
                <w:szCs w:val="20"/>
              </w:rPr>
            </w:pPr>
          </w:p>
        </w:tc>
        <w:sdt>
          <w:sdtPr>
            <w:tag w:val="_PLD_dcfe2e1d36cd40b9af799c21d5b8002d"/>
            <w:id w:val="378830512"/>
          </w:sdtPr>
          <w:sdtContent>
            <w:tc>
              <w:tcPr>
                <w:tcW w:w="1418" w:type="dxa"/>
                <w:tcBorders>
                  <w:top w:val="single" w:color="auto" w:sz="4" w:space="0"/>
                  <w:left w:val="single" w:color="auto" w:sz="4" w:space="0"/>
                  <w:bottom w:val="single" w:color="auto" w:sz="4" w:space="0"/>
                  <w:right w:val="single" w:color="auto" w:sz="4" w:space="0"/>
                </w:tcBorders>
                <w:vAlign w:val="center"/>
              </w:tcPr>
              <w:p w14:paraId="26115FA0">
                <w:pPr>
                  <w:spacing w:line="276" w:lineRule="auto"/>
                  <w:jc w:val="center"/>
                  <w:rPr>
                    <w:rFonts w:ascii="Calibri" w:hAnsi="Calibri"/>
                    <w:sz w:val="20"/>
                    <w:szCs w:val="20"/>
                  </w:rPr>
                </w:pPr>
                <w:r>
                  <w:rPr>
                    <w:rFonts w:hint="eastAsia" w:ascii="Calibri" w:hAnsi="Calibri"/>
                    <w:sz w:val="20"/>
                    <w:szCs w:val="20"/>
                  </w:rPr>
                  <w:t>追加投资</w:t>
                </w:r>
              </w:p>
            </w:tc>
          </w:sdtContent>
        </w:sdt>
        <w:sdt>
          <w:sdtPr>
            <w:tag w:val="_PLD_35b99bcd41834275ae207d04ef825953"/>
            <w:id w:val="2142769516"/>
          </w:sdtPr>
          <w:sdtContent>
            <w:tc>
              <w:tcPr>
                <w:tcW w:w="741" w:type="dxa"/>
                <w:tcBorders>
                  <w:top w:val="single" w:color="auto" w:sz="4" w:space="0"/>
                  <w:left w:val="single" w:color="auto" w:sz="4" w:space="0"/>
                  <w:bottom w:val="single" w:color="auto" w:sz="4" w:space="0"/>
                  <w:right w:val="single" w:color="auto" w:sz="4" w:space="0"/>
                </w:tcBorders>
                <w:vAlign w:val="center"/>
              </w:tcPr>
              <w:p w14:paraId="44E9690B">
                <w:pPr>
                  <w:spacing w:line="276" w:lineRule="auto"/>
                  <w:jc w:val="center"/>
                  <w:rPr>
                    <w:rFonts w:ascii="Calibri" w:hAnsi="Calibri"/>
                    <w:sz w:val="20"/>
                    <w:szCs w:val="20"/>
                  </w:rPr>
                </w:pPr>
                <w:r>
                  <w:rPr>
                    <w:rFonts w:hint="eastAsia" w:ascii="Calibri" w:hAnsi="Calibri"/>
                    <w:sz w:val="20"/>
                    <w:szCs w:val="20"/>
                  </w:rPr>
                  <w:t>减少投资</w:t>
                </w:r>
              </w:p>
            </w:tc>
          </w:sdtContent>
        </w:sdt>
        <w:sdt>
          <w:sdtPr>
            <w:tag w:val="_PLD_8a4bbeebcb134d688741468780d5bbd1"/>
            <w:id w:val="-1647815431"/>
          </w:sdtPr>
          <w:sdtContent>
            <w:tc>
              <w:tcPr>
                <w:tcW w:w="1397" w:type="dxa"/>
                <w:tcBorders>
                  <w:top w:val="single" w:color="auto" w:sz="4" w:space="0"/>
                  <w:left w:val="single" w:color="auto" w:sz="4" w:space="0"/>
                  <w:bottom w:val="single" w:color="auto" w:sz="4" w:space="0"/>
                  <w:right w:val="single" w:color="auto" w:sz="4" w:space="0"/>
                </w:tcBorders>
                <w:vAlign w:val="center"/>
              </w:tcPr>
              <w:p w14:paraId="33D7095B">
                <w:pPr>
                  <w:spacing w:line="276" w:lineRule="auto"/>
                  <w:jc w:val="center"/>
                  <w:rPr>
                    <w:rFonts w:ascii="Calibri" w:hAnsi="Calibri"/>
                    <w:sz w:val="20"/>
                    <w:szCs w:val="20"/>
                  </w:rPr>
                </w:pPr>
                <w:r>
                  <w:rPr>
                    <w:rFonts w:hint="eastAsia" w:ascii="Calibri" w:hAnsi="Calibri"/>
                    <w:sz w:val="20"/>
                    <w:szCs w:val="20"/>
                  </w:rPr>
                  <w:t>本期计入其他综合收益的利得</w:t>
                </w:r>
              </w:p>
            </w:tc>
          </w:sdtContent>
        </w:sdt>
        <w:sdt>
          <w:sdtPr>
            <w:tag w:val="_PLD_34c6f06bd6ce4dec84766a6723567bb2"/>
            <w:id w:val="978349996"/>
          </w:sdtPr>
          <w:sdtContent>
            <w:tc>
              <w:tcPr>
                <w:tcW w:w="1290" w:type="dxa"/>
                <w:tcBorders>
                  <w:top w:val="single" w:color="auto" w:sz="4" w:space="0"/>
                  <w:left w:val="single" w:color="auto" w:sz="4" w:space="0"/>
                  <w:bottom w:val="single" w:color="auto" w:sz="4" w:space="0"/>
                  <w:right w:val="single" w:color="auto" w:sz="4" w:space="0"/>
                </w:tcBorders>
                <w:vAlign w:val="center"/>
              </w:tcPr>
              <w:p w14:paraId="3F618076">
                <w:pPr>
                  <w:spacing w:line="276" w:lineRule="auto"/>
                  <w:jc w:val="center"/>
                  <w:rPr>
                    <w:rFonts w:ascii="Calibri" w:hAnsi="Calibri"/>
                    <w:sz w:val="20"/>
                    <w:szCs w:val="20"/>
                  </w:rPr>
                </w:pPr>
                <w:r>
                  <w:rPr>
                    <w:rFonts w:hint="eastAsia" w:ascii="Calibri" w:hAnsi="Calibri"/>
                    <w:sz w:val="20"/>
                    <w:szCs w:val="20"/>
                  </w:rPr>
                  <w:t>本期计入其他综合收益的损失</w:t>
                </w:r>
              </w:p>
            </w:tc>
          </w:sdtContent>
        </w:sdt>
        <w:sdt>
          <w:sdtPr>
            <w:tag w:val="_PLD_10fb3a2b23634dbcb6ec64725618b767"/>
            <w:id w:val="1991912106"/>
          </w:sdtPr>
          <w:sdtContent>
            <w:tc>
              <w:tcPr>
                <w:tcW w:w="683" w:type="dxa"/>
                <w:tcBorders>
                  <w:left w:val="single" w:color="auto" w:sz="4" w:space="0"/>
                  <w:bottom w:val="single" w:color="auto" w:sz="4" w:space="0"/>
                  <w:right w:val="single" w:color="auto" w:sz="4" w:space="0"/>
                </w:tcBorders>
                <w:vAlign w:val="center"/>
              </w:tcPr>
              <w:p w14:paraId="25C464C2">
                <w:pPr>
                  <w:spacing w:line="276" w:lineRule="auto"/>
                  <w:jc w:val="center"/>
                  <w:rPr>
                    <w:rFonts w:ascii="Calibri" w:hAnsi="Calibri"/>
                    <w:sz w:val="20"/>
                    <w:szCs w:val="20"/>
                  </w:rPr>
                </w:pPr>
                <w:r>
                  <w:rPr>
                    <w:rFonts w:hint="eastAsia" w:ascii="Calibri" w:hAnsi="Calibri"/>
                    <w:sz w:val="20"/>
                    <w:szCs w:val="20"/>
                  </w:rPr>
                  <w:t>其他</w:t>
                </w:r>
              </w:p>
            </w:tc>
          </w:sdtContent>
        </w:sdt>
        <w:tc>
          <w:tcPr>
            <w:tcW w:w="1465" w:type="dxa"/>
            <w:vMerge w:val="continue"/>
            <w:tcBorders>
              <w:left w:val="single" w:color="auto" w:sz="4" w:space="0"/>
              <w:bottom w:val="single" w:color="auto" w:sz="4" w:space="0"/>
              <w:right w:val="single" w:color="auto" w:sz="4" w:space="0"/>
            </w:tcBorders>
            <w:vAlign w:val="center"/>
          </w:tcPr>
          <w:p w14:paraId="099306BC">
            <w:pPr>
              <w:spacing w:line="276" w:lineRule="auto"/>
              <w:jc w:val="center"/>
              <w:rPr>
                <w:rFonts w:ascii="Calibri" w:hAnsi="Calibri"/>
                <w:sz w:val="20"/>
                <w:szCs w:val="20"/>
              </w:rPr>
            </w:pPr>
          </w:p>
        </w:tc>
        <w:tc>
          <w:tcPr>
            <w:tcW w:w="661" w:type="dxa"/>
            <w:vMerge w:val="continue"/>
            <w:tcBorders>
              <w:left w:val="single" w:color="auto" w:sz="4" w:space="0"/>
              <w:bottom w:val="single" w:color="auto" w:sz="4" w:space="0"/>
              <w:right w:val="single" w:color="auto" w:sz="4" w:space="0"/>
            </w:tcBorders>
            <w:vAlign w:val="center"/>
          </w:tcPr>
          <w:p w14:paraId="4145374F">
            <w:pPr>
              <w:spacing w:line="276" w:lineRule="auto"/>
              <w:jc w:val="center"/>
              <w:rPr>
                <w:rFonts w:ascii="Calibri" w:hAnsi="Calibri"/>
                <w:sz w:val="20"/>
                <w:szCs w:val="20"/>
              </w:rPr>
            </w:pPr>
          </w:p>
        </w:tc>
        <w:tc>
          <w:tcPr>
            <w:tcW w:w="1417" w:type="dxa"/>
            <w:vMerge w:val="continue"/>
            <w:tcBorders>
              <w:left w:val="single" w:color="auto" w:sz="4" w:space="0"/>
              <w:bottom w:val="single" w:color="auto" w:sz="4" w:space="0"/>
              <w:right w:val="single" w:color="auto" w:sz="4" w:space="0"/>
            </w:tcBorders>
            <w:vAlign w:val="center"/>
          </w:tcPr>
          <w:p w14:paraId="2C2DA675">
            <w:pPr>
              <w:spacing w:line="276" w:lineRule="auto"/>
              <w:jc w:val="center"/>
              <w:rPr>
                <w:rFonts w:ascii="Calibri" w:hAnsi="Calibri"/>
                <w:sz w:val="20"/>
                <w:szCs w:val="20"/>
              </w:rPr>
            </w:pPr>
          </w:p>
        </w:tc>
        <w:tc>
          <w:tcPr>
            <w:tcW w:w="1134" w:type="dxa"/>
            <w:vMerge w:val="continue"/>
            <w:tcBorders>
              <w:left w:val="single" w:color="auto" w:sz="4" w:space="0"/>
              <w:bottom w:val="single" w:color="auto" w:sz="4" w:space="0"/>
              <w:right w:val="single" w:color="auto" w:sz="4" w:space="0"/>
            </w:tcBorders>
            <w:vAlign w:val="center"/>
          </w:tcPr>
          <w:p w14:paraId="61D8CA6D">
            <w:pPr>
              <w:spacing w:line="276" w:lineRule="auto"/>
              <w:jc w:val="center"/>
              <w:rPr>
                <w:rFonts w:ascii="Calibri" w:hAnsi="Calibri"/>
                <w:sz w:val="20"/>
                <w:szCs w:val="20"/>
              </w:rPr>
            </w:pPr>
          </w:p>
        </w:tc>
        <w:tc>
          <w:tcPr>
            <w:tcW w:w="1730" w:type="dxa"/>
            <w:vMerge w:val="continue"/>
            <w:tcBorders>
              <w:left w:val="single" w:color="auto" w:sz="4" w:space="0"/>
              <w:bottom w:val="single" w:color="auto" w:sz="4" w:space="0"/>
              <w:right w:val="single" w:color="auto" w:sz="4" w:space="0"/>
            </w:tcBorders>
            <w:vAlign w:val="center"/>
          </w:tcPr>
          <w:p w14:paraId="1828FFEA">
            <w:pPr>
              <w:jc w:val="center"/>
              <w:rPr>
                <w:rFonts w:ascii="Calibri" w:hAnsi="Calibri"/>
                <w:sz w:val="20"/>
                <w:szCs w:val="20"/>
              </w:rPr>
            </w:pPr>
          </w:p>
        </w:tc>
      </w:tr>
      <w:tr w14:paraId="0A8B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217" w:type="dxa"/>
            <w:tcBorders>
              <w:top w:val="single" w:color="auto" w:sz="4" w:space="0"/>
              <w:left w:val="single" w:color="auto" w:sz="4" w:space="0"/>
              <w:bottom w:val="single" w:color="auto" w:sz="4" w:space="0"/>
              <w:right w:val="single" w:color="auto" w:sz="4" w:space="0"/>
            </w:tcBorders>
            <w:vAlign w:val="center"/>
          </w:tcPr>
          <w:p w14:paraId="7C6F7C43">
            <w:pPr>
              <w:pStyle w:val="48"/>
              <w:spacing w:line="276" w:lineRule="auto"/>
              <w:rPr>
                <w:sz w:val="20"/>
                <w:szCs w:val="20"/>
              </w:rPr>
            </w:pPr>
            <w:r>
              <w:rPr>
                <w:sz w:val="20"/>
                <w:szCs w:val="20"/>
              </w:rPr>
              <w:t>吉林白山正茂药业股份有限公司</w:t>
            </w:r>
          </w:p>
        </w:tc>
        <w:tc>
          <w:tcPr>
            <w:tcW w:w="1469" w:type="dxa"/>
            <w:tcBorders>
              <w:top w:val="single" w:color="auto" w:sz="4" w:space="0"/>
              <w:left w:val="single" w:color="auto" w:sz="4" w:space="0"/>
              <w:bottom w:val="single" w:color="auto" w:sz="4" w:space="0"/>
              <w:right w:val="single" w:color="auto" w:sz="4" w:space="0"/>
            </w:tcBorders>
            <w:vAlign w:val="center"/>
          </w:tcPr>
          <w:p w14:paraId="01B0875B">
            <w:pPr>
              <w:spacing w:line="276" w:lineRule="auto"/>
              <w:jc w:val="right"/>
              <w:rPr>
                <w:rFonts w:ascii="Calibri" w:hAnsi="Calibri"/>
                <w:sz w:val="20"/>
                <w:szCs w:val="20"/>
              </w:rPr>
            </w:pPr>
            <w:r>
              <w:rPr>
                <w:rFonts w:ascii="Calibri" w:hAnsi="Calibri"/>
                <w:sz w:val="20"/>
                <w:szCs w:val="20"/>
              </w:rPr>
              <w:t>200,000.00</w:t>
            </w:r>
          </w:p>
        </w:tc>
        <w:tc>
          <w:tcPr>
            <w:tcW w:w="1418" w:type="dxa"/>
            <w:tcBorders>
              <w:top w:val="single" w:color="auto" w:sz="4" w:space="0"/>
              <w:left w:val="single" w:color="auto" w:sz="4" w:space="0"/>
              <w:bottom w:val="single" w:color="auto" w:sz="4" w:space="0"/>
              <w:right w:val="single" w:color="auto" w:sz="4" w:space="0"/>
            </w:tcBorders>
            <w:vAlign w:val="center"/>
          </w:tcPr>
          <w:p w14:paraId="15A994B5">
            <w:pPr>
              <w:spacing w:line="276" w:lineRule="auto"/>
              <w:jc w:val="right"/>
              <w:rPr>
                <w:rFonts w:ascii="Calibri" w:hAnsi="Calibri"/>
                <w:sz w:val="20"/>
                <w:szCs w:val="20"/>
              </w:rPr>
            </w:pPr>
          </w:p>
        </w:tc>
        <w:tc>
          <w:tcPr>
            <w:tcW w:w="741" w:type="dxa"/>
            <w:tcBorders>
              <w:top w:val="single" w:color="auto" w:sz="4" w:space="0"/>
              <w:left w:val="single" w:color="auto" w:sz="4" w:space="0"/>
              <w:bottom w:val="single" w:color="auto" w:sz="4" w:space="0"/>
              <w:right w:val="single" w:color="auto" w:sz="4" w:space="0"/>
            </w:tcBorders>
            <w:vAlign w:val="center"/>
          </w:tcPr>
          <w:p w14:paraId="0DAB1084">
            <w:pPr>
              <w:spacing w:line="276" w:lineRule="auto"/>
              <w:jc w:val="right"/>
              <w:rPr>
                <w:rFonts w:ascii="Calibri" w:hAnsi="Calibri"/>
                <w:sz w:val="20"/>
                <w:szCs w:val="20"/>
              </w:rPr>
            </w:pPr>
          </w:p>
        </w:tc>
        <w:tc>
          <w:tcPr>
            <w:tcW w:w="1397" w:type="dxa"/>
            <w:tcBorders>
              <w:top w:val="single" w:color="auto" w:sz="4" w:space="0"/>
              <w:left w:val="single" w:color="auto" w:sz="4" w:space="0"/>
              <w:bottom w:val="single" w:color="auto" w:sz="4" w:space="0"/>
              <w:right w:val="single" w:color="auto" w:sz="4" w:space="0"/>
            </w:tcBorders>
            <w:vAlign w:val="center"/>
          </w:tcPr>
          <w:p w14:paraId="5C6C4B67">
            <w:pPr>
              <w:spacing w:line="276" w:lineRule="auto"/>
              <w:jc w:val="right"/>
              <w:rPr>
                <w:rFonts w:ascii="Calibri" w:hAnsi="Calibri"/>
                <w:sz w:val="20"/>
                <w:szCs w:val="20"/>
              </w:rPr>
            </w:pPr>
          </w:p>
        </w:tc>
        <w:tc>
          <w:tcPr>
            <w:tcW w:w="1290" w:type="dxa"/>
            <w:tcBorders>
              <w:top w:val="single" w:color="auto" w:sz="4" w:space="0"/>
              <w:left w:val="single" w:color="auto" w:sz="4" w:space="0"/>
              <w:bottom w:val="single" w:color="auto" w:sz="4" w:space="0"/>
              <w:right w:val="single" w:color="auto" w:sz="4" w:space="0"/>
            </w:tcBorders>
            <w:vAlign w:val="center"/>
          </w:tcPr>
          <w:p w14:paraId="0D9DCD88">
            <w:pPr>
              <w:spacing w:line="276" w:lineRule="auto"/>
              <w:jc w:val="right"/>
              <w:rPr>
                <w:rFonts w:ascii="Calibri" w:hAnsi="Calibri"/>
                <w:sz w:val="20"/>
                <w:szCs w:val="20"/>
              </w:rPr>
            </w:pPr>
            <w:r>
              <w:rPr>
                <w:rFonts w:ascii="Calibri" w:hAnsi="Calibri"/>
                <w:sz w:val="20"/>
                <w:szCs w:val="20"/>
              </w:rPr>
              <w:t>145,863.79</w:t>
            </w:r>
          </w:p>
        </w:tc>
        <w:tc>
          <w:tcPr>
            <w:tcW w:w="683" w:type="dxa"/>
            <w:tcBorders>
              <w:top w:val="single" w:color="auto" w:sz="4" w:space="0"/>
              <w:left w:val="single" w:color="auto" w:sz="4" w:space="0"/>
              <w:bottom w:val="single" w:color="auto" w:sz="4" w:space="0"/>
              <w:right w:val="single" w:color="auto" w:sz="4" w:space="0"/>
            </w:tcBorders>
            <w:vAlign w:val="center"/>
          </w:tcPr>
          <w:p w14:paraId="333B3EFF">
            <w:pPr>
              <w:spacing w:line="276" w:lineRule="auto"/>
              <w:jc w:val="right"/>
              <w:rPr>
                <w:rFonts w:ascii="Calibri" w:hAnsi="Calibri"/>
                <w:sz w:val="20"/>
                <w:szCs w:val="20"/>
              </w:rPr>
            </w:pPr>
          </w:p>
        </w:tc>
        <w:tc>
          <w:tcPr>
            <w:tcW w:w="1465" w:type="dxa"/>
            <w:tcBorders>
              <w:top w:val="single" w:color="auto" w:sz="4" w:space="0"/>
              <w:left w:val="single" w:color="auto" w:sz="4" w:space="0"/>
              <w:bottom w:val="single" w:color="auto" w:sz="4" w:space="0"/>
              <w:right w:val="single" w:color="auto" w:sz="4" w:space="0"/>
            </w:tcBorders>
            <w:vAlign w:val="center"/>
          </w:tcPr>
          <w:p w14:paraId="5E69C2C6">
            <w:pPr>
              <w:spacing w:line="276" w:lineRule="auto"/>
              <w:jc w:val="right"/>
              <w:rPr>
                <w:rFonts w:ascii="Calibri" w:hAnsi="Calibri"/>
                <w:sz w:val="20"/>
                <w:szCs w:val="20"/>
              </w:rPr>
            </w:pPr>
            <w:r>
              <w:rPr>
                <w:rFonts w:ascii="Calibri" w:hAnsi="Calibri"/>
                <w:sz w:val="20"/>
                <w:szCs w:val="20"/>
              </w:rPr>
              <w:t>54,136.21</w:t>
            </w:r>
          </w:p>
        </w:tc>
        <w:tc>
          <w:tcPr>
            <w:tcW w:w="661" w:type="dxa"/>
            <w:tcBorders>
              <w:top w:val="single" w:color="auto" w:sz="4" w:space="0"/>
              <w:left w:val="single" w:color="auto" w:sz="4" w:space="0"/>
              <w:bottom w:val="single" w:color="auto" w:sz="4" w:space="0"/>
              <w:right w:val="single" w:color="auto" w:sz="4" w:space="0"/>
            </w:tcBorders>
            <w:vAlign w:val="center"/>
          </w:tcPr>
          <w:p w14:paraId="6861E5B6">
            <w:pPr>
              <w:spacing w:line="276" w:lineRule="auto"/>
              <w:jc w:val="right"/>
              <w:rPr>
                <w:rFonts w:ascii="Calibri" w:hAnsi="Calibri"/>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6DCC0E28">
            <w:pPr>
              <w:spacing w:line="276" w:lineRule="auto"/>
              <w:jc w:val="right"/>
              <w:rPr>
                <w:rFonts w:ascii="Calibri" w:hAnsi="Calibri"/>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14:paraId="6E146B3A">
            <w:pPr>
              <w:spacing w:line="276" w:lineRule="auto"/>
              <w:jc w:val="right"/>
              <w:rPr>
                <w:rFonts w:ascii="Calibri" w:hAnsi="Calibri"/>
                <w:sz w:val="20"/>
                <w:szCs w:val="20"/>
              </w:rPr>
            </w:pPr>
            <w:r>
              <w:rPr>
                <w:rFonts w:ascii="Calibri" w:hAnsi="Calibri"/>
                <w:sz w:val="20"/>
                <w:szCs w:val="20"/>
              </w:rPr>
              <w:t>145,863.79</w:t>
            </w:r>
          </w:p>
        </w:tc>
        <w:tc>
          <w:tcPr>
            <w:tcW w:w="1730" w:type="dxa"/>
            <w:tcBorders>
              <w:top w:val="single" w:color="auto" w:sz="4" w:space="0"/>
              <w:left w:val="single" w:color="auto" w:sz="4" w:space="0"/>
              <w:bottom w:val="single" w:color="auto" w:sz="4" w:space="0"/>
              <w:right w:val="single" w:color="auto" w:sz="4" w:space="0"/>
            </w:tcBorders>
            <w:vAlign w:val="center"/>
          </w:tcPr>
          <w:p w14:paraId="1E958ACA">
            <w:pPr>
              <w:pStyle w:val="48"/>
              <w:rPr>
                <w:sz w:val="20"/>
                <w:szCs w:val="20"/>
              </w:rPr>
            </w:pPr>
            <w:r>
              <w:rPr>
                <w:sz w:val="20"/>
                <w:szCs w:val="20"/>
              </w:rPr>
              <w:t>长期持有，不具有控制权和重大影响的权益性投资</w:t>
            </w:r>
          </w:p>
        </w:tc>
      </w:tr>
      <w:tr w14:paraId="2E46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217" w:type="dxa"/>
            <w:tcBorders>
              <w:top w:val="single" w:color="auto" w:sz="4" w:space="0"/>
              <w:left w:val="single" w:color="auto" w:sz="4" w:space="0"/>
              <w:bottom w:val="single" w:color="auto" w:sz="4" w:space="0"/>
              <w:right w:val="single" w:color="auto" w:sz="4" w:space="0"/>
            </w:tcBorders>
            <w:vAlign w:val="center"/>
          </w:tcPr>
          <w:p w14:paraId="3A3611F8">
            <w:pPr>
              <w:pStyle w:val="48"/>
              <w:spacing w:line="276" w:lineRule="auto"/>
              <w:rPr>
                <w:sz w:val="20"/>
                <w:szCs w:val="20"/>
              </w:rPr>
            </w:pPr>
            <w:r>
              <w:rPr>
                <w:sz w:val="20"/>
                <w:szCs w:val="20"/>
              </w:rPr>
              <w:t>上海东宝生物医药有限公司</w:t>
            </w:r>
          </w:p>
        </w:tc>
        <w:tc>
          <w:tcPr>
            <w:tcW w:w="1469" w:type="dxa"/>
            <w:tcBorders>
              <w:top w:val="single" w:color="auto" w:sz="4" w:space="0"/>
              <w:left w:val="single" w:color="auto" w:sz="4" w:space="0"/>
              <w:bottom w:val="single" w:color="auto" w:sz="4" w:space="0"/>
              <w:right w:val="single" w:color="auto" w:sz="4" w:space="0"/>
            </w:tcBorders>
            <w:vAlign w:val="center"/>
          </w:tcPr>
          <w:p w14:paraId="1D080F78">
            <w:pPr>
              <w:spacing w:line="276" w:lineRule="auto"/>
              <w:jc w:val="right"/>
              <w:rPr>
                <w:rFonts w:ascii="Calibri" w:hAnsi="Calibri"/>
                <w:sz w:val="20"/>
                <w:szCs w:val="20"/>
              </w:rPr>
            </w:pPr>
            <w:r>
              <w:rPr>
                <w:rFonts w:ascii="Calibri" w:hAnsi="Calibri"/>
                <w:sz w:val="20"/>
                <w:szCs w:val="20"/>
              </w:rPr>
              <w:t>36,000,000.00</w:t>
            </w:r>
          </w:p>
        </w:tc>
        <w:tc>
          <w:tcPr>
            <w:tcW w:w="1418" w:type="dxa"/>
            <w:tcBorders>
              <w:top w:val="single" w:color="auto" w:sz="4" w:space="0"/>
              <w:left w:val="single" w:color="auto" w:sz="4" w:space="0"/>
              <w:bottom w:val="single" w:color="auto" w:sz="4" w:space="0"/>
              <w:right w:val="single" w:color="auto" w:sz="4" w:space="0"/>
            </w:tcBorders>
            <w:vAlign w:val="center"/>
          </w:tcPr>
          <w:p w14:paraId="54F9C660">
            <w:pPr>
              <w:spacing w:line="276" w:lineRule="auto"/>
              <w:jc w:val="right"/>
              <w:rPr>
                <w:rFonts w:ascii="Calibri" w:hAnsi="Calibri"/>
                <w:sz w:val="20"/>
                <w:szCs w:val="20"/>
              </w:rPr>
            </w:pPr>
          </w:p>
        </w:tc>
        <w:tc>
          <w:tcPr>
            <w:tcW w:w="741" w:type="dxa"/>
            <w:tcBorders>
              <w:top w:val="single" w:color="auto" w:sz="4" w:space="0"/>
              <w:left w:val="single" w:color="auto" w:sz="4" w:space="0"/>
              <w:bottom w:val="single" w:color="auto" w:sz="4" w:space="0"/>
              <w:right w:val="single" w:color="auto" w:sz="4" w:space="0"/>
            </w:tcBorders>
            <w:vAlign w:val="center"/>
          </w:tcPr>
          <w:p w14:paraId="12824E94">
            <w:pPr>
              <w:spacing w:line="276" w:lineRule="auto"/>
              <w:jc w:val="right"/>
              <w:rPr>
                <w:rFonts w:ascii="Calibri" w:hAnsi="Calibri"/>
                <w:sz w:val="20"/>
                <w:szCs w:val="20"/>
              </w:rPr>
            </w:pPr>
          </w:p>
        </w:tc>
        <w:tc>
          <w:tcPr>
            <w:tcW w:w="1397" w:type="dxa"/>
            <w:tcBorders>
              <w:top w:val="single" w:color="auto" w:sz="4" w:space="0"/>
              <w:left w:val="single" w:color="auto" w:sz="4" w:space="0"/>
              <w:bottom w:val="single" w:color="auto" w:sz="4" w:space="0"/>
              <w:right w:val="single" w:color="auto" w:sz="4" w:space="0"/>
            </w:tcBorders>
            <w:vAlign w:val="center"/>
          </w:tcPr>
          <w:p w14:paraId="6533D904">
            <w:pPr>
              <w:spacing w:line="276" w:lineRule="auto"/>
              <w:jc w:val="right"/>
              <w:rPr>
                <w:rFonts w:ascii="Calibri" w:hAnsi="Calibri"/>
                <w:sz w:val="20"/>
                <w:szCs w:val="20"/>
              </w:rPr>
            </w:pPr>
            <w:r>
              <w:rPr>
                <w:rFonts w:ascii="Calibri" w:hAnsi="Calibri"/>
                <w:sz w:val="20"/>
                <w:szCs w:val="20"/>
              </w:rPr>
              <w:t>1,762,065.19</w:t>
            </w:r>
          </w:p>
        </w:tc>
        <w:tc>
          <w:tcPr>
            <w:tcW w:w="1290" w:type="dxa"/>
            <w:tcBorders>
              <w:top w:val="single" w:color="auto" w:sz="4" w:space="0"/>
              <w:left w:val="single" w:color="auto" w:sz="4" w:space="0"/>
              <w:bottom w:val="single" w:color="auto" w:sz="4" w:space="0"/>
              <w:right w:val="single" w:color="auto" w:sz="4" w:space="0"/>
            </w:tcBorders>
            <w:vAlign w:val="center"/>
          </w:tcPr>
          <w:p w14:paraId="1989CEE4">
            <w:pPr>
              <w:spacing w:line="276" w:lineRule="auto"/>
              <w:jc w:val="right"/>
              <w:rPr>
                <w:rFonts w:ascii="Calibri" w:hAnsi="Calibri"/>
                <w:sz w:val="20"/>
                <w:szCs w:val="20"/>
              </w:rPr>
            </w:pPr>
          </w:p>
        </w:tc>
        <w:tc>
          <w:tcPr>
            <w:tcW w:w="683" w:type="dxa"/>
            <w:tcBorders>
              <w:top w:val="single" w:color="auto" w:sz="4" w:space="0"/>
              <w:left w:val="single" w:color="auto" w:sz="4" w:space="0"/>
              <w:bottom w:val="single" w:color="auto" w:sz="4" w:space="0"/>
              <w:right w:val="single" w:color="auto" w:sz="4" w:space="0"/>
            </w:tcBorders>
            <w:vAlign w:val="center"/>
          </w:tcPr>
          <w:p w14:paraId="36BAD727">
            <w:pPr>
              <w:spacing w:line="276" w:lineRule="auto"/>
              <w:jc w:val="right"/>
              <w:rPr>
                <w:rFonts w:ascii="Calibri" w:hAnsi="Calibri"/>
                <w:sz w:val="20"/>
                <w:szCs w:val="20"/>
              </w:rPr>
            </w:pPr>
          </w:p>
        </w:tc>
        <w:tc>
          <w:tcPr>
            <w:tcW w:w="1465" w:type="dxa"/>
            <w:tcBorders>
              <w:top w:val="single" w:color="auto" w:sz="4" w:space="0"/>
              <w:left w:val="single" w:color="auto" w:sz="4" w:space="0"/>
              <w:bottom w:val="single" w:color="auto" w:sz="4" w:space="0"/>
              <w:right w:val="single" w:color="auto" w:sz="4" w:space="0"/>
            </w:tcBorders>
            <w:vAlign w:val="center"/>
          </w:tcPr>
          <w:p w14:paraId="5BFAC403">
            <w:pPr>
              <w:spacing w:line="276" w:lineRule="auto"/>
              <w:jc w:val="right"/>
              <w:rPr>
                <w:rFonts w:ascii="Calibri" w:hAnsi="Calibri"/>
                <w:sz w:val="20"/>
                <w:szCs w:val="20"/>
              </w:rPr>
            </w:pPr>
            <w:r>
              <w:rPr>
                <w:rFonts w:ascii="Calibri" w:hAnsi="Calibri"/>
                <w:sz w:val="20"/>
                <w:szCs w:val="20"/>
              </w:rPr>
              <w:t>37,762,065.19</w:t>
            </w:r>
          </w:p>
        </w:tc>
        <w:tc>
          <w:tcPr>
            <w:tcW w:w="661" w:type="dxa"/>
            <w:tcBorders>
              <w:top w:val="single" w:color="auto" w:sz="4" w:space="0"/>
              <w:left w:val="single" w:color="auto" w:sz="4" w:space="0"/>
              <w:bottom w:val="single" w:color="auto" w:sz="4" w:space="0"/>
              <w:right w:val="single" w:color="auto" w:sz="4" w:space="0"/>
            </w:tcBorders>
            <w:vAlign w:val="center"/>
          </w:tcPr>
          <w:p w14:paraId="2E8AA3F4">
            <w:pPr>
              <w:spacing w:line="276" w:lineRule="auto"/>
              <w:jc w:val="right"/>
              <w:rPr>
                <w:rFonts w:ascii="Calibri" w:hAnsi="Calibri"/>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1C122E58">
            <w:pPr>
              <w:spacing w:line="276" w:lineRule="auto"/>
              <w:jc w:val="right"/>
              <w:rPr>
                <w:rFonts w:ascii="Calibri" w:hAnsi="Calibri"/>
                <w:sz w:val="20"/>
                <w:szCs w:val="20"/>
              </w:rPr>
            </w:pPr>
            <w:r>
              <w:rPr>
                <w:rFonts w:ascii="Calibri" w:hAnsi="Calibri"/>
                <w:sz w:val="20"/>
                <w:szCs w:val="20"/>
              </w:rPr>
              <w:t>1,762,065.19</w:t>
            </w:r>
          </w:p>
        </w:tc>
        <w:tc>
          <w:tcPr>
            <w:tcW w:w="1134" w:type="dxa"/>
            <w:tcBorders>
              <w:top w:val="single" w:color="auto" w:sz="4" w:space="0"/>
              <w:left w:val="single" w:color="auto" w:sz="4" w:space="0"/>
              <w:bottom w:val="single" w:color="auto" w:sz="4" w:space="0"/>
              <w:right w:val="single" w:color="auto" w:sz="4" w:space="0"/>
            </w:tcBorders>
            <w:vAlign w:val="center"/>
          </w:tcPr>
          <w:p w14:paraId="58669528">
            <w:pPr>
              <w:spacing w:line="276" w:lineRule="auto"/>
              <w:jc w:val="right"/>
              <w:rPr>
                <w:rFonts w:ascii="Calibri" w:hAnsi="Calibri"/>
                <w:sz w:val="20"/>
                <w:szCs w:val="20"/>
              </w:rPr>
            </w:pPr>
          </w:p>
        </w:tc>
        <w:tc>
          <w:tcPr>
            <w:tcW w:w="1730" w:type="dxa"/>
            <w:tcBorders>
              <w:top w:val="single" w:color="auto" w:sz="4" w:space="0"/>
              <w:left w:val="single" w:color="auto" w:sz="4" w:space="0"/>
              <w:bottom w:val="single" w:color="auto" w:sz="4" w:space="0"/>
              <w:right w:val="single" w:color="auto" w:sz="4" w:space="0"/>
            </w:tcBorders>
            <w:vAlign w:val="center"/>
          </w:tcPr>
          <w:p w14:paraId="4C82F850">
            <w:pPr>
              <w:pStyle w:val="48"/>
              <w:rPr>
                <w:sz w:val="20"/>
                <w:szCs w:val="20"/>
              </w:rPr>
            </w:pPr>
            <w:r>
              <w:rPr>
                <w:sz w:val="20"/>
                <w:szCs w:val="20"/>
              </w:rPr>
              <w:t>长期持有，不具有控制权和重大影响的权益性投资</w:t>
            </w:r>
          </w:p>
        </w:tc>
      </w:tr>
      <w:tr w14:paraId="2154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217" w:type="dxa"/>
            <w:tcBorders>
              <w:top w:val="single" w:color="auto" w:sz="4" w:space="0"/>
              <w:left w:val="single" w:color="auto" w:sz="4" w:space="0"/>
              <w:bottom w:val="single" w:color="auto" w:sz="4" w:space="0"/>
              <w:right w:val="single" w:color="auto" w:sz="4" w:space="0"/>
            </w:tcBorders>
            <w:vAlign w:val="center"/>
          </w:tcPr>
          <w:p w14:paraId="14AA8BEE">
            <w:pPr>
              <w:pStyle w:val="48"/>
              <w:spacing w:line="276" w:lineRule="auto"/>
              <w:rPr>
                <w:sz w:val="20"/>
                <w:szCs w:val="20"/>
              </w:rPr>
            </w:pPr>
            <w:r>
              <w:rPr>
                <w:sz w:val="20"/>
                <w:szCs w:val="20"/>
              </w:rPr>
              <w:t>上海新耀湃科医疗科技股份有限公司</w:t>
            </w:r>
          </w:p>
        </w:tc>
        <w:tc>
          <w:tcPr>
            <w:tcW w:w="1469" w:type="dxa"/>
            <w:tcBorders>
              <w:top w:val="single" w:color="auto" w:sz="4" w:space="0"/>
              <w:left w:val="single" w:color="auto" w:sz="4" w:space="0"/>
              <w:bottom w:val="single" w:color="auto" w:sz="4" w:space="0"/>
              <w:right w:val="single" w:color="auto" w:sz="4" w:space="0"/>
            </w:tcBorders>
            <w:vAlign w:val="center"/>
          </w:tcPr>
          <w:p w14:paraId="1AD4485D">
            <w:pPr>
              <w:spacing w:line="276" w:lineRule="auto"/>
              <w:jc w:val="right"/>
              <w:rPr>
                <w:rFonts w:ascii="Calibri" w:hAnsi="Calibri"/>
                <w:sz w:val="20"/>
                <w:szCs w:val="20"/>
              </w:rPr>
            </w:pPr>
          </w:p>
        </w:tc>
        <w:tc>
          <w:tcPr>
            <w:tcW w:w="1418" w:type="dxa"/>
            <w:tcBorders>
              <w:top w:val="single" w:color="auto" w:sz="4" w:space="0"/>
              <w:left w:val="single" w:color="auto" w:sz="4" w:space="0"/>
              <w:bottom w:val="single" w:color="auto" w:sz="4" w:space="0"/>
              <w:right w:val="single" w:color="auto" w:sz="4" w:space="0"/>
            </w:tcBorders>
            <w:vAlign w:val="center"/>
          </w:tcPr>
          <w:p w14:paraId="304EF4D1">
            <w:pPr>
              <w:spacing w:line="276" w:lineRule="auto"/>
              <w:jc w:val="right"/>
              <w:rPr>
                <w:rFonts w:ascii="Calibri" w:hAnsi="Calibri"/>
                <w:sz w:val="20"/>
                <w:szCs w:val="20"/>
              </w:rPr>
            </w:pPr>
            <w:r>
              <w:rPr>
                <w:rFonts w:ascii="Calibri" w:hAnsi="Calibri"/>
                <w:sz w:val="20"/>
                <w:szCs w:val="20"/>
              </w:rPr>
              <w:t>30,000,000.00</w:t>
            </w:r>
          </w:p>
        </w:tc>
        <w:tc>
          <w:tcPr>
            <w:tcW w:w="741" w:type="dxa"/>
            <w:tcBorders>
              <w:top w:val="single" w:color="auto" w:sz="4" w:space="0"/>
              <w:left w:val="single" w:color="auto" w:sz="4" w:space="0"/>
              <w:bottom w:val="single" w:color="auto" w:sz="4" w:space="0"/>
              <w:right w:val="single" w:color="auto" w:sz="4" w:space="0"/>
            </w:tcBorders>
            <w:vAlign w:val="center"/>
          </w:tcPr>
          <w:p w14:paraId="57C5FF1C">
            <w:pPr>
              <w:spacing w:line="276" w:lineRule="auto"/>
              <w:jc w:val="right"/>
              <w:rPr>
                <w:rFonts w:ascii="Calibri" w:hAnsi="Calibri"/>
                <w:sz w:val="20"/>
                <w:szCs w:val="20"/>
              </w:rPr>
            </w:pPr>
          </w:p>
        </w:tc>
        <w:tc>
          <w:tcPr>
            <w:tcW w:w="1397" w:type="dxa"/>
            <w:tcBorders>
              <w:top w:val="single" w:color="auto" w:sz="4" w:space="0"/>
              <w:left w:val="single" w:color="auto" w:sz="4" w:space="0"/>
              <w:bottom w:val="single" w:color="auto" w:sz="4" w:space="0"/>
              <w:right w:val="single" w:color="auto" w:sz="4" w:space="0"/>
            </w:tcBorders>
            <w:vAlign w:val="center"/>
          </w:tcPr>
          <w:p w14:paraId="38D633FA">
            <w:pPr>
              <w:spacing w:line="276" w:lineRule="auto"/>
              <w:jc w:val="right"/>
              <w:rPr>
                <w:rFonts w:ascii="Calibri" w:hAnsi="Calibri"/>
                <w:sz w:val="20"/>
                <w:szCs w:val="20"/>
              </w:rPr>
            </w:pPr>
            <w:r>
              <w:rPr>
                <w:rFonts w:ascii="Calibri" w:hAnsi="Calibri"/>
                <w:sz w:val="20"/>
                <w:szCs w:val="20"/>
              </w:rPr>
              <w:t>877,168.56</w:t>
            </w:r>
          </w:p>
        </w:tc>
        <w:tc>
          <w:tcPr>
            <w:tcW w:w="1290" w:type="dxa"/>
            <w:tcBorders>
              <w:top w:val="single" w:color="auto" w:sz="4" w:space="0"/>
              <w:left w:val="single" w:color="auto" w:sz="4" w:space="0"/>
              <w:bottom w:val="single" w:color="auto" w:sz="4" w:space="0"/>
              <w:right w:val="single" w:color="auto" w:sz="4" w:space="0"/>
            </w:tcBorders>
            <w:vAlign w:val="center"/>
          </w:tcPr>
          <w:p w14:paraId="5AD6499B">
            <w:pPr>
              <w:spacing w:line="276" w:lineRule="auto"/>
              <w:jc w:val="right"/>
              <w:rPr>
                <w:rFonts w:ascii="Calibri" w:hAnsi="Calibri"/>
                <w:sz w:val="20"/>
                <w:szCs w:val="20"/>
              </w:rPr>
            </w:pPr>
          </w:p>
        </w:tc>
        <w:tc>
          <w:tcPr>
            <w:tcW w:w="683" w:type="dxa"/>
            <w:tcBorders>
              <w:top w:val="single" w:color="auto" w:sz="4" w:space="0"/>
              <w:left w:val="single" w:color="auto" w:sz="4" w:space="0"/>
              <w:bottom w:val="single" w:color="auto" w:sz="4" w:space="0"/>
              <w:right w:val="single" w:color="auto" w:sz="4" w:space="0"/>
            </w:tcBorders>
            <w:vAlign w:val="center"/>
          </w:tcPr>
          <w:p w14:paraId="00C5D6D7">
            <w:pPr>
              <w:spacing w:line="276" w:lineRule="auto"/>
              <w:jc w:val="right"/>
              <w:rPr>
                <w:rFonts w:ascii="Calibri" w:hAnsi="Calibri"/>
                <w:sz w:val="20"/>
                <w:szCs w:val="20"/>
              </w:rPr>
            </w:pPr>
          </w:p>
        </w:tc>
        <w:tc>
          <w:tcPr>
            <w:tcW w:w="1465" w:type="dxa"/>
            <w:tcBorders>
              <w:top w:val="single" w:color="auto" w:sz="4" w:space="0"/>
              <w:left w:val="single" w:color="auto" w:sz="4" w:space="0"/>
              <w:bottom w:val="single" w:color="auto" w:sz="4" w:space="0"/>
              <w:right w:val="single" w:color="auto" w:sz="4" w:space="0"/>
            </w:tcBorders>
            <w:vAlign w:val="center"/>
          </w:tcPr>
          <w:p w14:paraId="0A8F31B6">
            <w:pPr>
              <w:spacing w:line="276" w:lineRule="auto"/>
              <w:jc w:val="right"/>
              <w:rPr>
                <w:rFonts w:ascii="Calibri" w:hAnsi="Calibri"/>
                <w:sz w:val="20"/>
                <w:szCs w:val="20"/>
              </w:rPr>
            </w:pPr>
            <w:r>
              <w:rPr>
                <w:rFonts w:ascii="Calibri" w:hAnsi="Calibri"/>
                <w:sz w:val="20"/>
                <w:szCs w:val="20"/>
              </w:rPr>
              <w:t>30,877,168.56</w:t>
            </w:r>
          </w:p>
        </w:tc>
        <w:tc>
          <w:tcPr>
            <w:tcW w:w="661" w:type="dxa"/>
            <w:tcBorders>
              <w:top w:val="single" w:color="auto" w:sz="4" w:space="0"/>
              <w:left w:val="single" w:color="auto" w:sz="4" w:space="0"/>
              <w:bottom w:val="single" w:color="auto" w:sz="4" w:space="0"/>
              <w:right w:val="single" w:color="auto" w:sz="4" w:space="0"/>
            </w:tcBorders>
            <w:vAlign w:val="center"/>
          </w:tcPr>
          <w:p w14:paraId="13FADCC7">
            <w:pPr>
              <w:spacing w:line="276" w:lineRule="auto"/>
              <w:jc w:val="right"/>
              <w:rPr>
                <w:rFonts w:ascii="Calibri" w:hAnsi="Calibri"/>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0238107C">
            <w:pPr>
              <w:spacing w:line="276" w:lineRule="auto"/>
              <w:jc w:val="right"/>
              <w:rPr>
                <w:rFonts w:ascii="Calibri" w:hAnsi="Calibri"/>
                <w:sz w:val="20"/>
                <w:szCs w:val="20"/>
              </w:rPr>
            </w:pPr>
            <w:r>
              <w:rPr>
                <w:rFonts w:ascii="Calibri" w:hAnsi="Calibri"/>
                <w:sz w:val="20"/>
                <w:szCs w:val="20"/>
              </w:rPr>
              <w:t>877,168.56</w:t>
            </w:r>
          </w:p>
        </w:tc>
        <w:tc>
          <w:tcPr>
            <w:tcW w:w="1134" w:type="dxa"/>
            <w:tcBorders>
              <w:top w:val="single" w:color="auto" w:sz="4" w:space="0"/>
              <w:left w:val="single" w:color="auto" w:sz="4" w:space="0"/>
              <w:bottom w:val="single" w:color="auto" w:sz="4" w:space="0"/>
              <w:right w:val="single" w:color="auto" w:sz="4" w:space="0"/>
            </w:tcBorders>
            <w:vAlign w:val="center"/>
          </w:tcPr>
          <w:p w14:paraId="12901346">
            <w:pPr>
              <w:spacing w:line="276" w:lineRule="auto"/>
              <w:jc w:val="right"/>
              <w:rPr>
                <w:rFonts w:ascii="Calibri" w:hAnsi="Calibri"/>
                <w:sz w:val="20"/>
                <w:szCs w:val="20"/>
              </w:rPr>
            </w:pPr>
          </w:p>
        </w:tc>
        <w:tc>
          <w:tcPr>
            <w:tcW w:w="1730" w:type="dxa"/>
            <w:tcBorders>
              <w:top w:val="single" w:color="auto" w:sz="4" w:space="0"/>
              <w:left w:val="single" w:color="auto" w:sz="4" w:space="0"/>
              <w:bottom w:val="single" w:color="auto" w:sz="4" w:space="0"/>
              <w:right w:val="single" w:color="auto" w:sz="4" w:space="0"/>
            </w:tcBorders>
            <w:vAlign w:val="center"/>
          </w:tcPr>
          <w:p w14:paraId="5429D41D">
            <w:pPr>
              <w:pStyle w:val="48"/>
              <w:rPr>
                <w:sz w:val="20"/>
                <w:szCs w:val="20"/>
              </w:rPr>
            </w:pPr>
            <w:r>
              <w:rPr>
                <w:sz w:val="20"/>
                <w:szCs w:val="20"/>
              </w:rPr>
              <w:t>长期持有，不具有控制权和重大影响的权益性投资</w:t>
            </w:r>
          </w:p>
        </w:tc>
      </w:tr>
      <w:tr w14:paraId="5BBF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217" w:type="dxa"/>
            <w:tcBorders>
              <w:top w:val="single" w:color="auto" w:sz="4" w:space="0"/>
              <w:left w:val="single" w:color="auto" w:sz="4" w:space="0"/>
              <w:bottom w:val="single" w:color="auto" w:sz="4" w:space="0"/>
              <w:right w:val="single" w:color="auto" w:sz="4" w:space="0"/>
            </w:tcBorders>
            <w:vAlign w:val="center"/>
          </w:tcPr>
          <w:p w14:paraId="0341B211">
            <w:pPr>
              <w:spacing w:line="276" w:lineRule="auto"/>
              <w:jc w:val="center"/>
              <w:rPr>
                <w:rFonts w:ascii="Calibri" w:hAnsi="Calibri"/>
                <w:sz w:val="20"/>
                <w:szCs w:val="20"/>
              </w:rPr>
            </w:pPr>
            <w:r>
              <w:rPr>
                <w:rFonts w:hint="eastAsia" w:ascii="Calibri" w:hAnsi="Calibri"/>
                <w:sz w:val="20"/>
                <w:szCs w:val="20"/>
              </w:rPr>
              <w:t>合计</w:t>
            </w:r>
          </w:p>
        </w:tc>
        <w:tc>
          <w:tcPr>
            <w:tcW w:w="1469" w:type="dxa"/>
            <w:tcBorders>
              <w:top w:val="single" w:color="auto" w:sz="4" w:space="0"/>
              <w:left w:val="single" w:color="auto" w:sz="4" w:space="0"/>
              <w:bottom w:val="single" w:color="auto" w:sz="4" w:space="0"/>
              <w:right w:val="single" w:color="auto" w:sz="4" w:space="0"/>
            </w:tcBorders>
            <w:vAlign w:val="center"/>
          </w:tcPr>
          <w:p w14:paraId="7772A864">
            <w:pPr>
              <w:spacing w:line="276" w:lineRule="auto"/>
              <w:jc w:val="right"/>
              <w:rPr>
                <w:rFonts w:ascii="Calibri" w:hAnsi="Calibri"/>
                <w:sz w:val="20"/>
                <w:szCs w:val="20"/>
              </w:rPr>
            </w:pPr>
            <w:r>
              <w:rPr>
                <w:rFonts w:ascii="Calibri" w:hAnsi="Calibri"/>
                <w:sz w:val="20"/>
                <w:szCs w:val="20"/>
              </w:rPr>
              <w:t>36,200,000.00</w:t>
            </w:r>
          </w:p>
        </w:tc>
        <w:tc>
          <w:tcPr>
            <w:tcW w:w="1418" w:type="dxa"/>
            <w:tcBorders>
              <w:top w:val="single" w:color="auto" w:sz="4" w:space="0"/>
              <w:left w:val="single" w:color="auto" w:sz="4" w:space="0"/>
              <w:bottom w:val="single" w:color="auto" w:sz="4" w:space="0"/>
              <w:right w:val="single" w:color="auto" w:sz="4" w:space="0"/>
            </w:tcBorders>
            <w:vAlign w:val="center"/>
          </w:tcPr>
          <w:p w14:paraId="4B993D5F">
            <w:pPr>
              <w:spacing w:line="276" w:lineRule="auto"/>
              <w:jc w:val="right"/>
              <w:rPr>
                <w:rFonts w:ascii="Calibri" w:hAnsi="Calibri"/>
                <w:sz w:val="20"/>
                <w:szCs w:val="20"/>
              </w:rPr>
            </w:pPr>
            <w:r>
              <w:rPr>
                <w:rFonts w:ascii="Calibri" w:hAnsi="Calibri"/>
                <w:sz w:val="20"/>
                <w:szCs w:val="20"/>
              </w:rPr>
              <w:t>30,000,000.00</w:t>
            </w:r>
          </w:p>
        </w:tc>
        <w:tc>
          <w:tcPr>
            <w:tcW w:w="741" w:type="dxa"/>
            <w:tcBorders>
              <w:top w:val="single" w:color="auto" w:sz="4" w:space="0"/>
              <w:left w:val="single" w:color="auto" w:sz="4" w:space="0"/>
              <w:bottom w:val="single" w:color="auto" w:sz="4" w:space="0"/>
              <w:right w:val="single" w:color="auto" w:sz="4" w:space="0"/>
            </w:tcBorders>
            <w:vAlign w:val="center"/>
          </w:tcPr>
          <w:p w14:paraId="2A756EBD">
            <w:pPr>
              <w:spacing w:line="276" w:lineRule="auto"/>
              <w:jc w:val="right"/>
              <w:rPr>
                <w:rFonts w:ascii="Calibri" w:hAnsi="Calibri"/>
                <w:sz w:val="20"/>
                <w:szCs w:val="20"/>
              </w:rPr>
            </w:pPr>
          </w:p>
        </w:tc>
        <w:tc>
          <w:tcPr>
            <w:tcW w:w="1397" w:type="dxa"/>
            <w:tcBorders>
              <w:top w:val="single" w:color="auto" w:sz="4" w:space="0"/>
              <w:left w:val="single" w:color="auto" w:sz="4" w:space="0"/>
              <w:bottom w:val="single" w:color="auto" w:sz="4" w:space="0"/>
              <w:right w:val="single" w:color="auto" w:sz="4" w:space="0"/>
            </w:tcBorders>
            <w:vAlign w:val="center"/>
          </w:tcPr>
          <w:p w14:paraId="0D3CDA85">
            <w:pPr>
              <w:spacing w:line="276" w:lineRule="auto"/>
              <w:jc w:val="right"/>
              <w:rPr>
                <w:rFonts w:ascii="Calibri" w:hAnsi="Calibri"/>
                <w:sz w:val="20"/>
                <w:szCs w:val="20"/>
              </w:rPr>
            </w:pPr>
            <w:r>
              <w:rPr>
                <w:rFonts w:ascii="Calibri" w:hAnsi="Calibri"/>
                <w:sz w:val="20"/>
                <w:szCs w:val="20"/>
              </w:rPr>
              <w:t>2,639,233.75</w:t>
            </w:r>
          </w:p>
        </w:tc>
        <w:tc>
          <w:tcPr>
            <w:tcW w:w="1290" w:type="dxa"/>
            <w:tcBorders>
              <w:top w:val="single" w:color="auto" w:sz="4" w:space="0"/>
              <w:left w:val="single" w:color="auto" w:sz="4" w:space="0"/>
              <w:bottom w:val="single" w:color="auto" w:sz="4" w:space="0"/>
              <w:right w:val="single" w:color="auto" w:sz="4" w:space="0"/>
            </w:tcBorders>
            <w:vAlign w:val="center"/>
          </w:tcPr>
          <w:p w14:paraId="0E89580B">
            <w:pPr>
              <w:spacing w:line="276" w:lineRule="auto"/>
              <w:jc w:val="right"/>
              <w:rPr>
                <w:rFonts w:ascii="Calibri" w:hAnsi="Calibri"/>
                <w:sz w:val="20"/>
                <w:szCs w:val="20"/>
              </w:rPr>
            </w:pPr>
            <w:r>
              <w:rPr>
                <w:rFonts w:ascii="Calibri" w:hAnsi="Calibri"/>
                <w:sz w:val="20"/>
                <w:szCs w:val="20"/>
              </w:rPr>
              <w:t>145,863.79</w:t>
            </w:r>
          </w:p>
        </w:tc>
        <w:tc>
          <w:tcPr>
            <w:tcW w:w="683" w:type="dxa"/>
            <w:tcBorders>
              <w:top w:val="single" w:color="auto" w:sz="4" w:space="0"/>
              <w:left w:val="single" w:color="auto" w:sz="4" w:space="0"/>
              <w:bottom w:val="single" w:color="auto" w:sz="4" w:space="0"/>
              <w:right w:val="single" w:color="auto" w:sz="4" w:space="0"/>
            </w:tcBorders>
            <w:vAlign w:val="center"/>
          </w:tcPr>
          <w:p w14:paraId="6B7C1BC1">
            <w:pPr>
              <w:spacing w:line="276" w:lineRule="auto"/>
              <w:jc w:val="right"/>
              <w:rPr>
                <w:rFonts w:ascii="Calibri" w:hAnsi="Calibri"/>
                <w:sz w:val="20"/>
                <w:szCs w:val="20"/>
              </w:rPr>
            </w:pPr>
          </w:p>
        </w:tc>
        <w:tc>
          <w:tcPr>
            <w:tcW w:w="1465" w:type="dxa"/>
            <w:tcBorders>
              <w:top w:val="single" w:color="auto" w:sz="4" w:space="0"/>
              <w:left w:val="single" w:color="auto" w:sz="4" w:space="0"/>
              <w:bottom w:val="single" w:color="auto" w:sz="4" w:space="0"/>
              <w:right w:val="single" w:color="auto" w:sz="4" w:space="0"/>
            </w:tcBorders>
            <w:vAlign w:val="center"/>
          </w:tcPr>
          <w:p w14:paraId="441E7B9A">
            <w:pPr>
              <w:spacing w:line="276" w:lineRule="auto"/>
              <w:jc w:val="right"/>
              <w:rPr>
                <w:rFonts w:ascii="Calibri" w:hAnsi="Calibri"/>
                <w:sz w:val="20"/>
                <w:szCs w:val="20"/>
              </w:rPr>
            </w:pPr>
            <w:r>
              <w:rPr>
                <w:rFonts w:ascii="Calibri" w:hAnsi="Calibri"/>
                <w:sz w:val="20"/>
                <w:szCs w:val="20"/>
              </w:rPr>
              <w:t>68,693,369.96</w:t>
            </w:r>
          </w:p>
        </w:tc>
        <w:tc>
          <w:tcPr>
            <w:tcW w:w="661" w:type="dxa"/>
            <w:tcBorders>
              <w:top w:val="single" w:color="auto" w:sz="4" w:space="0"/>
              <w:left w:val="single" w:color="auto" w:sz="4" w:space="0"/>
              <w:bottom w:val="single" w:color="auto" w:sz="4" w:space="0"/>
              <w:right w:val="single" w:color="auto" w:sz="4" w:space="0"/>
            </w:tcBorders>
            <w:vAlign w:val="center"/>
          </w:tcPr>
          <w:p w14:paraId="0A560837">
            <w:pPr>
              <w:spacing w:line="276" w:lineRule="auto"/>
              <w:jc w:val="right"/>
              <w:rPr>
                <w:rFonts w:ascii="Calibri" w:hAnsi="Calibri"/>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520134E3">
            <w:pPr>
              <w:spacing w:line="276" w:lineRule="auto"/>
              <w:jc w:val="right"/>
              <w:rPr>
                <w:rFonts w:ascii="Calibri" w:hAnsi="Calibri"/>
                <w:sz w:val="20"/>
                <w:szCs w:val="20"/>
              </w:rPr>
            </w:pPr>
            <w:r>
              <w:rPr>
                <w:rFonts w:ascii="Calibri" w:hAnsi="Calibri"/>
                <w:sz w:val="20"/>
                <w:szCs w:val="20"/>
              </w:rPr>
              <w:t>2,639,233.75</w:t>
            </w:r>
          </w:p>
        </w:tc>
        <w:tc>
          <w:tcPr>
            <w:tcW w:w="1134" w:type="dxa"/>
            <w:tcBorders>
              <w:top w:val="single" w:color="auto" w:sz="4" w:space="0"/>
              <w:left w:val="single" w:color="auto" w:sz="4" w:space="0"/>
              <w:bottom w:val="single" w:color="auto" w:sz="4" w:space="0"/>
              <w:right w:val="single" w:color="auto" w:sz="4" w:space="0"/>
            </w:tcBorders>
            <w:vAlign w:val="center"/>
          </w:tcPr>
          <w:p w14:paraId="7BD7D0C0">
            <w:pPr>
              <w:spacing w:line="276" w:lineRule="auto"/>
              <w:jc w:val="right"/>
              <w:rPr>
                <w:rFonts w:ascii="Calibri" w:hAnsi="Calibri"/>
                <w:sz w:val="20"/>
                <w:szCs w:val="20"/>
              </w:rPr>
            </w:pPr>
            <w:r>
              <w:rPr>
                <w:rFonts w:ascii="Calibri" w:hAnsi="Calibri"/>
                <w:sz w:val="20"/>
                <w:szCs w:val="20"/>
              </w:rPr>
              <w:t>145,863.79</w:t>
            </w:r>
          </w:p>
        </w:tc>
        <w:tc>
          <w:tcPr>
            <w:tcW w:w="1730" w:type="dxa"/>
            <w:tcBorders>
              <w:top w:val="single" w:color="auto" w:sz="4" w:space="0"/>
              <w:left w:val="single" w:color="auto" w:sz="4" w:space="0"/>
              <w:bottom w:val="single" w:color="auto" w:sz="4" w:space="0"/>
              <w:right w:val="single" w:color="auto" w:sz="4" w:space="0"/>
            </w:tcBorders>
            <w:vAlign w:val="center"/>
          </w:tcPr>
          <w:p w14:paraId="493E887A">
            <w:pPr>
              <w:pStyle w:val="48"/>
              <w:rPr>
                <w:sz w:val="20"/>
                <w:szCs w:val="20"/>
              </w:rPr>
            </w:pPr>
            <w:r>
              <w:rPr>
                <w:rFonts w:hint="eastAsia"/>
                <w:sz w:val="20"/>
                <w:szCs w:val="20"/>
              </w:rPr>
              <w:t>/</w:t>
            </w:r>
          </w:p>
        </w:tc>
      </w:tr>
    </w:tbl>
    <w:p w14:paraId="1253F180"/>
    <w:p w14:paraId="669E7EF4">
      <w:pPr>
        <w:pStyle w:val="5"/>
        <w:numPr>
          <w:ilvl w:val="3"/>
          <w:numId w:val="75"/>
        </w:numPr>
        <w:ind w:left="426" w:hanging="426"/>
      </w:pPr>
      <w:r>
        <w:rPr>
          <w:rFonts w:hint="eastAsia"/>
        </w:rPr>
        <w:t>本期存在终止确认的情况说明</w:t>
      </w:r>
    </w:p>
    <w:sdt>
      <w:sdtPr>
        <w:alias w:val="是否适用：本期存在终止确认的情况说明[双击切换]"/>
        <w:tag w:val="_GBC_27e93a66690f439284ed9d6df3a9bd6c"/>
        <w:id w:val="-1410075353"/>
        <w:placeholder>
          <w:docPart w:val="GBC22222222222222222222222222222"/>
        </w:placeholder>
      </w:sdtPr>
      <w:sdtContent>
        <w:p w14:paraId="5D8D032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D1D8EC4">
      <w:pPr>
        <w:pStyle w:val="48"/>
      </w:pPr>
    </w:p>
    <w:p w14:paraId="32B5A982">
      <w:pPr>
        <w:pStyle w:val="48"/>
      </w:pPr>
      <w:r>
        <w:rPr>
          <w:rFonts w:hint="eastAsia"/>
        </w:rPr>
        <w:t>其他</w:t>
      </w:r>
      <w:r>
        <w:t>说明</w:t>
      </w:r>
      <w:r>
        <w:rPr>
          <w:rFonts w:hint="eastAsia"/>
        </w:rPr>
        <w:t>：</w:t>
      </w:r>
    </w:p>
    <w:sdt>
      <w:sdtPr>
        <w:alias w:val="是否适用：其他权益工具投资其他说明[双击切换]"/>
        <w:tag w:val="_GBC_217dff5073ff4a12b86d342292038452"/>
        <w:id w:val="1773359825"/>
        <w:placeholder>
          <w:docPart w:val="GBC22222222222222222222222222222"/>
        </w:placeholder>
      </w:sdtPr>
      <w:sdtContent>
        <w:p w14:paraId="604DABD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FAB88FC">
      <w:pPr>
        <w:snapToGrid w:val="0"/>
        <w:spacing w:line="240" w:lineRule="atLeast"/>
      </w:pPr>
    </w:p>
    <w:p w14:paraId="30D66419">
      <w:pPr>
        <w:pStyle w:val="48"/>
        <w:sectPr>
          <w:pgSz w:w="16838" w:h="11906" w:orient="landscape"/>
          <w:pgMar w:top="1276" w:right="1440" w:bottom="1797" w:left="1525" w:header="856" w:footer="992" w:gutter="0"/>
          <w:cols w:space="425" w:num="1"/>
          <w:docGrid w:linePitch="312" w:charSpace="0"/>
        </w:sectPr>
      </w:pPr>
    </w:p>
    <w:p w14:paraId="11642531">
      <w:pPr>
        <w:pStyle w:val="48"/>
      </w:pPr>
    </w:p>
    <w:p w14:paraId="758F338F">
      <w:pPr>
        <w:pStyle w:val="4"/>
        <w:numPr>
          <w:ilvl w:val="0"/>
          <w:numId w:val="61"/>
        </w:numPr>
        <w:rPr>
          <w:szCs w:val="21"/>
        </w:rPr>
      </w:pPr>
      <w:r>
        <w:rPr>
          <w:szCs w:val="21"/>
        </w:rPr>
        <w:t>其他非流动金融资产</w:t>
      </w:r>
    </w:p>
    <w:sdt>
      <w:sdtPr>
        <w:alias w:val="是否适用：其他非流动金融资产[双击切换]"/>
        <w:tag w:val="_GBC_6b599068045d444b87b686a3b6690bf1"/>
        <w:id w:val="807979034"/>
        <w:placeholder>
          <w:docPart w:val="GBC22222222222222222222222222222"/>
        </w:placeholder>
      </w:sdtPr>
      <w:sdtContent>
        <w:p w14:paraId="2D84E78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29052A9">
      <w:pPr>
        <w:pStyle w:val="48"/>
      </w:pPr>
    </w:p>
    <w:bookmarkEnd w:id="297"/>
    <w:p w14:paraId="2CB4D1EC">
      <w:pPr>
        <w:pStyle w:val="48"/>
      </w:pPr>
      <w:r>
        <w:rPr>
          <w:rFonts w:hint="eastAsia"/>
        </w:rPr>
        <w:t>其他</w:t>
      </w:r>
      <w:r>
        <w:t>说明</w:t>
      </w:r>
      <w:r>
        <w:rPr>
          <w:rFonts w:hint="eastAsia"/>
        </w:rPr>
        <w:t>：</w:t>
      </w:r>
    </w:p>
    <w:sdt>
      <w:sdtPr>
        <w:alias w:val="是否适用：其他非流动金融资产其他说明[双击切换]"/>
        <w:tag w:val="_GBC_037912ebdd3b4e80b4b66cf88f8cb3e7"/>
        <w:id w:val="1486277095"/>
        <w:placeholder>
          <w:docPart w:val="GBC22222222222222222222222222222"/>
        </w:placeholder>
      </w:sdtPr>
      <w:sdtContent>
        <w:p w14:paraId="37A2D53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EC73B91">
      <w:pPr>
        <w:snapToGrid w:val="0"/>
        <w:spacing w:line="240" w:lineRule="atLeast"/>
      </w:pPr>
    </w:p>
    <w:p w14:paraId="3F3C0A16">
      <w:pPr>
        <w:pStyle w:val="4"/>
        <w:numPr>
          <w:ilvl w:val="0"/>
          <w:numId w:val="61"/>
        </w:numPr>
        <w:rPr>
          <w:szCs w:val="21"/>
        </w:rPr>
      </w:pPr>
      <w:r>
        <w:rPr>
          <w:szCs w:val="21"/>
        </w:rPr>
        <w:t>投资性房地产</w:t>
      </w:r>
    </w:p>
    <w:p w14:paraId="462E1CCD">
      <w:pPr>
        <w:pStyle w:val="48"/>
      </w:pPr>
      <w:r>
        <w:t>投资性房地产</w:t>
      </w:r>
      <w:r>
        <w:rPr>
          <w:rFonts w:hint="eastAsia"/>
        </w:rPr>
        <w:t>计量模式</w:t>
      </w:r>
    </w:p>
    <w:p w14:paraId="4A7AE4F2">
      <w:pPr>
        <w:pStyle w:val="5"/>
        <w:numPr>
          <w:ilvl w:val="3"/>
          <w:numId w:val="76"/>
        </w:numPr>
        <w:ind w:left="426" w:hanging="426"/>
      </w:pPr>
      <w:r>
        <w:rPr>
          <w:rFonts w:hint="eastAsia"/>
        </w:rPr>
        <w:t>采用成本计量模式的投资性房地产</w:t>
      </w:r>
    </w:p>
    <w:p w14:paraId="6B5A48A1">
      <w:pPr>
        <w:jc w:val="right"/>
      </w:pPr>
      <w:r>
        <w:rPr>
          <w:rFonts w:hint="eastAsia"/>
        </w:rPr>
        <w:t>单位：</w:t>
      </w:r>
      <w:sdt>
        <w:sdtPr>
          <w:rPr>
            <w:rFonts w:hint="eastAsia"/>
          </w:rPr>
          <w:alias w:val="单位：财务附注：投资性房地产"/>
          <w:tag w:val="_GBC_eb1db4bb3f154f52938b7c4bb5edbd80"/>
          <w:id w:val="1050862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投资性房地产"/>
          <w:tag w:val="_GBC_14117d50f3b04e4aa96c633ca3d3db3a"/>
          <w:id w:val="-9101656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2"/>
        <w:gridCol w:w="1987"/>
        <w:gridCol w:w="1985"/>
        <w:gridCol w:w="1862"/>
      </w:tblGrid>
      <w:tr w14:paraId="6A0C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6c12dd4f07e84f0eb6257919933bd416"/>
            <w:id w:val="771904720"/>
          </w:sdtPr>
          <w:sdtContent>
            <w:tc>
              <w:tcPr>
                <w:tcW w:w="3212" w:type="dxa"/>
                <w:tcBorders>
                  <w:top w:val="single" w:color="auto" w:sz="4" w:space="0"/>
                  <w:left w:val="single" w:color="auto" w:sz="4" w:space="0"/>
                  <w:bottom w:val="single" w:color="auto" w:sz="4" w:space="0"/>
                  <w:right w:val="single" w:color="auto" w:sz="4" w:space="0"/>
                </w:tcBorders>
                <w:vAlign w:val="center"/>
              </w:tcPr>
              <w:p w14:paraId="594C65BC">
                <w:pPr>
                  <w:jc w:val="center"/>
                  <w:rPr>
                    <w:rFonts w:ascii="Calibri" w:hAnsi="Calibri"/>
                    <w:sz w:val="20"/>
                    <w:szCs w:val="20"/>
                  </w:rPr>
                </w:pPr>
                <w:r>
                  <w:rPr>
                    <w:rFonts w:hint="eastAsia" w:ascii="Calibri" w:hAnsi="Calibri"/>
                    <w:sz w:val="20"/>
                    <w:szCs w:val="20"/>
                  </w:rPr>
                  <w:t>项目</w:t>
                </w:r>
              </w:p>
            </w:tc>
          </w:sdtContent>
        </w:sdt>
        <w:sdt>
          <w:sdtPr>
            <w:tag w:val="_PLD_4d654f9f882a4621a32482a463b6b80f"/>
            <w:id w:val="125984695"/>
          </w:sdtPr>
          <w:sdtContent>
            <w:tc>
              <w:tcPr>
                <w:tcW w:w="1987" w:type="dxa"/>
                <w:tcBorders>
                  <w:top w:val="single" w:color="auto" w:sz="4" w:space="0"/>
                  <w:left w:val="single" w:color="auto" w:sz="4" w:space="0"/>
                  <w:bottom w:val="single" w:color="auto" w:sz="4" w:space="0"/>
                  <w:right w:val="single" w:color="auto" w:sz="4" w:space="0"/>
                </w:tcBorders>
                <w:vAlign w:val="center"/>
              </w:tcPr>
              <w:p w14:paraId="1C69987D">
                <w:pPr>
                  <w:jc w:val="center"/>
                  <w:rPr>
                    <w:rFonts w:ascii="Calibri" w:hAnsi="Calibri"/>
                    <w:sz w:val="20"/>
                    <w:szCs w:val="20"/>
                  </w:rPr>
                </w:pPr>
                <w:r>
                  <w:rPr>
                    <w:rFonts w:hint="eastAsia" w:ascii="Calibri" w:hAnsi="Calibri"/>
                    <w:sz w:val="20"/>
                    <w:szCs w:val="20"/>
                  </w:rPr>
                  <w:t>房屋、建筑物</w:t>
                </w:r>
              </w:p>
            </w:tc>
          </w:sdtContent>
        </w:sdt>
        <w:sdt>
          <w:sdtPr>
            <w:tag w:val="_PLD_e67580bbd978417792c1b582fb588aa3"/>
            <w:id w:val="1344979458"/>
          </w:sdtPr>
          <w:sdtContent>
            <w:tc>
              <w:tcPr>
                <w:tcW w:w="1985" w:type="dxa"/>
                <w:tcBorders>
                  <w:top w:val="single" w:color="auto" w:sz="4" w:space="0"/>
                  <w:left w:val="single" w:color="auto" w:sz="4" w:space="0"/>
                  <w:bottom w:val="single" w:color="auto" w:sz="4" w:space="0"/>
                  <w:right w:val="single" w:color="auto" w:sz="4" w:space="0"/>
                </w:tcBorders>
                <w:vAlign w:val="center"/>
              </w:tcPr>
              <w:p w14:paraId="2FB536D7">
                <w:pPr>
                  <w:jc w:val="center"/>
                  <w:rPr>
                    <w:rFonts w:ascii="Calibri" w:hAnsi="Calibri"/>
                    <w:sz w:val="20"/>
                    <w:szCs w:val="20"/>
                  </w:rPr>
                </w:pPr>
                <w:r>
                  <w:rPr>
                    <w:rFonts w:hint="eastAsia" w:ascii="Calibri" w:hAnsi="Calibri"/>
                    <w:sz w:val="20"/>
                    <w:szCs w:val="20"/>
                  </w:rPr>
                  <w:t>土地使用权</w:t>
                </w:r>
              </w:p>
            </w:tc>
          </w:sdtContent>
        </w:sdt>
        <w:sdt>
          <w:sdtPr>
            <w:tag w:val="_PLD_fd303a2077a34c63b3d342e813f2cfd7"/>
            <w:id w:val="1521968736"/>
          </w:sdtPr>
          <w:sdtContent>
            <w:tc>
              <w:tcPr>
                <w:tcW w:w="1862" w:type="dxa"/>
                <w:tcBorders>
                  <w:top w:val="single" w:color="auto" w:sz="4" w:space="0"/>
                  <w:left w:val="single" w:color="auto" w:sz="4" w:space="0"/>
                  <w:bottom w:val="single" w:color="auto" w:sz="4" w:space="0"/>
                  <w:right w:val="single" w:color="auto" w:sz="4" w:space="0"/>
                </w:tcBorders>
                <w:vAlign w:val="center"/>
              </w:tcPr>
              <w:p w14:paraId="0ACC4F2F">
                <w:pPr>
                  <w:jc w:val="center"/>
                  <w:rPr>
                    <w:rFonts w:ascii="Calibri" w:hAnsi="Calibri"/>
                    <w:sz w:val="20"/>
                    <w:szCs w:val="20"/>
                  </w:rPr>
                </w:pPr>
                <w:r>
                  <w:rPr>
                    <w:rFonts w:hint="eastAsia" w:ascii="Calibri" w:hAnsi="Calibri"/>
                    <w:sz w:val="20"/>
                    <w:szCs w:val="20"/>
                  </w:rPr>
                  <w:t>合计</w:t>
                </w:r>
              </w:p>
            </w:tc>
          </w:sdtContent>
        </w:sdt>
      </w:tr>
      <w:tr w14:paraId="1195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a195350d4b924a2ab316232cbfe918bf"/>
            <w:id w:val="-1105418031"/>
          </w:sdtPr>
          <w:sdtContent>
            <w:tc>
              <w:tcPr>
                <w:tcW w:w="9046" w:type="dxa"/>
                <w:gridSpan w:val="4"/>
                <w:tcBorders>
                  <w:top w:val="single" w:color="auto" w:sz="4" w:space="0"/>
                  <w:left w:val="single" w:color="auto" w:sz="4" w:space="0"/>
                  <w:bottom w:val="single" w:color="auto" w:sz="4" w:space="0"/>
                  <w:right w:val="single" w:color="auto" w:sz="4" w:space="0"/>
                </w:tcBorders>
                <w:vAlign w:val="center"/>
              </w:tcPr>
              <w:p w14:paraId="03B5E201">
                <w:pPr>
                  <w:pStyle w:val="48"/>
                  <w:rPr>
                    <w:sz w:val="20"/>
                    <w:szCs w:val="20"/>
                  </w:rPr>
                </w:pPr>
                <w:r>
                  <w:rPr>
                    <w:rFonts w:hint="eastAsia"/>
                    <w:sz w:val="20"/>
                    <w:szCs w:val="20"/>
                  </w:rPr>
                  <w:t>一、账面原值</w:t>
                </w:r>
              </w:p>
            </w:tc>
          </w:sdtContent>
        </w:sdt>
      </w:tr>
      <w:tr w14:paraId="0DDB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212" w:type="dxa"/>
            <w:tcBorders>
              <w:top w:val="single" w:color="auto" w:sz="4" w:space="0"/>
              <w:left w:val="single" w:color="auto" w:sz="4" w:space="0"/>
              <w:bottom w:val="single" w:color="auto" w:sz="4" w:space="0"/>
              <w:right w:val="single" w:color="auto" w:sz="4" w:space="0"/>
            </w:tcBorders>
            <w:vAlign w:val="center"/>
          </w:tcPr>
          <w:p w14:paraId="118072E5">
            <w:pPr>
              <w:ind w:firstLine="300" w:firstLineChars="150"/>
              <w:rPr>
                <w:rFonts w:ascii="Calibri" w:hAnsi="Calibri"/>
                <w:sz w:val="20"/>
                <w:szCs w:val="20"/>
              </w:rPr>
            </w:pPr>
            <w:r>
              <w:rPr>
                <w:rFonts w:ascii="Calibri" w:hAnsi="Calibri"/>
                <w:sz w:val="20"/>
                <w:szCs w:val="20"/>
              </w:rPr>
              <w:t>1.</w:t>
            </w:r>
            <w:r>
              <w:rPr>
                <w:rFonts w:hint="eastAsia" w:ascii="Calibri" w:hAnsi="Calibri"/>
                <w:sz w:val="20"/>
                <w:szCs w:val="20"/>
              </w:rPr>
              <w:t>期初余额</w:t>
            </w:r>
          </w:p>
        </w:tc>
        <w:tc>
          <w:tcPr>
            <w:tcW w:w="1987" w:type="dxa"/>
            <w:tcBorders>
              <w:top w:val="single" w:color="auto" w:sz="4" w:space="0"/>
              <w:left w:val="single" w:color="auto" w:sz="4" w:space="0"/>
              <w:bottom w:val="single" w:color="auto" w:sz="4" w:space="0"/>
              <w:right w:val="single" w:color="auto" w:sz="4" w:space="0"/>
            </w:tcBorders>
            <w:vAlign w:val="center"/>
          </w:tcPr>
          <w:p w14:paraId="656813B3">
            <w:pPr>
              <w:jc w:val="right"/>
              <w:rPr>
                <w:rFonts w:ascii="Calibri" w:hAnsi="Calibri"/>
                <w:sz w:val="20"/>
                <w:szCs w:val="20"/>
              </w:rPr>
            </w:pPr>
            <w:r>
              <w:rPr>
                <w:rFonts w:ascii="Calibri" w:hAnsi="Calibri"/>
                <w:sz w:val="20"/>
                <w:szCs w:val="20"/>
              </w:rPr>
              <w:t>131,214,923.85</w:t>
            </w:r>
          </w:p>
        </w:tc>
        <w:tc>
          <w:tcPr>
            <w:tcW w:w="1985" w:type="dxa"/>
            <w:tcBorders>
              <w:top w:val="single" w:color="auto" w:sz="4" w:space="0"/>
              <w:left w:val="single" w:color="auto" w:sz="4" w:space="0"/>
              <w:bottom w:val="single" w:color="auto" w:sz="4" w:space="0"/>
              <w:right w:val="single" w:color="auto" w:sz="4" w:space="0"/>
            </w:tcBorders>
            <w:vAlign w:val="center"/>
          </w:tcPr>
          <w:p w14:paraId="74030CA8">
            <w:pPr>
              <w:jc w:val="right"/>
              <w:rPr>
                <w:rFonts w:ascii="Calibri" w:hAnsi="Calibri"/>
                <w:sz w:val="20"/>
                <w:szCs w:val="20"/>
              </w:rPr>
            </w:pPr>
            <w:r>
              <w:rPr>
                <w:rFonts w:ascii="Calibri" w:hAnsi="Calibri"/>
                <w:sz w:val="20"/>
                <w:szCs w:val="20"/>
              </w:rPr>
              <w:t>11,019,996.49</w:t>
            </w:r>
          </w:p>
        </w:tc>
        <w:tc>
          <w:tcPr>
            <w:tcW w:w="1862" w:type="dxa"/>
            <w:tcBorders>
              <w:top w:val="single" w:color="auto" w:sz="4" w:space="0"/>
              <w:left w:val="single" w:color="auto" w:sz="4" w:space="0"/>
              <w:bottom w:val="single" w:color="auto" w:sz="4" w:space="0"/>
              <w:right w:val="single" w:color="auto" w:sz="4" w:space="0"/>
            </w:tcBorders>
            <w:vAlign w:val="center"/>
          </w:tcPr>
          <w:p w14:paraId="5D235C61">
            <w:pPr>
              <w:jc w:val="right"/>
              <w:rPr>
                <w:rFonts w:ascii="Calibri" w:hAnsi="Calibri"/>
                <w:sz w:val="20"/>
                <w:szCs w:val="20"/>
              </w:rPr>
            </w:pPr>
            <w:r>
              <w:rPr>
                <w:rFonts w:ascii="Calibri" w:hAnsi="Calibri"/>
                <w:sz w:val="20"/>
                <w:szCs w:val="20"/>
              </w:rPr>
              <w:t>142,234,920.34</w:t>
            </w:r>
          </w:p>
        </w:tc>
      </w:tr>
      <w:tr w14:paraId="2B71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3907FC99">
            <w:pPr>
              <w:ind w:firstLine="300" w:firstLineChars="150"/>
              <w:rPr>
                <w:rFonts w:ascii="Calibri" w:hAnsi="Calibri"/>
                <w:sz w:val="20"/>
                <w:szCs w:val="20"/>
              </w:rPr>
            </w:pPr>
            <w:r>
              <w:rPr>
                <w:rFonts w:ascii="Calibri" w:hAnsi="Calibri"/>
                <w:sz w:val="20"/>
                <w:szCs w:val="20"/>
              </w:rPr>
              <w:t>2.</w:t>
            </w:r>
            <w:r>
              <w:rPr>
                <w:rFonts w:hint="eastAsia" w:ascii="Calibri" w:hAnsi="Calibri"/>
                <w:sz w:val="20"/>
                <w:szCs w:val="20"/>
              </w:rPr>
              <w:t>本期增加金额</w:t>
            </w:r>
          </w:p>
        </w:tc>
        <w:tc>
          <w:tcPr>
            <w:tcW w:w="1987" w:type="dxa"/>
            <w:tcBorders>
              <w:top w:val="single" w:color="auto" w:sz="4" w:space="0"/>
              <w:left w:val="single" w:color="auto" w:sz="4" w:space="0"/>
              <w:bottom w:val="single" w:color="auto" w:sz="4" w:space="0"/>
              <w:right w:val="single" w:color="auto" w:sz="4" w:space="0"/>
            </w:tcBorders>
            <w:vAlign w:val="center"/>
          </w:tcPr>
          <w:p w14:paraId="20642F08">
            <w:pPr>
              <w:jc w:val="right"/>
              <w:rPr>
                <w:rFonts w:ascii="Calibri" w:hAnsi="Calibri"/>
                <w:sz w:val="20"/>
                <w:szCs w:val="20"/>
              </w:rPr>
            </w:pPr>
          </w:p>
        </w:tc>
        <w:tc>
          <w:tcPr>
            <w:tcW w:w="1985" w:type="dxa"/>
            <w:tcBorders>
              <w:top w:val="single" w:color="auto" w:sz="4" w:space="0"/>
              <w:left w:val="single" w:color="auto" w:sz="4" w:space="0"/>
              <w:bottom w:val="single" w:color="auto" w:sz="4" w:space="0"/>
              <w:right w:val="single" w:color="auto" w:sz="4" w:space="0"/>
            </w:tcBorders>
            <w:vAlign w:val="center"/>
          </w:tcPr>
          <w:p w14:paraId="2E3CA639">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5A3D83B7">
            <w:pPr>
              <w:jc w:val="right"/>
              <w:rPr>
                <w:rFonts w:ascii="Calibri" w:hAnsi="Calibri"/>
                <w:sz w:val="20"/>
                <w:szCs w:val="20"/>
              </w:rPr>
            </w:pPr>
          </w:p>
        </w:tc>
      </w:tr>
      <w:tr w14:paraId="7B6F7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430416C9">
            <w:pPr>
              <w:ind w:firstLine="400" w:firstLineChars="200"/>
              <w:rPr>
                <w:rFonts w:ascii="Calibri" w:hAnsi="Calibri"/>
                <w:sz w:val="20"/>
                <w:szCs w:val="20"/>
              </w:rPr>
            </w:pPr>
            <w:r>
              <w:rPr>
                <w:rFonts w:hint="eastAsia" w:ascii="Calibri" w:hAnsi="Calibri"/>
                <w:sz w:val="20"/>
                <w:szCs w:val="20"/>
              </w:rPr>
              <w:t>（1）外购</w:t>
            </w:r>
          </w:p>
        </w:tc>
        <w:tc>
          <w:tcPr>
            <w:tcW w:w="1987" w:type="dxa"/>
            <w:tcBorders>
              <w:top w:val="single" w:color="auto" w:sz="4" w:space="0"/>
              <w:left w:val="single" w:color="auto" w:sz="4" w:space="0"/>
              <w:bottom w:val="single" w:color="auto" w:sz="4" w:space="0"/>
              <w:right w:val="single" w:color="auto" w:sz="4" w:space="0"/>
            </w:tcBorders>
            <w:vAlign w:val="center"/>
          </w:tcPr>
          <w:p w14:paraId="093620B8">
            <w:pPr>
              <w:jc w:val="right"/>
              <w:rPr>
                <w:rFonts w:ascii="Calibri" w:hAnsi="Calibri"/>
                <w:sz w:val="20"/>
                <w:szCs w:val="20"/>
              </w:rPr>
            </w:pPr>
          </w:p>
        </w:tc>
        <w:tc>
          <w:tcPr>
            <w:tcW w:w="1985" w:type="dxa"/>
            <w:tcBorders>
              <w:top w:val="single" w:color="auto" w:sz="4" w:space="0"/>
              <w:left w:val="single" w:color="auto" w:sz="4" w:space="0"/>
              <w:bottom w:val="single" w:color="auto" w:sz="4" w:space="0"/>
              <w:right w:val="single" w:color="auto" w:sz="4" w:space="0"/>
            </w:tcBorders>
            <w:vAlign w:val="center"/>
          </w:tcPr>
          <w:p w14:paraId="20E9B0E1">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45DF5703">
            <w:pPr>
              <w:jc w:val="right"/>
              <w:rPr>
                <w:rFonts w:ascii="Calibri" w:hAnsi="Calibri"/>
                <w:sz w:val="20"/>
                <w:szCs w:val="20"/>
              </w:rPr>
            </w:pPr>
          </w:p>
        </w:tc>
      </w:tr>
      <w:tr w14:paraId="2041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212" w:type="dxa"/>
            <w:tcBorders>
              <w:top w:val="single" w:color="auto" w:sz="4" w:space="0"/>
              <w:left w:val="single" w:color="auto" w:sz="4" w:space="0"/>
              <w:bottom w:val="single" w:color="auto" w:sz="4" w:space="0"/>
              <w:right w:val="single" w:color="auto" w:sz="4" w:space="0"/>
            </w:tcBorders>
            <w:vAlign w:val="center"/>
          </w:tcPr>
          <w:p w14:paraId="39F2E429">
            <w:pPr>
              <w:ind w:firstLine="400" w:firstLineChars="200"/>
              <w:rPr>
                <w:rFonts w:ascii="Calibri" w:hAnsi="Calibri"/>
                <w:sz w:val="20"/>
                <w:szCs w:val="20"/>
              </w:rPr>
            </w:pPr>
            <w:r>
              <w:rPr>
                <w:rFonts w:hint="eastAsia" w:ascii="Calibri" w:hAnsi="Calibri"/>
                <w:sz w:val="20"/>
                <w:szCs w:val="20"/>
              </w:rPr>
              <w:t>（2）存货\固定资产\在建工程转入</w:t>
            </w:r>
          </w:p>
        </w:tc>
        <w:tc>
          <w:tcPr>
            <w:tcW w:w="1987" w:type="dxa"/>
            <w:tcBorders>
              <w:top w:val="single" w:color="auto" w:sz="4" w:space="0"/>
              <w:left w:val="single" w:color="auto" w:sz="4" w:space="0"/>
              <w:bottom w:val="single" w:color="auto" w:sz="4" w:space="0"/>
              <w:right w:val="single" w:color="auto" w:sz="4" w:space="0"/>
            </w:tcBorders>
            <w:vAlign w:val="center"/>
          </w:tcPr>
          <w:p w14:paraId="3495218E">
            <w:pPr>
              <w:jc w:val="right"/>
              <w:rPr>
                <w:rFonts w:ascii="Calibri" w:hAnsi="Calibri"/>
                <w:sz w:val="20"/>
                <w:szCs w:val="20"/>
              </w:rPr>
            </w:pPr>
          </w:p>
        </w:tc>
        <w:tc>
          <w:tcPr>
            <w:tcW w:w="1985" w:type="dxa"/>
            <w:tcBorders>
              <w:top w:val="single" w:color="auto" w:sz="4" w:space="0"/>
              <w:left w:val="single" w:color="auto" w:sz="4" w:space="0"/>
              <w:bottom w:val="single" w:color="auto" w:sz="4" w:space="0"/>
              <w:right w:val="single" w:color="auto" w:sz="4" w:space="0"/>
            </w:tcBorders>
            <w:vAlign w:val="center"/>
          </w:tcPr>
          <w:p w14:paraId="2EC353A1">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60CF6190">
            <w:pPr>
              <w:jc w:val="right"/>
              <w:rPr>
                <w:rFonts w:ascii="Calibri" w:hAnsi="Calibri"/>
                <w:sz w:val="20"/>
                <w:szCs w:val="20"/>
              </w:rPr>
            </w:pPr>
          </w:p>
        </w:tc>
      </w:tr>
      <w:tr w14:paraId="0C70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212" w:type="dxa"/>
            <w:tcBorders>
              <w:top w:val="single" w:color="auto" w:sz="4" w:space="0"/>
              <w:left w:val="single" w:color="auto" w:sz="4" w:space="0"/>
              <w:bottom w:val="single" w:color="auto" w:sz="4" w:space="0"/>
              <w:right w:val="single" w:color="auto" w:sz="4" w:space="0"/>
            </w:tcBorders>
            <w:vAlign w:val="center"/>
          </w:tcPr>
          <w:p w14:paraId="71B0A751">
            <w:pPr>
              <w:ind w:firstLine="400" w:firstLineChars="200"/>
              <w:rPr>
                <w:rFonts w:ascii="Calibri" w:hAnsi="Calibri"/>
                <w:sz w:val="20"/>
                <w:szCs w:val="20"/>
              </w:rPr>
            </w:pPr>
            <w:r>
              <w:rPr>
                <w:rFonts w:hint="eastAsia" w:ascii="Calibri" w:hAnsi="Calibri"/>
                <w:sz w:val="20"/>
                <w:szCs w:val="20"/>
              </w:rPr>
              <w:t>（3）企业合并增加</w:t>
            </w:r>
          </w:p>
        </w:tc>
        <w:tc>
          <w:tcPr>
            <w:tcW w:w="1987" w:type="dxa"/>
            <w:tcBorders>
              <w:top w:val="single" w:color="auto" w:sz="4" w:space="0"/>
              <w:left w:val="single" w:color="auto" w:sz="4" w:space="0"/>
              <w:bottom w:val="single" w:color="auto" w:sz="4" w:space="0"/>
              <w:right w:val="single" w:color="auto" w:sz="4" w:space="0"/>
            </w:tcBorders>
            <w:vAlign w:val="center"/>
          </w:tcPr>
          <w:p w14:paraId="595C1814">
            <w:pPr>
              <w:jc w:val="right"/>
              <w:rPr>
                <w:rFonts w:ascii="Calibri" w:hAnsi="Calibri"/>
                <w:sz w:val="20"/>
                <w:szCs w:val="20"/>
              </w:rPr>
            </w:pPr>
          </w:p>
        </w:tc>
        <w:tc>
          <w:tcPr>
            <w:tcW w:w="1985" w:type="dxa"/>
            <w:tcBorders>
              <w:top w:val="single" w:color="auto" w:sz="4" w:space="0"/>
              <w:left w:val="single" w:color="auto" w:sz="4" w:space="0"/>
              <w:bottom w:val="single" w:color="auto" w:sz="4" w:space="0"/>
              <w:right w:val="single" w:color="auto" w:sz="4" w:space="0"/>
            </w:tcBorders>
            <w:vAlign w:val="center"/>
          </w:tcPr>
          <w:p w14:paraId="12F96BD4">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26892923">
            <w:pPr>
              <w:jc w:val="right"/>
              <w:rPr>
                <w:rFonts w:ascii="Calibri" w:hAnsi="Calibri"/>
                <w:sz w:val="20"/>
                <w:szCs w:val="20"/>
              </w:rPr>
            </w:pPr>
          </w:p>
        </w:tc>
      </w:tr>
      <w:tr w14:paraId="5E1E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5DDABC95">
            <w:pPr>
              <w:ind w:firstLine="300" w:firstLineChars="150"/>
              <w:rPr>
                <w:rFonts w:ascii="Calibri" w:hAnsi="Calibri"/>
                <w:sz w:val="20"/>
                <w:szCs w:val="20"/>
              </w:rPr>
            </w:pPr>
            <w:r>
              <w:rPr>
                <w:rFonts w:hint="eastAsia" w:ascii="Calibri" w:hAnsi="Calibri"/>
                <w:sz w:val="20"/>
                <w:szCs w:val="20"/>
              </w:rPr>
              <w:t>3.本期减少金额</w:t>
            </w:r>
          </w:p>
        </w:tc>
        <w:tc>
          <w:tcPr>
            <w:tcW w:w="1987" w:type="dxa"/>
            <w:tcBorders>
              <w:top w:val="single" w:color="auto" w:sz="4" w:space="0"/>
              <w:left w:val="single" w:color="auto" w:sz="4" w:space="0"/>
              <w:bottom w:val="single" w:color="auto" w:sz="4" w:space="0"/>
              <w:right w:val="single" w:color="auto" w:sz="4" w:space="0"/>
            </w:tcBorders>
            <w:vAlign w:val="center"/>
          </w:tcPr>
          <w:p w14:paraId="35FAFD37">
            <w:pPr>
              <w:jc w:val="right"/>
              <w:rPr>
                <w:rFonts w:ascii="Calibri" w:hAnsi="Calibri"/>
                <w:sz w:val="20"/>
                <w:szCs w:val="20"/>
              </w:rPr>
            </w:pPr>
            <w:r>
              <w:rPr>
                <w:rFonts w:ascii="Calibri" w:hAnsi="Calibri"/>
                <w:sz w:val="20"/>
                <w:szCs w:val="20"/>
              </w:rPr>
              <w:t>4,977,749.14</w:t>
            </w:r>
          </w:p>
        </w:tc>
        <w:tc>
          <w:tcPr>
            <w:tcW w:w="1985" w:type="dxa"/>
            <w:tcBorders>
              <w:top w:val="single" w:color="auto" w:sz="4" w:space="0"/>
              <w:left w:val="single" w:color="auto" w:sz="4" w:space="0"/>
              <w:bottom w:val="single" w:color="auto" w:sz="4" w:space="0"/>
              <w:right w:val="single" w:color="auto" w:sz="4" w:space="0"/>
            </w:tcBorders>
            <w:vAlign w:val="center"/>
          </w:tcPr>
          <w:p w14:paraId="06B567AC">
            <w:pPr>
              <w:jc w:val="right"/>
              <w:rPr>
                <w:rFonts w:ascii="Calibri" w:hAnsi="Calibri"/>
                <w:sz w:val="20"/>
                <w:szCs w:val="20"/>
              </w:rPr>
            </w:pPr>
            <w:r>
              <w:rPr>
                <w:rFonts w:ascii="Calibri" w:hAnsi="Calibri"/>
                <w:sz w:val="20"/>
                <w:szCs w:val="20"/>
              </w:rPr>
              <w:t>1,603,872.47</w:t>
            </w:r>
          </w:p>
        </w:tc>
        <w:tc>
          <w:tcPr>
            <w:tcW w:w="1862" w:type="dxa"/>
            <w:tcBorders>
              <w:top w:val="single" w:color="auto" w:sz="4" w:space="0"/>
              <w:left w:val="single" w:color="auto" w:sz="4" w:space="0"/>
              <w:bottom w:val="single" w:color="auto" w:sz="4" w:space="0"/>
              <w:right w:val="single" w:color="auto" w:sz="4" w:space="0"/>
            </w:tcBorders>
            <w:vAlign w:val="center"/>
          </w:tcPr>
          <w:p w14:paraId="69385174">
            <w:pPr>
              <w:jc w:val="right"/>
              <w:rPr>
                <w:rFonts w:ascii="Calibri" w:hAnsi="Calibri"/>
                <w:sz w:val="20"/>
                <w:szCs w:val="20"/>
              </w:rPr>
            </w:pPr>
            <w:r>
              <w:rPr>
                <w:rFonts w:ascii="Calibri" w:hAnsi="Calibri"/>
                <w:sz w:val="20"/>
                <w:szCs w:val="20"/>
              </w:rPr>
              <w:t>6,581,621.61</w:t>
            </w:r>
          </w:p>
        </w:tc>
      </w:tr>
      <w:tr w14:paraId="0925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212" w:type="dxa"/>
            <w:tcBorders>
              <w:top w:val="single" w:color="auto" w:sz="4" w:space="0"/>
              <w:left w:val="single" w:color="auto" w:sz="4" w:space="0"/>
              <w:bottom w:val="single" w:color="auto" w:sz="4" w:space="0"/>
              <w:right w:val="single" w:color="auto" w:sz="4" w:space="0"/>
            </w:tcBorders>
            <w:vAlign w:val="center"/>
          </w:tcPr>
          <w:p w14:paraId="2989C74D">
            <w:pPr>
              <w:ind w:firstLine="400" w:firstLineChars="200"/>
              <w:rPr>
                <w:rFonts w:ascii="Calibri" w:hAnsi="Calibri"/>
                <w:sz w:val="20"/>
                <w:szCs w:val="20"/>
              </w:rPr>
            </w:pPr>
            <w:r>
              <w:rPr>
                <w:rFonts w:hint="eastAsia" w:ascii="Calibri" w:hAnsi="Calibri"/>
                <w:sz w:val="20"/>
                <w:szCs w:val="20"/>
              </w:rPr>
              <w:t>（1）处置</w:t>
            </w:r>
          </w:p>
        </w:tc>
        <w:tc>
          <w:tcPr>
            <w:tcW w:w="1987" w:type="dxa"/>
            <w:tcBorders>
              <w:top w:val="single" w:color="auto" w:sz="4" w:space="0"/>
              <w:left w:val="single" w:color="auto" w:sz="4" w:space="0"/>
              <w:bottom w:val="single" w:color="auto" w:sz="4" w:space="0"/>
              <w:right w:val="single" w:color="auto" w:sz="4" w:space="0"/>
            </w:tcBorders>
            <w:vAlign w:val="center"/>
          </w:tcPr>
          <w:p w14:paraId="52C35E7D">
            <w:pPr>
              <w:jc w:val="right"/>
              <w:rPr>
                <w:rFonts w:ascii="Calibri" w:hAnsi="Calibri"/>
                <w:sz w:val="20"/>
                <w:szCs w:val="20"/>
              </w:rPr>
            </w:pPr>
          </w:p>
        </w:tc>
        <w:tc>
          <w:tcPr>
            <w:tcW w:w="1985" w:type="dxa"/>
            <w:tcBorders>
              <w:top w:val="single" w:color="auto" w:sz="4" w:space="0"/>
              <w:left w:val="single" w:color="auto" w:sz="4" w:space="0"/>
              <w:bottom w:val="single" w:color="auto" w:sz="4" w:space="0"/>
              <w:right w:val="single" w:color="auto" w:sz="4" w:space="0"/>
            </w:tcBorders>
            <w:vAlign w:val="center"/>
          </w:tcPr>
          <w:p w14:paraId="13A5D171">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4E32A933">
            <w:pPr>
              <w:jc w:val="right"/>
              <w:rPr>
                <w:rFonts w:ascii="Calibri" w:hAnsi="Calibri"/>
                <w:sz w:val="20"/>
                <w:szCs w:val="20"/>
              </w:rPr>
            </w:pPr>
          </w:p>
        </w:tc>
      </w:tr>
      <w:tr w14:paraId="5879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491E515B">
            <w:pPr>
              <w:ind w:firstLine="400" w:firstLineChars="200"/>
              <w:rPr>
                <w:rFonts w:ascii="Calibri" w:hAnsi="Calibri"/>
                <w:sz w:val="20"/>
                <w:szCs w:val="20"/>
              </w:rPr>
            </w:pPr>
            <w:r>
              <w:rPr>
                <w:rFonts w:hint="eastAsia" w:ascii="Calibri" w:hAnsi="Calibri"/>
                <w:sz w:val="20"/>
                <w:szCs w:val="20"/>
              </w:rPr>
              <w:t>（2）其他转出</w:t>
            </w:r>
          </w:p>
        </w:tc>
        <w:tc>
          <w:tcPr>
            <w:tcW w:w="1987" w:type="dxa"/>
            <w:tcBorders>
              <w:top w:val="single" w:color="auto" w:sz="4" w:space="0"/>
              <w:left w:val="single" w:color="auto" w:sz="4" w:space="0"/>
              <w:bottom w:val="single" w:color="auto" w:sz="4" w:space="0"/>
              <w:right w:val="single" w:color="auto" w:sz="4" w:space="0"/>
            </w:tcBorders>
            <w:vAlign w:val="center"/>
          </w:tcPr>
          <w:p w14:paraId="68DEF3BA">
            <w:pPr>
              <w:jc w:val="right"/>
              <w:rPr>
                <w:rFonts w:ascii="Calibri" w:hAnsi="Calibri"/>
                <w:sz w:val="20"/>
                <w:szCs w:val="20"/>
              </w:rPr>
            </w:pPr>
          </w:p>
        </w:tc>
        <w:tc>
          <w:tcPr>
            <w:tcW w:w="1985" w:type="dxa"/>
            <w:tcBorders>
              <w:top w:val="single" w:color="auto" w:sz="4" w:space="0"/>
              <w:left w:val="single" w:color="auto" w:sz="4" w:space="0"/>
              <w:bottom w:val="single" w:color="auto" w:sz="4" w:space="0"/>
              <w:right w:val="single" w:color="auto" w:sz="4" w:space="0"/>
            </w:tcBorders>
            <w:vAlign w:val="center"/>
          </w:tcPr>
          <w:p w14:paraId="64498254">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1B854D4A">
            <w:pPr>
              <w:jc w:val="right"/>
              <w:rPr>
                <w:rFonts w:ascii="Calibri" w:hAnsi="Calibri"/>
                <w:sz w:val="20"/>
                <w:szCs w:val="20"/>
              </w:rPr>
            </w:pPr>
          </w:p>
        </w:tc>
      </w:tr>
      <w:tr w14:paraId="5BC3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4113A20C">
            <w:pPr>
              <w:ind w:firstLine="400" w:firstLineChars="200"/>
              <w:rPr>
                <w:rFonts w:ascii="Calibri" w:hAnsi="Calibri"/>
                <w:sz w:val="20"/>
                <w:szCs w:val="20"/>
              </w:rPr>
            </w:pPr>
            <w:r>
              <w:rPr>
                <w:rFonts w:hint="eastAsia" w:ascii="Calibri" w:hAnsi="Calibri"/>
                <w:sz w:val="20"/>
                <w:szCs w:val="20"/>
              </w:rPr>
              <w:t>（3）转入固定资产</w:t>
            </w:r>
          </w:p>
        </w:tc>
        <w:tc>
          <w:tcPr>
            <w:tcW w:w="1987" w:type="dxa"/>
            <w:tcBorders>
              <w:top w:val="single" w:color="auto" w:sz="4" w:space="0"/>
              <w:left w:val="single" w:color="auto" w:sz="4" w:space="0"/>
              <w:bottom w:val="single" w:color="auto" w:sz="4" w:space="0"/>
              <w:right w:val="single" w:color="auto" w:sz="4" w:space="0"/>
            </w:tcBorders>
            <w:vAlign w:val="center"/>
          </w:tcPr>
          <w:p w14:paraId="6D784A75">
            <w:pPr>
              <w:jc w:val="right"/>
              <w:rPr>
                <w:rFonts w:ascii="Calibri" w:hAnsi="Calibri"/>
                <w:sz w:val="20"/>
                <w:szCs w:val="20"/>
              </w:rPr>
            </w:pPr>
            <w:r>
              <w:rPr>
                <w:rFonts w:ascii="Calibri" w:hAnsi="Calibri"/>
                <w:sz w:val="20"/>
                <w:szCs w:val="20"/>
              </w:rPr>
              <w:t>4,977,749.14</w:t>
            </w:r>
          </w:p>
        </w:tc>
        <w:tc>
          <w:tcPr>
            <w:tcW w:w="1985" w:type="dxa"/>
            <w:tcBorders>
              <w:top w:val="single" w:color="auto" w:sz="4" w:space="0"/>
              <w:left w:val="single" w:color="auto" w:sz="4" w:space="0"/>
              <w:bottom w:val="single" w:color="auto" w:sz="4" w:space="0"/>
              <w:right w:val="single" w:color="auto" w:sz="4" w:space="0"/>
            </w:tcBorders>
            <w:vAlign w:val="center"/>
          </w:tcPr>
          <w:p w14:paraId="58DD81A1">
            <w:pPr>
              <w:jc w:val="right"/>
              <w:rPr>
                <w:rFonts w:ascii="Calibri" w:hAnsi="Calibri"/>
                <w:sz w:val="20"/>
                <w:szCs w:val="20"/>
              </w:rPr>
            </w:pPr>
            <w:r>
              <w:rPr>
                <w:rFonts w:ascii="Calibri" w:hAnsi="Calibri"/>
                <w:sz w:val="20"/>
                <w:szCs w:val="20"/>
              </w:rPr>
              <w:t>1,603,872.47</w:t>
            </w:r>
          </w:p>
        </w:tc>
        <w:tc>
          <w:tcPr>
            <w:tcW w:w="1862" w:type="dxa"/>
            <w:tcBorders>
              <w:top w:val="single" w:color="auto" w:sz="4" w:space="0"/>
              <w:left w:val="single" w:color="auto" w:sz="4" w:space="0"/>
              <w:bottom w:val="single" w:color="auto" w:sz="4" w:space="0"/>
              <w:right w:val="single" w:color="auto" w:sz="4" w:space="0"/>
            </w:tcBorders>
            <w:vAlign w:val="center"/>
          </w:tcPr>
          <w:p w14:paraId="04FFC5B4">
            <w:pPr>
              <w:jc w:val="right"/>
              <w:rPr>
                <w:rFonts w:ascii="Calibri" w:hAnsi="Calibri"/>
                <w:sz w:val="20"/>
                <w:szCs w:val="20"/>
              </w:rPr>
            </w:pPr>
            <w:r>
              <w:rPr>
                <w:rFonts w:ascii="Calibri" w:hAnsi="Calibri"/>
                <w:sz w:val="20"/>
                <w:szCs w:val="20"/>
              </w:rPr>
              <w:t>6,581,621.61</w:t>
            </w:r>
          </w:p>
        </w:tc>
      </w:tr>
      <w:tr w14:paraId="79F9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2D748241">
            <w:pPr>
              <w:ind w:firstLine="400" w:firstLineChars="200"/>
              <w:rPr>
                <w:rFonts w:ascii="Calibri" w:hAnsi="Calibri"/>
                <w:sz w:val="20"/>
                <w:szCs w:val="20"/>
              </w:rPr>
            </w:pPr>
            <w:r>
              <w:rPr>
                <w:rFonts w:hint="eastAsia" w:ascii="Calibri" w:hAnsi="Calibri"/>
                <w:sz w:val="20"/>
                <w:szCs w:val="20"/>
              </w:rPr>
              <w:t>4.期末余额</w:t>
            </w:r>
          </w:p>
        </w:tc>
        <w:tc>
          <w:tcPr>
            <w:tcW w:w="1987" w:type="dxa"/>
            <w:tcBorders>
              <w:top w:val="single" w:color="auto" w:sz="4" w:space="0"/>
              <w:left w:val="single" w:color="auto" w:sz="4" w:space="0"/>
              <w:bottom w:val="single" w:color="auto" w:sz="4" w:space="0"/>
              <w:right w:val="single" w:color="auto" w:sz="4" w:space="0"/>
            </w:tcBorders>
            <w:vAlign w:val="center"/>
          </w:tcPr>
          <w:p w14:paraId="77F4B5D8">
            <w:pPr>
              <w:jc w:val="right"/>
              <w:rPr>
                <w:rFonts w:ascii="Calibri" w:hAnsi="Calibri"/>
                <w:sz w:val="20"/>
                <w:szCs w:val="20"/>
              </w:rPr>
            </w:pPr>
            <w:r>
              <w:rPr>
                <w:rFonts w:ascii="Calibri" w:hAnsi="Calibri"/>
                <w:sz w:val="20"/>
                <w:szCs w:val="20"/>
              </w:rPr>
              <w:t>126,237,174.71</w:t>
            </w:r>
          </w:p>
        </w:tc>
        <w:tc>
          <w:tcPr>
            <w:tcW w:w="1985" w:type="dxa"/>
            <w:tcBorders>
              <w:top w:val="single" w:color="auto" w:sz="4" w:space="0"/>
              <w:left w:val="single" w:color="auto" w:sz="4" w:space="0"/>
              <w:bottom w:val="single" w:color="auto" w:sz="4" w:space="0"/>
              <w:right w:val="single" w:color="auto" w:sz="4" w:space="0"/>
            </w:tcBorders>
            <w:vAlign w:val="center"/>
          </w:tcPr>
          <w:p w14:paraId="34F85187">
            <w:pPr>
              <w:jc w:val="right"/>
              <w:rPr>
                <w:rFonts w:ascii="Calibri" w:hAnsi="Calibri"/>
                <w:sz w:val="20"/>
                <w:szCs w:val="20"/>
              </w:rPr>
            </w:pPr>
            <w:r>
              <w:rPr>
                <w:rFonts w:ascii="Calibri" w:hAnsi="Calibri"/>
                <w:sz w:val="20"/>
                <w:szCs w:val="20"/>
              </w:rPr>
              <w:t>9,416,124.02</w:t>
            </w:r>
          </w:p>
        </w:tc>
        <w:tc>
          <w:tcPr>
            <w:tcW w:w="1862" w:type="dxa"/>
            <w:tcBorders>
              <w:top w:val="single" w:color="auto" w:sz="4" w:space="0"/>
              <w:left w:val="single" w:color="auto" w:sz="4" w:space="0"/>
              <w:bottom w:val="single" w:color="auto" w:sz="4" w:space="0"/>
              <w:right w:val="single" w:color="auto" w:sz="4" w:space="0"/>
            </w:tcBorders>
            <w:vAlign w:val="center"/>
          </w:tcPr>
          <w:p w14:paraId="2BD6317A">
            <w:pPr>
              <w:jc w:val="right"/>
              <w:rPr>
                <w:rFonts w:ascii="Calibri" w:hAnsi="Calibri"/>
                <w:sz w:val="20"/>
                <w:szCs w:val="20"/>
              </w:rPr>
            </w:pPr>
            <w:r>
              <w:rPr>
                <w:rFonts w:ascii="Calibri" w:hAnsi="Calibri"/>
                <w:sz w:val="20"/>
                <w:szCs w:val="20"/>
              </w:rPr>
              <w:t>135,653,298.73</w:t>
            </w:r>
          </w:p>
        </w:tc>
      </w:tr>
      <w:tr w14:paraId="7D7F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3940980b8e4d4252a71ae8341bbdfc46"/>
            <w:id w:val="-1397509396"/>
          </w:sdtPr>
          <w:sdtContent>
            <w:tc>
              <w:tcPr>
                <w:tcW w:w="9046" w:type="dxa"/>
                <w:gridSpan w:val="4"/>
                <w:tcBorders>
                  <w:top w:val="single" w:color="auto" w:sz="4" w:space="0"/>
                  <w:left w:val="single" w:color="auto" w:sz="4" w:space="0"/>
                  <w:bottom w:val="single" w:color="auto" w:sz="4" w:space="0"/>
                  <w:right w:val="single" w:color="auto" w:sz="4" w:space="0"/>
                </w:tcBorders>
                <w:vAlign w:val="center"/>
              </w:tcPr>
              <w:p w14:paraId="6EBD4BD4">
                <w:pPr>
                  <w:pStyle w:val="48"/>
                  <w:rPr>
                    <w:sz w:val="20"/>
                    <w:szCs w:val="20"/>
                  </w:rPr>
                </w:pPr>
                <w:r>
                  <w:rPr>
                    <w:rFonts w:hint="eastAsia"/>
                    <w:sz w:val="20"/>
                    <w:szCs w:val="20"/>
                  </w:rPr>
                  <w:t>二、累计折旧和累计摊销</w:t>
                </w:r>
              </w:p>
            </w:tc>
          </w:sdtContent>
        </w:sdt>
      </w:tr>
      <w:tr w14:paraId="43E6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72D911F8">
            <w:pPr>
              <w:ind w:firstLine="400" w:firstLineChars="200"/>
              <w:rPr>
                <w:rFonts w:ascii="Calibri" w:hAnsi="Calibri"/>
                <w:sz w:val="20"/>
                <w:szCs w:val="20"/>
              </w:rPr>
            </w:pPr>
            <w:r>
              <w:rPr>
                <w:rFonts w:ascii="Calibri" w:hAnsi="Calibri"/>
                <w:sz w:val="20"/>
                <w:szCs w:val="20"/>
              </w:rPr>
              <w:t>1.</w:t>
            </w:r>
            <w:r>
              <w:rPr>
                <w:rFonts w:hint="eastAsia" w:ascii="Calibri" w:hAnsi="Calibri"/>
                <w:sz w:val="20"/>
                <w:szCs w:val="20"/>
              </w:rPr>
              <w:t>期初余额</w:t>
            </w:r>
          </w:p>
        </w:tc>
        <w:tc>
          <w:tcPr>
            <w:tcW w:w="1987" w:type="dxa"/>
            <w:tcBorders>
              <w:top w:val="single" w:color="auto" w:sz="4" w:space="0"/>
              <w:left w:val="single" w:color="auto" w:sz="4" w:space="0"/>
              <w:bottom w:val="single" w:color="auto" w:sz="4" w:space="0"/>
              <w:right w:val="single" w:color="auto" w:sz="4" w:space="0"/>
            </w:tcBorders>
            <w:vAlign w:val="center"/>
          </w:tcPr>
          <w:p w14:paraId="1FCFB485">
            <w:pPr>
              <w:jc w:val="right"/>
              <w:rPr>
                <w:rFonts w:ascii="Calibri" w:hAnsi="Calibri"/>
                <w:sz w:val="20"/>
                <w:szCs w:val="20"/>
              </w:rPr>
            </w:pPr>
            <w:r>
              <w:rPr>
                <w:rFonts w:ascii="Calibri" w:hAnsi="Calibri"/>
                <w:sz w:val="20"/>
                <w:szCs w:val="20"/>
              </w:rPr>
              <w:t>42,197,283.77</w:t>
            </w:r>
          </w:p>
        </w:tc>
        <w:tc>
          <w:tcPr>
            <w:tcW w:w="1985" w:type="dxa"/>
            <w:tcBorders>
              <w:top w:val="single" w:color="auto" w:sz="4" w:space="0"/>
              <w:left w:val="single" w:color="auto" w:sz="4" w:space="0"/>
              <w:bottom w:val="single" w:color="auto" w:sz="4" w:space="0"/>
              <w:right w:val="single" w:color="auto" w:sz="4" w:space="0"/>
            </w:tcBorders>
            <w:vAlign w:val="center"/>
          </w:tcPr>
          <w:p w14:paraId="2E478F33">
            <w:pPr>
              <w:jc w:val="right"/>
              <w:rPr>
                <w:rFonts w:ascii="Calibri" w:hAnsi="Calibri"/>
                <w:sz w:val="20"/>
                <w:szCs w:val="20"/>
              </w:rPr>
            </w:pPr>
            <w:r>
              <w:rPr>
                <w:rFonts w:ascii="Calibri" w:hAnsi="Calibri"/>
                <w:sz w:val="20"/>
                <w:szCs w:val="20"/>
              </w:rPr>
              <w:t>3,714,540.45</w:t>
            </w:r>
          </w:p>
        </w:tc>
        <w:tc>
          <w:tcPr>
            <w:tcW w:w="1862" w:type="dxa"/>
            <w:tcBorders>
              <w:top w:val="single" w:color="auto" w:sz="4" w:space="0"/>
              <w:left w:val="single" w:color="auto" w:sz="4" w:space="0"/>
              <w:bottom w:val="single" w:color="auto" w:sz="4" w:space="0"/>
              <w:right w:val="single" w:color="auto" w:sz="4" w:space="0"/>
            </w:tcBorders>
            <w:vAlign w:val="center"/>
          </w:tcPr>
          <w:p w14:paraId="2E9C27B4">
            <w:pPr>
              <w:jc w:val="right"/>
              <w:rPr>
                <w:rFonts w:ascii="Calibri" w:hAnsi="Calibri"/>
                <w:sz w:val="20"/>
                <w:szCs w:val="20"/>
              </w:rPr>
            </w:pPr>
            <w:r>
              <w:rPr>
                <w:rFonts w:ascii="Calibri" w:hAnsi="Calibri"/>
                <w:sz w:val="20"/>
                <w:szCs w:val="20"/>
              </w:rPr>
              <w:t>45,911,824.22</w:t>
            </w:r>
          </w:p>
        </w:tc>
      </w:tr>
      <w:tr w14:paraId="2012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1DA94EF9">
            <w:pPr>
              <w:ind w:firstLine="400" w:firstLineChars="200"/>
              <w:rPr>
                <w:rFonts w:ascii="Calibri" w:hAnsi="Calibri"/>
                <w:sz w:val="20"/>
                <w:szCs w:val="20"/>
              </w:rPr>
            </w:pPr>
            <w:r>
              <w:rPr>
                <w:rFonts w:ascii="Calibri" w:hAnsi="Calibri"/>
                <w:sz w:val="20"/>
                <w:szCs w:val="20"/>
              </w:rPr>
              <w:t>2.</w:t>
            </w:r>
            <w:r>
              <w:rPr>
                <w:rFonts w:hint="eastAsia" w:ascii="Calibri" w:hAnsi="Calibri"/>
                <w:sz w:val="20"/>
                <w:szCs w:val="20"/>
              </w:rPr>
              <w:t>本期增加金额</w:t>
            </w:r>
          </w:p>
        </w:tc>
        <w:tc>
          <w:tcPr>
            <w:tcW w:w="1987" w:type="dxa"/>
            <w:tcBorders>
              <w:top w:val="single" w:color="auto" w:sz="4" w:space="0"/>
              <w:left w:val="single" w:color="auto" w:sz="4" w:space="0"/>
              <w:bottom w:val="single" w:color="auto" w:sz="4" w:space="0"/>
              <w:right w:val="single" w:color="auto" w:sz="4" w:space="0"/>
            </w:tcBorders>
            <w:vAlign w:val="center"/>
          </w:tcPr>
          <w:p w14:paraId="5754A7C9">
            <w:pPr>
              <w:jc w:val="right"/>
              <w:rPr>
                <w:rFonts w:ascii="Calibri" w:hAnsi="Calibri"/>
                <w:sz w:val="20"/>
                <w:szCs w:val="20"/>
              </w:rPr>
            </w:pPr>
            <w:r>
              <w:rPr>
                <w:rFonts w:ascii="Calibri" w:hAnsi="Calibri"/>
                <w:sz w:val="20"/>
                <w:szCs w:val="20"/>
              </w:rPr>
              <w:t>4,147,196.59</w:t>
            </w:r>
          </w:p>
        </w:tc>
        <w:tc>
          <w:tcPr>
            <w:tcW w:w="1985" w:type="dxa"/>
            <w:tcBorders>
              <w:top w:val="single" w:color="auto" w:sz="4" w:space="0"/>
              <w:left w:val="single" w:color="auto" w:sz="4" w:space="0"/>
              <w:bottom w:val="single" w:color="auto" w:sz="4" w:space="0"/>
              <w:right w:val="single" w:color="auto" w:sz="4" w:space="0"/>
            </w:tcBorders>
            <w:vAlign w:val="center"/>
          </w:tcPr>
          <w:p w14:paraId="799EF049">
            <w:pPr>
              <w:jc w:val="right"/>
              <w:rPr>
                <w:rFonts w:ascii="Calibri" w:hAnsi="Calibri"/>
                <w:sz w:val="20"/>
                <w:szCs w:val="20"/>
              </w:rPr>
            </w:pPr>
            <w:r>
              <w:rPr>
                <w:rFonts w:ascii="Calibri" w:hAnsi="Calibri"/>
                <w:sz w:val="20"/>
                <w:szCs w:val="20"/>
              </w:rPr>
              <w:t>242,338.10</w:t>
            </w:r>
          </w:p>
        </w:tc>
        <w:tc>
          <w:tcPr>
            <w:tcW w:w="1862" w:type="dxa"/>
            <w:tcBorders>
              <w:top w:val="single" w:color="auto" w:sz="4" w:space="0"/>
              <w:left w:val="single" w:color="auto" w:sz="4" w:space="0"/>
              <w:bottom w:val="single" w:color="auto" w:sz="4" w:space="0"/>
              <w:right w:val="single" w:color="auto" w:sz="4" w:space="0"/>
            </w:tcBorders>
            <w:vAlign w:val="center"/>
          </w:tcPr>
          <w:p w14:paraId="7D5AB73C">
            <w:pPr>
              <w:jc w:val="right"/>
              <w:rPr>
                <w:rFonts w:ascii="Calibri" w:hAnsi="Calibri"/>
                <w:sz w:val="20"/>
                <w:szCs w:val="20"/>
              </w:rPr>
            </w:pPr>
            <w:r>
              <w:rPr>
                <w:rFonts w:ascii="Calibri" w:hAnsi="Calibri"/>
                <w:sz w:val="20"/>
                <w:szCs w:val="20"/>
              </w:rPr>
              <w:t>4,389,534.69</w:t>
            </w:r>
          </w:p>
        </w:tc>
      </w:tr>
      <w:tr w14:paraId="23A9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212" w:type="dxa"/>
            <w:tcBorders>
              <w:top w:val="single" w:color="auto" w:sz="4" w:space="0"/>
              <w:left w:val="single" w:color="auto" w:sz="4" w:space="0"/>
              <w:bottom w:val="single" w:color="auto" w:sz="4" w:space="0"/>
              <w:right w:val="single" w:color="auto" w:sz="4" w:space="0"/>
            </w:tcBorders>
            <w:vAlign w:val="center"/>
          </w:tcPr>
          <w:p w14:paraId="42BD7C8A">
            <w:pPr>
              <w:ind w:firstLine="400" w:firstLineChars="200"/>
              <w:rPr>
                <w:rFonts w:ascii="Calibri" w:hAnsi="Calibri"/>
                <w:sz w:val="20"/>
                <w:szCs w:val="20"/>
              </w:rPr>
            </w:pPr>
            <w:r>
              <w:rPr>
                <w:rFonts w:hint="eastAsia" w:ascii="Calibri" w:hAnsi="Calibri"/>
                <w:sz w:val="20"/>
                <w:szCs w:val="20"/>
              </w:rPr>
              <w:t>（1）计提或摊销</w:t>
            </w:r>
          </w:p>
        </w:tc>
        <w:tc>
          <w:tcPr>
            <w:tcW w:w="1987" w:type="dxa"/>
            <w:tcBorders>
              <w:top w:val="single" w:color="auto" w:sz="4" w:space="0"/>
              <w:left w:val="single" w:color="auto" w:sz="4" w:space="0"/>
              <w:bottom w:val="single" w:color="auto" w:sz="4" w:space="0"/>
              <w:right w:val="single" w:color="auto" w:sz="4" w:space="0"/>
            </w:tcBorders>
            <w:vAlign w:val="center"/>
          </w:tcPr>
          <w:p w14:paraId="1D4F6053">
            <w:pPr>
              <w:jc w:val="right"/>
              <w:rPr>
                <w:rFonts w:ascii="Calibri" w:hAnsi="Calibri"/>
                <w:sz w:val="20"/>
                <w:szCs w:val="20"/>
              </w:rPr>
            </w:pPr>
            <w:r>
              <w:rPr>
                <w:rFonts w:ascii="Calibri" w:hAnsi="Calibri"/>
                <w:sz w:val="20"/>
                <w:szCs w:val="20"/>
              </w:rPr>
              <w:t>4,147,196.59</w:t>
            </w:r>
          </w:p>
        </w:tc>
        <w:tc>
          <w:tcPr>
            <w:tcW w:w="1985" w:type="dxa"/>
            <w:tcBorders>
              <w:top w:val="single" w:color="auto" w:sz="4" w:space="0"/>
              <w:left w:val="single" w:color="auto" w:sz="4" w:space="0"/>
              <w:bottom w:val="single" w:color="auto" w:sz="4" w:space="0"/>
              <w:right w:val="single" w:color="auto" w:sz="4" w:space="0"/>
            </w:tcBorders>
            <w:vAlign w:val="center"/>
          </w:tcPr>
          <w:p w14:paraId="159E1255">
            <w:pPr>
              <w:jc w:val="right"/>
              <w:rPr>
                <w:rFonts w:ascii="Calibri" w:hAnsi="Calibri"/>
                <w:sz w:val="20"/>
                <w:szCs w:val="20"/>
              </w:rPr>
            </w:pPr>
            <w:r>
              <w:rPr>
                <w:rFonts w:ascii="Calibri" w:hAnsi="Calibri"/>
                <w:sz w:val="20"/>
                <w:szCs w:val="20"/>
              </w:rPr>
              <w:t>242,338.10</w:t>
            </w:r>
          </w:p>
        </w:tc>
        <w:tc>
          <w:tcPr>
            <w:tcW w:w="1862" w:type="dxa"/>
            <w:tcBorders>
              <w:top w:val="single" w:color="auto" w:sz="4" w:space="0"/>
              <w:left w:val="single" w:color="auto" w:sz="4" w:space="0"/>
              <w:bottom w:val="single" w:color="auto" w:sz="4" w:space="0"/>
              <w:right w:val="single" w:color="auto" w:sz="4" w:space="0"/>
            </w:tcBorders>
            <w:vAlign w:val="center"/>
          </w:tcPr>
          <w:p w14:paraId="2E538A6C">
            <w:pPr>
              <w:jc w:val="right"/>
              <w:rPr>
                <w:rFonts w:ascii="Calibri" w:hAnsi="Calibri"/>
                <w:sz w:val="20"/>
                <w:szCs w:val="20"/>
              </w:rPr>
            </w:pPr>
            <w:r>
              <w:rPr>
                <w:rFonts w:ascii="Calibri" w:hAnsi="Calibri"/>
                <w:sz w:val="20"/>
                <w:szCs w:val="20"/>
              </w:rPr>
              <w:t>4,389,534.69</w:t>
            </w:r>
          </w:p>
        </w:tc>
      </w:tr>
      <w:tr w14:paraId="16EA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212" w:type="dxa"/>
            <w:tcBorders>
              <w:top w:val="single" w:color="auto" w:sz="4" w:space="0"/>
              <w:left w:val="single" w:color="auto" w:sz="4" w:space="0"/>
              <w:bottom w:val="single" w:color="auto" w:sz="4" w:space="0"/>
              <w:right w:val="single" w:color="auto" w:sz="4" w:space="0"/>
            </w:tcBorders>
            <w:vAlign w:val="center"/>
          </w:tcPr>
          <w:p w14:paraId="73FDEF86">
            <w:pPr>
              <w:ind w:firstLine="400" w:firstLineChars="200"/>
              <w:rPr>
                <w:rFonts w:ascii="Calibri" w:hAnsi="Calibri"/>
                <w:sz w:val="20"/>
                <w:szCs w:val="20"/>
              </w:rPr>
            </w:pPr>
            <w:r>
              <w:rPr>
                <w:rFonts w:hint="eastAsia" w:ascii="Calibri" w:hAnsi="Calibri"/>
                <w:sz w:val="20"/>
                <w:szCs w:val="20"/>
              </w:rPr>
              <w:t>3.本期减少金额</w:t>
            </w:r>
          </w:p>
        </w:tc>
        <w:tc>
          <w:tcPr>
            <w:tcW w:w="1987" w:type="dxa"/>
            <w:tcBorders>
              <w:top w:val="single" w:color="auto" w:sz="4" w:space="0"/>
              <w:left w:val="single" w:color="auto" w:sz="4" w:space="0"/>
              <w:bottom w:val="single" w:color="auto" w:sz="4" w:space="0"/>
              <w:right w:val="single" w:color="auto" w:sz="4" w:space="0"/>
            </w:tcBorders>
            <w:vAlign w:val="center"/>
          </w:tcPr>
          <w:p w14:paraId="2EBB6C8A">
            <w:pPr>
              <w:jc w:val="right"/>
              <w:rPr>
                <w:rFonts w:ascii="Calibri" w:hAnsi="Calibri"/>
                <w:sz w:val="20"/>
                <w:szCs w:val="20"/>
              </w:rPr>
            </w:pPr>
            <w:r>
              <w:rPr>
                <w:rFonts w:ascii="Calibri" w:hAnsi="Calibri"/>
                <w:sz w:val="20"/>
                <w:szCs w:val="20"/>
              </w:rPr>
              <w:t>2,133,760.97</w:t>
            </w:r>
          </w:p>
        </w:tc>
        <w:tc>
          <w:tcPr>
            <w:tcW w:w="1985" w:type="dxa"/>
            <w:tcBorders>
              <w:top w:val="single" w:color="auto" w:sz="4" w:space="0"/>
              <w:left w:val="single" w:color="auto" w:sz="4" w:space="0"/>
              <w:bottom w:val="single" w:color="auto" w:sz="4" w:space="0"/>
              <w:right w:val="single" w:color="auto" w:sz="4" w:space="0"/>
            </w:tcBorders>
            <w:vAlign w:val="center"/>
          </w:tcPr>
          <w:p w14:paraId="6244EE6A">
            <w:pPr>
              <w:jc w:val="right"/>
              <w:rPr>
                <w:rFonts w:ascii="Calibri" w:hAnsi="Calibri"/>
                <w:sz w:val="20"/>
                <w:szCs w:val="20"/>
              </w:rPr>
            </w:pPr>
            <w:r>
              <w:rPr>
                <w:rFonts w:ascii="Calibri" w:hAnsi="Calibri"/>
                <w:sz w:val="20"/>
                <w:szCs w:val="20"/>
              </w:rPr>
              <w:t>665,374.07</w:t>
            </w:r>
          </w:p>
        </w:tc>
        <w:tc>
          <w:tcPr>
            <w:tcW w:w="1862" w:type="dxa"/>
            <w:tcBorders>
              <w:top w:val="single" w:color="auto" w:sz="4" w:space="0"/>
              <w:left w:val="single" w:color="auto" w:sz="4" w:space="0"/>
              <w:bottom w:val="single" w:color="auto" w:sz="4" w:space="0"/>
              <w:right w:val="single" w:color="auto" w:sz="4" w:space="0"/>
            </w:tcBorders>
            <w:vAlign w:val="center"/>
          </w:tcPr>
          <w:p w14:paraId="3CE7F61E">
            <w:pPr>
              <w:jc w:val="right"/>
              <w:rPr>
                <w:rFonts w:ascii="Calibri" w:hAnsi="Calibri"/>
                <w:sz w:val="20"/>
                <w:szCs w:val="20"/>
              </w:rPr>
            </w:pPr>
            <w:r>
              <w:rPr>
                <w:rFonts w:ascii="Calibri" w:hAnsi="Calibri"/>
                <w:sz w:val="20"/>
                <w:szCs w:val="20"/>
              </w:rPr>
              <w:t>2,799,135.04</w:t>
            </w:r>
          </w:p>
        </w:tc>
      </w:tr>
      <w:tr w14:paraId="056A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25377DC9">
            <w:pPr>
              <w:ind w:firstLine="400" w:firstLineChars="200"/>
              <w:rPr>
                <w:rFonts w:ascii="Calibri" w:hAnsi="Calibri"/>
                <w:sz w:val="20"/>
                <w:szCs w:val="20"/>
              </w:rPr>
            </w:pPr>
            <w:r>
              <w:rPr>
                <w:rFonts w:hint="eastAsia" w:ascii="Calibri" w:hAnsi="Calibri"/>
                <w:sz w:val="20"/>
                <w:szCs w:val="20"/>
              </w:rPr>
              <w:t>（1）处置</w:t>
            </w:r>
          </w:p>
        </w:tc>
        <w:tc>
          <w:tcPr>
            <w:tcW w:w="1987" w:type="dxa"/>
            <w:tcBorders>
              <w:top w:val="single" w:color="auto" w:sz="4" w:space="0"/>
              <w:left w:val="single" w:color="auto" w:sz="4" w:space="0"/>
              <w:bottom w:val="single" w:color="auto" w:sz="4" w:space="0"/>
              <w:right w:val="single" w:color="auto" w:sz="4" w:space="0"/>
            </w:tcBorders>
            <w:vAlign w:val="center"/>
          </w:tcPr>
          <w:p w14:paraId="2513843F">
            <w:pPr>
              <w:jc w:val="right"/>
              <w:rPr>
                <w:rFonts w:ascii="Calibri" w:hAnsi="Calibri"/>
                <w:sz w:val="20"/>
                <w:szCs w:val="20"/>
              </w:rPr>
            </w:pPr>
          </w:p>
        </w:tc>
        <w:tc>
          <w:tcPr>
            <w:tcW w:w="1985" w:type="dxa"/>
            <w:tcBorders>
              <w:top w:val="single" w:color="auto" w:sz="4" w:space="0"/>
              <w:left w:val="single" w:color="auto" w:sz="4" w:space="0"/>
              <w:bottom w:val="single" w:color="auto" w:sz="4" w:space="0"/>
              <w:right w:val="single" w:color="auto" w:sz="4" w:space="0"/>
            </w:tcBorders>
            <w:vAlign w:val="center"/>
          </w:tcPr>
          <w:p w14:paraId="4BD4BDED">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1E080493">
            <w:pPr>
              <w:jc w:val="right"/>
              <w:rPr>
                <w:rFonts w:ascii="Calibri" w:hAnsi="Calibri"/>
                <w:sz w:val="20"/>
                <w:szCs w:val="20"/>
              </w:rPr>
            </w:pPr>
          </w:p>
        </w:tc>
      </w:tr>
      <w:tr w14:paraId="3DEC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0612BF6B">
            <w:pPr>
              <w:ind w:firstLine="400" w:firstLineChars="200"/>
              <w:rPr>
                <w:rFonts w:ascii="Calibri" w:hAnsi="Calibri"/>
                <w:sz w:val="20"/>
                <w:szCs w:val="20"/>
              </w:rPr>
            </w:pPr>
            <w:r>
              <w:rPr>
                <w:rFonts w:hint="eastAsia" w:ascii="Calibri" w:hAnsi="Calibri"/>
                <w:sz w:val="20"/>
                <w:szCs w:val="20"/>
              </w:rPr>
              <w:t>（2）其他转出</w:t>
            </w:r>
          </w:p>
        </w:tc>
        <w:tc>
          <w:tcPr>
            <w:tcW w:w="1987" w:type="dxa"/>
            <w:tcBorders>
              <w:top w:val="single" w:color="auto" w:sz="4" w:space="0"/>
              <w:left w:val="single" w:color="auto" w:sz="4" w:space="0"/>
              <w:bottom w:val="single" w:color="auto" w:sz="4" w:space="0"/>
              <w:right w:val="single" w:color="auto" w:sz="4" w:space="0"/>
            </w:tcBorders>
            <w:vAlign w:val="center"/>
          </w:tcPr>
          <w:p w14:paraId="30F0F72C">
            <w:pPr>
              <w:jc w:val="right"/>
              <w:rPr>
                <w:rFonts w:ascii="Calibri" w:hAnsi="Calibri"/>
                <w:sz w:val="20"/>
                <w:szCs w:val="20"/>
              </w:rPr>
            </w:pPr>
          </w:p>
        </w:tc>
        <w:tc>
          <w:tcPr>
            <w:tcW w:w="1985" w:type="dxa"/>
            <w:tcBorders>
              <w:top w:val="single" w:color="auto" w:sz="4" w:space="0"/>
              <w:left w:val="single" w:color="auto" w:sz="4" w:space="0"/>
              <w:bottom w:val="single" w:color="auto" w:sz="4" w:space="0"/>
              <w:right w:val="single" w:color="auto" w:sz="4" w:space="0"/>
            </w:tcBorders>
            <w:vAlign w:val="center"/>
          </w:tcPr>
          <w:p w14:paraId="66F217BD">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37D7E488">
            <w:pPr>
              <w:jc w:val="right"/>
              <w:rPr>
                <w:rFonts w:ascii="Calibri" w:hAnsi="Calibri"/>
                <w:sz w:val="20"/>
                <w:szCs w:val="20"/>
              </w:rPr>
            </w:pPr>
          </w:p>
        </w:tc>
      </w:tr>
      <w:tr w14:paraId="11BF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38C3C393">
            <w:pPr>
              <w:ind w:firstLine="400" w:firstLineChars="200"/>
              <w:rPr>
                <w:rFonts w:ascii="Calibri" w:hAnsi="Calibri"/>
                <w:sz w:val="20"/>
                <w:szCs w:val="20"/>
              </w:rPr>
            </w:pPr>
            <w:r>
              <w:rPr>
                <w:rFonts w:hint="eastAsia" w:ascii="Calibri" w:hAnsi="Calibri"/>
                <w:sz w:val="20"/>
                <w:szCs w:val="20"/>
              </w:rPr>
              <w:t>（3）转入固定资产</w:t>
            </w:r>
          </w:p>
        </w:tc>
        <w:tc>
          <w:tcPr>
            <w:tcW w:w="1987" w:type="dxa"/>
            <w:tcBorders>
              <w:top w:val="single" w:color="auto" w:sz="4" w:space="0"/>
              <w:left w:val="single" w:color="auto" w:sz="4" w:space="0"/>
              <w:bottom w:val="single" w:color="auto" w:sz="4" w:space="0"/>
              <w:right w:val="single" w:color="auto" w:sz="4" w:space="0"/>
            </w:tcBorders>
            <w:vAlign w:val="center"/>
          </w:tcPr>
          <w:p w14:paraId="206E3D95">
            <w:pPr>
              <w:jc w:val="right"/>
              <w:rPr>
                <w:rFonts w:ascii="Calibri" w:hAnsi="Calibri"/>
                <w:sz w:val="20"/>
                <w:szCs w:val="20"/>
              </w:rPr>
            </w:pPr>
            <w:r>
              <w:rPr>
                <w:rFonts w:ascii="Calibri" w:hAnsi="Calibri"/>
                <w:sz w:val="20"/>
                <w:szCs w:val="20"/>
              </w:rPr>
              <w:t>2,133,760.97</w:t>
            </w:r>
          </w:p>
        </w:tc>
        <w:tc>
          <w:tcPr>
            <w:tcW w:w="1985" w:type="dxa"/>
            <w:tcBorders>
              <w:top w:val="single" w:color="auto" w:sz="4" w:space="0"/>
              <w:left w:val="single" w:color="auto" w:sz="4" w:space="0"/>
              <w:bottom w:val="single" w:color="auto" w:sz="4" w:space="0"/>
              <w:right w:val="single" w:color="auto" w:sz="4" w:space="0"/>
            </w:tcBorders>
            <w:vAlign w:val="center"/>
          </w:tcPr>
          <w:p w14:paraId="4B853229">
            <w:pPr>
              <w:jc w:val="right"/>
              <w:rPr>
                <w:rFonts w:ascii="Calibri" w:hAnsi="Calibri"/>
                <w:sz w:val="20"/>
                <w:szCs w:val="20"/>
              </w:rPr>
            </w:pPr>
            <w:r>
              <w:rPr>
                <w:rFonts w:ascii="Calibri" w:hAnsi="Calibri"/>
                <w:sz w:val="20"/>
                <w:szCs w:val="20"/>
              </w:rPr>
              <w:t>665,374.07</w:t>
            </w:r>
          </w:p>
        </w:tc>
        <w:tc>
          <w:tcPr>
            <w:tcW w:w="1862" w:type="dxa"/>
            <w:tcBorders>
              <w:top w:val="single" w:color="auto" w:sz="4" w:space="0"/>
              <w:left w:val="single" w:color="auto" w:sz="4" w:space="0"/>
              <w:bottom w:val="single" w:color="auto" w:sz="4" w:space="0"/>
              <w:right w:val="single" w:color="auto" w:sz="4" w:space="0"/>
            </w:tcBorders>
            <w:vAlign w:val="center"/>
          </w:tcPr>
          <w:p w14:paraId="6B213566">
            <w:pPr>
              <w:jc w:val="right"/>
              <w:rPr>
                <w:rFonts w:ascii="Calibri" w:hAnsi="Calibri"/>
                <w:sz w:val="20"/>
                <w:szCs w:val="20"/>
              </w:rPr>
            </w:pPr>
            <w:r>
              <w:rPr>
                <w:rFonts w:ascii="Calibri" w:hAnsi="Calibri"/>
                <w:sz w:val="20"/>
                <w:szCs w:val="20"/>
              </w:rPr>
              <w:t>2,799,135.04</w:t>
            </w:r>
          </w:p>
        </w:tc>
      </w:tr>
      <w:tr w14:paraId="77FE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212" w:type="dxa"/>
            <w:tcBorders>
              <w:top w:val="single" w:color="auto" w:sz="4" w:space="0"/>
              <w:left w:val="single" w:color="auto" w:sz="4" w:space="0"/>
              <w:bottom w:val="single" w:color="auto" w:sz="4" w:space="0"/>
              <w:right w:val="single" w:color="auto" w:sz="4" w:space="0"/>
            </w:tcBorders>
            <w:vAlign w:val="center"/>
          </w:tcPr>
          <w:p w14:paraId="6307A25D">
            <w:pPr>
              <w:ind w:firstLine="400" w:firstLineChars="200"/>
              <w:rPr>
                <w:rFonts w:ascii="Calibri" w:hAnsi="Calibri"/>
                <w:sz w:val="20"/>
                <w:szCs w:val="20"/>
              </w:rPr>
            </w:pPr>
            <w:r>
              <w:rPr>
                <w:rFonts w:hint="eastAsia" w:ascii="Calibri" w:hAnsi="Calibri"/>
                <w:sz w:val="20"/>
                <w:szCs w:val="20"/>
              </w:rPr>
              <w:t>4.期末余额</w:t>
            </w:r>
          </w:p>
        </w:tc>
        <w:tc>
          <w:tcPr>
            <w:tcW w:w="1987" w:type="dxa"/>
            <w:tcBorders>
              <w:top w:val="single" w:color="auto" w:sz="4" w:space="0"/>
              <w:left w:val="single" w:color="auto" w:sz="4" w:space="0"/>
              <w:bottom w:val="single" w:color="auto" w:sz="4" w:space="0"/>
              <w:right w:val="single" w:color="auto" w:sz="4" w:space="0"/>
            </w:tcBorders>
            <w:vAlign w:val="center"/>
          </w:tcPr>
          <w:p w14:paraId="4E685488">
            <w:pPr>
              <w:jc w:val="right"/>
              <w:rPr>
                <w:rFonts w:ascii="Calibri" w:hAnsi="Calibri"/>
                <w:sz w:val="20"/>
                <w:szCs w:val="20"/>
              </w:rPr>
            </w:pPr>
            <w:r>
              <w:rPr>
                <w:rFonts w:ascii="Calibri" w:hAnsi="Calibri"/>
                <w:sz w:val="20"/>
                <w:szCs w:val="20"/>
              </w:rPr>
              <w:t>44,210,719.39</w:t>
            </w:r>
          </w:p>
        </w:tc>
        <w:tc>
          <w:tcPr>
            <w:tcW w:w="1985" w:type="dxa"/>
            <w:tcBorders>
              <w:top w:val="single" w:color="auto" w:sz="4" w:space="0"/>
              <w:left w:val="single" w:color="auto" w:sz="4" w:space="0"/>
              <w:bottom w:val="single" w:color="auto" w:sz="4" w:space="0"/>
              <w:right w:val="single" w:color="auto" w:sz="4" w:space="0"/>
            </w:tcBorders>
            <w:vAlign w:val="center"/>
          </w:tcPr>
          <w:p w14:paraId="7988DCF2">
            <w:pPr>
              <w:jc w:val="right"/>
              <w:rPr>
                <w:rFonts w:ascii="Calibri" w:hAnsi="Calibri"/>
                <w:sz w:val="20"/>
                <w:szCs w:val="20"/>
              </w:rPr>
            </w:pPr>
            <w:r>
              <w:rPr>
                <w:rFonts w:ascii="Calibri" w:hAnsi="Calibri"/>
                <w:sz w:val="20"/>
                <w:szCs w:val="20"/>
              </w:rPr>
              <w:t>3,291,504.48</w:t>
            </w:r>
          </w:p>
        </w:tc>
        <w:tc>
          <w:tcPr>
            <w:tcW w:w="1862" w:type="dxa"/>
            <w:tcBorders>
              <w:top w:val="single" w:color="auto" w:sz="4" w:space="0"/>
              <w:left w:val="single" w:color="auto" w:sz="4" w:space="0"/>
              <w:bottom w:val="single" w:color="auto" w:sz="4" w:space="0"/>
              <w:right w:val="single" w:color="auto" w:sz="4" w:space="0"/>
            </w:tcBorders>
            <w:vAlign w:val="center"/>
          </w:tcPr>
          <w:p w14:paraId="69AABEB8">
            <w:pPr>
              <w:jc w:val="right"/>
              <w:rPr>
                <w:rFonts w:ascii="Calibri" w:hAnsi="Calibri"/>
                <w:sz w:val="20"/>
                <w:szCs w:val="20"/>
              </w:rPr>
            </w:pPr>
            <w:r>
              <w:rPr>
                <w:rFonts w:ascii="Calibri" w:hAnsi="Calibri"/>
                <w:sz w:val="20"/>
                <w:szCs w:val="20"/>
              </w:rPr>
              <w:t>47,502,223.87</w:t>
            </w:r>
          </w:p>
        </w:tc>
      </w:tr>
      <w:tr w14:paraId="2878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sdt>
          <w:sdtPr>
            <w:tag w:val="_PLD_c10b5aad27764e4b8d082d8300c71859"/>
            <w:id w:val="1912505524"/>
          </w:sdtPr>
          <w:sdtContent>
            <w:tc>
              <w:tcPr>
                <w:tcW w:w="9046" w:type="dxa"/>
                <w:gridSpan w:val="4"/>
                <w:tcBorders>
                  <w:top w:val="single" w:color="auto" w:sz="4" w:space="0"/>
                  <w:left w:val="single" w:color="auto" w:sz="4" w:space="0"/>
                  <w:bottom w:val="single" w:color="auto" w:sz="4" w:space="0"/>
                  <w:right w:val="single" w:color="auto" w:sz="4" w:space="0"/>
                </w:tcBorders>
                <w:vAlign w:val="center"/>
              </w:tcPr>
              <w:p w14:paraId="6CC2E545">
                <w:pPr>
                  <w:pStyle w:val="48"/>
                  <w:rPr>
                    <w:sz w:val="20"/>
                    <w:szCs w:val="20"/>
                  </w:rPr>
                </w:pPr>
                <w:r>
                  <w:rPr>
                    <w:rFonts w:hint="eastAsia"/>
                    <w:sz w:val="20"/>
                    <w:szCs w:val="20"/>
                  </w:rPr>
                  <w:t>三、减值准备</w:t>
                </w:r>
              </w:p>
            </w:tc>
          </w:sdtContent>
        </w:sdt>
      </w:tr>
      <w:tr w14:paraId="6CEA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09542BAE">
            <w:pPr>
              <w:ind w:firstLine="400" w:firstLineChars="200"/>
              <w:rPr>
                <w:rFonts w:ascii="Calibri" w:hAnsi="Calibri"/>
                <w:sz w:val="20"/>
                <w:szCs w:val="20"/>
              </w:rPr>
            </w:pPr>
            <w:r>
              <w:rPr>
                <w:rFonts w:ascii="Calibri" w:hAnsi="Calibri"/>
                <w:sz w:val="20"/>
                <w:szCs w:val="20"/>
              </w:rPr>
              <w:t>1.</w:t>
            </w:r>
            <w:r>
              <w:rPr>
                <w:rFonts w:hint="eastAsia" w:ascii="Calibri" w:hAnsi="Calibri"/>
                <w:sz w:val="20"/>
                <w:szCs w:val="20"/>
              </w:rPr>
              <w:t>期初余额</w:t>
            </w:r>
          </w:p>
        </w:tc>
        <w:tc>
          <w:tcPr>
            <w:tcW w:w="1987" w:type="dxa"/>
            <w:tcBorders>
              <w:top w:val="single" w:color="auto" w:sz="4" w:space="0"/>
              <w:left w:val="single" w:color="auto" w:sz="4" w:space="0"/>
              <w:bottom w:val="single" w:color="auto" w:sz="4" w:space="0"/>
              <w:right w:val="single" w:color="auto" w:sz="4" w:space="0"/>
            </w:tcBorders>
            <w:vAlign w:val="center"/>
          </w:tcPr>
          <w:p w14:paraId="37DC625A">
            <w:pPr>
              <w:jc w:val="right"/>
              <w:rPr>
                <w:rFonts w:ascii="Calibri" w:hAnsi="Calibri"/>
                <w:sz w:val="20"/>
                <w:szCs w:val="20"/>
              </w:rPr>
            </w:pPr>
          </w:p>
        </w:tc>
        <w:tc>
          <w:tcPr>
            <w:tcW w:w="1985" w:type="dxa"/>
            <w:tcBorders>
              <w:top w:val="single" w:color="auto" w:sz="4" w:space="0"/>
              <w:left w:val="single" w:color="auto" w:sz="4" w:space="0"/>
              <w:bottom w:val="single" w:color="auto" w:sz="4" w:space="0"/>
              <w:right w:val="single" w:color="auto" w:sz="4" w:space="0"/>
            </w:tcBorders>
            <w:vAlign w:val="center"/>
          </w:tcPr>
          <w:p w14:paraId="0453EA2A">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0BB49228">
            <w:pPr>
              <w:jc w:val="right"/>
              <w:rPr>
                <w:rFonts w:ascii="Calibri" w:hAnsi="Calibri"/>
                <w:sz w:val="20"/>
                <w:szCs w:val="20"/>
              </w:rPr>
            </w:pPr>
          </w:p>
        </w:tc>
      </w:tr>
      <w:tr w14:paraId="279C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212" w:type="dxa"/>
            <w:tcBorders>
              <w:top w:val="single" w:color="auto" w:sz="4" w:space="0"/>
              <w:left w:val="single" w:color="auto" w:sz="4" w:space="0"/>
              <w:bottom w:val="single" w:color="auto" w:sz="4" w:space="0"/>
              <w:right w:val="single" w:color="auto" w:sz="4" w:space="0"/>
            </w:tcBorders>
            <w:vAlign w:val="center"/>
          </w:tcPr>
          <w:p w14:paraId="72725205">
            <w:pPr>
              <w:ind w:firstLine="400" w:firstLineChars="200"/>
              <w:rPr>
                <w:rFonts w:ascii="Calibri" w:hAnsi="Calibri"/>
                <w:sz w:val="20"/>
                <w:szCs w:val="20"/>
              </w:rPr>
            </w:pPr>
            <w:r>
              <w:rPr>
                <w:rFonts w:ascii="Calibri" w:hAnsi="Calibri"/>
                <w:sz w:val="20"/>
                <w:szCs w:val="20"/>
              </w:rPr>
              <w:t>2.</w:t>
            </w:r>
            <w:r>
              <w:rPr>
                <w:rFonts w:hint="eastAsia" w:ascii="Calibri" w:hAnsi="Calibri"/>
                <w:sz w:val="20"/>
                <w:szCs w:val="20"/>
              </w:rPr>
              <w:t>本期增加金额</w:t>
            </w:r>
          </w:p>
        </w:tc>
        <w:tc>
          <w:tcPr>
            <w:tcW w:w="1987" w:type="dxa"/>
            <w:tcBorders>
              <w:top w:val="single" w:color="auto" w:sz="4" w:space="0"/>
              <w:left w:val="single" w:color="auto" w:sz="4" w:space="0"/>
              <w:bottom w:val="single" w:color="auto" w:sz="4" w:space="0"/>
              <w:right w:val="single" w:color="auto" w:sz="4" w:space="0"/>
            </w:tcBorders>
            <w:vAlign w:val="center"/>
          </w:tcPr>
          <w:p w14:paraId="777B9337">
            <w:pPr>
              <w:jc w:val="right"/>
              <w:rPr>
                <w:rFonts w:ascii="Calibri" w:hAnsi="Calibri"/>
                <w:sz w:val="20"/>
                <w:szCs w:val="20"/>
              </w:rPr>
            </w:pPr>
            <w:r>
              <w:rPr>
                <w:rFonts w:ascii="Calibri" w:hAnsi="Calibri"/>
                <w:sz w:val="20"/>
                <w:szCs w:val="20"/>
              </w:rPr>
              <w:t>728,824.01</w:t>
            </w:r>
          </w:p>
        </w:tc>
        <w:tc>
          <w:tcPr>
            <w:tcW w:w="1985" w:type="dxa"/>
            <w:tcBorders>
              <w:top w:val="single" w:color="auto" w:sz="4" w:space="0"/>
              <w:left w:val="single" w:color="auto" w:sz="4" w:space="0"/>
              <w:bottom w:val="single" w:color="auto" w:sz="4" w:space="0"/>
              <w:right w:val="single" w:color="auto" w:sz="4" w:space="0"/>
            </w:tcBorders>
            <w:vAlign w:val="center"/>
          </w:tcPr>
          <w:p w14:paraId="5B926C31">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3B2C8FAD">
            <w:pPr>
              <w:jc w:val="right"/>
              <w:rPr>
                <w:rFonts w:ascii="Calibri" w:hAnsi="Calibri"/>
                <w:sz w:val="20"/>
                <w:szCs w:val="20"/>
              </w:rPr>
            </w:pPr>
            <w:r>
              <w:rPr>
                <w:rFonts w:ascii="Calibri" w:hAnsi="Calibri"/>
                <w:sz w:val="20"/>
                <w:szCs w:val="20"/>
              </w:rPr>
              <w:t>728,824.01</w:t>
            </w:r>
          </w:p>
        </w:tc>
      </w:tr>
      <w:tr w14:paraId="0EBC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38FAAC49">
            <w:pPr>
              <w:ind w:firstLine="400" w:firstLineChars="200"/>
              <w:rPr>
                <w:rFonts w:ascii="Calibri" w:hAnsi="Calibri"/>
                <w:sz w:val="20"/>
                <w:szCs w:val="20"/>
              </w:rPr>
            </w:pPr>
            <w:r>
              <w:rPr>
                <w:rFonts w:hint="eastAsia" w:ascii="Calibri" w:hAnsi="Calibri"/>
                <w:sz w:val="20"/>
                <w:szCs w:val="20"/>
              </w:rPr>
              <w:t>（1）计提</w:t>
            </w:r>
          </w:p>
        </w:tc>
        <w:tc>
          <w:tcPr>
            <w:tcW w:w="1987" w:type="dxa"/>
            <w:tcBorders>
              <w:top w:val="single" w:color="auto" w:sz="4" w:space="0"/>
              <w:left w:val="single" w:color="auto" w:sz="4" w:space="0"/>
              <w:bottom w:val="single" w:color="auto" w:sz="4" w:space="0"/>
              <w:right w:val="single" w:color="auto" w:sz="4" w:space="0"/>
            </w:tcBorders>
            <w:vAlign w:val="center"/>
          </w:tcPr>
          <w:p w14:paraId="60BD67F7">
            <w:pPr>
              <w:jc w:val="right"/>
              <w:rPr>
                <w:rFonts w:ascii="Calibri" w:hAnsi="Calibri"/>
                <w:sz w:val="20"/>
                <w:szCs w:val="20"/>
              </w:rPr>
            </w:pPr>
            <w:r>
              <w:rPr>
                <w:rFonts w:ascii="Calibri" w:hAnsi="Calibri"/>
                <w:sz w:val="20"/>
                <w:szCs w:val="20"/>
              </w:rPr>
              <w:t>728,824.01</w:t>
            </w:r>
          </w:p>
        </w:tc>
        <w:tc>
          <w:tcPr>
            <w:tcW w:w="1985" w:type="dxa"/>
            <w:tcBorders>
              <w:top w:val="single" w:color="auto" w:sz="4" w:space="0"/>
              <w:left w:val="single" w:color="auto" w:sz="4" w:space="0"/>
              <w:bottom w:val="single" w:color="auto" w:sz="4" w:space="0"/>
              <w:right w:val="single" w:color="auto" w:sz="4" w:space="0"/>
            </w:tcBorders>
            <w:vAlign w:val="center"/>
          </w:tcPr>
          <w:p w14:paraId="1DDF9394">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2E6336E5">
            <w:pPr>
              <w:jc w:val="right"/>
              <w:rPr>
                <w:rFonts w:ascii="Calibri" w:hAnsi="Calibri"/>
                <w:sz w:val="20"/>
                <w:szCs w:val="20"/>
              </w:rPr>
            </w:pPr>
            <w:r>
              <w:rPr>
                <w:rFonts w:ascii="Calibri" w:hAnsi="Calibri"/>
                <w:sz w:val="20"/>
                <w:szCs w:val="20"/>
              </w:rPr>
              <w:t>728,824.01</w:t>
            </w:r>
          </w:p>
        </w:tc>
      </w:tr>
      <w:tr w14:paraId="3F5B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212" w:type="dxa"/>
            <w:tcBorders>
              <w:top w:val="single" w:color="auto" w:sz="4" w:space="0"/>
              <w:left w:val="single" w:color="auto" w:sz="4" w:space="0"/>
              <w:bottom w:val="single" w:color="auto" w:sz="4" w:space="0"/>
              <w:right w:val="single" w:color="auto" w:sz="4" w:space="0"/>
            </w:tcBorders>
            <w:vAlign w:val="center"/>
          </w:tcPr>
          <w:p w14:paraId="7E49882D">
            <w:pPr>
              <w:ind w:firstLine="400" w:firstLineChars="200"/>
              <w:rPr>
                <w:rFonts w:ascii="Calibri" w:hAnsi="Calibri"/>
                <w:sz w:val="20"/>
                <w:szCs w:val="20"/>
              </w:rPr>
            </w:pPr>
            <w:r>
              <w:rPr>
                <w:rFonts w:hint="eastAsia" w:ascii="Calibri" w:hAnsi="Calibri"/>
                <w:sz w:val="20"/>
                <w:szCs w:val="20"/>
              </w:rPr>
              <w:t>3、本期减少金额</w:t>
            </w:r>
          </w:p>
        </w:tc>
        <w:tc>
          <w:tcPr>
            <w:tcW w:w="1987" w:type="dxa"/>
            <w:tcBorders>
              <w:top w:val="single" w:color="auto" w:sz="4" w:space="0"/>
              <w:left w:val="single" w:color="auto" w:sz="4" w:space="0"/>
              <w:bottom w:val="single" w:color="auto" w:sz="4" w:space="0"/>
              <w:right w:val="single" w:color="auto" w:sz="4" w:space="0"/>
            </w:tcBorders>
            <w:vAlign w:val="center"/>
          </w:tcPr>
          <w:p w14:paraId="7FF9B003">
            <w:pPr>
              <w:jc w:val="right"/>
              <w:rPr>
                <w:rFonts w:ascii="Calibri" w:hAnsi="Calibri"/>
                <w:sz w:val="20"/>
                <w:szCs w:val="20"/>
              </w:rPr>
            </w:pPr>
          </w:p>
        </w:tc>
        <w:tc>
          <w:tcPr>
            <w:tcW w:w="1985" w:type="dxa"/>
            <w:tcBorders>
              <w:top w:val="single" w:color="auto" w:sz="4" w:space="0"/>
              <w:left w:val="single" w:color="auto" w:sz="4" w:space="0"/>
              <w:bottom w:val="single" w:color="auto" w:sz="4" w:space="0"/>
              <w:right w:val="single" w:color="auto" w:sz="4" w:space="0"/>
            </w:tcBorders>
            <w:vAlign w:val="center"/>
          </w:tcPr>
          <w:p w14:paraId="351A760A">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389BA577">
            <w:pPr>
              <w:jc w:val="right"/>
              <w:rPr>
                <w:rFonts w:ascii="Calibri" w:hAnsi="Calibri"/>
                <w:sz w:val="20"/>
                <w:szCs w:val="20"/>
              </w:rPr>
            </w:pPr>
          </w:p>
        </w:tc>
      </w:tr>
      <w:tr w14:paraId="6449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212" w:type="dxa"/>
            <w:tcBorders>
              <w:top w:val="single" w:color="auto" w:sz="4" w:space="0"/>
              <w:left w:val="single" w:color="auto" w:sz="4" w:space="0"/>
              <w:bottom w:val="single" w:color="auto" w:sz="4" w:space="0"/>
              <w:right w:val="single" w:color="auto" w:sz="4" w:space="0"/>
            </w:tcBorders>
            <w:vAlign w:val="center"/>
          </w:tcPr>
          <w:p w14:paraId="6FCEA5EA">
            <w:pPr>
              <w:ind w:firstLine="400" w:firstLineChars="200"/>
              <w:rPr>
                <w:rFonts w:ascii="Calibri" w:hAnsi="Calibri"/>
                <w:sz w:val="20"/>
                <w:szCs w:val="20"/>
              </w:rPr>
            </w:pPr>
            <w:r>
              <w:rPr>
                <w:rFonts w:hint="eastAsia" w:ascii="Calibri" w:hAnsi="Calibri"/>
                <w:sz w:val="20"/>
                <w:szCs w:val="20"/>
              </w:rPr>
              <w:t>（1）处置</w:t>
            </w:r>
          </w:p>
        </w:tc>
        <w:tc>
          <w:tcPr>
            <w:tcW w:w="1987" w:type="dxa"/>
            <w:tcBorders>
              <w:top w:val="single" w:color="auto" w:sz="4" w:space="0"/>
              <w:left w:val="single" w:color="auto" w:sz="4" w:space="0"/>
              <w:bottom w:val="single" w:color="auto" w:sz="4" w:space="0"/>
              <w:right w:val="single" w:color="auto" w:sz="4" w:space="0"/>
            </w:tcBorders>
            <w:vAlign w:val="center"/>
          </w:tcPr>
          <w:p w14:paraId="2D866457">
            <w:pPr>
              <w:jc w:val="right"/>
              <w:rPr>
                <w:rFonts w:ascii="Calibri" w:hAnsi="Calibri"/>
                <w:sz w:val="20"/>
                <w:szCs w:val="20"/>
              </w:rPr>
            </w:pPr>
          </w:p>
        </w:tc>
        <w:tc>
          <w:tcPr>
            <w:tcW w:w="1985" w:type="dxa"/>
            <w:tcBorders>
              <w:top w:val="single" w:color="auto" w:sz="4" w:space="0"/>
              <w:left w:val="single" w:color="auto" w:sz="4" w:space="0"/>
              <w:bottom w:val="single" w:color="auto" w:sz="4" w:space="0"/>
              <w:right w:val="single" w:color="auto" w:sz="4" w:space="0"/>
            </w:tcBorders>
            <w:vAlign w:val="center"/>
          </w:tcPr>
          <w:p w14:paraId="40ADFCA8">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43C795F7">
            <w:pPr>
              <w:jc w:val="right"/>
              <w:rPr>
                <w:rFonts w:ascii="Calibri" w:hAnsi="Calibri"/>
                <w:sz w:val="20"/>
                <w:szCs w:val="20"/>
              </w:rPr>
            </w:pPr>
          </w:p>
        </w:tc>
      </w:tr>
      <w:tr w14:paraId="6895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212" w:type="dxa"/>
            <w:tcBorders>
              <w:top w:val="single" w:color="auto" w:sz="4" w:space="0"/>
              <w:left w:val="single" w:color="auto" w:sz="4" w:space="0"/>
              <w:bottom w:val="single" w:color="auto" w:sz="4" w:space="0"/>
              <w:right w:val="single" w:color="auto" w:sz="4" w:space="0"/>
            </w:tcBorders>
            <w:vAlign w:val="center"/>
          </w:tcPr>
          <w:p w14:paraId="013CAA88">
            <w:pPr>
              <w:ind w:firstLine="400" w:firstLineChars="200"/>
              <w:rPr>
                <w:rFonts w:ascii="Calibri" w:hAnsi="Calibri"/>
                <w:sz w:val="20"/>
                <w:szCs w:val="20"/>
              </w:rPr>
            </w:pPr>
            <w:r>
              <w:rPr>
                <w:rFonts w:hint="eastAsia" w:ascii="Calibri" w:hAnsi="Calibri"/>
                <w:sz w:val="20"/>
                <w:szCs w:val="20"/>
              </w:rPr>
              <w:t>（2）其他转出</w:t>
            </w:r>
          </w:p>
        </w:tc>
        <w:tc>
          <w:tcPr>
            <w:tcW w:w="1987" w:type="dxa"/>
            <w:tcBorders>
              <w:top w:val="single" w:color="auto" w:sz="4" w:space="0"/>
              <w:left w:val="single" w:color="auto" w:sz="4" w:space="0"/>
              <w:bottom w:val="single" w:color="auto" w:sz="4" w:space="0"/>
              <w:right w:val="single" w:color="auto" w:sz="4" w:space="0"/>
            </w:tcBorders>
            <w:vAlign w:val="center"/>
          </w:tcPr>
          <w:p w14:paraId="0844667C">
            <w:pPr>
              <w:jc w:val="right"/>
              <w:rPr>
                <w:rFonts w:ascii="Calibri" w:hAnsi="Calibri"/>
                <w:sz w:val="20"/>
                <w:szCs w:val="20"/>
              </w:rPr>
            </w:pPr>
          </w:p>
        </w:tc>
        <w:tc>
          <w:tcPr>
            <w:tcW w:w="1985" w:type="dxa"/>
            <w:tcBorders>
              <w:top w:val="single" w:color="auto" w:sz="4" w:space="0"/>
              <w:left w:val="single" w:color="auto" w:sz="4" w:space="0"/>
              <w:bottom w:val="single" w:color="auto" w:sz="4" w:space="0"/>
              <w:right w:val="single" w:color="auto" w:sz="4" w:space="0"/>
            </w:tcBorders>
            <w:vAlign w:val="center"/>
          </w:tcPr>
          <w:p w14:paraId="3B8EDA9E">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7C2F6C90">
            <w:pPr>
              <w:jc w:val="right"/>
              <w:rPr>
                <w:rFonts w:ascii="Calibri" w:hAnsi="Calibri"/>
                <w:sz w:val="20"/>
                <w:szCs w:val="20"/>
              </w:rPr>
            </w:pPr>
          </w:p>
        </w:tc>
      </w:tr>
      <w:tr w14:paraId="7668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75D9AC6D">
            <w:pPr>
              <w:ind w:firstLine="400" w:firstLineChars="200"/>
              <w:rPr>
                <w:rFonts w:ascii="Calibri" w:hAnsi="Calibri"/>
                <w:sz w:val="20"/>
                <w:szCs w:val="20"/>
              </w:rPr>
            </w:pPr>
            <w:r>
              <w:rPr>
                <w:rFonts w:hint="eastAsia" w:ascii="Calibri" w:hAnsi="Calibri"/>
                <w:sz w:val="20"/>
                <w:szCs w:val="20"/>
              </w:rPr>
              <w:t>4.期末余额</w:t>
            </w:r>
          </w:p>
        </w:tc>
        <w:tc>
          <w:tcPr>
            <w:tcW w:w="1987" w:type="dxa"/>
            <w:tcBorders>
              <w:top w:val="single" w:color="auto" w:sz="4" w:space="0"/>
              <w:left w:val="single" w:color="auto" w:sz="4" w:space="0"/>
              <w:bottom w:val="single" w:color="auto" w:sz="4" w:space="0"/>
              <w:right w:val="single" w:color="auto" w:sz="4" w:space="0"/>
            </w:tcBorders>
            <w:vAlign w:val="center"/>
          </w:tcPr>
          <w:p w14:paraId="72E775B3">
            <w:pPr>
              <w:jc w:val="right"/>
              <w:rPr>
                <w:rFonts w:ascii="Calibri" w:hAnsi="Calibri"/>
                <w:sz w:val="20"/>
                <w:szCs w:val="20"/>
              </w:rPr>
            </w:pPr>
            <w:r>
              <w:rPr>
                <w:rFonts w:ascii="Calibri" w:hAnsi="Calibri"/>
                <w:sz w:val="20"/>
                <w:szCs w:val="20"/>
              </w:rPr>
              <w:t>728,824.01</w:t>
            </w:r>
          </w:p>
        </w:tc>
        <w:tc>
          <w:tcPr>
            <w:tcW w:w="1985" w:type="dxa"/>
            <w:tcBorders>
              <w:top w:val="single" w:color="auto" w:sz="4" w:space="0"/>
              <w:left w:val="single" w:color="auto" w:sz="4" w:space="0"/>
              <w:bottom w:val="single" w:color="auto" w:sz="4" w:space="0"/>
              <w:right w:val="single" w:color="auto" w:sz="4" w:space="0"/>
            </w:tcBorders>
            <w:vAlign w:val="center"/>
          </w:tcPr>
          <w:p w14:paraId="615015B7">
            <w:pPr>
              <w:jc w:val="right"/>
              <w:rPr>
                <w:rFonts w:ascii="Calibri" w:hAnsi="Calibri"/>
                <w:sz w:val="20"/>
                <w:szCs w:val="20"/>
              </w:rPr>
            </w:pPr>
          </w:p>
        </w:tc>
        <w:tc>
          <w:tcPr>
            <w:tcW w:w="1862" w:type="dxa"/>
            <w:tcBorders>
              <w:top w:val="single" w:color="auto" w:sz="4" w:space="0"/>
              <w:left w:val="single" w:color="auto" w:sz="4" w:space="0"/>
              <w:bottom w:val="single" w:color="auto" w:sz="4" w:space="0"/>
              <w:right w:val="single" w:color="auto" w:sz="4" w:space="0"/>
            </w:tcBorders>
            <w:vAlign w:val="center"/>
          </w:tcPr>
          <w:p w14:paraId="06738FAC">
            <w:pPr>
              <w:jc w:val="right"/>
              <w:rPr>
                <w:rFonts w:ascii="Calibri" w:hAnsi="Calibri"/>
                <w:sz w:val="20"/>
                <w:szCs w:val="20"/>
              </w:rPr>
            </w:pPr>
            <w:r>
              <w:rPr>
                <w:rFonts w:ascii="Calibri" w:hAnsi="Calibri"/>
                <w:sz w:val="20"/>
                <w:szCs w:val="20"/>
              </w:rPr>
              <w:t>728,824.01</w:t>
            </w:r>
          </w:p>
        </w:tc>
      </w:tr>
      <w:tr w14:paraId="0BEF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5ad25d173a164f90a33b80cf52189833"/>
            <w:id w:val="1249924121"/>
          </w:sdtPr>
          <w:sdtContent>
            <w:tc>
              <w:tcPr>
                <w:tcW w:w="9046" w:type="dxa"/>
                <w:gridSpan w:val="4"/>
                <w:tcBorders>
                  <w:top w:val="single" w:color="auto" w:sz="4" w:space="0"/>
                  <w:left w:val="single" w:color="auto" w:sz="4" w:space="0"/>
                  <w:bottom w:val="single" w:color="auto" w:sz="4" w:space="0"/>
                  <w:right w:val="single" w:color="auto" w:sz="4" w:space="0"/>
                </w:tcBorders>
                <w:vAlign w:val="center"/>
              </w:tcPr>
              <w:p w14:paraId="067DC90F">
                <w:pPr>
                  <w:pStyle w:val="48"/>
                  <w:rPr>
                    <w:sz w:val="20"/>
                    <w:szCs w:val="20"/>
                  </w:rPr>
                </w:pPr>
                <w:r>
                  <w:rPr>
                    <w:rFonts w:hint="eastAsia"/>
                    <w:sz w:val="20"/>
                    <w:szCs w:val="20"/>
                  </w:rPr>
                  <w:t>四、账面价值</w:t>
                </w:r>
              </w:p>
            </w:tc>
          </w:sdtContent>
        </w:sdt>
      </w:tr>
      <w:tr w14:paraId="7007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12" w:type="dxa"/>
            <w:tcBorders>
              <w:top w:val="single" w:color="auto" w:sz="4" w:space="0"/>
              <w:left w:val="single" w:color="auto" w:sz="4" w:space="0"/>
              <w:bottom w:val="single" w:color="auto" w:sz="4" w:space="0"/>
              <w:right w:val="single" w:color="auto" w:sz="4" w:space="0"/>
            </w:tcBorders>
            <w:vAlign w:val="center"/>
          </w:tcPr>
          <w:p w14:paraId="65CB4141">
            <w:pPr>
              <w:ind w:firstLine="300" w:firstLineChars="150"/>
              <w:rPr>
                <w:rFonts w:ascii="Calibri" w:hAnsi="Calibri"/>
                <w:sz w:val="20"/>
                <w:szCs w:val="20"/>
              </w:rPr>
            </w:pPr>
            <w:r>
              <w:rPr>
                <w:rFonts w:ascii="Calibri" w:hAnsi="Calibri"/>
                <w:sz w:val="20"/>
                <w:szCs w:val="20"/>
              </w:rPr>
              <w:t>1.</w:t>
            </w:r>
            <w:r>
              <w:rPr>
                <w:rFonts w:hint="eastAsia" w:ascii="Calibri" w:hAnsi="Calibri"/>
                <w:sz w:val="20"/>
                <w:szCs w:val="20"/>
              </w:rPr>
              <w:t>期末账面价值</w:t>
            </w:r>
          </w:p>
        </w:tc>
        <w:tc>
          <w:tcPr>
            <w:tcW w:w="1987" w:type="dxa"/>
            <w:tcBorders>
              <w:top w:val="single" w:color="auto" w:sz="4" w:space="0"/>
              <w:left w:val="single" w:color="auto" w:sz="4" w:space="0"/>
              <w:bottom w:val="single" w:color="auto" w:sz="4" w:space="0"/>
              <w:right w:val="single" w:color="auto" w:sz="4" w:space="0"/>
            </w:tcBorders>
            <w:vAlign w:val="center"/>
          </w:tcPr>
          <w:p w14:paraId="3E63A517">
            <w:pPr>
              <w:jc w:val="right"/>
              <w:rPr>
                <w:rFonts w:ascii="Calibri" w:hAnsi="Calibri"/>
                <w:sz w:val="20"/>
                <w:szCs w:val="20"/>
              </w:rPr>
            </w:pPr>
            <w:r>
              <w:rPr>
                <w:rFonts w:ascii="Calibri" w:hAnsi="Calibri"/>
                <w:sz w:val="20"/>
                <w:szCs w:val="20"/>
              </w:rPr>
              <w:t>81,297,631.31</w:t>
            </w:r>
          </w:p>
        </w:tc>
        <w:tc>
          <w:tcPr>
            <w:tcW w:w="1985" w:type="dxa"/>
            <w:tcBorders>
              <w:top w:val="single" w:color="auto" w:sz="4" w:space="0"/>
              <w:left w:val="single" w:color="auto" w:sz="4" w:space="0"/>
              <w:bottom w:val="single" w:color="auto" w:sz="4" w:space="0"/>
              <w:right w:val="single" w:color="auto" w:sz="4" w:space="0"/>
            </w:tcBorders>
            <w:vAlign w:val="center"/>
          </w:tcPr>
          <w:p w14:paraId="166462E5">
            <w:pPr>
              <w:jc w:val="right"/>
              <w:rPr>
                <w:rFonts w:ascii="Calibri" w:hAnsi="Calibri"/>
                <w:sz w:val="20"/>
                <w:szCs w:val="20"/>
              </w:rPr>
            </w:pPr>
            <w:r>
              <w:rPr>
                <w:rFonts w:ascii="Calibri" w:hAnsi="Calibri"/>
                <w:sz w:val="20"/>
                <w:szCs w:val="20"/>
              </w:rPr>
              <w:t>6,124,619.54</w:t>
            </w:r>
          </w:p>
        </w:tc>
        <w:tc>
          <w:tcPr>
            <w:tcW w:w="1862" w:type="dxa"/>
            <w:tcBorders>
              <w:top w:val="single" w:color="auto" w:sz="4" w:space="0"/>
              <w:left w:val="single" w:color="auto" w:sz="4" w:space="0"/>
              <w:bottom w:val="single" w:color="auto" w:sz="4" w:space="0"/>
              <w:right w:val="single" w:color="auto" w:sz="4" w:space="0"/>
            </w:tcBorders>
            <w:vAlign w:val="center"/>
          </w:tcPr>
          <w:p w14:paraId="1CE5CE40">
            <w:pPr>
              <w:jc w:val="right"/>
              <w:rPr>
                <w:rFonts w:ascii="Calibri" w:hAnsi="Calibri"/>
                <w:sz w:val="20"/>
                <w:szCs w:val="20"/>
              </w:rPr>
            </w:pPr>
            <w:r>
              <w:rPr>
                <w:rFonts w:ascii="Calibri" w:hAnsi="Calibri"/>
                <w:sz w:val="20"/>
                <w:szCs w:val="20"/>
              </w:rPr>
              <w:t>87,422,250.85</w:t>
            </w:r>
          </w:p>
        </w:tc>
      </w:tr>
      <w:tr w14:paraId="4D35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212" w:type="dxa"/>
            <w:tcBorders>
              <w:top w:val="single" w:color="auto" w:sz="4" w:space="0"/>
              <w:left w:val="single" w:color="auto" w:sz="4" w:space="0"/>
              <w:bottom w:val="single" w:color="auto" w:sz="4" w:space="0"/>
              <w:right w:val="single" w:color="auto" w:sz="4" w:space="0"/>
            </w:tcBorders>
            <w:vAlign w:val="center"/>
          </w:tcPr>
          <w:p w14:paraId="420BFA32">
            <w:pPr>
              <w:ind w:firstLine="300" w:firstLineChars="150"/>
              <w:rPr>
                <w:rFonts w:ascii="Calibri" w:hAnsi="Calibri"/>
                <w:sz w:val="20"/>
                <w:szCs w:val="20"/>
              </w:rPr>
            </w:pPr>
            <w:r>
              <w:rPr>
                <w:rFonts w:ascii="Calibri" w:hAnsi="Calibri"/>
                <w:sz w:val="20"/>
                <w:szCs w:val="20"/>
              </w:rPr>
              <w:t>2.</w:t>
            </w:r>
            <w:r>
              <w:rPr>
                <w:rFonts w:hint="eastAsia" w:ascii="Calibri" w:hAnsi="Calibri"/>
                <w:sz w:val="20"/>
                <w:szCs w:val="20"/>
              </w:rPr>
              <w:t>期初账面价值</w:t>
            </w:r>
          </w:p>
        </w:tc>
        <w:tc>
          <w:tcPr>
            <w:tcW w:w="1987" w:type="dxa"/>
            <w:tcBorders>
              <w:top w:val="single" w:color="auto" w:sz="4" w:space="0"/>
              <w:left w:val="single" w:color="auto" w:sz="4" w:space="0"/>
              <w:bottom w:val="single" w:color="auto" w:sz="4" w:space="0"/>
              <w:right w:val="single" w:color="auto" w:sz="4" w:space="0"/>
            </w:tcBorders>
            <w:vAlign w:val="center"/>
          </w:tcPr>
          <w:p w14:paraId="3E9B6783">
            <w:pPr>
              <w:jc w:val="right"/>
              <w:rPr>
                <w:rFonts w:ascii="Calibri" w:hAnsi="Calibri"/>
                <w:sz w:val="20"/>
                <w:szCs w:val="20"/>
              </w:rPr>
            </w:pPr>
            <w:r>
              <w:rPr>
                <w:rFonts w:ascii="Calibri" w:hAnsi="Calibri"/>
                <w:sz w:val="20"/>
                <w:szCs w:val="20"/>
              </w:rPr>
              <w:t>89,017,640.08</w:t>
            </w:r>
          </w:p>
        </w:tc>
        <w:tc>
          <w:tcPr>
            <w:tcW w:w="1985" w:type="dxa"/>
            <w:tcBorders>
              <w:top w:val="single" w:color="auto" w:sz="4" w:space="0"/>
              <w:left w:val="single" w:color="auto" w:sz="4" w:space="0"/>
              <w:bottom w:val="single" w:color="auto" w:sz="4" w:space="0"/>
              <w:right w:val="single" w:color="auto" w:sz="4" w:space="0"/>
            </w:tcBorders>
            <w:vAlign w:val="center"/>
          </w:tcPr>
          <w:p w14:paraId="3756C09C">
            <w:pPr>
              <w:jc w:val="right"/>
              <w:rPr>
                <w:rFonts w:ascii="Calibri" w:hAnsi="Calibri"/>
                <w:sz w:val="20"/>
                <w:szCs w:val="20"/>
              </w:rPr>
            </w:pPr>
            <w:r>
              <w:rPr>
                <w:rFonts w:ascii="Calibri" w:hAnsi="Calibri"/>
                <w:sz w:val="20"/>
                <w:szCs w:val="20"/>
              </w:rPr>
              <w:t>7,305,456.04</w:t>
            </w:r>
          </w:p>
        </w:tc>
        <w:tc>
          <w:tcPr>
            <w:tcW w:w="1862" w:type="dxa"/>
            <w:tcBorders>
              <w:top w:val="single" w:color="auto" w:sz="4" w:space="0"/>
              <w:left w:val="single" w:color="auto" w:sz="4" w:space="0"/>
              <w:bottom w:val="single" w:color="auto" w:sz="4" w:space="0"/>
              <w:right w:val="single" w:color="auto" w:sz="4" w:space="0"/>
            </w:tcBorders>
            <w:vAlign w:val="center"/>
          </w:tcPr>
          <w:p w14:paraId="0DD53B11">
            <w:pPr>
              <w:jc w:val="right"/>
              <w:rPr>
                <w:rFonts w:ascii="Calibri" w:hAnsi="Calibri"/>
                <w:sz w:val="20"/>
                <w:szCs w:val="20"/>
              </w:rPr>
            </w:pPr>
            <w:r>
              <w:rPr>
                <w:rFonts w:ascii="Calibri" w:hAnsi="Calibri"/>
                <w:sz w:val="20"/>
                <w:szCs w:val="20"/>
              </w:rPr>
              <w:t>96,323,096.12</w:t>
            </w:r>
          </w:p>
        </w:tc>
      </w:tr>
    </w:tbl>
    <w:p w14:paraId="1608DDBE"/>
    <w:p w14:paraId="610463B0">
      <w:pPr>
        <w:pStyle w:val="5"/>
        <w:numPr>
          <w:ilvl w:val="3"/>
          <w:numId w:val="76"/>
        </w:numPr>
        <w:ind w:left="426" w:hanging="426"/>
      </w:pPr>
      <w:r>
        <w:rPr>
          <w:rFonts w:hint="eastAsia"/>
        </w:rPr>
        <w:t>未办妥产权证书的投资性房地产情况</w:t>
      </w:r>
    </w:p>
    <w:p w14:paraId="3633E99A">
      <w:pPr>
        <w:pStyle w:val="48"/>
      </w:pPr>
      <w:sdt>
        <w:sdtPr>
          <w:alias w:val="是否适用：未办妥产权证书的投资性房地产情况[双击切换]"/>
          <w:tag w:val="_GBC_31ec2c57d73a48d2816267a8606d05e0"/>
          <w:id w:val="-1728144792"/>
          <w:placeholder>
            <w:docPart w:val="GBC22222222222222222222222222222"/>
          </w:placeholder>
        </w:sdt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375A906C">
      <w:pPr>
        <w:pStyle w:val="48"/>
        <w:rPr>
          <w:rFonts w:cstheme="minorBidi"/>
        </w:rPr>
      </w:pPr>
    </w:p>
    <w:p w14:paraId="56A38612">
      <w:pPr>
        <w:pStyle w:val="5"/>
        <w:numPr>
          <w:ilvl w:val="3"/>
          <w:numId w:val="76"/>
        </w:numPr>
        <w:ind w:left="426" w:hanging="426"/>
      </w:pPr>
      <w:bookmarkStart w:id="299" w:name="_Hlk153460290"/>
      <w:r>
        <w:rPr>
          <w:rFonts w:hint="eastAsia"/>
        </w:rPr>
        <w:t>采用成本计量模式的投资性房地产的减值测试情况</w:t>
      </w:r>
    </w:p>
    <w:sdt>
      <w:sdtPr>
        <w:alias w:val="是否适用：减值测试情况[双击切换]"/>
        <w:tag w:val="_GBC_373a9d68c3e14bb29f489d169fab52f2"/>
        <w:id w:val="344834945"/>
        <w:placeholder>
          <w:docPart w:val="GBC22222222222222222222222222222"/>
        </w:placeholder>
      </w:sdtPr>
      <w:sdtContent>
        <w:p w14:paraId="2B707F5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5E720F9">
      <w:pPr>
        <w:snapToGrid w:val="0"/>
        <w:spacing w:line="240" w:lineRule="atLeast"/>
        <w:rPr>
          <w:b/>
        </w:rPr>
      </w:pPr>
    </w:p>
    <w:p w14:paraId="0D7607A0">
      <w:pPr>
        <w:pStyle w:val="6"/>
        <w:ind w:left="0" w:leftChars="0"/>
      </w:pPr>
      <w:r>
        <w:rPr>
          <w:rFonts w:hint="eastAsia"/>
        </w:rPr>
        <w:t>可收回金额按公允价值减去处置费用后的净额确定</w:t>
      </w:r>
    </w:p>
    <w:sdt>
      <w:sdtPr>
        <w:alias w:val="是否适用：可收回金额按公允价值减去处置费用后的净额确定[双击切换]"/>
        <w:tag w:val="_GBC_3be67b0087dd42c48b53abff6a26fc1d"/>
        <w:id w:val="-1981140823"/>
        <w:placeholder>
          <w:docPart w:val="GBC22222222222222222222222222222"/>
        </w:placeholder>
      </w:sdtPr>
      <w:sdtContent>
        <w:p w14:paraId="3E9832E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649548C">
      <w:pPr>
        <w:jc w:val="right"/>
      </w:pPr>
      <w:r>
        <w:rPr>
          <w:rFonts w:hint="eastAsia"/>
        </w:rPr>
        <w:t>单位：</w:t>
      </w:r>
      <w:sdt>
        <w:sdtPr>
          <w:rPr>
            <w:rFonts w:hint="eastAsia"/>
          </w:rPr>
          <w:alias w:val="单位：可收回金额按公允价值减去处置费用后的净额确定"/>
          <w:tag w:val="_GBC_da805c8bed4c4170aa4eb80171c9ce10"/>
          <w:id w:val="12143106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可收回金额按公允价值减去处置费用后的净额确定"/>
          <w:tag w:val="_GBC_eb93419b31be4eb89e61256947e5f45e"/>
          <w:id w:val="14296973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498"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458"/>
        <w:gridCol w:w="1519"/>
        <w:gridCol w:w="1134"/>
        <w:gridCol w:w="1223"/>
        <w:gridCol w:w="1470"/>
        <w:gridCol w:w="1418"/>
      </w:tblGrid>
      <w:tr w14:paraId="7E63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3718ee1e13e445dbc294a9c354ba709"/>
            <w:id w:val="-1743259711"/>
          </w:sdtPr>
          <w:sdtContent>
            <w:tc>
              <w:tcPr>
                <w:tcW w:w="1276" w:type="dxa"/>
                <w:vAlign w:val="center"/>
              </w:tcPr>
              <w:p w14:paraId="43D8C0A3">
                <w:pPr>
                  <w:widowControl w:val="0"/>
                  <w:snapToGrid w:val="0"/>
                  <w:spacing w:line="276" w:lineRule="auto"/>
                  <w:jc w:val="center"/>
                  <w:rPr>
                    <w:rFonts w:ascii="Calibri" w:hAnsi="Calibri"/>
                    <w:sz w:val="20"/>
                    <w:szCs w:val="20"/>
                  </w:rPr>
                </w:pPr>
                <w:r>
                  <w:rPr>
                    <w:rFonts w:hint="eastAsia" w:ascii="Calibri" w:hAnsi="Calibri"/>
                    <w:sz w:val="20"/>
                    <w:szCs w:val="20"/>
                  </w:rPr>
                  <w:t>项目</w:t>
                </w:r>
              </w:p>
            </w:tc>
          </w:sdtContent>
        </w:sdt>
        <w:sdt>
          <w:sdtPr>
            <w:tag w:val="_PLD_c151fa094bcb4c288fb195729a57f79e"/>
            <w:id w:val="384841348"/>
          </w:sdtPr>
          <w:sdtContent>
            <w:tc>
              <w:tcPr>
                <w:tcW w:w="1458" w:type="dxa"/>
                <w:vAlign w:val="center"/>
              </w:tcPr>
              <w:p w14:paraId="28BC7128">
                <w:pPr>
                  <w:widowControl w:val="0"/>
                  <w:snapToGrid w:val="0"/>
                  <w:spacing w:line="276" w:lineRule="auto"/>
                  <w:jc w:val="center"/>
                  <w:rPr>
                    <w:rFonts w:ascii="Calibri" w:hAnsi="Calibri"/>
                    <w:sz w:val="20"/>
                    <w:szCs w:val="20"/>
                  </w:rPr>
                </w:pPr>
                <w:r>
                  <w:rPr>
                    <w:rFonts w:hint="eastAsia" w:ascii="Calibri" w:hAnsi="Calibri"/>
                    <w:sz w:val="20"/>
                    <w:szCs w:val="20"/>
                  </w:rPr>
                  <w:t>账面价值</w:t>
                </w:r>
              </w:p>
            </w:tc>
          </w:sdtContent>
        </w:sdt>
        <w:sdt>
          <w:sdtPr>
            <w:tag w:val="_PLD_477ec974f9c24003b08b9ccaa707581d"/>
            <w:id w:val="-1395041346"/>
          </w:sdtPr>
          <w:sdtContent>
            <w:tc>
              <w:tcPr>
                <w:tcW w:w="1519" w:type="dxa"/>
                <w:vAlign w:val="center"/>
              </w:tcPr>
              <w:p w14:paraId="74586006">
                <w:pPr>
                  <w:widowControl w:val="0"/>
                  <w:snapToGrid w:val="0"/>
                  <w:spacing w:line="276" w:lineRule="auto"/>
                  <w:jc w:val="center"/>
                  <w:rPr>
                    <w:rFonts w:ascii="Calibri" w:hAnsi="Calibri"/>
                    <w:sz w:val="20"/>
                    <w:szCs w:val="20"/>
                  </w:rPr>
                </w:pPr>
                <w:r>
                  <w:rPr>
                    <w:rFonts w:hint="eastAsia" w:ascii="Calibri" w:hAnsi="Calibri"/>
                    <w:sz w:val="20"/>
                    <w:szCs w:val="20"/>
                  </w:rPr>
                  <w:t>可收回金额</w:t>
                </w:r>
              </w:p>
            </w:tc>
          </w:sdtContent>
        </w:sdt>
        <w:sdt>
          <w:sdtPr>
            <w:tag w:val="_PLD_372520e791524627a10f3b7cdfb540f1"/>
            <w:id w:val="-612433655"/>
          </w:sdtPr>
          <w:sdtContent>
            <w:tc>
              <w:tcPr>
                <w:tcW w:w="1134" w:type="dxa"/>
                <w:vAlign w:val="center"/>
              </w:tcPr>
              <w:p w14:paraId="733A7847">
                <w:pPr>
                  <w:widowControl w:val="0"/>
                  <w:snapToGrid w:val="0"/>
                  <w:spacing w:line="276" w:lineRule="auto"/>
                  <w:jc w:val="center"/>
                  <w:rPr>
                    <w:rFonts w:ascii="Calibri" w:hAnsi="Calibri"/>
                    <w:sz w:val="20"/>
                    <w:szCs w:val="20"/>
                  </w:rPr>
                </w:pPr>
                <w:r>
                  <w:rPr>
                    <w:rFonts w:hint="eastAsia" w:ascii="Calibri" w:hAnsi="Calibri"/>
                    <w:sz w:val="20"/>
                    <w:szCs w:val="20"/>
                  </w:rPr>
                  <w:t>减值金额</w:t>
                </w:r>
              </w:p>
            </w:tc>
          </w:sdtContent>
        </w:sdt>
        <w:sdt>
          <w:sdtPr>
            <w:tag w:val="_PLD_f9091238c9494d72a92f2c7fc6e22dcb"/>
            <w:id w:val="241227078"/>
          </w:sdtPr>
          <w:sdtContent>
            <w:tc>
              <w:tcPr>
                <w:tcW w:w="1223" w:type="dxa"/>
                <w:vAlign w:val="center"/>
              </w:tcPr>
              <w:p w14:paraId="350BD613">
                <w:pPr>
                  <w:widowControl w:val="0"/>
                  <w:snapToGrid w:val="0"/>
                  <w:spacing w:line="276" w:lineRule="auto"/>
                  <w:jc w:val="center"/>
                  <w:rPr>
                    <w:rFonts w:ascii="Calibri" w:hAnsi="Calibri"/>
                    <w:sz w:val="20"/>
                    <w:szCs w:val="20"/>
                  </w:rPr>
                </w:pPr>
                <w:r>
                  <w:rPr>
                    <w:rFonts w:hint="eastAsia" w:ascii="Calibri" w:hAnsi="Calibri"/>
                    <w:sz w:val="20"/>
                    <w:szCs w:val="20"/>
                  </w:rPr>
                  <w:t>公允价值和处置费用的确定方式</w:t>
                </w:r>
              </w:p>
            </w:tc>
          </w:sdtContent>
        </w:sdt>
        <w:sdt>
          <w:sdtPr>
            <w:tag w:val="_PLD_a335271437fc4cdd9f8a729994546960"/>
            <w:id w:val="1447122477"/>
          </w:sdtPr>
          <w:sdtContent>
            <w:tc>
              <w:tcPr>
                <w:tcW w:w="1470" w:type="dxa"/>
                <w:vAlign w:val="center"/>
              </w:tcPr>
              <w:p w14:paraId="0CCC141F">
                <w:pPr>
                  <w:widowControl w:val="0"/>
                  <w:snapToGrid w:val="0"/>
                  <w:spacing w:line="276" w:lineRule="auto"/>
                  <w:jc w:val="center"/>
                  <w:rPr>
                    <w:rFonts w:ascii="Calibri" w:hAnsi="Calibri"/>
                    <w:sz w:val="20"/>
                    <w:szCs w:val="20"/>
                  </w:rPr>
                </w:pPr>
                <w:r>
                  <w:rPr>
                    <w:rFonts w:hint="eastAsia" w:ascii="Calibri" w:hAnsi="Calibri"/>
                    <w:sz w:val="20"/>
                    <w:szCs w:val="20"/>
                  </w:rPr>
                  <w:t>关键参数</w:t>
                </w:r>
              </w:p>
            </w:tc>
          </w:sdtContent>
        </w:sdt>
        <w:sdt>
          <w:sdtPr>
            <w:tag w:val="_PLD_b8e6c20bf07742138bcbe795dc4deebb"/>
            <w:id w:val="1386603451"/>
          </w:sdtPr>
          <w:sdtContent>
            <w:tc>
              <w:tcPr>
                <w:tcW w:w="1418" w:type="dxa"/>
                <w:vAlign w:val="center"/>
              </w:tcPr>
              <w:p w14:paraId="6F4C9F3A">
                <w:pPr>
                  <w:widowControl w:val="0"/>
                  <w:snapToGrid w:val="0"/>
                  <w:spacing w:line="276" w:lineRule="auto"/>
                  <w:jc w:val="center"/>
                  <w:rPr>
                    <w:rFonts w:ascii="Calibri" w:hAnsi="Calibri"/>
                    <w:sz w:val="20"/>
                    <w:szCs w:val="20"/>
                  </w:rPr>
                </w:pPr>
                <w:r>
                  <w:rPr>
                    <w:rFonts w:hint="eastAsia" w:ascii="Calibri" w:hAnsi="Calibri"/>
                    <w:sz w:val="20"/>
                    <w:szCs w:val="20"/>
                  </w:rPr>
                  <w:t>关键参数的确定依据</w:t>
                </w:r>
              </w:p>
            </w:tc>
          </w:sdtContent>
        </w:sdt>
      </w:tr>
      <w:tr w14:paraId="59F2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4BAEB9B4">
            <w:pPr>
              <w:snapToGrid w:val="0"/>
              <w:spacing w:line="276" w:lineRule="auto"/>
              <w:jc w:val="both"/>
              <w:outlineLvl w:val="1"/>
              <w:rPr>
                <w:rFonts w:ascii="Arial" w:hAnsi="Arial" w:cs="Arial"/>
                <w:sz w:val="18"/>
                <w:szCs w:val="18"/>
              </w:rPr>
            </w:pPr>
            <w:r>
              <w:rPr>
                <w:rFonts w:hint="eastAsia" w:ascii="宋体" w:hAnsi="宋体" w:cs="Arial"/>
                <w:sz w:val="18"/>
                <w:szCs w:val="18"/>
              </w:rPr>
              <w:t>丽景花园部分门市</w:t>
            </w:r>
          </w:p>
        </w:tc>
        <w:tc>
          <w:tcPr>
            <w:tcW w:w="1458" w:type="dxa"/>
            <w:vAlign w:val="center"/>
          </w:tcPr>
          <w:p w14:paraId="6A7E4C8A">
            <w:pPr>
              <w:widowControl w:val="0"/>
              <w:snapToGrid w:val="0"/>
              <w:spacing w:line="276" w:lineRule="auto"/>
              <w:jc w:val="right"/>
              <w:rPr>
                <w:rFonts w:ascii="Calibri" w:hAnsi="Calibri"/>
                <w:sz w:val="20"/>
                <w:szCs w:val="20"/>
              </w:rPr>
            </w:pPr>
            <w:r>
              <w:rPr>
                <w:rFonts w:ascii="Calibri" w:hAnsi="Calibri"/>
                <w:sz w:val="20"/>
                <w:szCs w:val="20"/>
              </w:rPr>
              <w:t>22,960,216.98</w:t>
            </w:r>
          </w:p>
        </w:tc>
        <w:tc>
          <w:tcPr>
            <w:tcW w:w="1519" w:type="dxa"/>
            <w:vAlign w:val="center"/>
          </w:tcPr>
          <w:p w14:paraId="559BCB5E">
            <w:pPr>
              <w:widowControl w:val="0"/>
              <w:snapToGrid w:val="0"/>
              <w:spacing w:line="276" w:lineRule="auto"/>
              <w:jc w:val="right"/>
              <w:rPr>
                <w:rFonts w:ascii="Calibri" w:hAnsi="Calibri"/>
                <w:sz w:val="20"/>
                <w:szCs w:val="20"/>
              </w:rPr>
            </w:pPr>
            <w:r>
              <w:rPr>
                <w:rFonts w:ascii="Calibri" w:hAnsi="Calibri"/>
                <w:sz w:val="20"/>
                <w:szCs w:val="20"/>
              </w:rPr>
              <w:t>22,231,392.97</w:t>
            </w:r>
          </w:p>
        </w:tc>
        <w:tc>
          <w:tcPr>
            <w:tcW w:w="1134" w:type="dxa"/>
            <w:vAlign w:val="center"/>
          </w:tcPr>
          <w:p w14:paraId="532FA7F6">
            <w:pPr>
              <w:widowControl w:val="0"/>
              <w:snapToGrid w:val="0"/>
              <w:spacing w:line="276" w:lineRule="auto"/>
              <w:jc w:val="right"/>
              <w:rPr>
                <w:rFonts w:ascii="Calibri" w:hAnsi="Calibri"/>
                <w:sz w:val="20"/>
                <w:szCs w:val="20"/>
              </w:rPr>
            </w:pPr>
            <w:r>
              <w:rPr>
                <w:rFonts w:ascii="Calibri" w:hAnsi="Calibri"/>
                <w:sz w:val="20"/>
                <w:szCs w:val="20"/>
              </w:rPr>
              <w:t>728,824.01</w:t>
            </w:r>
          </w:p>
        </w:tc>
        <w:tc>
          <w:tcPr>
            <w:tcW w:w="1223" w:type="dxa"/>
            <w:vAlign w:val="center"/>
          </w:tcPr>
          <w:p w14:paraId="7E33B28F">
            <w:pPr>
              <w:widowControl w:val="0"/>
              <w:snapToGrid w:val="0"/>
              <w:spacing w:line="276" w:lineRule="auto"/>
              <w:jc w:val="both"/>
              <w:rPr>
                <w:rFonts w:ascii="Calibri" w:hAnsi="Calibri"/>
                <w:sz w:val="20"/>
                <w:szCs w:val="20"/>
              </w:rPr>
            </w:pPr>
            <w:r>
              <w:rPr>
                <w:rFonts w:ascii="Calibri" w:hAnsi="Calibri"/>
                <w:sz w:val="20"/>
                <w:szCs w:val="20"/>
              </w:rPr>
              <w:t>采用市场法进行评估</w:t>
            </w:r>
          </w:p>
        </w:tc>
        <w:tc>
          <w:tcPr>
            <w:tcW w:w="1470" w:type="dxa"/>
            <w:vAlign w:val="center"/>
          </w:tcPr>
          <w:p w14:paraId="36BFE79A">
            <w:pPr>
              <w:widowControl w:val="0"/>
              <w:snapToGrid w:val="0"/>
              <w:spacing w:line="276" w:lineRule="auto"/>
              <w:jc w:val="both"/>
              <w:rPr>
                <w:rFonts w:ascii="Calibri" w:hAnsi="Calibri"/>
                <w:sz w:val="20"/>
                <w:szCs w:val="20"/>
              </w:rPr>
            </w:pPr>
            <w:r>
              <w:rPr>
                <w:rFonts w:ascii="Calibri" w:hAnsi="Calibri"/>
                <w:sz w:val="20"/>
                <w:szCs w:val="20"/>
              </w:rPr>
              <w:t>近期类似资产可比交易价格</w:t>
            </w:r>
          </w:p>
        </w:tc>
        <w:tc>
          <w:tcPr>
            <w:tcW w:w="1418" w:type="dxa"/>
            <w:vAlign w:val="center"/>
          </w:tcPr>
          <w:p w14:paraId="79EC3BCE">
            <w:pPr>
              <w:widowControl w:val="0"/>
              <w:snapToGrid w:val="0"/>
              <w:spacing w:line="276" w:lineRule="auto"/>
              <w:jc w:val="both"/>
              <w:rPr>
                <w:rFonts w:ascii="Calibri" w:hAnsi="Calibri"/>
                <w:sz w:val="20"/>
                <w:szCs w:val="20"/>
              </w:rPr>
            </w:pPr>
            <w:r>
              <w:rPr>
                <w:rFonts w:ascii="Calibri" w:hAnsi="Calibri"/>
                <w:sz w:val="20"/>
                <w:szCs w:val="20"/>
              </w:rPr>
              <w:t>中铭评报字[2026]第5001号</w:t>
            </w:r>
          </w:p>
        </w:tc>
      </w:tr>
      <w:tr w14:paraId="7E4D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5780A601">
            <w:pPr>
              <w:widowControl w:val="0"/>
              <w:snapToGrid w:val="0"/>
              <w:spacing w:line="276" w:lineRule="auto"/>
              <w:jc w:val="center"/>
              <w:rPr>
                <w:rFonts w:ascii="Calibri" w:hAnsi="Calibri"/>
                <w:sz w:val="20"/>
                <w:szCs w:val="20"/>
              </w:rPr>
            </w:pPr>
            <w:r>
              <w:rPr>
                <w:rFonts w:ascii="Calibri" w:hAnsi="Calibri"/>
                <w:sz w:val="20"/>
                <w:szCs w:val="20"/>
              </w:rPr>
              <w:t>合计</w:t>
            </w:r>
          </w:p>
        </w:tc>
        <w:tc>
          <w:tcPr>
            <w:tcW w:w="1458" w:type="dxa"/>
            <w:vAlign w:val="center"/>
          </w:tcPr>
          <w:p w14:paraId="383EB00F">
            <w:pPr>
              <w:widowControl w:val="0"/>
              <w:snapToGrid w:val="0"/>
              <w:spacing w:line="276" w:lineRule="auto"/>
              <w:jc w:val="right"/>
              <w:rPr>
                <w:rFonts w:ascii="Calibri" w:hAnsi="Calibri"/>
                <w:sz w:val="20"/>
                <w:szCs w:val="20"/>
              </w:rPr>
            </w:pPr>
            <w:r>
              <w:rPr>
                <w:rFonts w:ascii="Calibri" w:hAnsi="Calibri"/>
                <w:sz w:val="20"/>
                <w:szCs w:val="20"/>
              </w:rPr>
              <w:t>22,960,216.98</w:t>
            </w:r>
          </w:p>
        </w:tc>
        <w:tc>
          <w:tcPr>
            <w:tcW w:w="1519" w:type="dxa"/>
            <w:vAlign w:val="center"/>
          </w:tcPr>
          <w:p w14:paraId="6D2A4BA2">
            <w:pPr>
              <w:widowControl w:val="0"/>
              <w:snapToGrid w:val="0"/>
              <w:spacing w:line="276" w:lineRule="auto"/>
              <w:jc w:val="right"/>
              <w:rPr>
                <w:rFonts w:ascii="Calibri" w:hAnsi="Calibri"/>
                <w:sz w:val="20"/>
                <w:szCs w:val="20"/>
              </w:rPr>
            </w:pPr>
            <w:r>
              <w:rPr>
                <w:rFonts w:ascii="Calibri" w:hAnsi="Calibri"/>
                <w:sz w:val="20"/>
                <w:szCs w:val="20"/>
              </w:rPr>
              <w:t>22,231,392.97</w:t>
            </w:r>
          </w:p>
        </w:tc>
        <w:tc>
          <w:tcPr>
            <w:tcW w:w="1134" w:type="dxa"/>
            <w:vAlign w:val="center"/>
          </w:tcPr>
          <w:p w14:paraId="1EC13569">
            <w:pPr>
              <w:widowControl w:val="0"/>
              <w:snapToGrid w:val="0"/>
              <w:spacing w:line="276" w:lineRule="auto"/>
              <w:jc w:val="right"/>
              <w:rPr>
                <w:rFonts w:ascii="Calibri" w:hAnsi="Calibri"/>
                <w:sz w:val="20"/>
                <w:szCs w:val="20"/>
              </w:rPr>
            </w:pPr>
            <w:r>
              <w:rPr>
                <w:rFonts w:ascii="Calibri" w:hAnsi="Calibri"/>
                <w:sz w:val="20"/>
                <w:szCs w:val="20"/>
              </w:rPr>
              <w:t>728,824.01</w:t>
            </w:r>
          </w:p>
        </w:tc>
        <w:tc>
          <w:tcPr>
            <w:tcW w:w="1223" w:type="dxa"/>
            <w:vAlign w:val="center"/>
          </w:tcPr>
          <w:p w14:paraId="4BA2EDF3">
            <w:pPr>
              <w:widowControl w:val="0"/>
              <w:snapToGrid w:val="0"/>
              <w:spacing w:line="276" w:lineRule="auto"/>
              <w:jc w:val="center"/>
              <w:rPr>
                <w:rFonts w:ascii="Calibri" w:hAnsi="Calibri"/>
                <w:sz w:val="20"/>
                <w:szCs w:val="20"/>
              </w:rPr>
            </w:pPr>
            <w:r>
              <w:rPr>
                <w:rFonts w:hint="eastAsia" w:ascii="Calibri" w:hAnsi="Calibri"/>
                <w:sz w:val="20"/>
                <w:szCs w:val="20"/>
              </w:rPr>
              <w:t>/</w:t>
            </w:r>
          </w:p>
        </w:tc>
        <w:tc>
          <w:tcPr>
            <w:tcW w:w="1470" w:type="dxa"/>
            <w:vAlign w:val="center"/>
          </w:tcPr>
          <w:p w14:paraId="5CFD0CA2">
            <w:pPr>
              <w:widowControl w:val="0"/>
              <w:snapToGrid w:val="0"/>
              <w:spacing w:line="276" w:lineRule="auto"/>
              <w:jc w:val="center"/>
              <w:rPr>
                <w:rFonts w:ascii="Calibri" w:hAnsi="Calibri"/>
                <w:sz w:val="20"/>
                <w:szCs w:val="20"/>
              </w:rPr>
            </w:pPr>
            <w:r>
              <w:rPr>
                <w:rFonts w:hint="eastAsia" w:ascii="Calibri" w:hAnsi="Calibri"/>
                <w:sz w:val="20"/>
                <w:szCs w:val="20"/>
              </w:rPr>
              <w:t>/</w:t>
            </w:r>
          </w:p>
        </w:tc>
        <w:tc>
          <w:tcPr>
            <w:tcW w:w="1418" w:type="dxa"/>
            <w:vAlign w:val="center"/>
          </w:tcPr>
          <w:p w14:paraId="4AA71E13">
            <w:pPr>
              <w:widowControl w:val="0"/>
              <w:snapToGrid w:val="0"/>
              <w:spacing w:line="276" w:lineRule="auto"/>
              <w:jc w:val="center"/>
              <w:rPr>
                <w:rFonts w:ascii="Calibri" w:hAnsi="Calibri"/>
                <w:sz w:val="20"/>
                <w:szCs w:val="20"/>
              </w:rPr>
            </w:pPr>
            <w:r>
              <w:rPr>
                <w:rFonts w:hint="eastAsia" w:ascii="Calibri" w:hAnsi="Calibri"/>
                <w:sz w:val="20"/>
                <w:szCs w:val="20"/>
              </w:rPr>
              <w:t>/</w:t>
            </w:r>
          </w:p>
        </w:tc>
      </w:tr>
    </w:tbl>
    <w:p w14:paraId="44165200">
      <w:pPr>
        <w:snapToGrid w:val="0"/>
        <w:spacing w:line="240" w:lineRule="atLeast"/>
      </w:pPr>
    </w:p>
    <w:p w14:paraId="21A5AFED">
      <w:pPr>
        <w:pStyle w:val="6"/>
        <w:ind w:left="0" w:leftChars="0"/>
      </w:pPr>
      <w:r>
        <w:rPr>
          <w:rFonts w:hint="eastAsia"/>
        </w:rPr>
        <w:t>可收回金额按预计未来现金流量的现值确定</w:t>
      </w:r>
    </w:p>
    <w:sdt>
      <w:sdtPr>
        <w:rPr>
          <w:rFonts w:hint="eastAsia"/>
        </w:rPr>
        <w:alias w:val="是否适用：可收回金额按预计未来现金流量的现值确定[双击切换]"/>
        <w:tag w:val="_GBC_63c10c4a40934190a454e28fdd968fc0"/>
        <w:id w:val="-199396139"/>
        <w:placeholder>
          <w:docPart w:val="GBC22222222222222222222222222222"/>
        </w:placeholder>
      </w:sdtPr>
      <w:sdtEndPr>
        <w:rPr>
          <w:rFonts w:hint="eastAsia"/>
        </w:rPr>
      </w:sdtEndPr>
      <w:sdtContent>
        <w:p w14:paraId="5214E81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2C1A7A0">
      <w:pPr>
        <w:pStyle w:val="48"/>
      </w:pPr>
    </w:p>
    <w:p w14:paraId="2BEBEF92">
      <w:pPr>
        <w:pStyle w:val="6"/>
        <w:ind w:left="0" w:leftChars="0"/>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35e9b1ccab8440eb0212cfebcd31b38"/>
        <w:id w:val="1871493384"/>
        <w:placeholder>
          <w:docPart w:val="GBC22222222222222222222222222222"/>
        </w:placeholder>
      </w:sdtPr>
      <w:sdtContent>
        <w:p w14:paraId="474F9A2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F8B8985">
      <w:pPr>
        <w:snapToGrid w:val="0"/>
        <w:spacing w:line="240" w:lineRule="atLeast"/>
      </w:pPr>
    </w:p>
    <w:p w14:paraId="09A84130">
      <w:pPr>
        <w:pStyle w:val="6"/>
        <w:ind w:left="0" w:leftChars="0"/>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f12cdcc96dbc4c67858aed4e0f2967af"/>
        <w:id w:val="-1297370154"/>
        <w:placeholder>
          <w:docPart w:val="GBC22222222222222222222222222222"/>
        </w:placeholder>
      </w:sdtPr>
      <w:sdtContent>
        <w:p w14:paraId="29034E8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5E85E97">
      <w:pPr>
        <w:snapToGrid w:val="0"/>
        <w:spacing w:line="240" w:lineRule="atLeast"/>
      </w:pPr>
    </w:p>
    <w:bookmarkEnd w:id="299"/>
    <w:p w14:paraId="00CF18CA">
      <w:pPr>
        <w:pStyle w:val="48"/>
      </w:pPr>
      <w:bookmarkStart w:id="300" w:name="_Hlk152860822"/>
      <w:r>
        <w:rPr>
          <w:rFonts w:hint="eastAsia"/>
        </w:rPr>
        <w:t>其他说明：</w:t>
      </w:r>
    </w:p>
    <w:sdt>
      <w:sdtPr>
        <w:alias w:val="是否适用：投资性房地产的说明[双击切换]"/>
        <w:tag w:val="_GBC_06b6501d8ce04b8993205409ee63cc68"/>
        <w:id w:val="-551163148"/>
        <w:placeholder>
          <w:docPart w:val="GBC22222222222222222222222222222"/>
        </w:placeholder>
      </w:sdtPr>
      <w:sdtContent>
        <w:p w14:paraId="6C984248">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3A85EFC">
      <w:pPr>
        <w:rPr>
          <w:rFonts w:cstheme="minorBidi"/>
          <w:kern w:val="2"/>
        </w:rPr>
      </w:pPr>
    </w:p>
    <w:bookmarkEnd w:id="300"/>
    <w:p w14:paraId="7BF8A7F8">
      <w:pPr>
        <w:pStyle w:val="4"/>
        <w:numPr>
          <w:ilvl w:val="0"/>
          <w:numId w:val="61"/>
        </w:numPr>
        <w:rPr>
          <w:szCs w:val="21"/>
        </w:rPr>
      </w:pPr>
      <w:r>
        <w:rPr>
          <w:szCs w:val="21"/>
        </w:rPr>
        <w:t>固定资产</w:t>
      </w:r>
    </w:p>
    <w:p w14:paraId="0BBD0D93">
      <w:pPr>
        <w:pStyle w:val="5"/>
      </w:pPr>
      <w:bookmarkStart w:id="301" w:name="_Hlk532907583"/>
      <w:r>
        <w:rPr>
          <w:rFonts w:hint="eastAsia"/>
        </w:rPr>
        <w:t>项目列示</w:t>
      </w:r>
    </w:p>
    <w:sdt>
      <w:sdtPr>
        <w:alias w:val="是否适用：固定资产分类列示[双击切换]"/>
        <w:tag w:val="_GBC_aa56cf68790e4b9d866b3ea7d6d8073d"/>
        <w:id w:val="-1749415069"/>
        <w:placeholder>
          <w:docPart w:val="GBC22222222222222222222222222222"/>
        </w:placeholder>
      </w:sdtPr>
      <w:sdtContent>
        <w:p w14:paraId="48B69B0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4E7A2C6">
      <w:pPr>
        <w:jc w:val="right"/>
      </w:pPr>
      <w:r>
        <w:rPr>
          <w:rFonts w:hint="eastAsia"/>
        </w:rPr>
        <w:t>单位：</w:t>
      </w:r>
      <w:sdt>
        <w:sdtPr>
          <w:rPr>
            <w:rFonts w:hint="eastAsia"/>
          </w:rPr>
          <w:alias w:val="单位：固定资产分类列示"/>
          <w:tag w:val="_GBC_857b5f6755c84b5aa235351580358065"/>
          <w:id w:val="2443078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固定资产分类列示"/>
          <w:tag w:val="_GBC_726c882708c540a4a7832f00029fe5d4"/>
          <w:id w:val="18904558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8"/>
        <w:gridCol w:w="2863"/>
        <w:gridCol w:w="2877"/>
      </w:tblGrid>
      <w:tr w14:paraId="0D50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c8e68343ee4b7fa02f5422a7fad5c0"/>
            <w:id w:val="-1320116974"/>
          </w:sdtPr>
          <w:sdtContent>
            <w:tc>
              <w:tcPr>
                <w:tcW w:w="3308" w:type="dxa"/>
                <w:vAlign w:val="center"/>
              </w:tcPr>
              <w:p w14:paraId="7BA28A1B">
                <w:pPr>
                  <w:tabs>
                    <w:tab w:val="right" w:pos="3690"/>
                    <w:tab w:val="right" w:pos="5130"/>
                    <w:tab w:val="right" w:pos="6030"/>
                    <w:tab w:val="right" w:pos="7650"/>
                    <w:tab w:val="right" w:pos="9270"/>
                  </w:tabs>
                  <w:adjustRightInd w:val="0"/>
                  <w:snapToGrid w:val="0"/>
                  <w:jc w:val="center"/>
                  <w:rPr>
                    <w:rFonts w:ascii="Calibri" w:hAnsi="Calibri"/>
                    <w:sz w:val="20"/>
                    <w:szCs w:val="20"/>
                  </w:rPr>
                </w:pPr>
                <w:r>
                  <w:rPr>
                    <w:rFonts w:hint="eastAsia" w:ascii="Calibri" w:hAnsi="Calibri"/>
                    <w:sz w:val="20"/>
                    <w:szCs w:val="20"/>
                  </w:rPr>
                  <w:t>项目</w:t>
                </w:r>
              </w:p>
            </w:tc>
          </w:sdtContent>
        </w:sdt>
        <w:sdt>
          <w:sdtPr>
            <w:tag w:val="_PLD_a7d9e039146b4c3ab8e71ba63a4ca55d"/>
            <w:id w:val="703758014"/>
          </w:sdtPr>
          <w:sdtContent>
            <w:tc>
              <w:tcPr>
                <w:tcW w:w="2863" w:type="dxa"/>
                <w:vAlign w:val="center"/>
              </w:tcPr>
              <w:p w14:paraId="6D29369F">
                <w:pPr>
                  <w:jc w:val="center"/>
                  <w:rPr>
                    <w:rFonts w:ascii="Calibri" w:hAnsi="Calibri"/>
                    <w:sz w:val="20"/>
                    <w:szCs w:val="20"/>
                  </w:rPr>
                </w:pPr>
                <w:r>
                  <w:rPr>
                    <w:rFonts w:hint="eastAsia" w:ascii="Calibri" w:hAnsi="Calibri"/>
                    <w:sz w:val="20"/>
                    <w:szCs w:val="20"/>
                  </w:rPr>
                  <w:t>期末余额</w:t>
                </w:r>
              </w:p>
            </w:tc>
          </w:sdtContent>
        </w:sdt>
        <w:sdt>
          <w:sdtPr>
            <w:tag w:val="_PLD_a075f0130f1f4334b8370490adf71764"/>
            <w:id w:val="-1653056430"/>
          </w:sdtPr>
          <w:sdtContent>
            <w:tc>
              <w:tcPr>
                <w:tcW w:w="2877" w:type="dxa"/>
                <w:vAlign w:val="center"/>
              </w:tcPr>
              <w:p w14:paraId="786D7D8D">
                <w:pPr>
                  <w:jc w:val="center"/>
                  <w:rPr>
                    <w:rFonts w:ascii="Calibri" w:hAnsi="Calibri"/>
                    <w:sz w:val="20"/>
                    <w:szCs w:val="20"/>
                  </w:rPr>
                </w:pPr>
                <w:r>
                  <w:rPr>
                    <w:rFonts w:hint="eastAsia" w:ascii="Calibri" w:hAnsi="Calibri"/>
                    <w:sz w:val="20"/>
                    <w:szCs w:val="20"/>
                  </w:rPr>
                  <w:t>期初余额</w:t>
                </w:r>
              </w:p>
            </w:tc>
          </w:sdtContent>
        </w:sdt>
      </w:tr>
      <w:tr w14:paraId="5E22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8" w:type="dxa"/>
            <w:vAlign w:val="center"/>
          </w:tcPr>
          <w:p w14:paraId="317EC79E">
            <w:pPr>
              <w:tabs>
                <w:tab w:val="right" w:pos="3690"/>
                <w:tab w:val="right" w:pos="5130"/>
                <w:tab w:val="right" w:pos="6030"/>
                <w:tab w:val="right" w:pos="7650"/>
                <w:tab w:val="right" w:pos="9270"/>
              </w:tabs>
              <w:adjustRightInd w:val="0"/>
              <w:snapToGrid w:val="0"/>
              <w:rPr>
                <w:rFonts w:ascii="Calibri" w:hAnsi="Calibri"/>
                <w:sz w:val="20"/>
                <w:szCs w:val="20"/>
              </w:rPr>
            </w:pPr>
            <w:r>
              <w:rPr>
                <w:rFonts w:hint="eastAsia" w:ascii="Calibri" w:hAnsi="Calibri"/>
                <w:sz w:val="20"/>
                <w:szCs w:val="20"/>
              </w:rPr>
              <w:t>固定资产</w:t>
            </w:r>
          </w:p>
        </w:tc>
        <w:tc>
          <w:tcPr>
            <w:tcW w:w="2863" w:type="dxa"/>
            <w:vAlign w:val="center"/>
          </w:tcPr>
          <w:p w14:paraId="38B6A933">
            <w:pPr>
              <w:tabs>
                <w:tab w:val="right" w:pos="3690"/>
                <w:tab w:val="right" w:pos="5130"/>
                <w:tab w:val="right" w:pos="6030"/>
                <w:tab w:val="right" w:pos="7650"/>
                <w:tab w:val="right" w:pos="9270"/>
              </w:tabs>
              <w:adjustRightInd w:val="0"/>
              <w:snapToGrid w:val="0"/>
              <w:jc w:val="right"/>
              <w:rPr>
                <w:rFonts w:ascii="Calibri" w:hAnsi="Calibri"/>
                <w:sz w:val="20"/>
                <w:szCs w:val="20"/>
              </w:rPr>
            </w:pPr>
            <w:r>
              <w:rPr>
                <w:rFonts w:ascii="Calibri" w:hAnsi="Calibri"/>
                <w:sz w:val="20"/>
                <w:szCs w:val="20"/>
              </w:rPr>
              <w:t>2,335,265,069.94</w:t>
            </w:r>
          </w:p>
        </w:tc>
        <w:tc>
          <w:tcPr>
            <w:tcW w:w="2877" w:type="dxa"/>
            <w:vAlign w:val="center"/>
          </w:tcPr>
          <w:p w14:paraId="5FA29F39">
            <w:pPr>
              <w:tabs>
                <w:tab w:val="right" w:pos="3690"/>
                <w:tab w:val="right" w:pos="5130"/>
                <w:tab w:val="right" w:pos="6030"/>
                <w:tab w:val="right" w:pos="7650"/>
                <w:tab w:val="right" w:pos="9270"/>
              </w:tabs>
              <w:adjustRightInd w:val="0"/>
              <w:snapToGrid w:val="0"/>
              <w:jc w:val="right"/>
              <w:rPr>
                <w:rFonts w:ascii="Calibri" w:hAnsi="Calibri"/>
                <w:sz w:val="20"/>
                <w:szCs w:val="20"/>
              </w:rPr>
            </w:pPr>
            <w:r>
              <w:rPr>
                <w:rFonts w:ascii="Calibri" w:hAnsi="Calibri"/>
                <w:sz w:val="20"/>
                <w:szCs w:val="20"/>
              </w:rPr>
              <w:t>2,482,294,125.72</w:t>
            </w:r>
          </w:p>
        </w:tc>
      </w:tr>
      <w:tr w14:paraId="601A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8" w:type="dxa"/>
            <w:vAlign w:val="center"/>
          </w:tcPr>
          <w:p w14:paraId="166B78BD">
            <w:pPr>
              <w:tabs>
                <w:tab w:val="right" w:pos="3690"/>
                <w:tab w:val="right" w:pos="5130"/>
                <w:tab w:val="right" w:pos="6030"/>
                <w:tab w:val="right" w:pos="7650"/>
                <w:tab w:val="right" w:pos="9270"/>
              </w:tabs>
              <w:adjustRightInd w:val="0"/>
              <w:snapToGrid w:val="0"/>
              <w:rPr>
                <w:rFonts w:ascii="Calibri" w:hAnsi="Calibri"/>
                <w:sz w:val="20"/>
                <w:szCs w:val="20"/>
              </w:rPr>
            </w:pPr>
            <w:r>
              <w:rPr>
                <w:rFonts w:hint="eastAsia" w:ascii="Calibri" w:hAnsi="Calibri"/>
                <w:sz w:val="20"/>
                <w:szCs w:val="20"/>
              </w:rPr>
              <w:t>固定资产清理</w:t>
            </w:r>
          </w:p>
        </w:tc>
        <w:tc>
          <w:tcPr>
            <w:tcW w:w="2863" w:type="dxa"/>
            <w:vAlign w:val="center"/>
          </w:tcPr>
          <w:p w14:paraId="69678552">
            <w:pPr>
              <w:tabs>
                <w:tab w:val="right" w:pos="3690"/>
                <w:tab w:val="right" w:pos="5130"/>
                <w:tab w:val="right" w:pos="6030"/>
                <w:tab w:val="right" w:pos="7650"/>
                <w:tab w:val="right" w:pos="9270"/>
              </w:tabs>
              <w:adjustRightInd w:val="0"/>
              <w:snapToGrid w:val="0"/>
              <w:jc w:val="right"/>
              <w:rPr>
                <w:rFonts w:ascii="Calibri" w:hAnsi="Calibri"/>
                <w:sz w:val="20"/>
                <w:szCs w:val="20"/>
              </w:rPr>
            </w:pPr>
            <w:r>
              <w:rPr>
                <w:rFonts w:ascii="Calibri" w:hAnsi="Calibri"/>
                <w:sz w:val="20"/>
                <w:szCs w:val="20"/>
              </w:rPr>
              <w:t>262,323.46</w:t>
            </w:r>
          </w:p>
        </w:tc>
        <w:tc>
          <w:tcPr>
            <w:tcW w:w="2877" w:type="dxa"/>
            <w:vAlign w:val="center"/>
          </w:tcPr>
          <w:p w14:paraId="1823D718">
            <w:pPr>
              <w:tabs>
                <w:tab w:val="right" w:pos="3690"/>
                <w:tab w:val="right" w:pos="5130"/>
                <w:tab w:val="right" w:pos="6030"/>
                <w:tab w:val="right" w:pos="7650"/>
                <w:tab w:val="right" w:pos="9270"/>
              </w:tabs>
              <w:adjustRightInd w:val="0"/>
              <w:snapToGrid w:val="0"/>
              <w:jc w:val="right"/>
              <w:rPr>
                <w:rFonts w:ascii="Calibri" w:hAnsi="Calibri"/>
                <w:sz w:val="20"/>
                <w:szCs w:val="20"/>
              </w:rPr>
            </w:pPr>
          </w:p>
        </w:tc>
      </w:tr>
      <w:tr w14:paraId="5424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8" w:type="dxa"/>
            <w:vAlign w:val="center"/>
          </w:tcPr>
          <w:p w14:paraId="7FD01DC3">
            <w:pPr>
              <w:tabs>
                <w:tab w:val="right" w:pos="3690"/>
                <w:tab w:val="right" w:pos="5130"/>
                <w:tab w:val="right" w:pos="6030"/>
                <w:tab w:val="right" w:pos="7650"/>
                <w:tab w:val="right" w:pos="9270"/>
              </w:tabs>
              <w:adjustRightInd w:val="0"/>
              <w:snapToGrid w:val="0"/>
              <w:jc w:val="center"/>
              <w:rPr>
                <w:rFonts w:ascii="Calibri" w:hAnsi="Calibri"/>
                <w:sz w:val="20"/>
                <w:szCs w:val="20"/>
              </w:rPr>
            </w:pPr>
            <w:r>
              <w:rPr>
                <w:rFonts w:hint="eastAsia" w:ascii="Calibri" w:hAnsi="Calibri"/>
                <w:sz w:val="20"/>
                <w:szCs w:val="20"/>
              </w:rPr>
              <w:t>合计</w:t>
            </w:r>
          </w:p>
        </w:tc>
        <w:tc>
          <w:tcPr>
            <w:tcW w:w="2863" w:type="dxa"/>
            <w:vAlign w:val="center"/>
          </w:tcPr>
          <w:p w14:paraId="7D0C5695">
            <w:pPr>
              <w:tabs>
                <w:tab w:val="right" w:pos="3690"/>
                <w:tab w:val="right" w:pos="5130"/>
                <w:tab w:val="right" w:pos="6030"/>
                <w:tab w:val="right" w:pos="7650"/>
                <w:tab w:val="right" w:pos="9270"/>
              </w:tabs>
              <w:adjustRightInd w:val="0"/>
              <w:snapToGrid w:val="0"/>
              <w:jc w:val="right"/>
              <w:rPr>
                <w:rFonts w:ascii="Calibri" w:hAnsi="Calibri"/>
                <w:sz w:val="20"/>
                <w:szCs w:val="20"/>
              </w:rPr>
            </w:pPr>
            <w:r>
              <w:rPr>
                <w:rFonts w:ascii="Calibri" w:hAnsi="Calibri"/>
                <w:sz w:val="20"/>
                <w:szCs w:val="20"/>
              </w:rPr>
              <w:t>2,335,527,393.40</w:t>
            </w:r>
          </w:p>
        </w:tc>
        <w:tc>
          <w:tcPr>
            <w:tcW w:w="2877" w:type="dxa"/>
            <w:vAlign w:val="center"/>
          </w:tcPr>
          <w:p w14:paraId="6CDDB490">
            <w:pPr>
              <w:tabs>
                <w:tab w:val="right" w:pos="3690"/>
                <w:tab w:val="right" w:pos="5130"/>
                <w:tab w:val="right" w:pos="6030"/>
                <w:tab w:val="right" w:pos="7650"/>
                <w:tab w:val="right" w:pos="9270"/>
              </w:tabs>
              <w:adjustRightInd w:val="0"/>
              <w:snapToGrid w:val="0"/>
              <w:jc w:val="right"/>
              <w:rPr>
                <w:rFonts w:ascii="Calibri" w:hAnsi="Calibri"/>
                <w:sz w:val="20"/>
                <w:szCs w:val="20"/>
              </w:rPr>
            </w:pPr>
            <w:r>
              <w:rPr>
                <w:rFonts w:ascii="Calibri" w:hAnsi="Calibri"/>
                <w:sz w:val="20"/>
                <w:szCs w:val="20"/>
              </w:rPr>
              <w:t>2,482,294,125.72</w:t>
            </w:r>
          </w:p>
        </w:tc>
      </w:tr>
    </w:tbl>
    <w:p w14:paraId="641AC7CC">
      <w:pPr>
        <w:rPr>
          <w:b/>
        </w:rPr>
      </w:pPr>
    </w:p>
    <w:bookmarkEnd w:id="301"/>
    <w:p w14:paraId="07962387">
      <w:pPr>
        <w:pStyle w:val="48"/>
      </w:pPr>
      <w:r>
        <w:rPr>
          <w:rFonts w:hint="eastAsia"/>
        </w:rPr>
        <w:t>其他说明：</w:t>
      </w:r>
    </w:p>
    <w:sdt>
      <w:sdtPr>
        <w:alias w:val="是否适用：固定资产分类列示其他说明[双击切换]"/>
        <w:tag w:val="_GBC_242c272ba3a1435aacea1f45ade5a2e0"/>
        <w:id w:val="231052454"/>
        <w:placeholder>
          <w:docPart w:val="GBC22222222222222222222222222222"/>
        </w:placeholder>
      </w:sdtPr>
      <w:sdtContent>
        <w:p w14:paraId="687118B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79677E6">
      <w:pPr>
        <w:pStyle w:val="48"/>
      </w:pPr>
    </w:p>
    <w:p w14:paraId="2EFEE970">
      <w:pPr>
        <w:pStyle w:val="5"/>
        <w:ind w:left="360" w:hanging="360"/>
      </w:pPr>
      <w:r>
        <w:rPr>
          <w:rFonts w:hint="eastAsia"/>
        </w:rPr>
        <w:t>固定资产</w:t>
      </w:r>
    </w:p>
    <w:p w14:paraId="490D67C9">
      <w:pPr>
        <w:pStyle w:val="6"/>
        <w:numPr>
          <w:ilvl w:val="0"/>
          <w:numId w:val="77"/>
        </w:numPr>
        <w:ind w:leftChars="0"/>
      </w:pPr>
      <w:r>
        <w:rPr>
          <w:rFonts w:hint="eastAsia"/>
        </w:rPr>
        <w:t>固定资产情况</w:t>
      </w:r>
    </w:p>
    <w:sdt>
      <w:sdtPr>
        <w:alias w:val="是否适用：固定资产情况[双击切换]"/>
        <w:tag w:val="_GBC_a44afb7019ae43b7a273970cf76154a3"/>
        <w:id w:val="-639495933"/>
        <w:placeholder>
          <w:docPart w:val="GBC22222222222222222222222222222"/>
        </w:placeholder>
      </w:sdtPr>
      <w:sdtContent>
        <w:p w14:paraId="340BDD14">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FBAE07">
      <w:pPr>
        <w:autoSpaceDE w:val="0"/>
        <w:autoSpaceDN w:val="0"/>
        <w:adjustRightInd w:val="0"/>
        <w:jc w:val="right"/>
      </w:pPr>
      <w:r>
        <w:rPr>
          <w:rFonts w:hint="eastAsia"/>
        </w:rPr>
        <w:t>单位：</w:t>
      </w:r>
      <w:sdt>
        <w:sdtPr>
          <w:rPr>
            <w:rFonts w:hint="eastAsia"/>
          </w:rPr>
          <w:alias w:val="单位：财务附注：固定资产情况"/>
          <w:tag w:val="_GBC_6aff6dff3e7c47e2891bcccce5ef5b8c"/>
          <w:id w:val="-2551418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固定资产情况"/>
          <w:tag w:val="_GBC_acfb726ad8bc4e37a6326a98b903d495"/>
          <w:id w:val="5055678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11057"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2411"/>
        <w:gridCol w:w="1559"/>
        <w:gridCol w:w="1559"/>
        <w:gridCol w:w="1276"/>
        <w:gridCol w:w="1417"/>
        <w:gridCol w:w="1276"/>
        <w:gridCol w:w="1559"/>
      </w:tblGrid>
      <w:tr w14:paraId="6E91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0431b88b9ff14ebb90e5715c273e1c1d"/>
            <w:id w:val="563692292"/>
          </w:sdtPr>
          <w:sdtContent>
            <w:tc>
              <w:tcPr>
                <w:tcW w:w="2411" w:type="dxa"/>
                <w:vAlign w:val="center"/>
              </w:tcPr>
              <w:p w14:paraId="32CEBFF5">
                <w:pPr>
                  <w:jc w:val="center"/>
                  <w:rPr>
                    <w:rFonts w:ascii="Calibri" w:hAnsi="Calibri"/>
                    <w:sz w:val="20"/>
                    <w:szCs w:val="20"/>
                  </w:rPr>
                </w:pPr>
                <w:r>
                  <w:rPr>
                    <w:rFonts w:hint="eastAsia" w:ascii="Calibri" w:hAnsi="Calibri"/>
                    <w:sz w:val="20"/>
                    <w:szCs w:val="20"/>
                  </w:rPr>
                  <w:t>项目</w:t>
                </w:r>
              </w:p>
            </w:tc>
          </w:sdtContent>
        </w:sdt>
        <w:sdt>
          <w:sdtPr>
            <w:rPr>
              <w:rFonts w:hint="eastAsia" w:ascii="Calibri" w:hAnsi="Calibri"/>
              <w:sz w:val="20"/>
              <w:szCs w:val="20"/>
            </w:rPr>
            <w:alias w:val="固定资产情况明细-项目名称"/>
            <w:tag w:val="_GBC_d421638fcfb34bbba0e548b4cb719a06"/>
            <w:id w:val="1312750031"/>
            <w:text/>
          </w:sdtPr>
          <w:sdtEndPr>
            <w:rPr>
              <w:rFonts w:hint="eastAsia" w:ascii="Calibri" w:hAnsi="Calibri"/>
              <w:sz w:val="20"/>
              <w:szCs w:val="20"/>
            </w:rPr>
          </w:sdtEndPr>
          <w:sdtContent>
            <w:tc>
              <w:tcPr>
                <w:tcW w:w="1559" w:type="dxa"/>
                <w:vAlign w:val="center"/>
              </w:tcPr>
              <w:p w14:paraId="4F9232D5">
                <w:pPr>
                  <w:jc w:val="center"/>
                  <w:rPr>
                    <w:rFonts w:ascii="Calibri" w:hAnsi="Calibri"/>
                    <w:sz w:val="20"/>
                    <w:szCs w:val="20"/>
                  </w:rPr>
                </w:pPr>
                <w:r>
                  <w:rPr>
                    <w:rFonts w:hint="eastAsia" w:ascii="Calibri" w:hAnsi="Calibri"/>
                    <w:sz w:val="20"/>
                    <w:szCs w:val="20"/>
                  </w:rPr>
                  <w:t>房屋及建筑物</w:t>
                </w:r>
              </w:p>
            </w:tc>
          </w:sdtContent>
        </w:sdt>
        <w:sdt>
          <w:sdtPr>
            <w:rPr>
              <w:rFonts w:hint="eastAsia" w:ascii="Calibri" w:hAnsi="Calibri"/>
              <w:sz w:val="20"/>
              <w:szCs w:val="20"/>
            </w:rPr>
            <w:alias w:val="固定资产情况明细-项目名称"/>
            <w:tag w:val="_GBC_d421638fcfb34bbba0e548b4cb719a06"/>
            <w:id w:val="-674040371"/>
            <w:text/>
          </w:sdtPr>
          <w:sdtEndPr>
            <w:rPr>
              <w:rFonts w:hint="eastAsia" w:ascii="Calibri" w:hAnsi="Calibri"/>
              <w:sz w:val="20"/>
              <w:szCs w:val="20"/>
            </w:rPr>
          </w:sdtEndPr>
          <w:sdtContent>
            <w:tc>
              <w:tcPr>
                <w:tcW w:w="1559" w:type="dxa"/>
                <w:vAlign w:val="center"/>
              </w:tcPr>
              <w:p w14:paraId="1EFA5ABD">
                <w:pPr>
                  <w:jc w:val="center"/>
                  <w:rPr>
                    <w:rFonts w:ascii="Calibri" w:hAnsi="Calibri"/>
                    <w:sz w:val="20"/>
                    <w:szCs w:val="20"/>
                  </w:rPr>
                </w:pPr>
                <w:r>
                  <w:rPr>
                    <w:rFonts w:hint="eastAsia" w:ascii="Calibri" w:hAnsi="Calibri"/>
                    <w:sz w:val="20"/>
                    <w:szCs w:val="20"/>
                  </w:rPr>
                  <w:t>机器设备</w:t>
                </w:r>
              </w:p>
            </w:tc>
          </w:sdtContent>
        </w:sdt>
        <w:sdt>
          <w:sdtPr>
            <w:rPr>
              <w:rFonts w:hint="eastAsia" w:ascii="Calibri" w:hAnsi="Calibri"/>
              <w:sz w:val="20"/>
              <w:szCs w:val="20"/>
            </w:rPr>
            <w:alias w:val="固定资产情况明细-项目名称"/>
            <w:tag w:val="_GBC_d421638fcfb34bbba0e548b4cb719a06"/>
            <w:id w:val="582654273"/>
            <w:text/>
          </w:sdtPr>
          <w:sdtEndPr>
            <w:rPr>
              <w:rFonts w:hint="eastAsia" w:ascii="Calibri" w:hAnsi="Calibri"/>
              <w:sz w:val="20"/>
              <w:szCs w:val="20"/>
            </w:rPr>
          </w:sdtEndPr>
          <w:sdtContent>
            <w:tc>
              <w:tcPr>
                <w:tcW w:w="1276" w:type="dxa"/>
                <w:vAlign w:val="center"/>
              </w:tcPr>
              <w:p w14:paraId="76A1565E">
                <w:pPr>
                  <w:jc w:val="center"/>
                  <w:rPr>
                    <w:rFonts w:ascii="Calibri" w:hAnsi="Calibri"/>
                    <w:sz w:val="20"/>
                    <w:szCs w:val="20"/>
                  </w:rPr>
                </w:pPr>
                <w:r>
                  <w:rPr>
                    <w:rFonts w:hint="eastAsia" w:ascii="Calibri" w:hAnsi="Calibri"/>
                    <w:sz w:val="20"/>
                    <w:szCs w:val="20"/>
                  </w:rPr>
                  <w:t>运输工具</w:t>
                </w:r>
              </w:p>
            </w:tc>
          </w:sdtContent>
        </w:sdt>
        <w:sdt>
          <w:sdtPr>
            <w:rPr>
              <w:rFonts w:hint="eastAsia" w:ascii="Calibri" w:hAnsi="Calibri"/>
              <w:sz w:val="20"/>
              <w:szCs w:val="20"/>
            </w:rPr>
            <w:alias w:val="固定资产情况明细-项目名称"/>
            <w:tag w:val="_GBC_d421638fcfb34bbba0e548b4cb719a06"/>
            <w:id w:val="-1070259908"/>
            <w:text/>
          </w:sdtPr>
          <w:sdtEndPr>
            <w:rPr>
              <w:rFonts w:hint="eastAsia" w:ascii="Calibri" w:hAnsi="Calibri"/>
              <w:sz w:val="20"/>
              <w:szCs w:val="20"/>
            </w:rPr>
          </w:sdtEndPr>
          <w:sdtContent>
            <w:tc>
              <w:tcPr>
                <w:tcW w:w="1417" w:type="dxa"/>
                <w:vAlign w:val="center"/>
              </w:tcPr>
              <w:p w14:paraId="65C01AC3">
                <w:pPr>
                  <w:jc w:val="center"/>
                  <w:rPr>
                    <w:rFonts w:ascii="Calibri" w:hAnsi="Calibri"/>
                    <w:sz w:val="20"/>
                    <w:szCs w:val="20"/>
                  </w:rPr>
                </w:pPr>
                <w:r>
                  <w:rPr>
                    <w:rFonts w:hint="eastAsia" w:ascii="Calibri" w:hAnsi="Calibri"/>
                    <w:sz w:val="20"/>
                    <w:szCs w:val="20"/>
                  </w:rPr>
                  <w:t>电子设备</w:t>
                </w:r>
              </w:p>
            </w:tc>
          </w:sdtContent>
        </w:sdt>
        <w:tc>
          <w:tcPr>
            <w:tcW w:w="1276" w:type="dxa"/>
            <w:vAlign w:val="center"/>
          </w:tcPr>
          <w:p w14:paraId="78AEDA33">
            <w:pPr>
              <w:jc w:val="center"/>
              <w:rPr>
                <w:rFonts w:ascii="Calibri" w:hAnsi="Calibri"/>
                <w:sz w:val="20"/>
                <w:szCs w:val="20"/>
              </w:rPr>
            </w:pPr>
            <w:r>
              <w:rPr>
                <w:rFonts w:ascii="Calibri" w:hAnsi="Calibri"/>
                <w:sz w:val="20"/>
                <w:szCs w:val="20"/>
              </w:rPr>
              <w:t>其他</w:t>
            </w:r>
          </w:p>
        </w:tc>
        <w:sdt>
          <w:sdtPr>
            <w:tag w:val="_PLD_44989fc4cd3d46cc990c4d1941405a11"/>
            <w:id w:val="1066380584"/>
          </w:sdtPr>
          <w:sdtContent>
            <w:tc>
              <w:tcPr>
                <w:tcW w:w="1559" w:type="dxa"/>
                <w:vAlign w:val="center"/>
              </w:tcPr>
              <w:p w14:paraId="2B93B5CF">
                <w:pPr>
                  <w:jc w:val="center"/>
                  <w:rPr>
                    <w:rFonts w:ascii="Calibri" w:hAnsi="Calibri"/>
                    <w:sz w:val="20"/>
                    <w:szCs w:val="20"/>
                  </w:rPr>
                </w:pPr>
                <w:r>
                  <w:rPr>
                    <w:rFonts w:hint="eastAsia" w:ascii="Calibri" w:hAnsi="Calibri"/>
                    <w:sz w:val="20"/>
                    <w:szCs w:val="20"/>
                  </w:rPr>
                  <w:t>合计</w:t>
                </w:r>
              </w:p>
            </w:tc>
          </w:sdtContent>
        </w:sdt>
      </w:tr>
      <w:tr w14:paraId="453D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baa91289996942f0a3579319b339b24d"/>
            <w:id w:val="1258947395"/>
          </w:sdtPr>
          <w:sdtContent>
            <w:tc>
              <w:tcPr>
                <w:tcW w:w="11057" w:type="dxa"/>
                <w:gridSpan w:val="7"/>
                <w:vAlign w:val="center"/>
              </w:tcPr>
              <w:p w14:paraId="53AA9A84">
                <w:pPr>
                  <w:pStyle w:val="48"/>
                  <w:rPr>
                    <w:sz w:val="20"/>
                    <w:szCs w:val="20"/>
                  </w:rPr>
                </w:pPr>
                <w:r>
                  <w:rPr>
                    <w:rFonts w:hint="eastAsia"/>
                    <w:sz w:val="20"/>
                    <w:szCs w:val="20"/>
                  </w:rPr>
                  <w:t>一、账面原值：</w:t>
                </w:r>
              </w:p>
            </w:tc>
          </w:sdtContent>
        </w:sdt>
      </w:tr>
      <w:tr w14:paraId="5E06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622D789D">
            <w:pPr>
              <w:ind w:firstLine="400" w:firstLineChars="200"/>
              <w:rPr>
                <w:rFonts w:ascii="Calibri" w:hAnsi="Calibri"/>
                <w:sz w:val="20"/>
                <w:szCs w:val="20"/>
              </w:rPr>
            </w:pPr>
            <w:r>
              <w:rPr>
                <w:rFonts w:ascii="Calibri" w:hAnsi="Calibri"/>
                <w:sz w:val="20"/>
                <w:szCs w:val="20"/>
              </w:rPr>
              <w:t>1.</w:t>
            </w:r>
            <w:r>
              <w:rPr>
                <w:rFonts w:hint="eastAsia" w:ascii="Calibri" w:hAnsi="Calibri"/>
                <w:sz w:val="20"/>
                <w:szCs w:val="20"/>
              </w:rPr>
              <w:t>期初余额</w:t>
            </w:r>
          </w:p>
        </w:tc>
        <w:tc>
          <w:tcPr>
            <w:tcW w:w="1559" w:type="dxa"/>
            <w:vAlign w:val="center"/>
          </w:tcPr>
          <w:p w14:paraId="662C89DF">
            <w:pPr>
              <w:jc w:val="right"/>
              <w:rPr>
                <w:rFonts w:ascii="Calibri" w:hAnsi="Calibri"/>
                <w:sz w:val="18"/>
                <w:szCs w:val="18"/>
              </w:rPr>
            </w:pPr>
            <w:r>
              <w:rPr>
                <w:rFonts w:ascii="Calibri" w:hAnsi="Calibri"/>
                <w:sz w:val="18"/>
                <w:szCs w:val="18"/>
              </w:rPr>
              <w:t>1,844,156,711.56</w:t>
            </w:r>
          </w:p>
        </w:tc>
        <w:tc>
          <w:tcPr>
            <w:tcW w:w="1559" w:type="dxa"/>
            <w:vAlign w:val="center"/>
          </w:tcPr>
          <w:p w14:paraId="68C24490">
            <w:pPr>
              <w:jc w:val="right"/>
              <w:rPr>
                <w:rFonts w:ascii="Calibri" w:hAnsi="Calibri"/>
                <w:sz w:val="18"/>
                <w:szCs w:val="18"/>
              </w:rPr>
            </w:pPr>
            <w:r>
              <w:rPr>
                <w:rFonts w:ascii="Calibri" w:hAnsi="Calibri"/>
                <w:sz w:val="18"/>
                <w:szCs w:val="18"/>
              </w:rPr>
              <w:t>2,206,524,250.57</w:t>
            </w:r>
          </w:p>
        </w:tc>
        <w:tc>
          <w:tcPr>
            <w:tcW w:w="1276" w:type="dxa"/>
            <w:vAlign w:val="center"/>
          </w:tcPr>
          <w:p w14:paraId="2CA06F80">
            <w:pPr>
              <w:jc w:val="right"/>
              <w:rPr>
                <w:rFonts w:ascii="Calibri" w:hAnsi="Calibri"/>
                <w:sz w:val="18"/>
                <w:szCs w:val="18"/>
              </w:rPr>
            </w:pPr>
            <w:r>
              <w:rPr>
                <w:rFonts w:ascii="Calibri" w:hAnsi="Calibri"/>
                <w:sz w:val="18"/>
                <w:szCs w:val="18"/>
              </w:rPr>
              <w:t>27,361,409.42</w:t>
            </w:r>
          </w:p>
        </w:tc>
        <w:tc>
          <w:tcPr>
            <w:tcW w:w="1417" w:type="dxa"/>
            <w:vAlign w:val="center"/>
          </w:tcPr>
          <w:p w14:paraId="02F5D7BD">
            <w:pPr>
              <w:jc w:val="right"/>
              <w:rPr>
                <w:rFonts w:ascii="Calibri" w:hAnsi="Calibri"/>
                <w:sz w:val="18"/>
                <w:szCs w:val="18"/>
              </w:rPr>
            </w:pPr>
            <w:r>
              <w:rPr>
                <w:rFonts w:ascii="Calibri" w:hAnsi="Calibri"/>
                <w:sz w:val="18"/>
                <w:szCs w:val="18"/>
              </w:rPr>
              <w:t>121,901,900.80</w:t>
            </w:r>
          </w:p>
        </w:tc>
        <w:tc>
          <w:tcPr>
            <w:tcW w:w="1276" w:type="dxa"/>
            <w:vAlign w:val="center"/>
          </w:tcPr>
          <w:p w14:paraId="6D74F209">
            <w:pPr>
              <w:jc w:val="right"/>
              <w:rPr>
                <w:rFonts w:ascii="Calibri" w:hAnsi="Calibri"/>
                <w:sz w:val="18"/>
                <w:szCs w:val="18"/>
              </w:rPr>
            </w:pPr>
            <w:r>
              <w:rPr>
                <w:rFonts w:ascii="Calibri" w:hAnsi="Calibri"/>
                <w:sz w:val="18"/>
                <w:szCs w:val="18"/>
              </w:rPr>
              <w:t>62,872,558.18</w:t>
            </w:r>
          </w:p>
        </w:tc>
        <w:tc>
          <w:tcPr>
            <w:tcW w:w="1559" w:type="dxa"/>
            <w:vAlign w:val="center"/>
          </w:tcPr>
          <w:p w14:paraId="208F08D1">
            <w:pPr>
              <w:jc w:val="right"/>
              <w:rPr>
                <w:rFonts w:ascii="Calibri" w:hAnsi="Calibri"/>
                <w:sz w:val="18"/>
                <w:szCs w:val="18"/>
              </w:rPr>
            </w:pPr>
            <w:r>
              <w:rPr>
                <w:rFonts w:ascii="Calibri" w:hAnsi="Calibri"/>
                <w:sz w:val="18"/>
                <w:szCs w:val="18"/>
              </w:rPr>
              <w:t>4,262,816,830.53</w:t>
            </w:r>
          </w:p>
        </w:tc>
      </w:tr>
      <w:tr w14:paraId="5382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3178D98E">
            <w:pPr>
              <w:ind w:firstLine="400" w:firstLineChars="200"/>
              <w:rPr>
                <w:rFonts w:ascii="Calibri" w:hAnsi="Calibri"/>
                <w:sz w:val="20"/>
                <w:szCs w:val="20"/>
              </w:rPr>
            </w:pPr>
            <w:r>
              <w:rPr>
                <w:rFonts w:ascii="Calibri" w:hAnsi="Calibri"/>
                <w:sz w:val="20"/>
                <w:szCs w:val="20"/>
              </w:rPr>
              <w:t>2.</w:t>
            </w:r>
            <w:r>
              <w:rPr>
                <w:rFonts w:hint="eastAsia" w:ascii="Calibri" w:hAnsi="Calibri"/>
                <w:sz w:val="20"/>
                <w:szCs w:val="20"/>
              </w:rPr>
              <w:t>本期增加金额</w:t>
            </w:r>
          </w:p>
        </w:tc>
        <w:tc>
          <w:tcPr>
            <w:tcW w:w="1559" w:type="dxa"/>
            <w:vAlign w:val="center"/>
          </w:tcPr>
          <w:p w14:paraId="1D5779C9">
            <w:pPr>
              <w:jc w:val="right"/>
              <w:rPr>
                <w:rFonts w:ascii="Calibri" w:hAnsi="Calibri"/>
                <w:sz w:val="18"/>
                <w:szCs w:val="18"/>
              </w:rPr>
            </w:pPr>
            <w:r>
              <w:rPr>
                <w:rFonts w:ascii="Calibri" w:hAnsi="Calibri"/>
                <w:sz w:val="18"/>
                <w:szCs w:val="18"/>
              </w:rPr>
              <w:t>7,755,703.58</w:t>
            </w:r>
          </w:p>
        </w:tc>
        <w:tc>
          <w:tcPr>
            <w:tcW w:w="1559" w:type="dxa"/>
            <w:vAlign w:val="center"/>
          </w:tcPr>
          <w:p w14:paraId="01CE47FA">
            <w:pPr>
              <w:jc w:val="right"/>
              <w:rPr>
                <w:rFonts w:ascii="Calibri" w:hAnsi="Calibri"/>
                <w:sz w:val="18"/>
                <w:szCs w:val="18"/>
              </w:rPr>
            </w:pPr>
            <w:r>
              <w:rPr>
                <w:rFonts w:ascii="Calibri" w:hAnsi="Calibri"/>
                <w:sz w:val="18"/>
                <w:szCs w:val="18"/>
              </w:rPr>
              <w:t>52,711,996.07</w:t>
            </w:r>
          </w:p>
        </w:tc>
        <w:tc>
          <w:tcPr>
            <w:tcW w:w="1276" w:type="dxa"/>
            <w:vAlign w:val="center"/>
          </w:tcPr>
          <w:p w14:paraId="164A0408">
            <w:pPr>
              <w:jc w:val="right"/>
              <w:rPr>
                <w:rFonts w:ascii="Calibri" w:hAnsi="Calibri"/>
                <w:sz w:val="18"/>
                <w:szCs w:val="18"/>
              </w:rPr>
            </w:pPr>
            <w:r>
              <w:rPr>
                <w:rFonts w:ascii="Calibri" w:hAnsi="Calibri"/>
                <w:sz w:val="18"/>
                <w:szCs w:val="18"/>
              </w:rPr>
              <w:t>2,639,698.55</w:t>
            </w:r>
          </w:p>
        </w:tc>
        <w:tc>
          <w:tcPr>
            <w:tcW w:w="1417" w:type="dxa"/>
            <w:vAlign w:val="center"/>
          </w:tcPr>
          <w:p w14:paraId="3C6ABE3B">
            <w:pPr>
              <w:jc w:val="right"/>
              <w:rPr>
                <w:rFonts w:ascii="Calibri" w:hAnsi="Calibri"/>
                <w:sz w:val="18"/>
                <w:szCs w:val="18"/>
              </w:rPr>
            </w:pPr>
            <w:r>
              <w:rPr>
                <w:rFonts w:ascii="Calibri" w:hAnsi="Calibri"/>
                <w:sz w:val="18"/>
                <w:szCs w:val="18"/>
              </w:rPr>
              <w:t>11,148,069.53</w:t>
            </w:r>
          </w:p>
        </w:tc>
        <w:tc>
          <w:tcPr>
            <w:tcW w:w="1276" w:type="dxa"/>
            <w:vAlign w:val="center"/>
          </w:tcPr>
          <w:p w14:paraId="141866E6">
            <w:pPr>
              <w:jc w:val="right"/>
              <w:rPr>
                <w:rFonts w:ascii="Calibri" w:hAnsi="Calibri"/>
                <w:sz w:val="18"/>
                <w:szCs w:val="18"/>
              </w:rPr>
            </w:pPr>
            <w:r>
              <w:rPr>
                <w:rFonts w:ascii="Calibri" w:hAnsi="Calibri"/>
                <w:sz w:val="18"/>
                <w:szCs w:val="18"/>
              </w:rPr>
              <w:t>10,665,112.38</w:t>
            </w:r>
          </w:p>
        </w:tc>
        <w:tc>
          <w:tcPr>
            <w:tcW w:w="1559" w:type="dxa"/>
            <w:vAlign w:val="center"/>
          </w:tcPr>
          <w:p w14:paraId="6A3B8D75">
            <w:pPr>
              <w:jc w:val="right"/>
              <w:rPr>
                <w:rFonts w:ascii="Calibri" w:hAnsi="Calibri"/>
                <w:sz w:val="18"/>
                <w:szCs w:val="18"/>
              </w:rPr>
            </w:pPr>
            <w:r>
              <w:rPr>
                <w:rFonts w:ascii="Calibri" w:hAnsi="Calibri"/>
                <w:sz w:val="18"/>
                <w:szCs w:val="18"/>
              </w:rPr>
              <w:t>84,920,580.11</w:t>
            </w:r>
          </w:p>
        </w:tc>
      </w:tr>
      <w:tr w14:paraId="492F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7CAB48C5">
            <w:pPr>
              <w:ind w:firstLine="400" w:firstLineChars="200"/>
              <w:rPr>
                <w:rFonts w:ascii="Calibri" w:hAnsi="Calibri"/>
                <w:sz w:val="20"/>
                <w:szCs w:val="20"/>
              </w:rPr>
            </w:pPr>
            <w:r>
              <w:rPr>
                <w:rFonts w:hint="eastAsia" w:ascii="Calibri" w:hAnsi="Calibri"/>
                <w:sz w:val="20"/>
                <w:szCs w:val="20"/>
              </w:rPr>
              <w:t>（1）购置</w:t>
            </w:r>
          </w:p>
        </w:tc>
        <w:tc>
          <w:tcPr>
            <w:tcW w:w="1559" w:type="dxa"/>
            <w:vAlign w:val="center"/>
          </w:tcPr>
          <w:p w14:paraId="0724D6FF">
            <w:pPr>
              <w:jc w:val="right"/>
              <w:rPr>
                <w:rFonts w:ascii="Calibri" w:hAnsi="Calibri"/>
                <w:sz w:val="18"/>
                <w:szCs w:val="18"/>
              </w:rPr>
            </w:pPr>
            <w:r>
              <w:rPr>
                <w:rFonts w:ascii="Calibri" w:hAnsi="Calibri"/>
                <w:sz w:val="18"/>
                <w:szCs w:val="18"/>
              </w:rPr>
              <w:t>521,150.00</w:t>
            </w:r>
          </w:p>
        </w:tc>
        <w:tc>
          <w:tcPr>
            <w:tcW w:w="1559" w:type="dxa"/>
            <w:vAlign w:val="center"/>
          </w:tcPr>
          <w:p w14:paraId="71EBCC40">
            <w:pPr>
              <w:jc w:val="right"/>
              <w:rPr>
                <w:rFonts w:ascii="Calibri" w:hAnsi="Calibri"/>
                <w:sz w:val="18"/>
                <w:szCs w:val="18"/>
              </w:rPr>
            </w:pPr>
            <w:r>
              <w:rPr>
                <w:rFonts w:ascii="Calibri" w:hAnsi="Calibri"/>
                <w:sz w:val="18"/>
                <w:szCs w:val="18"/>
              </w:rPr>
              <w:t>28,254,817.28</w:t>
            </w:r>
          </w:p>
        </w:tc>
        <w:tc>
          <w:tcPr>
            <w:tcW w:w="1276" w:type="dxa"/>
            <w:vAlign w:val="center"/>
          </w:tcPr>
          <w:p w14:paraId="526B8F79">
            <w:pPr>
              <w:jc w:val="right"/>
              <w:rPr>
                <w:rFonts w:ascii="Calibri" w:hAnsi="Calibri"/>
                <w:sz w:val="18"/>
                <w:szCs w:val="18"/>
              </w:rPr>
            </w:pPr>
            <w:r>
              <w:rPr>
                <w:rFonts w:ascii="Calibri" w:hAnsi="Calibri"/>
                <w:sz w:val="18"/>
                <w:szCs w:val="18"/>
              </w:rPr>
              <w:t>2,639,698.55</w:t>
            </w:r>
          </w:p>
        </w:tc>
        <w:tc>
          <w:tcPr>
            <w:tcW w:w="1417" w:type="dxa"/>
            <w:vAlign w:val="center"/>
          </w:tcPr>
          <w:p w14:paraId="1F71FB46">
            <w:pPr>
              <w:jc w:val="right"/>
              <w:rPr>
                <w:rFonts w:ascii="Calibri" w:hAnsi="Calibri"/>
                <w:sz w:val="18"/>
                <w:szCs w:val="18"/>
              </w:rPr>
            </w:pPr>
            <w:r>
              <w:rPr>
                <w:rFonts w:ascii="Calibri" w:hAnsi="Calibri"/>
                <w:sz w:val="18"/>
                <w:szCs w:val="18"/>
              </w:rPr>
              <w:t>11,148,069.53</w:t>
            </w:r>
          </w:p>
        </w:tc>
        <w:tc>
          <w:tcPr>
            <w:tcW w:w="1276" w:type="dxa"/>
            <w:vAlign w:val="center"/>
          </w:tcPr>
          <w:p w14:paraId="05E42E93">
            <w:pPr>
              <w:jc w:val="right"/>
              <w:rPr>
                <w:rFonts w:ascii="Calibri" w:hAnsi="Calibri"/>
                <w:sz w:val="18"/>
                <w:szCs w:val="18"/>
              </w:rPr>
            </w:pPr>
            <w:r>
              <w:rPr>
                <w:rFonts w:ascii="Arial Narrow" w:hAnsi="Arial Narrow"/>
                <w:sz w:val="18"/>
                <w:szCs w:val="18"/>
              </w:rPr>
              <w:t>7,473,363.06</w:t>
            </w:r>
          </w:p>
        </w:tc>
        <w:tc>
          <w:tcPr>
            <w:tcW w:w="1559" w:type="dxa"/>
            <w:vAlign w:val="center"/>
          </w:tcPr>
          <w:p w14:paraId="4F7037E2">
            <w:pPr>
              <w:jc w:val="right"/>
              <w:rPr>
                <w:rFonts w:ascii="Calibri" w:hAnsi="Calibri"/>
                <w:sz w:val="18"/>
                <w:szCs w:val="18"/>
              </w:rPr>
            </w:pPr>
            <w:r>
              <w:rPr>
                <w:rFonts w:ascii="Arial Narrow" w:hAnsi="Arial Narrow"/>
                <w:sz w:val="18"/>
                <w:szCs w:val="18"/>
              </w:rPr>
              <w:t>50,037,098.42</w:t>
            </w:r>
          </w:p>
        </w:tc>
      </w:tr>
      <w:tr w14:paraId="6F8B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0647E814">
            <w:pPr>
              <w:ind w:firstLine="400" w:firstLineChars="200"/>
              <w:rPr>
                <w:rFonts w:ascii="Calibri" w:hAnsi="Calibri"/>
                <w:sz w:val="20"/>
                <w:szCs w:val="20"/>
              </w:rPr>
            </w:pPr>
            <w:r>
              <w:rPr>
                <w:rFonts w:hint="eastAsia" w:ascii="Calibri" w:hAnsi="Calibri"/>
                <w:sz w:val="20"/>
                <w:szCs w:val="20"/>
              </w:rPr>
              <w:t>（2）在建工程转入</w:t>
            </w:r>
          </w:p>
        </w:tc>
        <w:tc>
          <w:tcPr>
            <w:tcW w:w="1559" w:type="dxa"/>
            <w:vAlign w:val="center"/>
          </w:tcPr>
          <w:p w14:paraId="2308EF39">
            <w:pPr>
              <w:jc w:val="right"/>
              <w:rPr>
                <w:rFonts w:ascii="Calibri" w:hAnsi="Calibri"/>
                <w:sz w:val="18"/>
                <w:szCs w:val="18"/>
              </w:rPr>
            </w:pPr>
            <w:r>
              <w:rPr>
                <w:rFonts w:ascii="Calibri" w:hAnsi="Calibri"/>
                <w:sz w:val="18"/>
                <w:szCs w:val="18"/>
              </w:rPr>
              <w:t>2,256,804.44</w:t>
            </w:r>
          </w:p>
        </w:tc>
        <w:tc>
          <w:tcPr>
            <w:tcW w:w="1559" w:type="dxa"/>
            <w:vAlign w:val="center"/>
          </w:tcPr>
          <w:p w14:paraId="041BCAFB">
            <w:pPr>
              <w:jc w:val="right"/>
              <w:rPr>
                <w:rFonts w:ascii="Calibri" w:hAnsi="Calibri"/>
                <w:sz w:val="18"/>
                <w:szCs w:val="18"/>
              </w:rPr>
            </w:pPr>
            <w:r>
              <w:rPr>
                <w:rFonts w:ascii="Calibri" w:hAnsi="Calibri"/>
                <w:sz w:val="18"/>
                <w:szCs w:val="18"/>
              </w:rPr>
              <w:t>24,457,178.79</w:t>
            </w:r>
          </w:p>
        </w:tc>
        <w:tc>
          <w:tcPr>
            <w:tcW w:w="1276" w:type="dxa"/>
            <w:vAlign w:val="center"/>
          </w:tcPr>
          <w:p w14:paraId="43B50069">
            <w:pPr>
              <w:jc w:val="right"/>
              <w:rPr>
                <w:rFonts w:ascii="Calibri" w:hAnsi="Calibri"/>
                <w:sz w:val="18"/>
                <w:szCs w:val="18"/>
              </w:rPr>
            </w:pPr>
          </w:p>
        </w:tc>
        <w:tc>
          <w:tcPr>
            <w:tcW w:w="1417" w:type="dxa"/>
            <w:vAlign w:val="center"/>
          </w:tcPr>
          <w:p w14:paraId="797421B8">
            <w:pPr>
              <w:jc w:val="right"/>
              <w:rPr>
                <w:rFonts w:ascii="Calibri" w:hAnsi="Calibri"/>
                <w:sz w:val="18"/>
                <w:szCs w:val="18"/>
              </w:rPr>
            </w:pPr>
          </w:p>
        </w:tc>
        <w:tc>
          <w:tcPr>
            <w:tcW w:w="1276" w:type="dxa"/>
            <w:vAlign w:val="center"/>
          </w:tcPr>
          <w:p w14:paraId="7604B046">
            <w:pPr>
              <w:jc w:val="right"/>
              <w:rPr>
                <w:rFonts w:ascii="Calibri" w:hAnsi="Calibri"/>
                <w:sz w:val="18"/>
                <w:szCs w:val="18"/>
              </w:rPr>
            </w:pPr>
            <w:r>
              <w:rPr>
                <w:rFonts w:ascii="Calibri" w:hAnsi="Calibri"/>
                <w:sz w:val="18"/>
                <w:szCs w:val="18"/>
              </w:rPr>
              <w:t>3,191,749.32</w:t>
            </w:r>
          </w:p>
        </w:tc>
        <w:tc>
          <w:tcPr>
            <w:tcW w:w="1559" w:type="dxa"/>
            <w:vAlign w:val="center"/>
          </w:tcPr>
          <w:p w14:paraId="015C12DE">
            <w:pPr>
              <w:jc w:val="right"/>
              <w:rPr>
                <w:rFonts w:ascii="Calibri" w:hAnsi="Calibri"/>
                <w:sz w:val="18"/>
                <w:szCs w:val="18"/>
              </w:rPr>
            </w:pPr>
            <w:r>
              <w:rPr>
                <w:rFonts w:ascii="Calibri" w:hAnsi="Calibri"/>
                <w:sz w:val="18"/>
                <w:szCs w:val="18"/>
              </w:rPr>
              <w:t>29,905,732.55</w:t>
            </w:r>
          </w:p>
        </w:tc>
      </w:tr>
      <w:tr w14:paraId="29CD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3467C248">
            <w:pPr>
              <w:ind w:firstLine="400" w:firstLineChars="200"/>
              <w:rPr>
                <w:rFonts w:ascii="Calibri" w:hAnsi="Calibri"/>
                <w:sz w:val="20"/>
                <w:szCs w:val="20"/>
              </w:rPr>
            </w:pPr>
            <w:r>
              <w:rPr>
                <w:rFonts w:hint="eastAsia" w:ascii="Calibri" w:hAnsi="Calibri"/>
                <w:sz w:val="20"/>
                <w:szCs w:val="20"/>
              </w:rPr>
              <w:t>（3）企业合并增加</w:t>
            </w:r>
          </w:p>
        </w:tc>
        <w:tc>
          <w:tcPr>
            <w:tcW w:w="1559" w:type="dxa"/>
            <w:vAlign w:val="center"/>
          </w:tcPr>
          <w:p w14:paraId="79DEE399">
            <w:pPr>
              <w:jc w:val="right"/>
              <w:rPr>
                <w:rFonts w:ascii="Calibri" w:hAnsi="Calibri"/>
                <w:sz w:val="20"/>
                <w:szCs w:val="20"/>
              </w:rPr>
            </w:pPr>
          </w:p>
        </w:tc>
        <w:tc>
          <w:tcPr>
            <w:tcW w:w="1559" w:type="dxa"/>
            <w:vAlign w:val="center"/>
          </w:tcPr>
          <w:p w14:paraId="7A31A30E">
            <w:pPr>
              <w:jc w:val="right"/>
              <w:rPr>
                <w:rFonts w:ascii="Calibri" w:hAnsi="Calibri"/>
                <w:sz w:val="20"/>
                <w:szCs w:val="20"/>
              </w:rPr>
            </w:pPr>
          </w:p>
        </w:tc>
        <w:tc>
          <w:tcPr>
            <w:tcW w:w="1276" w:type="dxa"/>
            <w:vAlign w:val="center"/>
          </w:tcPr>
          <w:p w14:paraId="6CC2440E">
            <w:pPr>
              <w:jc w:val="right"/>
              <w:rPr>
                <w:rFonts w:ascii="Calibri" w:hAnsi="Calibri"/>
                <w:sz w:val="20"/>
                <w:szCs w:val="20"/>
              </w:rPr>
            </w:pPr>
          </w:p>
        </w:tc>
        <w:tc>
          <w:tcPr>
            <w:tcW w:w="1417" w:type="dxa"/>
            <w:vAlign w:val="center"/>
          </w:tcPr>
          <w:p w14:paraId="780BFA83">
            <w:pPr>
              <w:jc w:val="right"/>
              <w:rPr>
                <w:rFonts w:ascii="Calibri" w:hAnsi="Calibri"/>
                <w:sz w:val="20"/>
                <w:szCs w:val="20"/>
              </w:rPr>
            </w:pPr>
          </w:p>
        </w:tc>
        <w:tc>
          <w:tcPr>
            <w:tcW w:w="1276" w:type="dxa"/>
            <w:vAlign w:val="center"/>
          </w:tcPr>
          <w:p w14:paraId="207EF98B">
            <w:pPr>
              <w:jc w:val="right"/>
              <w:rPr>
                <w:rFonts w:ascii="Calibri" w:hAnsi="Calibri"/>
                <w:sz w:val="20"/>
                <w:szCs w:val="20"/>
              </w:rPr>
            </w:pPr>
          </w:p>
        </w:tc>
        <w:tc>
          <w:tcPr>
            <w:tcW w:w="1559" w:type="dxa"/>
            <w:vAlign w:val="center"/>
          </w:tcPr>
          <w:p w14:paraId="7C5B4ACF">
            <w:pPr>
              <w:jc w:val="right"/>
              <w:rPr>
                <w:rFonts w:ascii="Calibri" w:hAnsi="Calibri"/>
                <w:sz w:val="20"/>
                <w:szCs w:val="20"/>
              </w:rPr>
            </w:pPr>
          </w:p>
        </w:tc>
      </w:tr>
      <w:tr w14:paraId="39DB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22B6B18F">
            <w:pPr>
              <w:ind w:firstLine="400" w:firstLineChars="200"/>
              <w:rPr>
                <w:rFonts w:ascii="Calibri" w:hAnsi="Calibri"/>
                <w:sz w:val="20"/>
                <w:szCs w:val="20"/>
              </w:rPr>
            </w:pPr>
            <w:r>
              <w:rPr>
                <w:rFonts w:hint="eastAsia" w:ascii="Calibri" w:hAnsi="Calibri"/>
                <w:sz w:val="20"/>
                <w:szCs w:val="20"/>
              </w:rPr>
              <w:t>（4）投资性房地产转入</w:t>
            </w:r>
          </w:p>
        </w:tc>
        <w:tc>
          <w:tcPr>
            <w:tcW w:w="1559" w:type="dxa"/>
            <w:vAlign w:val="center"/>
          </w:tcPr>
          <w:p w14:paraId="1CED35C3">
            <w:pPr>
              <w:jc w:val="right"/>
              <w:rPr>
                <w:rFonts w:ascii="Calibri" w:hAnsi="Calibri"/>
                <w:sz w:val="18"/>
                <w:szCs w:val="18"/>
              </w:rPr>
            </w:pPr>
            <w:r>
              <w:rPr>
                <w:rFonts w:ascii="Calibri" w:hAnsi="Calibri"/>
                <w:sz w:val="18"/>
                <w:szCs w:val="18"/>
              </w:rPr>
              <w:t>4,977,749.14</w:t>
            </w:r>
          </w:p>
        </w:tc>
        <w:tc>
          <w:tcPr>
            <w:tcW w:w="1559" w:type="dxa"/>
            <w:vAlign w:val="center"/>
          </w:tcPr>
          <w:p w14:paraId="35B77112">
            <w:pPr>
              <w:jc w:val="right"/>
              <w:rPr>
                <w:rFonts w:ascii="Calibri" w:hAnsi="Calibri"/>
                <w:sz w:val="20"/>
                <w:szCs w:val="20"/>
              </w:rPr>
            </w:pPr>
          </w:p>
        </w:tc>
        <w:tc>
          <w:tcPr>
            <w:tcW w:w="1276" w:type="dxa"/>
            <w:vAlign w:val="center"/>
          </w:tcPr>
          <w:p w14:paraId="321A5FAE">
            <w:pPr>
              <w:jc w:val="right"/>
              <w:rPr>
                <w:rFonts w:ascii="Calibri" w:hAnsi="Calibri"/>
                <w:sz w:val="20"/>
                <w:szCs w:val="20"/>
              </w:rPr>
            </w:pPr>
          </w:p>
        </w:tc>
        <w:tc>
          <w:tcPr>
            <w:tcW w:w="1417" w:type="dxa"/>
            <w:vAlign w:val="center"/>
          </w:tcPr>
          <w:p w14:paraId="3102AA61">
            <w:pPr>
              <w:jc w:val="right"/>
              <w:rPr>
                <w:rFonts w:ascii="Calibri" w:hAnsi="Calibri"/>
                <w:sz w:val="20"/>
                <w:szCs w:val="20"/>
              </w:rPr>
            </w:pPr>
          </w:p>
        </w:tc>
        <w:tc>
          <w:tcPr>
            <w:tcW w:w="1276" w:type="dxa"/>
            <w:vAlign w:val="center"/>
          </w:tcPr>
          <w:p w14:paraId="1678DCDB">
            <w:pPr>
              <w:jc w:val="right"/>
              <w:rPr>
                <w:rFonts w:ascii="Calibri" w:hAnsi="Calibri"/>
                <w:sz w:val="20"/>
                <w:szCs w:val="20"/>
              </w:rPr>
            </w:pPr>
          </w:p>
        </w:tc>
        <w:tc>
          <w:tcPr>
            <w:tcW w:w="1559" w:type="dxa"/>
            <w:vAlign w:val="center"/>
          </w:tcPr>
          <w:p w14:paraId="1FE691DC">
            <w:pPr>
              <w:jc w:val="right"/>
              <w:rPr>
                <w:rFonts w:ascii="Calibri" w:hAnsi="Calibri"/>
                <w:sz w:val="18"/>
                <w:szCs w:val="18"/>
              </w:rPr>
            </w:pPr>
            <w:r>
              <w:rPr>
                <w:rFonts w:ascii="Calibri" w:hAnsi="Calibri"/>
                <w:sz w:val="18"/>
                <w:szCs w:val="18"/>
              </w:rPr>
              <w:t>4,977,749.14</w:t>
            </w:r>
          </w:p>
        </w:tc>
      </w:tr>
      <w:tr w14:paraId="0110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2E25FE8A">
            <w:pPr>
              <w:ind w:firstLine="404" w:firstLineChars="202"/>
              <w:rPr>
                <w:rFonts w:ascii="Calibri" w:hAnsi="Calibri"/>
                <w:sz w:val="20"/>
                <w:szCs w:val="20"/>
              </w:rPr>
            </w:pPr>
            <w:r>
              <w:rPr>
                <w:rFonts w:hint="eastAsia" w:ascii="Calibri" w:hAnsi="Calibri"/>
                <w:sz w:val="20"/>
                <w:szCs w:val="20"/>
              </w:rPr>
              <w:t>3.本期减少金额</w:t>
            </w:r>
          </w:p>
        </w:tc>
        <w:tc>
          <w:tcPr>
            <w:tcW w:w="1559" w:type="dxa"/>
            <w:vAlign w:val="center"/>
          </w:tcPr>
          <w:p w14:paraId="79BC4489">
            <w:pPr>
              <w:jc w:val="right"/>
              <w:rPr>
                <w:rFonts w:ascii="Calibri" w:hAnsi="Calibri"/>
                <w:sz w:val="18"/>
                <w:szCs w:val="18"/>
              </w:rPr>
            </w:pPr>
            <w:r>
              <w:rPr>
                <w:rFonts w:ascii="Calibri" w:hAnsi="Calibri"/>
                <w:sz w:val="18"/>
                <w:szCs w:val="18"/>
              </w:rPr>
              <w:t>16,565,826.99</w:t>
            </w:r>
          </w:p>
        </w:tc>
        <w:tc>
          <w:tcPr>
            <w:tcW w:w="1559" w:type="dxa"/>
            <w:vAlign w:val="center"/>
          </w:tcPr>
          <w:p w14:paraId="5610E1F1">
            <w:pPr>
              <w:jc w:val="right"/>
              <w:rPr>
                <w:rFonts w:ascii="Calibri" w:hAnsi="Calibri"/>
                <w:sz w:val="18"/>
                <w:szCs w:val="18"/>
              </w:rPr>
            </w:pPr>
            <w:r>
              <w:rPr>
                <w:rFonts w:ascii="Calibri" w:hAnsi="Calibri"/>
                <w:sz w:val="18"/>
                <w:szCs w:val="18"/>
              </w:rPr>
              <w:t>35,546,767.54</w:t>
            </w:r>
          </w:p>
        </w:tc>
        <w:tc>
          <w:tcPr>
            <w:tcW w:w="1276" w:type="dxa"/>
            <w:vAlign w:val="center"/>
          </w:tcPr>
          <w:p w14:paraId="04AC1DF9">
            <w:pPr>
              <w:jc w:val="right"/>
              <w:rPr>
                <w:rFonts w:ascii="Calibri" w:hAnsi="Calibri"/>
                <w:sz w:val="18"/>
                <w:szCs w:val="18"/>
              </w:rPr>
            </w:pPr>
            <w:r>
              <w:rPr>
                <w:rFonts w:ascii="Calibri" w:hAnsi="Calibri"/>
                <w:sz w:val="18"/>
                <w:szCs w:val="18"/>
              </w:rPr>
              <w:t>6,032,949.91</w:t>
            </w:r>
          </w:p>
        </w:tc>
        <w:tc>
          <w:tcPr>
            <w:tcW w:w="1417" w:type="dxa"/>
            <w:vAlign w:val="center"/>
          </w:tcPr>
          <w:p w14:paraId="4F12B62F">
            <w:pPr>
              <w:jc w:val="right"/>
              <w:rPr>
                <w:rFonts w:ascii="Calibri" w:hAnsi="Calibri"/>
                <w:sz w:val="18"/>
                <w:szCs w:val="18"/>
              </w:rPr>
            </w:pPr>
            <w:r>
              <w:rPr>
                <w:rFonts w:ascii="Calibri" w:hAnsi="Calibri"/>
                <w:sz w:val="18"/>
                <w:szCs w:val="18"/>
              </w:rPr>
              <w:t>5,979,329.87</w:t>
            </w:r>
          </w:p>
        </w:tc>
        <w:tc>
          <w:tcPr>
            <w:tcW w:w="1276" w:type="dxa"/>
            <w:vAlign w:val="center"/>
          </w:tcPr>
          <w:p w14:paraId="1CCD4CB6">
            <w:pPr>
              <w:jc w:val="right"/>
              <w:rPr>
                <w:rFonts w:ascii="Calibri" w:hAnsi="Calibri"/>
                <w:sz w:val="18"/>
                <w:szCs w:val="18"/>
              </w:rPr>
            </w:pPr>
            <w:r>
              <w:rPr>
                <w:rFonts w:ascii="Calibri" w:hAnsi="Calibri"/>
                <w:sz w:val="18"/>
                <w:szCs w:val="18"/>
              </w:rPr>
              <w:t>12,362,530.99</w:t>
            </w:r>
          </w:p>
        </w:tc>
        <w:tc>
          <w:tcPr>
            <w:tcW w:w="1559" w:type="dxa"/>
            <w:vAlign w:val="center"/>
          </w:tcPr>
          <w:p w14:paraId="17D5F246">
            <w:pPr>
              <w:jc w:val="right"/>
              <w:rPr>
                <w:rFonts w:ascii="Calibri" w:hAnsi="Calibri"/>
                <w:sz w:val="18"/>
                <w:szCs w:val="18"/>
              </w:rPr>
            </w:pPr>
            <w:r>
              <w:rPr>
                <w:rFonts w:ascii="Calibri" w:hAnsi="Calibri"/>
                <w:sz w:val="18"/>
                <w:szCs w:val="18"/>
              </w:rPr>
              <w:t>76,487,405.30</w:t>
            </w:r>
          </w:p>
        </w:tc>
      </w:tr>
      <w:tr w14:paraId="56D3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446F726C">
            <w:pPr>
              <w:ind w:firstLine="400" w:firstLineChars="200"/>
              <w:rPr>
                <w:rFonts w:ascii="Calibri" w:hAnsi="Calibri"/>
                <w:sz w:val="20"/>
                <w:szCs w:val="20"/>
              </w:rPr>
            </w:pPr>
            <w:r>
              <w:rPr>
                <w:rFonts w:hint="eastAsia" w:ascii="Calibri" w:hAnsi="Calibri"/>
                <w:sz w:val="20"/>
                <w:szCs w:val="20"/>
              </w:rPr>
              <w:t>（1）处置或报废</w:t>
            </w:r>
          </w:p>
        </w:tc>
        <w:tc>
          <w:tcPr>
            <w:tcW w:w="1559" w:type="dxa"/>
            <w:vAlign w:val="center"/>
          </w:tcPr>
          <w:p w14:paraId="02D4CE03">
            <w:pPr>
              <w:jc w:val="right"/>
              <w:rPr>
                <w:rFonts w:ascii="Calibri" w:hAnsi="Calibri"/>
                <w:sz w:val="18"/>
                <w:szCs w:val="18"/>
              </w:rPr>
            </w:pPr>
            <w:r>
              <w:rPr>
                <w:rFonts w:ascii="Calibri" w:hAnsi="Calibri"/>
                <w:sz w:val="18"/>
                <w:szCs w:val="18"/>
              </w:rPr>
              <w:t>69,930.00</w:t>
            </w:r>
          </w:p>
        </w:tc>
        <w:tc>
          <w:tcPr>
            <w:tcW w:w="1559" w:type="dxa"/>
            <w:vAlign w:val="center"/>
          </w:tcPr>
          <w:p w14:paraId="4511E982">
            <w:pPr>
              <w:jc w:val="right"/>
              <w:rPr>
                <w:rFonts w:ascii="Calibri" w:hAnsi="Calibri"/>
                <w:sz w:val="18"/>
                <w:szCs w:val="18"/>
              </w:rPr>
            </w:pPr>
            <w:r>
              <w:rPr>
                <w:rFonts w:ascii="Calibri" w:hAnsi="Calibri"/>
                <w:sz w:val="18"/>
                <w:szCs w:val="18"/>
              </w:rPr>
              <w:t>35,546,767.54</w:t>
            </w:r>
          </w:p>
        </w:tc>
        <w:tc>
          <w:tcPr>
            <w:tcW w:w="1276" w:type="dxa"/>
            <w:vAlign w:val="center"/>
          </w:tcPr>
          <w:p w14:paraId="1498B24E">
            <w:pPr>
              <w:jc w:val="right"/>
              <w:rPr>
                <w:rFonts w:ascii="Calibri" w:hAnsi="Calibri"/>
                <w:sz w:val="18"/>
                <w:szCs w:val="18"/>
              </w:rPr>
            </w:pPr>
            <w:r>
              <w:rPr>
                <w:rFonts w:ascii="Calibri" w:hAnsi="Calibri"/>
                <w:sz w:val="18"/>
                <w:szCs w:val="18"/>
              </w:rPr>
              <w:t>6,032,949.91</w:t>
            </w:r>
          </w:p>
        </w:tc>
        <w:tc>
          <w:tcPr>
            <w:tcW w:w="1417" w:type="dxa"/>
            <w:vAlign w:val="center"/>
          </w:tcPr>
          <w:p w14:paraId="07F805BF">
            <w:pPr>
              <w:jc w:val="right"/>
              <w:rPr>
                <w:rFonts w:ascii="Calibri" w:hAnsi="Calibri"/>
                <w:sz w:val="18"/>
                <w:szCs w:val="18"/>
              </w:rPr>
            </w:pPr>
            <w:r>
              <w:rPr>
                <w:rFonts w:ascii="Calibri" w:hAnsi="Calibri"/>
                <w:sz w:val="18"/>
                <w:szCs w:val="18"/>
              </w:rPr>
              <w:t>5,979,329.87</w:t>
            </w:r>
          </w:p>
        </w:tc>
        <w:tc>
          <w:tcPr>
            <w:tcW w:w="1276" w:type="dxa"/>
            <w:vAlign w:val="center"/>
          </w:tcPr>
          <w:p w14:paraId="3ABA1E9D">
            <w:pPr>
              <w:jc w:val="right"/>
              <w:rPr>
                <w:rFonts w:ascii="Calibri" w:hAnsi="Calibri"/>
                <w:sz w:val="18"/>
                <w:szCs w:val="18"/>
              </w:rPr>
            </w:pPr>
            <w:r>
              <w:rPr>
                <w:rFonts w:ascii="Calibri" w:hAnsi="Calibri"/>
                <w:sz w:val="18"/>
                <w:szCs w:val="18"/>
              </w:rPr>
              <w:t>12,362,530.99</w:t>
            </w:r>
          </w:p>
        </w:tc>
        <w:tc>
          <w:tcPr>
            <w:tcW w:w="1559" w:type="dxa"/>
            <w:vAlign w:val="center"/>
          </w:tcPr>
          <w:p w14:paraId="40ED9CEC">
            <w:pPr>
              <w:jc w:val="right"/>
              <w:rPr>
                <w:rFonts w:ascii="Calibri" w:hAnsi="Calibri"/>
                <w:sz w:val="18"/>
                <w:szCs w:val="18"/>
              </w:rPr>
            </w:pPr>
            <w:r>
              <w:rPr>
                <w:rFonts w:ascii="Calibri" w:hAnsi="Calibri"/>
                <w:sz w:val="18"/>
                <w:szCs w:val="18"/>
              </w:rPr>
              <w:t>59,991,508.31</w:t>
            </w:r>
          </w:p>
        </w:tc>
      </w:tr>
      <w:tr w14:paraId="01F1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4A1C1C54">
            <w:pPr>
              <w:ind w:firstLine="400" w:firstLineChars="200"/>
              <w:rPr>
                <w:rFonts w:ascii="Calibri" w:hAnsi="Calibri"/>
                <w:sz w:val="20"/>
                <w:szCs w:val="20"/>
              </w:rPr>
            </w:pPr>
            <w:r>
              <w:rPr>
                <w:rFonts w:hint="eastAsia" w:ascii="Calibri" w:hAnsi="Calibri"/>
                <w:sz w:val="20"/>
                <w:szCs w:val="20"/>
              </w:rPr>
              <w:t>（2）其他转出</w:t>
            </w:r>
          </w:p>
        </w:tc>
        <w:tc>
          <w:tcPr>
            <w:tcW w:w="1559" w:type="dxa"/>
            <w:vAlign w:val="center"/>
          </w:tcPr>
          <w:p w14:paraId="2BB598C6">
            <w:pPr>
              <w:jc w:val="right"/>
              <w:rPr>
                <w:rFonts w:ascii="Calibri" w:hAnsi="Calibri"/>
                <w:sz w:val="20"/>
                <w:szCs w:val="20"/>
              </w:rPr>
            </w:pPr>
            <w:r>
              <w:rPr>
                <w:rFonts w:ascii="Calibri" w:hAnsi="Calibri"/>
                <w:sz w:val="20"/>
                <w:szCs w:val="20"/>
              </w:rPr>
              <w:t>16,495,896.99</w:t>
            </w:r>
          </w:p>
        </w:tc>
        <w:tc>
          <w:tcPr>
            <w:tcW w:w="1559" w:type="dxa"/>
            <w:vAlign w:val="center"/>
          </w:tcPr>
          <w:p w14:paraId="641A60FD">
            <w:pPr>
              <w:jc w:val="right"/>
              <w:rPr>
                <w:rFonts w:ascii="Calibri" w:hAnsi="Calibri"/>
                <w:sz w:val="20"/>
                <w:szCs w:val="20"/>
              </w:rPr>
            </w:pPr>
            <w:r>
              <w:rPr>
                <w:rFonts w:hint="eastAsia" w:ascii="Calibri" w:hAnsi="Calibri"/>
                <w:sz w:val="20"/>
                <w:szCs w:val="20"/>
              </w:rPr>
              <w:t>　</w:t>
            </w:r>
          </w:p>
        </w:tc>
        <w:tc>
          <w:tcPr>
            <w:tcW w:w="1276" w:type="dxa"/>
            <w:vAlign w:val="center"/>
          </w:tcPr>
          <w:p w14:paraId="27BAF749">
            <w:pPr>
              <w:jc w:val="right"/>
              <w:rPr>
                <w:rFonts w:ascii="Calibri" w:hAnsi="Calibri"/>
                <w:sz w:val="20"/>
                <w:szCs w:val="20"/>
              </w:rPr>
            </w:pPr>
            <w:r>
              <w:rPr>
                <w:rFonts w:hint="eastAsia" w:ascii="Calibri" w:hAnsi="Calibri"/>
                <w:sz w:val="20"/>
                <w:szCs w:val="20"/>
              </w:rPr>
              <w:t>　</w:t>
            </w:r>
          </w:p>
        </w:tc>
        <w:tc>
          <w:tcPr>
            <w:tcW w:w="1417" w:type="dxa"/>
            <w:vAlign w:val="center"/>
          </w:tcPr>
          <w:p w14:paraId="004C8714">
            <w:pPr>
              <w:jc w:val="right"/>
              <w:rPr>
                <w:rFonts w:ascii="Calibri" w:hAnsi="Calibri"/>
                <w:sz w:val="20"/>
                <w:szCs w:val="20"/>
              </w:rPr>
            </w:pPr>
            <w:r>
              <w:rPr>
                <w:rFonts w:hint="eastAsia" w:ascii="Calibri" w:hAnsi="Calibri"/>
                <w:sz w:val="20"/>
                <w:szCs w:val="20"/>
              </w:rPr>
              <w:t>　</w:t>
            </w:r>
          </w:p>
        </w:tc>
        <w:tc>
          <w:tcPr>
            <w:tcW w:w="1276" w:type="dxa"/>
            <w:vAlign w:val="center"/>
          </w:tcPr>
          <w:p w14:paraId="7ECAAE42">
            <w:pPr>
              <w:jc w:val="right"/>
              <w:rPr>
                <w:rFonts w:ascii="Calibri" w:hAnsi="Calibri"/>
                <w:sz w:val="20"/>
                <w:szCs w:val="20"/>
              </w:rPr>
            </w:pPr>
          </w:p>
        </w:tc>
        <w:tc>
          <w:tcPr>
            <w:tcW w:w="1559" w:type="dxa"/>
            <w:vAlign w:val="center"/>
          </w:tcPr>
          <w:p w14:paraId="44798069">
            <w:pPr>
              <w:jc w:val="right"/>
              <w:rPr>
                <w:rFonts w:ascii="Calibri" w:hAnsi="Calibri"/>
                <w:sz w:val="20"/>
                <w:szCs w:val="20"/>
              </w:rPr>
            </w:pPr>
            <w:r>
              <w:rPr>
                <w:rFonts w:ascii="Calibri" w:hAnsi="Calibri"/>
                <w:sz w:val="20"/>
                <w:szCs w:val="20"/>
              </w:rPr>
              <w:t>16,495,896.99</w:t>
            </w:r>
          </w:p>
        </w:tc>
      </w:tr>
      <w:tr w14:paraId="5ADF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743D7570">
            <w:pPr>
              <w:ind w:firstLine="400" w:firstLineChars="200"/>
              <w:rPr>
                <w:rFonts w:ascii="Calibri" w:hAnsi="Calibri"/>
                <w:sz w:val="20"/>
                <w:szCs w:val="20"/>
              </w:rPr>
            </w:pPr>
            <w:r>
              <w:rPr>
                <w:rFonts w:hint="eastAsia" w:ascii="Calibri" w:hAnsi="Calibri"/>
                <w:sz w:val="20"/>
                <w:szCs w:val="20"/>
              </w:rPr>
              <w:t>4.期末余额</w:t>
            </w:r>
          </w:p>
        </w:tc>
        <w:tc>
          <w:tcPr>
            <w:tcW w:w="1559" w:type="dxa"/>
            <w:vAlign w:val="center"/>
          </w:tcPr>
          <w:p w14:paraId="17BFA345">
            <w:pPr>
              <w:jc w:val="right"/>
              <w:rPr>
                <w:rFonts w:ascii="Calibri" w:hAnsi="Calibri"/>
                <w:sz w:val="18"/>
                <w:szCs w:val="18"/>
              </w:rPr>
            </w:pPr>
            <w:r>
              <w:rPr>
                <w:rFonts w:ascii="Calibri" w:hAnsi="Calibri"/>
                <w:sz w:val="18"/>
                <w:szCs w:val="18"/>
              </w:rPr>
              <w:t>1,835,346,588.15</w:t>
            </w:r>
          </w:p>
        </w:tc>
        <w:tc>
          <w:tcPr>
            <w:tcW w:w="1559" w:type="dxa"/>
            <w:vAlign w:val="center"/>
          </w:tcPr>
          <w:p w14:paraId="0CEC455E">
            <w:pPr>
              <w:jc w:val="right"/>
              <w:rPr>
                <w:rFonts w:ascii="Calibri" w:hAnsi="Calibri"/>
                <w:sz w:val="18"/>
                <w:szCs w:val="18"/>
              </w:rPr>
            </w:pPr>
            <w:r>
              <w:rPr>
                <w:rFonts w:ascii="Calibri" w:hAnsi="Calibri"/>
                <w:sz w:val="18"/>
                <w:szCs w:val="18"/>
              </w:rPr>
              <w:t>2,223,689,479.10</w:t>
            </w:r>
          </w:p>
        </w:tc>
        <w:tc>
          <w:tcPr>
            <w:tcW w:w="1276" w:type="dxa"/>
            <w:vAlign w:val="center"/>
          </w:tcPr>
          <w:p w14:paraId="24964DFA">
            <w:pPr>
              <w:jc w:val="right"/>
              <w:rPr>
                <w:rFonts w:ascii="Calibri" w:hAnsi="Calibri"/>
                <w:sz w:val="18"/>
                <w:szCs w:val="18"/>
              </w:rPr>
            </w:pPr>
            <w:r>
              <w:rPr>
                <w:rFonts w:ascii="Calibri" w:hAnsi="Calibri"/>
                <w:sz w:val="18"/>
                <w:szCs w:val="18"/>
              </w:rPr>
              <w:t>23,968,158.06</w:t>
            </w:r>
          </w:p>
        </w:tc>
        <w:tc>
          <w:tcPr>
            <w:tcW w:w="1417" w:type="dxa"/>
            <w:vAlign w:val="center"/>
          </w:tcPr>
          <w:p w14:paraId="795369B8">
            <w:pPr>
              <w:jc w:val="right"/>
              <w:rPr>
                <w:rFonts w:ascii="Calibri" w:hAnsi="Calibri"/>
                <w:sz w:val="18"/>
                <w:szCs w:val="18"/>
              </w:rPr>
            </w:pPr>
            <w:r>
              <w:rPr>
                <w:rFonts w:ascii="Calibri" w:hAnsi="Calibri"/>
                <w:sz w:val="18"/>
                <w:szCs w:val="18"/>
              </w:rPr>
              <w:t>127,070,640.46</w:t>
            </w:r>
          </w:p>
        </w:tc>
        <w:tc>
          <w:tcPr>
            <w:tcW w:w="1276" w:type="dxa"/>
            <w:vAlign w:val="center"/>
          </w:tcPr>
          <w:p w14:paraId="16BA88D5">
            <w:pPr>
              <w:jc w:val="right"/>
              <w:rPr>
                <w:rFonts w:ascii="Calibri" w:hAnsi="Calibri"/>
                <w:sz w:val="18"/>
                <w:szCs w:val="18"/>
              </w:rPr>
            </w:pPr>
            <w:r>
              <w:rPr>
                <w:rFonts w:ascii="Calibri" w:hAnsi="Calibri"/>
                <w:sz w:val="18"/>
                <w:szCs w:val="18"/>
              </w:rPr>
              <w:t>61,175,139.57</w:t>
            </w:r>
          </w:p>
        </w:tc>
        <w:tc>
          <w:tcPr>
            <w:tcW w:w="1559" w:type="dxa"/>
            <w:vAlign w:val="center"/>
          </w:tcPr>
          <w:p w14:paraId="674413FA">
            <w:pPr>
              <w:jc w:val="right"/>
              <w:rPr>
                <w:rFonts w:ascii="Calibri" w:hAnsi="Calibri"/>
                <w:sz w:val="18"/>
                <w:szCs w:val="18"/>
              </w:rPr>
            </w:pPr>
            <w:r>
              <w:rPr>
                <w:rFonts w:ascii="Calibri" w:hAnsi="Calibri"/>
                <w:sz w:val="18"/>
                <w:szCs w:val="18"/>
              </w:rPr>
              <w:t>4,271,250,005.34</w:t>
            </w:r>
          </w:p>
        </w:tc>
      </w:tr>
      <w:tr w14:paraId="3A53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14f44e7a4341414ca27a4047f9622e44"/>
            <w:id w:val="1580169286"/>
          </w:sdtPr>
          <w:sdtContent>
            <w:tc>
              <w:tcPr>
                <w:tcW w:w="11057" w:type="dxa"/>
                <w:gridSpan w:val="7"/>
                <w:vAlign w:val="center"/>
              </w:tcPr>
              <w:p w14:paraId="71A46AED">
                <w:pPr>
                  <w:pStyle w:val="48"/>
                  <w:rPr>
                    <w:sz w:val="20"/>
                    <w:szCs w:val="20"/>
                  </w:rPr>
                </w:pPr>
                <w:r>
                  <w:rPr>
                    <w:rFonts w:hint="eastAsia"/>
                    <w:sz w:val="20"/>
                    <w:szCs w:val="20"/>
                  </w:rPr>
                  <w:t>二、累计折旧</w:t>
                </w:r>
              </w:p>
            </w:tc>
          </w:sdtContent>
        </w:sdt>
      </w:tr>
      <w:tr w14:paraId="7ED4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1747785F">
            <w:pPr>
              <w:ind w:firstLine="400" w:firstLineChars="200"/>
              <w:rPr>
                <w:rFonts w:ascii="Calibri" w:hAnsi="Calibri"/>
                <w:sz w:val="20"/>
                <w:szCs w:val="20"/>
              </w:rPr>
            </w:pPr>
            <w:r>
              <w:rPr>
                <w:rFonts w:ascii="Calibri" w:hAnsi="Calibri"/>
                <w:sz w:val="20"/>
                <w:szCs w:val="20"/>
              </w:rPr>
              <w:t>1.</w:t>
            </w:r>
            <w:r>
              <w:rPr>
                <w:rFonts w:hint="eastAsia" w:ascii="Calibri" w:hAnsi="Calibri"/>
                <w:sz w:val="20"/>
                <w:szCs w:val="20"/>
              </w:rPr>
              <w:t>期初余额</w:t>
            </w:r>
          </w:p>
        </w:tc>
        <w:tc>
          <w:tcPr>
            <w:tcW w:w="1559" w:type="dxa"/>
            <w:vAlign w:val="center"/>
          </w:tcPr>
          <w:p w14:paraId="570816BA">
            <w:pPr>
              <w:jc w:val="right"/>
              <w:rPr>
                <w:rFonts w:ascii="Calibri" w:hAnsi="Calibri"/>
                <w:sz w:val="18"/>
                <w:szCs w:val="18"/>
              </w:rPr>
            </w:pPr>
            <w:r>
              <w:rPr>
                <w:rFonts w:ascii="Calibri" w:hAnsi="Calibri"/>
                <w:sz w:val="18"/>
                <w:szCs w:val="18"/>
              </w:rPr>
              <w:t>637,714,823.39</w:t>
            </w:r>
          </w:p>
        </w:tc>
        <w:tc>
          <w:tcPr>
            <w:tcW w:w="1559" w:type="dxa"/>
            <w:vAlign w:val="center"/>
          </w:tcPr>
          <w:p w14:paraId="27F3B584">
            <w:pPr>
              <w:jc w:val="right"/>
              <w:rPr>
                <w:rFonts w:ascii="Calibri" w:hAnsi="Calibri"/>
                <w:sz w:val="18"/>
                <w:szCs w:val="18"/>
              </w:rPr>
            </w:pPr>
            <w:r>
              <w:rPr>
                <w:rFonts w:ascii="Calibri" w:hAnsi="Calibri"/>
                <w:sz w:val="18"/>
                <w:szCs w:val="18"/>
              </w:rPr>
              <w:t>941,271,719.65</w:t>
            </w:r>
          </w:p>
        </w:tc>
        <w:tc>
          <w:tcPr>
            <w:tcW w:w="1276" w:type="dxa"/>
            <w:vAlign w:val="center"/>
          </w:tcPr>
          <w:p w14:paraId="39395CA1">
            <w:pPr>
              <w:jc w:val="right"/>
              <w:rPr>
                <w:rFonts w:ascii="Calibri" w:hAnsi="Calibri"/>
                <w:sz w:val="18"/>
                <w:szCs w:val="18"/>
              </w:rPr>
            </w:pPr>
            <w:r>
              <w:rPr>
                <w:rFonts w:ascii="Calibri" w:hAnsi="Calibri"/>
                <w:sz w:val="18"/>
                <w:szCs w:val="18"/>
              </w:rPr>
              <w:t>25,002,853.37</w:t>
            </w:r>
          </w:p>
        </w:tc>
        <w:tc>
          <w:tcPr>
            <w:tcW w:w="1417" w:type="dxa"/>
            <w:vAlign w:val="center"/>
          </w:tcPr>
          <w:p w14:paraId="702A9FD3">
            <w:pPr>
              <w:jc w:val="right"/>
              <w:rPr>
                <w:rFonts w:ascii="Calibri" w:hAnsi="Calibri"/>
                <w:sz w:val="18"/>
                <w:szCs w:val="18"/>
              </w:rPr>
            </w:pPr>
            <w:r>
              <w:rPr>
                <w:rFonts w:ascii="Calibri" w:hAnsi="Calibri"/>
                <w:sz w:val="18"/>
                <w:szCs w:val="18"/>
              </w:rPr>
              <w:t>113,254,468.90</w:t>
            </w:r>
          </w:p>
        </w:tc>
        <w:tc>
          <w:tcPr>
            <w:tcW w:w="1276" w:type="dxa"/>
            <w:vAlign w:val="center"/>
          </w:tcPr>
          <w:p w14:paraId="2E6D6436">
            <w:pPr>
              <w:jc w:val="right"/>
              <w:rPr>
                <w:rFonts w:ascii="Calibri" w:hAnsi="Calibri"/>
                <w:sz w:val="18"/>
                <w:szCs w:val="18"/>
              </w:rPr>
            </w:pPr>
            <w:r>
              <w:rPr>
                <w:rFonts w:ascii="Calibri" w:hAnsi="Calibri"/>
                <w:sz w:val="18"/>
                <w:szCs w:val="18"/>
              </w:rPr>
              <w:t>48,347,105.75</w:t>
            </w:r>
          </w:p>
        </w:tc>
        <w:tc>
          <w:tcPr>
            <w:tcW w:w="1559" w:type="dxa"/>
            <w:vAlign w:val="center"/>
          </w:tcPr>
          <w:p w14:paraId="7BAEF3AF">
            <w:pPr>
              <w:jc w:val="right"/>
              <w:rPr>
                <w:rFonts w:ascii="Calibri" w:hAnsi="Calibri"/>
                <w:sz w:val="18"/>
                <w:szCs w:val="18"/>
              </w:rPr>
            </w:pPr>
            <w:r>
              <w:rPr>
                <w:rFonts w:ascii="Calibri" w:hAnsi="Calibri"/>
                <w:sz w:val="18"/>
                <w:szCs w:val="18"/>
              </w:rPr>
              <w:t>1,765,590,971.06</w:t>
            </w:r>
          </w:p>
        </w:tc>
      </w:tr>
      <w:tr w14:paraId="0D82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372367EC">
            <w:pPr>
              <w:ind w:firstLine="400" w:firstLineChars="200"/>
              <w:rPr>
                <w:rFonts w:ascii="Calibri" w:hAnsi="Calibri"/>
                <w:sz w:val="20"/>
                <w:szCs w:val="20"/>
              </w:rPr>
            </w:pPr>
            <w:r>
              <w:rPr>
                <w:rFonts w:ascii="Calibri" w:hAnsi="Calibri"/>
                <w:sz w:val="20"/>
                <w:szCs w:val="20"/>
              </w:rPr>
              <w:t>2.</w:t>
            </w:r>
            <w:r>
              <w:rPr>
                <w:rFonts w:hint="eastAsia" w:ascii="Calibri" w:hAnsi="Calibri"/>
                <w:sz w:val="20"/>
                <w:szCs w:val="20"/>
              </w:rPr>
              <w:t>本期增加金额</w:t>
            </w:r>
          </w:p>
        </w:tc>
        <w:tc>
          <w:tcPr>
            <w:tcW w:w="1559" w:type="dxa"/>
            <w:vAlign w:val="center"/>
          </w:tcPr>
          <w:p w14:paraId="345AE4ED">
            <w:pPr>
              <w:jc w:val="right"/>
              <w:rPr>
                <w:rFonts w:ascii="Calibri" w:hAnsi="Calibri"/>
                <w:sz w:val="18"/>
                <w:szCs w:val="18"/>
              </w:rPr>
            </w:pPr>
            <w:r>
              <w:rPr>
                <w:rFonts w:ascii="Calibri" w:hAnsi="Calibri"/>
                <w:sz w:val="18"/>
                <w:szCs w:val="18"/>
              </w:rPr>
              <w:t>60,314,452.89</w:t>
            </w:r>
          </w:p>
        </w:tc>
        <w:tc>
          <w:tcPr>
            <w:tcW w:w="1559" w:type="dxa"/>
            <w:vAlign w:val="center"/>
          </w:tcPr>
          <w:p w14:paraId="299DEB93">
            <w:pPr>
              <w:jc w:val="right"/>
              <w:rPr>
                <w:rFonts w:ascii="Calibri" w:hAnsi="Calibri"/>
                <w:sz w:val="18"/>
                <w:szCs w:val="18"/>
              </w:rPr>
            </w:pPr>
            <w:r>
              <w:rPr>
                <w:rFonts w:ascii="Calibri" w:hAnsi="Calibri"/>
                <w:sz w:val="18"/>
                <w:szCs w:val="18"/>
              </w:rPr>
              <w:t>143,009,553.73</w:t>
            </w:r>
          </w:p>
        </w:tc>
        <w:tc>
          <w:tcPr>
            <w:tcW w:w="1276" w:type="dxa"/>
            <w:vAlign w:val="center"/>
          </w:tcPr>
          <w:p w14:paraId="64ECDA6A">
            <w:pPr>
              <w:jc w:val="right"/>
              <w:rPr>
                <w:rFonts w:ascii="Calibri" w:hAnsi="Calibri"/>
                <w:sz w:val="18"/>
                <w:szCs w:val="18"/>
              </w:rPr>
            </w:pPr>
            <w:r>
              <w:rPr>
                <w:rFonts w:ascii="Calibri" w:hAnsi="Calibri"/>
                <w:sz w:val="18"/>
                <w:szCs w:val="18"/>
              </w:rPr>
              <w:t>519,671.45</w:t>
            </w:r>
          </w:p>
        </w:tc>
        <w:tc>
          <w:tcPr>
            <w:tcW w:w="1417" w:type="dxa"/>
            <w:vAlign w:val="center"/>
          </w:tcPr>
          <w:p w14:paraId="29203F3B">
            <w:pPr>
              <w:jc w:val="right"/>
              <w:rPr>
                <w:rFonts w:ascii="Calibri" w:hAnsi="Calibri"/>
                <w:sz w:val="18"/>
                <w:szCs w:val="18"/>
              </w:rPr>
            </w:pPr>
            <w:r>
              <w:rPr>
                <w:rFonts w:ascii="Calibri" w:hAnsi="Calibri"/>
                <w:sz w:val="18"/>
                <w:szCs w:val="18"/>
              </w:rPr>
              <w:t>2,737,699.28</w:t>
            </w:r>
          </w:p>
        </w:tc>
        <w:tc>
          <w:tcPr>
            <w:tcW w:w="1276" w:type="dxa"/>
            <w:vAlign w:val="center"/>
          </w:tcPr>
          <w:p w14:paraId="083E39DE">
            <w:pPr>
              <w:jc w:val="right"/>
              <w:rPr>
                <w:rFonts w:ascii="Calibri" w:hAnsi="Calibri"/>
                <w:sz w:val="18"/>
                <w:szCs w:val="18"/>
              </w:rPr>
            </w:pPr>
            <w:r>
              <w:rPr>
                <w:rFonts w:ascii="Calibri" w:hAnsi="Calibri"/>
                <w:sz w:val="18"/>
                <w:szCs w:val="18"/>
              </w:rPr>
              <w:t>6,553,139.79</w:t>
            </w:r>
          </w:p>
        </w:tc>
        <w:tc>
          <w:tcPr>
            <w:tcW w:w="1559" w:type="dxa"/>
            <w:vAlign w:val="center"/>
          </w:tcPr>
          <w:p w14:paraId="304F25F3">
            <w:pPr>
              <w:jc w:val="right"/>
              <w:rPr>
                <w:rFonts w:ascii="Calibri" w:hAnsi="Calibri"/>
                <w:sz w:val="18"/>
                <w:szCs w:val="18"/>
              </w:rPr>
            </w:pPr>
            <w:r>
              <w:rPr>
                <w:rFonts w:ascii="Calibri" w:hAnsi="Calibri"/>
                <w:sz w:val="18"/>
                <w:szCs w:val="18"/>
              </w:rPr>
              <w:t>213,134,517.14</w:t>
            </w:r>
          </w:p>
        </w:tc>
      </w:tr>
      <w:tr w14:paraId="5F1F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4E8B2801">
            <w:pPr>
              <w:ind w:firstLine="400" w:firstLineChars="200"/>
              <w:rPr>
                <w:rFonts w:ascii="Calibri" w:hAnsi="Calibri"/>
                <w:sz w:val="20"/>
                <w:szCs w:val="20"/>
              </w:rPr>
            </w:pPr>
            <w:r>
              <w:rPr>
                <w:rFonts w:hint="eastAsia" w:ascii="Calibri" w:hAnsi="Calibri"/>
                <w:sz w:val="20"/>
                <w:szCs w:val="20"/>
              </w:rPr>
              <w:t>（1）计提</w:t>
            </w:r>
          </w:p>
        </w:tc>
        <w:tc>
          <w:tcPr>
            <w:tcW w:w="1559" w:type="dxa"/>
            <w:vAlign w:val="center"/>
          </w:tcPr>
          <w:p w14:paraId="64124F3B">
            <w:pPr>
              <w:jc w:val="right"/>
              <w:rPr>
                <w:rFonts w:ascii="Calibri" w:hAnsi="Calibri"/>
                <w:sz w:val="18"/>
                <w:szCs w:val="18"/>
              </w:rPr>
            </w:pPr>
            <w:r>
              <w:rPr>
                <w:rFonts w:ascii="Calibri" w:hAnsi="Calibri"/>
                <w:sz w:val="18"/>
                <w:szCs w:val="18"/>
              </w:rPr>
              <w:t>58,180,691.92</w:t>
            </w:r>
          </w:p>
        </w:tc>
        <w:tc>
          <w:tcPr>
            <w:tcW w:w="1559" w:type="dxa"/>
            <w:vAlign w:val="center"/>
          </w:tcPr>
          <w:p w14:paraId="6C994051">
            <w:pPr>
              <w:jc w:val="right"/>
              <w:rPr>
                <w:rFonts w:ascii="Calibri" w:hAnsi="Calibri"/>
                <w:sz w:val="18"/>
                <w:szCs w:val="18"/>
              </w:rPr>
            </w:pPr>
            <w:r>
              <w:rPr>
                <w:rFonts w:ascii="Calibri" w:hAnsi="Calibri"/>
                <w:sz w:val="18"/>
                <w:szCs w:val="18"/>
              </w:rPr>
              <w:t>143,009,553.73</w:t>
            </w:r>
          </w:p>
        </w:tc>
        <w:tc>
          <w:tcPr>
            <w:tcW w:w="1276" w:type="dxa"/>
            <w:vAlign w:val="center"/>
          </w:tcPr>
          <w:p w14:paraId="1D947593">
            <w:pPr>
              <w:jc w:val="right"/>
              <w:rPr>
                <w:rFonts w:ascii="Calibri" w:hAnsi="Calibri"/>
                <w:sz w:val="18"/>
                <w:szCs w:val="18"/>
              </w:rPr>
            </w:pPr>
            <w:r>
              <w:rPr>
                <w:rFonts w:ascii="Calibri" w:hAnsi="Calibri"/>
                <w:sz w:val="18"/>
                <w:szCs w:val="18"/>
              </w:rPr>
              <w:t>519,671.45</w:t>
            </w:r>
          </w:p>
        </w:tc>
        <w:tc>
          <w:tcPr>
            <w:tcW w:w="1417" w:type="dxa"/>
            <w:vAlign w:val="center"/>
          </w:tcPr>
          <w:p w14:paraId="58E3EC8E">
            <w:pPr>
              <w:jc w:val="right"/>
              <w:rPr>
                <w:rFonts w:ascii="Calibri" w:hAnsi="Calibri"/>
                <w:sz w:val="18"/>
                <w:szCs w:val="18"/>
              </w:rPr>
            </w:pPr>
            <w:r>
              <w:rPr>
                <w:rFonts w:ascii="Calibri" w:hAnsi="Calibri"/>
                <w:sz w:val="18"/>
                <w:szCs w:val="18"/>
              </w:rPr>
              <w:t>2,737,699.28</w:t>
            </w:r>
          </w:p>
        </w:tc>
        <w:tc>
          <w:tcPr>
            <w:tcW w:w="1276" w:type="dxa"/>
            <w:vAlign w:val="center"/>
          </w:tcPr>
          <w:p w14:paraId="6C9B15C1">
            <w:pPr>
              <w:jc w:val="right"/>
              <w:rPr>
                <w:rFonts w:ascii="Calibri" w:hAnsi="Calibri"/>
                <w:sz w:val="18"/>
                <w:szCs w:val="18"/>
              </w:rPr>
            </w:pPr>
            <w:r>
              <w:rPr>
                <w:rFonts w:ascii="Calibri" w:hAnsi="Calibri"/>
                <w:sz w:val="18"/>
                <w:szCs w:val="18"/>
              </w:rPr>
              <w:t>6,553,139.79</w:t>
            </w:r>
          </w:p>
        </w:tc>
        <w:tc>
          <w:tcPr>
            <w:tcW w:w="1559" w:type="dxa"/>
            <w:vAlign w:val="center"/>
          </w:tcPr>
          <w:p w14:paraId="554FCEA9">
            <w:pPr>
              <w:jc w:val="right"/>
              <w:rPr>
                <w:rFonts w:ascii="Calibri" w:hAnsi="Calibri"/>
                <w:sz w:val="18"/>
                <w:szCs w:val="18"/>
              </w:rPr>
            </w:pPr>
            <w:r>
              <w:rPr>
                <w:rFonts w:ascii="Calibri" w:hAnsi="Calibri"/>
                <w:sz w:val="18"/>
                <w:szCs w:val="18"/>
              </w:rPr>
              <w:t>211,000,756.17</w:t>
            </w:r>
          </w:p>
        </w:tc>
      </w:tr>
      <w:tr w14:paraId="08FB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10DD1A10">
            <w:pPr>
              <w:ind w:firstLine="400" w:firstLineChars="200"/>
              <w:rPr>
                <w:rFonts w:ascii="Calibri" w:hAnsi="Calibri"/>
                <w:sz w:val="20"/>
                <w:szCs w:val="20"/>
              </w:rPr>
            </w:pPr>
            <w:r>
              <w:rPr>
                <w:rFonts w:hint="eastAsia" w:ascii="Calibri" w:hAnsi="Calibri"/>
                <w:sz w:val="20"/>
                <w:szCs w:val="20"/>
              </w:rPr>
              <w:t>（2）投资性房地产转入</w:t>
            </w:r>
          </w:p>
        </w:tc>
        <w:tc>
          <w:tcPr>
            <w:tcW w:w="1559" w:type="dxa"/>
            <w:vAlign w:val="center"/>
          </w:tcPr>
          <w:p w14:paraId="2207CC78">
            <w:pPr>
              <w:jc w:val="right"/>
              <w:rPr>
                <w:rFonts w:ascii="Calibri" w:hAnsi="Calibri"/>
                <w:sz w:val="20"/>
                <w:szCs w:val="20"/>
              </w:rPr>
            </w:pPr>
            <w:r>
              <w:rPr>
                <w:rFonts w:ascii="Calibri" w:hAnsi="Calibri"/>
                <w:sz w:val="20"/>
                <w:szCs w:val="20"/>
              </w:rPr>
              <w:t>2,133,760.97</w:t>
            </w:r>
          </w:p>
        </w:tc>
        <w:tc>
          <w:tcPr>
            <w:tcW w:w="1559" w:type="dxa"/>
            <w:vAlign w:val="center"/>
          </w:tcPr>
          <w:p w14:paraId="1EE9F42D">
            <w:pPr>
              <w:jc w:val="right"/>
              <w:rPr>
                <w:rFonts w:ascii="Calibri" w:hAnsi="Calibri"/>
                <w:sz w:val="20"/>
                <w:szCs w:val="20"/>
              </w:rPr>
            </w:pPr>
            <w:r>
              <w:rPr>
                <w:rFonts w:hint="eastAsia" w:ascii="Calibri" w:hAnsi="Calibri"/>
                <w:sz w:val="20"/>
                <w:szCs w:val="20"/>
              </w:rPr>
              <w:t>　</w:t>
            </w:r>
          </w:p>
        </w:tc>
        <w:tc>
          <w:tcPr>
            <w:tcW w:w="1276" w:type="dxa"/>
            <w:vAlign w:val="center"/>
          </w:tcPr>
          <w:p w14:paraId="55F8F538">
            <w:pPr>
              <w:jc w:val="right"/>
              <w:rPr>
                <w:rFonts w:ascii="Calibri" w:hAnsi="Calibri"/>
                <w:sz w:val="20"/>
                <w:szCs w:val="20"/>
              </w:rPr>
            </w:pPr>
            <w:r>
              <w:rPr>
                <w:rFonts w:hint="eastAsia" w:ascii="Calibri" w:hAnsi="Calibri"/>
                <w:sz w:val="20"/>
                <w:szCs w:val="20"/>
              </w:rPr>
              <w:t>　</w:t>
            </w:r>
          </w:p>
        </w:tc>
        <w:tc>
          <w:tcPr>
            <w:tcW w:w="1417" w:type="dxa"/>
            <w:vAlign w:val="center"/>
          </w:tcPr>
          <w:p w14:paraId="789D697A">
            <w:pPr>
              <w:jc w:val="right"/>
              <w:rPr>
                <w:rFonts w:ascii="Calibri" w:hAnsi="Calibri"/>
                <w:sz w:val="20"/>
                <w:szCs w:val="20"/>
              </w:rPr>
            </w:pPr>
            <w:r>
              <w:rPr>
                <w:rFonts w:hint="eastAsia" w:ascii="Calibri" w:hAnsi="Calibri"/>
                <w:sz w:val="20"/>
                <w:szCs w:val="20"/>
              </w:rPr>
              <w:t>　</w:t>
            </w:r>
          </w:p>
        </w:tc>
        <w:tc>
          <w:tcPr>
            <w:tcW w:w="1276" w:type="dxa"/>
            <w:vAlign w:val="center"/>
          </w:tcPr>
          <w:p w14:paraId="60B4F32C">
            <w:pPr>
              <w:jc w:val="right"/>
              <w:rPr>
                <w:rFonts w:ascii="Calibri" w:hAnsi="Calibri"/>
                <w:sz w:val="20"/>
                <w:szCs w:val="20"/>
              </w:rPr>
            </w:pPr>
          </w:p>
        </w:tc>
        <w:tc>
          <w:tcPr>
            <w:tcW w:w="1559" w:type="dxa"/>
            <w:vAlign w:val="center"/>
          </w:tcPr>
          <w:p w14:paraId="36F54641">
            <w:pPr>
              <w:jc w:val="right"/>
              <w:rPr>
                <w:rFonts w:ascii="Calibri" w:hAnsi="Calibri"/>
                <w:sz w:val="20"/>
                <w:szCs w:val="20"/>
              </w:rPr>
            </w:pPr>
            <w:r>
              <w:rPr>
                <w:rFonts w:ascii="Calibri" w:hAnsi="Calibri"/>
                <w:sz w:val="20"/>
                <w:szCs w:val="20"/>
              </w:rPr>
              <w:t>2,133,760.97</w:t>
            </w:r>
          </w:p>
        </w:tc>
      </w:tr>
      <w:tr w14:paraId="35AC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04C644CD">
            <w:pPr>
              <w:ind w:firstLine="400" w:firstLineChars="200"/>
              <w:rPr>
                <w:rFonts w:ascii="Calibri" w:hAnsi="Calibri"/>
                <w:sz w:val="20"/>
                <w:szCs w:val="20"/>
              </w:rPr>
            </w:pPr>
            <w:r>
              <w:rPr>
                <w:rFonts w:hint="eastAsia" w:ascii="Calibri" w:hAnsi="Calibri"/>
                <w:sz w:val="20"/>
                <w:szCs w:val="20"/>
              </w:rPr>
              <w:t>3.本期减少金额</w:t>
            </w:r>
          </w:p>
        </w:tc>
        <w:tc>
          <w:tcPr>
            <w:tcW w:w="1559" w:type="dxa"/>
            <w:vAlign w:val="center"/>
          </w:tcPr>
          <w:p w14:paraId="7AE89EF1">
            <w:pPr>
              <w:jc w:val="right"/>
              <w:rPr>
                <w:rFonts w:ascii="Calibri" w:hAnsi="Calibri"/>
                <w:sz w:val="18"/>
                <w:szCs w:val="18"/>
              </w:rPr>
            </w:pPr>
            <w:r>
              <w:rPr>
                <w:rFonts w:ascii="Calibri" w:hAnsi="Calibri"/>
                <w:sz w:val="18"/>
                <w:szCs w:val="18"/>
              </w:rPr>
              <w:t>2,240,658.84</w:t>
            </w:r>
          </w:p>
        </w:tc>
        <w:tc>
          <w:tcPr>
            <w:tcW w:w="1559" w:type="dxa"/>
            <w:vAlign w:val="center"/>
          </w:tcPr>
          <w:p w14:paraId="6742781F">
            <w:pPr>
              <w:jc w:val="right"/>
              <w:rPr>
                <w:rFonts w:ascii="Calibri" w:hAnsi="Calibri"/>
                <w:sz w:val="18"/>
                <w:szCs w:val="18"/>
              </w:rPr>
            </w:pPr>
            <w:r>
              <w:rPr>
                <w:rFonts w:ascii="Calibri" w:hAnsi="Calibri"/>
                <w:sz w:val="18"/>
                <w:szCs w:val="18"/>
              </w:rPr>
              <w:t>32,310,465.70</w:t>
            </w:r>
          </w:p>
        </w:tc>
        <w:tc>
          <w:tcPr>
            <w:tcW w:w="1276" w:type="dxa"/>
            <w:vAlign w:val="center"/>
          </w:tcPr>
          <w:p w14:paraId="226982BB">
            <w:pPr>
              <w:jc w:val="right"/>
              <w:rPr>
                <w:rFonts w:ascii="Calibri" w:hAnsi="Calibri"/>
                <w:sz w:val="18"/>
                <w:szCs w:val="18"/>
              </w:rPr>
            </w:pPr>
            <w:r>
              <w:rPr>
                <w:rFonts w:ascii="Calibri" w:hAnsi="Calibri"/>
                <w:sz w:val="18"/>
                <w:szCs w:val="18"/>
              </w:rPr>
              <w:t>5,702,388.32</w:t>
            </w:r>
          </w:p>
        </w:tc>
        <w:tc>
          <w:tcPr>
            <w:tcW w:w="1417" w:type="dxa"/>
            <w:vAlign w:val="center"/>
          </w:tcPr>
          <w:p w14:paraId="1804EA89">
            <w:pPr>
              <w:jc w:val="right"/>
              <w:rPr>
                <w:rFonts w:ascii="Calibri" w:hAnsi="Calibri"/>
                <w:sz w:val="18"/>
                <w:szCs w:val="18"/>
              </w:rPr>
            </w:pPr>
            <w:r>
              <w:rPr>
                <w:rFonts w:ascii="Calibri" w:hAnsi="Calibri"/>
                <w:sz w:val="18"/>
                <w:szCs w:val="18"/>
              </w:rPr>
              <w:t>5,665,944.75</w:t>
            </w:r>
          </w:p>
        </w:tc>
        <w:tc>
          <w:tcPr>
            <w:tcW w:w="1276" w:type="dxa"/>
            <w:vAlign w:val="center"/>
          </w:tcPr>
          <w:p w14:paraId="3F05FDCF">
            <w:pPr>
              <w:jc w:val="right"/>
              <w:rPr>
                <w:rFonts w:ascii="Calibri" w:hAnsi="Calibri"/>
                <w:sz w:val="18"/>
                <w:szCs w:val="18"/>
              </w:rPr>
            </w:pPr>
            <w:r>
              <w:rPr>
                <w:rFonts w:ascii="Calibri" w:hAnsi="Calibri"/>
                <w:sz w:val="18"/>
                <w:szCs w:val="18"/>
              </w:rPr>
              <w:t>11,748,875.15</w:t>
            </w:r>
          </w:p>
        </w:tc>
        <w:tc>
          <w:tcPr>
            <w:tcW w:w="1559" w:type="dxa"/>
            <w:vAlign w:val="center"/>
          </w:tcPr>
          <w:p w14:paraId="21B8BDB9">
            <w:pPr>
              <w:jc w:val="right"/>
              <w:rPr>
                <w:rFonts w:ascii="Calibri" w:hAnsi="Calibri"/>
                <w:sz w:val="18"/>
                <w:szCs w:val="18"/>
              </w:rPr>
            </w:pPr>
            <w:r>
              <w:rPr>
                <w:rFonts w:ascii="Calibri" w:hAnsi="Calibri"/>
                <w:sz w:val="18"/>
                <w:szCs w:val="18"/>
              </w:rPr>
              <w:t>57,668,332.76</w:t>
            </w:r>
          </w:p>
        </w:tc>
      </w:tr>
      <w:tr w14:paraId="744E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5AEDEB20">
            <w:pPr>
              <w:ind w:firstLine="400" w:firstLineChars="200"/>
              <w:rPr>
                <w:rFonts w:ascii="Calibri" w:hAnsi="Calibri"/>
                <w:sz w:val="20"/>
                <w:szCs w:val="20"/>
              </w:rPr>
            </w:pPr>
            <w:r>
              <w:rPr>
                <w:rFonts w:hint="eastAsia" w:ascii="Calibri" w:hAnsi="Calibri"/>
                <w:sz w:val="20"/>
                <w:szCs w:val="20"/>
              </w:rPr>
              <w:t>（1）处置或报废</w:t>
            </w:r>
          </w:p>
        </w:tc>
        <w:tc>
          <w:tcPr>
            <w:tcW w:w="1559" w:type="dxa"/>
            <w:vAlign w:val="center"/>
          </w:tcPr>
          <w:p w14:paraId="2F7E38ED">
            <w:pPr>
              <w:jc w:val="right"/>
              <w:rPr>
                <w:rFonts w:ascii="Calibri" w:hAnsi="Calibri"/>
                <w:sz w:val="18"/>
                <w:szCs w:val="18"/>
              </w:rPr>
            </w:pPr>
            <w:r>
              <w:rPr>
                <w:rFonts w:ascii="Calibri" w:hAnsi="Calibri"/>
                <w:sz w:val="18"/>
                <w:szCs w:val="18"/>
              </w:rPr>
              <w:t>66,434.00</w:t>
            </w:r>
          </w:p>
        </w:tc>
        <w:tc>
          <w:tcPr>
            <w:tcW w:w="1559" w:type="dxa"/>
            <w:vAlign w:val="center"/>
          </w:tcPr>
          <w:p w14:paraId="4A6365C8">
            <w:pPr>
              <w:jc w:val="right"/>
              <w:rPr>
                <w:rFonts w:ascii="Calibri" w:hAnsi="Calibri"/>
                <w:sz w:val="18"/>
                <w:szCs w:val="18"/>
              </w:rPr>
            </w:pPr>
            <w:r>
              <w:rPr>
                <w:rFonts w:ascii="Calibri" w:hAnsi="Calibri"/>
                <w:sz w:val="18"/>
                <w:szCs w:val="18"/>
              </w:rPr>
              <w:t>32,310,465.70</w:t>
            </w:r>
          </w:p>
        </w:tc>
        <w:tc>
          <w:tcPr>
            <w:tcW w:w="1276" w:type="dxa"/>
            <w:vAlign w:val="center"/>
          </w:tcPr>
          <w:p w14:paraId="26B80A9F">
            <w:pPr>
              <w:jc w:val="right"/>
              <w:rPr>
                <w:rFonts w:ascii="Calibri" w:hAnsi="Calibri"/>
                <w:sz w:val="18"/>
                <w:szCs w:val="18"/>
              </w:rPr>
            </w:pPr>
            <w:r>
              <w:rPr>
                <w:rFonts w:ascii="Calibri" w:hAnsi="Calibri"/>
                <w:sz w:val="18"/>
                <w:szCs w:val="18"/>
              </w:rPr>
              <w:t>5,702,388.32</w:t>
            </w:r>
          </w:p>
        </w:tc>
        <w:tc>
          <w:tcPr>
            <w:tcW w:w="1417" w:type="dxa"/>
            <w:vAlign w:val="center"/>
          </w:tcPr>
          <w:p w14:paraId="702A84D6">
            <w:pPr>
              <w:jc w:val="right"/>
              <w:rPr>
                <w:rFonts w:ascii="Calibri" w:hAnsi="Calibri"/>
                <w:sz w:val="18"/>
                <w:szCs w:val="18"/>
              </w:rPr>
            </w:pPr>
            <w:r>
              <w:rPr>
                <w:rFonts w:ascii="Calibri" w:hAnsi="Calibri"/>
                <w:sz w:val="18"/>
                <w:szCs w:val="18"/>
              </w:rPr>
              <w:t>5,665,944.75</w:t>
            </w:r>
          </w:p>
        </w:tc>
        <w:tc>
          <w:tcPr>
            <w:tcW w:w="1276" w:type="dxa"/>
            <w:vAlign w:val="center"/>
          </w:tcPr>
          <w:p w14:paraId="7A76B4B0">
            <w:pPr>
              <w:jc w:val="right"/>
              <w:rPr>
                <w:rFonts w:ascii="Calibri" w:hAnsi="Calibri"/>
                <w:sz w:val="18"/>
                <w:szCs w:val="18"/>
              </w:rPr>
            </w:pPr>
            <w:r>
              <w:rPr>
                <w:rFonts w:ascii="Calibri" w:hAnsi="Calibri"/>
                <w:sz w:val="18"/>
                <w:szCs w:val="18"/>
              </w:rPr>
              <w:t>11,748,875.15</w:t>
            </w:r>
          </w:p>
        </w:tc>
        <w:tc>
          <w:tcPr>
            <w:tcW w:w="1559" w:type="dxa"/>
            <w:vAlign w:val="center"/>
          </w:tcPr>
          <w:p w14:paraId="45A9F8E9">
            <w:pPr>
              <w:jc w:val="right"/>
              <w:rPr>
                <w:rFonts w:ascii="Calibri" w:hAnsi="Calibri"/>
                <w:sz w:val="18"/>
                <w:szCs w:val="18"/>
              </w:rPr>
            </w:pPr>
            <w:r>
              <w:rPr>
                <w:rFonts w:ascii="Calibri" w:hAnsi="Calibri"/>
                <w:sz w:val="18"/>
                <w:szCs w:val="18"/>
              </w:rPr>
              <w:t>55,494,107.92</w:t>
            </w:r>
          </w:p>
        </w:tc>
      </w:tr>
      <w:tr w14:paraId="6AC4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598CA738">
            <w:pPr>
              <w:ind w:firstLine="400" w:firstLineChars="200"/>
              <w:rPr>
                <w:rFonts w:ascii="Calibri" w:hAnsi="Calibri"/>
                <w:sz w:val="20"/>
                <w:szCs w:val="20"/>
              </w:rPr>
            </w:pPr>
            <w:r>
              <w:rPr>
                <w:rFonts w:hint="eastAsia" w:ascii="Calibri" w:hAnsi="Calibri"/>
                <w:sz w:val="20"/>
                <w:szCs w:val="20"/>
              </w:rPr>
              <w:t>（2）其他转出</w:t>
            </w:r>
          </w:p>
        </w:tc>
        <w:tc>
          <w:tcPr>
            <w:tcW w:w="1559" w:type="dxa"/>
            <w:vAlign w:val="center"/>
          </w:tcPr>
          <w:p w14:paraId="55650571">
            <w:pPr>
              <w:jc w:val="right"/>
              <w:rPr>
                <w:rFonts w:ascii="Calibri" w:hAnsi="Calibri"/>
                <w:sz w:val="20"/>
                <w:szCs w:val="20"/>
              </w:rPr>
            </w:pPr>
            <w:r>
              <w:rPr>
                <w:rFonts w:ascii="Calibri" w:hAnsi="Calibri"/>
                <w:sz w:val="20"/>
                <w:szCs w:val="20"/>
              </w:rPr>
              <w:t>2,174,224.84</w:t>
            </w:r>
          </w:p>
        </w:tc>
        <w:tc>
          <w:tcPr>
            <w:tcW w:w="1559" w:type="dxa"/>
            <w:vAlign w:val="center"/>
          </w:tcPr>
          <w:p w14:paraId="2E732FF0">
            <w:pPr>
              <w:jc w:val="right"/>
              <w:rPr>
                <w:rFonts w:ascii="Calibri" w:hAnsi="Calibri"/>
                <w:sz w:val="20"/>
                <w:szCs w:val="20"/>
              </w:rPr>
            </w:pPr>
            <w:r>
              <w:rPr>
                <w:rFonts w:hint="eastAsia" w:ascii="Calibri" w:hAnsi="Calibri"/>
                <w:sz w:val="20"/>
                <w:szCs w:val="20"/>
              </w:rPr>
              <w:t>　</w:t>
            </w:r>
          </w:p>
        </w:tc>
        <w:tc>
          <w:tcPr>
            <w:tcW w:w="1276" w:type="dxa"/>
            <w:vAlign w:val="center"/>
          </w:tcPr>
          <w:p w14:paraId="6F86C56C">
            <w:pPr>
              <w:jc w:val="right"/>
              <w:rPr>
                <w:rFonts w:ascii="Calibri" w:hAnsi="Calibri"/>
                <w:sz w:val="20"/>
                <w:szCs w:val="20"/>
              </w:rPr>
            </w:pPr>
            <w:r>
              <w:rPr>
                <w:rFonts w:hint="eastAsia" w:ascii="Calibri" w:hAnsi="Calibri"/>
                <w:sz w:val="20"/>
                <w:szCs w:val="20"/>
              </w:rPr>
              <w:t>　</w:t>
            </w:r>
          </w:p>
        </w:tc>
        <w:tc>
          <w:tcPr>
            <w:tcW w:w="1417" w:type="dxa"/>
            <w:vAlign w:val="center"/>
          </w:tcPr>
          <w:p w14:paraId="6C5BCCAA">
            <w:pPr>
              <w:jc w:val="right"/>
              <w:rPr>
                <w:rFonts w:ascii="Calibri" w:hAnsi="Calibri"/>
                <w:sz w:val="20"/>
                <w:szCs w:val="20"/>
              </w:rPr>
            </w:pPr>
            <w:r>
              <w:rPr>
                <w:rFonts w:hint="eastAsia" w:ascii="Calibri" w:hAnsi="Calibri"/>
                <w:sz w:val="20"/>
                <w:szCs w:val="20"/>
              </w:rPr>
              <w:t>　</w:t>
            </w:r>
          </w:p>
        </w:tc>
        <w:tc>
          <w:tcPr>
            <w:tcW w:w="1276" w:type="dxa"/>
            <w:vAlign w:val="center"/>
          </w:tcPr>
          <w:p w14:paraId="5DB24537">
            <w:pPr>
              <w:jc w:val="right"/>
              <w:rPr>
                <w:rFonts w:ascii="Calibri" w:hAnsi="Calibri"/>
                <w:sz w:val="20"/>
                <w:szCs w:val="20"/>
              </w:rPr>
            </w:pPr>
          </w:p>
        </w:tc>
        <w:tc>
          <w:tcPr>
            <w:tcW w:w="1559" w:type="dxa"/>
            <w:vAlign w:val="center"/>
          </w:tcPr>
          <w:p w14:paraId="1BD219FB">
            <w:pPr>
              <w:jc w:val="right"/>
              <w:rPr>
                <w:rFonts w:ascii="Calibri" w:hAnsi="Calibri"/>
                <w:sz w:val="20"/>
                <w:szCs w:val="20"/>
              </w:rPr>
            </w:pPr>
            <w:r>
              <w:rPr>
                <w:rFonts w:ascii="Calibri" w:hAnsi="Calibri"/>
                <w:sz w:val="20"/>
                <w:szCs w:val="20"/>
              </w:rPr>
              <w:t>2,174,224.84</w:t>
            </w:r>
          </w:p>
        </w:tc>
      </w:tr>
      <w:tr w14:paraId="0EDF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256C0FAD">
            <w:pPr>
              <w:ind w:firstLine="400" w:firstLineChars="200"/>
              <w:rPr>
                <w:rFonts w:ascii="Calibri" w:hAnsi="Calibri"/>
                <w:sz w:val="20"/>
                <w:szCs w:val="20"/>
              </w:rPr>
            </w:pPr>
            <w:r>
              <w:rPr>
                <w:rFonts w:hint="eastAsia" w:ascii="Calibri" w:hAnsi="Calibri"/>
                <w:sz w:val="20"/>
                <w:szCs w:val="20"/>
              </w:rPr>
              <w:t>4.期末余额</w:t>
            </w:r>
          </w:p>
        </w:tc>
        <w:tc>
          <w:tcPr>
            <w:tcW w:w="1559" w:type="dxa"/>
            <w:vAlign w:val="center"/>
          </w:tcPr>
          <w:p w14:paraId="2DABCEFF">
            <w:pPr>
              <w:jc w:val="right"/>
              <w:rPr>
                <w:rFonts w:ascii="Calibri" w:hAnsi="Calibri"/>
                <w:sz w:val="18"/>
                <w:szCs w:val="18"/>
              </w:rPr>
            </w:pPr>
            <w:r>
              <w:rPr>
                <w:rFonts w:ascii="Calibri" w:hAnsi="Calibri"/>
                <w:sz w:val="18"/>
                <w:szCs w:val="18"/>
              </w:rPr>
              <w:t>695,788,617.44</w:t>
            </w:r>
          </w:p>
        </w:tc>
        <w:tc>
          <w:tcPr>
            <w:tcW w:w="1559" w:type="dxa"/>
            <w:vAlign w:val="center"/>
          </w:tcPr>
          <w:p w14:paraId="310676C1">
            <w:pPr>
              <w:jc w:val="right"/>
              <w:rPr>
                <w:rFonts w:ascii="Calibri" w:hAnsi="Calibri"/>
                <w:sz w:val="18"/>
                <w:szCs w:val="18"/>
              </w:rPr>
            </w:pPr>
            <w:r>
              <w:rPr>
                <w:rFonts w:ascii="Calibri" w:hAnsi="Calibri"/>
                <w:sz w:val="18"/>
                <w:szCs w:val="18"/>
              </w:rPr>
              <w:t>1,051,970,807.68</w:t>
            </w:r>
          </w:p>
        </w:tc>
        <w:tc>
          <w:tcPr>
            <w:tcW w:w="1276" w:type="dxa"/>
            <w:vAlign w:val="center"/>
          </w:tcPr>
          <w:p w14:paraId="1A12423C">
            <w:pPr>
              <w:jc w:val="right"/>
              <w:rPr>
                <w:rFonts w:ascii="Calibri" w:hAnsi="Calibri"/>
                <w:sz w:val="18"/>
                <w:szCs w:val="18"/>
              </w:rPr>
            </w:pPr>
            <w:r>
              <w:rPr>
                <w:rFonts w:ascii="Calibri" w:hAnsi="Calibri"/>
                <w:sz w:val="18"/>
                <w:szCs w:val="18"/>
              </w:rPr>
              <w:t>19,820,136.50</w:t>
            </w:r>
          </w:p>
        </w:tc>
        <w:tc>
          <w:tcPr>
            <w:tcW w:w="1417" w:type="dxa"/>
            <w:vAlign w:val="center"/>
          </w:tcPr>
          <w:p w14:paraId="1640E7A2">
            <w:pPr>
              <w:jc w:val="right"/>
              <w:rPr>
                <w:rFonts w:ascii="Calibri" w:hAnsi="Calibri"/>
                <w:sz w:val="18"/>
                <w:szCs w:val="18"/>
              </w:rPr>
            </w:pPr>
            <w:r>
              <w:rPr>
                <w:rFonts w:ascii="Calibri" w:hAnsi="Calibri"/>
                <w:sz w:val="18"/>
                <w:szCs w:val="18"/>
              </w:rPr>
              <w:t>110,326,223.43</w:t>
            </w:r>
          </w:p>
        </w:tc>
        <w:tc>
          <w:tcPr>
            <w:tcW w:w="1276" w:type="dxa"/>
            <w:vAlign w:val="center"/>
          </w:tcPr>
          <w:p w14:paraId="1F23E171">
            <w:pPr>
              <w:jc w:val="right"/>
              <w:rPr>
                <w:rFonts w:ascii="Calibri" w:hAnsi="Calibri"/>
                <w:sz w:val="18"/>
                <w:szCs w:val="18"/>
              </w:rPr>
            </w:pPr>
            <w:r>
              <w:rPr>
                <w:rFonts w:ascii="Calibri" w:hAnsi="Calibri"/>
                <w:sz w:val="18"/>
                <w:szCs w:val="18"/>
              </w:rPr>
              <w:t>43,151,370.39</w:t>
            </w:r>
          </w:p>
        </w:tc>
        <w:tc>
          <w:tcPr>
            <w:tcW w:w="1559" w:type="dxa"/>
            <w:vAlign w:val="center"/>
          </w:tcPr>
          <w:p w14:paraId="266620C5">
            <w:pPr>
              <w:jc w:val="right"/>
              <w:rPr>
                <w:rFonts w:ascii="Calibri" w:hAnsi="Calibri"/>
                <w:sz w:val="18"/>
                <w:szCs w:val="18"/>
              </w:rPr>
            </w:pPr>
            <w:r>
              <w:rPr>
                <w:rFonts w:ascii="Calibri" w:hAnsi="Calibri"/>
                <w:sz w:val="18"/>
                <w:szCs w:val="18"/>
              </w:rPr>
              <w:t>1,921,057,155.44</w:t>
            </w:r>
          </w:p>
        </w:tc>
      </w:tr>
      <w:tr w14:paraId="6A8C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b98cd9e8075a44b28b16fc9fd4c3c81f"/>
            <w:id w:val="1999918505"/>
          </w:sdtPr>
          <w:sdtContent>
            <w:tc>
              <w:tcPr>
                <w:tcW w:w="11057" w:type="dxa"/>
                <w:gridSpan w:val="7"/>
                <w:vAlign w:val="center"/>
              </w:tcPr>
              <w:p w14:paraId="2FB0917C">
                <w:pPr>
                  <w:pStyle w:val="48"/>
                  <w:rPr>
                    <w:sz w:val="20"/>
                    <w:szCs w:val="20"/>
                  </w:rPr>
                </w:pPr>
                <w:r>
                  <w:rPr>
                    <w:rFonts w:hint="eastAsia"/>
                    <w:sz w:val="20"/>
                    <w:szCs w:val="20"/>
                  </w:rPr>
                  <w:t>三、减值准备</w:t>
                </w:r>
              </w:p>
            </w:tc>
          </w:sdtContent>
        </w:sdt>
      </w:tr>
      <w:tr w14:paraId="0D85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61D38F50">
            <w:pPr>
              <w:ind w:firstLine="400" w:firstLineChars="200"/>
              <w:rPr>
                <w:rFonts w:ascii="Calibri" w:hAnsi="Calibri"/>
                <w:sz w:val="20"/>
                <w:szCs w:val="20"/>
              </w:rPr>
            </w:pPr>
            <w:r>
              <w:rPr>
                <w:rFonts w:ascii="Calibri" w:hAnsi="Calibri"/>
                <w:sz w:val="20"/>
                <w:szCs w:val="20"/>
              </w:rPr>
              <w:t>1.</w:t>
            </w:r>
            <w:r>
              <w:rPr>
                <w:rFonts w:hint="eastAsia" w:ascii="Calibri" w:hAnsi="Calibri"/>
                <w:sz w:val="20"/>
                <w:szCs w:val="20"/>
              </w:rPr>
              <w:t>期初余额</w:t>
            </w:r>
          </w:p>
        </w:tc>
        <w:tc>
          <w:tcPr>
            <w:tcW w:w="1559" w:type="dxa"/>
            <w:vAlign w:val="center"/>
          </w:tcPr>
          <w:p w14:paraId="30AE66A4">
            <w:pPr>
              <w:jc w:val="right"/>
              <w:rPr>
                <w:rFonts w:ascii="Calibri" w:hAnsi="Calibri"/>
                <w:sz w:val="18"/>
                <w:szCs w:val="18"/>
              </w:rPr>
            </w:pPr>
            <w:r>
              <w:rPr>
                <w:rFonts w:ascii="Calibri" w:hAnsi="Calibri"/>
                <w:sz w:val="18"/>
                <w:szCs w:val="18"/>
              </w:rPr>
              <w:t>14,907,562.55</w:t>
            </w:r>
          </w:p>
        </w:tc>
        <w:tc>
          <w:tcPr>
            <w:tcW w:w="1559" w:type="dxa"/>
            <w:vAlign w:val="center"/>
          </w:tcPr>
          <w:p w14:paraId="3F5A5752">
            <w:pPr>
              <w:jc w:val="right"/>
              <w:rPr>
                <w:rFonts w:ascii="Calibri" w:hAnsi="Calibri"/>
                <w:sz w:val="18"/>
                <w:szCs w:val="18"/>
              </w:rPr>
            </w:pPr>
          </w:p>
        </w:tc>
        <w:tc>
          <w:tcPr>
            <w:tcW w:w="1276" w:type="dxa"/>
            <w:vAlign w:val="center"/>
          </w:tcPr>
          <w:p w14:paraId="78F13649">
            <w:pPr>
              <w:jc w:val="right"/>
              <w:rPr>
                <w:rFonts w:ascii="Calibri" w:hAnsi="Calibri"/>
                <w:sz w:val="18"/>
                <w:szCs w:val="18"/>
              </w:rPr>
            </w:pPr>
            <w:r>
              <w:rPr>
                <w:rFonts w:ascii="Calibri" w:hAnsi="Calibri"/>
                <w:sz w:val="18"/>
                <w:szCs w:val="18"/>
              </w:rPr>
              <w:t>24,171.20</w:t>
            </w:r>
          </w:p>
        </w:tc>
        <w:tc>
          <w:tcPr>
            <w:tcW w:w="1417" w:type="dxa"/>
            <w:vAlign w:val="center"/>
          </w:tcPr>
          <w:p w14:paraId="13F39AE0">
            <w:pPr>
              <w:jc w:val="right"/>
              <w:rPr>
                <w:rFonts w:ascii="Calibri" w:hAnsi="Calibri"/>
                <w:sz w:val="18"/>
                <w:szCs w:val="18"/>
              </w:rPr>
            </w:pPr>
          </w:p>
        </w:tc>
        <w:tc>
          <w:tcPr>
            <w:tcW w:w="1276" w:type="dxa"/>
            <w:vAlign w:val="center"/>
          </w:tcPr>
          <w:p w14:paraId="44ECEC89">
            <w:pPr>
              <w:jc w:val="right"/>
              <w:rPr>
                <w:rFonts w:ascii="Calibri" w:hAnsi="Calibri"/>
                <w:sz w:val="18"/>
                <w:szCs w:val="18"/>
              </w:rPr>
            </w:pPr>
          </w:p>
        </w:tc>
        <w:tc>
          <w:tcPr>
            <w:tcW w:w="1559" w:type="dxa"/>
            <w:vAlign w:val="center"/>
          </w:tcPr>
          <w:p w14:paraId="655E0DCB">
            <w:pPr>
              <w:jc w:val="right"/>
              <w:rPr>
                <w:rFonts w:ascii="Calibri" w:hAnsi="Calibri"/>
                <w:sz w:val="18"/>
                <w:szCs w:val="18"/>
              </w:rPr>
            </w:pPr>
            <w:r>
              <w:rPr>
                <w:rFonts w:ascii="Calibri" w:hAnsi="Calibri"/>
                <w:sz w:val="18"/>
                <w:szCs w:val="18"/>
              </w:rPr>
              <w:t>14,931,733.75</w:t>
            </w:r>
          </w:p>
        </w:tc>
      </w:tr>
      <w:tr w14:paraId="4989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1FE0C0F7">
            <w:pPr>
              <w:ind w:firstLine="400" w:firstLineChars="200"/>
              <w:rPr>
                <w:rFonts w:ascii="Calibri" w:hAnsi="Calibri"/>
                <w:sz w:val="20"/>
                <w:szCs w:val="20"/>
              </w:rPr>
            </w:pPr>
            <w:r>
              <w:rPr>
                <w:rFonts w:ascii="Calibri" w:hAnsi="Calibri"/>
                <w:sz w:val="20"/>
                <w:szCs w:val="20"/>
              </w:rPr>
              <w:t>2.</w:t>
            </w:r>
            <w:r>
              <w:rPr>
                <w:rFonts w:hint="eastAsia" w:ascii="Calibri" w:hAnsi="Calibri"/>
                <w:sz w:val="20"/>
                <w:szCs w:val="20"/>
              </w:rPr>
              <w:t>本期增加金额</w:t>
            </w:r>
          </w:p>
        </w:tc>
        <w:tc>
          <w:tcPr>
            <w:tcW w:w="1559" w:type="dxa"/>
            <w:vAlign w:val="center"/>
          </w:tcPr>
          <w:p w14:paraId="2B6B3547">
            <w:pPr>
              <w:jc w:val="right"/>
              <w:rPr>
                <w:rFonts w:ascii="Calibri" w:hAnsi="Calibri"/>
                <w:sz w:val="18"/>
                <w:szCs w:val="18"/>
              </w:rPr>
            </w:pPr>
            <w:r>
              <w:rPr>
                <w:rFonts w:ascii="Calibri" w:hAnsi="Calibri"/>
                <w:sz w:val="18"/>
                <w:szCs w:val="18"/>
              </w:rPr>
              <w:t>140.87</w:t>
            </w:r>
          </w:p>
        </w:tc>
        <w:tc>
          <w:tcPr>
            <w:tcW w:w="1559" w:type="dxa"/>
            <w:vAlign w:val="center"/>
          </w:tcPr>
          <w:p w14:paraId="79C040AE">
            <w:pPr>
              <w:jc w:val="right"/>
              <w:rPr>
                <w:rFonts w:ascii="Calibri" w:hAnsi="Calibri"/>
                <w:sz w:val="18"/>
                <w:szCs w:val="18"/>
              </w:rPr>
            </w:pPr>
            <w:r>
              <w:rPr>
                <w:rFonts w:ascii="Calibri" w:hAnsi="Calibri"/>
                <w:sz w:val="18"/>
                <w:szCs w:val="18"/>
              </w:rPr>
              <w:t>20,076.54</w:t>
            </w:r>
          </w:p>
        </w:tc>
        <w:tc>
          <w:tcPr>
            <w:tcW w:w="1276" w:type="dxa"/>
            <w:vAlign w:val="center"/>
          </w:tcPr>
          <w:p w14:paraId="1451EDD4">
            <w:pPr>
              <w:jc w:val="right"/>
              <w:rPr>
                <w:rFonts w:ascii="Calibri" w:hAnsi="Calibri"/>
                <w:sz w:val="18"/>
                <w:szCs w:val="18"/>
              </w:rPr>
            </w:pPr>
          </w:p>
        </w:tc>
        <w:tc>
          <w:tcPr>
            <w:tcW w:w="1417" w:type="dxa"/>
            <w:vAlign w:val="center"/>
          </w:tcPr>
          <w:p w14:paraId="412AE7AC">
            <w:pPr>
              <w:jc w:val="right"/>
              <w:rPr>
                <w:rFonts w:ascii="Calibri" w:hAnsi="Calibri"/>
                <w:sz w:val="18"/>
                <w:szCs w:val="18"/>
              </w:rPr>
            </w:pPr>
          </w:p>
        </w:tc>
        <w:tc>
          <w:tcPr>
            <w:tcW w:w="1276" w:type="dxa"/>
            <w:vAlign w:val="center"/>
          </w:tcPr>
          <w:p w14:paraId="38CD78E2">
            <w:pPr>
              <w:jc w:val="right"/>
              <w:rPr>
                <w:rFonts w:ascii="Calibri" w:hAnsi="Calibri"/>
                <w:sz w:val="18"/>
                <w:szCs w:val="18"/>
              </w:rPr>
            </w:pPr>
          </w:p>
        </w:tc>
        <w:tc>
          <w:tcPr>
            <w:tcW w:w="1559" w:type="dxa"/>
            <w:vAlign w:val="center"/>
          </w:tcPr>
          <w:p w14:paraId="7278DF8C">
            <w:pPr>
              <w:jc w:val="right"/>
              <w:rPr>
                <w:rFonts w:ascii="Calibri" w:hAnsi="Calibri"/>
                <w:sz w:val="18"/>
                <w:szCs w:val="18"/>
              </w:rPr>
            </w:pPr>
            <w:r>
              <w:rPr>
                <w:rFonts w:ascii="Calibri" w:hAnsi="Calibri"/>
                <w:sz w:val="18"/>
                <w:szCs w:val="18"/>
              </w:rPr>
              <w:t>20,217.41</w:t>
            </w:r>
          </w:p>
        </w:tc>
      </w:tr>
      <w:tr w14:paraId="05620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12392E5A">
            <w:pPr>
              <w:ind w:firstLine="400" w:firstLineChars="200"/>
              <w:rPr>
                <w:rFonts w:ascii="Calibri" w:hAnsi="Calibri"/>
                <w:sz w:val="20"/>
                <w:szCs w:val="20"/>
              </w:rPr>
            </w:pPr>
            <w:r>
              <w:rPr>
                <w:rFonts w:hint="eastAsia" w:ascii="Calibri" w:hAnsi="Calibri"/>
                <w:sz w:val="20"/>
                <w:szCs w:val="20"/>
              </w:rPr>
              <w:t>（1）计提</w:t>
            </w:r>
          </w:p>
        </w:tc>
        <w:tc>
          <w:tcPr>
            <w:tcW w:w="1559" w:type="dxa"/>
            <w:vAlign w:val="center"/>
          </w:tcPr>
          <w:p w14:paraId="77518DA2">
            <w:pPr>
              <w:jc w:val="right"/>
              <w:rPr>
                <w:rFonts w:ascii="Calibri" w:hAnsi="Calibri"/>
                <w:sz w:val="18"/>
                <w:szCs w:val="18"/>
              </w:rPr>
            </w:pPr>
            <w:r>
              <w:rPr>
                <w:rFonts w:ascii="Calibri" w:hAnsi="Calibri"/>
                <w:sz w:val="18"/>
                <w:szCs w:val="18"/>
              </w:rPr>
              <w:t>140.87</w:t>
            </w:r>
          </w:p>
        </w:tc>
        <w:tc>
          <w:tcPr>
            <w:tcW w:w="1559" w:type="dxa"/>
            <w:vAlign w:val="center"/>
          </w:tcPr>
          <w:p w14:paraId="7169F283">
            <w:pPr>
              <w:jc w:val="right"/>
              <w:rPr>
                <w:rFonts w:ascii="Calibri" w:hAnsi="Calibri"/>
                <w:sz w:val="18"/>
                <w:szCs w:val="18"/>
              </w:rPr>
            </w:pPr>
            <w:r>
              <w:rPr>
                <w:rFonts w:ascii="Calibri" w:hAnsi="Calibri"/>
                <w:sz w:val="18"/>
                <w:szCs w:val="18"/>
              </w:rPr>
              <w:t>20,076.54</w:t>
            </w:r>
          </w:p>
        </w:tc>
        <w:tc>
          <w:tcPr>
            <w:tcW w:w="1276" w:type="dxa"/>
            <w:vAlign w:val="center"/>
          </w:tcPr>
          <w:p w14:paraId="76C348CD">
            <w:pPr>
              <w:jc w:val="right"/>
              <w:rPr>
                <w:rFonts w:ascii="Calibri" w:hAnsi="Calibri"/>
                <w:sz w:val="18"/>
                <w:szCs w:val="18"/>
              </w:rPr>
            </w:pPr>
          </w:p>
        </w:tc>
        <w:tc>
          <w:tcPr>
            <w:tcW w:w="1417" w:type="dxa"/>
            <w:vAlign w:val="center"/>
          </w:tcPr>
          <w:p w14:paraId="0FC12CD5">
            <w:pPr>
              <w:jc w:val="right"/>
              <w:rPr>
                <w:rFonts w:ascii="Calibri" w:hAnsi="Calibri"/>
                <w:sz w:val="18"/>
                <w:szCs w:val="18"/>
              </w:rPr>
            </w:pPr>
          </w:p>
        </w:tc>
        <w:tc>
          <w:tcPr>
            <w:tcW w:w="1276" w:type="dxa"/>
            <w:vAlign w:val="center"/>
          </w:tcPr>
          <w:p w14:paraId="76089283">
            <w:pPr>
              <w:jc w:val="right"/>
              <w:rPr>
                <w:rFonts w:ascii="Calibri" w:hAnsi="Calibri"/>
                <w:sz w:val="18"/>
                <w:szCs w:val="18"/>
              </w:rPr>
            </w:pPr>
          </w:p>
        </w:tc>
        <w:tc>
          <w:tcPr>
            <w:tcW w:w="1559" w:type="dxa"/>
            <w:vAlign w:val="center"/>
          </w:tcPr>
          <w:p w14:paraId="38384A07">
            <w:pPr>
              <w:jc w:val="right"/>
              <w:rPr>
                <w:rFonts w:ascii="Calibri" w:hAnsi="Calibri"/>
                <w:sz w:val="18"/>
                <w:szCs w:val="18"/>
              </w:rPr>
            </w:pPr>
            <w:r>
              <w:rPr>
                <w:rFonts w:ascii="Calibri" w:hAnsi="Calibri"/>
                <w:sz w:val="18"/>
                <w:szCs w:val="18"/>
              </w:rPr>
              <w:t>20,217.41</w:t>
            </w:r>
          </w:p>
        </w:tc>
      </w:tr>
      <w:tr w14:paraId="3C56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6FF59494">
            <w:pPr>
              <w:ind w:firstLine="400" w:firstLineChars="200"/>
              <w:rPr>
                <w:rFonts w:ascii="Calibri" w:hAnsi="Calibri"/>
                <w:sz w:val="20"/>
                <w:szCs w:val="20"/>
              </w:rPr>
            </w:pPr>
            <w:r>
              <w:rPr>
                <w:rFonts w:hint="eastAsia" w:ascii="Calibri" w:hAnsi="Calibri"/>
                <w:sz w:val="20"/>
                <w:szCs w:val="20"/>
              </w:rPr>
              <w:t>3.本期减少金额</w:t>
            </w:r>
          </w:p>
        </w:tc>
        <w:tc>
          <w:tcPr>
            <w:tcW w:w="1559" w:type="dxa"/>
            <w:vAlign w:val="center"/>
          </w:tcPr>
          <w:p w14:paraId="7974118B">
            <w:pPr>
              <w:jc w:val="right"/>
              <w:rPr>
                <w:rFonts w:ascii="Calibri" w:hAnsi="Calibri"/>
                <w:sz w:val="20"/>
                <w:szCs w:val="20"/>
              </w:rPr>
            </w:pPr>
          </w:p>
        </w:tc>
        <w:tc>
          <w:tcPr>
            <w:tcW w:w="1559" w:type="dxa"/>
            <w:vAlign w:val="center"/>
          </w:tcPr>
          <w:p w14:paraId="3443683A">
            <w:pPr>
              <w:jc w:val="right"/>
              <w:rPr>
                <w:rFonts w:ascii="Calibri" w:hAnsi="Calibri"/>
                <w:sz w:val="20"/>
                <w:szCs w:val="20"/>
              </w:rPr>
            </w:pPr>
          </w:p>
        </w:tc>
        <w:tc>
          <w:tcPr>
            <w:tcW w:w="1276" w:type="dxa"/>
            <w:vAlign w:val="center"/>
          </w:tcPr>
          <w:p w14:paraId="03267B82">
            <w:pPr>
              <w:jc w:val="right"/>
              <w:rPr>
                <w:rFonts w:ascii="Calibri" w:hAnsi="Calibri"/>
                <w:sz w:val="20"/>
                <w:szCs w:val="20"/>
              </w:rPr>
            </w:pPr>
            <w:r>
              <w:rPr>
                <w:rFonts w:ascii="Calibri" w:hAnsi="Calibri"/>
                <w:sz w:val="20"/>
                <w:szCs w:val="20"/>
              </w:rPr>
              <w:t>24,171.20</w:t>
            </w:r>
          </w:p>
        </w:tc>
        <w:tc>
          <w:tcPr>
            <w:tcW w:w="1417" w:type="dxa"/>
            <w:vAlign w:val="center"/>
          </w:tcPr>
          <w:p w14:paraId="5F5DEB80">
            <w:pPr>
              <w:jc w:val="right"/>
              <w:rPr>
                <w:rFonts w:ascii="Calibri" w:hAnsi="Calibri"/>
                <w:sz w:val="20"/>
                <w:szCs w:val="20"/>
              </w:rPr>
            </w:pPr>
          </w:p>
        </w:tc>
        <w:tc>
          <w:tcPr>
            <w:tcW w:w="1276" w:type="dxa"/>
            <w:vAlign w:val="center"/>
          </w:tcPr>
          <w:p w14:paraId="346AD939">
            <w:pPr>
              <w:jc w:val="right"/>
              <w:rPr>
                <w:rFonts w:ascii="Calibri" w:hAnsi="Calibri"/>
                <w:sz w:val="20"/>
                <w:szCs w:val="20"/>
              </w:rPr>
            </w:pPr>
          </w:p>
        </w:tc>
        <w:tc>
          <w:tcPr>
            <w:tcW w:w="1559" w:type="dxa"/>
            <w:vAlign w:val="center"/>
          </w:tcPr>
          <w:p w14:paraId="1EC37F61">
            <w:pPr>
              <w:jc w:val="right"/>
              <w:rPr>
                <w:rFonts w:ascii="Calibri" w:hAnsi="Calibri"/>
                <w:sz w:val="20"/>
                <w:szCs w:val="20"/>
              </w:rPr>
            </w:pPr>
            <w:r>
              <w:rPr>
                <w:rFonts w:ascii="Calibri" w:hAnsi="Calibri"/>
                <w:sz w:val="20"/>
                <w:szCs w:val="20"/>
              </w:rPr>
              <w:t>24,171.20</w:t>
            </w:r>
          </w:p>
        </w:tc>
      </w:tr>
      <w:tr w14:paraId="466B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07A8C7D3">
            <w:pPr>
              <w:ind w:firstLine="400" w:firstLineChars="200"/>
              <w:rPr>
                <w:rFonts w:ascii="Calibri" w:hAnsi="Calibri"/>
                <w:sz w:val="20"/>
                <w:szCs w:val="20"/>
              </w:rPr>
            </w:pPr>
            <w:r>
              <w:rPr>
                <w:rFonts w:hint="eastAsia" w:ascii="Calibri" w:hAnsi="Calibri"/>
                <w:sz w:val="20"/>
                <w:szCs w:val="20"/>
              </w:rPr>
              <w:t>（1）处置或报废</w:t>
            </w:r>
          </w:p>
        </w:tc>
        <w:tc>
          <w:tcPr>
            <w:tcW w:w="1559" w:type="dxa"/>
            <w:vAlign w:val="center"/>
          </w:tcPr>
          <w:p w14:paraId="3BB2B093">
            <w:pPr>
              <w:jc w:val="right"/>
              <w:rPr>
                <w:rFonts w:ascii="Calibri" w:hAnsi="Calibri"/>
                <w:sz w:val="20"/>
                <w:szCs w:val="20"/>
              </w:rPr>
            </w:pPr>
          </w:p>
        </w:tc>
        <w:tc>
          <w:tcPr>
            <w:tcW w:w="1559" w:type="dxa"/>
            <w:vAlign w:val="center"/>
          </w:tcPr>
          <w:p w14:paraId="2CA4EF67">
            <w:pPr>
              <w:jc w:val="right"/>
              <w:rPr>
                <w:rFonts w:ascii="Calibri" w:hAnsi="Calibri"/>
                <w:sz w:val="20"/>
                <w:szCs w:val="20"/>
              </w:rPr>
            </w:pPr>
          </w:p>
        </w:tc>
        <w:tc>
          <w:tcPr>
            <w:tcW w:w="1276" w:type="dxa"/>
            <w:vAlign w:val="center"/>
          </w:tcPr>
          <w:p w14:paraId="22468DD5">
            <w:pPr>
              <w:jc w:val="right"/>
              <w:rPr>
                <w:rFonts w:ascii="Calibri" w:hAnsi="Calibri"/>
                <w:sz w:val="20"/>
                <w:szCs w:val="20"/>
              </w:rPr>
            </w:pPr>
            <w:r>
              <w:rPr>
                <w:rFonts w:ascii="Calibri" w:hAnsi="Calibri"/>
                <w:sz w:val="20"/>
                <w:szCs w:val="20"/>
              </w:rPr>
              <w:t>24,171.20</w:t>
            </w:r>
          </w:p>
        </w:tc>
        <w:tc>
          <w:tcPr>
            <w:tcW w:w="1417" w:type="dxa"/>
            <w:vAlign w:val="center"/>
          </w:tcPr>
          <w:p w14:paraId="0267F3A5">
            <w:pPr>
              <w:jc w:val="right"/>
              <w:rPr>
                <w:rFonts w:ascii="Calibri" w:hAnsi="Calibri"/>
                <w:sz w:val="20"/>
                <w:szCs w:val="20"/>
              </w:rPr>
            </w:pPr>
          </w:p>
        </w:tc>
        <w:tc>
          <w:tcPr>
            <w:tcW w:w="1276" w:type="dxa"/>
            <w:vAlign w:val="center"/>
          </w:tcPr>
          <w:p w14:paraId="25D5CA66">
            <w:pPr>
              <w:jc w:val="right"/>
              <w:rPr>
                <w:rFonts w:ascii="Calibri" w:hAnsi="Calibri"/>
                <w:sz w:val="20"/>
                <w:szCs w:val="20"/>
              </w:rPr>
            </w:pPr>
          </w:p>
        </w:tc>
        <w:tc>
          <w:tcPr>
            <w:tcW w:w="1559" w:type="dxa"/>
            <w:vAlign w:val="center"/>
          </w:tcPr>
          <w:p w14:paraId="46C9BE1D">
            <w:pPr>
              <w:jc w:val="right"/>
              <w:rPr>
                <w:rFonts w:ascii="Calibri" w:hAnsi="Calibri"/>
                <w:sz w:val="20"/>
                <w:szCs w:val="20"/>
              </w:rPr>
            </w:pPr>
            <w:r>
              <w:rPr>
                <w:rFonts w:ascii="Calibri" w:hAnsi="Calibri"/>
                <w:sz w:val="20"/>
                <w:szCs w:val="20"/>
              </w:rPr>
              <w:t>24,171.20</w:t>
            </w:r>
          </w:p>
        </w:tc>
      </w:tr>
      <w:tr w14:paraId="0406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3B1B45B9">
            <w:pPr>
              <w:ind w:firstLine="400" w:firstLineChars="200"/>
              <w:rPr>
                <w:rFonts w:ascii="Calibri" w:hAnsi="Calibri"/>
                <w:sz w:val="20"/>
                <w:szCs w:val="20"/>
              </w:rPr>
            </w:pPr>
            <w:r>
              <w:rPr>
                <w:rFonts w:hint="eastAsia" w:ascii="Calibri" w:hAnsi="Calibri"/>
                <w:sz w:val="20"/>
                <w:szCs w:val="20"/>
              </w:rPr>
              <w:t>4.期末余额</w:t>
            </w:r>
          </w:p>
        </w:tc>
        <w:tc>
          <w:tcPr>
            <w:tcW w:w="1559" w:type="dxa"/>
            <w:vAlign w:val="center"/>
          </w:tcPr>
          <w:p w14:paraId="666B7ADE">
            <w:pPr>
              <w:jc w:val="right"/>
              <w:rPr>
                <w:rFonts w:ascii="Calibri" w:hAnsi="Calibri"/>
                <w:sz w:val="18"/>
                <w:szCs w:val="18"/>
              </w:rPr>
            </w:pPr>
            <w:r>
              <w:rPr>
                <w:rFonts w:ascii="Calibri" w:hAnsi="Calibri"/>
                <w:sz w:val="18"/>
                <w:szCs w:val="18"/>
              </w:rPr>
              <w:t>14,907,703.42</w:t>
            </w:r>
          </w:p>
        </w:tc>
        <w:tc>
          <w:tcPr>
            <w:tcW w:w="1559" w:type="dxa"/>
            <w:vAlign w:val="center"/>
          </w:tcPr>
          <w:p w14:paraId="46161120">
            <w:pPr>
              <w:jc w:val="right"/>
              <w:rPr>
                <w:rFonts w:ascii="Calibri" w:hAnsi="Calibri"/>
                <w:sz w:val="18"/>
                <w:szCs w:val="18"/>
              </w:rPr>
            </w:pPr>
            <w:r>
              <w:rPr>
                <w:rFonts w:ascii="Calibri" w:hAnsi="Calibri"/>
                <w:sz w:val="18"/>
                <w:szCs w:val="18"/>
              </w:rPr>
              <w:t>20,076.54</w:t>
            </w:r>
          </w:p>
        </w:tc>
        <w:tc>
          <w:tcPr>
            <w:tcW w:w="1276" w:type="dxa"/>
            <w:vAlign w:val="center"/>
          </w:tcPr>
          <w:p w14:paraId="38F50402">
            <w:pPr>
              <w:jc w:val="right"/>
              <w:rPr>
                <w:rFonts w:ascii="Calibri" w:hAnsi="Calibri"/>
                <w:sz w:val="18"/>
                <w:szCs w:val="18"/>
              </w:rPr>
            </w:pPr>
          </w:p>
        </w:tc>
        <w:tc>
          <w:tcPr>
            <w:tcW w:w="1417" w:type="dxa"/>
            <w:vAlign w:val="center"/>
          </w:tcPr>
          <w:p w14:paraId="0633EDF2">
            <w:pPr>
              <w:jc w:val="right"/>
              <w:rPr>
                <w:rFonts w:ascii="Calibri" w:hAnsi="Calibri"/>
                <w:sz w:val="18"/>
                <w:szCs w:val="18"/>
              </w:rPr>
            </w:pPr>
          </w:p>
        </w:tc>
        <w:tc>
          <w:tcPr>
            <w:tcW w:w="1276" w:type="dxa"/>
            <w:vAlign w:val="center"/>
          </w:tcPr>
          <w:p w14:paraId="56806FBA">
            <w:pPr>
              <w:jc w:val="right"/>
              <w:rPr>
                <w:rFonts w:ascii="Calibri" w:hAnsi="Calibri"/>
                <w:sz w:val="18"/>
                <w:szCs w:val="18"/>
              </w:rPr>
            </w:pPr>
          </w:p>
        </w:tc>
        <w:tc>
          <w:tcPr>
            <w:tcW w:w="1559" w:type="dxa"/>
            <w:vAlign w:val="center"/>
          </w:tcPr>
          <w:p w14:paraId="74EA0DFF">
            <w:pPr>
              <w:jc w:val="right"/>
              <w:rPr>
                <w:rFonts w:ascii="Calibri" w:hAnsi="Calibri"/>
                <w:sz w:val="18"/>
                <w:szCs w:val="18"/>
              </w:rPr>
            </w:pPr>
            <w:r>
              <w:rPr>
                <w:rFonts w:ascii="Calibri" w:hAnsi="Calibri"/>
                <w:sz w:val="18"/>
                <w:szCs w:val="18"/>
              </w:rPr>
              <w:t>14,927,779.96</w:t>
            </w:r>
          </w:p>
        </w:tc>
      </w:tr>
      <w:tr w14:paraId="7531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e1d51c426bd84ffbb9a1a19b00d3b374"/>
            <w:id w:val="-1660143371"/>
          </w:sdtPr>
          <w:sdtContent>
            <w:tc>
              <w:tcPr>
                <w:tcW w:w="11057" w:type="dxa"/>
                <w:gridSpan w:val="7"/>
                <w:vAlign w:val="center"/>
              </w:tcPr>
              <w:p w14:paraId="005A22AB">
                <w:pPr>
                  <w:pStyle w:val="48"/>
                  <w:rPr>
                    <w:sz w:val="20"/>
                    <w:szCs w:val="20"/>
                  </w:rPr>
                </w:pPr>
                <w:r>
                  <w:rPr>
                    <w:rFonts w:hint="eastAsia"/>
                    <w:sz w:val="20"/>
                    <w:szCs w:val="20"/>
                  </w:rPr>
                  <w:t>四、账面价值</w:t>
                </w:r>
              </w:p>
            </w:tc>
          </w:sdtContent>
        </w:sdt>
      </w:tr>
      <w:tr w14:paraId="7F72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22D5BF6D">
            <w:pPr>
              <w:ind w:firstLine="400" w:firstLineChars="200"/>
              <w:rPr>
                <w:rFonts w:ascii="Calibri" w:hAnsi="Calibri"/>
                <w:sz w:val="20"/>
                <w:szCs w:val="20"/>
              </w:rPr>
            </w:pPr>
            <w:r>
              <w:rPr>
                <w:rFonts w:hint="eastAsia" w:ascii="Calibri" w:hAnsi="Calibri"/>
                <w:sz w:val="20"/>
                <w:szCs w:val="20"/>
              </w:rPr>
              <w:t>1.期末账面价值</w:t>
            </w:r>
          </w:p>
        </w:tc>
        <w:tc>
          <w:tcPr>
            <w:tcW w:w="1559" w:type="dxa"/>
            <w:vAlign w:val="center"/>
          </w:tcPr>
          <w:p w14:paraId="661932C8">
            <w:pPr>
              <w:jc w:val="right"/>
              <w:rPr>
                <w:rFonts w:ascii="Calibri" w:hAnsi="Calibri"/>
                <w:sz w:val="18"/>
                <w:szCs w:val="18"/>
              </w:rPr>
            </w:pPr>
            <w:r>
              <w:rPr>
                <w:rFonts w:ascii="Calibri" w:hAnsi="Calibri"/>
                <w:sz w:val="18"/>
                <w:szCs w:val="18"/>
              </w:rPr>
              <w:t>1,124,650,267.29</w:t>
            </w:r>
          </w:p>
        </w:tc>
        <w:tc>
          <w:tcPr>
            <w:tcW w:w="1559" w:type="dxa"/>
            <w:vAlign w:val="center"/>
          </w:tcPr>
          <w:p w14:paraId="1AEB1B66">
            <w:pPr>
              <w:jc w:val="right"/>
              <w:rPr>
                <w:rFonts w:ascii="Calibri" w:hAnsi="Calibri"/>
                <w:sz w:val="18"/>
                <w:szCs w:val="18"/>
              </w:rPr>
            </w:pPr>
            <w:r>
              <w:rPr>
                <w:rFonts w:ascii="Calibri" w:hAnsi="Calibri"/>
                <w:sz w:val="18"/>
                <w:szCs w:val="18"/>
              </w:rPr>
              <w:t>1,171,698,594.88</w:t>
            </w:r>
          </w:p>
        </w:tc>
        <w:tc>
          <w:tcPr>
            <w:tcW w:w="1276" w:type="dxa"/>
            <w:vAlign w:val="center"/>
          </w:tcPr>
          <w:p w14:paraId="3C45EB61">
            <w:pPr>
              <w:jc w:val="right"/>
              <w:rPr>
                <w:rFonts w:ascii="Calibri" w:hAnsi="Calibri"/>
                <w:sz w:val="18"/>
                <w:szCs w:val="18"/>
              </w:rPr>
            </w:pPr>
            <w:r>
              <w:rPr>
                <w:rFonts w:ascii="Calibri" w:hAnsi="Calibri"/>
                <w:sz w:val="18"/>
                <w:szCs w:val="18"/>
              </w:rPr>
              <w:t>4,148,021.56</w:t>
            </w:r>
          </w:p>
        </w:tc>
        <w:tc>
          <w:tcPr>
            <w:tcW w:w="1417" w:type="dxa"/>
            <w:vAlign w:val="center"/>
          </w:tcPr>
          <w:p w14:paraId="0F414574">
            <w:pPr>
              <w:jc w:val="right"/>
              <w:rPr>
                <w:rFonts w:ascii="Calibri" w:hAnsi="Calibri"/>
                <w:sz w:val="18"/>
                <w:szCs w:val="18"/>
              </w:rPr>
            </w:pPr>
            <w:r>
              <w:rPr>
                <w:rFonts w:ascii="Calibri" w:hAnsi="Calibri"/>
                <w:sz w:val="18"/>
                <w:szCs w:val="18"/>
              </w:rPr>
              <w:t>16,744,417.03</w:t>
            </w:r>
          </w:p>
        </w:tc>
        <w:tc>
          <w:tcPr>
            <w:tcW w:w="1276" w:type="dxa"/>
            <w:vAlign w:val="center"/>
          </w:tcPr>
          <w:p w14:paraId="4F143A00">
            <w:pPr>
              <w:jc w:val="right"/>
              <w:rPr>
                <w:rFonts w:ascii="Calibri" w:hAnsi="Calibri"/>
                <w:sz w:val="18"/>
                <w:szCs w:val="18"/>
              </w:rPr>
            </w:pPr>
            <w:r>
              <w:rPr>
                <w:rFonts w:ascii="Calibri" w:hAnsi="Calibri"/>
                <w:sz w:val="18"/>
                <w:szCs w:val="18"/>
              </w:rPr>
              <w:t>18,023,769.18</w:t>
            </w:r>
          </w:p>
        </w:tc>
        <w:tc>
          <w:tcPr>
            <w:tcW w:w="1559" w:type="dxa"/>
            <w:vAlign w:val="center"/>
          </w:tcPr>
          <w:p w14:paraId="2176A0B4">
            <w:pPr>
              <w:jc w:val="right"/>
              <w:rPr>
                <w:rFonts w:ascii="Calibri" w:hAnsi="Calibri"/>
                <w:sz w:val="18"/>
                <w:szCs w:val="18"/>
              </w:rPr>
            </w:pPr>
            <w:r>
              <w:rPr>
                <w:rFonts w:ascii="Calibri" w:hAnsi="Calibri"/>
                <w:sz w:val="18"/>
                <w:szCs w:val="18"/>
              </w:rPr>
              <w:t>2,335,265,069.94</w:t>
            </w:r>
          </w:p>
        </w:tc>
      </w:tr>
      <w:tr w14:paraId="35F9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11" w:type="dxa"/>
            <w:vAlign w:val="center"/>
          </w:tcPr>
          <w:p w14:paraId="27D16A41">
            <w:pPr>
              <w:ind w:firstLine="400" w:firstLineChars="200"/>
              <w:rPr>
                <w:rFonts w:ascii="Calibri" w:hAnsi="Calibri"/>
                <w:sz w:val="20"/>
                <w:szCs w:val="20"/>
              </w:rPr>
            </w:pPr>
            <w:r>
              <w:rPr>
                <w:rFonts w:hint="eastAsia" w:ascii="Calibri" w:hAnsi="Calibri"/>
                <w:sz w:val="20"/>
                <w:szCs w:val="20"/>
              </w:rPr>
              <w:t>2.期初账面价值</w:t>
            </w:r>
          </w:p>
        </w:tc>
        <w:tc>
          <w:tcPr>
            <w:tcW w:w="1559" w:type="dxa"/>
            <w:vAlign w:val="center"/>
          </w:tcPr>
          <w:p w14:paraId="1F5FB195">
            <w:pPr>
              <w:jc w:val="right"/>
              <w:rPr>
                <w:rFonts w:ascii="Calibri" w:hAnsi="Calibri"/>
                <w:sz w:val="18"/>
                <w:szCs w:val="18"/>
              </w:rPr>
            </w:pPr>
            <w:r>
              <w:rPr>
                <w:rFonts w:ascii="Calibri" w:hAnsi="Calibri"/>
                <w:sz w:val="18"/>
                <w:szCs w:val="18"/>
              </w:rPr>
              <w:t>1,191,534,325.62</w:t>
            </w:r>
          </w:p>
        </w:tc>
        <w:tc>
          <w:tcPr>
            <w:tcW w:w="1559" w:type="dxa"/>
            <w:vAlign w:val="center"/>
          </w:tcPr>
          <w:p w14:paraId="42B0E16F">
            <w:pPr>
              <w:jc w:val="right"/>
              <w:rPr>
                <w:rFonts w:ascii="Calibri" w:hAnsi="Calibri"/>
                <w:sz w:val="18"/>
                <w:szCs w:val="18"/>
              </w:rPr>
            </w:pPr>
            <w:r>
              <w:rPr>
                <w:rFonts w:ascii="Calibri" w:hAnsi="Calibri"/>
                <w:sz w:val="18"/>
                <w:szCs w:val="18"/>
              </w:rPr>
              <w:t>1,265,252,530.92</w:t>
            </w:r>
          </w:p>
        </w:tc>
        <w:tc>
          <w:tcPr>
            <w:tcW w:w="1276" w:type="dxa"/>
            <w:vAlign w:val="center"/>
          </w:tcPr>
          <w:p w14:paraId="63BCFD0B">
            <w:pPr>
              <w:jc w:val="right"/>
              <w:rPr>
                <w:rFonts w:ascii="Calibri" w:hAnsi="Calibri"/>
                <w:sz w:val="18"/>
                <w:szCs w:val="18"/>
              </w:rPr>
            </w:pPr>
            <w:r>
              <w:rPr>
                <w:rFonts w:ascii="Calibri" w:hAnsi="Calibri"/>
                <w:sz w:val="18"/>
                <w:szCs w:val="18"/>
              </w:rPr>
              <w:t>2,334,384.85</w:t>
            </w:r>
          </w:p>
        </w:tc>
        <w:tc>
          <w:tcPr>
            <w:tcW w:w="1417" w:type="dxa"/>
            <w:vAlign w:val="center"/>
          </w:tcPr>
          <w:p w14:paraId="0630D62D">
            <w:pPr>
              <w:jc w:val="right"/>
              <w:rPr>
                <w:rFonts w:ascii="Calibri" w:hAnsi="Calibri"/>
                <w:sz w:val="18"/>
                <w:szCs w:val="18"/>
              </w:rPr>
            </w:pPr>
            <w:r>
              <w:rPr>
                <w:rFonts w:ascii="Calibri" w:hAnsi="Calibri"/>
                <w:sz w:val="18"/>
                <w:szCs w:val="18"/>
              </w:rPr>
              <w:t>8,647,431.90</w:t>
            </w:r>
          </w:p>
        </w:tc>
        <w:tc>
          <w:tcPr>
            <w:tcW w:w="1276" w:type="dxa"/>
            <w:vAlign w:val="center"/>
          </w:tcPr>
          <w:p w14:paraId="118F7CE5">
            <w:pPr>
              <w:jc w:val="right"/>
              <w:rPr>
                <w:rFonts w:ascii="Calibri" w:hAnsi="Calibri"/>
                <w:sz w:val="18"/>
                <w:szCs w:val="18"/>
              </w:rPr>
            </w:pPr>
            <w:r>
              <w:rPr>
                <w:rFonts w:ascii="Calibri" w:hAnsi="Calibri"/>
                <w:sz w:val="18"/>
                <w:szCs w:val="18"/>
              </w:rPr>
              <w:t>14,525,452.43</w:t>
            </w:r>
          </w:p>
        </w:tc>
        <w:tc>
          <w:tcPr>
            <w:tcW w:w="1559" w:type="dxa"/>
            <w:vAlign w:val="center"/>
          </w:tcPr>
          <w:p w14:paraId="2326546C">
            <w:pPr>
              <w:jc w:val="right"/>
              <w:rPr>
                <w:rFonts w:ascii="Calibri" w:hAnsi="Calibri"/>
                <w:sz w:val="18"/>
                <w:szCs w:val="18"/>
              </w:rPr>
            </w:pPr>
            <w:r>
              <w:rPr>
                <w:rFonts w:ascii="Calibri" w:hAnsi="Calibri"/>
                <w:sz w:val="18"/>
                <w:szCs w:val="18"/>
              </w:rPr>
              <w:t>2,482,294,125.72</w:t>
            </w:r>
          </w:p>
        </w:tc>
      </w:tr>
    </w:tbl>
    <w:p w14:paraId="769AFE6A">
      <w:pPr>
        <w:spacing w:line="360" w:lineRule="auto"/>
        <w:ind w:firstLine="420" w:firstLineChars="200"/>
        <w:jc w:val="both"/>
      </w:pPr>
      <w:r>
        <w:rPr>
          <w:rFonts w:hint="eastAsia"/>
        </w:rPr>
        <w:t>期末已经提足折旧仍继续使用的固定资产原值为970,828,706.48元。</w:t>
      </w:r>
    </w:p>
    <w:p w14:paraId="2276ADEC">
      <w:pPr>
        <w:pStyle w:val="6"/>
        <w:numPr>
          <w:ilvl w:val="0"/>
          <w:numId w:val="77"/>
        </w:numPr>
        <w:ind w:leftChars="0"/>
      </w:pPr>
      <w:r>
        <w:rPr>
          <w:rFonts w:hint="eastAsia"/>
        </w:rPr>
        <w:t>暂时闲置的固定资产情况</w:t>
      </w:r>
    </w:p>
    <w:sdt>
      <w:sdtPr>
        <w:alias w:val="是否适用：暂时闲置的固定资产情况[双击切换]"/>
        <w:tag w:val="_GBC_2fdfdf37e427442eb50e14c905c59fbe"/>
        <w:id w:val="202453792"/>
        <w:placeholder>
          <w:docPart w:val="GBC22222222222222222222222222222"/>
        </w:placeholder>
      </w:sdtPr>
      <w:sdtContent>
        <w:p w14:paraId="2473C1C0">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AD57AC4">
      <w:pPr>
        <w:jc w:val="right"/>
      </w:pPr>
      <w:r>
        <w:rPr>
          <w:rFonts w:hint="eastAsia"/>
        </w:rPr>
        <w:t>单位：</w:t>
      </w:r>
      <w:sdt>
        <w:sdtPr>
          <w:rPr>
            <w:rFonts w:hint="eastAsia"/>
          </w:rPr>
          <w:alias w:val="单位：财务附注：暂时闲置的固定资产情况"/>
          <w:tag w:val="_GBC_6dabaeb6a3874771a8d0fcbe052546a4"/>
          <w:id w:val="-17153350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暂时闲置的固定资产情况"/>
          <w:tag w:val="_GBC_a724ad4bebc04f169fc256086e73dcfe"/>
          <w:id w:val="-10063714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13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01"/>
        <w:gridCol w:w="1701"/>
        <w:gridCol w:w="1417"/>
        <w:gridCol w:w="1559"/>
        <w:gridCol w:w="1050"/>
      </w:tblGrid>
      <w:tr w14:paraId="085B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d6a8e4b7ed145adb8eb3248d2339d1b"/>
            <w:id w:val="1444884865"/>
          </w:sdtPr>
          <w:sdtContent>
            <w:tc>
              <w:tcPr>
                <w:tcW w:w="1702" w:type="dxa"/>
                <w:tcBorders>
                  <w:top w:val="single" w:color="auto" w:sz="4" w:space="0"/>
                  <w:left w:val="single" w:color="auto" w:sz="4" w:space="0"/>
                  <w:bottom w:val="single" w:color="auto" w:sz="4" w:space="0"/>
                  <w:right w:val="single" w:color="auto" w:sz="4" w:space="0"/>
                </w:tcBorders>
                <w:vAlign w:val="center"/>
              </w:tcPr>
              <w:p w14:paraId="497A8666">
                <w:pPr>
                  <w:jc w:val="center"/>
                  <w:rPr>
                    <w:rFonts w:ascii="Calibri" w:hAnsi="Calibri"/>
                    <w:sz w:val="20"/>
                    <w:szCs w:val="20"/>
                  </w:rPr>
                </w:pPr>
                <w:r>
                  <w:rPr>
                    <w:rFonts w:hint="eastAsia" w:ascii="Calibri" w:hAnsi="Calibri"/>
                    <w:sz w:val="20"/>
                    <w:szCs w:val="20"/>
                  </w:rPr>
                  <w:t>项目</w:t>
                </w:r>
              </w:p>
            </w:tc>
          </w:sdtContent>
        </w:sdt>
        <w:sdt>
          <w:sdtPr>
            <w:tag w:val="_PLD_6a3b700ee3594fa49e62d22604b7487b"/>
            <w:id w:val="1809434418"/>
          </w:sdtPr>
          <w:sdtContent>
            <w:tc>
              <w:tcPr>
                <w:tcW w:w="1701" w:type="dxa"/>
                <w:tcBorders>
                  <w:top w:val="single" w:color="auto" w:sz="4" w:space="0"/>
                  <w:left w:val="single" w:color="auto" w:sz="4" w:space="0"/>
                  <w:bottom w:val="single" w:color="auto" w:sz="4" w:space="0"/>
                  <w:right w:val="single" w:color="auto" w:sz="4" w:space="0"/>
                </w:tcBorders>
                <w:vAlign w:val="center"/>
              </w:tcPr>
              <w:p w14:paraId="079D81FE">
                <w:pPr>
                  <w:jc w:val="center"/>
                  <w:rPr>
                    <w:rFonts w:ascii="Calibri" w:hAnsi="Calibri"/>
                    <w:sz w:val="20"/>
                    <w:szCs w:val="20"/>
                  </w:rPr>
                </w:pPr>
                <w:r>
                  <w:rPr>
                    <w:rFonts w:hint="eastAsia" w:ascii="Calibri" w:hAnsi="Calibri"/>
                    <w:sz w:val="20"/>
                    <w:szCs w:val="20"/>
                  </w:rPr>
                  <w:t>账面原值</w:t>
                </w:r>
              </w:p>
            </w:tc>
          </w:sdtContent>
        </w:sdt>
        <w:sdt>
          <w:sdtPr>
            <w:tag w:val="_PLD_487d391ad0db4d809e8dec919d77d088"/>
            <w:id w:val="1032300107"/>
          </w:sdtPr>
          <w:sdtContent>
            <w:tc>
              <w:tcPr>
                <w:tcW w:w="1701" w:type="dxa"/>
                <w:tcBorders>
                  <w:top w:val="single" w:color="auto" w:sz="4" w:space="0"/>
                  <w:left w:val="single" w:color="auto" w:sz="4" w:space="0"/>
                  <w:bottom w:val="single" w:color="auto" w:sz="4" w:space="0"/>
                  <w:right w:val="single" w:color="auto" w:sz="4" w:space="0"/>
                </w:tcBorders>
                <w:vAlign w:val="center"/>
              </w:tcPr>
              <w:p w14:paraId="2D60A068">
                <w:pPr>
                  <w:jc w:val="center"/>
                  <w:rPr>
                    <w:rFonts w:ascii="Calibri" w:hAnsi="Calibri"/>
                    <w:sz w:val="20"/>
                    <w:szCs w:val="20"/>
                  </w:rPr>
                </w:pPr>
                <w:r>
                  <w:rPr>
                    <w:rFonts w:hint="eastAsia" w:ascii="Calibri" w:hAnsi="Calibri"/>
                    <w:sz w:val="20"/>
                    <w:szCs w:val="20"/>
                  </w:rPr>
                  <w:t>累计折旧</w:t>
                </w:r>
              </w:p>
            </w:tc>
          </w:sdtContent>
        </w:sdt>
        <w:sdt>
          <w:sdtPr>
            <w:tag w:val="_PLD_395f38b65a1e4bc2987bc181f3714aac"/>
            <w:id w:val="-221138562"/>
          </w:sdtPr>
          <w:sdtContent>
            <w:tc>
              <w:tcPr>
                <w:tcW w:w="1417" w:type="dxa"/>
                <w:tcBorders>
                  <w:top w:val="single" w:color="auto" w:sz="4" w:space="0"/>
                  <w:left w:val="single" w:color="auto" w:sz="4" w:space="0"/>
                  <w:bottom w:val="single" w:color="auto" w:sz="4" w:space="0"/>
                  <w:right w:val="single" w:color="auto" w:sz="4" w:space="0"/>
                </w:tcBorders>
                <w:vAlign w:val="center"/>
              </w:tcPr>
              <w:p w14:paraId="19568468">
                <w:pPr>
                  <w:jc w:val="center"/>
                  <w:rPr>
                    <w:rFonts w:ascii="Calibri" w:hAnsi="Calibri"/>
                    <w:sz w:val="20"/>
                    <w:szCs w:val="20"/>
                  </w:rPr>
                </w:pPr>
                <w:r>
                  <w:rPr>
                    <w:rFonts w:hint="eastAsia" w:ascii="Calibri" w:hAnsi="Calibri"/>
                    <w:sz w:val="20"/>
                    <w:szCs w:val="20"/>
                  </w:rPr>
                  <w:t>减值准备</w:t>
                </w:r>
              </w:p>
            </w:tc>
          </w:sdtContent>
        </w:sdt>
        <w:sdt>
          <w:sdtPr>
            <w:tag w:val="_PLD_151ce060870441baa6ac3f4c38e60b30"/>
            <w:id w:val="-1884556879"/>
          </w:sdtPr>
          <w:sdtContent>
            <w:tc>
              <w:tcPr>
                <w:tcW w:w="1559" w:type="dxa"/>
                <w:tcBorders>
                  <w:top w:val="single" w:color="auto" w:sz="4" w:space="0"/>
                  <w:left w:val="single" w:color="auto" w:sz="4" w:space="0"/>
                  <w:bottom w:val="single" w:color="auto" w:sz="4" w:space="0"/>
                  <w:right w:val="single" w:color="auto" w:sz="4" w:space="0"/>
                </w:tcBorders>
                <w:vAlign w:val="center"/>
              </w:tcPr>
              <w:p w14:paraId="56052E21">
                <w:pPr>
                  <w:jc w:val="center"/>
                  <w:rPr>
                    <w:rFonts w:ascii="Calibri" w:hAnsi="Calibri"/>
                    <w:sz w:val="20"/>
                    <w:szCs w:val="20"/>
                  </w:rPr>
                </w:pPr>
                <w:r>
                  <w:rPr>
                    <w:rFonts w:hint="eastAsia" w:ascii="Calibri" w:hAnsi="Calibri"/>
                    <w:sz w:val="20"/>
                    <w:szCs w:val="20"/>
                  </w:rPr>
                  <w:t>账面价值</w:t>
                </w:r>
              </w:p>
            </w:tc>
          </w:sdtContent>
        </w:sdt>
        <w:sdt>
          <w:sdtPr>
            <w:tag w:val="_PLD_577f17503b2444c19b15b20c0eb7f637"/>
            <w:id w:val="1956289758"/>
          </w:sdtPr>
          <w:sdtContent>
            <w:tc>
              <w:tcPr>
                <w:tcW w:w="1050" w:type="dxa"/>
                <w:tcBorders>
                  <w:top w:val="single" w:color="auto" w:sz="4" w:space="0"/>
                  <w:left w:val="single" w:color="auto" w:sz="4" w:space="0"/>
                  <w:bottom w:val="single" w:color="auto" w:sz="4" w:space="0"/>
                  <w:right w:val="single" w:color="auto" w:sz="4" w:space="0"/>
                </w:tcBorders>
                <w:vAlign w:val="center"/>
              </w:tcPr>
              <w:p w14:paraId="6095DCAB">
                <w:pPr>
                  <w:jc w:val="center"/>
                  <w:rPr>
                    <w:rFonts w:ascii="Calibri" w:hAnsi="Calibri"/>
                    <w:sz w:val="20"/>
                    <w:szCs w:val="20"/>
                  </w:rPr>
                </w:pPr>
                <w:r>
                  <w:rPr>
                    <w:rFonts w:hint="eastAsia" w:ascii="Calibri" w:hAnsi="Calibri"/>
                    <w:sz w:val="20"/>
                    <w:szCs w:val="20"/>
                  </w:rPr>
                  <w:t>备注</w:t>
                </w:r>
              </w:p>
            </w:tc>
          </w:sdtContent>
        </w:sdt>
      </w:tr>
      <w:tr w14:paraId="3101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Borders>
              <w:top w:val="single" w:color="auto" w:sz="4" w:space="0"/>
              <w:left w:val="single" w:color="auto" w:sz="4" w:space="0"/>
              <w:bottom w:val="single" w:color="auto" w:sz="4" w:space="0"/>
              <w:right w:val="single" w:color="auto" w:sz="4" w:space="0"/>
            </w:tcBorders>
            <w:vAlign w:val="center"/>
          </w:tcPr>
          <w:p w14:paraId="6841A92D">
            <w:pPr>
              <w:pStyle w:val="48"/>
              <w:rPr>
                <w:sz w:val="20"/>
                <w:szCs w:val="20"/>
              </w:rPr>
            </w:pPr>
            <w:r>
              <w:rPr>
                <w:sz w:val="20"/>
                <w:szCs w:val="20"/>
              </w:rPr>
              <w:t>房屋及建筑物</w:t>
            </w:r>
          </w:p>
        </w:tc>
        <w:tc>
          <w:tcPr>
            <w:tcW w:w="1701" w:type="dxa"/>
            <w:tcBorders>
              <w:top w:val="single" w:color="auto" w:sz="4" w:space="0"/>
              <w:left w:val="single" w:color="auto" w:sz="4" w:space="0"/>
              <w:bottom w:val="single" w:color="auto" w:sz="4" w:space="0"/>
              <w:right w:val="single" w:color="auto" w:sz="4" w:space="0"/>
            </w:tcBorders>
            <w:vAlign w:val="center"/>
          </w:tcPr>
          <w:p w14:paraId="168E63C8">
            <w:pPr>
              <w:jc w:val="right"/>
              <w:rPr>
                <w:rFonts w:ascii="Calibri" w:hAnsi="Calibri"/>
                <w:sz w:val="20"/>
                <w:szCs w:val="20"/>
              </w:rPr>
            </w:pPr>
            <w:r>
              <w:rPr>
                <w:rFonts w:ascii="Calibri" w:hAnsi="Calibri"/>
                <w:sz w:val="20"/>
                <w:szCs w:val="20"/>
              </w:rPr>
              <w:t>122,187,868.13</w:t>
            </w:r>
          </w:p>
        </w:tc>
        <w:tc>
          <w:tcPr>
            <w:tcW w:w="1701" w:type="dxa"/>
            <w:tcBorders>
              <w:top w:val="single" w:color="auto" w:sz="4" w:space="0"/>
              <w:left w:val="single" w:color="auto" w:sz="4" w:space="0"/>
              <w:bottom w:val="single" w:color="auto" w:sz="4" w:space="0"/>
              <w:right w:val="single" w:color="auto" w:sz="4" w:space="0"/>
            </w:tcBorders>
            <w:vAlign w:val="center"/>
          </w:tcPr>
          <w:p w14:paraId="1C7309C8">
            <w:pPr>
              <w:jc w:val="right"/>
              <w:rPr>
                <w:rFonts w:ascii="Calibri" w:hAnsi="Calibri"/>
                <w:sz w:val="20"/>
                <w:szCs w:val="20"/>
              </w:rPr>
            </w:pPr>
            <w:r>
              <w:rPr>
                <w:rFonts w:ascii="Calibri" w:hAnsi="Calibri"/>
                <w:sz w:val="20"/>
                <w:szCs w:val="20"/>
              </w:rPr>
              <w:t>75,620,225.17</w:t>
            </w:r>
          </w:p>
        </w:tc>
        <w:tc>
          <w:tcPr>
            <w:tcW w:w="1417" w:type="dxa"/>
            <w:tcBorders>
              <w:top w:val="single" w:color="auto" w:sz="4" w:space="0"/>
              <w:left w:val="single" w:color="auto" w:sz="4" w:space="0"/>
              <w:bottom w:val="single" w:color="auto" w:sz="4" w:space="0"/>
              <w:right w:val="single" w:color="auto" w:sz="4" w:space="0"/>
            </w:tcBorders>
            <w:vAlign w:val="center"/>
          </w:tcPr>
          <w:p w14:paraId="41AFE1C8">
            <w:pPr>
              <w:jc w:val="right"/>
              <w:rPr>
                <w:rFonts w:ascii="Calibri" w:hAnsi="Calibri"/>
                <w:sz w:val="20"/>
                <w:szCs w:val="20"/>
              </w:rPr>
            </w:pPr>
            <w:r>
              <w:rPr>
                <w:rFonts w:ascii="Calibri" w:hAnsi="Calibri"/>
                <w:sz w:val="20"/>
                <w:szCs w:val="20"/>
              </w:rPr>
              <w:t>140.87</w:t>
            </w:r>
          </w:p>
        </w:tc>
        <w:tc>
          <w:tcPr>
            <w:tcW w:w="1559" w:type="dxa"/>
            <w:tcBorders>
              <w:top w:val="single" w:color="auto" w:sz="4" w:space="0"/>
              <w:left w:val="single" w:color="auto" w:sz="4" w:space="0"/>
              <w:bottom w:val="single" w:color="auto" w:sz="4" w:space="0"/>
              <w:right w:val="single" w:color="auto" w:sz="4" w:space="0"/>
            </w:tcBorders>
            <w:vAlign w:val="center"/>
          </w:tcPr>
          <w:p w14:paraId="3A756E9B">
            <w:pPr>
              <w:jc w:val="right"/>
              <w:rPr>
                <w:rFonts w:ascii="Calibri" w:hAnsi="Calibri"/>
                <w:sz w:val="20"/>
                <w:szCs w:val="20"/>
              </w:rPr>
            </w:pPr>
            <w:r>
              <w:rPr>
                <w:rFonts w:ascii="Calibri" w:hAnsi="Calibri"/>
                <w:sz w:val="20"/>
                <w:szCs w:val="20"/>
              </w:rPr>
              <w:t>46,567,502.09</w:t>
            </w:r>
          </w:p>
        </w:tc>
        <w:tc>
          <w:tcPr>
            <w:tcW w:w="1050" w:type="dxa"/>
            <w:tcBorders>
              <w:top w:val="single" w:color="auto" w:sz="4" w:space="0"/>
              <w:left w:val="single" w:color="auto" w:sz="4" w:space="0"/>
              <w:bottom w:val="single" w:color="auto" w:sz="4" w:space="0"/>
              <w:right w:val="single" w:color="auto" w:sz="4" w:space="0"/>
            </w:tcBorders>
            <w:vAlign w:val="center"/>
          </w:tcPr>
          <w:p w14:paraId="4A210365">
            <w:pPr>
              <w:pStyle w:val="48"/>
              <w:rPr>
                <w:sz w:val="20"/>
                <w:szCs w:val="20"/>
              </w:rPr>
            </w:pPr>
          </w:p>
        </w:tc>
      </w:tr>
      <w:tr w14:paraId="78A9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Borders>
              <w:top w:val="single" w:color="auto" w:sz="4" w:space="0"/>
              <w:left w:val="single" w:color="auto" w:sz="4" w:space="0"/>
              <w:bottom w:val="single" w:color="auto" w:sz="4" w:space="0"/>
              <w:right w:val="single" w:color="auto" w:sz="4" w:space="0"/>
            </w:tcBorders>
            <w:vAlign w:val="center"/>
          </w:tcPr>
          <w:p w14:paraId="4FC4D431">
            <w:pPr>
              <w:pStyle w:val="48"/>
              <w:rPr>
                <w:sz w:val="20"/>
                <w:szCs w:val="20"/>
              </w:rPr>
            </w:pPr>
            <w:r>
              <w:rPr>
                <w:sz w:val="20"/>
                <w:szCs w:val="20"/>
              </w:rPr>
              <w:t>机器设备</w:t>
            </w:r>
          </w:p>
        </w:tc>
        <w:tc>
          <w:tcPr>
            <w:tcW w:w="1701" w:type="dxa"/>
            <w:tcBorders>
              <w:top w:val="single" w:color="auto" w:sz="4" w:space="0"/>
              <w:left w:val="single" w:color="auto" w:sz="4" w:space="0"/>
              <w:bottom w:val="single" w:color="auto" w:sz="4" w:space="0"/>
              <w:right w:val="single" w:color="auto" w:sz="4" w:space="0"/>
            </w:tcBorders>
            <w:vAlign w:val="center"/>
          </w:tcPr>
          <w:p w14:paraId="6E7E6F34">
            <w:pPr>
              <w:jc w:val="right"/>
              <w:rPr>
                <w:rFonts w:ascii="Calibri" w:hAnsi="Calibri"/>
                <w:sz w:val="20"/>
                <w:szCs w:val="20"/>
              </w:rPr>
            </w:pPr>
            <w:r>
              <w:rPr>
                <w:rFonts w:ascii="Calibri" w:hAnsi="Calibri"/>
                <w:sz w:val="20"/>
                <w:szCs w:val="20"/>
              </w:rPr>
              <w:t>83,655,528.15</w:t>
            </w:r>
          </w:p>
        </w:tc>
        <w:tc>
          <w:tcPr>
            <w:tcW w:w="1701" w:type="dxa"/>
            <w:tcBorders>
              <w:top w:val="single" w:color="auto" w:sz="4" w:space="0"/>
              <w:left w:val="single" w:color="auto" w:sz="4" w:space="0"/>
              <w:bottom w:val="single" w:color="auto" w:sz="4" w:space="0"/>
              <w:right w:val="single" w:color="auto" w:sz="4" w:space="0"/>
            </w:tcBorders>
            <w:vAlign w:val="center"/>
          </w:tcPr>
          <w:p w14:paraId="1CAAADDF">
            <w:pPr>
              <w:jc w:val="right"/>
              <w:rPr>
                <w:rFonts w:ascii="Calibri" w:hAnsi="Calibri"/>
                <w:sz w:val="20"/>
                <w:szCs w:val="20"/>
              </w:rPr>
            </w:pPr>
            <w:r>
              <w:rPr>
                <w:rFonts w:ascii="Calibri" w:hAnsi="Calibri"/>
                <w:sz w:val="20"/>
                <w:szCs w:val="20"/>
              </w:rPr>
              <w:t>79,472,751.75</w:t>
            </w:r>
          </w:p>
        </w:tc>
        <w:tc>
          <w:tcPr>
            <w:tcW w:w="1417" w:type="dxa"/>
            <w:tcBorders>
              <w:top w:val="single" w:color="auto" w:sz="4" w:space="0"/>
              <w:left w:val="single" w:color="auto" w:sz="4" w:space="0"/>
              <w:bottom w:val="single" w:color="auto" w:sz="4" w:space="0"/>
              <w:right w:val="single" w:color="auto" w:sz="4" w:space="0"/>
            </w:tcBorders>
            <w:vAlign w:val="center"/>
          </w:tcPr>
          <w:p w14:paraId="3EB3F705">
            <w:pPr>
              <w:jc w:val="right"/>
              <w:rPr>
                <w:rFonts w:ascii="Calibri" w:hAnsi="Calibri"/>
                <w:sz w:val="20"/>
                <w:szCs w:val="20"/>
              </w:rPr>
            </w:pPr>
            <w:r>
              <w:rPr>
                <w:rFonts w:ascii="Calibri" w:hAnsi="Calibri"/>
                <w:sz w:val="20"/>
                <w:szCs w:val="20"/>
              </w:rPr>
              <w:t>20,076.54</w:t>
            </w:r>
          </w:p>
        </w:tc>
        <w:tc>
          <w:tcPr>
            <w:tcW w:w="1559" w:type="dxa"/>
            <w:tcBorders>
              <w:top w:val="single" w:color="auto" w:sz="4" w:space="0"/>
              <w:left w:val="single" w:color="auto" w:sz="4" w:space="0"/>
              <w:bottom w:val="single" w:color="auto" w:sz="4" w:space="0"/>
              <w:right w:val="single" w:color="auto" w:sz="4" w:space="0"/>
            </w:tcBorders>
            <w:vAlign w:val="center"/>
          </w:tcPr>
          <w:p w14:paraId="465C6FFA">
            <w:pPr>
              <w:jc w:val="right"/>
              <w:rPr>
                <w:rFonts w:ascii="Calibri" w:hAnsi="Calibri"/>
                <w:sz w:val="20"/>
                <w:szCs w:val="20"/>
              </w:rPr>
            </w:pPr>
            <w:r>
              <w:rPr>
                <w:rFonts w:ascii="Calibri" w:hAnsi="Calibri"/>
                <w:sz w:val="20"/>
                <w:szCs w:val="20"/>
              </w:rPr>
              <w:t>4,162,699.86</w:t>
            </w:r>
          </w:p>
        </w:tc>
        <w:tc>
          <w:tcPr>
            <w:tcW w:w="1050" w:type="dxa"/>
            <w:tcBorders>
              <w:top w:val="single" w:color="auto" w:sz="4" w:space="0"/>
              <w:left w:val="single" w:color="auto" w:sz="4" w:space="0"/>
              <w:bottom w:val="single" w:color="auto" w:sz="4" w:space="0"/>
              <w:right w:val="single" w:color="auto" w:sz="4" w:space="0"/>
            </w:tcBorders>
            <w:vAlign w:val="center"/>
          </w:tcPr>
          <w:p w14:paraId="2B8DE077">
            <w:pPr>
              <w:pStyle w:val="48"/>
              <w:rPr>
                <w:sz w:val="20"/>
                <w:szCs w:val="20"/>
              </w:rPr>
            </w:pPr>
          </w:p>
        </w:tc>
      </w:tr>
      <w:tr w14:paraId="59D5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Borders>
              <w:top w:val="single" w:color="auto" w:sz="4" w:space="0"/>
              <w:left w:val="single" w:color="auto" w:sz="4" w:space="0"/>
              <w:bottom w:val="single" w:color="auto" w:sz="4" w:space="0"/>
              <w:right w:val="single" w:color="auto" w:sz="4" w:space="0"/>
            </w:tcBorders>
            <w:vAlign w:val="center"/>
          </w:tcPr>
          <w:p w14:paraId="238A7539">
            <w:pPr>
              <w:pStyle w:val="48"/>
              <w:jc w:val="center"/>
              <w:rPr>
                <w:sz w:val="20"/>
                <w:szCs w:val="20"/>
              </w:rPr>
            </w:pPr>
            <w:r>
              <w:rPr>
                <w:sz w:val="20"/>
                <w:szCs w:val="20"/>
              </w:rPr>
              <w:t>合计</w:t>
            </w:r>
          </w:p>
        </w:tc>
        <w:tc>
          <w:tcPr>
            <w:tcW w:w="1701" w:type="dxa"/>
            <w:tcBorders>
              <w:top w:val="single" w:color="auto" w:sz="4" w:space="0"/>
              <w:left w:val="single" w:color="auto" w:sz="4" w:space="0"/>
              <w:bottom w:val="single" w:color="auto" w:sz="4" w:space="0"/>
              <w:right w:val="single" w:color="auto" w:sz="4" w:space="0"/>
            </w:tcBorders>
            <w:vAlign w:val="center"/>
          </w:tcPr>
          <w:p w14:paraId="1FDAE234">
            <w:pPr>
              <w:jc w:val="right"/>
              <w:rPr>
                <w:rFonts w:ascii="Calibri" w:hAnsi="Calibri"/>
                <w:sz w:val="20"/>
                <w:szCs w:val="20"/>
              </w:rPr>
            </w:pPr>
            <w:r>
              <w:rPr>
                <w:rFonts w:ascii="Calibri" w:hAnsi="Calibri"/>
                <w:sz w:val="20"/>
                <w:szCs w:val="20"/>
              </w:rPr>
              <w:t>205,843,396.28</w:t>
            </w:r>
          </w:p>
        </w:tc>
        <w:tc>
          <w:tcPr>
            <w:tcW w:w="1701" w:type="dxa"/>
            <w:tcBorders>
              <w:top w:val="single" w:color="auto" w:sz="4" w:space="0"/>
              <w:left w:val="single" w:color="auto" w:sz="4" w:space="0"/>
              <w:bottom w:val="single" w:color="auto" w:sz="4" w:space="0"/>
              <w:right w:val="single" w:color="auto" w:sz="4" w:space="0"/>
            </w:tcBorders>
            <w:vAlign w:val="center"/>
          </w:tcPr>
          <w:p w14:paraId="28528464">
            <w:pPr>
              <w:jc w:val="right"/>
              <w:rPr>
                <w:rFonts w:ascii="Calibri" w:hAnsi="Calibri"/>
                <w:sz w:val="20"/>
                <w:szCs w:val="20"/>
              </w:rPr>
            </w:pPr>
            <w:r>
              <w:rPr>
                <w:rFonts w:ascii="Calibri" w:hAnsi="Calibri"/>
                <w:sz w:val="20"/>
                <w:szCs w:val="20"/>
              </w:rPr>
              <w:t>155,092,976.92</w:t>
            </w:r>
          </w:p>
        </w:tc>
        <w:tc>
          <w:tcPr>
            <w:tcW w:w="1417" w:type="dxa"/>
            <w:tcBorders>
              <w:top w:val="single" w:color="auto" w:sz="4" w:space="0"/>
              <w:left w:val="single" w:color="auto" w:sz="4" w:space="0"/>
              <w:bottom w:val="single" w:color="auto" w:sz="4" w:space="0"/>
              <w:right w:val="single" w:color="auto" w:sz="4" w:space="0"/>
            </w:tcBorders>
            <w:vAlign w:val="center"/>
          </w:tcPr>
          <w:p w14:paraId="466B3F69">
            <w:pPr>
              <w:jc w:val="right"/>
              <w:rPr>
                <w:rFonts w:ascii="Calibri" w:hAnsi="Calibri"/>
                <w:sz w:val="20"/>
                <w:szCs w:val="20"/>
              </w:rPr>
            </w:pPr>
            <w:r>
              <w:rPr>
                <w:rFonts w:ascii="Calibri" w:hAnsi="Calibri"/>
                <w:sz w:val="20"/>
                <w:szCs w:val="20"/>
              </w:rPr>
              <w:t>20,217.41</w:t>
            </w:r>
          </w:p>
        </w:tc>
        <w:tc>
          <w:tcPr>
            <w:tcW w:w="1559" w:type="dxa"/>
            <w:tcBorders>
              <w:top w:val="single" w:color="auto" w:sz="4" w:space="0"/>
              <w:left w:val="single" w:color="auto" w:sz="4" w:space="0"/>
              <w:bottom w:val="single" w:color="auto" w:sz="4" w:space="0"/>
              <w:right w:val="single" w:color="auto" w:sz="4" w:space="0"/>
            </w:tcBorders>
            <w:vAlign w:val="center"/>
          </w:tcPr>
          <w:p w14:paraId="2ACE896C">
            <w:pPr>
              <w:jc w:val="right"/>
              <w:rPr>
                <w:rFonts w:ascii="Calibri" w:hAnsi="Calibri"/>
                <w:sz w:val="20"/>
                <w:szCs w:val="20"/>
              </w:rPr>
            </w:pPr>
            <w:r>
              <w:rPr>
                <w:rFonts w:ascii="Calibri" w:hAnsi="Calibri"/>
                <w:sz w:val="20"/>
                <w:szCs w:val="20"/>
              </w:rPr>
              <w:t>50,730,201.95</w:t>
            </w:r>
          </w:p>
        </w:tc>
        <w:tc>
          <w:tcPr>
            <w:tcW w:w="1050" w:type="dxa"/>
            <w:tcBorders>
              <w:top w:val="single" w:color="auto" w:sz="4" w:space="0"/>
              <w:left w:val="single" w:color="auto" w:sz="4" w:space="0"/>
              <w:bottom w:val="single" w:color="auto" w:sz="4" w:space="0"/>
              <w:right w:val="single" w:color="auto" w:sz="4" w:space="0"/>
            </w:tcBorders>
            <w:vAlign w:val="center"/>
          </w:tcPr>
          <w:p w14:paraId="3CA22D8C">
            <w:pPr>
              <w:pStyle w:val="48"/>
              <w:rPr>
                <w:sz w:val="20"/>
                <w:szCs w:val="20"/>
              </w:rPr>
            </w:pPr>
          </w:p>
        </w:tc>
      </w:tr>
    </w:tbl>
    <w:p w14:paraId="35ACFD52"/>
    <w:p w14:paraId="266201F7">
      <w:pPr>
        <w:pStyle w:val="6"/>
        <w:numPr>
          <w:ilvl w:val="0"/>
          <w:numId w:val="77"/>
        </w:numPr>
        <w:ind w:leftChars="0"/>
      </w:pPr>
      <w:r>
        <w:rPr>
          <w:rFonts w:hint="eastAsia"/>
        </w:rPr>
        <w:t>通过经营租赁租出的固定资产</w:t>
      </w:r>
    </w:p>
    <w:sdt>
      <w:sdtPr>
        <w:alias w:val="是否适用：通过经营租赁租出的固定资产[双击切换]"/>
        <w:tag w:val="_GBC_c2ddde62aad742b6997b43c9077b5c4b"/>
        <w:id w:val="255641623"/>
        <w:placeholder>
          <w:docPart w:val="GBC22222222222222222222222222222"/>
        </w:placeholder>
      </w:sdtPr>
      <w:sdtContent>
        <w:p w14:paraId="6F0F82DF">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86AB0F9">
      <w:pPr>
        <w:jc w:val="right"/>
        <w:rPr>
          <w:color w:val="FF0000"/>
        </w:rPr>
      </w:pPr>
      <w:r>
        <w:rPr>
          <w:rFonts w:hint="eastAsia"/>
        </w:rPr>
        <w:t>单位：</w:t>
      </w:r>
      <w:sdt>
        <w:sdtPr>
          <w:rPr>
            <w:rFonts w:hint="eastAsia"/>
          </w:rPr>
          <w:alias w:val="单位：财务附注：通过经营租赁租出的固定资产"/>
          <w:tag w:val="_GBC_a5639cab25124e40a3a709f767bb31f5"/>
          <w:id w:val="-18709821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通过经营租赁租出的固定资产"/>
          <w:tag w:val="_GBC_86c375c2858c4fd3a9a1149366376325"/>
          <w:id w:val="20050051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3"/>
        <w:gridCol w:w="4895"/>
      </w:tblGrid>
      <w:tr w14:paraId="0E2C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35f56116f2549ddbf0e3623eed6359d"/>
            <w:id w:val="-635338467"/>
          </w:sdtPr>
          <w:sdtContent>
            <w:tc>
              <w:tcPr>
                <w:tcW w:w="4153" w:type="dxa"/>
                <w:tcBorders>
                  <w:top w:val="single" w:color="auto" w:sz="4" w:space="0"/>
                  <w:left w:val="single" w:color="auto" w:sz="4" w:space="0"/>
                  <w:bottom w:val="single" w:color="auto" w:sz="4" w:space="0"/>
                  <w:right w:val="single" w:color="auto" w:sz="4" w:space="0"/>
                </w:tcBorders>
                <w:vAlign w:val="center"/>
              </w:tcPr>
              <w:p w14:paraId="6454BC21">
                <w:pPr>
                  <w:jc w:val="center"/>
                  <w:rPr>
                    <w:rFonts w:ascii="Calibri" w:hAnsi="Calibri"/>
                    <w:sz w:val="20"/>
                    <w:szCs w:val="20"/>
                  </w:rPr>
                </w:pPr>
                <w:r>
                  <w:rPr>
                    <w:rFonts w:hint="eastAsia" w:ascii="Calibri" w:hAnsi="Calibri"/>
                    <w:sz w:val="20"/>
                    <w:szCs w:val="20"/>
                  </w:rPr>
                  <w:t>项目</w:t>
                </w:r>
              </w:p>
            </w:tc>
          </w:sdtContent>
        </w:sdt>
        <w:sdt>
          <w:sdtPr>
            <w:tag w:val="_PLD_b998d1682a784108a43b71971c110733"/>
            <w:id w:val="-2011440655"/>
          </w:sdtPr>
          <w:sdtContent>
            <w:tc>
              <w:tcPr>
                <w:tcW w:w="4895" w:type="dxa"/>
                <w:tcBorders>
                  <w:top w:val="single" w:color="auto" w:sz="4" w:space="0"/>
                  <w:left w:val="single" w:color="auto" w:sz="4" w:space="0"/>
                  <w:bottom w:val="single" w:color="auto" w:sz="4" w:space="0"/>
                  <w:right w:val="single" w:color="auto" w:sz="4" w:space="0"/>
                </w:tcBorders>
                <w:vAlign w:val="center"/>
              </w:tcPr>
              <w:p w14:paraId="4D2E1979">
                <w:pPr>
                  <w:jc w:val="center"/>
                  <w:rPr>
                    <w:rFonts w:ascii="Calibri" w:hAnsi="Calibri"/>
                    <w:sz w:val="20"/>
                    <w:szCs w:val="20"/>
                  </w:rPr>
                </w:pPr>
                <w:r>
                  <w:rPr>
                    <w:rFonts w:hint="eastAsia" w:ascii="Calibri" w:hAnsi="Calibri"/>
                    <w:sz w:val="20"/>
                    <w:szCs w:val="20"/>
                  </w:rPr>
                  <w:t>期末账面价值</w:t>
                </w:r>
              </w:p>
            </w:tc>
          </w:sdtContent>
        </w:sdt>
      </w:tr>
      <w:tr w14:paraId="64B1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Borders>
              <w:top w:val="single" w:color="auto" w:sz="4" w:space="0"/>
              <w:left w:val="single" w:color="auto" w:sz="4" w:space="0"/>
              <w:bottom w:val="single" w:color="auto" w:sz="4" w:space="0"/>
              <w:right w:val="single" w:color="auto" w:sz="4" w:space="0"/>
            </w:tcBorders>
            <w:vAlign w:val="center"/>
          </w:tcPr>
          <w:p w14:paraId="06E91198">
            <w:pPr>
              <w:pStyle w:val="48"/>
              <w:rPr>
                <w:sz w:val="20"/>
                <w:szCs w:val="20"/>
              </w:rPr>
            </w:pPr>
            <w:r>
              <w:rPr>
                <w:sz w:val="20"/>
                <w:szCs w:val="20"/>
              </w:rPr>
              <w:t>房屋及建筑物</w:t>
            </w:r>
          </w:p>
        </w:tc>
        <w:tc>
          <w:tcPr>
            <w:tcW w:w="4895" w:type="dxa"/>
            <w:tcBorders>
              <w:top w:val="single" w:color="auto" w:sz="4" w:space="0"/>
              <w:left w:val="single" w:color="auto" w:sz="4" w:space="0"/>
              <w:bottom w:val="single" w:color="auto" w:sz="4" w:space="0"/>
              <w:right w:val="single" w:color="auto" w:sz="4" w:space="0"/>
            </w:tcBorders>
            <w:vAlign w:val="center"/>
          </w:tcPr>
          <w:p w14:paraId="7706082A">
            <w:pPr>
              <w:jc w:val="right"/>
              <w:rPr>
                <w:rFonts w:ascii="Calibri" w:hAnsi="Calibri"/>
                <w:sz w:val="20"/>
                <w:szCs w:val="20"/>
              </w:rPr>
            </w:pPr>
            <w:r>
              <w:rPr>
                <w:rFonts w:ascii="Calibri" w:hAnsi="Calibri"/>
                <w:sz w:val="20"/>
                <w:szCs w:val="20"/>
              </w:rPr>
              <w:t>51,227,952.37</w:t>
            </w:r>
          </w:p>
        </w:tc>
      </w:tr>
      <w:tr w14:paraId="166D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Borders>
              <w:top w:val="single" w:color="auto" w:sz="4" w:space="0"/>
              <w:left w:val="single" w:color="auto" w:sz="4" w:space="0"/>
              <w:bottom w:val="single" w:color="auto" w:sz="4" w:space="0"/>
              <w:right w:val="single" w:color="auto" w:sz="4" w:space="0"/>
            </w:tcBorders>
            <w:vAlign w:val="center"/>
          </w:tcPr>
          <w:p w14:paraId="68368568">
            <w:pPr>
              <w:pStyle w:val="48"/>
              <w:rPr>
                <w:sz w:val="20"/>
                <w:szCs w:val="20"/>
              </w:rPr>
            </w:pPr>
            <w:r>
              <w:rPr>
                <w:sz w:val="20"/>
                <w:szCs w:val="20"/>
              </w:rPr>
              <w:t>机器设备</w:t>
            </w:r>
          </w:p>
        </w:tc>
        <w:tc>
          <w:tcPr>
            <w:tcW w:w="4895" w:type="dxa"/>
            <w:tcBorders>
              <w:top w:val="single" w:color="auto" w:sz="4" w:space="0"/>
              <w:left w:val="single" w:color="auto" w:sz="4" w:space="0"/>
              <w:bottom w:val="single" w:color="auto" w:sz="4" w:space="0"/>
              <w:right w:val="single" w:color="auto" w:sz="4" w:space="0"/>
            </w:tcBorders>
            <w:vAlign w:val="center"/>
          </w:tcPr>
          <w:p w14:paraId="4EEF2F6E">
            <w:pPr>
              <w:jc w:val="right"/>
              <w:rPr>
                <w:rFonts w:ascii="Calibri" w:hAnsi="Calibri"/>
                <w:sz w:val="20"/>
                <w:szCs w:val="20"/>
              </w:rPr>
            </w:pPr>
            <w:r>
              <w:rPr>
                <w:rFonts w:ascii="Calibri" w:hAnsi="Calibri"/>
                <w:sz w:val="20"/>
                <w:szCs w:val="20"/>
              </w:rPr>
              <w:t>12,739,843.20</w:t>
            </w:r>
          </w:p>
        </w:tc>
      </w:tr>
      <w:tr w14:paraId="7170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Borders>
              <w:top w:val="single" w:color="auto" w:sz="4" w:space="0"/>
              <w:left w:val="single" w:color="auto" w:sz="4" w:space="0"/>
              <w:bottom w:val="single" w:color="auto" w:sz="4" w:space="0"/>
              <w:right w:val="single" w:color="auto" w:sz="4" w:space="0"/>
            </w:tcBorders>
            <w:vAlign w:val="center"/>
          </w:tcPr>
          <w:p w14:paraId="50967781">
            <w:pPr>
              <w:pStyle w:val="48"/>
              <w:rPr>
                <w:sz w:val="20"/>
                <w:szCs w:val="20"/>
              </w:rPr>
            </w:pPr>
            <w:r>
              <w:rPr>
                <w:sz w:val="20"/>
                <w:szCs w:val="20"/>
              </w:rPr>
              <w:t>电子设备</w:t>
            </w:r>
          </w:p>
        </w:tc>
        <w:tc>
          <w:tcPr>
            <w:tcW w:w="4895" w:type="dxa"/>
            <w:tcBorders>
              <w:top w:val="single" w:color="auto" w:sz="4" w:space="0"/>
              <w:left w:val="single" w:color="auto" w:sz="4" w:space="0"/>
              <w:bottom w:val="single" w:color="auto" w:sz="4" w:space="0"/>
              <w:right w:val="single" w:color="auto" w:sz="4" w:space="0"/>
            </w:tcBorders>
            <w:vAlign w:val="center"/>
          </w:tcPr>
          <w:p w14:paraId="61EC5B5F">
            <w:pPr>
              <w:jc w:val="right"/>
              <w:rPr>
                <w:rFonts w:ascii="Calibri" w:hAnsi="Calibri"/>
                <w:sz w:val="20"/>
                <w:szCs w:val="20"/>
              </w:rPr>
            </w:pPr>
            <w:r>
              <w:rPr>
                <w:rFonts w:ascii="Calibri" w:hAnsi="Calibri"/>
                <w:sz w:val="20"/>
                <w:szCs w:val="20"/>
              </w:rPr>
              <w:t>546,853.87</w:t>
            </w:r>
          </w:p>
        </w:tc>
      </w:tr>
      <w:tr w14:paraId="0AE2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Borders>
              <w:top w:val="single" w:color="auto" w:sz="4" w:space="0"/>
              <w:left w:val="single" w:color="auto" w:sz="4" w:space="0"/>
              <w:bottom w:val="single" w:color="auto" w:sz="4" w:space="0"/>
              <w:right w:val="single" w:color="auto" w:sz="4" w:space="0"/>
            </w:tcBorders>
            <w:vAlign w:val="center"/>
          </w:tcPr>
          <w:p w14:paraId="115CDD23">
            <w:pPr>
              <w:pStyle w:val="48"/>
              <w:rPr>
                <w:sz w:val="20"/>
                <w:szCs w:val="20"/>
              </w:rPr>
            </w:pPr>
            <w:r>
              <w:rPr>
                <w:sz w:val="20"/>
                <w:szCs w:val="20"/>
              </w:rPr>
              <w:t>其他设备</w:t>
            </w:r>
          </w:p>
        </w:tc>
        <w:tc>
          <w:tcPr>
            <w:tcW w:w="4895" w:type="dxa"/>
            <w:tcBorders>
              <w:top w:val="single" w:color="auto" w:sz="4" w:space="0"/>
              <w:left w:val="single" w:color="auto" w:sz="4" w:space="0"/>
              <w:bottom w:val="single" w:color="auto" w:sz="4" w:space="0"/>
              <w:right w:val="single" w:color="auto" w:sz="4" w:space="0"/>
            </w:tcBorders>
            <w:vAlign w:val="center"/>
          </w:tcPr>
          <w:p w14:paraId="2CBFD5EA">
            <w:pPr>
              <w:jc w:val="right"/>
              <w:rPr>
                <w:rFonts w:ascii="Calibri" w:hAnsi="Calibri"/>
                <w:sz w:val="20"/>
                <w:szCs w:val="20"/>
              </w:rPr>
            </w:pPr>
            <w:r>
              <w:rPr>
                <w:rFonts w:ascii="Calibri" w:hAnsi="Calibri"/>
                <w:sz w:val="20"/>
                <w:szCs w:val="20"/>
              </w:rPr>
              <w:t>7,858.01</w:t>
            </w:r>
          </w:p>
        </w:tc>
      </w:tr>
      <w:tr w14:paraId="1327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Borders>
              <w:top w:val="single" w:color="auto" w:sz="4" w:space="0"/>
              <w:left w:val="single" w:color="auto" w:sz="4" w:space="0"/>
              <w:bottom w:val="single" w:color="auto" w:sz="4" w:space="0"/>
              <w:right w:val="single" w:color="auto" w:sz="4" w:space="0"/>
            </w:tcBorders>
            <w:vAlign w:val="center"/>
          </w:tcPr>
          <w:p w14:paraId="05A2D0CA">
            <w:pPr>
              <w:pStyle w:val="48"/>
              <w:jc w:val="center"/>
              <w:rPr>
                <w:sz w:val="20"/>
                <w:szCs w:val="20"/>
              </w:rPr>
            </w:pPr>
            <w:r>
              <w:rPr>
                <w:sz w:val="20"/>
                <w:szCs w:val="20"/>
              </w:rPr>
              <w:t>合计</w:t>
            </w:r>
          </w:p>
        </w:tc>
        <w:tc>
          <w:tcPr>
            <w:tcW w:w="4895" w:type="dxa"/>
            <w:tcBorders>
              <w:top w:val="single" w:color="auto" w:sz="4" w:space="0"/>
              <w:left w:val="single" w:color="auto" w:sz="4" w:space="0"/>
              <w:bottom w:val="single" w:color="auto" w:sz="4" w:space="0"/>
              <w:right w:val="single" w:color="auto" w:sz="4" w:space="0"/>
            </w:tcBorders>
            <w:vAlign w:val="center"/>
          </w:tcPr>
          <w:p w14:paraId="1E3633EA">
            <w:pPr>
              <w:jc w:val="right"/>
              <w:rPr>
                <w:rFonts w:ascii="Calibri" w:hAnsi="Calibri"/>
                <w:sz w:val="20"/>
                <w:szCs w:val="20"/>
              </w:rPr>
            </w:pPr>
            <w:r>
              <w:rPr>
                <w:rFonts w:ascii="Calibri" w:hAnsi="Calibri"/>
                <w:sz w:val="20"/>
                <w:szCs w:val="20"/>
              </w:rPr>
              <w:t>64,522,507.45</w:t>
            </w:r>
          </w:p>
        </w:tc>
      </w:tr>
    </w:tbl>
    <w:p w14:paraId="4ED5DF3D"/>
    <w:p w14:paraId="36876C6D">
      <w:pPr>
        <w:pStyle w:val="6"/>
        <w:numPr>
          <w:ilvl w:val="0"/>
          <w:numId w:val="77"/>
        </w:numPr>
        <w:ind w:leftChars="0"/>
      </w:pPr>
      <w:r>
        <w:rPr>
          <w:rFonts w:hint="eastAsia"/>
        </w:rPr>
        <w:t>未办妥产权证书的固定资产情况</w:t>
      </w:r>
    </w:p>
    <w:p w14:paraId="6D6E63C4">
      <w:pPr>
        <w:pStyle w:val="48"/>
      </w:pPr>
      <w:sdt>
        <w:sdtPr>
          <w:alias w:val="是否适用：未办妥产权证书的固定资产情况[双击切换]"/>
          <w:tag w:val="_GBC_46625a97c34c4326af56ee4f005058fb"/>
          <w:id w:val="1449281917"/>
          <w:placeholder>
            <w:docPart w:val="GBC22222222222222222222222222222"/>
          </w:placeholder>
        </w:sdtPr>
        <w:sdtContent>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20F7579D">
      <w:pPr>
        <w:jc w:val="right"/>
      </w:pPr>
      <w:r>
        <w:rPr>
          <w:rFonts w:hint="eastAsia"/>
        </w:rPr>
        <w:t>单位：</w:t>
      </w:r>
      <w:sdt>
        <w:sdtPr>
          <w:rPr>
            <w:rFonts w:hint="eastAsia"/>
          </w:rPr>
          <w:alias w:val="单位：财务附注：未办妥产权证书的固定资产情况"/>
          <w:tag w:val="_GBC_af0b65f779a444509a345fcc235c4e13"/>
          <w:id w:val="-17592112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1179704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8"/>
        <w:gridCol w:w="3042"/>
        <w:gridCol w:w="3058"/>
      </w:tblGrid>
      <w:tr w14:paraId="3159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112d13ed7a04a10bce803acc672660e"/>
            <w:id w:val="1837963463"/>
          </w:sdtPr>
          <w:sdtContent>
            <w:tc>
              <w:tcPr>
                <w:tcW w:w="2948" w:type="dxa"/>
                <w:vAlign w:val="center"/>
              </w:tcPr>
              <w:p w14:paraId="45AA32D5">
                <w:pPr>
                  <w:jc w:val="center"/>
                  <w:rPr>
                    <w:rFonts w:ascii="Calibri" w:hAnsi="Calibri"/>
                    <w:sz w:val="20"/>
                    <w:szCs w:val="20"/>
                  </w:rPr>
                </w:pPr>
                <w:bookmarkStart w:id="302" w:name="_Hlk153460880"/>
                <w:r>
                  <w:rPr>
                    <w:rFonts w:hint="eastAsia" w:ascii="Calibri" w:hAnsi="Calibri"/>
                    <w:sz w:val="20"/>
                    <w:szCs w:val="20"/>
                  </w:rPr>
                  <w:t>项目</w:t>
                </w:r>
              </w:p>
            </w:tc>
          </w:sdtContent>
        </w:sdt>
        <w:sdt>
          <w:sdtPr>
            <w:tag w:val="_PLD_5fca73223de74724a06b56d07c06e26b"/>
            <w:id w:val="-455327137"/>
          </w:sdtPr>
          <w:sdtContent>
            <w:tc>
              <w:tcPr>
                <w:tcW w:w="3042" w:type="dxa"/>
                <w:vAlign w:val="center"/>
              </w:tcPr>
              <w:p w14:paraId="28BD9E9B">
                <w:pPr>
                  <w:jc w:val="center"/>
                  <w:rPr>
                    <w:rFonts w:ascii="Calibri" w:hAnsi="Calibri"/>
                    <w:sz w:val="20"/>
                    <w:szCs w:val="20"/>
                  </w:rPr>
                </w:pPr>
                <w:r>
                  <w:rPr>
                    <w:rFonts w:hint="eastAsia" w:ascii="Calibri" w:hAnsi="Calibri"/>
                    <w:sz w:val="20"/>
                    <w:szCs w:val="20"/>
                  </w:rPr>
                  <w:t>账面价值</w:t>
                </w:r>
              </w:p>
            </w:tc>
          </w:sdtContent>
        </w:sdt>
        <w:sdt>
          <w:sdtPr>
            <w:tag w:val="_PLD_0f07869ee4694758ae54754a2afb45dd"/>
            <w:id w:val="-1884318311"/>
          </w:sdtPr>
          <w:sdtContent>
            <w:tc>
              <w:tcPr>
                <w:tcW w:w="3058" w:type="dxa"/>
                <w:vAlign w:val="center"/>
              </w:tcPr>
              <w:p w14:paraId="12E4CD89">
                <w:pPr>
                  <w:jc w:val="center"/>
                  <w:rPr>
                    <w:rFonts w:ascii="Calibri" w:hAnsi="Calibri"/>
                    <w:sz w:val="20"/>
                    <w:szCs w:val="20"/>
                  </w:rPr>
                </w:pPr>
                <w:r>
                  <w:rPr>
                    <w:rFonts w:hint="eastAsia" w:ascii="Calibri" w:hAnsi="Calibri"/>
                    <w:sz w:val="20"/>
                    <w:szCs w:val="20"/>
                  </w:rPr>
                  <w:t>未办妥产权证书的原因</w:t>
                </w:r>
              </w:p>
            </w:tc>
          </w:sdtContent>
        </w:sdt>
      </w:tr>
      <w:tr w14:paraId="396B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vAlign w:val="center"/>
          </w:tcPr>
          <w:p w14:paraId="1DD9F212">
            <w:pPr>
              <w:pStyle w:val="48"/>
              <w:rPr>
                <w:sz w:val="20"/>
                <w:szCs w:val="20"/>
              </w:rPr>
            </w:pPr>
            <w:r>
              <w:rPr>
                <w:sz w:val="20"/>
                <w:szCs w:val="20"/>
              </w:rPr>
              <w:t>长春东宝药业有限公司综合楼</w:t>
            </w:r>
          </w:p>
        </w:tc>
        <w:tc>
          <w:tcPr>
            <w:tcW w:w="3042" w:type="dxa"/>
            <w:vAlign w:val="center"/>
          </w:tcPr>
          <w:p w14:paraId="71AA1682">
            <w:pPr>
              <w:jc w:val="right"/>
              <w:rPr>
                <w:rFonts w:ascii="Calibri" w:hAnsi="Calibri"/>
                <w:sz w:val="20"/>
                <w:szCs w:val="20"/>
              </w:rPr>
            </w:pPr>
            <w:r>
              <w:rPr>
                <w:rFonts w:ascii="Calibri" w:hAnsi="Calibri"/>
                <w:sz w:val="20"/>
                <w:szCs w:val="20"/>
              </w:rPr>
              <w:t>7,533,312.83</w:t>
            </w:r>
          </w:p>
        </w:tc>
        <w:tc>
          <w:tcPr>
            <w:tcW w:w="3058" w:type="dxa"/>
            <w:vAlign w:val="center"/>
          </w:tcPr>
          <w:p w14:paraId="6E701323">
            <w:pPr>
              <w:pStyle w:val="48"/>
              <w:rPr>
                <w:sz w:val="20"/>
                <w:szCs w:val="20"/>
              </w:rPr>
            </w:pPr>
            <w:r>
              <w:rPr>
                <w:sz w:val="20"/>
                <w:szCs w:val="20"/>
              </w:rPr>
              <w:t>权证事项处理中</w:t>
            </w:r>
          </w:p>
        </w:tc>
      </w:tr>
      <w:tr w14:paraId="23E7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vAlign w:val="center"/>
          </w:tcPr>
          <w:p w14:paraId="4B9A88B4">
            <w:pPr>
              <w:pStyle w:val="48"/>
              <w:rPr>
                <w:sz w:val="20"/>
                <w:szCs w:val="20"/>
              </w:rPr>
            </w:pPr>
            <w:r>
              <w:rPr>
                <w:sz w:val="20"/>
                <w:szCs w:val="20"/>
              </w:rPr>
              <w:t>长春东宝药业有限公司综合车间</w:t>
            </w:r>
          </w:p>
        </w:tc>
        <w:tc>
          <w:tcPr>
            <w:tcW w:w="3042" w:type="dxa"/>
            <w:vAlign w:val="center"/>
          </w:tcPr>
          <w:p w14:paraId="69F58FD3">
            <w:pPr>
              <w:jc w:val="right"/>
              <w:rPr>
                <w:rFonts w:ascii="Calibri" w:hAnsi="Calibri"/>
                <w:sz w:val="20"/>
                <w:szCs w:val="20"/>
              </w:rPr>
            </w:pPr>
            <w:r>
              <w:rPr>
                <w:rFonts w:ascii="Calibri" w:hAnsi="Calibri"/>
                <w:sz w:val="20"/>
                <w:szCs w:val="20"/>
              </w:rPr>
              <w:t>7,529,993.89</w:t>
            </w:r>
          </w:p>
        </w:tc>
        <w:tc>
          <w:tcPr>
            <w:tcW w:w="3058" w:type="dxa"/>
            <w:vAlign w:val="center"/>
          </w:tcPr>
          <w:p w14:paraId="413DCB91">
            <w:pPr>
              <w:pStyle w:val="48"/>
              <w:rPr>
                <w:sz w:val="20"/>
                <w:szCs w:val="20"/>
              </w:rPr>
            </w:pPr>
            <w:r>
              <w:rPr>
                <w:sz w:val="20"/>
                <w:szCs w:val="20"/>
              </w:rPr>
              <w:t>权证事项处理中</w:t>
            </w:r>
          </w:p>
        </w:tc>
      </w:tr>
      <w:tr w14:paraId="347F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vAlign w:val="center"/>
          </w:tcPr>
          <w:p w14:paraId="2CF45C9D">
            <w:pPr>
              <w:pStyle w:val="48"/>
              <w:rPr>
                <w:sz w:val="20"/>
                <w:szCs w:val="20"/>
              </w:rPr>
            </w:pPr>
            <w:r>
              <w:rPr>
                <w:sz w:val="20"/>
                <w:szCs w:val="20"/>
              </w:rPr>
              <w:t>长春东宝药业有限公司动力站</w:t>
            </w:r>
          </w:p>
        </w:tc>
        <w:tc>
          <w:tcPr>
            <w:tcW w:w="3042" w:type="dxa"/>
            <w:vAlign w:val="center"/>
          </w:tcPr>
          <w:p w14:paraId="77054A11">
            <w:pPr>
              <w:jc w:val="right"/>
              <w:rPr>
                <w:rFonts w:ascii="Calibri" w:hAnsi="Calibri"/>
                <w:sz w:val="20"/>
                <w:szCs w:val="20"/>
              </w:rPr>
            </w:pPr>
            <w:r>
              <w:rPr>
                <w:rFonts w:ascii="Calibri" w:hAnsi="Calibri"/>
                <w:sz w:val="20"/>
                <w:szCs w:val="20"/>
              </w:rPr>
              <w:t>784,753.04</w:t>
            </w:r>
          </w:p>
        </w:tc>
        <w:tc>
          <w:tcPr>
            <w:tcW w:w="3058" w:type="dxa"/>
            <w:vAlign w:val="center"/>
          </w:tcPr>
          <w:p w14:paraId="6FB6C72A">
            <w:pPr>
              <w:pStyle w:val="48"/>
              <w:rPr>
                <w:sz w:val="20"/>
                <w:szCs w:val="20"/>
              </w:rPr>
            </w:pPr>
            <w:r>
              <w:rPr>
                <w:sz w:val="20"/>
                <w:szCs w:val="20"/>
              </w:rPr>
              <w:t>权证事项处理中</w:t>
            </w:r>
          </w:p>
        </w:tc>
      </w:tr>
      <w:tr w14:paraId="4985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vAlign w:val="center"/>
          </w:tcPr>
          <w:p w14:paraId="1F86AB1C">
            <w:pPr>
              <w:pStyle w:val="48"/>
              <w:rPr>
                <w:sz w:val="20"/>
                <w:szCs w:val="20"/>
              </w:rPr>
            </w:pPr>
            <w:r>
              <w:rPr>
                <w:sz w:val="20"/>
                <w:szCs w:val="20"/>
              </w:rPr>
              <w:t>长春东宝药业有限公司锅炉房车库</w:t>
            </w:r>
          </w:p>
        </w:tc>
        <w:tc>
          <w:tcPr>
            <w:tcW w:w="3042" w:type="dxa"/>
            <w:vAlign w:val="center"/>
          </w:tcPr>
          <w:p w14:paraId="1FCD1F5C">
            <w:pPr>
              <w:jc w:val="right"/>
              <w:rPr>
                <w:rFonts w:ascii="Calibri" w:hAnsi="Calibri"/>
                <w:sz w:val="20"/>
                <w:szCs w:val="20"/>
              </w:rPr>
            </w:pPr>
            <w:r>
              <w:rPr>
                <w:rFonts w:ascii="Calibri" w:hAnsi="Calibri"/>
                <w:sz w:val="20"/>
                <w:szCs w:val="20"/>
              </w:rPr>
              <w:t>681,813.68</w:t>
            </w:r>
          </w:p>
        </w:tc>
        <w:tc>
          <w:tcPr>
            <w:tcW w:w="3058" w:type="dxa"/>
            <w:vAlign w:val="center"/>
          </w:tcPr>
          <w:p w14:paraId="7DF42E16">
            <w:pPr>
              <w:pStyle w:val="48"/>
              <w:rPr>
                <w:sz w:val="20"/>
                <w:szCs w:val="20"/>
              </w:rPr>
            </w:pPr>
            <w:r>
              <w:rPr>
                <w:sz w:val="20"/>
                <w:szCs w:val="20"/>
              </w:rPr>
              <w:t>权证事项处理中</w:t>
            </w:r>
          </w:p>
        </w:tc>
      </w:tr>
      <w:tr w14:paraId="6616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vAlign w:val="center"/>
          </w:tcPr>
          <w:p w14:paraId="3145D4B3">
            <w:pPr>
              <w:pStyle w:val="48"/>
              <w:rPr>
                <w:sz w:val="20"/>
                <w:szCs w:val="20"/>
              </w:rPr>
            </w:pPr>
            <w:r>
              <w:rPr>
                <w:sz w:val="20"/>
                <w:szCs w:val="20"/>
              </w:rPr>
              <w:t>长春东宝药业有限公司门卫</w:t>
            </w:r>
          </w:p>
        </w:tc>
        <w:tc>
          <w:tcPr>
            <w:tcW w:w="3042" w:type="dxa"/>
            <w:vAlign w:val="center"/>
          </w:tcPr>
          <w:p w14:paraId="70E4BE6F">
            <w:pPr>
              <w:jc w:val="right"/>
              <w:rPr>
                <w:rFonts w:ascii="Calibri" w:hAnsi="Calibri"/>
                <w:sz w:val="20"/>
                <w:szCs w:val="20"/>
              </w:rPr>
            </w:pPr>
            <w:r>
              <w:rPr>
                <w:rFonts w:ascii="Calibri" w:hAnsi="Calibri"/>
                <w:sz w:val="20"/>
                <w:szCs w:val="20"/>
              </w:rPr>
              <w:t>211,113.61</w:t>
            </w:r>
          </w:p>
        </w:tc>
        <w:tc>
          <w:tcPr>
            <w:tcW w:w="3058" w:type="dxa"/>
            <w:vAlign w:val="center"/>
          </w:tcPr>
          <w:p w14:paraId="2323C8F9">
            <w:pPr>
              <w:pStyle w:val="48"/>
              <w:rPr>
                <w:sz w:val="20"/>
                <w:szCs w:val="20"/>
              </w:rPr>
            </w:pPr>
            <w:r>
              <w:rPr>
                <w:sz w:val="20"/>
                <w:szCs w:val="20"/>
              </w:rPr>
              <w:t>权证事项处理中</w:t>
            </w:r>
          </w:p>
        </w:tc>
      </w:tr>
      <w:tr w14:paraId="7A47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vAlign w:val="center"/>
          </w:tcPr>
          <w:p w14:paraId="637FFBEC">
            <w:pPr>
              <w:pStyle w:val="48"/>
              <w:jc w:val="center"/>
              <w:rPr>
                <w:sz w:val="20"/>
                <w:szCs w:val="20"/>
              </w:rPr>
            </w:pPr>
            <w:r>
              <w:rPr>
                <w:sz w:val="20"/>
                <w:szCs w:val="20"/>
              </w:rPr>
              <w:t>合计</w:t>
            </w:r>
          </w:p>
        </w:tc>
        <w:tc>
          <w:tcPr>
            <w:tcW w:w="3042" w:type="dxa"/>
            <w:vAlign w:val="center"/>
          </w:tcPr>
          <w:p w14:paraId="3581257C">
            <w:pPr>
              <w:jc w:val="right"/>
              <w:rPr>
                <w:rFonts w:ascii="Calibri" w:hAnsi="Calibri"/>
                <w:sz w:val="20"/>
                <w:szCs w:val="20"/>
              </w:rPr>
            </w:pPr>
            <w:r>
              <w:rPr>
                <w:rFonts w:ascii="Calibri" w:hAnsi="Calibri"/>
                <w:sz w:val="20"/>
                <w:szCs w:val="20"/>
              </w:rPr>
              <w:t>16,740,987.05</w:t>
            </w:r>
          </w:p>
        </w:tc>
        <w:tc>
          <w:tcPr>
            <w:tcW w:w="3058" w:type="dxa"/>
            <w:vAlign w:val="center"/>
          </w:tcPr>
          <w:p w14:paraId="14201149">
            <w:pPr>
              <w:pStyle w:val="48"/>
              <w:rPr>
                <w:sz w:val="20"/>
                <w:szCs w:val="20"/>
              </w:rPr>
            </w:pPr>
          </w:p>
        </w:tc>
      </w:tr>
    </w:tbl>
    <w:p w14:paraId="355A7F32"/>
    <w:p w14:paraId="6475A681">
      <w:pPr>
        <w:pStyle w:val="6"/>
        <w:numPr>
          <w:ilvl w:val="0"/>
          <w:numId w:val="77"/>
        </w:numPr>
        <w:ind w:leftChars="0"/>
      </w:pPr>
      <w:r>
        <w:rPr>
          <w:rFonts w:hint="eastAsia"/>
        </w:rPr>
        <w:t>固定资产的减值测试情况</w:t>
      </w:r>
    </w:p>
    <w:sdt>
      <w:sdtPr>
        <w:alias w:val="是否适用：减值测试情况[双击切换]"/>
        <w:tag w:val="_GBC_d1f21a00be1347f697689e4105263cab"/>
        <w:id w:val="-44219337"/>
        <w:placeholder>
          <w:docPart w:val="GBC22222222222222222222222222222"/>
        </w:placeholder>
      </w:sdtPr>
      <w:sdtContent>
        <w:p w14:paraId="01E12D5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F033F28">
      <w:pPr>
        <w:pStyle w:val="48"/>
      </w:pPr>
    </w:p>
    <w:p w14:paraId="5325B998">
      <w:pPr>
        <w:snapToGrid w:val="0"/>
        <w:spacing w:line="240" w:lineRule="atLeast"/>
      </w:pPr>
    </w:p>
    <w:bookmarkEnd w:id="302"/>
    <w:p w14:paraId="3E946E2E">
      <w:pPr>
        <w:pStyle w:val="48"/>
      </w:pPr>
      <w:r>
        <w:rPr>
          <w:rFonts w:hint="eastAsia"/>
        </w:rPr>
        <w:t>其他说明：</w:t>
      </w:r>
    </w:p>
    <w:sdt>
      <w:sdtPr>
        <w:alias w:val="是否适用：固定资产的说明[双击切换]"/>
        <w:tag w:val="_GBC_a7ec4df8fd354d7d9980e0f731a85e12"/>
        <w:id w:val="1498536494"/>
        <w:placeholder>
          <w:docPart w:val="GBC22222222222222222222222222222"/>
        </w:placeholder>
      </w:sdtPr>
      <w:sdtContent>
        <w:p w14:paraId="0429C1A9">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D370990">
      <w:pPr>
        <w:pStyle w:val="48"/>
      </w:pPr>
    </w:p>
    <w:p w14:paraId="5A06875F">
      <w:pPr>
        <w:pStyle w:val="5"/>
        <w:ind w:left="360" w:hanging="360"/>
      </w:pPr>
      <w:r>
        <w:rPr>
          <w:rFonts w:hint="eastAsia"/>
        </w:rPr>
        <w:t>固定资产清理</w:t>
      </w:r>
    </w:p>
    <w:sdt>
      <w:sdtPr>
        <w:alias w:val="是否适用：固定资产清理[双击切换]"/>
        <w:tag w:val="_GBC_e3c92a1042004e36882d16145109bd0e"/>
        <w:id w:val="65918924"/>
        <w:placeholder>
          <w:docPart w:val="GBC22222222222222222222222222222"/>
        </w:placeholder>
      </w:sdtPr>
      <w:sdtContent>
        <w:p w14:paraId="61BE2B4D">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B641820">
      <w:pPr>
        <w:jc w:val="right"/>
      </w:pPr>
      <w:r>
        <w:rPr>
          <w:rFonts w:hint="eastAsia"/>
        </w:rPr>
        <w:t>单位：</w:t>
      </w:r>
      <w:sdt>
        <w:sdtPr>
          <w:rPr>
            <w:rFonts w:hint="eastAsia"/>
          </w:rPr>
          <w:alias w:val="单位：财务附注：固定资产清理"/>
          <w:tag w:val="_GBC_dd9fac0435e34162af7691578328c197"/>
          <w:id w:val="4368834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固定资产清理"/>
          <w:tag w:val="_GBC_0a3f7129159d46aa90131f740f7a333d"/>
          <w:id w:val="-1733365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2471"/>
        <w:gridCol w:w="3382"/>
        <w:gridCol w:w="3205"/>
      </w:tblGrid>
      <w:tr w14:paraId="0D42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72ed8e60b9b44aee824af33d3a0e1e45"/>
            <w:id w:val="-313104873"/>
          </w:sdtPr>
          <w:sdtContent>
            <w:tc>
              <w:tcPr>
                <w:tcW w:w="2471" w:type="dxa"/>
                <w:vAlign w:val="center"/>
              </w:tcPr>
              <w:p w14:paraId="1FA0D279">
                <w:pPr>
                  <w:jc w:val="center"/>
                  <w:rPr>
                    <w:rFonts w:ascii="Calibri" w:hAnsi="Calibri"/>
                    <w:sz w:val="20"/>
                    <w:szCs w:val="20"/>
                  </w:rPr>
                </w:pPr>
                <w:r>
                  <w:rPr>
                    <w:rFonts w:hint="eastAsia" w:ascii="Calibri" w:hAnsi="Calibri"/>
                    <w:sz w:val="20"/>
                    <w:szCs w:val="20"/>
                  </w:rPr>
                  <w:t>项目</w:t>
                </w:r>
              </w:p>
            </w:tc>
          </w:sdtContent>
        </w:sdt>
        <w:sdt>
          <w:sdtPr>
            <w:tag w:val="_PLD_5116ba95ffe94c9abd82d232062969bb"/>
            <w:id w:val="-904074709"/>
          </w:sdtPr>
          <w:sdtContent>
            <w:tc>
              <w:tcPr>
                <w:tcW w:w="3382" w:type="dxa"/>
                <w:vAlign w:val="center"/>
              </w:tcPr>
              <w:p w14:paraId="5E3FC073">
                <w:pPr>
                  <w:jc w:val="center"/>
                  <w:rPr>
                    <w:rFonts w:ascii="Calibri" w:hAnsi="Calibri"/>
                    <w:sz w:val="20"/>
                    <w:szCs w:val="20"/>
                  </w:rPr>
                </w:pPr>
                <w:r>
                  <w:rPr>
                    <w:rFonts w:hint="eastAsia" w:ascii="Calibri" w:hAnsi="Calibri"/>
                    <w:sz w:val="20"/>
                    <w:szCs w:val="20"/>
                  </w:rPr>
                  <w:t>期末余额</w:t>
                </w:r>
              </w:p>
            </w:tc>
          </w:sdtContent>
        </w:sdt>
        <w:sdt>
          <w:sdtPr>
            <w:tag w:val="_PLD_27fd89dc7db94a19a2bd7ad6296eabf8"/>
            <w:id w:val="-605578429"/>
          </w:sdtPr>
          <w:sdtContent>
            <w:tc>
              <w:tcPr>
                <w:tcW w:w="3205" w:type="dxa"/>
                <w:vAlign w:val="center"/>
              </w:tcPr>
              <w:p w14:paraId="063C0AE3">
                <w:pPr>
                  <w:jc w:val="center"/>
                  <w:rPr>
                    <w:rFonts w:ascii="Calibri" w:hAnsi="Calibri"/>
                    <w:sz w:val="20"/>
                    <w:szCs w:val="20"/>
                  </w:rPr>
                </w:pPr>
                <w:r>
                  <w:rPr>
                    <w:rFonts w:hint="eastAsia" w:ascii="Calibri" w:hAnsi="Calibri"/>
                    <w:sz w:val="20"/>
                    <w:szCs w:val="20"/>
                  </w:rPr>
                  <w:t>期初余额</w:t>
                </w:r>
              </w:p>
            </w:tc>
          </w:sdtContent>
        </w:sdt>
      </w:tr>
      <w:tr w14:paraId="1C93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71" w:type="dxa"/>
            <w:vAlign w:val="center"/>
          </w:tcPr>
          <w:p w14:paraId="400A241D">
            <w:pPr>
              <w:pStyle w:val="48"/>
              <w:rPr>
                <w:sz w:val="20"/>
                <w:szCs w:val="20"/>
              </w:rPr>
            </w:pPr>
            <w:r>
              <w:rPr>
                <w:sz w:val="20"/>
                <w:szCs w:val="20"/>
              </w:rPr>
              <w:t>进口多功能离心机</w:t>
            </w:r>
          </w:p>
        </w:tc>
        <w:tc>
          <w:tcPr>
            <w:tcW w:w="3382" w:type="dxa"/>
            <w:vAlign w:val="center"/>
          </w:tcPr>
          <w:p w14:paraId="3E9D8BDD">
            <w:pPr>
              <w:jc w:val="right"/>
              <w:rPr>
                <w:rFonts w:ascii="Calibri" w:hAnsi="Calibri"/>
                <w:sz w:val="20"/>
                <w:szCs w:val="20"/>
              </w:rPr>
            </w:pPr>
            <w:r>
              <w:rPr>
                <w:rFonts w:ascii="Calibri" w:hAnsi="Calibri"/>
                <w:sz w:val="20"/>
                <w:szCs w:val="20"/>
              </w:rPr>
              <w:t>196,663.92</w:t>
            </w:r>
          </w:p>
        </w:tc>
        <w:tc>
          <w:tcPr>
            <w:tcW w:w="3205" w:type="dxa"/>
            <w:vAlign w:val="center"/>
          </w:tcPr>
          <w:p w14:paraId="5E35AE26">
            <w:pPr>
              <w:jc w:val="right"/>
              <w:rPr>
                <w:rFonts w:ascii="Calibri" w:hAnsi="Calibri"/>
                <w:sz w:val="20"/>
                <w:szCs w:val="20"/>
              </w:rPr>
            </w:pPr>
          </w:p>
        </w:tc>
      </w:tr>
      <w:tr w14:paraId="0E08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71" w:type="dxa"/>
            <w:vAlign w:val="center"/>
          </w:tcPr>
          <w:p w14:paraId="1E9D7124">
            <w:pPr>
              <w:pStyle w:val="48"/>
              <w:rPr>
                <w:sz w:val="20"/>
                <w:szCs w:val="20"/>
              </w:rPr>
            </w:pPr>
            <w:r>
              <w:rPr>
                <w:sz w:val="20"/>
                <w:szCs w:val="20"/>
              </w:rPr>
              <w:t>其他</w:t>
            </w:r>
          </w:p>
        </w:tc>
        <w:tc>
          <w:tcPr>
            <w:tcW w:w="3382" w:type="dxa"/>
            <w:vAlign w:val="center"/>
          </w:tcPr>
          <w:p w14:paraId="62EF8348">
            <w:pPr>
              <w:jc w:val="right"/>
              <w:rPr>
                <w:rFonts w:ascii="Calibri" w:hAnsi="Calibri"/>
                <w:sz w:val="20"/>
                <w:szCs w:val="20"/>
              </w:rPr>
            </w:pPr>
            <w:r>
              <w:rPr>
                <w:rFonts w:ascii="Calibri" w:hAnsi="Calibri"/>
                <w:sz w:val="20"/>
                <w:szCs w:val="20"/>
              </w:rPr>
              <w:t>65,659.54</w:t>
            </w:r>
          </w:p>
        </w:tc>
        <w:tc>
          <w:tcPr>
            <w:tcW w:w="3205" w:type="dxa"/>
            <w:vAlign w:val="center"/>
          </w:tcPr>
          <w:p w14:paraId="1D498DD7">
            <w:pPr>
              <w:jc w:val="right"/>
              <w:rPr>
                <w:rFonts w:ascii="Calibri" w:hAnsi="Calibri"/>
                <w:sz w:val="20"/>
                <w:szCs w:val="20"/>
              </w:rPr>
            </w:pPr>
          </w:p>
        </w:tc>
      </w:tr>
      <w:tr w14:paraId="7700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471" w:type="dxa"/>
            <w:vAlign w:val="center"/>
          </w:tcPr>
          <w:p w14:paraId="3E68846C">
            <w:pPr>
              <w:jc w:val="center"/>
              <w:rPr>
                <w:rFonts w:ascii="Calibri" w:hAnsi="Calibri"/>
                <w:sz w:val="20"/>
                <w:szCs w:val="20"/>
              </w:rPr>
            </w:pPr>
            <w:r>
              <w:rPr>
                <w:rFonts w:hint="eastAsia" w:ascii="Calibri" w:hAnsi="Calibri"/>
                <w:sz w:val="20"/>
                <w:szCs w:val="20"/>
              </w:rPr>
              <w:t>合计</w:t>
            </w:r>
          </w:p>
        </w:tc>
        <w:tc>
          <w:tcPr>
            <w:tcW w:w="3382" w:type="dxa"/>
            <w:vAlign w:val="center"/>
          </w:tcPr>
          <w:p w14:paraId="21A25A9A">
            <w:pPr>
              <w:jc w:val="right"/>
              <w:rPr>
                <w:rFonts w:ascii="Calibri" w:hAnsi="Calibri"/>
                <w:sz w:val="20"/>
                <w:szCs w:val="20"/>
              </w:rPr>
            </w:pPr>
            <w:r>
              <w:rPr>
                <w:rFonts w:ascii="Calibri" w:hAnsi="Calibri"/>
                <w:sz w:val="20"/>
                <w:szCs w:val="20"/>
              </w:rPr>
              <w:t>262,323.46</w:t>
            </w:r>
          </w:p>
        </w:tc>
        <w:tc>
          <w:tcPr>
            <w:tcW w:w="3205" w:type="dxa"/>
            <w:vAlign w:val="center"/>
          </w:tcPr>
          <w:p w14:paraId="00C333AC">
            <w:pPr>
              <w:jc w:val="right"/>
              <w:rPr>
                <w:rFonts w:ascii="Calibri" w:hAnsi="Calibri"/>
                <w:sz w:val="20"/>
                <w:szCs w:val="20"/>
              </w:rPr>
            </w:pPr>
          </w:p>
        </w:tc>
      </w:tr>
    </w:tbl>
    <w:p w14:paraId="62D5510F"/>
    <w:p w14:paraId="44A324BF">
      <w:pPr>
        <w:pStyle w:val="48"/>
      </w:pPr>
    </w:p>
    <w:p w14:paraId="584AC017">
      <w:pPr>
        <w:pStyle w:val="4"/>
        <w:numPr>
          <w:ilvl w:val="0"/>
          <w:numId w:val="61"/>
        </w:numPr>
        <w:rPr>
          <w:szCs w:val="21"/>
        </w:rPr>
      </w:pPr>
      <w:r>
        <w:rPr>
          <w:szCs w:val="21"/>
        </w:rPr>
        <w:t>在建工程</w:t>
      </w:r>
    </w:p>
    <w:p w14:paraId="1993BAF0">
      <w:pPr>
        <w:pStyle w:val="5"/>
        <w:rPr>
          <w:rFonts w:ascii="宋体" w:hAnsi="宋体"/>
          <w:szCs w:val="21"/>
        </w:rPr>
      </w:pPr>
      <w:bookmarkStart w:id="303" w:name="_Hlk532914352"/>
      <w:r>
        <w:rPr>
          <w:rFonts w:hint="eastAsia"/>
        </w:rPr>
        <w:t>项目列示</w:t>
      </w:r>
    </w:p>
    <w:sdt>
      <w:sdtPr>
        <w:alias w:val="是否适用：在建工程分类列示[双击切换]"/>
        <w:tag w:val="_GBC_c1e2db0ea96a470497d3e7b3545f11ff"/>
        <w:id w:val="1063527025"/>
        <w:placeholder>
          <w:docPart w:val="GBC22222222222222222222222222222"/>
        </w:placeholder>
      </w:sdtPr>
      <w:sdtContent>
        <w:p w14:paraId="2443C74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F3CAD7">
      <w:pPr>
        <w:jc w:val="right"/>
      </w:pPr>
      <w:r>
        <w:rPr>
          <w:rFonts w:hint="eastAsia"/>
        </w:rPr>
        <w:t>单位：</w:t>
      </w:r>
      <w:sdt>
        <w:sdtPr>
          <w:rPr>
            <w:rFonts w:hint="eastAsia"/>
          </w:rPr>
          <w:alias w:val="单位：在建工程分类列示"/>
          <w:tag w:val="_GBC_c3fc0d9041a1447580d30c51269288ae"/>
          <w:id w:val="-14358182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在建工程分类列示"/>
          <w:tag w:val="_GBC_1bdb2a3deae044179993a80635469bb5"/>
          <w:id w:val="-18050776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196"/>
        <w:gridCol w:w="2938"/>
        <w:gridCol w:w="2924"/>
      </w:tblGrid>
      <w:tr w14:paraId="1022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3fac3cdac65475ca8ba6bb772e3b841"/>
            <w:id w:val="1281766205"/>
          </w:sdtPr>
          <w:sdtContent>
            <w:tc>
              <w:tcPr>
                <w:tcW w:w="3196" w:type="dxa"/>
                <w:vAlign w:val="center"/>
              </w:tcPr>
              <w:p w14:paraId="48EE814C">
                <w:pPr>
                  <w:jc w:val="center"/>
                  <w:rPr>
                    <w:rFonts w:ascii="Calibri" w:hAnsi="Calibri"/>
                    <w:sz w:val="20"/>
                    <w:szCs w:val="20"/>
                  </w:rPr>
                </w:pPr>
                <w:r>
                  <w:rPr>
                    <w:rFonts w:hint="eastAsia" w:ascii="Calibri" w:hAnsi="Calibri"/>
                    <w:sz w:val="20"/>
                    <w:szCs w:val="20"/>
                  </w:rPr>
                  <w:t>项目</w:t>
                </w:r>
              </w:p>
            </w:tc>
          </w:sdtContent>
        </w:sdt>
        <w:sdt>
          <w:sdtPr>
            <w:tag w:val="_PLD_4e98919cdcd84191b541b2ee895e77bf"/>
            <w:id w:val="-228619663"/>
          </w:sdtPr>
          <w:sdtContent>
            <w:tc>
              <w:tcPr>
                <w:tcW w:w="2938" w:type="dxa"/>
                <w:vAlign w:val="center"/>
              </w:tcPr>
              <w:p w14:paraId="154A4F6A">
                <w:pPr>
                  <w:jc w:val="center"/>
                  <w:rPr>
                    <w:rFonts w:ascii="Calibri" w:hAnsi="Calibri"/>
                    <w:sz w:val="20"/>
                    <w:szCs w:val="20"/>
                  </w:rPr>
                </w:pPr>
                <w:r>
                  <w:rPr>
                    <w:rFonts w:hint="eastAsia" w:ascii="Calibri" w:hAnsi="Calibri"/>
                    <w:sz w:val="20"/>
                    <w:szCs w:val="20"/>
                  </w:rPr>
                  <w:t>期末余额</w:t>
                </w:r>
              </w:p>
            </w:tc>
          </w:sdtContent>
        </w:sdt>
        <w:sdt>
          <w:sdtPr>
            <w:tag w:val="_PLD_4ce0928269bc47149a98320193bd0b0a"/>
            <w:id w:val="1872263121"/>
          </w:sdtPr>
          <w:sdtContent>
            <w:tc>
              <w:tcPr>
                <w:tcW w:w="2924" w:type="dxa"/>
                <w:vAlign w:val="center"/>
              </w:tcPr>
              <w:p w14:paraId="1C40908B">
                <w:pPr>
                  <w:jc w:val="center"/>
                  <w:rPr>
                    <w:rFonts w:ascii="Calibri" w:hAnsi="Calibri"/>
                    <w:sz w:val="20"/>
                    <w:szCs w:val="20"/>
                  </w:rPr>
                </w:pPr>
                <w:r>
                  <w:rPr>
                    <w:rFonts w:hint="eastAsia" w:ascii="Calibri" w:hAnsi="Calibri"/>
                    <w:sz w:val="20"/>
                    <w:szCs w:val="20"/>
                  </w:rPr>
                  <w:t>期初余额</w:t>
                </w:r>
              </w:p>
            </w:tc>
          </w:sdtContent>
        </w:sdt>
      </w:tr>
      <w:tr w14:paraId="5D7B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196" w:type="dxa"/>
            <w:vAlign w:val="center"/>
          </w:tcPr>
          <w:p w14:paraId="3997D9CE">
            <w:pPr>
              <w:tabs>
                <w:tab w:val="right" w:pos="3690"/>
                <w:tab w:val="right" w:pos="5130"/>
                <w:tab w:val="right" w:pos="6030"/>
                <w:tab w:val="right" w:pos="7650"/>
                <w:tab w:val="right" w:pos="9270"/>
              </w:tabs>
              <w:adjustRightInd w:val="0"/>
              <w:snapToGrid w:val="0"/>
              <w:rPr>
                <w:rFonts w:ascii="Calibri" w:hAnsi="Calibri"/>
                <w:sz w:val="20"/>
                <w:szCs w:val="20"/>
              </w:rPr>
            </w:pPr>
            <w:r>
              <w:rPr>
                <w:rFonts w:hint="eastAsia" w:ascii="Calibri" w:hAnsi="Calibri"/>
                <w:sz w:val="20"/>
                <w:szCs w:val="20"/>
              </w:rPr>
              <w:t>在建工程</w:t>
            </w:r>
          </w:p>
        </w:tc>
        <w:tc>
          <w:tcPr>
            <w:tcW w:w="2938" w:type="dxa"/>
            <w:vAlign w:val="center"/>
          </w:tcPr>
          <w:p w14:paraId="731EEEF7">
            <w:pPr>
              <w:ind w:right="5"/>
              <w:jc w:val="right"/>
              <w:rPr>
                <w:rFonts w:ascii="Calibri" w:hAnsi="Calibri"/>
                <w:sz w:val="20"/>
                <w:szCs w:val="20"/>
              </w:rPr>
            </w:pPr>
            <w:r>
              <w:rPr>
                <w:rFonts w:ascii="Calibri" w:hAnsi="Calibri"/>
                <w:sz w:val="20"/>
                <w:szCs w:val="20"/>
              </w:rPr>
              <w:t>169,504,027.65</w:t>
            </w:r>
          </w:p>
        </w:tc>
        <w:tc>
          <w:tcPr>
            <w:tcW w:w="2924" w:type="dxa"/>
            <w:vAlign w:val="center"/>
          </w:tcPr>
          <w:p w14:paraId="1DCA1ED2">
            <w:pPr>
              <w:ind w:right="5"/>
              <w:jc w:val="right"/>
              <w:rPr>
                <w:rFonts w:ascii="Calibri" w:hAnsi="Calibri"/>
                <w:sz w:val="20"/>
                <w:szCs w:val="20"/>
              </w:rPr>
            </w:pPr>
            <w:r>
              <w:rPr>
                <w:rFonts w:ascii="Calibri" w:hAnsi="Calibri"/>
                <w:sz w:val="20"/>
                <w:szCs w:val="20"/>
              </w:rPr>
              <w:t>226,112,962.99</w:t>
            </w:r>
          </w:p>
        </w:tc>
      </w:tr>
      <w:tr w14:paraId="79B8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196" w:type="dxa"/>
            <w:vAlign w:val="center"/>
          </w:tcPr>
          <w:p w14:paraId="3E8BC17D">
            <w:pPr>
              <w:tabs>
                <w:tab w:val="right" w:pos="3690"/>
                <w:tab w:val="right" w:pos="5130"/>
                <w:tab w:val="right" w:pos="6030"/>
                <w:tab w:val="right" w:pos="7650"/>
                <w:tab w:val="right" w:pos="9270"/>
              </w:tabs>
              <w:adjustRightInd w:val="0"/>
              <w:snapToGrid w:val="0"/>
              <w:rPr>
                <w:rFonts w:ascii="Calibri" w:hAnsi="Calibri"/>
                <w:sz w:val="20"/>
                <w:szCs w:val="20"/>
              </w:rPr>
            </w:pPr>
            <w:r>
              <w:rPr>
                <w:rFonts w:hint="eastAsia" w:ascii="Calibri" w:hAnsi="Calibri"/>
                <w:sz w:val="20"/>
                <w:szCs w:val="20"/>
              </w:rPr>
              <w:t>工程物资</w:t>
            </w:r>
          </w:p>
        </w:tc>
        <w:tc>
          <w:tcPr>
            <w:tcW w:w="2938" w:type="dxa"/>
            <w:vAlign w:val="center"/>
          </w:tcPr>
          <w:p w14:paraId="2A85DE40">
            <w:pPr>
              <w:ind w:right="5"/>
              <w:jc w:val="right"/>
              <w:rPr>
                <w:rFonts w:ascii="Calibri" w:hAnsi="Calibri"/>
                <w:sz w:val="20"/>
                <w:szCs w:val="20"/>
              </w:rPr>
            </w:pPr>
          </w:p>
        </w:tc>
        <w:tc>
          <w:tcPr>
            <w:tcW w:w="2924" w:type="dxa"/>
            <w:vAlign w:val="center"/>
          </w:tcPr>
          <w:p w14:paraId="3DFF23BF">
            <w:pPr>
              <w:ind w:right="5"/>
              <w:jc w:val="right"/>
              <w:rPr>
                <w:rFonts w:ascii="Calibri" w:hAnsi="Calibri"/>
                <w:sz w:val="20"/>
                <w:szCs w:val="20"/>
              </w:rPr>
            </w:pPr>
          </w:p>
        </w:tc>
      </w:tr>
      <w:tr w14:paraId="0451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196" w:type="dxa"/>
            <w:vAlign w:val="center"/>
          </w:tcPr>
          <w:p w14:paraId="559A057F">
            <w:pPr>
              <w:autoSpaceDE w:val="0"/>
              <w:autoSpaceDN w:val="0"/>
              <w:adjustRightInd w:val="0"/>
              <w:jc w:val="center"/>
              <w:rPr>
                <w:rFonts w:ascii="Calibri" w:hAnsi="Calibri"/>
                <w:sz w:val="20"/>
                <w:szCs w:val="20"/>
              </w:rPr>
            </w:pPr>
            <w:r>
              <w:rPr>
                <w:rFonts w:hint="eastAsia" w:ascii="Calibri" w:hAnsi="Calibri"/>
                <w:sz w:val="20"/>
                <w:szCs w:val="20"/>
              </w:rPr>
              <w:t>合计</w:t>
            </w:r>
          </w:p>
        </w:tc>
        <w:tc>
          <w:tcPr>
            <w:tcW w:w="2938" w:type="dxa"/>
            <w:vAlign w:val="center"/>
          </w:tcPr>
          <w:p w14:paraId="19147F2B">
            <w:pPr>
              <w:jc w:val="right"/>
              <w:rPr>
                <w:rFonts w:ascii="Calibri" w:hAnsi="Calibri"/>
                <w:sz w:val="20"/>
                <w:szCs w:val="20"/>
              </w:rPr>
            </w:pPr>
            <w:r>
              <w:rPr>
                <w:rFonts w:ascii="Calibri" w:hAnsi="Calibri"/>
                <w:sz w:val="20"/>
                <w:szCs w:val="20"/>
              </w:rPr>
              <w:t>169,504,027.65</w:t>
            </w:r>
          </w:p>
        </w:tc>
        <w:tc>
          <w:tcPr>
            <w:tcW w:w="2924" w:type="dxa"/>
            <w:vAlign w:val="center"/>
          </w:tcPr>
          <w:p w14:paraId="1B13F3CC">
            <w:pPr>
              <w:ind w:right="5"/>
              <w:jc w:val="right"/>
              <w:rPr>
                <w:rFonts w:ascii="Calibri" w:hAnsi="Calibri"/>
                <w:sz w:val="20"/>
                <w:szCs w:val="20"/>
              </w:rPr>
            </w:pPr>
            <w:r>
              <w:rPr>
                <w:rFonts w:ascii="Calibri" w:hAnsi="Calibri"/>
                <w:sz w:val="20"/>
                <w:szCs w:val="20"/>
              </w:rPr>
              <w:t>226,112,962.99</w:t>
            </w:r>
          </w:p>
        </w:tc>
      </w:tr>
    </w:tbl>
    <w:p w14:paraId="347B80CA">
      <w:pPr>
        <w:pStyle w:val="48"/>
      </w:pPr>
    </w:p>
    <w:bookmarkEnd w:id="303"/>
    <w:p w14:paraId="019270AE">
      <w:pPr>
        <w:pStyle w:val="48"/>
      </w:pPr>
      <w:bookmarkStart w:id="304" w:name="_Hlk532915382"/>
      <w:r>
        <w:rPr>
          <w:rFonts w:hint="eastAsia"/>
        </w:rPr>
        <w:t>其他说明：</w:t>
      </w:r>
    </w:p>
    <w:sdt>
      <w:sdtPr>
        <w:alias w:val="是否适用：在建工程分类列示其他说明[双击切换]"/>
        <w:tag w:val="_GBC_97da24841dd24220bc5206311fc28039"/>
        <w:id w:val="-238399795"/>
        <w:placeholder>
          <w:docPart w:val="GBC22222222222222222222222222222"/>
        </w:placeholder>
      </w:sdtPr>
      <w:sdtContent>
        <w:p w14:paraId="330888D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04"/>
    <w:p w14:paraId="766318A2">
      <w:pPr>
        <w:pStyle w:val="48"/>
      </w:pPr>
    </w:p>
    <w:p w14:paraId="356BD3C6">
      <w:pPr>
        <w:pStyle w:val="5"/>
        <w:ind w:left="360" w:hanging="360"/>
      </w:pPr>
      <w:r>
        <w:rPr>
          <w:rFonts w:hint="eastAsia"/>
        </w:rPr>
        <w:t>在建工程</w:t>
      </w:r>
    </w:p>
    <w:p w14:paraId="08099342">
      <w:pPr>
        <w:pStyle w:val="6"/>
        <w:numPr>
          <w:ilvl w:val="0"/>
          <w:numId w:val="78"/>
        </w:numPr>
        <w:ind w:leftChars="0"/>
      </w:pPr>
      <w:r>
        <w:rPr>
          <w:rFonts w:hint="eastAsia"/>
        </w:rPr>
        <w:t>在建工程情况</w:t>
      </w:r>
    </w:p>
    <w:sdt>
      <w:sdtPr>
        <w:alias w:val="是否适用：在建工程情况[双击切换]"/>
        <w:tag w:val="_GBC_3d1e0f4f19d8472c9f5250b0ba025185"/>
        <w:id w:val="-932042560"/>
        <w:placeholder>
          <w:docPart w:val="GBC22222222222222222222222222222"/>
        </w:placeholder>
      </w:sdtPr>
      <w:sdtContent>
        <w:p w14:paraId="71BE3C5A">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EB2C6E4">
      <w:pPr>
        <w:jc w:val="right"/>
      </w:pPr>
      <w:r>
        <w:rPr>
          <w:rFonts w:hint="eastAsia"/>
        </w:rPr>
        <w:t>单位：</w:t>
      </w:r>
      <w:sdt>
        <w:sdtPr>
          <w:rPr>
            <w:rFonts w:hint="eastAsia"/>
          </w:rPr>
          <w:alias w:val="单位：财务附注：在建工程"/>
          <w:tag w:val="_GBC_c20f70bc9d1e4476bd65c1988111664f"/>
          <w:id w:val="-18128511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在建工程"/>
          <w:tag w:val="_GBC_8057969f154445809d2bd47ba3a4ee1d"/>
          <w:id w:val="13073605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10774"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559"/>
        <w:gridCol w:w="1446"/>
        <w:gridCol w:w="1531"/>
        <w:gridCol w:w="1418"/>
        <w:gridCol w:w="1417"/>
        <w:gridCol w:w="1418"/>
      </w:tblGrid>
      <w:tr w14:paraId="7B85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64c6d788b0564cf39dd83135bd94fa33"/>
            <w:id w:val="1007332602"/>
          </w:sdtPr>
          <w:sdtContent>
            <w:tc>
              <w:tcPr>
                <w:tcW w:w="1985" w:type="dxa"/>
                <w:vMerge w:val="restart"/>
                <w:vAlign w:val="center"/>
              </w:tcPr>
              <w:p w14:paraId="32BFF8D1">
                <w:pPr>
                  <w:spacing w:line="276" w:lineRule="auto"/>
                  <w:jc w:val="center"/>
                  <w:rPr>
                    <w:rFonts w:ascii="Calibri" w:hAnsi="Calibri"/>
                    <w:sz w:val="20"/>
                    <w:szCs w:val="20"/>
                  </w:rPr>
                </w:pPr>
                <w:r>
                  <w:rPr>
                    <w:rFonts w:hint="eastAsia" w:ascii="Calibri" w:hAnsi="Calibri"/>
                    <w:sz w:val="20"/>
                    <w:szCs w:val="20"/>
                  </w:rPr>
                  <w:t>项目</w:t>
                </w:r>
              </w:p>
            </w:tc>
          </w:sdtContent>
        </w:sdt>
        <w:sdt>
          <w:sdtPr>
            <w:tag w:val="_PLD_0f8aeba685c643d8bbe995cb6221e768"/>
            <w:id w:val="1268575894"/>
          </w:sdtPr>
          <w:sdtContent>
            <w:tc>
              <w:tcPr>
                <w:tcW w:w="4536" w:type="dxa"/>
                <w:gridSpan w:val="3"/>
                <w:vAlign w:val="center"/>
              </w:tcPr>
              <w:p w14:paraId="0E13D288">
                <w:pPr>
                  <w:spacing w:line="276" w:lineRule="auto"/>
                  <w:jc w:val="center"/>
                  <w:rPr>
                    <w:rFonts w:ascii="Calibri" w:hAnsi="Calibri"/>
                    <w:sz w:val="20"/>
                    <w:szCs w:val="20"/>
                  </w:rPr>
                </w:pPr>
                <w:r>
                  <w:rPr>
                    <w:rFonts w:hint="eastAsia" w:ascii="Calibri" w:hAnsi="Calibri"/>
                    <w:sz w:val="20"/>
                    <w:szCs w:val="20"/>
                  </w:rPr>
                  <w:t>期末余额</w:t>
                </w:r>
              </w:p>
            </w:tc>
          </w:sdtContent>
        </w:sdt>
        <w:sdt>
          <w:sdtPr>
            <w:tag w:val="_PLD_87e3270219434e9f8494ce0079d505fd"/>
            <w:id w:val="1465392698"/>
          </w:sdtPr>
          <w:sdtContent>
            <w:tc>
              <w:tcPr>
                <w:tcW w:w="4253" w:type="dxa"/>
                <w:gridSpan w:val="3"/>
                <w:vAlign w:val="center"/>
              </w:tcPr>
              <w:p w14:paraId="58E1945B">
                <w:pPr>
                  <w:spacing w:line="276" w:lineRule="auto"/>
                  <w:jc w:val="center"/>
                  <w:rPr>
                    <w:rFonts w:ascii="Calibri" w:hAnsi="Calibri"/>
                    <w:sz w:val="20"/>
                    <w:szCs w:val="20"/>
                  </w:rPr>
                </w:pPr>
                <w:r>
                  <w:rPr>
                    <w:rFonts w:hint="eastAsia" w:ascii="Calibri" w:hAnsi="Calibri"/>
                    <w:sz w:val="20"/>
                    <w:szCs w:val="20"/>
                  </w:rPr>
                  <w:t>期初余额</w:t>
                </w:r>
              </w:p>
            </w:tc>
          </w:sdtContent>
        </w:sdt>
      </w:tr>
      <w:tr w14:paraId="596F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vMerge w:val="continue"/>
            <w:vAlign w:val="center"/>
          </w:tcPr>
          <w:p w14:paraId="422CBC02">
            <w:pPr>
              <w:tabs>
                <w:tab w:val="left" w:pos="420"/>
              </w:tabs>
              <w:spacing w:line="276" w:lineRule="auto"/>
              <w:ind w:left="420" w:hanging="420"/>
              <w:jc w:val="center"/>
              <w:rPr>
                <w:rFonts w:ascii="Calibri" w:hAnsi="Calibri"/>
                <w:sz w:val="20"/>
                <w:szCs w:val="20"/>
              </w:rPr>
            </w:pPr>
          </w:p>
        </w:tc>
        <w:sdt>
          <w:sdtPr>
            <w:tag w:val="_PLD_38fd2fe6396a41ae994e421a6ad8573a"/>
            <w:id w:val="-213741963"/>
          </w:sdtPr>
          <w:sdtContent>
            <w:tc>
              <w:tcPr>
                <w:tcW w:w="1559" w:type="dxa"/>
                <w:vAlign w:val="center"/>
              </w:tcPr>
              <w:p w14:paraId="6B648180">
                <w:pPr>
                  <w:tabs>
                    <w:tab w:val="left" w:pos="420"/>
                  </w:tabs>
                  <w:spacing w:line="276" w:lineRule="auto"/>
                  <w:ind w:left="420" w:hanging="420"/>
                  <w:jc w:val="center"/>
                  <w:rPr>
                    <w:rFonts w:ascii="Calibri" w:hAnsi="Calibri"/>
                    <w:sz w:val="20"/>
                    <w:szCs w:val="20"/>
                  </w:rPr>
                </w:pPr>
                <w:r>
                  <w:rPr>
                    <w:rFonts w:hint="eastAsia" w:ascii="Calibri" w:hAnsi="Calibri"/>
                    <w:sz w:val="20"/>
                    <w:szCs w:val="20"/>
                  </w:rPr>
                  <w:t>账面余额</w:t>
                </w:r>
              </w:p>
            </w:tc>
          </w:sdtContent>
        </w:sdt>
        <w:sdt>
          <w:sdtPr>
            <w:tag w:val="_PLD_efb5f565ae7d43338576e6ba69d207b2"/>
            <w:id w:val="-1923252992"/>
          </w:sdtPr>
          <w:sdtContent>
            <w:tc>
              <w:tcPr>
                <w:tcW w:w="1446" w:type="dxa"/>
                <w:vAlign w:val="center"/>
              </w:tcPr>
              <w:p w14:paraId="572C5C73">
                <w:pPr>
                  <w:pStyle w:val="16"/>
                  <w:spacing w:line="276" w:lineRule="auto"/>
                  <w:jc w:val="center"/>
                  <w:rPr>
                    <w:rFonts w:ascii="Calibri" w:hAnsi="Calibri"/>
                    <w:sz w:val="20"/>
                    <w:szCs w:val="20"/>
                  </w:rPr>
                </w:pPr>
                <w:r>
                  <w:rPr>
                    <w:rFonts w:hint="eastAsia" w:ascii="Calibri" w:hAnsi="Calibri"/>
                    <w:sz w:val="20"/>
                    <w:szCs w:val="20"/>
                  </w:rPr>
                  <w:t>减值准备</w:t>
                </w:r>
              </w:p>
            </w:tc>
          </w:sdtContent>
        </w:sdt>
        <w:sdt>
          <w:sdtPr>
            <w:tag w:val="_PLD_74e2fff2faeb4e10b56ba612a8b3b4e8"/>
            <w:id w:val="-879928698"/>
          </w:sdtPr>
          <w:sdtContent>
            <w:tc>
              <w:tcPr>
                <w:tcW w:w="1531" w:type="dxa"/>
                <w:vAlign w:val="center"/>
              </w:tcPr>
              <w:p w14:paraId="0D0DA5A1">
                <w:pPr>
                  <w:pStyle w:val="16"/>
                  <w:spacing w:line="276" w:lineRule="auto"/>
                  <w:jc w:val="center"/>
                  <w:rPr>
                    <w:rFonts w:ascii="Calibri" w:hAnsi="Calibri"/>
                    <w:sz w:val="20"/>
                    <w:szCs w:val="20"/>
                  </w:rPr>
                </w:pPr>
                <w:r>
                  <w:rPr>
                    <w:rFonts w:hint="eastAsia" w:ascii="Calibri" w:hAnsi="Calibri"/>
                    <w:sz w:val="20"/>
                    <w:szCs w:val="20"/>
                  </w:rPr>
                  <w:t>账面价值</w:t>
                </w:r>
              </w:p>
            </w:tc>
          </w:sdtContent>
        </w:sdt>
        <w:sdt>
          <w:sdtPr>
            <w:tag w:val="_PLD_320b5c6e751a40cb8f8d6cb989669680"/>
            <w:id w:val="304281996"/>
          </w:sdtPr>
          <w:sdtContent>
            <w:tc>
              <w:tcPr>
                <w:tcW w:w="1418" w:type="dxa"/>
                <w:vAlign w:val="center"/>
              </w:tcPr>
              <w:p w14:paraId="12F47587">
                <w:pPr>
                  <w:tabs>
                    <w:tab w:val="left" w:pos="420"/>
                  </w:tabs>
                  <w:spacing w:line="276" w:lineRule="auto"/>
                  <w:ind w:left="420" w:hanging="420"/>
                  <w:jc w:val="center"/>
                  <w:rPr>
                    <w:rFonts w:ascii="Calibri" w:hAnsi="Calibri"/>
                    <w:sz w:val="20"/>
                    <w:szCs w:val="20"/>
                  </w:rPr>
                </w:pPr>
                <w:r>
                  <w:rPr>
                    <w:rFonts w:hint="eastAsia" w:ascii="Calibri" w:hAnsi="Calibri"/>
                    <w:sz w:val="20"/>
                    <w:szCs w:val="20"/>
                  </w:rPr>
                  <w:t>账面余额</w:t>
                </w:r>
              </w:p>
            </w:tc>
          </w:sdtContent>
        </w:sdt>
        <w:sdt>
          <w:sdtPr>
            <w:tag w:val="_PLD_887f924a18a14763b7d38b336e4eca91"/>
            <w:id w:val="-579830919"/>
          </w:sdtPr>
          <w:sdtContent>
            <w:tc>
              <w:tcPr>
                <w:tcW w:w="1417" w:type="dxa"/>
                <w:vAlign w:val="center"/>
              </w:tcPr>
              <w:p w14:paraId="68104EB1">
                <w:pPr>
                  <w:pStyle w:val="16"/>
                  <w:spacing w:line="276" w:lineRule="auto"/>
                  <w:jc w:val="center"/>
                  <w:rPr>
                    <w:rFonts w:ascii="Calibri" w:hAnsi="Calibri"/>
                    <w:sz w:val="20"/>
                    <w:szCs w:val="20"/>
                  </w:rPr>
                </w:pPr>
                <w:r>
                  <w:rPr>
                    <w:rFonts w:hint="eastAsia" w:ascii="Calibri" w:hAnsi="Calibri"/>
                    <w:sz w:val="20"/>
                    <w:szCs w:val="20"/>
                  </w:rPr>
                  <w:t>减值准备</w:t>
                </w:r>
              </w:p>
            </w:tc>
          </w:sdtContent>
        </w:sdt>
        <w:sdt>
          <w:sdtPr>
            <w:tag w:val="_PLD_56d3163c60044998bf2f3d80a83c26a6"/>
            <w:id w:val="643245976"/>
          </w:sdtPr>
          <w:sdtContent>
            <w:tc>
              <w:tcPr>
                <w:tcW w:w="1418" w:type="dxa"/>
                <w:vAlign w:val="center"/>
              </w:tcPr>
              <w:p w14:paraId="383EB774">
                <w:pPr>
                  <w:pStyle w:val="16"/>
                  <w:spacing w:line="276" w:lineRule="auto"/>
                  <w:jc w:val="center"/>
                  <w:rPr>
                    <w:rFonts w:ascii="Calibri" w:hAnsi="Calibri"/>
                    <w:sz w:val="20"/>
                    <w:szCs w:val="20"/>
                  </w:rPr>
                </w:pPr>
                <w:r>
                  <w:rPr>
                    <w:rFonts w:hint="eastAsia" w:ascii="Calibri" w:hAnsi="Calibri"/>
                    <w:sz w:val="20"/>
                    <w:szCs w:val="20"/>
                  </w:rPr>
                  <w:t>账面价值</w:t>
                </w:r>
              </w:p>
            </w:tc>
          </w:sdtContent>
        </w:sdt>
      </w:tr>
      <w:tr w14:paraId="5802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vAlign w:val="center"/>
          </w:tcPr>
          <w:p w14:paraId="1695DD8A">
            <w:pPr>
              <w:pStyle w:val="48"/>
              <w:spacing w:line="276" w:lineRule="auto"/>
              <w:rPr>
                <w:sz w:val="20"/>
                <w:szCs w:val="20"/>
              </w:rPr>
            </w:pPr>
            <w:r>
              <w:rPr>
                <w:sz w:val="20"/>
                <w:szCs w:val="20"/>
              </w:rPr>
              <w:t>超速效赖脯胰岛素注射液项目质量控制中心</w:t>
            </w:r>
          </w:p>
        </w:tc>
        <w:tc>
          <w:tcPr>
            <w:tcW w:w="1559" w:type="dxa"/>
            <w:vAlign w:val="center"/>
          </w:tcPr>
          <w:p w14:paraId="061BDCE7">
            <w:pPr>
              <w:spacing w:line="276" w:lineRule="auto"/>
              <w:ind w:right="105"/>
              <w:jc w:val="right"/>
              <w:rPr>
                <w:rFonts w:ascii="Calibri" w:hAnsi="Calibri"/>
                <w:sz w:val="20"/>
                <w:szCs w:val="20"/>
              </w:rPr>
            </w:pPr>
            <w:r>
              <w:rPr>
                <w:rFonts w:ascii="Calibri" w:hAnsi="Calibri"/>
                <w:sz w:val="20"/>
                <w:szCs w:val="20"/>
              </w:rPr>
              <w:t>16,987,966.61</w:t>
            </w:r>
          </w:p>
        </w:tc>
        <w:tc>
          <w:tcPr>
            <w:tcW w:w="1446" w:type="dxa"/>
            <w:vAlign w:val="center"/>
          </w:tcPr>
          <w:p w14:paraId="21BBDA2F">
            <w:pPr>
              <w:spacing w:line="276" w:lineRule="auto"/>
              <w:ind w:right="73"/>
              <w:jc w:val="right"/>
              <w:rPr>
                <w:rFonts w:ascii="Calibri" w:hAnsi="Calibri"/>
                <w:sz w:val="20"/>
                <w:szCs w:val="20"/>
              </w:rPr>
            </w:pPr>
            <w:r>
              <w:rPr>
                <w:rFonts w:ascii="Calibri" w:hAnsi="Calibri"/>
                <w:sz w:val="20"/>
                <w:szCs w:val="20"/>
              </w:rPr>
              <w:t>1,029,420.18</w:t>
            </w:r>
          </w:p>
        </w:tc>
        <w:tc>
          <w:tcPr>
            <w:tcW w:w="1531" w:type="dxa"/>
            <w:vAlign w:val="center"/>
          </w:tcPr>
          <w:p w14:paraId="6B87FC8C">
            <w:pPr>
              <w:spacing w:line="276" w:lineRule="auto"/>
              <w:ind w:right="73"/>
              <w:jc w:val="right"/>
              <w:rPr>
                <w:rFonts w:ascii="Calibri" w:hAnsi="Calibri"/>
                <w:sz w:val="20"/>
                <w:szCs w:val="20"/>
              </w:rPr>
            </w:pPr>
            <w:r>
              <w:rPr>
                <w:rFonts w:ascii="Calibri" w:hAnsi="Calibri"/>
                <w:sz w:val="20"/>
                <w:szCs w:val="20"/>
              </w:rPr>
              <w:t>15,958,546.43</w:t>
            </w:r>
          </w:p>
        </w:tc>
        <w:tc>
          <w:tcPr>
            <w:tcW w:w="1418" w:type="dxa"/>
            <w:vAlign w:val="center"/>
          </w:tcPr>
          <w:p w14:paraId="53CB3879">
            <w:pPr>
              <w:spacing w:line="276" w:lineRule="auto"/>
              <w:jc w:val="right"/>
              <w:rPr>
                <w:rFonts w:ascii="Calibri" w:hAnsi="Calibri"/>
                <w:sz w:val="20"/>
                <w:szCs w:val="20"/>
              </w:rPr>
            </w:pPr>
            <w:r>
              <w:rPr>
                <w:rFonts w:ascii="Calibri" w:hAnsi="Calibri"/>
                <w:sz w:val="20"/>
                <w:szCs w:val="20"/>
              </w:rPr>
              <w:t>16,768,186.30</w:t>
            </w:r>
          </w:p>
        </w:tc>
        <w:tc>
          <w:tcPr>
            <w:tcW w:w="1417" w:type="dxa"/>
            <w:vAlign w:val="center"/>
          </w:tcPr>
          <w:p w14:paraId="3F85414E">
            <w:pPr>
              <w:spacing w:line="276" w:lineRule="auto"/>
              <w:jc w:val="right"/>
              <w:rPr>
                <w:rFonts w:ascii="Calibri" w:hAnsi="Calibri"/>
                <w:sz w:val="20"/>
                <w:szCs w:val="20"/>
              </w:rPr>
            </w:pPr>
            <w:r>
              <w:rPr>
                <w:rFonts w:ascii="Calibri" w:hAnsi="Calibri"/>
                <w:sz w:val="20"/>
                <w:szCs w:val="20"/>
              </w:rPr>
              <w:t>1,029,420.18</w:t>
            </w:r>
          </w:p>
        </w:tc>
        <w:tc>
          <w:tcPr>
            <w:tcW w:w="1418" w:type="dxa"/>
            <w:vAlign w:val="center"/>
          </w:tcPr>
          <w:p w14:paraId="45DA9288">
            <w:pPr>
              <w:spacing w:line="276" w:lineRule="auto"/>
              <w:jc w:val="right"/>
              <w:rPr>
                <w:rFonts w:ascii="Calibri" w:hAnsi="Calibri"/>
                <w:sz w:val="20"/>
                <w:szCs w:val="20"/>
              </w:rPr>
            </w:pPr>
            <w:r>
              <w:rPr>
                <w:rFonts w:ascii="Calibri" w:hAnsi="Calibri"/>
                <w:sz w:val="20"/>
                <w:szCs w:val="20"/>
              </w:rPr>
              <w:t>15,738,766.12</w:t>
            </w:r>
          </w:p>
        </w:tc>
      </w:tr>
      <w:tr w14:paraId="1F49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vAlign w:val="center"/>
          </w:tcPr>
          <w:p w14:paraId="5CBCCCA1">
            <w:pPr>
              <w:pStyle w:val="48"/>
              <w:spacing w:line="276" w:lineRule="auto"/>
              <w:rPr>
                <w:sz w:val="20"/>
                <w:szCs w:val="20"/>
              </w:rPr>
            </w:pPr>
            <w:r>
              <w:rPr>
                <w:sz w:val="20"/>
                <w:szCs w:val="20"/>
              </w:rPr>
              <w:t>超速效赖脯胰岛素注射液生产基地</w:t>
            </w:r>
          </w:p>
        </w:tc>
        <w:tc>
          <w:tcPr>
            <w:tcW w:w="1559" w:type="dxa"/>
            <w:vAlign w:val="center"/>
          </w:tcPr>
          <w:p w14:paraId="222FDD78">
            <w:pPr>
              <w:spacing w:line="276" w:lineRule="auto"/>
              <w:ind w:right="105"/>
              <w:jc w:val="right"/>
              <w:rPr>
                <w:rFonts w:ascii="Calibri" w:hAnsi="Calibri"/>
                <w:sz w:val="20"/>
                <w:szCs w:val="20"/>
              </w:rPr>
            </w:pPr>
            <w:r>
              <w:rPr>
                <w:rFonts w:ascii="Calibri" w:hAnsi="Calibri"/>
                <w:sz w:val="20"/>
                <w:szCs w:val="20"/>
              </w:rPr>
              <w:t>75,494,815.76</w:t>
            </w:r>
          </w:p>
        </w:tc>
        <w:tc>
          <w:tcPr>
            <w:tcW w:w="1446" w:type="dxa"/>
            <w:vAlign w:val="center"/>
          </w:tcPr>
          <w:p w14:paraId="4AE5DF33">
            <w:pPr>
              <w:spacing w:line="276" w:lineRule="auto"/>
              <w:ind w:right="73"/>
              <w:jc w:val="right"/>
              <w:rPr>
                <w:rFonts w:ascii="Calibri" w:hAnsi="Calibri"/>
                <w:sz w:val="20"/>
                <w:szCs w:val="20"/>
              </w:rPr>
            </w:pPr>
            <w:r>
              <w:rPr>
                <w:rFonts w:ascii="Calibri" w:hAnsi="Calibri"/>
                <w:sz w:val="20"/>
                <w:szCs w:val="20"/>
              </w:rPr>
              <w:t>4,624,978.42</w:t>
            </w:r>
          </w:p>
        </w:tc>
        <w:tc>
          <w:tcPr>
            <w:tcW w:w="1531" w:type="dxa"/>
            <w:vAlign w:val="center"/>
          </w:tcPr>
          <w:p w14:paraId="7191DCD6">
            <w:pPr>
              <w:spacing w:line="276" w:lineRule="auto"/>
              <w:ind w:right="73"/>
              <w:jc w:val="right"/>
              <w:rPr>
                <w:rFonts w:ascii="Calibri" w:hAnsi="Calibri"/>
                <w:sz w:val="20"/>
                <w:szCs w:val="20"/>
              </w:rPr>
            </w:pPr>
            <w:r>
              <w:rPr>
                <w:rFonts w:ascii="Calibri" w:hAnsi="Calibri"/>
                <w:sz w:val="20"/>
                <w:szCs w:val="20"/>
              </w:rPr>
              <w:t>70,869,837.34</w:t>
            </w:r>
          </w:p>
        </w:tc>
        <w:tc>
          <w:tcPr>
            <w:tcW w:w="1418" w:type="dxa"/>
            <w:vAlign w:val="center"/>
          </w:tcPr>
          <w:p w14:paraId="172FAA5E">
            <w:pPr>
              <w:spacing w:line="276" w:lineRule="auto"/>
              <w:jc w:val="right"/>
              <w:rPr>
                <w:rFonts w:ascii="Calibri" w:hAnsi="Calibri"/>
                <w:sz w:val="20"/>
                <w:szCs w:val="20"/>
              </w:rPr>
            </w:pPr>
            <w:r>
              <w:rPr>
                <w:rFonts w:ascii="Calibri" w:hAnsi="Calibri"/>
                <w:sz w:val="20"/>
                <w:szCs w:val="20"/>
              </w:rPr>
              <w:t>75,136,777.37</w:t>
            </w:r>
          </w:p>
        </w:tc>
        <w:tc>
          <w:tcPr>
            <w:tcW w:w="1417" w:type="dxa"/>
            <w:vAlign w:val="center"/>
          </w:tcPr>
          <w:p w14:paraId="2F6D1839">
            <w:pPr>
              <w:spacing w:line="276" w:lineRule="auto"/>
              <w:jc w:val="right"/>
              <w:rPr>
                <w:rFonts w:ascii="Calibri" w:hAnsi="Calibri"/>
                <w:sz w:val="20"/>
                <w:szCs w:val="20"/>
              </w:rPr>
            </w:pPr>
            <w:r>
              <w:rPr>
                <w:rFonts w:ascii="Calibri" w:hAnsi="Calibri"/>
                <w:sz w:val="20"/>
                <w:szCs w:val="20"/>
              </w:rPr>
              <w:t>4,612,741.84</w:t>
            </w:r>
          </w:p>
        </w:tc>
        <w:tc>
          <w:tcPr>
            <w:tcW w:w="1418" w:type="dxa"/>
            <w:vAlign w:val="center"/>
          </w:tcPr>
          <w:p w14:paraId="7BB39246">
            <w:pPr>
              <w:spacing w:line="276" w:lineRule="auto"/>
              <w:jc w:val="right"/>
              <w:rPr>
                <w:rFonts w:ascii="Calibri" w:hAnsi="Calibri"/>
                <w:sz w:val="20"/>
                <w:szCs w:val="20"/>
              </w:rPr>
            </w:pPr>
            <w:r>
              <w:rPr>
                <w:rFonts w:ascii="Calibri" w:hAnsi="Calibri"/>
                <w:sz w:val="20"/>
                <w:szCs w:val="20"/>
              </w:rPr>
              <w:t>70,524,035.53</w:t>
            </w:r>
          </w:p>
        </w:tc>
      </w:tr>
      <w:tr w14:paraId="4C96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vAlign w:val="center"/>
          </w:tcPr>
          <w:p w14:paraId="4B943557">
            <w:pPr>
              <w:pStyle w:val="48"/>
              <w:spacing w:line="276" w:lineRule="auto"/>
              <w:rPr>
                <w:sz w:val="20"/>
                <w:szCs w:val="20"/>
              </w:rPr>
            </w:pPr>
            <w:r>
              <w:rPr>
                <w:sz w:val="20"/>
                <w:szCs w:val="20"/>
              </w:rPr>
              <w:t>注射液三车间一次性注射笔组装及包装生产线建设项目</w:t>
            </w:r>
          </w:p>
        </w:tc>
        <w:tc>
          <w:tcPr>
            <w:tcW w:w="1559" w:type="dxa"/>
            <w:vAlign w:val="center"/>
          </w:tcPr>
          <w:p w14:paraId="320AE2DF">
            <w:pPr>
              <w:spacing w:line="276" w:lineRule="auto"/>
              <w:ind w:right="105"/>
              <w:jc w:val="right"/>
              <w:rPr>
                <w:rFonts w:ascii="Calibri" w:hAnsi="Calibri"/>
                <w:sz w:val="20"/>
                <w:szCs w:val="20"/>
              </w:rPr>
            </w:pPr>
            <w:r>
              <w:rPr>
                <w:rFonts w:ascii="Calibri" w:hAnsi="Calibri"/>
                <w:sz w:val="20"/>
                <w:szCs w:val="20"/>
              </w:rPr>
              <w:t>4,111,383.19</w:t>
            </w:r>
          </w:p>
        </w:tc>
        <w:tc>
          <w:tcPr>
            <w:tcW w:w="1446" w:type="dxa"/>
            <w:vAlign w:val="center"/>
          </w:tcPr>
          <w:p w14:paraId="0826DA63">
            <w:pPr>
              <w:spacing w:line="276" w:lineRule="auto"/>
              <w:ind w:right="73"/>
              <w:jc w:val="right"/>
              <w:rPr>
                <w:rFonts w:ascii="Calibri" w:hAnsi="Calibri"/>
                <w:sz w:val="20"/>
                <w:szCs w:val="20"/>
              </w:rPr>
            </w:pPr>
          </w:p>
        </w:tc>
        <w:tc>
          <w:tcPr>
            <w:tcW w:w="1531" w:type="dxa"/>
            <w:vAlign w:val="center"/>
          </w:tcPr>
          <w:p w14:paraId="6AAD9833">
            <w:pPr>
              <w:spacing w:line="276" w:lineRule="auto"/>
              <w:ind w:right="73"/>
              <w:jc w:val="right"/>
              <w:rPr>
                <w:rFonts w:ascii="Calibri" w:hAnsi="Calibri"/>
                <w:sz w:val="20"/>
                <w:szCs w:val="20"/>
              </w:rPr>
            </w:pPr>
            <w:r>
              <w:rPr>
                <w:rFonts w:ascii="Calibri" w:hAnsi="Calibri"/>
                <w:sz w:val="20"/>
                <w:szCs w:val="20"/>
              </w:rPr>
              <w:t>4,111,383.19</w:t>
            </w:r>
          </w:p>
        </w:tc>
        <w:tc>
          <w:tcPr>
            <w:tcW w:w="1418" w:type="dxa"/>
            <w:vAlign w:val="center"/>
          </w:tcPr>
          <w:p w14:paraId="236FFA0F">
            <w:pPr>
              <w:spacing w:line="276" w:lineRule="auto"/>
              <w:jc w:val="right"/>
              <w:rPr>
                <w:rFonts w:ascii="Calibri" w:hAnsi="Calibri"/>
                <w:sz w:val="20"/>
                <w:szCs w:val="20"/>
              </w:rPr>
            </w:pPr>
          </w:p>
        </w:tc>
        <w:tc>
          <w:tcPr>
            <w:tcW w:w="1417" w:type="dxa"/>
            <w:vAlign w:val="center"/>
          </w:tcPr>
          <w:p w14:paraId="4CB65B86">
            <w:pPr>
              <w:spacing w:line="276" w:lineRule="auto"/>
              <w:jc w:val="right"/>
              <w:rPr>
                <w:rFonts w:ascii="Calibri" w:hAnsi="Calibri"/>
                <w:sz w:val="20"/>
                <w:szCs w:val="20"/>
              </w:rPr>
            </w:pPr>
          </w:p>
        </w:tc>
        <w:tc>
          <w:tcPr>
            <w:tcW w:w="1418" w:type="dxa"/>
            <w:vAlign w:val="center"/>
          </w:tcPr>
          <w:p w14:paraId="5DF56422">
            <w:pPr>
              <w:spacing w:line="276" w:lineRule="auto"/>
              <w:jc w:val="right"/>
              <w:rPr>
                <w:rFonts w:ascii="Calibri" w:hAnsi="Calibri"/>
                <w:sz w:val="20"/>
                <w:szCs w:val="20"/>
              </w:rPr>
            </w:pPr>
          </w:p>
        </w:tc>
      </w:tr>
      <w:tr w14:paraId="178B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vAlign w:val="center"/>
          </w:tcPr>
          <w:p w14:paraId="672FE25C">
            <w:pPr>
              <w:pStyle w:val="48"/>
              <w:spacing w:line="276" w:lineRule="auto"/>
              <w:rPr>
                <w:sz w:val="20"/>
                <w:szCs w:val="20"/>
              </w:rPr>
            </w:pPr>
            <w:r>
              <w:rPr>
                <w:sz w:val="20"/>
                <w:szCs w:val="20"/>
              </w:rPr>
              <w:t>提取一车间前处理改造项目</w:t>
            </w:r>
          </w:p>
        </w:tc>
        <w:tc>
          <w:tcPr>
            <w:tcW w:w="1559" w:type="dxa"/>
            <w:vAlign w:val="center"/>
          </w:tcPr>
          <w:p w14:paraId="6BE6CDD6">
            <w:pPr>
              <w:spacing w:line="276" w:lineRule="auto"/>
              <w:ind w:right="105"/>
              <w:jc w:val="right"/>
              <w:rPr>
                <w:rFonts w:ascii="Calibri" w:hAnsi="Calibri"/>
                <w:sz w:val="20"/>
                <w:szCs w:val="20"/>
              </w:rPr>
            </w:pPr>
            <w:r>
              <w:rPr>
                <w:rFonts w:ascii="Calibri" w:hAnsi="Calibri"/>
                <w:sz w:val="20"/>
                <w:szCs w:val="20"/>
              </w:rPr>
              <w:t>2,929,476.84</w:t>
            </w:r>
          </w:p>
        </w:tc>
        <w:tc>
          <w:tcPr>
            <w:tcW w:w="1446" w:type="dxa"/>
            <w:vAlign w:val="center"/>
          </w:tcPr>
          <w:p w14:paraId="0CB5C79E">
            <w:pPr>
              <w:spacing w:line="276" w:lineRule="auto"/>
              <w:ind w:right="73"/>
              <w:jc w:val="right"/>
              <w:rPr>
                <w:rFonts w:ascii="Calibri" w:hAnsi="Calibri"/>
                <w:sz w:val="20"/>
                <w:szCs w:val="20"/>
              </w:rPr>
            </w:pPr>
          </w:p>
        </w:tc>
        <w:tc>
          <w:tcPr>
            <w:tcW w:w="1531" w:type="dxa"/>
            <w:vAlign w:val="center"/>
          </w:tcPr>
          <w:p w14:paraId="57257F80">
            <w:pPr>
              <w:spacing w:line="276" w:lineRule="auto"/>
              <w:ind w:right="73"/>
              <w:jc w:val="right"/>
              <w:rPr>
                <w:rFonts w:ascii="Calibri" w:hAnsi="Calibri"/>
                <w:sz w:val="20"/>
                <w:szCs w:val="20"/>
              </w:rPr>
            </w:pPr>
            <w:r>
              <w:rPr>
                <w:rFonts w:ascii="Calibri" w:hAnsi="Calibri"/>
                <w:sz w:val="20"/>
                <w:szCs w:val="20"/>
              </w:rPr>
              <w:t>2,929,476.84</w:t>
            </w:r>
          </w:p>
        </w:tc>
        <w:tc>
          <w:tcPr>
            <w:tcW w:w="1418" w:type="dxa"/>
            <w:vAlign w:val="center"/>
          </w:tcPr>
          <w:p w14:paraId="77DC2EFF">
            <w:pPr>
              <w:spacing w:line="276" w:lineRule="auto"/>
              <w:jc w:val="right"/>
              <w:rPr>
                <w:rFonts w:ascii="Calibri" w:hAnsi="Calibri"/>
                <w:sz w:val="20"/>
                <w:szCs w:val="20"/>
              </w:rPr>
            </w:pPr>
          </w:p>
        </w:tc>
        <w:tc>
          <w:tcPr>
            <w:tcW w:w="1417" w:type="dxa"/>
            <w:vAlign w:val="center"/>
          </w:tcPr>
          <w:p w14:paraId="6D163ED7">
            <w:pPr>
              <w:spacing w:line="276" w:lineRule="auto"/>
              <w:jc w:val="right"/>
              <w:rPr>
                <w:rFonts w:ascii="Calibri" w:hAnsi="Calibri"/>
                <w:sz w:val="20"/>
                <w:szCs w:val="20"/>
              </w:rPr>
            </w:pPr>
          </w:p>
        </w:tc>
        <w:tc>
          <w:tcPr>
            <w:tcW w:w="1418" w:type="dxa"/>
            <w:vAlign w:val="center"/>
          </w:tcPr>
          <w:p w14:paraId="4D0C617E">
            <w:pPr>
              <w:spacing w:line="276" w:lineRule="auto"/>
              <w:jc w:val="right"/>
              <w:rPr>
                <w:rFonts w:ascii="Calibri" w:hAnsi="Calibri"/>
                <w:sz w:val="20"/>
                <w:szCs w:val="20"/>
              </w:rPr>
            </w:pPr>
          </w:p>
        </w:tc>
      </w:tr>
      <w:tr w14:paraId="0672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vAlign w:val="center"/>
          </w:tcPr>
          <w:p w14:paraId="6585110E">
            <w:pPr>
              <w:pStyle w:val="48"/>
              <w:spacing w:line="276" w:lineRule="auto"/>
              <w:rPr>
                <w:sz w:val="20"/>
                <w:szCs w:val="20"/>
              </w:rPr>
            </w:pPr>
            <w:r>
              <w:rPr>
                <w:sz w:val="20"/>
                <w:szCs w:val="20"/>
              </w:rPr>
              <w:t>注射液四车间西林瓶生产线建设项目</w:t>
            </w:r>
          </w:p>
        </w:tc>
        <w:tc>
          <w:tcPr>
            <w:tcW w:w="1559" w:type="dxa"/>
            <w:vAlign w:val="center"/>
          </w:tcPr>
          <w:p w14:paraId="55AC5A86">
            <w:pPr>
              <w:spacing w:line="276" w:lineRule="auto"/>
              <w:ind w:right="105"/>
              <w:jc w:val="right"/>
              <w:rPr>
                <w:rFonts w:ascii="Calibri" w:hAnsi="Calibri"/>
                <w:sz w:val="20"/>
                <w:szCs w:val="20"/>
              </w:rPr>
            </w:pPr>
            <w:r>
              <w:rPr>
                <w:rFonts w:ascii="Calibri" w:hAnsi="Calibri"/>
                <w:sz w:val="20"/>
                <w:szCs w:val="20"/>
              </w:rPr>
              <w:t>61,888,837.05</w:t>
            </w:r>
          </w:p>
        </w:tc>
        <w:tc>
          <w:tcPr>
            <w:tcW w:w="1446" w:type="dxa"/>
            <w:vAlign w:val="center"/>
          </w:tcPr>
          <w:p w14:paraId="5615DD9A">
            <w:pPr>
              <w:spacing w:line="276" w:lineRule="auto"/>
              <w:ind w:right="73"/>
              <w:jc w:val="right"/>
              <w:rPr>
                <w:rFonts w:ascii="Calibri" w:hAnsi="Calibri"/>
                <w:sz w:val="20"/>
                <w:szCs w:val="20"/>
              </w:rPr>
            </w:pPr>
          </w:p>
        </w:tc>
        <w:tc>
          <w:tcPr>
            <w:tcW w:w="1531" w:type="dxa"/>
            <w:vAlign w:val="center"/>
          </w:tcPr>
          <w:p w14:paraId="752CC365">
            <w:pPr>
              <w:spacing w:line="276" w:lineRule="auto"/>
              <w:ind w:right="73"/>
              <w:jc w:val="right"/>
              <w:rPr>
                <w:rFonts w:ascii="Calibri" w:hAnsi="Calibri"/>
                <w:sz w:val="20"/>
                <w:szCs w:val="20"/>
              </w:rPr>
            </w:pPr>
            <w:r>
              <w:rPr>
                <w:rFonts w:ascii="Calibri" w:hAnsi="Calibri"/>
                <w:sz w:val="20"/>
                <w:szCs w:val="20"/>
              </w:rPr>
              <w:t>61,888,837.05</w:t>
            </w:r>
          </w:p>
        </w:tc>
        <w:tc>
          <w:tcPr>
            <w:tcW w:w="1418" w:type="dxa"/>
            <w:vAlign w:val="center"/>
          </w:tcPr>
          <w:p w14:paraId="020BAC39">
            <w:pPr>
              <w:spacing w:line="276" w:lineRule="auto"/>
              <w:jc w:val="right"/>
              <w:rPr>
                <w:rFonts w:ascii="Calibri" w:hAnsi="Calibri"/>
                <w:sz w:val="20"/>
                <w:szCs w:val="20"/>
              </w:rPr>
            </w:pPr>
          </w:p>
        </w:tc>
        <w:tc>
          <w:tcPr>
            <w:tcW w:w="1417" w:type="dxa"/>
            <w:vAlign w:val="center"/>
          </w:tcPr>
          <w:p w14:paraId="73E64512">
            <w:pPr>
              <w:spacing w:line="276" w:lineRule="auto"/>
              <w:jc w:val="right"/>
              <w:rPr>
                <w:rFonts w:ascii="Calibri" w:hAnsi="Calibri"/>
                <w:sz w:val="20"/>
                <w:szCs w:val="20"/>
              </w:rPr>
            </w:pPr>
          </w:p>
        </w:tc>
        <w:tc>
          <w:tcPr>
            <w:tcW w:w="1418" w:type="dxa"/>
            <w:vAlign w:val="center"/>
          </w:tcPr>
          <w:p w14:paraId="5006FB39">
            <w:pPr>
              <w:spacing w:line="276" w:lineRule="auto"/>
              <w:jc w:val="right"/>
              <w:rPr>
                <w:rFonts w:ascii="Calibri" w:hAnsi="Calibri"/>
                <w:sz w:val="20"/>
                <w:szCs w:val="20"/>
              </w:rPr>
            </w:pPr>
          </w:p>
        </w:tc>
      </w:tr>
      <w:tr w14:paraId="303E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vAlign w:val="center"/>
          </w:tcPr>
          <w:p w14:paraId="1AC6085B">
            <w:pPr>
              <w:pStyle w:val="48"/>
              <w:spacing w:line="276" w:lineRule="auto"/>
              <w:rPr>
                <w:sz w:val="20"/>
                <w:szCs w:val="20"/>
              </w:rPr>
            </w:pPr>
            <w:r>
              <w:rPr>
                <w:sz w:val="20"/>
                <w:szCs w:val="20"/>
              </w:rPr>
              <w:t>产业园原料药一车间改造项目</w:t>
            </w:r>
          </w:p>
        </w:tc>
        <w:tc>
          <w:tcPr>
            <w:tcW w:w="1559" w:type="dxa"/>
            <w:vAlign w:val="center"/>
          </w:tcPr>
          <w:p w14:paraId="5B678B52">
            <w:pPr>
              <w:spacing w:line="276" w:lineRule="auto"/>
              <w:ind w:right="105"/>
              <w:jc w:val="right"/>
              <w:rPr>
                <w:rFonts w:ascii="Calibri" w:hAnsi="Calibri"/>
                <w:sz w:val="20"/>
                <w:szCs w:val="20"/>
              </w:rPr>
            </w:pPr>
            <w:r>
              <w:rPr>
                <w:rFonts w:ascii="Calibri" w:hAnsi="Calibri"/>
                <w:sz w:val="20"/>
                <w:szCs w:val="20"/>
              </w:rPr>
              <w:t>13,745,946.80</w:t>
            </w:r>
          </w:p>
        </w:tc>
        <w:tc>
          <w:tcPr>
            <w:tcW w:w="1446" w:type="dxa"/>
            <w:vAlign w:val="center"/>
          </w:tcPr>
          <w:p w14:paraId="6821A51E">
            <w:pPr>
              <w:spacing w:line="276" w:lineRule="auto"/>
              <w:ind w:right="73"/>
              <w:jc w:val="right"/>
              <w:rPr>
                <w:rFonts w:ascii="Calibri" w:hAnsi="Calibri"/>
                <w:sz w:val="20"/>
                <w:szCs w:val="20"/>
              </w:rPr>
            </w:pPr>
          </w:p>
        </w:tc>
        <w:tc>
          <w:tcPr>
            <w:tcW w:w="1531" w:type="dxa"/>
            <w:vAlign w:val="center"/>
          </w:tcPr>
          <w:p w14:paraId="0944F709">
            <w:pPr>
              <w:spacing w:line="276" w:lineRule="auto"/>
              <w:ind w:right="73"/>
              <w:jc w:val="right"/>
              <w:rPr>
                <w:rFonts w:ascii="Calibri" w:hAnsi="Calibri"/>
                <w:sz w:val="20"/>
                <w:szCs w:val="20"/>
              </w:rPr>
            </w:pPr>
            <w:r>
              <w:rPr>
                <w:rFonts w:ascii="Calibri" w:hAnsi="Calibri"/>
                <w:sz w:val="20"/>
                <w:szCs w:val="20"/>
              </w:rPr>
              <w:t>13,745,946.80</w:t>
            </w:r>
          </w:p>
        </w:tc>
        <w:tc>
          <w:tcPr>
            <w:tcW w:w="1418" w:type="dxa"/>
            <w:vAlign w:val="center"/>
          </w:tcPr>
          <w:p w14:paraId="02C9D789">
            <w:pPr>
              <w:spacing w:line="276" w:lineRule="auto"/>
              <w:jc w:val="right"/>
              <w:rPr>
                <w:rFonts w:ascii="Calibri" w:hAnsi="Calibri"/>
                <w:sz w:val="20"/>
                <w:szCs w:val="20"/>
              </w:rPr>
            </w:pPr>
          </w:p>
        </w:tc>
        <w:tc>
          <w:tcPr>
            <w:tcW w:w="1417" w:type="dxa"/>
            <w:vAlign w:val="center"/>
          </w:tcPr>
          <w:p w14:paraId="1455682C">
            <w:pPr>
              <w:spacing w:line="276" w:lineRule="auto"/>
              <w:jc w:val="right"/>
              <w:rPr>
                <w:rFonts w:ascii="Calibri" w:hAnsi="Calibri"/>
                <w:sz w:val="20"/>
                <w:szCs w:val="20"/>
              </w:rPr>
            </w:pPr>
          </w:p>
        </w:tc>
        <w:tc>
          <w:tcPr>
            <w:tcW w:w="1418" w:type="dxa"/>
            <w:vAlign w:val="center"/>
          </w:tcPr>
          <w:p w14:paraId="3345D39B">
            <w:pPr>
              <w:spacing w:line="276" w:lineRule="auto"/>
              <w:jc w:val="right"/>
              <w:rPr>
                <w:rFonts w:ascii="Calibri" w:hAnsi="Calibri"/>
                <w:sz w:val="20"/>
                <w:szCs w:val="20"/>
              </w:rPr>
            </w:pPr>
          </w:p>
        </w:tc>
      </w:tr>
      <w:tr w14:paraId="5116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985" w:type="dxa"/>
            <w:vAlign w:val="center"/>
          </w:tcPr>
          <w:p w14:paraId="0BB2E90A">
            <w:pPr>
              <w:pStyle w:val="48"/>
              <w:spacing w:line="276" w:lineRule="auto"/>
              <w:rPr>
                <w:sz w:val="20"/>
                <w:szCs w:val="20"/>
              </w:rPr>
            </w:pPr>
            <w:r>
              <w:rPr>
                <w:sz w:val="20"/>
                <w:szCs w:val="20"/>
              </w:rPr>
              <w:t>超速效赖脯胰岛素注射液项目配套工程</w:t>
            </w:r>
          </w:p>
        </w:tc>
        <w:tc>
          <w:tcPr>
            <w:tcW w:w="1559" w:type="dxa"/>
            <w:vAlign w:val="center"/>
          </w:tcPr>
          <w:p w14:paraId="022C9449">
            <w:pPr>
              <w:spacing w:line="276" w:lineRule="auto"/>
              <w:ind w:right="105"/>
              <w:jc w:val="right"/>
              <w:rPr>
                <w:rFonts w:ascii="Calibri" w:hAnsi="Calibri"/>
                <w:sz w:val="20"/>
                <w:szCs w:val="20"/>
              </w:rPr>
            </w:pPr>
          </w:p>
        </w:tc>
        <w:tc>
          <w:tcPr>
            <w:tcW w:w="1446" w:type="dxa"/>
            <w:vAlign w:val="center"/>
          </w:tcPr>
          <w:p w14:paraId="4A649D0E">
            <w:pPr>
              <w:spacing w:line="276" w:lineRule="auto"/>
              <w:ind w:right="73"/>
              <w:jc w:val="right"/>
              <w:rPr>
                <w:rFonts w:ascii="Calibri" w:hAnsi="Calibri"/>
                <w:sz w:val="20"/>
                <w:szCs w:val="20"/>
              </w:rPr>
            </w:pPr>
          </w:p>
        </w:tc>
        <w:tc>
          <w:tcPr>
            <w:tcW w:w="1531" w:type="dxa"/>
            <w:vAlign w:val="center"/>
          </w:tcPr>
          <w:p w14:paraId="2703B7DA">
            <w:pPr>
              <w:spacing w:line="276" w:lineRule="auto"/>
              <w:ind w:right="73"/>
              <w:jc w:val="right"/>
              <w:rPr>
                <w:rFonts w:ascii="Calibri" w:hAnsi="Calibri"/>
                <w:sz w:val="20"/>
                <w:szCs w:val="20"/>
              </w:rPr>
            </w:pPr>
          </w:p>
        </w:tc>
        <w:tc>
          <w:tcPr>
            <w:tcW w:w="1418" w:type="dxa"/>
            <w:vAlign w:val="center"/>
          </w:tcPr>
          <w:p w14:paraId="17FA0E35">
            <w:pPr>
              <w:spacing w:line="276" w:lineRule="auto"/>
              <w:jc w:val="right"/>
              <w:rPr>
                <w:rFonts w:ascii="Calibri" w:hAnsi="Calibri"/>
                <w:sz w:val="20"/>
                <w:szCs w:val="20"/>
              </w:rPr>
            </w:pPr>
            <w:r>
              <w:rPr>
                <w:rFonts w:ascii="Calibri" w:hAnsi="Calibri"/>
                <w:sz w:val="20"/>
                <w:szCs w:val="20"/>
              </w:rPr>
              <w:t>54,907,452.39</w:t>
            </w:r>
          </w:p>
        </w:tc>
        <w:tc>
          <w:tcPr>
            <w:tcW w:w="1417" w:type="dxa"/>
            <w:vAlign w:val="center"/>
          </w:tcPr>
          <w:p w14:paraId="46B09FCE">
            <w:pPr>
              <w:spacing w:line="276" w:lineRule="auto"/>
              <w:jc w:val="right"/>
              <w:rPr>
                <w:rFonts w:ascii="Calibri" w:hAnsi="Calibri"/>
                <w:sz w:val="20"/>
                <w:szCs w:val="20"/>
              </w:rPr>
            </w:pPr>
            <w:r>
              <w:rPr>
                <w:rFonts w:ascii="Calibri" w:hAnsi="Calibri"/>
                <w:sz w:val="20"/>
                <w:szCs w:val="20"/>
              </w:rPr>
              <w:t>3,370,837.98</w:t>
            </w:r>
          </w:p>
        </w:tc>
        <w:tc>
          <w:tcPr>
            <w:tcW w:w="1418" w:type="dxa"/>
            <w:vAlign w:val="center"/>
          </w:tcPr>
          <w:p w14:paraId="0DC42BC2">
            <w:pPr>
              <w:spacing w:line="276" w:lineRule="auto"/>
              <w:jc w:val="right"/>
              <w:rPr>
                <w:rFonts w:ascii="Calibri" w:hAnsi="Calibri"/>
                <w:sz w:val="20"/>
                <w:szCs w:val="20"/>
              </w:rPr>
            </w:pPr>
            <w:r>
              <w:rPr>
                <w:rFonts w:ascii="Calibri" w:hAnsi="Calibri"/>
                <w:sz w:val="20"/>
                <w:szCs w:val="20"/>
              </w:rPr>
              <w:t>51,536,614.41</w:t>
            </w:r>
          </w:p>
        </w:tc>
      </w:tr>
      <w:tr w14:paraId="447D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985" w:type="dxa"/>
            <w:vAlign w:val="center"/>
          </w:tcPr>
          <w:p w14:paraId="78F4AC0F">
            <w:pPr>
              <w:pStyle w:val="48"/>
              <w:spacing w:line="276" w:lineRule="auto"/>
              <w:rPr>
                <w:sz w:val="20"/>
                <w:szCs w:val="20"/>
              </w:rPr>
            </w:pPr>
            <w:r>
              <w:rPr>
                <w:sz w:val="20"/>
                <w:szCs w:val="20"/>
              </w:rPr>
              <w:t>胰岛素类似物注射液（甘精胰岛素，门冬胰岛素）生产线项目</w:t>
            </w:r>
          </w:p>
        </w:tc>
        <w:tc>
          <w:tcPr>
            <w:tcW w:w="1559" w:type="dxa"/>
            <w:vAlign w:val="center"/>
          </w:tcPr>
          <w:p w14:paraId="2E0000AB">
            <w:pPr>
              <w:spacing w:line="276" w:lineRule="auto"/>
              <w:ind w:right="105"/>
              <w:jc w:val="right"/>
              <w:rPr>
                <w:rFonts w:ascii="Calibri" w:hAnsi="Calibri"/>
                <w:sz w:val="20"/>
                <w:szCs w:val="20"/>
              </w:rPr>
            </w:pPr>
          </w:p>
        </w:tc>
        <w:tc>
          <w:tcPr>
            <w:tcW w:w="1446" w:type="dxa"/>
            <w:vAlign w:val="center"/>
          </w:tcPr>
          <w:p w14:paraId="206767A6">
            <w:pPr>
              <w:spacing w:line="276" w:lineRule="auto"/>
              <w:ind w:right="73"/>
              <w:jc w:val="right"/>
              <w:rPr>
                <w:rFonts w:ascii="Calibri" w:hAnsi="Calibri"/>
                <w:sz w:val="20"/>
                <w:szCs w:val="20"/>
              </w:rPr>
            </w:pPr>
          </w:p>
        </w:tc>
        <w:tc>
          <w:tcPr>
            <w:tcW w:w="1531" w:type="dxa"/>
            <w:vAlign w:val="center"/>
          </w:tcPr>
          <w:p w14:paraId="07ED68D9">
            <w:pPr>
              <w:spacing w:line="276" w:lineRule="auto"/>
              <w:ind w:right="73"/>
              <w:jc w:val="right"/>
              <w:rPr>
                <w:rFonts w:ascii="Calibri" w:hAnsi="Calibri"/>
                <w:sz w:val="20"/>
                <w:szCs w:val="20"/>
              </w:rPr>
            </w:pPr>
          </w:p>
        </w:tc>
        <w:tc>
          <w:tcPr>
            <w:tcW w:w="1418" w:type="dxa"/>
            <w:vAlign w:val="center"/>
          </w:tcPr>
          <w:p w14:paraId="25BA5551">
            <w:pPr>
              <w:spacing w:line="276" w:lineRule="auto"/>
              <w:jc w:val="right"/>
              <w:rPr>
                <w:rFonts w:ascii="Calibri" w:hAnsi="Calibri"/>
                <w:sz w:val="20"/>
                <w:szCs w:val="20"/>
              </w:rPr>
            </w:pPr>
            <w:r>
              <w:rPr>
                <w:rFonts w:ascii="Calibri" w:hAnsi="Calibri"/>
                <w:sz w:val="20"/>
                <w:szCs w:val="20"/>
              </w:rPr>
              <w:t>86,301,982.61</w:t>
            </w:r>
          </w:p>
        </w:tc>
        <w:tc>
          <w:tcPr>
            <w:tcW w:w="1417" w:type="dxa"/>
            <w:vAlign w:val="center"/>
          </w:tcPr>
          <w:p w14:paraId="05D9E8EB">
            <w:pPr>
              <w:spacing w:line="276" w:lineRule="auto"/>
              <w:jc w:val="right"/>
              <w:rPr>
                <w:rFonts w:ascii="Calibri" w:hAnsi="Calibri"/>
                <w:sz w:val="20"/>
                <w:szCs w:val="20"/>
              </w:rPr>
            </w:pPr>
          </w:p>
        </w:tc>
        <w:tc>
          <w:tcPr>
            <w:tcW w:w="1418" w:type="dxa"/>
            <w:vAlign w:val="center"/>
          </w:tcPr>
          <w:p w14:paraId="40AD77F5">
            <w:pPr>
              <w:spacing w:line="276" w:lineRule="auto"/>
              <w:jc w:val="right"/>
              <w:rPr>
                <w:rFonts w:ascii="Calibri" w:hAnsi="Calibri"/>
                <w:sz w:val="20"/>
                <w:szCs w:val="20"/>
              </w:rPr>
            </w:pPr>
            <w:r>
              <w:rPr>
                <w:rFonts w:ascii="Calibri" w:hAnsi="Calibri"/>
                <w:sz w:val="20"/>
                <w:szCs w:val="20"/>
              </w:rPr>
              <w:t>86,301,982.61</w:t>
            </w:r>
          </w:p>
        </w:tc>
      </w:tr>
      <w:tr w14:paraId="100C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vAlign w:val="center"/>
          </w:tcPr>
          <w:p w14:paraId="755CA788">
            <w:pPr>
              <w:pStyle w:val="48"/>
              <w:spacing w:line="276" w:lineRule="auto"/>
              <w:rPr>
                <w:sz w:val="20"/>
                <w:szCs w:val="20"/>
              </w:rPr>
            </w:pPr>
            <w:r>
              <w:rPr>
                <w:sz w:val="20"/>
                <w:szCs w:val="20"/>
              </w:rPr>
              <w:t>胰岛素二期地埋储罐建设项目</w:t>
            </w:r>
          </w:p>
        </w:tc>
        <w:tc>
          <w:tcPr>
            <w:tcW w:w="1559" w:type="dxa"/>
            <w:vAlign w:val="center"/>
          </w:tcPr>
          <w:p w14:paraId="73F76C38">
            <w:pPr>
              <w:spacing w:line="276" w:lineRule="auto"/>
              <w:ind w:right="105"/>
              <w:jc w:val="right"/>
              <w:rPr>
                <w:rFonts w:ascii="Calibri" w:hAnsi="Calibri"/>
                <w:sz w:val="20"/>
                <w:szCs w:val="20"/>
              </w:rPr>
            </w:pPr>
          </w:p>
        </w:tc>
        <w:tc>
          <w:tcPr>
            <w:tcW w:w="1446" w:type="dxa"/>
            <w:vAlign w:val="center"/>
          </w:tcPr>
          <w:p w14:paraId="45284070">
            <w:pPr>
              <w:spacing w:line="276" w:lineRule="auto"/>
              <w:ind w:right="73"/>
              <w:jc w:val="right"/>
              <w:rPr>
                <w:rFonts w:ascii="Calibri" w:hAnsi="Calibri"/>
                <w:sz w:val="20"/>
                <w:szCs w:val="20"/>
              </w:rPr>
            </w:pPr>
          </w:p>
        </w:tc>
        <w:tc>
          <w:tcPr>
            <w:tcW w:w="1531" w:type="dxa"/>
            <w:vAlign w:val="center"/>
          </w:tcPr>
          <w:p w14:paraId="48E52A5A">
            <w:pPr>
              <w:spacing w:line="276" w:lineRule="auto"/>
              <w:ind w:right="73"/>
              <w:jc w:val="right"/>
              <w:rPr>
                <w:rFonts w:ascii="Calibri" w:hAnsi="Calibri"/>
                <w:sz w:val="20"/>
                <w:szCs w:val="20"/>
              </w:rPr>
            </w:pPr>
          </w:p>
        </w:tc>
        <w:tc>
          <w:tcPr>
            <w:tcW w:w="1418" w:type="dxa"/>
            <w:vAlign w:val="center"/>
          </w:tcPr>
          <w:p w14:paraId="2435BF8E">
            <w:pPr>
              <w:spacing w:line="276" w:lineRule="auto"/>
              <w:jc w:val="right"/>
              <w:rPr>
                <w:rFonts w:ascii="Calibri" w:hAnsi="Calibri"/>
                <w:sz w:val="20"/>
                <w:szCs w:val="20"/>
              </w:rPr>
            </w:pPr>
            <w:r>
              <w:rPr>
                <w:rFonts w:ascii="Calibri" w:hAnsi="Calibri"/>
                <w:sz w:val="20"/>
                <w:szCs w:val="20"/>
              </w:rPr>
              <w:t>2,011,564.32</w:t>
            </w:r>
          </w:p>
        </w:tc>
        <w:tc>
          <w:tcPr>
            <w:tcW w:w="1417" w:type="dxa"/>
            <w:vAlign w:val="center"/>
          </w:tcPr>
          <w:p w14:paraId="71C0FFCC">
            <w:pPr>
              <w:spacing w:line="276" w:lineRule="auto"/>
              <w:jc w:val="right"/>
              <w:rPr>
                <w:rFonts w:ascii="Calibri" w:hAnsi="Calibri"/>
                <w:sz w:val="20"/>
                <w:szCs w:val="20"/>
              </w:rPr>
            </w:pPr>
          </w:p>
        </w:tc>
        <w:tc>
          <w:tcPr>
            <w:tcW w:w="1418" w:type="dxa"/>
            <w:vAlign w:val="center"/>
          </w:tcPr>
          <w:p w14:paraId="4ACFE6C8">
            <w:pPr>
              <w:spacing w:line="276" w:lineRule="auto"/>
              <w:jc w:val="right"/>
              <w:rPr>
                <w:rFonts w:ascii="Calibri" w:hAnsi="Calibri"/>
                <w:sz w:val="20"/>
                <w:szCs w:val="20"/>
              </w:rPr>
            </w:pPr>
            <w:r>
              <w:rPr>
                <w:rFonts w:ascii="Calibri" w:hAnsi="Calibri"/>
                <w:sz w:val="20"/>
                <w:szCs w:val="20"/>
              </w:rPr>
              <w:t>2,011,564.32</w:t>
            </w:r>
          </w:p>
        </w:tc>
      </w:tr>
      <w:tr w14:paraId="4053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vAlign w:val="center"/>
          </w:tcPr>
          <w:p w14:paraId="47342AD5">
            <w:pPr>
              <w:spacing w:line="276" w:lineRule="auto"/>
              <w:jc w:val="center"/>
              <w:rPr>
                <w:rFonts w:ascii="Calibri" w:hAnsi="Calibri"/>
                <w:sz w:val="20"/>
                <w:szCs w:val="20"/>
              </w:rPr>
            </w:pPr>
            <w:r>
              <w:rPr>
                <w:rFonts w:hint="eastAsia" w:ascii="Calibri" w:hAnsi="Calibri"/>
                <w:sz w:val="20"/>
                <w:szCs w:val="20"/>
              </w:rPr>
              <w:t>合计</w:t>
            </w:r>
          </w:p>
        </w:tc>
        <w:tc>
          <w:tcPr>
            <w:tcW w:w="1559" w:type="dxa"/>
            <w:vAlign w:val="center"/>
          </w:tcPr>
          <w:p w14:paraId="6C1D48AE">
            <w:pPr>
              <w:spacing w:line="276" w:lineRule="auto"/>
              <w:ind w:right="105"/>
              <w:jc w:val="right"/>
              <w:rPr>
                <w:rFonts w:ascii="Calibri" w:hAnsi="Calibri"/>
                <w:sz w:val="18"/>
                <w:szCs w:val="18"/>
              </w:rPr>
            </w:pPr>
            <w:r>
              <w:rPr>
                <w:rFonts w:ascii="Calibri" w:hAnsi="Calibri"/>
                <w:sz w:val="18"/>
                <w:szCs w:val="18"/>
              </w:rPr>
              <w:t>175,158,426.25</w:t>
            </w:r>
          </w:p>
        </w:tc>
        <w:tc>
          <w:tcPr>
            <w:tcW w:w="1446" w:type="dxa"/>
            <w:vAlign w:val="center"/>
          </w:tcPr>
          <w:p w14:paraId="2E5361D5">
            <w:pPr>
              <w:spacing w:line="276" w:lineRule="auto"/>
              <w:ind w:right="73"/>
              <w:jc w:val="right"/>
              <w:rPr>
                <w:rFonts w:ascii="Calibri" w:hAnsi="Calibri"/>
                <w:sz w:val="18"/>
                <w:szCs w:val="18"/>
              </w:rPr>
            </w:pPr>
            <w:r>
              <w:rPr>
                <w:rFonts w:ascii="Calibri" w:hAnsi="Calibri"/>
                <w:sz w:val="18"/>
                <w:szCs w:val="18"/>
              </w:rPr>
              <w:t>5,654,398.60</w:t>
            </w:r>
          </w:p>
        </w:tc>
        <w:tc>
          <w:tcPr>
            <w:tcW w:w="1531" w:type="dxa"/>
            <w:vAlign w:val="center"/>
          </w:tcPr>
          <w:p w14:paraId="1E1853D6">
            <w:pPr>
              <w:spacing w:line="276" w:lineRule="auto"/>
              <w:ind w:right="73"/>
              <w:jc w:val="right"/>
              <w:rPr>
                <w:rFonts w:ascii="Calibri" w:hAnsi="Calibri"/>
                <w:sz w:val="18"/>
                <w:szCs w:val="18"/>
              </w:rPr>
            </w:pPr>
            <w:r>
              <w:rPr>
                <w:rFonts w:ascii="Calibri" w:hAnsi="Calibri"/>
                <w:sz w:val="18"/>
                <w:szCs w:val="18"/>
              </w:rPr>
              <w:t>169,504,027.65</w:t>
            </w:r>
          </w:p>
        </w:tc>
        <w:tc>
          <w:tcPr>
            <w:tcW w:w="1418" w:type="dxa"/>
            <w:vAlign w:val="center"/>
          </w:tcPr>
          <w:p w14:paraId="724F79BE">
            <w:pPr>
              <w:spacing w:line="276" w:lineRule="auto"/>
              <w:jc w:val="right"/>
              <w:rPr>
                <w:rFonts w:ascii="Calibri" w:hAnsi="Calibri"/>
                <w:sz w:val="18"/>
                <w:szCs w:val="18"/>
              </w:rPr>
            </w:pPr>
            <w:r>
              <w:rPr>
                <w:rFonts w:ascii="Calibri" w:hAnsi="Calibri"/>
                <w:sz w:val="18"/>
                <w:szCs w:val="18"/>
              </w:rPr>
              <w:t>235,125,962.99</w:t>
            </w:r>
          </w:p>
        </w:tc>
        <w:tc>
          <w:tcPr>
            <w:tcW w:w="1417" w:type="dxa"/>
            <w:vAlign w:val="center"/>
          </w:tcPr>
          <w:p w14:paraId="4FD8DAA6">
            <w:pPr>
              <w:spacing w:line="276" w:lineRule="auto"/>
              <w:jc w:val="right"/>
              <w:rPr>
                <w:rFonts w:ascii="Calibri" w:hAnsi="Calibri"/>
                <w:sz w:val="18"/>
                <w:szCs w:val="18"/>
              </w:rPr>
            </w:pPr>
            <w:r>
              <w:rPr>
                <w:rFonts w:ascii="Calibri" w:hAnsi="Calibri"/>
                <w:sz w:val="18"/>
                <w:szCs w:val="18"/>
              </w:rPr>
              <w:t>9,013,000.00</w:t>
            </w:r>
          </w:p>
        </w:tc>
        <w:tc>
          <w:tcPr>
            <w:tcW w:w="1418" w:type="dxa"/>
            <w:vAlign w:val="center"/>
          </w:tcPr>
          <w:p w14:paraId="28F26C18">
            <w:pPr>
              <w:spacing w:line="276" w:lineRule="auto"/>
              <w:jc w:val="right"/>
              <w:rPr>
                <w:rFonts w:ascii="Calibri" w:hAnsi="Calibri"/>
                <w:sz w:val="18"/>
                <w:szCs w:val="18"/>
              </w:rPr>
            </w:pPr>
            <w:r>
              <w:rPr>
                <w:rFonts w:ascii="Calibri" w:hAnsi="Calibri"/>
                <w:sz w:val="18"/>
                <w:szCs w:val="18"/>
              </w:rPr>
              <w:t>226,112,962.99</w:t>
            </w:r>
          </w:p>
        </w:tc>
      </w:tr>
    </w:tbl>
    <w:p w14:paraId="220763F8">
      <w:pPr>
        <w:sectPr>
          <w:pgSz w:w="11906" w:h="16838"/>
          <w:pgMar w:top="1440" w:right="1797" w:bottom="1525" w:left="1276" w:header="856" w:footer="992" w:gutter="0"/>
          <w:cols w:space="425" w:num="1"/>
          <w:docGrid w:linePitch="312" w:charSpace="0"/>
        </w:sectPr>
      </w:pPr>
    </w:p>
    <w:p w14:paraId="13FA0BAF"/>
    <w:p w14:paraId="59B79A81">
      <w:pPr>
        <w:pStyle w:val="6"/>
        <w:numPr>
          <w:ilvl w:val="0"/>
          <w:numId w:val="78"/>
        </w:numPr>
        <w:ind w:leftChars="0"/>
      </w:pPr>
      <w:r>
        <w:rPr>
          <w:rFonts w:hint="eastAsia"/>
        </w:rPr>
        <w:t>重要在建工程项目本期变动情况</w:t>
      </w:r>
    </w:p>
    <w:sdt>
      <w:sdtPr>
        <w:alias w:val="是否适用：重要在建工程项目本期变动情况[双击切换]"/>
        <w:tag w:val="_GBC_964f4529e8234c358a8541e8c4754ec8"/>
        <w:id w:val="-1043971789"/>
        <w:placeholder>
          <w:docPart w:val="GBC22222222222222222222222222222"/>
        </w:placeholder>
      </w:sdtPr>
      <w:sdtContent>
        <w:p w14:paraId="0D76F461">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555D629">
      <w:pPr>
        <w:jc w:val="right"/>
      </w:pPr>
      <w:r>
        <w:rPr>
          <w:rFonts w:hint="eastAsia"/>
        </w:rPr>
        <w:t>单位：</w:t>
      </w:r>
      <w:sdt>
        <w:sdtPr>
          <w:rPr>
            <w:rFonts w:hint="eastAsia"/>
          </w:rPr>
          <w:alias w:val="单位：财务附注：在建工程项目变动情况"/>
          <w:tag w:val="_GBC_9057dff5be8544c398fdbd55cff334f7"/>
          <w:id w:val="-19869243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在建工程项目变动情况"/>
          <w:tag w:val="_GBC_110e0fe0dd4f471bae83a62e58e88d74"/>
          <w:id w:val="8471392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15860"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1801"/>
        <w:gridCol w:w="1517"/>
        <w:gridCol w:w="1417"/>
        <w:gridCol w:w="1559"/>
        <w:gridCol w:w="1560"/>
        <w:gridCol w:w="1587"/>
        <w:gridCol w:w="1077"/>
        <w:gridCol w:w="1786"/>
        <w:gridCol w:w="1486"/>
      </w:tblGrid>
      <w:tr w14:paraId="5943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831" w:hRule="atLeast"/>
        </w:trPr>
        <w:sdt>
          <w:sdtPr>
            <w:tag w:val="_PLD_0072ffbc51294cefbe17dde844d0e5ed"/>
            <w:id w:val="116718878"/>
          </w:sdtPr>
          <w:sdtContent>
            <w:tc>
              <w:tcPr>
                <w:tcW w:w="2070" w:type="dxa"/>
                <w:vAlign w:val="center"/>
              </w:tcPr>
              <w:p w14:paraId="55A536B5">
                <w:pPr>
                  <w:jc w:val="center"/>
                  <w:rPr>
                    <w:rFonts w:ascii="Calibri" w:hAnsi="Calibri"/>
                    <w:sz w:val="20"/>
                    <w:szCs w:val="20"/>
                  </w:rPr>
                </w:pPr>
                <w:r>
                  <w:rPr>
                    <w:rFonts w:hint="eastAsia" w:ascii="Calibri" w:hAnsi="Calibri"/>
                    <w:sz w:val="20"/>
                    <w:szCs w:val="20"/>
                  </w:rPr>
                  <w:t>项目名称</w:t>
                </w:r>
              </w:p>
            </w:tc>
          </w:sdtContent>
        </w:sdt>
        <w:sdt>
          <w:sdtPr>
            <w:tag w:val="_PLD_6349ea6a696f4d27b00b071275a38ea5"/>
            <w:id w:val="-570039962"/>
          </w:sdtPr>
          <w:sdtContent>
            <w:tc>
              <w:tcPr>
                <w:tcW w:w="1801" w:type="dxa"/>
                <w:vAlign w:val="center"/>
              </w:tcPr>
              <w:p w14:paraId="111C0BE8">
                <w:pPr>
                  <w:jc w:val="center"/>
                  <w:rPr>
                    <w:rFonts w:ascii="Calibri" w:hAnsi="Calibri"/>
                    <w:sz w:val="20"/>
                    <w:szCs w:val="20"/>
                  </w:rPr>
                </w:pPr>
                <w:r>
                  <w:rPr>
                    <w:rFonts w:hint="eastAsia" w:ascii="Calibri" w:hAnsi="Calibri"/>
                    <w:sz w:val="20"/>
                    <w:szCs w:val="20"/>
                  </w:rPr>
                  <w:t>预算数</w:t>
                </w:r>
              </w:p>
            </w:tc>
          </w:sdtContent>
        </w:sdt>
        <w:sdt>
          <w:sdtPr>
            <w:tag w:val="_PLD_392420deb7e94f0a8026947a325da4f4"/>
            <w:id w:val="1661580374"/>
          </w:sdtPr>
          <w:sdtContent>
            <w:tc>
              <w:tcPr>
                <w:tcW w:w="1517" w:type="dxa"/>
                <w:vAlign w:val="center"/>
              </w:tcPr>
              <w:p w14:paraId="16B784CB">
                <w:pPr>
                  <w:jc w:val="center"/>
                  <w:rPr>
                    <w:rFonts w:ascii="Calibri" w:hAnsi="Calibri"/>
                    <w:sz w:val="20"/>
                    <w:szCs w:val="20"/>
                  </w:rPr>
                </w:pPr>
                <w:r>
                  <w:rPr>
                    <w:rFonts w:hint="eastAsia" w:ascii="Calibri" w:hAnsi="Calibri"/>
                    <w:sz w:val="20"/>
                    <w:szCs w:val="20"/>
                  </w:rPr>
                  <w:t>期初</w:t>
                </w:r>
              </w:p>
              <w:p w14:paraId="7E889696">
                <w:pPr>
                  <w:jc w:val="center"/>
                  <w:rPr>
                    <w:rFonts w:ascii="Calibri" w:hAnsi="Calibri"/>
                    <w:sz w:val="20"/>
                    <w:szCs w:val="20"/>
                  </w:rPr>
                </w:pPr>
                <w:r>
                  <w:rPr>
                    <w:rFonts w:hint="eastAsia" w:ascii="Calibri" w:hAnsi="Calibri"/>
                    <w:sz w:val="20"/>
                    <w:szCs w:val="20"/>
                  </w:rPr>
                  <w:t>余额</w:t>
                </w:r>
              </w:p>
            </w:tc>
          </w:sdtContent>
        </w:sdt>
        <w:sdt>
          <w:sdtPr>
            <w:tag w:val="_PLD_de4faed3465b4da6b8ac35d7e677431c"/>
            <w:id w:val="-1338149290"/>
          </w:sdtPr>
          <w:sdtContent>
            <w:tc>
              <w:tcPr>
                <w:tcW w:w="1417" w:type="dxa"/>
                <w:vAlign w:val="center"/>
              </w:tcPr>
              <w:p w14:paraId="77CD6617">
                <w:pPr>
                  <w:jc w:val="center"/>
                  <w:rPr>
                    <w:rFonts w:ascii="Calibri" w:hAnsi="Calibri"/>
                    <w:sz w:val="20"/>
                    <w:szCs w:val="20"/>
                  </w:rPr>
                </w:pPr>
                <w:r>
                  <w:rPr>
                    <w:rFonts w:hint="eastAsia" w:ascii="Calibri" w:hAnsi="Calibri"/>
                    <w:sz w:val="20"/>
                    <w:szCs w:val="20"/>
                  </w:rPr>
                  <w:t>本期增加金额</w:t>
                </w:r>
              </w:p>
            </w:tc>
          </w:sdtContent>
        </w:sdt>
        <w:sdt>
          <w:sdtPr>
            <w:tag w:val="_PLD_51ce4224316b4f4b99a8fb0c8e4500a5"/>
            <w:id w:val="176468383"/>
          </w:sdtPr>
          <w:sdtContent>
            <w:tc>
              <w:tcPr>
                <w:tcW w:w="1559" w:type="dxa"/>
                <w:vAlign w:val="center"/>
              </w:tcPr>
              <w:p w14:paraId="28ECA5D7">
                <w:pPr>
                  <w:jc w:val="center"/>
                  <w:rPr>
                    <w:rFonts w:ascii="Calibri" w:hAnsi="Calibri"/>
                    <w:sz w:val="20"/>
                    <w:szCs w:val="20"/>
                  </w:rPr>
                </w:pPr>
                <w:r>
                  <w:rPr>
                    <w:rFonts w:hint="eastAsia" w:ascii="Calibri" w:hAnsi="Calibri"/>
                    <w:sz w:val="20"/>
                    <w:szCs w:val="20"/>
                  </w:rPr>
                  <w:t>本期转入固定资产金额</w:t>
                </w:r>
              </w:p>
            </w:tc>
          </w:sdtContent>
        </w:sdt>
        <w:sdt>
          <w:sdtPr>
            <w:tag w:val="_PLD_d80ffbe10b944f57a31723041ffbcbdf"/>
            <w:id w:val="2101131184"/>
          </w:sdtPr>
          <w:sdtContent>
            <w:tc>
              <w:tcPr>
                <w:tcW w:w="1560" w:type="dxa"/>
                <w:vAlign w:val="center"/>
              </w:tcPr>
              <w:p w14:paraId="6FC61382">
                <w:pPr>
                  <w:jc w:val="center"/>
                  <w:rPr>
                    <w:rFonts w:ascii="Calibri" w:hAnsi="Calibri"/>
                    <w:sz w:val="20"/>
                    <w:szCs w:val="20"/>
                  </w:rPr>
                </w:pPr>
                <w:r>
                  <w:rPr>
                    <w:rFonts w:hint="eastAsia" w:ascii="Calibri" w:hAnsi="Calibri"/>
                    <w:sz w:val="20"/>
                    <w:szCs w:val="20"/>
                  </w:rPr>
                  <w:t>本期其他减少金额</w:t>
                </w:r>
              </w:p>
            </w:tc>
          </w:sdtContent>
        </w:sdt>
        <w:sdt>
          <w:sdtPr>
            <w:tag w:val="_PLD_c8b617c64ad64a03834695d9bc0b8d2f"/>
            <w:id w:val="812603700"/>
          </w:sdtPr>
          <w:sdtContent>
            <w:tc>
              <w:tcPr>
                <w:tcW w:w="1587" w:type="dxa"/>
                <w:vAlign w:val="center"/>
              </w:tcPr>
              <w:p w14:paraId="78C3200B">
                <w:pPr>
                  <w:jc w:val="center"/>
                  <w:rPr>
                    <w:rFonts w:ascii="Calibri" w:hAnsi="Calibri"/>
                    <w:sz w:val="20"/>
                    <w:szCs w:val="20"/>
                  </w:rPr>
                </w:pPr>
                <w:r>
                  <w:rPr>
                    <w:rFonts w:hint="eastAsia" w:ascii="Calibri" w:hAnsi="Calibri"/>
                    <w:sz w:val="20"/>
                    <w:szCs w:val="20"/>
                  </w:rPr>
                  <w:t>期末</w:t>
                </w:r>
              </w:p>
              <w:p w14:paraId="0E663DD5">
                <w:pPr>
                  <w:jc w:val="center"/>
                  <w:rPr>
                    <w:rFonts w:ascii="Calibri" w:hAnsi="Calibri"/>
                    <w:sz w:val="20"/>
                    <w:szCs w:val="20"/>
                  </w:rPr>
                </w:pPr>
                <w:r>
                  <w:rPr>
                    <w:rFonts w:hint="eastAsia" w:ascii="Calibri" w:hAnsi="Calibri"/>
                    <w:sz w:val="20"/>
                    <w:szCs w:val="20"/>
                  </w:rPr>
                  <w:t>余额</w:t>
                </w:r>
              </w:p>
            </w:tc>
          </w:sdtContent>
        </w:sdt>
        <w:sdt>
          <w:sdtPr>
            <w:tag w:val="_PLD_738551d97ef741f093f852402c423e47"/>
            <w:id w:val="1697890562"/>
          </w:sdtPr>
          <w:sdtContent>
            <w:tc>
              <w:tcPr>
                <w:tcW w:w="1077" w:type="dxa"/>
                <w:vAlign w:val="center"/>
              </w:tcPr>
              <w:p w14:paraId="7677EB59">
                <w:pPr>
                  <w:jc w:val="center"/>
                  <w:rPr>
                    <w:rFonts w:ascii="Calibri" w:hAnsi="Calibri"/>
                    <w:sz w:val="20"/>
                    <w:szCs w:val="20"/>
                  </w:rPr>
                </w:pPr>
                <w:r>
                  <w:rPr>
                    <w:rFonts w:hint="eastAsia" w:ascii="Calibri" w:hAnsi="Calibri"/>
                    <w:sz w:val="20"/>
                    <w:szCs w:val="20"/>
                  </w:rPr>
                  <w:t>工程累计投入占预算比例(%)</w:t>
                </w:r>
              </w:p>
            </w:tc>
          </w:sdtContent>
        </w:sdt>
        <w:sdt>
          <w:sdtPr>
            <w:tag w:val="_PLD_0f7f749f98e74f33ae9032c17002d136"/>
            <w:id w:val="-1115203084"/>
          </w:sdtPr>
          <w:sdtContent>
            <w:tc>
              <w:tcPr>
                <w:tcW w:w="1786" w:type="dxa"/>
                <w:vAlign w:val="center"/>
              </w:tcPr>
              <w:p w14:paraId="6C01F546">
                <w:pPr>
                  <w:jc w:val="center"/>
                  <w:rPr>
                    <w:rFonts w:ascii="Calibri" w:hAnsi="Calibri"/>
                    <w:sz w:val="20"/>
                    <w:szCs w:val="20"/>
                  </w:rPr>
                </w:pPr>
                <w:r>
                  <w:rPr>
                    <w:rFonts w:hint="eastAsia" w:ascii="Calibri" w:hAnsi="Calibri"/>
                    <w:sz w:val="20"/>
                    <w:szCs w:val="20"/>
                  </w:rPr>
                  <w:t>工程进度</w:t>
                </w:r>
              </w:p>
            </w:tc>
          </w:sdtContent>
        </w:sdt>
        <w:sdt>
          <w:sdtPr>
            <w:tag w:val="_PLD_6015e39597424a7ea59d45da3ff56e99"/>
            <w:id w:val="-1357270026"/>
          </w:sdtPr>
          <w:sdtContent>
            <w:tc>
              <w:tcPr>
                <w:tcW w:w="1486" w:type="dxa"/>
                <w:vAlign w:val="center"/>
              </w:tcPr>
              <w:p w14:paraId="47AAA9AF">
                <w:pPr>
                  <w:jc w:val="center"/>
                  <w:rPr>
                    <w:rFonts w:ascii="Calibri" w:hAnsi="Calibri"/>
                    <w:sz w:val="20"/>
                    <w:szCs w:val="20"/>
                  </w:rPr>
                </w:pPr>
                <w:r>
                  <w:rPr>
                    <w:rFonts w:hint="eastAsia" w:ascii="Calibri" w:hAnsi="Calibri"/>
                    <w:sz w:val="20"/>
                    <w:szCs w:val="20"/>
                  </w:rPr>
                  <w:t>资金来源</w:t>
                </w:r>
              </w:p>
            </w:tc>
          </w:sdtContent>
        </w:sdt>
      </w:tr>
      <w:tr w14:paraId="6F28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41" w:hRule="atLeast"/>
        </w:trPr>
        <w:tc>
          <w:tcPr>
            <w:tcW w:w="2070" w:type="dxa"/>
            <w:vAlign w:val="center"/>
          </w:tcPr>
          <w:p w14:paraId="36F4C2C5">
            <w:pPr>
              <w:pStyle w:val="48"/>
              <w:rPr>
                <w:sz w:val="20"/>
                <w:szCs w:val="20"/>
              </w:rPr>
            </w:pPr>
            <w:r>
              <w:rPr>
                <w:sz w:val="20"/>
                <w:szCs w:val="20"/>
              </w:rPr>
              <w:t>超速效赖脯胰岛素注射液项目质量控制中心</w:t>
            </w:r>
          </w:p>
        </w:tc>
        <w:tc>
          <w:tcPr>
            <w:tcW w:w="1801" w:type="dxa"/>
            <w:vMerge w:val="restart"/>
            <w:vAlign w:val="center"/>
          </w:tcPr>
          <w:p w14:paraId="73F21CE7">
            <w:pPr>
              <w:jc w:val="right"/>
              <w:rPr>
                <w:rFonts w:ascii="Calibri" w:hAnsi="Calibri"/>
                <w:sz w:val="20"/>
                <w:szCs w:val="20"/>
              </w:rPr>
            </w:pPr>
            <w:r>
              <w:rPr>
                <w:rFonts w:ascii="Calibri" w:hAnsi="Calibri"/>
                <w:sz w:val="20"/>
                <w:szCs w:val="20"/>
              </w:rPr>
              <w:t>235,800,000.00</w:t>
            </w:r>
          </w:p>
        </w:tc>
        <w:tc>
          <w:tcPr>
            <w:tcW w:w="1517" w:type="dxa"/>
            <w:vAlign w:val="center"/>
          </w:tcPr>
          <w:p w14:paraId="40F2007B">
            <w:pPr>
              <w:jc w:val="right"/>
              <w:rPr>
                <w:rFonts w:ascii="Calibri" w:hAnsi="Calibri"/>
                <w:sz w:val="20"/>
                <w:szCs w:val="20"/>
              </w:rPr>
            </w:pPr>
            <w:r>
              <w:rPr>
                <w:rFonts w:ascii="Calibri" w:hAnsi="Calibri"/>
                <w:sz w:val="20"/>
                <w:szCs w:val="20"/>
              </w:rPr>
              <w:t>16,768,186.30</w:t>
            </w:r>
          </w:p>
        </w:tc>
        <w:tc>
          <w:tcPr>
            <w:tcW w:w="1417" w:type="dxa"/>
            <w:vAlign w:val="center"/>
          </w:tcPr>
          <w:p w14:paraId="4AEB6AA1">
            <w:pPr>
              <w:jc w:val="right"/>
              <w:rPr>
                <w:rFonts w:ascii="Calibri" w:hAnsi="Calibri"/>
                <w:sz w:val="20"/>
                <w:szCs w:val="20"/>
              </w:rPr>
            </w:pPr>
            <w:r>
              <w:rPr>
                <w:rFonts w:ascii="Calibri" w:hAnsi="Calibri"/>
                <w:sz w:val="20"/>
                <w:szCs w:val="20"/>
              </w:rPr>
              <w:t>219,780.31</w:t>
            </w:r>
          </w:p>
        </w:tc>
        <w:tc>
          <w:tcPr>
            <w:tcW w:w="1559" w:type="dxa"/>
            <w:vAlign w:val="center"/>
          </w:tcPr>
          <w:p w14:paraId="264C3810">
            <w:pPr>
              <w:jc w:val="right"/>
              <w:rPr>
                <w:rFonts w:ascii="Calibri" w:hAnsi="Calibri"/>
                <w:sz w:val="20"/>
                <w:szCs w:val="20"/>
              </w:rPr>
            </w:pPr>
          </w:p>
        </w:tc>
        <w:tc>
          <w:tcPr>
            <w:tcW w:w="1560" w:type="dxa"/>
            <w:vAlign w:val="center"/>
          </w:tcPr>
          <w:p w14:paraId="334ECB21">
            <w:pPr>
              <w:jc w:val="right"/>
              <w:rPr>
                <w:rFonts w:ascii="Calibri" w:hAnsi="Calibri"/>
                <w:sz w:val="20"/>
                <w:szCs w:val="20"/>
              </w:rPr>
            </w:pPr>
          </w:p>
        </w:tc>
        <w:tc>
          <w:tcPr>
            <w:tcW w:w="1587" w:type="dxa"/>
            <w:vAlign w:val="center"/>
          </w:tcPr>
          <w:p w14:paraId="7F9DC163">
            <w:pPr>
              <w:jc w:val="right"/>
              <w:rPr>
                <w:rFonts w:ascii="Calibri" w:hAnsi="Calibri"/>
                <w:sz w:val="20"/>
                <w:szCs w:val="20"/>
              </w:rPr>
            </w:pPr>
            <w:r>
              <w:rPr>
                <w:rFonts w:ascii="Calibri" w:hAnsi="Calibri"/>
                <w:sz w:val="20"/>
                <w:szCs w:val="20"/>
              </w:rPr>
              <w:t>16,987,966.61</w:t>
            </w:r>
          </w:p>
        </w:tc>
        <w:tc>
          <w:tcPr>
            <w:tcW w:w="1077" w:type="dxa"/>
            <w:vMerge w:val="restart"/>
            <w:vAlign w:val="center"/>
          </w:tcPr>
          <w:p w14:paraId="40A9E970">
            <w:pPr>
              <w:jc w:val="right"/>
              <w:rPr>
                <w:rFonts w:ascii="Calibri" w:hAnsi="Calibri"/>
                <w:sz w:val="20"/>
                <w:szCs w:val="20"/>
              </w:rPr>
            </w:pPr>
            <w:r>
              <w:rPr>
                <w:rFonts w:ascii="Calibri" w:hAnsi="Calibri"/>
                <w:sz w:val="20"/>
                <w:szCs w:val="20"/>
              </w:rPr>
              <w:t>39.22</w:t>
            </w:r>
          </w:p>
          <w:p w14:paraId="689EC848">
            <w:pPr>
              <w:jc w:val="right"/>
              <w:rPr>
                <w:rFonts w:ascii="Calibri" w:hAnsi="Calibri"/>
                <w:sz w:val="20"/>
                <w:szCs w:val="20"/>
              </w:rPr>
            </w:pPr>
          </w:p>
        </w:tc>
        <w:tc>
          <w:tcPr>
            <w:tcW w:w="1786" w:type="dxa"/>
            <w:vMerge w:val="restart"/>
            <w:vAlign w:val="center"/>
          </w:tcPr>
          <w:p w14:paraId="26E9EE80">
            <w:pPr>
              <w:pStyle w:val="48"/>
              <w:rPr>
                <w:sz w:val="20"/>
                <w:szCs w:val="20"/>
              </w:rPr>
            </w:pPr>
            <w:r>
              <w:rPr>
                <w:sz w:val="20"/>
                <w:szCs w:val="20"/>
              </w:rPr>
              <w:t>已完成主体建设，机器设备未安装</w:t>
            </w:r>
          </w:p>
          <w:p w14:paraId="5A6CE398">
            <w:pPr>
              <w:pStyle w:val="48"/>
              <w:rPr>
                <w:sz w:val="20"/>
                <w:szCs w:val="20"/>
              </w:rPr>
            </w:pPr>
          </w:p>
        </w:tc>
        <w:tc>
          <w:tcPr>
            <w:tcW w:w="1486" w:type="dxa"/>
            <w:vAlign w:val="center"/>
          </w:tcPr>
          <w:p w14:paraId="15899F01">
            <w:pPr>
              <w:pStyle w:val="48"/>
              <w:jc w:val="center"/>
              <w:rPr>
                <w:sz w:val="20"/>
                <w:szCs w:val="20"/>
              </w:rPr>
            </w:pPr>
            <w:r>
              <w:rPr>
                <w:sz w:val="20"/>
                <w:szCs w:val="20"/>
              </w:rPr>
              <w:t>自筹资金</w:t>
            </w:r>
          </w:p>
        </w:tc>
      </w:tr>
      <w:tr w14:paraId="1782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trPr>
        <w:tc>
          <w:tcPr>
            <w:tcW w:w="2070" w:type="dxa"/>
            <w:vAlign w:val="center"/>
          </w:tcPr>
          <w:p w14:paraId="23C2B81A">
            <w:pPr>
              <w:pStyle w:val="48"/>
              <w:rPr>
                <w:sz w:val="20"/>
                <w:szCs w:val="20"/>
              </w:rPr>
            </w:pPr>
            <w:r>
              <w:rPr>
                <w:sz w:val="20"/>
                <w:szCs w:val="20"/>
              </w:rPr>
              <w:t>超速效赖脯胰岛素注射液生产基地</w:t>
            </w:r>
          </w:p>
        </w:tc>
        <w:tc>
          <w:tcPr>
            <w:tcW w:w="1801" w:type="dxa"/>
            <w:vMerge w:val="continue"/>
            <w:vAlign w:val="center"/>
          </w:tcPr>
          <w:p w14:paraId="2B9D5435">
            <w:pPr>
              <w:jc w:val="right"/>
              <w:rPr>
                <w:rFonts w:ascii="Calibri" w:hAnsi="Calibri"/>
                <w:sz w:val="20"/>
                <w:szCs w:val="20"/>
              </w:rPr>
            </w:pPr>
          </w:p>
        </w:tc>
        <w:tc>
          <w:tcPr>
            <w:tcW w:w="1517" w:type="dxa"/>
            <w:vAlign w:val="center"/>
          </w:tcPr>
          <w:p w14:paraId="40CE07F7">
            <w:pPr>
              <w:jc w:val="right"/>
              <w:rPr>
                <w:rFonts w:ascii="Calibri" w:hAnsi="Calibri"/>
                <w:sz w:val="20"/>
                <w:szCs w:val="20"/>
              </w:rPr>
            </w:pPr>
            <w:r>
              <w:rPr>
                <w:rFonts w:ascii="Calibri" w:hAnsi="Calibri"/>
                <w:sz w:val="20"/>
                <w:szCs w:val="20"/>
              </w:rPr>
              <w:t>75,136,777.37</w:t>
            </w:r>
          </w:p>
        </w:tc>
        <w:tc>
          <w:tcPr>
            <w:tcW w:w="1417" w:type="dxa"/>
            <w:vAlign w:val="center"/>
          </w:tcPr>
          <w:p w14:paraId="303F5AB4">
            <w:pPr>
              <w:jc w:val="right"/>
              <w:rPr>
                <w:rFonts w:ascii="Calibri" w:hAnsi="Calibri"/>
                <w:sz w:val="20"/>
                <w:szCs w:val="20"/>
              </w:rPr>
            </w:pPr>
            <w:r>
              <w:rPr>
                <w:rFonts w:ascii="Calibri" w:hAnsi="Calibri"/>
                <w:sz w:val="20"/>
                <w:szCs w:val="20"/>
              </w:rPr>
              <w:t>358,038.39</w:t>
            </w:r>
          </w:p>
        </w:tc>
        <w:tc>
          <w:tcPr>
            <w:tcW w:w="1559" w:type="dxa"/>
            <w:vAlign w:val="center"/>
          </w:tcPr>
          <w:p w14:paraId="56C5498A">
            <w:pPr>
              <w:jc w:val="right"/>
              <w:rPr>
                <w:rFonts w:ascii="Calibri" w:hAnsi="Calibri"/>
                <w:sz w:val="20"/>
                <w:szCs w:val="20"/>
              </w:rPr>
            </w:pPr>
          </w:p>
        </w:tc>
        <w:tc>
          <w:tcPr>
            <w:tcW w:w="1560" w:type="dxa"/>
            <w:vAlign w:val="center"/>
          </w:tcPr>
          <w:p w14:paraId="3301D973">
            <w:pPr>
              <w:jc w:val="right"/>
              <w:rPr>
                <w:rFonts w:ascii="Calibri" w:hAnsi="Calibri"/>
                <w:sz w:val="20"/>
                <w:szCs w:val="20"/>
              </w:rPr>
            </w:pPr>
          </w:p>
        </w:tc>
        <w:tc>
          <w:tcPr>
            <w:tcW w:w="1587" w:type="dxa"/>
            <w:vAlign w:val="center"/>
          </w:tcPr>
          <w:p w14:paraId="041E9AD6">
            <w:pPr>
              <w:jc w:val="right"/>
              <w:rPr>
                <w:rFonts w:ascii="Calibri" w:hAnsi="Calibri"/>
                <w:sz w:val="20"/>
                <w:szCs w:val="20"/>
              </w:rPr>
            </w:pPr>
            <w:r>
              <w:rPr>
                <w:rFonts w:ascii="Calibri" w:hAnsi="Calibri"/>
                <w:sz w:val="20"/>
                <w:szCs w:val="20"/>
              </w:rPr>
              <w:t>75,494,815.76</w:t>
            </w:r>
          </w:p>
        </w:tc>
        <w:tc>
          <w:tcPr>
            <w:tcW w:w="1077" w:type="dxa"/>
            <w:vMerge w:val="continue"/>
            <w:vAlign w:val="center"/>
          </w:tcPr>
          <w:p w14:paraId="67FED7F8">
            <w:pPr>
              <w:jc w:val="right"/>
              <w:rPr>
                <w:rFonts w:ascii="Calibri" w:hAnsi="Calibri"/>
                <w:sz w:val="20"/>
                <w:szCs w:val="20"/>
              </w:rPr>
            </w:pPr>
          </w:p>
        </w:tc>
        <w:tc>
          <w:tcPr>
            <w:tcW w:w="1786" w:type="dxa"/>
            <w:vMerge w:val="continue"/>
            <w:vAlign w:val="center"/>
          </w:tcPr>
          <w:p w14:paraId="43EA8CEE">
            <w:pPr>
              <w:pStyle w:val="48"/>
              <w:rPr>
                <w:sz w:val="20"/>
                <w:szCs w:val="20"/>
              </w:rPr>
            </w:pPr>
          </w:p>
        </w:tc>
        <w:tc>
          <w:tcPr>
            <w:tcW w:w="1486" w:type="dxa"/>
            <w:vAlign w:val="center"/>
          </w:tcPr>
          <w:p w14:paraId="316E7438">
            <w:pPr>
              <w:pStyle w:val="48"/>
              <w:jc w:val="center"/>
              <w:rPr>
                <w:sz w:val="20"/>
                <w:szCs w:val="20"/>
              </w:rPr>
            </w:pPr>
            <w:r>
              <w:rPr>
                <w:sz w:val="20"/>
                <w:szCs w:val="20"/>
              </w:rPr>
              <w:t>自筹资金</w:t>
            </w:r>
          </w:p>
        </w:tc>
      </w:tr>
      <w:tr w14:paraId="0688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trPr>
        <w:tc>
          <w:tcPr>
            <w:tcW w:w="2070" w:type="dxa"/>
            <w:vAlign w:val="center"/>
          </w:tcPr>
          <w:p w14:paraId="00B3B9FE">
            <w:pPr>
              <w:pStyle w:val="48"/>
              <w:rPr>
                <w:sz w:val="20"/>
                <w:szCs w:val="20"/>
              </w:rPr>
            </w:pPr>
            <w:r>
              <w:rPr>
                <w:sz w:val="20"/>
                <w:szCs w:val="20"/>
              </w:rPr>
              <w:t>注射液四车间西林瓶生产线建设项目</w:t>
            </w:r>
          </w:p>
        </w:tc>
        <w:tc>
          <w:tcPr>
            <w:tcW w:w="1801" w:type="dxa"/>
            <w:vAlign w:val="center"/>
          </w:tcPr>
          <w:p w14:paraId="1C68E10D">
            <w:pPr>
              <w:jc w:val="right"/>
              <w:rPr>
                <w:rFonts w:ascii="Calibri" w:hAnsi="Calibri"/>
                <w:sz w:val="20"/>
                <w:szCs w:val="20"/>
              </w:rPr>
            </w:pPr>
            <w:r>
              <w:rPr>
                <w:rFonts w:ascii="Calibri" w:hAnsi="Calibri"/>
                <w:sz w:val="20"/>
                <w:szCs w:val="20"/>
              </w:rPr>
              <w:t>132,000,000.00</w:t>
            </w:r>
          </w:p>
        </w:tc>
        <w:tc>
          <w:tcPr>
            <w:tcW w:w="1517" w:type="dxa"/>
            <w:vAlign w:val="center"/>
          </w:tcPr>
          <w:p w14:paraId="004B482A">
            <w:pPr>
              <w:jc w:val="right"/>
              <w:rPr>
                <w:rFonts w:ascii="Calibri" w:hAnsi="Calibri"/>
                <w:sz w:val="20"/>
                <w:szCs w:val="20"/>
              </w:rPr>
            </w:pPr>
          </w:p>
        </w:tc>
        <w:tc>
          <w:tcPr>
            <w:tcW w:w="1417" w:type="dxa"/>
            <w:vAlign w:val="center"/>
          </w:tcPr>
          <w:p w14:paraId="280DD2C3">
            <w:pPr>
              <w:jc w:val="right"/>
              <w:rPr>
                <w:rFonts w:ascii="Calibri" w:hAnsi="Calibri"/>
                <w:sz w:val="20"/>
                <w:szCs w:val="20"/>
              </w:rPr>
            </w:pPr>
            <w:r>
              <w:rPr>
                <w:rFonts w:ascii="Calibri" w:hAnsi="Calibri"/>
                <w:sz w:val="20"/>
                <w:szCs w:val="20"/>
              </w:rPr>
              <w:t>61,888,837.05</w:t>
            </w:r>
          </w:p>
        </w:tc>
        <w:tc>
          <w:tcPr>
            <w:tcW w:w="1559" w:type="dxa"/>
            <w:vAlign w:val="center"/>
          </w:tcPr>
          <w:p w14:paraId="6CC0ACA8">
            <w:pPr>
              <w:jc w:val="right"/>
              <w:rPr>
                <w:rFonts w:ascii="Calibri" w:hAnsi="Calibri"/>
                <w:sz w:val="20"/>
                <w:szCs w:val="20"/>
              </w:rPr>
            </w:pPr>
          </w:p>
        </w:tc>
        <w:tc>
          <w:tcPr>
            <w:tcW w:w="1560" w:type="dxa"/>
            <w:vAlign w:val="center"/>
          </w:tcPr>
          <w:p w14:paraId="1565FAF3">
            <w:pPr>
              <w:jc w:val="right"/>
              <w:rPr>
                <w:rFonts w:ascii="Calibri" w:hAnsi="Calibri"/>
                <w:sz w:val="20"/>
                <w:szCs w:val="20"/>
              </w:rPr>
            </w:pPr>
          </w:p>
        </w:tc>
        <w:tc>
          <w:tcPr>
            <w:tcW w:w="1587" w:type="dxa"/>
            <w:vAlign w:val="center"/>
          </w:tcPr>
          <w:p w14:paraId="3858F0B2">
            <w:pPr>
              <w:jc w:val="right"/>
              <w:rPr>
                <w:rFonts w:ascii="Calibri" w:hAnsi="Calibri"/>
                <w:sz w:val="20"/>
                <w:szCs w:val="20"/>
              </w:rPr>
            </w:pPr>
            <w:r>
              <w:rPr>
                <w:rFonts w:ascii="Calibri" w:hAnsi="Calibri"/>
                <w:sz w:val="20"/>
                <w:szCs w:val="20"/>
              </w:rPr>
              <w:t>61,888,837.05</w:t>
            </w:r>
          </w:p>
        </w:tc>
        <w:tc>
          <w:tcPr>
            <w:tcW w:w="1077" w:type="dxa"/>
            <w:vAlign w:val="center"/>
          </w:tcPr>
          <w:p w14:paraId="11A62AF9">
            <w:pPr>
              <w:jc w:val="right"/>
              <w:rPr>
                <w:rFonts w:ascii="Calibri" w:hAnsi="Calibri"/>
                <w:sz w:val="20"/>
                <w:szCs w:val="20"/>
              </w:rPr>
            </w:pPr>
            <w:r>
              <w:rPr>
                <w:rFonts w:ascii="Calibri" w:hAnsi="Calibri"/>
                <w:sz w:val="20"/>
                <w:szCs w:val="20"/>
              </w:rPr>
              <w:t>46.89</w:t>
            </w:r>
          </w:p>
        </w:tc>
        <w:tc>
          <w:tcPr>
            <w:tcW w:w="1786" w:type="dxa"/>
            <w:vAlign w:val="center"/>
          </w:tcPr>
          <w:p w14:paraId="589287C1">
            <w:pPr>
              <w:pStyle w:val="48"/>
              <w:rPr>
                <w:sz w:val="20"/>
                <w:szCs w:val="20"/>
              </w:rPr>
            </w:pPr>
            <w:r>
              <w:rPr>
                <w:sz w:val="20"/>
                <w:szCs w:val="20"/>
              </w:rPr>
              <w:t>基建部分由胰岛素类似物注射液（甘精胰岛素，门冬胰岛素）生产线项目转入，生产线机器设备待安装验收</w:t>
            </w:r>
          </w:p>
        </w:tc>
        <w:tc>
          <w:tcPr>
            <w:tcW w:w="1486" w:type="dxa"/>
            <w:vAlign w:val="center"/>
          </w:tcPr>
          <w:p w14:paraId="79271090">
            <w:pPr>
              <w:pStyle w:val="48"/>
              <w:jc w:val="center"/>
              <w:rPr>
                <w:sz w:val="20"/>
                <w:szCs w:val="20"/>
              </w:rPr>
            </w:pPr>
            <w:r>
              <w:rPr>
                <w:sz w:val="20"/>
                <w:szCs w:val="20"/>
              </w:rPr>
              <w:t>自筹资金</w:t>
            </w:r>
          </w:p>
        </w:tc>
      </w:tr>
      <w:tr w14:paraId="7BCF2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trPr>
        <w:tc>
          <w:tcPr>
            <w:tcW w:w="2070" w:type="dxa"/>
            <w:vAlign w:val="center"/>
          </w:tcPr>
          <w:p w14:paraId="44079CF0">
            <w:pPr>
              <w:pStyle w:val="48"/>
              <w:rPr>
                <w:sz w:val="20"/>
                <w:szCs w:val="20"/>
              </w:rPr>
            </w:pPr>
            <w:r>
              <w:rPr>
                <w:sz w:val="20"/>
                <w:szCs w:val="20"/>
              </w:rPr>
              <w:t>产业园原料药一车间改造项目</w:t>
            </w:r>
          </w:p>
        </w:tc>
        <w:tc>
          <w:tcPr>
            <w:tcW w:w="1801" w:type="dxa"/>
            <w:vAlign w:val="center"/>
          </w:tcPr>
          <w:p w14:paraId="0B0E59B7">
            <w:pPr>
              <w:jc w:val="right"/>
              <w:rPr>
                <w:rFonts w:ascii="Calibri" w:hAnsi="Calibri"/>
                <w:sz w:val="20"/>
                <w:szCs w:val="20"/>
              </w:rPr>
            </w:pPr>
            <w:r>
              <w:rPr>
                <w:rFonts w:ascii="Calibri" w:hAnsi="Calibri"/>
                <w:sz w:val="20"/>
                <w:szCs w:val="20"/>
              </w:rPr>
              <w:t>10,760,000.00</w:t>
            </w:r>
          </w:p>
        </w:tc>
        <w:tc>
          <w:tcPr>
            <w:tcW w:w="1517" w:type="dxa"/>
            <w:vAlign w:val="center"/>
          </w:tcPr>
          <w:p w14:paraId="4BEC6BB9">
            <w:pPr>
              <w:jc w:val="right"/>
              <w:rPr>
                <w:rFonts w:ascii="Calibri" w:hAnsi="Calibri"/>
                <w:sz w:val="20"/>
                <w:szCs w:val="20"/>
              </w:rPr>
            </w:pPr>
          </w:p>
        </w:tc>
        <w:tc>
          <w:tcPr>
            <w:tcW w:w="1417" w:type="dxa"/>
            <w:vAlign w:val="center"/>
          </w:tcPr>
          <w:p w14:paraId="40D3757D">
            <w:pPr>
              <w:jc w:val="right"/>
              <w:rPr>
                <w:rFonts w:ascii="Calibri" w:hAnsi="Calibri"/>
                <w:sz w:val="20"/>
                <w:szCs w:val="20"/>
              </w:rPr>
            </w:pPr>
            <w:r>
              <w:rPr>
                <w:rFonts w:ascii="Calibri" w:hAnsi="Calibri"/>
                <w:sz w:val="20"/>
                <w:szCs w:val="20"/>
              </w:rPr>
              <w:t>13,745,946.80</w:t>
            </w:r>
          </w:p>
        </w:tc>
        <w:tc>
          <w:tcPr>
            <w:tcW w:w="1559" w:type="dxa"/>
            <w:vAlign w:val="center"/>
          </w:tcPr>
          <w:p w14:paraId="37FDD96F">
            <w:pPr>
              <w:jc w:val="right"/>
              <w:rPr>
                <w:rFonts w:ascii="Calibri" w:hAnsi="Calibri"/>
                <w:sz w:val="20"/>
                <w:szCs w:val="20"/>
              </w:rPr>
            </w:pPr>
          </w:p>
        </w:tc>
        <w:tc>
          <w:tcPr>
            <w:tcW w:w="1560" w:type="dxa"/>
            <w:vAlign w:val="center"/>
          </w:tcPr>
          <w:p w14:paraId="2C1AC17D">
            <w:pPr>
              <w:jc w:val="right"/>
              <w:rPr>
                <w:rFonts w:ascii="Calibri" w:hAnsi="Calibri"/>
                <w:sz w:val="20"/>
                <w:szCs w:val="20"/>
              </w:rPr>
            </w:pPr>
          </w:p>
        </w:tc>
        <w:tc>
          <w:tcPr>
            <w:tcW w:w="1587" w:type="dxa"/>
            <w:vAlign w:val="center"/>
          </w:tcPr>
          <w:p w14:paraId="1A0225CE">
            <w:pPr>
              <w:jc w:val="right"/>
              <w:rPr>
                <w:rFonts w:ascii="Calibri" w:hAnsi="Calibri"/>
                <w:sz w:val="20"/>
                <w:szCs w:val="20"/>
              </w:rPr>
            </w:pPr>
            <w:r>
              <w:rPr>
                <w:rFonts w:ascii="Calibri" w:hAnsi="Calibri"/>
                <w:sz w:val="20"/>
                <w:szCs w:val="20"/>
              </w:rPr>
              <w:t>13,745,946.80</w:t>
            </w:r>
          </w:p>
        </w:tc>
        <w:tc>
          <w:tcPr>
            <w:tcW w:w="1077" w:type="dxa"/>
            <w:vAlign w:val="center"/>
          </w:tcPr>
          <w:p w14:paraId="788653EB">
            <w:pPr>
              <w:jc w:val="right"/>
              <w:rPr>
                <w:rFonts w:ascii="Calibri" w:hAnsi="Calibri"/>
                <w:sz w:val="20"/>
                <w:szCs w:val="20"/>
              </w:rPr>
            </w:pPr>
            <w:r>
              <w:rPr>
                <w:rFonts w:ascii="Calibri" w:hAnsi="Calibri"/>
                <w:sz w:val="20"/>
                <w:szCs w:val="20"/>
              </w:rPr>
              <w:t>127.75</w:t>
            </w:r>
          </w:p>
        </w:tc>
        <w:tc>
          <w:tcPr>
            <w:tcW w:w="1786" w:type="dxa"/>
            <w:vAlign w:val="center"/>
          </w:tcPr>
          <w:p w14:paraId="1D141B44">
            <w:pPr>
              <w:pStyle w:val="48"/>
              <w:rPr>
                <w:sz w:val="20"/>
                <w:szCs w:val="20"/>
              </w:rPr>
            </w:pPr>
            <w:r>
              <w:rPr>
                <w:sz w:val="20"/>
                <w:szCs w:val="20"/>
              </w:rPr>
              <w:t>调试已完成待验收</w:t>
            </w:r>
          </w:p>
        </w:tc>
        <w:tc>
          <w:tcPr>
            <w:tcW w:w="1486" w:type="dxa"/>
            <w:vAlign w:val="center"/>
          </w:tcPr>
          <w:p w14:paraId="771C9605">
            <w:pPr>
              <w:pStyle w:val="48"/>
              <w:jc w:val="center"/>
              <w:rPr>
                <w:sz w:val="20"/>
                <w:szCs w:val="20"/>
              </w:rPr>
            </w:pPr>
            <w:r>
              <w:rPr>
                <w:sz w:val="20"/>
                <w:szCs w:val="20"/>
              </w:rPr>
              <w:t>自筹资金</w:t>
            </w:r>
          </w:p>
        </w:tc>
      </w:tr>
      <w:tr w14:paraId="7F86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trPr>
        <w:tc>
          <w:tcPr>
            <w:tcW w:w="2070" w:type="dxa"/>
            <w:vAlign w:val="center"/>
          </w:tcPr>
          <w:p w14:paraId="3B963F3B">
            <w:pPr>
              <w:pStyle w:val="48"/>
              <w:rPr>
                <w:sz w:val="20"/>
                <w:szCs w:val="20"/>
              </w:rPr>
            </w:pPr>
            <w:r>
              <w:rPr>
                <w:sz w:val="20"/>
                <w:szCs w:val="20"/>
              </w:rPr>
              <w:t>超速效赖脯胰岛素注射液项目配套工程</w:t>
            </w:r>
          </w:p>
        </w:tc>
        <w:tc>
          <w:tcPr>
            <w:tcW w:w="1801" w:type="dxa"/>
            <w:vAlign w:val="center"/>
          </w:tcPr>
          <w:p w14:paraId="03D3ACA3">
            <w:pPr>
              <w:jc w:val="right"/>
              <w:rPr>
                <w:rFonts w:ascii="Calibri" w:hAnsi="Calibri"/>
                <w:sz w:val="20"/>
                <w:szCs w:val="20"/>
              </w:rPr>
            </w:pPr>
          </w:p>
        </w:tc>
        <w:tc>
          <w:tcPr>
            <w:tcW w:w="1517" w:type="dxa"/>
            <w:vAlign w:val="center"/>
          </w:tcPr>
          <w:p w14:paraId="335E8FC8">
            <w:pPr>
              <w:jc w:val="right"/>
              <w:rPr>
                <w:rFonts w:ascii="Calibri" w:hAnsi="Calibri"/>
                <w:sz w:val="20"/>
                <w:szCs w:val="20"/>
              </w:rPr>
            </w:pPr>
            <w:r>
              <w:rPr>
                <w:rFonts w:ascii="Calibri" w:hAnsi="Calibri"/>
                <w:sz w:val="20"/>
                <w:szCs w:val="20"/>
              </w:rPr>
              <w:t>54,907,452.39</w:t>
            </w:r>
          </w:p>
        </w:tc>
        <w:tc>
          <w:tcPr>
            <w:tcW w:w="1417" w:type="dxa"/>
            <w:vAlign w:val="center"/>
          </w:tcPr>
          <w:p w14:paraId="02BC4C9F">
            <w:pPr>
              <w:jc w:val="right"/>
              <w:rPr>
                <w:rFonts w:ascii="Calibri" w:hAnsi="Calibri"/>
                <w:sz w:val="20"/>
                <w:szCs w:val="20"/>
              </w:rPr>
            </w:pPr>
          </w:p>
        </w:tc>
        <w:tc>
          <w:tcPr>
            <w:tcW w:w="1559" w:type="dxa"/>
            <w:vAlign w:val="center"/>
          </w:tcPr>
          <w:p w14:paraId="29530290">
            <w:pPr>
              <w:jc w:val="right"/>
              <w:rPr>
                <w:rFonts w:ascii="Calibri" w:hAnsi="Calibri"/>
                <w:sz w:val="20"/>
                <w:szCs w:val="20"/>
              </w:rPr>
            </w:pPr>
          </w:p>
        </w:tc>
        <w:tc>
          <w:tcPr>
            <w:tcW w:w="1560" w:type="dxa"/>
            <w:vAlign w:val="center"/>
          </w:tcPr>
          <w:p w14:paraId="5E1DA473">
            <w:pPr>
              <w:jc w:val="right"/>
              <w:rPr>
                <w:rFonts w:ascii="Calibri" w:hAnsi="Calibri"/>
                <w:sz w:val="20"/>
                <w:szCs w:val="20"/>
              </w:rPr>
            </w:pPr>
            <w:r>
              <w:rPr>
                <w:rFonts w:ascii="Calibri" w:hAnsi="Calibri"/>
                <w:sz w:val="20"/>
                <w:szCs w:val="20"/>
              </w:rPr>
              <w:t>54,907,452.39</w:t>
            </w:r>
          </w:p>
        </w:tc>
        <w:tc>
          <w:tcPr>
            <w:tcW w:w="1587" w:type="dxa"/>
            <w:vAlign w:val="center"/>
          </w:tcPr>
          <w:p w14:paraId="54B97C95">
            <w:pPr>
              <w:jc w:val="right"/>
              <w:rPr>
                <w:rFonts w:ascii="Calibri" w:hAnsi="Calibri"/>
                <w:sz w:val="20"/>
                <w:szCs w:val="20"/>
              </w:rPr>
            </w:pPr>
          </w:p>
        </w:tc>
        <w:tc>
          <w:tcPr>
            <w:tcW w:w="1077" w:type="dxa"/>
            <w:vAlign w:val="center"/>
          </w:tcPr>
          <w:p w14:paraId="3EFBB1A6">
            <w:pPr>
              <w:jc w:val="right"/>
              <w:rPr>
                <w:rFonts w:ascii="Calibri" w:hAnsi="Calibri"/>
                <w:sz w:val="20"/>
                <w:szCs w:val="20"/>
              </w:rPr>
            </w:pPr>
          </w:p>
        </w:tc>
        <w:tc>
          <w:tcPr>
            <w:tcW w:w="1786" w:type="dxa"/>
            <w:vAlign w:val="center"/>
          </w:tcPr>
          <w:p w14:paraId="7E53EFA6">
            <w:pPr>
              <w:pStyle w:val="48"/>
              <w:rPr>
                <w:sz w:val="20"/>
                <w:szCs w:val="20"/>
              </w:rPr>
            </w:pPr>
            <w:r>
              <w:rPr>
                <w:sz w:val="20"/>
                <w:szCs w:val="20"/>
              </w:rPr>
              <w:t>终止建设，全额核销</w:t>
            </w:r>
          </w:p>
        </w:tc>
        <w:tc>
          <w:tcPr>
            <w:tcW w:w="1486" w:type="dxa"/>
            <w:vAlign w:val="center"/>
          </w:tcPr>
          <w:p w14:paraId="48825B65">
            <w:pPr>
              <w:pStyle w:val="48"/>
              <w:jc w:val="center"/>
              <w:rPr>
                <w:sz w:val="20"/>
                <w:szCs w:val="20"/>
              </w:rPr>
            </w:pPr>
            <w:r>
              <w:rPr>
                <w:sz w:val="20"/>
                <w:szCs w:val="20"/>
              </w:rPr>
              <w:t>自筹资金</w:t>
            </w:r>
          </w:p>
        </w:tc>
      </w:tr>
      <w:tr w14:paraId="1282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93" w:hRule="atLeast"/>
        </w:trPr>
        <w:tc>
          <w:tcPr>
            <w:tcW w:w="2070" w:type="dxa"/>
            <w:vAlign w:val="center"/>
          </w:tcPr>
          <w:p w14:paraId="7951737B">
            <w:pPr>
              <w:pStyle w:val="48"/>
              <w:rPr>
                <w:sz w:val="20"/>
                <w:szCs w:val="20"/>
              </w:rPr>
            </w:pPr>
            <w:r>
              <w:rPr>
                <w:sz w:val="20"/>
                <w:szCs w:val="20"/>
              </w:rPr>
              <w:t>胰岛素类似物注射液（甘精胰岛素，门冬胰岛素）生产线项目</w:t>
            </w:r>
          </w:p>
        </w:tc>
        <w:tc>
          <w:tcPr>
            <w:tcW w:w="1801" w:type="dxa"/>
            <w:vAlign w:val="center"/>
          </w:tcPr>
          <w:p w14:paraId="379F60E6">
            <w:pPr>
              <w:jc w:val="right"/>
              <w:rPr>
                <w:rFonts w:ascii="Calibri" w:hAnsi="Calibri"/>
                <w:sz w:val="20"/>
                <w:szCs w:val="20"/>
              </w:rPr>
            </w:pPr>
            <w:r>
              <w:rPr>
                <w:rFonts w:ascii="Calibri" w:hAnsi="Calibri"/>
                <w:sz w:val="20"/>
                <w:szCs w:val="20"/>
              </w:rPr>
              <w:t>275,736,400.00</w:t>
            </w:r>
          </w:p>
        </w:tc>
        <w:tc>
          <w:tcPr>
            <w:tcW w:w="1517" w:type="dxa"/>
            <w:vAlign w:val="center"/>
          </w:tcPr>
          <w:p w14:paraId="38CAF9FE">
            <w:pPr>
              <w:jc w:val="right"/>
              <w:rPr>
                <w:rFonts w:ascii="Calibri" w:hAnsi="Calibri"/>
                <w:sz w:val="20"/>
                <w:szCs w:val="20"/>
              </w:rPr>
            </w:pPr>
            <w:r>
              <w:rPr>
                <w:rFonts w:ascii="Calibri" w:hAnsi="Calibri"/>
                <w:sz w:val="20"/>
                <w:szCs w:val="20"/>
              </w:rPr>
              <w:t>86,301,982.61</w:t>
            </w:r>
          </w:p>
        </w:tc>
        <w:tc>
          <w:tcPr>
            <w:tcW w:w="1417" w:type="dxa"/>
            <w:vAlign w:val="center"/>
          </w:tcPr>
          <w:p w14:paraId="308352AD">
            <w:pPr>
              <w:jc w:val="right"/>
              <w:rPr>
                <w:rFonts w:ascii="Calibri" w:hAnsi="Calibri"/>
                <w:sz w:val="20"/>
                <w:szCs w:val="20"/>
              </w:rPr>
            </w:pPr>
          </w:p>
        </w:tc>
        <w:tc>
          <w:tcPr>
            <w:tcW w:w="1559" w:type="dxa"/>
            <w:vAlign w:val="center"/>
          </w:tcPr>
          <w:p w14:paraId="666EC79B">
            <w:pPr>
              <w:jc w:val="right"/>
              <w:rPr>
                <w:rFonts w:ascii="Calibri" w:hAnsi="Calibri"/>
                <w:sz w:val="20"/>
                <w:szCs w:val="20"/>
              </w:rPr>
            </w:pPr>
            <w:r>
              <w:rPr>
                <w:rFonts w:ascii="Calibri" w:hAnsi="Calibri"/>
                <w:sz w:val="20"/>
                <w:szCs w:val="20"/>
              </w:rPr>
              <w:t>24,457,178.79</w:t>
            </w:r>
          </w:p>
        </w:tc>
        <w:tc>
          <w:tcPr>
            <w:tcW w:w="1560" w:type="dxa"/>
            <w:vAlign w:val="center"/>
          </w:tcPr>
          <w:p w14:paraId="488C81DE">
            <w:pPr>
              <w:jc w:val="right"/>
              <w:rPr>
                <w:rFonts w:ascii="Calibri" w:hAnsi="Calibri"/>
                <w:sz w:val="20"/>
                <w:szCs w:val="20"/>
              </w:rPr>
            </w:pPr>
            <w:r>
              <w:rPr>
                <w:rFonts w:ascii="Calibri" w:hAnsi="Calibri"/>
                <w:sz w:val="20"/>
                <w:szCs w:val="20"/>
              </w:rPr>
              <w:t>61,844,803.82</w:t>
            </w:r>
          </w:p>
        </w:tc>
        <w:tc>
          <w:tcPr>
            <w:tcW w:w="1587" w:type="dxa"/>
            <w:vAlign w:val="center"/>
          </w:tcPr>
          <w:p w14:paraId="6EEB7B59">
            <w:pPr>
              <w:jc w:val="right"/>
              <w:rPr>
                <w:rFonts w:ascii="Calibri" w:hAnsi="Calibri"/>
                <w:sz w:val="20"/>
                <w:szCs w:val="20"/>
              </w:rPr>
            </w:pPr>
          </w:p>
        </w:tc>
        <w:tc>
          <w:tcPr>
            <w:tcW w:w="1077" w:type="dxa"/>
            <w:vAlign w:val="center"/>
          </w:tcPr>
          <w:p w14:paraId="48C56AB7">
            <w:pPr>
              <w:jc w:val="right"/>
              <w:rPr>
                <w:rFonts w:ascii="Calibri" w:hAnsi="Calibri"/>
                <w:sz w:val="20"/>
                <w:szCs w:val="20"/>
              </w:rPr>
            </w:pPr>
          </w:p>
        </w:tc>
        <w:tc>
          <w:tcPr>
            <w:tcW w:w="1786" w:type="dxa"/>
            <w:vAlign w:val="center"/>
          </w:tcPr>
          <w:p w14:paraId="7294BBA2">
            <w:pPr>
              <w:pStyle w:val="48"/>
              <w:rPr>
                <w:sz w:val="20"/>
                <w:szCs w:val="20"/>
              </w:rPr>
            </w:pPr>
            <w:r>
              <w:rPr>
                <w:rFonts w:hint="eastAsia"/>
                <w:sz w:val="20"/>
                <w:szCs w:val="20"/>
              </w:rPr>
              <w:t>变更为注射液四车间西林瓶生产线建设项目</w:t>
            </w:r>
          </w:p>
        </w:tc>
        <w:tc>
          <w:tcPr>
            <w:tcW w:w="1486" w:type="dxa"/>
            <w:vAlign w:val="center"/>
          </w:tcPr>
          <w:p w14:paraId="37094603">
            <w:pPr>
              <w:pStyle w:val="48"/>
              <w:jc w:val="center"/>
              <w:rPr>
                <w:sz w:val="20"/>
                <w:szCs w:val="20"/>
              </w:rPr>
            </w:pPr>
            <w:r>
              <w:rPr>
                <w:sz w:val="20"/>
                <w:szCs w:val="20"/>
              </w:rPr>
              <w:t>自筹资金</w:t>
            </w:r>
          </w:p>
        </w:tc>
      </w:tr>
      <w:tr w14:paraId="32A8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trPr>
        <w:tc>
          <w:tcPr>
            <w:tcW w:w="2070" w:type="dxa"/>
            <w:vAlign w:val="center"/>
          </w:tcPr>
          <w:p w14:paraId="3BA32325">
            <w:pPr>
              <w:jc w:val="center"/>
              <w:rPr>
                <w:rFonts w:ascii="Calibri" w:hAnsi="Calibri"/>
                <w:sz w:val="20"/>
                <w:szCs w:val="20"/>
              </w:rPr>
            </w:pPr>
            <w:r>
              <w:rPr>
                <w:rFonts w:hint="eastAsia" w:ascii="Calibri" w:hAnsi="Calibri"/>
                <w:sz w:val="20"/>
                <w:szCs w:val="20"/>
              </w:rPr>
              <w:t>合计</w:t>
            </w:r>
          </w:p>
        </w:tc>
        <w:tc>
          <w:tcPr>
            <w:tcW w:w="1801" w:type="dxa"/>
            <w:vAlign w:val="center"/>
          </w:tcPr>
          <w:p w14:paraId="638CDE82">
            <w:pPr>
              <w:jc w:val="right"/>
              <w:rPr>
                <w:rFonts w:ascii="Calibri" w:hAnsi="Calibri"/>
                <w:sz w:val="20"/>
                <w:szCs w:val="20"/>
              </w:rPr>
            </w:pPr>
            <w:r>
              <w:rPr>
                <w:rFonts w:ascii="Calibri" w:hAnsi="Calibri"/>
                <w:sz w:val="20"/>
                <w:szCs w:val="20"/>
              </w:rPr>
              <w:t>654,296,400.00</w:t>
            </w:r>
          </w:p>
        </w:tc>
        <w:tc>
          <w:tcPr>
            <w:tcW w:w="1517" w:type="dxa"/>
            <w:vAlign w:val="center"/>
          </w:tcPr>
          <w:p w14:paraId="38CDB96F">
            <w:pPr>
              <w:jc w:val="right"/>
              <w:rPr>
                <w:rFonts w:ascii="Calibri" w:hAnsi="Calibri"/>
                <w:sz w:val="20"/>
                <w:szCs w:val="20"/>
              </w:rPr>
            </w:pPr>
            <w:r>
              <w:rPr>
                <w:rFonts w:ascii="Calibri" w:hAnsi="Calibri"/>
                <w:sz w:val="20"/>
                <w:szCs w:val="20"/>
              </w:rPr>
              <w:t>233,114,398.67</w:t>
            </w:r>
          </w:p>
        </w:tc>
        <w:tc>
          <w:tcPr>
            <w:tcW w:w="1417" w:type="dxa"/>
            <w:vAlign w:val="center"/>
          </w:tcPr>
          <w:p w14:paraId="3D7C73C5">
            <w:pPr>
              <w:jc w:val="right"/>
              <w:rPr>
                <w:rFonts w:ascii="Calibri" w:hAnsi="Calibri"/>
                <w:sz w:val="20"/>
                <w:szCs w:val="20"/>
              </w:rPr>
            </w:pPr>
            <w:r>
              <w:rPr>
                <w:rFonts w:ascii="Calibri" w:hAnsi="Calibri"/>
                <w:sz w:val="20"/>
                <w:szCs w:val="20"/>
              </w:rPr>
              <w:t>76,212,602.55</w:t>
            </w:r>
          </w:p>
        </w:tc>
        <w:tc>
          <w:tcPr>
            <w:tcW w:w="1559" w:type="dxa"/>
            <w:vAlign w:val="center"/>
          </w:tcPr>
          <w:p w14:paraId="64AF4D87">
            <w:pPr>
              <w:jc w:val="right"/>
              <w:rPr>
                <w:rFonts w:ascii="Calibri" w:hAnsi="Calibri"/>
                <w:sz w:val="20"/>
                <w:szCs w:val="20"/>
              </w:rPr>
            </w:pPr>
            <w:r>
              <w:rPr>
                <w:rFonts w:ascii="Calibri" w:hAnsi="Calibri"/>
                <w:sz w:val="20"/>
                <w:szCs w:val="20"/>
              </w:rPr>
              <w:t>24,457,178.79</w:t>
            </w:r>
          </w:p>
        </w:tc>
        <w:tc>
          <w:tcPr>
            <w:tcW w:w="1560" w:type="dxa"/>
            <w:vAlign w:val="center"/>
          </w:tcPr>
          <w:p w14:paraId="7115E8F6">
            <w:pPr>
              <w:jc w:val="right"/>
              <w:rPr>
                <w:rFonts w:ascii="Calibri" w:hAnsi="Calibri"/>
                <w:sz w:val="20"/>
                <w:szCs w:val="20"/>
              </w:rPr>
            </w:pPr>
            <w:r>
              <w:rPr>
                <w:rFonts w:ascii="Calibri" w:hAnsi="Calibri"/>
                <w:sz w:val="20"/>
                <w:szCs w:val="20"/>
              </w:rPr>
              <w:t>116,752,256.21</w:t>
            </w:r>
          </w:p>
        </w:tc>
        <w:tc>
          <w:tcPr>
            <w:tcW w:w="1587" w:type="dxa"/>
            <w:vAlign w:val="center"/>
          </w:tcPr>
          <w:p w14:paraId="38F9E52A">
            <w:pPr>
              <w:jc w:val="right"/>
              <w:rPr>
                <w:rFonts w:ascii="Calibri" w:hAnsi="Calibri"/>
                <w:sz w:val="20"/>
                <w:szCs w:val="20"/>
              </w:rPr>
            </w:pPr>
            <w:r>
              <w:rPr>
                <w:rFonts w:ascii="Calibri" w:hAnsi="Calibri"/>
                <w:sz w:val="20"/>
                <w:szCs w:val="20"/>
              </w:rPr>
              <w:t>168,117,566.22</w:t>
            </w:r>
          </w:p>
        </w:tc>
        <w:tc>
          <w:tcPr>
            <w:tcW w:w="1077" w:type="dxa"/>
            <w:vAlign w:val="center"/>
          </w:tcPr>
          <w:p w14:paraId="1CEF5A9D">
            <w:pPr>
              <w:jc w:val="center"/>
              <w:rPr>
                <w:rFonts w:ascii="Calibri" w:hAnsi="Calibri"/>
                <w:sz w:val="20"/>
                <w:szCs w:val="20"/>
              </w:rPr>
            </w:pPr>
            <w:r>
              <w:rPr>
                <w:rFonts w:ascii="Calibri" w:hAnsi="Calibri"/>
                <w:sz w:val="20"/>
                <w:szCs w:val="20"/>
              </w:rPr>
              <w:t>/</w:t>
            </w:r>
          </w:p>
        </w:tc>
        <w:tc>
          <w:tcPr>
            <w:tcW w:w="1786" w:type="dxa"/>
            <w:vAlign w:val="center"/>
          </w:tcPr>
          <w:p w14:paraId="27FA0120">
            <w:pPr>
              <w:jc w:val="center"/>
              <w:rPr>
                <w:rFonts w:ascii="Calibri" w:hAnsi="Calibri"/>
                <w:sz w:val="20"/>
                <w:szCs w:val="20"/>
              </w:rPr>
            </w:pPr>
            <w:r>
              <w:rPr>
                <w:rFonts w:ascii="Calibri" w:hAnsi="Calibri"/>
                <w:sz w:val="20"/>
                <w:szCs w:val="20"/>
              </w:rPr>
              <w:t>/</w:t>
            </w:r>
          </w:p>
        </w:tc>
        <w:tc>
          <w:tcPr>
            <w:tcW w:w="1486" w:type="dxa"/>
            <w:vAlign w:val="center"/>
          </w:tcPr>
          <w:p w14:paraId="286B8075">
            <w:pPr>
              <w:jc w:val="center"/>
              <w:rPr>
                <w:rFonts w:ascii="Calibri" w:hAnsi="Calibri"/>
                <w:sz w:val="20"/>
                <w:szCs w:val="20"/>
              </w:rPr>
            </w:pPr>
            <w:r>
              <w:rPr>
                <w:rFonts w:ascii="Calibri" w:hAnsi="Calibri"/>
                <w:sz w:val="20"/>
                <w:szCs w:val="20"/>
              </w:rPr>
              <w:t>/</w:t>
            </w:r>
          </w:p>
        </w:tc>
      </w:tr>
    </w:tbl>
    <w:p w14:paraId="6D39AB21">
      <w:pPr>
        <w:spacing w:line="360" w:lineRule="auto"/>
        <w:ind w:firstLine="420" w:firstLineChars="200"/>
        <w:jc w:val="both"/>
      </w:pPr>
      <w:r>
        <w:rPr>
          <w:rFonts w:hint="eastAsia"/>
        </w:rPr>
        <w:t>注：1.为进一步合理利用资源、节约成本及能耗并实现集中优化管理，公司决定终止原规划用于超速效赖脯胰岛素注射液项目配套工程的建设计划，原规划用途不再独立实施，而是改由与利拉鲁肽/德谷胰岛素共线生产基地工程项目共用。公司本期对其进行核销，账面余额54,907,452.39元、减值准备3,370,837.98元。</w:t>
      </w:r>
    </w:p>
    <w:p w14:paraId="6759AFB0">
      <w:pPr>
        <w:spacing w:line="360" w:lineRule="auto"/>
        <w:ind w:firstLine="420" w:firstLineChars="200"/>
        <w:jc w:val="both"/>
      </w:pPr>
      <w:r>
        <w:rPr>
          <w:rFonts w:hint="eastAsia"/>
        </w:rPr>
        <w:t>2.因国内市场、国际市场对胰岛素西林瓶需求同时增加，为有效满足市场需求，公司将胰岛素类似物注射液（甘精胰岛素，门冬胰岛素）生产线项目变更为注射液四车间西林瓶生产线建设项目。公司本期将账面余额61,844,803.82元进行结转。</w:t>
      </w:r>
    </w:p>
    <w:p w14:paraId="573C7D92">
      <w:pPr>
        <w:sectPr>
          <w:pgSz w:w="16838" w:h="11906" w:orient="landscape"/>
          <w:pgMar w:top="1276" w:right="1440" w:bottom="1797" w:left="1525" w:header="856" w:footer="992" w:gutter="0"/>
          <w:cols w:space="425" w:num="1"/>
          <w:docGrid w:linePitch="312" w:charSpace="0"/>
        </w:sectPr>
      </w:pPr>
    </w:p>
    <w:p w14:paraId="2800F287"/>
    <w:p w14:paraId="6197EF84">
      <w:pPr>
        <w:pStyle w:val="6"/>
        <w:numPr>
          <w:ilvl w:val="0"/>
          <w:numId w:val="78"/>
        </w:numPr>
        <w:ind w:leftChars="0"/>
      </w:pPr>
      <w:r>
        <w:rPr>
          <w:rFonts w:hint="eastAsia"/>
        </w:rPr>
        <w:t>本期计提在建工程减值准备情况</w:t>
      </w:r>
    </w:p>
    <w:sdt>
      <w:sdtPr>
        <w:alias w:val="是否适用：本期计提在建工程减值准备情况[双击切换]"/>
        <w:tag w:val="_GBC_f0a78e682a314d34a7b55dd88c219307"/>
        <w:id w:val="306358440"/>
        <w:placeholder>
          <w:docPart w:val="GBC22222222222222222222222222222"/>
        </w:placeholder>
      </w:sdtPr>
      <w:sdtContent>
        <w:p w14:paraId="3F821776">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C3982E4">
      <w:pPr>
        <w:spacing w:line="360" w:lineRule="exact"/>
        <w:jc w:val="right"/>
      </w:pPr>
      <w:r>
        <w:rPr>
          <w:rFonts w:hint="eastAsia"/>
        </w:rPr>
        <w:t>单位：</w:t>
      </w:r>
      <w:sdt>
        <w:sdtPr>
          <w:rPr>
            <w:rFonts w:hint="eastAsia"/>
          </w:rPr>
          <w:alias w:val="单位：财务附注：在建工程减值准备"/>
          <w:tag w:val="_GBC_8d07728a10e04fe8975346f691b08703"/>
          <w:id w:val="-14966382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在建工程减值准备"/>
          <w:tag w:val="_GBC_dcac5a7bb0554146902fd010b31997cd"/>
          <w:id w:val="-11914536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10207" w:type="dxa"/>
        <w:tblInd w:w="-71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13" w:type="dxa"/>
          <w:bottom w:w="0" w:type="dxa"/>
          <w:right w:w="113" w:type="dxa"/>
        </w:tblCellMar>
      </w:tblPr>
      <w:tblGrid>
        <w:gridCol w:w="1978"/>
        <w:gridCol w:w="1559"/>
        <w:gridCol w:w="1558"/>
        <w:gridCol w:w="1558"/>
        <w:gridCol w:w="1558"/>
        <w:gridCol w:w="1996"/>
      </w:tblGrid>
      <w:tr w14:paraId="27B87B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Height w:val="280" w:hRule="atLeast"/>
          <w:tblHeader/>
        </w:trPr>
        <w:sdt>
          <w:sdtPr>
            <w:tag w:val="_PLD_ca5fca2bcae54c8d81b3befb48b8bf1c"/>
            <w:id w:val="25920477"/>
          </w:sdtPr>
          <w:sdtContent>
            <w:tc>
              <w:tcPr>
                <w:tcW w:w="1978" w:type="dxa"/>
                <w:tcBorders>
                  <w:top w:val="single" w:color="auto" w:sz="2" w:space="0"/>
                  <w:left w:val="single" w:color="auto" w:sz="2" w:space="0"/>
                  <w:bottom w:val="single" w:color="auto" w:sz="2" w:space="0"/>
                  <w:right w:val="single" w:color="auto" w:sz="2" w:space="0"/>
                </w:tcBorders>
                <w:vAlign w:val="center"/>
              </w:tcPr>
              <w:p w14:paraId="005E9D6B">
                <w:pPr>
                  <w:jc w:val="center"/>
                  <w:rPr>
                    <w:rFonts w:ascii="Calibri" w:hAnsi="Calibri"/>
                    <w:sz w:val="20"/>
                    <w:szCs w:val="20"/>
                  </w:rPr>
                </w:pPr>
                <w:bookmarkStart w:id="305" w:name="_Hlk153461314"/>
                <w:r>
                  <w:rPr>
                    <w:rFonts w:hint="eastAsia" w:ascii="Calibri" w:hAnsi="Calibri"/>
                    <w:sz w:val="20"/>
                    <w:szCs w:val="20"/>
                  </w:rPr>
                  <w:t>项目</w:t>
                </w:r>
              </w:p>
            </w:tc>
          </w:sdtContent>
        </w:sdt>
        <w:sdt>
          <w:sdtPr>
            <w:tag w:val="_PLD_28dd15af0114424f8f5185950c3635bc"/>
            <w:id w:val="30775281"/>
          </w:sdtPr>
          <w:sdtContent>
            <w:tc>
              <w:tcPr>
                <w:tcW w:w="1559" w:type="dxa"/>
                <w:tcBorders>
                  <w:top w:val="single" w:color="auto" w:sz="2" w:space="0"/>
                  <w:left w:val="single" w:color="auto" w:sz="2" w:space="0"/>
                  <w:bottom w:val="single" w:color="auto" w:sz="2" w:space="0"/>
                  <w:right w:val="single" w:color="auto" w:sz="2" w:space="0"/>
                </w:tcBorders>
                <w:vAlign w:val="center"/>
              </w:tcPr>
              <w:p w14:paraId="7FBE760C">
                <w:pPr>
                  <w:jc w:val="center"/>
                  <w:rPr>
                    <w:rFonts w:ascii="Calibri" w:hAnsi="Calibri"/>
                    <w:sz w:val="20"/>
                    <w:szCs w:val="20"/>
                  </w:rPr>
                </w:pPr>
                <w:r>
                  <w:rPr>
                    <w:rFonts w:ascii="Calibri" w:hAnsi="Calibri"/>
                    <w:sz w:val="20"/>
                    <w:szCs w:val="20"/>
                  </w:rPr>
                  <w:t>期初余额</w:t>
                </w:r>
              </w:p>
            </w:tc>
          </w:sdtContent>
        </w:sdt>
        <w:sdt>
          <w:sdtPr>
            <w:tag w:val="_PLD_ec3d7160e0da43cdacd9d2ec22f977da"/>
            <w:id w:val="1169291667"/>
          </w:sdtPr>
          <w:sdtContent>
            <w:tc>
              <w:tcPr>
                <w:tcW w:w="1558" w:type="dxa"/>
                <w:tcBorders>
                  <w:top w:val="single" w:color="auto" w:sz="2" w:space="0"/>
                  <w:left w:val="single" w:color="auto" w:sz="2" w:space="0"/>
                  <w:bottom w:val="single" w:color="auto" w:sz="2" w:space="0"/>
                  <w:right w:val="single" w:color="auto" w:sz="2" w:space="0"/>
                </w:tcBorders>
                <w:vAlign w:val="center"/>
              </w:tcPr>
              <w:p w14:paraId="5F2CE077">
                <w:pPr>
                  <w:jc w:val="center"/>
                  <w:rPr>
                    <w:rFonts w:ascii="Calibri" w:hAnsi="Calibri"/>
                    <w:sz w:val="20"/>
                    <w:szCs w:val="20"/>
                  </w:rPr>
                </w:pPr>
                <w:r>
                  <w:rPr>
                    <w:rFonts w:ascii="Calibri" w:hAnsi="Calibri"/>
                    <w:sz w:val="20"/>
                    <w:szCs w:val="20"/>
                  </w:rPr>
                  <w:t>本期增加</w:t>
                </w:r>
              </w:p>
            </w:tc>
          </w:sdtContent>
        </w:sdt>
        <w:sdt>
          <w:sdtPr>
            <w:tag w:val="_PLD_2a4dec9242fb44d7bd2cf9053d3ffd92"/>
            <w:id w:val="-233476506"/>
          </w:sdtPr>
          <w:sdtContent>
            <w:tc>
              <w:tcPr>
                <w:tcW w:w="1558" w:type="dxa"/>
                <w:tcBorders>
                  <w:top w:val="single" w:color="auto" w:sz="2" w:space="0"/>
                  <w:left w:val="single" w:color="auto" w:sz="2" w:space="0"/>
                  <w:bottom w:val="single" w:color="auto" w:sz="2" w:space="0"/>
                  <w:right w:val="single" w:color="auto" w:sz="2" w:space="0"/>
                </w:tcBorders>
                <w:vAlign w:val="center"/>
              </w:tcPr>
              <w:p w14:paraId="47474B4A">
                <w:pPr>
                  <w:jc w:val="center"/>
                  <w:rPr>
                    <w:rFonts w:ascii="Calibri" w:hAnsi="Calibri"/>
                    <w:sz w:val="20"/>
                    <w:szCs w:val="20"/>
                  </w:rPr>
                </w:pPr>
                <w:r>
                  <w:rPr>
                    <w:rFonts w:ascii="Calibri" w:hAnsi="Calibri"/>
                    <w:sz w:val="20"/>
                    <w:szCs w:val="20"/>
                  </w:rPr>
                  <w:t>本期减少</w:t>
                </w:r>
              </w:p>
            </w:tc>
          </w:sdtContent>
        </w:sdt>
        <w:sdt>
          <w:sdtPr>
            <w:tag w:val="_PLD_a48d3febdc3b43778ed5bbd8e0c30ba0"/>
            <w:id w:val="-1945365864"/>
          </w:sdtPr>
          <w:sdtContent>
            <w:tc>
              <w:tcPr>
                <w:tcW w:w="1558" w:type="dxa"/>
                <w:tcBorders>
                  <w:top w:val="single" w:color="auto" w:sz="2" w:space="0"/>
                  <w:left w:val="single" w:color="auto" w:sz="2" w:space="0"/>
                  <w:bottom w:val="single" w:color="auto" w:sz="2" w:space="0"/>
                  <w:right w:val="single" w:color="auto" w:sz="2" w:space="0"/>
                </w:tcBorders>
                <w:vAlign w:val="center"/>
              </w:tcPr>
              <w:p w14:paraId="39A62394">
                <w:pPr>
                  <w:jc w:val="center"/>
                  <w:rPr>
                    <w:rFonts w:ascii="Calibri" w:hAnsi="Calibri"/>
                    <w:sz w:val="20"/>
                    <w:szCs w:val="20"/>
                  </w:rPr>
                </w:pPr>
                <w:r>
                  <w:rPr>
                    <w:rFonts w:hint="eastAsia" w:ascii="Calibri" w:hAnsi="Calibri"/>
                    <w:sz w:val="20"/>
                    <w:szCs w:val="20"/>
                  </w:rPr>
                  <w:t>期末余额</w:t>
                </w:r>
              </w:p>
            </w:tc>
          </w:sdtContent>
        </w:sdt>
        <w:sdt>
          <w:sdtPr>
            <w:tag w:val="_PLD_671763ef665249248712c4c3426bd61e"/>
            <w:id w:val="-1350482525"/>
          </w:sdtPr>
          <w:sdtContent>
            <w:tc>
              <w:tcPr>
                <w:tcW w:w="1996" w:type="dxa"/>
                <w:tcBorders>
                  <w:top w:val="single" w:color="auto" w:sz="2" w:space="0"/>
                  <w:left w:val="single" w:color="auto" w:sz="2" w:space="0"/>
                  <w:bottom w:val="single" w:color="auto" w:sz="2" w:space="0"/>
                  <w:right w:val="single" w:color="auto" w:sz="2" w:space="0"/>
                </w:tcBorders>
                <w:vAlign w:val="center"/>
              </w:tcPr>
              <w:p w14:paraId="0D445271">
                <w:pPr>
                  <w:jc w:val="center"/>
                  <w:rPr>
                    <w:rFonts w:ascii="Calibri" w:hAnsi="Calibri"/>
                    <w:sz w:val="20"/>
                    <w:szCs w:val="20"/>
                  </w:rPr>
                </w:pPr>
                <w:r>
                  <w:rPr>
                    <w:rFonts w:hint="eastAsia" w:ascii="Calibri" w:hAnsi="Calibri"/>
                    <w:sz w:val="20"/>
                    <w:szCs w:val="20"/>
                  </w:rPr>
                  <w:t>计提原因</w:t>
                </w:r>
              </w:p>
            </w:tc>
          </w:sdtContent>
        </w:sdt>
      </w:tr>
      <w:tr w14:paraId="3E2513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tc>
          <w:tcPr>
            <w:tcW w:w="1978" w:type="dxa"/>
            <w:tcBorders>
              <w:top w:val="single" w:color="auto" w:sz="2" w:space="0"/>
              <w:left w:val="single" w:color="auto" w:sz="2" w:space="0"/>
              <w:bottom w:val="single" w:color="auto" w:sz="2" w:space="0"/>
              <w:right w:val="single" w:color="auto" w:sz="2" w:space="0"/>
            </w:tcBorders>
            <w:vAlign w:val="center"/>
          </w:tcPr>
          <w:p w14:paraId="54348156">
            <w:pPr>
              <w:pStyle w:val="48"/>
              <w:rPr>
                <w:sz w:val="20"/>
                <w:szCs w:val="20"/>
              </w:rPr>
            </w:pPr>
            <w:r>
              <w:rPr>
                <w:sz w:val="20"/>
                <w:szCs w:val="20"/>
              </w:rPr>
              <w:t>超速效赖脯胰岛素注射液项目质量控制中心</w:t>
            </w:r>
          </w:p>
        </w:tc>
        <w:tc>
          <w:tcPr>
            <w:tcW w:w="1559" w:type="dxa"/>
            <w:tcBorders>
              <w:top w:val="single" w:color="auto" w:sz="2" w:space="0"/>
              <w:left w:val="single" w:color="auto" w:sz="2" w:space="0"/>
              <w:bottom w:val="single" w:color="auto" w:sz="2" w:space="0"/>
              <w:right w:val="single" w:color="auto" w:sz="2" w:space="0"/>
            </w:tcBorders>
            <w:vAlign w:val="center"/>
          </w:tcPr>
          <w:p w14:paraId="229059DF">
            <w:pPr>
              <w:jc w:val="right"/>
              <w:rPr>
                <w:rFonts w:ascii="Calibri" w:hAnsi="Calibri"/>
                <w:sz w:val="20"/>
                <w:szCs w:val="20"/>
              </w:rPr>
            </w:pPr>
            <w:r>
              <w:rPr>
                <w:rFonts w:ascii="Calibri" w:hAnsi="Calibri"/>
                <w:sz w:val="20"/>
                <w:szCs w:val="20"/>
              </w:rPr>
              <w:t>1,029,420.18</w:t>
            </w:r>
          </w:p>
        </w:tc>
        <w:tc>
          <w:tcPr>
            <w:tcW w:w="1558" w:type="dxa"/>
            <w:tcBorders>
              <w:top w:val="single" w:color="auto" w:sz="2" w:space="0"/>
              <w:left w:val="single" w:color="auto" w:sz="2" w:space="0"/>
              <w:bottom w:val="single" w:color="auto" w:sz="2" w:space="0"/>
              <w:right w:val="single" w:color="auto" w:sz="2" w:space="0"/>
            </w:tcBorders>
            <w:vAlign w:val="center"/>
          </w:tcPr>
          <w:p w14:paraId="5E3068FB">
            <w:pPr>
              <w:jc w:val="right"/>
              <w:rPr>
                <w:rFonts w:ascii="Calibri" w:hAnsi="Calibri"/>
                <w:sz w:val="20"/>
                <w:szCs w:val="20"/>
              </w:rPr>
            </w:pPr>
          </w:p>
        </w:tc>
        <w:tc>
          <w:tcPr>
            <w:tcW w:w="1558" w:type="dxa"/>
            <w:tcBorders>
              <w:top w:val="single" w:color="auto" w:sz="2" w:space="0"/>
              <w:left w:val="single" w:color="auto" w:sz="2" w:space="0"/>
              <w:bottom w:val="single" w:color="auto" w:sz="2" w:space="0"/>
              <w:right w:val="single" w:color="auto" w:sz="2" w:space="0"/>
            </w:tcBorders>
            <w:vAlign w:val="center"/>
          </w:tcPr>
          <w:p w14:paraId="32D2D445">
            <w:pPr>
              <w:jc w:val="right"/>
              <w:rPr>
                <w:rFonts w:ascii="Calibri" w:hAnsi="Calibri"/>
                <w:sz w:val="20"/>
                <w:szCs w:val="20"/>
              </w:rPr>
            </w:pPr>
          </w:p>
        </w:tc>
        <w:tc>
          <w:tcPr>
            <w:tcW w:w="1558" w:type="dxa"/>
            <w:tcBorders>
              <w:top w:val="single" w:color="auto" w:sz="2" w:space="0"/>
              <w:left w:val="single" w:color="auto" w:sz="2" w:space="0"/>
              <w:bottom w:val="single" w:color="auto" w:sz="2" w:space="0"/>
              <w:right w:val="single" w:color="auto" w:sz="2" w:space="0"/>
            </w:tcBorders>
            <w:vAlign w:val="center"/>
          </w:tcPr>
          <w:p w14:paraId="43EBC352">
            <w:pPr>
              <w:jc w:val="right"/>
              <w:rPr>
                <w:rFonts w:ascii="Calibri" w:hAnsi="Calibri"/>
                <w:sz w:val="20"/>
                <w:szCs w:val="20"/>
              </w:rPr>
            </w:pPr>
            <w:r>
              <w:rPr>
                <w:rFonts w:ascii="Calibri" w:hAnsi="Calibri"/>
                <w:sz w:val="20"/>
                <w:szCs w:val="20"/>
              </w:rPr>
              <w:t>1,029,420.18</w:t>
            </w:r>
          </w:p>
        </w:tc>
        <w:tc>
          <w:tcPr>
            <w:tcW w:w="1996" w:type="dxa"/>
            <w:tcBorders>
              <w:top w:val="single" w:color="auto" w:sz="2" w:space="0"/>
              <w:left w:val="single" w:color="auto" w:sz="2" w:space="0"/>
              <w:bottom w:val="single" w:color="auto" w:sz="2" w:space="0"/>
              <w:right w:val="single" w:color="auto" w:sz="2" w:space="0"/>
            </w:tcBorders>
            <w:vAlign w:val="center"/>
          </w:tcPr>
          <w:p w14:paraId="3C69F05C">
            <w:pPr>
              <w:pStyle w:val="48"/>
              <w:rPr>
                <w:sz w:val="20"/>
                <w:szCs w:val="20"/>
              </w:rPr>
            </w:pPr>
            <w:r>
              <w:rPr>
                <w:sz w:val="20"/>
                <w:szCs w:val="20"/>
              </w:rPr>
              <w:t>预计可收回金额低于其账面价值</w:t>
            </w:r>
          </w:p>
        </w:tc>
      </w:tr>
      <w:tr w14:paraId="15E15A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tc>
          <w:tcPr>
            <w:tcW w:w="1978" w:type="dxa"/>
            <w:tcBorders>
              <w:top w:val="single" w:color="auto" w:sz="2" w:space="0"/>
              <w:left w:val="single" w:color="auto" w:sz="2" w:space="0"/>
              <w:bottom w:val="single" w:color="auto" w:sz="2" w:space="0"/>
              <w:right w:val="single" w:color="auto" w:sz="2" w:space="0"/>
            </w:tcBorders>
            <w:vAlign w:val="center"/>
          </w:tcPr>
          <w:p w14:paraId="6C418928">
            <w:pPr>
              <w:pStyle w:val="48"/>
              <w:rPr>
                <w:sz w:val="20"/>
                <w:szCs w:val="20"/>
              </w:rPr>
            </w:pPr>
            <w:r>
              <w:rPr>
                <w:sz w:val="20"/>
                <w:szCs w:val="20"/>
              </w:rPr>
              <w:t>超速效赖脯胰岛素注射液生产基地</w:t>
            </w:r>
          </w:p>
        </w:tc>
        <w:tc>
          <w:tcPr>
            <w:tcW w:w="1559" w:type="dxa"/>
            <w:tcBorders>
              <w:top w:val="single" w:color="auto" w:sz="2" w:space="0"/>
              <w:left w:val="single" w:color="auto" w:sz="2" w:space="0"/>
              <w:bottom w:val="single" w:color="auto" w:sz="2" w:space="0"/>
              <w:right w:val="single" w:color="auto" w:sz="2" w:space="0"/>
            </w:tcBorders>
            <w:vAlign w:val="center"/>
          </w:tcPr>
          <w:p w14:paraId="7DCA544D">
            <w:pPr>
              <w:jc w:val="right"/>
              <w:rPr>
                <w:rFonts w:ascii="Calibri" w:hAnsi="Calibri"/>
                <w:sz w:val="20"/>
                <w:szCs w:val="20"/>
              </w:rPr>
            </w:pPr>
            <w:r>
              <w:rPr>
                <w:rFonts w:ascii="Calibri" w:hAnsi="Calibri"/>
                <w:sz w:val="20"/>
                <w:szCs w:val="20"/>
              </w:rPr>
              <w:t>4,612,741.84</w:t>
            </w:r>
          </w:p>
        </w:tc>
        <w:tc>
          <w:tcPr>
            <w:tcW w:w="1558" w:type="dxa"/>
            <w:tcBorders>
              <w:top w:val="single" w:color="auto" w:sz="2" w:space="0"/>
              <w:left w:val="single" w:color="auto" w:sz="2" w:space="0"/>
              <w:bottom w:val="single" w:color="auto" w:sz="2" w:space="0"/>
              <w:right w:val="single" w:color="auto" w:sz="2" w:space="0"/>
            </w:tcBorders>
            <w:vAlign w:val="center"/>
          </w:tcPr>
          <w:p w14:paraId="490365A9">
            <w:pPr>
              <w:jc w:val="right"/>
              <w:rPr>
                <w:rFonts w:ascii="Calibri" w:hAnsi="Calibri"/>
                <w:sz w:val="20"/>
                <w:szCs w:val="20"/>
              </w:rPr>
            </w:pPr>
            <w:r>
              <w:rPr>
                <w:rFonts w:ascii="Calibri" w:hAnsi="Calibri"/>
                <w:sz w:val="20"/>
                <w:szCs w:val="20"/>
              </w:rPr>
              <w:t>12,236.58</w:t>
            </w:r>
          </w:p>
        </w:tc>
        <w:tc>
          <w:tcPr>
            <w:tcW w:w="1558" w:type="dxa"/>
            <w:tcBorders>
              <w:top w:val="single" w:color="auto" w:sz="2" w:space="0"/>
              <w:left w:val="single" w:color="auto" w:sz="2" w:space="0"/>
              <w:bottom w:val="single" w:color="auto" w:sz="2" w:space="0"/>
              <w:right w:val="single" w:color="auto" w:sz="2" w:space="0"/>
            </w:tcBorders>
            <w:vAlign w:val="center"/>
          </w:tcPr>
          <w:p w14:paraId="28AC38BC">
            <w:pPr>
              <w:jc w:val="right"/>
              <w:rPr>
                <w:rFonts w:ascii="Calibri" w:hAnsi="Calibri"/>
                <w:sz w:val="20"/>
                <w:szCs w:val="20"/>
              </w:rPr>
            </w:pPr>
          </w:p>
        </w:tc>
        <w:tc>
          <w:tcPr>
            <w:tcW w:w="1558" w:type="dxa"/>
            <w:tcBorders>
              <w:top w:val="single" w:color="auto" w:sz="2" w:space="0"/>
              <w:left w:val="single" w:color="auto" w:sz="2" w:space="0"/>
              <w:bottom w:val="single" w:color="auto" w:sz="2" w:space="0"/>
              <w:right w:val="single" w:color="auto" w:sz="2" w:space="0"/>
            </w:tcBorders>
            <w:vAlign w:val="center"/>
          </w:tcPr>
          <w:p w14:paraId="1F330725">
            <w:pPr>
              <w:jc w:val="right"/>
              <w:rPr>
                <w:rFonts w:ascii="Calibri" w:hAnsi="Calibri"/>
                <w:sz w:val="20"/>
                <w:szCs w:val="20"/>
              </w:rPr>
            </w:pPr>
            <w:r>
              <w:rPr>
                <w:rFonts w:ascii="Calibri" w:hAnsi="Calibri"/>
                <w:sz w:val="20"/>
                <w:szCs w:val="20"/>
              </w:rPr>
              <w:t>4,624,978.42</w:t>
            </w:r>
          </w:p>
        </w:tc>
        <w:tc>
          <w:tcPr>
            <w:tcW w:w="1996" w:type="dxa"/>
            <w:tcBorders>
              <w:top w:val="single" w:color="auto" w:sz="2" w:space="0"/>
              <w:left w:val="single" w:color="auto" w:sz="2" w:space="0"/>
              <w:bottom w:val="single" w:color="auto" w:sz="2" w:space="0"/>
              <w:right w:val="single" w:color="auto" w:sz="2" w:space="0"/>
            </w:tcBorders>
            <w:vAlign w:val="center"/>
          </w:tcPr>
          <w:p w14:paraId="6D4E8AB8">
            <w:pPr>
              <w:pStyle w:val="48"/>
              <w:rPr>
                <w:sz w:val="20"/>
                <w:szCs w:val="20"/>
              </w:rPr>
            </w:pPr>
            <w:r>
              <w:rPr>
                <w:sz w:val="20"/>
                <w:szCs w:val="20"/>
              </w:rPr>
              <w:t>预计可收回金额低于其账面价值</w:t>
            </w:r>
          </w:p>
        </w:tc>
      </w:tr>
      <w:tr w14:paraId="4042A0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tc>
          <w:tcPr>
            <w:tcW w:w="1978" w:type="dxa"/>
            <w:tcBorders>
              <w:top w:val="single" w:color="auto" w:sz="2" w:space="0"/>
              <w:left w:val="single" w:color="auto" w:sz="2" w:space="0"/>
              <w:bottom w:val="single" w:color="auto" w:sz="2" w:space="0"/>
              <w:right w:val="single" w:color="auto" w:sz="2" w:space="0"/>
            </w:tcBorders>
            <w:vAlign w:val="center"/>
          </w:tcPr>
          <w:p w14:paraId="22F77DEE">
            <w:pPr>
              <w:pStyle w:val="48"/>
              <w:rPr>
                <w:sz w:val="20"/>
                <w:szCs w:val="20"/>
              </w:rPr>
            </w:pPr>
            <w:r>
              <w:rPr>
                <w:sz w:val="20"/>
                <w:szCs w:val="20"/>
              </w:rPr>
              <w:t>超速效赖脯胰岛素注射液项目配套工程</w:t>
            </w:r>
          </w:p>
        </w:tc>
        <w:tc>
          <w:tcPr>
            <w:tcW w:w="1559" w:type="dxa"/>
            <w:tcBorders>
              <w:top w:val="single" w:color="auto" w:sz="2" w:space="0"/>
              <w:left w:val="single" w:color="auto" w:sz="2" w:space="0"/>
              <w:bottom w:val="single" w:color="auto" w:sz="2" w:space="0"/>
              <w:right w:val="single" w:color="auto" w:sz="2" w:space="0"/>
            </w:tcBorders>
            <w:vAlign w:val="center"/>
          </w:tcPr>
          <w:p w14:paraId="1F3FE2E7">
            <w:pPr>
              <w:jc w:val="right"/>
              <w:rPr>
                <w:rFonts w:ascii="Calibri" w:hAnsi="Calibri"/>
                <w:sz w:val="20"/>
                <w:szCs w:val="20"/>
              </w:rPr>
            </w:pPr>
            <w:r>
              <w:rPr>
                <w:rFonts w:ascii="Calibri" w:hAnsi="Calibri"/>
                <w:sz w:val="20"/>
                <w:szCs w:val="20"/>
              </w:rPr>
              <w:t>3,370,837.98</w:t>
            </w:r>
          </w:p>
        </w:tc>
        <w:tc>
          <w:tcPr>
            <w:tcW w:w="1558" w:type="dxa"/>
            <w:tcBorders>
              <w:top w:val="single" w:color="auto" w:sz="2" w:space="0"/>
              <w:left w:val="single" w:color="auto" w:sz="2" w:space="0"/>
              <w:bottom w:val="single" w:color="auto" w:sz="2" w:space="0"/>
              <w:right w:val="single" w:color="auto" w:sz="2" w:space="0"/>
            </w:tcBorders>
            <w:vAlign w:val="center"/>
          </w:tcPr>
          <w:p w14:paraId="0282CFF8">
            <w:pPr>
              <w:jc w:val="right"/>
              <w:rPr>
                <w:rFonts w:ascii="Calibri" w:hAnsi="Calibri"/>
                <w:sz w:val="20"/>
                <w:szCs w:val="20"/>
              </w:rPr>
            </w:pPr>
          </w:p>
        </w:tc>
        <w:tc>
          <w:tcPr>
            <w:tcW w:w="1558" w:type="dxa"/>
            <w:tcBorders>
              <w:top w:val="single" w:color="auto" w:sz="2" w:space="0"/>
              <w:left w:val="single" w:color="auto" w:sz="2" w:space="0"/>
              <w:bottom w:val="single" w:color="auto" w:sz="2" w:space="0"/>
              <w:right w:val="single" w:color="auto" w:sz="2" w:space="0"/>
            </w:tcBorders>
            <w:vAlign w:val="center"/>
          </w:tcPr>
          <w:p w14:paraId="48F8B51E">
            <w:pPr>
              <w:jc w:val="right"/>
              <w:rPr>
                <w:rFonts w:ascii="Calibri" w:hAnsi="Calibri"/>
                <w:sz w:val="20"/>
                <w:szCs w:val="20"/>
              </w:rPr>
            </w:pPr>
            <w:r>
              <w:rPr>
                <w:rFonts w:ascii="Calibri" w:hAnsi="Calibri"/>
                <w:sz w:val="20"/>
                <w:szCs w:val="20"/>
              </w:rPr>
              <w:t>3,370,837.98</w:t>
            </w:r>
          </w:p>
        </w:tc>
        <w:tc>
          <w:tcPr>
            <w:tcW w:w="1558" w:type="dxa"/>
            <w:tcBorders>
              <w:top w:val="single" w:color="auto" w:sz="2" w:space="0"/>
              <w:left w:val="single" w:color="auto" w:sz="2" w:space="0"/>
              <w:bottom w:val="single" w:color="auto" w:sz="2" w:space="0"/>
              <w:right w:val="single" w:color="auto" w:sz="2" w:space="0"/>
            </w:tcBorders>
            <w:vAlign w:val="center"/>
          </w:tcPr>
          <w:p w14:paraId="1A7EB2D9">
            <w:pPr>
              <w:jc w:val="right"/>
              <w:rPr>
                <w:rFonts w:ascii="Calibri" w:hAnsi="Calibri"/>
                <w:sz w:val="20"/>
                <w:szCs w:val="20"/>
              </w:rPr>
            </w:pPr>
          </w:p>
        </w:tc>
        <w:tc>
          <w:tcPr>
            <w:tcW w:w="1996" w:type="dxa"/>
            <w:tcBorders>
              <w:top w:val="single" w:color="auto" w:sz="2" w:space="0"/>
              <w:left w:val="single" w:color="auto" w:sz="2" w:space="0"/>
              <w:bottom w:val="single" w:color="auto" w:sz="2" w:space="0"/>
              <w:right w:val="single" w:color="auto" w:sz="2" w:space="0"/>
            </w:tcBorders>
            <w:vAlign w:val="center"/>
          </w:tcPr>
          <w:p w14:paraId="0315E753">
            <w:pPr>
              <w:pStyle w:val="48"/>
              <w:rPr>
                <w:sz w:val="20"/>
                <w:szCs w:val="20"/>
              </w:rPr>
            </w:pPr>
            <w:r>
              <w:rPr>
                <w:sz w:val="20"/>
                <w:szCs w:val="20"/>
              </w:rPr>
              <w:t>预计可收回金额低于其账面价值</w:t>
            </w:r>
          </w:p>
        </w:tc>
      </w:tr>
      <w:tr w14:paraId="310229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Pr>
        <w:tc>
          <w:tcPr>
            <w:tcW w:w="1978" w:type="dxa"/>
            <w:tcBorders>
              <w:top w:val="single" w:color="auto" w:sz="2" w:space="0"/>
              <w:left w:val="single" w:color="auto" w:sz="2" w:space="0"/>
              <w:bottom w:val="single" w:color="auto" w:sz="2" w:space="0"/>
              <w:right w:val="single" w:color="auto" w:sz="2" w:space="0"/>
            </w:tcBorders>
            <w:vAlign w:val="center"/>
          </w:tcPr>
          <w:p w14:paraId="37322BF2">
            <w:pPr>
              <w:jc w:val="center"/>
              <w:rPr>
                <w:rFonts w:ascii="Calibri" w:hAnsi="Calibri"/>
                <w:sz w:val="20"/>
                <w:szCs w:val="20"/>
              </w:rPr>
            </w:pPr>
            <w:r>
              <w:rPr>
                <w:rFonts w:hint="eastAsia" w:ascii="Calibri" w:hAnsi="Calibri"/>
                <w:sz w:val="20"/>
                <w:szCs w:val="20"/>
              </w:rPr>
              <w:t>合计</w:t>
            </w:r>
          </w:p>
        </w:tc>
        <w:tc>
          <w:tcPr>
            <w:tcW w:w="1559" w:type="dxa"/>
            <w:tcBorders>
              <w:top w:val="single" w:color="auto" w:sz="2" w:space="0"/>
              <w:left w:val="single" w:color="auto" w:sz="2" w:space="0"/>
              <w:bottom w:val="single" w:color="auto" w:sz="2" w:space="0"/>
              <w:right w:val="single" w:color="auto" w:sz="2" w:space="0"/>
            </w:tcBorders>
            <w:vAlign w:val="center"/>
          </w:tcPr>
          <w:p w14:paraId="314C0C4E">
            <w:pPr>
              <w:jc w:val="right"/>
              <w:rPr>
                <w:rFonts w:ascii="Calibri" w:hAnsi="Calibri"/>
                <w:sz w:val="20"/>
                <w:szCs w:val="20"/>
              </w:rPr>
            </w:pPr>
            <w:r>
              <w:rPr>
                <w:rFonts w:ascii="Calibri" w:hAnsi="Calibri"/>
                <w:sz w:val="20"/>
                <w:szCs w:val="20"/>
              </w:rPr>
              <w:t>9,013,000.00</w:t>
            </w:r>
          </w:p>
        </w:tc>
        <w:tc>
          <w:tcPr>
            <w:tcW w:w="1558" w:type="dxa"/>
            <w:tcBorders>
              <w:top w:val="single" w:color="auto" w:sz="2" w:space="0"/>
              <w:left w:val="single" w:color="auto" w:sz="2" w:space="0"/>
              <w:bottom w:val="single" w:color="auto" w:sz="2" w:space="0"/>
              <w:right w:val="single" w:color="auto" w:sz="2" w:space="0"/>
            </w:tcBorders>
            <w:vAlign w:val="center"/>
          </w:tcPr>
          <w:p w14:paraId="3D60A067">
            <w:pPr>
              <w:jc w:val="right"/>
              <w:rPr>
                <w:rFonts w:ascii="Calibri" w:hAnsi="Calibri"/>
                <w:sz w:val="20"/>
                <w:szCs w:val="20"/>
              </w:rPr>
            </w:pPr>
            <w:r>
              <w:rPr>
                <w:rFonts w:ascii="Calibri" w:hAnsi="Calibri"/>
                <w:sz w:val="20"/>
                <w:szCs w:val="20"/>
              </w:rPr>
              <w:t>12,236.58</w:t>
            </w:r>
          </w:p>
        </w:tc>
        <w:tc>
          <w:tcPr>
            <w:tcW w:w="1558" w:type="dxa"/>
            <w:tcBorders>
              <w:top w:val="single" w:color="auto" w:sz="2" w:space="0"/>
              <w:left w:val="single" w:color="auto" w:sz="2" w:space="0"/>
              <w:bottom w:val="single" w:color="auto" w:sz="2" w:space="0"/>
              <w:right w:val="single" w:color="auto" w:sz="2" w:space="0"/>
            </w:tcBorders>
            <w:vAlign w:val="center"/>
          </w:tcPr>
          <w:p w14:paraId="5C00F067">
            <w:pPr>
              <w:jc w:val="right"/>
              <w:rPr>
                <w:rFonts w:ascii="Calibri" w:hAnsi="Calibri"/>
                <w:sz w:val="20"/>
                <w:szCs w:val="20"/>
              </w:rPr>
            </w:pPr>
            <w:r>
              <w:rPr>
                <w:rFonts w:ascii="Calibri" w:hAnsi="Calibri"/>
                <w:sz w:val="20"/>
                <w:szCs w:val="20"/>
              </w:rPr>
              <w:t>3,370,837.98</w:t>
            </w:r>
          </w:p>
        </w:tc>
        <w:tc>
          <w:tcPr>
            <w:tcW w:w="1558" w:type="dxa"/>
            <w:tcBorders>
              <w:top w:val="single" w:color="auto" w:sz="2" w:space="0"/>
              <w:left w:val="single" w:color="auto" w:sz="2" w:space="0"/>
              <w:bottom w:val="single" w:color="auto" w:sz="2" w:space="0"/>
              <w:right w:val="single" w:color="auto" w:sz="2" w:space="0"/>
            </w:tcBorders>
            <w:vAlign w:val="center"/>
          </w:tcPr>
          <w:p w14:paraId="57F5B0A4">
            <w:pPr>
              <w:jc w:val="right"/>
              <w:rPr>
                <w:rFonts w:ascii="Calibri" w:hAnsi="Calibri"/>
                <w:sz w:val="20"/>
                <w:szCs w:val="20"/>
              </w:rPr>
            </w:pPr>
            <w:r>
              <w:rPr>
                <w:rFonts w:ascii="Calibri" w:hAnsi="Calibri"/>
                <w:sz w:val="20"/>
                <w:szCs w:val="20"/>
              </w:rPr>
              <w:t>5,654,398.60</w:t>
            </w:r>
          </w:p>
        </w:tc>
        <w:tc>
          <w:tcPr>
            <w:tcW w:w="1996" w:type="dxa"/>
            <w:tcBorders>
              <w:top w:val="single" w:color="auto" w:sz="2" w:space="0"/>
              <w:left w:val="single" w:color="auto" w:sz="2" w:space="0"/>
              <w:bottom w:val="single" w:color="auto" w:sz="2" w:space="0"/>
              <w:right w:val="single" w:color="auto" w:sz="2" w:space="0"/>
            </w:tcBorders>
            <w:vAlign w:val="center"/>
          </w:tcPr>
          <w:p w14:paraId="6A7E49BF">
            <w:pPr>
              <w:jc w:val="center"/>
              <w:rPr>
                <w:rFonts w:ascii="Calibri" w:hAnsi="Calibri"/>
                <w:sz w:val="20"/>
                <w:szCs w:val="20"/>
              </w:rPr>
            </w:pPr>
            <w:r>
              <w:rPr>
                <w:rFonts w:ascii="Calibri" w:hAnsi="Calibri"/>
                <w:sz w:val="20"/>
                <w:szCs w:val="20"/>
              </w:rPr>
              <w:t>/</w:t>
            </w:r>
          </w:p>
        </w:tc>
      </w:tr>
    </w:tbl>
    <w:p w14:paraId="552E413C"/>
    <w:p w14:paraId="36C89080">
      <w:pPr>
        <w:pStyle w:val="6"/>
        <w:numPr>
          <w:ilvl w:val="0"/>
          <w:numId w:val="78"/>
        </w:numPr>
        <w:ind w:leftChars="0"/>
      </w:pPr>
      <w:r>
        <w:rPr>
          <w:rFonts w:hint="eastAsia"/>
        </w:rPr>
        <w:t>在建工程的减值测试情况</w:t>
      </w:r>
    </w:p>
    <w:sdt>
      <w:sdtPr>
        <w:alias w:val="是否适用：减值测试情况[双击切换]"/>
        <w:tag w:val="_GBC_d3e3ceb3450d42e8a3d61da2c2d7d3cb"/>
        <w:id w:val="736516600"/>
        <w:placeholder>
          <w:docPart w:val="GBC22222222222222222222222222222"/>
        </w:placeholder>
      </w:sdtPr>
      <w:sdtContent>
        <w:p w14:paraId="7F21367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CA20524">
      <w:pPr>
        <w:pStyle w:val="48"/>
      </w:pPr>
    </w:p>
    <w:p w14:paraId="57208CAE">
      <w:pPr>
        <w:snapToGrid w:val="0"/>
        <w:spacing w:line="240" w:lineRule="atLeast"/>
      </w:pPr>
    </w:p>
    <w:bookmarkEnd w:id="305"/>
    <w:p w14:paraId="77D1D6E9">
      <w:pPr>
        <w:pStyle w:val="48"/>
      </w:pPr>
      <w:r>
        <w:rPr>
          <w:rFonts w:hint="eastAsia"/>
        </w:rPr>
        <w:t>其他说明：</w:t>
      </w:r>
    </w:p>
    <w:sdt>
      <w:sdtPr>
        <w:alias w:val="是否适用：在建工程的说明[双击切换]"/>
        <w:tag w:val="_GBC_e6220a45d928426882f5c3ad23ff2098"/>
        <w:id w:val="-1111812079"/>
        <w:placeholder>
          <w:docPart w:val="GBC22222222222222222222222222222"/>
        </w:placeholder>
      </w:sdtPr>
      <w:sdtContent>
        <w:p w14:paraId="54587B67">
          <w:pPr>
            <w:pStyle w:val="48"/>
            <w:rPr>
              <w:color w:val="FF0000"/>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D6B7056">
      <w:pPr>
        <w:pStyle w:val="48"/>
      </w:pPr>
    </w:p>
    <w:p w14:paraId="28E1C517">
      <w:pPr>
        <w:pStyle w:val="5"/>
        <w:ind w:left="360" w:hanging="360"/>
      </w:pPr>
      <w:bookmarkStart w:id="306" w:name="_Hlk532903321"/>
      <w:r>
        <w:rPr>
          <w:rFonts w:hint="eastAsia"/>
        </w:rPr>
        <w:t>工程物资</w:t>
      </w:r>
    </w:p>
    <w:p w14:paraId="759E3978">
      <w:pPr>
        <w:pStyle w:val="6"/>
        <w:numPr>
          <w:ilvl w:val="0"/>
          <w:numId w:val="79"/>
        </w:numPr>
        <w:ind w:leftChars="0"/>
      </w:pPr>
      <w:r>
        <w:rPr>
          <w:rFonts w:hint="eastAsia"/>
        </w:rPr>
        <w:t>工程物资情况</w:t>
      </w:r>
    </w:p>
    <w:sdt>
      <w:sdtPr>
        <w:alias w:val="是否适用：工程物资[双击切换]"/>
        <w:tag w:val="_GBC_91916c11fa864423a1c0e6a4024fdda5"/>
        <w:id w:val="914133123"/>
        <w:placeholder>
          <w:docPart w:val="GBC22222222222222222222222222222"/>
        </w:placeholder>
      </w:sdtPr>
      <w:sdtContent>
        <w:p w14:paraId="45DEBA8D">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6081A86">
      <w:pPr>
        <w:pStyle w:val="48"/>
      </w:pPr>
    </w:p>
    <w:p w14:paraId="651E0CCE">
      <w:pPr>
        <w:rPr>
          <w:rFonts w:cstheme="minorBidi"/>
        </w:rPr>
      </w:pPr>
    </w:p>
    <w:bookmarkEnd w:id="306"/>
    <w:p w14:paraId="06A7BE1A">
      <w:pPr>
        <w:pStyle w:val="4"/>
        <w:numPr>
          <w:ilvl w:val="0"/>
          <w:numId w:val="61"/>
        </w:numPr>
        <w:rPr>
          <w:szCs w:val="21"/>
        </w:rPr>
      </w:pPr>
      <w:r>
        <w:rPr>
          <w:szCs w:val="21"/>
        </w:rPr>
        <w:t>生产性生物资产</w:t>
      </w:r>
    </w:p>
    <w:p w14:paraId="1FA9919F">
      <w:pPr>
        <w:pStyle w:val="5"/>
        <w:numPr>
          <w:ilvl w:val="3"/>
          <w:numId w:val="80"/>
        </w:numPr>
        <w:ind w:left="426" w:hanging="426"/>
      </w:pPr>
      <w:r>
        <w:rPr>
          <w:rFonts w:hint="eastAsia"/>
        </w:rPr>
        <w:t>采用成本计量模式的生产性生物资产</w:t>
      </w:r>
    </w:p>
    <w:sdt>
      <w:sdtPr>
        <w:rPr>
          <w:rFonts w:hint="eastAsia"/>
        </w:rPr>
        <w:alias w:val="是否适用：财务附注：以成本计量的生产性生物资产[双击切换]"/>
        <w:tag w:val="_GBC_925c2a7345d74ba1bae908f2c1695459"/>
        <w:id w:val="-623927174"/>
        <w:placeholder>
          <w:docPart w:val="GBC22222222222222222222222222222"/>
        </w:placeholder>
      </w:sdtPr>
      <w:sdtEndPr>
        <w:rPr>
          <w:rFonts w:hint="eastAsia"/>
        </w:rPr>
      </w:sdtEndPr>
      <w:sdtContent>
        <w:p w14:paraId="2BC1C5E1">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947BA9D">
      <w:pPr>
        <w:pStyle w:val="48"/>
        <w:rPr>
          <w:rFonts w:cstheme="minorBidi"/>
        </w:rPr>
      </w:pPr>
    </w:p>
    <w:p w14:paraId="095EDAA1">
      <w:pPr>
        <w:pStyle w:val="5"/>
        <w:numPr>
          <w:ilvl w:val="3"/>
          <w:numId w:val="80"/>
        </w:numPr>
        <w:ind w:left="426" w:hanging="426"/>
      </w:pPr>
      <w:bookmarkStart w:id="307" w:name="_Hlk153461442"/>
      <w:r>
        <w:rPr>
          <w:rFonts w:hint="eastAsia"/>
        </w:rPr>
        <w:t>采用成本计量模式的生产性生物资产的减值测试情况</w:t>
      </w:r>
    </w:p>
    <w:sdt>
      <w:sdtPr>
        <w:alias w:val="是否适用：减值测试情况[双击切换]"/>
        <w:tag w:val="_GBC_1463ca9b414a4cb28d5d13fd1d3b8486"/>
        <w:id w:val="804116006"/>
        <w:placeholder>
          <w:docPart w:val="GBC22222222222222222222222222222"/>
        </w:placeholder>
      </w:sdtPr>
      <w:sdtContent>
        <w:p w14:paraId="47394EC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62D1FB">
      <w:pPr>
        <w:pStyle w:val="48"/>
      </w:pPr>
    </w:p>
    <w:p w14:paraId="33397176">
      <w:pPr>
        <w:snapToGrid w:val="0"/>
        <w:spacing w:line="240" w:lineRule="atLeast"/>
      </w:pPr>
    </w:p>
    <w:bookmarkEnd w:id="307"/>
    <w:p w14:paraId="19D054B0">
      <w:pPr>
        <w:pStyle w:val="5"/>
        <w:numPr>
          <w:ilvl w:val="3"/>
          <w:numId w:val="80"/>
        </w:numPr>
        <w:ind w:left="426" w:hanging="426"/>
      </w:pPr>
      <w:r>
        <w:rPr>
          <w:rFonts w:hint="eastAsia"/>
        </w:rPr>
        <w:t>采用公允价值计量模式的生产性生物资产</w:t>
      </w:r>
    </w:p>
    <w:sdt>
      <w:sdtPr>
        <w:alias w:val="是否适用：财务附注：以公允价值计量的生产性生物资产[双击切换]"/>
        <w:tag w:val="_GBC_9b7a21a74fee4d22abc99ad9ee747e07"/>
        <w:id w:val="1982493432"/>
        <w:placeholder>
          <w:docPart w:val="GBC22222222222222222222222222222"/>
        </w:placeholder>
      </w:sdtPr>
      <w:sdtContent>
        <w:p w14:paraId="0DB0D30C">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42221E2">
      <w:pPr>
        <w:pStyle w:val="48"/>
      </w:pPr>
    </w:p>
    <w:p w14:paraId="15B5B390">
      <w:pPr>
        <w:autoSpaceDE w:val="0"/>
        <w:autoSpaceDN w:val="0"/>
        <w:adjustRightInd w:val="0"/>
      </w:pPr>
      <w:r>
        <w:rPr>
          <w:rFonts w:hint="eastAsia"/>
        </w:rPr>
        <w:t>其他说明：</w:t>
      </w:r>
    </w:p>
    <w:sdt>
      <w:sdtPr>
        <w:alias w:val="是否适用：生产性生物资产的说明[双击切换]"/>
        <w:tag w:val="_GBC_d3e0f749d04b4097a0886c38dadda8f4"/>
        <w:id w:val="-1768381478"/>
        <w:placeholder>
          <w:docPart w:val="GBC22222222222222222222222222222"/>
        </w:placeholder>
      </w:sdtPr>
      <w:sdtContent>
        <w:p w14:paraId="1FC28586">
          <w:pPr>
            <w:autoSpaceDE w:val="0"/>
            <w:autoSpaceDN w:val="0"/>
            <w:adjustRightInd w:val="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52B8AB6">
      <w:pPr>
        <w:pStyle w:val="48"/>
      </w:pPr>
    </w:p>
    <w:p w14:paraId="2CBD73D9">
      <w:pPr>
        <w:pStyle w:val="4"/>
        <w:numPr>
          <w:ilvl w:val="0"/>
          <w:numId w:val="61"/>
        </w:numPr>
        <w:rPr>
          <w:szCs w:val="21"/>
        </w:rPr>
      </w:pPr>
      <w:r>
        <w:rPr>
          <w:szCs w:val="21"/>
        </w:rPr>
        <w:t>油气资产</w:t>
      </w:r>
    </w:p>
    <w:p w14:paraId="35FFB691">
      <w:pPr>
        <w:pStyle w:val="5"/>
        <w:numPr>
          <w:ilvl w:val="0"/>
          <w:numId w:val="81"/>
        </w:numPr>
        <w:ind w:left="450" w:hanging="450"/>
      </w:pPr>
      <w:r>
        <w:rPr>
          <w:rFonts w:hint="eastAsia"/>
        </w:rPr>
        <w:t>油气资产情况</w:t>
      </w:r>
    </w:p>
    <w:sdt>
      <w:sdtPr>
        <w:alias w:val="是否适用：油气资产[双击切换]"/>
        <w:tag w:val="_GBC_a587239cd6ac4d96b99f6fe496e97c34"/>
        <w:id w:val="-1369600382"/>
        <w:placeholder>
          <w:docPart w:val="GBC22222222222222222222222222222"/>
        </w:placeholder>
      </w:sdtPr>
      <w:sdtContent>
        <w:p w14:paraId="3BE785B7">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4B974C">
      <w:pPr>
        <w:pStyle w:val="48"/>
        <w:rPr>
          <w:rFonts w:cstheme="minorBidi"/>
        </w:rPr>
      </w:pPr>
    </w:p>
    <w:p w14:paraId="25AD3CBF">
      <w:pPr>
        <w:pStyle w:val="5"/>
        <w:numPr>
          <w:ilvl w:val="0"/>
          <w:numId w:val="81"/>
        </w:numPr>
        <w:ind w:left="450" w:hanging="450"/>
      </w:pPr>
      <w:bookmarkStart w:id="308" w:name="_Hlk153461604"/>
      <w:r>
        <w:rPr>
          <w:rFonts w:hint="eastAsia"/>
        </w:rPr>
        <w:t>油气资产的减值测试情况</w:t>
      </w:r>
    </w:p>
    <w:sdt>
      <w:sdtPr>
        <w:alias w:val="是否适用：减值测试情况[双击切换]"/>
        <w:tag w:val="_GBC_c658db7dbb96462dbe4ab745ca73e3ca"/>
        <w:id w:val="-571282691"/>
        <w:placeholder>
          <w:docPart w:val="GBC22222222222222222222222222222"/>
        </w:placeholder>
      </w:sdtPr>
      <w:sdtContent>
        <w:p w14:paraId="6105548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FDA7DFB">
      <w:pPr>
        <w:pStyle w:val="48"/>
      </w:pPr>
    </w:p>
    <w:p w14:paraId="350F8C74">
      <w:pPr>
        <w:snapToGrid w:val="0"/>
        <w:spacing w:line="240" w:lineRule="atLeast"/>
      </w:pPr>
    </w:p>
    <w:bookmarkEnd w:id="308"/>
    <w:sdt>
      <w:sdtPr>
        <w:rPr>
          <w:rFonts w:hint="eastAsia" w:ascii="宋体" w:hAnsi="宋体" w:cs="宋体"/>
          <w:b w:val="0"/>
          <w:bCs w:val="0"/>
          <w:kern w:val="0"/>
          <w:szCs w:val="21"/>
        </w:rPr>
        <w:alias w:val="模块:使用权资产"/>
        <w:tag w:val="_SEC_56ef077439914c3f97ba31c1af9eef32"/>
        <w:id w:val="654034396"/>
        <w:placeholder>
          <w:docPart w:val="GBC22222222222222222222222222222"/>
        </w:placeholder>
      </w:sdtPr>
      <w:sdtEndPr>
        <w:rPr>
          <w:rFonts w:hint="eastAsia" w:ascii="Times New Roman" w:hAnsi="Times New Roman" w:cs="Times New Roman"/>
          <w:b w:val="0"/>
          <w:bCs w:val="0"/>
          <w:kern w:val="0"/>
          <w:szCs w:val="20"/>
        </w:rPr>
      </w:sdtEndPr>
      <w:sdtContent>
        <w:sdt>
          <w:sdtPr>
            <w:tag w:val="_PLD_711cc8de7e9f47e8bf0e59a53059ca2e"/>
            <w:id w:val="2049256797"/>
          </w:sdtPr>
          <w:sdtContent>
            <w:p w14:paraId="3FF88FBE">
              <w:pPr>
                <w:pStyle w:val="4"/>
                <w:numPr>
                  <w:ilvl w:val="0"/>
                  <w:numId w:val="61"/>
                </w:numPr>
                <w:rPr>
                  <w:szCs w:val="21"/>
                </w:rPr>
              </w:pPr>
              <w:bookmarkStart w:id="309" w:name="_Hlk121390344"/>
              <w:bookmarkStart w:id="310" w:name="_Hlk24026112"/>
              <w:r>
                <w:rPr>
                  <w:szCs w:val="21"/>
                </w:rPr>
                <w:t>使用权资产</w:t>
              </w:r>
            </w:p>
          </w:sdtContent>
        </w:sdt>
        <w:p w14:paraId="25A31FF9">
          <w:pPr>
            <w:pStyle w:val="5"/>
            <w:numPr>
              <w:ilvl w:val="0"/>
              <w:numId w:val="82"/>
            </w:numPr>
          </w:pPr>
          <w:r>
            <w:rPr>
              <w:rFonts w:hint="eastAsia"/>
            </w:rPr>
            <w:t>使用权资产情况</w:t>
          </w:r>
        </w:p>
        <w:sdt>
          <w:sdtPr>
            <w:alias w:val="是否适用：使用权资产[双击切换]"/>
            <w:tag w:val="_GBC_0d86ed9789d84ef592fcb1556e3f676f"/>
            <w:id w:val="-1707864934"/>
            <w:placeholder>
              <w:docPart w:val="GBC22222222222222222222222222222"/>
            </w:placeholder>
          </w:sdtPr>
          <w:sdtContent>
            <w:p w14:paraId="18F8CC5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65B5F81">
          <w:pPr>
            <w:autoSpaceDE w:val="0"/>
            <w:autoSpaceDN w:val="0"/>
            <w:adjustRightInd w:val="0"/>
            <w:jc w:val="right"/>
          </w:pPr>
          <w:r>
            <w:rPr>
              <w:rFonts w:hint="eastAsia"/>
            </w:rPr>
            <w:t>单位：</w:t>
          </w:r>
          <w:sdt>
            <w:sdtPr>
              <w:rPr>
                <w:rFonts w:hint="eastAsia"/>
              </w:rPr>
              <w:alias w:val="单位：使用权资产"/>
              <w:tag w:val="_GBC_f958637710fb400c8900b59a67a7bfeb"/>
              <w:id w:val="-90537394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使用权资产"/>
              <w:tag w:val="_GBC_52957ed8d1644c96801bc28a57ac0486"/>
              <w:id w:val="1909620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721"/>
            <w:gridCol w:w="2930"/>
          </w:tblGrid>
          <w:tr w14:paraId="0CCF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6e52ac1447e040bbbee6d5db3fc1c995"/>
                <w:id w:val="1321159612"/>
              </w:sdtPr>
              <w:sdtContent>
                <w:tc>
                  <w:tcPr>
                    <w:tcW w:w="3398" w:type="dxa"/>
                    <w:vAlign w:val="center"/>
                  </w:tcPr>
                  <w:p w14:paraId="0A82F9F7">
                    <w:pPr>
                      <w:spacing w:line="240" w:lineRule="atLeast"/>
                      <w:jc w:val="center"/>
                      <w:rPr>
                        <w:rFonts w:ascii="Calibri" w:hAnsi="Calibri"/>
                        <w:sz w:val="20"/>
                        <w:szCs w:val="20"/>
                      </w:rPr>
                    </w:pPr>
                    <w:r>
                      <w:rPr>
                        <w:rFonts w:hint="eastAsia" w:ascii="Calibri" w:hAnsi="Calibri"/>
                        <w:sz w:val="20"/>
                        <w:szCs w:val="20"/>
                      </w:rPr>
                      <w:t>项目</w:t>
                    </w:r>
                  </w:p>
                </w:tc>
              </w:sdtContent>
            </w:sdt>
            <w:sdt>
              <w:sdtPr>
                <w:alias w:val="使用权资产明细-项目"/>
                <w:tag w:val="_GBC_8854a3b92dce426b81aa78cb836a99cd"/>
                <w:id w:val="-899742174"/>
              </w:sdtPr>
              <w:sdtContent>
                <w:tc>
                  <w:tcPr>
                    <w:tcW w:w="2721" w:type="dxa"/>
                    <w:vAlign w:val="center"/>
                  </w:tcPr>
                  <w:p w14:paraId="13931603">
                    <w:pPr>
                      <w:spacing w:line="240" w:lineRule="atLeast"/>
                      <w:jc w:val="center"/>
                      <w:rPr>
                        <w:rFonts w:ascii="Calibri" w:hAnsi="Calibri"/>
                        <w:sz w:val="20"/>
                        <w:szCs w:val="20"/>
                      </w:rPr>
                    </w:pPr>
                    <w:r>
                      <w:rPr>
                        <w:rFonts w:hint="eastAsia" w:ascii="Calibri" w:hAnsi="Calibri"/>
                        <w:sz w:val="20"/>
                        <w:szCs w:val="20"/>
                      </w:rPr>
                      <w:t>房屋及建筑物</w:t>
                    </w:r>
                  </w:p>
                </w:tc>
              </w:sdtContent>
            </w:sdt>
            <w:sdt>
              <w:sdtPr>
                <w:tag w:val="_PLD_9c5be9b6ed044311be8a2370c18f35f0"/>
                <w:id w:val="-2024927251"/>
              </w:sdtPr>
              <w:sdtContent>
                <w:tc>
                  <w:tcPr>
                    <w:tcW w:w="2930" w:type="dxa"/>
                    <w:vAlign w:val="center"/>
                  </w:tcPr>
                  <w:p w14:paraId="32DDA4B1">
                    <w:pPr>
                      <w:spacing w:line="240" w:lineRule="atLeast"/>
                      <w:jc w:val="center"/>
                      <w:rPr>
                        <w:rFonts w:ascii="Calibri" w:hAnsi="Calibri"/>
                        <w:sz w:val="20"/>
                        <w:szCs w:val="20"/>
                      </w:rPr>
                    </w:pPr>
                    <w:r>
                      <w:rPr>
                        <w:rFonts w:ascii="Calibri" w:hAnsi="Calibri"/>
                        <w:sz w:val="20"/>
                        <w:szCs w:val="20"/>
                      </w:rPr>
                      <w:t>合计</w:t>
                    </w:r>
                  </w:p>
                </w:tc>
              </w:sdtContent>
            </w:sdt>
          </w:tr>
          <w:tr w14:paraId="6FB4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3548dba12ab44fffb8352baf0a2432b0"/>
                <w:id w:val="1266115399"/>
              </w:sdtPr>
              <w:sdtContent>
                <w:tc>
                  <w:tcPr>
                    <w:tcW w:w="9049" w:type="dxa"/>
                    <w:gridSpan w:val="3"/>
                    <w:vAlign w:val="center"/>
                  </w:tcPr>
                  <w:p w14:paraId="00B2BED2">
                    <w:pPr>
                      <w:spacing w:line="240" w:lineRule="atLeast"/>
                      <w:rPr>
                        <w:rFonts w:ascii="Calibri" w:hAnsi="Calibri"/>
                        <w:sz w:val="20"/>
                        <w:szCs w:val="20"/>
                      </w:rPr>
                    </w:pPr>
                    <w:r>
                      <w:rPr>
                        <w:rFonts w:ascii="Calibri" w:hAnsi="Calibri"/>
                        <w:sz w:val="20"/>
                        <w:szCs w:val="20"/>
                      </w:rPr>
                      <w:t>一、</w:t>
                    </w:r>
                    <w:r>
                      <w:rPr>
                        <w:rFonts w:hint="eastAsia" w:ascii="Calibri" w:hAnsi="Calibri"/>
                        <w:sz w:val="20"/>
                        <w:szCs w:val="20"/>
                      </w:rPr>
                      <w:t>账面</w:t>
                    </w:r>
                    <w:r>
                      <w:rPr>
                        <w:rFonts w:ascii="Calibri" w:hAnsi="Calibri"/>
                        <w:sz w:val="20"/>
                        <w:szCs w:val="20"/>
                      </w:rPr>
                      <w:t>原</w:t>
                    </w:r>
                    <w:r>
                      <w:rPr>
                        <w:rFonts w:hint="eastAsia" w:ascii="Calibri" w:hAnsi="Calibri"/>
                        <w:sz w:val="20"/>
                        <w:szCs w:val="20"/>
                      </w:rPr>
                      <w:t>值</w:t>
                    </w:r>
                  </w:p>
                </w:tc>
              </w:sdtContent>
            </w:sdt>
          </w:tr>
          <w:tr w14:paraId="6C43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0190363D">
                <w:pPr>
                  <w:spacing w:line="240" w:lineRule="atLeast"/>
                  <w:ind w:firstLine="400" w:firstLineChars="200"/>
                  <w:rPr>
                    <w:rFonts w:ascii="Calibri" w:hAnsi="Calibri"/>
                    <w:sz w:val="20"/>
                    <w:szCs w:val="20"/>
                  </w:rPr>
                </w:pPr>
                <w:r>
                  <w:rPr>
                    <w:rFonts w:ascii="Calibri" w:hAnsi="Calibri"/>
                    <w:sz w:val="20"/>
                    <w:szCs w:val="20"/>
                  </w:rPr>
                  <w:t>1.</w:t>
                </w:r>
                <w:r>
                  <w:rPr>
                    <w:rFonts w:hint="eastAsia" w:ascii="Calibri" w:hAnsi="Calibri"/>
                    <w:sz w:val="20"/>
                    <w:szCs w:val="20"/>
                  </w:rPr>
                  <w:t>期</w:t>
                </w:r>
                <w:r>
                  <w:rPr>
                    <w:rFonts w:ascii="Calibri" w:hAnsi="Calibri"/>
                    <w:sz w:val="20"/>
                    <w:szCs w:val="20"/>
                  </w:rPr>
                  <w:t>初余额</w:t>
                </w:r>
              </w:p>
            </w:tc>
            <w:tc>
              <w:tcPr>
                <w:tcW w:w="2721" w:type="dxa"/>
                <w:vAlign w:val="center"/>
              </w:tcPr>
              <w:p w14:paraId="15AEDA70">
                <w:pPr>
                  <w:spacing w:line="240" w:lineRule="atLeast"/>
                  <w:ind w:firstLine="400" w:firstLineChars="200"/>
                  <w:jc w:val="right"/>
                  <w:rPr>
                    <w:rFonts w:ascii="Calibri" w:hAnsi="Calibri"/>
                    <w:sz w:val="20"/>
                    <w:szCs w:val="20"/>
                  </w:rPr>
                </w:pPr>
                <w:r>
                  <w:rPr>
                    <w:rFonts w:ascii="Calibri" w:hAnsi="Calibri"/>
                    <w:sz w:val="20"/>
                    <w:szCs w:val="20"/>
                  </w:rPr>
                  <w:t>24,883,940.10</w:t>
                </w:r>
              </w:p>
            </w:tc>
            <w:tc>
              <w:tcPr>
                <w:tcW w:w="2930" w:type="dxa"/>
                <w:vAlign w:val="center"/>
              </w:tcPr>
              <w:p w14:paraId="4C930B94">
                <w:pPr>
                  <w:spacing w:line="240" w:lineRule="atLeast"/>
                  <w:jc w:val="right"/>
                  <w:rPr>
                    <w:rFonts w:ascii="Calibri" w:hAnsi="Calibri"/>
                    <w:sz w:val="20"/>
                    <w:szCs w:val="20"/>
                  </w:rPr>
                </w:pPr>
                <w:r>
                  <w:rPr>
                    <w:rFonts w:ascii="Calibri" w:hAnsi="Calibri"/>
                    <w:sz w:val="20"/>
                    <w:szCs w:val="20"/>
                  </w:rPr>
                  <w:t>24,883,940.10</w:t>
                </w:r>
              </w:p>
            </w:tc>
          </w:tr>
          <w:tr w14:paraId="1E18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65EE5B5E">
                <w:pPr>
                  <w:spacing w:line="240" w:lineRule="atLeast"/>
                  <w:ind w:firstLine="400" w:firstLineChars="200"/>
                  <w:rPr>
                    <w:rFonts w:ascii="Calibri" w:hAnsi="Calibri"/>
                    <w:sz w:val="20"/>
                    <w:szCs w:val="20"/>
                  </w:rPr>
                </w:pPr>
                <w:r>
                  <w:rPr>
                    <w:rFonts w:ascii="Calibri" w:hAnsi="Calibri"/>
                    <w:sz w:val="20"/>
                    <w:szCs w:val="20"/>
                  </w:rPr>
                  <w:t>2.本期增加</w:t>
                </w:r>
                <w:r>
                  <w:rPr>
                    <w:rFonts w:hint="eastAsia" w:ascii="Calibri" w:hAnsi="Calibri"/>
                    <w:sz w:val="20"/>
                    <w:szCs w:val="20"/>
                  </w:rPr>
                  <w:t>金额</w:t>
                </w:r>
              </w:p>
            </w:tc>
            <w:tc>
              <w:tcPr>
                <w:tcW w:w="2721" w:type="dxa"/>
                <w:vAlign w:val="center"/>
              </w:tcPr>
              <w:p w14:paraId="00550129">
                <w:pPr>
                  <w:spacing w:line="240" w:lineRule="atLeast"/>
                  <w:jc w:val="right"/>
                  <w:rPr>
                    <w:rFonts w:ascii="Calibri" w:hAnsi="Calibri"/>
                    <w:sz w:val="20"/>
                    <w:szCs w:val="20"/>
                  </w:rPr>
                </w:pPr>
                <w:r>
                  <w:rPr>
                    <w:rFonts w:ascii="Calibri" w:hAnsi="Calibri"/>
                    <w:sz w:val="20"/>
                    <w:szCs w:val="20"/>
                  </w:rPr>
                  <w:t>16,371,102.32</w:t>
                </w:r>
              </w:p>
            </w:tc>
            <w:tc>
              <w:tcPr>
                <w:tcW w:w="2930" w:type="dxa"/>
                <w:vAlign w:val="center"/>
              </w:tcPr>
              <w:p w14:paraId="2F03C462">
                <w:pPr>
                  <w:spacing w:line="240" w:lineRule="atLeast"/>
                  <w:jc w:val="right"/>
                  <w:rPr>
                    <w:rFonts w:ascii="Calibri" w:hAnsi="Calibri"/>
                    <w:sz w:val="20"/>
                    <w:szCs w:val="20"/>
                  </w:rPr>
                </w:pPr>
                <w:r>
                  <w:rPr>
                    <w:rFonts w:ascii="Calibri" w:hAnsi="Calibri"/>
                    <w:sz w:val="20"/>
                    <w:szCs w:val="20"/>
                  </w:rPr>
                  <w:t>16,371,102.32</w:t>
                </w:r>
              </w:p>
            </w:tc>
          </w:tr>
          <w:tr w14:paraId="2BF3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72B67388">
                <w:pPr>
                  <w:spacing w:line="240" w:lineRule="atLeast"/>
                  <w:ind w:firstLine="600" w:firstLineChars="300"/>
                  <w:rPr>
                    <w:rFonts w:ascii="Calibri" w:hAnsi="Calibri"/>
                    <w:sz w:val="20"/>
                    <w:szCs w:val="20"/>
                  </w:rPr>
                </w:pPr>
                <w:r>
                  <w:rPr>
                    <w:rFonts w:hint="eastAsia" w:ascii="Calibri" w:hAnsi="Calibri"/>
                    <w:sz w:val="20"/>
                    <w:szCs w:val="20"/>
                  </w:rPr>
                  <w:t>（1）新增租赁</w:t>
                </w:r>
              </w:p>
            </w:tc>
            <w:tc>
              <w:tcPr>
                <w:tcW w:w="2721" w:type="dxa"/>
                <w:vAlign w:val="center"/>
              </w:tcPr>
              <w:p w14:paraId="79E63DB4">
                <w:pPr>
                  <w:spacing w:line="240" w:lineRule="atLeast"/>
                  <w:jc w:val="right"/>
                  <w:rPr>
                    <w:rFonts w:ascii="Calibri" w:hAnsi="Calibri"/>
                    <w:sz w:val="20"/>
                    <w:szCs w:val="20"/>
                  </w:rPr>
                </w:pPr>
                <w:r>
                  <w:rPr>
                    <w:rFonts w:ascii="Calibri" w:hAnsi="Calibri"/>
                    <w:sz w:val="20"/>
                    <w:szCs w:val="20"/>
                  </w:rPr>
                  <w:t>16,371,102.32</w:t>
                </w:r>
              </w:p>
            </w:tc>
            <w:tc>
              <w:tcPr>
                <w:tcW w:w="2930" w:type="dxa"/>
                <w:vAlign w:val="center"/>
              </w:tcPr>
              <w:p w14:paraId="5D71A38E">
                <w:pPr>
                  <w:spacing w:line="240" w:lineRule="atLeast"/>
                  <w:jc w:val="right"/>
                  <w:rPr>
                    <w:rFonts w:ascii="Calibri" w:hAnsi="Calibri"/>
                    <w:sz w:val="20"/>
                    <w:szCs w:val="20"/>
                  </w:rPr>
                </w:pPr>
                <w:r>
                  <w:rPr>
                    <w:rFonts w:ascii="Calibri" w:hAnsi="Calibri"/>
                    <w:sz w:val="20"/>
                    <w:szCs w:val="20"/>
                  </w:rPr>
                  <w:t>16,371,102.32</w:t>
                </w:r>
              </w:p>
            </w:tc>
          </w:tr>
          <w:tr w14:paraId="7EC4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251F899D">
                <w:pPr>
                  <w:spacing w:line="240" w:lineRule="atLeast"/>
                  <w:ind w:firstLine="400" w:firstLineChars="200"/>
                  <w:rPr>
                    <w:rFonts w:ascii="Calibri" w:hAnsi="Calibri"/>
                    <w:sz w:val="20"/>
                    <w:szCs w:val="20"/>
                  </w:rPr>
                </w:pPr>
                <w:r>
                  <w:rPr>
                    <w:rFonts w:ascii="Calibri" w:hAnsi="Calibri"/>
                    <w:sz w:val="20"/>
                    <w:szCs w:val="20"/>
                  </w:rPr>
                  <w:t>3.本期减少</w:t>
                </w:r>
                <w:r>
                  <w:rPr>
                    <w:rFonts w:hint="eastAsia" w:ascii="Calibri" w:hAnsi="Calibri"/>
                    <w:sz w:val="20"/>
                    <w:szCs w:val="20"/>
                  </w:rPr>
                  <w:t>金额</w:t>
                </w:r>
              </w:p>
            </w:tc>
            <w:tc>
              <w:tcPr>
                <w:tcW w:w="2721" w:type="dxa"/>
                <w:vAlign w:val="center"/>
              </w:tcPr>
              <w:p w14:paraId="3E8D846C">
                <w:pPr>
                  <w:spacing w:line="240" w:lineRule="atLeast"/>
                  <w:jc w:val="right"/>
                  <w:rPr>
                    <w:rFonts w:ascii="Calibri" w:hAnsi="Calibri"/>
                    <w:sz w:val="20"/>
                    <w:szCs w:val="20"/>
                  </w:rPr>
                </w:pPr>
                <w:r>
                  <w:rPr>
                    <w:rFonts w:ascii="Calibri" w:hAnsi="Calibri"/>
                    <w:sz w:val="20"/>
                    <w:szCs w:val="20"/>
                  </w:rPr>
                  <w:t>518,001.17</w:t>
                </w:r>
              </w:p>
            </w:tc>
            <w:tc>
              <w:tcPr>
                <w:tcW w:w="2930" w:type="dxa"/>
                <w:vAlign w:val="center"/>
              </w:tcPr>
              <w:p w14:paraId="73EBF12E">
                <w:pPr>
                  <w:spacing w:line="240" w:lineRule="atLeast"/>
                  <w:jc w:val="right"/>
                  <w:rPr>
                    <w:rFonts w:ascii="Calibri" w:hAnsi="Calibri"/>
                    <w:sz w:val="20"/>
                    <w:szCs w:val="20"/>
                  </w:rPr>
                </w:pPr>
                <w:r>
                  <w:rPr>
                    <w:rFonts w:ascii="Calibri" w:hAnsi="Calibri"/>
                    <w:sz w:val="20"/>
                    <w:szCs w:val="20"/>
                  </w:rPr>
                  <w:t>518,001.17</w:t>
                </w:r>
              </w:p>
            </w:tc>
          </w:tr>
          <w:tr w14:paraId="2474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0E5822DE">
                <w:pPr>
                  <w:spacing w:line="240" w:lineRule="atLeast"/>
                  <w:ind w:firstLine="600" w:firstLineChars="300"/>
                  <w:rPr>
                    <w:rFonts w:ascii="Calibri" w:hAnsi="Calibri"/>
                    <w:sz w:val="20"/>
                    <w:szCs w:val="20"/>
                  </w:rPr>
                </w:pPr>
                <w:r>
                  <w:rPr>
                    <w:rFonts w:hint="eastAsia" w:ascii="Calibri" w:hAnsi="Calibri"/>
                    <w:sz w:val="20"/>
                    <w:szCs w:val="20"/>
                  </w:rPr>
                  <w:t>（1）提前终止租赁</w:t>
                </w:r>
              </w:p>
            </w:tc>
            <w:tc>
              <w:tcPr>
                <w:tcW w:w="2721" w:type="dxa"/>
                <w:vAlign w:val="center"/>
              </w:tcPr>
              <w:p w14:paraId="4A752C7A">
                <w:pPr>
                  <w:spacing w:line="240" w:lineRule="atLeast"/>
                  <w:jc w:val="right"/>
                  <w:rPr>
                    <w:rFonts w:ascii="Calibri" w:hAnsi="Calibri"/>
                    <w:sz w:val="20"/>
                    <w:szCs w:val="20"/>
                  </w:rPr>
                </w:pPr>
                <w:r>
                  <w:rPr>
                    <w:rFonts w:ascii="Calibri" w:hAnsi="Calibri"/>
                    <w:sz w:val="20"/>
                    <w:szCs w:val="20"/>
                  </w:rPr>
                  <w:t>518,001.17</w:t>
                </w:r>
              </w:p>
            </w:tc>
            <w:tc>
              <w:tcPr>
                <w:tcW w:w="2930" w:type="dxa"/>
                <w:vAlign w:val="center"/>
              </w:tcPr>
              <w:p w14:paraId="4C5EE3CB">
                <w:pPr>
                  <w:spacing w:line="240" w:lineRule="atLeast"/>
                  <w:jc w:val="right"/>
                  <w:rPr>
                    <w:rFonts w:ascii="Calibri" w:hAnsi="Calibri"/>
                    <w:sz w:val="20"/>
                    <w:szCs w:val="20"/>
                  </w:rPr>
                </w:pPr>
                <w:r>
                  <w:rPr>
                    <w:rFonts w:ascii="Calibri" w:hAnsi="Calibri"/>
                    <w:sz w:val="20"/>
                    <w:szCs w:val="20"/>
                  </w:rPr>
                  <w:t>518,001.17</w:t>
                </w:r>
              </w:p>
            </w:tc>
          </w:tr>
          <w:tr w14:paraId="668E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08288A5E">
                <w:pPr>
                  <w:spacing w:line="240" w:lineRule="atLeast"/>
                  <w:ind w:firstLine="400" w:firstLineChars="200"/>
                  <w:rPr>
                    <w:rFonts w:ascii="Calibri" w:hAnsi="Calibri"/>
                    <w:sz w:val="20"/>
                    <w:szCs w:val="20"/>
                  </w:rPr>
                </w:pPr>
                <w:r>
                  <w:rPr>
                    <w:rFonts w:ascii="Calibri" w:hAnsi="Calibri"/>
                    <w:sz w:val="20"/>
                    <w:szCs w:val="20"/>
                  </w:rPr>
                  <w:t>4.期末余额</w:t>
                </w:r>
              </w:p>
            </w:tc>
            <w:tc>
              <w:tcPr>
                <w:tcW w:w="2721" w:type="dxa"/>
                <w:vAlign w:val="center"/>
              </w:tcPr>
              <w:p w14:paraId="2BE36180">
                <w:pPr>
                  <w:spacing w:line="240" w:lineRule="atLeast"/>
                  <w:jc w:val="right"/>
                  <w:rPr>
                    <w:rFonts w:ascii="Calibri" w:hAnsi="Calibri"/>
                    <w:sz w:val="20"/>
                    <w:szCs w:val="20"/>
                  </w:rPr>
                </w:pPr>
                <w:r>
                  <w:rPr>
                    <w:rFonts w:ascii="Calibri" w:hAnsi="Calibri"/>
                    <w:sz w:val="20"/>
                    <w:szCs w:val="20"/>
                  </w:rPr>
                  <w:t>40,737,041.25</w:t>
                </w:r>
              </w:p>
            </w:tc>
            <w:tc>
              <w:tcPr>
                <w:tcW w:w="2930" w:type="dxa"/>
                <w:vAlign w:val="center"/>
              </w:tcPr>
              <w:p w14:paraId="557ABBC3">
                <w:pPr>
                  <w:spacing w:line="240" w:lineRule="atLeast"/>
                  <w:jc w:val="right"/>
                  <w:rPr>
                    <w:rFonts w:ascii="Calibri" w:hAnsi="Calibri"/>
                    <w:sz w:val="20"/>
                    <w:szCs w:val="20"/>
                  </w:rPr>
                </w:pPr>
                <w:r>
                  <w:rPr>
                    <w:rFonts w:ascii="Calibri" w:hAnsi="Calibri"/>
                    <w:sz w:val="20"/>
                    <w:szCs w:val="20"/>
                  </w:rPr>
                  <w:t>40,737,041.25</w:t>
                </w:r>
              </w:p>
            </w:tc>
          </w:tr>
          <w:tr w14:paraId="5D56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39b1174f077e44e0af9583631dcb785f"/>
                <w:id w:val="-409542997"/>
              </w:sdtPr>
              <w:sdtContent>
                <w:tc>
                  <w:tcPr>
                    <w:tcW w:w="9049" w:type="dxa"/>
                    <w:gridSpan w:val="3"/>
                    <w:vAlign w:val="center"/>
                  </w:tcPr>
                  <w:p w14:paraId="0A365ED7">
                    <w:pPr>
                      <w:spacing w:line="240" w:lineRule="atLeast"/>
                      <w:rPr>
                        <w:rFonts w:ascii="Calibri" w:hAnsi="Calibri"/>
                        <w:sz w:val="20"/>
                        <w:szCs w:val="20"/>
                      </w:rPr>
                    </w:pPr>
                    <w:r>
                      <w:rPr>
                        <w:rFonts w:ascii="Calibri" w:hAnsi="Calibri"/>
                        <w:sz w:val="20"/>
                        <w:szCs w:val="20"/>
                      </w:rPr>
                      <w:t>二、累计折旧</w:t>
                    </w:r>
                  </w:p>
                </w:tc>
              </w:sdtContent>
            </w:sdt>
          </w:tr>
          <w:tr w14:paraId="47EE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47B282F6">
                <w:pPr>
                  <w:spacing w:line="240" w:lineRule="atLeast"/>
                  <w:ind w:firstLine="400" w:firstLineChars="200"/>
                  <w:rPr>
                    <w:rFonts w:ascii="Calibri" w:hAnsi="Calibri"/>
                    <w:sz w:val="20"/>
                    <w:szCs w:val="20"/>
                  </w:rPr>
                </w:pPr>
                <w:r>
                  <w:rPr>
                    <w:rFonts w:hint="eastAsia" w:ascii="Calibri" w:hAnsi="Calibri"/>
                    <w:sz w:val="20"/>
                    <w:szCs w:val="20"/>
                  </w:rPr>
                  <w:t>1.期</w:t>
                </w:r>
                <w:r>
                  <w:rPr>
                    <w:rFonts w:ascii="Calibri" w:hAnsi="Calibri"/>
                    <w:sz w:val="20"/>
                    <w:szCs w:val="20"/>
                  </w:rPr>
                  <w:t>初余额</w:t>
                </w:r>
              </w:p>
            </w:tc>
            <w:tc>
              <w:tcPr>
                <w:tcW w:w="2721" w:type="dxa"/>
                <w:vAlign w:val="center"/>
              </w:tcPr>
              <w:p w14:paraId="0F8A3592">
                <w:pPr>
                  <w:spacing w:line="240" w:lineRule="atLeast"/>
                  <w:jc w:val="right"/>
                  <w:rPr>
                    <w:rFonts w:ascii="Calibri" w:hAnsi="Calibri"/>
                    <w:sz w:val="20"/>
                    <w:szCs w:val="20"/>
                  </w:rPr>
                </w:pPr>
                <w:r>
                  <w:rPr>
                    <w:rFonts w:ascii="Calibri" w:hAnsi="Calibri"/>
                    <w:sz w:val="20"/>
                    <w:szCs w:val="20"/>
                  </w:rPr>
                  <w:t>1,203,914.99</w:t>
                </w:r>
              </w:p>
            </w:tc>
            <w:tc>
              <w:tcPr>
                <w:tcW w:w="2930" w:type="dxa"/>
                <w:vAlign w:val="center"/>
              </w:tcPr>
              <w:p w14:paraId="636A0CF5">
                <w:pPr>
                  <w:spacing w:line="240" w:lineRule="atLeast"/>
                  <w:jc w:val="right"/>
                  <w:rPr>
                    <w:rFonts w:ascii="Calibri" w:hAnsi="Calibri"/>
                    <w:sz w:val="20"/>
                    <w:szCs w:val="20"/>
                  </w:rPr>
                </w:pPr>
                <w:r>
                  <w:rPr>
                    <w:rFonts w:ascii="Calibri" w:hAnsi="Calibri"/>
                    <w:sz w:val="20"/>
                    <w:szCs w:val="20"/>
                  </w:rPr>
                  <w:t>1,203,914.99</w:t>
                </w:r>
              </w:p>
            </w:tc>
          </w:tr>
          <w:tr w14:paraId="59F2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7D30DFCD">
                <w:pPr>
                  <w:spacing w:line="240" w:lineRule="atLeast"/>
                  <w:ind w:firstLine="400" w:firstLineChars="200"/>
                  <w:rPr>
                    <w:rFonts w:ascii="Calibri" w:hAnsi="Calibri"/>
                    <w:sz w:val="20"/>
                    <w:szCs w:val="20"/>
                  </w:rPr>
                </w:pPr>
                <w:r>
                  <w:rPr>
                    <w:rFonts w:ascii="Calibri" w:hAnsi="Calibri"/>
                    <w:sz w:val="20"/>
                    <w:szCs w:val="20"/>
                  </w:rPr>
                  <w:t>2.本期增加</w:t>
                </w:r>
                <w:r>
                  <w:rPr>
                    <w:rFonts w:hint="eastAsia" w:ascii="Calibri" w:hAnsi="Calibri"/>
                    <w:sz w:val="20"/>
                    <w:szCs w:val="20"/>
                  </w:rPr>
                  <w:t>金额</w:t>
                </w:r>
              </w:p>
            </w:tc>
            <w:tc>
              <w:tcPr>
                <w:tcW w:w="2721" w:type="dxa"/>
                <w:vAlign w:val="center"/>
              </w:tcPr>
              <w:p w14:paraId="7733CE44">
                <w:pPr>
                  <w:spacing w:line="240" w:lineRule="atLeast"/>
                  <w:jc w:val="right"/>
                  <w:rPr>
                    <w:rFonts w:ascii="Calibri" w:hAnsi="Calibri"/>
                    <w:sz w:val="20"/>
                    <w:szCs w:val="20"/>
                  </w:rPr>
                </w:pPr>
                <w:r>
                  <w:rPr>
                    <w:rFonts w:ascii="Calibri" w:hAnsi="Calibri"/>
                    <w:sz w:val="20"/>
                    <w:szCs w:val="20"/>
                  </w:rPr>
                  <w:t>7,285,367.21</w:t>
                </w:r>
              </w:p>
            </w:tc>
            <w:tc>
              <w:tcPr>
                <w:tcW w:w="2930" w:type="dxa"/>
                <w:vAlign w:val="center"/>
              </w:tcPr>
              <w:p w14:paraId="0FF40B54">
                <w:pPr>
                  <w:spacing w:line="240" w:lineRule="atLeast"/>
                  <w:jc w:val="right"/>
                  <w:rPr>
                    <w:rFonts w:ascii="Calibri" w:hAnsi="Calibri"/>
                    <w:sz w:val="20"/>
                    <w:szCs w:val="20"/>
                  </w:rPr>
                </w:pPr>
                <w:r>
                  <w:rPr>
                    <w:rFonts w:ascii="Calibri" w:hAnsi="Calibri"/>
                    <w:sz w:val="20"/>
                    <w:szCs w:val="20"/>
                  </w:rPr>
                  <w:t>7,285,367.21</w:t>
                </w:r>
              </w:p>
            </w:tc>
          </w:tr>
          <w:tr w14:paraId="4162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66023FF4">
                <w:pPr>
                  <w:spacing w:line="240" w:lineRule="atLeast"/>
                  <w:ind w:firstLine="400" w:firstLineChars="200"/>
                  <w:rPr>
                    <w:rFonts w:ascii="Calibri" w:hAnsi="Calibri"/>
                    <w:sz w:val="20"/>
                    <w:szCs w:val="20"/>
                  </w:rPr>
                </w:pPr>
                <w:r>
                  <w:rPr>
                    <w:rFonts w:hint="eastAsia" w:ascii="Calibri" w:hAnsi="Calibri"/>
                    <w:sz w:val="20"/>
                    <w:szCs w:val="20"/>
                  </w:rPr>
                  <w:t>（1）</w:t>
                </w:r>
                <w:r>
                  <w:rPr>
                    <w:rFonts w:ascii="Calibri" w:hAnsi="Calibri"/>
                    <w:sz w:val="20"/>
                    <w:szCs w:val="20"/>
                  </w:rPr>
                  <w:t>计提</w:t>
                </w:r>
              </w:p>
            </w:tc>
            <w:tc>
              <w:tcPr>
                <w:tcW w:w="2721" w:type="dxa"/>
                <w:vAlign w:val="center"/>
              </w:tcPr>
              <w:p w14:paraId="25C85C1F">
                <w:pPr>
                  <w:spacing w:line="240" w:lineRule="atLeast"/>
                  <w:jc w:val="right"/>
                  <w:rPr>
                    <w:rFonts w:ascii="Calibri" w:hAnsi="Calibri"/>
                    <w:sz w:val="20"/>
                    <w:szCs w:val="20"/>
                  </w:rPr>
                </w:pPr>
                <w:r>
                  <w:rPr>
                    <w:rFonts w:ascii="Calibri" w:hAnsi="Calibri"/>
                    <w:sz w:val="20"/>
                    <w:szCs w:val="20"/>
                  </w:rPr>
                  <w:t>7,285,367.21</w:t>
                </w:r>
              </w:p>
            </w:tc>
            <w:tc>
              <w:tcPr>
                <w:tcW w:w="2930" w:type="dxa"/>
                <w:vAlign w:val="center"/>
              </w:tcPr>
              <w:p w14:paraId="1B53F586">
                <w:pPr>
                  <w:spacing w:line="240" w:lineRule="atLeast"/>
                  <w:jc w:val="right"/>
                  <w:rPr>
                    <w:rFonts w:ascii="Calibri" w:hAnsi="Calibri"/>
                    <w:sz w:val="20"/>
                    <w:szCs w:val="20"/>
                  </w:rPr>
                </w:pPr>
                <w:r>
                  <w:rPr>
                    <w:rFonts w:ascii="Calibri" w:hAnsi="Calibri"/>
                    <w:sz w:val="20"/>
                    <w:szCs w:val="20"/>
                  </w:rPr>
                  <w:t>7,285,367.21</w:t>
                </w:r>
              </w:p>
            </w:tc>
          </w:tr>
          <w:tr w14:paraId="7664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19CBFD2B">
                <w:pPr>
                  <w:spacing w:line="240" w:lineRule="atLeast"/>
                  <w:ind w:firstLine="400" w:firstLineChars="200"/>
                  <w:rPr>
                    <w:rFonts w:ascii="Calibri" w:hAnsi="Calibri"/>
                    <w:sz w:val="20"/>
                    <w:szCs w:val="20"/>
                  </w:rPr>
                </w:pPr>
                <w:r>
                  <w:rPr>
                    <w:rFonts w:hint="eastAsia" w:ascii="Calibri" w:hAnsi="Calibri"/>
                    <w:sz w:val="20"/>
                    <w:szCs w:val="20"/>
                  </w:rPr>
                  <w:t>3.</w:t>
                </w:r>
                <w:r>
                  <w:rPr>
                    <w:rFonts w:ascii="Calibri" w:hAnsi="Calibri"/>
                    <w:sz w:val="20"/>
                    <w:szCs w:val="20"/>
                  </w:rPr>
                  <w:t>本期减少</w:t>
                </w:r>
                <w:r>
                  <w:rPr>
                    <w:rFonts w:hint="eastAsia" w:ascii="Calibri" w:hAnsi="Calibri"/>
                    <w:sz w:val="20"/>
                    <w:szCs w:val="20"/>
                  </w:rPr>
                  <w:t>金额</w:t>
                </w:r>
              </w:p>
            </w:tc>
            <w:tc>
              <w:tcPr>
                <w:tcW w:w="2721" w:type="dxa"/>
                <w:vAlign w:val="center"/>
              </w:tcPr>
              <w:p w14:paraId="13F51867">
                <w:pPr>
                  <w:spacing w:line="240" w:lineRule="atLeast"/>
                  <w:jc w:val="right"/>
                  <w:rPr>
                    <w:rFonts w:ascii="Calibri" w:hAnsi="Calibri"/>
                    <w:sz w:val="20"/>
                    <w:szCs w:val="20"/>
                  </w:rPr>
                </w:pPr>
                <w:r>
                  <w:rPr>
                    <w:rFonts w:ascii="Calibri" w:hAnsi="Calibri"/>
                    <w:sz w:val="20"/>
                    <w:szCs w:val="20"/>
                  </w:rPr>
                  <w:t>353,756.89</w:t>
                </w:r>
              </w:p>
            </w:tc>
            <w:tc>
              <w:tcPr>
                <w:tcW w:w="2930" w:type="dxa"/>
                <w:vAlign w:val="center"/>
              </w:tcPr>
              <w:p w14:paraId="2A2AC791">
                <w:pPr>
                  <w:spacing w:line="240" w:lineRule="atLeast"/>
                  <w:jc w:val="right"/>
                  <w:rPr>
                    <w:rFonts w:ascii="Calibri" w:hAnsi="Calibri"/>
                    <w:sz w:val="20"/>
                    <w:szCs w:val="20"/>
                  </w:rPr>
                </w:pPr>
                <w:r>
                  <w:rPr>
                    <w:rFonts w:ascii="Calibri" w:hAnsi="Calibri"/>
                    <w:sz w:val="20"/>
                    <w:szCs w:val="20"/>
                  </w:rPr>
                  <w:t>353,756.89</w:t>
                </w:r>
              </w:p>
            </w:tc>
          </w:tr>
          <w:tr w14:paraId="6AD0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7054551A">
                <w:pPr>
                  <w:spacing w:line="240" w:lineRule="atLeast"/>
                  <w:ind w:firstLine="400" w:firstLineChars="200"/>
                  <w:rPr>
                    <w:rFonts w:ascii="Calibri" w:hAnsi="Calibri"/>
                    <w:sz w:val="20"/>
                    <w:szCs w:val="20"/>
                  </w:rPr>
                </w:pPr>
                <w:r>
                  <w:rPr>
                    <w:rFonts w:hint="eastAsia" w:ascii="Calibri" w:hAnsi="Calibri"/>
                    <w:sz w:val="20"/>
                    <w:szCs w:val="20"/>
                  </w:rPr>
                  <w:t>（1）处置</w:t>
                </w:r>
              </w:p>
            </w:tc>
            <w:tc>
              <w:tcPr>
                <w:tcW w:w="2721" w:type="dxa"/>
                <w:vAlign w:val="center"/>
              </w:tcPr>
              <w:p w14:paraId="61D040D0">
                <w:pPr>
                  <w:spacing w:line="240" w:lineRule="atLeast"/>
                  <w:jc w:val="right"/>
                  <w:rPr>
                    <w:rFonts w:ascii="Calibri" w:hAnsi="Calibri"/>
                    <w:sz w:val="20"/>
                    <w:szCs w:val="20"/>
                  </w:rPr>
                </w:pPr>
                <w:r>
                  <w:rPr>
                    <w:rFonts w:hint="eastAsia" w:ascii="Calibri" w:hAnsi="Calibri"/>
                    <w:sz w:val="20"/>
                    <w:szCs w:val="20"/>
                  </w:rPr>
                  <w:t>　</w:t>
                </w:r>
              </w:p>
            </w:tc>
            <w:tc>
              <w:tcPr>
                <w:tcW w:w="2930" w:type="dxa"/>
                <w:vAlign w:val="center"/>
              </w:tcPr>
              <w:p w14:paraId="618564A9">
                <w:pPr>
                  <w:spacing w:line="240" w:lineRule="atLeast"/>
                  <w:jc w:val="right"/>
                  <w:rPr>
                    <w:rFonts w:ascii="Calibri" w:hAnsi="Calibri"/>
                    <w:sz w:val="20"/>
                    <w:szCs w:val="20"/>
                  </w:rPr>
                </w:pPr>
                <w:r>
                  <w:rPr>
                    <w:rFonts w:hint="eastAsia" w:ascii="Calibri" w:hAnsi="Calibri"/>
                    <w:sz w:val="20"/>
                    <w:szCs w:val="20"/>
                  </w:rPr>
                  <w:t>　</w:t>
                </w:r>
              </w:p>
            </w:tc>
          </w:tr>
          <w:tr w14:paraId="46C8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24117B1E">
                <w:pPr>
                  <w:spacing w:line="240" w:lineRule="atLeast"/>
                  <w:ind w:firstLine="400" w:firstLineChars="200"/>
                  <w:rPr>
                    <w:rFonts w:ascii="Calibri" w:hAnsi="Calibri"/>
                    <w:sz w:val="20"/>
                    <w:szCs w:val="20"/>
                  </w:rPr>
                </w:pPr>
                <w:r>
                  <w:rPr>
                    <w:rFonts w:hint="eastAsia" w:ascii="Calibri" w:hAnsi="Calibri"/>
                    <w:sz w:val="20"/>
                    <w:szCs w:val="20"/>
                  </w:rPr>
                  <w:t>（</w:t>
                </w:r>
                <w:r>
                  <w:rPr>
                    <w:rFonts w:ascii="Calibri" w:hAnsi="Calibri"/>
                    <w:sz w:val="20"/>
                    <w:szCs w:val="20"/>
                  </w:rPr>
                  <w:t>2</w:t>
                </w:r>
                <w:r>
                  <w:rPr>
                    <w:rFonts w:hint="eastAsia" w:ascii="Calibri" w:hAnsi="Calibri"/>
                    <w:sz w:val="20"/>
                    <w:szCs w:val="20"/>
                  </w:rPr>
                  <w:t>）提前终止租赁</w:t>
                </w:r>
              </w:p>
            </w:tc>
            <w:tc>
              <w:tcPr>
                <w:tcW w:w="2721" w:type="dxa"/>
                <w:vAlign w:val="center"/>
              </w:tcPr>
              <w:p w14:paraId="527990F9">
                <w:pPr>
                  <w:spacing w:line="240" w:lineRule="atLeast"/>
                  <w:jc w:val="right"/>
                  <w:rPr>
                    <w:rFonts w:ascii="Calibri" w:hAnsi="Calibri"/>
                    <w:sz w:val="20"/>
                    <w:szCs w:val="20"/>
                  </w:rPr>
                </w:pPr>
                <w:r>
                  <w:rPr>
                    <w:rFonts w:ascii="Calibri" w:hAnsi="Calibri"/>
                    <w:sz w:val="20"/>
                    <w:szCs w:val="20"/>
                  </w:rPr>
                  <w:t>353,756.89</w:t>
                </w:r>
              </w:p>
            </w:tc>
            <w:tc>
              <w:tcPr>
                <w:tcW w:w="2930" w:type="dxa"/>
                <w:vAlign w:val="center"/>
              </w:tcPr>
              <w:p w14:paraId="4C81B524">
                <w:pPr>
                  <w:spacing w:line="240" w:lineRule="atLeast"/>
                  <w:jc w:val="right"/>
                  <w:rPr>
                    <w:rFonts w:ascii="Calibri" w:hAnsi="Calibri"/>
                    <w:sz w:val="20"/>
                    <w:szCs w:val="20"/>
                  </w:rPr>
                </w:pPr>
                <w:r>
                  <w:rPr>
                    <w:rFonts w:ascii="Calibri" w:hAnsi="Calibri"/>
                    <w:sz w:val="20"/>
                    <w:szCs w:val="20"/>
                  </w:rPr>
                  <w:t>353,756.89</w:t>
                </w:r>
              </w:p>
            </w:tc>
          </w:tr>
          <w:tr w14:paraId="63EB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412D7363">
                <w:pPr>
                  <w:spacing w:line="240" w:lineRule="atLeast"/>
                  <w:ind w:firstLine="400" w:firstLineChars="200"/>
                  <w:rPr>
                    <w:rFonts w:ascii="Calibri" w:hAnsi="Calibri"/>
                    <w:sz w:val="20"/>
                    <w:szCs w:val="20"/>
                  </w:rPr>
                </w:pPr>
                <w:r>
                  <w:rPr>
                    <w:rFonts w:hint="eastAsia" w:ascii="Calibri" w:hAnsi="Calibri"/>
                    <w:sz w:val="20"/>
                    <w:szCs w:val="20"/>
                  </w:rPr>
                  <w:t>4.</w:t>
                </w:r>
                <w:r>
                  <w:rPr>
                    <w:rFonts w:ascii="Calibri" w:hAnsi="Calibri"/>
                    <w:sz w:val="20"/>
                    <w:szCs w:val="20"/>
                  </w:rPr>
                  <w:t>期末余额</w:t>
                </w:r>
              </w:p>
            </w:tc>
            <w:tc>
              <w:tcPr>
                <w:tcW w:w="2721" w:type="dxa"/>
                <w:vAlign w:val="center"/>
              </w:tcPr>
              <w:p w14:paraId="4150ADBA">
                <w:pPr>
                  <w:spacing w:line="240" w:lineRule="atLeast"/>
                  <w:jc w:val="right"/>
                  <w:rPr>
                    <w:rFonts w:ascii="Calibri" w:hAnsi="Calibri"/>
                    <w:sz w:val="20"/>
                    <w:szCs w:val="20"/>
                  </w:rPr>
                </w:pPr>
                <w:r>
                  <w:rPr>
                    <w:rFonts w:ascii="Calibri" w:hAnsi="Calibri"/>
                    <w:sz w:val="20"/>
                    <w:szCs w:val="20"/>
                  </w:rPr>
                  <w:t>8,135,525.31</w:t>
                </w:r>
              </w:p>
            </w:tc>
            <w:tc>
              <w:tcPr>
                <w:tcW w:w="2930" w:type="dxa"/>
                <w:vAlign w:val="center"/>
              </w:tcPr>
              <w:p w14:paraId="478F169A">
                <w:pPr>
                  <w:spacing w:line="240" w:lineRule="atLeast"/>
                  <w:jc w:val="right"/>
                  <w:rPr>
                    <w:rFonts w:ascii="Calibri" w:hAnsi="Calibri"/>
                    <w:sz w:val="20"/>
                    <w:szCs w:val="20"/>
                  </w:rPr>
                </w:pPr>
                <w:r>
                  <w:rPr>
                    <w:rFonts w:ascii="Calibri" w:hAnsi="Calibri"/>
                    <w:sz w:val="20"/>
                    <w:szCs w:val="20"/>
                  </w:rPr>
                  <w:t>8,135,525.31</w:t>
                </w:r>
              </w:p>
            </w:tc>
          </w:tr>
          <w:tr w14:paraId="4491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a32c53282c7a49e1a1747c76e44e7471"/>
                <w:id w:val="-1630928301"/>
              </w:sdtPr>
              <w:sdtContent>
                <w:tc>
                  <w:tcPr>
                    <w:tcW w:w="9049" w:type="dxa"/>
                    <w:gridSpan w:val="3"/>
                    <w:vAlign w:val="center"/>
                  </w:tcPr>
                  <w:p w14:paraId="7B9682AE">
                    <w:pPr>
                      <w:spacing w:line="240" w:lineRule="atLeast"/>
                      <w:rPr>
                        <w:rFonts w:ascii="Calibri" w:hAnsi="Calibri"/>
                        <w:sz w:val="20"/>
                        <w:szCs w:val="20"/>
                      </w:rPr>
                    </w:pPr>
                    <w:r>
                      <w:rPr>
                        <w:rFonts w:ascii="Calibri" w:hAnsi="Calibri"/>
                        <w:sz w:val="20"/>
                        <w:szCs w:val="20"/>
                      </w:rPr>
                      <w:t>三、减值准备</w:t>
                    </w:r>
                  </w:p>
                </w:tc>
              </w:sdtContent>
            </w:sdt>
          </w:tr>
          <w:tr w14:paraId="220B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0FCF58DB">
                <w:pPr>
                  <w:spacing w:line="240" w:lineRule="atLeast"/>
                  <w:ind w:firstLine="400" w:firstLineChars="200"/>
                  <w:rPr>
                    <w:rFonts w:ascii="Calibri" w:hAnsi="Calibri"/>
                    <w:sz w:val="20"/>
                    <w:szCs w:val="20"/>
                  </w:rPr>
                </w:pPr>
                <w:r>
                  <w:rPr>
                    <w:rFonts w:hint="eastAsia" w:ascii="Calibri" w:hAnsi="Calibri"/>
                    <w:sz w:val="20"/>
                    <w:szCs w:val="20"/>
                  </w:rPr>
                  <w:t>1.期</w:t>
                </w:r>
                <w:r>
                  <w:rPr>
                    <w:rFonts w:ascii="Calibri" w:hAnsi="Calibri"/>
                    <w:sz w:val="20"/>
                    <w:szCs w:val="20"/>
                  </w:rPr>
                  <w:t>初余额</w:t>
                </w:r>
              </w:p>
            </w:tc>
            <w:tc>
              <w:tcPr>
                <w:tcW w:w="2721" w:type="dxa"/>
                <w:vAlign w:val="center"/>
              </w:tcPr>
              <w:p w14:paraId="08957C51">
                <w:pPr>
                  <w:spacing w:line="240" w:lineRule="atLeast"/>
                  <w:jc w:val="right"/>
                  <w:rPr>
                    <w:rFonts w:ascii="Calibri" w:hAnsi="Calibri"/>
                    <w:sz w:val="20"/>
                    <w:szCs w:val="20"/>
                  </w:rPr>
                </w:pPr>
                <w:r>
                  <w:rPr>
                    <w:rFonts w:hint="eastAsia" w:ascii="Calibri" w:hAnsi="Calibri"/>
                    <w:sz w:val="20"/>
                    <w:szCs w:val="20"/>
                  </w:rPr>
                  <w:t>　</w:t>
                </w:r>
              </w:p>
            </w:tc>
            <w:tc>
              <w:tcPr>
                <w:tcW w:w="2930" w:type="dxa"/>
                <w:vAlign w:val="center"/>
              </w:tcPr>
              <w:p w14:paraId="110698E7">
                <w:pPr>
                  <w:spacing w:line="240" w:lineRule="atLeast"/>
                  <w:jc w:val="right"/>
                  <w:rPr>
                    <w:rFonts w:ascii="Calibri" w:hAnsi="Calibri"/>
                    <w:sz w:val="20"/>
                    <w:szCs w:val="20"/>
                  </w:rPr>
                </w:pPr>
                <w:r>
                  <w:rPr>
                    <w:rFonts w:hint="eastAsia" w:ascii="Calibri" w:hAnsi="Calibri"/>
                    <w:sz w:val="20"/>
                    <w:szCs w:val="20"/>
                  </w:rPr>
                  <w:t>　</w:t>
                </w:r>
              </w:p>
            </w:tc>
          </w:tr>
          <w:tr w14:paraId="50B0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4F3AE7E6">
                <w:pPr>
                  <w:spacing w:line="240" w:lineRule="atLeast"/>
                  <w:ind w:firstLine="400" w:firstLineChars="200"/>
                  <w:rPr>
                    <w:rFonts w:ascii="Calibri" w:hAnsi="Calibri"/>
                    <w:sz w:val="20"/>
                    <w:szCs w:val="20"/>
                  </w:rPr>
                </w:pPr>
                <w:r>
                  <w:rPr>
                    <w:rFonts w:ascii="Calibri" w:hAnsi="Calibri"/>
                    <w:sz w:val="20"/>
                    <w:szCs w:val="20"/>
                  </w:rPr>
                  <w:t>2.本期增加</w:t>
                </w:r>
                <w:r>
                  <w:rPr>
                    <w:rFonts w:hint="eastAsia" w:ascii="Calibri" w:hAnsi="Calibri"/>
                    <w:sz w:val="20"/>
                    <w:szCs w:val="20"/>
                  </w:rPr>
                  <w:t>金额</w:t>
                </w:r>
              </w:p>
            </w:tc>
            <w:tc>
              <w:tcPr>
                <w:tcW w:w="2721" w:type="dxa"/>
                <w:vAlign w:val="center"/>
              </w:tcPr>
              <w:p w14:paraId="48B8B8B9">
                <w:pPr>
                  <w:spacing w:line="240" w:lineRule="atLeast"/>
                  <w:jc w:val="right"/>
                  <w:rPr>
                    <w:rFonts w:ascii="Calibri" w:hAnsi="Calibri"/>
                    <w:sz w:val="20"/>
                    <w:szCs w:val="20"/>
                  </w:rPr>
                </w:pPr>
                <w:r>
                  <w:rPr>
                    <w:rFonts w:hint="eastAsia" w:ascii="Calibri" w:hAnsi="Calibri"/>
                    <w:sz w:val="20"/>
                    <w:szCs w:val="20"/>
                  </w:rPr>
                  <w:t>　</w:t>
                </w:r>
              </w:p>
            </w:tc>
            <w:tc>
              <w:tcPr>
                <w:tcW w:w="2930" w:type="dxa"/>
                <w:vAlign w:val="center"/>
              </w:tcPr>
              <w:p w14:paraId="4D55EE69">
                <w:pPr>
                  <w:spacing w:line="240" w:lineRule="atLeast"/>
                  <w:jc w:val="right"/>
                  <w:rPr>
                    <w:rFonts w:ascii="Calibri" w:hAnsi="Calibri"/>
                    <w:sz w:val="20"/>
                    <w:szCs w:val="20"/>
                  </w:rPr>
                </w:pPr>
                <w:r>
                  <w:rPr>
                    <w:rFonts w:hint="eastAsia" w:ascii="Calibri" w:hAnsi="Calibri"/>
                    <w:sz w:val="20"/>
                    <w:szCs w:val="20"/>
                  </w:rPr>
                  <w:t>　</w:t>
                </w:r>
              </w:p>
            </w:tc>
          </w:tr>
          <w:tr w14:paraId="0A3F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3EE60D00">
                <w:pPr>
                  <w:spacing w:line="240" w:lineRule="atLeast"/>
                  <w:ind w:firstLine="400" w:firstLineChars="200"/>
                  <w:rPr>
                    <w:rFonts w:ascii="Calibri" w:hAnsi="Calibri"/>
                    <w:sz w:val="20"/>
                    <w:szCs w:val="20"/>
                  </w:rPr>
                </w:pPr>
                <w:r>
                  <w:rPr>
                    <w:rFonts w:hint="eastAsia" w:ascii="Calibri" w:hAnsi="Calibri"/>
                    <w:sz w:val="20"/>
                    <w:szCs w:val="20"/>
                  </w:rPr>
                  <w:t>（1）</w:t>
                </w:r>
                <w:r>
                  <w:rPr>
                    <w:rFonts w:ascii="Calibri" w:hAnsi="Calibri"/>
                    <w:sz w:val="20"/>
                    <w:szCs w:val="20"/>
                  </w:rPr>
                  <w:t>计提</w:t>
                </w:r>
              </w:p>
            </w:tc>
            <w:tc>
              <w:tcPr>
                <w:tcW w:w="2721" w:type="dxa"/>
                <w:vAlign w:val="center"/>
              </w:tcPr>
              <w:p w14:paraId="17E76AD0">
                <w:pPr>
                  <w:spacing w:line="240" w:lineRule="atLeast"/>
                  <w:jc w:val="right"/>
                  <w:rPr>
                    <w:rFonts w:ascii="Calibri" w:hAnsi="Calibri"/>
                    <w:sz w:val="20"/>
                    <w:szCs w:val="20"/>
                  </w:rPr>
                </w:pPr>
                <w:r>
                  <w:rPr>
                    <w:rFonts w:hint="eastAsia" w:ascii="Calibri" w:hAnsi="Calibri"/>
                    <w:sz w:val="20"/>
                    <w:szCs w:val="20"/>
                  </w:rPr>
                  <w:t>　</w:t>
                </w:r>
              </w:p>
            </w:tc>
            <w:tc>
              <w:tcPr>
                <w:tcW w:w="2930" w:type="dxa"/>
                <w:vAlign w:val="center"/>
              </w:tcPr>
              <w:p w14:paraId="4DC8255D">
                <w:pPr>
                  <w:spacing w:line="240" w:lineRule="atLeast"/>
                  <w:jc w:val="right"/>
                  <w:rPr>
                    <w:rFonts w:ascii="Calibri" w:hAnsi="Calibri"/>
                    <w:sz w:val="20"/>
                    <w:szCs w:val="20"/>
                  </w:rPr>
                </w:pPr>
                <w:r>
                  <w:rPr>
                    <w:rFonts w:hint="eastAsia" w:ascii="Calibri" w:hAnsi="Calibri"/>
                    <w:sz w:val="20"/>
                    <w:szCs w:val="20"/>
                  </w:rPr>
                  <w:t>　</w:t>
                </w:r>
              </w:p>
            </w:tc>
          </w:tr>
          <w:tr w14:paraId="494F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52CF259A">
                <w:pPr>
                  <w:spacing w:line="240" w:lineRule="atLeast"/>
                  <w:ind w:firstLine="400" w:firstLineChars="200"/>
                  <w:rPr>
                    <w:rFonts w:ascii="Calibri" w:hAnsi="Calibri"/>
                    <w:sz w:val="20"/>
                    <w:szCs w:val="20"/>
                  </w:rPr>
                </w:pPr>
                <w:r>
                  <w:rPr>
                    <w:rFonts w:hint="eastAsia" w:ascii="Calibri" w:hAnsi="Calibri"/>
                    <w:sz w:val="20"/>
                    <w:szCs w:val="20"/>
                  </w:rPr>
                  <w:t>3.</w:t>
                </w:r>
                <w:r>
                  <w:rPr>
                    <w:rFonts w:ascii="Calibri" w:hAnsi="Calibri"/>
                    <w:sz w:val="20"/>
                    <w:szCs w:val="20"/>
                  </w:rPr>
                  <w:t>本期减少</w:t>
                </w:r>
                <w:r>
                  <w:rPr>
                    <w:rFonts w:hint="eastAsia" w:ascii="Calibri" w:hAnsi="Calibri"/>
                    <w:sz w:val="20"/>
                    <w:szCs w:val="20"/>
                  </w:rPr>
                  <w:t>金额</w:t>
                </w:r>
              </w:p>
            </w:tc>
            <w:tc>
              <w:tcPr>
                <w:tcW w:w="2721" w:type="dxa"/>
                <w:vAlign w:val="center"/>
              </w:tcPr>
              <w:p w14:paraId="58807659">
                <w:pPr>
                  <w:spacing w:line="240" w:lineRule="atLeast"/>
                  <w:jc w:val="right"/>
                  <w:rPr>
                    <w:rFonts w:ascii="Calibri" w:hAnsi="Calibri"/>
                    <w:sz w:val="20"/>
                    <w:szCs w:val="20"/>
                  </w:rPr>
                </w:pPr>
                <w:r>
                  <w:rPr>
                    <w:rFonts w:hint="eastAsia" w:ascii="Calibri" w:hAnsi="Calibri"/>
                    <w:sz w:val="20"/>
                    <w:szCs w:val="20"/>
                  </w:rPr>
                  <w:t>　</w:t>
                </w:r>
              </w:p>
            </w:tc>
            <w:tc>
              <w:tcPr>
                <w:tcW w:w="2930" w:type="dxa"/>
                <w:vAlign w:val="center"/>
              </w:tcPr>
              <w:p w14:paraId="2D043A16">
                <w:pPr>
                  <w:spacing w:line="240" w:lineRule="atLeast"/>
                  <w:jc w:val="right"/>
                  <w:rPr>
                    <w:rFonts w:ascii="Calibri" w:hAnsi="Calibri"/>
                    <w:sz w:val="20"/>
                    <w:szCs w:val="20"/>
                  </w:rPr>
                </w:pPr>
                <w:r>
                  <w:rPr>
                    <w:rFonts w:hint="eastAsia" w:ascii="Calibri" w:hAnsi="Calibri"/>
                    <w:sz w:val="20"/>
                    <w:szCs w:val="20"/>
                  </w:rPr>
                  <w:t>　</w:t>
                </w:r>
              </w:p>
            </w:tc>
          </w:tr>
          <w:tr w14:paraId="4E6B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036CB0D7">
                <w:pPr>
                  <w:spacing w:line="240" w:lineRule="atLeast"/>
                  <w:ind w:firstLine="400" w:firstLineChars="200"/>
                  <w:rPr>
                    <w:rFonts w:ascii="Calibri" w:hAnsi="Calibri"/>
                    <w:sz w:val="20"/>
                    <w:szCs w:val="20"/>
                  </w:rPr>
                </w:pPr>
                <w:r>
                  <w:rPr>
                    <w:rFonts w:hint="eastAsia" w:ascii="Calibri" w:hAnsi="Calibri"/>
                    <w:sz w:val="20"/>
                    <w:szCs w:val="20"/>
                  </w:rPr>
                  <w:t>（1）处置</w:t>
                </w:r>
              </w:p>
            </w:tc>
            <w:tc>
              <w:tcPr>
                <w:tcW w:w="2721" w:type="dxa"/>
                <w:vAlign w:val="center"/>
              </w:tcPr>
              <w:p w14:paraId="052DCFDF">
                <w:pPr>
                  <w:spacing w:line="240" w:lineRule="atLeast"/>
                  <w:jc w:val="right"/>
                  <w:rPr>
                    <w:rFonts w:ascii="Calibri" w:hAnsi="Calibri"/>
                    <w:sz w:val="20"/>
                    <w:szCs w:val="20"/>
                  </w:rPr>
                </w:pPr>
                <w:r>
                  <w:rPr>
                    <w:rFonts w:hint="eastAsia" w:ascii="Calibri" w:hAnsi="Calibri"/>
                    <w:sz w:val="20"/>
                    <w:szCs w:val="20"/>
                  </w:rPr>
                  <w:t>　</w:t>
                </w:r>
              </w:p>
            </w:tc>
            <w:tc>
              <w:tcPr>
                <w:tcW w:w="2930" w:type="dxa"/>
                <w:vAlign w:val="center"/>
              </w:tcPr>
              <w:p w14:paraId="013DFF49">
                <w:pPr>
                  <w:spacing w:line="240" w:lineRule="atLeast"/>
                  <w:jc w:val="right"/>
                  <w:rPr>
                    <w:rFonts w:ascii="Calibri" w:hAnsi="Calibri"/>
                    <w:sz w:val="20"/>
                    <w:szCs w:val="20"/>
                  </w:rPr>
                </w:pPr>
                <w:r>
                  <w:rPr>
                    <w:rFonts w:hint="eastAsia" w:ascii="Calibri" w:hAnsi="Calibri"/>
                    <w:sz w:val="20"/>
                    <w:szCs w:val="20"/>
                  </w:rPr>
                  <w:t>　</w:t>
                </w:r>
              </w:p>
            </w:tc>
          </w:tr>
          <w:tr w14:paraId="7E69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4EFD2B80">
                <w:pPr>
                  <w:spacing w:line="240" w:lineRule="atLeast"/>
                  <w:ind w:firstLine="400" w:firstLineChars="200"/>
                  <w:rPr>
                    <w:rFonts w:ascii="Calibri" w:hAnsi="Calibri"/>
                    <w:sz w:val="20"/>
                    <w:szCs w:val="20"/>
                  </w:rPr>
                </w:pPr>
                <w:r>
                  <w:rPr>
                    <w:rFonts w:hint="eastAsia" w:ascii="Calibri" w:hAnsi="Calibri"/>
                    <w:sz w:val="20"/>
                    <w:szCs w:val="20"/>
                  </w:rPr>
                  <w:t>4.</w:t>
                </w:r>
                <w:r>
                  <w:rPr>
                    <w:rFonts w:ascii="Calibri" w:hAnsi="Calibri"/>
                    <w:sz w:val="20"/>
                    <w:szCs w:val="20"/>
                  </w:rPr>
                  <w:t>期末余额</w:t>
                </w:r>
              </w:p>
            </w:tc>
            <w:tc>
              <w:tcPr>
                <w:tcW w:w="2721" w:type="dxa"/>
                <w:vAlign w:val="center"/>
              </w:tcPr>
              <w:p w14:paraId="1334F34E">
                <w:pPr>
                  <w:spacing w:line="240" w:lineRule="atLeast"/>
                  <w:jc w:val="right"/>
                  <w:rPr>
                    <w:rFonts w:ascii="Calibri" w:hAnsi="Calibri"/>
                    <w:sz w:val="20"/>
                    <w:szCs w:val="20"/>
                  </w:rPr>
                </w:pPr>
                <w:r>
                  <w:rPr>
                    <w:rFonts w:hint="eastAsia" w:ascii="Calibri" w:hAnsi="Calibri"/>
                    <w:sz w:val="20"/>
                    <w:szCs w:val="20"/>
                  </w:rPr>
                  <w:t>　</w:t>
                </w:r>
              </w:p>
            </w:tc>
            <w:tc>
              <w:tcPr>
                <w:tcW w:w="2930" w:type="dxa"/>
                <w:vAlign w:val="center"/>
              </w:tcPr>
              <w:p w14:paraId="07CD09AD">
                <w:pPr>
                  <w:spacing w:line="240" w:lineRule="atLeast"/>
                  <w:jc w:val="right"/>
                  <w:rPr>
                    <w:rFonts w:ascii="Calibri" w:hAnsi="Calibri"/>
                    <w:sz w:val="20"/>
                    <w:szCs w:val="20"/>
                  </w:rPr>
                </w:pPr>
                <w:r>
                  <w:rPr>
                    <w:rFonts w:hint="eastAsia" w:ascii="Calibri" w:hAnsi="Calibri"/>
                    <w:sz w:val="20"/>
                    <w:szCs w:val="20"/>
                  </w:rPr>
                  <w:t>　</w:t>
                </w:r>
              </w:p>
            </w:tc>
          </w:tr>
          <w:tr w14:paraId="4EF0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11c4f53648e149a88b6ff0ef5ef90dc8"/>
                <w:id w:val="1882747722"/>
              </w:sdtPr>
              <w:sdtContent>
                <w:tc>
                  <w:tcPr>
                    <w:tcW w:w="9049" w:type="dxa"/>
                    <w:gridSpan w:val="3"/>
                    <w:vAlign w:val="center"/>
                  </w:tcPr>
                  <w:p w14:paraId="0E7FF054">
                    <w:pPr>
                      <w:spacing w:line="240" w:lineRule="atLeast"/>
                      <w:rPr>
                        <w:rFonts w:ascii="Calibri" w:hAnsi="Calibri"/>
                        <w:sz w:val="20"/>
                        <w:szCs w:val="20"/>
                      </w:rPr>
                    </w:pPr>
                    <w:r>
                      <w:rPr>
                        <w:rFonts w:ascii="Calibri" w:hAnsi="Calibri"/>
                        <w:sz w:val="20"/>
                        <w:szCs w:val="20"/>
                      </w:rPr>
                      <w:t>四、账面价值</w:t>
                    </w:r>
                  </w:p>
                </w:tc>
              </w:sdtContent>
            </w:sdt>
          </w:tr>
          <w:tr w14:paraId="3870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3FDEE116">
                <w:pPr>
                  <w:spacing w:line="240" w:lineRule="atLeast"/>
                  <w:rPr>
                    <w:rFonts w:ascii="Calibri" w:hAnsi="Calibri"/>
                    <w:sz w:val="20"/>
                    <w:szCs w:val="20"/>
                  </w:rPr>
                </w:pPr>
                <w:r>
                  <w:rPr>
                    <w:rFonts w:ascii="Calibri" w:hAnsi="Calibri"/>
                    <w:sz w:val="20"/>
                    <w:szCs w:val="20"/>
                  </w:rPr>
                  <w:t>1.期末账面价值</w:t>
                </w:r>
              </w:p>
            </w:tc>
            <w:tc>
              <w:tcPr>
                <w:tcW w:w="2721" w:type="dxa"/>
                <w:vAlign w:val="center"/>
              </w:tcPr>
              <w:p w14:paraId="3FB0B9CC">
                <w:pPr>
                  <w:spacing w:line="240" w:lineRule="atLeast"/>
                  <w:jc w:val="right"/>
                  <w:rPr>
                    <w:rFonts w:ascii="Calibri" w:hAnsi="Calibri"/>
                    <w:sz w:val="20"/>
                    <w:szCs w:val="20"/>
                  </w:rPr>
                </w:pPr>
                <w:r>
                  <w:rPr>
                    <w:rFonts w:ascii="Calibri" w:hAnsi="Calibri"/>
                    <w:sz w:val="20"/>
                    <w:szCs w:val="20"/>
                  </w:rPr>
                  <w:t>32,601,515.94</w:t>
                </w:r>
              </w:p>
            </w:tc>
            <w:tc>
              <w:tcPr>
                <w:tcW w:w="2930" w:type="dxa"/>
                <w:vAlign w:val="center"/>
              </w:tcPr>
              <w:p w14:paraId="3F518305">
                <w:pPr>
                  <w:spacing w:line="240" w:lineRule="atLeast"/>
                  <w:jc w:val="right"/>
                  <w:rPr>
                    <w:rFonts w:ascii="Calibri" w:hAnsi="Calibri"/>
                    <w:sz w:val="20"/>
                    <w:szCs w:val="20"/>
                  </w:rPr>
                </w:pPr>
                <w:r>
                  <w:rPr>
                    <w:rFonts w:ascii="Calibri" w:hAnsi="Calibri"/>
                    <w:sz w:val="20"/>
                    <w:szCs w:val="20"/>
                  </w:rPr>
                  <w:t>32,601,515.94</w:t>
                </w:r>
              </w:p>
            </w:tc>
          </w:tr>
          <w:tr w14:paraId="68D1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398" w:type="dxa"/>
                <w:vAlign w:val="center"/>
              </w:tcPr>
              <w:p w14:paraId="56E3CCA4">
                <w:pPr>
                  <w:spacing w:line="240" w:lineRule="atLeast"/>
                  <w:rPr>
                    <w:rFonts w:ascii="Calibri" w:hAnsi="Calibri"/>
                    <w:sz w:val="20"/>
                    <w:szCs w:val="20"/>
                  </w:rPr>
                </w:pPr>
                <w:r>
                  <w:rPr>
                    <w:rFonts w:ascii="Calibri" w:hAnsi="Calibri"/>
                    <w:sz w:val="20"/>
                    <w:szCs w:val="20"/>
                  </w:rPr>
                  <w:t>2.期初账面价值</w:t>
                </w:r>
              </w:p>
            </w:tc>
            <w:tc>
              <w:tcPr>
                <w:tcW w:w="2721" w:type="dxa"/>
                <w:vAlign w:val="center"/>
              </w:tcPr>
              <w:p w14:paraId="2B8E8D1A">
                <w:pPr>
                  <w:spacing w:line="240" w:lineRule="atLeast"/>
                  <w:jc w:val="right"/>
                  <w:rPr>
                    <w:rFonts w:ascii="Calibri" w:hAnsi="Calibri"/>
                    <w:sz w:val="20"/>
                    <w:szCs w:val="20"/>
                  </w:rPr>
                </w:pPr>
                <w:r>
                  <w:rPr>
                    <w:rFonts w:ascii="Calibri" w:hAnsi="Calibri"/>
                    <w:sz w:val="20"/>
                    <w:szCs w:val="20"/>
                  </w:rPr>
                  <w:t>23,680,025.11</w:t>
                </w:r>
              </w:p>
            </w:tc>
            <w:tc>
              <w:tcPr>
                <w:tcW w:w="2930" w:type="dxa"/>
                <w:vAlign w:val="center"/>
              </w:tcPr>
              <w:p w14:paraId="075709CF">
                <w:pPr>
                  <w:spacing w:line="240" w:lineRule="atLeast"/>
                  <w:jc w:val="right"/>
                  <w:rPr>
                    <w:rFonts w:ascii="Calibri" w:hAnsi="Calibri"/>
                    <w:sz w:val="20"/>
                    <w:szCs w:val="20"/>
                  </w:rPr>
                </w:pPr>
                <w:r>
                  <w:rPr>
                    <w:rFonts w:ascii="Calibri" w:hAnsi="Calibri"/>
                    <w:sz w:val="20"/>
                    <w:szCs w:val="20"/>
                  </w:rPr>
                  <w:t>23,680,025.11</w:t>
                </w:r>
              </w:p>
            </w:tc>
          </w:tr>
        </w:tbl>
        <w:p w14:paraId="73AF35E4">
          <w:pPr>
            <w:pStyle w:val="48"/>
          </w:pPr>
        </w:p>
      </w:sdtContent>
    </w:sdt>
    <w:bookmarkEnd w:id="309"/>
    <w:p w14:paraId="66B2BBBA">
      <w:pPr>
        <w:pStyle w:val="5"/>
        <w:numPr>
          <w:ilvl w:val="0"/>
          <w:numId w:val="82"/>
        </w:numPr>
      </w:pPr>
      <w:bookmarkStart w:id="311" w:name="_Hlk153461708"/>
      <w:r>
        <w:rPr>
          <w:rFonts w:hint="eastAsia"/>
        </w:rPr>
        <w:t>使用权资产的减值测试情况</w:t>
      </w:r>
    </w:p>
    <w:sdt>
      <w:sdtPr>
        <w:alias w:val="是否适用：减值测试情况[双击切换]"/>
        <w:tag w:val="_GBC_3b3aabc5b9ad4e9896fb84bfd63b8c60"/>
        <w:id w:val="-83069497"/>
        <w:placeholder>
          <w:docPart w:val="GBC22222222222222222222222222222"/>
        </w:placeholder>
      </w:sdtPr>
      <w:sdtContent>
        <w:p w14:paraId="00E4444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EEB25D8">
      <w:pPr>
        <w:pStyle w:val="48"/>
      </w:pPr>
    </w:p>
    <w:bookmarkEnd w:id="310"/>
    <w:bookmarkEnd w:id="311"/>
    <w:p w14:paraId="08443357">
      <w:pPr>
        <w:pStyle w:val="48"/>
      </w:pPr>
      <w:bookmarkStart w:id="312" w:name="_Hlk152863567"/>
    </w:p>
    <w:bookmarkEnd w:id="312"/>
    <w:p w14:paraId="73A93F50">
      <w:pPr>
        <w:pStyle w:val="4"/>
        <w:numPr>
          <w:ilvl w:val="0"/>
          <w:numId w:val="61"/>
        </w:numPr>
        <w:rPr>
          <w:szCs w:val="21"/>
        </w:rPr>
      </w:pPr>
      <w:r>
        <w:rPr>
          <w:szCs w:val="21"/>
        </w:rPr>
        <w:t>无形资产</w:t>
      </w:r>
    </w:p>
    <w:p w14:paraId="2993E880">
      <w:pPr>
        <w:pStyle w:val="5"/>
        <w:numPr>
          <w:ilvl w:val="3"/>
          <w:numId w:val="83"/>
        </w:numPr>
        <w:ind w:left="426" w:hanging="426"/>
      </w:pPr>
      <w:bookmarkStart w:id="313" w:name="_Hlk90557281"/>
      <w:r>
        <w:rPr>
          <w:rFonts w:hint="eastAsia"/>
        </w:rPr>
        <w:t>无形资产情况</w:t>
      </w:r>
    </w:p>
    <w:sdt>
      <w:sdtPr>
        <w:rPr>
          <w:rFonts w:hint="eastAsia"/>
        </w:rPr>
        <w:alias w:val="是否适用：无形资产情况[双击切换]"/>
        <w:tag w:val="_GBC_42237c7a99c64602a661c1668bc893bd"/>
        <w:id w:val="-250658850"/>
        <w:placeholder>
          <w:docPart w:val="GBC22222222222222222222222222222"/>
        </w:placeholder>
      </w:sdtPr>
      <w:sdtEndPr>
        <w:rPr>
          <w:rFonts w:hint="eastAsia"/>
        </w:rPr>
      </w:sdtEndPr>
      <w:sdtContent>
        <w:p w14:paraId="74E453DF">
          <w:pPr>
            <w:snapToGrid w:val="0"/>
            <w:spacing w:line="240" w:lineRule="atLeast"/>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B0F3857">
      <w:pPr>
        <w:snapToGrid w:val="0"/>
        <w:spacing w:line="240" w:lineRule="atLeast"/>
        <w:jc w:val="right"/>
      </w:pPr>
      <w:r>
        <w:rPr>
          <w:rFonts w:hint="eastAsia"/>
        </w:rPr>
        <w:t>单位：</w:t>
      </w:r>
      <w:sdt>
        <w:sdtPr>
          <w:rPr>
            <w:rFonts w:hint="eastAsia"/>
          </w:rPr>
          <w:alias w:val="单位：财务附注：无形资产情况"/>
          <w:tag w:val="_GBC_37e64bddc8e645b48a19b4e7bafb7839"/>
          <w:id w:val="20840258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无形资产情况"/>
          <w:tag w:val="_GBC_2c85ccef3cf1470c8cf657b14b474192"/>
          <w:id w:val="-16522847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1686"/>
        <w:gridCol w:w="1805"/>
        <w:gridCol w:w="1996"/>
        <w:gridCol w:w="1976"/>
      </w:tblGrid>
      <w:tr w14:paraId="320F8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0d0c5c4c9acf46eaa7c41a19eb731a5c"/>
            <w:id w:val="1429388846"/>
          </w:sdtPr>
          <w:sdtContent>
            <w:tc>
              <w:tcPr>
                <w:tcW w:w="2305" w:type="dxa"/>
                <w:vAlign w:val="center"/>
              </w:tcPr>
              <w:p w14:paraId="2AF80C0F">
                <w:pPr>
                  <w:jc w:val="center"/>
                  <w:rPr>
                    <w:rFonts w:ascii="Calibri" w:hAnsi="Calibri"/>
                    <w:sz w:val="20"/>
                    <w:szCs w:val="20"/>
                  </w:rPr>
                </w:pPr>
                <w:r>
                  <w:rPr>
                    <w:rFonts w:hint="eastAsia" w:ascii="Calibri" w:hAnsi="Calibri"/>
                    <w:sz w:val="20"/>
                    <w:szCs w:val="20"/>
                  </w:rPr>
                  <w:t>项目</w:t>
                </w:r>
              </w:p>
            </w:tc>
          </w:sdtContent>
        </w:sdt>
        <w:sdt>
          <w:sdtPr>
            <w:tag w:val="_PLD_0dfc6d612ce04e4ab91d7f5c675c7954"/>
            <w:id w:val="1277521626"/>
          </w:sdtPr>
          <w:sdtContent>
            <w:tc>
              <w:tcPr>
                <w:tcW w:w="1686" w:type="dxa"/>
                <w:vAlign w:val="center"/>
              </w:tcPr>
              <w:p w14:paraId="7C1578E1">
                <w:pPr>
                  <w:jc w:val="center"/>
                  <w:rPr>
                    <w:rFonts w:ascii="Calibri" w:hAnsi="Calibri"/>
                    <w:sz w:val="20"/>
                    <w:szCs w:val="20"/>
                  </w:rPr>
                </w:pPr>
                <w:r>
                  <w:rPr>
                    <w:rFonts w:hint="eastAsia" w:ascii="Calibri" w:hAnsi="Calibri"/>
                    <w:sz w:val="20"/>
                    <w:szCs w:val="20"/>
                  </w:rPr>
                  <w:t>土地使用权</w:t>
                </w:r>
              </w:p>
            </w:tc>
          </w:sdtContent>
        </w:sdt>
        <w:tc>
          <w:tcPr>
            <w:tcW w:w="1805" w:type="dxa"/>
            <w:vAlign w:val="center"/>
          </w:tcPr>
          <w:p w14:paraId="6792FA58">
            <w:pPr>
              <w:jc w:val="center"/>
              <w:rPr>
                <w:rFonts w:ascii="Calibri" w:hAnsi="Calibri"/>
                <w:sz w:val="20"/>
                <w:szCs w:val="20"/>
              </w:rPr>
            </w:pPr>
            <w:r>
              <w:rPr>
                <w:rFonts w:ascii="Calibri" w:hAnsi="Calibri"/>
                <w:sz w:val="20"/>
                <w:szCs w:val="20"/>
              </w:rPr>
              <w:t>专有技术及自行研发</w:t>
            </w:r>
          </w:p>
        </w:tc>
        <w:tc>
          <w:tcPr>
            <w:tcW w:w="1996" w:type="dxa"/>
            <w:vAlign w:val="center"/>
          </w:tcPr>
          <w:p w14:paraId="07034A62">
            <w:pPr>
              <w:jc w:val="center"/>
              <w:rPr>
                <w:rFonts w:ascii="Calibri" w:hAnsi="Calibri"/>
                <w:sz w:val="20"/>
                <w:szCs w:val="20"/>
              </w:rPr>
            </w:pPr>
            <w:r>
              <w:rPr>
                <w:rFonts w:ascii="Calibri" w:hAnsi="Calibri"/>
                <w:sz w:val="20"/>
                <w:szCs w:val="20"/>
              </w:rPr>
              <w:t>软件</w:t>
            </w:r>
          </w:p>
        </w:tc>
        <w:sdt>
          <w:sdtPr>
            <w:tag w:val="_PLD_010a173744294c79817b77db863e3438"/>
            <w:id w:val="-373390214"/>
          </w:sdtPr>
          <w:sdtContent>
            <w:tc>
              <w:tcPr>
                <w:tcW w:w="1976" w:type="dxa"/>
                <w:vAlign w:val="center"/>
              </w:tcPr>
              <w:p w14:paraId="1831268F">
                <w:pPr>
                  <w:jc w:val="center"/>
                  <w:rPr>
                    <w:rFonts w:ascii="Calibri" w:hAnsi="Calibri"/>
                    <w:sz w:val="20"/>
                    <w:szCs w:val="20"/>
                  </w:rPr>
                </w:pPr>
                <w:r>
                  <w:rPr>
                    <w:rFonts w:ascii="Calibri" w:hAnsi="Calibri"/>
                    <w:sz w:val="20"/>
                    <w:szCs w:val="20"/>
                  </w:rPr>
                  <w:t>合计</w:t>
                </w:r>
              </w:p>
            </w:tc>
          </w:sdtContent>
        </w:sdt>
      </w:tr>
      <w:tr w14:paraId="1DA8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d38b2136312a4180852ade61efe6b93c"/>
            <w:id w:val="-1795822419"/>
          </w:sdtPr>
          <w:sdtContent>
            <w:tc>
              <w:tcPr>
                <w:tcW w:w="9768" w:type="dxa"/>
                <w:gridSpan w:val="5"/>
                <w:vAlign w:val="center"/>
              </w:tcPr>
              <w:p w14:paraId="048596EB">
                <w:pPr>
                  <w:pStyle w:val="48"/>
                  <w:rPr>
                    <w:sz w:val="20"/>
                    <w:szCs w:val="20"/>
                  </w:rPr>
                </w:pPr>
                <w:r>
                  <w:rPr>
                    <w:sz w:val="20"/>
                    <w:szCs w:val="20"/>
                  </w:rPr>
                  <w:t>一、</w:t>
                </w:r>
                <w:r>
                  <w:rPr>
                    <w:rFonts w:hint="eastAsia"/>
                    <w:sz w:val="20"/>
                    <w:szCs w:val="20"/>
                  </w:rPr>
                  <w:t>账面原值</w:t>
                </w:r>
              </w:p>
            </w:tc>
          </w:sdtContent>
        </w:sdt>
      </w:tr>
      <w:tr w14:paraId="4F5A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2AD133BA">
            <w:pPr>
              <w:ind w:firstLine="400" w:firstLineChars="200"/>
              <w:rPr>
                <w:rFonts w:ascii="Calibri" w:hAnsi="Calibri"/>
                <w:sz w:val="20"/>
                <w:szCs w:val="20"/>
              </w:rPr>
            </w:pPr>
            <w:r>
              <w:rPr>
                <w:rFonts w:ascii="Calibri" w:hAnsi="Calibri"/>
                <w:sz w:val="20"/>
                <w:szCs w:val="20"/>
              </w:rPr>
              <w:t>1.</w:t>
            </w:r>
            <w:r>
              <w:rPr>
                <w:rFonts w:hint="eastAsia" w:ascii="Calibri" w:hAnsi="Calibri"/>
                <w:sz w:val="20"/>
                <w:szCs w:val="20"/>
              </w:rPr>
              <w:t>期</w:t>
            </w:r>
            <w:r>
              <w:rPr>
                <w:rFonts w:ascii="Calibri" w:hAnsi="Calibri"/>
                <w:sz w:val="20"/>
                <w:szCs w:val="20"/>
              </w:rPr>
              <w:t>初余额</w:t>
            </w:r>
          </w:p>
        </w:tc>
        <w:tc>
          <w:tcPr>
            <w:tcW w:w="1686" w:type="dxa"/>
            <w:vAlign w:val="center"/>
          </w:tcPr>
          <w:p w14:paraId="55444467">
            <w:pPr>
              <w:jc w:val="right"/>
              <w:rPr>
                <w:rFonts w:ascii="Calibri" w:hAnsi="Calibri"/>
                <w:sz w:val="20"/>
                <w:szCs w:val="20"/>
              </w:rPr>
            </w:pPr>
            <w:r>
              <w:rPr>
                <w:rFonts w:ascii="Calibri" w:hAnsi="Calibri"/>
                <w:sz w:val="20"/>
                <w:szCs w:val="20"/>
              </w:rPr>
              <w:t>226,745,066.39</w:t>
            </w:r>
          </w:p>
        </w:tc>
        <w:tc>
          <w:tcPr>
            <w:tcW w:w="1805" w:type="dxa"/>
            <w:vAlign w:val="center"/>
          </w:tcPr>
          <w:p w14:paraId="16B7DE89">
            <w:pPr>
              <w:jc w:val="right"/>
              <w:rPr>
                <w:rFonts w:ascii="Calibri" w:hAnsi="Calibri"/>
                <w:sz w:val="20"/>
                <w:szCs w:val="20"/>
              </w:rPr>
            </w:pPr>
            <w:r>
              <w:rPr>
                <w:rFonts w:ascii="Calibri" w:hAnsi="Calibri"/>
                <w:sz w:val="20"/>
                <w:szCs w:val="20"/>
              </w:rPr>
              <w:t>553,042,531.77</w:t>
            </w:r>
          </w:p>
        </w:tc>
        <w:tc>
          <w:tcPr>
            <w:tcW w:w="1996" w:type="dxa"/>
            <w:vAlign w:val="center"/>
          </w:tcPr>
          <w:p w14:paraId="05C9FB8F">
            <w:pPr>
              <w:jc w:val="right"/>
              <w:rPr>
                <w:rFonts w:ascii="Calibri" w:hAnsi="Calibri"/>
                <w:sz w:val="20"/>
                <w:szCs w:val="20"/>
              </w:rPr>
            </w:pPr>
            <w:r>
              <w:rPr>
                <w:rFonts w:ascii="Calibri" w:hAnsi="Calibri"/>
                <w:sz w:val="20"/>
                <w:szCs w:val="20"/>
              </w:rPr>
              <w:t>14,773,306.33</w:t>
            </w:r>
          </w:p>
        </w:tc>
        <w:tc>
          <w:tcPr>
            <w:tcW w:w="1976" w:type="dxa"/>
            <w:vAlign w:val="center"/>
          </w:tcPr>
          <w:p w14:paraId="20FB5C25">
            <w:pPr>
              <w:jc w:val="right"/>
              <w:rPr>
                <w:rFonts w:ascii="Calibri" w:hAnsi="Calibri"/>
                <w:sz w:val="20"/>
                <w:szCs w:val="20"/>
              </w:rPr>
            </w:pPr>
            <w:r>
              <w:rPr>
                <w:rFonts w:ascii="Calibri" w:hAnsi="Calibri"/>
                <w:sz w:val="20"/>
                <w:szCs w:val="20"/>
              </w:rPr>
              <w:t>794,560,904.49</w:t>
            </w:r>
          </w:p>
        </w:tc>
      </w:tr>
      <w:tr w14:paraId="6BAF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305" w:type="dxa"/>
            <w:vAlign w:val="center"/>
          </w:tcPr>
          <w:p w14:paraId="1D2E2DF5">
            <w:pPr>
              <w:ind w:firstLine="400" w:firstLineChars="200"/>
              <w:rPr>
                <w:rFonts w:ascii="Calibri" w:hAnsi="Calibri"/>
                <w:sz w:val="20"/>
                <w:szCs w:val="20"/>
              </w:rPr>
            </w:pPr>
            <w:r>
              <w:rPr>
                <w:rFonts w:ascii="Calibri" w:hAnsi="Calibri"/>
                <w:sz w:val="20"/>
                <w:szCs w:val="20"/>
              </w:rPr>
              <w:t>2.本期增加</w:t>
            </w:r>
            <w:r>
              <w:rPr>
                <w:rFonts w:hint="eastAsia" w:ascii="Calibri" w:hAnsi="Calibri"/>
                <w:sz w:val="20"/>
                <w:szCs w:val="20"/>
              </w:rPr>
              <w:t>金额</w:t>
            </w:r>
          </w:p>
        </w:tc>
        <w:tc>
          <w:tcPr>
            <w:tcW w:w="1686" w:type="dxa"/>
            <w:vAlign w:val="center"/>
          </w:tcPr>
          <w:p w14:paraId="0E379C78">
            <w:pPr>
              <w:jc w:val="right"/>
              <w:rPr>
                <w:rFonts w:ascii="Calibri" w:hAnsi="Calibri"/>
                <w:sz w:val="20"/>
                <w:szCs w:val="20"/>
              </w:rPr>
            </w:pPr>
            <w:r>
              <w:rPr>
                <w:rFonts w:ascii="Calibri" w:hAnsi="Calibri"/>
                <w:sz w:val="20"/>
                <w:szCs w:val="20"/>
              </w:rPr>
              <w:t>1,603,872.47</w:t>
            </w:r>
          </w:p>
        </w:tc>
        <w:tc>
          <w:tcPr>
            <w:tcW w:w="1805" w:type="dxa"/>
            <w:vAlign w:val="center"/>
          </w:tcPr>
          <w:p w14:paraId="2A5F4777">
            <w:pPr>
              <w:jc w:val="right"/>
              <w:rPr>
                <w:rFonts w:ascii="Calibri" w:hAnsi="Calibri"/>
                <w:sz w:val="20"/>
                <w:szCs w:val="20"/>
              </w:rPr>
            </w:pPr>
            <w:r>
              <w:rPr>
                <w:rFonts w:ascii="Calibri" w:hAnsi="Calibri"/>
                <w:sz w:val="20"/>
                <w:szCs w:val="20"/>
              </w:rPr>
              <w:t>15,910,823.02</w:t>
            </w:r>
          </w:p>
        </w:tc>
        <w:tc>
          <w:tcPr>
            <w:tcW w:w="1996" w:type="dxa"/>
            <w:vAlign w:val="center"/>
          </w:tcPr>
          <w:p w14:paraId="61F21A75">
            <w:pPr>
              <w:jc w:val="right"/>
              <w:rPr>
                <w:rFonts w:ascii="Calibri" w:hAnsi="Calibri"/>
                <w:sz w:val="20"/>
                <w:szCs w:val="20"/>
              </w:rPr>
            </w:pPr>
            <w:r>
              <w:rPr>
                <w:rFonts w:ascii="Calibri" w:hAnsi="Calibri"/>
                <w:sz w:val="20"/>
                <w:szCs w:val="20"/>
              </w:rPr>
              <w:t>1,668,871.70</w:t>
            </w:r>
          </w:p>
        </w:tc>
        <w:tc>
          <w:tcPr>
            <w:tcW w:w="1976" w:type="dxa"/>
            <w:vAlign w:val="center"/>
          </w:tcPr>
          <w:p w14:paraId="2690AFC7">
            <w:pPr>
              <w:jc w:val="right"/>
              <w:rPr>
                <w:rFonts w:ascii="Calibri" w:hAnsi="Calibri"/>
                <w:sz w:val="20"/>
                <w:szCs w:val="20"/>
              </w:rPr>
            </w:pPr>
            <w:r>
              <w:rPr>
                <w:rFonts w:ascii="Calibri" w:hAnsi="Calibri"/>
                <w:sz w:val="20"/>
                <w:szCs w:val="20"/>
              </w:rPr>
              <w:t>19,183,567.19</w:t>
            </w:r>
          </w:p>
        </w:tc>
      </w:tr>
      <w:tr w14:paraId="1C65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305" w:type="dxa"/>
            <w:vAlign w:val="center"/>
          </w:tcPr>
          <w:p w14:paraId="0E399D9E">
            <w:pPr>
              <w:ind w:firstLine="400" w:firstLineChars="200"/>
              <w:rPr>
                <w:rFonts w:ascii="Calibri" w:hAnsi="Calibri"/>
                <w:sz w:val="20"/>
                <w:szCs w:val="20"/>
              </w:rPr>
            </w:pPr>
            <w:r>
              <w:rPr>
                <w:rFonts w:hint="eastAsia" w:ascii="Calibri" w:hAnsi="Calibri"/>
                <w:sz w:val="20"/>
                <w:szCs w:val="20"/>
              </w:rPr>
              <w:t>（1）购置</w:t>
            </w:r>
          </w:p>
        </w:tc>
        <w:tc>
          <w:tcPr>
            <w:tcW w:w="1686" w:type="dxa"/>
            <w:vAlign w:val="center"/>
          </w:tcPr>
          <w:p w14:paraId="393350B0">
            <w:pPr>
              <w:jc w:val="right"/>
              <w:rPr>
                <w:rFonts w:ascii="Calibri" w:hAnsi="Calibri"/>
                <w:sz w:val="20"/>
                <w:szCs w:val="20"/>
              </w:rPr>
            </w:pPr>
          </w:p>
        </w:tc>
        <w:tc>
          <w:tcPr>
            <w:tcW w:w="1805" w:type="dxa"/>
            <w:vAlign w:val="center"/>
          </w:tcPr>
          <w:p w14:paraId="04478A47">
            <w:pPr>
              <w:jc w:val="right"/>
              <w:rPr>
                <w:rFonts w:ascii="Calibri" w:hAnsi="Calibri"/>
                <w:sz w:val="20"/>
                <w:szCs w:val="20"/>
              </w:rPr>
            </w:pPr>
          </w:p>
        </w:tc>
        <w:tc>
          <w:tcPr>
            <w:tcW w:w="1996" w:type="dxa"/>
            <w:vAlign w:val="center"/>
          </w:tcPr>
          <w:p w14:paraId="5B0CAB6E">
            <w:pPr>
              <w:jc w:val="right"/>
              <w:rPr>
                <w:rFonts w:ascii="Calibri" w:hAnsi="Calibri"/>
                <w:sz w:val="20"/>
                <w:szCs w:val="20"/>
              </w:rPr>
            </w:pPr>
            <w:r>
              <w:rPr>
                <w:rFonts w:ascii="Calibri" w:hAnsi="Calibri"/>
                <w:sz w:val="20"/>
                <w:szCs w:val="20"/>
              </w:rPr>
              <w:t>1,668,871.70</w:t>
            </w:r>
          </w:p>
        </w:tc>
        <w:tc>
          <w:tcPr>
            <w:tcW w:w="1976" w:type="dxa"/>
            <w:vAlign w:val="center"/>
          </w:tcPr>
          <w:p w14:paraId="7170CCDA">
            <w:pPr>
              <w:jc w:val="right"/>
              <w:rPr>
                <w:rFonts w:ascii="Calibri" w:hAnsi="Calibri"/>
                <w:sz w:val="20"/>
                <w:szCs w:val="20"/>
              </w:rPr>
            </w:pPr>
            <w:r>
              <w:rPr>
                <w:rFonts w:ascii="Calibri" w:hAnsi="Calibri"/>
                <w:sz w:val="20"/>
                <w:szCs w:val="20"/>
              </w:rPr>
              <w:t>1,668,871.70</w:t>
            </w:r>
          </w:p>
        </w:tc>
      </w:tr>
      <w:tr w14:paraId="44F2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15B944AD">
            <w:pPr>
              <w:ind w:firstLine="400" w:firstLineChars="200"/>
              <w:rPr>
                <w:rFonts w:ascii="Calibri" w:hAnsi="Calibri"/>
                <w:sz w:val="20"/>
                <w:szCs w:val="20"/>
              </w:rPr>
            </w:pPr>
            <w:r>
              <w:rPr>
                <w:rFonts w:hint="eastAsia" w:ascii="Calibri" w:hAnsi="Calibri"/>
                <w:sz w:val="20"/>
                <w:szCs w:val="20"/>
              </w:rPr>
              <w:t>（2）内部研发</w:t>
            </w:r>
          </w:p>
        </w:tc>
        <w:tc>
          <w:tcPr>
            <w:tcW w:w="1686" w:type="dxa"/>
            <w:vAlign w:val="center"/>
          </w:tcPr>
          <w:p w14:paraId="2B99467E">
            <w:pPr>
              <w:jc w:val="right"/>
              <w:rPr>
                <w:rFonts w:ascii="Calibri" w:hAnsi="Calibri"/>
                <w:sz w:val="20"/>
                <w:szCs w:val="20"/>
              </w:rPr>
            </w:pPr>
          </w:p>
        </w:tc>
        <w:tc>
          <w:tcPr>
            <w:tcW w:w="1805" w:type="dxa"/>
            <w:vAlign w:val="center"/>
          </w:tcPr>
          <w:p w14:paraId="1CCD4036">
            <w:pPr>
              <w:jc w:val="right"/>
              <w:rPr>
                <w:rFonts w:ascii="Calibri" w:hAnsi="Calibri"/>
                <w:sz w:val="20"/>
                <w:szCs w:val="20"/>
              </w:rPr>
            </w:pPr>
            <w:r>
              <w:rPr>
                <w:rFonts w:ascii="Calibri" w:hAnsi="Calibri"/>
                <w:sz w:val="20"/>
                <w:szCs w:val="20"/>
              </w:rPr>
              <w:t>15,910,823.02</w:t>
            </w:r>
          </w:p>
        </w:tc>
        <w:tc>
          <w:tcPr>
            <w:tcW w:w="1996" w:type="dxa"/>
            <w:vAlign w:val="center"/>
          </w:tcPr>
          <w:p w14:paraId="131F5240">
            <w:pPr>
              <w:jc w:val="right"/>
              <w:rPr>
                <w:rFonts w:ascii="Calibri" w:hAnsi="Calibri"/>
                <w:sz w:val="20"/>
                <w:szCs w:val="20"/>
              </w:rPr>
            </w:pPr>
          </w:p>
        </w:tc>
        <w:tc>
          <w:tcPr>
            <w:tcW w:w="1976" w:type="dxa"/>
            <w:vAlign w:val="center"/>
          </w:tcPr>
          <w:p w14:paraId="4519C4CC">
            <w:pPr>
              <w:jc w:val="center"/>
              <w:rPr>
                <w:rFonts w:ascii="Calibri" w:hAnsi="Calibri"/>
                <w:sz w:val="20"/>
                <w:szCs w:val="20"/>
              </w:rPr>
            </w:pPr>
            <w:r>
              <w:rPr>
                <w:rFonts w:ascii="Calibri" w:hAnsi="Calibri"/>
                <w:sz w:val="20"/>
                <w:szCs w:val="20"/>
              </w:rPr>
              <w:t>15,910,823.02</w:t>
            </w:r>
          </w:p>
        </w:tc>
      </w:tr>
      <w:tr w14:paraId="1685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0C1DA4E5">
            <w:pPr>
              <w:ind w:firstLine="400" w:firstLineChars="200"/>
              <w:rPr>
                <w:rFonts w:ascii="Calibri" w:hAnsi="Calibri"/>
                <w:sz w:val="20"/>
                <w:szCs w:val="20"/>
              </w:rPr>
            </w:pPr>
            <w:r>
              <w:rPr>
                <w:rFonts w:hint="eastAsia" w:ascii="Calibri" w:hAnsi="Calibri"/>
                <w:sz w:val="20"/>
                <w:szCs w:val="20"/>
              </w:rPr>
              <w:t>（3）企</w:t>
            </w:r>
            <w:r>
              <w:rPr>
                <w:rFonts w:ascii="Calibri" w:hAnsi="Calibri"/>
                <w:sz w:val="20"/>
                <w:szCs w:val="20"/>
              </w:rPr>
              <w:t>业合并增加</w:t>
            </w:r>
          </w:p>
        </w:tc>
        <w:tc>
          <w:tcPr>
            <w:tcW w:w="1686" w:type="dxa"/>
            <w:vAlign w:val="center"/>
          </w:tcPr>
          <w:p w14:paraId="77535BB1">
            <w:pPr>
              <w:jc w:val="right"/>
              <w:rPr>
                <w:rFonts w:ascii="Calibri" w:hAnsi="Calibri"/>
                <w:sz w:val="20"/>
                <w:szCs w:val="20"/>
              </w:rPr>
            </w:pPr>
          </w:p>
        </w:tc>
        <w:tc>
          <w:tcPr>
            <w:tcW w:w="1805" w:type="dxa"/>
            <w:vAlign w:val="center"/>
          </w:tcPr>
          <w:p w14:paraId="2D5BAC2C">
            <w:pPr>
              <w:jc w:val="right"/>
              <w:rPr>
                <w:rFonts w:ascii="Calibri" w:hAnsi="Calibri"/>
                <w:sz w:val="20"/>
                <w:szCs w:val="20"/>
              </w:rPr>
            </w:pPr>
          </w:p>
        </w:tc>
        <w:tc>
          <w:tcPr>
            <w:tcW w:w="1996" w:type="dxa"/>
            <w:vAlign w:val="center"/>
          </w:tcPr>
          <w:p w14:paraId="17520030">
            <w:pPr>
              <w:jc w:val="right"/>
              <w:rPr>
                <w:rFonts w:ascii="Calibri" w:hAnsi="Calibri"/>
                <w:sz w:val="20"/>
                <w:szCs w:val="20"/>
              </w:rPr>
            </w:pPr>
          </w:p>
        </w:tc>
        <w:tc>
          <w:tcPr>
            <w:tcW w:w="1976" w:type="dxa"/>
            <w:vAlign w:val="center"/>
          </w:tcPr>
          <w:p w14:paraId="1416A945">
            <w:pPr>
              <w:jc w:val="right"/>
              <w:rPr>
                <w:rFonts w:ascii="Calibri" w:hAnsi="Calibri"/>
                <w:sz w:val="20"/>
                <w:szCs w:val="20"/>
              </w:rPr>
            </w:pPr>
          </w:p>
        </w:tc>
      </w:tr>
      <w:tr w14:paraId="1D04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305" w:type="dxa"/>
            <w:vAlign w:val="center"/>
          </w:tcPr>
          <w:p w14:paraId="58FD2A36">
            <w:pPr>
              <w:ind w:firstLine="400" w:firstLineChars="200"/>
              <w:rPr>
                <w:rFonts w:ascii="Calibri" w:hAnsi="Calibri"/>
                <w:sz w:val="20"/>
                <w:szCs w:val="20"/>
              </w:rPr>
            </w:pPr>
            <w:r>
              <w:rPr>
                <w:rFonts w:hint="eastAsia" w:ascii="Calibri" w:hAnsi="Calibri"/>
                <w:sz w:val="20"/>
                <w:szCs w:val="20"/>
              </w:rPr>
              <w:t>（</w:t>
            </w:r>
            <w:r>
              <w:rPr>
                <w:rFonts w:ascii="Calibri" w:hAnsi="Calibri"/>
                <w:sz w:val="20"/>
                <w:szCs w:val="20"/>
              </w:rPr>
              <w:t>4</w:t>
            </w:r>
            <w:r>
              <w:rPr>
                <w:rFonts w:hint="eastAsia" w:ascii="Calibri" w:hAnsi="Calibri"/>
                <w:sz w:val="20"/>
                <w:szCs w:val="20"/>
              </w:rPr>
              <w:t>）投资性房地产转入</w:t>
            </w:r>
          </w:p>
        </w:tc>
        <w:tc>
          <w:tcPr>
            <w:tcW w:w="1686" w:type="dxa"/>
            <w:vAlign w:val="center"/>
          </w:tcPr>
          <w:p w14:paraId="1126F56E">
            <w:pPr>
              <w:jc w:val="right"/>
              <w:rPr>
                <w:rFonts w:ascii="Calibri" w:hAnsi="Calibri"/>
                <w:sz w:val="20"/>
                <w:szCs w:val="20"/>
              </w:rPr>
            </w:pPr>
            <w:r>
              <w:rPr>
                <w:rFonts w:ascii="Calibri" w:hAnsi="Calibri"/>
                <w:sz w:val="20"/>
                <w:szCs w:val="20"/>
              </w:rPr>
              <w:t>1,603,872.47</w:t>
            </w:r>
          </w:p>
        </w:tc>
        <w:tc>
          <w:tcPr>
            <w:tcW w:w="1805" w:type="dxa"/>
            <w:vAlign w:val="center"/>
          </w:tcPr>
          <w:p w14:paraId="4C0416AD">
            <w:pPr>
              <w:jc w:val="right"/>
              <w:rPr>
                <w:rFonts w:ascii="Calibri" w:hAnsi="Calibri"/>
                <w:sz w:val="20"/>
                <w:szCs w:val="20"/>
              </w:rPr>
            </w:pPr>
          </w:p>
        </w:tc>
        <w:tc>
          <w:tcPr>
            <w:tcW w:w="1996" w:type="dxa"/>
            <w:vAlign w:val="center"/>
          </w:tcPr>
          <w:p w14:paraId="3D4D7C64">
            <w:pPr>
              <w:jc w:val="right"/>
              <w:rPr>
                <w:rFonts w:ascii="Calibri" w:hAnsi="Calibri"/>
                <w:sz w:val="20"/>
                <w:szCs w:val="20"/>
              </w:rPr>
            </w:pPr>
            <w:r>
              <w:rPr>
                <w:rFonts w:hint="eastAsia" w:ascii="Calibri" w:hAnsi="Calibri"/>
                <w:sz w:val="20"/>
                <w:szCs w:val="20"/>
              </w:rPr>
              <w:t>　</w:t>
            </w:r>
          </w:p>
        </w:tc>
        <w:tc>
          <w:tcPr>
            <w:tcW w:w="1976" w:type="dxa"/>
            <w:vAlign w:val="center"/>
          </w:tcPr>
          <w:p w14:paraId="37BC4A7A">
            <w:pPr>
              <w:jc w:val="right"/>
              <w:rPr>
                <w:rFonts w:ascii="Calibri" w:hAnsi="Calibri"/>
                <w:sz w:val="20"/>
                <w:szCs w:val="20"/>
              </w:rPr>
            </w:pPr>
            <w:r>
              <w:rPr>
                <w:rFonts w:ascii="Calibri" w:hAnsi="Calibri"/>
                <w:sz w:val="20"/>
                <w:szCs w:val="20"/>
              </w:rPr>
              <w:t>1,603,872.47</w:t>
            </w:r>
          </w:p>
        </w:tc>
      </w:tr>
      <w:tr w14:paraId="53E7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087F9BEF">
            <w:pPr>
              <w:ind w:firstLine="400" w:firstLineChars="200"/>
              <w:rPr>
                <w:rFonts w:ascii="Calibri" w:hAnsi="Calibri"/>
                <w:sz w:val="20"/>
                <w:szCs w:val="20"/>
              </w:rPr>
            </w:pPr>
            <w:r>
              <w:rPr>
                <w:rFonts w:ascii="Calibri" w:hAnsi="Calibri"/>
                <w:sz w:val="20"/>
                <w:szCs w:val="20"/>
              </w:rPr>
              <w:t>3.本期减少</w:t>
            </w:r>
            <w:r>
              <w:rPr>
                <w:rFonts w:hint="eastAsia" w:ascii="Calibri" w:hAnsi="Calibri"/>
                <w:sz w:val="20"/>
                <w:szCs w:val="20"/>
              </w:rPr>
              <w:t>金额</w:t>
            </w:r>
          </w:p>
        </w:tc>
        <w:tc>
          <w:tcPr>
            <w:tcW w:w="1686" w:type="dxa"/>
            <w:vAlign w:val="center"/>
          </w:tcPr>
          <w:p w14:paraId="0CBA5A33">
            <w:pPr>
              <w:jc w:val="right"/>
              <w:rPr>
                <w:rFonts w:ascii="Calibri" w:hAnsi="Calibri"/>
                <w:sz w:val="20"/>
                <w:szCs w:val="20"/>
              </w:rPr>
            </w:pPr>
          </w:p>
        </w:tc>
        <w:tc>
          <w:tcPr>
            <w:tcW w:w="1805" w:type="dxa"/>
            <w:vAlign w:val="center"/>
          </w:tcPr>
          <w:p w14:paraId="4A09DB75">
            <w:pPr>
              <w:jc w:val="right"/>
              <w:rPr>
                <w:rFonts w:ascii="Calibri" w:hAnsi="Calibri"/>
                <w:sz w:val="20"/>
                <w:szCs w:val="20"/>
              </w:rPr>
            </w:pPr>
            <w:r>
              <w:rPr>
                <w:rFonts w:ascii="Calibri" w:hAnsi="Calibri"/>
                <w:sz w:val="20"/>
                <w:szCs w:val="20"/>
              </w:rPr>
              <w:t>46,606,037.47</w:t>
            </w:r>
          </w:p>
        </w:tc>
        <w:tc>
          <w:tcPr>
            <w:tcW w:w="1996" w:type="dxa"/>
            <w:vAlign w:val="center"/>
          </w:tcPr>
          <w:p w14:paraId="50417331">
            <w:pPr>
              <w:jc w:val="right"/>
              <w:rPr>
                <w:rFonts w:ascii="Calibri" w:hAnsi="Calibri"/>
                <w:sz w:val="20"/>
                <w:szCs w:val="20"/>
              </w:rPr>
            </w:pPr>
            <w:r>
              <w:rPr>
                <w:rFonts w:ascii="Calibri" w:hAnsi="Calibri"/>
                <w:sz w:val="20"/>
                <w:szCs w:val="20"/>
              </w:rPr>
              <w:t>251,415.93</w:t>
            </w:r>
          </w:p>
        </w:tc>
        <w:tc>
          <w:tcPr>
            <w:tcW w:w="1976" w:type="dxa"/>
            <w:vAlign w:val="center"/>
          </w:tcPr>
          <w:p w14:paraId="062F51FF">
            <w:pPr>
              <w:jc w:val="right"/>
              <w:rPr>
                <w:rFonts w:ascii="Calibri" w:hAnsi="Calibri"/>
                <w:sz w:val="20"/>
                <w:szCs w:val="20"/>
              </w:rPr>
            </w:pPr>
            <w:r>
              <w:rPr>
                <w:rFonts w:ascii="Calibri" w:hAnsi="Calibri"/>
                <w:sz w:val="20"/>
                <w:szCs w:val="20"/>
              </w:rPr>
              <w:t>46,857,453.40</w:t>
            </w:r>
          </w:p>
        </w:tc>
      </w:tr>
      <w:tr w14:paraId="448F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65289FD2">
            <w:pPr>
              <w:ind w:firstLine="400" w:firstLineChars="200"/>
              <w:rPr>
                <w:rFonts w:ascii="Calibri" w:hAnsi="Calibri"/>
                <w:sz w:val="20"/>
                <w:szCs w:val="20"/>
              </w:rPr>
            </w:pPr>
            <w:r>
              <w:rPr>
                <w:rFonts w:hint="eastAsia" w:ascii="Calibri" w:hAnsi="Calibri"/>
                <w:sz w:val="20"/>
                <w:szCs w:val="20"/>
              </w:rPr>
              <w:t>（1）处置</w:t>
            </w:r>
          </w:p>
        </w:tc>
        <w:tc>
          <w:tcPr>
            <w:tcW w:w="1686" w:type="dxa"/>
            <w:vAlign w:val="center"/>
          </w:tcPr>
          <w:p w14:paraId="08708AB4">
            <w:pPr>
              <w:jc w:val="right"/>
              <w:rPr>
                <w:rFonts w:ascii="Calibri" w:hAnsi="Calibri"/>
                <w:sz w:val="20"/>
                <w:szCs w:val="20"/>
              </w:rPr>
            </w:pPr>
          </w:p>
        </w:tc>
        <w:tc>
          <w:tcPr>
            <w:tcW w:w="1805" w:type="dxa"/>
            <w:vAlign w:val="center"/>
          </w:tcPr>
          <w:p w14:paraId="2F589118">
            <w:pPr>
              <w:jc w:val="right"/>
              <w:rPr>
                <w:rFonts w:ascii="Calibri" w:hAnsi="Calibri"/>
                <w:sz w:val="20"/>
                <w:szCs w:val="20"/>
              </w:rPr>
            </w:pPr>
          </w:p>
        </w:tc>
        <w:tc>
          <w:tcPr>
            <w:tcW w:w="1996" w:type="dxa"/>
            <w:vAlign w:val="center"/>
          </w:tcPr>
          <w:p w14:paraId="4DF6D7A5">
            <w:pPr>
              <w:jc w:val="right"/>
              <w:rPr>
                <w:rFonts w:ascii="Calibri" w:hAnsi="Calibri"/>
                <w:sz w:val="20"/>
                <w:szCs w:val="20"/>
              </w:rPr>
            </w:pPr>
            <w:r>
              <w:rPr>
                <w:rFonts w:ascii="Calibri" w:hAnsi="Calibri"/>
                <w:sz w:val="20"/>
                <w:szCs w:val="20"/>
              </w:rPr>
              <w:t>251,415.93</w:t>
            </w:r>
          </w:p>
        </w:tc>
        <w:tc>
          <w:tcPr>
            <w:tcW w:w="1976" w:type="dxa"/>
            <w:vAlign w:val="center"/>
          </w:tcPr>
          <w:p w14:paraId="46DF7995">
            <w:pPr>
              <w:jc w:val="right"/>
              <w:rPr>
                <w:rFonts w:ascii="Calibri" w:hAnsi="Calibri"/>
                <w:sz w:val="20"/>
                <w:szCs w:val="20"/>
              </w:rPr>
            </w:pPr>
            <w:r>
              <w:rPr>
                <w:rFonts w:ascii="Calibri" w:hAnsi="Calibri"/>
                <w:sz w:val="20"/>
                <w:szCs w:val="20"/>
              </w:rPr>
              <w:t>251,415.93</w:t>
            </w:r>
          </w:p>
        </w:tc>
      </w:tr>
      <w:tr w14:paraId="5121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05" w:type="dxa"/>
            <w:vAlign w:val="center"/>
          </w:tcPr>
          <w:p w14:paraId="0F8F0F0B">
            <w:pPr>
              <w:ind w:firstLine="400" w:firstLineChars="200"/>
              <w:rPr>
                <w:rFonts w:ascii="Calibri" w:hAnsi="Calibri"/>
                <w:sz w:val="20"/>
                <w:szCs w:val="20"/>
              </w:rPr>
            </w:pPr>
            <w:r>
              <w:rPr>
                <w:rFonts w:hint="eastAsia" w:ascii="Calibri" w:hAnsi="Calibri"/>
                <w:sz w:val="20"/>
                <w:szCs w:val="20"/>
              </w:rPr>
              <w:t>（2）终止确认</w:t>
            </w:r>
          </w:p>
        </w:tc>
        <w:tc>
          <w:tcPr>
            <w:tcW w:w="1686" w:type="dxa"/>
            <w:vAlign w:val="center"/>
          </w:tcPr>
          <w:p w14:paraId="31DC2A70">
            <w:pPr>
              <w:jc w:val="right"/>
              <w:rPr>
                <w:rFonts w:ascii="Calibri" w:hAnsi="Calibri"/>
                <w:sz w:val="20"/>
                <w:szCs w:val="20"/>
              </w:rPr>
            </w:pPr>
            <w:r>
              <w:rPr>
                <w:rFonts w:hint="eastAsia" w:ascii="Calibri" w:hAnsi="Calibri"/>
                <w:sz w:val="20"/>
                <w:szCs w:val="20"/>
              </w:rPr>
              <w:t>　</w:t>
            </w:r>
          </w:p>
        </w:tc>
        <w:tc>
          <w:tcPr>
            <w:tcW w:w="1805" w:type="dxa"/>
            <w:vAlign w:val="center"/>
          </w:tcPr>
          <w:p w14:paraId="5B9D78A1">
            <w:pPr>
              <w:jc w:val="right"/>
              <w:rPr>
                <w:rFonts w:ascii="Calibri" w:hAnsi="Calibri"/>
                <w:sz w:val="20"/>
                <w:szCs w:val="20"/>
              </w:rPr>
            </w:pPr>
            <w:r>
              <w:rPr>
                <w:rFonts w:ascii="Calibri" w:hAnsi="Calibri"/>
                <w:sz w:val="20"/>
                <w:szCs w:val="20"/>
              </w:rPr>
              <w:t>40,000,000.00</w:t>
            </w:r>
          </w:p>
        </w:tc>
        <w:tc>
          <w:tcPr>
            <w:tcW w:w="1996" w:type="dxa"/>
            <w:vAlign w:val="center"/>
          </w:tcPr>
          <w:p w14:paraId="3BADBE82">
            <w:pPr>
              <w:jc w:val="right"/>
              <w:rPr>
                <w:rFonts w:ascii="Calibri" w:hAnsi="Calibri"/>
                <w:sz w:val="20"/>
                <w:szCs w:val="20"/>
              </w:rPr>
            </w:pPr>
            <w:r>
              <w:rPr>
                <w:rFonts w:hint="eastAsia" w:ascii="Calibri" w:hAnsi="Calibri"/>
                <w:sz w:val="20"/>
                <w:szCs w:val="20"/>
              </w:rPr>
              <w:t>　</w:t>
            </w:r>
          </w:p>
        </w:tc>
        <w:tc>
          <w:tcPr>
            <w:tcW w:w="1976" w:type="dxa"/>
            <w:vAlign w:val="center"/>
          </w:tcPr>
          <w:p w14:paraId="1E7954C7">
            <w:pPr>
              <w:jc w:val="right"/>
              <w:rPr>
                <w:rFonts w:ascii="Calibri" w:hAnsi="Calibri"/>
                <w:sz w:val="20"/>
                <w:szCs w:val="20"/>
              </w:rPr>
            </w:pPr>
            <w:r>
              <w:rPr>
                <w:rFonts w:ascii="Calibri" w:hAnsi="Calibri"/>
                <w:sz w:val="20"/>
                <w:szCs w:val="20"/>
              </w:rPr>
              <w:t>40,000,000.00</w:t>
            </w:r>
          </w:p>
        </w:tc>
      </w:tr>
      <w:tr w14:paraId="3480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05" w:type="dxa"/>
            <w:vAlign w:val="center"/>
          </w:tcPr>
          <w:p w14:paraId="410BC32F">
            <w:pPr>
              <w:ind w:firstLine="400" w:firstLineChars="200"/>
              <w:rPr>
                <w:rFonts w:ascii="Calibri" w:hAnsi="Calibri"/>
                <w:sz w:val="20"/>
                <w:szCs w:val="20"/>
              </w:rPr>
            </w:pPr>
            <w:r>
              <w:rPr>
                <w:rFonts w:hint="eastAsia" w:ascii="Calibri" w:hAnsi="Calibri"/>
                <w:sz w:val="20"/>
                <w:szCs w:val="20"/>
              </w:rPr>
              <w:t>（3）其他转出</w:t>
            </w:r>
          </w:p>
        </w:tc>
        <w:tc>
          <w:tcPr>
            <w:tcW w:w="1686" w:type="dxa"/>
            <w:vAlign w:val="center"/>
          </w:tcPr>
          <w:p w14:paraId="104EEA64">
            <w:pPr>
              <w:jc w:val="right"/>
              <w:rPr>
                <w:rFonts w:ascii="Calibri" w:hAnsi="Calibri"/>
                <w:sz w:val="20"/>
                <w:szCs w:val="20"/>
              </w:rPr>
            </w:pPr>
            <w:r>
              <w:rPr>
                <w:rFonts w:hint="eastAsia" w:ascii="Calibri" w:hAnsi="Calibri"/>
                <w:sz w:val="20"/>
                <w:szCs w:val="20"/>
              </w:rPr>
              <w:t>　</w:t>
            </w:r>
          </w:p>
        </w:tc>
        <w:tc>
          <w:tcPr>
            <w:tcW w:w="1805" w:type="dxa"/>
            <w:vAlign w:val="center"/>
          </w:tcPr>
          <w:p w14:paraId="1498AA48">
            <w:pPr>
              <w:jc w:val="right"/>
              <w:rPr>
                <w:rFonts w:ascii="Calibri" w:hAnsi="Calibri"/>
                <w:sz w:val="20"/>
                <w:szCs w:val="20"/>
              </w:rPr>
            </w:pPr>
            <w:r>
              <w:rPr>
                <w:rFonts w:ascii="Calibri" w:hAnsi="Calibri"/>
                <w:sz w:val="20"/>
                <w:szCs w:val="20"/>
              </w:rPr>
              <w:t>6,606,037.47</w:t>
            </w:r>
          </w:p>
        </w:tc>
        <w:tc>
          <w:tcPr>
            <w:tcW w:w="1996" w:type="dxa"/>
            <w:vAlign w:val="center"/>
          </w:tcPr>
          <w:p w14:paraId="210E436C">
            <w:pPr>
              <w:jc w:val="right"/>
              <w:rPr>
                <w:rFonts w:ascii="Calibri" w:hAnsi="Calibri"/>
                <w:sz w:val="20"/>
                <w:szCs w:val="20"/>
              </w:rPr>
            </w:pPr>
            <w:r>
              <w:rPr>
                <w:rFonts w:hint="eastAsia" w:ascii="Calibri" w:hAnsi="Calibri"/>
                <w:sz w:val="20"/>
                <w:szCs w:val="20"/>
              </w:rPr>
              <w:t>　</w:t>
            </w:r>
          </w:p>
        </w:tc>
        <w:tc>
          <w:tcPr>
            <w:tcW w:w="1976" w:type="dxa"/>
            <w:vAlign w:val="center"/>
          </w:tcPr>
          <w:p w14:paraId="0C24A34D">
            <w:pPr>
              <w:jc w:val="right"/>
              <w:rPr>
                <w:rFonts w:ascii="Calibri" w:hAnsi="Calibri"/>
                <w:sz w:val="20"/>
                <w:szCs w:val="20"/>
              </w:rPr>
            </w:pPr>
            <w:r>
              <w:rPr>
                <w:rFonts w:ascii="Calibri" w:hAnsi="Calibri"/>
                <w:sz w:val="20"/>
                <w:szCs w:val="20"/>
              </w:rPr>
              <w:t>6,606,037.47</w:t>
            </w:r>
          </w:p>
        </w:tc>
      </w:tr>
      <w:tr w14:paraId="6A48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783E8E84">
            <w:pPr>
              <w:ind w:firstLine="400" w:firstLineChars="200"/>
              <w:rPr>
                <w:rFonts w:ascii="Calibri" w:hAnsi="Calibri"/>
                <w:sz w:val="20"/>
                <w:szCs w:val="20"/>
              </w:rPr>
            </w:pPr>
            <w:r>
              <w:rPr>
                <w:rFonts w:ascii="Calibri" w:hAnsi="Calibri"/>
                <w:sz w:val="20"/>
                <w:szCs w:val="20"/>
              </w:rPr>
              <w:t>4.期末余额</w:t>
            </w:r>
          </w:p>
        </w:tc>
        <w:tc>
          <w:tcPr>
            <w:tcW w:w="1686" w:type="dxa"/>
            <w:vAlign w:val="center"/>
          </w:tcPr>
          <w:p w14:paraId="7C020AF4">
            <w:pPr>
              <w:jc w:val="right"/>
              <w:rPr>
                <w:rFonts w:ascii="Calibri" w:hAnsi="Calibri"/>
                <w:sz w:val="20"/>
                <w:szCs w:val="20"/>
              </w:rPr>
            </w:pPr>
            <w:r>
              <w:rPr>
                <w:rFonts w:ascii="Calibri" w:hAnsi="Calibri"/>
                <w:sz w:val="20"/>
                <w:szCs w:val="20"/>
              </w:rPr>
              <w:t>228,348,938.86</w:t>
            </w:r>
          </w:p>
        </w:tc>
        <w:tc>
          <w:tcPr>
            <w:tcW w:w="1805" w:type="dxa"/>
            <w:vAlign w:val="center"/>
          </w:tcPr>
          <w:p w14:paraId="33977918">
            <w:pPr>
              <w:jc w:val="right"/>
              <w:rPr>
                <w:rFonts w:ascii="Calibri" w:hAnsi="Calibri"/>
                <w:sz w:val="20"/>
                <w:szCs w:val="20"/>
              </w:rPr>
            </w:pPr>
            <w:r>
              <w:rPr>
                <w:rFonts w:ascii="Calibri" w:hAnsi="Calibri"/>
                <w:sz w:val="20"/>
                <w:szCs w:val="20"/>
              </w:rPr>
              <w:t>522,347,317.32</w:t>
            </w:r>
          </w:p>
        </w:tc>
        <w:tc>
          <w:tcPr>
            <w:tcW w:w="1996" w:type="dxa"/>
            <w:vAlign w:val="center"/>
          </w:tcPr>
          <w:p w14:paraId="472A37B7">
            <w:pPr>
              <w:jc w:val="right"/>
              <w:rPr>
                <w:rFonts w:ascii="Calibri" w:hAnsi="Calibri"/>
                <w:sz w:val="20"/>
                <w:szCs w:val="20"/>
              </w:rPr>
            </w:pPr>
            <w:r>
              <w:rPr>
                <w:rFonts w:ascii="Calibri" w:hAnsi="Calibri"/>
                <w:sz w:val="20"/>
                <w:szCs w:val="20"/>
              </w:rPr>
              <w:t>16,190,762.10</w:t>
            </w:r>
          </w:p>
        </w:tc>
        <w:tc>
          <w:tcPr>
            <w:tcW w:w="1976" w:type="dxa"/>
            <w:vAlign w:val="center"/>
          </w:tcPr>
          <w:p w14:paraId="3985E90C">
            <w:pPr>
              <w:jc w:val="right"/>
              <w:rPr>
                <w:rFonts w:ascii="Calibri" w:hAnsi="Calibri"/>
                <w:sz w:val="20"/>
                <w:szCs w:val="20"/>
              </w:rPr>
            </w:pPr>
            <w:r>
              <w:rPr>
                <w:rFonts w:ascii="Calibri" w:hAnsi="Calibri"/>
                <w:sz w:val="20"/>
                <w:szCs w:val="20"/>
              </w:rPr>
              <w:t>766,887,018.28</w:t>
            </w:r>
          </w:p>
        </w:tc>
      </w:tr>
      <w:tr w14:paraId="39F3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31b6b6971eff48bf893163f2b1779469"/>
            <w:id w:val="102614930"/>
          </w:sdtPr>
          <w:sdtContent>
            <w:tc>
              <w:tcPr>
                <w:tcW w:w="9768" w:type="dxa"/>
                <w:gridSpan w:val="5"/>
                <w:vAlign w:val="center"/>
              </w:tcPr>
              <w:p w14:paraId="67C67C36">
                <w:pPr>
                  <w:pStyle w:val="48"/>
                  <w:rPr>
                    <w:sz w:val="20"/>
                    <w:szCs w:val="20"/>
                  </w:rPr>
                </w:pPr>
                <w:r>
                  <w:rPr>
                    <w:sz w:val="20"/>
                    <w:szCs w:val="20"/>
                  </w:rPr>
                  <w:t>二、累计</w:t>
                </w:r>
                <w:r>
                  <w:rPr>
                    <w:rFonts w:hint="eastAsia"/>
                    <w:sz w:val="20"/>
                    <w:szCs w:val="20"/>
                  </w:rPr>
                  <w:t>摊销</w:t>
                </w:r>
              </w:p>
            </w:tc>
          </w:sdtContent>
        </w:sdt>
      </w:tr>
      <w:tr w14:paraId="0DA7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64D13C10">
            <w:pPr>
              <w:ind w:firstLine="400" w:firstLineChars="200"/>
              <w:rPr>
                <w:rFonts w:ascii="Calibri" w:hAnsi="Calibri"/>
                <w:sz w:val="20"/>
                <w:szCs w:val="20"/>
              </w:rPr>
            </w:pPr>
            <w:r>
              <w:rPr>
                <w:rFonts w:hint="eastAsia" w:ascii="Calibri" w:hAnsi="Calibri"/>
                <w:sz w:val="20"/>
                <w:szCs w:val="20"/>
              </w:rPr>
              <w:t>1.期</w:t>
            </w:r>
            <w:r>
              <w:rPr>
                <w:rFonts w:ascii="Calibri" w:hAnsi="Calibri"/>
                <w:sz w:val="20"/>
                <w:szCs w:val="20"/>
              </w:rPr>
              <w:t>初余额</w:t>
            </w:r>
          </w:p>
        </w:tc>
        <w:tc>
          <w:tcPr>
            <w:tcW w:w="1686" w:type="dxa"/>
            <w:vAlign w:val="center"/>
          </w:tcPr>
          <w:p w14:paraId="2EC4341B">
            <w:pPr>
              <w:jc w:val="right"/>
              <w:rPr>
                <w:rFonts w:ascii="Calibri" w:hAnsi="Calibri"/>
                <w:sz w:val="20"/>
                <w:szCs w:val="20"/>
              </w:rPr>
            </w:pPr>
            <w:r>
              <w:rPr>
                <w:rFonts w:ascii="Calibri" w:hAnsi="Calibri"/>
                <w:sz w:val="20"/>
                <w:szCs w:val="20"/>
              </w:rPr>
              <w:t>30,481,456.18</w:t>
            </w:r>
          </w:p>
        </w:tc>
        <w:tc>
          <w:tcPr>
            <w:tcW w:w="1805" w:type="dxa"/>
            <w:vAlign w:val="center"/>
          </w:tcPr>
          <w:p w14:paraId="591776F8">
            <w:pPr>
              <w:jc w:val="right"/>
              <w:rPr>
                <w:rFonts w:ascii="Calibri" w:hAnsi="Calibri"/>
                <w:sz w:val="20"/>
                <w:szCs w:val="20"/>
              </w:rPr>
            </w:pPr>
            <w:r>
              <w:rPr>
                <w:rFonts w:ascii="Calibri" w:hAnsi="Calibri"/>
                <w:sz w:val="20"/>
                <w:szCs w:val="20"/>
              </w:rPr>
              <w:t>127,858,421.39</w:t>
            </w:r>
          </w:p>
        </w:tc>
        <w:tc>
          <w:tcPr>
            <w:tcW w:w="1996" w:type="dxa"/>
            <w:vAlign w:val="center"/>
          </w:tcPr>
          <w:p w14:paraId="4678E093">
            <w:pPr>
              <w:jc w:val="right"/>
              <w:rPr>
                <w:rFonts w:ascii="Calibri" w:hAnsi="Calibri"/>
                <w:sz w:val="20"/>
                <w:szCs w:val="20"/>
              </w:rPr>
            </w:pPr>
            <w:r>
              <w:rPr>
                <w:rFonts w:ascii="Calibri" w:hAnsi="Calibri"/>
                <w:sz w:val="20"/>
                <w:szCs w:val="20"/>
              </w:rPr>
              <w:t>8,166,378.53</w:t>
            </w:r>
          </w:p>
        </w:tc>
        <w:tc>
          <w:tcPr>
            <w:tcW w:w="1976" w:type="dxa"/>
            <w:vAlign w:val="center"/>
          </w:tcPr>
          <w:p w14:paraId="42946639">
            <w:pPr>
              <w:jc w:val="right"/>
              <w:rPr>
                <w:rFonts w:ascii="Calibri" w:hAnsi="Calibri"/>
                <w:sz w:val="20"/>
                <w:szCs w:val="20"/>
              </w:rPr>
            </w:pPr>
            <w:r>
              <w:rPr>
                <w:rFonts w:ascii="Calibri" w:hAnsi="Calibri"/>
                <w:sz w:val="20"/>
                <w:szCs w:val="20"/>
              </w:rPr>
              <w:t>166,506,256.10</w:t>
            </w:r>
          </w:p>
        </w:tc>
      </w:tr>
      <w:tr w14:paraId="0DC1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67A72A7C">
            <w:pPr>
              <w:ind w:firstLine="400" w:firstLineChars="200"/>
              <w:rPr>
                <w:rFonts w:ascii="Calibri" w:hAnsi="Calibri"/>
                <w:sz w:val="20"/>
                <w:szCs w:val="20"/>
              </w:rPr>
            </w:pPr>
            <w:r>
              <w:rPr>
                <w:rFonts w:ascii="Calibri" w:hAnsi="Calibri"/>
                <w:sz w:val="20"/>
                <w:szCs w:val="20"/>
              </w:rPr>
              <w:t>2.本期增加</w:t>
            </w:r>
            <w:r>
              <w:rPr>
                <w:rFonts w:hint="eastAsia" w:ascii="Calibri" w:hAnsi="Calibri"/>
                <w:sz w:val="20"/>
                <w:szCs w:val="20"/>
              </w:rPr>
              <w:t>金额</w:t>
            </w:r>
          </w:p>
        </w:tc>
        <w:tc>
          <w:tcPr>
            <w:tcW w:w="1686" w:type="dxa"/>
            <w:vAlign w:val="center"/>
          </w:tcPr>
          <w:p w14:paraId="649B69CF">
            <w:pPr>
              <w:jc w:val="right"/>
              <w:rPr>
                <w:rFonts w:ascii="Calibri" w:hAnsi="Calibri"/>
                <w:sz w:val="20"/>
                <w:szCs w:val="20"/>
              </w:rPr>
            </w:pPr>
            <w:r>
              <w:rPr>
                <w:rFonts w:ascii="Calibri" w:hAnsi="Calibri"/>
                <w:sz w:val="20"/>
                <w:szCs w:val="20"/>
              </w:rPr>
              <w:t>6,087,148.63</w:t>
            </w:r>
          </w:p>
        </w:tc>
        <w:tc>
          <w:tcPr>
            <w:tcW w:w="1805" w:type="dxa"/>
            <w:vAlign w:val="center"/>
          </w:tcPr>
          <w:p w14:paraId="45AABFA7">
            <w:pPr>
              <w:jc w:val="right"/>
              <w:rPr>
                <w:rFonts w:ascii="Calibri" w:hAnsi="Calibri"/>
                <w:sz w:val="20"/>
                <w:szCs w:val="20"/>
              </w:rPr>
            </w:pPr>
            <w:r>
              <w:rPr>
                <w:rFonts w:ascii="Calibri" w:hAnsi="Calibri"/>
                <w:sz w:val="20"/>
                <w:szCs w:val="20"/>
              </w:rPr>
              <w:t>54,392,351.44</w:t>
            </w:r>
          </w:p>
        </w:tc>
        <w:tc>
          <w:tcPr>
            <w:tcW w:w="1996" w:type="dxa"/>
            <w:vAlign w:val="center"/>
          </w:tcPr>
          <w:p w14:paraId="38F18AE4">
            <w:pPr>
              <w:jc w:val="right"/>
              <w:rPr>
                <w:rFonts w:ascii="Calibri" w:hAnsi="Calibri"/>
                <w:sz w:val="20"/>
                <w:szCs w:val="20"/>
              </w:rPr>
            </w:pPr>
            <w:r>
              <w:rPr>
                <w:rFonts w:ascii="Calibri" w:hAnsi="Calibri"/>
                <w:sz w:val="20"/>
                <w:szCs w:val="20"/>
              </w:rPr>
              <w:t>1,567,841.48</w:t>
            </w:r>
          </w:p>
        </w:tc>
        <w:tc>
          <w:tcPr>
            <w:tcW w:w="1976" w:type="dxa"/>
            <w:vAlign w:val="center"/>
          </w:tcPr>
          <w:p w14:paraId="1D7D0539">
            <w:pPr>
              <w:jc w:val="right"/>
              <w:rPr>
                <w:rFonts w:ascii="Calibri" w:hAnsi="Calibri"/>
                <w:sz w:val="20"/>
                <w:szCs w:val="20"/>
              </w:rPr>
            </w:pPr>
            <w:r>
              <w:rPr>
                <w:rFonts w:ascii="Calibri" w:hAnsi="Calibri"/>
                <w:sz w:val="20"/>
                <w:szCs w:val="20"/>
              </w:rPr>
              <w:t>62,047,341.55</w:t>
            </w:r>
          </w:p>
        </w:tc>
      </w:tr>
      <w:tr w14:paraId="4AA0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45781A8E">
            <w:pPr>
              <w:ind w:firstLine="400" w:firstLineChars="200"/>
              <w:rPr>
                <w:rFonts w:ascii="Calibri" w:hAnsi="Calibri"/>
                <w:sz w:val="20"/>
                <w:szCs w:val="20"/>
              </w:rPr>
            </w:pPr>
            <w:r>
              <w:rPr>
                <w:rFonts w:hint="eastAsia" w:ascii="Calibri" w:hAnsi="Calibri"/>
                <w:sz w:val="20"/>
                <w:szCs w:val="20"/>
              </w:rPr>
              <w:t>（1）</w:t>
            </w:r>
            <w:r>
              <w:rPr>
                <w:rFonts w:ascii="Calibri" w:hAnsi="Calibri"/>
                <w:sz w:val="20"/>
                <w:szCs w:val="20"/>
              </w:rPr>
              <w:t>计提</w:t>
            </w:r>
          </w:p>
        </w:tc>
        <w:tc>
          <w:tcPr>
            <w:tcW w:w="1686" w:type="dxa"/>
            <w:vAlign w:val="center"/>
          </w:tcPr>
          <w:p w14:paraId="12FDDDA0">
            <w:pPr>
              <w:jc w:val="right"/>
              <w:rPr>
                <w:rFonts w:ascii="Calibri" w:hAnsi="Calibri"/>
                <w:sz w:val="20"/>
                <w:szCs w:val="20"/>
              </w:rPr>
            </w:pPr>
            <w:r>
              <w:rPr>
                <w:rFonts w:ascii="Calibri" w:hAnsi="Calibri"/>
                <w:sz w:val="20"/>
                <w:szCs w:val="20"/>
              </w:rPr>
              <w:t>5,421,774.56</w:t>
            </w:r>
          </w:p>
        </w:tc>
        <w:tc>
          <w:tcPr>
            <w:tcW w:w="1805" w:type="dxa"/>
            <w:vAlign w:val="center"/>
          </w:tcPr>
          <w:p w14:paraId="064CBCC5">
            <w:pPr>
              <w:jc w:val="right"/>
              <w:rPr>
                <w:rFonts w:ascii="Calibri" w:hAnsi="Calibri"/>
                <w:sz w:val="20"/>
                <w:szCs w:val="20"/>
              </w:rPr>
            </w:pPr>
            <w:r>
              <w:rPr>
                <w:rFonts w:ascii="Calibri" w:hAnsi="Calibri"/>
                <w:sz w:val="20"/>
                <w:szCs w:val="20"/>
              </w:rPr>
              <w:t>54,392,351.44</w:t>
            </w:r>
          </w:p>
        </w:tc>
        <w:tc>
          <w:tcPr>
            <w:tcW w:w="1996" w:type="dxa"/>
            <w:vAlign w:val="center"/>
          </w:tcPr>
          <w:p w14:paraId="4DE712B9">
            <w:pPr>
              <w:jc w:val="right"/>
              <w:rPr>
                <w:rFonts w:ascii="Calibri" w:hAnsi="Calibri"/>
                <w:sz w:val="20"/>
                <w:szCs w:val="20"/>
              </w:rPr>
            </w:pPr>
            <w:r>
              <w:rPr>
                <w:rFonts w:ascii="Calibri" w:hAnsi="Calibri"/>
                <w:sz w:val="20"/>
                <w:szCs w:val="20"/>
              </w:rPr>
              <w:t>1,567,841.48</w:t>
            </w:r>
          </w:p>
        </w:tc>
        <w:tc>
          <w:tcPr>
            <w:tcW w:w="1976" w:type="dxa"/>
            <w:vAlign w:val="center"/>
          </w:tcPr>
          <w:p w14:paraId="64B7E5A6">
            <w:pPr>
              <w:jc w:val="right"/>
              <w:rPr>
                <w:rFonts w:ascii="Calibri" w:hAnsi="Calibri"/>
                <w:sz w:val="20"/>
                <w:szCs w:val="20"/>
              </w:rPr>
            </w:pPr>
            <w:r>
              <w:rPr>
                <w:rFonts w:ascii="Calibri" w:hAnsi="Calibri"/>
                <w:sz w:val="20"/>
                <w:szCs w:val="20"/>
              </w:rPr>
              <w:t>61,381,967.48</w:t>
            </w:r>
          </w:p>
        </w:tc>
      </w:tr>
      <w:tr w14:paraId="4634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305" w:type="dxa"/>
            <w:vAlign w:val="center"/>
          </w:tcPr>
          <w:p w14:paraId="35FAD0CB">
            <w:pPr>
              <w:ind w:firstLine="400" w:firstLineChars="200"/>
              <w:rPr>
                <w:rFonts w:ascii="Calibri" w:hAnsi="Calibri"/>
                <w:sz w:val="20"/>
                <w:szCs w:val="20"/>
              </w:rPr>
            </w:pPr>
            <w:r>
              <w:rPr>
                <w:rFonts w:hint="eastAsia" w:ascii="Calibri" w:hAnsi="Calibri"/>
                <w:sz w:val="20"/>
                <w:szCs w:val="20"/>
              </w:rPr>
              <w:t>（2）投资性房地产转入</w:t>
            </w:r>
          </w:p>
        </w:tc>
        <w:tc>
          <w:tcPr>
            <w:tcW w:w="1686" w:type="dxa"/>
            <w:vAlign w:val="center"/>
          </w:tcPr>
          <w:p w14:paraId="079FADEC">
            <w:pPr>
              <w:jc w:val="right"/>
              <w:rPr>
                <w:rFonts w:ascii="Calibri" w:hAnsi="Calibri"/>
                <w:sz w:val="20"/>
                <w:szCs w:val="20"/>
              </w:rPr>
            </w:pPr>
            <w:r>
              <w:rPr>
                <w:rFonts w:ascii="Calibri" w:hAnsi="Calibri"/>
                <w:sz w:val="20"/>
                <w:szCs w:val="20"/>
              </w:rPr>
              <w:t>665,374.07</w:t>
            </w:r>
          </w:p>
        </w:tc>
        <w:tc>
          <w:tcPr>
            <w:tcW w:w="1805" w:type="dxa"/>
            <w:vAlign w:val="center"/>
          </w:tcPr>
          <w:p w14:paraId="6FC57FF3">
            <w:pPr>
              <w:jc w:val="right"/>
              <w:rPr>
                <w:rFonts w:ascii="Calibri" w:hAnsi="Calibri"/>
                <w:sz w:val="20"/>
                <w:szCs w:val="20"/>
              </w:rPr>
            </w:pPr>
          </w:p>
        </w:tc>
        <w:tc>
          <w:tcPr>
            <w:tcW w:w="1996" w:type="dxa"/>
            <w:vAlign w:val="center"/>
          </w:tcPr>
          <w:p w14:paraId="34978005">
            <w:pPr>
              <w:jc w:val="right"/>
              <w:rPr>
                <w:rFonts w:ascii="Calibri" w:hAnsi="Calibri"/>
                <w:sz w:val="20"/>
                <w:szCs w:val="20"/>
              </w:rPr>
            </w:pPr>
          </w:p>
        </w:tc>
        <w:tc>
          <w:tcPr>
            <w:tcW w:w="1976" w:type="dxa"/>
            <w:vAlign w:val="center"/>
          </w:tcPr>
          <w:p w14:paraId="14DEFB54">
            <w:pPr>
              <w:jc w:val="right"/>
              <w:rPr>
                <w:rFonts w:ascii="Calibri" w:hAnsi="Calibri"/>
                <w:sz w:val="20"/>
                <w:szCs w:val="20"/>
              </w:rPr>
            </w:pPr>
            <w:r>
              <w:rPr>
                <w:rFonts w:ascii="Calibri" w:hAnsi="Calibri"/>
                <w:sz w:val="20"/>
                <w:szCs w:val="20"/>
              </w:rPr>
              <w:t>665,374.07</w:t>
            </w:r>
          </w:p>
        </w:tc>
      </w:tr>
      <w:tr w14:paraId="3EEA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5F51DDBA">
            <w:pPr>
              <w:ind w:firstLine="400" w:firstLineChars="200"/>
              <w:rPr>
                <w:rFonts w:ascii="Calibri" w:hAnsi="Calibri"/>
                <w:sz w:val="20"/>
                <w:szCs w:val="20"/>
              </w:rPr>
            </w:pPr>
            <w:r>
              <w:rPr>
                <w:rFonts w:hint="eastAsia" w:ascii="Calibri" w:hAnsi="Calibri"/>
                <w:sz w:val="20"/>
                <w:szCs w:val="20"/>
              </w:rPr>
              <w:t>3.</w:t>
            </w:r>
            <w:r>
              <w:rPr>
                <w:rFonts w:ascii="Calibri" w:hAnsi="Calibri"/>
                <w:sz w:val="20"/>
                <w:szCs w:val="20"/>
              </w:rPr>
              <w:t>本期减少</w:t>
            </w:r>
            <w:r>
              <w:rPr>
                <w:rFonts w:hint="eastAsia" w:ascii="Calibri" w:hAnsi="Calibri"/>
                <w:sz w:val="20"/>
                <w:szCs w:val="20"/>
              </w:rPr>
              <w:t>金额</w:t>
            </w:r>
          </w:p>
        </w:tc>
        <w:tc>
          <w:tcPr>
            <w:tcW w:w="1686" w:type="dxa"/>
            <w:vAlign w:val="center"/>
          </w:tcPr>
          <w:p w14:paraId="1C6C3DD4">
            <w:pPr>
              <w:jc w:val="right"/>
              <w:rPr>
                <w:rFonts w:ascii="Calibri" w:hAnsi="Calibri"/>
                <w:sz w:val="20"/>
                <w:szCs w:val="20"/>
              </w:rPr>
            </w:pPr>
          </w:p>
        </w:tc>
        <w:tc>
          <w:tcPr>
            <w:tcW w:w="1805" w:type="dxa"/>
            <w:vAlign w:val="center"/>
          </w:tcPr>
          <w:p w14:paraId="437C4006">
            <w:pPr>
              <w:jc w:val="right"/>
              <w:rPr>
                <w:rFonts w:ascii="Calibri" w:hAnsi="Calibri"/>
                <w:sz w:val="20"/>
                <w:szCs w:val="20"/>
              </w:rPr>
            </w:pPr>
            <w:r>
              <w:rPr>
                <w:rFonts w:ascii="Calibri" w:hAnsi="Calibri"/>
                <w:sz w:val="20"/>
                <w:szCs w:val="20"/>
              </w:rPr>
              <w:t>9,399,999.91</w:t>
            </w:r>
          </w:p>
        </w:tc>
        <w:tc>
          <w:tcPr>
            <w:tcW w:w="1996" w:type="dxa"/>
            <w:vAlign w:val="center"/>
          </w:tcPr>
          <w:p w14:paraId="73C8B33B">
            <w:pPr>
              <w:jc w:val="right"/>
              <w:rPr>
                <w:rFonts w:ascii="Calibri" w:hAnsi="Calibri"/>
                <w:sz w:val="20"/>
                <w:szCs w:val="20"/>
              </w:rPr>
            </w:pPr>
            <w:r>
              <w:rPr>
                <w:rFonts w:ascii="Calibri" w:hAnsi="Calibri"/>
                <w:sz w:val="20"/>
                <w:szCs w:val="20"/>
              </w:rPr>
              <w:t>251,415.93</w:t>
            </w:r>
          </w:p>
        </w:tc>
        <w:tc>
          <w:tcPr>
            <w:tcW w:w="1976" w:type="dxa"/>
            <w:vAlign w:val="center"/>
          </w:tcPr>
          <w:p w14:paraId="5E5274F7">
            <w:pPr>
              <w:jc w:val="right"/>
              <w:rPr>
                <w:rFonts w:ascii="Calibri" w:hAnsi="Calibri"/>
                <w:sz w:val="20"/>
                <w:szCs w:val="20"/>
              </w:rPr>
            </w:pPr>
            <w:r>
              <w:rPr>
                <w:rFonts w:ascii="Calibri" w:hAnsi="Calibri"/>
                <w:sz w:val="20"/>
                <w:szCs w:val="20"/>
              </w:rPr>
              <w:t>9,651,415.84</w:t>
            </w:r>
          </w:p>
        </w:tc>
      </w:tr>
      <w:tr w14:paraId="2F00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2C81296A">
            <w:pPr>
              <w:ind w:firstLine="400" w:firstLineChars="200"/>
              <w:rPr>
                <w:rFonts w:ascii="Calibri" w:hAnsi="Calibri"/>
                <w:sz w:val="20"/>
                <w:szCs w:val="20"/>
              </w:rPr>
            </w:pPr>
            <w:r>
              <w:rPr>
                <w:rFonts w:hint="eastAsia" w:ascii="Calibri" w:hAnsi="Calibri"/>
                <w:sz w:val="20"/>
                <w:szCs w:val="20"/>
              </w:rPr>
              <w:t>（1）处置</w:t>
            </w:r>
          </w:p>
        </w:tc>
        <w:tc>
          <w:tcPr>
            <w:tcW w:w="1686" w:type="dxa"/>
            <w:vAlign w:val="center"/>
          </w:tcPr>
          <w:p w14:paraId="46D99828">
            <w:pPr>
              <w:jc w:val="right"/>
              <w:rPr>
                <w:rFonts w:ascii="Calibri" w:hAnsi="Calibri"/>
                <w:sz w:val="20"/>
                <w:szCs w:val="20"/>
              </w:rPr>
            </w:pPr>
          </w:p>
        </w:tc>
        <w:tc>
          <w:tcPr>
            <w:tcW w:w="1805" w:type="dxa"/>
            <w:vAlign w:val="center"/>
          </w:tcPr>
          <w:p w14:paraId="58A8647B">
            <w:pPr>
              <w:jc w:val="right"/>
              <w:rPr>
                <w:rFonts w:ascii="Calibri" w:hAnsi="Calibri"/>
                <w:sz w:val="20"/>
                <w:szCs w:val="20"/>
              </w:rPr>
            </w:pPr>
          </w:p>
        </w:tc>
        <w:tc>
          <w:tcPr>
            <w:tcW w:w="1996" w:type="dxa"/>
            <w:vAlign w:val="center"/>
          </w:tcPr>
          <w:p w14:paraId="5859A15E">
            <w:pPr>
              <w:jc w:val="right"/>
              <w:rPr>
                <w:rFonts w:ascii="Calibri" w:hAnsi="Calibri"/>
                <w:sz w:val="20"/>
                <w:szCs w:val="20"/>
              </w:rPr>
            </w:pPr>
            <w:r>
              <w:rPr>
                <w:rFonts w:ascii="Calibri" w:hAnsi="Calibri"/>
                <w:sz w:val="20"/>
                <w:szCs w:val="20"/>
              </w:rPr>
              <w:t>251,415.93</w:t>
            </w:r>
          </w:p>
        </w:tc>
        <w:tc>
          <w:tcPr>
            <w:tcW w:w="1976" w:type="dxa"/>
            <w:vAlign w:val="center"/>
          </w:tcPr>
          <w:p w14:paraId="6BD63DE3">
            <w:pPr>
              <w:jc w:val="right"/>
              <w:rPr>
                <w:rFonts w:ascii="Calibri" w:hAnsi="Calibri"/>
                <w:sz w:val="20"/>
                <w:szCs w:val="20"/>
              </w:rPr>
            </w:pPr>
            <w:r>
              <w:rPr>
                <w:rFonts w:ascii="Calibri" w:hAnsi="Calibri"/>
                <w:sz w:val="20"/>
                <w:szCs w:val="20"/>
              </w:rPr>
              <w:t>251,415.93</w:t>
            </w:r>
          </w:p>
        </w:tc>
      </w:tr>
      <w:tr w14:paraId="7821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2305" w:type="dxa"/>
            <w:vAlign w:val="center"/>
          </w:tcPr>
          <w:p w14:paraId="15BC0B9E">
            <w:pPr>
              <w:ind w:firstLine="400" w:firstLineChars="200"/>
              <w:rPr>
                <w:rFonts w:ascii="Calibri" w:hAnsi="Calibri"/>
                <w:sz w:val="20"/>
                <w:szCs w:val="20"/>
              </w:rPr>
            </w:pPr>
            <w:r>
              <w:rPr>
                <w:rFonts w:hint="eastAsia" w:ascii="Calibri" w:hAnsi="Calibri"/>
                <w:sz w:val="20"/>
                <w:szCs w:val="20"/>
              </w:rPr>
              <w:t>（2）终止确认</w:t>
            </w:r>
          </w:p>
        </w:tc>
        <w:tc>
          <w:tcPr>
            <w:tcW w:w="1686" w:type="dxa"/>
            <w:vAlign w:val="center"/>
          </w:tcPr>
          <w:p w14:paraId="48C1C6A8">
            <w:pPr>
              <w:jc w:val="right"/>
              <w:rPr>
                <w:rFonts w:ascii="Calibri" w:hAnsi="Calibri"/>
                <w:sz w:val="20"/>
                <w:szCs w:val="20"/>
              </w:rPr>
            </w:pPr>
            <w:r>
              <w:rPr>
                <w:rFonts w:hint="eastAsia" w:ascii="Calibri" w:hAnsi="Calibri"/>
                <w:sz w:val="20"/>
                <w:szCs w:val="20"/>
              </w:rPr>
              <w:t>　</w:t>
            </w:r>
          </w:p>
        </w:tc>
        <w:tc>
          <w:tcPr>
            <w:tcW w:w="1805" w:type="dxa"/>
            <w:vAlign w:val="center"/>
          </w:tcPr>
          <w:p w14:paraId="4D3FCF4B">
            <w:pPr>
              <w:jc w:val="right"/>
              <w:rPr>
                <w:rFonts w:ascii="Calibri" w:hAnsi="Calibri"/>
                <w:sz w:val="20"/>
                <w:szCs w:val="20"/>
              </w:rPr>
            </w:pPr>
            <w:r>
              <w:rPr>
                <w:rFonts w:ascii="Calibri" w:hAnsi="Calibri"/>
                <w:sz w:val="20"/>
                <w:szCs w:val="20"/>
              </w:rPr>
              <w:t>9,399,999.91</w:t>
            </w:r>
          </w:p>
        </w:tc>
        <w:tc>
          <w:tcPr>
            <w:tcW w:w="1996" w:type="dxa"/>
            <w:vAlign w:val="center"/>
          </w:tcPr>
          <w:p w14:paraId="0494986B">
            <w:pPr>
              <w:jc w:val="right"/>
              <w:rPr>
                <w:rFonts w:ascii="Calibri" w:hAnsi="Calibri"/>
                <w:sz w:val="20"/>
                <w:szCs w:val="20"/>
              </w:rPr>
            </w:pPr>
          </w:p>
        </w:tc>
        <w:tc>
          <w:tcPr>
            <w:tcW w:w="1976" w:type="dxa"/>
            <w:vAlign w:val="center"/>
          </w:tcPr>
          <w:p w14:paraId="2CE4067A">
            <w:pPr>
              <w:jc w:val="right"/>
              <w:rPr>
                <w:rFonts w:ascii="Calibri" w:hAnsi="Calibri"/>
                <w:sz w:val="20"/>
                <w:szCs w:val="20"/>
              </w:rPr>
            </w:pPr>
            <w:r>
              <w:rPr>
                <w:rFonts w:ascii="Calibri" w:hAnsi="Calibri"/>
                <w:sz w:val="20"/>
                <w:szCs w:val="20"/>
              </w:rPr>
              <w:t>9,399,999.91</w:t>
            </w:r>
          </w:p>
        </w:tc>
      </w:tr>
      <w:tr w14:paraId="1B28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4A698FEB">
            <w:pPr>
              <w:ind w:firstLine="400" w:firstLineChars="200"/>
              <w:rPr>
                <w:rFonts w:ascii="Calibri" w:hAnsi="Calibri"/>
                <w:sz w:val="20"/>
                <w:szCs w:val="20"/>
              </w:rPr>
            </w:pPr>
            <w:r>
              <w:rPr>
                <w:rFonts w:hint="eastAsia" w:ascii="Calibri" w:hAnsi="Calibri"/>
                <w:sz w:val="20"/>
                <w:szCs w:val="20"/>
              </w:rPr>
              <w:t>4.</w:t>
            </w:r>
            <w:r>
              <w:rPr>
                <w:rFonts w:ascii="Calibri" w:hAnsi="Calibri"/>
                <w:sz w:val="20"/>
                <w:szCs w:val="20"/>
              </w:rPr>
              <w:t>期末余额</w:t>
            </w:r>
          </w:p>
        </w:tc>
        <w:tc>
          <w:tcPr>
            <w:tcW w:w="1686" w:type="dxa"/>
            <w:vAlign w:val="center"/>
          </w:tcPr>
          <w:p w14:paraId="5182C0F3">
            <w:pPr>
              <w:jc w:val="right"/>
              <w:rPr>
                <w:rFonts w:ascii="Calibri" w:hAnsi="Calibri"/>
                <w:sz w:val="20"/>
                <w:szCs w:val="20"/>
              </w:rPr>
            </w:pPr>
            <w:r>
              <w:rPr>
                <w:rFonts w:ascii="Calibri" w:hAnsi="Calibri"/>
                <w:sz w:val="20"/>
                <w:szCs w:val="20"/>
              </w:rPr>
              <w:t>36,568,604.81</w:t>
            </w:r>
          </w:p>
        </w:tc>
        <w:tc>
          <w:tcPr>
            <w:tcW w:w="1805" w:type="dxa"/>
            <w:vAlign w:val="center"/>
          </w:tcPr>
          <w:p w14:paraId="5B7CE3E6">
            <w:pPr>
              <w:jc w:val="right"/>
              <w:rPr>
                <w:rFonts w:ascii="Calibri" w:hAnsi="Calibri"/>
                <w:sz w:val="20"/>
                <w:szCs w:val="20"/>
              </w:rPr>
            </w:pPr>
            <w:r>
              <w:rPr>
                <w:rFonts w:ascii="Calibri" w:hAnsi="Calibri"/>
                <w:sz w:val="20"/>
                <w:szCs w:val="20"/>
              </w:rPr>
              <w:t>172,850,772.92</w:t>
            </w:r>
          </w:p>
        </w:tc>
        <w:tc>
          <w:tcPr>
            <w:tcW w:w="1996" w:type="dxa"/>
            <w:vAlign w:val="center"/>
          </w:tcPr>
          <w:p w14:paraId="77A32C97">
            <w:pPr>
              <w:jc w:val="right"/>
              <w:rPr>
                <w:rFonts w:ascii="Calibri" w:hAnsi="Calibri"/>
                <w:sz w:val="20"/>
                <w:szCs w:val="20"/>
              </w:rPr>
            </w:pPr>
            <w:r>
              <w:rPr>
                <w:rFonts w:ascii="Calibri" w:hAnsi="Calibri"/>
                <w:sz w:val="20"/>
                <w:szCs w:val="20"/>
              </w:rPr>
              <w:t>9,482,804.08</w:t>
            </w:r>
          </w:p>
        </w:tc>
        <w:tc>
          <w:tcPr>
            <w:tcW w:w="1976" w:type="dxa"/>
            <w:vAlign w:val="center"/>
          </w:tcPr>
          <w:p w14:paraId="7F4DF56E">
            <w:pPr>
              <w:jc w:val="right"/>
              <w:rPr>
                <w:rFonts w:ascii="Calibri" w:hAnsi="Calibri"/>
                <w:sz w:val="20"/>
                <w:szCs w:val="20"/>
              </w:rPr>
            </w:pPr>
            <w:r>
              <w:rPr>
                <w:rFonts w:ascii="Calibri" w:hAnsi="Calibri"/>
                <w:sz w:val="20"/>
                <w:szCs w:val="20"/>
              </w:rPr>
              <w:t>218,902,181.81</w:t>
            </w:r>
          </w:p>
        </w:tc>
      </w:tr>
      <w:tr w14:paraId="6C4C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f7d5f180eba449a29a01985d504a8cad"/>
            <w:id w:val="-1744092250"/>
          </w:sdtPr>
          <w:sdtContent>
            <w:tc>
              <w:tcPr>
                <w:tcW w:w="9768" w:type="dxa"/>
                <w:gridSpan w:val="5"/>
                <w:vAlign w:val="center"/>
              </w:tcPr>
              <w:p w14:paraId="758A65EA">
                <w:pPr>
                  <w:pStyle w:val="48"/>
                  <w:rPr>
                    <w:sz w:val="20"/>
                    <w:szCs w:val="20"/>
                  </w:rPr>
                </w:pPr>
                <w:r>
                  <w:rPr>
                    <w:sz w:val="20"/>
                    <w:szCs w:val="20"/>
                  </w:rPr>
                  <w:t>三、减值准备</w:t>
                </w:r>
              </w:p>
            </w:tc>
          </w:sdtContent>
        </w:sdt>
      </w:tr>
      <w:tr w14:paraId="2EE5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120F58EF">
            <w:pPr>
              <w:ind w:firstLine="400" w:firstLineChars="200"/>
              <w:rPr>
                <w:rFonts w:ascii="Calibri" w:hAnsi="Calibri"/>
                <w:sz w:val="20"/>
                <w:szCs w:val="20"/>
              </w:rPr>
            </w:pPr>
            <w:r>
              <w:rPr>
                <w:rFonts w:hint="eastAsia" w:ascii="Calibri" w:hAnsi="Calibri"/>
                <w:sz w:val="20"/>
                <w:szCs w:val="20"/>
              </w:rPr>
              <w:t>1.期</w:t>
            </w:r>
            <w:r>
              <w:rPr>
                <w:rFonts w:ascii="Calibri" w:hAnsi="Calibri"/>
                <w:sz w:val="20"/>
                <w:szCs w:val="20"/>
              </w:rPr>
              <w:t>初余额</w:t>
            </w:r>
          </w:p>
        </w:tc>
        <w:tc>
          <w:tcPr>
            <w:tcW w:w="1686" w:type="dxa"/>
            <w:vAlign w:val="center"/>
          </w:tcPr>
          <w:p w14:paraId="5FD72E41">
            <w:pPr>
              <w:jc w:val="right"/>
              <w:rPr>
                <w:rFonts w:ascii="Calibri" w:hAnsi="Calibri"/>
                <w:sz w:val="20"/>
                <w:szCs w:val="20"/>
              </w:rPr>
            </w:pPr>
          </w:p>
        </w:tc>
        <w:tc>
          <w:tcPr>
            <w:tcW w:w="1805" w:type="dxa"/>
            <w:vAlign w:val="center"/>
          </w:tcPr>
          <w:p w14:paraId="065B85F6">
            <w:pPr>
              <w:jc w:val="right"/>
              <w:rPr>
                <w:rFonts w:ascii="Calibri" w:hAnsi="Calibri"/>
                <w:sz w:val="20"/>
                <w:szCs w:val="20"/>
              </w:rPr>
            </w:pPr>
          </w:p>
        </w:tc>
        <w:tc>
          <w:tcPr>
            <w:tcW w:w="1996" w:type="dxa"/>
            <w:vAlign w:val="center"/>
          </w:tcPr>
          <w:p w14:paraId="16F0801D">
            <w:pPr>
              <w:jc w:val="right"/>
              <w:rPr>
                <w:rFonts w:ascii="Calibri" w:hAnsi="Calibri"/>
                <w:sz w:val="20"/>
                <w:szCs w:val="20"/>
              </w:rPr>
            </w:pPr>
          </w:p>
        </w:tc>
        <w:tc>
          <w:tcPr>
            <w:tcW w:w="1976" w:type="dxa"/>
            <w:vAlign w:val="center"/>
          </w:tcPr>
          <w:p w14:paraId="0D3417AB">
            <w:pPr>
              <w:jc w:val="right"/>
              <w:rPr>
                <w:rFonts w:ascii="Calibri" w:hAnsi="Calibri"/>
                <w:sz w:val="20"/>
                <w:szCs w:val="20"/>
              </w:rPr>
            </w:pPr>
          </w:p>
        </w:tc>
      </w:tr>
      <w:tr w14:paraId="18E0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572EAFE3">
            <w:pPr>
              <w:ind w:firstLine="400" w:firstLineChars="200"/>
              <w:rPr>
                <w:rFonts w:ascii="Calibri" w:hAnsi="Calibri"/>
                <w:sz w:val="20"/>
                <w:szCs w:val="20"/>
              </w:rPr>
            </w:pPr>
            <w:r>
              <w:rPr>
                <w:rFonts w:ascii="Calibri" w:hAnsi="Calibri"/>
                <w:sz w:val="20"/>
                <w:szCs w:val="20"/>
              </w:rPr>
              <w:t>2.本期增加</w:t>
            </w:r>
            <w:r>
              <w:rPr>
                <w:rFonts w:hint="eastAsia" w:ascii="Calibri" w:hAnsi="Calibri"/>
                <w:sz w:val="20"/>
                <w:szCs w:val="20"/>
              </w:rPr>
              <w:t>金额</w:t>
            </w:r>
          </w:p>
        </w:tc>
        <w:tc>
          <w:tcPr>
            <w:tcW w:w="1686" w:type="dxa"/>
            <w:vAlign w:val="center"/>
          </w:tcPr>
          <w:p w14:paraId="551B13B5">
            <w:pPr>
              <w:jc w:val="right"/>
              <w:rPr>
                <w:rFonts w:ascii="Calibri" w:hAnsi="Calibri"/>
                <w:sz w:val="20"/>
                <w:szCs w:val="20"/>
              </w:rPr>
            </w:pPr>
          </w:p>
        </w:tc>
        <w:tc>
          <w:tcPr>
            <w:tcW w:w="1805" w:type="dxa"/>
            <w:vAlign w:val="center"/>
          </w:tcPr>
          <w:p w14:paraId="3FC30F4F">
            <w:pPr>
              <w:jc w:val="right"/>
              <w:rPr>
                <w:rFonts w:ascii="Calibri" w:hAnsi="Calibri"/>
                <w:sz w:val="20"/>
                <w:szCs w:val="20"/>
              </w:rPr>
            </w:pPr>
          </w:p>
        </w:tc>
        <w:tc>
          <w:tcPr>
            <w:tcW w:w="1996" w:type="dxa"/>
            <w:vAlign w:val="center"/>
          </w:tcPr>
          <w:p w14:paraId="199D49A3">
            <w:pPr>
              <w:jc w:val="right"/>
              <w:rPr>
                <w:rFonts w:ascii="Calibri" w:hAnsi="Calibri"/>
                <w:sz w:val="20"/>
                <w:szCs w:val="20"/>
              </w:rPr>
            </w:pPr>
          </w:p>
        </w:tc>
        <w:tc>
          <w:tcPr>
            <w:tcW w:w="1976" w:type="dxa"/>
            <w:vAlign w:val="center"/>
          </w:tcPr>
          <w:p w14:paraId="389DFBE9">
            <w:pPr>
              <w:jc w:val="right"/>
              <w:rPr>
                <w:rFonts w:ascii="Calibri" w:hAnsi="Calibri"/>
                <w:sz w:val="20"/>
                <w:szCs w:val="20"/>
              </w:rPr>
            </w:pPr>
          </w:p>
        </w:tc>
      </w:tr>
      <w:tr w14:paraId="0683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66689894">
            <w:pPr>
              <w:ind w:firstLine="400" w:firstLineChars="200"/>
              <w:rPr>
                <w:rFonts w:ascii="Calibri" w:hAnsi="Calibri"/>
                <w:sz w:val="20"/>
                <w:szCs w:val="20"/>
              </w:rPr>
            </w:pPr>
            <w:r>
              <w:rPr>
                <w:rFonts w:hint="eastAsia" w:ascii="Calibri" w:hAnsi="Calibri"/>
                <w:sz w:val="20"/>
                <w:szCs w:val="20"/>
              </w:rPr>
              <w:t>（1）</w:t>
            </w:r>
            <w:r>
              <w:rPr>
                <w:rFonts w:ascii="Calibri" w:hAnsi="Calibri"/>
                <w:sz w:val="20"/>
                <w:szCs w:val="20"/>
              </w:rPr>
              <w:t>计提</w:t>
            </w:r>
          </w:p>
        </w:tc>
        <w:tc>
          <w:tcPr>
            <w:tcW w:w="1686" w:type="dxa"/>
            <w:vAlign w:val="center"/>
          </w:tcPr>
          <w:p w14:paraId="0318A11D">
            <w:pPr>
              <w:jc w:val="right"/>
              <w:rPr>
                <w:rFonts w:ascii="Calibri" w:hAnsi="Calibri"/>
                <w:sz w:val="20"/>
                <w:szCs w:val="20"/>
              </w:rPr>
            </w:pPr>
          </w:p>
        </w:tc>
        <w:tc>
          <w:tcPr>
            <w:tcW w:w="1805" w:type="dxa"/>
            <w:vAlign w:val="center"/>
          </w:tcPr>
          <w:p w14:paraId="511A43D1">
            <w:pPr>
              <w:jc w:val="right"/>
              <w:rPr>
                <w:rFonts w:ascii="Calibri" w:hAnsi="Calibri"/>
                <w:sz w:val="20"/>
                <w:szCs w:val="20"/>
              </w:rPr>
            </w:pPr>
          </w:p>
        </w:tc>
        <w:tc>
          <w:tcPr>
            <w:tcW w:w="1996" w:type="dxa"/>
            <w:vAlign w:val="center"/>
          </w:tcPr>
          <w:p w14:paraId="4F53295E">
            <w:pPr>
              <w:jc w:val="right"/>
              <w:rPr>
                <w:rFonts w:ascii="Calibri" w:hAnsi="Calibri"/>
                <w:sz w:val="20"/>
                <w:szCs w:val="20"/>
              </w:rPr>
            </w:pPr>
          </w:p>
        </w:tc>
        <w:tc>
          <w:tcPr>
            <w:tcW w:w="1976" w:type="dxa"/>
            <w:vAlign w:val="center"/>
          </w:tcPr>
          <w:p w14:paraId="5E48F532">
            <w:pPr>
              <w:jc w:val="right"/>
              <w:rPr>
                <w:rFonts w:ascii="Calibri" w:hAnsi="Calibri"/>
                <w:sz w:val="20"/>
                <w:szCs w:val="20"/>
              </w:rPr>
            </w:pPr>
          </w:p>
        </w:tc>
      </w:tr>
      <w:tr w14:paraId="4E33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620C34BE">
            <w:pPr>
              <w:ind w:firstLine="400" w:firstLineChars="200"/>
              <w:rPr>
                <w:rFonts w:ascii="Calibri" w:hAnsi="Calibri"/>
                <w:sz w:val="20"/>
                <w:szCs w:val="20"/>
              </w:rPr>
            </w:pPr>
            <w:r>
              <w:rPr>
                <w:rFonts w:hint="eastAsia" w:ascii="Calibri" w:hAnsi="Calibri"/>
                <w:sz w:val="20"/>
                <w:szCs w:val="20"/>
              </w:rPr>
              <w:t>3.</w:t>
            </w:r>
            <w:r>
              <w:rPr>
                <w:rFonts w:ascii="Calibri" w:hAnsi="Calibri"/>
                <w:sz w:val="20"/>
                <w:szCs w:val="20"/>
              </w:rPr>
              <w:t>本期减少</w:t>
            </w:r>
            <w:r>
              <w:rPr>
                <w:rFonts w:hint="eastAsia" w:ascii="Calibri" w:hAnsi="Calibri"/>
                <w:sz w:val="20"/>
                <w:szCs w:val="20"/>
              </w:rPr>
              <w:t>金额</w:t>
            </w:r>
          </w:p>
        </w:tc>
        <w:tc>
          <w:tcPr>
            <w:tcW w:w="1686" w:type="dxa"/>
            <w:vAlign w:val="center"/>
          </w:tcPr>
          <w:p w14:paraId="581B9592">
            <w:pPr>
              <w:jc w:val="right"/>
              <w:rPr>
                <w:rFonts w:ascii="Calibri" w:hAnsi="Calibri"/>
                <w:sz w:val="20"/>
                <w:szCs w:val="20"/>
              </w:rPr>
            </w:pPr>
          </w:p>
        </w:tc>
        <w:tc>
          <w:tcPr>
            <w:tcW w:w="1805" w:type="dxa"/>
            <w:vAlign w:val="center"/>
          </w:tcPr>
          <w:p w14:paraId="3191CA63">
            <w:pPr>
              <w:jc w:val="right"/>
              <w:rPr>
                <w:rFonts w:ascii="Calibri" w:hAnsi="Calibri"/>
                <w:sz w:val="20"/>
                <w:szCs w:val="20"/>
              </w:rPr>
            </w:pPr>
          </w:p>
        </w:tc>
        <w:tc>
          <w:tcPr>
            <w:tcW w:w="1996" w:type="dxa"/>
            <w:vAlign w:val="center"/>
          </w:tcPr>
          <w:p w14:paraId="2767E0B3">
            <w:pPr>
              <w:jc w:val="right"/>
              <w:rPr>
                <w:rFonts w:ascii="Calibri" w:hAnsi="Calibri"/>
                <w:sz w:val="20"/>
                <w:szCs w:val="20"/>
              </w:rPr>
            </w:pPr>
          </w:p>
        </w:tc>
        <w:tc>
          <w:tcPr>
            <w:tcW w:w="1976" w:type="dxa"/>
            <w:vAlign w:val="center"/>
          </w:tcPr>
          <w:p w14:paraId="75600DD5">
            <w:pPr>
              <w:jc w:val="right"/>
              <w:rPr>
                <w:rFonts w:ascii="Calibri" w:hAnsi="Calibri"/>
                <w:sz w:val="20"/>
                <w:szCs w:val="20"/>
              </w:rPr>
            </w:pPr>
          </w:p>
        </w:tc>
      </w:tr>
      <w:tr w14:paraId="6594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6E92AEFF">
            <w:pPr>
              <w:ind w:firstLine="400" w:firstLineChars="200"/>
              <w:rPr>
                <w:rFonts w:ascii="Calibri" w:hAnsi="Calibri"/>
                <w:sz w:val="20"/>
                <w:szCs w:val="20"/>
              </w:rPr>
            </w:pPr>
            <w:r>
              <w:rPr>
                <w:rFonts w:hint="eastAsia" w:ascii="Calibri" w:hAnsi="Calibri"/>
                <w:sz w:val="20"/>
                <w:szCs w:val="20"/>
              </w:rPr>
              <w:t>（1）处置</w:t>
            </w:r>
          </w:p>
        </w:tc>
        <w:tc>
          <w:tcPr>
            <w:tcW w:w="1686" w:type="dxa"/>
            <w:vAlign w:val="center"/>
          </w:tcPr>
          <w:p w14:paraId="20B44A4B">
            <w:pPr>
              <w:jc w:val="right"/>
              <w:rPr>
                <w:rFonts w:ascii="Calibri" w:hAnsi="Calibri"/>
                <w:sz w:val="20"/>
                <w:szCs w:val="20"/>
              </w:rPr>
            </w:pPr>
          </w:p>
        </w:tc>
        <w:tc>
          <w:tcPr>
            <w:tcW w:w="1805" w:type="dxa"/>
            <w:vAlign w:val="center"/>
          </w:tcPr>
          <w:p w14:paraId="538BA135">
            <w:pPr>
              <w:jc w:val="right"/>
              <w:rPr>
                <w:rFonts w:ascii="Calibri" w:hAnsi="Calibri"/>
                <w:sz w:val="20"/>
                <w:szCs w:val="20"/>
              </w:rPr>
            </w:pPr>
          </w:p>
        </w:tc>
        <w:tc>
          <w:tcPr>
            <w:tcW w:w="1996" w:type="dxa"/>
            <w:vAlign w:val="center"/>
          </w:tcPr>
          <w:p w14:paraId="5DFE716C">
            <w:pPr>
              <w:jc w:val="right"/>
              <w:rPr>
                <w:rFonts w:ascii="Calibri" w:hAnsi="Calibri"/>
                <w:sz w:val="20"/>
                <w:szCs w:val="20"/>
              </w:rPr>
            </w:pPr>
          </w:p>
        </w:tc>
        <w:tc>
          <w:tcPr>
            <w:tcW w:w="1976" w:type="dxa"/>
            <w:vAlign w:val="center"/>
          </w:tcPr>
          <w:p w14:paraId="47F0736D">
            <w:pPr>
              <w:jc w:val="right"/>
              <w:rPr>
                <w:rFonts w:ascii="Calibri" w:hAnsi="Calibri"/>
                <w:sz w:val="20"/>
                <w:szCs w:val="20"/>
              </w:rPr>
            </w:pPr>
          </w:p>
        </w:tc>
      </w:tr>
      <w:tr w14:paraId="049D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5532572B">
            <w:pPr>
              <w:ind w:firstLine="400" w:firstLineChars="200"/>
              <w:rPr>
                <w:rFonts w:ascii="Calibri" w:hAnsi="Calibri"/>
                <w:sz w:val="20"/>
                <w:szCs w:val="20"/>
              </w:rPr>
            </w:pPr>
            <w:r>
              <w:rPr>
                <w:rFonts w:hint="eastAsia" w:ascii="Calibri" w:hAnsi="Calibri"/>
                <w:sz w:val="20"/>
                <w:szCs w:val="20"/>
              </w:rPr>
              <w:t>4.</w:t>
            </w:r>
            <w:r>
              <w:rPr>
                <w:rFonts w:ascii="Calibri" w:hAnsi="Calibri"/>
                <w:sz w:val="20"/>
                <w:szCs w:val="20"/>
              </w:rPr>
              <w:t>期末余额</w:t>
            </w:r>
          </w:p>
        </w:tc>
        <w:tc>
          <w:tcPr>
            <w:tcW w:w="1686" w:type="dxa"/>
            <w:vAlign w:val="center"/>
          </w:tcPr>
          <w:p w14:paraId="12D1C48E">
            <w:pPr>
              <w:jc w:val="right"/>
              <w:rPr>
                <w:rFonts w:ascii="Calibri" w:hAnsi="Calibri"/>
                <w:sz w:val="20"/>
                <w:szCs w:val="20"/>
              </w:rPr>
            </w:pPr>
          </w:p>
        </w:tc>
        <w:tc>
          <w:tcPr>
            <w:tcW w:w="1805" w:type="dxa"/>
            <w:vAlign w:val="center"/>
          </w:tcPr>
          <w:p w14:paraId="55491E58">
            <w:pPr>
              <w:jc w:val="right"/>
              <w:rPr>
                <w:rFonts w:ascii="Calibri" w:hAnsi="Calibri"/>
                <w:sz w:val="20"/>
                <w:szCs w:val="20"/>
              </w:rPr>
            </w:pPr>
          </w:p>
        </w:tc>
        <w:tc>
          <w:tcPr>
            <w:tcW w:w="1996" w:type="dxa"/>
            <w:vAlign w:val="center"/>
          </w:tcPr>
          <w:p w14:paraId="1F096142">
            <w:pPr>
              <w:jc w:val="right"/>
              <w:rPr>
                <w:rFonts w:ascii="Calibri" w:hAnsi="Calibri"/>
                <w:sz w:val="20"/>
                <w:szCs w:val="20"/>
              </w:rPr>
            </w:pPr>
          </w:p>
        </w:tc>
        <w:tc>
          <w:tcPr>
            <w:tcW w:w="1976" w:type="dxa"/>
            <w:vAlign w:val="center"/>
          </w:tcPr>
          <w:p w14:paraId="54ED03E1">
            <w:pPr>
              <w:jc w:val="right"/>
              <w:rPr>
                <w:rFonts w:ascii="Calibri" w:hAnsi="Calibri"/>
                <w:sz w:val="20"/>
                <w:szCs w:val="20"/>
              </w:rPr>
            </w:pPr>
          </w:p>
        </w:tc>
      </w:tr>
      <w:tr w14:paraId="1183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4b0672b3afec475f9c6133950914fc81"/>
            <w:id w:val="-1811552295"/>
          </w:sdtPr>
          <w:sdtContent>
            <w:tc>
              <w:tcPr>
                <w:tcW w:w="9768" w:type="dxa"/>
                <w:gridSpan w:val="5"/>
                <w:vAlign w:val="center"/>
              </w:tcPr>
              <w:p w14:paraId="34C2E6BE">
                <w:pPr>
                  <w:pStyle w:val="48"/>
                  <w:rPr>
                    <w:sz w:val="20"/>
                    <w:szCs w:val="20"/>
                  </w:rPr>
                </w:pPr>
                <w:r>
                  <w:rPr>
                    <w:sz w:val="20"/>
                    <w:szCs w:val="20"/>
                  </w:rPr>
                  <w:t>四、账面价值</w:t>
                </w:r>
              </w:p>
            </w:tc>
          </w:sdtContent>
        </w:sdt>
      </w:tr>
      <w:tr w14:paraId="28CC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305" w:type="dxa"/>
            <w:vAlign w:val="center"/>
          </w:tcPr>
          <w:p w14:paraId="172FFBFC">
            <w:pPr>
              <w:ind w:firstLine="400" w:firstLineChars="200"/>
              <w:rPr>
                <w:rFonts w:ascii="Calibri" w:hAnsi="Calibri"/>
                <w:sz w:val="20"/>
                <w:szCs w:val="20"/>
              </w:rPr>
            </w:pPr>
            <w:r>
              <w:rPr>
                <w:rFonts w:ascii="Calibri" w:hAnsi="Calibri"/>
                <w:sz w:val="20"/>
                <w:szCs w:val="20"/>
              </w:rPr>
              <w:t>1.期末账面价值</w:t>
            </w:r>
          </w:p>
        </w:tc>
        <w:tc>
          <w:tcPr>
            <w:tcW w:w="1686" w:type="dxa"/>
            <w:vAlign w:val="center"/>
          </w:tcPr>
          <w:p w14:paraId="7690F8AE">
            <w:pPr>
              <w:jc w:val="right"/>
              <w:rPr>
                <w:rFonts w:ascii="Calibri" w:hAnsi="Calibri"/>
                <w:sz w:val="20"/>
                <w:szCs w:val="20"/>
              </w:rPr>
            </w:pPr>
            <w:r>
              <w:rPr>
                <w:rFonts w:ascii="Calibri" w:hAnsi="Calibri"/>
                <w:sz w:val="20"/>
                <w:szCs w:val="20"/>
              </w:rPr>
              <w:t>191,780,334.05</w:t>
            </w:r>
          </w:p>
        </w:tc>
        <w:tc>
          <w:tcPr>
            <w:tcW w:w="1805" w:type="dxa"/>
            <w:vAlign w:val="center"/>
          </w:tcPr>
          <w:p w14:paraId="71B2C9CA">
            <w:pPr>
              <w:jc w:val="right"/>
              <w:rPr>
                <w:rFonts w:ascii="Calibri" w:hAnsi="Calibri"/>
                <w:sz w:val="20"/>
                <w:szCs w:val="20"/>
              </w:rPr>
            </w:pPr>
            <w:r>
              <w:rPr>
                <w:rFonts w:ascii="Calibri" w:hAnsi="Calibri"/>
                <w:sz w:val="20"/>
                <w:szCs w:val="20"/>
              </w:rPr>
              <w:t>349,496,544.40</w:t>
            </w:r>
          </w:p>
        </w:tc>
        <w:tc>
          <w:tcPr>
            <w:tcW w:w="1996" w:type="dxa"/>
            <w:vAlign w:val="center"/>
          </w:tcPr>
          <w:p w14:paraId="2FB539B0">
            <w:pPr>
              <w:jc w:val="right"/>
              <w:rPr>
                <w:rFonts w:ascii="Calibri" w:hAnsi="Calibri"/>
                <w:sz w:val="20"/>
                <w:szCs w:val="20"/>
              </w:rPr>
            </w:pPr>
            <w:r>
              <w:rPr>
                <w:rFonts w:ascii="Calibri" w:hAnsi="Calibri"/>
                <w:sz w:val="20"/>
                <w:szCs w:val="20"/>
              </w:rPr>
              <w:t>6,707,958.02</w:t>
            </w:r>
          </w:p>
        </w:tc>
        <w:tc>
          <w:tcPr>
            <w:tcW w:w="1976" w:type="dxa"/>
            <w:vAlign w:val="center"/>
          </w:tcPr>
          <w:p w14:paraId="3DC30585">
            <w:pPr>
              <w:jc w:val="right"/>
              <w:rPr>
                <w:rFonts w:ascii="Calibri" w:hAnsi="Calibri"/>
                <w:sz w:val="20"/>
                <w:szCs w:val="20"/>
              </w:rPr>
            </w:pPr>
            <w:r>
              <w:rPr>
                <w:rFonts w:ascii="Calibri" w:hAnsi="Calibri"/>
                <w:sz w:val="20"/>
                <w:szCs w:val="20"/>
              </w:rPr>
              <w:t>547,984,836.47</w:t>
            </w:r>
          </w:p>
        </w:tc>
      </w:tr>
      <w:tr w14:paraId="30EC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5" w:type="dxa"/>
            <w:vAlign w:val="center"/>
          </w:tcPr>
          <w:p w14:paraId="5F251968">
            <w:pPr>
              <w:ind w:firstLine="400" w:firstLineChars="200"/>
              <w:rPr>
                <w:rFonts w:ascii="Calibri" w:hAnsi="Calibri"/>
                <w:sz w:val="20"/>
                <w:szCs w:val="20"/>
              </w:rPr>
            </w:pPr>
            <w:r>
              <w:rPr>
                <w:rFonts w:ascii="Calibri" w:hAnsi="Calibri"/>
                <w:sz w:val="20"/>
                <w:szCs w:val="20"/>
              </w:rPr>
              <w:t>2.</w:t>
            </w:r>
            <w:r>
              <w:rPr>
                <w:rFonts w:hint="eastAsia" w:ascii="Calibri" w:hAnsi="Calibri"/>
                <w:sz w:val="20"/>
                <w:szCs w:val="20"/>
              </w:rPr>
              <w:t>期初</w:t>
            </w:r>
            <w:r>
              <w:rPr>
                <w:rFonts w:ascii="Calibri" w:hAnsi="Calibri"/>
                <w:sz w:val="20"/>
                <w:szCs w:val="20"/>
              </w:rPr>
              <w:t>账面价值</w:t>
            </w:r>
          </w:p>
        </w:tc>
        <w:tc>
          <w:tcPr>
            <w:tcW w:w="1686" w:type="dxa"/>
            <w:vAlign w:val="center"/>
          </w:tcPr>
          <w:p w14:paraId="0AEC3783">
            <w:pPr>
              <w:jc w:val="right"/>
              <w:rPr>
                <w:rFonts w:ascii="Calibri" w:hAnsi="Calibri"/>
                <w:sz w:val="20"/>
                <w:szCs w:val="20"/>
              </w:rPr>
            </w:pPr>
            <w:r>
              <w:rPr>
                <w:rFonts w:ascii="Calibri" w:hAnsi="Calibri"/>
                <w:sz w:val="20"/>
                <w:szCs w:val="20"/>
              </w:rPr>
              <w:t>196,263,610.21</w:t>
            </w:r>
          </w:p>
        </w:tc>
        <w:tc>
          <w:tcPr>
            <w:tcW w:w="1805" w:type="dxa"/>
            <w:vAlign w:val="center"/>
          </w:tcPr>
          <w:p w14:paraId="1B70BA60">
            <w:pPr>
              <w:jc w:val="right"/>
              <w:rPr>
                <w:rFonts w:ascii="Calibri" w:hAnsi="Calibri"/>
                <w:sz w:val="20"/>
                <w:szCs w:val="20"/>
              </w:rPr>
            </w:pPr>
            <w:r>
              <w:rPr>
                <w:rFonts w:ascii="Calibri" w:hAnsi="Calibri"/>
                <w:sz w:val="20"/>
                <w:szCs w:val="20"/>
              </w:rPr>
              <w:t>425,184,110.38</w:t>
            </w:r>
          </w:p>
        </w:tc>
        <w:tc>
          <w:tcPr>
            <w:tcW w:w="1996" w:type="dxa"/>
            <w:vAlign w:val="center"/>
          </w:tcPr>
          <w:p w14:paraId="5E0B8EB9">
            <w:pPr>
              <w:jc w:val="right"/>
              <w:rPr>
                <w:rFonts w:ascii="Calibri" w:hAnsi="Calibri"/>
                <w:sz w:val="20"/>
                <w:szCs w:val="20"/>
              </w:rPr>
            </w:pPr>
            <w:r>
              <w:rPr>
                <w:rFonts w:ascii="Calibri" w:hAnsi="Calibri"/>
                <w:sz w:val="20"/>
                <w:szCs w:val="20"/>
              </w:rPr>
              <w:t>6,606,927.80</w:t>
            </w:r>
          </w:p>
        </w:tc>
        <w:tc>
          <w:tcPr>
            <w:tcW w:w="1976" w:type="dxa"/>
            <w:vAlign w:val="center"/>
          </w:tcPr>
          <w:p w14:paraId="19691664">
            <w:pPr>
              <w:jc w:val="right"/>
              <w:rPr>
                <w:rFonts w:ascii="Calibri" w:hAnsi="Calibri"/>
                <w:sz w:val="20"/>
                <w:szCs w:val="20"/>
              </w:rPr>
            </w:pPr>
            <w:r>
              <w:rPr>
                <w:rFonts w:ascii="Calibri" w:hAnsi="Calibri"/>
                <w:sz w:val="20"/>
                <w:szCs w:val="20"/>
              </w:rPr>
              <w:t>628,054,648.39</w:t>
            </w:r>
          </w:p>
        </w:tc>
      </w:tr>
    </w:tbl>
    <w:p w14:paraId="17F98603"/>
    <w:p w14:paraId="086FA239">
      <w:pPr>
        <w:snapToGrid w:val="0"/>
        <w:spacing w:line="240" w:lineRule="atLeast"/>
      </w:pPr>
      <w:r>
        <w:rPr>
          <w:rFonts w:hint="eastAsia"/>
        </w:rPr>
        <w:t>通过公司内部研发形成的无形资产占无形资产余额的比例是</w:t>
      </w:r>
      <w:sdt>
        <w:sdtPr>
          <w:alias w:val="通过公司内部研发形成的无形资产占无形资产账面价值的比例"/>
          <w:tag w:val="_GBC_a5caf6c87458439c8916b866a1bdf523"/>
          <w:id w:val="-1087314009"/>
          <w:placeholder>
            <w:docPart w:val="GBC22222222222222222222222222222"/>
          </w:placeholder>
        </w:sdtPr>
        <w:sdtContent>
          <w:r>
            <w:t>63.26</w:t>
          </w:r>
          <w:r>
            <w:rPr>
              <w:rFonts w:hint="eastAsia"/>
            </w:rPr>
            <w:t>%</w:t>
          </w:r>
        </w:sdtContent>
      </w:sdt>
    </w:p>
    <w:p w14:paraId="1E665DAD">
      <w:pPr>
        <w:snapToGrid w:val="0"/>
        <w:spacing w:line="240" w:lineRule="atLeast"/>
      </w:pPr>
    </w:p>
    <w:bookmarkEnd w:id="313"/>
    <w:p w14:paraId="1E0FF989">
      <w:pPr>
        <w:pStyle w:val="5"/>
        <w:numPr>
          <w:ilvl w:val="3"/>
          <w:numId w:val="83"/>
        </w:numPr>
        <w:ind w:left="426" w:hanging="426"/>
      </w:pPr>
      <w:bookmarkStart w:id="314" w:name="_Hlk169705970"/>
      <w:bookmarkStart w:id="315" w:name="_Hlk182485368"/>
      <w:r>
        <w:rPr>
          <w:rFonts w:hint="eastAsia"/>
        </w:rPr>
        <w:t>确认为无形资产的数据资源</w:t>
      </w:r>
    </w:p>
    <w:sdt>
      <w:sdtPr>
        <w:rPr>
          <w:color w:val="000000" w:themeColor="text1"/>
          <w14:textFill>
            <w14:solidFill>
              <w14:schemeClr w14:val="tx1"/>
            </w14:solidFill>
          </w14:textFill>
        </w:rPr>
        <w:alias w:val="是否适用：确认为无形资产的数据资源[双击切换]"/>
        <w:tag w:val="_GBC_178251a2b9bc4427aa8303576cf5eeed"/>
        <w:id w:val="1808971384"/>
        <w:placeholder>
          <w:docPart w:val="GBC22222222222222222222222222222"/>
        </w:placeholder>
      </w:sdtPr>
      <w:sdtEndPr>
        <w:rPr>
          <w:color w:val="000000" w:themeColor="text1"/>
          <w14:textFill>
            <w14:solidFill>
              <w14:schemeClr w14:val="tx1"/>
            </w14:solidFill>
          </w14:textFill>
        </w:rPr>
      </w:sdtEndPr>
      <w:sdtContent>
        <w:p w14:paraId="21BA7E9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094D430">
      <w:pPr>
        <w:snapToGrid w:val="0"/>
        <w:spacing w:line="240" w:lineRule="atLeast"/>
        <w:rPr>
          <w:color w:val="000000" w:themeColor="text1"/>
          <w14:textFill>
            <w14:solidFill>
              <w14:schemeClr w14:val="tx1"/>
            </w14:solidFill>
          </w14:textFill>
        </w:rPr>
      </w:pPr>
    </w:p>
    <w:p w14:paraId="7F2ED624">
      <w:pPr>
        <w:snapToGrid w:val="0"/>
        <w:spacing w:line="240" w:lineRule="atLeast"/>
        <w:rPr>
          <w:color w:val="000000" w:themeColor="text1"/>
          <w14:textFill>
            <w14:solidFill>
              <w14:schemeClr w14:val="tx1"/>
            </w14:solidFill>
          </w14:textFill>
        </w:rPr>
      </w:pPr>
    </w:p>
    <w:bookmarkEnd w:id="314"/>
    <w:bookmarkEnd w:id="315"/>
    <w:p w14:paraId="2A88DD40">
      <w:pPr>
        <w:pStyle w:val="5"/>
        <w:numPr>
          <w:ilvl w:val="3"/>
          <w:numId w:val="83"/>
        </w:numPr>
        <w:ind w:left="426" w:hanging="426"/>
      </w:pPr>
      <w:r>
        <w:rPr>
          <w:rFonts w:hint="eastAsia"/>
        </w:rPr>
        <w:t>未办妥产权证书的土地使用权情况</w:t>
      </w:r>
    </w:p>
    <w:p w14:paraId="1EF3B146">
      <w:pPr>
        <w:pStyle w:val="48"/>
      </w:pPr>
      <w:sdt>
        <w:sdtPr>
          <w:alias w:val="是否适用：未办妥产权证书的土地使用权情况[双击切换]"/>
          <w:tag w:val="_GBC_62bb02d09b844cb69dfe16466ac211c9"/>
          <w:id w:val="1518351803"/>
          <w:placeholder>
            <w:docPart w:val="GBC22222222222222222222222222222"/>
          </w:placeholder>
        </w:sdt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39D475BA">
      <w:pPr>
        <w:pStyle w:val="48"/>
      </w:pPr>
    </w:p>
    <w:p w14:paraId="0AE8721F">
      <w:pPr>
        <w:pStyle w:val="5"/>
        <w:numPr>
          <w:ilvl w:val="3"/>
          <w:numId w:val="83"/>
        </w:numPr>
        <w:ind w:left="426" w:hanging="426"/>
      </w:pPr>
      <w:bookmarkStart w:id="316" w:name="_Hlk153461844"/>
      <w:r>
        <w:rPr>
          <w:rFonts w:hint="eastAsia"/>
        </w:rPr>
        <w:t>无形资产的减值测试情况</w:t>
      </w:r>
    </w:p>
    <w:sdt>
      <w:sdtPr>
        <w:alias w:val="是否适用：减值测试情况[双击切换]"/>
        <w:tag w:val="_GBC_c5612c50ddb44cf8892aefcbaf89a0f7"/>
        <w:id w:val="1363786703"/>
        <w:placeholder>
          <w:docPart w:val="GBC22222222222222222222222222222"/>
        </w:placeholder>
      </w:sdtPr>
      <w:sdtContent>
        <w:p w14:paraId="1E0CDC3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AA8F1C9">
      <w:pPr>
        <w:pStyle w:val="48"/>
      </w:pPr>
    </w:p>
    <w:p w14:paraId="407FBD43">
      <w:pPr>
        <w:snapToGrid w:val="0"/>
        <w:spacing w:line="240" w:lineRule="atLeast"/>
      </w:pPr>
    </w:p>
    <w:bookmarkEnd w:id="316"/>
    <w:p w14:paraId="3A1EC080">
      <w:pPr>
        <w:pStyle w:val="48"/>
      </w:pPr>
      <w:r>
        <w:rPr>
          <w:rFonts w:hint="eastAsia"/>
        </w:rPr>
        <w:t>其他说明：</w:t>
      </w:r>
    </w:p>
    <w:sdt>
      <w:sdtPr>
        <w:alias w:val="是否适用：无形资产的说明[双击切换]"/>
        <w:tag w:val="_GBC_ff92654365f04f7ba71b01dd8af2f696"/>
        <w:id w:val="163361756"/>
        <w:placeholder>
          <w:docPart w:val="GBC22222222222222222222222222222"/>
        </w:placeholder>
      </w:sdtPr>
      <w:sdtContent>
        <w:p w14:paraId="062858B3">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A63274F">
      <w:pPr>
        <w:snapToGrid w:val="0"/>
        <w:spacing w:line="240" w:lineRule="atLeast"/>
      </w:pPr>
    </w:p>
    <w:p w14:paraId="5B32560F">
      <w:pPr>
        <w:pStyle w:val="4"/>
        <w:numPr>
          <w:ilvl w:val="0"/>
          <w:numId w:val="61"/>
        </w:numPr>
        <w:rPr>
          <w:szCs w:val="21"/>
        </w:rPr>
      </w:pPr>
      <w:r>
        <w:rPr>
          <w:szCs w:val="21"/>
        </w:rPr>
        <w:t>商誉</w:t>
      </w:r>
    </w:p>
    <w:p w14:paraId="502D125A">
      <w:pPr>
        <w:pStyle w:val="5"/>
        <w:numPr>
          <w:ilvl w:val="3"/>
          <w:numId w:val="84"/>
        </w:numPr>
        <w:ind w:left="426" w:hanging="426"/>
      </w:pPr>
      <w:r>
        <w:rPr>
          <w:rFonts w:hint="eastAsia"/>
        </w:rPr>
        <w:t>商誉账面原值</w:t>
      </w:r>
    </w:p>
    <w:sdt>
      <w:sdtPr>
        <w:alias w:val="是否适用：商誉账面原值[双击切换]"/>
        <w:tag w:val="_GBC_ef393f0687ab4747a43cd96895a18dcb"/>
        <w:id w:val="1841737346"/>
        <w:placeholder>
          <w:docPart w:val="GBC22222222222222222222222222222"/>
        </w:placeholder>
      </w:sdtPr>
      <w:sdtContent>
        <w:p w14:paraId="3B06E127">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99D672E">
      <w:pPr>
        <w:pStyle w:val="48"/>
      </w:pPr>
    </w:p>
    <w:p w14:paraId="4301F8FE">
      <w:pPr>
        <w:pStyle w:val="5"/>
        <w:numPr>
          <w:ilvl w:val="3"/>
          <w:numId w:val="84"/>
        </w:numPr>
        <w:ind w:left="426" w:hanging="426"/>
      </w:pPr>
      <w:r>
        <w:rPr>
          <w:rFonts w:hint="eastAsia"/>
        </w:rPr>
        <w:t>商誉减值准备</w:t>
      </w:r>
    </w:p>
    <w:sdt>
      <w:sdtPr>
        <w:alias w:val="是否适用：商誉减值准备[双击切换]"/>
        <w:tag w:val="_GBC_6da4c3df55cf453f9753bb7045db7e9c"/>
        <w:id w:val="1440716990"/>
        <w:placeholder>
          <w:docPart w:val="GBC22222222222222222222222222222"/>
        </w:placeholder>
      </w:sdtPr>
      <w:sdtContent>
        <w:p w14:paraId="2CB8D5E8">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6CEC37A">
      <w:pPr>
        <w:pStyle w:val="48"/>
      </w:pPr>
    </w:p>
    <w:p w14:paraId="3AD727E7">
      <w:pPr>
        <w:pStyle w:val="5"/>
        <w:numPr>
          <w:ilvl w:val="3"/>
          <w:numId w:val="84"/>
        </w:numPr>
        <w:ind w:left="426" w:hanging="426"/>
      </w:pPr>
      <w:r>
        <w:rPr>
          <w:rFonts w:hint="eastAsia"/>
        </w:rPr>
        <w:t>商誉所在资产组或资产组组合的相关信息</w:t>
      </w:r>
    </w:p>
    <w:sdt>
      <w:sdtPr>
        <w:rPr>
          <w:rFonts w:hint="eastAsia"/>
        </w:rPr>
        <w:alias w:val="是否适用：商誉所在资产组或资产组组合的相关信息[双击切换]"/>
        <w:tag w:val="_GBC_119e2aba5afb45e0b1f50033345c80ee"/>
        <w:id w:val="574473006"/>
        <w:placeholder>
          <w:docPart w:val="GBC22222222222222222222222222222"/>
        </w:placeholder>
      </w:sdtPr>
      <w:sdtEndPr>
        <w:rPr>
          <w:rFonts w:hint="eastAsia"/>
        </w:rPr>
      </w:sdtEndPr>
      <w:sdtContent>
        <w:p w14:paraId="0DB381A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5AF9CAF">
      <w:pPr>
        <w:pStyle w:val="48"/>
      </w:pPr>
    </w:p>
    <w:p w14:paraId="5CCCCBE4">
      <w:pPr>
        <w:pStyle w:val="48"/>
      </w:pPr>
      <w:bookmarkStart w:id="317" w:name="_Hlk153462880"/>
      <w:r>
        <w:rPr>
          <w:rFonts w:hint="eastAsia"/>
        </w:rPr>
        <w:t>资产组或资产组组合发生变化</w:t>
      </w:r>
    </w:p>
    <w:sdt>
      <w:sdtPr>
        <w:alias w:val="是否适用：资产组或资产组组合发生变化[双击切换]"/>
        <w:tag w:val="_GBC_31d9e35c99cb43c2ad1aced4a6a40606"/>
        <w:id w:val="-122240787"/>
        <w:placeholder>
          <w:docPart w:val="GBC22222222222222222222222222222"/>
        </w:placeholder>
      </w:sdtPr>
      <w:sdtContent>
        <w:p w14:paraId="4773119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B97CBD">
      <w:pPr>
        <w:pStyle w:val="48"/>
      </w:pPr>
    </w:p>
    <w:bookmarkEnd w:id="317"/>
    <w:p w14:paraId="635DFE73">
      <w:pPr>
        <w:pStyle w:val="48"/>
      </w:pPr>
      <w:bookmarkStart w:id="318" w:name="_Hlk152948734"/>
      <w:r>
        <w:rPr>
          <w:rFonts w:hint="eastAsia"/>
        </w:rPr>
        <w:t>其他说明：</w:t>
      </w:r>
    </w:p>
    <w:sdt>
      <w:sdtPr>
        <w:alias w:val="是否适用：商誉所在资产组或资产组组合的相关信息其他说明[双击切换]"/>
        <w:tag w:val="_GBC_9f9bd4d9cf084d4594694aa545981d14"/>
        <w:id w:val="-203638324"/>
        <w:placeholder>
          <w:docPart w:val="GBC22222222222222222222222222222"/>
        </w:placeholder>
      </w:sdtPr>
      <w:sdtContent>
        <w:p w14:paraId="61CBF7E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18"/>
    <w:p w14:paraId="25DF0181">
      <w:pPr>
        <w:pStyle w:val="48"/>
      </w:pPr>
    </w:p>
    <w:p w14:paraId="3711E564">
      <w:pPr>
        <w:pStyle w:val="5"/>
        <w:numPr>
          <w:ilvl w:val="3"/>
          <w:numId w:val="84"/>
        </w:numPr>
        <w:ind w:left="426" w:hanging="426"/>
      </w:pPr>
      <w:r>
        <w:rPr>
          <w:rFonts w:hint="eastAsia"/>
        </w:rPr>
        <w:t>可收回金额的具体确定方法</w:t>
      </w:r>
    </w:p>
    <w:p w14:paraId="3A2FDEE7">
      <w:pPr>
        <w:pStyle w:val="48"/>
      </w:pPr>
      <w:bookmarkStart w:id="319" w:name="_Hlk153463075"/>
      <w:r>
        <w:rPr>
          <w:rFonts w:hint="eastAsia"/>
        </w:rPr>
        <w:t>可收回金额按公允价值减去处置费用后的净额确定</w:t>
      </w:r>
    </w:p>
    <w:sdt>
      <w:sdtPr>
        <w:alias w:val="是否适用：可收回金额按公允价值减去处置费用后的净额确定[双击切换]"/>
        <w:tag w:val="_GBC_0b6e879ad4b9460fa4cd105a6a6161a9"/>
        <w:id w:val="1111621258"/>
        <w:placeholder>
          <w:docPart w:val="GBC22222222222222222222222222222"/>
        </w:placeholder>
      </w:sdtPr>
      <w:sdtContent>
        <w:p w14:paraId="0C27E6A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872E880">
      <w:pPr>
        <w:pStyle w:val="48"/>
      </w:pPr>
    </w:p>
    <w:p w14:paraId="54D4C226">
      <w:pPr>
        <w:pStyle w:val="48"/>
      </w:pPr>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67973308"/>
        <w:placeholder>
          <w:docPart w:val="GBC22222222222222222222222222222"/>
        </w:placeholder>
      </w:sdtPr>
      <w:sdtEndPr>
        <w:rPr>
          <w:rFonts w:hint="eastAsia"/>
        </w:rPr>
      </w:sdtEndPr>
      <w:sdtContent>
        <w:p w14:paraId="51EC8D9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9379953">
      <w:pPr>
        <w:pStyle w:val="48"/>
      </w:pPr>
    </w:p>
    <w:p w14:paraId="71EE5164">
      <w:pPr>
        <w:pStyle w:val="48"/>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374772442"/>
        <w:placeholder>
          <w:docPart w:val="GBC22222222222222222222222222222"/>
        </w:placeholder>
      </w:sdtPr>
      <w:sdtContent>
        <w:p w14:paraId="589C434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80B0C72">
      <w:pPr>
        <w:snapToGrid w:val="0"/>
        <w:spacing w:line="240" w:lineRule="atLeast"/>
      </w:pPr>
    </w:p>
    <w:p w14:paraId="53093A30">
      <w:pPr>
        <w:pStyle w:val="48"/>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1511174391"/>
        <w:placeholder>
          <w:docPart w:val="GBC22222222222222222222222222222"/>
        </w:placeholder>
      </w:sdtPr>
      <w:sdtContent>
        <w:p w14:paraId="2B3D1D6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D18551C">
      <w:pPr>
        <w:snapToGrid w:val="0"/>
        <w:spacing w:line="240" w:lineRule="atLeast"/>
      </w:pPr>
    </w:p>
    <w:bookmarkEnd w:id="319"/>
    <w:p w14:paraId="3EFC64E4">
      <w:pPr>
        <w:pStyle w:val="5"/>
        <w:numPr>
          <w:ilvl w:val="3"/>
          <w:numId w:val="84"/>
        </w:numPr>
        <w:ind w:left="426" w:hanging="426"/>
      </w:pPr>
      <w:bookmarkStart w:id="320" w:name="_Hlk153463443"/>
      <w:r>
        <w:rPr>
          <w:rFonts w:hint="eastAsia"/>
        </w:rPr>
        <w:t>业绩承诺及对应商誉减值情况</w:t>
      </w:r>
    </w:p>
    <w:p w14:paraId="5616AD8C">
      <w:pPr>
        <w:pStyle w:val="48"/>
      </w:pPr>
      <w:r>
        <w:rPr>
          <w:rFonts w:hint="eastAsia"/>
        </w:rPr>
        <w:t>形成商誉时存在业绩承诺且报告期或报告期上一期间处于业绩承诺期内</w:t>
      </w:r>
    </w:p>
    <w:sdt>
      <w:sdtPr>
        <w:alias w:val="是否适用：业绩承诺完成及对应商誉减值情况[双击切换]"/>
        <w:tag w:val="_GBC_95d9b287a7584eabae736c33b656195c"/>
        <w:id w:val="550348825"/>
        <w:placeholder>
          <w:docPart w:val="GBC22222222222222222222222222222"/>
        </w:placeholder>
      </w:sdtPr>
      <w:sdtContent>
        <w:p w14:paraId="6989BE1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0A479F8">
      <w:pPr>
        <w:pStyle w:val="48"/>
      </w:pPr>
    </w:p>
    <w:bookmarkEnd w:id="320"/>
    <w:p w14:paraId="2B2AFF45">
      <w:pPr>
        <w:pStyle w:val="48"/>
      </w:pPr>
      <w:r>
        <w:rPr>
          <w:rFonts w:hint="eastAsia"/>
        </w:rPr>
        <w:t>其他说明：</w:t>
      </w:r>
    </w:p>
    <w:sdt>
      <w:sdtPr>
        <w:alias w:val="是否适用：商誉其他需要说明的事项[双击切换]"/>
        <w:tag w:val="_GBC_99f8ebd0cb464294bea4051ad19cf581"/>
        <w:id w:val="566608920"/>
        <w:placeholder>
          <w:docPart w:val="GBC22222222222222222222222222222"/>
        </w:placeholder>
      </w:sdtPr>
      <w:sdtContent>
        <w:p w14:paraId="05C059C8">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414BA67">
      <w:pPr>
        <w:snapToGrid w:val="0"/>
        <w:spacing w:line="240" w:lineRule="atLeast"/>
        <w:rPr>
          <w:rFonts w:cstheme="minorBidi"/>
          <w:kern w:val="2"/>
        </w:rPr>
      </w:pPr>
    </w:p>
    <w:p w14:paraId="2DF5D8F3">
      <w:pPr>
        <w:pStyle w:val="4"/>
        <w:numPr>
          <w:ilvl w:val="0"/>
          <w:numId w:val="61"/>
        </w:numPr>
        <w:rPr>
          <w:szCs w:val="21"/>
        </w:rPr>
      </w:pPr>
      <w:r>
        <w:rPr>
          <w:szCs w:val="21"/>
        </w:rPr>
        <w:t>长期待摊费用</w:t>
      </w:r>
    </w:p>
    <w:sdt>
      <w:sdtPr>
        <w:alias w:val="是否适用：长期待摊费用[双击切换]"/>
        <w:tag w:val="_GBC_cbcb541b65cd4be6b93f357c0fdd9f09"/>
        <w:id w:val="-1947068817"/>
        <w:placeholder>
          <w:docPart w:val="GBC22222222222222222222222222222"/>
        </w:placeholder>
      </w:sdtPr>
      <w:sdtContent>
        <w:p w14:paraId="380A6198">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A5D751">
      <w:pPr>
        <w:jc w:val="right"/>
      </w:pPr>
      <w:r>
        <w:rPr>
          <w:rFonts w:hint="eastAsia"/>
        </w:rPr>
        <w:t>单位：</w:t>
      </w:r>
      <w:sdt>
        <w:sdtPr>
          <w:rPr>
            <w:rFonts w:hint="eastAsia"/>
          </w:rPr>
          <w:alias w:val="单位：财务附注：长期待摊费用"/>
          <w:tag w:val="_GBC_bcda40ca2da04d5da4a9e3293430f9ac"/>
          <w:id w:val="-4051521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长期待摊费用"/>
          <w:tag w:val="_GBC_45bcea706579408d8f2a7cd4ab5ef115"/>
          <w:id w:val="-5540040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20"/>
        <w:tblW w:w="90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496"/>
        <w:gridCol w:w="1496"/>
        <w:gridCol w:w="1496"/>
        <w:gridCol w:w="1520"/>
        <w:gridCol w:w="1590"/>
      </w:tblGrid>
      <w:tr w14:paraId="688D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0e367624f544f28430d4fa9dc10540"/>
            <w:id w:val="-1721973520"/>
          </w:sdtPr>
          <w:sdtContent>
            <w:tc>
              <w:tcPr>
                <w:tcW w:w="1447" w:type="dxa"/>
                <w:vAlign w:val="center"/>
              </w:tcPr>
              <w:p w14:paraId="5CFED1EF">
                <w:pPr>
                  <w:widowControl w:val="0"/>
                  <w:jc w:val="center"/>
                </w:pPr>
                <w:r>
                  <w:rPr>
                    <w:rFonts w:hint="eastAsia"/>
                  </w:rPr>
                  <w:t>项目</w:t>
                </w:r>
              </w:p>
            </w:tc>
          </w:sdtContent>
        </w:sdt>
        <w:sdt>
          <w:sdtPr>
            <w:tag w:val="_PLD_e9e93178bf6e4ae6b25e934d80cadf90"/>
            <w:id w:val="-2034183605"/>
          </w:sdtPr>
          <w:sdtContent>
            <w:tc>
              <w:tcPr>
                <w:tcW w:w="1496" w:type="dxa"/>
                <w:vAlign w:val="center"/>
              </w:tcPr>
              <w:p w14:paraId="67BE491A">
                <w:pPr>
                  <w:widowControl w:val="0"/>
                  <w:jc w:val="center"/>
                </w:pPr>
                <w:r>
                  <w:rPr>
                    <w:rFonts w:hint="eastAsia"/>
                  </w:rPr>
                  <w:t>期初余额</w:t>
                </w:r>
              </w:p>
            </w:tc>
          </w:sdtContent>
        </w:sdt>
        <w:sdt>
          <w:sdtPr>
            <w:tag w:val="_PLD_b0304019406b49bba87fd5d26e9e77a3"/>
            <w:id w:val="-564102936"/>
          </w:sdtPr>
          <w:sdtContent>
            <w:tc>
              <w:tcPr>
                <w:tcW w:w="1496" w:type="dxa"/>
                <w:vAlign w:val="center"/>
              </w:tcPr>
              <w:p w14:paraId="0C95BD26">
                <w:pPr>
                  <w:widowControl w:val="0"/>
                  <w:jc w:val="center"/>
                </w:pPr>
                <w:r>
                  <w:rPr>
                    <w:rFonts w:hint="eastAsia"/>
                  </w:rPr>
                  <w:t>本期增加金额</w:t>
                </w:r>
              </w:p>
            </w:tc>
          </w:sdtContent>
        </w:sdt>
        <w:sdt>
          <w:sdtPr>
            <w:tag w:val="_PLD_e1350bea96cf4f45a6200cab08f11722"/>
            <w:id w:val="-1466495584"/>
          </w:sdtPr>
          <w:sdtContent>
            <w:tc>
              <w:tcPr>
                <w:tcW w:w="1496" w:type="dxa"/>
                <w:vAlign w:val="center"/>
              </w:tcPr>
              <w:p w14:paraId="561AD8D1">
                <w:pPr>
                  <w:widowControl w:val="0"/>
                  <w:jc w:val="center"/>
                </w:pPr>
                <w:r>
                  <w:rPr>
                    <w:rFonts w:hint="eastAsia"/>
                  </w:rPr>
                  <w:t>本期摊销金额</w:t>
                </w:r>
              </w:p>
            </w:tc>
          </w:sdtContent>
        </w:sdt>
        <w:sdt>
          <w:sdtPr>
            <w:tag w:val="_PLD_dd7c0d5ab3334691b3e0047d34ecb634"/>
            <w:id w:val="-161549355"/>
          </w:sdtPr>
          <w:sdtContent>
            <w:tc>
              <w:tcPr>
                <w:tcW w:w="1520" w:type="dxa"/>
                <w:vAlign w:val="center"/>
              </w:tcPr>
              <w:p w14:paraId="4149A27A">
                <w:pPr>
                  <w:widowControl w:val="0"/>
                  <w:jc w:val="center"/>
                </w:pPr>
                <w:r>
                  <w:rPr>
                    <w:rFonts w:hint="eastAsia"/>
                  </w:rPr>
                  <w:t>其他减少金额</w:t>
                </w:r>
              </w:p>
            </w:tc>
          </w:sdtContent>
        </w:sdt>
        <w:sdt>
          <w:sdtPr>
            <w:tag w:val="_PLD_3ab32d124e7942f1b1f82c0287c9220f"/>
            <w:id w:val="-1469354408"/>
          </w:sdtPr>
          <w:sdtContent>
            <w:tc>
              <w:tcPr>
                <w:tcW w:w="1590" w:type="dxa"/>
                <w:vAlign w:val="center"/>
              </w:tcPr>
              <w:p w14:paraId="185BF6CC">
                <w:pPr>
                  <w:widowControl w:val="0"/>
                  <w:jc w:val="center"/>
                </w:pPr>
                <w:r>
                  <w:rPr>
                    <w:rFonts w:hint="eastAsia"/>
                  </w:rPr>
                  <w:t>期末余额</w:t>
                </w:r>
              </w:p>
            </w:tc>
          </w:sdtContent>
        </w:sdt>
      </w:tr>
      <w:tr w14:paraId="2958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vAlign w:val="center"/>
          </w:tcPr>
          <w:p w14:paraId="05050109">
            <w:pPr>
              <w:pStyle w:val="48"/>
            </w:pPr>
            <w:r>
              <w:t>生物制品原料药生产待摊物料</w:t>
            </w:r>
          </w:p>
        </w:tc>
        <w:tc>
          <w:tcPr>
            <w:tcW w:w="1496" w:type="dxa"/>
            <w:vAlign w:val="center"/>
          </w:tcPr>
          <w:p w14:paraId="6D2E3D61">
            <w:pPr>
              <w:widowControl w:val="0"/>
              <w:jc w:val="right"/>
            </w:pPr>
            <w:r>
              <w:t>24,279,440.05</w:t>
            </w:r>
          </w:p>
        </w:tc>
        <w:tc>
          <w:tcPr>
            <w:tcW w:w="1496" w:type="dxa"/>
            <w:vAlign w:val="center"/>
          </w:tcPr>
          <w:p w14:paraId="3768405A">
            <w:pPr>
              <w:widowControl w:val="0"/>
              <w:jc w:val="right"/>
            </w:pPr>
            <w:r>
              <w:t>38,112,874.55</w:t>
            </w:r>
          </w:p>
        </w:tc>
        <w:tc>
          <w:tcPr>
            <w:tcW w:w="1496" w:type="dxa"/>
            <w:vAlign w:val="center"/>
          </w:tcPr>
          <w:p w14:paraId="6B9F7ED7">
            <w:pPr>
              <w:widowControl w:val="0"/>
              <w:jc w:val="right"/>
            </w:pPr>
            <w:r>
              <w:t>28,706,807.59</w:t>
            </w:r>
          </w:p>
        </w:tc>
        <w:tc>
          <w:tcPr>
            <w:tcW w:w="1520" w:type="dxa"/>
            <w:vAlign w:val="center"/>
          </w:tcPr>
          <w:p w14:paraId="45AD5B88">
            <w:pPr>
              <w:widowControl w:val="0"/>
              <w:jc w:val="right"/>
            </w:pPr>
          </w:p>
        </w:tc>
        <w:tc>
          <w:tcPr>
            <w:tcW w:w="1590" w:type="dxa"/>
            <w:vAlign w:val="center"/>
          </w:tcPr>
          <w:p w14:paraId="1C80BB7B">
            <w:pPr>
              <w:widowControl w:val="0"/>
              <w:jc w:val="right"/>
            </w:pPr>
            <w:r>
              <w:t>33,685,507.01</w:t>
            </w:r>
          </w:p>
        </w:tc>
      </w:tr>
      <w:tr w14:paraId="4885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vAlign w:val="center"/>
          </w:tcPr>
          <w:p w14:paraId="2F21E4D0">
            <w:pPr>
              <w:pStyle w:val="48"/>
            </w:pPr>
            <w:r>
              <w:t>在研项目原料药生产待摊物料</w:t>
            </w:r>
          </w:p>
        </w:tc>
        <w:tc>
          <w:tcPr>
            <w:tcW w:w="1496" w:type="dxa"/>
            <w:vAlign w:val="center"/>
          </w:tcPr>
          <w:p w14:paraId="585E2A93">
            <w:pPr>
              <w:widowControl w:val="0"/>
              <w:jc w:val="right"/>
            </w:pPr>
            <w:r>
              <w:t>1,367,933.80</w:t>
            </w:r>
          </w:p>
        </w:tc>
        <w:tc>
          <w:tcPr>
            <w:tcW w:w="1496" w:type="dxa"/>
            <w:vAlign w:val="center"/>
          </w:tcPr>
          <w:p w14:paraId="5A9EA640">
            <w:pPr>
              <w:widowControl w:val="0"/>
              <w:jc w:val="right"/>
            </w:pPr>
            <w:r>
              <w:t>5,532,294.60</w:t>
            </w:r>
          </w:p>
        </w:tc>
        <w:tc>
          <w:tcPr>
            <w:tcW w:w="1496" w:type="dxa"/>
            <w:vAlign w:val="center"/>
          </w:tcPr>
          <w:p w14:paraId="62023FC4">
            <w:pPr>
              <w:widowControl w:val="0"/>
              <w:jc w:val="right"/>
            </w:pPr>
            <w:r>
              <w:t>758,474.09</w:t>
            </w:r>
          </w:p>
        </w:tc>
        <w:tc>
          <w:tcPr>
            <w:tcW w:w="1520" w:type="dxa"/>
            <w:vAlign w:val="center"/>
          </w:tcPr>
          <w:p w14:paraId="09232AF5">
            <w:pPr>
              <w:widowControl w:val="0"/>
              <w:jc w:val="right"/>
            </w:pPr>
          </w:p>
        </w:tc>
        <w:tc>
          <w:tcPr>
            <w:tcW w:w="1590" w:type="dxa"/>
            <w:vAlign w:val="center"/>
          </w:tcPr>
          <w:p w14:paraId="687A081E">
            <w:pPr>
              <w:widowControl w:val="0"/>
              <w:jc w:val="right"/>
            </w:pPr>
            <w:r>
              <w:t>6,141,754.31</w:t>
            </w:r>
          </w:p>
        </w:tc>
      </w:tr>
      <w:tr w14:paraId="3DD5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vAlign w:val="center"/>
          </w:tcPr>
          <w:p w14:paraId="33343D30">
            <w:pPr>
              <w:pStyle w:val="48"/>
            </w:pPr>
            <w:r>
              <w:t>阿里云服务器数据库</w:t>
            </w:r>
          </w:p>
        </w:tc>
        <w:tc>
          <w:tcPr>
            <w:tcW w:w="1496" w:type="dxa"/>
            <w:vAlign w:val="center"/>
          </w:tcPr>
          <w:p w14:paraId="4BAA61BD">
            <w:pPr>
              <w:widowControl w:val="0"/>
              <w:jc w:val="right"/>
            </w:pPr>
            <w:r>
              <w:t>29,538.71</w:t>
            </w:r>
          </w:p>
        </w:tc>
        <w:tc>
          <w:tcPr>
            <w:tcW w:w="1496" w:type="dxa"/>
            <w:vAlign w:val="center"/>
          </w:tcPr>
          <w:p w14:paraId="13C56E93">
            <w:pPr>
              <w:widowControl w:val="0"/>
              <w:jc w:val="right"/>
            </w:pPr>
          </w:p>
        </w:tc>
        <w:tc>
          <w:tcPr>
            <w:tcW w:w="1496" w:type="dxa"/>
            <w:vAlign w:val="center"/>
          </w:tcPr>
          <w:p w14:paraId="235B4E5F">
            <w:pPr>
              <w:widowControl w:val="0"/>
              <w:jc w:val="right"/>
            </w:pPr>
            <w:r>
              <w:t>18,656.04</w:t>
            </w:r>
          </w:p>
        </w:tc>
        <w:tc>
          <w:tcPr>
            <w:tcW w:w="1520" w:type="dxa"/>
            <w:vAlign w:val="center"/>
          </w:tcPr>
          <w:p w14:paraId="4402D035">
            <w:pPr>
              <w:widowControl w:val="0"/>
              <w:jc w:val="right"/>
            </w:pPr>
          </w:p>
        </w:tc>
        <w:tc>
          <w:tcPr>
            <w:tcW w:w="1590" w:type="dxa"/>
            <w:vAlign w:val="center"/>
          </w:tcPr>
          <w:p w14:paraId="59560E04">
            <w:pPr>
              <w:widowControl w:val="0"/>
              <w:jc w:val="right"/>
            </w:pPr>
            <w:r>
              <w:t>10,882.67</w:t>
            </w:r>
          </w:p>
        </w:tc>
      </w:tr>
      <w:tr w14:paraId="0509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vAlign w:val="center"/>
          </w:tcPr>
          <w:p w14:paraId="37FE71B3">
            <w:pPr>
              <w:pStyle w:val="48"/>
            </w:pPr>
            <w:r>
              <w:t>房屋装修费</w:t>
            </w:r>
          </w:p>
        </w:tc>
        <w:tc>
          <w:tcPr>
            <w:tcW w:w="1496" w:type="dxa"/>
            <w:vAlign w:val="center"/>
          </w:tcPr>
          <w:p w14:paraId="0563966F">
            <w:pPr>
              <w:widowControl w:val="0"/>
              <w:jc w:val="right"/>
            </w:pPr>
          </w:p>
        </w:tc>
        <w:tc>
          <w:tcPr>
            <w:tcW w:w="1496" w:type="dxa"/>
            <w:vAlign w:val="center"/>
          </w:tcPr>
          <w:p w14:paraId="7794E249">
            <w:pPr>
              <w:widowControl w:val="0"/>
              <w:jc w:val="right"/>
            </w:pPr>
            <w:r>
              <w:t>14,099,235.42</w:t>
            </w:r>
          </w:p>
        </w:tc>
        <w:tc>
          <w:tcPr>
            <w:tcW w:w="1496" w:type="dxa"/>
            <w:vAlign w:val="center"/>
          </w:tcPr>
          <w:p w14:paraId="3E5249CE">
            <w:pPr>
              <w:widowControl w:val="0"/>
              <w:jc w:val="right"/>
            </w:pPr>
            <w:r>
              <w:t>385,321.09</w:t>
            </w:r>
          </w:p>
        </w:tc>
        <w:tc>
          <w:tcPr>
            <w:tcW w:w="1520" w:type="dxa"/>
            <w:vAlign w:val="center"/>
          </w:tcPr>
          <w:p w14:paraId="22AA1D56">
            <w:pPr>
              <w:widowControl w:val="0"/>
              <w:jc w:val="right"/>
            </w:pPr>
          </w:p>
        </w:tc>
        <w:tc>
          <w:tcPr>
            <w:tcW w:w="1590" w:type="dxa"/>
            <w:vAlign w:val="center"/>
          </w:tcPr>
          <w:p w14:paraId="07AEFE3D">
            <w:pPr>
              <w:widowControl w:val="0"/>
              <w:jc w:val="right"/>
            </w:pPr>
            <w:r>
              <w:t>13,713,914.33</w:t>
            </w:r>
          </w:p>
        </w:tc>
      </w:tr>
      <w:tr w14:paraId="6D46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vAlign w:val="center"/>
          </w:tcPr>
          <w:p w14:paraId="6FFEB3EE">
            <w:pPr>
              <w:widowControl w:val="0"/>
              <w:jc w:val="center"/>
            </w:pPr>
            <w:r>
              <w:rPr>
                <w:rFonts w:hint="eastAsia"/>
              </w:rPr>
              <w:t>合计</w:t>
            </w:r>
          </w:p>
        </w:tc>
        <w:tc>
          <w:tcPr>
            <w:tcW w:w="1496" w:type="dxa"/>
            <w:vAlign w:val="center"/>
          </w:tcPr>
          <w:p w14:paraId="3C95352A">
            <w:pPr>
              <w:widowControl w:val="0"/>
              <w:jc w:val="right"/>
            </w:pPr>
            <w:r>
              <w:t>25,676,912.56</w:t>
            </w:r>
          </w:p>
        </w:tc>
        <w:tc>
          <w:tcPr>
            <w:tcW w:w="1496" w:type="dxa"/>
            <w:vAlign w:val="center"/>
          </w:tcPr>
          <w:p w14:paraId="795C0D6C">
            <w:pPr>
              <w:widowControl w:val="0"/>
              <w:jc w:val="right"/>
            </w:pPr>
            <w:r>
              <w:t>57,744,404.57</w:t>
            </w:r>
          </w:p>
        </w:tc>
        <w:tc>
          <w:tcPr>
            <w:tcW w:w="1496" w:type="dxa"/>
            <w:vAlign w:val="center"/>
          </w:tcPr>
          <w:p w14:paraId="1437EB72">
            <w:pPr>
              <w:widowControl w:val="0"/>
              <w:jc w:val="right"/>
            </w:pPr>
            <w:r>
              <w:t>29,869,258.81</w:t>
            </w:r>
          </w:p>
        </w:tc>
        <w:tc>
          <w:tcPr>
            <w:tcW w:w="1520" w:type="dxa"/>
            <w:vAlign w:val="center"/>
          </w:tcPr>
          <w:p w14:paraId="395FCC4B">
            <w:pPr>
              <w:widowControl w:val="0"/>
              <w:jc w:val="right"/>
            </w:pPr>
          </w:p>
        </w:tc>
        <w:tc>
          <w:tcPr>
            <w:tcW w:w="1590" w:type="dxa"/>
            <w:vAlign w:val="center"/>
          </w:tcPr>
          <w:p w14:paraId="1E5343A1">
            <w:pPr>
              <w:widowControl w:val="0"/>
              <w:jc w:val="right"/>
            </w:pPr>
            <w:r>
              <w:t>53,552,058.32</w:t>
            </w:r>
          </w:p>
        </w:tc>
      </w:tr>
    </w:tbl>
    <w:p w14:paraId="2E07B9A7"/>
    <w:p w14:paraId="4585C5CB">
      <w:pPr>
        <w:pStyle w:val="48"/>
      </w:pPr>
    </w:p>
    <w:p w14:paraId="4574D3B0">
      <w:pPr>
        <w:pStyle w:val="48"/>
      </w:pPr>
    </w:p>
    <w:p w14:paraId="60EC2F01">
      <w:pPr>
        <w:pStyle w:val="4"/>
        <w:numPr>
          <w:ilvl w:val="0"/>
          <w:numId w:val="61"/>
        </w:numPr>
        <w:rPr>
          <w:szCs w:val="21"/>
        </w:rPr>
      </w:pPr>
      <w:r>
        <w:rPr>
          <w:szCs w:val="21"/>
        </w:rPr>
        <w:t>递延所得税资产/ 递延所得税负债</w:t>
      </w:r>
    </w:p>
    <w:p w14:paraId="4CF50931">
      <w:pPr>
        <w:pStyle w:val="5"/>
        <w:numPr>
          <w:ilvl w:val="0"/>
          <w:numId w:val="85"/>
        </w:numPr>
        <w:ind w:left="426" w:hanging="426"/>
      </w:pPr>
      <w:bookmarkStart w:id="321" w:name="_Toc215903151"/>
      <w:bookmarkStart w:id="322" w:name="_Hlk24103450"/>
      <w:r>
        <w:rPr>
          <w:rFonts w:hint="eastAsia"/>
        </w:rPr>
        <w:t>未经抵销的递延所得税资产</w:t>
      </w:r>
    </w:p>
    <w:sdt>
      <w:sdtPr>
        <w:alias w:val="是否适用：未经抵销的递延所得税资产[双击切换]"/>
        <w:tag w:val="_GBC_ba4415ee4af24efe852073192d94c115"/>
        <w:id w:val="1143163782"/>
        <w:placeholder>
          <w:docPart w:val="GBC22222222222222222222222222222"/>
        </w:placeholder>
      </w:sdtPr>
      <w:sdtContent>
        <w:p w14:paraId="287A67E4">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8F8BCA0">
      <w:pPr>
        <w:jc w:val="right"/>
      </w:pPr>
      <w:r>
        <w:rPr>
          <w:rFonts w:hint="eastAsia"/>
        </w:rPr>
        <w:t>单位：</w:t>
      </w:r>
      <w:sdt>
        <w:sdtPr>
          <w:rPr>
            <w:rFonts w:hint="eastAsia"/>
          </w:rPr>
          <w:alias w:val="单位：财务附注：已确认的递延所得税资产和递延所得税负债"/>
          <w:tag w:val="_GBC_39a9c92575cb4f1c9a029fb2f64168e5"/>
          <w:id w:val="-16832757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bookmarkEnd w:id="321"/>
      <w:sdt>
        <w:sdtPr>
          <w:rPr>
            <w:rFonts w:hint="eastAsia"/>
          </w:rPr>
          <w:alias w:val="币种：财务附注：已确认的递延所得税资产和递延所得税负债"/>
          <w:tag w:val="_GBC_33d1ac52f1ce463294fce1044445d46f"/>
          <w:id w:val="6743873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3"/>
        <w:gridCol w:w="1650"/>
        <w:gridCol w:w="1648"/>
        <w:gridCol w:w="1663"/>
        <w:gridCol w:w="1646"/>
      </w:tblGrid>
      <w:tr w14:paraId="38D5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006c9e7b70844cd8ef6f2cbb5161589"/>
            <w:id w:val="-461496677"/>
          </w:sdtPr>
          <w:sdtContent>
            <w:tc>
              <w:tcPr>
                <w:tcW w:w="2443" w:type="dxa"/>
                <w:vMerge w:val="restart"/>
                <w:vAlign w:val="center"/>
              </w:tcPr>
              <w:p w14:paraId="0CB3B657">
                <w:pPr>
                  <w:jc w:val="center"/>
                  <w:rPr>
                    <w:rFonts w:ascii="Calibri" w:hAnsi="Calibri"/>
                    <w:sz w:val="20"/>
                    <w:szCs w:val="20"/>
                  </w:rPr>
                </w:pPr>
                <w:r>
                  <w:rPr>
                    <w:rFonts w:hint="eastAsia" w:ascii="Calibri" w:hAnsi="Calibri"/>
                    <w:sz w:val="20"/>
                    <w:szCs w:val="20"/>
                  </w:rPr>
                  <w:t>项目</w:t>
                </w:r>
              </w:p>
            </w:tc>
          </w:sdtContent>
        </w:sdt>
        <w:sdt>
          <w:sdtPr>
            <w:tag w:val="_PLD_9380d941020241f39819205f4df8c355"/>
            <w:id w:val="1545487909"/>
          </w:sdtPr>
          <w:sdtContent>
            <w:tc>
              <w:tcPr>
                <w:tcW w:w="3298" w:type="dxa"/>
                <w:gridSpan w:val="2"/>
                <w:vAlign w:val="center"/>
              </w:tcPr>
              <w:p w14:paraId="72848166">
                <w:pPr>
                  <w:jc w:val="center"/>
                  <w:rPr>
                    <w:rFonts w:ascii="Calibri" w:hAnsi="Calibri"/>
                    <w:sz w:val="20"/>
                    <w:szCs w:val="20"/>
                  </w:rPr>
                </w:pPr>
                <w:r>
                  <w:rPr>
                    <w:rFonts w:hint="eastAsia" w:ascii="Calibri" w:hAnsi="Calibri"/>
                    <w:sz w:val="20"/>
                    <w:szCs w:val="20"/>
                  </w:rPr>
                  <w:t>期末余额</w:t>
                </w:r>
              </w:p>
            </w:tc>
          </w:sdtContent>
        </w:sdt>
        <w:sdt>
          <w:sdtPr>
            <w:tag w:val="_PLD_40d587838e534f37a8f9a9e7e2020671"/>
            <w:id w:val="1039244496"/>
          </w:sdtPr>
          <w:sdtContent>
            <w:tc>
              <w:tcPr>
                <w:tcW w:w="3309" w:type="dxa"/>
                <w:gridSpan w:val="2"/>
                <w:vAlign w:val="center"/>
              </w:tcPr>
              <w:p w14:paraId="1A81DB59">
                <w:pPr>
                  <w:jc w:val="center"/>
                  <w:rPr>
                    <w:rFonts w:ascii="Calibri" w:hAnsi="Calibri"/>
                    <w:sz w:val="20"/>
                    <w:szCs w:val="20"/>
                  </w:rPr>
                </w:pPr>
                <w:r>
                  <w:rPr>
                    <w:rFonts w:hint="eastAsia" w:ascii="Calibri" w:hAnsi="Calibri"/>
                    <w:sz w:val="20"/>
                    <w:szCs w:val="20"/>
                  </w:rPr>
                  <w:t>期初余额</w:t>
                </w:r>
              </w:p>
            </w:tc>
          </w:sdtContent>
        </w:sdt>
      </w:tr>
      <w:tr w14:paraId="459D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3" w:type="dxa"/>
            <w:vMerge w:val="continue"/>
            <w:vAlign w:val="center"/>
          </w:tcPr>
          <w:p w14:paraId="7C6EF1D9">
            <w:pPr>
              <w:jc w:val="center"/>
              <w:rPr>
                <w:rFonts w:ascii="Calibri" w:hAnsi="Calibri"/>
                <w:b/>
                <w:sz w:val="20"/>
                <w:szCs w:val="20"/>
              </w:rPr>
            </w:pPr>
          </w:p>
        </w:tc>
        <w:sdt>
          <w:sdtPr>
            <w:tag w:val="_PLD_c239006a5e6040d58bedd94ab36e9784"/>
            <w:id w:val="718402072"/>
          </w:sdtPr>
          <w:sdtContent>
            <w:tc>
              <w:tcPr>
                <w:tcW w:w="1650" w:type="dxa"/>
                <w:vAlign w:val="center"/>
              </w:tcPr>
              <w:p w14:paraId="735815B6">
                <w:pPr>
                  <w:jc w:val="center"/>
                  <w:rPr>
                    <w:rFonts w:ascii="Calibri" w:hAnsi="Calibri"/>
                    <w:sz w:val="20"/>
                    <w:szCs w:val="20"/>
                  </w:rPr>
                </w:pPr>
                <w:r>
                  <w:rPr>
                    <w:rFonts w:hint="eastAsia" w:ascii="Calibri" w:hAnsi="Calibri"/>
                    <w:sz w:val="20"/>
                    <w:szCs w:val="20"/>
                  </w:rPr>
                  <w:t>可抵扣暂时性差异</w:t>
                </w:r>
              </w:p>
            </w:tc>
          </w:sdtContent>
        </w:sdt>
        <w:sdt>
          <w:sdtPr>
            <w:tag w:val="_PLD_1559717fc58743e19a1e868ac528fbc0"/>
            <w:id w:val="-957568031"/>
          </w:sdtPr>
          <w:sdtContent>
            <w:tc>
              <w:tcPr>
                <w:tcW w:w="1648" w:type="dxa"/>
                <w:vAlign w:val="center"/>
              </w:tcPr>
              <w:p w14:paraId="25874310">
                <w:pPr>
                  <w:jc w:val="center"/>
                  <w:rPr>
                    <w:rFonts w:ascii="Calibri" w:hAnsi="Calibri"/>
                    <w:sz w:val="20"/>
                    <w:szCs w:val="20"/>
                  </w:rPr>
                </w:pPr>
                <w:r>
                  <w:rPr>
                    <w:rFonts w:hint="eastAsia" w:ascii="Calibri" w:hAnsi="Calibri"/>
                    <w:sz w:val="20"/>
                    <w:szCs w:val="20"/>
                  </w:rPr>
                  <w:t>递延所得税</w:t>
                </w:r>
              </w:p>
              <w:p w14:paraId="504A98E1">
                <w:pPr>
                  <w:jc w:val="center"/>
                  <w:rPr>
                    <w:rFonts w:ascii="Calibri" w:hAnsi="Calibri"/>
                    <w:sz w:val="20"/>
                    <w:szCs w:val="20"/>
                  </w:rPr>
                </w:pPr>
                <w:r>
                  <w:rPr>
                    <w:rFonts w:hint="eastAsia" w:ascii="Calibri" w:hAnsi="Calibri"/>
                    <w:sz w:val="20"/>
                    <w:szCs w:val="20"/>
                  </w:rPr>
                  <w:t>资产</w:t>
                </w:r>
              </w:p>
            </w:tc>
          </w:sdtContent>
        </w:sdt>
        <w:sdt>
          <w:sdtPr>
            <w:tag w:val="_PLD_de171afb73ff474dbccc47c2cec6d4f1"/>
            <w:id w:val="658111281"/>
          </w:sdtPr>
          <w:sdtContent>
            <w:tc>
              <w:tcPr>
                <w:tcW w:w="1663" w:type="dxa"/>
                <w:vAlign w:val="center"/>
              </w:tcPr>
              <w:p w14:paraId="5D011241">
                <w:pPr>
                  <w:jc w:val="center"/>
                  <w:rPr>
                    <w:rFonts w:ascii="Calibri" w:hAnsi="Calibri"/>
                    <w:sz w:val="20"/>
                    <w:szCs w:val="20"/>
                  </w:rPr>
                </w:pPr>
                <w:r>
                  <w:rPr>
                    <w:rFonts w:hint="eastAsia" w:ascii="Calibri" w:hAnsi="Calibri"/>
                    <w:sz w:val="20"/>
                    <w:szCs w:val="20"/>
                  </w:rPr>
                  <w:t>可抵扣暂时性差异</w:t>
                </w:r>
              </w:p>
            </w:tc>
          </w:sdtContent>
        </w:sdt>
        <w:sdt>
          <w:sdtPr>
            <w:tag w:val="_PLD_bafc90864e7347e5bb50ec31a5dffe05"/>
            <w:id w:val="-56639087"/>
          </w:sdtPr>
          <w:sdtContent>
            <w:tc>
              <w:tcPr>
                <w:tcW w:w="1646" w:type="dxa"/>
                <w:vAlign w:val="center"/>
              </w:tcPr>
              <w:p w14:paraId="7B672FC9">
                <w:pPr>
                  <w:jc w:val="center"/>
                  <w:rPr>
                    <w:rFonts w:ascii="Calibri" w:hAnsi="Calibri"/>
                    <w:sz w:val="20"/>
                    <w:szCs w:val="20"/>
                  </w:rPr>
                </w:pPr>
                <w:r>
                  <w:rPr>
                    <w:rFonts w:hint="eastAsia" w:ascii="Calibri" w:hAnsi="Calibri"/>
                    <w:sz w:val="20"/>
                    <w:szCs w:val="20"/>
                  </w:rPr>
                  <w:t>递延所得税</w:t>
                </w:r>
              </w:p>
              <w:p w14:paraId="19AF7DF9">
                <w:pPr>
                  <w:jc w:val="center"/>
                  <w:rPr>
                    <w:rFonts w:ascii="Calibri" w:hAnsi="Calibri"/>
                    <w:sz w:val="20"/>
                    <w:szCs w:val="20"/>
                  </w:rPr>
                </w:pPr>
                <w:r>
                  <w:rPr>
                    <w:rFonts w:hint="eastAsia" w:ascii="Calibri" w:hAnsi="Calibri"/>
                    <w:sz w:val="20"/>
                    <w:szCs w:val="20"/>
                  </w:rPr>
                  <w:t>资产</w:t>
                </w:r>
              </w:p>
            </w:tc>
          </w:sdtContent>
        </w:sdt>
      </w:tr>
      <w:tr w14:paraId="06CB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3" w:type="dxa"/>
            <w:vAlign w:val="center"/>
          </w:tcPr>
          <w:p w14:paraId="606F9D73">
            <w:pPr>
              <w:rPr>
                <w:rFonts w:ascii="Calibri" w:hAnsi="Calibri"/>
                <w:sz w:val="20"/>
                <w:szCs w:val="20"/>
              </w:rPr>
            </w:pPr>
            <w:r>
              <w:rPr>
                <w:rFonts w:hint="eastAsia" w:ascii="Calibri" w:hAnsi="Calibri"/>
                <w:sz w:val="20"/>
                <w:szCs w:val="20"/>
              </w:rPr>
              <w:t>资产减值准备</w:t>
            </w:r>
          </w:p>
        </w:tc>
        <w:tc>
          <w:tcPr>
            <w:tcW w:w="1650" w:type="dxa"/>
            <w:vAlign w:val="center"/>
          </w:tcPr>
          <w:p w14:paraId="289CDCF0">
            <w:pPr>
              <w:jc w:val="right"/>
              <w:rPr>
                <w:rFonts w:ascii="Calibri" w:hAnsi="Calibri"/>
                <w:sz w:val="20"/>
                <w:szCs w:val="20"/>
              </w:rPr>
            </w:pPr>
            <w:r>
              <w:rPr>
                <w:rFonts w:ascii="Calibri" w:hAnsi="Calibri"/>
                <w:sz w:val="20"/>
                <w:szCs w:val="20"/>
              </w:rPr>
              <w:t>14,927,779.96</w:t>
            </w:r>
          </w:p>
        </w:tc>
        <w:tc>
          <w:tcPr>
            <w:tcW w:w="1648" w:type="dxa"/>
            <w:vAlign w:val="center"/>
          </w:tcPr>
          <w:p w14:paraId="45FF9164">
            <w:pPr>
              <w:jc w:val="right"/>
              <w:rPr>
                <w:rFonts w:ascii="Calibri" w:hAnsi="Calibri"/>
                <w:sz w:val="20"/>
                <w:szCs w:val="20"/>
              </w:rPr>
            </w:pPr>
            <w:r>
              <w:rPr>
                <w:rFonts w:ascii="Calibri" w:hAnsi="Calibri"/>
                <w:sz w:val="20"/>
                <w:szCs w:val="20"/>
              </w:rPr>
              <w:t>2,239,167.00</w:t>
            </w:r>
          </w:p>
        </w:tc>
        <w:tc>
          <w:tcPr>
            <w:tcW w:w="1663" w:type="dxa"/>
            <w:vAlign w:val="center"/>
          </w:tcPr>
          <w:p w14:paraId="326C8CBF">
            <w:pPr>
              <w:jc w:val="right"/>
              <w:rPr>
                <w:rFonts w:ascii="Calibri" w:hAnsi="Calibri"/>
                <w:sz w:val="20"/>
                <w:szCs w:val="20"/>
              </w:rPr>
            </w:pPr>
            <w:r>
              <w:rPr>
                <w:rFonts w:ascii="Calibri" w:hAnsi="Calibri"/>
                <w:sz w:val="20"/>
                <w:szCs w:val="20"/>
              </w:rPr>
              <w:t>14,931,733.75</w:t>
            </w:r>
          </w:p>
        </w:tc>
        <w:tc>
          <w:tcPr>
            <w:tcW w:w="1646" w:type="dxa"/>
            <w:vAlign w:val="center"/>
          </w:tcPr>
          <w:p w14:paraId="16B1217B">
            <w:pPr>
              <w:jc w:val="right"/>
              <w:rPr>
                <w:rFonts w:ascii="Calibri" w:hAnsi="Calibri"/>
                <w:sz w:val="20"/>
                <w:szCs w:val="20"/>
              </w:rPr>
            </w:pPr>
            <w:r>
              <w:rPr>
                <w:rFonts w:ascii="Calibri" w:hAnsi="Calibri"/>
                <w:sz w:val="20"/>
                <w:szCs w:val="20"/>
              </w:rPr>
              <w:t>2,239,760.06</w:t>
            </w:r>
          </w:p>
        </w:tc>
      </w:tr>
      <w:tr w14:paraId="509F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3" w:type="dxa"/>
            <w:vAlign w:val="center"/>
          </w:tcPr>
          <w:p w14:paraId="3EFC02C2">
            <w:pPr>
              <w:rPr>
                <w:rFonts w:ascii="Calibri" w:hAnsi="Calibri"/>
                <w:sz w:val="20"/>
                <w:szCs w:val="20"/>
              </w:rPr>
            </w:pPr>
            <w:r>
              <w:rPr>
                <w:rFonts w:hint="eastAsia" w:ascii="Calibri" w:hAnsi="Calibri"/>
                <w:sz w:val="20"/>
                <w:szCs w:val="20"/>
              </w:rPr>
              <w:t>内部交易未实现利润</w:t>
            </w:r>
          </w:p>
        </w:tc>
        <w:tc>
          <w:tcPr>
            <w:tcW w:w="1650" w:type="dxa"/>
            <w:vAlign w:val="center"/>
          </w:tcPr>
          <w:p w14:paraId="38D103D9">
            <w:pPr>
              <w:jc w:val="right"/>
              <w:rPr>
                <w:rFonts w:ascii="Calibri" w:hAnsi="Calibri"/>
                <w:sz w:val="20"/>
                <w:szCs w:val="20"/>
              </w:rPr>
            </w:pPr>
            <w:r>
              <w:rPr>
                <w:rFonts w:ascii="Calibri" w:hAnsi="Calibri"/>
                <w:sz w:val="20"/>
                <w:szCs w:val="20"/>
              </w:rPr>
              <w:t>268,862,572.04</w:t>
            </w:r>
          </w:p>
        </w:tc>
        <w:tc>
          <w:tcPr>
            <w:tcW w:w="1648" w:type="dxa"/>
            <w:vAlign w:val="center"/>
          </w:tcPr>
          <w:p w14:paraId="342868EB">
            <w:pPr>
              <w:jc w:val="right"/>
              <w:rPr>
                <w:rFonts w:ascii="Calibri" w:hAnsi="Calibri"/>
                <w:sz w:val="20"/>
                <w:szCs w:val="20"/>
              </w:rPr>
            </w:pPr>
            <w:r>
              <w:rPr>
                <w:rFonts w:ascii="Calibri" w:hAnsi="Calibri"/>
                <w:sz w:val="20"/>
                <w:szCs w:val="20"/>
              </w:rPr>
              <w:t>40,683,845.38</w:t>
            </w:r>
          </w:p>
        </w:tc>
        <w:tc>
          <w:tcPr>
            <w:tcW w:w="1663" w:type="dxa"/>
            <w:vAlign w:val="center"/>
          </w:tcPr>
          <w:p w14:paraId="3561F7CA">
            <w:pPr>
              <w:jc w:val="right"/>
              <w:rPr>
                <w:rFonts w:ascii="Calibri" w:hAnsi="Calibri"/>
                <w:sz w:val="20"/>
                <w:szCs w:val="20"/>
              </w:rPr>
            </w:pPr>
            <w:r>
              <w:rPr>
                <w:rFonts w:ascii="Calibri" w:hAnsi="Calibri"/>
                <w:sz w:val="20"/>
                <w:szCs w:val="20"/>
              </w:rPr>
              <w:t>53,736,596.45</w:t>
            </w:r>
          </w:p>
        </w:tc>
        <w:tc>
          <w:tcPr>
            <w:tcW w:w="1646" w:type="dxa"/>
            <w:vAlign w:val="center"/>
          </w:tcPr>
          <w:p w14:paraId="743F153B">
            <w:pPr>
              <w:jc w:val="right"/>
              <w:rPr>
                <w:rFonts w:ascii="Calibri" w:hAnsi="Calibri"/>
                <w:sz w:val="20"/>
                <w:szCs w:val="20"/>
              </w:rPr>
            </w:pPr>
            <w:r>
              <w:rPr>
                <w:rFonts w:ascii="Calibri" w:hAnsi="Calibri"/>
                <w:sz w:val="20"/>
                <w:szCs w:val="20"/>
              </w:rPr>
              <w:t>8,185,550.01</w:t>
            </w:r>
          </w:p>
        </w:tc>
      </w:tr>
      <w:tr w14:paraId="1078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3" w:type="dxa"/>
            <w:vAlign w:val="center"/>
          </w:tcPr>
          <w:p w14:paraId="7E29AA53">
            <w:pPr>
              <w:rPr>
                <w:rFonts w:ascii="Calibri" w:hAnsi="Calibri"/>
                <w:sz w:val="20"/>
                <w:szCs w:val="20"/>
              </w:rPr>
            </w:pPr>
            <w:r>
              <w:rPr>
                <w:rFonts w:ascii="Calibri" w:hAnsi="Calibri"/>
                <w:sz w:val="20"/>
                <w:szCs w:val="20"/>
              </w:rPr>
              <w:t>坏账准备</w:t>
            </w:r>
          </w:p>
        </w:tc>
        <w:tc>
          <w:tcPr>
            <w:tcW w:w="1650" w:type="dxa"/>
            <w:vAlign w:val="center"/>
          </w:tcPr>
          <w:p w14:paraId="11E59F17">
            <w:pPr>
              <w:jc w:val="right"/>
              <w:rPr>
                <w:rFonts w:ascii="Calibri" w:hAnsi="Calibri"/>
                <w:sz w:val="20"/>
                <w:szCs w:val="20"/>
              </w:rPr>
            </w:pPr>
            <w:r>
              <w:rPr>
                <w:rFonts w:ascii="Calibri" w:hAnsi="Calibri"/>
                <w:sz w:val="20"/>
                <w:szCs w:val="20"/>
              </w:rPr>
              <w:t>99,643,997.51</w:t>
            </w:r>
          </w:p>
        </w:tc>
        <w:tc>
          <w:tcPr>
            <w:tcW w:w="1648" w:type="dxa"/>
            <w:vAlign w:val="center"/>
          </w:tcPr>
          <w:p w14:paraId="792EDB25">
            <w:pPr>
              <w:jc w:val="right"/>
              <w:rPr>
                <w:rFonts w:ascii="Calibri" w:hAnsi="Calibri"/>
                <w:sz w:val="20"/>
                <w:szCs w:val="20"/>
              </w:rPr>
            </w:pPr>
            <w:r>
              <w:rPr>
                <w:rFonts w:ascii="Calibri" w:hAnsi="Calibri"/>
                <w:sz w:val="20"/>
                <w:szCs w:val="20"/>
              </w:rPr>
              <w:t>15,046,556.70</w:t>
            </w:r>
          </w:p>
        </w:tc>
        <w:tc>
          <w:tcPr>
            <w:tcW w:w="1663" w:type="dxa"/>
            <w:vAlign w:val="center"/>
          </w:tcPr>
          <w:p w14:paraId="74FC4848">
            <w:pPr>
              <w:jc w:val="right"/>
              <w:rPr>
                <w:rFonts w:ascii="Calibri" w:hAnsi="Calibri"/>
                <w:sz w:val="20"/>
                <w:szCs w:val="20"/>
              </w:rPr>
            </w:pPr>
            <w:r>
              <w:rPr>
                <w:rFonts w:ascii="Calibri" w:hAnsi="Calibri"/>
                <w:sz w:val="20"/>
                <w:szCs w:val="20"/>
              </w:rPr>
              <w:t>116,895,765.53</w:t>
            </w:r>
          </w:p>
        </w:tc>
        <w:tc>
          <w:tcPr>
            <w:tcW w:w="1646" w:type="dxa"/>
            <w:vAlign w:val="center"/>
          </w:tcPr>
          <w:p w14:paraId="205753C2">
            <w:pPr>
              <w:jc w:val="right"/>
              <w:rPr>
                <w:rFonts w:ascii="Calibri" w:hAnsi="Calibri"/>
                <w:sz w:val="20"/>
                <w:szCs w:val="20"/>
              </w:rPr>
            </w:pPr>
            <w:r>
              <w:rPr>
                <w:rFonts w:ascii="Calibri" w:hAnsi="Calibri"/>
                <w:sz w:val="20"/>
                <w:szCs w:val="20"/>
              </w:rPr>
              <w:t>17,566,135.62</w:t>
            </w:r>
          </w:p>
        </w:tc>
      </w:tr>
      <w:tr w14:paraId="2A7F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3" w:type="dxa"/>
            <w:vAlign w:val="center"/>
          </w:tcPr>
          <w:p w14:paraId="34AB7788">
            <w:pPr>
              <w:rPr>
                <w:rFonts w:ascii="Calibri" w:hAnsi="Calibri"/>
                <w:sz w:val="20"/>
                <w:szCs w:val="20"/>
              </w:rPr>
            </w:pPr>
            <w:r>
              <w:rPr>
                <w:rFonts w:ascii="Calibri" w:hAnsi="Calibri"/>
                <w:sz w:val="20"/>
                <w:szCs w:val="20"/>
              </w:rPr>
              <w:t>存货跌价准备</w:t>
            </w:r>
          </w:p>
        </w:tc>
        <w:tc>
          <w:tcPr>
            <w:tcW w:w="1650" w:type="dxa"/>
            <w:vAlign w:val="center"/>
          </w:tcPr>
          <w:p w14:paraId="2CF4B426">
            <w:pPr>
              <w:jc w:val="right"/>
              <w:rPr>
                <w:rFonts w:ascii="Calibri" w:hAnsi="Calibri"/>
                <w:sz w:val="20"/>
                <w:szCs w:val="20"/>
              </w:rPr>
            </w:pPr>
            <w:r>
              <w:rPr>
                <w:rFonts w:ascii="Calibri" w:hAnsi="Calibri"/>
                <w:sz w:val="20"/>
                <w:szCs w:val="20"/>
              </w:rPr>
              <w:t>24,429,840.69</w:t>
            </w:r>
          </w:p>
        </w:tc>
        <w:tc>
          <w:tcPr>
            <w:tcW w:w="1648" w:type="dxa"/>
            <w:vAlign w:val="center"/>
          </w:tcPr>
          <w:p w14:paraId="5DCBF82A">
            <w:pPr>
              <w:jc w:val="right"/>
              <w:rPr>
                <w:rFonts w:ascii="Calibri" w:hAnsi="Calibri"/>
                <w:sz w:val="20"/>
                <w:szCs w:val="20"/>
              </w:rPr>
            </w:pPr>
            <w:r>
              <w:rPr>
                <w:rFonts w:ascii="Calibri" w:hAnsi="Calibri"/>
                <w:sz w:val="20"/>
                <w:szCs w:val="20"/>
              </w:rPr>
              <w:t>3,664,476.10</w:t>
            </w:r>
          </w:p>
        </w:tc>
        <w:tc>
          <w:tcPr>
            <w:tcW w:w="1663" w:type="dxa"/>
            <w:vAlign w:val="center"/>
          </w:tcPr>
          <w:p w14:paraId="208EA10F">
            <w:pPr>
              <w:jc w:val="right"/>
              <w:rPr>
                <w:rFonts w:ascii="Calibri" w:hAnsi="Calibri"/>
                <w:sz w:val="20"/>
                <w:szCs w:val="20"/>
              </w:rPr>
            </w:pPr>
            <w:r>
              <w:rPr>
                <w:rFonts w:ascii="Calibri" w:hAnsi="Calibri"/>
                <w:sz w:val="20"/>
                <w:szCs w:val="20"/>
              </w:rPr>
              <w:t>43,563,830.51</w:t>
            </w:r>
          </w:p>
        </w:tc>
        <w:tc>
          <w:tcPr>
            <w:tcW w:w="1646" w:type="dxa"/>
            <w:vAlign w:val="center"/>
          </w:tcPr>
          <w:p w14:paraId="22A84ECF">
            <w:pPr>
              <w:jc w:val="right"/>
              <w:rPr>
                <w:rFonts w:ascii="Calibri" w:hAnsi="Calibri"/>
                <w:sz w:val="20"/>
                <w:szCs w:val="20"/>
              </w:rPr>
            </w:pPr>
            <w:r>
              <w:rPr>
                <w:rFonts w:ascii="Calibri" w:hAnsi="Calibri"/>
                <w:sz w:val="20"/>
                <w:szCs w:val="20"/>
              </w:rPr>
              <w:t>9,142,670.78</w:t>
            </w:r>
          </w:p>
        </w:tc>
      </w:tr>
      <w:tr w14:paraId="60EA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3" w:type="dxa"/>
            <w:vAlign w:val="center"/>
          </w:tcPr>
          <w:p w14:paraId="14CCE567">
            <w:pPr>
              <w:rPr>
                <w:rFonts w:ascii="Calibri" w:hAnsi="Calibri"/>
                <w:sz w:val="20"/>
                <w:szCs w:val="20"/>
              </w:rPr>
            </w:pPr>
            <w:r>
              <w:rPr>
                <w:rFonts w:ascii="Calibri" w:hAnsi="Calibri"/>
                <w:sz w:val="20"/>
                <w:szCs w:val="20"/>
              </w:rPr>
              <w:t>职工教育经费</w:t>
            </w:r>
          </w:p>
        </w:tc>
        <w:tc>
          <w:tcPr>
            <w:tcW w:w="1650" w:type="dxa"/>
            <w:vAlign w:val="center"/>
          </w:tcPr>
          <w:p w14:paraId="5C791822">
            <w:pPr>
              <w:jc w:val="right"/>
              <w:rPr>
                <w:rFonts w:ascii="Calibri" w:hAnsi="Calibri"/>
                <w:sz w:val="20"/>
                <w:szCs w:val="20"/>
              </w:rPr>
            </w:pPr>
          </w:p>
        </w:tc>
        <w:tc>
          <w:tcPr>
            <w:tcW w:w="1648" w:type="dxa"/>
            <w:vAlign w:val="center"/>
          </w:tcPr>
          <w:p w14:paraId="7D970BD5">
            <w:pPr>
              <w:jc w:val="right"/>
              <w:rPr>
                <w:rFonts w:ascii="Calibri" w:hAnsi="Calibri"/>
                <w:sz w:val="20"/>
                <w:szCs w:val="20"/>
              </w:rPr>
            </w:pPr>
          </w:p>
        </w:tc>
        <w:tc>
          <w:tcPr>
            <w:tcW w:w="1663" w:type="dxa"/>
            <w:vAlign w:val="center"/>
          </w:tcPr>
          <w:p w14:paraId="51297228">
            <w:pPr>
              <w:jc w:val="right"/>
              <w:rPr>
                <w:rFonts w:ascii="Calibri" w:hAnsi="Calibri"/>
                <w:sz w:val="20"/>
                <w:szCs w:val="20"/>
              </w:rPr>
            </w:pPr>
            <w:r>
              <w:rPr>
                <w:rFonts w:ascii="Calibri" w:hAnsi="Calibri"/>
                <w:sz w:val="20"/>
                <w:szCs w:val="20"/>
              </w:rPr>
              <w:t>78,785.55</w:t>
            </w:r>
          </w:p>
        </w:tc>
        <w:tc>
          <w:tcPr>
            <w:tcW w:w="1646" w:type="dxa"/>
            <w:vAlign w:val="center"/>
          </w:tcPr>
          <w:p w14:paraId="22A8A47D">
            <w:pPr>
              <w:jc w:val="right"/>
              <w:rPr>
                <w:rFonts w:ascii="Calibri" w:hAnsi="Calibri"/>
                <w:sz w:val="20"/>
                <w:szCs w:val="20"/>
              </w:rPr>
            </w:pPr>
            <w:r>
              <w:rPr>
                <w:rFonts w:ascii="Calibri" w:hAnsi="Calibri"/>
                <w:sz w:val="20"/>
                <w:szCs w:val="20"/>
              </w:rPr>
              <w:t>19,696.39</w:t>
            </w:r>
          </w:p>
        </w:tc>
      </w:tr>
      <w:tr w14:paraId="6BF1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3" w:type="dxa"/>
            <w:vAlign w:val="center"/>
          </w:tcPr>
          <w:p w14:paraId="23894796">
            <w:pPr>
              <w:rPr>
                <w:rFonts w:ascii="Calibri" w:hAnsi="Calibri"/>
                <w:sz w:val="20"/>
                <w:szCs w:val="20"/>
              </w:rPr>
            </w:pPr>
            <w:r>
              <w:rPr>
                <w:rFonts w:ascii="Calibri" w:hAnsi="Calibri"/>
                <w:sz w:val="20"/>
                <w:szCs w:val="20"/>
              </w:rPr>
              <w:t>政府补助收入</w:t>
            </w:r>
          </w:p>
        </w:tc>
        <w:tc>
          <w:tcPr>
            <w:tcW w:w="1650" w:type="dxa"/>
            <w:vAlign w:val="center"/>
          </w:tcPr>
          <w:p w14:paraId="33437EC6">
            <w:pPr>
              <w:jc w:val="right"/>
              <w:rPr>
                <w:rFonts w:ascii="Calibri" w:hAnsi="Calibri"/>
                <w:sz w:val="20"/>
                <w:szCs w:val="20"/>
              </w:rPr>
            </w:pPr>
            <w:r>
              <w:rPr>
                <w:rFonts w:ascii="Calibri" w:hAnsi="Calibri"/>
                <w:sz w:val="20"/>
                <w:szCs w:val="20"/>
              </w:rPr>
              <w:t>17,409,833.43</w:t>
            </w:r>
          </w:p>
        </w:tc>
        <w:tc>
          <w:tcPr>
            <w:tcW w:w="1648" w:type="dxa"/>
            <w:vAlign w:val="center"/>
          </w:tcPr>
          <w:p w14:paraId="0F293E7F">
            <w:pPr>
              <w:jc w:val="right"/>
              <w:rPr>
                <w:rFonts w:ascii="Calibri" w:hAnsi="Calibri"/>
                <w:sz w:val="20"/>
                <w:szCs w:val="20"/>
              </w:rPr>
            </w:pPr>
            <w:r>
              <w:rPr>
                <w:rFonts w:ascii="Calibri" w:hAnsi="Calibri"/>
                <w:sz w:val="20"/>
                <w:szCs w:val="20"/>
              </w:rPr>
              <w:t>2,611,475.01</w:t>
            </w:r>
          </w:p>
        </w:tc>
        <w:tc>
          <w:tcPr>
            <w:tcW w:w="1663" w:type="dxa"/>
            <w:vAlign w:val="center"/>
          </w:tcPr>
          <w:p w14:paraId="3D62E538">
            <w:pPr>
              <w:jc w:val="right"/>
              <w:rPr>
                <w:rFonts w:ascii="Calibri" w:hAnsi="Calibri"/>
                <w:sz w:val="20"/>
                <w:szCs w:val="20"/>
              </w:rPr>
            </w:pPr>
            <w:r>
              <w:rPr>
                <w:rFonts w:ascii="Calibri" w:hAnsi="Calibri"/>
                <w:sz w:val="20"/>
                <w:szCs w:val="20"/>
              </w:rPr>
              <w:t>16,054,500.03</w:t>
            </w:r>
          </w:p>
        </w:tc>
        <w:tc>
          <w:tcPr>
            <w:tcW w:w="1646" w:type="dxa"/>
            <w:vAlign w:val="center"/>
          </w:tcPr>
          <w:p w14:paraId="5502D206">
            <w:pPr>
              <w:jc w:val="right"/>
              <w:rPr>
                <w:rFonts w:ascii="Calibri" w:hAnsi="Calibri"/>
                <w:sz w:val="20"/>
                <w:szCs w:val="20"/>
              </w:rPr>
            </w:pPr>
            <w:r>
              <w:rPr>
                <w:rFonts w:ascii="Calibri" w:hAnsi="Calibri"/>
                <w:sz w:val="20"/>
                <w:szCs w:val="20"/>
              </w:rPr>
              <w:t>2,408,175.00</w:t>
            </w:r>
          </w:p>
        </w:tc>
      </w:tr>
      <w:tr w14:paraId="5EF8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3" w:type="dxa"/>
            <w:tcBorders>
              <w:bottom w:val="single" w:color="auto" w:sz="4" w:space="0"/>
            </w:tcBorders>
            <w:vAlign w:val="center"/>
          </w:tcPr>
          <w:p w14:paraId="201E966A">
            <w:pPr>
              <w:rPr>
                <w:rFonts w:ascii="Calibri" w:hAnsi="Calibri"/>
                <w:sz w:val="20"/>
                <w:szCs w:val="20"/>
              </w:rPr>
            </w:pPr>
            <w:r>
              <w:rPr>
                <w:rFonts w:hint="eastAsia" w:ascii="Calibri" w:hAnsi="Calibri"/>
                <w:sz w:val="20"/>
                <w:szCs w:val="20"/>
              </w:rPr>
              <w:t>可抵扣亏损</w:t>
            </w:r>
          </w:p>
        </w:tc>
        <w:tc>
          <w:tcPr>
            <w:tcW w:w="1650" w:type="dxa"/>
            <w:vAlign w:val="center"/>
          </w:tcPr>
          <w:p w14:paraId="71D2E812">
            <w:pPr>
              <w:jc w:val="right"/>
              <w:rPr>
                <w:rFonts w:ascii="Calibri" w:hAnsi="Calibri"/>
                <w:sz w:val="20"/>
                <w:szCs w:val="20"/>
              </w:rPr>
            </w:pPr>
            <w:r>
              <w:rPr>
                <w:rFonts w:ascii="Calibri" w:hAnsi="Calibri"/>
                <w:sz w:val="20"/>
                <w:szCs w:val="20"/>
              </w:rPr>
              <w:t>100,896.36</w:t>
            </w:r>
          </w:p>
        </w:tc>
        <w:tc>
          <w:tcPr>
            <w:tcW w:w="1648" w:type="dxa"/>
            <w:vAlign w:val="center"/>
          </w:tcPr>
          <w:p w14:paraId="426550DD">
            <w:pPr>
              <w:jc w:val="right"/>
              <w:rPr>
                <w:rFonts w:ascii="Calibri" w:hAnsi="Calibri"/>
                <w:sz w:val="20"/>
                <w:szCs w:val="20"/>
              </w:rPr>
            </w:pPr>
            <w:r>
              <w:rPr>
                <w:rFonts w:ascii="Calibri" w:hAnsi="Calibri"/>
                <w:sz w:val="20"/>
                <w:szCs w:val="20"/>
              </w:rPr>
              <w:t>5,044.82</w:t>
            </w:r>
          </w:p>
        </w:tc>
        <w:tc>
          <w:tcPr>
            <w:tcW w:w="1663" w:type="dxa"/>
            <w:vAlign w:val="center"/>
          </w:tcPr>
          <w:p w14:paraId="46CB25E0">
            <w:pPr>
              <w:jc w:val="right"/>
              <w:rPr>
                <w:rFonts w:ascii="Calibri" w:hAnsi="Calibri"/>
                <w:sz w:val="20"/>
                <w:szCs w:val="20"/>
              </w:rPr>
            </w:pPr>
            <w:r>
              <w:rPr>
                <w:rFonts w:ascii="Calibri" w:hAnsi="Calibri"/>
                <w:sz w:val="20"/>
                <w:szCs w:val="20"/>
              </w:rPr>
              <w:t>641,948,799.95</w:t>
            </w:r>
          </w:p>
        </w:tc>
        <w:tc>
          <w:tcPr>
            <w:tcW w:w="1646" w:type="dxa"/>
            <w:vAlign w:val="center"/>
          </w:tcPr>
          <w:p w14:paraId="7DFD19FB">
            <w:pPr>
              <w:jc w:val="right"/>
              <w:rPr>
                <w:rFonts w:ascii="Calibri" w:hAnsi="Calibri"/>
                <w:sz w:val="20"/>
                <w:szCs w:val="20"/>
              </w:rPr>
            </w:pPr>
            <w:r>
              <w:rPr>
                <w:rFonts w:ascii="Calibri" w:hAnsi="Calibri"/>
                <w:sz w:val="20"/>
                <w:szCs w:val="20"/>
              </w:rPr>
              <w:t>96,409,413.93</w:t>
            </w:r>
          </w:p>
        </w:tc>
      </w:tr>
      <w:tr w14:paraId="09C8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3" w:type="dxa"/>
            <w:vAlign w:val="center"/>
          </w:tcPr>
          <w:p w14:paraId="0612DF4E">
            <w:pPr>
              <w:pStyle w:val="48"/>
              <w:rPr>
                <w:sz w:val="20"/>
                <w:szCs w:val="20"/>
              </w:rPr>
            </w:pPr>
            <w:r>
              <w:rPr>
                <w:sz w:val="20"/>
                <w:szCs w:val="20"/>
              </w:rPr>
              <w:t>可结转扣除的公益性捐赠支出</w:t>
            </w:r>
          </w:p>
        </w:tc>
        <w:tc>
          <w:tcPr>
            <w:tcW w:w="1650" w:type="dxa"/>
            <w:vAlign w:val="center"/>
          </w:tcPr>
          <w:p w14:paraId="11CFABF0">
            <w:pPr>
              <w:jc w:val="right"/>
              <w:rPr>
                <w:rFonts w:ascii="Calibri" w:hAnsi="Calibri"/>
                <w:sz w:val="20"/>
                <w:szCs w:val="20"/>
              </w:rPr>
            </w:pPr>
          </w:p>
        </w:tc>
        <w:tc>
          <w:tcPr>
            <w:tcW w:w="1648" w:type="dxa"/>
            <w:vAlign w:val="center"/>
          </w:tcPr>
          <w:p w14:paraId="15A95318">
            <w:pPr>
              <w:jc w:val="right"/>
              <w:rPr>
                <w:rFonts w:ascii="Calibri" w:hAnsi="Calibri"/>
                <w:sz w:val="20"/>
                <w:szCs w:val="20"/>
              </w:rPr>
            </w:pPr>
          </w:p>
        </w:tc>
        <w:tc>
          <w:tcPr>
            <w:tcW w:w="1663" w:type="dxa"/>
            <w:vAlign w:val="center"/>
          </w:tcPr>
          <w:p w14:paraId="2FAED970">
            <w:pPr>
              <w:jc w:val="right"/>
              <w:rPr>
                <w:rFonts w:ascii="Calibri" w:hAnsi="Calibri"/>
                <w:sz w:val="20"/>
                <w:szCs w:val="20"/>
              </w:rPr>
            </w:pPr>
            <w:r>
              <w:rPr>
                <w:rFonts w:ascii="Calibri" w:hAnsi="Calibri"/>
                <w:sz w:val="20"/>
                <w:szCs w:val="20"/>
              </w:rPr>
              <w:t>5,384,474.75</w:t>
            </w:r>
          </w:p>
        </w:tc>
        <w:tc>
          <w:tcPr>
            <w:tcW w:w="1646" w:type="dxa"/>
            <w:vAlign w:val="center"/>
          </w:tcPr>
          <w:p w14:paraId="20BF7914">
            <w:pPr>
              <w:jc w:val="right"/>
              <w:rPr>
                <w:rFonts w:ascii="Calibri" w:hAnsi="Calibri"/>
                <w:sz w:val="20"/>
                <w:szCs w:val="20"/>
              </w:rPr>
            </w:pPr>
            <w:r>
              <w:rPr>
                <w:rFonts w:ascii="Calibri" w:hAnsi="Calibri"/>
                <w:sz w:val="20"/>
                <w:szCs w:val="20"/>
              </w:rPr>
              <w:t>807,671.21</w:t>
            </w:r>
          </w:p>
        </w:tc>
      </w:tr>
      <w:tr w14:paraId="7D12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3" w:type="dxa"/>
            <w:vAlign w:val="center"/>
          </w:tcPr>
          <w:p w14:paraId="4D727B0F">
            <w:pPr>
              <w:pStyle w:val="48"/>
              <w:rPr>
                <w:sz w:val="20"/>
                <w:szCs w:val="20"/>
              </w:rPr>
            </w:pPr>
            <w:r>
              <w:rPr>
                <w:sz w:val="20"/>
                <w:szCs w:val="20"/>
              </w:rPr>
              <w:t>在建工程减值准备</w:t>
            </w:r>
          </w:p>
        </w:tc>
        <w:tc>
          <w:tcPr>
            <w:tcW w:w="1650" w:type="dxa"/>
            <w:vAlign w:val="center"/>
          </w:tcPr>
          <w:p w14:paraId="1A557850">
            <w:pPr>
              <w:jc w:val="right"/>
              <w:rPr>
                <w:rFonts w:ascii="Calibri" w:hAnsi="Calibri"/>
                <w:sz w:val="20"/>
                <w:szCs w:val="20"/>
              </w:rPr>
            </w:pPr>
            <w:r>
              <w:rPr>
                <w:rFonts w:ascii="Calibri" w:hAnsi="Calibri"/>
                <w:sz w:val="20"/>
                <w:szCs w:val="20"/>
              </w:rPr>
              <w:t>5,654,398.60</w:t>
            </w:r>
          </w:p>
        </w:tc>
        <w:tc>
          <w:tcPr>
            <w:tcW w:w="1648" w:type="dxa"/>
            <w:vAlign w:val="center"/>
          </w:tcPr>
          <w:p w14:paraId="033A28AD">
            <w:pPr>
              <w:jc w:val="right"/>
              <w:rPr>
                <w:rFonts w:ascii="Calibri" w:hAnsi="Calibri"/>
                <w:sz w:val="20"/>
                <w:szCs w:val="20"/>
              </w:rPr>
            </w:pPr>
            <w:r>
              <w:rPr>
                <w:rFonts w:ascii="Calibri" w:hAnsi="Calibri"/>
                <w:sz w:val="20"/>
                <w:szCs w:val="20"/>
              </w:rPr>
              <w:t>848,159.79</w:t>
            </w:r>
          </w:p>
        </w:tc>
        <w:tc>
          <w:tcPr>
            <w:tcW w:w="1663" w:type="dxa"/>
            <w:vAlign w:val="center"/>
          </w:tcPr>
          <w:p w14:paraId="2AA4E4CE">
            <w:pPr>
              <w:jc w:val="right"/>
              <w:rPr>
                <w:rFonts w:ascii="Calibri" w:hAnsi="Calibri"/>
                <w:sz w:val="20"/>
                <w:szCs w:val="20"/>
              </w:rPr>
            </w:pPr>
            <w:r>
              <w:rPr>
                <w:rFonts w:ascii="Calibri" w:hAnsi="Calibri"/>
                <w:sz w:val="20"/>
                <w:szCs w:val="20"/>
              </w:rPr>
              <w:t>9,013,000.00</w:t>
            </w:r>
          </w:p>
        </w:tc>
        <w:tc>
          <w:tcPr>
            <w:tcW w:w="1646" w:type="dxa"/>
            <w:vAlign w:val="center"/>
          </w:tcPr>
          <w:p w14:paraId="368A0ECC">
            <w:pPr>
              <w:jc w:val="right"/>
              <w:rPr>
                <w:rFonts w:ascii="Calibri" w:hAnsi="Calibri"/>
                <w:sz w:val="20"/>
                <w:szCs w:val="20"/>
              </w:rPr>
            </w:pPr>
            <w:r>
              <w:rPr>
                <w:rFonts w:ascii="Calibri" w:hAnsi="Calibri"/>
                <w:sz w:val="20"/>
                <w:szCs w:val="20"/>
              </w:rPr>
              <w:t>1,351,950.00</w:t>
            </w:r>
          </w:p>
        </w:tc>
      </w:tr>
      <w:tr w14:paraId="542C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3" w:type="dxa"/>
            <w:vAlign w:val="center"/>
          </w:tcPr>
          <w:p w14:paraId="41A08181">
            <w:pPr>
              <w:pStyle w:val="48"/>
              <w:rPr>
                <w:sz w:val="20"/>
                <w:szCs w:val="20"/>
              </w:rPr>
            </w:pPr>
            <w:r>
              <w:rPr>
                <w:sz w:val="20"/>
                <w:szCs w:val="20"/>
              </w:rPr>
              <w:t>租赁负债</w:t>
            </w:r>
          </w:p>
        </w:tc>
        <w:tc>
          <w:tcPr>
            <w:tcW w:w="1650" w:type="dxa"/>
            <w:vAlign w:val="center"/>
          </w:tcPr>
          <w:p w14:paraId="274CBBB2">
            <w:pPr>
              <w:jc w:val="right"/>
              <w:rPr>
                <w:rFonts w:ascii="Calibri" w:hAnsi="Calibri"/>
                <w:sz w:val="20"/>
                <w:szCs w:val="20"/>
              </w:rPr>
            </w:pPr>
            <w:r>
              <w:rPr>
                <w:rFonts w:ascii="Calibri" w:hAnsi="Calibri"/>
                <w:sz w:val="20"/>
                <w:szCs w:val="20"/>
              </w:rPr>
              <w:t>33,922,099.20</w:t>
            </w:r>
          </w:p>
        </w:tc>
        <w:tc>
          <w:tcPr>
            <w:tcW w:w="1648" w:type="dxa"/>
            <w:vAlign w:val="center"/>
          </w:tcPr>
          <w:p w14:paraId="560CD0C0">
            <w:pPr>
              <w:jc w:val="right"/>
              <w:rPr>
                <w:rFonts w:ascii="Calibri" w:hAnsi="Calibri"/>
                <w:sz w:val="20"/>
                <w:szCs w:val="20"/>
              </w:rPr>
            </w:pPr>
            <w:r>
              <w:rPr>
                <w:rFonts w:ascii="Calibri" w:hAnsi="Calibri"/>
                <w:sz w:val="20"/>
                <w:szCs w:val="20"/>
              </w:rPr>
              <w:t>7,923,572.47</w:t>
            </w:r>
          </w:p>
        </w:tc>
        <w:tc>
          <w:tcPr>
            <w:tcW w:w="1663" w:type="dxa"/>
            <w:vAlign w:val="center"/>
          </w:tcPr>
          <w:p w14:paraId="3D627329">
            <w:pPr>
              <w:jc w:val="right"/>
              <w:rPr>
                <w:rFonts w:ascii="Calibri" w:hAnsi="Calibri"/>
                <w:sz w:val="20"/>
                <w:szCs w:val="20"/>
              </w:rPr>
            </w:pPr>
            <w:r>
              <w:rPr>
                <w:rFonts w:ascii="Calibri" w:hAnsi="Calibri"/>
                <w:sz w:val="20"/>
                <w:szCs w:val="20"/>
              </w:rPr>
              <w:t>23,899,035.59</w:t>
            </w:r>
          </w:p>
        </w:tc>
        <w:tc>
          <w:tcPr>
            <w:tcW w:w="1646" w:type="dxa"/>
            <w:vAlign w:val="center"/>
          </w:tcPr>
          <w:p w14:paraId="1F700CD5">
            <w:pPr>
              <w:jc w:val="right"/>
              <w:rPr>
                <w:rFonts w:ascii="Calibri" w:hAnsi="Calibri"/>
                <w:sz w:val="20"/>
                <w:szCs w:val="20"/>
              </w:rPr>
            </w:pPr>
            <w:r>
              <w:rPr>
                <w:rFonts w:ascii="Calibri" w:hAnsi="Calibri"/>
                <w:sz w:val="20"/>
                <w:szCs w:val="20"/>
              </w:rPr>
              <w:t>4,779,807.12</w:t>
            </w:r>
          </w:p>
        </w:tc>
      </w:tr>
      <w:tr w14:paraId="6696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3" w:type="dxa"/>
            <w:vAlign w:val="center"/>
          </w:tcPr>
          <w:p w14:paraId="02B23D6E">
            <w:pPr>
              <w:pStyle w:val="48"/>
              <w:rPr>
                <w:sz w:val="20"/>
                <w:szCs w:val="20"/>
              </w:rPr>
            </w:pPr>
            <w:r>
              <w:rPr>
                <w:sz w:val="20"/>
                <w:szCs w:val="20"/>
              </w:rPr>
              <w:t>股权激励</w:t>
            </w:r>
          </w:p>
        </w:tc>
        <w:tc>
          <w:tcPr>
            <w:tcW w:w="1650" w:type="dxa"/>
            <w:vAlign w:val="center"/>
          </w:tcPr>
          <w:p w14:paraId="283D438C">
            <w:pPr>
              <w:jc w:val="right"/>
              <w:rPr>
                <w:rFonts w:ascii="Calibri" w:hAnsi="Calibri"/>
                <w:sz w:val="20"/>
                <w:szCs w:val="20"/>
              </w:rPr>
            </w:pPr>
            <w:r>
              <w:rPr>
                <w:rFonts w:ascii="Calibri" w:hAnsi="Calibri"/>
                <w:sz w:val="20"/>
                <w:szCs w:val="20"/>
              </w:rPr>
              <w:t>5,574,000.00</w:t>
            </w:r>
          </w:p>
        </w:tc>
        <w:tc>
          <w:tcPr>
            <w:tcW w:w="1648" w:type="dxa"/>
            <w:vAlign w:val="center"/>
          </w:tcPr>
          <w:p w14:paraId="0C5D7F89">
            <w:pPr>
              <w:jc w:val="right"/>
              <w:rPr>
                <w:rFonts w:ascii="Calibri" w:hAnsi="Calibri"/>
                <w:sz w:val="20"/>
                <w:szCs w:val="20"/>
              </w:rPr>
            </w:pPr>
            <w:r>
              <w:rPr>
                <w:rFonts w:ascii="Calibri" w:hAnsi="Calibri"/>
                <w:sz w:val="20"/>
                <w:szCs w:val="20"/>
              </w:rPr>
              <w:t>836,100.00</w:t>
            </w:r>
          </w:p>
        </w:tc>
        <w:tc>
          <w:tcPr>
            <w:tcW w:w="1663" w:type="dxa"/>
            <w:vAlign w:val="center"/>
          </w:tcPr>
          <w:p w14:paraId="6C16D7D9">
            <w:pPr>
              <w:jc w:val="right"/>
              <w:rPr>
                <w:rFonts w:ascii="Calibri" w:hAnsi="Calibri"/>
                <w:sz w:val="20"/>
                <w:szCs w:val="20"/>
              </w:rPr>
            </w:pPr>
          </w:p>
        </w:tc>
        <w:tc>
          <w:tcPr>
            <w:tcW w:w="1646" w:type="dxa"/>
            <w:vAlign w:val="center"/>
          </w:tcPr>
          <w:p w14:paraId="081C6935">
            <w:pPr>
              <w:jc w:val="right"/>
              <w:rPr>
                <w:rFonts w:ascii="Calibri" w:hAnsi="Calibri"/>
                <w:sz w:val="20"/>
                <w:szCs w:val="20"/>
              </w:rPr>
            </w:pPr>
          </w:p>
        </w:tc>
      </w:tr>
      <w:tr w14:paraId="0878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3" w:type="dxa"/>
            <w:vAlign w:val="center"/>
          </w:tcPr>
          <w:p w14:paraId="1C58AC10">
            <w:pPr>
              <w:pStyle w:val="48"/>
              <w:rPr>
                <w:sz w:val="20"/>
                <w:szCs w:val="20"/>
              </w:rPr>
            </w:pPr>
            <w:r>
              <w:rPr>
                <w:sz w:val="20"/>
                <w:szCs w:val="20"/>
              </w:rPr>
              <w:t>投资性房地产减值准备</w:t>
            </w:r>
          </w:p>
        </w:tc>
        <w:tc>
          <w:tcPr>
            <w:tcW w:w="1650" w:type="dxa"/>
            <w:vAlign w:val="center"/>
          </w:tcPr>
          <w:p w14:paraId="227B08F4">
            <w:pPr>
              <w:jc w:val="right"/>
              <w:rPr>
                <w:rFonts w:ascii="Calibri" w:hAnsi="Calibri"/>
                <w:sz w:val="20"/>
                <w:szCs w:val="20"/>
              </w:rPr>
            </w:pPr>
            <w:r>
              <w:rPr>
                <w:rFonts w:ascii="Calibri" w:hAnsi="Calibri"/>
                <w:sz w:val="20"/>
                <w:szCs w:val="20"/>
              </w:rPr>
              <w:t>728,824.01</w:t>
            </w:r>
          </w:p>
        </w:tc>
        <w:tc>
          <w:tcPr>
            <w:tcW w:w="1648" w:type="dxa"/>
            <w:vAlign w:val="center"/>
          </w:tcPr>
          <w:p w14:paraId="2926DBD3">
            <w:pPr>
              <w:jc w:val="right"/>
              <w:rPr>
                <w:rFonts w:ascii="Calibri" w:hAnsi="Calibri"/>
                <w:sz w:val="20"/>
                <w:szCs w:val="20"/>
              </w:rPr>
            </w:pPr>
            <w:r>
              <w:rPr>
                <w:rFonts w:ascii="Calibri" w:hAnsi="Calibri"/>
                <w:sz w:val="20"/>
                <w:szCs w:val="20"/>
              </w:rPr>
              <w:t>109,323.60</w:t>
            </w:r>
          </w:p>
        </w:tc>
        <w:tc>
          <w:tcPr>
            <w:tcW w:w="1663" w:type="dxa"/>
            <w:vAlign w:val="center"/>
          </w:tcPr>
          <w:p w14:paraId="735D7BB6">
            <w:pPr>
              <w:jc w:val="right"/>
              <w:rPr>
                <w:rFonts w:ascii="Calibri" w:hAnsi="Calibri"/>
                <w:sz w:val="20"/>
                <w:szCs w:val="20"/>
              </w:rPr>
            </w:pPr>
          </w:p>
        </w:tc>
        <w:tc>
          <w:tcPr>
            <w:tcW w:w="1646" w:type="dxa"/>
            <w:vAlign w:val="center"/>
          </w:tcPr>
          <w:p w14:paraId="13D7402C">
            <w:pPr>
              <w:jc w:val="right"/>
              <w:rPr>
                <w:rFonts w:ascii="Calibri" w:hAnsi="Calibri"/>
                <w:sz w:val="20"/>
                <w:szCs w:val="20"/>
              </w:rPr>
            </w:pPr>
          </w:p>
        </w:tc>
      </w:tr>
      <w:tr w14:paraId="4D06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43" w:type="dxa"/>
            <w:vAlign w:val="center"/>
          </w:tcPr>
          <w:p w14:paraId="77F71F8C">
            <w:pPr>
              <w:jc w:val="center"/>
              <w:rPr>
                <w:rFonts w:ascii="Calibri" w:hAnsi="Calibri"/>
                <w:sz w:val="20"/>
                <w:szCs w:val="20"/>
              </w:rPr>
            </w:pPr>
            <w:r>
              <w:rPr>
                <w:rFonts w:hint="eastAsia" w:ascii="Calibri" w:hAnsi="Calibri"/>
                <w:sz w:val="20"/>
                <w:szCs w:val="20"/>
              </w:rPr>
              <w:t>合计</w:t>
            </w:r>
          </w:p>
        </w:tc>
        <w:tc>
          <w:tcPr>
            <w:tcW w:w="1650" w:type="dxa"/>
            <w:vAlign w:val="center"/>
          </w:tcPr>
          <w:p w14:paraId="509D9806">
            <w:pPr>
              <w:jc w:val="right"/>
              <w:rPr>
                <w:rFonts w:ascii="Calibri" w:hAnsi="Calibri"/>
                <w:sz w:val="20"/>
                <w:szCs w:val="20"/>
              </w:rPr>
            </w:pPr>
            <w:r>
              <w:rPr>
                <w:rFonts w:ascii="Calibri" w:hAnsi="Calibri"/>
                <w:sz w:val="20"/>
                <w:szCs w:val="20"/>
              </w:rPr>
              <w:t>471,254,241.80</w:t>
            </w:r>
          </w:p>
        </w:tc>
        <w:tc>
          <w:tcPr>
            <w:tcW w:w="1648" w:type="dxa"/>
            <w:vAlign w:val="center"/>
          </w:tcPr>
          <w:p w14:paraId="79B16AAC">
            <w:pPr>
              <w:jc w:val="right"/>
              <w:rPr>
                <w:rFonts w:ascii="Calibri" w:hAnsi="Calibri"/>
                <w:sz w:val="20"/>
                <w:szCs w:val="20"/>
              </w:rPr>
            </w:pPr>
            <w:r>
              <w:rPr>
                <w:rFonts w:ascii="Calibri" w:hAnsi="Calibri"/>
                <w:sz w:val="20"/>
                <w:szCs w:val="20"/>
              </w:rPr>
              <w:t>73,967,720.87</w:t>
            </w:r>
          </w:p>
        </w:tc>
        <w:tc>
          <w:tcPr>
            <w:tcW w:w="1663" w:type="dxa"/>
            <w:vAlign w:val="center"/>
          </w:tcPr>
          <w:p w14:paraId="61831985">
            <w:pPr>
              <w:jc w:val="right"/>
              <w:rPr>
                <w:rFonts w:ascii="Calibri" w:hAnsi="Calibri"/>
                <w:sz w:val="20"/>
                <w:szCs w:val="20"/>
              </w:rPr>
            </w:pPr>
            <w:r>
              <w:rPr>
                <w:rFonts w:ascii="Calibri" w:hAnsi="Calibri"/>
                <w:sz w:val="20"/>
                <w:szCs w:val="20"/>
              </w:rPr>
              <w:t>925,506,522.11</w:t>
            </w:r>
          </w:p>
        </w:tc>
        <w:tc>
          <w:tcPr>
            <w:tcW w:w="1646" w:type="dxa"/>
            <w:vAlign w:val="center"/>
          </w:tcPr>
          <w:p w14:paraId="6F74F8EC">
            <w:pPr>
              <w:jc w:val="right"/>
              <w:rPr>
                <w:rFonts w:ascii="Calibri" w:hAnsi="Calibri"/>
                <w:sz w:val="20"/>
                <w:szCs w:val="20"/>
              </w:rPr>
            </w:pPr>
            <w:r>
              <w:rPr>
                <w:rFonts w:ascii="Calibri" w:hAnsi="Calibri"/>
                <w:sz w:val="20"/>
                <w:szCs w:val="20"/>
              </w:rPr>
              <w:t>142,910,830.12</w:t>
            </w:r>
          </w:p>
        </w:tc>
      </w:tr>
    </w:tbl>
    <w:p w14:paraId="10E4EE18"/>
    <w:p w14:paraId="2E25474A">
      <w:pPr>
        <w:pStyle w:val="5"/>
        <w:numPr>
          <w:ilvl w:val="0"/>
          <w:numId w:val="85"/>
        </w:numPr>
        <w:ind w:left="426" w:hanging="426"/>
      </w:pPr>
      <w:r>
        <w:rPr>
          <w:rFonts w:hint="eastAsia"/>
        </w:rPr>
        <w:t>未经抵销的递延所得税负债</w:t>
      </w:r>
    </w:p>
    <w:p w14:paraId="521E8EAB">
      <w:pPr>
        <w:pStyle w:val="48"/>
      </w:pPr>
      <w:sdt>
        <w:sdtPr>
          <w:alias w:val="是否适用：未经抵销的递延所得税负债[双击切换]"/>
          <w:tag w:val="_GBC_e7d8f83d611d4464afa60fcd4c2b0690"/>
          <w:id w:val="-736321322"/>
          <w:placeholder>
            <w:docPart w:val="GBC22222222222222222222222222222"/>
          </w:placeholder>
        </w:sdtPr>
        <w:sdtContent>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48518E48">
      <w:pPr>
        <w:jc w:val="right"/>
      </w:pPr>
      <w:r>
        <w:rPr>
          <w:rFonts w:hint="eastAsia"/>
        </w:rPr>
        <w:t>单位：</w:t>
      </w:r>
      <w:sdt>
        <w:sdtPr>
          <w:rPr>
            <w:rFonts w:hint="eastAsia"/>
          </w:rPr>
          <w:alias w:val="单位：财务附注：未经抵销的递延所得税负债"/>
          <w:tag w:val="_GBC_20c1fd2b551d429d888a1c48c5ee9c5a"/>
          <w:id w:val="-21204426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18979396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4"/>
        <w:gridCol w:w="1675"/>
        <w:gridCol w:w="1665"/>
        <w:gridCol w:w="1657"/>
        <w:gridCol w:w="1676"/>
      </w:tblGrid>
      <w:tr w14:paraId="4D2C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9bdb30dce784b4a9efd1b5efd6964fb"/>
            <w:id w:val="380447703"/>
          </w:sdtPr>
          <w:sdtContent>
            <w:tc>
              <w:tcPr>
                <w:tcW w:w="2374" w:type="dxa"/>
                <w:vMerge w:val="restart"/>
                <w:vAlign w:val="center"/>
              </w:tcPr>
              <w:p w14:paraId="3D47003D">
                <w:pPr>
                  <w:jc w:val="center"/>
                  <w:rPr>
                    <w:rFonts w:ascii="Calibri" w:hAnsi="Calibri"/>
                    <w:sz w:val="20"/>
                    <w:szCs w:val="20"/>
                  </w:rPr>
                </w:pPr>
                <w:r>
                  <w:rPr>
                    <w:rFonts w:hint="eastAsia" w:ascii="Calibri" w:hAnsi="Calibri"/>
                    <w:sz w:val="20"/>
                    <w:szCs w:val="20"/>
                  </w:rPr>
                  <w:t>项目</w:t>
                </w:r>
              </w:p>
            </w:tc>
          </w:sdtContent>
        </w:sdt>
        <w:sdt>
          <w:sdtPr>
            <w:tag w:val="_PLD_600f3752c404468197724275bf44cd43"/>
            <w:id w:val="721030668"/>
          </w:sdtPr>
          <w:sdtContent>
            <w:tc>
              <w:tcPr>
                <w:tcW w:w="3340" w:type="dxa"/>
                <w:gridSpan w:val="2"/>
                <w:vAlign w:val="center"/>
              </w:tcPr>
              <w:p w14:paraId="0C09181A">
                <w:pPr>
                  <w:jc w:val="center"/>
                  <w:rPr>
                    <w:rFonts w:ascii="Calibri" w:hAnsi="Calibri"/>
                    <w:sz w:val="20"/>
                    <w:szCs w:val="20"/>
                  </w:rPr>
                </w:pPr>
                <w:r>
                  <w:rPr>
                    <w:rFonts w:hint="eastAsia" w:ascii="Calibri" w:hAnsi="Calibri"/>
                    <w:sz w:val="20"/>
                    <w:szCs w:val="20"/>
                  </w:rPr>
                  <w:t>期末余额</w:t>
                </w:r>
              </w:p>
            </w:tc>
          </w:sdtContent>
        </w:sdt>
        <w:sdt>
          <w:sdtPr>
            <w:tag w:val="_PLD_7e4b2554e2544865b74424edbdb55d4b"/>
            <w:id w:val="581027125"/>
          </w:sdtPr>
          <w:sdtContent>
            <w:tc>
              <w:tcPr>
                <w:tcW w:w="3333" w:type="dxa"/>
                <w:gridSpan w:val="2"/>
                <w:vAlign w:val="center"/>
              </w:tcPr>
              <w:p w14:paraId="6D2F9265">
                <w:pPr>
                  <w:jc w:val="center"/>
                  <w:rPr>
                    <w:rFonts w:ascii="Calibri" w:hAnsi="Calibri"/>
                    <w:sz w:val="20"/>
                    <w:szCs w:val="20"/>
                  </w:rPr>
                </w:pPr>
                <w:r>
                  <w:rPr>
                    <w:rFonts w:hint="eastAsia" w:ascii="Calibri" w:hAnsi="Calibri"/>
                    <w:sz w:val="20"/>
                    <w:szCs w:val="20"/>
                  </w:rPr>
                  <w:t>期初余额</w:t>
                </w:r>
              </w:p>
            </w:tc>
          </w:sdtContent>
        </w:sdt>
      </w:tr>
      <w:tr w14:paraId="514D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74" w:type="dxa"/>
            <w:vMerge w:val="continue"/>
            <w:vAlign w:val="center"/>
          </w:tcPr>
          <w:p w14:paraId="33A9A482">
            <w:pPr>
              <w:jc w:val="center"/>
              <w:rPr>
                <w:rFonts w:ascii="Calibri" w:hAnsi="Calibri"/>
                <w:b/>
                <w:sz w:val="20"/>
                <w:szCs w:val="20"/>
              </w:rPr>
            </w:pPr>
          </w:p>
        </w:tc>
        <w:sdt>
          <w:sdtPr>
            <w:tag w:val="_PLD_2db432e06e184a41a8eb727ebb64ec40"/>
            <w:id w:val="-376784991"/>
          </w:sdtPr>
          <w:sdtContent>
            <w:tc>
              <w:tcPr>
                <w:tcW w:w="1675" w:type="dxa"/>
                <w:vAlign w:val="center"/>
              </w:tcPr>
              <w:p w14:paraId="36CA8388">
                <w:pPr>
                  <w:jc w:val="center"/>
                  <w:rPr>
                    <w:rFonts w:ascii="Calibri" w:hAnsi="Calibri"/>
                    <w:sz w:val="20"/>
                    <w:szCs w:val="20"/>
                  </w:rPr>
                </w:pPr>
                <w:r>
                  <w:rPr>
                    <w:rFonts w:hint="eastAsia" w:ascii="Arial" w:hAnsi="Arial"/>
                    <w:sz w:val="20"/>
                    <w:szCs w:val="20"/>
                  </w:rPr>
                  <w:t>应纳税暂时性差异</w:t>
                </w:r>
              </w:p>
            </w:tc>
          </w:sdtContent>
        </w:sdt>
        <w:sdt>
          <w:sdtPr>
            <w:tag w:val="_PLD_b3dd3e66f628452aab8284dc189a458b"/>
            <w:id w:val="110331444"/>
          </w:sdtPr>
          <w:sdtContent>
            <w:tc>
              <w:tcPr>
                <w:tcW w:w="1665" w:type="dxa"/>
                <w:vAlign w:val="center"/>
              </w:tcPr>
              <w:p w14:paraId="642082F8">
                <w:pPr>
                  <w:jc w:val="center"/>
                  <w:rPr>
                    <w:rFonts w:ascii="Calibri" w:hAnsi="Calibri"/>
                    <w:sz w:val="20"/>
                    <w:szCs w:val="20"/>
                  </w:rPr>
                </w:pPr>
                <w:r>
                  <w:rPr>
                    <w:rFonts w:hint="eastAsia" w:ascii="Calibri" w:hAnsi="Calibri"/>
                    <w:sz w:val="20"/>
                    <w:szCs w:val="20"/>
                  </w:rPr>
                  <w:t>递延所得税</w:t>
                </w:r>
              </w:p>
              <w:p w14:paraId="360C3DBA">
                <w:pPr>
                  <w:jc w:val="center"/>
                  <w:rPr>
                    <w:rFonts w:ascii="Calibri" w:hAnsi="Calibri"/>
                    <w:sz w:val="20"/>
                    <w:szCs w:val="20"/>
                  </w:rPr>
                </w:pPr>
                <w:r>
                  <w:rPr>
                    <w:rFonts w:hint="eastAsia" w:ascii="Calibri" w:hAnsi="Calibri"/>
                    <w:sz w:val="20"/>
                    <w:szCs w:val="20"/>
                  </w:rPr>
                  <w:t>负债</w:t>
                </w:r>
              </w:p>
            </w:tc>
          </w:sdtContent>
        </w:sdt>
        <w:sdt>
          <w:sdtPr>
            <w:tag w:val="_PLD_3e69493cf6a2462eab1eaf8ece87a89d"/>
            <w:id w:val="-635726638"/>
          </w:sdtPr>
          <w:sdtContent>
            <w:tc>
              <w:tcPr>
                <w:tcW w:w="1657" w:type="dxa"/>
                <w:vAlign w:val="center"/>
              </w:tcPr>
              <w:p w14:paraId="4B1F317D">
                <w:pPr>
                  <w:jc w:val="center"/>
                  <w:rPr>
                    <w:rFonts w:ascii="Calibri" w:hAnsi="Calibri"/>
                    <w:sz w:val="20"/>
                    <w:szCs w:val="20"/>
                  </w:rPr>
                </w:pPr>
                <w:r>
                  <w:rPr>
                    <w:rFonts w:hint="eastAsia" w:ascii="Arial" w:hAnsi="Arial"/>
                    <w:sz w:val="20"/>
                    <w:szCs w:val="20"/>
                  </w:rPr>
                  <w:t>应纳税暂时性差异</w:t>
                </w:r>
              </w:p>
            </w:tc>
          </w:sdtContent>
        </w:sdt>
        <w:sdt>
          <w:sdtPr>
            <w:tag w:val="_PLD_ad4c3389a4a04a96990ace5203f3adbb"/>
            <w:id w:val="-1658605723"/>
          </w:sdtPr>
          <w:sdtContent>
            <w:tc>
              <w:tcPr>
                <w:tcW w:w="1676" w:type="dxa"/>
                <w:vAlign w:val="center"/>
              </w:tcPr>
              <w:p w14:paraId="0EE3A3AB">
                <w:pPr>
                  <w:jc w:val="center"/>
                  <w:rPr>
                    <w:rFonts w:ascii="Calibri" w:hAnsi="Calibri"/>
                    <w:sz w:val="20"/>
                    <w:szCs w:val="20"/>
                  </w:rPr>
                </w:pPr>
                <w:r>
                  <w:rPr>
                    <w:rFonts w:hint="eastAsia" w:ascii="Calibri" w:hAnsi="Calibri"/>
                    <w:sz w:val="20"/>
                    <w:szCs w:val="20"/>
                  </w:rPr>
                  <w:t>递延所得税</w:t>
                </w:r>
              </w:p>
              <w:p w14:paraId="16C352CD">
                <w:pPr>
                  <w:jc w:val="center"/>
                  <w:rPr>
                    <w:rFonts w:ascii="Calibri" w:hAnsi="Calibri"/>
                    <w:sz w:val="20"/>
                    <w:szCs w:val="20"/>
                  </w:rPr>
                </w:pPr>
                <w:r>
                  <w:rPr>
                    <w:rFonts w:hint="eastAsia" w:ascii="Calibri" w:hAnsi="Calibri"/>
                    <w:sz w:val="20"/>
                    <w:szCs w:val="20"/>
                  </w:rPr>
                  <w:t>负债</w:t>
                </w:r>
              </w:p>
            </w:tc>
          </w:sdtContent>
        </w:sdt>
      </w:tr>
      <w:tr w14:paraId="1A50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74" w:type="dxa"/>
            <w:vAlign w:val="center"/>
          </w:tcPr>
          <w:p w14:paraId="046DA62B">
            <w:pPr>
              <w:pStyle w:val="48"/>
              <w:rPr>
                <w:sz w:val="20"/>
                <w:szCs w:val="20"/>
              </w:rPr>
            </w:pPr>
            <w:r>
              <w:rPr>
                <w:rFonts w:hint="eastAsia"/>
                <w:sz w:val="20"/>
                <w:szCs w:val="20"/>
              </w:rPr>
              <w:t>非同一控制企业合并资产评估增值</w:t>
            </w:r>
          </w:p>
        </w:tc>
        <w:tc>
          <w:tcPr>
            <w:tcW w:w="1675" w:type="dxa"/>
            <w:vAlign w:val="center"/>
          </w:tcPr>
          <w:p w14:paraId="6017E491">
            <w:pPr>
              <w:jc w:val="right"/>
              <w:rPr>
                <w:rFonts w:ascii="Calibri" w:hAnsi="Calibri"/>
                <w:sz w:val="20"/>
                <w:szCs w:val="20"/>
              </w:rPr>
            </w:pPr>
          </w:p>
        </w:tc>
        <w:tc>
          <w:tcPr>
            <w:tcW w:w="1665" w:type="dxa"/>
            <w:vAlign w:val="center"/>
          </w:tcPr>
          <w:p w14:paraId="08CC84B9">
            <w:pPr>
              <w:jc w:val="right"/>
              <w:rPr>
                <w:rFonts w:ascii="Calibri" w:hAnsi="Calibri"/>
                <w:sz w:val="20"/>
                <w:szCs w:val="20"/>
              </w:rPr>
            </w:pPr>
          </w:p>
        </w:tc>
        <w:tc>
          <w:tcPr>
            <w:tcW w:w="1657" w:type="dxa"/>
            <w:vAlign w:val="center"/>
          </w:tcPr>
          <w:p w14:paraId="42D3B646">
            <w:pPr>
              <w:jc w:val="right"/>
              <w:rPr>
                <w:rFonts w:ascii="Calibri" w:hAnsi="Calibri"/>
                <w:sz w:val="20"/>
                <w:szCs w:val="20"/>
              </w:rPr>
            </w:pPr>
          </w:p>
        </w:tc>
        <w:tc>
          <w:tcPr>
            <w:tcW w:w="1676" w:type="dxa"/>
            <w:vAlign w:val="center"/>
          </w:tcPr>
          <w:p w14:paraId="45083850">
            <w:pPr>
              <w:jc w:val="right"/>
              <w:rPr>
                <w:rFonts w:ascii="Calibri" w:hAnsi="Calibri"/>
                <w:sz w:val="20"/>
                <w:szCs w:val="20"/>
              </w:rPr>
            </w:pPr>
          </w:p>
        </w:tc>
      </w:tr>
      <w:tr w14:paraId="5BDB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74" w:type="dxa"/>
            <w:vAlign w:val="center"/>
          </w:tcPr>
          <w:p w14:paraId="031A4525">
            <w:pPr>
              <w:pStyle w:val="48"/>
              <w:rPr>
                <w:sz w:val="20"/>
                <w:szCs w:val="20"/>
              </w:rPr>
            </w:pPr>
            <w:r>
              <w:rPr>
                <w:rFonts w:hint="eastAsia"/>
                <w:sz w:val="20"/>
                <w:szCs w:val="20"/>
              </w:rPr>
              <w:t>其他债权投资公允价值变动</w:t>
            </w:r>
          </w:p>
        </w:tc>
        <w:tc>
          <w:tcPr>
            <w:tcW w:w="1675" w:type="dxa"/>
            <w:vAlign w:val="center"/>
          </w:tcPr>
          <w:p w14:paraId="06EAC85E">
            <w:pPr>
              <w:jc w:val="right"/>
              <w:rPr>
                <w:rFonts w:ascii="Calibri" w:hAnsi="Calibri"/>
                <w:sz w:val="20"/>
                <w:szCs w:val="20"/>
              </w:rPr>
            </w:pPr>
          </w:p>
        </w:tc>
        <w:tc>
          <w:tcPr>
            <w:tcW w:w="1665" w:type="dxa"/>
            <w:vAlign w:val="center"/>
          </w:tcPr>
          <w:p w14:paraId="7BA6C37E">
            <w:pPr>
              <w:jc w:val="right"/>
              <w:rPr>
                <w:rFonts w:ascii="Calibri" w:hAnsi="Calibri"/>
                <w:sz w:val="20"/>
                <w:szCs w:val="20"/>
              </w:rPr>
            </w:pPr>
          </w:p>
        </w:tc>
        <w:tc>
          <w:tcPr>
            <w:tcW w:w="1657" w:type="dxa"/>
            <w:vAlign w:val="center"/>
          </w:tcPr>
          <w:p w14:paraId="40ECF75D">
            <w:pPr>
              <w:jc w:val="right"/>
              <w:rPr>
                <w:rFonts w:ascii="Calibri" w:hAnsi="Calibri"/>
                <w:sz w:val="20"/>
                <w:szCs w:val="20"/>
              </w:rPr>
            </w:pPr>
          </w:p>
        </w:tc>
        <w:tc>
          <w:tcPr>
            <w:tcW w:w="1676" w:type="dxa"/>
            <w:vAlign w:val="center"/>
          </w:tcPr>
          <w:p w14:paraId="2CA93276">
            <w:pPr>
              <w:jc w:val="right"/>
              <w:rPr>
                <w:rFonts w:ascii="Calibri" w:hAnsi="Calibri"/>
                <w:sz w:val="20"/>
                <w:szCs w:val="20"/>
              </w:rPr>
            </w:pPr>
          </w:p>
        </w:tc>
      </w:tr>
      <w:tr w14:paraId="6E7C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74" w:type="dxa"/>
            <w:vAlign w:val="center"/>
          </w:tcPr>
          <w:p w14:paraId="55E16B51">
            <w:pPr>
              <w:pStyle w:val="48"/>
              <w:rPr>
                <w:sz w:val="20"/>
                <w:szCs w:val="20"/>
              </w:rPr>
            </w:pPr>
            <w:r>
              <w:rPr>
                <w:sz w:val="20"/>
                <w:szCs w:val="20"/>
              </w:rPr>
              <w:t>高新技术企业2022年4季度购置设备的折旧一次性税前扣除</w:t>
            </w:r>
          </w:p>
        </w:tc>
        <w:tc>
          <w:tcPr>
            <w:tcW w:w="1675" w:type="dxa"/>
            <w:vAlign w:val="center"/>
          </w:tcPr>
          <w:p w14:paraId="4425313F">
            <w:pPr>
              <w:jc w:val="right"/>
              <w:rPr>
                <w:rFonts w:ascii="Calibri" w:hAnsi="Calibri"/>
                <w:sz w:val="20"/>
                <w:szCs w:val="20"/>
              </w:rPr>
            </w:pPr>
            <w:r>
              <w:rPr>
                <w:rFonts w:ascii="Calibri" w:hAnsi="Calibri"/>
                <w:sz w:val="20"/>
                <w:szCs w:val="20"/>
              </w:rPr>
              <w:t>46,438,875.47</w:t>
            </w:r>
          </w:p>
        </w:tc>
        <w:tc>
          <w:tcPr>
            <w:tcW w:w="1665" w:type="dxa"/>
            <w:vAlign w:val="center"/>
          </w:tcPr>
          <w:p w14:paraId="44502690">
            <w:pPr>
              <w:jc w:val="right"/>
              <w:rPr>
                <w:rFonts w:ascii="Calibri" w:hAnsi="Calibri"/>
                <w:sz w:val="20"/>
                <w:szCs w:val="20"/>
              </w:rPr>
            </w:pPr>
            <w:r>
              <w:rPr>
                <w:rFonts w:ascii="Calibri" w:hAnsi="Calibri"/>
                <w:sz w:val="20"/>
                <w:szCs w:val="20"/>
              </w:rPr>
              <w:t>6,965,831.32</w:t>
            </w:r>
          </w:p>
        </w:tc>
        <w:tc>
          <w:tcPr>
            <w:tcW w:w="1657" w:type="dxa"/>
            <w:vAlign w:val="center"/>
          </w:tcPr>
          <w:p w14:paraId="1DDB285A">
            <w:pPr>
              <w:jc w:val="right"/>
              <w:rPr>
                <w:rFonts w:ascii="Calibri" w:hAnsi="Calibri"/>
                <w:sz w:val="20"/>
                <w:szCs w:val="20"/>
              </w:rPr>
            </w:pPr>
            <w:r>
              <w:rPr>
                <w:rFonts w:ascii="Calibri" w:hAnsi="Calibri"/>
                <w:sz w:val="20"/>
                <w:szCs w:val="20"/>
              </w:rPr>
              <w:t>47,712,310.08</w:t>
            </w:r>
          </w:p>
        </w:tc>
        <w:tc>
          <w:tcPr>
            <w:tcW w:w="1676" w:type="dxa"/>
            <w:vAlign w:val="center"/>
          </w:tcPr>
          <w:p w14:paraId="66B6BB78">
            <w:pPr>
              <w:jc w:val="right"/>
              <w:rPr>
                <w:rFonts w:ascii="Calibri" w:hAnsi="Calibri"/>
                <w:sz w:val="20"/>
                <w:szCs w:val="20"/>
              </w:rPr>
            </w:pPr>
            <w:r>
              <w:rPr>
                <w:rFonts w:ascii="Calibri" w:hAnsi="Calibri"/>
                <w:sz w:val="20"/>
                <w:szCs w:val="20"/>
              </w:rPr>
              <w:t>7,156,846.51</w:t>
            </w:r>
          </w:p>
        </w:tc>
      </w:tr>
      <w:tr w14:paraId="44E7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74" w:type="dxa"/>
            <w:vAlign w:val="center"/>
          </w:tcPr>
          <w:p w14:paraId="261ACBB4">
            <w:pPr>
              <w:pStyle w:val="48"/>
              <w:rPr>
                <w:sz w:val="20"/>
                <w:szCs w:val="20"/>
              </w:rPr>
            </w:pPr>
            <w:r>
              <w:rPr>
                <w:sz w:val="20"/>
                <w:szCs w:val="20"/>
              </w:rPr>
              <w:t>交易性金融资产公允价值变动</w:t>
            </w:r>
          </w:p>
        </w:tc>
        <w:tc>
          <w:tcPr>
            <w:tcW w:w="1675" w:type="dxa"/>
            <w:vAlign w:val="center"/>
          </w:tcPr>
          <w:p w14:paraId="23C0E2AB">
            <w:pPr>
              <w:jc w:val="right"/>
              <w:rPr>
                <w:rFonts w:ascii="Calibri" w:hAnsi="Calibri"/>
                <w:sz w:val="20"/>
                <w:szCs w:val="20"/>
              </w:rPr>
            </w:pPr>
            <w:r>
              <w:rPr>
                <w:rFonts w:ascii="Calibri" w:hAnsi="Calibri"/>
                <w:sz w:val="20"/>
                <w:szCs w:val="20"/>
              </w:rPr>
              <w:t>218,438.36</w:t>
            </w:r>
          </w:p>
        </w:tc>
        <w:tc>
          <w:tcPr>
            <w:tcW w:w="1665" w:type="dxa"/>
            <w:vAlign w:val="center"/>
          </w:tcPr>
          <w:p w14:paraId="7A771DD1">
            <w:pPr>
              <w:jc w:val="right"/>
              <w:rPr>
                <w:rFonts w:ascii="Calibri" w:hAnsi="Calibri"/>
                <w:sz w:val="20"/>
                <w:szCs w:val="20"/>
              </w:rPr>
            </w:pPr>
            <w:r>
              <w:rPr>
                <w:rFonts w:ascii="Calibri" w:hAnsi="Calibri"/>
                <w:sz w:val="20"/>
                <w:szCs w:val="20"/>
              </w:rPr>
              <w:t>54,609.59</w:t>
            </w:r>
          </w:p>
        </w:tc>
        <w:tc>
          <w:tcPr>
            <w:tcW w:w="1657" w:type="dxa"/>
            <w:vAlign w:val="center"/>
          </w:tcPr>
          <w:p w14:paraId="3CD9899C">
            <w:pPr>
              <w:jc w:val="right"/>
              <w:rPr>
                <w:rFonts w:ascii="Calibri" w:hAnsi="Calibri"/>
                <w:sz w:val="20"/>
                <w:szCs w:val="20"/>
              </w:rPr>
            </w:pPr>
            <w:r>
              <w:rPr>
                <w:rFonts w:ascii="Calibri" w:hAnsi="Calibri"/>
                <w:sz w:val="20"/>
                <w:szCs w:val="20"/>
              </w:rPr>
              <w:t>400,927.52</w:t>
            </w:r>
          </w:p>
        </w:tc>
        <w:tc>
          <w:tcPr>
            <w:tcW w:w="1676" w:type="dxa"/>
            <w:vAlign w:val="center"/>
          </w:tcPr>
          <w:p w14:paraId="10D3362E">
            <w:pPr>
              <w:jc w:val="right"/>
              <w:rPr>
                <w:rFonts w:ascii="Calibri" w:hAnsi="Calibri"/>
                <w:sz w:val="20"/>
                <w:szCs w:val="20"/>
              </w:rPr>
            </w:pPr>
            <w:r>
              <w:rPr>
                <w:rFonts w:ascii="Calibri" w:hAnsi="Calibri"/>
                <w:sz w:val="20"/>
                <w:szCs w:val="20"/>
              </w:rPr>
              <w:t>100,231.88</w:t>
            </w:r>
          </w:p>
        </w:tc>
      </w:tr>
      <w:tr w14:paraId="2C13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74" w:type="dxa"/>
            <w:vAlign w:val="center"/>
          </w:tcPr>
          <w:p w14:paraId="1914586F">
            <w:pPr>
              <w:pStyle w:val="48"/>
              <w:rPr>
                <w:sz w:val="20"/>
                <w:szCs w:val="20"/>
              </w:rPr>
            </w:pPr>
            <w:r>
              <w:rPr>
                <w:sz w:val="20"/>
                <w:szCs w:val="20"/>
              </w:rPr>
              <w:t>使用权资产</w:t>
            </w:r>
          </w:p>
        </w:tc>
        <w:tc>
          <w:tcPr>
            <w:tcW w:w="1675" w:type="dxa"/>
            <w:vAlign w:val="center"/>
          </w:tcPr>
          <w:p w14:paraId="1083382F">
            <w:pPr>
              <w:jc w:val="right"/>
              <w:rPr>
                <w:rFonts w:ascii="Calibri" w:hAnsi="Calibri"/>
                <w:sz w:val="20"/>
                <w:szCs w:val="20"/>
              </w:rPr>
            </w:pPr>
            <w:r>
              <w:rPr>
                <w:rFonts w:ascii="Calibri" w:hAnsi="Calibri"/>
                <w:sz w:val="20"/>
                <w:szCs w:val="20"/>
              </w:rPr>
              <w:t>32,601,515.94</w:t>
            </w:r>
          </w:p>
        </w:tc>
        <w:tc>
          <w:tcPr>
            <w:tcW w:w="1665" w:type="dxa"/>
            <w:vAlign w:val="center"/>
          </w:tcPr>
          <w:p w14:paraId="5772574E">
            <w:pPr>
              <w:jc w:val="right"/>
              <w:rPr>
                <w:rFonts w:ascii="Calibri" w:hAnsi="Calibri"/>
                <w:sz w:val="20"/>
                <w:szCs w:val="20"/>
              </w:rPr>
            </w:pPr>
            <w:r>
              <w:rPr>
                <w:rFonts w:ascii="Calibri" w:hAnsi="Calibri"/>
                <w:sz w:val="20"/>
                <w:szCs w:val="20"/>
              </w:rPr>
              <w:t>7,617,252.06</w:t>
            </w:r>
          </w:p>
        </w:tc>
        <w:tc>
          <w:tcPr>
            <w:tcW w:w="1657" w:type="dxa"/>
            <w:vAlign w:val="center"/>
          </w:tcPr>
          <w:p w14:paraId="25FB5B2C">
            <w:pPr>
              <w:jc w:val="right"/>
              <w:rPr>
                <w:rFonts w:ascii="Calibri" w:hAnsi="Calibri"/>
                <w:sz w:val="20"/>
                <w:szCs w:val="20"/>
              </w:rPr>
            </w:pPr>
            <w:r>
              <w:rPr>
                <w:rFonts w:ascii="Calibri" w:hAnsi="Calibri"/>
                <w:sz w:val="20"/>
                <w:szCs w:val="20"/>
              </w:rPr>
              <w:t>23,680,025.11</w:t>
            </w:r>
          </w:p>
        </w:tc>
        <w:tc>
          <w:tcPr>
            <w:tcW w:w="1676" w:type="dxa"/>
            <w:vAlign w:val="center"/>
          </w:tcPr>
          <w:p w14:paraId="59133B99">
            <w:pPr>
              <w:jc w:val="right"/>
              <w:rPr>
                <w:rFonts w:ascii="Calibri" w:hAnsi="Calibri"/>
                <w:sz w:val="20"/>
                <w:szCs w:val="20"/>
              </w:rPr>
            </w:pPr>
            <w:r>
              <w:rPr>
                <w:rFonts w:ascii="Calibri" w:hAnsi="Calibri"/>
                <w:sz w:val="20"/>
                <w:szCs w:val="20"/>
              </w:rPr>
              <w:t>4,736,005.02</w:t>
            </w:r>
          </w:p>
        </w:tc>
      </w:tr>
      <w:tr w14:paraId="6CCB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74" w:type="dxa"/>
            <w:vAlign w:val="center"/>
          </w:tcPr>
          <w:p w14:paraId="38DCB1BF">
            <w:pPr>
              <w:pStyle w:val="48"/>
              <w:rPr>
                <w:sz w:val="20"/>
                <w:szCs w:val="20"/>
              </w:rPr>
            </w:pPr>
            <w:r>
              <w:rPr>
                <w:rFonts w:hint="eastAsia"/>
                <w:sz w:val="20"/>
                <w:szCs w:val="20"/>
              </w:rPr>
              <w:t>其他权益工具投资公允价值变动</w:t>
            </w:r>
          </w:p>
        </w:tc>
        <w:tc>
          <w:tcPr>
            <w:tcW w:w="1675" w:type="dxa"/>
            <w:vAlign w:val="center"/>
          </w:tcPr>
          <w:p w14:paraId="29ECA19B">
            <w:pPr>
              <w:jc w:val="right"/>
              <w:rPr>
                <w:rFonts w:ascii="Calibri" w:hAnsi="Calibri"/>
                <w:sz w:val="20"/>
                <w:szCs w:val="20"/>
              </w:rPr>
            </w:pPr>
            <w:r>
              <w:rPr>
                <w:rFonts w:ascii="Calibri" w:hAnsi="Calibri"/>
                <w:sz w:val="20"/>
                <w:szCs w:val="20"/>
              </w:rPr>
              <w:t>2,493,369.96</w:t>
            </w:r>
          </w:p>
        </w:tc>
        <w:tc>
          <w:tcPr>
            <w:tcW w:w="1665" w:type="dxa"/>
            <w:vAlign w:val="center"/>
          </w:tcPr>
          <w:p w14:paraId="57A41169">
            <w:pPr>
              <w:jc w:val="right"/>
              <w:rPr>
                <w:rFonts w:ascii="Calibri" w:hAnsi="Calibri"/>
                <w:sz w:val="20"/>
                <w:szCs w:val="20"/>
              </w:rPr>
            </w:pPr>
            <w:r>
              <w:rPr>
                <w:rFonts w:ascii="Calibri" w:hAnsi="Calibri"/>
                <w:sz w:val="20"/>
                <w:szCs w:val="20"/>
              </w:rPr>
              <w:t>374,005.49</w:t>
            </w:r>
          </w:p>
        </w:tc>
        <w:tc>
          <w:tcPr>
            <w:tcW w:w="1657" w:type="dxa"/>
            <w:vAlign w:val="center"/>
          </w:tcPr>
          <w:p w14:paraId="46B27F5A">
            <w:pPr>
              <w:jc w:val="right"/>
              <w:rPr>
                <w:rFonts w:ascii="Calibri" w:hAnsi="Calibri"/>
                <w:sz w:val="20"/>
                <w:szCs w:val="20"/>
              </w:rPr>
            </w:pPr>
          </w:p>
        </w:tc>
        <w:tc>
          <w:tcPr>
            <w:tcW w:w="1676" w:type="dxa"/>
            <w:vAlign w:val="center"/>
          </w:tcPr>
          <w:p w14:paraId="54B89C37">
            <w:pPr>
              <w:jc w:val="right"/>
              <w:rPr>
                <w:rFonts w:ascii="Calibri" w:hAnsi="Calibri"/>
                <w:sz w:val="20"/>
                <w:szCs w:val="20"/>
              </w:rPr>
            </w:pPr>
          </w:p>
        </w:tc>
      </w:tr>
      <w:tr w14:paraId="28DC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74" w:type="dxa"/>
            <w:vAlign w:val="center"/>
          </w:tcPr>
          <w:p w14:paraId="70F89D7C">
            <w:pPr>
              <w:jc w:val="center"/>
              <w:rPr>
                <w:rFonts w:ascii="Calibri" w:hAnsi="Calibri"/>
                <w:sz w:val="20"/>
                <w:szCs w:val="20"/>
              </w:rPr>
            </w:pPr>
            <w:r>
              <w:rPr>
                <w:rFonts w:hint="eastAsia" w:ascii="Calibri" w:hAnsi="Calibri"/>
                <w:sz w:val="20"/>
                <w:szCs w:val="20"/>
              </w:rPr>
              <w:t>合计</w:t>
            </w:r>
          </w:p>
        </w:tc>
        <w:tc>
          <w:tcPr>
            <w:tcW w:w="1675" w:type="dxa"/>
            <w:vAlign w:val="center"/>
          </w:tcPr>
          <w:p w14:paraId="21B960C5">
            <w:pPr>
              <w:jc w:val="right"/>
              <w:rPr>
                <w:rFonts w:ascii="Calibri" w:hAnsi="Calibri"/>
                <w:sz w:val="20"/>
                <w:szCs w:val="20"/>
              </w:rPr>
            </w:pPr>
            <w:r>
              <w:rPr>
                <w:rFonts w:ascii="Calibri" w:hAnsi="Calibri"/>
                <w:sz w:val="20"/>
                <w:szCs w:val="20"/>
              </w:rPr>
              <w:t>81,752,199.73</w:t>
            </w:r>
          </w:p>
        </w:tc>
        <w:tc>
          <w:tcPr>
            <w:tcW w:w="1665" w:type="dxa"/>
            <w:vAlign w:val="center"/>
          </w:tcPr>
          <w:p w14:paraId="5B0DA8A7">
            <w:pPr>
              <w:jc w:val="right"/>
              <w:rPr>
                <w:rFonts w:ascii="Calibri" w:hAnsi="Calibri"/>
                <w:sz w:val="20"/>
                <w:szCs w:val="20"/>
              </w:rPr>
            </w:pPr>
            <w:r>
              <w:rPr>
                <w:rFonts w:ascii="Calibri" w:hAnsi="Calibri"/>
                <w:sz w:val="20"/>
                <w:szCs w:val="20"/>
              </w:rPr>
              <w:t>15,011,698.46</w:t>
            </w:r>
          </w:p>
        </w:tc>
        <w:tc>
          <w:tcPr>
            <w:tcW w:w="1657" w:type="dxa"/>
            <w:vAlign w:val="center"/>
          </w:tcPr>
          <w:p w14:paraId="19703ED6">
            <w:pPr>
              <w:jc w:val="right"/>
              <w:rPr>
                <w:rFonts w:ascii="Calibri" w:hAnsi="Calibri"/>
                <w:sz w:val="20"/>
                <w:szCs w:val="20"/>
              </w:rPr>
            </w:pPr>
            <w:r>
              <w:rPr>
                <w:rFonts w:ascii="Calibri" w:hAnsi="Calibri"/>
                <w:sz w:val="20"/>
                <w:szCs w:val="20"/>
              </w:rPr>
              <w:t>71,793,262.71</w:t>
            </w:r>
          </w:p>
        </w:tc>
        <w:tc>
          <w:tcPr>
            <w:tcW w:w="1676" w:type="dxa"/>
            <w:vAlign w:val="center"/>
          </w:tcPr>
          <w:p w14:paraId="6AF64988">
            <w:pPr>
              <w:jc w:val="right"/>
              <w:rPr>
                <w:rFonts w:ascii="Calibri" w:hAnsi="Calibri"/>
                <w:sz w:val="20"/>
                <w:szCs w:val="20"/>
              </w:rPr>
            </w:pPr>
            <w:r>
              <w:rPr>
                <w:rFonts w:ascii="Calibri" w:hAnsi="Calibri"/>
                <w:sz w:val="20"/>
                <w:szCs w:val="20"/>
              </w:rPr>
              <w:t>11,993,083.41</w:t>
            </w:r>
          </w:p>
        </w:tc>
      </w:tr>
    </w:tbl>
    <w:p w14:paraId="098C3819"/>
    <w:p w14:paraId="469291A5">
      <w:pPr>
        <w:pStyle w:val="5"/>
        <w:numPr>
          <w:ilvl w:val="0"/>
          <w:numId w:val="85"/>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521217866"/>
        <w:placeholder>
          <w:docPart w:val="GBC22222222222222222222222222222"/>
        </w:placeholder>
      </w:sdtPr>
      <w:sdtContent>
        <w:p w14:paraId="4A71FF8F">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EEB6D77">
      <w:pPr>
        <w:wordWrap w:val="0"/>
        <w:jc w:val="right"/>
      </w:pPr>
      <w:r>
        <w:rPr>
          <w:rFonts w:hint="eastAsia"/>
        </w:rPr>
        <w:t>单位：</w:t>
      </w:r>
      <w:sdt>
        <w:sdtPr>
          <w:rPr>
            <w:rFonts w:hint="eastAsia"/>
          </w:rPr>
          <w:alias w:val="单位：财务附注：互抵后的递延所得税资产及负债的组成项目"/>
          <w:tag w:val="_GBC_2b339a7e526d4061aa348bb358a09881"/>
          <w:id w:val="-17691590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互抵后的递延所得税资产及负债的组成项目"/>
          <w:tag w:val="_GBC_e04e01fedf4a42b48978284d31c493e1"/>
          <w:id w:val="9191315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1675"/>
        <w:gridCol w:w="1662"/>
        <w:gridCol w:w="1688"/>
        <w:gridCol w:w="1660"/>
      </w:tblGrid>
      <w:tr w14:paraId="0271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e50bf23f9ed49bdabf6012766e0349d"/>
            <w:id w:val="100621979"/>
          </w:sdtPr>
          <w:sdtContent>
            <w:tc>
              <w:tcPr>
                <w:tcW w:w="2363" w:type="dxa"/>
                <w:vMerge w:val="restart"/>
                <w:vAlign w:val="center"/>
              </w:tcPr>
              <w:p w14:paraId="294D66E7">
                <w:pPr>
                  <w:jc w:val="cente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项目</w:t>
                </w:r>
              </w:p>
            </w:tc>
          </w:sdtContent>
        </w:sdt>
        <w:sdt>
          <w:sdtPr>
            <w:tag w:val="_PLD_033e4a11ede747529f4c3efd9b18ad19"/>
            <w:id w:val="-1227139769"/>
          </w:sdtPr>
          <w:sdtContent>
            <w:tc>
              <w:tcPr>
                <w:tcW w:w="3337" w:type="dxa"/>
                <w:gridSpan w:val="2"/>
                <w:tcBorders>
                  <w:bottom w:val="single" w:color="auto" w:sz="4" w:space="0"/>
                </w:tcBorders>
                <w:vAlign w:val="center"/>
              </w:tcPr>
              <w:p w14:paraId="53454436">
                <w:pPr>
                  <w:jc w:val="cente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期末余额</w:t>
                </w:r>
              </w:p>
            </w:tc>
          </w:sdtContent>
        </w:sdt>
        <w:sdt>
          <w:sdtPr>
            <w:tag w:val="_PLD_a00f6a5b3eb54004b4aa3da029c2612c"/>
            <w:id w:val="-904530997"/>
          </w:sdtPr>
          <w:sdtContent>
            <w:tc>
              <w:tcPr>
                <w:tcW w:w="3348" w:type="dxa"/>
                <w:gridSpan w:val="2"/>
                <w:tcBorders>
                  <w:bottom w:val="single" w:color="auto" w:sz="4" w:space="0"/>
                </w:tcBorders>
                <w:vAlign w:val="center"/>
              </w:tcPr>
              <w:p w14:paraId="0801F8D5">
                <w:pPr>
                  <w:jc w:val="cente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期初余额</w:t>
                </w:r>
              </w:p>
            </w:tc>
          </w:sdtContent>
        </w:sdt>
      </w:tr>
      <w:tr w14:paraId="13C6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vMerge w:val="continue"/>
            <w:tcBorders>
              <w:bottom w:val="single" w:color="auto" w:sz="4" w:space="0"/>
            </w:tcBorders>
            <w:vAlign w:val="center"/>
          </w:tcPr>
          <w:p w14:paraId="66E523EF">
            <w:pPr>
              <w:jc w:val="center"/>
              <w:rPr>
                <w:rFonts w:ascii="Calibri" w:hAnsi="Calibri"/>
                <w:color w:val="000000" w:themeColor="text1"/>
                <w:sz w:val="20"/>
                <w:szCs w:val="20"/>
                <w14:textFill>
                  <w14:solidFill>
                    <w14:schemeClr w14:val="tx1"/>
                  </w14:solidFill>
                </w14:textFill>
              </w:rPr>
            </w:pPr>
          </w:p>
        </w:tc>
        <w:sdt>
          <w:sdtPr>
            <w:tag w:val="_PLD_835762c7fddb43d1a6ee9ee15b40521d"/>
            <w:id w:val="334659130"/>
          </w:sdtPr>
          <w:sdtContent>
            <w:tc>
              <w:tcPr>
                <w:tcW w:w="1675" w:type="dxa"/>
                <w:tcBorders>
                  <w:bottom w:val="single" w:color="auto" w:sz="4" w:space="0"/>
                </w:tcBorders>
                <w:vAlign w:val="center"/>
              </w:tcPr>
              <w:p w14:paraId="5AAEBF42">
                <w:pPr>
                  <w:jc w:val="cente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递延所得税资产和负债互抵金额</w:t>
                </w:r>
              </w:p>
            </w:tc>
          </w:sdtContent>
        </w:sdt>
        <w:sdt>
          <w:sdtPr>
            <w:tag w:val="_PLD_6793eabf083041e98d636c9fc0412fec"/>
            <w:id w:val="-1064110048"/>
          </w:sdtPr>
          <w:sdtContent>
            <w:tc>
              <w:tcPr>
                <w:tcW w:w="1662" w:type="dxa"/>
                <w:tcBorders>
                  <w:bottom w:val="single" w:color="auto" w:sz="4" w:space="0"/>
                </w:tcBorders>
                <w:vAlign w:val="center"/>
              </w:tcPr>
              <w:p w14:paraId="2472A113">
                <w:pPr>
                  <w:jc w:val="cente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抵销后递延所得税资产或负债余额</w:t>
                </w:r>
              </w:p>
            </w:tc>
          </w:sdtContent>
        </w:sdt>
        <w:sdt>
          <w:sdtPr>
            <w:tag w:val="_PLD_b196310238c944bc97a27f77dab5da31"/>
            <w:id w:val="1203211845"/>
          </w:sdtPr>
          <w:sdtContent>
            <w:tc>
              <w:tcPr>
                <w:tcW w:w="1688" w:type="dxa"/>
                <w:tcBorders>
                  <w:bottom w:val="single" w:color="auto" w:sz="4" w:space="0"/>
                </w:tcBorders>
                <w:vAlign w:val="center"/>
              </w:tcPr>
              <w:p w14:paraId="763AADA2">
                <w:pPr>
                  <w:jc w:val="cente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递延所得税资产和负债互抵金额</w:t>
                </w:r>
              </w:p>
            </w:tc>
          </w:sdtContent>
        </w:sdt>
        <w:sdt>
          <w:sdtPr>
            <w:tag w:val="_PLD_c3aebf3cf2194ddf933aa14ffbbfd279"/>
            <w:id w:val="1145696742"/>
          </w:sdtPr>
          <w:sdtContent>
            <w:tc>
              <w:tcPr>
                <w:tcW w:w="1660" w:type="dxa"/>
                <w:tcBorders>
                  <w:bottom w:val="single" w:color="auto" w:sz="4" w:space="0"/>
                </w:tcBorders>
                <w:vAlign w:val="center"/>
              </w:tcPr>
              <w:p w14:paraId="7EB9E2A4">
                <w:pPr>
                  <w:jc w:val="cente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抵销后递延所得税资产或负债余额</w:t>
                </w:r>
              </w:p>
            </w:tc>
          </w:sdtContent>
        </w:sdt>
      </w:tr>
      <w:tr w14:paraId="4B2B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vAlign w:val="center"/>
          </w:tcPr>
          <w:p w14:paraId="72AD0D16">
            <w:pPr>
              <w:rPr>
                <w:rFonts w:ascii="Calibri" w:hAnsi="Calibri"/>
                <w:color w:val="000000" w:themeColor="text1"/>
                <w:sz w:val="20"/>
                <w:szCs w:val="20"/>
                <w14:textFill>
                  <w14:solidFill>
                    <w14:schemeClr w14:val="tx1"/>
                  </w14:solidFill>
                </w14:textFill>
              </w:rPr>
            </w:pPr>
            <w:bookmarkStart w:id="323" w:name="_Hlk200964296"/>
            <w:r>
              <w:rPr>
                <w:rFonts w:hint="eastAsia" w:ascii="Calibri" w:hAnsi="Calibri"/>
                <w:color w:val="000000" w:themeColor="text1"/>
                <w:sz w:val="20"/>
                <w:szCs w:val="20"/>
                <w14:textFill>
                  <w14:solidFill>
                    <w14:schemeClr w14:val="tx1"/>
                  </w14:solidFill>
                </w14:textFill>
              </w:rPr>
              <w:t>递延所得税资产</w:t>
            </w:r>
          </w:p>
        </w:tc>
        <w:tc>
          <w:tcPr>
            <w:tcW w:w="1675" w:type="dxa"/>
            <w:vAlign w:val="center"/>
          </w:tcPr>
          <w:p w14:paraId="4C4F8EBD">
            <w:pPr>
              <w:jc w:val="right"/>
              <w:rPr>
                <w:rFonts w:ascii="Calibri" w:hAnsi="Calibri"/>
                <w:sz w:val="20"/>
                <w:szCs w:val="20"/>
              </w:rPr>
            </w:pPr>
            <w:r>
              <w:rPr>
                <w:rFonts w:ascii="Calibri" w:hAnsi="Calibri"/>
                <w:sz w:val="20"/>
                <w:szCs w:val="20"/>
              </w:rPr>
              <w:t>7,615,082.77</w:t>
            </w:r>
          </w:p>
        </w:tc>
        <w:tc>
          <w:tcPr>
            <w:tcW w:w="1662" w:type="dxa"/>
            <w:vAlign w:val="center"/>
          </w:tcPr>
          <w:p w14:paraId="2C4D285F">
            <w:pPr>
              <w:jc w:val="right"/>
              <w:rPr>
                <w:rFonts w:ascii="Calibri" w:hAnsi="Calibri"/>
                <w:sz w:val="20"/>
                <w:szCs w:val="20"/>
              </w:rPr>
            </w:pPr>
            <w:r>
              <w:rPr>
                <w:rFonts w:ascii="Calibri" w:hAnsi="Calibri"/>
                <w:sz w:val="20"/>
                <w:szCs w:val="20"/>
              </w:rPr>
              <w:t>66,352,638.10</w:t>
            </w:r>
          </w:p>
        </w:tc>
        <w:tc>
          <w:tcPr>
            <w:tcW w:w="1688" w:type="dxa"/>
            <w:vAlign w:val="center"/>
          </w:tcPr>
          <w:p w14:paraId="70653819">
            <w:pPr>
              <w:jc w:val="right"/>
              <w:rPr>
                <w:rFonts w:ascii="Calibri" w:hAnsi="Calibri"/>
                <w:sz w:val="20"/>
                <w:szCs w:val="20"/>
              </w:rPr>
            </w:pPr>
          </w:p>
        </w:tc>
        <w:tc>
          <w:tcPr>
            <w:tcW w:w="1660" w:type="dxa"/>
            <w:vAlign w:val="center"/>
          </w:tcPr>
          <w:p w14:paraId="7DDF96C7">
            <w:pPr>
              <w:jc w:val="right"/>
              <w:rPr>
                <w:rFonts w:ascii="Calibri" w:hAnsi="Calibri"/>
                <w:sz w:val="20"/>
                <w:szCs w:val="20"/>
              </w:rPr>
            </w:pPr>
          </w:p>
        </w:tc>
      </w:tr>
      <w:tr w14:paraId="5DDE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vAlign w:val="center"/>
          </w:tcPr>
          <w:p w14:paraId="20C82139">
            <w:pP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递延所得税负债</w:t>
            </w:r>
          </w:p>
        </w:tc>
        <w:tc>
          <w:tcPr>
            <w:tcW w:w="1675" w:type="dxa"/>
            <w:vAlign w:val="center"/>
          </w:tcPr>
          <w:p w14:paraId="55D151F2">
            <w:pPr>
              <w:jc w:val="right"/>
              <w:rPr>
                <w:rFonts w:ascii="Calibri" w:hAnsi="Calibri"/>
                <w:sz w:val="20"/>
                <w:szCs w:val="20"/>
              </w:rPr>
            </w:pPr>
            <w:r>
              <w:rPr>
                <w:rFonts w:ascii="Calibri" w:hAnsi="Calibri"/>
                <w:sz w:val="20"/>
                <w:szCs w:val="20"/>
              </w:rPr>
              <w:t>7,615,082.77</w:t>
            </w:r>
          </w:p>
        </w:tc>
        <w:tc>
          <w:tcPr>
            <w:tcW w:w="1662" w:type="dxa"/>
            <w:vAlign w:val="center"/>
          </w:tcPr>
          <w:p w14:paraId="605F5F58">
            <w:pPr>
              <w:jc w:val="right"/>
              <w:rPr>
                <w:rFonts w:ascii="Calibri" w:hAnsi="Calibri"/>
                <w:sz w:val="20"/>
                <w:szCs w:val="20"/>
              </w:rPr>
            </w:pPr>
            <w:r>
              <w:rPr>
                <w:rFonts w:ascii="Calibri" w:hAnsi="Calibri"/>
                <w:sz w:val="20"/>
                <w:szCs w:val="20"/>
              </w:rPr>
              <w:t>7,396,615.69</w:t>
            </w:r>
          </w:p>
        </w:tc>
        <w:tc>
          <w:tcPr>
            <w:tcW w:w="1688" w:type="dxa"/>
            <w:vAlign w:val="center"/>
          </w:tcPr>
          <w:p w14:paraId="534DD81B">
            <w:pPr>
              <w:jc w:val="right"/>
              <w:rPr>
                <w:rFonts w:ascii="Calibri" w:hAnsi="Calibri"/>
                <w:sz w:val="20"/>
                <w:szCs w:val="20"/>
              </w:rPr>
            </w:pPr>
          </w:p>
        </w:tc>
        <w:tc>
          <w:tcPr>
            <w:tcW w:w="1660" w:type="dxa"/>
            <w:vAlign w:val="center"/>
          </w:tcPr>
          <w:p w14:paraId="020F28CB">
            <w:pPr>
              <w:jc w:val="right"/>
              <w:rPr>
                <w:rFonts w:ascii="Calibri" w:hAnsi="Calibri"/>
                <w:sz w:val="20"/>
                <w:szCs w:val="20"/>
              </w:rPr>
            </w:pPr>
          </w:p>
        </w:tc>
      </w:tr>
      <w:bookmarkEnd w:id="323"/>
    </w:tbl>
    <w:p w14:paraId="27906271">
      <w:pPr>
        <w:pStyle w:val="48"/>
      </w:pPr>
    </w:p>
    <w:p w14:paraId="6FCCE6B2">
      <w:pPr>
        <w:pStyle w:val="5"/>
        <w:numPr>
          <w:ilvl w:val="0"/>
          <w:numId w:val="85"/>
        </w:numPr>
        <w:ind w:left="426" w:hanging="426"/>
      </w:pPr>
      <w:r>
        <w:rPr>
          <w:rFonts w:hint="eastAsia"/>
        </w:rPr>
        <w:t>未确认递延所得税资产明细</w:t>
      </w:r>
    </w:p>
    <w:sdt>
      <w:sdtPr>
        <w:alias w:val="是否适用：未确认递延所得税资产明细[双击切换]"/>
        <w:tag w:val="_GBC_713996bf5e4d4c6988835fbf892c5ef2"/>
        <w:id w:val="1910881272"/>
        <w:placeholder>
          <w:docPart w:val="GBC22222222222222222222222222222"/>
        </w:placeholder>
      </w:sdtPr>
      <w:sdtContent>
        <w:p w14:paraId="48298733">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048A89">
      <w:pPr>
        <w:jc w:val="right"/>
      </w:pPr>
      <w:r>
        <w:rPr>
          <w:rFonts w:hint="eastAsia"/>
        </w:rPr>
        <w:t>单位：</w:t>
      </w:r>
      <w:sdt>
        <w:sdtPr>
          <w:rPr>
            <w:rFonts w:hint="eastAsia"/>
          </w:rPr>
          <w:alias w:val="单位：财务附注：未确认递延所得税资产明细"/>
          <w:tag w:val="_GBC_f8fecfb8754c42a8b3b02d67ae705062"/>
          <w:id w:val="19020160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确认递延所得税资产明细"/>
          <w:tag w:val="_GBC_2f5aab227caa4f7da7d6278ecf51ccdf"/>
          <w:id w:val="-19435979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8"/>
        <w:gridCol w:w="3082"/>
        <w:gridCol w:w="3078"/>
      </w:tblGrid>
      <w:tr w14:paraId="0189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91af0f9b93ef459d823e4bc33d9190d6"/>
            <w:id w:val="-566111650"/>
          </w:sdtPr>
          <w:sdtContent>
            <w:tc>
              <w:tcPr>
                <w:tcW w:w="2888" w:type="dxa"/>
                <w:tcBorders>
                  <w:top w:val="single" w:color="auto" w:sz="4" w:space="0"/>
                  <w:left w:val="single" w:color="auto" w:sz="4" w:space="0"/>
                  <w:bottom w:val="single" w:color="auto" w:sz="4" w:space="0"/>
                  <w:right w:val="single" w:color="auto" w:sz="4" w:space="0"/>
                </w:tcBorders>
                <w:vAlign w:val="center"/>
              </w:tcPr>
              <w:p w14:paraId="6D905803">
                <w:pPr>
                  <w:jc w:val="center"/>
                  <w:rPr>
                    <w:rFonts w:ascii="Calibri" w:hAnsi="Calibri"/>
                    <w:sz w:val="20"/>
                    <w:szCs w:val="20"/>
                  </w:rPr>
                </w:pPr>
                <w:r>
                  <w:rPr>
                    <w:rFonts w:hint="eastAsia" w:ascii="Calibri" w:hAnsi="Calibri"/>
                    <w:sz w:val="20"/>
                    <w:szCs w:val="20"/>
                  </w:rPr>
                  <w:t>项目</w:t>
                </w:r>
              </w:p>
            </w:tc>
          </w:sdtContent>
        </w:sdt>
        <w:sdt>
          <w:sdtPr>
            <w:tag w:val="_PLD_2c2dee2efbd6433784024156b3454ba7"/>
            <w:id w:val="-1087304038"/>
          </w:sdtPr>
          <w:sdtContent>
            <w:tc>
              <w:tcPr>
                <w:tcW w:w="3082" w:type="dxa"/>
                <w:tcBorders>
                  <w:top w:val="single" w:color="auto" w:sz="4" w:space="0"/>
                  <w:left w:val="single" w:color="auto" w:sz="4" w:space="0"/>
                  <w:bottom w:val="single" w:color="auto" w:sz="4" w:space="0"/>
                  <w:right w:val="single" w:color="auto" w:sz="4" w:space="0"/>
                </w:tcBorders>
                <w:vAlign w:val="center"/>
              </w:tcPr>
              <w:p w14:paraId="2E482598">
                <w:pPr>
                  <w:jc w:val="center"/>
                  <w:rPr>
                    <w:rFonts w:ascii="Calibri" w:hAnsi="Calibri"/>
                    <w:sz w:val="20"/>
                    <w:szCs w:val="20"/>
                  </w:rPr>
                </w:pPr>
                <w:r>
                  <w:rPr>
                    <w:rFonts w:hint="eastAsia" w:ascii="Calibri" w:hAnsi="Calibri"/>
                    <w:sz w:val="20"/>
                    <w:szCs w:val="20"/>
                  </w:rPr>
                  <w:t>期末余额</w:t>
                </w:r>
              </w:p>
            </w:tc>
          </w:sdtContent>
        </w:sdt>
        <w:sdt>
          <w:sdtPr>
            <w:tag w:val="_PLD_d5059c87582d4e558703d63a8a2d5399"/>
            <w:id w:val="1761101851"/>
          </w:sdtPr>
          <w:sdtContent>
            <w:tc>
              <w:tcPr>
                <w:tcW w:w="3078" w:type="dxa"/>
                <w:tcBorders>
                  <w:top w:val="single" w:color="auto" w:sz="4" w:space="0"/>
                  <w:left w:val="single" w:color="auto" w:sz="4" w:space="0"/>
                  <w:bottom w:val="single" w:color="auto" w:sz="4" w:space="0"/>
                  <w:right w:val="single" w:color="auto" w:sz="4" w:space="0"/>
                </w:tcBorders>
                <w:vAlign w:val="center"/>
              </w:tcPr>
              <w:p w14:paraId="54160E82">
                <w:pPr>
                  <w:jc w:val="center"/>
                  <w:rPr>
                    <w:rFonts w:ascii="Calibri" w:hAnsi="Calibri"/>
                    <w:sz w:val="20"/>
                    <w:szCs w:val="20"/>
                  </w:rPr>
                </w:pPr>
                <w:r>
                  <w:rPr>
                    <w:rFonts w:hint="eastAsia" w:ascii="Calibri" w:hAnsi="Calibri"/>
                    <w:sz w:val="20"/>
                    <w:szCs w:val="20"/>
                  </w:rPr>
                  <w:t>期初余额</w:t>
                </w:r>
              </w:p>
            </w:tc>
          </w:sdtContent>
        </w:sdt>
      </w:tr>
      <w:tr w14:paraId="5A7E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88" w:type="dxa"/>
            <w:tcBorders>
              <w:top w:val="single" w:color="auto" w:sz="4" w:space="0"/>
              <w:left w:val="single" w:color="auto" w:sz="4" w:space="0"/>
              <w:bottom w:val="single" w:color="auto" w:sz="4" w:space="0"/>
              <w:right w:val="single" w:color="auto" w:sz="4" w:space="0"/>
            </w:tcBorders>
            <w:vAlign w:val="center"/>
          </w:tcPr>
          <w:p w14:paraId="1DAA902A">
            <w:pPr>
              <w:pStyle w:val="48"/>
              <w:rPr>
                <w:sz w:val="20"/>
                <w:szCs w:val="20"/>
              </w:rPr>
            </w:pPr>
            <w:r>
              <w:rPr>
                <w:rFonts w:hint="eastAsia"/>
                <w:sz w:val="20"/>
                <w:szCs w:val="20"/>
              </w:rPr>
              <w:t>可抵扣暂时性差异</w:t>
            </w:r>
          </w:p>
        </w:tc>
        <w:tc>
          <w:tcPr>
            <w:tcW w:w="3082" w:type="dxa"/>
            <w:tcBorders>
              <w:top w:val="single" w:color="auto" w:sz="4" w:space="0"/>
              <w:left w:val="single" w:color="auto" w:sz="4" w:space="0"/>
              <w:bottom w:val="single" w:color="auto" w:sz="4" w:space="0"/>
              <w:right w:val="single" w:color="auto" w:sz="4" w:space="0"/>
            </w:tcBorders>
            <w:vAlign w:val="center"/>
          </w:tcPr>
          <w:p w14:paraId="2ECC31C2">
            <w:pPr>
              <w:jc w:val="right"/>
              <w:rPr>
                <w:rFonts w:ascii="Calibri" w:hAnsi="Calibri"/>
                <w:sz w:val="20"/>
                <w:szCs w:val="20"/>
              </w:rPr>
            </w:pPr>
            <w:r>
              <w:rPr>
                <w:rFonts w:ascii="Calibri" w:hAnsi="Calibri"/>
                <w:sz w:val="20"/>
                <w:szCs w:val="20"/>
              </w:rPr>
              <w:t>51,718,852.46</w:t>
            </w:r>
          </w:p>
        </w:tc>
        <w:tc>
          <w:tcPr>
            <w:tcW w:w="3078" w:type="dxa"/>
            <w:tcBorders>
              <w:top w:val="single" w:color="auto" w:sz="4" w:space="0"/>
              <w:left w:val="single" w:color="auto" w:sz="4" w:space="0"/>
              <w:bottom w:val="single" w:color="auto" w:sz="4" w:space="0"/>
              <w:right w:val="single" w:color="auto" w:sz="4" w:space="0"/>
            </w:tcBorders>
            <w:vAlign w:val="center"/>
          </w:tcPr>
          <w:p w14:paraId="3B6C5AE3">
            <w:pPr>
              <w:jc w:val="right"/>
              <w:rPr>
                <w:rFonts w:ascii="Calibri" w:hAnsi="Calibri"/>
                <w:sz w:val="20"/>
                <w:szCs w:val="20"/>
              </w:rPr>
            </w:pPr>
            <w:r>
              <w:rPr>
                <w:rFonts w:ascii="Calibri" w:hAnsi="Calibri"/>
                <w:sz w:val="20"/>
                <w:szCs w:val="20"/>
              </w:rPr>
              <w:t>25,000,078.54</w:t>
            </w:r>
          </w:p>
        </w:tc>
      </w:tr>
      <w:tr w14:paraId="4AD8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88" w:type="dxa"/>
            <w:tcBorders>
              <w:top w:val="single" w:color="auto" w:sz="4" w:space="0"/>
              <w:left w:val="single" w:color="auto" w:sz="4" w:space="0"/>
              <w:bottom w:val="single" w:color="auto" w:sz="4" w:space="0"/>
              <w:right w:val="single" w:color="auto" w:sz="4" w:space="0"/>
            </w:tcBorders>
            <w:vAlign w:val="center"/>
          </w:tcPr>
          <w:p w14:paraId="2BF1624D">
            <w:pPr>
              <w:pStyle w:val="48"/>
              <w:rPr>
                <w:sz w:val="20"/>
                <w:szCs w:val="20"/>
              </w:rPr>
            </w:pPr>
            <w:r>
              <w:rPr>
                <w:rFonts w:hint="eastAsia"/>
                <w:sz w:val="20"/>
                <w:szCs w:val="20"/>
              </w:rPr>
              <w:t>可抵扣亏损</w:t>
            </w:r>
          </w:p>
        </w:tc>
        <w:tc>
          <w:tcPr>
            <w:tcW w:w="3082" w:type="dxa"/>
            <w:tcBorders>
              <w:top w:val="single" w:color="auto" w:sz="4" w:space="0"/>
              <w:left w:val="single" w:color="auto" w:sz="4" w:space="0"/>
              <w:bottom w:val="single" w:color="auto" w:sz="4" w:space="0"/>
              <w:right w:val="single" w:color="auto" w:sz="4" w:space="0"/>
            </w:tcBorders>
            <w:vAlign w:val="center"/>
          </w:tcPr>
          <w:p w14:paraId="790DB62A">
            <w:pPr>
              <w:jc w:val="right"/>
              <w:rPr>
                <w:rFonts w:ascii="Calibri" w:hAnsi="Calibri"/>
                <w:sz w:val="20"/>
                <w:szCs w:val="20"/>
              </w:rPr>
            </w:pPr>
            <w:r>
              <w:rPr>
                <w:rFonts w:ascii="Calibri" w:hAnsi="Calibri"/>
                <w:sz w:val="20"/>
                <w:szCs w:val="20"/>
              </w:rPr>
              <w:t>320,453,203.86</w:t>
            </w:r>
          </w:p>
        </w:tc>
        <w:tc>
          <w:tcPr>
            <w:tcW w:w="3078" w:type="dxa"/>
            <w:tcBorders>
              <w:top w:val="single" w:color="auto" w:sz="4" w:space="0"/>
              <w:left w:val="single" w:color="auto" w:sz="4" w:space="0"/>
              <w:bottom w:val="single" w:color="auto" w:sz="4" w:space="0"/>
              <w:right w:val="single" w:color="auto" w:sz="4" w:space="0"/>
            </w:tcBorders>
            <w:vAlign w:val="center"/>
          </w:tcPr>
          <w:p w14:paraId="2BAC2549">
            <w:pPr>
              <w:jc w:val="right"/>
              <w:rPr>
                <w:rFonts w:ascii="Calibri" w:hAnsi="Calibri"/>
                <w:sz w:val="20"/>
                <w:szCs w:val="20"/>
              </w:rPr>
            </w:pPr>
            <w:r>
              <w:rPr>
                <w:rFonts w:ascii="Calibri" w:hAnsi="Calibri"/>
                <w:sz w:val="20"/>
                <w:szCs w:val="20"/>
              </w:rPr>
              <w:t>277,845,834.63</w:t>
            </w:r>
          </w:p>
        </w:tc>
      </w:tr>
      <w:tr w14:paraId="0A00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88" w:type="dxa"/>
            <w:tcBorders>
              <w:top w:val="single" w:color="auto" w:sz="4" w:space="0"/>
              <w:left w:val="single" w:color="auto" w:sz="4" w:space="0"/>
              <w:bottom w:val="single" w:color="auto" w:sz="4" w:space="0"/>
              <w:right w:val="single" w:color="auto" w:sz="4" w:space="0"/>
            </w:tcBorders>
            <w:vAlign w:val="center"/>
          </w:tcPr>
          <w:p w14:paraId="4DCAD530">
            <w:pPr>
              <w:jc w:val="center"/>
              <w:rPr>
                <w:rFonts w:ascii="Calibri" w:hAnsi="Calibri"/>
                <w:sz w:val="20"/>
                <w:szCs w:val="20"/>
              </w:rPr>
            </w:pPr>
            <w:r>
              <w:rPr>
                <w:rFonts w:hint="eastAsia" w:ascii="Calibri" w:hAnsi="Calibri"/>
                <w:sz w:val="20"/>
                <w:szCs w:val="20"/>
              </w:rPr>
              <w:t>合计</w:t>
            </w:r>
          </w:p>
        </w:tc>
        <w:tc>
          <w:tcPr>
            <w:tcW w:w="3082" w:type="dxa"/>
            <w:tcBorders>
              <w:top w:val="single" w:color="auto" w:sz="4" w:space="0"/>
              <w:left w:val="single" w:color="auto" w:sz="4" w:space="0"/>
              <w:bottom w:val="single" w:color="auto" w:sz="4" w:space="0"/>
              <w:right w:val="single" w:color="auto" w:sz="4" w:space="0"/>
            </w:tcBorders>
            <w:vAlign w:val="center"/>
          </w:tcPr>
          <w:p w14:paraId="09AA184F">
            <w:pPr>
              <w:jc w:val="right"/>
              <w:rPr>
                <w:rFonts w:ascii="Calibri" w:hAnsi="Calibri"/>
                <w:sz w:val="20"/>
                <w:szCs w:val="20"/>
              </w:rPr>
            </w:pPr>
            <w:r>
              <w:rPr>
                <w:rFonts w:ascii="Calibri" w:hAnsi="Calibri"/>
                <w:sz w:val="20"/>
                <w:szCs w:val="20"/>
              </w:rPr>
              <w:t>372,172,056.32</w:t>
            </w:r>
          </w:p>
        </w:tc>
        <w:tc>
          <w:tcPr>
            <w:tcW w:w="3078" w:type="dxa"/>
            <w:tcBorders>
              <w:top w:val="single" w:color="auto" w:sz="4" w:space="0"/>
              <w:left w:val="single" w:color="auto" w:sz="4" w:space="0"/>
              <w:bottom w:val="single" w:color="auto" w:sz="4" w:space="0"/>
              <w:right w:val="single" w:color="auto" w:sz="4" w:space="0"/>
            </w:tcBorders>
            <w:vAlign w:val="center"/>
          </w:tcPr>
          <w:p w14:paraId="2EC0760C">
            <w:pPr>
              <w:jc w:val="right"/>
              <w:rPr>
                <w:rFonts w:ascii="Calibri" w:hAnsi="Calibri"/>
                <w:sz w:val="20"/>
                <w:szCs w:val="20"/>
              </w:rPr>
            </w:pPr>
            <w:r>
              <w:rPr>
                <w:rFonts w:ascii="Calibri" w:hAnsi="Calibri"/>
                <w:sz w:val="20"/>
                <w:szCs w:val="20"/>
              </w:rPr>
              <w:t>302,845,913.17</w:t>
            </w:r>
          </w:p>
        </w:tc>
      </w:tr>
    </w:tbl>
    <w:p w14:paraId="113A32A5">
      <w:pPr>
        <w:pStyle w:val="48"/>
      </w:pPr>
    </w:p>
    <w:p w14:paraId="7E1F65A0">
      <w:pPr>
        <w:pStyle w:val="5"/>
        <w:numPr>
          <w:ilvl w:val="0"/>
          <w:numId w:val="85"/>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21143614"/>
        <w:placeholder>
          <w:docPart w:val="GBC22222222222222222222222222222"/>
        </w:placeholder>
      </w:sdtPr>
      <w:sdtContent>
        <w:p w14:paraId="50CE2BF2">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9F880B">
      <w:pPr>
        <w:ind w:right="57"/>
        <w:jc w:val="right"/>
      </w:pPr>
      <w:r>
        <w:rPr>
          <w:rFonts w:hint="eastAsia"/>
        </w:rPr>
        <w:t>单位：</w:t>
      </w:r>
      <w:sdt>
        <w:sdtPr>
          <w:rPr>
            <w:rFonts w:hint="eastAsia"/>
          </w:rPr>
          <w:alias w:val="单位：财务附注：未确认递延所得税资产的可抵扣亏损将于以下年度到期"/>
          <w:tag w:val="_GBC_f2f4114ac2e940dc8739e6c3e20fe15f"/>
          <w:id w:val="-18891044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确认递延所得税资产的可抵扣亏损将于以下年度到期"/>
          <w:tag w:val="_GBC_a44b093249e5439fa4b311f7150bce43"/>
          <w:id w:val="19968416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322"/>
    <w:tbl>
      <w:tblPr>
        <w:tblStyle w:val="57"/>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2285"/>
        <w:gridCol w:w="2323"/>
        <w:gridCol w:w="2354"/>
      </w:tblGrid>
      <w:tr w14:paraId="632F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c2bad95d2ced4c2f8958303268f6cd2b"/>
            <w:id w:val="-917246409"/>
          </w:sdtPr>
          <w:sdtContent>
            <w:tc>
              <w:tcPr>
                <w:tcW w:w="2084" w:type="dxa"/>
                <w:tcBorders>
                  <w:top w:val="single" w:color="auto" w:sz="4" w:space="0"/>
                  <w:left w:val="single" w:color="auto" w:sz="4" w:space="0"/>
                  <w:bottom w:val="single" w:color="auto" w:sz="4" w:space="0"/>
                  <w:right w:val="single" w:color="auto" w:sz="4" w:space="0"/>
                </w:tcBorders>
                <w:vAlign w:val="center"/>
              </w:tcPr>
              <w:p w14:paraId="6E2BC7CB">
                <w:pPr>
                  <w:jc w:val="center"/>
                  <w:rPr>
                    <w:rFonts w:ascii="Calibri" w:hAnsi="Calibri"/>
                    <w:sz w:val="20"/>
                    <w:szCs w:val="20"/>
                  </w:rPr>
                </w:pPr>
                <w:r>
                  <w:rPr>
                    <w:rFonts w:hint="eastAsia" w:ascii="Calibri" w:hAnsi="Calibri"/>
                    <w:sz w:val="20"/>
                    <w:szCs w:val="20"/>
                  </w:rPr>
                  <w:t>年份</w:t>
                </w:r>
              </w:p>
            </w:tc>
          </w:sdtContent>
        </w:sdt>
        <w:sdt>
          <w:sdtPr>
            <w:tag w:val="_PLD_20395d1e877346dbbdb29c15ffdda67a"/>
            <w:id w:val="353395822"/>
          </w:sdtPr>
          <w:sdtContent>
            <w:tc>
              <w:tcPr>
                <w:tcW w:w="2285" w:type="dxa"/>
                <w:tcBorders>
                  <w:top w:val="single" w:color="auto" w:sz="4" w:space="0"/>
                  <w:left w:val="single" w:color="auto" w:sz="4" w:space="0"/>
                  <w:bottom w:val="single" w:color="auto" w:sz="4" w:space="0"/>
                  <w:right w:val="single" w:color="auto" w:sz="4" w:space="0"/>
                </w:tcBorders>
                <w:vAlign w:val="center"/>
              </w:tcPr>
              <w:p w14:paraId="00310DA0">
                <w:pPr>
                  <w:jc w:val="center"/>
                  <w:rPr>
                    <w:rFonts w:ascii="Calibri" w:hAnsi="Calibri"/>
                    <w:sz w:val="20"/>
                    <w:szCs w:val="20"/>
                  </w:rPr>
                </w:pPr>
                <w:r>
                  <w:rPr>
                    <w:rFonts w:hint="eastAsia" w:ascii="Calibri" w:hAnsi="Calibri"/>
                    <w:sz w:val="20"/>
                    <w:szCs w:val="20"/>
                  </w:rPr>
                  <w:t>期末金额</w:t>
                </w:r>
              </w:p>
            </w:tc>
          </w:sdtContent>
        </w:sdt>
        <w:sdt>
          <w:sdtPr>
            <w:tag w:val="_PLD_7c3e310eca854a9283aca385397086c3"/>
            <w:id w:val="952447340"/>
          </w:sdtPr>
          <w:sdtContent>
            <w:tc>
              <w:tcPr>
                <w:tcW w:w="2323" w:type="dxa"/>
                <w:tcBorders>
                  <w:top w:val="single" w:color="auto" w:sz="4" w:space="0"/>
                  <w:left w:val="single" w:color="auto" w:sz="4" w:space="0"/>
                  <w:bottom w:val="single" w:color="auto" w:sz="4" w:space="0"/>
                  <w:right w:val="single" w:color="auto" w:sz="4" w:space="0"/>
                </w:tcBorders>
                <w:vAlign w:val="center"/>
              </w:tcPr>
              <w:p w14:paraId="116F03A6">
                <w:pPr>
                  <w:jc w:val="center"/>
                  <w:rPr>
                    <w:rFonts w:ascii="Calibri" w:hAnsi="Calibri"/>
                    <w:sz w:val="20"/>
                    <w:szCs w:val="20"/>
                  </w:rPr>
                </w:pPr>
                <w:r>
                  <w:rPr>
                    <w:rFonts w:hint="eastAsia" w:ascii="Calibri" w:hAnsi="Calibri"/>
                    <w:sz w:val="20"/>
                    <w:szCs w:val="20"/>
                  </w:rPr>
                  <w:t>期初金额</w:t>
                </w:r>
              </w:p>
            </w:tc>
          </w:sdtContent>
        </w:sdt>
        <w:sdt>
          <w:sdtPr>
            <w:tag w:val="_PLD_39d10c26cbf24b4481db02bd3f33378d"/>
            <w:id w:val="1482809812"/>
          </w:sdtPr>
          <w:sdtContent>
            <w:tc>
              <w:tcPr>
                <w:tcW w:w="2354" w:type="dxa"/>
                <w:tcBorders>
                  <w:top w:val="single" w:color="auto" w:sz="4" w:space="0"/>
                  <w:left w:val="single" w:color="auto" w:sz="4" w:space="0"/>
                  <w:bottom w:val="single" w:color="auto" w:sz="4" w:space="0"/>
                  <w:right w:val="single" w:color="auto" w:sz="4" w:space="0"/>
                </w:tcBorders>
                <w:vAlign w:val="center"/>
              </w:tcPr>
              <w:p w14:paraId="4970A94D">
                <w:pPr>
                  <w:jc w:val="center"/>
                  <w:rPr>
                    <w:rFonts w:ascii="Calibri" w:hAnsi="Calibri"/>
                    <w:sz w:val="20"/>
                    <w:szCs w:val="20"/>
                  </w:rPr>
                </w:pPr>
                <w:r>
                  <w:rPr>
                    <w:rFonts w:hint="eastAsia" w:ascii="Calibri" w:hAnsi="Calibri"/>
                    <w:sz w:val="20"/>
                    <w:szCs w:val="20"/>
                  </w:rPr>
                  <w:t>备注</w:t>
                </w:r>
              </w:p>
            </w:tc>
          </w:sdtContent>
        </w:sdt>
      </w:tr>
      <w:tr w14:paraId="70D4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084" w:type="dxa"/>
            <w:tcBorders>
              <w:top w:val="single" w:color="auto" w:sz="4" w:space="0"/>
              <w:left w:val="single" w:color="auto" w:sz="4" w:space="0"/>
              <w:bottom w:val="single" w:color="auto" w:sz="4" w:space="0"/>
              <w:right w:val="single" w:color="auto" w:sz="4" w:space="0"/>
            </w:tcBorders>
            <w:vAlign w:val="center"/>
          </w:tcPr>
          <w:p w14:paraId="30C32EB1">
            <w:pPr>
              <w:pStyle w:val="48"/>
              <w:rPr>
                <w:sz w:val="20"/>
                <w:szCs w:val="20"/>
              </w:rPr>
            </w:pPr>
            <w:r>
              <w:rPr>
                <w:sz w:val="20"/>
                <w:szCs w:val="20"/>
              </w:rPr>
              <w:t>2025年</w:t>
            </w:r>
          </w:p>
        </w:tc>
        <w:tc>
          <w:tcPr>
            <w:tcW w:w="2285" w:type="dxa"/>
            <w:tcBorders>
              <w:top w:val="single" w:color="auto" w:sz="4" w:space="0"/>
              <w:left w:val="single" w:color="auto" w:sz="4" w:space="0"/>
              <w:bottom w:val="single" w:color="auto" w:sz="4" w:space="0"/>
              <w:right w:val="single" w:color="auto" w:sz="4" w:space="0"/>
            </w:tcBorders>
            <w:vAlign w:val="center"/>
          </w:tcPr>
          <w:p w14:paraId="09EDF7E6">
            <w:pPr>
              <w:jc w:val="right"/>
              <w:rPr>
                <w:rFonts w:ascii="Calibri" w:hAnsi="Calibri"/>
                <w:sz w:val="20"/>
                <w:szCs w:val="20"/>
              </w:rPr>
            </w:pPr>
          </w:p>
        </w:tc>
        <w:tc>
          <w:tcPr>
            <w:tcW w:w="2323" w:type="dxa"/>
            <w:tcBorders>
              <w:top w:val="single" w:color="auto" w:sz="4" w:space="0"/>
              <w:left w:val="single" w:color="auto" w:sz="4" w:space="0"/>
              <w:bottom w:val="single" w:color="auto" w:sz="4" w:space="0"/>
              <w:right w:val="single" w:color="auto" w:sz="4" w:space="0"/>
            </w:tcBorders>
            <w:vAlign w:val="center"/>
          </w:tcPr>
          <w:p w14:paraId="4DC19927">
            <w:pPr>
              <w:jc w:val="right"/>
              <w:rPr>
                <w:rFonts w:ascii="Calibri" w:hAnsi="Calibri"/>
                <w:sz w:val="20"/>
                <w:szCs w:val="20"/>
              </w:rPr>
            </w:pPr>
            <w:r>
              <w:rPr>
                <w:rFonts w:ascii="Calibri" w:hAnsi="Calibri"/>
                <w:sz w:val="20"/>
                <w:szCs w:val="20"/>
              </w:rPr>
              <w:t>1,724,418.38</w:t>
            </w:r>
          </w:p>
        </w:tc>
        <w:tc>
          <w:tcPr>
            <w:tcW w:w="2354" w:type="dxa"/>
            <w:tcBorders>
              <w:top w:val="single" w:color="auto" w:sz="4" w:space="0"/>
              <w:left w:val="single" w:color="auto" w:sz="4" w:space="0"/>
              <w:bottom w:val="single" w:color="auto" w:sz="4" w:space="0"/>
              <w:right w:val="single" w:color="auto" w:sz="4" w:space="0"/>
            </w:tcBorders>
            <w:vAlign w:val="center"/>
          </w:tcPr>
          <w:p w14:paraId="2583F184">
            <w:pPr>
              <w:pStyle w:val="48"/>
              <w:rPr>
                <w:sz w:val="20"/>
                <w:szCs w:val="20"/>
              </w:rPr>
            </w:pPr>
          </w:p>
        </w:tc>
      </w:tr>
      <w:tr w14:paraId="06F1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084" w:type="dxa"/>
            <w:tcBorders>
              <w:top w:val="single" w:color="auto" w:sz="4" w:space="0"/>
              <w:left w:val="single" w:color="auto" w:sz="4" w:space="0"/>
              <w:bottom w:val="single" w:color="auto" w:sz="4" w:space="0"/>
              <w:right w:val="single" w:color="auto" w:sz="4" w:space="0"/>
            </w:tcBorders>
            <w:vAlign w:val="center"/>
          </w:tcPr>
          <w:p w14:paraId="350D1BA2">
            <w:pPr>
              <w:pStyle w:val="48"/>
              <w:rPr>
                <w:sz w:val="20"/>
                <w:szCs w:val="20"/>
              </w:rPr>
            </w:pPr>
            <w:r>
              <w:rPr>
                <w:sz w:val="20"/>
                <w:szCs w:val="20"/>
              </w:rPr>
              <w:t>2026年</w:t>
            </w:r>
          </w:p>
        </w:tc>
        <w:tc>
          <w:tcPr>
            <w:tcW w:w="2285" w:type="dxa"/>
            <w:tcBorders>
              <w:top w:val="single" w:color="auto" w:sz="4" w:space="0"/>
              <w:left w:val="single" w:color="auto" w:sz="4" w:space="0"/>
              <w:bottom w:val="single" w:color="auto" w:sz="4" w:space="0"/>
              <w:right w:val="single" w:color="auto" w:sz="4" w:space="0"/>
            </w:tcBorders>
            <w:vAlign w:val="center"/>
          </w:tcPr>
          <w:p w14:paraId="65056AFE">
            <w:pPr>
              <w:jc w:val="right"/>
              <w:rPr>
                <w:rFonts w:ascii="Calibri" w:hAnsi="Calibri"/>
                <w:sz w:val="20"/>
                <w:szCs w:val="20"/>
              </w:rPr>
            </w:pPr>
            <w:r>
              <w:rPr>
                <w:rFonts w:ascii="Calibri" w:hAnsi="Calibri"/>
                <w:sz w:val="20"/>
                <w:szCs w:val="20"/>
              </w:rPr>
              <w:t>80,477,487.23</w:t>
            </w:r>
          </w:p>
        </w:tc>
        <w:tc>
          <w:tcPr>
            <w:tcW w:w="2323" w:type="dxa"/>
            <w:tcBorders>
              <w:top w:val="single" w:color="auto" w:sz="4" w:space="0"/>
              <w:left w:val="single" w:color="auto" w:sz="4" w:space="0"/>
              <w:bottom w:val="single" w:color="auto" w:sz="4" w:space="0"/>
              <w:right w:val="single" w:color="auto" w:sz="4" w:space="0"/>
            </w:tcBorders>
            <w:vAlign w:val="center"/>
          </w:tcPr>
          <w:p w14:paraId="69650663">
            <w:pPr>
              <w:jc w:val="right"/>
              <w:rPr>
                <w:rFonts w:ascii="Calibri" w:hAnsi="Calibri"/>
                <w:sz w:val="20"/>
                <w:szCs w:val="20"/>
              </w:rPr>
            </w:pPr>
            <w:r>
              <w:rPr>
                <w:rFonts w:ascii="Calibri" w:hAnsi="Calibri"/>
                <w:sz w:val="20"/>
                <w:szCs w:val="20"/>
              </w:rPr>
              <w:t>131,566,916.25</w:t>
            </w:r>
          </w:p>
        </w:tc>
        <w:tc>
          <w:tcPr>
            <w:tcW w:w="2354" w:type="dxa"/>
            <w:tcBorders>
              <w:top w:val="single" w:color="auto" w:sz="4" w:space="0"/>
              <w:left w:val="single" w:color="auto" w:sz="4" w:space="0"/>
              <w:bottom w:val="single" w:color="auto" w:sz="4" w:space="0"/>
              <w:right w:val="single" w:color="auto" w:sz="4" w:space="0"/>
            </w:tcBorders>
            <w:vAlign w:val="center"/>
          </w:tcPr>
          <w:p w14:paraId="47D19B59">
            <w:pPr>
              <w:pStyle w:val="48"/>
              <w:rPr>
                <w:sz w:val="20"/>
                <w:szCs w:val="20"/>
              </w:rPr>
            </w:pPr>
          </w:p>
        </w:tc>
      </w:tr>
      <w:tr w14:paraId="0118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084" w:type="dxa"/>
            <w:tcBorders>
              <w:top w:val="single" w:color="auto" w:sz="4" w:space="0"/>
              <w:left w:val="single" w:color="auto" w:sz="4" w:space="0"/>
              <w:bottom w:val="single" w:color="auto" w:sz="4" w:space="0"/>
              <w:right w:val="single" w:color="auto" w:sz="4" w:space="0"/>
            </w:tcBorders>
            <w:vAlign w:val="center"/>
          </w:tcPr>
          <w:p w14:paraId="0DEDA5A8">
            <w:pPr>
              <w:pStyle w:val="48"/>
              <w:rPr>
                <w:sz w:val="20"/>
                <w:szCs w:val="20"/>
              </w:rPr>
            </w:pPr>
            <w:r>
              <w:rPr>
                <w:sz w:val="20"/>
                <w:szCs w:val="20"/>
              </w:rPr>
              <w:t>2027年</w:t>
            </w:r>
          </w:p>
        </w:tc>
        <w:tc>
          <w:tcPr>
            <w:tcW w:w="2285" w:type="dxa"/>
            <w:tcBorders>
              <w:top w:val="single" w:color="auto" w:sz="4" w:space="0"/>
              <w:left w:val="single" w:color="auto" w:sz="4" w:space="0"/>
              <w:bottom w:val="single" w:color="auto" w:sz="4" w:space="0"/>
              <w:right w:val="single" w:color="auto" w:sz="4" w:space="0"/>
            </w:tcBorders>
            <w:vAlign w:val="center"/>
          </w:tcPr>
          <w:p w14:paraId="50BEDD35">
            <w:pPr>
              <w:jc w:val="right"/>
              <w:rPr>
                <w:rFonts w:ascii="Calibri" w:hAnsi="Calibri"/>
                <w:sz w:val="20"/>
                <w:szCs w:val="20"/>
              </w:rPr>
            </w:pPr>
            <w:r>
              <w:rPr>
                <w:rFonts w:ascii="Calibri" w:hAnsi="Calibri"/>
                <w:sz w:val="20"/>
                <w:szCs w:val="20"/>
              </w:rPr>
              <w:t>64,416,150.87</w:t>
            </w:r>
          </w:p>
        </w:tc>
        <w:tc>
          <w:tcPr>
            <w:tcW w:w="2323" w:type="dxa"/>
            <w:tcBorders>
              <w:top w:val="single" w:color="auto" w:sz="4" w:space="0"/>
              <w:left w:val="single" w:color="auto" w:sz="4" w:space="0"/>
              <w:bottom w:val="single" w:color="auto" w:sz="4" w:space="0"/>
              <w:right w:val="single" w:color="auto" w:sz="4" w:space="0"/>
            </w:tcBorders>
            <w:vAlign w:val="center"/>
          </w:tcPr>
          <w:p w14:paraId="7727B64D">
            <w:pPr>
              <w:jc w:val="right"/>
              <w:rPr>
                <w:rFonts w:ascii="Calibri" w:hAnsi="Calibri"/>
                <w:sz w:val="20"/>
                <w:szCs w:val="20"/>
              </w:rPr>
            </w:pPr>
            <w:r>
              <w:rPr>
                <w:rFonts w:ascii="Calibri" w:hAnsi="Calibri"/>
                <w:sz w:val="20"/>
                <w:szCs w:val="20"/>
              </w:rPr>
              <w:t>64,756,422.92</w:t>
            </w:r>
          </w:p>
        </w:tc>
        <w:tc>
          <w:tcPr>
            <w:tcW w:w="2354" w:type="dxa"/>
            <w:tcBorders>
              <w:top w:val="single" w:color="auto" w:sz="4" w:space="0"/>
              <w:left w:val="single" w:color="auto" w:sz="4" w:space="0"/>
              <w:bottom w:val="single" w:color="auto" w:sz="4" w:space="0"/>
              <w:right w:val="single" w:color="auto" w:sz="4" w:space="0"/>
            </w:tcBorders>
            <w:vAlign w:val="center"/>
          </w:tcPr>
          <w:p w14:paraId="59CDEFD3">
            <w:pPr>
              <w:pStyle w:val="48"/>
              <w:rPr>
                <w:sz w:val="20"/>
                <w:szCs w:val="20"/>
              </w:rPr>
            </w:pPr>
          </w:p>
        </w:tc>
      </w:tr>
      <w:tr w14:paraId="75E1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084" w:type="dxa"/>
            <w:tcBorders>
              <w:top w:val="single" w:color="auto" w:sz="4" w:space="0"/>
              <w:left w:val="single" w:color="auto" w:sz="4" w:space="0"/>
              <w:bottom w:val="single" w:color="auto" w:sz="4" w:space="0"/>
              <w:right w:val="single" w:color="auto" w:sz="4" w:space="0"/>
            </w:tcBorders>
            <w:vAlign w:val="center"/>
          </w:tcPr>
          <w:p w14:paraId="5F57B8A8">
            <w:pPr>
              <w:pStyle w:val="48"/>
              <w:rPr>
                <w:sz w:val="20"/>
                <w:szCs w:val="20"/>
              </w:rPr>
            </w:pPr>
            <w:r>
              <w:rPr>
                <w:sz w:val="20"/>
                <w:szCs w:val="20"/>
              </w:rPr>
              <w:t>2028年</w:t>
            </w:r>
          </w:p>
        </w:tc>
        <w:tc>
          <w:tcPr>
            <w:tcW w:w="2285" w:type="dxa"/>
            <w:tcBorders>
              <w:top w:val="single" w:color="auto" w:sz="4" w:space="0"/>
              <w:left w:val="single" w:color="auto" w:sz="4" w:space="0"/>
              <w:bottom w:val="single" w:color="auto" w:sz="4" w:space="0"/>
              <w:right w:val="single" w:color="auto" w:sz="4" w:space="0"/>
            </w:tcBorders>
            <w:vAlign w:val="center"/>
          </w:tcPr>
          <w:p w14:paraId="224C4434">
            <w:pPr>
              <w:jc w:val="right"/>
              <w:rPr>
                <w:rFonts w:ascii="Calibri" w:hAnsi="Calibri"/>
                <w:sz w:val="20"/>
                <w:szCs w:val="20"/>
              </w:rPr>
            </w:pPr>
            <w:r>
              <w:rPr>
                <w:rFonts w:ascii="Calibri" w:hAnsi="Calibri"/>
                <w:sz w:val="20"/>
                <w:szCs w:val="20"/>
              </w:rPr>
              <w:t>68,609,309.78</w:t>
            </w:r>
          </w:p>
        </w:tc>
        <w:tc>
          <w:tcPr>
            <w:tcW w:w="2323" w:type="dxa"/>
            <w:tcBorders>
              <w:top w:val="single" w:color="auto" w:sz="4" w:space="0"/>
              <w:left w:val="single" w:color="auto" w:sz="4" w:space="0"/>
              <w:bottom w:val="single" w:color="auto" w:sz="4" w:space="0"/>
              <w:right w:val="single" w:color="auto" w:sz="4" w:space="0"/>
            </w:tcBorders>
            <w:vAlign w:val="center"/>
          </w:tcPr>
          <w:p w14:paraId="74A37679">
            <w:pPr>
              <w:jc w:val="right"/>
              <w:rPr>
                <w:rFonts w:ascii="Calibri" w:hAnsi="Calibri"/>
                <w:sz w:val="20"/>
                <w:szCs w:val="20"/>
              </w:rPr>
            </w:pPr>
            <w:r>
              <w:rPr>
                <w:rFonts w:ascii="Calibri" w:hAnsi="Calibri"/>
                <w:sz w:val="20"/>
                <w:szCs w:val="20"/>
              </w:rPr>
              <w:t>68,609,309.78</w:t>
            </w:r>
          </w:p>
        </w:tc>
        <w:tc>
          <w:tcPr>
            <w:tcW w:w="2354" w:type="dxa"/>
            <w:tcBorders>
              <w:top w:val="single" w:color="auto" w:sz="4" w:space="0"/>
              <w:left w:val="single" w:color="auto" w:sz="4" w:space="0"/>
              <w:bottom w:val="single" w:color="auto" w:sz="4" w:space="0"/>
              <w:right w:val="single" w:color="auto" w:sz="4" w:space="0"/>
            </w:tcBorders>
            <w:vAlign w:val="center"/>
          </w:tcPr>
          <w:p w14:paraId="17D0089C">
            <w:pPr>
              <w:pStyle w:val="48"/>
              <w:rPr>
                <w:sz w:val="20"/>
                <w:szCs w:val="20"/>
              </w:rPr>
            </w:pPr>
          </w:p>
        </w:tc>
      </w:tr>
      <w:tr w14:paraId="7AED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084" w:type="dxa"/>
            <w:tcBorders>
              <w:top w:val="single" w:color="auto" w:sz="4" w:space="0"/>
              <w:left w:val="single" w:color="auto" w:sz="4" w:space="0"/>
              <w:bottom w:val="single" w:color="auto" w:sz="4" w:space="0"/>
              <w:right w:val="single" w:color="auto" w:sz="4" w:space="0"/>
            </w:tcBorders>
            <w:vAlign w:val="center"/>
          </w:tcPr>
          <w:p w14:paraId="6608D3AB">
            <w:pPr>
              <w:pStyle w:val="48"/>
              <w:rPr>
                <w:sz w:val="20"/>
                <w:szCs w:val="20"/>
              </w:rPr>
            </w:pPr>
            <w:r>
              <w:rPr>
                <w:sz w:val="20"/>
                <w:szCs w:val="20"/>
              </w:rPr>
              <w:t>2029年</w:t>
            </w:r>
          </w:p>
        </w:tc>
        <w:tc>
          <w:tcPr>
            <w:tcW w:w="2285" w:type="dxa"/>
            <w:tcBorders>
              <w:top w:val="single" w:color="auto" w:sz="4" w:space="0"/>
              <w:left w:val="single" w:color="auto" w:sz="4" w:space="0"/>
              <w:bottom w:val="single" w:color="auto" w:sz="4" w:space="0"/>
              <w:right w:val="single" w:color="auto" w:sz="4" w:space="0"/>
            </w:tcBorders>
            <w:vAlign w:val="center"/>
          </w:tcPr>
          <w:p w14:paraId="5A91EC6F">
            <w:pPr>
              <w:jc w:val="right"/>
              <w:rPr>
                <w:rFonts w:ascii="Calibri" w:hAnsi="Calibri"/>
                <w:sz w:val="20"/>
                <w:szCs w:val="20"/>
              </w:rPr>
            </w:pPr>
            <w:r>
              <w:rPr>
                <w:rFonts w:ascii="Calibri" w:hAnsi="Calibri"/>
                <w:sz w:val="20"/>
                <w:szCs w:val="20"/>
              </w:rPr>
              <w:t>10,565,872.28</w:t>
            </w:r>
          </w:p>
        </w:tc>
        <w:tc>
          <w:tcPr>
            <w:tcW w:w="2323" w:type="dxa"/>
            <w:tcBorders>
              <w:top w:val="single" w:color="auto" w:sz="4" w:space="0"/>
              <w:left w:val="single" w:color="auto" w:sz="4" w:space="0"/>
              <w:bottom w:val="single" w:color="auto" w:sz="4" w:space="0"/>
              <w:right w:val="single" w:color="auto" w:sz="4" w:space="0"/>
            </w:tcBorders>
            <w:vAlign w:val="center"/>
          </w:tcPr>
          <w:p w14:paraId="2506438B">
            <w:pPr>
              <w:jc w:val="right"/>
              <w:rPr>
                <w:rFonts w:ascii="Calibri" w:hAnsi="Calibri"/>
                <w:sz w:val="20"/>
                <w:szCs w:val="20"/>
              </w:rPr>
            </w:pPr>
            <w:r>
              <w:rPr>
                <w:rFonts w:ascii="Calibri" w:hAnsi="Calibri"/>
                <w:sz w:val="20"/>
                <w:szCs w:val="20"/>
              </w:rPr>
              <w:t>11,188,767.30</w:t>
            </w:r>
          </w:p>
        </w:tc>
        <w:tc>
          <w:tcPr>
            <w:tcW w:w="2354" w:type="dxa"/>
            <w:tcBorders>
              <w:top w:val="single" w:color="auto" w:sz="4" w:space="0"/>
              <w:left w:val="single" w:color="auto" w:sz="4" w:space="0"/>
              <w:bottom w:val="single" w:color="auto" w:sz="4" w:space="0"/>
              <w:right w:val="single" w:color="auto" w:sz="4" w:space="0"/>
            </w:tcBorders>
            <w:vAlign w:val="center"/>
          </w:tcPr>
          <w:p w14:paraId="403266FB">
            <w:pPr>
              <w:pStyle w:val="48"/>
              <w:rPr>
                <w:sz w:val="20"/>
                <w:szCs w:val="20"/>
              </w:rPr>
            </w:pPr>
          </w:p>
        </w:tc>
      </w:tr>
      <w:tr w14:paraId="4C25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084" w:type="dxa"/>
            <w:tcBorders>
              <w:top w:val="single" w:color="auto" w:sz="4" w:space="0"/>
              <w:left w:val="single" w:color="auto" w:sz="4" w:space="0"/>
              <w:bottom w:val="single" w:color="auto" w:sz="4" w:space="0"/>
              <w:right w:val="single" w:color="auto" w:sz="4" w:space="0"/>
            </w:tcBorders>
            <w:vAlign w:val="center"/>
          </w:tcPr>
          <w:p w14:paraId="5DC1DB38">
            <w:pPr>
              <w:pStyle w:val="48"/>
              <w:rPr>
                <w:sz w:val="20"/>
                <w:szCs w:val="20"/>
              </w:rPr>
            </w:pPr>
            <w:r>
              <w:rPr>
                <w:sz w:val="20"/>
                <w:szCs w:val="20"/>
              </w:rPr>
              <w:t>2030年</w:t>
            </w:r>
          </w:p>
        </w:tc>
        <w:tc>
          <w:tcPr>
            <w:tcW w:w="2285" w:type="dxa"/>
            <w:tcBorders>
              <w:top w:val="single" w:color="auto" w:sz="4" w:space="0"/>
              <w:left w:val="single" w:color="auto" w:sz="4" w:space="0"/>
              <w:bottom w:val="single" w:color="auto" w:sz="4" w:space="0"/>
              <w:right w:val="single" w:color="auto" w:sz="4" w:space="0"/>
            </w:tcBorders>
            <w:vAlign w:val="center"/>
          </w:tcPr>
          <w:p w14:paraId="7E87BE9F">
            <w:pPr>
              <w:jc w:val="right"/>
              <w:rPr>
                <w:rFonts w:ascii="Calibri" w:hAnsi="Calibri"/>
                <w:sz w:val="20"/>
                <w:szCs w:val="20"/>
              </w:rPr>
            </w:pPr>
            <w:r>
              <w:rPr>
                <w:rFonts w:ascii="Calibri" w:hAnsi="Calibri"/>
                <w:sz w:val="20"/>
                <w:szCs w:val="20"/>
              </w:rPr>
              <w:t>96,384,383.70</w:t>
            </w:r>
          </w:p>
        </w:tc>
        <w:tc>
          <w:tcPr>
            <w:tcW w:w="2323" w:type="dxa"/>
            <w:tcBorders>
              <w:top w:val="single" w:color="auto" w:sz="4" w:space="0"/>
              <w:left w:val="single" w:color="auto" w:sz="4" w:space="0"/>
              <w:bottom w:val="single" w:color="auto" w:sz="4" w:space="0"/>
              <w:right w:val="single" w:color="auto" w:sz="4" w:space="0"/>
            </w:tcBorders>
            <w:vAlign w:val="center"/>
          </w:tcPr>
          <w:p w14:paraId="65FC704A">
            <w:pPr>
              <w:jc w:val="right"/>
              <w:rPr>
                <w:rFonts w:ascii="Calibri" w:hAnsi="Calibri"/>
                <w:sz w:val="20"/>
                <w:szCs w:val="20"/>
              </w:rPr>
            </w:pPr>
          </w:p>
        </w:tc>
        <w:tc>
          <w:tcPr>
            <w:tcW w:w="2354" w:type="dxa"/>
            <w:tcBorders>
              <w:top w:val="single" w:color="auto" w:sz="4" w:space="0"/>
              <w:left w:val="single" w:color="auto" w:sz="4" w:space="0"/>
              <w:bottom w:val="single" w:color="auto" w:sz="4" w:space="0"/>
              <w:right w:val="single" w:color="auto" w:sz="4" w:space="0"/>
            </w:tcBorders>
            <w:vAlign w:val="center"/>
          </w:tcPr>
          <w:p w14:paraId="6DBE6AE7">
            <w:pPr>
              <w:pStyle w:val="48"/>
              <w:rPr>
                <w:sz w:val="20"/>
                <w:szCs w:val="20"/>
              </w:rPr>
            </w:pPr>
          </w:p>
        </w:tc>
      </w:tr>
      <w:tr w14:paraId="5A7C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84" w:type="dxa"/>
            <w:tcBorders>
              <w:top w:val="single" w:color="auto" w:sz="4" w:space="0"/>
              <w:left w:val="single" w:color="auto" w:sz="4" w:space="0"/>
              <w:bottom w:val="single" w:color="auto" w:sz="4" w:space="0"/>
              <w:right w:val="single" w:color="auto" w:sz="4" w:space="0"/>
            </w:tcBorders>
            <w:vAlign w:val="center"/>
          </w:tcPr>
          <w:p w14:paraId="6DABDA98">
            <w:pPr>
              <w:jc w:val="center"/>
              <w:rPr>
                <w:rFonts w:ascii="Calibri" w:hAnsi="Calibri"/>
                <w:sz w:val="20"/>
                <w:szCs w:val="20"/>
              </w:rPr>
            </w:pPr>
            <w:r>
              <w:rPr>
                <w:rFonts w:hint="eastAsia" w:ascii="Calibri" w:hAnsi="Calibri"/>
                <w:sz w:val="20"/>
                <w:szCs w:val="20"/>
              </w:rPr>
              <w:t>合计</w:t>
            </w:r>
          </w:p>
        </w:tc>
        <w:tc>
          <w:tcPr>
            <w:tcW w:w="2285" w:type="dxa"/>
            <w:tcBorders>
              <w:top w:val="single" w:color="auto" w:sz="4" w:space="0"/>
              <w:left w:val="single" w:color="auto" w:sz="4" w:space="0"/>
              <w:bottom w:val="single" w:color="auto" w:sz="4" w:space="0"/>
              <w:right w:val="single" w:color="auto" w:sz="4" w:space="0"/>
            </w:tcBorders>
            <w:vAlign w:val="center"/>
          </w:tcPr>
          <w:p w14:paraId="78B93B6E">
            <w:pPr>
              <w:jc w:val="right"/>
              <w:rPr>
                <w:rFonts w:ascii="Calibri" w:hAnsi="Calibri"/>
                <w:sz w:val="20"/>
                <w:szCs w:val="20"/>
              </w:rPr>
            </w:pPr>
            <w:r>
              <w:rPr>
                <w:rFonts w:ascii="Calibri" w:hAnsi="Calibri"/>
                <w:sz w:val="20"/>
                <w:szCs w:val="20"/>
              </w:rPr>
              <w:t>320,453,203.86</w:t>
            </w:r>
          </w:p>
        </w:tc>
        <w:tc>
          <w:tcPr>
            <w:tcW w:w="2323" w:type="dxa"/>
            <w:tcBorders>
              <w:top w:val="single" w:color="auto" w:sz="4" w:space="0"/>
              <w:left w:val="single" w:color="auto" w:sz="4" w:space="0"/>
              <w:bottom w:val="single" w:color="auto" w:sz="4" w:space="0"/>
              <w:right w:val="single" w:color="auto" w:sz="4" w:space="0"/>
            </w:tcBorders>
            <w:vAlign w:val="center"/>
          </w:tcPr>
          <w:p w14:paraId="7D659585">
            <w:pPr>
              <w:jc w:val="right"/>
              <w:rPr>
                <w:rFonts w:ascii="Calibri" w:hAnsi="Calibri"/>
                <w:sz w:val="20"/>
                <w:szCs w:val="20"/>
              </w:rPr>
            </w:pPr>
            <w:r>
              <w:rPr>
                <w:rFonts w:ascii="Calibri" w:hAnsi="Calibri"/>
                <w:sz w:val="20"/>
                <w:szCs w:val="20"/>
              </w:rPr>
              <w:t>277,845,834.63</w:t>
            </w:r>
          </w:p>
        </w:tc>
        <w:tc>
          <w:tcPr>
            <w:tcW w:w="2354" w:type="dxa"/>
            <w:tcBorders>
              <w:top w:val="single" w:color="auto" w:sz="4" w:space="0"/>
              <w:left w:val="single" w:color="auto" w:sz="4" w:space="0"/>
              <w:bottom w:val="single" w:color="auto" w:sz="4" w:space="0"/>
              <w:right w:val="single" w:color="auto" w:sz="4" w:space="0"/>
            </w:tcBorders>
            <w:vAlign w:val="center"/>
          </w:tcPr>
          <w:p w14:paraId="4F339E8C">
            <w:pPr>
              <w:jc w:val="center"/>
              <w:rPr>
                <w:rFonts w:ascii="Calibri" w:hAnsi="Calibri"/>
                <w:sz w:val="20"/>
                <w:szCs w:val="20"/>
              </w:rPr>
            </w:pPr>
            <w:r>
              <w:rPr>
                <w:rFonts w:hint="eastAsia" w:ascii="Calibri" w:hAnsi="Calibri"/>
                <w:sz w:val="20"/>
                <w:szCs w:val="20"/>
              </w:rPr>
              <w:t>/</w:t>
            </w:r>
          </w:p>
        </w:tc>
      </w:tr>
    </w:tbl>
    <w:p w14:paraId="46857A49"/>
    <w:p w14:paraId="576B7A5B">
      <w:pPr>
        <w:pStyle w:val="48"/>
      </w:pPr>
      <w:r>
        <w:rPr>
          <w:rFonts w:hint="eastAsia"/>
        </w:rPr>
        <w:t>其他说明：</w:t>
      </w:r>
    </w:p>
    <w:sdt>
      <w:sdtPr>
        <w:alias w:val="是否适用：递延所得税资产和递延所得税负债的说明[双击切换]"/>
        <w:tag w:val="_GBC_7f4fae30d73847918bda2bbfa91008fe"/>
        <w:id w:val="-1390571141"/>
        <w:placeholder>
          <w:docPart w:val="GBC22222222222222222222222222222"/>
        </w:placeholder>
      </w:sdtPr>
      <w:sdtContent>
        <w:p w14:paraId="70588590">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9A7C446">
      <w:pPr>
        <w:pStyle w:val="48"/>
      </w:pPr>
    </w:p>
    <w:p w14:paraId="3253D3EC">
      <w:pPr>
        <w:pStyle w:val="4"/>
        <w:numPr>
          <w:ilvl w:val="0"/>
          <w:numId w:val="61"/>
        </w:numPr>
        <w:rPr>
          <w:szCs w:val="21"/>
        </w:rPr>
      </w:pPr>
      <w:bookmarkStart w:id="324" w:name="_Hlk533670093"/>
      <w:r>
        <w:rPr>
          <w:szCs w:val="21"/>
        </w:rPr>
        <w:t>其他非流动资产</w:t>
      </w:r>
    </w:p>
    <w:sdt>
      <w:sdtPr>
        <w:alias w:val="是否适用：其他非流动资产[双击切换]"/>
        <w:tag w:val="_GBC_a847828a70d64218a7f8a07dc593d18b"/>
        <w:id w:val="-748969743"/>
        <w:placeholder>
          <w:docPart w:val="GBC22222222222222222222222222222"/>
        </w:placeholder>
      </w:sdtPr>
      <w:sdtContent>
        <w:p w14:paraId="7D0A1AAB">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24FBEF8">
      <w:pPr>
        <w:jc w:val="right"/>
      </w:pPr>
      <w:r>
        <w:rPr>
          <w:rFonts w:hint="eastAsia"/>
        </w:rPr>
        <w:t>单位：</w:t>
      </w:r>
      <w:sdt>
        <w:sdtPr>
          <w:alias w:val="单位：财务附注：其他非流动资产"/>
          <w:tag w:val="_GBC_7c7ae7cee25948deb399f93e000e5ba2"/>
          <w:id w:val="-16521340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rPr>
            <w:rFonts w:hint="eastAsia"/>
          </w:rPr>
          <w:alias w:val="币种：财务附注：其他非流动资产"/>
          <w:tag w:val="_GBC_b449fdd4941b4ff8a1bda3449b257e1d"/>
          <w:id w:val="15719219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596"/>
        <w:gridCol w:w="1518"/>
        <w:gridCol w:w="709"/>
        <w:gridCol w:w="1556"/>
        <w:gridCol w:w="1562"/>
        <w:gridCol w:w="709"/>
        <w:gridCol w:w="1559"/>
      </w:tblGrid>
      <w:tr w14:paraId="3D3E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2b90e6e62acc45b288941c3eec3d8d88"/>
            <w:id w:val="298976273"/>
          </w:sdtPr>
          <w:sdtContent>
            <w:tc>
              <w:tcPr>
                <w:tcW w:w="1596" w:type="dxa"/>
                <w:vMerge w:val="restart"/>
                <w:vAlign w:val="center"/>
              </w:tcPr>
              <w:p w14:paraId="0BA48F43">
                <w:pPr>
                  <w:jc w:val="center"/>
                  <w:rPr>
                    <w:rFonts w:ascii="Calibri" w:hAnsi="Calibri"/>
                    <w:sz w:val="20"/>
                    <w:szCs w:val="20"/>
                  </w:rPr>
                </w:pPr>
                <w:r>
                  <w:rPr>
                    <w:rFonts w:hint="eastAsia" w:ascii="Calibri" w:hAnsi="Calibri"/>
                    <w:sz w:val="20"/>
                    <w:szCs w:val="20"/>
                  </w:rPr>
                  <w:t>项目</w:t>
                </w:r>
              </w:p>
            </w:tc>
          </w:sdtContent>
        </w:sdt>
        <w:sdt>
          <w:sdtPr>
            <w:tag w:val="_PLD_bb07270ad4df4c0f94d4e0af019ab46c"/>
            <w:id w:val="1174306033"/>
          </w:sdtPr>
          <w:sdtContent>
            <w:tc>
              <w:tcPr>
                <w:tcW w:w="3783" w:type="dxa"/>
                <w:gridSpan w:val="3"/>
                <w:vAlign w:val="center"/>
              </w:tcPr>
              <w:p w14:paraId="0BAF738F">
                <w:pPr>
                  <w:jc w:val="center"/>
                  <w:rPr>
                    <w:rFonts w:ascii="Calibri" w:hAnsi="Calibri"/>
                    <w:sz w:val="20"/>
                    <w:szCs w:val="20"/>
                  </w:rPr>
                </w:pPr>
                <w:r>
                  <w:rPr>
                    <w:rFonts w:hint="eastAsia" w:ascii="Calibri" w:hAnsi="Calibri"/>
                    <w:sz w:val="20"/>
                    <w:szCs w:val="20"/>
                  </w:rPr>
                  <w:t>期末余额</w:t>
                </w:r>
              </w:p>
            </w:tc>
          </w:sdtContent>
        </w:sdt>
        <w:sdt>
          <w:sdtPr>
            <w:tag w:val="_PLD_7a3b43a9fc7d404ca5a79aa8f44f7452"/>
            <w:id w:val="-1817259133"/>
          </w:sdtPr>
          <w:sdtContent>
            <w:tc>
              <w:tcPr>
                <w:tcW w:w="3830" w:type="dxa"/>
                <w:gridSpan w:val="3"/>
                <w:vAlign w:val="center"/>
              </w:tcPr>
              <w:p w14:paraId="3DB44D09">
                <w:pPr>
                  <w:jc w:val="center"/>
                  <w:rPr>
                    <w:rFonts w:ascii="Calibri" w:hAnsi="Calibri"/>
                    <w:sz w:val="20"/>
                    <w:szCs w:val="20"/>
                  </w:rPr>
                </w:pPr>
                <w:r>
                  <w:rPr>
                    <w:rFonts w:hint="eastAsia" w:ascii="Calibri" w:hAnsi="Calibri"/>
                    <w:sz w:val="20"/>
                    <w:szCs w:val="20"/>
                  </w:rPr>
                  <w:t>期初余额</w:t>
                </w:r>
              </w:p>
            </w:tc>
          </w:sdtContent>
        </w:sdt>
      </w:tr>
      <w:tr w14:paraId="6F07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96" w:type="dxa"/>
            <w:vMerge w:val="continue"/>
            <w:vAlign w:val="center"/>
          </w:tcPr>
          <w:p w14:paraId="0A08761D">
            <w:pPr>
              <w:jc w:val="center"/>
              <w:rPr>
                <w:rFonts w:ascii="Calibri" w:hAnsi="Calibri"/>
                <w:sz w:val="20"/>
                <w:szCs w:val="20"/>
              </w:rPr>
            </w:pPr>
          </w:p>
        </w:tc>
        <w:tc>
          <w:tcPr>
            <w:tcW w:w="1518" w:type="dxa"/>
            <w:vAlign w:val="center"/>
          </w:tcPr>
          <w:sdt>
            <w:sdtPr>
              <w:tag w:val="_PLD_eaca5bccdac9417999d4d9af7ad1eefe"/>
              <w:id w:val="-1293975007"/>
            </w:sdtPr>
            <w:sdtContent>
              <w:p w14:paraId="65ED83C2">
                <w:pPr>
                  <w:jc w:val="center"/>
                  <w:rPr>
                    <w:rFonts w:ascii="Calibri" w:hAnsi="Calibri"/>
                    <w:sz w:val="20"/>
                    <w:szCs w:val="20"/>
                  </w:rPr>
                </w:pPr>
                <w:r>
                  <w:rPr>
                    <w:rFonts w:hint="eastAsia" w:ascii="Calibri" w:hAnsi="Calibri"/>
                    <w:sz w:val="20"/>
                    <w:szCs w:val="20"/>
                  </w:rPr>
                  <w:t>账面余额</w:t>
                </w:r>
              </w:p>
            </w:sdtContent>
          </w:sdt>
        </w:tc>
        <w:tc>
          <w:tcPr>
            <w:tcW w:w="709" w:type="dxa"/>
            <w:vAlign w:val="center"/>
          </w:tcPr>
          <w:sdt>
            <w:sdtPr>
              <w:tag w:val="_PLD_b913601a6f0c496ba876b57f7e93b40e"/>
              <w:id w:val="2067222589"/>
            </w:sdtPr>
            <w:sdtContent>
              <w:p w14:paraId="037D5AF0">
                <w:pPr>
                  <w:jc w:val="center"/>
                  <w:rPr>
                    <w:rFonts w:ascii="Calibri" w:hAnsi="Calibri"/>
                    <w:sz w:val="20"/>
                    <w:szCs w:val="20"/>
                  </w:rPr>
                </w:pPr>
                <w:r>
                  <w:rPr>
                    <w:rFonts w:ascii="Calibri" w:hAnsi="Calibri"/>
                    <w:sz w:val="20"/>
                    <w:szCs w:val="20"/>
                  </w:rPr>
                  <w:t>减值准备</w:t>
                </w:r>
              </w:p>
            </w:sdtContent>
          </w:sdt>
        </w:tc>
        <w:tc>
          <w:tcPr>
            <w:tcW w:w="1556" w:type="dxa"/>
            <w:vAlign w:val="center"/>
          </w:tcPr>
          <w:sdt>
            <w:sdtPr>
              <w:tag w:val="_PLD_22318356783c413ba8286ddb8d1cda63"/>
              <w:id w:val="-1970196435"/>
            </w:sdtPr>
            <w:sdtContent>
              <w:p w14:paraId="3FE8345C">
                <w:pPr>
                  <w:jc w:val="center"/>
                  <w:rPr>
                    <w:rFonts w:ascii="Calibri" w:hAnsi="Calibri"/>
                    <w:sz w:val="20"/>
                    <w:szCs w:val="20"/>
                  </w:rPr>
                </w:pPr>
                <w:r>
                  <w:rPr>
                    <w:rFonts w:ascii="Calibri" w:hAnsi="Calibri"/>
                    <w:sz w:val="20"/>
                    <w:szCs w:val="20"/>
                  </w:rPr>
                  <w:t>账面价值</w:t>
                </w:r>
              </w:p>
            </w:sdtContent>
          </w:sdt>
        </w:tc>
        <w:tc>
          <w:tcPr>
            <w:tcW w:w="1562" w:type="dxa"/>
            <w:vAlign w:val="center"/>
          </w:tcPr>
          <w:sdt>
            <w:sdtPr>
              <w:tag w:val="_PLD_0c6f94cdfaf1457fa98b2252d3b39131"/>
              <w:id w:val="2117560601"/>
            </w:sdtPr>
            <w:sdtContent>
              <w:p w14:paraId="0D217FEB">
                <w:pPr>
                  <w:jc w:val="center"/>
                  <w:rPr>
                    <w:rFonts w:ascii="Calibri" w:hAnsi="Calibri"/>
                    <w:sz w:val="20"/>
                    <w:szCs w:val="20"/>
                  </w:rPr>
                </w:pPr>
                <w:r>
                  <w:rPr>
                    <w:rFonts w:ascii="Calibri" w:hAnsi="Calibri"/>
                    <w:sz w:val="20"/>
                    <w:szCs w:val="20"/>
                  </w:rPr>
                  <w:t>账面余额</w:t>
                </w:r>
              </w:p>
            </w:sdtContent>
          </w:sdt>
        </w:tc>
        <w:tc>
          <w:tcPr>
            <w:tcW w:w="709" w:type="dxa"/>
            <w:vAlign w:val="center"/>
          </w:tcPr>
          <w:sdt>
            <w:sdtPr>
              <w:tag w:val="_PLD_9d7969af67514b9e93b62156119189b9"/>
              <w:id w:val="886832325"/>
            </w:sdtPr>
            <w:sdtContent>
              <w:p w14:paraId="777BE3AD">
                <w:pPr>
                  <w:jc w:val="center"/>
                  <w:rPr>
                    <w:rFonts w:ascii="Calibri" w:hAnsi="Calibri"/>
                    <w:sz w:val="20"/>
                    <w:szCs w:val="20"/>
                  </w:rPr>
                </w:pPr>
                <w:r>
                  <w:rPr>
                    <w:rFonts w:ascii="Calibri" w:hAnsi="Calibri"/>
                    <w:sz w:val="20"/>
                    <w:szCs w:val="20"/>
                  </w:rPr>
                  <w:t>减值准备</w:t>
                </w:r>
              </w:p>
            </w:sdtContent>
          </w:sdt>
        </w:tc>
        <w:tc>
          <w:tcPr>
            <w:tcW w:w="1559" w:type="dxa"/>
            <w:vAlign w:val="center"/>
          </w:tcPr>
          <w:sdt>
            <w:sdtPr>
              <w:tag w:val="_PLD_9c8736640ddf4dc897f3c30fb690ab09"/>
              <w:id w:val="1916730346"/>
            </w:sdtPr>
            <w:sdtContent>
              <w:p w14:paraId="65769B86">
                <w:pPr>
                  <w:jc w:val="center"/>
                  <w:rPr>
                    <w:rFonts w:ascii="Calibri" w:hAnsi="Calibri"/>
                    <w:sz w:val="20"/>
                    <w:szCs w:val="20"/>
                  </w:rPr>
                </w:pPr>
                <w:r>
                  <w:rPr>
                    <w:rFonts w:ascii="Calibri" w:hAnsi="Calibri"/>
                    <w:sz w:val="20"/>
                    <w:szCs w:val="20"/>
                  </w:rPr>
                  <w:t>账面价值</w:t>
                </w:r>
              </w:p>
            </w:sdtContent>
          </w:sdt>
        </w:tc>
      </w:tr>
      <w:tr w14:paraId="09B9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96" w:type="dxa"/>
            <w:vAlign w:val="center"/>
          </w:tcPr>
          <w:p w14:paraId="78DA7BD0">
            <w:pPr>
              <w:pStyle w:val="48"/>
              <w:rPr>
                <w:sz w:val="20"/>
                <w:szCs w:val="20"/>
              </w:rPr>
            </w:pPr>
            <w:r>
              <w:rPr>
                <w:rFonts w:hint="eastAsia"/>
                <w:sz w:val="20"/>
                <w:szCs w:val="20"/>
              </w:rPr>
              <w:t>合同取得成本</w:t>
            </w:r>
          </w:p>
        </w:tc>
        <w:tc>
          <w:tcPr>
            <w:tcW w:w="1518" w:type="dxa"/>
            <w:vAlign w:val="center"/>
          </w:tcPr>
          <w:p w14:paraId="4413CFC1">
            <w:pPr>
              <w:jc w:val="right"/>
              <w:rPr>
                <w:rFonts w:ascii="Calibri" w:hAnsi="Calibri"/>
                <w:sz w:val="20"/>
                <w:szCs w:val="20"/>
              </w:rPr>
            </w:pPr>
          </w:p>
        </w:tc>
        <w:tc>
          <w:tcPr>
            <w:tcW w:w="709" w:type="dxa"/>
            <w:vAlign w:val="center"/>
          </w:tcPr>
          <w:p w14:paraId="18BA7FB9">
            <w:pPr>
              <w:jc w:val="right"/>
              <w:rPr>
                <w:rFonts w:ascii="Calibri" w:hAnsi="Calibri"/>
                <w:sz w:val="20"/>
                <w:szCs w:val="20"/>
              </w:rPr>
            </w:pPr>
          </w:p>
        </w:tc>
        <w:tc>
          <w:tcPr>
            <w:tcW w:w="1556" w:type="dxa"/>
            <w:vAlign w:val="center"/>
          </w:tcPr>
          <w:p w14:paraId="2C8202DE">
            <w:pPr>
              <w:jc w:val="right"/>
              <w:rPr>
                <w:rFonts w:ascii="Calibri" w:hAnsi="Calibri"/>
                <w:sz w:val="20"/>
                <w:szCs w:val="20"/>
              </w:rPr>
            </w:pPr>
          </w:p>
        </w:tc>
        <w:tc>
          <w:tcPr>
            <w:tcW w:w="1562" w:type="dxa"/>
            <w:vAlign w:val="center"/>
          </w:tcPr>
          <w:p w14:paraId="08E58479">
            <w:pPr>
              <w:jc w:val="right"/>
              <w:rPr>
                <w:rFonts w:ascii="Calibri" w:hAnsi="Calibri"/>
                <w:sz w:val="20"/>
                <w:szCs w:val="20"/>
              </w:rPr>
            </w:pPr>
          </w:p>
        </w:tc>
        <w:tc>
          <w:tcPr>
            <w:tcW w:w="709" w:type="dxa"/>
            <w:vAlign w:val="center"/>
          </w:tcPr>
          <w:p w14:paraId="6522F7C6">
            <w:pPr>
              <w:jc w:val="right"/>
              <w:rPr>
                <w:rFonts w:ascii="Calibri" w:hAnsi="Calibri"/>
                <w:sz w:val="20"/>
                <w:szCs w:val="20"/>
              </w:rPr>
            </w:pPr>
          </w:p>
        </w:tc>
        <w:tc>
          <w:tcPr>
            <w:tcW w:w="1559" w:type="dxa"/>
            <w:vAlign w:val="center"/>
          </w:tcPr>
          <w:p w14:paraId="34559C94">
            <w:pPr>
              <w:jc w:val="right"/>
              <w:rPr>
                <w:rFonts w:ascii="Calibri" w:hAnsi="Calibri"/>
                <w:sz w:val="20"/>
                <w:szCs w:val="20"/>
              </w:rPr>
            </w:pPr>
          </w:p>
        </w:tc>
      </w:tr>
      <w:tr w14:paraId="2D46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96" w:type="dxa"/>
            <w:vAlign w:val="center"/>
          </w:tcPr>
          <w:p w14:paraId="3D9581FE">
            <w:pPr>
              <w:pStyle w:val="48"/>
              <w:rPr>
                <w:sz w:val="20"/>
                <w:szCs w:val="20"/>
              </w:rPr>
            </w:pPr>
            <w:r>
              <w:rPr>
                <w:rFonts w:hint="eastAsia"/>
                <w:sz w:val="20"/>
                <w:szCs w:val="20"/>
              </w:rPr>
              <w:t>合同履约成本</w:t>
            </w:r>
          </w:p>
        </w:tc>
        <w:tc>
          <w:tcPr>
            <w:tcW w:w="1518" w:type="dxa"/>
            <w:vAlign w:val="center"/>
          </w:tcPr>
          <w:p w14:paraId="27791F38">
            <w:pPr>
              <w:jc w:val="right"/>
              <w:rPr>
                <w:rFonts w:ascii="Calibri" w:hAnsi="Calibri"/>
                <w:sz w:val="20"/>
                <w:szCs w:val="20"/>
              </w:rPr>
            </w:pPr>
          </w:p>
        </w:tc>
        <w:tc>
          <w:tcPr>
            <w:tcW w:w="709" w:type="dxa"/>
            <w:vAlign w:val="center"/>
          </w:tcPr>
          <w:p w14:paraId="0DD5921E">
            <w:pPr>
              <w:jc w:val="right"/>
              <w:rPr>
                <w:rFonts w:ascii="Calibri" w:hAnsi="Calibri"/>
                <w:sz w:val="20"/>
                <w:szCs w:val="20"/>
              </w:rPr>
            </w:pPr>
          </w:p>
        </w:tc>
        <w:tc>
          <w:tcPr>
            <w:tcW w:w="1556" w:type="dxa"/>
            <w:vAlign w:val="center"/>
          </w:tcPr>
          <w:p w14:paraId="57D5B3A7">
            <w:pPr>
              <w:jc w:val="right"/>
              <w:rPr>
                <w:rFonts w:ascii="Calibri" w:hAnsi="Calibri"/>
                <w:sz w:val="20"/>
                <w:szCs w:val="20"/>
              </w:rPr>
            </w:pPr>
          </w:p>
        </w:tc>
        <w:tc>
          <w:tcPr>
            <w:tcW w:w="1562" w:type="dxa"/>
            <w:vAlign w:val="center"/>
          </w:tcPr>
          <w:p w14:paraId="76799C00">
            <w:pPr>
              <w:jc w:val="right"/>
              <w:rPr>
                <w:rFonts w:ascii="Calibri" w:hAnsi="Calibri"/>
                <w:sz w:val="20"/>
                <w:szCs w:val="20"/>
              </w:rPr>
            </w:pPr>
          </w:p>
        </w:tc>
        <w:tc>
          <w:tcPr>
            <w:tcW w:w="709" w:type="dxa"/>
            <w:vAlign w:val="center"/>
          </w:tcPr>
          <w:p w14:paraId="1DB59EA2">
            <w:pPr>
              <w:jc w:val="right"/>
              <w:rPr>
                <w:rFonts w:ascii="Calibri" w:hAnsi="Calibri"/>
                <w:sz w:val="20"/>
                <w:szCs w:val="20"/>
              </w:rPr>
            </w:pPr>
          </w:p>
        </w:tc>
        <w:tc>
          <w:tcPr>
            <w:tcW w:w="1559" w:type="dxa"/>
            <w:vAlign w:val="center"/>
          </w:tcPr>
          <w:p w14:paraId="4D199B15">
            <w:pPr>
              <w:jc w:val="right"/>
              <w:rPr>
                <w:rFonts w:ascii="Calibri" w:hAnsi="Calibri"/>
                <w:sz w:val="20"/>
                <w:szCs w:val="20"/>
              </w:rPr>
            </w:pPr>
          </w:p>
        </w:tc>
      </w:tr>
      <w:tr w14:paraId="2F7D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96" w:type="dxa"/>
            <w:vAlign w:val="center"/>
          </w:tcPr>
          <w:p w14:paraId="5B790A6E">
            <w:pPr>
              <w:pStyle w:val="48"/>
              <w:rPr>
                <w:sz w:val="20"/>
                <w:szCs w:val="20"/>
              </w:rPr>
            </w:pPr>
            <w:r>
              <w:rPr>
                <w:rFonts w:hint="eastAsia"/>
                <w:sz w:val="20"/>
                <w:szCs w:val="20"/>
              </w:rPr>
              <w:t>应收退货成本</w:t>
            </w:r>
          </w:p>
        </w:tc>
        <w:tc>
          <w:tcPr>
            <w:tcW w:w="1518" w:type="dxa"/>
            <w:vAlign w:val="center"/>
          </w:tcPr>
          <w:p w14:paraId="63D9B273">
            <w:pPr>
              <w:jc w:val="right"/>
              <w:rPr>
                <w:rFonts w:ascii="Calibri" w:hAnsi="Calibri"/>
                <w:sz w:val="20"/>
                <w:szCs w:val="20"/>
              </w:rPr>
            </w:pPr>
          </w:p>
        </w:tc>
        <w:tc>
          <w:tcPr>
            <w:tcW w:w="709" w:type="dxa"/>
            <w:vAlign w:val="center"/>
          </w:tcPr>
          <w:p w14:paraId="5082A6E4">
            <w:pPr>
              <w:jc w:val="right"/>
              <w:rPr>
                <w:rFonts w:ascii="Calibri" w:hAnsi="Calibri"/>
                <w:sz w:val="20"/>
                <w:szCs w:val="20"/>
              </w:rPr>
            </w:pPr>
          </w:p>
        </w:tc>
        <w:tc>
          <w:tcPr>
            <w:tcW w:w="1556" w:type="dxa"/>
            <w:vAlign w:val="center"/>
          </w:tcPr>
          <w:p w14:paraId="46B539EC">
            <w:pPr>
              <w:jc w:val="right"/>
              <w:rPr>
                <w:rFonts w:ascii="Calibri" w:hAnsi="Calibri"/>
                <w:sz w:val="20"/>
                <w:szCs w:val="20"/>
              </w:rPr>
            </w:pPr>
          </w:p>
        </w:tc>
        <w:tc>
          <w:tcPr>
            <w:tcW w:w="1562" w:type="dxa"/>
            <w:vAlign w:val="center"/>
          </w:tcPr>
          <w:p w14:paraId="2C992027">
            <w:pPr>
              <w:jc w:val="right"/>
              <w:rPr>
                <w:rFonts w:ascii="Calibri" w:hAnsi="Calibri"/>
                <w:sz w:val="20"/>
                <w:szCs w:val="20"/>
              </w:rPr>
            </w:pPr>
          </w:p>
        </w:tc>
        <w:tc>
          <w:tcPr>
            <w:tcW w:w="709" w:type="dxa"/>
            <w:vAlign w:val="center"/>
          </w:tcPr>
          <w:p w14:paraId="43D7DA2C">
            <w:pPr>
              <w:jc w:val="right"/>
              <w:rPr>
                <w:rFonts w:ascii="Calibri" w:hAnsi="Calibri"/>
                <w:sz w:val="20"/>
                <w:szCs w:val="20"/>
              </w:rPr>
            </w:pPr>
          </w:p>
        </w:tc>
        <w:tc>
          <w:tcPr>
            <w:tcW w:w="1559" w:type="dxa"/>
            <w:vAlign w:val="center"/>
          </w:tcPr>
          <w:p w14:paraId="5B3A58B6">
            <w:pPr>
              <w:jc w:val="right"/>
              <w:rPr>
                <w:rFonts w:ascii="Calibri" w:hAnsi="Calibri"/>
                <w:sz w:val="20"/>
                <w:szCs w:val="20"/>
              </w:rPr>
            </w:pPr>
          </w:p>
        </w:tc>
      </w:tr>
      <w:tr w14:paraId="264A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96" w:type="dxa"/>
            <w:vAlign w:val="center"/>
          </w:tcPr>
          <w:p w14:paraId="25893635">
            <w:pPr>
              <w:pStyle w:val="48"/>
              <w:rPr>
                <w:sz w:val="20"/>
                <w:szCs w:val="20"/>
              </w:rPr>
            </w:pPr>
            <w:r>
              <w:rPr>
                <w:rFonts w:hint="eastAsia"/>
                <w:sz w:val="20"/>
                <w:szCs w:val="20"/>
              </w:rPr>
              <w:t>合同资产</w:t>
            </w:r>
          </w:p>
        </w:tc>
        <w:tc>
          <w:tcPr>
            <w:tcW w:w="1518" w:type="dxa"/>
            <w:vAlign w:val="center"/>
          </w:tcPr>
          <w:p w14:paraId="66932BC7">
            <w:pPr>
              <w:jc w:val="right"/>
              <w:rPr>
                <w:rFonts w:ascii="Calibri" w:hAnsi="Calibri"/>
                <w:sz w:val="20"/>
                <w:szCs w:val="20"/>
              </w:rPr>
            </w:pPr>
          </w:p>
        </w:tc>
        <w:tc>
          <w:tcPr>
            <w:tcW w:w="709" w:type="dxa"/>
            <w:vAlign w:val="center"/>
          </w:tcPr>
          <w:p w14:paraId="04130340">
            <w:pPr>
              <w:jc w:val="right"/>
              <w:rPr>
                <w:rFonts w:ascii="Calibri" w:hAnsi="Calibri"/>
                <w:sz w:val="20"/>
                <w:szCs w:val="20"/>
              </w:rPr>
            </w:pPr>
          </w:p>
        </w:tc>
        <w:tc>
          <w:tcPr>
            <w:tcW w:w="1556" w:type="dxa"/>
            <w:vAlign w:val="center"/>
          </w:tcPr>
          <w:p w14:paraId="338E9AF1">
            <w:pPr>
              <w:jc w:val="right"/>
              <w:rPr>
                <w:rFonts w:ascii="Calibri" w:hAnsi="Calibri"/>
                <w:sz w:val="20"/>
                <w:szCs w:val="20"/>
              </w:rPr>
            </w:pPr>
          </w:p>
        </w:tc>
        <w:tc>
          <w:tcPr>
            <w:tcW w:w="1562" w:type="dxa"/>
            <w:vAlign w:val="center"/>
          </w:tcPr>
          <w:p w14:paraId="11A5C2C3">
            <w:pPr>
              <w:jc w:val="right"/>
              <w:rPr>
                <w:rFonts w:ascii="Calibri" w:hAnsi="Calibri"/>
                <w:sz w:val="20"/>
                <w:szCs w:val="20"/>
              </w:rPr>
            </w:pPr>
          </w:p>
        </w:tc>
        <w:tc>
          <w:tcPr>
            <w:tcW w:w="709" w:type="dxa"/>
            <w:vAlign w:val="center"/>
          </w:tcPr>
          <w:p w14:paraId="2594F528">
            <w:pPr>
              <w:jc w:val="right"/>
              <w:rPr>
                <w:rFonts w:ascii="Calibri" w:hAnsi="Calibri"/>
                <w:sz w:val="20"/>
                <w:szCs w:val="20"/>
              </w:rPr>
            </w:pPr>
          </w:p>
        </w:tc>
        <w:tc>
          <w:tcPr>
            <w:tcW w:w="1559" w:type="dxa"/>
            <w:vAlign w:val="center"/>
          </w:tcPr>
          <w:p w14:paraId="6CE81582">
            <w:pPr>
              <w:jc w:val="right"/>
              <w:rPr>
                <w:rFonts w:ascii="Calibri" w:hAnsi="Calibri"/>
                <w:sz w:val="20"/>
                <w:szCs w:val="20"/>
              </w:rPr>
            </w:pPr>
          </w:p>
        </w:tc>
      </w:tr>
      <w:tr w14:paraId="3D8A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96" w:type="dxa"/>
            <w:vAlign w:val="center"/>
          </w:tcPr>
          <w:p w14:paraId="02EAF819">
            <w:pPr>
              <w:pStyle w:val="48"/>
              <w:rPr>
                <w:sz w:val="20"/>
                <w:szCs w:val="20"/>
              </w:rPr>
            </w:pPr>
            <w:r>
              <w:rPr>
                <w:sz w:val="20"/>
                <w:szCs w:val="20"/>
              </w:rPr>
              <w:t>预付购置设备款</w:t>
            </w:r>
          </w:p>
        </w:tc>
        <w:tc>
          <w:tcPr>
            <w:tcW w:w="1518" w:type="dxa"/>
            <w:vAlign w:val="center"/>
          </w:tcPr>
          <w:p w14:paraId="040A9B61">
            <w:pPr>
              <w:jc w:val="right"/>
              <w:rPr>
                <w:rFonts w:ascii="Calibri" w:hAnsi="Calibri"/>
                <w:sz w:val="20"/>
                <w:szCs w:val="20"/>
              </w:rPr>
            </w:pPr>
            <w:r>
              <w:rPr>
                <w:rFonts w:ascii="Calibri" w:hAnsi="Calibri"/>
                <w:sz w:val="20"/>
                <w:szCs w:val="20"/>
              </w:rPr>
              <w:t>48,630,410.64</w:t>
            </w:r>
          </w:p>
        </w:tc>
        <w:tc>
          <w:tcPr>
            <w:tcW w:w="709" w:type="dxa"/>
            <w:vAlign w:val="center"/>
          </w:tcPr>
          <w:p w14:paraId="7D42A060">
            <w:pPr>
              <w:jc w:val="right"/>
              <w:rPr>
                <w:rFonts w:ascii="Calibri" w:hAnsi="Calibri"/>
                <w:sz w:val="20"/>
                <w:szCs w:val="20"/>
              </w:rPr>
            </w:pPr>
          </w:p>
        </w:tc>
        <w:tc>
          <w:tcPr>
            <w:tcW w:w="1556" w:type="dxa"/>
            <w:vAlign w:val="center"/>
          </w:tcPr>
          <w:p w14:paraId="484210D4">
            <w:pPr>
              <w:jc w:val="right"/>
              <w:rPr>
                <w:rFonts w:ascii="Calibri" w:hAnsi="Calibri"/>
                <w:sz w:val="20"/>
                <w:szCs w:val="20"/>
              </w:rPr>
            </w:pPr>
            <w:r>
              <w:rPr>
                <w:rFonts w:ascii="Calibri" w:hAnsi="Calibri"/>
                <w:sz w:val="20"/>
                <w:szCs w:val="20"/>
              </w:rPr>
              <w:t>48,630,410.64</w:t>
            </w:r>
          </w:p>
        </w:tc>
        <w:tc>
          <w:tcPr>
            <w:tcW w:w="1562" w:type="dxa"/>
            <w:vAlign w:val="center"/>
          </w:tcPr>
          <w:p w14:paraId="119C042C">
            <w:pPr>
              <w:jc w:val="right"/>
              <w:rPr>
                <w:rFonts w:ascii="Calibri" w:hAnsi="Calibri"/>
                <w:sz w:val="20"/>
                <w:szCs w:val="20"/>
              </w:rPr>
            </w:pPr>
            <w:r>
              <w:rPr>
                <w:rFonts w:ascii="Calibri" w:hAnsi="Calibri"/>
                <w:sz w:val="20"/>
                <w:szCs w:val="20"/>
              </w:rPr>
              <w:t>20,381,261.43</w:t>
            </w:r>
          </w:p>
        </w:tc>
        <w:tc>
          <w:tcPr>
            <w:tcW w:w="709" w:type="dxa"/>
            <w:vAlign w:val="center"/>
          </w:tcPr>
          <w:p w14:paraId="67717CD0">
            <w:pPr>
              <w:jc w:val="right"/>
              <w:rPr>
                <w:rFonts w:ascii="Calibri" w:hAnsi="Calibri"/>
                <w:sz w:val="20"/>
                <w:szCs w:val="20"/>
              </w:rPr>
            </w:pPr>
          </w:p>
        </w:tc>
        <w:tc>
          <w:tcPr>
            <w:tcW w:w="1559" w:type="dxa"/>
            <w:vAlign w:val="center"/>
          </w:tcPr>
          <w:p w14:paraId="6DCD4385">
            <w:pPr>
              <w:jc w:val="right"/>
              <w:rPr>
                <w:rFonts w:ascii="Calibri" w:hAnsi="Calibri"/>
                <w:sz w:val="20"/>
                <w:szCs w:val="20"/>
              </w:rPr>
            </w:pPr>
            <w:r>
              <w:rPr>
                <w:rFonts w:ascii="Calibri" w:hAnsi="Calibri"/>
                <w:sz w:val="20"/>
                <w:szCs w:val="20"/>
              </w:rPr>
              <w:t>20,381,261.43</w:t>
            </w:r>
          </w:p>
        </w:tc>
      </w:tr>
      <w:tr w14:paraId="1B24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96" w:type="dxa"/>
            <w:vAlign w:val="center"/>
          </w:tcPr>
          <w:p w14:paraId="5E2765CD">
            <w:pPr>
              <w:pStyle w:val="48"/>
              <w:rPr>
                <w:sz w:val="20"/>
                <w:szCs w:val="20"/>
              </w:rPr>
            </w:pPr>
            <w:r>
              <w:rPr>
                <w:sz w:val="20"/>
                <w:szCs w:val="20"/>
              </w:rPr>
              <w:t>预付工程施工款</w:t>
            </w:r>
          </w:p>
        </w:tc>
        <w:tc>
          <w:tcPr>
            <w:tcW w:w="1518" w:type="dxa"/>
            <w:vAlign w:val="center"/>
          </w:tcPr>
          <w:p w14:paraId="7732D545">
            <w:pPr>
              <w:jc w:val="right"/>
              <w:rPr>
                <w:rFonts w:ascii="Calibri" w:hAnsi="Calibri"/>
                <w:sz w:val="20"/>
                <w:szCs w:val="20"/>
              </w:rPr>
            </w:pPr>
            <w:r>
              <w:rPr>
                <w:rFonts w:ascii="Calibri" w:hAnsi="Calibri"/>
                <w:sz w:val="20"/>
                <w:szCs w:val="20"/>
              </w:rPr>
              <w:t>1,024,783.40</w:t>
            </w:r>
          </w:p>
        </w:tc>
        <w:tc>
          <w:tcPr>
            <w:tcW w:w="709" w:type="dxa"/>
            <w:vAlign w:val="center"/>
          </w:tcPr>
          <w:p w14:paraId="769DEC17">
            <w:pPr>
              <w:jc w:val="right"/>
              <w:rPr>
                <w:rFonts w:ascii="Calibri" w:hAnsi="Calibri"/>
                <w:sz w:val="20"/>
                <w:szCs w:val="20"/>
              </w:rPr>
            </w:pPr>
          </w:p>
        </w:tc>
        <w:tc>
          <w:tcPr>
            <w:tcW w:w="1556" w:type="dxa"/>
            <w:vAlign w:val="center"/>
          </w:tcPr>
          <w:p w14:paraId="7351D86C">
            <w:pPr>
              <w:jc w:val="right"/>
              <w:rPr>
                <w:rFonts w:ascii="Calibri" w:hAnsi="Calibri"/>
                <w:sz w:val="20"/>
                <w:szCs w:val="20"/>
              </w:rPr>
            </w:pPr>
            <w:r>
              <w:rPr>
                <w:rFonts w:ascii="Calibri" w:hAnsi="Calibri"/>
                <w:sz w:val="20"/>
                <w:szCs w:val="20"/>
              </w:rPr>
              <w:t>1,024,783.40</w:t>
            </w:r>
          </w:p>
        </w:tc>
        <w:tc>
          <w:tcPr>
            <w:tcW w:w="1562" w:type="dxa"/>
            <w:vAlign w:val="center"/>
          </w:tcPr>
          <w:p w14:paraId="61E96BCA">
            <w:pPr>
              <w:jc w:val="right"/>
              <w:rPr>
                <w:rFonts w:ascii="Calibri" w:hAnsi="Calibri"/>
                <w:sz w:val="20"/>
                <w:szCs w:val="20"/>
              </w:rPr>
            </w:pPr>
            <w:r>
              <w:rPr>
                <w:rFonts w:ascii="Calibri" w:hAnsi="Calibri"/>
                <w:sz w:val="20"/>
                <w:szCs w:val="20"/>
              </w:rPr>
              <w:t>1,496,059.50</w:t>
            </w:r>
          </w:p>
        </w:tc>
        <w:tc>
          <w:tcPr>
            <w:tcW w:w="709" w:type="dxa"/>
            <w:vAlign w:val="center"/>
          </w:tcPr>
          <w:p w14:paraId="34BBA848">
            <w:pPr>
              <w:jc w:val="right"/>
              <w:rPr>
                <w:rFonts w:ascii="Calibri" w:hAnsi="Calibri"/>
                <w:sz w:val="20"/>
                <w:szCs w:val="20"/>
              </w:rPr>
            </w:pPr>
          </w:p>
        </w:tc>
        <w:tc>
          <w:tcPr>
            <w:tcW w:w="1559" w:type="dxa"/>
            <w:vAlign w:val="center"/>
          </w:tcPr>
          <w:p w14:paraId="20D40AC3">
            <w:pPr>
              <w:jc w:val="right"/>
              <w:rPr>
                <w:rFonts w:ascii="Calibri" w:hAnsi="Calibri"/>
                <w:sz w:val="20"/>
                <w:szCs w:val="20"/>
              </w:rPr>
            </w:pPr>
            <w:r>
              <w:rPr>
                <w:rFonts w:ascii="Calibri" w:hAnsi="Calibri"/>
                <w:sz w:val="20"/>
                <w:szCs w:val="20"/>
              </w:rPr>
              <w:t>1,496,059.50</w:t>
            </w:r>
          </w:p>
        </w:tc>
      </w:tr>
      <w:tr w14:paraId="2F7A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96" w:type="dxa"/>
            <w:vAlign w:val="center"/>
          </w:tcPr>
          <w:p w14:paraId="144D6030">
            <w:pPr>
              <w:pStyle w:val="48"/>
              <w:rPr>
                <w:sz w:val="20"/>
                <w:szCs w:val="20"/>
              </w:rPr>
            </w:pPr>
            <w:r>
              <w:rPr>
                <w:sz w:val="20"/>
                <w:szCs w:val="20"/>
              </w:rPr>
              <w:t>预付</w:t>
            </w:r>
            <w:r>
              <w:rPr>
                <w:rFonts w:hint="eastAsia"/>
                <w:sz w:val="20"/>
                <w:szCs w:val="20"/>
              </w:rPr>
              <w:t>超速效</w:t>
            </w:r>
            <w:r>
              <w:rPr>
                <w:sz w:val="20"/>
                <w:szCs w:val="20"/>
              </w:rPr>
              <w:t>胰岛素商业化权利款</w:t>
            </w:r>
          </w:p>
        </w:tc>
        <w:tc>
          <w:tcPr>
            <w:tcW w:w="1518" w:type="dxa"/>
            <w:vAlign w:val="center"/>
          </w:tcPr>
          <w:p w14:paraId="2A9230A0">
            <w:pPr>
              <w:jc w:val="right"/>
              <w:rPr>
                <w:rFonts w:ascii="Calibri" w:hAnsi="Calibri"/>
                <w:sz w:val="20"/>
                <w:szCs w:val="20"/>
              </w:rPr>
            </w:pPr>
            <w:r>
              <w:rPr>
                <w:rFonts w:ascii="Calibri" w:hAnsi="Calibri"/>
                <w:sz w:val="20"/>
                <w:szCs w:val="20"/>
              </w:rPr>
              <w:t>63,378,150.00</w:t>
            </w:r>
          </w:p>
        </w:tc>
        <w:tc>
          <w:tcPr>
            <w:tcW w:w="709" w:type="dxa"/>
            <w:vAlign w:val="center"/>
          </w:tcPr>
          <w:p w14:paraId="3B0FBDB0">
            <w:pPr>
              <w:jc w:val="right"/>
              <w:rPr>
                <w:rFonts w:ascii="Calibri" w:hAnsi="Calibri"/>
                <w:sz w:val="20"/>
                <w:szCs w:val="20"/>
              </w:rPr>
            </w:pPr>
          </w:p>
        </w:tc>
        <w:tc>
          <w:tcPr>
            <w:tcW w:w="1556" w:type="dxa"/>
            <w:vAlign w:val="center"/>
          </w:tcPr>
          <w:p w14:paraId="408C0FC8">
            <w:pPr>
              <w:jc w:val="right"/>
              <w:rPr>
                <w:rFonts w:ascii="Calibri" w:hAnsi="Calibri"/>
                <w:sz w:val="20"/>
                <w:szCs w:val="20"/>
              </w:rPr>
            </w:pPr>
            <w:r>
              <w:rPr>
                <w:rFonts w:ascii="Calibri" w:hAnsi="Calibri"/>
                <w:sz w:val="20"/>
                <w:szCs w:val="20"/>
              </w:rPr>
              <w:t>63,378,150.00</w:t>
            </w:r>
          </w:p>
        </w:tc>
        <w:tc>
          <w:tcPr>
            <w:tcW w:w="1562" w:type="dxa"/>
            <w:vAlign w:val="center"/>
          </w:tcPr>
          <w:p w14:paraId="6304C771">
            <w:pPr>
              <w:jc w:val="right"/>
              <w:rPr>
                <w:rFonts w:ascii="Calibri" w:hAnsi="Calibri"/>
                <w:sz w:val="20"/>
                <w:szCs w:val="20"/>
              </w:rPr>
            </w:pPr>
            <w:r>
              <w:rPr>
                <w:rFonts w:ascii="Calibri" w:hAnsi="Calibri"/>
                <w:sz w:val="20"/>
                <w:szCs w:val="20"/>
              </w:rPr>
              <w:t>63,378,150.00</w:t>
            </w:r>
          </w:p>
        </w:tc>
        <w:tc>
          <w:tcPr>
            <w:tcW w:w="709" w:type="dxa"/>
            <w:vAlign w:val="center"/>
          </w:tcPr>
          <w:p w14:paraId="43CCBD53">
            <w:pPr>
              <w:jc w:val="right"/>
              <w:rPr>
                <w:rFonts w:ascii="Calibri" w:hAnsi="Calibri"/>
                <w:sz w:val="20"/>
                <w:szCs w:val="20"/>
              </w:rPr>
            </w:pPr>
          </w:p>
        </w:tc>
        <w:tc>
          <w:tcPr>
            <w:tcW w:w="1559" w:type="dxa"/>
            <w:vAlign w:val="center"/>
          </w:tcPr>
          <w:p w14:paraId="18292539">
            <w:pPr>
              <w:jc w:val="right"/>
              <w:rPr>
                <w:rFonts w:ascii="Calibri" w:hAnsi="Calibri"/>
                <w:sz w:val="20"/>
                <w:szCs w:val="20"/>
              </w:rPr>
            </w:pPr>
            <w:r>
              <w:rPr>
                <w:rFonts w:ascii="Calibri" w:hAnsi="Calibri"/>
                <w:sz w:val="20"/>
                <w:szCs w:val="20"/>
              </w:rPr>
              <w:t>63,378,150.00</w:t>
            </w:r>
          </w:p>
        </w:tc>
      </w:tr>
      <w:tr w14:paraId="5F86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96" w:type="dxa"/>
            <w:vAlign w:val="center"/>
          </w:tcPr>
          <w:p w14:paraId="4F0D94BD">
            <w:pPr>
              <w:pStyle w:val="48"/>
              <w:rPr>
                <w:sz w:val="20"/>
                <w:szCs w:val="20"/>
              </w:rPr>
            </w:pPr>
            <w:r>
              <w:rPr>
                <w:sz w:val="20"/>
                <w:szCs w:val="20"/>
              </w:rPr>
              <w:t>预付资本化研发支出</w:t>
            </w:r>
          </w:p>
        </w:tc>
        <w:tc>
          <w:tcPr>
            <w:tcW w:w="1518" w:type="dxa"/>
            <w:vAlign w:val="center"/>
          </w:tcPr>
          <w:p w14:paraId="7A22B74B">
            <w:pPr>
              <w:jc w:val="right"/>
              <w:rPr>
                <w:rFonts w:ascii="Calibri" w:hAnsi="Calibri"/>
                <w:sz w:val="20"/>
                <w:szCs w:val="20"/>
              </w:rPr>
            </w:pPr>
            <w:r>
              <w:rPr>
                <w:rFonts w:ascii="Calibri" w:hAnsi="Calibri"/>
                <w:sz w:val="20"/>
                <w:szCs w:val="20"/>
              </w:rPr>
              <w:t>4,312,090.41</w:t>
            </w:r>
          </w:p>
        </w:tc>
        <w:tc>
          <w:tcPr>
            <w:tcW w:w="709" w:type="dxa"/>
            <w:vAlign w:val="center"/>
          </w:tcPr>
          <w:p w14:paraId="00F07848">
            <w:pPr>
              <w:jc w:val="right"/>
              <w:rPr>
                <w:rFonts w:ascii="Calibri" w:hAnsi="Calibri"/>
                <w:sz w:val="20"/>
                <w:szCs w:val="20"/>
              </w:rPr>
            </w:pPr>
          </w:p>
        </w:tc>
        <w:tc>
          <w:tcPr>
            <w:tcW w:w="1556" w:type="dxa"/>
            <w:vAlign w:val="center"/>
          </w:tcPr>
          <w:p w14:paraId="0C51C676">
            <w:pPr>
              <w:jc w:val="right"/>
              <w:rPr>
                <w:rFonts w:ascii="Calibri" w:hAnsi="Calibri"/>
                <w:sz w:val="20"/>
                <w:szCs w:val="20"/>
              </w:rPr>
            </w:pPr>
            <w:r>
              <w:rPr>
                <w:rFonts w:ascii="Calibri" w:hAnsi="Calibri"/>
                <w:sz w:val="20"/>
                <w:szCs w:val="20"/>
              </w:rPr>
              <w:t>4,312,090.41</w:t>
            </w:r>
          </w:p>
        </w:tc>
        <w:tc>
          <w:tcPr>
            <w:tcW w:w="1562" w:type="dxa"/>
            <w:vAlign w:val="center"/>
          </w:tcPr>
          <w:p w14:paraId="7EDF5732">
            <w:pPr>
              <w:jc w:val="right"/>
              <w:rPr>
                <w:rFonts w:ascii="Calibri" w:hAnsi="Calibri"/>
                <w:sz w:val="20"/>
                <w:szCs w:val="20"/>
              </w:rPr>
            </w:pPr>
            <w:r>
              <w:rPr>
                <w:rFonts w:ascii="Calibri" w:hAnsi="Calibri"/>
                <w:sz w:val="20"/>
                <w:szCs w:val="20"/>
              </w:rPr>
              <w:t>3,924,333.56</w:t>
            </w:r>
          </w:p>
        </w:tc>
        <w:tc>
          <w:tcPr>
            <w:tcW w:w="709" w:type="dxa"/>
            <w:vAlign w:val="center"/>
          </w:tcPr>
          <w:p w14:paraId="3019A0EA">
            <w:pPr>
              <w:jc w:val="right"/>
              <w:rPr>
                <w:rFonts w:ascii="Calibri" w:hAnsi="Calibri"/>
                <w:sz w:val="20"/>
                <w:szCs w:val="20"/>
              </w:rPr>
            </w:pPr>
          </w:p>
        </w:tc>
        <w:tc>
          <w:tcPr>
            <w:tcW w:w="1559" w:type="dxa"/>
            <w:vAlign w:val="center"/>
          </w:tcPr>
          <w:p w14:paraId="6DFE3F60">
            <w:pPr>
              <w:jc w:val="right"/>
              <w:rPr>
                <w:rFonts w:ascii="Calibri" w:hAnsi="Calibri"/>
                <w:sz w:val="20"/>
                <w:szCs w:val="20"/>
              </w:rPr>
            </w:pPr>
            <w:r>
              <w:rPr>
                <w:rFonts w:ascii="Calibri" w:hAnsi="Calibri"/>
                <w:sz w:val="20"/>
                <w:szCs w:val="20"/>
              </w:rPr>
              <w:t>3,924,333.56</w:t>
            </w:r>
          </w:p>
        </w:tc>
      </w:tr>
      <w:tr w14:paraId="5BE8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96" w:type="dxa"/>
            <w:vAlign w:val="center"/>
          </w:tcPr>
          <w:p w14:paraId="31DD91E9">
            <w:pPr>
              <w:pStyle w:val="48"/>
              <w:rPr>
                <w:sz w:val="20"/>
                <w:szCs w:val="20"/>
              </w:rPr>
            </w:pPr>
            <w:r>
              <w:rPr>
                <w:sz w:val="20"/>
                <w:szCs w:val="20"/>
              </w:rPr>
              <w:t>预付司美格鲁肽注射液商业化授权及MAH合作款</w:t>
            </w:r>
          </w:p>
        </w:tc>
        <w:tc>
          <w:tcPr>
            <w:tcW w:w="1518" w:type="dxa"/>
            <w:vAlign w:val="center"/>
          </w:tcPr>
          <w:p w14:paraId="7FA195F2">
            <w:pPr>
              <w:jc w:val="right"/>
              <w:rPr>
                <w:rFonts w:ascii="Calibri" w:hAnsi="Calibri"/>
                <w:sz w:val="20"/>
                <w:szCs w:val="20"/>
              </w:rPr>
            </w:pPr>
            <w:r>
              <w:rPr>
                <w:rFonts w:ascii="Calibri" w:hAnsi="Calibri"/>
                <w:sz w:val="20"/>
                <w:szCs w:val="20"/>
              </w:rPr>
              <w:t>86,250,000.00</w:t>
            </w:r>
          </w:p>
        </w:tc>
        <w:tc>
          <w:tcPr>
            <w:tcW w:w="709" w:type="dxa"/>
            <w:vAlign w:val="center"/>
          </w:tcPr>
          <w:p w14:paraId="7F0B28B4">
            <w:pPr>
              <w:jc w:val="right"/>
              <w:rPr>
                <w:rFonts w:ascii="Calibri" w:hAnsi="Calibri"/>
                <w:sz w:val="20"/>
                <w:szCs w:val="20"/>
              </w:rPr>
            </w:pPr>
          </w:p>
        </w:tc>
        <w:tc>
          <w:tcPr>
            <w:tcW w:w="1556" w:type="dxa"/>
            <w:vAlign w:val="center"/>
          </w:tcPr>
          <w:p w14:paraId="03C4DAEB">
            <w:pPr>
              <w:jc w:val="right"/>
              <w:rPr>
                <w:rFonts w:ascii="Calibri" w:hAnsi="Calibri"/>
                <w:sz w:val="20"/>
                <w:szCs w:val="20"/>
              </w:rPr>
            </w:pPr>
            <w:r>
              <w:rPr>
                <w:rFonts w:ascii="Calibri" w:hAnsi="Calibri"/>
                <w:sz w:val="20"/>
                <w:szCs w:val="20"/>
              </w:rPr>
              <w:t>86,250,000.00</w:t>
            </w:r>
          </w:p>
        </w:tc>
        <w:tc>
          <w:tcPr>
            <w:tcW w:w="1562" w:type="dxa"/>
            <w:vAlign w:val="center"/>
          </w:tcPr>
          <w:p w14:paraId="271F8656">
            <w:pPr>
              <w:jc w:val="right"/>
              <w:rPr>
                <w:rFonts w:ascii="Calibri" w:hAnsi="Calibri"/>
                <w:sz w:val="20"/>
                <w:szCs w:val="20"/>
              </w:rPr>
            </w:pPr>
            <w:r>
              <w:rPr>
                <w:rFonts w:ascii="Calibri" w:hAnsi="Calibri"/>
                <w:sz w:val="20"/>
                <w:szCs w:val="20"/>
              </w:rPr>
              <w:t>82,500,000.00</w:t>
            </w:r>
          </w:p>
        </w:tc>
        <w:tc>
          <w:tcPr>
            <w:tcW w:w="709" w:type="dxa"/>
            <w:vAlign w:val="center"/>
          </w:tcPr>
          <w:p w14:paraId="05B76399">
            <w:pPr>
              <w:jc w:val="right"/>
              <w:rPr>
                <w:rFonts w:ascii="Calibri" w:hAnsi="Calibri"/>
                <w:sz w:val="20"/>
                <w:szCs w:val="20"/>
              </w:rPr>
            </w:pPr>
          </w:p>
        </w:tc>
        <w:tc>
          <w:tcPr>
            <w:tcW w:w="1559" w:type="dxa"/>
            <w:vAlign w:val="center"/>
          </w:tcPr>
          <w:p w14:paraId="3B0358B0">
            <w:pPr>
              <w:jc w:val="right"/>
              <w:rPr>
                <w:rFonts w:ascii="Calibri" w:hAnsi="Calibri"/>
                <w:sz w:val="20"/>
                <w:szCs w:val="20"/>
              </w:rPr>
            </w:pPr>
            <w:r>
              <w:rPr>
                <w:rFonts w:ascii="Calibri" w:hAnsi="Calibri"/>
                <w:sz w:val="20"/>
                <w:szCs w:val="20"/>
              </w:rPr>
              <w:t>82,500,000.00</w:t>
            </w:r>
          </w:p>
        </w:tc>
      </w:tr>
      <w:tr w14:paraId="02B5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596" w:type="dxa"/>
            <w:vAlign w:val="center"/>
          </w:tcPr>
          <w:p w14:paraId="3C6E7FFF">
            <w:pPr>
              <w:jc w:val="center"/>
              <w:rPr>
                <w:rFonts w:ascii="Calibri" w:hAnsi="Calibri"/>
                <w:sz w:val="20"/>
                <w:szCs w:val="20"/>
              </w:rPr>
            </w:pPr>
            <w:r>
              <w:rPr>
                <w:rFonts w:hint="eastAsia" w:ascii="Calibri" w:hAnsi="Calibri"/>
                <w:sz w:val="20"/>
                <w:szCs w:val="20"/>
              </w:rPr>
              <w:t>合计</w:t>
            </w:r>
          </w:p>
        </w:tc>
        <w:tc>
          <w:tcPr>
            <w:tcW w:w="1518" w:type="dxa"/>
            <w:vAlign w:val="center"/>
          </w:tcPr>
          <w:p w14:paraId="04CA5758">
            <w:pPr>
              <w:jc w:val="right"/>
              <w:rPr>
                <w:rFonts w:ascii="Calibri" w:hAnsi="Calibri"/>
                <w:sz w:val="20"/>
                <w:szCs w:val="20"/>
              </w:rPr>
            </w:pPr>
            <w:r>
              <w:rPr>
                <w:rFonts w:ascii="Calibri" w:hAnsi="Calibri"/>
                <w:sz w:val="20"/>
                <w:szCs w:val="20"/>
              </w:rPr>
              <w:t>203,595,434.45</w:t>
            </w:r>
          </w:p>
        </w:tc>
        <w:tc>
          <w:tcPr>
            <w:tcW w:w="709" w:type="dxa"/>
            <w:vAlign w:val="center"/>
          </w:tcPr>
          <w:p w14:paraId="55090555">
            <w:pPr>
              <w:jc w:val="right"/>
              <w:rPr>
                <w:rFonts w:ascii="Calibri" w:hAnsi="Calibri"/>
                <w:sz w:val="20"/>
                <w:szCs w:val="20"/>
              </w:rPr>
            </w:pPr>
          </w:p>
        </w:tc>
        <w:tc>
          <w:tcPr>
            <w:tcW w:w="1556" w:type="dxa"/>
            <w:vAlign w:val="center"/>
          </w:tcPr>
          <w:p w14:paraId="0B898A3B">
            <w:pPr>
              <w:jc w:val="right"/>
              <w:rPr>
                <w:rFonts w:ascii="Calibri" w:hAnsi="Calibri"/>
                <w:sz w:val="20"/>
                <w:szCs w:val="20"/>
              </w:rPr>
            </w:pPr>
            <w:r>
              <w:rPr>
                <w:rFonts w:ascii="Calibri" w:hAnsi="Calibri"/>
                <w:sz w:val="20"/>
                <w:szCs w:val="20"/>
              </w:rPr>
              <w:t>203,595,434.45</w:t>
            </w:r>
          </w:p>
        </w:tc>
        <w:tc>
          <w:tcPr>
            <w:tcW w:w="1562" w:type="dxa"/>
            <w:vAlign w:val="center"/>
          </w:tcPr>
          <w:p w14:paraId="0D49E18D">
            <w:pPr>
              <w:jc w:val="right"/>
              <w:rPr>
                <w:rFonts w:ascii="Calibri" w:hAnsi="Calibri"/>
                <w:sz w:val="20"/>
                <w:szCs w:val="20"/>
              </w:rPr>
            </w:pPr>
            <w:r>
              <w:rPr>
                <w:rFonts w:ascii="Calibri" w:hAnsi="Calibri"/>
                <w:sz w:val="20"/>
                <w:szCs w:val="20"/>
              </w:rPr>
              <w:t>171,679,804.49</w:t>
            </w:r>
          </w:p>
        </w:tc>
        <w:tc>
          <w:tcPr>
            <w:tcW w:w="709" w:type="dxa"/>
            <w:vAlign w:val="center"/>
          </w:tcPr>
          <w:p w14:paraId="747DAF76">
            <w:pPr>
              <w:jc w:val="right"/>
              <w:rPr>
                <w:rFonts w:ascii="Calibri" w:hAnsi="Calibri"/>
                <w:sz w:val="20"/>
                <w:szCs w:val="20"/>
              </w:rPr>
            </w:pPr>
          </w:p>
        </w:tc>
        <w:tc>
          <w:tcPr>
            <w:tcW w:w="1559" w:type="dxa"/>
            <w:vAlign w:val="center"/>
          </w:tcPr>
          <w:p w14:paraId="45A993A4">
            <w:pPr>
              <w:jc w:val="right"/>
              <w:rPr>
                <w:rFonts w:ascii="Calibri" w:hAnsi="Calibri"/>
                <w:sz w:val="20"/>
                <w:szCs w:val="20"/>
              </w:rPr>
            </w:pPr>
            <w:r>
              <w:rPr>
                <w:rFonts w:ascii="Calibri" w:hAnsi="Calibri"/>
                <w:sz w:val="20"/>
                <w:szCs w:val="20"/>
              </w:rPr>
              <w:t>171,679,804.49</w:t>
            </w:r>
          </w:p>
        </w:tc>
      </w:tr>
    </w:tbl>
    <w:p w14:paraId="6F230D5A"/>
    <w:bookmarkEnd w:id="324"/>
    <w:p w14:paraId="0BC2AC60">
      <w:pPr>
        <w:pStyle w:val="48"/>
      </w:pPr>
    </w:p>
    <w:p w14:paraId="706D092D">
      <w:pPr>
        <w:pStyle w:val="4"/>
        <w:numPr>
          <w:ilvl w:val="0"/>
          <w:numId w:val="61"/>
        </w:numPr>
        <w:rPr>
          <w:szCs w:val="21"/>
        </w:rPr>
      </w:pPr>
      <w:bookmarkStart w:id="325" w:name="_Hlk182485605"/>
      <w:r>
        <w:rPr>
          <w:szCs w:val="21"/>
        </w:rPr>
        <w:t>所有权或使用权受限资产</w:t>
      </w:r>
    </w:p>
    <w:sdt>
      <w:sdtPr>
        <w:rPr>
          <w:color w:val="000000" w:themeColor="text1"/>
          <w14:textFill>
            <w14:solidFill>
              <w14:schemeClr w14:val="tx1"/>
            </w14:solidFill>
          </w14:textFill>
        </w:rPr>
        <w:alias w:val="是否适用：所有权或使用权受到限制的资产[双击切换]"/>
        <w:tag w:val="_GBC_f1f6d80d559a42ada65c7a06e1485986"/>
        <w:id w:val="581950051"/>
        <w:placeholder>
          <w:docPart w:val="GBC22222222222222222222222222222"/>
        </w:placeholder>
      </w:sdtPr>
      <w:sdtEndPr>
        <w:rPr>
          <w:color w:val="000000" w:themeColor="text1"/>
          <w14:textFill>
            <w14:solidFill>
              <w14:schemeClr w14:val="tx1"/>
            </w14:solidFill>
          </w14:textFill>
        </w:rPr>
      </w:sdtEndPr>
      <w:sdtContent>
        <w:p w14:paraId="0DD1BCB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E491E8E">
      <w:pPr>
        <w:pStyle w:val="30"/>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所有权或使用权受到限制的资产"/>
          <w:tag w:val="_GBC_e246ad9146ff415ca076abb824966967"/>
          <w:id w:val="20436335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财务附注：所有权或使用权受到限制的资产"/>
          <w:tag w:val="_GBC_3384ecfbee774a528f8956ac7bda492a"/>
          <w:id w:val="3333465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bookmarkEnd w:id="325"/>
    <w:tbl>
      <w:tblPr>
        <w:tblStyle w:val="20"/>
        <w:tblW w:w="1091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538"/>
        <w:gridCol w:w="1438"/>
        <w:gridCol w:w="709"/>
        <w:gridCol w:w="992"/>
        <w:gridCol w:w="1560"/>
        <w:gridCol w:w="1559"/>
        <w:gridCol w:w="709"/>
        <w:gridCol w:w="1275"/>
      </w:tblGrid>
      <w:tr w14:paraId="3671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5915b25a498409faaeec94754cc91ce"/>
            <w:id w:val="1905323257"/>
          </w:sdtPr>
          <w:sdtContent>
            <w:tc>
              <w:tcPr>
                <w:tcW w:w="1135" w:type="dxa"/>
                <w:vMerge w:val="restart"/>
                <w:vAlign w:val="center"/>
              </w:tcPr>
              <w:p w14:paraId="762ACBE3">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bcba7b22c1f8467fb1ed1a4a9e7f7dae"/>
            <w:id w:val="1884832279"/>
          </w:sdtPr>
          <w:sdtContent>
            <w:tc>
              <w:tcPr>
                <w:tcW w:w="4677" w:type="dxa"/>
                <w:gridSpan w:val="4"/>
                <w:vAlign w:val="center"/>
              </w:tcPr>
              <w:p w14:paraId="1F655198">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w:t>
                </w:r>
              </w:p>
            </w:tc>
          </w:sdtContent>
        </w:sdt>
        <w:sdt>
          <w:sdtPr>
            <w:tag w:val="_PLD_e062301463624f04b097cb249cdb774e"/>
            <w:id w:val="-1019385046"/>
          </w:sdtPr>
          <w:sdtContent>
            <w:tc>
              <w:tcPr>
                <w:tcW w:w="5103" w:type="dxa"/>
                <w:gridSpan w:val="4"/>
                <w:vAlign w:val="center"/>
              </w:tcPr>
              <w:p w14:paraId="63490D8B">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w:t>
                </w:r>
              </w:p>
            </w:tc>
          </w:sdtContent>
        </w:sdt>
      </w:tr>
      <w:tr w14:paraId="639C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35" w:type="dxa"/>
            <w:vMerge w:val="continue"/>
            <w:vAlign w:val="center"/>
          </w:tcPr>
          <w:p w14:paraId="35A9403B">
            <w:pPr>
              <w:widowControl w:val="0"/>
              <w:jc w:val="both"/>
              <w:rPr>
                <w:color w:val="000000" w:themeColor="text1"/>
                <w14:textFill>
                  <w14:solidFill>
                    <w14:schemeClr w14:val="tx1"/>
                  </w14:solidFill>
                </w14:textFill>
              </w:rPr>
            </w:pPr>
          </w:p>
        </w:tc>
        <w:sdt>
          <w:sdtPr>
            <w:tag w:val="_PLD_83e681f7f54f4bd9bfe88e1c973e1b43"/>
            <w:id w:val="-1830202886"/>
          </w:sdtPr>
          <w:sdtContent>
            <w:tc>
              <w:tcPr>
                <w:tcW w:w="1538" w:type="dxa"/>
                <w:vAlign w:val="center"/>
              </w:tcPr>
              <w:p w14:paraId="6B32B1F2">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账面余额</w:t>
                </w:r>
              </w:p>
            </w:tc>
          </w:sdtContent>
        </w:sdt>
        <w:sdt>
          <w:sdtPr>
            <w:tag w:val="_PLD_2a265c047cf94f85a8553f5e0b2b7388"/>
            <w:id w:val="1146173834"/>
          </w:sdtPr>
          <w:sdtContent>
            <w:tc>
              <w:tcPr>
                <w:tcW w:w="1438" w:type="dxa"/>
                <w:vAlign w:val="center"/>
              </w:tcPr>
              <w:p w14:paraId="56DE6626">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账面价值</w:t>
                </w:r>
              </w:p>
            </w:tc>
          </w:sdtContent>
        </w:sdt>
        <w:sdt>
          <w:sdtPr>
            <w:tag w:val="_PLD_5b6c4747a96541ecafc3956c6df7be1e"/>
            <w:id w:val="-1551376216"/>
          </w:sdtPr>
          <w:sdtContent>
            <w:tc>
              <w:tcPr>
                <w:tcW w:w="709" w:type="dxa"/>
                <w:vAlign w:val="center"/>
              </w:tcPr>
              <w:p w14:paraId="1C036114">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受限类型</w:t>
                </w:r>
              </w:p>
            </w:tc>
          </w:sdtContent>
        </w:sdt>
        <w:sdt>
          <w:sdtPr>
            <w:tag w:val="_PLD_0fdc8d5500aa413592588c79ae47d121"/>
            <w:id w:val="-97410059"/>
          </w:sdtPr>
          <w:sdtContent>
            <w:tc>
              <w:tcPr>
                <w:tcW w:w="992" w:type="dxa"/>
                <w:vAlign w:val="center"/>
              </w:tcPr>
              <w:p w14:paraId="704F5595">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受限情况</w:t>
                </w:r>
              </w:p>
            </w:tc>
          </w:sdtContent>
        </w:sdt>
        <w:sdt>
          <w:sdtPr>
            <w:tag w:val="_PLD_19a6e2039b054e27ae63e997e8202099"/>
            <w:id w:val="1578169565"/>
          </w:sdtPr>
          <w:sdtContent>
            <w:tc>
              <w:tcPr>
                <w:tcW w:w="1560" w:type="dxa"/>
                <w:vAlign w:val="center"/>
              </w:tcPr>
              <w:p w14:paraId="4F933C2F">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账面余额</w:t>
                </w:r>
              </w:p>
            </w:tc>
          </w:sdtContent>
        </w:sdt>
        <w:sdt>
          <w:sdtPr>
            <w:tag w:val="_PLD_c874887424044a5dbc1a1644f585ae7e"/>
            <w:id w:val="735212526"/>
          </w:sdtPr>
          <w:sdtContent>
            <w:tc>
              <w:tcPr>
                <w:tcW w:w="1559" w:type="dxa"/>
                <w:vAlign w:val="center"/>
              </w:tcPr>
              <w:p w14:paraId="1C1BFFF7">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账面价值</w:t>
                </w:r>
              </w:p>
            </w:tc>
          </w:sdtContent>
        </w:sdt>
        <w:sdt>
          <w:sdtPr>
            <w:tag w:val="_PLD_92198303043b4f9e9d277fb8a7835f44"/>
            <w:id w:val="-961182893"/>
          </w:sdtPr>
          <w:sdtContent>
            <w:tc>
              <w:tcPr>
                <w:tcW w:w="709" w:type="dxa"/>
                <w:vAlign w:val="center"/>
              </w:tcPr>
              <w:p w14:paraId="782A7CEB">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受限类型</w:t>
                </w:r>
              </w:p>
            </w:tc>
          </w:sdtContent>
        </w:sdt>
        <w:sdt>
          <w:sdtPr>
            <w:tag w:val="_PLD_4ea3dd881caf4532ad39a52fb85dd9ad"/>
            <w:id w:val="1516495421"/>
          </w:sdtPr>
          <w:sdtContent>
            <w:tc>
              <w:tcPr>
                <w:tcW w:w="1275" w:type="dxa"/>
                <w:vAlign w:val="center"/>
              </w:tcPr>
              <w:p w14:paraId="63B85073">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受限情况</w:t>
                </w:r>
              </w:p>
            </w:tc>
          </w:sdtContent>
        </w:sdt>
      </w:tr>
      <w:tr w14:paraId="664C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14:paraId="78190BFF">
            <w:pPr>
              <w:widowControl w:val="0"/>
              <w:jc w:val="both"/>
            </w:pPr>
            <w:r>
              <w:t>交易性金融资产</w:t>
            </w:r>
          </w:p>
        </w:tc>
        <w:tc>
          <w:tcPr>
            <w:tcW w:w="1538" w:type="dxa"/>
            <w:vAlign w:val="center"/>
          </w:tcPr>
          <w:p w14:paraId="1ECAB1AE">
            <w:pPr>
              <w:widowControl w:val="0"/>
              <w:jc w:val="right"/>
            </w:pPr>
            <w:r>
              <w:t>63,218,438.36</w:t>
            </w:r>
          </w:p>
        </w:tc>
        <w:tc>
          <w:tcPr>
            <w:tcW w:w="1438" w:type="dxa"/>
            <w:vAlign w:val="center"/>
          </w:tcPr>
          <w:p w14:paraId="0165EE11">
            <w:pPr>
              <w:widowControl w:val="0"/>
              <w:jc w:val="right"/>
            </w:pPr>
            <w:r>
              <w:t>63,218,438.36</w:t>
            </w:r>
          </w:p>
        </w:tc>
        <w:tc>
          <w:tcPr>
            <w:tcW w:w="709" w:type="dxa"/>
            <w:vAlign w:val="center"/>
          </w:tcPr>
          <w:p w14:paraId="753F12E7">
            <w:pPr>
              <w:widowControl w:val="0"/>
              <w:jc w:val="both"/>
            </w:pPr>
            <w:r>
              <w:t>其他</w:t>
            </w:r>
          </w:p>
        </w:tc>
        <w:tc>
          <w:tcPr>
            <w:tcW w:w="992" w:type="dxa"/>
            <w:vAlign w:val="center"/>
          </w:tcPr>
          <w:p w14:paraId="634E6A6F">
            <w:pPr>
              <w:pStyle w:val="48"/>
            </w:pPr>
            <w:r>
              <w:t>到期前不能提前支取</w:t>
            </w:r>
          </w:p>
        </w:tc>
        <w:tc>
          <w:tcPr>
            <w:tcW w:w="1560" w:type="dxa"/>
            <w:vAlign w:val="center"/>
          </w:tcPr>
          <w:p w14:paraId="759901C1">
            <w:pPr>
              <w:widowControl w:val="0"/>
              <w:jc w:val="right"/>
            </w:pPr>
            <w:r>
              <w:t>55,400,927.52</w:t>
            </w:r>
          </w:p>
        </w:tc>
        <w:tc>
          <w:tcPr>
            <w:tcW w:w="1559" w:type="dxa"/>
            <w:vAlign w:val="center"/>
          </w:tcPr>
          <w:p w14:paraId="55C90A5F">
            <w:pPr>
              <w:widowControl w:val="0"/>
              <w:jc w:val="right"/>
            </w:pPr>
            <w:r>
              <w:t>55,400,927.52</w:t>
            </w:r>
          </w:p>
        </w:tc>
        <w:tc>
          <w:tcPr>
            <w:tcW w:w="709" w:type="dxa"/>
            <w:vAlign w:val="center"/>
          </w:tcPr>
          <w:p w14:paraId="02E28BD1">
            <w:pPr>
              <w:widowControl w:val="0"/>
              <w:jc w:val="both"/>
            </w:pPr>
            <w:r>
              <w:t>其他</w:t>
            </w:r>
          </w:p>
        </w:tc>
        <w:tc>
          <w:tcPr>
            <w:tcW w:w="1275" w:type="dxa"/>
            <w:vAlign w:val="center"/>
          </w:tcPr>
          <w:p w14:paraId="4FE4C6CE">
            <w:pPr>
              <w:pStyle w:val="48"/>
            </w:pPr>
            <w:r>
              <w:t>到期前不能提前支取</w:t>
            </w:r>
          </w:p>
        </w:tc>
      </w:tr>
      <w:tr w14:paraId="2D2E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14:paraId="10B6C78C">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货币资金</w:t>
            </w:r>
          </w:p>
        </w:tc>
        <w:tc>
          <w:tcPr>
            <w:tcW w:w="1538" w:type="dxa"/>
            <w:vAlign w:val="center"/>
          </w:tcPr>
          <w:p w14:paraId="311FACCB">
            <w:pPr>
              <w:widowControl w:val="0"/>
              <w:jc w:val="right"/>
            </w:pPr>
            <w:r>
              <w:t>8,657,093.67</w:t>
            </w:r>
          </w:p>
        </w:tc>
        <w:tc>
          <w:tcPr>
            <w:tcW w:w="1438" w:type="dxa"/>
            <w:vAlign w:val="center"/>
          </w:tcPr>
          <w:p w14:paraId="2D503735">
            <w:pPr>
              <w:widowControl w:val="0"/>
              <w:jc w:val="right"/>
            </w:pPr>
            <w:r>
              <w:t>8,657,093.67</w:t>
            </w:r>
          </w:p>
        </w:tc>
        <w:sdt>
          <w:sdtPr>
            <w:rPr>
              <w:color w:val="000000" w:themeColor="text1"/>
              <w14:textFill>
                <w14:solidFill>
                  <w14:schemeClr w14:val="tx1"/>
                </w14:solidFill>
              </w14:textFill>
            </w:rPr>
            <w:alias w:val="所有权或使用权受到限制的资产中货币资金受限类型"/>
            <w:tag w:val="_GBC_6f6cb50e97ca4fa8a27036ee94b76871"/>
            <w:id w:val="-145947684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color w:val="000000" w:themeColor="text1"/>
              <w14:textFill>
                <w14:solidFill>
                  <w14:schemeClr w14:val="tx1"/>
                </w14:solidFill>
              </w14:textFill>
            </w:rPr>
          </w:sdtEndPr>
          <w:sdtContent>
            <w:tc>
              <w:tcPr>
                <w:tcW w:w="709" w:type="dxa"/>
                <w:vAlign w:val="center"/>
              </w:tcPr>
              <w:p w14:paraId="2AA99BF4">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其他</w:t>
                </w:r>
              </w:p>
            </w:tc>
          </w:sdtContent>
        </w:sdt>
        <w:tc>
          <w:tcPr>
            <w:tcW w:w="992" w:type="dxa"/>
            <w:vAlign w:val="center"/>
          </w:tcPr>
          <w:p w14:paraId="324F5DD8">
            <w:pPr>
              <w:pStyle w:val="48"/>
            </w:pPr>
            <w:r>
              <w:t>不能随时动用</w:t>
            </w:r>
          </w:p>
        </w:tc>
        <w:tc>
          <w:tcPr>
            <w:tcW w:w="1560" w:type="dxa"/>
            <w:vAlign w:val="center"/>
          </w:tcPr>
          <w:p w14:paraId="41F038A8">
            <w:pPr>
              <w:widowControl w:val="0"/>
              <w:jc w:val="right"/>
            </w:pPr>
          </w:p>
        </w:tc>
        <w:tc>
          <w:tcPr>
            <w:tcW w:w="1559" w:type="dxa"/>
            <w:vAlign w:val="center"/>
          </w:tcPr>
          <w:p w14:paraId="5A4919E0">
            <w:pPr>
              <w:widowControl w:val="0"/>
              <w:jc w:val="right"/>
            </w:pPr>
          </w:p>
        </w:tc>
        <w:sdt>
          <w:sdtPr>
            <w:rPr>
              <w:color w:val="000000" w:themeColor="text1"/>
              <w14:textFill>
                <w14:solidFill>
                  <w14:schemeClr w14:val="tx1"/>
                </w14:solidFill>
              </w14:textFill>
            </w:rPr>
            <w:alias w:val="所有权或使用权受到限制的资产中货币资金受限类型"/>
            <w:tag w:val="_GBC_6f6cb50e97ca4fa8a27036ee94b76871"/>
            <w:id w:val="150447557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rPr>
              <w:color w:val="000000" w:themeColor="text1"/>
              <w14:textFill>
                <w14:solidFill>
                  <w14:schemeClr w14:val="tx1"/>
                </w14:solidFill>
              </w14:textFill>
            </w:rPr>
          </w:sdtEndPr>
          <w:sdtContent>
            <w:tc>
              <w:tcPr>
                <w:tcW w:w="709" w:type="dxa"/>
                <w:vAlign w:val="center"/>
              </w:tcPr>
              <w:p w14:paraId="64617D14">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　</w:t>
                </w:r>
              </w:p>
            </w:tc>
          </w:sdtContent>
        </w:sdt>
        <w:tc>
          <w:tcPr>
            <w:tcW w:w="1275" w:type="dxa"/>
            <w:vAlign w:val="center"/>
          </w:tcPr>
          <w:p w14:paraId="7ADEBB4E">
            <w:pPr>
              <w:pStyle w:val="48"/>
            </w:pPr>
          </w:p>
        </w:tc>
      </w:tr>
      <w:tr w14:paraId="568D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14:paraId="748D516F">
            <w:pPr>
              <w:pStyle w:val="48"/>
              <w:jc w:val="center"/>
            </w:pPr>
            <w:r>
              <w:t>合计</w:t>
            </w:r>
          </w:p>
        </w:tc>
        <w:tc>
          <w:tcPr>
            <w:tcW w:w="1538" w:type="dxa"/>
            <w:vAlign w:val="center"/>
          </w:tcPr>
          <w:p w14:paraId="293004FD">
            <w:pPr>
              <w:widowControl w:val="0"/>
              <w:jc w:val="right"/>
            </w:pPr>
            <w:r>
              <w:t>71,875,532.03</w:t>
            </w:r>
          </w:p>
        </w:tc>
        <w:tc>
          <w:tcPr>
            <w:tcW w:w="1438" w:type="dxa"/>
            <w:vAlign w:val="center"/>
          </w:tcPr>
          <w:p w14:paraId="6901D79E">
            <w:pPr>
              <w:widowControl w:val="0"/>
              <w:jc w:val="right"/>
            </w:pPr>
            <w:r>
              <w:t>71,875,532.03</w:t>
            </w:r>
          </w:p>
        </w:tc>
        <w:tc>
          <w:tcPr>
            <w:tcW w:w="709" w:type="dxa"/>
            <w:vAlign w:val="center"/>
          </w:tcPr>
          <w:p w14:paraId="740D3FA6">
            <w:pPr>
              <w:widowControl w:val="0"/>
              <w:jc w:val="both"/>
            </w:pPr>
          </w:p>
        </w:tc>
        <w:tc>
          <w:tcPr>
            <w:tcW w:w="992" w:type="dxa"/>
            <w:vAlign w:val="center"/>
          </w:tcPr>
          <w:p w14:paraId="3A01FB5F">
            <w:pPr>
              <w:pStyle w:val="48"/>
            </w:pPr>
          </w:p>
        </w:tc>
        <w:tc>
          <w:tcPr>
            <w:tcW w:w="1560" w:type="dxa"/>
            <w:vAlign w:val="center"/>
          </w:tcPr>
          <w:p w14:paraId="387E276B">
            <w:pPr>
              <w:widowControl w:val="0"/>
              <w:jc w:val="right"/>
            </w:pPr>
            <w:r>
              <w:t>55,400,927.52</w:t>
            </w:r>
          </w:p>
        </w:tc>
        <w:tc>
          <w:tcPr>
            <w:tcW w:w="1559" w:type="dxa"/>
            <w:vAlign w:val="center"/>
          </w:tcPr>
          <w:p w14:paraId="3E13A019">
            <w:pPr>
              <w:widowControl w:val="0"/>
              <w:jc w:val="right"/>
            </w:pPr>
            <w:r>
              <w:t>55,400,927.52</w:t>
            </w:r>
          </w:p>
        </w:tc>
        <w:tc>
          <w:tcPr>
            <w:tcW w:w="709" w:type="dxa"/>
            <w:vAlign w:val="center"/>
          </w:tcPr>
          <w:p w14:paraId="36599F72">
            <w:pPr>
              <w:widowControl w:val="0"/>
              <w:jc w:val="both"/>
            </w:pPr>
            <w:r>
              <w:t>/</w:t>
            </w:r>
          </w:p>
        </w:tc>
        <w:tc>
          <w:tcPr>
            <w:tcW w:w="1275" w:type="dxa"/>
            <w:vAlign w:val="center"/>
          </w:tcPr>
          <w:p w14:paraId="1C6574FE">
            <w:pPr>
              <w:pStyle w:val="48"/>
            </w:pPr>
            <w:r>
              <w:t>/</w:t>
            </w:r>
          </w:p>
        </w:tc>
      </w:tr>
    </w:tbl>
    <w:p w14:paraId="01572D4A"/>
    <w:p w14:paraId="0FA573DD">
      <w:pPr>
        <w:pStyle w:val="4"/>
        <w:numPr>
          <w:ilvl w:val="0"/>
          <w:numId w:val="61"/>
        </w:numPr>
        <w:rPr>
          <w:szCs w:val="21"/>
        </w:rPr>
      </w:pPr>
      <w:r>
        <w:rPr>
          <w:szCs w:val="21"/>
        </w:rPr>
        <w:t>短期借款</w:t>
      </w:r>
    </w:p>
    <w:p w14:paraId="7698F101">
      <w:pPr>
        <w:pStyle w:val="5"/>
        <w:numPr>
          <w:ilvl w:val="0"/>
          <w:numId w:val="86"/>
        </w:numPr>
        <w:ind w:left="426" w:hanging="426"/>
      </w:pPr>
      <w:r>
        <w:rPr>
          <w:rFonts w:hint="eastAsia"/>
        </w:rPr>
        <w:t>短期借款分类</w:t>
      </w:r>
    </w:p>
    <w:sdt>
      <w:sdtPr>
        <w:alias w:val="是否适用：短期借款分类[双击切换]"/>
        <w:tag w:val="_GBC_d7624f1054024527b72d59c4122e81cb"/>
        <w:id w:val="1817684555"/>
        <w:placeholder>
          <w:docPart w:val="GBC22222222222222222222222222222"/>
        </w:placeholder>
      </w:sdtPr>
      <w:sdtContent>
        <w:p w14:paraId="66E91B87">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AA4A251">
      <w:pPr>
        <w:jc w:val="right"/>
      </w:pPr>
      <w:r>
        <w:rPr>
          <w:rFonts w:hint="eastAsia"/>
        </w:rPr>
        <w:t>单位：</w:t>
      </w:r>
      <w:sdt>
        <w:sdtPr>
          <w:rPr>
            <w:rFonts w:hint="eastAsia"/>
          </w:rPr>
          <w:alias w:val="单位：财务附注：短期借款分类"/>
          <w:tag w:val="_GBC_8d30fbb8785645499f9234dccd6e5b81"/>
          <w:id w:val="18549164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短期借款分类"/>
          <w:tag w:val="_GBC_f7294c19819e4515b1d98b3d42f8d07c"/>
          <w:id w:val="-3033942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2868"/>
        <w:gridCol w:w="3002"/>
        <w:gridCol w:w="3020"/>
      </w:tblGrid>
      <w:tr w14:paraId="3EB2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7d518e78e06f4dc9b46aae7b6b47fd01"/>
            <w:id w:val="-1608345071"/>
          </w:sdtPr>
          <w:sdtContent>
            <w:tc>
              <w:tcPr>
                <w:tcW w:w="2868" w:type="dxa"/>
                <w:vAlign w:val="center"/>
              </w:tcPr>
              <w:p w14:paraId="37083B82">
                <w:pPr>
                  <w:autoSpaceDE w:val="0"/>
                  <w:autoSpaceDN w:val="0"/>
                  <w:adjustRightInd w:val="0"/>
                  <w:snapToGrid w:val="0"/>
                  <w:spacing w:line="240" w:lineRule="atLeast"/>
                  <w:jc w:val="cente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项目</w:t>
                </w:r>
              </w:p>
            </w:tc>
          </w:sdtContent>
        </w:sdt>
        <w:sdt>
          <w:sdtPr>
            <w:tag w:val="_PLD_cda187315847461e8ed854d1807d3b14"/>
            <w:id w:val="-356353040"/>
          </w:sdtPr>
          <w:sdtContent>
            <w:tc>
              <w:tcPr>
                <w:tcW w:w="3002" w:type="dxa"/>
                <w:vAlign w:val="center"/>
              </w:tcPr>
              <w:p w14:paraId="65FDDBEE">
                <w:pPr>
                  <w:jc w:val="cente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期末余额</w:t>
                </w:r>
              </w:p>
            </w:tc>
          </w:sdtContent>
        </w:sdt>
        <w:sdt>
          <w:sdtPr>
            <w:tag w:val="_PLD_805e4b849be14c0ab0ca7f324971119b"/>
            <w:id w:val="75557731"/>
          </w:sdtPr>
          <w:sdtContent>
            <w:tc>
              <w:tcPr>
                <w:tcW w:w="3020" w:type="dxa"/>
                <w:vAlign w:val="center"/>
              </w:tcPr>
              <w:p w14:paraId="3E4F5D0F">
                <w:pPr>
                  <w:jc w:val="cente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期初余额</w:t>
                </w:r>
              </w:p>
            </w:tc>
          </w:sdtContent>
        </w:sdt>
      </w:tr>
      <w:tr w14:paraId="03E4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868" w:type="dxa"/>
            <w:vAlign w:val="center"/>
          </w:tcPr>
          <w:p w14:paraId="0A1B4ED6">
            <w:pPr>
              <w:autoSpaceDE w:val="0"/>
              <w:autoSpaceDN w:val="0"/>
              <w:adjustRightInd w:val="0"/>
              <w:snapToGrid w:val="0"/>
              <w:spacing w:line="240" w:lineRule="atLeast"/>
              <w:jc w:val="both"/>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质押借款</w:t>
            </w:r>
          </w:p>
        </w:tc>
        <w:tc>
          <w:tcPr>
            <w:tcW w:w="3002" w:type="dxa"/>
            <w:vAlign w:val="center"/>
          </w:tcPr>
          <w:p w14:paraId="72D11A10">
            <w:pPr>
              <w:autoSpaceDE w:val="0"/>
              <w:autoSpaceDN w:val="0"/>
              <w:adjustRightInd w:val="0"/>
              <w:snapToGrid w:val="0"/>
              <w:spacing w:line="240" w:lineRule="atLeast"/>
              <w:ind w:right="180"/>
              <w:jc w:val="right"/>
              <w:rPr>
                <w:rFonts w:ascii="Calibri" w:hAnsi="Calibri"/>
                <w:sz w:val="20"/>
                <w:szCs w:val="20"/>
              </w:rPr>
            </w:pPr>
          </w:p>
        </w:tc>
        <w:tc>
          <w:tcPr>
            <w:tcW w:w="3020" w:type="dxa"/>
            <w:vAlign w:val="center"/>
          </w:tcPr>
          <w:p w14:paraId="1DB34C17">
            <w:pPr>
              <w:autoSpaceDE w:val="0"/>
              <w:autoSpaceDN w:val="0"/>
              <w:adjustRightInd w:val="0"/>
              <w:snapToGrid w:val="0"/>
              <w:spacing w:line="240" w:lineRule="atLeast"/>
              <w:ind w:right="180"/>
              <w:jc w:val="right"/>
              <w:rPr>
                <w:rFonts w:ascii="Calibri" w:hAnsi="Calibri"/>
                <w:sz w:val="20"/>
                <w:szCs w:val="20"/>
              </w:rPr>
            </w:pPr>
          </w:p>
        </w:tc>
      </w:tr>
      <w:tr w14:paraId="0AF0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868" w:type="dxa"/>
            <w:vAlign w:val="center"/>
          </w:tcPr>
          <w:p w14:paraId="082430EA">
            <w:pPr>
              <w:autoSpaceDE w:val="0"/>
              <w:autoSpaceDN w:val="0"/>
              <w:adjustRightInd w:val="0"/>
              <w:snapToGrid w:val="0"/>
              <w:spacing w:line="240" w:lineRule="atLeast"/>
              <w:jc w:val="both"/>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抵押借款</w:t>
            </w:r>
          </w:p>
        </w:tc>
        <w:tc>
          <w:tcPr>
            <w:tcW w:w="3002" w:type="dxa"/>
            <w:vAlign w:val="center"/>
          </w:tcPr>
          <w:p w14:paraId="6A627DB5">
            <w:pPr>
              <w:autoSpaceDE w:val="0"/>
              <w:autoSpaceDN w:val="0"/>
              <w:adjustRightInd w:val="0"/>
              <w:snapToGrid w:val="0"/>
              <w:spacing w:line="240" w:lineRule="atLeast"/>
              <w:ind w:right="180"/>
              <w:jc w:val="right"/>
              <w:rPr>
                <w:rFonts w:ascii="Calibri" w:hAnsi="Calibri"/>
                <w:sz w:val="20"/>
                <w:szCs w:val="20"/>
              </w:rPr>
            </w:pPr>
          </w:p>
        </w:tc>
        <w:tc>
          <w:tcPr>
            <w:tcW w:w="3020" w:type="dxa"/>
            <w:vAlign w:val="center"/>
          </w:tcPr>
          <w:p w14:paraId="1C09F6C0">
            <w:pPr>
              <w:autoSpaceDE w:val="0"/>
              <w:autoSpaceDN w:val="0"/>
              <w:adjustRightInd w:val="0"/>
              <w:snapToGrid w:val="0"/>
              <w:spacing w:line="240" w:lineRule="atLeast"/>
              <w:ind w:right="180"/>
              <w:jc w:val="right"/>
              <w:rPr>
                <w:rFonts w:ascii="Calibri" w:hAnsi="Calibri"/>
                <w:sz w:val="20"/>
                <w:szCs w:val="20"/>
              </w:rPr>
            </w:pPr>
          </w:p>
        </w:tc>
      </w:tr>
      <w:tr w14:paraId="20A3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868" w:type="dxa"/>
            <w:vAlign w:val="center"/>
          </w:tcPr>
          <w:p w14:paraId="0F2E8EC6">
            <w:pPr>
              <w:autoSpaceDE w:val="0"/>
              <w:autoSpaceDN w:val="0"/>
              <w:adjustRightInd w:val="0"/>
              <w:snapToGrid w:val="0"/>
              <w:spacing w:line="240" w:lineRule="atLeast"/>
              <w:jc w:val="both"/>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保证借款</w:t>
            </w:r>
          </w:p>
        </w:tc>
        <w:tc>
          <w:tcPr>
            <w:tcW w:w="3002" w:type="dxa"/>
            <w:vAlign w:val="center"/>
          </w:tcPr>
          <w:p w14:paraId="477A24C7">
            <w:pPr>
              <w:autoSpaceDE w:val="0"/>
              <w:autoSpaceDN w:val="0"/>
              <w:adjustRightInd w:val="0"/>
              <w:snapToGrid w:val="0"/>
              <w:spacing w:line="240" w:lineRule="atLeast"/>
              <w:ind w:right="180"/>
              <w:jc w:val="right"/>
              <w:rPr>
                <w:rFonts w:ascii="Calibri" w:hAnsi="Calibri"/>
                <w:sz w:val="20"/>
                <w:szCs w:val="20"/>
              </w:rPr>
            </w:pPr>
          </w:p>
        </w:tc>
        <w:tc>
          <w:tcPr>
            <w:tcW w:w="3020" w:type="dxa"/>
            <w:vAlign w:val="center"/>
          </w:tcPr>
          <w:p w14:paraId="50F808E7">
            <w:pPr>
              <w:autoSpaceDE w:val="0"/>
              <w:autoSpaceDN w:val="0"/>
              <w:adjustRightInd w:val="0"/>
              <w:snapToGrid w:val="0"/>
              <w:spacing w:line="240" w:lineRule="atLeast"/>
              <w:ind w:right="180"/>
              <w:jc w:val="right"/>
              <w:rPr>
                <w:rFonts w:ascii="Calibri" w:hAnsi="Calibri"/>
                <w:sz w:val="20"/>
                <w:szCs w:val="20"/>
              </w:rPr>
            </w:pPr>
          </w:p>
        </w:tc>
      </w:tr>
      <w:tr w14:paraId="3C2F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37" w:hRule="atLeast"/>
        </w:trPr>
        <w:tc>
          <w:tcPr>
            <w:tcW w:w="2868" w:type="dxa"/>
            <w:vAlign w:val="center"/>
          </w:tcPr>
          <w:p w14:paraId="2C6FF6B6">
            <w:pPr>
              <w:autoSpaceDE w:val="0"/>
              <w:autoSpaceDN w:val="0"/>
              <w:adjustRightInd w:val="0"/>
              <w:snapToGrid w:val="0"/>
              <w:spacing w:line="240" w:lineRule="atLeast"/>
              <w:jc w:val="both"/>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信用借款</w:t>
            </w:r>
          </w:p>
        </w:tc>
        <w:tc>
          <w:tcPr>
            <w:tcW w:w="3002" w:type="dxa"/>
            <w:vAlign w:val="center"/>
          </w:tcPr>
          <w:p w14:paraId="5A38FF26">
            <w:pPr>
              <w:autoSpaceDE w:val="0"/>
              <w:autoSpaceDN w:val="0"/>
              <w:adjustRightInd w:val="0"/>
              <w:snapToGrid w:val="0"/>
              <w:spacing w:line="240" w:lineRule="atLeast"/>
              <w:ind w:right="180"/>
              <w:jc w:val="right"/>
              <w:rPr>
                <w:rFonts w:ascii="Calibri" w:hAnsi="Calibri"/>
                <w:sz w:val="20"/>
                <w:szCs w:val="20"/>
              </w:rPr>
            </w:pPr>
            <w:r>
              <w:rPr>
                <w:rFonts w:ascii="Calibri" w:hAnsi="Calibri"/>
                <w:sz w:val="20"/>
                <w:szCs w:val="20"/>
              </w:rPr>
              <w:t>33,024,236.11</w:t>
            </w:r>
          </w:p>
        </w:tc>
        <w:tc>
          <w:tcPr>
            <w:tcW w:w="3020" w:type="dxa"/>
            <w:vAlign w:val="center"/>
          </w:tcPr>
          <w:p w14:paraId="03483816">
            <w:pPr>
              <w:autoSpaceDE w:val="0"/>
              <w:autoSpaceDN w:val="0"/>
              <w:adjustRightInd w:val="0"/>
              <w:snapToGrid w:val="0"/>
              <w:spacing w:line="240" w:lineRule="atLeast"/>
              <w:ind w:right="180"/>
              <w:jc w:val="right"/>
              <w:rPr>
                <w:rFonts w:ascii="Calibri" w:hAnsi="Calibri"/>
                <w:sz w:val="20"/>
                <w:szCs w:val="20"/>
              </w:rPr>
            </w:pPr>
            <w:r>
              <w:rPr>
                <w:rFonts w:ascii="Calibri" w:hAnsi="Calibri"/>
                <w:sz w:val="20"/>
                <w:szCs w:val="20"/>
              </w:rPr>
              <w:t>414,247,463.22</w:t>
            </w:r>
          </w:p>
        </w:tc>
      </w:tr>
      <w:tr w14:paraId="3D64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868" w:type="dxa"/>
            <w:vAlign w:val="center"/>
          </w:tcPr>
          <w:p w14:paraId="1439CA4D">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未终止确认的票据贴现</w:t>
            </w:r>
          </w:p>
        </w:tc>
        <w:tc>
          <w:tcPr>
            <w:tcW w:w="3002" w:type="dxa"/>
            <w:vAlign w:val="center"/>
          </w:tcPr>
          <w:p w14:paraId="145420E6">
            <w:pPr>
              <w:autoSpaceDE w:val="0"/>
              <w:autoSpaceDN w:val="0"/>
              <w:adjustRightInd w:val="0"/>
              <w:snapToGrid w:val="0"/>
              <w:spacing w:line="240" w:lineRule="atLeast"/>
              <w:ind w:right="180"/>
              <w:jc w:val="right"/>
              <w:rPr>
                <w:rFonts w:ascii="Calibri" w:hAnsi="Calibri"/>
                <w:sz w:val="20"/>
                <w:szCs w:val="20"/>
              </w:rPr>
            </w:pPr>
          </w:p>
        </w:tc>
        <w:tc>
          <w:tcPr>
            <w:tcW w:w="3020" w:type="dxa"/>
            <w:vAlign w:val="center"/>
          </w:tcPr>
          <w:p w14:paraId="6A972D3D">
            <w:pPr>
              <w:autoSpaceDE w:val="0"/>
              <w:autoSpaceDN w:val="0"/>
              <w:adjustRightInd w:val="0"/>
              <w:snapToGrid w:val="0"/>
              <w:spacing w:line="240" w:lineRule="atLeast"/>
              <w:ind w:right="180"/>
              <w:jc w:val="right"/>
              <w:rPr>
                <w:rFonts w:ascii="Calibri" w:hAnsi="Calibri"/>
                <w:sz w:val="20"/>
                <w:szCs w:val="20"/>
              </w:rPr>
            </w:pPr>
            <w:r>
              <w:rPr>
                <w:rFonts w:ascii="Calibri" w:hAnsi="Calibri"/>
                <w:sz w:val="20"/>
                <w:szCs w:val="20"/>
              </w:rPr>
              <w:t>2,511,528.00</w:t>
            </w:r>
          </w:p>
        </w:tc>
      </w:tr>
      <w:tr w14:paraId="62F3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868" w:type="dxa"/>
            <w:vAlign w:val="center"/>
          </w:tcPr>
          <w:p w14:paraId="2C6FD43D">
            <w:pPr>
              <w:autoSpaceDE w:val="0"/>
              <w:autoSpaceDN w:val="0"/>
              <w:adjustRightInd w:val="0"/>
              <w:snapToGrid w:val="0"/>
              <w:spacing w:line="240" w:lineRule="atLeast"/>
              <w:jc w:val="cente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合计</w:t>
            </w:r>
          </w:p>
        </w:tc>
        <w:tc>
          <w:tcPr>
            <w:tcW w:w="3002" w:type="dxa"/>
            <w:vAlign w:val="center"/>
          </w:tcPr>
          <w:p w14:paraId="181BD041">
            <w:pPr>
              <w:autoSpaceDE w:val="0"/>
              <w:autoSpaceDN w:val="0"/>
              <w:adjustRightInd w:val="0"/>
              <w:snapToGrid w:val="0"/>
              <w:spacing w:line="240" w:lineRule="atLeast"/>
              <w:ind w:right="180"/>
              <w:jc w:val="right"/>
              <w:rPr>
                <w:rFonts w:ascii="Calibri" w:hAnsi="Calibri"/>
                <w:sz w:val="20"/>
                <w:szCs w:val="20"/>
              </w:rPr>
            </w:pPr>
            <w:r>
              <w:rPr>
                <w:rFonts w:ascii="Calibri" w:hAnsi="Calibri"/>
                <w:sz w:val="20"/>
                <w:szCs w:val="20"/>
              </w:rPr>
              <w:t>33,024,236.11</w:t>
            </w:r>
          </w:p>
        </w:tc>
        <w:tc>
          <w:tcPr>
            <w:tcW w:w="3020" w:type="dxa"/>
            <w:vAlign w:val="center"/>
          </w:tcPr>
          <w:p w14:paraId="3EF07442">
            <w:pPr>
              <w:autoSpaceDE w:val="0"/>
              <w:autoSpaceDN w:val="0"/>
              <w:adjustRightInd w:val="0"/>
              <w:snapToGrid w:val="0"/>
              <w:spacing w:line="240" w:lineRule="atLeast"/>
              <w:ind w:right="180"/>
              <w:jc w:val="right"/>
              <w:rPr>
                <w:rFonts w:ascii="Calibri" w:hAnsi="Calibri"/>
                <w:sz w:val="20"/>
                <w:szCs w:val="20"/>
              </w:rPr>
            </w:pPr>
            <w:r>
              <w:rPr>
                <w:rFonts w:ascii="Calibri" w:hAnsi="Calibri"/>
                <w:sz w:val="20"/>
                <w:szCs w:val="20"/>
              </w:rPr>
              <w:t>416,758,991.22</w:t>
            </w:r>
          </w:p>
        </w:tc>
      </w:tr>
    </w:tbl>
    <w:p w14:paraId="43E951F3">
      <w:pPr>
        <w:snapToGrid w:val="0"/>
        <w:spacing w:line="240" w:lineRule="atLeast"/>
      </w:pPr>
    </w:p>
    <w:p w14:paraId="73B7B076">
      <w:pPr>
        <w:snapToGrid w:val="0"/>
        <w:spacing w:line="240" w:lineRule="atLeast"/>
        <w:rPr>
          <w:color w:val="000000" w:themeColor="text1"/>
          <w14:textFill>
            <w14:solidFill>
              <w14:schemeClr w14:val="tx1"/>
            </w14:solidFill>
          </w14:textFill>
        </w:rPr>
      </w:pPr>
    </w:p>
    <w:p w14:paraId="33BFE6AA">
      <w:pPr>
        <w:pStyle w:val="5"/>
        <w:numPr>
          <w:ilvl w:val="0"/>
          <w:numId w:val="86"/>
        </w:numPr>
        <w:ind w:left="426" w:hanging="426"/>
      </w:pPr>
      <w:r>
        <w:rPr>
          <w:rFonts w:hint="eastAsia"/>
        </w:rPr>
        <w:t>已逾期未偿还的短期借款情况</w:t>
      </w:r>
    </w:p>
    <w:sdt>
      <w:sdtPr>
        <w:alias w:val="是否适用：已逾期未偿还的短期借款情况[双击切换]"/>
        <w:tag w:val="_GBC_b92057263cbf4b81a96df7b9d664c576"/>
        <w:id w:val="-1368216302"/>
        <w:placeholder>
          <w:docPart w:val="GBC22222222222222222222222222222"/>
        </w:placeholder>
      </w:sdtPr>
      <w:sdtContent>
        <w:p w14:paraId="1CBDCD0E">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9E04A03">
      <w:pPr>
        <w:pStyle w:val="48"/>
      </w:pPr>
    </w:p>
    <w:p w14:paraId="11C923CF">
      <w:pPr>
        <w:pStyle w:val="48"/>
      </w:pPr>
      <w:r>
        <w:t>其中重要的已逾期未偿还的短期借款情况如下：</w:t>
      </w:r>
    </w:p>
    <w:sdt>
      <w:sdtPr>
        <w:alias w:val="是否适用：其中重要的已逾期未偿还的短期借款情况[双击切换]"/>
        <w:tag w:val="_GBC_7c9437a678604c0382802a3e97f4d126"/>
        <w:id w:val="1392854579"/>
        <w:placeholder>
          <w:docPart w:val="GBC22222222222222222222222222222"/>
        </w:placeholder>
      </w:sdtPr>
      <w:sdtContent>
        <w:p w14:paraId="276D7ABA">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6EFC63D">
      <w:pPr>
        <w:pStyle w:val="48"/>
      </w:pPr>
    </w:p>
    <w:p w14:paraId="3316EC1C">
      <w:pPr>
        <w:pStyle w:val="48"/>
      </w:pPr>
      <w:r>
        <w:rPr>
          <w:rFonts w:hint="eastAsia"/>
        </w:rPr>
        <w:t>其他说明：</w:t>
      </w:r>
    </w:p>
    <w:sdt>
      <w:sdtPr>
        <w:alias w:val="是否适用：短期借款的说明[双击切换]"/>
        <w:tag w:val="_GBC_c52256f82238457bbb4708bc99652730"/>
        <w:id w:val="1839960587"/>
        <w:placeholder>
          <w:docPart w:val="GBC22222222222222222222222222222"/>
        </w:placeholder>
      </w:sdtPr>
      <w:sdtContent>
        <w:p w14:paraId="69A7A6D6">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42AEEF7">
      <w:pPr>
        <w:pStyle w:val="48"/>
      </w:pPr>
    </w:p>
    <w:p w14:paraId="36DF7B4F">
      <w:pPr>
        <w:pStyle w:val="4"/>
        <w:numPr>
          <w:ilvl w:val="0"/>
          <w:numId w:val="61"/>
        </w:numPr>
        <w:rPr>
          <w:szCs w:val="21"/>
        </w:rPr>
      </w:pPr>
      <w:bookmarkStart w:id="326" w:name="_Hlk533422954"/>
      <w:bookmarkStart w:id="327" w:name="_Hlk533670147"/>
      <w:r>
        <w:rPr>
          <w:szCs w:val="21"/>
        </w:rPr>
        <w:t>交易性金融负债</w:t>
      </w:r>
    </w:p>
    <w:sdt>
      <w:sdtPr>
        <w:alias w:val="是否适用：交易性金融负债[双击切换]"/>
        <w:tag w:val="_GBC_c7e98597070f45a4a30160e35e818445"/>
        <w:id w:val="1664975736"/>
        <w:placeholder>
          <w:docPart w:val="GBC22222222222222222222222222222"/>
        </w:placeholder>
      </w:sdtPr>
      <w:sdtContent>
        <w:p w14:paraId="5DC5870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88C10A">
      <w:pPr>
        <w:pStyle w:val="48"/>
      </w:pPr>
    </w:p>
    <w:p w14:paraId="4D698A71">
      <w:pPr>
        <w:pStyle w:val="48"/>
      </w:pPr>
      <w:r>
        <w:rPr>
          <w:rFonts w:hint="eastAsia"/>
        </w:rPr>
        <w:t>其他</w:t>
      </w:r>
      <w:r>
        <w:t>说明</w:t>
      </w:r>
      <w:r>
        <w:rPr>
          <w:rFonts w:hint="eastAsia"/>
        </w:rPr>
        <w:t>：</w:t>
      </w:r>
    </w:p>
    <w:sdt>
      <w:sdtPr>
        <w:alias w:val="是否适用：交易性金融负债的说明[双击切换]"/>
        <w:tag w:val="_GBC_995f4c24d1994336b676a94c12f11d69"/>
        <w:id w:val="1917437165"/>
        <w:placeholder>
          <w:docPart w:val="GBC22222222222222222222222222222"/>
        </w:placeholder>
      </w:sdtPr>
      <w:sdtContent>
        <w:p w14:paraId="302D188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ECFD126">
      <w:pPr>
        <w:pStyle w:val="48"/>
      </w:pPr>
    </w:p>
    <w:bookmarkEnd w:id="326"/>
    <w:bookmarkEnd w:id="327"/>
    <w:p w14:paraId="2F28C1E5">
      <w:pPr>
        <w:pStyle w:val="4"/>
        <w:numPr>
          <w:ilvl w:val="0"/>
          <w:numId w:val="61"/>
        </w:numPr>
        <w:rPr>
          <w:szCs w:val="21"/>
        </w:rPr>
      </w:pPr>
      <w:r>
        <w:rPr>
          <w:szCs w:val="21"/>
        </w:rPr>
        <w:t>衍生金融负债</w:t>
      </w:r>
    </w:p>
    <w:p w14:paraId="4160E913">
      <w:pPr>
        <w:pStyle w:val="48"/>
      </w:pPr>
      <w:sdt>
        <w:sdtPr>
          <w:alias w:val="是否适用：衍生金融负债[双击切换]"/>
          <w:tag w:val="_GBC_9a70de9cca174edeb1bce62f4a47d15c"/>
          <w:id w:val="594978272"/>
          <w:placeholder>
            <w:docPart w:val="GBC22222222222222222222222222222"/>
          </w:placeholder>
        </w:sdt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43CCE31D">
      <w:pPr>
        <w:pStyle w:val="48"/>
      </w:pPr>
    </w:p>
    <w:p w14:paraId="31FF75EE">
      <w:pPr>
        <w:pStyle w:val="48"/>
      </w:pPr>
    </w:p>
    <w:p w14:paraId="5407E4A8">
      <w:pPr>
        <w:pStyle w:val="4"/>
        <w:numPr>
          <w:ilvl w:val="0"/>
          <w:numId w:val="61"/>
        </w:numPr>
        <w:rPr>
          <w:szCs w:val="21"/>
        </w:rPr>
      </w:pPr>
      <w:r>
        <w:rPr>
          <w:szCs w:val="21"/>
        </w:rPr>
        <w:t>应付票据</w:t>
      </w:r>
    </w:p>
    <w:p w14:paraId="709FAED4">
      <w:pPr>
        <w:pStyle w:val="5"/>
        <w:numPr>
          <w:ilvl w:val="0"/>
          <w:numId w:val="87"/>
        </w:numPr>
        <w:ind w:left="426" w:hanging="426"/>
      </w:pPr>
      <w:r>
        <w:rPr>
          <w:rFonts w:hint="eastAsia"/>
        </w:rPr>
        <w:t>应付票据列示</w:t>
      </w:r>
    </w:p>
    <w:sdt>
      <w:sdtPr>
        <w:alias w:val="是否适用：应付票据[双击切换]"/>
        <w:tag w:val="_GBC_c0116f9cd6f34dcfa483a1f112dac85a"/>
        <w:id w:val="-1101718767"/>
        <w:lock w:val="contentLocked"/>
        <w:placeholder>
          <w:docPart w:val="GBC22222222222222222222222222222"/>
        </w:placeholder>
      </w:sdtPr>
      <w:sdtContent>
        <w:p w14:paraId="6C58CFF3">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1F3BCA0">
      <w:pPr>
        <w:jc w:val="right"/>
      </w:pPr>
      <w:bookmarkStart w:id="328" w:name="_Hlk24103817"/>
      <w:r>
        <w:rPr>
          <w:rFonts w:hint="eastAsia"/>
        </w:rPr>
        <w:t>单位：</w:t>
      </w:r>
      <w:sdt>
        <w:sdtPr>
          <w:rPr>
            <w:rFonts w:hint="eastAsia"/>
          </w:rPr>
          <w:alias w:val="单位：财务附注：应付票据"/>
          <w:tag w:val="_GBC_15d55f1cad24473fb8cfaa98468213e2"/>
          <w:id w:val="-1727141974"/>
          <w:placeholder>
            <w:docPart w:val="B1B2B6072F4F41DC953E80EE8930E184"/>
          </w:placeholder>
          <w:dataBinding w:prefixMappings="xmlns:clcid-ci-ar='clcid-ci-ar'" w:xpath="/*/clcid-ci-ar:DanWeiCaiWuFuZhuYingFuPiaoJ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980848089"/>
          <w:placeholder>
            <w:docPart w:val="B1B2B6072F4F41DC953E80EE8930E184"/>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3396"/>
        <w:gridCol w:w="3301"/>
      </w:tblGrid>
      <w:tr w14:paraId="2A78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73e624e5fe424f71bbf918594e2a1c9a"/>
            <w:id w:val="-1543441642"/>
          </w:sdtPr>
          <w:sdtContent>
            <w:tc>
              <w:tcPr>
                <w:tcW w:w="2350" w:type="dxa"/>
                <w:vAlign w:val="center"/>
              </w:tcPr>
              <w:p w14:paraId="3DFE7440">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种类</w:t>
                </w:r>
              </w:p>
            </w:tc>
          </w:sdtContent>
        </w:sdt>
        <w:sdt>
          <w:sdtPr>
            <w:tag w:val="_PLD_cca40679bdc548d8af0315d52fd2660e"/>
            <w:id w:val="-204176948"/>
          </w:sdtPr>
          <w:sdtContent>
            <w:tc>
              <w:tcPr>
                <w:tcW w:w="3396" w:type="dxa"/>
                <w:vAlign w:val="center"/>
              </w:tcPr>
              <w:p w14:paraId="730AA298">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期末余额</w:t>
                </w:r>
              </w:p>
            </w:tc>
          </w:sdtContent>
        </w:sdt>
        <w:sdt>
          <w:sdtPr>
            <w:tag w:val="_PLD_6429209ce46840dba67a32ae31e71913"/>
            <w:id w:val="-1058557213"/>
          </w:sdtPr>
          <w:sdtContent>
            <w:tc>
              <w:tcPr>
                <w:tcW w:w="3301" w:type="dxa"/>
                <w:vAlign w:val="center"/>
              </w:tcPr>
              <w:p w14:paraId="77E963A0">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期初余额</w:t>
                </w:r>
              </w:p>
            </w:tc>
          </w:sdtContent>
        </w:sdt>
      </w:tr>
      <w:tr w14:paraId="468A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50" w:type="dxa"/>
            <w:vAlign w:val="center"/>
          </w:tcPr>
          <w:p w14:paraId="521FE321">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商业承兑汇票</w:t>
            </w:r>
          </w:p>
        </w:tc>
        <w:tc>
          <w:tcPr>
            <w:tcW w:w="3396" w:type="dxa"/>
            <w:vAlign w:val="center"/>
          </w:tcPr>
          <w:p w14:paraId="16B851EA">
            <w:pPr>
              <w:ind w:right="13"/>
              <w:jc w:val="right"/>
              <w:rPr>
                <w:rFonts w:ascii="Calibri" w:hAnsi="Calibri"/>
                <w:sz w:val="20"/>
                <w:szCs w:val="20"/>
              </w:rPr>
            </w:pPr>
          </w:p>
        </w:tc>
        <w:tc>
          <w:tcPr>
            <w:tcW w:w="3301" w:type="dxa"/>
            <w:vAlign w:val="center"/>
          </w:tcPr>
          <w:p w14:paraId="6F82785A">
            <w:pPr>
              <w:jc w:val="right"/>
              <w:rPr>
                <w:rFonts w:ascii="Calibri" w:hAnsi="Calibri"/>
                <w:sz w:val="20"/>
                <w:szCs w:val="20"/>
              </w:rPr>
            </w:pPr>
            <w:r>
              <w:rPr>
                <w:rFonts w:ascii="Calibri" w:hAnsi="Calibri"/>
                <w:sz w:val="20"/>
                <w:szCs w:val="20"/>
              </w:rPr>
              <w:t>10,000.00</w:t>
            </w:r>
          </w:p>
        </w:tc>
      </w:tr>
      <w:tr w14:paraId="69CD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50" w:type="dxa"/>
            <w:vAlign w:val="center"/>
          </w:tcPr>
          <w:p w14:paraId="6B73F28E">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银行承兑汇票</w:t>
            </w:r>
          </w:p>
        </w:tc>
        <w:tc>
          <w:tcPr>
            <w:tcW w:w="3396" w:type="dxa"/>
            <w:vAlign w:val="center"/>
          </w:tcPr>
          <w:p w14:paraId="211CEB92">
            <w:pPr>
              <w:ind w:right="13"/>
              <w:jc w:val="right"/>
              <w:rPr>
                <w:rFonts w:ascii="Calibri" w:hAnsi="Calibri"/>
                <w:sz w:val="20"/>
                <w:szCs w:val="20"/>
              </w:rPr>
            </w:pPr>
            <w:r>
              <w:rPr>
                <w:rFonts w:ascii="Calibri" w:hAnsi="Calibri"/>
                <w:sz w:val="20"/>
                <w:szCs w:val="20"/>
              </w:rPr>
              <w:t>8,657,093.67</w:t>
            </w:r>
          </w:p>
        </w:tc>
        <w:tc>
          <w:tcPr>
            <w:tcW w:w="3301" w:type="dxa"/>
            <w:vAlign w:val="center"/>
          </w:tcPr>
          <w:p w14:paraId="70167CF5">
            <w:pPr>
              <w:jc w:val="right"/>
              <w:rPr>
                <w:rFonts w:ascii="Calibri" w:hAnsi="Calibri"/>
                <w:sz w:val="20"/>
                <w:szCs w:val="20"/>
              </w:rPr>
            </w:pPr>
          </w:p>
        </w:tc>
      </w:tr>
      <w:tr w14:paraId="796E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50" w:type="dxa"/>
            <w:vAlign w:val="center"/>
          </w:tcPr>
          <w:p w14:paraId="457D5546">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合计</w:t>
            </w:r>
          </w:p>
        </w:tc>
        <w:tc>
          <w:tcPr>
            <w:tcW w:w="3396" w:type="dxa"/>
            <w:vAlign w:val="center"/>
          </w:tcPr>
          <w:p w14:paraId="48A16ACD">
            <w:pPr>
              <w:jc w:val="right"/>
              <w:rPr>
                <w:rFonts w:ascii="Calibri" w:hAnsi="Calibri"/>
                <w:sz w:val="20"/>
                <w:szCs w:val="20"/>
              </w:rPr>
            </w:pPr>
            <w:r>
              <w:rPr>
                <w:rFonts w:ascii="Calibri" w:hAnsi="Calibri"/>
                <w:sz w:val="20"/>
                <w:szCs w:val="20"/>
              </w:rPr>
              <w:t>8,657,093.67</w:t>
            </w:r>
          </w:p>
        </w:tc>
        <w:tc>
          <w:tcPr>
            <w:tcW w:w="3301" w:type="dxa"/>
            <w:vAlign w:val="center"/>
          </w:tcPr>
          <w:p w14:paraId="737F88C1">
            <w:pPr>
              <w:jc w:val="right"/>
              <w:rPr>
                <w:rFonts w:ascii="Calibri" w:hAnsi="Calibri"/>
                <w:sz w:val="20"/>
                <w:szCs w:val="20"/>
              </w:rPr>
            </w:pPr>
            <w:r>
              <w:rPr>
                <w:rFonts w:ascii="Calibri" w:hAnsi="Calibri"/>
                <w:sz w:val="20"/>
                <w:szCs w:val="20"/>
              </w:rPr>
              <w:t>10,000.00</w:t>
            </w:r>
          </w:p>
        </w:tc>
      </w:tr>
      <w:bookmarkEnd w:id="328"/>
    </w:tbl>
    <w:p w14:paraId="448C2CC8">
      <w:pPr>
        <w:pStyle w:val="48"/>
      </w:pPr>
    </w:p>
    <w:p w14:paraId="5F380B9D">
      <w:pPr>
        <w:pStyle w:val="4"/>
        <w:numPr>
          <w:ilvl w:val="0"/>
          <w:numId w:val="61"/>
        </w:numPr>
        <w:rPr>
          <w:szCs w:val="21"/>
        </w:rPr>
      </w:pPr>
      <w:r>
        <w:rPr>
          <w:szCs w:val="21"/>
        </w:rPr>
        <w:t>应付账款</w:t>
      </w:r>
    </w:p>
    <w:p w14:paraId="63C60000">
      <w:pPr>
        <w:pStyle w:val="5"/>
        <w:numPr>
          <w:ilvl w:val="0"/>
          <w:numId w:val="88"/>
        </w:numPr>
        <w:ind w:left="426" w:hanging="426"/>
      </w:pPr>
      <w:r>
        <w:rPr>
          <w:rFonts w:hint="eastAsia"/>
        </w:rPr>
        <w:t>应付账款列示</w:t>
      </w:r>
    </w:p>
    <w:sdt>
      <w:sdtPr>
        <w:alias w:val="是否适用：应付账款列示[双击切换]"/>
        <w:tag w:val="_GBC_dfb190a9e762454c9f89eb6be64b6eae"/>
        <w:id w:val="1997142992"/>
        <w:placeholder>
          <w:docPart w:val="GBC22222222222222222222222222222"/>
        </w:placeholder>
      </w:sdtPr>
      <w:sdtContent>
        <w:p w14:paraId="5E12F5F8">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444FBFA">
      <w:pPr>
        <w:jc w:val="right"/>
      </w:pPr>
      <w:r>
        <w:rPr>
          <w:rFonts w:hint="eastAsia"/>
        </w:rPr>
        <w:t>单位：</w:t>
      </w:r>
      <w:sdt>
        <w:sdtPr>
          <w:rPr>
            <w:rFonts w:hint="eastAsia"/>
          </w:rPr>
          <w:alias w:val="单位：财务附注：应付账款情况"/>
          <w:tag w:val="_GBC_c14fe17937b74139aa7e100941fb21e9"/>
          <w:id w:val="-9500112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账款情况"/>
          <w:tag w:val="_GBC_946604b552a44d368399e078594b3226"/>
          <w:id w:val="-15273286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1"/>
        <w:gridCol w:w="2866"/>
        <w:gridCol w:w="3340"/>
      </w:tblGrid>
      <w:tr w14:paraId="1A09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270d78e97cf4a1cb18154c5c5dafe58"/>
            <w:id w:val="-35047677"/>
          </w:sdtPr>
          <w:sdtContent>
            <w:tc>
              <w:tcPr>
                <w:tcW w:w="2841" w:type="dxa"/>
                <w:vAlign w:val="center"/>
              </w:tcPr>
              <w:p w14:paraId="00C070E8">
                <w:pPr>
                  <w:jc w:val="center"/>
                  <w:rPr>
                    <w:rFonts w:ascii="Calibri" w:hAnsi="Calibri"/>
                    <w:sz w:val="20"/>
                    <w:szCs w:val="20"/>
                  </w:rPr>
                </w:pPr>
                <w:r>
                  <w:rPr>
                    <w:rFonts w:hint="eastAsia" w:ascii="Calibri" w:hAnsi="Calibri"/>
                    <w:sz w:val="20"/>
                    <w:szCs w:val="20"/>
                  </w:rPr>
                  <w:t>项目</w:t>
                </w:r>
              </w:p>
            </w:tc>
          </w:sdtContent>
        </w:sdt>
        <w:sdt>
          <w:sdtPr>
            <w:tag w:val="_PLD_56127cd5754c44aaacae0a1320139a7a"/>
            <w:id w:val="-1370299537"/>
          </w:sdtPr>
          <w:sdtContent>
            <w:tc>
              <w:tcPr>
                <w:tcW w:w="2866" w:type="dxa"/>
                <w:vAlign w:val="center"/>
              </w:tcPr>
              <w:p w14:paraId="1ACD50A7">
                <w:pPr>
                  <w:jc w:val="center"/>
                  <w:rPr>
                    <w:rFonts w:ascii="Calibri" w:hAnsi="Calibri"/>
                    <w:sz w:val="20"/>
                    <w:szCs w:val="20"/>
                  </w:rPr>
                </w:pPr>
                <w:r>
                  <w:rPr>
                    <w:rFonts w:hint="eastAsia" w:ascii="Calibri" w:hAnsi="Calibri"/>
                    <w:sz w:val="20"/>
                    <w:szCs w:val="20"/>
                  </w:rPr>
                  <w:t>期末余额</w:t>
                </w:r>
              </w:p>
            </w:tc>
          </w:sdtContent>
        </w:sdt>
        <w:sdt>
          <w:sdtPr>
            <w:tag w:val="_PLD_27c6d2ca479446539fe00ab23ee1dc13"/>
            <w:id w:val="-1887176393"/>
          </w:sdtPr>
          <w:sdtContent>
            <w:tc>
              <w:tcPr>
                <w:tcW w:w="3340" w:type="dxa"/>
                <w:vAlign w:val="center"/>
              </w:tcPr>
              <w:p w14:paraId="5DBF282B">
                <w:pPr>
                  <w:jc w:val="center"/>
                  <w:rPr>
                    <w:rFonts w:ascii="Calibri" w:hAnsi="Calibri"/>
                    <w:sz w:val="20"/>
                    <w:szCs w:val="20"/>
                  </w:rPr>
                </w:pPr>
                <w:r>
                  <w:rPr>
                    <w:rFonts w:hint="eastAsia" w:ascii="Calibri" w:hAnsi="Calibri"/>
                    <w:sz w:val="20"/>
                    <w:szCs w:val="20"/>
                  </w:rPr>
                  <w:t>期初余额</w:t>
                </w:r>
              </w:p>
            </w:tc>
          </w:sdtContent>
        </w:sdt>
      </w:tr>
      <w:tr w14:paraId="3946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1" w:type="dxa"/>
            <w:vAlign w:val="center"/>
          </w:tcPr>
          <w:p w14:paraId="19270F82">
            <w:pPr>
              <w:pStyle w:val="48"/>
              <w:rPr>
                <w:sz w:val="20"/>
                <w:szCs w:val="20"/>
              </w:rPr>
            </w:pPr>
            <w:r>
              <w:rPr>
                <w:sz w:val="20"/>
                <w:szCs w:val="20"/>
              </w:rPr>
              <w:t>1年以内（含1年）</w:t>
            </w:r>
          </w:p>
        </w:tc>
        <w:tc>
          <w:tcPr>
            <w:tcW w:w="2866" w:type="dxa"/>
            <w:vAlign w:val="center"/>
          </w:tcPr>
          <w:p w14:paraId="5C878694">
            <w:pPr>
              <w:jc w:val="right"/>
              <w:rPr>
                <w:rFonts w:ascii="Calibri" w:hAnsi="Calibri"/>
                <w:sz w:val="20"/>
                <w:szCs w:val="20"/>
              </w:rPr>
            </w:pPr>
            <w:r>
              <w:rPr>
                <w:rFonts w:ascii="Calibri" w:hAnsi="Calibri"/>
                <w:sz w:val="20"/>
                <w:szCs w:val="20"/>
              </w:rPr>
              <w:t>57,601,400.44</w:t>
            </w:r>
          </w:p>
        </w:tc>
        <w:tc>
          <w:tcPr>
            <w:tcW w:w="3340" w:type="dxa"/>
            <w:vAlign w:val="center"/>
          </w:tcPr>
          <w:p w14:paraId="4551A0CB">
            <w:pPr>
              <w:jc w:val="right"/>
              <w:rPr>
                <w:rFonts w:ascii="Calibri" w:hAnsi="Calibri"/>
                <w:sz w:val="20"/>
                <w:szCs w:val="20"/>
              </w:rPr>
            </w:pPr>
            <w:r>
              <w:rPr>
                <w:rFonts w:ascii="Calibri" w:hAnsi="Calibri"/>
                <w:sz w:val="20"/>
                <w:szCs w:val="20"/>
              </w:rPr>
              <w:t>84,678,696.70</w:t>
            </w:r>
          </w:p>
        </w:tc>
      </w:tr>
      <w:tr w14:paraId="32CA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1" w:type="dxa"/>
            <w:vAlign w:val="center"/>
          </w:tcPr>
          <w:p w14:paraId="128B8FB1">
            <w:pPr>
              <w:pStyle w:val="48"/>
              <w:rPr>
                <w:sz w:val="20"/>
                <w:szCs w:val="20"/>
              </w:rPr>
            </w:pPr>
            <w:r>
              <w:rPr>
                <w:sz w:val="20"/>
                <w:szCs w:val="20"/>
              </w:rPr>
              <w:t>1年以上</w:t>
            </w:r>
          </w:p>
        </w:tc>
        <w:tc>
          <w:tcPr>
            <w:tcW w:w="2866" w:type="dxa"/>
            <w:vAlign w:val="center"/>
          </w:tcPr>
          <w:p w14:paraId="16E5F21A">
            <w:pPr>
              <w:jc w:val="right"/>
              <w:rPr>
                <w:rFonts w:ascii="Calibri" w:hAnsi="Calibri"/>
                <w:sz w:val="20"/>
                <w:szCs w:val="20"/>
              </w:rPr>
            </w:pPr>
            <w:r>
              <w:rPr>
                <w:rFonts w:ascii="Calibri" w:hAnsi="Calibri"/>
                <w:sz w:val="20"/>
                <w:szCs w:val="20"/>
              </w:rPr>
              <w:t>24,844,428.19</w:t>
            </w:r>
          </w:p>
        </w:tc>
        <w:tc>
          <w:tcPr>
            <w:tcW w:w="3340" w:type="dxa"/>
            <w:vAlign w:val="center"/>
          </w:tcPr>
          <w:p w14:paraId="5080A58E">
            <w:pPr>
              <w:jc w:val="right"/>
              <w:rPr>
                <w:rFonts w:ascii="Calibri" w:hAnsi="Calibri"/>
                <w:sz w:val="20"/>
                <w:szCs w:val="20"/>
              </w:rPr>
            </w:pPr>
            <w:r>
              <w:rPr>
                <w:rFonts w:ascii="Calibri" w:hAnsi="Calibri"/>
                <w:sz w:val="20"/>
                <w:szCs w:val="20"/>
              </w:rPr>
              <w:t>12,020,681.44</w:t>
            </w:r>
          </w:p>
        </w:tc>
      </w:tr>
      <w:tr w14:paraId="4D8E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1" w:type="dxa"/>
            <w:vAlign w:val="center"/>
          </w:tcPr>
          <w:p w14:paraId="6BD31AAA">
            <w:pPr>
              <w:jc w:val="cente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合计</w:t>
            </w:r>
          </w:p>
        </w:tc>
        <w:tc>
          <w:tcPr>
            <w:tcW w:w="2866" w:type="dxa"/>
            <w:vAlign w:val="center"/>
          </w:tcPr>
          <w:p w14:paraId="426CF578">
            <w:pPr>
              <w:jc w:val="right"/>
              <w:rPr>
                <w:rFonts w:ascii="Calibri" w:hAnsi="Calibri"/>
                <w:sz w:val="20"/>
                <w:szCs w:val="20"/>
              </w:rPr>
            </w:pPr>
            <w:r>
              <w:rPr>
                <w:rFonts w:ascii="Calibri" w:hAnsi="Calibri"/>
                <w:sz w:val="20"/>
                <w:szCs w:val="20"/>
              </w:rPr>
              <w:t>82,445,828.63</w:t>
            </w:r>
          </w:p>
        </w:tc>
        <w:tc>
          <w:tcPr>
            <w:tcW w:w="3340" w:type="dxa"/>
            <w:vAlign w:val="center"/>
          </w:tcPr>
          <w:p w14:paraId="45D7E807">
            <w:pPr>
              <w:jc w:val="right"/>
              <w:rPr>
                <w:rFonts w:ascii="Calibri" w:hAnsi="Calibri"/>
                <w:sz w:val="20"/>
                <w:szCs w:val="20"/>
              </w:rPr>
            </w:pPr>
            <w:r>
              <w:rPr>
                <w:rFonts w:ascii="Calibri" w:hAnsi="Calibri"/>
                <w:sz w:val="20"/>
                <w:szCs w:val="20"/>
              </w:rPr>
              <w:t>96,699,378.14</w:t>
            </w:r>
          </w:p>
        </w:tc>
      </w:tr>
    </w:tbl>
    <w:p w14:paraId="55C59475"/>
    <w:p w14:paraId="02A1713A">
      <w:pPr>
        <w:pStyle w:val="5"/>
        <w:numPr>
          <w:ilvl w:val="0"/>
          <w:numId w:val="88"/>
        </w:numPr>
        <w:ind w:left="426" w:hanging="426"/>
      </w:pPr>
      <w:r>
        <w:rPr>
          <w:rFonts w:hint="eastAsia"/>
        </w:rPr>
        <w:t>账龄超过1年或逾期的重要应付账款</w:t>
      </w:r>
    </w:p>
    <w:sdt>
      <w:sdtPr>
        <w:alias w:val="是否适用：账龄超过1年的重要应付账款[双击切换]"/>
        <w:tag w:val="_GBC_0eff470980a54dc3a4ea5996ab7721ce"/>
        <w:id w:val="-311251788"/>
        <w:placeholder>
          <w:docPart w:val="GBC22222222222222222222222222222"/>
        </w:placeholder>
      </w:sdtPr>
      <w:sdtContent>
        <w:p w14:paraId="143BF3C4">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B35D512">
      <w:pPr>
        <w:pStyle w:val="48"/>
      </w:pPr>
    </w:p>
    <w:p w14:paraId="76BF8828">
      <w:pPr>
        <w:pStyle w:val="48"/>
      </w:pPr>
      <w:r>
        <w:rPr>
          <w:rFonts w:hint="eastAsia"/>
        </w:rPr>
        <w:t>其他说明：</w:t>
      </w:r>
    </w:p>
    <w:sdt>
      <w:sdtPr>
        <w:alias w:val="是否适用：应付账款的其他说明[双击切换]"/>
        <w:tag w:val="_GBC_5dc0587a83084b71961a20293aaa95fb"/>
        <w:id w:val="108241920"/>
        <w:placeholder>
          <w:docPart w:val="GBC22222222222222222222222222222"/>
        </w:placeholder>
      </w:sdtPr>
      <w:sdtContent>
        <w:p w14:paraId="4C046798">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8BACC6">
      <w:pPr>
        <w:snapToGrid w:val="0"/>
        <w:spacing w:line="240" w:lineRule="atLeast"/>
      </w:pPr>
    </w:p>
    <w:p w14:paraId="12C7F528">
      <w:pPr>
        <w:pStyle w:val="4"/>
        <w:numPr>
          <w:ilvl w:val="0"/>
          <w:numId w:val="61"/>
        </w:numPr>
        <w:rPr>
          <w:szCs w:val="21"/>
        </w:rPr>
      </w:pPr>
      <w:r>
        <w:rPr>
          <w:szCs w:val="21"/>
        </w:rPr>
        <w:t>预收款项</w:t>
      </w:r>
    </w:p>
    <w:p w14:paraId="419F9D0A">
      <w:pPr>
        <w:pStyle w:val="5"/>
        <w:numPr>
          <w:ilvl w:val="0"/>
          <w:numId w:val="89"/>
        </w:numPr>
      </w:pPr>
      <w:r>
        <w:rPr>
          <w:rFonts w:hint="eastAsia"/>
        </w:rPr>
        <w:t>预收款项列示</w:t>
      </w:r>
    </w:p>
    <w:sdt>
      <w:sdtPr>
        <w:alias w:val="是否适用：预收账款项列示[双击切换]"/>
        <w:tag w:val="_GBC_87fabe8d5b22400ca19233d7f82c54fc"/>
        <w:id w:val="870494692"/>
        <w:placeholder>
          <w:docPart w:val="GBC22222222222222222222222222222"/>
        </w:placeholder>
      </w:sdtPr>
      <w:sdtContent>
        <w:p w14:paraId="5DECA4FD">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549F9DD">
      <w:pPr>
        <w:jc w:val="right"/>
      </w:pPr>
      <w:r>
        <w:rPr>
          <w:rFonts w:hint="eastAsia"/>
        </w:rPr>
        <w:t>单位：</w:t>
      </w:r>
      <w:sdt>
        <w:sdtPr>
          <w:rPr>
            <w:rFonts w:hint="eastAsia"/>
          </w:rPr>
          <w:alias w:val="单位：财务附注：预收账款情况"/>
          <w:tag w:val="_GBC_4fab9f590de5470ea6904b137451f241"/>
          <w:id w:val="-6889094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预收账款情况"/>
          <w:tag w:val="_GBC_b59ed32203e141d0aee0063632b10524"/>
          <w:id w:val="-10514530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7"/>
        <w:gridCol w:w="3078"/>
        <w:gridCol w:w="3073"/>
      </w:tblGrid>
      <w:tr w14:paraId="7950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5178a0aff824e07b02041ccbb504bd9"/>
            <w:id w:val="345454715"/>
          </w:sdtPr>
          <w:sdtContent>
            <w:tc>
              <w:tcPr>
                <w:tcW w:w="2897" w:type="dxa"/>
                <w:vAlign w:val="center"/>
              </w:tcPr>
              <w:p w14:paraId="1E956D15">
                <w:pPr>
                  <w:jc w:val="center"/>
                  <w:rPr>
                    <w:rFonts w:ascii="Calibri" w:hAnsi="Calibri"/>
                    <w:sz w:val="20"/>
                    <w:szCs w:val="20"/>
                  </w:rPr>
                </w:pPr>
                <w:r>
                  <w:rPr>
                    <w:rFonts w:hint="eastAsia" w:ascii="Calibri" w:hAnsi="Calibri"/>
                    <w:sz w:val="20"/>
                    <w:szCs w:val="20"/>
                  </w:rPr>
                  <w:t>项目</w:t>
                </w:r>
              </w:p>
            </w:tc>
          </w:sdtContent>
        </w:sdt>
        <w:sdt>
          <w:sdtPr>
            <w:tag w:val="_PLD_4365dc5a9b404da5ab51b4fe0a65574b"/>
            <w:id w:val="531922747"/>
          </w:sdtPr>
          <w:sdtContent>
            <w:tc>
              <w:tcPr>
                <w:tcW w:w="3078" w:type="dxa"/>
                <w:vAlign w:val="center"/>
              </w:tcPr>
              <w:p w14:paraId="56A06298">
                <w:pPr>
                  <w:jc w:val="center"/>
                  <w:rPr>
                    <w:rFonts w:ascii="Calibri" w:hAnsi="Calibri"/>
                    <w:sz w:val="20"/>
                    <w:szCs w:val="20"/>
                  </w:rPr>
                </w:pPr>
                <w:r>
                  <w:rPr>
                    <w:rFonts w:hint="eastAsia" w:ascii="Calibri" w:hAnsi="Calibri"/>
                    <w:sz w:val="20"/>
                    <w:szCs w:val="20"/>
                  </w:rPr>
                  <w:t>期末余额</w:t>
                </w:r>
              </w:p>
            </w:tc>
          </w:sdtContent>
        </w:sdt>
        <w:sdt>
          <w:sdtPr>
            <w:tag w:val="_PLD_319db0af23654ebca500fecfff199482"/>
            <w:id w:val="1445202828"/>
          </w:sdtPr>
          <w:sdtContent>
            <w:tc>
              <w:tcPr>
                <w:tcW w:w="3073" w:type="dxa"/>
                <w:vAlign w:val="center"/>
              </w:tcPr>
              <w:p w14:paraId="6ABE8F4A">
                <w:pPr>
                  <w:jc w:val="center"/>
                  <w:rPr>
                    <w:rFonts w:ascii="Calibri" w:hAnsi="Calibri"/>
                    <w:sz w:val="20"/>
                    <w:szCs w:val="20"/>
                  </w:rPr>
                </w:pPr>
                <w:r>
                  <w:rPr>
                    <w:rFonts w:hint="eastAsia" w:ascii="Calibri" w:hAnsi="Calibri"/>
                    <w:sz w:val="20"/>
                    <w:szCs w:val="20"/>
                  </w:rPr>
                  <w:t>期初余额</w:t>
                </w:r>
              </w:p>
            </w:tc>
          </w:sdtContent>
        </w:sdt>
      </w:tr>
      <w:tr w14:paraId="60E7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vAlign w:val="center"/>
          </w:tcPr>
          <w:p w14:paraId="00C49FE9">
            <w:pPr>
              <w:pStyle w:val="48"/>
              <w:rPr>
                <w:sz w:val="20"/>
                <w:szCs w:val="20"/>
              </w:rPr>
            </w:pPr>
            <w:r>
              <w:rPr>
                <w:rFonts w:hint="eastAsia"/>
                <w:sz w:val="20"/>
                <w:szCs w:val="20"/>
              </w:rPr>
              <w:t>1年以内（含1年）</w:t>
            </w:r>
          </w:p>
        </w:tc>
        <w:tc>
          <w:tcPr>
            <w:tcW w:w="3078" w:type="dxa"/>
            <w:vAlign w:val="center"/>
          </w:tcPr>
          <w:p w14:paraId="66ED4A1F">
            <w:pPr>
              <w:jc w:val="right"/>
              <w:rPr>
                <w:rFonts w:ascii="Calibri" w:hAnsi="Calibri"/>
                <w:sz w:val="20"/>
                <w:szCs w:val="20"/>
              </w:rPr>
            </w:pPr>
            <w:r>
              <w:rPr>
                <w:rFonts w:ascii="Calibri" w:hAnsi="Calibri"/>
                <w:sz w:val="20"/>
                <w:szCs w:val="20"/>
              </w:rPr>
              <w:t>1,591,036.77</w:t>
            </w:r>
          </w:p>
        </w:tc>
        <w:tc>
          <w:tcPr>
            <w:tcW w:w="3073" w:type="dxa"/>
            <w:vAlign w:val="center"/>
          </w:tcPr>
          <w:p w14:paraId="2A662197">
            <w:pPr>
              <w:jc w:val="right"/>
              <w:rPr>
                <w:rFonts w:ascii="Calibri" w:hAnsi="Calibri"/>
                <w:sz w:val="20"/>
                <w:szCs w:val="20"/>
              </w:rPr>
            </w:pPr>
            <w:r>
              <w:rPr>
                <w:rFonts w:ascii="Calibri" w:hAnsi="Calibri"/>
                <w:sz w:val="20"/>
                <w:szCs w:val="20"/>
              </w:rPr>
              <w:t>1,712,014.13</w:t>
            </w:r>
          </w:p>
        </w:tc>
      </w:tr>
      <w:tr w14:paraId="2721A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vAlign w:val="center"/>
          </w:tcPr>
          <w:p w14:paraId="11AF5677">
            <w:pPr>
              <w:jc w:val="cente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合计</w:t>
            </w:r>
          </w:p>
        </w:tc>
        <w:tc>
          <w:tcPr>
            <w:tcW w:w="3078" w:type="dxa"/>
            <w:vAlign w:val="center"/>
          </w:tcPr>
          <w:p w14:paraId="1864F133">
            <w:pPr>
              <w:jc w:val="right"/>
              <w:rPr>
                <w:rFonts w:ascii="Calibri" w:hAnsi="Calibri"/>
                <w:sz w:val="20"/>
                <w:szCs w:val="20"/>
              </w:rPr>
            </w:pPr>
            <w:r>
              <w:rPr>
                <w:rFonts w:ascii="Calibri" w:hAnsi="Calibri"/>
                <w:sz w:val="20"/>
                <w:szCs w:val="20"/>
              </w:rPr>
              <w:t>1,591,036.77</w:t>
            </w:r>
          </w:p>
        </w:tc>
        <w:tc>
          <w:tcPr>
            <w:tcW w:w="3073" w:type="dxa"/>
            <w:vAlign w:val="center"/>
          </w:tcPr>
          <w:p w14:paraId="075D5DAB">
            <w:pPr>
              <w:jc w:val="right"/>
              <w:rPr>
                <w:rFonts w:ascii="Calibri" w:hAnsi="Calibri"/>
                <w:sz w:val="20"/>
                <w:szCs w:val="20"/>
              </w:rPr>
            </w:pPr>
            <w:r>
              <w:rPr>
                <w:rFonts w:ascii="Calibri" w:hAnsi="Calibri"/>
                <w:sz w:val="20"/>
                <w:szCs w:val="20"/>
              </w:rPr>
              <w:t>1,712,014.13</w:t>
            </w:r>
          </w:p>
        </w:tc>
      </w:tr>
    </w:tbl>
    <w:p w14:paraId="4CBB28B7">
      <w:pPr>
        <w:pStyle w:val="48"/>
      </w:pPr>
    </w:p>
    <w:p w14:paraId="30A85501">
      <w:pPr>
        <w:pStyle w:val="5"/>
        <w:numPr>
          <w:ilvl w:val="0"/>
          <w:numId w:val="89"/>
        </w:numPr>
      </w:pPr>
      <w:r>
        <w:rPr>
          <w:rFonts w:hint="eastAsia"/>
        </w:rPr>
        <w:t>账龄超过1年的重要预收款项</w:t>
      </w:r>
    </w:p>
    <w:sdt>
      <w:sdtPr>
        <w:alias w:val="是否适用：账龄超过1年的重要预收款项[双击切换]"/>
        <w:tag w:val="_GBC_79146ea4ecd2426b824d2bcf21203a69"/>
        <w:id w:val="999538308"/>
        <w:placeholder>
          <w:docPart w:val="GBC22222222222222222222222222222"/>
        </w:placeholder>
      </w:sdtPr>
      <w:sdtContent>
        <w:p w14:paraId="47BACC25">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928DB0E">
      <w:pPr>
        <w:pStyle w:val="48"/>
        <w:rPr>
          <w:rFonts w:cstheme="minorBidi"/>
        </w:rPr>
      </w:pPr>
    </w:p>
    <w:p w14:paraId="448D5757">
      <w:pPr>
        <w:pStyle w:val="5"/>
        <w:numPr>
          <w:ilvl w:val="0"/>
          <w:numId w:val="89"/>
        </w:numPr>
      </w:pPr>
      <w:r>
        <w:rPr>
          <w:rFonts w:hint="eastAsia"/>
        </w:rPr>
        <w:t>报告期内账面价值发生重大变动的金额和原因</w:t>
      </w:r>
    </w:p>
    <w:sdt>
      <w:sdtPr>
        <w:alias w:val="是否适用：预收款项账面价值发生重大变动的金额和原因?[双击切换]"/>
        <w:tag w:val="_GBC_080f20e9d1b64963a38dcdee1ed191a2"/>
        <w:id w:val="-1099552893"/>
        <w:placeholder>
          <w:docPart w:val="GBC22222222222222222222222222222"/>
        </w:placeholder>
      </w:sdtPr>
      <w:sdtContent>
        <w:p w14:paraId="67E6808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6455626">
      <w:pPr>
        <w:pStyle w:val="48"/>
      </w:pPr>
    </w:p>
    <w:p w14:paraId="1561F994">
      <w:pPr>
        <w:pStyle w:val="48"/>
      </w:pPr>
      <w:r>
        <w:rPr>
          <w:rFonts w:hint="eastAsia"/>
        </w:rPr>
        <w:t>其他说明：</w:t>
      </w:r>
    </w:p>
    <w:sdt>
      <w:sdtPr>
        <w:alias w:val="是否适用：预收账款的其他说明[双击切换]"/>
        <w:tag w:val="_GBC_c0e961ba454e4e2cb91293bde731349d"/>
        <w:id w:val="1067539747"/>
        <w:placeholder>
          <w:docPart w:val="GBC22222222222222222222222222222"/>
        </w:placeholder>
      </w:sdtPr>
      <w:sdtContent>
        <w:p w14:paraId="0133EC15">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0E52AC1">
      <w:pPr>
        <w:rPr>
          <w:rFonts w:cstheme="minorBidi"/>
          <w:color w:val="000000" w:themeColor="text1"/>
          <w:kern w:val="2"/>
          <w14:textFill>
            <w14:solidFill>
              <w14:schemeClr w14:val="tx1"/>
            </w14:solidFill>
          </w14:textFill>
        </w:rPr>
      </w:pPr>
    </w:p>
    <w:p w14:paraId="01C51DBA">
      <w:pPr>
        <w:pStyle w:val="4"/>
        <w:numPr>
          <w:ilvl w:val="0"/>
          <w:numId w:val="61"/>
        </w:numPr>
        <w:rPr>
          <w:szCs w:val="21"/>
        </w:rPr>
      </w:pPr>
      <w:r>
        <w:rPr>
          <w:szCs w:val="21"/>
        </w:rPr>
        <w:t>合同负债</w:t>
      </w:r>
    </w:p>
    <w:p w14:paraId="08483E04">
      <w:pPr>
        <w:pStyle w:val="5"/>
        <w:numPr>
          <w:ilvl w:val="0"/>
          <w:numId w:val="90"/>
        </w:numPr>
      </w:pPr>
      <w:r>
        <w:rPr>
          <w:rFonts w:hint="eastAsia"/>
        </w:rPr>
        <w:t>合同负债情况</w:t>
      </w:r>
    </w:p>
    <w:sdt>
      <w:sdtPr>
        <w:alias w:val="是否适用：合同负债情况[双击切换]"/>
        <w:tag w:val="_GBC_257112066c884c67acfede3a1536844a"/>
        <w:id w:val="807199769"/>
        <w:placeholder>
          <w:docPart w:val="GBC22222222222222222222222222222"/>
        </w:placeholder>
      </w:sdtPr>
      <w:sdtContent>
        <w:p w14:paraId="44A7A90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55F3ED7">
      <w:pPr>
        <w:ind w:left="360"/>
        <w:jc w:val="right"/>
      </w:pPr>
      <w:r>
        <w:rPr>
          <w:rFonts w:hint="eastAsia"/>
        </w:rPr>
        <w:t>单位：</w:t>
      </w:r>
      <w:sdt>
        <w:sdtPr>
          <w:rPr>
            <w:rFonts w:hint="eastAsia"/>
          </w:rPr>
          <w:alias w:val="单位：合同负债情况"/>
          <w:tag w:val="_GBC_ea58ca5e76b74f328a4691ca7c6cc941"/>
          <w:id w:val="-2770171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15400043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7"/>
        <w:gridCol w:w="3078"/>
        <w:gridCol w:w="3073"/>
      </w:tblGrid>
      <w:tr w14:paraId="3B7F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331ae60cae44b02b2a16eccd02434b1"/>
            <w:id w:val="1470859785"/>
          </w:sdtPr>
          <w:sdtContent>
            <w:tc>
              <w:tcPr>
                <w:tcW w:w="2897" w:type="dxa"/>
                <w:vAlign w:val="center"/>
              </w:tcPr>
              <w:p w14:paraId="74FD1267">
                <w:pPr>
                  <w:jc w:val="center"/>
                  <w:rPr>
                    <w:rFonts w:ascii="Calibri" w:hAnsi="Calibri"/>
                    <w:sz w:val="20"/>
                    <w:szCs w:val="20"/>
                  </w:rPr>
                </w:pPr>
                <w:r>
                  <w:rPr>
                    <w:rFonts w:hint="eastAsia" w:ascii="Calibri" w:hAnsi="Calibri"/>
                    <w:sz w:val="20"/>
                    <w:szCs w:val="20"/>
                  </w:rPr>
                  <w:t>项目</w:t>
                </w:r>
              </w:p>
            </w:tc>
          </w:sdtContent>
        </w:sdt>
        <w:sdt>
          <w:sdtPr>
            <w:tag w:val="_PLD_1619b2dd861a497cbc814256ed0e2957"/>
            <w:id w:val="-349870166"/>
          </w:sdtPr>
          <w:sdtContent>
            <w:tc>
              <w:tcPr>
                <w:tcW w:w="3078" w:type="dxa"/>
                <w:vAlign w:val="center"/>
              </w:tcPr>
              <w:p w14:paraId="37E157B7">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期末余额</w:t>
                </w:r>
              </w:p>
            </w:tc>
          </w:sdtContent>
        </w:sdt>
        <w:sdt>
          <w:sdtPr>
            <w:tag w:val="_PLD_6341013bed194ee78619c433ebd01fda"/>
            <w:id w:val="807973115"/>
          </w:sdtPr>
          <w:sdtContent>
            <w:tc>
              <w:tcPr>
                <w:tcW w:w="3073" w:type="dxa"/>
                <w:vAlign w:val="center"/>
              </w:tcPr>
              <w:p w14:paraId="6CD7B61B">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期初余额</w:t>
                </w:r>
              </w:p>
            </w:tc>
          </w:sdtContent>
        </w:sdt>
      </w:tr>
      <w:tr w14:paraId="3367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vAlign w:val="center"/>
          </w:tcPr>
          <w:p w14:paraId="5855509D">
            <w:pPr>
              <w:pStyle w:val="48"/>
              <w:rPr>
                <w:sz w:val="20"/>
                <w:szCs w:val="20"/>
              </w:rPr>
            </w:pPr>
            <w:r>
              <w:rPr>
                <w:rFonts w:hint="eastAsia"/>
                <w:sz w:val="20"/>
                <w:szCs w:val="20"/>
              </w:rPr>
              <w:t>与转让商品相关的款项</w:t>
            </w:r>
          </w:p>
        </w:tc>
        <w:tc>
          <w:tcPr>
            <w:tcW w:w="3078" w:type="dxa"/>
            <w:vAlign w:val="center"/>
          </w:tcPr>
          <w:p w14:paraId="3D99059E">
            <w:pPr>
              <w:jc w:val="right"/>
              <w:rPr>
                <w:rFonts w:ascii="Calibri" w:hAnsi="Calibri"/>
                <w:sz w:val="20"/>
                <w:szCs w:val="20"/>
              </w:rPr>
            </w:pPr>
            <w:r>
              <w:rPr>
                <w:rFonts w:ascii="Calibri" w:hAnsi="Calibri"/>
                <w:sz w:val="20"/>
                <w:szCs w:val="20"/>
              </w:rPr>
              <w:t>7,133,699.66</w:t>
            </w:r>
          </w:p>
        </w:tc>
        <w:tc>
          <w:tcPr>
            <w:tcW w:w="3073" w:type="dxa"/>
            <w:vAlign w:val="center"/>
          </w:tcPr>
          <w:p w14:paraId="5DB947E7">
            <w:pPr>
              <w:jc w:val="right"/>
              <w:rPr>
                <w:rFonts w:ascii="Calibri" w:hAnsi="Calibri"/>
                <w:sz w:val="20"/>
                <w:szCs w:val="20"/>
              </w:rPr>
            </w:pPr>
            <w:r>
              <w:rPr>
                <w:rFonts w:ascii="Calibri" w:hAnsi="Calibri"/>
                <w:sz w:val="20"/>
                <w:szCs w:val="20"/>
              </w:rPr>
              <w:t>14,359,574.01</w:t>
            </w:r>
          </w:p>
        </w:tc>
      </w:tr>
      <w:tr w14:paraId="40E4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vAlign w:val="center"/>
          </w:tcPr>
          <w:p w14:paraId="6C70BE5D">
            <w:pPr>
              <w:jc w:val="center"/>
              <w:rPr>
                <w:rFonts w:ascii="Calibri" w:hAnsi="Calibri"/>
                <w:color w:val="000000"/>
                <w:sz w:val="20"/>
                <w:szCs w:val="20"/>
              </w:rPr>
            </w:pPr>
            <w:r>
              <w:rPr>
                <w:rFonts w:hint="eastAsia" w:ascii="Calibri" w:hAnsi="Calibri"/>
                <w:color w:val="000000"/>
                <w:sz w:val="20"/>
                <w:szCs w:val="20"/>
              </w:rPr>
              <w:t>合计</w:t>
            </w:r>
          </w:p>
        </w:tc>
        <w:tc>
          <w:tcPr>
            <w:tcW w:w="3078" w:type="dxa"/>
            <w:vAlign w:val="center"/>
          </w:tcPr>
          <w:p w14:paraId="71C27C9D">
            <w:pPr>
              <w:jc w:val="right"/>
              <w:rPr>
                <w:rFonts w:ascii="Calibri" w:hAnsi="Calibri"/>
                <w:sz w:val="20"/>
                <w:szCs w:val="20"/>
              </w:rPr>
            </w:pPr>
            <w:r>
              <w:rPr>
                <w:rFonts w:ascii="Calibri" w:hAnsi="Calibri"/>
                <w:sz w:val="20"/>
                <w:szCs w:val="20"/>
              </w:rPr>
              <w:t>7,133,699.66</w:t>
            </w:r>
          </w:p>
        </w:tc>
        <w:tc>
          <w:tcPr>
            <w:tcW w:w="3073" w:type="dxa"/>
            <w:vAlign w:val="center"/>
          </w:tcPr>
          <w:p w14:paraId="7E84C2CA">
            <w:pPr>
              <w:jc w:val="right"/>
              <w:rPr>
                <w:rFonts w:ascii="Calibri" w:hAnsi="Calibri"/>
                <w:sz w:val="20"/>
                <w:szCs w:val="20"/>
              </w:rPr>
            </w:pPr>
            <w:r>
              <w:rPr>
                <w:rFonts w:ascii="Calibri" w:hAnsi="Calibri"/>
                <w:sz w:val="20"/>
                <w:szCs w:val="20"/>
              </w:rPr>
              <w:t>14,359,574.01</w:t>
            </w:r>
          </w:p>
        </w:tc>
      </w:tr>
    </w:tbl>
    <w:p w14:paraId="62358F60">
      <w:pPr>
        <w:pStyle w:val="48"/>
      </w:pPr>
    </w:p>
    <w:p w14:paraId="2F147D1D">
      <w:pPr>
        <w:pStyle w:val="5"/>
        <w:numPr>
          <w:ilvl w:val="0"/>
          <w:numId w:val="90"/>
        </w:numPr>
      </w:pPr>
      <w:r>
        <w:rPr>
          <w:rFonts w:hint="eastAsia"/>
        </w:rPr>
        <w:t>账龄超过1年的重要合同负债</w:t>
      </w:r>
    </w:p>
    <w:sdt>
      <w:sdtPr>
        <w:alias w:val="是否适用：账龄超过1年的重要合同负债明细[双击切换]"/>
        <w:tag w:val="_GBC_743f27908aba47b4a5755e98b31475ae"/>
        <w:id w:val="-25253808"/>
        <w:placeholder>
          <w:docPart w:val="GBC22222222222222222222222222222"/>
        </w:placeholder>
      </w:sdtPr>
      <w:sdtContent>
        <w:p w14:paraId="3DD172B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5EB303B">
      <w:pPr>
        <w:pStyle w:val="48"/>
      </w:pPr>
    </w:p>
    <w:p w14:paraId="04A606F4">
      <w:pPr>
        <w:pStyle w:val="5"/>
        <w:numPr>
          <w:ilvl w:val="0"/>
          <w:numId w:val="90"/>
        </w:numPr>
      </w:pPr>
      <w:r>
        <w:rPr>
          <w:rFonts w:hint="eastAsia"/>
        </w:rPr>
        <w:t>报告期内账面价值发生重大变动的金额和原因</w:t>
      </w:r>
    </w:p>
    <w:sdt>
      <w:sdtPr>
        <w:alias w:val="是否适用：合同负债账面价值发生重大变动[双击切换]"/>
        <w:tag w:val="_GBC_267fd365085f4836b846799edc8c3765"/>
        <w:id w:val="129984395"/>
        <w:placeholder>
          <w:docPart w:val="GBC22222222222222222222222222222"/>
        </w:placeholder>
      </w:sdtPr>
      <w:sdtContent>
        <w:p w14:paraId="2FCCD07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24CA98A">
      <w:pPr>
        <w:pStyle w:val="48"/>
      </w:pPr>
    </w:p>
    <w:p w14:paraId="0900658C">
      <w:pPr>
        <w:pStyle w:val="48"/>
      </w:pPr>
      <w:r>
        <w:rPr>
          <w:rFonts w:hint="eastAsia"/>
        </w:rPr>
        <w:t>其他说明：</w:t>
      </w:r>
    </w:p>
    <w:sdt>
      <w:sdtPr>
        <w:alias w:val="是否适用：合同负债其他说明[双击切换]"/>
        <w:tag w:val="_GBC_1c99003b181f47ebb73e6452f4bfa446"/>
        <w:id w:val="-480768792"/>
        <w:placeholder>
          <w:docPart w:val="GBC22222222222222222222222222222"/>
        </w:placeholder>
      </w:sdtPr>
      <w:sdtContent>
        <w:p w14:paraId="02CBCDA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同负债其他说明"/>
        <w:tag w:val="_GBC_24dedae851f44d938b800a45b0471f2e"/>
        <w:id w:val="1874497753"/>
        <w:placeholder>
          <w:docPart w:val="GBC22222222222222222222222222222"/>
        </w:placeholder>
      </w:sdtPr>
      <w:sdtContent>
        <w:p w14:paraId="50090404">
          <w:pPr>
            <w:pStyle w:val="48"/>
            <w:spacing w:line="360" w:lineRule="auto"/>
            <w:ind w:firstLine="420" w:firstLineChars="200"/>
          </w:pPr>
          <w:r>
            <w:rPr>
              <w:rFonts w:hint="eastAsia"/>
            </w:rPr>
            <w:t>合同负债下降主要系</w:t>
          </w:r>
          <w:r>
            <w:t>期末预收款项较期初减少所致</w:t>
          </w:r>
          <w:r>
            <w:rPr>
              <w:rFonts w:hint="eastAsia"/>
            </w:rPr>
            <w:t>。</w:t>
          </w:r>
        </w:p>
      </w:sdtContent>
    </w:sdt>
    <w:p w14:paraId="5D0BFA0B">
      <w:pPr>
        <w:pStyle w:val="48"/>
      </w:pPr>
    </w:p>
    <w:p w14:paraId="107E6532">
      <w:pPr>
        <w:pStyle w:val="4"/>
        <w:numPr>
          <w:ilvl w:val="0"/>
          <w:numId w:val="61"/>
        </w:numPr>
        <w:rPr>
          <w:szCs w:val="21"/>
        </w:rPr>
      </w:pPr>
      <w:r>
        <w:rPr>
          <w:szCs w:val="21"/>
        </w:rPr>
        <w:t>应付职工薪酬</w:t>
      </w:r>
    </w:p>
    <w:p w14:paraId="54B6CB86">
      <w:pPr>
        <w:pStyle w:val="5"/>
        <w:numPr>
          <w:ilvl w:val="0"/>
          <w:numId w:val="91"/>
        </w:numPr>
      </w:pPr>
      <w:r>
        <w:rPr>
          <w:rFonts w:hint="eastAsia"/>
        </w:rPr>
        <w:t>应付职工薪酬列示</w:t>
      </w:r>
    </w:p>
    <w:sdt>
      <w:sdtPr>
        <w:alias w:val="是否适用：应付职工薪酬列示[双击切换]"/>
        <w:tag w:val="_GBC_215b41e091df4b2bbb2009fd3c8040b5"/>
        <w:id w:val="608552582"/>
        <w:placeholder>
          <w:docPart w:val="GBC22222222222222222222222222222"/>
        </w:placeholder>
      </w:sdtPr>
      <w:sdtContent>
        <w:p w14:paraId="74F1D6C1">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9AA7B2">
      <w:pPr>
        <w:jc w:val="right"/>
      </w:pPr>
      <w:r>
        <w:rPr>
          <w:rFonts w:hint="eastAsia"/>
        </w:rPr>
        <w:t>单位：</w:t>
      </w:r>
      <w:sdt>
        <w:sdtPr>
          <w:rPr>
            <w:rFonts w:hint="eastAsia"/>
          </w:rPr>
          <w:alias w:val="单位：财务附注：应付职工薪酬"/>
          <w:tag w:val="_GBC_6889c0e435324d63b7c01ed595a8e140"/>
          <w:id w:val="20719988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8528502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610"/>
        <w:gridCol w:w="1607"/>
        <w:gridCol w:w="1610"/>
        <w:gridCol w:w="1619"/>
      </w:tblGrid>
      <w:tr w14:paraId="62D4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761dc2d96c64c3fb5d407cdbec097a2"/>
            <w:id w:val="-2107264226"/>
          </w:sdtPr>
          <w:sdtContent>
            <w:tc>
              <w:tcPr>
                <w:tcW w:w="2600" w:type="dxa"/>
                <w:vAlign w:val="center"/>
              </w:tcPr>
              <w:p w14:paraId="0478A7FE">
                <w:pPr>
                  <w:jc w:val="center"/>
                  <w:rPr>
                    <w:rFonts w:ascii="Calibri" w:hAnsi="Calibri"/>
                    <w:sz w:val="20"/>
                    <w:szCs w:val="20"/>
                  </w:rPr>
                </w:pPr>
                <w:r>
                  <w:rPr>
                    <w:rFonts w:hint="eastAsia" w:ascii="Calibri" w:hAnsi="Calibri"/>
                    <w:sz w:val="20"/>
                    <w:szCs w:val="20"/>
                  </w:rPr>
                  <w:t>项目</w:t>
                </w:r>
              </w:p>
            </w:tc>
          </w:sdtContent>
        </w:sdt>
        <w:sdt>
          <w:sdtPr>
            <w:tag w:val="_PLD_f666739d3c0f4f9891bd8f4974d101ec"/>
            <w:id w:val="-596947527"/>
          </w:sdtPr>
          <w:sdtContent>
            <w:tc>
              <w:tcPr>
                <w:tcW w:w="1610" w:type="dxa"/>
                <w:vAlign w:val="center"/>
              </w:tcPr>
              <w:p w14:paraId="22B52BC2">
                <w:pPr>
                  <w:jc w:val="center"/>
                  <w:rPr>
                    <w:rFonts w:ascii="Calibri" w:hAnsi="Calibri"/>
                    <w:sz w:val="20"/>
                    <w:szCs w:val="20"/>
                  </w:rPr>
                </w:pPr>
                <w:r>
                  <w:rPr>
                    <w:rFonts w:hint="eastAsia" w:ascii="Calibri" w:hAnsi="Calibri"/>
                    <w:sz w:val="20"/>
                    <w:szCs w:val="20"/>
                  </w:rPr>
                  <w:t>期初余额</w:t>
                </w:r>
              </w:p>
            </w:tc>
          </w:sdtContent>
        </w:sdt>
        <w:sdt>
          <w:sdtPr>
            <w:tag w:val="_PLD_cc701d3a5a44484d862c996437df1e7d"/>
            <w:id w:val="-2019527731"/>
          </w:sdtPr>
          <w:sdtContent>
            <w:tc>
              <w:tcPr>
                <w:tcW w:w="1607" w:type="dxa"/>
                <w:vAlign w:val="center"/>
              </w:tcPr>
              <w:p w14:paraId="0D7475D3">
                <w:pPr>
                  <w:jc w:val="center"/>
                  <w:rPr>
                    <w:rFonts w:ascii="Calibri" w:hAnsi="Calibri"/>
                    <w:sz w:val="20"/>
                    <w:szCs w:val="20"/>
                  </w:rPr>
                </w:pPr>
                <w:r>
                  <w:rPr>
                    <w:rFonts w:hint="eastAsia" w:ascii="Calibri" w:hAnsi="Calibri"/>
                    <w:sz w:val="20"/>
                    <w:szCs w:val="20"/>
                  </w:rPr>
                  <w:t>本期增加</w:t>
                </w:r>
              </w:p>
            </w:tc>
          </w:sdtContent>
        </w:sdt>
        <w:sdt>
          <w:sdtPr>
            <w:tag w:val="_PLD_0e8f833fca684ce592b0cba6d04c75ef"/>
            <w:id w:val="-491332260"/>
          </w:sdtPr>
          <w:sdtContent>
            <w:tc>
              <w:tcPr>
                <w:tcW w:w="1610" w:type="dxa"/>
                <w:vAlign w:val="center"/>
              </w:tcPr>
              <w:p w14:paraId="038ACEB5">
                <w:pPr>
                  <w:jc w:val="center"/>
                  <w:rPr>
                    <w:rFonts w:ascii="Calibri" w:hAnsi="Calibri"/>
                    <w:sz w:val="20"/>
                    <w:szCs w:val="20"/>
                  </w:rPr>
                </w:pPr>
                <w:r>
                  <w:rPr>
                    <w:rFonts w:hint="eastAsia" w:ascii="Calibri" w:hAnsi="Calibri"/>
                    <w:sz w:val="20"/>
                    <w:szCs w:val="20"/>
                  </w:rPr>
                  <w:t>本期减少</w:t>
                </w:r>
              </w:p>
            </w:tc>
          </w:sdtContent>
        </w:sdt>
        <w:sdt>
          <w:sdtPr>
            <w:tag w:val="_PLD_c39a265e94994f0480d13abd59d3eb39"/>
            <w:id w:val="-2016983711"/>
          </w:sdtPr>
          <w:sdtContent>
            <w:tc>
              <w:tcPr>
                <w:tcW w:w="1619" w:type="dxa"/>
                <w:vAlign w:val="center"/>
              </w:tcPr>
              <w:p w14:paraId="1DE78752">
                <w:pPr>
                  <w:jc w:val="center"/>
                  <w:rPr>
                    <w:rFonts w:ascii="Calibri" w:hAnsi="Calibri"/>
                    <w:sz w:val="20"/>
                    <w:szCs w:val="20"/>
                  </w:rPr>
                </w:pPr>
                <w:r>
                  <w:rPr>
                    <w:rFonts w:hint="eastAsia" w:ascii="Calibri" w:hAnsi="Calibri"/>
                    <w:sz w:val="20"/>
                    <w:szCs w:val="20"/>
                  </w:rPr>
                  <w:t>期末余额</w:t>
                </w:r>
              </w:p>
            </w:tc>
          </w:sdtContent>
        </w:sdt>
      </w:tr>
      <w:tr w14:paraId="0FAB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vAlign w:val="center"/>
          </w:tcPr>
          <w:p w14:paraId="1737F8B0">
            <w:pPr>
              <w:pStyle w:val="48"/>
              <w:rPr>
                <w:sz w:val="20"/>
                <w:szCs w:val="20"/>
              </w:rPr>
            </w:pPr>
            <w:r>
              <w:rPr>
                <w:rFonts w:hint="eastAsia"/>
                <w:sz w:val="20"/>
                <w:szCs w:val="20"/>
              </w:rPr>
              <w:t>一、短期薪酬</w:t>
            </w:r>
          </w:p>
        </w:tc>
        <w:tc>
          <w:tcPr>
            <w:tcW w:w="1610" w:type="dxa"/>
            <w:vAlign w:val="center"/>
          </w:tcPr>
          <w:p w14:paraId="349F2502">
            <w:pPr>
              <w:jc w:val="right"/>
              <w:rPr>
                <w:rFonts w:ascii="Calibri" w:hAnsi="Calibri"/>
                <w:sz w:val="20"/>
                <w:szCs w:val="20"/>
              </w:rPr>
            </w:pPr>
            <w:r>
              <w:rPr>
                <w:rFonts w:ascii="Calibri" w:hAnsi="Calibri"/>
                <w:sz w:val="20"/>
                <w:szCs w:val="20"/>
              </w:rPr>
              <w:t>2,478,654.56</w:t>
            </w:r>
          </w:p>
        </w:tc>
        <w:tc>
          <w:tcPr>
            <w:tcW w:w="1607" w:type="dxa"/>
            <w:vAlign w:val="center"/>
          </w:tcPr>
          <w:p w14:paraId="1DE4A625">
            <w:pPr>
              <w:jc w:val="right"/>
              <w:rPr>
                <w:rFonts w:ascii="Calibri" w:hAnsi="Calibri"/>
                <w:sz w:val="20"/>
                <w:szCs w:val="20"/>
                <w:highlight w:val="yellow"/>
              </w:rPr>
            </w:pPr>
            <w:r>
              <w:rPr>
                <w:rFonts w:ascii="Calibri" w:hAnsi="Calibri"/>
                <w:sz w:val="20"/>
                <w:szCs w:val="20"/>
              </w:rPr>
              <w:t>628,369,953.79</w:t>
            </w:r>
          </w:p>
        </w:tc>
        <w:tc>
          <w:tcPr>
            <w:tcW w:w="1610" w:type="dxa"/>
            <w:vAlign w:val="center"/>
          </w:tcPr>
          <w:p w14:paraId="283CADB1">
            <w:pPr>
              <w:jc w:val="right"/>
              <w:rPr>
                <w:rFonts w:ascii="Calibri" w:hAnsi="Calibri"/>
                <w:sz w:val="20"/>
                <w:szCs w:val="20"/>
                <w:highlight w:val="yellow"/>
              </w:rPr>
            </w:pPr>
            <w:r>
              <w:rPr>
                <w:rFonts w:ascii="Calibri" w:hAnsi="Calibri"/>
                <w:sz w:val="20"/>
                <w:szCs w:val="20"/>
              </w:rPr>
              <w:t>622,408,613.27</w:t>
            </w:r>
          </w:p>
        </w:tc>
        <w:tc>
          <w:tcPr>
            <w:tcW w:w="1619" w:type="dxa"/>
            <w:vAlign w:val="center"/>
          </w:tcPr>
          <w:p w14:paraId="0AF71F23">
            <w:pPr>
              <w:jc w:val="right"/>
              <w:rPr>
                <w:rFonts w:ascii="Calibri" w:hAnsi="Calibri"/>
                <w:sz w:val="20"/>
                <w:szCs w:val="20"/>
              </w:rPr>
            </w:pPr>
            <w:r>
              <w:rPr>
                <w:rFonts w:ascii="Calibri" w:hAnsi="Calibri"/>
                <w:sz w:val="20"/>
                <w:szCs w:val="20"/>
              </w:rPr>
              <w:t>8,439,995.08</w:t>
            </w:r>
          </w:p>
        </w:tc>
      </w:tr>
      <w:tr w14:paraId="28D6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vAlign w:val="center"/>
          </w:tcPr>
          <w:p w14:paraId="0385119D">
            <w:pPr>
              <w:pStyle w:val="48"/>
              <w:rPr>
                <w:sz w:val="20"/>
                <w:szCs w:val="20"/>
              </w:rPr>
            </w:pPr>
            <w:r>
              <w:rPr>
                <w:rFonts w:hint="eastAsia"/>
                <w:sz w:val="20"/>
                <w:szCs w:val="20"/>
              </w:rPr>
              <w:t>二、离职后福利-设定提存计划</w:t>
            </w:r>
          </w:p>
        </w:tc>
        <w:tc>
          <w:tcPr>
            <w:tcW w:w="1610" w:type="dxa"/>
            <w:vAlign w:val="center"/>
          </w:tcPr>
          <w:p w14:paraId="134BB397">
            <w:pPr>
              <w:jc w:val="right"/>
              <w:rPr>
                <w:rFonts w:ascii="Calibri" w:hAnsi="Calibri"/>
                <w:sz w:val="20"/>
                <w:szCs w:val="20"/>
              </w:rPr>
            </w:pPr>
            <w:r>
              <w:rPr>
                <w:rFonts w:ascii="Calibri" w:hAnsi="Calibri"/>
                <w:sz w:val="20"/>
                <w:szCs w:val="20"/>
              </w:rPr>
              <w:t>316,911.44</w:t>
            </w:r>
          </w:p>
        </w:tc>
        <w:tc>
          <w:tcPr>
            <w:tcW w:w="1607" w:type="dxa"/>
            <w:vAlign w:val="center"/>
          </w:tcPr>
          <w:p w14:paraId="64655C75">
            <w:pPr>
              <w:jc w:val="right"/>
              <w:rPr>
                <w:rFonts w:ascii="Calibri" w:hAnsi="Calibri"/>
                <w:sz w:val="20"/>
                <w:szCs w:val="20"/>
              </w:rPr>
            </w:pPr>
            <w:r>
              <w:rPr>
                <w:rFonts w:ascii="Calibri" w:hAnsi="Calibri"/>
                <w:sz w:val="20"/>
                <w:szCs w:val="20"/>
              </w:rPr>
              <w:t>49,356,565.05</w:t>
            </w:r>
          </w:p>
        </w:tc>
        <w:tc>
          <w:tcPr>
            <w:tcW w:w="1610" w:type="dxa"/>
            <w:vAlign w:val="center"/>
          </w:tcPr>
          <w:p w14:paraId="47FB342C">
            <w:pPr>
              <w:jc w:val="right"/>
              <w:rPr>
                <w:rFonts w:ascii="Calibri" w:hAnsi="Calibri"/>
                <w:sz w:val="20"/>
                <w:szCs w:val="20"/>
              </w:rPr>
            </w:pPr>
            <w:r>
              <w:rPr>
                <w:rFonts w:ascii="Calibri" w:hAnsi="Calibri"/>
                <w:sz w:val="20"/>
                <w:szCs w:val="20"/>
              </w:rPr>
              <w:t>49,205,747.43</w:t>
            </w:r>
          </w:p>
        </w:tc>
        <w:tc>
          <w:tcPr>
            <w:tcW w:w="1619" w:type="dxa"/>
            <w:vAlign w:val="center"/>
          </w:tcPr>
          <w:p w14:paraId="1364E12F">
            <w:pPr>
              <w:jc w:val="right"/>
              <w:rPr>
                <w:rFonts w:ascii="Calibri" w:hAnsi="Calibri"/>
                <w:sz w:val="20"/>
                <w:szCs w:val="20"/>
              </w:rPr>
            </w:pPr>
            <w:r>
              <w:rPr>
                <w:rFonts w:ascii="Calibri" w:hAnsi="Calibri"/>
                <w:sz w:val="20"/>
                <w:szCs w:val="20"/>
              </w:rPr>
              <w:t>467,729.06</w:t>
            </w:r>
          </w:p>
        </w:tc>
      </w:tr>
      <w:tr w14:paraId="39D5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vAlign w:val="center"/>
          </w:tcPr>
          <w:p w14:paraId="673D3895">
            <w:pPr>
              <w:pStyle w:val="48"/>
              <w:rPr>
                <w:sz w:val="20"/>
                <w:szCs w:val="20"/>
              </w:rPr>
            </w:pPr>
            <w:r>
              <w:rPr>
                <w:rFonts w:hint="eastAsia"/>
                <w:sz w:val="20"/>
                <w:szCs w:val="20"/>
              </w:rPr>
              <w:t>三、辞退福利</w:t>
            </w:r>
          </w:p>
        </w:tc>
        <w:tc>
          <w:tcPr>
            <w:tcW w:w="1610" w:type="dxa"/>
            <w:vAlign w:val="center"/>
          </w:tcPr>
          <w:p w14:paraId="1DD0F78A">
            <w:pPr>
              <w:jc w:val="right"/>
              <w:rPr>
                <w:rFonts w:ascii="Calibri" w:hAnsi="Calibri"/>
                <w:sz w:val="20"/>
                <w:szCs w:val="20"/>
              </w:rPr>
            </w:pPr>
          </w:p>
        </w:tc>
        <w:tc>
          <w:tcPr>
            <w:tcW w:w="1607" w:type="dxa"/>
            <w:vAlign w:val="center"/>
          </w:tcPr>
          <w:p w14:paraId="607761C9">
            <w:pPr>
              <w:jc w:val="right"/>
              <w:rPr>
                <w:rFonts w:ascii="Calibri" w:hAnsi="Calibri"/>
                <w:sz w:val="20"/>
                <w:szCs w:val="20"/>
              </w:rPr>
            </w:pPr>
            <w:r>
              <w:rPr>
                <w:rFonts w:ascii="Calibri" w:hAnsi="Calibri"/>
                <w:sz w:val="20"/>
                <w:szCs w:val="20"/>
              </w:rPr>
              <w:t>7,945,757.16</w:t>
            </w:r>
          </w:p>
        </w:tc>
        <w:tc>
          <w:tcPr>
            <w:tcW w:w="1610" w:type="dxa"/>
            <w:vAlign w:val="center"/>
          </w:tcPr>
          <w:p w14:paraId="514A1782">
            <w:pPr>
              <w:jc w:val="right"/>
              <w:rPr>
                <w:rFonts w:ascii="Calibri" w:hAnsi="Calibri"/>
                <w:sz w:val="20"/>
                <w:szCs w:val="20"/>
              </w:rPr>
            </w:pPr>
            <w:r>
              <w:rPr>
                <w:rFonts w:ascii="Calibri" w:hAnsi="Calibri"/>
                <w:sz w:val="20"/>
                <w:szCs w:val="20"/>
              </w:rPr>
              <w:t>7,945,757.16</w:t>
            </w:r>
          </w:p>
        </w:tc>
        <w:tc>
          <w:tcPr>
            <w:tcW w:w="1619" w:type="dxa"/>
            <w:vAlign w:val="center"/>
          </w:tcPr>
          <w:p w14:paraId="13567E5E">
            <w:pPr>
              <w:jc w:val="right"/>
              <w:rPr>
                <w:rFonts w:ascii="Calibri" w:hAnsi="Calibri"/>
                <w:sz w:val="20"/>
                <w:szCs w:val="20"/>
              </w:rPr>
            </w:pPr>
          </w:p>
        </w:tc>
      </w:tr>
      <w:tr w14:paraId="1A95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vAlign w:val="center"/>
          </w:tcPr>
          <w:p w14:paraId="066BBBD5">
            <w:pPr>
              <w:pStyle w:val="48"/>
              <w:rPr>
                <w:sz w:val="20"/>
                <w:szCs w:val="20"/>
              </w:rPr>
            </w:pPr>
            <w:r>
              <w:rPr>
                <w:rFonts w:hint="eastAsia"/>
                <w:sz w:val="20"/>
                <w:szCs w:val="20"/>
              </w:rPr>
              <w:t>四、一年内到期的其他福利</w:t>
            </w:r>
          </w:p>
        </w:tc>
        <w:tc>
          <w:tcPr>
            <w:tcW w:w="1610" w:type="dxa"/>
            <w:vAlign w:val="center"/>
          </w:tcPr>
          <w:p w14:paraId="6AA10FCA">
            <w:pPr>
              <w:jc w:val="right"/>
              <w:rPr>
                <w:rFonts w:ascii="Calibri" w:hAnsi="Calibri"/>
                <w:sz w:val="20"/>
                <w:szCs w:val="20"/>
              </w:rPr>
            </w:pPr>
          </w:p>
        </w:tc>
        <w:tc>
          <w:tcPr>
            <w:tcW w:w="1607" w:type="dxa"/>
            <w:vAlign w:val="center"/>
          </w:tcPr>
          <w:p w14:paraId="01C0CA1B">
            <w:pPr>
              <w:jc w:val="right"/>
              <w:rPr>
                <w:rFonts w:ascii="Calibri" w:hAnsi="Calibri"/>
                <w:sz w:val="20"/>
                <w:szCs w:val="20"/>
              </w:rPr>
            </w:pPr>
          </w:p>
        </w:tc>
        <w:tc>
          <w:tcPr>
            <w:tcW w:w="1610" w:type="dxa"/>
            <w:vAlign w:val="center"/>
          </w:tcPr>
          <w:p w14:paraId="333BDB01">
            <w:pPr>
              <w:jc w:val="right"/>
              <w:rPr>
                <w:rFonts w:ascii="Calibri" w:hAnsi="Calibri"/>
                <w:sz w:val="20"/>
                <w:szCs w:val="20"/>
              </w:rPr>
            </w:pPr>
          </w:p>
        </w:tc>
        <w:tc>
          <w:tcPr>
            <w:tcW w:w="1619" w:type="dxa"/>
            <w:vAlign w:val="center"/>
          </w:tcPr>
          <w:p w14:paraId="3D5B5E87">
            <w:pPr>
              <w:jc w:val="right"/>
              <w:rPr>
                <w:rFonts w:ascii="Calibri" w:hAnsi="Calibri"/>
                <w:sz w:val="20"/>
                <w:szCs w:val="20"/>
              </w:rPr>
            </w:pPr>
          </w:p>
        </w:tc>
      </w:tr>
      <w:tr w14:paraId="5001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vAlign w:val="center"/>
          </w:tcPr>
          <w:p w14:paraId="51214765">
            <w:pPr>
              <w:jc w:val="center"/>
              <w:rPr>
                <w:rFonts w:ascii="Calibri" w:hAnsi="Calibri"/>
                <w:sz w:val="20"/>
                <w:szCs w:val="20"/>
              </w:rPr>
            </w:pPr>
            <w:r>
              <w:rPr>
                <w:rFonts w:hint="eastAsia" w:ascii="Calibri" w:hAnsi="Calibri"/>
                <w:sz w:val="20"/>
                <w:szCs w:val="20"/>
              </w:rPr>
              <w:t>合计</w:t>
            </w:r>
          </w:p>
        </w:tc>
        <w:tc>
          <w:tcPr>
            <w:tcW w:w="1610" w:type="dxa"/>
            <w:vAlign w:val="center"/>
          </w:tcPr>
          <w:p w14:paraId="498B48FD">
            <w:pPr>
              <w:jc w:val="right"/>
              <w:rPr>
                <w:rFonts w:ascii="Calibri" w:hAnsi="Calibri"/>
                <w:sz w:val="20"/>
                <w:szCs w:val="20"/>
              </w:rPr>
            </w:pPr>
            <w:r>
              <w:rPr>
                <w:rFonts w:ascii="Calibri" w:hAnsi="Calibri"/>
                <w:sz w:val="20"/>
                <w:szCs w:val="20"/>
              </w:rPr>
              <w:t>2,795,566.00</w:t>
            </w:r>
          </w:p>
        </w:tc>
        <w:tc>
          <w:tcPr>
            <w:tcW w:w="1607" w:type="dxa"/>
            <w:vAlign w:val="center"/>
          </w:tcPr>
          <w:p w14:paraId="6FC46DCC">
            <w:pPr>
              <w:jc w:val="right"/>
              <w:rPr>
                <w:rFonts w:ascii="Calibri" w:hAnsi="Calibri"/>
                <w:sz w:val="20"/>
                <w:szCs w:val="20"/>
              </w:rPr>
            </w:pPr>
            <w:r>
              <w:rPr>
                <w:rFonts w:ascii="Calibri" w:hAnsi="Calibri"/>
                <w:sz w:val="20"/>
                <w:szCs w:val="20"/>
              </w:rPr>
              <w:t>685,672,276.00</w:t>
            </w:r>
          </w:p>
        </w:tc>
        <w:tc>
          <w:tcPr>
            <w:tcW w:w="1610" w:type="dxa"/>
            <w:vAlign w:val="center"/>
          </w:tcPr>
          <w:p w14:paraId="55FE4DEE">
            <w:pPr>
              <w:jc w:val="right"/>
              <w:rPr>
                <w:rFonts w:ascii="Calibri" w:hAnsi="Calibri"/>
                <w:sz w:val="20"/>
                <w:szCs w:val="20"/>
              </w:rPr>
            </w:pPr>
            <w:r>
              <w:rPr>
                <w:rFonts w:ascii="Calibri" w:hAnsi="Calibri"/>
                <w:sz w:val="20"/>
                <w:szCs w:val="20"/>
              </w:rPr>
              <w:t>679,560,117.86</w:t>
            </w:r>
          </w:p>
        </w:tc>
        <w:tc>
          <w:tcPr>
            <w:tcW w:w="1619" w:type="dxa"/>
            <w:vAlign w:val="center"/>
          </w:tcPr>
          <w:p w14:paraId="6BB31865">
            <w:pPr>
              <w:jc w:val="right"/>
              <w:rPr>
                <w:rFonts w:ascii="Calibri" w:hAnsi="Calibri"/>
                <w:sz w:val="20"/>
                <w:szCs w:val="20"/>
              </w:rPr>
            </w:pPr>
            <w:r>
              <w:rPr>
                <w:rFonts w:ascii="Calibri" w:hAnsi="Calibri"/>
                <w:sz w:val="20"/>
                <w:szCs w:val="20"/>
              </w:rPr>
              <w:t>8,907,724.14</w:t>
            </w:r>
          </w:p>
        </w:tc>
      </w:tr>
    </w:tbl>
    <w:p w14:paraId="6EAEBFA9">
      <w:pPr>
        <w:pStyle w:val="48"/>
      </w:pPr>
    </w:p>
    <w:p w14:paraId="6C250CE5">
      <w:pPr>
        <w:pStyle w:val="5"/>
        <w:numPr>
          <w:ilvl w:val="0"/>
          <w:numId w:val="91"/>
        </w:numPr>
      </w:pPr>
      <w:r>
        <w:rPr>
          <w:rFonts w:hint="eastAsia"/>
        </w:rPr>
        <w:t>短期薪酬列示</w:t>
      </w:r>
    </w:p>
    <w:sdt>
      <w:sdtPr>
        <w:alias w:val="是否适用：短期薪酬列示[双击切换]"/>
        <w:tag w:val="_GBC_531fef0ef27e47ad98c1bb26abdf204f"/>
        <w:id w:val="-197773867"/>
        <w:placeholder>
          <w:docPart w:val="GBC22222222222222222222222222222"/>
        </w:placeholder>
      </w:sdtPr>
      <w:sdtContent>
        <w:p w14:paraId="0BAC19E3">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EC3EB95">
      <w:pPr>
        <w:jc w:val="right"/>
      </w:pPr>
      <w:r>
        <w:rPr>
          <w:rFonts w:hint="eastAsia"/>
        </w:rPr>
        <w:t>单位：</w:t>
      </w:r>
      <w:sdt>
        <w:sdtPr>
          <w:rPr>
            <w:rFonts w:hint="eastAsia"/>
          </w:rPr>
          <w:alias w:val="单位：财务附注：短期薪酬"/>
          <w:tag w:val="_GBC_4710a4978b1b4a4bbcd5757aaf80b8d7"/>
          <w:id w:val="20359894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短期薪酬"/>
          <w:tag w:val="_GBC_aa08b58287754c0d8fad97e31bacb9e4"/>
          <w:id w:val="12517770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3"/>
        <w:gridCol w:w="1612"/>
        <w:gridCol w:w="1594"/>
        <w:gridCol w:w="1608"/>
        <w:gridCol w:w="1619"/>
      </w:tblGrid>
      <w:tr w14:paraId="2BE5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77153d49ca449b191bb833cd5f689b2"/>
            <w:id w:val="951518457"/>
          </w:sdtPr>
          <w:sdtContent>
            <w:tc>
              <w:tcPr>
                <w:tcW w:w="2613" w:type="dxa"/>
                <w:tcBorders>
                  <w:top w:val="single" w:color="auto" w:sz="4" w:space="0"/>
                  <w:left w:val="single" w:color="auto" w:sz="4" w:space="0"/>
                  <w:bottom w:val="single" w:color="auto" w:sz="4" w:space="0"/>
                  <w:right w:val="single" w:color="auto" w:sz="4" w:space="0"/>
                </w:tcBorders>
                <w:vAlign w:val="center"/>
              </w:tcPr>
              <w:p w14:paraId="143CEAE2">
                <w:pPr>
                  <w:autoSpaceDE w:val="0"/>
                  <w:autoSpaceDN w:val="0"/>
                  <w:adjustRightInd w:val="0"/>
                  <w:jc w:val="center"/>
                  <w:rPr>
                    <w:rFonts w:ascii="Calibri" w:hAnsi="Calibri"/>
                    <w:sz w:val="20"/>
                    <w:szCs w:val="20"/>
                  </w:rPr>
                </w:pPr>
                <w:r>
                  <w:rPr>
                    <w:rFonts w:hint="eastAsia" w:ascii="Calibri" w:hAnsi="Calibri"/>
                    <w:sz w:val="20"/>
                    <w:szCs w:val="20"/>
                  </w:rPr>
                  <w:t>项目</w:t>
                </w:r>
              </w:p>
            </w:tc>
          </w:sdtContent>
        </w:sdt>
        <w:sdt>
          <w:sdtPr>
            <w:tag w:val="_PLD_557c49ee2a4f40de99f948c76f4c3adc"/>
            <w:id w:val="531609787"/>
          </w:sdtPr>
          <w:sdtContent>
            <w:tc>
              <w:tcPr>
                <w:tcW w:w="1612" w:type="dxa"/>
                <w:tcBorders>
                  <w:top w:val="single" w:color="auto" w:sz="4" w:space="0"/>
                  <w:left w:val="single" w:color="auto" w:sz="4" w:space="0"/>
                  <w:bottom w:val="single" w:color="auto" w:sz="4" w:space="0"/>
                  <w:right w:val="single" w:color="auto" w:sz="4" w:space="0"/>
                </w:tcBorders>
                <w:vAlign w:val="center"/>
              </w:tcPr>
              <w:p w14:paraId="4703D74A">
                <w:pPr>
                  <w:autoSpaceDE w:val="0"/>
                  <w:autoSpaceDN w:val="0"/>
                  <w:adjustRightInd w:val="0"/>
                  <w:jc w:val="center"/>
                  <w:rPr>
                    <w:rFonts w:ascii="Calibri" w:hAnsi="Calibri"/>
                    <w:sz w:val="20"/>
                    <w:szCs w:val="20"/>
                  </w:rPr>
                </w:pPr>
                <w:r>
                  <w:rPr>
                    <w:rFonts w:hint="eastAsia" w:ascii="Calibri" w:hAnsi="Calibri"/>
                    <w:sz w:val="20"/>
                    <w:szCs w:val="20"/>
                  </w:rPr>
                  <w:t>期初余额</w:t>
                </w:r>
              </w:p>
            </w:tc>
          </w:sdtContent>
        </w:sdt>
        <w:sdt>
          <w:sdtPr>
            <w:tag w:val="_PLD_98d1ab48f8084264aff0ef3a30e8ba71"/>
            <w:id w:val="1040089496"/>
          </w:sdtPr>
          <w:sdtContent>
            <w:tc>
              <w:tcPr>
                <w:tcW w:w="1594" w:type="dxa"/>
                <w:tcBorders>
                  <w:top w:val="single" w:color="auto" w:sz="4" w:space="0"/>
                  <w:left w:val="single" w:color="auto" w:sz="4" w:space="0"/>
                  <w:bottom w:val="single" w:color="auto" w:sz="4" w:space="0"/>
                  <w:right w:val="single" w:color="auto" w:sz="4" w:space="0"/>
                </w:tcBorders>
                <w:vAlign w:val="center"/>
              </w:tcPr>
              <w:p w14:paraId="19E3B2FA">
                <w:pPr>
                  <w:jc w:val="center"/>
                  <w:rPr>
                    <w:rFonts w:ascii="Calibri" w:hAnsi="Calibri"/>
                    <w:sz w:val="20"/>
                    <w:szCs w:val="20"/>
                  </w:rPr>
                </w:pPr>
                <w:r>
                  <w:rPr>
                    <w:rFonts w:hint="eastAsia" w:ascii="Calibri" w:hAnsi="Calibri"/>
                    <w:sz w:val="20"/>
                    <w:szCs w:val="20"/>
                  </w:rPr>
                  <w:t>本期增加</w:t>
                </w:r>
              </w:p>
            </w:tc>
          </w:sdtContent>
        </w:sdt>
        <w:sdt>
          <w:sdtPr>
            <w:tag w:val="_PLD_e35c4f26db444503b2f9a32896872169"/>
            <w:id w:val="166130765"/>
          </w:sdtPr>
          <w:sdtContent>
            <w:tc>
              <w:tcPr>
                <w:tcW w:w="1608" w:type="dxa"/>
                <w:tcBorders>
                  <w:top w:val="single" w:color="auto" w:sz="4" w:space="0"/>
                  <w:left w:val="single" w:color="auto" w:sz="4" w:space="0"/>
                  <w:bottom w:val="single" w:color="auto" w:sz="4" w:space="0"/>
                  <w:right w:val="single" w:color="auto" w:sz="4" w:space="0"/>
                </w:tcBorders>
                <w:vAlign w:val="center"/>
              </w:tcPr>
              <w:p w14:paraId="340765F8">
                <w:pPr>
                  <w:jc w:val="center"/>
                  <w:rPr>
                    <w:rFonts w:ascii="Calibri" w:hAnsi="Calibri"/>
                    <w:sz w:val="20"/>
                    <w:szCs w:val="20"/>
                  </w:rPr>
                </w:pPr>
                <w:r>
                  <w:rPr>
                    <w:rFonts w:ascii="Calibri" w:hAnsi="Calibri"/>
                    <w:sz w:val="20"/>
                    <w:szCs w:val="20"/>
                  </w:rPr>
                  <w:t>本期减少</w:t>
                </w:r>
              </w:p>
            </w:tc>
          </w:sdtContent>
        </w:sdt>
        <w:sdt>
          <w:sdtPr>
            <w:tag w:val="_PLD_e67d191300ac43c2b1b07c1beddfe891"/>
            <w:id w:val="-1471287579"/>
          </w:sdtPr>
          <w:sdtContent>
            <w:tc>
              <w:tcPr>
                <w:tcW w:w="1619" w:type="dxa"/>
                <w:tcBorders>
                  <w:top w:val="single" w:color="auto" w:sz="4" w:space="0"/>
                  <w:left w:val="single" w:color="auto" w:sz="4" w:space="0"/>
                  <w:bottom w:val="single" w:color="auto" w:sz="4" w:space="0"/>
                  <w:right w:val="single" w:color="auto" w:sz="4" w:space="0"/>
                </w:tcBorders>
                <w:vAlign w:val="center"/>
              </w:tcPr>
              <w:p w14:paraId="7B0DDBF0">
                <w:pPr>
                  <w:autoSpaceDE w:val="0"/>
                  <w:autoSpaceDN w:val="0"/>
                  <w:adjustRightInd w:val="0"/>
                  <w:jc w:val="center"/>
                  <w:rPr>
                    <w:rFonts w:ascii="Calibri" w:hAnsi="Calibri"/>
                    <w:sz w:val="20"/>
                    <w:szCs w:val="20"/>
                  </w:rPr>
                </w:pPr>
                <w:r>
                  <w:rPr>
                    <w:rFonts w:hint="eastAsia" w:ascii="Calibri" w:hAnsi="Calibri"/>
                    <w:sz w:val="20"/>
                    <w:szCs w:val="20"/>
                  </w:rPr>
                  <w:t>期末余额</w:t>
                </w:r>
              </w:p>
            </w:tc>
          </w:sdtContent>
        </w:sdt>
      </w:tr>
      <w:tr w14:paraId="5796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3" w:type="dxa"/>
            <w:tcBorders>
              <w:top w:val="single" w:color="auto" w:sz="4" w:space="0"/>
              <w:left w:val="single" w:color="auto" w:sz="4" w:space="0"/>
              <w:bottom w:val="single" w:color="auto" w:sz="4" w:space="0"/>
              <w:right w:val="single" w:color="auto" w:sz="4" w:space="0"/>
            </w:tcBorders>
            <w:vAlign w:val="center"/>
          </w:tcPr>
          <w:p w14:paraId="27400DC7">
            <w:pPr>
              <w:autoSpaceDE w:val="0"/>
              <w:autoSpaceDN w:val="0"/>
              <w:adjustRightInd w:val="0"/>
              <w:rPr>
                <w:rFonts w:ascii="Calibri" w:hAnsi="Calibri"/>
                <w:sz w:val="20"/>
                <w:szCs w:val="20"/>
              </w:rPr>
            </w:pPr>
            <w:r>
              <w:rPr>
                <w:rFonts w:hint="eastAsia" w:ascii="Calibri" w:hAnsi="Calibri"/>
                <w:sz w:val="20"/>
                <w:szCs w:val="20"/>
              </w:rPr>
              <w:t>一、工资、奖金、津贴和补贴</w:t>
            </w:r>
          </w:p>
        </w:tc>
        <w:tc>
          <w:tcPr>
            <w:tcW w:w="1612" w:type="dxa"/>
            <w:tcBorders>
              <w:top w:val="single" w:color="auto" w:sz="4" w:space="0"/>
              <w:left w:val="single" w:color="auto" w:sz="4" w:space="0"/>
              <w:bottom w:val="single" w:color="auto" w:sz="4" w:space="0"/>
              <w:right w:val="single" w:color="auto" w:sz="4" w:space="0"/>
            </w:tcBorders>
            <w:vAlign w:val="center"/>
          </w:tcPr>
          <w:p w14:paraId="0E012D74">
            <w:pPr>
              <w:jc w:val="right"/>
              <w:rPr>
                <w:rFonts w:ascii="Calibri" w:hAnsi="Calibri"/>
                <w:sz w:val="20"/>
                <w:szCs w:val="20"/>
              </w:rPr>
            </w:pPr>
            <w:r>
              <w:rPr>
                <w:rFonts w:ascii="Calibri" w:hAnsi="Calibri"/>
                <w:sz w:val="20"/>
                <w:szCs w:val="20"/>
              </w:rPr>
              <w:t>1,572,951.01</w:t>
            </w:r>
          </w:p>
        </w:tc>
        <w:tc>
          <w:tcPr>
            <w:tcW w:w="1594" w:type="dxa"/>
            <w:tcBorders>
              <w:top w:val="single" w:color="auto" w:sz="4" w:space="0"/>
              <w:left w:val="single" w:color="auto" w:sz="4" w:space="0"/>
              <w:bottom w:val="single" w:color="auto" w:sz="4" w:space="0"/>
              <w:right w:val="single" w:color="auto" w:sz="4" w:space="0"/>
            </w:tcBorders>
            <w:vAlign w:val="center"/>
          </w:tcPr>
          <w:p w14:paraId="2CFD5012">
            <w:pPr>
              <w:jc w:val="right"/>
              <w:rPr>
                <w:rFonts w:ascii="Calibri" w:hAnsi="Calibri"/>
                <w:sz w:val="20"/>
                <w:szCs w:val="20"/>
              </w:rPr>
            </w:pPr>
            <w:r>
              <w:rPr>
                <w:rFonts w:ascii="Calibri" w:hAnsi="Calibri"/>
                <w:sz w:val="20"/>
                <w:szCs w:val="20"/>
              </w:rPr>
              <w:t>553,202,133.93</w:t>
            </w:r>
          </w:p>
        </w:tc>
        <w:tc>
          <w:tcPr>
            <w:tcW w:w="1608" w:type="dxa"/>
            <w:tcBorders>
              <w:top w:val="single" w:color="auto" w:sz="4" w:space="0"/>
              <w:left w:val="single" w:color="auto" w:sz="4" w:space="0"/>
              <w:bottom w:val="single" w:color="auto" w:sz="4" w:space="0"/>
              <w:right w:val="single" w:color="auto" w:sz="4" w:space="0"/>
            </w:tcBorders>
            <w:vAlign w:val="center"/>
          </w:tcPr>
          <w:p w14:paraId="4D863BDF">
            <w:pPr>
              <w:jc w:val="right"/>
              <w:rPr>
                <w:rFonts w:ascii="Calibri" w:hAnsi="Calibri"/>
                <w:sz w:val="20"/>
                <w:szCs w:val="20"/>
              </w:rPr>
            </w:pPr>
            <w:r>
              <w:rPr>
                <w:rFonts w:ascii="Calibri" w:hAnsi="Calibri"/>
                <w:sz w:val="20"/>
                <w:szCs w:val="20"/>
              </w:rPr>
              <w:t>547,296,245.24</w:t>
            </w:r>
          </w:p>
        </w:tc>
        <w:tc>
          <w:tcPr>
            <w:tcW w:w="1619" w:type="dxa"/>
            <w:tcBorders>
              <w:top w:val="single" w:color="auto" w:sz="4" w:space="0"/>
              <w:left w:val="single" w:color="auto" w:sz="4" w:space="0"/>
              <w:bottom w:val="single" w:color="auto" w:sz="4" w:space="0"/>
              <w:right w:val="single" w:color="auto" w:sz="4" w:space="0"/>
            </w:tcBorders>
            <w:vAlign w:val="center"/>
          </w:tcPr>
          <w:p w14:paraId="4A0AB5FA">
            <w:pPr>
              <w:jc w:val="right"/>
              <w:rPr>
                <w:rFonts w:ascii="Calibri" w:hAnsi="Calibri"/>
                <w:sz w:val="20"/>
                <w:szCs w:val="20"/>
              </w:rPr>
            </w:pPr>
            <w:r>
              <w:rPr>
                <w:rFonts w:ascii="Calibri" w:hAnsi="Calibri"/>
                <w:sz w:val="20"/>
                <w:szCs w:val="20"/>
              </w:rPr>
              <w:t>7,478,839.70</w:t>
            </w:r>
          </w:p>
        </w:tc>
      </w:tr>
      <w:tr w14:paraId="239C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3" w:type="dxa"/>
            <w:tcBorders>
              <w:top w:val="single" w:color="auto" w:sz="4" w:space="0"/>
              <w:left w:val="single" w:color="auto" w:sz="4" w:space="0"/>
              <w:bottom w:val="single" w:color="auto" w:sz="4" w:space="0"/>
              <w:right w:val="single" w:color="auto" w:sz="4" w:space="0"/>
            </w:tcBorders>
            <w:vAlign w:val="center"/>
          </w:tcPr>
          <w:p w14:paraId="5D1483FF">
            <w:pPr>
              <w:autoSpaceDE w:val="0"/>
              <w:autoSpaceDN w:val="0"/>
              <w:adjustRightInd w:val="0"/>
              <w:rPr>
                <w:rFonts w:ascii="Calibri" w:hAnsi="Calibri"/>
                <w:sz w:val="20"/>
                <w:szCs w:val="20"/>
              </w:rPr>
            </w:pPr>
            <w:r>
              <w:rPr>
                <w:rFonts w:hint="eastAsia" w:ascii="Calibri" w:hAnsi="Calibri"/>
                <w:sz w:val="20"/>
                <w:szCs w:val="20"/>
              </w:rPr>
              <w:t>二、职工福利费</w:t>
            </w:r>
          </w:p>
        </w:tc>
        <w:tc>
          <w:tcPr>
            <w:tcW w:w="1612" w:type="dxa"/>
            <w:tcBorders>
              <w:top w:val="single" w:color="auto" w:sz="4" w:space="0"/>
              <w:left w:val="single" w:color="auto" w:sz="4" w:space="0"/>
              <w:bottom w:val="single" w:color="auto" w:sz="4" w:space="0"/>
              <w:right w:val="single" w:color="auto" w:sz="4" w:space="0"/>
            </w:tcBorders>
            <w:vAlign w:val="center"/>
          </w:tcPr>
          <w:p w14:paraId="7C3ED8C2">
            <w:pPr>
              <w:jc w:val="right"/>
              <w:rPr>
                <w:rFonts w:ascii="Calibri" w:hAnsi="Calibri"/>
                <w:sz w:val="20"/>
                <w:szCs w:val="20"/>
              </w:rPr>
            </w:pPr>
          </w:p>
        </w:tc>
        <w:tc>
          <w:tcPr>
            <w:tcW w:w="1594" w:type="dxa"/>
            <w:tcBorders>
              <w:top w:val="single" w:color="auto" w:sz="4" w:space="0"/>
              <w:left w:val="single" w:color="auto" w:sz="4" w:space="0"/>
              <w:bottom w:val="single" w:color="auto" w:sz="4" w:space="0"/>
              <w:right w:val="single" w:color="auto" w:sz="4" w:space="0"/>
            </w:tcBorders>
            <w:vAlign w:val="center"/>
          </w:tcPr>
          <w:p w14:paraId="07A9E586">
            <w:pPr>
              <w:jc w:val="right"/>
              <w:rPr>
                <w:rFonts w:ascii="Calibri" w:hAnsi="Calibri"/>
                <w:sz w:val="20"/>
                <w:szCs w:val="20"/>
              </w:rPr>
            </w:pPr>
            <w:r>
              <w:rPr>
                <w:rFonts w:ascii="Calibri" w:hAnsi="Calibri"/>
                <w:sz w:val="20"/>
                <w:szCs w:val="20"/>
              </w:rPr>
              <w:t>10,672,011.40</w:t>
            </w:r>
          </w:p>
        </w:tc>
        <w:tc>
          <w:tcPr>
            <w:tcW w:w="1608" w:type="dxa"/>
            <w:tcBorders>
              <w:top w:val="single" w:color="auto" w:sz="4" w:space="0"/>
              <w:left w:val="single" w:color="auto" w:sz="4" w:space="0"/>
              <w:bottom w:val="single" w:color="auto" w:sz="4" w:space="0"/>
              <w:right w:val="single" w:color="auto" w:sz="4" w:space="0"/>
            </w:tcBorders>
            <w:vAlign w:val="center"/>
          </w:tcPr>
          <w:p w14:paraId="145BA0C8">
            <w:pPr>
              <w:jc w:val="right"/>
              <w:rPr>
                <w:rFonts w:ascii="Calibri" w:hAnsi="Calibri"/>
                <w:sz w:val="20"/>
                <w:szCs w:val="20"/>
              </w:rPr>
            </w:pPr>
            <w:r>
              <w:rPr>
                <w:rFonts w:ascii="Calibri" w:hAnsi="Calibri"/>
                <w:sz w:val="20"/>
                <w:szCs w:val="20"/>
              </w:rPr>
              <w:t>10,672,011.40</w:t>
            </w:r>
          </w:p>
        </w:tc>
        <w:tc>
          <w:tcPr>
            <w:tcW w:w="1619" w:type="dxa"/>
            <w:tcBorders>
              <w:top w:val="single" w:color="auto" w:sz="4" w:space="0"/>
              <w:left w:val="single" w:color="auto" w:sz="4" w:space="0"/>
              <w:bottom w:val="single" w:color="auto" w:sz="4" w:space="0"/>
              <w:right w:val="single" w:color="auto" w:sz="4" w:space="0"/>
            </w:tcBorders>
            <w:vAlign w:val="center"/>
          </w:tcPr>
          <w:p w14:paraId="5FCA99E5">
            <w:pPr>
              <w:jc w:val="right"/>
              <w:rPr>
                <w:rFonts w:ascii="Calibri" w:hAnsi="Calibri"/>
                <w:sz w:val="20"/>
                <w:szCs w:val="20"/>
              </w:rPr>
            </w:pPr>
          </w:p>
        </w:tc>
      </w:tr>
      <w:tr w14:paraId="2E76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3" w:type="dxa"/>
            <w:tcBorders>
              <w:top w:val="single" w:color="auto" w:sz="4" w:space="0"/>
              <w:left w:val="single" w:color="auto" w:sz="4" w:space="0"/>
              <w:bottom w:val="single" w:color="auto" w:sz="4" w:space="0"/>
              <w:right w:val="single" w:color="auto" w:sz="4" w:space="0"/>
            </w:tcBorders>
            <w:vAlign w:val="center"/>
          </w:tcPr>
          <w:p w14:paraId="5263B677">
            <w:pPr>
              <w:autoSpaceDE w:val="0"/>
              <w:autoSpaceDN w:val="0"/>
              <w:adjustRightInd w:val="0"/>
              <w:rPr>
                <w:rFonts w:ascii="Calibri" w:hAnsi="Calibri"/>
                <w:sz w:val="20"/>
                <w:szCs w:val="20"/>
              </w:rPr>
            </w:pPr>
            <w:r>
              <w:rPr>
                <w:rFonts w:hint="eastAsia" w:ascii="Calibri" w:hAnsi="Calibri"/>
                <w:sz w:val="20"/>
                <w:szCs w:val="20"/>
              </w:rPr>
              <w:t>三、社会保险费</w:t>
            </w:r>
          </w:p>
        </w:tc>
        <w:tc>
          <w:tcPr>
            <w:tcW w:w="1612" w:type="dxa"/>
            <w:tcBorders>
              <w:top w:val="single" w:color="auto" w:sz="4" w:space="0"/>
              <w:left w:val="single" w:color="auto" w:sz="4" w:space="0"/>
              <w:bottom w:val="single" w:color="auto" w:sz="4" w:space="0"/>
              <w:right w:val="single" w:color="auto" w:sz="4" w:space="0"/>
            </w:tcBorders>
            <w:vAlign w:val="center"/>
          </w:tcPr>
          <w:p w14:paraId="19164FDA">
            <w:pPr>
              <w:jc w:val="right"/>
              <w:rPr>
                <w:rFonts w:ascii="Calibri" w:hAnsi="Calibri"/>
                <w:sz w:val="20"/>
                <w:szCs w:val="20"/>
              </w:rPr>
            </w:pPr>
            <w:r>
              <w:rPr>
                <w:rFonts w:ascii="Calibri" w:hAnsi="Calibri"/>
                <w:sz w:val="20"/>
                <w:szCs w:val="20"/>
              </w:rPr>
              <w:t>170,462.63</w:t>
            </w:r>
          </w:p>
        </w:tc>
        <w:tc>
          <w:tcPr>
            <w:tcW w:w="1594" w:type="dxa"/>
            <w:tcBorders>
              <w:top w:val="single" w:color="auto" w:sz="4" w:space="0"/>
              <w:left w:val="single" w:color="auto" w:sz="4" w:space="0"/>
              <w:bottom w:val="single" w:color="auto" w:sz="4" w:space="0"/>
              <w:right w:val="single" w:color="auto" w:sz="4" w:space="0"/>
            </w:tcBorders>
            <w:vAlign w:val="center"/>
          </w:tcPr>
          <w:p w14:paraId="3C50DA32">
            <w:pPr>
              <w:jc w:val="right"/>
              <w:rPr>
                <w:rFonts w:ascii="Calibri" w:hAnsi="Calibri"/>
                <w:sz w:val="20"/>
                <w:szCs w:val="20"/>
              </w:rPr>
            </w:pPr>
            <w:r>
              <w:rPr>
                <w:rFonts w:ascii="Calibri" w:hAnsi="Calibri"/>
                <w:sz w:val="20"/>
                <w:szCs w:val="20"/>
              </w:rPr>
              <w:t>25,050,254.14</w:t>
            </w:r>
          </w:p>
        </w:tc>
        <w:tc>
          <w:tcPr>
            <w:tcW w:w="1608" w:type="dxa"/>
            <w:tcBorders>
              <w:top w:val="single" w:color="auto" w:sz="4" w:space="0"/>
              <w:left w:val="single" w:color="auto" w:sz="4" w:space="0"/>
              <w:bottom w:val="single" w:color="auto" w:sz="4" w:space="0"/>
              <w:right w:val="single" w:color="auto" w:sz="4" w:space="0"/>
            </w:tcBorders>
            <w:vAlign w:val="center"/>
          </w:tcPr>
          <w:p w14:paraId="49BE521A">
            <w:pPr>
              <w:jc w:val="right"/>
              <w:rPr>
                <w:rFonts w:ascii="Calibri" w:hAnsi="Calibri"/>
                <w:sz w:val="20"/>
                <w:szCs w:val="20"/>
              </w:rPr>
            </w:pPr>
            <w:r>
              <w:rPr>
                <w:rFonts w:ascii="Calibri" w:hAnsi="Calibri"/>
                <w:sz w:val="20"/>
                <w:szCs w:val="20"/>
              </w:rPr>
              <w:t>24,954,675.84</w:t>
            </w:r>
          </w:p>
        </w:tc>
        <w:tc>
          <w:tcPr>
            <w:tcW w:w="1619" w:type="dxa"/>
            <w:tcBorders>
              <w:top w:val="single" w:color="auto" w:sz="4" w:space="0"/>
              <w:left w:val="single" w:color="auto" w:sz="4" w:space="0"/>
              <w:bottom w:val="single" w:color="auto" w:sz="4" w:space="0"/>
              <w:right w:val="single" w:color="auto" w:sz="4" w:space="0"/>
            </w:tcBorders>
            <w:vAlign w:val="center"/>
          </w:tcPr>
          <w:p w14:paraId="47A76209">
            <w:pPr>
              <w:jc w:val="right"/>
              <w:rPr>
                <w:rFonts w:ascii="Calibri" w:hAnsi="Calibri"/>
                <w:sz w:val="20"/>
                <w:szCs w:val="20"/>
              </w:rPr>
            </w:pPr>
            <w:r>
              <w:rPr>
                <w:rFonts w:ascii="Calibri" w:hAnsi="Calibri"/>
                <w:sz w:val="20"/>
                <w:szCs w:val="20"/>
              </w:rPr>
              <w:t>266,040.93</w:t>
            </w:r>
          </w:p>
        </w:tc>
      </w:tr>
      <w:tr w14:paraId="35AD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3" w:type="dxa"/>
            <w:tcBorders>
              <w:top w:val="single" w:color="auto" w:sz="4" w:space="0"/>
              <w:left w:val="single" w:color="auto" w:sz="4" w:space="0"/>
              <w:bottom w:val="single" w:color="auto" w:sz="4" w:space="0"/>
              <w:right w:val="single" w:color="auto" w:sz="4" w:space="0"/>
            </w:tcBorders>
            <w:vAlign w:val="center"/>
          </w:tcPr>
          <w:p w14:paraId="0BABC4B0">
            <w:pPr>
              <w:rPr>
                <w:rFonts w:ascii="Calibri" w:hAnsi="Calibri"/>
                <w:color w:val="008000"/>
                <w:sz w:val="20"/>
                <w:szCs w:val="20"/>
              </w:rPr>
            </w:pPr>
            <w:r>
              <w:rPr>
                <w:rFonts w:hint="eastAsia" w:ascii="Calibri" w:hAnsi="Calibri"/>
                <w:sz w:val="20"/>
                <w:szCs w:val="20"/>
              </w:rPr>
              <w:t>其中：</w:t>
            </w:r>
            <w:r>
              <w:rPr>
                <w:rFonts w:ascii="Calibri" w:hAnsi="Calibri"/>
                <w:sz w:val="20"/>
                <w:szCs w:val="20"/>
              </w:rPr>
              <w:t>医疗保险费</w:t>
            </w:r>
          </w:p>
        </w:tc>
        <w:tc>
          <w:tcPr>
            <w:tcW w:w="1612" w:type="dxa"/>
            <w:tcBorders>
              <w:top w:val="single" w:color="auto" w:sz="4" w:space="0"/>
              <w:left w:val="single" w:color="auto" w:sz="4" w:space="0"/>
              <w:bottom w:val="single" w:color="auto" w:sz="4" w:space="0"/>
              <w:right w:val="single" w:color="auto" w:sz="4" w:space="0"/>
            </w:tcBorders>
            <w:vAlign w:val="center"/>
          </w:tcPr>
          <w:p w14:paraId="4E8392B1">
            <w:pPr>
              <w:jc w:val="right"/>
              <w:rPr>
                <w:rFonts w:ascii="Calibri" w:hAnsi="Calibri"/>
                <w:sz w:val="20"/>
                <w:szCs w:val="20"/>
              </w:rPr>
            </w:pPr>
            <w:r>
              <w:rPr>
                <w:rFonts w:ascii="Calibri" w:hAnsi="Calibri"/>
                <w:sz w:val="20"/>
                <w:szCs w:val="20"/>
              </w:rPr>
              <w:t>164,050.41</w:t>
            </w:r>
          </w:p>
        </w:tc>
        <w:tc>
          <w:tcPr>
            <w:tcW w:w="1594" w:type="dxa"/>
            <w:tcBorders>
              <w:top w:val="single" w:color="auto" w:sz="4" w:space="0"/>
              <w:left w:val="single" w:color="auto" w:sz="4" w:space="0"/>
              <w:bottom w:val="single" w:color="auto" w:sz="4" w:space="0"/>
              <w:right w:val="single" w:color="auto" w:sz="4" w:space="0"/>
            </w:tcBorders>
            <w:vAlign w:val="center"/>
          </w:tcPr>
          <w:p w14:paraId="15ABC3D2">
            <w:pPr>
              <w:jc w:val="right"/>
              <w:rPr>
                <w:rFonts w:ascii="Calibri" w:hAnsi="Calibri"/>
                <w:sz w:val="20"/>
                <w:szCs w:val="20"/>
              </w:rPr>
            </w:pPr>
            <w:r>
              <w:rPr>
                <w:rFonts w:ascii="Calibri" w:hAnsi="Calibri"/>
                <w:sz w:val="20"/>
                <w:szCs w:val="20"/>
              </w:rPr>
              <w:t>23,277,288.05</w:t>
            </w:r>
          </w:p>
        </w:tc>
        <w:tc>
          <w:tcPr>
            <w:tcW w:w="1608" w:type="dxa"/>
            <w:tcBorders>
              <w:top w:val="single" w:color="auto" w:sz="4" w:space="0"/>
              <w:left w:val="single" w:color="auto" w:sz="4" w:space="0"/>
              <w:bottom w:val="single" w:color="auto" w:sz="4" w:space="0"/>
              <w:right w:val="single" w:color="auto" w:sz="4" w:space="0"/>
            </w:tcBorders>
            <w:vAlign w:val="center"/>
          </w:tcPr>
          <w:p w14:paraId="5B841ADA">
            <w:pPr>
              <w:jc w:val="right"/>
              <w:rPr>
                <w:rFonts w:ascii="Calibri" w:hAnsi="Calibri"/>
                <w:sz w:val="20"/>
                <w:szCs w:val="20"/>
              </w:rPr>
            </w:pPr>
            <w:r>
              <w:rPr>
                <w:rFonts w:ascii="Calibri" w:hAnsi="Calibri"/>
                <w:sz w:val="20"/>
                <w:szCs w:val="20"/>
              </w:rPr>
              <w:t>23,190,932.38</w:t>
            </w:r>
          </w:p>
        </w:tc>
        <w:tc>
          <w:tcPr>
            <w:tcW w:w="1619" w:type="dxa"/>
            <w:tcBorders>
              <w:top w:val="single" w:color="auto" w:sz="4" w:space="0"/>
              <w:left w:val="single" w:color="auto" w:sz="4" w:space="0"/>
              <w:bottom w:val="single" w:color="auto" w:sz="4" w:space="0"/>
              <w:right w:val="single" w:color="auto" w:sz="4" w:space="0"/>
            </w:tcBorders>
            <w:vAlign w:val="center"/>
          </w:tcPr>
          <w:p w14:paraId="16E70B94">
            <w:pPr>
              <w:jc w:val="right"/>
              <w:rPr>
                <w:rFonts w:ascii="Calibri" w:hAnsi="Calibri"/>
                <w:sz w:val="20"/>
                <w:szCs w:val="20"/>
              </w:rPr>
            </w:pPr>
            <w:r>
              <w:rPr>
                <w:rFonts w:ascii="Calibri" w:hAnsi="Calibri"/>
                <w:sz w:val="20"/>
                <w:szCs w:val="20"/>
              </w:rPr>
              <w:t>250,406.08</w:t>
            </w:r>
          </w:p>
        </w:tc>
      </w:tr>
      <w:tr w14:paraId="11DF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13" w:type="dxa"/>
            <w:tcBorders>
              <w:top w:val="single" w:color="auto" w:sz="4" w:space="0"/>
              <w:left w:val="single" w:color="auto" w:sz="4" w:space="0"/>
              <w:bottom w:val="single" w:color="auto" w:sz="4" w:space="0"/>
              <w:right w:val="single" w:color="auto" w:sz="4" w:space="0"/>
            </w:tcBorders>
            <w:vAlign w:val="center"/>
          </w:tcPr>
          <w:p w14:paraId="24A25A0B">
            <w:pPr>
              <w:ind w:firstLine="600" w:firstLineChars="300"/>
              <w:rPr>
                <w:rFonts w:ascii="Calibri" w:hAnsi="Calibri"/>
                <w:sz w:val="20"/>
                <w:szCs w:val="20"/>
              </w:rPr>
            </w:pPr>
            <w:r>
              <w:rPr>
                <w:rFonts w:hint="eastAsia" w:ascii="Calibri" w:hAnsi="Calibri"/>
                <w:sz w:val="20"/>
                <w:szCs w:val="20"/>
              </w:rPr>
              <w:t>工伤保险费</w:t>
            </w:r>
          </w:p>
        </w:tc>
        <w:tc>
          <w:tcPr>
            <w:tcW w:w="1612" w:type="dxa"/>
            <w:tcBorders>
              <w:top w:val="single" w:color="auto" w:sz="4" w:space="0"/>
              <w:left w:val="single" w:color="auto" w:sz="4" w:space="0"/>
              <w:bottom w:val="single" w:color="auto" w:sz="4" w:space="0"/>
              <w:right w:val="single" w:color="auto" w:sz="4" w:space="0"/>
            </w:tcBorders>
            <w:vAlign w:val="center"/>
          </w:tcPr>
          <w:p w14:paraId="7C5E4096">
            <w:pPr>
              <w:jc w:val="right"/>
              <w:rPr>
                <w:rFonts w:ascii="Calibri" w:hAnsi="Calibri"/>
                <w:sz w:val="20"/>
                <w:szCs w:val="20"/>
              </w:rPr>
            </w:pPr>
            <w:r>
              <w:rPr>
                <w:rFonts w:ascii="Calibri" w:hAnsi="Calibri"/>
                <w:sz w:val="20"/>
                <w:szCs w:val="20"/>
              </w:rPr>
              <w:t>6,412.22</w:t>
            </w:r>
          </w:p>
        </w:tc>
        <w:tc>
          <w:tcPr>
            <w:tcW w:w="1594" w:type="dxa"/>
            <w:tcBorders>
              <w:top w:val="single" w:color="auto" w:sz="4" w:space="0"/>
              <w:left w:val="single" w:color="auto" w:sz="4" w:space="0"/>
              <w:bottom w:val="single" w:color="auto" w:sz="4" w:space="0"/>
              <w:right w:val="single" w:color="auto" w:sz="4" w:space="0"/>
            </w:tcBorders>
            <w:vAlign w:val="center"/>
          </w:tcPr>
          <w:p w14:paraId="2D7626EB">
            <w:pPr>
              <w:jc w:val="right"/>
              <w:rPr>
                <w:rFonts w:ascii="Calibri" w:hAnsi="Calibri"/>
                <w:sz w:val="20"/>
                <w:szCs w:val="20"/>
              </w:rPr>
            </w:pPr>
            <w:r>
              <w:rPr>
                <w:rFonts w:ascii="Calibri" w:hAnsi="Calibri"/>
                <w:sz w:val="20"/>
                <w:szCs w:val="20"/>
              </w:rPr>
              <w:t>1,772,966.09</w:t>
            </w:r>
          </w:p>
        </w:tc>
        <w:tc>
          <w:tcPr>
            <w:tcW w:w="1608" w:type="dxa"/>
            <w:tcBorders>
              <w:top w:val="single" w:color="auto" w:sz="4" w:space="0"/>
              <w:left w:val="single" w:color="auto" w:sz="4" w:space="0"/>
              <w:bottom w:val="single" w:color="auto" w:sz="4" w:space="0"/>
              <w:right w:val="single" w:color="auto" w:sz="4" w:space="0"/>
            </w:tcBorders>
            <w:vAlign w:val="center"/>
          </w:tcPr>
          <w:p w14:paraId="0FE06C4B">
            <w:pPr>
              <w:jc w:val="right"/>
              <w:rPr>
                <w:rFonts w:ascii="Calibri" w:hAnsi="Calibri"/>
                <w:sz w:val="20"/>
                <w:szCs w:val="20"/>
              </w:rPr>
            </w:pPr>
            <w:r>
              <w:rPr>
                <w:rFonts w:ascii="Calibri" w:hAnsi="Calibri"/>
                <w:sz w:val="20"/>
                <w:szCs w:val="20"/>
              </w:rPr>
              <w:t>1,763,743.46</w:t>
            </w:r>
          </w:p>
        </w:tc>
        <w:tc>
          <w:tcPr>
            <w:tcW w:w="1619" w:type="dxa"/>
            <w:tcBorders>
              <w:top w:val="single" w:color="auto" w:sz="4" w:space="0"/>
              <w:left w:val="single" w:color="auto" w:sz="4" w:space="0"/>
              <w:bottom w:val="single" w:color="auto" w:sz="4" w:space="0"/>
              <w:right w:val="single" w:color="auto" w:sz="4" w:space="0"/>
            </w:tcBorders>
            <w:vAlign w:val="center"/>
          </w:tcPr>
          <w:p w14:paraId="50C20DD5">
            <w:pPr>
              <w:jc w:val="right"/>
              <w:rPr>
                <w:rFonts w:ascii="Calibri" w:hAnsi="Calibri"/>
                <w:sz w:val="20"/>
                <w:szCs w:val="20"/>
              </w:rPr>
            </w:pPr>
            <w:r>
              <w:rPr>
                <w:rFonts w:ascii="Calibri" w:hAnsi="Calibri"/>
                <w:sz w:val="20"/>
                <w:szCs w:val="20"/>
              </w:rPr>
              <w:t>15,634.85</w:t>
            </w:r>
          </w:p>
        </w:tc>
      </w:tr>
      <w:tr w14:paraId="08BB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3" w:type="dxa"/>
            <w:tcBorders>
              <w:top w:val="single" w:color="auto" w:sz="4" w:space="0"/>
              <w:left w:val="single" w:color="auto" w:sz="4" w:space="0"/>
              <w:bottom w:val="single" w:color="auto" w:sz="4" w:space="0"/>
              <w:right w:val="single" w:color="auto" w:sz="4" w:space="0"/>
            </w:tcBorders>
            <w:vAlign w:val="center"/>
          </w:tcPr>
          <w:p w14:paraId="13FED4B0">
            <w:pPr>
              <w:ind w:firstLine="600" w:firstLineChars="300"/>
              <w:rPr>
                <w:rFonts w:ascii="Calibri" w:hAnsi="Calibri"/>
                <w:sz w:val="20"/>
                <w:szCs w:val="20"/>
              </w:rPr>
            </w:pPr>
            <w:r>
              <w:rPr>
                <w:rFonts w:hint="eastAsia" w:ascii="Calibri" w:hAnsi="Calibri"/>
                <w:sz w:val="20"/>
                <w:szCs w:val="20"/>
              </w:rPr>
              <w:t>生育保险费</w:t>
            </w:r>
          </w:p>
        </w:tc>
        <w:tc>
          <w:tcPr>
            <w:tcW w:w="1612" w:type="dxa"/>
            <w:tcBorders>
              <w:top w:val="single" w:color="auto" w:sz="4" w:space="0"/>
              <w:left w:val="single" w:color="auto" w:sz="4" w:space="0"/>
              <w:bottom w:val="single" w:color="auto" w:sz="4" w:space="0"/>
              <w:right w:val="single" w:color="auto" w:sz="4" w:space="0"/>
            </w:tcBorders>
            <w:vAlign w:val="center"/>
          </w:tcPr>
          <w:p w14:paraId="0E8552DE">
            <w:pPr>
              <w:jc w:val="right"/>
              <w:rPr>
                <w:rFonts w:ascii="Calibri" w:hAnsi="Calibri"/>
                <w:sz w:val="20"/>
                <w:szCs w:val="20"/>
              </w:rPr>
            </w:pPr>
          </w:p>
        </w:tc>
        <w:tc>
          <w:tcPr>
            <w:tcW w:w="1594" w:type="dxa"/>
            <w:tcBorders>
              <w:top w:val="single" w:color="auto" w:sz="4" w:space="0"/>
              <w:left w:val="single" w:color="auto" w:sz="4" w:space="0"/>
              <w:bottom w:val="single" w:color="auto" w:sz="4" w:space="0"/>
              <w:right w:val="single" w:color="auto" w:sz="4" w:space="0"/>
            </w:tcBorders>
            <w:vAlign w:val="center"/>
          </w:tcPr>
          <w:p w14:paraId="2C6E4764">
            <w:pPr>
              <w:jc w:val="right"/>
              <w:rPr>
                <w:rFonts w:ascii="Calibri" w:hAnsi="Calibri"/>
                <w:sz w:val="20"/>
                <w:szCs w:val="20"/>
              </w:rPr>
            </w:pPr>
          </w:p>
        </w:tc>
        <w:tc>
          <w:tcPr>
            <w:tcW w:w="1608" w:type="dxa"/>
            <w:tcBorders>
              <w:top w:val="single" w:color="auto" w:sz="4" w:space="0"/>
              <w:left w:val="single" w:color="auto" w:sz="4" w:space="0"/>
              <w:bottom w:val="single" w:color="auto" w:sz="4" w:space="0"/>
              <w:right w:val="single" w:color="auto" w:sz="4" w:space="0"/>
            </w:tcBorders>
            <w:vAlign w:val="center"/>
          </w:tcPr>
          <w:p w14:paraId="46B6ACF2">
            <w:pPr>
              <w:jc w:val="right"/>
              <w:rPr>
                <w:rFonts w:ascii="Calibri" w:hAnsi="Calibri"/>
                <w:sz w:val="20"/>
                <w:szCs w:val="20"/>
              </w:rPr>
            </w:pPr>
          </w:p>
        </w:tc>
        <w:tc>
          <w:tcPr>
            <w:tcW w:w="1619" w:type="dxa"/>
            <w:tcBorders>
              <w:top w:val="single" w:color="auto" w:sz="4" w:space="0"/>
              <w:left w:val="single" w:color="auto" w:sz="4" w:space="0"/>
              <w:bottom w:val="single" w:color="auto" w:sz="4" w:space="0"/>
              <w:right w:val="single" w:color="auto" w:sz="4" w:space="0"/>
            </w:tcBorders>
            <w:vAlign w:val="center"/>
          </w:tcPr>
          <w:p w14:paraId="337859D5">
            <w:pPr>
              <w:jc w:val="right"/>
              <w:rPr>
                <w:rFonts w:ascii="Calibri" w:hAnsi="Calibri"/>
                <w:sz w:val="20"/>
                <w:szCs w:val="20"/>
              </w:rPr>
            </w:pPr>
          </w:p>
        </w:tc>
      </w:tr>
      <w:tr w14:paraId="16C9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3" w:type="dxa"/>
            <w:tcBorders>
              <w:top w:val="single" w:color="auto" w:sz="4" w:space="0"/>
              <w:left w:val="single" w:color="auto" w:sz="4" w:space="0"/>
              <w:bottom w:val="single" w:color="auto" w:sz="4" w:space="0"/>
              <w:right w:val="single" w:color="auto" w:sz="4" w:space="0"/>
            </w:tcBorders>
            <w:vAlign w:val="center"/>
          </w:tcPr>
          <w:p w14:paraId="35E35511">
            <w:pPr>
              <w:autoSpaceDE w:val="0"/>
              <w:autoSpaceDN w:val="0"/>
              <w:adjustRightInd w:val="0"/>
              <w:rPr>
                <w:rFonts w:ascii="Calibri" w:hAnsi="Calibri"/>
                <w:sz w:val="20"/>
                <w:szCs w:val="20"/>
              </w:rPr>
            </w:pPr>
            <w:r>
              <w:rPr>
                <w:rFonts w:hint="eastAsia" w:ascii="Calibri" w:hAnsi="Calibri"/>
                <w:sz w:val="20"/>
                <w:szCs w:val="20"/>
              </w:rPr>
              <w:t>四、住房公积金</w:t>
            </w:r>
          </w:p>
        </w:tc>
        <w:tc>
          <w:tcPr>
            <w:tcW w:w="1612" w:type="dxa"/>
            <w:tcBorders>
              <w:top w:val="single" w:color="auto" w:sz="4" w:space="0"/>
              <w:left w:val="single" w:color="auto" w:sz="4" w:space="0"/>
              <w:bottom w:val="single" w:color="auto" w:sz="4" w:space="0"/>
              <w:right w:val="single" w:color="auto" w:sz="4" w:space="0"/>
            </w:tcBorders>
            <w:vAlign w:val="center"/>
          </w:tcPr>
          <w:p w14:paraId="651BCD4A">
            <w:pPr>
              <w:jc w:val="right"/>
              <w:rPr>
                <w:rFonts w:ascii="Calibri" w:hAnsi="Calibri"/>
                <w:sz w:val="20"/>
                <w:szCs w:val="20"/>
              </w:rPr>
            </w:pPr>
            <w:r>
              <w:rPr>
                <w:rFonts w:ascii="Calibri" w:hAnsi="Calibri"/>
                <w:sz w:val="20"/>
                <w:szCs w:val="20"/>
              </w:rPr>
              <w:t>104,707.00</w:t>
            </w:r>
          </w:p>
        </w:tc>
        <w:tc>
          <w:tcPr>
            <w:tcW w:w="1594" w:type="dxa"/>
            <w:tcBorders>
              <w:top w:val="single" w:color="auto" w:sz="4" w:space="0"/>
              <w:left w:val="single" w:color="auto" w:sz="4" w:space="0"/>
              <w:bottom w:val="single" w:color="auto" w:sz="4" w:space="0"/>
              <w:right w:val="single" w:color="auto" w:sz="4" w:space="0"/>
            </w:tcBorders>
            <w:vAlign w:val="center"/>
          </w:tcPr>
          <w:p w14:paraId="332955D9">
            <w:pPr>
              <w:jc w:val="right"/>
              <w:rPr>
                <w:rFonts w:ascii="Calibri" w:hAnsi="Calibri"/>
                <w:sz w:val="20"/>
                <w:szCs w:val="20"/>
              </w:rPr>
            </w:pPr>
            <w:r>
              <w:rPr>
                <w:rFonts w:ascii="Calibri" w:hAnsi="Calibri"/>
                <w:sz w:val="20"/>
                <w:szCs w:val="20"/>
              </w:rPr>
              <w:t>32,655,940.46</w:t>
            </w:r>
          </w:p>
        </w:tc>
        <w:tc>
          <w:tcPr>
            <w:tcW w:w="1608" w:type="dxa"/>
            <w:tcBorders>
              <w:top w:val="single" w:color="auto" w:sz="4" w:space="0"/>
              <w:left w:val="single" w:color="auto" w:sz="4" w:space="0"/>
              <w:bottom w:val="single" w:color="auto" w:sz="4" w:space="0"/>
              <w:right w:val="single" w:color="auto" w:sz="4" w:space="0"/>
            </w:tcBorders>
            <w:vAlign w:val="center"/>
          </w:tcPr>
          <w:p w14:paraId="1E8E3185">
            <w:pPr>
              <w:jc w:val="right"/>
              <w:rPr>
                <w:rFonts w:ascii="Calibri" w:hAnsi="Calibri"/>
                <w:sz w:val="20"/>
                <w:szCs w:val="20"/>
              </w:rPr>
            </w:pPr>
            <w:r>
              <w:rPr>
                <w:rFonts w:ascii="Calibri" w:hAnsi="Calibri"/>
                <w:sz w:val="20"/>
                <w:szCs w:val="20"/>
              </w:rPr>
              <w:t>32,564,851.46</w:t>
            </w:r>
          </w:p>
        </w:tc>
        <w:tc>
          <w:tcPr>
            <w:tcW w:w="1619" w:type="dxa"/>
            <w:tcBorders>
              <w:top w:val="single" w:color="auto" w:sz="4" w:space="0"/>
              <w:left w:val="single" w:color="auto" w:sz="4" w:space="0"/>
              <w:bottom w:val="single" w:color="auto" w:sz="4" w:space="0"/>
              <w:right w:val="single" w:color="auto" w:sz="4" w:space="0"/>
            </w:tcBorders>
            <w:vAlign w:val="center"/>
          </w:tcPr>
          <w:p w14:paraId="123A33AF">
            <w:pPr>
              <w:jc w:val="right"/>
              <w:rPr>
                <w:rFonts w:ascii="Calibri" w:hAnsi="Calibri"/>
                <w:sz w:val="20"/>
                <w:szCs w:val="20"/>
              </w:rPr>
            </w:pPr>
            <w:r>
              <w:rPr>
                <w:rFonts w:ascii="Calibri" w:hAnsi="Calibri"/>
                <w:sz w:val="20"/>
                <w:szCs w:val="20"/>
              </w:rPr>
              <w:t>195,796.00</w:t>
            </w:r>
          </w:p>
        </w:tc>
      </w:tr>
      <w:tr w14:paraId="7A32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13" w:type="dxa"/>
            <w:tcBorders>
              <w:top w:val="single" w:color="auto" w:sz="4" w:space="0"/>
              <w:left w:val="single" w:color="auto" w:sz="4" w:space="0"/>
              <w:bottom w:val="single" w:color="auto" w:sz="4" w:space="0"/>
              <w:right w:val="single" w:color="auto" w:sz="4" w:space="0"/>
            </w:tcBorders>
            <w:vAlign w:val="center"/>
          </w:tcPr>
          <w:p w14:paraId="6E2E9FDD">
            <w:pPr>
              <w:autoSpaceDE w:val="0"/>
              <w:autoSpaceDN w:val="0"/>
              <w:adjustRightInd w:val="0"/>
              <w:rPr>
                <w:rFonts w:ascii="Calibri" w:hAnsi="Calibri"/>
                <w:sz w:val="20"/>
                <w:szCs w:val="20"/>
              </w:rPr>
            </w:pPr>
            <w:r>
              <w:rPr>
                <w:rFonts w:hint="eastAsia" w:ascii="Calibri" w:hAnsi="Calibri"/>
                <w:sz w:val="20"/>
                <w:szCs w:val="20"/>
              </w:rPr>
              <w:t>五、工会经费和职工教育经费</w:t>
            </w:r>
          </w:p>
        </w:tc>
        <w:tc>
          <w:tcPr>
            <w:tcW w:w="1612" w:type="dxa"/>
            <w:tcBorders>
              <w:top w:val="single" w:color="auto" w:sz="4" w:space="0"/>
              <w:left w:val="single" w:color="auto" w:sz="4" w:space="0"/>
              <w:bottom w:val="single" w:color="auto" w:sz="4" w:space="0"/>
              <w:right w:val="single" w:color="auto" w:sz="4" w:space="0"/>
            </w:tcBorders>
            <w:vAlign w:val="center"/>
          </w:tcPr>
          <w:p w14:paraId="0FC6CA3F">
            <w:pPr>
              <w:jc w:val="right"/>
              <w:rPr>
                <w:rFonts w:ascii="Calibri" w:hAnsi="Calibri"/>
                <w:sz w:val="20"/>
                <w:szCs w:val="20"/>
              </w:rPr>
            </w:pPr>
            <w:r>
              <w:rPr>
                <w:rFonts w:ascii="Calibri" w:hAnsi="Calibri"/>
                <w:sz w:val="20"/>
                <w:szCs w:val="20"/>
              </w:rPr>
              <w:t>630,533.92</w:t>
            </w:r>
          </w:p>
        </w:tc>
        <w:tc>
          <w:tcPr>
            <w:tcW w:w="1594" w:type="dxa"/>
            <w:tcBorders>
              <w:top w:val="single" w:color="auto" w:sz="4" w:space="0"/>
              <w:left w:val="single" w:color="auto" w:sz="4" w:space="0"/>
              <w:bottom w:val="single" w:color="auto" w:sz="4" w:space="0"/>
              <w:right w:val="single" w:color="auto" w:sz="4" w:space="0"/>
            </w:tcBorders>
            <w:vAlign w:val="center"/>
          </w:tcPr>
          <w:p w14:paraId="48AC4F45">
            <w:pPr>
              <w:jc w:val="right"/>
              <w:rPr>
                <w:rFonts w:ascii="Calibri" w:hAnsi="Calibri"/>
                <w:sz w:val="20"/>
                <w:szCs w:val="20"/>
              </w:rPr>
            </w:pPr>
            <w:r>
              <w:rPr>
                <w:rFonts w:ascii="Calibri" w:hAnsi="Calibri"/>
                <w:sz w:val="20"/>
                <w:szCs w:val="20"/>
              </w:rPr>
              <w:t>6,789,613.86</w:t>
            </w:r>
          </w:p>
        </w:tc>
        <w:tc>
          <w:tcPr>
            <w:tcW w:w="1608" w:type="dxa"/>
            <w:tcBorders>
              <w:top w:val="single" w:color="auto" w:sz="4" w:space="0"/>
              <w:left w:val="single" w:color="auto" w:sz="4" w:space="0"/>
              <w:bottom w:val="single" w:color="auto" w:sz="4" w:space="0"/>
              <w:right w:val="single" w:color="auto" w:sz="4" w:space="0"/>
            </w:tcBorders>
            <w:vAlign w:val="center"/>
          </w:tcPr>
          <w:p w14:paraId="392C4EAA">
            <w:pPr>
              <w:jc w:val="right"/>
              <w:rPr>
                <w:rFonts w:ascii="Calibri" w:hAnsi="Calibri"/>
                <w:sz w:val="20"/>
                <w:szCs w:val="20"/>
              </w:rPr>
            </w:pPr>
            <w:r>
              <w:rPr>
                <w:rFonts w:ascii="Calibri" w:hAnsi="Calibri"/>
                <w:sz w:val="20"/>
                <w:szCs w:val="20"/>
              </w:rPr>
              <w:t>6,920,829.33</w:t>
            </w:r>
          </w:p>
        </w:tc>
        <w:tc>
          <w:tcPr>
            <w:tcW w:w="1619" w:type="dxa"/>
            <w:tcBorders>
              <w:top w:val="single" w:color="auto" w:sz="4" w:space="0"/>
              <w:left w:val="single" w:color="auto" w:sz="4" w:space="0"/>
              <w:bottom w:val="single" w:color="auto" w:sz="4" w:space="0"/>
              <w:right w:val="single" w:color="auto" w:sz="4" w:space="0"/>
            </w:tcBorders>
            <w:vAlign w:val="center"/>
          </w:tcPr>
          <w:p w14:paraId="02540A19">
            <w:pPr>
              <w:jc w:val="right"/>
              <w:rPr>
                <w:rFonts w:ascii="Calibri" w:hAnsi="Calibri"/>
                <w:sz w:val="20"/>
                <w:szCs w:val="20"/>
              </w:rPr>
            </w:pPr>
            <w:r>
              <w:rPr>
                <w:rFonts w:ascii="Calibri" w:hAnsi="Calibri"/>
                <w:sz w:val="20"/>
                <w:szCs w:val="20"/>
              </w:rPr>
              <w:t>499,318.45</w:t>
            </w:r>
          </w:p>
        </w:tc>
      </w:tr>
      <w:tr w14:paraId="348A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3" w:type="dxa"/>
            <w:tcBorders>
              <w:top w:val="single" w:color="auto" w:sz="4" w:space="0"/>
              <w:left w:val="single" w:color="auto" w:sz="4" w:space="0"/>
              <w:bottom w:val="single" w:color="auto" w:sz="4" w:space="0"/>
              <w:right w:val="single" w:color="auto" w:sz="4" w:space="0"/>
            </w:tcBorders>
            <w:vAlign w:val="center"/>
          </w:tcPr>
          <w:p w14:paraId="2527486B">
            <w:pPr>
              <w:autoSpaceDE w:val="0"/>
              <w:autoSpaceDN w:val="0"/>
              <w:adjustRightInd w:val="0"/>
              <w:rPr>
                <w:rFonts w:ascii="Calibri" w:hAnsi="Calibri"/>
                <w:sz w:val="20"/>
                <w:szCs w:val="20"/>
              </w:rPr>
            </w:pPr>
            <w:r>
              <w:rPr>
                <w:rFonts w:hint="eastAsia" w:ascii="Calibri" w:hAnsi="Calibri"/>
                <w:sz w:val="20"/>
                <w:szCs w:val="20"/>
              </w:rPr>
              <w:t>六、短期带薪缺勤</w:t>
            </w:r>
          </w:p>
        </w:tc>
        <w:tc>
          <w:tcPr>
            <w:tcW w:w="1612" w:type="dxa"/>
            <w:tcBorders>
              <w:top w:val="single" w:color="auto" w:sz="4" w:space="0"/>
              <w:left w:val="single" w:color="auto" w:sz="4" w:space="0"/>
              <w:bottom w:val="single" w:color="auto" w:sz="4" w:space="0"/>
              <w:right w:val="single" w:color="auto" w:sz="4" w:space="0"/>
            </w:tcBorders>
            <w:vAlign w:val="center"/>
          </w:tcPr>
          <w:p w14:paraId="70B3B4AE">
            <w:pPr>
              <w:jc w:val="right"/>
              <w:rPr>
                <w:rFonts w:ascii="Calibri" w:hAnsi="Calibri"/>
                <w:sz w:val="20"/>
                <w:szCs w:val="20"/>
              </w:rPr>
            </w:pPr>
          </w:p>
        </w:tc>
        <w:tc>
          <w:tcPr>
            <w:tcW w:w="1594" w:type="dxa"/>
            <w:tcBorders>
              <w:top w:val="single" w:color="auto" w:sz="4" w:space="0"/>
              <w:left w:val="single" w:color="auto" w:sz="4" w:space="0"/>
              <w:bottom w:val="single" w:color="auto" w:sz="4" w:space="0"/>
              <w:right w:val="single" w:color="auto" w:sz="4" w:space="0"/>
            </w:tcBorders>
            <w:vAlign w:val="center"/>
          </w:tcPr>
          <w:p w14:paraId="0F0D30DF">
            <w:pPr>
              <w:jc w:val="right"/>
              <w:rPr>
                <w:rFonts w:ascii="Calibri" w:hAnsi="Calibri"/>
                <w:sz w:val="20"/>
                <w:szCs w:val="20"/>
              </w:rPr>
            </w:pPr>
          </w:p>
        </w:tc>
        <w:tc>
          <w:tcPr>
            <w:tcW w:w="1608" w:type="dxa"/>
            <w:tcBorders>
              <w:top w:val="single" w:color="auto" w:sz="4" w:space="0"/>
              <w:left w:val="single" w:color="auto" w:sz="4" w:space="0"/>
              <w:bottom w:val="single" w:color="auto" w:sz="4" w:space="0"/>
              <w:right w:val="single" w:color="auto" w:sz="4" w:space="0"/>
            </w:tcBorders>
            <w:vAlign w:val="center"/>
          </w:tcPr>
          <w:p w14:paraId="6F53A7B7">
            <w:pPr>
              <w:jc w:val="right"/>
              <w:rPr>
                <w:rFonts w:ascii="Calibri" w:hAnsi="Calibri"/>
                <w:sz w:val="20"/>
                <w:szCs w:val="20"/>
              </w:rPr>
            </w:pPr>
          </w:p>
        </w:tc>
        <w:tc>
          <w:tcPr>
            <w:tcW w:w="1619" w:type="dxa"/>
            <w:tcBorders>
              <w:top w:val="single" w:color="auto" w:sz="4" w:space="0"/>
              <w:left w:val="single" w:color="auto" w:sz="4" w:space="0"/>
              <w:bottom w:val="single" w:color="auto" w:sz="4" w:space="0"/>
              <w:right w:val="single" w:color="auto" w:sz="4" w:space="0"/>
            </w:tcBorders>
            <w:vAlign w:val="center"/>
          </w:tcPr>
          <w:p w14:paraId="7E9C1C47">
            <w:pPr>
              <w:jc w:val="right"/>
              <w:rPr>
                <w:rFonts w:ascii="Calibri" w:hAnsi="Calibri"/>
                <w:sz w:val="20"/>
                <w:szCs w:val="20"/>
              </w:rPr>
            </w:pPr>
          </w:p>
        </w:tc>
      </w:tr>
      <w:tr w14:paraId="04E3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13" w:type="dxa"/>
            <w:tcBorders>
              <w:top w:val="single" w:color="auto" w:sz="4" w:space="0"/>
              <w:left w:val="single" w:color="auto" w:sz="4" w:space="0"/>
              <w:bottom w:val="single" w:color="auto" w:sz="4" w:space="0"/>
              <w:right w:val="single" w:color="auto" w:sz="4" w:space="0"/>
            </w:tcBorders>
            <w:vAlign w:val="center"/>
          </w:tcPr>
          <w:p w14:paraId="354173D5">
            <w:pPr>
              <w:autoSpaceDE w:val="0"/>
              <w:autoSpaceDN w:val="0"/>
              <w:adjustRightInd w:val="0"/>
              <w:rPr>
                <w:rFonts w:ascii="Calibri" w:hAnsi="Calibri"/>
                <w:sz w:val="20"/>
                <w:szCs w:val="20"/>
              </w:rPr>
            </w:pPr>
            <w:r>
              <w:rPr>
                <w:rFonts w:hint="eastAsia" w:ascii="Calibri" w:hAnsi="Calibri"/>
                <w:sz w:val="20"/>
                <w:szCs w:val="20"/>
              </w:rPr>
              <w:t>七、短期利润分享计划</w:t>
            </w:r>
          </w:p>
        </w:tc>
        <w:tc>
          <w:tcPr>
            <w:tcW w:w="1612" w:type="dxa"/>
            <w:tcBorders>
              <w:top w:val="single" w:color="auto" w:sz="4" w:space="0"/>
              <w:left w:val="single" w:color="auto" w:sz="4" w:space="0"/>
              <w:bottom w:val="single" w:color="auto" w:sz="4" w:space="0"/>
              <w:right w:val="single" w:color="auto" w:sz="4" w:space="0"/>
            </w:tcBorders>
            <w:vAlign w:val="center"/>
          </w:tcPr>
          <w:p w14:paraId="37129412">
            <w:pPr>
              <w:jc w:val="right"/>
              <w:rPr>
                <w:rFonts w:ascii="Calibri" w:hAnsi="Calibri"/>
                <w:sz w:val="20"/>
                <w:szCs w:val="20"/>
              </w:rPr>
            </w:pPr>
          </w:p>
        </w:tc>
        <w:tc>
          <w:tcPr>
            <w:tcW w:w="1594" w:type="dxa"/>
            <w:tcBorders>
              <w:top w:val="single" w:color="auto" w:sz="4" w:space="0"/>
              <w:left w:val="single" w:color="auto" w:sz="4" w:space="0"/>
              <w:bottom w:val="single" w:color="auto" w:sz="4" w:space="0"/>
              <w:right w:val="single" w:color="auto" w:sz="4" w:space="0"/>
            </w:tcBorders>
            <w:vAlign w:val="center"/>
          </w:tcPr>
          <w:p w14:paraId="797F60E4">
            <w:pPr>
              <w:jc w:val="right"/>
              <w:rPr>
                <w:rFonts w:ascii="Calibri" w:hAnsi="Calibri"/>
                <w:sz w:val="20"/>
                <w:szCs w:val="20"/>
              </w:rPr>
            </w:pPr>
          </w:p>
        </w:tc>
        <w:tc>
          <w:tcPr>
            <w:tcW w:w="1608" w:type="dxa"/>
            <w:tcBorders>
              <w:top w:val="single" w:color="auto" w:sz="4" w:space="0"/>
              <w:left w:val="single" w:color="auto" w:sz="4" w:space="0"/>
              <w:bottom w:val="single" w:color="auto" w:sz="4" w:space="0"/>
              <w:right w:val="single" w:color="auto" w:sz="4" w:space="0"/>
            </w:tcBorders>
            <w:vAlign w:val="center"/>
          </w:tcPr>
          <w:p w14:paraId="0AB2EE8F">
            <w:pPr>
              <w:jc w:val="right"/>
              <w:rPr>
                <w:rFonts w:ascii="Calibri" w:hAnsi="Calibri"/>
                <w:sz w:val="20"/>
                <w:szCs w:val="20"/>
              </w:rPr>
            </w:pPr>
          </w:p>
        </w:tc>
        <w:tc>
          <w:tcPr>
            <w:tcW w:w="1619" w:type="dxa"/>
            <w:tcBorders>
              <w:top w:val="single" w:color="auto" w:sz="4" w:space="0"/>
              <w:left w:val="single" w:color="auto" w:sz="4" w:space="0"/>
              <w:bottom w:val="single" w:color="auto" w:sz="4" w:space="0"/>
              <w:right w:val="single" w:color="auto" w:sz="4" w:space="0"/>
            </w:tcBorders>
            <w:vAlign w:val="center"/>
          </w:tcPr>
          <w:p w14:paraId="788EA3AE">
            <w:pPr>
              <w:jc w:val="right"/>
              <w:rPr>
                <w:rFonts w:ascii="Calibri" w:hAnsi="Calibri"/>
                <w:sz w:val="20"/>
                <w:szCs w:val="20"/>
              </w:rPr>
            </w:pPr>
          </w:p>
        </w:tc>
      </w:tr>
      <w:tr w14:paraId="1D3E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3" w:type="dxa"/>
            <w:tcBorders>
              <w:top w:val="single" w:color="auto" w:sz="4" w:space="0"/>
              <w:left w:val="single" w:color="auto" w:sz="4" w:space="0"/>
              <w:bottom w:val="single" w:color="auto" w:sz="4" w:space="0"/>
              <w:right w:val="single" w:color="auto" w:sz="4" w:space="0"/>
            </w:tcBorders>
            <w:vAlign w:val="center"/>
          </w:tcPr>
          <w:p w14:paraId="799E95C9">
            <w:pPr>
              <w:autoSpaceDE w:val="0"/>
              <w:autoSpaceDN w:val="0"/>
              <w:adjustRightInd w:val="0"/>
              <w:jc w:val="center"/>
              <w:rPr>
                <w:rFonts w:ascii="Calibri" w:hAnsi="Calibri"/>
                <w:sz w:val="20"/>
                <w:szCs w:val="20"/>
              </w:rPr>
            </w:pPr>
            <w:r>
              <w:rPr>
                <w:rFonts w:hint="eastAsia" w:ascii="Calibri" w:hAnsi="Calibri"/>
                <w:sz w:val="20"/>
                <w:szCs w:val="20"/>
              </w:rPr>
              <w:t>合计</w:t>
            </w:r>
          </w:p>
        </w:tc>
        <w:tc>
          <w:tcPr>
            <w:tcW w:w="1612" w:type="dxa"/>
            <w:tcBorders>
              <w:top w:val="single" w:color="auto" w:sz="4" w:space="0"/>
              <w:left w:val="single" w:color="auto" w:sz="4" w:space="0"/>
              <w:bottom w:val="single" w:color="auto" w:sz="4" w:space="0"/>
              <w:right w:val="single" w:color="auto" w:sz="4" w:space="0"/>
            </w:tcBorders>
            <w:vAlign w:val="center"/>
          </w:tcPr>
          <w:p w14:paraId="525F5C67">
            <w:pPr>
              <w:jc w:val="right"/>
              <w:rPr>
                <w:rFonts w:ascii="Calibri" w:hAnsi="Calibri"/>
                <w:sz w:val="20"/>
                <w:szCs w:val="20"/>
              </w:rPr>
            </w:pPr>
            <w:r>
              <w:rPr>
                <w:rFonts w:ascii="Calibri" w:hAnsi="Calibri"/>
                <w:sz w:val="20"/>
                <w:szCs w:val="20"/>
              </w:rPr>
              <w:t>2,478,654.56</w:t>
            </w:r>
          </w:p>
        </w:tc>
        <w:tc>
          <w:tcPr>
            <w:tcW w:w="1594" w:type="dxa"/>
            <w:tcBorders>
              <w:top w:val="single" w:color="auto" w:sz="4" w:space="0"/>
              <w:left w:val="single" w:color="auto" w:sz="4" w:space="0"/>
              <w:bottom w:val="single" w:color="auto" w:sz="4" w:space="0"/>
              <w:right w:val="single" w:color="auto" w:sz="4" w:space="0"/>
            </w:tcBorders>
            <w:vAlign w:val="center"/>
          </w:tcPr>
          <w:p w14:paraId="73C07707">
            <w:pPr>
              <w:jc w:val="right"/>
              <w:rPr>
                <w:rFonts w:ascii="Calibri" w:hAnsi="Calibri"/>
                <w:sz w:val="20"/>
                <w:szCs w:val="20"/>
              </w:rPr>
            </w:pPr>
            <w:r>
              <w:rPr>
                <w:rFonts w:ascii="Calibri" w:hAnsi="Calibri"/>
                <w:sz w:val="20"/>
                <w:szCs w:val="20"/>
              </w:rPr>
              <w:t>628,369,953.79</w:t>
            </w:r>
          </w:p>
        </w:tc>
        <w:tc>
          <w:tcPr>
            <w:tcW w:w="1608" w:type="dxa"/>
            <w:tcBorders>
              <w:top w:val="single" w:color="auto" w:sz="4" w:space="0"/>
              <w:left w:val="single" w:color="auto" w:sz="4" w:space="0"/>
              <w:bottom w:val="single" w:color="auto" w:sz="4" w:space="0"/>
              <w:right w:val="single" w:color="auto" w:sz="4" w:space="0"/>
            </w:tcBorders>
            <w:vAlign w:val="center"/>
          </w:tcPr>
          <w:p w14:paraId="2282A885">
            <w:pPr>
              <w:jc w:val="right"/>
              <w:rPr>
                <w:rFonts w:ascii="Calibri" w:hAnsi="Calibri"/>
                <w:sz w:val="20"/>
                <w:szCs w:val="20"/>
              </w:rPr>
            </w:pPr>
            <w:r>
              <w:rPr>
                <w:rFonts w:ascii="Calibri" w:hAnsi="Calibri"/>
                <w:sz w:val="20"/>
                <w:szCs w:val="20"/>
              </w:rPr>
              <w:t>622,408,613.27</w:t>
            </w:r>
          </w:p>
        </w:tc>
        <w:tc>
          <w:tcPr>
            <w:tcW w:w="1619" w:type="dxa"/>
            <w:tcBorders>
              <w:top w:val="single" w:color="auto" w:sz="4" w:space="0"/>
              <w:left w:val="single" w:color="auto" w:sz="4" w:space="0"/>
              <w:bottom w:val="single" w:color="auto" w:sz="4" w:space="0"/>
              <w:right w:val="single" w:color="auto" w:sz="4" w:space="0"/>
            </w:tcBorders>
            <w:vAlign w:val="center"/>
          </w:tcPr>
          <w:p w14:paraId="7A1F96C0">
            <w:pPr>
              <w:jc w:val="right"/>
              <w:rPr>
                <w:rFonts w:ascii="Calibri" w:hAnsi="Calibri"/>
                <w:sz w:val="20"/>
                <w:szCs w:val="20"/>
              </w:rPr>
            </w:pPr>
            <w:r>
              <w:rPr>
                <w:rFonts w:ascii="Calibri" w:hAnsi="Calibri"/>
                <w:sz w:val="20"/>
                <w:szCs w:val="20"/>
              </w:rPr>
              <w:t>8,439,995.08</w:t>
            </w:r>
          </w:p>
        </w:tc>
      </w:tr>
    </w:tbl>
    <w:p w14:paraId="61BAFC6A">
      <w:pPr>
        <w:rPr>
          <w:color w:val="000000" w:themeColor="text1"/>
          <w14:textFill>
            <w14:solidFill>
              <w14:schemeClr w14:val="tx1"/>
            </w14:solidFill>
          </w14:textFill>
        </w:rPr>
      </w:pPr>
    </w:p>
    <w:p w14:paraId="0CA8646F">
      <w:pPr>
        <w:pStyle w:val="5"/>
        <w:numPr>
          <w:ilvl w:val="0"/>
          <w:numId w:val="91"/>
        </w:numPr>
      </w:pPr>
      <w:r>
        <w:rPr>
          <w:rFonts w:hint="eastAsia"/>
        </w:rPr>
        <w:t>设定提存计划列示</w:t>
      </w:r>
    </w:p>
    <w:p w14:paraId="719703D9">
      <w:pPr>
        <w:pStyle w:val="48"/>
      </w:pPr>
      <w:sdt>
        <w:sdtPr>
          <w:alias w:val="是否适用：设定提存计划列示[双击切换]"/>
          <w:tag w:val="_GBC_b10b1dbaca2d418ba8658bab8f732ec8"/>
          <w:id w:val="594905948"/>
          <w:placeholder>
            <w:docPart w:val="GBC22222222222222222222222222222"/>
          </w:placeholder>
        </w:sdtPr>
        <w:sdtContent>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53A93F01">
      <w:pPr>
        <w:jc w:val="right"/>
      </w:pPr>
      <w:r>
        <w:rPr>
          <w:rFonts w:hint="eastAsia"/>
        </w:rPr>
        <w:t>单位：</w:t>
      </w:r>
      <w:sdt>
        <w:sdtPr>
          <w:rPr>
            <w:rFonts w:hint="eastAsia"/>
          </w:rPr>
          <w:alias w:val="单位：财务附注：设定提存计划列示"/>
          <w:tag w:val="_GBC_925094ba622346ba8857a40cf7e6f1b2"/>
          <w:id w:val="-11916018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1365579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6"/>
        <w:gridCol w:w="1623"/>
        <w:gridCol w:w="1608"/>
        <w:gridCol w:w="1637"/>
        <w:gridCol w:w="1592"/>
      </w:tblGrid>
      <w:tr w14:paraId="5FCF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a05fd1b5f8842ba9ae6094f6792dfbe"/>
            <w:id w:val="2109697002"/>
          </w:sdtPr>
          <w:sdtContent>
            <w:tc>
              <w:tcPr>
                <w:tcW w:w="2586" w:type="dxa"/>
                <w:vAlign w:val="center"/>
              </w:tcPr>
              <w:p w14:paraId="63D9544A">
                <w:pPr>
                  <w:jc w:val="center"/>
                  <w:rPr>
                    <w:rFonts w:ascii="Calibri" w:hAnsi="Calibri"/>
                    <w:sz w:val="20"/>
                    <w:szCs w:val="20"/>
                  </w:rPr>
                </w:pPr>
                <w:r>
                  <w:rPr>
                    <w:rFonts w:hint="eastAsia" w:ascii="Calibri" w:hAnsi="Calibri"/>
                    <w:sz w:val="20"/>
                    <w:szCs w:val="20"/>
                  </w:rPr>
                  <w:t>项目</w:t>
                </w:r>
              </w:p>
            </w:tc>
          </w:sdtContent>
        </w:sdt>
        <w:sdt>
          <w:sdtPr>
            <w:tag w:val="_PLD_fae7d76d85e4429d925f3d30ff27566f"/>
            <w:id w:val="1072621710"/>
          </w:sdtPr>
          <w:sdtContent>
            <w:tc>
              <w:tcPr>
                <w:tcW w:w="1623" w:type="dxa"/>
                <w:vAlign w:val="center"/>
              </w:tcPr>
              <w:p w14:paraId="20CF2BD9">
                <w:pPr>
                  <w:jc w:val="center"/>
                  <w:rPr>
                    <w:rFonts w:ascii="Calibri" w:hAnsi="Calibri"/>
                    <w:sz w:val="20"/>
                    <w:szCs w:val="20"/>
                  </w:rPr>
                </w:pPr>
                <w:r>
                  <w:rPr>
                    <w:rFonts w:hint="eastAsia" w:ascii="Calibri" w:hAnsi="Calibri"/>
                    <w:sz w:val="20"/>
                    <w:szCs w:val="20"/>
                  </w:rPr>
                  <w:t>期初余额</w:t>
                </w:r>
              </w:p>
            </w:tc>
          </w:sdtContent>
        </w:sdt>
        <w:sdt>
          <w:sdtPr>
            <w:tag w:val="_PLD_cd3c897871944aa0a1ea524d70e51704"/>
            <w:id w:val="-24409644"/>
          </w:sdtPr>
          <w:sdtContent>
            <w:tc>
              <w:tcPr>
                <w:tcW w:w="1608" w:type="dxa"/>
                <w:vAlign w:val="center"/>
              </w:tcPr>
              <w:p w14:paraId="6487AEE5">
                <w:pPr>
                  <w:jc w:val="center"/>
                  <w:rPr>
                    <w:rFonts w:ascii="Calibri" w:hAnsi="Calibri"/>
                    <w:sz w:val="20"/>
                    <w:szCs w:val="20"/>
                  </w:rPr>
                </w:pPr>
                <w:r>
                  <w:rPr>
                    <w:rFonts w:hint="eastAsia" w:ascii="Calibri" w:hAnsi="Calibri"/>
                    <w:sz w:val="20"/>
                    <w:szCs w:val="20"/>
                  </w:rPr>
                  <w:t>本期增加</w:t>
                </w:r>
              </w:p>
            </w:tc>
          </w:sdtContent>
        </w:sdt>
        <w:sdt>
          <w:sdtPr>
            <w:tag w:val="_PLD_5ef10b06a3d24730bad93c45f119182f"/>
            <w:id w:val="-402441965"/>
          </w:sdtPr>
          <w:sdtContent>
            <w:tc>
              <w:tcPr>
                <w:tcW w:w="1637" w:type="dxa"/>
                <w:vAlign w:val="center"/>
              </w:tcPr>
              <w:p w14:paraId="624F99A5">
                <w:pPr>
                  <w:jc w:val="center"/>
                  <w:rPr>
                    <w:rFonts w:ascii="Calibri" w:hAnsi="Calibri"/>
                    <w:sz w:val="20"/>
                    <w:szCs w:val="20"/>
                  </w:rPr>
                </w:pPr>
                <w:r>
                  <w:rPr>
                    <w:rFonts w:hint="eastAsia" w:ascii="Calibri" w:hAnsi="Calibri"/>
                    <w:sz w:val="20"/>
                    <w:szCs w:val="20"/>
                  </w:rPr>
                  <w:t>本期减少</w:t>
                </w:r>
              </w:p>
            </w:tc>
          </w:sdtContent>
        </w:sdt>
        <w:sdt>
          <w:sdtPr>
            <w:tag w:val="_PLD_13d5e5df016d4921aa56218755dfb8f4"/>
            <w:id w:val="-748194924"/>
          </w:sdtPr>
          <w:sdtContent>
            <w:tc>
              <w:tcPr>
                <w:tcW w:w="1592" w:type="dxa"/>
                <w:vAlign w:val="center"/>
              </w:tcPr>
              <w:p w14:paraId="133BEB29">
                <w:pPr>
                  <w:jc w:val="center"/>
                  <w:rPr>
                    <w:rFonts w:ascii="Calibri" w:hAnsi="Calibri"/>
                    <w:sz w:val="20"/>
                    <w:szCs w:val="20"/>
                  </w:rPr>
                </w:pPr>
                <w:r>
                  <w:rPr>
                    <w:rFonts w:hint="eastAsia" w:ascii="Calibri" w:hAnsi="Calibri"/>
                    <w:sz w:val="20"/>
                    <w:szCs w:val="20"/>
                  </w:rPr>
                  <w:t>期末余额</w:t>
                </w:r>
              </w:p>
            </w:tc>
          </w:sdtContent>
        </w:sdt>
      </w:tr>
      <w:tr w14:paraId="1930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6" w:type="dxa"/>
            <w:vAlign w:val="center"/>
          </w:tcPr>
          <w:p w14:paraId="00BCEDBC">
            <w:pPr>
              <w:pStyle w:val="48"/>
              <w:rPr>
                <w:sz w:val="20"/>
                <w:szCs w:val="20"/>
              </w:rPr>
            </w:pPr>
            <w:r>
              <w:rPr>
                <w:rFonts w:hint="eastAsia"/>
                <w:sz w:val="20"/>
                <w:szCs w:val="20"/>
              </w:rPr>
              <w:t>1、基本养老保险</w:t>
            </w:r>
          </w:p>
        </w:tc>
        <w:tc>
          <w:tcPr>
            <w:tcW w:w="1623" w:type="dxa"/>
            <w:vAlign w:val="center"/>
          </w:tcPr>
          <w:p w14:paraId="3A26D4ED">
            <w:pPr>
              <w:jc w:val="right"/>
              <w:rPr>
                <w:rFonts w:ascii="Calibri" w:hAnsi="Calibri"/>
                <w:sz w:val="20"/>
                <w:szCs w:val="20"/>
              </w:rPr>
            </w:pPr>
            <w:r>
              <w:rPr>
                <w:rFonts w:ascii="Calibri" w:hAnsi="Calibri"/>
                <w:sz w:val="20"/>
                <w:szCs w:val="20"/>
              </w:rPr>
              <w:t>305,977.50</w:t>
            </w:r>
          </w:p>
        </w:tc>
        <w:tc>
          <w:tcPr>
            <w:tcW w:w="1608" w:type="dxa"/>
            <w:vAlign w:val="center"/>
          </w:tcPr>
          <w:p w14:paraId="0A98AA9D">
            <w:pPr>
              <w:jc w:val="right"/>
              <w:rPr>
                <w:rFonts w:ascii="Calibri" w:hAnsi="Calibri"/>
                <w:sz w:val="20"/>
                <w:szCs w:val="20"/>
              </w:rPr>
            </w:pPr>
            <w:r>
              <w:rPr>
                <w:rFonts w:ascii="Calibri" w:hAnsi="Calibri"/>
                <w:sz w:val="20"/>
                <w:szCs w:val="20"/>
              </w:rPr>
              <w:t>47,462,644.35</w:t>
            </w:r>
          </w:p>
        </w:tc>
        <w:tc>
          <w:tcPr>
            <w:tcW w:w="1637" w:type="dxa"/>
            <w:vAlign w:val="center"/>
          </w:tcPr>
          <w:p w14:paraId="4C76221E">
            <w:pPr>
              <w:jc w:val="right"/>
              <w:rPr>
                <w:rFonts w:ascii="Calibri" w:hAnsi="Calibri"/>
                <w:sz w:val="20"/>
                <w:szCs w:val="20"/>
              </w:rPr>
            </w:pPr>
            <w:r>
              <w:rPr>
                <w:rFonts w:ascii="Calibri" w:hAnsi="Calibri"/>
                <w:sz w:val="20"/>
                <w:szCs w:val="20"/>
              </w:rPr>
              <w:t>47,315,728.79</w:t>
            </w:r>
          </w:p>
        </w:tc>
        <w:tc>
          <w:tcPr>
            <w:tcW w:w="1592" w:type="dxa"/>
            <w:vAlign w:val="center"/>
          </w:tcPr>
          <w:p w14:paraId="4C8E6AD5">
            <w:pPr>
              <w:jc w:val="right"/>
              <w:rPr>
                <w:rFonts w:ascii="Calibri" w:hAnsi="Calibri"/>
                <w:sz w:val="20"/>
                <w:szCs w:val="20"/>
              </w:rPr>
            </w:pPr>
            <w:r>
              <w:rPr>
                <w:rFonts w:ascii="Calibri" w:hAnsi="Calibri"/>
                <w:sz w:val="20"/>
                <w:szCs w:val="20"/>
              </w:rPr>
              <w:t>452,893.06</w:t>
            </w:r>
          </w:p>
        </w:tc>
      </w:tr>
      <w:tr w14:paraId="3C3F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6" w:type="dxa"/>
            <w:vAlign w:val="center"/>
          </w:tcPr>
          <w:p w14:paraId="1AED8A7E">
            <w:pPr>
              <w:pStyle w:val="48"/>
              <w:rPr>
                <w:sz w:val="20"/>
                <w:szCs w:val="20"/>
              </w:rPr>
            </w:pPr>
            <w:r>
              <w:rPr>
                <w:rFonts w:hint="eastAsia"/>
                <w:sz w:val="20"/>
                <w:szCs w:val="20"/>
              </w:rPr>
              <w:t>2、失业保险费</w:t>
            </w:r>
          </w:p>
        </w:tc>
        <w:tc>
          <w:tcPr>
            <w:tcW w:w="1623" w:type="dxa"/>
            <w:vAlign w:val="center"/>
          </w:tcPr>
          <w:p w14:paraId="15C0F5B6">
            <w:pPr>
              <w:jc w:val="right"/>
              <w:rPr>
                <w:rFonts w:ascii="Calibri" w:hAnsi="Calibri"/>
                <w:sz w:val="20"/>
                <w:szCs w:val="20"/>
              </w:rPr>
            </w:pPr>
            <w:r>
              <w:rPr>
                <w:rFonts w:ascii="Calibri" w:hAnsi="Calibri"/>
                <w:sz w:val="20"/>
                <w:szCs w:val="20"/>
              </w:rPr>
              <w:t>10,933.94</w:t>
            </w:r>
          </w:p>
        </w:tc>
        <w:tc>
          <w:tcPr>
            <w:tcW w:w="1608" w:type="dxa"/>
            <w:vAlign w:val="center"/>
          </w:tcPr>
          <w:p w14:paraId="1035D894">
            <w:pPr>
              <w:jc w:val="right"/>
              <w:rPr>
                <w:rFonts w:ascii="Calibri" w:hAnsi="Calibri"/>
                <w:sz w:val="20"/>
                <w:szCs w:val="20"/>
              </w:rPr>
            </w:pPr>
            <w:r>
              <w:rPr>
                <w:rFonts w:ascii="Calibri" w:hAnsi="Calibri"/>
                <w:sz w:val="20"/>
                <w:szCs w:val="20"/>
              </w:rPr>
              <w:t>1,893,920.70</w:t>
            </w:r>
          </w:p>
        </w:tc>
        <w:tc>
          <w:tcPr>
            <w:tcW w:w="1637" w:type="dxa"/>
            <w:vAlign w:val="center"/>
          </w:tcPr>
          <w:p w14:paraId="6B7B9E08">
            <w:pPr>
              <w:jc w:val="right"/>
              <w:rPr>
                <w:rFonts w:ascii="Calibri" w:hAnsi="Calibri"/>
                <w:sz w:val="20"/>
                <w:szCs w:val="20"/>
              </w:rPr>
            </w:pPr>
            <w:r>
              <w:rPr>
                <w:rFonts w:ascii="Calibri" w:hAnsi="Calibri"/>
                <w:sz w:val="20"/>
                <w:szCs w:val="20"/>
              </w:rPr>
              <w:t>1,890,018.64</w:t>
            </w:r>
          </w:p>
        </w:tc>
        <w:tc>
          <w:tcPr>
            <w:tcW w:w="1592" w:type="dxa"/>
            <w:vAlign w:val="center"/>
          </w:tcPr>
          <w:p w14:paraId="4FB66F1E">
            <w:pPr>
              <w:jc w:val="right"/>
              <w:rPr>
                <w:rFonts w:ascii="Calibri" w:hAnsi="Calibri"/>
                <w:sz w:val="20"/>
                <w:szCs w:val="20"/>
              </w:rPr>
            </w:pPr>
            <w:r>
              <w:rPr>
                <w:rFonts w:ascii="Calibri" w:hAnsi="Calibri"/>
                <w:sz w:val="20"/>
                <w:szCs w:val="20"/>
              </w:rPr>
              <w:t>14,836.00</w:t>
            </w:r>
          </w:p>
        </w:tc>
      </w:tr>
      <w:tr w14:paraId="3320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6" w:type="dxa"/>
            <w:vAlign w:val="center"/>
          </w:tcPr>
          <w:p w14:paraId="33E337B7">
            <w:pPr>
              <w:pStyle w:val="48"/>
              <w:rPr>
                <w:sz w:val="20"/>
                <w:szCs w:val="20"/>
              </w:rPr>
            </w:pPr>
            <w:r>
              <w:rPr>
                <w:rFonts w:hint="eastAsia"/>
                <w:sz w:val="20"/>
                <w:szCs w:val="20"/>
              </w:rPr>
              <w:t>3、企业年金缴费</w:t>
            </w:r>
          </w:p>
        </w:tc>
        <w:tc>
          <w:tcPr>
            <w:tcW w:w="1623" w:type="dxa"/>
            <w:vAlign w:val="center"/>
          </w:tcPr>
          <w:p w14:paraId="54389D06">
            <w:pPr>
              <w:jc w:val="right"/>
              <w:rPr>
                <w:rFonts w:ascii="Calibri" w:hAnsi="Calibri"/>
                <w:sz w:val="20"/>
                <w:szCs w:val="20"/>
              </w:rPr>
            </w:pPr>
          </w:p>
        </w:tc>
        <w:tc>
          <w:tcPr>
            <w:tcW w:w="1608" w:type="dxa"/>
            <w:vAlign w:val="center"/>
          </w:tcPr>
          <w:p w14:paraId="21968CFC">
            <w:pPr>
              <w:jc w:val="right"/>
              <w:rPr>
                <w:rFonts w:ascii="Calibri" w:hAnsi="Calibri"/>
                <w:sz w:val="20"/>
                <w:szCs w:val="20"/>
              </w:rPr>
            </w:pPr>
          </w:p>
        </w:tc>
        <w:tc>
          <w:tcPr>
            <w:tcW w:w="1637" w:type="dxa"/>
            <w:vAlign w:val="center"/>
          </w:tcPr>
          <w:p w14:paraId="68B81B16">
            <w:pPr>
              <w:jc w:val="right"/>
              <w:rPr>
                <w:rFonts w:ascii="Calibri" w:hAnsi="Calibri"/>
                <w:sz w:val="20"/>
                <w:szCs w:val="20"/>
              </w:rPr>
            </w:pPr>
          </w:p>
        </w:tc>
        <w:tc>
          <w:tcPr>
            <w:tcW w:w="1592" w:type="dxa"/>
            <w:vAlign w:val="center"/>
          </w:tcPr>
          <w:p w14:paraId="2C1A38C9">
            <w:pPr>
              <w:jc w:val="right"/>
              <w:rPr>
                <w:rFonts w:ascii="Calibri" w:hAnsi="Calibri"/>
                <w:sz w:val="20"/>
                <w:szCs w:val="20"/>
              </w:rPr>
            </w:pPr>
          </w:p>
        </w:tc>
      </w:tr>
      <w:tr w14:paraId="0D49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6" w:type="dxa"/>
            <w:vAlign w:val="center"/>
          </w:tcPr>
          <w:p w14:paraId="5756ED5B">
            <w:pPr>
              <w:jc w:val="center"/>
              <w:rPr>
                <w:rFonts w:ascii="Calibri" w:hAnsi="Calibri"/>
                <w:sz w:val="20"/>
                <w:szCs w:val="20"/>
              </w:rPr>
            </w:pPr>
            <w:r>
              <w:rPr>
                <w:rFonts w:hint="eastAsia" w:ascii="Calibri" w:hAnsi="Calibri"/>
                <w:sz w:val="20"/>
                <w:szCs w:val="20"/>
              </w:rPr>
              <w:t>合计</w:t>
            </w:r>
          </w:p>
        </w:tc>
        <w:tc>
          <w:tcPr>
            <w:tcW w:w="1623" w:type="dxa"/>
            <w:vAlign w:val="center"/>
          </w:tcPr>
          <w:p w14:paraId="0236AF3E">
            <w:pPr>
              <w:jc w:val="right"/>
              <w:rPr>
                <w:rFonts w:ascii="Calibri" w:hAnsi="Calibri"/>
                <w:sz w:val="20"/>
                <w:szCs w:val="20"/>
              </w:rPr>
            </w:pPr>
            <w:r>
              <w:rPr>
                <w:rFonts w:ascii="Calibri" w:hAnsi="Calibri"/>
                <w:sz w:val="20"/>
                <w:szCs w:val="20"/>
              </w:rPr>
              <w:t>316,911.44</w:t>
            </w:r>
          </w:p>
        </w:tc>
        <w:tc>
          <w:tcPr>
            <w:tcW w:w="1608" w:type="dxa"/>
            <w:vAlign w:val="center"/>
          </w:tcPr>
          <w:p w14:paraId="1F8C9821">
            <w:pPr>
              <w:jc w:val="right"/>
              <w:rPr>
                <w:rFonts w:ascii="Calibri" w:hAnsi="Calibri"/>
                <w:sz w:val="20"/>
                <w:szCs w:val="20"/>
              </w:rPr>
            </w:pPr>
            <w:r>
              <w:rPr>
                <w:rFonts w:ascii="Calibri" w:hAnsi="Calibri"/>
                <w:sz w:val="20"/>
                <w:szCs w:val="20"/>
              </w:rPr>
              <w:t>49,356,565.05</w:t>
            </w:r>
          </w:p>
        </w:tc>
        <w:tc>
          <w:tcPr>
            <w:tcW w:w="1637" w:type="dxa"/>
            <w:vAlign w:val="center"/>
          </w:tcPr>
          <w:p w14:paraId="3F00434C">
            <w:pPr>
              <w:jc w:val="right"/>
              <w:rPr>
                <w:rFonts w:ascii="Calibri" w:hAnsi="Calibri"/>
                <w:sz w:val="20"/>
                <w:szCs w:val="20"/>
              </w:rPr>
            </w:pPr>
            <w:r>
              <w:rPr>
                <w:rFonts w:ascii="Calibri" w:hAnsi="Calibri"/>
                <w:sz w:val="20"/>
                <w:szCs w:val="20"/>
              </w:rPr>
              <w:t>49,205,747.43</w:t>
            </w:r>
          </w:p>
        </w:tc>
        <w:tc>
          <w:tcPr>
            <w:tcW w:w="1592" w:type="dxa"/>
            <w:vAlign w:val="center"/>
          </w:tcPr>
          <w:p w14:paraId="0FE42D69">
            <w:pPr>
              <w:jc w:val="right"/>
              <w:rPr>
                <w:rFonts w:ascii="Calibri" w:hAnsi="Calibri"/>
                <w:sz w:val="20"/>
                <w:szCs w:val="20"/>
              </w:rPr>
            </w:pPr>
            <w:r>
              <w:rPr>
                <w:rFonts w:ascii="Calibri" w:hAnsi="Calibri"/>
                <w:sz w:val="20"/>
                <w:szCs w:val="20"/>
              </w:rPr>
              <w:t>467,729.06</w:t>
            </w:r>
          </w:p>
        </w:tc>
      </w:tr>
    </w:tbl>
    <w:p w14:paraId="51CEF192">
      <w:pPr>
        <w:autoSpaceDE w:val="0"/>
        <w:autoSpaceDN w:val="0"/>
        <w:adjustRightInd w:val="0"/>
      </w:pPr>
    </w:p>
    <w:p w14:paraId="26B387CB">
      <w:pPr>
        <w:autoSpaceDE w:val="0"/>
        <w:autoSpaceDN w:val="0"/>
        <w:adjustRightInd w:val="0"/>
      </w:pPr>
      <w:r>
        <w:rPr>
          <w:rFonts w:hint="eastAsia"/>
        </w:rPr>
        <w:t>其他说明：</w:t>
      </w:r>
    </w:p>
    <w:sdt>
      <w:sdtPr>
        <w:alias w:val="是否适用：应付职工薪酬的说明[双击切换]"/>
        <w:tag w:val="_GBC_140070104764414eae4680364e4d0b62"/>
        <w:id w:val="1102003084"/>
        <w:placeholder>
          <w:docPart w:val="GBC22222222222222222222222222222"/>
        </w:placeholder>
      </w:sdtPr>
      <w:sdtContent>
        <w:p w14:paraId="52F6851D">
          <w:pPr>
            <w:autoSpaceDE w:val="0"/>
            <w:autoSpaceDN w:val="0"/>
            <w:adjustRightInd w:val="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F535E23">
      <w:pPr>
        <w:autoSpaceDE w:val="0"/>
        <w:autoSpaceDN w:val="0"/>
        <w:adjustRightInd w:val="0"/>
      </w:pPr>
    </w:p>
    <w:p w14:paraId="686270C6">
      <w:pPr>
        <w:pStyle w:val="4"/>
        <w:numPr>
          <w:ilvl w:val="0"/>
          <w:numId w:val="61"/>
        </w:numPr>
        <w:rPr>
          <w:szCs w:val="21"/>
        </w:rPr>
      </w:pPr>
      <w:r>
        <w:rPr>
          <w:szCs w:val="21"/>
        </w:rPr>
        <w:t>应交税费</w:t>
      </w:r>
    </w:p>
    <w:sdt>
      <w:sdtPr>
        <w:alias w:val="是否适用：应交税费[双击切换]"/>
        <w:tag w:val="_GBC_2ed6216b8f4c4523a1de5c2628cc02a2"/>
        <w:id w:val="-1958487136"/>
        <w:placeholder>
          <w:docPart w:val="GBC22222222222222222222222222222"/>
        </w:placeholder>
      </w:sdtPr>
      <w:sdtContent>
        <w:p w14:paraId="3CDD96A9">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9A5D6AF">
      <w:pPr>
        <w:jc w:val="right"/>
      </w:pPr>
      <w:r>
        <w:rPr>
          <w:rFonts w:hint="eastAsia"/>
        </w:rPr>
        <w:t>单位：</w:t>
      </w:r>
      <w:sdt>
        <w:sdtPr>
          <w:rPr>
            <w:rFonts w:hint="eastAsia"/>
          </w:rPr>
          <w:alias w:val="单位：财务附注：应交税费"/>
          <w:tag w:val="_GBC_9fe49c1b8a984180ae11c305f9fe5484"/>
          <w:id w:val="-2783292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交税费"/>
          <w:tag w:val="_GBC_aefdac676d8d4584b84883b8a3980e21"/>
          <w:id w:val="-3901155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1"/>
        <w:gridCol w:w="3006"/>
        <w:gridCol w:w="3011"/>
      </w:tblGrid>
      <w:tr w14:paraId="5315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6c8ac0907441450eac644085301d6804"/>
            <w:id w:val="-315411154"/>
          </w:sdtPr>
          <w:sdtContent>
            <w:tc>
              <w:tcPr>
                <w:tcW w:w="3031" w:type="dxa"/>
                <w:vAlign w:val="center"/>
              </w:tcPr>
              <w:p w14:paraId="64F3D2BE">
                <w:pPr>
                  <w:ind w:right="105"/>
                  <w:jc w:val="center"/>
                  <w:rPr>
                    <w:rFonts w:ascii="Calibri" w:hAnsi="Calibri"/>
                    <w:sz w:val="20"/>
                    <w:szCs w:val="20"/>
                  </w:rPr>
                </w:pPr>
                <w:r>
                  <w:rPr>
                    <w:rFonts w:hint="eastAsia" w:ascii="Calibri" w:hAnsi="Calibri"/>
                    <w:sz w:val="20"/>
                    <w:szCs w:val="20"/>
                  </w:rPr>
                  <w:t>项目</w:t>
                </w:r>
              </w:p>
            </w:tc>
          </w:sdtContent>
        </w:sdt>
        <w:sdt>
          <w:sdtPr>
            <w:tag w:val="_PLD_8dab1e5e153c4b93a2d18673e1365591"/>
            <w:id w:val="1767658021"/>
          </w:sdtPr>
          <w:sdtContent>
            <w:tc>
              <w:tcPr>
                <w:tcW w:w="3006" w:type="dxa"/>
                <w:vAlign w:val="center"/>
              </w:tcPr>
              <w:p w14:paraId="69F9D9B4">
                <w:pPr>
                  <w:jc w:val="center"/>
                  <w:rPr>
                    <w:rFonts w:ascii="Calibri" w:hAnsi="Calibri"/>
                    <w:sz w:val="20"/>
                    <w:szCs w:val="20"/>
                  </w:rPr>
                </w:pPr>
                <w:r>
                  <w:rPr>
                    <w:rFonts w:hint="eastAsia" w:ascii="Calibri" w:hAnsi="Calibri"/>
                    <w:sz w:val="20"/>
                    <w:szCs w:val="20"/>
                  </w:rPr>
                  <w:t>期末余额</w:t>
                </w:r>
              </w:p>
            </w:tc>
          </w:sdtContent>
        </w:sdt>
        <w:sdt>
          <w:sdtPr>
            <w:tag w:val="_PLD_9793c5ba001a43cb914658d949d3dcec"/>
            <w:id w:val="-1360886984"/>
          </w:sdtPr>
          <w:sdtContent>
            <w:tc>
              <w:tcPr>
                <w:tcW w:w="3011" w:type="dxa"/>
                <w:vAlign w:val="center"/>
              </w:tcPr>
              <w:p w14:paraId="6EB631D4">
                <w:pPr>
                  <w:jc w:val="center"/>
                  <w:rPr>
                    <w:rFonts w:ascii="Calibri" w:hAnsi="Calibri"/>
                    <w:sz w:val="20"/>
                    <w:szCs w:val="20"/>
                  </w:rPr>
                </w:pPr>
                <w:r>
                  <w:rPr>
                    <w:rFonts w:hint="eastAsia" w:ascii="Calibri" w:hAnsi="Calibri"/>
                    <w:sz w:val="20"/>
                    <w:szCs w:val="20"/>
                  </w:rPr>
                  <w:t>期初余额</w:t>
                </w:r>
              </w:p>
            </w:tc>
          </w:sdtContent>
        </w:sdt>
      </w:tr>
      <w:tr w14:paraId="0EA7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31" w:type="dxa"/>
            <w:vAlign w:val="center"/>
          </w:tcPr>
          <w:p w14:paraId="5F219780">
            <w:pPr>
              <w:ind w:right="105"/>
              <w:rPr>
                <w:rFonts w:ascii="Calibri" w:hAnsi="Calibri"/>
                <w:sz w:val="20"/>
                <w:szCs w:val="20"/>
              </w:rPr>
            </w:pPr>
            <w:r>
              <w:rPr>
                <w:rFonts w:hint="eastAsia" w:ascii="Calibri" w:hAnsi="Calibri"/>
                <w:sz w:val="20"/>
                <w:szCs w:val="20"/>
              </w:rPr>
              <w:t>增值税</w:t>
            </w:r>
          </w:p>
        </w:tc>
        <w:tc>
          <w:tcPr>
            <w:tcW w:w="3006" w:type="dxa"/>
            <w:vAlign w:val="center"/>
          </w:tcPr>
          <w:p w14:paraId="011FDCC8">
            <w:pPr>
              <w:ind w:right="73"/>
              <w:jc w:val="right"/>
              <w:rPr>
                <w:rFonts w:ascii="Calibri" w:hAnsi="Calibri"/>
                <w:sz w:val="20"/>
                <w:szCs w:val="20"/>
              </w:rPr>
            </w:pPr>
            <w:r>
              <w:rPr>
                <w:rFonts w:ascii="Calibri" w:hAnsi="Calibri"/>
                <w:sz w:val="20"/>
                <w:szCs w:val="20"/>
              </w:rPr>
              <w:t>9,299,739.44</w:t>
            </w:r>
          </w:p>
        </w:tc>
        <w:tc>
          <w:tcPr>
            <w:tcW w:w="3011" w:type="dxa"/>
            <w:vAlign w:val="center"/>
          </w:tcPr>
          <w:p w14:paraId="287C921C">
            <w:pPr>
              <w:jc w:val="right"/>
              <w:rPr>
                <w:rFonts w:ascii="Calibri" w:hAnsi="Calibri"/>
                <w:sz w:val="20"/>
                <w:szCs w:val="20"/>
              </w:rPr>
            </w:pPr>
            <w:r>
              <w:rPr>
                <w:rFonts w:ascii="Calibri" w:hAnsi="Calibri"/>
                <w:sz w:val="20"/>
                <w:szCs w:val="20"/>
              </w:rPr>
              <w:t>45,770,265.64</w:t>
            </w:r>
          </w:p>
        </w:tc>
      </w:tr>
      <w:tr w14:paraId="0A8B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31" w:type="dxa"/>
            <w:vAlign w:val="center"/>
          </w:tcPr>
          <w:p w14:paraId="6019942D">
            <w:pPr>
              <w:ind w:right="105"/>
              <w:rPr>
                <w:rFonts w:ascii="Calibri" w:hAnsi="Calibri"/>
                <w:sz w:val="20"/>
                <w:szCs w:val="20"/>
              </w:rPr>
            </w:pPr>
            <w:r>
              <w:rPr>
                <w:rFonts w:ascii="Calibri" w:hAnsi="Calibri"/>
                <w:sz w:val="20"/>
                <w:szCs w:val="20"/>
              </w:rPr>
              <w:t>房产税</w:t>
            </w:r>
          </w:p>
        </w:tc>
        <w:tc>
          <w:tcPr>
            <w:tcW w:w="3006" w:type="dxa"/>
            <w:vAlign w:val="center"/>
          </w:tcPr>
          <w:p w14:paraId="7ACDEF78">
            <w:pPr>
              <w:ind w:right="73"/>
              <w:jc w:val="right"/>
              <w:rPr>
                <w:rFonts w:ascii="Calibri" w:hAnsi="Calibri"/>
                <w:sz w:val="20"/>
                <w:szCs w:val="20"/>
              </w:rPr>
            </w:pPr>
          </w:p>
        </w:tc>
        <w:tc>
          <w:tcPr>
            <w:tcW w:w="3011" w:type="dxa"/>
            <w:vAlign w:val="center"/>
          </w:tcPr>
          <w:p w14:paraId="1FD14DA2">
            <w:pPr>
              <w:jc w:val="right"/>
              <w:rPr>
                <w:rFonts w:ascii="Calibri" w:hAnsi="Calibri"/>
                <w:sz w:val="20"/>
                <w:szCs w:val="20"/>
              </w:rPr>
            </w:pPr>
            <w:r>
              <w:rPr>
                <w:rFonts w:ascii="Calibri" w:hAnsi="Calibri"/>
                <w:sz w:val="20"/>
                <w:szCs w:val="20"/>
              </w:rPr>
              <w:t>24,932.57</w:t>
            </w:r>
          </w:p>
        </w:tc>
      </w:tr>
      <w:tr w14:paraId="75EE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31" w:type="dxa"/>
            <w:vAlign w:val="center"/>
          </w:tcPr>
          <w:p w14:paraId="4BAA58F0">
            <w:pPr>
              <w:ind w:right="105"/>
              <w:rPr>
                <w:rFonts w:ascii="Calibri" w:hAnsi="Calibri"/>
                <w:sz w:val="20"/>
                <w:szCs w:val="20"/>
              </w:rPr>
            </w:pPr>
            <w:r>
              <w:rPr>
                <w:rFonts w:ascii="Calibri" w:hAnsi="Calibri"/>
                <w:sz w:val="20"/>
                <w:szCs w:val="20"/>
              </w:rPr>
              <w:t>土地使用税</w:t>
            </w:r>
          </w:p>
        </w:tc>
        <w:tc>
          <w:tcPr>
            <w:tcW w:w="3006" w:type="dxa"/>
            <w:vAlign w:val="center"/>
          </w:tcPr>
          <w:p w14:paraId="19D5D272">
            <w:pPr>
              <w:ind w:right="73"/>
              <w:jc w:val="right"/>
              <w:rPr>
                <w:rFonts w:ascii="Calibri" w:hAnsi="Calibri"/>
                <w:sz w:val="20"/>
                <w:szCs w:val="20"/>
              </w:rPr>
            </w:pPr>
            <w:r>
              <w:rPr>
                <w:rFonts w:ascii="Calibri" w:hAnsi="Calibri"/>
                <w:sz w:val="20"/>
                <w:szCs w:val="20"/>
              </w:rPr>
              <w:t>8,300.29</w:t>
            </w:r>
          </w:p>
        </w:tc>
        <w:tc>
          <w:tcPr>
            <w:tcW w:w="3011" w:type="dxa"/>
            <w:vAlign w:val="center"/>
          </w:tcPr>
          <w:p w14:paraId="6125A51E">
            <w:pPr>
              <w:jc w:val="right"/>
              <w:rPr>
                <w:rFonts w:ascii="Calibri" w:hAnsi="Calibri"/>
                <w:sz w:val="20"/>
                <w:szCs w:val="20"/>
              </w:rPr>
            </w:pPr>
            <w:r>
              <w:rPr>
                <w:rFonts w:ascii="Calibri" w:hAnsi="Calibri"/>
                <w:sz w:val="20"/>
                <w:szCs w:val="20"/>
              </w:rPr>
              <w:t>8,841.88</w:t>
            </w:r>
          </w:p>
        </w:tc>
      </w:tr>
      <w:tr w14:paraId="6948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31" w:type="dxa"/>
            <w:vAlign w:val="center"/>
          </w:tcPr>
          <w:p w14:paraId="464E6BA6">
            <w:pPr>
              <w:ind w:right="105"/>
              <w:rPr>
                <w:rFonts w:ascii="Calibri" w:hAnsi="Calibri"/>
                <w:sz w:val="20"/>
                <w:szCs w:val="20"/>
              </w:rPr>
            </w:pPr>
            <w:r>
              <w:rPr>
                <w:rFonts w:hint="eastAsia" w:ascii="Calibri" w:hAnsi="Calibri"/>
                <w:sz w:val="20"/>
                <w:szCs w:val="20"/>
              </w:rPr>
              <w:t>企业所得税</w:t>
            </w:r>
          </w:p>
        </w:tc>
        <w:tc>
          <w:tcPr>
            <w:tcW w:w="3006" w:type="dxa"/>
            <w:vAlign w:val="center"/>
          </w:tcPr>
          <w:p w14:paraId="48020EBB">
            <w:pPr>
              <w:ind w:right="73"/>
              <w:jc w:val="right"/>
              <w:rPr>
                <w:rFonts w:ascii="Calibri" w:hAnsi="Calibri"/>
                <w:sz w:val="20"/>
                <w:szCs w:val="20"/>
              </w:rPr>
            </w:pPr>
            <w:r>
              <w:rPr>
                <w:rFonts w:ascii="Calibri" w:hAnsi="Calibri"/>
                <w:sz w:val="20"/>
                <w:szCs w:val="20"/>
              </w:rPr>
              <w:t>1,707,806.62</w:t>
            </w:r>
          </w:p>
        </w:tc>
        <w:tc>
          <w:tcPr>
            <w:tcW w:w="3011" w:type="dxa"/>
            <w:vAlign w:val="center"/>
          </w:tcPr>
          <w:p w14:paraId="5DC15FAE">
            <w:pPr>
              <w:jc w:val="right"/>
              <w:rPr>
                <w:rFonts w:ascii="Calibri" w:hAnsi="Calibri"/>
                <w:sz w:val="20"/>
                <w:szCs w:val="20"/>
              </w:rPr>
            </w:pPr>
            <w:r>
              <w:rPr>
                <w:rFonts w:ascii="Calibri" w:hAnsi="Calibri"/>
                <w:sz w:val="20"/>
                <w:szCs w:val="20"/>
              </w:rPr>
              <w:t>78,042.09</w:t>
            </w:r>
          </w:p>
        </w:tc>
      </w:tr>
      <w:tr w14:paraId="5CA8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31" w:type="dxa"/>
            <w:vAlign w:val="center"/>
          </w:tcPr>
          <w:p w14:paraId="37E27838">
            <w:pPr>
              <w:ind w:right="105"/>
              <w:rPr>
                <w:rFonts w:ascii="Calibri" w:hAnsi="Calibri"/>
                <w:sz w:val="20"/>
                <w:szCs w:val="20"/>
              </w:rPr>
            </w:pPr>
            <w:r>
              <w:rPr>
                <w:rFonts w:ascii="Calibri" w:hAnsi="Calibri"/>
                <w:sz w:val="20"/>
                <w:szCs w:val="20"/>
              </w:rPr>
              <w:t>教育费附加</w:t>
            </w:r>
          </w:p>
        </w:tc>
        <w:tc>
          <w:tcPr>
            <w:tcW w:w="3006" w:type="dxa"/>
            <w:vAlign w:val="center"/>
          </w:tcPr>
          <w:p w14:paraId="68D9741A">
            <w:pPr>
              <w:ind w:right="73"/>
              <w:jc w:val="right"/>
              <w:rPr>
                <w:rFonts w:ascii="Calibri" w:hAnsi="Calibri"/>
                <w:sz w:val="20"/>
                <w:szCs w:val="20"/>
              </w:rPr>
            </w:pPr>
            <w:r>
              <w:rPr>
                <w:rFonts w:ascii="Calibri" w:hAnsi="Calibri"/>
                <w:sz w:val="20"/>
                <w:szCs w:val="20"/>
              </w:rPr>
              <w:t>275,969.88</w:t>
            </w:r>
          </w:p>
        </w:tc>
        <w:tc>
          <w:tcPr>
            <w:tcW w:w="3011" w:type="dxa"/>
            <w:vAlign w:val="center"/>
          </w:tcPr>
          <w:p w14:paraId="18F06471">
            <w:pPr>
              <w:jc w:val="right"/>
              <w:rPr>
                <w:rFonts w:ascii="Calibri" w:hAnsi="Calibri"/>
                <w:sz w:val="20"/>
                <w:szCs w:val="20"/>
              </w:rPr>
            </w:pPr>
            <w:r>
              <w:rPr>
                <w:rFonts w:ascii="Calibri" w:hAnsi="Calibri"/>
                <w:sz w:val="20"/>
                <w:szCs w:val="20"/>
              </w:rPr>
              <w:t>1,374,250.65</w:t>
            </w:r>
          </w:p>
        </w:tc>
      </w:tr>
      <w:tr w14:paraId="129F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31" w:type="dxa"/>
            <w:vAlign w:val="center"/>
          </w:tcPr>
          <w:p w14:paraId="6676C648">
            <w:pPr>
              <w:ind w:right="105"/>
              <w:rPr>
                <w:rFonts w:ascii="Calibri" w:hAnsi="Calibri"/>
                <w:sz w:val="20"/>
                <w:szCs w:val="20"/>
              </w:rPr>
            </w:pPr>
            <w:r>
              <w:rPr>
                <w:rFonts w:ascii="Calibri" w:hAnsi="Calibri"/>
                <w:sz w:val="20"/>
                <w:szCs w:val="20"/>
              </w:rPr>
              <w:t>地方教育费附加</w:t>
            </w:r>
          </w:p>
        </w:tc>
        <w:tc>
          <w:tcPr>
            <w:tcW w:w="3006" w:type="dxa"/>
            <w:vAlign w:val="center"/>
          </w:tcPr>
          <w:p w14:paraId="468BF649">
            <w:pPr>
              <w:ind w:right="73"/>
              <w:jc w:val="right"/>
              <w:rPr>
                <w:rFonts w:ascii="Calibri" w:hAnsi="Calibri"/>
                <w:sz w:val="20"/>
                <w:szCs w:val="20"/>
              </w:rPr>
            </w:pPr>
            <w:r>
              <w:rPr>
                <w:rFonts w:ascii="Calibri" w:hAnsi="Calibri"/>
                <w:sz w:val="20"/>
                <w:szCs w:val="20"/>
              </w:rPr>
              <w:t>183,979.92</w:t>
            </w:r>
          </w:p>
        </w:tc>
        <w:tc>
          <w:tcPr>
            <w:tcW w:w="3011" w:type="dxa"/>
            <w:vAlign w:val="center"/>
          </w:tcPr>
          <w:p w14:paraId="5CE11B67">
            <w:pPr>
              <w:jc w:val="right"/>
              <w:rPr>
                <w:rFonts w:ascii="Calibri" w:hAnsi="Calibri"/>
                <w:sz w:val="20"/>
                <w:szCs w:val="20"/>
              </w:rPr>
            </w:pPr>
            <w:r>
              <w:rPr>
                <w:rFonts w:ascii="Calibri" w:hAnsi="Calibri"/>
                <w:sz w:val="20"/>
                <w:szCs w:val="20"/>
              </w:rPr>
              <w:t>913,725.55</w:t>
            </w:r>
          </w:p>
        </w:tc>
      </w:tr>
      <w:tr w14:paraId="2ADB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31" w:type="dxa"/>
            <w:vAlign w:val="center"/>
          </w:tcPr>
          <w:p w14:paraId="3B9468C9">
            <w:pPr>
              <w:ind w:right="105"/>
              <w:rPr>
                <w:rFonts w:ascii="Calibri" w:hAnsi="Calibri"/>
                <w:sz w:val="20"/>
                <w:szCs w:val="20"/>
              </w:rPr>
            </w:pPr>
            <w:r>
              <w:rPr>
                <w:rFonts w:ascii="Calibri" w:hAnsi="Calibri"/>
                <w:sz w:val="20"/>
                <w:szCs w:val="20"/>
              </w:rPr>
              <w:t>水利建设基金</w:t>
            </w:r>
          </w:p>
        </w:tc>
        <w:tc>
          <w:tcPr>
            <w:tcW w:w="3006" w:type="dxa"/>
            <w:vAlign w:val="center"/>
          </w:tcPr>
          <w:p w14:paraId="32544D12">
            <w:pPr>
              <w:ind w:right="73"/>
              <w:jc w:val="right"/>
              <w:rPr>
                <w:rFonts w:ascii="Calibri" w:hAnsi="Calibri"/>
                <w:sz w:val="20"/>
                <w:szCs w:val="20"/>
              </w:rPr>
            </w:pPr>
            <w:r>
              <w:rPr>
                <w:rFonts w:ascii="Calibri" w:hAnsi="Calibri"/>
                <w:sz w:val="20"/>
                <w:szCs w:val="20"/>
              </w:rPr>
              <w:t>98,166.25</w:t>
            </w:r>
          </w:p>
        </w:tc>
        <w:tc>
          <w:tcPr>
            <w:tcW w:w="3011" w:type="dxa"/>
            <w:vAlign w:val="center"/>
          </w:tcPr>
          <w:p w14:paraId="491FD6E3">
            <w:pPr>
              <w:jc w:val="right"/>
              <w:rPr>
                <w:rFonts w:ascii="Calibri" w:hAnsi="Calibri"/>
                <w:sz w:val="20"/>
                <w:szCs w:val="20"/>
              </w:rPr>
            </w:pPr>
            <w:r>
              <w:rPr>
                <w:rFonts w:ascii="Calibri" w:hAnsi="Calibri"/>
                <w:sz w:val="20"/>
                <w:szCs w:val="20"/>
              </w:rPr>
              <w:t>170,401.60</w:t>
            </w:r>
          </w:p>
        </w:tc>
      </w:tr>
      <w:tr w14:paraId="7E01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31" w:type="dxa"/>
            <w:vAlign w:val="center"/>
          </w:tcPr>
          <w:p w14:paraId="0DD129CE">
            <w:pPr>
              <w:ind w:right="105"/>
              <w:rPr>
                <w:rFonts w:ascii="Calibri" w:hAnsi="Calibri"/>
                <w:sz w:val="20"/>
                <w:szCs w:val="20"/>
              </w:rPr>
            </w:pPr>
            <w:r>
              <w:rPr>
                <w:rFonts w:hint="eastAsia" w:ascii="Calibri" w:hAnsi="Calibri"/>
                <w:sz w:val="20"/>
                <w:szCs w:val="20"/>
              </w:rPr>
              <w:t>个人所得税</w:t>
            </w:r>
          </w:p>
        </w:tc>
        <w:tc>
          <w:tcPr>
            <w:tcW w:w="3006" w:type="dxa"/>
            <w:vAlign w:val="center"/>
          </w:tcPr>
          <w:p w14:paraId="0847E2D2">
            <w:pPr>
              <w:ind w:right="73"/>
              <w:jc w:val="right"/>
              <w:rPr>
                <w:rFonts w:ascii="Calibri" w:hAnsi="Calibri"/>
                <w:sz w:val="20"/>
                <w:szCs w:val="20"/>
              </w:rPr>
            </w:pPr>
            <w:r>
              <w:rPr>
                <w:rFonts w:ascii="Calibri" w:hAnsi="Calibri"/>
                <w:sz w:val="20"/>
                <w:szCs w:val="20"/>
              </w:rPr>
              <w:t>22,857,133.79</w:t>
            </w:r>
          </w:p>
        </w:tc>
        <w:tc>
          <w:tcPr>
            <w:tcW w:w="3011" w:type="dxa"/>
            <w:vAlign w:val="center"/>
          </w:tcPr>
          <w:p w14:paraId="1CA96AB9">
            <w:pPr>
              <w:jc w:val="right"/>
              <w:rPr>
                <w:rFonts w:ascii="Calibri" w:hAnsi="Calibri"/>
                <w:sz w:val="20"/>
                <w:szCs w:val="20"/>
              </w:rPr>
            </w:pPr>
            <w:r>
              <w:rPr>
                <w:rFonts w:ascii="Calibri" w:hAnsi="Calibri"/>
                <w:sz w:val="20"/>
                <w:szCs w:val="20"/>
              </w:rPr>
              <w:t>4,279,643.85</w:t>
            </w:r>
          </w:p>
        </w:tc>
      </w:tr>
      <w:tr w14:paraId="6DF5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31" w:type="dxa"/>
            <w:vAlign w:val="center"/>
          </w:tcPr>
          <w:p w14:paraId="4C170C1A">
            <w:pPr>
              <w:ind w:right="105"/>
              <w:rPr>
                <w:rFonts w:ascii="Calibri" w:hAnsi="Calibri"/>
                <w:sz w:val="20"/>
                <w:szCs w:val="20"/>
              </w:rPr>
            </w:pPr>
            <w:r>
              <w:rPr>
                <w:rFonts w:hint="eastAsia" w:ascii="Calibri" w:hAnsi="Calibri"/>
                <w:sz w:val="20"/>
                <w:szCs w:val="20"/>
              </w:rPr>
              <w:t>城市维护建设税</w:t>
            </w:r>
          </w:p>
        </w:tc>
        <w:tc>
          <w:tcPr>
            <w:tcW w:w="3006" w:type="dxa"/>
            <w:vAlign w:val="center"/>
          </w:tcPr>
          <w:p w14:paraId="7C7F99B7">
            <w:pPr>
              <w:ind w:right="73"/>
              <w:jc w:val="right"/>
              <w:rPr>
                <w:rFonts w:ascii="Calibri" w:hAnsi="Calibri"/>
                <w:sz w:val="20"/>
                <w:szCs w:val="20"/>
              </w:rPr>
            </w:pPr>
            <w:r>
              <w:rPr>
                <w:rFonts w:ascii="Calibri" w:hAnsi="Calibri"/>
                <w:sz w:val="20"/>
                <w:szCs w:val="20"/>
              </w:rPr>
              <w:t>106,394.46</w:t>
            </w:r>
          </w:p>
        </w:tc>
        <w:tc>
          <w:tcPr>
            <w:tcW w:w="3011" w:type="dxa"/>
            <w:vAlign w:val="center"/>
          </w:tcPr>
          <w:p w14:paraId="3D6553FD">
            <w:pPr>
              <w:jc w:val="right"/>
              <w:rPr>
                <w:rFonts w:ascii="Calibri" w:hAnsi="Calibri"/>
                <w:sz w:val="20"/>
                <w:szCs w:val="20"/>
              </w:rPr>
            </w:pPr>
            <w:r>
              <w:rPr>
                <w:rFonts w:ascii="Calibri" w:hAnsi="Calibri"/>
                <w:sz w:val="20"/>
                <w:szCs w:val="20"/>
              </w:rPr>
              <w:t>478,933.27</w:t>
            </w:r>
          </w:p>
        </w:tc>
      </w:tr>
      <w:tr w14:paraId="5C6F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31" w:type="dxa"/>
            <w:vAlign w:val="center"/>
          </w:tcPr>
          <w:p w14:paraId="6D22D99F">
            <w:pPr>
              <w:ind w:right="105"/>
              <w:rPr>
                <w:rFonts w:ascii="Calibri" w:hAnsi="Calibri"/>
                <w:sz w:val="20"/>
                <w:szCs w:val="20"/>
              </w:rPr>
            </w:pPr>
            <w:r>
              <w:rPr>
                <w:rFonts w:ascii="Calibri" w:hAnsi="Calibri"/>
                <w:sz w:val="20"/>
                <w:szCs w:val="20"/>
              </w:rPr>
              <w:t>印花税</w:t>
            </w:r>
          </w:p>
        </w:tc>
        <w:tc>
          <w:tcPr>
            <w:tcW w:w="3006" w:type="dxa"/>
            <w:vAlign w:val="center"/>
          </w:tcPr>
          <w:p w14:paraId="39CE1EEA">
            <w:pPr>
              <w:ind w:right="73"/>
              <w:jc w:val="right"/>
              <w:rPr>
                <w:rFonts w:ascii="Calibri" w:hAnsi="Calibri"/>
                <w:sz w:val="20"/>
                <w:szCs w:val="20"/>
              </w:rPr>
            </w:pPr>
            <w:r>
              <w:rPr>
                <w:rFonts w:ascii="Calibri" w:hAnsi="Calibri"/>
                <w:sz w:val="20"/>
                <w:szCs w:val="20"/>
              </w:rPr>
              <w:t>600,529.20</w:t>
            </w:r>
          </w:p>
        </w:tc>
        <w:tc>
          <w:tcPr>
            <w:tcW w:w="3011" w:type="dxa"/>
            <w:vAlign w:val="center"/>
          </w:tcPr>
          <w:p w14:paraId="47FDF5B6">
            <w:pPr>
              <w:jc w:val="right"/>
              <w:rPr>
                <w:rFonts w:ascii="Calibri" w:hAnsi="Calibri"/>
                <w:sz w:val="20"/>
                <w:szCs w:val="20"/>
              </w:rPr>
            </w:pPr>
            <w:r>
              <w:rPr>
                <w:rFonts w:ascii="Calibri" w:hAnsi="Calibri"/>
                <w:sz w:val="20"/>
                <w:szCs w:val="20"/>
              </w:rPr>
              <w:t>390,622.59</w:t>
            </w:r>
          </w:p>
        </w:tc>
      </w:tr>
      <w:tr w14:paraId="4F8D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31" w:type="dxa"/>
            <w:vAlign w:val="center"/>
          </w:tcPr>
          <w:p w14:paraId="513A53B2">
            <w:pPr>
              <w:ind w:right="105"/>
              <w:rPr>
                <w:rFonts w:ascii="Calibri" w:hAnsi="Calibri"/>
                <w:sz w:val="20"/>
                <w:szCs w:val="20"/>
              </w:rPr>
            </w:pPr>
            <w:r>
              <w:rPr>
                <w:rFonts w:ascii="Calibri" w:hAnsi="Calibri"/>
                <w:sz w:val="20"/>
                <w:szCs w:val="20"/>
              </w:rPr>
              <w:t>环境保护税</w:t>
            </w:r>
          </w:p>
        </w:tc>
        <w:tc>
          <w:tcPr>
            <w:tcW w:w="3006" w:type="dxa"/>
            <w:vAlign w:val="center"/>
          </w:tcPr>
          <w:p w14:paraId="0E396165">
            <w:pPr>
              <w:ind w:right="73"/>
              <w:jc w:val="right"/>
              <w:rPr>
                <w:rFonts w:ascii="Calibri" w:hAnsi="Calibri"/>
                <w:sz w:val="20"/>
                <w:szCs w:val="20"/>
              </w:rPr>
            </w:pPr>
            <w:r>
              <w:rPr>
                <w:rFonts w:ascii="Calibri" w:hAnsi="Calibri"/>
                <w:sz w:val="20"/>
                <w:szCs w:val="20"/>
              </w:rPr>
              <w:t>5,488.65</w:t>
            </w:r>
          </w:p>
        </w:tc>
        <w:tc>
          <w:tcPr>
            <w:tcW w:w="3011" w:type="dxa"/>
            <w:vAlign w:val="center"/>
          </w:tcPr>
          <w:p w14:paraId="71FB315C">
            <w:pPr>
              <w:jc w:val="right"/>
              <w:rPr>
                <w:rFonts w:ascii="Calibri" w:hAnsi="Calibri"/>
                <w:sz w:val="20"/>
                <w:szCs w:val="20"/>
              </w:rPr>
            </w:pPr>
            <w:r>
              <w:rPr>
                <w:rFonts w:ascii="Calibri" w:hAnsi="Calibri"/>
                <w:sz w:val="20"/>
                <w:szCs w:val="20"/>
              </w:rPr>
              <w:t>5,402.61</w:t>
            </w:r>
          </w:p>
        </w:tc>
      </w:tr>
      <w:tr w14:paraId="7518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31" w:type="dxa"/>
            <w:vAlign w:val="center"/>
          </w:tcPr>
          <w:p w14:paraId="46B9B634">
            <w:pPr>
              <w:ind w:right="105"/>
              <w:rPr>
                <w:rFonts w:ascii="Calibri" w:hAnsi="Calibri"/>
                <w:sz w:val="20"/>
                <w:szCs w:val="20"/>
              </w:rPr>
            </w:pPr>
            <w:r>
              <w:rPr>
                <w:rFonts w:ascii="Calibri" w:hAnsi="Calibri"/>
                <w:sz w:val="20"/>
                <w:szCs w:val="20"/>
              </w:rPr>
              <w:t>水资源税</w:t>
            </w:r>
          </w:p>
        </w:tc>
        <w:tc>
          <w:tcPr>
            <w:tcW w:w="3006" w:type="dxa"/>
            <w:vAlign w:val="center"/>
          </w:tcPr>
          <w:p w14:paraId="7F2BF34B">
            <w:pPr>
              <w:ind w:right="73"/>
              <w:jc w:val="right"/>
              <w:rPr>
                <w:rFonts w:ascii="Calibri" w:hAnsi="Calibri"/>
                <w:sz w:val="20"/>
                <w:szCs w:val="20"/>
              </w:rPr>
            </w:pPr>
            <w:r>
              <w:rPr>
                <w:rFonts w:ascii="Calibri" w:hAnsi="Calibri"/>
                <w:sz w:val="20"/>
                <w:szCs w:val="20"/>
              </w:rPr>
              <w:t>85,429.75</w:t>
            </w:r>
          </w:p>
        </w:tc>
        <w:tc>
          <w:tcPr>
            <w:tcW w:w="3011" w:type="dxa"/>
            <w:vAlign w:val="center"/>
          </w:tcPr>
          <w:p w14:paraId="32143FA3">
            <w:pPr>
              <w:jc w:val="right"/>
              <w:rPr>
                <w:rFonts w:ascii="Calibri" w:hAnsi="Calibri"/>
                <w:sz w:val="20"/>
                <w:szCs w:val="20"/>
              </w:rPr>
            </w:pPr>
            <w:r>
              <w:rPr>
                <w:rFonts w:ascii="Calibri" w:hAnsi="Calibri"/>
                <w:sz w:val="20"/>
                <w:szCs w:val="20"/>
              </w:rPr>
              <w:t>19,118.40</w:t>
            </w:r>
          </w:p>
        </w:tc>
      </w:tr>
      <w:tr w14:paraId="7696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31" w:type="dxa"/>
            <w:vAlign w:val="center"/>
          </w:tcPr>
          <w:p w14:paraId="7F107377">
            <w:pPr>
              <w:ind w:right="105"/>
              <w:jc w:val="center"/>
              <w:rPr>
                <w:rFonts w:ascii="Calibri" w:hAnsi="Calibri"/>
                <w:sz w:val="20"/>
                <w:szCs w:val="20"/>
              </w:rPr>
            </w:pPr>
            <w:r>
              <w:rPr>
                <w:rFonts w:hint="eastAsia" w:ascii="Calibri" w:hAnsi="Calibri"/>
                <w:sz w:val="20"/>
                <w:szCs w:val="20"/>
              </w:rPr>
              <w:t>合计</w:t>
            </w:r>
          </w:p>
        </w:tc>
        <w:tc>
          <w:tcPr>
            <w:tcW w:w="3006" w:type="dxa"/>
            <w:vAlign w:val="center"/>
          </w:tcPr>
          <w:p w14:paraId="27FC2F11">
            <w:pPr>
              <w:ind w:right="73"/>
              <w:jc w:val="right"/>
              <w:rPr>
                <w:rFonts w:ascii="Calibri" w:hAnsi="Calibri"/>
                <w:sz w:val="20"/>
                <w:szCs w:val="20"/>
              </w:rPr>
            </w:pPr>
            <w:r>
              <w:rPr>
                <w:rFonts w:ascii="Calibri" w:hAnsi="Calibri"/>
                <w:sz w:val="20"/>
                <w:szCs w:val="20"/>
              </w:rPr>
              <w:t>35,228,938.25</w:t>
            </w:r>
          </w:p>
        </w:tc>
        <w:tc>
          <w:tcPr>
            <w:tcW w:w="3011" w:type="dxa"/>
            <w:vAlign w:val="center"/>
          </w:tcPr>
          <w:p w14:paraId="6BFB323A">
            <w:pPr>
              <w:jc w:val="right"/>
              <w:rPr>
                <w:rFonts w:ascii="Calibri" w:hAnsi="Calibri"/>
                <w:sz w:val="20"/>
                <w:szCs w:val="20"/>
              </w:rPr>
            </w:pPr>
            <w:r>
              <w:rPr>
                <w:rFonts w:ascii="Calibri" w:hAnsi="Calibri"/>
                <w:sz w:val="20"/>
                <w:szCs w:val="20"/>
              </w:rPr>
              <w:t>53,514,180.70</w:t>
            </w:r>
          </w:p>
        </w:tc>
      </w:tr>
    </w:tbl>
    <w:p w14:paraId="62ABEF6D"/>
    <w:p w14:paraId="02D1957C">
      <w:pPr>
        <w:pStyle w:val="48"/>
      </w:pPr>
    </w:p>
    <w:p w14:paraId="49CD4314">
      <w:pPr>
        <w:pStyle w:val="48"/>
      </w:pPr>
    </w:p>
    <w:p w14:paraId="3607D6AE">
      <w:pPr>
        <w:pStyle w:val="4"/>
        <w:numPr>
          <w:ilvl w:val="0"/>
          <w:numId w:val="61"/>
        </w:numPr>
        <w:rPr>
          <w:szCs w:val="21"/>
        </w:rPr>
      </w:pPr>
      <w:r>
        <w:rPr>
          <w:szCs w:val="21"/>
        </w:rPr>
        <w:t>其他应付款</w:t>
      </w:r>
    </w:p>
    <w:p w14:paraId="67DA4BED">
      <w:pPr>
        <w:pStyle w:val="5"/>
        <w:numPr>
          <w:ilvl w:val="0"/>
          <w:numId w:val="92"/>
        </w:numPr>
      </w:pPr>
      <w:bookmarkStart w:id="329" w:name="_Hlk532910042"/>
      <w:r>
        <w:rPr>
          <w:rFonts w:hint="eastAsia"/>
        </w:rPr>
        <w:t>项目列示</w:t>
      </w:r>
    </w:p>
    <w:sdt>
      <w:sdtPr>
        <w:alias w:val="是否适用：其他应付款分类列示[双击切换]"/>
        <w:tag w:val="_GBC_66f20e30acfe43c3b4edf860d086ad10"/>
        <w:id w:val="-73357682"/>
        <w:placeholder>
          <w:docPart w:val="GBC22222222222222222222222222222"/>
        </w:placeholder>
      </w:sdtPr>
      <w:sdtContent>
        <w:p w14:paraId="32C58B4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9E498CD">
      <w:pPr>
        <w:jc w:val="right"/>
      </w:pPr>
      <w:r>
        <w:rPr>
          <w:rFonts w:hint="eastAsia"/>
        </w:rPr>
        <w:t>单位：</w:t>
      </w:r>
      <w:sdt>
        <w:sdtPr>
          <w:rPr>
            <w:rFonts w:hint="eastAsia"/>
          </w:rPr>
          <w:alias w:val="单位：其他应付款分类列示"/>
          <w:tag w:val="_GBC_1d2c755c7a60470390b86f677f589d52"/>
          <w:id w:val="-418374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其他应付款分类列示"/>
          <w:tag w:val="_GBC_54becc5fdf374134a56007701ad1c4e0"/>
          <w:id w:val="-7429532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8"/>
        <w:gridCol w:w="2863"/>
        <w:gridCol w:w="2877"/>
      </w:tblGrid>
      <w:tr w14:paraId="68CC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b32323c48c441e4832da1fe28654990"/>
            <w:id w:val="1116330194"/>
          </w:sdtPr>
          <w:sdtContent>
            <w:tc>
              <w:tcPr>
                <w:tcW w:w="3308" w:type="dxa"/>
                <w:vAlign w:val="center"/>
              </w:tcPr>
              <w:p w14:paraId="0A129BA2">
                <w:pPr>
                  <w:tabs>
                    <w:tab w:val="right" w:pos="3690"/>
                    <w:tab w:val="right" w:pos="5130"/>
                    <w:tab w:val="right" w:pos="6030"/>
                    <w:tab w:val="right" w:pos="7650"/>
                    <w:tab w:val="right" w:pos="9270"/>
                  </w:tabs>
                  <w:adjustRightInd w:val="0"/>
                  <w:snapToGrid w:val="0"/>
                  <w:jc w:val="center"/>
                  <w:rPr>
                    <w:rFonts w:ascii="Calibri" w:hAnsi="Calibri"/>
                    <w:sz w:val="20"/>
                    <w:szCs w:val="20"/>
                  </w:rPr>
                </w:pPr>
                <w:r>
                  <w:rPr>
                    <w:rFonts w:hint="eastAsia" w:ascii="Calibri" w:hAnsi="Calibri"/>
                    <w:sz w:val="20"/>
                    <w:szCs w:val="20"/>
                  </w:rPr>
                  <w:t>项目</w:t>
                </w:r>
              </w:p>
            </w:tc>
          </w:sdtContent>
        </w:sdt>
        <w:sdt>
          <w:sdtPr>
            <w:tag w:val="_PLD_427fe40919c945eaada0e2529b497787"/>
            <w:id w:val="1401953895"/>
          </w:sdtPr>
          <w:sdtContent>
            <w:tc>
              <w:tcPr>
                <w:tcW w:w="2863" w:type="dxa"/>
                <w:vAlign w:val="center"/>
              </w:tcPr>
              <w:p w14:paraId="5DE44A11">
                <w:pPr>
                  <w:jc w:val="center"/>
                  <w:rPr>
                    <w:rFonts w:ascii="Calibri" w:hAnsi="Calibri"/>
                    <w:sz w:val="20"/>
                    <w:szCs w:val="20"/>
                  </w:rPr>
                </w:pPr>
                <w:r>
                  <w:rPr>
                    <w:rFonts w:hint="eastAsia" w:ascii="Calibri" w:hAnsi="Calibri"/>
                    <w:sz w:val="20"/>
                    <w:szCs w:val="20"/>
                  </w:rPr>
                  <w:t>期末余额</w:t>
                </w:r>
              </w:p>
            </w:tc>
          </w:sdtContent>
        </w:sdt>
        <w:sdt>
          <w:sdtPr>
            <w:tag w:val="_PLD_963dd0fff1a644319fa667127e37c635"/>
            <w:id w:val="-1444298246"/>
          </w:sdtPr>
          <w:sdtContent>
            <w:tc>
              <w:tcPr>
                <w:tcW w:w="2877" w:type="dxa"/>
                <w:vAlign w:val="center"/>
              </w:tcPr>
              <w:p w14:paraId="11B810FF">
                <w:pPr>
                  <w:jc w:val="center"/>
                  <w:rPr>
                    <w:rFonts w:ascii="Calibri" w:hAnsi="Calibri"/>
                    <w:sz w:val="20"/>
                    <w:szCs w:val="20"/>
                  </w:rPr>
                </w:pPr>
                <w:r>
                  <w:rPr>
                    <w:rFonts w:hint="eastAsia" w:ascii="Calibri" w:hAnsi="Calibri"/>
                    <w:sz w:val="20"/>
                    <w:szCs w:val="20"/>
                  </w:rPr>
                  <w:t>期初余额</w:t>
                </w:r>
              </w:p>
            </w:tc>
          </w:sdtContent>
        </w:sdt>
      </w:tr>
      <w:tr w14:paraId="32E5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8" w:type="dxa"/>
            <w:vAlign w:val="center"/>
          </w:tcPr>
          <w:p w14:paraId="556737B0">
            <w:pPr>
              <w:tabs>
                <w:tab w:val="right" w:pos="3690"/>
                <w:tab w:val="right" w:pos="5130"/>
                <w:tab w:val="right" w:pos="6030"/>
                <w:tab w:val="right" w:pos="7650"/>
                <w:tab w:val="right" w:pos="9270"/>
              </w:tabs>
              <w:adjustRightInd w:val="0"/>
              <w:snapToGrid w:val="0"/>
              <w:rPr>
                <w:rFonts w:ascii="Calibri" w:hAnsi="Calibri"/>
                <w:sz w:val="20"/>
                <w:szCs w:val="20"/>
              </w:rPr>
            </w:pPr>
            <w:r>
              <w:rPr>
                <w:rFonts w:hint="eastAsia" w:ascii="Calibri" w:hAnsi="Calibri"/>
                <w:sz w:val="20"/>
                <w:szCs w:val="20"/>
              </w:rPr>
              <w:t>应付利息</w:t>
            </w:r>
          </w:p>
        </w:tc>
        <w:tc>
          <w:tcPr>
            <w:tcW w:w="2863" w:type="dxa"/>
            <w:vAlign w:val="center"/>
          </w:tcPr>
          <w:p w14:paraId="33F7A70D">
            <w:pPr>
              <w:tabs>
                <w:tab w:val="right" w:pos="3690"/>
                <w:tab w:val="right" w:pos="5130"/>
                <w:tab w:val="right" w:pos="6030"/>
                <w:tab w:val="right" w:pos="7650"/>
                <w:tab w:val="right" w:pos="9270"/>
              </w:tabs>
              <w:adjustRightInd w:val="0"/>
              <w:snapToGrid w:val="0"/>
              <w:jc w:val="right"/>
              <w:rPr>
                <w:rFonts w:ascii="Calibri" w:hAnsi="Calibri"/>
                <w:sz w:val="20"/>
                <w:szCs w:val="20"/>
              </w:rPr>
            </w:pPr>
          </w:p>
        </w:tc>
        <w:tc>
          <w:tcPr>
            <w:tcW w:w="2877" w:type="dxa"/>
            <w:vAlign w:val="center"/>
          </w:tcPr>
          <w:p w14:paraId="75E733E7">
            <w:pPr>
              <w:tabs>
                <w:tab w:val="right" w:pos="3690"/>
                <w:tab w:val="right" w:pos="5130"/>
                <w:tab w:val="right" w:pos="6030"/>
                <w:tab w:val="right" w:pos="7650"/>
                <w:tab w:val="right" w:pos="9270"/>
              </w:tabs>
              <w:adjustRightInd w:val="0"/>
              <w:snapToGrid w:val="0"/>
              <w:jc w:val="right"/>
              <w:rPr>
                <w:rFonts w:ascii="Calibri" w:hAnsi="Calibri"/>
                <w:sz w:val="20"/>
                <w:szCs w:val="20"/>
              </w:rPr>
            </w:pPr>
          </w:p>
        </w:tc>
      </w:tr>
      <w:tr w14:paraId="03C1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8" w:type="dxa"/>
            <w:vAlign w:val="center"/>
          </w:tcPr>
          <w:p w14:paraId="49E79051">
            <w:pPr>
              <w:tabs>
                <w:tab w:val="right" w:pos="3690"/>
                <w:tab w:val="right" w:pos="5130"/>
                <w:tab w:val="right" w:pos="6030"/>
                <w:tab w:val="right" w:pos="7650"/>
                <w:tab w:val="right" w:pos="9270"/>
              </w:tabs>
              <w:adjustRightInd w:val="0"/>
              <w:snapToGrid w:val="0"/>
              <w:rPr>
                <w:rFonts w:ascii="Calibri" w:hAnsi="Calibri"/>
                <w:sz w:val="20"/>
                <w:szCs w:val="20"/>
              </w:rPr>
            </w:pPr>
            <w:r>
              <w:rPr>
                <w:rFonts w:hint="eastAsia" w:ascii="Calibri" w:hAnsi="Calibri"/>
                <w:sz w:val="20"/>
                <w:szCs w:val="20"/>
              </w:rPr>
              <w:t>应付股利</w:t>
            </w:r>
          </w:p>
        </w:tc>
        <w:tc>
          <w:tcPr>
            <w:tcW w:w="2863" w:type="dxa"/>
            <w:vAlign w:val="center"/>
          </w:tcPr>
          <w:p w14:paraId="080D58C7">
            <w:pPr>
              <w:tabs>
                <w:tab w:val="right" w:pos="3690"/>
                <w:tab w:val="right" w:pos="5130"/>
                <w:tab w:val="right" w:pos="6030"/>
                <w:tab w:val="right" w:pos="7650"/>
                <w:tab w:val="right" w:pos="9270"/>
              </w:tabs>
              <w:adjustRightInd w:val="0"/>
              <w:snapToGrid w:val="0"/>
              <w:jc w:val="right"/>
              <w:rPr>
                <w:rFonts w:ascii="Calibri" w:hAnsi="Calibri"/>
                <w:sz w:val="20"/>
                <w:szCs w:val="20"/>
              </w:rPr>
            </w:pPr>
          </w:p>
        </w:tc>
        <w:tc>
          <w:tcPr>
            <w:tcW w:w="2877" w:type="dxa"/>
            <w:vAlign w:val="center"/>
          </w:tcPr>
          <w:p w14:paraId="0B8347DC">
            <w:pPr>
              <w:tabs>
                <w:tab w:val="right" w:pos="3690"/>
                <w:tab w:val="right" w:pos="5130"/>
                <w:tab w:val="right" w:pos="6030"/>
                <w:tab w:val="right" w:pos="7650"/>
                <w:tab w:val="right" w:pos="9270"/>
              </w:tabs>
              <w:adjustRightInd w:val="0"/>
              <w:snapToGrid w:val="0"/>
              <w:jc w:val="right"/>
              <w:rPr>
                <w:rFonts w:ascii="Calibri" w:hAnsi="Calibri"/>
                <w:sz w:val="20"/>
                <w:szCs w:val="20"/>
              </w:rPr>
            </w:pPr>
          </w:p>
        </w:tc>
      </w:tr>
      <w:tr w14:paraId="7E18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8" w:type="dxa"/>
            <w:vAlign w:val="center"/>
          </w:tcPr>
          <w:p w14:paraId="465584AA">
            <w:pPr>
              <w:tabs>
                <w:tab w:val="right" w:pos="3690"/>
                <w:tab w:val="right" w:pos="5130"/>
                <w:tab w:val="right" w:pos="6030"/>
                <w:tab w:val="right" w:pos="7650"/>
                <w:tab w:val="right" w:pos="9270"/>
              </w:tabs>
              <w:adjustRightInd w:val="0"/>
              <w:snapToGrid w:val="0"/>
              <w:rPr>
                <w:rFonts w:ascii="Calibri" w:hAnsi="Calibri"/>
                <w:sz w:val="20"/>
                <w:szCs w:val="20"/>
              </w:rPr>
            </w:pPr>
            <w:r>
              <w:rPr>
                <w:rFonts w:hint="eastAsia" w:ascii="Calibri" w:hAnsi="Calibri"/>
                <w:sz w:val="20"/>
                <w:szCs w:val="20"/>
              </w:rPr>
              <w:t>其他应付款</w:t>
            </w:r>
          </w:p>
        </w:tc>
        <w:tc>
          <w:tcPr>
            <w:tcW w:w="2863" w:type="dxa"/>
            <w:vAlign w:val="center"/>
          </w:tcPr>
          <w:p w14:paraId="1173684D">
            <w:pPr>
              <w:tabs>
                <w:tab w:val="right" w:pos="3690"/>
                <w:tab w:val="right" w:pos="5130"/>
                <w:tab w:val="right" w:pos="6030"/>
                <w:tab w:val="right" w:pos="7650"/>
                <w:tab w:val="right" w:pos="9270"/>
              </w:tabs>
              <w:adjustRightInd w:val="0"/>
              <w:snapToGrid w:val="0"/>
              <w:jc w:val="right"/>
              <w:rPr>
                <w:rFonts w:ascii="Calibri" w:hAnsi="Calibri"/>
                <w:sz w:val="20"/>
                <w:szCs w:val="20"/>
              </w:rPr>
            </w:pPr>
            <w:r>
              <w:rPr>
                <w:rFonts w:ascii="Calibri" w:hAnsi="Calibri"/>
                <w:sz w:val="20"/>
                <w:szCs w:val="20"/>
              </w:rPr>
              <w:t>83,125,907.92</w:t>
            </w:r>
          </w:p>
        </w:tc>
        <w:tc>
          <w:tcPr>
            <w:tcW w:w="2877" w:type="dxa"/>
            <w:vAlign w:val="center"/>
          </w:tcPr>
          <w:p w14:paraId="49BFD364">
            <w:pPr>
              <w:tabs>
                <w:tab w:val="right" w:pos="3690"/>
                <w:tab w:val="right" w:pos="5130"/>
                <w:tab w:val="right" w:pos="6030"/>
                <w:tab w:val="right" w:pos="7650"/>
                <w:tab w:val="right" w:pos="9270"/>
              </w:tabs>
              <w:adjustRightInd w:val="0"/>
              <w:snapToGrid w:val="0"/>
              <w:jc w:val="right"/>
              <w:rPr>
                <w:rFonts w:ascii="Calibri" w:hAnsi="Calibri"/>
                <w:sz w:val="20"/>
                <w:szCs w:val="20"/>
              </w:rPr>
            </w:pPr>
            <w:r>
              <w:rPr>
                <w:rFonts w:ascii="Calibri" w:hAnsi="Calibri"/>
                <w:sz w:val="20"/>
                <w:szCs w:val="20"/>
              </w:rPr>
              <w:t>73,761,189.17</w:t>
            </w:r>
          </w:p>
        </w:tc>
      </w:tr>
      <w:tr w14:paraId="2670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8" w:type="dxa"/>
            <w:vAlign w:val="center"/>
          </w:tcPr>
          <w:p w14:paraId="5A511883">
            <w:pPr>
              <w:tabs>
                <w:tab w:val="right" w:pos="3690"/>
                <w:tab w:val="right" w:pos="5130"/>
                <w:tab w:val="right" w:pos="6030"/>
                <w:tab w:val="right" w:pos="7650"/>
                <w:tab w:val="right" w:pos="9270"/>
              </w:tabs>
              <w:adjustRightInd w:val="0"/>
              <w:snapToGrid w:val="0"/>
              <w:jc w:val="center"/>
              <w:rPr>
                <w:rFonts w:ascii="Calibri" w:hAnsi="Calibri"/>
                <w:sz w:val="20"/>
                <w:szCs w:val="20"/>
              </w:rPr>
            </w:pPr>
            <w:r>
              <w:rPr>
                <w:rFonts w:hint="eastAsia" w:ascii="Calibri" w:hAnsi="Calibri"/>
                <w:sz w:val="20"/>
                <w:szCs w:val="20"/>
              </w:rPr>
              <w:t>合计</w:t>
            </w:r>
          </w:p>
        </w:tc>
        <w:tc>
          <w:tcPr>
            <w:tcW w:w="2863" w:type="dxa"/>
            <w:vAlign w:val="center"/>
          </w:tcPr>
          <w:p w14:paraId="3D9C510F">
            <w:pPr>
              <w:tabs>
                <w:tab w:val="right" w:pos="3690"/>
                <w:tab w:val="right" w:pos="5130"/>
                <w:tab w:val="right" w:pos="6030"/>
                <w:tab w:val="right" w:pos="7650"/>
                <w:tab w:val="right" w:pos="9270"/>
              </w:tabs>
              <w:adjustRightInd w:val="0"/>
              <w:snapToGrid w:val="0"/>
              <w:jc w:val="right"/>
              <w:rPr>
                <w:rFonts w:ascii="Calibri" w:hAnsi="Calibri"/>
                <w:sz w:val="20"/>
                <w:szCs w:val="20"/>
              </w:rPr>
            </w:pPr>
            <w:r>
              <w:rPr>
                <w:rFonts w:ascii="Calibri" w:hAnsi="Calibri"/>
                <w:sz w:val="20"/>
                <w:szCs w:val="20"/>
              </w:rPr>
              <w:t>83,125,907.92</w:t>
            </w:r>
          </w:p>
        </w:tc>
        <w:tc>
          <w:tcPr>
            <w:tcW w:w="2877" w:type="dxa"/>
            <w:vAlign w:val="center"/>
          </w:tcPr>
          <w:p w14:paraId="51C819D2">
            <w:pPr>
              <w:tabs>
                <w:tab w:val="right" w:pos="3690"/>
                <w:tab w:val="right" w:pos="5130"/>
                <w:tab w:val="right" w:pos="6030"/>
                <w:tab w:val="right" w:pos="7650"/>
                <w:tab w:val="right" w:pos="9270"/>
              </w:tabs>
              <w:adjustRightInd w:val="0"/>
              <w:snapToGrid w:val="0"/>
              <w:jc w:val="right"/>
              <w:rPr>
                <w:rFonts w:ascii="Calibri" w:hAnsi="Calibri"/>
                <w:sz w:val="20"/>
                <w:szCs w:val="20"/>
              </w:rPr>
            </w:pPr>
            <w:r>
              <w:rPr>
                <w:rFonts w:ascii="Calibri" w:hAnsi="Calibri"/>
                <w:sz w:val="20"/>
                <w:szCs w:val="20"/>
              </w:rPr>
              <w:t>73,761,189.17</w:t>
            </w:r>
          </w:p>
        </w:tc>
      </w:tr>
    </w:tbl>
    <w:p w14:paraId="2FD89D8E">
      <w:pPr>
        <w:pStyle w:val="48"/>
      </w:pPr>
    </w:p>
    <w:p w14:paraId="3A1FF4F5">
      <w:pPr>
        <w:pStyle w:val="48"/>
      </w:pPr>
      <w:bookmarkStart w:id="330" w:name="_Hlk155097683"/>
      <w:r>
        <w:rPr>
          <w:rFonts w:hint="eastAsia"/>
        </w:rPr>
        <w:t>其他说明：</w:t>
      </w:r>
    </w:p>
    <w:sdt>
      <w:sdtPr>
        <w:alias w:val="是否适用：其他应付款分类列示其他说明[双击切换]"/>
        <w:tag w:val="_GBC_9cfb2316deee44a8a3605ab376f15408"/>
        <w:id w:val="72404130"/>
        <w:placeholder>
          <w:docPart w:val="GBC22222222222222222222222222222"/>
        </w:placeholder>
      </w:sdtPr>
      <w:sdtContent>
        <w:p w14:paraId="777BA6E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2D7938D">
      <w:pPr>
        <w:pStyle w:val="48"/>
      </w:pPr>
    </w:p>
    <w:p w14:paraId="43EF9C9F">
      <w:pPr>
        <w:pStyle w:val="5"/>
        <w:numPr>
          <w:ilvl w:val="0"/>
          <w:numId w:val="92"/>
        </w:numPr>
      </w:pPr>
      <w:r>
        <w:rPr>
          <w:rFonts w:hint="eastAsia"/>
        </w:rPr>
        <w:t>应付利息</w:t>
      </w:r>
    </w:p>
    <w:p w14:paraId="07AE6AF4">
      <w:pPr>
        <w:pStyle w:val="48"/>
      </w:pPr>
      <w:r>
        <w:rPr>
          <w:rFonts w:hint="eastAsia"/>
        </w:rPr>
        <w:t>分类列示</w:t>
      </w:r>
    </w:p>
    <w:sdt>
      <w:sdtPr>
        <w:alias w:val="是否适用：应付利息[双击切换]"/>
        <w:tag w:val="_GBC_563016e83d32408f90ee8ae140b7dccd"/>
        <w:id w:val="1859081780"/>
        <w:placeholder>
          <w:docPart w:val="GBC22222222222222222222222222222"/>
        </w:placeholder>
      </w:sdtPr>
      <w:sdtContent>
        <w:p w14:paraId="569B95C0">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B3A91A2">
      <w:pPr>
        <w:pStyle w:val="48"/>
      </w:pPr>
    </w:p>
    <w:p w14:paraId="40BC7C29">
      <w:pPr>
        <w:pStyle w:val="48"/>
      </w:pPr>
      <w:r>
        <w:rPr>
          <w:rFonts w:hint="eastAsia"/>
        </w:rPr>
        <w:t>逾期的重要应付利息：</w:t>
      </w:r>
    </w:p>
    <w:sdt>
      <w:sdtPr>
        <w:alias w:val="是否适用：重要的已逾期未支付的利息情况[双击切换]"/>
        <w:tag w:val="_GBC_e97342df449a4b51897b93180a76915c"/>
        <w:id w:val="-1335839561"/>
        <w:placeholder>
          <w:docPart w:val="GBC22222222222222222222222222222"/>
        </w:placeholder>
      </w:sdtPr>
      <w:sdtContent>
        <w:p w14:paraId="0A386043">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A8263A0">
      <w:pPr>
        <w:pStyle w:val="48"/>
      </w:pPr>
    </w:p>
    <w:p w14:paraId="08E7ACD1">
      <w:pPr>
        <w:spacing w:before="60" w:after="60"/>
      </w:pPr>
      <w:r>
        <w:rPr>
          <w:rFonts w:hint="eastAsia"/>
        </w:rPr>
        <w:t>其他说明：</w:t>
      </w:r>
    </w:p>
    <w:sdt>
      <w:sdtPr>
        <w:alias w:val="是否适用：应付利息说明[双击切换]"/>
        <w:tag w:val="_GBC_8e7eb675343843e89996290865d02478"/>
        <w:id w:val="1004943462"/>
        <w:placeholder>
          <w:docPart w:val="GBC22222222222222222222222222222"/>
        </w:placeholder>
      </w:sdtPr>
      <w:sdtContent>
        <w:p w14:paraId="3FF36266">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1E0D5E5">
      <w:pPr>
        <w:pStyle w:val="48"/>
      </w:pPr>
    </w:p>
    <w:p w14:paraId="759D274F">
      <w:pPr>
        <w:pStyle w:val="5"/>
        <w:numPr>
          <w:ilvl w:val="0"/>
          <w:numId w:val="92"/>
        </w:numPr>
      </w:pPr>
      <w:r>
        <w:rPr>
          <w:rFonts w:hint="eastAsia"/>
        </w:rPr>
        <w:t>应付股利</w:t>
      </w:r>
    </w:p>
    <w:p w14:paraId="0996E093">
      <w:pPr>
        <w:pStyle w:val="48"/>
      </w:pPr>
      <w:r>
        <w:rPr>
          <w:rFonts w:hint="eastAsia"/>
        </w:rPr>
        <w:t>分类列示</w:t>
      </w:r>
    </w:p>
    <w:sdt>
      <w:sdtPr>
        <w:alias w:val="是否适用：应付股利[双击切换]"/>
        <w:tag w:val="_GBC_b5ae3881f6d849679d4053b7e1707366"/>
        <w:id w:val="2083944876"/>
        <w:placeholder>
          <w:docPart w:val="GBC22222222222222222222222222222"/>
        </w:placeholder>
      </w:sdtPr>
      <w:sdtContent>
        <w:p w14:paraId="6186315E">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FB6D0FE">
      <w:pPr>
        <w:snapToGrid w:val="0"/>
      </w:pPr>
    </w:p>
    <w:p w14:paraId="35103CDF">
      <w:pPr>
        <w:snapToGrid w:val="0"/>
      </w:pPr>
    </w:p>
    <w:p w14:paraId="3ABE7AD7">
      <w:pPr>
        <w:pStyle w:val="5"/>
        <w:numPr>
          <w:ilvl w:val="0"/>
          <w:numId w:val="92"/>
        </w:numPr>
      </w:pPr>
      <w:r>
        <w:rPr>
          <w:rFonts w:hint="eastAsia"/>
        </w:rPr>
        <w:t>其他应付款</w:t>
      </w:r>
    </w:p>
    <w:p w14:paraId="2A9F3688">
      <w:pPr>
        <w:pStyle w:val="48"/>
      </w:pPr>
      <w:r>
        <w:rPr>
          <w:rFonts w:hint="eastAsia"/>
        </w:rPr>
        <w:t>按款项性质列示其他应付款</w:t>
      </w:r>
    </w:p>
    <w:sdt>
      <w:sdtPr>
        <w:alias w:val="是否适用：按款项性质列示其他应付款[双击切换]"/>
        <w:tag w:val="_GBC_57fbe084a94a43569e8618c84187e188"/>
        <w:id w:val="728104712"/>
        <w:placeholder>
          <w:docPart w:val="GBC22222222222222222222222222222"/>
        </w:placeholder>
      </w:sdtPr>
      <w:sdtContent>
        <w:p w14:paraId="69B9AF3A">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D17C138">
      <w:pPr>
        <w:jc w:val="right"/>
      </w:pPr>
      <w:r>
        <w:rPr>
          <w:rFonts w:hint="eastAsia"/>
        </w:rPr>
        <w:t>单位：</w:t>
      </w:r>
      <w:sdt>
        <w:sdtPr>
          <w:rPr>
            <w:rFonts w:hint="eastAsia"/>
          </w:rPr>
          <w:alias w:val="单位：财务附注：其他应付款情况"/>
          <w:tag w:val="_GBC_d726e1428c6749b29d7f0a192835a738"/>
          <w:id w:val="10651468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应付款情况"/>
          <w:tag w:val="_GBC_d6d5ce55cea54bfdb348f465f935498d"/>
          <w:id w:val="14462751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2"/>
        <w:gridCol w:w="2998"/>
        <w:gridCol w:w="3127"/>
      </w:tblGrid>
      <w:tr w14:paraId="05C5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3c8bd274adc4f10996e441415613a6a"/>
            <w:id w:val="997855651"/>
          </w:sdtPr>
          <w:sdtContent>
            <w:tc>
              <w:tcPr>
                <w:tcW w:w="2922" w:type="dxa"/>
                <w:vAlign w:val="center"/>
              </w:tcPr>
              <w:p w14:paraId="2509563E">
                <w:pPr>
                  <w:jc w:val="center"/>
                  <w:rPr>
                    <w:rFonts w:ascii="Calibri" w:hAnsi="Calibri"/>
                    <w:sz w:val="20"/>
                    <w:szCs w:val="20"/>
                  </w:rPr>
                </w:pPr>
                <w:r>
                  <w:rPr>
                    <w:rFonts w:hint="eastAsia" w:ascii="Calibri" w:hAnsi="Calibri"/>
                    <w:sz w:val="20"/>
                    <w:szCs w:val="20"/>
                  </w:rPr>
                  <w:t>项目</w:t>
                </w:r>
              </w:p>
            </w:tc>
          </w:sdtContent>
        </w:sdt>
        <w:sdt>
          <w:sdtPr>
            <w:tag w:val="_PLD_a5c3f7ebd9dd4870a971a7b858fb9f49"/>
            <w:id w:val="-605733700"/>
          </w:sdtPr>
          <w:sdtContent>
            <w:tc>
              <w:tcPr>
                <w:tcW w:w="2998" w:type="dxa"/>
                <w:vAlign w:val="center"/>
              </w:tcPr>
              <w:p w14:paraId="265BFE65">
                <w:pPr>
                  <w:jc w:val="center"/>
                  <w:rPr>
                    <w:rFonts w:ascii="Calibri" w:hAnsi="Calibri"/>
                    <w:sz w:val="20"/>
                    <w:szCs w:val="20"/>
                  </w:rPr>
                </w:pPr>
                <w:r>
                  <w:rPr>
                    <w:rFonts w:hint="eastAsia" w:ascii="Calibri" w:hAnsi="Calibri"/>
                    <w:sz w:val="20"/>
                    <w:szCs w:val="20"/>
                  </w:rPr>
                  <w:t>期末余额</w:t>
                </w:r>
              </w:p>
            </w:tc>
          </w:sdtContent>
        </w:sdt>
        <w:sdt>
          <w:sdtPr>
            <w:tag w:val="_PLD_f8823e49aba34d32b07cafa41f32e166"/>
            <w:id w:val="1355146491"/>
          </w:sdtPr>
          <w:sdtContent>
            <w:tc>
              <w:tcPr>
                <w:tcW w:w="3127" w:type="dxa"/>
                <w:vAlign w:val="center"/>
              </w:tcPr>
              <w:p w14:paraId="1249E53D">
                <w:pPr>
                  <w:jc w:val="center"/>
                  <w:rPr>
                    <w:rFonts w:ascii="Calibri" w:hAnsi="Calibri"/>
                    <w:sz w:val="20"/>
                    <w:szCs w:val="20"/>
                  </w:rPr>
                </w:pPr>
                <w:r>
                  <w:rPr>
                    <w:rFonts w:hint="eastAsia" w:ascii="Calibri" w:hAnsi="Calibri"/>
                    <w:sz w:val="20"/>
                    <w:szCs w:val="20"/>
                  </w:rPr>
                  <w:t>期初余额</w:t>
                </w:r>
              </w:p>
            </w:tc>
          </w:sdtContent>
        </w:sdt>
      </w:tr>
      <w:tr w14:paraId="08EC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dxa"/>
            <w:vAlign w:val="center"/>
          </w:tcPr>
          <w:p w14:paraId="0E4254A8">
            <w:pPr>
              <w:pStyle w:val="48"/>
              <w:rPr>
                <w:sz w:val="20"/>
                <w:szCs w:val="20"/>
              </w:rPr>
            </w:pPr>
            <w:r>
              <w:rPr>
                <w:sz w:val="20"/>
                <w:szCs w:val="20"/>
              </w:rPr>
              <w:t>关联单位往来款</w:t>
            </w:r>
          </w:p>
        </w:tc>
        <w:tc>
          <w:tcPr>
            <w:tcW w:w="2998" w:type="dxa"/>
            <w:vAlign w:val="center"/>
          </w:tcPr>
          <w:p w14:paraId="037BF3D9">
            <w:pPr>
              <w:jc w:val="right"/>
              <w:rPr>
                <w:rFonts w:ascii="Calibri" w:hAnsi="Calibri"/>
                <w:sz w:val="20"/>
                <w:szCs w:val="20"/>
              </w:rPr>
            </w:pPr>
          </w:p>
        </w:tc>
        <w:tc>
          <w:tcPr>
            <w:tcW w:w="3127" w:type="dxa"/>
            <w:vAlign w:val="center"/>
          </w:tcPr>
          <w:p w14:paraId="613C5A02">
            <w:pPr>
              <w:jc w:val="right"/>
              <w:rPr>
                <w:rFonts w:ascii="Calibri" w:hAnsi="Calibri"/>
                <w:sz w:val="20"/>
                <w:szCs w:val="20"/>
              </w:rPr>
            </w:pPr>
            <w:r>
              <w:rPr>
                <w:rFonts w:ascii="Calibri" w:hAnsi="Calibri"/>
                <w:sz w:val="20"/>
                <w:szCs w:val="20"/>
              </w:rPr>
              <w:t>333,213.07</w:t>
            </w:r>
          </w:p>
        </w:tc>
      </w:tr>
      <w:tr w14:paraId="02B8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dxa"/>
            <w:vAlign w:val="center"/>
          </w:tcPr>
          <w:p w14:paraId="4A86A9C7">
            <w:pPr>
              <w:pStyle w:val="48"/>
              <w:rPr>
                <w:sz w:val="20"/>
                <w:szCs w:val="20"/>
              </w:rPr>
            </w:pPr>
            <w:r>
              <w:rPr>
                <w:sz w:val="20"/>
                <w:szCs w:val="20"/>
              </w:rPr>
              <w:t>外部单位往来款</w:t>
            </w:r>
          </w:p>
        </w:tc>
        <w:tc>
          <w:tcPr>
            <w:tcW w:w="2998" w:type="dxa"/>
            <w:vAlign w:val="center"/>
          </w:tcPr>
          <w:p w14:paraId="5E8315D0">
            <w:pPr>
              <w:jc w:val="right"/>
              <w:rPr>
                <w:rFonts w:ascii="Calibri" w:hAnsi="Calibri"/>
                <w:sz w:val="20"/>
                <w:szCs w:val="20"/>
              </w:rPr>
            </w:pPr>
            <w:r>
              <w:rPr>
                <w:rFonts w:ascii="Calibri" w:hAnsi="Calibri"/>
                <w:sz w:val="20"/>
                <w:szCs w:val="20"/>
              </w:rPr>
              <w:t>14,168,647.83</w:t>
            </w:r>
          </w:p>
        </w:tc>
        <w:tc>
          <w:tcPr>
            <w:tcW w:w="3127" w:type="dxa"/>
            <w:vAlign w:val="center"/>
          </w:tcPr>
          <w:p w14:paraId="0683B28D">
            <w:pPr>
              <w:jc w:val="right"/>
              <w:rPr>
                <w:rFonts w:ascii="Calibri" w:hAnsi="Calibri"/>
                <w:sz w:val="20"/>
                <w:szCs w:val="20"/>
              </w:rPr>
            </w:pPr>
            <w:r>
              <w:rPr>
                <w:rFonts w:ascii="Calibri" w:hAnsi="Calibri"/>
                <w:sz w:val="20"/>
                <w:szCs w:val="20"/>
              </w:rPr>
              <w:t>73,417,083.79</w:t>
            </w:r>
          </w:p>
        </w:tc>
      </w:tr>
      <w:tr w14:paraId="717F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dxa"/>
            <w:vAlign w:val="center"/>
          </w:tcPr>
          <w:p w14:paraId="0E36BE48">
            <w:pPr>
              <w:pStyle w:val="48"/>
              <w:rPr>
                <w:sz w:val="20"/>
                <w:szCs w:val="20"/>
              </w:rPr>
            </w:pPr>
            <w:r>
              <w:rPr>
                <w:sz w:val="20"/>
                <w:szCs w:val="20"/>
              </w:rPr>
              <w:t>员工往来款</w:t>
            </w:r>
          </w:p>
        </w:tc>
        <w:tc>
          <w:tcPr>
            <w:tcW w:w="2998" w:type="dxa"/>
            <w:vAlign w:val="center"/>
          </w:tcPr>
          <w:p w14:paraId="7F9A8756">
            <w:pPr>
              <w:jc w:val="right"/>
              <w:rPr>
                <w:rFonts w:ascii="Calibri" w:hAnsi="Calibri"/>
                <w:sz w:val="20"/>
                <w:szCs w:val="20"/>
              </w:rPr>
            </w:pPr>
            <w:r>
              <w:rPr>
                <w:rFonts w:ascii="Calibri" w:hAnsi="Calibri"/>
                <w:sz w:val="20"/>
                <w:szCs w:val="20"/>
              </w:rPr>
              <w:t>1,138,860.09</w:t>
            </w:r>
          </w:p>
        </w:tc>
        <w:tc>
          <w:tcPr>
            <w:tcW w:w="3127" w:type="dxa"/>
            <w:vAlign w:val="center"/>
          </w:tcPr>
          <w:p w14:paraId="7ECB36AE">
            <w:pPr>
              <w:jc w:val="right"/>
              <w:rPr>
                <w:rFonts w:ascii="Calibri" w:hAnsi="Calibri"/>
                <w:sz w:val="20"/>
                <w:szCs w:val="20"/>
              </w:rPr>
            </w:pPr>
            <w:r>
              <w:rPr>
                <w:rFonts w:ascii="Calibri" w:hAnsi="Calibri"/>
                <w:sz w:val="20"/>
                <w:szCs w:val="20"/>
              </w:rPr>
              <w:t>10,892.31</w:t>
            </w:r>
          </w:p>
        </w:tc>
      </w:tr>
      <w:tr w14:paraId="6766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dxa"/>
            <w:vAlign w:val="center"/>
          </w:tcPr>
          <w:p w14:paraId="6BF36CA2">
            <w:pPr>
              <w:pStyle w:val="48"/>
              <w:rPr>
                <w:sz w:val="20"/>
                <w:szCs w:val="20"/>
              </w:rPr>
            </w:pPr>
            <w:r>
              <w:rPr>
                <w:sz w:val="20"/>
                <w:szCs w:val="20"/>
              </w:rPr>
              <w:t>股权激励回购义务</w:t>
            </w:r>
          </w:p>
        </w:tc>
        <w:tc>
          <w:tcPr>
            <w:tcW w:w="2998" w:type="dxa"/>
            <w:vAlign w:val="center"/>
          </w:tcPr>
          <w:p w14:paraId="377620D7">
            <w:pPr>
              <w:jc w:val="right"/>
              <w:rPr>
                <w:rFonts w:ascii="Calibri" w:hAnsi="Calibri"/>
                <w:sz w:val="20"/>
                <w:szCs w:val="20"/>
              </w:rPr>
            </w:pPr>
            <w:r>
              <w:rPr>
                <w:rFonts w:ascii="Calibri" w:hAnsi="Calibri"/>
                <w:sz w:val="20"/>
                <w:szCs w:val="20"/>
              </w:rPr>
              <w:t>67,818,400.00</w:t>
            </w:r>
          </w:p>
        </w:tc>
        <w:tc>
          <w:tcPr>
            <w:tcW w:w="3127" w:type="dxa"/>
            <w:vAlign w:val="center"/>
          </w:tcPr>
          <w:p w14:paraId="4D216239">
            <w:pPr>
              <w:jc w:val="right"/>
              <w:rPr>
                <w:rFonts w:ascii="Calibri" w:hAnsi="Calibri"/>
                <w:sz w:val="20"/>
                <w:szCs w:val="20"/>
              </w:rPr>
            </w:pPr>
          </w:p>
        </w:tc>
      </w:tr>
      <w:tr w14:paraId="0947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dxa"/>
            <w:vAlign w:val="center"/>
          </w:tcPr>
          <w:p w14:paraId="4AEB1180">
            <w:pPr>
              <w:jc w:val="center"/>
              <w:rPr>
                <w:rFonts w:ascii="Calibri" w:hAnsi="Calibri"/>
                <w:color w:val="000000" w:themeColor="text1"/>
                <w:sz w:val="20"/>
                <w:szCs w:val="20"/>
                <w14:textFill>
                  <w14:solidFill>
                    <w14:schemeClr w14:val="tx1"/>
                  </w14:solidFill>
                </w14:textFill>
              </w:rPr>
            </w:pPr>
            <w:r>
              <w:rPr>
                <w:rFonts w:hint="eastAsia" w:ascii="Calibri" w:hAnsi="Calibri"/>
                <w:color w:val="000000" w:themeColor="text1"/>
                <w:sz w:val="20"/>
                <w:szCs w:val="20"/>
                <w14:textFill>
                  <w14:solidFill>
                    <w14:schemeClr w14:val="tx1"/>
                  </w14:solidFill>
                </w14:textFill>
              </w:rPr>
              <w:t>合计</w:t>
            </w:r>
          </w:p>
        </w:tc>
        <w:tc>
          <w:tcPr>
            <w:tcW w:w="2998" w:type="dxa"/>
            <w:vAlign w:val="center"/>
          </w:tcPr>
          <w:p w14:paraId="29F98B6D">
            <w:pPr>
              <w:jc w:val="right"/>
              <w:rPr>
                <w:rFonts w:ascii="Calibri" w:hAnsi="Calibri"/>
                <w:sz w:val="20"/>
                <w:szCs w:val="20"/>
              </w:rPr>
            </w:pPr>
            <w:r>
              <w:rPr>
                <w:rFonts w:ascii="Calibri" w:hAnsi="Calibri"/>
                <w:sz w:val="20"/>
                <w:szCs w:val="20"/>
              </w:rPr>
              <w:t>83,125,907.92</w:t>
            </w:r>
          </w:p>
        </w:tc>
        <w:tc>
          <w:tcPr>
            <w:tcW w:w="3127" w:type="dxa"/>
            <w:vAlign w:val="center"/>
          </w:tcPr>
          <w:p w14:paraId="43200FAE">
            <w:pPr>
              <w:jc w:val="right"/>
              <w:rPr>
                <w:rFonts w:ascii="Calibri" w:hAnsi="Calibri"/>
                <w:sz w:val="20"/>
                <w:szCs w:val="20"/>
              </w:rPr>
            </w:pPr>
            <w:r>
              <w:rPr>
                <w:rFonts w:ascii="Calibri" w:hAnsi="Calibri"/>
                <w:sz w:val="20"/>
                <w:szCs w:val="20"/>
              </w:rPr>
              <w:t>73,761,189.17</w:t>
            </w:r>
          </w:p>
        </w:tc>
      </w:tr>
    </w:tbl>
    <w:p w14:paraId="2A59AB3D"/>
    <w:p w14:paraId="7193B884">
      <w:pPr>
        <w:pStyle w:val="48"/>
      </w:pPr>
      <w:r>
        <w:rPr>
          <w:rFonts w:hint="eastAsia"/>
        </w:rPr>
        <w:t>账龄超过</w:t>
      </w:r>
      <w:r>
        <w:t>1年</w:t>
      </w:r>
      <w:r>
        <w:rPr>
          <w:rFonts w:hint="eastAsia"/>
        </w:rPr>
        <w:t>或逾期</w:t>
      </w:r>
      <w:r>
        <w:t>的重要其他应付款</w:t>
      </w:r>
    </w:p>
    <w:p w14:paraId="7B513B64">
      <w:pPr>
        <w:pStyle w:val="48"/>
      </w:pPr>
      <w:sdt>
        <w:sdtPr>
          <w:alias w:val="是否适用：账龄超过1年的重要其他应付款[双击切换]"/>
          <w:tag w:val="_GBC_fcaee62c74504c20ba2aca131c060029"/>
          <w:id w:val="1307904218"/>
          <w:placeholder>
            <w:docPart w:val="GBC22222222222222222222222222222"/>
          </w:placeholder>
        </w:sdt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30E9B346">
      <w:pPr>
        <w:pStyle w:val="48"/>
      </w:pPr>
    </w:p>
    <w:p w14:paraId="24BE0F76">
      <w:pPr>
        <w:pStyle w:val="48"/>
      </w:pPr>
      <w:r>
        <w:rPr>
          <w:rFonts w:hint="eastAsia"/>
        </w:rPr>
        <w:t>其他说明：</w:t>
      </w:r>
    </w:p>
    <w:sdt>
      <w:sdtPr>
        <w:alias w:val="是否适用：其他应付款的其他说明[双击切换]"/>
        <w:tag w:val="_GBC_b02a256e4ac940019e9d9179cb6dc349"/>
        <w:id w:val="1284154216"/>
        <w:placeholder>
          <w:docPart w:val="GBC22222222222222222222222222222"/>
        </w:placeholder>
      </w:sdtPr>
      <w:sdtContent>
        <w:p w14:paraId="603BCACE">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E2761F6">
      <w:pPr>
        <w:pStyle w:val="48"/>
      </w:pPr>
    </w:p>
    <w:bookmarkEnd w:id="329"/>
    <w:bookmarkEnd w:id="330"/>
    <w:p w14:paraId="0100141B">
      <w:pPr>
        <w:pStyle w:val="4"/>
        <w:numPr>
          <w:ilvl w:val="0"/>
          <w:numId w:val="61"/>
        </w:numPr>
        <w:rPr>
          <w:szCs w:val="21"/>
        </w:rPr>
      </w:pPr>
      <w:r>
        <w:rPr>
          <w:szCs w:val="21"/>
        </w:rPr>
        <w:t>持有待售负债</w:t>
      </w:r>
    </w:p>
    <w:sdt>
      <w:sdtPr>
        <w:alias w:val="是否适用：划分为持有待售的负债[双击切换]"/>
        <w:tag w:val="_GBC_4ea9b2c6d4024d74b39e491f80a07798"/>
        <w:id w:val="-1225363532"/>
        <w:placeholder>
          <w:docPart w:val="GBC22222222222222222222222222222"/>
        </w:placeholder>
      </w:sdtPr>
      <w:sdtContent>
        <w:p w14:paraId="1B8A5D41">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B217FF5">
      <w:pPr>
        <w:pStyle w:val="48"/>
      </w:pPr>
    </w:p>
    <w:p w14:paraId="3E1BB8DE">
      <w:pPr>
        <w:pStyle w:val="48"/>
      </w:pPr>
    </w:p>
    <w:p w14:paraId="021408E3">
      <w:pPr>
        <w:pStyle w:val="4"/>
        <w:numPr>
          <w:ilvl w:val="0"/>
          <w:numId w:val="61"/>
        </w:numPr>
        <w:rPr>
          <w:szCs w:val="21"/>
        </w:rPr>
      </w:pPr>
      <w:bookmarkStart w:id="331" w:name="_Hlk24104125"/>
      <w:r>
        <w:rPr>
          <w:szCs w:val="21"/>
        </w:rPr>
        <w:t>1年内到期的非流动负债</w:t>
      </w:r>
    </w:p>
    <w:sdt>
      <w:sdtPr>
        <w:alias w:val="是否适用：1年内到期的非流动负债[双击切换]"/>
        <w:tag w:val="_GBC_bf40c7464345405f8470856436e2c6a3"/>
        <w:id w:val="1978025739"/>
        <w:placeholder>
          <w:docPart w:val="GBC22222222222222222222222222222"/>
        </w:placeholder>
      </w:sdtPr>
      <w:sdtContent>
        <w:p w14:paraId="35D2A804">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781E6FA">
      <w:pPr>
        <w:jc w:val="right"/>
      </w:pPr>
      <w:r>
        <w:rPr>
          <w:rFonts w:hint="eastAsia"/>
        </w:rPr>
        <w:t>单位：</w:t>
      </w:r>
      <w:sdt>
        <w:sdtPr>
          <w:rPr>
            <w:rFonts w:hint="eastAsia"/>
          </w:rPr>
          <w:alias w:val="单位：1年内到期的非流动负债情况"/>
          <w:tag w:val="_GBC_fc5bef9f043c4967ab706b443fc31d3c"/>
          <w:id w:val="-11808868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1年内到期的非流动负债情况"/>
          <w:tag w:val="_GBC_fbd4d32585d945468e7aeae52abddc6f"/>
          <w:id w:val="-11375644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3036"/>
        <w:gridCol w:w="3103"/>
      </w:tblGrid>
      <w:tr w14:paraId="3917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20bf58d6f134f4caedbea03f8659c14"/>
            <w:id w:val="173551394"/>
          </w:sdtPr>
          <w:sdtContent>
            <w:tc>
              <w:tcPr>
                <w:tcW w:w="2908" w:type="dxa"/>
                <w:vAlign w:val="center"/>
              </w:tcPr>
              <w:p w14:paraId="76A011C6">
                <w:pPr>
                  <w:jc w:val="center"/>
                  <w:rPr>
                    <w:rFonts w:ascii="Calibri" w:hAnsi="Calibri"/>
                    <w:sz w:val="20"/>
                    <w:szCs w:val="20"/>
                  </w:rPr>
                </w:pPr>
                <w:r>
                  <w:rPr>
                    <w:rFonts w:hint="eastAsia" w:ascii="Calibri" w:hAnsi="Calibri"/>
                    <w:sz w:val="20"/>
                    <w:szCs w:val="20"/>
                  </w:rPr>
                  <w:t>项目</w:t>
                </w:r>
              </w:p>
            </w:tc>
          </w:sdtContent>
        </w:sdt>
        <w:sdt>
          <w:sdtPr>
            <w:tag w:val="_PLD_dad829d6a45646668218857399318d20"/>
            <w:id w:val="-2074186152"/>
          </w:sdtPr>
          <w:sdtContent>
            <w:tc>
              <w:tcPr>
                <w:tcW w:w="3036" w:type="dxa"/>
                <w:vAlign w:val="center"/>
              </w:tcPr>
              <w:p w14:paraId="7F008825">
                <w:pPr>
                  <w:jc w:val="center"/>
                  <w:rPr>
                    <w:rFonts w:ascii="Calibri" w:hAnsi="Calibri"/>
                    <w:sz w:val="20"/>
                    <w:szCs w:val="20"/>
                  </w:rPr>
                </w:pPr>
                <w:r>
                  <w:rPr>
                    <w:rFonts w:hint="eastAsia" w:ascii="Calibri" w:hAnsi="Calibri"/>
                    <w:sz w:val="20"/>
                    <w:szCs w:val="20"/>
                  </w:rPr>
                  <w:t>期末余额</w:t>
                </w:r>
              </w:p>
            </w:tc>
          </w:sdtContent>
        </w:sdt>
        <w:sdt>
          <w:sdtPr>
            <w:tag w:val="_PLD_9d1d036ddf0544b2b2ddd1dc5633a114"/>
            <w:id w:val="-2135172114"/>
          </w:sdtPr>
          <w:sdtContent>
            <w:tc>
              <w:tcPr>
                <w:tcW w:w="3103" w:type="dxa"/>
                <w:vAlign w:val="center"/>
              </w:tcPr>
              <w:p w14:paraId="5657868B">
                <w:pPr>
                  <w:jc w:val="center"/>
                  <w:rPr>
                    <w:rFonts w:ascii="Calibri" w:hAnsi="Calibri"/>
                    <w:sz w:val="20"/>
                    <w:szCs w:val="20"/>
                  </w:rPr>
                </w:pPr>
                <w:r>
                  <w:rPr>
                    <w:rFonts w:hint="eastAsia" w:ascii="Calibri" w:hAnsi="Calibri"/>
                    <w:sz w:val="20"/>
                    <w:szCs w:val="20"/>
                  </w:rPr>
                  <w:t>期初余额</w:t>
                </w:r>
              </w:p>
            </w:tc>
          </w:sdtContent>
        </w:sdt>
      </w:tr>
      <w:tr w14:paraId="707A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vAlign w:val="center"/>
          </w:tcPr>
          <w:p w14:paraId="4D9C3BBA">
            <w:pPr>
              <w:pStyle w:val="48"/>
              <w:rPr>
                <w:sz w:val="20"/>
                <w:szCs w:val="20"/>
              </w:rPr>
            </w:pPr>
            <w:r>
              <w:rPr>
                <w:rFonts w:hint="eastAsia"/>
                <w:sz w:val="20"/>
                <w:szCs w:val="20"/>
              </w:rPr>
              <w:t>1年内到期的长期借款</w:t>
            </w:r>
          </w:p>
        </w:tc>
        <w:tc>
          <w:tcPr>
            <w:tcW w:w="3036" w:type="dxa"/>
            <w:vAlign w:val="center"/>
          </w:tcPr>
          <w:p w14:paraId="50468FB1">
            <w:pPr>
              <w:jc w:val="right"/>
              <w:rPr>
                <w:rFonts w:ascii="Calibri" w:hAnsi="Calibri"/>
                <w:sz w:val="20"/>
                <w:szCs w:val="20"/>
              </w:rPr>
            </w:pPr>
            <w:r>
              <w:rPr>
                <w:rFonts w:ascii="Calibri" w:hAnsi="Calibri"/>
                <w:sz w:val="20"/>
                <w:szCs w:val="20"/>
              </w:rPr>
              <w:t>266,750,000.00</w:t>
            </w:r>
          </w:p>
        </w:tc>
        <w:tc>
          <w:tcPr>
            <w:tcW w:w="3103" w:type="dxa"/>
            <w:vAlign w:val="center"/>
          </w:tcPr>
          <w:p w14:paraId="385E5D36">
            <w:pPr>
              <w:jc w:val="right"/>
              <w:rPr>
                <w:rFonts w:ascii="Calibri" w:hAnsi="Calibri"/>
                <w:sz w:val="20"/>
                <w:szCs w:val="20"/>
              </w:rPr>
            </w:pPr>
          </w:p>
        </w:tc>
      </w:tr>
      <w:tr w14:paraId="7E20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vAlign w:val="center"/>
          </w:tcPr>
          <w:p w14:paraId="0E4593C1">
            <w:pPr>
              <w:pStyle w:val="48"/>
              <w:rPr>
                <w:sz w:val="20"/>
                <w:szCs w:val="20"/>
              </w:rPr>
            </w:pPr>
            <w:r>
              <w:rPr>
                <w:rFonts w:hint="eastAsia"/>
                <w:sz w:val="20"/>
                <w:szCs w:val="20"/>
              </w:rPr>
              <w:t>1年内到期的应付债券</w:t>
            </w:r>
          </w:p>
        </w:tc>
        <w:tc>
          <w:tcPr>
            <w:tcW w:w="3036" w:type="dxa"/>
            <w:vAlign w:val="center"/>
          </w:tcPr>
          <w:p w14:paraId="0114759D">
            <w:pPr>
              <w:jc w:val="right"/>
              <w:rPr>
                <w:rFonts w:ascii="Calibri" w:hAnsi="Calibri"/>
                <w:sz w:val="20"/>
                <w:szCs w:val="20"/>
              </w:rPr>
            </w:pPr>
          </w:p>
        </w:tc>
        <w:tc>
          <w:tcPr>
            <w:tcW w:w="3103" w:type="dxa"/>
            <w:vAlign w:val="center"/>
          </w:tcPr>
          <w:p w14:paraId="4705E7F4">
            <w:pPr>
              <w:jc w:val="right"/>
              <w:rPr>
                <w:rFonts w:ascii="Calibri" w:hAnsi="Calibri"/>
                <w:sz w:val="20"/>
                <w:szCs w:val="20"/>
              </w:rPr>
            </w:pPr>
          </w:p>
        </w:tc>
      </w:tr>
      <w:tr w14:paraId="56A8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vAlign w:val="center"/>
          </w:tcPr>
          <w:p w14:paraId="283FDD6F">
            <w:pPr>
              <w:pStyle w:val="48"/>
              <w:rPr>
                <w:sz w:val="20"/>
                <w:szCs w:val="20"/>
              </w:rPr>
            </w:pPr>
            <w:r>
              <w:rPr>
                <w:rFonts w:hint="eastAsia"/>
                <w:sz w:val="20"/>
                <w:szCs w:val="20"/>
              </w:rPr>
              <w:t>1年内到期的长期应付款</w:t>
            </w:r>
          </w:p>
        </w:tc>
        <w:tc>
          <w:tcPr>
            <w:tcW w:w="3036" w:type="dxa"/>
            <w:vAlign w:val="center"/>
          </w:tcPr>
          <w:p w14:paraId="00177EDA">
            <w:pPr>
              <w:jc w:val="right"/>
              <w:rPr>
                <w:rFonts w:ascii="Calibri" w:hAnsi="Calibri"/>
                <w:sz w:val="20"/>
                <w:szCs w:val="20"/>
              </w:rPr>
            </w:pPr>
          </w:p>
        </w:tc>
        <w:tc>
          <w:tcPr>
            <w:tcW w:w="3103" w:type="dxa"/>
            <w:vAlign w:val="center"/>
          </w:tcPr>
          <w:p w14:paraId="783D5D66">
            <w:pPr>
              <w:jc w:val="right"/>
              <w:rPr>
                <w:rFonts w:ascii="Calibri" w:hAnsi="Calibri"/>
                <w:sz w:val="20"/>
                <w:szCs w:val="20"/>
              </w:rPr>
            </w:pPr>
          </w:p>
        </w:tc>
      </w:tr>
      <w:tr w14:paraId="6681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vAlign w:val="center"/>
          </w:tcPr>
          <w:p w14:paraId="6606E423">
            <w:pPr>
              <w:pStyle w:val="48"/>
              <w:rPr>
                <w:sz w:val="20"/>
                <w:szCs w:val="20"/>
              </w:rPr>
            </w:pPr>
            <w:r>
              <w:rPr>
                <w:rFonts w:hint="eastAsia"/>
                <w:sz w:val="20"/>
                <w:szCs w:val="20"/>
              </w:rPr>
              <w:t>1年内到期的租赁负债</w:t>
            </w:r>
          </w:p>
        </w:tc>
        <w:tc>
          <w:tcPr>
            <w:tcW w:w="3036" w:type="dxa"/>
            <w:vAlign w:val="center"/>
          </w:tcPr>
          <w:p w14:paraId="6569C151">
            <w:pPr>
              <w:jc w:val="right"/>
              <w:rPr>
                <w:rFonts w:ascii="Calibri" w:hAnsi="Calibri"/>
                <w:sz w:val="20"/>
                <w:szCs w:val="20"/>
              </w:rPr>
            </w:pPr>
            <w:r>
              <w:rPr>
                <w:rFonts w:ascii="Calibri" w:hAnsi="Calibri"/>
                <w:sz w:val="20"/>
                <w:szCs w:val="20"/>
              </w:rPr>
              <w:t>8,591,852.90</w:t>
            </w:r>
          </w:p>
        </w:tc>
        <w:tc>
          <w:tcPr>
            <w:tcW w:w="3103" w:type="dxa"/>
            <w:vAlign w:val="center"/>
          </w:tcPr>
          <w:p w14:paraId="4A74CCF6">
            <w:pPr>
              <w:jc w:val="right"/>
              <w:rPr>
                <w:rFonts w:ascii="Calibri" w:hAnsi="Calibri"/>
                <w:sz w:val="20"/>
                <w:szCs w:val="20"/>
              </w:rPr>
            </w:pPr>
            <w:r>
              <w:rPr>
                <w:rFonts w:ascii="Calibri" w:hAnsi="Calibri"/>
                <w:sz w:val="20"/>
                <w:szCs w:val="20"/>
              </w:rPr>
              <w:t>4,396,642.54</w:t>
            </w:r>
          </w:p>
        </w:tc>
      </w:tr>
      <w:tr w14:paraId="54DE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8" w:type="dxa"/>
            <w:vAlign w:val="center"/>
          </w:tcPr>
          <w:p w14:paraId="4209D53C">
            <w:pPr>
              <w:jc w:val="center"/>
              <w:rPr>
                <w:rFonts w:ascii="Calibri" w:hAnsi="Calibri"/>
                <w:sz w:val="20"/>
                <w:szCs w:val="20"/>
              </w:rPr>
            </w:pPr>
            <w:r>
              <w:rPr>
                <w:rFonts w:hint="eastAsia" w:ascii="Calibri" w:hAnsi="Calibri"/>
                <w:sz w:val="20"/>
                <w:szCs w:val="20"/>
              </w:rPr>
              <w:t>合计</w:t>
            </w:r>
          </w:p>
        </w:tc>
        <w:tc>
          <w:tcPr>
            <w:tcW w:w="3036" w:type="dxa"/>
            <w:vAlign w:val="center"/>
          </w:tcPr>
          <w:p w14:paraId="5A51EDD2">
            <w:pPr>
              <w:jc w:val="right"/>
              <w:rPr>
                <w:rFonts w:ascii="Calibri" w:hAnsi="Calibri"/>
                <w:sz w:val="20"/>
                <w:szCs w:val="20"/>
              </w:rPr>
            </w:pPr>
            <w:r>
              <w:rPr>
                <w:rFonts w:ascii="Calibri" w:hAnsi="Calibri"/>
                <w:sz w:val="20"/>
                <w:szCs w:val="20"/>
              </w:rPr>
              <w:t>275,341,852.90</w:t>
            </w:r>
          </w:p>
        </w:tc>
        <w:tc>
          <w:tcPr>
            <w:tcW w:w="3103" w:type="dxa"/>
            <w:vAlign w:val="center"/>
          </w:tcPr>
          <w:p w14:paraId="5C38B24D">
            <w:pPr>
              <w:jc w:val="right"/>
              <w:rPr>
                <w:rFonts w:ascii="Calibri" w:hAnsi="Calibri"/>
                <w:sz w:val="20"/>
                <w:szCs w:val="20"/>
              </w:rPr>
            </w:pPr>
            <w:r>
              <w:rPr>
                <w:rFonts w:ascii="Calibri" w:hAnsi="Calibri"/>
                <w:sz w:val="20"/>
                <w:szCs w:val="20"/>
              </w:rPr>
              <w:t>4,396,642.54</w:t>
            </w:r>
          </w:p>
        </w:tc>
      </w:tr>
    </w:tbl>
    <w:p w14:paraId="4031981A">
      <w:pPr>
        <w:pStyle w:val="48"/>
      </w:pPr>
    </w:p>
    <w:bookmarkEnd w:id="331"/>
    <w:p w14:paraId="7A118E6A">
      <w:pPr>
        <w:pStyle w:val="4"/>
        <w:numPr>
          <w:ilvl w:val="0"/>
          <w:numId w:val="61"/>
        </w:numPr>
        <w:rPr>
          <w:szCs w:val="21"/>
        </w:rPr>
      </w:pPr>
      <w:r>
        <w:rPr>
          <w:szCs w:val="21"/>
        </w:rPr>
        <w:t>其他流动负债</w:t>
      </w:r>
    </w:p>
    <w:p w14:paraId="4EE6796A">
      <w:pPr>
        <w:pStyle w:val="48"/>
      </w:pPr>
      <w:bookmarkStart w:id="332" w:name="_Hlk533670262"/>
      <w:r>
        <w:rPr>
          <w:rFonts w:hint="eastAsia"/>
        </w:rPr>
        <w:t>其他流动负债情况</w:t>
      </w:r>
    </w:p>
    <w:sdt>
      <w:sdtPr>
        <w:rPr>
          <w:rFonts w:hint="eastAsia"/>
        </w:rPr>
        <w:alias w:val="是否适用：其他流动负债情况 [双击切换]"/>
        <w:tag w:val="_GBC_a84ebf5eebf04d4ab9f07c3da85115c2"/>
        <w:id w:val="-2111266074"/>
        <w:placeholder>
          <w:docPart w:val="GBC22222222222222222222222222222"/>
        </w:placeholder>
      </w:sdtPr>
      <w:sdtEndPr>
        <w:rPr>
          <w:rFonts w:hint="eastAsia"/>
        </w:rPr>
      </w:sdtEndPr>
      <w:sdtContent>
        <w:p w14:paraId="17B3CB39">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52D2EE0">
      <w:pPr>
        <w:jc w:val="right"/>
      </w:pPr>
      <w:r>
        <w:rPr>
          <w:rFonts w:hint="eastAsia"/>
        </w:rPr>
        <w:t>单位：</w:t>
      </w:r>
      <w:sdt>
        <w:sdtPr>
          <w:rPr>
            <w:rFonts w:hint="eastAsia"/>
          </w:rPr>
          <w:alias w:val="单位：财务附注：其他流动负债"/>
          <w:tag w:val="_GBC_1a3ea80bd2b9426ead4537785c82d01e"/>
          <w:id w:val="-13241964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流动负债"/>
          <w:tag w:val="_GBC_c39ac2b60b0f44cbbd7534c211405631"/>
          <w:id w:val="1936715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332"/>
    <w:tbl>
      <w:tblPr>
        <w:tblStyle w:val="57"/>
        <w:tblW w:w="90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1"/>
        <w:gridCol w:w="3118"/>
        <w:gridCol w:w="3129"/>
      </w:tblGrid>
      <w:tr w14:paraId="1B52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96b7e8e5e688449c87d23adc1b63439f"/>
            <w:id w:val="-385030626"/>
          </w:sdtPr>
          <w:sdtContent>
            <w:tc>
              <w:tcPr>
                <w:tcW w:w="2801" w:type="dxa"/>
                <w:tcBorders>
                  <w:top w:val="single" w:color="auto" w:sz="4" w:space="0"/>
                  <w:left w:val="single" w:color="auto" w:sz="4" w:space="0"/>
                  <w:bottom w:val="single" w:color="auto" w:sz="4" w:space="0"/>
                  <w:right w:val="single" w:color="auto" w:sz="4" w:space="0"/>
                </w:tcBorders>
                <w:vAlign w:val="center"/>
              </w:tcPr>
              <w:p w14:paraId="396C3D11">
                <w:pPr>
                  <w:tabs>
                    <w:tab w:val="right" w:pos="3690"/>
                    <w:tab w:val="right" w:pos="5130"/>
                    <w:tab w:val="right" w:pos="6030"/>
                    <w:tab w:val="right" w:pos="7650"/>
                    <w:tab w:val="right" w:pos="9270"/>
                  </w:tabs>
                  <w:snapToGrid w:val="0"/>
                  <w:ind w:left="-109" w:leftChars="-52"/>
                  <w:jc w:val="center"/>
                  <w:rPr>
                    <w:rFonts w:ascii="Calibri" w:hAnsi="Calibri"/>
                    <w:sz w:val="20"/>
                    <w:szCs w:val="20"/>
                  </w:rPr>
                </w:pPr>
                <w:r>
                  <w:rPr>
                    <w:rFonts w:hint="eastAsia" w:ascii="Calibri" w:hAnsi="Calibri"/>
                    <w:sz w:val="20"/>
                    <w:szCs w:val="20"/>
                  </w:rPr>
                  <w:t>项目</w:t>
                </w:r>
              </w:p>
            </w:tc>
          </w:sdtContent>
        </w:sdt>
        <w:sdt>
          <w:sdtPr>
            <w:tag w:val="_PLD_741229e75da644bb809ec002cfe06423"/>
            <w:id w:val="-1990167346"/>
          </w:sdtPr>
          <w:sdtContent>
            <w:tc>
              <w:tcPr>
                <w:tcW w:w="3118" w:type="dxa"/>
                <w:tcBorders>
                  <w:top w:val="single" w:color="auto" w:sz="4" w:space="0"/>
                  <w:left w:val="single" w:color="auto" w:sz="4" w:space="0"/>
                  <w:bottom w:val="single" w:color="auto" w:sz="4" w:space="0"/>
                  <w:right w:val="single" w:color="auto" w:sz="4" w:space="0"/>
                </w:tcBorders>
                <w:vAlign w:val="center"/>
              </w:tcPr>
              <w:p w14:paraId="4671A675">
                <w:pPr>
                  <w:adjustRightInd w:val="0"/>
                  <w:snapToGrid w:val="0"/>
                  <w:jc w:val="center"/>
                  <w:rPr>
                    <w:rFonts w:ascii="Calibri" w:hAnsi="Calibri"/>
                    <w:sz w:val="20"/>
                    <w:szCs w:val="20"/>
                  </w:rPr>
                </w:pPr>
                <w:r>
                  <w:rPr>
                    <w:rFonts w:hint="eastAsia" w:ascii="Calibri" w:hAnsi="Calibri"/>
                    <w:sz w:val="20"/>
                    <w:szCs w:val="20"/>
                  </w:rPr>
                  <w:t>期末余额</w:t>
                </w:r>
              </w:p>
            </w:tc>
          </w:sdtContent>
        </w:sdt>
        <w:sdt>
          <w:sdtPr>
            <w:tag w:val="_PLD_426d25a331b04af9b2ec53d6a7e168d4"/>
            <w:id w:val="1706673776"/>
          </w:sdtPr>
          <w:sdtContent>
            <w:tc>
              <w:tcPr>
                <w:tcW w:w="3129" w:type="dxa"/>
                <w:tcBorders>
                  <w:top w:val="single" w:color="auto" w:sz="4" w:space="0"/>
                  <w:left w:val="single" w:color="auto" w:sz="4" w:space="0"/>
                  <w:bottom w:val="single" w:color="auto" w:sz="4" w:space="0"/>
                  <w:right w:val="single" w:color="auto" w:sz="4" w:space="0"/>
                </w:tcBorders>
                <w:vAlign w:val="center"/>
              </w:tcPr>
              <w:p w14:paraId="33B3E2F8">
                <w:pPr>
                  <w:adjustRightInd w:val="0"/>
                  <w:snapToGrid w:val="0"/>
                  <w:jc w:val="center"/>
                  <w:rPr>
                    <w:rFonts w:ascii="Calibri" w:hAnsi="Calibri"/>
                    <w:sz w:val="20"/>
                    <w:szCs w:val="20"/>
                  </w:rPr>
                </w:pPr>
                <w:r>
                  <w:rPr>
                    <w:rFonts w:hint="eastAsia" w:ascii="Calibri" w:hAnsi="Calibri"/>
                    <w:sz w:val="20"/>
                    <w:szCs w:val="20"/>
                  </w:rPr>
                  <w:t>期初余额</w:t>
                </w:r>
              </w:p>
            </w:tc>
          </w:sdtContent>
        </w:sdt>
      </w:tr>
      <w:tr w14:paraId="0AA7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1" w:type="dxa"/>
            <w:tcBorders>
              <w:top w:val="single" w:color="auto" w:sz="4" w:space="0"/>
              <w:left w:val="single" w:color="auto" w:sz="4" w:space="0"/>
              <w:bottom w:val="single" w:color="auto" w:sz="4" w:space="0"/>
              <w:right w:val="single" w:color="auto" w:sz="4" w:space="0"/>
            </w:tcBorders>
            <w:vAlign w:val="center"/>
          </w:tcPr>
          <w:p w14:paraId="20C6CEE8">
            <w:pPr>
              <w:rPr>
                <w:rFonts w:ascii="Calibri" w:hAnsi="Calibri"/>
                <w:color w:val="000000" w:themeColor="text1"/>
                <w:sz w:val="20"/>
                <w:szCs w:val="20"/>
                <w14:textFill>
                  <w14:solidFill>
                    <w14:schemeClr w14:val="tx1"/>
                  </w14:solidFill>
                </w14:textFill>
              </w:rPr>
            </w:pPr>
            <w:r>
              <w:rPr>
                <w:rFonts w:hint="eastAsia" w:ascii="Calibri" w:hAnsi="Calibri"/>
                <w:sz w:val="20"/>
                <w:szCs w:val="20"/>
              </w:rPr>
              <w:t>短期应付债券</w:t>
            </w:r>
          </w:p>
        </w:tc>
        <w:tc>
          <w:tcPr>
            <w:tcW w:w="3118" w:type="dxa"/>
            <w:tcBorders>
              <w:top w:val="single" w:color="auto" w:sz="4" w:space="0"/>
              <w:left w:val="single" w:color="auto" w:sz="4" w:space="0"/>
              <w:bottom w:val="single" w:color="auto" w:sz="4" w:space="0"/>
              <w:right w:val="single" w:color="auto" w:sz="4" w:space="0"/>
            </w:tcBorders>
            <w:vAlign w:val="center"/>
          </w:tcPr>
          <w:p w14:paraId="60DB76A9">
            <w:pPr>
              <w:jc w:val="right"/>
              <w:rPr>
                <w:rFonts w:ascii="Calibri" w:hAnsi="Calibri"/>
                <w:sz w:val="20"/>
                <w:szCs w:val="20"/>
              </w:rPr>
            </w:pPr>
          </w:p>
        </w:tc>
        <w:tc>
          <w:tcPr>
            <w:tcW w:w="3129" w:type="dxa"/>
            <w:tcBorders>
              <w:top w:val="single" w:color="auto" w:sz="4" w:space="0"/>
              <w:left w:val="single" w:color="auto" w:sz="4" w:space="0"/>
              <w:bottom w:val="single" w:color="auto" w:sz="4" w:space="0"/>
              <w:right w:val="single" w:color="auto" w:sz="4" w:space="0"/>
            </w:tcBorders>
            <w:vAlign w:val="center"/>
          </w:tcPr>
          <w:p w14:paraId="21497288">
            <w:pPr>
              <w:jc w:val="right"/>
              <w:rPr>
                <w:rFonts w:ascii="Calibri" w:hAnsi="Calibri"/>
                <w:sz w:val="20"/>
                <w:szCs w:val="20"/>
              </w:rPr>
            </w:pPr>
          </w:p>
        </w:tc>
      </w:tr>
      <w:tr w14:paraId="7BB2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1" w:type="dxa"/>
            <w:tcBorders>
              <w:top w:val="single" w:color="auto" w:sz="4" w:space="0"/>
              <w:left w:val="single" w:color="auto" w:sz="4" w:space="0"/>
              <w:bottom w:val="single" w:color="auto" w:sz="4" w:space="0"/>
              <w:right w:val="single" w:color="auto" w:sz="4" w:space="0"/>
            </w:tcBorders>
            <w:vAlign w:val="center"/>
          </w:tcPr>
          <w:p w14:paraId="015E70BD">
            <w:pPr>
              <w:pStyle w:val="48"/>
              <w:rPr>
                <w:sz w:val="20"/>
                <w:szCs w:val="20"/>
              </w:rPr>
            </w:pPr>
            <w:r>
              <w:rPr>
                <w:rFonts w:hint="eastAsia"/>
                <w:sz w:val="20"/>
                <w:szCs w:val="20"/>
              </w:rPr>
              <w:t>应付退货款</w:t>
            </w:r>
          </w:p>
        </w:tc>
        <w:tc>
          <w:tcPr>
            <w:tcW w:w="3118" w:type="dxa"/>
            <w:tcBorders>
              <w:top w:val="single" w:color="auto" w:sz="4" w:space="0"/>
              <w:left w:val="single" w:color="auto" w:sz="4" w:space="0"/>
              <w:bottom w:val="single" w:color="auto" w:sz="4" w:space="0"/>
              <w:right w:val="single" w:color="auto" w:sz="4" w:space="0"/>
            </w:tcBorders>
            <w:vAlign w:val="center"/>
          </w:tcPr>
          <w:p w14:paraId="174175B2">
            <w:pPr>
              <w:jc w:val="right"/>
              <w:rPr>
                <w:rFonts w:ascii="Calibri" w:hAnsi="Calibri"/>
                <w:sz w:val="20"/>
                <w:szCs w:val="20"/>
              </w:rPr>
            </w:pPr>
          </w:p>
        </w:tc>
        <w:tc>
          <w:tcPr>
            <w:tcW w:w="3129" w:type="dxa"/>
            <w:tcBorders>
              <w:top w:val="single" w:color="auto" w:sz="4" w:space="0"/>
              <w:left w:val="single" w:color="auto" w:sz="4" w:space="0"/>
              <w:bottom w:val="single" w:color="auto" w:sz="4" w:space="0"/>
              <w:right w:val="single" w:color="auto" w:sz="4" w:space="0"/>
            </w:tcBorders>
            <w:vAlign w:val="center"/>
          </w:tcPr>
          <w:p w14:paraId="777AF310">
            <w:pPr>
              <w:jc w:val="right"/>
              <w:rPr>
                <w:rFonts w:ascii="Calibri" w:hAnsi="Calibri"/>
                <w:sz w:val="20"/>
                <w:szCs w:val="20"/>
              </w:rPr>
            </w:pPr>
          </w:p>
        </w:tc>
      </w:tr>
      <w:tr w14:paraId="183B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01" w:type="dxa"/>
            <w:tcBorders>
              <w:top w:val="single" w:color="auto" w:sz="4" w:space="0"/>
              <w:left w:val="single" w:color="auto" w:sz="4" w:space="0"/>
              <w:bottom w:val="single" w:color="auto" w:sz="4" w:space="0"/>
              <w:right w:val="single" w:color="auto" w:sz="4" w:space="0"/>
            </w:tcBorders>
            <w:vAlign w:val="center"/>
          </w:tcPr>
          <w:p w14:paraId="2CAA570A">
            <w:pPr>
              <w:pStyle w:val="48"/>
              <w:rPr>
                <w:sz w:val="20"/>
                <w:szCs w:val="20"/>
              </w:rPr>
            </w:pPr>
            <w:r>
              <w:rPr>
                <w:sz w:val="20"/>
                <w:szCs w:val="20"/>
              </w:rPr>
              <w:t>待转销项税额</w:t>
            </w:r>
          </w:p>
        </w:tc>
        <w:tc>
          <w:tcPr>
            <w:tcW w:w="3118" w:type="dxa"/>
            <w:tcBorders>
              <w:top w:val="single" w:color="auto" w:sz="4" w:space="0"/>
              <w:left w:val="single" w:color="auto" w:sz="4" w:space="0"/>
              <w:bottom w:val="single" w:color="auto" w:sz="4" w:space="0"/>
              <w:right w:val="single" w:color="auto" w:sz="4" w:space="0"/>
            </w:tcBorders>
            <w:vAlign w:val="center"/>
          </w:tcPr>
          <w:p w14:paraId="4ADFA96E">
            <w:pPr>
              <w:jc w:val="right"/>
              <w:rPr>
                <w:rFonts w:ascii="Calibri" w:hAnsi="Calibri"/>
                <w:sz w:val="20"/>
                <w:szCs w:val="20"/>
              </w:rPr>
            </w:pPr>
            <w:r>
              <w:rPr>
                <w:rFonts w:ascii="Calibri" w:hAnsi="Calibri"/>
                <w:sz w:val="20"/>
                <w:szCs w:val="20"/>
              </w:rPr>
              <w:t>213,409.85</w:t>
            </w:r>
          </w:p>
        </w:tc>
        <w:tc>
          <w:tcPr>
            <w:tcW w:w="3129" w:type="dxa"/>
            <w:tcBorders>
              <w:top w:val="single" w:color="auto" w:sz="4" w:space="0"/>
              <w:left w:val="single" w:color="auto" w:sz="4" w:space="0"/>
              <w:bottom w:val="single" w:color="auto" w:sz="4" w:space="0"/>
              <w:right w:val="single" w:color="auto" w:sz="4" w:space="0"/>
            </w:tcBorders>
            <w:vAlign w:val="center"/>
          </w:tcPr>
          <w:p w14:paraId="2EEF8054">
            <w:pPr>
              <w:jc w:val="right"/>
              <w:rPr>
                <w:rFonts w:ascii="Calibri" w:hAnsi="Calibri"/>
                <w:sz w:val="20"/>
                <w:szCs w:val="20"/>
              </w:rPr>
            </w:pPr>
            <w:r>
              <w:rPr>
                <w:rFonts w:ascii="Calibri" w:hAnsi="Calibri"/>
                <w:sz w:val="20"/>
                <w:szCs w:val="20"/>
              </w:rPr>
              <w:t>157,447.52</w:t>
            </w:r>
          </w:p>
        </w:tc>
      </w:tr>
      <w:tr w14:paraId="0E8B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1" w:type="dxa"/>
            <w:tcBorders>
              <w:top w:val="single" w:color="auto" w:sz="4" w:space="0"/>
              <w:left w:val="single" w:color="auto" w:sz="4" w:space="0"/>
              <w:bottom w:val="single" w:color="auto" w:sz="4" w:space="0"/>
              <w:right w:val="single" w:color="auto" w:sz="4" w:space="0"/>
            </w:tcBorders>
            <w:vAlign w:val="center"/>
          </w:tcPr>
          <w:p w14:paraId="18CE460D">
            <w:pPr>
              <w:pStyle w:val="48"/>
              <w:rPr>
                <w:sz w:val="20"/>
                <w:szCs w:val="20"/>
              </w:rPr>
            </w:pPr>
            <w:r>
              <w:rPr>
                <w:sz w:val="20"/>
                <w:szCs w:val="20"/>
              </w:rPr>
              <w:t>已背书未到期的承兑汇票</w:t>
            </w:r>
          </w:p>
        </w:tc>
        <w:tc>
          <w:tcPr>
            <w:tcW w:w="3118" w:type="dxa"/>
            <w:tcBorders>
              <w:top w:val="single" w:color="auto" w:sz="4" w:space="0"/>
              <w:left w:val="single" w:color="auto" w:sz="4" w:space="0"/>
              <w:bottom w:val="single" w:color="auto" w:sz="4" w:space="0"/>
              <w:right w:val="single" w:color="auto" w:sz="4" w:space="0"/>
            </w:tcBorders>
            <w:vAlign w:val="center"/>
          </w:tcPr>
          <w:p w14:paraId="01CB39E1">
            <w:pPr>
              <w:jc w:val="right"/>
              <w:rPr>
                <w:rFonts w:ascii="Calibri" w:hAnsi="Calibri"/>
                <w:sz w:val="20"/>
                <w:szCs w:val="20"/>
              </w:rPr>
            </w:pPr>
            <w:r>
              <w:rPr>
                <w:rFonts w:ascii="Calibri" w:hAnsi="Calibri"/>
                <w:sz w:val="20"/>
                <w:szCs w:val="20"/>
              </w:rPr>
              <w:t>9,845,171.18</w:t>
            </w:r>
          </w:p>
        </w:tc>
        <w:tc>
          <w:tcPr>
            <w:tcW w:w="3129" w:type="dxa"/>
            <w:tcBorders>
              <w:top w:val="single" w:color="auto" w:sz="4" w:space="0"/>
              <w:left w:val="single" w:color="auto" w:sz="4" w:space="0"/>
              <w:bottom w:val="single" w:color="auto" w:sz="4" w:space="0"/>
              <w:right w:val="single" w:color="auto" w:sz="4" w:space="0"/>
            </w:tcBorders>
            <w:vAlign w:val="center"/>
          </w:tcPr>
          <w:p w14:paraId="01068D66">
            <w:pPr>
              <w:jc w:val="right"/>
              <w:rPr>
                <w:rFonts w:ascii="Calibri" w:hAnsi="Calibri"/>
                <w:sz w:val="20"/>
                <w:szCs w:val="20"/>
              </w:rPr>
            </w:pPr>
            <w:r>
              <w:rPr>
                <w:rFonts w:ascii="Calibri" w:hAnsi="Calibri"/>
                <w:sz w:val="20"/>
                <w:szCs w:val="20"/>
              </w:rPr>
              <w:t>2,480,995.13</w:t>
            </w:r>
          </w:p>
        </w:tc>
      </w:tr>
      <w:tr w14:paraId="061B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1" w:type="dxa"/>
            <w:tcBorders>
              <w:top w:val="single" w:color="auto" w:sz="4" w:space="0"/>
              <w:left w:val="single" w:color="auto" w:sz="4" w:space="0"/>
              <w:bottom w:val="single" w:color="auto" w:sz="4" w:space="0"/>
              <w:right w:val="single" w:color="auto" w:sz="4" w:space="0"/>
            </w:tcBorders>
            <w:vAlign w:val="center"/>
          </w:tcPr>
          <w:p w14:paraId="09CCC0B6">
            <w:pPr>
              <w:jc w:val="center"/>
              <w:rPr>
                <w:rFonts w:ascii="Calibri" w:hAnsi="Calibri"/>
                <w:sz w:val="20"/>
                <w:szCs w:val="20"/>
              </w:rPr>
            </w:pPr>
            <w:r>
              <w:rPr>
                <w:rFonts w:hint="eastAsia" w:ascii="Calibri" w:hAnsi="Calibri"/>
                <w:sz w:val="20"/>
                <w:szCs w:val="20"/>
              </w:rPr>
              <w:t>合计</w:t>
            </w:r>
          </w:p>
        </w:tc>
        <w:tc>
          <w:tcPr>
            <w:tcW w:w="3118" w:type="dxa"/>
            <w:tcBorders>
              <w:top w:val="single" w:color="auto" w:sz="4" w:space="0"/>
              <w:left w:val="single" w:color="auto" w:sz="4" w:space="0"/>
              <w:bottom w:val="single" w:color="auto" w:sz="4" w:space="0"/>
              <w:right w:val="single" w:color="auto" w:sz="4" w:space="0"/>
            </w:tcBorders>
            <w:vAlign w:val="center"/>
          </w:tcPr>
          <w:p w14:paraId="543A4041">
            <w:pPr>
              <w:jc w:val="right"/>
              <w:rPr>
                <w:rFonts w:ascii="Calibri" w:hAnsi="Calibri"/>
                <w:sz w:val="20"/>
                <w:szCs w:val="20"/>
              </w:rPr>
            </w:pPr>
            <w:r>
              <w:rPr>
                <w:rFonts w:ascii="Calibri" w:hAnsi="Calibri"/>
                <w:sz w:val="20"/>
                <w:szCs w:val="20"/>
              </w:rPr>
              <w:t>10,058,581.03</w:t>
            </w:r>
          </w:p>
        </w:tc>
        <w:tc>
          <w:tcPr>
            <w:tcW w:w="3129" w:type="dxa"/>
            <w:tcBorders>
              <w:top w:val="single" w:color="auto" w:sz="4" w:space="0"/>
              <w:left w:val="single" w:color="auto" w:sz="4" w:space="0"/>
              <w:bottom w:val="single" w:color="auto" w:sz="4" w:space="0"/>
              <w:right w:val="single" w:color="auto" w:sz="4" w:space="0"/>
            </w:tcBorders>
            <w:vAlign w:val="center"/>
          </w:tcPr>
          <w:p w14:paraId="3410094C">
            <w:pPr>
              <w:jc w:val="right"/>
              <w:rPr>
                <w:rFonts w:ascii="Calibri" w:hAnsi="Calibri"/>
                <w:sz w:val="20"/>
                <w:szCs w:val="20"/>
              </w:rPr>
            </w:pPr>
            <w:r>
              <w:rPr>
                <w:rFonts w:ascii="Calibri" w:hAnsi="Calibri"/>
                <w:sz w:val="20"/>
                <w:szCs w:val="20"/>
              </w:rPr>
              <w:t>2,638,442.65</w:t>
            </w:r>
          </w:p>
        </w:tc>
      </w:tr>
    </w:tbl>
    <w:p w14:paraId="7F743043"/>
    <w:p w14:paraId="605E2D8C">
      <w:pPr>
        <w:pStyle w:val="48"/>
      </w:pPr>
    </w:p>
    <w:p w14:paraId="5E4E0E61">
      <w:pPr>
        <w:pStyle w:val="48"/>
      </w:pPr>
      <w:r>
        <w:rPr>
          <w:rFonts w:hint="eastAsia"/>
        </w:rPr>
        <w:t>短期</w:t>
      </w:r>
      <w:r>
        <w:t>应付债券的增减变动</w:t>
      </w:r>
      <w:r>
        <w:rPr>
          <w:rFonts w:hint="eastAsia"/>
        </w:rPr>
        <w:t>：</w:t>
      </w:r>
    </w:p>
    <w:sdt>
      <w:sdtPr>
        <w:alias w:val="是否适用：短期应付债券的增减变动[双击切换]"/>
        <w:tag w:val="_GBC_9702365af41547e6b7eeb62225fd79a4"/>
        <w:id w:val="-1143657289"/>
        <w:placeholder>
          <w:docPart w:val="GBC22222222222222222222222222222"/>
        </w:placeholder>
      </w:sdtPr>
      <w:sdtContent>
        <w:p w14:paraId="5829B7FC">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162E8EE">
      <w:pPr>
        <w:pStyle w:val="48"/>
      </w:pPr>
    </w:p>
    <w:p w14:paraId="25CB646E">
      <w:pPr>
        <w:spacing w:before="60" w:after="60"/>
      </w:pPr>
      <w:r>
        <w:rPr>
          <w:rFonts w:hint="eastAsia"/>
        </w:rPr>
        <w:t>其他说明：</w:t>
      </w:r>
    </w:p>
    <w:sdt>
      <w:sdtPr>
        <w:alias w:val="是否适用：其他流动负债说明[双击切换]"/>
        <w:tag w:val="_GBC_137d3b80ab3041c1a1b255a500c3d52c"/>
        <w:id w:val="749012194"/>
        <w:placeholder>
          <w:docPart w:val="GBC22222222222222222222222222222"/>
        </w:placeholder>
      </w:sdtPr>
      <w:sdtContent>
        <w:p w14:paraId="7583FD0B">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B8C8A1">
      <w:pPr>
        <w:pStyle w:val="48"/>
      </w:pPr>
    </w:p>
    <w:p w14:paraId="6A86CA6D">
      <w:pPr>
        <w:sectPr>
          <w:pgSz w:w="11906" w:h="16838"/>
          <w:pgMar w:top="1440" w:right="1797" w:bottom="1525" w:left="1276" w:header="856" w:footer="992" w:gutter="0"/>
          <w:cols w:space="425" w:num="1"/>
          <w:docGrid w:linePitch="312" w:charSpace="0"/>
        </w:sectPr>
      </w:pPr>
    </w:p>
    <w:p w14:paraId="122C989B">
      <w:pPr>
        <w:pStyle w:val="48"/>
      </w:pPr>
    </w:p>
    <w:p w14:paraId="368DE84C">
      <w:pPr>
        <w:pStyle w:val="4"/>
        <w:numPr>
          <w:ilvl w:val="0"/>
          <w:numId w:val="61"/>
        </w:numPr>
        <w:rPr>
          <w:szCs w:val="21"/>
        </w:rPr>
      </w:pPr>
      <w:r>
        <w:rPr>
          <w:szCs w:val="21"/>
        </w:rPr>
        <w:t>长期借款</w:t>
      </w:r>
    </w:p>
    <w:p w14:paraId="7F503C1A">
      <w:pPr>
        <w:pStyle w:val="5"/>
        <w:numPr>
          <w:ilvl w:val="3"/>
          <w:numId w:val="93"/>
        </w:numPr>
      </w:pPr>
      <w:r>
        <w:rPr>
          <w:rFonts w:hint="eastAsia"/>
        </w:rPr>
        <w:t>长期借款分类</w:t>
      </w:r>
    </w:p>
    <w:sdt>
      <w:sdtPr>
        <w:alias w:val="是否适用：长期借款分类[双击切换]"/>
        <w:tag w:val="_GBC_f97d0882083646ed86769469b3ee8875"/>
        <w:id w:val="-1868833706"/>
        <w:placeholder>
          <w:docPart w:val="GBC22222222222222222222222222222"/>
        </w:placeholder>
      </w:sdtPr>
      <w:sdtContent>
        <w:p w14:paraId="1B933BBF">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C187975">
      <w:pPr>
        <w:jc w:val="right"/>
      </w:pPr>
      <w:r>
        <w:rPr>
          <w:rFonts w:hint="eastAsia"/>
        </w:rPr>
        <w:t>单位：</w:t>
      </w:r>
      <w:sdt>
        <w:sdtPr>
          <w:rPr>
            <w:rFonts w:hint="eastAsia"/>
          </w:rPr>
          <w:alias w:val="单位：财务附注：长期借款分类"/>
          <w:tag w:val="_GBC_1469e55f5b66428a857f07acaf1e4ae0"/>
          <w:id w:val="9342485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长期借款分类"/>
          <w:tag w:val="_GBC_02e1603886284ce797acd755be7f672a"/>
          <w:id w:val="1802480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1"/>
        <w:gridCol w:w="3051"/>
        <w:gridCol w:w="2946"/>
      </w:tblGrid>
      <w:tr w14:paraId="6547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4e1b60888e3248369c96087fd1f19eed"/>
            <w:id w:val="-868671700"/>
          </w:sdtPr>
          <w:sdtContent>
            <w:tc>
              <w:tcPr>
                <w:tcW w:w="3051" w:type="dxa"/>
                <w:vAlign w:val="center"/>
              </w:tcPr>
              <w:p w14:paraId="12725DBF">
                <w:pPr>
                  <w:autoSpaceDE w:val="0"/>
                  <w:autoSpaceDN w:val="0"/>
                  <w:adjustRightInd w:val="0"/>
                  <w:snapToGrid w:val="0"/>
                  <w:jc w:val="center"/>
                  <w:rPr>
                    <w:rFonts w:ascii="Calibri" w:hAnsi="Calibri"/>
                    <w:sz w:val="20"/>
                    <w:szCs w:val="20"/>
                  </w:rPr>
                </w:pPr>
                <w:r>
                  <w:rPr>
                    <w:rFonts w:hint="eastAsia" w:ascii="Calibri" w:hAnsi="Calibri"/>
                    <w:sz w:val="20"/>
                    <w:szCs w:val="20"/>
                  </w:rPr>
                  <w:t>项目</w:t>
                </w:r>
              </w:p>
            </w:tc>
          </w:sdtContent>
        </w:sdt>
        <w:sdt>
          <w:sdtPr>
            <w:tag w:val="_PLD_5eb33a0c1cde49ff9ed499493463ec46"/>
            <w:id w:val="563603713"/>
          </w:sdtPr>
          <w:sdtContent>
            <w:tc>
              <w:tcPr>
                <w:tcW w:w="3051" w:type="dxa"/>
                <w:vAlign w:val="center"/>
              </w:tcPr>
              <w:p w14:paraId="04DA41A5">
                <w:pPr>
                  <w:jc w:val="center"/>
                  <w:rPr>
                    <w:rFonts w:ascii="Calibri" w:hAnsi="Calibri"/>
                    <w:sz w:val="20"/>
                    <w:szCs w:val="20"/>
                  </w:rPr>
                </w:pPr>
                <w:r>
                  <w:rPr>
                    <w:rFonts w:hint="eastAsia" w:ascii="Calibri" w:hAnsi="Calibri"/>
                    <w:sz w:val="20"/>
                    <w:szCs w:val="20"/>
                  </w:rPr>
                  <w:t>期末余额</w:t>
                </w:r>
              </w:p>
            </w:tc>
          </w:sdtContent>
        </w:sdt>
        <w:sdt>
          <w:sdtPr>
            <w:tag w:val="_PLD_9b129c446a5847edb58141b866ffac5d"/>
            <w:id w:val="795883504"/>
          </w:sdtPr>
          <w:sdtContent>
            <w:tc>
              <w:tcPr>
                <w:tcW w:w="2946" w:type="dxa"/>
                <w:vAlign w:val="center"/>
              </w:tcPr>
              <w:p w14:paraId="735B38B9">
                <w:pPr>
                  <w:jc w:val="center"/>
                  <w:rPr>
                    <w:rFonts w:ascii="Calibri" w:hAnsi="Calibri"/>
                    <w:sz w:val="20"/>
                    <w:szCs w:val="20"/>
                  </w:rPr>
                </w:pPr>
                <w:r>
                  <w:rPr>
                    <w:rFonts w:hint="eastAsia" w:ascii="Calibri" w:hAnsi="Calibri"/>
                    <w:sz w:val="20"/>
                    <w:szCs w:val="20"/>
                  </w:rPr>
                  <w:t>期初余额</w:t>
                </w:r>
              </w:p>
            </w:tc>
          </w:sdtContent>
        </w:sdt>
      </w:tr>
      <w:tr w14:paraId="5D48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51" w:type="dxa"/>
            <w:vAlign w:val="center"/>
          </w:tcPr>
          <w:p w14:paraId="46F16714">
            <w:pPr>
              <w:autoSpaceDE w:val="0"/>
              <w:autoSpaceDN w:val="0"/>
              <w:adjustRightInd w:val="0"/>
              <w:snapToGrid w:val="0"/>
              <w:jc w:val="both"/>
              <w:rPr>
                <w:rFonts w:ascii="Calibri" w:hAnsi="Calibri"/>
                <w:sz w:val="20"/>
                <w:szCs w:val="20"/>
              </w:rPr>
            </w:pPr>
            <w:r>
              <w:rPr>
                <w:rFonts w:hint="eastAsia" w:ascii="Calibri" w:hAnsi="Calibri"/>
                <w:sz w:val="20"/>
                <w:szCs w:val="20"/>
              </w:rPr>
              <w:t>质押借款</w:t>
            </w:r>
          </w:p>
        </w:tc>
        <w:tc>
          <w:tcPr>
            <w:tcW w:w="3051" w:type="dxa"/>
            <w:vAlign w:val="center"/>
          </w:tcPr>
          <w:p w14:paraId="2536BCC6">
            <w:pPr>
              <w:autoSpaceDE w:val="0"/>
              <w:autoSpaceDN w:val="0"/>
              <w:adjustRightInd w:val="0"/>
              <w:snapToGrid w:val="0"/>
              <w:ind w:right="180"/>
              <w:jc w:val="right"/>
              <w:rPr>
                <w:rFonts w:ascii="Calibri" w:hAnsi="Calibri"/>
                <w:sz w:val="20"/>
                <w:szCs w:val="20"/>
              </w:rPr>
            </w:pPr>
          </w:p>
        </w:tc>
        <w:tc>
          <w:tcPr>
            <w:tcW w:w="2946" w:type="dxa"/>
            <w:vAlign w:val="center"/>
          </w:tcPr>
          <w:p w14:paraId="5CEFEBE6">
            <w:pPr>
              <w:jc w:val="right"/>
              <w:rPr>
                <w:rFonts w:ascii="Calibri" w:hAnsi="Calibri"/>
                <w:sz w:val="20"/>
                <w:szCs w:val="20"/>
              </w:rPr>
            </w:pPr>
          </w:p>
        </w:tc>
      </w:tr>
      <w:tr w14:paraId="74D2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51" w:type="dxa"/>
            <w:vAlign w:val="center"/>
          </w:tcPr>
          <w:p w14:paraId="02B3C5A9">
            <w:pPr>
              <w:autoSpaceDE w:val="0"/>
              <w:autoSpaceDN w:val="0"/>
              <w:adjustRightInd w:val="0"/>
              <w:snapToGrid w:val="0"/>
              <w:jc w:val="both"/>
              <w:rPr>
                <w:rFonts w:ascii="Calibri" w:hAnsi="Calibri"/>
                <w:sz w:val="20"/>
                <w:szCs w:val="20"/>
              </w:rPr>
            </w:pPr>
            <w:r>
              <w:rPr>
                <w:rFonts w:hint="eastAsia" w:ascii="Calibri" w:hAnsi="Calibri"/>
                <w:sz w:val="20"/>
                <w:szCs w:val="20"/>
              </w:rPr>
              <w:t>抵押借款</w:t>
            </w:r>
          </w:p>
        </w:tc>
        <w:tc>
          <w:tcPr>
            <w:tcW w:w="3051" w:type="dxa"/>
            <w:vAlign w:val="center"/>
          </w:tcPr>
          <w:p w14:paraId="3ABA75BC">
            <w:pPr>
              <w:autoSpaceDE w:val="0"/>
              <w:autoSpaceDN w:val="0"/>
              <w:adjustRightInd w:val="0"/>
              <w:snapToGrid w:val="0"/>
              <w:ind w:right="180"/>
              <w:jc w:val="right"/>
              <w:rPr>
                <w:rFonts w:ascii="Calibri" w:hAnsi="Calibri"/>
                <w:sz w:val="20"/>
                <w:szCs w:val="20"/>
              </w:rPr>
            </w:pPr>
          </w:p>
        </w:tc>
        <w:tc>
          <w:tcPr>
            <w:tcW w:w="2946" w:type="dxa"/>
            <w:vAlign w:val="center"/>
          </w:tcPr>
          <w:p w14:paraId="2E5324A7">
            <w:pPr>
              <w:jc w:val="right"/>
              <w:rPr>
                <w:rFonts w:ascii="Calibri" w:hAnsi="Calibri"/>
                <w:sz w:val="20"/>
                <w:szCs w:val="20"/>
              </w:rPr>
            </w:pPr>
          </w:p>
        </w:tc>
      </w:tr>
      <w:tr w14:paraId="622D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51" w:type="dxa"/>
            <w:vAlign w:val="center"/>
          </w:tcPr>
          <w:p w14:paraId="329C32F4">
            <w:pPr>
              <w:autoSpaceDE w:val="0"/>
              <w:autoSpaceDN w:val="0"/>
              <w:adjustRightInd w:val="0"/>
              <w:snapToGrid w:val="0"/>
              <w:jc w:val="both"/>
              <w:rPr>
                <w:rFonts w:ascii="Calibri" w:hAnsi="Calibri"/>
                <w:sz w:val="20"/>
                <w:szCs w:val="20"/>
              </w:rPr>
            </w:pPr>
            <w:r>
              <w:rPr>
                <w:rFonts w:hint="eastAsia" w:ascii="Calibri" w:hAnsi="Calibri"/>
                <w:sz w:val="20"/>
                <w:szCs w:val="20"/>
              </w:rPr>
              <w:t>保证借款</w:t>
            </w:r>
          </w:p>
        </w:tc>
        <w:tc>
          <w:tcPr>
            <w:tcW w:w="3051" w:type="dxa"/>
            <w:vAlign w:val="center"/>
          </w:tcPr>
          <w:p w14:paraId="26AE339A">
            <w:pPr>
              <w:autoSpaceDE w:val="0"/>
              <w:autoSpaceDN w:val="0"/>
              <w:adjustRightInd w:val="0"/>
              <w:snapToGrid w:val="0"/>
              <w:ind w:right="180"/>
              <w:jc w:val="right"/>
              <w:rPr>
                <w:rFonts w:ascii="Calibri" w:hAnsi="Calibri"/>
                <w:sz w:val="20"/>
                <w:szCs w:val="20"/>
              </w:rPr>
            </w:pPr>
          </w:p>
        </w:tc>
        <w:tc>
          <w:tcPr>
            <w:tcW w:w="2946" w:type="dxa"/>
            <w:vAlign w:val="center"/>
          </w:tcPr>
          <w:p w14:paraId="4E52CB41">
            <w:pPr>
              <w:jc w:val="right"/>
              <w:rPr>
                <w:rFonts w:ascii="Calibri" w:hAnsi="Calibri"/>
                <w:sz w:val="20"/>
                <w:szCs w:val="20"/>
              </w:rPr>
            </w:pPr>
          </w:p>
        </w:tc>
      </w:tr>
      <w:tr w14:paraId="7135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51" w:type="dxa"/>
            <w:vAlign w:val="center"/>
          </w:tcPr>
          <w:p w14:paraId="40501DA2">
            <w:pPr>
              <w:autoSpaceDE w:val="0"/>
              <w:autoSpaceDN w:val="0"/>
              <w:adjustRightInd w:val="0"/>
              <w:snapToGrid w:val="0"/>
              <w:jc w:val="both"/>
              <w:rPr>
                <w:rFonts w:ascii="Calibri" w:hAnsi="Calibri"/>
                <w:sz w:val="20"/>
                <w:szCs w:val="20"/>
              </w:rPr>
            </w:pPr>
            <w:r>
              <w:rPr>
                <w:rFonts w:hint="eastAsia" w:ascii="Calibri" w:hAnsi="Calibri"/>
                <w:sz w:val="20"/>
                <w:szCs w:val="20"/>
              </w:rPr>
              <w:t>信用借款</w:t>
            </w:r>
          </w:p>
        </w:tc>
        <w:tc>
          <w:tcPr>
            <w:tcW w:w="3051" w:type="dxa"/>
            <w:vAlign w:val="center"/>
          </w:tcPr>
          <w:p w14:paraId="21F754A2">
            <w:pPr>
              <w:autoSpaceDE w:val="0"/>
              <w:autoSpaceDN w:val="0"/>
              <w:adjustRightInd w:val="0"/>
              <w:snapToGrid w:val="0"/>
              <w:ind w:right="180"/>
              <w:jc w:val="right"/>
              <w:rPr>
                <w:rFonts w:ascii="Calibri" w:hAnsi="Calibri"/>
                <w:sz w:val="20"/>
                <w:szCs w:val="20"/>
              </w:rPr>
            </w:pPr>
            <w:r>
              <w:rPr>
                <w:rFonts w:ascii="Calibri" w:hAnsi="Calibri"/>
                <w:sz w:val="20"/>
                <w:szCs w:val="20"/>
              </w:rPr>
              <w:t>192,190,000.00</w:t>
            </w:r>
          </w:p>
        </w:tc>
        <w:tc>
          <w:tcPr>
            <w:tcW w:w="2946" w:type="dxa"/>
            <w:vAlign w:val="center"/>
          </w:tcPr>
          <w:p w14:paraId="2E146FF0">
            <w:pPr>
              <w:jc w:val="right"/>
              <w:rPr>
                <w:rFonts w:ascii="Calibri" w:hAnsi="Calibri"/>
                <w:sz w:val="20"/>
                <w:szCs w:val="20"/>
              </w:rPr>
            </w:pPr>
            <w:r>
              <w:rPr>
                <w:rFonts w:ascii="Calibri" w:hAnsi="Calibri"/>
                <w:sz w:val="20"/>
                <w:szCs w:val="20"/>
              </w:rPr>
              <w:t>253,490,000.00</w:t>
            </w:r>
          </w:p>
        </w:tc>
      </w:tr>
      <w:tr w14:paraId="535C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51" w:type="dxa"/>
            <w:vAlign w:val="center"/>
          </w:tcPr>
          <w:p w14:paraId="2645BA74">
            <w:pPr>
              <w:autoSpaceDE w:val="0"/>
              <w:autoSpaceDN w:val="0"/>
              <w:adjustRightInd w:val="0"/>
              <w:snapToGrid w:val="0"/>
              <w:jc w:val="center"/>
              <w:rPr>
                <w:rFonts w:ascii="Calibri" w:hAnsi="Calibri"/>
                <w:sz w:val="20"/>
                <w:szCs w:val="20"/>
              </w:rPr>
            </w:pPr>
            <w:r>
              <w:rPr>
                <w:rFonts w:hint="eastAsia" w:ascii="Calibri" w:hAnsi="Calibri"/>
                <w:sz w:val="20"/>
                <w:szCs w:val="20"/>
              </w:rPr>
              <w:t>合计</w:t>
            </w:r>
          </w:p>
        </w:tc>
        <w:tc>
          <w:tcPr>
            <w:tcW w:w="3051" w:type="dxa"/>
            <w:vAlign w:val="center"/>
          </w:tcPr>
          <w:p w14:paraId="7B45DE91">
            <w:pPr>
              <w:autoSpaceDE w:val="0"/>
              <w:autoSpaceDN w:val="0"/>
              <w:adjustRightInd w:val="0"/>
              <w:snapToGrid w:val="0"/>
              <w:ind w:right="180"/>
              <w:jc w:val="right"/>
              <w:rPr>
                <w:rFonts w:ascii="Calibri" w:hAnsi="Calibri"/>
                <w:sz w:val="20"/>
                <w:szCs w:val="20"/>
              </w:rPr>
            </w:pPr>
            <w:r>
              <w:rPr>
                <w:rFonts w:ascii="Calibri" w:hAnsi="Calibri"/>
                <w:sz w:val="20"/>
                <w:szCs w:val="20"/>
              </w:rPr>
              <w:t>192,190,000.00</w:t>
            </w:r>
          </w:p>
        </w:tc>
        <w:tc>
          <w:tcPr>
            <w:tcW w:w="2946" w:type="dxa"/>
            <w:vAlign w:val="center"/>
          </w:tcPr>
          <w:p w14:paraId="0C0AA434">
            <w:pPr>
              <w:jc w:val="right"/>
              <w:rPr>
                <w:rFonts w:ascii="Calibri" w:hAnsi="Calibri"/>
                <w:sz w:val="20"/>
                <w:szCs w:val="20"/>
              </w:rPr>
            </w:pPr>
            <w:r>
              <w:rPr>
                <w:rFonts w:ascii="Calibri" w:hAnsi="Calibri"/>
                <w:sz w:val="20"/>
                <w:szCs w:val="20"/>
              </w:rPr>
              <w:t>253,490,000.00</w:t>
            </w:r>
          </w:p>
        </w:tc>
      </w:tr>
    </w:tbl>
    <w:p w14:paraId="54E9FC3D">
      <w:pPr>
        <w:snapToGrid w:val="0"/>
        <w:rPr>
          <w:rFonts w:cstheme="minorBidi"/>
          <w:color w:val="000000" w:themeColor="text1"/>
          <w:kern w:val="2"/>
          <w14:textFill>
            <w14:solidFill>
              <w14:schemeClr w14:val="tx1"/>
            </w14:solidFill>
          </w14:textFill>
        </w:rPr>
      </w:pPr>
    </w:p>
    <w:p w14:paraId="03552340">
      <w:pPr>
        <w:snapToGrid w:val="0"/>
        <w:rPr>
          <w:rFonts w:cstheme="minorBidi"/>
          <w:color w:val="000000" w:themeColor="text1"/>
          <w:kern w:val="2"/>
          <w14:textFill>
            <w14:solidFill>
              <w14:schemeClr w14:val="tx1"/>
            </w14:solidFill>
          </w14:textFill>
        </w:rPr>
      </w:pPr>
    </w:p>
    <w:p w14:paraId="2C853C8D">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长期借款的说明[双击切换]"/>
        <w:tag w:val="_GBC_81b19a673078421a910ba8721333fbbe"/>
        <w:id w:val="1613858449"/>
        <w:placeholder>
          <w:docPart w:val="GBC22222222222222222222222222222"/>
        </w:placeholder>
      </w:sdtPr>
      <w:sdtEndPr>
        <w:rPr>
          <w:color w:val="000000" w:themeColor="text1"/>
          <w14:textFill>
            <w14:solidFill>
              <w14:schemeClr w14:val="tx1"/>
            </w14:solidFill>
          </w14:textFill>
        </w:rPr>
      </w:sdtEndPr>
      <w:sdtContent>
        <w:p w14:paraId="02D86601">
          <w:pPr>
            <w:snapToGrid w:val="0"/>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E7940C2">
      <w:pPr>
        <w:pStyle w:val="48"/>
      </w:pPr>
    </w:p>
    <w:p w14:paraId="7C22DFEC">
      <w:pPr>
        <w:pStyle w:val="4"/>
        <w:numPr>
          <w:ilvl w:val="0"/>
          <w:numId w:val="61"/>
        </w:numPr>
        <w:rPr>
          <w:szCs w:val="21"/>
        </w:rPr>
      </w:pPr>
      <w:r>
        <w:rPr>
          <w:szCs w:val="21"/>
        </w:rPr>
        <w:t>应付债券</w:t>
      </w:r>
    </w:p>
    <w:p w14:paraId="166A4EAD">
      <w:pPr>
        <w:pStyle w:val="5"/>
        <w:numPr>
          <w:ilvl w:val="0"/>
          <w:numId w:val="94"/>
        </w:numPr>
        <w:ind w:left="426" w:hanging="426"/>
      </w:pPr>
      <w:r>
        <w:rPr>
          <w:rFonts w:hint="eastAsia"/>
        </w:rPr>
        <w:t>应付债券</w:t>
      </w:r>
    </w:p>
    <w:sdt>
      <w:sdtPr>
        <w:alias w:val="是否适用：应付债券[双击切换]"/>
        <w:tag w:val="_GBC_645b020b25af4284b8eff88f14f8c5c2"/>
        <w:id w:val="1191109160"/>
        <w:placeholder>
          <w:docPart w:val="GBC22222222222222222222222222222"/>
        </w:placeholder>
      </w:sdtPr>
      <w:sdtContent>
        <w:p w14:paraId="16492CE6">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FB26FED">
      <w:pPr>
        <w:pStyle w:val="5"/>
        <w:numPr>
          <w:ilvl w:val="0"/>
          <w:numId w:val="94"/>
        </w:numPr>
        <w:ind w:left="426" w:hanging="426"/>
      </w:pPr>
      <w:r>
        <w:rPr>
          <w:rFonts w:hint="eastAsia"/>
        </w:rPr>
        <w:t>应付债券的具体情况：（不包括划分为金融负债的优先股、永续债等其他金融工具）</w:t>
      </w:r>
    </w:p>
    <w:sdt>
      <w:sdtPr>
        <w:alias w:val="是否适用：应付债券的增减变动[双击切换]"/>
        <w:tag w:val="_GBC_a682f35f6b7c4d8b840f80705a81f19c"/>
        <w:id w:val="591290379"/>
        <w:placeholder>
          <w:docPart w:val="GBC22222222222222222222222222222"/>
        </w:placeholder>
      </w:sdtPr>
      <w:sdtContent>
        <w:p w14:paraId="136D9033">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35D5F6F">
      <w:pPr>
        <w:pStyle w:val="48"/>
        <w:rPr>
          <w:rFonts w:cstheme="minorBidi"/>
          <w:color w:val="000000" w:themeColor="text1"/>
          <w14:textFill>
            <w14:solidFill>
              <w14:schemeClr w14:val="tx1"/>
            </w14:solidFill>
          </w14:textFill>
        </w:rPr>
      </w:pPr>
    </w:p>
    <w:p w14:paraId="7BC412FE">
      <w:pPr>
        <w:pStyle w:val="5"/>
        <w:numPr>
          <w:ilvl w:val="0"/>
          <w:numId w:val="94"/>
        </w:numPr>
        <w:ind w:left="426" w:hanging="426"/>
      </w:pPr>
      <w:bookmarkStart w:id="333" w:name="OLE_LINK18"/>
      <w:bookmarkStart w:id="334" w:name="OLE_LINK16"/>
      <w:r>
        <w:rPr>
          <w:rFonts w:hint="eastAsia"/>
        </w:rPr>
        <w:t>可转换公司债券的说明</w:t>
      </w:r>
    </w:p>
    <w:sdt>
      <w:sdtPr>
        <w:rPr>
          <w:rFonts w:hint="eastAsia"/>
        </w:rPr>
        <w:alias w:val="是否适用：可转换公司债券的转股条件、转股时间说明[双击切换]"/>
        <w:tag w:val="_GBC_2b6cb515ba4c417781662a31ccbd84e3"/>
        <w:id w:val="789869687"/>
        <w:placeholder>
          <w:docPart w:val="GBC22222222222222222222222222222"/>
        </w:placeholder>
      </w:sdtPr>
      <w:sdtEndPr>
        <w:rPr>
          <w:rFonts w:hint="eastAsia"/>
        </w:rPr>
      </w:sdtEndPr>
      <w:sdtContent>
        <w:p w14:paraId="34543A94">
          <w:pPr>
            <w:spacing w:before="60" w:after="6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52F8123">
      <w:pPr>
        <w:spacing w:before="60" w:after="60"/>
      </w:pPr>
    </w:p>
    <w:p w14:paraId="2D51C977">
      <w:pPr>
        <w:spacing w:before="60" w:after="60"/>
      </w:pPr>
      <w:r>
        <w:rPr>
          <w:rFonts w:hint="eastAsia"/>
        </w:rPr>
        <w:t>转股权会计处理及判断依据</w:t>
      </w:r>
    </w:p>
    <w:sdt>
      <w:sdtPr>
        <w:alias w:val="是否适用：转股权会计处理及判断依据[双击切换]"/>
        <w:tag w:val="_GBC_8ec57a1730b24863aa91d9cece86f4d1"/>
        <w:id w:val="121590618"/>
        <w:placeholder>
          <w:docPart w:val="GBC22222222222222222222222222222"/>
        </w:placeholder>
      </w:sdtPr>
      <w:sdtContent>
        <w:p w14:paraId="58AAADE4">
          <w:pPr>
            <w:spacing w:before="60" w:after="6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DF8F85">
      <w:pPr>
        <w:pStyle w:val="48"/>
      </w:pPr>
    </w:p>
    <w:bookmarkEnd w:id="333"/>
    <w:bookmarkEnd w:id="334"/>
    <w:p w14:paraId="02223EA3">
      <w:pPr>
        <w:pStyle w:val="5"/>
        <w:numPr>
          <w:ilvl w:val="0"/>
          <w:numId w:val="94"/>
        </w:numPr>
        <w:ind w:left="426" w:hanging="426"/>
      </w:pPr>
      <w:bookmarkStart w:id="335" w:name="_Hlk184976397"/>
      <w:r>
        <w:rPr>
          <w:rFonts w:hint="eastAsia"/>
        </w:rPr>
        <w:t>划分为金融负债的其他金融工具说明</w:t>
      </w:r>
    </w:p>
    <w:p w14:paraId="6B3C501C">
      <w:pPr>
        <w:rPr>
          <w:color w:val="000000" w:themeColor="text1"/>
          <w14:textFill>
            <w14:solidFill>
              <w14:schemeClr w14:val="tx1"/>
            </w14:solidFill>
          </w14:textFill>
        </w:rPr>
      </w:pPr>
      <w:r>
        <w:rPr>
          <w:rFonts w:hint="eastAsia"/>
          <w:color w:val="000000" w:themeColor="text1"/>
          <w14:textFill>
            <w14:solidFill>
              <w14:schemeClr w14:val="tx1"/>
            </w14:solidFill>
          </w14:textFill>
        </w:rPr>
        <w:t>期末发行在外的优先股、永续债等其他金融工具基本情况</w:t>
      </w:r>
    </w:p>
    <w:sdt>
      <w:sdtPr>
        <w:rPr>
          <w:color w:val="000000" w:themeColor="text1"/>
          <w14:textFill>
            <w14:solidFill>
              <w14:schemeClr w14:val="tx1"/>
            </w14:solidFill>
          </w14:textFill>
        </w:rPr>
        <w:alias w:val="是否适用：划分为金融负债的其他金融工具说明[双击切换]"/>
        <w:tag w:val="_GBC_53513c1d69be4ad5ae1f8e792b460c3a"/>
        <w:id w:val="-1109885144"/>
        <w:placeholder>
          <w:docPart w:val="GBC22222222222222222222222222222"/>
        </w:placeholder>
      </w:sdtPr>
      <w:sdtEndPr>
        <w:rPr>
          <w:color w:val="000000" w:themeColor="text1"/>
          <w14:textFill>
            <w14:solidFill>
              <w14:schemeClr w14:val="tx1"/>
            </w14:solidFill>
          </w14:textFill>
        </w:rPr>
      </w:sdtEndPr>
      <w:sdtContent>
        <w:p w14:paraId="4F696A0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8304A65">
      <w:pPr>
        <w:rPr>
          <w:color w:val="000000" w:themeColor="text1"/>
          <w14:textFill>
            <w14:solidFill>
              <w14:schemeClr w14:val="tx1"/>
            </w14:solidFill>
          </w14:textFill>
        </w:rPr>
      </w:pPr>
    </w:p>
    <w:p w14:paraId="7FD10228">
      <w:pPr>
        <w:rPr>
          <w:color w:val="000000" w:themeColor="text1"/>
          <w14:textFill>
            <w14:solidFill>
              <w14:schemeClr w14:val="tx1"/>
            </w14:solidFill>
          </w14:textFill>
        </w:rPr>
      </w:pPr>
      <w:r>
        <w:rPr>
          <w:rFonts w:hint="eastAsia"/>
          <w:color w:val="000000" w:themeColor="text1"/>
          <w14:textFill>
            <w14:solidFill>
              <w14:schemeClr w14:val="tx1"/>
            </w14:solidFill>
          </w14:textFill>
        </w:rPr>
        <w:t>期末发行在外的优先股、永续债等金融工具变动情况表</w:t>
      </w:r>
    </w:p>
    <w:sdt>
      <w:sdtPr>
        <w:rPr>
          <w:color w:val="000000" w:themeColor="text1"/>
          <w14:textFill>
            <w14:solidFill>
              <w14:schemeClr w14:val="tx1"/>
            </w14:solidFill>
          </w14:textFill>
        </w:rPr>
        <w:alias w:val="是否适用：期末发行在外的优先股、永续债等金融工具变动情况表_应付债券[双击切换]"/>
        <w:tag w:val="_GBC_e613ba16b53e4bbb8a851aaf5017e3db"/>
        <w:id w:val="1608695312"/>
        <w:placeholder>
          <w:docPart w:val="GBC22222222222222222222222222222"/>
        </w:placeholder>
      </w:sdtPr>
      <w:sdtEndPr>
        <w:rPr>
          <w:color w:val="000000" w:themeColor="text1"/>
          <w14:textFill>
            <w14:solidFill>
              <w14:schemeClr w14:val="tx1"/>
            </w14:solidFill>
          </w14:textFill>
        </w:rPr>
      </w:sdtEndPr>
      <w:sdtContent>
        <w:p w14:paraId="191EA8F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D41D440">
      <w:pPr>
        <w:rPr>
          <w:color w:val="000000" w:themeColor="text1"/>
          <w14:textFill>
            <w14:solidFill>
              <w14:schemeClr w14:val="tx1"/>
            </w14:solidFill>
          </w14:textFill>
        </w:rPr>
      </w:pPr>
    </w:p>
    <w:p w14:paraId="69A56200">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其他金融工具划分为金融负债的依据说明</w:t>
      </w:r>
    </w:p>
    <w:sdt>
      <w:sdtPr>
        <w:rPr>
          <w:color w:val="000000" w:themeColor="text1"/>
          <w14:textFill>
            <w14:solidFill>
              <w14:schemeClr w14:val="tx1"/>
            </w14:solidFill>
          </w14:textFill>
        </w:rPr>
        <w:alias w:val="是否适用：其他金融工具划分为金融负债的依据说明[双击切换]"/>
        <w:tag w:val="_GBC_a204081d4f834a93a4a19ca79b51cf77"/>
        <w:id w:val="966790808"/>
        <w:placeholder>
          <w:docPart w:val="GBC22222222222222222222222222222"/>
        </w:placeholder>
      </w:sdtPr>
      <w:sdtEndPr>
        <w:rPr>
          <w:color w:val="000000" w:themeColor="text1"/>
          <w14:textFill>
            <w14:solidFill>
              <w14:schemeClr w14:val="tx1"/>
            </w14:solidFill>
          </w14:textFill>
        </w:rPr>
      </w:sdtEndPr>
      <w:sdtContent>
        <w:p w14:paraId="5664C0F4">
          <w:pPr>
            <w:spacing w:before="60" w:after="6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8DA1E31">
      <w:pPr>
        <w:rPr>
          <w:color w:val="000000" w:themeColor="text1"/>
          <w14:textFill>
            <w14:solidFill>
              <w14:schemeClr w14:val="tx1"/>
            </w14:solidFill>
          </w14:textFill>
        </w:rPr>
      </w:pPr>
    </w:p>
    <w:bookmarkEnd w:id="335"/>
    <w:p w14:paraId="07922C92">
      <w:pPr>
        <w:spacing w:before="60" w:after="60"/>
      </w:pPr>
      <w:r>
        <w:rPr>
          <w:rFonts w:hint="eastAsia"/>
        </w:rPr>
        <w:t>其他说明：</w:t>
      </w:r>
    </w:p>
    <w:sdt>
      <w:sdtPr>
        <w:alias w:val="是否适用：应付债券的其他说明[双击切换]"/>
        <w:tag w:val="_GBC_2068e4e6d2994d6f8cfa9ecc26b171d4"/>
        <w:id w:val="298123835"/>
        <w:placeholder>
          <w:docPart w:val="GBC22222222222222222222222222222"/>
        </w:placeholder>
      </w:sdtPr>
      <w:sdtContent>
        <w:p w14:paraId="323C0FB0">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3175EEA">
      <w:pPr>
        <w:pStyle w:val="48"/>
      </w:pPr>
    </w:p>
    <w:p w14:paraId="1DF9E1A8">
      <w:pPr>
        <w:sectPr>
          <w:pgSz w:w="11906" w:h="16838"/>
          <w:pgMar w:top="1440" w:right="1797" w:bottom="1525" w:left="1276" w:header="856" w:footer="992" w:gutter="0"/>
          <w:cols w:space="425" w:num="1"/>
          <w:docGrid w:linePitch="312" w:charSpace="0"/>
        </w:sectPr>
      </w:pPr>
    </w:p>
    <w:p w14:paraId="00288FC9">
      <w:pPr>
        <w:pStyle w:val="48"/>
      </w:pPr>
    </w:p>
    <w:p w14:paraId="46945811">
      <w:pPr>
        <w:pStyle w:val="4"/>
        <w:numPr>
          <w:ilvl w:val="0"/>
          <w:numId w:val="61"/>
        </w:numPr>
        <w:rPr>
          <w:szCs w:val="21"/>
        </w:rPr>
      </w:pPr>
      <w:bookmarkStart w:id="336" w:name="_Hlk24026742"/>
      <w:r>
        <w:rPr>
          <w:szCs w:val="21"/>
        </w:rPr>
        <w:t>租赁负债</w:t>
      </w:r>
    </w:p>
    <w:sdt>
      <w:sdtPr>
        <w:alias w:val="是否适用：租赁负债[双击切换]"/>
        <w:tag w:val="_GBC_abf9a23b0ddc4b63b6f39d768c084973"/>
        <w:id w:val="-1308170410"/>
        <w:placeholder>
          <w:docPart w:val="GBC22222222222222222222222222222"/>
        </w:placeholder>
      </w:sdtPr>
      <w:sdtContent>
        <w:p w14:paraId="58C1EFF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6400409">
      <w:pPr>
        <w:jc w:val="right"/>
      </w:pPr>
      <w:r>
        <w:rPr>
          <w:rFonts w:hint="eastAsia"/>
        </w:rPr>
        <w:t>单位：</w:t>
      </w:r>
      <w:sdt>
        <w:sdtPr>
          <w:rPr>
            <w:rFonts w:hint="eastAsia"/>
          </w:rPr>
          <w:alias w:val="单位：租赁负债"/>
          <w:tag w:val="_GBC_33e504b2a4a34d41946083d1a309022f"/>
          <w:id w:val="119434439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租赁负债"/>
          <w:tag w:val="_GBC_90ebb9825c5740c794669c2bf1475590"/>
          <w:id w:val="12463858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5"/>
        <w:gridCol w:w="2921"/>
        <w:gridCol w:w="2922"/>
      </w:tblGrid>
      <w:tr w14:paraId="2D75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sdt>
          <w:sdtPr>
            <w:tag w:val="_PLD_a05982b715d74082b7e01db9e1e265ef"/>
            <w:id w:val="1597522225"/>
          </w:sdtPr>
          <w:sdtContent>
            <w:tc>
              <w:tcPr>
                <w:tcW w:w="3205" w:type="dxa"/>
                <w:vAlign w:val="center"/>
              </w:tcPr>
              <w:p w14:paraId="441A631A">
                <w:pPr>
                  <w:jc w:val="center"/>
                  <w:rPr>
                    <w:rFonts w:ascii="Calibri" w:hAnsi="Calibri"/>
                    <w:sz w:val="20"/>
                    <w:szCs w:val="20"/>
                  </w:rPr>
                </w:pPr>
                <w:r>
                  <w:rPr>
                    <w:rFonts w:hint="eastAsia" w:ascii="Calibri" w:hAnsi="Calibri"/>
                    <w:sz w:val="20"/>
                    <w:szCs w:val="20"/>
                  </w:rPr>
                  <w:t>项目</w:t>
                </w:r>
              </w:p>
            </w:tc>
          </w:sdtContent>
        </w:sdt>
        <w:sdt>
          <w:sdtPr>
            <w:tag w:val="_PLD_84a0d8719b674f50bfcfc1c6ed86fed6"/>
            <w:id w:val="1134137106"/>
          </w:sdtPr>
          <w:sdtContent>
            <w:tc>
              <w:tcPr>
                <w:tcW w:w="2921" w:type="dxa"/>
                <w:vAlign w:val="center"/>
              </w:tcPr>
              <w:p w14:paraId="2A3B2BC3">
                <w:pPr>
                  <w:jc w:val="center"/>
                  <w:rPr>
                    <w:rFonts w:ascii="Calibri" w:hAnsi="Calibri"/>
                    <w:sz w:val="20"/>
                    <w:szCs w:val="20"/>
                  </w:rPr>
                </w:pPr>
                <w:r>
                  <w:rPr>
                    <w:rFonts w:hint="eastAsia" w:ascii="Calibri" w:hAnsi="Calibri"/>
                    <w:sz w:val="20"/>
                    <w:szCs w:val="20"/>
                  </w:rPr>
                  <w:t>期末余额</w:t>
                </w:r>
              </w:p>
            </w:tc>
          </w:sdtContent>
        </w:sdt>
        <w:sdt>
          <w:sdtPr>
            <w:tag w:val="_PLD_d601589800f8414abb18e7477e7b41d6"/>
            <w:id w:val="-84846246"/>
          </w:sdtPr>
          <w:sdtContent>
            <w:tc>
              <w:tcPr>
                <w:tcW w:w="2922" w:type="dxa"/>
                <w:vAlign w:val="center"/>
              </w:tcPr>
              <w:p w14:paraId="00FAF699">
                <w:pPr>
                  <w:jc w:val="center"/>
                  <w:rPr>
                    <w:rFonts w:ascii="Calibri" w:hAnsi="Calibri"/>
                    <w:sz w:val="20"/>
                    <w:szCs w:val="20"/>
                  </w:rPr>
                </w:pPr>
                <w:r>
                  <w:rPr>
                    <w:rFonts w:hint="eastAsia" w:ascii="Calibri" w:hAnsi="Calibri"/>
                    <w:sz w:val="20"/>
                    <w:szCs w:val="20"/>
                  </w:rPr>
                  <w:t>期初余额</w:t>
                </w:r>
              </w:p>
            </w:tc>
          </w:sdtContent>
        </w:sdt>
      </w:tr>
      <w:tr w14:paraId="42B4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205" w:type="dxa"/>
            <w:vAlign w:val="center"/>
          </w:tcPr>
          <w:p w14:paraId="44B4271C">
            <w:pPr>
              <w:pStyle w:val="48"/>
              <w:rPr>
                <w:sz w:val="20"/>
                <w:szCs w:val="20"/>
              </w:rPr>
            </w:pPr>
            <w:r>
              <w:rPr>
                <w:sz w:val="20"/>
                <w:szCs w:val="20"/>
              </w:rPr>
              <w:t>租赁付款额</w:t>
            </w:r>
          </w:p>
        </w:tc>
        <w:tc>
          <w:tcPr>
            <w:tcW w:w="2921" w:type="dxa"/>
            <w:vAlign w:val="center"/>
          </w:tcPr>
          <w:p w14:paraId="6292F36E">
            <w:pPr>
              <w:jc w:val="right"/>
              <w:rPr>
                <w:rFonts w:ascii="Calibri" w:hAnsi="Calibri"/>
                <w:sz w:val="20"/>
                <w:szCs w:val="20"/>
              </w:rPr>
            </w:pPr>
            <w:r>
              <w:rPr>
                <w:rFonts w:ascii="Calibri" w:hAnsi="Calibri"/>
                <w:sz w:val="20"/>
                <w:szCs w:val="20"/>
              </w:rPr>
              <w:t>36,354,823.69</w:t>
            </w:r>
          </w:p>
        </w:tc>
        <w:tc>
          <w:tcPr>
            <w:tcW w:w="2922" w:type="dxa"/>
            <w:vAlign w:val="center"/>
          </w:tcPr>
          <w:p w14:paraId="37B6F865">
            <w:pPr>
              <w:jc w:val="right"/>
              <w:rPr>
                <w:rFonts w:ascii="Calibri" w:hAnsi="Calibri"/>
                <w:sz w:val="20"/>
                <w:szCs w:val="20"/>
              </w:rPr>
            </w:pPr>
            <w:r>
              <w:rPr>
                <w:rFonts w:ascii="Calibri" w:hAnsi="Calibri"/>
                <w:sz w:val="20"/>
                <w:szCs w:val="20"/>
              </w:rPr>
              <w:t>26,170,600.27</w:t>
            </w:r>
          </w:p>
        </w:tc>
      </w:tr>
      <w:tr w14:paraId="5F37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205" w:type="dxa"/>
            <w:vAlign w:val="center"/>
          </w:tcPr>
          <w:p w14:paraId="7906BA38">
            <w:pPr>
              <w:pStyle w:val="48"/>
              <w:rPr>
                <w:sz w:val="20"/>
                <w:szCs w:val="20"/>
              </w:rPr>
            </w:pPr>
            <w:r>
              <w:rPr>
                <w:sz w:val="20"/>
                <w:szCs w:val="20"/>
              </w:rPr>
              <w:t>减：未确认融资费用</w:t>
            </w:r>
          </w:p>
        </w:tc>
        <w:tc>
          <w:tcPr>
            <w:tcW w:w="2921" w:type="dxa"/>
            <w:vAlign w:val="center"/>
          </w:tcPr>
          <w:p w14:paraId="7F1E336E">
            <w:pPr>
              <w:jc w:val="right"/>
              <w:rPr>
                <w:rFonts w:ascii="Calibri" w:hAnsi="Calibri"/>
                <w:sz w:val="20"/>
                <w:szCs w:val="20"/>
              </w:rPr>
            </w:pPr>
            <w:r>
              <w:rPr>
                <w:rFonts w:ascii="Calibri" w:hAnsi="Calibri"/>
                <w:sz w:val="20"/>
                <w:szCs w:val="20"/>
              </w:rPr>
              <w:t>2,432,724.49</w:t>
            </w:r>
          </w:p>
        </w:tc>
        <w:tc>
          <w:tcPr>
            <w:tcW w:w="2922" w:type="dxa"/>
            <w:vAlign w:val="center"/>
          </w:tcPr>
          <w:p w14:paraId="456201AD">
            <w:pPr>
              <w:jc w:val="right"/>
              <w:rPr>
                <w:rFonts w:ascii="Calibri" w:hAnsi="Calibri"/>
                <w:sz w:val="20"/>
                <w:szCs w:val="20"/>
              </w:rPr>
            </w:pPr>
            <w:r>
              <w:rPr>
                <w:rFonts w:ascii="Calibri" w:hAnsi="Calibri"/>
                <w:sz w:val="20"/>
                <w:szCs w:val="20"/>
              </w:rPr>
              <w:t>2,271,564.68</w:t>
            </w:r>
          </w:p>
        </w:tc>
      </w:tr>
      <w:tr w14:paraId="4A7D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205" w:type="dxa"/>
            <w:vAlign w:val="center"/>
          </w:tcPr>
          <w:p w14:paraId="4422434C">
            <w:pPr>
              <w:pStyle w:val="48"/>
              <w:rPr>
                <w:sz w:val="20"/>
                <w:szCs w:val="20"/>
              </w:rPr>
            </w:pPr>
            <w:r>
              <w:rPr>
                <w:sz w:val="20"/>
                <w:szCs w:val="20"/>
              </w:rPr>
              <w:t>减：一年内到期的租赁负债</w:t>
            </w:r>
          </w:p>
        </w:tc>
        <w:tc>
          <w:tcPr>
            <w:tcW w:w="2921" w:type="dxa"/>
            <w:vAlign w:val="center"/>
          </w:tcPr>
          <w:p w14:paraId="45557DE1">
            <w:pPr>
              <w:jc w:val="right"/>
              <w:rPr>
                <w:rFonts w:ascii="Calibri" w:hAnsi="Calibri"/>
                <w:sz w:val="20"/>
                <w:szCs w:val="20"/>
              </w:rPr>
            </w:pPr>
            <w:r>
              <w:rPr>
                <w:rFonts w:ascii="Calibri" w:hAnsi="Calibri"/>
                <w:sz w:val="20"/>
                <w:szCs w:val="20"/>
              </w:rPr>
              <w:t>8,591,852.90</w:t>
            </w:r>
          </w:p>
        </w:tc>
        <w:tc>
          <w:tcPr>
            <w:tcW w:w="2922" w:type="dxa"/>
            <w:vAlign w:val="center"/>
          </w:tcPr>
          <w:p w14:paraId="58B91AB3">
            <w:pPr>
              <w:jc w:val="right"/>
              <w:rPr>
                <w:rFonts w:ascii="Calibri" w:hAnsi="Calibri"/>
                <w:sz w:val="20"/>
                <w:szCs w:val="20"/>
              </w:rPr>
            </w:pPr>
            <w:r>
              <w:rPr>
                <w:rFonts w:ascii="Calibri" w:hAnsi="Calibri"/>
                <w:sz w:val="20"/>
                <w:szCs w:val="20"/>
              </w:rPr>
              <w:t>4,396,642.54</w:t>
            </w:r>
          </w:p>
        </w:tc>
      </w:tr>
      <w:tr w14:paraId="40BD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3205" w:type="dxa"/>
            <w:vAlign w:val="center"/>
          </w:tcPr>
          <w:p w14:paraId="4C8ED2F8">
            <w:pPr>
              <w:jc w:val="center"/>
              <w:rPr>
                <w:rFonts w:ascii="Calibri" w:hAnsi="Calibri"/>
                <w:sz w:val="20"/>
                <w:szCs w:val="20"/>
              </w:rPr>
            </w:pPr>
            <w:r>
              <w:rPr>
                <w:rFonts w:hint="eastAsia" w:ascii="Calibri" w:hAnsi="Calibri"/>
                <w:sz w:val="20"/>
                <w:szCs w:val="20"/>
              </w:rPr>
              <w:t>合计</w:t>
            </w:r>
          </w:p>
        </w:tc>
        <w:tc>
          <w:tcPr>
            <w:tcW w:w="2921" w:type="dxa"/>
            <w:vAlign w:val="center"/>
          </w:tcPr>
          <w:p w14:paraId="5175E07F">
            <w:pPr>
              <w:jc w:val="right"/>
              <w:rPr>
                <w:rFonts w:ascii="Calibri" w:hAnsi="Calibri"/>
                <w:sz w:val="20"/>
                <w:szCs w:val="20"/>
              </w:rPr>
            </w:pPr>
            <w:r>
              <w:rPr>
                <w:rFonts w:ascii="Calibri" w:hAnsi="Calibri"/>
                <w:sz w:val="20"/>
                <w:szCs w:val="20"/>
              </w:rPr>
              <w:t>25,330,246.30</w:t>
            </w:r>
          </w:p>
        </w:tc>
        <w:tc>
          <w:tcPr>
            <w:tcW w:w="2922" w:type="dxa"/>
            <w:vAlign w:val="center"/>
          </w:tcPr>
          <w:p w14:paraId="48F50422">
            <w:pPr>
              <w:jc w:val="right"/>
              <w:rPr>
                <w:rFonts w:ascii="Calibri" w:hAnsi="Calibri"/>
                <w:sz w:val="20"/>
                <w:szCs w:val="20"/>
              </w:rPr>
            </w:pPr>
            <w:r>
              <w:rPr>
                <w:rFonts w:ascii="Calibri" w:hAnsi="Calibri"/>
                <w:sz w:val="20"/>
                <w:szCs w:val="20"/>
              </w:rPr>
              <w:t>19,502,393.05</w:t>
            </w:r>
          </w:p>
        </w:tc>
      </w:tr>
    </w:tbl>
    <w:p w14:paraId="04240218"/>
    <w:p w14:paraId="29C72E62">
      <w:pPr>
        <w:snapToGrid w:val="0"/>
        <w:spacing w:before="60" w:after="60" w:line="240" w:lineRule="atLeast"/>
      </w:pPr>
      <w:r>
        <w:rPr>
          <w:rFonts w:hint="eastAsia"/>
        </w:rPr>
        <w:t>其他说明：</w:t>
      </w:r>
    </w:p>
    <w:sdt>
      <w:sdtPr>
        <w:rPr>
          <w:rFonts w:ascii="Calibri" w:hAnsi="Calibri"/>
        </w:rPr>
        <w:alias w:val="租赁负债其他说明"/>
        <w:tag w:val="_GBC_d655dad6394141cbbfbca3ff3319cddc"/>
        <w:id w:val="560594036"/>
        <w:placeholder>
          <w:docPart w:val="GBC22222222222222222222222222222"/>
        </w:placeholder>
      </w:sdtPr>
      <w:sdtEndPr>
        <w:rPr>
          <w:rFonts w:ascii="Calibri" w:hAnsi="Calibri"/>
        </w:rPr>
      </w:sdtEndPr>
      <w:sdtContent>
        <w:p w14:paraId="609DC5A8">
          <w:pPr>
            <w:pStyle w:val="12"/>
            <w:snapToGrid w:val="0"/>
            <w:spacing w:line="460" w:lineRule="atLeast"/>
            <w:ind w:firstLine="420" w:firstLineChars="200"/>
            <w:jc w:val="left"/>
            <w:rPr>
              <w:rFonts w:ascii="宋体" w:hAnsi="宋体" w:cs="宋体"/>
            </w:rPr>
          </w:pPr>
          <w:r>
            <w:rPr>
              <w:rFonts w:hint="eastAsia" w:ascii="宋体" w:hAnsi="宋体" w:cs="宋体"/>
            </w:rPr>
            <w:t>租赁负债按未折现剩余合同义务的到期期限分析如下：</w:t>
          </w:r>
        </w:p>
        <w:p w14:paraId="704A7EEA">
          <w:pPr>
            <w:pStyle w:val="12"/>
            <w:snapToGrid w:val="0"/>
            <w:spacing w:line="460" w:lineRule="atLeast"/>
            <w:ind w:firstLine="420" w:firstLineChars="200"/>
            <w:jc w:val="right"/>
            <w:rPr>
              <w:rFonts w:ascii="宋体" w:hAnsi="宋体" w:cs="宋体"/>
            </w:rPr>
          </w:pPr>
          <w:r>
            <w:rPr>
              <w:rFonts w:hint="eastAsia" w:ascii="宋体" w:hAnsi="宋体" w:cs="宋体"/>
            </w:rPr>
            <w:t>单位：元  币种：人民币</w:t>
          </w:r>
        </w:p>
        <w:tbl>
          <w:tblPr>
            <w:tblStyle w:val="19"/>
            <w:tblW w:w="505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10"/>
            <w:gridCol w:w="2886"/>
            <w:gridCol w:w="2747"/>
          </w:tblGrid>
          <w:tr w14:paraId="566E0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0" w:type="pct"/>
                <w:tcBorders>
                  <w:top w:val="single" w:color="auto" w:sz="12" w:space="0"/>
                  <w:left w:val="nil"/>
                  <w:bottom w:val="single" w:color="auto" w:sz="4" w:space="0"/>
                  <w:right w:val="single" w:color="auto" w:sz="4" w:space="0"/>
                </w:tcBorders>
                <w:vAlign w:val="center"/>
              </w:tcPr>
              <w:p w14:paraId="548AC4AE">
                <w:pPr>
                  <w:snapToGrid w:val="0"/>
                  <w:jc w:val="center"/>
                  <w:outlineLvl w:val="0"/>
                  <w:rPr>
                    <w:rFonts w:ascii="宋体" w:hAnsi="宋体"/>
                    <w:sz w:val="18"/>
                    <w:szCs w:val="18"/>
                  </w:rPr>
                </w:pPr>
                <w:r>
                  <w:rPr>
                    <w:rFonts w:hint="eastAsia" w:ascii="宋体" w:hAnsi="宋体"/>
                    <w:sz w:val="18"/>
                    <w:szCs w:val="18"/>
                  </w:rPr>
                  <w:t>项目</w:t>
                </w:r>
              </w:p>
            </w:tc>
            <w:tc>
              <w:tcPr>
                <w:tcW w:w="1578" w:type="pct"/>
                <w:tcBorders>
                  <w:top w:val="single" w:color="auto" w:sz="12" w:space="0"/>
                  <w:left w:val="single" w:color="auto" w:sz="4" w:space="0"/>
                  <w:bottom w:val="single" w:color="auto" w:sz="4" w:space="0"/>
                  <w:right w:val="single" w:color="auto" w:sz="4" w:space="0"/>
                </w:tcBorders>
                <w:vAlign w:val="center"/>
              </w:tcPr>
              <w:p w14:paraId="751FD980">
                <w:pPr>
                  <w:snapToGrid w:val="0"/>
                  <w:jc w:val="center"/>
                  <w:outlineLvl w:val="0"/>
                  <w:rPr>
                    <w:rFonts w:ascii="宋体" w:hAnsi="宋体"/>
                    <w:sz w:val="18"/>
                    <w:szCs w:val="18"/>
                  </w:rPr>
                </w:pPr>
                <w:r>
                  <w:rPr>
                    <w:rFonts w:hint="eastAsia" w:ascii="宋体" w:hAnsi="宋体"/>
                    <w:sz w:val="18"/>
                    <w:szCs w:val="18"/>
                  </w:rPr>
                  <w:t>期末余额</w:t>
                </w:r>
              </w:p>
            </w:tc>
            <w:tc>
              <w:tcPr>
                <w:tcW w:w="1502" w:type="pct"/>
                <w:tcBorders>
                  <w:top w:val="single" w:color="auto" w:sz="12" w:space="0"/>
                  <w:left w:val="single" w:color="auto" w:sz="4" w:space="0"/>
                  <w:bottom w:val="single" w:color="auto" w:sz="4" w:space="0"/>
                  <w:right w:val="nil"/>
                </w:tcBorders>
                <w:vAlign w:val="center"/>
              </w:tcPr>
              <w:p w14:paraId="4AA03BF9">
                <w:pPr>
                  <w:snapToGrid w:val="0"/>
                  <w:jc w:val="center"/>
                  <w:outlineLvl w:val="0"/>
                  <w:rPr>
                    <w:rFonts w:ascii="宋体" w:hAnsi="宋体"/>
                    <w:sz w:val="18"/>
                    <w:szCs w:val="18"/>
                  </w:rPr>
                </w:pPr>
                <w:r>
                  <w:rPr>
                    <w:rFonts w:hint="eastAsia" w:ascii="宋体" w:hAnsi="宋体"/>
                    <w:sz w:val="18"/>
                    <w:szCs w:val="18"/>
                  </w:rPr>
                  <w:t>期初余额</w:t>
                </w:r>
              </w:p>
            </w:tc>
          </w:tr>
          <w:tr w14:paraId="4755B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0" w:type="pct"/>
                <w:tcBorders>
                  <w:top w:val="single" w:color="auto" w:sz="4" w:space="0"/>
                  <w:left w:val="nil"/>
                  <w:bottom w:val="single" w:color="auto" w:sz="4" w:space="0"/>
                  <w:right w:val="single" w:color="auto" w:sz="4" w:space="0"/>
                </w:tcBorders>
                <w:vAlign w:val="center"/>
              </w:tcPr>
              <w:p w14:paraId="4D224E48">
                <w:pPr>
                  <w:snapToGrid w:val="0"/>
                  <w:jc w:val="center"/>
                  <w:outlineLvl w:val="0"/>
                  <w:rPr>
                    <w:rFonts w:ascii="宋体" w:hAnsi="宋体"/>
                    <w:sz w:val="18"/>
                    <w:szCs w:val="18"/>
                  </w:rPr>
                </w:pPr>
                <w:r>
                  <w:rPr>
                    <w:rFonts w:hint="eastAsia" w:ascii="宋体" w:hAnsi="宋体"/>
                    <w:sz w:val="18"/>
                    <w:szCs w:val="18"/>
                  </w:rPr>
                  <w:t>1年以内</w:t>
                </w:r>
              </w:p>
            </w:tc>
            <w:tc>
              <w:tcPr>
                <w:tcW w:w="1578" w:type="pct"/>
                <w:tcBorders>
                  <w:top w:val="single" w:color="auto" w:sz="4" w:space="0"/>
                  <w:left w:val="single" w:color="auto" w:sz="4" w:space="0"/>
                  <w:bottom w:val="single" w:color="auto" w:sz="4" w:space="0"/>
                  <w:right w:val="single" w:color="auto" w:sz="4" w:space="0"/>
                </w:tcBorders>
                <w:vAlign w:val="center"/>
              </w:tcPr>
              <w:p w14:paraId="48E3063B">
                <w:pPr>
                  <w:tabs>
                    <w:tab w:val="left" w:pos="1358"/>
                  </w:tabs>
                  <w:snapToGrid w:val="0"/>
                  <w:spacing w:before="100" w:beforeAutospacing="1" w:after="100" w:afterAutospacing="1" w:line="360" w:lineRule="auto"/>
                  <w:jc w:val="right"/>
                  <w:rPr>
                    <w:rFonts w:ascii="Arial Narrow" w:hAnsi="Arial Narrow"/>
                    <w:color w:val="FF0000"/>
                    <w:sz w:val="18"/>
                    <w:szCs w:val="18"/>
                  </w:rPr>
                </w:pPr>
                <w:r>
                  <w:t>9,623,661.91</w:t>
                </w:r>
              </w:p>
            </w:tc>
            <w:tc>
              <w:tcPr>
                <w:tcW w:w="1502" w:type="pct"/>
                <w:tcBorders>
                  <w:top w:val="single" w:color="auto" w:sz="4" w:space="0"/>
                  <w:left w:val="single" w:color="auto" w:sz="4" w:space="0"/>
                  <w:bottom w:val="single" w:color="auto" w:sz="4" w:space="0"/>
                  <w:right w:val="nil"/>
                </w:tcBorders>
                <w:vAlign w:val="center"/>
              </w:tcPr>
              <w:p w14:paraId="6A2B5521">
                <w:pPr>
                  <w:tabs>
                    <w:tab w:val="left" w:pos="1358"/>
                  </w:tabs>
                  <w:snapToGrid w:val="0"/>
                  <w:spacing w:before="100" w:beforeAutospacing="1" w:after="100" w:afterAutospacing="1" w:line="360" w:lineRule="auto"/>
                  <w:jc w:val="right"/>
                  <w:rPr>
                    <w:rFonts w:ascii="Arial Narrow" w:hAnsi="Arial Narrow"/>
                    <w:color w:val="FF0000"/>
                    <w:sz w:val="18"/>
                    <w:szCs w:val="18"/>
                  </w:rPr>
                </w:pPr>
                <w:r>
                  <w:t>4,804,392.00</w:t>
                </w:r>
              </w:p>
            </w:tc>
          </w:tr>
          <w:tr w14:paraId="57790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0" w:type="pct"/>
                <w:tcBorders>
                  <w:top w:val="single" w:color="auto" w:sz="4" w:space="0"/>
                  <w:left w:val="nil"/>
                  <w:bottom w:val="single" w:color="auto" w:sz="4" w:space="0"/>
                  <w:right w:val="single" w:color="auto" w:sz="4" w:space="0"/>
                </w:tcBorders>
                <w:vAlign w:val="center"/>
              </w:tcPr>
              <w:p w14:paraId="60EED4E3">
                <w:pPr>
                  <w:snapToGrid w:val="0"/>
                  <w:jc w:val="center"/>
                  <w:outlineLvl w:val="0"/>
                  <w:rPr>
                    <w:rFonts w:ascii="宋体" w:hAnsi="宋体"/>
                    <w:sz w:val="18"/>
                    <w:szCs w:val="18"/>
                  </w:rPr>
                </w:pPr>
                <w:r>
                  <w:rPr>
                    <w:rFonts w:hint="eastAsia" w:ascii="宋体" w:hAnsi="宋体"/>
                    <w:sz w:val="18"/>
                    <w:szCs w:val="18"/>
                  </w:rPr>
                  <w:t>1至2年</w:t>
                </w:r>
              </w:p>
            </w:tc>
            <w:tc>
              <w:tcPr>
                <w:tcW w:w="1578" w:type="pct"/>
                <w:tcBorders>
                  <w:top w:val="single" w:color="auto" w:sz="4" w:space="0"/>
                  <w:left w:val="single" w:color="auto" w:sz="4" w:space="0"/>
                  <w:bottom w:val="single" w:color="auto" w:sz="4" w:space="0"/>
                  <w:right w:val="single" w:color="auto" w:sz="4" w:space="0"/>
                </w:tcBorders>
                <w:vAlign w:val="center"/>
              </w:tcPr>
              <w:p w14:paraId="431C04AA">
                <w:pPr>
                  <w:tabs>
                    <w:tab w:val="left" w:pos="1358"/>
                  </w:tabs>
                  <w:snapToGrid w:val="0"/>
                  <w:spacing w:before="100" w:beforeAutospacing="1" w:after="100" w:afterAutospacing="1" w:line="360" w:lineRule="auto"/>
                  <w:jc w:val="right"/>
                  <w:rPr>
                    <w:rFonts w:ascii="Arial Narrow" w:hAnsi="Arial Narrow"/>
                    <w:color w:val="FF0000"/>
                    <w:sz w:val="18"/>
                    <w:szCs w:val="18"/>
                  </w:rPr>
                </w:pPr>
                <w:r>
                  <w:t>9,409,467.74</w:t>
                </w:r>
              </w:p>
            </w:tc>
            <w:tc>
              <w:tcPr>
                <w:tcW w:w="1502" w:type="pct"/>
                <w:tcBorders>
                  <w:top w:val="single" w:color="auto" w:sz="4" w:space="0"/>
                  <w:left w:val="single" w:color="auto" w:sz="4" w:space="0"/>
                  <w:bottom w:val="single" w:color="auto" w:sz="4" w:space="0"/>
                  <w:right w:val="nil"/>
                </w:tcBorders>
                <w:vAlign w:val="center"/>
              </w:tcPr>
              <w:p w14:paraId="7F71E12A">
                <w:pPr>
                  <w:tabs>
                    <w:tab w:val="left" w:pos="1358"/>
                  </w:tabs>
                  <w:snapToGrid w:val="0"/>
                  <w:spacing w:before="100" w:beforeAutospacing="1" w:after="100" w:afterAutospacing="1" w:line="360" w:lineRule="auto"/>
                  <w:jc w:val="right"/>
                  <w:rPr>
                    <w:rFonts w:ascii="Arial Narrow" w:hAnsi="Arial Narrow"/>
                    <w:color w:val="FF0000"/>
                    <w:sz w:val="18"/>
                    <w:szCs w:val="18"/>
                  </w:rPr>
                </w:pPr>
                <w:r>
                  <w:t>5,007,448.27</w:t>
                </w:r>
              </w:p>
            </w:tc>
          </w:tr>
          <w:tr w14:paraId="03494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0" w:type="pct"/>
                <w:tcBorders>
                  <w:top w:val="single" w:color="auto" w:sz="4" w:space="0"/>
                  <w:left w:val="nil"/>
                  <w:bottom w:val="single" w:color="auto" w:sz="4" w:space="0"/>
                  <w:right w:val="single" w:color="auto" w:sz="4" w:space="0"/>
                </w:tcBorders>
                <w:vAlign w:val="center"/>
              </w:tcPr>
              <w:p w14:paraId="1E9985F5">
                <w:pPr>
                  <w:snapToGrid w:val="0"/>
                  <w:jc w:val="center"/>
                  <w:outlineLvl w:val="0"/>
                  <w:rPr>
                    <w:rFonts w:ascii="宋体" w:hAnsi="宋体"/>
                    <w:sz w:val="18"/>
                    <w:szCs w:val="18"/>
                  </w:rPr>
                </w:pPr>
                <w:r>
                  <w:rPr>
                    <w:rFonts w:hint="eastAsia" w:ascii="宋体" w:hAnsi="宋体"/>
                    <w:sz w:val="18"/>
                    <w:szCs w:val="18"/>
                  </w:rPr>
                  <w:t>2至3年</w:t>
                </w:r>
              </w:p>
            </w:tc>
            <w:tc>
              <w:tcPr>
                <w:tcW w:w="1578" w:type="pct"/>
                <w:tcBorders>
                  <w:top w:val="single" w:color="auto" w:sz="4" w:space="0"/>
                  <w:left w:val="single" w:color="auto" w:sz="4" w:space="0"/>
                  <w:bottom w:val="single" w:color="auto" w:sz="4" w:space="0"/>
                  <w:right w:val="single" w:color="auto" w:sz="4" w:space="0"/>
                </w:tcBorders>
                <w:vAlign w:val="center"/>
              </w:tcPr>
              <w:p w14:paraId="197D2DD7">
                <w:pPr>
                  <w:tabs>
                    <w:tab w:val="left" w:pos="1358"/>
                  </w:tabs>
                  <w:snapToGrid w:val="0"/>
                  <w:spacing w:before="100" w:beforeAutospacing="1" w:after="100" w:afterAutospacing="1" w:line="360" w:lineRule="auto"/>
                  <w:jc w:val="right"/>
                  <w:rPr>
                    <w:rFonts w:ascii="Arial Narrow" w:hAnsi="Arial Narrow"/>
                    <w:color w:val="FF0000"/>
                    <w:sz w:val="18"/>
                    <w:szCs w:val="18"/>
                  </w:rPr>
                </w:pPr>
                <w:r>
                  <w:t>8,207,860.00</w:t>
                </w:r>
              </w:p>
            </w:tc>
            <w:tc>
              <w:tcPr>
                <w:tcW w:w="1502" w:type="pct"/>
                <w:tcBorders>
                  <w:top w:val="single" w:color="auto" w:sz="4" w:space="0"/>
                  <w:left w:val="single" w:color="auto" w:sz="4" w:space="0"/>
                  <w:bottom w:val="single" w:color="auto" w:sz="4" w:space="0"/>
                  <w:right w:val="nil"/>
                </w:tcBorders>
                <w:vAlign w:val="center"/>
              </w:tcPr>
              <w:p w14:paraId="6A3F84FB">
                <w:pPr>
                  <w:tabs>
                    <w:tab w:val="left" w:pos="1358"/>
                  </w:tabs>
                  <w:snapToGrid w:val="0"/>
                  <w:spacing w:before="100" w:beforeAutospacing="1" w:after="100" w:afterAutospacing="1" w:line="360" w:lineRule="auto"/>
                  <w:jc w:val="right"/>
                  <w:rPr>
                    <w:rFonts w:ascii="Arial Narrow" w:hAnsi="Arial Narrow"/>
                    <w:color w:val="FF0000"/>
                    <w:sz w:val="18"/>
                    <w:szCs w:val="18"/>
                  </w:rPr>
                </w:pPr>
                <w:r>
                  <w:t>4,907,628.00</w:t>
                </w:r>
              </w:p>
            </w:tc>
          </w:tr>
          <w:tr w14:paraId="324EE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0" w:type="pct"/>
                <w:tcBorders>
                  <w:top w:val="single" w:color="auto" w:sz="4" w:space="0"/>
                  <w:left w:val="nil"/>
                  <w:bottom w:val="single" w:color="auto" w:sz="4" w:space="0"/>
                  <w:right w:val="single" w:color="auto" w:sz="4" w:space="0"/>
                </w:tcBorders>
                <w:vAlign w:val="center"/>
              </w:tcPr>
              <w:p w14:paraId="0B4EBDC8">
                <w:pPr>
                  <w:snapToGrid w:val="0"/>
                  <w:jc w:val="center"/>
                  <w:outlineLvl w:val="0"/>
                  <w:rPr>
                    <w:rFonts w:ascii="宋体" w:hAnsi="宋体"/>
                    <w:sz w:val="18"/>
                    <w:szCs w:val="18"/>
                  </w:rPr>
                </w:pPr>
                <w:r>
                  <w:rPr>
                    <w:rFonts w:hint="eastAsia" w:ascii="宋体" w:hAnsi="宋体"/>
                    <w:sz w:val="18"/>
                    <w:szCs w:val="18"/>
                  </w:rPr>
                  <w:t>3至4年</w:t>
                </w:r>
              </w:p>
            </w:tc>
            <w:tc>
              <w:tcPr>
                <w:tcW w:w="1578" w:type="pct"/>
                <w:tcBorders>
                  <w:top w:val="single" w:color="auto" w:sz="4" w:space="0"/>
                  <w:left w:val="single" w:color="auto" w:sz="4" w:space="0"/>
                  <w:bottom w:val="single" w:color="auto" w:sz="4" w:space="0"/>
                  <w:right w:val="single" w:color="auto" w:sz="4" w:space="0"/>
                </w:tcBorders>
                <w:vAlign w:val="center"/>
              </w:tcPr>
              <w:p w14:paraId="31F9F231">
                <w:pPr>
                  <w:tabs>
                    <w:tab w:val="left" w:pos="1358"/>
                  </w:tabs>
                  <w:snapToGrid w:val="0"/>
                  <w:spacing w:before="100" w:beforeAutospacing="1" w:after="100" w:afterAutospacing="1" w:line="360" w:lineRule="auto"/>
                  <w:jc w:val="right"/>
                  <w:rPr>
                    <w:rFonts w:ascii="Arial Narrow" w:hAnsi="Arial Narrow"/>
                    <w:color w:val="FF0000"/>
                    <w:sz w:val="18"/>
                    <w:szCs w:val="18"/>
                  </w:rPr>
                </w:pPr>
                <w:r>
                  <w:t>7,049,569.70</w:t>
                </w:r>
              </w:p>
            </w:tc>
            <w:tc>
              <w:tcPr>
                <w:tcW w:w="1502" w:type="pct"/>
                <w:tcBorders>
                  <w:top w:val="single" w:color="auto" w:sz="4" w:space="0"/>
                  <w:left w:val="single" w:color="auto" w:sz="4" w:space="0"/>
                  <w:bottom w:val="single" w:color="auto" w:sz="4" w:space="0"/>
                  <w:right w:val="nil"/>
                </w:tcBorders>
                <w:vAlign w:val="center"/>
              </w:tcPr>
              <w:p w14:paraId="799E37EA">
                <w:pPr>
                  <w:tabs>
                    <w:tab w:val="left" w:pos="1358"/>
                  </w:tabs>
                  <w:snapToGrid w:val="0"/>
                  <w:spacing w:before="100" w:beforeAutospacing="1" w:after="100" w:afterAutospacing="1" w:line="360" w:lineRule="auto"/>
                  <w:jc w:val="right"/>
                  <w:rPr>
                    <w:rFonts w:ascii="Arial Narrow" w:hAnsi="Arial Narrow"/>
                    <w:color w:val="FF0000"/>
                    <w:sz w:val="18"/>
                    <w:szCs w:val="18"/>
                  </w:rPr>
                </w:pPr>
                <w:r>
                  <w:t>4,907,628.00</w:t>
                </w:r>
              </w:p>
            </w:tc>
          </w:tr>
          <w:tr w14:paraId="28E8F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0" w:type="pct"/>
                <w:tcBorders>
                  <w:top w:val="single" w:color="auto" w:sz="4" w:space="0"/>
                  <w:left w:val="nil"/>
                  <w:bottom w:val="single" w:color="auto" w:sz="4" w:space="0"/>
                  <w:right w:val="single" w:color="auto" w:sz="4" w:space="0"/>
                </w:tcBorders>
                <w:vAlign w:val="center"/>
              </w:tcPr>
              <w:p w14:paraId="5F6BAADC">
                <w:pPr>
                  <w:snapToGrid w:val="0"/>
                  <w:jc w:val="center"/>
                  <w:outlineLvl w:val="0"/>
                  <w:rPr>
                    <w:rFonts w:ascii="宋体" w:hAnsi="宋体"/>
                    <w:sz w:val="18"/>
                    <w:szCs w:val="18"/>
                  </w:rPr>
                </w:pPr>
                <w:r>
                  <w:rPr>
                    <w:rFonts w:hint="eastAsia" w:ascii="宋体" w:hAnsi="宋体"/>
                    <w:sz w:val="18"/>
                    <w:szCs w:val="18"/>
                  </w:rPr>
                  <w:t>4至5年</w:t>
                </w:r>
              </w:p>
            </w:tc>
            <w:tc>
              <w:tcPr>
                <w:tcW w:w="1578" w:type="pct"/>
                <w:tcBorders>
                  <w:top w:val="single" w:color="auto" w:sz="4" w:space="0"/>
                  <w:left w:val="single" w:color="auto" w:sz="4" w:space="0"/>
                  <w:bottom w:val="single" w:color="auto" w:sz="4" w:space="0"/>
                  <w:right w:val="single" w:color="auto" w:sz="4" w:space="0"/>
                </w:tcBorders>
                <w:vAlign w:val="center"/>
              </w:tcPr>
              <w:p w14:paraId="00820540">
                <w:pPr>
                  <w:tabs>
                    <w:tab w:val="left" w:pos="1358"/>
                  </w:tabs>
                  <w:snapToGrid w:val="0"/>
                  <w:spacing w:before="100" w:beforeAutospacing="1" w:after="100" w:afterAutospacing="1" w:line="360" w:lineRule="auto"/>
                  <w:jc w:val="right"/>
                  <w:rPr>
                    <w:rFonts w:ascii="Arial Narrow" w:hAnsi="Arial Narrow"/>
                    <w:color w:val="FF0000"/>
                    <w:sz w:val="18"/>
                    <w:szCs w:val="18"/>
                  </w:rPr>
                </w:pPr>
                <w:r>
                  <w:t>2,064,264.34</w:t>
                </w:r>
              </w:p>
            </w:tc>
            <w:tc>
              <w:tcPr>
                <w:tcW w:w="1502" w:type="pct"/>
                <w:tcBorders>
                  <w:top w:val="single" w:color="auto" w:sz="4" w:space="0"/>
                  <w:left w:val="single" w:color="auto" w:sz="4" w:space="0"/>
                  <w:bottom w:val="single" w:color="auto" w:sz="4" w:space="0"/>
                  <w:right w:val="nil"/>
                </w:tcBorders>
                <w:vAlign w:val="center"/>
              </w:tcPr>
              <w:p w14:paraId="3DC745E3">
                <w:pPr>
                  <w:tabs>
                    <w:tab w:val="left" w:pos="1358"/>
                  </w:tabs>
                  <w:snapToGrid w:val="0"/>
                  <w:spacing w:before="100" w:beforeAutospacing="1" w:after="100" w:afterAutospacing="1" w:line="360" w:lineRule="auto"/>
                  <w:jc w:val="right"/>
                  <w:rPr>
                    <w:rFonts w:ascii="Arial Narrow" w:hAnsi="Arial Narrow"/>
                    <w:color w:val="FF0000"/>
                    <w:sz w:val="18"/>
                    <w:szCs w:val="18"/>
                  </w:rPr>
                </w:pPr>
                <w:r>
                  <w:t>4,907,628.00</w:t>
                </w:r>
              </w:p>
            </w:tc>
          </w:tr>
          <w:tr w14:paraId="356DD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0" w:type="pct"/>
                <w:tcBorders>
                  <w:top w:val="single" w:color="auto" w:sz="4" w:space="0"/>
                  <w:left w:val="nil"/>
                  <w:bottom w:val="single" w:color="auto" w:sz="4" w:space="0"/>
                  <w:right w:val="single" w:color="auto" w:sz="4" w:space="0"/>
                </w:tcBorders>
                <w:vAlign w:val="center"/>
              </w:tcPr>
              <w:p w14:paraId="5C08A0D5">
                <w:pPr>
                  <w:snapToGrid w:val="0"/>
                  <w:jc w:val="center"/>
                  <w:outlineLvl w:val="0"/>
                  <w:rPr>
                    <w:rFonts w:ascii="宋体" w:hAnsi="宋体"/>
                    <w:sz w:val="18"/>
                    <w:szCs w:val="18"/>
                  </w:rPr>
                </w:pPr>
                <w:r>
                  <w:rPr>
                    <w:rFonts w:hint="eastAsia" w:ascii="宋体" w:hAnsi="宋体"/>
                    <w:sz w:val="18"/>
                    <w:szCs w:val="18"/>
                  </w:rPr>
                  <w:t>5年以上</w:t>
                </w:r>
              </w:p>
            </w:tc>
            <w:tc>
              <w:tcPr>
                <w:tcW w:w="1578" w:type="pct"/>
                <w:tcBorders>
                  <w:top w:val="single" w:color="auto" w:sz="4" w:space="0"/>
                  <w:left w:val="single" w:color="auto" w:sz="4" w:space="0"/>
                  <w:bottom w:val="single" w:color="auto" w:sz="4" w:space="0"/>
                  <w:right w:val="single" w:color="auto" w:sz="4" w:space="0"/>
                </w:tcBorders>
                <w:vAlign w:val="center"/>
              </w:tcPr>
              <w:p w14:paraId="07CCB554">
                <w:pPr>
                  <w:tabs>
                    <w:tab w:val="left" w:pos="1358"/>
                  </w:tabs>
                  <w:snapToGrid w:val="0"/>
                  <w:spacing w:before="100" w:beforeAutospacing="1" w:after="100" w:afterAutospacing="1" w:line="360" w:lineRule="auto"/>
                  <w:jc w:val="right"/>
                  <w:rPr>
                    <w:rFonts w:ascii="Arial Narrow" w:hAnsi="Arial Narrow"/>
                    <w:color w:val="FF0000"/>
                    <w:sz w:val="18"/>
                    <w:szCs w:val="18"/>
                  </w:rPr>
                </w:pPr>
              </w:p>
            </w:tc>
            <w:tc>
              <w:tcPr>
                <w:tcW w:w="1502" w:type="pct"/>
                <w:tcBorders>
                  <w:top w:val="single" w:color="auto" w:sz="4" w:space="0"/>
                  <w:left w:val="single" w:color="auto" w:sz="4" w:space="0"/>
                  <w:bottom w:val="single" w:color="auto" w:sz="4" w:space="0"/>
                  <w:right w:val="nil"/>
                </w:tcBorders>
                <w:vAlign w:val="center"/>
              </w:tcPr>
              <w:p w14:paraId="3F10CDBB">
                <w:pPr>
                  <w:tabs>
                    <w:tab w:val="left" w:pos="1358"/>
                  </w:tabs>
                  <w:snapToGrid w:val="0"/>
                  <w:spacing w:before="100" w:beforeAutospacing="1" w:after="100" w:afterAutospacing="1" w:line="360" w:lineRule="auto"/>
                  <w:jc w:val="right"/>
                  <w:rPr>
                    <w:rFonts w:ascii="Arial Narrow" w:hAnsi="Arial Narrow"/>
                    <w:color w:val="FF0000"/>
                    <w:sz w:val="18"/>
                    <w:szCs w:val="18"/>
                  </w:rPr>
                </w:pPr>
                <w:r>
                  <w:t>1,635,876.00</w:t>
                </w:r>
              </w:p>
            </w:tc>
          </w:tr>
          <w:tr w14:paraId="0DA3C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0" w:type="pct"/>
                <w:tcBorders>
                  <w:top w:val="single" w:color="auto" w:sz="4" w:space="0"/>
                  <w:left w:val="nil"/>
                  <w:bottom w:val="single" w:color="auto" w:sz="12" w:space="0"/>
                  <w:right w:val="single" w:color="auto" w:sz="4" w:space="0"/>
                </w:tcBorders>
                <w:vAlign w:val="center"/>
              </w:tcPr>
              <w:p w14:paraId="4C72A65F">
                <w:pPr>
                  <w:snapToGrid w:val="0"/>
                  <w:jc w:val="center"/>
                  <w:outlineLvl w:val="0"/>
                  <w:rPr>
                    <w:rFonts w:ascii="宋体" w:hAnsi="宋体"/>
                    <w:sz w:val="18"/>
                    <w:szCs w:val="18"/>
                  </w:rPr>
                </w:pPr>
                <w:r>
                  <w:rPr>
                    <w:rFonts w:hint="eastAsia" w:ascii="宋体" w:hAnsi="宋体"/>
                    <w:sz w:val="18"/>
                    <w:szCs w:val="18"/>
                  </w:rPr>
                  <w:t>合计</w:t>
                </w:r>
              </w:p>
            </w:tc>
            <w:tc>
              <w:tcPr>
                <w:tcW w:w="1578" w:type="pct"/>
                <w:tcBorders>
                  <w:top w:val="single" w:color="auto" w:sz="4" w:space="0"/>
                  <w:left w:val="single" w:color="auto" w:sz="4" w:space="0"/>
                  <w:bottom w:val="single" w:color="auto" w:sz="12" w:space="0"/>
                  <w:right w:val="single" w:color="auto" w:sz="4" w:space="0"/>
                </w:tcBorders>
                <w:vAlign w:val="center"/>
              </w:tcPr>
              <w:p w14:paraId="02383742">
                <w:pPr>
                  <w:tabs>
                    <w:tab w:val="left" w:pos="1358"/>
                  </w:tabs>
                  <w:snapToGrid w:val="0"/>
                  <w:spacing w:before="100" w:beforeAutospacing="1" w:after="100" w:afterAutospacing="1" w:line="360" w:lineRule="auto"/>
                  <w:jc w:val="right"/>
                  <w:rPr>
                    <w:rFonts w:ascii="Arial Narrow" w:hAnsi="Arial Narrow"/>
                    <w:color w:val="FF0000"/>
                    <w:sz w:val="18"/>
                    <w:szCs w:val="18"/>
                  </w:rPr>
                </w:pPr>
                <w:r>
                  <w:t>36,354,823.69</w:t>
                </w:r>
              </w:p>
            </w:tc>
            <w:tc>
              <w:tcPr>
                <w:tcW w:w="1502" w:type="pct"/>
                <w:tcBorders>
                  <w:top w:val="single" w:color="auto" w:sz="4" w:space="0"/>
                  <w:left w:val="single" w:color="auto" w:sz="4" w:space="0"/>
                  <w:bottom w:val="single" w:color="auto" w:sz="12" w:space="0"/>
                  <w:right w:val="nil"/>
                </w:tcBorders>
                <w:vAlign w:val="center"/>
              </w:tcPr>
              <w:p w14:paraId="1ACA57C7">
                <w:pPr>
                  <w:tabs>
                    <w:tab w:val="left" w:pos="1358"/>
                  </w:tabs>
                  <w:snapToGrid w:val="0"/>
                  <w:spacing w:before="100" w:beforeAutospacing="1" w:after="100" w:afterAutospacing="1" w:line="360" w:lineRule="auto"/>
                  <w:jc w:val="right"/>
                  <w:rPr>
                    <w:rFonts w:ascii="Arial Narrow" w:hAnsi="Arial Narrow"/>
                    <w:color w:val="FF0000"/>
                    <w:sz w:val="18"/>
                    <w:szCs w:val="18"/>
                  </w:rPr>
                </w:pPr>
                <w:r>
                  <w:t>26,170,600.27</w:t>
                </w:r>
              </w:p>
            </w:tc>
          </w:tr>
        </w:tbl>
        <w:p w14:paraId="58CF436E"/>
        <w:p w14:paraId="71689660">
          <w:pPr>
            <w:pStyle w:val="48"/>
          </w:pPr>
        </w:p>
      </w:sdtContent>
    </w:sdt>
    <w:bookmarkEnd w:id="336"/>
    <w:p w14:paraId="0C8B0BDB">
      <w:pPr>
        <w:pStyle w:val="4"/>
        <w:numPr>
          <w:ilvl w:val="0"/>
          <w:numId w:val="61"/>
        </w:numPr>
        <w:rPr>
          <w:szCs w:val="21"/>
        </w:rPr>
      </w:pPr>
      <w:r>
        <w:rPr>
          <w:szCs w:val="21"/>
        </w:rPr>
        <w:t>长期应付款</w:t>
      </w:r>
    </w:p>
    <w:p w14:paraId="58000397">
      <w:pPr>
        <w:pStyle w:val="5"/>
      </w:pPr>
      <w:bookmarkStart w:id="337" w:name="_Hlk532911038"/>
      <w:r>
        <w:rPr>
          <w:rFonts w:hint="eastAsia"/>
        </w:rPr>
        <w:t>项目列示</w:t>
      </w:r>
    </w:p>
    <w:sdt>
      <w:sdtPr>
        <w:alias w:val="是否适用：长期应付款分类列示[双击切换]"/>
        <w:tag w:val="_GBC_90d4a9bd673140ef9c99898da48d1614"/>
        <w:id w:val="1528754367"/>
        <w:placeholder>
          <w:docPart w:val="GBC22222222222222222222222222222"/>
        </w:placeholder>
      </w:sdtPr>
      <w:sdtContent>
        <w:p w14:paraId="7D3D063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EEB012F">
      <w:pPr>
        <w:pStyle w:val="48"/>
      </w:pPr>
    </w:p>
    <w:bookmarkEnd w:id="337"/>
    <w:p w14:paraId="69F0CB20">
      <w:pPr>
        <w:pStyle w:val="48"/>
      </w:pPr>
      <w:bookmarkStart w:id="338" w:name="_Hlk532911057"/>
      <w:r>
        <w:rPr>
          <w:rFonts w:hint="eastAsia"/>
        </w:rPr>
        <w:t>其他说明：</w:t>
      </w:r>
    </w:p>
    <w:sdt>
      <w:sdtPr>
        <w:alias w:val="是否适用：长期应付款分类列示其他说明[双击切换]"/>
        <w:tag w:val="_GBC_e7daa7f55cea4e3d835be6ee6457b35d"/>
        <w:id w:val="1157731379"/>
        <w:placeholder>
          <w:docPart w:val="GBC22222222222222222222222222222"/>
        </w:placeholder>
      </w:sdtPr>
      <w:sdtContent>
        <w:p w14:paraId="601EF56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77404D6">
      <w:pPr>
        <w:pStyle w:val="48"/>
      </w:pPr>
    </w:p>
    <w:bookmarkEnd w:id="338"/>
    <w:p w14:paraId="40459DB1">
      <w:pPr>
        <w:pStyle w:val="5"/>
        <w:ind w:left="360" w:hanging="360"/>
      </w:pPr>
      <w:r>
        <w:rPr>
          <w:rFonts w:hint="eastAsia"/>
        </w:rPr>
        <w:t>长期应付款</w:t>
      </w:r>
    </w:p>
    <w:p w14:paraId="61C34775">
      <w:pPr>
        <w:pStyle w:val="6"/>
        <w:numPr>
          <w:ilvl w:val="0"/>
          <w:numId w:val="95"/>
        </w:numPr>
        <w:ind w:leftChars="0"/>
      </w:pPr>
      <w:r>
        <w:rPr>
          <w:rFonts w:hint="eastAsia"/>
        </w:rPr>
        <w:t>按款项性质列示长期应付款</w:t>
      </w:r>
    </w:p>
    <w:sdt>
      <w:sdtPr>
        <w:alias w:val="是否适用：按款项性质列示长期应付款[双击切换]"/>
        <w:tag w:val="_GBC_6a4cca7cce5341018cd4836f32746cd9"/>
        <w:id w:val="-511687176"/>
        <w:placeholder>
          <w:docPart w:val="GBC22222222222222222222222222222"/>
        </w:placeholder>
      </w:sdtPr>
      <w:sdtContent>
        <w:p w14:paraId="6809B273">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B8CF23A">
      <w:pPr>
        <w:snapToGrid w:val="0"/>
        <w:spacing w:line="240" w:lineRule="atLeast"/>
      </w:pPr>
    </w:p>
    <w:p w14:paraId="7F5AD563">
      <w:pPr>
        <w:snapToGrid w:val="0"/>
        <w:spacing w:line="240" w:lineRule="atLeast"/>
        <w:rPr>
          <w:rFonts w:cstheme="minorBidi"/>
        </w:rPr>
      </w:pPr>
    </w:p>
    <w:p w14:paraId="66C45B86">
      <w:pPr>
        <w:pStyle w:val="5"/>
        <w:ind w:left="360" w:hanging="360"/>
      </w:pPr>
      <w:r>
        <w:rPr>
          <w:rFonts w:hint="eastAsia"/>
        </w:rPr>
        <w:t>专项应付款</w:t>
      </w:r>
    </w:p>
    <w:p w14:paraId="239853D0">
      <w:pPr>
        <w:pStyle w:val="6"/>
        <w:numPr>
          <w:ilvl w:val="0"/>
          <w:numId w:val="96"/>
        </w:numPr>
        <w:ind w:leftChars="0"/>
      </w:pPr>
      <w:r>
        <w:rPr>
          <w:rFonts w:hint="eastAsia"/>
        </w:rPr>
        <w:t>按款项性质列示专项应付款</w:t>
      </w:r>
    </w:p>
    <w:sdt>
      <w:sdtPr>
        <w:alias w:val="是否适用：专项应付款[双击切换]"/>
        <w:tag w:val="_GBC_857ddecb5bce4a0f99e428cd2635aa03"/>
        <w:id w:val="2074925968"/>
        <w:placeholder>
          <w:docPart w:val="GBC22222222222222222222222222222"/>
        </w:placeholder>
      </w:sdtPr>
      <w:sdtContent>
        <w:p w14:paraId="59ACD52E">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01E225B">
      <w:pPr>
        <w:snapToGrid w:val="0"/>
      </w:pPr>
    </w:p>
    <w:p w14:paraId="20A0E82E">
      <w:pPr>
        <w:snapToGrid w:val="0"/>
      </w:pPr>
    </w:p>
    <w:p w14:paraId="073C68CD">
      <w:pPr>
        <w:pStyle w:val="4"/>
        <w:numPr>
          <w:ilvl w:val="0"/>
          <w:numId w:val="61"/>
        </w:numPr>
        <w:rPr>
          <w:szCs w:val="21"/>
        </w:rPr>
      </w:pPr>
      <w:r>
        <w:rPr>
          <w:szCs w:val="21"/>
        </w:rPr>
        <w:t>长期应付职工薪酬</w:t>
      </w:r>
    </w:p>
    <w:sdt>
      <w:sdtPr>
        <w:alias w:val="是否适用：长期应付职工薪酬[双击切换]"/>
        <w:tag w:val="_GBC_24f9546075204a64926cf2cb24e64f0e"/>
        <w:id w:val="457844715"/>
        <w:placeholder>
          <w:docPart w:val="GBC22222222222222222222222222222"/>
        </w:placeholder>
      </w:sdtPr>
      <w:sdtContent>
        <w:p w14:paraId="4A5E0D0E">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1F42D5B">
      <w:pPr>
        <w:pStyle w:val="48"/>
      </w:pPr>
    </w:p>
    <w:p w14:paraId="3E97A3D9">
      <w:pPr>
        <w:pStyle w:val="48"/>
      </w:pPr>
    </w:p>
    <w:p w14:paraId="09A48D44">
      <w:pPr>
        <w:pStyle w:val="4"/>
        <w:numPr>
          <w:ilvl w:val="0"/>
          <w:numId w:val="61"/>
        </w:numPr>
        <w:rPr>
          <w:szCs w:val="21"/>
        </w:rPr>
      </w:pPr>
      <w:bookmarkStart w:id="339" w:name="_Hlk533670325"/>
      <w:r>
        <w:rPr>
          <w:szCs w:val="21"/>
        </w:rPr>
        <w:t>预计负债</w:t>
      </w:r>
    </w:p>
    <w:sdt>
      <w:sdtPr>
        <w:alias w:val="是否适用：预计负债[双击切换]"/>
        <w:tag w:val="_GBC_d57ab9083835465c9b1fdeb5ed46b3ce"/>
        <w:id w:val="-1732297845"/>
        <w:placeholder>
          <w:docPart w:val="GBC22222222222222222222222222222"/>
        </w:placeholder>
      </w:sdtPr>
      <w:sdtContent>
        <w:p w14:paraId="77575164">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2AA4C08">
      <w:pPr>
        <w:autoSpaceDE w:val="0"/>
        <w:autoSpaceDN w:val="0"/>
        <w:adjustRightInd w:val="0"/>
      </w:pPr>
    </w:p>
    <w:bookmarkEnd w:id="339"/>
    <w:p w14:paraId="1753D9D6">
      <w:pPr>
        <w:pStyle w:val="48"/>
      </w:pPr>
    </w:p>
    <w:p w14:paraId="154A53D3">
      <w:pPr>
        <w:pStyle w:val="4"/>
        <w:numPr>
          <w:ilvl w:val="0"/>
          <w:numId w:val="61"/>
        </w:numPr>
        <w:rPr>
          <w:szCs w:val="21"/>
        </w:rPr>
      </w:pPr>
      <w:r>
        <w:rPr>
          <w:szCs w:val="21"/>
        </w:rPr>
        <w:t>递延收益</w:t>
      </w:r>
    </w:p>
    <w:p w14:paraId="048FD700">
      <w:pPr>
        <w:pStyle w:val="30"/>
        <w:ind w:firstLine="0" w:firstLineChars="0"/>
        <w:jc w:val="left"/>
        <w:rPr>
          <w:rFonts w:ascii="宋体" w:hAnsi="宋体" w:cs="宋体"/>
          <w:kern w:val="0"/>
          <w:szCs w:val="21"/>
        </w:rPr>
      </w:pPr>
      <w:r>
        <w:rPr>
          <w:rFonts w:hint="eastAsia" w:ascii="宋体" w:hAnsi="宋体" w:cs="宋体"/>
          <w:kern w:val="0"/>
          <w:szCs w:val="21"/>
        </w:rPr>
        <w:t>递延收益情况</w:t>
      </w:r>
    </w:p>
    <w:sdt>
      <w:sdtPr>
        <w:rPr>
          <w:rFonts w:hint="eastAsia" w:ascii="宋体" w:hAnsi="宋体" w:cs="宋体"/>
          <w:kern w:val="0"/>
          <w:szCs w:val="21"/>
        </w:rPr>
        <w:alias w:val="是否适用：递延收益情况 [双击切换]"/>
        <w:tag w:val="_GBC_1dc89c2a3092474186405d574af5f0a9"/>
        <w:id w:val="899331644"/>
        <w:placeholder>
          <w:docPart w:val="GBC22222222222222222222222222222"/>
        </w:placeholder>
      </w:sdtPr>
      <w:sdtEndPr>
        <w:rPr>
          <w:rFonts w:hint="eastAsia" w:ascii="宋体" w:hAnsi="宋体" w:cs="宋体"/>
          <w:kern w:val="0"/>
          <w:szCs w:val="21"/>
        </w:rPr>
      </w:sdtEndPr>
      <w:sdtContent>
        <w:p w14:paraId="329EEBFB">
          <w:pPr>
            <w:pStyle w:val="30"/>
            <w:ind w:firstLine="0" w:firstLineChars="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hint="eastAsia" w:ascii="宋体" w:hAnsi="宋体" w:cs="宋体"/>
              <w:kern w:val="0"/>
              <w:szCs w:val="21"/>
            </w:rPr>
            <w:instrText xml:space="preserve">MACROBUTTON  SnrToggleCheckbox √适用 </w:instrText>
          </w:r>
          <w:r>
            <w:rPr>
              <w:rFonts w:ascii="宋体" w:hAnsi="宋体" w:cs="宋体"/>
              <w:kern w:val="0"/>
              <w:szCs w:val="21"/>
            </w:rPr>
            <w:instrText xml:space="preserve">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01FA3330">
      <w:pPr>
        <w:pStyle w:val="30"/>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递延收益"/>
          <w:tag w:val="_GBC_302facde74424f4893f0a42db0d6e1ba"/>
          <w:id w:val="18509815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递延收益"/>
          <w:tag w:val="_GBC_99380f3ab3514d54aa39945566772fb3"/>
          <w:id w:val="-16961367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5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529"/>
        <w:gridCol w:w="1469"/>
        <w:gridCol w:w="1483"/>
        <w:gridCol w:w="1467"/>
        <w:gridCol w:w="1512"/>
        <w:gridCol w:w="1598"/>
      </w:tblGrid>
      <w:tr w14:paraId="300D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35" w:hRule="atLeast"/>
        </w:trPr>
        <w:sdt>
          <w:sdtPr>
            <w:tag w:val="_PLD_06c0ddfa4a2746ca8f12eddff124e05c"/>
            <w:id w:val="545416799"/>
          </w:sdtPr>
          <w:sdtContent>
            <w:tc>
              <w:tcPr>
                <w:tcW w:w="1529" w:type="dxa"/>
                <w:vAlign w:val="center"/>
              </w:tcPr>
              <w:p w14:paraId="62550623">
                <w:pPr>
                  <w:jc w:val="center"/>
                  <w:rPr>
                    <w:rFonts w:ascii="Calibri" w:hAnsi="Calibri"/>
                    <w:sz w:val="20"/>
                    <w:szCs w:val="20"/>
                  </w:rPr>
                </w:pPr>
                <w:r>
                  <w:rPr>
                    <w:rFonts w:hint="eastAsia" w:ascii="Calibri" w:hAnsi="Calibri"/>
                    <w:sz w:val="20"/>
                    <w:szCs w:val="20"/>
                  </w:rPr>
                  <w:t>项目</w:t>
                </w:r>
              </w:p>
            </w:tc>
          </w:sdtContent>
        </w:sdt>
        <w:sdt>
          <w:sdtPr>
            <w:tag w:val="_PLD_4c41187d18a94eb4908c030c31b5a141"/>
            <w:id w:val="-1521703258"/>
          </w:sdtPr>
          <w:sdtContent>
            <w:tc>
              <w:tcPr>
                <w:tcW w:w="1469" w:type="dxa"/>
                <w:vAlign w:val="center"/>
              </w:tcPr>
              <w:p w14:paraId="1F8711BC">
                <w:pPr>
                  <w:jc w:val="center"/>
                  <w:rPr>
                    <w:rFonts w:ascii="Calibri" w:hAnsi="Calibri"/>
                    <w:sz w:val="20"/>
                    <w:szCs w:val="20"/>
                  </w:rPr>
                </w:pPr>
                <w:r>
                  <w:rPr>
                    <w:rFonts w:hint="eastAsia" w:ascii="Calibri" w:hAnsi="Calibri"/>
                    <w:sz w:val="20"/>
                    <w:szCs w:val="20"/>
                  </w:rPr>
                  <w:t>期初余额</w:t>
                </w:r>
              </w:p>
            </w:tc>
          </w:sdtContent>
        </w:sdt>
        <w:sdt>
          <w:sdtPr>
            <w:tag w:val="_PLD_7823db68b61845e58a185dffbbfd2804"/>
            <w:id w:val="-1952858064"/>
          </w:sdtPr>
          <w:sdtContent>
            <w:tc>
              <w:tcPr>
                <w:tcW w:w="1483" w:type="dxa"/>
                <w:vAlign w:val="center"/>
              </w:tcPr>
              <w:p w14:paraId="4E7FE883">
                <w:pPr>
                  <w:jc w:val="center"/>
                  <w:rPr>
                    <w:rFonts w:ascii="Calibri" w:hAnsi="Calibri"/>
                    <w:sz w:val="20"/>
                    <w:szCs w:val="20"/>
                  </w:rPr>
                </w:pPr>
                <w:r>
                  <w:rPr>
                    <w:rFonts w:hint="eastAsia" w:ascii="Calibri" w:hAnsi="Calibri"/>
                    <w:sz w:val="20"/>
                    <w:szCs w:val="20"/>
                  </w:rPr>
                  <w:t>本期增加</w:t>
                </w:r>
              </w:p>
            </w:tc>
          </w:sdtContent>
        </w:sdt>
        <w:sdt>
          <w:sdtPr>
            <w:tag w:val="_PLD_53b43bfd28984007852c2e00c870c71e"/>
            <w:id w:val="1459607237"/>
          </w:sdtPr>
          <w:sdtContent>
            <w:tc>
              <w:tcPr>
                <w:tcW w:w="1467" w:type="dxa"/>
                <w:vAlign w:val="center"/>
              </w:tcPr>
              <w:p w14:paraId="00538F41">
                <w:pPr>
                  <w:jc w:val="center"/>
                  <w:rPr>
                    <w:rFonts w:ascii="Calibri" w:hAnsi="Calibri"/>
                    <w:sz w:val="20"/>
                    <w:szCs w:val="20"/>
                  </w:rPr>
                </w:pPr>
                <w:r>
                  <w:rPr>
                    <w:rFonts w:hint="eastAsia" w:ascii="Calibri" w:hAnsi="Calibri"/>
                    <w:sz w:val="20"/>
                    <w:szCs w:val="20"/>
                  </w:rPr>
                  <w:t>本期减少</w:t>
                </w:r>
              </w:p>
            </w:tc>
          </w:sdtContent>
        </w:sdt>
        <w:sdt>
          <w:sdtPr>
            <w:tag w:val="_PLD_f07e96209c8b4d728b2a1b24ad38bcf7"/>
            <w:id w:val="-1688974034"/>
          </w:sdtPr>
          <w:sdtContent>
            <w:tc>
              <w:tcPr>
                <w:tcW w:w="1512" w:type="dxa"/>
                <w:vAlign w:val="center"/>
              </w:tcPr>
              <w:p w14:paraId="41ABFF7F">
                <w:pPr>
                  <w:jc w:val="center"/>
                  <w:rPr>
                    <w:rFonts w:ascii="Calibri" w:hAnsi="Calibri"/>
                    <w:sz w:val="20"/>
                    <w:szCs w:val="20"/>
                  </w:rPr>
                </w:pPr>
                <w:bookmarkStart w:id="340" w:name="OLE_LINK66"/>
                <w:bookmarkStart w:id="341" w:name="OLE_LINK67"/>
                <w:r>
                  <w:rPr>
                    <w:rFonts w:hint="eastAsia" w:ascii="Calibri" w:hAnsi="Calibri"/>
                    <w:sz w:val="20"/>
                    <w:szCs w:val="20"/>
                  </w:rPr>
                  <w:t>期末余额</w:t>
                </w:r>
              </w:p>
              <w:bookmarkEnd w:id="340"/>
              <w:bookmarkEnd w:id="341"/>
            </w:tc>
          </w:sdtContent>
        </w:sdt>
        <w:sdt>
          <w:sdtPr>
            <w:tag w:val="_PLD_86dc51c05b1340c5968feded0e64c1f1"/>
            <w:id w:val="554737823"/>
          </w:sdtPr>
          <w:sdtContent>
            <w:tc>
              <w:tcPr>
                <w:tcW w:w="1598" w:type="dxa"/>
                <w:vAlign w:val="center"/>
              </w:tcPr>
              <w:p w14:paraId="6AACDD33">
                <w:pPr>
                  <w:jc w:val="center"/>
                  <w:rPr>
                    <w:rFonts w:ascii="Calibri" w:hAnsi="Calibri"/>
                    <w:sz w:val="20"/>
                    <w:szCs w:val="20"/>
                  </w:rPr>
                </w:pPr>
                <w:r>
                  <w:rPr>
                    <w:rFonts w:hint="eastAsia" w:ascii="Calibri" w:hAnsi="Calibri"/>
                    <w:sz w:val="20"/>
                    <w:szCs w:val="20"/>
                  </w:rPr>
                  <w:t>形成原因</w:t>
                </w:r>
              </w:p>
            </w:tc>
          </w:sdtContent>
        </w:sdt>
      </w:tr>
      <w:tr w14:paraId="5BBD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529" w:type="dxa"/>
            <w:vAlign w:val="center"/>
          </w:tcPr>
          <w:p w14:paraId="5479358D">
            <w:pPr>
              <w:pStyle w:val="48"/>
              <w:rPr>
                <w:sz w:val="20"/>
                <w:szCs w:val="20"/>
              </w:rPr>
            </w:pPr>
            <w:r>
              <w:rPr>
                <w:rFonts w:hint="eastAsia"/>
                <w:sz w:val="20"/>
                <w:szCs w:val="20"/>
              </w:rPr>
              <w:t>政府补助</w:t>
            </w:r>
          </w:p>
        </w:tc>
        <w:tc>
          <w:tcPr>
            <w:tcW w:w="1469" w:type="dxa"/>
            <w:vAlign w:val="center"/>
          </w:tcPr>
          <w:p w14:paraId="418111F5">
            <w:pPr>
              <w:jc w:val="right"/>
              <w:rPr>
                <w:rFonts w:ascii="Calibri" w:hAnsi="Calibri"/>
                <w:sz w:val="20"/>
                <w:szCs w:val="20"/>
              </w:rPr>
            </w:pPr>
            <w:r>
              <w:rPr>
                <w:rFonts w:ascii="Calibri" w:hAnsi="Calibri"/>
                <w:sz w:val="20"/>
                <w:szCs w:val="20"/>
              </w:rPr>
              <w:t>27,655,981.71</w:t>
            </w:r>
          </w:p>
        </w:tc>
        <w:tc>
          <w:tcPr>
            <w:tcW w:w="1483" w:type="dxa"/>
            <w:vAlign w:val="center"/>
          </w:tcPr>
          <w:p w14:paraId="7C84FABD">
            <w:pPr>
              <w:jc w:val="right"/>
              <w:rPr>
                <w:rFonts w:ascii="Calibri" w:hAnsi="Calibri"/>
                <w:sz w:val="20"/>
                <w:szCs w:val="20"/>
              </w:rPr>
            </w:pPr>
            <w:r>
              <w:rPr>
                <w:rFonts w:ascii="Calibri" w:hAnsi="Calibri"/>
                <w:sz w:val="20"/>
                <w:szCs w:val="20"/>
              </w:rPr>
              <w:t>1,950,000.00</w:t>
            </w:r>
          </w:p>
        </w:tc>
        <w:tc>
          <w:tcPr>
            <w:tcW w:w="1467" w:type="dxa"/>
            <w:vAlign w:val="center"/>
          </w:tcPr>
          <w:p w14:paraId="4388DEE2">
            <w:pPr>
              <w:jc w:val="right"/>
              <w:rPr>
                <w:rFonts w:ascii="Calibri" w:hAnsi="Calibri"/>
                <w:sz w:val="20"/>
                <w:szCs w:val="20"/>
              </w:rPr>
            </w:pPr>
            <w:r>
              <w:rPr>
                <w:rFonts w:ascii="Calibri" w:hAnsi="Calibri"/>
                <w:sz w:val="20"/>
                <w:szCs w:val="20"/>
              </w:rPr>
              <w:t>1,197,340.92</w:t>
            </w:r>
          </w:p>
        </w:tc>
        <w:tc>
          <w:tcPr>
            <w:tcW w:w="1512" w:type="dxa"/>
            <w:vAlign w:val="center"/>
          </w:tcPr>
          <w:p w14:paraId="2EA4B60D">
            <w:pPr>
              <w:jc w:val="right"/>
              <w:rPr>
                <w:rFonts w:ascii="Calibri" w:hAnsi="Calibri"/>
                <w:sz w:val="20"/>
                <w:szCs w:val="20"/>
              </w:rPr>
            </w:pPr>
            <w:r>
              <w:rPr>
                <w:rFonts w:ascii="Calibri" w:hAnsi="Calibri"/>
                <w:sz w:val="20"/>
                <w:szCs w:val="20"/>
              </w:rPr>
              <w:t>28,408,640.79</w:t>
            </w:r>
          </w:p>
        </w:tc>
        <w:tc>
          <w:tcPr>
            <w:tcW w:w="1598" w:type="dxa"/>
            <w:vAlign w:val="center"/>
          </w:tcPr>
          <w:p w14:paraId="7F330E93">
            <w:pPr>
              <w:adjustRightInd w:val="0"/>
              <w:snapToGrid w:val="0"/>
              <w:jc w:val="both"/>
              <w:textAlignment w:val="baseline"/>
              <w:rPr>
                <w:rFonts w:ascii="宋体" w:hAnsi="宋体"/>
                <w:sz w:val="18"/>
                <w:szCs w:val="18"/>
              </w:rPr>
            </w:pPr>
            <w:r>
              <w:rPr>
                <w:rFonts w:hint="eastAsia" w:ascii="宋体" w:hAnsi="宋体"/>
                <w:sz w:val="18"/>
                <w:szCs w:val="18"/>
              </w:rPr>
              <w:t>根据相关政策给予补助</w:t>
            </w:r>
          </w:p>
        </w:tc>
      </w:tr>
      <w:tr w14:paraId="659D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529" w:type="dxa"/>
            <w:vAlign w:val="center"/>
          </w:tcPr>
          <w:p w14:paraId="779BA8ED">
            <w:pPr>
              <w:jc w:val="center"/>
              <w:rPr>
                <w:rFonts w:ascii="Calibri" w:hAnsi="Calibri"/>
                <w:sz w:val="20"/>
                <w:szCs w:val="20"/>
              </w:rPr>
            </w:pPr>
            <w:r>
              <w:rPr>
                <w:rFonts w:hint="eastAsia" w:ascii="Calibri" w:hAnsi="Calibri"/>
                <w:sz w:val="20"/>
                <w:szCs w:val="20"/>
              </w:rPr>
              <w:t>合计</w:t>
            </w:r>
          </w:p>
        </w:tc>
        <w:tc>
          <w:tcPr>
            <w:tcW w:w="1469" w:type="dxa"/>
            <w:vAlign w:val="center"/>
          </w:tcPr>
          <w:p w14:paraId="46525382">
            <w:pPr>
              <w:jc w:val="right"/>
              <w:rPr>
                <w:rFonts w:ascii="Calibri" w:hAnsi="Calibri"/>
                <w:sz w:val="20"/>
                <w:szCs w:val="20"/>
              </w:rPr>
            </w:pPr>
            <w:r>
              <w:rPr>
                <w:rFonts w:ascii="Calibri" w:hAnsi="Calibri"/>
                <w:sz w:val="20"/>
                <w:szCs w:val="20"/>
              </w:rPr>
              <w:t>27,655,981.71</w:t>
            </w:r>
          </w:p>
        </w:tc>
        <w:tc>
          <w:tcPr>
            <w:tcW w:w="1483" w:type="dxa"/>
            <w:vAlign w:val="center"/>
          </w:tcPr>
          <w:p w14:paraId="34DC6FA8">
            <w:pPr>
              <w:jc w:val="right"/>
              <w:rPr>
                <w:rFonts w:ascii="Calibri" w:hAnsi="Calibri"/>
                <w:sz w:val="20"/>
                <w:szCs w:val="20"/>
              </w:rPr>
            </w:pPr>
            <w:r>
              <w:rPr>
                <w:rFonts w:ascii="Calibri" w:hAnsi="Calibri"/>
                <w:sz w:val="20"/>
                <w:szCs w:val="20"/>
              </w:rPr>
              <w:t>1,950,000.00</w:t>
            </w:r>
          </w:p>
        </w:tc>
        <w:tc>
          <w:tcPr>
            <w:tcW w:w="1467" w:type="dxa"/>
            <w:vAlign w:val="center"/>
          </w:tcPr>
          <w:p w14:paraId="53A821CE">
            <w:pPr>
              <w:jc w:val="right"/>
              <w:rPr>
                <w:rFonts w:ascii="Calibri" w:hAnsi="Calibri"/>
                <w:sz w:val="20"/>
                <w:szCs w:val="20"/>
              </w:rPr>
            </w:pPr>
            <w:r>
              <w:rPr>
                <w:rFonts w:ascii="Calibri" w:hAnsi="Calibri"/>
                <w:sz w:val="20"/>
                <w:szCs w:val="20"/>
              </w:rPr>
              <w:t>1,197,340.92</w:t>
            </w:r>
          </w:p>
        </w:tc>
        <w:tc>
          <w:tcPr>
            <w:tcW w:w="1512" w:type="dxa"/>
            <w:vAlign w:val="center"/>
          </w:tcPr>
          <w:p w14:paraId="34CC81A8">
            <w:pPr>
              <w:jc w:val="right"/>
              <w:rPr>
                <w:rFonts w:ascii="Calibri" w:hAnsi="Calibri"/>
                <w:sz w:val="20"/>
                <w:szCs w:val="20"/>
              </w:rPr>
            </w:pPr>
            <w:r>
              <w:rPr>
                <w:rFonts w:ascii="Calibri" w:hAnsi="Calibri"/>
                <w:sz w:val="20"/>
                <w:szCs w:val="20"/>
              </w:rPr>
              <w:t>28,408,640.79</w:t>
            </w:r>
          </w:p>
        </w:tc>
        <w:tc>
          <w:tcPr>
            <w:tcW w:w="1598" w:type="dxa"/>
            <w:vAlign w:val="center"/>
          </w:tcPr>
          <w:p w14:paraId="38843050">
            <w:pPr>
              <w:jc w:val="center"/>
              <w:rPr>
                <w:rFonts w:ascii="Calibri" w:hAnsi="Calibri"/>
                <w:sz w:val="20"/>
                <w:szCs w:val="20"/>
              </w:rPr>
            </w:pPr>
            <w:r>
              <w:rPr>
                <w:rFonts w:hint="eastAsia" w:ascii="Calibri" w:hAnsi="Calibri"/>
                <w:sz w:val="20"/>
                <w:szCs w:val="20"/>
              </w:rPr>
              <w:t>/</w:t>
            </w:r>
          </w:p>
        </w:tc>
      </w:tr>
    </w:tbl>
    <w:p w14:paraId="38B65B07">
      <w:pPr>
        <w:pStyle w:val="48"/>
      </w:pPr>
    </w:p>
    <w:p w14:paraId="632812B2">
      <w:pPr>
        <w:spacing w:before="60" w:after="60"/>
      </w:pPr>
      <w:bookmarkStart w:id="342" w:name="_Hlk532902543"/>
      <w:bookmarkEnd w:id="342"/>
      <w:bookmarkStart w:id="343" w:name="_Hlk532902569"/>
      <w:bookmarkEnd w:id="343"/>
      <w:bookmarkStart w:id="344" w:name="OLE_LINK85"/>
      <w:bookmarkStart w:id="345" w:name="OLE_LINK84"/>
      <w:r>
        <w:rPr>
          <w:rFonts w:hint="eastAsia"/>
        </w:rPr>
        <w:t>其他说明：</w:t>
      </w:r>
    </w:p>
    <w:sdt>
      <w:sdtPr>
        <w:alias w:val="是否适用：递延收益的其他说明[双击切换]"/>
        <w:tag w:val="_GBC_0c28db54a76349869056f2b92b5d9400"/>
        <w:id w:val="1701664232"/>
        <w:placeholder>
          <w:docPart w:val="GBC22222222222222222222222222222"/>
        </w:placeholder>
      </w:sdtPr>
      <w:sdtContent>
        <w:p w14:paraId="03138A4D">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44"/>
    <w:bookmarkEnd w:id="345"/>
    <w:p w14:paraId="7AE058F1">
      <w:pPr>
        <w:snapToGrid w:val="0"/>
        <w:spacing w:line="240" w:lineRule="atLeast"/>
      </w:pPr>
    </w:p>
    <w:p w14:paraId="503AF9C7">
      <w:pPr>
        <w:pStyle w:val="4"/>
        <w:numPr>
          <w:ilvl w:val="0"/>
          <w:numId w:val="61"/>
        </w:numPr>
        <w:rPr>
          <w:szCs w:val="21"/>
        </w:rPr>
      </w:pPr>
      <w:bookmarkStart w:id="346" w:name="_Hlk533670383"/>
      <w:r>
        <w:rPr>
          <w:szCs w:val="21"/>
        </w:rPr>
        <w:t>其他非流动负债</w:t>
      </w:r>
    </w:p>
    <w:sdt>
      <w:sdtPr>
        <w:alias w:val="是否适用：其他非流动负债[双击切换]"/>
        <w:tag w:val="_GBC_05e5676f32624ce18727385761bd1a9a"/>
        <w:id w:val="-244264928"/>
        <w:placeholder>
          <w:docPart w:val="GBC22222222222222222222222222222"/>
        </w:placeholder>
      </w:sdtPr>
      <w:sdtContent>
        <w:p w14:paraId="5FA4553F">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C2A88E">
      <w:pPr>
        <w:pStyle w:val="48"/>
      </w:pPr>
    </w:p>
    <w:bookmarkEnd w:id="346"/>
    <w:p w14:paraId="2398CE41">
      <w:pPr>
        <w:pStyle w:val="48"/>
      </w:pPr>
    </w:p>
    <w:p w14:paraId="5F2AEAD3">
      <w:pPr>
        <w:pStyle w:val="4"/>
        <w:numPr>
          <w:ilvl w:val="0"/>
          <w:numId w:val="61"/>
        </w:numPr>
        <w:rPr>
          <w:szCs w:val="21"/>
        </w:rPr>
      </w:pPr>
      <w:r>
        <w:rPr>
          <w:szCs w:val="21"/>
        </w:rPr>
        <w:t>股本</w:t>
      </w:r>
    </w:p>
    <w:sdt>
      <w:sdtPr>
        <w:alias w:val="是否适用：股本[双击切换]"/>
        <w:tag w:val="_GBC_a2069fb3657946ee9810a9154eb11422"/>
        <w:id w:val="779767748"/>
        <w:placeholder>
          <w:docPart w:val="GBC22222222222222222222222222222"/>
        </w:placeholder>
      </w:sdtPr>
      <w:sdtContent>
        <w:p w14:paraId="6283CB99">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22FB9B8">
      <w:pPr>
        <w:jc w:val="right"/>
      </w:pPr>
      <w:r>
        <w:rPr>
          <w:rFonts w:hint="eastAsia"/>
        </w:rPr>
        <w:t>单位：</w:t>
      </w:r>
      <w:sdt>
        <w:sdtPr>
          <w:rPr>
            <w:rFonts w:hint="eastAsia"/>
          </w:rPr>
          <w:alias w:val="单位：财务附注：股本"/>
          <w:tag w:val="_GBC_e2cacf7f2d9f4ad78dce53a3e345569e"/>
          <w:id w:val="16494806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股本"/>
          <w:tag w:val="_GBC_a1c9c99744d0466d8ff5672b2b69076a"/>
          <w:id w:val="10527395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78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701"/>
        <w:gridCol w:w="709"/>
        <w:gridCol w:w="425"/>
        <w:gridCol w:w="851"/>
        <w:gridCol w:w="1559"/>
        <w:gridCol w:w="1701"/>
        <w:gridCol w:w="1701"/>
      </w:tblGrid>
      <w:tr w14:paraId="54F3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sdt>
          <w:sdtPr>
            <w:tag w:val="_PLD_59c3e97e3f674ae6805374496a9434cd"/>
            <w:id w:val="1699356315"/>
            <w:showingPlcHdr/>
          </w:sdtPr>
          <w:sdtContent>
            <w:tc>
              <w:tcPr>
                <w:tcW w:w="1134" w:type="dxa"/>
                <w:vMerge w:val="restart"/>
                <w:tcBorders>
                  <w:top w:val="single" w:color="auto" w:sz="4" w:space="0"/>
                  <w:left w:val="single" w:color="auto" w:sz="4" w:space="0"/>
                  <w:bottom w:val="single" w:color="auto" w:sz="4" w:space="0"/>
                  <w:right w:val="single" w:color="auto" w:sz="4" w:space="0"/>
                </w:tcBorders>
                <w:vAlign w:val="center"/>
              </w:tcPr>
              <w:p w14:paraId="6A64DB6F">
                <w:pPr>
                  <w:jc w:val="center"/>
                  <w:rPr>
                    <w:rFonts w:ascii="Calibri" w:hAnsi="Calibri"/>
                    <w:sz w:val="20"/>
                    <w:szCs w:val="20"/>
                  </w:rPr>
                </w:pPr>
                <w:r>
                  <w:rPr>
                    <w:rFonts w:hint="eastAsia" w:ascii="Calibri" w:hAnsi="Calibri"/>
                    <w:sz w:val="20"/>
                    <w:szCs w:val="20"/>
                  </w:rPr>
                  <w:t>　</w:t>
                </w:r>
              </w:p>
            </w:tc>
          </w:sdtContent>
        </w:sdt>
        <w:sdt>
          <w:sdtPr>
            <w:tag w:val="_PLD_fd63a619db16496bad52eeb145839158"/>
            <w:id w:val="1637613882"/>
          </w:sdtPr>
          <w:sdtContent>
            <w:tc>
              <w:tcPr>
                <w:tcW w:w="1701" w:type="dxa"/>
                <w:vMerge w:val="restart"/>
                <w:tcBorders>
                  <w:top w:val="single" w:color="auto" w:sz="4" w:space="0"/>
                  <w:left w:val="single" w:color="auto" w:sz="4" w:space="0"/>
                  <w:right w:val="single" w:color="auto" w:sz="4" w:space="0"/>
                </w:tcBorders>
                <w:vAlign w:val="center"/>
              </w:tcPr>
              <w:p w14:paraId="48C49B19">
                <w:pPr>
                  <w:jc w:val="center"/>
                  <w:rPr>
                    <w:rFonts w:ascii="Calibri" w:hAnsi="Calibri"/>
                    <w:sz w:val="20"/>
                    <w:szCs w:val="20"/>
                  </w:rPr>
                </w:pPr>
                <w:r>
                  <w:rPr>
                    <w:rFonts w:hint="eastAsia" w:ascii="Calibri" w:hAnsi="Calibri"/>
                    <w:sz w:val="20"/>
                    <w:szCs w:val="20"/>
                  </w:rPr>
                  <w:t>期初余额</w:t>
                </w:r>
              </w:p>
            </w:tc>
          </w:sdtContent>
        </w:sdt>
        <w:sdt>
          <w:sdtPr>
            <w:tag w:val="_PLD_2cb33d9d8b0d47539581498c039e86aa"/>
            <w:id w:val="1306046085"/>
          </w:sdtPr>
          <w:sdtContent>
            <w:tc>
              <w:tcPr>
                <w:tcW w:w="5245" w:type="dxa"/>
                <w:gridSpan w:val="5"/>
                <w:tcBorders>
                  <w:top w:val="single" w:color="auto" w:sz="4" w:space="0"/>
                  <w:left w:val="single" w:color="auto" w:sz="4" w:space="0"/>
                  <w:bottom w:val="single" w:color="auto" w:sz="4" w:space="0"/>
                  <w:right w:val="single" w:color="auto" w:sz="4" w:space="0"/>
                </w:tcBorders>
                <w:vAlign w:val="center"/>
              </w:tcPr>
              <w:p w14:paraId="712013A6">
                <w:pPr>
                  <w:jc w:val="center"/>
                  <w:rPr>
                    <w:rFonts w:ascii="Calibri" w:hAnsi="Calibri"/>
                    <w:sz w:val="20"/>
                    <w:szCs w:val="20"/>
                  </w:rPr>
                </w:pPr>
                <w:r>
                  <w:rPr>
                    <w:rFonts w:hint="eastAsia" w:ascii="Calibri" w:hAnsi="Calibri"/>
                    <w:sz w:val="20"/>
                    <w:szCs w:val="20"/>
                  </w:rPr>
                  <w:t>本次变动增减（+、-）</w:t>
                </w:r>
              </w:p>
            </w:tc>
          </w:sdtContent>
        </w:sdt>
        <w:sdt>
          <w:sdtPr>
            <w:tag w:val="_PLD_e579078cb28f47a09273701ab9e2e37a"/>
            <w:id w:val="-2019308674"/>
          </w:sdtPr>
          <w:sdtContent>
            <w:tc>
              <w:tcPr>
                <w:tcW w:w="1701" w:type="dxa"/>
                <w:vMerge w:val="restart"/>
                <w:tcBorders>
                  <w:top w:val="single" w:color="auto" w:sz="4" w:space="0"/>
                  <w:left w:val="single" w:color="auto" w:sz="4" w:space="0"/>
                  <w:right w:val="single" w:color="auto" w:sz="4" w:space="0"/>
                </w:tcBorders>
                <w:vAlign w:val="center"/>
              </w:tcPr>
              <w:p w14:paraId="0C24D2AF">
                <w:pPr>
                  <w:jc w:val="center"/>
                  <w:rPr>
                    <w:rFonts w:ascii="Calibri" w:hAnsi="Calibri"/>
                    <w:sz w:val="20"/>
                    <w:szCs w:val="20"/>
                  </w:rPr>
                </w:pPr>
                <w:r>
                  <w:rPr>
                    <w:rFonts w:hint="eastAsia" w:ascii="Calibri" w:hAnsi="Calibri"/>
                    <w:sz w:val="20"/>
                    <w:szCs w:val="20"/>
                  </w:rPr>
                  <w:t>期末余额</w:t>
                </w:r>
              </w:p>
            </w:tc>
          </w:sdtContent>
        </w:sdt>
      </w:tr>
      <w:tr w14:paraId="1EEA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134" w:type="dxa"/>
            <w:vMerge w:val="continue"/>
            <w:tcBorders>
              <w:top w:val="single" w:color="auto" w:sz="4" w:space="0"/>
              <w:left w:val="single" w:color="auto" w:sz="4" w:space="0"/>
              <w:bottom w:val="single" w:color="auto" w:sz="4" w:space="0"/>
              <w:right w:val="single" w:color="auto" w:sz="4" w:space="0"/>
            </w:tcBorders>
            <w:vAlign w:val="center"/>
          </w:tcPr>
          <w:p w14:paraId="4911E493">
            <w:pPr>
              <w:pStyle w:val="48"/>
              <w:rPr>
                <w:sz w:val="20"/>
                <w:szCs w:val="20"/>
              </w:rPr>
            </w:pPr>
          </w:p>
        </w:tc>
        <w:tc>
          <w:tcPr>
            <w:tcW w:w="1701" w:type="dxa"/>
            <w:vMerge w:val="continue"/>
            <w:tcBorders>
              <w:left w:val="single" w:color="auto" w:sz="4" w:space="0"/>
              <w:bottom w:val="single" w:color="auto" w:sz="4" w:space="0"/>
              <w:right w:val="single" w:color="auto" w:sz="4" w:space="0"/>
            </w:tcBorders>
            <w:vAlign w:val="center"/>
          </w:tcPr>
          <w:p w14:paraId="04A71ABE">
            <w:pPr>
              <w:ind w:left="-250" w:leftChars="-119" w:firstLine="238" w:firstLineChars="119"/>
              <w:rPr>
                <w:rFonts w:ascii="Calibri" w:hAnsi="Calibri"/>
                <w:sz w:val="20"/>
                <w:szCs w:val="20"/>
              </w:rPr>
            </w:pPr>
          </w:p>
        </w:tc>
        <w:sdt>
          <w:sdtPr>
            <w:tag w:val="_PLD_2f067dcfa40a4e2d896a383f16e2e483"/>
            <w:id w:val="-100180257"/>
          </w:sdtPr>
          <w:sdtContent>
            <w:tc>
              <w:tcPr>
                <w:tcW w:w="709" w:type="dxa"/>
                <w:tcBorders>
                  <w:top w:val="single" w:color="auto" w:sz="4" w:space="0"/>
                  <w:left w:val="single" w:color="auto" w:sz="4" w:space="0"/>
                  <w:bottom w:val="single" w:color="auto" w:sz="4" w:space="0"/>
                  <w:right w:val="single" w:color="auto" w:sz="4" w:space="0"/>
                </w:tcBorders>
                <w:vAlign w:val="center"/>
              </w:tcPr>
              <w:p w14:paraId="304BCC08">
                <w:pPr>
                  <w:jc w:val="center"/>
                  <w:rPr>
                    <w:rFonts w:ascii="Calibri" w:hAnsi="Calibri"/>
                    <w:sz w:val="20"/>
                    <w:szCs w:val="20"/>
                  </w:rPr>
                </w:pPr>
                <w:r>
                  <w:rPr>
                    <w:rFonts w:hint="eastAsia" w:ascii="Calibri" w:hAnsi="Calibri"/>
                    <w:sz w:val="20"/>
                    <w:szCs w:val="20"/>
                  </w:rPr>
                  <w:t>发行</w:t>
                </w:r>
              </w:p>
              <w:p w14:paraId="39562B0B">
                <w:pPr>
                  <w:jc w:val="center"/>
                  <w:rPr>
                    <w:rFonts w:ascii="Calibri" w:hAnsi="Calibri"/>
                    <w:sz w:val="20"/>
                    <w:szCs w:val="20"/>
                  </w:rPr>
                </w:pPr>
                <w:r>
                  <w:rPr>
                    <w:rFonts w:hint="eastAsia" w:ascii="Calibri" w:hAnsi="Calibri"/>
                    <w:sz w:val="20"/>
                    <w:szCs w:val="20"/>
                  </w:rPr>
                  <w:t>新股</w:t>
                </w:r>
              </w:p>
            </w:tc>
          </w:sdtContent>
        </w:sdt>
        <w:sdt>
          <w:sdtPr>
            <w:tag w:val="_PLD_afc58df66e0343a29873ec3c2270451e"/>
            <w:id w:val="-533277827"/>
          </w:sdtPr>
          <w:sdtContent>
            <w:tc>
              <w:tcPr>
                <w:tcW w:w="425" w:type="dxa"/>
                <w:tcBorders>
                  <w:top w:val="single" w:color="auto" w:sz="4" w:space="0"/>
                  <w:left w:val="single" w:color="auto" w:sz="4" w:space="0"/>
                  <w:bottom w:val="single" w:color="auto" w:sz="4" w:space="0"/>
                  <w:right w:val="single" w:color="auto" w:sz="4" w:space="0"/>
                </w:tcBorders>
                <w:vAlign w:val="center"/>
              </w:tcPr>
              <w:p w14:paraId="1A0C4F0E">
                <w:pPr>
                  <w:jc w:val="center"/>
                  <w:rPr>
                    <w:rFonts w:ascii="Calibri" w:hAnsi="Calibri"/>
                    <w:sz w:val="20"/>
                    <w:szCs w:val="20"/>
                  </w:rPr>
                </w:pPr>
                <w:r>
                  <w:rPr>
                    <w:rFonts w:hint="eastAsia" w:ascii="Calibri" w:hAnsi="Calibri"/>
                    <w:sz w:val="20"/>
                    <w:szCs w:val="20"/>
                  </w:rPr>
                  <w:t>送股</w:t>
                </w:r>
              </w:p>
            </w:tc>
          </w:sdtContent>
        </w:sdt>
        <w:sdt>
          <w:sdtPr>
            <w:tag w:val="_PLD_31d618a387e243239ea8ee139a3a39da"/>
            <w:id w:val="-1088536100"/>
          </w:sdtPr>
          <w:sdtContent>
            <w:tc>
              <w:tcPr>
                <w:tcW w:w="851" w:type="dxa"/>
                <w:tcBorders>
                  <w:top w:val="single" w:color="auto" w:sz="4" w:space="0"/>
                  <w:left w:val="single" w:color="auto" w:sz="4" w:space="0"/>
                  <w:bottom w:val="single" w:color="auto" w:sz="4" w:space="0"/>
                  <w:right w:val="single" w:color="auto" w:sz="4" w:space="0"/>
                </w:tcBorders>
                <w:vAlign w:val="center"/>
              </w:tcPr>
              <w:p w14:paraId="191B45DF">
                <w:pPr>
                  <w:jc w:val="center"/>
                  <w:rPr>
                    <w:rFonts w:ascii="Calibri" w:hAnsi="Calibri"/>
                    <w:sz w:val="20"/>
                    <w:szCs w:val="20"/>
                  </w:rPr>
                </w:pPr>
                <w:r>
                  <w:rPr>
                    <w:rFonts w:hint="eastAsia" w:ascii="Calibri" w:hAnsi="Calibri"/>
                    <w:sz w:val="20"/>
                    <w:szCs w:val="20"/>
                  </w:rPr>
                  <w:t>公积金</w:t>
                </w:r>
              </w:p>
              <w:p w14:paraId="33BC1B76">
                <w:pPr>
                  <w:jc w:val="center"/>
                  <w:rPr>
                    <w:rFonts w:ascii="Calibri" w:hAnsi="Calibri"/>
                    <w:sz w:val="20"/>
                    <w:szCs w:val="20"/>
                  </w:rPr>
                </w:pPr>
                <w:r>
                  <w:rPr>
                    <w:rFonts w:hint="eastAsia" w:ascii="Calibri" w:hAnsi="Calibri"/>
                    <w:sz w:val="20"/>
                    <w:szCs w:val="20"/>
                  </w:rPr>
                  <w:t>转股</w:t>
                </w:r>
              </w:p>
            </w:tc>
          </w:sdtContent>
        </w:sdt>
        <w:sdt>
          <w:sdtPr>
            <w:tag w:val="_PLD_12526084dedd4dc68d673c8a71c73862"/>
            <w:id w:val="-675963763"/>
          </w:sdtPr>
          <w:sdtContent>
            <w:tc>
              <w:tcPr>
                <w:tcW w:w="1559" w:type="dxa"/>
                <w:tcBorders>
                  <w:top w:val="single" w:color="auto" w:sz="4" w:space="0"/>
                  <w:left w:val="single" w:color="auto" w:sz="4" w:space="0"/>
                  <w:bottom w:val="single" w:color="auto" w:sz="4" w:space="0"/>
                  <w:right w:val="single" w:color="auto" w:sz="4" w:space="0"/>
                </w:tcBorders>
                <w:vAlign w:val="center"/>
              </w:tcPr>
              <w:p w14:paraId="5AF9A429">
                <w:pPr>
                  <w:jc w:val="center"/>
                  <w:rPr>
                    <w:rFonts w:ascii="Calibri" w:hAnsi="Calibri"/>
                    <w:sz w:val="20"/>
                    <w:szCs w:val="20"/>
                  </w:rPr>
                </w:pPr>
                <w:r>
                  <w:rPr>
                    <w:rFonts w:hint="eastAsia" w:ascii="Calibri" w:hAnsi="Calibri"/>
                    <w:sz w:val="20"/>
                    <w:szCs w:val="20"/>
                  </w:rPr>
                  <w:t>其他</w:t>
                </w:r>
              </w:p>
            </w:tc>
          </w:sdtContent>
        </w:sdt>
        <w:sdt>
          <w:sdtPr>
            <w:tag w:val="_PLD_fe70bd23af2d4fd680087e555e574f82"/>
            <w:id w:val="990902050"/>
          </w:sdtPr>
          <w:sdtContent>
            <w:tc>
              <w:tcPr>
                <w:tcW w:w="1701" w:type="dxa"/>
                <w:tcBorders>
                  <w:top w:val="single" w:color="auto" w:sz="4" w:space="0"/>
                  <w:left w:val="single" w:color="auto" w:sz="4" w:space="0"/>
                  <w:bottom w:val="single" w:color="auto" w:sz="4" w:space="0"/>
                  <w:right w:val="single" w:color="auto" w:sz="4" w:space="0"/>
                </w:tcBorders>
                <w:vAlign w:val="center"/>
              </w:tcPr>
              <w:p w14:paraId="3119876C">
                <w:pPr>
                  <w:jc w:val="center"/>
                  <w:rPr>
                    <w:rFonts w:ascii="Calibri" w:hAnsi="Calibri"/>
                    <w:sz w:val="20"/>
                    <w:szCs w:val="20"/>
                  </w:rPr>
                </w:pPr>
                <w:r>
                  <w:rPr>
                    <w:rFonts w:hint="eastAsia" w:ascii="Calibri" w:hAnsi="Calibri"/>
                    <w:sz w:val="20"/>
                    <w:szCs w:val="20"/>
                  </w:rPr>
                  <w:t>小计</w:t>
                </w:r>
              </w:p>
            </w:tc>
          </w:sdtContent>
        </w:sdt>
        <w:tc>
          <w:tcPr>
            <w:tcW w:w="1701" w:type="dxa"/>
            <w:vMerge w:val="continue"/>
            <w:tcBorders>
              <w:left w:val="single" w:color="auto" w:sz="4" w:space="0"/>
              <w:bottom w:val="single" w:color="auto" w:sz="4" w:space="0"/>
              <w:right w:val="single" w:color="auto" w:sz="4" w:space="0"/>
            </w:tcBorders>
            <w:vAlign w:val="center"/>
          </w:tcPr>
          <w:p w14:paraId="6DDA3F68">
            <w:pPr>
              <w:pStyle w:val="48"/>
              <w:rPr>
                <w:sz w:val="20"/>
                <w:szCs w:val="20"/>
              </w:rPr>
            </w:pPr>
          </w:p>
        </w:tc>
      </w:tr>
      <w:tr w14:paraId="7BA5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vAlign w:val="center"/>
          </w:tcPr>
          <w:p w14:paraId="2A54C58E">
            <w:pPr>
              <w:jc w:val="center"/>
              <w:rPr>
                <w:rFonts w:ascii="Calibri" w:hAnsi="Calibri"/>
                <w:sz w:val="20"/>
                <w:szCs w:val="20"/>
              </w:rPr>
            </w:pPr>
            <w:r>
              <w:rPr>
                <w:rFonts w:hint="eastAsia" w:ascii="Calibri" w:hAnsi="Calibri"/>
                <w:sz w:val="20"/>
                <w:szCs w:val="20"/>
              </w:rPr>
              <w:t>股份总数</w:t>
            </w:r>
          </w:p>
        </w:tc>
        <w:tc>
          <w:tcPr>
            <w:tcW w:w="1701" w:type="dxa"/>
            <w:tcBorders>
              <w:top w:val="single" w:color="auto" w:sz="4" w:space="0"/>
              <w:left w:val="single" w:color="auto" w:sz="4" w:space="0"/>
              <w:bottom w:val="single" w:color="auto" w:sz="4" w:space="0"/>
              <w:right w:val="single" w:color="auto" w:sz="4" w:space="0"/>
            </w:tcBorders>
            <w:vAlign w:val="center"/>
          </w:tcPr>
          <w:p w14:paraId="7CA8EF37">
            <w:pPr>
              <w:jc w:val="right"/>
              <w:rPr>
                <w:rFonts w:ascii="Calibri" w:hAnsi="Calibri"/>
                <w:sz w:val="20"/>
                <w:szCs w:val="20"/>
              </w:rPr>
            </w:pPr>
            <w:r>
              <w:rPr>
                <w:rFonts w:ascii="Calibri" w:hAnsi="Calibri"/>
                <w:sz w:val="20"/>
                <w:szCs w:val="20"/>
              </w:rPr>
              <w:t>1,981,734,074.00</w:t>
            </w:r>
          </w:p>
        </w:tc>
        <w:tc>
          <w:tcPr>
            <w:tcW w:w="709" w:type="dxa"/>
            <w:tcBorders>
              <w:top w:val="single" w:color="auto" w:sz="4" w:space="0"/>
              <w:left w:val="single" w:color="auto" w:sz="4" w:space="0"/>
              <w:bottom w:val="single" w:color="auto" w:sz="4" w:space="0"/>
              <w:right w:val="single" w:color="auto" w:sz="4" w:space="0"/>
            </w:tcBorders>
            <w:vAlign w:val="center"/>
          </w:tcPr>
          <w:p w14:paraId="3B1D2C94">
            <w:pPr>
              <w:jc w:val="right"/>
              <w:rPr>
                <w:rFonts w:ascii="Calibri" w:hAnsi="Calibri"/>
                <w:sz w:val="20"/>
                <w:szCs w:val="20"/>
              </w:rPr>
            </w:pPr>
          </w:p>
        </w:tc>
        <w:tc>
          <w:tcPr>
            <w:tcW w:w="425" w:type="dxa"/>
            <w:tcBorders>
              <w:top w:val="single" w:color="auto" w:sz="4" w:space="0"/>
              <w:left w:val="single" w:color="auto" w:sz="4" w:space="0"/>
              <w:bottom w:val="single" w:color="auto" w:sz="4" w:space="0"/>
              <w:right w:val="single" w:color="auto" w:sz="4" w:space="0"/>
            </w:tcBorders>
            <w:vAlign w:val="center"/>
          </w:tcPr>
          <w:p w14:paraId="2AD87073">
            <w:pPr>
              <w:jc w:val="right"/>
              <w:rPr>
                <w:rFonts w:ascii="Calibri" w:hAnsi="Calibri"/>
                <w:sz w:val="20"/>
                <w:szCs w:val="20"/>
              </w:rPr>
            </w:pPr>
          </w:p>
        </w:tc>
        <w:tc>
          <w:tcPr>
            <w:tcW w:w="851" w:type="dxa"/>
            <w:tcBorders>
              <w:top w:val="single" w:color="auto" w:sz="4" w:space="0"/>
              <w:left w:val="single" w:color="auto" w:sz="4" w:space="0"/>
              <w:bottom w:val="single" w:color="auto" w:sz="4" w:space="0"/>
              <w:right w:val="single" w:color="auto" w:sz="4" w:space="0"/>
            </w:tcBorders>
            <w:vAlign w:val="center"/>
          </w:tcPr>
          <w:p w14:paraId="2072E337">
            <w:pPr>
              <w:jc w:val="right"/>
              <w:rPr>
                <w:rFonts w:ascii="Calibri" w:hAnsi="Calibri"/>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7F6A42D0">
            <w:pPr>
              <w:jc w:val="right"/>
              <w:rPr>
                <w:rFonts w:ascii="Calibri" w:hAnsi="Calibri"/>
                <w:sz w:val="20"/>
                <w:szCs w:val="20"/>
              </w:rPr>
            </w:pPr>
            <w:r>
              <w:rPr>
                <w:rFonts w:ascii="Calibri" w:hAnsi="Calibri"/>
                <w:sz w:val="20"/>
                <w:szCs w:val="20"/>
              </w:rPr>
              <w:t>-23,191,245.00</w:t>
            </w:r>
          </w:p>
        </w:tc>
        <w:tc>
          <w:tcPr>
            <w:tcW w:w="1701" w:type="dxa"/>
            <w:tcBorders>
              <w:top w:val="single" w:color="auto" w:sz="4" w:space="0"/>
              <w:left w:val="single" w:color="auto" w:sz="4" w:space="0"/>
              <w:bottom w:val="single" w:color="auto" w:sz="4" w:space="0"/>
              <w:right w:val="single" w:color="auto" w:sz="4" w:space="0"/>
            </w:tcBorders>
            <w:vAlign w:val="center"/>
          </w:tcPr>
          <w:p w14:paraId="16AFA935">
            <w:pPr>
              <w:jc w:val="right"/>
              <w:rPr>
                <w:rFonts w:ascii="Calibri" w:hAnsi="Calibri"/>
                <w:sz w:val="20"/>
                <w:szCs w:val="20"/>
              </w:rPr>
            </w:pPr>
            <w:r>
              <w:rPr>
                <w:rFonts w:ascii="Calibri" w:hAnsi="Calibri"/>
                <w:sz w:val="20"/>
                <w:szCs w:val="20"/>
              </w:rPr>
              <w:t>-23,191,245.00</w:t>
            </w:r>
          </w:p>
        </w:tc>
        <w:tc>
          <w:tcPr>
            <w:tcW w:w="1701" w:type="dxa"/>
            <w:tcBorders>
              <w:top w:val="single" w:color="auto" w:sz="4" w:space="0"/>
              <w:left w:val="single" w:color="auto" w:sz="4" w:space="0"/>
              <w:bottom w:val="single" w:color="auto" w:sz="4" w:space="0"/>
              <w:right w:val="single" w:color="auto" w:sz="4" w:space="0"/>
            </w:tcBorders>
            <w:vAlign w:val="center"/>
          </w:tcPr>
          <w:p w14:paraId="0C7ACA10">
            <w:pPr>
              <w:jc w:val="right"/>
              <w:rPr>
                <w:rFonts w:ascii="Calibri" w:hAnsi="Calibri"/>
                <w:sz w:val="20"/>
                <w:szCs w:val="20"/>
              </w:rPr>
            </w:pPr>
            <w:r>
              <w:rPr>
                <w:rFonts w:ascii="Calibri" w:hAnsi="Calibri"/>
                <w:sz w:val="20"/>
                <w:szCs w:val="20"/>
              </w:rPr>
              <w:t>1,958,542,829.00</w:t>
            </w:r>
          </w:p>
        </w:tc>
      </w:tr>
    </w:tbl>
    <w:p w14:paraId="7EF15A99">
      <w:pPr>
        <w:spacing w:before="60" w:after="60"/>
      </w:pPr>
      <w:r>
        <w:rPr>
          <w:rFonts w:hint="eastAsia"/>
        </w:rPr>
        <w:t>其他说明：</w:t>
      </w:r>
    </w:p>
    <w:sdt>
      <w:sdtPr>
        <w:alias w:val="股本变动情况说明"/>
        <w:tag w:val="_GBC_6600e13aac194caa9cb58963beb3073e"/>
        <w:id w:val="1373955872"/>
        <w:placeholder>
          <w:docPart w:val="GBC22222222222222222222222222222"/>
        </w:placeholder>
      </w:sdtPr>
      <w:sdtContent>
        <w:p w14:paraId="0F74D143">
          <w:pPr>
            <w:pStyle w:val="48"/>
            <w:spacing w:line="360" w:lineRule="auto"/>
            <w:ind w:firstLine="420" w:firstLineChars="200"/>
          </w:pPr>
          <w:r>
            <w:rPr>
              <w:rFonts w:hint="eastAsia"/>
            </w:rPr>
            <w:t>本期减少额系注销了根据《关于2024年第二期以集中竞价交易方式回购公司股份方案的议案》已回购的库存股23,191,245股所致。</w:t>
          </w:r>
        </w:p>
      </w:sdtContent>
    </w:sdt>
    <w:p w14:paraId="033FB085">
      <w:pPr>
        <w:pStyle w:val="48"/>
      </w:pPr>
    </w:p>
    <w:p w14:paraId="172E1627">
      <w:pPr>
        <w:pStyle w:val="4"/>
        <w:numPr>
          <w:ilvl w:val="0"/>
          <w:numId w:val="61"/>
        </w:numPr>
        <w:rPr>
          <w:szCs w:val="21"/>
        </w:rPr>
      </w:pPr>
      <w:r>
        <w:rPr>
          <w:szCs w:val="21"/>
        </w:rPr>
        <w:t>其他权益工具</w:t>
      </w:r>
    </w:p>
    <w:p w14:paraId="22EF4FE4">
      <w:pPr>
        <w:pStyle w:val="5"/>
        <w:numPr>
          <w:ilvl w:val="0"/>
          <w:numId w:val="97"/>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793564518"/>
        <w:placeholder>
          <w:docPart w:val="GBC22222222222222222222222222222"/>
        </w:placeholder>
      </w:sdtPr>
      <w:sdtContent>
        <w:p w14:paraId="683ECBBD">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F4EC76">
      <w:pPr>
        <w:pStyle w:val="48"/>
      </w:pPr>
    </w:p>
    <w:p w14:paraId="7D2169BA">
      <w:pPr>
        <w:pStyle w:val="5"/>
        <w:numPr>
          <w:ilvl w:val="0"/>
          <w:numId w:val="97"/>
        </w:numPr>
        <w:ind w:left="426" w:hanging="426"/>
      </w:pPr>
      <w:bookmarkStart w:id="347" w:name="_Hlk89785156"/>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53746267"/>
        <w:placeholder>
          <w:docPart w:val="GBC22222222222222222222222222222"/>
        </w:placeholder>
      </w:sdtPr>
      <w:sdtContent>
        <w:p w14:paraId="1B88AF6D">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ED93619">
      <w:pPr>
        <w:pStyle w:val="48"/>
      </w:pPr>
    </w:p>
    <w:bookmarkEnd w:id="347"/>
    <w:p w14:paraId="3FFC8274">
      <w:pPr>
        <w:pStyle w:val="48"/>
      </w:pPr>
      <w:bookmarkStart w:id="348" w:name="_Hlk89785136"/>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e803942788b34e5092c70a4cbf71f4b5"/>
        <w:id w:val="-2117821888"/>
        <w:placeholder>
          <w:docPart w:val="GBC22222222222222222222222222222"/>
        </w:placeholder>
      </w:sdtPr>
      <w:sdtContent>
        <w:p w14:paraId="06CACAC3">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48"/>
    <w:p w14:paraId="2F9B07D2">
      <w:pPr>
        <w:pStyle w:val="48"/>
      </w:pPr>
    </w:p>
    <w:p w14:paraId="537922D4">
      <w:pPr>
        <w:pStyle w:val="48"/>
      </w:pPr>
      <w:bookmarkStart w:id="349" w:name="_Hlk89785124"/>
      <w:r>
        <w:rPr>
          <w:rFonts w:hint="eastAsia"/>
        </w:rPr>
        <w:t>其他说明：</w:t>
      </w:r>
    </w:p>
    <w:sdt>
      <w:sdtPr>
        <w:alias w:val="是否适用：其他权益工具的其他说明[双击切换]"/>
        <w:tag w:val="_GBC_af2e32ae9c704175a99ebad592dec5f2"/>
        <w:id w:val="-807780335"/>
        <w:placeholder>
          <w:docPart w:val="GBC22222222222222222222222222222"/>
        </w:placeholder>
      </w:sdtPr>
      <w:sdtContent>
        <w:p w14:paraId="0B6C46FA">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49"/>
    <w:p w14:paraId="0BF275D8">
      <w:pPr>
        <w:pStyle w:val="48"/>
      </w:pPr>
    </w:p>
    <w:p w14:paraId="1ADEC312">
      <w:pPr>
        <w:pStyle w:val="4"/>
        <w:numPr>
          <w:ilvl w:val="0"/>
          <w:numId w:val="61"/>
        </w:numPr>
        <w:rPr>
          <w:szCs w:val="21"/>
        </w:rPr>
      </w:pPr>
      <w:r>
        <w:rPr>
          <w:szCs w:val="21"/>
        </w:rPr>
        <w:t>资本公积</w:t>
      </w:r>
    </w:p>
    <w:sdt>
      <w:sdtPr>
        <w:alias w:val="是否适用：资本公积[双击切换]"/>
        <w:tag w:val="_GBC_58b0344d8757456787af32396840e233"/>
        <w:id w:val="-1690601848"/>
        <w:placeholder>
          <w:docPart w:val="GBC22222222222222222222222222222"/>
        </w:placeholder>
      </w:sdtPr>
      <w:sdtContent>
        <w:p w14:paraId="469677CA">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7DEE956">
      <w:pPr>
        <w:jc w:val="right"/>
      </w:pPr>
      <w:r>
        <w:rPr>
          <w:rFonts w:hint="eastAsia"/>
        </w:rPr>
        <w:t>单位：</w:t>
      </w:r>
      <w:sdt>
        <w:sdtPr>
          <w:rPr>
            <w:rFonts w:hint="eastAsia"/>
          </w:rPr>
          <w:alias w:val="单位：财务附注：资本公积"/>
          <w:tag w:val="_GBC_1b11e7474fd44870ad976b16c25b20f4"/>
          <w:id w:val="-16077233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资本公积"/>
          <w:tag w:val="_GBC_6c523a4f3a0744439ef148664a9f722b"/>
          <w:id w:val="720272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706"/>
        <w:gridCol w:w="1820"/>
        <w:gridCol w:w="1855"/>
        <w:gridCol w:w="1838"/>
        <w:gridCol w:w="1837"/>
      </w:tblGrid>
      <w:tr w14:paraId="092E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b4e0b77813064aeb83afd63c7bafbdab"/>
            <w:id w:val="-1177648173"/>
          </w:sdtPr>
          <w:sdtContent>
            <w:tc>
              <w:tcPr>
                <w:tcW w:w="1706" w:type="dxa"/>
                <w:vAlign w:val="center"/>
              </w:tcPr>
              <w:p w14:paraId="7C44258C">
                <w:pPr>
                  <w:autoSpaceDE w:val="0"/>
                  <w:autoSpaceDN w:val="0"/>
                  <w:adjustRightInd w:val="0"/>
                  <w:snapToGrid w:val="0"/>
                  <w:jc w:val="center"/>
                  <w:rPr>
                    <w:rFonts w:ascii="Calibri" w:hAnsi="Calibri"/>
                    <w:sz w:val="20"/>
                    <w:szCs w:val="20"/>
                  </w:rPr>
                </w:pPr>
                <w:r>
                  <w:rPr>
                    <w:rFonts w:hint="eastAsia" w:ascii="Calibri" w:hAnsi="Calibri"/>
                    <w:sz w:val="20"/>
                    <w:szCs w:val="20"/>
                  </w:rPr>
                  <w:t>项目</w:t>
                </w:r>
              </w:p>
            </w:tc>
          </w:sdtContent>
        </w:sdt>
        <w:sdt>
          <w:sdtPr>
            <w:tag w:val="_PLD_2e3387dfd4d8490ca15036edd55f5d7b"/>
            <w:id w:val="-2032708334"/>
          </w:sdtPr>
          <w:sdtContent>
            <w:tc>
              <w:tcPr>
                <w:tcW w:w="1820" w:type="dxa"/>
                <w:vAlign w:val="center"/>
              </w:tcPr>
              <w:p w14:paraId="51D8B8AB">
                <w:pPr>
                  <w:autoSpaceDE w:val="0"/>
                  <w:autoSpaceDN w:val="0"/>
                  <w:adjustRightInd w:val="0"/>
                  <w:snapToGrid w:val="0"/>
                  <w:jc w:val="center"/>
                  <w:rPr>
                    <w:rFonts w:ascii="Calibri" w:hAnsi="Calibri"/>
                    <w:sz w:val="20"/>
                    <w:szCs w:val="20"/>
                  </w:rPr>
                </w:pPr>
                <w:r>
                  <w:rPr>
                    <w:rFonts w:hint="eastAsia" w:ascii="Calibri" w:hAnsi="Calibri"/>
                    <w:sz w:val="20"/>
                    <w:szCs w:val="20"/>
                  </w:rPr>
                  <w:t>期初余额</w:t>
                </w:r>
              </w:p>
            </w:tc>
          </w:sdtContent>
        </w:sdt>
        <w:sdt>
          <w:sdtPr>
            <w:tag w:val="_PLD_48beb7e26e4d4ae4b8c76cfd47809420"/>
            <w:id w:val="-354810241"/>
          </w:sdtPr>
          <w:sdtContent>
            <w:tc>
              <w:tcPr>
                <w:tcW w:w="1855" w:type="dxa"/>
                <w:vAlign w:val="center"/>
              </w:tcPr>
              <w:p w14:paraId="1489CC83">
                <w:pPr>
                  <w:autoSpaceDE w:val="0"/>
                  <w:autoSpaceDN w:val="0"/>
                  <w:adjustRightInd w:val="0"/>
                  <w:snapToGrid w:val="0"/>
                  <w:jc w:val="center"/>
                  <w:rPr>
                    <w:rFonts w:ascii="Calibri" w:hAnsi="Calibri"/>
                    <w:sz w:val="20"/>
                    <w:szCs w:val="20"/>
                  </w:rPr>
                </w:pPr>
                <w:r>
                  <w:rPr>
                    <w:rFonts w:hint="eastAsia" w:ascii="Calibri" w:hAnsi="Calibri"/>
                    <w:sz w:val="20"/>
                    <w:szCs w:val="20"/>
                  </w:rPr>
                  <w:t>本期增加</w:t>
                </w:r>
              </w:p>
            </w:tc>
          </w:sdtContent>
        </w:sdt>
        <w:sdt>
          <w:sdtPr>
            <w:tag w:val="_PLD_146cd5e556074222b88edab30b505382"/>
            <w:id w:val="-1848403855"/>
          </w:sdtPr>
          <w:sdtContent>
            <w:tc>
              <w:tcPr>
                <w:tcW w:w="1838" w:type="dxa"/>
                <w:vAlign w:val="center"/>
              </w:tcPr>
              <w:p w14:paraId="5DF8518C">
                <w:pPr>
                  <w:autoSpaceDE w:val="0"/>
                  <w:autoSpaceDN w:val="0"/>
                  <w:adjustRightInd w:val="0"/>
                  <w:snapToGrid w:val="0"/>
                  <w:jc w:val="center"/>
                  <w:rPr>
                    <w:rFonts w:ascii="Calibri" w:hAnsi="Calibri"/>
                    <w:sz w:val="20"/>
                    <w:szCs w:val="20"/>
                  </w:rPr>
                </w:pPr>
                <w:r>
                  <w:rPr>
                    <w:rFonts w:hint="eastAsia" w:ascii="Calibri" w:hAnsi="Calibri"/>
                    <w:sz w:val="20"/>
                    <w:szCs w:val="20"/>
                  </w:rPr>
                  <w:t>本期减少</w:t>
                </w:r>
              </w:p>
            </w:tc>
          </w:sdtContent>
        </w:sdt>
        <w:sdt>
          <w:sdtPr>
            <w:tag w:val="_PLD_ce18950b18064dc1ac40e20c98bf9dcb"/>
            <w:id w:val="1999222961"/>
          </w:sdtPr>
          <w:sdtContent>
            <w:tc>
              <w:tcPr>
                <w:tcW w:w="1837" w:type="dxa"/>
                <w:vAlign w:val="center"/>
              </w:tcPr>
              <w:p w14:paraId="310F2E70">
                <w:pPr>
                  <w:autoSpaceDE w:val="0"/>
                  <w:autoSpaceDN w:val="0"/>
                  <w:adjustRightInd w:val="0"/>
                  <w:snapToGrid w:val="0"/>
                  <w:jc w:val="center"/>
                  <w:rPr>
                    <w:rFonts w:ascii="Calibri" w:hAnsi="Calibri"/>
                    <w:sz w:val="20"/>
                    <w:szCs w:val="20"/>
                  </w:rPr>
                </w:pPr>
                <w:r>
                  <w:rPr>
                    <w:rFonts w:hint="eastAsia" w:ascii="Calibri" w:hAnsi="Calibri"/>
                    <w:sz w:val="20"/>
                    <w:szCs w:val="20"/>
                  </w:rPr>
                  <w:t>期末余额</w:t>
                </w:r>
              </w:p>
            </w:tc>
          </w:sdtContent>
        </w:sdt>
      </w:tr>
      <w:tr w14:paraId="612E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06" w:type="dxa"/>
            <w:vAlign w:val="center"/>
          </w:tcPr>
          <w:p w14:paraId="2B2CFC7C">
            <w:pPr>
              <w:autoSpaceDE w:val="0"/>
              <w:autoSpaceDN w:val="0"/>
              <w:adjustRightInd w:val="0"/>
              <w:snapToGrid w:val="0"/>
              <w:rPr>
                <w:rFonts w:ascii="Calibri" w:hAnsi="Calibri"/>
                <w:sz w:val="20"/>
                <w:szCs w:val="20"/>
              </w:rPr>
            </w:pPr>
            <w:r>
              <w:rPr>
                <w:rFonts w:hint="eastAsia" w:ascii="Calibri" w:hAnsi="Calibri"/>
                <w:sz w:val="20"/>
                <w:szCs w:val="20"/>
              </w:rPr>
              <w:t>资本溢价（股本溢价）</w:t>
            </w:r>
          </w:p>
        </w:tc>
        <w:tc>
          <w:tcPr>
            <w:tcW w:w="1820" w:type="dxa"/>
            <w:vAlign w:val="center"/>
          </w:tcPr>
          <w:p w14:paraId="3ED97C26">
            <w:pPr>
              <w:autoSpaceDE w:val="0"/>
              <w:autoSpaceDN w:val="0"/>
              <w:adjustRightInd w:val="0"/>
              <w:snapToGrid w:val="0"/>
              <w:jc w:val="right"/>
              <w:rPr>
                <w:rFonts w:ascii="Calibri" w:hAnsi="Calibri"/>
                <w:sz w:val="20"/>
                <w:szCs w:val="20"/>
              </w:rPr>
            </w:pPr>
            <w:r>
              <w:rPr>
                <w:rFonts w:ascii="Calibri" w:hAnsi="Calibri"/>
                <w:sz w:val="20"/>
                <w:szCs w:val="20"/>
              </w:rPr>
              <w:t>421,115,678.07</w:t>
            </w:r>
          </w:p>
        </w:tc>
        <w:tc>
          <w:tcPr>
            <w:tcW w:w="1855" w:type="dxa"/>
            <w:vAlign w:val="center"/>
          </w:tcPr>
          <w:p w14:paraId="58CAA1F1">
            <w:pPr>
              <w:autoSpaceDE w:val="0"/>
              <w:autoSpaceDN w:val="0"/>
              <w:adjustRightInd w:val="0"/>
              <w:snapToGrid w:val="0"/>
              <w:jc w:val="right"/>
              <w:rPr>
                <w:rFonts w:ascii="Calibri" w:hAnsi="Calibri"/>
                <w:sz w:val="20"/>
                <w:szCs w:val="20"/>
              </w:rPr>
            </w:pPr>
            <w:r>
              <w:rPr>
                <w:rFonts w:ascii="Calibri" w:hAnsi="Calibri"/>
                <w:sz w:val="20"/>
                <w:szCs w:val="20"/>
              </w:rPr>
              <w:t>418,766.40</w:t>
            </w:r>
          </w:p>
        </w:tc>
        <w:tc>
          <w:tcPr>
            <w:tcW w:w="1838" w:type="dxa"/>
            <w:vAlign w:val="center"/>
          </w:tcPr>
          <w:p w14:paraId="6603401D">
            <w:pPr>
              <w:autoSpaceDE w:val="0"/>
              <w:autoSpaceDN w:val="0"/>
              <w:adjustRightInd w:val="0"/>
              <w:snapToGrid w:val="0"/>
              <w:jc w:val="right"/>
              <w:rPr>
                <w:rFonts w:ascii="Calibri" w:hAnsi="Calibri"/>
                <w:sz w:val="20"/>
                <w:szCs w:val="20"/>
              </w:rPr>
            </w:pPr>
            <w:r>
              <w:rPr>
                <w:rFonts w:ascii="Calibri" w:hAnsi="Calibri"/>
                <w:sz w:val="20"/>
                <w:szCs w:val="20"/>
              </w:rPr>
              <w:t>220,166,262.99</w:t>
            </w:r>
          </w:p>
        </w:tc>
        <w:tc>
          <w:tcPr>
            <w:tcW w:w="1837" w:type="dxa"/>
            <w:vAlign w:val="center"/>
          </w:tcPr>
          <w:p w14:paraId="0B8A260D">
            <w:pPr>
              <w:autoSpaceDE w:val="0"/>
              <w:autoSpaceDN w:val="0"/>
              <w:adjustRightInd w:val="0"/>
              <w:snapToGrid w:val="0"/>
              <w:jc w:val="right"/>
              <w:rPr>
                <w:rFonts w:ascii="Calibri" w:hAnsi="Calibri"/>
                <w:sz w:val="20"/>
                <w:szCs w:val="20"/>
              </w:rPr>
            </w:pPr>
            <w:r>
              <w:rPr>
                <w:rFonts w:ascii="Calibri" w:hAnsi="Calibri"/>
                <w:sz w:val="20"/>
                <w:szCs w:val="20"/>
              </w:rPr>
              <w:t>201,368,181.48</w:t>
            </w:r>
          </w:p>
        </w:tc>
      </w:tr>
      <w:tr w14:paraId="76EA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06" w:type="dxa"/>
            <w:vAlign w:val="center"/>
          </w:tcPr>
          <w:p w14:paraId="679D2539">
            <w:pPr>
              <w:autoSpaceDE w:val="0"/>
              <w:autoSpaceDN w:val="0"/>
              <w:adjustRightInd w:val="0"/>
              <w:snapToGrid w:val="0"/>
              <w:rPr>
                <w:rFonts w:ascii="Calibri" w:hAnsi="Calibri"/>
                <w:sz w:val="20"/>
                <w:szCs w:val="20"/>
              </w:rPr>
            </w:pPr>
            <w:r>
              <w:rPr>
                <w:rFonts w:hint="eastAsia" w:ascii="Calibri" w:hAnsi="Calibri"/>
                <w:sz w:val="20"/>
                <w:szCs w:val="20"/>
              </w:rPr>
              <w:t>其他资本公积</w:t>
            </w:r>
          </w:p>
        </w:tc>
        <w:tc>
          <w:tcPr>
            <w:tcW w:w="1820" w:type="dxa"/>
            <w:vAlign w:val="center"/>
          </w:tcPr>
          <w:p w14:paraId="46ADA0B1">
            <w:pPr>
              <w:autoSpaceDE w:val="0"/>
              <w:autoSpaceDN w:val="0"/>
              <w:adjustRightInd w:val="0"/>
              <w:snapToGrid w:val="0"/>
              <w:jc w:val="right"/>
              <w:rPr>
                <w:rFonts w:ascii="Calibri" w:hAnsi="Calibri"/>
                <w:sz w:val="20"/>
                <w:szCs w:val="20"/>
              </w:rPr>
            </w:pPr>
            <w:r>
              <w:rPr>
                <w:rFonts w:ascii="Calibri" w:hAnsi="Calibri"/>
                <w:sz w:val="20"/>
                <w:szCs w:val="20"/>
              </w:rPr>
              <w:t>88,199,827.39</w:t>
            </w:r>
          </w:p>
        </w:tc>
        <w:tc>
          <w:tcPr>
            <w:tcW w:w="1855" w:type="dxa"/>
            <w:vAlign w:val="center"/>
          </w:tcPr>
          <w:p w14:paraId="0732B875">
            <w:pPr>
              <w:autoSpaceDE w:val="0"/>
              <w:autoSpaceDN w:val="0"/>
              <w:adjustRightInd w:val="0"/>
              <w:snapToGrid w:val="0"/>
              <w:jc w:val="right"/>
              <w:rPr>
                <w:rFonts w:ascii="Calibri" w:hAnsi="Calibri"/>
                <w:sz w:val="20"/>
                <w:szCs w:val="20"/>
              </w:rPr>
            </w:pPr>
            <w:r>
              <w:rPr>
                <w:rFonts w:ascii="Calibri" w:hAnsi="Calibri"/>
                <w:sz w:val="20"/>
                <w:szCs w:val="20"/>
              </w:rPr>
              <w:t>30,614,655.70</w:t>
            </w:r>
          </w:p>
        </w:tc>
        <w:tc>
          <w:tcPr>
            <w:tcW w:w="1838" w:type="dxa"/>
            <w:vAlign w:val="center"/>
          </w:tcPr>
          <w:p w14:paraId="10923BBF">
            <w:pPr>
              <w:autoSpaceDE w:val="0"/>
              <w:autoSpaceDN w:val="0"/>
              <w:adjustRightInd w:val="0"/>
              <w:snapToGrid w:val="0"/>
              <w:jc w:val="right"/>
              <w:rPr>
                <w:rFonts w:ascii="Calibri" w:hAnsi="Calibri"/>
                <w:sz w:val="20"/>
                <w:szCs w:val="20"/>
              </w:rPr>
            </w:pPr>
            <w:r>
              <w:rPr>
                <w:rFonts w:ascii="Calibri" w:hAnsi="Calibri"/>
                <w:sz w:val="20"/>
                <w:szCs w:val="20"/>
              </w:rPr>
              <w:t>18,508,009.58</w:t>
            </w:r>
          </w:p>
        </w:tc>
        <w:tc>
          <w:tcPr>
            <w:tcW w:w="1837" w:type="dxa"/>
            <w:vAlign w:val="center"/>
          </w:tcPr>
          <w:p w14:paraId="5CEA550A">
            <w:pPr>
              <w:autoSpaceDE w:val="0"/>
              <w:autoSpaceDN w:val="0"/>
              <w:adjustRightInd w:val="0"/>
              <w:snapToGrid w:val="0"/>
              <w:jc w:val="right"/>
              <w:rPr>
                <w:rFonts w:ascii="Calibri" w:hAnsi="Calibri"/>
                <w:sz w:val="20"/>
                <w:szCs w:val="20"/>
              </w:rPr>
            </w:pPr>
            <w:r>
              <w:rPr>
                <w:rFonts w:ascii="Calibri" w:hAnsi="Calibri"/>
                <w:sz w:val="20"/>
                <w:szCs w:val="20"/>
              </w:rPr>
              <w:t>100,306,473.51</w:t>
            </w:r>
          </w:p>
        </w:tc>
      </w:tr>
      <w:tr w14:paraId="7DB1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06" w:type="dxa"/>
            <w:vAlign w:val="center"/>
          </w:tcPr>
          <w:p w14:paraId="5FD29E98">
            <w:pPr>
              <w:autoSpaceDE w:val="0"/>
              <w:autoSpaceDN w:val="0"/>
              <w:adjustRightInd w:val="0"/>
              <w:snapToGrid w:val="0"/>
              <w:jc w:val="center"/>
              <w:rPr>
                <w:rFonts w:ascii="Calibri" w:hAnsi="Calibri"/>
                <w:sz w:val="20"/>
                <w:szCs w:val="20"/>
              </w:rPr>
            </w:pPr>
            <w:r>
              <w:rPr>
                <w:rFonts w:hint="eastAsia" w:ascii="Calibri" w:hAnsi="Calibri"/>
                <w:sz w:val="20"/>
                <w:szCs w:val="20"/>
              </w:rPr>
              <w:t>合计</w:t>
            </w:r>
          </w:p>
        </w:tc>
        <w:tc>
          <w:tcPr>
            <w:tcW w:w="1820" w:type="dxa"/>
            <w:vAlign w:val="center"/>
          </w:tcPr>
          <w:p w14:paraId="0A48A5AD">
            <w:pPr>
              <w:autoSpaceDE w:val="0"/>
              <w:autoSpaceDN w:val="0"/>
              <w:adjustRightInd w:val="0"/>
              <w:snapToGrid w:val="0"/>
              <w:jc w:val="right"/>
              <w:rPr>
                <w:rFonts w:ascii="Calibri" w:hAnsi="Calibri"/>
                <w:sz w:val="20"/>
                <w:szCs w:val="20"/>
              </w:rPr>
            </w:pPr>
            <w:r>
              <w:rPr>
                <w:rFonts w:ascii="Calibri" w:hAnsi="Calibri"/>
                <w:sz w:val="20"/>
                <w:szCs w:val="20"/>
              </w:rPr>
              <w:t>509,315,505.46</w:t>
            </w:r>
          </w:p>
        </w:tc>
        <w:tc>
          <w:tcPr>
            <w:tcW w:w="1855" w:type="dxa"/>
            <w:vAlign w:val="center"/>
          </w:tcPr>
          <w:p w14:paraId="0F6D6F10">
            <w:pPr>
              <w:autoSpaceDE w:val="0"/>
              <w:autoSpaceDN w:val="0"/>
              <w:adjustRightInd w:val="0"/>
              <w:snapToGrid w:val="0"/>
              <w:jc w:val="right"/>
              <w:rPr>
                <w:rFonts w:ascii="Calibri" w:hAnsi="Calibri"/>
                <w:sz w:val="20"/>
                <w:szCs w:val="20"/>
              </w:rPr>
            </w:pPr>
            <w:r>
              <w:rPr>
                <w:rFonts w:ascii="Calibri" w:hAnsi="Calibri"/>
                <w:sz w:val="20"/>
                <w:szCs w:val="20"/>
              </w:rPr>
              <w:t>31,033,422.10</w:t>
            </w:r>
          </w:p>
        </w:tc>
        <w:tc>
          <w:tcPr>
            <w:tcW w:w="1838" w:type="dxa"/>
            <w:vAlign w:val="center"/>
          </w:tcPr>
          <w:p w14:paraId="31003594">
            <w:pPr>
              <w:autoSpaceDE w:val="0"/>
              <w:autoSpaceDN w:val="0"/>
              <w:adjustRightInd w:val="0"/>
              <w:snapToGrid w:val="0"/>
              <w:jc w:val="right"/>
              <w:rPr>
                <w:rFonts w:ascii="Calibri" w:hAnsi="Calibri"/>
                <w:sz w:val="20"/>
                <w:szCs w:val="20"/>
              </w:rPr>
            </w:pPr>
            <w:r>
              <w:rPr>
                <w:rFonts w:ascii="Calibri" w:hAnsi="Calibri"/>
                <w:sz w:val="20"/>
                <w:szCs w:val="20"/>
              </w:rPr>
              <w:t>238,674,272.57</w:t>
            </w:r>
          </w:p>
        </w:tc>
        <w:tc>
          <w:tcPr>
            <w:tcW w:w="1837" w:type="dxa"/>
            <w:vAlign w:val="center"/>
          </w:tcPr>
          <w:p w14:paraId="4C97B86D">
            <w:pPr>
              <w:autoSpaceDE w:val="0"/>
              <w:autoSpaceDN w:val="0"/>
              <w:adjustRightInd w:val="0"/>
              <w:snapToGrid w:val="0"/>
              <w:jc w:val="right"/>
              <w:rPr>
                <w:rFonts w:ascii="Calibri" w:hAnsi="Calibri"/>
                <w:sz w:val="20"/>
                <w:szCs w:val="20"/>
              </w:rPr>
            </w:pPr>
            <w:r>
              <w:rPr>
                <w:rFonts w:ascii="Calibri" w:hAnsi="Calibri"/>
                <w:sz w:val="20"/>
                <w:szCs w:val="20"/>
              </w:rPr>
              <w:t>301,674,654.99</w:t>
            </w:r>
          </w:p>
        </w:tc>
      </w:tr>
    </w:tbl>
    <w:p w14:paraId="539F16D2">
      <w:pPr>
        <w:pStyle w:val="48"/>
      </w:pPr>
      <w:r>
        <w:rPr>
          <w:rFonts w:hint="eastAsia"/>
        </w:rPr>
        <w:t>其他说明，包括本期增减变动情况、变动原因说明：</w:t>
      </w:r>
    </w:p>
    <w:sdt>
      <w:sdtPr>
        <w:alias w:val="资本公积说明"/>
        <w:tag w:val="_GBC_bd957b69783b49af88b2c285825bd0fc"/>
        <w:id w:val="-1330356418"/>
        <w:placeholder>
          <w:docPart w:val="GBC22222222222222222222222222222"/>
        </w:placeholder>
      </w:sdtPr>
      <w:sdtContent>
        <w:p w14:paraId="03F9916F">
          <w:pPr>
            <w:pStyle w:val="48"/>
            <w:spacing w:line="360" w:lineRule="auto"/>
            <w:ind w:firstLine="420" w:firstLineChars="200"/>
          </w:pPr>
          <w:r>
            <w:rPr>
              <w:rFonts w:hint="eastAsia"/>
            </w:rPr>
            <w:t>股本溢价本期增加额系子公司上海隆棵药业有限公司的股权被动稀释增加418,766.40元。本期减少额系注销了根据《关于2024年第二期以集中竞价交易方式回购公司股份方案的议案》已回购的库存股23,191,245股，减少156,849,783.40元；根据审议通过的《关于&lt;通化东宝2025年员工持股计划（草案）&gt;及其摘要的议案》和《关于&lt;通化东宝研发生产系统员工持股计划（草案）&gt;及其摘要的议案》，实施员工持股计划减少59,724,979.59元；受同一控制下企业合并影响，减少3,591,500.00元。</w:t>
          </w:r>
        </w:p>
        <w:p w14:paraId="117544A8">
          <w:pPr>
            <w:pStyle w:val="48"/>
            <w:spacing w:line="360" w:lineRule="auto"/>
            <w:ind w:firstLine="420" w:firstLineChars="200"/>
          </w:pPr>
          <w:r>
            <w:rPr>
              <w:rFonts w:hint="eastAsia"/>
            </w:rPr>
            <w:t>其他资本公积本期增加额系联营企业其他权益变动按持股比例计算享有的份额增加25,040,655.70元；本期实施员工持股计划确认股份支付增加5,574,000.00元。本期减少额系转让了公司持有厦门特宝生物工程股份有限公司的无限售条件流通股股份23,187,600股，权益法下累计确认的其他权益变动对应部分，减少金额18,508,009.58元。</w:t>
          </w:r>
        </w:p>
      </w:sdtContent>
    </w:sdt>
    <w:p w14:paraId="5FB229D4">
      <w:pPr>
        <w:pStyle w:val="48"/>
      </w:pPr>
    </w:p>
    <w:p w14:paraId="25DCDD00">
      <w:pPr>
        <w:pStyle w:val="4"/>
        <w:numPr>
          <w:ilvl w:val="0"/>
          <w:numId w:val="61"/>
        </w:numPr>
        <w:rPr>
          <w:szCs w:val="21"/>
        </w:rPr>
      </w:pPr>
      <w:r>
        <w:rPr>
          <w:szCs w:val="21"/>
        </w:rPr>
        <w:t>库存股</w:t>
      </w:r>
    </w:p>
    <w:sdt>
      <w:sdtPr>
        <w:alias w:val="是否适用：库存股[双击切换]"/>
        <w:tag w:val="_GBC_8e4fbb6e216145d28e75f17bb16e2ed0"/>
        <w:id w:val="557358393"/>
        <w:placeholder>
          <w:docPart w:val="GBC22222222222222222222222222222"/>
        </w:placeholder>
      </w:sdtPr>
      <w:sdtContent>
        <w:p w14:paraId="35D1BE80">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7CF289">
      <w:pPr>
        <w:pStyle w:val="30"/>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库存股"/>
          <w:tag w:val="_GBC_1762a395ee414a4ab9d088576fc67b95"/>
          <w:id w:val="1045526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库存股"/>
          <w:tag w:val="_GBC_aa9b77277b2f445fb00ee31519c400b8"/>
          <w:id w:val="-3233629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57"/>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712"/>
        <w:gridCol w:w="1808"/>
        <w:gridCol w:w="1837"/>
        <w:gridCol w:w="1849"/>
        <w:gridCol w:w="1851"/>
      </w:tblGrid>
      <w:tr w14:paraId="4D28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3bb42fd3c8c244e1ba361777cd8b061c"/>
            <w:id w:val="1965538168"/>
          </w:sdtPr>
          <w:sdtContent>
            <w:tc>
              <w:tcPr>
                <w:tcW w:w="1712" w:type="dxa"/>
                <w:vAlign w:val="center"/>
              </w:tcPr>
              <w:p w14:paraId="5DF6EBC4">
                <w:pPr>
                  <w:jc w:val="center"/>
                  <w:rPr>
                    <w:rFonts w:ascii="Calibri" w:hAnsi="Calibri"/>
                    <w:sz w:val="20"/>
                    <w:szCs w:val="20"/>
                  </w:rPr>
                </w:pPr>
                <w:r>
                  <w:rPr>
                    <w:rFonts w:hint="eastAsia" w:ascii="Calibri" w:hAnsi="Calibri"/>
                    <w:sz w:val="20"/>
                    <w:szCs w:val="20"/>
                  </w:rPr>
                  <w:t>项目</w:t>
                </w:r>
              </w:p>
            </w:tc>
          </w:sdtContent>
        </w:sdt>
        <w:sdt>
          <w:sdtPr>
            <w:tag w:val="_PLD_dbccb5fb3e6647159adf418aaf7a819d"/>
            <w:id w:val="1470166549"/>
          </w:sdtPr>
          <w:sdtContent>
            <w:tc>
              <w:tcPr>
                <w:tcW w:w="1808" w:type="dxa"/>
                <w:vAlign w:val="center"/>
              </w:tcPr>
              <w:p w14:paraId="1D48F72A">
                <w:pPr>
                  <w:jc w:val="center"/>
                  <w:rPr>
                    <w:rFonts w:ascii="Calibri" w:hAnsi="Calibri"/>
                    <w:sz w:val="20"/>
                    <w:szCs w:val="20"/>
                  </w:rPr>
                </w:pPr>
                <w:r>
                  <w:rPr>
                    <w:rFonts w:hint="eastAsia" w:ascii="Calibri" w:hAnsi="Calibri"/>
                    <w:sz w:val="20"/>
                    <w:szCs w:val="20"/>
                  </w:rPr>
                  <w:t>期初余额</w:t>
                </w:r>
              </w:p>
            </w:tc>
          </w:sdtContent>
        </w:sdt>
        <w:sdt>
          <w:sdtPr>
            <w:tag w:val="_PLD_efd45699d9ff4436b9e070adb8fb59ad"/>
            <w:id w:val="-148367212"/>
          </w:sdtPr>
          <w:sdtContent>
            <w:tc>
              <w:tcPr>
                <w:tcW w:w="1837" w:type="dxa"/>
                <w:vAlign w:val="center"/>
              </w:tcPr>
              <w:p w14:paraId="43DA6BD6">
                <w:pPr>
                  <w:jc w:val="center"/>
                  <w:rPr>
                    <w:rFonts w:ascii="Calibri" w:hAnsi="Calibri"/>
                    <w:sz w:val="20"/>
                    <w:szCs w:val="20"/>
                  </w:rPr>
                </w:pPr>
                <w:r>
                  <w:rPr>
                    <w:rFonts w:hint="eastAsia" w:ascii="Calibri" w:hAnsi="Calibri"/>
                    <w:sz w:val="20"/>
                    <w:szCs w:val="20"/>
                  </w:rPr>
                  <w:t>本期增加</w:t>
                </w:r>
              </w:p>
            </w:tc>
          </w:sdtContent>
        </w:sdt>
        <w:sdt>
          <w:sdtPr>
            <w:tag w:val="_PLD_98330c8585594c0b8f1ac93353a4e2bc"/>
            <w:id w:val="1019200162"/>
          </w:sdtPr>
          <w:sdtContent>
            <w:tc>
              <w:tcPr>
                <w:tcW w:w="1849" w:type="dxa"/>
                <w:vAlign w:val="center"/>
              </w:tcPr>
              <w:p w14:paraId="0959AB68">
                <w:pPr>
                  <w:jc w:val="center"/>
                  <w:rPr>
                    <w:rFonts w:ascii="Calibri" w:hAnsi="Calibri"/>
                    <w:sz w:val="20"/>
                    <w:szCs w:val="20"/>
                  </w:rPr>
                </w:pPr>
                <w:r>
                  <w:rPr>
                    <w:rFonts w:hint="eastAsia" w:ascii="Calibri" w:hAnsi="Calibri"/>
                    <w:sz w:val="20"/>
                    <w:szCs w:val="20"/>
                  </w:rPr>
                  <w:t>本期减少</w:t>
                </w:r>
              </w:p>
            </w:tc>
          </w:sdtContent>
        </w:sdt>
        <w:sdt>
          <w:sdtPr>
            <w:tag w:val="_PLD_6d3e824a5a6f4f1fbc66e6ffabf43d1e"/>
            <w:id w:val="512342996"/>
          </w:sdtPr>
          <w:sdtContent>
            <w:tc>
              <w:tcPr>
                <w:tcW w:w="1851" w:type="dxa"/>
                <w:vAlign w:val="center"/>
              </w:tcPr>
              <w:p w14:paraId="04A61B49">
                <w:pPr>
                  <w:jc w:val="center"/>
                  <w:rPr>
                    <w:rFonts w:ascii="Calibri" w:hAnsi="Calibri"/>
                    <w:sz w:val="20"/>
                    <w:szCs w:val="20"/>
                  </w:rPr>
                </w:pPr>
                <w:r>
                  <w:rPr>
                    <w:rFonts w:hint="eastAsia" w:ascii="Calibri" w:hAnsi="Calibri"/>
                    <w:sz w:val="20"/>
                    <w:szCs w:val="20"/>
                  </w:rPr>
                  <w:t>期末余额</w:t>
                </w:r>
              </w:p>
            </w:tc>
          </w:sdtContent>
        </w:sdt>
      </w:tr>
      <w:tr w14:paraId="037F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12" w:type="dxa"/>
            <w:vAlign w:val="center"/>
          </w:tcPr>
          <w:p w14:paraId="50E18614">
            <w:pPr>
              <w:pStyle w:val="48"/>
              <w:rPr>
                <w:sz w:val="20"/>
                <w:szCs w:val="20"/>
              </w:rPr>
            </w:pPr>
            <w:r>
              <w:rPr>
                <w:sz w:val="20"/>
                <w:szCs w:val="20"/>
              </w:rPr>
              <w:t>回购股份</w:t>
            </w:r>
          </w:p>
        </w:tc>
        <w:tc>
          <w:tcPr>
            <w:tcW w:w="1808" w:type="dxa"/>
            <w:vAlign w:val="center"/>
          </w:tcPr>
          <w:p w14:paraId="5BD4B4F5">
            <w:pPr>
              <w:jc w:val="right"/>
              <w:rPr>
                <w:rFonts w:ascii="Calibri" w:hAnsi="Calibri"/>
                <w:sz w:val="20"/>
                <w:szCs w:val="20"/>
              </w:rPr>
            </w:pPr>
            <w:r>
              <w:rPr>
                <w:rFonts w:ascii="Calibri" w:hAnsi="Calibri"/>
                <w:sz w:val="20"/>
                <w:szCs w:val="20"/>
              </w:rPr>
              <w:t>300,279,281.09</w:t>
            </w:r>
          </w:p>
        </w:tc>
        <w:tc>
          <w:tcPr>
            <w:tcW w:w="1837" w:type="dxa"/>
            <w:vAlign w:val="center"/>
          </w:tcPr>
          <w:p w14:paraId="6F7821C5">
            <w:pPr>
              <w:jc w:val="right"/>
              <w:rPr>
                <w:rFonts w:ascii="Calibri" w:hAnsi="Calibri"/>
                <w:sz w:val="20"/>
                <w:szCs w:val="20"/>
              </w:rPr>
            </w:pPr>
            <w:r>
              <w:rPr>
                <w:rFonts w:ascii="Calibri" w:hAnsi="Calibri"/>
                <w:sz w:val="20"/>
                <w:szCs w:val="20"/>
              </w:rPr>
              <w:t>27,596,629.06</w:t>
            </w:r>
          </w:p>
        </w:tc>
        <w:tc>
          <w:tcPr>
            <w:tcW w:w="1849" w:type="dxa"/>
            <w:vAlign w:val="center"/>
          </w:tcPr>
          <w:p w14:paraId="2BA31130">
            <w:pPr>
              <w:jc w:val="right"/>
              <w:rPr>
                <w:rFonts w:ascii="Calibri" w:hAnsi="Calibri"/>
                <w:sz w:val="20"/>
                <w:szCs w:val="20"/>
              </w:rPr>
            </w:pPr>
            <w:r>
              <w:rPr>
                <w:rFonts w:ascii="Calibri" w:hAnsi="Calibri"/>
                <w:sz w:val="20"/>
                <w:szCs w:val="20"/>
              </w:rPr>
              <w:t>307,584,407.99</w:t>
            </w:r>
          </w:p>
        </w:tc>
        <w:tc>
          <w:tcPr>
            <w:tcW w:w="1851" w:type="dxa"/>
            <w:vAlign w:val="center"/>
          </w:tcPr>
          <w:p w14:paraId="13F7D44B">
            <w:pPr>
              <w:jc w:val="right"/>
              <w:rPr>
                <w:rFonts w:ascii="Calibri" w:hAnsi="Calibri"/>
                <w:sz w:val="20"/>
                <w:szCs w:val="20"/>
              </w:rPr>
            </w:pPr>
            <w:r>
              <w:rPr>
                <w:rFonts w:ascii="Calibri" w:hAnsi="Calibri"/>
                <w:sz w:val="20"/>
                <w:szCs w:val="20"/>
              </w:rPr>
              <w:t>20,291,502.16</w:t>
            </w:r>
          </w:p>
        </w:tc>
      </w:tr>
      <w:tr w14:paraId="45AC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12" w:type="dxa"/>
            <w:vAlign w:val="center"/>
          </w:tcPr>
          <w:p w14:paraId="1F800A67">
            <w:pPr>
              <w:pStyle w:val="48"/>
              <w:rPr>
                <w:sz w:val="20"/>
                <w:szCs w:val="20"/>
              </w:rPr>
            </w:pPr>
            <w:r>
              <w:rPr>
                <w:sz w:val="20"/>
                <w:szCs w:val="20"/>
              </w:rPr>
              <w:t>回购义务库存股</w:t>
            </w:r>
          </w:p>
        </w:tc>
        <w:tc>
          <w:tcPr>
            <w:tcW w:w="1808" w:type="dxa"/>
            <w:vAlign w:val="center"/>
          </w:tcPr>
          <w:p w14:paraId="1B3E354D">
            <w:pPr>
              <w:jc w:val="right"/>
              <w:rPr>
                <w:rFonts w:ascii="Calibri" w:hAnsi="Calibri"/>
                <w:sz w:val="20"/>
                <w:szCs w:val="20"/>
              </w:rPr>
            </w:pPr>
          </w:p>
        </w:tc>
        <w:tc>
          <w:tcPr>
            <w:tcW w:w="1837" w:type="dxa"/>
            <w:vAlign w:val="center"/>
          </w:tcPr>
          <w:p w14:paraId="4CEE84FF">
            <w:pPr>
              <w:jc w:val="right"/>
              <w:rPr>
                <w:rFonts w:ascii="Calibri" w:hAnsi="Calibri"/>
                <w:sz w:val="20"/>
                <w:szCs w:val="20"/>
              </w:rPr>
            </w:pPr>
            <w:r>
              <w:rPr>
                <w:rFonts w:ascii="Calibri" w:hAnsi="Calibri"/>
                <w:sz w:val="20"/>
                <w:szCs w:val="20"/>
              </w:rPr>
              <w:t>67,818,400.00</w:t>
            </w:r>
          </w:p>
        </w:tc>
        <w:tc>
          <w:tcPr>
            <w:tcW w:w="1849" w:type="dxa"/>
            <w:vAlign w:val="center"/>
          </w:tcPr>
          <w:p w14:paraId="62CFE9F9">
            <w:pPr>
              <w:jc w:val="right"/>
              <w:rPr>
                <w:rFonts w:ascii="Calibri" w:hAnsi="Calibri"/>
                <w:sz w:val="20"/>
                <w:szCs w:val="20"/>
              </w:rPr>
            </w:pPr>
          </w:p>
        </w:tc>
        <w:tc>
          <w:tcPr>
            <w:tcW w:w="1851" w:type="dxa"/>
            <w:vAlign w:val="center"/>
          </w:tcPr>
          <w:p w14:paraId="3C4F5D5E">
            <w:pPr>
              <w:jc w:val="right"/>
              <w:rPr>
                <w:rFonts w:ascii="Calibri" w:hAnsi="Calibri"/>
                <w:sz w:val="20"/>
                <w:szCs w:val="20"/>
              </w:rPr>
            </w:pPr>
            <w:r>
              <w:rPr>
                <w:rFonts w:ascii="Calibri" w:hAnsi="Calibri"/>
                <w:sz w:val="20"/>
                <w:szCs w:val="20"/>
              </w:rPr>
              <w:t>67,818,400.00</w:t>
            </w:r>
          </w:p>
        </w:tc>
      </w:tr>
      <w:tr w14:paraId="427B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12" w:type="dxa"/>
            <w:vAlign w:val="center"/>
          </w:tcPr>
          <w:p w14:paraId="0053B860">
            <w:pPr>
              <w:jc w:val="center"/>
              <w:rPr>
                <w:rFonts w:ascii="Calibri" w:hAnsi="Calibri"/>
                <w:sz w:val="20"/>
                <w:szCs w:val="20"/>
              </w:rPr>
            </w:pPr>
            <w:r>
              <w:rPr>
                <w:rFonts w:hint="eastAsia" w:ascii="Calibri" w:hAnsi="Calibri"/>
                <w:sz w:val="20"/>
                <w:szCs w:val="20"/>
              </w:rPr>
              <w:t>合计</w:t>
            </w:r>
          </w:p>
        </w:tc>
        <w:tc>
          <w:tcPr>
            <w:tcW w:w="1808" w:type="dxa"/>
            <w:vAlign w:val="center"/>
          </w:tcPr>
          <w:p w14:paraId="33DAB57E">
            <w:pPr>
              <w:jc w:val="right"/>
              <w:rPr>
                <w:rFonts w:ascii="Calibri" w:hAnsi="Calibri"/>
                <w:sz w:val="20"/>
                <w:szCs w:val="20"/>
              </w:rPr>
            </w:pPr>
            <w:r>
              <w:rPr>
                <w:rFonts w:ascii="Calibri" w:hAnsi="Calibri"/>
                <w:sz w:val="20"/>
                <w:szCs w:val="20"/>
              </w:rPr>
              <w:t>300,279,281.09</w:t>
            </w:r>
          </w:p>
        </w:tc>
        <w:tc>
          <w:tcPr>
            <w:tcW w:w="1837" w:type="dxa"/>
            <w:vAlign w:val="center"/>
          </w:tcPr>
          <w:p w14:paraId="113B20AD">
            <w:pPr>
              <w:jc w:val="right"/>
              <w:rPr>
                <w:rFonts w:ascii="Calibri" w:hAnsi="Calibri"/>
                <w:sz w:val="20"/>
                <w:szCs w:val="20"/>
              </w:rPr>
            </w:pPr>
            <w:r>
              <w:rPr>
                <w:rFonts w:ascii="Calibri" w:hAnsi="Calibri"/>
                <w:sz w:val="20"/>
                <w:szCs w:val="20"/>
              </w:rPr>
              <w:t>95,415,029.06</w:t>
            </w:r>
          </w:p>
        </w:tc>
        <w:tc>
          <w:tcPr>
            <w:tcW w:w="1849" w:type="dxa"/>
            <w:vAlign w:val="center"/>
          </w:tcPr>
          <w:p w14:paraId="3D74A882">
            <w:pPr>
              <w:jc w:val="right"/>
              <w:rPr>
                <w:rFonts w:ascii="Calibri" w:hAnsi="Calibri"/>
                <w:sz w:val="20"/>
                <w:szCs w:val="20"/>
              </w:rPr>
            </w:pPr>
            <w:r>
              <w:rPr>
                <w:rFonts w:ascii="Calibri" w:hAnsi="Calibri"/>
                <w:sz w:val="20"/>
                <w:szCs w:val="20"/>
              </w:rPr>
              <w:t>307,584,407.99</w:t>
            </w:r>
          </w:p>
        </w:tc>
        <w:tc>
          <w:tcPr>
            <w:tcW w:w="1851" w:type="dxa"/>
            <w:vAlign w:val="center"/>
          </w:tcPr>
          <w:p w14:paraId="1AE6FB1C">
            <w:pPr>
              <w:jc w:val="right"/>
              <w:rPr>
                <w:rFonts w:ascii="Calibri" w:hAnsi="Calibri"/>
                <w:sz w:val="20"/>
                <w:szCs w:val="20"/>
              </w:rPr>
            </w:pPr>
            <w:r>
              <w:rPr>
                <w:rFonts w:ascii="Calibri" w:hAnsi="Calibri"/>
                <w:sz w:val="20"/>
                <w:szCs w:val="20"/>
              </w:rPr>
              <w:t>88,109,902.16</w:t>
            </w:r>
          </w:p>
        </w:tc>
      </w:tr>
    </w:tbl>
    <w:p w14:paraId="02B8BA76"/>
    <w:p w14:paraId="08D4471B">
      <w:pPr>
        <w:pStyle w:val="48"/>
      </w:pPr>
      <w:r>
        <w:rPr>
          <w:rFonts w:hint="eastAsia"/>
        </w:rPr>
        <w:t>其他说明，包括本期增减变动情况、变动原因说明：</w:t>
      </w:r>
    </w:p>
    <w:sdt>
      <w:sdtPr>
        <w:alias w:val="库存股情况说明"/>
        <w:tag w:val="_GBC_42d286884eca4cfab482f6fcc10c0c0b"/>
        <w:id w:val="-836531997"/>
        <w:placeholder>
          <w:docPart w:val="GBC22222222222222222222222222222"/>
        </w:placeholder>
      </w:sdtPr>
      <w:sdtContent>
        <w:p w14:paraId="63236042">
          <w:pPr>
            <w:spacing w:line="360" w:lineRule="auto"/>
            <w:ind w:firstLine="420" w:firstLineChars="200"/>
            <w:jc w:val="both"/>
          </w:pPr>
          <w:r>
            <w:rPr>
              <w:rFonts w:hint="eastAsia"/>
            </w:rPr>
            <w:t>回购股份本期增加额系公司于2025年10月17日召开第十一届董事会第十八次会议，审议通过了《关于以集中竞价交易方式回购公司股份方案的议案》，同意公司使用自有资金以集中竞价交易方式回购公司股份，回购后的股份将用于员工持股计划及/或股权激励；截止2025年12月31日，累计回购3,000,000股，金额27,596,629.06元。本期减少额系注销了根据《关于2024年第二期以集中竞价交易方式回购公司股份方案的议案》已回购的库存股23,191,245股，金额180,041,028.40元；本期实施员工持股计划减少库存股15,660,000股，金额127,543,379.59元。</w:t>
          </w:r>
        </w:p>
        <w:p w14:paraId="67902A1B">
          <w:pPr>
            <w:spacing w:line="360" w:lineRule="auto"/>
            <w:ind w:firstLine="420" w:firstLineChars="200"/>
            <w:jc w:val="both"/>
            <w:rPr>
              <w:b/>
            </w:rPr>
          </w:pPr>
          <w:r>
            <w:rPr>
              <w:rFonts w:hint="eastAsia"/>
            </w:rPr>
            <w:t>回购义务库存股本期增加额系根据本期员工持股计划，确认的股权激励回购义务67,818,400.00元。</w:t>
          </w:r>
        </w:p>
      </w:sdtContent>
    </w:sdt>
    <w:p w14:paraId="7D2A911D">
      <w:pPr>
        <w:pStyle w:val="48"/>
        <w:sectPr>
          <w:pgSz w:w="11906" w:h="16838"/>
          <w:pgMar w:top="1440" w:right="1797" w:bottom="1525" w:left="1276" w:header="856" w:footer="992" w:gutter="0"/>
          <w:cols w:space="425" w:num="1"/>
          <w:docGrid w:linePitch="312" w:charSpace="0"/>
        </w:sectPr>
      </w:pPr>
    </w:p>
    <w:p w14:paraId="7E752A1A">
      <w:pPr>
        <w:pStyle w:val="48"/>
      </w:pPr>
    </w:p>
    <w:p w14:paraId="30CCA006">
      <w:pPr>
        <w:pStyle w:val="4"/>
        <w:numPr>
          <w:ilvl w:val="0"/>
          <w:numId w:val="61"/>
        </w:numPr>
        <w:tabs>
          <w:tab w:val="left" w:pos="504"/>
        </w:tabs>
        <w:rPr>
          <w:rFonts w:ascii="宋体" w:hAnsi="宋体"/>
          <w:szCs w:val="21"/>
        </w:rPr>
      </w:pPr>
      <w:bookmarkStart w:id="350" w:name="_Hlk10537776"/>
      <w:bookmarkEnd w:id="350"/>
      <w:bookmarkStart w:id="351" w:name="_Hlk24027351"/>
      <w:r>
        <w:rPr>
          <w:szCs w:val="21"/>
        </w:rPr>
        <w:t>其他综</w:t>
      </w:r>
      <w:r>
        <w:rPr>
          <w:rFonts w:hint="eastAsia" w:ascii="宋体" w:hAnsi="宋体"/>
          <w:szCs w:val="21"/>
        </w:rPr>
        <w:t>合收益</w:t>
      </w:r>
    </w:p>
    <w:p w14:paraId="51F4CF2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p w14:paraId="358C37E2">
      <w:pPr>
        <w:jc w:val="right"/>
      </w:pPr>
      <w:r>
        <w:rPr>
          <w:rFonts w:hint="eastAsia"/>
        </w:rPr>
        <w:t>单位：</w:t>
      </w:r>
      <w:sdt>
        <w:sdtPr>
          <w:rPr>
            <w:rFonts w:hint="eastAsia"/>
          </w:rPr>
          <w:alias w:val="单位：财务附注：其他综合收益情况"/>
          <w:tag w:val="_GBC_e409bf7299734ac38578b7aeaafe4b22"/>
          <w:id w:val="-1069812468"/>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w:t>
      </w:r>
      <w:r>
        <w:rPr>
          <w:rFonts w:hint="eastAsia"/>
        </w:rPr>
        <w:t>币种：</w:t>
      </w:r>
      <w:sdt>
        <w:sdtPr>
          <w:rPr>
            <w:rFonts w:hint="eastAsia"/>
          </w:rPr>
          <w:alias w:val="币种：财务附注：其他综合收益情况"/>
          <w:tag w:val="_GBC_27d655d96e764a21a47eae18f25945dc"/>
          <w:id w:val="101589450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9"/>
        <w:tblW w:w="15234"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1613"/>
        <w:gridCol w:w="1613"/>
        <w:gridCol w:w="1613"/>
        <w:gridCol w:w="1613"/>
        <w:gridCol w:w="1613"/>
        <w:gridCol w:w="1613"/>
        <w:gridCol w:w="1624"/>
        <w:gridCol w:w="1613"/>
      </w:tblGrid>
      <w:tr w14:paraId="2057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sdt>
          <w:sdtPr>
            <w:tag w:val="_PLD_b9ff3615ccfb4fb8b5b240bdfb50f58f"/>
            <w:id w:val="-1299453855"/>
          </w:sdtPr>
          <w:sdtContent>
            <w:tc>
              <w:tcPr>
                <w:tcW w:w="2319" w:type="dxa"/>
                <w:vMerge w:val="restart"/>
                <w:vAlign w:val="center"/>
              </w:tcPr>
              <w:p w14:paraId="48798840">
                <w:pPr>
                  <w:jc w:val="center"/>
                </w:pPr>
                <w:r>
                  <w:rPr>
                    <w:rFonts w:hint="eastAsia"/>
                  </w:rPr>
                  <w:t>项目</w:t>
                </w:r>
              </w:p>
            </w:tc>
          </w:sdtContent>
        </w:sdt>
        <w:sdt>
          <w:sdtPr>
            <w:tag w:val="_PLD_c452eb3cb7084e41ba725641dbad27ab"/>
            <w:id w:val="940567022"/>
          </w:sdtPr>
          <w:sdtContent>
            <w:tc>
              <w:tcPr>
                <w:tcW w:w="1613" w:type="dxa"/>
                <w:vMerge w:val="restart"/>
                <w:vAlign w:val="center"/>
              </w:tcPr>
              <w:p w14:paraId="53B16A80">
                <w:pPr>
                  <w:jc w:val="center"/>
                </w:pPr>
                <w:r>
                  <w:rPr>
                    <w:rFonts w:hint="eastAsia"/>
                  </w:rPr>
                  <w:t>期初</w:t>
                </w:r>
              </w:p>
              <w:p w14:paraId="7B2EA218">
                <w:pPr>
                  <w:jc w:val="center"/>
                </w:pPr>
                <w:r>
                  <w:rPr>
                    <w:rFonts w:hint="eastAsia"/>
                  </w:rPr>
                  <w:t>余额</w:t>
                </w:r>
              </w:p>
            </w:tc>
          </w:sdtContent>
        </w:sdt>
        <w:sdt>
          <w:sdtPr>
            <w:tag w:val="_PLD_c4c67158aa744717a253a7b51b99ed00"/>
            <w:id w:val="-1355725021"/>
          </w:sdtPr>
          <w:sdtContent>
            <w:tc>
              <w:tcPr>
                <w:tcW w:w="9689" w:type="dxa"/>
                <w:gridSpan w:val="6"/>
                <w:vAlign w:val="center"/>
              </w:tcPr>
              <w:p w14:paraId="5A1D9E9F">
                <w:pPr>
                  <w:jc w:val="center"/>
                </w:pPr>
                <w:r>
                  <w:rPr>
                    <w:rFonts w:hint="eastAsia"/>
                  </w:rPr>
                  <w:t>本期发生金额</w:t>
                </w:r>
              </w:p>
            </w:tc>
          </w:sdtContent>
        </w:sdt>
        <w:sdt>
          <w:sdtPr>
            <w:tag w:val="_PLD_2fcdc30e089b48d0af01eff4e6c0c7ad"/>
            <w:id w:val="1601366959"/>
          </w:sdtPr>
          <w:sdtContent>
            <w:tc>
              <w:tcPr>
                <w:tcW w:w="1613" w:type="dxa"/>
                <w:vMerge w:val="restart"/>
                <w:vAlign w:val="center"/>
              </w:tcPr>
              <w:p w14:paraId="5253F3C9">
                <w:pPr>
                  <w:jc w:val="center"/>
                </w:pPr>
                <w:r>
                  <w:rPr>
                    <w:rFonts w:hint="eastAsia"/>
                  </w:rPr>
                  <w:t>期末</w:t>
                </w:r>
              </w:p>
              <w:p w14:paraId="4D08652A">
                <w:pPr>
                  <w:jc w:val="center"/>
                </w:pPr>
                <w:r>
                  <w:rPr>
                    <w:rFonts w:hint="eastAsia"/>
                  </w:rPr>
                  <w:t>余额</w:t>
                </w:r>
              </w:p>
            </w:tc>
          </w:sdtContent>
        </w:sdt>
      </w:tr>
      <w:tr w14:paraId="63C4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319" w:type="dxa"/>
            <w:vMerge w:val="continue"/>
            <w:vAlign w:val="center"/>
          </w:tcPr>
          <w:p w14:paraId="7B459E6F">
            <w:pPr>
              <w:jc w:val="center"/>
            </w:pPr>
          </w:p>
        </w:tc>
        <w:tc>
          <w:tcPr>
            <w:tcW w:w="1613" w:type="dxa"/>
            <w:vMerge w:val="continue"/>
            <w:vAlign w:val="center"/>
          </w:tcPr>
          <w:p w14:paraId="09CA19A1">
            <w:pPr>
              <w:jc w:val="center"/>
            </w:pPr>
          </w:p>
        </w:tc>
        <w:sdt>
          <w:sdtPr>
            <w:tag w:val="_PLD_08b0381418824e1685e4223515aed1f1"/>
            <w:id w:val="317545742"/>
          </w:sdtPr>
          <w:sdtContent>
            <w:tc>
              <w:tcPr>
                <w:tcW w:w="1613" w:type="dxa"/>
                <w:vAlign w:val="center"/>
              </w:tcPr>
              <w:p w14:paraId="40DAF05B">
                <w:pPr>
                  <w:jc w:val="center"/>
                </w:pPr>
                <w:r>
                  <w:rPr>
                    <w:rFonts w:hint="eastAsia"/>
                  </w:rPr>
                  <w:t>本期所得税前发生额</w:t>
                </w:r>
              </w:p>
            </w:tc>
          </w:sdtContent>
        </w:sdt>
        <w:sdt>
          <w:sdtPr>
            <w:tag w:val="_PLD_b9b4a9789ab94b46aa682fa396296a6f"/>
            <w:id w:val="1221330064"/>
          </w:sdtPr>
          <w:sdtContent>
            <w:tc>
              <w:tcPr>
                <w:tcW w:w="1613" w:type="dxa"/>
                <w:vAlign w:val="center"/>
              </w:tcPr>
              <w:p w14:paraId="1FC98950">
                <w:pPr>
                  <w:jc w:val="center"/>
                </w:pPr>
                <w:r>
                  <w:rPr>
                    <w:rFonts w:hint="eastAsia"/>
                  </w:rPr>
                  <w:t>减：前期计入其他综合收益当期转入损益</w:t>
                </w:r>
              </w:p>
            </w:tc>
          </w:sdtContent>
        </w:sdt>
        <w:tc>
          <w:tcPr>
            <w:tcW w:w="1613" w:type="dxa"/>
            <w:vAlign w:val="center"/>
          </w:tcPr>
          <w:sdt>
            <w:sdtPr>
              <w:tag w:val="_PLD_a38fa46c72bd4d5dbd427d2107ab58cc"/>
              <w:id w:val="1223718045"/>
            </w:sdtPr>
            <w:sdtContent>
              <w:p w14:paraId="1E1C7A6E">
                <w:pPr>
                  <w:jc w:val="center"/>
                </w:pPr>
                <w:r>
                  <w:rPr>
                    <w:rFonts w:hint="eastAsia"/>
                  </w:rPr>
                  <w:t>减：前期计入其他综合收益当期转入留存收益</w:t>
                </w:r>
              </w:p>
            </w:sdtContent>
          </w:sdt>
        </w:tc>
        <w:sdt>
          <w:sdtPr>
            <w:tag w:val="_PLD_3aa0b45624ce4714ba49e23b657915b8"/>
            <w:id w:val="-44766574"/>
          </w:sdtPr>
          <w:sdtContent>
            <w:tc>
              <w:tcPr>
                <w:tcW w:w="1613" w:type="dxa"/>
                <w:vAlign w:val="center"/>
              </w:tcPr>
              <w:p w14:paraId="691D3B8D">
                <w:pPr>
                  <w:jc w:val="center"/>
                </w:pPr>
                <w:r>
                  <w:rPr>
                    <w:rFonts w:hint="eastAsia"/>
                  </w:rPr>
                  <w:t>减：所得税费用</w:t>
                </w:r>
              </w:p>
            </w:tc>
          </w:sdtContent>
        </w:sdt>
        <w:sdt>
          <w:sdtPr>
            <w:tag w:val="_PLD_8b3cddc1172740f1a089204a9d0cbe76"/>
            <w:id w:val="1602691790"/>
          </w:sdtPr>
          <w:sdtContent>
            <w:tc>
              <w:tcPr>
                <w:tcW w:w="1613" w:type="dxa"/>
                <w:vAlign w:val="center"/>
              </w:tcPr>
              <w:p w14:paraId="133E26AE">
                <w:pPr>
                  <w:jc w:val="center"/>
                </w:pPr>
                <w:r>
                  <w:rPr>
                    <w:rFonts w:hint="eastAsia"/>
                  </w:rPr>
                  <w:t>税后归属于母公司</w:t>
                </w:r>
              </w:p>
            </w:tc>
          </w:sdtContent>
        </w:sdt>
        <w:sdt>
          <w:sdtPr>
            <w:tag w:val="_PLD_addbe2b10c3b49449f4532c4ee8679a0"/>
            <w:id w:val="2129819961"/>
          </w:sdtPr>
          <w:sdtContent>
            <w:tc>
              <w:tcPr>
                <w:tcW w:w="1624" w:type="dxa"/>
                <w:vAlign w:val="center"/>
              </w:tcPr>
              <w:p w14:paraId="0FCEC802">
                <w:pPr>
                  <w:jc w:val="center"/>
                </w:pPr>
                <w:r>
                  <w:rPr>
                    <w:rFonts w:hint="eastAsia"/>
                  </w:rPr>
                  <w:t>税后归属于少数股东</w:t>
                </w:r>
              </w:p>
            </w:tc>
          </w:sdtContent>
        </w:sdt>
        <w:tc>
          <w:tcPr>
            <w:tcW w:w="1613" w:type="dxa"/>
            <w:vMerge w:val="continue"/>
            <w:vAlign w:val="center"/>
          </w:tcPr>
          <w:p w14:paraId="628354C4">
            <w:pPr>
              <w:jc w:val="center"/>
            </w:pPr>
          </w:p>
        </w:tc>
      </w:tr>
      <w:tr w14:paraId="7462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sdt>
          <w:sdtPr>
            <w:tag w:val="_PLD_b96033963bb045d6b35757f869c2a5dc"/>
            <w:id w:val="-747193953"/>
          </w:sdtPr>
          <w:sdtContent>
            <w:tc>
              <w:tcPr>
                <w:tcW w:w="2319" w:type="dxa"/>
                <w:vAlign w:val="center"/>
              </w:tcPr>
              <w:p w14:paraId="39E2B9F4">
                <w:r>
                  <w:rPr>
                    <w:rFonts w:hint="eastAsia"/>
                  </w:rPr>
                  <w:t>一、不能重分类进损益的其他综合收益</w:t>
                </w:r>
              </w:p>
            </w:tc>
          </w:sdtContent>
        </w:sdt>
        <w:tc>
          <w:tcPr>
            <w:tcW w:w="1613" w:type="dxa"/>
            <w:vAlign w:val="center"/>
          </w:tcPr>
          <w:p w14:paraId="6C53C5E3">
            <w:pPr>
              <w:jc w:val="right"/>
            </w:pPr>
          </w:p>
        </w:tc>
        <w:tc>
          <w:tcPr>
            <w:tcW w:w="1613" w:type="dxa"/>
            <w:vAlign w:val="center"/>
          </w:tcPr>
          <w:p w14:paraId="228856F2">
            <w:pPr>
              <w:jc w:val="right"/>
            </w:pPr>
            <w:r>
              <w:rPr>
                <w:rFonts w:hint="eastAsia"/>
              </w:rPr>
              <w:t>3,452,408.36</w:t>
            </w:r>
          </w:p>
        </w:tc>
        <w:tc>
          <w:tcPr>
            <w:tcW w:w="1613" w:type="dxa"/>
            <w:vAlign w:val="center"/>
          </w:tcPr>
          <w:p w14:paraId="78CAD29E">
            <w:pPr>
              <w:jc w:val="right"/>
            </w:pPr>
          </w:p>
        </w:tc>
        <w:tc>
          <w:tcPr>
            <w:tcW w:w="1613" w:type="dxa"/>
            <w:vAlign w:val="center"/>
          </w:tcPr>
          <w:p w14:paraId="5D4FEBB8">
            <w:pPr>
              <w:jc w:val="right"/>
            </w:pPr>
          </w:p>
        </w:tc>
        <w:tc>
          <w:tcPr>
            <w:tcW w:w="1613" w:type="dxa"/>
            <w:vAlign w:val="center"/>
          </w:tcPr>
          <w:p w14:paraId="54D59BB2">
            <w:pPr>
              <w:jc w:val="right"/>
            </w:pPr>
            <w:r>
              <w:rPr>
                <w:rFonts w:hint="eastAsia"/>
              </w:rPr>
              <w:t>374,005.49</w:t>
            </w:r>
          </w:p>
        </w:tc>
        <w:tc>
          <w:tcPr>
            <w:tcW w:w="1613" w:type="dxa"/>
            <w:vAlign w:val="center"/>
          </w:tcPr>
          <w:p w14:paraId="2D9F7550">
            <w:pPr>
              <w:jc w:val="right"/>
            </w:pPr>
            <w:r>
              <w:t>3,078,402.87</w:t>
            </w:r>
          </w:p>
        </w:tc>
        <w:tc>
          <w:tcPr>
            <w:tcW w:w="1624" w:type="dxa"/>
            <w:vAlign w:val="center"/>
          </w:tcPr>
          <w:p w14:paraId="2DA82175">
            <w:pPr>
              <w:jc w:val="right"/>
            </w:pPr>
          </w:p>
        </w:tc>
        <w:tc>
          <w:tcPr>
            <w:tcW w:w="1613" w:type="dxa"/>
            <w:vAlign w:val="center"/>
          </w:tcPr>
          <w:p w14:paraId="7A0BF884">
            <w:pPr>
              <w:jc w:val="right"/>
            </w:pPr>
            <w:r>
              <w:rPr>
                <w:rFonts w:hint="eastAsia"/>
              </w:rPr>
              <w:t>3,078,402.87</w:t>
            </w:r>
          </w:p>
        </w:tc>
      </w:tr>
      <w:tr w14:paraId="7DBE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sdt>
          <w:sdtPr>
            <w:tag w:val="_PLD_7b42172901564b6ab8ed88abade0e637"/>
            <w:id w:val="1628277613"/>
          </w:sdtPr>
          <w:sdtContent>
            <w:tc>
              <w:tcPr>
                <w:tcW w:w="2319" w:type="dxa"/>
                <w:vAlign w:val="center"/>
              </w:tcPr>
              <w:p w14:paraId="2789CAF0">
                <w:r>
                  <w:rPr>
                    <w:rFonts w:hint="eastAsia"/>
                  </w:rPr>
                  <w:t>其中：重新计量设定受益计划变动额</w:t>
                </w:r>
              </w:p>
            </w:tc>
          </w:sdtContent>
        </w:sdt>
        <w:tc>
          <w:tcPr>
            <w:tcW w:w="1613" w:type="dxa"/>
            <w:vAlign w:val="center"/>
          </w:tcPr>
          <w:p w14:paraId="35E32C0A">
            <w:pPr>
              <w:jc w:val="right"/>
            </w:pPr>
          </w:p>
        </w:tc>
        <w:tc>
          <w:tcPr>
            <w:tcW w:w="1613" w:type="dxa"/>
            <w:vAlign w:val="center"/>
          </w:tcPr>
          <w:p w14:paraId="41C46144">
            <w:pPr>
              <w:jc w:val="right"/>
            </w:pPr>
          </w:p>
        </w:tc>
        <w:tc>
          <w:tcPr>
            <w:tcW w:w="1613" w:type="dxa"/>
            <w:vAlign w:val="center"/>
          </w:tcPr>
          <w:p w14:paraId="255F6021">
            <w:pPr>
              <w:jc w:val="right"/>
            </w:pPr>
          </w:p>
        </w:tc>
        <w:tc>
          <w:tcPr>
            <w:tcW w:w="1613" w:type="dxa"/>
            <w:vAlign w:val="center"/>
          </w:tcPr>
          <w:p w14:paraId="46FD7392">
            <w:pPr>
              <w:jc w:val="right"/>
            </w:pPr>
          </w:p>
        </w:tc>
        <w:tc>
          <w:tcPr>
            <w:tcW w:w="1613" w:type="dxa"/>
            <w:vAlign w:val="center"/>
          </w:tcPr>
          <w:p w14:paraId="6AED588A">
            <w:pPr>
              <w:jc w:val="right"/>
            </w:pPr>
          </w:p>
        </w:tc>
        <w:tc>
          <w:tcPr>
            <w:tcW w:w="1613" w:type="dxa"/>
            <w:vAlign w:val="center"/>
          </w:tcPr>
          <w:p w14:paraId="1B9311B2">
            <w:pPr>
              <w:jc w:val="right"/>
            </w:pPr>
          </w:p>
        </w:tc>
        <w:tc>
          <w:tcPr>
            <w:tcW w:w="1624" w:type="dxa"/>
            <w:vAlign w:val="center"/>
          </w:tcPr>
          <w:p w14:paraId="2EAFFCC9">
            <w:pPr>
              <w:jc w:val="right"/>
            </w:pPr>
          </w:p>
        </w:tc>
        <w:tc>
          <w:tcPr>
            <w:tcW w:w="1613" w:type="dxa"/>
            <w:vAlign w:val="center"/>
          </w:tcPr>
          <w:p w14:paraId="4C3D43F2">
            <w:pPr>
              <w:jc w:val="right"/>
            </w:pPr>
          </w:p>
        </w:tc>
      </w:tr>
      <w:tr w14:paraId="3E91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sdt>
          <w:sdtPr>
            <w:tag w:val="_PLD_8ef94ea8e8c64a679a9c004782dc0d42"/>
            <w:id w:val="741301098"/>
          </w:sdtPr>
          <w:sdtContent>
            <w:tc>
              <w:tcPr>
                <w:tcW w:w="2319" w:type="dxa"/>
                <w:vAlign w:val="center"/>
              </w:tcPr>
              <w:p w14:paraId="5C0CCEA2">
                <w:pPr>
                  <w:ind w:firstLine="210" w:firstLineChars="100"/>
                </w:pPr>
                <w:r>
                  <w:rPr>
                    <w:rFonts w:hint="eastAsia"/>
                  </w:rPr>
                  <w:t>权益法下不能转损益的其他综合收益</w:t>
                </w:r>
              </w:p>
            </w:tc>
          </w:sdtContent>
        </w:sdt>
        <w:tc>
          <w:tcPr>
            <w:tcW w:w="1613" w:type="dxa"/>
            <w:vAlign w:val="center"/>
          </w:tcPr>
          <w:p w14:paraId="3DC92D87">
            <w:pPr>
              <w:jc w:val="right"/>
            </w:pPr>
          </w:p>
        </w:tc>
        <w:tc>
          <w:tcPr>
            <w:tcW w:w="1613" w:type="dxa"/>
            <w:vAlign w:val="center"/>
          </w:tcPr>
          <w:p w14:paraId="387EEBED">
            <w:pPr>
              <w:jc w:val="right"/>
            </w:pPr>
            <w:r>
              <w:rPr>
                <w:rFonts w:hint="eastAsia"/>
              </w:rPr>
              <w:t>959,038.40</w:t>
            </w:r>
          </w:p>
        </w:tc>
        <w:tc>
          <w:tcPr>
            <w:tcW w:w="1613" w:type="dxa"/>
            <w:vAlign w:val="center"/>
          </w:tcPr>
          <w:p w14:paraId="1BE7929C">
            <w:pPr>
              <w:jc w:val="right"/>
            </w:pPr>
          </w:p>
        </w:tc>
        <w:tc>
          <w:tcPr>
            <w:tcW w:w="1613" w:type="dxa"/>
            <w:vAlign w:val="center"/>
          </w:tcPr>
          <w:p w14:paraId="31193AEE">
            <w:pPr>
              <w:jc w:val="right"/>
            </w:pPr>
          </w:p>
        </w:tc>
        <w:tc>
          <w:tcPr>
            <w:tcW w:w="1613" w:type="dxa"/>
            <w:vAlign w:val="center"/>
          </w:tcPr>
          <w:p w14:paraId="0FAB551C">
            <w:pPr>
              <w:jc w:val="right"/>
            </w:pPr>
          </w:p>
        </w:tc>
        <w:tc>
          <w:tcPr>
            <w:tcW w:w="1613" w:type="dxa"/>
            <w:vAlign w:val="center"/>
          </w:tcPr>
          <w:p w14:paraId="4D53A778">
            <w:pPr>
              <w:jc w:val="right"/>
            </w:pPr>
            <w:r>
              <w:t>959,038.40</w:t>
            </w:r>
          </w:p>
        </w:tc>
        <w:tc>
          <w:tcPr>
            <w:tcW w:w="1624" w:type="dxa"/>
            <w:vAlign w:val="center"/>
          </w:tcPr>
          <w:p w14:paraId="4038C42F">
            <w:pPr>
              <w:jc w:val="right"/>
            </w:pPr>
          </w:p>
        </w:tc>
        <w:tc>
          <w:tcPr>
            <w:tcW w:w="1613" w:type="dxa"/>
            <w:vAlign w:val="center"/>
          </w:tcPr>
          <w:p w14:paraId="01FDBD9D">
            <w:pPr>
              <w:jc w:val="right"/>
            </w:pPr>
            <w:r>
              <w:rPr>
                <w:rFonts w:hint="eastAsia"/>
              </w:rPr>
              <w:t>959,038.40</w:t>
            </w:r>
          </w:p>
        </w:tc>
      </w:tr>
      <w:tr w14:paraId="7374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sdt>
          <w:sdtPr>
            <w:tag w:val="_PLD_071a59f937d84467bd4e99d5ed8b0958"/>
            <w:id w:val="911282139"/>
          </w:sdtPr>
          <w:sdtContent>
            <w:tc>
              <w:tcPr>
                <w:tcW w:w="2319" w:type="dxa"/>
                <w:vAlign w:val="center"/>
              </w:tcPr>
              <w:p w14:paraId="7E6A2D62">
                <w:pPr>
                  <w:ind w:firstLine="210" w:firstLineChars="100"/>
                </w:pPr>
                <w:r>
                  <w:rPr>
                    <w:rFonts w:hint="eastAsia"/>
                  </w:rPr>
                  <w:t>其他权益工具投资公允价值变动</w:t>
                </w:r>
              </w:p>
            </w:tc>
          </w:sdtContent>
        </w:sdt>
        <w:tc>
          <w:tcPr>
            <w:tcW w:w="1613" w:type="dxa"/>
            <w:vAlign w:val="center"/>
          </w:tcPr>
          <w:p w14:paraId="0D19DB46">
            <w:pPr>
              <w:jc w:val="right"/>
            </w:pPr>
          </w:p>
        </w:tc>
        <w:tc>
          <w:tcPr>
            <w:tcW w:w="1613" w:type="dxa"/>
            <w:vAlign w:val="center"/>
          </w:tcPr>
          <w:p w14:paraId="537730A8">
            <w:pPr>
              <w:jc w:val="right"/>
            </w:pPr>
            <w:r>
              <w:rPr>
                <w:rFonts w:hint="eastAsia"/>
              </w:rPr>
              <w:t>2,493,369.96</w:t>
            </w:r>
          </w:p>
        </w:tc>
        <w:tc>
          <w:tcPr>
            <w:tcW w:w="1613" w:type="dxa"/>
            <w:vAlign w:val="center"/>
          </w:tcPr>
          <w:p w14:paraId="5B771002">
            <w:pPr>
              <w:jc w:val="right"/>
            </w:pPr>
          </w:p>
        </w:tc>
        <w:tc>
          <w:tcPr>
            <w:tcW w:w="1613" w:type="dxa"/>
            <w:vAlign w:val="center"/>
          </w:tcPr>
          <w:p w14:paraId="2A1C6AC2">
            <w:pPr>
              <w:jc w:val="right"/>
            </w:pPr>
          </w:p>
        </w:tc>
        <w:tc>
          <w:tcPr>
            <w:tcW w:w="1613" w:type="dxa"/>
            <w:vAlign w:val="center"/>
          </w:tcPr>
          <w:p w14:paraId="7D5BAFBA">
            <w:pPr>
              <w:jc w:val="right"/>
            </w:pPr>
            <w:r>
              <w:rPr>
                <w:rFonts w:hint="eastAsia"/>
              </w:rPr>
              <w:t>374,005.49</w:t>
            </w:r>
          </w:p>
        </w:tc>
        <w:tc>
          <w:tcPr>
            <w:tcW w:w="1613" w:type="dxa"/>
            <w:vAlign w:val="center"/>
          </w:tcPr>
          <w:p w14:paraId="62F615AE">
            <w:pPr>
              <w:jc w:val="right"/>
            </w:pPr>
            <w:r>
              <w:t>2,119,364.47</w:t>
            </w:r>
          </w:p>
        </w:tc>
        <w:tc>
          <w:tcPr>
            <w:tcW w:w="1624" w:type="dxa"/>
            <w:vAlign w:val="center"/>
          </w:tcPr>
          <w:p w14:paraId="67E0E21C">
            <w:pPr>
              <w:jc w:val="right"/>
            </w:pPr>
          </w:p>
        </w:tc>
        <w:tc>
          <w:tcPr>
            <w:tcW w:w="1613" w:type="dxa"/>
            <w:vAlign w:val="center"/>
          </w:tcPr>
          <w:p w14:paraId="435EC7EF">
            <w:pPr>
              <w:jc w:val="right"/>
            </w:pPr>
            <w:r>
              <w:rPr>
                <w:rFonts w:hint="eastAsia"/>
              </w:rPr>
              <w:t>2,119,364.47</w:t>
            </w:r>
          </w:p>
        </w:tc>
      </w:tr>
      <w:tr w14:paraId="1637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sdt>
          <w:sdtPr>
            <w:tag w:val="_PLD_cb9214acfda8482a8c8491881c32ef7c"/>
            <w:id w:val="-1587910451"/>
          </w:sdtPr>
          <w:sdtContent>
            <w:tc>
              <w:tcPr>
                <w:tcW w:w="2319" w:type="dxa"/>
                <w:vAlign w:val="center"/>
              </w:tcPr>
              <w:p w14:paraId="5964331A">
                <w:pPr>
                  <w:ind w:firstLine="210" w:firstLineChars="100"/>
                </w:pPr>
                <w:r>
                  <w:rPr>
                    <w:rFonts w:hint="eastAsia"/>
                  </w:rPr>
                  <w:t>企业自身信用风险公允价值变动</w:t>
                </w:r>
              </w:p>
            </w:tc>
          </w:sdtContent>
        </w:sdt>
        <w:tc>
          <w:tcPr>
            <w:tcW w:w="1613" w:type="dxa"/>
            <w:vAlign w:val="center"/>
          </w:tcPr>
          <w:p w14:paraId="64409C08">
            <w:pPr>
              <w:jc w:val="right"/>
            </w:pPr>
          </w:p>
        </w:tc>
        <w:tc>
          <w:tcPr>
            <w:tcW w:w="1613" w:type="dxa"/>
            <w:vAlign w:val="center"/>
          </w:tcPr>
          <w:p w14:paraId="65C98D25">
            <w:pPr>
              <w:jc w:val="right"/>
            </w:pPr>
          </w:p>
        </w:tc>
        <w:tc>
          <w:tcPr>
            <w:tcW w:w="1613" w:type="dxa"/>
            <w:vAlign w:val="center"/>
          </w:tcPr>
          <w:p w14:paraId="2A1D6933">
            <w:pPr>
              <w:jc w:val="right"/>
            </w:pPr>
          </w:p>
        </w:tc>
        <w:tc>
          <w:tcPr>
            <w:tcW w:w="1613" w:type="dxa"/>
            <w:vAlign w:val="center"/>
          </w:tcPr>
          <w:p w14:paraId="10E1D9B2">
            <w:pPr>
              <w:jc w:val="right"/>
            </w:pPr>
          </w:p>
        </w:tc>
        <w:tc>
          <w:tcPr>
            <w:tcW w:w="1613" w:type="dxa"/>
            <w:vAlign w:val="center"/>
          </w:tcPr>
          <w:p w14:paraId="6791C4E8">
            <w:pPr>
              <w:jc w:val="right"/>
            </w:pPr>
          </w:p>
        </w:tc>
        <w:tc>
          <w:tcPr>
            <w:tcW w:w="1613" w:type="dxa"/>
            <w:vAlign w:val="center"/>
          </w:tcPr>
          <w:p w14:paraId="3CEA506D">
            <w:pPr>
              <w:jc w:val="right"/>
            </w:pPr>
          </w:p>
        </w:tc>
        <w:tc>
          <w:tcPr>
            <w:tcW w:w="1624" w:type="dxa"/>
            <w:vAlign w:val="center"/>
          </w:tcPr>
          <w:p w14:paraId="52A89C0A">
            <w:pPr>
              <w:jc w:val="right"/>
            </w:pPr>
          </w:p>
        </w:tc>
        <w:tc>
          <w:tcPr>
            <w:tcW w:w="1613" w:type="dxa"/>
            <w:vAlign w:val="center"/>
          </w:tcPr>
          <w:p w14:paraId="3CCCD093">
            <w:pPr>
              <w:jc w:val="right"/>
            </w:pPr>
          </w:p>
        </w:tc>
      </w:tr>
      <w:tr w14:paraId="7003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sdt>
          <w:sdtPr>
            <w:tag w:val="_PLD_df0889046b734fe196430c1e5cdf2719"/>
            <w:id w:val="396013920"/>
          </w:sdtPr>
          <w:sdtContent>
            <w:tc>
              <w:tcPr>
                <w:tcW w:w="2319" w:type="dxa"/>
                <w:vAlign w:val="center"/>
              </w:tcPr>
              <w:p w14:paraId="451C8E49">
                <w:r>
                  <w:rPr>
                    <w:rFonts w:hint="eastAsia"/>
                  </w:rPr>
                  <w:t>二、将重分类进损益的其他综合收益</w:t>
                </w:r>
              </w:p>
            </w:tc>
          </w:sdtContent>
        </w:sdt>
        <w:tc>
          <w:tcPr>
            <w:tcW w:w="1613" w:type="dxa"/>
            <w:vAlign w:val="center"/>
          </w:tcPr>
          <w:p w14:paraId="1FDE4388">
            <w:pPr>
              <w:jc w:val="right"/>
            </w:pPr>
            <w:r>
              <w:rPr>
                <w:rFonts w:hint="eastAsia"/>
              </w:rPr>
              <w:t>6,910,223.58</w:t>
            </w:r>
          </w:p>
        </w:tc>
        <w:tc>
          <w:tcPr>
            <w:tcW w:w="1613" w:type="dxa"/>
            <w:vAlign w:val="center"/>
          </w:tcPr>
          <w:p w14:paraId="712A298D">
            <w:pPr>
              <w:jc w:val="right"/>
            </w:pPr>
            <w:r>
              <w:rPr>
                <w:rFonts w:hint="eastAsia"/>
              </w:rPr>
              <w:t>682,157.98</w:t>
            </w:r>
          </w:p>
        </w:tc>
        <w:tc>
          <w:tcPr>
            <w:tcW w:w="1613" w:type="dxa"/>
            <w:vAlign w:val="center"/>
          </w:tcPr>
          <w:p w14:paraId="313DB180">
            <w:pPr>
              <w:jc w:val="right"/>
            </w:pPr>
          </w:p>
        </w:tc>
        <w:tc>
          <w:tcPr>
            <w:tcW w:w="1613" w:type="dxa"/>
            <w:vAlign w:val="center"/>
          </w:tcPr>
          <w:p w14:paraId="0217F04D">
            <w:pPr>
              <w:jc w:val="right"/>
            </w:pPr>
          </w:p>
        </w:tc>
        <w:tc>
          <w:tcPr>
            <w:tcW w:w="1613" w:type="dxa"/>
            <w:vAlign w:val="center"/>
          </w:tcPr>
          <w:p w14:paraId="5F3B944E">
            <w:pPr>
              <w:jc w:val="right"/>
            </w:pPr>
          </w:p>
        </w:tc>
        <w:tc>
          <w:tcPr>
            <w:tcW w:w="1613" w:type="dxa"/>
            <w:vAlign w:val="center"/>
          </w:tcPr>
          <w:p w14:paraId="7D1E4444">
            <w:pPr>
              <w:jc w:val="right"/>
            </w:pPr>
            <w:r>
              <w:t>682,157.98</w:t>
            </w:r>
          </w:p>
        </w:tc>
        <w:tc>
          <w:tcPr>
            <w:tcW w:w="1624" w:type="dxa"/>
            <w:vAlign w:val="center"/>
          </w:tcPr>
          <w:p w14:paraId="1DCE747B">
            <w:pPr>
              <w:jc w:val="right"/>
            </w:pPr>
          </w:p>
        </w:tc>
        <w:tc>
          <w:tcPr>
            <w:tcW w:w="1613" w:type="dxa"/>
            <w:vAlign w:val="center"/>
          </w:tcPr>
          <w:p w14:paraId="724DA321">
            <w:pPr>
              <w:jc w:val="right"/>
            </w:pPr>
            <w:r>
              <w:rPr>
                <w:rFonts w:hint="eastAsia"/>
              </w:rPr>
              <w:t>7,592,381.56</w:t>
            </w:r>
          </w:p>
        </w:tc>
      </w:tr>
      <w:tr w14:paraId="70A9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sdt>
          <w:sdtPr>
            <w:tag w:val="_PLD_8f0e21d82f454f408229c1cb57e09699"/>
            <w:id w:val="514816376"/>
          </w:sdtPr>
          <w:sdtContent>
            <w:tc>
              <w:tcPr>
                <w:tcW w:w="2319" w:type="dxa"/>
                <w:vAlign w:val="center"/>
              </w:tcPr>
              <w:p w14:paraId="05D5DBE2">
                <w:r>
                  <w:rPr>
                    <w:rFonts w:hint="eastAsia"/>
                  </w:rPr>
                  <w:t>其中：权益法下可转损益的其他综合收益</w:t>
                </w:r>
              </w:p>
            </w:tc>
          </w:sdtContent>
        </w:sdt>
        <w:tc>
          <w:tcPr>
            <w:tcW w:w="1613" w:type="dxa"/>
            <w:vAlign w:val="center"/>
          </w:tcPr>
          <w:p w14:paraId="1B840F6C">
            <w:pPr>
              <w:jc w:val="right"/>
            </w:pPr>
          </w:p>
        </w:tc>
        <w:tc>
          <w:tcPr>
            <w:tcW w:w="1613" w:type="dxa"/>
            <w:vAlign w:val="center"/>
          </w:tcPr>
          <w:p w14:paraId="727A1248">
            <w:pPr>
              <w:jc w:val="right"/>
            </w:pPr>
          </w:p>
        </w:tc>
        <w:tc>
          <w:tcPr>
            <w:tcW w:w="1613" w:type="dxa"/>
            <w:vAlign w:val="center"/>
          </w:tcPr>
          <w:p w14:paraId="21DB8EE5">
            <w:pPr>
              <w:jc w:val="right"/>
            </w:pPr>
          </w:p>
        </w:tc>
        <w:tc>
          <w:tcPr>
            <w:tcW w:w="1613" w:type="dxa"/>
            <w:vAlign w:val="center"/>
          </w:tcPr>
          <w:p w14:paraId="500C2DB0">
            <w:pPr>
              <w:jc w:val="right"/>
            </w:pPr>
          </w:p>
        </w:tc>
        <w:tc>
          <w:tcPr>
            <w:tcW w:w="1613" w:type="dxa"/>
            <w:vAlign w:val="center"/>
          </w:tcPr>
          <w:p w14:paraId="6380B26D">
            <w:pPr>
              <w:jc w:val="right"/>
            </w:pPr>
          </w:p>
        </w:tc>
        <w:tc>
          <w:tcPr>
            <w:tcW w:w="1613" w:type="dxa"/>
            <w:vAlign w:val="center"/>
          </w:tcPr>
          <w:p w14:paraId="54461C0D">
            <w:pPr>
              <w:jc w:val="right"/>
            </w:pPr>
          </w:p>
        </w:tc>
        <w:tc>
          <w:tcPr>
            <w:tcW w:w="1624" w:type="dxa"/>
            <w:vAlign w:val="center"/>
          </w:tcPr>
          <w:p w14:paraId="4E08B534">
            <w:pPr>
              <w:jc w:val="right"/>
            </w:pPr>
          </w:p>
        </w:tc>
        <w:tc>
          <w:tcPr>
            <w:tcW w:w="1613" w:type="dxa"/>
            <w:vAlign w:val="center"/>
          </w:tcPr>
          <w:p w14:paraId="5B7FBC43">
            <w:pPr>
              <w:jc w:val="right"/>
            </w:pPr>
          </w:p>
        </w:tc>
      </w:tr>
      <w:tr w14:paraId="7296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sdt>
          <w:sdtPr>
            <w:tag w:val="_PLD_b5f5542d19ea42639ccab2e59cea3068"/>
            <w:id w:val="1351529948"/>
          </w:sdtPr>
          <w:sdtContent>
            <w:tc>
              <w:tcPr>
                <w:tcW w:w="2319" w:type="dxa"/>
                <w:vAlign w:val="center"/>
              </w:tcPr>
              <w:p w14:paraId="3B5A05D0">
                <w:pPr>
                  <w:ind w:firstLine="210" w:firstLineChars="100"/>
                </w:pPr>
                <w:r>
                  <w:rPr>
                    <w:rFonts w:hint="eastAsia"/>
                  </w:rPr>
                  <w:t>其他债权投资公允价值变动</w:t>
                </w:r>
              </w:p>
            </w:tc>
          </w:sdtContent>
        </w:sdt>
        <w:tc>
          <w:tcPr>
            <w:tcW w:w="1613" w:type="dxa"/>
            <w:vAlign w:val="center"/>
          </w:tcPr>
          <w:p w14:paraId="782E5E87">
            <w:pPr>
              <w:jc w:val="right"/>
            </w:pPr>
          </w:p>
        </w:tc>
        <w:tc>
          <w:tcPr>
            <w:tcW w:w="1613" w:type="dxa"/>
            <w:vAlign w:val="center"/>
          </w:tcPr>
          <w:p w14:paraId="4D15FB2C">
            <w:pPr>
              <w:jc w:val="right"/>
            </w:pPr>
          </w:p>
        </w:tc>
        <w:tc>
          <w:tcPr>
            <w:tcW w:w="1613" w:type="dxa"/>
            <w:vAlign w:val="center"/>
          </w:tcPr>
          <w:p w14:paraId="66069384">
            <w:pPr>
              <w:jc w:val="right"/>
            </w:pPr>
          </w:p>
        </w:tc>
        <w:tc>
          <w:tcPr>
            <w:tcW w:w="1613" w:type="dxa"/>
            <w:vAlign w:val="center"/>
          </w:tcPr>
          <w:p w14:paraId="70FB62BE">
            <w:pPr>
              <w:jc w:val="right"/>
            </w:pPr>
          </w:p>
        </w:tc>
        <w:tc>
          <w:tcPr>
            <w:tcW w:w="1613" w:type="dxa"/>
            <w:vAlign w:val="center"/>
          </w:tcPr>
          <w:p w14:paraId="25624B90">
            <w:pPr>
              <w:jc w:val="right"/>
            </w:pPr>
          </w:p>
        </w:tc>
        <w:tc>
          <w:tcPr>
            <w:tcW w:w="1613" w:type="dxa"/>
            <w:vAlign w:val="center"/>
          </w:tcPr>
          <w:p w14:paraId="278E25A0">
            <w:pPr>
              <w:jc w:val="right"/>
            </w:pPr>
          </w:p>
        </w:tc>
        <w:tc>
          <w:tcPr>
            <w:tcW w:w="1624" w:type="dxa"/>
            <w:vAlign w:val="center"/>
          </w:tcPr>
          <w:p w14:paraId="09AD9876">
            <w:pPr>
              <w:jc w:val="right"/>
            </w:pPr>
          </w:p>
        </w:tc>
        <w:tc>
          <w:tcPr>
            <w:tcW w:w="1613" w:type="dxa"/>
            <w:vAlign w:val="center"/>
          </w:tcPr>
          <w:p w14:paraId="078AE033">
            <w:pPr>
              <w:jc w:val="right"/>
            </w:pPr>
          </w:p>
        </w:tc>
      </w:tr>
      <w:tr w14:paraId="495F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sdt>
          <w:sdtPr>
            <w:tag w:val="_PLD_e34d4691560846d6a2e8d56eaac2fc7d"/>
            <w:id w:val="295968328"/>
          </w:sdtPr>
          <w:sdtContent>
            <w:tc>
              <w:tcPr>
                <w:tcW w:w="2319" w:type="dxa"/>
                <w:vAlign w:val="center"/>
              </w:tcPr>
              <w:p w14:paraId="16F378A6">
                <w:pPr>
                  <w:ind w:firstLine="210" w:firstLineChars="100"/>
                </w:pPr>
                <w:r>
                  <w:rPr>
                    <w:rFonts w:hint="eastAsia"/>
                  </w:rPr>
                  <w:t>金融资产重分类计入其他综合收益的金额</w:t>
                </w:r>
              </w:p>
            </w:tc>
          </w:sdtContent>
        </w:sdt>
        <w:tc>
          <w:tcPr>
            <w:tcW w:w="1613" w:type="dxa"/>
            <w:vAlign w:val="center"/>
          </w:tcPr>
          <w:p w14:paraId="7BA328FF">
            <w:pPr>
              <w:jc w:val="right"/>
            </w:pPr>
          </w:p>
        </w:tc>
        <w:tc>
          <w:tcPr>
            <w:tcW w:w="1613" w:type="dxa"/>
            <w:vAlign w:val="center"/>
          </w:tcPr>
          <w:p w14:paraId="6FF3C5DA">
            <w:pPr>
              <w:jc w:val="right"/>
            </w:pPr>
          </w:p>
        </w:tc>
        <w:tc>
          <w:tcPr>
            <w:tcW w:w="1613" w:type="dxa"/>
            <w:vAlign w:val="center"/>
          </w:tcPr>
          <w:p w14:paraId="56C43C56">
            <w:pPr>
              <w:jc w:val="right"/>
            </w:pPr>
          </w:p>
        </w:tc>
        <w:tc>
          <w:tcPr>
            <w:tcW w:w="1613" w:type="dxa"/>
            <w:vAlign w:val="center"/>
          </w:tcPr>
          <w:p w14:paraId="26A80592">
            <w:pPr>
              <w:jc w:val="right"/>
            </w:pPr>
          </w:p>
        </w:tc>
        <w:tc>
          <w:tcPr>
            <w:tcW w:w="1613" w:type="dxa"/>
            <w:vAlign w:val="center"/>
          </w:tcPr>
          <w:p w14:paraId="1AC19DAC">
            <w:pPr>
              <w:jc w:val="right"/>
            </w:pPr>
          </w:p>
        </w:tc>
        <w:tc>
          <w:tcPr>
            <w:tcW w:w="1613" w:type="dxa"/>
            <w:vAlign w:val="center"/>
          </w:tcPr>
          <w:p w14:paraId="09C62EDD">
            <w:pPr>
              <w:jc w:val="right"/>
            </w:pPr>
          </w:p>
        </w:tc>
        <w:tc>
          <w:tcPr>
            <w:tcW w:w="1624" w:type="dxa"/>
            <w:vAlign w:val="center"/>
          </w:tcPr>
          <w:p w14:paraId="2411938F">
            <w:pPr>
              <w:jc w:val="right"/>
            </w:pPr>
          </w:p>
        </w:tc>
        <w:tc>
          <w:tcPr>
            <w:tcW w:w="1613" w:type="dxa"/>
            <w:vAlign w:val="center"/>
          </w:tcPr>
          <w:p w14:paraId="4A267F65">
            <w:pPr>
              <w:jc w:val="right"/>
            </w:pPr>
          </w:p>
        </w:tc>
      </w:tr>
      <w:tr w14:paraId="45F6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sdt>
          <w:sdtPr>
            <w:tag w:val="_PLD_54f19ba1a2e14a69bf876072b1f68cbf"/>
            <w:id w:val="-159320435"/>
          </w:sdtPr>
          <w:sdtContent>
            <w:tc>
              <w:tcPr>
                <w:tcW w:w="2319" w:type="dxa"/>
                <w:vAlign w:val="center"/>
              </w:tcPr>
              <w:p w14:paraId="2603F45D">
                <w:pPr>
                  <w:ind w:firstLine="210" w:firstLineChars="100"/>
                </w:pPr>
                <w:r>
                  <w:rPr>
                    <w:rFonts w:hint="eastAsia"/>
                  </w:rPr>
                  <w:t>其他债权投资信用减值准备</w:t>
                </w:r>
              </w:p>
            </w:tc>
          </w:sdtContent>
        </w:sdt>
        <w:tc>
          <w:tcPr>
            <w:tcW w:w="1613" w:type="dxa"/>
            <w:vAlign w:val="center"/>
          </w:tcPr>
          <w:p w14:paraId="71258A9D">
            <w:pPr>
              <w:jc w:val="right"/>
            </w:pPr>
          </w:p>
        </w:tc>
        <w:tc>
          <w:tcPr>
            <w:tcW w:w="1613" w:type="dxa"/>
            <w:vAlign w:val="center"/>
          </w:tcPr>
          <w:p w14:paraId="3FA2F5BF">
            <w:pPr>
              <w:jc w:val="right"/>
            </w:pPr>
          </w:p>
        </w:tc>
        <w:tc>
          <w:tcPr>
            <w:tcW w:w="1613" w:type="dxa"/>
            <w:vAlign w:val="center"/>
          </w:tcPr>
          <w:p w14:paraId="5CEE4E44">
            <w:pPr>
              <w:jc w:val="right"/>
            </w:pPr>
          </w:p>
        </w:tc>
        <w:tc>
          <w:tcPr>
            <w:tcW w:w="1613" w:type="dxa"/>
            <w:vAlign w:val="center"/>
          </w:tcPr>
          <w:p w14:paraId="37EEDDD0">
            <w:pPr>
              <w:jc w:val="right"/>
            </w:pPr>
          </w:p>
        </w:tc>
        <w:tc>
          <w:tcPr>
            <w:tcW w:w="1613" w:type="dxa"/>
            <w:vAlign w:val="center"/>
          </w:tcPr>
          <w:p w14:paraId="31E686C8">
            <w:pPr>
              <w:jc w:val="right"/>
            </w:pPr>
          </w:p>
        </w:tc>
        <w:tc>
          <w:tcPr>
            <w:tcW w:w="1613" w:type="dxa"/>
            <w:vAlign w:val="center"/>
          </w:tcPr>
          <w:p w14:paraId="65CBCF46">
            <w:pPr>
              <w:jc w:val="right"/>
            </w:pPr>
          </w:p>
        </w:tc>
        <w:tc>
          <w:tcPr>
            <w:tcW w:w="1624" w:type="dxa"/>
            <w:vAlign w:val="center"/>
          </w:tcPr>
          <w:p w14:paraId="4ACAE57A">
            <w:pPr>
              <w:jc w:val="right"/>
            </w:pPr>
          </w:p>
        </w:tc>
        <w:tc>
          <w:tcPr>
            <w:tcW w:w="1613" w:type="dxa"/>
            <w:vAlign w:val="center"/>
          </w:tcPr>
          <w:p w14:paraId="07A07189">
            <w:pPr>
              <w:jc w:val="right"/>
            </w:pPr>
          </w:p>
        </w:tc>
      </w:tr>
      <w:tr w14:paraId="12A1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sdt>
          <w:sdtPr>
            <w:tag w:val="_PLD_4bb3a499562f4720af567084f6f57266"/>
            <w:id w:val="-319809588"/>
          </w:sdtPr>
          <w:sdtContent>
            <w:tc>
              <w:tcPr>
                <w:tcW w:w="2319" w:type="dxa"/>
                <w:vAlign w:val="center"/>
              </w:tcPr>
              <w:p w14:paraId="05EA90FE">
                <w:pPr>
                  <w:ind w:firstLine="210" w:firstLineChars="100"/>
                </w:pPr>
                <w:r>
                  <w:rPr>
                    <w:rFonts w:hint="eastAsia"/>
                  </w:rPr>
                  <w:t>现金流量套期储备</w:t>
                </w:r>
              </w:p>
            </w:tc>
          </w:sdtContent>
        </w:sdt>
        <w:tc>
          <w:tcPr>
            <w:tcW w:w="1613" w:type="dxa"/>
            <w:vAlign w:val="center"/>
          </w:tcPr>
          <w:p w14:paraId="13F357B3">
            <w:pPr>
              <w:jc w:val="right"/>
            </w:pPr>
          </w:p>
        </w:tc>
        <w:tc>
          <w:tcPr>
            <w:tcW w:w="1613" w:type="dxa"/>
            <w:vAlign w:val="center"/>
          </w:tcPr>
          <w:p w14:paraId="5093ACFF">
            <w:pPr>
              <w:jc w:val="right"/>
            </w:pPr>
          </w:p>
        </w:tc>
        <w:tc>
          <w:tcPr>
            <w:tcW w:w="1613" w:type="dxa"/>
            <w:vAlign w:val="center"/>
          </w:tcPr>
          <w:p w14:paraId="05F98E81">
            <w:pPr>
              <w:jc w:val="right"/>
            </w:pPr>
          </w:p>
        </w:tc>
        <w:tc>
          <w:tcPr>
            <w:tcW w:w="1613" w:type="dxa"/>
            <w:vAlign w:val="center"/>
          </w:tcPr>
          <w:p w14:paraId="5ECDACC0">
            <w:pPr>
              <w:jc w:val="right"/>
            </w:pPr>
          </w:p>
        </w:tc>
        <w:tc>
          <w:tcPr>
            <w:tcW w:w="1613" w:type="dxa"/>
            <w:vAlign w:val="center"/>
          </w:tcPr>
          <w:p w14:paraId="68A4A3AF">
            <w:pPr>
              <w:jc w:val="right"/>
            </w:pPr>
          </w:p>
        </w:tc>
        <w:tc>
          <w:tcPr>
            <w:tcW w:w="1613" w:type="dxa"/>
            <w:vAlign w:val="center"/>
          </w:tcPr>
          <w:p w14:paraId="462ADEC7">
            <w:pPr>
              <w:jc w:val="right"/>
            </w:pPr>
          </w:p>
        </w:tc>
        <w:tc>
          <w:tcPr>
            <w:tcW w:w="1624" w:type="dxa"/>
            <w:vAlign w:val="center"/>
          </w:tcPr>
          <w:p w14:paraId="7C9B7A28">
            <w:pPr>
              <w:jc w:val="right"/>
            </w:pPr>
          </w:p>
        </w:tc>
        <w:tc>
          <w:tcPr>
            <w:tcW w:w="1613" w:type="dxa"/>
            <w:vAlign w:val="center"/>
          </w:tcPr>
          <w:p w14:paraId="54A93AED">
            <w:pPr>
              <w:jc w:val="right"/>
            </w:pPr>
          </w:p>
        </w:tc>
      </w:tr>
      <w:tr w14:paraId="083A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sdt>
          <w:sdtPr>
            <w:tag w:val="_PLD_e61ac0c90b424af2a90f3f46f03d697d"/>
            <w:id w:val="1001701872"/>
          </w:sdtPr>
          <w:sdtContent>
            <w:tc>
              <w:tcPr>
                <w:tcW w:w="2319" w:type="dxa"/>
                <w:vAlign w:val="center"/>
              </w:tcPr>
              <w:p w14:paraId="0C161D8A">
                <w:pPr>
                  <w:ind w:firstLine="210" w:firstLineChars="100"/>
                </w:pPr>
                <w:r>
                  <w:rPr>
                    <w:rFonts w:hint="eastAsia"/>
                  </w:rPr>
                  <w:t>外币财务报表折算差额</w:t>
                </w:r>
              </w:p>
            </w:tc>
          </w:sdtContent>
        </w:sdt>
        <w:tc>
          <w:tcPr>
            <w:tcW w:w="1613" w:type="dxa"/>
            <w:vAlign w:val="center"/>
          </w:tcPr>
          <w:p w14:paraId="5394765F">
            <w:pPr>
              <w:jc w:val="right"/>
            </w:pPr>
            <w:r>
              <w:rPr>
                <w:rFonts w:hint="eastAsia"/>
              </w:rPr>
              <w:t>6,910,223.58</w:t>
            </w:r>
          </w:p>
        </w:tc>
        <w:tc>
          <w:tcPr>
            <w:tcW w:w="1613" w:type="dxa"/>
            <w:vAlign w:val="center"/>
          </w:tcPr>
          <w:p w14:paraId="2D8C05B6">
            <w:pPr>
              <w:jc w:val="right"/>
            </w:pPr>
            <w:r>
              <w:rPr>
                <w:rFonts w:hint="eastAsia"/>
              </w:rPr>
              <w:t>682,157.98</w:t>
            </w:r>
          </w:p>
        </w:tc>
        <w:tc>
          <w:tcPr>
            <w:tcW w:w="1613" w:type="dxa"/>
            <w:vAlign w:val="center"/>
          </w:tcPr>
          <w:p w14:paraId="5DAF0A3A">
            <w:pPr>
              <w:jc w:val="right"/>
            </w:pPr>
          </w:p>
        </w:tc>
        <w:tc>
          <w:tcPr>
            <w:tcW w:w="1613" w:type="dxa"/>
            <w:vAlign w:val="center"/>
          </w:tcPr>
          <w:p w14:paraId="644E5951">
            <w:pPr>
              <w:jc w:val="right"/>
            </w:pPr>
          </w:p>
        </w:tc>
        <w:tc>
          <w:tcPr>
            <w:tcW w:w="1613" w:type="dxa"/>
            <w:vAlign w:val="center"/>
          </w:tcPr>
          <w:p w14:paraId="48AD37BE">
            <w:pPr>
              <w:jc w:val="right"/>
            </w:pPr>
          </w:p>
        </w:tc>
        <w:tc>
          <w:tcPr>
            <w:tcW w:w="1613" w:type="dxa"/>
            <w:vAlign w:val="center"/>
          </w:tcPr>
          <w:p w14:paraId="34937AC2">
            <w:pPr>
              <w:jc w:val="right"/>
            </w:pPr>
            <w:r>
              <w:t>682,157.98</w:t>
            </w:r>
          </w:p>
        </w:tc>
        <w:tc>
          <w:tcPr>
            <w:tcW w:w="1624" w:type="dxa"/>
            <w:vAlign w:val="center"/>
          </w:tcPr>
          <w:p w14:paraId="0D35698A">
            <w:pPr>
              <w:jc w:val="right"/>
            </w:pPr>
          </w:p>
        </w:tc>
        <w:tc>
          <w:tcPr>
            <w:tcW w:w="1613" w:type="dxa"/>
            <w:vAlign w:val="center"/>
          </w:tcPr>
          <w:p w14:paraId="45860122">
            <w:pPr>
              <w:jc w:val="right"/>
            </w:pPr>
            <w:r>
              <w:rPr>
                <w:rFonts w:hint="eastAsia"/>
              </w:rPr>
              <w:t>7,592,381.56</w:t>
            </w:r>
          </w:p>
        </w:tc>
      </w:tr>
      <w:tr w14:paraId="06BD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sdt>
          <w:sdtPr>
            <w:tag w:val="_PLD_9ad7dfdffcbb4195853f9f7672607063"/>
            <w:id w:val="-191535381"/>
          </w:sdtPr>
          <w:sdtContent>
            <w:tc>
              <w:tcPr>
                <w:tcW w:w="2319" w:type="dxa"/>
                <w:vAlign w:val="center"/>
              </w:tcPr>
              <w:p w14:paraId="405DB379">
                <w:r>
                  <w:rPr>
                    <w:rFonts w:hint="eastAsia"/>
                  </w:rPr>
                  <w:t>其他综合收益合计</w:t>
                </w:r>
              </w:p>
            </w:tc>
          </w:sdtContent>
        </w:sdt>
        <w:tc>
          <w:tcPr>
            <w:tcW w:w="1613" w:type="dxa"/>
            <w:vAlign w:val="center"/>
          </w:tcPr>
          <w:p w14:paraId="6B93FFA0">
            <w:pPr>
              <w:jc w:val="right"/>
            </w:pPr>
            <w:r>
              <w:rPr>
                <w:rFonts w:hint="eastAsia"/>
              </w:rPr>
              <w:t>6,910,223.58</w:t>
            </w:r>
          </w:p>
        </w:tc>
        <w:tc>
          <w:tcPr>
            <w:tcW w:w="1613" w:type="dxa"/>
            <w:vAlign w:val="center"/>
          </w:tcPr>
          <w:p w14:paraId="1E5F2FDB">
            <w:pPr>
              <w:jc w:val="right"/>
            </w:pPr>
            <w:r>
              <w:rPr>
                <w:rFonts w:hint="eastAsia"/>
              </w:rPr>
              <w:t>4,134,566.34</w:t>
            </w:r>
          </w:p>
        </w:tc>
        <w:tc>
          <w:tcPr>
            <w:tcW w:w="1613" w:type="dxa"/>
            <w:vAlign w:val="center"/>
          </w:tcPr>
          <w:p w14:paraId="0F372812">
            <w:pPr>
              <w:jc w:val="right"/>
            </w:pPr>
          </w:p>
        </w:tc>
        <w:tc>
          <w:tcPr>
            <w:tcW w:w="1613" w:type="dxa"/>
            <w:vAlign w:val="center"/>
          </w:tcPr>
          <w:p w14:paraId="4FCC2BFB">
            <w:pPr>
              <w:jc w:val="right"/>
            </w:pPr>
          </w:p>
        </w:tc>
        <w:tc>
          <w:tcPr>
            <w:tcW w:w="1613" w:type="dxa"/>
            <w:vAlign w:val="center"/>
          </w:tcPr>
          <w:p w14:paraId="5D5F1AFF">
            <w:pPr>
              <w:jc w:val="right"/>
            </w:pPr>
            <w:r>
              <w:rPr>
                <w:rFonts w:hint="eastAsia"/>
              </w:rPr>
              <w:t>374,005.49</w:t>
            </w:r>
          </w:p>
        </w:tc>
        <w:tc>
          <w:tcPr>
            <w:tcW w:w="1613" w:type="dxa"/>
            <w:vAlign w:val="center"/>
          </w:tcPr>
          <w:p w14:paraId="10389B46">
            <w:pPr>
              <w:jc w:val="right"/>
            </w:pPr>
            <w:r>
              <w:t>3,760,560.85</w:t>
            </w:r>
          </w:p>
        </w:tc>
        <w:tc>
          <w:tcPr>
            <w:tcW w:w="1624" w:type="dxa"/>
            <w:vAlign w:val="center"/>
          </w:tcPr>
          <w:p w14:paraId="084AB58F">
            <w:pPr>
              <w:jc w:val="right"/>
            </w:pPr>
          </w:p>
        </w:tc>
        <w:tc>
          <w:tcPr>
            <w:tcW w:w="1613" w:type="dxa"/>
            <w:vAlign w:val="center"/>
          </w:tcPr>
          <w:p w14:paraId="2F887D18">
            <w:pPr>
              <w:jc w:val="right"/>
            </w:pPr>
            <w:r>
              <w:rPr>
                <w:rFonts w:hint="eastAsia"/>
              </w:rPr>
              <w:t>10,670,784.43</w:t>
            </w:r>
          </w:p>
        </w:tc>
      </w:tr>
    </w:tbl>
    <w:p w14:paraId="33B27D4B"/>
    <w:p w14:paraId="1476382D">
      <w:pPr>
        <w:pStyle w:val="48"/>
      </w:pPr>
    </w:p>
    <w:p w14:paraId="153DCE19">
      <w:pPr>
        <w:pStyle w:val="48"/>
      </w:pPr>
    </w:p>
    <w:p w14:paraId="76D2414D">
      <w:pPr>
        <w:pStyle w:val="48"/>
        <w:sectPr>
          <w:pgSz w:w="16838" w:h="11906" w:orient="landscape"/>
          <w:pgMar w:top="1276" w:right="1440" w:bottom="1797" w:left="1525" w:header="856" w:footer="992" w:gutter="0"/>
          <w:cols w:space="425" w:num="1"/>
          <w:docGrid w:linePitch="312" w:charSpace="0"/>
        </w:sectPr>
      </w:pPr>
    </w:p>
    <w:p w14:paraId="69C9D301">
      <w:pPr>
        <w:pStyle w:val="48"/>
      </w:pPr>
    </w:p>
    <w:bookmarkEnd w:id="351"/>
    <w:p w14:paraId="03DFDEB4">
      <w:pPr>
        <w:pStyle w:val="4"/>
        <w:numPr>
          <w:ilvl w:val="0"/>
          <w:numId w:val="61"/>
        </w:numPr>
        <w:rPr>
          <w:szCs w:val="21"/>
        </w:rPr>
      </w:pPr>
      <w:r>
        <w:rPr>
          <w:szCs w:val="21"/>
        </w:rPr>
        <w:t>专项储备</w:t>
      </w:r>
    </w:p>
    <w:sdt>
      <w:sdtPr>
        <w:alias w:val="是否适用：专项储备[双击切换]"/>
        <w:tag w:val="_GBC_0e2f337ccf9a4bc6919cf02a896e57c1"/>
        <w:id w:val="1299877215"/>
        <w:placeholder>
          <w:docPart w:val="GBC22222222222222222222222222222"/>
        </w:placeholder>
      </w:sdtPr>
      <w:sdtContent>
        <w:p w14:paraId="7BBB0EAC">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25D413E">
      <w:pPr>
        <w:pStyle w:val="48"/>
      </w:pPr>
    </w:p>
    <w:p w14:paraId="2B913493">
      <w:pPr>
        <w:pStyle w:val="48"/>
      </w:pPr>
    </w:p>
    <w:p w14:paraId="3B5F9A4D">
      <w:pPr>
        <w:pStyle w:val="4"/>
        <w:numPr>
          <w:ilvl w:val="0"/>
          <w:numId w:val="61"/>
        </w:numPr>
        <w:rPr>
          <w:szCs w:val="21"/>
        </w:rPr>
      </w:pPr>
      <w:r>
        <w:rPr>
          <w:szCs w:val="21"/>
        </w:rPr>
        <w:t>盈余公积</w:t>
      </w:r>
    </w:p>
    <w:sdt>
      <w:sdtPr>
        <w:alias w:val="是否适用：盈余公积[双击切换]"/>
        <w:tag w:val="_GBC_5a507b0ba3a44a2c828e4df049852353"/>
        <w:id w:val="-951705833"/>
        <w:placeholder>
          <w:docPart w:val="GBC22222222222222222222222222222"/>
        </w:placeholder>
      </w:sdtPr>
      <w:sdtContent>
        <w:p w14:paraId="7465863D">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07A9CD6">
      <w:pPr>
        <w:jc w:val="right"/>
      </w:pPr>
      <w:r>
        <w:rPr>
          <w:rFonts w:hint="eastAsia"/>
        </w:rPr>
        <w:t>单位：</w:t>
      </w:r>
      <w:sdt>
        <w:sdtPr>
          <w:rPr>
            <w:rFonts w:hint="eastAsia"/>
          </w:rPr>
          <w:alias w:val="单位：财务附注：盈余公积"/>
          <w:tag w:val="_GBC_8ca7c8f8d04e47ff92c33109bbf55576"/>
          <w:id w:val="1544277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盈余公积"/>
          <w:tag w:val="_GBC_24d833c69b8448ca876fbf8299519039"/>
          <w:id w:val="-12889730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671"/>
        <w:gridCol w:w="1798"/>
        <w:gridCol w:w="1803"/>
        <w:gridCol w:w="1815"/>
        <w:gridCol w:w="1803"/>
      </w:tblGrid>
      <w:tr w14:paraId="0F39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448cc13fae91499a9f41c6e4c1f51937"/>
            <w:id w:val="-262456689"/>
          </w:sdtPr>
          <w:sdtContent>
            <w:tc>
              <w:tcPr>
                <w:tcW w:w="1671" w:type="dxa"/>
                <w:vAlign w:val="center"/>
              </w:tcPr>
              <w:p w14:paraId="14974691">
                <w:pPr>
                  <w:autoSpaceDE w:val="0"/>
                  <w:autoSpaceDN w:val="0"/>
                  <w:adjustRightInd w:val="0"/>
                  <w:snapToGrid w:val="0"/>
                  <w:jc w:val="center"/>
                  <w:rPr>
                    <w:rFonts w:ascii="Calibri" w:hAnsi="Calibri"/>
                    <w:sz w:val="20"/>
                    <w:szCs w:val="20"/>
                  </w:rPr>
                </w:pPr>
                <w:r>
                  <w:rPr>
                    <w:rFonts w:hint="eastAsia" w:ascii="Calibri" w:hAnsi="Calibri"/>
                    <w:sz w:val="20"/>
                    <w:szCs w:val="20"/>
                  </w:rPr>
                  <w:t>项目</w:t>
                </w:r>
              </w:p>
            </w:tc>
          </w:sdtContent>
        </w:sdt>
        <w:sdt>
          <w:sdtPr>
            <w:tag w:val="_PLD_112a59f6ca7b4b5f8ced860f9465eb1a"/>
            <w:id w:val="-622543270"/>
          </w:sdtPr>
          <w:sdtContent>
            <w:tc>
              <w:tcPr>
                <w:tcW w:w="1798" w:type="dxa"/>
                <w:vAlign w:val="center"/>
              </w:tcPr>
              <w:p w14:paraId="10808B1E">
                <w:pPr>
                  <w:autoSpaceDE w:val="0"/>
                  <w:autoSpaceDN w:val="0"/>
                  <w:adjustRightInd w:val="0"/>
                  <w:snapToGrid w:val="0"/>
                  <w:jc w:val="center"/>
                  <w:rPr>
                    <w:rFonts w:ascii="Calibri" w:hAnsi="Calibri"/>
                    <w:sz w:val="20"/>
                    <w:szCs w:val="20"/>
                  </w:rPr>
                </w:pPr>
                <w:r>
                  <w:rPr>
                    <w:rFonts w:hint="eastAsia" w:ascii="Calibri" w:hAnsi="Calibri"/>
                    <w:sz w:val="20"/>
                    <w:szCs w:val="20"/>
                  </w:rPr>
                  <w:t>期初余额</w:t>
                </w:r>
              </w:p>
            </w:tc>
          </w:sdtContent>
        </w:sdt>
        <w:sdt>
          <w:sdtPr>
            <w:tag w:val="_PLD_a2c4f4720dd7427b93c04e32666cfd69"/>
            <w:id w:val="-608814383"/>
          </w:sdtPr>
          <w:sdtContent>
            <w:tc>
              <w:tcPr>
                <w:tcW w:w="1803" w:type="dxa"/>
                <w:vAlign w:val="center"/>
              </w:tcPr>
              <w:p w14:paraId="571EC0B3">
                <w:pPr>
                  <w:autoSpaceDE w:val="0"/>
                  <w:autoSpaceDN w:val="0"/>
                  <w:adjustRightInd w:val="0"/>
                  <w:snapToGrid w:val="0"/>
                  <w:jc w:val="center"/>
                  <w:rPr>
                    <w:rFonts w:ascii="Calibri" w:hAnsi="Calibri"/>
                    <w:sz w:val="20"/>
                    <w:szCs w:val="20"/>
                  </w:rPr>
                </w:pPr>
                <w:r>
                  <w:rPr>
                    <w:rFonts w:hint="eastAsia" w:ascii="Calibri" w:hAnsi="Calibri"/>
                    <w:sz w:val="20"/>
                    <w:szCs w:val="20"/>
                  </w:rPr>
                  <w:t>本期增加</w:t>
                </w:r>
              </w:p>
            </w:tc>
          </w:sdtContent>
        </w:sdt>
        <w:sdt>
          <w:sdtPr>
            <w:tag w:val="_PLD_ad1876bb4d7c41eaa003da876ae9e601"/>
            <w:id w:val="-978449755"/>
          </w:sdtPr>
          <w:sdtContent>
            <w:tc>
              <w:tcPr>
                <w:tcW w:w="1815" w:type="dxa"/>
                <w:vAlign w:val="center"/>
              </w:tcPr>
              <w:p w14:paraId="483513F5">
                <w:pPr>
                  <w:autoSpaceDE w:val="0"/>
                  <w:autoSpaceDN w:val="0"/>
                  <w:adjustRightInd w:val="0"/>
                  <w:snapToGrid w:val="0"/>
                  <w:jc w:val="center"/>
                  <w:rPr>
                    <w:rFonts w:ascii="Calibri" w:hAnsi="Calibri"/>
                    <w:sz w:val="20"/>
                    <w:szCs w:val="20"/>
                  </w:rPr>
                </w:pPr>
                <w:r>
                  <w:rPr>
                    <w:rFonts w:hint="eastAsia" w:ascii="Calibri" w:hAnsi="Calibri"/>
                    <w:sz w:val="20"/>
                    <w:szCs w:val="20"/>
                  </w:rPr>
                  <w:t>本期减少</w:t>
                </w:r>
              </w:p>
            </w:tc>
          </w:sdtContent>
        </w:sdt>
        <w:sdt>
          <w:sdtPr>
            <w:tag w:val="_PLD_45d6cc2a2d2140619579c3f035df8d6a"/>
            <w:id w:val="-1810247206"/>
          </w:sdtPr>
          <w:sdtContent>
            <w:tc>
              <w:tcPr>
                <w:tcW w:w="1803" w:type="dxa"/>
                <w:vAlign w:val="center"/>
              </w:tcPr>
              <w:p w14:paraId="1120EEF8">
                <w:pPr>
                  <w:autoSpaceDE w:val="0"/>
                  <w:autoSpaceDN w:val="0"/>
                  <w:adjustRightInd w:val="0"/>
                  <w:snapToGrid w:val="0"/>
                  <w:jc w:val="center"/>
                  <w:rPr>
                    <w:rFonts w:ascii="Calibri" w:hAnsi="Calibri"/>
                    <w:sz w:val="20"/>
                    <w:szCs w:val="20"/>
                  </w:rPr>
                </w:pPr>
                <w:r>
                  <w:rPr>
                    <w:rFonts w:hint="eastAsia" w:ascii="Calibri" w:hAnsi="Calibri"/>
                    <w:sz w:val="20"/>
                    <w:szCs w:val="20"/>
                  </w:rPr>
                  <w:t>期末余额</w:t>
                </w:r>
              </w:p>
            </w:tc>
          </w:sdtContent>
        </w:sdt>
      </w:tr>
      <w:tr w14:paraId="4CEE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71" w:type="dxa"/>
            <w:vAlign w:val="center"/>
          </w:tcPr>
          <w:p w14:paraId="0773F0F1">
            <w:pPr>
              <w:autoSpaceDE w:val="0"/>
              <w:autoSpaceDN w:val="0"/>
              <w:adjustRightInd w:val="0"/>
              <w:snapToGrid w:val="0"/>
              <w:jc w:val="both"/>
              <w:rPr>
                <w:rFonts w:ascii="Calibri" w:hAnsi="Calibri"/>
                <w:sz w:val="20"/>
                <w:szCs w:val="20"/>
              </w:rPr>
            </w:pPr>
            <w:r>
              <w:rPr>
                <w:rFonts w:hint="eastAsia" w:ascii="Calibri" w:hAnsi="Calibri"/>
                <w:sz w:val="20"/>
                <w:szCs w:val="20"/>
              </w:rPr>
              <w:t>法定盈余公积</w:t>
            </w:r>
          </w:p>
        </w:tc>
        <w:tc>
          <w:tcPr>
            <w:tcW w:w="1798" w:type="dxa"/>
            <w:vAlign w:val="center"/>
          </w:tcPr>
          <w:p w14:paraId="31091431">
            <w:pPr>
              <w:autoSpaceDE w:val="0"/>
              <w:autoSpaceDN w:val="0"/>
              <w:adjustRightInd w:val="0"/>
              <w:snapToGrid w:val="0"/>
              <w:ind w:right="180"/>
              <w:jc w:val="right"/>
              <w:rPr>
                <w:rFonts w:ascii="Calibri" w:hAnsi="Calibri"/>
                <w:sz w:val="20"/>
                <w:szCs w:val="20"/>
              </w:rPr>
            </w:pPr>
            <w:r>
              <w:rPr>
                <w:rFonts w:ascii="Calibri" w:hAnsi="Calibri"/>
                <w:sz w:val="20"/>
                <w:szCs w:val="20"/>
              </w:rPr>
              <w:t>1,027,149,340.36</w:t>
            </w:r>
          </w:p>
        </w:tc>
        <w:tc>
          <w:tcPr>
            <w:tcW w:w="1803" w:type="dxa"/>
            <w:vAlign w:val="center"/>
          </w:tcPr>
          <w:p w14:paraId="5B9585BC">
            <w:pPr>
              <w:autoSpaceDE w:val="0"/>
              <w:autoSpaceDN w:val="0"/>
              <w:adjustRightInd w:val="0"/>
              <w:snapToGrid w:val="0"/>
              <w:ind w:right="180"/>
              <w:jc w:val="right"/>
              <w:rPr>
                <w:rFonts w:ascii="Calibri" w:hAnsi="Calibri"/>
                <w:sz w:val="20"/>
                <w:szCs w:val="20"/>
              </w:rPr>
            </w:pPr>
          </w:p>
        </w:tc>
        <w:tc>
          <w:tcPr>
            <w:tcW w:w="1815" w:type="dxa"/>
            <w:vAlign w:val="center"/>
          </w:tcPr>
          <w:p w14:paraId="239BB194">
            <w:pPr>
              <w:autoSpaceDE w:val="0"/>
              <w:autoSpaceDN w:val="0"/>
              <w:adjustRightInd w:val="0"/>
              <w:snapToGrid w:val="0"/>
              <w:ind w:right="180"/>
              <w:jc w:val="right"/>
              <w:rPr>
                <w:rFonts w:ascii="Calibri" w:hAnsi="Calibri"/>
                <w:sz w:val="20"/>
                <w:szCs w:val="20"/>
              </w:rPr>
            </w:pPr>
          </w:p>
        </w:tc>
        <w:tc>
          <w:tcPr>
            <w:tcW w:w="1803" w:type="dxa"/>
            <w:vAlign w:val="center"/>
          </w:tcPr>
          <w:p w14:paraId="1CEE97A6">
            <w:pPr>
              <w:autoSpaceDE w:val="0"/>
              <w:autoSpaceDN w:val="0"/>
              <w:adjustRightInd w:val="0"/>
              <w:snapToGrid w:val="0"/>
              <w:ind w:right="180"/>
              <w:jc w:val="right"/>
              <w:rPr>
                <w:rFonts w:ascii="Calibri" w:hAnsi="Calibri"/>
                <w:sz w:val="20"/>
                <w:szCs w:val="20"/>
              </w:rPr>
            </w:pPr>
            <w:r>
              <w:rPr>
                <w:rFonts w:ascii="Calibri" w:hAnsi="Calibri"/>
                <w:sz w:val="20"/>
                <w:szCs w:val="20"/>
              </w:rPr>
              <w:t>1,027,149,340.36</w:t>
            </w:r>
          </w:p>
        </w:tc>
      </w:tr>
      <w:tr w14:paraId="3504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71" w:type="dxa"/>
            <w:vAlign w:val="center"/>
          </w:tcPr>
          <w:p w14:paraId="1B18299D">
            <w:pPr>
              <w:autoSpaceDE w:val="0"/>
              <w:autoSpaceDN w:val="0"/>
              <w:adjustRightInd w:val="0"/>
              <w:snapToGrid w:val="0"/>
              <w:jc w:val="both"/>
              <w:rPr>
                <w:rFonts w:ascii="Calibri" w:hAnsi="Calibri"/>
                <w:sz w:val="20"/>
                <w:szCs w:val="20"/>
              </w:rPr>
            </w:pPr>
            <w:r>
              <w:rPr>
                <w:rFonts w:hint="eastAsia" w:ascii="Calibri" w:hAnsi="Calibri"/>
                <w:sz w:val="20"/>
                <w:szCs w:val="20"/>
              </w:rPr>
              <w:t>任意盈余公积</w:t>
            </w:r>
          </w:p>
        </w:tc>
        <w:tc>
          <w:tcPr>
            <w:tcW w:w="1798" w:type="dxa"/>
            <w:vAlign w:val="center"/>
          </w:tcPr>
          <w:p w14:paraId="5B14046B">
            <w:pPr>
              <w:autoSpaceDE w:val="0"/>
              <w:autoSpaceDN w:val="0"/>
              <w:adjustRightInd w:val="0"/>
              <w:snapToGrid w:val="0"/>
              <w:ind w:right="180"/>
              <w:jc w:val="right"/>
              <w:rPr>
                <w:rFonts w:ascii="Calibri" w:hAnsi="Calibri"/>
                <w:sz w:val="20"/>
                <w:szCs w:val="20"/>
              </w:rPr>
            </w:pPr>
          </w:p>
        </w:tc>
        <w:tc>
          <w:tcPr>
            <w:tcW w:w="1803" w:type="dxa"/>
            <w:vAlign w:val="center"/>
          </w:tcPr>
          <w:p w14:paraId="47A539EC">
            <w:pPr>
              <w:autoSpaceDE w:val="0"/>
              <w:autoSpaceDN w:val="0"/>
              <w:adjustRightInd w:val="0"/>
              <w:snapToGrid w:val="0"/>
              <w:ind w:right="180"/>
              <w:jc w:val="right"/>
              <w:rPr>
                <w:rFonts w:ascii="Calibri" w:hAnsi="Calibri"/>
                <w:sz w:val="20"/>
                <w:szCs w:val="20"/>
              </w:rPr>
            </w:pPr>
          </w:p>
        </w:tc>
        <w:tc>
          <w:tcPr>
            <w:tcW w:w="1815" w:type="dxa"/>
            <w:vAlign w:val="center"/>
          </w:tcPr>
          <w:p w14:paraId="4244B05B">
            <w:pPr>
              <w:autoSpaceDE w:val="0"/>
              <w:autoSpaceDN w:val="0"/>
              <w:adjustRightInd w:val="0"/>
              <w:snapToGrid w:val="0"/>
              <w:ind w:right="180"/>
              <w:jc w:val="right"/>
              <w:rPr>
                <w:rFonts w:ascii="Calibri" w:hAnsi="Calibri"/>
                <w:sz w:val="20"/>
                <w:szCs w:val="20"/>
              </w:rPr>
            </w:pPr>
          </w:p>
        </w:tc>
        <w:tc>
          <w:tcPr>
            <w:tcW w:w="1803" w:type="dxa"/>
            <w:vAlign w:val="center"/>
          </w:tcPr>
          <w:p w14:paraId="0A03DE09">
            <w:pPr>
              <w:autoSpaceDE w:val="0"/>
              <w:autoSpaceDN w:val="0"/>
              <w:adjustRightInd w:val="0"/>
              <w:snapToGrid w:val="0"/>
              <w:ind w:right="180"/>
              <w:jc w:val="right"/>
              <w:rPr>
                <w:rFonts w:ascii="Calibri" w:hAnsi="Calibri"/>
                <w:sz w:val="20"/>
                <w:szCs w:val="20"/>
              </w:rPr>
            </w:pPr>
          </w:p>
        </w:tc>
      </w:tr>
      <w:tr w14:paraId="0415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71" w:type="dxa"/>
            <w:vAlign w:val="center"/>
          </w:tcPr>
          <w:p w14:paraId="6D9E11D2">
            <w:pPr>
              <w:autoSpaceDE w:val="0"/>
              <w:autoSpaceDN w:val="0"/>
              <w:adjustRightInd w:val="0"/>
              <w:snapToGrid w:val="0"/>
              <w:jc w:val="both"/>
              <w:rPr>
                <w:rFonts w:ascii="Calibri" w:hAnsi="Calibri"/>
                <w:sz w:val="20"/>
                <w:szCs w:val="20"/>
              </w:rPr>
            </w:pPr>
            <w:r>
              <w:rPr>
                <w:rFonts w:hint="eastAsia" w:ascii="Calibri" w:hAnsi="Calibri"/>
                <w:sz w:val="20"/>
                <w:szCs w:val="20"/>
              </w:rPr>
              <w:t>储备基金</w:t>
            </w:r>
          </w:p>
        </w:tc>
        <w:tc>
          <w:tcPr>
            <w:tcW w:w="1798" w:type="dxa"/>
            <w:vAlign w:val="center"/>
          </w:tcPr>
          <w:p w14:paraId="51F0F790">
            <w:pPr>
              <w:autoSpaceDE w:val="0"/>
              <w:autoSpaceDN w:val="0"/>
              <w:adjustRightInd w:val="0"/>
              <w:snapToGrid w:val="0"/>
              <w:ind w:right="180"/>
              <w:jc w:val="right"/>
              <w:rPr>
                <w:rFonts w:ascii="Calibri" w:hAnsi="Calibri"/>
                <w:sz w:val="20"/>
                <w:szCs w:val="20"/>
              </w:rPr>
            </w:pPr>
          </w:p>
        </w:tc>
        <w:tc>
          <w:tcPr>
            <w:tcW w:w="1803" w:type="dxa"/>
            <w:vAlign w:val="center"/>
          </w:tcPr>
          <w:p w14:paraId="63FA38EA">
            <w:pPr>
              <w:autoSpaceDE w:val="0"/>
              <w:autoSpaceDN w:val="0"/>
              <w:adjustRightInd w:val="0"/>
              <w:snapToGrid w:val="0"/>
              <w:ind w:right="180"/>
              <w:jc w:val="right"/>
              <w:rPr>
                <w:rFonts w:ascii="Calibri" w:hAnsi="Calibri"/>
                <w:sz w:val="20"/>
                <w:szCs w:val="20"/>
              </w:rPr>
            </w:pPr>
          </w:p>
        </w:tc>
        <w:tc>
          <w:tcPr>
            <w:tcW w:w="1815" w:type="dxa"/>
            <w:vAlign w:val="center"/>
          </w:tcPr>
          <w:p w14:paraId="778F869B">
            <w:pPr>
              <w:autoSpaceDE w:val="0"/>
              <w:autoSpaceDN w:val="0"/>
              <w:adjustRightInd w:val="0"/>
              <w:snapToGrid w:val="0"/>
              <w:ind w:right="180"/>
              <w:jc w:val="right"/>
              <w:rPr>
                <w:rFonts w:ascii="Calibri" w:hAnsi="Calibri"/>
                <w:sz w:val="20"/>
                <w:szCs w:val="20"/>
              </w:rPr>
            </w:pPr>
          </w:p>
        </w:tc>
        <w:tc>
          <w:tcPr>
            <w:tcW w:w="1803" w:type="dxa"/>
            <w:vAlign w:val="center"/>
          </w:tcPr>
          <w:p w14:paraId="74A150E0">
            <w:pPr>
              <w:autoSpaceDE w:val="0"/>
              <w:autoSpaceDN w:val="0"/>
              <w:adjustRightInd w:val="0"/>
              <w:snapToGrid w:val="0"/>
              <w:ind w:right="180"/>
              <w:jc w:val="right"/>
              <w:rPr>
                <w:rFonts w:ascii="Calibri" w:hAnsi="Calibri"/>
                <w:sz w:val="20"/>
                <w:szCs w:val="20"/>
              </w:rPr>
            </w:pPr>
          </w:p>
        </w:tc>
      </w:tr>
      <w:tr w14:paraId="2809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71" w:type="dxa"/>
            <w:vAlign w:val="center"/>
          </w:tcPr>
          <w:p w14:paraId="52D7CB02">
            <w:pPr>
              <w:autoSpaceDE w:val="0"/>
              <w:autoSpaceDN w:val="0"/>
              <w:adjustRightInd w:val="0"/>
              <w:snapToGrid w:val="0"/>
              <w:jc w:val="both"/>
              <w:rPr>
                <w:rFonts w:ascii="Calibri" w:hAnsi="Calibri"/>
                <w:sz w:val="20"/>
                <w:szCs w:val="20"/>
              </w:rPr>
            </w:pPr>
            <w:r>
              <w:rPr>
                <w:rFonts w:hint="eastAsia" w:ascii="Calibri" w:hAnsi="Calibri"/>
                <w:sz w:val="20"/>
                <w:szCs w:val="20"/>
              </w:rPr>
              <w:t>企业发展基金</w:t>
            </w:r>
          </w:p>
        </w:tc>
        <w:tc>
          <w:tcPr>
            <w:tcW w:w="1798" w:type="dxa"/>
            <w:vAlign w:val="center"/>
          </w:tcPr>
          <w:p w14:paraId="1080B84C">
            <w:pPr>
              <w:autoSpaceDE w:val="0"/>
              <w:autoSpaceDN w:val="0"/>
              <w:adjustRightInd w:val="0"/>
              <w:snapToGrid w:val="0"/>
              <w:ind w:right="180"/>
              <w:jc w:val="right"/>
              <w:rPr>
                <w:rFonts w:ascii="Calibri" w:hAnsi="Calibri"/>
                <w:sz w:val="20"/>
                <w:szCs w:val="20"/>
              </w:rPr>
            </w:pPr>
          </w:p>
        </w:tc>
        <w:tc>
          <w:tcPr>
            <w:tcW w:w="1803" w:type="dxa"/>
            <w:vAlign w:val="center"/>
          </w:tcPr>
          <w:p w14:paraId="0CBFE140">
            <w:pPr>
              <w:autoSpaceDE w:val="0"/>
              <w:autoSpaceDN w:val="0"/>
              <w:adjustRightInd w:val="0"/>
              <w:snapToGrid w:val="0"/>
              <w:ind w:right="180"/>
              <w:jc w:val="right"/>
              <w:rPr>
                <w:rFonts w:ascii="Calibri" w:hAnsi="Calibri"/>
                <w:sz w:val="20"/>
                <w:szCs w:val="20"/>
              </w:rPr>
            </w:pPr>
          </w:p>
        </w:tc>
        <w:tc>
          <w:tcPr>
            <w:tcW w:w="1815" w:type="dxa"/>
            <w:vAlign w:val="center"/>
          </w:tcPr>
          <w:p w14:paraId="318A5ED6">
            <w:pPr>
              <w:autoSpaceDE w:val="0"/>
              <w:autoSpaceDN w:val="0"/>
              <w:adjustRightInd w:val="0"/>
              <w:snapToGrid w:val="0"/>
              <w:ind w:right="180"/>
              <w:jc w:val="right"/>
              <w:rPr>
                <w:rFonts w:ascii="Calibri" w:hAnsi="Calibri"/>
                <w:sz w:val="20"/>
                <w:szCs w:val="20"/>
              </w:rPr>
            </w:pPr>
          </w:p>
        </w:tc>
        <w:tc>
          <w:tcPr>
            <w:tcW w:w="1803" w:type="dxa"/>
            <w:vAlign w:val="center"/>
          </w:tcPr>
          <w:p w14:paraId="775F4364">
            <w:pPr>
              <w:autoSpaceDE w:val="0"/>
              <w:autoSpaceDN w:val="0"/>
              <w:adjustRightInd w:val="0"/>
              <w:snapToGrid w:val="0"/>
              <w:ind w:right="180"/>
              <w:jc w:val="right"/>
              <w:rPr>
                <w:rFonts w:ascii="Calibri" w:hAnsi="Calibri"/>
                <w:sz w:val="20"/>
                <w:szCs w:val="20"/>
              </w:rPr>
            </w:pPr>
          </w:p>
        </w:tc>
      </w:tr>
      <w:tr w14:paraId="711A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71" w:type="dxa"/>
            <w:vAlign w:val="center"/>
          </w:tcPr>
          <w:p w14:paraId="1CD43733">
            <w:pPr>
              <w:autoSpaceDE w:val="0"/>
              <w:autoSpaceDN w:val="0"/>
              <w:adjustRightInd w:val="0"/>
              <w:snapToGrid w:val="0"/>
              <w:jc w:val="both"/>
              <w:rPr>
                <w:rFonts w:ascii="Calibri" w:hAnsi="Calibri"/>
                <w:sz w:val="20"/>
                <w:szCs w:val="20"/>
              </w:rPr>
            </w:pPr>
            <w:r>
              <w:rPr>
                <w:rFonts w:hint="eastAsia" w:ascii="Calibri" w:hAnsi="Calibri"/>
                <w:sz w:val="20"/>
                <w:szCs w:val="20"/>
              </w:rPr>
              <w:t>其他</w:t>
            </w:r>
          </w:p>
        </w:tc>
        <w:tc>
          <w:tcPr>
            <w:tcW w:w="1798" w:type="dxa"/>
            <w:vAlign w:val="center"/>
          </w:tcPr>
          <w:p w14:paraId="3F1173A3">
            <w:pPr>
              <w:autoSpaceDE w:val="0"/>
              <w:autoSpaceDN w:val="0"/>
              <w:adjustRightInd w:val="0"/>
              <w:snapToGrid w:val="0"/>
              <w:ind w:right="180"/>
              <w:jc w:val="right"/>
              <w:rPr>
                <w:rFonts w:ascii="Calibri" w:hAnsi="Calibri"/>
                <w:sz w:val="20"/>
                <w:szCs w:val="20"/>
              </w:rPr>
            </w:pPr>
          </w:p>
        </w:tc>
        <w:tc>
          <w:tcPr>
            <w:tcW w:w="1803" w:type="dxa"/>
            <w:vAlign w:val="center"/>
          </w:tcPr>
          <w:p w14:paraId="6DBC52D0">
            <w:pPr>
              <w:autoSpaceDE w:val="0"/>
              <w:autoSpaceDN w:val="0"/>
              <w:adjustRightInd w:val="0"/>
              <w:snapToGrid w:val="0"/>
              <w:ind w:right="180"/>
              <w:jc w:val="right"/>
              <w:rPr>
                <w:rFonts w:ascii="Calibri" w:hAnsi="Calibri"/>
                <w:sz w:val="20"/>
                <w:szCs w:val="20"/>
              </w:rPr>
            </w:pPr>
          </w:p>
        </w:tc>
        <w:tc>
          <w:tcPr>
            <w:tcW w:w="1815" w:type="dxa"/>
            <w:vAlign w:val="center"/>
          </w:tcPr>
          <w:p w14:paraId="2343544C">
            <w:pPr>
              <w:autoSpaceDE w:val="0"/>
              <w:autoSpaceDN w:val="0"/>
              <w:adjustRightInd w:val="0"/>
              <w:snapToGrid w:val="0"/>
              <w:ind w:right="180"/>
              <w:jc w:val="right"/>
              <w:rPr>
                <w:rFonts w:ascii="Calibri" w:hAnsi="Calibri"/>
                <w:sz w:val="20"/>
                <w:szCs w:val="20"/>
              </w:rPr>
            </w:pPr>
          </w:p>
        </w:tc>
        <w:tc>
          <w:tcPr>
            <w:tcW w:w="1803" w:type="dxa"/>
            <w:vAlign w:val="center"/>
          </w:tcPr>
          <w:p w14:paraId="63048256">
            <w:pPr>
              <w:autoSpaceDE w:val="0"/>
              <w:autoSpaceDN w:val="0"/>
              <w:adjustRightInd w:val="0"/>
              <w:snapToGrid w:val="0"/>
              <w:ind w:right="180"/>
              <w:jc w:val="right"/>
              <w:rPr>
                <w:rFonts w:ascii="Calibri" w:hAnsi="Calibri"/>
                <w:sz w:val="20"/>
                <w:szCs w:val="20"/>
              </w:rPr>
            </w:pPr>
          </w:p>
        </w:tc>
      </w:tr>
      <w:tr w14:paraId="13BD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71" w:type="dxa"/>
            <w:vAlign w:val="center"/>
          </w:tcPr>
          <w:p w14:paraId="005582F9">
            <w:pPr>
              <w:autoSpaceDE w:val="0"/>
              <w:autoSpaceDN w:val="0"/>
              <w:adjustRightInd w:val="0"/>
              <w:snapToGrid w:val="0"/>
              <w:jc w:val="center"/>
              <w:rPr>
                <w:rFonts w:ascii="Calibri" w:hAnsi="Calibri"/>
                <w:sz w:val="20"/>
                <w:szCs w:val="20"/>
              </w:rPr>
            </w:pPr>
            <w:r>
              <w:rPr>
                <w:rFonts w:hint="eastAsia" w:ascii="Calibri" w:hAnsi="Calibri"/>
                <w:sz w:val="20"/>
                <w:szCs w:val="20"/>
              </w:rPr>
              <w:t>合计</w:t>
            </w:r>
          </w:p>
        </w:tc>
        <w:tc>
          <w:tcPr>
            <w:tcW w:w="1798" w:type="dxa"/>
            <w:vAlign w:val="center"/>
          </w:tcPr>
          <w:p w14:paraId="441D1102">
            <w:pPr>
              <w:autoSpaceDE w:val="0"/>
              <w:autoSpaceDN w:val="0"/>
              <w:adjustRightInd w:val="0"/>
              <w:snapToGrid w:val="0"/>
              <w:ind w:right="180"/>
              <w:jc w:val="right"/>
              <w:rPr>
                <w:rFonts w:ascii="Calibri" w:hAnsi="Calibri"/>
                <w:sz w:val="20"/>
                <w:szCs w:val="20"/>
              </w:rPr>
            </w:pPr>
            <w:r>
              <w:rPr>
                <w:rFonts w:ascii="Calibri" w:hAnsi="Calibri"/>
                <w:sz w:val="20"/>
                <w:szCs w:val="20"/>
              </w:rPr>
              <w:t>1,027,149,340.36</w:t>
            </w:r>
          </w:p>
        </w:tc>
        <w:tc>
          <w:tcPr>
            <w:tcW w:w="1803" w:type="dxa"/>
            <w:vAlign w:val="center"/>
          </w:tcPr>
          <w:p w14:paraId="789C453A">
            <w:pPr>
              <w:autoSpaceDE w:val="0"/>
              <w:autoSpaceDN w:val="0"/>
              <w:adjustRightInd w:val="0"/>
              <w:snapToGrid w:val="0"/>
              <w:ind w:right="180"/>
              <w:jc w:val="right"/>
              <w:rPr>
                <w:rFonts w:ascii="Calibri" w:hAnsi="Calibri"/>
                <w:sz w:val="20"/>
                <w:szCs w:val="20"/>
              </w:rPr>
            </w:pPr>
          </w:p>
        </w:tc>
        <w:tc>
          <w:tcPr>
            <w:tcW w:w="1815" w:type="dxa"/>
            <w:vAlign w:val="center"/>
          </w:tcPr>
          <w:p w14:paraId="51E93697">
            <w:pPr>
              <w:autoSpaceDE w:val="0"/>
              <w:autoSpaceDN w:val="0"/>
              <w:adjustRightInd w:val="0"/>
              <w:snapToGrid w:val="0"/>
              <w:ind w:right="180"/>
              <w:jc w:val="right"/>
              <w:rPr>
                <w:rFonts w:ascii="Calibri" w:hAnsi="Calibri"/>
                <w:sz w:val="20"/>
                <w:szCs w:val="20"/>
              </w:rPr>
            </w:pPr>
          </w:p>
        </w:tc>
        <w:tc>
          <w:tcPr>
            <w:tcW w:w="1803" w:type="dxa"/>
            <w:vAlign w:val="center"/>
          </w:tcPr>
          <w:p w14:paraId="7CD7F4AD">
            <w:pPr>
              <w:autoSpaceDE w:val="0"/>
              <w:autoSpaceDN w:val="0"/>
              <w:adjustRightInd w:val="0"/>
              <w:snapToGrid w:val="0"/>
              <w:ind w:right="180"/>
              <w:jc w:val="right"/>
              <w:rPr>
                <w:rFonts w:ascii="Calibri" w:hAnsi="Calibri"/>
                <w:sz w:val="20"/>
                <w:szCs w:val="20"/>
              </w:rPr>
            </w:pPr>
            <w:r>
              <w:rPr>
                <w:rFonts w:ascii="Calibri" w:hAnsi="Calibri"/>
                <w:sz w:val="20"/>
                <w:szCs w:val="20"/>
              </w:rPr>
              <w:t>1,027,149,340.36</w:t>
            </w:r>
          </w:p>
        </w:tc>
      </w:tr>
    </w:tbl>
    <w:p w14:paraId="7B772385">
      <w:pPr>
        <w:spacing w:before="60" w:after="60"/>
      </w:pPr>
      <w:r>
        <w:rPr>
          <w:rFonts w:hint="eastAsia"/>
        </w:rPr>
        <w:t>盈余公积说明，包括本期增减变动情况、变动原因说明：</w:t>
      </w:r>
    </w:p>
    <w:sdt>
      <w:sdtPr>
        <w:alias w:val="盈余公积说明"/>
        <w:tag w:val="_GBC_538b8c4ba55d480592f5f9485177617e"/>
        <w:id w:val="287400172"/>
        <w:placeholder>
          <w:docPart w:val="GBC22222222222222222222222222222"/>
        </w:placeholder>
      </w:sdtPr>
      <w:sdtContent>
        <w:p w14:paraId="7BB26B7B">
          <w:pPr>
            <w:autoSpaceDE w:val="0"/>
            <w:autoSpaceDN w:val="0"/>
            <w:adjustRightInd w:val="0"/>
            <w:spacing w:line="360" w:lineRule="auto"/>
            <w:ind w:firstLine="420" w:firstLineChars="200"/>
          </w:pPr>
          <w:r>
            <w:rPr>
              <w:rFonts w:hint="eastAsia"/>
            </w:rPr>
            <w:t>公司的法定盈余公积金累计已达到注册资本的50%以上，报告期不再提取。</w:t>
          </w:r>
        </w:p>
      </w:sdtContent>
    </w:sdt>
    <w:p w14:paraId="5F66456D">
      <w:pPr>
        <w:autoSpaceDE w:val="0"/>
        <w:autoSpaceDN w:val="0"/>
        <w:adjustRightInd w:val="0"/>
        <w:rPr>
          <w:color w:val="000000" w:themeColor="text1"/>
          <w14:textFill>
            <w14:solidFill>
              <w14:schemeClr w14:val="tx1"/>
            </w14:solidFill>
          </w14:textFill>
        </w:rPr>
      </w:pPr>
    </w:p>
    <w:p w14:paraId="3E88AB6C">
      <w:pPr>
        <w:pStyle w:val="4"/>
        <w:numPr>
          <w:ilvl w:val="0"/>
          <w:numId w:val="61"/>
        </w:numPr>
        <w:rPr>
          <w:szCs w:val="21"/>
        </w:rPr>
      </w:pPr>
      <w:r>
        <w:rPr>
          <w:szCs w:val="21"/>
        </w:rPr>
        <w:t>未分配利润</w:t>
      </w:r>
    </w:p>
    <w:p w14:paraId="10CC0EC8">
      <w:pPr>
        <w:pStyle w:val="48"/>
      </w:pPr>
      <w:sdt>
        <w:sdtPr>
          <w:alias w:val="是否适用：未分配利润[双击切换]"/>
          <w:tag w:val="_GBC_0ccb002da9b649db91afd1ca2a9330f8"/>
          <w:id w:val="-1940048642"/>
          <w:lock w:val="contentLocked"/>
          <w:placeholder>
            <w:docPart w:val="GBC22222222222222222222222222222"/>
          </w:placeholder>
        </w:sdtPr>
        <w:sdtContent>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7443E037">
      <w:pPr>
        <w:jc w:val="right"/>
      </w:pPr>
      <w:r>
        <w:rPr>
          <w:rFonts w:hint="eastAsia"/>
        </w:rPr>
        <w:t>单位：</w:t>
      </w:r>
      <w:sdt>
        <w:sdtPr>
          <w:rPr>
            <w:rFonts w:hint="eastAsia"/>
          </w:rPr>
          <w:alias w:val="单位：财务附注：未分配利润"/>
          <w:tag w:val="_GBC_fc12fabcd66949d39f6f74b747284465"/>
          <w:id w:val="12912570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分配利润"/>
          <w:tag w:val="_GBC_7b3accd97aa744c08d773ec06b05684e"/>
          <w:id w:val="-4231859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491"/>
        <w:gridCol w:w="2826"/>
        <w:gridCol w:w="2739"/>
      </w:tblGrid>
      <w:tr w14:paraId="3AD9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0da0a90f08b46f090b6fee887a691bc"/>
            <w:id w:val="833964854"/>
          </w:sdtPr>
          <w:sdtContent>
            <w:tc>
              <w:tcPr>
                <w:tcW w:w="3491" w:type="dxa"/>
                <w:vAlign w:val="center"/>
              </w:tcPr>
              <w:p w14:paraId="65E57C51">
                <w:pPr>
                  <w:jc w:val="center"/>
                  <w:rPr>
                    <w:rFonts w:ascii="Calibri" w:hAnsi="Calibri"/>
                    <w:sz w:val="20"/>
                    <w:szCs w:val="20"/>
                  </w:rPr>
                </w:pPr>
                <w:r>
                  <w:rPr>
                    <w:rFonts w:hint="eastAsia" w:ascii="Calibri" w:hAnsi="Calibri"/>
                    <w:sz w:val="20"/>
                    <w:szCs w:val="20"/>
                  </w:rPr>
                  <w:t>项目</w:t>
                </w:r>
              </w:p>
            </w:tc>
          </w:sdtContent>
        </w:sdt>
        <w:sdt>
          <w:sdtPr>
            <w:tag w:val="_PLD_27c0ff4064964dc5b9e335151d04b603"/>
            <w:id w:val="-1334137818"/>
          </w:sdtPr>
          <w:sdtContent>
            <w:tc>
              <w:tcPr>
                <w:tcW w:w="2826" w:type="dxa"/>
                <w:vAlign w:val="center"/>
              </w:tcPr>
              <w:p w14:paraId="3AAA6DF6">
                <w:pPr>
                  <w:jc w:val="center"/>
                  <w:rPr>
                    <w:rFonts w:ascii="Calibri" w:hAnsi="Calibri"/>
                    <w:sz w:val="20"/>
                    <w:szCs w:val="20"/>
                  </w:rPr>
                </w:pPr>
                <w:r>
                  <w:rPr>
                    <w:rFonts w:hint="eastAsia" w:ascii="Calibri" w:hAnsi="Calibri"/>
                    <w:sz w:val="20"/>
                    <w:szCs w:val="20"/>
                  </w:rPr>
                  <w:t>本期</w:t>
                </w:r>
              </w:p>
            </w:tc>
          </w:sdtContent>
        </w:sdt>
        <w:sdt>
          <w:sdtPr>
            <w:tag w:val="_PLD_613460741a0147b7be8212812793694e"/>
            <w:id w:val="-1854643724"/>
          </w:sdtPr>
          <w:sdtContent>
            <w:tc>
              <w:tcPr>
                <w:tcW w:w="2739" w:type="dxa"/>
                <w:vAlign w:val="center"/>
              </w:tcPr>
              <w:p w14:paraId="4446952C">
                <w:pPr>
                  <w:jc w:val="center"/>
                  <w:rPr>
                    <w:rFonts w:ascii="Calibri" w:hAnsi="Calibri"/>
                    <w:sz w:val="20"/>
                    <w:szCs w:val="20"/>
                  </w:rPr>
                </w:pPr>
                <w:r>
                  <w:rPr>
                    <w:rFonts w:hint="eastAsia" w:ascii="Calibri" w:hAnsi="Calibri"/>
                    <w:sz w:val="20"/>
                    <w:szCs w:val="20"/>
                  </w:rPr>
                  <w:t>上期</w:t>
                </w:r>
              </w:p>
            </w:tc>
          </w:sdtContent>
        </w:sdt>
      </w:tr>
      <w:tr w14:paraId="6980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491" w:type="dxa"/>
            <w:vAlign w:val="center"/>
          </w:tcPr>
          <w:p w14:paraId="6ABA7027">
            <w:pPr>
              <w:pStyle w:val="48"/>
              <w:rPr>
                <w:sz w:val="20"/>
                <w:szCs w:val="20"/>
              </w:rPr>
            </w:pPr>
            <w:r>
              <w:rPr>
                <w:rFonts w:hint="eastAsia"/>
                <w:sz w:val="20"/>
                <w:szCs w:val="20"/>
              </w:rPr>
              <w:t>调整前上期末未分配利润</w:t>
            </w:r>
          </w:p>
        </w:tc>
        <w:tc>
          <w:tcPr>
            <w:tcW w:w="2826" w:type="dxa"/>
            <w:vAlign w:val="center"/>
          </w:tcPr>
          <w:p w14:paraId="18AEE41C">
            <w:pPr>
              <w:ind w:right="6"/>
              <w:jc w:val="right"/>
              <w:rPr>
                <w:rFonts w:ascii="Calibri" w:hAnsi="Calibri"/>
                <w:sz w:val="20"/>
                <w:szCs w:val="20"/>
              </w:rPr>
            </w:pPr>
            <w:r>
              <w:rPr>
                <w:rFonts w:ascii="Calibri" w:hAnsi="Calibri"/>
                <w:sz w:val="20"/>
                <w:szCs w:val="20"/>
              </w:rPr>
              <w:t>3,160,028,831.05</w:t>
            </w:r>
          </w:p>
        </w:tc>
        <w:tc>
          <w:tcPr>
            <w:tcW w:w="2739" w:type="dxa"/>
            <w:vAlign w:val="center"/>
          </w:tcPr>
          <w:p w14:paraId="6254ECDB">
            <w:pPr>
              <w:jc w:val="right"/>
              <w:rPr>
                <w:rFonts w:ascii="Calibri" w:hAnsi="Calibri"/>
                <w:sz w:val="20"/>
                <w:szCs w:val="20"/>
              </w:rPr>
            </w:pPr>
            <w:r>
              <w:rPr>
                <w:rFonts w:ascii="Calibri" w:hAnsi="Calibri"/>
                <w:sz w:val="20"/>
                <w:szCs w:val="20"/>
              </w:rPr>
              <w:t>3,697,417,176.64</w:t>
            </w:r>
          </w:p>
        </w:tc>
      </w:tr>
      <w:tr w14:paraId="1408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491" w:type="dxa"/>
            <w:vAlign w:val="center"/>
          </w:tcPr>
          <w:p w14:paraId="11AB1224">
            <w:pPr>
              <w:pStyle w:val="48"/>
              <w:rPr>
                <w:sz w:val="20"/>
                <w:szCs w:val="20"/>
              </w:rPr>
            </w:pPr>
            <w:r>
              <w:rPr>
                <w:rFonts w:hint="eastAsia"/>
                <w:sz w:val="20"/>
                <w:szCs w:val="20"/>
              </w:rPr>
              <w:t>调整期初未分配利润合计数（调增</w:t>
            </w:r>
            <w:r>
              <w:rPr>
                <w:sz w:val="20"/>
                <w:szCs w:val="20"/>
              </w:rPr>
              <w:t>+</w:t>
            </w:r>
            <w:r>
              <w:rPr>
                <w:rFonts w:hint="eastAsia"/>
                <w:sz w:val="20"/>
                <w:szCs w:val="20"/>
              </w:rPr>
              <w:t>，调减－）</w:t>
            </w:r>
          </w:p>
        </w:tc>
        <w:tc>
          <w:tcPr>
            <w:tcW w:w="2826" w:type="dxa"/>
            <w:vAlign w:val="center"/>
          </w:tcPr>
          <w:p w14:paraId="761ED8BC">
            <w:pPr>
              <w:ind w:right="6"/>
              <w:jc w:val="right"/>
              <w:rPr>
                <w:rFonts w:ascii="Calibri" w:hAnsi="Calibri"/>
                <w:sz w:val="20"/>
                <w:szCs w:val="20"/>
              </w:rPr>
            </w:pPr>
          </w:p>
        </w:tc>
        <w:tc>
          <w:tcPr>
            <w:tcW w:w="2739" w:type="dxa"/>
            <w:vAlign w:val="center"/>
          </w:tcPr>
          <w:p w14:paraId="020BFD80">
            <w:pPr>
              <w:ind w:right="6"/>
              <w:jc w:val="right"/>
              <w:rPr>
                <w:rFonts w:ascii="Calibri" w:hAnsi="Calibri"/>
                <w:sz w:val="20"/>
                <w:szCs w:val="20"/>
              </w:rPr>
            </w:pPr>
          </w:p>
        </w:tc>
      </w:tr>
      <w:tr w14:paraId="7F4C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491" w:type="dxa"/>
            <w:vAlign w:val="center"/>
          </w:tcPr>
          <w:p w14:paraId="4EF369AA">
            <w:pPr>
              <w:pStyle w:val="48"/>
              <w:rPr>
                <w:sz w:val="20"/>
                <w:szCs w:val="20"/>
              </w:rPr>
            </w:pPr>
            <w:r>
              <w:rPr>
                <w:rFonts w:hint="eastAsia"/>
                <w:sz w:val="20"/>
                <w:szCs w:val="20"/>
              </w:rPr>
              <w:t>调整后期初未分配利润</w:t>
            </w:r>
          </w:p>
        </w:tc>
        <w:tc>
          <w:tcPr>
            <w:tcW w:w="2826" w:type="dxa"/>
            <w:vAlign w:val="center"/>
          </w:tcPr>
          <w:p w14:paraId="552D89F9">
            <w:pPr>
              <w:ind w:right="6"/>
              <w:jc w:val="right"/>
              <w:rPr>
                <w:rFonts w:ascii="Calibri" w:hAnsi="Calibri"/>
                <w:sz w:val="20"/>
                <w:szCs w:val="20"/>
              </w:rPr>
            </w:pPr>
            <w:r>
              <w:rPr>
                <w:rFonts w:ascii="Calibri" w:hAnsi="Calibri"/>
                <w:sz w:val="20"/>
                <w:szCs w:val="20"/>
              </w:rPr>
              <w:t>3,160,028,831.05</w:t>
            </w:r>
          </w:p>
        </w:tc>
        <w:tc>
          <w:tcPr>
            <w:tcW w:w="2739" w:type="dxa"/>
            <w:vAlign w:val="center"/>
          </w:tcPr>
          <w:p w14:paraId="34DEF1B6">
            <w:pPr>
              <w:ind w:right="6"/>
              <w:jc w:val="right"/>
              <w:rPr>
                <w:rFonts w:ascii="Calibri" w:hAnsi="Calibri"/>
                <w:sz w:val="20"/>
                <w:szCs w:val="20"/>
              </w:rPr>
            </w:pPr>
            <w:r>
              <w:rPr>
                <w:rFonts w:ascii="Calibri" w:hAnsi="Calibri"/>
                <w:sz w:val="20"/>
                <w:szCs w:val="20"/>
              </w:rPr>
              <w:t>3,697,417,176.64</w:t>
            </w:r>
          </w:p>
        </w:tc>
      </w:tr>
      <w:tr w14:paraId="5C90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491" w:type="dxa"/>
            <w:vAlign w:val="center"/>
          </w:tcPr>
          <w:p w14:paraId="3B0CDFA5">
            <w:pPr>
              <w:ind w:right="6"/>
              <w:rPr>
                <w:rFonts w:ascii="Calibri" w:hAnsi="Calibri"/>
                <w:sz w:val="20"/>
                <w:szCs w:val="20"/>
              </w:rPr>
            </w:pPr>
            <w:r>
              <w:rPr>
                <w:rFonts w:hint="eastAsia" w:ascii="Calibri" w:hAnsi="Calibri"/>
                <w:sz w:val="20"/>
                <w:szCs w:val="20"/>
              </w:rPr>
              <w:t>加：本期归属于母公司所有者的净利润</w:t>
            </w:r>
          </w:p>
        </w:tc>
        <w:tc>
          <w:tcPr>
            <w:tcW w:w="2826" w:type="dxa"/>
            <w:vAlign w:val="center"/>
          </w:tcPr>
          <w:p w14:paraId="645EE33C">
            <w:pPr>
              <w:ind w:right="6"/>
              <w:jc w:val="right"/>
              <w:rPr>
                <w:rFonts w:ascii="Calibri" w:hAnsi="Calibri"/>
                <w:sz w:val="20"/>
                <w:szCs w:val="20"/>
              </w:rPr>
            </w:pPr>
            <w:r>
              <w:rPr>
                <w:rFonts w:ascii="Calibri" w:hAnsi="Calibri"/>
                <w:sz w:val="20"/>
                <w:szCs w:val="20"/>
              </w:rPr>
              <w:t>1,219,052,875.25</w:t>
            </w:r>
          </w:p>
        </w:tc>
        <w:tc>
          <w:tcPr>
            <w:tcW w:w="2739" w:type="dxa"/>
            <w:vAlign w:val="center"/>
          </w:tcPr>
          <w:p w14:paraId="34C7A578">
            <w:pPr>
              <w:ind w:right="6"/>
              <w:jc w:val="right"/>
              <w:rPr>
                <w:rFonts w:ascii="Calibri" w:hAnsi="Calibri"/>
                <w:sz w:val="20"/>
                <w:szCs w:val="20"/>
              </w:rPr>
            </w:pPr>
            <w:r>
              <w:rPr>
                <w:rFonts w:ascii="Calibri" w:hAnsi="Calibri"/>
                <w:sz w:val="20"/>
                <w:szCs w:val="20"/>
              </w:rPr>
              <w:t>-41,954,827.09</w:t>
            </w:r>
          </w:p>
        </w:tc>
      </w:tr>
      <w:tr w14:paraId="017C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491" w:type="dxa"/>
            <w:vAlign w:val="center"/>
          </w:tcPr>
          <w:p w14:paraId="291DEFD7">
            <w:pPr>
              <w:autoSpaceDE w:val="0"/>
              <w:autoSpaceDN w:val="0"/>
              <w:adjustRightInd w:val="0"/>
              <w:rPr>
                <w:rFonts w:ascii="Calibri" w:hAnsi="Calibri"/>
                <w:sz w:val="20"/>
                <w:szCs w:val="20"/>
              </w:rPr>
            </w:pPr>
            <w:r>
              <w:rPr>
                <w:rFonts w:hint="eastAsia" w:ascii="Calibri" w:hAnsi="Calibri"/>
                <w:sz w:val="20"/>
                <w:szCs w:val="20"/>
              </w:rPr>
              <w:t>减：提取法定盈余公积</w:t>
            </w:r>
          </w:p>
        </w:tc>
        <w:tc>
          <w:tcPr>
            <w:tcW w:w="2826" w:type="dxa"/>
            <w:vAlign w:val="center"/>
          </w:tcPr>
          <w:p w14:paraId="696DB366">
            <w:pPr>
              <w:jc w:val="right"/>
              <w:rPr>
                <w:rFonts w:ascii="Calibri" w:hAnsi="Calibri"/>
                <w:sz w:val="20"/>
                <w:szCs w:val="20"/>
              </w:rPr>
            </w:pPr>
          </w:p>
        </w:tc>
        <w:tc>
          <w:tcPr>
            <w:tcW w:w="2739" w:type="dxa"/>
            <w:vAlign w:val="center"/>
          </w:tcPr>
          <w:p w14:paraId="1ED626E0">
            <w:pPr>
              <w:ind w:right="6"/>
              <w:jc w:val="right"/>
              <w:rPr>
                <w:rFonts w:ascii="Calibri" w:hAnsi="Calibri"/>
                <w:sz w:val="20"/>
                <w:szCs w:val="20"/>
              </w:rPr>
            </w:pPr>
          </w:p>
        </w:tc>
      </w:tr>
      <w:tr w14:paraId="7A1F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491" w:type="dxa"/>
            <w:vAlign w:val="center"/>
          </w:tcPr>
          <w:p w14:paraId="422448BF">
            <w:pPr>
              <w:autoSpaceDE w:val="0"/>
              <w:autoSpaceDN w:val="0"/>
              <w:adjustRightInd w:val="0"/>
              <w:ind w:firstLine="420"/>
              <w:rPr>
                <w:rFonts w:ascii="Calibri" w:hAnsi="Calibri"/>
                <w:sz w:val="20"/>
                <w:szCs w:val="20"/>
              </w:rPr>
            </w:pPr>
            <w:r>
              <w:rPr>
                <w:rFonts w:hint="eastAsia" w:ascii="Calibri" w:hAnsi="Calibri"/>
                <w:sz w:val="20"/>
                <w:szCs w:val="20"/>
              </w:rPr>
              <w:t>提取任意盈余公积</w:t>
            </w:r>
          </w:p>
        </w:tc>
        <w:tc>
          <w:tcPr>
            <w:tcW w:w="2826" w:type="dxa"/>
            <w:vAlign w:val="center"/>
          </w:tcPr>
          <w:p w14:paraId="22E730F9">
            <w:pPr>
              <w:jc w:val="right"/>
              <w:rPr>
                <w:rFonts w:ascii="Calibri" w:hAnsi="Calibri"/>
                <w:sz w:val="20"/>
                <w:szCs w:val="20"/>
              </w:rPr>
            </w:pPr>
          </w:p>
        </w:tc>
        <w:tc>
          <w:tcPr>
            <w:tcW w:w="2739" w:type="dxa"/>
            <w:vAlign w:val="center"/>
          </w:tcPr>
          <w:p w14:paraId="2A96BE87">
            <w:pPr>
              <w:ind w:right="6"/>
              <w:jc w:val="right"/>
              <w:rPr>
                <w:rFonts w:ascii="Calibri" w:hAnsi="Calibri"/>
                <w:sz w:val="20"/>
                <w:szCs w:val="20"/>
              </w:rPr>
            </w:pPr>
          </w:p>
        </w:tc>
      </w:tr>
      <w:tr w14:paraId="069B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491" w:type="dxa"/>
            <w:vAlign w:val="center"/>
          </w:tcPr>
          <w:p w14:paraId="7FDC15C4">
            <w:pPr>
              <w:autoSpaceDE w:val="0"/>
              <w:autoSpaceDN w:val="0"/>
              <w:adjustRightInd w:val="0"/>
              <w:ind w:firstLine="420"/>
              <w:rPr>
                <w:rFonts w:ascii="Calibri" w:hAnsi="Calibri"/>
                <w:sz w:val="20"/>
                <w:szCs w:val="20"/>
              </w:rPr>
            </w:pPr>
            <w:r>
              <w:rPr>
                <w:rFonts w:hint="eastAsia" w:ascii="Calibri" w:hAnsi="Calibri"/>
                <w:sz w:val="20"/>
                <w:szCs w:val="20"/>
              </w:rPr>
              <w:t>提取一般风险准备</w:t>
            </w:r>
          </w:p>
        </w:tc>
        <w:tc>
          <w:tcPr>
            <w:tcW w:w="2826" w:type="dxa"/>
            <w:vAlign w:val="center"/>
          </w:tcPr>
          <w:p w14:paraId="756A9661">
            <w:pPr>
              <w:jc w:val="right"/>
              <w:rPr>
                <w:rFonts w:ascii="Calibri" w:hAnsi="Calibri"/>
                <w:sz w:val="20"/>
                <w:szCs w:val="20"/>
              </w:rPr>
            </w:pPr>
          </w:p>
        </w:tc>
        <w:tc>
          <w:tcPr>
            <w:tcW w:w="2739" w:type="dxa"/>
            <w:vAlign w:val="center"/>
          </w:tcPr>
          <w:p w14:paraId="6BFB937B">
            <w:pPr>
              <w:ind w:right="6"/>
              <w:jc w:val="right"/>
              <w:rPr>
                <w:rFonts w:ascii="Calibri" w:hAnsi="Calibri"/>
                <w:sz w:val="20"/>
                <w:szCs w:val="20"/>
              </w:rPr>
            </w:pPr>
          </w:p>
        </w:tc>
      </w:tr>
      <w:tr w14:paraId="6E92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491" w:type="dxa"/>
            <w:vAlign w:val="center"/>
          </w:tcPr>
          <w:p w14:paraId="114AD798">
            <w:pPr>
              <w:autoSpaceDE w:val="0"/>
              <w:autoSpaceDN w:val="0"/>
              <w:adjustRightInd w:val="0"/>
              <w:ind w:firstLine="420"/>
              <w:rPr>
                <w:rFonts w:ascii="Calibri" w:hAnsi="Calibri"/>
                <w:sz w:val="20"/>
                <w:szCs w:val="20"/>
              </w:rPr>
            </w:pPr>
            <w:r>
              <w:rPr>
                <w:rFonts w:hint="eastAsia" w:ascii="Calibri" w:hAnsi="Calibri"/>
                <w:sz w:val="20"/>
                <w:szCs w:val="20"/>
              </w:rPr>
              <w:t>应付普通股股利</w:t>
            </w:r>
          </w:p>
        </w:tc>
        <w:tc>
          <w:tcPr>
            <w:tcW w:w="2826" w:type="dxa"/>
            <w:vAlign w:val="center"/>
          </w:tcPr>
          <w:p w14:paraId="0B2A5E92">
            <w:pPr>
              <w:jc w:val="right"/>
              <w:rPr>
                <w:rFonts w:ascii="Calibri" w:hAnsi="Calibri"/>
                <w:sz w:val="20"/>
                <w:szCs w:val="20"/>
              </w:rPr>
            </w:pPr>
            <w:r>
              <w:rPr>
                <w:rFonts w:ascii="Calibri" w:hAnsi="Calibri"/>
                <w:sz w:val="20"/>
                <w:szCs w:val="20"/>
              </w:rPr>
              <w:t>485,866,253.00</w:t>
            </w:r>
          </w:p>
        </w:tc>
        <w:tc>
          <w:tcPr>
            <w:tcW w:w="2739" w:type="dxa"/>
            <w:vAlign w:val="center"/>
          </w:tcPr>
          <w:p w14:paraId="08E0D909">
            <w:pPr>
              <w:ind w:right="6"/>
              <w:jc w:val="right"/>
              <w:rPr>
                <w:rFonts w:ascii="Calibri" w:hAnsi="Calibri"/>
                <w:sz w:val="20"/>
                <w:szCs w:val="20"/>
              </w:rPr>
            </w:pPr>
            <w:r>
              <w:rPr>
                <w:rFonts w:ascii="Calibri" w:hAnsi="Calibri"/>
                <w:sz w:val="20"/>
                <w:szCs w:val="20"/>
              </w:rPr>
              <w:t>495,433,518.50</w:t>
            </w:r>
          </w:p>
        </w:tc>
      </w:tr>
      <w:tr w14:paraId="4450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491" w:type="dxa"/>
            <w:vAlign w:val="center"/>
          </w:tcPr>
          <w:p w14:paraId="685712AD">
            <w:pPr>
              <w:autoSpaceDE w:val="0"/>
              <w:autoSpaceDN w:val="0"/>
              <w:adjustRightInd w:val="0"/>
              <w:ind w:firstLine="420"/>
              <w:rPr>
                <w:rFonts w:ascii="Calibri" w:hAnsi="Calibri"/>
                <w:sz w:val="20"/>
                <w:szCs w:val="20"/>
              </w:rPr>
            </w:pPr>
            <w:r>
              <w:rPr>
                <w:rFonts w:hint="eastAsia" w:ascii="Calibri" w:hAnsi="Calibri"/>
                <w:sz w:val="20"/>
                <w:szCs w:val="20"/>
              </w:rPr>
              <w:t>转作股本的普通股股利</w:t>
            </w:r>
          </w:p>
        </w:tc>
        <w:tc>
          <w:tcPr>
            <w:tcW w:w="2826" w:type="dxa"/>
            <w:vAlign w:val="center"/>
          </w:tcPr>
          <w:p w14:paraId="57163DEE">
            <w:pPr>
              <w:jc w:val="right"/>
              <w:rPr>
                <w:rFonts w:ascii="Calibri" w:hAnsi="Calibri"/>
                <w:sz w:val="20"/>
                <w:szCs w:val="20"/>
              </w:rPr>
            </w:pPr>
          </w:p>
        </w:tc>
        <w:tc>
          <w:tcPr>
            <w:tcW w:w="2739" w:type="dxa"/>
            <w:vAlign w:val="center"/>
          </w:tcPr>
          <w:p w14:paraId="6247BE50">
            <w:pPr>
              <w:ind w:right="6"/>
              <w:jc w:val="right"/>
              <w:rPr>
                <w:rFonts w:ascii="Calibri" w:hAnsi="Calibri"/>
                <w:sz w:val="20"/>
                <w:szCs w:val="20"/>
              </w:rPr>
            </w:pPr>
          </w:p>
        </w:tc>
      </w:tr>
      <w:tr w14:paraId="3B34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491" w:type="dxa"/>
            <w:vAlign w:val="center"/>
          </w:tcPr>
          <w:p w14:paraId="4A1EAAEF">
            <w:pPr>
              <w:autoSpaceDE w:val="0"/>
              <w:autoSpaceDN w:val="0"/>
              <w:adjustRightInd w:val="0"/>
              <w:rPr>
                <w:rFonts w:ascii="Calibri" w:hAnsi="Calibri"/>
                <w:sz w:val="20"/>
                <w:szCs w:val="20"/>
              </w:rPr>
            </w:pPr>
            <w:r>
              <w:rPr>
                <w:rFonts w:hint="eastAsia" w:ascii="Calibri" w:hAnsi="Calibri"/>
                <w:sz w:val="20"/>
                <w:szCs w:val="20"/>
              </w:rPr>
              <w:t>期末未分配利润</w:t>
            </w:r>
          </w:p>
        </w:tc>
        <w:tc>
          <w:tcPr>
            <w:tcW w:w="2826" w:type="dxa"/>
            <w:vAlign w:val="center"/>
          </w:tcPr>
          <w:p w14:paraId="030D19CD">
            <w:pPr>
              <w:jc w:val="right"/>
              <w:rPr>
                <w:rFonts w:ascii="Calibri" w:hAnsi="Calibri"/>
                <w:sz w:val="20"/>
                <w:szCs w:val="20"/>
              </w:rPr>
            </w:pPr>
            <w:r>
              <w:rPr>
                <w:rFonts w:ascii="Calibri" w:hAnsi="Calibri"/>
                <w:sz w:val="20"/>
                <w:szCs w:val="20"/>
              </w:rPr>
              <w:t>3,893,215,453.30</w:t>
            </w:r>
          </w:p>
        </w:tc>
        <w:tc>
          <w:tcPr>
            <w:tcW w:w="2739" w:type="dxa"/>
            <w:vAlign w:val="center"/>
          </w:tcPr>
          <w:p w14:paraId="5FD85B5C">
            <w:pPr>
              <w:ind w:right="6"/>
              <w:jc w:val="right"/>
              <w:rPr>
                <w:rFonts w:ascii="Calibri" w:hAnsi="Calibri"/>
                <w:sz w:val="20"/>
                <w:szCs w:val="20"/>
              </w:rPr>
            </w:pPr>
            <w:r>
              <w:rPr>
                <w:rFonts w:ascii="Calibri" w:hAnsi="Calibri"/>
                <w:sz w:val="20"/>
                <w:szCs w:val="20"/>
              </w:rPr>
              <w:t>3,160,028,831.05</w:t>
            </w:r>
          </w:p>
        </w:tc>
      </w:tr>
    </w:tbl>
    <w:p w14:paraId="70AB55B2">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调整期初未分配利润明细：</w:t>
      </w:r>
    </w:p>
    <w:p w14:paraId="6DC03929">
      <w:pPr>
        <w:pStyle w:val="48"/>
        <w:spacing w:line="360" w:lineRule="auto"/>
        <w:ind w:firstLine="420" w:firstLineChars="200"/>
      </w:pPr>
      <w:r>
        <w:rPr>
          <w:rFonts w:hint="eastAsia"/>
        </w:rPr>
        <w:t>由于同一控制导致的合并范围变更，影响期初未分配利润</w:t>
      </w:r>
      <w:sdt>
        <w:sdtPr>
          <w:rPr>
            <w:rFonts w:hint="eastAsia"/>
          </w:rPr>
          <w:alias w:val="同一控制导致的合并范围变更影响年初未分配利润"/>
          <w:tag w:val="_GBC_f30de8253e8b446d94ba7a482cf7cae5"/>
          <w:id w:val="1116795152"/>
          <w:placeholder>
            <w:docPart w:val="GBC22222222222222222222222222222"/>
          </w:placeholder>
        </w:sdtPr>
        <w:sdtEndPr>
          <w:rPr>
            <w:rFonts w:hint="eastAsia"/>
          </w:rPr>
        </w:sdtEndPr>
        <w:sdtContent>
          <w:r>
            <w:t>768,335.21</w:t>
          </w:r>
        </w:sdtContent>
      </w:sdt>
      <w:r>
        <w:rPr>
          <w:rFonts w:hint="eastAsia"/>
        </w:rPr>
        <w:t>元。</w:t>
      </w:r>
    </w:p>
    <w:p w14:paraId="66E500D4">
      <w:pPr>
        <w:pStyle w:val="4"/>
        <w:numPr>
          <w:ilvl w:val="0"/>
          <w:numId w:val="61"/>
        </w:numPr>
        <w:rPr>
          <w:szCs w:val="21"/>
        </w:rPr>
      </w:pPr>
      <w:r>
        <w:rPr>
          <w:szCs w:val="21"/>
        </w:rPr>
        <w:t>营业收入和营业成本</w:t>
      </w:r>
    </w:p>
    <w:p w14:paraId="40D3EDB7">
      <w:pPr>
        <w:pStyle w:val="5"/>
        <w:numPr>
          <w:ilvl w:val="0"/>
          <w:numId w:val="98"/>
        </w:numPr>
        <w:ind w:left="426" w:hanging="426"/>
      </w:pPr>
      <w:r>
        <w:rPr>
          <w:rFonts w:hint="eastAsia"/>
        </w:rPr>
        <w:t>营业收入和营业成本情况</w:t>
      </w:r>
    </w:p>
    <w:sdt>
      <w:sdtPr>
        <w:alias w:val="是否适用：营业收入和营业成本[双击切换]"/>
        <w:tag w:val="_GBC_c0388196e3634afc823f4b5822c5937a"/>
        <w:id w:val="-188301912"/>
        <w:placeholder>
          <w:docPart w:val="GBC22222222222222222222222222222"/>
        </w:placeholder>
      </w:sdtPr>
      <w:sdtContent>
        <w:p w14:paraId="40248E0F">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7B280F4">
      <w:pPr>
        <w:jc w:val="right"/>
      </w:pPr>
      <w:r>
        <w:rPr>
          <w:rFonts w:hint="eastAsia"/>
          <w:bCs/>
        </w:rPr>
        <w:t>单位：</w:t>
      </w:r>
      <w:sdt>
        <w:sdtPr>
          <w:rPr>
            <w:rFonts w:hint="eastAsia"/>
            <w:bCs/>
          </w:rPr>
          <w:alias w:val="单位：财务附注：营业收入"/>
          <w:tag w:val="_GBC_65cadde8ae1e4b178e7f2737b89bb434"/>
          <w:id w:val="10114125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bCs/>
          </w:rPr>
        </w:sdtEndPr>
        <w:sdtContent>
          <w:r>
            <w:rPr>
              <w:rFonts w:hint="eastAsia"/>
              <w:bCs/>
            </w:rPr>
            <w:t>元</w:t>
          </w:r>
        </w:sdtContent>
      </w:sdt>
      <w:r>
        <w:rPr>
          <w:rFonts w:hint="eastAsia"/>
          <w:bCs/>
        </w:rPr>
        <w:t xml:space="preserve">  币种：</w:t>
      </w:r>
      <w:sdt>
        <w:sdtPr>
          <w:rPr>
            <w:rFonts w:hint="eastAsia"/>
            <w:bCs/>
          </w:rPr>
          <w:alias w:val="币种：财务附注：营业收入"/>
          <w:tag w:val="_GBC_1371c944b91f437595273e807317f64f"/>
          <w:id w:val="7464539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bCs/>
          </w:rPr>
        </w:sdtEndPr>
        <w:sdtContent>
          <w:r>
            <w:rPr>
              <w:rFonts w:hint="eastAsia"/>
              <w:bCs/>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1889"/>
        <w:gridCol w:w="1902"/>
        <w:gridCol w:w="1900"/>
        <w:gridCol w:w="1900"/>
      </w:tblGrid>
      <w:tr w14:paraId="6F00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7e8683f75cd4c9e919404e1278fe9a0"/>
            <w:id w:val="-1991708633"/>
          </w:sdtPr>
          <w:sdtContent>
            <w:tc>
              <w:tcPr>
                <w:tcW w:w="1456" w:type="dxa"/>
                <w:vMerge w:val="restart"/>
                <w:tcBorders>
                  <w:top w:val="single" w:color="auto" w:sz="4" w:space="0"/>
                  <w:left w:val="single" w:color="auto" w:sz="4" w:space="0"/>
                  <w:right w:val="single" w:color="auto" w:sz="4" w:space="0"/>
                </w:tcBorders>
                <w:vAlign w:val="center"/>
              </w:tcPr>
              <w:p w14:paraId="28A586CD">
                <w:pPr>
                  <w:jc w:val="center"/>
                  <w:rPr>
                    <w:rFonts w:ascii="Calibri" w:hAnsi="Calibri"/>
                    <w:sz w:val="20"/>
                    <w:szCs w:val="20"/>
                  </w:rPr>
                </w:pPr>
                <w:r>
                  <w:rPr>
                    <w:rFonts w:hint="eastAsia" w:ascii="Calibri" w:hAnsi="Calibri"/>
                    <w:sz w:val="20"/>
                    <w:szCs w:val="20"/>
                  </w:rPr>
                  <w:t>项目</w:t>
                </w:r>
              </w:p>
            </w:tc>
          </w:sdtContent>
        </w:sdt>
        <w:sdt>
          <w:sdtPr>
            <w:tag w:val="_PLD_e956f55a311f45a19dc3ce9396b931c9"/>
            <w:id w:val="-2052759033"/>
          </w:sdtPr>
          <w:sdtContent>
            <w:tc>
              <w:tcPr>
                <w:tcW w:w="3791" w:type="dxa"/>
                <w:gridSpan w:val="2"/>
                <w:tcBorders>
                  <w:top w:val="single" w:color="auto" w:sz="4" w:space="0"/>
                  <w:left w:val="single" w:color="auto" w:sz="4" w:space="0"/>
                  <w:bottom w:val="single" w:color="auto" w:sz="4" w:space="0"/>
                  <w:right w:val="single" w:color="auto" w:sz="4" w:space="0"/>
                </w:tcBorders>
                <w:vAlign w:val="center"/>
              </w:tcPr>
              <w:p w14:paraId="5E24998F">
                <w:pPr>
                  <w:jc w:val="center"/>
                  <w:rPr>
                    <w:rFonts w:ascii="Calibri" w:hAnsi="Calibri"/>
                    <w:sz w:val="20"/>
                    <w:szCs w:val="20"/>
                  </w:rPr>
                </w:pPr>
                <w:r>
                  <w:rPr>
                    <w:rFonts w:hint="eastAsia" w:ascii="Calibri" w:hAnsi="Calibri"/>
                    <w:sz w:val="20"/>
                    <w:szCs w:val="20"/>
                  </w:rPr>
                  <w:t>本期发生额</w:t>
                </w:r>
              </w:p>
            </w:tc>
          </w:sdtContent>
        </w:sdt>
        <w:sdt>
          <w:sdtPr>
            <w:tag w:val="_PLD_d175a7df90684e2bbdccc1ba942f2760"/>
            <w:id w:val="-202939665"/>
          </w:sdtPr>
          <w:sdtContent>
            <w:tc>
              <w:tcPr>
                <w:tcW w:w="3800" w:type="dxa"/>
                <w:gridSpan w:val="2"/>
                <w:tcBorders>
                  <w:top w:val="single" w:color="auto" w:sz="4" w:space="0"/>
                  <w:left w:val="single" w:color="auto" w:sz="4" w:space="0"/>
                  <w:bottom w:val="single" w:color="auto" w:sz="4" w:space="0"/>
                  <w:right w:val="single" w:color="auto" w:sz="4" w:space="0"/>
                </w:tcBorders>
                <w:vAlign w:val="center"/>
              </w:tcPr>
              <w:p w14:paraId="22DECEFE">
                <w:pPr>
                  <w:jc w:val="center"/>
                  <w:rPr>
                    <w:rFonts w:ascii="Calibri" w:hAnsi="Calibri"/>
                    <w:sz w:val="20"/>
                    <w:szCs w:val="20"/>
                  </w:rPr>
                </w:pPr>
                <w:r>
                  <w:rPr>
                    <w:rFonts w:hint="eastAsia" w:ascii="Calibri" w:hAnsi="Calibri"/>
                    <w:sz w:val="20"/>
                    <w:szCs w:val="20"/>
                  </w:rPr>
                  <w:t>上期发生额</w:t>
                </w:r>
              </w:p>
            </w:tc>
          </w:sdtContent>
        </w:sdt>
      </w:tr>
      <w:tr w14:paraId="4B9B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vMerge w:val="continue"/>
            <w:tcBorders>
              <w:left w:val="single" w:color="auto" w:sz="4" w:space="0"/>
              <w:bottom w:val="single" w:color="auto" w:sz="4" w:space="0"/>
              <w:right w:val="single" w:color="auto" w:sz="4" w:space="0"/>
            </w:tcBorders>
            <w:vAlign w:val="center"/>
          </w:tcPr>
          <w:p w14:paraId="0F39DD1F">
            <w:pPr>
              <w:jc w:val="center"/>
              <w:rPr>
                <w:rFonts w:ascii="Calibri" w:hAnsi="Calibri"/>
                <w:sz w:val="20"/>
                <w:szCs w:val="20"/>
              </w:rPr>
            </w:pPr>
          </w:p>
        </w:tc>
        <w:sdt>
          <w:sdtPr>
            <w:tag w:val="_PLD_fe053e4bca564a1fbda44c85256ce067"/>
            <w:id w:val="-1167706173"/>
          </w:sdtPr>
          <w:sdtContent>
            <w:tc>
              <w:tcPr>
                <w:tcW w:w="1889" w:type="dxa"/>
                <w:tcBorders>
                  <w:top w:val="single" w:color="auto" w:sz="4" w:space="0"/>
                  <w:left w:val="single" w:color="auto" w:sz="4" w:space="0"/>
                  <w:bottom w:val="single" w:color="auto" w:sz="4" w:space="0"/>
                  <w:right w:val="single" w:color="auto" w:sz="4" w:space="0"/>
                </w:tcBorders>
                <w:vAlign w:val="center"/>
              </w:tcPr>
              <w:p w14:paraId="33CAA499">
                <w:pPr>
                  <w:jc w:val="center"/>
                  <w:rPr>
                    <w:rFonts w:ascii="Calibri" w:hAnsi="Calibri"/>
                    <w:sz w:val="20"/>
                    <w:szCs w:val="20"/>
                  </w:rPr>
                </w:pPr>
                <w:r>
                  <w:rPr>
                    <w:rFonts w:hint="eastAsia" w:ascii="Calibri" w:hAnsi="Calibri"/>
                    <w:sz w:val="20"/>
                    <w:szCs w:val="20"/>
                  </w:rPr>
                  <w:t>收入</w:t>
                </w:r>
              </w:p>
            </w:tc>
          </w:sdtContent>
        </w:sdt>
        <w:sdt>
          <w:sdtPr>
            <w:tag w:val="_PLD_88be7d92d03d4168a79d4492be4a258c"/>
            <w:id w:val="-2019847283"/>
          </w:sdtPr>
          <w:sdtContent>
            <w:tc>
              <w:tcPr>
                <w:tcW w:w="1902" w:type="dxa"/>
                <w:tcBorders>
                  <w:top w:val="single" w:color="auto" w:sz="4" w:space="0"/>
                  <w:left w:val="single" w:color="auto" w:sz="4" w:space="0"/>
                  <w:bottom w:val="single" w:color="auto" w:sz="4" w:space="0"/>
                  <w:right w:val="single" w:color="auto" w:sz="4" w:space="0"/>
                </w:tcBorders>
                <w:vAlign w:val="center"/>
              </w:tcPr>
              <w:p w14:paraId="1A59CFF7">
                <w:pPr>
                  <w:jc w:val="center"/>
                  <w:rPr>
                    <w:rFonts w:ascii="Calibri" w:hAnsi="Calibri"/>
                    <w:sz w:val="20"/>
                    <w:szCs w:val="20"/>
                  </w:rPr>
                </w:pPr>
                <w:r>
                  <w:rPr>
                    <w:rFonts w:hint="eastAsia" w:ascii="Calibri" w:hAnsi="Calibri"/>
                    <w:sz w:val="20"/>
                    <w:szCs w:val="20"/>
                  </w:rPr>
                  <w:t>成本</w:t>
                </w:r>
              </w:p>
            </w:tc>
          </w:sdtContent>
        </w:sdt>
        <w:sdt>
          <w:sdtPr>
            <w:tag w:val="_PLD_5ba4682bc5644bc38c4b795c78508b1f"/>
            <w:id w:val="-502595983"/>
          </w:sdtPr>
          <w:sdtContent>
            <w:tc>
              <w:tcPr>
                <w:tcW w:w="1900" w:type="dxa"/>
                <w:tcBorders>
                  <w:top w:val="single" w:color="auto" w:sz="4" w:space="0"/>
                  <w:left w:val="single" w:color="auto" w:sz="4" w:space="0"/>
                  <w:bottom w:val="single" w:color="auto" w:sz="4" w:space="0"/>
                  <w:right w:val="single" w:color="auto" w:sz="4" w:space="0"/>
                </w:tcBorders>
                <w:vAlign w:val="center"/>
              </w:tcPr>
              <w:p w14:paraId="71F176FD">
                <w:pPr>
                  <w:jc w:val="center"/>
                  <w:rPr>
                    <w:rFonts w:ascii="Calibri" w:hAnsi="Calibri"/>
                    <w:sz w:val="20"/>
                    <w:szCs w:val="20"/>
                  </w:rPr>
                </w:pPr>
                <w:r>
                  <w:rPr>
                    <w:rFonts w:hint="eastAsia" w:ascii="Calibri" w:hAnsi="Calibri"/>
                    <w:sz w:val="20"/>
                    <w:szCs w:val="20"/>
                  </w:rPr>
                  <w:t>收入</w:t>
                </w:r>
              </w:p>
            </w:tc>
          </w:sdtContent>
        </w:sdt>
        <w:sdt>
          <w:sdtPr>
            <w:tag w:val="_PLD_94a3ede4ab834e37a20364f2c6897976"/>
            <w:id w:val="-1307310086"/>
          </w:sdtPr>
          <w:sdtContent>
            <w:tc>
              <w:tcPr>
                <w:tcW w:w="1900" w:type="dxa"/>
                <w:tcBorders>
                  <w:top w:val="single" w:color="auto" w:sz="4" w:space="0"/>
                  <w:left w:val="single" w:color="auto" w:sz="4" w:space="0"/>
                  <w:bottom w:val="single" w:color="auto" w:sz="4" w:space="0"/>
                  <w:right w:val="single" w:color="auto" w:sz="4" w:space="0"/>
                </w:tcBorders>
                <w:vAlign w:val="center"/>
              </w:tcPr>
              <w:p w14:paraId="0D947F2F">
                <w:pPr>
                  <w:jc w:val="center"/>
                  <w:rPr>
                    <w:rFonts w:ascii="Calibri" w:hAnsi="Calibri"/>
                    <w:sz w:val="20"/>
                    <w:szCs w:val="20"/>
                  </w:rPr>
                </w:pPr>
                <w:r>
                  <w:rPr>
                    <w:rFonts w:hint="eastAsia" w:ascii="Calibri" w:hAnsi="Calibri"/>
                    <w:sz w:val="20"/>
                    <w:szCs w:val="20"/>
                  </w:rPr>
                  <w:t>成本</w:t>
                </w:r>
              </w:p>
            </w:tc>
          </w:sdtContent>
        </w:sdt>
      </w:tr>
      <w:tr w14:paraId="692F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tcBorders>
              <w:top w:val="single" w:color="auto" w:sz="4" w:space="0"/>
              <w:left w:val="single" w:color="auto" w:sz="4" w:space="0"/>
              <w:bottom w:val="single" w:color="auto" w:sz="4" w:space="0"/>
              <w:right w:val="single" w:color="auto" w:sz="4" w:space="0"/>
            </w:tcBorders>
            <w:vAlign w:val="center"/>
          </w:tcPr>
          <w:p w14:paraId="3226F566">
            <w:pPr>
              <w:pStyle w:val="48"/>
              <w:rPr>
                <w:sz w:val="20"/>
                <w:szCs w:val="20"/>
              </w:rPr>
            </w:pPr>
            <w:r>
              <w:rPr>
                <w:rFonts w:hint="eastAsia"/>
                <w:sz w:val="20"/>
                <w:szCs w:val="20"/>
              </w:rPr>
              <w:t>主营业务</w:t>
            </w:r>
          </w:p>
        </w:tc>
        <w:tc>
          <w:tcPr>
            <w:tcW w:w="1889" w:type="dxa"/>
            <w:tcBorders>
              <w:top w:val="single" w:color="auto" w:sz="4" w:space="0"/>
              <w:left w:val="single" w:color="auto" w:sz="4" w:space="0"/>
              <w:bottom w:val="single" w:color="auto" w:sz="4" w:space="0"/>
              <w:right w:val="single" w:color="auto" w:sz="4" w:space="0"/>
            </w:tcBorders>
            <w:vAlign w:val="center"/>
          </w:tcPr>
          <w:p w14:paraId="6402238B">
            <w:pPr>
              <w:jc w:val="right"/>
              <w:rPr>
                <w:rFonts w:ascii="Calibri" w:hAnsi="Calibri"/>
                <w:sz w:val="20"/>
                <w:szCs w:val="20"/>
              </w:rPr>
            </w:pPr>
            <w:r>
              <w:rPr>
                <w:rFonts w:ascii="Calibri" w:hAnsi="Calibri"/>
                <w:sz w:val="20"/>
                <w:szCs w:val="20"/>
              </w:rPr>
              <w:t>2,910,823,634.96</w:t>
            </w:r>
          </w:p>
        </w:tc>
        <w:tc>
          <w:tcPr>
            <w:tcW w:w="1902" w:type="dxa"/>
            <w:tcBorders>
              <w:top w:val="single" w:color="auto" w:sz="4" w:space="0"/>
              <w:left w:val="single" w:color="auto" w:sz="4" w:space="0"/>
              <w:bottom w:val="single" w:color="auto" w:sz="4" w:space="0"/>
              <w:right w:val="single" w:color="auto" w:sz="4" w:space="0"/>
            </w:tcBorders>
            <w:vAlign w:val="center"/>
          </w:tcPr>
          <w:p w14:paraId="4B2EA10A">
            <w:pPr>
              <w:jc w:val="right"/>
              <w:rPr>
                <w:rFonts w:ascii="Calibri" w:hAnsi="Calibri"/>
                <w:sz w:val="20"/>
                <w:szCs w:val="20"/>
              </w:rPr>
            </w:pPr>
            <w:r>
              <w:rPr>
                <w:rFonts w:ascii="Calibri" w:hAnsi="Calibri"/>
                <w:sz w:val="20"/>
                <w:szCs w:val="20"/>
              </w:rPr>
              <w:t>854,627,871.90</w:t>
            </w:r>
          </w:p>
        </w:tc>
        <w:tc>
          <w:tcPr>
            <w:tcW w:w="1900" w:type="dxa"/>
            <w:tcBorders>
              <w:top w:val="single" w:color="auto" w:sz="4" w:space="0"/>
              <w:left w:val="single" w:color="auto" w:sz="4" w:space="0"/>
              <w:bottom w:val="single" w:color="auto" w:sz="4" w:space="0"/>
              <w:right w:val="single" w:color="auto" w:sz="4" w:space="0"/>
            </w:tcBorders>
            <w:vAlign w:val="center"/>
          </w:tcPr>
          <w:p w14:paraId="3265D02A">
            <w:pPr>
              <w:jc w:val="right"/>
              <w:rPr>
                <w:rFonts w:ascii="Calibri" w:hAnsi="Calibri"/>
                <w:sz w:val="20"/>
                <w:szCs w:val="20"/>
              </w:rPr>
            </w:pPr>
            <w:r>
              <w:rPr>
                <w:rFonts w:ascii="Calibri" w:hAnsi="Calibri"/>
                <w:sz w:val="20"/>
                <w:szCs w:val="20"/>
              </w:rPr>
              <w:t>1,976,452,105.40</w:t>
            </w:r>
          </w:p>
        </w:tc>
        <w:tc>
          <w:tcPr>
            <w:tcW w:w="1900" w:type="dxa"/>
            <w:tcBorders>
              <w:top w:val="single" w:color="auto" w:sz="4" w:space="0"/>
              <w:left w:val="single" w:color="auto" w:sz="4" w:space="0"/>
              <w:bottom w:val="single" w:color="auto" w:sz="4" w:space="0"/>
              <w:right w:val="single" w:color="auto" w:sz="4" w:space="0"/>
            </w:tcBorders>
            <w:vAlign w:val="center"/>
          </w:tcPr>
          <w:p w14:paraId="3DF11EB9">
            <w:pPr>
              <w:jc w:val="right"/>
              <w:rPr>
                <w:rFonts w:ascii="Calibri" w:hAnsi="Calibri"/>
                <w:sz w:val="20"/>
                <w:szCs w:val="20"/>
              </w:rPr>
            </w:pPr>
            <w:r>
              <w:rPr>
                <w:rFonts w:ascii="Calibri" w:hAnsi="Calibri"/>
                <w:sz w:val="20"/>
                <w:szCs w:val="20"/>
              </w:rPr>
              <w:t>510,530,821.85</w:t>
            </w:r>
          </w:p>
        </w:tc>
      </w:tr>
      <w:tr w14:paraId="6826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tcBorders>
              <w:top w:val="single" w:color="auto" w:sz="4" w:space="0"/>
              <w:left w:val="single" w:color="auto" w:sz="4" w:space="0"/>
              <w:bottom w:val="single" w:color="auto" w:sz="4" w:space="0"/>
              <w:right w:val="single" w:color="auto" w:sz="4" w:space="0"/>
            </w:tcBorders>
            <w:vAlign w:val="center"/>
          </w:tcPr>
          <w:p w14:paraId="6006D08B">
            <w:pPr>
              <w:pStyle w:val="48"/>
              <w:rPr>
                <w:sz w:val="20"/>
                <w:szCs w:val="20"/>
              </w:rPr>
            </w:pPr>
            <w:r>
              <w:rPr>
                <w:rFonts w:hint="eastAsia"/>
                <w:sz w:val="20"/>
                <w:szCs w:val="20"/>
              </w:rPr>
              <w:t>其他业务</w:t>
            </w:r>
          </w:p>
        </w:tc>
        <w:tc>
          <w:tcPr>
            <w:tcW w:w="1889" w:type="dxa"/>
            <w:tcBorders>
              <w:top w:val="single" w:color="auto" w:sz="4" w:space="0"/>
              <w:left w:val="single" w:color="auto" w:sz="4" w:space="0"/>
              <w:bottom w:val="single" w:color="auto" w:sz="4" w:space="0"/>
              <w:right w:val="single" w:color="auto" w:sz="4" w:space="0"/>
            </w:tcBorders>
            <w:vAlign w:val="center"/>
          </w:tcPr>
          <w:p w14:paraId="0B7B02C1">
            <w:pPr>
              <w:jc w:val="right"/>
              <w:rPr>
                <w:rFonts w:ascii="Calibri" w:hAnsi="Calibri"/>
                <w:sz w:val="20"/>
                <w:szCs w:val="20"/>
              </w:rPr>
            </w:pPr>
            <w:r>
              <w:rPr>
                <w:rFonts w:ascii="Calibri" w:hAnsi="Calibri"/>
                <w:sz w:val="20"/>
                <w:szCs w:val="20"/>
              </w:rPr>
              <w:t>36,405,162.19</w:t>
            </w:r>
          </w:p>
        </w:tc>
        <w:tc>
          <w:tcPr>
            <w:tcW w:w="1902" w:type="dxa"/>
            <w:tcBorders>
              <w:top w:val="single" w:color="auto" w:sz="4" w:space="0"/>
              <w:left w:val="single" w:color="auto" w:sz="4" w:space="0"/>
              <w:bottom w:val="single" w:color="auto" w:sz="4" w:space="0"/>
              <w:right w:val="single" w:color="auto" w:sz="4" w:space="0"/>
            </w:tcBorders>
            <w:vAlign w:val="center"/>
          </w:tcPr>
          <w:p w14:paraId="2C996175">
            <w:pPr>
              <w:jc w:val="right"/>
              <w:rPr>
                <w:rFonts w:ascii="Calibri" w:hAnsi="Calibri"/>
                <w:sz w:val="20"/>
                <w:szCs w:val="20"/>
              </w:rPr>
            </w:pPr>
            <w:r>
              <w:rPr>
                <w:rFonts w:ascii="Calibri" w:hAnsi="Calibri"/>
                <w:sz w:val="20"/>
                <w:szCs w:val="20"/>
              </w:rPr>
              <w:t>19,868,604.68</w:t>
            </w:r>
          </w:p>
        </w:tc>
        <w:tc>
          <w:tcPr>
            <w:tcW w:w="1900" w:type="dxa"/>
            <w:tcBorders>
              <w:top w:val="single" w:color="auto" w:sz="4" w:space="0"/>
              <w:left w:val="single" w:color="auto" w:sz="4" w:space="0"/>
              <w:bottom w:val="single" w:color="auto" w:sz="4" w:space="0"/>
              <w:right w:val="single" w:color="auto" w:sz="4" w:space="0"/>
            </w:tcBorders>
            <w:vAlign w:val="center"/>
          </w:tcPr>
          <w:p w14:paraId="62A29BF1">
            <w:pPr>
              <w:jc w:val="right"/>
              <w:rPr>
                <w:rFonts w:ascii="Calibri" w:hAnsi="Calibri"/>
                <w:sz w:val="20"/>
                <w:szCs w:val="20"/>
              </w:rPr>
            </w:pPr>
            <w:r>
              <w:rPr>
                <w:rFonts w:ascii="Calibri" w:hAnsi="Calibri"/>
                <w:sz w:val="20"/>
                <w:szCs w:val="20"/>
              </w:rPr>
              <w:t>33,148,954.03</w:t>
            </w:r>
          </w:p>
        </w:tc>
        <w:tc>
          <w:tcPr>
            <w:tcW w:w="1900" w:type="dxa"/>
            <w:tcBorders>
              <w:top w:val="single" w:color="auto" w:sz="4" w:space="0"/>
              <w:left w:val="single" w:color="auto" w:sz="4" w:space="0"/>
              <w:bottom w:val="single" w:color="auto" w:sz="4" w:space="0"/>
              <w:right w:val="single" w:color="auto" w:sz="4" w:space="0"/>
            </w:tcBorders>
            <w:vAlign w:val="center"/>
          </w:tcPr>
          <w:p w14:paraId="2C25601A">
            <w:pPr>
              <w:jc w:val="right"/>
              <w:rPr>
                <w:rFonts w:ascii="Calibri" w:hAnsi="Calibri"/>
                <w:sz w:val="20"/>
                <w:szCs w:val="20"/>
              </w:rPr>
            </w:pPr>
            <w:r>
              <w:rPr>
                <w:rFonts w:ascii="Calibri" w:hAnsi="Calibri"/>
                <w:sz w:val="20"/>
                <w:szCs w:val="20"/>
              </w:rPr>
              <w:t>13,984,707.73</w:t>
            </w:r>
          </w:p>
        </w:tc>
      </w:tr>
      <w:tr w14:paraId="0195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tcBorders>
              <w:top w:val="single" w:color="auto" w:sz="4" w:space="0"/>
              <w:left w:val="single" w:color="auto" w:sz="4" w:space="0"/>
              <w:bottom w:val="single" w:color="auto" w:sz="4" w:space="0"/>
              <w:right w:val="single" w:color="auto" w:sz="4" w:space="0"/>
            </w:tcBorders>
            <w:vAlign w:val="center"/>
          </w:tcPr>
          <w:p w14:paraId="3F0C1693">
            <w:pPr>
              <w:jc w:val="center"/>
              <w:rPr>
                <w:rFonts w:ascii="Calibri" w:hAnsi="Calibri"/>
                <w:sz w:val="20"/>
                <w:szCs w:val="20"/>
              </w:rPr>
            </w:pPr>
            <w:r>
              <w:rPr>
                <w:rFonts w:hint="eastAsia" w:ascii="Calibri" w:hAnsi="Calibri"/>
                <w:sz w:val="20"/>
                <w:szCs w:val="20"/>
              </w:rPr>
              <w:t>合计</w:t>
            </w:r>
          </w:p>
        </w:tc>
        <w:tc>
          <w:tcPr>
            <w:tcW w:w="1889" w:type="dxa"/>
            <w:tcBorders>
              <w:top w:val="single" w:color="auto" w:sz="4" w:space="0"/>
              <w:left w:val="single" w:color="auto" w:sz="4" w:space="0"/>
              <w:bottom w:val="single" w:color="auto" w:sz="4" w:space="0"/>
              <w:right w:val="single" w:color="auto" w:sz="4" w:space="0"/>
            </w:tcBorders>
            <w:vAlign w:val="center"/>
          </w:tcPr>
          <w:p w14:paraId="23DF9361">
            <w:pPr>
              <w:jc w:val="right"/>
              <w:rPr>
                <w:rFonts w:ascii="Calibri" w:hAnsi="Calibri"/>
                <w:sz w:val="20"/>
                <w:szCs w:val="20"/>
              </w:rPr>
            </w:pPr>
            <w:r>
              <w:rPr>
                <w:rFonts w:ascii="Calibri" w:hAnsi="Calibri"/>
                <w:sz w:val="20"/>
                <w:szCs w:val="20"/>
              </w:rPr>
              <w:t>2,947,228,797.15</w:t>
            </w:r>
          </w:p>
        </w:tc>
        <w:tc>
          <w:tcPr>
            <w:tcW w:w="1902" w:type="dxa"/>
            <w:tcBorders>
              <w:top w:val="single" w:color="auto" w:sz="4" w:space="0"/>
              <w:left w:val="single" w:color="auto" w:sz="4" w:space="0"/>
              <w:bottom w:val="single" w:color="auto" w:sz="4" w:space="0"/>
              <w:right w:val="single" w:color="auto" w:sz="4" w:space="0"/>
            </w:tcBorders>
            <w:vAlign w:val="center"/>
          </w:tcPr>
          <w:p w14:paraId="74F56D7A">
            <w:pPr>
              <w:jc w:val="right"/>
              <w:rPr>
                <w:rFonts w:ascii="Calibri" w:hAnsi="Calibri"/>
                <w:sz w:val="20"/>
                <w:szCs w:val="20"/>
              </w:rPr>
            </w:pPr>
            <w:r>
              <w:rPr>
                <w:rFonts w:ascii="Calibri" w:hAnsi="Calibri"/>
                <w:sz w:val="20"/>
                <w:szCs w:val="20"/>
              </w:rPr>
              <w:t>874,496,476.58</w:t>
            </w:r>
          </w:p>
        </w:tc>
        <w:tc>
          <w:tcPr>
            <w:tcW w:w="1900" w:type="dxa"/>
            <w:tcBorders>
              <w:top w:val="single" w:color="auto" w:sz="4" w:space="0"/>
              <w:left w:val="single" w:color="auto" w:sz="4" w:space="0"/>
              <w:bottom w:val="single" w:color="auto" w:sz="4" w:space="0"/>
              <w:right w:val="single" w:color="auto" w:sz="4" w:space="0"/>
            </w:tcBorders>
            <w:vAlign w:val="center"/>
          </w:tcPr>
          <w:p w14:paraId="3CFF661E">
            <w:pPr>
              <w:jc w:val="right"/>
              <w:rPr>
                <w:rFonts w:ascii="Calibri" w:hAnsi="Calibri"/>
                <w:sz w:val="20"/>
                <w:szCs w:val="20"/>
              </w:rPr>
            </w:pPr>
            <w:r>
              <w:rPr>
                <w:rFonts w:ascii="Calibri" w:hAnsi="Calibri"/>
                <w:sz w:val="20"/>
                <w:szCs w:val="20"/>
              </w:rPr>
              <w:t>2,009,601,059.43</w:t>
            </w:r>
          </w:p>
        </w:tc>
        <w:tc>
          <w:tcPr>
            <w:tcW w:w="1900" w:type="dxa"/>
            <w:tcBorders>
              <w:top w:val="single" w:color="auto" w:sz="4" w:space="0"/>
              <w:left w:val="single" w:color="auto" w:sz="4" w:space="0"/>
              <w:bottom w:val="single" w:color="auto" w:sz="4" w:space="0"/>
              <w:right w:val="single" w:color="auto" w:sz="4" w:space="0"/>
            </w:tcBorders>
            <w:vAlign w:val="center"/>
          </w:tcPr>
          <w:p w14:paraId="10935B52">
            <w:pPr>
              <w:jc w:val="right"/>
              <w:rPr>
                <w:rFonts w:ascii="Calibri" w:hAnsi="Calibri"/>
                <w:sz w:val="20"/>
                <w:szCs w:val="20"/>
              </w:rPr>
            </w:pPr>
            <w:r>
              <w:rPr>
                <w:rFonts w:ascii="Calibri" w:hAnsi="Calibri"/>
                <w:sz w:val="20"/>
                <w:szCs w:val="20"/>
              </w:rPr>
              <w:t>524,515,529.58</w:t>
            </w:r>
          </w:p>
        </w:tc>
      </w:tr>
    </w:tbl>
    <w:p w14:paraId="424891B0">
      <w:pPr>
        <w:pStyle w:val="48"/>
      </w:pPr>
    </w:p>
    <w:sdt>
      <w:sdtPr>
        <w:rPr>
          <w:rFonts w:hint="eastAsia" w:ascii="宋体" w:hAnsi="宋体" w:eastAsia="宋体" w:cs="宋体"/>
          <w:b w:val="0"/>
          <w:bCs w:val="0"/>
          <w:kern w:val="0"/>
          <w:szCs w:val="24"/>
        </w:rPr>
        <w:alias w:val="模块:合同产生的收入的情况"/>
        <w:tag w:val="_SEC_020e88e24a604d8684cb34b724e2379b"/>
        <w:id w:val="-563714511"/>
        <w:placeholder>
          <w:docPart w:val="GBC22222222222222222222222222222"/>
        </w:placeholder>
      </w:sdtPr>
      <w:sdtEndPr>
        <w:rPr>
          <w:rFonts w:hint="default" w:ascii="Times New Roman" w:hAnsi="Times New Roman" w:eastAsia="宋体" w:cs="Times New Roman"/>
          <w:b w:val="0"/>
          <w:bCs w:val="0"/>
          <w:kern w:val="0"/>
          <w:szCs w:val="20"/>
        </w:rPr>
      </w:sdtEndPr>
      <w:sdtContent>
        <w:p w14:paraId="7970B6CC">
          <w:pPr>
            <w:pStyle w:val="5"/>
            <w:numPr>
              <w:ilvl w:val="0"/>
              <w:numId w:val="98"/>
            </w:numPr>
            <w:ind w:left="426" w:hanging="426"/>
          </w:pPr>
          <w:bookmarkStart w:id="352" w:name="_Hlk533756233"/>
          <w:r>
            <w:rPr>
              <w:rFonts w:hint="eastAsia"/>
            </w:rPr>
            <w:t xml:space="preserve">营业收入、营业成本的分解信息 </w:t>
          </w:r>
        </w:p>
        <w:sdt>
          <w:sdtPr>
            <w:rPr>
              <w:rFonts w:ascii="宋体" w:hAnsi="宋体"/>
              <w:szCs w:val="21"/>
            </w:rPr>
            <w:alias w:val="是否适用：营业收入、营业成本的分解信息 [双击切换]"/>
            <w:tag w:val="_GBC_9ca3964974eb4c71856442f0683fa140"/>
            <w:id w:val="1261488513"/>
            <w:placeholder>
              <w:docPart w:val="GBC22222222222222222222222222222"/>
            </w:placeholder>
          </w:sdtPr>
          <w:sdtEndPr>
            <w:rPr>
              <w:rFonts w:ascii="宋体" w:hAnsi="宋体"/>
              <w:szCs w:val="21"/>
            </w:rPr>
          </w:sdtEndPr>
          <w:sdtContent>
            <w:p w14:paraId="596A5E39">
              <w:pPr>
                <w:pStyle w:val="30"/>
                <w:ind w:firstLine="0" w:firstLineChars="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3B24D845">
          <w:pPr>
            <w:pStyle w:val="30"/>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营业收入、营业成本的分解信息 "/>
              <w:tag w:val="_GBC_712aadfd959247489c16d4246880bfef"/>
              <w:id w:val="-10470706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营业收入、营业成本的分解信息 "/>
              <w:tag w:val="_GBC_ca9b26593dbf458b829ac632033cd724"/>
              <w:id w:val="-14542397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9"/>
            <w:gridCol w:w="1655"/>
            <w:gridCol w:w="1642"/>
            <w:gridCol w:w="1722"/>
            <w:gridCol w:w="1720"/>
          </w:tblGrid>
          <w:tr w14:paraId="0F1C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e9269f20e6e4b7f8a6a8c59b9077225"/>
                <w:id w:val="-1041669068"/>
              </w:sdtPr>
              <w:sdtContent>
                <w:tc>
                  <w:tcPr>
                    <w:tcW w:w="2309" w:type="dxa"/>
                    <w:vMerge w:val="restart"/>
                    <w:tcBorders>
                      <w:top w:val="single" w:color="auto" w:sz="4" w:space="0"/>
                      <w:left w:val="single" w:color="auto" w:sz="4" w:space="0"/>
                      <w:right w:val="single" w:color="auto" w:sz="4" w:space="0"/>
                    </w:tcBorders>
                    <w:vAlign w:val="center"/>
                  </w:tcPr>
                  <w:p w14:paraId="0C6700CA">
                    <w:pPr>
                      <w:jc w:val="center"/>
                      <w:rPr>
                        <w:rFonts w:ascii="Calibri" w:hAnsi="Calibri"/>
                        <w:sz w:val="20"/>
                        <w:szCs w:val="20"/>
                      </w:rPr>
                    </w:pPr>
                    <w:r>
                      <w:rPr>
                        <w:rFonts w:hint="eastAsia" w:ascii="Calibri" w:hAnsi="Calibri"/>
                        <w:sz w:val="20"/>
                        <w:szCs w:val="20"/>
                      </w:rPr>
                      <w:t>合同分类</w:t>
                    </w:r>
                  </w:p>
                </w:tc>
              </w:sdtContent>
            </w:sdt>
            <w:sdt>
              <w:sdtPr>
                <w:rPr>
                  <w:rFonts w:hint="eastAsia" w:ascii="Calibri" w:hAnsi="Calibri"/>
                  <w:sz w:val="20"/>
                  <w:szCs w:val="20"/>
                </w:rPr>
                <w:alias w:val="合同产生的收入分部名称"/>
                <w:tag w:val="_GBC_ab0118fbe71a45709156970254ce1192"/>
                <w:id w:val="1895539119"/>
              </w:sdtPr>
              <w:sdtEndPr>
                <w:rPr>
                  <w:rFonts w:hint="eastAsia" w:ascii="Calibri" w:hAnsi="Calibri"/>
                  <w:sz w:val="20"/>
                  <w:szCs w:val="20"/>
                </w:rPr>
              </w:sdtEndPr>
              <w:sdtContent>
                <w:tc>
                  <w:tcPr>
                    <w:tcW w:w="3297" w:type="dxa"/>
                    <w:gridSpan w:val="2"/>
                    <w:tcBorders>
                      <w:top w:val="single" w:color="auto" w:sz="4" w:space="0"/>
                      <w:left w:val="single" w:color="auto" w:sz="4" w:space="0"/>
                      <w:bottom w:val="single" w:color="auto" w:sz="4" w:space="0"/>
                      <w:right w:val="single" w:color="auto" w:sz="4" w:space="0"/>
                    </w:tcBorders>
                    <w:vAlign w:val="center"/>
                  </w:tcPr>
                  <w:p w14:paraId="79C47B71">
                    <w:pPr>
                      <w:jc w:val="center"/>
                      <w:rPr>
                        <w:rFonts w:ascii="Calibri" w:hAnsi="Calibri"/>
                        <w:sz w:val="20"/>
                        <w:szCs w:val="20"/>
                      </w:rPr>
                    </w:pPr>
                    <w:r>
                      <w:rPr>
                        <w:rFonts w:ascii="Calibri" w:hAnsi="Calibri"/>
                        <w:sz w:val="20"/>
                        <w:szCs w:val="20"/>
                      </w:rPr>
                      <w:t>2025</w:t>
                    </w:r>
                    <w:r>
                      <w:rPr>
                        <w:rFonts w:hint="eastAsia" w:ascii="Calibri" w:hAnsi="Calibri"/>
                        <w:sz w:val="20"/>
                        <w:szCs w:val="20"/>
                      </w:rPr>
                      <w:t>年度</w:t>
                    </w:r>
                  </w:p>
                </w:tc>
              </w:sdtContent>
            </w:sdt>
            <w:sdt>
              <w:sdtPr>
                <w:tag w:val="_PLD_4c617eb15d544d45ba3090cf4fb369da"/>
                <w:id w:val="706526738"/>
              </w:sdtPr>
              <w:sdtContent>
                <w:tc>
                  <w:tcPr>
                    <w:tcW w:w="3442" w:type="dxa"/>
                    <w:gridSpan w:val="2"/>
                    <w:tcBorders>
                      <w:top w:val="single" w:color="auto" w:sz="4" w:space="0"/>
                      <w:left w:val="single" w:color="auto" w:sz="4" w:space="0"/>
                      <w:bottom w:val="single" w:color="auto" w:sz="4" w:space="0"/>
                      <w:right w:val="single" w:color="auto" w:sz="4" w:space="0"/>
                    </w:tcBorders>
                    <w:vAlign w:val="center"/>
                  </w:tcPr>
                  <w:p w14:paraId="6CE4DEB8">
                    <w:pPr>
                      <w:jc w:val="center"/>
                      <w:rPr>
                        <w:rFonts w:ascii="Calibri" w:hAnsi="Calibri"/>
                        <w:sz w:val="20"/>
                        <w:szCs w:val="20"/>
                      </w:rPr>
                    </w:pPr>
                    <w:r>
                      <w:rPr>
                        <w:rFonts w:hint="eastAsia" w:ascii="Calibri" w:hAnsi="Calibri"/>
                        <w:sz w:val="20"/>
                        <w:szCs w:val="20"/>
                      </w:rPr>
                      <w:t>合计</w:t>
                    </w:r>
                  </w:p>
                </w:tc>
              </w:sdtContent>
            </w:sdt>
          </w:tr>
          <w:tr w14:paraId="2721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vMerge w:val="continue"/>
                <w:tcBorders>
                  <w:left w:val="single" w:color="auto" w:sz="4" w:space="0"/>
                  <w:bottom w:val="single" w:color="auto" w:sz="4" w:space="0"/>
                  <w:right w:val="single" w:color="auto" w:sz="4" w:space="0"/>
                </w:tcBorders>
                <w:vAlign w:val="center"/>
              </w:tcPr>
              <w:p w14:paraId="64E807B2">
                <w:pPr>
                  <w:jc w:val="center"/>
                  <w:rPr>
                    <w:rFonts w:ascii="Calibri" w:hAnsi="Calibri"/>
                    <w:sz w:val="20"/>
                    <w:szCs w:val="20"/>
                  </w:rPr>
                </w:pPr>
              </w:p>
            </w:tc>
            <w:sdt>
              <w:sdtPr>
                <w:tag w:val="_PLD_812056a1dd1146b887b2fe5989c7c698"/>
                <w:id w:val="742758125"/>
              </w:sdtPr>
              <w:sdtContent>
                <w:tc>
                  <w:tcPr>
                    <w:tcW w:w="1655" w:type="dxa"/>
                    <w:tcBorders>
                      <w:top w:val="single" w:color="auto" w:sz="4" w:space="0"/>
                      <w:left w:val="single" w:color="auto" w:sz="4" w:space="0"/>
                      <w:bottom w:val="single" w:color="auto" w:sz="4" w:space="0"/>
                      <w:right w:val="single" w:color="auto" w:sz="4" w:space="0"/>
                    </w:tcBorders>
                    <w:vAlign w:val="center"/>
                  </w:tcPr>
                  <w:p w14:paraId="7A9CB008">
                    <w:pPr>
                      <w:jc w:val="center"/>
                      <w:rPr>
                        <w:rFonts w:ascii="Calibri" w:hAnsi="Calibri"/>
                        <w:sz w:val="20"/>
                        <w:szCs w:val="20"/>
                      </w:rPr>
                    </w:pPr>
                    <w:r>
                      <w:rPr>
                        <w:rFonts w:hint="eastAsia" w:ascii="Calibri" w:hAnsi="Calibri"/>
                        <w:sz w:val="20"/>
                        <w:szCs w:val="20"/>
                      </w:rPr>
                      <w:t>营业收入</w:t>
                    </w:r>
                  </w:p>
                </w:tc>
              </w:sdtContent>
            </w:sdt>
            <w:sdt>
              <w:sdtPr>
                <w:tag w:val="_PLD_a596be33430c4e278795102f77bfea46"/>
                <w:id w:val="1636991127"/>
              </w:sdtPr>
              <w:sdtContent>
                <w:tc>
                  <w:tcPr>
                    <w:tcW w:w="1642" w:type="dxa"/>
                    <w:tcBorders>
                      <w:top w:val="single" w:color="auto" w:sz="4" w:space="0"/>
                      <w:left w:val="single" w:color="auto" w:sz="4" w:space="0"/>
                      <w:bottom w:val="single" w:color="auto" w:sz="4" w:space="0"/>
                      <w:right w:val="single" w:color="auto" w:sz="4" w:space="0"/>
                    </w:tcBorders>
                    <w:vAlign w:val="center"/>
                  </w:tcPr>
                  <w:p w14:paraId="298AD005">
                    <w:pPr>
                      <w:jc w:val="center"/>
                      <w:rPr>
                        <w:rFonts w:ascii="Calibri" w:hAnsi="Calibri"/>
                        <w:sz w:val="20"/>
                        <w:szCs w:val="20"/>
                      </w:rPr>
                    </w:pPr>
                    <w:r>
                      <w:rPr>
                        <w:rFonts w:hint="eastAsia" w:ascii="Calibri" w:hAnsi="Calibri"/>
                        <w:sz w:val="20"/>
                        <w:szCs w:val="20"/>
                      </w:rPr>
                      <w:t>营业成本</w:t>
                    </w:r>
                  </w:p>
                </w:tc>
              </w:sdtContent>
            </w:sdt>
            <w:sdt>
              <w:sdtPr>
                <w:tag w:val="_PLD_63400df9f177476bb0975376f62b78b9"/>
                <w:id w:val="-2057761067"/>
              </w:sdtPr>
              <w:sdtContent>
                <w:tc>
                  <w:tcPr>
                    <w:tcW w:w="1722" w:type="dxa"/>
                    <w:tcBorders>
                      <w:top w:val="single" w:color="auto" w:sz="4" w:space="0"/>
                      <w:left w:val="single" w:color="auto" w:sz="4" w:space="0"/>
                      <w:bottom w:val="single" w:color="auto" w:sz="4" w:space="0"/>
                      <w:right w:val="single" w:color="auto" w:sz="4" w:space="0"/>
                    </w:tcBorders>
                    <w:vAlign w:val="center"/>
                  </w:tcPr>
                  <w:p w14:paraId="544345DD">
                    <w:pPr>
                      <w:jc w:val="center"/>
                      <w:rPr>
                        <w:rFonts w:ascii="Calibri" w:hAnsi="Calibri"/>
                        <w:sz w:val="20"/>
                        <w:szCs w:val="20"/>
                      </w:rPr>
                    </w:pPr>
                    <w:r>
                      <w:rPr>
                        <w:rFonts w:hint="eastAsia" w:ascii="Calibri" w:hAnsi="Calibri"/>
                        <w:sz w:val="20"/>
                        <w:szCs w:val="20"/>
                      </w:rPr>
                      <w:t>营业收入</w:t>
                    </w:r>
                  </w:p>
                </w:tc>
              </w:sdtContent>
            </w:sdt>
            <w:sdt>
              <w:sdtPr>
                <w:tag w:val="_PLD_ccb1ce0fea894f5892ff4f8ace575517"/>
                <w:id w:val="1305897081"/>
              </w:sdtPr>
              <w:sdtContent>
                <w:tc>
                  <w:tcPr>
                    <w:tcW w:w="1720" w:type="dxa"/>
                    <w:tcBorders>
                      <w:top w:val="single" w:color="auto" w:sz="4" w:space="0"/>
                      <w:left w:val="single" w:color="auto" w:sz="4" w:space="0"/>
                      <w:bottom w:val="single" w:color="auto" w:sz="4" w:space="0"/>
                      <w:right w:val="single" w:color="auto" w:sz="4" w:space="0"/>
                    </w:tcBorders>
                    <w:vAlign w:val="center"/>
                  </w:tcPr>
                  <w:p w14:paraId="00B96211">
                    <w:pPr>
                      <w:jc w:val="center"/>
                      <w:rPr>
                        <w:rFonts w:ascii="Calibri" w:hAnsi="Calibri"/>
                        <w:sz w:val="20"/>
                        <w:szCs w:val="20"/>
                      </w:rPr>
                    </w:pPr>
                    <w:r>
                      <w:rPr>
                        <w:rFonts w:hint="eastAsia" w:ascii="Calibri" w:hAnsi="Calibri"/>
                        <w:sz w:val="20"/>
                        <w:szCs w:val="20"/>
                      </w:rPr>
                      <w:t>营业成本</w:t>
                    </w:r>
                  </w:p>
                </w:tc>
              </w:sdtContent>
            </w:sdt>
          </w:tr>
          <w:tr w14:paraId="54F1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Borders>
                  <w:top w:val="single" w:color="auto" w:sz="4" w:space="0"/>
                  <w:left w:val="single" w:color="auto" w:sz="4" w:space="0"/>
                  <w:bottom w:val="single" w:color="auto" w:sz="4" w:space="0"/>
                  <w:right w:val="single" w:color="auto" w:sz="4" w:space="0"/>
                </w:tcBorders>
                <w:vAlign w:val="center"/>
              </w:tcPr>
              <w:p w14:paraId="742D48FD">
                <w:pPr>
                  <w:pStyle w:val="48"/>
                  <w:rPr>
                    <w:sz w:val="20"/>
                    <w:szCs w:val="20"/>
                  </w:rPr>
                </w:pPr>
                <w:r>
                  <w:rPr>
                    <w:rFonts w:hint="eastAsia"/>
                    <w:sz w:val="20"/>
                    <w:szCs w:val="20"/>
                  </w:rPr>
                  <w:t>商品类型</w:t>
                </w:r>
              </w:p>
            </w:tc>
            <w:tc>
              <w:tcPr>
                <w:tcW w:w="1655" w:type="dxa"/>
                <w:tcBorders>
                  <w:top w:val="single" w:color="auto" w:sz="4" w:space="0"/>
                  <w:left w:val="single" w:color="auto" w:sz="4" w:space="0"/>
                  <w:bottom w:val="single" w:color="auto" w:sz="4" w:space="0"/>
                  <w:right w:val="single" w:color="auto" w:sz="4" w:space="0"/>
                </w:tcBorders>
                <w:vAlign w:val="center"/>
              </w:tcPr>
              <w:p w14:paraId="3FE78E1F">
                <w:pPr>
                  <w:jc w:val="right"/>
                  <w:rPr>
                    <w:rFonts w:ascii="Calibri" w:hAnsi="Calibri"/>
                    <w:sz w:val="20"/>
                    <w:szCs w:val="20"/>
                  </w:rPr>
                </w:pPr>
              </w:p>
            </w:tc>
            <w:tc>
              <w:tcPr>
                <w:tcW w:w="1642" w:type="dxa"/>
                <w:tcBorders>
                  <w:top w:val="single" w:color="auto" w:sz="4" w:space="0"/>
                  <w:left w:val="single" w:color="auto" w:sz="4" w:space="0"/>
                  <w:bottom w:val="single" w:color="auto" w:sz="4" w:space="0"/>
                  <w:right w:val="single" w:color="auto" w:sz="4" w:space="0"/>
                </w:tcBorders>
                <w:vAlign w:val="center"/>
              </w:tcPr>
              <w:p w14:paraId="6D860AC0">
                <w:pPr>
                  <w:jc w:val="right"/>
                  <w:rPr>
                    <w:rFonts w:ascii="Calibri" w:hAnsi="Calibri"/>
                    <w:sz w:val="20"/>
                    <w:szCs w:val="20"/>
                  </w:rPr>
                </w:pPr>
              </w:p>
            </w:tc>
            <w:tc>
              <w:tcPr>
                <w:tcW w:w="1722" w:type="dxa"/>
                <w:tcBorders>
                  <w:top w:val="single" w:color="auto" w:sz="4" w:space="0"/>
                  <w:left w:val="single" w:color="auto" w:sz="4" w:space="0"/>
                  <w:bottom w:val="single" w:color="auto" w:sz="4" w:space="0"/>
                  <w:right w:val="single" w:color="auto" w:sz="4" w:space="0"/>
                </w:tcBorders>
                <w:vAlign w:val="center"/>
              </w:tcPr>
              <w:p w14:paraId="3F6AB76D">
                <w:pPr>
                  <w:jc w:val="right"/>
                  <w:rPr>
                    <w:rFonts w:ascii="Calibri" w:hAnsi="Calibri"/>
                    <w:sz w:val="20"/>
                    <w:szCs w:val="20"/>
                  </w:rPr>
                </w:pPr>
              </w:p>
            </w:tc>
            <w:tc>
              <w:tcPr>
                <w:tcW w:w="1720" w:type="dxa"/>
                <w:tcBorders>
                  <w:top w:val="single" w:color="auto" w:sz="4" w:space="0"/>
                  <w:left w:val="single" w:color="auto" w:sz="4" w:space="0"/>
                  <w:bottom w:val="single" w:color="auto" w:sz="4" w:space="0"/>
                  <w:right w:val="single" w:color="auto" w:sz="4" w:space="0"/>
                </w:tcBorders>
                <w:vAlign w:val="center"/>
              </w:tcPr>
              <w:p w14:paraId="12DEB509">
                <w:pPr>
                  <w:jc w:val="right"/>
                  <w:rPr>
                    <w:rFonts w:ascii="Calibri" w:hAnsi="Calibri"/>
                    <w:sz w:val="20"/>
                    <w:szCs w:val="20"/>
                  </w:rPr>
                </w:pPr>
              </w:p>
            </w:tc>
          </w:tr>
          <w:tr w14:paraId="2BBB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Borders>
                  <w:top w:val="single" w:color="auto" w:sz="4" w:space="0"/>
                  <w:left w:val="single" w:color="auto" w:sz="4" w:space="0"/>
                  <w:bottom w:val="single" w:color="auto" w:sz="4" w:space="0"/>
                  <w:right w:val="single" w:color="auto" w:sz="4" w:space="0"/>
                </w:tcBorders>
                <w:vAlign w:val="center"/>
              </w:tcPr>
              <w:p w14:paraId="0EA99B6F">
                <w:pPr>
                  <w:ind w:firstLine="400" w:firstLineChars="200"/>
                  <w:rPr>
                    <w:rFonts w:ascii="Calibri" w:hAnsi="Calibri"/>
                    <w:sz w:val="20"/>
                    <w:szCs w:val="20"/>
                  </w:rPr>
                </w:pPr>
                <w:r>
                  <w:rPr>
                    <w:rFonts w:hint="eastAsia" w:ascii="Calibri" w:hAnsi="Calibri"/>
                    <w:sz w:val="20"/>
                    <w:szCs w:val="20"/>
                  </w:rPr>
                  <w:t>生物制品（原料药及制剂产品）</w:t>
                </w:r>
              </w:p>
            </w:tc>
            <w:tc>
              <w:tcPr>
                <w:tcW w:w="1655" w:type="dxa"/>
                <w:tcBorders>
                  <w:top w:val="single" w:color="auto" w:sz="4" w:space="0"/>
                  <w:left w:val="single" w:color="auto" w:sz="4" w:space="0"/>
                  <w:bottom w:val="single" w:color="auto" w:sz="4" w:space="0"/>
                  <w:right w:val="single" w:color="auto" w:sz="4" w:space="0"/>
                </w:tcBorders>
                <w:vAlign w:val="center"/>
              </w:tcPr>
              <w:p w14:paraId="5DA6943F">
                <w:pPr>
                  <w:jc w:val="right"/>
                  <w:rPr>
                    <w:rFonts w:ascii="Calibri" w:hAnsi="Calibri"/>
                    <w:sz w:val="20"/>
                    <w:szCs w:val="20"/>
                  </w:rPr>
                </w:pPr>
                <w:r>
                  <w:rPr>
                    <w:rFonts w:ascii="Calibri" w:hAnsi="Calibri"/>
                    <w:sz w:val="20"/>
                    <w:szCs w:val="20"/>
                  </w:rPr>
                  <w:t>2,668,400,780.59</w:t>
                </w:r>
              </w:p>
            </w:tc>
            <w:tc>
              <w:tcPr>
                <w:tcW w:w="1642" w:type="dxa"/>
                <w:tcBorders>
                  <w:top w:val="single" w:color="auto" w:sz="4" w:space="0"/>
                  <w:left w:val="single" w:color="auto" w:sz="4" w:space="0"/>
                  <w:bottom w:val="single" w:color="auto" w:sz="4" w:space="0"/>
                  <w:right w:val="single" w:color="auto" w:sz="4" w:space="0"/>
                </w:tcBorders>
                <w:vAlign w:val="center"/>
              </w:tcPr>
              <w:p w14:paraId="4CA651EA">
                <w:pPr>
                  <w:jc w:val="right"/>
                  <w:rPr>
                    <w:rFonts w:ascii="Calibri" w:hAnsi="Calibri"/>
                    <w:sz w:val="20"/>
                    <w:szCs w:val="20"/>
                  </w:rPr>
                </w:pPr>
                <w:r>
                  <w:rPr>
                    <w:rFonts w:ascii="Calibri" w:hAnsi="Calibri"/>
                    <w:sz w:val="20"/>
                    <w:szCs w:val="20"/>
                  </w:rPr>
                  <w:t>724,713,002.20</w:t>
                </w:r>
              </w:p>
            </w:tc>
            <w:tc>
              <w:tcPr>
                <w:tcW w:w="1722" w:type="dxa"/>
                <w:tcBorders>
                  <w:top w:val="single" w:color="auto" w:sz="4" w:space="0"/>
                  <w:left w:val="single" w:color="auto" w:sz="4" w:space="0"/>
                  <w:bottom w:val="single" w:color="auto" w:sz="4" w:space="0"/>
                  <w:right w:val="single" w:color="auto" w:sz="4" w:space="0"/>
                </w:tcBorders>
                <w:vAlign w:val="center"/>
              </w:tcPr>
              <w:p w14:paraId="4654EC4C">
                <w:pPr>
                  <w:jc w:val="right"/>
                  <w:rPr>
                    <w:rFonts w:ascii="Calibri" w:hAnsi="Calibri"/>
                    <w:sz w:val="20"/>
                    <w:szCs w:val="20"/>
                  </w:rPr>
                </w:pPr>
                <w:r>
                  <w:rPr>
                    <w:rFonts w:ascii="Calibri" w:hAnsi="Calibri"/>
                    <w:sz w:val="20"/>
                    <w:szCs w:val="20"/>
                  </w:rPr>
                  <w:t>2,668,400,780.59</w:t>
                </w:r>
              </w:p>
            </w:tc>
            <w:tc>
              <w:tcPr>
                <w:tcW w:w="1720" w:type="dxa"/>
                <w:tcBorders>
                  <w:top w:val="single" w:color="auto" w:sz="4" w:space="0"/>
                  <w:left w:val="single" w:color="auto" w:sz="4" w:space="0"/>
                  <w:bottom w:val="single" w:color="auto" w:sz="4" w:space="0"/>
                  <w:right w:val="single" w:color="auto" w:sz="4" w:space="0"/>
                </w:tcBorders>
                <w:vAlign w:val="center"/>
              </w:tcPr>
              <w:p w14:paraId="0148B883">
                <w:pPr>
                  <w:jc w:val="right"/>
                  <w:rPr>
                    <w:rFonts w:ascii="Calibri" w:hAnsi="Calibri"/>
                    <w:sz w:val="20"/>
                    <w:szCs w:val="20"/>
                  </w:rPr>
                </w:pPr>
                <w:r>
                  <w:rPr>
                    <w:rFonts w:ascii="Calibri" w:hAnsi="Calibri"/>
                    <w:sz w:val="20"/>
                    <w:szCs w:val="20"/>
                  </w:rPr>
                  <w:t>724,713,002.20</w:t>
                </w:r>
              </w:p>
            </w:tc>
          </w:tr>
          <w:tr w14:paraId="0B14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Borders>
                  <w:top w:val="single" w:color="auto" w:sz="4" w:space="0"/>
                  <w:left w:val="single" w:color="auto" w:sz="4" w:space="0"/>
                  <w:bottom w:val="single" w:color="auto" w:sz="4" w:space="0"/>
                  <w:right w:val="single" w:color="auto" w:sz="4" w:space="0"/>
                </w:tcBorders>
                <w:vAlign w:val="center"/>
              </w:tcPr>
              <w:p w14:paraId="61DB5D45">
                <w:pPr>
                  <w:ind w:firstLine="400" w:firstLineChars="200"/>
                  <w:rPr>
                    <w:rFonts w:ascii="Calibri" w:hAnsi="Calibri"/>
                    <w:sz w:val="20"/>
                    <w:szCs w:val="20"/>
                  </w:rPr>
                </w:pPr>
                <w:r>
                  <w:rPr>
                    <w:rFonts w:hint="eastAsia" w:ascii="Calibri" w:hAnsi="Calibri"/>
                    <w:sz w:val="20"/>
                    <w:szCs w:val="20"/>
                  </w:rPr>
                  <w:t>注射用笔、血糖试纸等医疗器械</w:t>
                </w:r>
              </w:p>
            </w:tc>
            <w:tc>
              <w:tcPr>
                <w:tcW w:w="1655" w:type="dxa"/>
                <w:tcBorders>
                  <w:top w:val="single" w:color="auto" w:sz="4" w:space="0"/>
                  <w:left w:val="single" w:color="auto" w:sz="4" w:space="0"/>
                  <w:bottom w:val="single" w:color="auto" w:sz="4" w:space="0"/>
                  <w:right w:val="single" w:color="auto" w:sz="4" w:space="0"/>
                </w:tcBorders>
                <w:vAlign w:val="center"/>
              </w:tcPr>
              <w:p w14:paraId="13E1A615">
                <w:pPr>
                  <w:jc w:val="right"/>
                  <w:rPr>
                    <w:rFonts w:ascii="Calibri" w:hAnsi="Calibri"/>
                    <w:sz w:val="20"/>
                    <w:szCs w:val="20"/>
                  </w:rPr>
                </w:pPr>
                <w:r>
                  <w:rPr>
                    <w:rFonts w:ascii="Calibri" w:hAnsi="Calibri"/>
                    <w:sz w:val="20"/>
                    <w:szCs w:val="20"/>
                  </w:rPr>
                  <w:t>164,131,576.10</w:t>
                </w:r>
              </w:p>
            </w:tc>
            <w:tc>
              <w:tcPr>
                <w:tcW w:w="1642" w:type="dxa"/>
                <w:tcBorders>
                  <w:top w:val="single" w:color="auto" w:sz="4" w:space="0"/>
                  <w:left w:val="single" w:color="auto" w:sz="4" w:space="0"/>
                  <w:bottom w:val="single" w:color="auto" w:sz="4" w:space="0"/>
                  <w:right w:val="single" w:color="auto" w:sz="4" w:space="0"/>
                </w:tcBorders>
                <w:vAlign w:val="center"/>
              </w:tcPr>
              <w:p w14:paraId="7DE33603">
                <w:pPr>
                  <w:jc w:val="right"/>
                  <w:rPr>
                    <w:rFonts w:ascii="Calibri" w:hAnsi="Calibri"/>
                    <w:sz w:val="20"/>
                    <w:szCs w:val="20"/>
                  </w:rPr>
                </w:pPr>
                <w:r>
                  <w:rPr>
                    <w:rFonts w:ascii="Calibri" w:hAnsi="Calibri"/>
                    <w:sz w:val="20"/>
                    <w:szCs w:val="20"/>
                  </w:rPr>
                  <w:t>78,098,270.25</w:t>
                </w:r>
              </w:p>
            </w:tc>
            <w:tc>
              <w:tcPr>
                <w:tcW w:w="1722" w:type="dxa"/>
                <w:tcBorders>
                  <w:top w:val="single" w:color="auto" w:sz="4" w:space="0"/>
                  <w:left w:val="single" w:color="auto" w:sz="4" w:space="0"/>
                  <w:bottom w:val="single" w:color="auto" w:sz="4" w:space="0"/>
                  <w:right w:val="single" w:color="auto" w:sz="4" w:space="0"/>
                </w:tcBorders>
                <w:vAlign w:val="center"/>
              </w:tcPr>
              <w:p w14:paraId="0E155226">
                <w:pPr>
                  <w:jc w:val="right"/>
                  <w:rPr>
                    <w:rFonts w:ascii="Calibri" w:hAnsi="Calibri"/>
                    <w:sz w:val="20"/>
                    <w:szCs w:val="20"/>
                  </w:rPr>
                </w:pPr>
                <w:r>
                  <w:rPr>
                    <w:rFonts w:ascii="Calibri" w:hAnsi="Calibri"/>
                    <w:sz w:val="20"/>
                    <w:szCs w:val="20"/>
                  </w:rPr>
                  <w:t>164,131,576.10</w:t>
                </w:r>
              </w:p>
            </w:tc>
            <w:tc>
              <w:tcPr>
                <w:tcW w:w="1720" w:type="dxa"/>
                <w:tcBorders>
                  <w:top w:val="single" w:color="auto" w:sz="4" w:space="0"/>
                  <w:left w:val="single" w:color="auto" w:sz="4" w:space="0"/>
                  <w:bottom w:val="single" w:color="auto" w:sz="4" w:space="0"/>
                  <w:right w:val="single" w:color="auto" w:sz="4" w:space="0"/>
                </w:tcBorders>
                <w:vAlign w:val="center"/>
              </w:tcPr>
              <w:p w14:paraId="1960F69F">
                <w:pPr>
                  <w:jc w:val="right"/>
                  <w:rPr>
                    <w:rFonts w:ascii="Calibri" w:hAnsi="Calibri"/>
                    <w:sz w:val="20"/>
                    <w:szCs w:val="20"/>
                  </w:rPr>
                </w:pPr>
                <w:r>
                  <w:rPr>
                    <w:rFonts w:ascii="Calibri" w:hAnsi="Calibri"/>
                    <w:sz w:val="20"/>
                    <w:szCs w:val="20"/>
                  </w:rPr>
                  <w:t>78,098,270.25</w:t>
                </w:r>
              </w:p>
            </w:tc>
          </w:tr>
          <w:tr w14:paraId="21BC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Borders>
                  <w:top w:val="single" w:color="auto" w:sz="4" w:space="0"/>
                  <w:left w:val="single" w:color="auto" w:sz="4" w:space="0"/>
                  <w:bottom w:val="single" w:color="auto" w:sz="4" w:space="0"/>
                  <w:right w:val="single" w:color="auto" w:sz="4" w:space="0"/>
                </w:tcBorders>
                <w:vAlign w:val="center"/>
              </w:tcPr>
              <w:p w14:paraId="3E3A6974">
                <w:pPr>
                  <w:ind w:firstLine="400" w:firstLineChars="200"/>
                  <w:rPr>
                    <w:rFonts w:ascii="Calibri" w:hAnsi="Calibri"/>
                    <w:sz w:val="20"/>
                    <w:szCs w:val="20"/>
                  </w:rPr>
                </w:pPr>
                <w:r>
                  <w:rPr>
                    <w:rFonts w:hint="eastAsia" w:ascii="Calibri" w:hAnsi="Calibri"/>
                    <w:sz w:val="20"/>
                    <w:szCs w:val="20"/>
                  </w:rPr>
                  <w:t>中成药和化药</w:t>
                </w:r>
              </w:p>
            </w:tc>
            <w:tc>
              <w:tcPr>
                <w:tcW w:w="1655" w:type="dxa"/>
                <w:tcBorders>
                  <w:top w:val="single" w:color="auto" w:sz="4" w:space="0"/>
                  <w:left w:val="single" w:color="auto" w:sz="4" w:space="0"/>
                  <w:bottom w:val="single" w:color="auto" w:sz="4" w:space="0"/>
                  <w:right w:val="single" w:color="auto" w:sz="4" w:space="0"/>
                </w:tcBorders>
                <w:vAlign w:val="center"/>
              </w:tcPr>
              <w:p w14:paraId="19FCBEB3">
                <w:pPr>
                  <w:jc w:val="right"/>
                  <w:rPr>
                    <w:rFonts w:ascii="Calibri" w:hAnsi="Calibri"/>
                    <w:sz w:val="20"/>
                    <w:szCs w:val="20"/>
                  </w:rPr>
                </w:pPr>
                <w:r>
                  <w:rPr>
                    <w:rFonts w:ascii="Calibri" w:hAnsi="Calibri"/>
                    <w:sz w:val="20"/>
                    <w:szCs w:val="20"/>
                  </w:rPr>
                  <w:t>70,950,253.47</w:t>
                </w:r>
              </w:p>
            </w:tc>
            <w:tc>
              <w:tcPr>
                <w:tcW w:w="1642" w:type="dxa"/>
                <w:tcBorders>
                  <w:top w:val="single" w:color="auto" w:sz="4" w:space="0"/>
                  <w:left w:val="single" w:color="auto" w:sz="4" w:space="0"/>
                  <w:bottom w:val="single" w:color="auto" w:sz="4" w:space="0"/>
                  <w:right w:val="single" w:color="auto" w:sz="4" w:space="0"/>
                </w:tcBorders>
                <w:vAlign w:val="center"/>
              </w:tcPr>
              <w:p w14:paraId="440D8589">
                <w:pPr>
                  <w:jc w:val="right"/>
                  <w:rPr>
                    <w:rFonts w:ascii="Calibri" w:hAnsi="Calibri"/>
                    <w:sz w:val="20"/>
                    <w:szCs w:val="20"/>
                  </w:rPr>
                </w:pPr>
                <w:r>
                  <w:rPr>
                    <w:rFonts w:ascii="Calibri" w:hAnsi="Calibri"/>
                    <w:sz w:val="20"/>
                    <w:szCs w:val="20"/>
                  </w:rPr>
                  <w:t>45,903,136.04</w:t>
                </w:r>
              </w:p>
            </w:tc>
            <w:tc>
              <w:tcPr>
                <w:tcW w:w="1722" w:type="dxa"/>
                <w:tcBorders>
                  <w:top w:val="single" w:color="auto" w:sz="4" w:space="0"/>
                  <w:left w:val="single" w:color="auto" w:sz="4" w:space="0"/>
                  <w:bottom w:val="single" w:color="auto" w:sz="4" w:space="0"/>
                  <w:right w:val="single" w:color="auto" w:sz="4" w:space="0"/>
                </w:tcBorders>
                <w:vAlign w:val="center"/>
              </w:tcPr>
              <w:p w14:paraId="4F79CDDC">
                <w:pPr>
                  <w:jc w:val="right"/>
                  <w:rPr>
                    <w:rFonts w:ascii="Calibri" w:hAnsi="Calibri"/>
                    <w:sz w:val="20"/>
                    <w:szCs w:val="20"/>
                  </w:rPr>
                </w:pPr>
                <w:r>
                  <w:rPr>
                    <w:rFonts w:ascii="Calibri" w:hAnsi="Calibri"/>
                    <w:sz w:val="20"/>
                    <w:szCs w:val="20"/>
                  </w:rPr>
                  <w:t>70,950,253.47</w:t>
                </w:r>
              </w:p>
            </w:tc>
            <w:tc>
              <w:tcPr>
                <w:tcW w:w="1720" w:type="dxa"/>
                <w:tcBorders>
                  <w:top w:val="single" w:color="auto" w:sz="4" w:space="0"/>
                  <w:left w:val="single" w:color="auto" w:sz="4" w:space="0"/>
                  <w:bottom w:val="single" w:color="auto" w:sz="4" w:space="0"/>
                  <w:right w:val="single" w:color="auto" w:sz="4" w:space="0"/>
                </w:tcBorders>
                <w:vAlign w:val="center"/>
              </w:tcPr>
              <w:p w14:paraId="0910C3C3">
                <w:pPr>
                  <w:jc w:val="right"/>
                  <w:rPr>
                    <w:rFonts w:ascii="Calibri" w:hAnsi="Calibri"/>
                    <w:sz w:val="20"/>
                    <w:szCs w:val="20"/>
                  </w:rPr>
                </w:pPr>
                <w:r>
                  <w:rPr>
                    <w:rFonts w:ascii="Calibri" w:hAnsi="Calibri"/>
                    <w:sz w:val="20"/>
                    <w:szCs w:val="20"/>
                  </w:rPr>
                  <w:t>45,903,136.04</w:t>
                </w:r>
              </w:p>
            </w:tc>
          </w:tr>
          <w:tr w14:paraId="497F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Borders>
                  <w:top w:val="single" w:color="auto" w:sz="4" w:space="0"/>
                  <w:left w:val="single" w:color="auto" w:sz="4" w:space="0"/>
                  <w:bottom w:val="single" w:color="auto" w:sz="4" w:space="0"/>
                  <w:right w:val="single" w:color="auto" w:sz="4" w:space="0"/>
                </w:tcBorders>
                <w:vAlign w:val="center"/>
              </w:tcPr>
              <w:p w14:paraId="60ED33A9">
                <w:pPr>
                  <w:ind w:firstLine="400" w:firstLineChars="200"/>
                  <w:rPr>
                    <w:rFonts w:ascii="Calibri" w:hAnsi="Calibri"/>
                    <w:sz w:val="20"/>
                    <w:szCs w:val="20"/>
                  </w:rPr>
                </w:pPr>
                <w:r>
                  <w:rPr>
                    <w:rFonts w:hint="eastAsia" w:ascii="Calibri" w:hAnsi="Calibri"/>
                    <w:sz w:val="20"/>
                    <w:szCs w:val="20"/>
                  </w:rPr>
                  <w:t>丽景花园小区商品房</w:t>
                </w:r>
              </w:p>
            </w:tc>
            <w:tc>
              <w:tcPr>
                <w:tcW w:w="1655" w:type="dxa"/>
                <w:tcBorders>
                  <w:top w:val="single" w:color="auto" w:sz="4" w:space="0"/>
                  <w:left w:val="single" w:color="auto" w:sz="4" w:space="0"/>
                  <w:bottom w:val="single" w:color="auto" w:sz="4" w:space="0"/>
                  <w:right w:val="single" w:color="auto" w:sz="4" w:space="0"/>
                </w:tcBorders>
                <w:vAlign w:val="center"/>
              </w:tcPr>
              <w:p w14:paraId="3B16AFC9">
                <w:pPr>
                  <w:jc w:val="right"/>
                  <w:rPr>
                    <w:rFonts w:ascii="Calibri" w:hAnsi="Calibri"/>
                    <w:sz w:val="20"/>
                    <w:szCs w:val="20"/>
                  </w:rPr>
                </w:pPr>
                <w:r>
                  <w:rPr>
                    <w:rFonts w:ascii="Calibri" w:hAnsi="Calibri"/>
                    <w:sz w:val="20"/>
                    <w:szCs w:val="20"/>
                  </w:rPr>
                  <w:t>7,341,024.80</w:t>
                </w:r>
              </w:p>
            </w:tc>
            <w:tc>
              <w:tcPr>
                <w:tcW w:w="1642" w:type="dxa"/>
                <w:tcBorders>
                  <w:top w:val="single" w:color="auto" w:sz="4" w:space="0"/>
                  <w:left w:val="single" w:color="auto" w:sz="4" w:space="0"/>
                  <w:bottom w:val="single" w:color="auto" w:sz="4" w:space="0"/>
                  <w:right w:val="single" w:color="auto" w:sz="4" w:space="0"/>
                </w:tcBorders>
                <w:vAlign w:val="center"/>
              </w:tcPr>
              <w:p w14:paraId="1F90E578">
                <w:pPr>
                  <w:jc w:val="right"/>
                  <w:rPr>
                    <w:rFonts w:ascii="Calibri" w:hAnsi="Calibri"/>
                    <w:sz w:val="20"/>
                    <w:szCs w:val="20"/>
                  </w:rPr>
                </w:pPr>
                <w:r>
                  <w:rPr>
                    <w:rFonts w:ascii="Calibri" w:hAnsi="Calibri"/>
                    <w:sz w:val="20"/>
                    <w:szCs w:val="20"/>
                  </w:rPr>
                  <w:t>5,913,463.41</w:t>
                </w:r>
              </w:p>
            </w:tc>
            <w:tc>
              <w:tcPr>
                <w:tcW w:w="1722" w:type="dxa"/>
                <w:tcBorders>
                  <w:top w:val="single" w:color="auto" w:sz="4" w:space="0"/>
                  <w:left w:val="single" w:color="auto" w:sz="4" w:space="0"/>
                  <w:bottom w:val="single" w:color="auto" w:sz="4" w:space="0"/>
                  <w:right w:val="single" w:color="auto" w:sz="4" w:space="0"/>
                </w:tcBorders>
                <w:vAlign w:val="center"/>
              </w:tcPr>
              <w:p w14:paraId="60169A17">
                <w:pPr>
                  <w:jc w:val="right"/>
                  <w:rPr>
                    <w:rFonts w:ascii="Calibri" w:hAnsi="Calibri"/>
                    <w:sz w:val="20"/>
                    <w:szCs w:val="20"/>
                  </w:rPr>
                </w:pPr>
                <w:r>
                  <w:rPr>
                    <w:rFonts w:ascii="Calibri" w:hAnsi="Calibri"/>
                    <w:sz w:val="20"/>
                    <w:szCs w:val="20"/>
                  </w:rPr>
                  <w:t>7,341,024.80</w:t>
                </w:r>
              </w:p>
            </w:tc>
            <w:tc>
              <w:tcPr>
                <w:tcW w:w="1720" w:type="dxa"/>
                <w:tcBorders>
                  <w:top w:val="single" w:color="auto" w:sz="4" w:space="0"/>
                  <w:left w:val="single" w:color="auto" w:sz="4" w:space="0"/>
                  <w:bottom w:val="single" w:color="auto" w:sz="4" w:space="0"/>
                  <w:right w:val="single" w:color="auto" w:sz="4" w:space="0"/>
                </w:tcBorders>
                <w:vAlign w:val="center"/>
              </w:tcPr>
              <w:p w14:paraId="274FDE4D">
                <w:pPr>
                  <w:jc w:val="right"/>
                  <w:rPr>
                    <w:rFonts w:ascii="Calibri" w:hAnsi="Calibri"/>
                    <w:sz w:val="20"/>
                    <w:szCs w:val="20"/>
                  </w:rPr>
                </w:pPr>
                <w:r>
                  <w:rPr>
                    <w:rFonts w:ascii="Calibri" w:hAnsi="Calibri"/>
                    <w:sz w:val="20"/>
                    <w:szCs w:val="20"/>
                  </w:rPr>
                  <w:t>5,913,463.41</w:t>
                </w:r>
              </w:p>
            </w:tc>
          </w:tr>
          <w:tr w14:paraId="6DCC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Borders>
                  <w:top w:val="single" w:color="auto" w:sz="4" w:space="0"/>
                  <w:left w:val="single" w:color="auto" w:sz="4" w:space="0"/>
                  <w:bottom w:val="single" w:color="auto" w:sz="4" w:space="0"/>
                  <w:right w:val="single" w:color="auto" w:sz="4" w:space="0"/>
                </w:tcBorders>
                <w:vAlign w:val="center"/>
              </w:tcPr>
              <w:p w14:paraId="4C0C17B7">
                <w:pPr>
                  <w:pStyle w:val="48"/>
                  <w:rPr>
                    <w:sz w:val="20"/>
                    <w:szCs w:val="20"/>
                  </w:rPr>
                </w:pPr>
                <w:r>
                  <w:rPr>
                    <w:rFonts w:hint="eastAsia"/>
                    <w:sz w:val="20"/>
                    <w:szCs w:val="20"/>
                  </w:rPr>
                  <w:t>按经营地区分类</w:t>
                </w:r>
              </w:p>
            </w:tc>
            <w:tc>
              <w:tcPr>
                <w:tcW w:w="1655" w:type="dxa"/>
                <w:tcBorders>
                  <w:top w:val="single" w:color="auto" w:sz="4" w:space="0"/>
                  <w:left w:val="single" w:color="auto" w:sz="4" w:space="0"/>
                  <w:bottom w:val="single" w:color="auto" w:sz="4" w:space="0"/>
                  <w:right w:val="single" w:color="auto" w:sz="4" w:space="0"/>
                </w:tcBorders>
                <w:vAlign w:val="center"/>
              </w:tcPr>
              <w:p w14:paraId="09C12854">
                <w:pPr>
                  <w:jc w:val="right"/>
                  <w:rPr>
                    <w:rFonts w:ascii="Calibri" w:hAnsi="Calibri"/>
                    <w:sz w:val="20"/>
                    <w:szCs w:val="20"/>
                  </w:rPr>
                </w:pPr>
                <w:r>
                  <w:rPr>
                    <w:rFonts w:hint="eastAsia" w:ascii="Calibri" w:hAnsi="Calibri"/>
                    <w:sz w:val="20"/>
                    <w:szCs w:val="20"/>
                  </w:rPr>
                  <w:t>　</w:t>
                </w:r>
              </w:p>
            </w:tc>
            <w:tc>
              <w:tcPr>
                <w:tcW w:w="1642" w:type="dxa"/>
                <w:tcBorders>
                  <w:top w:val="single" w:color="auto" w:sz="4" w:space="0"/>
                  <w:left w:val="single" w:color="auto" w:sz="4" w:space="0"/>
                  <w:bottom w:val="single" w:color="auto" w:sz="4" w:space="0"/>
                  <w:right w:val="single" w:color="auto" w:sz="4" w:space="0"/>
                </w:tcBorders>
                <w:vAlign w:val="center"/>
              </w:tcPr>
              <w:p w14:paraId="6338C460">
                <w:pPr>
                  <w:jc w:val="right"/>
                  <w:rPr>
                    <w:rFonts w:ascii="Calibri" w:hAnsi="Calibri"/>
                    <w:sz w:val="20"/>
                    <w:szCs w:val="20"/>
                  </w:rPr>
                </w:pPr>
                <w:r>
                  <w:rPr>
                    <w:rFonts w:hint="eastAsia" w:ascii="Calibri" w:hAnsi="Calibri"/>
                    <w:sz w:val="20"/>
                    <w:szCs w:val="20"/>
                  </w:rPr>
                  <w:t>　</w:t>
                </w:r>
              </w:p>
            </w:tc>
            <w:tc>
              <w:tcPr>
                <w:tcW w:w="1722" w:type="dxa"/>
                <w:tcBorders>
                  <w:top w:val="single" w:color="auto" w:sz="4" w:space="0"/>
                  <w:left w:val="single" w:color="auto" w:sz="4" w:space="0"/>
                  <w:bottom w:val="single" w:color="auto" w:sz="4" w:space="0"/>
                  <w:right w:val="single" w:color="auto" w:sz="4" w:space="0"/>
                </w:tcBorders>
                <w:vAlign w:val="center"/>
              </w:tcPr>
              <w:p w14:paraId="139C92D3">
                <w:pPr>
                  <w:jc w:val="right"/>
                  <w:rPr>
                    <w:rFonts w:ascii="Calibri" w:hAnsi="Calibri"/>
                    <w:sz w:val="20"/>
                    <w:szCs w:val="20"/>
                  </w:rPr>
                </w:pPr>
                <w:r>
                  <w:rPr>
                    <w:rFonts w:hint="eastAsia" w:ascii="Calibri" w:hAnsi="Calibri"/>
                    <w:sz w:val="20"/>
                    <w:szCs w:val="20"/>
                  </w:rPr>
                  <w:t>　</w:t>
                </w:r>
              </w:p>
            </w:tc>
            <w:tc>
              <w:tcPr>
                <w:tcW w:w="1720" w:type="dxa"/>
                <w:tcBorders>
                  <w:top w:val="single" w:color="auto" w:sz="4" w:space="0"/>
                  <w:left w:val="single" w:color="auto" w:sz="4" w:space="0"/>
                  <w:bottom w:val="single" w:color="auto" w:sz="4" w:space="0"/>
                  <w:right w:val="single" w:color="auto" w:sz="4" w:space="0"/>
                </w:tcBorders>
                <w:vAlign w:val="center"/>
              </w:tcPr>
              <w:p w14:paraId="46951EA1">
                <w:pPr>
                  <w:jc w:val="right"/>
                  <w:rPr>
                    <w:rFonts w:ascii="Calibri" w:hAnsi="Calibri"/>
                    <w:sz w:val="20"/>
                    <w:szCs w:val="20"/>
                  </w:rPr>
                </w:pPr>
                <w:r>
                  <w:rPr>
                    <w:rFonts w:hint="eastAsia" w:ascii="Calibri" w:hAnsi="Calibri"/>
                    <w:sz w:val="20"/>
                    <w:szCs w:val="20"/>
                  </w:rPr>
                  <w:t>　</w:t>
                </w:r>
              </w:p>
            </w:tc>
          </w:tr>
          <w:tr w14:paraId="5FFA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Borders>
                  <w:top w:val="single" w:color="auto" w:sz="4" w:space="0"/>
                  <w:left w:val="single" w:color="auto" w:sz="4" w:space="0"/>
                  <w:bottom w:val="single" w:color="auto" w:sz="4" w:space="0"/>
                  <w:right w:val="single" w:color="auto" w:sz="4" w:space="0"/>
                </w:tcBorders>
                <w:vAlign w:val="center"/>
              </w:tcPr>
              <w:p w14:paraId="0FCB7A56">
                <w:pPr>
                  <w:ind w:firstLine="400" w:firstLineChars="200"/>
                  <w:rPr>
                    <w:rFonts w:ascii="Calibri" w:hAnsi="Calibri"/>
                    <w:sz w:val="20"/>
                    <w:szCs w:val="20"/>
                  </w:rPr>
                </w:pPr>
                <w:r>
                  <w:rPr>
                    <w:rFonts w:hint="eastAsia" w:ascii="Calibri" w:hAnsi="Calibri"/>
                    <w:sz w:val="20"/>
                    <w:szCs w:val="20"/>
                  </w:rPr>
                  <w:t>国内</w:t>
                </w:r>
              </w:p>
            </w:tc>
            <w:tc>
              <w:tcPr>
                <w:tcW w:w="1655" w:type="dxa"/>
                <w:tcBorders>
                  <w:top w:val="single" w:color="auto" w:sz="4" w:space="0"/>
                  <w:left w:val="single" w:color="auto" w:sz="4" w:space="0"/>
                  <w:bottom w:val="single" w:color="auto" w:sz="4" w:space="0"/>
                  <w:right w:val="single" w:color="auto" w:sz="4" w:space="0"/>
                </w:tcBorders>
                <w:vAlign w:val="center"/>
              </w:tcPr>
              <w:p w14:paraId="07027C4F">
                <w:pPr>
                  <w:jc w:val="right"/>
                  <w:rPr>
                    <w:rFonts w:ascii="Calibri" w:hAnsi="Calibri"/>
                    <w:sz w:val="20"/>
                    <w:szCs w:val="20"/>
                  </w:rPr>
                </w:pPr>
                <w:r>
                  <w:rPr>
                    <w:rFonts w:hint="eastAsia" w:ascii="Calibri" w:hAnsi="Calibri"/>
                    <w:sz w:val="20"/>
                    <w:szCs w:val="20"/>
                  </w:rPr>
                  <w:t>2,707,547,123.58</w:t>
                </w:r>
              </w:p>
            </w:tc>
            <w:tc>
              <w:tcPr>
                <w:tcW w:w="1642" w:type="dxa"/>
                <w:tcBorders>
                  <w:top w:val="single" w:color="auto" w:sz="4" w:space="0"/>
                  <w:left w:val="single" w:color="auto" w:sz="4" w:space="0"/>
                  <w:bottom w:val="single" w:color="auto" w:sz="4" w:space="0"/>
                  <w:right w:val="single" w:color="auto" w:sz="4" w:space="0"/>
                </w:tcBorders>
                <w:vAlign w:val="center"/>
              </w:tcPr>
              <w:p w14:paraId="384BF311">
                <w:pPr>
                  <w:jc w:val="right"/>
                  <w:rPr>
                    <w:rFonts w:ascii="Calibri" w:hAnsi="Calibri"/>
                    <w:sz w:val="20"/>
                    <w:szCs w:val="20"/>
                  </w:rPr>
                </w:pPr>
                <w:r>
                  <w:rPr>
                    <w:rFonts w:ascii="Calibri" w:hAnsi="Calibri"/>
                    <w:sz w:val="20"/>
                    <w:szCs w:val="20"/>
                  </w:rPr>
                  <w:t>734,784,498.76</w:t>
                </w:r>
              </w:p>
            </w:tc>
            <w:tc>
              <w:tcPr>
                <w:tcW w:w="1722" w:type="dxa"/>
                <w:tcBorders>
                  <w:top w:val="single" w:color="auto" w:sz="4" w:space="0"/>
                  <w:left w:val="single" w:color="auto" w:sz="4" w:space="0"/>
                  <w:bottom w:val="single" w:color="auto" w:sz="4" w:space="0"/>
                  <w:right w:val="single" w:color="auto" w:sz="4" w:space="0"/>
                </w:tcBorders>
                <w:vAlign w:val="center"/>
              </w:tcPr>
              <w:p w14:paraId="4B0963A3">
                <w:pPr>
                  <w:jc w:val="right"/>
                  <w:rPr>
                    <w:rFonts w:ascii="Calibri" w:hAnsi="Calibri"/>
                    <w:sz w:val="20"/>
                    <w:szCs w:val="20"/>
                  </w:rPr>
                </w:pPr>
                <w:r>
                  <w:rPr>
                    <w:rFonts w:ascii="Calibri" w:hAnsi="Calibri"/>
                    <w:sz w:val="20"/>
                    <w:szCs w:val="20"/>
                  </w:rPr>
                  <w:t>2,707,547,123.58</w:t>
                </w:r>
              </w:p>
            </w:tc>
            <w:tc>
              <w:tcPr>
                <w:tcW w:w="1720" w:type="dxa"/>
                <w:tcBorders>
                  <w:top w:val="single" w:color="auto" w:sz="4" w:space="0"/>
                  <w:left w:val="single" w:color="auto" w:sz="4" w:space="0"/>
                  <w:bottom w:val="single" w:color="auto" w:sz="4" w:space="0"/>
                  <w:right w:val="single" w:color="auto" w:sz="4" w:space="0"/>
                </w:tcBorders>
                <w:vAlign w:val="center"/>
              </w:tcPr>
              <w:p w14:paraId="5E7FA227">
                <w:pPr>
                  <w:jc w:val="right"/>
                  <w:rPr>
                    <w:rFonts w:ascii="Calibri" w:hAnsi="Calibri"/>
                    <w:sz w:val="20"/>
                    <w:szCs w:val="20"/>
                  </w:rPr>
                </w:pPr>
                <w:r>
                  <w:rPr>
                    <w:rFonts w:ascii="Calibri" w:hAnsi="Calibri"/>
                    <w:sz w:val="20"/>
                    <w:szCs w:val="20"/>
                  </w:rPr>
                  <w:t>734,784,498.76</w:t>
                </w:r>
              </w:p>
            </w:tc>
          </w:tr>
          <w:tr w14:paraId="3854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Borders>
                  <w:top w:val="single" w:color="auto" w:sz="4" w:space="0"/>
                  <w:left w:val="single" w:color="auto" w:sz="4" w:space="0"/>
                  <w:bottom w:val="single" w:color="auto" w:sz="4" w:space="0"/>
                  <w:right w:val="single" w:color="auto" w:sz="4" w:space="0"/>
                </w:tcBorders>
                <w:vAlign w:val="center"/>
              </w:tcPr>
              <w:p w14:paraId="045CFCDB">
                <w:pPr>
                  <w:ind w:firstLine="400" w:firstLineChars="200"/>
                  <w:rPr>
                    <w:rFonts w:ascii="Calibri" w:hAnsi="Calibri"/>
                    <w:sz w:val="20"/>
                    <w:szCs w:val="20"/>
                  </w:rPr>
                </w:pPr>
                <w:r>
                  <w:rPr>
                    <w:rFonts w:hint="eastAsia" w:ascii="Calibri" w:hAnsi="Calibri"/>
                    <w:sz w:val="20"/>
                    <w:szCs w:val="20"/>
                  </w:rPr>
                  <w:t>国外</w:t>
                </w:r>
              </w:p>
            </w:tc>
            <w:tc>
              <w:tcPr>
                <w:tcW w:w="1655" w:type="dxa"/>
                <w:tcBorders>
                  <w:top w:val="single" w:color="auto" w:sz="4" w:space="0"/>
                  <w:left w:val="single" w:color="auto" w:sz="4" w:space="0"/>
                  <w:bottom w:val="single" w:color="auto" w:sz="4" w:space="0"/>
                  <w:right w:val="single" w:color="auto" w:sz="4" w:space="0"/>
                </w:tcBorders>
                <w:vAlign w:val="center"/>
              </w:tcPr>
              <w:p w14:paraId="5D9E63FF">
                <w:pPr>
                  <w:jc w:val="right"/>
                  <w:rPr>
                    <w:rFonts w:ascii="Calibri" w:hAnsi="Calibri"/>
                    <w:sz w:val="20"/>
                    <w:szCs w:val="20"/>
                  </w:rPr>
                </w:pPr>
                <w:r>
                  <w:rPr>
                    <w:rFonts w:hint="eastAsia" w:ascii="Calibri" w:hAnsi="Calibri"/>
                    <w:sz w:val="20"/>
                    <w:szCs w:val="20"/>
                  </w:rPr>
                  <w:t>203,276,511.38</w:t>
                </w:r>
              </w:p>
            </w:tc>
            <w:tc>
              <w:tcPr>
                <w:tcW w:w="1642" w:type="dxa"/>
                <w:tcBorders>
                  <w:top w:val="single" w:color="auto" w:sz="4" w:space="0"/>
                  <w:left w:val="single" w:color="auto" w:sz="4" w:space="0"/>
                  <w:bottom w:val="single" w:color="auto" w:sz="4" w:space="0"/>
                  <w:right w:val="single" w:color="auto" w:sz="4" w:space="0"/>
                </w:tcBorders>
                <w:vAlign w:val="center"/>
              </w:tcPr>
              <w:p w14:paraId="53B6BE33">
                <w:pPr>
                  <w:jc w:val="right"/>
                  <w:rPr>
                    <w:rFonts w:ascii="Calibri" w:hAnsi="Calibri"/>
                    <w:sz w:val="20"/>
                    <w:szCs w:val="20"/>
                  </w:rPr>
                </w:pPr>
                <w:r>
                  <w:rPr>
                    <w:rFonts w:hint="eastAsia" w:ascii="Calibri" w:hAnsi="Calibri"/>
                    <w:sz w:val="20"/>
                    <w:szCs w:val="20"/>
                  </w:rPr>
                  <w:t>119,843,373.14</w:t>
                </w:r>
              </w:p>
            </w:tc>
            <w:tc>
              <w:tcPr>
                <w:tcW w:w="1722" w:type="dxa"/>
                <w:tcBorders>
                  <w:top w:val="single" w:color="auto" w:sz="4" w:space="0"/>
                  <w:left w:val="single" w:color="auto" w:sz="4" w:space="0"/>
                  <w:bottom w:val="single" w:color="auto" w:sz="4" w:space="0"/>
                  <w:right w:val="single" w:color="auto" w:sz="4" w:space="0"/>
                </w:tcBorders>
                <w:vAlign w:val="center"/>
              </w:tcPr>
              <w:p w14:paraId="0342C4BF">
                <w:pPr>
                  <w:jc w:val="right"/>
                  <w:rPr>
                    <w:rFonts w:ascii="Calibri" w:hAnsi="Calibri"/>
                    <w:sz w:val="20"/>
                    <w:szCs w:val="20"/>
                  </w:rPr>
                </w:pPr>
                <w:r>
                  <w:rPr>
                    <w:rFonts w:ascii="Calibri" w:hAnsi="Calibri"/>
                    <w:sz w:val="20"/>
                    <w:szCs w:val="20"/>
                  </w:rPr>
                  <w:t>203,276,511.38</w:t>
                </w:r>
              </w:p>
            </w:tc>
            <w:tc>
              <w:tcPr>
                <w:tcW w:w="1720" w:type="dxa"/>
                <w:tcBorders>
                  <w:top w:val="single" w:color="auto" w:sz="4" w:space="0"/>
                  <w:left w:val="single" w:color="auto" w:sz="4" w:space="0"/>
                  <w:bottom w:val="single" w:color="auto" w:sz="4" w:space="0"/>
                  <w:right w:val="single" w:color="auto" w:sz="4" w:space="0"/>
                </w:tcBorders>
                <w:vAlign w:val="center"/>
              </w:tcPr>
              <w:p w14:paraId="71DE6CBB">
                <w:pPr>
                  <w:jc w:val="right"/>
                  <w:rPr>
                    <w:rFonts w:ascii="Calibri" w:hAnsi="Calibri"/>
                    <w:sz w:val="20"/>
                    <w:szCs w:val="20"/>
                  </w:rPr>
                </w:pPr>
                <w:r>
                  <w:rPr>
                    <w:rFonts w:ascii="Calibri" w:hAnsi="Calibri"/>
                    <w:sz w:val="20"/>
                    <w:szCs w:val="20"/>
                  </w:rPr>
                  <w:t>119,843,373.14</w:t>
                </w:r>
              </w:p>
            </w:tc>
          </w:tr>
        </w:tbl>
        <w:p w14:paraId="0BA77E07"/>
        <w:p w14:paraId="58ECDDF4">
          <w:pPr>
            <w:pStyle w:val="48"/>
          </w:pPr>
          <w:r>
            <w:rPr>
              <w:rFonts w:hint="eastAsia"/>
            </w:rPr>
            <w:t>其他说明：</w:t>
          </w:r>
        </w:p>
        <w:sdt>
          <w:sdtPr>
            <w:alias w:val="是否适用：营业收入、营业成本的分解信息说明 [双击切换]"/>
            <w:tag w:val="_GBC_f134aa472e8b45f8af819092314ab743"/>
            <w:id w:val="-1108342067"/>
            <w:placeholder>
              <w:docPart w:val="GBC22222222222222222222222222222"/>
            </w:placeholder>
          </w:sdtPr>
          <w:sdtContent>
            <w:p w14:paraId="6872355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BD14B58">
          <w:pPr>
            <w:pStyle w:val="48"/>
          </w:pPr>
        </w:p>
      </w:sdtContent>
    </w:sdt>
    <w:bookmarkEnd w:id="352"/>
    <w:p w14:paraId="682B6B82">
      <w:pPr>
        <w:pStyle w:val="5"/>
        <w:numPr>
          <w:ilvl w:val="0"/>
          <w:numId w:val="98"/>
        </w:numPr>
        <w:ind w:left="426" w:hanging="426"/>
      </w:pPr>
      <w:bookmarkStart w:id="353" w:name="_Hlk533670431"/>
      <w:r>
        <w:rPr>
          <w:rFonts w:hint="eastAsia"/>
        </w:rPr>
        <w:t>履约义务的说明</w:t>
      </w:r>
    </w:p>
    <w:sdt>
      <w:sdtPr>
        <w:alias w:val="是否适用：履约义务的说明[双击切换]"/>
        <w:tag w:val="_GBC_2bcc2970f5df4fc982ad2497089d8292"/>
        <w:id w:val="-1318802418"/>
        <w:placeholder>
          <w:docPart w:val="GBC22222222222222222222222222222"/>
        </w:placeholder>
      </w:sdtPr>
      <w:sdtContent>
        <w:p w14:paraId="34CAA84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492562F">
      <w:pPr>
        <w:pStyle w:val="48"/>
      </w:pPr>
    </w:p>
    <w:bookmarkEnd w:id="353"/>
    <w:p w14:paraId="6DB6CB65">
      <w:pPr>
        <w:pStyle w:val="5"/>
        <w:numPr>
          <w:ilvl w:val="0"/>
          <w:numId w:val="98"/>
        </w:numPr>
        <w:ind w:left="426" w:hanging="426"/>
      </w:pPr>
      <w:bookmarkStart w:id="354" w:name="_Hlk533423938"/>
      <w:r>
        <w:rPr>
          <w:rFonts w:hint="eastAsia"/>
        </w:rPr>
        <w:t>分摊至剩余履约义务的说明</w:t>
      </w:r>
    </w:p>
    <w:sdt>
      <w:sdtPr>
        <w:alias w:val="是否适用：分摊至剩余履约义务的说明[双击切换]"/>
        <w:tag w:val="_GBC_67defaacf38a42549a2ed747c0fdb075"/>
        <w:id w:val="-1582288259"/>
        <w:placeholder>
          <w:docPart w:val="GBC22222222222222222222222222222"/>
        </w:placeholder>
      </w:sdtPr>
      <w:sdtContent>
        <w:p w14:paraId="121BB5C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5ED1FEB">
      <w:pPr>
        <w:pStyle w:val="48"/>
      </w:pPr>
    </w:p>
    <w:p w14:paraId="10E33904">
      <w:pPr>
        <w:rPr>
          <w:rFonts w:ascii="Arial" w:hAnsi="Arial"/>
        </w:rPr>
      </w:pPr>
    </w:p>
    <w:bookmarkEnd w:id="354"/>
    <w:p w14:paraId="462B43F9">
      <w:pPr>
        <w:pStyle w:val="5"/>
        <w:numPr>
          <w:ilvl w:val="0"/>
          <w:numId w:val="98"/>
        </w:numPr>
        <w:ind w:left="426" w:hanging="426"/>
      </w:pPr>
      <w:r>
        <w:rPr>
          <w:rFonts w:hint="eastAsia"/>
        </w:rPr>
        <w:t>重大合同变更或重大交易价格调整</w:t>
      </w:r>
    </w:p>
    <w:sdt>
      <w:sdtPr>
        <w:alias w:val="是否适用：重大合同变更或重大交易价格调整[双击切换]"/>
        <w:tag w:val="_GBC_0445697eb8d6440497b15f440010cd1d"/>
        <w:id w:val="-1489548934"/>
        <w:placeholder>
          <w:docPart w:val="GBC22222222222222222222222222222"/>
        </w:placeholder>
      </w:sdtPr>
      <w:sdtContent>
        <w:p w14:paraId="3363E53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FDB8D2E">
      <w:pPr>
        <w:pStyle w:val="48"/>
      </w:pPr>
      <w:bookmarkStart w:id="355" w:name="_Hlk26364697"/>
    </w:p>
    <w:bookmarkEnd w:id="355"/>
    <w:p w14:paraId="0567AB6C">
      <w:pPr>
        <w:pStyle w:val="4"/>
        <w:numPr>
          <w:ilvl w:val="0"/>
          <w:numId w:val="61"/>
        </w:numPr>
        <w:rPr>
          <w:szCs w:val="21"/>
        </w:rPr>
      </w:pPr>
      <w:r>
        <w:rPr>
          <w:szCs w:val="21"/>
        </w:rPr>
        <w:t>税金及附加</w:t>
      </w:r>
    </w:p>
    <w:sdt>
      <w:sdtPr>
        <w:alias w:val="是否适用：税金及附加[双击切换]"/>
        <w:tag w:val="_GBC_08eb9cdd2a3940549b0f2b47081f0a3d"/>
        <w:id w:val="-1630166050"/>
        <w:placeholder>
          <w:docPart w:val="GBC22222222222222222222222222222"/>
        </w:placeholder>
      </w:sdtPr>
      <w:sdtContent>
        <w:p w14:paraId="27DA439C">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B181CD4">
      <w:pPr>
        <w:jc w:val="right"/>
        <w:rPr>
          <w:b/>
        </w:rPr>
      </w:pPr>
      <w:r>
        <w:rPr>
          <w:rFonts w:hint="eastAsia"/>
        </w:rPr>
        <w:t>单位：</w:t>
      </w:r>
      <w:sdt>
        <w:sdtPr>
          <w:rPr>
            <w:rFonts w:hint="eastAsia"/>
          </w:rPr>
          <w:alias w:val="单位：财务附注：税金及附加"/>
          <w:tag w:val="_GBC_6e5742d697d44a7dabc4411d4cd3c055"/>
          <w:id w:val="-3911960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税金及附加"/>
          <w:tag w:val="_GBC_7ad96346369145ef9c54edaefcc18214"/>
          <w:id w:val="10269065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2907"/>
        <w:gridCol w:w="3074"/>
        <w:gridCol w:w="3074"/>
      </w:tblGrid>
      <w:tr w14:paraId="5988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82dcdcc171754a7b940a70d1c7daa5c1"/>
            <w:id w:val="737590786"/>
          </w:sdtPr>
          <w:sdtContent>
            <w:tc>
              <w:tcPr>
                <w:tcW w:w="2907" w:type="dxa"/>
                <w:vAlign w:val="center"/>
              </w:tcPr>
              <w:p w14:paraId="421BA50D">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项目</w:t>
                </w:r>
              </w:p>
            </w:tc>
          </w:sdtContent>
        </w:sdt>
        <w:sdt>
          <w:sdtPr>
            <w:tag w:val="_PLD_a015e641f9074bee9ed1ee81511407cc"/>
            <w:id w:val="-1465124560"/>
          </w:sdtPr>
          <w:sdtContent>
            <w:tc>
              <w:tcPr>
                <w:tcW w:w="3074" w:type="dxa"/>
                <w:vAlign w:val="center"/>
              </w:tcPr>
              <w:p w14:paraId="126C5A00">
                <w:pPr>
                  <w:jc w:val="center"/>
                  <w:rPr>
                    <w:rFonts w:ascii="Calibri" w:hAnsi="Calibri"/>
                    <w:sz w:val="20"/>
                    <w:szCs w:val="20"/>
                  </w:rPr>
                </w:pPr>
                <w:r>
                  <w:rPr>
                    <w:rFonts w:hint="eastAsia" w:ascii="Calibri" w:hAnsi="Calibri"/>
                    <w:sz w:val="20"/>
                    <w:szCs w:val="20"/>
                  </w:rPr>
                  <w:t>本期发生额</w:t>
                </w:r>
              </w:p>
            </w:tc>
          </w:sdtContent>
        </w:sdt>
        <w:sdt>
          <w:sdtPr>
            <w:tag w:val="_PLD_5e944d291c9a4b0aab9f6558226d9112"/>
            <w:id w:val="161055161"/>
          </w:sdtPr>
          <w:sdtContent>
            <w:tc>
              <w:tcPr>
                <w:tcW w:w="3074" w:type="dxa"/>
                <w:vAlign w:val="center"/>
              </w:tcPr>
              <w:p w14:paraId="2E28F2C6">
                <w:pPr>
                  <w:jc w:val="center"/>
                  <w:rPr>
                    <w:rFonts w:ascii="Calibri" w:hAnsi="Calibri"/>
                    <w:sz w:val="20"/>
                    <w:szCs w:val="20"/>
                  </w:rPr>
                </w:pPr>
                <w:r>
                  <w:rPr>
                    <w:rFonts w:hint="eastAsia" w:ascii="Calibri" w:hAnsi="Calibri"/>
                    <w:sz w:val="20"/>
                    <w:szCs w:val="20"/>
                  </w:rPr>
                  <w:t>上期发生额</w:t>
                </w:r>
              </w:p>
            </w:tc>
          </w:sdtContent>
        </w:sdt>
      </w:tr>
      <w:tr w14:paraId="54B6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907" w:type="dxa"/>
            <w:vAlign w:val="center"/>
          </w:tcPr>
          <w:p w14:paraId="3E6A7892">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消费税</w:t>
            </w:r>
          </w:p>
        </w:tc>
        <w:tc>
          <w:tcPr>
            <w:tcW w:w="3074" w:type="dxa"/>
            <w:vAlign w:val="center"/>
          </w:tcPr>
          <w:p w14:paraId="42E2C0EB">
            <w:pPr>
              <w:autoSpaceDE w:val="0"/>
              <w:autoSpaceDN w:val="0"/>
              <w:adjustRightInd w:val="0"/>
              <w:snapToGrid w:val="0"/>
              <w:spacing w:line="240" w:lineRule="atLeast"/>
              <w:jc w:val="right"/>
              <w:rPr>
                <w:rFonts w:ascii="Calibri" w:hAnsi="Calibri"/>
                <w:sz w:val="20"/>
                <w:szCs w:val="20"/>
              </w:rPr>
            </w:pPr>
          </w:p>
        </w:tc>
        <w:tc>
          <w:tcPr>
            <w:tcW w:w="3074" w:type="dxa"/>
            <w:vAlign w:val="center"/>
          </w:tcPr>
          <w:p w14:paraId="2D34390E">
            <w:pPr>
              <w:jc w:val="right"/>
              <w:rPr>
                <w:rFonts w:ascii="Calibri" w:hAnsi="Calibri"/>
                <w:sz w:val="20"/>
                <w:szCs w:val="20"/>
              </w:rPr>
            </w:pPr>
          </w:p>
        </w:tc>
      </w:tr>
      <w:tr w14:paraId="720D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907" w:type="dxa"/>
            <w:vAlign w:val="center"/>
          </w:tcPr>
          <w:p w14:paraId="5B728E4E">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营业税</w:t>
            </w:r>
          </w:p>
        </w:tc>
        <w:tc>
          <w:tcPr>
            <w:tcW w:w="3074" w:type="dxa"/>
            <w:vAlign w:val="center"/>
          </w:tcPr>
          <w:p w14:paraId="5B17CF23">
            <w:pPr>
              <w:autoSpaceDE w:val="0"/>
              <w:autoSpaceDN w:val="0"/>
              <w:adjustRightInd w:val="0"/>
              <w:snapToGrid w:val="0"/>
              <w:spacing w:line="240" w:lineRule="atLeast"/>
              <w:jc w:val="right"/>
              <w:rPr>
                <w:rFonts w:ascii="Calibri" w:hAnsi="Calibri"/>
                <w:sz w:val="20"/>
                <w:szCs w:val="20"/>
              </w:rPr>
            </w:pPr>
          </w:p>
        </w:tc>
        <w:tc>
          <w:tcPr>
            <w:tcW w:w="3074" w:type="dxa"/>
            <w:vAlign w:val="center"/>
          </w:tcPr>
          <w:p w14:paraId="7C11A963">
            <w:pPr>
              <w:jc w:val="right"/>
              <w:rPr>
                <w:rFonts w:ascii="Calibri" w:hAnsi="Calibri"/>
                <w:sz w:val="20"/>
                <w:szCs w:val="20"/>
              </w:rPr>
            </w:pPr>
          </w:p>
        </w:tc>
      </w:tr>
      <w:tr w14:paraId="1AA2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907" w:type="dxa"/>
            <w:vAlign w:val="center"/>
          </w:tcPr>
          <w:p w14:paraId="6EF336C4">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城市维护建设税</w:t>
            </w:r>
          </w:p>
        </w:tc>
        <w:tc>
          <w:tcPr>
            <w:tcW w:w="3074" w:type="dxa"/>
            <w:vAlign w:val="center"/>
          </w:tcPr>
          <w:p w14:paraId="7F19899F">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1,722,230.75</w:t>
            </w:r>
          </w:p>
        </w:tc>
        <w:tc>
          <w:tcPr>
            <w:tcW w:w="3074" w:type="dxa"/>
            <w:vAlign w:val="center"/>
          </w:tcPr>
          <w:p w14:paraId="0DFC0569">
            <w:pPr>
              <w:jc w:val="right"/>
              <w:rPr>
                <w:rFonts w:ascii="Calibri" w:hAnsi="Calibri"/>
                <w:sz w:val="20"/>
                <w:szCs w:val="20"/>
              </w:rPr>
            </w:pPr>
            <w:r>
              <w:rPr>
                <w:rFonts w:ascii="Calibri" w:hAnsi="Calibri"/>
                <w:sz w:val="20"/>
                <w:szCs w:val="20"/>
              </w:rPr>
              <w:t>973,920.98</w:t>
            </w:r>
          </w:p>
        </w:tc>
      </w:tr>
      <w:tr w14:paraId="4F19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907" w:type="dxa"/>
            <w:vAlign w:val="center"/>
          </w:tcPr>
          <w:p w14:paraId="51268229">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教育费附加</w:t>
            </w:r>
          </w:p>
        </w:tc>
        <w:tc>
          <w:tcPr>
            <w:tcW w:w="3074" w:type="dxa"/>
            <w:vAlign w:val="center"/>
          </w:tcPr>
          <w:p w14:paraId="7CBCC91C">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4,868,994.37</w:t>
            </w:r>
          </w:p>
        </w:tc>
        <w:tc>
          <w:tcPr>
            <w:tcW w:w="3074" w:type="dxa"/>
            <w:vAlign w:val="center"/>
          </w:tcPr>
          <w:p w14:paraId="6562FC7D">
            <w:pPr>
              <w:jc w:val="right"/>
              <w:rPr>
                <w:rFonts w:ascii="Calibri" w:hAnsi="Calibri"/>
                <w:sz w:val="20"/>
                <w:szCs w:val="20"/>
              </w:rPr>
            </w:pPr>
            <w:r>
              <w:rPr>
                <w:rFonts w:ascii="Calibri" w:hAnsi="Calibri"/>
                <w:sz w:val="20"/>
                <w:szCs w:val="20"/>
              </w:rPr>
              <w:t>2,697,393.76</w:t>
            </w:r>
          </w:p>
        </w:tc>
      </w:tr>
      <w:tr w14:paraId="2094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907" w:type="dxa"/>
            <w:vAlign w:val="center"/>
          </w:tcPr>
          <w:p w14:paraId="56EB6661">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地方教育费附加</w:t>
            </w:r>
          </w:p>
        </w:tc>
        <w:tc>
          <w:tcPr>
            <w:tcW w:w="3074" w:type="dxa"/>
            <w:vAlign w:val="center"/>
          </w:tcPr>
          <w:p w14:paraId="5B9E1C9E">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3,245,996.24</w:t>
            </w:r>
          </w:p>
        </w:tc>
        <w:tc>
          <w:tcPr>
            <w:tcW w:w="3074" w:type="dxa"/>
            <w:vAlign w:val="center"/>
          </w:tcPr>
          <w:p w14:paraId="59817041">
            <w:pPr>
              <w:jc w:val="right"/>
              <w:rPr>
                <w:rFonts w:ascii="Calibri" w:hAnsi="Calibri"/>
                <w:sz w:val="20"/>
                <w:szCs w:val="20"/>
              </w:rPr>
            </w:pPr>
            <w:r>
              <w:rPr>
                <w:rFonts w:ascii="Calibri" w:hAnsi="Calibri"/>
                <w:sz w:val="20"/>
                <w:szCs w:val="20"/>
              </w:rPr>
              <w:t>1,798,262.53</w:t>
            </w:r>
          </w:p>
        </w:tc>
      </w:tr>
      <w:tr w14:paraId="3321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907" w:type="dxa"/>
            <w:vAlign w:val="center"/>
          </w:tcPr>
          <w:p w14:paraId="7FD77D09">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房产税</w:t>
            </w:r>
          </w:p>
        </w:tc>
        <w:tc>
          <w:tcPr>
            <w:tcW w:w="3074" w:type="dxa"/>
            <w:vAlign w:val="center"/>
          </w:tcPr>
          <w:p w14:paraId="5512D03A">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11,680,387.40</w:t>
            </w:r>
          </w:p>
        </w:tc>
        <w:tc>
          <w:tcPr>
            <w:tcW w:w="3074" w:type="dxa"/>
            <w:vAlign w:val="center"/>
          </w:tcPr>
          <w:p w14:paraId="39FBC867">
            <w:pPr>
              <w:jc w:val="right"/>
              <w:rPr>
                <w:rFonts w:ascii="Calibri" w:hAnsi="Calibri"/>
                <w:sz w:val="20"/>
                <w:szCs w:val="20"/>
              </w:rPr>
            </w:pPr>
            <w:r>
              <w:rPr>
                <w:rFonts w:ascii="Calibri" w:hAnsi="Calibri"/>
                <w:sz w:val="20"/>
                <w:szCs w:val="20"/>
              </w:rPr>
              <w:t>4,246,398.19</w:t>
            </w:r>
          </w:p>
        </w:tc>
      </w:tr>
      <w:tr w14:paraId="4F0E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907" w:type="dxa"/>
            <w:vAlign w:val="center"/>
          </w:tcPr>
          <w:p w14:paraId="16F411AA">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土地使用税</w:t>
            </w:r>
          </w:p>
        </w:tc>
        <w:tc>
          <w:tcPr>
            <w:tcW w:w="3074" w:type="dxa"/>
            <w:vAlign w:val="center"/>
          </w:tcPr>
          <w:p w14:paraId="29963DA4">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2,952,551.72</w:t>
            </w:r>
          </w:p>
        </w:tc>
        <w:tc>
          <w:tcPr>
            <w:tcW w:w="3074" w:type="dxa"/>
            <w:vAlign w:val="center"/>
          </w:tcPr>
          <w:p w14:paraId="60BA7D12">
            <w:pPr>
              <w:jc w:val="right"/>
              <w:rPr>
                <w:rFonts w:ascii="Calibri" w:hAnsi="Calibri"/>
                <w:sz w:val="20"/>
                <w:szCs w:val="20"/>
              </w:rPr>
            </w:pPr>
            <w:r>
              <w:rPr>
                <w:rFonts w:ascii="Calibri" w:hAnsi="Calibri"/>
                <w:sz w:val="20"/>
                <w:szCs w:val="20"/>
              </w:rPr>
              <w:t>3,008,457.39</w:t>
            </w:r>
          </w:p>
        </w:tc>
      </w:tr>
      <w:tr w14:paraId="41E0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907" w:type="dxa"/>
            <w:vAlign w:val="center"/>
          </w:tcPr>
          <w:p w14:paraId="65B231E9">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车船使用税</w:t>
            </w:r>
          </w:p>
        </w:tc>
        <w:tc>
          <w:tcPr>
            <w:tcW w:w="3074" w:type="dxa"/>
            <w:vAlign w:val="center"/>
          </w:tcPr>
          <w:p w14:paraId="120FDC5D">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41,451.04</w:t>
            </w:r>
          </w:p>
        </w:tc>
        <w:tc>
          <w:tcPr>
            <w:tcW w:w="3074" w:type="dxa"/>
            <w:vAlign w:val="center"/>
          </w:tcPr>
          <w:p w14:paraId="4E84BE4C">
            <w:pPr>
              <w:jc w:val="right"/>
              <w:rPr>
                <w:rFonts w:ascii="Calibri" w:hAnsi="Calibri"/>
                <w:sz w:val="20"/>
                <w:szCs w:val="20"/>
              </w:rPr>
            </w:pPr>
            <w:r>
              <w:rPr>
                <w:rFonts w:ascii="Calibri" w:hAnsi="Calibri"/>
                <w:sz w:val="20"/>
                <w:szCs w:val="20"/>
              </w:rPr>
              <w:t>55,200.96</w:t>
            </w:r>
          </w:p>
        </w:tc>
      </w:tr>
      <w:tr w14:paraId="07C2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907" w:type="dxa"/>
            <w:vAlign w:val="center"/>
          </w:tcPr>
          <w:p w14:paraId="0AED0ACA">
            <w:pPr>
              <w:autoSpaceDE w:val="0"/>
              <w:autoSpaceDN w:val="0"/>
              <w:adjustRightInd w:val="0"/>
              <w:snapToGrid w:val="0"/>
              <w:spacing w:line="240" w:lineRule="atLeast"/>
              <w:rPr>
                <w:rFonts w:ascii="Calibri" w:hAnsi="Calibri"/>
                <w:sz w:val="20"/>
                <w:szCs w:val="20"/>
              </w:rPr>
            </w:pPr>
            <w:r>
              <w:rPr>
                <w:rFonts w:hint="eastAsia" w:ascii="Calibri" w:hAnsi="Calibri"/>
                <w:sz w:val="20"/>
                <w:szCs w:val="20"/>
              </w:rPr>
              <w:t>印花税</w:t>
            </w:r>
          </w:p>
        </w:tc>
        <w:tc>
          <w:tcPr>
            <w:tcW w:w="3074" w:type="dxa"/>
            <w:vAlign w:val="center"/>
          </w:tcPr>
          <w:p w14:paraId="2EFA48EC">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1,552,003.94</w:t>
            </w:r>
          </w:p>
        </w:tc>
        <w:tc>
          <w:tcPr>
            <w:tcW w:w="3074" w:type="dxa"/>
            <w:vAlign w:val="center"/>
          </w:tcPr>
          <w:p w14:paraId="00F23672">
            <w:pPr>
              <w:jc w:val="right"/>
              <w:rPr>
                <w:rFonts w:ascii="Calibri" w:hAnsi="Calibri"/>
                <w:sz w:val="20"/>
                <w:szCs w:val="20"/>
              </w:rPr>
            </w:pPr>
            <w:r>
              <w:rPr>
                <w:rFonts w:ascii="Calibri" w:hAnsi="Calibri"/>
                <w:sz w:val="20"/>
                <w:szCs w:val="20"/>
              </w:rPr>
              <w:t>1,083,334.86</w:t>
            </w:r>
          </w:p>
        </w:tc>
      </w:tr>
      <w:tr w14:paraId="390C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907" w:type="dxa"/>
            <w:vAlign w:val="center"/>
          </w:tcPr>
          <w:p w14:paraId="033A01C9">
            <w:pPr>
              <w:autoSpaceDE w:val="0"/>
              <w:autoSpaceDN w:val="0"/>
              <w:adjustRightInd w:val="0"/>
              <w:snapToGrid w:val="0"/>
              <w:spacing w:line="240" w:lineRule="atLeast"/>
              <w:rPr>
                <w:rFonts w:ascii="Calibri" w:hAnsi="Calibri"/>
                <w:sz w:val="20"/>
                <w:szCs w:val="20"/>
              </w:rPr>
            </w:pPr>
            <w:r>
              <w:rPr>
                <w:rFonts w:ascii="Calibri" w:hAnsi="Calibri"/>
                <w:sz w:val="20"/>
                <w:szCs w:val="20"/>
              </w:rPr>
              <w:t>土地增值税</w:t>
            </w:r>
          </w:p>
        </w:tc>
        <w:tc>
          <w:tcPr>
            <w:tcW w:w="3074" w:type="dxa"/>
            <w:vAlign w:val="center"/>
          </w:tcPr>
          <w:p w14:paraId="3F66E080">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59,189.84</w:t>
            </w:r>
          </w:p>
        </w:tc>
        <w:tc>
          <w:tcPr>
            <w:tcW w:w="3074" w:type="dxa"/>
            <w:vAlign w:val="center"/>
          </w:tcPr>
          <w:p w14:paraId="2A7C3417">
            <w:pPr>
              <w:jc w:val="right"/>
              <w:rPr>
                <w:rFonts w:ascii="Calibri" w:hAnsi="Calibri"/>
                <w:sz w:val="20"/>
                <w:szCs w:val="20"/>
              </w:rPr>
            </w:pPr>
            <w:r>
              <w:rPr>
                <w:rFonts w:ascii="Calibri" w:hAnsi="Calibri"/>
                <w:sz w:val="20"/>
                <w:szCs w:val="20"/>
              </w:rPr>
              <w:t>172,781.85</w:t>
            </w:r>
          </w:p>
        </w:tc>
      </w:tr>
      <w:tr w14:paraId="1F11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907" w:type="dxa"/>
            <w:vAlign w:val="center"/>
          </w:tcPr>
          <w:p w14:paraId="7D1D6DAB">
            <w:pPr>
              <w:autoSpaceDE w:val="0"/>
              <w:autoSpaceDN w:val="0"/>
              <w:adjustRightInd w:val="0"/>
              <w:snapToGrid w:val="0"/>
              <w:spacing w:line="240" w:lineRule="atLeast"/>
              <w:rPr>
                <w:rFonts w:ascii="Calibri" w:hAnsi="Calibri"/>
                <w:sz w:val="20"/>
                <w:szCs w:val="20"/>
              </w:rPr>
            </w:pPr>
            <w:r>
              <w:rPr>
                <w:rFonts w:ascii="Calibri" w:hAnsi="Calibri"/>
                <w:sz w:val="20"/>
                <w:szCs w:val="20"/>
              </w:rPr>
              <w:t>环境保护税</w:t>
            </w:r>
          </w:p>
        </w:tc>
        <w:tc>
          <w:tcPr>
            <w:tcW w:w="3074" w:type="dxa"/>
            <w:vAlign w:val="center"/>
          </w:tcPr>
          <w:p w14:paraId="48B8B07C">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25,256.14</w:t>
            </w:r>
          </w:p>
        </w:tc>
        <w:tc>
          <w:tcPr>
            <w:tcW w:w="3074" w:type="dxa"/>
            <w:vAlign w:val="center"/>
          </w:tcPr>
          <w:p w14:paraId="604D70C3">
            <w:pPr>
              <w:jc w:val="right"/>
              <w:rPr>
                <w:rFonts w:ascii="Calibri" w:hAnsi="Calibri"/>
                <w:sz w:val="20"/>
                <w:szCs w:val="20"/>
              </w:rPr>
            </w:pPr>
            <w:r>
              <w:rPr>
                <w:rFonts w:ascii="Calibri" w:hAnsi="Calibri"/>
                <w:sz w:val="20"/>
                <w:szCs w:val="20"/>
              </w:rPr>
              <w:t>17,772.71</w:t>
            </w:r>
          </w:p>
        </w:tc>
      </w:tr>
      <w:tr w14:paraId="1D11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907" w:type="dxa"/>
            <w:vAlign w:val="center"/>
          </w:tcPr>
          <w:p w14:paraId="6FE072D4">
            <w:pPr>
              <w:autoSpaceDE w:val="0"/>
              <w:autoSpaceDN w:val="0"/>
              <w:adjustRightInd w:val="0"/>
              <w:snapToGrid w:val="0"/>
              <w:spacing w:line="240" w:lineRule="atLeast"/>
              <w:rPr>
                <w:rFonts w:ascii="Calibri" w:hAnsi="Calibri"/>
                <w:sz w:val="20"/>
                <w:szCs w:val="20"/>
              </w:rPr>
            </w:pPr>
            <w:r>
              <w:rPr>
                <w:rFonts w:ascii="Calibri" w:hAnsi="Calibri"/>
                <w:sz w:val="20"/>
                <w:szCs w:val="20"/>
              </w:rPr>
              <w:t>水资源税</w:t>
            </w:r>
          </w:p>
        </w:tc>
        <w:tc>
          <w:tcPr>
            <w:tcW w:w="3074" w:type="dxa"/>
            <w:vAlign w:val="center"/>
          </w:tcPr>
          <w:p w14:paraId="44227342">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346,857.70</w:t>
            </w:r>
          </w:p>
        </w:tc>
        <w:tc>
          <w:tcPr>
            <w:tcW w:w="3074" w:type="dxa"/>
            <w:vAlign w:val="center"/>
          </w:tcPr>
          <w:p w14:paraId="1C3B009F">
            <w:pPr>
              <w:jc w:val="right"/>
              <w:rPr>
                <w:rFonts w:ascii="Calibri" w:hAnsi="Calibri"/>
                <w:sz w:val="20"/>
                <w:szCs w:val="20"/>
              </w:rPr>
            </w:pPr>
            <w:r>
              <w:rPr>
                <w:rFonts w:ascii="Calibri" w:hAnsi="Calibri"/>
                <w:sz w:val="20"/>
                <w:szCs w:val="20"/>
              </w:rPr>
              <w:t>19,118.40</w:t>
            </w:r>
          </w:p>
        </w:tc>
      </w:tr>
      <w:tr w14:paraId="65C2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907" w:type="dxa"/>
            <w:vAlign w:val="center"/>
          </w:tcPr>
          <w:p w14:paraId="6D3DB4C0">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合计</w:t>
            </w:r>
          </w:p>
        </w:tc>
        <w:tc>
          <w:tcPr>
            <w:tcW w:w="3074" w:type="dxa"/>
            <w:vAlign w:val="center"/>
          </w:tcPr>
          <w:p w14:paraId="2584D320">
            <w:pPr>
              <w:autoSpaceDE w:val="0"/>
              <w:autoSpaceDN w:val="0"/>
              <w:adjustRightInd w:val="0"/>
              <w:snapToGrid w:val="0"/>
              <w:spacing w:line="240" w:lineRule="atLeast"/>
              <w:jc w:val="right"/>
              <w:rPr>
                <w:rFonts w:ascii="Calibri" w:hAnsi="Calibri"/>
                <w:sz w:val="20"/>
                <w:szCs w:val="20"/>
              </w:rPr>
            </w:pPr>
            <w:r>
              <w:rPr>
                <w:rFonts w:ascii="Calibri" w:hAnsi="Calibri"/>
                <w:sz w:val="20"/>
                <w:szCs w:val="20"/>
              </w:rPr>
              <w:t>26,494,919.14</w:t>
            </w:r>
          </w:p>
        </w:tc>
        <w:tc>
          <w:tcPr>
            <w:tcW w:w="3074" w:type="dxa"/>
            <w:vAlign w:val="center"/>
          </w:tcPr>
          <w:p w14:paraId="212A3321">
            <w:pPr>
              <w:jc w:val="right"/>
              <w:rPr>
                <w:rFonts w:ascii="Calibri" w:hAnsi="Calibri"/>
                <w:sz w:val="20"/>
                <w:szCs w:val="20"/>
              </w:rPr>
            </w:pPr>
            <w:r>
              <w:rPr>
                <w:rFonts w:ascii="Calibri" w:hAnsi="Calibri"/>
                <w:sz w:val="20"/>
                <w:szCs w:val="20"/>
              </w:rPr>
              <w:t>14,072,641.63</w:t>
            </w:r>
          </w:p>
        </w:tc>
      </w:tr>
    </w:tbl>
    <w:p w14:paraId="73F9C3DD"/>
    <w:p w14:paraId="1FB55794">
      <w:pPr>
        <w:pStyle w:val="4"/>
        <w:numPr>
          <w:ilvl w:val="0"/>
          <w:numId w:val="61"/>
        </w:numPr>
        <w:rPr>
          <w:szCs w:val="21"/>
        </w:rPr>
      </w:pPr>
      <w:r>
        <w:rPr>
          <w:szCs w:val="21"/>
        </w:rPr>
        <w:t>销售费用</w:t>
      </w:r>
    </w:p>
    <w:sdt>
      <w:sdtPr>
        <w:alias w:val="是否适用：销售费用[双击切换]"/>
        <w:tag w:val="_GBC_1a0ad35d35924f068ce1b2a2dc02a25f"/>
        <w:id w:val="1907484817"/>
        <w:placeholder>
          <w:docPart w:val="GBC22222222222222222222222222222"/>
        </w:placeholder>
      </w:sdtPr>
      <w:sdtContent>
        <w:p w14:paraId="649992F4">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2BB13E8">
      <w:pPr>
        <w:pStyle w:val="30"/>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销售费用"/>
          <w:tag w:val="_GBC_c5a59d97d8a94cda9b9fbd8a93ad19dc"/>
          <w:id w:val="15454896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销售费用"/>
          <w:tag w:val="_GBC_57a629bddf6343a1aebbefc90d9378b0"/>
          <w:id w:val="13946218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1"/>
        <w:gridCol w:w="2859"/>
        <w:gridCol w:w="2857"/>
      </w:tblGrid>
      <w:tr w14:paraId="3526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7c4bc503cfe4eafa415de62f182f2c1"/>
            <w:id w:val="-895359618"/>
          </w:sdtPr>
          <w:sdtContent>
            <w:tc>
              <w:tcPr>
                <w:tcW w:w="3331" w:type="dxa"/>
                <w:tcBorders>
                  <w:top w:val="single" w:color="auto" w:sz="4" w:space="0"/>
                  <w:left w:val="single" w:color="auto" w:sz="4" w:space="0"/>
                  <w:bottom w:val="single" w:color="auto" w:sz="4" w:space="0"/>
                  <w:right w:val="single" w:color="auto" w:sz="4" w:space="0"/>
                </w:tcBorders>
                <w:vAlign w:val="center"/>
              </w:tcPr>
              <w:p w14:paraId="63E71188">
                <w:pPr>
                  <w:jc w:val="center"/>
                  <w:rPr>
                    <w:rFonts w:ascii="Calibri" w:hAnsi="Calibri"/>
                    <w:sz w:val="20"/>
                    <w:szCs w:val="20"/>
                  </w:rPr>
                </w:pPr>
                <w:r>
                  <w:rPr>
                    <w:rFonts w:hint="eastAsia" w:ascii="Calibri" w:hAnsi="Calibri"/>
                    <w:sz w:val="20"/>
                    <w:szCs w:val="20"/>
                  </w:rPr>
                  <w:t>项目</w:t>
                </w:r>
              </w:p>
            </w:tc>
          </w:sdtContent>
        </w:sdt>
        <w:sdt>
          <w:sdtPr>
            <w:tag w:val="_PLD_105cce5212fb42a182b1fd8e309ba67c"/>
            <w:id w:val="-1854569393"/>
          </w:sdtPr>
          <w:sdtContent>
            <w:tc>
              <w:tcPr>
                <w:tcW w:w="2859" w:type="dxa"/>
                <w:tcBorders>
                  <w:top w:val="single" w:color="auto" w:sz="4" w:space="0"/>
                  <w:left w:val="single" w:color="auto" w:sz="4" w:space="0"/>
                  <w:bottom w:val="single" w:color="auto" w:sz="4" w:space="0"/>
                  <w:right w:val="single" w:color="auto" w:sz="4" w:space="0"/>
                </w:tcBorders>
                <w:vAlign w:val="center"/>
              </w:tcPr>
              <w:p w14:paraId="280EA017">
                <w:pPr>
                  <w:jc w:val="center"/>
                  <w:rPr>
                    <w:rFonts w:ascii="Calibri" w:hAnsi="Calibri"/>
                    <w:sz w:val="20"/>
                    <w:szCs w:val="20"/>
                  </w:rPr>
                </w:pPr>
                <w:r>
                  <w:rPr>
                    <w:rFonts w:hint="eastAsia" w:ascii="Calibri" w:hAnsi="Calibri"/>
                    <w:sz w:val="20"/>
                    <w:szCs w:val="20"/>
                  </w:rPr>
                  <w:t>本期发生额</w:t>
                </w:r>
              </w:p>
            </w:tc>
          </w:sdtContent>
        </w:sdt>
        <w:sdt>
          <w:sdtPr>
            <w:tag w:val="_PLD_5f148659054c4187a80f7bdffc9e9cde"/>
            <w:id w:val="429480910"/>
          </w:sdtPr>
          <w:sdtContent>
            <w:tc>
              <w:tcPr>
                <w:tcW w:w="2857" w:type="dxa"/>
                <w:tcBorders>
                  <w:top w:val="single" w:color="auto" w:sz="4" w:space="0"/>
                  <w:left w:val="single" w:color="auto" w:sz="4" w:space="0"/>
                  <w:bottom w:val="single" w:color="auto" w:sz="4" w:space="0"/>
                  <w:right w:val="single" w:color="auto" w:sz="4" w:space="0"/>
                </w:tcBorders>
                <w:vAlign w:val="center"/>
              </w:tcPr>
              <w:p w14:paraId="6242447A">
                <w:pPr>
                  <w:jc w:val="center"/>
                  <w:rPr>
                    <w:rFonts w:ascii="Calibri" w:hAnsi="Calibri"/>
                    <w:sz w:val="20"/>
                    <w:szCs w:val="20"/>
                  </w:rPr>
                </w:pPr>
                <w:r>
                  <w:rPr>
                    <w:rFonts w:hint="eastAsia" w:ascii="Calibri" w:hAnsi="Calibri"/>
                    <w:sz w:val="20"/>
                    <w:szCs w:val="20"/>
                  </w:rPr>
                  <w:t>上期发生额</w:t>
                </w:r>
              </w:p>
            </w:tc>
          </w:sdtContent>
        </w:sdt>
      </w:tr>
      <w:tr w14:paraId="1FCD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1" w:type="dxa"/>
            <w:tcBorders>
              <w:top w:val="single" w:color="auto" w:sz="4" w:space="0"/>
              <w:left w:val="single" w:color="auto" w:sz="4" w:space="0"/>
              <w:bottom w:val="single" w:color="auto" w:sz="4" w:space="0"/>
              <w:right w:val="single" w:color="auto" w:sz="4" w:space="0"/>
            </w:tcBorders>
            <w:vAlign w:val="center"/>
          </w:tcPr>
          <w:p w14:paraId="7CAECC5E">
            <w:pPr>
              <w:pStyle w:val="48"/>
              <w:rPr>
                <w:sz w:val="20"/>
                <w:szCs w:val="20"/>
              </w:rPr>
            </w:pPr>
            <w:r>
              <w:rPr>
                <w:sz w:val="20"/>
                <w:szCs w:val="20"/>
              </w:rPr>
              <w:t>职工薪酬</w:t>
            </w:r>
          </w:p>
        </w:tc>
        <w:tc>
          <w:tcPr>
            <w:tcW w:w="2859" w:type="dxa"/>
            <w:tcBorders>
              <w:top w:val="single" w:color="auto" w:sz="4" w:space="0"/>
              <w:left w:val="single" w:color="auto" w:sz="4" w:space="0"/>
              <w:bottom w:val="single" w:color="auto" w:sz="4" w:space="0"/>
              <w:right w:val="single" w:color="auto" w:sz="4" w:space="0"/>
            </w:tcBorders>
            <w:vAlign w:val="center"/>
          </w:tcPr>
          <w:p w14:paraId="0545D88E">
            <w:pPr>
              <w:jc w:val="right"/>
              <w:rPr>
                <w:rFonts w:ascii="Calibri" w:hAnsi="Calibri"/>
                <w:sz w:val="20"/>
                <w:szCs w:val="20"/>
              </w:rPr>
            </w:pPr>
            <w:r>
              <w:rPr>
                <w:rFonts w:ascii="Calibri" w:hAnsi="Calibri"/>
                <w:sz w:val="20"/>
                <w:szCs w:val="20"/>
              </w:rPr>
              <w:t>388,715,715.51</w:t>
            </w:r>
          </w:p>
        </w:tc>
        <w:tc>
          <w:tcPr>
            <w:tcW w:w="2857" w:type="dxa"/>
            <w:tcBorders>
              <w:top w:val="single" w:color="auto" w:sz="4" w:space="0"/>
              <w:left w:val="single" w:color="auto" w:sz="4" w:space="0"/>
              <w:bottom w:val="single" w:color="auto" w:sz="4" w:space="0"/>
              <w:right w:val="single" w:color="auto" w:sz="4" w:space="0"/>
            </w:tcBorders>
            <w:vAlign w:val="center"/>
          </w:tcPr>
          <w:p w14:paraId="16AB04FD">
            <w:pPr>
              <w:jc w:val="right"/>
              <w:rPr>
                <w:rFonts w:ascii="Calibri" w:hAnsi="Calibri"/>
                <w:sz w:val="20"/>
                <w:szCs w:val="20"/>
              </w:rPr>
            </w:pPr>
            <w:r>
              <w:rPr>
                <w:rFonts w:ascii="Calibri" w:hAnsi="Calibri"/>
                <w:sz w:val="20"/>
                <w:szCs w:val="20"/>
              </w:rPr>
              <w:t>257,212,746.07</w:t>
            </w:r>
          </w:p>
        </w:tc>
      </w:tr>
      <w:tr w14:paraId="7C09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1" w:type="dxa"/>
            <w:tcBorders>
              <w:top w:val="single" w:color="auto" w:sz="4" w:space="0"/>
              <w:left w:val="single" w:color="auto" w:sz="4" w:space="0"/>
              <w:bottom w:val="single" w:color="auto" w:sz="4" w:space="0"/>
              <w:right w:val="single" w:color="auto" w:sz="4" w:space="0"/>
            </w:tcBorders>
            <w:vAlign w:val="center"/>
          </w:tcPr>
          <w:p w14:paraId="5E544E2B">
            <w:pPr>
              <w:pStyle w:val="48"/>
              <w:rPr>
                <w:sz w:val="20"/>
                <w:szCs w:val="20"/>
              </w:rPr>
            </w:pPr>
            <w:r>
              <w:rPr>
                <w:sz w:val="20"/>
                <w:szCs w:val="20"/>
              </w:rPr>
              <w:t>折旧费</w:t>
            </w:r>
          </w:p>
        </w:tc>
        <w:tc>
          <w:tcPr>
            <w:tcW w:w="2859" w:type="dxa"/>
            <w:tcBorders>
              <w:top w:val="single" w:color="auto" w:sz="4" w:space="0"/>
              <w:left w:val="single" w:color="auto" w:sz="4" w:space="0"/>
              <w:bottom w:val="single" w:color="auto" w:sz="4" w:space="0"/>
              <w:right w:val="single" w:color="auto" w:sz="4" w:space="0"/>
            </w:tcBorders>
            <w:vAlign w:val="center"/>
          </w:tcPr>
          <w:p w14:paraId="4579AD40">
            <w:pPr>
              <w:jc w:val="right"/>
              <w:rPr>
                <w:rFonts w:ascii="Calibri" w:hAnsi="Calibri"/>
                <w:sz w:val="20"/>
                <w:szCs w:val="20"/>
              </w:rPr>
            </w:pPr>
            <w:r>
              <w:rPr>
                <w:rFonts w:ascii="Calibri" w:hAnsi="Calibri"/>
                <w:sz w:val="20"/>
                <w:szCs w:val="20"/>
              </w:rPr>
              <w:t>393,779.59</w:t>
            </w:r>
          </w:p>
        </w:tc>
        <w:tc>
          <w:tcPr>
            <w:tcW w:w="2857" w:type="dxa"/>
            <w:tcBorders>
              <w:top w:val="single" w:color="auto" w:sz="4" w:space="0"/>
              <w:left w:val="single" w:color="auto" w:sz="4" w:space="0"/>
              <w:bottom w:val="single" w:color="auto" w:sz="4" w:space="0"/>
              <w:right w:val="single" w:color="auto" w:sz="4" w:space="0"/>
            </w:tcBorders>
            <w:vAlign w:val="center"/>
          </w:tcPr>
          <w:p w14:paraId="09A17A2C">
            <w:pPr>
              <w:jc w:val="right"/>
              <w:rPr>
                <w:rFonts w:ascii="Calibri" w:hAnsi="Calibri"/>
                <w:sz w:val="20"/>
                <w:szCs w:val="20"/>
              </w:rPr>
            </w:pPr>
            <w:r>
              <w:rPr>
                <w:rFonts w:ascii="Calibri" w:hAnsi="Calibri"/>
                <w:sz w:val="20"/>
                <w:szCs w:val="20"/>
              </w:rPr>
              <w:t>113,287.05</w:t>
            </w:r>
          </w:p>
        </w:tc>
      </w:tr>
      <w:tr w14:paraId="3EEB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1" w:type="dxa"/>
            <w:tcBorders>
              <w:top w:val="single" w:color="auto" w:sz="4" w:space="0"/>
              <w:left w:val="single" w:color="auto" w:sz="4" w:space="0"/>
              <w:bottom w:val="single" w:color="auto" w:sz="4" w:space="0"/>
              <w:right w:val="single" w:color="auto" w:sz="4" w:space="0"/>
            </w:tcBorders>
            <w:vAlign w:val="center"/>
          </w:tcPr>
          <w:p w14:paraId="4C08ABCB">
            <w:pPr>
              <w:pStyle w:val="48"/>
              <w:rPr>
                <w:sz w:val="20"/>
                <w:szCs w:val="20"/>
              </w:rPr>
            </w:pPr>
            <w:r>
              <w:rPr>
                <w:sz w:val="20"/>
                <w:szCs w:val="20"/>
              </w:rPr>
              <w:t>差旅费</w:t>
            </w:r>
          </w:p>
        </w:tc>
        <w:tc>
          <w:tcPr>
            <w:tcW w:w="2859" w:type="dxa"/>
            <w:tcBorders>
              <w:top w:val="single" w:color="auto" w:sz="4" w:space="0"/>
              <w:left w:val="single" w:color="auto" w:sz="4" w:space="0"/>
              <w:bottom w:val="single" w:color="auto" w:sz="4" w:space="0"/>
              <w:right w:val="single" w:color="auto" w:sz="4" w:space="0"/>
            </w:tcBorders>
            <w:vAlign w:val="center"/>
          </w:tcPr>
          <w:p w14:paraId="08B1DFF4">
            <w:pPr>
              <w:jc w:val="right"/>
              <w:rPr>
                <w:rFonts w:ascii="Calibri" w:hAnsi="Calibri"/>
                <w:sz w:val="20"/>
                <w:szCs w:val="20"/>
              </w:rPr>
            </w:pPr>
            <w:r>
              <w:rPr>
                <w:rFonts w:ascii="Calibri" w:hAnsi="Calibri"/>
                <w:sz w:val="20"/>
                <w:szCs w:val="20"/>
              </w:rPr>
              <w:t>248,159,514.49</w:t>
            </w:r>
          </w:p>
        </w:tc>
        <w:tc>
          <w:tcPr>
            <w:tcW w:w="2857" w:type="dxa"/>
            <w:tcBorders>
              <w:top w:val="single" w:color="auto" w:sz="4" w:space="0"/>
              <w:left w:val="single" w:color="auto" w:sz="4" w:space="0"/>
              <w:bottom w:val="single" w:color="auto" w:sz="4" w:space="0"/>
              <w:right w:val="single" w:color="auto" w:sz="4" w:space="0"/>
            </w:tcBorders>
            <w:vAlign w:val="center"/>
          </w:tcPr>
          <w:p w14:paraId="6A8169C4">
            <w:pPr>
              <w:jc w:val="right"/>
              <w:rPr>
                <w:rFonts w:ascii="Calibri" w:hAnsi="Calibri"/>
                <w:sz w:val="20"/>
                <w:szCs w:val="20"/>
              </w:rPr>
            </w:pPr>
            <w:r>
              <w:rPr>
                <w:rFonts w:ascii="Calibri" w:hAnsi="Calibri"/>
                <w:sz w:val="20"/>
                <w:szCs w:val="20"/>
              </w:rPr>
              <w:t>311,986,939.48</w:t>
            </w:r>
          </w:p>
        </w:tc>
      </w:tr>
      <w:tr w14:paraId="47E8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1" w:type="dxa"/>
            <w:tcBorders>
              <w:top w:val="single" w:color="auto" w:sz="4" w:space="0"/>
              <w:left w:val="single" w:color="auto" w:sz="4" w:space="0"/>
              <w:bottom w:val="single" w:color="auto" w:sz="4" w:space="0"/>
              <w:right w:val="single" w:color="auto" w:sz="4" w:space="0"/>
            </w:tcBorders>
            <w:vAlign w:val="center"/>
          </w:tcPr>
          <w:p w14:paraId="0F200516">
            <w:pPr>
              <w:pStyle w:val="48"/>
              <w:rPr>
                <w:sz w:val="20"/>
                <w:szCs w:val="20"/>
              </w:rPr>
            </w:pPr>
            <w:r>
              <w:rPr>
                <w:sz w:val="20"/>
                <w:szCs w:val="20"/>
              </w:rPr>
              <w:t>办公费</w:t>
            </w:r>
          </w:p>
        </w:tc>
        <w:tc>
          <w:tcPr>
            <w:tcW w:w="2859" w:type="dxa"/>
            <w:tcBorders>
              <w:top w:val="single" w:color="auto" w:sz="4" w:space="0"/>
              <w:left w:val="single" w:color="auto" w:sz="4" w:space="0"/>
              <w:bottom w:val="single" w:color="auto" w:sz="4" w:space="0"/>
              <w:right w:val="single" w:color="auto" w:sz="4" w:space="0"/>
            </w:tcBorders>
            <w:vAlign w:val="center"/>
          </w:tcPr>
          <w:p w14:paraId="712EC38C">
            <w:pPr>
              <w:jc w:val="right"/>
              <w:rPr>
                <w:rFonts w:ascii="Calibri" w:hAnsi="Calibri"/>
                <w:sz w:val="20"/>
                <w:szCs w:val="20"/>
              </w:rPr>
            </w:pPr>
            <w:r>
              <w:rPr>
                <w:rFonts w:ascii="Calibri" w:hAnsi="Calibri"/>
                <w:sz w:val="20"/>
                <w:szCs w:val="20"/>
              </w:rPr>
              <w:t>21,601,966.44</w:t>
            </w:r>
          </w:p>
        </w:tc>
        <w:tc>
          <w:tcPr>
            <w:tcW w:w="2857" w:type="dxa"/>
            <w:tcBorders>
              <w:top w:val="single" w:color="auto" w:sz="4" w:space="0"/>
              <w:left w:val="single" w:color="auto" w:sz="4" w:space="0"/>
              <w:bottom w:val="single" w:color="auto" w:sz="4" w:space="0"/>
              <w:right w:val="single" w:color="auto" w:sz="4" w:space="0"/>
            </w:tcBorders>
            <w:vAlign w:val="center"/>
          </w:tcPr>
          <w:p w14:paraId="501C6F02">
            <w:pPr>
              <w:jc w:val="right"/>
              <w:rPr>
                <w:rFonts w:ascii="Calibri" w:hAnsi="Calibri"/>
                <w:sz w:val="20"/>
                <w:szCs w:val="20"/>
              </w:rPr>
            </w:pPr>
            <w:r>
              <w:rPr>
                <w:rFonts w:ascii="Calibri" w:hAnsi="Calibri"/>
                <w:sz w:val="20"/>
                <w:szCs w:val="20"/>
              </w:rPr>
              <w:t>44,122,571.50</w:t>
            </w:r>
          </w:p>
        </w:tc>
      </w:tr>
      <w:tr w14:paraId="502C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1" w:type="dxa"/>
            <w:tcBorders>
              <w:top w:val="single" w:color="auto" w:sz="4" w:space="0"/>
              <w:left w:val="single" w:color="auto" w:sz="4" w:space="0"/>
              <w:bottom w:val="single" w:color="auto" w:sz="4" w:space="0"/>
              <w:right w:val="single" w:color="auto" w:sz="4" w:space="0"/>
            </w:tcBorders>
            <w:vAlign w:val="center"/>
          </w:tcPr>
          <w:p w14:paraId="3B349A12">
            <w:pPr>
              <w:pStyle w:val="48"/>
              <w:rPr>
                <w:sz w:val="20"/>
                <w:szCs w:val="20"/>
              </w:rPr>
            </w:pPr>
            <w:r>
              <w:rPr>
                <w:sz w:val="20"/>
                <w:szCs w:val="20"/>
              </w:rPr>
              <w:t>邮电费</w:t>
            </w:r>
          </w:p>
        </w:tc>
        <w:tc>
          <w:tcPr>
            <w:tcW w:w="2859" w:type="dxa"/>
            <w:tcBorders>
              <w:top w:val="single" w:color="auto" w:sz="4" w:space="0"/>
              <w:left w:val="single" w:color="auto" w:sz="4" w:space="0"/>
              <w:bottom w:val="single" w:color="auto" w:sz="4" w:space="0"/>
              <w:right w:val="single" w:color="auto" w:sz="4" w:space="0"/>
            </w:tcBorders>
            <w:vAlign w:val="center"/>
          </w:tcPr>
          <w:p w14:paraId="4C3CE4A8">
            <w:pPr>
              <w:jc w:val="right"/>
              <w:rPr>
                <w:rFonts w:ascii="Calibri" w:hAnsi="Calibri"/>
                <w:sz w:val="20"/>
                <w:szCs w:val="20"/>
              </w:rPr>
            </w:pPr>
            <w:r>
              <w:rPr>
                <w:rFonts w:ascii="Calibri" w:hAnsi="Calibri"/>
                <w:sz w:val="20"/>
                <w:szCs w:val="20"/>
              </w:rPr>
              <w:t>837,541.32</w:t>
            </w:r>
          </w:p>
        </w:tc>
        <w:tc>
          <w:tcPr>
            <w:tcW w:w="2857" w:type="dxa"/>
            <w:tcBorders>
              <w:top w:val="single" w:color="auto" w:sz="4" w:space="0"/>
              <w:left w:val="single" w:color="auto" w:sz="4" w:space="0"/>
              <w:bottom w:val="single" w:color="auto" w:sz="4" w:space="0"/>
              <w:right w:val="single" w:color="auto" w:sz="4" w:space="0"/>
            </w:tcBorders>
            <w:vAlign w:val="center"/>
          </w:tcPr>
          <w:p w14:paraId="295870F3">
            <w:pPr>
              <w:jc w:val="right"/>
              <w:rPr>
                <w:rFonts w:ascii="Calibri" w:hAnsi="Calibri"/>
                <w:sz w:val="20"/>
                <w:szCs w:val="20"/>
              </w:rPr>
            </w:pPr>
            <w:r>
              <w:rPr>
                <w:rFonts w:ascii="Calibri" w:hAnsi="Calibri"/>
                <w:sz w:val="20"/>
                <w:szCs w:val="20"/>
              </w:rPr>
              <w:t>1,021,472.10</w:t>
            </w:r>
          </w:p>
        </w:tc>
      </w:tr>
      <w:tr w14:paraId="60EE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1" w:type="dxa"/>
            <w:tcBorders>
              <w:top w:val="single" w:color="auto" w:sz="4" w:space="0"/>
              <w:left w:val="single" w:color="auto" w:sz="4" w:space="0"/>
              <w:bottom w:val="single" w:color="auto" w:sz="4" w:space="0"/>
              <w:right w:val="single" w:color="auto" w:sz="4" w:space="0"/>
            </w:tcBorders>
            <w:vAlign w:val="center"/>
          </w:tcPr>
          <w:p w14:paraId="7A500B3D">
            <w:pPr>
              <w:pStyle w:val="48"/>
              <w:rPr>
                <w:sz w:val="20"/>
                <w:szCs w:val="20"/>
              </w:rPr>
            </w:pPr>
            <w:r>
              <w:rPr>
                <w:sz w:val="20"/>
                <w:szCs w:val="20"/>
              </w:rPr>
              <w:t>宣传费</w:t>
            </w:r>
          </w:p>
        </w:tc>
        <w:tc>
          <w:tcPr>
            <w:tcW w:w="2859" w:type="dxa"/>
            <w:tcBorders>
              <w:top w:val="single" w:color="auto" w:sz="4" w:space="0"/>
              <w:left w:val="single" w:color="auto" w:sz="4" w:space="0"/>
              <w:bottom w:val="single" w:color="auto" w:sz="4" w:space="0"/>
              <w:right w:val="single" w:color="auto" w:sz="4" w:space="0"/>
            </w:tcBorders>
            <w:vAlign w:val="center"/>
          </w:tcPr>
          <w:p w14:paraId="326538D6">
            <w:pPr>
              <w:jc w:val="right"/>
              <w:rPr>
                <w:rFonts w:ascii="Calibri" w:hAnsi="Calibri"/>
                <w:sz w:val="20"/>
                <w:szCs w:val="20"/>
              </w:rPr>
            </w:pPr>
            <w:r>
              <w:rPr>
                <w:rFonts w:ascii="Calibri" w:hAnsi="Calibri"/>
                <w:sz w:val="20"/>
                <w:szCs w:val="20"/>
              </w:rPr>
              <w:t>74,430,884.95</w:t>
            </w:r>
          </w:p>
        </w:tc>
        <w:tc>
          <w:tcPr>
            <w:tcW w:w="2857" w:type="dxa"/>
            <w:tcBorders>
              <w:top w:val="single" w:color="auto" w:sz="4" w:space="0"/>
              <w:left w:val="single" w:color="auto" w:sz="4" w:space="0"/>
              <w:bottom w:val="single" w:color="auto" w:sz="4" w:space="0"/>
              <w:right w:val="single" w:color="auto" w:sz="4" w:space="0"/>
            </w:tcBorders>
            <w:vAlign w:val="center"/>
          </w:tcPr>
          <w:p w14:paraId="65FE9BC8">
            <w:pPr>
              <w:jc w:val="right"/>
              <w:rPr>
                <w:rFonts w:ascii="Calibri" w:hAnsi="Calibri"/>
                <w:sz w:val="20"/>
                <w:szCs w:val="20"/>
              </w:rPr>
            </w:pPr>
            <w:r>
              <w:rPr>
                <w:rFonts w:ascii="Calibri" w:hAnsi="Calibri"/>
                <w:sz w:val="20"/>
                <w:szCs w:val="20"/>
              </w:rPr>
              <w:t>93,237,271.80</w:t>
            </w:r>
          </w:p>
        </w:tc>
      </w:tr>
      <w:tr w14:paraId="2299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1" w:type="dxa"/>
            <w:tcBorders>
              <w:top w:val="single" w:color="auto" w:sz="4" w:space="0"/>
              <w:left w:val="single" w:color="auto" w:sz="4" w:space="0"/>
              <w:bottom w:val="single" w:color="auto" w:sz="4" w:space="0"/>
              <w:right w:val="single" w:color="auto" w:sz="4" w:space="0"/>
            </w:tcBorders>
            <w:vAlign w:val="center"/>
          </w:tcPr>
          <w:p w14:paraId="4544553F">
            <w:pPr>
              <w:pStyle w:val="48"/>
              <w:rPr>
                <w:sz w:val="20"/>
                <w:szCs w:val="20"/>
              </w:rPr>
            </w:pPr>
            <w:r>
              <w:rPr>
                <w:sz w:val="20"/>
                <w:szCs w:val="20"/>
              </w:rPr>
              <w:t>咨询费及市场开发费</w:t>
            </w:r>
          </w:p>
        </w:tc>
        <w:tc>
          <w:tcPr>
            <w:tcW w:w="2859" w:type="dxa"/>
            <w:tcBorders>
              <w:top w:val="single" w:color="auto" w:sz="4" w:space="0"/>
              <w:left w:val="single" w:color="auto" w:sz="4" w:space="0"/>
              <w:bottom w:val="single" w:color="auto" w:sz="4" w:space="0"/>
              <w:right w:val="single" w:color="auto" w:sz="4" w:space="0"/>
            </w:tcBorders>
            <w:vAlign w:val="center"/>
          </w:tcPr>
          <w:p w14:paraId="77776FC7">
            <w:pPr>
              <w:jc w:val="right"/>
              <w:rPr>
                <w:rFonts w:ascii="Calibri" w:hAnsi="Calibri"/>
                <w:sz w:val="20"/>
                <w:szCs w:val="20"/>
              </w:rPr>
            </w:pPr>
            <w:r>
              <w:rPr>
                <w:rFonts w:ascii="Calibri" w:hAnsi="Calibri"/>
                <w:sz w:val="20"/>
                <w:szCs w:val="20"/>
              </w:rPr>
              <w:t>336,299,339.92</w:t>
            </w:r>
          </w:p>
        </w:tc>
        <w:tc>
          <w:tcPr>
            <w:tcW w:w="2857" w:type="dxa"/>
            <w:tcBorders>
              <w:top w:val="single" w:color="auto" w:sz="4" w:space="0"/>
              <w:left w:val="single" w:color="auto" w:sz="4" w:space="0"/>
              <w:bottom w:val="single" w:color="auto" w:sz="4" w:space="0"/>
              <w:right w:val="single" w:color="auto" w:sz="4" w:space="0"/>
            </w:tcBorders>
            <w:vAlign w:val="center"/>
          </w:tcPr>
          <w:p w14:paraId="7B080AF9">
            <w:pPr>
              <w:jc w:val="right"/>
              <w:rPr>
                <w:rFonts w:ascii="Calibri" w:hAnsi="Calibri"/>
                <w:sz w:val="20"/>
                <w:szCs w:val="20"/>
              </w:rPr>
            </w:pPr>
            <w:r>
              <w:rPr>
                <w:rFonts w:ascii="Calibri" w:hAnsi="Calibri"/>
                <w:sz w:val="20"/>
                <w:szCs w:val="20"/>
              </w:rPr>
              <w:t>326,433,473.10</w:t>
            </w:r>
          </w:p>
        </w:tc>
      </w:tr>
      <w:tr w14:paraId="6DA6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1" w:type="dxa"/>
            <w:tcBorders>
              <w:top w:val="single" w:color="auto" w:sz="4" w:space="0"/>
              <w:left w:val="single" w:color="auto" w:sz="4" w:space="0"/>
              <w:bottom w:val="single" w:color="auto" w:sz="4" w:space="0"/>
              <w:right w:val="single" w:color="auto" w:sz="4" w:space="0"/>
            </w:tcBorders>
            <w:vAlign w:val="center"/>
          </w:tcPr>
          <w:p w14:paraId="5AE17951">
            <w:pPr>
              <w:pStyle w:val="48"/>
              <w:rPr>
                <w:sz w:val="20"/>
                <w:szCs w:val="20"/>
              </w:rPr>
            </w:pPr>
            <w:r>
              <w:rPr>
                <w:sz w:val="20"/>
                <w:szCs w:val="20"/>
              </w:rPr>
              <w:t>境外销售服务费</w:t>
            </w:r>
          </w:p>
        </w:tc>
        <w:tc>
          <w:tcPr>
            <w:tcW w:w="2859" w:type="dxa"/>
            <w:tcBorders>
              <w:top w:val="single" w:color="auto" w:sz="4" w:space="0"/>
              <w:left w:val="single" w:color="auto" w:sz="4" w:space="0"/>
              <w:bottom w:val="single" w:color="auto" w:sz="4" w:space="0"/>
              <w:right w:val="single" w:color="auto" w:sz="4" w:space="0"/>
            </w:tcBorders>
            <w:vAlign w:val="center"/>
          </w:tcPr>
          <w:p w14:paraId="35763423">
            <w:pPr>
              <w:jc w:val="right"/>
              <w:rPr>
                <w:rFonts w:ascii="Calibri" w:hAnsi="Calibri"/>
                <w:sz w:val="20"/>
                <w:szCs w:val="20"/>
              </w:rPr>
            </w:pPr>
            <w:r>
              <w:rPr>
                <w:rFonts w:ascii="Calibri" w:hAnsi="Calibri"/>
                <w:sz w:val="20"/>
                <w:szCs w:val="20"/>
              </w:rPr>
              <w:t>8,389,173.13</w:t>
            </w:r>
          </w:p>
        </w:tc>
        <w:tc>
          <w:tcPr>
            <w:tcW w:w="2857" w:type="dxa"/>
            <w:tcBorders>
              <w:top w:val="single" w:color="auto" w:sz="4" w:space="0"/>
              <w:left w:val="single" w:color="auto" w:sz="4" w:space="0"/>
              <w:bottom w:val="single" w:color="auto" w:sz="4" w:space="0"/>
              <w:right w:val="single" w:color="auto" w:sz="4" w:space="0"/>
            </w:tcBorders>
            <w:vAlign w:val="center"/>
          </w:tcPr>
          <w:p w14:paraId="38099E9E">
            <w:pPr>
              <w:jc w:val="right"/>
              <w:rPr>
                <w:rFonts w:ascii="Calibri" w:hAnsi="Calibri"/>
                <w:sz w:val="20"/>
                <w:szCs w:val="20"/>
              </w:rPr>
            </w:pPr>
            <w:r>
              <w:rPr>
                <w:rFonts w:ascii="Calibri" w:hAnsi="Calibri"/>
                <w:sz w:val="20"/>
                <w:szCs w:val="20"/>
              </w:rPr>
              <w:t>6,719,797.48</w:t>
            </w:r>
          </w:p>
        </w:tc>
      </w:tr>
      <w:tr w14:paraId="1CAD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1" w:type="dxa"/>
            <w:tcBorders>
              <w:top w:val="single" w:color="auto" w:sz="4" w:space="0"/>
              <w:left w:val="single" w:color="auto" w:sz="4" w:space="0"/>
              <w:bottom w:val="single" w:color="auto" w:sz="4" w:space="0"/>
              <w:right w:val="single" w:color="auto" w:sz="4" w:space="0"/>
            </w:tcBorders>
            <w:vAlign w:val="center"/>
          </w:tcPr>
          <w:p w14:paraId="3BC00B62">
            <w:pPr>
              <w:pStyle w:val="48"/>
              <w:rPr>
                <w:sz w:val="20"/>
                <w:szCs w:val="20"/>
              </w:rPr>
            </w:pPr>
            <w:r>
              <w:rPr>
                <w:sz w:val="20"/>
                <w:szCs w:val="20"/>
              </w:rPr>
              <w:t>慢病平台技术及市场服务费</w:t>
            </w:r>
          </w:p>
        </w:tc>
        <w:tc>
          <w:tcPr>
            <w:tcW w:w="2859" w:type="dxa"/>
            <w:tcBorders>
              <w:top w:val="single" w:color="auto" w:sz="4" w:space="0"/>
              <w:left w:val="single" w:color="auto" w:sz="4" w:space="0"/>
              <w:bottom w:val="single" w:color="auto" w:sz="4" w:space="0"/>
              <w:right w:val="single" w:color="auto" w:sz="4" w:space="0"/>
            </w:tcBorders>
            <w:vAlign w:val="center"/>
          </w:tcPr>
          <w:p w14:paraId="0216C3D0">
            <w:pPr>
              <w:jc w:val="right"/>
              <w:rPr>
                <w:rFonts w:ascii="Calibri" w:hAnsi="Calibri"/>
                <w:sz w:val="20"/>
                <w:szCs w:val="20"/>
              </w:rPr>
            </w:pPr>
          </w:p>
        </w:tc>
        <w:tc>
          <w:tcPr>
            <w:tcW w:w="2857" w:type="dxa"/>
            <w:tcBorders>
              <w:top w:val="single" w:color="auto" w:sz="4" w:space="0"/>
              <w:left w:val="single" w:color="auto" w:sz="4" w:space="0"/>
              <w:bottom w:val="single" w:color="auto" w:sz="4" w:space="0"/>
              <w:right w:val="single" w:color="auto" w:sz="4" w:space="0"/>
            </w:tcBorders>
            <w:vAlign w:val="center"/>
          </w:tcPr>
          <w:p w14:paraId="698A44CB">
            <w:pPr>
              <w:jc w:val="right"/>
              <w:rPr>
                <w:rFonts w:ascii="Calibri" w:hAnsi="Calibri"/>
                <w:sz w:val="20"/>
                <w:szCs w:val="20"/>
              </w:rPr>
            </w:pPr>
            <w:r>
              <w:rPr>
                <w:rFonts w:ascii="Calibri" w:hAnsi="Calibri"/>
                <w:sz w:val="20"/>
                <w:szCs w:val="20"/>
              </w:rPr>
              <w:t>722,236.13</w:t>
            </w:r>
          </w:p>
        </w:tc>
      </w:tr>
      <w:tr w14:paraId="2E0A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1" w:type="dxa"/>
            <w:tcBorders>
              <w:top w:val="single" w:color="auto" w:sz="4" w:space="0"/>
              <w:left w:val="single" w:color="auto" w:sz="4" w:space="0"/>
              <w:bottom w:val="single" w:color="auto" w:sz="4" w:space="0"/>
              <w:right w:val="single" w:color="auto" w:sz="4" w:space="0"/>
            </w:tcBorders>
            <w:vAlign w:val="center"/>
          </w:tcPr>
          <w:p w14:paraId="6A3309E1">
            <w:pPr>
              <w:pStyle w:val="48"/>
              <w:rPr>
                <w:sz w:val="20"/>
                <w:szCs w:val="20"/>
              </w:rPr>
            </w:pPr>
            <w:r>
              <w:rPr>
                <w:sz w:val="20"/>
                <w:szCs w:val="20"/>
              </w:rPr>
              <w:t>会议费</w:t>
            </w:r>
          </w:p>
        </w:tc>
        <w:tc>
          <w:tcPr>
            <w:tcW w:w="2859" w:type="dxa"/>
            <w:tcBorders>
              <w:top w:val="single" w:color="auto" w:sz="4" w:space="0"/>
              <w:left w:val="single" w:color="auto" w:sz="4" w:space="0"/>
              <w:bottom w:val="single" w:color="auto" w:sz="4" w:space="0"/>
              <w:right w:val="single" w:color="auto" w:sz="4" w:space="0"/>
            </w:tcBorders>
            <w:vAlign w:val="center"/>
          </w:tcPr>
          <w:p w14:paraId="61AC2211">
            <w:pPr>
              <w:jc w:val="right"/>
              <w:rPr>
                <w:rFonts w:ascii="Calibri" w:hAnsi="Calibri"/>
                <w:sz w:val="20"/>
                <w:szCs w:val="20"/>
              </w:rPr>
            </w:pPr>
            <w:r>
              <w:rPr>
                <w:rFonts w:ascii="Calibri" w:hAnsi="Calibri"/>
                <w:sz w:val="20"/>
                <w:szCs w:val="20"/>
              </w:rPr>
              <w:t>7,965,396.87</w:t>
            </w:r>
          </w:p>
        </w:tc>
        <w:tc>
          <w:tcPr>
            <w:tcW w:w="2857" w:type="dxa"/>
            <w:tcBorders>
              <w:top w:val="single" w:color="auto" w:sz="4" w:space="0"/>
              <w:left w:val="single" w:color="auto" w:sz="4" w:space="0"/>
              <w:bottom w:val="single" w:color="auto" w:sz="4" w:space="0"/>
              <w:right w:val="single" w:color="auto" w:sz="4" w:space="0"/>
            </w:tcBorders>
            <w:vAlign w:val="center"/>
          </w:tcPr>
          <w:p w14:paraId="062FAA8B">
            <w:pPr>
              <w:jc w:val="right"/>
              <w:rPr>
                <w:rFonts w:ascii="Calibri" w:hAnsi="Calibri"/>
                <w:sz w:val="20"/>
                <w:szCs w:val="20"/>
              </w:rPr>
            </w:pPr>
            <w:r>
              <w:rPr>
                <w:rFonts w:ascii="Calibri" w:hAnsi="Calibri"/>
                <w:sz w:val="20"/>
                <w:szCs w:val="20"/>
              </w:rPr>
              <w:t>8,642,802.50</w:t>
            </w:r>
          </w:p>
        </w:tc>
      </w:tr>
      <w:tr w14:paraId="3645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1" w:type="dxa"/>
            <w:tcBorders>
              <w:top w:val="single" w:color="auto" w:sz="4" w:space="0"/>
              <w:left w:val="single" w:color="auto" w:sz="4" w:space="0"/>
              <w:bottom w:val="single" w:color="auto" w:sz="4" w:space="0"/>
              <w:right w:val="single" w:color="auto" w:sz="4" w:space="0"/>
            </w:tcBorders>
            <w:vAlign w:val="center"/>
          </w:tcPr>
          <w:p w14:paraId="77F1AAD7">
            <w:pPr>
              <w:pStyle w:val="48"/>
              <w:rPr>
                <w:sz w:val="20"/>
                <w:szCs w:val="20"/>
              </w:rPr>
            </w:pPr>
            <w:r>
              <w:rPr>
                <w:sz w:val="20"/>
                <w:szCs w:val="20"/>
              </w:rPr>
              <w:t>其他</w:t>
            </w:r>
          </w:p>
        </w:tc>
        <w:tc>
          <w:tcPr>
            <w:tcW w:w="2859" w:type="dxa"/>
            <w:tcBorders>
              <w:top w:val="single" w:color="auto" w:sz="4" w:space="0"/>
              <w:left w:val="single" w:color="auto" w:sz="4" w:space="0"/>
              <w:bottom w:val="single" w:color="auto" w:sz="4" w:space="0"/>
              <w:right w:val="single" w:color="auto" w:sz="4" w:space="0"/>
            </w:tcBorders>
            <w:vAlign w:val="center"/>
          </w:tcPr>
          <w:p w14:paraId="2195E0C9">
            <w:pPr>
              <w:jc w:val="right"/>
              <w:rPr>
                <w:rFonts w:ascii="Calibri" w:hAnsi="Calibri"/>
                <w:sz w:val="20"/>
                <w:szCs w:val="20"/>
              </w:rPr>
            </w:pPr>
            <w:r>
              <w:rPr>
                <w:rFonts w:ascii="Calibri" w:hAnsi="Calibri"/>
                <w:sz w:val="20"/>
                <w:szCs w:val="20"/>
              </w:rPr>
              <w:t>21,333,915.64</w:t>
            </w:r>
          </w:p>
        </w:tc>
        <w:tc>
          <w:tcPr>
            <w:tcW w:w="2857" w:type="dxa"/>
            <w:tcBorders>
              <w:top w:val="single" w:color="auto" w:sz="4" w:space="0"/>
              <w:left w:val="single" w:color="auto" w:sz="4" w:space="0"/>
              <w:bottom w:val="single" w:color="auto" w:sz="4" w:space="0"/>
              <w:right w:val="single" w:color="auto" w:sz="4" w:space="0"/>
            </w:tcBorders>
            <w:vAlign w:val="center"/>
          </w:tcPr>
          <w:p w14:paraId="57C3DCA2">
            <w:pPr>
              <w:jc w:val="right"/>
              <w:rPr>
                <w:rFonts w:ascii="Calibri" w:hAnsi="Calibri"/>
                <w:sz w:val="20"/>
                <w:szCs w:val="20"/>
              </w:rPr>
            </w:pPr>
            <w:r>
              <w:rPr>
                <w:rFonts w:ascii="Calibri" w:hAnsi="Calibri"/>
                <w:sz w:val="20"/>
                <w:szCs w:val="20"/>
              </w:rPr>
              <w:t>17,934,041.91</w:t>
            </w:r>
          </w:p>
        </w:tc>
      </w:tr>
      <w:tr w14:paraId="7CFF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1" w:type="dxa"/>
            <w:tcBorders>
              <w:top w:val="single" w:color="auto" w:sz="4" w:space="0"/>
              <w:left w:val="single" w:color="auto" w:sz="4" w:space="0"/>
              <w:bottom w:val="single" w:color="auto" w:sz="4" w:space="0"/>
              <w:right w:val="single" w:color="auto" w:sz="4" w:space="0"/>
            </w:tcBorders>
            <w:vAlign w:val="center"/>
          </w:tcPr>
          <w:p w14:paraId="55777196">
            <w:pPr>
              <w:jc w:val="center"/>
              <w:rPr>
                <w:rFonts w:ascii="Calibri" w:hAnsi="Calibri"/>
                <w:sz w:val="20"/>
                <w:szCs w:val="20"/>
              </w:rPr>
            </w:pPr>
            <w:r>
              <w:rPr>
                <w:rFonts w:hint="eastAsia" w:ascii="Calibri" w:hAnsi="Calibri"/>
                <w:sz w:val="20"/>
                <w:szCs w:val="20"/>
              </w:rPr>
              <w:t>合计</w:t>
            </w:r>
          </w:p>
        </w:tc>
        <w:tc>
          <w:tcPr>
            <w:tcW w:w="2859" w:type="dxa"/>
            <w:tcBorders>
              <w:top w:val="single" w:color="auto" w:sz="4" w:space="0"/>
              <w:left w:val="single" w:color="auto" w:sz="4" w:space="0"/>
              <w:bottom w:val="single" w:color="auto" w:sz="4" w:space="0"/>
              <w:right w:val="single" w:color="auto" w:sz="4" w:space="0"/>
            </w:tcBorders>
            <w:vAlign w:val="center"/>
          </w:tcPr>
          <w:p w14:paraId="10A30B73">
            <w:pPr>
              <w:jc w:val="right"/>
              <w:rPr>
                <w:rFonts w:ascii="Calibri" w:hAnsi="Calibri"/>
                <w:sz w:val="20"/>
                <w:szCs w:val="20"/>
              </w:rPr>
            </w:pPr>
            <w:r>
              <w:rPr>
                <w:rFonts w:ascii="Calibri" w:hAnsi="Calibri"/>
                <w:sz w:val="20"/>
                <w:szCs w:val="20"/>
              </w:rPr>
              <w:t>1,108,127,227.86</w:t>
            </w:r>
          </w:p>
        </w:tc>
        <w:tc>
          <w:tcPr>
            <w:tcW w:w="2857" w:type="dxa"/>
            <w:tcBorders>
              <w:top w:val="single" w:color="auto" w:sz="4" w:space="0"/>
              <w:left w:val="single" w:color="auto" w:sz="4" w:space="0"/>
              <w:bottom w:val="single" w:color="auto" w:sz="4" w:space="0"/>
              <w:right w:val="single" w:color="auto" w:sz="4" w:space="0"/>
            </w:tcBorders>
            <w:vAlign w:val="center"/>
          </w:tcPr>
          <w:p w14:paraId="2B8EC052">
            <w:pPr>
              <w:jc w:val="right"/>
              <w:rPr>
                <w:rFonts w:ascii="Calibri" w:hAnsi="Calibri"/>
                <w:sz w:val="20"/>
                <w:szCs w:val="20"/>
              </w:rPr>
            </w:pPr>
            <w:r>
              <w:rPr>
                <w:rFonts w:ascii="Calibri" w:hAnsi="Calibri"/>
                <w:sz w:val="20"/>
                <w:szCs w:val="20"/>
              </w:rPr>
              <w:t>1,068,146,639.12</w:t>
            </w:r>
          </w:p>
        </w:tc>
      </w:tr>
    </w:tbl>
    <w:p w14:paraId="7D89501D"/>
    <w:p w14:paraId="1AB10D1D">
      <w:pPr>
        <w:spacing w:before="60" w:after="60"/>
      </w:pPr>
      <w:r>
        <w:rPr>
          <w:rFonts w:hint="eastAsia"/>
        </w:rPr>
        <w:t>其他说明：</w:t>
      </w:r>
    </w:p>
    <w:sdt>
      <w:sdtPr>
        <w:alias w:val="销售费用的其他说明事项"/>
        <w:tag w:val="_GBC_da5acaab2dfe4976b479907a904edb4f"/>
        <w:id w:val="1812977824"/>
        <w:placeholder>
          <w:docPart w:val="GBC22222222222222222222222222222"/>
        </w:placeholder>
      </w:sdtPr>
      <w:sdtContent>
        <w:p w14:paraId="68721942">
          <w:pPr>
            <w:pStyle w:val="48"/>
          </w:pPr>
          <w:r>
            <w:rPr>
              <w:rFonts w:hint="eastAsia"/>
            </w:rPr>
            <w:t>主要系报告期销售人员薪酬增加所致。</w:t>
          </w:r>
        </w:p>
      </w:sdtContent>
    </w:sdt>
    <w:p w14:paraId="5F9C0E2B">
      <w:pPr>
        <w:pStyle w:val="48"/>
      </w:pPr>
    </w:p>
    <w:p w14:paraId="3A026092">
      <w:pPr>
        <w:pStyle w:val="4"/>
        <w:numPr>
          <w:ilvl w:val="0"/>
          <w:numId w:val="61"/>
        </w:numPr>
        <w:rPr>
          <w:szCs w:val="21"/>
        </w:rPr>
      </w:pPr>
      <w:bookmarkStart w:id="356" w:name="_Hlk532912714"/>
      <w:bookmarkStart w:id="357" w:name="_Hlk155098459"/>
      <w:r>
        <w:rPr>
          <w:szCs w:val="21"/>
        </w:rPr>
        <w:t>管理费用</w:t>
      </w:r>
    </w:p>
    <w:sdt>
      <w:sdtPr>
        <w:alias w:val="是否适用：管理费用[双击切换]"/>
        <w:tag w:val="_GBC_b376fd9abaac4f3b8e5956b8dcd72faf"/>
        <w:id w:val="-409935780"/>
        <w:placeholder>
          <w:docPart w:val="GBC22222222222222222222222222222"/>
        </w:placeholder>
      </w:sdtPr>
      <w:sdtContent>
        <w:p w14:paraId="3CA03CEA">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384837B">
      <w:pPr>
        <w:jc w:val="right"/>
      </w:pPr>
      <w:r>
        <w:rPr>
          <w:rFonts w:hint="eastAsia"/>
        </w:rPr>
        <w:t>单位：</w:t>
      </w:r>
      <w:sdt>
        <w:sdtPr>
          <w:rPr>
            <w:rFonts w:hint="eastAsia"/>
          </w:rPr>
          <w:alias w:val="单位：管理费用"/>
          <w:tag w:val="_GBC_73606f31bd404afb8bfe5aabe1a68278"/>
          <w:id w:val="-15626979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管理费用"/>
          <w:tag w:val="_GBC_0549259a290d43c39c63d67cdad7f80d"/>
          <w:id w:val="14471919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5"/>
        <w:gridCol w:w="2604"/>
        <w:gridCol w:w="2439"/>
      </w:tblGrid>
      <w:tr w14:paraId="6E9A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8268d9a550441d943c27cfc1105eb0"/>
            <w:id w:val="397028863"/>
          </w:sdtPr>
          <w:sdtContent>
            <w:tc>
              <w:tcPr>
                <w:tcW w:w="4005" w:type="dxa"/>
                <w:tcBorders>
                  <w:top w:val="single" w:color="auto" w:sz="4" w:space="0"/>
                  <w:left w:val="single" w:color="auto" w:sz="4" w:space="0"/>
                  <w:bottom w:val="single" w:color="auto" w:sz="4" w:space="0"/>
                  <w:right w:val="single" w:color="auto" w:sz="4" w:space="0"/>
                </w:tcBorders>
                <w:vAlign w:val="center"/>
              </w:tcPr>
              <w:p w14:paraId="6787154A">
                <w:pPr>
                  <w:jc w:val="center"/>
                  <w:rPr>
                    <w:rFonts w:ascii="Calibri" w:hAnsi="Calibri"/>
                    <w:sz w:val="20"/>
                    <w:szCs w:val="20"/>
                  </w:rPr>
                </w:pPr>
                <w:r>
                  <w:rPr>
                    <w:rFonts w:hint="eastAsia" w:ascii="Calibri" w:hAnsi="Calibri"/>
                    <w:sz w:val="20"/>
                    <w:szCs w:val="20"/>
                  </w:rPr>
                  <w:t>项目</w:t>
                </w:r>
              </w:p>
            </w:tc>
          </w:sdtContent>
        </w:sdt>
        <w:sdt>
          <w:sdtPr>
            <w:tag w:val="_PLD_0e4f4d04bcb2408d8a5744ac90a1f89b"/>
            <w:id w:val="-256143106"/>
          </w:sdtPr>
          <w:sdtContent>
            <w:tc>
              <w:tcPr>
                <w:tcW w:w="2604" w:type="dxa"/>
                <w:tcBorders>
                  <w:top w:val="single" w:color="auto" w:sz="4" w:space="0"/>
                  <w:left w:val="single" w:color="auto" w:sz="4" w:space="0"/>
                  <w:bottom w:val="single" w:color="auto" w:sz="4" w:space="0"/>
                  <w:right w:val="single" w:color="auto" w:sz="4" w:space="0"/>
                </w:tcBorders>
                <w:vAlign w:val="center"/>
              </w:tcPr>
              <w:p w14:paraId="0A854F4D">
                <w:pPr>
                  <w:jc w:val="center"/>
                  <w:rPr>
                    <w:rFonts w:ascii="Calibri" w:hAnsi="Calibri"/>
                    <w:sz w:val="20"/>
                    <w:szCs w:val="20"/>
                  </w:rPr>
                </w:pPr>
                <w:r>
                  <w:rPr>
                    <w:rFonts w:hint="eastAsia" w:ascii="Calibri" w:hAnsi="Calibri"/>
                    <w:sz w:val="20"/>
                    <w:szCs w:val="20"/>
                  </w:rPr>
                  <w:t>本期发生额</w:t>
                </w:r>
              </w:p>
            </w:tc>
          </w:sdtContent>
        </w:sdt>
        <w:sdt>
          <w:sdtPr>
            <w:tag w:val="_PLD_6f1ab61237164c0db56540ae1980b62c"/>
            <w:id w:val="-801309512"/>
          </w:sdtPr>
          <w:sdtContent>
            <w:tc>
              <w:tcPr>
                <w:tcW w:w="2439" w:type="dxa"/>
                <w:tcBorders>
                  <w:top w:val="single" w:color="auto" w:sz="4" w:space="0"/>
                  <w:left w:val="single" w:color="auto" w:sz="4" w:space="0"/>
                  <w:bottom w:val="single" w:color="auto" w:sz="4" w:space="0"/>
                  <w:right w:val="single" w:color="auto" w:sz="4" w:space="0"/>
                </w:tcBorders>
                <w:vAlign w:val="center"/>
              </w:tcPr>
              <w:p w14:paraId="497C47B5">
                <w:pPr>
                  <w:jc w:val="center"/>
                  <w:rPr>
                    <w:rFonts w:ascii="Calibri" w:hAnsi="Calibri"/>
                    <w:sz w:val="20"/>
                    <w:szCs w:val="20"/>
                  </w:rPr>
                </w:pPr>
                <w:r>
                  <w:rPr>
                    <w:rFonts w:hint="eastAsia" w:ascii="Calibri" w:hAnsi="Calibri"/>
                    <w:sz w:val="20"/>
                    <w:szCs w:val="20"/>
                  </w:rPr>
                  <w:t>上期发生额</w:t>
                </w:r>
              </w:p>
            </w:tc>
          </w:sdtContent>
        </w:sdt>
      </w:tr>
      <w:tr w14:paraId="59B3C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323EA7F6">
            <w:pPr>
              <w:pStyle w:val="48"/>
              <w:rPr>
                <w:sz w:val="20"/>
                <w:szCs w:val="20"/>
              </w:rPr>
            </w:pPr>
            <w:r>
              <w:rPr>
                <w:rFonts w:hint="eastAsia"/>
                <w:sz w:val="20"/>
                <w:szCs w:val="20"/>
              </w:rPr>
              <w:t>职工薪酬</w:t>
            </w:r>
          </w:p>
        </w:tc>
        <w:tc>
          <w:tcPr>
            <w:tcW w:w="2604" w:type="dxa"/>
            <w:tcBorders>
              <w:top w:val="single" w:color="auto" w:sz="4" w:space="0"/>
              <w:left w:val="single" w:color="auto" w:sz="4" w:space="0"/>
              <w:bottom w:val="single" w:color="auto" w:sz="4" w:space="0"/>
              <w:right w:val="single" w:color="auto" w:sz="4" w:space="0"/>
            </w:tcBorders>
            <w:vAlign w:val="center"/>
          </w:tcPr>
          <w:p w14:paraId="6162E9CE">
            <w:pPr>
              <w:jc w:val="right"/>
              <w:rPr>
                <w:rFonts w:ascii="Calibri" w:hAnsi="Calibri"/>
                <w:sz w:val="20"/>
                <w:szCs w:val="20"/>
              </w:rPr>
            </w:pPr>
            <w:r>
              <w:rPr>
                <w:rFonts w:ascii="Calibri" w:hAnsi="Calibri"/>
                <w:sz w:val="20"/>
                <w:szCs w:val="20"/>
              </w:rPr>
              <w:t>64,823,987.46</w:t>
            </w:r>
          </w:p>
        </w:tc>
        <w:tc>
          <w:tcPr>
            <w:tcW w:w="2439" w:type="dxa"/>
            <w:tcBorders>
              <w:top w:val="single" w:color="auto" w:sz="4" w:space="0"/>
              <w:left w:val="single" w:color="auto" w:sz="4" w:space="0"/>
              <w:bottom w:val="single" w:color="auto" w:sz="4" w:space="0"/>
              <w:right w:val="single" w:color="auto" w:sz="4" w:space="0"/>
            </w:tcBorders>
            <w:vAlign w:val="center"/>
          </w:tcPr>
          <w:p w14:paraId="38F9C71B">
            <w:pPr>
              <w:jc w:val="right"/>
              <w:rPr>
                <w:rFonts w:ascii="Calibri" w:hAnsi="Calibri"/>
                <w:sz w:val="20"/>
                <w:szCs w:val="20"/>
              </w:rPr>
            </w:pPr>
            <w:r>
              <w:rPr>
                <w:rFonts w:ascii="Calibri" w:hAnsi="Calibri"/>
                <w:sz w:val="20"/>
                <w:szCs w:val="20"/>
              </w:rPr>
              <w:t>62,944,302.58</w:t>
            </w:r>
          </w:p>
        </w:tc>
      </w:tr>
      <w:tr w14:paraId="6DC0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1DA139AC">
            <w:pPr>
              <w:pStyle w:val="48"/>
              <w:rPr>
                <w:sz w:val="20"/>
                <w:szCs w:val="20"/>
              </w:rPr>
            </w:pPr>
            <w:r>
              <w:rPr>
                <w:rFonts w:hint="eastAsia"/>
                <w:sz w:val="20"/>
                <w:szCs w:val="20"/>
              </w:rPr>
              <w:t>折旧费</w:t>
            </w:r>
          </w:p>
        </w:tc>
        <w:tc>
          <w:tcPr>
            <w:tcW w:w="2604" w:type="dxa"/>
            <w:tcBorders>
              <w:top w:val="single" w:color="auto" w:sz="4" w:space="0"/>
              <w:left w:val="single" w:color="auto" w:sz="4" w:space="0"/>
              <w:bottom w:val="single" w:color="auto" w:sz="4" w:space="0"/>
              <w:right w:val="single" w:color="auto" w:sz="4" w:space="0"/>
            </w:tcBorders>
            <w:vAlign w:val="center"/>
          </w:tcPr>
          <w:p w14:paraId="7479B243">
            <w:pPr>
              <w:jc w:val="right"/>
              <w:rPr>
                <w:rFonts w:ascii="Calibri" w:hAnsi="Calibri"/>
                <w:sz w:val="20"/>
                <w:szCs w:val="20"/>
              </w:rPr>
            </w:pPr>
            <w:r>
              <w:rPr>
                <w:rFonts w:ascii="Calibri" w:hAnsi="Calibri"/>
                <w:sz w:val="20"/>
                <w:szCs w:val="20"/>
              </w:rPr>
              <w:t>32,828,150.17</w:t>
            </w:r>
          </w:p>
        </w:tc>
        <w:tc>
          <w:tcPr>
            <w:tcW w:w="2439" w:type="dxa"/>
            <w:tcBorders>
              <w:top w:val="single" w:color="auto" w:sz="4" w:space="0"/>
              <w:left w:val="single" w:color="auto" w:sz="4" w:space="0"/>
              <w:bottom w:val="single" w:color="auto" w:sz="4" w:space="0"/>
              <w:right w:val="single" w:color="auto" w:sz="4" w:space="0"/>
            </w:tcBorders>
            <w:vAlign w:val="center"/>
          </w:tcPr>
          <w:p w14:paraId="6915F935">
            <w:pPr>
              <w:jc w:val="right"/>
              <w:rPr>
                <w:rFonts w:ascii="Calibri" w:hAnsi="Calibri"/>
                <w:sz w:val="20"/>
                <w:szCs w:val="20"/>
              </w:rPr>
            </w:pPr>
            <w:r>
              <w:rPr>
                <w:rFonts w:ascii="Calibri" w:hAnsi="Calibri"/>
                <w:sz w:val="20"/>
                <w:szCs w:val="20"/>
              </w:rPr>
              <w:t>47,981,802.94</w:t>
            </w:r>
          </w:p>
        </w:tc>
      </w:tr>
      <w:tr w14:paraId="1B91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5A8BF3C7">
            <w:pPr>
              <w:pStyle w:val="48"/>
              <w:rPr>
                <w:sz w:val="20"/>
                <w:szCs w:val="20"/>
              </w:rPr>
            </w:pPr>
            <w:r>
              <w:rPr>
                <w:rFonts w:hint="eastAsia"/>
                <w:sz w:val="20"/>
                <w:szCs w:val="20"/>
              </w:rPr>
              <w:t>办公费</w:t>
            </w:r>
          </w:p>
        </w:tc>
        <w:tc>
          <w:tcPr>
            <w:tcW w:w="2604" w:type="dxa"/>
            <w:tcBorders>
              <w:top w:val="single" w:color="auto" w:sz="4" w:space="0"/>
              <w:left w:val="single" w:color="auto" w:sz="4" w:space="0"/>
              <w:bottom w:val="single" w:color="auto" w:sz="4" w:space="0"/>
              <w:right w:val="single" w:color="auto" w:sz="4" w:space="0"/>
            </w:tcBorders>
            <w:vAlign w:val="center"/>
          </w:tcPr>
          <w:p w14:paraId="4C710098">
            <w:pPr>
              <w:jc w:val="right"/>
              <w:rPr>
                <w:rFonts w:ascii="Calibri" w:hAnsi="Calibri"/>
                <w:sz w:val="20"/>
                <w:szCs w:val="20"/>
              </w:rPr>
            </w:pPr>
            <w:r>
              <w:rPr>
                <w:rFonts w:ascii="Calibri" w:hAnsi="Calibri"/>
                <w:sz w:val="20"/>
                <w:szCs w:val="20"/>
              </w:rPr>
              <w:t>2,316,921.76</w:t>
            </w:r>
          </w:p>
        </w:tc>
        <w:tc>
          <w:tcPr>
            <w:tcW w:w="2439" w:type="dxa"/>
            <w:tcBorders>
              <w:top w:val="single" w:color="auto" w:sz="4" w:space="0"/>
              <w:left w:val="single" w:color="auto" w:sz="4" w:space="0"/>
              <w:bottom w:val="single" w:color="auto" w:sz="4" w:space="0"/>
              <w:right w:val="single" w:color="auto" w:sz="4" w:space="0"/>
            </w:tcBorders>
            <w:vAlign w:val="center"/>
          </w:tcPr>
          <w:p w14:paraId="0116522A">
            <w:pPr>
              <w:jc w:val="right"/>
              <w:rPr>
                <w:rFonts w:ascii="Calibri" w:hAnsi="Calibri"/>
                <w:sz w:val="20"/>
                <w:szCs w:val="20"/>
              </w:rPr>
            </w:pPr>
            <w:r>
              <w:rPr>
                <w:rFonts w:ascii="Calibri" w:hAnsi="Calibri"/>
                <w:sz w:val="20"/>
                <w:szCs w:val="20"/>
              </w:rPr>
              <w:t>1,610,947.38</w:t>
            </w:r>
          </w:p>
        </w:tc>
      </w:tr>
      <w:tr w14:paraId="2618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625CAAA6">
            <w:pPr>
              <w:pStyle w:val="48"/>
              <w:rPr>
                <w:sz w:val="20"/>
                <w:szCs w:val="20"/>
              </w:rPr>
            </w:pPr>
            <w:r>
              <w:rPr>
                <w:rFonts w:hint="eastAsia"/>
                <w:sz w:val="20"/>
                <w:szCs w:val="20"/>
              </w:rPr>
              <w:t>差旅费</w:t>
            </w:r>
          </w:p>
        </w:tc>
        <w:tc>
          <w:tcPr>
            <w:tcW w:w="2604" w:type="dxa"/>
            <w:tcBorders>
              <w:top w:val="single" w:color="auto" w:sz="4" w:space="0"/>
              <w:left w:val="single" w:color="auto" w:sz="4" w:space="0"/>
              <w:bottom w:val="single" w:color="auto" w:sz="4" w:space="0"/>
              <w:right w:val="single" w:color="auto" w:sz="4" w:space="0"/>
            </w:tcBorders>
            <w:vAlign w:val="center"/>
          </w:tcPr>
          <w:p w14:paraId="6C1EAB17">
            <w:pPr>
              <w:jc w:val="right"/>
              <w:rPr>
                <w:rFonts w:ascii="Calibri" w:hAnsi="Calibri"/>
                <w:sz w:val="20"/>
                <w:szCs w:val="20"/>
              </w:rPr>
            </w:pPr>
            <w:r>
              <w:rPr>
                <w:rFonts w:ascii="Calibri" w:hAnsi="Calibri"/>
                <w:sz w:val="20"/>
                <w:szCs w:val="20"/>
              </w:rPr>
              <w:t>4,577,415.38</w:t>
            </w:r>
          </w:p>
        </w:tc>
        <w:tc>
          <w:tcPr>
            <w:tcW w:w="2439" w:type="dxa"/>
            <w:tcBorders>
              <w:top w:val="single" w:color="auto" w:sz="4" w:space="0"/>
              <w:left w:val="single" w:color="auto" w:sz="4" w:space="0"/>
              <w:bottom w:val="single" w:color="auto" w:sz="4" w:space="0"/>
              <w:right w:val="single" w:color="auto" w:sz="4" w:space="0"/>
            </w:tcBorders>
            <w:vAlign w:val="center"/>
          </w:tcPr>
          <w:p w14:paraId="01E515BC">
            <w:pPr>
              <w:jc w:val="right"/>
              <w:rPr>
                <w:rFonts w:ascii="Calibri" w:hAnsi="Calibri"/>
                <w:sz w:val="20"/>
                <w:szCs w:val="20"/>
              </w:rPr>
            </w:pPr>
            <w:r>
              <w:rPr>
                <w:rFonts w:ascii="Calibri" w:hAnsi="Calibri"/>
                <w:sz w:val="20"/>
                <w:szCs w:val="20"/>
              </w:rPr>
              <w:t>3,810,341.10</w:t>
            </w:r>
          </w:p>
        </w:tc>
      </w:tr>
      <w:tr w14:paraId="2CC7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0865F2DF">
            <w:pPr>
              <w:pStyle w:val="48"/>
              <w:rPr>
                <w:sz w:val="20"/>
                <w:szCs w:val="20"/>
              </w:rPr>
            </w:pPr>
            <w:r>
              <w:rPr>
                <w:rFonts w:hint="eastAsia"/>
                <w:sz w:val="20"/>
                <w:szCs w:val="20"/>
              </w:rPr>
              <w:t>工会经费</w:t>
            </w:r>
          </w:p>
        </w:tc>
        <w:tc>
          <w:tcPr>
            <w:tcW w:w="2604" w:type="dxa"/>
            <w:tcBorders>
              <w:top w:val="single" w:color="auto" w:sz="4" w:space="0"/>
              <w:left w:val="single" w:color="auto" w:sz="4" w:space="0"/>
              <w:bottom w:val="single" w:color="auto" w:sz="4" w:space="0"/>
              <w:right w:val="single" w:color="auto" w:sz="4" w:space="0"/>
            </w:tcBorders>
            <w:vAlign w:val="center"/>
          </w:tcPr>
          <w:p w14:paraId="4CFD1107">
            <w:pPr>
              <w:jc w:val="right"/>
              <w:rPr>
                <w:rFonts w:ascii="Calibri" w:hAnsi="Calibri"/>
                <w:sz w:val="20"/>
                <w:szCs w:val="20"/>
              </w:rPr>
            </w:pPr>
            <w:r>
              <w:rPr>
                <w:rFonts w:ascii="Calibri" w:hAnsi="Calibri"/>
                <w:sz w:val="20"/>
                <w:szCs w:val="20"/>
              </w:rPr>
              <w:t>5,447,800.91</w:t>
            </w:r>
          </w:p>
        </w:tc>
        <w:tc>
          <w:tcPr>
            <w:tcW w:w="2439" w:type="dxa"/>
            <w:tcBorders>
              <w:top w:val="single" w:color="auto" w:sz="4" w:space="0"/>
              <w:left w:val="single" w:color="auto" w:sz="4" w:space="0"/>
              <w:bottom w:val="single" w:color="auto" w:sz="4" w:space="0"/>
              <w:right w:val="single" w:color="auto" w:sz="4" w:space="0"/>
            </w:tcBorders>
            <w:vAlign w:val="center"/>
          </w:tcPr>
          <w:p w14:paraId="2EB3E2F4">
            <w:pPr>
              <w:jc w:val="right"/>
              <w:rPr>
                <w:rFonts w:ascii="Calibri" w:hAnsi="Calibri"/>
                <w:sz w:val="20"/>
                <w:szCs w:val="20"/>
              </w:rPr>
            </w:pPr>
            <w:r>
              <w:rPr>
                <w:rFonts w:ascii="Calibri" w:hAnsi="Calibri"/>
                <w:sz w:val="20"/>
                <w:szCs w:val="20"/>
              </w:rPr>
              <w:t>5,329,142.40</w:t>
            </w:r>
          </w:p>
        </w:tc>
      </w:tr>
      <w:tr w14:paraId="5C7E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15C08E48">
            <w:pPr>
              <w:pStyle w:val="48"/>
              <w:rPr>
                <w:sz w:val="20"/>
                <w:szCs w:val="20"/>
              </w:rPr>
            </w:pPr>
            <w:r>
              <w:rPr>
                <w:rFonts w:hint="eastAsia"/>
                <w:sz w:val="20"/>
                <w:szCs w:val="20"/>
              </w:rPr>
              <w:t>职工教育经费</w:t>
            </w:r>
          </w:p>
        </w:tc>
        <w:tc>
          <w:tcPr>
            <w:tcW w:w="2604" w:type="dxa"/>
            <w:tcBorders>
              <w:top w:val="single" w:color="auto" w:sz="4" w:space="0"/>
              <w:left w:val="single" w:color="auto" w:sz="4" w:space="0"/>
              <w:bottom w:val="single" w:color="auto" w:sz="4" w:space="0"/>
              <w:right w:val="single" w:color="auto" w:sz="4" w:space="0"/>
            </w:tcBorders>
            <w:vAlign w:val="center"/>
          </w:tcPr>
          <w:p w14:paraId="015EBA0B">
            <w:pPr>
              <w:jc w:val="right"/>
              <w:rPr>
                <w:rFonts w:ascii="Calibri" w:hAnsi="Calibri"/>
                <w:sz w:val="20"/>
                <w:szCs w:val="20"/>
              </w:rPr>
            </w:pPr>
            <w:r>
              <w:rPr>
                <w:rFonts w:ascii="Calibri" w:hAnsi="Calibri"/>
                <w:sz w:val="20"/>
                <w:szCs w:val="20"/>
              </w:rPr>
              <w:t>854,799.69</w:t>
            </w:r>
          </w:p>
        </w:tc>
        <w:tc>
          <w:tcPr>
            <w:tcW w:w="2439" w:type="dxa"/>
            <w:tcBorders>
              <w:top w:val="single" w:color="auto" w:sz="4" w:space="0"/>
              <w:left w:val="single" w:color="auto" w:sz="4" w:space="0"/>
              <w:bottom w:val="single" w:color="auto" w:sz="4" w:space="0"/>
              <w:right w:val="single" w:color="auto" w:sz="4" w:space="0"/>
            </w:tcBorders>
            <w:vAlign w:val="center"/>
          </w:tcPr>
          <w:p w14:paraId="0D5378C8">
            <w:pPr>
              <w:jc w:val="right"/>
              <w:rPr>
                <w:rFonts w:ascii="Calibri" w:hAnsi="Calibri"/>
                <w:sz w:val="20"/>
                <w:szCs w:val="20"/>
              </w:rPr>
            </w:pPr>
            <w:r>
              <w:rPr>
                <w:rFonts w:ascii="Calibri" w:hAnsi="Calibri"/>
                <w:sz w:val="20"/>
                <w:szCs w:val="20"/>
              </w:rPr>
              <w:t>95,137.37</w:t>
            </w:r>
          </w:p>
        </w:tc>
      </w:tr>
      <w:tr w14:paraId="0045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3E5B3A7F">
            <w:pPr>
              <w:pStyle w:val="48"/>
              <w:rPr>
                <w:sz w:val="20"/>
                <w:szCs w:val="20"/>
              </w:rPr>
            </w:pPr>
            <w:r>
              <w:rPr>
                <w:rFonts w:hint="eastAsia"/>
                <w:sz w:val="20"/>
                <w:szCs w:val="20"/>
              </w:rPr>
              <w:t>无形资产摊销</w:t>
            </w:r>
          </w:p>
        </w:tc>
        <w:tc>
          <w:tcPr>
            <w:tcW w:w="2604" w:type="dxa"/>
            <w:tcBorders>
              <w:top w:val="single" w:color="auto" w:sz="4" w:space="0"/>
              <w:left w:val="single" w:color="auto" w:sz="4" w:space="0"/>
              <w:bottom w:val="single" w:color="auto" w:sz="4" w:space="0"/>
              <w:right w:val="single" w:color="auto" w:sz="4" w:space="0"/>
            </w:tcBorders>
            <w:vAlign w:val="center"/>
          </w:tcPr>
          <w:p w14:paraId="0A3F7B87">
            <w:pPr>
              <w:jc w:val="right"/>
              <w:rPr>
                <w:rFonts w:ascii="Calibri" w:hAnsi="Calibri"/>
                <w:sz w:val="20"/>
                <w:szCs w:val="20"/>
              </w:rPr>
            </w:pPr>
            <w:r>
              <w:rPr>
                <w:rFonts w:ascii="Calibri" w:hAnsi="Calibri"/>
                <w:sz w:val="20"/>
                <w:szCs w:val="20"/>
              </w:rPr>
              <w:t>6,509,969.11</w:t>
            </w:r>
          </w:p>
        </w:tc>
        <w:tc>
          <w:tcPr>
            <w:tcW w:w="2439" w:type="dxa"/>
            <w:tcBorders>
              <w:top w:val="single" w:color="auto" w:sz="4" w:space="0"/>
              <w:left w:val="single" w:color="auto" w:sz="4" w:space="0"/>
              <w:bottom w:val="single" w:color="auto" w:sz="4" w:space="0"/>
              <w:right w:val="single" w:color="auto" w:sz="4" w:space="0"/>
            </w:tcBorders>
            <w:vAlign w:val="center"/>
          </w:tcPr>
          <w:p w14:paraId="4D19BC9C">
            <w:pPr>
              <w:jc w:val="right"/>
              <w:rPr>
                <w:rFonts w:ascii="Calibri" w:hAnsi="Calibri"/>
                <w:sz w:val="20"/>
                <w:szCs w:val="20"/>
              </w:rPr>
            </w:pPr>
            <w:r>
              <w:rPr>
                <w:rFonts w:ascii="Calibri" w:hAnsi="Calibri"/>
                <w:sz w:val="20"/>
                <w:szCs w:val="20"/>
              </w:rPr>
              <w:t>5,886,431.29</w:t>
            </w:r>
          </w:p>
        </w:tc>
      </w:tr>
      <w:tr w14:paraId="3FDF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587AD9E4">
            <w:pPr>
              <w:pStyle w:val="48"/>
              <w:rPr>
                <w:sz w:val="20"/>
                <w:szCs w:val="20"/>
              </w:rPr>
            </w:pPr>
            <w:r>
              <w:rPr>
                <w:rFonts w:hint="eastAsia"/>
                <w:sz w:val="20"/>
                <w:szCs w:val="20"/>
              </w:rPr>
              <w:t>水电蒸汽费</w:t>
            </w:r>
          </w:p>
        </w:tc>
        <w:tc>
          <w:tcPr>
            <w:tcW w:w="2604" w:type="dxa"/>
            <w:tcBorders>
              <w:top w:val="single" w:color="auto" w:sz="4" w:space="0"/>
              <w:left w:val="single" w:color="auto" w:sz="4" w:space="0"/>
              <w:bottom w:val="single" w:color="auto" w:sz="4" w:space="0"/>
              <w:right w:val="single" w:color="auto" w:sz="4" w:space="0"/>
            </w:tcBorders>
            <w:vAlign w:val="center"/>
          </w:tcPr>
          <w:p w14:paraId="1B62086C">
            <w:pPr>
              <w:jc w:val="right"/>
              <w:rPr>
                <w:rFonts w:ascii="Calibri" w:hAnsi="Calibri"/>
                <w:sz w:val="20"/>
                <w:szCs w:val="20"/>
              </w:rPr>
            </w:pPr>
            <w:r>
              <w:rPr>
                <w:rFonts w:ascii="Calibri" w:hAnsi="Calibri"/>
                <w:sz w:val="20"/>
                <w:szCs w:val="20"/>
              </w:rPr>
              <w:t>4,125,988.61</w:t>
            </w:r>
          </w:p>
        </w:tc>
        <w:tc>
          <w:tcPr>
            <w:tcW w:w="2439" w:type="dxa"/>
            <w:tcBorders>
              <w:top w:val="single" w:color="auto" w:sz="4" w:space="0"/>
              <w:left w:val="single" w:color="auto" w:sz="4" w:space="0"/>
              <w:bottom w:val="single" w:color="auto" w:sz="4" w:space="0"/>
              <w:right w:val="single" w:color="auto" w:sz="4" w:space="0"/>
            </w:tcBorders>
            <w:vAlign w:val="center"/>
          </w:tcPr>
          <w:p w14:paraId="37B5113B">
            <w:pPr>
              <w:jc w:val="right"/>
              <w:rPr>
                <w:rFonts w:ascii="Calibri" w:hAnsi="Calibri"/>
                <w:sz w:val="20"/>
                <w:szCs w:val="20"/>
              </w:rPr>
            </w:pPr>
            <w:r>
              <w:rPr>
                <w:rFonts w:ascii="Calibri" w:hAnsi="Calibri"/>
                <w:sz w:val="20"/>
                <w:szCs w:val="20"/>
              </w:rPr>
              <w:t>7,633,123.10</w:t>
            </w:r>
          </w:p>
        </w:tc>
      </w:tr>
      <w:tr w14:paraId="7694B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275AB942">
            <w:pPr>
              <w:pStyle w:val="48"/>
              <w:rPr>
                <w:sz w:val="20"/>
                <w:szCs w:val="20"/>
              </w:rPr>
            </w:pPr>
            <w:r>
              <w:rPr>
                <w:rFonts w:hint="eastAsia"/>
                <w:sz w:val="20"/>
                <w:szCs w:val="20"/>
              </w:rPr>
              <w:t>业务招待费</w:t>
            </w:r>
          </w:p>
        </w:tc>
        <w:tc>
          <w:tcPr>
            <w:tcW w:w="2604" w:type="dxa"/>
            <w:tcBorders>
              <w:top w:val="single" w:color="auto" w:sz="4" w:space="0"/>
              <w:left w:val="single" w:color="auto" w:sz="4" w:space="0"/>
              <w:bottom w:val="single" w:color="auto" w:sz="4" w:space="0"/>
              <w:right w:val="single" w:color="auto" w:sz="4" w:space="0"/>
            </w:tcBorders>
            <w:vAlign w:val="center"/>
          </w:tcPr>
          <w:p w14:paraId="081C4110">
            <w:pPr>
              <w:jc w:val="right"/>
              <w:rPr>
                <w:rFonts w:ascii="Calibri" w:hAnsi="Calibri"/>
                <w:sz w:val="20"/>
                <w:szCs w:val="20"/>
              </w:rPr>
            </w:pPr>
            <w:r>
              <w:rPr>
                <w:rFonts w:ascii="Calibri" w:hAnsi="Calibri"/>
                <w:sz w:val="20"/>
                <w:szCs w:val="20"/>
              </w:rPr>
              <w:t>3,280,408.84</w:t>
            </w:r>
          </w:p>
        </w:tc>
        <w:tc>
          <w:tcPr>
            <w:tcW w:w="2439" w:type="dxa"/>
            <w:tcBorders>
              <w:top w:val="single" w:color="auto" w:sz="4" w:space="0"/>
              <w:left w:val="single" w:color="auto" w:sz="4" w:space="0"/>
              <w:bottom w:val="single" w:color="auto" w:sz="4" w:space="0"/>
              <w:right w:val="single" w:color="auto" w:sz="4" w:space="0"/>
            </w:tcBorders>
            <w:vAlign w:val="center"/>
          </w:tcPr>
          <w:p w14:paraId="22598D8E">
            <w:pPr>
              <w:jc w:val="right"/>
              <w:rPr>
                <w:rFonts w:ascii="Calibri" w:hAnsi="Calibri"/>
                <w:sz w:val="20"/>
                <w:szCs w:val="20"/>
              </w:rPr>
            </w:pPr>
            <w:r>
              <w:rPr>
                <w:rFonts w:ascii="Calibri" w:hAnsi="Calibri"/>
                <w:sz w:val="20"/>
                <w:szCs w:val="20"/>
              </w:rPr>
              <w:t>1,799,810.87</w:t>
            </w:r>
          </w:p>
        </w:tc>
      </w:tr>
      <w:tr w14:paraId="0777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6665EB4D">
            <w:pPr>
              <w:pStyle w:val="48"/>
              <w:rPr>
                <w:sz w:val="20"/>
                <w:szCs w:val="20"/>
              </w:rPr>
            </w:pPr>
            <w:r>
              <w:rPr>
                <w:rFonts w:hint="eastAsia"/>
                <w:sz w:val="20"/>
                <w:szCs w:val="20"/>
              </w:rPr>
              <w:t>车辆运行及维护费</w:t>
            </w:r>
          </w:p>
        </w:tc>
        <w:tc>
          <w:tcPr>
            <w:tcW w:w="2604" w:type="dxa"/>
            <w:tcBorders>
              <w:top w:val="single" w:color="auto" w:sz="4" w:space="0"/>
              <w:left w:val="single" w:color="auto" w:sz="4" w:space="0"/>
              <w:bottom w:val="single" w:color="auto" w:sz="4" w:space="0"/>
              <w:right w:val="single" w:color="auto" w:sz="4" w:space="0"/>
            </w:tcBorders>
            <w:vAlign w:val="center"/>
          </w:tcPr>
          <w:p w14:paraId="063F738F">
            <w:pPr>
              <w:jc w:val="right"/>
              <w:rPr>
                <w:rFonts w:ascii="Calibri" w:hAnsi="Calibri"/>
                <w:sz w:val="20"/>
                <w:szCs w:val="20"/>
              </w:rPr>
            </w:pPr>
            <w:r>
              <w:rPr>
                <w:rFonts w:ascii="Calibri" w:hAnsi="Calibri"/>
                <w:sz w:val="20"/>
                <w:szCs w:val="20"/>
              </w:rPr>
              <w:t>2,021,451.46</w:t>
            </w:r>
          </w:p>
        </w:tc>
        <w:tc>
          <w:tcPr>
            <w:tcW w:w="2439" w:type="dxa"/>
            <w:tcBorders>
              <w:top w:val="single" w:color="auto" w:sz="4" w:space="0"/>
              <w:left w:val="single" w:color="auto" w:sz="4" w:space="0"/>
              <w:bottom w:val="single" w:color="auto" w:sz="4" w:space="0"/>
              <w:right w:val="single" w:color="auto" w:sz="4" w:space="0"/>
            </w:tcBorders>
            <w:vAlign w:val="center"/>
          </w:tcPr>
          <w:p w14:paraId="6F8EE4B5">
            <w:pPr>
              <w:jc w:val="right"/>
              <w:rPr>
                <w:rFonts w:ascii="Calibri" w:hAnsi="Calibri"/>
                <w:sz w:val="20"/>
                <w:szCs w:val="20"/>
              </w:rPr>
            </w:pPr>
            <w:r>
              <w:rPr>
                <w:rFonts w:ascii="Calibri" w:hAnsi="Calibri"/>
                <w:sz w:val="20"/>
                <w:szCs w:val="20"/>
              </w:rPr>
              <w:t>1,952,952.02</w:t>
            </w:r>
          </w:p>
        </w:tc>
      </w:tr>
      <w:tr w14:paraId="38CF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50B559DB">
            <w:pPr>
              <w:pStyle w:val="48"/>
              <w:rPr>
                <w:sz w:val="20"/>
                <w:szCs w:val="20"/>
              </w:rPr>
            </w:pPr>
            <w:r>
              <w:rPr>
                <w:rFonts w:hint="eastAsia"/>
                <w:sz w:val="20"/>
                <w:szCs w:val="20"/>
              </w:rPr>
              <w:t>邮电费</w:t>
            </w:r>
          </w:p>
        </w:tc>
        <w:tc>
          <w:tcPr>
            <w:tcW w:w="2604" w:type="dxa"/>
            <w:tcBorders>
              <w:top w:val="single" w:color="auto" w:sz="4" w:space="0"/>
              <w:left w:val="single" w:color="auto" w:sz="4" w:space="0"/>
              <w:bottom w:val="single" w:color="auto" w:sz="4" w:space="0"/>
              <w:right w:val="single" w:color="auto" w:sz="4" w:space="0"/>
            </w:tcBorders>
            <w:vAlign w:val="center"/>
          </w:tcPr>
          <w:p w14:paraId="17F30F84">
            <w:pPr>
              <w:jc w:val="right"/>
              <w:rPr>
                <w:rFonts w:ascii="Calibri" w:hAnsi="Calibri"/>
                <w:sz w:val="20"/>
                <w:szCs w:val="20"/>
              </w:rPr>
            </w:pPr>
            <w:r>
              <w:rPr>
                <w:rFonts w:ascii="Calibri" w:hAnsi="Calibri"/>
                <w:sz w:val="20"/>
                <w:szCs w:val="20"/>
              </w:rPr>
              <w:t>100,423.25</w:t>
            </w:r>
          </w:p>
        </w:tc>
        <w:tc>
          <w:tcPr>
            <w:tcW w:w="2439" w:type="dxa"/>
            <w:tcBorders>
              <w:top w:val="single" w:color="auto" w:sz="4" w:space="0"/>
              <w:left w:val="single" w:color="auto" w:sz="4" w:space="0"/>
              <w:bottom w:val="single" w:color="auto" w:sz="4" w:space="0"/>
              <w:right w:val="single" w:color="auto" w:sz="4" w:space="0"/>
            </w:tcBorders>
            <w:vAlign w:val="center"/>
          </w:tcPr>
          <w:p w14:paraId="2A406F89">
            <w:pPr>
              <w:jc w:val="right"/>
              <w:rPr>
                <w:rFonts w:ascii="Calibri" w:hAnsi="Calibri"/>
                <w:sz w:val="20"/>
                <w:szCs w:val="20"/>
              </w:rPr>
            </w:pPr>
            <w:r>
              <w:rPr>
                <w:rFonts w:ascii="Calibri" w:hAnsi="Calibri"/>
                <w:sz w:val="20"/>
                <w:szCs w:val="20"/>
              </w:rPr>
              <w:t>78,354.48</w:t>
            </w:r>
          </w:p>
        </w:tc>
      </w:tr>
      <w:tr w14:paraId="13E5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7E417D2C">
            <w:pPr>
              <w:pStyle w:val="48"/>
              <w:rPr>
                <w:sz w:val="20"/>
                <w:szCs w:val="20"/>
              </w:rPr>
            </w:pPr>
            <w:r>
              <w:rPr>
                <w:rFonts w:hint="eastAsia"/>
                <w:sz w:val="20"/>
                <w:szCs w:val="20"/>
              </w:rPr>
              <w:t>财产保险费</w:t>
            </w:r>
          </w:p>
        </w:tc>
        <w:tc>
          <w:tcPr>
            <w:tcW w:w="2604" w:type="dxa"/>
            <w:tcBorders>
              <w:top w:val="single" w:color="auto" w:sz="4" w:space="0"/>
              <w:left w:val="single" w:color="auto" w:sz="4" w:space="0"/>
              <w:bottom w:val="single" w:color="auto" w:sz="4" w:space="0"/>
              <w:right w:val="single" w:color="auto" w:sz="4" w:space="0"/>
            </w:tcBorders>
            <w:vAlign w:val="center"/>
          </w:tcPr>
          <w:p w14:paraId="7C074483">
            <w:pPr>
              <w:jc w:val="right"/>
              <w:rPr>
                <w:rFonts w:ascii="Calibri" w:hAnsi="Calibri"/>
                <w:sz w:val="20"/>
                <w:szCs w:val="20"/>
              </w:rPr>
            </w:pPr>
            <w:r>
              <w:rPr>
                <w:rFonts w:ascii="Calibri" w:hAnsi="Calibri"/>
                <w:sz w:val="20"/>
                <w:szCs w:val="20"/>
              </w:rPr>
              <w:t>38,149.64</w:t>
            </w:r>
          </w:p>
        </w:tc>
        <w:tc>
          <w:tcPr>
            <w:tcW w:w="2439" w:type="dxa"/>
            <w:tcBorders>
              <w:top w:val="single" w:color="auto" w:sz="4" w:space="0"/>
              <w:left w:val="single" w:color="auto" w:sz="4" w:space="0"/>
              <w:bottom w:val="single" w:color="auto" w:sz="4" w:space="0"/>
              <w:right w:val="single" w:color="auto" w:sz="4" w:space="0"/>
            </w:tcBorders>
            <w:vAlign w:val="center"/>
          </w:tcPr>
          <w:p w14:paraId="05D0E697">
            <w:pPr>
              <w:jc w:val="right"/>
              <w:rPr>
                <w:rFonts w:ascii="Calibri" w:hAnsi="Calibri"/>
                <w:sz w:val="20"/>
                <w:szCs w:val="20"/>
              </w:rPr>
            </w:pPr>
            <w:r>
              <w:rPr>
                <w:rFonts w:ascii="Calibri" w:hAnsi="Calibri"/>
                <w:sz w:val="20"/>
                <w:szCs w:val="20"/>
              </w:rPr>
              <w:t>356,843.19</w:t>
            </w:r>
          </w:p>
        </w:tc>
      </w:tr>
      <w:tr w14:paraId="64FD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35645BF4">
            <w:pPr>
              <w:pStyle w:val="48"/>
              <w:rPr>
                <w:sz w:val="20"/>
                <w:szCs w:val="20"/>
              </w:rPr>
            </w:pPr>
            <w:r>
              <w:rPr>
                <w:rFonts w:hint="eastAsia"/>
                <w:sz w:val="20"/>
                <w:szCs w:val="20"/>
              </w:rPr>
              <w:t>维修费</w:t>
            </w:r>
          </w:p>
        </w:tc>
        <w:tc>
          <w:tcPr>
            <w:tcW w:w="2604" w:type="dxa"/>
            <w:tcBorders>
              <w:top w:val="single" w:color="auto" w:sz="4" w:space="0"/>
              <w:left w:val="single" w:color="auto" w:sz="4" w:space="0"/>
              <w:bottom w:val="single" w:color="auto" w:sz="4" w:space="0"/>
              <w:right w:val="single" w:color="auto" w:sz="4" w:space="0"/>
            </w:tcBorders>
            <w:vAlign w:val="center"/>
          </w:tcPr>
          <w:p w14:paraId="6A2C85C4">
            <w:pPr>
              <w:jc w:val="right"/>
              <w:rPr>
                <w:rFonts w:ascii="Calibri" w:hAnsi="Calibri"/>
                <w:sz w:val="20"/>
                <w:szCs w:val="20"/>
              </w:rPr>
            </w:pPr>
            <w:r>
              <w:rPr>
                <w:rFonts w:ascii="Calibri" w:hAnsi="Calibri"/>
                <w:sz w:val="20"/>
                <w:szCs w:val="20"/>
              </w:rPr>
              <w:t>1,759,192.89</w:t>
            </w:r>
          </w:p>
        </w:tc>
        <w:tc>
          <w:tcPr>
            <w:tcW w:w="2439" w:type="dxa"/>
            <w:tcBorders>
              <w:top w:val="single" w:color="auto" w:sz="4" w:space="0"/>
              <w:left w:val="single" w:color="auto" w:sz="4" w:space="0"/>
              <w:bottom w:val="single" w:color="auto" w:sz="4" w:space="0"/>
              <w:right w:val="single" w:color="auto" w:sz="4" w:space="0"/>
            </w:tcBorders>
            <w:vAlign w:val="center"/>
          </w:tcPr>
          <w:p w14:paraId="2EC0DD90">
            <w:pPr>
              <w:jc w:val="right"/>
              <w:rPr>
                <w:rFonts w:ascii="Calibri" w:hAnsi="Calibri"/>
                <w:sz w:val="20"/>
                <w:szCs w:val="20"/>
              </w:rPr>
            </w:pPr>
            <w:r>
              <w:rPr>
                <w:rFonts w:ascii="Calibri" w:hAnsi="Calibri"/>
                <w:sz w:val="20"/>
                <w:szCs w:val="20"/>
              </w:rPr>
              <w:t>6,350,667.23</w:t>
            </w:r>
          </w:p>
        </w:tc>
      </w:tr>
      <w:tr w14:paraId="7A7D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13AE1F84">
            <w:pPr>
              <w:pStyle w:val="48"/>
              <w:rPr>
                <w:sz w:val="20"/>
                <w:szCs w:val="20"/>
              </w:rPr>
            </w:pPr>
            <w:r>
              <w:rPr>
                <w:rFonts w:hint="eastAsia"/>
                <w:sz w:val="20"/>
                <w:szCs w:val="20"/>
              </w:rPr>
              <w:t>进口代理费</w:t>
            </w:r>
          </w:p>
        </w:tc>
        <w:tc>
          <w:tcPr>
            <w:tcW w:w="2604" w:type="dxa"/>
            <w:tcBorders>
              <w:top w:val="single" w:color="auto" w:sz="4" w:space="0"/>
              <w:left w:val="single" w:color="auto" w:sz="4" w:space="0"/>
              <w:bottom w:val="single" w:color="auto" w:sz="4" w:space="0"/>
              <w:right w:val="single" w:color="auto" w:sz="4" w:space="0"/>
            </w:tcBorders>
            <w:vAlign w:val="center"/>
          </w:tcPr>
          <w:p w14:paraId="396DDD00">
            <w:pPr>
              <w:jc w:val="right"/>
              <w:rPr>
                <w:rFonts w:ascii="Calibri" w:hAnsi="Calibri"/>
                <w:sz w:val="20"/>
                <w:szCs w:val="20"/>
              </w:rPr>
            </w:pPr>
          </w:p>
        </w:tc>
        <w:tc>
          <w:tcPr>
            <w:tcW w:w="2439" w:type="dxa"/>
            <w:tcBorders>
              <w:top w:val="single" w:color="auto" w:sz="4" w:space="0"/>
              <w:left w:val="single" w:color="auto" w:sz="4" w:space="0"/>
              <w:bottom w:val="single" w:color="auto" w:sz="4" w:space="0"/>
              <w:right w:val="single" w:color="auto" w:sz="4" w:space="0"/>
            </w:tcBorders>
            <w:vAlign w:val="center"/>
          </w:tcPr>
          <w:p w14:paraId="7D2C6EBF">
            <w:pPr>
              <w:jc w:val="right"/>
              <w:rPr>
                <w:rFonts w:ascii="Calibri" w:hAnsi="Calibri"/>
                <w:sz w:val="20"/>
                <w:szCs w:val="20"/>
              </w:rPr>
            </w:pPr>
            <w:r>
              <w:rPr>
                <w:rFonts w:ascii="Calibri" w:hAnsi="Calibri"/>
                <w:sz w:val="20"/>
                <w:szCs w:val="20"/>
              </w:rPr>
              <w:t>2,425,605.88</w:t>
            </w:r>
          </w:p>
        </w:tc>
      </w:tr>
      <w:tr w14:paraId="572B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02C69FC3">
            <w:pPr>
              <w:pStyle w:val="48"/>
              <w:rPr>
                <w:sz w:val="20"/>
                <w:szCs w:val="20"/>
              </w:rPr>
            </w:pPr>
            <w:r>
              <w:rPr>
                <w:rFonts w:hint="eastAsia"/>
                <w:sz w:val="20"/>
                <w:szCs w:val="20"/>
              </w:rPr>
              <w:t>水利建设基金</w:t>
            </w:r>
          </w:p>
        </w:tc>
        <w:tc>
          <w:tcPr>
            <w:tcW w:w="2604" w:type="dxa"/>
            <w:tcBorders>
              <w:top w:val="single" w:color="auto" w:sz="4" w:space="0"/>
              <w:left w:val="single" w:color="auto" w:sz="4" w:space="0"/>
              <w:bottom w:val="single" w:color="auto" w:sz="4" w:space="0"/>
              <w:right w:val="single" w:color="auto" w:sz="4" w:space="0"/>
            </w:tcBorders>
            <w:vAlign w:val="center"/>
          </w:tcPr>
          <w:p w14:paraId="5EEDE5D7">
            <w:pPr>
              <w:jc w:val="right"/>
              <w:rPr>
                <w:rFonts w:ascii="Calibri" w:hAnsi="Calibri"/>
                <w:sz w:val="20"/>
                <w:szCs w:val="20"/>
              </w:rPr>
            </w:pPr>
            <w:r>
              <w:rPr>
                <w:rFonts w:ascii="Calibri" w:hAnsi="Calibri"/>
                <w:sz w:val="20"/>
                <w:szCs w:val="20"/>
              </w:rPr>
              <w:t>1,664,171.76</w:t>
            </w:r>
          </w:p>
        </w:tc>
        <w:tc>
          <w:tcPr>
            <w:tcW w:w="2439" w:type="dxa"/>
            <w:tcBorders>
              <w:top w:val="single" w:color="auto" w:sz="4" w:space="0"/>
              <w:left w:val="single" w:color="auto" w:sz="4" w:space="0"/>
              <w:bottom w:val="single" w:color="auto" w:sz="4" w:space="0"/>
              <w:right w:val="single" w:color="auto" w:sz="4" w:space="0"/>
            </w:tcBorders>
            <w:vAlign w:val="center"/>
          </w:tcPr>
          <w:p w14:paraId="71E4DB85">
            <w:pPr>
              <w:jc w:val="right"/>
              <w:rPr>
                <w:rFonts w:ascii="Calibri" w:hAnsi="Calibri"/>
                <w:sz w:val="20"/>
                <w:szCs w:val="20"/>
              </w:rPr>
            </w:pPr>
            <w:r>
              <w:rPr>
                <w:rFonts w:ascii="Calibri" w:hAnsi="Calibri"/>
                <w:sz w:val="20"/>
                <w:szCs w:val="20"/>
              </w:rPr>
              <w:t>1,233,037.54</w:t>
            </w:r>
          </w:p>
        </w:tc>
      </w:tr>
      <w:tr w14:paraId="61CB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29C566C1">
            <w:pPr>
              <w:pStyle w:val="48"/>
              <w:rPr>
                <w:sz w:val="20"/>
                <w:szCs w:val="20"/>
              </w:rPr>
            </w:pPr>
            <w:r>
              <w:rPr>
                <w:rFonts w:hint="eastAsia"/>
                <w:sz w:val="20"/>
                <w:szCs w:val="20"/>
              </w:rPr>
              <w:t>中介机构服务费（法律、财务、人事等）</w:t>
            </w:r>
          </w:p>
        </w:tc>
        <w:tc>
          <w:tcPr>
            <w:tcW w:w="2604" w:type="dxa"/>
            <w:tcBorders>
              <w:top w:val="single" w:color="auto" w:sz="4" w:space="0"/>
              <w:left w:val="single" w:color="auto" w:sz="4" w:space="0"/>
              <w:bottom w:val="single" w:color="auto" w:sz="4" w:space="0"/>
              <w:right w:val="single" w:color="auto" w:sz="4" w:space="0"/>
            </w:tcBorders>
            <w:vAlign w:val="center"/>
          </w:tcPr>
          <w:p w14:paraId="270A94EC">
            <w:pPr>
              <w:jc w:val="right"/>
              <w:rPr>
                <w:rFonts w:ascii="Calibri" w:hAnsi="Calibri"/>
                <w:sz w:val="20"/>
                <w:szCs w:val="20"/>
              </w:rPr>
            </w:pPr>
            <w:r>
              <w:rPr>
                <w:rFonts w:ascii="Calibri" w:hAnsi="Calibri"/>
                <w:sz w:val="20"/>
                <w:szCs w:val="20"/>
              </w:rPr>
              <w:t>11,695,883.65</w:t>
            </w:r>
          </w:p>
        </w:tc>
        <w:tc>
          <w:tcPr>
            <w:tcW w:w="2439" w:type="dxa"/>
            <w:tcBorders>
              <w:top w:val="single" w:color="auto" w:sz="4" w:space="0"/>
              <w:left w:val="single" w:color="auto" w:sz="4" w:space="0"/>
              <w:bottom w:val="single" w:color="auto" w:sz="4" w:space="0"/>
              <w:right w:val="single" w:color="auto" w:sz="4" w:space="0"/>
            </w:tcBorders>
            <w:vAlign w:val="center"/>
          </w:tcPr>
          <w:p w14:paraId="20CA9E0F">
            <w:pPr>
              <w:jc w:val="right"/>
              <w:rPr>
                <w:rFonts w:ascii="Calibri" w:hAnsi="Calibri"/>
                <w:sz w:val="20"/>
                <w:szCs w:val="20"/>
              </w:rPr>
            </w:pPr>
            <w:r>
              <w:rPr>
                <w:rFonts w:ascii="Calibri" w:hAnsi="Calibri"/>
                <w:sz w:val="20"/>
                <w:szCs w:val="20"/>
              </w:rPr>
              <w:t>10,072,542.41</w:t>
            </w:r>
          </w:p>
        </w:tc>
      </w:tr>
      <w:tr w14:paraId="50F8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618C6FBD">
            <w:pPr>
              <w:pStyle w:val="48"/>
              <w:rPr>
                <w:sz w:val="20"/>
                <w:szCs w:val="20"/>
              </w:rPr>
            </w:pPr>
            <w:r>
              <w:rPr>
                <w:rFonts w:hint="eastAsia"/>
                <w:sz w:val="20"/>
                <w:szCs w:val="20"/>
              </w:rPr>
              <w:t>咨询费</w:t>
            </w:r>
          </w:p>
        </w:tc>
        <w:tc>
          <w:tcPr>
            <w:tcW w:w="2604" w:type="dxa"/>
            <w:tcBorders>
              <w:top w:val="single" w:color="auto" w:sz="4" w:space="0"/>
              <w:left w:val="single" w:color="auto" w:sz="4" w:space="0"/>
              <w:bottom w:val="single" w:color="auto" w:sz="4" w:space="0"/>
              <w:right w:val="single" w:color="auto" w:sz="4" w:space="0"/>
            </w:tcBorders>
            <w:vAlign w:val="center"/>
          </w:tcPr>
          <w:p w14:paraId="7238E750">
            <w:pPr>
              <w:jc w:val="right"/>
              <w:rPr>
                <w:rFonts w:ascii="Calibri" w:hAnsi="Calibri"/>
                <w:sz w:val="20"/>
                <w:szCs w:val="20"/>
              </w:rPr>
            </w:pPr>
            <w:r>
              <w:rPr>
                <w:rFonts w:ascii="Calibri" w:hAnsi="Calibri"/>
                <w:sz w:val="20"/>
                <w:szCs w:val="20"/>
              </w:rPr>
              <w:t>1,281,593.72</w:t>
            </w:r>
          </w:p>
        </w:tc>
        <w:tc>
          <w:tcPr>
            <w:tcW w:w="2439" w:type="dxa"/>
            <w:tcBorders>
              <w:top w:val="single" w:color="auto" w:sz="4" w:space="0"/>
              <w:left w:val="single" w:color="auto" w:sz="4" w:space="0"/>
              <w:bottom w:val="single" w:color="auto" w:sz="4" w:space="0"/>
              <w:right w:val="single" w:color="auto" w:sz="4" w:space="0"/>
            </w:tcBorders>
            <w:vAlign w:val="center"/>
          </w:tcPr>
          <w:p w14:paraId="0343B168">
            <w:pPr>
              <w:jc w:val="right"/>
              <w:rPr>
                <w:rFonts w:ascii="Calibri" w:hAnsi="Calibri"/>
                <w:sz w:val="20"/>
                <w:szCs w:val="20"/>
              </w:rPr>
            </w:pPr>
            <w:r>
              <w:rPr>
                <w:rFonts w:ascii="Calibri" w:hAnsi="Calibri"/>
                <w:sz w:val="20"/>
                <w:szCs w:val="20"/>
              </w:rPr>
              <w:t>2,316,093.33</w:t>
            </w:r>
          </w:p>
        </w:tc>
      </w:tr>
      <w:tr w14:paraId="1184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2DC40139">
            <w:pPr>
              <w:pStyle w:val="48"/>
              <w:rPr>
                <w:sz w:val="20"/>
                <w:szCs w:val="20"/>
              </w:rPr>
            </w:pPr>
            <w:r>
              <w:rPr>
                <w:rFonts w:hint="eastAsia"/>
                <w:sz w:val="20"/>
                <w:szCs w:val="20"/>
              </w:rPr>
              <w:t>物料消耗</w:t>
            </w:r>
          </w:p>
        </w:tc>
        <w:tc>
          <w:tcPr>
            <w:tcW w:w="2604" w:type="dxa"/>
            <w:tcBorders>
              <w:top w:val="single" w:color="auto" w:sz="4" w:space="0"/>
              <w:left w:val="single" w:color="auto" w:sz="4" w:space="0"/>
              <w:bottom w:val="single" w:color="auto" w:sz="4" w:space="0"/>
              <w:right w:val="single" w:color="auto" w:sz="4" w:space="0"/>
            </w:tcBorders>
            <w:vAlign w:val="center"/>
          </w:tcPr>
          <w:p w14:paraId="2217F890">
            <w:pPr>
              <w:jc w:val="right"/>
              <w:rPr>
                <w:rFonts w:ascii="Calibri" w:hAnsi="Calibri"/>
                <w:sz w:val="20"/>
                <w:szCs w:val="20"/>
              </w:rPr>
            </w:pPr>
            <w:r>
              <w:rPr>
                <w:rFonts w:ascii="Calibri" w:hAnsi="Calibri"/>
                <w:sz w:val="20"/>
                <w:szCs w:val="20"/>
              </w:rPr>
              <w:t>398.23</w:t>
            </w:r>
          </w:p>
        </w:tc>
        <w:tc>
          <w:tcPr>
            <w:tcW w:w="2439" w:type="dxa"/>
            <w:tcBorders>
              <w:top w:val="single" w:color="auto" w:sz="4" w:space="0"/>
              <w:left w:val="single" w:color="auto" w:sz="4" w:space="0"/>
              <w:bottom w:val="single" w:color="auto" w:sz="4" w:space="0"/>
              <w:right w:val="single" w:color="auto" w:sz="4" w:space="0"/>
            </w:tcBorders>
            <w:vAlign w:val="center"/>
          </w:tcPr>
          <w:p w14:paraId="495CF73D">
            <w:pPr>
              <w:jc w:val="right"/>
              <w:rPr>
                <w:rFonts w:ascii="Calibri" w:hAnsi="Calibri"/>
                <w:sz w:val="20"/>
                <w:szCs w:val="20"/>
              </w:rPr>
            </w:pPr>
            <w:r>
              <w:rPr>
                <w:rFonts w:ascii="Calibri" w:hAnsi="Calibri"/>
                <w:sz w:val="20"/>
                <w:szCs w:val="20"/>
              </w:rPr>
              <w:t>517,046.08</w:t>
            </w:r>
          </w:p>
        </w:tc>
      </w:tr>
      <w:tr w14:paraId="088A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54CB338A">
            <w:pPr>
              <w:pStyle w:val="48"/>
              <w:rPr>
                <w:sz w:val="20"/>
                <w:szCs w:val="20"/>
              </w:rPr>
            </w:pPr>
            <w:r>
              <w:rPr>
                <w:rFonts w:hint="eastAsia"/>
                <w:sz w:val="20"/>
                <w:szCs w:val="20"/>
              </w:rPr>
              <w:t>股份支付</w:t>
            </w:r>
          </w:p>
        </w:tc>
        <w:tc>
          <w:tcPr>
            <w:tcW w:w="2604" w:type="dxa"/>
            <w:tcBorders>
              <w:top w:val="single" w:color="auto" w:sz="4" w:space="0"/>
              <w:left w:val="single" w:color="auto" w:sz="4" w:space="0"/>
              <w:bottom w:val="single" w:color="auto" w:sz="4" w:space="0"/>
              <w:right w:val="single" w:color="auto" w:sz="4" w:space="0"/>
            </w:tcBorders>
            <w:vAlign w:val="center"/>
          </w:tcPr>
          <w:p w14:paraId="1D1D785A">
            <w:pPr>
              <w:jc w:val="right"/>
              <w:rPr>
                <w:rFonts w:ascii="Calibri" w:hAnsi="Calibri"/>
                <w:sz w:val="20"/>
                <w:szCs w:val="20"/>
              </w:rPr>
            </w:pPr>
            <w:r>
              <w:rPr>
                <w:rFonts w:ascii="Calibri" w:hAnsi="Calibri"/>
                <w:sz w:val="20"/>
                <w:szCs w:val="20"/>
              </w:rPr>
              <w:t>5,574,000.00</w:t>
            </w:r>
          </w:p>
        </w:tc>
        <w:tc>
          <w:tcPr>
            <w:tcW w:w="2439" w:type="dxa"/>
            <w:tcBorders>
              <w:top w:val="single" w:color="auto" w:sz="4" w:space="0"/>
              <w:left w:val="single" w:color="auto" w:sz="4" w:space="0"/>
              <w:bottom w:val="single" w:color="auto" w:sz="4" w:space="0"/>
              <w:right w:val="single" w:color="auto" w:sz="4" w:space="0"/>
            </w:tcBorders>
            <w:vAlign w:val="center"/>
          </w:tcPr>
          <w:p w14:paraId="2F4C5DCD">
            <w:pPr>
              <w:jc w:val="right"/>
              <w:rPr>
                <w:rFonts w:ascii="Calibri" w:hAnsi="Calibri"/>
                <w:sz w:val="20"/>
                <w:szCs w:val="20"/>
              </w:rPr>
            </w:pPr>
          </w:p>
        </w:tc>
      </w:tr>
      <w:tr w14:paraId="7100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tcPr>
          <w:p w14:paraId="1CA17DBC">
            <w:pPr>
              <w:pStyle w:val="48"/>
              <w:rPr>
                <w:sz w:val="20"/>
                <w:szCs w:val="20"/>
              </w:rPr>
            </w:pPr>
            <w:r>
              <w:rPr>
                <w:rFonts w:hint="eastAsia"/>
                <w:sz w:val="20"/>
                <w:szCs w:val="20"/>
              </w:rPr>
              <w:t>其他费用</w:t>
            </w:r>
          </w:p>
        </w:tc>
        <w:tc>
          <w:tcPr>
            <w:tcW w:w="2604" w:type="dxa"/>
            <w:tcBorders>
              <w:top w:val="single" w:color="auto" w:sz="4" w:space="0"/>
              <w:left w:val="single" w:color="auto" w:sz="4" w:space="0"/>
              <w:bottom w:val="single" w:color="auto" w:sz="4" w:space="0"/>
              <w:right w:val="single" w:color="auto" w:sz="4" w:space="0"/>
            </w:tcBorders>
            <w:vAlign w:val="center"/>
          </w:tcPr>
          <w:p w14:paraId="1CA9EF61">
            <w:pPr>
              <w:jc w:val="right"/>
              <w:rPr>
                <w:rFonts w:ascii="Calibri" w:hAnsi="Calibri"/>
                <w:sz w:val="20"/>
                <w:szCs w:val="20"/>
              </w:rPr>
            </w:pPr>
            <w:r>
              <w:rPr>
                <w:rFonts w:ascii="Calibri" w:hAnsi="Calibri"/>
                <w:sz w:val="20"/>
                <w:szCs w:val="20"/>
              </w:rPr>
              <w:t>31,983,621.11</w:t>
            </w:r>
          </w:p>
        </w:tc>
        <w:tc>
          <w:tcPr>
            <w:tcW w:w="2439" w:type="dxa"/>
            <w:tcBorders>
              <w:top w:val="single" w:color="auto" w:sz="4" w:space="0"/>
              <w:left w:val="single" w:color="auto" w:sz="4" w:space="0"/>
              <w:bottom w:val="single" w:color="auto" w:sz="4" w:space="0"/>
              <w:right w:val="single" w:color="auto" w:sz="4" w:space="0"/>
            </w:tcBorders>
            <w:vAlign w:val="center"/>
          </w:tcPr>
          <w:p w14:paraId="481E13A4">
            <w:pPr>
              <w:jc w:val="right"/>
              <w:rPr>
                <w:rFonts w:ascii="Calibri" w:hAnsi="Calibri"/>
                <w:sz w:val="20"/>
                <w:szCs w:val="20"/>
              </w:rPr>
            </w:pPr>
            <w:r>
              <w:rPr>
                <w:rFonts w:ascii="Calibri" w:hAnsi="Calibri"/>
                <w:sz w:val="20"/>
                <w:szCs w:val="20"/>
              </w:rPr>
              <w:t>20,232,540.91</w:t>
            </w:r>
          </w:p>
        </w:tc>
      </w:tr>
      <w:tr w14:paraId="77B4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3DD17D31">
            <w:pPr>
              <w:jc w:val="center"/>
              <w:rPr>
                <w:rFonts w:ascii="Calibri" w:hAnsi="Calibri"/>
                <w:sz w:val="20"/>
                <w:szCs w:val="20"/>
              </w:rPr>
            </w:pPr>
            <w:r>
              <w:rPr>
                <w:rFonts w:hint="eastAsia" w:ascii="Calibri" w:hAnsi="Calibri"/>
                <w:sz w:val="20"/>
                <w:szCs w:val="20"/>
              </w:rPr>
              <w:t>合计</w:t>
            </w:r>
          </w:p>
        </w:tc>
        <w:tc>
          <w:tcPr>
            <w:tcW w:w="2604" w:type="dxa"/>
            <w:tcBorders>
              <w:top w:val="single" w:color="auto" w:sz="4" w:space="0"/>
              <w:left w:val="single" w:color="auto" w:sz="4" w:space="0"/>
              <w:bottom w:val="single" w:color="auto" w:sz="4" w:space="0"/>
              <w:right w:val="single" w:color="auto" w:sz="4" w:space="0"/>
            </w:tcBorders>
            <w:vAlign w:val="center"/>
          </w:tcPr>
          <w:p w14:paraId="01F33AB8">
            <w:pPr>
              <w:jc w:val="right"/>
              <w:rPr>
                <w:rFonts w:ascii="Calibri" w:hAnsi="Calibri"/>
                <w:sz w:val="20"/>
                <w:szCs w:val="20"/>
              </w:rPr>
            </w:pPr>
            <w:r>
              <w:rPr>
                <w:rFonts w:ascii="Calibri" w:hAnsi="Calibri"/>
                <w:sz w:val="20"/>
                <w:szCs w:val="20"/>
              </w:rPr>
              <w:t>180,884,327.64</w:t>
            </w:r>
          </w:p>
        </w:tc>
        <w:tc>
          <w:tcPr>
            <w:tcW w:w="2439" w:type="dxa"/>
            <w:tcBorders>
              <w:top w:val="single" w:color="auto" w:sz="4" w:space="0"/>
              <w:left w:val="single" w:color="auto" w:sz="4" w:space="0"/>
              <w:bottom w:val="single" w:color="auto" w:sz="4" w:space="0"/>
              <w:right w:val="single" w:color="auto" w:sz="4" w:space="0"/>
            </w:tcBorders>
            <w:vAlign w:val="center"/>
          </w:tcPr>
          <w:p w14:paraId="39A8AC2D">
            <w:pPr>
              <w:jc w:val="right"/>
              <w:rPr>
                <w:rFonts w:ascii="Calibri" w:hAnsi="Calibri"/>
                <w:sz w:val="20"/>
                <w:szCs w:val="20"/>
              </w:rPr>
            </w:pPr>
            <w:r>
              <w:rPr>
                <w:rFonts w:ascii="Calibri" w:hAnsi="Calibri"/>
                <w:sz w:val="20"/>
                <w:szCs w:val="20"/>
              </w:rPr>
              <w:t>182,626,722.10</w:t>
            </w:r>
          </w:p>
        </w:tc>
      </w:tr>
    </w:tbl>
    <w:p w14:paraId="57CA738D"/>
    <w:p w14:paraId="5221A401">
      <w:pPr>
        <w:pStyle w:val="48"/>
      </w:pPr>
      <w:r>
        <w:rPr>
          <w:rFonts w:hint="eastAsia"/>
        </w:rPr>
        <w:t>其他说明：</w:t>
      </w:r>
    </w:p>
    <w:sdt>
      <w:sdtPr>
        <w:alias w:val="管理费用的其他说明事项"/>
        <w:tag w:val="_GBC_9b151103b3714e6c9261d3362f24bd0a"/>
        <w:id w:val="-1878300967"/>
        <w:placeholder>
          <w:docPart w:val="GBC22222222222222222222222222222"/>
        </w:placeholder>
      </w:sdtPr>
      <w:sdtContent>
        <w:p w14:paraId="5F23392D">
          <w:pPr>
            <w:pStyle w:val="48"/>
          </w:pPr>
          <w:r>
            <w:rPr>
              <w:rFonts w:hint="eastAsia"/>
            </w:rPr>
            <w:t>主要系报告期折旧费用及维修费用较同期减少所致。</w:t>
          </w:r>
        </w:p>
      </w:sdtContent>
    </w:sdt>
    <w:p w14:paraId="4DB04901">
      <w:pPr>
        <w:pStyle w:val="48"/>
      </w:pPr>
    </w:p>
    <w:p w14:paraId="03ECB728">
      <w:pPr>
        <w:pStyle w:val="4"/>
        <w:numPr>
          <w:ilvl w:val="0"/>
          <w:numId w:val="61"/>
        </w:numPr>
        <w:rPr>
          <w:szCs w:val="21"/>
        </w:rPr>
      </w:pPr>
      <w:r>
        <w:rPr>
          <w:szCs w:val="21"/>
        </w:rPr>
        <w:t>研发费用</w:t>
      </w:r>
    </w:p>
    <w:sdt>
      <w:sdtPr>
        <w:alias w:val="是否适用：研发费用[双击切换]"/>
        <w:tag w:val="_GBC_9898510b9c0a486f9cd9779f4b72b75c"/>
        <w:id w:val="-288351032"/>
        <w:placeholder>
          <w:docPart w:val="GBC22222222222222222222222222222"/>
        </w:placeholder>
      </w:sdtPr>
      <w:sdtContent>
        <w:p w14:paraId="15DBB1C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832A15E">
      <w:pPr>
        <w:pStyle w:val="30"/>
        <w:ind w:left="420" w:firstLine="0" w:firstLineChars="0"/>
        <w:jc w:val="right"/>
        <w:rPr>
          <w:szCs w:val="21"/>
        </w:rPr>
      </w:pPr>
      <w:r>
        <w:rPr>
          <w:rFonts w:hint="eastAsia"/>
          <w:szCs w:val="21"/>
        </w:rPr>
        <w:t>单位：</w:t>
      </w:r>
      <w:sdt>
        <w:sdtPr>
          <w:rPr>
            <w:rFonts w:hint="eastAsia"/>
            <w:szCs w:val="21"/>
          </w:rPr>
          <w:alias w:val="单位：研发费用"/>
          <w:tag w:val="_GBC_f2389528805243908680cac1cbf74aac"/>
          <w:id w:val="19341701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研发费用"/>
          <w:tag w:val="_GBC_fd53f958c2294dce9fb017f8207a7ff4"/>
          <w:id w:val="8107566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5"/>
        <w:gridCol w:w="2604"/>
        <w:gridCol w:w="2439"/>
      </w:tblGrid>
      <w:tr w14:paraId="5C93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70c22a459f7a4323bcf2b066e0398aee"/>
            <w:id w:val="-1405225315"/>
          </w:sdtPr>
          <w:sdtContent>
            <w:tc>
              <w:tcPr>
                <w:tcW w:w="4005" w:type="dxa"/>
                <w:tcBorders>
                  <w:top w:val="single" w:color="auto" w:sz="4" w:space="0"/>
                  <w:left w:val="single" w:color="auto" w:sz="4" w:space="0"/>
                  <w:bottom w:val="single" w:color="auto" w:sz="4" w:space="0"/>
                  <w:right w:val="single" w:color="auto" w:sz="4" w:space="0"/>
                </w:tcBorders>
                <w:vAlign w:val="center"/>
              </w:tcPr>
              <w:p w14:paraId="103CFCB5">
                <w:pPr>
                  <w:jc w:val="center"/>
                  <w:rPr>
                    <w:rFonts w:ascii="Calibri" w:hAnsi="Calibri"/>
                    <w:sz w:val="20"/>
                    <w:szCs w:val="20"/>
                  </w:rPr>
                </w:pPr>
                <w:r>
                  <w:rPr>
                    <w:rFonts w:hint="eastAsia" w:ascii="Calibri" w:hAnsi="Calibri"/>
                    <w:sz w:val="20"/>
                    <w:szCs w:val="20"/>
                  </w:rPr>
                  <w:t>项目</w:t>
                </w:r>
              </w:p>
            </w:tc>
          </w:sdtContent>
        </w:sdt>
        <w:sdt>
          <w:sdtPr>
            <w:tag w:val="_PLD_76c559fcf2df4f56bfb2994739826eb3"/>
            <w:id w:val="1174377706"/>
          </w:sdtPr>
          <w:sdtContent>
            <w:tc>
              <w:tcPr>
                <w:tcW w:w="2604" w:type="dxa"/>
                <w:tcBorders>
                  <w:top w:val="single" w:color="auto" w:sz="4" w:space="0"/>
                  <w:left w:val="single" w:color="auto" w:sz="4" w:space="0"/>
                  <w:bottom w:val="single" w:color="auto" w:sz="4" w:space="0"/>
                  <w:right w:val="single" w:color="auto" w:sz="4" w:space="0"/>
                </w:tcBorders>
                <w:vAlign w:val="center"/>
              </w:tcPr>
              <w:p w14:paraId="6BDACA52">
                <w:pPr>
                  <w:jc w:val="center"/>
                  <w:rPr>
                    <w:rFonts w:ascii="Calibri" w:hAnsi="Calibri"/>
                    <w:sz w:val="20"/>
                    <w:szCs w:val="20"/>
                  </w:rPr>
                </w:pPr>
                <w:r>
                  <w:rPr>
                    <w:rFonts w:hint="eastAsia" w:ascii="Calibri" w:hAnsi="Calibri"/>
                    <w:sz w:val="20"/>
                    <w:szCs w:val="20"/>
                  </w:rPr>
                  <w:t>本期发生额</w:t>
                </w:r>
              </w:p>
            </w:tc>
          </w:sdtContent>
        </w:sdt>
        <w:sdt>
          <w:sdtPr>
            <w:tag w:val="_PLD_ec7e9f373a83410d886ebef444573eb8"/>
            <w:id w:val="709996128"/>
          </w:sdtPr>
          <w:sdtContent>
            <w:tc>
              <w:tcPr>
                <w:tcW w:w="2439" w:type="dxa"/>
                <w:tcBorders>
                  <w:top w:val="single" w:color="auto" w:sz="4" w:space="0"/>
                  <w:left w:val="single" w:color="auto" w:sz="4" w:space="0"/>
                  <w:bottom w:val="single" w:color="auto" w:sz="4" w:space="0"/>
                  <w:right w:val="single" w:color="auto" w:sz="4" w:space="0"/>
                </w:tcBorders>
                <w:vAlign w:val="center"/>
              </w:tcPr>
              <w:p w14:paraId="2EC31E7F">
                <w:pPr>
                  <w:jc w:val="center"/>
                  <w:rPr>
                    <w:rFonts w:ascii="Calibri" w:hAnsi="Calibri"/>
                    <w:sz w:val="20"/>
                    <w:szCs w:val="20"/>
                  </w:rPr>
                </w:pPr>
                <w:r>
                  <w:rPr>
                    <w:rFonts w:hint="eastAsia" w:ascii="Calibri" w:hAnsi="Calibri"/>
                    <w:sz w:val="20"/>
                    <w:szCs w:val="20"/>
                  </w:rPr>
                  <w:t>上期发生额</w:t>
                </w:r>
              </w:p>
            </w:tc>
          </w:sdtContent>
        </w:sdt>
      </w:tr>
      <w:tr w14:paraId="7080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427C1200">
            <w:pPr>
              <w:pStyle w:val="48"/>
              <w:rPr>
                <w:sz w:val="20"/>
                <w:szCs w:val="20"/>
              </w:rPr>
            </w:pPr>
            <w:r>
              <w:rPr>
                <w:sz w:val="20"/>
                <w:szCs w:val="20"/>
              </w:rPr>
              <w:t>职工薪酬</w:t>
            </w:r>
          </w:p>
        </w:tc>
        <w:tc>
          <w:tcPr>
            <w:tcW w:w="2604" w:type="dxa"/>
            <w:tcBorders>
              <w:top w:val="single" w:color="auto" w:sz="4" w:space="0"/>
              <w:left w:val="single" w:color="auto" w:sz="4" w:space="0"/>
              <w:bottom w:val="single" w:color="auto" w:sz="4" w:space="0"/>
              <w:right w:val="single" w:color="auto" w:sz="4" w:space="0"/>
            </w:tcBorders>
            <w:vAlign w:val="center"/>
          </w:tcPr>
          <w:p w14:paraId="21B28742">
            <w:pPr>
              <w:jc w:val="right"/>
              <w:rPr>
                <w:rFonts w:ascii="Calibri" w:hAnsi="Calibri"/>
                <w:sz w:val="20"/>
                <w:szCs w:val="20"/>
              </w:rPr>
            </w:pPr>
            <w:r>
              <w:rPr>
                <w:rFonts w:ascii="Calibri" w:hAnsi="Calibri"/>
                <w:sz w:val="20"/>
                <w:szCs w:val="20"/>
              </w:rPr>
              <w:t>30,381,407.17</w:t>
            </w:r>
          </w:p>
        </w:tc>
        <w:tc>
          <w:tcPr>
            <w:tcW w:w="2439" w:type="dxa"/>
            <w:tcBorders>
              <w:top w:val="single" w:color="auto" w:sz="4" w:space="0"/>
              <w:left w:val="single" w:color="auto" w:sz="4" w:space="0"/>
              <w:bottom w:val="single" w:color="auto" w:sz="4" w:space="0"/>
              <w:right w:val="single" w:color="auto" w:sz="4" w:space="0"/>
            </w:tcBorders>
            <w:vAlign w:val="center"/>
          </w:tcPr>
          <w:p w14:paraId="1391E631">
            <w:pPr>
              <w:jc w:val="right"/>
              <w:rPr>
                <w:rFonts w:ascii="Calibri" w:hAnsi="Calibri"/>
                <w:sz w:val="20"/>
                <w:szCs w:val="20"/>
              </w:rPr>
            </w:pPr>
            <w:r>
              <w:rPr>
                <w:rFonts w:ascii="Calibri" w:hAnsi="Calibri"/>
                <w:sz w:val="20"/>
                <w:szCs w:val="20"/>
              </w:rPr>
              <w:t>10,910,880.32</w:t>
            </w:r>
          </w:p>
        </w:tc>
      </w:tr>
      <w:tr w14:paraId="7353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1FDA09C5">
            <w:pPr>
              <w:pStyle w:val="48"/>
              <w:rPr>
                <w:sz w:val="20"/>
                <w:szCs w:val="20"/>
              </w:rPr>
            </w:pPr>
            <w:r>
              <w:rPr>
                <w:sz w:val="20"/>
                <w:szCs w:val="20"/>
              </w:rPr>
              <w:t>固定资产折旧</w:t>
            </w:r>
          </w:p>
        </w:tc>
        <w:tc>
          <w:tcPr>
            <w:tcW w:w="2604" w:type="dxa"/>
            <w:tcBorders>
              <w:top w:val="single" w:color="auto" w:sz="4" w:space="0"/>
              <w:left w:val="single" w:color="auto" w:sz="4" w:space="0"/>
              <w:bottom w:val="single" w:color="auto" w:sz="4" w:space="0"/>
              <w:right w:val="single" w:color="auto" w:sz="4" w:space="0"/>
            </w:tcBorders>
            <w:vAlign w:val="center"/>
          </w:tcPr>
          <w:p w14:paraId="4226854A">
            <w:pPr>
              <w:jc w:val="right"/>
              <w:rPr>
                <w:rFonts w:ascii="Calibri" w:hAnsi="Calibri"/>
                <w:sz w:val="20"/>
                <w:szCs w:val="20"/>
              </w:rPr>
            </w:pPr>
            <w:r>
              <w:rPr>
                <w:rFonts w:ascii="Calibri" w:hAnsi="Calibri"/>
                <w:sz w:val="20"/>
                <w:szCs w:val="20"/>
              </w:rPr>
              <w:t>10,732,511.92</w:t>
            </w:r>
          </w:p>
        </w:tc>
        <w:tc>
          <w:tcPr>
            <w:tcW w:w="2439" w:type="dxa"/>
            <w:tcBorders>
              <w:top w:val="single" w:color="auto" w:sz="4" w:space="0"/>
              <w:left w:val="single" w:color="auto" w:sz="4" w:space="0"/>
              <w:bottom w:val="single" w:color="auto" w:sz="4" w:space="0"/>
              <w:right w:val="single" w:color="auto" w:sz="4" w:space="0"/>
            </w:tcBorders>
            <w:vAlign w:val="center"/>
          </w:tcPr>
          <w:p w14:paraId="44AF539A">
            <w:pPr>
              <w:jc w:val="right"/>
              <w:rPr>
                <w:rFonts w:ascii="Calibri" w:hAnsi="Calibri"/>
                <w:sz w:val="20"/>
                <w:szCs w:val="20"/>
              </w:rPr>
            </w:pPr>
            <w:r>
              <w:rPr>
                <w:rFonts w:ascii="Calibri" w:hAnsi="Calibri"/>
                <w:sz w:val="20"/>
                <w:szCs w:val="20"/>
              </w:rPr>
              <w:t>6,221,530.30</w:t>
            </w:r>
          </w:p>
        </w:tc>
      </w:tr>
      <w:tr w14:paraId="2547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05ED3C4F">
            <w:pPr>
              <w:pStyle w:val="48"/>
              <w:rPr>
                <w:sz w:val="20"/>
                <w:szCs w:val="20"/>
              </w:rPr>
            </w:pPr>
            <w:r>
              <w:rPr>
                <w:sz w:val="20"/>
                <w:szCs w:val="20"/>
              </w:rPr>
              <w:t>直接投入</w:t>
            </w:r>
          </w:p>
        </w:tc>
        <w:tc>
          <w:tcPr>
            <w:tcW w:w="2604" w:type="dxa"/>
            <w:tcBorders>
              <w:top w:val="single" w:color="auto" w:sz="4" w:space="0"/>
              <w:left w:val="single" w:color="auto" w:sz="4" w:space="0"/>
              <w:bottom w:val="single" w:color="auto" w:sz="4" w:space="0"/>
              <w:right w:val="single" w:color="auto" w:sz="4" w:space="0"/>
            </w:tcBorders>
            <w:vAlign w:val="center"/>
          </w:tcPr>
          <w:p w14:paraId="7FF3E8E1">
            <w:pPr>
              <w:jc w:val="right"/>
              <w:rPr>
                <w:rFonts w:ascii="Calibri" w:hAnsi="Calibri"/>
                <w:sz w:val="20"/>
                <w:szCs w:val="20"/>
              </w:rPr>
            </w:pPr>
            <w:r>
              <w:rPr>
                <w:rFonts w:ascii="Calibri" w:hAnsi="Calibri"/>
                <w:sz w:val="20"/>
                <w:szCs w:val="20"/>
              </w:rPr>
              <w:t>68,408,463.20</w:t>
            </w:r>
          </w:p>
        </w:tc>
        <w:tc>
          <w:tcPr>
            <w:tcW w:w="2439" w:type="dxa"/>
            <w:tcBorders>
              <w:top w:val="single" w:color="auto" w:sz="4" w:space="0"/>
              <w:left w:val="single" w:color="auto" w:sz="4" w:space="0"/>
              <w:bottom w:val="single" w:color="auto" w:sz="4" w:space="0"/>
              <w:right w:val="single" w:color="auto" w:sz="4" w:space="0"/>
            </w:tcBorders>
            <w:vAlign w:val="center"/>
          </w:tcPr>
          <w:p w14:paraId="33E5A948">
            <w:pPr>
              <w:jc w:val="right"/>
              <w:rPr>
                <w:rFonts w:ascii="Calibri" w:hAnsi="Calibri"/>
                <w:sz w:val="20"/>
                <w:szCs w:val="20"/>
              </w:rPr>
            </w:pPr>
            <w:r>
              <w:rPr>
                <w:rFonts w:ascii="Calibri" w:hAnsi="Calibri"/>
                <w:sz w:val="20"/>
                <w:szCs w:val="20"/>
              </w:rPr>
              <w:t>33,166,997.42</w:t>
            </w:r>
          </w:p>
        </w:tc>
      </w:tr>
      <w:tr w14:paraId="5CE0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7A5D0060">
            <w:pPr>
              <w:pStyle w:val="48"/>
              <w:rPr>
                <w:sz w:val="20"/>
                <w:szCs w:val="20"/>
              </w:rPr>
            </w:pPr>
            <w:r>
              <w:rPr>
                <w:sz w:val="20"/>
                <w:szCs w:val="20"/>
              </w:rPr>
              <w:t>无形资产摊销</w:t>
            </w:r>
          </w:p>
        </w:tc>
        <w:tc>
          <w:tcPr>
            <w:tcW w:w="2604" w:type="dxa"/>
            <w:tcBorders>
              <w:top w:val="single" w:color="auto" w:sz="4" w:space="0"/>
              <w:left w:val="single" w:color="auto" w:sz="4" w:space="0"/>
              <w:bottom w:val="single" w:color="auto" w:sz="4" w:space="0"/>
              <w:right w:val="single" w:color="auto" w:sz="4" w:space="0"/>
            </w:tcBorders>
            <w:vAlign w:val="center"/>
          </w:tcPr>
          <w:p w14:paraId="3DB194D8">
            <w:pPr>
              <w:jc w:val="right"/>
              <w:rPr>
                <w:rFonts w:ascii="Calibri" w:hAnsi="Calibri"/>
                <w:sz w:val="20"/>
                <w:szCs w:val="20"/>
              </w:rPr>
            </w:pPr>
            <w:r>
              <w:rPr>
                <w:rFonts w:ascii="Calibri" w:hAnsi="Calibri"/>
                <w:sz w:val="20"/>
                <w:szCs w:val="20"/>
              </w:rPr>
              <w:t>51,536,454.55</w:t>
            </w:r>
          </w:p>
        </w:tc>
        <w:tc>
          <w:tcPr>
            <w:tcW w:w="2439" w:type="dxa"/>
            <w:tcBorders>
              <w:top w:val="single" w:color="auto" w:sz="4" w:space="0"/>
              <w:left w:val="single" w:color="auto" w:sz="4" w:space="0"/>
              <w:bottom w:val="single" w:color="auto" w:sz="4" w:space="0"/>
              <w:right w:val="single" w:color="auto" w:sz="4" w:space="0"/>
            </w:tcBorders>
            <w:vAlign w:val="center"/>
          </w:tcPr>
          <w:p w14:paraId="78F61716">
            <w:pPr>
              <w:jc w:val="right"/>
              <w:rPr>
                <w:rFonts w:ascii="Calibri" w:hAnsi="Calibri"/>
                <w:sz w:val="20"/>
                <w:szCs w:val="20"/>
              </w:rPr>
            </w:pPr>
            <w:r>
              <w:rPr>
                <w:rFonts w:ascii="Calibri" w:hAnsi="Calibri"/>
                <w:sz w:val="20"/>
                <w:szCs w:val="20"/>
              </w:rPr>
              <w:t>51,152,997.97</w:t>
            </w:r>
          </w:p>
        </w:tc>
      </w:tr>
      <w:tr w14:paraId="1C35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6AD7D7EC">
            <w:pPr>
              <w:pStyle w:val="48"/>
              <w:rPr>
                <w:sz w:val="20"/>
                <w:szCs w:val="20"/>
              </w:rPr>
            </w:pPr>
            <w:r>
              <w:rPr>
                <w:sz w:val="20"/>
                <w:szCs w:val="20"/>
              </w:rPr>
              <w:t>委托外部费用</w:t>
            </w:r>
          </w:p>
        </w:tc>
        <w:tc>
          <w:tcPr>
            <w:tcW w:w="2604" w:type="dxa"/>
            <w:tcBorders>
              <w:top w:val="single" w:color="auto" w:sz="4" w:space="0"/>
              <w:left w:val="single" w:color="auto" w:sz="4" w:space="0"/>
              <w:bottom w:val="single" w:color="auto" w:sz="4" w:space="0"/>
              <w:right w:val="single" w:color="auto" w:sz="4" w:space="0"/>
            </w:tcBorders>
            <w:vAlign w:val="center"/>
          </w:tcPr>
          <w:p w14:paraId="5FDFEE20">
            <w:pPr>
              <w:jc w:val="right"/>
              <w:rPr>
                <w:rFonts w:ascii="Calibri" w:hAnsi="Calibri"/>
                <w:sz w:val="20"/>
                <w:szCs w:val="20"/>
              </w:rPr>
            </w:pPr>
            <w:r>
              <w:rPr>
                <w:rFonts w:ascii="Calibri" w:hAnsi="Calibri"/>
                <w:sz w:val="20"/>
                <w:szCs w:val="20"/>
              </w:rPr>
              <w:t>3,854,490.63</w:t>
            </w:r>
          </w:p>
        </w:tc>
        <w:tc>
          <w:tcPr>
            <w:tcW w:w="2439" w:type="dxa"/>
            <w:tcBorders>
              <w:top w:val="single" w:color="auto" w:sz="4" w:space="0"/>
              <w:left w:val="single" w:color="auto" w:sz="4" w:space="0"/>
              <w:bottom w:val="single" w:color="auto" w:sz="4" w:space="0"/>
              <w:right w:val="single" w:color="auto" w:sz="4" w:space="0"/>
            </w:tcBorders>
            <w:vAlign w:val="center"/>
          </w:tcPr>
          <w:p w14:paraId="26C7C831">
            <w:pPr>
              <w:jc w:val="right"/>
              <w:rPr>
                <w:rFonts w:ascii="Calibri" w:hAnsi="Calibri"/>
                <w:sz w:val="20"/>
                <w:szCs w:val="20"/>
              </w:rPr>
            </w:pPr>
            <w:r>
              <w:rPr>
                <w:rFonts w:ascii="Calibri" w:hAnsi="Calibri"/>
                <w:sz w:val="20"/>
                <w:szCs w:val="20"/>
              </w:rPr>
              <w:t>-4,230,000.00</w:t>
            </w:r>
          </w:p>
        </w:tc>
      </w:tr>
      <w:tr w14:paraId="1DC9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6F3AE707">
            <w:pPr>
              <w:pStyle w:val="48"/>
              <w:rPr>
                <w:sz w:val="20"/>
                <w:szCs w:val="20"/>
              </w:rPr>
            </w:pPr>
            <w:r>
              <w:rPr>
                <w:sz w:val="20"/>
                <w:szCs w:val="20"/>
              </w:rPr>
              <w:t>其他</w:t>
            </w:r>
          </w:p>
        </w:tc>
        <w:tc>
          <w:tcPr>
            <w:tcW w:w="2604" w:type="dxa"/>
            <w:tcBorders>
              <w:top w:val="single" w:color="auto" w:sz="4" w:space="0"/>
              <w:left w:val="single" w:color="auto" w:sz="4" w:space="0"/>
              <w:bottom w:val="single" w:color="auto" w:sz="4" w:space="0"/>
              <w:right w:val="single" w:color="auto" w:sz="4" w:space="0"/>
            </w:tcBorders>
            <w:vAlign w:val="center"/>
          </w:tcPr>
          <w:p w14:paraId="52742944">
            <w:pPr>
              <w:jc w:val="right"/>
              <w:rPr>
                <w:rFonts w:ascii="Calibri" w:hAnsi="Calibri"/>
                <w:sz w:val="20"/>
                <w:szCs w:val="20"/>
              </w:rPr>
            </w:pPr>
            <w:r>
              <w:rPr>
                <w:rFonts w:ascii="Calibri" w:hAnsi="Calibri"/>
                <w:sz w:val="20"/>
                <w:szCs w:val="20"/>
              </w:rPr>
              <w:t>2,208,697.16</w:t>
            </w:r>
          </w:p>
        </w:tc>
        <w:tc>
          <w:tcPr>
            <w:tcW w:w="2439" w:type="dxa"/>
            <w:tcBorders>
              <w:top w:val="single" w:color="auto" w:sz="4" w:space="0"/>
              <w:left w:val="single" w:color="auto" w:sz="4" w:space="0"/>
              <w:bottom w:val="single" w:color="auto" w:sz="4" w:space="0"/>
              <w:right w:val="single" w:color="auto" w:sz="4" w:space="0"/>
            </w:tcBorders>
            <w:vAlign w:val="center"/>
          </w:tcPr>
          <w:p w14:paraId="3161B370">
            <w:pPr>
              <w:jc w:val="right"/>
              <w:rPr>
                <w:rFonts w:ascii="Calibri" w:hAnsi="Calibri"/>
                <w:sz w:val="20"/>
                <w:szCs w:val="20"/>
              </w:rPr>
            </w:pPr>
            <w:r>
              <w:rPr>
                <w:rFonts w:ascii="Calibri" w:hAnsi="Calibri"/>
                <w:sz w:val="20"/>
                <w:szCs w:val="20"/>
              </w:rPr>
              <w:t>2,082,540.77</w:t>
            </w:r>
          </w:p>
        </w:tc>
      </w:tr>
      <w:tr w14:paraId="02FD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31BA0F7B">
            <w:pPr>
              <w:jc w:val="center"/>
              <w:rPr>
                <w:rFonts w:ascii="Calibri" w:hAnsi="Calibri"/>
                <w:sz w:val="20"/>
                <w:szCs w:val="20"/>
              </w:rPr>
            </w:pPr>
            <w:r>
              <w:rPr>
                <w:rFonts w:hint="eastAsia" w:ascii="Calibri" w:hAnsi="Calibri"/>
                <w:sz w:val="20"/>
                <w:szCs w:val="20"/>
              </w:rPr>
              <w:t>合计</w:t>
            </w:r>
          </w:p>
        </w:tc>
        <w:tc>
          <w:tcPr>
            <w:tcW w:w="2604" w:type="dxa"/>
            <w:tcBorders>
              <w:top w:val="single" w:color="auto" w:sz="4" w:space="0"/>
              <w:left w:val="single" w:color="auto" w:sz="4" w:space="0"/>
              <w:bottom w:val="single" w:color="auto" w:sz="4" w:space="0"/>
              <w:right w:val="single" w:color="auto" w:sz="4" w:space="0"/>
            </w:tcBorders>
            <w:vAlign w:val="center"/>
          </w:tcPr>
          <w:p w14:paraId="356AE450">
            <w:pPr>
              <w:jc w:val="right"/>
              <w:rPr>
                <w:rFonts w:ascii="Calibri" w:hAnsi="Calibri"/>
                <w:sz w:val="20"/>
                <w:szCs w:val="20"/>
              </w:rPr>
            </w:pPr>
            <w:r>
              <w:rPr>
                <w:rFonts w:ascii="Calibri" w:hAnsi="Calibri"/>
                <w:sz w:val="20"/>
                <w:szCs w:val="20"/>
              </w:rPr>
              <w:t>167,122,024.63</w:t>
            </w:r>
          </w:p>
        </w:tc>
        <w:tc>
          <w:tcPr>
            <w:tcW w:w="2439" w:type="dxa"/>
            <w:tcBorders>
              <w:top w:val="single" w:color="auto" w:sz="4" w:space="0"/>
              <w:left w:val="single" w:color="auto" w:sz="4" w:space="0"/>
              <w:bottom w:val="single" w:color="auto" w:sz="4" w:space="0"/>
              <w:right w:val="single" w:color="auto" w:sz="4" w:space="0"/>
            </w:tcBorders>
            <w:vAlign w:val="center"/>
          </w:tcPr>
          <w:p w14:paraId="27C7C281">
            <w:pPr>
              <w:jc w:val="right"/>
              <w:rPr>
                <w:rFonts w:ascii="Calibri" w:hAnsi="Calibri"/>
                <w:sz w:val="20"/>
                <w:szCs w:val="20"/>
              </w:rPr>
            </w:pPr>
            <w:r>
              <w:rPr>
                <w:rFonts w:ascii="Calibri" w:hAnsi="Calibri"/>
                <w:sz w:val="20"/>
                <w:szCs w:val="20"/>
              </w:rPr>
              <w:t>99,304,946.78</w:t>
            </w:r>
          </w:p>
        </w:tc>
      </w:tr>
    </w:tbl>
    <w:p w14:paraId="0A4BB5DD"/>
    <w:p w14:paraId="3F058267">
      <w:pPr>
        <w:pStyle w:val="48"/>
      </w:pPr>
      <w:r>
        <w:rPr>
          <w:rFonts w:hint="eastAsia"/>
        </w:rPr>
        <w:t>其他说明：</w:t>
      </w:r>
    </w:p>
    <w:sdt>
      <w:sdtPr>
        <w:alias w:val="研发费用其他说明"/>
        <w:tag w:val="_GBC_da0db64d68d44b2fa6262eeadfe7c926"/>
        <w:id w:val="-1558930479"/>
        <w:placeholder>
          <w:docPart w:val="GBC22222222222222222222222222222"/>
        </w:placeholder>
      </w:sdtPr>
      <w:sdtContent>
        <w:p w14:paraId="2395D7AF">
          <w:pPr>
            <w:pStyle w:val="48"/>
          </w:pPr>
          <w:r>
            <w:rPr>
              <w:rFonts w:hint="eastAsia"/>
            </w:rPr>
            <w:t>主要系报告期母公司及子公司上海隆棵药业有限公司费用化投入较同期增加所致。</w:t>
          </w:r>
        </w:p>
      </w:sdtContent>
    </w:sdt>
    <w:p w14:paraId="59535357">
      <w:pPr>
        <w:pStyle w:val="48"/>
      </w:pPr>
    </w:p>
    <w:bookmarkEnd w:id="356"/>
    <w:bookmarkEnd w:id="357"/>
    <w:p w14:paraId="5611D4E0">
      <w:pPr>
        <w:pStyle w:val="4"/>
        <w:numPr>
          <w:ilvl w:val="0"/>
          <w:numId w:val="61"/>
        </w:numPr>
        <w:rPr>
          <w:szCs w:val="21"/>
        </w:rPr>
      </w:pPr>
      <w:r>
        <w:rPr>
          <w:szCs w:val="21"/>
        </w:rPr>
        <w:t>财务费用</w:t>
      </w:r>
    </w:p>
    <w:sdt>
      <w:sdtPr>
        <w:alias w:val="是否适用：财务费用[双击切换]"/>
        <w:tag w:val="_GBC_7e467c6faebc402ab141f588df31680d"/>
        <w:id w:val="181178331"/>
        <w:placeholder>
          <w:docPart w:val="GBC22222222222222222222222222222"/>
        </w:placeholder>
      </w:sdtPr>
      <w:sdtContent>
        <w:p w14:paraId="173B1B85">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D268A7">
      <w:pPr>
        <w:jc w:val="right"/>
      </w:pPr>
      <w:r>
        <w:rPr>
          <w:rFonts w:hint="eastAsia"/>
        </w:rPr>
        <w:t>单位：</w:t>
      </w:r>
      <w:sdt>
        <w:sdtPr>
          <w:rPr>
            <w:rFonts w:hint="eastAsia"/>
          </w:rPr>
          <w:alias w:val="单位：财务费用"/>
          <w:tag w:val="_GBC_adcf988d29cd43aba011ce1310eac264"/>
          <w:id w:val="5000094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费用"/>
          <w:tag w:val="_GBC_f6066e571d54449daf358ae3037f9712"/>
          <w:id w:val="-11825072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5"/>
        <w:gridCol w:w="2604"/>
        <w:gridCol w:w="2439"/>
      </w:tblGrid>
      <w:tr w14:paraId="7750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977e87dd3f474489b24bbaed00293d"/>
            <w:id w:val="-2018763307"/>
          </w:sdtPr>
          <w:sdtContent>
            <w:tc>
              <w:tcPr>
                <w:tcW w:w="4005" w:type="dxa"/>
                <w:tcBorders>
                  <w:top w:val="single" w:color="auto" w:sz="4" w:space="0"/>
                  <w:left w:val="single" w:color="auto" w:sz="4" w:space="0"/>
                  <w:bottom w:val="single" w:color="auto" w:sz="4" w:space="0"/>
                  <w:right w:val="single" w:color="auto" w:sz="4" w:space="0"/>
                </w:tcBorders>
                <w:vAlign w:val="center"/>
              </w:tcPr>
              <w:p w14:paraId="086FA2B6">
                <w:pPr>
                  <w:jc w:val="center"/>
                  <w:rPr>
                    <w:rFonts w:ascii="Calibri" w:hAnsi="Calibri"/>
                    <w:sz w:val="20"/>
                    <w:szCs w:val="20"/>
                  </w:rPr>
                </w:pPr>
                <w:r>
                  <w:rPr>
                    <w:rFonts w:hint="eastAsia" w:ascii="Calibri" w:hAnsi="Calibri"/>
                    <w:sz w:val="20"/>
                    <w:szCs w:val="20"/>
                  </w:rPr>
                  <w:t>项目</w:t>
                </w:r>
              </w:p>
            </w:tc>
          </w:sdtContent>
        </w:sdt>
        <w:sdt>
          <w:sdtPr>
            <w:tag w:val="_PLD_f64aa2e290ce4904a39347c56117acb7"/>
            <w:id w:val="-1246025177"/>
          </w:sdtPr>
          <w:sdtContent>
            <w:tc>
              <w:tcPr>
                <w:tcW w:w="2604" w:type="dxa"/>
                <w:tcBorders>
                  <w:top w:val="single" w:color="auto" w:sz="4" w:space="0"/>
                  <w:left w:val="single" w:color="auto" w:sz="4" w:space="0"/>
                  <w:bottom w:val="single" w:color="auto" w:sz="4" w:space="0"/>
                  <w:right w:val="single" w:color="auto" w:sz="4" w:space="0"/>
                </w:tcBorders>
                <w:vAlign w:val="center"/>
              </w:tcPr>
              <w:p w14:paraId="6119CE84">
                <w:pPr>
                  <w:jc w:val="center"/>
                  <w:rPr>
                    <w:rFonts w:ascii="Calibri" w:hAnsi="Calibri"/>
                    <w:sz w:val="20"/>
                    <w:szCs w:val="20"/>
                  </w:rPr>
                </w:pPr>
                <w:r>
                  <w:rPr>
                    <w:rFonts w:hint="eastAsia" w:ascii="Calibri" w:hAnsi="Calibri"/>
                    <w:sz w:val="20"/>
                    <w:szCs w:val="20"/>
                  </w:rPr>
                  <w:t>本期发生额</w:t>
                </w:r>
              </w:p>
            </w:tc>
          </w:sdtContent>
        </w:sdt>
        <w:sdt>
          <w:sdtPr>
            <w:tag w:val="_PLD_178c78585f7e495ebd86923cb8c24338"/>
            <w:id w:val="1719547977"/>
          </w:sdtPr>
          <w:sdtContent>
            <w:tc>
              <w:tcPr>
                <w:tcW w:w="2439" w:type="dxa"/>
                <w:tcBorders>
                  <w:top w:val="single" w:color="auto" w:sz="4" w:space="0"/>
                  <w:left w:val="single" w:color="auto" w:sz="4" w:space="0"/>
                  <w:bottom w:val="single" w:color="auto" w:sz="4" w:space="0"/>
                  <w:right w:val="single" w:color="auto" w:sz="4" w:space="0"/>
                </w:tcBorders>
                <w:vAlign w:val="center"/>
              </w:tcPr>
              <w:p w14:paraId="40ED1279">
                <w:pPr>
                  <w:jc w:val="center"/>
                  <w:rPr>
                    <w:rFonts w:ascii="Calibri" w:hAnsi="Calibri"/>
                    <w:sz w:val="20"/>
                    <w:szCs w:val="20"/>
                  </w:rPr>
                </w:pPr>
                <w:r>
                  <w:rPr>
                    <w:rFonts w:hint="eastAsia" w:ascii="Calibri" w:hAnsi="Calibri"/>
                    <w:sz w:val="20"/>
                    <w:szCs w:val="20"/>
                  </w:rPr>
                  <w:t>上期发生额</w:t>
                </w:r>
              </w:p>
            </w:tc>
          </w:sdtContent>
        </w:sdt>
      </w:tr>
      <w:tr w14:paraId="1ADC3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0EC8950D">
            <w:pPr>
              <w:pStyle w:val="48"/>
              <w:rPr>
                <w:sz w:val="20"/>
                <w:szCs w:val="20"/>
              </w:rPr>
            </w:pPr>
            <w:r>
              <w:rPr>
                <w:sz w:val="20"/>
                <w:szCs w:val="20"/>
              </w:rPr>
              <w:t>利息支出</w:t>
            </w:r>
          </w:p>
        </w:tc>
        <w:tc>
          <w:tcPr>
            <w:tcW w:w="2604" w:type="dxa"/>
            <w:tcBorders>
              <w:top w:val="single" w:color="auto" w:sz="4" w:space="0"/>
              <w:left w:val="single" w:color="auto" w:sz="4" w:space="0"/>
              <w:bottom w:val="single" w:color="auto" w:sz="4" w:space="0"/>
              <w:right w:val="single" w:color="auto" w:sz="4" w:space="0"/>
            </w:tcBorders>
            <w:vAlign w:val="center"/>
          </w:tcPr>
          <w:p w14:paraId="3A56D8B2">
            <w:pPr>
              <w:jc w:val="right"/>
              <w:rPr>
                <w:rFonts w:ascii="Calibri" w:hAnsi="Calibri"/>
                <w:sz w:val="20"/>
                <w:szCs w:val="20"/>
              </w:rPr>
            </w:pPr>
            <w:r>
              <w:rPr>
                <w:rFonts w:ascii="Calibri" w:hAnsi="Calibri"/>
                <w:sz w:val="20"/>
                <w:szCs w:val="20"/>
              </w:rPr>
              <w:t>21,813,576.53</w:t>
            </w:r>
          </w:p>
        </w:tc>
        <w:tc>
          <w:tcPr>
            <w:tcW w:w="2439" w:type="dxa"/>
            <w:tcBorders>
              <w:top w:val="single" w:color="auto" w:sz="4" w:space="0"/>
              <w:left w:val="single" w:color="auto" w:sz="4" w:space="0"/>
              <w:bottom w:val="single" w:color="auto" w:sz="4" w:space="0"/>
              <w:right w:val="single" w:color="auto" w:sz="4" w:space="0"/>
            </w:tcBorders>
            <w:vAlign w:val="center"/>
          </w:tcPr>
          <w:p w14:paraId="2F650E07">
            <w:pPr>
              <w:jc w:val="right"/>
              <w:rPr>
                <w:rFonts w:ascii="Calibri" w:hAnsi="Calibri"/>
                <w:sz w:val="20"/>
                <w:szCs w:val="20"/>
              </w:rPr>
            </w:pPr>
            <w:r>
              <w:rPr>
                <w:rFonts w:ascii="Calibri" w:hAnsi="Calibri"/>
                <w:sz w:val="20"/>
                <w:szCs w:val="20"/>
              </w:rPr>
              <w:t>14,381,591.49</w:t>
            </w:r>
          </w:p>
        </w:tc>
      </w:tr>
      <w:tr w14:paraId="0CDB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688182E3">
            <w:pPr>
              <w:pStyle w:val="48"/>
              <w:rPr>
                <w:sz w:val="20"/>
                <w:szCs w:val="20"/>
              </w:rPr>
            </w:pPr>
            <w:r>
              <w:rPr>
                <w:sz w:val="20"/>
                <w:szCs w:val="20"/>
              </w:rPr>
              <w:t>财政贴息</w:t>
            </w:r>
          </w:p>
        </w:tc>
        <w:tc>
          <w:tcPr>
            <w:tcW w:w="2604" w:type="dxa"/>
            <w:tcBorders>
              <w:top w:val="single" w:color="auto" w:sz="4" w:space="0"/>
              <w:left w:val="single" w:color="auto" w:sz="4" w:space="0"/>
              <w:bottom w:val="single" w:color="auto" w:sz="4" w:space="0"/>
              <w:right w:val="single" w:color="auto" w:sz="4" w:space="0"/>
            </w:tcBorders>
            <w:vAlign w:val="center"/>
          </w:tcPr>
          <w:p w14:paraId="0382A9B2">
            <w:pPr>
              <w:jc w:val="right"/>
              <w:rPr>
                <w:rFonts w:ascii="Calibri" w:hAnsi="Calibri"/>
                <w:sz w:val="20"/>
                <w:szCs w:val="20"/>
              </w:rPr>
            </w:pPr>
          </w:p>
        </w:tc>
        <w:tc>
          <w:tcPr>
            <w:tcW w:w="2439" w:type="dxa"/>
            <w:tcBorders>
              <w:top w:val="single" w:color="auto" w:sz="4" w:space="0"/>
              <w:left w:val="single" w:color="auto" w:sz="4" w:space="0"/>
              <w:bottom w:val="single" w:color="auto" w:sz="4" w:space="0"/>
              <w:right w:val="single" w:color="auto" w:sz="4" w:space="0"/>
            </w:tcBorders>
            <w:vAlign w:val="center"/>
          </w:tcPr>
          <w:p w14:paraId="7DD4DCED">
            <w:pPr>
              <w:jc w:val="right"/>
              <w:rPr>
                <w:rFonts w:ascii="Calibri" w:hAnsi="Calibri"/>
                <w:sz w:val="20"/>
                <w:szCs w:val="20"/>
              </w:rPr>
            </w:pPr>
            <w:r>
              <w:rPr>
                <w:rFonts w:ascii="Calibri" w:hAnsi="Calibri"/>
                <w:sz w:val="20"/>
                <w:szCs w:val="20"/>
              </w:rPr>
              <w:t>-479,250.00</w:t>
            </w:r>
          </w:p>
        </w:tc>
      </w:tr>
      <w:tr w14:paraId="69E1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3805F089">
            <w:pPr>
              <w:pStyle w:val="48"/>
              <w:rPr>
                <w:sz w:val="20"/>
                <w:szCs w:val="20"/>
              </w:rPr>
            </w:pPr>
            <w:r>
              <w:rPr>
                <w:sz w:val="20"/>
                <w:szCs w:val="20"/>
              </w:rPr>
              <w:t>减：利息收入</w:t>
            </w:r>
          </w:p>
        </w:tc>
        <w:tc>
          <w:tcPr>
            <w:tcW w:w="2604" w:type="dxa"/>
            <w:tcBorders>
              <w:top w:val="single" w:color="auto" w:sz="4" w:space="0"/>
              <w:left w:val="single" w:color="auto" w:sz="4" w:space="0"/>
              <w:bottom w:val="single" w:color="auto" w:sz="4" w:space="0"/>
              <w:right w:val="single" w:color="auto" w:sz="4" w:space="0"/>
            </w:tcBorders>
            <w:vAlign w:val="center"/>
          </w:tcPr>
          <w:p w14:paraId="767D8CC1">
            <w:pPr>
              <w:jc w:val="right"/>
              <w:rPr>
                <w:rFonts w:ascii="Calibri" w:hAnsi="Calibri"/>
                <w:sz w:val="20"/>
                <w:szCs w:val="20"/>
              </w:rPr>
            </w:pPr>
            <w:r>
              <w:rPr>
                <w:rFonts w:ascii="Calibri" w:hAnsi="Calibri"/>
                <w:sz w:val="20"/>
                <w:szCs w:val="20"/>
              </w:rPr>
              <w:t>3,907,249.81</w:t>
            </w:r>
          </w:p>
        </w:tc>
        <w:tc>
          <w:tcPr>
            <w:tcW w:w="2439" w:type="dxa"/>
            <w:tcBorders>
              <w:top w:val="single" w:color="auto" w:sz="4" w:space="0"/>
              <w:left w:val="single" w:color="auto" w:sz="4" w:space="0"/>
              <w:bottom w:val="single" w:color="auto" w:sz="4" w:space="0"/>
              <w:right w:val="single" w:color="auto" w:sz="4" w:space="0"/>
            </w:tcBorders>
            <w:vAlign w:val="center"/>
          </w:tcPr>
          <w:p w14:paraId="5D6C0D2F">
            <w:pPr>
              <w:jc w:val="right"/>
              <w:rPr>
                <w:rFonts w:ascii="Calibri" w:hAnsi="Calibri"/>
                <w:sz w:val="20"/>
                <w:szCs w:val="20"/>
              </w:rPr>
            </w:pPr>
            <w:r>
              <w:rPr>
                <w:rFonts w:ascii="Calibri" w:hAnsi="Calibri"/>
                <w:sz w:val="20"/>
                <w:szCs w:val="20"/>
              </w:rPr>
              <w:t>7,927,356.82</w:t>
            </w:r>
          </w:p>
        </w:tc>
      </w:tr>
      <w:tr w14:paraId="15D9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0218F8C1">
            <w:pPr>
              <w:pStyle w:val="48"/>
              <w:rPr>
                <w:sz w:val="20"/>
                <w:szCs w:val="20"/>
              </w:rPr>
            </w:pPr>
            <w:r>
              <w:rPr>
                <w:sz w:val="20"/>
                <w:szCs w:val="20"/>
              </w:rPr>
              <w:t>手续费</w:t>
            </w:r>
          </w:p>
        </w:tc>
        <w:tc>
          <w:tcPr>
            <w:tcW w:w="2604" w:type="dxa"/>
            <w:tcBorders>
              <w:top w:val="single" w:color="auto" w:sz="4" w:space="0"/>
              <w:left w:val="single" w:color="auto" w:sz="4" w:space="0"/>
              <w:bottom w:val="single" w:color="auto" w:sz="4" w:space="0"/>
              <w:right w:val="single" w:color="auto" w:sz="4" w:space="0"/>
            </w:tcBorders>
            <w:vAlign w:val="center"/>
          </w:tcPr>
          <w:p w14:paraId="046A233A">
            <w:pPr>
              <w:jc w:val="right"/>
              <w:rPr>
                <w:rFonts w:ascii="Calibri" w:hAnsi="Calibri"/>
                <w:sz w:val="20"/>
                <w:szCs w:val="20"/>
              </w:rPr>
            </w:pPr>
            <w:r>
              <w:rPr>
                <w:rFonts w:ascii="Calibri" w:hAnsi="Calibri"/>
                <w:sz w:val="20"/>
                <w:szCs w:val="20"/>
              </w:rPr>
              <w:t>211,881.08</w:t>
            </w:r>
          </w:p>
        </w:tc>
        <w:tc>
          <w:tcPr>
            <w:tcW w:w="2439" w:type="dxa"/>
            <w:tcBorders>
              <w:top w:val="single" w:color="auto" w:sz="4" w:space="0"/>
              <w:left w:val="single" w:color="auto" w:sz="4" w:space="0"/>
              <w:bottom w:val="single" w:color="auto" w:sz="4" w:space="0"/>
              <w:right w:val="single" w:color="auto" w:sz="4" w:space="0"/>
            </w:tcBorders>
            <w:vAlign w:val="center"/>
          </w:tcPr>
          <w:p w14:paraId="3DE39B2C">
            <w:pPr>
              <w:jc w:val="right"/>
              <w:rPr>
                <w:rFonts w:ascii="Calibri" w:hAnsi="Calibri"/>
                <w:sz w:val="20"/>
                <w:szCs w:val="20"/>
              </w:rPr>
            </w:pPr>
            <w:r>
              <w:rPr>
                <w:rFonts w:ascii="Calibri" w:hAnsi="Calibri"/>
                <w:sz w:val="20"/>
                <w:szCs w:val="20"/>
              </w:rPr>
              <w:t>963,125.66</w:t>
            </w:r>
          </w:p>
        </w:tc>
      </w:tr>
      <w:tr w14:paraId="0879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39AF4496">
            <w:pPr>
              <w:pStyle w:val="48"/>
              <w:rPr>
                <w:sz w:val="20"/>
                <w:szCs w:val="20"/>
              </w:rPr>
            </w:pPr>
            <w:r>
              <w:rPr>
                <w:sz w:val="20"/>
                <w:szCs w:val="20"/>
              </w:rPr>
              <w:t>汇兑损失</w:t>
            </w:r>
          </w:p>
        </w:tc>
        <w:tc>
          <w:tcPr>
            <w:tcW w:w="2604" w:type="dxa"/>
            <w:tcBorders>
              <w:top w:val="single" w:color="auto" w:sz="4" w:space="0"/>
              <w:left w:val="single" w:color="auto" w:sz="4" w:space="0"/>
              <w:bottom w:val="single" w:color="auto" w:sz="4" w:space="0"/>
              <w:right w:val="single" w:color="auto" w:sz="4" w:space="0"/>
            </w:tcBorders>
            <w:vAlign w:val="center"/>
          </w:tcPr>
          <w:p w14:paraId="65179624">
            <w:pPr>
              <w:jc w:val="right"/>
              <w:rPr>
                <w:rFonts w:ascii="Calibri" w:hAnsi="Calibri"/>
                <w:sz w:val="20"/>
                <w:szCs w:val="20"/>
              </w:rPr>
            </w:pPr>
            <w:r>
              <w:rPr>
                <w:rFonts w:ascii="Calibri" w:hAnsi="Calibri"/>
                <w:sz w:val="20"/>
                <w:szCs w:val="20"/>
              </w:rPr>
              <w:t>625,240.43</w:t>
            </w:r>
          </w:p>
        </w:tc>
        <w:tc>
          <w:tcPr>
            <w:tcW w:w="2439" w:type="dxa"/>
            <w:tcBorders>
              <w:top w:val="single" w:color="auto" w:sz="4" w:space="0"/>
              <w:left w:val="single" w:color="auto" w:sz="4" w:space="0"/>
              <w:bottom w:val="single" w:color="auto" w:sz="4" w:space="0"/>
              <w:right w:val="single" w:color="auto" w:sz="4" w:space="0"/>
            </w:tcBorders>
            <w:vAlign w:val="center"/>
          </w:tcPr>
          <w:p w14:paraId="0E77C151">
            <w:pPr>
              <w:jc w:val="right"/>
              <w:rPr>
                <w:rFonts w:ascii="Calibri" w:hAnsi="Calibri"/>
                <w:sz w:val="20"/>
                <w:szCs w:val="20"/>
              </w:rPr>
            </w:pPr>
            <w:r>
              <w:rPr>
                <w:rFonts w:ascii="Calibri" w:hAnsi="Calibri"/>
                <w:sz w:val="20"/>
                <w:szCs w:val="20"/>
              </w:rPr>
              <w:t>-698,407.25</w:t>
            </w:r>
          </w:p>
        </w:tc>
      </w:tr>
      <w:tr w14:paraId="04BD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6D7910C8">
            <w:pPr>
              <w:jc w:val="center"/>
              <w:rPr>
                <w:rFonts w:ascii="Calibri" w:hAnsi="Calibri"/>
                <w:sz w:val="20"/>
                <w:szCs w:val="20"/>
              </w:rPr>
            </w:pPr>
            <w:r>
              <w:rPr>
                <w:rFonts w:hint="eastAsia" w:ascii="Calibri" w:hAnsi="Calibri"/>
                <w:sz w:val="20"/>
                <w:szCs w:val="20"/>
              </w:rPr>
              <w:t>合计</w:t>
            </w:r>
          </w:p>
        </w:tc>
        <w:tc>
          <w:tcPr>
            <w:tcW w:w="2604" w:type="dxa"/>
            <w:tcBorders>
              <w:top w:val="single" w:color="auto" w:sz="4" w:space="0"/>
              <w:left w:val="single" w:color="auto" w:sz="4" w:space="0"/>
              <w:bottom w:val="single" w:color="auto" w:sz="4" w:space="0"/>
              <w:right w:val="single" w:color="auto" w:sz="4" w:space="0"/>
            </w:tcBorders>
            <w:vAlign w:val="center"/>
          </w:tcPr>
          <w:p w14:paraId="7C7EE9C4">
            <w:pPr>
              <w:jc w:val="right"/>
              <w:rPr>
                <w:rFonts w:ascii="Calibri" w:hAnsi="Calibri"/>
                <w:sz w:val="20"/>
                <w:szCs w:val="20"/>
              </w:rPr>
            </w:pPr>
            <w:r>
              <w:rPr>
                <w:rFonts w:ascii="Calibri" w:hAnsi="Calibri"/>
                <w:sz w:val="20"/>
                <w:szCs w:val="20"/>
              </w:rPr>
              <w:t>18,743,448.23</w:t>
            </w:r>
          </w:p>
        </w:tc>
        <w:tc>
          <w:tcPr>
            <w:tcW w:w="2439" w:type="dxa"/>
            <w:tcBorders>
              <w:top w:val="single" w:color="auto" w:sz="4" w:space="0"/>
              <w:left w:val="single" w:color="auto" w:sz="4" w:space="0"/>
              <w:bottom w:val="single" w:color="auto" w:sz="4" w:space="0"/>
              <w:right w:val="single" w:color="auto" w:sz="4" w:space="0"/>
            </w:tcBorders>
            <w:vAlign w:val="center"/>
          </w:tcPr>
          <w:p w14:paraId="57F66E34">
            <w:pPr>
              <w:jc w:val="right"/>
              <w:rPr>
                <w:rFonts w:ascii="Calibri" w:hAnsi="Calibri"/>
                <w:sz w:val="20"/>
                <w:szCs w:val="20"/>
              </w:rPr>
            </w:pPr>
            <w:r>
              <w:rPr>
                <w:rFonts w:ascii="Calibri" w:hAnsi="Calibri"/>
                <w:sz w:val="20"/>
                <w:szCs w:val="20"/>
              </w:rPr>
              <w:t>6,239,703.08</w:t>
            </w:r>
          </w:p>
        </w:tc>
      </w:tr>
    </w:tbl>
    <w:p w14:paraId="4ED16E00"/>
    <w:p w14:paraId="374A9DD3">
      <w:pPr>
        <w:pStyle w:val="48"/>
      </w:pPr>
      <w:r>
        <w:rPr>
          <w:rFonts w:hint="eastAsia"/>
        </w:rPr>
        <w:t>其他说明：</w:t>
      </w:r>
    </w:p>
    <w:sdt>
      <w:sdtPr>
        <w:alias w:val="财务费用的其他说明事项"/>
        <w:tag w:val="_GBC_ac6200ee95c7483d9ee9565f49369f9a"/>
        <w:id w:val="-1439979856"/>
        <w:placeholder>
          <w:docPart w:val="GBC22222222222222222222222222222"/>
        </w:placeholder>
      </w:sdtPr>
      <w:sdtContent>
        <w:p w14:paraId="4C8B5652">
          <w:pPr>
            <w:pStyle w:val="48"/>
          </w:pPr>
          <w:r>
            <w:rPr>
              <w:rFonts w:hint="eastAsia"/>
            </w:rPr>
            <w:t>主要系报告期银行借款利息支出较同期增加所致。</w:t>
          </w:r>
        </w:p>
      </w:sdtContent>
    </w:sdt>
    <w:p w14:paraId="02CC077F">
      <w:pPr>
        <w:pStyle w:val="48"/>
      </w:pPr>
    </w:p>
    <w:p w14:paraId="62A42498">
      <w:pPr>
        <w:pStyle w:val="4"/>
        <w:numPr>
          <w:ilvl w:val="0"/>
          <w:numId w:val="61"/>
        </w:numPr>
        <w:rPr>
          <w:szCs w:val="21"/>
        </w:rPr>
      </w:pPr>
      <w:r>
        <w:rPr>
          <w:szCs w:val="21"/>
        </w:rPr>
        <w:t>其他收益</w:t>
      </w:r>
    </w:p>
    <w:sdt>
      <w:sdtPr>
        <w:rPr>
          <w:bCs/>
        </w:rPr>
        <w:alias w:val="是否适用：财务报表其他收益[双击切换]"/>
        <w:tag w:val="_GBC_24722ffac3b6474db1e1d7972d6e4a7b"/>
        <w:id w:val="1405681"/>
        <w:placeholder>
          <w:docPart w:val="GBC22222222222222222222222222222"/>
        </w:placeholder>
      </w:sdtPr>
      <w:sdtEndPr>
        <w:rPr>
          <w:bCs/>
        </w:rPr>
      </w:sdtEndPr>
      <w:sdtContent>
        <w:p w14:paraId="4579AB4B">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36F430C4">
      <w:pPr>
        <w:pStyle w:val="30"/>
        <w:ind w:left="420" w:firstLine="0" w:firstLineChars="0"/>
        <w:jc w:val="right"/>
        <w:rPr>
          <w:bCs/>
        </w:rPr>
      </w:pPr>
      <w:r>
        <w:rPr>
          <w:bCs/>
        </w:rPr>
        <w:t>单位：</w:t>
      </w:r>
      <w:sdt>
        <w:sdtPr>
          <w:rPr>
            <w:bCs/>
          </w:rPr>
          <w:alias w:val="单位：财务报表其他收益明细"/>
          <w:tag w:val="_GBC_74ea52f952324be7ab2c4c494ff673ce"/>
          <w:id w:val="-6233852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bCs/>
          </w:rPr>
        </w:sdtEndPr>
        <w:sdtContent>
          <w:r>
            <w:rPr>
              <w:bCs/>
            </w:rPr>
            <w:t>元</w:t>
          </w:r>
        </w:sdtContent>
      </w:sdt>
      <w:r>
        <w:rPr>
          <w:bCs/>
        </w:rPr>
        <w:t xml:space="preserve">  币种：</w:t>
      </w:r>
      <w:sdt>
        <w:sdtPr>
          <w:rPr>
            <w:bCs/>
          </w:rPr>
          <w:alias w:val="币种：财务报表其他收益明细"/>
          <w:tag w:val="_GBC_8360ed9b182a496c9b5d2220a414a4cb"/>
          <w:id w:val="-13550212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rPr>
        </w:sdtEndPr>
        <w:sdtContent>
          <w:r>
            <w:rPr>
              <w:bCs/>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5"/>
        <w:gridCol w:w="3016"/>
        <w:gridCol w:w="3016"/>
      </w:tblGrid>
      <w:tr w14:paraId="67A2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df5d6dc8fe1463b8e0d41784241e311"/>
            <w:id w:val="-486171834"/>
          </w:sdtPr>
          <w:sdtContent>
            <w:tc>
              <w:tcPr>
                <w:tcW w:w="3015" w:type="dxa"/>
                <w:vAlign w:val="center"/>
              </w:tcPr>
              <w:p w14:paraId="0CEF0650">
                <w:pPr>
                  <w:jc w:val="center"/>
                  <w:rPr>
                    <w:rFonts w:ascii="Calibri" w:hAnsi="Calibri"/>
                    <w:sz w:val="20"/>
                    <w:szCs w:val="20"/>
                  </w:rPr>
                </w:pPr>
                <w:r>
                  <w:rPr>
                    <w:rFonts w:hint="eastAsia" w:ascii="Calibri" w:hAnsi="Calibri"/>
                    <w:sz w:val="20"/>
                    <w:szCs w:val="20"/>
                  </w:rPr>
                  <w:t>按性质分类</w:t>
                </w:r>
              </w:p>
            </w:tc>
          </w:sdtContent>
        </w:sdt>
        <w:sdt>
          <w:sdtPr>
            <w:tag w:val="_PLD_2c34d48a6a534080943d2d340c325c15"/>
            <w:id w:val="1073855502"/>
          </w:sdtPr>
          <w:sdtContent>
            <w:tc>
              <w:tcPr>
                <w:tcW w:w="3016" w:type="dxa"/>
                <w:vAlign w:val="center"/>
              </w:tcPr>
              <w:p w14:paraId="5BAEC842">
                <w:pPr>
                  <w:jc w:val="center"/>
                  <w:rPr>
                    <w:rFonts w:ascii="Calibri" w:hAnsi="Calibri"/>
                    <w:sz w:val="20"/>
                    <w:szCs w:val="20"/>
                  </w:rPr>
                </w:pPr>
                <w:r>
                  <w:rPr>
                    <w:rFonts w:hint="eastAsia" w:ascii="Calibri" w:hAnsi="Calibri"/>
                    <w:sz w:val="20"/>
                    <w:szCs w:val="20"/>
                  </w:rPr>
                  <w:t>本期发生额</w:t>
                </w:r>
              </w:p>
            </w:tc>
          </w:sdtContent>
        </w:sdt>
        <w:sdt>
          <w:sdtPr>
            <w:tag w:val="_PLD_1a2c9ed0a9704089897421e22b8696dd"/>
            <w:id w:val="-1166094835"/>
          </w:sdtPr>
          <w:sdtContent>
            <w:tc>
              <w:tcPr>
                <w:tcW w:w="3016" w:type="dxa"/>
                <w:vAlign w:val="center"/>
              </w:tcPr>
              <w:p w14:paraId="0207D60B">
                <w:pPr>
                  <w:jc w:val="center"/>
                  <w:rPr>
                    <w:rFonts w:ascii="Calibri" w:hAnsi="Calibri"/>
                    <w:sz w:val="20"/>
                    <w:szCs w:val="20"/>
                  </w:rPr>
                </w:pPr>
                <w:r>
                  <w:rPr>
                    <w:rFonts w:hint="eastAsia" w:ascii="Calibri" w:hAnsi="Calibri"/>
                    <w:sz w:val="20"/>
                    <w:szCs w:val="20"/>
                  </w:rPr>
                  <w:t>上期发生额</w:t>
                </w:r>
              </w:p>
            </w:tc>
          </w:sdtContent>
        </w:sdt>
      </w:tr>
      <w:tr w14:paraId="3AC7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5" w:type="dxa"/>
            <w:vAlign w:val="center"/>
          </w:tcPr>
          <w:p w14:paraId="355A1411">
            <w:pPr>
              <w:rPr>
                <w:rFonts w:ascii="Calibri" w:hAnsi="Calibri"/>
                <w:sz w:val="20"/>
                <w:szCs w:val="20"/>
              </w:rPr>
            </w:pPr>
            <w:r>
              <w:rPr>
                <w:rFonts w:ascii="Calibri" w:hAnsi="Calibri"/>
                <w:sz w:val="20"/>
                <w:szCs w:val="20"/>
              </w:rPr>
              <w:t>与日常活动相关的政府补助</w:t>
            </w:r>
          </w:p>
        </w:tc>
        <w:tc>
          <w:tcPr>
            <w:tcW w:w="3016" w:type="dxa"/>
            <w:vAlign w:val="center"/>
          </w:tcPr>
          <w:p w14:paraId="702397B1">
            <w:pPr>
              <w:jc w:val="right"/>
              <w:rPr>
                <w:rFonts w:ascii="Calibri" w:hAnsi="Calibri"/>
                <w:sz w:val="20"/>
                <w:szCs w:val="20"/>
              </w:rPr>
            </w:pPr>
            <w:r>
              <w:rPr>
                <w:rFonts w:ascii="Calibri" w:hAnsi="Calibri"/>
                <w:sz w:val="20"/>
                <w:szCs w:val="20"/>
              </w:rPr>
              <w:t>10,246,678.70</w:t>
            </w:r>
          </w:p>
        </w:tc>
        <w:tc>
          <w:tcPr>
            <w:tcW w:w="3016" w:type="dxa"/>
            <w:vAlign w:val="center"/>
          </w:tcPr>
          <w:p w14:paraId="7762F6B2">
            <w:pPr>
              <w:jc w:val="right"/>
              <w:rPr>
                <w:rFonts w:ascii="Calibri" w:hAnsi="Calibri"/>
                <w:sz w:val="20"/>
                <w:szCs w:val="20"/>
              </w:rPr>
            </w:pPr>
            <w:r>
              <w:rPr>
                <w:rFonts w:ascii="Calibri" w:hAnsi="Calibri"/>
                <w:sz w:val="20"/>
                <w:szCs w:val="20"/>
              </w:rPr>
              <w:t>3,532,209.45</w:t>
            </w:r>
          </w:p>
        </w:tc>
      </w:tr>
      <w:tr w14:paraId="40CD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5" w:type="dxa"/>
            <w:vAlign w:val="center"/>
          </w:tcPr>
          <w:p w14:paraId="2FDF32CC">
            <w:pPr>
              <w:rPr>
                <w:rFonts w:ascii="Calibri" w:hAnsi="Calibri"/>
                <w:sz w:val="20"/>
                <w:szCs w:val="20"/>
              </w:rPr>
            </w:pPr>
            <w:r>
              <w:rPr>
                <w:rFonts w:ascii="Calibri" w:hAnsi="Calibri"/>
                <w:sz w:val="20"/>
                <w:szCs w:val="20"/>
              </w:rPr>
              <w:t>先进制造业企业增值税加计抵减税额</w:t>
            </w:r>
          </w:p>
        </w:tc>
        <w:tc>
          <w:tcPr>
            <w:tcW w:w="3016" w:type="dxa"/>
            <w:vAlign w:val="center"/>
          </w:tcPr>
          <w:p w14:paraId="63A66C10">
            <w:pPr>
              <w:jc w:val="right"/>
              <w:rPr>
                <w:rFonts w:ascii="Calibri" w:hAnsi="Calibri"/>
                <w:sz w:val="20"/>
                <w:szCs w:val="20"/>
              </w:rPr>
            </w:pPr>
            <w:r>
              <w:rPr>
                <w:rFonts w:ascii="Calibri" w:hAnsi="Calibri"/>
                <w:sz w:val="20"/>
                <w:szCs w:val="20"/>
              </w:rPr>
              <w:t>2,059,505.29</w:t>
            </w:r>
          </w:p>
        </w:tc>
        <w:tc>
          <w:tcPr>
            <w:tcW w:w="3016" w:type="dxa"/>
            <w:vAlign w:val="center"/>
          </w:tcPr>
          <w:p w14:paraId="3E24456B">
            <w:pPr>
              <w:jc w:val="right"/>
              <w:rPr>
                <w:rFonts w:ascii="Calibri" w:hAnsi="Calibri"/>
                <w:sz w:val="20"/>
                <w:szCs w:val="20"/>
              </w:rPr>
            </w:pPr>
            <w:r>
              <w:rPr>
                <w:rFonts w:ascii="Calibri" w:hAnsi="Calibri"/>
                <w:sz w:val="20"/>
                <w:szCs w:val="20"/>
              </w:rPr>
              <w:t>437,373.60</w:t>
            </w:r>
          </w:p>
        </w:tc>
      </w:tr>
      <w:tr w14:paraId="7430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5" w:type="dxa"/>
            <w:vAlign w:val="center"/>
          </w:tcPr>
          <w:p w14:paraId="5B1FBE86">
            <w:pPr>
              <w:rPr>
                <w:rFonts w:ascii="Calibri" w:hAnsi="Calibri"/>
                <w:sz w:val="20"/>
                <w:szCs w:val="20"/>
              </w:rPr>
            </w:pPr>
            <w:r>
              <w:rPr>
                <w:rFonts w:ascii="Calibri" w:hAnsi="Calibri"/>
                <w:sz w:val="20"/>
                <w:szCs w:val="20"/>
              </w:rPr>
              <w:t>吸纳重点群体就业增值税减免</w:t>
            </w:r>
          </w:p>
        </w:tc>
        <w:tc>
          <w:tcPr>
            <w:tcW w:w="3016" w:type="dxa"/>
            <w:vAlign w:val="center"/>
          </w:tcPr>
          <w:p w14:paraId="514F726A">
            <w:pPr>
              <w:jc w:val="right"/>
              <w:rPr>
                <w:rFonts w:ascii="Calibri" w:hAnsi="Calibri"/>
                <w:sz w:val="20"/>
                <w:szCs w:val="20"/>
              </w:rPr>
            </w:pPr>
            <w:r>
              <w:rPr>
                <w:rFonts w:ascii="Calibri" w:hAnsi="Calibri"/>
                <w:sz w:val="20"/>
                <w:szCs w:val="20"/>
              </w:rPr>
              <w:t>16,450.00</w:t>
            </w:r>
          </w:p>
        </w:tc>
        <w:tc>
          <w:tcPr>
            <w:tcW w:w="3016" w:type="dxa"/>
            <w:vAlign w:val="center"/>
          </w:tcPr>
          <w:p w14:paraId="3D9DF749">
            <w:pPr>
              <w:jc w:val="right"/>
              <w:rPr>
                <w:rFonts w:ascii="Calibri" w:hAnsi="Calibri"/>
                <w:sz w:val="20"/>
                <w:szCs w:val="20"/>
              </w:rPr>
            </w:pPr>
            <w:r>
              <w:rPr>
                <w:rFonts w:ascii="Calibri" w:hAnsi="Calibri"/>
                <w:sz w:val="20"/>
                <w:szCs w:val="20"/>
              </w:rPr>
              <w:t>72,150.00</w:t>
            </w:r>
          </w:p>
        </w:tc>
      </w:tr>
      <w:tr w14:paraId="787F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5" w:type="dxa"/>
            <w:vAlign w:val="center"/>
          </w:tcPr>
          <w:p w14:paraId="1E73BC52">
            <w:pPr>
              <w:rPr>
                <w:rFonts w:ascii="Calibri" w:hAnsi="Calibri"/>
                <w:sz w:val="20"/>
                <w:szCs w:val="20"/>
              </w:rPr>
            </w:pPr>
            <w:r>
              <w:rPr>
                <w:rFonts w:ascii="Calibri" w:hAnsi="Calibri"/>
                <w:sz w:val="20"/>
                <w:szCs w:val="20"/>
              </w:rPr>
              <w:t>个人所得税手续费返还</w:t>
            </w:r>
          </w:p>
        </w:tc>
        <w:tc>
          <w:tcPr>
            <w:tcW w:w="3016" w:type="dxa"/>
            <w:vAlign w:val="center"/>
          </w:tcPr>
          <w:p w14:paraId="3E14C77B">
            <w:pPr>
              <w:jc w:val="right"/>
              <w:rPr>
                <w:rFonts w:ascii="Calibri" w:hAnsi="Calibri"/>
                <w:sz w:val="20"/>
                <w:szCs w:val="20"/>
              </w:rPr>
            </w:pPr>
            <w:r>
              <w:rPr>
                <w:rFonts w:ascii="Calibri" w:hAnsi="Calibri"/>
                <w:sz w:val="20"/>
                <w:szCs w:val="20"/>
              </w:rPr>
              <w:t>414,565.38</w:t>
            </w:r>
          </w:p>
        </w:tc>
        <w:tc>
          <w:tcPr>
            <w:tcW w:w="3016" w:type="dxa"/>
            <w:vAlign w:val="center"/>
          </w:tcPr>
          <w:p w14:paraId="443A5E9B">
            <w:pPr>
              <w:jc w:val="right"/>
              <w:rPr>
                <w:rFonts w:ascii="Calibri" w:hAnsi="Calibri"/>
                <w:sz w:val="20"/>
                <w:szCs w:val="20"/>
              </w:rPr>
            </w:pPr>
            <w:r>
              <w:rPr>
                <w:rFonts w:ascii="Calibri" w:hAnsi="Calibri"/>
                <w:sz w:val="20"/>
                <w:szCs w:val="20"/>
              </w:rPr>
              <w:t>562,251.23</w:t>
            </w:r>
          </w:p>
        </w:tc>
      </w:tr>
      <w:tr w14:paraId="0C9C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5" w:type="dxa"/>
            <w:vAlign w:val="center"/>
          </w:tcPr>
          <w:p w14:paraId="7E1AB2AD">
            <w:pPr>
              <w:jc w:val="center"/>
              <w:rPr>
                <w:rFonts w:ascii="Calibri" w:hAnsi="Calibri"/>
                <w:sz w:val="20"/>
                <w:szCs w:val="20"/>
              </w:rPr>
            </w:pPr>
            <w:r>
              <w:rPr>
                <w:rFonts w:hint="eastAsia" w:ascii="Calibri" w:hAnsi="Calibri"/>
                <w:sz w:val="20"/>
                <w:szCs w:val="20"/>
              </w:rPr>
              <w:t>合计</w:t>
            </w:r>
          </w:p>
        </w:tc>
        <w:tc>
          <w:tcPr>
            <w:tcW w:w="3016" w:type="dxa"/>
            <w:vAlign w:val="center"/>
          </w:tcPr>
          <w:p w14:paraId="436D2E7A">
            <w:pPr>
              <w:jc w:val="right"/>
              <w:rPr>
                <w:rFonts w:ascii="Calibri" w:hAnsi="Calibri"/>
                <w:sz w:val="20"/>
                <w:szCs w:val="20"/>
              </w:rPr>
            </w:pPr>
            <w:r>
              <w:rPr>
                <w:rFonts w:ascii="Calibri" w:hAnsi="Calibri"/>
                <w:sz w:val="20"/>
                <w:szCs w:val="20"/>
              </w:rPr>
              <w:t>12,737,199.37</w:t>
            </w:r>
          </w:p>
        </w:tc>
        <w:tc>
          <w:tcPr>
            <w:tcW w:w="3016" w:type="dxa"/>
            <w:vAlign w:val="center"/>
          </w:tcPr>
          <w:p w14:paraId="1EAD5878">
            <w:pPr>
              <w:jc w:val="right"/>
              <w:rPr>
                <w:rFonts w:ascii="Calibri" w:hAnsi="Calibri"/>
                <w:sz w:val="20"/>
                <w:szCs w:val="20"/>
              </w:rPr>
            </w:pPr>
            <w:r>
              <w:rPr>
                <w:rFonts w:ascii="Calibri" w:hAnsi="Calibri"/>
                <w:sz w:val="20"/>
                <w:szCs w:val="20"/>
              </w:rPr>
              <w:t>4,603,984.28</w:t>
            </w:r>
          </w:p>
        </w:tc>
      </w:tr>
    </w:tbl>
    <w:p w14:paraId="62BFD31A">
      <w:pPr>
        <w:pStyle w:val="48"/>
      </w:pPr>
    </w:p>
    <w:p w14:paraId="7DD1175F">
      <w:pPr>
        <w:pStyle w:val="4"/>
        <w:numPr>
          <w:ilvl w:val="0"/>
          <w:numId w:val="61"/>
        </w:numPr>
        <w:rPr>
          <w:szCs w:val="21"/>
        </w:rPr>
      </w:pPr>
      <w:bookmarkStart w:id="358" w:name="_Hlk11857276"/>
      <w:bookmarkEnd w:id="358"/>
      <w:bookmarkStart w:id="359" w:name="_Hlk24027658"/>
      <w:r>
        <w:rPr>
          <w:szCs w:val="21"/>
        </w:rPr>
        <w:t>投资收益</w:t>
      </w:r>
    </w:p>
    <w:sdt>
      <w:sdtPr>
        <w:alias w:val="是否适用：投资收益[双击切换]"/>
        <w:tag w:val="_GBC_f581223c46c2426aa46b9e88b6b47f4f"/>
        <w:id w:val="-1922866304"/>
        <w:placeholder>
          <w:docPart w:val="GBC22222222222222222222222222222"/>
        </w:placeholder>
      </w:sdtPr>
      <w:sdtContent>
        <w:p w14:paraId="7B27AAA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533E58D">
      <w:pPr>
        <w:jc w:val="right"/>
        <w:rPr>
          <w:b/>
        </w:rPr>
      </w:pPr>
      <w:bookmarkStart w:id="360" w:name="_Hlk10538462"/>
      <w:r>
        <w:t>单位</w:t>
      </w:r>
      <w:r>
        <w:rPr>
          <w:rFonts w:hint="eastAsia"/>
        </w:rPr>
        <w:t>：</w:t>
      </w:r>
      <w:sdt>
        <w:sdtPr>
          <w:rPr>
            <w:rFonts w:hint="eastAsia"/>
          </w:rPr>
          <w:alias w:val="单位：财务附注：会计报表中的投资收益项目增加"/>
          <w:tag w:val="_GBC_aeb04d73052c442cb4e2c86d75a8fbb5"/>
          <w:id w:val="20272939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9845e736e0054165b2ee74d48d6dd757"/>
          <w:id w:val="17912414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336"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1"/>
        <w:gridCol w:w="2692"/>
        <w:gridCol w:w="2703"/>
      </w:tblGrid>
      <w:tr w14:paraId="1EBB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98e1ec79cfc4df397c6fa0a751f3489"/>
            <w:id w:val="-110285016"/>
          </w:sdtPr>
          <w:sdtContent>
            <w:tc>
              <w:tcPr>
                <w:tcW w:w="3941" w:type="dxa"/>
                <w:vAlign w:val="center"/>
              </w:tcPr>
              <w:p w14:paraId="7A127C3E">
                <w:pPr>
                  <w:ind w:left="420" w:hanging="420"/>
                  <w:jc w:val="center"/>
                  <w:rPr>
                    <w:rFonts w:ascii="Calibri" w:hAnsi="Calibri"/>
                    <w:sz w:val="20"/>
                    <w:szCs w:val="20"/>
                  </w:rPr>
                </w:pPr>
                <w:r>
                  <w:rPr>
                    <w:rFonts w:hint="eastAsia" w:ascii="Calibri" w:hAnsi="Calibri"/>
                    <w:sz w:val="20"/>
                    <w:szCs w:val="20"/>
                  </w:rPr>
                  <w:t>项目</w:t>
                </w:r>
              </w:p>
            </w:tc>
          </w:sdtContent>
        </w:sdt>
        <w:sdt>
          <w:sdtPr>
            <w:tag w:val="_PLD_239208f1271348119306f77c15ab0ec0"/>
            <w:id w:val="1544102783"/>
          </w:sdtPr>
          <w:sdtContent>
            <w:tc>
              <w:tcPr>
                <w:tcW w:w="2692" w:type="dxa"/>
                <w:vAlign w:val="center"/>
              </w:tcPr>
              <w:p w14:paraId="0BDD6886">
                <w:pPr>
                  <w:jc w:val="center"/>
                  <w:rPr>
                    <w:rFonts w:ascii="Calibri" w:hAnsi="Calibri"/>
                    <w:sz w:val="20"/>
                    <w:szCs w:val="20"/>
                  </w:rPr>
                </w:pPr>
                <w:r>
                  <w:rPr>
                    <w:rFonts w:hint="eastAsia" w:ascii="Calibri" w:hAnsi="Calibri"/>
                    <w:sz w:val="20"/>
                    <w:szCs w:val="20"/>
                  </w:rPr>
                  <w:t>本期发生额</w:t>
                </w:r>
              </w:p>
            </w:tc>
          </w:sdtContent>
        </w:sdt>
        <w:sdt>
          <w:sdtPr>
            <w:tag w:val="_PLD_c548c34a5b7b4e3eb5536d1408d6cc7b"/>
            <w:id w:val="171458709"/>
          </w:sdtPr>
          <w:sdtContent>
            <w:tc>
              <w:tcPr>
                <w:tcW w:w="2703" w:type="dxa"/>
                <w:vAlign w:val="center"/>
              </w:tcPr>
              <w:p w14:paraId="6E624DF0">
                <w:pPr>
                  <w:jc w:val="center"/>
                  <w:rPr>
                    <w:rFonts w:ascii="Calibri" w:hAnsi="Calibri"/>
                    <w:sz w:val="20"/>
                    <w:szCs w:val="20"/>
                  </w:rPr>
                </w:pPr>
                <w:r>
                  <w:rPr>
                    <w:rFonts w:hint="eastAsia" w:ascii="Calibri" w:hAnsi="Calibri"/>
                    <w:sz w:val="20"/>
                    <w:szCs w:val="20"/>
                  </w:rPr>
                  <w:t>上期发生额</w:t>
                </w:r>
              </w:p>
            </w:tc>
          </w:sdtContent>
        </w:sdt>
      </w:tr>
      <w:tr w14:paraId="0CC8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center"/>
          </w:tcPr>
          <w:p w14:paraId="5E32DBF3">
            <w:pPr>
              <w:pStyle w:val="48"/>
              <w:rPr>
                <w:sz w:val="20"/>
                <w:szCs w:val="20"/>
              </w:rPr>
            </w:pPr>
            <w:r>
              <w:rPr>
                <w:rFonts w:hint="eastAsia"/>
                <w:sz w:val="20"/>
                <w:szCs w:val="20"/>
              </w:rPr>
              <w:t>权益法核算的长期股权投资收益</w:t>
            </w:r>
          </w:p>
        </w:tc>
        <w:tc>
          <w:tcPr>
            <w:tcW w:w="2692" w:type="dxa"/>
            <w:vAlign w:val="center"/>
          </w:tcPr>
          <w:p w14:paraId="25BA347D">
            <w:pPr>
              <w:jc w:val="right"/>
              <w:rPr>
                <w:rFonts w:ascii="Calibri" w:hAnsi="Calibri"/>
                <w:sz w:val="20"/>
                <w:szCs w:val="20"/>
              </w:rPr>
            </w:pPr>
            <w:r>
              <w:rPr>
                <w:rFonts w:ascii="Calibri" w:hAnsi="Calibri"/>
                <w:sz w:val="20"/>
                <w:szCs w:val="20"/>
              </w:rPr>
              <w:t>79,358,231.64</w:t>
            </w:r>
          </w:p>
        </w:tc>
        <w:tc>
          <w:tcPr>
            <w:tcW w:w="2703" w:type="dxa"/>
            <w:vAlign w:val="center"/>
          </w:tcPr>
          <w:p w14:paraId="0AB98E13">
            <w:pPr>
              <w:jc w:val="right"/>
              <w:rPr>
                <w:rFonts w:ascii="Calibri" w:hAnsi="Calibri"/>
                <w:sz w:val="20"/>
                <w:szCs w:val="20"/>
              </w:rPr>
            </w:pPr>
            <w:r>
              <w:rPr>
                <w:rFonts w:ascii="Calibri" w:hAnsi="Calibri"/>
                <w:sz w:val="20"/>
                <w:szCs w:val="20"/>
              </w:rPr>
              <w:t>122,210,072.71</w:t>
            </w:r>
          </w:p>
        </w:tc>
      </w:tr>
      <w:tr w14:paraId="3648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center"/>
          </w:tcPr>
          <w:p w14:paraId="7B2A246A">
            <w:pPr>
              <w:pStyle w:val="48"/>
              <w:rPr>
                <w:sz w:val="20"/>
                <w:szCs w:val="20"/>
              </w:rPr>
            </w:pPr>
            <w:r>
              <w:rPr>
                <w:rFonts w:hint="eastAsia"/>
                <w:sz w:val="20"/>
                <w:szCs w:val="20"/>
              </w:rPr>
              <w:t>处置长期股权投资产生的投资收益</w:t>
            </w:r>
          </w:p>
        </w:tc>
        <w:tc>
          <w:tcPr>
            <w:tcW w:w="2692" w:type="dxa"/>
            <w:vAlign w:val="center"/>
          </w:tcPr>
          <w:p w14:paraId="1468DCFE">
            <w:pPr>
              <w:jc w:val="right"/>
              <w:rPr>
                <w:rFonts w:ascii="Calibri" w:hAnsi="Calibri"/>
                <w:sz w:val="20"/>
                <w:szCs w:val="20"/>
              </w:rPr>
            </w:pPr>
            <w:r>
              <w:rPr>
                <w:rFonts w:ascii="Calibri" w:hAnsi="Calibri"/>
                <w:sz w:val="20"/>
                <w:szCs w:val="20"/>
              </w:rPr>
              <w:t>1,099,181,917.70</w:t>
            </w:r>
          </w:p>
        </w:tc>
        <w:tc>
          <w:tcPr>
            <w:tcW w:w="2703" w:type="dxa"/>
            <w:vAlign w:val="center"/>
          </w:tcPr>
          <w:p w14:paraId="029142CC">
            <w:pPr>
              <w:jc w:val="right"/>
              <w:rPr>
                <w:rFonts w:ascii="Calibri" w:hAnsi="Calibri"/>
                <w:sz w:val="20"/>
                <w:szCs w:val="20"/>
              </w:rPr>
            </w:pPr>
          </w:p>
        </w:tc>
      </w:tr>
      <w:tr w14:paraId="4B1B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center"/>
          </w:tcPr>
          <w:p w14:paraId="7972AC87">
            <w:pPr>
              <w:pStyle w:val="48"/>
              <w:rPr>
                <w:sz w:val="20"/>
                <w:szCs w:val="20"/>
              </w:rPr>
            </w:pPr>
            <w:r>
              <w:rPr>
                <w:rFonts w:hint="eastAsia"/>
                <w:sz w:val="20"/>
                <w:szCs w:val="20"/>
              </w:rPr>
              <w:t>交易性金融资产在持有期间的投资收益</w:t>
            </w:r>
          </w:p>
        </w:tc>
        <w:tc>
          <w:tcPr>
            <w:tcW w:w="2692" w:type="dxa"/>
            <w:vAlign w:val="center"/>
          </w:tcPr>
          <w:p w14:paraId="569E4197">
            <w:pPr>
              <w:jc w:val="right"/>
              <w:rPr>
                <w:rFonts w:ascii="Calibri" w:hAnsi="Calibri"/>
                <w:sz w:val="20"/>
                <w:szCs w:val="20"/>
              </w:rPr>
            </w:pPr>
          </w:p>
        </w:tc>
        <w:tc>
          <w:tcPr>
            <w:tcW w:w="2703" w:type="dxa"/>
            <w:vAlign w:val="center"/>
          </w:tcPr>
          <w:p w14:paraId="6BF967B7">
            <w:pPr>
              <w:jc w:val="right"/>
              <w:rPr>
                <w:rFonts w:ascii="Calibri" w:hAnsi="Calibri"/>
                <w:sz w:val="20"/>
                <w:szCs w:val="20"/>
              </w:rPr>
            </w:pPr>
          </w:p>
        </w:tc>
      </w:tr>
      <w:tr w14:paraId="3797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center"/>
          </w:tcPr>
          <w:p w14:paraId="73F98205">
            <w:pPr>
              <w:pStyle w:val="48"/>
              <w:rPr>
                <w:sz w:val="20"/>
                <w:szCs w:val="20"/>
              </w:rPr>
            </w:pPr>
            <w:r>
              <w:rPr>
                <w:rFonts w:hint="eastAsia"/>
                <w:sz w:val="20"/>
                <w:szCs w:val="20"/>
              </w:rPr>
              <w:t>其他权益工具投资在持有期间取得的股利收入</w:t>
            </w:r>
          </w:p>
        </w:tc>
        <w:tc>
          <w:tcPr>
            <w:tcW w:w="2692" w:type="dxa"/>
            <w:vAlign w:val="center"/>
          </w:tcPr>
          <w:p w14:paraId="578D35F6">
            <w:pPr>
              <w:jc w:val="right"/>
              <w:rPr>
                <w:rFonts w:ascii="Calibri" w:hAnsi="Calibri"/>
                <w:sz w:val="20"/>
                <w:szCs w:val="20"/>
              </w:rPr>
            </w:pPr>
          </w:p>
        </w:tc>
        <w:tc>
          <w:tcPr>
            <w:tcW w:w="2703" w:type="dxa"/>
            <w:vAlign w:val="center"/>
          </w:tcPr>
          <w:p w14:paraId="5FF4FA5A">
            <w:pPr>
              <w:jc w:val="right"/>
              <w:rPr>
                <w:rFonts w:ascii="Calibri" w:hAnsi="Calibri"/>
                <w:sz w:val="20"/>
                <w:szCs w:val="20"/>
              </w:rPr>
            </w:pPr>
          </w:p>
        </w:tc>
      </w:tr>
      <w:tr w14:paraId="5B11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center"/>
          </w:tcPr>
          <w:p w14:paraId="3171555A">
            <w:pPr>
              <w:pStyle w:val="48"/>
              <w:rPr>
                <w:sz w:val="20"/>
                <w:szCs w:val="20"/>
              </w:rPr>
            </w:pPr>
            <w:r>
              <w:rPr>
                <w:rFonts w:hint="eastAsia"/>
                <w:sz w:val="20"/>
                <w:szCs w:val="20"/>
              </w:rPr>
              <w:t>债权投资在持有期间取得的利息收入</w:t>
            </w:r>
          </w:p>
        </w:tc>
        <w:tc>
          <w:tcPr>
            <w:tcW w:w="2692" w:type="dxa"/>
            <w:vAlign w:val="center"/>
          </w:tcPr>
          <w:p w14:paraId="7EE0D582">
            <w:pPr>
              <w:jc w:val="right"/>
              <w:rPr>
                <w:rFonts w:ascii="Calibri" w:hAnsi="Calibri"/>
                <w:sz w:val="20"/>
                <w:szCs w:val="20"/>
              </w:rPr>
            </w:pPr>
          </w:p>
        </w:tc>
        <w:tc>
          <w:tcPr>
            <w:tcW w:w="2703" w:type="dxa"/>
            <w:vAlign w:val="center"/>
          </w:tcPr>
          <w:p w14:paraId="34BFFC23">
            <w:pPr>
              <w:jc w:val="right"/>
              <w:rPr>
                <w:rFonts w:ascii="Calibri" w:hAnsi="Calibri"/>
                <w:sz w:val="20"/>
                <w:szCs w:val="20"/>
              </w:rPr>
            </w:pPr>
          </w:p>
        </w:tc>
      </w:tr>
      <w:tr w14:paraId="7A66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center"/>
          </w:tcPr>
          <w:p w14:paraId="5FEDC371">
            <w:pPr>
              <w:pStyle w:val="48"/>
              <w:rPr>
                <w:sz w:val="20"/>
                <w:szCs w:val="20"/>
              </w:rPr>
            </w:pPr>
            <w:r>
              <w:rPr>
                <w:rFonts w:hint="eastAsia"/>
                <w:sz w:val="20"/>
                <w:szCs w:val="20"/>
              </w:rPr>
              <w:t>其他债权投资在持有期间取得的利息收入</w:t>
            </w:r>
          </w:p>
        </w:tc>
        <w:tc>
          <w:tcPr>
            <w:tcW w:w="2692" w:type="dxa"/>
            <w:vAlign w:val="center"/>
          </w:tcPr>
          <w:p w14:paraId="5CF91C40">
            <w:pPr>
              <w:jc w:val="right"/>
              <w:rPr>
                <w:rFonts w:ascii="Calibri" w:hAnsi="Calibri"/>
                <w:sz w:val="20"/>
                <w:szCs w:val="20"/>
              </w:rPr>
            </w:pPr>
          </w:p>
        </w:tc>
        <w:tc>
          <w:tcPr>
            <w:tcW w:w="2703" w:type="dxa"/>
            <w:vAlign w:val="center"/>
          </w:tcPr>
          <w:p w14:paraId="7F470E7A">
            <w:pPr>
              <w:jc w:val="right"/>
              <w:rPr>
                <w:rFonts w:ascii="Calibri" w:hAnsi="Calibri"/>
                <w:sz w:val="20"/>
                <w:szCs w:val="20"/>
              </w:rPr>
            </w:pPr>
          </w:p>
        </w:tc>
      </w:tr>
      <w:tr w14:paraId="0A21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center"/>
          </w:tcPr>
          <w:p w14:paraId="56B42FC4">
            <w:pPr>
              <w:pStyle w:val="48"/>
              <w:rPr>
                <w:sz w:val="20"/>
                <w:szCs w:val="20"/>
              </w:rPr>
            </w:pPr>
            <w:r>
              <w:rPr>
                <w:rFonts w:hint="eastAsia"/>
                <w:sz w:val="20"/>
                <w:szCs w:val="20"/>
              </w:rPr>
              <w:t>处置交易性金融资产取得的投资收益</w:t>
            </w:r>
          </w:p>
        </w:tc>
        <w:tc>
          <w:tcPr>
            <w:tcW w:w="2692" w:type="dxa"/>
            <w:vAlign w:val="center"/>
          </w:tcPr>
          <w:p w14:paraId="164FCEF5">
            <w:pPr>
              <w:jc w:val="right"/>
              <w:rPr>
                <w:rFonts w:ascii="Calibri" w:hAnsi="Calibri"/>
                <w:sz w:val="20"/>
                <w:szCs w:val="20"/>
              </w:rPr>
            </w:pPr>
            <w:r>
              <w:rPr>
                <w:rFonts w:ascii="Calibri" w:hAnsi="Calibri"/>
                <w:sz w:val="20"/>
                <w:szCs w:val="20"/>
              </w:rPr>
              <w:t>1,051,930.43</w:t>
            </w:r>
          </w:p>
        </w:tc>
        <w:tc>
          <w:tcPr>
            <w:tcW w:w="2703" w:type="dxa"/>
            <w:vAlign w:val="center"/>
          </w:tcPr>
          <w:p w14:paraId="3F60F3B2">
            <w:pPr>
              <w:jc w:val="right"/>
              <w:rPr>
                <w:rFonts w:ascii="Calibri" w:hAnsi="Calibri"/>
                <w:sz w:val="20"/>
                <w:szCs w:val="20"/>
              </w:rPr>
            </w:pPr>
            <w:r>
              <w:rPr>
                <w:rFonts w:ascii="Calibri" w:hAnsi="Calibri"/>
                <w:sz w:val="20"/>
                <w:szCs w:val="20"/>
              </w:rPr>
              <w:t>694,870.48</w:t>
            </w:r>
          </w:p>
        </w:tc>
      </w:tr>
      <w:tr w14:paraId="75E6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center"/>
          </w:tcPr>
          <w:p w14:paraId="2921586F">
            <w:pPr>
              <w:pStyle w:val="48"/>
              <w:rPr>
                <w:sz w:val="20"/>
                <w:szCs w:val="20"/>
              </w:rPr>
            </w:pPr>
            <w:r>
              <w:rPr>
                <w:rFonts w:hint="eastAsia"/>
                <w:sz w:val="20"/>
                <w:szCs w:val="20"/>
              </w:rPr>
              <w:t>处置其他权益工具投资取得的投资收益</w:t>
            </w:r>
          </w:p>
        </w:tc>
        <w:tc>
          <w:tcPr>
            <w:tcW w:w="2692" w:type="dxa"/>
            <w:vAlign w:val="center"/>
          </w:tcPr>
          <w:p w14:paraId="6189542D">
            <w:pPr>
              <w:jc w:val="right"/>
              <w:rPr>
                <w:rFonts w:ascii="Calibri" w:hAnsi="Calibri"/>
                <w:sz w:val="20"/>
                <w:szCs w:val="20"/>
              </w:rPr>
            </w:pPr>
          </w:p>
        </w:tc>
        <w:tc>
          <w:tcPr>
            <w:tcW w:w="2703" w:type="dxa"/>
            <w:vAlign w:val="center"/>
          </w:tcPr>
          <w:p w14:paraId="678B0E2B">
            <w:pPr>
              <w:jc w:val="right"/>
              <w:rPr>
                <w:rFonts w:ascii="Calibri" w:hAnsi="Calibri"/>
                <w:sz w:val="20"/>
                <w:szCs w:val="20"/>
              </w:rPr>
            </w:pPr>
          </w:p>
        </w:tc>
      </w:tr>
      <w:tr w14:paraId="4FAD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center"/>
          </w:tcPr>
          <w:p w14:paraId="0AFCBAAE">
            <w:pPr>
              <w:pStyle w:val="48"/>
              <w:rPr>
                <w:sz w:val="20"/>
                <w:szCs w:val="20"/>
              </w:rPr>
            </w:pPr>
            <w:r>
              <w:rPr>
                <w:rFonts w:hint="eastAsia"/>
                <w:sz w:val="20"/>
                <w:szCs w:val="20"/>
              </w:rPr>
              <w:t>处置债权投资取得的投资收益</w:t>
            </w:r>
          </w:p>
        </w:tc>
        <w:tc>
          <w:tcPr>
            <w:tcW w:w="2692" w:type="dxa"/>
            <w:vAlign w:val="center"/>
          </w:tcPr>
          <w:p w14:paraId="61A23F8E">
            <w:pPr>
              <w:jc w:val="right"/>
              <w:rPr>
                <w:rFonts w:ascii="Calibri" w:hAnsi="Calibri"/>
                <w:sz w:val="20"/>
                <w:szCs w:val="20"/>
              </w:rPr>
            </w:pPr>
          </w:p>
        </w:tc>
        <w:tc>
          <w:tcPr>
            <w:tcW w:w="2703" w:type="dxa"/>
            <w:vAlign w:val="center"/>
          </w:tcPr>
          <w:p w14:paraId="351AC920">
            <w:pPr>
              <w:jc w:val="right"/>
              <w:rPr>
                <w:rFonts w:ascii="Calibri" w:hAnsi="Calibri"/>
                <w:sz w:val="20"/>
                <w:szCs w:val="20"/>
              </w:rPr>
            </w:pPr>
          </w:p>
        </w:tc>
      </w:tr>
      <w:tr w14:paraId="675F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center"/>
          </w:tcPr>
          <w:p w14:paraId="09126B58">
            <w:pPr>
              <w:pStyle w:val="48"/>
              <w:rPr>
                <w:sz w:val="20"/>
                <w:szCs w:val="20"/>
              </w:rPr>
            </w:pPr>
            <w:r>
              <w:rPr>
                <w:rFonts w:hint="eastAsia"/>
                <w:sz w:val="20"/>
                <w:szCs w:val="20"/>
              </w:rPr>
              <w:t>处置其他债权投资取得的投资收益</w:t>
            </w:r>
          </w:p>
        </w:tc>
        <w:tc>
          <w:tcPr>
            <w:tcW w:w="2692" w:type="dxa"/>
            <w:vAlign w:val="center"/>
          </w:tcPr>
          <w:p w14:paraId="1FCB6192">
            <w:pPr>
              <w:jc w:val="right"/>
              <w:rPr>
                <w:rFonts w:ascii="Calibri" w:hAnsi="Calibri"/>
                <w:sz w:val="20"/>
                <w:szCs w:val="20"/>
              </w:rPr>
            </w:pPr>
          </w:p>
        </w:tc>
        <w:tc>
          <w:tcPr>
            <w:tcW w:w="2703" w:type="dxa"/>
            <w:vAlign w:val="center"/>
          </w:tcPr>
          <w:p w14:paraId="32C70047">
            <w:pPr>
              <w:jc w:val="right"/>
              <w:rPr>
                <w:rFonts w:ascii="Calibri" w:hAnsi="Calibri"/>
                <w:sz w:val="20"/>
                <w:szCs w:val="20"/>
              </w:rPr>
            </w:pPr>
          </w:p>
        </w:tc>
      </w:tr>
      <w:tr w14:paraId="1588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center"/>
          </w:tcPr>
          <w:p w14:paraId="2F428956">
            <w:pPr>
              <w:pStyle w:val="48"/>
              <w:rPr>
                <w:sz w:val="20"/>
                <w:szCs w:val="20"/>
              </w:rPr>
            </w:pPr>
            <w:r>
              <w:rPr>
                <w:rFonts w:hint="eastAsia"/>
                <w:sz w:val="20"/>
                <w:szCs w:val="20"/>
              </w:rPr>
              <w:t>债务重组收益</w:t>
            </w:r>
          </w:p>
        </w:tc>
        <w:tc>
          <w:tcPr>
            <w:tcW w:w="2692" w:type="dxa"/>
            <w:vAlign w:val="center"/>
          </w:tcPr>
          <w:p w14:paraId="70A4DD02">
            <w:pPr>
              <w:jc w:val="right"/>
              <w:rPr>
                <w:rFonts w:ascii="Calibri" w:hAnsi="Calibri"/>
                <w:sz w:val="20"/>
                <w:szCs w:val="20"/>
              </w:rPr>
            </w:pPr>
          </w:p>
        </w:tc>
        <w:tc>
          <w:tcPr>
            <w:tcW w:w="2703" w:type="dxa"/>
            <w:vAlign w:val="center"/>
          </w:tcPr>
          <w:p w14:paraId="27EC5782">
            <w:pPr>
              <w:jc w:val="right"/>
              <w:rPr>
                <w:rFonts w:ascii="Calibri" w:hAnsi="Calibri"/>
                <w:sz w:val="20"/>
                <w:szCs w:val="20"/>
              </w:rPr>
            </w:pPr>
          </w:p>
        </w:tc>
      </w:tr>
      <w:tr w14:paraId="5EDB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center"/>
          </w:tcPr>
          <w:p w14:paraId="0BECB313">
            <w:pPr>
              <w:jc w:val="center"/>
              <w:rPr>
                <w:rFonts w:ascii="Calibri" w:hAnsi="Calibri"/>
                <w:sz w:val="20"/>
                <w:szCs w:val="20"/>
              </w:rPr>
            </w:pPr>
            <w:r>
              <w:rPr>
                <w:rFonts w:hint="eastAsia" w:ascii="Calibri" w:hAnsi="Calibri"/>
                <w:sz w:val="20"/>
                <w:szCs w:val="20"/>
              </w:rPr>
              <w:t>合计</w:t>
            </w:r>
          </w:p>
        </w:tc>
        <w:tc>
          <w:tcPr>
            <w:tcW w:w="2692" w:type="dxa"/>
            <w:vAlign w:val="center"/>
          </w:tcPr>
          <w:p w14:paraId="16A16CC6">
            <w:pPr>
              <w:jc w:val="right"/>
              <w:rPr>
                <w:rFonts w:ascii="Calibri" w:hAnsi="Calibri"/>
                <w:sz w:val="20"/>
                <w:szCs w:val="20"/>
              </w:rPr>
            </w:pPr>
            <w:r>
              <w:rPr>
                <w:rFonts w:ascii="Calibri" w:hAnsi="Calibri"/>
                <w:sz w:val="20"/>
                <w:szCs w:val="20"/>
              </w:rPr>
              <w:t>1,179,592,079.77</w:t>
            </w:r>
          </w:p>
        </w:tc>
        <w:tc>
          <w:tcPr>
            <w:tcW w:w="2703" w:type="dxa"/>
            <w:vAlign w:val="center"/>
          </w:tcPr>
          <w:p w14:paraId="4709ECD5">
            <w:pPr>
              <w:jc w:val="right"/>
              <w:rPr>
                <w:rFonts w:ascii="Calibri" w:hAnsi="Calibri"/>
                <w:sz w:val="20"/>
                <w:szCs w:val="20"/>
              </w:rPr>
            </w:pPr>
            <w:r>
              <w:rPr>
                <w:rFonts w:ascii="Calibri" w:hAnsi="Calibri"/>
                <w:sz w:val="20"/>
                <w:szCs w:val="20"/>
              </w:rPr>
              <w:t>122,904,943.19</w:t>
            </w:r>
          </w:p>
        </w:tc>
      </w:tr>
      <w:bookmarkEnd w:id="360"/>
    </w:tbl>
    <w:p w14:paraId="6430AFFC">
      <w:pPr>
        <w:autoSpaceDE w:val="0"/>
        <w:autoSpaceDN w:val="0"/>
        <w:adjustRightInd w:val="0"/>
      </w:pPr>
    </w:p>
    <w:p w14:paraId="31D74283">
      <w:pPr>
        <w:autoSpaceDE w:val="0"/>
        <w:autoSpaceDN w:val="0"/>
        <w:adjustRightInd w:val="0"/>
      </w:pPr>
    </w:p>
    <w:bookmarkEnd w:id="359"/>
    <w:p w14:paraId="065810F1">
      <w:pPr>
        <w:pStyle w:val="4"/>
        <w:numPr>
          <w:ilvl w:val="0"/>
          <w:numId w:val="61"/>
        </w:numPr>
        <w:rPr>
          <w:szCs w:val="21"/>
        </w:rPr>
      </w:pPr>
      <w:r>
        <w:rPr>
          <w:szCs w:val="21"/>
        </w:rPr>
        <w:t>净敞口套期收益</w:t>
      </w:r>
    </w:p>
    <w:sdt>
      <w:sdtPr>
        <w:alias w:val="是否适用：净敞口套期收益[双击切换]"/>
        <w:tag w:val="_GBC_0b9c0635e78547e1b23b27daf08672cd"/>
        <w:id w:val="1832328747"/>
        <w:placeholder>
          <w:docPart w:val="GBC22222222222222222222222222222"/>
        </w:placeholder>
      </w:sdtPr>
      <w:sdtContent>
        <w:p w14:paraId="11B960E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47BCC93">
      <w:pPr>
        <w:autoSpaceDE w:val="0"/>
        <w:autoSpaceDN w:val="0"/>
        <w:adjustRightInd w:val="0"/>
      </w:pPr>
    </w:p>
    <w:p w14:paraId="49FA5795">
      <w:pPr>
        <w:autoSpaceDE w:val="0"/>
        <w:autoSpaceDN w:val="0"/>
        <w:adjustRightInd w:val="0"/>
      </w:pPr>
    </w:p>
    <w:p w14:paraId="2F9702A3">
      <w:pPr>
        <w:pStyle w:val="4"/>
        <w:numPr>
          <w:ilvl w:val="0"/>
          <w:numId w:val="61"/>
        </w:numPr>
        <w:rPr>
          <w:szCs w:val="21"/>
        </w:rPr>
      </w:pPr>
      <w:bookmarkStart w:id="361" w:name="_Hlk534895224"/>
      <w:r>
        <w:rPr>
          <w:szCs w:val="21"/>
        </w:rPr>
        <w:t>公允价值变动收益</w:t>
      </w:r>
    </w:p>
    <w:sdt>
      <w:sdtPr>
        <w:alias w:val="是否适用：公允价值变动收益[双击切换]"/>
        <w:tag w:val="_GBC_703e46a239ba45afa37afdd4dcae0cb4"/>
        <w:id w:val="1498919370"/>
        <w:placeholder>
          <w:docPart w:val="GBC22222222222222222222222222222"/>
        </w:placeholder>
      </w:sdtPr>
      <w:sdtContent>
        <w:p w14:paraId="3DF8CE76">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BDCCA25">
      <w:pPr>
        <w:jc w:val="right"/>
      </w:pPr>
      <w:r>
        <w:rPr>
          <w:rFonts w:hint="eastAsia"/>
        </w:rPr>
        <w:t>单位：</w:t>
      </w:r>
      <w:sdt>
        <w:sdtPr>
          <w:rPr>
            <w:rFonts w:hint="eastAsia"/>
          </w:rPr>
          <w:alias w:val="单位：财务附注：公允价值变动收益"/>
          <w:tag w:val="_GBC_c4e1118ffbdf4d6f90815a9b487cc79b"/>
          <w:id w:val="-3151114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公允价值变动收益"/>
          <w:tag w:val="_GBC_704565e01a4148fe85dcf135bb9be9b6"/>
          <w:id w:val="-3960532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6"/>
        <w:gridCol w:w="2825"/>
        <w:gridCol w:w="2825"/>
      </w:tblGrid>
      <w:tr w14:paraId="4C52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e9a92135b46440eb6d0daa39f0ec40f"/>
            <w:id w:val="1380506064"/>
          </w:sdtPr>
          <w:sdtContent>
            <w:tc>
              <w:tcPr>
                <w:tcW w:w="3396" w:type="dxa"/>
                <w:tcBorders>
                  <w:top w:val="single" w:color="auto" w:sz="4" w:space="0"/>
                  <w:left w:val="single" w:color="auto" w:sz="4" w:space="0"/>
                  <w:bottom w:val="single" w:color="auto" w:sz="4" w:space="0"/>
                  <w:right w:val="single" w:color="auto" w:sz="4" w:space="0"/>
                </w:tcBorders>
                <w:vAlign w:val="center"/>
              </w:tcPr>
              <w:p w14:paraId="7F30DFDA">
                <w:pPr>
                  <w:autoSpaceDE w:val="0"/>
                  <w:autoSpaceDN w:val="0"/>
                  <w:adjustRightInd w:val="0"/>
                  <w:jc w:val="center"/>
                  <w:rPr>
                    <w:rFonts w:ascii="Calibri" w:hAnsi="Calibri"/>
                    <w:sz w:val="20"/>
                    <w:szCs w:val="20"/>
                  </w:rPr>
                </w:pPr>
                <w:r>
                  <w:rPr>
                    <w:rFonts w:hint="eastAsia" w:ascii="Calibri" w:hAnsi="Calibri"/>
                    <w:sz w:val="20"/>
                    <w:szCs w:val="20"/>
                  </w:rPr>
                  <w:t>产生公允价值变动收益的来源</w:t>
                </w:r>
              </w:p>
            </w:tc>
          </w:sdtContent>
        </w:sdt>
        <w:sdt>
          <w:sdtPr>
            <w:tag w:val="_PLD_7cd0c8223b6b499990a24553e928cba4"/>
            <w:id w:val="1764887220"/>
          </w:sdtPr>
          <w:sdtContent>
            <w:tc>
              <w:tcPr>
                <w:tcW w:w="2825" w:type="dxa"/>
                <w:tcBorders>
                  <w:top w:val="single" w:color="auto" w:sz="4" w:space="0"/>
                  <w:left w:val="single" w:color="auto" w:sz="4" w:space="0"/>
                  <w:bottom w:val="single" w:color="auto" w:sz="4" w:space="0"/>
                  <w:right w:val="single" w:color="auto" w:sz="4" w:space="0"/>
                </w:tcBorders>
                <w:vAlign w:val="center"/>
              </w:tcPr>
              <w:p w14:paraId="132472BA">
                <w:pPr>
                  <w:autoSpaceDE w:val="0"/>
                  <w:autoSpaceDN w:val="0"/>
                  <w:adjustRightInd w:val="0"/>
                  <w:jc w:val="center"/>
                  <w:rPr>
                    <w:rFonts w:ascii="Calibri" w:hAnsi="Calibri"/>
                    <w:sz w:val="20"/>
                    <w:szCs w:val="20"/>
                  </w:rPr>
                </w:pPr>
                <w:r>
                  <w:rPr>
                    <w:rFonts w:hint="eastAsia" w:ascii="Calibri" w:hAnsi="Calibri"/>
                    <w:sz w:val="20"/>
                    <w:szCs w:val="20"/>
                  </w:rPr>
                  <w:t>本期发生额</w:t>
                </w:r>
              </w:p>
            </w:tc>
          </w:sdtContent>
        </w:sdt>
        <w:sdt>
          <w:sdtPr>
            <w:tag w:val="_PLD_1ebddc94af9345a99e7800415f9811c7"/>
            <w:id w:val="-119613911"/>
          </w:sdtPr>
          <w:sdtContent>
            <w:tc>
              <w:tcPr>
                <w:tcW w:w="2825" w:type="dxa"/>
                <w:tcBorders>
                  <w:top w:val="single" w:color="auto" w:sz="4" w:space="0"/>
                  <w:left w:val="single" w:color="auto" w:sz="4" w:space="0"/>
                  <w:bottom w:val="single" w:color="auto" w:sz="4" w:space="0"/>
                  <w:right w:val="single" w:color="auto" w:sz="4" w:space="0"/>
                </w:tcBorders>
                <w:vAlign w:val="center"/>
              </w:tcPr>
              <w:p w14:paraId="2FF2AE0D">
                <w:pPr>
                  <w:autoSpaceDE w:val="0"/>
                  <w:autoSpaceDN w:val="0"/>
                  <w:adjustRightInd w:val="0"/>
                  <w:jc w:val="center"/>
                  <w:rPr>
                    <w:rFonts w:ascii="Calibri" w:hAnsi="Calibri"/>
                    <w:sz w:val="20"/>
                    <w:szCs w:val="20"/>
                  </w:rPr>
                </w:pPr>
                <w:r>
                  <w:rPr>
                    <w:rFonts w:hint="eastAsia" w:ascii="Calibri" w:hAnsi="Calibri"/>
                    <w:sz w:val="20"/>
                    <w:szCs w:val="20"/>
                  </w:rPr>
                  <w:t>上期发生额</w:t>
                </w:r>
              </w:p>
            </w:tc>
          </w:sdtContent>
        </w:sdt>
      </w:tr>
      <w:tr w14:paraId="6976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6" w:type="dxa"/>
            <w:tcBorders>
              <w:top w:val="single" w:color="auto" w:sz="4" w:space="0"/>
              <w:left w:val="single" w:color="auto" w:sz="4" w:space="0"/>
              <w:bottom w:val="single" w:color="auto" w:sz="4" w:space="0"/>
              <w:right w:val="single" w:color="auto" w:sz="4" w:space="0"/>
            </w:tcBorders>
            <w:vAlign w:val="center"/>
          </w:tcPr>
          <w:p w14:paraId="5059A604">
            <w:pPr>
              <w:pStyle w:val="48"/>
              <w:rPr>
                <w:sz w:val="20"/>
                <w:szCs w:val="20"/>
              </w:rPr>
            </w:pPr>
            <w:r>
              <w:rPr>
                <w:rFonts w:hint="eastAsia"/>
                <w:sz w:val="20"/>
                <w:szCs w:val="20"/>
              </w:rPr>
              <w:t>交易性金融资产</w:t>
            </w:r>
          </w:p>
        </w:tc>
        <w:tc>
          <w:tcPr>
            <w:tcW w:w="2825" w:type="dxa"/>
            <w:tcBorders>
              <w:top w:val="single" w:color="auto" w:sz="4" w:space="0"/>
              <w:left w:val="single" w:color="auto" w:sz="4" w:space="0"/>
              <w:bottom w:val="single" w:color="auto" w:sz="4" w:space="0"/>
              <w:right w:val="single" w:color="auto" w:sz="4" w:space="0"/>
            </w:tcBorders>
            <w:vAlign w:val="center"/>
          </w:tcPr>
          <w:p w14:paraId="2858EEEF">
            <w:pPr>
              <w:autoSpaceDE w:val="0"/>
              <w:autoSpaceDN w:val="0"/>
              <w:adjustRightInd w:val="0"/>
              <w:jc w:val="right"/>
              <w:rPr>
                <w:rFonts w:ascii="Calibri" w:hAnsi="Calibri"/>
                <w:sz w:val="20"/>
                <w:szCs w:val="20"/>
              </w:rPr>
            </w:pPr>
            <w:r>
              <w:rPr>
                <w:rFonts w:ascii="Calibri" w:hAnsi="Calibri"/>
                <w:sz w:val="20"/>
                <w:szCs w:val="20"/>
              </w:rPr>
              <w:t>218,438.36</w:t>
            </w:r>
          </w:p>
        </w:tc>
        <w:tc>
          <w:tcPr>
            <w:tcW w:w="2825" w:type="dxa"/>
            <w:tcBorders>
              <w:top w:val="single" w:color="auto" w:sz="4" w:space="0"/>
              <w:left w:val="single" w:color="auto" w:sz="4" w:space="0"/>
              <w:bottom w:val="single" w:color="auto" w:sz="4" w:space="0"/>
              <w:right w:val="single" w:color="auto" w:sz="4" w:space="0"/>
            </w:tcBorders>
            <w:vAlign w:val="center"/>
          </w:tcPr>
          <w:p w14:paraId="53F921A2">
            <w:pPr>
              <w:autoSpaceDE w:val="0"/>
              <w:autoSpaceDN w:val="0"/>
              <w:adjustRightInd w:val="0"/>
              <w:jc w:val="right"/>
              <w:rPr>
                <w:rFonts w:ascii="Calibri" w:hAnsi="Calibri"/>
                <w:sz w:val="20"/>
                <w:szCs w:val="20"/>
              </w:rPr>
            </w:pPr>
            <w:r>
              <w:rPr>
                <w:rFonts w:ascii="Calibri" w:hAnsi="Calibri"/>
                <w:sz w:val="20"/>
                <w:szCs w:val="20"/>
              </w:rPr>
              <w:t>400,927.52</w:t>
            </w:r>
          </w:p>
        </w:tc>
      </w:tr>
      <w:tr w14:paraId="3690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6" w:type="dxa"/>
            <w:tcBorders>
              <w:top w:val="single" w:color="auto" w:sz="4" w:space="0"/>
              <w:left w:val="single" w:color="auto" w:sz="4" w:space="0"/>
              <w:bottom w:val="single" w:color="auto" w:sz="4" w:space="0"/>
              <w:right w:val="single" w:color="auto" w:sz="4" w:space="0"/>
            </w:tcBorders>
            <w:vAlign w:val="center"/>
          </w:tcPr>
          <w:p w14:paraId="572CE49C">
            <w:pPr>
              <w:pStyle w:val="48"/>
              <w:rPr>
                <w:sz w:val="20"/>
                <w:szCs w:val="20"/>
              </w:rPr>
            </w:pPr>
            <w:r>
              <w:rPr>
                <w:rFonts w:hint="eastAsia"/>
                <w:sz w:val="20"/>
                <w:szCs w:val="20"/>
              </w:rPr>
              <w:t>其中：银行理财产品产生的公允价值变动收益</w:t>
            </w:r>
          </w:p>
        </w:tc>
        <w:tc>
          <w:tcPr>
            <w:tcW w:w="2825" w:type="dxa"/>
            <w:tcBorders>
              <w:top w:val="single" w:color="auto" w:sz="4" w:space="0"/>
              <w:left w:val="single" w:color="auto" w:sz="4" w:space="0"/>
              <w:bottom w:val="single" w:color="auto" w:sz="4" w:space="0"/>
              <w:right w:val="single" w:color="auto" w:sz="4" w:space="0"/>
            </w:tcBorders>
            <w:vAlign w:val="center"/>
          </w:tcPr>
          <w:p w14:paraId="2A11213B">
            <w:pPr>
              <w:autoSpaceDE w:val="0"/>
              <w:autoSpaceDN w:val="0"/>
              <w:adjustRightInd w:val="0"/>
              <w:jc w:val="right"/>
              <w:rPr>
                <w:rFonts w:ascii="Calibri" w:hAnsi="Calibri"/>
                <w:sz w:val="20"/>
                <w:szCs w:val="20"/>
              </w:rPr>
            </w:pPr>
            <w:r>
              <w:rPr>
                <w:rFonts w:ascii="Calibri" w:hAnsi="Calibri"/>
                <w:sz w:val="20"/>
                <w:szCs w:val="20"/>
              </w:rPr>
              <w:t>218,438.36</w:t>
            </w:r>
          </w:p>
        </w:tc>
        <w:tc>
          <w:tcPr>
            <w:tcW w:w="2825" w:type="dxa"/>
            <w:tcBorders>
              <w:top w:val="single" w:color="auto" w:sz="4" w:space="0"/>
              <w:left w:val="single" w:color="auto" w:sz="4" w:space="0"/>
              <w:bottom w:val="single" w:color="auto" w:sz="4" w:space="0"/>
              <w:right w:val="single" w:color="auto" w:sz="4" w:space="0"/>
            </w:tcBorders>
            <w:vAlign w:val="center"/>
          </w:tcPr>
          <w:p w14:paraId="56A273FB">
            <w:pPr>
              <w:autoSpaceDE w:val="0"/>
              <w:autoSpaceDN w:val="0"/>
              <w:adjustRightInd w:val="0"/>
              <w:jc w:val="right"/>
              <w:rPr>
                <w:rFonts w:ascii="Calibri" w:hAnsi="Calibri"/>
                <w:sz w:val="20"/>
                <w:szCs w:val="20"/>
              </w:rPr>
            </w:pPr>
            <w:r>
              <w:rPr>
                <w:rFonts w:ascii="Calibri" w:hAnsi="Calibri"/>
                <w:sz w:val="20"/>
                <w:szCs w:val="20"/>
              </w:rPr>
              <w:t>400,927.52</w:t>
            </w:r>
          </w:p>
        </w:tc>
      </w:tr>
      <w:tr w14:paraId="542F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6" w:type="dxa"/>
            <w:tcBorders>
              <w:top w:val="single" w:color="auto" w:sz="4" w:space="0"/>
              <w:left w:val="single" w:color="auto" w:sz="4" w:space="0"/>
              <w:bottom w:val="single" w:color="auto" w:sz="4" w:space="0"/>
              <w:right w:val="single" w:color="auto" w:sz="4" w:space="0"/>
            </w:tcBorders>
            <w:vAlign w:val="center"/>
          </w:tcPr>
          <w:p w14:paraId="6081AEFE">
            <w:pPr>
              <w:autoSpaceDE w:val="0"/>
              <w:autoSpaceDN w:val="0"/>
              <w:adjustRightInd w:val="0"/>
              <w:jc w:val="center"/>
              <w:rPr>
                <w:rFonts w:ascii="Calibri" w:hAnsi="Calibri"/>
                <w:sz w:val="20"/>
                <w:szCs w:val="20"/>
              </w:rPr>
            </w:pPr>
            <w:r>
              <w:rPr>
                <w:rFonts w:hint="eastAsia" w:ascii="Calibri" w:hAnsi="Calibri"/>
                <w:sz w:val="20"/>
                <w:szCs w:val="20"/>
              </w:rPr>
              <w:t>合计</w:t>
            </w:r>
          </w:p>
        </w:tc>
        <w:tc>
          <w:tcPr>
            <w:tcW w:w="2825" w:type="dxa"/>
            <w:tcBorders>
              <w:top w:val="single" w:color="auto" w:sz="4" w:space="0"/>
              <w:left w:val="single" w:color="auto" w:sz="4" w:space="0"/>
              <w:bottom w:val="single" w:color="auto" w:sz="4" w:space="0"/>
              <w:right w:val="single" w:color="auto" w:sz="4" w:space="0"/>
            </w:tcBorders>
            <w:vAlign w:val="center"/>
          </w:tcPr>
          <w:p w14:paraId="051661A0">
            <w:pPr>
              <w:jc w:val="right"/>
              <w:rPr>
                <w:rFonts w:ascii="Calibri" w:hAnsi="Calibri"/>
                <w:sz w:val="20"/>
                <w:szCs w:val="20"/>
              </w:rPr>
            </w:pPr>
            <w:r>
              <w:rPr>
                <w:rFonts w:ascii="Calibri" w:hAnsi="Calibri"/>
                <w:sz w:val="20"/>
                <w:szCs w:val="20"/>
              </w:rPr>
              <w:t>218,438.36</w:t>
            </w:r>
          </w:p>
        </w:tc>
        <w:tc>
          <w:tcPr>
            <w:tcW w:w="2825" w:type="dxa"/>
            <w:tcBorders>
              <w:top w:val="single" w:color="auto" w:sz="4" w:space="0"/>
              <w:left w:val="single" w:color="auto" w:sz="4" w:space="0"/>
              <w:bottom w:val="single" w:color="auto" w:sz="4" w:space="0"/>
              <w:right w:val="single" w:color="auto" w:sz="4" w:space="0"/>
            </w:tcBorders>
            <w:vAlign w:val="center"/>
          </w:tcPr>
          <w:p w14:paraId="71B18D60">
            <w:pPr>
              <w:autoSpaceDE w:val="0"/>
              <w:autoSpaceDN w:val="0"/>
              <w:adjustRightInd w:val="0"/>
              <w:jc w:val="right"/>
              <w:rPr>
                <w:rFonts w:ascii="Calibri" w:hAnsi="Calibri"/>
                <w:sz w:val="20"/>
                <w:szCs w:val="20"/>
              </w:rPr>
            </w:pPr>
            <w:r>
              <w:rPr>
                <w:rFonts w:ascii="Calibri" w:hAnsi="Calibri"/>
                <w:sz w:val="20"/>
                <w:szCs w:val="20"/>
              </w:rPr>
              <w:t>400,927.52</w:t>
            </w:r>
          </w:p>
        </w:tc>
      </w:tr>
    </w:tbl>
    <w:p w14:paraId="4AF1CC04">
      <w:pPr>
        <w:pStyle w:val="48"/>
      </w:pPr>
    </w:p>
    <w:p w14:paraId="4170F3B0">
      <w:pPr>
        <w:rPr>
          <w:rFonts w:cstheme="minorBidi"/>
          <w:kern w:val="2"/>
        </w:rPr>
      </w:pPr>
    </w:p>
    <w:bookmarkEnd w:id="361"/>
    <w:p w14:paraId="7B921651">
      <w:pPr>
        <w:pStyle w:val="4"/>
        <w:numPr>
          <w:ilvl w:val="0"/>
          <w:numId w:val="61"/>
        </w:numPr>
        <w:rPr>
          <w:szCs w:val="21"/>
        </w:rPr>
      </w:pPr>
      <w:r>
        <w:rPr>
          <w:szCs w:val="21"/>
        </w:rPr>
        <w:t>信用减值损失</w:t>
      </w:r>
    </w:p>
    <w:sdt>
      <w:sdtPr>
        <w:alias w:val="是否适用：信用减值损失[双击切换]"/>
        <w:tag w:val="_GBC_3e1c9d9dad6c4530991d2befd4b098e3"/>
        <w:id w:val="2083244875"/>
        <w:placeholder>
          <w:docPart w:val="GBC22222222222222222222222222222"/>
        </w:placeholder>
      </w:sdtPr>
      <w:sdtContent>
        <w:p w14:paraId="5B8FE72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59C3D64">
      <w:pPr>
        <w:pStyle w:val="30"/>
        <w:ind w:left="420" w:firstLine="0" w:firstLineChars="0"/>
        <w:jc w:val="right"/>
      </w:pPr>
      <w:r>
        <w:rPr>
          <w:rFonts w:hint="eastAsia"/>
        </w:rPr>
        <w:t>单位：</w:t>
      </w:r>
      <w:sdt>
        <w:sdtPr>
          <w:rPr>
            <w:rFonts w:hint="eastAsia"/>
          </w:rPr>
          <w:alias w:val="单位：信用减值损失"/>
          <w:tag w:val="_GBC_64c0f12c02d44b548838a6936d90e525"/>
          <w:id w:val="16409205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信用减值损失"/>
          <w:tag w:val="_GBC_4d6a964234bf4666a052d68fb8b9d060"/>
          <w:id w:val="13861422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0"/>
        <w:gridCol w:w="2687"/>
        <w:gridCol w:w="2711"/>
      </w:tblGrid>
      <w:tr w14:paraId="5094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2efbc222fba4f8b87e71fbd7550f57d"/>
            <w:id w:val="1671301723"/>
          </w:sdtPr>
          <w:sdtContent>
            <w:tc>
              <w:tcPr>
                <w:tcW w:w="3650" w:type="dxa"/>
                <w:vAlign w:val="center"/>
              </w:tcPr>
              <w:p w14:paraId="0D6AFB4B">
                <w:pPr>
                  <w:jc w:val="center"/>
                  <w:rPr>
                    <w:rFonts w:ascii="Calibri" w:hAnsi="Calibri"/>
                    <w:sz w:val="20"/>
                    <w:szCs w:val="20"/>
                  </w:rPr>
                </w:pPr>
                <w:r>
                  <w:rPr>
                    <w:rFonts w:hint="eastAsia" w:ascii="Calibri" w:hAnsi="Calibri"/>
                    <w:sz w:val="20"/>
                    <w:szCs w:val="20"/>
                  </w:rPr>
                  <w:t>项目</w:t>
                </w:r>
              </w:p>
            </w:tc>
          </w:sdtContent>
        </w:sdt>
        <w:sdt>
          <w:sdtPr>
            <w:tag w:val="_PLD_57fc93ac35684eca9207e23d2b2d6664"/>
            <w:id w:val="-1821340980"/>
          </w:sdtPr>
          <w:sdtContent>
            <w:tc>
              <w:tcPr>
                <w:tcW w:w="2687" w:type="dxa"/>
                <w:vAlign w:val="center"/>
              </w:tcPr>
              <w:p w14:paraId="2124B9D2">
                <w:pPr>
                  <w:jc w:val="center"/>
                  <w:rPr>
                    <w:rFonts w:ascii="Calibri" w:hAnsi="Calibri"/>
                    <w:sz w:val="20"/>
                    <w:szCs w:val="20"/>
                  </w:rPr>
                </w:pPr>
                <w:r>
                  <w:rPr>
                    <w:rFonts w:hint="eastAsia" w:ascii="Calibri" w:hAnsi="Calibri"/>
                    <w:sz w:val="20"/>
                    <w:szCs w:val="20"/>
                  </w:rPr>
                  <w:t>本期发生额</w:t>
                </w:r>
              </w:p>
            </w:tc>
          </w:sdtContent>
        </w:sdt>
        <w:sdt>
          <w:sdtPr>
            <w:tag w:val="_PLD_ddb6bc4a58314fb2abbbb04ed4af2419"/>
            <w:id w:val="117031440"/>
          </w:sdtPr>
          <w:sdtContent>
            <w:tc>
              <w:tcPr>
                <w:tcW w:w="2711" w:type="dxa"/>
                <w:vAlign w:val="center"/>
              </w:tcPr>
              <w:p w14:paraId="60428AC5">
                <w:pPr>
                  <w:jc w:val="center"/>
                  <w:rPr>
                    <w:rFonts w:ascii="Calibri" w:hAnsi="Calibri"/>
                    <w:sz w:val="20"/>
                    <w:szCs w:val="20"/>
                  </w:rPr>
                </w:pPr>
                <w:r>
                  <w:rPr>
                    <w:rFonts w:hint="eastAsia" w:ascii="Calibri" w:hAnsi="Calibri"/>
                    <w:sz w:val="20"/>
                    <w:szCs w:val="20"/>
                  </w:rPr>
                  <w:t>上期发生额</w:t>
                </w:r>
              </w:p>
            </w:tc>
          </w:sdtContent>
        </w:sdt>
      </w:tr>
      <w:tr w14:paraId="1788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0" w:type="dxa"/>
            <w:vAlign w:val="center"/>
          </w:tcPr>
          <w:p w14:paraId="6F350F3D">
            <w:pPr>
              <w:pStyle w:val="48"/>
              <w:rPr>
                <w:sz w:val="20"/>
                <w:szCs w:val="20"/>
              </w:rPr>
            </w:pPr>
            <w:r>
              <w:rPr>
                <w:rFonts w:hint="eastAsia"/>
                <w:sz w:val="20"/>
                <w:szCs w:val="20"/>
              </w:rPr>
              <w:t>应收票据与应收款项融资坏账损失</w:t>
            </w:r>
          </w:p>
        </w:tc>
        <w:tc>
          <w:tcPr>
            <w:tcW w:w="2687" w:type="dxa"/>
            <w:vAlign w:val="center"/>
          </w:tcPr>
          <w:p w14:paraId="3E02ED70">
            <w:pPr>
              <w:jc w:val="right"/>
              <w:rPr>
                <w:rFonts w:ascii="Calibri" w:hAnsi="Calibri"/>
                <w:sz w:val="20"/>
                <w:szCs w:val="20"/>
              </w:rPr>
            </w:pPr>
            <w:r>
              <w:rPr>
                <w:rFonts w:ascii="Calibri" w:hAnsi="Calibri"/>
                <w:sz w:val="20"/>
                <w:szCs w:val="20"/>
              </w:rPr>
              <w:t>-496,835.35</w:t>
            </w:r>
          </w:p>
        </w:tc>
        <w:tc>
          <w:tcPr>
            <w:tcW w:w="2711" w:type="dxa"/>
            <w:vAlign w:val="center"/>
          </w:tcPr>
          <w:p w14:paraId="15D4FA50">
            <w:pPr>
              <w:jc w:val="right"/>
              <w:rPr>
                <w:rFonts w:ascii="Calibri" w:hAnsi="Calibri"/>
                <w:sz w:val="20"/>
                <w:szCs w:val="20"/>
              </w:rPr>
            </w:pPr>
            <w:r>
              <w:rPr>
                <w:rFonts w:ascii="Calibri" w:hAnsi="Calibri"/>
                <w:sz w:val="20"/>
                <w:szCs w:val="20"/>
              </w:rPr>
              <w:t>165,024.10</w:t>
            </w:r>
          </w:p>
        </w:tc>
      </w:tr>
      <w:tr w14:paraId="3B31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0" w:type="dxa"/>
            <w:vAlign w:val="center"/>
          </w:tcPr>
          <w:p w14:paraId="160CD8B7">
            <w:pPr>
              <w:pStyle w:val="48"/>
              <w:rPr>
                <w:sz w:val="20"/>
                <w:szCs w:val="20"/>
              </w:rPr>
            </w:pPr>
            <w:r>
              <w:rPr>
                <w:rFonts w:hint="eastAsia"/>
                <w:sz w:val="20"/>
                <w:szCs w:val="20"/>
              </w:rPr>
              <w:t>应收账款坏账损失</w:t>
            </w:r>
          </w:p>
        </w:tc>
        <w:tc>
          <w:tcPr>
            <w:tcW w:w="2687" w:type="dxa"/>
            <w:vAlign w:val="center"/>
          </w:tcPr>
          <w:p w14:paraId="18CDDAA4">
            <w:pPr>
              <w:jc w:val="right"/>
              <w:rPr>
                <w:rFonts w:ascii="Calibri" w:hAnsi="Calibri"/>
                <w:sz w:val="20"/>
                <w:szCs w:val="20"/>
              </w:rPr>
            </w:pPr>
            <w:r>
              <w:rPr>
                <w:rFonts w:ascii="Calibri" w:hAnsi="Calibri"/>
                <w:sz w:val="20"/>
                <w:szCs w:val="20"/>
              </w:rPr>
              <w:t>3,843,889.51</w:t>
            </w:r>
          </w:p>
        </w:tc>
        <w:tc>
          <w:tcPr>
            <w:tcW w:w="2711" w:type="dxa"/>
            <w:vAlign w:val="center"/>
          </w:tcPr>
          <w:p w14:paraId="05E347E4">
            <w:pPr>
              <w:jc w:val="right"/>
              <w:rPr>
                <w:rFonts w:ascii="Calibri" w:hAnsi="Calibri"/>
                <w:sz w:val="20"/>
                <w:szCs w:val="20"/>
              </w:rPr>
            </w:pPr>
            <w:r>
              <w:rPr>
                <w:rFonts w:ascii="Calibri" w:hAnsi="Calibri"/>
                <w:sz w:val="20"/>
                <w:szCs w:val="20"/>
              </w:rPr>
              <w:t>15,585,566.90</w:t>
            </w:r>
          </w:p>
        </w:tc>
      </w:tr>
      <w:tr w14:paraId="4874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0" w:type="dxa"/>
            <w:vAlign w:val="center"/>
          </w:tcPr>
          <w:p w14:paraId="61911F05">
            <w:pPr>
              <w:pStyle w:val="48"/>
              <w:rPr>
                <w:sz w:val="20"/>
                <w:szCs w:val="20"/>
              </w:rPr>
            </w:pPr>
            <w:r>
              <w:rPr>
                <w:rFonts w:hint="eastAsia"/>
                <w:sz w:val="20"/>
                <w:szCs w:val="20"/>
              </w:rPr>
              <w:t>其他应收款坏账损失</w:t>
            </w:r>
          </w:p>
        </w:tc>
        <w:tc>
          <w:tcPr>
            <w:tcW w:w="2687" w:type="dxa"/>
            <w:vAlign w:val="center"/>
          </w:tcPr>
          <w:p w14:paraId="32E739CC">
            <w:pPr>
              <w:jc w:val="right"/>
              <w:rPr>
                <w:rFonts w:ascii="Calibri" w:hAnsi="Calibri"/>
                <w:sz w:val="20"/>
                <w:szCs w:val="20"/>
              </w:rPr>
            </w:pPr>
            <w:r>
              <w:rPr>
                <w:rFonts w:ascii="Calibri" w:hAnsi="Calibri"/>
                <w:sz w:val="20"/>
                <w:szCs w:val="20"/>
              </w:rPr>
              <w:t>-452,741.37</w:t>
            </w:r>
          </w:p>
        </w:tc>
        <w:tc>
          <w:tcPr>
            <w:tcW w:w="2711" w:type="dxa"/>
            <w:vAlign w:val="center"/>
          </w:tcPr>
          <w:p w14:paraId="4DC10521">
            <w:pPr>
              <w:jc w:val="right"/>
              <w:rPr>
                <w:rFonts w:ascii="Calibri" w:hAnsi="Calibri"/>
                <w:sz w:val="20"/>
                <w:szCs w:val="20"/>
              </w:rPr>
            </w:pPr>
            <w:r>
              <w:rPr>
                <w:rFonts w:ascii="Calibri" w:hAnsi="Calibri"/>
                <w:sz w:val="20"/>
                <w:szCs w:val="20"/>
              </w:rPr>
              <w:t>-196,740.44</w:t>
            </w:r>
          </w:p>
        </w:tc>
      </w:tr>
      <w:tr w14:paraId="0EE4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0" w:type="dxa"/>
            <w:vAlign w:val="center"/>
          </w:tcPr>
          <w:p w14:paraId="44CB88AF">
            <w:pPr>
              <w:pStyle w:val="48"/>
              <w:rPr>
                <w:sz w:val="20"/>
                <w:szCs w:val="20"/>
              </w:rPr>
            </w:pPr>
            <w:r>
              <w:rPr>
                <w:rFonts w:hint="eastAsia"/>
                <w:sz w:val="20"/>
                <w:szCs w:val="20"/>
              </w:rPr>
              <w:t>债权投资减值损失</w:t>
            </w:r>
          </w:p>
        </w:tc>
        <w:tc>
          <w:tcPr>
            <w:tcW w:w="2687" w:type="dxa"/>
            <w:vAlign w:val="center"/>
          </w:tcPr>
          <w:p w14:paraId="0538D188">
            <w:pPr>
              <w:jc w:val="right"/>
              <w:rPr>
                <w:rFonts w:ascii="Calibri" w:hAnsi="Calibri"/>
                <w:sz w:val="20"/>
                <w:szCs w:val="20"/>
              </w:rPr>
            </w:pPr>
          </w:p>
        </w:tc>
        <w:tc>
          <w:tcPr>
            <w:tcW w:w="2711" w:type="dxa"/>
            <w:vAlign w:val="center"/>
          </w:tcPr>
          <w:p w14:paraId="7E4CCF97">
            <w:pPr>
              <w:jc w:val="right"/>
              <w:rPr>
                <w:rFonts w:ascii="Calibri" w:hAnsi="Calibri"/>
                <w:sz w:val="20"/>
                <w:szCs w:val="20"/>
              </w:rPr>
            </w:pPr>
          </w:p>
        </w:tc>
      </w:tr>
      <w:tr w14:paraId="7C0F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0" w:type="dxa"/>
            <w:vAlign w:val="center"/>
          </w:tcPr>
          <w:p w14:paraId="7A26E63B">
            <w:pPr>
              <w:pStyle w:val="48"/>
              <w:rPr>
                <w:sz w:val="20"/>
                <w:szCs w:val="20"/>
              </w:rPr>
            </w:pPr>
            <w:r>
              <w:rPr>
                <w:rFonts w:hint="eastAsia"/>
                <w:sz w:val="20"/>
                <w:szCs w:val="20"/>
              </w:rPr>
              <w:t>其他债权投资减值损失</w:t>
            </w:r>
          </w:p>
        </w:tc>
        <w:tc>
          <w:tcPr>
            <w:tcW w:w="2687" w:type="dxa"/>
            <w:vAlign w:val="center"/>
          </w:tcPr>
          <w:p w14:paraId="7448D98E">
            <w:pPr>
              <w:jc w:val="right"/>
              <w:rPr>
                <w:rFonts w:ascii="Calibri" w:hAnsi="Calibri"/>
                <w:sz w:val="20"/>
                <w:szCs w:val="20"/>
              </w:rPr>
            </w:pPr>
          </w:p>
        </w:tc>
        <w:tc>
          <w:tcPr>
            <w:tcW w:w="2711" w:type="dxa"/>
            <w:vAlign w:val="center"/>
          </w:tcPr>
          <w:p w14:paraId="70C63D98">
            <w:pPr>
              <w:jc w:val="right"/>
              <w:rPr>
                <w:rFonts w:ascii="Calibri" w:hAnsi="Calibri"/>
                <w:sz w:val="20"/>
                <w:szCs w:val="20"/>
              </w:rPr>
            </w:pPr>
          </w:p>
        </w:tc>
      </w:tr>
      <w:tr w14:paraId="0B8A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0" w:type="dxa"/>
            <w:vAlign w:val="center"/>
          </w:tcPr>
          <w:p w14:paraId="24D3AD78">
            <w:pPr>
              <w:pStyle w:val="48"/>
              <w:rPr>
                <w:sz w:val="20"/>
                <w:szCs w:val="20"/>
              </w:rPr>
            </w:pPr>
            <w:r>
              <w:rPr>
                <w:rFonts w:hint="eastAsia"/>
                <w:sz w:val="20"/>
                <w:szCs w:val="20"/>
              </w:rPr>
              <w:t>长期应收款坏账损失</w:t>
            </w:r>
          </w:p>
        </w:tc>
        <w:tc>
          <w:tcPr>
            <w:tcW w:w="2687" w:type="dxa"/>
            <w:vAlign w:val="center"/>
          </w:tcPr>
          <w:p w14:paraId="735020FE">
            <w:pPr>
              <w:jc w:val="right"/>
              <w:rPr>
                <w:rFonts w:ascii="Calibri" w:hAnsi="Calibri"/>
                <w:sz w:val="20"/>
                <w:szCs w:val="20"/>
              </w:rPr>
            </w:pPr>
          </w:p>
        </w:tc>
        <w:tc>
          <w:tcPr>
            <w:tcW w:w="2711" w:type="dxa"/>
            <w:vAlign w:val="center"/>
          </w:tcPr>
          <w:p w14:paraId="71605707">
            <w:pPr>
              <w:jc w:val="right"/>
              <w:rPr>
                <w:rFonts w:ascii="Calibri" w:hAnsi="Calibri"/>
                <w:sz w:val="20"/>
                <w:szCs w:val="20"/>
              </w:rPr>
            </w:pPr>
          </w:p>
        </w:tc>
      </w:tr>
      <w:tr w14:paraId="4F8A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0" w:type="dxa"/>
            <w:vAlign w:val="center"/>
          </w:tcPr>
          <w:p w14:paraId="0CC986B9">
            <w:pPr>
              <w:pStyle w:val="48"/>
              <w:rPr>
                <w:sz w:val="20"/>
                <w:szCs w:val="20"/>
              </w:rPr>
            </w:pPr>
            <w:r>
              <w:rPr>
                <w:rFonts w:hint="eastAsia"/>
                <w:sz w:val="20"/>
                <w:szCs w:val="20"/>
              </w:rPr>
              <w:t>财务担保相关减值损失</w:t>
            </w:r>
          </w:p>
        </w:tc>
        <w:tc>
          <w:tcPr>
            <w:tcW w:w="2687" w:type="dxa"/>
            <w:vAlign w:val="center"/>
          </w:tcPr>
          <w:p w14:paraId="68AB3A0A">
            <w:pPr>
              <w:jc w:val="right"/>
              <w:rPr>
                <w:rFonts w:ascii="Calibri" w:hAnsi="Calibri"/>
                <w:sz w:val="20"/>
                <w:szCs w:val="20"/>
              </w:rPr>
            </w:pPr>
          </w:p>
        </w:tc>
        <w:tc>
          <w:tcPr>
            <w:tcW w:w="2711" w:type="dxa"/>
            <w:vAlign w:val="center"/>
          </w:tcPr>
          <w:p w14:paraId="1E337299">
            <w:pPr>
              <w:jc w:val="right"/>
              <w:rPr>
                <w:rFonts w:ascii="Calibri" w:hAnsi="Calibri"/>
                <w:sz w:val="20"/>
                <w:szCs w:val="20"/>
              </w:rPr>
            </w:pPr>
          </w:p>
        </w:tc>
      </w:tr>
      <w:tr w14:paraId="29B0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0" w:type="dxa"/>
            <w:vAlign w:val="center"/>
          </w:tcPr>
          <w:p w14:paraId="3A4A45EA">
            <w:pPr>
              <w:jc w:val="center"/>
              <w:rPr>
                <w:rFonts w:ascii="Calibri" w:hAnsi="Calibri"/>
                <w:sz w:val="20"/>
                <w:szCs w:val="20"/>
              </w:rPr>
            </w:pPr>
            <w:r>
              <w:rPr>
                <w:rFonts w:hint="eastAsia" w:ascii="Calibri" w:hAnsi="Calibri"/>
                <w:sz w:val="20"/>
                <w:szCs w:val="20"/>
              </w:rPr>
              <w:t>合计</w:t>
            </w:r>
          </w:p>
        </w:tc>
        <w:tc>
          <w:tcPr>
            <w:tcW w:w="2687" w:type="dxa"/>
            <w:vAlign w:val="center"/>
          </w:tcPr>
          <w:p w14:paraId="697BB9B6">
            <w:pPr>
              <w:jc w:val="right"/>
              <w:rPr>
                <w:rFonts w:ascii="Calibri" w:hAnsi="Calibri"/>
                <w:sz w:val="20"/>
                <w:szCs w:val="20"/>
              </w:rPr>
            </w:pPr>
            <w:r>
              <w:rPr>
                <w:rFonts w:ascii="Calibri" w:hAnsi="Calibri"/>
                <w:sz w:val="20"/>
                <w:szCs w:val="20"/>
              </w:rPr>
              <w:t>2,894,312.79</w:t>
            </w:r>
          </w:p>
        </w:tc>
        <w:tc>
          <w:tcPr>
            <w:tcW w:w="2711" w:type="dxa"/>
            <w:vAlign w:val="center"/>
          </w:tcPr>
          <w:p w14:paraId="635790D3">
            <w:pPr>
              <w:jc w:val="right"/>
              <w:rPr>
                <w:rFonts w:ascii="Calibri" w:hAnsi="Calibri"/>
                <w:sz w:val="20"/>
                <w:szCs w:val="20"/>
              </w:rPr>
            </w:pPr>
            <w:r>
              <w:rPr>
                <w:rFonts w:ascii="Calibri" w:hAnsi="Calibri"/>
                <w:sz w:val="20"/>
                <w:szCs w:val="20"/>
              </w:rPr>
              <w:t>15,553,850.56</w:t>
            </w:r>
          </w:p>
        </w:tc>
      </w:tr>
    </w:tbl>
    <w:p w14:paraId="0C499DFD">
      <w:pPr>
        <w:pStyle w:val="48"/>
      </w:pPr>
    </w:p>
    <w:p w14:paraId="6A66863A">
      <w:pPr>
        <w:rPr>
          <w:rFonts w:cstheme="minorBidi"/>
          <w:kern w:val="2"/>
        </w:rPr>
      </w:pPr>
    </w:p>
    <w:p w14:paraId="66E5B357">
      <w:pPr>
        <w:pStyle w:val="4"/>
        <w:numPr>
          <w:ilvl w:val="0"/>
          <w:numId w:val="61"/>
        </w:numPr>
        <w:rPr>
          <w:szCs w:val="21"/>
        </w:rPr>
      </w:pPr>
      <w:r>
        <w:rPr>
          <w:szCs w:val="21"/>
        </w:rPr>
        <w:t>资产减值损失</w:t>
      </w:r>
    </w:p>
    <w:sdt>
      <w:sdtPr>
        <w:alias w:val="是否适用：资产减值损失[双击切换]"/>
        <w:tag w:val="_GBC_8b37643fea7c43289fdaf85f79b2bcae"/>
        <w:id w:val="-51853566"/>
        <w:placeholder>
          <w:docPart w:val="GBC22222222222222222222222222222"/>
        </w:placeholder>
      </w:sdtPr>
      <w:sdtContent>
        <w:p w14:paraId="22AAE8FF">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B65B929">
      <w:pPr>
        <w:jc w:val="right"/>
      </w:pPr>
      <w:r>
        <w:rPr>
          <w:rFonts w:hint="eastAsia"/>
        </w:rPr>
        <w:t>单位：</w:t>
      </w:r>
      <w:sdt>
        <w:sdtPr>
          <w:rPr>
            <w:rFonts w:hint="eastAsia"/>
          </w:rPr>
          <w:alias w:val="单位：财务附注：资产减值损失"/>
          <w:tag w:val="_GBC_fe85f36c54dd476ea970b9d8ae08135d"/>
          <w:id w:val="-3006067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资产减值损失"/>
          <w:tag w:val="_GBC_08596d3dbba143a8b694044119494ec6"/>
          <w:id w:val="-7288463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573"/>
        <w:gridCol w:w="3076"/>
      </w:tblGrid>
      <w:tr w14:paraId="31C6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44de032f71b4e06985c561df3bcf55a"/>
            <w:id w:val="-1812862070"/>
          </w:sdtPr>
          <w:sdtContent>
            <w:tc>
              <w:tcPr>
                <w:tcW w:w="3398" w:type="dxa"/>
                <w:tcBorders>
                  <w:top w:val="single" w:color="auto" w:sz="4" w:space="0"/>
                  <w:left w:val="single" w:color="auto" w:sz="4" w:space="0"/>
                  <w:bottom w:val="single" w:color="auto" w:sz="4" w:space="0"/>
                  <w:right w:val="single" w:color="auto" w:sz="4" w:space="0"/>
                </w:tcBorders>
                <w:vAlign w:val="center"/>
              </w:tcPr>
              <w:p w14:paraId="29F248BD">
                <w:pPr>
                  <w:autoSpaceDE w:val="0"/>
                  <w:autoSpaceDN w:val="0"/>
                  <w:adjustRightInd w:val="0"/>
                  <w:jc w:val="center"/>
                  <w:rPr>
                    <w:rFonts w:ascii="Calibri" w:hAnsi="Calibri"/>
                    <w:sz w:val="20"/>
                    <w:szCs w:val="20"/>
                  </w:rPr>
                </w:pPr>
                <w:r>
                  <w:rPr>
                    <w:rFonts w:hint="eastAsia" w:ascii="Calibri" w:hAnsi="Calibri"/>
                    <w:sz w:val="20"/>
                    <w:szCs w:val="20"/>
                  </w:rPr>
                  <w:t>项目</w:t>
                </w:r>
              </w:p>
            </w:tc>
          </w:sdtContent>
        </w:sdt>
        <w:sdt>
          <w:sdtPr>
            <w:tag w:val="_PLD_9551307ec5c049a3aa84c3c7d3e61d92"/>
            <w:id w:val="-1946681180"/>
          </w:sdtPr>
          <w:sdtContent>
            <w:tc>
              <w:tcPr>
                <w:tcW w:w="2573" w:type="dxa"/>
                <w:tcBorders>
                  <w:top w:val="single" w:color="auto" w:sz="4" w:space="0"/>
                  <w:left w:val="single" w:color="auto" w:sz="4" w:space="0"/>
                  <w:bottom w:val="single" w:color="auto" w:sz="4" w:space="0"/>
                  <w:right w:val="single" w:color="auto" w:sz="4" w:space="0"/>
                </w:tcBorders>
                <w:vAlign w:val="center"/>
              </w:tcPr>
              <w:p w14:paraId="3C13F98B">
                <w:pPr>
                  <w:autoSpaceDE w:val="0"/>
                  <w:autoSpaceDN w:val="0"/>
                  <w:adjustRightInd w:val="0"/>
                  <w:jc w:val="center"/>
                  <w:rPr>
                    <w:rFonts w:ascii="Calibri" w:hAnsi="Calibri"/>
                    <w:sz w:val="20"/>
                    <w:szCs w:val="20"/>
                  </w:rPr>
                </w:pPr>
                <w:r>
                  <w:rPr>
                    <w:rFonts w:hint="eastAsia" w:ascii="Calibri" w:hAnsi="Calibri"/>
                    <w:sz w:val="20"/>
                    <w:szCs w:val="20"/>
                  </w:rPr>
                  <w:t>本期发生额</w:t>
                </w:r>
              </w:p>
            </w:tc>
          </w:sdtContent>
        </w:sdt>
        <w:sdt>
          <w:sdtPr>
            <w:tag w:val="_PLD_46a2a62cd1b1406f877f135b9d7e38a6"/>
            <w:id w:val="-468061686"/>
          </w:sdtPr>
          <w:sdtContent>
            <w:tc>
              <w:tcPr>
                <w:tcW w:w="3076" w:type="dxa"/>
                <w:tcBorders>
                  <w:top w:val="single" w:color="auto" w:sz="4" w:space="0"/>
                  <w:left w:val="single" w:color="auto" w:sz="4" w:space="0"/>
                  <w:bottom w:val="single" w:color="auto" w:sz="4" w:space="0"/>
                  <w:right w:val="single" w:color="auto" w:sz="4" w:space="0"/>
                </w:tcBorders>
                <w:vAlign w:val="center"/>
              </w:tcPr>
              <w:p w14:paraId="028677E0">
                <w:pPr>
                  <w:autoSpaceDE w:val="0"/>
                  <w:autoSpaceDN w:val="0"/>
                  <w:adjustRightInd w:val="0"/>
                  <w:jc w:val="center"/>
                  <w:rPr>
                    <w:rFonts w:ascii="Calibri" w:hAnsi="Calibri"/>
                    <w:sz w:val="20"/>
                    <w:szCs w:val="20"/>
                  </w:rPr>
                </w:pPr>
                <w:r>
                  <w:rPr>
                    <w:rFonts w:hint="eastAsia" w:ascii="Calibri" w:hAnsi="Calibri"/>
                    <w:sz w:val="20"/>
                    <w:szCs w:val="20"/>
                  </w:rPr>
                  <w:t>上期发生额</w:t>
                </w:r>
              </w:p>
            </w:tc>
          </w:sdtContent>
        </w:sdt>
      </w:tr>
      <w:tr w14:paraId="5D62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Borders>
              <w:top w:val="single" w:color="auto" w:sz="4" w:space="0"/>
              <w:left w:val="single" w:color="auto" w:sz="4" w:space="0"/>
              <w:bottom w:val="single" w:color="auto" w:sz="4" w:space="0"/>
              <w:right w:val="single" w:color="auto" w:sz="4" w:space="0"/>
            </w:tcBorders>
            <w:vAlign w:val="center"/>
          </w:tcPr>
          <w:p w14:paraId="20596903">
            <w:pPr>
              <w:autoSpaceDE w:val="0"/>
              <w:autoSpaceDN w:val="0"/>
              <w:adjustRightInd w:val="0"/>
              <w:rPr>
                <w:rFonts w:ascii="Calibri" w:hAnsi="Calibri"/>
                <w:sz w:val="20"/>
                <w:szCs w:val="20"/>
              </w:rPr>
            </w:pPr>
            <w:r>
              <w:rPr>
                <w:rFonts w:hint="eastAsia" w:ascii="Calibri" w:hAnsi="Calibri"/>
                <w:sz w:val="20"/>
                <w:szCs w:val="20"/>
              </w:rPr>
              <w:t>一、合同资产减值损失</w:t>
            </w:r>
          </w:p>
        </w:tc>
        <w:tc>
          <w:tcPr>
            <w:tcW w:w="2573" w:type="dxa"/>
            <w:tcBorders>
              <w:top w:val="single" w:color="auto" w:sz="4" w:space="0"/>
              <w:left w:val="single" w:color="auto" w:sz="4" w:space="0"/>
              <w:bottom w:val="single" w:color="auto" w:sz="4" w:space="0"/>
              <w:right w:val="single" w:color="auto" w:sz="4" w:space="0"/>
            </w:tcBorders>
            <w:vAlign w:val="center"/>
          </w:tcPr>
          <w:p w14:paraId="42FD21D2">
            <w:pPr>
              <w:jc w:val="right"/>
              <w:rPr>
                <w:rFonts w:ascii="Calibri" w:hAnsi="Calibri"/>
                <w:sz w:val="20"/>
                <w:szCs w:val="20"/>
              </w:rPr>
            </w:pPr>
          </w:p>
        </w:tc>
        <w:tc>
          <w:tcPr>
            <w:tcW w:w="3076" w:type="dxa"/>
            <w:tcBorders>
              <w:top w:val="single" w:color="auto" w:sz="4" w:space="0"/>
              <w:left w:val="single" w:color="auto" w:sz="4" w:space="0"/>
              <w:bottom w:val="single" w:color="auto" w:sz="4" w:space="0"/>
              <w:right w:val="single" w:color="auto" w:sz="4" w:space="0"/>
            </w:tcBorders>
            <w:vAlign w:val="center"/>
          </w:tcPr>
          <w:p w14:paraId="78A253D5">
            <w:pPr>
              <w:jc w:val="right"/>
              <w:rPr>
                <w:rFonts w:ascii="Calibri" w:hAnsi="Calibri"/>
                <w:sz w:val="20"/>
                <w:szCs w:val="20"/>
              </w:rPr>
            </w:pPr>
          </w:p>
        </w:tc>
      </w:tr>
      <w:tr w14:paraId="25D5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Borders>
              <w:top w:val="single" w:color="auto" w:sz="4" w:space="0"/>
              <w:left w:val="single" w:color="auto" w:sz="4" w:space="0"/>
              <w:bottom w:val="single" w:color="auto" w:sz="4" w:space="0"/>
              <w:right w:val="single" w:color="auto" w:sz="4" w:space="0"/>
            </w:tcBorders>
            <w:vAlign w:val="center"/>
          </w:tcPr>
          <w:p w14:paraId="479847D4">
            <w:pPr>
              <w:autoSpaceDE w:val="0"/>
              <w:autoSpaceDN w:val="0"/>
              <w:adjustRightInd w:val="0"/>
              <w:rPr>
                <w:rFonts w:ascii="Calibri" w:hAnsi="Calibri"/>
                <w:sz w:val="20"/>
                <w:szCs w:val="20"/>
              </w:rPr>
            </w:pPr>
            <w:r>
              <w:rPr>
                <w:rFonts w:hint="eastAsia" w:ascii="Calibri" w:hAnsi="Calibri"/>
                <w:sz w:val="20"/>
                <w:szCs w:val="20"/>
              </w:rPr>
              <w:t>二、存货跌价损失及合同履约成本减值损失</w:t>
            </w:r>
          </w:p>
        </w:tc>
        <w:tc>
          <w:tcPr>
            <w:tcW w:w="2573" w:type="dxa"/>
            <w:tcBorders>
              <w:top w:val="single" w:color="auto" w:sz="4" w:space="0"/>
              <w:left w:val="single" w:color="auto" w:sz="4" w:space="0"/>
              <w:bottom w:val="single" w:color="auto" w:sz="4" w:space="0"/>
              <w:right w:val="single" w:color="auto" w:sz="4" w:space="0"/>
            </w:tcBorders>
            <w:vAlign w:val="center"/>
          </w:tcPr>
          <w:p w14:paraId="0B1003FF">
            <w:pPr>
              <w:jc w:val="right"/>
              <w:rPr>
                <w:rFonts w:ascii="Calibri" w:hAnsi="Calibri"/>
                <w:sz w:val="20"/>
                <w:szCs w:val="20"/>
              </w:rPr>
            </w:pPr>
            <w:r>
              <w:rPr>
                <w:rFonts w:ascii="Calibri" w:hAnsi="Calibri"/>
                <w:sz w:val="20"/>
                <w:szCs w:val="20"/>
              </w:rPr>
              <w:t>-11,715,079.94</w:t>
            </w:r>
          </w:p>
        </w:tc>
        <w:tc>
          <w:tcPr>
            <w:tcW w:w="3076" w:type="dxa"/>
            <w:tcBorders>
              <w:top w:val="single" w:color="auto" w:sz="4" w:space="0"/>
              <w:left w:val="single" w:color="auto" w:sz="4" w:space="0"/>
              <w:bottom w:val="single" w:color="auto" w:sz="4" w:space="0"/>
              <w:right w:val="single" w:color="auto" w:sz="4" w:space="0"/>
            </w:tcBorders>
            <w:vAlign w:val="center"/>
          </w:tcPr>
          <w:p w14:paraId="50C30F11">
            <w:pPr>
              <w:jc w:val="right"/>
              <w:rPr>
                <w:rFonts w:ascii="Calibri" w:hAnsi="Calibri"/>
                <w:sz w:val="20"/>
                <w:szCs w:val="20"/>
              </w:rPr>
            </w:pPr>
            <w:r>
              <w:rPr>
                <w:rFonts w:ascii="Calibri" w:hAnsi="Calibri"/>
                <w:sz w:val="20"/>
                <w:szCs w:val="20"/>
              </w:rPr>
              <w:t>-22,947,722.63</w:t>
            </w:r>
          </w:p>
        </w:tc>
      </w:tr>
      <w:tr w14:paraId="23AD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Borders>
              <w:top w:val="single" w:color="auto" w:sz="4" w:space="0"/>
              <w:left w:val="single" w:color="auto" w:sz="4" w:space="0"/>
              <w:bottom w:val="single" w:color="auto" w:sz="4" w:space="0"/>
              <w:right w:val="single" w:color="auto" w:sz="4" w:space="0"/>
            </w:tcBorders>
            <w:vAlign w:val="center"/>
          </w:tcPr>
          <w:p w14:paraId="507BF21E">
            <w:pPr>
              <w:autoSpaceDE w:val="0"/>
              <w:autoSpaceDN w:val="0"/>
              <w:adjustRightInd w:val="0"/>
              <w:rPr>
                <w:rFonts w:ascii="Calibri" w:hAnsi="Calibri"/>
                <w:sz w:val="20"/>
                <w:szCs w:val="20"/>
              </w:rPr>
            </w:pPr>
            <w:r>
              <w:rPr>
                <w:rFonts w:hint="eastAsia" w:ascii="Calibri" w:hAnsi="Calibri"/>
                <w:sz w:val="20"/>
                <w:szCs w:val="20"/>
              </w:rPr>
              <w:t>三、长期股权投资减值损失</w:t>
            </w:r>
          </w:p>
        </w:tc>
        <w:tc>
          <w:tcPr>
            <w:tcW w:w="2573" w:type="dxa"/>
            <w:tcBorders>
              <w:top w:val="single" w:color="auto" w:sz="4" w:space="0"/>
              <w:left w:val="single" w:color="auto" w:sz="4" w:space="0"/>
              <w:bottom w:val="single" w:color="auto" w:sz="4" w:space="0"/>
              <w:right w:val="single" w:color="auto" w:sz="4" w:space="0"/>
            </w:tcBorders>
            <w:vAlign w:val="center"/>
          </w:tcPr>
          <w:p w14:paraId="2BED331F">
            <w:pPr>
              <w:autoSpaceDE w:val="0"/>
              <w:autoSpaceDN w:val="0"/>
              <w:adjustRightInd w:val="0"/>
              <w:jc w:val="right"/>
              <w:rPr>
                <w:rFonts w:ascii="Calibri" w:hAnsi="Calibri"/>
                <w:sz w:val="20"/>
                <w:szCs w:val="20"/>
              </w:rPr>
            </w:pPr>
          </w:p>
        </w:tc>
        <w:tc>
          <w:tcPr>
            <w:tcW w:w="3076" w:type="dxa"/>
            <w:tcBorders>
              <w:top w:val="single" w:color="auto" w:sz="4" w:space="0"/>
              <w:left w:val="single" w:color="auto" w:sz="4" w:space="0"/>
              <w:bottom w:val="single" w:color="auto" w:sz="4" w:space="0"/>
              <w:right w:val="single" w:color="auto" w:sz="4" w:space="0"/>
            </w:tcBorders>
            <w:vAlign w:val="center"/>
          </w:tcPr>
          <w:p w14:paraId="79B5248D">
            <w:pPr>
              <w:autoSpaceDE w:val="0"/>
              <w:autoSpaceDN w:val="0"/>
              <w:adjustRightInd w:val="0"/>
              <w:jc w:val="right"/>
              <w:rPr>
                <w:rFonts w:ascii="Calibri" w:hAnsi="Calibri"/>
                <w:sz w:val="20"/>
                <w:szCs w:val="20"/>
              </w:rPr>
            </w:pPr>
          </w:p>
        </w:tc>
      </w:tr>
      <w:tr w14:paraId="0DAA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Borders>
              <w:top w:val="single" w:color="auto" w:sz="4" w:space="0"/>
              <w:left w:val="single" w:color="auto" w:sz="4" w:space="0"/>
              <w:bottom w:val="single" w:color="auto" w:sz="4" w:space="0"/>
              <w:right w:val="single" w:color="auto" w:sz="4" w:space="0"/>
            </w:tcBorders>
            <w:vAlign w:val="center"/>
          </w:tcPr>
          <w:p w14:paraId="2FE6E5C0">
            <w:pPr>
              <w:autoSpaceDE w:val="0"/>
              <w:autoSpaceDN w:val="0"/>
              <w:adjustRightInd w:val="0"/>
              <w:rPr>
                <w:rFonts w:ascii="Calibri" w:hAnsi="Calibri"/>
                <w:sz w:val="20"/>
                <w:szCs w:val="20"/>
              </w:rPr>
            </w:pPr>
            <w:r>
              <w:rPr>
                <w:rFonts w:hint="eastAsia" w:ascii="Calibri" w:hAnsi="Calibri"/>
                <w:sz w:val="20"/>
                <w:szCs w:val="20"/>
              </w:rPr>
              <w:t>四、投资性房地产减值损失</w:t>
            </w:r>
          </w:p>
        </w:tc>
        <w:tc>
          <w:tcPr>
            <w:tcW w:w="2573" w:type="dxa"/>
            <w:tcBorders>
              <w:top w:val="single" w:color="auto" w:sz="4" w:space="0"/>
              <w:left w:val="single" w:color="auto" w:sz="4" w:space="0"/>
              <w:bottom w:val="single" w:color="auto" w:sz="4" w:space="0"/>
              <w:right w:val="single" w:color="auto" w:sz="4" w:space="0"/>
            </w:tcBorders>
            <w:vAlign w:val="center"/>
          </w:tcPr>
          <w:p w14:paraId="5EFFF996">
            <w:pPr>
              <w:jc w:val="right"/>
              <w:rPr>
                <w:rFonts w:ascii="Calibri" w:hAnsi="Calibri"/>
                <w:sz w:val="20"/>
                <w:szCs w:val="20"/>
              </w:rPr>
            </w:pPr>
            <w:r>
              <w:rPr>
                <w:rFonts w:ascii="Calibri" w:hAnsi="Calibri"/>
                <w:sz w:val="20"/>
                <w:szCs w:val="20"/>
              </w:rPr>
              <w:t>-728,824.01</w:t>
            </w:r>
          </w:p>
        </w:tc>
        <w:tc>
          <w:tcPr>
            <w:tcW w:w="3076" w:type="dxa"/>
            <w:tcBorders>
              <w:top w:val="single" w:color="auto" w:sz="4" w:space="0"/>
              <w:left w:val="single" w:color="auto" w:sz="4" w:space="0"/>
              <w:bottom w:val="single" w:color="auto" w:sz="4" w:space="0"/>
              <w:right w:val="single" w:color="auto" w:sz="4" w:space="0"/>
            </w:tcBorders>
            <w:vAlign w:val="center"/>
          </w:tcPr>
          <w:p w14:paraId="2AEE8F2E">
            <w:pPr>
              <w:jc w:val="right"/>
              <w:rPr>
                <w:rFonts w:ascii="Calibri" w:hAnsi="Calibri"/>
                <w:sz w:val="20"/>
                <w:szCs w:val="20"/>
              </w:rPr>
            </w:pPr>
          </w:p>
        </w:tc>
      </w:tr>
      <w:tr w14:paraId="29F0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Borders>
              <w:top w:val="single" w:color="auto" w:sz="4" w:space="0"/>
              <w:left w:val="single" w:color="auto" w:sz="4" w:space="0"/>
              <w:bottom w:val="single" w:color="auto" w:sz="4" w:space="0"/>
              <w:right w:val="single" w:color="auto" w:sz="4" w:space="0"/>
            </w:tcBorders>
            <w:vAlign w:val="center"/>
          </w:tcPr>
          <w:p w14:paraId="27EC15F5">
            <w:pPr>
              <w:autoSpaceDE w:val="0"/>
              <w:autoSpaceDN w:val="0"/>
              <w:adjustRightInd w:val="0"/>
              <w:rPr>
                <w:rFonts w:ascii="Calibri" w:hAnsi="Calibri"/>
                <w:sz w:val="20"/>
                <w:szCs w:val="20"/>
              </w:rPr>
            </w:pPr>
            <w:r>
              <w:rPr>
                <w:rFonts w:hint="eastAsia" w:ascii="Calibri" w:hAnsi="Calibri"/>
                <w:sz w:val="20"/>
                <w:szCs w:val="20"/>
              </w:rPr>
              <w:t>五、固定资产减值损失</w:t>
            </w:r>
          </w:p>
        </w:tc>
        <w:tc>
          <w:tcPr>
            <w:tcW w:w="2573" w:type="dxa"/>
            <w:tcBorders>
              <w:top w:val="single" w:color="auto" w:sz="4" w:space="0"/>
              <w:left w:val="single" w:color="auto" w:sz="4" w:space="0"/>
              <w:bottom w:val="single" w:color="auto" w:sz="4" w:space="0"/>
              <w:right w:val="single" w:color="auto" w:sz="4" w:space="0"/>
            </w:tcBorders>
            <w:vAlign w:val="center"/>
          </w:tcPr>
          <w:p w14:paraId="1770C54B">
            <w:pPr>
              <w:jc w:val="right"/>
              <w:rPr>
                <w:rFonts w:ascii="Calibri" w:hAnsi="Calibri"/>
                <w:sz w:val="20"/>
                <w:szCs w:val="20"/>
              </w:rPr>
            </w:pPr>
            <w:r>
              <w:rPr>
                <w:rFonts w:ascii="Calibri" w:hAnsi="Calibri"/>
                <w:sz w:val="20"/>
                <w:szCs w:val="20"/>
              </w:rPr>
              <w:t>-20,217.41</w:t>
            </w:r>
          </w:p>
        </w:tc>
        <w:tc>
          <w:tcPr>
            <w:tcW w:w="3076" w:type="dxa"/>
            <w:tcBorders>
              <w:top w:val="single" w:color="auto" w:sz="4" w:space="0"/>
              <w:left w:val="single" w:color="auto" w:sz="4" w:space="0"/>
              <w:bottom w:val="single" w:color="auto" w:sz="4" w:space="0"/>
              <w:right w:val="single" w:color="auto" w:sz="4" w:space="0"/>
            </w:tcBorders>
            <w:vAlign w:val="center"/>
          </w:tcPr>
          <w:p w14:paraId="4BD6FB1B">
            <w:pPr>
              <w:jc w:val="right"/>
              <w:rPr>
                <w:rFonts w:ascii="Calibri" w:hAnsi="Calibri"/>
                <w:sz w:val="20"/>
                <w:szCs w:val="20"/>
              </w:rPr>
            </w:pPr>
          </w:p>
        </w:tc>
      </w:tr>
      <w:tr w14:paraId="1E18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Borders>
              <w:top w:val="single" w:color="auto" w:sz="4" w:space="0"/>
              <w:left w:val="single" w:color="auto" w:sz="4" w:space="0"/>
              <w:bottom w:val="single" w:color="auto" w:sz="4" w:space="0"/>
              <w:right w:val="single" w:color="auto" w:sz="4" w:space="0"/>
            </w:tcBorders>
            <w:vAlign w:val="center"/>
          </w:tcPr>
          <w:p w14:paraId="2B2DF52B">
            <w:pPr>
              <w:autoSpaceDE w:val="0"/>
              <w:autoSpaceDN w:val="0"/>
              <w:adjustRightInd w:val="0"/>
              <w:rPr>
                <w:rFonts w:ascii="Calibri" w:hAnsi="Calibri"/>
                <w:sz w:val="20"/>
                <w:szCs w:val="20"/>
              </w:rPr>
            </w:pPr>
            <w:r>
              <w:rPr>
                <w:rFonts w:hint="eastAsia" w:ascii="Calibri" w:hAnsi="Calibri"/>
                <w:sz w:val="20"/>
                <w:szCs w:val="20"/>
              </w:rPr>
              <w:t>六、工程物资减值损失</w:t>
            </w:r>
          </w:p>
        </w:tc>
        <w:tc>
          <w:tcPr>
            <w:tcW w:w="2573" w:type="dxa"/>
            <w:tcBorders>
              <w:top w:val="single" w:color="auto" w:sz="4" w:space="0"/>
              <w:left w:val="single" w:color="auto" w:sz="4" w:space="0"/>
              <w:bottom w:val="single" w:color="auto" w:sz="4" w:space="0"/>
              <w:right w:val="single" w:color="auto" w:sz="4" w:space="0"/>
            </w:tcBorders>
            <w:vAlign w:val="center"/>
          </w:tcPr>
          <w:p w14:paraId="4D400233">
            <w:pPr>
              <w:jc w:val="right"/>
              <w:rPr>
                <w:rFonts w:ascii="Calibri" w:hAnsi="Calibri"/>
                <w:sz w:val="20"/>
                <w:szCs w:val="20"/>
              </w:rPr>
            </w:pPr>
          </w:p>
        </w:tc>
        <w:tc>
          <w:tcPr>
            <w:tcW w:w="3076" w:type="dxa"/>
            <w:tcBorders>
              <w:top w:val="single" w:color="auto" w:sz="4" w:space="0"/>
              <w:left w:val="single" w:color="auto" w:sz="4" w:space="0"/>
              <w:bottom w:val="single" w:color="auto" w:sz="4" w:space="0"/>
              <w:right w:val="single" w:color="auto" w:sz="4" w:space="0"/>
            </w:tcBorders>
            <w:vAlign w:val="center"/>
          </w:tcPr>
          <w:p w14:paraId="6A999FFC">
            <w:pPr>
              <w:jc w:val="right"/>
              <w:rPr>
                <w:rFonts w:ascii="Calibri" w:hAnsi="Calibri"/>
                <w:sz w:val="20"/>
                <w:szCs w:val="20"/>
              </w:rPr>
            </w:pPr>
          </w:p>
        </w:tc>
      </w:tr>
      <w:tr w14:paraId="2E7B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Borders>
              <w:top w:val="single" w:color="auto" w:sz="4" w:space="0"/>
              <w:left w:val="single" w:color="auto" w:sz="4" w:space="0"/>
              <w:bottom w:val="single" w:color="auto" w:sz="4" w:space="0"/>
              <w:right w:val="single" w:color="auto" w:sz="4" w:space="0"/>
            </w:tcBorders>
            <w:vAlign w:val="center"/>
          </w:tcPr>
          <w:p w14:paraId="51A98C0D">
            <w:pPr>
              <w:autoSpaceDE w:val="0"/>
              <w:autoSpaceDN w:val="0"/>
              <w:adjustRightInd w:val="0"/>
              <w:rPr>
                <w:rFonts w:ascii="Calibri" w:hAnsi="Calibri"/>
                <w:sz w:val="20"/>
                <w:szCs w:val="20"/>
              </w:rPr>
            </w:pPr>
            <w:r>
              <w:rPr>
                <w:rFonts w:hint="eastAsia" w:ascii="Calibri" w:hAnsi="Calibri"/>
                <w:sz w:val="20"/>
                <w:szCs w:val="20"/>
              </w:rPr>
              <w:t>七、在建工程减值损失</w:t>
            </w:r>
          </w:p>
        </w:tc>
        <w:tc>
          <w:tcPr>
            <w:tcW w:w="2573" w:type="dxa"/>
            <w:tcBorders>
              <w:top w:val="single" w:color="auto" w:sz="4" w:space="0"/>
              <w:left w:val="single" w:color="auto" w:sz="4" w:space="0"/>
              <w:bottom w:val="single" w:color="auto" w:sz="4" w:space="0"/>
              <w:right w:val="single" w:color="auto" w:sz="4" w:space="0"/>
            </w:tcBorders>
            <w:vAlign w:val="center"/>
          </w:tcPr>
          <w:p w14:paraId="71D62A01">
            <w:pPr>
              <w:jc w:val="right"/>
              <w:rPr>
                <w:rFonts w:ascii="Calibri" w:hAnsi="Calibri"/>
                <w:sz w:val="20"/>
                <w:szCs w:val="20"/>
              </w:rPr>
            </w:pPr>
            <w:r>
              <w:rPr>
                <w:rFonts w:ascii="Calibri" w:hAnsi="Calibri"/>
                <w:sz w:val="20"/>
                <w:szCs w:val="20"/>
              </w:rPr>
              <w:t>-12,236.58</w:t>
            </w:r>
          </w:p>
        </w:tc>
        <w:tc>
          <w:tcPr>
            <w:tcW w:w="3076" w:type="dxa"/>
            <w:tcBorders>
              <w:top w:val="single" w:color="auto" w:sz="4" w:space="0"/>
              <w:left w:val="single" w:color="auto" w:sz="4" w:space="0"/>
              <w:bottom w:val="single" w:color="auto" w:sz="4" w:space="0"/>
              <w:right w:val="single" w:color="auto" w:sz="4" w:space="0"/>
            </w:tcBorders>
            <w:vAlign w:val="center"/>
          </w:tcPr>
          <w:p w14:paraId="258AE070">
            <w:pPr>
              <w:jc w:val="right"/>
              <w:rPr>
                <w:rFonts w:ascii="Calibri" w:hAnsi="Calibri"/>
                <w:sz w:val="20"/>
                <w:szCs w:val="20"/>
              </w:rPr>
            </w:pPr>
            <w:r>
              <w:rPr>
                <w:rFonts w:ascii="Calibri" w:hAnsi="Calibri"/>
                <w:sz w:val="20"/>
                <w:szCs w:val="20"/>
              </w:rPr>
              <w:t>-9,013,000.00</w:t>
            </w:r>
          </w:p>
        </w:tc>
      </w:tr>
      <w:tr w14:paraId="702F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Borders>
              <w:top w:val="single" w:color="auto" w:sz="4" w:space="0"/>
              <w:left w:val="single" w:color="auto" w:sz="4" w:space="0"/>
              <w:bottom w:val="single" w:color="auto" w:sz="4" w:space="0"/>
              <w:right w:val="single" w:color="auto" w:sz="4" w:space="0"/>
            </w:tcBorders>
            <w:vAlign w:val="center"/>
          </w:tcPr>
          <w:p w14:paraId="71DAF344">
            <w:pPr>
              <w:autoSpaceDE w:val="0"/>
              <w:autoSpaceDN w:val="0"/>
              <w:adjustRightInd w:val="0"/>
              <w:rPr>
                <w:rFonts w:ascii="Calibri" w:hAnsi="Calibri"/>
                <w:sz w:val="20"/>
                <w:szCs w:val="20"/>
              </w:rPr>
            </w:pPr>
            <w:r>
              <w:rPr>
                <w:rFonts w:hint="eastAsia" w:ascii="Calibri" w:hAnsi="Calibri"/>
                <w:sz w:val="20"/>
                <w:szCs w:val="20"/>
              </w:rPr>
              <w:t>八、生产性生物资产减值损失</w:t>
            </w:r>
          </w:p>
        </w:tc>
        <w:tc>
          <w:tcPr>
            <w:tcW w:w="2573" w:type="dxa"/>
            <w:tcBorders>
              <w:top w:val="single" w:color="auto" w:sz="4" w:space="0"/>
              <w:left w:val="single" w:color="auto" w:sz="4" w:space="0"/>
              <w:bottom w:val="single" w:color="auto" w:sz="4" w:space="0"/>
              <w:right w:val="single" w:color="auto" w:sz="4" w:space="0"/>
            </w:tcBorders>
            <w:vAlign w:val="center"/>
          </w:tcPr>
          <w:p w14:paraId="2B5EC573">
            <w:pPr>
              <w:jc w:val="right"/>
              <w:rPr>
                <w:rFonts w:ascii="Calibri" w:hAnsi="Calibri"/>
                <w:sz w:val="20"/>
                <w:szCs w:val="20"/>
              </w:rPr>
            </w:pPr>
          </w:p>
        </w:tc>
        <w:tc>
          <w:tcPr>
            <w:tcW w:w="3076" w:type="dxa"/>
            <w:tcBorders>
              <w:top w:val="single" w:color="auto" w:sz="4" w:space="0"/>
              <w:left w:val="single" w:color="auto" w:sz="4" w:space="0"/>
              <w:bottom w:val="single" w:color="auto" w:sz="4" w:space="0"/>
              <w:right w:val="single" w:color="auto" w:sz="4" w:space="0"/>
            </w:tcBorders>
            <w:vAlign w:val="center"/>
          </w:tcPr>
          <w:p w14:paraId="7172B283">
            <w:pPr>
              <w:jc w:val="right"/>
              <w:rPr>
                <w:rFonts w:ascii="Calibri" w:hAnsi="Calibri"/>
                <w:sz w:val="20"/>
                <w:szCs w:val="20"/>
              </w:rPr>
            </w:pPr>
          </w:p>
        </w:tc>
      </w:tr>
      <w:tr w14:paraId="2547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Borders>
              <w:top w:val="single" w:color="auto" w:sz="4" w:space="0"/>
              <w:left w:val="single" w:color="auto" w:sz="4" w:space="0"/>
              <w:bottom w:val="single" w:color="auto" w:sz="4" w:space="0"/>
              <w:right w:val="single" w:color="auto" w:sz="4" w:space="0"/>
            </w:tcBorders>
            <w:vAlign w:val="center"/>
          </w:tcPr>
          <w:p w14:paraId="77A5E23F">
            <w:pPr>
              <w:autoSpaceDE w:val="0"/>
              <w:autoSpaceDN w:val="0"/>
              <w:adjustRightInd w:val="0"/>
              <w:rPr>
                <w:rFonts w:ascii="Calibri" w:hAnsi="Calibri"/>
                <w:sz w:val="20"/>
                <w:szCs w:val="20"/>
              </w:rPr>
            </w:pPr>
            <w:r>
              <w:rPr>
                <w:rFonts w:hint="eastAsia" w:ascii="Calibri" w:hAnsi="Calibri"/>
                <w:sz w:val="20"/>
                <w:szCs w:val="20"/>
              </w:rPr>
              <w:t>九、油气资产减值损失</w:t>
            </w:r>
          </w:p>
        </w:tc>
        <w:tc>
          <w:tcPr>
            <w:tcW w:w="2573" w:type="dxa"/>
            <w:tcBorders>
              <w:top w:val="single" w:color="auto" w:sz="4" w:space="0"/>
              <w:left w:val="single" w:color="auto" w:sz="4" w:space="0"/>
              <w:bottom w:val="single" w:color="auto" w:sz="4" w:space="0"/>
              <w:right w:val="single" w:color="auto" w:sz="4" w:space="0"/>
            </w:tcBorders>
            <w:vAlign w:val="center"/>
          </w:tcPr>
          <w:p w14:paraId="7BB362D4">
            <w:pPr>
              <w:jc w:val="right"/>
              <w:rPr>
                <w:rFonts w:ascii="Calibri" w:hAnsi="Calibri"/>
                <w:sz w:val="20"/>
                <w:szCs w:val="20"/>
              </w:rPr>
            </w:pPr>
          </w:p>
        </w:tc>
        <w:tc>
          <w:tcPr>
            <w:tcW w:w="3076" w:type="dxa"/>
            <w:tcBorders>
              <w:top w:val="single" w:color="auto" w:sz="4" w:space="0"/>
              <w:left w:val="single" w:color="auto" w:sz="4" w:space="0"/>
              <w:bottom w:val="single" w:color="auto" w:sz="4" w:space="0"/>
              <w:right w:val="single" w:color="auto" w:sz="4" w:space="0"/>
            </w:tcBorders>
            <w:vAlign w:val="center"/>
          </w:tcPr>
          <w:p w14:paraId="553217E7">
            <w:pPr>
              <w:jc w:val="right"/>
              <w:rPr>
                <w:rFonts w:ascii="Calibri" w:hAnsi="Calibri"/>
                <w:sz w:val="20"/>
                <w:szCs w:val="20"/>
              </w:rPr>
            </w:pPr>
          </w:p>
        </w:tc>
      </w:tr>
      <w:tr w14:paraId="6A02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Borders>
              <w:top w:val="single" w:color="auto" w:sz="4" w:space="0"/>
              <w:left w:val="single" w:color="auto" w:sz="4" w:space="0"/>
              <w:bottom w:val="single" w:color="auto" w:sz="4" w:space="0"/>
              <w:right w:val="single" w:color="auto" w:sz="4" w:space="0"/>
            </w:tcBorders>
            <w:vAlign w:val="center"/>
          </w:tcPr>
          <w:p w14:paraId="6049C7FC">
            <w:pPr>
              <w:autoSpaceDE w:val="0"/>
              <w:autoSpaceDN w:val="0"/>
              <w:adjustRightInd w:val="0"/>
              <w:rPr>
                <w:rFonts w:ascii="Calibri" w:hAnsi="Calibri"/>
                <w:sz w:val="20"/>
                <w:szCs w:val="20"/>
              </w:rPr>
            </w:pPr>
            <w:r>
              <w:rPr>
                <w:rFonts w:hint="eastAsia" w:ascii="Calibri" w:hAnsi="Calibri"/>
                <w:sz w:val="20"/>
                <w:szCs w:val="20"/>
              </w:rPr>
              <w:t>十、无形资产减值损失</w:t>
            </w:r>
          </w:p>
        </w:tc>
        <w:tc>
          <w:tcPr>
            <w:tcW w:w="2573" w:type="dxa"/>
            <w:tcBorders>
              <w:top w:val="single" w:color="auto" w:sz="4" w:space="0"/>
              <w:left w:val="single" w:color="auto" w:sz="4" w:space="0"/>
              <w:bottom w:val="single" w:color="auto" w:sz="4" w:space="0"/>
              <w:right w:val="single" w:color="auto" w:sz="4" w:space="0"/>
            </w:tcBorders>
            <w:vAlign w:val="center"/>
          </w:tcPr>
          <w:p w14:paraId="6B9E0C2C">
            <w:pPr>
              <w:jc w:val="right"/>
              <w:rPr>
                <w:rFonts w:ascii="Calibri" w:hAnsi="Calibri"/>
                <w:sz w:val="20"/>
                <w:szCs w:val="20"/>
              </w:rPr>
            </w:pPr>
            <w:r>
              <w:rPr>
                <w:rFonts w:ascii="Calibri" w:hAnsi="Calibri"/>
                <w:sz w:val="20"/>
                <w:szCs w:val="20"/>
              </w:rPr>
              <w:t>-176,679,703.49</w:t>
            </w:r>
          </w:p>
        </w:tc>
        <w:tc>
          <w:tcPr>
            <w:tcW w:w="3076" w:type="dxa"/>
            <w:tcBorders>
              <w:top w:val="single" w:color="auto" w:sz="4" w:space="0"/>
              <w:left w:val="single" w:color="auto" w:sz="4" w:space="0"/>
              <w:bottom w:val="single" w:color="auto" w:sz="4" w:space="0"/>
              <w:right w:val="single" w:color="auto" w:sz="4" w:space="0"/>
            </w:tcBorders>
            <w:vAlign w:val="center"/>
          </w:tcPr>
          <w:p w14:paraId="7518EFC0">
            <w:pPr>
              <w:jc w:val="right"/>
              <w:rPr>
                <w:rFonts w:ascii="Calibri" w:hAnsi="Calibri"/>
                <w:sz w:val="20"/>
                <w:szCs w:val="20"/>
              </w:rPr>
            </w:pPr>
            <w:r>
              <w:rPr>
                <w:rFonts w:ascii="Calibri" w:hAnsi="Calibri"/>
                <w:sz w:val="20"/>
                <w:szCs w:val="20"/>
              </w:rPr>
              <w:t>-71,671,367.69</w:t>
            </w:r>
          </w:p>
        </w:tc>
      </w:tr>
      <w:tr w14:paraId="69FD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Borders>
              <w:top w:val="single" w:color="auto" w:sz="4" w:space="0"/>
              <w:left w:val="single" w:color="auto" w:sz="4" w:space="0"/>
              <w:bottom w:val="single" w:color="auto" w:sz="4" w:space="0"/>
              <w:right w:val="single" w:color="auto" w:sz="4" w:space="0"/>
            </w:tcBorders>
            <w:vAlign w:val="center"/>
          </w:tcPr>
          <w:p w14:paraId="0BBA844E">
            <w:pPr>
              <w:autoSpaceDE w:val="0"/>
              <w:autoSpaceDN w:val="0"/>
              <w:adjustRightInd w:val="0"/>
              <w:rPr>
                <w:rFonts w:ascii="Calibri" w:hAnsi="Calibri"/>
                <w:sz w:val="20"/>
                <w:szCs w:val="20"/>
              </w:rPr>
            </w:pPr>
            <w:r>
              <w:rPr>
                <w:rFonts w:hint="eastAsia" w:ascii="Calibri" w:hAnsi="Calibri"/>
                <w:sz w:val="20"/>
                <w:szCs w:val="20"/>
              </w:rPr>
              <w:t>十一、商誉减值损失</w:t>
            </w:r>
          </w:p>
        </w:tc>
        <w:tc>
          <w:tcPr>
            <w:tcW w:w="2573" w:type="dxa"/>
            <w:tcBorders>
              <w:top w:val="single" w:color="auto" w:sz="4" w:space="0"/>
              <w:left w:val="single" w:color="auto" w:sz="4" w:space="0"/>
              <w:bottom w:val="single" w:color="auto" w:sz="4" w:space="0"/>
              <w:right w:val="single" w:color="auto" w:sz="4" w:space="0"/>
            </w:tcBorders>
            <w:vAlign w:val="center"/>
          </w:tcPr>
          <w:p w14:paraId="5DFC721F">
            <w:pPr>
              <w:jc w:val="right"/>
              <w:rPr>
                <w:rFonts w:ascii="Calibri" w:hAnsi="Calibri"/>
                <w:sz w:val="20"/>
                <w:szCs w:val="20"/>
              </w:rPr>
            </w:pPr>
          </w:p>
        </w:tc>
        <w:tc>
          <w:tcPr>
            <w:tcW w:w="3076" w:type="dxa"/>
            <w:tcBorders>
              <w:top w:val="single" w:color="auto" w:sz="4" w:space="0"/>
              <w:left w:val="single" w:color="auto" w:sz="4" w:space="0"/>
              <w:bottom w:val="single" w:color="auto" w:sz="4" w:space="0"/>
              <w:right w:val="single" w:color="auto" w:sz="4" w:space="0"/>
            </w:tcBorders>
            <w:vAlign w:val="center"/>
          </w:tcPr>
          <w:p w14:paraId="70FBEFFA">
            <w:pPr>
              <w:jc w:val="right"/>
              <w:rPr>
                <w:rFonts w:ascii="Calibri" w:hAnsi="Calibri"/>
                <w:sz w:val="20"/>
                <w:szCs w:val="20"/>
              </w:rPr>
            </w:pPr>
          </w:p>
        </w:tc>
      </w:tr>
      <w:tr w14:paraId="1477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Borders>
              <w:top w:val="single" w:color="auto" w:sz="4" w:space="0"/>
              <w:left w:val="single" w:color="auto" w:sz="4" w:space="0"/>
              <w:bottom w:val="single" w:color="auto" w:sz="4" w:space="0"/>
              <w:right w:val="single" w:color="auto" w:sz="4" w:space="0"/>
            </w:tcBorders>
            <w:vAlign w:val="center"/>
          </w:tcPr>
          <w:p w14:paraId="2DA76BB7">
            <w:pPr>
              <w:autoSpaceDE w:val="0"/>
              <w:autoSpaceDN w:val="0"/>
              <w:adjustRightInd w:val="0"/>
              <w:rPr>
                <w:rFonts w:ascii="Calibri" w:hAnsi="Calibri"/>
                <w:sz w:val="20"/>
                <w:szCs w:val="20"/>
              </w:rPr>
            </w:pPr>
            <w:r>
              <w:rPr>
                <w:rFonts w:hint="eastAsia" w:ascii="Calibri" w:hAnsi="Calibri"/>
                <w:sz w:val="20"/>
                <w:szCs w:val="20"/>
              </w:rPr>
              <w:t>十二、其他</w:t>
            </w:r>
          </w:p>
        </w:tc>
        <w:tc>
          <w:tcPr>
            <w:tcW w:w="2573" w:type="dxa"/>
            <w:tcBorders>
              <w:top w:val="single" w:color="auto" w:sz="4" w:space="0"/>
              <w:left w:val="single" w:color="auto" w:sz="4" w:space="0"/>
              <w:bottom w:val="single" w:color="auto" w:sz="4" w:space="0"/>
              <w:right w:val="single" w:color="auto" w:sz="4" w:space="0"/>
            </w:tcBorders>
            <w:vAlign w:val="center"/>
          </w:tcPr>
          <w:p w14:paraId="0BA2B3A6">
            <w:pPr>
              <w:jc w:val="right"/>
              <w:rPr>
                <w:rFonts w:ascii="Calibri" w:hAnsi="Calibri"/>
                <w:sz w:val="20"/>
                <w:szCs w:val="20"/>
              </w:rPr>
            </w:pPr>
          </w:p>
        </w:tc>
        <w:tc>
          <w:tcPr>
            <w:tcW w:w="3076" w:type="dxa"/>
            <w:tcBorders>
              <w:top w:val="single" w:color="auto" w:sz="4" w:space="0"/>
              <w:left w:val="single" w:color="auto" w:sz="4" w:space="0"/>
              <w:bottom w:val="single" w:color="auto" w:sz="4" w:space="0"/>
              <w:right w:val="single" w:color="auto" w:sz="4" w:space="0"/>
            </w:tcBorders>
            <w:vAlign w:val="center"/>
          </w:tcPr>
          <w:p w14:paraId="170F36AC">
            <w:pPr>
              <w:jc w:val="right"/>
              <w:rPr>
                <w:rFonts w:ascii="Calibri" w:hAnsi="Calibri"/>
                <w:sz w:val="20"/>
                <w:szCs w:val="20"/>
              </w:rPr>
            </w:pPr>
          </w:p>
        </w:tc>
      </w:tr>
      <w:tr w14:paraId="0B62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Borders>
              <w:top w:val="single" w:color="auto" w:sz="4" w:space="0"/>
              <w:left w:val="single" w:color="auto" w:sz="4" w:space="0"/>
              <w:bottom w:val="single" w:color="auto" w:sz="4" w:space="0"/>
              <w:right w:val="single" w:color="auto" w:sz="4" w:space="0"/>
            </w:tcBorders>
            <w:vAlign w:val="center"/>
          </w:tcPr>
          <w:p w14:paraId="4ABB6E94">
            <w:pPr>
              <w:autoSpaceDE w:val="0"/>
              <w:autoSpaceDN w:val="0"/>
              <w:adjustRightInd w:val="0"/>
              <w:jc w:val="center"/>
              <w:rPr>
                <w:rFonts w:ascii="Calibri" w:hAnsi="Calibri"/>
                <w:sz w:val="20"/>
                <w:szCs w:val="20"/>
              </w:rPr>
            </w:pPr>
            <w:r>
              <w:rPr>
                <w:rFonts w:hint="eastAsia" w:ascii="Calibri" w:hAnsi="Calibri"/>
                <w:sz w:val="20"/>
                <w:szCs w:val="20"/>
              </w:rPr>
              <w:t>合计</w:t>
            </w:r>
          </w:p>
        </w:tc>
        <w:tc>
          <w:tcPr>
            <w:tcW w:w="2573" w:type="dxa"/>
            <w:tcBorders>
              <w:top w:val="single" w:color="auto" w:sz="4" w:space="0"/>
              <w:left w:val="single" w:color="auto" w:sz="4" w:space="0"/>
              <w:bottom w:val="single" w:color="auto" w:sz="4" w:space="0"/>
              <w:right w:val="single" w:color="auto" w:sz="4" w:space="0"/>
            </w:tcBorders>
            <w:vAlign w:val="center"/>
          </w:tcPr>
          <w:p w14:paraId="321EC312">
            <w:pPr>
              <w:jc w:val="right"/>
              <w:rPr>
                <w:rFonts w:ascii="Calibri" w:hAnsi="Calibri"/>
                <w:sz w:val="20"/>
                <w:szCs w:val="20"/>
              </w:rPr>
            </w:pPr>
            <w:r>
              <w:rPr>
                <w:rFonts w:ascii="Calibri" w:hAnsi="Calibri"/>
                <w:sz w:val="20"/>
                <w:szCs w:val="20"/>
              </w:rPr>
              <w:t>-189,156,061.43</w:t>
            </w:r>
          </w:p>
        </w:tc>
        <w:tc>
          <w:tcPr>
            <w:tcW w:w="3076" w:type="dxa"/>
            <w:tcBorders>
              <w:top w:val="single" w:color="auto" w:sz="4" w:space="0"/>
              <w:left w:val="single" w:color="auto" w:sz="4" w:space="0"/>
              <w:bottom w:val="single" w:color="auto" w:sz="4" w:space="0"/>
              <w:right w:val="single" w:color="auto" w:sz="4" w:space="0"/>
            </w:tcBorders>
            <w:vAlign w:val="center"/>
          </w:tcPr>
          <w:p w14:paraId="2FBA54F2">
            <w:pPr>
              <w:jc w:val="right"/>
              <w:rPr>
                <w:rFonts w:ascii="Calibri" w:hAnsi="Calibri"/>
                <w:sz w:val="20"/>
                <w:szCs w:val="20"/>
              </w:rPr>
            </w:pPr>
            <w:r>
              <w:rPr>
                <w:rFonts w:ascii="Calibri" w:hAnsi="Calibri"/>
                <w:sz w:val="20"/>
                <w:szCs w:val="20"/>
              </w:rPr>
              <w:t>-103,632,090.32</w:t>
            </w:r>
          </w:p>
        </w:tc>
      </w:tr>
    </w:tbl>
    <w:p w14:paraId="52659DCD">
      <w:pPr>
        <w:pStyle w:val="48"/>
      </w:pPr>
    </w:p>
    <w:p w14:paraId="1F347DBD">
      <w:pPr>
        <w:rPr>
          <w:rFonts w:asciiTheme="minorHAnsi" w:hAnsiTheme="minorHAnsi" w:eastAsiaTheme="minorEastAsia"/>
          <w:szCs w:val="22"/>
        </w:rPr>
      </w:pPr>
    </w:p>
    <w:p w14:paraId="1C07A043">
      <w:pPr>
        <w:rPr>
          <w:rFonts w:asciiTheme="minorHAnsi" w:hAnsiTheme="minorHAnsi" w:eastAsiaTheme="minorEastAsia"/>
          <w:szCs w:val="22"/>
        </w:rPr>
      </w:pPr>
    </w:p>
    <w:p w14:paraId="759CEF02">
      <w:pPr>
        <w:pStyle w:val="4"/>
        <w:numPr>
          <w:ilvl w:val="0"/>
          <w:numId w:val="61"/>
        </w:numPr>
        <w:rPr>
          <w:szCs w:val="21"/>
        </w:rPr>
      </w:pPr>
      <w:r>
        <w:rPr>
          <w:szCs w:val="21"/>
        </w:rPr>
        <w:t>资产处置收益</w:t>
      </w:r>
    </w:p>
    <w:sdt>
      <w:sdtPr>
        <w:rPr>
          <w:bCs/>
        </w:rPr>
        <w:alias w:val="是否适用：资产处置收益[双击切换]"/>
        <w:tag w:val="_GBC_b76400e6a673420c9bc522936e82c207"/>
        <w:id w:val="81498638"/>
        <w:lock w:val="contentLocked"/>
        <w:placeholder>
          <w:docPart w:val="GBC22222222222222222222222222222"/>
        </w:placeholder>
      </w:sdtPr>
      <w:sdtEndPr>
        <w:rPr>
          <w:bCs/>
        </w:rPr>
      </w:sdtEndPr>
      <w:sdtContent>
        <w:p w14:paraId="1016E8E5">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0B46CCF6">
      <w:pPr>
        <w:pStyle w:val="30"/>
        <w:ind w:left="420" w:firstLine="0" w:firstLineChars="0"/>
        <w:jc w:val="right"/>
        <w:rPr>
          <w:bCs/>
        </w:rPr>
      </w:pPr>
      <w:r>
        <w:rPr>
          <w:bCs/>
        </w:rPr>
        <w:t>单位：</w:t>
      </w:r>
      <w:sdt>
        <w:sdtPr>
          <w:rPr>
            <w:bCs/>
          </w:rPr>
          <w:alias w:val="单位：资产处置收益明细"/>
          <w:tag w:val="_GBC_7ec9558ba3654efb8bffe62787e178bb"/>
          <w:id w:val="-20094374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bCs/>
          </w:rPr>
        </w:sdtEndPr>
        <w:sdtContent>
          <w:r>
            <w:rPr>
              <w:bCs/>
            </w:rPr>
            <w:t>元</w:t>
          </w:r>
        </w:sdtContent>
      </w:sdt>
      <w:r>
        <w:rPr>
          <w:bCs/>
        </w:rPr>
        <w:t xml:space="preserve">  币种：</w:t>
      </w:r>
      <w:sdt>
        <w:sdtPr>
          <w:rPr>
            <w:bCs/>
          </w:rPr>
          <w:alias w:val="币种：资产处置收益明细"/>
          <w:tag w:val="_GBC_6a67bd424d2842be9fe48ecebd5d6f35"/>
          <w:id w:val="10110359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rPr>
        </w:sdtEndPr>
        <w:sdtContent>
          <w:r>
            <w:rPr>
              <w:bCs/>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2551"/>
        <w:gridCol w:w="2248"/>
      </w:tblGrid>
      <w:tr w14:paraId="26E4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aa248f59d784f95a8d1e935bd71e05e"/>
            <w:id w:val="1875491553"/>
          </w:sdtPr>
          <w:sdtContent>
            <w:tc>
              <w:tcPr>
                <w:tcW w:w="4248" w:type="dxa"/>
                <w:vAlign w:val="center"/>
              </w:tcPr>
              <w:p w14:paraId="68B1E953">
                <w:pPr>
                  <w:jc w:val="center"/>
                  <w:rPr>
                    <w:rFonts w:ascii="Calibri" w:hAnsi="Calibri"/>
                    <w:sz w:val="20"/>
                    <w:szCs w:val="20"/>
                  </w:rPr>
                </w:pPr>
                <w:r>
                  <w:rPr>
                    <w:rFonts w:hint="eastAsia" w:ascii="Calibri" w:hAnsi="Calibri"/>
                    <w:sz w:val="20"/>
                    <w:szCs w:val="20"/>
                  </w:rPr>
                  <w:t>项目</w:t>
                </w:r>
              </w:p>
            </w:tc>
          </w:sdtContent>
        </w:sdt>
        <w:sdt>
          <w:sdtPr>
            <w:tag w:val="_PLD_130aaf0b75144f7d943c5d780cfc1b6b"/>
            <w:id w:val="-1490082613"/>
          </w:sdtPr>
          <w:sdtContent>
            <w:tc>
              <w:tcPr>
                <w:tcW w:w="2551" w:type="dxa"/>
                <w:vAlign w:val="center"/>
              </w:tcPr>
              <w:p w14:paraId="7467C3EF">
                <w:pPr>
                  <w:jc w:val="center"/>
                  <w:rPr>
                    <w:rFonts w:ascii="Calibri" w:hAnsi="Calibri"/>
                    <w:sz w:val="20"/>
                    <w:szCs w:val="20"/>
                  </w:rPr>
                </w:pPr>
                <w:r>
                  <w:rPr>
                    <w:rFonts w:hint="eastAsia" w:ascii="Calibri" w:hAnsi="Calibri"/>
                    <w:sz w:val="20"/>
                    <w:szCs w:val="20"/>
                  </w:rPr>
                  <w:t>本期发生额</w:t>
                </w:r>
              </w:p>
            </w:tc>
          </w:sdtContent>
        </w:sdt>
        <w:sdt>
          <w:sdtPr>
            <w:tag w:val="_PLD_482f220f08ce46dc8e769190f957eec7"/>
            <w:id w:val="-630400355"/>
          </w:sdtPr>
          <w:sdtContent>
            <w:tc>
              <w:tcPr>
                <w:tcW w:w="2248" w:type="dxa"/>
                <w:vAlign w:val="center"/>
              </w:tcPr>
              <w:p w14:paraId="2E20CE0C">
                <w:pPr>
                  <w:jc w:val="center"/>
                  <w:rPr>
                    <w:rFonts w:ascii="Calibri" w:hAnsi="Calibri"/>
                    <w:sz w:val="20"/>
                    <w:szCs w:val="20"/>
                  </w:rPr>
                </w:pPr>
                <w:r>
                  <w:rPr>
                    <w:rFonts w:hint="eastAsia" w:ascii="Calibri" w:hAnsi="Calibri"/>
                    <w:sz w:val="20"/>
                    <w:szCs w:val="20"/>
                  </w:rPr>
                  <w:t>上期发生额</w:t>
                </w:r>
              </w:p>
            </w:tc>
          </w:sdtContent>
        </w:sdt>
      </w:tr>
      <w:tr w14:paraId="11C4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vAlign w:val="center"/>
          </w:tcPr>
          <w:p w14:paraId="615C5FD8">
            <w:pPr>
              <w:rPr>
                <w:rFonts w:ascii="Calibri" w:hAnsi="Calibri"/>
                <w:sz w:val="20"/>
                <w:szCs w:val="20"/>
              </w:rPr>
            </w:pPr>
            <w:r>
              <w:rPr>
                <w:rFonts w:ascii="Calibri" w:hAnsi="Calibri"/>
                <w:sz w:val="20"/>
                <w:szCs w:val="20"/>
              </w:rPr>
              <w:t>处置未划分为持有待售的固定资产利得</w:t>
            </w:r>
          </w:p>
        </w:tc>
        <w:tc>
          <w:tcPr>
            <w:tcW w:w="2551" w:type="dxa"/>
            <w:vAlign w:val="center"/>
          </w:tcPr>
          <w:p w14:paraId="707B5973">
            <w:pPr>
              <w:jc w:val="right"/>
              <w:rPr>
                <w:rFonts w:ascii="Calibri" w:hAnsi="Calibri"/>
                <w:sz w:val="20"/>
                <w:szCs w:val="20"/>
              </w:rPr>
            </w:pPr>
            <w:r>
              <w:rPr>
                <w:rFonts w:ascii="Calibri" w:hAnsi="Calibri"/>
                <w:sz w:val="20"/>
                <w:szCs w:val="20"/>
              </w:rPr>
              <w:t>-3,049,981.56</w:t>
            </w:r>
          </w:p>
        </w:tc>
        <w:tc>
          <w:tcPr>
            <w:tcW w:w="2248" w:type="dxa"/>
            <w:vAlign w:val="center"/>
          </w:tcPr>
          <w:p w14:paraId="5AAD473F">
            <w:pPr>
              <w:jc w:val="right"/>
              <w:rPr>
                <w:rFonts w:ascii="Calibri" w:hAnsi="Calibri"/>
                <w:sz w:val="20"/>
                <w:szCs w:val="20"/>
              </w:rPr>
            </w:pPr>
            <w:r>
              <w:rPr>
                <w:rFonts w:ascii="Calibri" w:hAnsi="Calibri"/>
                <w:sz w:val="20"/>
                <w:szCs w:val="20"/>
              </w:rPr>
              <w:t>14,784,313.21</w:t>
            </w:r>
          </w:p>
        </w:tc>
      </w:tr>
      <w:tr w14:paraId="29EC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vAlign w:val="center"/>
          </w:tcPr>
          <w:p w14:paraId="0717ECBA">
            <w:pPr>
              <w:rPr>
                <w:rFonts w:ascii="Calibri" w:hAnsi="Calibri"/>
                <w:sz w:val="20"/>
                <w:szCs w:val="20"/>
              </w:rPr>
            </w:pPr>
            <w:r>
              <w:rPr>
                <w:rFonts w:ascii="Calibri" w:hAnsi="Calibri"/>
                <w:sz w:val="20"/>
                <w:szCs w:val="20"/>
              </w:rPr>
              <w:t>处置未划分为持有待售的无形资产利得</w:t>
            </w:r>
          </w:p>
        </w:tc>
        <w:tc>
          <w:tcPr>
            <w:tcW w:w="2551" w:type="dxa"/>
            <w:vAlign w:val="center"/>
          </w:tcPr>
          <w:p w14:paraId="5AAC0DCA">
            <w:pPr>
              <w:jc w:val="right"/>
              <w:rPr>
                <w:rFonts w:ascii="Calibri" w:hAnsi="Calibri"/>
                <w:sz w:val="20"/>
                <w:szCs w:val="20"/>
              </w:rPr>
            </w:pPr>
          </w:p>
        </w:tc>
        <w:tc>
          <w:tcPr>
            <w:tcW w:w="2248" w:type="dxa"/>
            <w:vAlign w:val="center"/>
          </w:tcPr>
          <w:p w14:paraId="640062E3">
            <w:pPr>
              <w:jc w:val="right"/>
              <w:rPr>
                <w:rFonts w:ascii="Calibri" w:hAnsi="Calibri"/>
                <w:sz w:val="20"/>
                <w:szCs w:val="20"/>
              </w:rPr>
            </w:pPr>
            <w:r>
              <w:rPr>
                <w:rFonts w:ascii="Calibri" w:hAnsi="Calibri"/>
                <w:sz w:val="20"/>
                <w:szCs w:val="20"/>
              </w:rPr>
              <w:t>344,521.07</w:t>
            </w:r>
          </w:p>
        </w:tc>
      </w:tr>
      <w:tr w14:paraId="3A43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vAlign w:val="center"/>
          </w:tcPr>
          <w:p w14:paraId="2089A766">
            <w:pPr>
              <w:rPr>
                <w:rFonts w:ascii="Calibri" w:hAnsi="Calibri"/>
                <w:sz w:val="20"/>
                <w:szCs w:val="20"/>
              </w:rPr>
            </w:pPr>
            <w:r>
              <w:rPr>
                <w:rFonts w:ascii="Calibri" w:hAnsi="Calibri"/>
                <w:sz w:val="20"/>
                <w:szCs w:val="20"/>
              </w:rPr>
              <w:t>处置未划分为持有待售的使用权资产利得</w:t>
            </w:r>
          </w:p>
        </w:tc>
        <w:tc>
          <w:tcPr>
            <w:tcW w:w="2551" w:type="dxa"/>
            <w:vAlign w:val="center"/>
          </w:tcPr>
          <w:p w14:paraId="39D227C6">
            <w:pPr>
              <w:jc w:val="right"/>
              <w:rPr>
                <w:rFonts w:ascii="Calibri" w:hAnsi="Calibri"/>
                <w:sz w:val="20"/>
                <w:szCs w:val="20"/>
              </w:rPr>
            </w:pPr>
            <w:r>
              <w:rPr>
                <w:rFonts w:ascii="Calibri" w:hAnsi="Calibri"/>
                <w:sz w:val="20"/>
                <w:szCs w:val="20"/>
              </w:rPr>
              <w:t>-65,182.98</w:t>
            </w:r>
          </w:p>
        </w:tc>
        <w:tc>
          <w:tcPr>
            <w:tcW w:w="2248" w:type="dxa"/>
            <w:vAlign w:val="center"/>
          </w:tcPr>
          <w:p w14:paraId="06F94D75">
            <w:pPr>
              <w:jc w:val="right"/>
              <w:rPr>
                <w:rFonts w:ascii="Calibri" w:hAnsi="Calibri"/>
                <w:sz w:val="20"/>
                <w:szCs w:val="20"/>
              </w:rPr>
            </w:pPr>
          </w:p>
        </w:tc>
      </w:tr>
      <w:tr w14:paraId="3C9F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vAlign w:val="center"/>
          </w:tcPr>
          <w:p w14:paraId="263B7F90">
            <w:pPr>
              <w:jc w:val="center"/>
              <w:rPr>
                <w:rFonts w:ascii="Calibri" w:hAnsi="Calibri"/>
                <w:sz w:val="20"/>
                <w:szCs w:val="20"/>
              </w:rPr>
            </w:pPr>
            <w:r>
              <w:rPr>
                <w:rFonts w:hint="eastAsia" w:ascii="Calibri" w:hAnsi="Calibri"/>
                <w:sz w:val="20"/>
                <w:szCs w:val="20"/>
              </w:rPr>
              <w:t>合计</w:t>
            </w:r>
          </w:p>
        </w:tc>
        <w:tc>
          <w:tcPr>
            <w:tcW w:w="2551" w:type="dxa"/>
            <w:vAlign w:val="center"/>
          </w:tcPr>
          <w:p w14:paraId="32807E24">
            <w:pPr>
              <w:jc w:val="right"/>
              <w:rPr>
                <w:rFonts w:ascii="Calibri" w:hAnsi="Calibri"/>
                <w:sz w:val="20"/>
                <w:szCs w:val="20"/>
              </w:rPr>
            </w:pPr>
            <w:r>
              <w:rPr>
                <w:rFonts w:ascii="Calibri" w:hAnsi="Calibri"/>
                <w:sz w:val="20"/>
                <w:szCs w:val="20"/>
              </w:rPr>
              <w:t>-3,115,164.54</w:t>
            </w:r>
          </w:p>
        </w:tc>
        <w:tc>
          <w:tcPr>
            <w:tcW w:w="2248" w:type="dxa"/>
            <w:vAlign w:val="center"/>
          </w:tcPr>
          <w:p w14:paraId="1F4D338A">
            <w:pPr>
              <w:jc w:val="right"/>
              <w:rPr>
                <w:rFonts w:ascii="Calibri" w:hAnsi="Calibri"/>
                <w:sz w:val="20"/>
                <w:szCs w:val="20"/>
              </w:rPr>
            </w:pPr>
            <w:r>
              <w:rPr>
                <w:rFonts w:ascii="Calibri" w:hAnsi="Calibri"/>
                <w:sz w:val="20"/>
                <w:szCs w:val="20"/>
              </w:rPr>
              <w:t>15,128,834.28</w:t>
            </w:r>
          </w:p>
        </w:tc>
      </w:tr>
    </w:tbl>
    <w:p w14:paraId="45BF1C31"/>
    <w:p w14:paraId="62C8613D">
      <w:pPr>
        <w:pStyle w:val="48"/>
      </w:pPr>
    </w:p>
    <w:p w14:paraId="09385A35">
      <w:pPr>
        <w:autoSpaceDE w:val="0"/>
        <w:autoSpaceDN w:val="0"/>
        <w:adjustRightInd w:val="0"/>
      </w:pPr>
    </w:p>
    <w:p w14:paraId="08A5D8B3">
      <w:pPr>
        <w:pStyle w:val="4"/>
        <w:numPr>
          <w:ilvl w:val="0"/>
          <w:numId w:val="61"/>
        </w:numPr>
        <w:rPr>
          <w:szCs w:val="21"/>
        </w:rPr>
      </w:pPr>
      <w:r>
        <w:rPr>
          <w:szCs w:val="21"/>
        </w:rPr>
        <w:t>营业外收入</w:t>
      </w:r>
    </w:p>
    <w:p w14:paraId="5A548525">
      <w:pPr>
        <w:pStyle w:val="48"/>
      </w:pPr>
      <w:r>
        <w:rPr>
          <w:rFonts w:hint="eastAsia"/>
        </w:rPr>
        <w:t>营业外收入情况</w:t>
      </w:r>
    </w:p>
    <w:sdt>
      <w:sdtPr>
        <w:rPr>
          <w:rFonts w:hint="eastAsia"/>
        </w:rPr>
        <w:alias w:val="是否适用：营业外收入情况 [双击切换]"/>
        <w:tag w:val="_GBC_4aec8b65d0e744aaaddac8859ae249bc"/>
        <w:id w:val="422387326"/>
        <w:placeholder>
          <w:docPart w:val="GBC22222222222222222222222222222"/>
        </w:placeholder>
      </w:sdtPr>
      <w:sdtEndPr>
        <w:rPr>
          <w:rFonts w:hint="eastAsia"/>
        </w:rPr>
      </w:sdtEndPr>
      <w:sdtContent>
        <w:p w14:paraId="3ADA087A">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113CA67">
      <w:pPr>
        <w:jc w:val="right"/>
      </w:pPr>
      <w:r>
        <w:rPr>
          <w:rFonts w:hint="eastAsia"/>
        </w:rPr>
        <w:t>单位：</w:t>
      </w:r>
      <w:sdt>
        <w:sdtPr>
          <w:rPr>
            <w:rFonts w:hint="eastAsia"/>
          </w:rPr>
          <w:alias w:val="单位：财务附注：营业外收入"/>
          <w:tag w:val="_GBC_79d3fe1c29e746e7b2a9a9acfcc43449"/>
          <w:id w:val="4645494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13931493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2305"/>
        <w:gridCol w:w="2314"/>
        <w:gridCol w:w="2316"/>
      </w:tblGrid>
      <w:tr w14:paraId="2B95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b52b1902e1443609ba6891d7076aebe"/>
            <w:id w:val="1258866269"/>
          </w:sdtPr>
          <w:sdtContent>
            <w:tc>
              <w:tcPr>
                <w:tcW w:w="2112" w:type="dxa"/>
                <w:tcBorders>
                  <w:top w:val="single" w:color="auto" w:sz="4" w:space="0"/>
                  <w:left w:val="single" w:color="auto" w:sz="4" w:space="0"/>
                  <w:bottom w:val="single" w:color="auto" w:sz="4" w:space="0"/>
                  <w:right w:val="single" w:color="auto" w:sz="4" w:space="0"/>
                </w:tcBorders>
                <w:vAlign w:val="center"/>
              </w:tcPr>
              <w:p w14:paraId="3767EC87">
                <w:pPr>
                  <w:autoSpaceDE w:val="0"/>
                  <w:autoSpaceDN w:val="0"/>
                  <w:adjustRightInd w:val="0"/>
                  <w:jc w:val="center"/>
                  <w:rPr>
                    <w:rFonts w:ascii="Calibri" w:hAnsi="Calibri"/>
                    <w:sz w:val="20"/>
                    <w:szCs w:val="20"/>
                  </w:rPr>
                </w:pPr>
                <w:r>
                  <w:rPr>
                    <w:rFonts w:hint="eastAsia" w:ascii="Calibri" w:hAnsi="Calibri"/>
                    <w:sz w:val="20"/>
                    <w:szCs w:val="20"/>
                  </w:rPr>
                  <w:t>项目</w:t>
                </w:r>
              </w:p>
            </w:tc>
          </w:sdtContent>
        </w:sdt>
        <w:sdt>
          <w:sdtPr>
            <w:tag w:val="_PLD_9dc87bd465124a2289f545f76d28c96c"/>
            <w:id w:val="1157581124"/>
          </w:sdtPr>
          <w:sdtContent>
            <w:tc>
              <w:tcPr>
                <w:tcW w:w="2305" w:type="dxa"/>
                <w:tcBorders>
                  <w:top w:val="single" w:color="auto" w:sz="4" w:space="0"/>
                  <w:left w:val="single" w:color="auto" w:sz="4" w:space="0"/>
                  <w:bottom w:val="single" w:color="auto" w:sz="4" w:space="0"/>
                  <w:right w:val="single" w:color="auto" w:sz="4" w:space="0"/>
                </w:tcBorders>
                <w:vAlign w:val="center"/>
              </w:tcPr>
              <w:p w14:paraId="779E8D57">
                <w:pPr>
                  <w:autoSpaceDE w:val="0"/>
                  <w:autoSpaceDN w:val="0"/>
                  <w:adjustRightInd w:val="0"/>
                  <w:jc w:val="center"/>
                  <w:rPr>
                    <w:rFonts w:ascii="Calibri" w:hAnsi="Calibri"/>
                    <w:sz w:val="20"/>
                    <w:szCs w:val="20"/>
                  </w:rPr>
                </w:pPr>
                <w:r>
                  <w:rPr>
                    <w:rFonts w:hint="eastAsia" w:ascii="Calibri" w:hAnsi="Calibri"/>
                    <w:sz w:val="20"/>
                    <w:szCs w:val="20"/>
                  </w:rPr>
                  <w:t>本期发生额</w:t>
                </w:r>
              </w:p>
            </w:tc>
          </w:sdtContent>
        </w:sdt>
        <w:sdt>
          <w:sdtPr>
            <w:tag w:val="_PLD_e1b91f5db91a439083c1f9a1b7d17ef9"/>
            <w:id w:val="-305089194"/>
          </w:sdtPr>
          <w:sdtContent>
            <w:tc>
              <w:tcPr>
                <w:tcW w:w="2314" w:type="dxa"/>
                <w:tcBorders>
                  <w:top w:val="single" w:color="auto" w:sz="4" w:space="0"/>
                  <w:left w:val="single" w:color="auto" w:sz="4" w:space="0"/>
                  <w:bottom w:val="single" w:color="auto" w:sz="4" w:space="0"/>
                  <w:right w:val="single" w:color="auto" w:sz="4" w:space="0"/>
                </w:tcBorders>
                <w:vAlign w:val="center"/>
              </w:tcPr>
              <w:p w14:paraId="7106711E">
                <w:pPr>
                  <w:autoSpaceDE w:val="0"/>
                  <w:autoSpaceDN w:val="0"/>
                  <w:adjustRightInd w:val="0"/>
                  <w:jc w:val="center"/>
                  <w:rPr>
                    <w:rFonts w:ascii="Calibri" w:hAnsi="Calibri"/>
                    <w:sz w:val="20"/>
                    <w:szCs w:val="20"/>
                  </w:rPr>
                </w:pPr>
                <w:r>
                  <w:rPr>
                    <w:rFonts w:hint="eastAsia" w:ascii="Calibri" w:hAnsi="Calibri"/>
                    <w:sz w:val="20"/>
                    <w:szCs w:val="20"/>
                  </w:rPr>
                  <w:t>上期发生额</w:t>
                </w:r>
              </w:p>
            </w:tc>
          </w:sdtContent>
        </w:sdt>
        <w:sdt>
          <w:sdtPr>
            <w:tag w:val="_PLD_db1c9e08e7ea407889a350e8451d2848"/>
            <w:id w:val="373820144"/>
          </w:sdtPr>
          <w:sdtContent>
            <w:tc>
              <w:tcPr>
                <w:tcW w:w="2316" w:type="dxa"/>
                <w:tcBorders>
                  <w:top w:val="single" w:color="auto" w:sz="4" w:space="0"/>
                  <w:left w:val="single" w:color="auto" w:sz="4" w:space="0"/>
                  <w:bottom w:val="single" w:color="auto" w:sz="4" w:space="0"/>
                  <w:right w:val="single" w:color="auto" w:sz="4" w:space="0"/>
                </w:tcBorders>
                <w:vAlign w:val="center"/>
              </w:tcPr>
              <w:p w14:paraId="6F8004B8">
                <w:pPr>
                  <w:autoSpaceDE w:val="0"/>
                  <w:autoSpaceDN w:val="0"/>
                  <w:adjustRightInd w:val="0"/>
                  <w:jc w:val="center"/>
                  <w:rPr>
                    <w:rFonts w:ascii="Calibri" w:hAnsi="Calibri"/>
                    <w:color w:val="FF0000"/>
                    <w:sz w:val="20"/>
                    <w:szCs w:val="20"/>
                  </w:rPr>
                </w:pPr>
                <w:r>
                  <w:rPr>
                    <w:rFonts w:hint="eastAsia" w:ascii="Calibri" w:hAnsi="Calibri"/>
                    <w:sz w:val="20"/>
                    <w:szCs w:val="20"/>
                  </w:rPr>
                  <w:t>计入当期非经常性损益的金额</w:t>
                </w:r>
              </w:p>
            </w:tc>
          </w:sdtContent>
        </w:sdt>
      </w:tr>
      <w:tr w14:paraId="3DD2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Borders>
              <w:top w:val="single" w:color="auto" w:sz="4" w:space="0"/>
              <w:left w:val="single" w:color="auto" w:sz="4" w:space="0"/>
              <w:bottom w:val="single" w:color="auto" w:sz="4" w:space="0"/>
              <w:right w:val="single" w:color="auto" w:sz="4" w:space="0"/>
            </w:tcBorders>
            <w:vAlign w:val="center"/>
          </w:tcPr>
          <w:p w14:paraId="00D71368">
            <w:pPr>
              <w:autoSpaceDE w:val="0"/>
              <w:autoSpaceDN w:val="0"/>
              <w:adjustRightInd w:val="0"/>
              <w:rPr>
                <w:rFonts w:ascii="Calibri" w:hAnsi="Calibri"/>
                <w:sz w:val="20"/>
                <w:szCs w:val="20"/>
              </w:rPr>
            </w:pPr>
            <w:r>
              <w:rPr>
                <w:rFonts w:hint="eastAsia" w:ascii="Calibri" w:hAnsi="Calibri"/>
                <w:sz w:val="20"/>
                <w:szCs w:val="20"/>
              </w:rPr>
              <w:t>非流动资产处置利得合计</w:t>
            </w:r>
          </w:p>
        </w:tc>
        <w:tc>
          <w:tcPr>
            <w:tcW w:w="2305" w:type="dxa"/>
            <w:tcBorders>
              <w:top w:val="single" w:color="auto" w:sz="4" w:space="0"/>
              <w:left w:val="single" w:color="auto" w:sz="4" w:space="0"/>
              <w:bottom w:val="single" w:color="auto" w:sz="4" w:space="0"/>
              <w:right w:val="single" w:color="auto" w:sz="4" w:space="0"/>
            </w:tcBorders>
            <w:vAlign w:val="center"/>
          </w:tcPr>
          <w:p w14:paraId="07C4AF05">
            <w:pPr>
              <w:jc w:val="right"/>
              <w:rPr>
                <w:rFonts w:ascii="Calibri" w:hAnsi="Calibri"/>
                <w:sz w:val="20"/>
                <w:szCs w:val="20"/>
              </w:rPr>
            </w:pPr>
            <w:r>
              <w:rPr>
                <w:rFonts w:ascii="Calibri" w:hAnsi="Calibri"/>
                <w:sz w:val="20"/>
                <w:szCs w:val="20"/>
              </w:rPr>
              <w:t>500.00</w:t>
            </w:r>
          </w:p>
        </w:tc>
        <w:tc>
          <w:tcPr>
            <w:tcW w:w="2314" w:type="dxa"/>
            <w:tcBorders>
              <w:top w:val="single" w:color="auto" w:sz="4" w:space="0"/>
              <w:left w:val="single" w:color="auto" w:sz="4" w:space="0"/>
              <w:bottom w:val="single" w:color="auto" w:sz="4" w:space="0"/>
              <w:right w:val="single" w:color="auto" w:sz="4" w:space="0"/>
            </w:tcBorders>
            <w:vAlign w:val="center"/>
          </w:tcPr>
          <w:p w14:paraId="51A881EB">
            <w:pPr>
              <w:jc w:val="right"/>
              <w:rPr>
                <w:rFonts w:ascii="Calibri" w:hAnsi="Calibri"/>
                <w:sz w:val="20"/>
                <w:szCs w:val="20"/>
              </w:rPr>
            </w:pPr>
            <w:r>
              <w:rPr>
                <w:rFonts w:ascii="Calibri" w:hAnsi="Calibri"/>
                <w:sz w:val="20"/>
                <w:szCs w:val="20"/>
              </w:rPr>
              <w:t>135,163.67</w:t>
            </w:r>
          </w:p>
        </w:tc>
        <w:tc>
          <w:tcPr>
            <w:tcW w:w="2316" w:type="dxa"/>
            <w:tcBorders>
              <w:top w:val="single" w:color="auto" w:sz="4" w:space="0"/>
              <w:left w:val="single" w:color="auto" w:sz="4" w:space="0"/>
              <w:bottom w:val="single" w:color="auto" w:sz="4" w:space="0"/>
              <w:right w:val="single" w:color="auto" w:sz="4" w:space="0"/>
            </w:tcBorders>
            <w:vAlign w:val="center"/>
          </w:tcPr>
          <w:p w14:paraId="52E6A3F2">
            <w:pPr>
              <w:autoSpaceDE w:val="0"/>
              <w:autoSpaceDN w:val="0"/>
              <w:adjustRightInd w:val="0"/>
              <w:jc w:val="right"/>
              <w:rPr>
                <w:rFonts w:ascii="Calibri" w:hAnsi="Calibri"/>
                <w:sz w:val="20"/>
                <w:szCs w:val="20"/>
              </w:rPr>
            </w:pPr>
            <w:r>
              <w:rPr>
                <w:rFonts w:ascii="Calibri" w:hAnsi="Calibri"/>
                <w:sz w:val="20"/>
                <w:szCs w:val="20"/>
              </w:rPr>
              <w:t>500.00</w:t>
            </w:r>
          </w:p>
        </w:tc>
      </w:tr>
      <w:tr w14:paraId="4B4D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Borders>
              <w:top w:val="single" w:color="auto" w:sz="4" w:space="0"/>
              <w:left w:val="single" w:color="auto" w:sz="4" w:space="0"/>
              <w:bottom w:val="single" w:color="auto" w:sz="4" w:space="0"/>
              <w:right w:val="single" w:color="auto" w:sz="4" w:space="0"/>
            </w:tcBorders>
            <w:vAlign w:val="center"/>
          </w:tcPr>
          <w:p w14:paraId="3E72542D">
            <w:pPr>
              <w:autoSpaceDE w:val="0"/>
              <w:autoSpaceDN w:val="0"/>
              <w:adjustRightInd w:val="0"/>
              <w:rPr>
                <w:rFonts w:ascii="Calibri" w:hAnsi="Calibri"/>
                <w:sz w:val="20"/>
                <w:szCs w:val="20"/>
              </w:rPr>
            </w:pPr>
            <w:r>
              <w:rPr>
                <w:rFonts w:hint="eastAsia" w:ascii="Calibri" w:hAnsi="Calibri"/>
                <w:sz w:val="20"/>
                <w:szCs w:val="20"/>
              </w:rPr>
              <w:t>其中：固定资产处置利得</w:t>
            </w:r>
          </w:p>
        </w:tc>
        <w:tc>
          <w:tcPr>
            <w:tcW w:w="2305" w:type="dxa"/>
            <w:tcBorders>
              <w:top w:val="single" w:color="auto" w:sz="4" w:space="0"/>
              <w:left w:val="single" w:color="auto" w:sz="4" w:space="0"/>
              <w:bottom w:val="single" w:color="auto" w:sz="4" w:space="0"/>
              <w:right w:val="single" w:color="auto" w:sz="4" w:space="0"/>
            </w:tcBorders>
            <w:vAlign w:val="center"/>
          </w:tcPr>
          <w:p w14:paraId="1FF7CDCF">
            <w:pPr>
              <w:jc w:val="right"/>
              <w:rPr>
                <w:rFonts w:ascii="Calibri" w:hAnsi="Calibri"/>
                <w:sz w:val="20"/>
                <w:szCs w:val="20"/>
              </w:rPr>
            </w:pPr>
            <w:r>
              <w:rPr>
                <w:rFonts w:ascii="Calibri" w:hAnsi="Calibri"/>
                <w:sz w:val="20"/>
                <w:szCs w:val="20"/>
              </w:rPr>
              <w:t>500.00</w:t>
            </w:r>
          </w:p>
        </w:tc>
        <w:tc>
          <w:tcPr>
            <w:tcW w:w="2314" w:type="dxa"/>
            <w:tcBorders>
              <w:top w:val="single" w:color="auto" w:sz="4" w:space="0"/>
              <w:left w:val="single" w:color="auto" w:sz="4" w:space="0"/>
              <w:bottom w:val="single" w:color="auto" w:sz="4" w:space="0"/>
              <w:right w:val="single" w:color="auto" w:sz="4" w:space="0"/>
            </w:tcBorders>
            <w:vAlign w:val="center"/>
          </w:tcPr>
          <w:p w14:paraId="1B3BD372">
            <w:pPr>
              <w:jc w:val="right"/>
              <w:rPr>
                <w:rFonts w:ascii="Calibri" w:hAnsi="Calibri"/>
                <w:sz w:val="20"/>
                <w:szCs w:val="20"/>
              </w:rPr>
            </w:pPr>
            <w:r>
              <w:rPr>
                <w:rFonts w:ascii="Calibri" w:hAnsi="Calibri"/>
                <w:sz w:val="20"/>
                <w:szCs w:val="20"/>
              </w:rPr>
              <w:t>135,163.67</w:t>
            </w:r>
          </w:p>
        </w:tc>
        <w:tc>
          <w:tcPr>
            <w:tcW w:w="2316" w:type="dxa"/>
            <w:tcBorders>
              <w:top w:val="single" w:color="auto" w:sz="4" w:space="0"/>
              <w:left w:val="single" w:color="auto" w:sz="4" w:space="0"/>
              <w:bottom w:val="single" w:color="auto" w:sz="4" w:space="0"/>
              <w:right w:val="single" w:color="auto" w:sz="4" w:space="0"/>
            </w:tcBorders>
            <w:vAlign w:val="center"/>
          </w:tcPr>
          <w:p w14:paraId="15179560">
            <w:pPr>
              <w:autoSpaceDE w:val="0"/>
              <w:autoSpaceDN w:val="0"/>
              <w:adjustRightInd w:val="0"/>
              <w:jc w:val="right"/>
              <w:rPr>
                <w:rFonts w:ascii="Calibri" w:hAnsi="Calibri"/>
                <w:sz w:val="20"/>
                <w:szCs w:val="20"/>
              </w:rPr>
            </w:pPr>
            <w:r>
              <w:rPr>
                <w:rFonts w:ascii="Calibri" w:hAnsi="Calibri"/>
                <w:sz w:val="20"/>
                <w:szCs w:val="20"/>
              </w:rPr>
              <w:t>500.00</w:t>
            </w:r>
          </w:p>
        </w:tc>
      </w:tr>
      <w:tr w14:paraId="6806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Borders>
              <w:top w:val="single" w:color="auto" w:sz="4" w:space="0"/>
              <w:left w:val="single" w:color="auto" w:sz="4" w:space="0"/>
              <w:bottom w:val="single" w:color="auto" w:sz="4" w:space="0"/>
              <w:right w:val="single" w:color="auto" w:sz="4" w:space="0"/>
            </w:tcBorders>
            <w:vAlign w:val="center"/>
          </w:tcPr>
          <w:p w14:paraId="507A74D0">
            <w:pPr>
              <w:autoSpaceDE w:val="0"/>
              <w:autoSpaceDN w:val="0"/>
              <w:adjustRightInd w:val="0"/>
              <w:ind w:firstLine="600" w:firstLineChars="300"/>
              <w:rPr>
                <w:rFonts w:ascii="Calibri" w:hAnsi="Calibri"/>
                <w:sz w:val="20"/>
                <w:szCs w:val="20"/>
              </w:rPr>
            </w:pPr>
            <w:r>
              <w:rPr>
                <w:rFonts w:hint="eastAsia" w:ascii="Calibri" w:hAnsi="Calibri"/>
                <w:sz w:val="20"/>
                <w:szCs w:val="20"/>
              </w:rPr>
              <w:t>无形资产处置利得</w:t>
            </w:r>
          </w:p>
        </w:tc>
        <w:tc>
          <w:tcPr>
            <w:tcW w:w="2305" w:type="dxa"/>
            <w:tcBorders>
              <w:top w:val="single" w:color="auto" w:sz="4" w:space="0"/>
              <w:left w:val="single" w:color="auto" w:sz="4" w:space="0"/>
              <w:bottom w:val="single" w:color="auto" w:sz="4" w:space="0"/>
              <w:right w:val="single" w:color="auto" w:sz="4" w:space="0"/>
            </w:tcBorders>
            <w:vAlign w:val="center"/>
          </w:tcPr>
          <w:p w14:paraId="6274BF32">
            <w:pPr>
              <w:jc w:val="right"/>
              <w:rPr>
                <w:rFonts w:ascii="Calibri" w:hAnsi="Calibri"/>
                <w:sz w:val="20"/>
                <w:szCs w:val="20"/>
              </w:rPr>
            </w:pPr>
          </w:p>
        </w:tc>
        <w:tc>
          <w:tcPr>
            <w:tcW w:w="2314" w:type="dxa"/>
            <w:tcBorders>
              <w:top w:val="single" w:color="auto" w:sz="4" w:space="0"/>
              <w:left w:val="single" w:color="auto" w:sz="4" w:space="0"/>
              <w:bottom w:val="single" w:color="auto" w:sz="4" w:space="0"/>
              <w:right w:val="single" w:color="auto" w:sz="4" w:space="0"/>
            </w:tcBorders>
            <w:vAlign w:val="center"/>
          </w:tcPr>
          <w:p w14:paraId="0AAC233C">
            <w:pPr>
              <w:jc w:val="right"/>
              <w:rPr>
                <w:rFonts w:ascii="Calibri" w:hAnsi="Calibri"/>
                <w:sz w:val="20"/>
                <w:szCs w:val="20"/>
              </w:rPr>
            </w:pPr>
          </w:p>
        </w:tc>
        <w:tc>
          <w:tcPr>
            <w:tcW w:w="2316" w:type="dxa"/>
            <w:tcBorders>
              <w:top w:val="single" w:color="auto" w:sz="4" w:space="0"/>
              <w:left w:val="single" w:color="auto" w:sz="4" w:space="0"/>
              <w:bottom w:val="single" w:color="auto" w:sz="4" w:space="0"/>
              <w:right w:val="single" w:color="auto" w:sz="4" w:space="0"/>
            </w:tcBorders>
            <w:vAlign w:val="center"/>
          </w:tcPr>
          <w:p w14:paraId="667CFFC8">
            <w:pPr>
              <w:autoSpaceDE w:val="0"/>
              <w:autoSpaceDN w:val="0"/>
              <w:adjustRightInd w:val="0"/>
              <w:jc w:val="right"/>
              <w:rPr>
                <w:rFonts w:ascii="Calibri" w:hAnsi="Calibri"/>
                <w:sz w:val="20"/>
                <w:szCs w:val="20"/>
              </w:rPr>
            </w:pPr>
          </w:p>
        </w:tc>
      </w:tr>
      <w:tr w14:paraId="2D50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Borders>
              <w:top w:val="single" w:color="auto" w:sz="4" w:space="0"/>
              <w:left w:val="single" w:color="auto" w:sz="4" w:space="0"/>
              <w:bottom w:val="single" w:color="auto" w:sz="4" w:space="0"/>
              <w:right w:val="single" w:color="auto" w:sz="4" w:space="0"/>
            </w:tcBorders>
            <w:vAlign w:val="center"/>
          </w:tcPr>
          <w:p w14:paraId="43F27645">
            <w:pPr>
              <w:autoSpaceDE w:val="0"/>
              <w:autoSpaceDN w:val="0"/>
              <w:adjustRightInd w:val="0"/>
              <w:rPr>
                <w:rFonts w:ascii="Calibri" w:hAnsi="Calibri"/>
                <w:sz w:val="20"/>
                <w:szCs w:val="20"/>
              </w:rPr>
            </w:pPr>
            <w:r>
              <w:rPr>
                <w:rFonts w:hint="eastAsia" w:ascii="Calibri" w:hAnsi="Calibri"/>
                <w:sz w:val="20"/>
                <w:szCs w:val="20"/>
              </w:rPr>
              <w:t>非货币性资产交换利得</w:t>
            </w:r>
          </w:p>
        </w:tc>
        <w:tc>
          <w:tcPr>
            <w:tcW w:w="2305" w:type="dxa"/>
            <w:tcBorders>
              <w:top w:val="single" w:color="auto" w:sz="4" w:space="0"/>
              <w:left w:val="single" w:color="auto" w:sz="4" w:space="0"/>
              <w:bottom w:val="single" w:color="auto" w:sz="4" w:space="0"/>
              <w:right w:val="single" w:color="auto" w:sz="4" w:space="0"/>
            </w:tcBorders>
            <w:vAlign w:val="center"/>
          </w:tcPr>
          <w:p w14:paraId="42EB1BEB">
            <w:pPr>
              <w:jc w:val="right"/>
              <w:rPr>
                <w:rFonts w:ascii="Calibri" w:hAnsi="Calibri"/>
                <w:sz w:val="20"/>
                <w:szCs w:val="20"/>
              </w:rPr>
            </w:pPr>
          </w:p>
        </w:tc>
        <w:tc>
          <w:tcPr>
            <w:tcW w:w="2314" w:type="dxa"/>
            <w:tcBorders>
              <w:top w:val="single" w:color="auto" w:sz="4" w:space="0"/>
              <w:left w:val="single" w:color="auto" w:sz="4" w:space="0"/>
              <w:bottom w:val="single" w:color="auto" w:sz="4" w:space="0"/>
              <w:right w:val="single" w:color="auto" w:sz="4" w:space="0"/>
            </w:tcBorders>
            <w:vAlign w:val="center"/>
          </w:tcPr>
          <w:p w14:paraId="73D6A3B6">
            <w:pPr>
              <w:jc w:val="right"/>
              <w:rPr>
                <w:rFonts w:ascii="Calibri" w:hAnsi="Calibri"/>
                <w:sz w:val="20"/>
                <w:szCs w:val="20"/>
              </w:rPr>
            </w:pPr>
          </w:p>
        </w:tc>
        <w:tc>
          <w:tcPr>
            <w:tcW w:w="2316" w:type="dxa"/>
            <w:tcBorders>
              <w:top w:val="single" w:color="auto" w:sz="4" w:space="0"/>
              <w:left w:val="single" w:color="auto" w:sz="4" w:space="0"/>
              <w:bottom w:val="single" w:color="auto" w:sz="4" w:space="0"/>
              <w:right w:val="single" w:color="auto" w:sz="4" w:space="0"/>
            </w:tcBorders>
            <w:vAlign w:val="center"/>
          </w:tcPr>
          <w:p w14:paraId="2166697E">
            <w:pPr>
              <w:autoSpaceDE w:val="0"/>
              <w:autoSpaceDN w:val="0"/>
              <w:adjustRightInd w:val="0"/>
              <w:jc w:val="right"/>
              <w:rPr>
                <w:rFonts w:ascii="Calibri" w:hAnsi="Calibri"/>
                <w:sz w:val="20"/>
                <w:szCs w:val="20"/>
              </w:rPr>
            </w:pPr>
          </w:p>
        </w:tc>
      </w:tr>
      <w:tr w14:paraId="167F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Borders>
              <w:top w:val="single" w:color="auto" w:sz="4" w:space="0"/>
              <w:left w:val="single" w:color="auto" w:sz="4" w:space="0"/>
              <w:bottom w:val="single" w:color="auto" w:sz="4" w:space="0"/>
              <w:right w:val="single" w:color="auto" w:sz="4" w:space="0"/>
            </w:tcBorders>
            <w:vAlign w:val="center"/>
          </w:tcPr>
          <w:p w14:paraId="1C353272">
            <w:pPr>
              <w:autoSpaceDE w:val="0"/>
              <w:autoSpaceDN w:val="0"/>
              <w:adjustRightInd w:val="0"/>
              <w:rPr>
                <w:rFonts w:ascii="Calibri" w:hAnsi="Calibri"/>
                <w:sz w:val="20"/>
                <w:szCs w:val="20"/>
              </w:rPr>
            </w:pPr>
            <w:r>
              <w:rPr>
                <w:rFonts w:hint="eastAsia" w:ascii="Calibri" w:hAnsi="Calibri"/>
                <w:sz w:val="20"/>
                <w:szCs w:val="20"/>
              </w:rPr>
              <w:t>接受捐赠</w:t>
            </w:r>
          </w:p>
        </w:tc>
        <w:tc>
          <w:tcPr>
            <w:tcW w:w="2305" w:type="dxa"/>
            <w:tcBorders>
              <w:top w:val="single" w:color="auto" w:sz="4" w:space="0"/>
              <w:left w:val="single" w:color="auto" w:sz="4" w:space="0"/>
              <w:bottom w:val="single" w:color="auto" w:sz="4" w:space="0"/>
              <w:right w:val="single" w:color="auto" w:sz="4" w:space="0"/>
            </w:tcBorders>
            <w:vAlign w:val="center"/>
          </w:tcPr>
          <w:p w14:paraId="525396B0">
            <w:pPr>
              <w:jc w:val="right"/>
              <w:rPr>
                <w:rFonts w:ascii="Calibri" w:hAnsi="Calibri"/>
                <w:sz w:val="20"/>
                <w:szCs w:val="20"/>
              </w:rPr>
            </w:pPr>
          </w:p>
        </w:tc>
        <w:tc>
          <w:tcPr>
            <w:tcW w:w="2314" w:type="dxa"/>
            <w:tcBorders>
              <w:top w:val="single" w:color="auto" w:sz="4" w:space="0"/>
              <w:left w:val="single" w:color="auto" w:sz="4" w:space="0"/>
              <w:bottom w:val="single" w:color="auto" w:sz="4" w:space="0"/>
              <w:right w:val="single" w:color="auto" w:sz="4" w:space="0"/>
            </w:tcBorders>
            <w:vAlign w:val="center"/>
          </w:tcPr>
          <w:p w14:paraId="212CBAA4">
            <w:pPr>
              <w:jc w:val="right"/>
              <w:rPr>
                <w:rFonts w:ascii="Calibri" w:hAnsi="Calibri"/>
                <w:sz w:val="20"/>
                <w:szCs w:val="20"/>
              </w:rPr>
            </w:pPr>
          </w:p>
        </w:tc>
        <w:tc>
          <w:tcPr>
            <w:tcW w:w="2316" w:type="dxa"/>
            <w:tcBorders>
              <w:top w:val="single" w:color="auto" w:sz="4" w:space="0"/>
              <w:left w:val="single" w:color="auto" w:sz="4" w:space="0"/>
              <w:bottom w:val="single" w:color="auto" w:sz="4" w:space="0"/>
              <w:right w:val="single" w:color="auto" w:sz="4" w:space="0"/>
            </w:tcBorders>
            <w:vAlign w:val="center"/>
          </w:tcPr>
          <w:p w14:paraId="735B63A0">
            <w:pPr>
              <w:autoSpaceDE w:val="0"/>
              <w:autoSpaceDN w:val="0"/>
              <w:adjustRightInd w:val="0"/>
              <w:jc w:val="right"/>
              <w:rPr>
                <w:rFonts w:ascii="Calibri" w:hAnsi="Calibri"/>
                <w:sz w:val="20"/>
                <w:szCs w:val="20"/>
              </w:rPr>
            </w:pPr>
          </w:p>
        </w:tc>
      </w:tr>
      <w:tr w14:paraId="2157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Borders>
              <w:top w:val="single" w:color="auto" w:sz="4" w:space="0"/>
              <w:left w:val="single" w:color="auto" w:sz="4" w:space="0"/>
              <w:bottom w:val="single" w:color="auto" w:sz="4" w:space="0"/>
              <w:right w:val="single" w:color="auto" w:sz="4" w:space="0"/>
            </w:tcBorders>
            <w:vAlign w:val="center"/>
          </w:tcPr>
          <w:p w14:paraId="29AFB5BD">
            <w:pPr>
              <w:ind w:right="6"/>
              <w:rPr>
                <w:rFonts w:ascii="Calibri" w:hAnsi="Calibri"/>
                <w:bCs/>
                <w:sz w:val="20"/>
                <w:szCs w:val="20"/>
              </w:rPr>
            </w:pPr>
            <w:r>
              <w:rPr>
                <w:rFonts w:hint="eastAsia" w:ascii="Calibri" w:hAnsi="Calibri"/>
                <w:bCs/>
                <w:sz w:val="20"/>
                <w:szCs w:val="20"/>
              </w:rPr>
              <w:t>政府补助</w:t>
            </w:r>
          </w:p>
        </w:tc>
        <w:tc>
          <w:tcPr>
            <w:tcW w:w="2305" w:type="dxa"/>
            <w:tcBorders>
              <w:top w:val="single" w:color="auto" w:sz="4" w:space="0"/>
              <w:left w:val="single" w:color="auto" w:sz="4" w:space="0"/>
              <w:bottom w:val="single" w:color="auto" w:sz="4" w:space="0"/>
              <w:right w:val="single" w:color="auto" w:sz="4" w:space="0"/>
            </w:tcBorders>
            <w:vAlign w:val="center"/>
          </w:tcPr>
          <w:p w14:paraId="3828F75C">
            <w:pPr>
              <w:jc w:val="right"/>
              <w:rPr>
                <w:rFonts w:ascii="Calibri" w:hAnsi="Calibri"/>
                <w:sz w:val="20"/>
                <w:szCs w:val="20"/>
              </w:rPr>
            </w:pPr>
          </w:p>
        </w:tc>
        <w:tc>
          <w:tcPr>
            <w:tcW w:w="2314" w:type="dxa"/>
            <w:tcBorders>
              <w:top w:val="single" w:color="auto" w:sz="4" w:space="0"/>
              <w:left w:val="single" w:color="auto" w:sz="4" w:space="0"/>
              <w:bottom w:val="single" w:color="auto" w:sz="4" w:space="0"/>
              <w:right w:val="single" w:color="auto" w:sz="4" w:space="0"/>
            </w:tcBorders>
            <w:vAlign w:val="center"/>
          </w:tcPr>
          <w:p w14:paraId="672875D9">
            <w:pPr>
              <w:jc w:val="right"/>
              <w:rPr>
                <w:rFonts w:ascii="Calibri" w:hAnsi="Calibri"/>
                <w:sz w:val="20"/>
                <w:szCs w:val="20"/>
              </w:rPr>
            </w:pPr>
          </w:p>
        </w:tc>
        <w:tc>
          <w:tcPr>
            <w:tcW w:w="2316" w:type="dxa"/>
            <w:tcBorders>
              <w:top w:val="single" w:color="auto" w:sz="4" w:space="0"/>
              <w:left w:val="single" w:color="auto" w:sz="4" w:space="0"/>
              <w:bottom w:val="single" w:color="auto" w:sz="4" w:space="0"/>
              <w:right w:val="single" w:color="auto" w:sz="4" w:space="0"/>
            </w:tcBorders>
            <w:vAlign w:val="center"/>
          </w:tcPr>
          <w:p w14:paraId="630BBF8E">
            <w:pPr>
              <w:autoSpaceDE w:val="0"/>
              <w:autoSpaceDN w:val="0"/>
              <w:adjustRightInd w:val="0"/>
              <w:jc w:val="right"/>
              <w:rPr>
                <w:rFonts w:ascii="Calibri" w:hAnsi="Calibri"/>
                <w:sz w:val="20"/>
                <w:szCs w:val="20"/>
              </w:rPr>
            </w:pPr>
          </w:p>
        </w:tc>
      </w:tr>
      <w:tr w14:paraId="147A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Borders>
              <w:top w:val="single" w:color="auto" w:sz="4" w:space="0"/>
              <w:left w:val="single" w:color="auto" w:sz="4" w:space="0"/>
              <w:bottom w:val="single" w:color="auto" w:sz="4" w:space="0"/>
              <w:right w:val="single" w:color="auto" w:sz="4" w:space="0"/>
            </w:tcBorders>
            <w:vAlign w:val="center"/>
          </w:tcPr>
          <w:p w14:paraId="7BD04CD4">
            <w:pPr>
              <w:pStyle w:val="48"/>
              <w:rPr>
                <w:sz w:val="20"/>
                <w:szCs w:val="20"/>
              </w:rPr>
            </w:pPr>
            <w:r>
              <w:rPr>
                <w:sz w:val="20"/>
                <w:szCs w:val="20"/>
              </w:rPr>
              <w:t>罚款收入</w:t>
            </w:r>
          </w:p>
        </w:tc>
        <w:tc>
          <w:tcPr>
            <w:tcW w:w="2305" w:type="dxa"/>
            <w:tcBorders>
              <w:top w:val="single" w:color="auto" w:sz="4" w:space="0"/>
              <w:left w:val="single" w:color="auto" w:sz="4" w:space="0"/>
              <w:bottom w:val="single" w:color="auto" w:sz="4" w:space="0"/>
              <w:right w:val="single" w:color="auto" w:sz="4" w:space="0"/>
            </w:tcBorders>
            <w:vAlign w:val="center"/>
          </w:tcPr>
          <w:p w14:paraId="33E1F1DF">
            <w:pPr>
              <w:jc w:val="right"/>
              <w:rPr>
                <w:rFonts w:ascii="Calibri" w:hAnsi="Calibri"/>
                <w:sz w:val="20"/>
                <w:szCs w:val="20"/>
              </w:rPr>
            </w:pPr>
            <w:r>
              <w:rPr>
                <w:rFonts w:ascii="Calibri" w:hAnsi="Calibri"/>
                <w:sz w:val="20"/>
                <w:szCs w:val="20"/>
              </w:rPr>
              <w:t>18,800.00</w:t>
            </w:r>
          </w:p>
        </w:tc>
        <w:tc>
          <w:tcPr>
            <w:tcW w:w="2314" w:type="dxa"/>
            <w:tcBorders>
              <w:top w:val="single" w:color="auto" w:sz="4" w:space="0"/>
              <w:left w:val="single" w:color="auto" w:sz="4" w:space="0"/>
              <w:bottom w:val="single" w:color="auto" w:sz="4" w:space="0"/>
              <w:right w:val="single" w:color="auto" w:sz="4" w:space="0"/>
            </w:tcBorders>
            <w:vAlign w:val="center"/>
          </w:tcPr>
          <w:p w14:paraId="733FDAB0">
            <w:pPr>
              <w:jc w:val="right"/>
              <w:rPr>
                <w:rFonts w:ascii="Calibri" w:hAnsi="Calibri"/>
                <w:sz w:val="20"/>
                <w:szCs w:val="20"/>
              </w:rPr>
            </w:pPr>
            <w:r>
              <w:rPr>
                <w:rFonts w:ascii="Calibri" w:hAnsi="Calibri"/>
                <w:sz w:val="20"/>
                <w:szCs w:val="20"/>
              </w:rPr>
              <w:t>6,600.00</w:t>
            </w:r>
          </w:p>
        </w:tc>
        <w:tc>
          <w:tcPr>
            <w:tcW w:w="2316" w:type="dxa"/>
            <w:tcBorders>
              <w:top w:val="single" w:color="auto" w:sz="4" w:space="0"/>
              <w:left w:val="single" w:color="auto" w:sz="4" w:space="0"/>
              <w:bottom w:val="single" w:color="auto" w:sz="4" w:space="0"/>
              <w:right w:val="single" w:color="auto" w:sz="4" w:space="0"/>
            </w:tcBorders>
            <w:vAlign w:val="center"/>
          </w:tcPr>
          <w:p w14:paraId="4EE523B6">
            <w:pPr>
              <w:jc w:val="right"/>
              <w:rPr>
                <w:rFonts w:ascii="Calibri" w:hAnsi="Calibri"/>
                <w:sz w:val="20"/>
                <w:szCs w:val="20"/>
              </w:rPr>
            </w:pPr>
            <w:r>
              <w:rPr>
                <w:rFonts w:ascii="Calibri" w:hAnsi="Calibri"/>
                <w:sz w:val="20"/>
                <w:szCs w:val="20"/>
              </w:rPr>
              <w:t>18,800.00</w:t>
            </w:r>
          </w:p>
        </w:tc>
      </w:tr>
      <w:tr w14:paraId="55F8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Borders>
              <w:top w:val="single" w:color="auto" w:sz="4" w:space="0"/>
              <w:left w:val="single" w:color="auto" w:sz="4" w:space="0"/>
              <w:bottom w:val="single" w:color="auto" w:sz="4" w:space="0"/>
              <w:right w:val="single" w:color="auto" w:sz="4" w:space="0"/>
            </w:tcBorders>
            <w:vAlign w:val="center"/>
          </w:tcPr>
          <w:p w14:paraId="7D2638C9">
            <w:pPr>
              <w:pStyle w:val="48"/>
              <w:rPr>
                <w:sz w:val="20"/>
                <w:szCs w:val="20"/>
              </w:rPr>
            </w:pPr>
            <w:r>
              <w:rPr>
                <w:sz w:val="20"/>
                <w:szCs w:val="20"/>
              </w:rPr>
              <w:t>确实无法支付的应付款项</w:t>
            </w:r>
          </w:p>
        </w:tc>
        <w:tc>
          <w:tcPr>
            <w:tcW w:w="2305" w:type="dxa"/>
            <w:tcBorders>
              <w:top w:val="single" w:color="auto" w:sz="4" w:space="0"/>
              <w:left w:val="single" w:color="auto" w:sz="4" w:space="0"/>
              <w:bottom w:val="single" w:color="auto" w:sz="4" w:space="0"/>
              <w:right w:val="single" w:color="auto" w:sz="4" w:space="0"/>
            </w:tcBorders>
            <w:vAlign w:val="center"/>
          </w:tcPr>
          <w:p w14:paraId="02FD0083">
            <w:pPr>
              <w:jc w:val="right"/>
              <w:rPr>
                <w:rFonts w:ascii="Calibri" w:hAnsi="Calibri"/>
                <w:sz w:val="20"/>
                <w:szCs w:val="20"/>
              </w:rPr>
            </w:pPr>
          </w:p>
        </w:tc>
        <w:tc>
          <w:tcPr>
            <w:tcW w:w="2314" w:type="dxa"/>
            <w:tcBorders>
              <w:top w:val="single" w:color="auto" w:sz="4" w:space="0"/>
              <w:left w:val="single" w:color="auto" w:sz="4" w:space="0"/>
              <w:bottom w:val="single" w:color="auto" w:sz="4" w:space="0"/>
              <w:right w:val="single" w:color="auto" w:sz="4" w:space="0"/>
            </w:tcBorders>
            <w:vAlign w:val="center"/>
          </w:tcPr>
          <w:p w14:paraId="63903FAB">
            <w:pPr>
              <w:jc w:val="right"/>
              <w:rPr>
                <w:rFonts w:ascii="Calibri" w:hAnsi="Calibri"/>
                <w:sz w:val="20"/>
                <w:szCs w:val="20"/>
              </w:rPr>
            </w:pPr>
            <w:r>
              <w:rPr>
                <w:rFonts w:ascii="Calibri" w:hAnsi="Calibri"/>
                <w:sz w:val="20"/>
                <w:szCs w:val="20"/>
              </w:rPr>
              <w:t>5,809,063.87</w:t>
            </w:r>
          </w:p>
        </w:tc>
        <w:tc>
          <w:tcPr>
            <w:tcW w:w="2316" w:type="dxa"/>
            <w:tcBorders>
              <w:top w:val="single" w:color="auto" w:sz="4" w:space="0"/>
              <w:left w:val="single" w:color="auto" w:sz="4" w:space="0"/>
              <w:bottom w:val="single" w:color="auto" w:sz="4" w:space="0"/>
              <w:right w:val="single" w:color="auto" w:sz="4" w:space="0"/>
            </w:tcBorders>
            <w:vAlign w:val="center"/>
          </w:tcPr>
          <w:p w14:paraId="47B80F25">
            <w:pPr>
              <w:jc w:val="right"/>
              <w:rPr>
                <w:rFonts w:ascii="Calibri" w:hAnsi="Calibri"/>
                <w:sz w:val="20"/>
                <w:szCs w:val="20"/>
              </w:rPr>
            </w:pPr>
          </w:p>
        </w:tc>
      </w:tr>
      <w:tr w14:paraId="758B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Borders>
              <w:top w:val="single" w:color="auto" w:sz="4" w:space="0"/>
              <w:left w:val="single" w:color="auto" w:sz="4" w:space="0"/>
              <w:bottom w:val="single" w:color="auto" w:sz="4" w:space="0"/>
              <w:right w:val="single" w:color="auto" w:sz="4" w:space="0"/>
            </w:tcBorders>
            <w:vAlign w:val="center"/>
          </w:tcPr>
          <w:p w14:paraId="06F19601">
            <w:pPr>
              <w:pStyle w:val="48"/>
              <w:rPr>
                <w:sz w:val="20"/>
                <w:szCs w:val="20"/>
              </w:rPr>
            </w:pPr>
            <w:r>
              <w:rPr>
                <w:sz w:val="20"/>
                <w:szCs w:val="20"/>
              </w:rPr>
              <w:t>合并成本小于被购买方可辨认净资产公允价值的份额</w:t>
            </w:r>
          </w:p>
        </w:tc>
        <w:tc>
          <w:tcPr>
            <w:tcW w:w="2305" w:type="dxa"/>
            <w:tcBorders>
              <w:top w:val="single" w:color="auto" w:sz="4" w:space="0"/>
              <w:left w:val="single" w:color="auto" w:sz="4" w:space="0"/>
              <w:bottom w:val="single" w:color="auto" w:sz="4" w:space="0"/>
              <w:right w:val="single" w:color="auto" w:sz="4" w:space="0"/>
            </w:tcBorders>
            <w:vAlign w:val="center"/>
          </w:tcPr>
          <w:p w14:paraId="216F815F">
            <w:pPr>
              <w:jc w:val="right"/>
              <w:rPr>
                <w:rFonts w:ascii="Calibri" w:hAnsi="Calibri"/>
                <w:sz w:val="20"/>
                <w:szCs w:val="20"/>
              </w:rPr>
            </w:pPr>
          </w:p>
        </w:tc>
        <w:tc>
          <w:tcPr>
            <w:tcW w:w="2314" w:type="dxa"/>
            <w:tcBorders>
              <w:top w:val="single" w:color="auto" w:sz="4" w:space="0"/>
              <w:left w:val="single" w:color="auto" w:sz="4" w:space="0"/>
              <w:bottom w:val="single" w:color="auto" w:sz="4" w:space="0"/>
              <w:right w:val="single" w:color="auto" w:sz="4" w:space="0"/>
            </w:tcBorders>
            <w:vAlign w:val="center"/>
          </w:tcPr>
          <w:p w14:paraId="060D2ADE">
            <w:pPr>
              <w:jc w:val="right"/>
              <w:rPr>
                <w:rFonts w:ascii="Calibri" w:hAnsi="Calibri"/>
                <w:sz w:val="20"/>
                <w:szCs w:val="20"/>
              </w:rPr>
            </w:pPr>
            <w:r>
              <w:rPr>
                <w:rFonts w:ascii="Calibri" w:hAnsi="Calibri"/>
                <w:sz w:val="20"/>
                <w:szCs w:val="20"/>
              </w:rPr>
              <w:t>2,690,806.50</w:t>
            </w:r>
          </w:p>
        </w:tc>
        <w:tc>
          <w:tcPr>
            <w:tcW w:w="2316" w:type="dxa"/>
            <w:tcBorders>
              <w:top w:val="single" w:color="auto" w:sz="4" w:space="0"/>
              <w:left w:val="single" w:color="auto" w:sz="4" w:space="0"/>
              <w:bottom w:val="single" w:color="auto" w:sz="4" w:space="0"/>
              <w:right w:val="single" w:color="auto" w:sz="4" w:space="0"/>
            </w:tcBorders>
            <w:vAlign w:val="center"/>
          </w:tcPr>
          <w:p w14:paraId="4E120369">
            <w:pPr>
              <w:jc w:val="right"/>
              <w:rPr>
                <w:rFonts w:ascii="Calibri" w:hAnsi="Calibri"/>
                <w:sz w:val="20"/>
                <w:szCs w:val="20"/>
              </w:rPr>
            </w:pPr>
          </w:p>
        </w:tc>
      </w:tr>
      <w:tr w14:paraId="4D5A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Borders>
              <w:top w:val="single" w:color="auto" w:sz="4" w:space="0"/>
              <w:left w:val="single" w:color="auto" w:sz="4" w:space="0"/>
              <w:bottom w:val="single" w:color="auto" w:sz="4" w:space="0"/>
              <w:right w:val="single" w:color="auto" w:sz="4" w:space="0"/>
            </w:tcBorders>
            <w:vAlign w:val="center"/>
          </w:tcPr>
          <w:p w14:paraId="1165802A">
            <w:pPr>
              <w:adjustRightInd w:val="0"/>
              <w:snapToGrid w:val="0"/>
              <w:jc w:val="both"/>
              <w:rPr>
                <w:rFonts w:ascii="Arial Narrow" w:hAnsi="Arial Narrow"/>
                <w:sz w:val="18"/>
                <w:szCs w:val="18"/>
              </w:rPr>
            </w:pPr>
            <w:r>
              <w:rPr>
                <w:rFonts w:ascii="宋体" w:hAnsi="宋体"/>
                <w:sz w:val="18"/>
                <w:szCs w:val="18"/>
              </w:rPr>
              <w:t>其他</w:t>
            </w:r>
          </w:p>
        </w:tc>
        <w:tc>
          <w:tcPr>
            <w:tcW w:w="2305" w:type="dxa"/>
            <w:tcBorders>
              <w:top w:val="single" w:color="auto" w:sz="4" w:space="0"/>
              <w:left w:val="single" w:color="auto" w:sz="4" w:space="0"/>
              <w:bottom w:val="single" w:color="auto" w:sz="4" w:space="0"/>
              <w:right w:val="single" w:color="auto" w:sz="4" w:space="0"/>
            </w:tcBorders>
            <w:vAlign w:val="center"/>
          </w:tcPr>
          <w:p w14:paraId="19958341">
            <w:pPr>
              <w:spacing w:line="276" w:lineRule="auto"/>
              <w:jc w:val="right"/>
              <w:rPr>
                <w:rFonts w:ascii="Calibri" w:hAnsi="Calibri"/>
                <w:sz w:val="20"/>
                <w:szCs w:val="20"/>
              </w:rPr>
            </w:pPr>
            <w:r>
              <w:rPr>
                <w:rFonts w:ascii="Calibri" w:hAnsi="Calibri"/>
                <w:sz w:val="20"/>
                <w:szCs w:val="20"/>
              </w:rPr>
              <w:t>249,893.99</w:t>
            </w:r>
          </w:p>
        </w:tc>
        <w:tc>
          <w:tcPr>
            <w:tcW w:w="2314" w:type="dxa"/>
            <w:tcBorders>
              <w:top w:val="single" w:color="auto" w:sz="4" w:space="0"/>
              <w:left w:val="single" w:color="auto" w:sz="4" w:space="0"/>
              <w:bottom w:val="single" w:color="auto" w:sz="4" w:space="0"/>
              <w:right w:val="single" w:color="auto" w:sz="4" w:space="0"/>
            </w:tcBorders>
            <w:vAlign w:val="center"/>
          </w:tcPr>
          <w:p w14:paraId="29756410">
            <w:pPr>
              <w:spacing w:line="276" w:lineRule="auto"/>
              <w:jc w:val="right"/>
              <w:rPr>
                <w:rFonts w:ascii="Calibri" w:hAnsi="Calibri"/>
                <w:sz w:val="20"/>
                <w:szCs w:val="20"/>
              </w:rPr>
            </w:pPr>
            <w:r>
              <w:rPr>
                <w:rFonts w:ascii="Calibri" w:hAnsi="Calibri"/>
                <w:sz w:val="20"/>
                <w:szCs w:val="20"/>
              </w:rPr>
              <w:t>927,240.55</w:t>
            </w:r>
          </w:p>
        </w:tc>
        <w:tc>
          <w:tcPr>
            <w:tcW w:w="2316" w:type="dxa"/>
            <w:tcBorders>
              <w:top w:val="single" w:color="auto" w:sz="4" w:space="0"/>
              <w:left w:val="single" w:color="auto" w:sz="4" w:space="0"/>
              <w:bottom w:val="single" w:color="auto" w:sz="4" w:space="0"/>
              <w:right w:val="single" w:color="auto" w:sz="4" w:space="0"/>
            </w:tcBorders>
            <w:vAlign w:val="center"/>
          </w:tcPr>
          <w:p w14:paraId="44D1ECD4">
            <w:pPr>
              <w:spacing w:line="276" w:lineRule="auto"/>
              <w:jc w:val="right"/>
              <w:rPr>
                <w:rFonts w:ascii="Calibri" w:hAnsi="Calibri"/>
                <w:sz w:val="20"/>
                <w:szCs w:val="20"/>
              </w:rPr>
            </w:pPr>
            <w:r>
              <w:rPr>
                <w:rFonts w:ascii="Calibri" w:hAnsi="Calibri"/>
                <w:sz w:val="20"/>
                <w:szCs w:val="20"/>
              </w:rPr>
              <w:t>249,893.99</w:t>
            </w:r>
          </w:p>
        </w:tc>
      </w:tr>
      <w:tr w14:paraId="2134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Borders>
              <w:top w:val="single" w:color="auto" w:sz="4" w:space="0"/>
              <w:left w:val="single" w:color="auto" w:sz="4" w:space="0"/>
              <w:bottom w:val="single" w:color="auto" w:sz="4" w:space="0"/>
              <w:right w:val="single" w:color="auto" w:sz="4" w:space="0"/>
            </w:tcBorders>
            <w:vAlign w:val="center"/>
          </w:tcPr>
          <w:p w14:paraId="39A7EEED">
            <w:pPr>
              <w:jc w:val="center"/>
              <w:rPr>
                <w:rFonts w:ascii="Calibri" w:hAnsi="Calibri"/>
                <w:sz w:val="20"/>
                <w:szCs w:val="20"/>
              </w:rPr>
            </w:pPr>
            <w:r>
              <w:rPr>
                <w:rFonts w:hint="eastAsia" w:ascii="Calibri" w:hAnsi="Calibri"/>
                <w:sz w:val="20"/>
                <w:szCs w:val="20"/>
              </w:rPr>
              <w:t>合计</w:t>
            </w:r>
          </w:p>
        </w:tc>
        <w:tc>
          <w:tcPr>
            <w:tcW w:w="2305" w:type="dxa"/>
            <w:tcBorders>
              <w:top w:val="single" w:color="auto" w:sz="4" w:space="0"/>
              <w:left w:val="single" w:color="auto" w:sz="4" w:space="0"/>
              <w:bottom w:val="single" w:color="auto" w:sz="4" w:space="0"/>
              <w:right w:val="single" w:color="auto" w:sz="4" w:space="0"/>
            </w:tcBorders>
            <w:vAlign w:val="center"/>
          </w:tcPr>
          <w:p w14:paraId="254840C2">
            <w:pPr>
              <w:spacing w:line="276" w:lineRule="auto"/>
              <w:jc w:val="right"/>
              <w:rPr>
                <w:rFonts w:ascii="Calibri" w:hAnsi="Calibri"/>
                <w:sz w:val="20"/>
                <w:szCs w:val="20"/>
              </w:rPr>
            </w:pPr>
            <w:r>
              <w:rPr>
                <w:rFonts w:ascii="Calibri" w:hAnsi="Calibri"/>
                <w:sz w:val="20"/>
                <w:szCs w:val="20"/>
              </w:rPr>
              <w:t>269,193.99</w:t>
            </w:r>
          </w:p>
        </w:tc>
        <w:tc>
          <w:tcPr>
            <w:tcW w:w="2314" w:type="dxa"/>
            <w:tcBorders>
              <w:top w:val="single" w:color="auto" w:sz="4" w:space="0"/>
              <w:left w:val="single" w:color="auto" w:sz="4" w:space="0"/>
              <w:bottom w:val="single" w:color="auto" w:sz="4" w:space="0"/>
              <w:right w:val="single" w:color="auto" w:sz="4" w:space="0"/>
            </w:tcBorders>
            <w:vAlign w:val="center"/>
          </w:tcPr>
          <w:p w14:paraId="3E938F00">
            <w:pPr>
              <w:spacing w:line="276" w:lineRule="auto"/>
              <w:jc w:val="right"/>
              <w:rPr>
                <w:rFonts w:ascii="Calibri" w:hAnsi="Calibri"/>
                <w:sz w:val="20"/>
                <w:szCs w:val="20"/>
              </w:rPr>
            </w:pPr>
            <w:r>
              <w:rPr>
                <w:rFonts w:ascii="Calibri" w:hAnsi="Calibri"/>
                <w:sz w:val="20"/>
                <w:szCs w:val="20"/>
              </w:rPr>
              <w:t>9,568,874.59</w:t>
            </w:r>
          </w:p>
        </w:tc>
        <w:tc>
          <w:tcPr>
            <w:tcW w:w="2316" w:type="dxa"/>
            <w:tcBorders>
              <w:top w:val="single" w:color="auto" w:sz="4" w:space="0"/>
              <w:left w:val="single" w:color="auto" w:sz="4" w:space="0"/>
              <w:bottom w:val="single" w:color="auto" w:sz="4" w:space="0"/>
              <w:right w:val="single" w:color="auto" w:sz="4" w:space="0"/>
            </w:tcBorders>
            <w:vAlign w:val="center"/>
          </w:tcPr>
          <w:p w14:paraId="5C52B1D7">
            <w:pPr>
              <w:autoSpaceDE w:val="0"/>
              <w:autoSpaceDN w:val="0"/>
              <w:adjustRightInd w:val="0"/>
              <w:spacing w:line="276" w:lineRule="auto"/>
              <w:jc w:val="right"/>
              <w:rPr>
                <w:rFonts w:ascii="Calibri" w:hAnsi="Calibri"/>
                <w:sz w:val="20"/>
                <w:szCs w:val="20"/>
              </w:rPr>
            </w:pPr>
            <w:r>
              <w:rPr>
                <w:rFonts w:ascii="Calibri" w:hAnsi="Calibri"/>
                <w:sz w:val="20"/>
                <w:szCs w:val="20"/>
              </w:rPr>
              <w:t>269,193.99</w:t>
            </w:r>
          </w:p>
        </w:tc>
      </w:tr>
    </w:tbl>
    <w:p w14:paraId="361BE155"/>
    <w:p w14:paraId="0EF27AAA">
      <w:pPr>
        <w:spacing w:before="60" w:after="60" w:line="360" w:lineRule="exact"/>
      </w:pPr>
      <w:r>
        <w:rPr>
          <w:rFonts w:hint="eastAsia"/>
        </w:rPr>
        <w:t>其他说明：</w:t>
      </w:r>
    </w:p>
    <w:sdt>
      <w:sdtPr>
        <w:alias w:val="是否适用：营业外收入说明[双击切换]"/>
        <w:tag w:val="_GBC_746f9c9c9cab4c2a87c7913a430e2392"/>
        <w:id w:val="189963168"/>
        <w:placeholder>
          <w:docPart w:val="GBC22222222222222222222222222222"/>
        </w:placeholder>
      </w:sdtPr>
      <w:sdtContent>
        <w:p w14:paraId="7948FDA0">
          <w:pPr>
            <w:spacing w:before="60" w:after="60" w:line="360" w:lineRule="exact"/>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AFCD357">
      <w:pPr>
        <w:pStyle w:val="48"/>
      </w:pPr>
    </w:p>
    <w:p w14:paraId="0DF7F555">
      <w:pPr>
        <w:pStyle w:val="4"/>
        <w:numPr>
          <w:ilvl w:val="0"/>
          <w:numId w:val="61"/>
        </w:numPr>
        <w:rPr>
          <w:szCs w:val="21"/>
        </w:rPr>
      </w:pPr>
      <w:r>
        <w:rPr>
          <w:szCs w:val="21"/>
        </w:rPr>
        <w:t>营业外支出</w:t>
      </w:r>
    </w:p>
    <w:sdt>
      <w:sdtPr>
        <w:rPr>
          <w:rFonts w:hint="eastAsia"/>
        </w:rPr>
        <w:alias w:val="是否适用：营业外支出[双击切换]"/>
        <w:tag w:val="_GBC_8e8d3e6e563742f48edf759d6034f4ce"/>
        <w:id w:val="168068821"/>
        <w:placeholder>
          <w:docPart w:val="GBC22222222222222222222222222222"/>
        </w:placeholder>
      </w:sdtPr>
      <w:sdtEndPr>
        <w:rPr>
          <w:rFonts w:hint="eastAsia"/>
        </w:rPr>
      </w:sdtEndPr>
      <w:sdtContent>
        <w:p w14:paraId="051641AD">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CE80AC8">
      <w:pPr>
        <w:jc w:val="right"/>
      </w:pPr>
      <w:r>
        <w:rPr>
          <w:rFonts w:hint="eastAsia"/>
        </w:rPr>
        <w:t>单位：</w:t>
      </w:r>
      <w:sdt>
        <w:sdtPr>
          <w:rPr>
            <w:rFonts w:hint="eastAsia"/>
          </w:rPr>
          <w:alias w:val="单位：财务附注：营业外支出"/>
          <w:tag w:val="_GBC_825ccc5a51fd47a4888bf19121bc88e6"/>
          <w:id w:val="-1469801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营业外支出"/>
          <w:tag w:val="_GBC_0236683596bd499a92bd40e4c42dc931"/>
          <w:id w:val="-9557940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2268"/>
        <w:gridCol w:w="2126"/>
        <w:gridCol w:w="2106"/>
      </w:tblGrid>
      <w:tr w14:paraId="1E87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e5b39f95fae41609c103f36a1017c54"/>
            <w:id w:val="-204027791"/>
          </w:sdtPr>
          <w:sdtContent>
            <w:tc>
              <w:tcPr>
                <w:tcW w:w="2547" w:type="dxa"/>
                <w:tcBorders>
                  <w:top w:val="single" w:color="auto" w:sz="4" w:space="0"/>
                  <w:left w:val="single" w:color="auto" w:sz="4" w:space="0"/>
                  <w:bottom w:val="single" w:color="auto" w:sz="4" w:space="0"/>
                  <w:right w:val="single" w:color="auto" w:sz="4" w:space="0"/>
                </w:tcBorders>
                <w:vAlign w:val="center"/>
              </w:tcPr>
              <w:p w14:paraId="195C302E">
                <w:pPr>
                  <w:autoSpaceDE w:val="0"/>
                  <w:autoSpaceDN w:val="0"/>
                  <w:adjustRightInd w:val="0"/>
                  <w:jc w:val="center"/>
                  <w:rPr>
                    <w:rFonts w:ascii="Calibri" w:hAnsi="Calibri"/>
                    <w:sz w:val="20"/>
                    <w:szCs w:val="20"/>
                  </w:rPr>
                </w:pPr>
                <w:r>
                  <w:rPr>
                    <w:rFonts w:hint="eastAsia" w:ascii="Calibri" w:hAnsi="Calibri"/>
                    <w:sz w:val="20"/>
                    <w:szCs w:val="20"/>
                  </w:rPr>
                  <w:t>项目</w:t>
                </w:r>
              </w:p>
            </w:tc>
          </w:sdtContent>
        </w:sdt>
        <w:sdt>
          <w:sdtPr>
            <w:tag w:val="_PLD_9ea5703e0d9641a1acf20638053e3dd5"/>
            <w:id w:val="-35737648"/>
          </w:sdtPr>
          <w:sdtContent>
            <w:tc>
              <w:tcPr>
                <w:tcW w:w="2268" w:type="dxa"/>
                <w:tcBorders>
                  <w:top w:val="single" w:color="auto" w:sz="4" w:space="0"/>
                  <w:left w:val="single" w:color="auto" w:sz="4" w:space="0"/>
                  <w:bottom w:val="single" w:color="auto" w:sz="4" w:space="0"/>
                  <w:right w:val="single" w:color="auto" w:sz="4" w:space="0"/>
                </w:tcBorders>
                <w:vAlign w:val="center"/>
              </w:tcPr>
              <w:p w14:paraId="697EC4BA">
                <w:pPr>
                  <w:autoSpaceDE w:val="0"/>
                  <w:autoSpaceDN w:val="0"/>
                  <w:adjustRightInd w:val="0"/>
                  <w:jc w:val="center"/>
                  <w:rPr>
                    <w:rFonts w:ascii="Calibri" w:hAnsi="Calibri"/>
                    <w:sz w:val="20"/>
                    <w:szCs w:val="20"/>
                  </w:rPr>
                </w:pPr>
                <w:r>
                  <w:rPr>
                    <w:rFonts w:hint="eastAsia" w:ascii="Calibri" w:hAnsi="Calibri"/>
                    <w:sz w:val="20"/>
                    <w:szCs w:val="20"/>
                  </w:rPr>
                  <w:t>本期发生额</w:t>
                </w:r>
              </w:p>
            </w:tc>
          </w:sdtContent>
        </w:sdt>
        <w:sdt>
          <w:sdtPr>
            <w:tag w:val="_PLD_27cbc4bb29594bcfa61154a0d46b4d20"/>
            <w:id w:val="399332779"/>
          </w:sdtPr>
          <w:sdtContent>
            <w:tc>
              <w:tcPr>
                <w:tcW w:w="2126" w:type="dxa"/>
                <w:tcBorders>
                  <w:top w:val="single" w:color="auto" w:sz="4" w:space="0"/>
                  <w:left w:val="single" w:color="auto" w:sz="4" w:space="0"/>
                  <w:bottom w:val="single" w:color="auto" w:sz="4" w:space="0"/>
                  <w:right w:val="single" w:color="auto" w:sz="4" w:space="0"/>
                </w:tcBorders>
                <w:vAlign w:val="center"/>
              </w:tcPr>
              <w:p w14:paraId="1B832096">
                <w:pPr>
                  <w:autoSpaceDE w:val="0"/>
                  <w:autoSpaceDN w:val="0"/>
                  <w:adjustRightInd w:val="0"/>
                  <w:jc w:val="center"/>
                  <w:rPr>
                    <w:rFonts w:ascii="Calibri" w:hAnsi="Calibri"/>
                    <w:sz w:val="20"/>
                    <w:szCs w:val="20"/>
                  </w:rPr>
                </w:pPr>
                <w:r>
                  <w:rPr>
                    <w:rFonts w:hint="eastAsia" w:ascii="Calibri" w:hAnsi="Calibri"/>
                    <w:sz w:val="20"/>
                    <w:szCs w:val="20"/>
                  </w:rPr>
                  <w:t>上期发生额</w:t>
                </w:r>
              </w:p>
            </w:tc>
          </w:sdtContent>
        </w:sdt>
        <w:sdt>
          <w:sdtPr>
            <w:tag w:val="_PLD_cab5bf568f924fed9d087fb26b588481"/>
            <w:id w:val="-993338140"/>
          </w:sdtPr>
          <w:sdtContent>
            <w:tc>
              <w:tcPr>
                <w:tcW w:w="2106" w:type="dxa"/>
                <w:tcBorders>
                  <w:top w:val="single" w:color="auto" w:sz="4" w:space="0"/>
                  <w:left w:val="single" w:color="auto" w:sz="4" w:space="0"/>
                  <w:bottom w:val="single" w:color="auto" w:sz="4" w:space="0"/>
                  <w:right w:val="single" w:color="auto" w:sz="4" w:space="0"/>
                </w:tcBorders>
                <w:vAlign w:val="center"/>
              </w:tcPr>
              <w:p w14:paraId="674287FC">
                <w:pPr>
                  <w:autoSpaceDE w:val="0"/>
                  <w:autoSpaceDN w:val="0"/>
                  <w:adjustRightInd w:val="0"/>
                  <w:jc w:val="center"/>
                  <w:rPr>
                    <w:rFonts w:ascii="Calibri" w:hAnsi="Calibri"/>
                    <w:sz w:val="20"/>
                    <w:szCs w:val="20"/>
                  </w:rPr>
                </w:pPr>
                <w:r>
                  <w:rPr>
                    <w:rFonts w:hint="eastAsia" w:ascii="Calibri" w:hAnsi="Calibri"/>
                    <w:sz w:val="20"/>
                    <w:szCs w:val="20"/>
                  </w:rPr>
                  <w:t>计入当期非经常性损益的金额</w:t>
                </w:r>
              </w:p>
            </w:tc>
          </w:sdtContent>
        </w:sdt>
      </w:tr>
      <w:tr w14:paraId="623C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14:paraId="5FA509DD">
            <w:pPr>
              <w:autoSpaceDE w:val="0"/>
              <w:autoSpaceDN w:val="0"/>
              <w:adjustRightInd w:val="0"/>
              <w:rPr>
                <w:rFonts w:ascii="Calibri" w:hAnsi="Calibri"/>
                <w:sz w:val="20"/>
                <w:szCs w:val="20"/>
              </w:rPr>
            </w:pPr>
            <w:r>
              <w:rPr>
                <w:rFonts w:hint="eastAsia" w:ascii="Calibri" w:hAnsi="Calibri"/>
                <w:sz w:val="20"/>
                <w:szCs w:val="20"/>
              </w:rPr>
              <w:t>非流动资产处置损失合计</w:t>
            </w:r>
          </w:p>
        </w:tc>
        <w:tc>
          <w:tcPr>
            <w:tcW w:w="2268" w:type="dxa"/>
            <w:tcBorders>
              <w:top w:val="single" w:color="auto" w:sz="4" w:space="0"/>
              <w:left w:val="single" w:color="auto" w:sz="4" w:space="0"/>
              <w:bottom w:val="single" w:color="auto" w:sz="4" w:space="0"/>
              <w:right w:val="single" w:color="auto" w:sz="4" w:space="0"/>
            </w:tcBorders>
            <w:vAlign w:val="center"/>
          </w:tcPr>
          <w:p w14:paraId="679237EE">
            <w:pPr>
              <w:jc w:val="right"/>
              <w:rPr>
                <w:rFonts w:ascii="Calibri" w:hAnsi="Calibri"/>
                <w:sz w:val="20"/>
                <w:szCs w:val="20"/>
              </w:rPr>
            </w:pPr>
            <w:r>
              <w:rPr>
                <w:rFonts w:ascii="Calibri" w:hAnsi="Calibri"/>
                <w:sz w:val="20"/>
                <w:szCs w:val="20"/>
              </w:rPr>
              <w:t>82,140,987.80</w:t>
            </w:r>
          </w:p>
        </w:tc>
        <w:tc>
          <w:tcPr>
            <w:tcW w:w="2126" w:type="dxa"/>
            <w:tcBorders>
              <w:top w:val="single" w:color="auto" w:sz="4" w:space="0"/>
              <w:left w:val="single" w:color="auto" w:sz="4" w:space="0"/>
              <w:bottom w:val="single" w:color="auto" w:sz="4" w:space="0"/>
              <w:right w:val="single" w:color="auto" w:sz="4" w:space="0"/>
            </w:tcBorders>
            <w:vAlign w:val="center"/>
          </w:tcPr>
          <w:p w14:paraId="63CB964B">
            <w:pPr>
              <w:jc w:val="right"/>
              <w:rPr>
                <w:rFonts w:ascii="Calibri" w:hAnsi="Calibri"/>
                <w:sz w:val="20"/>
                <w:szCs w:val="20"/>
              </w:rPr>
            </w:pPr>
            <w:r>
              <w:rPr>
                <w:rFonts w:ascii="Calibri" w:hAnsi="Calibri"/>
                <w:sz w:val="20"/>
                <w:szCs w:val="20"/>
              </w:rPr>
              <w:t>255,095,918.88</w:t>
            </w:r>
          </w:p>
        </w:tc>
        <w:tc>
          <w:tcPr>
            <w:tcW w:w="2106" w:type="dxa"/>
            <w:tcBorders>
              <w:top w:val="single" w:color="auto" w:sz="4" w:space="0"/>
              <w:left w:val="single" w:color="auto" w:sz="4" w:space="0"/>
              <w:bottom w:val="single" w:color="auto" w:sz="4" w:space="0"/>
              <w:right w:val="single" w:color="auto" w:sz="4" w:space="0"/>
            </w:tcBorders>
            <w:vAlign w:val="center"/>
          </w:tcPr>
          <w:p w14:paraId="5EBB5460">
            <w:pPr>
              <w:autoSpaceDE w:val="0"/>
              <w:autoSpaceDN w:val="0"/>
              <w:adjustRightInd w:val="0"/>
              <w:jc w:val="right"/>
              <w:rPr>
                <w:rFonts w:ascii="Calibri" w:hAnsi="Calibri"/>
                <w:sz w:val="20"/>
                <w:szCs w:val="20"/>
              </w:rPr>
            </w:pPr>
            <w:r>
              <w:rPr>
                <w:rFonts w:ascii="Calibri" w:hAnsi="Calibri"/>
                <w:sz w:val="20"/>
                <w:szCs w:val="20"/>
              </w:rPr>
              <w:t>82,140,987.80</w:t>
            </w:r>
          </w:p>
        </w:tc>
      </w:tr>
      <w:tr w14:paraId="34F5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14:paraId="6D4880CE">
            <w:pPr>
              <w:autoSpaceDE w:val="0"/>
              <w:autoSpaceDN w:val="0"/>
              <w:adjustRightInd w:val="0"/>
              <w:rPr>
                <w:rFonts w:ascii="Calibri" w:hAnsi="Calibri"/>
                <w:sz w:val="20"/>
                <w:szCs w:val="20"/>
              </w:rPr>
            </w:pPr>
            <w:r>
              <w:rPr>
                <w:rFonts w:hint="eastAsia" w:ascii="Calibri" w:hAnsi="Calibri"/>
                <w:sz w:val="20"/>
                <w:szCs w:val="20"/>
              </w:rPr>
              <w:t>其中：固定资产处置损失</w:t>
            </w:r>
          </w:p>
        </w:tc>
        <w:tc>
          <w:tcPr>
            <w:tcW w:w="2268" w:type="dxa"/>
            <w:tcBorders>
              <w:top w:val="single" w:color="auto" w:sz="4" w:space="0"/>
              <w:left w:val="single" w:color="auto" w:sz="4" w:space="0"/>
              <w:bottom w:val="single" w:color="auto" w:sz="4" w:space="0"/>
              <w:right w:val="single" w:color="auto" w:sz="4" w:space="0"/>
            </w:tcBorders>
            <w:vAlign w:val="center"/>
          </w:tcPr>
          <w:p w14:paraId="7C23D97C">
            <w:pPr>
              <w:jc w:val="right"/>
              <w:rPr>
                <w:rFonts w:ascii="Calibri" w:hAnsi="Calibri"/>
                <w:sz w:val="20"/>
                <w:szCs w:val="20"/>
              </w:rPr>
            </w:pPr>
            <w:r>
              <w:rPr>
                <w:rFonts w:ascii="Calibri" w:hAnsi="Calibri"/>
                <w:sz w:val="20"/>
                <w:szCs w:val="20"/>
              </w:rPr>
              <w:t>51,540,987.71</w:t>
            </w:r>
          </w:p>
        </w:tc>
        <w:tc>
          <w:tcPr>
            <w:tcW w:w="2126" w:type="dxa"/>
            <w:tcBorders>
              <w:top w:val="single" w:color="auto" w:sz="4" w:space="0"/>
              <w:left w:val="single" w:color="auto" w:sz="4" w:space="0"/>
              <w:bottom w:val="single" w:color="auto" w:sz="4" w:space="0"/>
              <w:right w:val="single" w:color="auto" w:sz="4" w:space="0"/>
            </w:tcBorders>
            <w:vAlign w:val="center"/>
          </w:tcPr>
          <w:p w14:paraId="5206897E">
            <w:pPr>
              <w:jc w:val="right"/>
              <w:rPr>
                <w:rFonts w:ascii="Calibri" w:hAnsi="Calibri"/>
                <w:sz w:val="20"/>
                <w:szCs w:val="20"/>
              </w:rPr>
            </w:pPr>
            <w:r>
              <w:rPr>
                <w:rFonts w:ascii="Calibri" w:hAnsi="Calibri"/>
                <w:sz w:val="20"/>
                <w:szCs w:val="20"/>
              </w:rPr>
              <w:t>255,095,918.88</w:t>
            </w:r>
          </w:p>
        </w:tc>
        <w:tc>
          <w:tcPr>
            <w:tcW w:w="2106" w:type="dxa"/>
            <w:tcBorders>
              <w:top w:val="single" w:color="auto" w:sz="4" w:space="0"/>
              <w:left w:val="single" w:color="auto" w:sz="4" w:space="0"/>
              <w:bottom w:val="single" w:color="auto" w:sz="4" w:space="0"/>
              <w:right w:val="single" w:color="auto" w:sz="4" w:space="0"/>
            </w:tcBorders>
            <w:vAlign w:val="center"/>
          </w:tcPr>
          <w:p w14:paraId="025F7CDE">
            <w:pPr>
              <w:autoSpaceDE w:val="0"/>
              <w:autoSpaceDN w:val="0"/>
              <w:adjustRightInd w:val="0"/>
              <w:jc w:val="right"/>
              <w:rPr>
                <w:rFonts w:ascii="Calibri" w:hAnsi="Calibri"/>
                <w:sz w:val="20"/>
                <w:szCs w:val="20"/>
              </w:rPr>
            </w:pPr>
            <w:r>
              <w:rPr>
                <w:rFonts w:ascii="Calibri" w:hAnsi="Calibri"/>
                <w:sz w:val="20"/>
                <w:szCs w:val="20"/>
              </w:rPr>
              <w:t>51,540,987.71</w:t>
            </w:r>
          </w:p>
        </w:tc>
      </w:tr>
      <w:tr w14:paraId="6E44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14:paraId="5DA598BE">
            <w:pPr>
              <w:autoSpaceDE w:val="0"/>
              <w:autoSpaceDN w:val="0"/>
              <w:adjustRightInd w:val="0"/>
              <w:ind w:firstLine="600" w:firstLineChars="300"/>
              <w:rPr>
                <w:rFonts w:ascii="Calibri" w:hAnsi="Calibri"/>
                <w:sz w:val="20"/>
                <w:szCs w:val="20"/>
              </w:rPr>
            </w:pPr>
            <w:r>
              <w:rPr>
                <w:rFonts w:hint="eastAsia" w:ascii="Calibri" w:hAnsi="Calibri"/>
                <w:sz w:val="20"/>
                <w:szCs w:val="20"/>
              </w:rPr>
              <w:t>无形资产处置损失</w:t>
            </w:r>
          </w:p>
        </w:tc>
        <w:tc>
          <w:tcPr>
            <w:tcW w:w="2268" w:type="dxa"/>
            <w:tcBorders>
              <w:top w:val="single" w:color="auto" w:sz="4" w:space="0"/>
              <w:left w:val="single" w:color="auto" w:sz="4" w:space="0"/>
              <w:bottom w:val="single" w:color="auto" w:sz="4" w:space="0"/>
              <w:right w:val="single" w:color="auto" w:sz="4" w:space="0"/>
            </w:tcBorders>
            <w:vAlign w:val="center"/>
          </w:tcPr>
          <w:p w14:paraId="16E7FA04">
            <w:pPr>
              <w:jc w:val="right"/>
              <w:rPr>
                <w:rFonts w:ascii="Calibri" w:hAnsi="Calibri"/>
                <w:sz w:val="20"/>
                <w:szCs w:val="20"/>
              </w:rPr>
            </w:pPr>
            <w:r>
              <w:rPr>
                <w:rFonts w:ascii="Calibri" w:hAnsi="Calibri"/>
                <w:sz w:val="20"/>
                <w:szCs w:val="20"/>
              </w:rPr>
              <w:t>30,600,000.09</w:t>
            </w:r>
          </w:p>
        </w:tc>
        <w:tc>
          <w:tcPr>
            <w:tcW w:w="2126" w:type="dxa"/>
            <w:tcBorders>
              <w:top w:val="single" w:color="auto" w:sz="4" w:space="0"/>
              <w:left w:val="single" w:color="auto" w:sz="4" w:space="0"/>
              <w:bottom w:val="single" w:color="auto" w:sz="4" w:space="0"/>
              <w:right w:val="single" w:color="auto" w:sz="4" w:space="0"/>
            </w:tcBorders>
            <w:vAlign w:val="center"/>
          </w:tcPr>
          <w:p w14:paraId="343DD53D">
            <w:pPr>
              <w:jc w:val="right"/>
              <w:rPr>
                <w:rFonts w:ascii="Calibri" w:hAnsi="Calibri"/>
                <w:sz w:val="20"/>
                <w:szCs w:val="20"/>
              </w:rPr>
            </w:pPr>
          </w:p>
        </w:tc>
        <w:tc>
          <w:tcPr>
            <w:tcW w:w="2106" w:type="dxa"/>
            <w:tcBorders>
              <w:top w:val="single" w:color="auto" w:sz="4" w:space="0"/>
              <w:left w:val="single" w:color="auto" w:sz="4" w:space="0"/>
              <w:bottom w:val="single" w:color="auto" w:sz="4" w:space="0"/>
              <w:right w:val="single" w:color="auto" w:sz="4" w:space="0"/>
            </w:tcBorders>
            <w:vAlign w:val="center"/>
          </w:tcPr>
          <w:p w14:paraId="44A2C5A1">
            <w:pPr>
              <w:autoSpaceDE w:val="0"/>
              <w:autoSpaceDN w:val="0"/>
              <w:adjustRightInd w:val="0"/>
              <w:jc w:val="right"/>
              <w:rPr>
                <w:rFonts w:ascii="Calibri" w:hAnsi="Calibri"/>
                <w:sz w:val="20"/>
                <w:szCs w:val="20"/>
              </w:rPr>
            </w:pPr>
            <w:r>
              <w:rPr>
                <w:rFonts w:ascii="Calibri" w:hAnsi="Calibri"/>
                <w:sz w:val="20"/>
                <w:szCs w:val="20"/>
              </w:rPr>
              <w:t>30,600,000.09</w:t>
            </w:r>
          </w:p>
        </w:tc>
      </w:tr>
      <w:tr w14:paraId="5624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14:paraId="5B52B7D8">
            <w:pPr>
              <w:autoSpaceDE w:val="0"/>
              <w:autoSpaceDN w:val="0"/>
              <w:adjustRightInd w:val="0"/>
              <w:rPr>
                <w:rFonts w:ascii="Calibri" w:hAnsi="Calibri"/>
                <w:sz w:val="20"/>
                <w:szCs w:val="20"/>
              </w:rPr>
            </w:pPr>
            <w:r>
              <w:rPr>
                <w:rFonts w:hint="eastAsia" w:ascii="Calibri" w:hAnsi="Calibri"/>
                <w:sz w:val="20"/>
                <w:szCs w:val="20"/>
              </w:rPr>
              <w:t>非货币性资产交换损失</w:t>
            </w:r>
          </w:p>
        </w:tc>
        <w:tc>
          <w:tcPr>
            <w:tcW w:w="2268" w:type="dxa"/>
            <w:tcBorders>
              <w:top w:val="single" w:color="auto" w:sz="4" w:space="0"/>
              <w:left w:val="single" w:color="auto" w:sz="4" w:space="0"/>
              <w:bottom w:val="single" w:color="auto" w:sz="4" w:space="0"/>
              <w:right w:val="single" w:color="auto" w:sz="4" w:space="0"/>
            </w:tcBorders>
            <w:vAlign w:val="center"/>
          </w:tcPr>
          <w:p w14:paraId="259D770D">
            <w:pPr>
              <w:jc w:val="right"/>
              <w:rPr>
                <w:rFonts w:ascii="Calibri" w:hAnsi="Calibri"/>
                <w:sz w:val="20"/>
                <w:szCs w:val="20"/>
              </w:rPr>
            </w:pPr>
          </w:p>
        </w:tc>
        <w:tc>
          <w:tcPr>
            <w:tcW w:w="2126" w:type="dxa"/>
            <w:tcBorders>
              <w:top w:val="single" w:color="auto" w:sz="4" w:space="0"/>
              <w:left w:val="single" w:color="auto" w:sz="4" w:space="0"/>
              <w:bottom w:val="single" w:color="auto" w:sz="4" w:space="0"/>
              <w:right w:val="single" w:color="auto" w:sz="4" w:space="0"/>
            </w:tcBorders>
            <w:vAlign w:val="center"/>
          </w:tcPr>
          <w:p w14:paraId="01930E31">
            <w:pPr>
              <w:jc w:val="right"/>
              <w:rPr>
                <w:rFonts w:ascii="Calibri" w:hAnsi="Calibri"/>
                <w:sz w:val="20"/>
                <w:szCs w:val="20"/>
              </w:rPr>
            </w:pPr>
          </w:p>
        </w:tc>
        <w:tc>
          <w:tcPr>
            <w:tcW w:w="2106" w:type="dxa"/>
            <w:tcBorders>
              <w:top w:val="single" w:color="auto" w:sz="4" w:space="0"/>
              <w:left w:val="single" w:color="auto" w:sz="4" w:space="0"/>
              <w:bottom w:val="single" w:color="auto" w:sz="4" w:space="0"/>
              <w:right w:val="single" w:color="auto" w:sz="4" w:space="0"/>
            </w:tcBorders>
            <w:vAlign w:val="center"/>
          </w:tcPr>
          <w:p w14:paraId="253D5A10">
            <w:pPr>
              <w:autoSpaceDE w:val="0"/>
              <w:autoSpaceDN w:val="0"/>
              <w:adjustRightInd w:val="0"/>
              <w:jc w:val="right"/>
              <w:rPr>
                <w:rFonts w:ascii="Calibri" w:hAnsi="Calibri"/>
                <w:sz w:val="20"/>
                <w:szCs w:val="20"/>
              </w:rPr>
            </w:pPr>
          </w:p>
        </w:tc>
      </w:tr>
      <w:tr w14:paraId="6CCF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14:paraId="0B5EBE03">
            <w:pPr>
              <w:autoSpaceDE w:val="0"/>
              <w:autoSpaceDN w:val="0"/>
              <w:adjustRightInd w:val="0"/>
              <w:rPr>
                <w:rFonts w:ascii="Calibri" w:hAnsi="Calibri"/>
                <w:sz w:val="20"/>
                <w:szCs w:val="20"/>
              </w:rPr>
            </w:pPr>
            <w:r>
              <w:rPr>
                <w:rFonts w:hint="eastAsia" w:ascii="Calibri" w:hAnsi="Calibri"/>
                <w:sz w:val="20"/>
                <w:szCs w:val="20"/>
              </w:rPr>
              <w:t>对外捐赠</w:t>
            </w:r>
          </w:p>
        </w:tc>
        <w:tc>
          <w:tcPr>
            <w:tcW w:w="2268" w:type="dxa"/>
            <w:tcBorders>
              <w:top w:val="single" w:color="auto" w:sz="4" w:space="0"/>
              <w:left w:val="single" w:color="auto" w:sz="4" w:space="0"/>
              <w:bottom w:val="single" w:color="auto" w:sz="4" w:space="0"/>
              <w:right w:val="single" w:color="auto" w:sz="4" w:space="0"/>
            </w:tcBorders>
            <w:vAlign w:val="center"/>
          </w:tcPr>
          <w:p w14:paraId="64B688E0">
            <w:pPr>
              <w:jc w:val="right"/>
              <w:rPr>
                <w:rFonts w:ascii="Calibri" w:hAnsi="Calibri"/>
                <w:sz w:val="20"/>
                <w:szCs w:val="20"/>
              </w:rPr>
            </w:pPr>
            <w:r>
              <w:rPr>
                <w:rFonts w:ascii="Calibri" w:hAnsi="Calibri"/>
                <w:sz w:val="20"/>
                <w:szCs w:val="20"/>
              </w:rPr>
              <w:t>12,187,309.23</w:t>
            </w:r>
          </w:p>
        </w:tc>
        <w:tc>
          <w:tcPr>
            <w:tcW w:w="2126" w:type="dxa"/>
            <w:tcBorders>
              <w:top w:val="single" w:color="auto" w:sz="4" w:space="0"/>
              <w:left w:val="single" w:color="auto" w:sz="4" w:space="0"/>
              <w:bottom w:val="single" w:color="auto" w:sz="4" w:space="0"/>
              <w:right w:val="single" w:color="auto" w:sz="4" w:space="0"/>
            </w:tcBorders>
            <w:vAlign w:val="center"/>
          </w:tcPr>
          <w:p w14:paraId="1C733F6E">
            <w:pPr>
              <w:jc w:val="right"/>
              <w:rPr>
                <w:rFonts w:ascii="Calibri" w:hAnsi="Calibri"/>
                <w:sz w:val="20"/>
                <w:szCs w:val="20"/>
              </w:rPr>
            </w:pPr>
            <w:r>
              <w:rPr>
                <w:rFonts w:ascii="Calibri" w:hAnsi="Calibri"/>
                <w:sz w:val="20"/>
                <w:szCs w:val="20"/>
              </w:rPr>
              <w:t>5,384,474.75</w:t>
            </w:r>
          </w:p>
        </w:tc>
        <w:tc>
          <w:tcPr>
            <w:tcW w:w="2106" w:type="dxa"/>
            <w:tcBorders>
              <w:top w:val="single" w:color="auto" w:sz="4" w:space="0"/>
              <w:left w:val="single" w:color="auto" w:sz="4" w:space="0"/>
              <w:bottom w:val="single" w:color="auto" w:sz="4" w:space="0"/>
              <w:right w:val="single" w:color="auto" w:sz="4" w:space="0"/>
            </w:tcBorders>
            <w:vAlign w:val="center"/>
          </w:tcPr>
          <w:p w14:paraId="5B3367A7">
            <w:pPr>
              <w:autoSpaceDE w:val="0"/>
              <w:autoSpaceDN w:val="0"/>
              <w:adjustRightInd w:val="0"/>
              <w:jc w:val="right"/>
              <w:rPr>
                <w:rFonts w:ascii="Calibri" w:hAnsi="Calibri"/>
                <w:sz w:val="20"/>
                <w:szCs w:val="20"/>
              </w:rPr>
            </w:pPr>
            <w:r>
              <w:rPr>
                <w:rFonts w:ascii="Calibri" w:hAnsi="Calibri"/>
                <w:sz w:val="20"/>
                <w:szCs w:val="20"/>
              </w:rPr>
              <w:t>12,187,309.23</w:t>
            </w:r>
          </w:p>
        </w:tc>
      </w:tr>
      <w:tr w14:paraId="4283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14:paraId="3E5170ED">
            <w:pPr>
              <w:pStyle w:val="48"/>
              <w:rPr>
                <w:sz w:val="20"/>
                <w:szCs w:val="20"/>
              </w:rPr>
            </w:pPr>
            <w:r>
              <w:rPr>
                <w:sz w:val="20"/>
                <w:szCs w:val="20"/>
              </w:rPr>
              <w:t>滞纳金及罚款</w:t>
            </w:r>
          </w:p>
        </w:tc>
        <w:tc>
          <w:tcPr>
            <w:tcW w:w="2268" w:type="dxa"/>
            <w:tcBorders>
              <w:top w:val="single" w:color="auto" w:sz="4" w:space="0"/>
              <w:left w:val="single" w:color="auto" w:sz="4" w:space="0"/>
              <w:bottom w:val="single" w:color="auto" w:sz="4" w:space="0"/>
              <w:right w:val="single" w:color="auto" w:sz="4" w:space="0"/>
            </w:tcBorders>
            <w:vAlign w:val="center"/>
          </w:tcPr>
          <w:p w14:paraId="337E2797">
            <w:pPr>
              <w:jc w:val="right"/>
              <w:rPr>
                <w:rFonts w:ascii="Calibri" w:hAnsi="Calibri"/>
                <w:sz w:val="20"/>
                <w:szCs w:val="20"/>
              </w:rPr>
            </w:pPr>
            <w:r>
              <w:rPr>
                <w:rFonts w:ascii="Calibri" w:hAnsi="Calibri"/>
                <w:sz w:val="20"/>
                <w:szCs w:val="20"/>
              </w:rPr>
              <w:t>2,111,835.60</w:t>
            </w:r>
          </w:p>
        </w:tc>
        <w:tc>
          <w:tcPr>
            <w:tcW w:w="2126" w:type="dxa"/>
            <w:tcBorders>
              <w:top w:val="single" w:color="auto" w:sz="4" w:space="0"/>
              <w:left w:val="single" w:color="auto" w:sz="4" w:space="0"/>
              <w:bottom w:val="single" w:color="auto" w:sz="4" w:space="0"/>
              <w:right w:val="single" w:color="auto" w:sz="4" w:space="0"/>
            </w:tcBorders>
            <w:vAlign w:val="center"/>
          </w:tcPr>
          <w:p w14:paraId="5BC5C2B5">
            <w:pPr>
              <w:jc w:val="right"/>
              <w:rPr>
                <w:rFonts w:ascii="Calibri" w:hAnsi="Calibri"/>
                <w:sz w:val="20"/>
                <w:szCs w:val="20"/>
              </w:rPr>
            </w:pPr>
            <w:r>
              <w:rPr>
                <w:rFonts w:ascii="Calibri" w:hAnsi="Calibri"/>
                <w:sz w:val="20"/>
                <w:szCs w:val="20"/>
              </w:rPr>
              <w:t>84,553.32</w:t>
            </w:r>
          </w:p>
        </w:tc>
        <w:tc>
          <w:tcPr>
            <w:tcW w:w="2106" w:type="dxa"/>
            <w:tcBorders>
              <w:top w:val="single" w:color="auto" w:sz="4" w:space="0"/>
              <w:left w:val="single" w:color="auto" w:sz="4" w:space="0"/>
              <w:bottom w:val="single" w:color="auto" w:sz="4" w:space="0"/>
              <w:right w:val="single" w:color="auto" w:sz="4" w:space="0"/>
            </w:tcBorders>
            <w:vAlign w:val="center"/>
          </w:tcPr>
          <w:p w14:paraId="2B8E7BEA">
            <w:pPr>
              <w:jc w:val="right"/>
              <w:rPr>
                <w:rFonts w:ascii="Calibri" w:hAnsi="Calibri"/>
                <w:sz w:val="20"/>
                <w:szCs w:val="20"/>
              </w:rPr>
            </w:pPr>
            <w:r>
              <w:rPr>
                <w:rFonts w:ascii="Calibri" w:hAnsi="Calibri"/>
                <w:sz w:val="20"/>
                <w:szCs w:val="20"/>
              </w:rPr>
              <w:t>2,111,835.60</w:t>
            </w:r>
          </w:p>
        </w:tc>
      </w:tr>
      <w:tr w14:paraId="28D7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14:paraId="060956C1">
            <w:pPr>
              <w:pStyle w:val="48"/>
              <w:rPr>
                <w:sz w:val="20"/>
                <w:szCs w:val="20"/>
              </w:rPr>
            </w:pPr>
            <w:r>
              <w:rPr>
                <w:sz w:val="20"/>
                <w:szCs w:val="20"/>
              </w:rPr>
              <w:t>诉讼赔偿</w:t>
            </w:r>
          </w:p>
        </w:tc>
        <w:tc>
          <w:tcPr>
            <w:tcW w:w="2268" w:type="dxa"/>
            <w:tcBorders>
              <w:top w:val="single" w:color="auto" w:sz="4" w:space="0"/>
              <w:left w:val="single" w:color="auto" w:sz="4" w:space="0"/>
              <w:bottom w:val="single" w:color="auto" w:sz="4" w:space="0"/>
              <w:right w:val="single" w:color="auto" w:sz="4" w:space="0"/>
            </w:tcBorders>
            <w:vAlign w:val="center"/>
          </w:tcPr>
          <w:p w14:paraId="5A6C7C8F">
            <w:pPr>
              <w:jc w:val="right"/>
              <w:rPr>
                <w:rFonts w:ascii="Calibri" w:hAnsi="Calibri"/>
                <w:sz w:val="20"/>
                <w:szCs w:val="20"/>
              </w:rPr>
            </w:pPr>
          </w:p>
        </w:tc>
        <w:tc>
          <w:tcPr>
            <w:tcW w:w="2126" w:type="dxa"/>
            <w:tcBorders>
              <w:top w:val="single" w:color="auto" w:sz="4" w:space="0"/>
              <w:left w:val="single" w:color="auto" w:sz="4" w:space="0"/>
              <w:bottom w:val="single" w:color="auto" w:sz="4" w:space="0"/>
              <w:right w:val="single" w:color="auto" w:sz="4" w:space="0"/>
            </w:tcBorders>
            <w:vAlign w:val="center"/>
          </w:tcPr>
          <w:p w14:paraId="1FA0B040">
            <w:pPr>
              <w:jc w:val="right"/>
              <w:rPr>
                <w:rFonts w:ascii="Calibri" w:hAnsi="Calibri"/>
                <w:sz w:val="20"/>
                <w:szCs w:val="20"/>
              </w:rPr>
            </w:pPr>
            <w:r>
              <w:rPr>
                <w:rFonts w:ascii="Calibri" w:hAnsi="Calibri"/>
                <w:sz w:val="20"/>
                <w:szCs w:val="20"/>
              </w:rPr>
              <w:t>60,816,238.80</w:t>
            </w:r>
          </w:p>
        </w:tc>
        <w:tc>
          <w:tcPr>
            <w:tcW w:w="2106" w:type="dxa"/>
            <w:tcBorders>
              <w:top w:val="single" w:color="auto" w:sz="4" w:space="0"/>
              <w:left w:val="single" w:color="auto" w:sz="4" w:space="0"/>
              <w:bottom w:val="single" w:color="auto" w:sz="4" w:space="0"/>
              <w:right w:val="single" w:color="auto" w:sz="4" w:space="0"/>
            </w:tcBorders>
            <w:vAlign w:val="center"/>
          </w:tcPr>
          <w:p w14:paraId="1CDA15F4">
            <w:pPr>
              <w:jc w:val="right"/>
              <w:rPr>
                <w:rFonts w:ascii="Calibri" w:hAnsi="Calibri"/>
                <w:sz w:val="20"/>
                <w:szCs w:val="20"/>
              </w:rPr>
            </w:pPr>
          </w:p>
        </w:tc>
      </w:tr>
      <w:tr w14:paraId="362D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14:paraId="5391F0BC">
            <w:pPr>
              <w:pStyle w:val="48"/>
              <w:rPr>
                <w:sz w:val="20"/>
                <w:szCs w:val="20"/>
              </w:rPr>
            </w:pPr>
            <w:r>
              <w:rPr>
                <w:sz w:val="20"/>
                <w:szCs w:val="20"/>
              </w:rPr>
              <w:t>其他</w:t>
            </w:r>
          </w:p>
        </w:tc>
        <w:tc>
          <w:tcPr>
            <w:tcW w:w="2268" w:type="dxa"/>
            <w:tcBorders>
              <w:top w:val="single" w:color="auto" w:sz="4" w:space="0"/>
              <w:left w:val="single" w:color="auto" w:sz="4" w:space="0"/>
              <w:bottom w:val="single" w:color="auto" w:sz="4" w:space="0"/>
              <w:right w:val="single" w:color="auto" w:sz="4" w:space="0"/>
            </w:tcBorders>
            <w:vAlign w:val="center"/>
          </w:tcPr>
          <w:p w14:paraId="2A40A1A8">
            <w:pPr>
              <w:jc w:val="right"/>
              <w:rPr>
                <w:rFonts w:ascii="Calibri" w:hAnsi="Calibri"/>
                <w:sz w:val="20"/>
                <w:szCs w:val="20"/>
              </w:rPr>
            </w:pPr>
            <w:r>
              <w:rPr>
                <w:rFonts w:ascii="Calibri" w:hAnsi="Calibri"/>
                <w:sz w:val="20"/>
                <w:szCs w:val="20"/>
              </w:rPr>
              <w:t>1,108,085.41</w:t>
            </w:r>
          </w:p>
        </w:tc>
        <w:tc>
          <w:tcPr>
            <w:tcW w:w="2126" w:type="dxa"/>
            <w:tcBorders>
              <w:top w:val="single" w:color="auto" w:sz="4" w:space="0"/>
              <w:left w:val="single" w:color="auto" w:sz="4" w:space="0"/>
              <w:bottom w:val="single" w:color="auto" w:sz="4" w:space="0"/>
              <w:right w:val="single" w:color="auto" w:sz="4" w:space="0"/>
            </w:tcBorders>
            <w:vAlign w:val="center"/>
          </w:tcPr>
          <w:p w14:paraId="134EC997">
            <w:pPr>
              <w:jc w:val="right"/>
              <w:rPr>
                <w:rFonts w:ascii="Calibri" w:hAnsi="Calibri"/>
                <w:sz w:val="20"/>
                <w:szCs w:val="20"/>
              </w:rPr>
            </w:pPr>
            <w:r>
              <w:rPr>
                <w:rFonts w:ascii="Calibri" w:hAnsi="Calibri"/>
                <w:sz w:val="20"/>
                <w:szCs w:val="20"/>
              </w:rPr>
              <w:t>121,762.61</w:t>
            </w:r>
          </w:p>
        </w:tc>
        <w:tc>
          <w:tcPr>
            <w:tcW w:w="2106" w:type="dxa"/>
            <w:tcBorders>
              <w:top w:val="single" w:color="auto" w:sz="4" w:space="0"/>
              <w:left w:val="single" w:color="auto" w:sz="4" w:space="0"/>
              <w:bottom w:val="single" w:color="auto" w:sz="4" w:space="0"/>
              <w:right w:val="single" w:color="auto" w:sz="4" w:space="0"/>
            </w:tcBorders>
            <w:vAlign w:val="center"/>
          </w:tcPr>
          <w:p w14:paraId="7D722EF8">
            <w:pPr>
              <w:jc w:val="right"/>
              <w:rPr>
                <w:rFonts w:ascii="Calibri" w:hAnsi="Calibri"/>
                <w:sz w:val="20"/>
                <w:szCs w:val="20"/>
              </w:rPr>
            </w:pPr>
            <w:r>
              <w:rPr>
                <w:rFonts w:ascii="Calibri" w:hAnsi="Calibri"/>
                <w:sz w:val="20"/>
                <w:szCs w:val="20"/>
              </w:rPr>
              <w:t>1,108,085.41</w:t>
            </w:r>
          </w:p>
        </w:tc>
      </w:tr>
      <w:tr w14:paraId="6673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Borders>
              <w:top w:val="single" w:color="auto" w:sz="4" w:space="0"/>
              <w:left w:val="single" w:color="auto" w:sz="4" w:space="0"/>
              <w:bottom w:val="single" w:color="auto" w:sz="4" w:space="0"/>
              <w:right w:val="single" w:color="auto" w:sz="4" w:space="0"/>
            </w:tcBorders>
            <w:vAlign w:val="center"/>
          </w:tcPr>
          <w:p w14:paraId="1594B369">
            <w:pPr>
              <w:ind w:right="6"/>
              <w:jc w:val="center"/>
              <w:rPr>
                <w:rFonts w:ascii="Calibri" w:hAnsi="Calibri"/>
                <w:sz w:val="20"/>
                <w:szCs w:val="20"/>
              </w:rPr>
            </w:pPr>
            <w:r>
              <w:rPr>
                <w:rFonts w:hint="eastAsia" w:ascii="Calibri" w:hAnsi="Calibri"/>
                <w:sz w:val="20"/>
                <w:szCs w:val="20"/>
              </w:rPr>
              <w:t>合计</w:t>
            </w:r>
          </w:p>
        </w:tc>
        <w:tc>
          <w:tcPr>
            <w:tcW w:w="2268" w:type="dxa"/>
            <w:tcBorders>
              <w:top w:val="single" w:color="auto" w:sz="4" w:space="0"/>
              <w:left w:val="single" w:color="auto" w:sz="4" w:space="0"/>
              <w:bottom w:val="single" w:color="auto" w:sz="4" w:space="0"/>
              <w:right w:val="single" w:color="auto" w:sz="4" w:space="0"/>
            </w:tcBorders>
            <w:vAlign w:val="center"/>
          </w:tcPr>
          <w:p w14:paraId="507E2496">
            <w:pPr>
              <w:jc w:val="right"/>
              <w:rPr>
                <w:rFonts w:ascii="Calibri" w:hAnsi="Calibri"/>
                <w:sz w:val="20"/>
                <w:szCs w:val="20"/>
              </w:rPr>
            </w:pPr>
            <w:r>
              <w:rPr>
                <w:rFonts w:ascii="Calibri" w:hAnsi="Calibri"/>
                <w:sz w:val="20"/>
                <w:szCs w:val="20"/>
              </w:rPr>
              <w:t>97,548,218.04</w:t>
            </w:r>
          </w:p>
        </w:tc>
        <w:tc>
          <w:tcPr>
            <w:tcW w:w="2126" w:type="dxa"/>
            <w:tcBorders>
              <w:top w:val="single" w:color="auto" w:sz="4" w:space="0"/>
              <w:left w:val="single" w:color="auto" w:sz="4" w:space="0"/>
              <w:bottom w:val="single" w:color="auto" w:sz="4" w:space="0"/>
              <w:right w:val="single" w:color="auto" w:sz="4" w:space="0"/>
            </w:tcBorders>
            <w:vAlign w:val="center"/>
          </w:tcPr>
          <w:p w14:paraId="02DE33E1">
            <w:pPr>
              <w:jc w:val="right"/>
              <w:rPr>
                <w:rFonts w:ascii="Calibri" w:hAnsi="Calibri"/>
                <w:sz w:val="20"/>
                <w:szCs w:val="20"/>
              </w:rPr>
            </w:pPr>
            <w:r>
              <w:rPr>
                <w:rFonts w:ascii="Calibri" w:hAnsi="Calibri"/>
                <w:sz w:val="20"/>
                <w:szCs w:val="20"/>
              </w:rPr>
              <w:t>321,502,948.36</w:t>
            </w:r>
          </w:p>
        </w:tc>
        <w:tc>
          <w:tcPr>
            <w:tcW w:w="2106" w:type="dxa"/>
            <w:tcBorders>
              <w:top w:val="single" w:color="auto" w:sz="4" w:space="0"/>
              <w:left w:val="single" w:color="auto" w:sz="4" w:space="0"/>
              <w:bottom w:val="single" w:color="auto" w:sz="4" w:space="0"/>
              <w:right w:val="single" w:color="auto" w:sz="4" w:space="0"/>
            </w:tcBorders>
            <w:vAlign w:val="center"/>
          </w:tcPr>
          <w:p w14:paraId="25A3CA28">
            <w:pPr>
              <w:autoSpaceDE w:val="0"/>
              <w:autoSpaceDN w:val="0"/>
              <w:adjustRightInd w:val="0"/>
              <w:jc w:val="right"/>
              <w:rPr>
                <w:rFonts w:ascii="Calibri" w:hAnsi="Calibri"/>
                <w:sz w:val="20"/>
                <w:szCs w:val="20"/>
              </w:rPr>
            </w:pPr>
            <w:r>
              <w:rPr>
                <w:rFonts w:ascii="Calibri" w:hAnsi="Calibri"/>
                <w:sz w:val="20"/>
                <w:szCs w:val="20"/>
              </w:rPr>
              <w:t>97,548,218.04</w:t>
            </w:r>
          </w:p>
        </w:tc>
      </w:tr>
    </w:tbl>
    <w:p w14:paraId="6B24169D"/>
    <w:p w14:paraId="7BA7EF9C">
      <w:pPr>
        <w:pStyle w:val="48"/>
      </w:pPr>
    </w:p>
    <w:p w14:paraId="2CE7F9E0">
      <w:pPr>
        <w:pStyle w:val="4"/>
        <w:numPr>
          <w:ilvl w:val="0"/>
          <w:numId w:val="61"/>
        </w:numPr>
        <w:rPr>
          <w:szCs w:val="21"/>
        </w:rPr>
      </w:pPr>
      <w:r>
        <w:rPr>
          <w:szCs w:val="21"/>
        </w:rPr>
        <w:t>所得税费用</w:t>
      </w:r>
    </w:p>
    <w:p w14:paraId="4E8F1CDF">
      <w:pPr>
        <w:pStyle w:val="5"/>
        <w:numPr>
          <w:ilvl w:val="0"/>
          <w:numId w:val="99"/>
        </w:numPr>
        <w:ind w:left="426" w:hanging="426"/>
      </w:pPr>
      <w:r>
        <w:rPr>
          <w:rFonts w:hint="eastAsia"/>
        </w:rPr>
        <w:t>所得税费用表</w:t>
      </w:r>
    </w:p>
    <w:sdt>
      <w:sdtPr>
        <w:alias w:val="是否适用：所得税费用表[双击切换]"/>
        <w:tag w:val="_GBC_3ea18046339d457a8712506679035498"/>
        <w:id w:val="1227576112"/>
        <w:placeholder>
          <w:docPart w:val="GBC22222222222222222222222222222"/>
        </w:placeholder>
      </w:sdtPr>
      <w:sdtContent>
        <w:p w14:paraId="2097880B">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6A25F3">
      <w:pPr>
        <w:wordWrap w:val="0"/>
        <w:jc w:val="right"/>
      </w:pPr>
      <w:r>
        <w:rPr>
          <w:rFonts w:hint="eastAsia"/>
        </w:rPr>
        <w:t>单位：</w:t>
      </w:r>
      <w:sdt>
        <w:sdtPr>
          <w:rPr>
            <w:rFonts w:hint="eastAsia"/>
          </w:rPr>
          <w:alias w:val="单位：财务附注：所得税费用"/>
          <w:tag w:val="_GBC_5e89c62734b24d50a562694dcf8d2206"/>
          <w:id w:val="-10529234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所得税费用"/>
          <w:tag w:val="_GBC_9c72c96e28344525b1836b3923556f61"/>
          <w:id w:val="10226714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214"/>
        <w:gridCol w:w="2929"/>
        <w:gridCol w:w="2913"/>
      </w:tblGrid>
      <w:tr w14:paraId="78AA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279" w:hRule="atLeast"/>
        </w:trPr>
        <w:sdt>
          <w:sdtPr>
            <w:tag w:val="_PLD_e0d72a7f55e04c898352587240ce636b"/>
            <w:id w:val="-1823349970"/>
          </w:sdtPr>
          <w:sdtContent>
            <w:tc>
              <w:tcPr>
                <w:tcW w:w="3214" w:type="dxa"/>
                <w:vAlign w:val="center"/>
              </w:tcPr>
              <w:p w14:paraId="39D20D7F">
                <w:pPr>
                  <w:ind w:right="6"/>
                  <w:jc w:val="center"/>
                  <w:rPr>
                    <w:rFonts w:ascii="Calibri" w:hAnsi="Calibri"/>
                    <w:sz w:val="20"/>
                    <w:szCs w:val="20"/>
                  </w:rPr>
                </w:pPr>
                <w:r>
                  <w:rPr>
                    <w:rFonts w:hint="eastAsia" w:ascii="Calibri" w:hAnsi="Calibri"/>
                    <w:sz w:val="20"/>
                    <w:szCs w:val="20"/>
                  </w:rPr>
                  <w:t>项目</w:t>
                </w:r>
              </w:p>
            </w:tc>
          </w:sdtContent>
        </w:sdt>
        <w:sdt>
          <w:sdtPr>
            <w:tag w:val="_PLD_e2b12491de324856a6b2f7034aa875da"/>
            <w:id w:val="-933590657"/>
          </w:sdtPr>
          <w:sdtContent>
            <w:tc>
              <w:tcPr>
                <w:tcW w:w="2929" w:type="dxa"/>
                <w:vAlign w:val="center"/>
              </w:tcPr>
              <w:p w14:paraId="3D083BDF">
                <w:pPr>
                  <w:ind w:right="6"/>
                  <w:jc w:val="center"/>
                  <w:rPr>
                    <w:rFonts w:ascii="Calibri" w:hAnsi="Calibri"/>
                    <w:sz w:val="20"/>
                    <w:szCs w:val="20"/>
                  </w:rPr>
                </w:pPr>
                <w:r>
                  <w:rPr>
                    <w:rFonts w:hint="eastAsia" w:ascii="Calibri" w:hAnsi="Calibri"/>
                    <w:sz w:val="20"/>
                    <w:szCs w:val="20"/>
                  </w:rPr>
                  <w:t>本期发生额</w:t>
                </w:r>
              </w:p>
            </w:tc>
          </w:sdtContent>
        </w:sdt>
        <w:sdt>
          <w:sdtPr>
            <w:tag w:val="_PLD_4b2515977b8d462088eb538637703bf1"/>
            <w:id w:val="555439675"/>
          </w:sdtPr>
          <w:sdtContent>
            <w:tc>
              <w:tcPr>
                <w:tcW w:w="2913" w:type="dxa"/>
                <w:vAlign w:val="center"/>
              </w:tcPr>
              <w:p w14:paraId="6CB5D99C">
                <w:pPr>
                  <w:ind w:right="6"/>
                  <w:jc w:val="center"/>
                  <w:rPr>
                    <w:rFonts w:ascii="Calibri" w:hAnsi="Calibri"/>
                    <w:sz w:val="20"/>
                    <w:szCs w:val="20"/>
                  </w:rPr>
                </w:pPr>
                <w:r>
                  <w:rPr>
                    <w:rFonts w:hint="eastAsia" w:ascii="Calibri" w:hAnsi="Calibri"/>
                    <w:sz w:val="20"/>
                    <w:szCs w:val="20"/>
                  </w:rPr>
                  <w:t>上期发生额</w:t>
                </w:r>
              </w:p>
            </w:tc>
          </w:sdtContent>
        </w:sdt>
      </w:tr>
      <w:tr w14:paraId="3726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214" w:type="dxa"/>
            <w:vAlign w:val="center"/>
          </w:tcPr>
          <w:p w14:paraId="16CED907">
            <w:pPr>
              <w:ind w:right="6"/>
              <w:rPr>
                <w:rFonts w:ascii="Calibri" w:hAnsi="Calibri"/>
                <w:b/>
                <w:bCs/>
                <w:sz w:val="20"/>
                <w:szCs w:val="20"/>
              </w:rPr>
            </w:pPr>
            <w:r>
              <w:rPr>
                <w:rFonts w:hint="eastAsia" w:ascii="Calibri" w:hAnsi="Calibri"/>
                <w:sz w:val="20"/>
                <w:szCs w:val="20"/>
              </w:rPr>
              <w:t>当期所得税费用</w:t>
            </w:r>
          </w:p>
        </w:tc>
        <w:tc>
          <w:tcPr>
            <w:tcW w:w="2929" w:type="dxa"/>
            <w:vAlign w:val="center"/>
          </w:tcPr>
          <w:p w14:paraId="225D54E8">
            <w:pPr>
              <w:jc w:val="right"/>
              <w:rPr>
                <w:rFonts w:ascii="Calibri" w:hAnsi="Calibri"/>
                <w:sz w:val="20"/>
                <w:szCs w:val="20"/>
              </w:rPr>
            </w:pPr>
            <w:r>
              <w:rPr>
                <w:rFonts w:ascii="Calibri" w:hAnsi="Calibri"/>
                <w:sz w:val="20"/>
                <w:szCs w:val="20"/>
              </w:rPr>
              <w:t>208,466,988.73</w:t>
            </w:r>
          </w:p>
        </w:tc>
        <w:tc>
          <w:tcPr>
            <w:tcW w:w="2913" w:type="dxa"/>
            <w:vAlign w:val="center"/>
          </w:tcPr>
          <w:p w14:paraId="0B2F7DBA">
            <w:pPr>
              <w:ind w:right="6"/>
              <w:jc w:val="right"/>
              <w:rPr>
                <w:rFonts w:ascii="Calibri" w:hAnsi="Calibri"/>
                <w:sz w:val="20"/>
                <w:szCs w:val="20"/>
              </w:rPr>
            </w:pPr>
            <w:r>
              <w:rPr>
                <w:rFonts w:ascii="Calibri" w:hAnsi="Calibri"/>
                <w:sz w:val="20"/>
                <w:szCs w:val="20"/>
              </w:rPr>
              <w:t>149,397.94</w:t>
            </w:r>
          </w:p>
        </w:tc>
      </w:tr>
      <w:tr w14:paraId="3E63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214" w:type="dxa"/>
            <w:vAlign w:val="center"/>
          </w:tcPr>
          <w:p w14:paraId="58BDF9FA">
            <w:pPr>
              <w:ind w:right="6"/>
              <w:rPr>
                <w:rFonts w:ascii="Calibri" w:hAnsi="Calibri"/>
                <w:sz w:val="20"/>
                <w:szCs w:val="20"/>
              </w:rPr>
            </w:pPr>
            <w:r>
              <w:rPr>
                <w:rFonts w:hint="eastAsia" w:ascii="Calibri" w:hAnsi="Calibri"/>
                <w:sz w:val="20"/>
                <w:szCs w:val="20"/>
              </w:rPr>
              <w:t>递延所得税费用</w:t>
            </w:r>
          </w:p>
        </w:tc>
        <w:tc>
          <w:tcPr>
            <w:tcW w:w="2929" w:type="dxa"/>
            <w:vAlign w:val="center"/>
          </w:tcPr>
          <w:p w14:paraId="7A364E7C">
            <w:pPr>
              <w:jc w:val="right"/>
              <w:rPr>
                <w:rFonts w:ascii="Calibri" w:hAnsi="Calibri"/>
                <w:sz w:val="20"/>
                <w:szCs w:val="20"/>
              </w:rPr>
            </w:pPr>
            <w:r>
              <w:rPr>
                <w:rFonts w:ascii="Calibri" w:hAnsi="Calibri"/>
                <w:sz w:val="20"/>
                <w:szCs w:val="20"/>
              </w:rPr>
              <w:t>71,587,718.81</w:t>
            </w:r>
          </w:p>
        </w:tc>
        <w:tc>
          <w:tcPr>
            <w:tcW w:w="2913" w:type="dxa"/>
            <w:vAlign w:val="center"/>
          </w:tcPr>
          <w:p w14:paraId="7CFBA1F5">
            <w:pPr>
              <w:ind w:right="6"/>
              <w:jc w:val="right"/>
              <w:rPr>
                <w:rFonts w:ascii="Calibri" w:hAnsi="Calibri"/>
                <w:sz w:val="20"/>
                <w:szCs w:val="20"/>
              </w:rPr>
            </w:pPr>
            <w:r>
              <w:rPr>
                <w:rFonts w:ascii="Calibri" w:hAnsi="Calibri"/>
                <w:sz w:val="20"/>
                <w:szCs w:val="20"/>
              </w:rPr>
              <w:t>-99,702,243.56</w:t>
            </w:r>
          </w:p>
        </w:tc>
      </w:tr>
      <w:tr w14:paraId="7E6C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214" w:type="dxa"/>
            <w:vAlign w:val="center"/>
          </w:tcPr>
          <w:p w14:paraId="7C0C98C8">
            <w:pPr>
              <w:ind w:right="6"/>
              <w:jc w:val="center"/>
              <w:rPr>
                <w:rFonts w:ascii="Calibri" w:hAnsi="Calibri"/>
                <w:sz w:val="20"/>
                <w:szCs w:val="20"/>
              </w:rPr>
            </w:pPr>
            <w:r>
              <w:rPr>
                <w:rFonts w:hint="eastAsia" w:ascii="Calibri" w:hAnsi="Calibri"/>
                <w:sz w:val="20"/>
                <w:szCs w:val="20"/>
              </w:rPr>
              <w:t>合计</w:t>
            </w:r>
          </w:p>
        </w:tc>
        <w:tc>
          <w:tcPr>
            <w:tcW w:w="2929" w:type="dxa"/>
            <w:vAlign w:val="center"/>
          </w:tcPr>
          <w:p w14:paraId="38E5926C">
            <w:pPr>
              <w:ind w:right="6"/>
              <w:jc w:val="right"/>
              <w:rPr>
                <w:rFonts w:ascii="Calibri" w:hAnsi="Calibri"/>
                <w:sz w:val="20"/>
                <w:szCs w:val="20"/>
              </w:rPr>
            </w:pPr>
            <w:r>
              <w:rPr>
                <w:rFonts w:ascii="Calibri" w:hAnsi="Calibri"/>
                <w:sz w:val="20"/>
                <w:szCs w:val="20"/>
              </w:rPr>
              <w:t>280,054,707.54</w:t>
            </w:r>
          </w:p>
        </w:tc>
        <w:tc>
          <w:tcPr>
            <w:tcW w:w="2913" w:type="dxa"/>
            <w:vAlign w:val="center"/>
          </w:tcPr>
          <w:p w14:paraId="4FC052CF">
            <w:pPr>
              <w:ind w:right="6"/>
              <w:jc w:val="right"/>
              <w:rPr>
                <w:rFonts w:ascii="Calibri" w:hAnsi="Calibri"/>
                <w:sz w:val="20"/>
                <w:szCs w:val="20"/>
              </w:rPr>
            </w:pPr>
            <w:r>
              <w:rPr>
                <w:rFonts w:ascii="Calibri" w:hAnsi="Calibri"/>
                <w:sz w:val="20"/>
                <w:szCs w:val="20"/>
              </w:rPr>
              <w:t>-99,552,845.62</w:t>
            </w:r>
          </w:p>
        </w:tc>
      </w:tr>
    </w:tbl>
    <w:p w14:paraId="1BDE0CA5">
      <w:pPr>
        <w:pStyle w:val="48"/>
      </w:pPr>
    </w:p>
    <w:p w14:paraId="09DC30F1">
      <w:pPr>
        <w:pStyle w:val="5"/>
        <w:numPr>
          <w:ilvl w:val="0"/>
          <w:numId w:val="99"/>
        </w:numPr>
        <w:ind w:left="426" w:hanging="426"/>
      </w:pPr>
      <w:r>
        <w:rPr>
          <w:rFonts w:hint="eastAsia"/>
        </w:rPr>
        <w:t>会计利润与所得税费用调整过程</w:t>
      </w:r>
    </w:p>
    <w:sdt>
      <w:sdtPr>
        <w:alias w:val="是否适用：会计利润与所得税费用调整过程[双击切换]"/>
        <w:tag w:val="_GBC_add00d323e2049ad8bc932f632966661"/>
        <w:id w:val="1567377996"/>
        <w:placeholder>
          <w:docPart w:val="GBC22222222222222222222222222222"/>
        </w:placeholder>
      </w:sdtPr>
      <w:sdtContent>
        <w:p w14:paraId="33D3D905">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F4FD60F">
      <w:pPr>
        <w:jc w:val="right"/>
      </w:pPr>
      <w:r>
        <w:rPr>
          <w:rFonts w:hint="eastAsia"/>
        </w:rPr>
        <w:t>单位：</w:t>
      </w:r>
      <w:sdt>
        <w:sdtPr>
          <w:rPr>
            <w:rFonts w:hint="eastAsia"/>
          </w:rPr>
          <w:alias w:val="单位：会计利润与所得税费用调整过程"/>
          <w:tag w:val="_GBC_10825cb9bb5e445c9210ee34dc80406a"/>
          <w:id w:val="-19715811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3336083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13" w:type="dxa"/>
          <w:bottom w:w="0" w:type="dxa"/>
          <w:right w:w="113" w:type="dxa"/>
        </w:tblCellMar>
      </w:tblPr>
      <w:tblGrid>
        <w:gridCol w:w="4382"/>
        <w:gridCol w:w="4676"/>
      </w:tblGrid>
      <w:tr w14:paraId="2B24A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1123621c9879400694da9a8842888e14"/>
            <w:id w:val="2079939577"/>
          </w:sdtPr>
          <w:sdtContent>
            <w:tc>
              <w:tcPr>
                <w:tcW w:w="4382" w:type="dxa"/>
                <w:tcBorders>
                  <w:top w:val="single" w:color="auto" w:sz="4" w:space="0"/>
                  <w:left w:val="single" w:color="auto" w:sz="4" w:space="0"/>
                  <w:bottom w:val="single" w:color="auto" w:sz="4" w:space="0"/>
                  <w:right w:val="single" w:color="auto" w:sz="4" w:space="0"/>
                </w:tcBorders>
                <w:vAlign w:val="center"/>
              </w:tcPr>
              <w:p w14:paraId="7F85E084">
                <w:pPr>
                  <w:spacing w:line="276" w:lineRule="auto"/>
                  <w:jc w:val="center"/>
                  <w:rPr>
                    <w:rFonts w:ascii="Calibri" w:hAnsi="Calibri"/>
                    <w:sz w:val="20"/>
                    <w:szCs w:val="20"/>
                  </w:rPr>
                </w:pPr>
                <w:r>
                  <w:rPr>
                    <w:rFonts w:hint="eastAsia" w:ascii="Calibri" w:hAnsi="Calibri"/>
                    <w:sz w:val="20"/>
                    <w:szCs w:val="20"/>
                  </w:rPr>
                  <w:t>项目</w:t>
                </w:r>
              </w:p>
            </w:tc>
          </w:sdtContent>
        </w:sdt>
        <w:sdt>
          <w:sdtPr>
            <w:tag w:val="_PLD_4a270148a32846b69754961e55c75a04"/>
            <w:id w:val="-1091226787"/>
          </w:sdtPr>
          <w:sdtContent>
            <w:tc>
              <w:tcPr>
                <w:tcW w:w="4676" w:type="dxa"/>
                <w:tcBorders>
                  <w:top w:val="single" w:color="auto" w:sz="4" w:space="0"/>
                  <w:left w:val="single" w:color="auto" w:sz="4" w:space="0"/>
                  <w:bottom w:val="single" w:color="auto" w:sz="4" w:space="0"/>
                  <w:right w:val="single" w:color="auto" w:sz="4" w:space="0"/>
                </w:tcBorders>
                <w:vAlign w:val="center"/>
              </w:tcPr>
              <w:p w14:paraId="47019E7B">
                <w:pPr>
                  <w:spacing w:line="276" w:lineRule="auto"/>
                  <w:jc w:val="center"/>
                  <w:rPr>
                    <w:rFonts w:ascii="Calibri" w:hAnsi="Calibri"/>
                    <w:sz w:val="20"/>
                    <w:szCs w:val="20"/>
                  </w:rPr>
                </w:pPr>
                <w:r>
                  <w:rPr>
                    <w:rFonts w:hint="eastAsia" w:ascii="Calibri" w:hAnsi="Calibri"/>
                    <w:sz w:val="20"/>
                    <w:szCs w:val="20"/>
                  </w:rPr>
                  <w:t>本期发生额</w:t>
                </w:r>
              </w:p>
            </w:tc>
          </w:sdtContent>
        </w:sdt>
      </w:tr>
      <w:tr w14:paraId="61EBA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4382" w:type="dxa"/>
            <w:tcBorders>
              <w:top w:val="single" w:color="auto" w:sz="4" w:space="0"/>
              <w:left w:val="single" w:color="auto" w:sz="4" w:space="0"/>
              <w:bottom w:val="single" w:color="auto" w:sz="4" w:space="0"/>
              <w:right w:val="single" w:color="auto" w:sz="4" w:space="0"/>
            </w:tcBorders>
            <w:vAlign w:val="center"/>
          </w:tcPr>
          <w:p w14:paraId="00265677">
            <w:pPr>
              <w:spacing w:line="276" w:lineRule="auto"/>
              <w:ind w:right="6"/>
              <w:rPr>
                <w:rFonts w:ascii="Calibri" w:hAnsi="Calibri"/>
                <w:b/>
                <w:bCs/>
                <w:sz w:val="20"/>
                <w:szCs w:val="20"/>
              </w:rPr>
            </w:pPr>
            <w:r>
              <w:rPr>
                <w:rFonts w:hint="eastAsia" w:ascii="Calibri" w:hAnsi="Calibri"/>
                <w:sz w:val="20"/>
                <w:szCs w:val="20"/>
              </w:rPr>
              <w:t>利润总额</w:t>
            </w:r>
          </w:p>
        </w:tc>
        <w:tc>
          <w:tcPr>
            <w:tcW w:w="4676" w:type="dxa"/>
            <w:tcBorders>
              <w:top w:val="single" w:color="auto" w:sz="4" w:space="0"/>
              <w:left w:val="single" w:color="auto" w:sz="4" w:space="0"/>
              <w:bottom w:val="single" w:color="auto" w:sz="6" w:space="0"/>
              <w:right w:val="single" w:color="auto" w:sz="6" w:space="0"/>
            </w:tcBorders>
            <w:vAlign w:val="center"/>
          </w:tcPr>
          <w:p w14:paraId="41160DCB">
            <w:pPr>
              <w:spacing w:line="276" w:lineRule="auto"/>
              <w:jc w:val="right"/>
              <w:rPr>
                <w:rFonts w:ascii="Calibri" w:hAnsi="Calibri"/>
                <w:sz w:val="20"/>
                <w:szCs w:val="20"/>
              </w:rPr>
            </w:pPr>
            <w:r>
              <w:rPr>
                <w:rFonts w:ascii="Calibri" w:hAnsi="Calibri"/>
                <w:sz w:val="20"/>
                <w:szCs w:val="20"/>
              </w:rPr>
              <w:t>1,477,252,153.34</w:t>
            </w:r>
          </w:p>
        </w:tc>
      </w:tr>
      <w:tr w14:paraId="54D69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4382" w:type="dxa"/>
            <w:tcBorders>
              <w:top w:val="single" w:color="auto" w:sz="4" w:space="0"/>
              <w:left w:val="single" w:color="auto" w:sz="4" w:space="0"/>
              <w:bottom w:val="single" w:color="auto" w:sz="4" w:space="0"/>
              <w:right w:val="single" w:color="auto" w:sz="4" w:space="0"/>
            </w:tcBorders>
            <w:vAlign w:val="center"/>
          </w:tcPr>
          <w:p w14:paraId="67849AC1">
            <w:pPr>
              <w:spacing w:line="276" w:lineRule="auto"/>
              <w:ind w:right="6"/>
              <w:rPr>
                <w:rFonts w:ascii="Calibri" w:hAnsi="Calibri"/>
                <w:sz w:val="20"/>
                <w:szCs w:val="20"/>
              </w:rPr>
            </w:pPr>
            <w:r>
              <w:rPr>
                <w:rFonts w:hint="eastAsia" w:ascii="Calibri" w:hAnsi="Calibri"/>
                <w:sz w:val="20"/>
                <w:szCs w:val="20"/>
              </w:rPr>
              <w:t>按法定</w:t>
            </w:r>
            <w:r>
              <w:rPr>
                <w:rFonts w:ascii="Calibri" w:hAnsi="Calibri"/>
                <w:sz w:val="20"/>
                <w:szCs w:val="20"/>
              </w:rPr>
              <w:t>/</w:t>
            </w:r>
            <w:r>
              <w:rPr>
                <w:rFonts w:hint="eastAsia" w:ascii="Calibri" w:hAnsi="Calibri"/>
                <w:sz w:val="20"/>
                <w:szCs w:val="20"/>
              </w:rPr>
              <w:t>适用税率计算的所得税费用</w:t>
            </w:r>
          </w:p>
        </w:tc>
        <w:tc>
          <w:tcPr>
            <w:tcW w:w="4676" w:type="dxa"/>
            <w:tcBorders>
              <w:top w:val="single" w:color="auto" w:sz="6" w:space="0"/>
              <w:left w:val="single" w:color="auto" w:sz="4" w:space="0"/>
              <w:bottom w:val="single" w:color="auto" w:sz="6" w:space="0"/>
              <w:right w:val="single" w:color="auto" w:sz="6" w:space="0"/>
            </w:tcBorders>
            <w:vAlign w:val="center"/>
          </w:tcPr>
          <w:p w14:paraId="7B579B63">
            <w:pPr>
              <w:spacing w:line="276" w:lineRule="auto"/>
              <w:jc w:val="right"/>
              <w:rPr>
                <w:rFonts w:ascii="Calibri" w:hAnsi="Calibri"/>
                <w:sz w:val="20"/>
                <w:szCs w:val="20"/>
              </w:rPr>
            </w:pPr>
            <w:r>
              <w:rPr>
                <w:rFonts w:ascii="Calibri" w:hAnsi="Calibri"/>
                <w:sz w:val="20"/>
                <w:szCs w:val="20"/>
              </w:rPr>
              <w:t>221,587,823.00</w:t>
            </w:r>
          </w:p>
        </w:tc>
      </w:tr>
      <w:tr w14:paraId="7AD24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rPr>
          <w:trHeight w:val="139" w:hRule="atLeast"/>
        </w:trPr>
        <w:tc>
          <w:tcPr>
            <w:tcW w:w="4382" w:type="dxa"/>
            <w:tcBorders>
              <w:top w:val="single" w:color="auto" w:sz="4" w:space="0"/>
              <w:left w:val="single" w:color="auto" w:sz="4" w:space="0"/>
              <w:bottom w:val="single" w:color="auto" w:sz="4" w:space="0"/>
              <w:right w:val="single" w:color="auto" w:sz="4" w:space="0"/>
            </w:tcBorders>
            <w:vAlign w:val="center"/>
          </w:tcPr>
          <w:p w14:paraId="69194A27">
            <w:pPr>
              <w:spacing w:line="276" w:lineRule="auto"/>
              <w:ind w:right="6"/>
              <w:rPr>
                <w:rFonts w:ascii="Calibri" w:hAnsi="Calibri"/>
                <w:sz w:val="20"/>
                <w:szCs w:val="20"/>
              </w:rPr>
            </w:pPr>
            <w:r>
              <w:rPr>
                <w:rFonts w:hint="eastAsia" w:ascii="Calibri" w:hAnsi="Calibri"/>
                <w:sz w:val="20"/>
                <w:szCs w:val="20"/>
              </w:rPr>
              <w:t>子公司适用不同税率的影响</w:t>
            </w:r>
          </w:p>
        </w:tc>
        <w:tc>
          <w:tcPr>
            <w:tcW w:w="4676" w:type="dxa"/>
            <w:tcBorders>
              <w:top w:val="single" w:color="auto" w:sz="6" w:space="0"/>
              <w:left w:val="single" w:color="auto" w:sz="4" w:space="0"/>
              <w:bottom w:val="single" w:color="auto" w:sz="6" w:space="0"/>
              <w:right w:val="single" w:color="auto" w:sz="6" w:space="0"/>
            </w:tcBorders>
            <w:vAlign w:val="center"/>
          </w:tcPr>
          <w:p w14:paraId="186B06C9">
            <w:pPr>
              <w:spacing w:line="276" w:lineRule="auto"/>
              <w:jc w:val="right"/>
              <w:rPr>
                <w:rFonts w:ascii="Calibri" w:hAnsi="Calibri"/>
                <w:sz w:val="20"/>
                <w:szCs w:val="20"/>
              </w:rPr>
            </w:pPr>
            <w:r>
              <w:rPr>
                <w:rFonts w:ascii="Calibri" w:hAnsi="Calibri"/>
                <w:sz w:val="20"/>
                <w:szCs w:val="20"/>
              </w:rPr>
              <w:t>4,244,071.41</w:t>
            </w:r>
          </w:p>
        </w:tc>
      </w:tr>
      <w:tr w14:paraId="313737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4382" w:type="dxa"/>
            <w:tcBorders>
              <w:top w:val="single" w:color="auto" w:sz="4" w:space="0"/>
              <w:left w:val="single" w:color="auto" w:sz="4" w:space="0"/>
              <w:bottom w:val="single" w:color="auto" w:sz="4" w:space="0"/>
              <w:right w:val="single" w:color="auto" w:sz="4" w:space="0"/>
            </w:tcBorders>
            <w:vAlign w:val="center"/>
          </w:tcPr>
          <w:p w14:paraId="07D14CCD">
            <w:pPr>
              <w:spacing w:line="276" w:lineRule="auto"/>
              <w:ind w:right="6"/>
              <w:rPr>
                <w:rFonts w:ascii="Calibri" w:hAnsi="Calibri"/>
                <w:sz w:val="20"/>
                <w:szCs w:val="20"/>
              </w:rPr>
            </w:pPr>
            <w:r>
              <w:rPr>
                <w:rFonts w:hint="eastAsia" w:ascii="Calibri" w:hAnsi="Calibri"/>
                <w:sz w:val="20"/>
                <w:szCs w:val="20"/>
              </w:rPr>
              <w:t>调整以前期间所得税的影响</w:t>
            </w:r>
          </w:p>
        </w:tc>
        <w:tc>
          <w:tcPr>
            <w:tcW w:w="4676" w:type="dxa"/>
            <w:tcBorders>
              <w:top w:val="single" w:color="auto" w:sz="6" w:space="0"/>
              <w:left w:val="single" w:color="auto" w:sz="4" w:space="0"/>
              <w:bottom w:val="single" w:color="auto" w:sz="6" w:space="0"/>
              <w:right w:val="single" w:color="auto" w:sz="6" w:space="0"/>
            </w:tcBorders>
            <w:vAlign w:val="center"/>
          </w:tcPr>
          <w:p w14:paraId="7BE85F4A">
            <w:pPr>
              <w:spacing w:line="276" w:lineRule="auto"/>
              <w:jc w:val="right"/>
              <w:rPr>
                <w:rFonts w:ascii="Calibri" w:hAnsi="Calibri"/>
                <w:sz w:val="20"/>
                <w:szCs w:val="20"/>
              </w:rPr>
            </w:pPr>
            <w:r>
              <w:rPr>
                <w:rFonts w:ascii="Calibri" w:hAnsi="Calibri"/>
                <w:sz w:val="20"/>
                <w:szCs w:val="20"/>
              </w:rPr>
              <w:t>4,132,888.61</w:t>
            </w:r>
          </w:p>
        </w:tc>
      </w:tr>
      <w:tr w14:paraId="4847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4382" w:type="dxa"/>
            <w:tcBorders>
              <w:top w:val="single" w:color="auto" w:sz="4" w:space="0"/>
              <w:left w:val="single" w:color="auto" w:sz="4" w:space="0"/>
              <w:bottom w:val="single" w:color="auto" w:sz="4" w:space="0"/>
              <w:right w:val="single" w:color="auto" w:sz="4" w:space="0"/>
            </w:tcBorders>
            <w:vAlign w:val="center"/>
          </w:tcPr>
          <w:p w14:paraId="2971527E">
            <w:pPr>
              <w:spacing w:line="276" w:lineRule="auto"/>
              <w:ind w:right="6"/>
              <w:rPr>
                <w:rFonts w:ascii="Calibri" w:hAnsi="Calibri"/>
                <w:sz w:val="20"/>
                <w:szCs w:val="20"/>
              </w:rPr>
            </w:pPr>
            <w:r>
              <w:rPr>
                <w:rFonts w:hint="eastAsia" w:ascii="Calibri" w:hAnsi="Calibri"/>
                <w:sz w:val="20"/>
                <w:szCs w:val="20"/>
              </w:rPr>
              <w:t>非应税收入的影响</w:t>
            </w:r>
          </w:p>
        </w:tc>
        <w:tc>
          <w:tcPr>
            <w:tcW w:w="4676" w:type="dxa"/>
            <w:tcBorders>
              <w:top w:val="single" w:color="auto" w:sz="6" w:space="0"/>
              <w:left w:val="single" w:color="auto" w:sz="4" w:space="0"/>
              <w:bottom w:val="single" w:color="auto" w:sz="6" w:space="0"/>
              <w:right w:val="single" w:color="auto" w:sz="6" w:space="0"/>
            </w:tcBorders>
            <w:vAlign w:val="center"/>
          </w:tcPr>
          <w:p w14:paraId="68A1EA9F">
            <w:pPr>
              <w:spacing w:line="276" w:lineRule="auto"/>
              <w:jc w:val="right"/>
              <w:rPr>
                <w:rFonts w:ascii="Calibri" w:hAnsi="Calibri"/>
                <w:sz w:val="20"/>
                <w:szCs w:val="20"/>
              </w:rPr>
            </w:pPr>
            <w:r>
              <w:rPr>
                <w:rFonts w:ascii="Calibri" w:hAnsi="Calibri"/>
                <w:sz w:val="20"/>
                <w:szCs w:val="20"/>
              </w:rPr>
              <w:t>-11,903,734.75</w:t>
            </w:r>
          </w:p>
        </w:tc>
      </w:tr>
      <w:tr w14:paraId="5862D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4382" w:type="dxa"/>
            <w:tcBorders>
              <w:top w:val="single" w:color="auto" w:sz="4" w:space="0"/>
              <w:left w:val="single" w:color="auto" w:sz="4" w:space="0"/>
              <w:bottom w:val="single" w:color="auto" w:sz="4" w:space="0"/>
              <w:right w:val="single" w:color="auto" w:sz="4" w:space="0"/>
            </w:tcBorders>
            <w:vAlign w:val="center"/>
          </w:tcPr>
          <w:p w14:paraId="10F1F5AA">
            <w:pPr>
              <w:spacing w:line="276" w:lineRule="auto"/>
              <w:ind w:right="6"/>
              <w:rPr>
                <w:rFonts w:ascii="Calibri" w:hAnsi="Calibri"/>
                <w:sz w:val="20"/>
                <w:szCs w:val="20"/>
              </w:rPr>
            </w:pPr>
            <w:r>
              <w:rPr>
                <w:rFonts w:hint="eastAsia" w:ascii="Calibri" w:hAnsi="Calibri"/>
                <w:sz w:val="20"/>
                <w:szCs w:val="20"/>
              </w:rPr>
              <w:t>不可抵扣的成本、费用和损失的影响</w:t>
            </w:r>
          </w:p>
        </w:tc>
        <w:tc>
          <w:tcPr>
            <w:tcW w:w="4676" w:type="dxa"/>
            <w:tcBorders>
              <w:top w:val="single" w:color="auto" w:sz="6" w:space="0"/>
              <w:left w:val="single" w:color="auto" w:sz="4" w:space="0"/>
              <w:bottom w:val="single" w:color="auto" w:sz="6" w:space="0"/>
              <w:right w:val="single" w:color="auto" w:sz="6" w:space="0"/>
            </w:tcBorders>
            <w:vAlign w:val="center"/>
          </w:tcPr>
          <w:p w14:paraId="785EDCF2">
            <w:pPr>
              <w:spacing w:line="276" w:lineRule="auto"/>
              <w:jc w:val="right"/>
              <w:rPr>
                <w:rFonts w:ascii="Calibri" w:hAnsi="Calibri"/>
                <w:sz w:val="20"/>
                <w:szCs w:val="20"/>
              </w:rPr>
            </w:pPr>
            <w:r>
              <w:rPr>
                <w:rFonts w:ascii="Calibri" w:hAnsi="Calibri"/>
                <w:sz w:val="20"/>
                <w:szCs w:val="20"/>
              </w:rPr>
              <w:t>62,478,203.55</w:t>
            </w:r>
          </w:p>
        </w:tc>
      </w:tr>
      <w:tr w14:paraId="4EFB8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4382" w:type="dxa"/>
            <w:tcBorders>
              <w:top w:val="single" w:color="auto" w:sz="4" w:space="0"/>
              <w:left w:val="single" w:color="auto" w:sz="4" w:space="0"/>
              <w:bottom w:val="single" w:color="auto" w:sz="4" w:space="0"/>
              <w:right w:val="single" w:color="auto" w:sz="4" w:space="0"/>
            </w:tcBorders>
            <w:vAlign w:val="center"/>
          </w:tcPr>
          <w:p w14:paraId="698BDDE4">
            <w:pPr>
              <w:spacing w:line="276" w:lineRule="auto"/>
              <w:ind w:right="6"/>
              <w:rPr>
                <w:rFonts w:ascii="Calibri" w:hAnsi="Calibri"/>
                <w:sz w:val="20"/>
                <w:szCs w:val="20"/>
              </w:rPr>
            </w:pPr>
            <w:r>
              <w:rPr>
                <w:rFonts w:hint="eastAsia" w:ascii="Calibri" w:hAnsi="Calibri"/>
                <w:sz w:val="20"/>
                <w:szCs w:val="20"/>
              </w:rPr>
              <w:t>使用前期未确认递延所得税资产的可抵扣亏损的影响</w:t>
            </w:r>
          </w:p>
        </w:tc>
        <w:tc>
          <w:tcPr>
            <w:tcW w:w="4676" w:type="dxa"/>
            <w:tcBorders>
              <w:top w:val="single" w:color="auto" w:sz="6" w:space="0"/>
              <w:left w:val="single" w:color="auto" w:sz="4" w:space="0"/>
              <w:bottom w:val="single" w:color="auto" w:sz="6" w:space="0"/>
              <w:right w:val="single" w:color="auto" w:sz="6" w:space="0"/>
            </w:tcBorders>
            <w:vAlign w:val="center"/>
          </w:tcPr>
          <w:p w14:paraId="6747F7D9">
            <w:pPr>
              <w:spacing w:line="276" w:lineRule="auto"/>
              <w:jc w:val="right"/>
              <w:rPr>
                <w:rFonts w:ascii="Calibri" w:hAnsi="Calibri"/>
                <w:sz w:val="20"/>
                <w:szCs w:val="20"/>
              </w:rPr>
            </w:pPr>
            <w:r>
              <w:rPr>
                <w:rFonts w:ascii="Calibri" w:hAnsi="Calibri"/>
                <w:sz w:val="20"/>
                <w:szCs w:val="20"/>
              </w:rPr>
              <w:t>-14,943,436.48</w:t>
            </w:r>
          </w:p>
        </w:tc>
      </w:tr>
      <w:tr w14:paraId="21B83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4382" w:type="dxa"/>
            <w:tcBorders>
              <w:top w:val="single" w:color="auto" w:sz="4" w:space="0"/>
              <w:left w:val="single" w:color="auto" w:sz="4" w:space="0"/>
              <w:bottom w:val="single" w:color="auto" w:sz="4" w:space="0"/>
              <w:right w:val="single" w:color="auto" w:sz="4" w:space="0"/>
            </w:tcBorders>
            <w:vAlign w:val="center"/>
          </w:tcPr>
          <w:p w14:paraId="7BA6C98D">
            <w:pPr>
              <w:spacing w:line="276" w:lineRule="auto"/>
              <w:ind w:right="6"/>
              <w:rPr>
                <w:rFonts w:ascii="Calibri" w:hAnsi="Calibri"/>
                <w:sz w:val="20"/>
                <w:szCs w:val="20"/>
              </w:rPr>
            </w:pPr>
            <w:r>
              <w:rPr>
                <w:rFonts w:hint="eastAsia" w:ascii="Calibri" w:hAnsi="Calibri"/>
                <w:sz w:val="20"/>
                <w:szCs w:val="20"/>
              </w:rPr>
              <w:t>本期未确认递延所得税资产的可抵扣暂时性差异或可抵扣亏损的影响</w:t>
            </w:r>
          </w:p>
        </w:tc>
        <w:tc>
          <w:tcPr>
            <w:tcW w:w="4676" w:type="dxa"/>
            <w:tcBorders>
              <w:top w:val="single" w:color="auto" w:sz="6" w:space="0"/>
              <w:left w:val="single" w:color="auto" w:sz="4" w:space="0"/>
              <w:bottom w:val="single" w:color="auto" w:sz="6" w:space="0"/>
              <w:right w:val="single" w:color="auto" w:sz="6" w:space="0"/>
            </w:tcBorders>
            <w:vAlign w:val="center"/>
          </w:tcPr>
          <w:p w14:paraId="34D04DB4">
            <w:pPr>
              <w:spacing w:line="276" w:lineRule="auto"/>
              <w:jc w:val="right"/>
              <w:rPr>
                <w:rFonts w:ascii="Calibri" w:hAnsi="Calibri"/>
                <w:sz w:val="20"/>
                <w:szCs w:val="20"/>
              </w:rPr>
            </w:pPr>
            <w:r>
              <w:rPr>
                <w:rFonts w:ascii="Calibri" w:hAnsi="Calibri"/>
                <w:sz w:val="20"/>
                <w:szCs w:val="20"/>
              </w:rPr>
              <w:t>55,166,756.35</w:t>
            </w:r>
          </w:p>
        </w:tc>
      </w:tr>
      <w:tr w14:paraId="62B72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4382" w:type="dxa"/>
            <w:tcBorders>
              <w:top w:val="single" w:color="auto" w:sz="4" w:space="0"/>
              <w:left w:val="single" w:color="auto" w:sz="6" w:space="0"/>
              <w:bottom w:val="single" w:color="auto" w:sz="6" w:space="0"/>
              <w:right w:val="single" w:color="auto" w:sz="6" w:space="0"/>
            </w:tcBorders>
            <w:vAlign w:val="center"/>
          </w:tcPr>
          <w:p w14:paraId="362F0F69">
            <w:pPr>
              <w:pStyle w:val="48"/>
              <w:spacing w:line="276" w:lineRule="auto"/>
              <w:rPr>
                <w:sz w:val="20"/>
                <w:szCs w:val="20"/>
              </w:rPr>
            </w:pPr>
            <w:r>
              <w:rPr>
                <w:sz w:val="20"/>
                <w:szCs w:val="20"/>
              </w:rPr>
              <w:t>税法规定的额外可扣除费用的影响</w:t>
            </w:r>
          </w:p>
        </w:tc>
        <w:tc>
          <w:tcPr>
            <w:tcW w:w="4676" w:type="dxa"/>
            <w:tcBorders>
              <w:top w:val="single" w:color="auto" w:sz="6" w:space="0"/>
              <w:left w:val="single" w:color="auto" w:sz="6" w:space="0"/>
              <w:bottom w:val="single" w:color="auto" w:sz="6" w:space="0"/>
              <w:right w:val="single" w:color="auto" w:sz="6" w:space="0"/>
            </w:tcBorders>
            <w:vAlign w:val="center"/>
          </w:tcPr>
          <w:p w14:paraId="347B02EB">
            <w:pPr>
              <w:spacing w:line="276" w:lineRule="auto"/>
              <w:jc w:val="right"/>
              <w:rPr>
                <w:rFonts w:ascii="Calibri" w:hAnsi="Calibri"/>
                <w:sz w:val="20"/>
                <w:szCs w:val="20"/>
              </w:rPr>
            </w:pPr>
            <w:r>
              <w:rPr>
                <w:rFonts w:ascii="Calibri" w:hAnsi="Calibri"/>
                <w:sz w:val="20"/>
                <w:szCs w:val="20"/>
              </w:rPr>
              <w:t>-40,696,913.63</w:t>
            </w:r>
          </w:p>
        </w:tc>
      </w:tr>
      <w:tr w14:paraId="4C11F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4382" w:type="dxa"/>
            <w:tcBorders>
              <w:top w:val="single" w:color="auto" w:sz="4" w:space="0"/>
              <w:left w:val="single" w:color="auto" w:sz="6" w:space="0"/>
              <w:bottom w:val="single" w:color="auto" w:sz="6" w:space="0"/>
              <w:right w:val="single" w:color="auto" w:sz="6" w:space="0"/>
            </w:tcBorders>
            <w:vAlign w:val="center"/>
          </w:tcPr>
          <w:p w14:paraId="4ADFD200">
            <w:pPr>
              <w:pStyle w:val="48"/>
              <w:spacing w:line="276" w:lineRule="auto"/>
              <w:rPr>
                <w:sz w:val="20"/>
                <w:szCs w:val="20"/>
              </w:rPr>
            </w:pPr>
            <w:r>
              <w:rPr>
                <w:sz w:val="20"/>
                <w:szCs w:val="20"/>
              </w:rPr>
              <w:t>税率调整导致期初递延所得税资产/负债余额的变化</w:t>
            </w:r>
          </w:p>
        </w:tc>
        <w:tc>
          <w:tcPr>
            <w:tcW w:w="4676" w:type="dxa"/>
            <w:tcBorders>
              <w:top w:val="single" w:color="auto" w:sz="6" w:space="0"/>
              <w:left w:val="single" w:color="auto" w:sz="6" w:space="0"/>
              <w:bottom w:val="single" w:color="auto" w:sz="6" w:space="0"/>
              <w:right w:val="single" w:color="auto" w:sz="6" w:space="0"/>
            </w:tcBorders>
            <w:vAlign w:val="center"/>
          </w:tcPr>
          <w:p w14:paraId="2C01EF6C">
            <w:pPr>
              <w:spacing w:line="276" w:lineRule="auto"/>
              <w:jc w:val="right"/>
              <w:rPr>
                <w:rFonts w:ascii="Calibri" w:hAnsi="Calibri"/>
                <w:sz w:val="20"/>
                <w:szCs w:val="20"/>
              </w:rPr>
            </w:pPr>
            <w:r>
              <w:rPr>
                <w:rFonts w:ascii="Calibri" w:hAnsi="Calibri"/>
                <w:sz w:val="20"/>
                <w:szCs w:val="20"/>
              </w:rPr>
              <w:t>-10,950.52</w:t>
            </w:r>
          </w:p>
        </w:tc>
      </w:tr>
      <w:tr w14:paraId="50A9F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4382" w:type="dxa"/>
            <w:tcBorders>
              <w:top w:val="single" w:color="auto" w:sz="4" w:space="0"/>
              <w:left w:val="single" w:color="auto" w:sz="4" w:space="0"/>
              <w:bottom w:val="single" w:color="auto" w:sz="4" w:space="0"/>
              <w:right w:val="single" w:color="auto" w:sz="4" w:space="0"/>
            </w:tcBorders>
            <w:vAlign w:val="center"/>
          </w:tcPr>
          <w:p w14:paraId="5668FDE5">
            <w:pPr>
              <w:pStyle w:val="48"/>
              <w:spacing w:line="276" w:lineRule="auto"/>
              <w:rPr>
                <w:sz w:val="20"/>
                <w:szCs w:val="20"/>
              </w:rPr>
            </w:pPr>
            <w:r>
              <w:rPr>
                <w:rFonts w:hint="eastAsia"/>
                <w:sz w:val="20"/>
                <w:szCs w:val="20"/>
              </w:rPr>
              <w:t>所得税费用</w:t>
            </w:r>
          </w:p>
        </w:tc>
        <w:tc>
          <w:tcPr>
            <w:tcW w:w="4676" w:type="dxa"/>
            <w:tcBorders>
              <w:top w:val="single" w:color="auto" w:sz="6" w:space="0"/>
              <w:left w:val="single" w:color="auto" w:sz="4" w:space="0"/>
              <w:bottom w:val="single" w:color="auto" w:sz="6" w:space="0"/>
              <w:right w:val="single" w:color="auto" w:sz="6" w:space="0"/>
            </w:tcBorders>
            <w:vAlign w:val="center"/>
          </w:tcPr>
          <w:p w14:paraId="1E879AF8">
            <w:pPr>
              <w:spacing w:line="276" w:lineRule="auto"/>
              <w:jc w:val="right"/>
              <w:rPr>
                <w:rFonts w:ascii="Calibri" w:hAnsi="Calibri"/>
                <w:sz w:val="20"/>
                <w:szCs w:val="20"/>
              </w:rPr>
            </w:pPr>
            <w:r>
              <w:rPr>
                <w:rFonts w:ascii="Calibri" w:hAnsi="Calibri"/>
                <w:sz w:val="20"/>
                <w:szCs w:val="20"/>
              </w:rPr>
              <w:t>280,054,707.54</w:t>
            </w:r>
          </w:p>
        </w:tc>
      </w:tr>
    </w:tbl>
    <w:p w14:paraId="03BC597F"/>
    <w:p w14:paraId="3D276442">
      <w:pPr>
        <w:spacing w:before="60" w:after="60"/>
      </w:pPr>
      <w:r>
        <w:rPr>
          <w:rFonts w:hint="eastAsia"/>
        </w:rPr>
        <w:t>其他说明：</w:t>
      </w:r>
    </w:p>
    <w:sdt>
      <w:sdtPr>
        <w:alias w:val="是否适用：所得税费用的说明[双击切换]"/>
        <w:tag w:val="_GBC_6d867e6606c643469619e039bd83c158"/>
        <w:id w:val="2040701633"/>
        <w:placeholder>
          <w:docPart w:val="GBC22222222222222222222222222222"/>
        </w:placeholder>
      </w:sdtPr>
      <w:sdtContent>
        <w:p w14:paraId="3C361882">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D75DCD">
      <w:pPr>
        <w:rPr>
          <w:b/>
        </w:rPr>
      </w:pPr>
    </w:p>
    <w:p w14:paraId="44ED0FB9">
      <w:pPr>
        <w:pStyle w:val="4"/>
        <w:numPr>
          <w:ilvl w:val="0"/>
          <w:numId w:val="61"/>
        </w:numPr>
        <w:rPr>
          <w:szCs w:val="21"/>
        </w:rPr>
      </w:pPr>
      <w:r>
        <w:rPr>
          <w:szCs w:val="21"/>
        </w:rPr>
        <w:t>其他综合收益</w:t>
      </w:r>
    </w:p>
    <w:sdt>
      <w:sdtPr>
        <w:alias w:val="是否适用：其他综合收益说明[双击切换]"/>
        <w:tag w:val="_GBC_055e86e99cd742699e3e89a438a26b74"/>
        <w:id w:val="951514768"/>
        <w:placeholder>
          <w:docPart w:val="GBC22222222222222222222222222222"/>
        </w:placeholder>
      </w:sdtPr>
      <w:sdtContent>
        <w:p w14:paraId="23142C5E">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D033D71">
      <w:pPr>
        <w:pStyle w:val="48"/>
      </w:pPr>
      <w:sdt>
        <w:sdtPr>
          <w:rPr>
            <w:rFonts w:hint="eastAsia"/>
          </w:rPr>
          <w:alias w:val="其他综合收益详见附注"/>
          <w:tag w:val="_GBC_88f79522b3404a9cba25ea8b611e6680"/>
          <w:id w:val="1408734026"/>
          <w:placeholder>
            <w:docPart w:val="GBC22222222222222222222222222222"/>
          </w:placeholder>
        </w:sdtPr>
        <w:sdtEndPr>
          <w:rPr>
            <w:rFonts w:hint="eastAsia"/>
          </w:rPr>
        </w:sdtEndPr>
        <w:sdtContent>
          <w:r>
            <w:rPr>
              <w:rFonts w:hint="eastAsia"/>
            </w:rPr>
            <w:t>详见附注</w:t>
          </w:r>
        </w:sdtContent>
      </w:sdt>
      <w:r>
        <w:rPr>
          <w:rFonts w:hint="eastAsia"/>
        </w:rPr>
        <w:t xml:space="preserve">七、合并财务报表项目注释 </w:t>
      </w:r>
      <w:r>
        <w:t>57</w:t>
      </w:r>
      <w:r>
        <w:rPr>
          <w:rFonts w:hint="eastAsia"/>
        </w:rPr>
        <w:t>、其他综合收益。</w:t>
      </w:r>
    </w:p>
    <w:p w14:paraId="56B41693">
      <w:pPr>
        <w:pStyle w:val="48"/>
      </w:pPr>
    </w:p>
    <w:p w14:paraId="3931EBA1">
      <w:pPr>
        <w:pStyle w:val="4"/>
        <w:numPr>
          <w:ilvl w:val="0"/>
          <w:numId w:val="61"/>
        </w:numPr>
        <w:rPr>
          <w:szCs w:val="21"/>
        </w:rPr>
      </w:pPr>
      <w:r>
        <w:rPr>
          <w:szCs w:val="21"/>
        </w:rPr>
        <w:t>现金流量表项目</w:t>
      </w:r>
    </w:p>
    <w:p w14:paraId="1FEC93DF">
      <w:pPr>
        <w:pStyle w:val="5"/>
        <w:numPr>
          <w:ilvl w:val="0"/>
          <w:numId w:val="100"/>
        </w:numPr>
        <w:ind w:left="426" w:hanging="426"/>
      </w:pPr>
      <w:r>
        <w:rPr>
          <w:rFonts w:hint="eastAsia"/>
        </w:rPr>
        <w:t>与经营活动有关的现金</w:t>
      </w:r>
    </w:p>
    <w:p w14:paraId="54FDB738">
      <w:pPr>
        <w:pStyle w:val="48"/>
      </w:pPr>
      <w:r>
        <w:rPr>
          <w:rFonts w:hint="eastAsia"/>
        </w:rPr>
        <w:t>收到的其他与经营活动有关的现金</w:t>
      </w:r>
    </w:p>
    <w:sdt>
      <w:sdtPr>
        <w:alias w:val="是否适用：收到的其他与经营活动有关的现金[双击切换]"/>
        <w:tag w:val="_GBC_27345010807c4445aa9d99ce1518a33b"/>
        <w:id w:val="-577131312"/>
        <w:placeholder>
          <w:docPart w:val="GBC22222222222222222222222222222"/>
        </w:placeholder>
      </w:sdtPr>
      <w:sdtContent>
        <w:p w14:paraId="7764FE23">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49E1F0A">
      <w:pPr>
        <w:jc w:val="right"/>
      </w:pPr>
      <w:r>
        <w:rPr>
          <w:rFonts w:hint="eastAsia"/>
        </w:rPr>
        <w:t>单位：</w:t>
      </w:r>
      <w:sdt>
        <w:sdtPr>
          <w:rPr>
            <w:rFonts w:hint="eastAsia"/>
          </w:rPr>
          <w:alias w:val="单位：财务附注：收到的其他与经营活动有关的现金"/>
          <w:tag w:val="_GBC_dda6e50e7ee34f71977565af2472b533"/>
          <w:id w:val="4294001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收到的其他与经营活动有关的现金"/>
          <w:tag w:val="_GBC_8a91de0777534f02ab9e5a53784ea05b"/>
          <w:id w:val="4551376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409"/>
        <w:gridCol w:w="2830"/>
        <w:gridCol w:w="2819"/>
      </w:tblGrid>
      <w:tr w14:paraId="762E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f7a5d7090c5c4e2b95d9e6f0ea383580"/>
            <w:id w:val="-1966347190"/>
          </w:sdtPr>
          <w:sdtContent>
            <w:tc>
              <w:tcPr>
                <w:tcW w:w="3409" w:type="dxa"/>
                <w:vAlign w:val="center"/>
              </w:tcPr>
              <w:p w14:paraId="22655000">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项目</w:t>
                </w:r>
              </w:p>
            </w:tc>
          </w:sdtContent>
        </w:sdt>
        <w:sdt>
          <w:sdtPr>
            <w:tag w:val="_PLD_6a2d5fc680f64ea980912395fdf43d18"/>
            <w:id w:val="1148013580"/>
          </w:sdtPr>
          <w:sdtContent>
            <w:tc>
              <w:tcPr>
                <w:tcW w:w="2830" w:type="dxa"/>
                <w:vAlign w:val="center"/>
              </w:tcPr>
              <w:p w14:paraId="736875F6">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本期发生额</w:t>
                </w:r>
              </w:p>
            </w:tc>
          </w:sdtContent>
        </w:sdt>
        <w:sdt>
          <w:sdtPr>
            <w:tag w:val="_PLD_4c33d44ff7254e8994d6dacbfee10de3"/>
            <w:id w:val="-1346470243"/>
          </w:sdtPr>
          <w:sdtContent>
            <w:tc>
              <w:tcPr>
                <w:tcW w:w="2819" w:type="dxa"/>
                <w:vAlign w:val="center"/>
              </w:tcPr>
              <w:p w14:paraId="00E93D20">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上期发生额</w:t>
                </w:r>
              </w:p>
            </w:tc>
          </w:sdtContent>
        </w:sdt>
      </w:tr>
      <w:tr w14:paraId="1A63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619F2840">
            <w:pPr>
              <w:autoSpaceDE w:val="0"/>
              <w:autoSpaceDN w:val="0"/>
              <w:adjustRightInd w:val="0"/>
              <w:snapToGrid w:val="0"/>
              <w:spacing w:line="240" w:lineRule="atLeast"/>
              <w:rPr>
                <w:rFonts w:ascii="Calibri" w:hAnsi="Calibri"/>
                <w:sz w:val="20"/>
                <w:szCs w:val="20"/>
              </w:rPr>
            </w:pPr>
            <w:r>
              <w:rPr>
                <w:rFonts w:ascii="Calibri" w:hAnsi="Calibri"/>
                <w:sz w:val="20"/>
                <w:szCs w:val="20"/>
              </w:rPr>
              <w:t>政府补助及个税返还</w:t>
            </w:r>
          </w:p>
        </w:tc>
        <w:tc>
          <w:tcPr>
            <w:tcW w:w="2830" w:type="dxa"/>
            <w:vAlign w:val="center"/>
          </w:tcPr>
          <w:p w14:paraId="607FFC46">
            <w:pPr>
              <w:jc w:val="right"/>
              <w:rPr>
                <w:rFonts w:ascii="Calibri" w:hAnsi="Calibri"/>
                <w:sz w:val="20"/>
                <w:szCs w:val="20"/>
              </w:rPr>
            </w:pPr>
            <w:r>
              <w:rPr>
                <w:rFonts w:ascii="Calibri" w:hAnsi="Calibri"/>
                <w:sz w:val="20"/>
                <w:szCs w:val="20"/>
              </w:rPr>
              <w:t>11,384,012.46</w:t>
            </w:r>
          </w:p>
        </w:tc>
        <w:tc>
          <w:tcPr>
            <w:tcW w:w="2819" w:type="dxa"/>
            <w:vAlign w:val="center"/>
          </w:tcPr>
          <w:p w14:paraId="450DB58E">
            <w:pPr>
              <w:jc w:val="right"/>
              <w:rPr>
                <w:rFonts w:ascii="Calibri" w:hAnsi="Calibri"/>
                <w:sz w:val="20"/>
                <w:szCs w:val="20"/>
              </w:rPr>
            </w:pPr>
            <w:r>
              <w:rPr>
                <w:rFonts w:ascii="Calibri" w:hAnsi="Calibri"/>
                <w:sz w:val="20"/>
                <w:szCs w:val="20"/>
              </w:rPr>
              <w:t>4,754,074.07</w:t>
            </w:r>
          </w:p>
        </w:tc>
      </w:tr>
      <w:tr w14:paraId="7354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67714BA8">
            <w:pPr>
              <w:autoSpaceDE w:val="0"/>
              <w:autoSpaceDN w:val="0"/>
              <w:adjustRightInd w:val="0"/>
              <w:snapToGrid w:val="0"/>
              <w:spacing w:line="240" w:lineRule="atLeast"/>
              <w:rPr>
                <w:rFonts w:ascii="Calibri" w:hAnsi="Calibri"/>
                <w:sz w:val="20"/>
                <w:szCs w:val="20"/>
              </w:rPr>
            </w:pPr>
            <w:r>
              <w:rPr>
                <w:rFonts w:ascii="Calibri" w:hAnsi="Calibri"/>
                <w:sz w:val="20"/>
                <w:szCs w:val="20"/>
              </w:rPr>
              <w:t>收取的房屋租金</w:t>
            </w:r>
          </w:p>
        </w:tc>
        <w:tc>
          <w:tcPr>
            <w:tcW w:w="2830" w:type="dxa"/>
            <w:vAlign w:val="center"/>
          </w:tcPr>
          <w:p w14:paraId="07C0C38D">
            <w:pPr>
              <w:jc w:val="right"/>
              <w:rPr>
                <w:rFonts w:ascii="Calibri" w:hAnsi="Calibri"/>
                <w:sz w:val="20"/>
                <w:szCs w:val="20"/>
              </w:rPr>
            </w:pPr>
            <w:r>
              <w:rPr>
                <w:rFonts w:ascii="Calibri" w:hAnsi="Calibri"/>
                <w:sz w:val="20"/>
                <w:szCs w:val="20"/>
              </w:rPr>
              <w:t>25,119,183.31</w:t>
            </w:r>
          </w:p>
        </w:tc>
        <w:tc>
          <w:tcPr>
            <w:tcW w:w="2819" w:type="dxa"/>
            <w:vAlign w:val="center"/>
          </w:tcPr>
          <w:p w14:paraId="6FEDCB92">
            <w:pPr>
              <w:jc w:val="right"/>
              <w:rPr>
                <w:rFonts w:ascii="Calibri" w:hAnsi="Calibri"/>
                <w:sz w:val="20"/>
                <w:szCs w:val="20"/>
              </w:rPr>
            </w:pPr>
            <w:r>
              <w:rPr>
                <w:rFonts w:ascii="Calibri" w:hAnsi="Calibri"/>
                <w:sz w:val="20"/>
                <w:szCs w:val="20"/>
              </w:rPr>
              <w:t>24,273,242.68</w:t>
            </w:r>
          </w:p>
        </w:tc>
      </w:tr>
      <w:tr w14:paraId="4E71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35F6566A">
            <w:pPr>
              <w:autoSpaceDE w:val="0"/>
              <w:autoSpaceDN w:val="0"/>
              <w:adjustRightInd w:val="0"/>
              <w:snapToGrid w:val="0"/>
              <w:spacing w:line="240" w:lineRule="atLeast"/>
              <w:rPr>
                <w:rFonts w:ascii="Calibri" w:hAnsi="Calibri"/>
                <w:sz w:val="20"/>
                <w:szCs w:val="20"/>
              </w:rPr>
            </w:pPr>
            <w:r>
              <w:rPr>
                <w:rFonts w:ascii="Calibri" w:hAnsi="Calibri"/>
                <w:sz w:val="20"/>
                <w:szCs w:val="20"/>
              </w:rPr>
              <w:t>利息收入</w:t>
            </w:r>
          </w:p>
        </w:tc>
        <w:tc>
          <w:tcPr>
            <w:tcW w:w="2830" w:type="dxa"/>
            <w:vAlign w:val="center"/>
          </w:tcPr>
          <w:p w14:paraId="5068684E">
            <w:pPr>
              <w:jc w:val="right"/>
              <w:rPr>
                <w:rFonts w:ascii="Calibri" w:hAnsi="Calibri"/>
                <w:sz w:val="20"/>
                <w:szCs w:val="20"/>
              </w:rPr>
            </w:pPr>
            <w:r>
              <w:rPr>
                <w:rFonts w:ascii="Calibri" w:hAnsi="Calibri"/>
                <w:sz w:val="20"/>
                <w:szCs w:val="20"/>
              </w:rPr>
              <w:t>3,936,590.55</w:t>
            </w:r>
          </w:p>
        </w:tc>
        <w:tc>
          <w:tcPr>
            <w:tcW w:w="2819" w:type="dxa"/>
            <w:vAlign w:val="center"/>
          </w:tcPr>
          <w:p w14:paraId="4A0B2F40">
            <w:pPr>
              <w:jc w:val="right"/>
              <w:rPr>
                <w:rFonts w:ascii="Calibri" w:hAnsi="Calibri"/>
                <w:sz w:val="20"/>
                <w:szCs w:val="20"/>
              </w:rPr>
            </w:pPr>
            <w:r>
              <w:rPr>
                <w:rFonts w:ascii="Calibri" w:hAnsi="Calibri"/>
                <w:sz w:val="20"/>
                <w:szCs w:val="20"/>
              </w:rPr>
              <w:t>7,925,200.37</w:t>
            </w:r>
          </w:p>
        </w:tc>
      </w:tr>
      <w:tr w14:paraId="6BFE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2EFB8BEE">
            <w:pPr>
              <w:autoSpaceDE w:val="0"/>
              <w:autoSpaceDN w:val="0"/>
              <w:adjustRightInd w:val="0"/>
              <w:snapToGrid w:val="0"/>
              <w:spacing w:line="240" w:lineRule="atLeast"/>
              <w:rPr>
                <w:rFonts w:ascii="Calibri" w:hAnsi="Calibri"/>
                <w:sz w:val="20"/>
                <w:szCs w:val="20"/>
              </w:rPr>
            </w:pPr>
            <w:r>
              <w:rPr>
                <w:rFonts w:ascii="Calibri" w:hAnsi="Calibri"/>
                <w:sz w:val="20"/>
                <w:szCs w:val="20"/>
              </w:rPr>
              <w:t>往来款项及其他</w:t>
            </w:r>
          </w:p>
        </w:tc>
        <w:tc>
          <w:tcPr>
            <w:tcW w:w="2830" w:type="dxa"/>
            <w:vAlign w:val="center"/>
          </w:tcPr>
          <w:p w14:paraId="3F71E5E4">
            <w:pPr>
              <w:jc w:val="right"/>
              <w:rPr>
                <w:rFonts w:ascii="Calibri" w:hAnsi="Calibri"/>
                <w:sz w:val="20"/>
                <w:szCs w:val="20"/>
              </w:rPr>
            </w:pPr>
            <w:r>
              <w:rPr>
                <w:rFonts w:ascii="Calibri" w:hAnsi="Calibri"/>
                <w:sz w:val="20"/>
                <w:szCs w:val="20"/>
              </w:rPr>
              <w:t>35,056,478.31</w:t>
            </w:r>
          </w:p>
        </w:tc>
        <w:tc>
          <w:tcPr>
            <w:tcW w:w="2819" w:type="dxa"/>
            <w:vAlign w:val="center"/>
          </w:tcPr>
          <w:p w14:paraId="0365C2C6">
            <w:pPr>
              <w:jc w:val="right"/>
              <w:rPr>
                <w:rFonts w:ascii="Calibri" w:hAnsi="Calibri"/>
                <w:sz w:val="20"/>
                <w:szCs w:val="20"/>
              </w:rPr>
            </w:pPr>
            <w:r>
              <w:rPr>
                <w:rFonts w:ascii="Calibri" w:hAnsi="Calibri"/>
                <w:sz w:val="20"/>
                <w:szCs w:val="20"/>
              </w:rPr>
              <w:t>2,136,409.43</w:t>
            </w:r>
          </w:p>
        </w:tc>
      </w:tr>
      <w:tr w14:paraId="5764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66BEDF4D">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合计</w:t>
            </w:r>
          </w:p>
        </w:tc>
        <w:tc>
          <w:tcPr>
            <w:tcW w:w="2830" w:type="dxa"/>
            <w:vAlign w:val="center"/>
          </w:tcPr>
          <w:p w14:paraId="47AAACC7">
            <w:pPr>
              <w:jc w:val="right"/>
              <w:rPr>
                <w:rFonts w:ascii="Calibri" w:hAnsi="Calibri"/>
                <w:sz w:val="20"/>
                <w:szCs w:val="20"/>
              </w:rPr>
            </w:pPr>
            <w:r>
              <w:rPr>
                <w:rFonts w:ascii="Calibri" w:hAnsi="Calibri"/>
                <w:sz w:val="20"/>
                <w:szCs w:val="20"/>
              </w:rPr>
              <w:t>75,496,264.63</w:t>
            </w:r>
          </w:p>
        </w:tc>
        <w:tc>
          <w:tcPr>
            <w:tcW w:w="2819" w:type="dxa"/>
            <w:vAlign w:val="center"/>
          </w:tcPr>
          <w:p w14:paraId="35A3F36A">
            <w:pPr>
              <w:jc w:val="right"/>
              <w:rPr>
                <w:rFonts w:ascii="Calibri" w:hAnsi="Calibri"/>
                <w:sz w:val="20"/>
                <w:szCs w:val="20"/>
              </w:rPr>
            </w:pPr>
            <w:r>
              <w:rPr>
                <w:rFonts w:ascii="Calibri" w:hAnsi="Calibri"/>
                <w:sz w:val="20"/>
                <w:szCs w:val="20"/>
              </w:rPr>
              <w:t>39,088,926.55</w:t>
            </w:r>
          </w:p>
        </w:tc>
      </w:tr>
    </w:tbl>
    <w:p w14:paraId="533F9C3D"/>
    <w:p w14:paraId="40A8CA3E">
      <w:pPr>
        <w:pStyle w:val="48"/>
      </w:pPr>
    </w:p>
    <w:p w14:paraId="5A3A9D78">
      <w:pPr>
        <w:pStyle w:val="48"/>
      </w:pPr>
      <w:r>
        <w:rPr>
          <w:rFonts w:hint="eastAsia"/>
        </w:rPr>
        <w:t>支付的其他与经营活动有关的现金</w:t>
      </w:r>
    </w:p>
    <w:sdt>
      <w:sdtPr>
        <w:alias w:val="是否适用：支付的其他与经营活动有关的现金[双击切换]"/>
        <w:tag w:val="_GBC_f4dd9812849049808cd722f0acb16a7a"/>
        <w:id w:val="783850991"/>
        <w:placeholder>
          <w:docPart w:val="GBC22222222222222222222222222222"/>
        </w:placeholder>
      </w:sdtPr>
      <w:sdtContent>
        <w:p w14:paraId="1B8FF839">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26919F4">
      <w:pPr>
        <w:jc w:val="right"/>
      </w:pPr>
      <w:r>
        <w:rPr>
          <w:rFonts w:hint="eastAsia"/>
        </w:rPr>
        <w:t>单位：</w:t>
      </w:r>
      <w:sdt>
        <w:sdtPr>
          <w:rPr>
            <w:rFonts w:hint="eastAsia"/>
          </w:rPr>
          <w:alias w:val="单位：财务附注：支付的其他与经营活动有关的现金"/>
          <w:tag w:val="_GBC_43b6d286fa3345adb12f59f8ca6d94fd"/>
          <w:id w:val="9375678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支付的其他与经营活动有关的现金"/>
          <w:tag w:val="_GBC_1cb95a87f7e44f1f81d520deac5b4e18"/>
          <w:id w:val="262303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409"/>
        <w:gridCol w:w="2810"/>
        <w:gridCol w:w="2839"/>
      </w:tblGrid>
      <w:tr w14:paraId="1B9A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313336294a534de9a634e32311d5592e"/>
            <w:id w:val="365108733"/>
          </w:sdtPr>
          <w:sdtContent>
            <w:tc>
              <w:tcPr>
                <w:tcW w:w="3409" w:type="dxa"/>
                <w:vAlign w:val="center"/>
              </w:tcPr>
              <w:p w14:paraId="52A2FF56">
                <w:pPr>
                  <w:autoSpaceDE w:val="0"/>
                  <w:autoSpaceDN w:val="0"/>
                  <w:adjustRightInd w:val="0"/>
                  <w:snapToGrid w:val="0"/>
                  <w:jc w:val="center"/>
                  <w:rPr>
                    <w:rFonts w:ascii="Calibri" w:hAnsi="Calibri"/>
                    <w:sz w:val="20"/>
                    <w:szCs w:val="20"/>
                  </w:rPr>
                </w:pPr>
                <w:r>
                  <w:rPr>
                    <w:rFonts w:hint="eastAsia" w:ascii="Calibri" w:hAnsi="Calibri"/>
                    <w:sz w:val="20"/>
                    <w:szCs w:val="20"/>
                  </w:rPr>
                  <w:t>项目</w:t>
                </w:r>
              </w:p>
            </w:tc>
          </w:sdtContent>
        </w:sdt>
        <w:sdt>
          <w:sdtPr>
            <w:tag w:val="_PLD_254446e36934468da941d479360a4c79"/>
            <w:id w:val="-1078828152"/>
          </w:sdtPr>
          <w:sdtContent>
            <w:tc>
              <w:tcPr>
                <w:tcW w:w="2810" w:type="dxa"/>
                <w:vAlign w:val="center"/>
              </w:tcPr>
              <w:p w14:paraId="7AE40007">
                <w:pPr>
                  <w:autoSpaceDE w:val="0"/>
                  <w:autoSpaceDN w:val="0"/>
                  <w:adjustRightInd w:val="0"/>
                  <w:snapToGrid w:val="0"/>
                  <w:jc w:val="center"/>
                  <w:rPr>
                    <w:rFonts w:ascii="Calibri" w:hAnsi="Calibri"/>
                    <w:sz w:val="20"/>
                    <w:szCs w:val="20"/>
                  </w:rPr>
                </w:pPr>
                <w:r>
                  <w:rPr>
                    <w:rFonts w:hint="eastAsia" w:ascii="Calibri" w:hAnsi="Calibri"/>
                    <w:sz w:val="20"/>
                    <w:szCs w:val="20"/>
                  </w:rPr>
                  <w:t>本期发生额</w:t>
                </w:r>
              </w:p>
            </w:tc>
          </w:sdtContent>
        </w:sdt>
        <w:sdt>
          <w:sdtPr>
            <w:tag w:val="_PLD_7dc479c1c10240cc94f89ea3fc1d6136"/>
            <w:id w:val="-1561865377"/>
          </w:sdtPr>
          <w:sdtContent>
            <w:tc>
              <w:tcPr>
                <w:tcW w:w="2839" w:type="dxa"/>
                <w:vAlign w:val="center"/>
              </w:tcPr>
              <w:p w14:paraId="3551F24F">
                <w:pPr>
                  <w:autoSpaceDE w:val="0"/>
                  <w:autoSpaceDN w:val="0"/>
                  <w:adjustRightInd w:val="0"/>
                  <w:snapToGrid w:val="0"/>
                  <w:jc w:val="center"/>
                  <w:rPr>
                    <w:rFonts w:ascii="Calibri" w:hAnsi="Calibri"/>
                    <w:sz w:val="20"/>
                    <w:szCs w:val="20"/>
                  </w:rPr>
                </w:pPr>
                <w:r>
                  <w:rPr>
                    <w:rFonts w:hint="eastAsia" w:ascii="Calibri" w:hAnsi="Calibri"/>
                    <w:sz w:val="20"/>
                    <w:szCs w:val="20"/>
                  </w:rPr>
                  <w:t>上期发生额</w:t>
                </w:r>
              </w:p>
            </w:tc>
          </w:sdtContent>
        </w:sdt>
      </w:tr>
      <w:tr w14:paraId="22CC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5B38FA16">
            <w:pPr>
              <w:autoSpaceDE w:val="0"/>
              <w:autoSpaceDN w:val="0"/>
              <w:adjustRightInd w:val="0"/>
              <w:snapToGrid w:val="0"/>
              <w:rPr>
                <w:rFonts w:ascii="Calibri" w:hAnsi="Calibri"/>
                <w:sz w:val="20"/>
                <w:szCs w:val="20"/>
              </w:rPr>
            </w:pPr>
            <w:r>
              <w:rPr>
                <w:rFonts w:ascii="Calibri" w:hAnsi="Calibri"/>
                <w:sz w:val="20"/>
                <w:szCs w:val="20"/>
              </w:rPr>
              <w:t>各项销售费用</w:t>
            </w:r>
          </w:p>
        </w:tc>
        <w:tc>
          <w:tcPr>
            <w:tcW w:w="2810" w:type="dxa"/>
            <w:vAlign w:val="center"/>
          </w:tcPr>
          <w:p w14:paraId="74F067E8">
            <w:pPr>
              <w:jc w:val="right"/>
              <w:rPr>
                <w:rFonts w:ascii="Calibri" w:hAnsi="Calibri"/>
                <w:sz w:val="20"/>
                <w:szCs w:val="20"/>
              </w:rPr>
            </w:pPr>
            <w:r>
              <w:rPr>
                <w:rFonts w:ascii="Calibri" w:hAnsi="Calibri"/>
                <w:sz w:val="20"/>
                <w:szCs w:val="20"/>
              </w:rPr>
              <w:t>676,295,018.32</w:t>
            </w:r>
          </w:p>
        </w:tc>
        <w:tc>
          <w:tcPr>
            <w:tcW w:w="2839" w:type="dxa"/>
            <w:vAlign w:val="center"/>
          </w:tcPr>
          <w:p w14:paraId="1696DD6F">
            <w:pPr>
              <w:jc w:val="right"/>
              <w:rPr>
                <w:rFonts w:ascii="Calibri" w:hAnsi="Calibri"/>
                <w:sz w:val="20"/>
                <w:szCs w:val="20"/>
              </w:rPr>
            </w:pPr>
            <w:r>
              <w:rPr>
                <w:rFonts w:ascii="Calibri" w:hAnsi="Calibri"/>
                <w:sz w:val="20"/>
                <w:szCs w:val="20"/>
              </w:rPr>
              <w:t>719,987,595.67</w:t>
            </w:r>
          </w:p>
        </w:tc>
      </w:tr>
      <w:tr w14:paraId="218C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2231F404">
            <w:pPr>
              <w:autoSpaceDE w:val="0"/>
              <w:autoSpaceDN w:val="0"/>
              <w:adjustRightInd w:val="0"/>
              <w:snapToGrid w:val="0"/>
              <w:rPr>
                <w:rFonts w:ascii="Calibri" w:hAnsi="Calibri"/>
                <w:sz w:val="20"/>
                <w:szCs w:val="20"/>
              </w:rPr>
            </w:pPr>
            <w:r>
              <w:rPr>
                <w:rFonts w:ascii="Calibri" w:hAnsi="Calibri"/>
                <w:sz w:val="20"/>
                <w:szCs w:val="20"/>
              </w:rPr>
              <w:t>各项管理费用</w:t>
            </w:r>
          </w:p>
        </w:tc>
        <w:tc>
          <w:tcPr>
            <w:tcW w:w="2810" w:type="dxa"/>
            <w:vAlign w:val="center"/>
          </w:tcPr>
          <w:p w14:paraId="0F08F080">
            <w:pPr>
              <w:jc w:val="right"/>
              <w:rPr>
                <w:rFonts w:ascii="Calibri" w:hAnsi="Calibri"/>
                <w:sz w:val="20"/>
                <w:szCs w:val="20"/>
              </w:rPr>
            </w:pPr>
            <w:r>
              <w:rPr>
                <w:rFonts w:ascii="Calibri" w:hAnsi="Calibri"/>
                <w:sz w:val="20"/>
                <w:szCs w:val="20"/>
              </w:rPr>
              <w:t>57,383,436.35</w:t>
            </w:r>
          </w:p>
        </w:tc>
        <w:tc>
          <w:tcPr>
            <w:tcW w:w="2839" w:type="dxa"/>
            <w:vAlign w:val="center"/>
          </w:tcPr>
          <w:p w14:paraId="4F71BE55">
            <w:pPr>
              <w:jc w:val="right"/>
              <w:rPr>
                <w:rFonts w:ascii="Calibri" w:hAnsi="Calibri"/>
                <w:sz w:val="20"/>
                <w:szCs w:val="20"/>
              </w:rPr>
            </w:pPr>
            <w:r>
              <w:rPr>
                <w:rFonts w:ascii="Calibri" w:hAnsi="Calibri"/>
                <w:sz w:val="20"/>
                <w:szCs w:val="20"/>
              </w:rPr>
              <w:t>43,757,376.84</w:t>
            </w:r>
          </w:p>
        </w:tc>
      </w:tr>
      <w:tr w14:paraId="2E66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53CAC634">
            <w:pPr>
              <w:autoSpaceDE w:val="0"/>
              <w:autoSpaceDN w:val="0"/>
              <w:adjustRightInd w:val="0"/>
              <w:snapToGrid w:val="0"/>
              <w:rPr>
                <w:rFonts w:ascii="Calibri" w:hAnsi="Calibri"/>
                <w:sz w:val="20"/>
                <w:szCs w:val="20"/>
              </w:rPr>
            </w:pPr>
            <w:r>
              <w:rPr>
                <w:rFonts w:ascii="Calibri" w:hAnsi="Calibri"/>
                <w:sz w:val="20"/>
                <w:szCs w:val="20"/>
              </w:rPr>
              <w:t>各项研发费用</w:t>
            </w:r>
          </w:p>
        </w:tc>
        <w:tc>
          <w:tcPr>
            <w:tcW w:w="2810" w:type="dxa"/>
            <w:vAlign w:val="center"/>
          </w:tcPr>
          <w:p w14:paraId="3D9EEFA3">
            <w:pPr>
              <w:jc w:val="right"/>
              <w:rPr>
                <w:rFonts w:ascii="Calibri" w:hAnsi="Calibri"/>
                <w:sz w:val="20"/>
                <w:szCs w:val="20"/>
              </w:rPr>
            </w:pPr>
            <w:r>
              <w:rPr>
                <w:rFonts w:ascii="Calibri" w:hAnsi="Calibri"/>
                <w:sz w:val="20"/>
                <w:szCs w:val="20"/>
              </w:rPr>
              <w:t>31,217,956.60</w:t>
            </w:r>
          </w:p>
        </w:tc>
        <w:tc>
          <w:tcPr>
            <w:tcW w:w="2839" w:type="dxa"/>
            <w:vAlign w:val="center"/>
          </w:tcPr>
          <w:p w14:paraId="0949FE5C">
            <w:pPr>
              <w:jc w:val="right"/>
              <w:rPr>
                <w:rFonts w:ascii="Calibri" w:hAnsi="Calibri"/>
                <w:sz w:val="20"/>
                <w:szCs w:val="20"/>
              </w:rPr>
            </w:pPr>
            <w:r>
              <w:rPr>
                <w:rFonts w:ascii="Calibri" w:hAnsi="Calibri"/>
                <w:sz w:val="20"/>
                <w:szCs w:val="20"/>
              </w:rPr>
              <w:t>5,901,409.35</w:t>
            </w:r>
          </w:p>
        </w:tc>
      </w:tr>
      <w:tr w14:paraId="634A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410FCD0F">
            <w:pPr>
              <w:autoSpaceDE w:val="0"/>
              <w:autoSpaceDN w:val="0"/>
              <w:adjustRightInd w:val="0"/>
              <w:snapToGrid w:val="0"/>
              <w:rPr>
                <w:rFonts w:ascii="Calibri" w:hAnsi="Calibri"/>
                <w:sz w:val="20"/>
                <w:szCs w:val="20"/>
              </w:rPr>
            </w:pPr>
            <w:r>
              <w:rPr>
                <w:rFonts w:ascii="Calibri" w:hAnsi="Calibri"/>
                <w:sz w:val="20"/>
                <w:szCs w:val="20"/>
              </w:rPr>
              <w:t>支付往来款项及其他</w:t>
            </w:r>
          </w:p>
        </w:tc>
        <w:tc>
          <w:tcPr>
            <w:tcW w:w="2810" w:type="dxa"/>
            <w:vAlign w:val="center"/>
          </w:tcPr>
          <w:p w14:paraId="28478810">
            <w:pPr>
              <w:jc w:val="right"/>
              <w:rPr>
                <w:rFonts w:ascii="Calibri" w:hAnsi="Calibri"/>
                <w:sz w:val="20"/>
                <w:szCs w:val="20"/>
              </w:rPr>
            </w:pPr>
            <w:r>
              <w:rPr>
                <w:rFonts w:ascii="Calibri" w:hAnsi="Calibri"/>
                <w:sz w:val="20"/>
                <w:szCs w:val="20"/>
              </w:rPr>
              <w:t>99,996,771.55</w:t>
            </w:r>
          </w:p>
        </w:tc>
        <w:tc>
          <w:tcPr>
            <w:tcW w:w="2839" w:type="dxa"/>
            <w:vAlign w:val="center"/>
          </w:tcPr>
          <w:p w14:paraId="20C40F07">
            <w:pPr>
              <w:jc w:val="right"/>
              <w:rPr>
                <w:rFonts w:ascii="Calibri" w:hAnsi="Calibri"/>
                <w:sz w:val="20"/>
                <w:szCs w:val="20"/>
              </w:rPr>
            </w:pPr>
            <w:r>
              <w:rPr>
                <w:rFonts w:ascii="Calibri" w:hAnsi="Calibri"/>
                <w:sz w:val="20"/>
                <w:szCs w:val="20"/>
              </w:rPr>
              <w:t>3,354,671.50</w:t>
            </w:r>
          </w:p>
        </w:tc>
      </w:tr>
      <w:tr w14:paraId="7ACB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78AC6FD2">
            <w:pPr>
              <w:autoSpaceDE w:val="0"/>
              <w:autoSpaceDN w:val="0"/>
              <w:adjustRightInd w:val="0"/>
              <w:snapToGrid w:val="0"/>
              <w:jc w:val="center"/>
              <w:rPr>
                <w:rFonts w:ascii="Calibri" w:hAnsi="Calibri"/>
                <w:sz w:val="20"/>
                <w:szCs w:val="20"/>
              </w:rPr>
            </w:pPr>
            <w:r>
              <w:rPr>
                <w:rFonts w:hint="eastAsia" w:ascii="Calibri" w:hAnsi="Calibri"/>
                <w:sz w:val="20"/>
                <w:szCs w:val="20"/>
              </w:rPr>
              <w:t>合计</w:t>
            </w:r>
          </w:p>
        </w:tc>
        <w:tc>
          <w:tcPr>
            <w:tcW w:w="2810" w:type="dxa"/>
            <w:vAlign w:val="center"/>
          </w:tcPr>
          <w:p w14:paraId="49164A6D">
            <w:pPr>
              <w:jc w:val="right"/>
              <w:rPr>
                <w:rFonts w:ascii="Calibri" w:hAnsi="Calibri"/>
                <w:sz w:val="20"/>
                <w:szCs w:val="20"/>
              </w:rPr>
            </w:pPr>
            <w:r>
              <w:rPr>
                <w:rFonts w:ascii="Calibri" w:hAnsi="Calibri"/>
                <w:sz w:val="20"/>
                <w:szCs w:val="20"/>
              </w:rPr>
              <w:t>864,893,182.82</w:t>
            </w:r>
          </w:p>
        </w:tc>
        <w:tc>
          <w:tcPr>
            <w:tcW w:w="2839" w:type="dxa"/>
            <w:vAlign w:val="center"/>
          </w:tcPr>
          <w:p w14:paraId="0985FFF1">
            <w:pPr>
              <w:jc w:val="right"/>
              <w:rPr>
                <w:rFonts w:ascii="Calibri" w:hAnsi="Calibri"/>
                <w:sz w:val="20"/>
                <w:szCs w:val="20"/>
              </w:rPr>
            </w:pPr>
            <w:r>
              <w:rPr>
                <w:rFonts w:ascii="Calibri" w:hAnsi="Calibri"/>
                <w:sz w:val="20"/>
                <w:szCs w:val="20"/>
              </w:rPr>
              <w:t>773,001,053.36</w:t>
            </w:r>
          </w:p>
        </w:tc>
      </w:tr>
    </w:tbl>
    <w:p w14:paraId="18A585A8"/>
    <w:p w14:paraId="609FDEE9">
      <w:pPr>
        <w:ind w:right="5"/>
      </w:pPr>
    </w:p>
    <w:p w14:paraId="1570A56C">
      <w:pPr>
        <w:pStyle w:val="5"/>
        <w:numPr>
          <w:ilvl w:val="0"/>
          <w:numId w:val="100"/>
        </w:numPr>
        <w:ind w:left="426" w:hanging="426"/>
      </w:pPr>
      <w:r>
        <w:rPr>
          <w:rFonts w:hint="eastAsia"/>
        </w:rPr>
        <w:t>与投资活动有关的现金</w:t>
      </w:r>
    </w:p>
    <w:p w14:paraId="4AAC99FF">
      <w:pPr>
        <w:pStyle w:val="48"/>
      </w:pPr>
      <w:r>
        <w:rPr>
          <w:rFonts w:hint="eastAsia"/>
        </w:rPr>
        <w:t>收到的重要的投资活动有关的现金</w:t>
      </w:r>
    </w:p>
    <w:sdt>
      <w:sdtPr>
        <w:alias w:val="是否适用：收到的重要的投资活动有关的现金[双击切换]"/>
        <w:tag w:val="_GBC_9196f5edd13f48c58cf11429e2524db4"/>
        <w:id w:val="2060428206"/>
        <w:placeholder>
          <w:docPart w:val="GBC22222222222222222222222222222"/>
        </w:placeholder>
      </w:sdtPr>
      <w:sdtContent>
        <w:p w14:paraId="7571A59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507424F">
      <w:pPr>
        <w:jc w:val="right"/>
      </w:pPr>
      <w:r>
        <w:rPr>
          <w:rFonts w:hint="eastAsia"/>
        </w:rPr>
        <w:t xml:space="preserve">  单位：</w:t>
      </w:r>
      <w:sdt>
        <w:sdtPr>
          <w:rPr>
            <w:rFonts w:hint="eastAsia"/>
          </w:rPr>
          <w:alias w:val="单位：收到的重要的投资活动有关的现金"/>
          <w:tag w:val="_GBC_30082088374344d4809bf9f5b59559f9"/>
          <w:id w:val="-157002518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收到的重要的投资活动有关的现金"/>
          <w:tag w:val="_GBC_aad9cf5ff1554131b4e4b043d133db0c"/>
          <w:id w:val="-9673494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409"/>
        <w:gridCol w:w="2830"/>
        <w:gridCol w:w="2819"/>
      </w:tblGrid>
      <w:tr w14:paraId="35AD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86537d51cc694654b45c76bb3b965b60"/>
            <w:id w:val="-1083380928"/>
          </w:sdtPr>
          <w:sdtContent>
            <w:tc>
              <w:tcPr>
                <w:tcW w:w="3409" w:type="dxa"/>
                <w:vAlign w:val="center"/>
              </w:tcPr>
              <w:p w14:paraId="58E54888">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项目</w:t>
                </w:r>
              </w:p>
            </w:tc>
          </w:sdtContent>
        </w:sdt>
        <w:sdt>
          <w:sdtPr>
            <w:tag w:val="_PLD_8df780a4dd194dc4b58890fceac9b4d7"/>
            <w:id w:val="1776287770"/>
          </w:sdtPr>
          <w:sdtContent>
            <w:tc>
              <w:tcPr>
                <w:tcW w:w="2830" w:type="dxa"/>
                <w:vAlign w:val="center"/>
              </w:tcPr>
              <w:p w14:paraId="35762A27">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本期发生额</w:t>
                </w:r>
              </w:p>
            </w:tc>
          </w:sdtContent>
        </w:sdt>
        <w:sdt>
          <w:sdtPr>
            <w:tag w:val="_PLD_e3e736b7d56b47b9a0860a6d7e262f11"/>
            <w:id w:val="570156245"/>
          </w:sdtPr>
          <w:sdtContent>
            <w:tc>
              <w:tcPr>
                <w:tcW w:w="2819" w:type="dxa"/>
                <w:vAlign w:val="center"/>
              </w:tcPr>
              <w:p w14:paraId="3F976CE5">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上期发生额</w:t>
                </w:r>
              </w:p>
            </w:tc>
          </w:sdtContent>
        </w:sdt>
      </w:tr>
      <w:tr w14:paraId="302D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5C513386">
            <w:pPr>
              <w:autoSpaceDE w:val="0"/>
              <w:autoSpaceDN w:val="0"/>
              <w:adjustRightInd w:val="0"/>
              <w:snapToGrid w:val="0"/>
              <w:spacing w:line="240" w:lineRule="atLeast"/>
              <w:rPr>
                <w:rFonts w:ascii="Calibri" w:hAnsi="Calibri"/>
                <w:sz w:val="20"/>
                <w:szCs w:val="20"/>
              </w:rPr>
            </w:pPr>
            <w:r>
              <w:rPr>
                <w:rFonts w:ascii="Calibri" w:hAnsi="Calibri"/>
                <w:sz w:val="20"/>
                <w:szCs w:val="20"/>
              </w:rPr>
              <w:t>收回以自有资金购买理财产品投资</w:t>
            </w:r>
          </w:p>
        </w:tc>
        <w:tc>
          <w:tcPr>
            <w:tcW w:w="2830" w:type="dxa"/>
            <w:vAlign w:val="center"/>
          </w:tcPr>
          <w:p w14:paraId="70F3C7C5">
            <w:pPr>
              <w:jc w:val="right"/>
              <w:rPr>
                <w:rFonts w:ascii="Calibri" w:hAnsi="Calibri"/>
                <w:sz w:val="20"/>
                <w:szCs w:val="20"/>
              </w:rPr>
            </w:pPr>
            <w:r>
              <w:rPr>
                <w:rFonts w:ascii="Calibri" w:hAnsi="Calibri"/>
                <w:sz w:val="20"/>
                <w:szCs w:val="20"/>
              </w:rPr>
              <w:t>100,000,000.00</w:t>
            </w:r>
          </w:p>
        </w:tc>
        <w:tc>
          <w:tcPr>
            <w:tcW w:w="2819" w:type="dxa"/>
            <w:vAlign w:val="center"/>
          </w:tcPr>
          <w:p w14:paraId="072435A0">
            <w:pPr>
              <w:jc w:val="right"/>
              <w:rPr>
                <w:rFonts w:ascii="Calibri" w:hAnsi="Calibri"/>
                <w:sz w:val="20"/>
                <w:szCs w:val="20"/>
              </w:rPr>
            </w:pPr>
            <w:r>
              <w:rPr>
                <w:rFonts w:ascii="Calibri" w:hAnsi="Calibri"/>
                <w:sz w:val="20"/>
                <w:szCs w:val="20"/>
              </w:rPr>
              <w:t>130,000,000.00</w:t>
            </w:r>
          </w:p>
        </w:tc>
      </w:tr>
      <w:tr w14:paraId="220F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6518C78C">
            <w:pPr>
              <w:autoSpaceDE w:val="0"/>
              <w:autoSpaceDN w:val="0"/>
              <w:adjustRightInd w:val="0"/>
              <w:snapToGrid w:val="0"/>
              <w:spacing w:line="240" w:lineRule="atLeast"/>
              <w:rPr>
                <w:rFonts w:ascii="Calibri" w:hAnsi="Calibri"/>
                <w:sz w:val="20"/>
                <w:szCs w:val="20"/>
              </w:rPr>
            </w:pPr>
            <w:r>
              <w:rPr>
                <w:rFonts w:ascii="Calibri" w:hAnsi="Calibri"/>
                <w:sz w:val="20"/>
                <w:szCs w:val="20"/>
              </w:rPr>
              <w:t>收回对联营企业投资股权转让款</w:t>
            </w:r>
          </w:p>
        </w:tc>
        <w:tc>
          <w:tcPr>
            <w:tcW w:w="2830" w:type="dxa"/>
            <w:vAlign w:val="center"/>
          </w:tcPr>
          <w:p w14:paraId="6F4E7B96">
            <w:pPr>
              <w:jc w:val="right"/>
              <w:rPr>
                <w:rFonts w:ascii="Calibri" w:hAnsi="Calibri"/>
                <w:sz w:val="20"/>
                <w:szCs w:val="20"/>
              </w:rPr>
            </w:pPr>
            <w:r>
              <w:rPr>
                <w:rFonts w:ascii="Calibri" w:hAnsi="Calibri"/>
                <w:sz w:val="20"/>
                <w:szCs w:val="20"/>
              </w:rPr>
              <w:t>1,301,288,112.00</w:t>
            </w:r>
          </w:p>
        </w:tc>
        <w:tc>
          <w:tcPr>
            <w:tcW w:w="2819" w:type="dxa"/>
            <w:vAlign w:val="center"/>
          </w:tcPr>
          <w:p w14:paraId="674E4C5D">
            <w:pPr>
              <w:jc w:val="right"/>
              <w:rPr>
                <w:rFonts w:ascii="Calibri" w:hAnsi="Calibri"/>
                <w:sz w:val="20"/>
                <w:szCs w:val="20"/>
              </w:rPr>
            </w:pPr>
          </w:p>
        </w:tc>
      </w:tr>
      <w:tr w14:paraId="3E7D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3A66E0E1">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合计</w:t>
            </w:r>
          </w:p>
        </w:tc>
        <w:tc>
          <w:tcPr>
            <w:tcW w:w="2830" w:type="dxa"/>
            <w:vAlign w:val="center"/>
          </w:tcPr>
          <w:p w14:paraId="2332792E">
            <w:pPr>
              <w:jc w:val="right"/>
              <w:rPr>
                <w:rFonts w:ascii="Calibri" w:hAnsi="Calibri"/>
                <w:sz w:val="20"/>
                <w:szCs w:val="20"/>
              </w:rPr>
            </w:pPr>
            <w:r>
              <w:rPr>
                <w:rFonts w:ascii="Calibri" w:hAnsi="Calibri"/>
                <w:sz w:val="20"/>
                <w:szCs w:val="20"/>
              </w:rPr>
              <w:t>1,401,288,112.00</w:t>
            </w:r>
          </w:p>
        </w:tc>
        <w:tc>
          <w:tcPr>
            <w:tcW w:w="2819" w:type="dxa"/>
            <w:vAlign w:val="center"/>
          </w:tcPr>
          <w:p w14:paraId="3769AFFB">
            <w:pPr>
              <w:jc w:val="right"/>
              <w:rPr>
                <w:rFonts w:ascii="Calibri" w:hAnsi="Calibri"/>
                <w:sz w:val="20"/>
                <w:szCs w:val="20"/>
              </w:rPr>
            </w:pPr>
            <w:r>
              <w:rPr>
                <w:rFonts w:ascii="Calibri" w:hAnsi="Calibri"/>
                <w:sz w:val="20"/>
                <w:szCs w:val="20"/>
              </w:rPr>
              <w:t>130,000,000.00</w:t>
            </w:r>
          </w:p>
        </w:tc>
      </w:tr>
    </w:tbl>
    <w:p w14:paraId="6AB94654"/>
    <w:p w14:paraId="7A6D53BD">
      <w:pPr>
        <w:pStyle w:val="48"/>
      </w:pPr>
    </w:p>
    <w:p w14:paraId="2C6D87D3">
      <w:pPr>
        <w:pStyle w:val="48"/>
      </w:pPr>
      <w:r>
        <w:rPr>
          <w:rFonts w:hint="eastAsia"/>
        </w:rPr>
        <w:t>支付的重要的投资活动有关的现金</w:t>
      </w:r>
    </w:p>
    <w:sdt>
      <w:sdtPr>
        <w:alias w:val="是否适用：支付的重要的投资活动有关的现金[双击切换]"/>
        <w:tag w:val="_GBC_87278c8d34004ae4ad117e1026d10209"/>
        <w:id w:val="495388242"/>
        <w:placeholder>
          <w:docPart w:val="GBC22222222222222222222222222222"/>
        </w:placeholder>
      </w:sdtPr>
      <w:sdtContent>
        <w:p w14:paraId="53C9DAB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76DE9EC">
      <w:pPr>
        <w:jc w:val="right"/>
      </w:pPr>
      <w:r>
        <w:rPr>
          <w:rFonts w:hint="eastAsia"/>
        </w:rPr>
        <w:t xml:space="preserve">  单位：</w:t>
      </w:r>
      <w:sdt>
        <w:sdtPr>
          <w:rPr>
            <w:rFonts w:hint="eastAsia"/>
          </w:rPr>
          <w:alias w:val="单位：支付的重要的投资活动有关的现金"/>
          <w:tag w:val="_GBC_a0deec14b3b44f78b9368ad871e8d8c6"/>
          <w:id w:val="-85542138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支付的重要的投资活动有关的现金"/>
          <w:tag w:val="_GBC_e41f8522f445479ba58238ec8d2c3147"/>
          <w:id w:val="21459282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409"/>
        <w:gridCol w:w="2830"/>
        <w:gridCol w:w="2819"/>
      </w:tblGrid>
      <w:tr w14:paraId="3131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328e6bb5fcc74d9c87ca178b8d42f9b8"/>
            <w:id w:val="-523623826"/>
          </w:sdtPr>
          <w:sdtContent>
            <w:tc>
              <w:tcPr>
                <w:tcW w:w="3409" w:type="dxa"/>
                <w:vAlign w:val="center"/>
              </w:tcPr>
              <w:p w14:paraId="3346DF9C">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项目</w:t>
                </w:r>
              </w:p>
            </w:tc>
          </w:sdtContent>
        </w:sdt>
        <w:sdt>
          <w:sdtPr>
            <w:tag w:val="_PLD_fc885c8be4db48b78be0f1dad4d4c6a8"/>
            <w:id w:val="867653198"/>
          </w:sdtPr>
          <w:sdtContent>
            <w:tc>
              <w:tcPr>
                <w:tcW w:w="2830" w:type="dxa"/>
                <w:vAlign w:val="center"/>
              </w:tcPr>
              <w:p w14:paraId="5A85DD43">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本期发生额</w:t>
                </w:r>
              </w:p>
            </w:tc>
          </w:sdtContent>
        </w:sdt>
        <w:sdt>
          <w:sdtPr>
            <w:tag w:val="_PLD_b15712f434d644b0954dad3a0d7e73ef"/>
            <w:id w:val="1020120112"/>
          </w:sdtPr>
          <w:sdtContent>
            <w:tc>
              <w:tcPr>
                <w:tcW w:w="2819" w:type="dxa"/>
                <w:vAlign w:val="center"/>
              </w:tcPr>
              <w:p w14:paraId="06407227">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上期发生额</w:t>
                </w:r>
              </w:p>
            </w:tc>
          </w:sdtContent>
        </w:sdt>
      </w:tr>
      <w:tr w14:paraId="347A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08AEA752">
            <w:pPr>
              <w:autoSpaceDE w:val="0"/>
              <w:autoSpaceDN w:val="0"/>
              <w:adjustRightInd w:val="0"/>
              <w:snapToGrid w:val="0"/>
              <w:spacing w:line="240" w:lineRule="atLeast"/>
              <w:rPr>
                <w:rFonts w:ascii="Calibri" w:hAnsi="Calibri"/>
                <w:sz w:val="20"/>
                <w:szCs w:val="20"/>
              </w:rPr>
            </w:pPr>
            <w:r>
              <w:rPr>
                <w:rFonts w:ascii="Calibri" w:hAnsi="Calibri"/>
                <w:sz w:val="20"/>
                <w:szCs w:val="20"/>
              </w:rPr>
              <w:t>使用自有资金购买理财产品</w:t>
            </w:r>
          </w:p>
        </w:tc>
        <w:tc>
          <w:tcPr>
            <w:tcW w:w="2830" w:type="dxa"/>
            <w:vAlign w:val="center"/>
          </w:tcPr>
          <w:p w14:paraId="414F400B">
            <w:pPr>
              <w:jc w:val="right"/>
              <w:rPr>
                <w:rFonts w:ascii="Calibri" w:hAnsi="Calibri"/>
                <w:sz w:val="20"/>
                <w:szCs w:val="20"/>
              </w:rPr>
            </w:pPr>
            <w:r>
              <w:rPr>
                <w:rFonts w:ascii="Calibri" w:hAnsi="Calibri"/>
                <w:sz w:val="20"/>
                <w:szCs w:val="20"/>
              </w:rPr>
              <w:t>100,000,000.00</w:t>
            </w:r>
          </w:p>
        </w:tc>
        <w:tc>
          <w:tcPr>
            <w:tcW w:w="2819" w:type="dxa"/>
            <w:vAlign w:val="center"/>
          </w:tcPr>
          <w:p w14:paraId="55C1743A">
            <w:pPr>
              <w:jc w:val="right"/>
              <w:rPr>
                <w:rFonts w:ascii="Calibri" w:hAnsi="Calibri"/>
                <w:sz w:val="20"/>
                <w:szCs w:val="20"/>
              </w:rPr>
            </w:pPr>
            <w:r>
              <w:rPr>
                <w:rFonts w:ascii="Calibri" w:hAnsi="Calibri"/>
                <w:sz w:val="20"/>
                <w:szCs w:val="20"/>
              </w:rPr>
              <w:t>130,000,000.00</w:t>
            </w:r>
          </w:p>
        </w:tc>
      </w:tr>
      <w:tr w14:paraId="2F0F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29F9C793">
            <w:pPr>
              <w:autoSpaceDE w:val="0"/>
              <w:autoSpaceDN w:val="0"/>
              <w:adjustRightInd w:val="0"/>
              <w:snapToGrid w:val="0"/>
              <w:spacing w:line="240" w:lineRule="atLeast"/>
              <w:rPr>
                <w:rFonts w:ascii="Calibri" w:hAnsi="Calibri"/>
                <w:sz w:val="20"/>
                <w:szCs w:val="20"/>
              </w:rPr>
            </w:pPr>
            <w:r>
              <w:rPr>
                <w:rFonts w:ascii="Calibri" w:hAnsi="Calibri"/>
                <w:sz w:val="20"/>
                <w:szCs w:val="20"/>
              </w:rPr>
              <w:t>购买上海新耀湃科医疗科技股份有限公司股权</w:t>
            </w:r>
          </w:p>
        </w:tc>
        <w:tc>
          <w:tcPr>
            <w:tcW w:w="2830" w:type="dxa"/>
            <w:vAlign w:val="center"/>
          </w:tcPr>
          <w:p w14:paraId="5BD475ED">
            <w:pPr>
              <w:jc w:val="right"/>
              <w:rPr>
                <w:rFonts w:ascii="Calibri" w:hAnsi="Calibri"/>
                <w:sz w:val="20"/>
                <w:szCs w:val="20"/>
              </w:rPr>
            </w:pPr>
            <w:r>
              <w:rPr>
                <w:rFonts w:ascii="Calibri" w:hAnsi="Calibri"/>
                <w:sz w:val="20"/>
                <w:szCs w:val="20"/>
              </w:rPr>
              <w:t>30,000,000.00</w:t>
            </w:r>
          </w:p>
        </w:tc>
        <w:tc>
          <w:tcPr>
            <w:tcW w:w="2819" w:type="dxa"/>
            <w:vAlign w:val="center"/>
          </w:tcPr>
          <w:p w14:paraId="31DE6EC9">
            <w:pPr>
              <w:jc w:val="right"/>
              <w:rPr>
                <w:rFonts w:ascii="Calibri" w:hAnsi="Calibri"/>
                <w:sz w:val="20"/>
                <w:szCs w:val="20"/>
              </w:rPr>
            </w:pPr>
          </w:p>
        </w:tc>
      </w:tr>
      <w:tr w14:paraId="635B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5D08E519">
            <w:pPr>
              <w:autoSpaceDE w:val="0"/>
              <w:autoSpaceDN w:val="0"/>
              <w:adjustRightInd w:val="0"/>
              <w:snapToGrid w:val="0"/>
              <w:spacing w:line="240" w:lineRule="atLeast"/>
              <w:rPr>
                <w:rFonts w:ascii="Calibri" w:hAnsi="Calibri"/>
                <w:sz w:val="20"/>
                <w:szCs w:val="20"/>
              </w:rPr>
            </w:pPr>
            <w:r>
              <w:rPr>
                <w:rFonts w:ascii="Calibri" w:hAnsi="Calibri"/>
                <w:sz w:val="20"/>
                <w:szCs w:val="20"/>
              </w:rPr>
              <w:t>购买联营企业(君合盟生物制药（杭州）</w:t>
            </w:r>
            <w:r>
              <w:rPr>
                <w:rFonts w:hint="eastAsia" w:ascii="Calibri" w:hAnsi="Calibri"/>
                <w:sz w:val="20"/>
                <w:szCs w:val="20"/>
              </w:rPr>
              <w:t>股份</w:t>
            </w:r>
            <w:r>
              <w:rPr>
                <w:rFonts w:ascii="Calibri" w:hAnsi="Calibri"/>
                <w:sz w:val="20"/>
                <w:szCs w:val="20"/>
              </w:rPr>
              <w:t>有限公司)股权</w:t>
            </w:r>
          </w:p>
        </w:tc>
        <w:tc>
          <w:tcPr>
            <w:tcW w:w="2830" w:type="dxa"/>
            <w:vAlign w:val="center"/>
          </w:tcPr>
          <w:p w14:paraId="4EE40A16">
            <w:pPr>
              <w:jc w:val="right"/>
              <w:rPr>
                <w:rFonts w:ascii="Calibri" w:hAnsi="Calibri"/>
                <w:sz w:val="20"/>
                <w:szCs w:val="20"/>
              </w:rPr>
            </w:pPr>
          </w:p>
        </w:tc>
        <w:tc>
          <w:tcPr>
            <w:tcW w:w="2819" w:type="dxa"/>
            <w:vAlign w:val="center"/>
          </w:tcPr>
          <w:p w14:paraId="546D6A8F">
            <w:pPr>
              <w:jc w:val="right"/>
              <w:rPr>
                <w:rFonts w:ascii="Calibri" w:hAnsi="Calibri"/>
                <w:sz w:val="20"/>
                <w:szCs w:val="20"/>
              </w:rPr>
            </w:pPr>
            <w:r>
              <w:rPr>
                <w:rFonts w:ascii="Calibri" w:hAnsi="Calibri"/>
                <w:sz w:val="20"/>
                <w:szCs w:val="20"/>
              </w:rPr>
              <w:t>100,000,000.00</w:t>
            </w:r>
          </w:p>
        </w:tc>
      </w:tr>
      <w:tr w14:paraId="6ED4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0244E556">
            <w:pPr>
              <w:autoSpaceDE w:val="0"/>
              <w:autoSpaceDN w:val="0"/>
              <w:adjustRightInd w:val="0"/>
              <w:snapToGrid w:val="0"/>
              <w:spacing w:line="240" w:lineRule="atLeast"/>
              <w:rPr>
                <w:rFonts w:ascii="Calibri" w:hAnsi="Calibri"/>
                <w:sz w:val="20"/>
                <w:szCs w:val="20"/>
              </w:rPr>
            </w:pPr>
            <w:r>
              <w:rPr>
                <w:rFonts w:ascii="Calibri" w:hAnsi="Calibri"/>
                <w:sz w:val="20"/>
                <w:szCs w:val="20"/>
              </w:rPr>
              <w:t>购买合营企业(上海桔医网络科技有限公司)股权</w:t>
            </w:r>
          </w:p>
        </w:tc>
        <w:tc>
          <w:tcPr>
            <w:tcW w:w="2830" w:type="dxa"/>
            <w:vAlign w:val="center"/>
          </w:tcPr>
          <w:p w14:paraId="147FE6C4">
            <w:pPr>
              <w:jc w:val="right"/>
              <w:rPr>
                <w:rFonts w:ascii="Calibri" w:hAnsi="Calibri"/>
                <w:sz w:val="20"/>
                <w:szCs w:val="20"/>
              </w:rPr>
            </w:pPr>
          </w:p>
        </w:tc>
        <w:tc>
          <w:tcPr>
            <w:tcW w:w="2819" w:type="dxa"/>
            <w:vAlign w:val="center"/>
          </w:tcPr>
          <w:p w14:paraId="577BAF98">
            <w:pPr>
              <w:jc w:val="right"/>
              <w:rPr>
                <w:rFonts w:ascii="Calibri" w:hAnsi="Calibri"/>
                <w:sz w:val="20"/>
                <w:szCs w:val="20"/>
              </w:rPr>
            </w:pPr>
            <w:r>
              <w:rPr>
                <w:rFonts w:ascii="Calibri" w:hAnsi="Calibri"/>
                <w:sz w:val="20"/>
                <w:szCs w:val="20"/>
              </w:rPr>
              <w:t>1.00</w:t>
            </w:r>
          </w:p>
        </w:tc>
      </w:tr>
      <w:tr w14:paraId="28D9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628BEE19">
            <w:pPr>
              <w:autoSpaceDE w:val="0"/>
              <w:autoSpaceDN w:val="0"/>
              <w:adjustRightInd w:val="0"/>
              <w:snapToGrid w:val="0"/>
              <w:spacing w:line="240" w:lineRule="atLeast"/>
              <w:rPr>
                <w:rFonts w:ascii="Calibri" w:hAnsi="Calibri"/>
                <w:sz w:val="20"/>
                <w:szCs w:val="20"/>
              </w:rPr>
            </w:pPr>
            <w:r>
              <w:rPr>
                <w:rFonts w:ascii="Calibri" w:hAnsi="Calibri"/>
                <w:sz w:val="20"/>
                <w:szCs w:val="20"/>
              </w:rPr>
              <w:t>支付资本化项目临床实验费</w:t>
            </w:r>
          </w:p>
        </w:tc>
        <w:tc>
          <w:tcPr>
            <w:tcW w:w="2830" w:type="dxa"/>
            <w:vAlign w:val="center"/>
          </w:tcPr>
          <w:p w14:paraId="3530E5DD">
            <w:pPr>
              <w:jc w:val="right"/>
              <w:rPr>
                <w:rFonts w:ascii="Calibri" w:hAnsi="Calibri"/>
                <w:sz w:val="20"/>
                <w:szCs w:val="20"/>
              </w:rPr>
            </w:pPr>
            <w:r>
              <w:rPr>
                <w:rFonts w:ascii="Calibri" w:hAnsi="Calibri"/>
                <w:sz w:val="20"/>
                <w:szCs w:val="20"/>
              </w:rPr>
              <w:t>70,000,000.00</w:t>
            </w:r>
          </w:p>
        </w:tc>
        <w:tc>
          <w:tcPr>
            <w:tcW w:w="2819" w:type="dxa"/>
            <w:vAlign w:val="center"/>
          </w:tcPr>
          <w:p w14:paraId="6FE1AC78">
            <w:pPr>
              <w:jc w:val="right"/>
              <w:rPr>
                <w:rFonts w:ascii="Calibri" w:hAnsi="Calibri"/>
                <w:sz w:val="20"/>
                <w:szCs w:val="20"/>
              </w:rPr>
            </w:pPr>
          </w:p>
        </w:tc>
      </w:tr>
      <w:tr w14:paraId="6730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5C1D79A7">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合计</w:t>
            </w:r>
          </w:p>
        </w:tc>
        <w:tc>
          <w:tcPr>
            <w:tcW w:w="2830" w:type="dxa"/>
            <w:vAlign w:val="center"/>
          </w:tcPr>
          <w:p w14:paraId="3DC5D755">
            <w:pPr>
              <w:jc w:val="right"/>
              <w:rPr>
                <w:rFonts w:ascii="Calibri" w:hAnsi="Calibri"/>
                <w:sz w:val="20"/>
                <w:szCs w:val="20"/>
              </w:rPr>
            </w:pPr>
            <w:r>
              <w:rPr>
                <w:rFonts w:ascii="Calibri" w:hAnsi="Calibri"/>
                <w:sz w:val="20"/>
                <w:szCs w:val="20"/>
              </w:rPr>
              <w:t>200,000,000.00</w:t>
            </w:r>
          </w:p>
        </w:tc>
        <w:tc>
          <w:tcPr>
            <w:tcW w:w="2819" w:type="dxa"/>
            <w:vAlign w:val="center"/>
          </w:tcPr>
          <w:p w14:paraId="50A3E885">
            <w:pPr>
              <w:jc w:val="right"/>
              <w:rPr>
                <w:rFonts w:ascii="Calibri" w:hAnsi="Calibri"/>
                <w:sz w:val="20"/>
                <w:szCs w:val="20"/>
              </w:rPr>
            </w:pPr>
            <w:r>
              <w:rPr>
                <w:rFonts w:ascii="Calibri" w:hAnsi="Calibri"/>
                <w:sz w:val="20"/>
                <w:szCs w:val="20"/>
              </w:rPr>
              <w:t>230,000,001.00</w:t>
            </w:r>
          </w:p>
        </w:tc>
      </w:tr>
    </w:tbl>
    <w:p w14:paraId="4E940804"/>
    <w:p w14:paraId="637840EF">
      <w:pPr>
        <w:pStyle w:val="48"/>
      </w:pPr>
    </w:p>
    <w:p w14:paraId="3BD9B720">
      <w:pPr>
        <w:pStyle w:val="48"/>
      </w:pPr>
      <w:r>
        <w:rPr>
          <w:rFonts w:hint="eastAsia"/>
        </w:rPr>
        <w:t>收到的其他与投资活动有关的现金</w:t>
      </w:r>
    </w:p>
    <w:sdt>
      <w:sdtPr>
        <w:alias w:val="是否适用：收到的其他与投资活动有关的现金[双击切换]"/>
        <w:tag w:val="_GBC_a9d11a87566b448d9e6aac9a017a8388"/>
        <w:id w:val="-439142398"/>
        <w:placeholder>
          <w:docPart w:val="GBC22222222222222222222222222222"/>
        </w:placeholder>
      </w:sdtPr>
      <w:sdtContent>
        <w:p w14:paraId="2F052A10">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77B29C4">
      <w:pPr>
        <w:snapToGrid w:val="0"/>
        <w:spacing w:line="240" w:lineRule="atLeast"/>
      </w:pPr>
    </w:p>
    <w:p w14:paraId="4D6827F5">
      <w:pPr>
        <w:pStyle w:val="48"/>
      </w:pPr>
    </w:p>
    <w:p w14:paraId="4C002984">
      <w:pPr>
        <w:pStyle w:val="48"/>
      </w:pPr>
      <w:r>
        <w:rPr>
          <w:rFonts w:hint="eastAsia"/>
        </w:rPr>
        <w:t>支付的其他与投资活动有关的现金</w:t>
      </w:r>
    </w:p>
    <w:sdt>
      <w:sdtPr>
        <w:alias w:val="是否适用：支付的其他与投资活动有关的现金[双击切换]"/>
        <w:tag w:val="_GBC_c733aab18a804ecea142a329ce5180ba"/>
        <w:id w:val="310841100"/>
        <w:placeholder>
          <w:docPart w:val="GBC22222222222222222222222222222"/>
        </w:placeholder>
      </w:sdtPr>
      <w:sdtContent>
        <w:p w14:paraId="6522674C">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86BEEBC">
      <w:pPr>
        <w:jc w:val="right"/>
      </w:pPr>
      <w:r>
        <w:rPr>
          <w:rFonts w:hint="eastAsia"/>
        </w:rPr>
        <w:t>单位：</w:t>
      </w:r>
      <w:sdt>
        <w:sdtPr>
          <w:rPr>
            <w:rFonts w:hint="eastAsia"/>
          </w:rPr>
          <w:alias w:val="单位：财务附注：支付的其他与投资活动有关的现金"/>
          <w:tag w:val="_GBC_c9261a723e034bd4842ebc9aa57bb713"/>
          <w:id w:val="-1756434011"/>
          <w:placeholder>
            <w:docPart w:val="A83D93690664434CBA370E0988E838E8"/>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支付的其他与投资活动有关的现金"/>
          <w:tag w:val="_GBC_1ac8f59aa2ce48d0af7c6d580cad336c"/>
          <w:id w:val="-1049450644"/>
          <w:placeholder>
            <w:docPart w:val="A83D93690664434CBA370E0988E838E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409"/>
        <w:gridCol w:w="2916"/>
        <w:gridCol w:w="2732"/>
      </w:tblGrid>
      <w:tr w14:paraId="42C4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587dffb6cb394ed0abe3449c37ec4700"/>
            <w:id w:val="752084102"/>
          </w:sdtPr>
          <w:sdtContent>
            <w:tc>
              <w:tcPr>
                <w:tcW w:w="3409" w:type="dxa"/>
                <w:vAlign w:val="center"/>
              </w:tcPr>
              <w:p w14:paraId="043D9382">
                <w:pPr>
                  <w:autoSpaceDE w:val="0"/>
                  <w:autoSpaceDN w:val="0"/>
                  <w:adjustRightInd w:val="0"/>
                  <w:snapToGrid w:val="0"/>
                  <w:jc w:val="center"/>
                  <w:rPr>
                    <w:rFonts w:ascii="Calibri" w:hAnsi="Calibri"/>
                    <w:sz w:val="20"/>
                    <w:szCs w:val="20"/>
                  </w:rPr>
                </w:pPr>
                <w:r>
                  <w:rPr>
                    <w:rFonts w:hint="eastAsia" w:ascii="Calibri" w:hAnsi="Calibri"/>
                    <w:sz w:val="20"/>
                    <w:szCs w:val="20"/>
                  </w:rPr>
                  <w:t>项目</w:t>
                </w:r>
              </w:p>
            </w:tc>
          </w:sdtContent>
        </w:sdt>
        <w:sdt>
          <w:sdtPr>
            <w:tag w:val="_PLD_df7899e6c0274bae9f145af85a8eb277"/>
            <w:id w:val="1097144461"/>
          </w:sdtPr>
          <w:sdtContent>
            <w:tc>
              <w:tcPr>
                <w:tcW w:w="2916" w:type="dxa"/>
                <w:vAlign w:val="center"/>
              </w:tcPr>
              <w:p w14:paraId="2BC07176">
                <w:pPr>
                  <w:autoSpaceDE w:val="0"/>
                  <w:autoSpaceDN w:val="0"/>
                  <w:adjustRightInd w:val="0"/>
                  <w:snapToGrid w:val="0"/>
                  <w:jc w:val="center"/>
                  <w:rPr>
                    <w:rFonts w:ascii="Calibri" w:hAnsi="Calibri"/>
                    <w:sz w:val="20"/>
                    <w:szCs w:val="20"/>
                  </w:rPr>
                </w:pPr>
                <w:r>
                  <w:rPr>
                    <w:rFonts w:hint="eastAsia" w:ascii="Calibri" w:hAnsi="Calibri"/>
                    <w:sz w:val="20"/>
                    <w:szCs w:val="20"/>
                  </w:rPr>
                  <w:t>本期发生额</w:t>
                </w:r>
              </w:p>
            </w:tc>
          </w:sdtContent>
        </w:sdt>
        <w:sdt>
          <w:sdtPr>
            <w:tag w:val="_PLD_f161b1c392e440818862ceb1761bb906"/>
            <w:id w:val="493609538"/>
          </w:sdtPr>
          <w:sdtContent>
            <w:tc>
              <w:tcPr>
                <w:tcW w:w="2732" w:type="dxa"/>
                <w:vAlign w:val="center"/>
              </w:tcPr>
              <w:p w14:paraId="0E6E0745">
                <w:pPr>
                  <w:autoSpaceDE w:val="0"/>
                  <w:autoSpaceDN w:val="0"/>
                  <w:adjustRightInd w:val="0"/>
                  <w:snapToGrid w:val="0"/>
                  <w:jc w:val="center"/>
                  <w:rPr>
                    <w:rFonts w:ascii="Calibri" w:hAnsi="Calibri"/>
                    <w:sz w:val="20"/>
                    <w:szCs w:val="20"/>
                  </w:rPr>
                </w:pPr>
                <w:r>
                  <w:rPr>
                    <w:rFonts w:hint="eastAsia" w:ascii="Calibri" w:hAnsi="Calibri"/>
                    <w:sz w:val="20"/>
                    <w:szCs w:val="20"/>
                  </w:rPr>
                  <w:t>上期发生额</w:t>
                </w:r>
              </w:p>
            </w:tc>
          </w:sdtContent>
        </w:sdt>
      </w:tr>
      <w:tr w14:paraId="3BD1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6173E864">
            <w:pPr>
              <w:autoSpaceDE w:val="0"/>
              <w:autoSpaceDN w:val="0"/>
              <w:adjustRightInd w:val="0"/>
              <w:snapToGrid w:val="0"/>
              <w:rPr>
                <w:rFonts w:ascii="Calibri" w:hAnsi="Calibri"/>
                <w:sz w:val="20"/>
                <w:szCs w:val="20"/>
              </w:rPr>
            </w:pPr>
            <w:r>
              <w:rPr>
                <w:rFonts w:hint="eastAsia" w:ascii="Calibri" w:hAnsi="Calibri"/>
                <w:sz w:val="20"/>
                <w:szCs w:val="20"/>
              </w:rPr>
              <w:t>对联营企业投资股权转让手续费</w:t>
            </w:r>
          </w:p>
        </w:tc>
        <w:tc>
          <w:tcPr>
            <w:tcW w:w="2916" w:type="dxa"/>
            <w:vAlign w:val="center"/>
          </w:tcPr>
          <w:p w14:paraId="08BB949B">
            <w:pPr>
              <w:jc w:val="right"/>
              <w:rPr>
                <w:rFonts w:ascii="Calibri" w:hAnsi="Calibri"/>
                <w:sz w:val="20"/>
                <w:szCs w:val="20"/>
              </w:rPr>
            </w:pPr>
            <w:r>
              <w:rPr>
                <w:rFonts w:ascii="Calibri" w:hAnsi="Calibri"/>
                <w:sz w:val="20"/>
                <w:szCs w:val="20"/>
              </w:rPr>
              <w:t>44,374.00</w:t>
            </w:r>
          </w:p>
        </w:tc>
        <w:tc>
          <w:tcPr>
            <w:tcW w:w="2732" w:type="dxa"/>
            <w:vAlign w:val="center"/>
          </w:tcPr>
          <w:p w14:paraId="3EC5DF7E">
            <w:pPr>
              <w:jc w:val="right"/>
              <w:rPr>
                <w:rFonts w:ascii="Calibri" w:hAnsi="Calibri"/>
                <w:sz w:val="20"/>
                <w:szCs w:val="20"/>
              </w:rPr>
            </w:pPr>
          </w:p>
        </w:tc>
      </w:tr>
      <w:tr w14:paraId="4935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5FE523F4">
            <w:pPr>
              <w:autoSpaceDE w:val="0"/>
              <w:autoSpaceDN w:val="0"/>
              <w:adjustRightInd w:val="0"/>
              <w:snapToGrid w:val="0"/>
              <w:jc w:val="center"/>
              <w:rPr>
                <w:rFonts w:ascii="Calibri" w:hAnsi="Calibri"/>
                <w:sz w:val="20"/>
                <w:szCs w:val="20"/>
              </w:rPr>
            </w:pPr>
            <w:r>
              <w:rPr>
                <w:rFonts w:hint="eastAsia" w:ascii="Calibri" w:hAnsi="Calibri"/>
                <w:sz w:val="20"/>
                <w:szCs w:val="20"/>
              </w:rPr>
              <w:t>合计</w:t>
            </w:r>
          </w:p>
        </w:tc>
        <w:tc>
          <w:tcPr>
            <w:tcW w:w="2916" w:type="dxa"/>
            <w:vAlign w:val="center"/>
          </w:tcPr>
          <w:p w14:paraId="3329C777">
            <w:pPr>
              <w:jc w:val="right"/>
              <w:rPr>
                <w:rFonts w:ascii="Calibri" w:hAnsi="Calibri"/>
                <w:sz w:val="20"/>
                <w:szCs w:val="20"/>
              </w:rPr>
            </w:pPr>
            <w:r>
              <w:rPr>
                <w:rFonts w:ascii="Calibri" w:hAnsi="Calibri"/>
                <w:sz w:val="20"/>
                <w:szCs w:val="20"/>
              </w:rPr>
              <w:t>44,374.00</w:t>
            </w:r>
          </w:p>
        </w:tc>
        <w:tc>
          <w:tcPr>
            <w:tcW w:w="2732" w:type="dxa"/>
            <w:vAlign w:val="center"/>
          </w:tcPr>
          <w:p w14:paraId="2F439CCC">
            <w:pPr>
              <w:jc w:val="right"/>
              <w:rPr>
                <w:rFonts w:ascii="Calibri" w:hAnsi="Calibri"/>
                <w:sz w:val="20"/>
                <w:szCs w:val="20"/>
              </w:rPr>
            </w:pPr>
          </w:p>
        </w:tc>
      </w:tr>
    </w:tbl>
    <w:p w14:paraId="286D2544">
      <w:pPr>
        <w:pStyle w:val="48"/>
      </w:pPr>
    </w:p>
    <w:p w14:paraId="2DA1DD77">
      <w:pPr>
        <w:pStyle w:val="48"/>
      </w:pPr>
    </w:p>
    <w:p w14:paraId="102F7364">
      <w:pPr>
        <w:pStyle w:val="5"/>
        <w:numPr>
          <w:ilvl w:val="0"/>
          <w:numId w:val="100"/>
        </w:numPr>
        <w:ind w:left="426" w:hanging="426"/>
      </w:pPr>
      <w:r>
        <w:rPr>
          <w:rFonts w:hint="eastAsia"/>
        </w:rPr>
        <w:t>与筹资活动有关的现金</w:t>
      </w:r>
    </w:p>
    <w:p w14:paraId="0FD0DBE4">
      <w:pPr>
        <w:pStyle w:val="48"/>
      </w:pPr>
      <w:r>
        <w:rPr>
          <w:rFonts w:hint="eastAsia"/>
        </w:rPr>
        <w:t>收到的其他与筹资活动有关的现金</w:t>
      </w:r>
    </w:p>
    <w:sdt>
      <w:sdtPr>
        <w:alias w:val="是否适用：收到的其他与筹资活动有关的现金[双击切换]"/>
        <w:tag w:val="_GBC_031910cf781944cf80900ffa99f7a9d7"/>
        <w:id w:val="-1725209584"/>
        <w:placeholder>
          <w:docPart w:val="GBC22222222222222222222222222222"/>
        </w:placeholder>
      </w:sdtPr>
      <w:sdtContent>
        <w:p w14:paraId="2B664BA5">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E7F59CE">
      <w:pPr>
        <w:jc w:val="right"/>
      </w:pPr>
      <w:r>
        <w:rPr>
          <w:rFonts w:hint="eastAsia"/>
        </w:rPr>
        <w:t>单位：</w:t>
      </w:r>
      <w:sdt>
        <w:sdtPr>
          <w:rPr>
            <w:rFonts w:hint="eastAsia"/>
          </w:rPr>
          <w:alias w:val="单位：财务附注：收到的其他与筹资活动有关的现金"/>
          <w:tag w:val="_GBC_666160c9e7144e11b24beaa82a8d20a2"/>
          <w:id w:val="1723066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收到的其他与筹资活动有关的现金"/>
          <w:tag w:val="_GBC_5dbb9457a5854b088449e8b9e69e8c2e"/>
          <w:id w:val="15611379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409"/>
        <w:gridCol w:w="2916"/>
        <w:gridCol w:w="2732"/>
      </w:tblGrid>
      <w:tr w14:paraId="6D03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a77349a2c05f473b9ac20b64fc24179e"/>
            <w:id w:val="1523429762"/>
          </w:sdtPr>
          <w:sdtContent>
            <w:tc>
              <w:tcPr>
                <w:tcW w:w="3409" w:type="dxa"/>
                <w:vAlign w:val="center"/>
              </w:tcPr>
              <w:p w14:paraId="06C9C5AA">
                <w:pPr>
                  <w:autoSpaceDE w:val="0"/>
                  <w:autoSpaceDN w:val="0"/>
                  <w:adjustRightInd w:val="0"/>
                  <w:snapToGrid w:val="0"/>
                  <w:jc w:val="center"/>
                  <w:rPr>
                    <w:rFonts w:ascii="Calibri" w:hAnsi="Calibri"/>
                    <w:sz w:val="20"/>
                    <w:szCs w:val="20"/>
                  </w:rPr>
                </w:pPr>
                <w:r>
                  <w:rPr>
                    <w:rFonts w:hint="eastAsia" w:ascii="Calibri" w:hAnsi="Calibri"/>
                    <w:sz w:val="20"/>
                    <w:szCs w:val="20"/>
                  </w:rPr>
                  <w:t>项目</w:t>
                </w:r>
              </w:p>
            </w:tc>
          </w:sdtContent>
        </w:sdt>
        <w:sdt>
          <w:sdtPr>
            <w:tag w:val="_PLD_4f0ec6d40c994acb9eb5b3560f97c407"/>
            <w:id w:val="674000678"/>
          </w:sdtPr>
          <w:sdtContent>
            <w:tc>
              <w:tcPr>
                <w:tcW w:w="2916" w:type="dxa"/>
                <w:vAlign w:val="center"/>
              </w:tcPr>
              <w:p w14:paraId="1A57F7E9">
                <w:pPr>
                  <w:autoSpaceDE w:val="0"/>
                  <w:autoSpaceDN w:val="0"/>
                  <w:adjustRightInd w:val="0"/>
                  <w:snapToGrid w:val="0"/>
                  <w:jc w:val="center"/>
                  <w:rPr>
                    <w:rFonts w:ascii="Calibri" w:hAnsi="Calibri"/>
                    <w:sz w:val="20"/>
                    <w:szCs w:val="20"/>
                  </w:rPr>
                </w:pPr>
                <w:r>
                  <w:rPr>
                    <w:rFonts w:hint="eastAsia" w:ascii="Calibri" w:hAnsi="Calibri"/>
                    <w:sz w:val="20"/>
                    <w:szCs w:val="20"/>
                  </w:rPr>
                  <w:t>本期发生额</w:t>
                </w:r>
              </w:p>
            </w:tc>
          </w:sdtContent>
        </w:sdt>
        <w:sdt>
          <w:sdtPr>
            <w:tag w:val="_PLD_aa071ffac82040379300e6f5150e4ff7"/>
            <w:id w:val="1623031138"/>
          </w:sdtPr>
          <w:sdtContent>
            <w:tc>
              <w:tcPr>
                <w:tcW w:w="2732" w:type="dxa"/>
                <w:vAlign w:val="center"/>
              </w:tcPr>
              <w:p w14:paraId="4A8BD0E3">
                <w:pPr>
                  <w:autoSpaceDE w:val="0"/>
                  <w:autoSpaceDN w:val="0"/>
                  <w:adjustRightInd w:val="0"/>
                  <w:snapToGrid w:val="0"/>
                  <w:jc w:val="center"/>
                  <w:rPr>
                    <w:rFonts w:ascii="Calibri" w:hAnsi="Calibri"/>
                    <w:sz w:val="20"/>
                    <w:szCs w:val="20"/>
                  </w:rPr>
                </w:pPr>
                <w:r>
                  <w:rPr>
                    <w:rFonts w:hint="eastAsia" w:ascii="Calibri" w:hAnsi="Calibri"/>
                    <w:sz w:val="20"/>
                    <w:szCs w:val="20"/>
                  </w:rPr>
                  <w:t>上期发生额</w:t>
                </w:r>
              </w:p>
            </w:tc>
          </w:sdtContent>
        </w:sdt>
      </w:tr>
      <w:tr w14:paraId="1323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244570B2">
            <w:pPr>
              <w:autoSpaceDE w:val="0"/>
              <w:autoSpaceDN w:val="0"/>
              <w:adjustRightInd w:val="0"/>
              <w:snapToGrid w:val="0"/>
              <w:rPr>
                <w:rFonts w:ascii="Calibri" w:hAnsi="Calibri"/>
                <w:sz w:val="20"/>
                <w:szCs w:val="20"/>
              </w:rPr>
            </w:pPr>
            <w:r>
              <w:rPr>
                <w:rFonts w:ascii="Calibri" w:hAnsi="Calibri"/>
                <w:sz w:val="20"/>
                <w:szCs w:val="20"/>
              </w:rPr>
              <w:t>员工持股计划款</w:t>
            </w:r>
          </w:p>
        </w:tc>
        <w:tc>
          <w:tcPr>
            <w:tcW w:w="2916" w:type="dxa"/>
            <w:vAlign w:val="center"/>
          </w:tcPr>
          <w:p w14:paraId="6F6C3393">
            <w:pPr>
              <w:jc w:val="right"/>
              <w:rPr>
                <w:rFonts w:ascii="Calibri" w:hAnsi="Calibri"/>
                <w:sz w:val="20"/>
                <w:szCs w:val="20"/>
              </w:rPr>
            </w:pPr>
            <w:r>
              <w:rPr>
                <w:rFonts w:ascii="Calibri" w:hAnsi="Calibri"/>
                <w:sz w:val="20"/>
                <w:szCs w:val="20"/>
              </w:rPr>
              <w:t>67,818,400.00</w:t>
            </w:r>
          </w:p>
        </w:tc>
        <w:tc>
          <w:tcPr>
            <w:tcW w:w="2732" w:type="dxa"/>
            <w:vAlign w:val="center"/>
          </w:tcPr>
          <w:p w14:paraId="6DFBD803">
            <w:pPr>
              <w:jc w:val="right"/>
              <w:rPr>
                <w:rFonts w:ascii="Calibri" w:hAnsi="Calibri"/>
                <w:sz w:val="20"/>
                <w:szCs w:val="20"/>
              </w:rPr>
            </w:pPr>
          </w:p>
        </w:tc>
      </w:tr>
      <w:tr w14:paraId="6069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1A80073C">
            <w:pPr>
              <w:autoSpaceDE w:val="0"/>
              <w:autoSpaceDN w:val="0"/>
              <w:adjustRightInd w:val="0"/>
              <w:snapToGrid w:val="0"/>
              <w:rPr>
                <w:rFonts w:ascii="Calibri" w:hAnsi="Calibri"/>
                <w:sz w:val="20"/>
                <w:szCs w:val="20"/>
              </w:rPr>
            </w:pPr>
            <w:r>
              <w:rPr>
                <w:rFonts w:ascii="Calibri" w:hAnsi="Calibri"/>
                <w:sz w:val="20"/>
                <w:szCs w:val="20"/>
              </w:rPr>
              <w:t>员工持股计划30%未归属部分对外出售扣除回购本息</w:t>
            </w:r>
          </w:p>
        </w:tc>
        <w:tc>
          <w:tcPr>
            <w:tcW w:w="2916" w:type="dxa"/>
            <w:vAlign w:val="center"/>
          </w:tcPr>
          <w:p w14:paraId="4C56C3F8">
            <w:pPr>
              <w:jc w:val="right"/>
              <w:rPr>
                <w:rFonts w:ascii="Calibri" w:hAnsi="Calibri"/>
                <w:sz w:val="20"/>
                <w:szCs w:val="20"/>
              </w:rPr>
            </w:pPr>
          </w:p>
        </w:tc>
        <w:tc>
          <w:tcPr>
            <w:tcW w:w="2732" w:type="dxa"/>
            <w:vAlign w:val="center"/>
          </w:tcPr>
          <w:p w14:paraId="306A4F11">
            <w:pPr>
              <w:jc w:val="right"/>
              <w:rPr>
                <w:rFonts w:ascii="Calibri" w:hAnsi="Calibri"/>
                <w:sz w:val="20"/>
                <w:szCs w:val="20"/>
              </w:rPr>
            </w:pPr>
            <w:r>
              <w:rPr>
                <w:rFonts w:ascii="Calibri" w:hAnsi="Calibri"/>
                <w:sz w:val="20"/>
                <w:szCs w:val="20"/>
              </w:rPr>
              <w:t>7,245,976.65</w:t>
            </w:r>
          </w:p>
        </w:tc>
      </w:tr>
      <w:tr w14:paraId="6015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3198DCB6">
            <w:pPr>
              <w:autoSpaceDE w:val="0"/>
              <w:autoSpaceDN w:val="0"/>
              <w:adjustRightInd w:val="0"/>
              <w:snapToGrid w:val="0"/>
              <w:jc w:val="center"/>
              <w:rPr>
                <w:rFonts w:ascii="Calibri" w:hAnsi="Calibri"/>
                <w:sz w:val="20"/>
                <w:szCs w:val="20"/>
              </w:rPr>
            </w:pPr>
            <w:r>
              <w:rPr>
                <w:rFonts w:hint="eastAsia" w:ascii="Calibri" w:hAnsi="Calibri"/>
                <w:sz w:val="20"/>
                <w:szCs w:val="20"/>
              </w:rPr>
              <w:t>合计</w:t>
            </w:r>
          </w:p>
        </w:tc>
        <w:tc>
          <w:tcPr>
            <w:tcW w:w="2916" w:type="dxa"/>
            <w:vAlign w:val="center"/>
          </w:tcPr>
          <w:p w14:paraId="0DB5EAFE">
            <w:pPr>
              <w:jc w:val="right"/>
              <w:rPr>
                <w:rFonts w:ascii="Calibri" w:hAnsi="Calibri"/>
                <w:sz w:val="20"/>
                <w:szCs w:val="20"/>
              </w:rPr>
            </w:pPr>
            <w:r>
              <w:rPr>
                <w:rFonts w:ascii="Calibri" w:hAnsi="Calibri"/>
                <w:sz w:val="20"/>
                <w:szCs w:val="20"/>
              </w:rPr>
              <w:t>67,818,400.00</w:t>
            </w:r>
          </w:p>
        </w:tc>
        <w:tc>
          <w:tcPr>
            <w:tcW w:w="2732" w:type="dxa"/>
            <w:vAlign w:val="center"/>
          </w:tcPr>
          <w:p w14:paraId="341C6F9B">
            <w:pPr>
              <w:jc w:val="right"/>
              <w:rPr>
                <w:rFonts w:ascii="Calibri" w:hAnsi="Calibri"/>
                <w:sz w:val="20"/>
                <w:szCs w:val="20"/>
              </w:rPr>
            </w:pPr>
            <w:r>
              <w:rPr>
                <w:rFonts w:ascii="Calibri" w:hAnsi="Calibri"/>
                <w:sz w:val="20"/>
                <w:szCs w:val="20"/>
              </w:rPr>
              <w:t>7,245,976.65</w:t>
            </w:r>
          </w:p>
        </w:tc>
      </w:tr>
    </w:tbl>
    <w:p w14:paraId="5B79E42C"/>
    <w:p w14:paraId="4C61EE62">
      <w:pPr>
        <w:pStyle w:val="48"/>
      </w:pPr>
      <w:r>
        <w:rPr>
          <w:rFonts w:hint="eastAsia"/>
        </w:rPr>
        <w:t>支付的其他与筹资活动有关的现金</w:t>
      </w:r>
    </w:p>
    <w:sdt>
      <w:sdtPr>
        <w:alias w:val="是否适用：支付的其他与筹资活动有关的现金[双击切换]"/>
        <w:tag w:val="_GBC_fcc0d0c43a2d4fa88ca685f3e36f2f40"/>
        <w:id w:val="-1161387722"/>
        <w:placeholder>
          <w:docPart w:val="GBC22222222222222222222222222222"/>
        </w:placeholder>
      </w:sdtPr>
      <w:sdtContent>
        <w:p w14:paraId="22F4B8BF">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B54E033">
      <w:pPr>
        <w:jc w:val="right"/>
      </w:pPr>
      <w:r>
        <w:rPr>
          <w:rFonts w:hint="eastAsia"/>
        </w:rPr>
        <w:t>单位：</w:t>
      </w:r>
      <w:sdt>
        <w:sdtPr>
          <w:rPr>
            <w:rFonts w:hint="eastAsia"/>
          </w:rPr>
          <w:alias w:val="单位：财务附注：支付的其他与筹资活动有关的现金"/>
          <w:tag w:val="_GBC_f301b3c53ede43608ccf55c09ef288e7"/>
          <w:id w:val="-172490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支付的其他与筹资活动有关的现金"/>
          <w:tag w:val="_GBC_462cc25e34014e2cb61c7b4f9232d7e5"/>
          <w:id w:val="-4125470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409"/>
        <w:gridCol w:w="2916"/>
        <w:gridCol w:w="2732"/>
      </w:tblGrid>
      <w:tr w14:paraId="38AC3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e2db8e0335cc47fe9b6461eeb2befa7e"/>
            <w:id w:val="-806094627"/>
          </w:sdtPr>
          <w:sdtContent>
            <w:tc>
              <w:tcPr>
                <w:tcW w:w="3409" w:type="dxa"/>
                <w:vAlign w:val="center"/>
              </w:tcPr>
              <w:p w14:paraId="01C96A65">
                <w:pPr>
                  <w:autoSpaceDE w:val="0"/>
                  <w:autoSpaceDN w:val="0"/>
                  <w:adjustRightInd w:val="0"/>
                  <w:snapToGrid w:val="0"/>
                  <w:jc w:val="center"/>
                  <w:rPr>
                    <w:rFonts w:ascii="Calibri" w:hAnsi="Calibri"/>
                    <w:sz w:val="20"/>
                    <w:szCs w:val="20"/>
                  </w:rPr>
                </w:pPr>
                <w:r>
                  <w:rPr>
                    <w:rFonts w:hint="eastAsia" w:ascii="Calibri" w:hAnsi="Calibri"/>
                    <w:sz w:val="20"/>
                    <w:szCs w:val="20"/>
                  </w:rPr>
                  <w:t>项目</w:t>
                </w:r>
              </w:p>
            </w:tc>
          </w:sdtContent>
        </w:sdt>
        <w:sdt>
          <w:sdtPr>
            <w:tag w:val="_PLD_bb4a54a8a5be4a6691e4d59483217c64"/>
            <w:id w:val="-1400891433"/>
          </w:sdtPr>
          <w:sdtContent>
            <w:tc>
              <w:tcPr>
                <w:tcW w:w="2916" w:type="dxa"/>
                <w:vAlign w:val="center"/>
              </w:tcPr>
              <w:p w14:paraId="7540E2B6">
                <w:pPr>
                  <w:autoSpaceDE w:val="0"/>
                  <w:autoSpaceDN w:val="0"/>
                  <w:adjustRightInd w:val="0"/>
                  <w:snapToGrid w:val="0"/>
                  <w:jc w:val="center"/>
                  <w:rPr>
                    <w:rFonts w:ascii="Calibri" w:hAnsi="Calibri"/>
                    <w:sz w:val="20"/>
                    <w:szCs w:val="20"/>
                  </w:rPr>
                </w:pPr>
                <w:r>
                  <w:rPr>
                    <w:rFonts w:hint="eastAsia" w:ascii="Calibri" w:hAnsi="Calibri"/>
                    <w:sz w:val="20"/>
                    <w:szCs w:val="20"/>
                  </w:rPr>
                  <w:t>本期发生额</w:t>
                </w:r>
              </w:p>
            </w:tc>
          </w:sdtContent>
        </w:sdt>
        <w:sdt>
          <w:sdtPr>
            <w:tag w:val="_PLD_a4930447bc4d450faf79f923eef8597b"/>
            <w:id w:val="-288667849"/>
          </w:sdtPr>
          <w:sdtContent>
            <w:tc>
              <w:tcPr>
                <w:tcW w:w="2732" w:type="dxa"/>
                <w:vAlign w:val="center"/>
              </w:tcPr>
              <w:p w14:paraId="300EA228">
                <w:pPr>
                  <w:autoSpaceDE w:val="0"/>
                  <w:autoSpaceDN w:val="0"/>
                  <w:adjustRightInd w:val="0"/>
                  <w:snapToGrid w:val="0"/>
                  <w:jc w:val="center"/>
                  <w:rPr>
                    <w:rFonts w:ascii="Calibri" w:hAnsi="Calibri"/>
                    <w:sz w:val="20"/>
                    <w:szCs w:val="20"/>
                  </w:rPr>
                </w:pPr>
                <w:r>
                  <w:rPr>
                    <w:rFonts w:hint="eastAsia" w:ascii="Calibri" w:hAnsi="Calibri"/>
                    <w:sz w:val="20"/>
                    <w:szCs w:val="20"/>
                  </w:rPr>
                  <w:t>上期发生额</w:t>
                </w:r>
              </w:p>
            </w:tc>
          </w:sdtContent>
        </w:sdt>
      </w:tr>
      <w:tr w14:paraId="1B46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3E9D5FB3">
            <w:pPr>
              <w:autoSpaceDE w:val="0"/>
              <w:autoSpaceDN w:val="0"/>
              <w:adjustRightInd w:val="0"/>
              <w:snapToGrid w:val="0"/>
              <w:rPr>
                <w:rFonts w:ascii="Calibri" w:hAnsi="Calibri"/>
                <w:sz w:val="20"/>
                <w:szCs w:val="20"/>
              </w:rPr>
            </w:pPr>
            <w:r>
              <w:rPr>
                <w:rFonts w:ascii="Calibri" w:hAnsi="Calibri"/>
                <w:sz w:val="20"/>
                <w:szCs w:val="20"/>
              </w:rPr>
              <w:t>支付待解散子公司少数股东投资款</w:t>
            </w:r>
          </w:p>
        </w:tc>
        <w:tc>
          <w:tcPr>
            <w:tcW w:w="2916" w:type="dxa"/>
            <w:vAlign w:val="center"/>
          </w:tcPr>
          <w:p w14:paraId="132FA430">
            <w:pPr>
              <w:jc w:val="right"/>
              <w:rPr>
                <w:rFonts w:ascii="Calibri" w:hAnsi="Calibri"/>
                <w:sz w:val="20"/>
                <w:szCs w:val="20"/>
              </w:rPr>
            </w:pPr>
          </w:p>
        </w:tc>
        <w:tc>
          <w:tcPr>
            <w:tcW w:w="2732" w:type="dxa"/>
            <w:vAlign w:val="center"/>
          </w:tcPr>
          <w:p w14:paraId="573F52B9">
            <w:pPr>
              <w:jc w:val="right"/>
              <w:rPr>
                <w:rFonts w:ascii="Calibri" w:hAnsi="Calibri"/>
                <w:sz w:val="20"/>
                <w:szCs w:val="20"/>
              </w:rPr>
            </w:pPr>
            <w:r>
              <w:rPr>
                <w:rFonts w:ascii="Calibri" w:hAnsi="Calibri"/>
                <w:sz w:val="20"/>
                <w:szCs w:val="20"/>
              </w:rPr>
              <w:t>60,000.00</w:t>
            </w:r>
          </w:p>
        </w:tc>
      </w:tr>
      <w:tr w14:paraId="3C45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406A1B53">
            <w:pPr>
              <w:autoSpaceDE w:val="0"/>
              <w:autoSpaceDN w:val="0"/>
              <w:adjustRightInd w:val="0"/>
              <w:snapToGrid w:val="0"/>
              <w:rPr>
                <w:rFonts w:ascii="Calibri" w:hAnsi="Calibri"/>
                <w:sz w:val="20"/>
                <w:szCs w:val="20"/>
              </w:rPr>
            </w:pPr>
            <w:r>
              <w:rPr>
                <w:rFonts w:ascii="Calibri" w:hAnsi="Calibri"/>
                <w:sz w:val="20"/>
                <w:szCs w:val="20"/>
              </w:rPr>
              <w:t>偿还应收账款保理融资款</w:t>
            </w:r>
          </w:p>
        </w:tc>
        <w:tc>
          <w:tcPr>
            <w:tcW w:w="2916" w:type="dxa"/>
            <w:vAlign w:val="center"/>
          </w:tcPr>
          <w:p w14:paraId="0101D609">
            <w:pPr>
              <w:jc w:val="right"/>
              <w:rPr>
                <w:rFonts w:ascii="Calibri" w:hAnsi="Calibri"/>
                <w:sz w:val="20"/>
                <w:szCs w:val="20"/>
              </w:rPr>
            </w:pPr>
          </w:p>
        </w:tc>
        <w:tc>
          <w:tcPr>
            <w:tcW w:w="2732" w:type="dxa"/>
            <w:vAlign w:val="center"/>
          </w:tcPr>
          <w:p w14:paraId="203987BD">
            <w:pPr>
              <w:jc w:val="right"/>
              <w:rPr>
                <w:rFonts w:ascii="Calibri" w:hAnsi="Calibri"/>
                <w:sz w:val="20"/>
                <w:szCs w:val="20"/>
              </w:rPr>
            </w:pPr>
            <w:r>
              <w:rPr>
                <w:rFonts w:ascii="Calibri" w:hAnsi="Calibri"/>
                <w:sz w:val="20"/>
                <w:szCs w:val="20"/>
              </w:rPr>
              <w:t>124,031,323.95</w:t>
            </w:r>
          </w:p>
        </w:tc>
      </w:tr>
      <w:tr w14:paraId="30F4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628DE67B">
            <w:pPr>
              <w:autoSpaceDE w:val="0"/>
              <w:autoSpaceDN w:val="0"/>
              <w:adjustRightInd w:val="0"/>
              <w:snapToGrid w:val="0"/>
              <w:rPr>
                <w:rFonts w:ascii="Calibri" w:hAnsi="Calibri"/>
                <w:sz w:val="20"/>
                <w:szCs w:val="20"/>
              </w:rPr>
            </w:pPr>
            <w:r>
              <w:rPr>
                <w:rFonts w:ascii="Calibri" w:hAnsi="Calibri"/>
                <w:sz w:val="20"/>
                <w:szCs w:val="20"/>
              </w:rPr>
              <w:t>回购已获授但未解锁的限制性股票本息</w:t>
            </w:r>
          </w:p>
        </w:tc>
        <w:tc>
          <w:tcPr>
            <w:tcW w:w="2916" w:type="dxa"/>
            <w:vAlign w:val="center"/>
          </w:tcPr>
          <w:p w14:paraId="0194B7AB">
            <w:pPr>
              <w:jc w:val="right"/>
              <w:rPr>
                <w:rFonts w:ascii="Calibri" w:hAnsi="Calibri"/>
                <w:sz w:val="20"/>
                <w:szCs w:val="20"/>
              </w:rPr>
            </w:pPr>
          </w:p>
        </w:tc>
        <w:tc>
          <w:tcPr>
            <w:tcW w:w="2732" w:type="dxa"/>
            <w:vAlign w:val="center"/>
          </w:tcPr>
          <w:p w14:paraId="2CB9D56C">
            <w:pPr>
              <w:jc w:val="right"/>
              <w:rPr>
                <w:rFonts w:ascii="Calibri" w:hAnsi="Calibri"/>
                <w:sz w:val="20"/>
                <w:szCs w:val="20"/>
              </w:rPr>
            </w:pPr>
            <w:r>
              <w:rPr>
                <w:rFonts w:ascii="Calibri" w:hAnsi="Calibri"/>
                <w:sz w:val="20"/>
                <w:szCs w:val="20"/>
              </w:rPr>
              <w:t>16,302,622.65</w:t>
            </w:r>
          </w:p>
        </w:tc>
      </w:tr>
      <w:tr w14:paraId="7F0A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0B754066">
            <w:pPr>
              <w:autoSpaceDE w:val="0"/>
              <w:autoSpaceDN w:val="0"/>
              <w:adjustRightInd w:val="0"/>
              <w:snapToGrid w:val="0"/>
              <w:rPr>
                <w:rFonts w:ascii="Calibri" w:hAnsi="Calibri"/>
                <w:sz w:val="20"/>
                <w:szCs w:val="20"/>
              </w:rPr>
            </w:pPr>
            <w:r>
              <w:rPr>
                <w:rFonts w:ascii="Calibri" w:hAnsi="Calibri"/>
                <w:sz w:val="20"/>
                <w:szCs w:val="20"/>
              </w:rPr>
              <w:t>回购本公司股份用于注销或股权激励</w:t>
            </w:r>
          </w:p>
        </w:tc>
        <w:tc>
          <w:tcPr>
            <w:tcW w:w="2916" w:type="dxa"/>
            <w:vAlign w:val="center"/>
          </w:tcPr>
          <w:p w14:paraId="5A060A01">
            <w:pPr>
              <w:jc w:val="right"/>
              <w:rPr>
                <w:rFonts w:ascii="Calibri" w:hAnsi="Calibri"/>
                <w:sz w:val="20"/>
                <w:szCs w:val="20"/>
              </w:rPr>
            </w:pPr>
          </w:p>
        </w:tc>
        <w:tc>
          <w:tcPr>
            <w:tcW w:w="2732" w:type="dxa"/>
            <w:vAlign w:val="center"/>
          </w:tcPr>
          <w:p w14:paraId="0D7C8860">
            <w:pPr>
              <w:jc w:val="right"/>
              <w:rPr>
                <w:rFonts w:ascii="Calibri" w:hAnsi="Calibri"/>
                <w:sz w:val="20"/>
                <w:szCs w:val="20"/>
              </w:rPr>
            </w:pPr>
            <w:r>
              <w:rPr>
                <w:rFonts w:ascii="Calibri" w:hAnsi="Calibri"/>
                <w:sz w:val="20"/>
                <w:szCs w:val="20"/>
              </w:rPr>
              <w:t>300,279,281.09</w:t>
            </w:r>
          </w:p>
        </w:tc>
      </w:tr>
      <w:tr w14:paraId="5185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21F2A8AA">
            <w:pPr>
              <w:autoSpaceDE w:val="0"/>
              <w:autoSpaceDN w:val="0"/>
              <w:adjustRightInd w:val="0"/>
              <w:snapToGrid w:val="0"/>
              <w:rPr>
                <w:rFonts w:ascii="Calibri" w:hAnsi="Calibri"/>
                <w:sz w:val="20"/>
                <w:szCs w:val="20"/>
              </w:rPr>
            </w:pPr>
            <w:r>
              <w:rPr>
                <w:rFonts w:ascii="Calibri" w:hAnsi="Calibri"/>
                <w:sz w:val="20"/>
                <w:szCs w:val="20"/>
              </w:rPr>
              <w:t>支付租赁负债保证金和租金</w:t>
            </w:r>
          </w:p>
        </w:tc>
        <w:tc>
          <w:tcPr>
            <w:tcW w:w="2916" w:type="dxa"/>
            <w:vAlign w:val="center"/>
          </w:tcPr>
          <w:p w14:paraId="3147A225">
            <w:pPr>
              <w:jc w:val="right"/>
              <w:rPr>
                <w:rFonts w:ascii="Calibri" w:hAnsi="Calibri"/>
                <w:sz w:val="20"/>
                <w:szCs w:val="20"/>
              </w:rPr>
            </w:pPr>
            <w:r>
              <w:rPr>
                <w:rFonts w:ascii="Calibri" w:hAnsi="Calibri"/>
                <w:sz w:val="20"/>
                <w:szCs w:val="20"/>
              </w:rPr>
              <w:t>7,206,946.01</w:t>
            </w:r>
          </w:p>
        </w:tc>
        <w:tc>
          <w:tcPr>
            <w:tcW w:w="2732" w:type="dxa"/>
            <w:vAlign w:val="center"/>
          </w:tcPr>
          <w:p w14:paraId="3C5C2F9B">
            <w:pPr>
              <w:jc w:val="right"/>
              <w:rPr>
                <w:rFonts w:ascii="Calibri" w:hAnsi="Calibri"/>
                <w:sz w:val="20"/>
                <w:szCs w:val="20"/>
              </w:rPr>
            </w:pPr>
            <w:r>
              <w:rPr>
                <w:rFonts w:ascii="Calibri" w:hAnsi="Calibri"/>
                <w:sz w:val="20"/>
                <w:szCs w:val="20"/>
              </w:rPr>
              <w:t>2,994,883.85</w:t>
            </w:r>
          </w:p>
        </w:tc>
      </w:tr>
      <w:tr w14:paraId="6356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5FE2A7C0">
            <w:pPr>
              <w:autoSpaceDE w:val="0"/>
              <w:autoSpaceDN w:val="0"/>
              <w:adjustRightInd w:val="0"/>
              <w:snapToGrid w:val="0"/>
              <w:rPr>
                <w:rFonts w:ascii="Calibri" w:hAnsi="Calibri"/>
                <w:sz w:val="20"/>
                <w:szCs w:val="20"/>
              </w:rPr>
            </w:pPr>
            <w:r>
              <w:rPr>
                <w:rFonts w:ascii="Calibri" w:hAnsi="Calibri"/>
                <w:sz w:val="20"/>
                <w:szCs w:val="20"/>
              </w:rPr>
              <w:t>回购库存股</w:t>
            </w:r>
          </w:p>
        </w:tc>
        <w:tc>
          <w:tcPr>
            <w:tcW w:w="2916" w:type="dxa"/>
            <w:vAlign w:val="center"/>
          </w:tcPr>
          <w:p w14:paraId="70794D67">
            <w:pPr>
              <w:jc w:val="right"/>
              <w:rPr>
                <w:rFonts w:ascii="Calibri" w:hAnsi="Calibri"/>
                <w:sz w:val="20"/>
                <w:szCs w:val="20"/>
              </w:rPr>
            </w:pPr>
            <w:r>
              <w:rPr>
                <w:rFonts w:ascii="Calibri" w:hAnsi="Calibri"/>
                <w:sz w:val="20"/>
                <w:szCs w:val="20"/>
              </w:rPr>
              <w:t>27,596,629.06</w:t>
            </w:r>
          </w:p>
        </w:tc>
        <w:tc>
          <w:tcPr>
            <w:tcW w:w="2732" w:type="dxa"/>
            <w:vAlign w:val="center"/>
          </w:tcPr>
          <w:p w14:paraId="246B65E2">
            <w:pPr>
              <w:jc w:val="right"/>
              <w:rPr>
                <w:rFonts w:ascii="Calibri" w:hAnsi="Calibri"/>
                <w:sz w:val="20"/>
                <w:szCs w:val="20"/>
              </w:rPr>
            </w:pPr>
          </w:p>
        </w:tc>
      </w:tr>
      <w:tr w14:paraId="4395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3409" w:type="dxa"/>
            <w:vAlign w:val="center"/>
          </w:tcPr>
          <w:p w14:paraId="02332FFF">
            <w:pPr>
              <w:autoSpaceDE w:val="0"/>
              <w:autoSpaceDN w:val="0"/>
              <w:adjustRightInd w:val="0"/>
              <w:snapToGrid w:val="0"/>
              <w:jc w:val="center"/>
              <w:rPr>
                <w:rFonts w:ascii="Calibri" w:hAnsi="Calibri"/>
                <w:sz w:val="20"/>
                <w:szCs w:val="20"/>
              </w:rPr>
            </w:pPr>
            <w:r>
              <w:rPr>
                <w:rFonts w:hint="eastAsia" w:ascii="Calibri" w:hAnsi="Calibri"/>
                <w:sz w:val="20"/>
                <w:szCs w:val="20"/>
              </w:rPr>
              <w:t>合计</w:t>
            </w:r>
          </w:p>
        </w:tc>
        <w:tc>
          <w:tcPr>
            <w:tcW w:w="2916" w:type="dxa"/>
            <w:vAlign w:val="center"/>
          </w:tcPr>
          <w:p w14:paraId="4BC7F690">
            <w:pPr>
              <w:jc w:val="right"/>
              <w:rPr>
                <w:rFonts w:ascii="Calibri" w:hAnsi="Calibri"/>
                <w:sz w:val="20"/>
                <w:szCs w:val="20"/>
              </w:rPr>
            </w:pPr>
            <w:r>
              <w:rPr>
                <w:rFonts w:ascii="Calibri" w:hAnsi="Calibri"/>
                <w:sz w:val="20"/>
                <w:szCs w:val="20"/>
              </w:rPr>
              <w:t>34,803,575.07</w:t>
            </w:r>
          </w:p>
        </w:tc>
        <w:tc>
          <w:tcPr>
            <w:tcW w:w="2732" w:type="dxa"/>
            <w:vAlign w:val="center"/>
          </w:tcPr>
          <w:p w14:paraId="5C6BF636">
            <w:pPr>
              <w:jc w:val="right"/>
              <w:rPr>
                <w:rFonts w:ascii="Calibri" w:hAnsi="Calibri"/>
                <w:sz w:val="20"/>
                <w:szCs w:val="20"/>
              </w:rPr>
            </w:pPr>
            <w:r>
              <w:rPr>
                <w:rFonts w:ascii="Calibri" w:hAnsi="Calibri"/>
                <w:sz w:val="20"/>
                <w:szCs w:val="20"/>
              </w:rPr>
              <w:t>443,668,111.54</w:t>
            </w:r>
          </w:p>
        </w:tc>
      </w:tr>
    </w:tbl>
    <w:p w14:paraId="21CA2610"/>
    <w:p w14:paraId="01E65B4D">
      <w:pPr>
        <w:ind w:right="5"/>
      </w:pPr>
    </w:p>
    <w:p w14:paraId="45AF95B7">
      <w:pPr>
        <w:ind w:right="5"/>
      </w:pPr>
      <w:r>
        <w:rPr>
          <w:rFonts w:hint="eastAsia"/>
        </w:rPr>
        <w:t>筹资活动产生的各项负债变动情况</w:t>
      </w:r>
    </w:p>
    <w:sdt>
      <w:sdtPr>
        <w:alias w:val="是否适用：筹资活动产生的各项负债变动情况[双击切换]"/>
        <w:tag w:val="_GBC_6935418490e145edaf7010b5534b8d6c"/>
        <w:id w:val="-255988437"/>
        <w:placeholder>
          <w:docPart w:val="GBC22222222222222222222222222222"/>
        </w:placeholder>
      </w:sdtPr>
      <w:sdtContent>
        <w:p w14:paraId="14FF020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1F6DF9E">
      <w:pPr>
        <w:jc w:val="right"/>
      </w:pPr>
      <w:r>
        <w:rPr>
          <w:rFonts w:hint="eastAsia"/>
        </w:rPr>
        <w:t>单位：</w:t>
      </w:r>
      <w:sdt>
        <w:sdtPr>
          <w:rPr>
            <w:rFonts w:hint="eastAsia"/>
          </w:rPr>
          <w:alias w:val="单位：筹资活动产生的各项负债变动情况"/>
          <w:tag w:val="_GBC_925389d7776444c688d3aa66f662adfd"/>
          <w:id w:val="15557328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筹资活动产生的各项负债变动情况"/>
          <w:tag w:val="_GBC_3a33ea855d774ed4a7e23b58b10b2ecd"/>
          <w:id w:val="13622514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10774"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276"/>
        <w:gridCol w:w="1701"/>
        <w:gridCol w:w="1560"/>
        <w:gridCol w:w="1559"/>
        <w:gridCol w:w="1559"/>
        <w:gridCol w:w="1559"/>
        <w:gridCol w:w="1560"/>
      </w:tblGrid>
      <w:tr w14:paraId="4E17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5" w:hRule="atLeast"/>
        </w:trPr>
        <w:sdt>
          <w:sdtPr>
            <w:tag w:val="_PLD_5f8ab210fee34d74a9ce8c73775994d9"/>
            <w:id w:val="-751968331"/>
          </w:sdtPr>
          <w:sdtContent>
            <w:tc>
              <w:tcPr>
                <w:tcW w:w="1276" w:type="dxa"/>
                <w:vMerge w:val="restart"/>
                <w:vAlign w:val="center"/>
              </w:tcPr>
              <w:p w14:paraId="7A6B66BD">
                <w:pPr>
                  <w:autoSpaceDE w:val="0"/>
                  <w:autoSpaceDN w:val="0"/>
                  <w:adjustRightInd w:val="0"/>
                  <w:snapToGrid w:val="0"/>
                  <w:jc w:val="center"/>
                  <w:rPr>
                    <w:rFonts w:ascii="Calibri" w:hAnsi="Calibri"/>
                    <w:sz w:val="20"/>
                    <w:szCs w:val="20"/>
                  </w:rPr>
                </w:pPr>
                <w:r>
                  <w:rPr>
                    <w:rFonts w:hint="eastAsia" w:ascii="Calibri" w:hAnsi="Calibri"/>
                    <w:sz w:val="20"/>
                    <w:szCs w:val="20"/>
                  </w:rPr>
                  <w:t>项目</w:t>
                </w:r>
              </w:p>
            </w:tc>
          </w:sdtContent>
        </w:sdt>
        <w:sdt>
          <w:sdtPr>
            <w:tag w:val="_PLD_bab049d4c26d47d49041c46652b3d748"/>
            <w:id w:val="-1711102756"/>
          </w:sdtPr>
          <w:sdtContent>
            <w:tc>
              <w:tcPr>
                <w:tcW w:w="1701" w:type="dxa"/>
                <w:vMerge w:val="restart"/>
                <w:vAlign w:val="center"/>
              </w:tcPr>
              <w:p w14:paraId="45E35768">
                <w:pPr>
                  <w:autoSpaceDE w:val="0"/>
                  <w:autoSpaceDN w:val="0"/>
                  <w:adjustRightInd w:val="0"/>
                  <w:snapToGrid w:val="0"/>
                  <w:jc w:val="center"/>
                  <w:rPr>
                    <w:rFonts w:ascii="Calibri" w:hAnsi="Calibri"/>
                    <w:sz w:val="20"/>
                    <w:szCs w:val="20"/>
                  </w:rPr>
                </w:pPr>
                <w:r>
                  <w:rPr>
                    <w:rFonts w:ascii="Calibri" w:hAnsi="Calibri"/>
                    <w:sz w:val="20"/>
                    <w:szCs w:val="20"/>
                  </w:rPr>
                  <w:t>期初余额</w:t>
                </w:r>
              </w:p>
            </w:tc>
          </w:sdtContent>
        </w:sdt>
        <w:sdt>
          <w:sdtPr>
            <w:tag w:val="_PLD_440b2c54c3664dc199a52a962ffbbdd3"/>
            <w:id w:val="-113135185"/>
          </w:sdtPr>
          <w:sdtContent>
            <w:tc>
              <w:tcPr>
                <w:tcW w:w="3119" w:type="dxa"/>
                <w:gridSpan w:val="2"/>
                <w:vAlign w:val="center"/>
              </w:tcPr>
              <w:p w14:paraId="1EC93AB9">
                <w:pPr>
                  <w:autoSpaceDE w:val="0"/>
                  <w:autoSpaceDN w:val="0"/>
                  <w:adjustRightInd w:val="0"/>
                  <w:snapToGrid w:val="0"/>
                  <w:jc w:val="center"/>
                  <w:rPr>
                    <w:rFonts w:ascii="Calibri" w:hAnsi="Calibri"/>
                    <w:sz w:val="20"/>
                    <w:szCs w:val="20"/>
                  </w:rPr>
                </w:pPr>
                <w:r>
                  <w:rPr>
                    <w:rFonts w:hint="eastAsia" w:ascii="Calibri" w:hAnsi="Calibri"/>
                    <w:sz w:val="20"/>
                    <w:szCs w:val="20"/>
                  </w:rPr>
                  <w:t>本期增加</w:t>
                </w:r>
              </w:p>
            </w:tc>
          </w:sdtContent>
        </w:sdt>
        <w:sdt>
          <w:sdtPr>
            <w:tag w:val="_PLD_4dc104f2ec524f5a86e41fb0db78ed82"/>
            <w:id w:val="-263997958"/>
          </w:sdtPr>
          <w:sdtContent>
            <w:tc>
              <w:tcPr>
                <w:tcW w:w="3118" w:type="dxa"/>
                <w:gridSpan w:val="2"/>
                <w:vAlign w:val="center"/>
              </w:tcPr>
              <w:p w14:paraId="5E7AB598">
                <w:pPr>
                  <w:autoSpaceDE w:val="0"/>
                  <w:autoSpaceDN w:val="0"/>
                  <w:adjustRightInd w:val="0"/>
                  <w:snapToGrid w:val="0"/>
                  <w:jc w:val="center"/>
                  <w:rPr>
                    <w:rFonts w:ascii="Calibri" w:hAnsi="Calibri"/>
                    <w:sz w:val="20"/>
                    <w:szCs w:val="20"/>
                  </w:rPr>
                </w:pPr>
                <w:r>
                  <w:rPr>
                    <w:rFonts w:hint="eastAsia" w:ascii="Calibri" w:hAnsi="Calibri"/>
                    <w:sz w:val="20"/>
                    <w:szCs w:val="20"/>
                  </w:rPr>
                  <w:t>本期减少</w:t>
                </w:r>
              </w:p>
            </w:tc>
          </w:sdtContent>
        </w:sdt>
        <w:sdt>
          <w:sdtPr>
            <w:tag w:val="_PLD_54378f5247a844d49aa0017541fa519d"/>
            <w:id w:val="-1740864502"/>
          </w:sdtPr>
          <w:sdtContent>
            <w:tc>
              <w:tcPr>
                <w:tcW w:w="1560" w:type="dxa"/>
                <w:vMerge w:val="restart"/>
                <w:vAlign w:val="center"/>
              </w:tcPr>
              <w:p w14:paraId="7856C2BF">
                <w:pPr>
                  <w:autoSpaceDE w:val="0"/>
                  <w:autoSpaceDN w:val="0"/>
                  <w:adjustRightInd w:val="0"/>
                  <w:snapToGrid w:val="0"/>
                  <w:jc w:val="center"/>
                  <w:rPr>
                    <w:rFonts w:ascii="Calibri" w:hAnsi="Calibri"/>
                    <w:sz w:val="20"/>
                    <w:szCs w:val="20"/>
                  </w:rPr>
                </w:pPr>
                <w:r>
                  <w:rPr>
                    <w:rFonts w:hint="eastAsia" w:ascii="Calibri" w:hAnsi="Calibri"/>
                    <w:sz w:val="20"/>
                    <w:szCs w:val="20"/>
                  </w:rPr>
                  <w:t>期末余额</w:t>
                </w:r>
              </w:p>
            </w:tc>
          </w:sdtContent>
        </w:sdt>
      </w:tr>
      <w:tr w14:paraId="2F56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5" w:hRule="atLeast"/>
        </w:trPr>
        <w:tc>
          <w:tcPr>
            <w:tcW w:w="1276" w:type="dxa"/>
            <w:vMerge w:val="continue"/>
            <w:vAlign w:val="center"/>
          </w:tcPr>
          <w:p w14:paraId="60A63350">
            <w:pPr>
              <w:autoSpaceDE w:val="0"/>
              <w:autoSpaceDN w:val="0"/>
              <w:adjustRightInd w:val="0"/>
              <w:snapToGrid w:val="0"/>
              <w:jc w:val="center"/>
              <w:rPr>
                <w:rFonts w:ascii="Calibri" w:hAnsi="Calibri"/>
                <w:sz w:val="20"/>
                <w:szCs w:val="20"/>
              </w:rPr>
            </w:pPr>
          </w:p>
        </w:tc>
        <w:tc>
          <w:tcPr>
            <w:tcW w:w="1701" w:type="dxa"/>
            <w:vMerge w:val="continue"/>
            <w:vAlign w:val="center"/>
          </w:tcPr>
          <w:p w14:paraId="44C9CB03">
            <w:pPr>
              <w:autoSpaceDE w:val="0"/>
              <w:autoSpaceDN w:val="0"/>
              <w:adjustRightInd w:val="0"/>
              <w:snapToGrid w:val="0"/>
              <w:jc w:val="center"/>
              <w:rPr>
                <w:rFonts w:ascii="Calibri" w:hAnsi="Calibri"/>
                <w:sz w:val="20"/>
                <w:szCs w:val="20"/>
              </w:rPr>
            </w:pPr>
          </w:p>
        </w:tc>
        <w:sdt>
          <w:sdtPr>
            <w:tag w:val="_PLD_420e321954544771b0b73780f2164d28"/>
            <w:id w:val="-701931768"/>
          </w:sdtPr>
          <w:sdtContent>
            <w:tc>
              <w:tcPr>
                <w:tcW w:w="1560" w:type="dxa"/>
                <w:vAlign w:val="center"/>
              </w:tcPr>
              <w:p w14:paraId="0E354446">
                <w:pPr>
                  <w:autoSpaceDE w:val="0"/>
                  <w:autoSpaceDN w:val="0"/>
                  <w:adjustRightInd w:val="0"/>
                  <w:snapToGrid w:val="0"/>
                  <w:jc w:val="center"/>
                  <w:rPr>
                    <w:rFonts w:ascii="Calibri" w:hAnsi="Calibri"/>
                    <w:sz w:val="20"/>
                    <w:szCs w:val="20"/>
                  </w:rPr>
                </w:pPr>
                <w:r>
                  <w:rPr>
                    <w:rFonts w:ascii="Calibri" w:hAnsi="Calibri"/>
                    <w:sz w:val="20"/>
                    <w:szCs w:val="20"/>
                  </w:rPr>
                  <w:t>现金变动</w:t>
                </w:r>
              </w:p>
            </w:tc>
          </w:sdtContent>
        </w:sdt>
        <w:sdt>
          <w:sdtPr>
            <w:tag w:val="_PLD_258fabff104642c7837f9d6f4d653a0f"/>
            <w:id w:val="198819987"/>
          </w:sdtPr>
          <w:sdtContent>
            <w:tc>
              <w:tcPr>
                <w:tcW w:w="1559" w:type="dxa"/>
                <w:vAlign w:val="center"/>
              </w:tcPr>
              <w:p w14:paraId="0C078359">
                <w:pPr>
                  <w:autoSpaceDE w:val="0"/>
                  <w:autoSpaceDN w:val="0"/>
                  <w:adjustRightInd w:val="0"/>
                  <w:snapToGrid w:val="0"/>
                  <w:jc w:val="center"/>
                  <w:rPr>
                    <w:rFonts w:ascii="Calibri" w:hAnsi="Calibri"/>
                    <w:sz w:val="20"/>
                    <w:szCs w:val="20"/>
                  </w:rPr>
                </w:pPr>
                <w:r>
                  <w:rPr>
                    <w:rFonts w:ascii="Calibri" w:hAnsi="Calibri"/>
                    <w:sz w:val="20"/>
                    <w:szCs w:val="20"/>
                  </w:rPr>
                  <w:t>非现金变动</w:t>
                </w:r>
              </w:p>
            </w:tc>
          </w:sdtContent>
        </w:sdt>
        <w:sdt>
          <w:sdtPr>
            <w:tag w:val="_PLD_3c34596330aa4ababb3e1ef50efc7668"/>
            <w:id w:val="819859472"/>
          </w:sdtPr>
          <w:sdtContent>
            <w:tc>
              <w:tcPr>
                <w:tcW w:w="1559" w:type="dxa"/>
                <w:vAlign w:val="center"/>
              </w:tcPr>
              <w:p w14:paraId="20A15446">
                <w:pPr>
                  <w:autoSpaceDE w:val="0"/>
                  <w:autoSpaceDN w:val="0"/>
                  <w:adjustRightInd w:val="0"/>
                  <w:snapToGrid w:val="0"/>
                  <w:jc w:val="center"/>
                  <w:rPr>
                    <w:rFonts w:ascii="Calibri" w:hAnsi="Calibri"/>
                    <w:sz w:val="20"/>
                    <w:szCs w:val="20"/>
                  </w:rPr>
                </w:pPr>
                <w:r>
                  <w:rPr>
                    <w:rFonts w:ascii="Calibri" w:hAnsi="Calibri"/>
                    <w:sz w:val="20"/>
                    <w:szCs w:val="20"/>
                  </w:rPr>
                  <w:t>现金变动</w:t>
                </w:r>
              </w:p>
            </w:tc>
          </w:sdtContent>
        </w:sdt>
        <w:sdt>
          <w:sdtPr>
            <w:tag w:val="_PLD_5640b38554e340769223289d39b620da"/>
            <w:id w:val="-1883014377"/>
          </w:sdtPr>
          <w:sdtContent>
            <w:tc>
              <w:tcPr>
                <w:tcW w:w="1559" w:type="dxa"/>
                <w:vAlign w:val="center"/>
              </w:tcPr>
              <w:p w14:paraId="65FA9E48">
                <w:pPr>
                  <w:autoSpaceDE w:val="0"/>
                  <w:autoSpaceDN w:val="0"/>
                  <w:adjustRightInd w:val="0"/>
                  <w:snapToGrid w:val="0"/>
                  <w:jc w:val="center"/>
                  <w:rPr>
                    <w:rFonts w:ascii="Calibri" w:hAnsi="Calibri"/>
                    <w:sz w:val="20"/>
                    <w:szCs w:val="20"/>
                  </w:rPr>
                </w:pPr>
                <w:r>
                  <w:rPr>
                    <w:rFonts w:ascii="Calibri" w:hAnsi="Calibri"/>
                    <w:sz w:val="20"/>
                    <w:szCs w:val="20"/>
                  </w:rPr>
                  <w:t>非现金变动</w:t>
                </w:r>
              </w:p>
            </w:tc>
          </w:sdtContent>
        </w:sdt>
        <w:tc>
          <w:tcPr>
            <w:tcW w:w="1560" w:type="dxa"/>
            <w:vMerge w:val="continue"/>
            <w:vAlign w:val="center"/>
          </w:tcPr>
          <w:p w14:paraId="2807CE7C">
            <w:pPr>
              <w:autoSpaceDE w:val="0"/>
              <w:autoSpaceDN w:val="0"/>
              <w:adjustRightInd w:val="0"/>
              <w:snapToGrid w:val="0"/>
              <w:jc w:val="center"/>
              <w:rPr>
                <w:rFonts w:ascii="Calibri" w:hAnsi="Calibri"/>
                <w:sz w:val="20"/>
                <w:szCs w:val="20"/>
              </w:rPr>
            </w:pPr>
          </w:p>
        </w:tc>
      </w:tr>
      <w:tr w14:paraId="3443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276" w:type="dxa"/>
            <w:vAlign w:val="center"/>
          </w:tcPr>
          <w:p w14:paraId="28AB809D">
            <w:pPr>
              <w:autoSpaceDE w:val="0"/>
              <w:autoSpaceDN w:val="0"/>
              <w:adjustRightInd w:val="0"/>
              <w:snapToGrid w:val="0"/>
              <w:rPr>
                <w:rFonts w:ascii="Calibri" w:hAnsi="Calibri"/>
                <w:sz w:val="20"/>
                <w:szCs w:val="20"/>
              </w:rPr>
            </w:pPr>
            <w:r>
              <w:rPr>
                <w:rFonts w:ascii="Calibri" w:hAnsi="Calibri"/>
                <w:sz w:val="20"/>
                <w:szCs w:val="20"/>
              </w:rPr>
              <w:t>短期借款</w:t>
            </w:r>
          </w:p>
        </w:tc>
        <w:tc>
          <w:tcPr>
            <w:tcW w:w="1701" w:type="dxa"/>
            <w:vAlign w:val="center"/>
          </w:tcPr>
          <w:p w14:paraId="3A2FC418">
            <w:pPr>
              <w:jc w:val="right"/>
              <w:rPr>
                <w:rFonts w:ascii="Calibri" w:hAnsi="Calibri"/>
              </w:rPr>
            </w:pPr>
            <w:r>
              <w:rPr>
                <w:rFonts w:ascii="Calibri" w:hAnsi="Calibri"/>
              </w:rPr>
              <w:t>416,758,991.22</w:t>
            </w:r>
          </w:p>
        </w:tc>
        <w:tc>
          <w:tcPr>
            <w:tcW w:w="1560" w:type="dxa"/>
            <w:vAlign w:val="center"/>
          </w:tcPr>
          <w:p w14:paraId="36B94BA6">
            <w:pPr>
              <w:jc w:val="right"/>
              <w:rPr>
                <w:rFonts w:ascii="Calibri" w:hAnsi="Calibri"/>
              </w:rPr>
            </w:pPr>
            <w:r>
              <w:rPr>
                <w:rFonts w:ascii="Calibri" w:hAnsi="Calibri"/>
              </w:rPr>
              <w:t>203,000,000.00</w:t>
            </w:r>
          </w:p>
        </w:tc>
        <w:tc>
          <w:tcPr>
            <w:tcW w:w="1559" w:type="dxa"/>
            <w:vAlign w:val="center"/>
          </w:tcPr>
          <w:p w14:paraId="1DBA30C5">
            <w:pPr>
              <w:jc w:val="right"/>
              <w:rPr>
                <w:rFonts w:ascii="Calibri" w:hAnsi="Calibri"/>
              </w:rPr>
            </w:pPr>
            <w:r>
              <w:rPr>
                <w:rFonts w:ascii="Calibri" w:hAnsi="Calibri"/>
              </w:rPr>
              <w:t>24,236.11</w:t>
            </w:r>
          </w:p>
        </w:tc>
        <w:tc>
          <w:tcPr>
            <w:tcW w:w="1559" w:type="dxa"/>
            <w:vAlign w:val="center"/>
          </w:tcPr>
          <w:p w14:paraId="46837D8E">
            <w:pPr>
              <w:jc w:val="right"/>
              <w:rPr>
                <w:rFonts w:ascii="Calibri" w:hAnsi="Calibri"/>
              </w:rPr>
            </w:pPr>
            <w:r>
              <w:rPr>
                <w:rFonts w:ascii="Calibri" w:hAnsi="Calibri"/>
              </w:rPr>
              <w:t>584,247,463.22</w:t>
            </w:r>
          </w:p>
        </w:tc>
        <w:tc>
          <w:tcPr>
            <w:tcW w:w="1559" w:type="dxa"/>
            <w:vAlign w:val="center"/>
          </w:tcPr>
          <w:p w14:paraId="694086B8">
            <w:pPr>
              <w:jc w:val="right"/>
              <w:rPr>
                <w:rFonts w:ascii="Calibri" w:hAnsi="Calibri"/>
              </w:rPr>
            </w:pPr>
            <w:r>
              <w:rPr>
                <w:rFonts w:ascii="Calibri" w:hAnsi="Calibri"/>
              </w:rPr>
              <w:t>2,511,528.00</w:t>
            </w:r>
          </w:p>
        </w:tc>
        <w:tc>
          <w:tcPr>
            <w:tcW w:w="1560" w:type="dxa"/>
            <w:vAlign w:val="center"/>
          </w:tcPr>
          <w:p w14:paraId="50D96F15">
            <w:pPr>
              <w:jc w:val="right"/>
              <w:rPr>
                <w:rFonts w:ascii="Calibri" w:hAnsi="Calibri"/>
              </w:rPr>
            </w:pPr>
            <w:r>
              <w:rPr>
                <w:rFonts w:ascii="Calibri" w:hAnsi="Calibri"/>
              </w:rPr>
              <w:t>33,024,236.11</w:t>
            </w:r>
          </w:p>
        </w:tc>
      </w:tr>
      <w:tr w14:paraId="47AA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276" w:type="dxa"/>
            <w:vAlign w:val="center"/>
          </w:tcPr>
          <w:p w14:paraId="2E9B7A3B">
            <w:pPr>
              <w:autoSpaceDE w:val="0"/>
              <w:autoSpaceDN w:val="0"/>
              <w:adjustRightInd w:val="0"/>
              <w:snapToGrid w:val="0"/>
              <w:rPr>
                <w:rFonts w:ascii="Calibri" w:hAnsi="Calibri"/>
                <w:sz w:val="20"/>
                <w:szCs w:val="20"/>
              </w:rPr>
            </w:pPr>
            <w:r>
              <w:rPr>
                <w:rFonts w:ascii="Calibri" w:hAnsi="Calibri"/>
                <w:sz w:val="20"/>
                <w:szCs w:val="20"/>
              </w:rPr>
              <w:t>长期借款</w:t>
            </w:r>
          </w:p>
        </w:tc>
        <w:tc>
          <w:tcPr>
            <w:tcW w:w="1701" w:type="dxa"/>
            <w:vAlign w:val="center"/>
          </w:tcPr>
          <w:p w14:paraId="6A859737">
            <w:pPr>
              <w:jc w:val="right"/>
              <w:rPr>
                <w:rFonts w:ascii="Calibri" w:hAnsi="Calibri"/>
              </w:rPr>
            </w:pPr>
            <w:r>
              <w:rPr>
                <w:rFonts w:ascii="Calibri" w:hAnsi="Calibri"/>
              </w:rPr>
              <w:t>253,490,000.00</w:t>
            </w:r>
          </w:p>
        </w:tc>
        <w:tc>
          <w:tcPr>
            <w:tcW w:w="1560" w:type="dxa"/>
            <w:vAlign w:val="center"/>
          </w:tcPr>
          <w:p w14:paraId="4F4E44FF">
            <w:pPr>
              <w:jc w:val="right"/>
              <w:rPr>
                <w:rFonts w:ascii="Calibri" w:hAnsi="Calibri"/>
              </w:rPr>
            </w:pPr>
            <w:r>
              <w:rPr>
                <w:rFonts w:ascii="Calibri" w:hAnsi="Calibri"/>
              </w:rPr>
              <w:t>270,100,000.00</w:t>
            </w:r>
          </w:p>
        </w:tc>
        <w:tc>
          <w:tcPr>
            <w:tcW w:w="1559" w:type="dxa"/>
            <w:vAlign w:val="center"/>
          </w:tcPr>
          <w:p w14:paraId="6757EF50">
            <w:pPr>
              <w:jc w:val="right"/>
              <w:rPr>
                <w:rFonts w:ascii="Calibri" w:hAnsi="Calibri"/>
              </w:rPr>
            </w:pPr>
          </w:p>
        </w:tc>
        <w:tc>
          <w:tcPr>
            <w:tcW w:w="1559" w:type="dxa"/>
            <w:vAlign w:val="center"/>
          </w:tcPr>
          <w:p w14:paraId="0F6CDA76">
            <w:pPr>
              <w:jc w:val="right"/>
              <w:rPr>
                <w:rFonts w:ascii="Calibri" w:hAnsi="Calibri"/>
              </w:rPr>
            </w:pPr>
            <w:r>
              <w:rPr>
                <w:rFonts w:ascii="Calibri" w:hAnsi="Calibri"/>
              </w:rPr>
              <w:t>64,650,000.00</w:t>
            </w:r>
          </w:p>
        </w:tc>
        <w:tc>
          <w:tcPr>
            <w:tcW w:w="1559" w:type="dxa"/>
            <w:vAlign w:val="center"/>
          </w:tcPr>
          <w:p w14:paraId="29B250D0">
            <w:pPr>
              <w:jc w:val="right"/>
              <w:rPr>
                <w:rFonts w:ascii="Calibri" w:hAnsi="Calibri"/>
              </w:rPr>
            </w:pPr>
            <w:r>
              <w:rPr>
                <w:rFonts w:ascii="Calibri" w:hAnsi="Calibri"/>
              </w:rPr>
              <w:t>266,750,000.00</w:t>
            </w:r>
          </w:p>
        </w:tc>
        <w:tc>
          <w:tcPr>
            <w:tcW w:w="1560" w:type="dxa"/>
            <w:vAlign w:val="center"/>
          </w:tcPr>
          <w:p w14:paraId="43BBB587">
            <w:pPr>
              <w:jc w:val="right"/>
              <w:rPr>
                <w:rFonts w:ascii="Calibri" w:hAnsi="Calibri"/>
              </w:rPr>
            </w:pPr>
            <w:r>
              <w:rPr>
                <w:rFonts w:ascii="Calibri" w:hAnsi="Calibri"/>
              </w:rPr>
              <w:t>192,190,000.00</w:t>
            </w:r>
          </w:p>
        </w:tc>
      </w:tr>
      <w:tr w14:paraId="418B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276" w:type="dxa"/>
            <w:vAlign w:val="center"/>
          </w:tcPr>
          <w:p w14:paraId="09DBC464">
            <w:pPr>
              <w:autoSpaceDE w:val="0"/>
              <w:autoSpaceDN w:val="0"/>
              <w:adjustRightInd w:val="0"/>
              <w:snapToGrid w:val="0"/>
              <w:rPr>
                <w:rFonts w:ascii="Calibri" w:hAnsi="Calibri"/>
                <w:sz w:val="20"/>
                <w:szCs w:val="20"/>
              </w:rPr>
            </w:pPr>
            <w:r>
              <w:rPr>
                <w:rFonts w:ascii="Calibri" w:hAnsi="Calibri"/>
                <w:sz w:val="20"/>
                <w:szCs w:val="20"/>
              </w:rPr>
              <w:t>一年内到期的非流动负债</w:t>
            </w:r>
          </w:p>
        </w:tc>
        <w:tc>
          <w:tcPr>
            <w:tcW w:w="1701" w:type="dxa"/>
            <w:vAlign w:val="center"/>
          </w:tcPr>
          <w:p w14:paraId="03784967">
            <w:pPr>
              <w:jc w:val="right"/>
              <w:rPr>
                <w:rFonts w:ascii="Calibri" w:hAnsi="Calibri"/>
              </w:rPr>
            </w:pPr>
            <w:r>
              <w:rPr>
                <w:rFonts w:ascii="Calibri" w:hAnsi="Calibri"/>
              </w:rPr>
              <w:t>4,396,642.54</w:t>
            </w:r>
          </w:p>
        </w:tc>
        <w:tc>
          <w:tcPr>
            <w:tcW w:w="1560" w:type="dxa"/>
            <w:vAlign w:val="center"/>
          </w:tcPr>
          <w:p w14:paraId="4008B020">
            <w:pPr>
              <w:jc w:val="right"/>
              <w:rPr>
                <w:rFonts w:ascii="Calibri" w:hAnsi="Calibri"/>
              </w:rPr>
            </w:pPr>
          </w:p>
        </w:tc>
        <w:tc>
          <w:tcPr>
            <w:tcW w:w="1559" w:type="dxa"/>
            <w:vAlign w:val="center"/>
          </w:tcPr>
          <w:p w14:paraId="7AFD711D">
            <w:pPr>
              <w:jc w:val="right"/>
              <w:rPr>
                <w:rFonts w:ascii="Calibri" w:hAnsi="Calibri"/>
              </w:rPr>
            </w:pPr>
            <w:r>
              <w:rPr>
                <w:rFonts w:ascii="Calibri" w:hAnsi="Calibri"/>
              </w:rPr>
              <w:t>276,110,022.36</w:t>
            </w:r>
          </w:p>
        </w:tc>
        <w:tc>
          <w:tcPr>
            <w:tcW w:w="1559" w:type="dxa"/>
            <w:vAlign w:val="center"/>
          </w:tcPr>
          <w:p w14:paraId="66FD12DF">
            <w:pPr>
              <w:jc w:val="right"/>
              <w:rPr>
                <w:rFonts w:ascii="Calibri" w:hAnsi="Calibri"/>
              </w:rPr>
            </w:pPr>
            <w:r>
              <w:rPr>
                <w:rFonts w:ascii="Calibri" w:hAnsi="Calibri"/>
              </w:rPr>
              <w:t>5,164,812.00</w:t>
            </w:r>
          </w:p>
        </w:tc>
        <w:tc>
          <w:tcPr>
            <w:tcW w:w="1559" w:type="dxa"/>
            <w:vAlign w:val="center"/>
          </w:tcPr>
          <w:p w14:paraId="32CA4119">
            <w:pPr>
              <w:jc w:val="right"/>
              <w:rPr>
                <w:rFonts w:ascii="Calibri" w:hAnsi="Calibri"/>
              </w:rPr>
            </w:pPr>
          </w:p>
        </w:tc>
        <w:tc>
          <w:tcPr>
            <w:tcW w:w="1560" w:type="dxa"/>
            <w:vAlign w:val="center"/>
          </w:tcPr>
          <w:p w14:paraId="6DC7C775">
            <w:pPr>
              <w:jc w:val="right"/>
              <w:rPr>
                <w:rFonts w:ascii="Calibri" w:hAnsi="Calibri"/>
              </w:rPr>
            </w:pPr>
            <w:r>
              <w:rPr>
                <w:rFonts w:ascii="Calibri" w:hAnsi="Calibri"/>
              </w:rPr>
              <w:t>275,341,852.90</w:t>
            </w:r>
          </w:p>
        </w:tc>
      </w:tr>
      <w:tr w14:paraId="4224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276" w:type="dxa"/>
            <w:vAlign w:val="center"/>
          </w:tcPr>
          <w:p w14:paraId="6298F876">
            <w:pPr>
              <w:autoSpaceDE w:val="0"/>
              <w:autoSpaceDN w:val="0"/>
              <w:adjustRightInd w:val="0"/>
              <w:snapToGrid w:val="0"/>
              <w:rPr>
                <w:rFonts w:ascii="Calibri" w:hAnsi="Calibri"/>
                <w:sz w:val="20"/>
                <w:szCs w:val="20"/>
              </w:rPr>
            </w:pPr>
            <w:r>
              <w:rPr>
                <w:rFonts w:ascii="Calibri" w:hAnsi="Calibri"/>
                <w:sz w:val="20"/>
                <w:szCs w:val="20"/>
              </w:rPr>
              <w:t>租赁负债</w:t>
            </w:r>
          </w:p>
        </w:tc>
        <w:tc>
          <w:tcPr>
            <w:tcW w:w="1701" w:type="dxa"/>
            <w:vAlign w:val="center"/>
          </w:tcPr>
          <w:p w14:paraId="35A5D679">
            <w:pPr>
              <w:jc w:val="right"/>
              <w:rPr>
                <w:rFonts w:ascii="Calibri" w:hAnsi="Calibri"/>
              </w:rPr>
            </w:pPr>
            <w:r>
              <w:rPr>
                <w:rFonts w:ascii="Calibri" w:hAnsi="Calibri"/>
              </w:rPr>
              <w:t>19,502,393.05</w:t>
            </w:r>
          </w:p>
        </w:tc>
        <w:tc>
          <w:tcPr>
            <w:tcW w:w="1560" w:type="dxa"/>
            <w:vAlign w:val="center"/>
          </w:tcPr>
          <w:p w14:paraId="625BCF62">
            <w:pPr>
              <w:jc w:val="right"/>
              <w:rPr>
                <w:rFonts w:ascii="Calibri" w:hAnsi="Calibri"/>
              </w:rPr>
            </w:pPr>
          </w:p>
        </w:tc>
        <w:tc>
          <w:tcPr>
            <w:tcW w:w="1559" w:type="dxa"/>
            <w:vAlign w:val="center"/>
          </w:tcPr>
          <w:p w14:paraId="6498B60D">
            <w:pPr>
              <w:jc w:val="right"/>
              <w:rPr>
                <w:rFonts w:ascii="Calibri" w:hAnsi="Calibri"/>
              </w:rPr>
            </w:pPr>
            <w:r>
              <w:rPr>
                <w:rFonts w:ascii="Calibri" w:hAnsi="Calibri"/>
              </w:rPr>
              <w:t>16,371,102.32</w:t>
            </w:r>
          </w:p>
        </w:tc>
        <w:tc>
          <w:tcPr>
            <w:tcW w:w="1559" w:type="dxa"/>
            <w:vAlign w:val="center"/>
          </w:tcPr>
          <w:p w14:paraId="485B8B70">
            <w:pPr>
              <w:jc w:val="right"/>
              <w:rPr>
                <w:rFonts w:ascii="Calibri" w:hAnsi="Calibri"/>
              </w:rPr>
            </w:pPr>
            <w:r>
              <w:rPr>
                <w:rFonts w:ascii="Calibri" w:hAnsi="Calibri"/>
              </w:rPr>
              <w:t>7,199,249.60</w:t>
            </w:r>
          </w:p>
        </w:tc>
        <w:tc>
          <w:tcPr>
            <w:tcW w:w="1559" w:type="dxa"/>
            <w:vAlign w:val="center"/>
          </w:tcPr>
          <w:p w14:paraId="4F444D6C">
            <w:pPr>
              <w:jc w:val="right"/>
              <w:rPr>
                <w:rFonts w:ascii="Calibri" w:hAnsi="Calibri"/>
              </w:rPr>
            </w:pPr>
            <w:r>
              <w:rPr>
                <w:rFonts w:ascii="Calibri" w:hAnsi="Calibri"/>
              </w:rPr>
              <w:t>3,343,999.47</w:t>
            </w:r>
          </w:p>
        </w:tc>
        <w:tc>
          <w:tcPr>
            <w:tcW w:w="1560" w:type="dxa"/>
            <w:vAlign w:val="center"/>
          </w:tcPr>
          <w:p w14:paraId="18469E12">
            <w:pPr>
              <w:jc w:val="right"/>
              <w:rPr>
                <w:rFonts w:ascii="Calibri" w:hAnsi="Calibri"/>
              </w:rPr>
            </w:pPr>
            <w:r>
              <w:rPr>
                <w:rFonts w:ascii="Calibri" w:hAnsi="Calibri"/>
              </w:rPr>
              <w:t>25,330,246.30</w:t>
            </w:r>
          </w:p>
        </w:tc>
      </w:tr>
      <w:tr w14:paraId="6A99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276" w:type="dxa"/>
            <w:vAlign w:val="center"/>
          </w:tcPr>
          <w:p w14:paraId="0CCBB049">
            <w:pPr>
              <w:autoSpaceDE w:val="0"/>
              <w:autoSpaceDN w:val="0"/>
              <w:adjustRightInd w:val="0"/>
              <w:snapToGrid w:val="0"/>
              <w:jc w:val="center"/>
              <w:rPr>
                <w:rFonts w:ascii="Calibri" w:hAnsi="Calibri"/>
                <w:sz w:val="20"/>
                <w:szCs w:val="20"/>
              </w:rPr>
            </w:pPr>
            <w:r>
              <w:rPr>
                <w:rFonts w:hint="eastAsia" w:ascii="Calibri" w:hAnsi="Calibri"/>
                <w:sz w:val="20"/>
                <w:szCs w:val="20"/>
              </w:rPr>
              <w:t>合计</w:t>
            </w:r>
          </w:p>
        </w:tc>
        <w:tc>
          <w:tcPr>
            <w:tcW w:w="1701" w:type="dxa"/>
            <w:vAlign w:val="center"/>
          </w:tcPr>
          <w:p w14:paraId="0DA5C7A0">
            <w:pPr>
              <w:jc w:val="right"/>
              <w:rPr>
                <w:rFonts w:ascii="Calibri" w:hAnsi="Calibri"/>
              </w:rPr>
            </w:pPr>
            <w:r>
              <w:rPr>
                <w:rFonts w:ascii="Calibri" w:hAnsi="Calibri"/>
              </w:rPr>
              <w:t>694,148,026.81</w:t>
            </w:r>
          </w:p>
        </w:tc>
        <w:tc>
          <w:tcPr>
            <w:tcW w:w="1560" w:type="dxa"/>
            <w:vAlign w:val="center"/>
          </w:tcPr>
          <w:p w14:paraId="1FAE4716">
            <w:pPr>
              <w:jc w:val="right"/>
              <w:rPr>
                <w:rFonts w:ascii="Calibri" w:hAnsi="Calibri"/>
              </w:rPr>
            </w:pPr>
            <w:r>
              <w:rPr>
                <w:rFonts w:ascii="Calibri" w:hAnsi="Calibri"/>
              </w:rPr>
              <w:t>473,100,000.00</w:t>
            </w:r>
          </w:p>
        </w:tc>
        <w:tc>
          <w:tcPr>
            <w:tcW w:w="1559" w:type="dxa"/>
            <w:vAlign w:val="center"/>
          </w:tcPr>
          <w:p w14:paraId="33F90D14">
            <w:pPr>
              <w:jc w:val="right"/>
              <w:rPr>
                <w:rFonts w:ascii="Calibri" w:hAnsi="Calibri"/>
              </w:rPr>
            </w:pPr>
            <w:r>
              <w:rPr>
                <w:rFonts w:ascii="Calibri" w:hAnsi="Calibri"/>
              </w:rPr>
              <w:t>292,505,360.79</w:t>
            </w:r>
          </w:p>
        </w:tc>
        <w:tc>
          <w:tcPr>
            <w:tcW w:w="1559" w:type="dxa"/>
            <w:vAlign w:val="center"/>
          </w:tcPr>
          <w:p w14:paraId="2CF83D8A">
            <w:pPr>
              <w:jc w:val="right"/>
              <w:rPr>
                <w:rFonts w:ascii="Calibri" w:hAnsi="Calibri"/>
              </w:rPr>
            </w:pPr>
            <w:r>
              <w:rPr>
                <w:rFonts w:ascii="Calibri" w:hAnsi="Calibri"/>
              </w:rPr>
              <w:t>661,261,524.82</w:t>
            </w:r>
          </w:p>
        </w:tc>
        <w:tc>
          <w:tcPr>
            <w:tcW w:w="1559" w:type="dxa"/>
            <w:vAlign w:val="center"/>
          </w:tcPr>
          <w:p w14:paraId="149F83F8">
            <w:pPr>
              <w:jc w:val="right"/>
              <w:rPr>
                <w:rFonts w:ascii="Calibri" w:hAnsi="Calibri"/>
              </w:rPr>
            </w:pPr>
            <w:r>
              <w:rPr>
                <w:rFonts w:ascii="Calibri" w:hAnsi="Calibri"/>
              </w:rPr>
              <w:t>272,605,527.47</w:t>
            </w:r>
          </w:p>
        </w:tc>
        <w:tc>
          <w:tcPr>
            <w:tcW w:w="1560" w:type="dxa"/>
            <w:vAlign w:val="center"/>
          </w:tcPr>
          <w:p w14:paraId="19E7DD25">
            <w:pPr>
              <w:jc w:val="right"/>
              <w:rPr>
                <w:rFonts w:ascii="Calibri" w:hAnsi="Calibri"/>
              </w:rPr>
            </w:pPr>
            <w:r>
              <w:rPr>
                <w:rFonts w:ascii="Calibri" w:hAnsi="Calibri"/>
              </w:rPr>
              <w:t>525,886,335.31</w:t>
            </w:r>
          </w:p>
        </w:tc>
      </w:tr>
    </w:tbl>
    <w:p w14:paraId="7EE67C57"/>
    <w:p w14:paraId="108C16DB">
      <w:pPr>
        <w:pStyle w:val="5"/>
        <w:numPr>
          <w:ilvl w:val="0"/>
          <w:numId w:val="100"/>
        </w:numPr>
        <w:ind w:left="426" w:hanging="426"/>
      </w:pPr>
      <w:r>
        <w:rPr>
          <w:rFonts w:hint="eastAsia"/>
        </w:rPr>
        <w:t>以净额列报现金流量的说明</w:t>
      </w:r>
    </w:p>
    <w:sdt>
      <w:sdtPr>
        <w:alias w:val="是否适用：以净额列报现金流量的说明[双击切换]"/>
        <w:tag w:val="_GBC_3444590230dd455c82f347bceb8bbf05"/>
        <w:id w:val="-687448761"/>
        <w:placeholder>
          <w:docPart w:val="GBC22222222222222222222222222222"/>
        </w:placeholder>
      </w:sdtPr>
      <w:sdtContent>
        <w:p w14:paraId="60C7927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B69DF9E">
      <w:pPr>
        <w:pStyle w:val="48"/>
      </w:pPr>
    </w:p>
    <w:p w14:paraId="53453EB6">
      <w:pPr>
        <w:pStyle w:val="5"/>
        <w:numPr>
          <w:ilvl w:val="0"/>
          <w:numId w:val="100"/>
        </w:numPr>
        <w:ind w:left="426" w:hanging="426"/>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1317883087"/>
        <w:placeholder>
          <w:docPart w:val="GBC22222222222222222222222222222"/>
        </w:placeholder>
      </w:sdtPr>
      <w:sdtContent>
        <w:p w14:paraId="3ADEE65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EF90EBA">
      <w:pPr>
        <w:ind w:right="5"/>
        <w:rPr>
          <w:rFonts w:ascii="Calibri" w:hAnsi="Calibri"/>
          <w:kern w:val="2"/>
          <w:szCs w:val="22"/>
        </w:rPr>
      </w:pPr>
    </w:p>
    <w:p w14:paraId="3682251C">
      <w:pPr>
        <w:pStyle w:val="4"/>
        <w:numPr>
          <w:ilvl w:val="0"/>
          <w:numId w:val="61"/>
        </w:numPr>
        <w:rPr>
          <w:szCs w:val="21"/>
        </w:rPr>
      </w:pPr>
      <w:r>
        <w:rPr>
          <w:szCs w:val="21"/>
        </w:rPr>
        <w:t>现金流量表补充资料</w:t>
      </w:r>
    </w:p>
    <w:p w14:paraId="5763A6F6">
      <w:pPr>
        <w:pStyle w:val="5"/>
        <w:numPr>
          <w:ilvl w:val="0"/>
          <w:numId w:val="101"/>
        </w:numPr>
        <w:ind w:left="426" w:hanging="426"/>
      </w:pPr>
      <w:r>
        <w:rPr>
          <w:rFonts w:hint="eastAsia"/>
        </w:rPr>
        <w:t>现金流量表补充资料</w:t>
      </w:r>
    </w:p>
    <w:sdt>
      <w:sdtPr>
        <w:rPr>
          <w:rFonts w:hint="eastAsia"/>
        </w:rPr>
        <w:alias w:val="是否适用：现金流量表补充资料[双击切换]"/>
        <w:tag w:val="_GBC_f77ea662869c431fa9c3cd98fccb529c"/>
        <w:id w:val="-1148431161"/>
        <w:placeholder>
          <w:docPart w:val="GBC22222222222222222222222222222"/>
        </w:placeholder>
      </w:sdtPr>
      <w:sdtEndPr>
        <w:rPr>
          <w:rFonts w:hint="eastAsia"/>
        </w:rPr>
      </w:sdtEndPr>
      <w:sdtContent>
        <w:p w14:paraId="76291582">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AB8093">
      <w:pPr>
        <w:jc w:val="right"/>
      </w:pPr>
      <w:r>
        <w:rPr>
          <w:rFonts w:hint="eastAsia"/>
        </w:rPr>
        <w:t>单位：</w:t>
      </w:r>
      <w:sdt>
        <w:sdtPr>
          <w:rPr>
            <w:rFonts w:hint="eastAsia"/>
          </w:rPr>
          <w:alias w:val="单位：财务附注：现金流量表补充资料"/>
          <w:tag w:val="_GBC_816fc4f2c97b4b12911114202247ee82"/>
          <w:id w:val="-14843947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4214565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482"/>
        <w:gridCol w:w="2799"/>
        <w:gridCol w:w="2768"/>
      </w:tblGrid>
      <w:tr w14:paraId="75F29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9bfd38318b44efe9fa609ad19a8685a"/>
            <w:id w:val="1972784067"/>
          </w:sdtPr>
          <w:sdtContent>
            <w:tc>
              <w:tcPr>
                <w:tcW w:w="3482" w:type="dxa"/>
                <w:tcBorders>
                  <w:top w:val="single" w:color="auto" w:sz="4" w:space="0"/>
                  <w:left w:val="single" w:color="auto" w:sz="4" w:space="0"/>
                  <w:bottom w:val="single" w:color="auto" w:sz="4" w:space="0"/>
                  <w:right w:val="single" w:color="auto" w:sz="4" w:space="0"/>
                </w:tcBorders>
                <w:vAlign w:val="center"/>
              </w:tcPr>
              <w:p w14:paraId="3B88F421">
                <w:pPr>
                  <w:jc w:val="center"/>
                  <w:rPr>
                    <w:rFonts w:ascii="Calibri" w:hAnsi="Calibri"/>
                    <w:bCs/>
                    <w:sz w:val="20"/>
                    <w:szCs w:val="20"/>
                  </w:rPr>
                </w:pPr>
                <w:r>
                  <w:rPr>
                    <w:rFonts w:hint="eastAsia" w:ascii="Calibri" w:hAnsi="Calibri"/>
                    <w:bCs/>
                    <w:sz w:val="20"/>
                    <w:szCs w:val="20"/>
                  </w:rPr>
                  <w:t>补充资料</w:t>
                </w:r>
              </w:p>
            </w:tc>
          </w:sdtContent>
        </w:sdt>
        <w:sdt>
          <w:sdtPr>
            <w:tag w:val="_PLD_8ef3863737f6403496cc160c411b0b03"/>
            <w:id w:val="-581138483"/>
          </w:sdtPr>
          <w:sdtContent>
            <w:tc>
              <w:tcPr>
                <w:tcW w:w="2799" w:type="dxa"/>
                <w:tcBorders>
                  <w:top w:val="single" w:color="auto" w:sz="4" w:space="0"/>
                  <w:left w:val="single" w:color="auto" w:sz="4" w:space="0"/>
                  <w:bottom w:val="single" w:color="auto" w:sz="4" w:space="0"/>
                  <w:right w:val="single" w:color="auto" w:sz="4" w:space="0"/>
                </w:tcBorders>
                <w:vAlign w:val="center"/>
              </w:tcPr>
              <w:p w14:paraId="2AD59D1B">
                <w:pPr>
                  <w:jc w:val="center"/>
                  <w:rPr>
                    <w:rFonts w:ascii="Calibri" w:hAnsi="Calibri"/>
                    <w:sz w:val="20"/>
                    <w:szCs w:val="20"/>
                  </w:rPr>
                </w:pPr>
                <w:r>
                  <w:rPr>
                    <w:rFonts w:hint="eastAsia" w:ascii="Calibri" w:hAnsi="Calibri"/>
                    <w:sz w:val="20"/>
                    <w:szCs w:val="20"/>
                  </w:rPr>
                  <w:t>本期金额</w:t>
                </w:r>
              </w:p>
            </w:tc>
          </w:sdtContent>
        </w:sdt>
        <w:sdt>
          <w:sdtPr>
            <w:tag w:val="_PLD_73eb01f791e44a84b1edbc96aa42b3f3"/>
            <w:id w:val="388779855"/>
          </w:sdtPr>
          <w:sdtContent>
            <w:tc>
              <w:tcPr>
                <w:tcW w:w="2768" w:type="dxa"/>
                <w:tcBorders>
                  <w:top w:val="single" w:color="auto" w:sz="4" w:space="0"/>
                  <w:left w:val="single" w:color="auto" w:sz="4" w:space="0"/>
                  <w:bottom w:val="single" w:color="auto" w:sz="4" w:space="0"/>
                  <w:right w:val="single" w:color="auto" w:sz="4" w:space="0"/>
                </w:tcBorders>
                <w:vAlign w:val="center"/>
              </w:tcPr>
              <w:p w14:paraId="72126608">
                <w:pPr>
                  <w:jc w:val="center"/>
                  <w:rPr>
                    <w:rFonts w:ascii="Calibri" w:hAnsi="Calibri"/>
                    <w:sz w:val="20"/>
                    <w:szCs w:val="20"/>
                  </w:rPr>
                </w:pPr>
                <w:r>
                  <w:rPr>
                    <w:rFonts w:hint="eastAsia" w:ascii="Calibri" w:hAnsi="Calibri"/>
                    <w:sz w:val="20"/>
                    <w:szCs w:val="20"/>
                  </w:rPr>
                  <w:t>上期金额</w:t>
                </w:r>
              </w:p>
            </w:tc>
          </w:sdtContent>
        </w:sdt>
      </w:tr>
      <w:tr w14:paraId="26F4F8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6db035658bd4a67bcf46ade47da315d"/>
            <w:id w:val="-343786432"/>
          </w:sdtPr>
          <w:sdtContent>
            <w:tc>
              <w:tcPr>
                <w:tcW w:w="9049" w:type="dxa"/>
                <w:gridSpan w:val="3"/>
                <w:tcBorders>
                  <w:top w:val="single" w:color="auto" w:sz="4" w:space="0"/>
                  <w:left w:val="single" w:color="auto" w:sz="4" w:space="0"/>
                  <w:bottom w:val="single" w:color="auto" w:sz="4" w:space="0"/>
                  <w:right w:val="outset" w:color="auto" w:sz="4" w:space="0"/>
                </w:tcBorders>
                <w:vAlign w:val="center"/>
              </w:tcPr>
              <w:p w14:paraId="24B8415B">
                <w:pPr>
                  <w:jc w:val="both"/>
                  <w:rPr>
                    <w:rFonts w:ascii="Calibri" w:hAnsi="Calibri"/>
                    <w:b/>
                    <w:sz w:val="20"/>
                    <w:szCs w:val="20"/>
                  </w:rPr>
                </w:pPr>
                <w:r>
                  <w:rPr>
                    <w:rFonts w:ascii="Calibri" w:hAnsi="Calibri"/>
                    <w:b/>
                    <w:bCs/>
                    <w:sz w:val="20"/>
                    <w:szCs w:val="20"/>
                  </w:rPr>
                  <w:t>1</w:t>
                </w:r>
                <w:r>
                  <w:rPr>
                    <w:rFonts w:hint="eastAsia" w:ascii="Calibri" w:hAnsi="Calibri"/>
                    <w:b/>
                    <w:bCs/>
                    <w:sz w:val="20"/>
                    <w:szCs w:val="20"/>
                  </w:rPr>
                  <w:t>．将净利润调节为经营活动现金流量：</w:t>
                </w:r>
              </w:p>
            </w:tc>
          </w:sdtContent>
        </w:sdt>
      </w:tr>
      <w:tr w14:paraId="445355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3C8F9086">
            <w:pPr>
              <w:pStyle w:val="48"/>
              <w:rPr>
                <w:sz w:val="20"/>
                <w:szCs w:val="20"/>
              </w:rPr>
            </w:pPr>
            <w:r>
              <w:rPr>
                <w:rFonts w:hint="eastAsia"/>
                <w:sz w:val="20"/>
                <w:szCs w:val="20"/>
              </w:rPr>
              <w:t>净利润</w:t>
            </w:r>
          </w:p>
        </w:tc>
        <w:tc>
          <w:tcPr>
            <w:tcW w:w="2799" w:type="dxa"/>
            <w:tcBorders>
              <w:top w:val="outset" w:color="auto" w:sz="4" w:space="0"/>
              <w:left w:val="single" w:color="auto" w:sz="4" w:space="0"/>
              <w:bottom w:val="outset" w:color="auto" w:sz="4" w:space="0"/>
              <w:right w:val="outset" w:color="auto" w:sz="4" w:space="0"/>
            </w:tcBorders>
            <w:vAlign w:val="center"/>
          </w:tcPr>
          <w:p w14:paraId="2A99465B">
            <w:pPr>
              <w:jc w:val="right"/>
              <w:rPr>
                <w:rFonts w:ascii="Calibri" w:hAnsi="Calibri"/>
                <w:sz w:val="20"/>
                <w:szCs w:val="20"/>
              </w:rPr>
            </w:pPr>
            <w:r>
              <w:rPr>
                <w:rFonts w:ascii="Calibri" w:hAnsi="Calibri"/>
                <w:sz w:val="20"/>
                <w:szCs w:val="20"/>
              </w:rPr>
              <w:t>1,197,197,445.80</w:t>
            </w:r>
          </w:p>
        </w:tc>
        <w:tc>
          <w:tcPr>
            <w:tcW w:w="2768" w:type="dxa"/>
            <w:tcBorders>
              <w:top w:val="outset" w:color="auto" w:sz="4" w:space="0"/>
              <w:left w:val="outset" w:color="auto" w:sz="4" w:space="0"/>
              <w:bottom w:val="outset" w:color="auto" w:sz="4" w:space="0"/>
              <w:right w:val="outset" w:color="auto" w:sz="4" w:space="0"/>
            </w:tcBorders>
            <w:vAlign w:val="center"/>
          </w:tcPr>
          <w:p w14:paraId="0C85C58E">
            <w:pPr>
              <w:jc w:val="right"/>
              <w:rPr>
                <w:rFonts w:ascii="Calibri" w:hAnsi="Calibri"/>
                <w:sz w:val="20"/>
                <w:szCs w:val="20"/>
              </w:rPr>
            </w:pPr>
            <w:r>
              <w:rPr>
                <w:rFonts w:ascii="Calibri" w:hAnsi="Calibri"/>
                <w:sz w:val="20"/>
                <w:szCs w:val="20"/>
              </w:rPr>
              <w:t>-42,725,901.50</w:t>
            </w:r>
          </w:p>
        </w:tc>
      </w:tr>
      <w:tr w14:paraId="4341D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5AE5DD35">
            <w:pPr>
              <w:pStyle w:val="48"/>
              <w:rPr>
                <w:sz w:val="20"/>
                <w:szCs w:val="20"/>
              </w:rPr>
            </w:pPr>
            <w:r>
              <w:rPr>
                <w:rFonts w:hint="eastAsia"/>
                <w:sz w:val="20"/>
                <w:szCs w:val="20"/>
              </w:rPr>
              <w:t>加：资产减值准备</w:t>
            </w:r>
          </w:p>
        </w:tc>
        <w:tc>
          <w:tcPr>
            <w:tcW w:w="2799" w:type="dxa"/>
            <w:tcBorders>
              <w:top w:val="outset" w:color="auto" w:sz="4" w:space="0"/>
              <w:left w:val="single" w:color="auto" w:sz="4" w:space="0"/>
              <w:bottom w:val="outset" w:color="auto" w:sz="4" w:space="0"/>
              <w:right w:val="outset" w:color="auto" w:sz="4" w:space="0"/>
            </w:tcBorders>
            <w:vAlign w:val="center"/>
          </w:tcPr>
          <w:p w14:paraId="45567F3C">
            <w:pPr>
              <w:jc w:val="right"/>
              <w:rPr>
                <w:rFonts w:ascii="Calibri" w:hAnsi="Calibri"/>
                <w:sz w:val="20"/>
                <w:szCs w:val="20"/>
              </w:rPr>
            </w:pPr>
            <w:r>
              <w:rPr>
                <w:rFonts w:ascii="Calibri" w:hAnsi="Calibri"/>
                <w:sz w:val="20"/>
                <w:szCs w:val="20"/>
              </w:rPr>
              <w:t>189,156,061.43</w:t>
            </w:r>
          </w:p>
        </w:tc>
        <w:tc>
          <w:tcPr>
            <w:tcW w:w="2768" w:type="dxa"/>
            <w:tcBorders>
              <w:top w:val="outset" w:color="auto" w:sz="4" w:space="0"/>
              <w:left w:val="outset" w:color="auto" w:sz="4" w:space="0"/>
              <w:bottom w:val="outset" w:color="auto" w:sz="4" w:space="0"/>
              <w:right w:val="outset" w:color="auto" w:sz="4" w:space="0"/>
            </w:tcBorders>
            <w:vAlign w:val="center"/>
          </w:tcPr>
          <w:p w14:paraId="1467907F">
            <w:pPr>
              <w:jc w:val="right"/>
              <w:rPr>
                <w:rFonts w:ascii="Calibri" w:hAnsi="Calibri"/>
                <w:sz w:val="20"/>
                <w:szCs w:val="20"/>
              </w:rPr>
            </w:pPr>
            <w:r>
              <w:rPr>
                <w:rFonts w:ascii="Calibri" w:hAnsi="Calibri"/>
                <w:sz w:val="20"/>
                <w:szCs w:val="20"/>
              </w:rPr>
              <w:t>103,632,090.32</w:t>
            </w:r>
          </w:p>
        </w:tc>
      </w:tr>
      <w:tr w14:paraId="031A66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64929E50">
            <w:pPr>
              <w:pStyle w:val="48"/>
              <w:rPr>
                <w:sz w:val="20"/>
                <w:szCs w:val="20"/>
              </w:rPr>
            </w:pPr>
            <w:r>
              <w:rPr>
                <w:rFonts w:hint="eastAsia"/>
                <w:sz w:val="20"/>
                <w:szCs w:val="20"/>
              </w:rPr>
              <w:t>信用减值损失</w:t>
            </w:r>
          </w:p>
        </w:tc>
        <w:tc>
          <w:tcPr>
            <w:tcW w:w="2799" w:type="dxa"/>
            <w:tcBorders>
              <w:top w:val="outset" w:color="auto" w:sz="4" w:space="0"/>
              <w:left w:val="single" w:color="auto" w:sz="4" w:space="0"/>
              <w:bottom w:val="outset" w:color="auto" w:sz="4" w:space="0"/>
              <w:right w:val="outset" w:color="auto" w:sz="4" w:space="0"/>
            </w:tcBorders>
            <w:vAlign w:val="center"/>
          </w:tcPr>
          <w:p w14:paraId="5AFDABA5">
            <w:pPr>
              <w:jc w:val="right"/>
              <w:rPr>
                <w:rFonts w:ascii="Calibri" w:hAnsi="Calibri"/>
                <w:sz w:val="20"/>
                <w:szCs w:val="20"/>
              </w:rPr>
            </w:pPr>
            <w:r>
              <w:rPr>
                <w:rFonts w:ascii="Calibri" w:hAnsi="Calibri"/>
                <w:sz w:val="20"/>
                <w:szCs w:val="20"/>
              </w:rPr>
              <w:t>-2,894,312.79</w:t>
            </w:r>
          </w:p>
        </w:tc>
        <w:tc>
          <w:tcPr>
            <w:tcW w:w="2768" w:type="dxa"/>
            <w:tcBorders>
              <w:top w:val="outset" w:color="auto" w:sz="4" w:space="0"/>
              <w:left w:val="outset" w:color="auto" w:sz="4" w:space="0"/>
              <w:bottom w:val="outset" w:color="auto" w:sz="4" w:space="0"/>
              <w:right w:val="outset" w:color="auto" w:sz="4" w:space="0"/>
            </w:tcBorders>
            <w:vAlign w:val="center"/>
          </w:tcPr>
          <w:p w14:paraId="69518A4B">
            <w:pPr>
              <w:jc w:val="right"/>
              <w:rPr>
                <w:rFonts w:ascii="Calibri" w:hAnsi="Calibri"/>
                <w:sz w:val="20"/>
                <w:szCs w:val="20"/>
              </w:rPr>
            </w:pPr>
            <w:r>
              <w:rPr>
                <w:rFonts w:ascii="Calibri" w:hAnsi="Calibri"/>
                <w:sz w:val="20"/>
                <w:szCs w:val="20"/>
              </w:rPr>
              <w:t>-15,553,850.56</w:t>
            </w:r>
          </w:p>
        </w:tc>
      </w:tr>
      <w:tr w14:paraId="30B64C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7D66EE46">
            <w:pPr>
              <w:pStyle w:val="48"/>
              <w:rPr>
                <w:sz w:val="20"/>
                <w:szCs w:val="20"/>
              </w:rPr>
            </w:pPr>
            <w:r>
              <w:rPr>
                <w:rFonts w:hint="eastAsia"/>
                <w:sz w:val="20"/>
                <w:szCs w:val="20"/>
              </w:rPr>
              <w:t>固定资产折旧、油气资产折耗、生产性生物资产折旧</w:t>
            </w:r>
          </w:p>
        </w:tc>
        <w:tc>
          <w:tcPr>
            <w:tcW w:w="2799" w:type="dxa"/>
            <w:tcBorders>
              <w:top w:val="outset" w:color="auto" w:sz="4" w:space="0"/>
              <w:left w:val="single" w:color="auto" w:sz="4" w:space="0"/>
              <w:bottom w:val="outset" w:color="auto" w:sz="4" w:space="0"/>
              <w:right w:val="outset" w:color="auto" w:sz="4" w:space="0"/>
            </w:tcBorders>
            <w:vAlign w:val="center"/>
          </w:tcPr>
          <w:p w14:paraId="24DF89E5">
            <w:pPr>
              <w:jc w:val="right"/>
              <w:rPr>
                <w:rFonts w:ascii="Calibri" w:hAnsi="Calibri"/>
                <w:sz w:val="20"/>
                <w:szCs w:val="20"/>
              </w:rPr>
            </w:pPr>
            <w:r>
              <w:rPr>
                <w:rFonts w:ascii="Calibri" w:hAnsi="Calibri"/>
                <w:sz w:val="20"/>
                <w:szCs w:val="20"/>
              </w:rPr>
              <w:t>205,046,414.49</w:t>
            </w:r>
          </w:p>
        </w:tc>
        <w:tc>
          <w:tcPr>
            <w:tcW w:w="2768" w:type="dxa"/>
            <w:tcBorders>
              <w:top w:val="outset" w:color="auto" w:sz="4" w:space="0"/>
              <w:left w:val="outset" w:color="auto" w:sz="4" w:space="0"/>
              <w:bottom w:val="outset" w:color="auto" w:sz="4" w:space="0"/>
              <w:right w:val="outset" w:color="auto" w:sz="4" w:space="0"/>
            </w:tcBorders>
            <w:vAlign w:val="center"/>
          </w:tcPr>
          <w:p w14:paraId="59DFA4BA">
            <w:pPr>
              <w:jc w:val="right"/>
              <w:rPr>
                <w:rFonts w:ascii="Calibri" w:hAnsi="Calibri"/>
                <w:sz w:val="20"/>
                <w:szCs w:val="20"/>
              </w:rPr>
            </w:pPr>
            <w:r>
              <w:rPr>
                <w:rFonts w:ascii="Calibri" w:hAnsi="Calibri"/>
                <w:sz w:val="20"/>
                <w:szCs w:val="20"/>
              </w:rPr>
              <w:t>127,616,061.27</w:t>
            </w:r>
          </w:p>
        </w:tc>
      </w:tr>
      <w:tr w14:paraId="666F8C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750C673F">
            <w:pPr>
              <w:pStyle w:val="48"/>
              <w:rPr>
                <w:sz w:val="20"/>
                <w:szCs w:val="20"/>
              </w:rPr>
            </w:pPr>
            <w:r>
              <w:rPr>
                <w:rFonts w:hint="eastAsia"/>
                <w:sz w:val="20"/>
                <w:szCs w:val="20"/>
              </w:rPr>
              <w:t>使用权资产摊销</w:t>
            </w:r>
          </w:p>
        </w:tc>
        <w:tc>
          <w:tcPr>
            <w:tcW w:w="2799" w:type="dxa"/>
            <w:tcBorders>
              <w:top w:val="outset" w:color="auto" w:sz="4" w:space="0"/>
              <w:left w:val="single" w:color="auto" w:sz="4" w:space="0"/>
              <w:bottom w:val="outset" w:color="auto" w:sz="4" w:space="0"/>
              <w:right w:val="outset" w:color="auto" w:sz="4" w:space="0"/>
            </w:tcBorders>
            <w:vAlign w:val="center"/>
          </w:tcPr>
          <w:p w14:paraId="16C9EBC2">
            <w:pPr>
              <w:jc w:val="right"/>
              <w:rPr>
                <w:rFonts w:ascii="Calibri" w:hAnsi="Calibri"/>
                <w:sz w:val="20"/>
                <w:szCs w:val="20"/>
              </w:rPr>
            </w:pPr>
            <w:r>
              <w:rPr>
                <w:rFonts w:ascii="Calibri" w:hAnsi="Calibri"/>
                <w:sz w:val="20"/>
                <w:szCs w:val="20"/>
              </w:rPr>
              <w:t>7,285,367.21</w:t>
            </w:r>
          </w:p>
        </w:tc>
        <w:tc>
          <w:tcPr>
            <w:tcW w:w="2768" w:type="dxa"/>
            <w:tcBorders>
              <w:top w:val="outset" w:color="auto" w:sz="4" w:space="0"/>
              <w:left w:val="outset" w:color="auto" w:sz="4" w:space="0"/>
              <w:bottom w:val="outset" w:color="auto" w:sz="4" w:space="0"/>
              <w:right w:val="outset" w:color="auto" w:sz="4" w:space="0"/>
            </w:tcBorders>
            <w:vAlign w:val="center"/>
          </w:tcPr>
          <w:p w14:paraId="17ECC982">
            <w:pPr>
              <w:jc w:val="right"/>
              <w:rPr>
                <w:rFonts w:ascii="Calibri" w:hAnsi="Calibri"/>
                <w:sz w:val="20"/>
                <w:szCs w:val="20"/>
              </w:rPr>
            </w:pPr>
            <w:r>
              <w:rPr>
                <w:rFonts w:ascii="Calibri" w:hAnsi="Calibri"/>
                <w:sz w:val="20"/>
                <w:szCs w:val="20"/>
              </w:rPr>
              <w:t>1,203,914.99</w:t>
            </w:r>
          </w:p>
        </w:tc>
      </w:tr>
      <w:tr w14:paraId="686444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3137C594">
            <w:pPr>
              <w:pStyle w:val="48"/>
              <w:rPr>
                <w:sz w:val="20"/>
                <w:szCs w:val="20"/>
              </w:rPr>
            </w:pPr>
            <w:r>
              <w:rPr>
                <w:rFonts w:hint="eastAsia"/>
                <w:sz w:val="20"/>
                <w:szCs w:val="20"/>
              </w:rPr>
              <w:t>无形资产摊销</w:t>
            </w:r>
          </w:p>
        </w:tc>
        <w:tc>
          <w:tcPr>
            <w:tcW w:w="2799" w:type="dxa"/>
            <w:tcBorders>
              <w:top w:val="outset" w:color="auto" w:sz="4" w:space="0"/>
              <w:left w:val="single" w:color="auto" w:sz="4" w:space="0"/>
              <w:bottom w:val="outset" w:color="auto" w:sz="4" w:space="0"/>
              <w:right w:val="outset" w:color="auto" w:sz="4" w:space="0"/>
            </w:tcBorders>
            <w:vAlign w:val="center"/>
          </w:tcPr>
          <w:p w14:paraId="76B4B6D9">
            <w:pPr>
              <w:jc w:val="right"/>
              <w:rPr>
                <w:rFonts w:ascii="Calibri" w:hAnsi="Calibri"/>
                <w:sz w:val="20"/>
                <w:szCs w:val="20"/>
              </w:rPr>
            </w:pPr>
            <w:r>
              <w:rPr>
                <w:rFonts w:ascii="Calibri" w:hAnsi="Calibri"/>
                <w:sz w:val="20"/>
                <w:szCs w:val="20"/>
              </w:rPr>
              <w:t>58,787,682.47</w:t>
            </w:r>
          </w:p>
        </w:tc>
        <w:tc>
          <w:tcPr>
            <w:tcW w:w="2768" w:type="dxa"/>
            <w:tcBorders>
              <w:top w:val="outset" w:color="auto" w:sz="4" w:space="0"/>
              <w:left w:val="outset" w:color="auto" w:sz="4" w:space="0"/>
              <w:bottom w:val="outset" w:color="auto" w:sz="4" w:space="0"/>
              <w:right w:val="outset" w:color="auto" w:sz="4" w:space="0"/>
            </w:tcBorders>
            <w:vAlign w:val="center"/>
          </w:tcPr>
          <w:p w14:paraId="59534BB3">
            <w:pPr>
              <w:jc w:val="right"/>
              <w:rPr>
                <w:rFonts w:ascii="Calibri" w:hAnsi="Calibri"/>
                <w:sz w:val="20"/>
                <w:szCs w:val="20"/>
              </w:rPr>
            </w:pPr>
            <w:r>
              <w:rPr>
                <w:rFonts w:ascii="Calibri" w:hAnsi="Calibri"/>
                <w:sz w:val="20"/>
                <w:szCs w:val="20"/>
              </w:rPr>
              <w:t>60,189,867.54</w:t>
            </w:r>
          </w:p>
        </w:tc>
      </w:tr>
      <w:tr w14:paraId="17EC02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57328D92">
            <w:pPr>
              <w:pStyle w:val="48"/>
              <w:rPr>
                <w:sz w:val="20"/>
                <w:szCs w:val="20"/>
              </w:rPr>
            </w:pPr>
            <w:r>
              <w:rPr>
                <w:rFonts w:hint="eastAsia"/>
                <w:sz w:val="20"/>
                <w:szCs w:val="20"/>
              </w:rPr>
              <w:t>长期待摊费用摊销</w:t>
            </w:r>
          </w:p>
        </w:tc>
        <w:tc>
          <w:tcPr>
            <w:tcW w:w="2799" w:type="dxa"/>
            <w:tcBorders>
              <w:top w:val="outset" w:color="auto" w:sz="4" w:space="0"/>
              <w:left w:val="single" w:color="auto" w:sz="4" w:space="0"/>
              <w:bottom w:val="outset" w:color="auto" w:sz="4" w:space="0"/>
              <w:right w:val="outset" w:color="auto" w:sz="4" w:space="0"/>
            </w:tcBorders>
            <w:vAlign w:val="center"/>
          </w:tcPr>
          <w:p w14:paraId="28412769">
            <w:pPr>
              <w:jc w:val="right"/>
              <w:rPr>
                <w:rFonts w:ascii="Calibri" w:hAnsi="Calibri"/>
                <w:sz w:val="20"/>
                <w:szCs w:val="20"/>
              </w:rPr>
            </w:pPr>
            <w:r>
              <w:rPr>
                <w:rFonts w:ascii="Calibri" w:hAnsi="Calibri"/>
                <w:sz w:val="20"/>
                <w:szCs w:val="20"/>
              </w:rPr>
              <w:t>29,869,258.81</w:t>
            </w:r>
          </w:p>
        </w:tc>
        <w:tc>
          <w:tcPr>
            <w:tcW w:w="2768" w:type="dxa"/>
            <w:tcBorders>
              <w:top w:val="outset" w:color="auto" w:sz="4" w:space="0"/>
              <w:left w:val="outset" w:color="auto" w:sz="4" w:space="0"/>
              <w:bottom w:val="outset" w:color="auto" w:sz="4" w:space="0"/>
              <w:right w:val="outset" w:color="auto" w:sz="4" w:space="0"/>
            </w:tcBorders>
            <w:vAlign w:val="center"/>
          </w:tcPr>
          <w:p w14:paraId="663509B9">
            <w:pPr>
              <w:jc w:val="right"/>
              <w:rPr>
                <w:rFonts w:ascii="Calibri" w:hAnsi="Calibri"/>
                <w:sz w:val="20"/>
                <w:szCs w:val="20"/>
              </w:rPr>
            </w:pPr>
            <w:r>
              <w:rPr>
                <w:rFonts w:ascii="Calibri" w:hAnsi="Calibri"/>
                <w:sz w:val="20"/>
                <w:szCs w:val="20"/>
              </w:rPr>
              <w:t>16,031,705.11</w:t>
            </w:r>
          </w:p>
        </w:tc>
      </w:tr>
      <w:tr w14:paraId="3F1AA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53688AEA">
            <w:pPr>
              <w:pStyle w:val="48"/>
              <w:rPr>
                <w:sz w:val="20"/>
                <w:szCs w:val="20"/>
              </w:rPr>
            </w:pPr>
            <w:r>
              <w:rPr>
                <w:rFonts w:hint="eastAsia"/>
                <w:sz w:val="20"/>
                <w:szCs w:val="20"/>
              </w:rPr>
              <w:t>处置固定资产、无形资产和其他长期资产的损失（收益以</w:t>
            </w:r>
            <w:r>
              <w:rPr>
                <w:sz w:val="20"/>
                <w:szCs w:val="20"/>
              </w:rPr>
              <w:t>“</w:t>
            </w:r>
            <w:r>
              <w:rPr>
                <w:rFonts w:hint="eastAsia"/>
                <w:sz w:val="20"/>
                <w:szCs w:val="20"/>
              </w:rPr>
              <w:t>－</w:t>
            </w:r>
            <w:r>
              <w:rPr>
                <w:sz w:val="20"/>
                <w:szCs w:val="20"/>
              </w:rPr>
              <w:t>”</w:t>
            </w:r>
            <w:r>
              <w:rPr>
                <w:rFonts w:hint="eastAsia"/>
                <w:sz w:val="20"/>
                <w:szCs w:val="20"/>
              </w:rPr>
              <w:t>号填列）</w:t>
            </w:r>
          </w:p>
        </w:tc>
        <w:tc>
          <w:tcPr>
            <w:tcW w:w="2799" w:type="dxa"/>
            <w:tcBorders>
              <w:top w:val="outset" w:color="auto" w:sz="4" w:space="0"/>
              <w:left w:val="single" w:color="auto" w:sz="4" w:space="0"/>
              <w:bottom w:val="outset" w:color="auto" w:sz="4" w:space="0"/>
              <w:right w:val="outset" w:color="auto" w:sz="4" w:space="0"/>
            </w:tcBorders>
            <w:vAlign w:val="center"/>
          </w:tcPr>
          <w:p w14:paraId="27B53A2B">
            <w:pPr>
              <w:jc w:val="right"/>
              <w:rPr>
                <w:rFonts w:ascii="Calibri" w:hAnsi="Calibri"/>
                <w:sz w:val="20"/>
                <w:szCs w:val="20"/>
              </w:rPr>
            </w:pPr>
            <w:r>
              <w:rPr>
                <w:rFonts w:ascii="Calibri" w:hAnsi="Calibri"/>
                <w:sz w:val="20"/>
                <w:szCs w:val="20"/>
              </w:rPr>
              <w:t>3,115,164.54</w:t>
            </w:r>
          </w:p>
        </w:tc>
        <w:tc>
          <w:tcPr>
            <w:tcW w:w="2768" w:type="dxa"/>
            <w:tcBorders>
              <w:top w:val="outset" w:color="auto" w:sz="4" w:space="0"/>
              <w:left w:val="outset" w:color="auto" w:sz="4" w:space="0"/>
              <w:bottom w:val="outset" w:color="auto" w:sz="4" w:space="0"/>
              <w:right w:val="outset" w:color="auto" w:sz="4" w:space="0"/>
            </w:tcBorders>
            <w:vAlign w:val="center"/>
          </w:tcPr>
          <w:p w14:paraId="79E07119">
            <w:pPr>
              <w:jc w:val="right"/>
              <w:rPr>
                <w:rFonts w:ascii="Calibri" w:hAnsi="Calibri"/>
                <w:sz w:val="20"/>
                <w:szCs w:val="20"/>
              </w:rPr>
            </w:pPr>
            <w:r>
              <w:rPr>
                <w:rFonts w:ascii="Calibri" w:hAnsi="Calibri"/>
                <w:sz w:val="20"/>
                <w:szCs w:val="20"/>
              </w:rPr>
              <w:t>-15,128,834.28</w:t>
            </w:r>
          </w:p>
        </w:tc>
      </w:tr>
      <w:tr w14:paraId="59AC2F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2568C2EC">
            <w:pPr>
              <w:pStyle w:val="48"/>
              <w:rPr>
                <w:sz w:val="20"/>
                <w:szCs w:val="20"/>
              </w:rPr>
            </w:pPr>
            <w:r>
              <w:rPr>
                <w:rFonts w:hint="eastAsia"/>
                <w:sz w:val="20"/>
                <w:szCs w:val="20"/>
              </w:rPr>
              <w:t>非流动资产报废损失（收益以</w:t>
            </w:r>
            <w:r>
              <w:rPr>
                <w:sz w:val="20"/>
                <w:szCs w:val="20"/>
              </w:rPr>
              <w:t>“</w:t>
            </w:r>
            <w:r>
              <w:rPr>
                <w:rFonts w:hint="eastAsia"/>
                <w:sz w:val="20"/>
                <w:szCs w:val="20"/>
              </w:rPr>
              <w:t>－</w:t>
            </w:r>
            <w:r>
              <w:rPr>
                <w:sz w:val="20"/>
                <w:szCs w:val="20"/>
              </w:rPr>
              <w:t>”</w:t>
            </w:r>
            <w:r>
              <w:rPr>
                <w:rFonts w:hint="eastAsia"/>
                <w:sz w:val="20"/>
                <w:szCs w:val="20"/>
              </w:rPr>
              <w:t>号填列）</w:t>
            </w:r>
          </w:p>
        </w:tc>
        <w:tc>
          <w:tcPr>
            <w:tcW w:w="2799" w:type="dxa"/>
            <w:tcBorders>
              <w:top w:val="outset" w:color="auto" w:sz="4" w:space="0"/>
              <w:left w:val="single" w:color="auto" w:sz="4" w:space="0"/>
              <w:bottom w:val="outset" w:color="auto" w:sz="4" w:space="0"/>
              <w:right w:val="outset" w:color="auto" w:sz="4" w:space="0"/>
            </w:tcBorders>
            <w:vAlign w:val="center"/>
          </w:tcPr>
          <w:p w14:paraId="1EC0F1A0">
            <w:pPr>
              <w:jc w:val="right"/>
              <w:rPr>
                <w:rFonts w:ascii="Calibri" w:hAnsi="Calibri"/>
                <w:sz w:val="20"/>
                <w:szCs w:val="20"/>
              </w:rPr>
            </w:pPr>
            <w:r>
              <w:rPr>
                <w:rFonts w:ascii="Calibri" w:hAnsi="Calibri"/>
                <w:sz w:val="20"/>
                <w:szCs w:val="20"/>
              </w:rPr>
              <w:t>82,140,487.80</w:t>
            </w:r>
          </w:p>
        </w:tc>
        <w:tc>
          <w:tcPr>
            <w:tcW w:w="2768" w:type="dxa"/>
            <w:tcBorders>
              <w:top w:val="outset" w:color="auto" w:sz="4" w:space="0"/>
              <w:left w:val="outset" w:color="auto" w:sz="4" w:space="0"/>
              <w:bottom w:val="outset" w:color="auto" w:sz="4" w:space="0"/>
              <w:right w:val="outset" w:color="auto" w:sz="4" w:space="0"/>
            </w:tcBorders>
            <w:vAlign w:val="center"/>
          </w:tcPr>
          <w:p w14:paraId="3281C01C">
            <w:pPr>
              <w:jc w:val="right"/>
              <w:rPr>
                <w:rFonts w:ascii="Calibri" w:hAnsi="Calibri"/>
                <w:sz w:val="20"/>
                <w:szCs w:val="20"/>
              </w:rPr>
            </w:pPr>
            <w:r>
              <w:rPr>
                <w:rFonts w:ascii="Calibri" w:hAnsi="Calibri"/>
                <w:sz w:val="20"/>
                <w:szCs w:val="20"/>
              </w:rPr>
              <w:t>255,095,918.88</w:t>
            </w:r>
          </w:p>
        </w:tc>
      </w:tr>
      <w:tr w14:paraId="727769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0057E120">
            <w:pPr>
              <w:pStyle w:val="48"/>
              <w:rPr>
                <w:sz w:val="20"/>
                <w:szCs w:val="20"/>
              </w:rPr>
            </w:pPr>
            <w:r>
              <w:rPr>
                <w:rFonts w:hint="eastAsia"/>
                <w:sz w:val="20"/>
                <w:szCs w:val="20"/>
              </w:rPr>
              <w:t>公允价值变动损失（收益以</w:t>
            </w:r>
            <w:r>
              <w:rPr>
                <w:sz w:val="20"/>
                <w:szCs w:val="20"/>
              </w:rPr>
              <w:t>“</w:t>
            </w:r>
            <w:r>
              <w:rPr>
                <w:rFonts w:hint="eastAsia"/>
                <w:sz w:val="20"/>
                <w:szCs w:val="20"/>
              </w:rPr>
              <w:t>－</w:t>
            </w:r>
            <w:r>
              <w:rPr>
                <w:sz w:val="20"/>
                <w:szCs w:val="20"/>
              </w:rPr>
              <w:t>”</w:t>
            </w:r>
            <w:r>
              <w:rPr>
                <w:rFonts w:hint="eastAsia"/>
                <w:sz w:val="20"/>
                <w:szCs w:val="20"/>
              </w:rPr>
              <w:t>号填列）</w:t>
            </w:r>
          </w:p>
        </w:tc>
        <w:tc>
          <w:tcPr>
            <w:tcW w:w="2799" w:type="dxa"/>
            <w:tcBorders>
              <w:top w:val="outset" w:color="auto" w:sz="4" w:space="0"/>
              <w:left w:val="single" w:color="auto" w:sz="4" w:space="0"/>
              <w:bottom w:val="outset" w:color="auto" w:sz="4" w:space="0"/>
              <w:right w:val="outset" w:color="auto" w:sz="4" w:space="0"/>
            </w:tcBorders>
            <w:vAlign w:val="center"/>
          </w:tcPr>
          <w:p w14:paraId="6465D1B6">
            <w:pPr>
              <w:jc w:val="right"/>
              <w:rPr>
                <w:rFonts w:ascii="Calibri" w:hAnsi="Calibri"/>
                <w:sz w:val="20"/>
                <w:szCs w:val="20"/>
              </w:rPr>
            </w:pPr>
            <w:r>
              <w:rPr>
                <w:rFonts w:ascii="Calibri" w:hAnsi="Calibri"/>
                <w:sz w:val="20"/>
                <w:szCs w:val="20"/>
              </w:rPr>
              <w:t>-218,438.36</w:t>
            </w:r>
          </w:p>
        </w:tc>
        <w:tc>
          <w:tcPr>
            <w:tcW w:w="2768" w:type="dxa"/>
            <w:tcBorders>
              <w:top w:val="outset" w:color="auto" w:sz="4" w:space="0"/>
              <w:left w:val="outset" w:color="auto" w:sz="4" w:space="0"/>
              <w:bottom w:val="outset" w:color="auto" w:sz="4" w:space="0"/>
              <w:right w:val="outset" w:color="auto" w:sz="4" w:space="0"/>
            </w:tcBorders>
            <w:vAlign w:val="center"/>
          </w:tcPr>
          <w:p w14:paraId="55FA4F6C">
            <w:pPr>
              <w:jc w:val="right"/>
              <w:rPr>
                <w:rFonts w:ascii="Calibri" w:hAnsi="Calibri"/>
                <w:sz w:val="20"/>
                <w:szCs w:val="20"/>
              </w:rPr>
            </w:pPr>
            <w:r>
              <w:rPr>
                <w:rFonts w:ascii="Calibri" w:hAnsi="Calibri"/>
                <w:sz w:val="20"/>
                <w:szCs w:val="20"/>
              </w:rPr>
              <w:t>-400,927.52</w:t>
            </w:r>
          </w:p>
        </w:tc>
      </w:tr>
      <w:tr w14:paraId="170048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4CDC2A97">
            <w:pPr>
              <w:pStyle w:val="48"/>
              <w:rPr>
                <w:sz w:val="20"/>
                <w:szCs w:val="20"/>
              </w:rPr>
            </w:pPr>
            <w:r>
              <w:rPr>
                <w:rFonts w:hint="eastAsia"/>
                <w:sz w:val="20"/>
                <w:szCs w:val="20"/>
              </w:rPr>
              <w:t>财务费用（收益以</w:t>
            </w:r>
            <w:r>
              <w:rPr>
                <w:sz w:val="20"/>
                <w:szCs w:val="20"/>
              </w:rPr>
              <w:t>“</w:t>
            </w:r>
            <w:r>
              <w:rPr>
                <w:rFonts w:hint="eastAsia"/>
                <w:sz w:val="20"/>
                <w:szCs w:val="20"/>
              </w:rPr>
              <w:t>－</w:t>
            </w:r>
            <w:r>
              <w:rPr>
                <w:sz w:val="20"/>
                <w:szCs w:val="20"/>
              </w:rPr>
              <w:t>”</w:t>
            </w:r>
            <w:r>
              <w:rPr>
                <w:rFonts w:hint="eastAsia"/>
                <w:sz w:val="20"/>
                <w:szCs w:val="20"/>
              </w:rPr>
              <w:t>号填列）</w:t>
            </w:r>
          </w:p>
        </w:tc>
        <w:tc>
          <w:tcPr>
            <w:tcW w:w="2799" w:type="dxa"/>
            <w:tcBorders>
              <w:top w:val="outset" w:color="auto" w:sz="4" w:space="0"/>
              <w:left w:val="single" w:color="auto" w:sz="4" w:space="0"/>
              <w:bottom w:val="outset" w:color="auto" w:sz="4" w:space="0"/>
              <w:right w:val="outset" w:color="auto" w:sz="4" w:space="0"/>
            </w:tcBorders>
            <w:vAlign w:val="center"/>
          </w:tcPr>
          <w:p w14:paraId="38872729">
            <w:pPr>
              <w:jc w:val="right"/>
              <w:rPr>
                <w:rFonts w:ascii="Calibri" w:hAnsi="Calibri"/>
                <w:sz w:val="20"/>
                <w:szCs w:val="20"/>
              </w:rPr>
            </w:pPr>
            <w:r>
              <w:rPr>
                <w:rFonts w:ascii="Calibri" w:hAnsi="Calibri"/>
                <w:sz w:val="20"/>
                <w:szCs w:val="20"/>
              </w:rPr>
              <w:t>21,881,108.21</w:t>
            </w:r>
          </w:p>
        </w:tc>
        <w:tc>
          <w:tcPr>
            <w:tcW w:w="2768" w:type="dxa"/>
            <w:tcBorders>
              <w:top w:val="outset" w:color="auto" w:sz="4" w:space="0"/>
              <w:left w:val="outset" w:color="auto" w:sz="4" w:space="0"/>
              <w:bottom w:val="outset" w:color="auto" w:sz="4" w:space="0"/>
              <w:right w:val="outset" w:color="auto" w:sz="4" w:space="0"/>
            </w:tcBorders>
            <w:vAlign w:val="center"/>
          </w:tcPr>
          <w:p w14:paraId="653BA1A3">
            <w:pPr>
              <w:jc w:val="right"/>
              <w:rPr>
                <w:rFonts w:ascii="Calibri" w:hAnsi="Calibri"/>
                <w:sz w:val="20"/>
                <w:szCs w:val="20"/>
              </w:rPr>
            </w:pPr>
            <w:r>
              <w:rPr>
                <w:rFonts w:ascii="Calibri" w:hAnsi="Calibri"/>
                <w:sz w:val="20"/>
                <w:szCs w:val="20"/>
              </w:rPr>
              <w:t>13,458,412.94</w:t>
            </w:r>
          </w:p>
        </w:tc>
      </w:tr>
      <w:tr w14:paraId="50B05B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49672658">
            <w:pPr>
              <w:pStyle w:val="48"/>
              <w:rPr>
                <w:sz w:val="20"/>
                <w:szCs w:val="20"/>
              </w:rPr>
            </w:pPr>
            <w:r>
              <w:rPr>
                <w:rFonts w:hint="eastAsia"/>
                <w:sz w:val="20"/>
                <w:szCs w:val="20"/>
              </w:rPr>
              <w:t>投资损失（收益以</w:t>
            </w:r>
            <w:r>
              <w:rPr>
                <w:sz w:val="20"/>
                <w:szCs w:val="20"/>
              </w:rPr>
              <w:t>“</w:t>
            </w:r>
            <w:r>
              <w:rPr>
                <w:rFonts w:hint="eastAsia"/>
                <w:sz w:val="20"/>
                <w:szCs w:val="20"/>
              </w:rPr>
              <w:t>－</w:t>
            </w:r>
            <w:r>
              <w:rPr>
                <w:sz w:val="20"/>
                <w:szCs w:val="20"/>
              </w:rPr>
              <w:t>”</w:t>
            </w:r>
            <w:r>
              <w:rPr>
                <w:rFonts w:hint="eastAsia"/>
                <w:sz w:val="20"/>
                <w:szCs w:val="20"/>
              </w:rPr>
              <w:t>号填列）</w:t>
            </w:r>
          </w:p>
        </w:tc>
        <w:tc>
          <w:tcPr>
            <w:tcW w:w="2799" w:type="dxa"/>
            <w:tcBorders>
              <w:top w:val="outset" w:color="auto" w:sz="4" w:space="0"/>
              <w:left w:val="single" w:color="auto" w:sz="4" w:space="0"/>
              <w:bottom w:val="outset" w:color="auto" w:sz="4" w:space="0"/>
              <w:right w:val="outset" w:color="auto" w:sz="4" w:space="0"/>
            </w:tcBorders>
            <w:vAlign w:val="center"/>
          </w:tcPr>
          <w:p w14:paraId="52DBF741">
            <w:pPr>
              <w:jc w:val="right"/>
              <w:rPr>
                <w:rFonts w:ascii="Calibri" w:hAnsi="Calibri"/>
                <w:sz w:val="20"/>
                <w:szCs w:val="20"/>
              </w:rPr>
            </w:pPr>
            <w:r>
              <w:rPr>
                <w:rFonts w:ascii="Calibri" w:hAnsi="Calibri"/>
                <w:sz w:val="20"/>
                <w:szCs w:val="20"/>
              </w:rPr>
              <w:t>-1,179,592,079.77</w:t>
            </w:r>
          </w:p>
        </w:tc>
        <w:tc>
          <w:tcPr>
            <w:tcW w:w="2768" w:type="dxa"/>
            <w:tcBorders>
              <w:top w:val="outset" w:color="auto" w:sz="4" w:space="0"/>
              <w:left w:val="outset" w:color="auto" w:sz="4" w:space="0"/>
              <w:bottom w:val="outset" w:color="auto" w:sz="4" w:space="0"/>
              <w:right w:val="outset" w:color="auto" w:sz="4" w:space="0"/>
            </w:tcBorders>
            <w:vAlign w:val="center"/>
          </w:tcPr>
          <w:p w14:paraId="3993F6F3">
            <w:pPr>
              <w:jc w:val="right"/>
              <w:rPr>
                <w:rFonts w:ascii="Calibri" w:hAnsi="Calibri"/>
                <w:sz w:val="20"/>
                <w:szCs w:val="20"/>
              </w:rPr>
            </w:pPr>
            <w:r>
              <w:rPr>
                <w:rFonts w:ascii="Calibri" w:hAnsi="Calibri"/>
                <w:sz w:val="20"/>
                <w:szCs w:val="20"/>
              </w:rPr>
              <w:t>-122,904,943.19</w:t>
            </w:r>
          </w:p>
        </w:tc>
      </w:tr>
      <w:tr w14:paraId="16FA2B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2E648E40">
            <w:pPr>
              <w:pStyle w:val="48"/>
              <w:rPr>
                <w:sz w:val="20"/>
                <w:szCs w:val="20"/>
              </w:rPr>
            </w:pPr>
            <w:r>
              <w:rPr>
                <w:rFonts w:hint="eastAsia"/>
                <w:sz w:val="20"/>
                <w:szCs w:val="20"/>
              </w:rPr>
              <w:t>递延所得税资产减少（增加以</w:t>
            </w:r>
            <w:r>
              <w:rPr>
                <w:sz w:val="20"/>
                <w:szCs w:val="20"/>
              </w:rPr>
              <w:t>“</w:t>
            </w:r>
            <w:r>
              <w:rPr>
                <w:rFonts w:hint="eastAsia"/>
                <w:sz w:val="20"/>
                <w:szCs w:val="20"/>
              </w:rPr>
              <w:t>－</w:t>
            </w:r>
            <w:r>
              <w:rPr>
                <w:sz w:val="20"/>
                <w:szCs w:val="20"/>
              </w:rPr>
              <w:t>”</w:t>
            </w:r>
            <w:r>
              <w:rPr>
                <w:rFonts w:hint="eastAsia"/>
                <w:sz w:val="20"/>
                <w:szCs w:val="20"/>
              </w:rPr>
              <w:t>号填列）</w:t>
            </w:r>
          </w:p>
        </w:tc>
        <w:tc>
          <w:tcPr>
            <w:tcW w:w="2799" w:type="dxa"/>
            <w:tcBorders>
              <w:top w:val="outset" w:color="auto" w:sz="4" w:space="0"/>
              <w:left w:val="single" w:color="auto" w:sz="4" w:space="0"/>
              <w:bottom w:val="outset" w:color="auto" w:sz="4" w:space="0"/>
              <w:right w:val="outset" w:color="auto" w:sz="4" w:space="0"/>
            </w:tcBorders>
            <w:vAlign w:val="center"/>
          </w:tcPr>
          <w:p w14:paraId="4134C633">
            <w:pPr>
              <w:jc w:val="right"/>
              <w:rPr>
                <w:rFonts w:ascii="Calibri" w:hAnsi="Calibri"/>
                <w:sz w:val="20"/>
                <w:szCs w:val="20"/>
              </w:rPr>
            </w:pPr>
            <w:r>
              <w:rPr>
                <w:rFonts w:ascii="Calibri" w:hAnsi="Calibri"/>
                <w:sz w:val="20"/>
                <w:szCs w:val="20"/>
              </w:rPr>
              <w:t>76,558,192.02</w:t>
            </w:r>
          </w:p>
        </w:tc>
        <w:tc>
          <w:tcPr>
            <w:tcW w:w="2768" w:type="dxa"/>
            <w:tcBorders>
              <w:top w:val="outset" w:color="auto" w:sz="4" w:space="0"/>
              <w:left w:val="outset" w:color="auto" w:sz="4" w:space="0"/>
              <w:bottom w:val="outset" w:color="auto" w:sz="4" w:space="0"/>
              <w:right w:val="outset" w:color="auto" w:sz="4" w:space="0"/>
            </w:tcBorders>
            <w:vAlign w:val="center"/>
          </w:tcPr>
          <w:p w14:paraId="3EB4AC6F">
            <w:pPr>
              <w:jc w:val="right"/>
              <w:rPr>
                <w:rFonts w:ascii="Calibri" w:hAnsi="Calibri"/>
                <w:sz w:val="20"/>
                <w:szCs w:val="20"/>
              </w:rPr>
            </w:pPr>
            <w:r>
              <w:rPr>
                <w:rFonts w:ascii="Calibri" w:hAnsi="Calibri"/>
                <w:sz w:val="20"/>
                <w:szCs w:val="20"/>
              </w:rPr>
              <w:t>-104,360,643.84</w:t>
            </w:r>
          </w:p>
        </w:tc>
      </w:tr>
      <w:tr w14:paraId="372015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34FA40A4">
            <w:pPr>
              <w:pStyle w:val="48"/>
              <w:rPr>
                <w:sz w:val="20"/>
                <w:szCs w:val="20"/>
              </w:rPr>
            </w:pPr>
            <w:r>
              <w:rPr>
                <w:rFonts w:hint="eastAsia"/>
                <w:sz w:val="20"/>
                <w:szCs w:val="20"/>
              </w:rPr>
              <w:t>递延所得税负债增加（减少以</w:t>
            </w:r>
            <w:r>
              <w:rPr>
                <w:sz w:val="20"/>
                <w:szCs w:val="20"/>
              </w:rPr>
              <w:t>“</w:t>
            </w:r>
            <w:r>
              <w:rPr>
                <w:rFonts w:hint="eastAsia"/>
                <w:sz w:val="20"/>
                <w:szCs w:val="20"/>
              </w:rPr>
              <w:t>－</w:t>
            </w:r>
            <w:r>
              <w:rPr>
                <w:sz w:val="20"/>
                <w:szCs w:val="20"/>
              </w:rPr>
              <w:t>”</w:t>
            </w:r>
            <w:r>
              <w:rPr>
                <w:rFonts w:hint="eastAsia"/>
                <w:sz w:val="20"/>
                <w:szCs w:val="20"/>
              </w:rPr>
              <w:t>号填列）</w:t>
            </w:r>
          </w:p>
        </w:tc>
        <w:tc>
          <w:tcPr>
            <w:tcW w:w="2799" w:type="dxa"/>
            <w:tcBorders>
              <w:top w:val="outset" w:color="auto" w:sz="4" w:space="0"/>
              <w:left w:val="single" w:color="auto" w:sz="4" w:space="0"/>
              <w:bottom w:val="outset" w:color="auto" w:sz="4" w:space="0"/>
              <w:right w:val="outset" w:color="auto" w:sz="4" w:space="0"/>
            </w:tcBorders>
            <w:vAlign w:val="center"/>
          </w:tcPr>
          <w:p w14:paraId="6D9F24CA">
            <w:pPr>
              <w:jc w:val="right"/>
              <w:rPr>
                <w:rFonts w:ascii="Calibri" w:hAnsi="Calibri"/>
                <w:sz w:val="20"/>
                <w:szCs w:val="20"/>
              </w:rPr>
            </w:pPr>
            <w:r>
              <w:rPr>
                <w:rFonts w:ascii="Calibri" w:hAnsi="Calibri"/>
                <w:sz w:val="20"/>
                <w:szCs w:val="20"/>
              </w:rPr>
              <w:t>-4,596,467.72</w:t>
            </w:r>
          </w:p>
        </w:tc>
        <w:tc>
          <w:tcPr>
            <w:tcW w:w="2768" w:type="dxa"/>
            <w:tcBorders>
              <w:top w:val="outset" w:color="auto" w:sz="4" w:space="0"/>
              <w:left w:val="outset" w:color="auto" w:sz="4" w:space="0"/>
              <w:bottom w:val="outset" w:color="auto" w:sz="4" w:space="0"/>
              <w:right w:val="outset" w:color="auto" w:sz="4" w:space="0"/>
            </w:tcBorders>
            <w:vAlign w:val="center"/>
          </w:tcPr>
          <w:p w14:paraId="417803FF">
            <w:pPr>
              <w:jc w:val="right"/>
              <w:rPr>
                <w:rFonts w:ascii="Calibri" w:hAnsi="Calibri"/>
                <w:sz w:val="20"/>
                <w:szCs w:val="20"/>
              </w:rPr>
            </w:pPr>
            <w:r>
              <w:rPr>
                <w:rFonts w:ascii="Calibri" w:hAnsi="Calibri"/>
                <w:sz w:val="20"/>
                <w:szCs w:val="20"/>
              </w:rPr>
              <w:t>4,580,358.19</w:t>
            </w:r>
          </w:p>
        </w:tc>
      </w:tr>
      <w:tr w14:paraId="0A7BE5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1A8DDA48">
            <w:pPr>
              <w:pStyle w:val="48"/>
              <w:rPr>
                <w:sz w:val="20"/>
                <w:szCs w:val="20"/>
              </w:rPr>
            </w:pPr>
            <w:r>
              <w:rPr>
                <w:rFonts w:hint="eastAsia"/>
                <w:sz w:val="20"/>
                <w:szCs w:val="20"/>
              </w:rPr>
              <w:t>存货的减少（增加以</w:t>
            </w:r>
            <w:r>
              <w:rPr>
                <w:sz w:val="20"/>
                <w:szCs w:val="20"/>
              </w:rPr>
              <w:t>“</w:t>
            </w:r>
            <w:r>
              <w:rPr>
                <w:rFonts w:hint="eastAsia"/>
                <w:sz w:val="20"/>
                <w:szCs w:val="20"/>
              </w:rPr>
              <w:t>－</w:t>
            </w:r>
            <w:r>
              <w:rPr>
                <w:sz w:val="20"/>
                <w:szCs w:val="20"/>
              </w:rPr>
              <w:t>”</w:t>
            </w:r>
            <w:r>
              <w:rPr>
                <w:rFonts w:hint="eastAsia"/>
                <w:sz w:val="20"/>
                <w:szCs w:val="20"/>
              </w:rPr>
              <w:t>号填列）</w:t>
            </w:r>
          </w:p>
        </w:tc>
        <w:tc>
          <w:tcPr>
            <w:tcW w:w="2799" w:type="dxa"/>
            <w:tcBorders>
              <w:top w:val="outset" w:color="auto" w:sz="4" w:space="0"/>
              <w:left w:val="single" w:color="auto" w:sz="4" w:space="0"/>
              <w:bottom w:val="outset" w:color="auto" w:sz="4" w:space="0"/>
              <w:right w:val="outset" w:color="auto" w:sz="4" w:space="0"/>
            </w:tcBorders>
            <w:vAlign w:val="center"/>
          </w:tcPr>
          <w:p w14:paraId="1D5C0CE4">
            <w:pPr>
              <w:jc w:val="right"/>
              <w:rPr>
                <w:rFonts w:ascii="Calibri" w:hAnsi="Calibri"/>
                <w:sz w:val="20"/>
                <w:szCs w:val="20"/>
              </w:rPr>
            </w:pPr>
            <w:r>
              <w:rPr>
                <w:rFonts w:ascii="Calibri" w:hAnsi="Calibri"/>
                <w:sz w:val="20"/>
                <w:szCs w:val="20"/>
              </w:rPr>
              <w:t>20,370,832.19</w:t>
            </w:r>
          </w:p>
        </w:tc>
        <w:tc>
          <w:tcPr>
            <w:tcW w:w="2768" w:type="dxa"/>
            <w:tcBorders>
              <w:top w:val="outset" w:color="auto" w:sz="4" w:space="0"/>
              <w:left w:val="outset" w:color="auto" w:sz="4" w:space="0"/>
              <w:bottom w:val="outset" w:color="auto" w:sz="4" w:space="0"/>
              <w:right w:val="outset" w:color="auto" w:sz="4" w:space="0"/>
            </w:tcBorders>
            <w:vAlign w:val="center"/>
          </w:tcPr>
          <w:p w14:paraId="505C75C3">
            <w:pPr>
              <w:jc w:val="right"/>
              <w:rPr>
                <w:rFonts w:ascii="Calibri" w:hAnsi="Calibri"/>
                <w:sz w:val="20"/>
                <w:szCs w:val="20"/>
              </w:rPr>
            </w:pPr>
            <w:r>
              <w:rPr>
                <w:rFonts w:ascii="Calibri" w:hAnsi="Calibri"/>
                <w:sz w:val="20"/>
                <w:szCs w:val="20"/>
              </w:rPr>
              <w:t>-48,506,463.48</w:t>
            </w:r>
          </w:p>
        </w:tc>
      </w:tr>
      <w:tr w14:paraId="33734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3600B938">
            <w:pPr>
              <w:pStyle w:val="48"/>
              <w:rPr>
                <w:sz w:val="20"/>
                <w:szCs w:val="20"/>
              </w:rPr>
            </w:pPr>
            <w:r>
              <w:rPr>
                <w:rFonts w:hint="eastAsia"/>
                <w:sz w:val="20"/>
                <w:szCs w:val="20"/>
              </w:rPr>
              <w:t>经营性应收项目的减少（增加以</w:t>
            </w:r>
            <w:r>
              <w:rPr>
                <w:sz w:val="20"/>
                <w:szCs w:val="20"/>
              </w:rPr>
              <w:t>“</w:t>
            </w:r>
            <w:r>
              <w:rPr>
                <w:rFonts w:hint="eastAsia"/>
                <w:sz w:val="20"/>
                <w:szCs w:val="20"/>
              </w:rPr>
              <w:t>－</w:t>
            </w:r>
            <w:r>
              <w:rPr>
                <w:sz w:val="20"/>
                <w:szCs w:val="20"/>
              </w:rPr>
              <w:t>”</w:t>
            </w:r>
            <w:r>
              <w:rPr>
                <w:rFonts w:hint="eastAsia"/>
                <w:sz w:val="20"/>
                <w:szCs w:val="20"/>
              </w:rPr>
              <w:t>号填列）</w:t>
            </w:r>
          </w:p>
        </w:tc>
        <w:tc>
          <w:tcPr>
            <w:tcW w:w="2799" w:type="dxa"/>
            <w:tcBorders>
              <w:top w:val="outset" w:color="auto" w:sz="4" w:space="0"/>
              <w:left w:val="single" w:color="auto" w:sz="4" w:space="0"/>
              <w:bottom w:val="outset" w:color="auto" w:sz="4" w:space="0"/>
              <w:right w:val="outset" w:color="auto" w:sz="4" w:space="0"/>
            </w:tcBorders>
            <w:vAlign w:val="center"/>
          </w:tcPr>
          <w:p w14:paraId="494387CA">
            <w:pPr>
              <w:jc w:val="right"/>
              <w:rPr>
                <w:rFonts w:ascii="Calibri" w:hAnsi="Calibri"/>
                <w:sz w:val="20"/>
                <w:szCs w:val="20"/>
              </w:rPr>
            </w:pPr>
            <w:r>
              <w:rPr>
                <w:rFonts w:ascii="Calibri" w:hAnsi="Calibri"/>
                <w:sz w:val="20"/>
                <w:szCs w:val="20"/>
              </w:rPr>
              <w:t>85,452,893.72</w:t>
            </w:r>
          </w:p>
        </w:tc>
        <w:tc>
          <w:tcPr>
            <w:tcW w:w="2768" w:type="dxa"/>
            <w:tcBorders>
              <w:top w:val="outset" w:color="auto" w:sz="4" w:space="0"/>
              <w:left w:val="outset" w:color="auto" w:sz="4" w:space="0"/>
              <w:bottom w:val="outset" w:color="auto" w:sz="4" w:space="0"/>
              <w:right w:val="outset" w:color="auto" w:sz="4" w:space="0"/>
            </w:tcBorders>
            <w:vAlign w:val="center"/>
          </w:tcPr>
          <w:p w14:paraId="21AF8876">
            <w:pPr>
              <w:jc w:val="right"/>
              <w:rPr>
                <w:rFonts w:ascii="Calibri" w:hAnsi="Calibri"/>
                <w:sz w:val="20"/>
                <w:szCs w:val="20"/>
              </w:rPr>
            </w:pPr>
            <w:r>
              <w:rPr>
                <w:rFonts w:ascii="Calibri" w:hAnsi="Calibri"/>
                <w:sz w:val="20"/>
                <w:szCs w:val="20"/>
              </w:rPr>
              <w:t>319,112,392.24</w:t>
            </w:r>
          </w:p>
        </w:tc>
      </w:tr>
      <w:tr w14:paraId="12F811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4BFF800A">
            <w:pPr>
              <w:pStyle w:val="48"/>
              <w:rPr>
                <w:sz w:val="20"/>
                <w:szCs w:val="20"/>
              </w:rPr>
            </w:pPr>
            <w:r>
              <w:rPr>
                <w:rFonts w:hint="eastAsia"/>
                <w:sz w:val="20"/>
                <w:szCs w:val="20"/>
              </w:rPr>
              <w:t>经营性应付项目的增加（减少以</w:t>
            </w:r>
            <w:r>
              <w:rPr>
                <w:sz w:val="20"/>
                <w:szCs w:val="20"/>
              </w:rPr>
              <w:t>“</w:t>
            </w:r>
            <w:r>
              <w:rPr>
                <w:rFonts w:hint="eastAsia"/>
                <w:sz w:val="20"/>
                <w:szCs w:val="20"/>
              </w:rPr>
              <w:t>－</w:t>
            </w:r>
            <w:r>
              <w:rPr>
                <w:sz w:val="20"/>
                <w:szCs w:val="20"/>
              </w:rPr>
              <w:t>”</w:t>
            </w:r>
            <w:r>
              <w:rPr>
                <w:rFonts w:hint="eastAsia"/>
                <w:sz w:val="20"/>
                <w:szCs w:val="20"/>
              </w:rPr>
              <w:t>号填列）</w:t>
            </w:r>
          </w:p>
        </w:tc>
        <w:tc>
          <w:tcPr>
            <w:tcW w:w="2799" w:type="dxa"/>
            <w:tcBorders>
              <w:top w:val="outset" w:color="auto" w:sz="4" w:space="0"/>
              <w:left w:val="single" w:color="auto" w:sz="4" w:space="0"/>
              <w:bottom w:val="outset" w:color="auto" w:sz="4" w:space="0"/>
              <w:right w:val="outset" w:color="auto" w:sz="4" w:space="0"/>
            </w:tcBorders>
            <w:vAlign w:val="center"/>
          </w:tcPr>
          <w:p w14:paraId="2032F14F">
            <w:pPr>
              <w:jc w:val="right"/>
              <w:rPr>
                <w:rFonts w:ascii="Calibri" w:hAnsi="Calibri"/>
                <w:sz w:val="20"/>
                <w:szCs w:val="20"/>
              </w:rPr>
            </w:pPr>
            <w:r>
              <w:rPr>
                <w:rFonts w:ascii="Calibri" w:hAnsi="Calibri"/>
                <w:sz w:val="20"/>
                <w:szCs w:val="20"/>
              </w:rPr>
              <w:t>-100,334,360.22</w:t>
            </w:r>
          </w:p>
        </w:tc>
        <w:tc>
          <w:tcPr>
            <w:tcW w:w="2768" w:type="dxa"/>
            <w:tcBorders>
              <w:top w:val="outset" w:color="auto" w:sz="4" w:space="0"/>
              <w:left w:val="outset" w:color="auto" w:sz="4" w:space="0"/>
              <w:bottom w:val="outset" w:color="auto" w:sz="4" w:space="0"/>
              <w:right w:val="outset" w:color="auto" w:sz="4" w:space="0"/>
            </w:tcBorders>
            <w:vAlign w:val="center"/>
          </w:tcPr>
          <w:p w14:paraId="233ABCB2">
            <w:pPr>
              <w:jc w:val="right"/>
              <w:rPr>
                <w:rFonts w:ascii="Calibri" w:hAnsi="Calibri"/>
                <w:sz w:val="20"/>
                <w:szCs w:val="20"/>
              </w:rPr>
            </w:pPr>
            <w:r>
              <w:rPr>
                <w:rFonts w:ascii="Calibri" w:hAnsi="Calibri"/>
                <w:sz w:val="20"/>
                <w:szCs w:val="20"/>
              </w:rPr>
              <w:t>-89,010,297.16</w:t>
            </w:r>
          </w:p>
        </w:tc>
      </w:tr>
      <w:tr w14:paraId="304427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37F1D07C">
            <w:pPr>
              <w:pStyle w:val="48"/>
              <w:rPr>
                <w:sz w:val="20"/>
                <w:szCs w:val="20"/>
              </w:rPr>
            </w:pPr>
            <w:r>
              <w:rPr>
                <w:rFonts w:hint="eastAsia"/>
                <w:sz w:val="20"/>
                <w:szCs w:val="20"/>
              </w:rPr>
              <w:t>其他</w:t>
            </w:r>
          </w:p>
        </w:tc>
        <w:tc>
          <w:tcPr>
            <w:tcW w:w="2799" w:type="dxa"/>
            <w:tcBorders>
              <w:top w:val="outset" w:color="auto" w:sz="4" w:space="0"/>
              <w:left w:val="single" w:color="auto" w:sz="4" w:space="0"/>
              <w:bottom w:val="outset" w:color="auto" w:sz="4" w:space="0"/>
              <w:right w:val="outset" w:color="auto" w:sz="4" w:space="0"/>
            </w:tcBorders>
            <w:vAlign w:val="center"/>
          </w:tcPr>
          <w:p w14:paraId="748ACD88">
            <w:pPr>
              <w:jc w:val="right"/>
              <w:rPr>
                <w:rFonts w:ascii="Calibri" w:hAnsi="Calibri"/>
                <w:sz w:val="20"/>
                <w:szCs w:val="20"/>
              </w:rPr>
            </w:pPr>
          </w:p>
        </w:tc>
        <w:tc>
          <w:tcPr>
            <w:tcW w:w="2768" w:type="dxa"/>
            <w:tcBorders>
              <w:top w:val="outset" w:color="auto" w:sz="4" w:space="0"/>
              <w:left w:val="outset" w:color="auto" w:sz="4" w:space="0"/>
              <w:bottom w:val="outset" w:color="auto" w:sz="4" w:space="0"/>
              <w:right w:val="outset" w:color="auto" w:sz="4" w:space="0"/>
            </w:tcBorders>
            <w:vAlign w:val="center"/>
          </w:tcPr>
          <w:p w14:paraId="06E27C92">
            <w:pPr>
              <w:jc w:val="right"/>
              <w:rPr>
                <w:rFonts w:ascii="Calibri" w:hAnsi="Calibri"/>
                <w:sz w:val="20"/>
                <w:szCs w:val="20"/>
              </w:rPr>
            </w:pPr>
          </w:p>
        </w:tc>
      </w:tr>
      <w:tr w14:paraId="4D62C4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705FE4A5">
            <w:pPr>
              <w:pStyle w:val="48"/>
              <w:rPr>
                <w:sz w:val="20"/>
                <w:szCs w:val="20"/>
              </w:rPr>
            </w:pPr>
            <w:r>
              <w:rPr>
                <w:rFonts w:hint="eastAsia"/>
                <w:sz w:val="20"/>
                <w:szCs w:val="20"/>
              </w:rPr>
              <w:t>经营活动产生的现金流量净额</w:t>
            </w:r>
          </w:p>
        </w:tc>
        <w:tc>
          <w:tcPr>
            <w:tcW w:w="2799" w:type="dxa"/>
            <w:tcBorders>
              <w:top w:val="outset" w:color="auto" w:sz="4" w:space="0"/>
              <w:left w:val="single" w:color="auto" w:sz="4" w:space="0"/>
              <w:bottom w:val="outset" w:color="auto" w:sz="4" w:space="0"/>
              <w:right w:val="outset" w:color="auto" w:sz="4" w:space="0"/>
            </w:tcBorders>
            <w:vAlign w:val="center"/>
          </w:tcPr>
          <w:p w14:paraId="3EE87F6A">
            <w:pPr>
              <w:jc w:val="right"/>
              <w:rPr>
                <w:rFonts w:ascii="Calibri" w:hAnsi="Calibri"/>
                <w:sz w:val="20"/>
                <w:szCs w:val="20"/>
              </w:rPr>
            </w:pPr>
            <w:r>
              <w:rPr>
                <w:rFonts w:ascii="Calibri" w:hAnsi="Calibri"/>
                <w:sz w:val="20"/>
                <w:szCs w:val="20"/>
              </w:rPr>
              <w:t>689,225,249.83</w:t>
            </w:r>
          </w:p>
        </w:tc>
        <w:tc>
          <w:tcPr>
            <w:tcW w:w="2768" w:type="dxa"/>
            <w:tcBorders>
              <w:top w:val="outset" w:color="auto" w:sz="4" w:space="0"/>
              <w:left w:val="outset" w:color="auto" w:sz="4" w:space="0"/>
              <w:bottom w:val="outset" w:color="auto" w:sz="4" w:space="0"/>
              <w:right w:val="outset" w:color="auto" w:sz="4" w:space="0"/>
            </w:tcBorders>
            <w:vAlign w:val="center"/>
          </w:tcPr>
          <w:p w14:paraId="342D3145">
            <w:pPr>
              <w:jc w:val="right"/>
              <w:rPr>
                <w:rFonts w:ascii="Calibri" w:hAnsi="Calibri"/>
                <w:sz w:val="20"/>
                <w:szCs w:val="20"/>
              </w:rPr>
            </w:pPr>
            <w:r>
              <w:rPr>
                <w:rFonts w:ascii="Calibri" w:hAnsi="Calibri"/>
                <w:sz w:val="20"/>
                <w:szCs w:val="20"/>
              </w:rPr>
              <w:t>462,328,859.95</w:t>
            </w:r>
          </w:p>
        </w:tc>
      </w:tr>
      <w:tr w14:paraId="58CE83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b9bf22c7a64477db916821f6ee032d7"/>
            <w:id w:val="-1022006125"/>
          </w:sdtPr>
          <w:sdtContent>
            <w:tc>
              <w:tcPr>
                <w:tcW w:w="9049" w:type="dxa"/>
                <w:gridSpan w:val="3"/>
                <w:tcBorders>
                  <w:top w:val="single" w:color="auto" w:sz="4" w:space="0"/>
                  <w:left w:val="single" w:color="auto" w:sz="4" w:space="0"/>
                  <w:bottom w:val="single" w:color="auto" w:sz="4" w:space="0"/>
                  <w:right w:val="outset" w:color="auto" w:sz="4" w:space="0"/>
                </w:tcBorders>
                <w:vAlign w:val="center"/>
              </w:tcPr>
              <w:p w14:paraId="655778C4">
                <w:pPr>
                  <w:pStyle w:val="48"/>
                  <w:rPr>
                    <w:sz w:val="20"/>
                    <w:szCs w:val="20"/>
                  </w:rPr>
                </w:pPr>
                <w:r>
                  <w:rPr>
                    <w:b/>
                    <w:bCs/>
                    <w:sz w:val="20"/>
                    <w:szCs w:val="20"/>
                  </w:rPr>
                  <w:t>2</w:t>
                </w:r>
                <w:r>
                  <w:rPr>
                    <w:rFonts w:hint="eastAsia"/>
                    <w:b/>
                    <w:bCs/>
                    <w:sz w:val="20"/>
                    <w:szCs w:val="20"/>
                  </w:rPr>
                  <w:t>．不涉及现金收支的重大投资和筹资活动：</w:t>
                </w:r>
              </w:p>
            </w:tc>
          </w:sdtContent>
        </w:sdt>
      </w:tr>
      <w:tr w14:paraId="2EB744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622579DA">
            <w:pPr>
              <w:pStyle w:val="48"/>
              <w:rPr>
                <w:sz w:val="20"/>
                <w:szCs w:val="20"/>
              </w:rPr>
            </w:pPr>
            <w:r>
              <w:rPr>
                <w:rFonts w:hint="eastAsia"/>
                <w:sz w:val="20"/>
                <w:szCs w:val="20"/>
              </w:rPr>
              <w:t>债务转为资本</w:t>
            </w:r>
          </w:p>
        </w:tc>
        <w:tc>
          <w:tcPr>
            <w:tcW w:w="2799" w:type="dxa"/>
            <w:tcBorders>
              <w:top w:val="outset" w:color="auto" w:sz="4" w:space="0"/>
              <w:left w:val="single" w:color="auto" w:sz="4" w:space="0"/>
              <w:bottom w:val="outset" w:color="auto" w:sz="4" w:space="0"/>
              <w:right w:val="outset" w:color="auto" w:sz="4" w:space="0"/>
            </w:tcBorders>
            <w:vAlign w:val="center"/>
          </w:tcPr>
          <w:p w14:paraId="1352DDC1">
            <w:pPr>
              <w:jc w:val="right"/>
              <w:rPr>
                <w:rFonts w:ascii="Calibri" w:hAnsi="Calibri"/>
                <w:sz w:val="20"/>
                <w:szCs w:val="20"/>
              </w:rPr>
            </w:pPr>
          </w:p>
        </w:tc>
        <w:tc>
          <w:tcPr>
            <w:tcW w:w="2768" w:type="dxa"/>
            <w:tcBorders>
              <w:top w:val="outset" w:color="auto" w:sz="4" w:space="0"/>
              <w:left w:val="outset" w:color="auto" w:sz="4" w:space="0"/>
              <w:bottom w:val="outset" w:color="auto" w:sz="4" w:space="0"/>
              <w:right w:val="outset" w:color="auto" w:sz="4" w:space="0"/>
            </w:tcBorders>
            <w:vAlign w:val="center"/>
          </w:tcPr>
          <w:p w14:paraId="616C6FF4">
            <w:pPr>
              <w:jc w:val="right"/>
              <w:rPr>
                <w:rFonts w:ascii="Calibri" w:hAnsi="Calibri"/>
                <w:sz w:val="20"/>
                <w:szCs w:val="20"/>
              </w:rPr>
            </w:pPr>
          </w:p>
        </w:tc>
      </w:tr>
      <w:tr w14:paraId="64E5B5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10125C56">
            <w:pPr>
              <w:pStyle w:val="48"/>
              <w:rPr>
                <w:sz w:val="20"/>
                <w:szCs w:val="20"/>
              </w:rPr>
            </w:pPr>
            <w:r>
              <w:rPr>
                <w:rFonts w:hint="eastAsia"/>
                <w:sz w:val="20"/>
                <w:szCs w:val="20"/>
              </w:rPr>
              <w:t>一年内到期的可转换公司债券</w:t>
            </w:r>
          </w:p>
        </w:tc>
        <w:tc>
          <w:tcPr>
            <w:tcW w:w="2799" w:type="dxa"/>
            <w:tcBorders>
              <w:top w:val="outset" w:color="auto" w:sz="4" w:space="0"/>
              <w:left w:val="single" w:color="auto" w:sz="4" w:space="0"/>
              <w:bottom w:val="outset" w:color="auto" w:sz="4" w:space="0"/>
              <w:right w:val="outset" w:color="auto" w:sz="4" w:space="0"/>
            </w:tcBorders>
            <w:vAlign w:val="center"/>
          </w:tcPr>
          <w:p w14:paraId="7A010D96">
            <w:pPr>
              <w:jc w:val="right"/>
              <w:rPr>
                <w:rFonts w:ascii="Calibri" w:hAnsi="Calibri"/>
                <w:sz w:val="20"/>
                <w:szCs w:val="20"/>
              </w:rPr>
            </w:pPr>
          </w:p>
        </w:tc>
        <w:tc>
          <w:tcPr>
            <w:tcW w:w="2768" w:type="dxa"/>
            <w:tcBorders>
              <w:top w:val="outset" w:color="auto" w:sz="4" w:space="0"/>
              <w:left w:val="outset" w:color="auto" w:sz="4" w:space="0"/>
              <w:bottom w:val="outset" w:color="auto" w:sz="4" w:space="0"/>
              <w:right w:val="outset" w:color="auto" w:sz="4" w:space="0"/>
            </w:tcBorders>
            <w:vAlign w:val="center"/>
          </w:tcPr>
          <w:p w14:paraId="3D2F2FB7">
            <w:pPr>
              <w:jc w:val="right"/>
              <w:rPr>
                <w:rFonts w:ascii="Calibri" w:hAnsi="Calibri"/>
                <w:sz w:val="20"/>
                <w:szCs w:val="20"/>
              </w:rPr>
            </w:pPr>
          </w:p>
        </w:tc>
      </w:tr>
      <w:tr w14:paraId="0BB2A9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0362094F">
            <w:pPr>
              <w:pStyle w:val="48"/>
              <w:rPr>
                <w:sz w:val="20"/>
                <w:szCs w:val="20"/>
              </w:rPr>
            </w:pPr>
            <w:r>
              <w:rPr>
                <w:rFonts w:hint="eastAsia"/>
                <w:sz w:val="20"/>
                <w:szCs w:val="20"/>
              </w:rPr>
              <w:t>融资租入固定资产</w:t>
            </w:r>
          </w:p>
        </w:tc>
        <w:tc>
          <w:tcPr>
            <w:tcW w:w="2799" w:type="dxa"/>
            <w:tcBorders>
              <w:top w:val="outset" w:color="auto" w:sz="4" w:space="0"/>
              <w:left w:val="single" w:color="auto" w:sz="4" w:space="0"/>
              <w:bottom w:val="outset" w:color="auto" w:sz="4" w:space="0"/>
              <w:right w:val="outset" w:color="auto" w:sz="4" w:space="0"/>
            </w:tcBorders>
            <w:vAlign w:val="center"/>
          </w:tcPr>
          <w:p w14:paraId="69463CD9">
            <w:pPr>
              <w:jc w:val="right"/>
              <w:rPr>
                <w:rFonts w:ascii="Calibri" w:hAnsi="Calibri"/>
                <w:sz w:val="20"/>
                <w:szCs w:val="20"/>
              </w:rPr>
            </w:pPr>
          </w:p>
        </w:tc>
        <w:tc>
          <w:tcPr>
            <w:tcW w:w="2768" w:type="dxa"/>
            <w:tcBorders>
              <w:top w:val="outset" w:color="auto" w:sz="4" w:space="0"/>
              <w:left w:val="outset" w:color="auto" w:sz="4" w:space="0"/>
              <w:bottom w:val="outset" w:color="auto" w:sz="4" w:space="0"/>
              <w:right w:val="outset" w:color="auto" w:sz="4" w:space="0"/>
            </w:tcBorders>
            <w:vAlign w:val="center"/>
          </w:tcPr>
          <w:p w14:paraId="5034EF21">
            <w:pPr>
              <w:jc w:val="right"/>
              <w:rPr>
                <w:rFonts w:ascii="Calibri" w:hAnsi="Calibri"/>
                <w:sz w:val="20"/>
                <w:szCs w:val="20"/>
              </w:rPr>
            </w:pPr>
          </w:p>
        </w:tc>
      </w:tr>
      <w:tr w14:paraId="006B43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2f2ba3b4a94101978cc22144b58749"/>
            <w:id w:val="-1731832646"/>
          </w:sdtPr>
          <w:sdtContent>
            <w:tc>
              <w:tcPr>
                <w:tcW w:w="9049" w:type="dxa"/>
                <w:gridSpan w:val="3"/>
                <w:tcBorders>
                  <w:top w:val="single" w:color="auto" w:sz="4" w:space="0"/>
                  <w:left w:val="single" w:color="auto" w:sz="4" w:space="0"/>
                  <w:bottom w:val="single" w:color="auto" w:sz="4" w:space="0"/>
                  <w:right w:val="outset" w:color="auto" w:sz="4" w:space="0"/>
                </w:tcBorders>
                <w:vAlign w:val="center"/>
              </w:tcPr>
              <w:p w14:paraId="7136A4C6">
                <w:pPr>
                  <w:pStyle w:val="48"/>
                  <w:rPr>
                    <w:sz w:val="20"/>
                    <w:szCs w:val="20"/>
                  </w:rPr>
                </w:pPr>
                <w:r>
                  <w:rPr>
                    <w:b/>
                    <w:bCs/>
                    <w:sz w:val="20"/>
                    <w:szCs w:val="20"/>
                  </w:rPr>
                  <w:t>3</w:t>
                </w:r>
                <w:r>
                  <w:rPr>
                    <w:rFonts w:hint="eastAsia"/>
                    <w:b/>
                    <w:bCs/>
                    <w:sz w:val="20"/>
                    <w:szCs w:val="20"/>
                  </w:rPr>
                  <w:t>．现金及现金等价物净变动情况：</w:t>
                </w:r>
              </w:p>
            </w:tc>
          </w:sdtContent>
        </w:sdt>
      </w:tr>
      <w:tr w14:paraId="0C8BC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3482" w:type="dxa"/>
            <w:tcBorders>
              <w:top w:val="single" w:color="auto" w:sz="4" w:space="0"/>
              <w:left w:val="single" w:color="auto" w:sz="4" w:space="0"/>
              <w:bottom w:val="single" w:color="auto" w:sz="4" w:space="0"/>
              <w:right w:val="single" w:color="auto" w:sz="4" w:space="0"/>
            </w:tcBorders>
            <w:vAlign w:val="center"/>
          </w:tcPr>
          <w:p w14:paraId="55732558">
            <w:pPr>
              <w:pStyle w:val="48"/>
              <w:rPr>
                <w:sz w:val="20"/>
                <w:szCs w:val="20"/>
              </w:rPr>
            </w:pPr>
            <w:r>
              <w:rPr>
                <w:rFonts w:hint="eastAsia"/>
                <w:sz w:val="20"/>
                <w:szCs w:val="20"/>
              </w:rPr>
              <w:t>现金的期末余额</w:t>
            </w:r>
          </w:p>
        </w:tc>
        <w:tc>
          <w:tcPr>
            <w:tcW w:w="2799" w:type="dxa"/>
            <w:tcBorders>
              <w:top w:val="outset" w:color="auto" w:sz="4" w:space="0"/>
              <w:left w:val="single" w:color="auto" w:sz="4" w:space="0"/>
              <w:bottom w:val="outset" w:color="auto" w:sz="4" w:space="0"/>
              <w:right w:val="outset" w:color="auto" w:sz="4" w:space="0"/>
            </w:tcBorders>
            <w:vAlign w:val="center"/>
          </w:tcPr>
          <w:p w14:paraId="2ECB4711">
            <w:pPr>
              <w:jc w:val="right"/>
              <w:rPr>
                <w:rFonts w:ascii="Calibri" w:hAnsi="Calibri"/>
                <w:sz w:val="20"/>
                <w:szCs w:val="20"/>
              </w:rPr>
            </w:pPr>
            <w:r>
              <w:rPr>
                <w:rFonts w:ascii="Calibri" w:hAnsi="Calibri"/>
                <w:sz w:val="20"/>
                <w:szCs w:val="20"/>
              </w:rPr>
              <w:t>1,425,177,529.82</w:t>
            </w:r>
          </w:p>
        </w:tc>
        <w:tc>
          <w:tcPr>
            <w:tcW w:w="2768" w:type="dxa"/>
            <w:tcBorders>
              <w:top w:val="outset" w:color="auto" w:sz="4" w:space="0"/>
              <w:left w:val="outset" w:color="auto" w:sz="4" w:space="0"/>
              <w:bottom w:val="outset" w:color="auto" w:sz="4" w:space="0"/>
              <w:right w:val="outset" w:color="auto" w:sz="4" w:space="0"/>
            </w:tcBorders>
            <w:vAlign w:val="center"/>
          </w:tcPr>
          <w:p w14:paraId="0B318C07">
            <w:pPr>
              <w:jc w:val="right"/>
              <w:rPr>
                <w:rFonts w:ascii="Calibri" w:hAnsi="Calibri"/>
                <w:sz w:val="20"/>
                <w:szCs w:val="20"/>
              </w:rPr>
            </w:pPr>
            <w:r>
              <w:rPr>
                <w:rFonts w:ascii="Calibri" w:hAnsi="Calibri"/>
                <w:sz w:val="20"/>
                <w:szCs w:val="20"/>
              </w:rPr>
              <w:t>590,195,292.13</w:t>
            </w:r>
          </w:p>
        </w:tc>
      </w:tr>
      <w:tr w14:paraId="00E17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7C621F09">
            <w:pPr>
              <w:pStyle w:val="48"/>
              <w:rPr>
                <w:sz w:val="20"/>
                <w:szCs w:val="20"/>
              </w:rPr>
            </w:pPr>
            <w:r>
              <w:rPr>
                <w:rFonts w:hint="eastAsia"/>
                <w:sz w:val="20"/>
                <w:szCs w:val="20"/>
              </w:rPr>
              <w:t>减：现金的期初余额</w:t>
            </w:r>
          </w:p>
        </w:tc>
        <w:tc>
          <w:tcPr>
            <w:tcW w:w="2799" w:type="dxa"/>
            <w:tcBorders>
              <w:top w:val="outset" w:color="auto" w:sz="4" w:space="0"/>
              <w:left w:val="single" w:color="auto" w:sz="4" w:space="0"/>
              <w:bottom w:val="outset" w:color="auto" w:sz="4" w:space="0"/>
              <w:right w:val="outset" w:color="auto" w:sz="4" w:space="0"/>
            </w:tcBorders>
            <w:vAlign w:val="center"/>
          </w:tcPr>
          <w:p w14:paraId="217B8573">
            <w:pPr>
              <w:jc w:val="right"/>
              <w:rPr>
                <w:rFonts w:ascii="Calibri" w:hAnsi="Calibri"/>
                <w:bCs/>
                <w:sz w:val="20"/>
                <w:szCs w:val="20"/>
              </w:rPr>
            </w:pPr>
            <w:r>
              <w:rPr>
                <w:rFonts w:ascii="Calibri" w:hAnsi="Calibri"/>
                <w:sz w:val="20"/>
                <w:szCs w:val="20"/>
              </w:rPr>
              <w:t>590,195,292.13</w:t>
            </w:r>
          </w:p>
        </w:tc>
        <w:tc>
          <w:tcPr>
            <w:tcW w:w="2768" w:type="dxa"/>
            <w:tcBorders>
              <w:top w:val="outset" w:color="auto" w:sz="4" w:space="0"/>
              <w:left w:val="outset" w:color="auto" w:sz="4" w:space="0"/>
              <w:bottom w:val="outset" w:color="auto" w:sz="4" w:space="0"/>
              <w:right w:val="outset" w:color="auto" w:sz="4" w:space="0"/>
            </w:tcBorders>
            <w:vAlign w:val="center"/>
          </w:tcPr>
          <w:p w14:paraId="55A3BE8D">
            <w:pPr>
              <w:jc w:val="right"/>
              <w:rPr>
                <w:rFonts w:ascii="Calibri" w:hAnsi="Calibri"/>
                <w:bCs/>
                <w:sz w:val="20"/>
                <w:szCs w:val="20"/>
              </w:rPr>
            </w:pPr>
            <w:r>
              <w:rPr>
                <w:rFonts w:ascii="Calibri" w:hAnsi="Calibri"/>
                <w:sz w:val="20"/>
                <w:szCs w:val="20"/>
              </w:rPr>
              <w:t>1,104,204,462.65</w:t>
            </w:r>
          </w:p>
        </w:tc>
      </w:tr>
      <w:tr w14:paraId="5D08E3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2B3226EE">
            <w:pPr>
              <w:pStyle w:val="48"/>
              <w:rPr>
                <w:sz w:val="20"/>
                <w:szCs w:val="20"/>
              </w:rPr>
            </w:pPr>
            <w:r>
              <w:rPr>
                <w:rFonts w:hint="eastAsia"/>
                <w:sz w:val="20"/>
                <w:szCs w:val="20"/>
              </w:rPr>
              <w:t>加：现金等价物的期末余额</w:t>
            </w:r>
          </w:p>
        </w:tc>
        <w:tc>
          <w:tcPr>
            <w:tcW w:w="2799" w:type="dxa"/>
            <w:tcBorders>
              <w:top w:val="outset" w:color="auto" w:sz="4" w:space="0"/>
              <w:left w:val="single" w:color="auto" w:sz="4" w:space="0"/>
              <w:bottom w:val="outset" w:color="auto" w:sz="4" w:space="0"/>
              <w:right w:val="outset" w:color="auto" w:sz="4" w:space="0"/>
            </w:tcBorders>
            <w:vAlign w:val="center"/>
          </w:tcPr>
          <w:p w14:paraId="7C2DE57C">
            <w:pPr>
              <w:jc w:val="right"/>
              <w:rPr>
                <w:rFonts w:ascii="Calibri" w:hAnsi="Calibri"/>
                <w:sz w:val="20"/>
                <w:szCs w:val="20"/>
              </w:rPr>
            </w:pPr>
          </w:p>
        </w:tc>
        <w:tc>
          <w:tcPr>
            <w:tcW w:w="2768" w:type="dxa"/>
            <w:tcBorders>
              <w:top w:val="outset" w:color="auto" w:sz="4" w:space="0"/>
              <w:left w:val="outset" w:color="auto" w:sz="4" w:space="0"/>
              <w:bottom w:val="outset" w:color="auto" w:sz="4" w:space="0"/>
              <w:right w:val="outset" w:color="auto" w:sz="4" w:space="0"/>
            </w:tcBorders>
            <w:vAlign w:val="center"/>
          </w:tcPr>
          <w:p w14:paraId="73B16369">
            <w:pPr>
              <w:jc w:val="right"/>
              <w:rPr>
                <w:rFonts w:ascii="Calibri" w:hAnsi="Calibri"/>
                <w:sz w:val="20"/>
                <w:szCs w:val="20"/>
              </w:rPr>
            </w:pPr>
          </w:p>
        </w:tc>
      </w:tr>
      <w:tr w14:paraId="001504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3AB7E471">
            <w:pPr>
              <w:pStyle w:val="48"/>
              <w:rPr>
                <w:sz w:val="20"/>
                <w:szCs w:val="20"/>
              </w:rPr>
            </w:pPr>
            <w:r>
              <w:rPr>
                <w:rFonts w:hint="eastAsia"/>
                <w:sz w:val="20"/>
                <w:szCs w:val="20"/>
              </w:rPr>
              <w:t>减：现金等价物的期初余额</w:t>
            </w:r>
          </w:p>
        </w:tc>
        <w:tc>
          <w:tcPr>
            <w:tcW w:w="2799" w:type="dxa"/>
            <w:tcBorders>
              <w:top w:val="outset" w:color="auto" w:sz="4" w:space="0"/>
              <w:left w:val="single" w:color="auto" w:sz="4" w:space="0"/>
              <w:bottom w:val="outset" w:color="auto" w:sz="4" w:space="0"/>
              <w:right w:val="outset" w:color="auto" w:sz="4" w:space="0"/>
            </w:tcBorders>
            <w:vAlign w:val="center"/>
          </w:tcPr>
          <w:p w14:paraId="22CF643C">
            <w:pPr>
              <w:jc w:val="right"/>
              <w:rPr>
                <w:rFonts w:ascii="Calibri" w:hAnsi="Calibri"/>
                <w:bCs/>
                <w:sz w:val="20"/>
                <w:szCs w:val="20"/>
              </w:rPr>
            </w:pPr>
          </w:p>
        </w:tc>
        <w:tc>
          <w:tcPr>
            <w:tcW w:w="2768" w:type="dxa"/>
            <w:tcBorders>
              <w:top w:val="outset" w:color="auto" w:sz="4" w:space="0"/>
              <w:left w:val="outset" w:color="auto" w:sz="4" w:space="0"/>
              <w:bottom w:val="outset" w:color="auto" w:sz="4" w:space="0"/>
              <w:right w:val="outset" w:color="auto" w:sz="4" w:space="0"/>
            </w:tcBorders>
            <w:vAlign w:val="center"/>
          </w:tcPr>
          <w:p w14:paraId="0A641B17">
            <w:pPr>
              <w:jc w:val="right"/>
              <w:rPr>
                <w:rFonts w:ascii="Calibri" w:hAnsi="Calibri"/>
                <w:bCs/>
                <w:sz w:val="20"/>
                <w:szCs w:val="20"/>
              </w:rPr>
            </w:pPr>
          </w:p>
        </w:tc>
      </w:tr>
      <w:tr w14:paraId="3B0AE7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82" w:type="dxa"/>
            <w:tcBorders>
              <w:top w:val="single" w:color="auto" w:sz="4" w:space="0"/>
              <w:left w:val="single" w:color="auto" w:sz="4" w:space="0"/>
              <w:bottom w:val="single" w:color="auto" w:sz="4" w:space="0"/>
              <w:right w:val="single" w:color="auto" w:sz="4" w:space="0"/>
            </w:tcBorders>
            <w:vAlign w:val="center"/>
          </w:tcPr>
          <w:p w14:paraId="1E9B3644">
            <w:pPr>
              <w:pStyle w:val="48"/>
              <w:rPr>
                <w:sz w:val="20"/>
                <w:szCs w:val="20"/>
              </w:rPr>
            </w:pPr>
            <w:r>
              <w:rPr>
                <w:rFonts w:hint="eastAsia"/>
                <w:sz w:val="20"/>
                <w:szCs w:val="20"/>
              </w:rPr>
              <w:t>现金及现金等价物净增加额</w:t>
            </w:r>
          </w:p>
        </w:tc>
        <w:tc>
          <w:tcPr>
            <w:tcW w:w="2799" w:type="dxa"/>
            <w:tcBorders>
              <w:top w:val="outset" w:color="auto" w:sz="4" w:space="0"/>
              <w:left w:val="single" w:color="auto" w:sz="4" w:space="0"/>
              <w:bottom w:val="outset" w:color="auto" w:sz="4" w:space="0"/>
              <w:right w:val="outset" w:color="auto" w:sz="4" w:space="0"/>
            </w:tcBorders>
            <w:vAlign w:val="center"/>
          </w:tcPr>
          <w:p w14:paraId="4124195F">
            <w:pPr>
              <w:jc w:val="right"/>
              <w:rPr>
                <w:rFonts w:ascii="Calibri" w:hAnsi="Calibri"/>
                <w:sz w:val="20"/>
                <w:szCs w:val="20"/>
              </w:rPr>
            </w:pPr>
            <w:r>
              <w:rPr>
                <w:rFonts w:ascii="Calibri" w:hAnsi="Calibri"/>
                <w:sz w:val="20"/>
                <w:szCs w:val="20"/>
              </w:rPr>
              <w:t>834,982,237.69</w:t>
            </w:r>
          </w:p>
        </w:tc>
        <w:tc>
          <w:tcPr>
            <w:tcW w:w="2768" w:type="dxa"/>
            <w:tcBorders>
              <w:top w:val="outset" w:color="auto" w:sz="4" w:space="0"/>
              <w:left w:val="outset" w:color="auto" w:sz="4" w:space="0"/>
              <w:bottom w:val="outset" w:color="auto" w:sz="4" w:space="0"/>
              <w:right w:val="outset" w:color="auto" w:sz="4" w:space="0"/>
            </w:tcBorders>
            <w:vAlign w:val="center"/>
          </w:tcPr>
          <w:p w14:paraId="48381A0A">
            <w:pPr>
              <w:jc w:val="right"/>
              <w:rPr>
                <w:rFonts w:ascii="Calibri" w:hAnsi="Calibri"/>
                <w:bCs/>
                <w:sz w:val="20"/>
                <w:szCs w:val="20"/>
              </w:rPr>
            </w:pPr>
            <w:r>
              <w:rPr>
                <w:rFonts w:ascii="Calibri" w:hAnsi="Calibri"/>
                <w:sz w:val="20"/>
                <w:szCs w:val="20"/>
              </w:rPr>
              <w:t>-514,009,170.52</w:t>
            </w:r>
          </w:p>
        </w:tc>
      </w:tr>
    </w:tbl>
    <w:p w14:paraId="190026D0">
      <w:pPr>
        <w:pStyle w:val="48"/>
      </w:pPr>
    </w:p>
    <w:p w14:paraId="6FBCB41B">
      <w:pPr>
        <w:pStyle w:val="5"/>
        <w:numPr>
          <w:ilvl w:val="0"/>
          <w:numId w:val="101"/>
        </w:numPr>
        <w:ind w:left="426" w:hanging="426"/>
      </w:pPr>
      <w:r>
        <w:rPr>
          <w:rFonts w:hint="eastAsia"/>
        </w:rPr>
        <w:t>本期支付的取得子公司的现金净额</w:t>
      </w:r>
    </w:p>
    <w:p w14:paraId="47E93E25">
      <w:pPr>
        <w:pStyle w:val="48"/>
      </w:pPr>
      <w:sdt>
        <w:sdtPr>
          <w:alias w:val="是否适用：本期支付的取得子公司的现金净额[双击切换]"/>
          <w:tag w:val="_GBC_e15d87c710624e119515f4697cba951d"/>
          <w:id w:val="-1399893326"/>
          <w:placeholder>
            <w:docPart w:val="GBC22222222222222222222222222222"/>
          </w:placeholder>
        </w:sdt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6ED87F2D">
      <w:pPr>
        <w:pStyle w:val="48"/>
      </w:pPr>
    </w:p>
    <w:p w14:paraId="32A88E05">
      <w:pPr>
        <w:pStyle w:val="48"/>
      </w:pPr>
    </w:p>
    <w:p w14:paraId="7907D651">
      <w:pPr>
        <w:pStyle w:val="5"/>
        <w:numPr>
          <w:ilvl w:val="0"/>
          <w:numId w:val="101"/>
        </w:numPr>
        <w:ind w:left="426" w:hanging="426"/>
      </w:pPr>
      <w:r>
        <w:rPr>
          <w:rFonts w:hint="eastAsia"/>
        </w:rPr>
        <w:t>本期收到的处置子公司的现金净额</w:t>
      </w:r>
    </w:p>
    <w:p w14:paraId="03B60AD4">
      <w:pPr>
        <w:pStyle w:val="48"/>
      </w:pPr>
      <w:sdt>
        <w:sdtPr>
          <w:alias w:val="是否适用：本期收到的处置子公司的现金净额[双击切换]"/>
          <w:tag w:val="_GBC_34f955c7fd1f404b9df6ccd09e080d38"/>
          <w:id w:val="-793214090"/>
          <w:placeholder>
            <w:docPart w:val="GBC22222222222222222222222222222"/>
          </w:placeholder>
        </w:sdt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46453C5A">
      <w:pPr>
        <w:pStyle w:val="48"/>
      </w:pPr>
    </w:p>
    <w:p w14:paraId="63D5D859">
      <w:pPr>
        <w:pStyle w:val="48"/>
      </w:pPr>
    </w:p>
    <w:p w14:paraId="0C37EB60">
      <w:pPr>
        <w:pStyle w:val="5"/>
        <w:numPr>
          <w:ilvl w:val="0"/>
          <w:numId w:val="101"/>
        </w:numPr>
        <w:ind w:left="426" w:hanging="426"/>
      </w:pPr>
      <w:bookmarkStart w:id="362" w:name="_Hlk152667287"/>
      <w:r>
        <w:rPr>
          <w:rFonts w:hint="eastAsia"/>
        </w:rPr>
        <w:t>现金和现金等价物的构成</w:t>
      </w:r>
    </w:p>
    <w:sdt>
      <w:sdtPr>
        <w:alias w:val="是否适用：现金和现金等价物的构成[双击切换]"/>
        <w:tag w:val="_GBC_e0555d7e87b94189b1eb8131088a70ab"/>
        <w:id w:val="1124044721"/>
        <w:placeholder>
          <w:docPart w:val="GBC22222222222222222222222222222"/>
        </w:placeholder>
      </w:sdtPr>
      <w:sdtContent>
        <w:p w14:paraId="05782DF4">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0360E66">
      <w:pPr>
        <w:jc w:val="right"/>
        <w:rPr>
          <w:b/>
        </w:rPr>
      </w:pPr>
      <w:r>
        <w:rPr>
          <w:rFonts w:hint="eastAsia"/>
        </w:rPr>
        <w:t>单位：</w:t>
      </w:r>
      <w:sdt>
        <w:sdtPr>
          <w:rPr>
            <w:rFonts w:hint="eastAsia"/>
          </w:rPr>
          <w:alias w:val="单位：财务附注：现金和现金等价物的构成"/>
          <w:tag w:val="_GBC_1e304caf56fc443fa3c4a1d772d34293"/>
          <w:id w:val="-51599850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现金和现金等价物的构成"/>
          <w:tag w:val="_GBC_d3515d75fc184b1e9585a67f7cb04faa"/>
          <w:id w:val="7524745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3"/>
        <w:gridCol w:w="2921"/>
        <w:gridCol w:w="2734"/>
      </w:tblGrid>
      <w:tr w14:paraId="3A9C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7ae145dd51fc48d4a76bb239061b0a6e"/>
            <w:id w:val="-1038346636"/>
          </w:sdtPr>
          <w:sdtContent>
            <w:tc>
              <w:tcPr>
                <w:tcW w:w="3393" w:type="dxa"/>
                <w:tcBorders>
                  <w:bottom w:val="single" w:color="auto" w:sz="4" w:space="0"/>
                </w:tcBorders>
                <w:vAlign w:val="center"/>
              </w:tcPr>
              <w:p w14:paraId="1DD272F5">
                <w:pPr>
                  <w:ind w:left="-107" w:leftChars="-51"/>
                  <w:jc w:val="center"/>
                  <w:rPr>
                    <w:rFonts w:ascii="Calibri" w:hAnsi="Calibri"/>
                    <w:sz w:val="20"/>
                    <w:szCs w:val="20"/>
                  </w:rPr>
                </w:pPr>
                <w:r>
                  <w:rPr>
                    <w:rFonts w:hint="eastAsia" w:ascii="Calibri" w:hAnsi="Calibri"/>
                    <w:sz w:val="20"/>
                    <w:szCs w:val="20"/>
                  </w:rPr>
                  <w:t>项目</w:t>
                </w:r>
              </w:p>
            </w:tc>
          </w:sdtContent>
        </w:sdt>
        <w:sdt>
          <w:sdtPr>
            <w:tag w:val="_PLD_426ac24378064f8ab324e59db3ac5d98"/>
            <w:id w:val="-1379160703"/>
          </w:sdtPr>
          <w:sdtContent>
            <w:tc>
              <w:tcPr>
                <w:tcW w:w="2921" w:type="dxa"/>
                <w:vAlign w:val="center"/>
              </w:tcPr>
              <w:p w14:paraId="158149F7">
                <w:pPr>
                  <w:jc w:val="center"/>
                  <w:rPr>
                    <w:rFonts w:ascii="Calibri" w:hAnsi="Calibri"/>
                    <w:sz w:val="20"/>
                    <w:szCs w:val="20"/>
                  </w:rPr>
                </w:pPr>
                <w:r>
                  <w:rPr>
                    <w:rFonts w:hint="eastAsia" w:ascii="Calibri" w:hAnsi="Calibri"/>
                    <w:sz w:val="20"/>
                    <w:szCs w:val="20"/>
                  </w:rPr>
                  <w:t>期末余额</w:t>
                </w:r>
              </w:p>
            </w:tc>
          </w:sdtContent>
        </w:sdt>
        <w:sdt>
          <w:sdtPr>
            <w:tag w:val="_PLD_d8d41db246514c0dbfacfe0f48eeceac"/>
            <w:id w:val="-1864352319"/>
          </w:sdtPr>
          <w:sdtContent>
            <w:tc>
              <w:tcPr>
                <w:tcW w:w="2734" w:type="dxa"/>
                <w:vAlign w:val="center"/>
              </w:tcPr>
              <w:p w14:paraId="17606D93">
                <w:pPr>
                  <w:jc w:val="center"/>
                  <w:rPr>
                    <w:rFonts w:ascii="Calibri" w:hAnsi="Calibri"/>
                    <w:sz w:val="20"/>
                    <w:szCs w:val="20"/>
                  </w:rPr>
                </w:pPr>
                <w:r>
                  <w:rPr>
                    <w:rFonts w:hint="eastAsia" w:ascii="Calibri" w:hAnsi="Calibri"/>
                    <w:sz w:val="20"/>
                    <w:szCs w:val="20"/>
                  </w:rPr>
                  <w:t>期初余额</w:t>
                </w:r>
              </w:p>
            </w:tc>
          </w:sdtContent>
        </w:sdt>
      </w:tr>
      <w:tr w14:paraId="75AA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93" w:type="dxa"/>
            <w:vAlign w:val="center"/>
          </w:tcPr>
          <w:p w14:paraId="66E91204">
            <w:pPr>
              <w:pStyle w:val="48"/>
              <w:rPr>
                <w:sz w:val="20"/>
                <w:szCs w:val="20"/>
              </w:rPr>
            </w:pPr>
            <w:r>
              <w:rPr>
                <w:rFonts w:hint="eastAsia"/>
                <w:sz w:val="20"/>
                <w:szCs w:val="20"/>
              </w:rPr>
              <w:t>一、现金</w:t>
            </w:r>
          </w:p>
        </w:tc>
        <w:tc>
          <w:tcPr>
            <w:tcW w:w="2921" w:type="dxa"/>
            <w:vAlign w:val="center"/>
          </w:tcPr>
          <w:p w14:paraId="4F845B88">
            <w:pPr>
              <w:jc w:val="right"/>
              <w:rPr>
                <w:rFonts w:ascii="Calibri" w:hAnsi="Calibri"/>
                <w:sz w:val="20"/>
                <w:szCs w:val="20"/>
              </w:rPr>
            </w:pPr>
            <w:r>
              <w:rPr>
                <w:rFonts w:ascii="Calibri" w:hAnsi="Calibri"/>
                <w:sz w:val="20"/>
                <w:szCs w:val="20"/>
              </w:rPr>
              <w:t>1,425,177,529.82</w:t>
            </w:r>
          </w:p>
        </w:tc>
        <w:tc>
          <w:tcPr>
            <w:tcW w:w="2734" w:type="dxa"/>
            <w:vAlign w:val="center"/>
          </w:tcPr>
          <w:p w14:paraId="09166A08">
            <w:pPr>
              <w:jc w:val="right"/>
              <w:rPr>
                <w:rFonts w:ascii="Calibri" w:hAnsi="Calibri"/>
                <w:sz w:val="20"/>
                <w:szCs w:val="20"/>
              </w:rPr>
            </w:pPr>
            <w:r>
              <w:rPr>
                <w:rFonts w:ascii="Calibri" w:hAnsi="Calibri"/>
                <w:sz w:val="20"/>
                <w:szCs w:val="20"/>
              </w:rPr>
              <w:t>590,195,292.13</w:t>
            </w:r>
          </w:p>
        </w:tc>
      </w:tr>
      <w:tr w14:paraId="12E7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93" w:type="dxa"/>
            <w:vAlign w:val="center"/>
          </w:tcPr>
          <w:p w14:paraId="21A26E44">
            <w:pPr>
              <w:pStyle w:val="48"/>
              <w:rPr>
                <w:sz w:val="20"/>
                <w:szCs w:val="20"/>
              </w:rPr>
            </w:pPr>
            <w:r>
              <w:rPr>
                <w:rFonts w:hint="eastAsia"/>
                <w:sz w:val="20"/>
                <w:szCs w:val="20"/>
              </w:rPr>
              <w:t>其中：库存现金</w:t>
            </w:r>
          </w:p>
        </w:tc>
        <w:tc>
          <w:tcPr>
            <w:tcW w:w="2921" w:type="dxa"/>
            <w:vAlign w:val="center"/>
          </w:tcPr>
          <w:p w14:paraId="4611BB19">
            <w:pPr>
              <w:jc w:val="right"/>
              <w:rPr>
                <w:rFonts w:ascii="Calibri" w:hAnsi="Calibri"/>
                <w:sz w:val="20"/>
                <w:szCs w:val="20"/>
              </w:rPr>
            </w:pPr>
            <w:r>
              <w:rPr>
                <w:rFonts w:ascii="Calibri" w:hAnsi="Calibri"/>
                <w:sz w:val="20"/>
                <w:szCs w:val="20"/>
              </w:rPr>
              <w:t>117,097.92</w:t>
            </w:r>
          </w:p>
        </w:tc>
        <w:tc>
          <w:tcPr>
            <w:tcW w:w="2734" w:type="dxa"/>
            <w:vAlign w:val="center"/>
          </w:tcPr>
          <w:p w14:paraId="73CEF8C6">
            <w:pPr>
              <w:jc w:val="right"/>
              <w:rPr>
                <w:rFonts w:ascii="Calibri" w:hAnsi="Calibri"/>
                <w:sz w:val="20"/>
                <w:szCs w:val="20"/>
              </w:rPr>
            </w:pPr>
            <w:r>
              <w:rPr>
                <w:rFonts w:ascii="Calibri" w:hAnsi="Calibri"/>
                <w:sz w:val="20"/>
                <w:szCs w:val="20"/>
              </w:rPr>
              <w:t>98,420.06</w:t>
            </w:r>
          </w:p>
        </w:tc>
      </w:tr>
      <w:tr w14:paraId="331E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93" w:type="dxa"/>
            <w:vAlign w:val="center"/>
          </w:tcPr>
          <w:p w14:paraId="7C25B9C4">
            <w:pPr>
              <w:pStyle w:val="48"/>
              <w:rPr>
                <w:sz w:val="20"/>
                <w:szCs w:val="20"/>
              </w:rPr>
            </w:pPr>
            <w:r>
              <w:rPr>
                <w:rFonts w:hint="eastAsia"/>
                <w:sz w:val="20"/>
                <w:szCs w:val="20"/>
              </w:rPr>
              <w:t>　　可随时用于支付的银行存款</w:t>
            </w:r>
          </w:p>
        </w:tc>
        <w:tc>
          <w:tcPr>
            <w:tcW w:w="2921" w:type="dxa"/>
            <w:vAlign w:val="center"/>
          </w:tcPr>
          <w:p w14:paraId="7E061280">
            <w:pPr>
              <w:jc w:val="right"/>
              <w:rPr>
                <w:rFonts w:ascii="Calibri" w:hAnsi="Calibri"/>
                <w:sz w:val="20"/>
                <w:szCs w:val="20"/>
              </w:rPr>
            </w:pPr>
            <w:r>
              <w:rPr>
                <w:rFonts w:ascii="Calibri" w:hAnsi="Calibri"/>
                <w:sz w:val="20"/>
                <w:szCs w:val="20"/>
              </w:rPr>
              <w:t>1,425,056,493.76</w:t>
            </w:r>
          </w:p>
        </w:tc>
        <w:tc>
          <w:tcPr>
            <w:tcW w:w="2734" w:type="dxa"/>
            <w:vAlign w:val="center"/>
          </w:tcPr>
          <w:p w14:paraId="1246B6D3">
            <w:pPr>
              <w:jc w:val="right"/>
              <w:rPr>
                <w:rFonts w:ascii="Calibri" w:hAnsi="Calibri"/>
                <w:sz w:val="20"/>
                <w:szCs w:val="20"/>
              </w:rPr>
            </w:pPr>
            <w:r>
              <w:rPr>
                <w:rFonts w:ascii="Calibri" w:hAnsi="Calibri"/>
                <w:sz w:val="20"/>
                <w:szCs w:val="20"/>
              </w:rPr>
              <w:t>590,096,868.02</w:t>
            </w:r>
          </w:p>
        </w:tc>
      </w:tr>
      <w:tr w14:paraId="5E44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93" w:type="dxa"/>
            <w:vAlign w:val="center"/>
          </w:tcPr>
          <w:p w14:paraId="5B97D879">
            <w:pPr>
              <w:pStyle w:val="48"/>
              <w:rPr>
                <w:sz w:val="20"/>
                <w:szCs w:val="20"/>
              </w:rPr>
            </w:pPr>
            <w:r>
              <w:rPr>
                <w:rFonts w:hint="eastAsia"/>
                <w:sz w:val="20"/>
                <w:szCs w:val="20"/>
              </w:rPr>
              <w:t>　　可随时用于支付的其他货币资金</w:t>
            </w:r>
          </w:p>
        </w:tc>
        <w:tc>
          <w:tcPr>
            <w:tcW w:w="2921" w:type="dxa"/>
            <w:vAlign w:val="center"/>
          </w:tcPr>
          <w:p w14:paraId="36AE39FD">
            <w:pPr>
              <w:jc w:val="right"/>
              <w:rPr>
                <w:rFonts w:ascii="Calibri" w:hAnsi="Calibri"/>
                <w:sz w:val="20"/>
                <w:szCs w:val="20"/>
              </w:rPr>
            </w:pPr>
            <w:r>
              <w:rPr>
                <w:rFonts w:ascii="Calibri" w:hAnsi="Calibri"/>
                <w:sz w:val="20"/>
                <w:szCs w:val="20"/>
              </w:rPr>
              <w:t>3,938.14</w:t>
            </w:r>
          </w:p>
        </w:tc>
        <w:tc>
          <w:tcPr>
            <w:tcW w:w="2734" w:type="dxa"/>
            <w:vAlign w:val="center"/>
          </w:tcPr>
          <w:p w14:paraId="6F0AC34A">
            <w:pPr>
              <w:jc w:val="right"/>
              <w:rPr>
                <w:rFonts w:ascii="Calibri" w:hAnsi="Calibri"/>
                <w:sz w:val="20"/>
                <w:szCs w:val="20"/>
              </w:rPr>
            </w:pPr>
            <w:r>
              <w:rPr>
                <w:rFonts w:ascii="Calibri" w:hAnsi="Calibri"/>
                <w:sz w:val="20"/>
                <w:szCs w:val="20"/>
              </w:rPr>
              <w:t>4.05</w:t>
            </w:r>
          </w:p>
        </w:tc>
      </w:tr>
      <w:tr w14:paraId="4C84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93" w:type="dxa"/>
            <w:vAlign w:val="center"/>
          </w:tcPr>
          <w:p w14:paraId="73287745">
            <w:pPr>
              <w:pStyle w:val="48"/>
              <w:rPr>
                <w:sz w:val="20"/>
                <w:szCs w:val="20"/>
              </w:rPr>
            </w:pPr>
            <w:r>
              <w:rPr>
                <w:rFonts w:hint="eastAsia"/>
                <w:sz w:val="20"/>
                <w:szCs w:val="20"/>
              </w:rPr>
              <w:t>　　可用于支付的存放中央银行款项</w:t>
            </w:r>
          </w:p>
        </w:tc>
        <w:tc>
          <w:tcPr>
            <w:tcW w:w="2921" w:type="dxa"/>
            <w:vAlign w:val="center"/>
          </w:tcPr>
          <w:p w14:paraId="3AE03BD8">
            <w:pPr>
              <w:jc w:val="right"/>
              <w:rPr>
                <w:rFonts w:ascii="Calibri" w:hAnsi="Calibri"/>
                <w:sz w:val="20"/>
                <w:szCs w:val="20"/>
              </w:rPr>
            </w:pPr>
          </w:p>
        </w:tc>
        <w:tc>
          <w:tcPr>
            <w:tcW w:w="2734" w:type="dxa"/>
            <w:vAlign w:val="center"/>
          </w:tcPr>
          <w:p w14:paraId="5AE43DDE">
            <w:pPr>
              <w:jc w:val="right"/>
              <w:rPr>
                <w:rFonts w:ascii="Calibri" w:hAnsi="Calibri"/>
                <w:sz w:val="20"/>
                <w:szCs w:val="20"/>
              </w:rPr>
            </w:pPr>
          </w:p>
        </w:tc>
      </w:tr>
      <w:tr w14:paraId="27B4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93" w:type="dxa"/>
            <w:vAlign w:val="center"/>
          </w:tcPr>
          <w:p w14:paraId="1E0E191C">
            <w:pPr>
              <w:pStyle w:val="48"/>
              <w:rPr>
                <w:sz w:val="20"/>
                <w:szCs w:val="20"/>
              </w:rPr>
            </w:pPr>
            <w:r>
              <w:rPr>
                <w:rFonts w:hint="eastAsia"/>
                <w:sz w:val="20"/>
                <w:szCs w:val="20"/>
              </w:rPr>
              <w:t>　　存放同业款项</w:t>
            </w:r>
          </w:p>
        </w:tc>
        <w:tc>
          <w:tcPr>
            <w:tcW w:w="2921" w:type="dxa"/>
            <w:vAlign w:val="center"/>
          </w:tcPr>
          <w:p w14:paraId="5ED15B2D">
            <w:pPr>
              <w:jc w:val="right"/>
              <w:rPr>
                <w:rFonts w:ascii="Calibri" w:hAnsi="Calibri"/>
                <w:sz w:val="20"/>
                <w:szCs w:val="20"/>
              </w:rPr>
            </w:pPr>
          </w:p>
        </w:tc>
        <w:tc>
          <w:tcPr>
            <w:tcW w:w="2734" w:type="dxa"/>
            <w:vAlign w:val="center"/>
          </w:tcPr>
          <w:p w14:paraId="06BA7B92">
            <w:pPr>
              <w:jc w:val="right"/>
              <w:rPr>
                <w:rFonts w:ascii="Calibri" w:hAnsi="Calibri"/>
                <w:sz w:val="20"/>
                <w:szCs w:val="20"/>
              </w:rPr>
            </w:pPr>
          </w:p>
        </w:tc>
      </w:tr>
      <w:tr w14:paraId="1D8F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93" w:type="dxa"/>
            <w:vAlign w:val="center"/>
          </w:tcPr>
          <w:p w14:paraId="3E900D8D">
            <w:pPr>
              <w:pStyle w:val="48"/>
              <w:rPr>
                <w:sz w:val="20"/>
                <w:szCs w:val="20"/>
              </w:rPr>
            </w:pPr>
            <w:r>
              <w:rPr>
                <w:rFonts w:hint="eastAsia"/>
                <w:sz w:val="20"/>
                <w:szCs w:val="20"/>
              </w:rPr>
              <w:t>　　拆放同业款项</w:t>
            </w:r>
          </w:p>
        </w:tc>
        <w:tc>
          <w:tcPr>
            <w:tcW w:w="2921" w:type="dxa"/>
            <w:vAlign w:val="center"/>
          </w:tcPr>
          <w:p w14:paraId="559A7AFC">
            <w:pPr>
              <w:jc w:val="right"/>
              <w:rPr>
                <w:rFonts w:ascii="Calibri" w:hAnsi="Calibri"/>
                <w:sz w:val="20"/>
                <w:szCs w:val="20"/>
              </w:rPr>
            </w:pPr>
          </w:p>
        </w:tc>
        <w:tc>
          <w:tcPr>
            <w:tcW w:w="2734" w:type="dxa"/>
            <w:vAlign w:val="center"/>
          </w:tcPr>
          <w:p w14:paraId="69E729CF">
            <w:pPr>
              <w:jc w:val="right"/>
              <w:rPr>
                <w:rFonts w:ascii="Calibri" w:hAnsi="Calibri"/>
                <w:sz w:val="20"/>
                <w:szCs w:val="20"/>
              </w:rPr>
            </w:pPr>
          </w:p>
        </w:tc>
      </w:tr>
      <w:tr w14:paraId="63EC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93" w:type="dxa"/>
            <w:vAlign w:val="center"/>
          </w:tcPr>
          <w:p w14:paraId="7EF08985">
            <w:pPr>
              <w:pStyle w:val="48"/>
              <w:rPr>
                <w:sz w:val="20"/>
                <w:szCs w:val="20"/>
              </w:rPr>
            </w:pPr>
            <w:r>
              <w:rPr>
                <w:rFonts w:hint="eastAsia"/>
                <w:sz w:val="20"/>
                <w:szCs w:val="20"/>
              </w:rPr>
              <w:t>二、现金等价物</w:t>
            </w:r>
          </w:p>
        </w:tc>
        <w:tc>
          <w:tcPr>
            <w:tcW w:w="2921" w:type="dxa"/>
            <w:vAlign w:val="center"/>
          </w:tcPr>
          <w:p w14:paraId="78DC7BAD">
            <w:pPr>
              <w:jc w:val="right"/>
              <w:rPr>
                <w:rFonts w:ascii="Calibri" w:hAnsi="Calibri"/>
                <w:sz w:val="20"/>
                <w:szCs w:val="20"/>
              </w:rPr>
            </w:pPr>
          </w:p>
        </w:tc>
        <w:tc>
          <w:tcPr>
            <w:tcW w:w="2734" w:type="dxa"/>
            <w:vAlign w:val="center"/>
          </w:tcPr>
          <w:p w14:paraId="791CD9F1">
            <w:pPr>
              <w:jc w:val="right"/>
              <w:rPr>
                <w:rFonts w:ascii="Calibri" w:hAnsi="Calibri"/>
                <w:sz w:val="20"/>
                <w:szCs w:val="20"/>
              </w:rPr>
            </w:pPr>
          </w:p>
        </w:tc>
      </w:tr>
      <w:tr w14:paraId="7D03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3393" w:type="dxa"/>
            <w:tcBorders>
              <w:bottom w:val="single" w:color="auto" w:sz="4" w:space="0"/>
            </w:tcBorders>
            <w:vAlign w:val="center"/>
          </w:tcPr>
          <w:p w14:paraId="0B25EC3B">
            <w:pPr>
              <w:pStyle w:val="48"/>
              <w:rPr>
                <w:sz w:val="20"/>
                <w:szCs w:val="20"/>
              </w:rPr>
            </w:pPr>
            <w:r>
              <w:rPr>
                <w:rFonts w:hint="eastAsia"/>
                <w:sz w:val="20"/>
                <w:szCs w:val="20"/>
              </w:rPr>
              <w:t>其中：三个月内到期的债券投资</w:t>
            </w:r>
          </w:p>
        </w:tc>
        <w:tc>
          <w:tcPr>
            <w:tcW w:w="2921" w:type="dxa"/>
            <w:tcBorders>
              <w:bottom w:val="single" w:color="auto" w:sz="4" w:space="0"/>
            </w:tcBorders>
            <w:vAlign w:val="center"/>
          </w:tcPr>
          <w:p w14:paraId="034E5030">
            <w:pPr>
              <w:jc w:val="right"/>
              <w:rPr>
                <w:rFonts w:ascii="Calibri" w:hAnsi="Calibri"/>
                <w:sz w:val="20"/>
                <w:szCs w:val="20"/>
              </w:rPr>
            </w:pPr>
          </w:p>
        </w:tc>
        <w:tc>
          <w:tcPr>
            <w:tcW w:w="2734" w:type="dxa"/>
            <w:tcBorders>
              <w:bottom w:val="single" w:color="auto" w:sz="4" w:space="0"/>
            </w:tcBorders>
            <w:vAlign w:val="center"/>
          </w:tcPr>
          <w:p w14:paraId="3CF5C751">
            <w:pPr>
              <w:jc w:val="right"/>
              <w:rPr>
                <w:rFonts w:ascii="Calibri" w:hAnsi="Calibri"/>
                <w:sz w:val="20"/>
                <w:szCs w:val="20"/>
              </w:rPr>
            </w:pPr>
          </w:p>
        </w:tc>
      </w:tr>
      <w:tr w14:paraId="731D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93" w:type="dxa"/>
            <w:vAlign w:val="center"/>
          </w:tcPr>
          <w:p w14:paraId="5A170956">
            <w:pPr>
              <w:pStyle w:val="48"/>
              <w:rPr>
                <w:sz w:val="20"/>
                <w:szCs w:val="20"/>
              </w:rPr>
            </w:pPr>
            <w:r>
              <w:rPr>
                <w:rFonts w:hint="eastAsia"/>
                <w:sz w:val="20"/>
                <w:szCs w:val="20"/>
              </w:rPr>
              <w:t>三、期末现金及现金等价物余额</w:t>
            </w:r>
          </w:p>
        </w:tc>
        <w:tc>
          <w:tcPr>
            <w:tcW w:w="2921" w:type="dxa"/>
            <w:vAlign w:val="center"/>
          </w:tcPr>
          <w:p w14:paraId="683340BA">
            <w:pPr>
              <w:jc w:val="right"/>
              <w:rPr>
                <w:rFonts w:ascii="Calibri" w:hAnsi="Calibri"/>
                <w:sz w:val="20"/>
                <w:szCs w:val="20"/>
              </w:rPr>
            </w:pPr>
            <w:r>
              <w:rPr>
                <w:rFonts w:ascii="Calibri" w:hAnsi="Calibri"/>
                <w:sz w:val="20"/>
                <w:szCs w:val="20"/>
              </w:rPr>
              <w:t>1,425,177,529.82</w:t>
            </w:r>
          </w:p>
        </w:tc>
        <w:tc>
          <w:tcPr>
            <w:tcW w:w="2734" w:type="dxa"/>
            <w:vAlign w:val="center"/>
          </w:tcPr>
          <w:p w14:paraId="26A7F195">
            <w:pPr>
              <w:jc w:val="right"/>
              <w:rPr>
                <w:rFonts w:ascii="Calibri" w:hAnsi="Calibri"/>
                <w:sz w:val="20"/>
                <w:szCs w:val="20"/>
              </w:rPr>
            </w:pPr>
            <w:r>
              <w:rPr>
                <w:rFonts w:ascii="Calibri" w:hAnsi="Calibri"/>
                <w:sz w:val="20"/>
                <w:szCs w:val="20"/>
              </w:rPr>
              <w:t>590,195,292.13</w:t>
            </w:r>
          </w:p>
        </w:tc>
      </w:tr>
      <w:tr w14:paraId="0834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93" w:type="dxa"/>
            <w:vAlign w:val="center"/>
          </w:tcPr>
          <w:p w14:paraId="22A29424">
            <w:pPr>
              <w:pStyle w:val="48"/>
              <w:rPr>
                <w:sz w:val="20"/>
                <w:szCs w:val="20"/>
              </w:rPr>
            </w:pPr>
            <w:r>
              <w:rPr>
                <w:rFonts w:hint="eastAsia"/>
                <w:sz w:val="20"/>
                <w:szCs w:val="20"/>
              </w:rPr>
              <w:t>其中：母公司或集团内子公司使用受限制的现金和现金等价物</w:t>
            </w:r>
          </w:p>
        </w:tc>
        <w:tc>
          <w:tcPr>
            <w:tcW w:w="2921" w:type="dxa"/>
            <w:vAlign w:val="center"/>
          </w:tcPr>
          <w:p w14:paraId="5064D187">
            <w:pPr>
              <w:jc w:val="right"/>
              <w:rPr>
                <w:rFonts w:ascii="Calibri" w:hAnsi="Calibri"/>
                <w:sz w:val="20"/>
                <w:szCs w:val="20"/>
              </w:rPr>
            </w:pPr>
          </w:p>
        </w:tc>
        <w:tc>
          <w:tcPr>
            <w:tcW w:w="2734" w:type="dxa"/>
            <w:vAlign w:val="center"/>
          </w:tcPr>
          <w:p w14:paraId="01E067A6">
            <w:pPr>
              <w:jc w:val="right"/>
              <w:rPr>
                <w:rFonts w:ascii="Calibri" w:hAnsi="Calibri"/>
                <w:sz w:val="20"/>
                <w:szCs w:val="20"/>
              </w:rPr>
            </w:pPr>
          </w:p>
        </w:tc>
      </w:tr>
    </w:tbl>
    <w:p w14:paraId="14296BE5">
      <w:pPr>
        <w:spacing w:before="60" w:after="60"/>
      </w:pPr>
    </w:p>
    <w:p w14:paraId="39E17195">
      <w:pPr>
        <w:pStyle w:val="5"/>
        <w:numPr>
          <w:ilvl w:val="0"/>
          <w:numId w:val="101"/>
        </w:numPr>
        <w:ind w:left="426" w:hanging="426"/>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1574248101"/>
        <w:placeholder>
          <w:docPart w:val="GBC22222222222222222222222222222"/>
        </w:placeholder>
      </w:sdtPr>
      <w:sdtContent>
        <w:p w14:paraId="7AC3949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A429FA5">
      <w:pPr>
        <w:pStyle w:val="48"/>
      </w:pPr>
    </w:p>
    <w:p w14:paraId="4ED115F1">
      <w:pPr>
        <w:pStyle w:val="5"/>
        <w:numPr>
          <w:ilvl w:val="0"/>
          <w:numId w:val="101"/>
        </w:numPr>
        <w:ind w:left="426" w:hanging="426"/>
      </w:pPr>
      <w:r>
        <w:rPr>
          <w:rFonts w:hint="eastAsia"/>
        </w:rPr>
        <w:t>不属于现金及现金等价物的货币资金</w:t>
      </w:r>
    </w:p>
    <w:sdt>
      <w:sdtPr>
        <w:alias w:val="是否适用：不属于现金及现金等价物的货币资金[双击切换]"/>
        <w:tag w:val="_GBC_a99c932c933e4271bbb13783f71a0a6a"/>
        <w:id w:val="2089033098"/>
        <w:placeholder>
          <w:docPart w:val="GBC22222222222222222222222222222"/>
        </w:placeholder>
      </w:sdtPr>
      <w:sdtContent>
        <w:p w14:paraId="372376E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BF358FF">
      <w:pPr>
        <w:jc w:val="right"/>
        <w:rPr>
          <w:b/>
        </w:rPr>
      </w:pPr>
      <w:r>
        <w:rPr>
          <w:rFonts w:hint="eastAsia"/>
        </w:rPr>
        <w:t>单位：</w:t>
      </w:r>
      <w:sdt>
        <w:sdtPr>
          <w:rPr>
            <w:rFonts w:hint="eastAsia"/>
          </w:rPr>
          <w:alias w:val="单位：不属于现金及现金等价物的货币资金"/>
          <w:tag w:val="_GBC_311192fb7d0840a69edd7ce6fa2157eb"/>
          <w:id w:val="-179574096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不属于现金及现金等价物的货币资金"/>
          <w:tag w:val="_GBC_cde2361bbc3b437fb26c333fda8ecd42"/>
          <w:id w:val="1751607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8"/>
        <w:gridCol w:w="2068"/>
        <w:gridCol w:w="2068"/>
        <w:gridCol w:w="2843"/>
      </w:tblGrid>
      <w:tr w14:paraId="246E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sdt>
          <w:sdtPr>
            <w:tag w:val="_PLD_d9c8cb09365d46d38034e5ade953a094"/>
            <w:id w:val="-1755036124"/>
          </w:sdtPr>
          <w:sdtContent>
            <w:tc>
              <w:tcPr>
                <w:tcW w:w="2068" w:type="dxa"/>
                <w:tcBorders>
                  <w:bottom w:val="single" w:color="auto" w:sz="4" w:space="0"/>
                </w:tcBorders>
                <w:vAlign w:val="center"/>
              </w:tcPr>
              <w:p w14:paraId="315ABD91">
                <w:pPr>
                  <w:ind w:left="-107" w:leftChars="-51"/>
                  <w:jc w:val="center"/>
                  <w:rPr>
                    <w:rFonts w:ascii="Calibri" w:hAnsi="Calibri"/>
                    <w:sz w:val="20"/>
                    <w:szCs w:val="20"/>
                  </w:rPr>
                </w:pPr>
                <w:r>
                  <w:rPr>
                    <w:rFonts w:hint="eastAsia" w:ascii="Calibri" w:hAnsi="Calibri"/>
                    <w:sz w:val="20"/>
                    <w:szCs w:val="20"/>
                  </w:rPr>
                  <w:t>项目</w:t>
                </w:r>
              </w:p>
            </w:tc>
          </w:sdtContent>
        </w:sdt>
        <w:sdt>
          <w:sdtPr>
            <w:tag w:val="_PLD_2af4f290fe0b417d80b3b05f3fc1523f"/>
            <w:id w:val="794025978"/>
          </w:sdtPr>
          <w:sdtContent>
            <w:tc>
              <w:tcPr>
                <w:tcW w:w="2068" w:type="dxa"/>
                <w:vAlign w:val="center"/>
              </w:tcPr>
              <w:p w14:paraId="16D053A6">
                <w:pPr>
                  <w:jc w:val="center"/>
                  <w:rPr>
                    <w:rFonts w:ascii="Calibri" w:hAnsi="Calibri"/>
                    <w:sz w:val="20"/>
                    <w:szCs w:val="20"/>
                  </w:rPr>
                </w:pPr>
                <w:r>
                  <w:rPr>
                    <w:rFonts w:hint="eastAsia" w:ascii="Calibri" w:hAnsi="Calibri"/>
                    <w:sz w:val="20"/>
                    <w:szCs w:val="20"/>
                  </w:rPr>
                  <w:t>期末余额</w:t>
                </w:r>
              </w:p>
            </w:tc>
          </w:sdtContent>
        </w:sdt>
        <w:sdt>
          <w:sdtPr>
            <w:tag w:val="_PLD_c91b65edf38b4465a14c3beb5897a106"/>
            <w:id w:val="-771172990"/>
          </w:sdtPr>
          <w:sdtContent>
            <w:tc>
              <w:tcPr>
                <w:tcW w:w="2068" w:type="dxa"/>
                <w:vAlign w:val="center"/>
              </w:tcPr>
              <w:p w14:paraId="3E41441E">
                <w:pPr>
                  <w:jc w:val="center"/>
                  <w:rPr>
                    <w:rFonts w:ascii="Calibri" w:hAnsi="Calibri"/>
                    <w:sz w:val="20"/>
                    <w:szCs w:val="20"/>
                  </w:rPr>
                </w:pPr>
                <w:r>
                  <w:rPr>
                    <w:rFonts w:hint="eastAsia" w:ascii="Calibri" w:hAnsi="Calibri"/>
                    <w:sz w:val="20"/>
                    <w:szCs w:val="20"/>
                  </w:rPr>
                  <w:t>期初余额</w:t>
                </w:r>
              </w:p>
            </w:tc>
          </w:sdtContent>
        </w:sdt>
        <w:sdt>
          <w:sdtPr>
            <w:tag w:val="_PLD_69b726c74b0048fda47c0fa56f9e1a5e"/>
            <w:id w:val="1294409176"/>
          </w:sdtPr>
          <w:sdtContent>
            <w:tc>
              <w:tcPr>
                <w:tcW w:w="2843" w:type="dxa"/>
                <w:vAlign w:val="center"/>
              </w:tcPr>
              <w:p w14:paraId="499D2B81">
                <w:pPr>
                  <w:jc w:val="center"/>
                  <w:rPr>
                    <w:rFonts w:ascii="Calibri" w:hAnsi="Calibri"/>
                    <w:sz w:val="20"/>
                    <w:szCs w:val="20"/>
                  </w:rPr>
                </w:pPr>
                <w:r>
                  <w:rPr>
                    <w:rFonts w:hint="eastAsia" w:ascii="Calibri" w:hAnsi="Calibri"/>
                    <w:sz w:val="20"/>
                    <w:szCs w:val="20"/>
                  </w:rPr>
                  <w:t>理由</w:t>
                </w:r>
              </w:p>
            </w:tc>
          </w:sdtContent>
        </w:sdt>
      </w:tr>
      <w:tr w14:paraId="4444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2068" w:type="dxa"/>
            <w:vAlign w:val="center"/>
          </w:tcPr>
          <w:p w14:paraId="0EB2211A">
            <w:pPr>
              <w:pStyle w:val="48"/>
              <w:rPr>
                <w:sz w:val="20"/>
                <w:szCs w:val="20"/>
              </w:rPr>
            </w:pPr>
            <w:r>
              <w:rPr>
                <w:rFonts w:hint="eastAsia"/>
                <w:sz w:val="20"/>
                <w:szCs w:val="20"/>
              </w:rPr>
              <w:t>银承保证金</w:t>
            </w:r>
          </w:p>
        </w:tc>
        <w:tc>
          <w:tcPr>
            <w:tcW w:w="2068" w:type="dxa"/>
            <w:vAlign w:val="center"/>
          </w:tcPr>
          <w:p w14:paraId="0CADDAAC">
            <w:pPr>
              <w:jc w:val="right"/>
              <w:rPr>
                <w:rFonts w:ascii="Calibri" w:hAnsi="Calibri"/>
                <w:sz w:val="20"/>
                <w:szCs w:val="20"/>
              </w:rPr>
            </w:pPr>
            <w:r>
              <w:rPr>
                <w:rFonts w:ascii="Calibri" w:hAnsi="Calibri"/>
                <w:sz w:val="20"/>
                <w:szCs w:val="20"/>
              </w:rPr>
              <w:t>8,657,093.67</w:t>
            </w:r>
          </w:p>
        </w:tc>
        <w:tc>
          <w:tcPr>
            <w:tcW w:w="2068" w:type="dxa"/>
            <w:vAlign w:val="center"/>
          </w:tcPr>
          <w:p w14:paraId="15BC4616">
            <w:pPr>
              <w:jc w:val="right"/>
              <w:rPr>
                <w:rFonts w:ascii="Calibri" w:hAnsi="Calibri"/>
                <w:sz w:val="20"/>
                <w:szCs w:val="20"/>
              </w:rPr>
            </w:pPr>
          </w:p>
        </w:tc>
        <w:tc>
          <w:tcPr>
            <w:tcW w:w="2843" w:type="dxa"/>
            <w:vAlign w:val="center"/>
          </w:tcPr>
          <w:p w14:paraId="2C93ADFA">
            <w:pPr>
              <w:pStyle w:val="48"/>
              <w:rPr>
                <w:sz w:val="20"/>
                <w:szCs w:val="20"/>
              </w:rPr>
            </w:pPr>
            <w:r>
              <w:rPr>
                <w:rFonts w:hint="eastAsia"/>
                <w:sz w:val="20"/>
                <w:szCs w:val="20"/>
              </w:rPr>
              <w:t>不能随时动用</w:t>
            </w:r>
          </w:p>
        </w:tc>
      </w:tr>
      <w:tr w14:paraId="5954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2068" w:type="dxa"/>
            <w:vAlign w:val="center"/>
          </w:tcPr>
          <w:p w14:paraId="555F0EA8">
            <w:pPr>
              <w:jc w:val="center"/>
              <w:rPr>
                <w:rFonts w:ascii="Calibri" w:hAnsi="Calibri"/>
                <w:sz w:val="20"/>
                <w:szCs w:val="20"/>
              </w:rPr>
            </w:pPr>
            <w:r>
              <w:rPr>
                <w:rFonts w:ascii="Calibri" w:hAnsi="Calibri"/>
                <w:sz w:val="20"/>
                <w:szCs w:val="20"/>
              </w:rPr>
              <w:t>合计</w:t>
            </w:r>
          </w:p>
        </w:tc>
        <w:tc>
          <w:tcPr>
            <w:tcW w:w="2068" w:type="dxa"/>
            <w:vAlign w:val="center"/>
          </w:tcPr>
          <w:p w14:paraId="61C150ED">
            <w:pPr>
              <w:jc w:val="right"/>
              <w:rPr>
                <w:rFonts w:ascii="Calibri" w:hAnsi="Calibri"/>
                <w:sz w:val="20"/>
                <w:szCs w:val="20"/>
              </w:rPr>
            </w:pPr>
            <w:r>
              <w:rPr>
                <w:rFonts w:ascii="Calibri" w:hAnsi="Calibri"/>
                <w:sz w:val="20"/>
                <w:szCs w:val="20"/>
              </w:rPr>
              <w:t>8,657,093.67</w:t>
            </w:r>
          </w:p>
        </w:tc>
        <w:tc>
          <w:tcPr>
            <w:tcW w:w="2068" w:type="dxa"/>
            <w:vAlign w:val="center"/>
          </w:tcPr>
          <w:p w14:paraId="7692DBC6">
            <w:pPr>
              <w:jc w:val="right"/>
              <w:rPr>
                <w:rFonts w:ascii="Calibri" w:hAnsi="Calibri"/>
                <w:sz w:val="20"/>
                <w:szCs w:val="20"/>
              </w:rPr>
            </w:pPr>
          </w:p>
        </w:tc>
        <w:tc>
          <w:tcPr>
            <w:tcW w:w="2843" w:type="dxa"/>
            <w:vAlign w:val="center"/>
          </w:tcPr>
          <w:p w14:paraId="7FC5DE2D">
            <w:pPr>
              <w:jc w:val="center"/>
              <w:rPr>
                <w:rFonts w:ascii="Calibri" w:hAnsi="Calibri"/>
                <w:sz w:val="20"/>
                <w:szCs w:val="20"/>
              </w:rPr>
            </w:pPr>
            <w:r>
              <w:rPr>
                <w:rFonts w:hint="eastAsia" w:ascii="Calibri" w:hAnsi="Calibri"/>
                <w:sz w:val="20"/>
                <w:szCs w:val="20"/>
              </w:rPr>
              <w:t>/</w:t>
            </w:r>
          </w:p>
        </w:tc>
      </w:tr>
    </w:tbl>
    <w:p w14:paraId="7D575E19">
      <w:pPr>
        <w:spacing w:before="60" w:after="60"/>
      </w:pPr>
    </w:p>
    <w:p w14:paraId="22439604">
      <w:pPr>
        <w:spacing w:before="60" w:after="60"/>
      </w:pPr>
      <w:r>
        <w:rPr>
          <w:rFonts w:hint="eastAsia"/>
        </w:rPr>
        <w:t>其他说明：</w:t>
      </w:r>
    </w:p>
    <w:sdt>
      <w:sdtPr>
        <w:alias w:val="是否适用：现金流量表补充资料的说明[双击切换]"/>
        <w:tag w:val="_GBC_73894bf4981b4beaae2551b205a2e7cc"/>
        <w:id w:val="944425782"/>
        <w:placeholder>
          <w:docPart w:val="GBC22222222222222222222222222222"/>
        </w:placeholder>
      </w:sdtPr>
      <w:sdtContent>
        <w:p w14:paraId="13041E77">
          <w:pPr>
            <w:spacing w:before="60" w:after="60"/>
            <w:rPr>
              <w:szCs w:val="22"/>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DC8ED2">
      <w:pPr>
        <w:pStyle w:val="48"/>
      </w:pPr>
    </w:p>
    <w:bookmarkEnd w:id="362"/>
    <w:p w14:paraId="6B3C32A5">
      <w:pPr>
        <w:pStyle w:val="4"/>
        <w:numPr>
          <w:ilvl w:val="0"/>
          <w:numId w:val="61"/>
        </w:numPr>
        <w:rPr>
          <w:szCs w:val="21"/>
        </w:rPr>
      </w:pPr>
      <w:r>
        <w:rPr>
          <w:szCs w:val="21"/>
        </w:rPr>
        <w:t>所有者权益变动表项目注释</w:t>
      </w:r>
    </w:p>
    <w:p w14:paraId="7CB1C9A3">
      <w:pPr>
        <w:pStyle w:val="48"/>
      </w:pPr>
      <w:r>
        <w:rPr>
          <w:rFonts w:hint="eastAsia"/>
        </w:rPr>
        <w:t>说明对上年期末余额进行调整的“其他”项目名称及调整金额等事项：</w:t>
      </w:r>
    </w:p>
    <w:sdt>
      <w:sdtPr>
        <w:alias w:val="是否适用：所有者权益变动表项目注释[双击切换]"/>
        <w:tag w:val="_GBC_fca039532a374a3e9daa81c75d491b1f"/>
        <w:id w:val="1964300734"/>
        <w:placeholder>
          <w:docPart w:val="GBC22222222222222222222222222222"/>
        </w:placeholder>
      </w:sdtPr>
      <w:sdtContent>
        <w:p w14:paraId="6CCF4A16">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所有者权益变动表项目注释"/>
        <w:tag w:val="_GBC_7cf42149de804a8e85166c37d620450d"/>
        <w:id w:val="-1523622574"/>
        <w:placeholder>
          <w:docPart w:val="GBC22222222222222222222222222222"/>
        </w:placeholder>
      </w:sdtPr>
      <w:sdtEndPr>
        <w:rPr>
          <w:rFonts w:hint="eastAsia"/>
        </w:rPr>
      </w:sdtEndPr>
      <w:sdtContent>
        <w:p w14:paraId="4A50AC56">
          <w:pPr>
            <w:tabs>
              <w:tab w:val="left" w:pos="10440"/>
            </w:tabs>
            <w:snapToGrid w:val="0"/>
            <w:spacing w:line="360" w:lineRule="auto"/>
            <w:ind w:firstLine="420" w:firstLineChars="200"/>
            <w:jc w:val="both"/>
          </w:pPr>
          <w:r>
            <w:rPr>
              <w:rFonts w:hint="eastAsia"/>
            </w:rPr>
            <w:t>所有者权益变动表中“三、（二）4.其他”对应股本部分为注销库存股，影响-23,191,245.00元。对应资本公积部分为注销库存股，影响-156,849,783.40元；实施员工持股计划影响-59,724,979.59元。对应库存股部分详见“附注七5</w:t>
          </w:r>
          <w:r>
            <w:t>6.</w:t>
          </w:r>
          <w:r>
            <w:rPr>
              <w:rFonts w:hint="eastAsia"/>
            </w:rPr>
            <w:t>库存股”披露。</w:t>
          </w:r>
        </w:p>
        <w:p w14:paraId="52AC19CB">
          <w:pPr>
            <w:tabs>
              <w:tab w:val="left" w:pos="10440"/>
            </w:tabs>
            <w:snapToGrid w:val="0"/>
            <w:spacing w:line="360" w:lineRule="auto"/>
            <w:ind w:firstLine="420" w:firstLineChars="200"/>
            <w:jc w:val="both"/>
          </w:pPr>
          <w:r>
            <w:rPr>
              <w:rFonts w:hint="eastAsia"/>
            </w:rPr>
            <w:t>所有者权益变动表中“三、（六）其他”对应资本公积部分为同控下企业合并影响-3,591,500.00元和子公司上海隆棵药业有限公司股权被动稀释影响418,766.40元。</w:t>
          </w:r>
        </w:p>
      </w:sdtContent>
    </w:sdt>
    <w:p w14:paraId="3E09EA33">
      <w:pPr>
        <w:pStyle w:val="48"/>
      </w:pPr>
    </w:p>
    <w:p w14:paraId="3CD51AFE">
      <w:pPr>
        <w:pStyle w:val="4"/>
        <w:numPr>
          <w:ilvl w:val="0"/>
          <w:numId w:val="61"/>
        </w:numPr>
        <w:rPr>
          <w:szCs w:val="21"/>
        </w:rPr>
      </w:pPr>
      <w:r>
        <w:rPr>
          <w:szCs w:val="21"/>
        </w:rPr>
        <w:t>外币货币性项目</w:t>
      </w:r>
    </w:p>
    <w:p w14:paraId="7FD3D3EA">
      <w:pPr>
        <w:pStyle w:val="5"/>
        <w:numPr>
          <w:ilvl w:val="0"/>
          <w:numId w:val="102"/>
        </w:numPr>
        <w:ind w:left="426" w:hanging="426"/>
        <w:rPr>
          <w:rFonts w:ascii="宋体" w:hAnsi="宋体"/>
          <w:b w:val="0"/>
          <w:szCs w:val="21"/>
        </w:rPr>
      </w:pPr>
      <w:r>
        <w:rPr>
          <w:rStyle w:val="26"/>
          <w:rFonts w:hint="eastAsia" w:ascii="宋体" w:hAnsi="宋体"/>
          <w:b/>
          <w:bCs w:val="0"/>
          <w:szCs w:val="21"/>
        </w:rPr>
        <w:t>外币货币性项目</w:t>
      </w:r>
    </w:p>
    <w:sdt>
      <w:sdtPr>
        <w:alias w:val="是否适用：外币货币性项目[双击切换]"/>
        <w:tag w:val="_GBC_6b0f646811a94c228ba6be3453047191"/>
        <w:id w:val="1504398317"/>
        <w:placeholder>
          <w:docPart w:val="GBC22222222222222222222222222222"/>
        </w:placeholder>
      </w:sdtPr>
      <w:sdtContent>
        <w:p w14:paraId="2883F819">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94369E5">
      <w:pPr>
        <w:pStyle w:val="30"/>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外币货币性项目"/>
          <w:tag w:val="_GBC_43871b6586c8428c8da522abb267c528"/>
          <w:id w:val="4358661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7"/>
        <w:gridCol w:w="2048"/>
        <w:gridCol w:w="2057"/>
        <w:gridCol w:w="2045"/>
      </w:tblGrid>
      <w:tr w14:paraId="009E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c3516dfa974dea983fcf6d3a5e4272"/>
            <w:id w:val="-218523092"/>
          </w:sdtPr>
          <w:sdtContent>
            <w:tc>
              <w:tcPr>
                <w:tcW w:w="2897" w:type="dxa"/>
                <w:tcBorders>
                  <w:top w:val="single" w:color="auto" w:sz="4" w:space="0"/>
                  <w:left w:val="single" w:color="auto" w:sz="4" w:space="0"/>
                  <w:bottom w:val="single" w:color="auto" w:sz="4" w:space="0"/>
                  <w:right w:val="single" w:color="auto" w:sz="4" w:space="0"/>
                </w:tcBorders>
                <w:vAlign w:val="center"/>
              </w:tcPr>
              <w:p w14:paraId="625AECAD">
                <w:pPr>
                  <w:jc w:val="center"/>
                  <w:rPr>
                    <w:rFonts w:ascii="Calibri" w:hAnsi="Calibri"/>
                    <w:sz w:val="20"/>
                    <w:szCs w:val="20"/>
                  </w:rPr>
                </w:pPr>
                <w:r>
                  <w:rPr>
                    <w:rFonts w:hint="eastAsia" w:ascii="Calibri" w:hAnsi="Calibri"/>
                    <w:sz w:val="20"/>
                    <w:szCs w:val="20"/>
                  </w:rPr>
                  <w:t>项目</w:t>
                </w:r>
              </w:p>
            </w:tc>
          </w:sdtContent>
        </w:sdt>
        <w:sdt>
          <w:sdtPr>
            <w:tag w:val="_PLD_c677b8fd217342e7b28e98a1c8e497e9"/>
            <w:id w:val="-650823553"/>
          </w:sdtPr>
          <w:sdtContent>
            <w:tc>
              <w:tcPr>
                <w:tcW w:w="2048" w:type="dxa"/>
                <w:tcBorders>
                  <w:top w:val="single" w:color="auto" w:sz="4" w:space="0"/>
                  <w:left w:val="single" w:color="auto" w:sz="4" w:space="0"/>
                  <w:bottom w:val="single" w:color="auto" w:sz="4" w:space="0"/>
                  <w:right w:val="single" w:color="auto" w:sz="4" w:space="0"/>
                </w:tcBorders>
                <w:vAlign w:val="center"/>
              </w:tcPr>
              <w:p w14:paraId="556FF585">
                <w:pPr>
                  <w:jc w:val="center"/>
                  <w:rPr>
                    <w:rFonts w:ascii="Calibri" w:hAnsi="Calibri"/>
                    <w:sz w:val="20"/>
                    <w:szCs w:val="20"/>
                  </w:rPr>
                </w:pPr>
                <w:r>
                  <w:rPr>
                    <w:rFonts w:hint="eastAsia" w:ascii="Calibri" w:hAnsi="Calibri"/>
                    <w:sz w:val="20"/>
                    <w:szCs w:val="20"/>
                  </w:rPr>
                  <w:t>期末外币余额</w:t>
                </w:r>
              </w:p>
            </w:tc>
          </w:sdtContent>
        </w:sdt>
        <w:sdt>
          <w:sdtPr>
            <w:tag w:val="_PLD_e0e88022a2754ae991eb4bb1a9caae4f"/>
            <w:id w:val="-1038193789"/>
          </w:sdtPr>
          <w:sdtContent>
            <w:tc>
              <w:tcPr>
                <w:tcW w:w="2057" w:type="dxa"/>
                <w:tcBorders>
                  <w:top w:val="single" w:color="auto" w:sz="4" w:space="0"/>
                  <w:left w:val="single" w:color="auto" w:sz="4" w:space="0"/>
                  <w:bottom w:val="single" w:color="auto" w:sz="4" w:space="0"/>
                  <w:right w:val="single" w:color="auto" w:sz="4" w:space="0"/>
                </w:tcBorders>
                <w:vAlign w:val="center"/>
              </w:tcPr>
              <w:p w14:paraId="5C7EC5DC">
                <w:pPr>
                  <w:jc w:val="center"/>
                  <w:rPr>
                    <w:rFonts w:ascii="Calibri" w:hAnsi="Calibri"/>
                    <w:sz w:val="20"/>
                    <w:szCs w:val="20"/>
                  </w:rPr>
                </w:pPr>
                <w:r>
                  <w:rPr>
                    <w:rFonts w:hint="eastAsia" w:ascii="Calibri" w:hAnsi="Calibri"/>
                    <w:sz w:val="20"/>
                    <w:szCs w:val="20"/>
                  </w:rPr>
                  <w:t>折算汇率</w:t>
                </w:r>
              </w:p>
            </w:tc>
          </w:sdtContent>
        </w:sdt>
        <w:sdt>
          <w:sdtPr>
            <w:tag w:val="_PLD_a1542d7b69a444ef9e91ceaf4a96f49d"/>
            <w:id w:val="-330374529"/>
          </w:sdtPr>
          <w:sdtContent>
            <w:tc>
              <w:tcPr>
                <w:tcW w:w="2045" w:type="dxa"/>
                <w:tcBorders>
                  <w:top w:val="single" w:color="auto" w:sz="4" w:space="0"/>
                  <w:left w:val="single" w:color="auto" w:sz="4" w:space="0"/>
                  <w:bottom w:val="single" w:color="auto" w:sz="4" w:space="0"/>
                  <w:right w:val="single" w:color="auto" w:sz="4" w:space="0"/>
                </w:tcBorders>
                <w:vAlign w:val="center"/>
              </w:tcPr>
              <w:p w14:paraId="55F5014A">
                <w:pPr>
                  <w:jc w:val="center"/>
                  <w:rPr>
                    <w:rFonts w:ascii="Calibri" w:hAnsi="Calibri"/>
                    <w:sz w:val="20"/>
                    <w:szCs w:val="20"/>
                  </w:rPr>
                </w:pPr>
                <w:r>
                  <w:rPr>
                    <w:rFonts w:hint="eastAsia" w:ascii="Calibri" w:hAnsi="Calibri"/>
                    <w:sz w:val="20"/>
                    <w:szCs w:val="20"/>
                  </w:rPr>
                  <w:t>期末折算人民币</w:t>
                </w:r>
              </w:p>
              <w:p w14:paraId="367D209D">
                <w:pPr>
                  <w:jc w:val="center"/>
                  <w:rPr>
                    <w:rFonts w:ascii="Calibri" w:hAnsi="Calibri"/>
                    <w:sz w:val="20"/>
                    <w:szCs w:val="20"/>
                  </w:rPr>
                </w:pPr>
                <w:r>
                  <w:rPr>
                    <w:rFonts w:hint="eastAsia" w:ascii="Calibri" w:hAnsi="Calibri"/>
                    <w:sz w:val="20"/>
                    <w:szCs w:val="20"/>
                  </w:rPr>
                  <w:t>余额</w:t>
                </w:r>
              </w:p>
            </w:tc>
          </w:sdtContent>
        </w:sdt>
      </w:tr>
      <w:tr w14:paraId="3FBE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Borders>
              <w:top w:val="single" w:color="auto" w:sz="4" w:space="0"/>
              <w:left w:val="single" w:color="auto" w:sz="4" w:space="0"/>
              <w:bottom w:val="single" w:color="auto" w:sz="4" w:space="0"/>
              <w:right w:val="single" w:color="auto" w:sz="4" w:space="0"/>
            </w:tcBorders>
            <w:vAlign w:val="center"/>
          </w:tcPr>
          <w:p w14:paraId="4E4CAA81">
            <w:pPr>
              <w:pStyle w:val="48"/>
              <w:rPr>
                <w:sz w:val="20"/>
                <w:szCs w:val="20"/>
              </w:rPr>
            </w:pPr>
            <w:r>
              <w:rPr>
                <w:sz w:val="20"/>
                <w:szCs w:val="20"/>
              </w:rPr>
              <w:t>货币资金</w:t>
            </w:r>
          </w:p>
        </w:tc>
        <w:tc>
          <w:tcPr>
            <w:tcW w:w="2048" w:type="dxa"/>
            <w:tcBorders>
              <w:top w:val="single" w:color="auto" w:sz="4" w:space="0"/>
              <w:left w:val="single" w:color="auto" w:sz="4" w:space="0"/>
              <w:bottom w:val="single" w:color="auto" w:sz="4" w:space="0"/>
              <w:right w:val="single" w:color="auto" w:sz="4" w:space="0"/>
            </w:tcBorders>
            <w:vAlign w:val="center"/>
          </w:tcPr>
          <w:p w14:paraId="13A230A6">
            <w:pPr>
              <w:jc w:val="right"/>
              <w:rPr>
                <w:rFonts w:ascii="Calibri" w:hAnsi="Calibri"/>
                <w:sz w:val="20"/>
                <w:szCs w:val="20"/>
              </w:rPr>
            </w:pPr>
            <w:r>
              <w:rPr>
                <w:rFonts w:hint="eastAsia" w:ascii="Calibri" w:hAnsi="Calibri"/>
                <w:sz w:val="20"/>
                <w:szCs w:val="20"/>
              </w:rPr>
              <w:t>-</w:t>
            </w:r>
          </w:p>
        </w:tc>
        <w:tc>
          <w:tcPr>
            <w:tcW w:w="2057" w:type="dxa"/>
            <w:tcBorders>
              <w:top w:val="single" w:color="auto" w:sz="4" w:space="0"/>
              <w:left w:val="single" w:color="auto" w:sz="4" w:space="0"/>
              <w:bottom w:val="single" w:color="auto" w:sz="4" w:space="0"/>
              <w:right w:val="single" w:color="auto" w:sz="4" w:space="0"/>
            </w:tcBorders>
            <w:vAlign w:val="center"/>
          </w:tcPr>
          <w:p w14:paraId="75825E50">
            <w:pPr>
              <w:jc w:val="right"/>
              <w:rPr>
                <w:rFonts w:ascii="Calibri" w:hAnsi="Calibri"/>
                <w:sz w:val="20"/>
                <w:szCs w:val="20"/>
              </w:rPr>
            </w:pPr>
            <w:r>
              <w:rPr>
                <w:rFonts w:hint="eastAsia" w:ascii="Calibri" w:hAnsi="Calibri"/>
                <w:sz w:val="20"/>
                <w:szCs w:val="20"/>
              </w:rPr>
              <w:t>-</w:t>
            </w:r>
          </w:p>
        </w:tc>
        <w:tc>
          <w:tcPr>
            <w:tcW w:w="2045" w:type="dxa"/>
            <w:tcBorders>
              <w:top w:val="single" w:color="auto" w:sz="4" w:space="0"/>
              <w:left w:val="single" w:color="auto" w:sz="4" w:space="0"/>
              <w:bottom w:val="single" w:color="auto" w:sz="4" w:space="0"/>
              <w:right w:val="single" w:color="auto" w:sz="4" w:space="0"/>
            </w:tcBorders>
            <w:vAlign w:val="center"/>
          </w:tcPr>
          <w:p w14:paraId="708DBA4D">
            <w:pPr>
              <w:jc w:val="right"/>
              <w:rPr>
                <w:rFonts w:ascii="Calibri" w:hAnsi="Calibri"/>
                <w:sz w:val="20"/>
                <w:szCs w:val="20"/>
              </w:rPr>
            </w:pPr>
            <w:r>
              <w:rPr>
                <w:rFonts w:ascii="Calibri" w:hAnsi="Calibri"/>
                <w:sz w:val="20"/>
                <w:szCs w:val="20"/>
              </w:rPr>
              <w:t>6,701,919.96</w:t>
            </w:r>
          </w:p>
        </w:tc>
      </w:tr>
      <w:tr w14:paraId="628F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Borders>
              <w:top w:val="single" w:color="auto" w:sz="4" w:space="0"/>
              <w:left w:val="single" w:color="auto" w:sz="4" w:space="0"/>
              <w:bottom w:val="single" w:color="auto" w:sz="4" w:space="0"/>
              <w:right w:val="single" w:color="auto" w:sz="4" w:space="0"/>
            </w:tcBorders>
            <w:vAlign w:val="center"/>
          </w:tcPr>
          <w:p w14:paraId="03806797">
            <w:pPr>
              <w:pStyle w:val="48"/>
              <w:rPr>
                <w:sz w:val="20"/>
                <w:szCs w:val="20"/>
              </w:rPr>
            </w:pPr>
            <w:r>
              <w:rPr>
                <w:rFonts w:hint="eastAsia"/>
                <w:sz w:val="20"/>
                <w:szCs w:val="20"/>
              </w:rPr>
              <w:t>其中：</w:t>
            </w:r>
            <w:sdt>
              <w:sdtPr>
                <w:alias w:val="以外币核算的币种明细-币种名称"/>
                <w:tag w:val="_GBC_b9ad493c07994625bf872e807197c998"/>
                <w:id w:val="-1811943885"/>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 w:val="20"/>
                    <w:szCs w:val="20"/>
                  </w:rPr>
                  <w:t>美元</w:t>
                </w:r>
              </w:sdtContent>
            </w:sdt>
          </w:p>
        </w:tc>
        <w:tc>
          <w:tcPr>
            <w:tcW w:w="2048" w:type="dxa"/>
            <w:tcBorders>
              <w:top w:val="single" w:color="auto" w:sz="4" w:space="0"/>
              <w:left w:val="single" w:color="auto" w:sz="4" w:space="0"/>
              <w:bottom w:val="single" w:color="auto" w:sz="4" w:space="0"/>
              <w:right w:val="single" w:color="auto" w:sz="4" w:space="0"/>
            </w:tcBorders>
            <w:vAlign w:val="center"/>
          </w:tcPr>
          <w:p w14:paraId="6C320A93">
            <w:pPr>
              <w:jc w:val="right"/>
              <w:rPr>
                <w:rFonts w:ascii="Calibri" w:hAnsi="Calibri"/>
                <w:sz w:val="20"/>
                <w:szCs w:val="20"/>
              </w:rPr>
            </w:pPr>
            <w:r>
              <w:rPr>
                <w:rFonts w:ascii="Calibri" w:hAnsi="Calibri"/>
                <w:sz w:val="20"/>
                <w:szCs w:val="20"/>
              </w:rPr>
              <w:t>953,494.19</w:t>
            </w:r>
          </w:p>
        </w:tc>
        <w:tc>
          <w:tcPr>
            <w:tcW w:w="2057" w:type="dxa"/>
            <w:tcBorders>
              <w:top w:val="single" w:color="auto" w:sz="4" w:space="0"/>
              <w:left w:val="single" w:color="auto" w:sz="4" w:space="0"/>
              <w:bottom w:val="single" w:color="auto" w:sz="4" w:space="0"/>
              <w:right w:val="single" w:color="auto" w:sz="4" w:space="0"/>
            </w:tcBorders>
            <w:vAlign w:val="center"/>
          </w:tcPr>
          <w:p w14:paraId="43499271">
            <w:pPr>
              <w:jc w:val="right"/>
              <w:rPr>
                <w:rFonts w:ascii="Calibri" w:hAnsi="Calibri"/>
                <w:sz w:val="20"/>
                <w:szCs w:val="20"/>
              </w:rPr>
            </w:pPr>
            <w:r>
              <w:rPr>
                <w:rFonts w:ascii="Calibri" w:hAnsi="Calibri"/>
                <w:sz w:val="20"/>
                <w:szCs w:val="20"/>
              </w:rPr>
              <w:t>7.0288</w:t>
            </w:r>
          </w:p>
        </w:tc>
        <w:tc>
          <w:tcPr>
            <w:tcW w:w="2045" w:type="dxa"/>
            <w:tcBorders>
              <w:top w:val="single" w:color="auto" w:sz="4" w:space="0"/>
              <w:left w:val="single" w:color="auto" w:sz="4" w:space="0"/>
              <w:bottom w:val="single" w:color="auto" w:sz="4" w:space="0"/>
              <w:right w:val="single" w:color="auto" w:sz="4" w:space="0"/>
            </w:tcBorders>
            <w:vAlign w:val="center"/>
          </w:tcPr>
          <w:p w14:paraId="606CD9AD">
            <w:pPr>
              <w:jc w:val="right"/>
              <w:rPr>
                <w:rFonts w:ascii="Calibri" w:hAnsi="Calibri"/>
                <w:sz w:val="20"/>
                <w:szCs w:val="20"/>
              </w:rPr>
            </w:pPr>
            <w:r>
              <w:rPr>
                <w:rFonts w:ascii="Calibri" w:hAnsi="Calibri"/>
                <w:sz w:val="20"/>
                <w:szCs w:val="20"/>
              </w:rPr>
              <w:t>6,701,919.96</w:t>
            </w:r>
          </w:p>
        </w:tc>
      </w:tr>
      <w:tr w14:paraId="4AF6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Borders>
              <w:top w:val="single" w:color="auto" w:sz="4" w:space="0"/>
              <w:left w:val="single" w:color="auto" w:sz="4" w:space="0"/>
              <w:bottom w:val="single" w:color="auto" w:sz="4" w:space="0"/>
              <w:right w:val="single" w:color="auto" w:sz="4" w:space="0"/>
            </w:tcBorders>
            <w:vAlign w:val="center"/>
          </w:tcPr>
          <w:p w14:paraId="1AFAE6F3">
            <w:pPr>
              <w:pStyle w:val="48"/>
              <w:rPr>
                <w:sz w:val="20"/>
                <w:szCs w:val="20"/>
              </w:rPr>
            </w:pPr>
            <w:r>
              <w:rPr>
                <w:sz w:val="20"/>
                <w:szCs w:val="20"/>
              </w:rPr>
              <w:t>　　　</w:t>
            </w:r>
            <w:sdt>
              <w:sdtPr>
                <w:alias w:val="以外币核算的币种明细-币种名称"/>
                <w:tag w:val="_GBC_b9ad493c07994625bf872e807197c998"/>
                <w:id w:val="-181000489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 w:val="20"/>
                    <w:szCs w:val="20"/>
                  </w:rPr>
                  <w:t>欧元</w:t>
                </w:r>
              </w:sdtContent>
            </w:sdt>
          </w:p>
        </w:tc>
        <w:tc>
          <w:tcPr>
            <w:tcW w:w="2048" w:type="dxa"/>
            <w:tcBorders>
              <w:top w:val="single" w:color="auto" w:sz="4" w:space="0"/>
              <w:left w:val="single" w:color="auto" w:sz="4" w:space="0"/>
              <w:bottom w:val="single" w:color="auto" w:sz="4" w:space="0"/>
              <w:right w:val="single" w:color="auto" w:sz="4" w:space="0"/>
            </w:tcBorders>
            <w:vAlign w:val="center"/>
          </w:tcPr>
          <w:p w14:paraId="7032841F">
            <w:pPr>
              <w:jc w:val="right"/>
              <w:rPr>
                <w:rFonts w:ascii="Calibri" w:hAnsi="Calibri"/>
                <w:sz w:val="20"/>
                <w:szCs w:val="20"/>
              </w:rPr>
            </w:pPr>
          </w:p>
        </w:tc>
        <w:tc>
          <w:tcPr>
            <w:tcW w:w="2057" w:type="dxa"/>
            <w:tcBorders>
              <w:top w:val="single" w:color="auto" w:sz="4" w:space="0"/>
              <w:left w:val="single" w:color="auto" w:sz="4" w:space="0"/>
              <w:bottom w:val="single" w:color="auto" w:sz="4" w:space="0"/>
              <w:right w:val="single" w:color="auto" w:sz="4" w:space="0"/>
            </w:tcBorders>
            <w:vAlign w:val="center"/>
          </w:tcPr>
          <w:p w14:paraId="17089350">
            <w:pPr>
              <w:jc w:val="right"/>
              <w:rPr>
                <w:rFonts w:ascii="Calibri" w:hAnsi="Calibri"/>
                <w:sz w:val="20"/>
                <w:szCs w:val="20"/>
              </w:rPr>
            </w:pPr>
          </w:p>
        </w:tc>
        <w:tc>
          <w:tcPr>
            <w:tcW w:w="2045" w:type="dxa"/>
            <w:tcBorders>
              <w:top w:val="single" w:color="auto" w:sz="4" w:space="0"/>
              <w:left w:val="single" w:color="auto" w:sz="4" w:space="0"/>
              <w:bottom w:val="single" w:color="auto" w:sz="4" w:space="0"/>
              <w:right w:val="single" w:color="auto" w:sz="4" w:space="0"/>
            </w:tcBorders>
            <w:vAlign w:val="center"/>
          </w:tcPr>
          <w:p w14:paraId="2CF6F4ED">
            <w:pPr>
              <w:jc w:val="right"/>
              <w:rPr>
                <w:rFonts w:ascii="Calibri" w:hAnsi="Calibri"/>
                <w:sz w:val="20"/>
                <w:szCs w:val="20"/>
              </w:rPr>
            </w:pPr>
          </w:p>
        </w:tc>
      </w:tr>
      <w:tr w14:paraId="17B0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Borders>
              <w:top w:val="single" w:color="auto" w:sz="4" w:space="0"/>
              <w:left w:val="single" w:color="auto" w:sz="4" w:space="0"/>
              <w:bottom w:val="single" w:color="auto" w:sz="4" w:space="0"/>
              <w:right w:val="single" w:color="auto" w:sz="4" w:space="0"/>
            </w:tcBorders>
            <w:vAlign w:val="center"/>
          </w:tcPr>
          <w:p w14:paraId="1C874DF4">
            <w:pPr>
              <w:pStyle w:val="48"/>
              <w:rPr>
                <w:sz w:val="20"/>
                <w:szCs w:val="20"/>
              </w:rPr>
            </w:pPr>
            <w:r>
              <w:rPr>
                <w:sz w:val="20"/>
                <w:szCs w:val="20"/>
              </w:rPr>
              <w:t>　　　</w:t>
            </w:r>
            <w:sdt>
              <w:sdtPr>
                <w:alias w:val="以外币核算的币种明细-币种名称"/>
                <w:tag w:val="_GBC_b9ad493c07994625bf872e807197c998"/>
                <w:id w:val="189531380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 w:val="20"/>
                    <w:szCs w:val="20"/>
                  </w:rPr>
                  <w:t>港币</w:t>
                </w:r>
              </w:sdtContent>
            </w:sdt>
          </w:p>
        </w:tc>
        <w:tc>
          <w:tcPr>
            <w:tcW w:w="2048" w:type="dxa"/>
            <w:tcBorders>
              <w:top w:val="single" w:color="auto" w:sz="4" w:space="0"/>
              <w:left w:val="single" w:color="auto" w:sz="4" w:space="0"/>
              <w:bottom w:val="single" w:color="auto" w:sz="4" w:space="0"/>
              <w:right w:val="single" w:color="auto" w:sz="4" w:space="0"/>
            </w:tcBorders>
            <w:vAlign w:val="center"/>
          </w:tcPr>
          <w:p w14:paraId="7FC6AD8C">
            <w:pPr>
              <w:jc w:val="right"/>
              <w:rPr>
                <w:rFonts w:ascii="Calibri" w:hAnsi="Calibri"/>
                <w:sz w:val="20"/>
                <w:szCs w:val="20"/>
              </w:rPr>
            </w:pPr>
          </w:p>
        </w:tc>
        <w:tc>
          <w:tcPr>
            <w:tcW w:w="2057" w:type="dxa"/>
            <w:tcBorders>
              <w:top w:val="single" w:color="auto" w:sz="4" w:space="0"/>
              <w:left w:val="single" w:color="auto" w:sz="4" w:space="0"/>
              <w:bottom w:val="single" w:color="auto" w:sz="4" w:space="0"/>
              <w:right w:val="single" w:color="auto" w:sz="4" w:space="0"/>
            </w:tcBorders>
            <w:vAlign w:val="center"/>
          </w:tcPr>
          <w:p w14:paraId="54D9BF26">
            <w:pPr>
              <w:jc w:val="right"/>
              <w:rPr>
                <w:rFonts w:ascii="Calibri" w:hAnsi="Calibri"/>
                <w:sz w:val="20"/>
                <w:szCs w:val="20"/>
              </w:rPr>
            </w:pPr>
          </w:p>
        </w:tc>
        <w:tc>
          <w:tcPr>
            <w:tcW w:w="2045" w:type="dxa"/>
            <w:tcBorders>
              <w:top w:val="single" w:color="auto" w:sz="4" w:space="0"/>
              <w:left w:val="single" w:color="auto" w:sz="4" w:space="0"/>
              <w:bottom w:val="single" w:color="auto" w:sz="4" w:space="0"/>
              <w:right w:val="single" w:color="auto" w:sz="4" w:space="0"/>
            </w:tcBorders>
            <w:vAlign w:val="center"/>
          </w:tcPr>
          <w:p w14:paraId="373FE683">
            <w:pPr>
              <w:jc w:val="right"/>
              <w:rPr>
                <w:rFonts w:ascii="Calibri" w:hAnsi="Calibri"/>
                <w:sz w:val="20"/>
                <w:szCs w:val="20"/>
              </w:rPr>
            </w:pPr>
          </w:p>
        </w:tc>
      </w:tr>
      <w:tr w14:paraId="300F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Borders>
              <w:top w:val="single" w:color="auto" w:sz="4" w:space="0"/>
              <w:left w:val="single" w:color="auto" w:sz="4" w:space="0"/>
              <w:bottom w:val="single" w:color="auto" w:sz="4" w:space="0"/>
              <w:right w:val="single" w:color="auto" w:sz="4" w:space="0"/>
            </w:tcBorders>
            <w:vAlign w:val="center"/>
          </w:tcPr>
          <w:p w14:paraId="0A32E80B">
            <w:pPr>
              <w:pStyle w:val="48"/>
              <w:rPr>
                <w:sz w:val="20"/>
                <w:szCs w:val="20"/>
              </w:rPr>
            </w:pPr>
            <w:r>
              <w:rPr>
                <w:sz w:val="20"/>
                <w:szCs w:val="20"/>
              </w:rPr>
              <w:t>应收账款</w:t>
            </w:r>
          </w:p>
        </w:tc>
        <w:tc>
          <w:tcPr>
            <w:tcW w:w="2048" w:type="dxa"/>
            <w:tcBorders>
              <w:top w:val="single" w:color="auto" w:sz="4" w:space="0"/>
              <w:left w:val="single" w:color="auto" w:sz="4" w:space="0"/>
              <w:bottom w:val="single" w:color="auto" w:sz="4" w:space="0"/>
              <w:right w:val="single" w:color="auto" w:sz="4" w:space="0"/>
            </w:tcBorders>
            <w:vAlign w:val="center"/>
          </w:tcPr>
          <w:p w14:paraId="149E60C4">
            <w:pPr>
              <w:jc w:val="right"/>
              <w:rPr>
                <w:rFonts w:ascii="Calibri" w:hAnsi="Calibri"/>
                <w:sz w:val="20"/>
                <w:szCs w:val="20"/>
              </w:rPr>
            </w:pPr>
            <w:r>
              <w:rPr>
                <w:rFonts w:hint="eastAsia" w:ascii="Calibri" w:hAnsi="Calibri"/>
                <w:sz w:val="20"/>
                <w:szCs w:val="20"/>
              </w:rPr>
              <w:t>-</w:t>
            </w:r>
          </w:p>
        </w:tc>
        <w:tc>
          <w:tcPr>
            <w:tcW w:w="2057" w:type="dxa"/>
            <w:tcBorders>
              <w:top w:val="single" w:color="auto" w:sz="4" w:space="0"/>
              <w:left w:val="single" w:color="auto" w:sz="4" w:space="0"/>
              <w:bottom w:val="single" w:color="auto" w:sz="4" w:space="0"/>
              <w:right w:val="single" w:color="auto" w:sz="4" w:space="0"/>
            </w:tcBorders>
            <w:vAlign w:val="center"/>
          </w:tcPr>
          <w:p w14:paraId="18468862">
            <w:pPr>
              <w:jc w:val="right"/>
              <w:rPr>
                <w:rFonts w:ascii="Calibri" w:hAnsi="Calibri"/>
                <w:sz w:val="20"/>
                <w:szCs w:val="20"/>
              </w:rPr>
            </w:pPr>
            <w:r>
              <w:rPr>
                <w:rFonts w:hint="eastAsia" w:ascii="Calibri" w:hAnsi="Calibri"/>
                <w:sz w:val="20"/>
                <w:szCs w:val="20"/>
              </w:rPr>
              <w:t>-</w:t>
            </w:r>
          </w:p>
        </w:tc>
        <w:tc>
          <w:tcPr>
            <w:tcW w:w="2045" w:type="dxa"/>
            <w:tcBorders>
              <w:top w:val="single" w:color="auto" w:sz="4" w:space="0"/>
              <w:left w:val="single" w:color="auto" w:sz="4" w:space="0"/>
              <w:bottom w:val="single" w:color="auto" w:sz="4" w:space="0"/>
              <w:right w:val="single" w:color="auto" w:sz="4" w:space="0"/>
            </w:tcBorders>
            <w:vAlign w:val="center"/>
          </w:tcPr>
          <w:p w14:paraId="224CB9BB">
            <w:pPr>
              <w:jc w:val="right"/>
              <w:rPr>
                <w:rFonts w:ascii="Calibri" w:hAnsi="Calibri"/>
                <w:sz w:val="20"/>
                <w:szCs w:val="20"/>
              </w:rPr>
            </w:pPr>
            <w:r>
              <w:rPr>
                <w:rFonts w:ascii="Calibri" w:hAnsi="Calibri"/>
                <w:sz w:val="20"/>
                <w:szCs w:val="20"/>
              </w:rPr>
              <w:t>24,827,093.62</w:t>
            </w:r>
          </w:p>
        </w:tc>
      </w:tr>
      <w:tr w14:paraId="00CB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Borders>
              <w:top w:val="single" w:color="auto" w:sz="4" w:space="0"/>
              <w:left w:val="single" w:color="auto" w:sz="4" w:space="0"/>
              <w:bottom w:val="single" w:color="auto" w:sz="4" w:space="0"/>
              <w:right w:val="single" w:color="auto" w:sz="4" w:space="0"/>
            </w:tcBorders>
            <w:vAlign w:val="center"/>
          </w:tcPr>
          <w:p w14:paraId="5A628A71">
            <w:pPr>
              <w:pStyle w:val="48"/>
              <w:rPr>
                <w:sz w:val="20"/>
                <w:szCs w:val="20"/>
              </w:rPr>
            </w:pPr>
            <w:r>
              <w:rPr>
                <w:rFonts w:hint="eastAsia"/>
                <w:sz w:val="20"/>
                <w:szCs w:val="20"/>
              </w:rPr>
              <w:t>其中：</w:t>
            </w:r>
            <w:sdt>
              <w:sdtPr>
                <w:alias w:val="以外币核算的币种明细-币种名称"/>
                <w:tag w:val="_GBC_b9ad493c07994625bf872e807197c998"/>
                <w:id w:val="-205591524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 w:val="20"/>
                    <w:szCs w:val="20"/>
                  </w:rPr>
                  <w:t>美元</w:t>
                </w:r>
              </w:sdtContent>
            </w:sdt>
          </w:p>
        </w:tc>
        <w:tc>
          <w:tcPr>
            <w:tcW w:w="2048" w:type="dxa"/>
            <w:tcBorders>
              <w:top w:val="single" w:color="auto" w:sz="4" w:space="0"/>
              <w:left w:val="single" w:color="auto" w:sz="4" w:space="0"/>
              <w:bottom w:val="single" w:color="auto" w:sz="4" w:space="0"/>
              <w:right w:val="single" w:color="auto" w:sz="4" w:space="0"/>
            </w:tcBorders>
            <w:vAlign w:val="center"/>
          </w:tcPr>
          <w:p w14:paraId="6214C2C8">
            <w:pPr>
              <w:jc w:val="right"/>
              <w:rPr>
                <w:rFonts w:ascii="Calibri" w:hAnsi="Calibri"/>
                <w:sz w:val="20"/>
                <w:szCs w:val="20"/>
              </w:rPr>
            </w:pPr>
            <w:r>
              <w:rPr>
                <w:rFonts w:ascii="Calibri" w:hAnsi="Calibri"/>
                <w:sz w:val="20"/>
                <w:szCs w:val="20"/>
              </w:rPr>
              <w:t>3,532,195.20</w:t>
            </w:r>
          </w:p>
        </w:tc>
        <w:tc>
          <w:tcPr>
            <w:tcW w:w="2057" w:type="dxa"/>
            <w:tcBorders>
              <w:top w:val="single" w:color="auto" w:sz="4" w:space="0"/>
              <w:left w:val="single" w:color="auto" w:sz="4" w:space="0"/>
              <w:bottom w:val="single" w:color="auto" w:sz="4" w:space="0"/>
              <w:right w:val="single" w:color="auto" w:sz="4" w:space="0"/>
            </w:tcBorders>
            <w:vAlign w:val="center"/>
          </w:tcPr>
          <w:p w14:paraId="58B9CE5B">
            <w:pPr>
              <w:jc w:val="right"/>
              <w:rPr>
                <w:rFonts w:ascii="Calibri" w:hAnsi="Calibri"/>
                <w:sz w:val="20"/>
                <w:szCs w:val="20"/>
              </w:rPr>
            </w:pPr>
            <w:r>
              <w:rPr>
                <w:rFonts w:ascii="Calibri" w:hAnsi="Calibri"/>
                <w:sz w:val="20"/>
                <w:szCs w:val="20"/>
              </w:rPr>
              <w:t>7.0288</w:t>
            </w:r>
          </w:p>
        </w:tc>
        <w:tc>
          <w:tcPr>
            <w:tcW w:w="2045" w:type="dxa"/>
            <w:tcBorders>
              <w:top w:val="single" w:color="auto" w:sz="4" w:space="0"/>
              <w:left w:val="single" w:color="auto" w:sz="4" w:space="0"/>
              <w:bottom w:val="single" w:color="auto" w:sz="4" w:space="0"/>
              <w:right w:val="single" w:color="auto" w:sz="4" w:space="0"/>
            </w:tcBorders>
            <w:vAlign w:val="center"/>
          </w:tcPr>
          <w:p w14:paraId="659FC35E">
            <w:pPr>
              <w:jc w:val="right"/>
              <w:rPr>
                <w:rFonts w:ascii="Calibri" w:hAnsi="Calibri"/>
                <w:sz w:val="20"/>
                <w:szCs w:val="20"/>
              </w:rPr>
            </w:pPr>
            <w:r>
              <w:rPr>
                <w:rFonts w:ascii="Calibri" w:hAnsi="Calibri"/>
                <w:sz w:val="20"/>
                <w:szCs w:val="20"/>
              </w:rPr>
              <w:t>24,827,093.62</w:t>
            </w:r>
          </w:p>
        </w:tc>
      </w:tr>
      <w:tr w14:paraId="43BD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Borders>
              <w:top w:val="single" w:color="auto" w:sz="4" w:space="0"/>
              <w:left w:val="single" w:color="auto" w:sz="4" w:space="0"/>
              <w:bottom w:val="single" w:color="auto" w:sz="4" w:space="0"/>
              <w:right w:val="single" w:color="auto" w:sz="4" w:space="0"/>
            </w:tcBorders>
            <w:vAlign w:val="center"/>
          </w:tcPr>
          <w:p w14:paraId="488265D0">
            <w:pPr>
              <w:pStyle w:val="48"/>
              <w:rPr>
                <w:sz w:val="20"/>
                <w:szCs w:val="20"/>
              </w:rPr>
            </w:pPr>
            <w:r>
              <w:rPr>
                <w:sz w:val="20"/>
                <w:szCs w:val="20"/>
              </w:rPr>
              <w:t>　　　</w:t>
            </w:r>
            <w:sdt>
              <w:sdtPr>
                <w:alias w:val="以外币核算的币种明细-币种名称"/>
                <w:tag w:val="_GBC_b9ad493c07994625bf872e807197c998"/>
                <w:id w:val="-175549738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 w:val="20"/>
                    <w:szCs w:val="20"/>
                  </w:rPr>
                  <w:t>欧元</w:t>
                </w:r>
              </w:sdtContent>
            </w:sdt>
          </w:p>
        </w:tc>
        <w:tc>
          <w:tcPr>
            <w:tcW w:w="2048" w:type="dxa"/>
            <w:tcBorders>
              <w:top w:val="single" w:color="auto" w:sz="4" w:space="0"/>
              <w:left w:val="single" w:color="auto" w:sz="4" w:space="0"/>
              <w:bottom w:val="single" w:color="auto" w:sz="4" w:space="0"/>
              <w:right w:val="single" w:color="auto" w:sz="4" w:space="0"/>
            </w:tcBorders>
            <w:vAlign w:val="center"/>
          </w:tcPr>
          <w:p w14:paraId="11D26EF8">
            <w:pPr>
              <w:jc w:val="right"/>
              <w:rPr>
                <w:rFonts w:ascii="Calibri" w:hAnsi="Calibri"/>
                <w:sz w:val="20"/>
                <w:szCs w:val="20"/>
              </w:rPr>
            </w:pPr>
          </w:p>
        </w:tc>
        <w:tc>
          <w:tcPr>
            <w:tcW w:w="2057" w:type="dxa"/>
            <w:tcBorders>
              <w:top w:val="single" w:color="auto" w:sz="4" w:space="0"/>
              <w:left w:val="single" w:color="auto" w:sz="4" w:space="0"/>
              <w:bottom w:val="single" w:color="auto" w:sz="4" w:space="0"/>
              <w:right w:val="single" w:color="auto" w:sz="4" w:space="0"/>
            </w:tcBorders>
            <w:vAlign w:val="center"/>
          </w:tcPr>
          <w:p w14:paraId="474FD532">
            <w:pPr>
              <w:jc w:val="right"/>
              <w:rPr>
                <w:rFonts w:ascii="Calibri" w:hAnsi="Calibri"/>
                <w:sz w:val="20"/>
                <w:szCs w:val="20"/>
              </w:rPr>
            </w:pPr>
          </w:p>
        </w:tc>
        <w:tc>
          <w:tcPr>
            <w:tcW w:w="2045" w:type="dxa"/>
            <w:tcBorders>
              <w:top w:val="single" w:color="auto" w:sz="4" w:space="0"/>
              <w:left w:val="single" w:color="auto" w:sz="4" w:space="0"/>
              <w:bottom w:val="single" w:color="auto" w:sz="4" w:space="0"/>
              <w:right w:val="single" w:color="auto" w:sz="4" w:space="0"/>
            </w:tcBorders>
            <w:vAlign w:val="center"/>
          </w:tcPr>
          <w:p w14:paraId="24B6015A">
            <w:pPr>
              <w:jc w:val="right"/>
              <w:rPr>
                <w:rFonts w:ascii="Calibri" w:hAnsi="Calibri"/>
                <w:sz w:val="20"/>
                <w:szCs w:val="20"/>
              </w:rPr>
            </w:pPr>
          </w:p>
        </w:tc>
      </w:tr>
      <w:tr w14:paraId="1E90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Borders>
              <w:top w:val="single" w:color="auto" w:sz="4" w:space="0"/>
              <w:left w:val="single" w:color="auto" w:sz="4" w:space="0"/>
              <w:bottom w:val="single" w:color="auto" w:sz="4" w:space="0"/>
              <w:right w:val="single" w:color="auto" w:sz="4" w:space="0"/>
            </w:tcBorders>
            <w:vAlign w:val="center"/>
          </w:tcPr>
          <w:p w14:paraId="6A61BEE5">
            <w:pPr>
              <w:pStyle w:val="48"/>
              <w:rPr>
                <w:sz w:val="20"/>
                <w:szCs w:val="20"/>
              </w:rPr>
            </w:pPr>
            <w:r>
              <w:rPr>
                <w:sz w:val="20"/>
                <w:szCs w:val="20"/>
              </w:rPr>
              <w:t>　　　</w:t>
            </w:r>
            <w:sdt>
              <w:sdtPr>
                <w:alias w:val="以外币核算的币种明细-币种名称"/>
                <w:tag w:val="_GBC_b9ad493c07994625bf872e807197c998"/>
                <w:id w:val="189939258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 w:val="20"/>
                    <w:szCs w:val="20"/>
                  </w:rPr>
                  <w:t>港币</w:t>
                </w:r>
              </w:sdtContent>
            </w:sdt>
          </w:p>
        </w:tc>
        <w:tc>
          <w:tcPr>
            <w:tcW w:w="2048" w:type="dxa"/>
            <w:tcBorders>
              <w:top w:val="single" w:color="auto" w:sz="4" w:space="0"/>
              <w:left w:val="single" w:color="auto" w:sz="4" w:space="0"/>
              <w:bottom w:val="single" w:color="auto" w:sz="4" w:space="0"/>
              <w:right w:val="single" w:color="auto" w:sz="4" w:space="0"/>
            </w:tcBorders>
            <w:vAlign w:val="center"/>
          </w:tcPr>
          <w:p w14:paraId="49D1A053">
            <w:pPr>
              <w:jc w:val="right"/>
              <w:rPr>
                <w:rFonts w:ascii="Calibri" w:hAnsi="Calibri"/>
                <w:sz w:val="20"/>
                <w:szCs w:val="20"/>
              </w:rPr>
            </w:pPr>
          </w:p>
        </w:tc>
        <w:tc>
          <w:tcPr>
            <w:tcW w:w="2057" w:type="dxa"/>
            <w:tcBorders>
              <w:top w:val="single" w:color="auto" w:sz="4" w:space="0"/>
              <w:left w:val="single" w:color="auto" w:sz="4" w:space="0"/>
              <w:bottom w:val="single" w:color="auto" w:sz="4" w:space="0"/>
              <w:right w:val="single" w:color="auto" w:sz="4" w:space="0"/>
            </w:tcBorders>
            <w:vAlign w:val="center"/>
          </w:tcPr>
          <w:p w14:paraId="4A218C5D">
            <w:pPr>
              <w:jc w:val="right"/>
              <w:rPr>
                <w:rFonts w:ascii="Calibri" w:hAnsi="Calibri"/>
                <w:sz w:val="20"/>
                <w:szCs w:val="20"/>
              </w:rPr>
            </w:pPr>
          </w:p>
        </w:tc>
        <w:tc>
          <w:tcPr>
            <w:tcW w:w="2045" w:type="dxa"/>
            <w:tcBorders>
              <w:top w:val="single" w:color="auto" w:sz="4" w:space="0"/>
              <w:left w:val="single" w:color="auto" w:sz="4" w:space="0"/>
              <w:bottom w:val="single" w:color="auto" w:sz="4" w:space="0"/>
              <w:right w:val="single" w:color="auto" w:sz="4" w:space="0"/>
            </w:tcBorders>
            <w:vAlign w:val="center"/>
          </w:tcPr>
          <w:p w14:paraId="08EA7A03">
            <w:pPr>
              <w:jc w:val="right"/>
              <w:rPr>
                <w:rFonts w:ascii="Calibri" w:hAnsi="Calibri"/>
                <w:sz w:val="20"/>
                <w:szCs w:val="20"/>
              </w:rPr>
            </w:pPr>
          </w:p>
        </w:tc>
      </w:tr>
      <w:tr w14:paraId="61A9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Borders>
              <w:top w:val="single" w:color="auto" w:sz="4" w:space="0"/>
              <w:left w:val="single" w:color="auto" w:sz="4" w:space="0"/>
              <w:bottom w:val="single" w:color="auto" w:sz="4" w:space="0"/>
              <w:right w:val="single" w:color="auto" w:sz="4" w:space="0"/>
            </w:tcBorders>
            <w:vAlign w:val="center"/>
          </w:tcPr>
          <w:p w14:paraId="47CB3A5E">
            <w:pPr>
              <w:pStyle w:val="48"/>
              <w:rPr>
                <w:sz w:val="20"/>
                <w:szCs w:val="20"/>
              </w:rPr>
            </w:pPr>
            <w:r>
              <w:rPr>
                <w:rFonts w:hint="eastAsia"/>
                <w:sz w:val="20"/>
                <w:szCs w:val="20"/>
              </w:rPr>
              <w:t>应付账款</w:t>
            </w:r>
          </w:p>
        </w:tc>
        <w:tc>
          <w:tcPr>
            <w:tcW w:w="2048" w:type="dxa"/>
            <w:tcBorders>
              <w:top w:val="single" w:color="auto" w:sz="4" w:space="0"/>
              <w:left w:val="single" w:color="auto" w:sz="4" w:space="0"/>
              <w:bottom w:val="single" w:color="auto" w:sz="4" w:space="0"/>
              <w:right w:val="single" w:color="auto" w:sz="4" w:space="0"/>
            </w:tcBorders>
            <w:vAlign w:val="center"/>
          </w:tcPr>
          <w:p w14:paraId="0DF788C2">
            <w:pPr>
              <w:jc w:val="right"/>
              <w:rPr>
                <w:rFonts w:ascii="Calibri" w:hAnsi="Calibri"/>
                <w:sz w:val="20"/>
                <w:szCs w:val="20"/>
              </w:rPr>
            </w:pPr>
            <w:r>
              <w:rPr>
                <w:rFonts w:hint="eastAsia" w:ascii="Calibri" w:hAnsi="Calibri"/>
                <w:sz w:val="20"/>
                <w:szCs w:val="20"/>
              </w:rPr>
              <w:t>-</w:t>
            </w:r>
          </w:p>
        </w:tc>
        <w:tc>
          <w:tcPr>
            <w:tcW w:w="2057" w:type="dxa"/>
            <w:tcBorders>
              <w:top w:val="single" w:color="auto" w:sz="4" w:space="0"/>
              <w:left w:val="single" w:color="auto" w:sz="4" w:space="0"/>
              <w:bottom w:val="single" w:color="auto" w:sz="4" w:space="0"/>
              <w:right w:val="single" w:color="auto" w:sz="4" w:space="0"/>
            </w:tcBorders>
            <w:vAlign w:val="center"/>
          </w:tcPr>
          <w:p w14:paraId="7AB6D3CF">
            <w:pPr>
              <w:jc w:val="right"/>
              <w:rPr>
                <w:rFonts w:ascii="Calibri" w:hAnsi="Calibri"/>
                <w:sz w:val="20"/>
                <w:szCs w:val="20"/>
              </w:rPr>
            </w:pPr>
            <w:r>
              <w:rPr>
                <w:rFonts w:hint="eastAsia" w:ascii="Calibri" w:hAnsi="Calibri"/>
                <w:sz w:val="20"/>
                <w:szCs w:val="20"/>
              </w:rPr>
              <w:t>-</w:t>
            </w:r>
          </w:p>
        </w:tc>
        <w:tc>
          <w:tcPr>
            <w:tcW w:w="2045" w:type="dxa"/>
            <w:tcBorders>
              <w:top w:val="single" w:color="auto" w:sz="4" w:space="0"/>
              <w:left w:val="single" w:color="auto" w:sz="4" w:space="0"/>
              <w:bottom w:val="single" w:color="auto" w:sz="4" w:space="0"/>
              <w:right w:val="single" w:color="auto" w:sz="4" w:space="0"/>
            </w:tcBorders>
            <w:vAlign w:val="center"/>
          </w:tcPr>
          <w:p w14:paraId="4E3A3606">
            <w:pPr>
              <w:jc w:val="right"/>
              <w:rPr>
                <w:rFonts w:ascii="Calibri" w:hAnsi="Calibri"/>
                <w:sz w:val="20"/>
                <w:szCs w:val="20"/>
              </w:rPr>
            </w:pPr>
            <w:r>
              <w:rPr>
                <w:rFonts w:ascii="Calibri" w:hAnsi="Calibri"/>
                <w:sz w:val="20"/>
                <w:szCs w:val="20"/>
              </w:rPr>
              <w:t>7,883,236.03</w:t>
            </w:r>
          </w:p>
        </w:tc>
      </w:tr>
      <w:tr w14:paraId="0C3A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Borders>
              <w:top w:val="single" w:color="auto" w:sz="4" w:space="0"/>
              <w:left w:val="single" w:color="auto" w:sz="4" w:space="0"/>
              <w:bottom w:val="single" w:color="auto" w:sz="4" w:space="0"/>
              <w:right w:val="single" w:color="auto" w:sz="4" w:space="0"/>
            </w:tcBorders>
            <w:vAlign w:val="center"/>
          </w:tcPr>
          <w:p w14:paraId="267D61ED">
            <w:pPr>
              <w:pStyle w:val="48"/>
              <w:rPr>
                <w:sz w:val="20"/>
                <w:szCs w:val="20"/>
              </w:rPr>
            </w:pPr>
            <w:r>
              <w:rPr>
                <w:rFonts w:hint="eastAsia"/>
                <w:sz w:val="20"/>
                <w:szCs w:val="20"/>
              </w:rPr>
              <w:t>其中：</w:t>
            </w:r>
            <w:sdt>
              <w:sdtPr>
                <w:alias w:val="以外币核算的币种明细-币种名称"/>
                <w:tag w:val="_GBC_b9ad493c07994625bf872e807197c998"/>
                <w:id w:val="1836181385"/>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 w:val="20"/>
                    <w:szCs w:val="20"/>
                  </w:rPr>
                  <w:t>美元</w:t>
                </w:r>
              </w:sdtContent>
            </w:sdt>
          </w:p>
        </w:tc>
        <w:tc>
          <w:tcPr>
            <w:tcW w:w="2048" w:type="dxa"/>
            <w:tcBorders>
              <w:top w:val="single" w:color="auto" w:sz="4" w:space="0"/>
              <w:left w:val="single" w:color="auto" w:sz="4" w:space="0"/>
              <w:bottom w:val="single" w:color="auto" w:sz="4" w:space="0"/>
              <w:right w:val="single" w:color="auto" w:sz="4" w:space="0"/>
            </w:tcBorders>
            <w:vAlign w:val="center"/>
          </w:tcPr>
          <w:p w14:paraId="660168E7">
            <w:pPr>
              <w:jc w:val="right"/>
              <w:rPr>
                <w:rFonts w:ascii="Calibri" w:hAnsi="Calibri"/>
                <w:sz w:val="20"/>
                <w:szCs w:val="20"/>
              </w:rPr>
            </w:pPr>
          </w:p>
        </w:tc>
        <w:tc>
          <w:tcPr>
            <w:tcW w:w="2057" w:type="dxa"/>
            <w:tcBorders>
              <w:top w:val="single" w:color="auto" w:sz="4" w:space="0"/>
              <w:left w:val="single" w:color="auto" w:sz="4" w:space="0"/>
              <w:bottom w:val="single" w:color="auto" w:sz="4" w:space="0"/>
              <w:right w:val="single" w:color="auto" w:sz="4" w:space="0"/>
            </w:tcBorders>
            <w:vAlign w:val="center"/>
          </w:tcPr>
          <w:p w14:paraId="0506360E">
            <w:pPr>
              <w:jc w:val="right"/>
              <w:rPr>
                <w:rFonts w:ascii="Calibri" w:hAnsi="Calibri"/>
                <w:sz w:val="20"/>
                <w:szCs w:val="20"/>
              </w:rPr>
            </w:pPr>
          </w:p>
        </w:tc>
        <w:tc>
          <w:tcPr>
            <w:tcW w:w="2045" w:type="dxa"/>
            <w:tcBorders>
              <w:top w:val="single" w:color="auto" w:sz="4" w:space="0"/>
              <w:left w:val="single" w:color="auto" w:sz="4" w:space="0"/>
              <w:bottom w:val="single" w:color="auto" w:sz="4" w:space="0"/>
              <w:right w:val="single" w:color="auto" w:sz="4" w:space="0"/>
            </w:tcBorders>
            <w:vAlign w:val="center"/>
          </w:tcPr>
          <w:p w14:paraId="2F771B08">
            <w:pPr>
              <w:jc w:val="right"/>
              <w:rPr>
                <w:rFonts w:ascii="Calibri" w:hAnsi="Calibri"/>
                <w:sz w:val="20"/>
                <w:szCs w:val="20"/>
              </w:rPr>
            </w:pPr>
          </w:p>
        </w:tc>
      </w:tr>
      <w:tr w14:paraId="3AFC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Borders>
              <w:top w:val="single" w:color="auto" w:sz="4" w:space="0"/>
              <w:left w:val="single" w:color="auto" w:sz="4" w:space="0"/>
              <w:bottom w:val="single" w:color="auto" w:sz="4" w:space="0"/>
              <w:right w:val="single" w:color="auto" w:sz="4" w:space="0"/>
            </w:tcBorders>
            <w:vAlign w:val="center"/>
          </w:tcPr>
          <w:p w14:paraId="2773107A">
            <w:pPr>
              <w:pStyle w:val="48"/>
              <w:rPr>
                <w:sz w:val="20"/>
                <w:szCs w:val="20"/>
              </w:rPr>
            </w:pPr>
            <w:r>
              <w:rPr>
                <w:sz w:val="20"/>
                <w:szCs w:val="20"/>
              </w:rPr>
              <w:t>　　　</w:t>
            </w:r>
            <w:sdt>
              <w:sdtPr>
                <w:alias w:val="以外币核算的币种明细-币种名称"/>
                <w:tag w:val="_GBC_b9ad493c07994625bf872e807197c998"/>
                <w:id w:val="-32227735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 w:val="20"/>
                    <w:szCs w:val="20"/>
                  </w:rPr>
                  <w:t>欧元</w:t>
                </w:r>
              </w:sdtContent>
            </w:sdt>
          </w:p>
        </w:tc>
        <w:tc>
          <w:tcPr>
            <w:tcW w:w="2048" w:type="dxa"/>
            <w:tcBorders>
              <w:top w:val="single" w:color="auto" w:sz="4" w:space="0"/>
              <w:left w:val="single" w:color="auto" w:sz="4" w:space="0"/>
              <w:bottom w:val="single" w:color="auto" w:sz="4" w:space="0"/>
              <w:right w:val="single" w:color="auto" w:sz="4" w:space="0"/>
            </w:tcBorders>
            <w:vAlign w:val="center"/>
          </w:tcPr>
          <w:p w14:paraId="60B42C52">
            <w:pPr>
              <w:jc w:val="right"/>
              <w:rPr>
                <w:rFonts w:ascii="Calibri" w:hAnsi="Calibri"/>
                <w:sz w:val="20"/>
                <w:szCs w:val="20"/>
              </w:rPr>
            </w:pPr>
            <w:r>
              <w:rPr>
                <w:rFonts w:ascii="Calibri" w:hAnsi="Calibri"/>
                <w:sz w:val="20"/>
                <w:szCs w:val="20"/>
              </w:rPr>
              <w:t>260,602.86</w:t>
            </w:r>
          </w:p>
        </w:tc>
        <w:tc>
          <w:tcPr>
            <w:tcW w:w="2057" w:type="dxa"/>
            <w:tcBorders>
              <w:top w:val="single" w:color="auto" w:sz="4" w:space="0"/>
              <w:left w:val="single" w:color="auto" w:sz="4" w:space="0"/>
              <w:bottom w:val="single" w:color="auto" w:sz="4" w:space="0"/>
              <w:right w:val="single" w:color="auto" w:sz="4" w:space="0"/>
            </w:tcBorders>
            <w:vAlign w:val="center"/>
          </w:tcPr>
          <w:p w14:paraId="12667A77">
            <w:pPr>
              <w:jc w:val="right"/>
              <w:rPr>
                <w:rFonts w:ascii="Calibri" w:hAnsi="Calibri"/>
                <w:sz w:val="20"/>
                <w:szCs w:val="20"/>
              </w:rPr>
            </w:pPr>
            <w:r>
              <w:rPr>
                <w:rFonts w:ascii="Calibri" w:hAnsi="Calibri"/>
                <w:sz w:val="20"/>
                <w:szCs w:val="20"/>
              </w:rPr>
              <w:t>8.2355</w:t>
            </w:r>
          </w:p>
        </w:tc>
        <w:tc>
          <w:tcPr>
            <w:tcW w:w="2045" w:type="dxa"/>
            <w:tcBorders>
              <w:top w:val="single" w:color="auto" w:sz="4" w:space="0"/>
              <w:left w:val="single" w:color="auto" w:sz="4" w:space="0"/>
              <w:bottom w:val="single" w:color="auto" w:sz="4" w:space="0"/>
              <w:right w:val="single" w:color="auto" w:sz="4" w:space="0"/>
            </w:tcBorders>
            <w:vAlign w:val="center"/>
          </w:tcPr>
          <w:p w14:paraId="4664A1D1">
            <w:pPr>
              <w:jc w:val="right"/>
              <w:rPr>
                <w:rFonts w:ascii="Calibri" w:hAnsi="Calibri"/>
                <w:sz w:val="20"/>
                <w:szCs w:val="20"/>
              </w:rPr>
            </w:pPr>
            <w:r>
              <w:rPr>
                <w:rFonts w:ascii="Calibri" w:hAnsi="Calibri"/>
                <w:sz w:val="20"/>
                <w:szCs w:val="20"/>
              </w:rPr>
              <w:t>2,146,194.85</w:t>
            </w:r>
          </w:p>
        </w:tc>
      </w:tr>
      <w:tr w14:paraId="2E65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Borders>
              <w:top w:val="single" w:color="auto" w:sz="4" w:space="0"/>
              <w:left w:val="single" w:color="auto" w:sz="4" w:space="0"/>
              <w:bottom w:val="single" w:color="auto" w:sz="4" w:space="0"/>
              <w:right w:val="single" w:color="auto" w:sz="4" w:space="0"/>
            </w:tcBorders>
            <w:vAlign w:val="center"/>
          </w:tcPr>
          <w:p w14:paraId="51F7F1D0">
            <w:pPr>
              <w:pStyle w:val="48"/>
              <w:rPr>
                <w:sz w:val="20"/>
                <w:szCs w:val="20"/>
              </w:rPr>
            </w:pPr>
            <w:r>
              <w:rPr>
                <w:sz w:val="20"/>
                <w:szCs w:val="20"/>
              </w:rPr>
              <w:t>　　　</w:t>
            </w:r>
            <w:sdt>
              <w:sdtPr>
                <w:alias w:val="以外币核算的币种明细-币种名称"/>
                <w:tag w:val="_GBC_b9ad493c07994625bf872e807197c998"/>
                <w:id w:val="119349839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 w:val="20"/>
                    <w:szCs w:val="20"/>
                  </w:rPr>
                  <w:t>瑞士法郎</w:t>
                </w:r>
              </w:sdtContent>
            </w:sdt>
          </w:p>
        </w:tc>
        <w:tc>
          <w:tcPr>
            <w:tcW w:w="2048" w:type="dxa"/>
            <w:tcBorders>
              <w:top w:val="single" w:color="auto" w:sz="4" w:space="0"/>
              <w:left w:val="single" w:color="auto" w:sz="4" w:space="0"/>
              <w:bottom w:val="single" w:color="auto" w:sz="4" w:space="0"/>
              <w:right w:val="single" w:color="auto" w:sz="4" w:space="0"/>
            </w:tcBorders>
            <w:vAlign w:val="center"/>
          </w:tcPr>
          <w:p w14:paraId="76857F09">
            <w:pPr>
              <w:jc w:val="right"/>
              <w:rPr>
                <w:rFonts w:ascii="Calibri" w:hAnsi="Calibri"/>
                <w:sz w:val="20"/>
                <w:szCs w:val="20"/>
              </w:rPr>
            </w:pPr>
            <w:r>
              <w:rPr>
                <w:rFonts w:ascii="Calibri" w:hAnsi="Calibri"/>
                <w:sz w:val="20"/>
                <w:szCs w:val="20"/>
              </w:rPr>
              <w:t>648,180.00</w:t>
            </w:r>
          </w:p>
        </w:tc>
        <w:tc>
          <w:tcPr>
            <w:tcW w:w="2057" w:type="dxa"/>
            <w:tcBorders>
              <w:top w:val="single" w:color="auto" w:sz="4" w:space="0"/>
              <w:left w:val="single" w:color="auto" w:sz="4" w:space="0"/>
              <w:bottom w:val="single" w:color="auto" w:sz="4" w:space="0"/>
              <w:right w:val="single" w:color="auto" w:sz="4" w:space="0"/>
            </w:tcBorders>
            <w:vAlign w:val="center"/>
          </w:tcPr>
          <w:p w14:paraId="59FB6EE1">
            <w:pPr>
              <w:jc w:val="right"/>
              <w:rPr>
                <w:rFonts w:ascii="Calibri" w:hAnsi="Calibri"/>
                <w:sz w:val="20"/>
                <w:szCs w:val="20"/>
              </w:rPr>
            </w:pPr>
            <w:r>
              <w:rPr>
                <w:rFonts w:ascii="Calibri" w:hAnsi="Calibri"/>
                <w:sz w:val="20"/>
                <w:szCs w:val="20"/>
              </w:rPr>
              <w:t>8.8510</w:t>
            </w:r>
          </w:p>
        </w:tc>
        <w:tc>
          <w:tcPr>
            <w:tcW w:w="2045" w:type="dxa"/>
            <w:tcBorders>
              <w:top w:val="single" w:color="auto" w:sz="4" w:space="0"/>
              <w:left w:val="single" w:color="auto" w:sz="4" w:space="0"/>
              <w:bottom w:val="single" w:color="auto" w:sz="4" w:space="0"/>
              <w:right w:val="single" w:color="auto" w:sz="4" w:space="0"/>
            </w:tcBorders>
            <w:vAlign w:val="center"/>
          </w:tcPr>
          <w:p w14:paraId="14BC114C">
            <w:pPr>
              <w:jc w:val="right"/>
              <w:rPr>
                <w:rFonts w:ascii="Calibri" w:hAnsi="Calibri"/>
                <w:sz w:val="20"/>
                <w:szCs w:val="20"/>
              </w:rPr>
            </w:pPr>
            <w:r>
              <w:rPr>
                <w:rFonts w:ascii="Calibri" w:hAnsi="Calibri"/>
                <w:sz w:val="20"/>
                <w:szCs w:val="20"/>
              </w:rPr>
              <w:t>5,737,041.18</w:t>
            </w:r>
          </w:p>
        </w:tc>
      </w:tr>
      <w:tr w14:paraId="2A2E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Borders>
              <w:top w:val="single" w:color="auto" w:sz="4" w:space="0"/>
              <w:left w:val="single" w:color="auto" w:sz="4" w:space="0"/>
              <w:bottom w:val="single" w:color="auto" w:sz="4" w:space="0"/>
              <w:right w:val="single" w:color="auto" w:sz="4" w:space="0"/>
            </w:tcBorders>
            <w:vAlign w:val="center"/>
          </w:tcPr>
          <w:p w14:paraId="5A5AF88F">
            <w:pPr>
              <w:pStyle w:val="48"/>
              <w:rPr>
                <w:sz w:val="20"/>
                <w:szCs w:val="20"/>
              </w:rPr>
            </w:pPr>
            <w:r>
              <w:rPr>
                <w:rFonts w:hint="eastAsia"/>
                <w:sz w:val="20"/>
                <w:szCs w:val="20"/>
              </w:rPr>
              <w:t>其他应付款</w:t>
            </w:r>
          </w:p>
        </w:tc>
        <w:tc>
          <w:tcPr>
            <w:tcW w:w="2048" w:type="dxa"/>
            <w:tcBorders>
              <w:top w:val="single" w:color="auto" w:sz="4" w:space="0"/>
              <w:left w:val="single" w:color="auto" w:sz="4" w:space="0"/>
              <w:bottom w:val="single" w:color="auto" w:sz="4" w:space="0"/>
              <w:right w:val="single" w:color="auto" w:sz="4" w:space="0"/>
            </w:tcBorders>
            <w:vAlign w:val="center"/>
          </w:tcPr>
          <w:p w14:paraId="0C7C9F63">
            <w:pPr>
              <w:jc w:val="right"/>
              <w:rPr>
                <w:rFonts w:ascii="Calibri" w:hAnsi="Calibri"/>
                <w:sz w:val="20"/>
                <w:szCs w:val="20"/>
              </w:rPr>
            </w:pPr>
          </w:p>
        </w:tc>
        <w:tc>
          <w:tcPr>
            <w:tcW w:w="2057" w:type="dxa"/>
            <w:tcBorders>
              <w:top w:val="single" w:color="auto" w:sz="4" w:space="0"/>
              <w:left w:val="single" w:color="auto" w:sz="4" w:space="0"/>
              <w:bottom w:val="single" w:color="auto" w:sz="4" w:space="0"/>
              <w:right w:val="single" w:color="auto" w:sz="4" w:space="0"/>
            </w:tcBorders>
            <w:vAlign w:val="center"/>
          </w:tcPr>
          <w:p w14:paraId="4FBF0A41">
            <w:pPr>
              <w:jc w:val="right"/>
              <w:rPr>
                <w:rFonts w:ascii="Calibri" w:hAnsi="Calibri"/>
                <w:sz w:val="20"/>
                <w:szCs w:val="20"/>
              </w:rPr>
            </w:pPr>
          </w:p>
        </w:tc>
        <w:tc>
          <w:tcPr>
            <w:tcW w:w="2045" w:type="dxa"/>
            <w:tcBorders>
              <w:top w:val="single" w:color="auto" w:sz="4" w:space="0"/>
              <w:left w:val="single" w:color="auto" w:sz="4" w:space="0"/>
              <w:bottom w:val="single" w:color="auto" w:sz="4" w:space="0"/>
              <w:right w:val="single" w:color="auto" w:sz="4" w:space="0"/>
            </w:tcBorders>
            <w:vAlign w:val="center"/>
          </w:tcPr>
          <w:p w14:paraId="097297C9">
            <w:pPr>
              <w:jc w:val="right"/>
              <w:rPr>
                <w:rFonts w:ascii="Calibri" w:hAnsi="Calibri"/>
                <w:sz w:val="20"/>
                <w:szCs w:val="20"/>
              </w:rPr>
            </w:pPr>
            <w:r>
              <w:rPr>
                <w:rFonts w:ascii="Calibri" w:hAnsi="Calibri"/>
                <w:sz w:val="20"/>
                <w:szCs w:val="20"/>
              </w:rPr>
              <w:t>1,289,222.50</w:t>
            </w:r>
          </w:p>
        </w:tc>
      </w:tr>
      <w:tr w14:paraId="64E5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7" w:type="dxa"/>
            <w:tcBorders>
              <w:top w:val="single" w:color="auto" w:sz="4" w:space="0"/>
              <w:left w:val="single" w:color="auto" w:sz="4" w:space="0"/>
              <w:bottom w:val="single" w:color="auto" w:sz="4" w:space="0"/>
              <w:right w:val="single" w:color="auto" w:sz="4" w:space="0"/>
            </w:tcBorders>
            <w:vAlign w:val="center"/>
          </w:tcPr>
          <w:p w14:paraId="25A72999">
            <w:pPr>
              <w:pStyle w:val="48"/>
              <w:rPr>
                <w:sz w:val="20"/>
                <w:szCs w:val="20"/>
              </w:rPr>
            </w:pPr>
            <w:r>
              <w:rPr>
                <w:rFonts w:hint="eastAsia"/>
                <w:sz w:val="20"/>
                <w:szCs w:val="20"/>
              </w:rPr>
              <w:t>其中：美元</w:t>
            </w:r>
          </w:p>
        </w:tc>
        <w:tc>
          <w:tcPr>
            <w:tcW w:w="2048" w:type="dxa"/>
            <w:tcBorders>
              <w:top w:val="single" w:color="auto" w:sz="4" w:space="0"/>
              <w:left w:val="single" w:color="auto" w:sz="4" w:space="0"/>
              <w:bottom w:val="single" w:color="auto" w:sz="4" w:space="0"/>
              <w:right w:val="single" w:color="auto" w:sz="4" w:space="0"/>
            </w:tcBorders>
            <w:vAlign w:val="center"/>
          </w:tcPr>
          <w:p w14:paraId="14CA7C41">
            <w:pPr>
              <w:jc w:val="right"/>
              <w:rPr>
                <w:rFonts w:ascii="Calibri" w:hAnsi="Calibri"/>
                <w:sz w:val="20"/>
                <w:szCs w:val="20"/>
              </w:rPr>
            </w:pPr>
            <w:r>
              <w:rPr>
                <w:rFonts w:ascii="Calibri" w:hAnsi="Calibri"/>
                <w:sz w:val="20"/>
                <w:szCs w:val="20"/>
              </w:rPr>
              <w:t>183,420.00</w:t>
            </w:r>
          </w:p>
        </w:tc>
        <w:tc>
          <w:tcPr>
            <w:tcW w:w="2057" w:type="dxa"/>
            <w:tcBorders>
              <w:top w:val="single" w:color="auto" w:sz="4" w:space="0"/>
              <w:left w:val="single" w:color="auto" w:sz="4" w:space="0"/>
              <w:bottom w:val="single" w:color="auto" w:sz="4" w:space="0"/>
              <w:right w:val="single" w:color="auto" w:sz="4" w:space="0"/>
            </w:tcBorders>
            <w:vAlign w:val="center"/>
          </w:tcPr>
          <w:p w14:paraId="15F825FC">
            <w:pPr>
              <w:jc w:val="right"/>
              <w:rPr>
                <w:rFonts w:ascii="Calibri" w:hAnsi="Calibri"/>
                <w:sz w:val="20"/>
                <w:szCs w:val="20"/>
              </w:rPr>
            </w:pPr>
            <w:r>
              <w:rPr>
                <w:rFonts w:ascii="Calibri" w:hAnsi="Calibri"/>
                <w:sz w:val="20"/>
                <w:szCs w:val="20"/>
              </w:rPr>
              <w:t>7.0288</w:t>
            </w:r>
          </w:p>
        </w:tc>
        <w:tc>
          <w:tcPr>
            <w:tcW w:w="2045" w:type="dxa"/>
            <w:tcBorders>
              <w:top w:val="single" w:color="auto" w:sz="4" w:space="0"/>
              <w:left w:val="single" w:color="auto" w:sz="4" w:space="0"/>
              <w:bottom w:val="single" w:color="auto" w:sz="4" w:space="0"/>
              <w:right w:val="single" w:color="auto" w:sz="4" w:space="0"/>
            </w:tcBorders>
            <w:vAlign w:val="center"/>
          </w:tcPr>
          <w:p w14:paraId="5B7ECFD9">
            <w:pPr>
              <w:jc w:val="right"/>
              <w:rPr>
                <w:rFonts w:ascii="Calibri" w:hAnsi="Calibri"/>
                <w:sz w:val="20"/>
                <w:szCs w:val="20"/>
              </w:rPr>
            </w:pPr>
            <w:r>
              <w:rPr>
                <w:rFonts w:ascii="Calibri" w:hAnsi="Calibri"/>
                <w:sz w:val="20"/>
                <w:szCs w:val="20"/>
              </w:rPr>
              <w:t>1,289,222.50</w:t>
            </w:r>
          </w:p>
        </w:tc>
      </w:tr>
    </w:tbl>
    <w:p w14:paraId="76DBA071">
      <w:pPr>
        <w:pStyle w:val="48"/>
      </w:pPr>
    </w:p>
    <w:p w14:paraId="3227FE90">
      <w:pPr>
        <w:pStyle w:val="48"/>
      </w:pPr>
    </w:p>
    <w:p w14:paraId="4D8E3A25">
      <w:pPr>
        <w:pStyle w:val="5"/>
        <w:numPr>
          <w:ilvl w:val="0"/>
          <w:numId w:val="102"/>
        </w:numPr>
        <w:ind w:left="426" w:hanging="426"/>
        <w:rPr>
          <w:rFonts w:ascii="宋体" w:hAnsi="宋体"/>
          <w:b w:val="0"/>
          <w:szCs w:val="21"/>
        </w:rPr>
      </w:pPr>
      <w:r>
        <w:rPr>
          <w:rStyle w:val="26"/>
          <w:rFonts w:hint="eastAsia" w:ascii="宋体" w:hAnsi="宋体"/>
          <w:b/>
          <w:bCs w:val="0"/>
          <w:szCs w:val="21"/>
        </w:rPr>
        <w:t>境外经营实体说明，包括对于重要的境外经营实体，应披露其境外主要经营地、记账本位币及选择依据，记账本位币发生变化的还应披露原因</w:t>
      </w:r>
    </w:p>
    <w:p w14:paraId="2F1D1C4E">
      <w:pPr>
        <w:pStyle w:val="48"/>
      </w:pPr>
      <w:sdt>
        <w:sdtPr>
          <w:alias w:val="是否适用：境外经营实体主要报表项目的折算汇率[双击切换]"/>
          <w:tag w:val="_GBC_c433d39e245c4fb79cd5170717bb5b9c"/>
          <w:id w:val="-893198557"/>
          <w:placeholder>
            <w:docPart w:val="GBC22222222222222222222222222222"/>
          </w:placeholder>
        </w:sdt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66ED5291">
      <w:pPr>
        <w:pStyle w:val="48"/>
      </w:pPr>
    </w:p>
    <w:p w14:paraId="39CA3024">
      <w:pPr>
        <w:pStyle w:val="4"/>
        <w:numPr>
          <w:ilvl w:val="0"/>
          <w:numId w:val="61"/>
        </w:numPr>
        <w:rPr>
          <w:szCs w:val="21"/>
        </w:rPr>
      </w:pPr>
      <w:r>
        <w:rPr>
          <w:szCs w:val="21"/>
        </w:rPr>
        <w:t>租赁</w:t>
      </w:r>
    </w:p>
    <w:p w14:paraId="30B34F43">
      <w:pPr>
        <w:pStyle w:val="5"/>
        <w:numPr>
          <w:ilvl w:val="0"/>
          <w:numId w:val="103"/>
        </w:numPr>
        <w:ind w:left="0" w:firstLine="0"/>
      </w:pPr>
      <w:r>
        <w:t>作为承租人</w:t>
      </w:r>
    </w:p>
    <w:sdt>
      <w:sdtPr>
        <w:alias w:val="是否适用：作为承租人[双击切换]"/>
        <w:tag w:val="_GBC_fe311ebf6010457c8817199183148161"/>
        <w:id w:val="-877235368"/>
        <w:lock w:val="contentLocked"/>
        <w:placeholder>
          <w:docPart w:val="GBC22222222222222222222222222222"/>
        </w:placeholder>
      </w:sdtPr>
      <w:sdtContent>
        <w:p w14:paraId="3FA51F2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6D44840">
      <w:pPr>
        <w:pStyle w:val="48"/>
      </w:pPr>
    </w:p>
    <w:p w14:paraId="223DA338">
      <w:pPr>
        <w:pStyle w:val="48"/>
      </w:pPr>
      <w:r>
        <w:rPr>
          <w:rFonts w:hint="eastAsia"/>
        </w:rPr>
        <w:t>未纳入租赁负债计量的可变租赁付款额</w:t>
      </w:r>
    </w:p>
    <w:sdt>
      <w:sdtPr>
        <w:alias w:val="是否适用：未纳入租赁负债计量的可变租赁付款额[双击切换]"/>
        <w:tag w:val="_GBC_80d6a089e2ee407391cb1582a957568e"/>
        <w:id w:val="1472637748"/>
        <w:placeholder>
          <w:docPart w:val="GBC22222222222222222222222222222"/>
        </w:placeholder>
      </w:sdtPr>
      <w:sdtContent>
        <w:p w14:paraId="482E9DF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CA6F14F">
      <w:pPr>
        <w:pStyle w:val="48"/>
      </w:pPr>
    </w:p>
    <w:p w14:paraId="5966F0E6">
      <w:pPr>
        <w:pStyle w:val="48"/>
      </w:pPr>
      <w:r>
        <w:rPr>
          <w:rFonts w:hint="eastAsia"/>
        </w:rPr>
        <w:t>简化处理的短期租赁或低价值资产的租赁费用</w:t>
      </w:r>
    </w:p>
    <w:sdt>
      <w:sdtPr>
        <w:alias w:val="是否适用：简化处理的短期租赁或低价值资产的租赁费用[双击切换]"/>
        <w:tag w:val="_GBC_9750a0f7bb7b4d4eb353b64f9aef7ed1"/>
        <w:id w:val="1557822836"/>
        <w:placeholder>
          <w:docPart w:val="GBC22222222222222222222222222222"/>
        </w:placeholder>
      </w:sdtPr>
      <w:sdtContent>
        <w:p w14:paraId="3B9C279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简化处理的短期租赁或低价值资产的租赁费用"/>
        <w:tag w:val="_GBC_3b8234b2706245babde4cf12e0a046e4"/>
        <w:id w:val="714091254"/>
        <w:placeholder>
          <w:docPart w:val="GBC22222222222222222222222222222"/>
        </w:placeholder>
      </w:sdtPr>
      <w:sdtContent>
        <w:p w14:paraId="53641E35">
          <w:pPr>
            <w:pStyle w:val="48"/>
            <w:jc w:val="right"/>
          </w:pPr>
          <w:r>
            <w:rPr>
              <w:rFonts w:hint="eastAsia"/>
            </w:rPr>
            <w:t>单位：元  币种：人民币</w:t>
          </w:r>
        </w:p>
        <w:tbl>
          <w:tblPr>
            <w:tblStyle w:val="19"/>
            <w:tblW w:w="8755"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04"/>
            <w:gridCol w:w="1951"/>
          </w:tblGrid>
          <w:tr w14:paraId="1C7202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04" w:type="dxa"/>
                <w:tcBorders>
                  <w:top w:val="single" w:color="auto" w:sz="12" w:space="0"/>
                  <w:left w:val="nil"/>
                  <w:bottom w:val="single" w:color="auto" w:sz="6" w:space="0"/>
                  <w:right w:val="single" w:color="auto" w:sz="6" w:space="0"/>
                </w:tcBorders>
              </w:tcPr>
              <w:p w14:paraId="405365FB">
                <w:pPr>
                  <w:jc w:val="center"/>
                  <w:rPr>
                    <w:rFonts w:ascii="宋体" w:hAnsi="宋体"/>
                    <w:sz w:val="18"/>
                    <w:szCs w:val="18"/>
                  </w:rPr>
                </w:pPr>
                <w:r>
                  <w:rPr>
                    <w:rFonts w:hint="eastAsia" w:ascii="宋体" w:hAnsi="宋体"/>
                    <w:sz w:val="18"/>
                    <w:szCs w:val="18"/>
                  </w:rPr>
                  <w:t>项目</w:t>
                </w:r>
              </w:p>
            </w:tc>
            <w:tc>
              <w:tcPr>
                <w:tcW w:w="1951" w:type="dxa"/>
                <w:tcBorders>
                  <w:top w:val="single" w:color="auto" w:sz="12" w:space="0"/>
                  <w:left w:val="single" w:color="auto" w:sz="6" w:space="0"/>
                  <w:bottom w:val="single" w:color="auto" w:sz="6" w:space="0"/>
                  <w:right w:val="nil"/>
                </w:tcBorders>
              </w:tcPr>
              <w:p w14:paraId="71F3AD26">
                <w:pPr>
                  <w:jc w:val="center"/>
                  <w:rPr>
                    <w:rFonts w:ascii="宋体" w:hAnsi="宋体"/>
                    <w:sz w:val="18"/>
                    <w:szCs w:val="18"/>
                  </w:rPr>
                </w:pPr>
                <w:r>
                  <w:rPr>
                    <w:rFonts w:hint="eastAsia" w:ascii="宋体" w:hAnsi="宋体"/>
                    <w:sz w:val="18"/>
                    <w:szCs w:val="18"/>
                  </w:rPr>
                  <w:t>金额</w:t>
                </w:r>
              </w:p>
            </w:tc>
          </w:tr>
          <w:tr w14:paraId="3C9416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04" w:type="dxa"/>
                <w:tcBorders>
                  <w:top w:val="single" w:color="auto" w:sz="6" w:space="0"/>
                  <w:left w:val="nil"/>
                  <w:bottom w:val="single" w:color="auto" w:sz="6" w:space="0"/>
                  <w:right w:val="single" w:color="auto" w:sz="6" w:space="0"/>
                </w:tcBorders>
                <w:vAlign w:val="center"/>
              </w:tcPr>
              <w:p w14:paraId="64CA8520">
                <w:pPr>
                  <w:jc w:val="both"/>
                  <w:rPr>
                    <w:rFonts w:ascii="宋体" w:hAnsi="宋体"/>
                    <w:sz w:val="18"/>
                    <w:szCs w:val="18"/>
                  </w:rPr>
                </w:pPr>
                <w:r>
                  <w:rPr>
                    <w:rFonts w:hint="eastAsia" w:ascii="宋体" w:hAnsi="宋体"/>
                    <w:sz w:val="18"/>
                    <w:szCs w:val="18"/>
                  </w:rPr>
                  <w:t>计入相关资产成本或当期损益的简化处理的短期租赁费用</w:t>
                </w:r>
              </w:p>
            </w:tc>
            <w:tc>
              <w:tcPr>
                <w:tcW w:w="1951" w:type="dxa"/>
                <w:tcBorders>
                  <w:top w:val="single" w:color="auto" w:sz="6" w:space="0"/>
                  <w:left w:val="single" w:color="auto" w:sz="6" w:space="0"/>
                  <w:bottom w:val="single" w:color="auto" w:sz="6" w:space="0"/>
                  <w:right w:val="nil"/>
                </w:tcBorders>
                <w:vAlign w:val="center"/>
              </w:tcPr>
              <w:p w14:paraId="68E7EC2F">
                <w:pPr>
                  <w:widowControl w:val="0"/>
                  <w:snapToGrid w:val="0"/>
                  <w:ind w:right="105"/>
                  <w:jc w:val="right"/>
                  <w:rPr>
                    <w:rFonts w:asciiTheme="minorHAnsi" w:hAnsiTheme="minorHAnsi" w:cstheme="minorHAnsi"/>
                    <w:bCs/>
                    <w:sz w:val="18"/>
                    <w:szCs w:val="18"/>
                  </w:rPr>
                </w:pPr>
                <w:r>
                  <w:rPr>
                    <w:rFonts w:asciiTheme="minorHAnsi" w:hAnsiTheme="minorHAnsi" w:cstheme="minorHAnsi"/>
                    <w:bCs/>
                    <w:sz w:val="18"/>
                    <w:szCs w:val="18"/>
                  </w:rPr>
                  <w:t>1,062,356.49</w:t>
                </w:r>
              </w:p>
            </w:tc>
          </w:tr>
          <w:tr w14:paraId="3A8F01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04" w:type="dxa"/>
                <w:tcBorders>
                  <w:top w:val="single" w:color="auto" w:sz="6" w:space="0"/>
                  <w:left w:val="nil"/>
                  <w:bottom w:val="single" w:color="auto" w:sz="6" w:space="0"/>
                  <w:right w:val="single" w:color="auto" w:sz="6" w:space="0"/>
                </w:tcBorders>
                <w:vAlign w:val="center"/>
              </w:tcPr>
              <w:p w14:paraId="6C0D345F">
                <w:pPr>
                  <w:jc w:val="both"/>
                  <w:rPr>
                    <w:rFonts w:ascii="宋体" w:hAnsi="宋体"/>
                    <w:sz w:val="18"/>
                    <w:szCs w:val="18"/>
                  </w:rPr>
                </w:pPr>
                <w:r>
                  <w:rPr>
                    <w:rFonts w:hint="eastAsia" w:ascii="宋体" w:hAnsi="宋体"/>
                    <w:sz w:val="18"/>
                    <w:szCs w:val="18"/>
                  </w:rPr>
                  <w:t>租赁负债的利息费用</w:t>
                </w:r>
              </w:p>
            </w:tc>
            <w:tc>
              <w:tcPr>
                <w:tcW w:w="1951" w:type="dxa"/>
                <w:tcBorders>
                  <w:top w:val="single" w:color="auto" w:sz="6" w:space="0"/>
                  <w:left w:val="single" w:color="auto" w:sz="6" w:space="0"/>
                  <w:bottom w:val="single" w:color="auto" w:sz="6" w:space="0"/>
                  <w:right w:val="nil"/>
                </w:tcBorders>
                <w:vAlign w:val="center"/>
              </w:tcPr>
              <w:p w14:paraId="7B4A9536">
                <w:pPr>
                  <w:widowControl w:val="0"/>
                  <w:snapToGrid w:val="0"/>
                  <w:ind w:right="105"/>
                  <w:jc w:val="right"/>
                  <w:rPr>
                    <w:rFonts w:asciiTheme="minorHAnsi" w:hAnsiTheme="minorHAnsi" w:cstheme="minorHAnsi"/>
                    <w:bCs/>
                    <w:sz w:val="18"/>
                    <w:szCs w:val="18"/>
                  </w:rPr>
                </w:pPr>
                <w:r>
                  <w:rPr>
                    <w:rFonts w:asciiTheme="minorHAnsi" w:hAnsiTheme="minorHAnsi" w:cstheme="minorHAnsi"/>
                    <w:bCs/>
                    <w:sz w:val="18"/>
                    <w:szCs w:val="18"/>
                  </w:rPr>
                  <w:t>1,036,759.16</w:t>
                </w:r>
              </w:p>
            </w:tc>
          </w:tr>
          <w:tr w14:paraId="6C59FF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804" w:type="dxa"/>
                <w:tcBorders>
                  <w:top w:val="single" w:color="auto" w:sz="6" w:space="0"/>
                  <w:left w:val="nil"/>
                  <w:bottom w:val="single" w:color="auto" w:sz="12" w:space="0"/>
                  <w:right w:val="single" w:color="auto" w:sz="6" w:space="0"/>
                </w:tcBorders>
                <w:vAlign w:val="center"/>
              </w:tcPr>
              <w:p w14:paraId="7FB6F5C4">
                <w:pPr>
                  <w:jc w:val="both"/>
                  <w:rPr>
                    <w:rFonts w:ascii="宋体" w:hAnsi="宋体"/>
                    <w:sz w:val="18"/>
                    <w:szCs w:val="18"/>
                  </w:rPr>
                </w:pPr>
                <w:r>
                  <w:rPr>
                    <w:rFonts w:hint="eastAsia" w:ascii="宋体" w:hAnsi="宋体"/>
                    <w:sz w:val="18"/>
                    <w:szCs w:val="18"/>
                  </w:rPr>
                  <w:t>与租赁相关的总现金流出</w:t>
                </w:r>
              </w:p>
            </w:tc>
            <w:tc>
              <w:tcPr>
                <w:tcW w:w="1951" w:type="dxa"/>
                <w:tcBorders>
                  <w:top w:val="single" w:color="auto" w:sz="6" w:space="0"/>
                  <w:left w:val="single" w:color="auto" w:sz="6" w:space="0"/>
                  <w:bottom w:val="single" w:color="auto" w:sz="12" w:space="0"/>
                  <w:right w:val="nil"/>
                </w:tcBorders>
                <w:vAlign w:val="center"/>
              </w:tcPr>
              <w:p w14:paraId="616BEB0A">
                <w:pPr>
                  <w:widowControl w:val="0"/>
                  <w:snapToGrid w:val="0"/>
                  <w:ind w:right="105"/>
                  <w:jc w:val="right"/>
                  <w:rPr>
                    <w:rFonts w:asciiTheme="minorHAnsi" w:hAnsiTheme="minorHAnsi" w:cstheme="minorHAnsi"/>
                    <w:bCs/>
                    <w:sz w:val="18"/>
                    <w:szCs w:val="18"/>
                  </w:rPr>
                </w:pPr>
                <w:r>
                  <w:rPr>
                    <w:rFonts w:asciiTheme="minorHAnsi" w:hAnsiTheme="minorHAnsi" w:cstheme="minorHAnsi"/>
                    <w:bCs/>
                    <w:sz w:val="18"/>
                    <w:szCs w:val="18"/>
                  </w:rPr>
                  <w:t>8,269,302.50</w:t>
                </w:r>
              </w:p>
            </w:tc>
          </w:tr>
        </w:tbl>
        <w:p w14:paraId="7D24E6DC">
          <w:pPr>
            <w:pStyle w:val="48"/>
          </w:pPr>
        </w:p>
      </w:sdtContent>
    </w:sdt>
    <w:p w14:paraId="2EDF2C74">
      <w:pPr>
        <w:pStyle w:val="48"/>
      </w:pPr>
    </w:p>
    <w:p w14:paraId="004BE45A">
      <w:pPr>
        <w:pStyle w:val="48"/>
      </w:pPr>
      <w:r>
        <w:rPr>
          <w:rFonts w:hint="eastAsia"/>
        </w:rPr>
        <w:t>售后租回交易及判断依据</w:t>
      </w:r>
    </w:p>
    <w:sdt>
      <w:sdtPr>
        <w:alias w:val="是否适用：售后租回交易及判断依据[双击切换]"/>
        <w:tag w:val="_GBC_a5dfb8e554434d8eb3f4c59e01e27ea4"/>
        <w:id w:val="2092198053"/>
        <w:placeholder>
          <w:docPart w:val="GBC22222222222222222222222222222"/>
        </w:placeholder>
      </w:sdtPr>
      <w:sdtContent>
        <w:p w14:paraId="6D30746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C75CA6F">
      <w:pPr>
        <w:pStyle w:val="48"/>
      </w:pPr>
    </w:p>
    <w:p w14:paraId="2B9FA546">
      <w:pPr>
        <w:pStyle w:val="48"/>
      </w:pPr>
      <w:r>
        <w:rPr>
          <w:rFonts w:hint="eastAsia"/>
        </w:rPr>
        <w:t>与租赁相关的现金流出总额</w:t>
      </w:r>
      <w:sdt>
        <w:sdtPr>
          <w:rPr>
            <w:rFonts w:hint="eastAsia"/>
          </w:rPr>
          <w:alias w:val="与租赁相关的现金流出总额"/>
          <w:tag w:val="_GBC_c17023cf7ca74e9a8636a8f592034a57"/>
          <w:id w:val="24840776"/>
          <w:placeholder>
            <w:docPart w:val="GBC22222222222222222222222222222"/>
          </w:placeholder>
        </w:sdtPr>
        <w:sdtEndPr>
          <w:rPr>
            <w:rFonts w:hint="eastAsia"/>
          </w:rPr>
        </w:sdtEndPr>
        <w:sdtContent>
          <w:r>
            <w:rPr>
              <w:bCs/>
            </w:rPr>
            <w:t>8,269,302.50</w:t>
          </w:r>
        </w:sdtContent>
      </w:sdt>
      <w:r>
        <w:rPr>
          <w:rFonts w:hint="eastAsia"/>
        </w:rPr>
        <w:t>(单位：</w:t>
      </w:r>
      <w:sdt>
        <w:sdtPr>
          <w:rPr>
            <w:rFonts w:hint="eastAsia"/>
          </w:rPr>
          <w:alias w:val="单位：与租赁相关的现金流出总额"/>
          <w:tag w:val="_GBC_958c18bfb6e24086971643691eba660d"/>
          <w:id w:val="-102578984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与租赁相关的现金流出总额"/>
          <w:tag w:val="_GBC_fca975f845d34a26bdc9764887518796"/>
          <w:id w:val="-12346917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w:t>
      </w:r>
    </w:p>
    <w:p w14:paraId="653E5F4D">
      <w:pPr>
        <w:pStyle w:val="48"/>
      </w:pPr>
    </w:p>
    <w:p w14:paraId="7283E60E">
      <w:pPr>
        <w:pStyle w:val="5"/>
        <w:numPr>
          <w:ilvl w:val="0"/>
          <w:numId w:val="103"/>
        </w:numPr>
        <w:ind w:left="0" w:firstLine="0"/>
      </w:pPr>
      <w:r>
        <w:t>作为出租人</w:t>
      </w:r>
    </w:p>
    <w:p w14:paraId="1EDBAB60">
      <w:pPr>
        <w:pStyle w:val="48"/>
      </w:pPr>
      <w:r>
        <w:t>作为出租人的经营</w:t>
      </w:r>
      <w:r>
        <w:rPr>
          <w:rFonts w:hint="eastAsia"/>
        </w:rPr>
        <w:t>租赁</w:t>
      </w:r>
    </w:p>
    <w:sdt>
      <w:sdtPr>
        <w:rPr>
          <w:rFonts w:hint="eastAsia"/>
        </w:rPr>
        <w:alias w:val="是否适用：作为出租人的经营租赁[双击切换]"/>
        <w:tag w:val="_GBC_d5cd3a4b291f4a089f0080385207b552"/>
        <w:id w:val="490601764"/>
        <w:placeholder>
          <w:docPart w:val="GBC22222222222222222222222222222"/>
        </w:placeholder>
      </w:sdtPr>
      <w:sdtEndPr>
        <w:rPr>
          <w:rFonts w:hint="eastAsia"/>
        </w:rPr>
      </w:sdtEndPr>
      <w:sdtContent>
        <w:p w14:paraId="7A2A785B">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147C66E">
      <w:pPr>
        <w:jc w:val="right"/>
      </w:pPr>
      <w:r>
        <w:rPr>
          <w:rFonts w:hint="eastAsia"/>
        </w:rPr>
        <w:t>单位：</w:t>
      </w:r>
      <w:sdt>
        <w:sdtPr>
          <w:rPr>
            <w:rFonts w:hint="eastAsia"/>
          </w:rPr>
          <w:alias w:val="单位：作为出租人的经营租赁"/>
          <w:tag w:val="_GBC_33154e0a2b6b4de1ba1d9ac25d94b964"/>
          <w:id w:val="-94407736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作为出租人的经营租赁"/>
          <w:tag w:val="_GBC_74d27fbc036640eebacb9f62324bdfd2"/>
          <w:id w:val="333185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5"/>
        <w:gridCol w:w="3016"/>
        <w:gridCol w:w="3016"/>
      </w:tblGrid>
      <w:tr w14:paraId="4B7F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0ecb26a541b4476ae397f9dc938c006"/>
            <w:id w:val="-2016211169"/>
          </w:sdtPr>
          <w:sdtContent>
            <w:tc>
              <w:tcPr>
                <w:tcW w:w="3015" w:type="dxa"/>
                <w:vAlign w:val="center"/>
              </w:tcPr>
              <w:p w14:paraId="62293BFD">
                <w:pPr>
                  <w:jc w:val="center"/>
                  <w:rPr>
                    <w:rFonts w:ascii="Calibri" w:hAnsi="Calibri"/>
                    <w:sz w:val="20"/>
                    <w:szCs w:val="20"/>
                  </w:rPr>
                </w:pPr>
                <w:r>
                  <w:rPr>
                    <w:rFonts w:hint="eastAsia" w:ascii="Calibri" w:hAnsi="Calibri"/>
                    <w:sz w:val="20"/>
                    <w:szCs w:val="20"/>
                  </w:rPr>
                  <w:t>项目</w:t>
                </w:r>
              </w:p>
            </w:tc>
          </w:sdtContent>
        </w:sdt>
        <w:sdt>
          <w:sdtPr>
            <w:tag w:val="_PLD_96216f0f4e664412a0e5e854a957fa35"/>
            <w:id w:val="1372038764"/>
          </w:sdtPr>
          <w:sdtContent>
            <w:tc>
              <w:tcPr>
                <w:tcW w:w="3016" w:type="dxa"/>
                <w:vAlign w:val="center"/>
              </w:tcPr>
              <w:p w14:paraId="1530B54F">
                <w:pPr>
                  <w:jc w:val="center"/>
                  <w:rPr>
                    <w:rFonts w:ascii="Calibri" w:hAnsi="Calibri"/>
                    <w:sz w:val="20"/>
                    <w:szCs w:val="20"/>
                  </w:rPr>
                </w:pPr>
                <w:r>
                  <w:rPr>
                    <w:rFonts w:ascii="Calibri" w:hAnsi="Calibri"/>
                    <w:sz w:val="20"/>
                    <w:szCs w:val="20"/>
                  </w:rPr>
                  <w:t>租赁收入</w:t>
                </w:r>
              </w:p>
            </w:tc>
          </w:sdtContent>
        </w:sdt>
        <w:sdt>
          <w:sdtPr>
            <w:tag w:val="_PLD_ad377951fc0c44299ea39a709c6a8089"/>
            <w:id w:val="-803544138"/>
          </w:sdtPr>
          <w:sdtContent>
            <w:tc>
              <w:tcPr>
                <w:tcW w:w="3016" w:type="dxa"/>
                <w:vAlign w:val="center"/>
              </w:tcPr>
              <w:p w14:paraId="6DB72CCA">
                <w:pPr>
                  <w:jc w:val="center"/>
                  <w:rPr>
                    <w:rFonts w:ascii="Calibri" w:hAnsi="Calibri"/>
                    <w:sz w:val="20"/>
                    <w:szCs w:val="20"/>
                  </w:rPr>
                </w:pPr>
                <w:r>
                  <w:rPr>
                    <w:rFonts w:ascii="Calibri" w:hAnsi="Calibri"/>
                    <w:sz w:val="20"/>
                    <w:szCs w:val="20"/>
                  </w:rPr>
                  <w:t>其中</w:t>
                </w:r>
                <w:r>
                  <w:rPr>
                    <w:rFonts w:hint="eastAsia" w:ascii="Calibri" w:hAnsi="Calibri"/>
                    <w:sz w:val="20"/>
                    <w:szCs w:val="20"/>
                  </w:rPr>
                  <w:t>:</w:t>
                </w:r>
                <w:r>
                  <w:rPr>
                    <w:rFonts w:ascii="Calibri" w:hAnsi="Calibri"/>
                    <w:sz w:val="20"/>
                    <w:szCs w:val="20"/>
                  </w:rPr>
                  <w:t>未计入租赁收款额的可变租赁付款额相关的收入</w:t>
                </w:r>
              </w:p>
            </w:tc>
          </w:sdtContent>
        </w:sdt>
      </w:tr>
      <w:tr w14:paraId="1164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5" w:type="dxa"/>
            <w:vAlign w:val="center"/>
          </w:tcPr>
          <w:p w14:paraId="244192BE">
            <w:pPr>
              <w:pStyle w:val="48"/>
              <w:rPr>
                <w:sz w:val="20"/>
                <w:szCs w:val="20"/>
              </w:rPr>
            </w:pPr>
            <w:r>
              <w:rPr>
                <w:rFonts w:hint="eastAsia"/>
                <w:sz w:val="20"/>
                <w:szCs w:val="20"/>
              </w:rPr>
              <w:t>房屋租赁收入</w:t>
            </w:r>
          </w:p>
        </w:tc>
        <w:tc>
          <w:tcPr>
            <w:tcW w:w="3016" w:type="dxa"/>
            <w:vAlign w:val="center"/>
          </w:tcPr>
          <w:p w14:paraId="39AB2587">
            <w:pPr>
              <w:jc w:val="right"/>
              <w:rPr>
                <w:rFonts w:ascii="Calibri" w:hAnsi="Calibri"/>
                <w:sz w:val="20"/>
                <w:szCs w:val="20"/>
              </w:rPr>
            </w:pPr>
            <w:r>
              <w:rPr>
                <w:rFonts w:ascii="Calibri" w:hAnsi="Calibri"/>
                <w:sz w:val="20"/>
                <w:szCs w:val="20"/>
              </w:rPr>
              <w:t>20,481,138.14</w:t>
            </w:r>
          </w:p>
        </w:tc>
        <w:tc>
          <w:tcPr>
            <w:tcW w:w="3016" w:type="dxa"/>
            <w:vAlign w:val="center"/>
          </w:tcPr>
          <w:p w14:paraId="0AFF194D">
            <w:pPr>
              <w:jc w:val="right"/>
              <w:rPr>
                <w:rFonts w:ascii="Calibri" w:hAnsi="Calibri"/>
                <w:sz w:val="20"/>
                <w:szCs w:val="20"/>
              </w:rPr>
            </w:pPr>
          </w:p>
        </w:tc>
      </w:tr>
      <w:tr w14:paraId="7A45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5" w:type="dxa"/>
            <w:vAlign w:val="center"/>
          </w:tcPr>
          <w:p w14:paraId="38AB6929">
            <w:pPr>
              <w:pStyle w:val="48"/>
              <w:rPr>
                <w:sz w:val="20"/>
                <w:szCs w:val="20"/>
              </w:rPr>
            </w:pPr>
            <w:r>
              <w:rPr>
                <w:rFonts w:hint="eastAsia"/>
                <w:sz w:val="20"/>
                <w:szCs w:val="20"/>
              </w:rPr>
              <w:t>设备租赁收入</w:t>
            </w:r>
          </w:p>
        </w:tc>
        <w:tc>
          <w:tcPr>
            <w:tcW w:w="3016" w:type="dxa"/>
            <w:vAlign w:val="center"/>
          </w:tcPr>
          <w:p w14:paraId="46D631EA">
            <w:pPr>
              <w:jc w:val="right"/>
              <w:rPr>
                <w:rFonts w:ascii="Calibri" w:hAnsi="Calibri"/>
                <w:sz w:val="20"/>
                <w:szCs w:val="20"/>
              </w:rPr>
            </w:pPr>
            <w:r>
              <w:rPr>
                <w:rFonts w:ascii="Calibri" w:hAnsi="Calibri"/>
                <w:sz w:val="20"/>
                <w:szCs w:val="20"/>
              </w:rPr>
              <w:t>4,145,170.13</w:t>
            </w:r>
          </w:p>
        </w:tc>
        <w:tc>
          <w:tcPr>
            <w:tcW w:w="3016" w:type="dxa"/>
            <w:vAlign w:val="center"/>
          </w:tcPr>
          <w:p w14:paraId="0F09D0D1">
            <w:pPr>
              <w:jc w:val="right"/>
              <w:rPr>
                <w:rFonts w:ascii="Calibri" w:hAnsi="Calibri"/>
                <w:sz w:val="20"/>
                <w:szCs w:val="20"/>
              </w:rPr>
            </w:pPr>
          </w:p>
        </w:tc>
      </w:tr>
      <w:tr w14:paraId="7A7B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5" w:type="dxa"/>
            <w:vAlign w:val="center"/>
          </w:tcPr>
          <w:p w14:paraId="335EDA7E">
            <w:pPr>
              <w:jc w:val="center"/>
              <w:rPr>
                <w:rFonts w:ascii="Calibri" w:hAnsi="Calibri"/>
                <w:sz w:val="20"/>
                <w:szCs w:val="20"/>
              </w:rPr>
            </w:pPr>
            <w:r>
              <w:rPr>
                <w:rFonts w:ascii="Calibri" w:hAnsi="Calibri"/>
                <w:sz w:val="20"/>
                <w:szCs w:val="20"/>
              </w:rPr>
              <w:t>合计</w:t>
            </w:r>
          </w:p>
        </w:tc>
        <w:tc>
          <w:tcPr>
            <w:tcW w:w="3016" w:type="dxa"/>
            <w:vAlign w:val="center"/>
          </w:tcPr>
          <w:p w14:paraId="50780EBD">
            <w:pPr>
              <w:jc w:val="right"/>
              <w:rPr>
                <w:rFonts w:ascii="Calibri" w:hAnsi="Calibri"/>
                <w:sz w:val="20"/>
                <w:szCs w:val="20"/>
              </w:rPr>
            </w:pPr>
            <w:r>
              <w:rPr>
                <w:rFonts w:ascii="Calibri" w:hAnsi="Calibri"/>
                <w:sz w:val="20"/>
                <w:szCs w:val="20"/>
              </w:rPr>
              <w:t>24,626,308.27</w:t>
            </w:r>
          </w:p>
        </w:tc>
        <w:tc>
          <w:tcPr>
            <w:tcW w:w="3016" w:type="dxa"/>
            <w:vAlign w:val="center"/>
          </w:tcPr>
          <w:p w14:paraId="2D046C6C">
            <w:pPr>
              <w:jc w:val="right"/>
              <w:rPr>
                <w:rFonts w:ascii="Calibri" w:hAnsi="Calibri"/>
                <w:sz w:val="20"/>
                <w:szCs w:val="20"/>
              </w:rPr>
            </w:pPr>
          </w:p>
        </w:tc>
      </w:tr>
    </w:tbl>
    <w:p w14:paraId="1061C80A">
      <w:pPr>
        <w:rPr>
          <w:b/>
        </w:rPr>
      </w:pPr>
    </w:p>
    <w:p w14:paraId="1A071768">
      <w:pPr>
        <w:pStyle w:val="48"/>
      </w:pPr>
      <w:r>
        <w:t>作为出租人的融资租赁</w:t>
      </w:r>
    </w:p>
    <w:sdt>
      <w:sdtPr>
        <w:alias w:val="是否适用：作为出租人的融资租赁[双击切换]"/>
        <w:tag w:val="_GBC_a96fee2f2d7c4192a3a8f10ae08d73cc"/>
        <w:id w:val="570243634"/>
        <w:placeholder>
          <w:docPart w:val="GBC22222222222222222222222222222"/>
        </w:placeholder>
      </w:sdtPr>
      <w:sdtContent>
        <w:p w14:paraId="2A6586D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387A5F5">
      <w:pPr>
        <w:pStyle w:val="48"/>
        <w:rPr>
          <w:b/>
        </w:rPr>
      </w:pPr>
    </w:p>
    <w:p w14:paraId="53294914">
      <w:pPr>
        <w:pStyle w:val="48"/>
      </w:pPr>
      <w:r>
        <w:t>未折现租赁收款额与租赁投资净额的调节表</w:t>
      </w:r>
    </w:p>
    <w:sdt>
      <w:sdtPr>
        <w:alias w:val="是否适用：未折现租赁收款额与租赁投资净额的调节表?[双击切换]"/>
        <w:tag w:val="_GBC_4a108274280e49bd8dc1cba49cff5159"/>
        <w:id w:val="545641305"/>
        <w:placeholder>
          <w:docPart w:val="GBC22222222222222222222222222222"/>
        </w:placeholder>
      </w:sdtPr>
      <w:sdtContent>
        <w:p w14:paraId="54BD4CE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F4CF9E">
      <w:pPr>
        <w:rPr>
          <w:b/>
        </w:rPr>
      </w:pPr>
    </w:p>
    <w:p w14:paraId="09E8AB3B">
      <w:pPr>
        <w:pStyle w:val="48"/>
      </w:pPr>
      <w:r>
        <w:t>未来五年</w:t>
      </w:r>
      <w:r>
        <w:rPr>
          <w:rFonts w:hint="eastAsia"/>
        </w:rPr>
        <w:t>未</w:t>
      </w:r>
      <w:r>
        <w:t>折现租赁收款额</w:t>
      </w:r>
    </w:p>
    <w:sdt>
      <w:sdtPr>
        <w:alias w:val="是否适用：未来五年未折现租赁收款额[双击切换]"/>
        <w:tag w:val="_GBC_60c95c043b424e188bd225c67d071e24"/>
        <w:id w:val="725261002"/>
        <w:placeholder>
          <w:docPart w:val="GBC22222222222222222222222222222"/>
        </w:placeholder>
      </w:sdtPr>
      <w:sdtContent>
        <w:p w14:paraId="21C93DA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6AE8996">
      <w:pPr>
        <w:pStyle w:val="48"/>
        <w:rPr>
          <w:b/>
        </w:rPr>
      </w:pPr>
    </w:p>
    <w:p w14:paraId="0134C3C1">
      <w:pPr>
        <w:pStyle w:val="5"/>
        <w:numPr>
          <w:ilvl w:val="0"/>
          <w:numId w:val="103"/>
        </w:numPr>
        <w:ind w:left="0" w:firstLine="0"/>
      </w:pPr>
      <w:r>
        <w:t>作为生产商或经销商确认融资租赁销售损益</w:t>
      </w:r>
    </w:p>
    <w:sdt>
      <w:sdtPr>
        <w:alias w:val="是否适用：作为生产商或经销商确认融资租赁销售损益[双击切换]"/>
        <w:tag w:val="_GBC_595c7ca108a34d50bffdd3e765cca466"/>
        <w:id w:val="-2119206649"/>
        <w:placeholder>
          <w:docPart w:val="GBC22222222222222222222222222222"/>
        </w:placeholder>
      </w:sdtPr>
      <w:sdtContent>
        <w:p w14:paraId="4D0F311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3F1D450">
      <w:pPr>
        <w:pStyle w:val="48"/>
      </w:pPr>
    </w:p>
    <w:p w14:paraId="3E481C0F">
      <w:pPr>
        <w:pStyle w:val="48"/>
      </w:pPr>
    </w:p>
    <w:p w14:paraId="47C52339">
      <w:pPr>
        <w:pStyle w:val="4"/>
        <w:numPr>
          <w:ilvl w:val="0"/>
          <w:numId w:val="61"/>
        </w:numPr>
        <w:rPr>
          <w:szCs w:val="21"/>
        </w:rPr>
      </w:pPr>
      <w:bookmarkStart w:id="363" w:name="_Hlk182485828"/>
      <w:r>
        <w:rPr>
          <w:szCs w:val="21"/>
        </w:rPr>
        <w:t>数据资源</w:t>
      </w:r>
    </w:p>
    <w:sdt>
      <w:sdtPr>
        <w:rPr>
          <w:color w:val="000000" w:themeColor="text1"/>
          <w14:textFill>
            <w14:solidFill>
              <w14:schemeClr w14:val="tx1"/>
            </w14:solidFill>
          </w14:textFill>
        </w:rPr>
        <w:alias w:val="是否适用：附注数据资源需要说明的事项[双击切换]"/>
        <w:tag w:val="_GBC_a8e8280e20f44ceba7092d703f59659a"/>
        <w:id w:val="1758407217"/>
        <w:placeholder>
          <w:docPart w:val="GBC22222222222222222222222222222"/>
        </w:placeholder>
      </w:sdtPr>
      <w:sdtEndPr>
        <w:rPr>
          <w:color w:val="000000" w:themeColor="text1"/>
          <w14:textFill>
            <w14:solidFill>
              <w14:schemeClr w14:val="tx1"/>
            </w14:solidFill>
          </w14:textFill>
        </w:rPr>
      </w:sdtEndPr>
      <w:sdtContent>
        <w:p w14:paraId="7737C65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5A1B38A">
      <w:pPr>
        <w:rPr>
          <w:color w:val="000000" w:themeColor="text1"/>
          <w14:textFill>
            <w14:solidFill>
              <w14:schemeClr w14:val="tx1"/>
            </w14:solidFill>
          </w14:textFill>
        </w:rPr>
      </w:pPr>
    </w:p>
    <w:bookmarkEnd w:id="363"/>
    <w:p w14:paraId="77983EDE">
      <w:pPr>
        <w:pStyle w:val="4"/>
        <w:numPr>
          <w:ilvl w:val="0"/>
          <w:numId w:val="61"/>
        </w:numPr>
        <w:rPr>
          <w:szCs w:val="21"/>
        </w:rPr>
      </w:pPr>
      <w:r>
        <w:rPr>
          <w:szCs w:val="21"/>
        </w:rPr>
        <w:t>其他</w:t>
      </w:r>
    </w:p>
    <w:sdt>
      <w:sdtPr>
        <w:alias w:val="是否适用：合并财务报表项目注释其他需要说明的事项[双击切换]"/>
        <w:tag w:val="_GBC_67815da71293483fad0e823098235edb"/>
        <w:id w:val="2025118868"/>
        <w:placeholder>
          <w:docPart w:val="GBC22222222222222222222222222222"/>
        </w:placeholder>
      </w:sdtPr>
      <w:sdtContent>
        <w:p w14:paraId="2666736A">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2EFFA57">
      <w:pPr>
        <w:pStyle w:val="48"/>
      </w:pPr>
    </w:p>
    <w:p w14:paraId="4C2D489C">
      <w:pPr>
        <w:pStyle w:val="3"/>
        <w:numPr>
          <w:ilvl w:val="0"/>
          <w:numId w:val="51"/>
        </w:numPr>
        <w:rPr>
          <w:rFonts w:ascii="宋体" w:hAnsi="宋体"/>
        </w:rPr>
      </w:pPr>
      <w:bookmarkStart w:id="364" w:name="_Hlk40108415"/>
      <w:r>
        <w:rPr>
          <w:rFonts w:hint="eastAsia"/>
        </w:rPr>
        <w:t>研发支出</w:t>
      </w:r>
    </w:p>
    <w:p w14:paraId="04A73C6B">
      <w:pPr>
        <w:pStyle w:val="4"/>
        <w:numPr>
          <w:ilvl w:val="0"/>
          <w:numId w:val="104"/>
        </w:numPr>
      </w:pPr>
      <w:r>
        <w:rPr>
          <w:rFonts w:hint="eastAsia"/>
        </w:rPr>
        <w:t>按费用性质列示</w:t>
      </w:r>
    </w:p>
    <w:sdt>
      <w:sdtPr>
        <w:alias w:val="是否适用：研发费用[双击切换]"/>
        <w:tag w:val="_GBC_04b52b9f74d642ed996cff71b3380562"/>
        <w:id w:val="-229614110"/>
        <w:placeholder>
          <w:docPart w:val="GBC22222222222222222222222222222"/>
        </w:placeholder>
      </w:sdtPr>
      <w:sdtContent>
        <w:p w14:paraId="13BF2C6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828608E">
      <w:pPr>
        <w:pStyle w:val="30"/>
        <w:ind w:left="420" w:firstLine="0" w:firstLineChars="0"/>
        <w:jc w:val="right"/>
        <w:rPr>
          <w:szCs w:val="21"/>
        </w:rPr>
      </w:pPr>
      <w:r>
        <w:rPr>
          <w:rFonts w:hint="eastAsia"/>
          <w:szCs w:val="21"/>
        </w:rPr>
        <w:t>单位：</w:t>
      </w:r>
      <w:sdt>
        <w:sdtPr>
          <w:rPr>
            <w:rFonts w:hint="eastAsia"/>
            <w:szCs w:val="21"/>
          </w:rPr>
          <w:alias w:val="单位：研发费用"/>
          <w:tag w:val="_GBC_cf8eb084313b4a1daa3dbb7d47c6cc60"/>
          <w:id w:val="2787668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研发费用"/>
          <w:tag w:val="_GBC_572bef247e4247e09454933a69c36e65"/>
          <w:id w:val="17200903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5"/>
        <w:gridCol w:w="2604"/>
        <w:gridCol w:w="2439"/>
      </w:tblGrid>
      <w:tr w14:paraId="4A2F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73a371c2fc74073850def05593a1e6b"/>
            <w:id w:val="-1371225938"/>
          </w:sdtPr>
          <w:sdtContent>
            <w:tc>
              <w:tcPr>
                <w:tcW w:w="4005" w:type="dxa"/>
                <w:tcBorders>
                  <w:top w:val="single" w:color="auto" w:sz="4" w:space="0"/>
                  <w:left w:val="single" w:color="auto" w:sz="4" w:space="0"/>
                  <w:bottom w:val="single" w:color="auto" w:sz="4" w:space="0"/>
                  <w:right w:val="single" w:color="auto" w:sz="4" w:space="0"/>
                </w:tcBorders>
                <w:vAlign w:val="center"/>
              </w:tcPr>
              <w:p w14:paraId="0D505682">
                <w:pPr>
                  <w:jc w:val="center"/>
                  <w:rPr>
                    <w:rFonts w:ascii="Calibri" w:hAnsi="Calibri"/>
                    <w:sz w:val="20"/>
                    <w:szCs w:val="20"/>
                  </w:rPr>
                </w:pPr>
                <w:r>
                  <w:rPr>
                    <w:rFonts w:hint="eastAsia" w:ascii="Calibri" w:hAnsi="Calibri"/>
                    <w:sz w:val="20"/>
                    <w:szCs w:val="20"/>
                  </w:rPr>
                  <w:t>项目</w:t>
                </w:r>
              </w:p>
            </w:tc>
          </w:sdtContent>
        </w:sdt>
        <w:sdt>
          <w:sdtPr>
            <w:tag w:val="_PLD_6822cfd6a9f74188bf87ee408083b254"/>
            <w:id w:val="893475188"/>
          </w:sdtPr>
          <w:sdtContent>
            <w:tc>
              <w:tcPr>
                <w:tcW w:w="2604" w:type="dxa"/>
                <w:tcBorders>
                  <w:top w:val="single" w:color="auto" w:sz="4" w:space="0"/>
                  <w:left w:val="single" w:color="auto" w:sz="4" w:space="0"/>
                  <w:bottom w:val="single" w:color="auto" w:sz="4" w:space="0"/>
                  <w:right w:val="single" w:color="auto" w:sz="4" w:space="0"/>
                </w:tcBorders>
                <w:vAlign w:val="center"/>
              </w:tcPr>
              <w:p w14:paraId="13C85CA5">
                <w:pPr>
                  <w:jc w:val="center"/>
                  <w:rPr>
                    <w:rFonts w:ascii="Calibri" w:hAnsi="Calibri"/>
                    <w:sz w:val="20"/>
                    <w:szCs w:val="20"/>
                  </w:rPr>
                </w:pPr>
                <w:r>
                  <w:rPr>
                    <w:rFonts w:hint="eastAsia" w:ascii="Calibri" w:hAnsi="Calibri"/>
                    <w:sz w:val="20"/>
                    <w:szCs w:val="20"/>
                  </w:rPr>
                  <w:t>本期发生额</w:t>
                </w:r>
              </w:p>
            </w:tc>
          </w:sdtContent>
        </w:sdt>
        <w:sdt>
          <w:sdtPr>
            <w:tag w:val="_PLD_9179c21572a24986aa54bad16a61a225"/>
            <w:id w:val="-88476067"/>
          </w:sdtPr>
          <w:sdtContent>
            <w:tc>
              <w:tcPr>
                <w:tcW w:w="2439" w:type="dxa"/>
                <w:tcBorders>
                  <w:top w:val="single" w:color="auto" w:sz="4" w:space="0"/>
                  <w:left w:val="single" w:color="auto" w:sz="4" w:space="0"/>
                  <w:bottom w:val="single" w:color="auto" w:sz="4" w:space="0"/>
                  <w:right w:val="single" w:color="auto" w:sz="4" w:space="0"/>
                </w:tcBorders>
                <w:vAlign w:val="center"/>
              </w:tcPr>
              <w:p w14:paraId="02C58D63">
                <w:pPr>
                  <w:jc w:val="center"/>
                  <w:rPr>
                    <w:rFonts w:ascii="Calibri" w:hAnsi="Calibri"/>
                    <w:sz w:val="20"/>
                    <w:szCs w:val="20"/>
                  </w:rPr>
                </w:pPr>
                <w:r>
                  <w:rPr>
                    <w:rFonts w:hint="eastAsia" w:ascii="Calibri" w:hAnsi="Calibri"/>
                    <w:sz w:val="20"/>
                    <w:szCs w:val="20"/>
                  </w:rPr>
                  <w:t>上期发生额</w:t>
                </w:r>
              </w:p>
            </w:tc>
          </w:sdtContent>
        </w:sdt>
      </w:tr>
      <w:tr w14:paraId="2E09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796AA57A">
            <w:pPr>
              <w:pStyle w:val="48"/>
              <w:rPr>
                <w:sz w:val="20"/>
                <w:szCs w:val="20"/>
              </w:rPr>
            </w:pPr>
            <w:r>
              <w:rPr>
                <w:rFonts w:hint="eastAsia" w:ascii="宋体" w:hAnsi="宋体"/>
                <w:sz w:val="18"/>
                <w:szCs w:val="18"/>
              </w:rPr>
              <w:t>职工薪酬</w:t>
            </w:r>
          </w:p>
        </w:tc>
        <w:tc>
          <w:tcPr>
            <w:tcW w:w="2604" w:type="dxa"/>
            <w:tcBorders>
              <w:top w:val="single" w:color="auto" w:sz="4" w:space="0"/>
              <w:left w:val="single" w:color="auto" w:sz="4" w:space="0"/>
              <w:bottom w:val="single" w:color="auto" w:sz="4" w:space="0"/>
              <w:right w:val="single" w:color="auto" w:sz="4" w:space="0"/>
            </w:tcBorders>
            <w:vAlign w:val="center"/>
          </w:tcPr>
          <w:p w14:paraId="47C8075C">
            <w:pPr>
              <w:jc w:val="right"/>
              <w:rPr>
                <w:rFonts w:ascii="Calibri" w:hAnsi="Calibri"/>
                <w:sz w:val="20"/>
                <w:szCs w:val="20"/>
              </w:rPr>
            </w:pPr>
            <w:r>
              <w:rPr>
                <w:rFonts w:ascii="Calibri" w:hAnsi="Calibri"/>
                <w:sz w:val="20"/>
                <w:szCs w:val="20"/>
              </w:rPr>
              <w:t>85,171,888.46</w:t>
            </w:r>
          </w:p>
        </w:tc>
        <w:tc>
          <w:tcPr>
            <w:tcW w:w="2439" w:type="dxa"/>
            <w:tcBorders>
              <w:top w:val="single" w:color="auto" w:sz="4" w:space="0"/>
              <w:left w:val="single" w:color="auto" w:sz="4" w:space="0"/>
              <w:bottom w:val="single" w:color="auto" w:sz="4" w:space="0"/>
              <w:right w:val="single" w:color="auto" w:sz="4" w:space="0"/>
            </w:tcBorders>
            <w:vAlign w:val="center"/>
          </w:tcPr>
          <w:p w14:paraId="2425A717">
            <w:pPr>
              <w:jc w:val="right"/>
              <w:rPr>
                <w:rFonts w:ascii="Calibri" w:hAnsi="Calibri"/>
                <w:sz w:val="20"/>
                <w:szCs w:val="20"/>
              </w:rPr>
            </w:pPr>
            <w:r>
              <w:rPr>
                <w:rFonts w:ascii="Calibri" w:hAnsi="Calibri"/>
                <w:sz w:val="20"/>
                <w:szCs w:val="20"/>
              </w:rPr>
              <w:t>64,795,882.01</w:t>
            </w:r>
          </w:p>
        </w:tc>
      </w:tr>
      <w:tr w14:paraId="1B3E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05CA8AB5">
            <w:pPr>
              <w:pStyle w:val="48"/>
              <w:rPr>
                <w:sz w:val="20"/>
                <w:szCs w:val="20"/>
              </w:rPr>
            </w:pPr>
            <w:r>
              <w:rPr>
                <w:rFonts w:hint="eastAsia" w:ascii="宋体" w:hAnsi="宋体"/>
                <w:sz w:val="18"/>
                <w:szCs w:val="18"/>
              </w:rPr>
              <w:t>固定资产折旧</w:t>
            </w:r>
          </w:p>
        </w:tc>
        <w:tc>
          <w:tcPr>
            <w:tcW w:w="2604" w:type="dxa"/>
            <w:tcBorders>
              <w:top w:val="single" w:color="auto" w:sz="4" w:space="0"/>
              <w:left w:val="single" w:color="auto" w:sz="4" w:space="0"/>
              <w:bottom w:val="single" w:color="auto" w:sz="4" w:space="0"/>
              <w:right w:val="single" w:color="auto" w:sz="4" w:space="0"/>
            </w:tcBorders>
            <w:vAlign w:val="center"/>
          </w:tcPr>
          <w:p w14:paraId="6EDDB42E">
            <w:pPr>
              <w:jc w:val="right"/>
              <w:rPr>
                <w:rFonts w:ascii="Calibri" w:hAnsi="Calibri"/>
                <w:sz w:val="20"/>
                <w:szCs w:val="20"/>
              </w:rPr>
            </w:pPr>
            <w:r>
              <w:rPr>
                <w:rFonts w:ascii="Calibri" w:hAnsi="Calibri"/>
                <w:sz w:val="20"/>
                <w:szCs w:val="20"/>
              </w:rPr>
              <w:t>21,076,388.29</w:t>
            </w:r>
          </w:p>
        </w:tc>
        <w:tc>
          <w:tcPr>
            <w:tcW w:w="2439" w:type="dxa"/>
            <w:tcBorders>
              <w:top w:val="single" w:color="auto" w:sz="4" w:space="0"/>
              <w:left w:val="single" w:color="auto" w:sz="4" w:space="0"/>
              <w:bottom w:val="single" w:color="auto" w:sz="4" w:space="0"/>
              <w:right w:val="single" w:color="auto" w:sz="4" w:space="0"/>
            </w:tcBorders>
            <w:vAlign w:val="center"/>
          </w:tcPr>
          <w:p w14:paraId="4529E005">
            <w:pPr>
              <w:jc w:val="right"/>
              <w:rPr>
                <w:rFonts w:ascii="Calibri" w:hAnsi="Calibri"/>
                <w:sz w:val="20"/>
                <w:szCs w:val="20"/>
              </w:rPr>
            </w:pPr>
            <w:r>
              <w:rPr>
                <w:rFonts w:ascii="Calibri" w:hAnsi="Calibri"/>
                <w:sz w:val="20"/>
                <w:szCs w:val="20"/>
              </w:rPr>
              <w:t>17,187,607.66</w:t>
            </w:r>
          </w:p>
        </w:tc>
      </w:tr>
      <w:tr w14:paraId="39D0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52C74AA2">
            <w:pPr>
              <w:pStyle w:val="48"/>
              <w:rPr>
                <w:sz w:val="20"/>
                <w:szCs w:val="20"/>
              </w:rPr>
            </w:pPr>
            <w:r>
              <w:rPr>
                <w:rFonts w:hint="eastAsia" w:ascii="宋体" w:hAnsi="宋体"/>
                <w:sz w:val="18"/>
                <w:szCs w:val="18"/>
              </w:rPr>
              <w:t>直接投入</w:t>
            </w:r>
          </w:p>
        </w:tc>
        <w:tc>
          <w:tcPr>
            <w:tcW w:w="2604" w:type="dxa"/>
            <w:tcBorders>
              <w:top w:val="single" w:color="auto" w:sz="4" w:space="0"/>
              <w:left w:val="single" w:color="auto" w:sz="4" w:space="0"/>
              <w:bottom w:val="single" w:color="auto" w:sz="4" w:space="0"/>
              <w:right w:val="single" w:color="auto" w:sz="4" w:space="0"/>
            </w:tcBorders>
            <w:vAlign w:val="center"/>
          </w:tcPr>
          <w:p w14:paraId="13C59E7B">
            <w:pPr>
              <w:jc w:val="right"/>
              <w:rPr>
                <w:rFonts w:ascii="Calibri" w:hAnsi="Calibri"/>
                <w:sz w:val="20"/>
                <w:szCs w:val="20"/>
              </w:rPr>
            </w:pPr>
            <w:r>
              <w:rPr>
                <w:rFonts w:ascii="Calibri" w:hAnsi="Calibri"/>
                <w:sz w:val="20"/>
                <w:szCs w:val="20"/>
              </w:rPr>
              <w:t>317,300,190.54</w:t>
            </w:r>
          </w:p>
        </w:tc>
        <w:tc>
          <w:tcPr>
            <w:tcW w:w="2439" w:type="dxa"/>
            <w:tcBorders>
              <w:top w:val="single" w:color="auto" w:sz="4" w:space="0"/>
              <w:left w:val="single" w:color="auto" w:sz="4" w:space="0"/>
              <w:bottom w:val="single" w:color="auto" w:sz="4" w:space="0"/>
              <w:right w:val="single" w:color="auto" w:sz="4" w:space="0"/>
            </w:tcBorders>
            <w:vAlign w:val="center"/>
          </w:tcPr>
          <w:p w14:paraId="1223628B">
            <w:pPr>
              <w:jc w:val="right"/>
              <w:rPr>
                <w:rFonts w:ascii="Calibri" w:hAnsi="Calibri"/>
                <w:sz w:val="20"/>
                <w:szCs w:val="20"/>
              </w:rPr>
            </w:pPr>
            <w:r>
              <w:rPr>
                <w:rFonts w:ascii="Calibri" w:hAnsi="Calibri"/>
                <w:sz w:val="20"/>
                <w:szCs w:val="20"/>
              </w:rPr>
              <w:t>71,859,407.37</w:t>
            </w:r>
          </w:p>
        </w:tc>
      </w:tr>
      <w:tr w14:paraId="0DF4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273E1A76">
            <w:pPr>
              <w:pStyle w:val="48"/>
              <w:rPr>
                <w:sz w:val="20"/>
                <w:szCs w:val="20"/>
              </w:rPr>
            </w:pPr>
            <w:r>
              <w:rPr>
                <w:rFonts w:hint="eastAsia" w:ascii="宋体" w:hAnsi="宋体"/>
                <w:sz w:val="18"/>
                <w:szCs w:val="18"/>
              </w:rPr>
              <w:t>资产摊销</w:t>
            </w:r>
          </w:p>
        </w:tc>
        <w:tc>
          <w:tcPr>
            <w:tcW w:w="2604" w:type="dxa"/>
            <w:tcBorders>
              <w:top w:val="single" w:color="auto" w:sz="4" w:space="0"/>
              <w:left w:val="single" w:color="auto" w:sz="4" w:space="0"/>
              <w:bottom w:val="single" w:color="auto" w:sz="4" w:space="0"/>
              <w:right w:val="single" w:color="auto" w:sz="4" w:space="0"/>
            </w:tcBorders>
            <w:vAlign w:val="center"/>
          </w:tcPr>
          <w:p w14:paraId="5EA367F2">
            <w:pPr>
              <w:jc w:val="right"/>
              <w:rPr>
                <w:rFonts w:ascii="Calibri" w:hAnsi="Calibri"/>
                <w:sz w:val="20"/>
                <w:szCs w:val="20"/>
              </w:rPr>
            </w:pPr>
            <w:r>
              <w:rPr>
                <w:rFonts w:ascii="Calibri" w:hAnsi="Calibri"/>
                <w:sz w:val="20"/>
                <w:szCs w:val="20"/>
              </w:rPr>
              <w:t>53,922,043.91</w:t>
            </w:r>
          </w:p>
        </w:tc>
        <w:tc>
          <w:tcPr>
            <w:tcW w:w="2439" w:type="dxa"/>
            <w:tcBorders>
              <w:top w:val="single" w:color="auto" w:sz="4" w:space="0"/>
              <w:left w:val="single" w:color="auto" w:sz="4" w:space="0"/>
              <w:bottom w:val="single" w:color="auto" w:sz="4" w:space="0"/>
              <w:right w:val="single" w:color="auto" w:sz="4" w:space="0"/>
            </w:tcBorders>
            <w:vAlign w:val="center"/>
          </w:tcPr>
          <w:p w14:paraId="2E4A275C">
            <w:pPr>
              <w:jc w:val="right"/>
              <w:rPr>
                <w:rFonts w:ascii="Calibri" w:hAnsi="Calibri"/>
                <w:sz w:val="20"/>
                <w:szCs w:val="20"/>
              </w:rPr>
            </w:pPr>
            <w:r>
              <w:rPr>
                <w:rFonts w:ascii="Calibri" w:hAnsi="Calibri"/>
                <w:sz w:val="20"/>
                <w:szCs w:val="20"/>
              </w:rPr>
              <w:t>53,741,976.16</w:t>
            </w:r>
          </w:p>
        </w:tc>
      </w:tr>
      <w:tr w14:paraId="43EE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2C7B97DD">
            <w:pPr>
              <w:pStyle w:val="48"/>
              <w:rPr>
                <w:sz w:val="20"/>
                <w:szCs w:val="20"/>
              </w:rPr>
            </w:pPr>
            <w:r>
              <w:rPr>
                <w:rFonts w:hint="eastAsia" w:ascii="宋体" w:hAnsi="宋体"/>
                <w:sz w:val="18"/>
                <w:szCs w:val="18"/>
              </w:rPr>
              <w:t>委托外部费用</w:t>
            </w:r>
          </w:p>
        </w:tc>
        <w:tc>
          <w:tcPr>
            <w:tcW w:w="2604" w:type="dxa"/>
            <w:tcBorders>
              <w:top w:val="single" w:color="auto" w:sz="4" w:space="0"/>
              <w:left w:val="single" w:color="auto" w:sz="4" w:space="0"/>
              <w:bottom w:val="single" w:color="auto" w:sz="4" w:space="0"/>
              <w:right w:val="single" w:color="auto" w:sz="4" w:space="0"/>
            </w:tcBorders>
            <w:vAlign w:val="center"/>
          </w:tcPr>
          <w:p w14:paraId="05383F62">
            <w:pPr>
              <w:jc w:val="right"/>
              <w:rPr>
                <w:rFonts w:ascii="Calibri" w:hAnsi="Calibri"/>
                <w:sz w:val="20"/>
                <w:szCs w:val="20"/>
              </w:rPr>
            </w:pPr>
            <w:r>
              <w:rPr>
                <w:rFonts w:ascii="Calibri" w:hAnsi="Calibri"/>
                <w:sz w:val="20"/>
                <w:szCs w:val="20"/>
              </w:rPr>
              <w:t>5,169,678.96</w:t>
            </w:r>
          </w:p>
        </w:tc>
        <w:tc>
          <w:tcPr>
            <w:tcW w:w="2439" w:type="dxa"/>
            <w:tcBorders>
              <w:top w:val="single" w:color="auto" w:sz="4" w:space="0"/>
              <w:left w:val="single" w:color="auto" w:sz="4" w:space="0"/>
              <w:bottom w:val="single" w:color="auto" w:sz="4" w:space="0"/>
              <w:right w:val="single" w:color="auto" w:sz="4" w:space="0"/>
            </w:tcBorders>
            <w:vAlign w:val="center"/>
          </w:tcPr>
          <w:p w14:paraId="5732AA4E">
            <w:pPr>
              <w:jc w:val="right"/>
              <w:rPr>
                <w:rFonts w:ascii="Calibri" w:hAnsi="Calibri"/>
                <w:sz w:val="20"/>
                <w:szCs w:val="20"/>
              </w:rPr>
            </w:pPr>
            <w:r>
              <w:rPr>
                <w:rFonts w:ascii="Calibri" w:hAnsi="Calibri"/>
                <w:sz w:val="20"/>
                <w:szCs w:val="20"/>
              </w:rPr>
              <w:t>220,658,571.83</w:t>
            </w:r>
          </w:p>
        </w:tc>
      </w:tr>
      <w:tr w14:paraId="3D11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7A5F3EA0">
            <w:pPr>
              <w:pStyle w:val="48"/>
              <w:rPr>
                <w:sz w:val="20"/>
                <w:szCs w:val="20"/>
              </w:rPr>
            </w:pPr>
            <w:r>
              <w:rPr>
                <w:rFonts w:hint="eastAsia" w:ascii="宋体" w:hAnsi="宋体"/>
                <w:sz w:val="18"/>
                <w:szCs w:val="18"/>
              </w:rPr>
              <w:t>其他</w:t>
            </w:r>
          </w:p>
        </w:tc>
        <w:tc>
          <w:tcPr>
            <w:tcW w:w="2604" w:type="dxa"/>
            <w:tcBorders>
              <w:top w:val="single" w:color="auto" w:sz="4" w:space="0"/>
              <w:left w:val="single" w:color="auto" w:sz="4" w:space="0"/>
              <w:bottom w:val="single" w:color="auto" w:sz="4" w:space="0"/>
              <w:right w:val="single" w:color="auto" w:sz="4" w:space="0"/>
            </w:tcBorders>
            <w:vAlign w:val="center"/>
          </w:tcPr>
          <w:p w14:paraId="67F27983">
            <w:pPr>
              <w:jc w:val="right"/>
              <w:rPr>
                <w:rFonts w:ascii="Calibri" w:hAnsi="Calibri"/>
                <w:sz w:val="20"/>
                <w:szCs w:val="20"/>
              </w:rPr>
            </w:pPr>
            <w:r>
              <w:rPr>
                <w:rFonts w:ascii="Calibri" w:hAnsi="Calibri"/>
                <w:sz w:val="20"/>
                <w:szCs w:val="20"/>
              </w:rPr>
              <w:t>23,213,924.80</w:t>
            </w:r>
          </w:p>
        </w:tc>
        <w:tc>
          <w:tcPr>
            <w:tcW w:w="2439" w:type="dxa"/>
            <w:tcBorders>
              <w:top w:val="single" w:color="auto" w:sz="4" w:space="0"/>
              <w:left w:val="single" w:color="auto" w:sz="4" w:space="0"/>
              <w:bottom w:val="single" w:color="auto" w:sz="4" w:space="0"/>
              <w:right w:val="single" w:color="auto" w:sz="4" w:space="0"/>
            </w:tcBorders>
            <w:vAlign w:val="center"/>
          </w:tcPr>
          <w:p w14:paraId="0BA8C5F5">
            <w:pPr>
              <w:jc w:val="right"/>
              <w:rPr>
                <w:rFonts w:ascii="Calibri" w:hAnsi="Calibri"/>
                <w:sz w:val="20"/>
                <w:szCs w:val="20"/>
              </w:rPr>
            </w:pPr>
            <w:r>
              <w:rPr>
                <w:rFonts w:ascii="Calibri" w:hAnsi="Calibri"/>
                <w:sz w:val="20"/>
                <w:szCs w:val="20"/>
              </w:rPr>
              <w:t>22,218,798.66</w:t>
            </w:r>
          </w:p>
        </w:tc>
      </w:tr>
      <w:tr w14:paraId="7551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0EAF53EC">
            <w:pPr>
              <w:jc w:val="center"/>
              <w:rPr>
                <w:rFonts w:ascii="Calibri" w:hAnsi="Calibri"/>
                <w:sz w:val="20"/>
                <w:szCs w:val="20"/>
              </w:rPr>
            </w:pPr>
            <w:r>
              <w:rPr>
                <w:rFonts w:hint="eastAsia" w:ascii="Calibri" w:hAnsi="Calibri"/>
                <w:sz w:val="20"/>
                <w:szCs w:val="20"/>
              </w:rPr>
              <w:t>合计</w:t>
            </w:r>
          </w:p>
        </w:tc>
        <w:tc>
          <w:tcPr>
            <w:tcW w:w="2604" w:type="dxa"/>
            <w:tcBorders>
              <w:top w:val="single" w:color="auto" w:sz="4" w:space="0"/>
              <w:left w:val="single" w:color="auto" w:sz="4" w:space="0"/>
              <w:bottom w:val="single" w:color="auto" w:sz="4" w:space="0"/>
              <w:right w:val="single" w:color="auto" w:sz="4" w:space="0"/>
            </w:tcBorders>
            <w:vAlign w:val="center"/>
          </w:tcPr>
          <w:p w14:paraId="7A1E0AFB">
            <w:pPr>
              <w:jc w:val="right"/>
              <w:rPr>
                <w:rFonts w:ascii="Calibri" w:hAnsi="Calibri"/>
                <w:sz w:val="20"/>
                <w:szCs w:val="20"/>
              </w:rPr>
            </w:pPr>
            <w:r>
              <w:rPr>
                <w:rFonts w:ascii="Calibri" w:hAnsi="Calibri"/>
                <w:sz w:val="20"/>
                <w:szCs w:val="20"/>
              </w:rPr>
              <w:t>505,854,114.96</w:t>
            </w:r>
          </w:p>
        </w:tc>
        <w:tc>
          <w:tcPr>
            <w:tcW w:w="2439" w:type="dxa"/>
            <w:tcBorders>
              <w:top w:val="single" w:color="auto" w:sz="4" w:space="0"/>
              <w:left w:val="single" w:color="auto" w:sz="4" w:space="0"/>
              <w:bottom w:val="single" w:color="auto" w:sz="4" w:space="0"/>
              <w:right w:val="single" w:color="auto" w:sz="4" w:space="0"/>
            </w:tcBorders>
            <w:vAlign w:val="center"/>
          </w:tcPr>
          <w:p w14:paraId="3705F1BB">
            <w:pPr>
              <w:jc w:val="right"/>
              <w:rPr>
                <w:rFonts w:ascii="Calibri" w:hAnsi="Calibri"/>
                <w:sz w:val="20"/>
                <w:szCs w:val="20"/>
              </w:rPr>
            </w:pPr>
            <w:r>
              <w:rPr>
                <w:rFonts w:ascii="Calibri" w:hAnsi="Calibri"/>
                <w:sz w:val="20"/>
                <w:szCs w:val="20"/>
              </w:rPr>
              <w:t>450,462,243.69</w:t>
            </w:r>
          </w:p>
        </w:tc>
      </w:tr>
      <w:tr w14:paraId="0471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7107C175">
            <w:pPr>
              <w:pStyle w:val="48"/>
              <w:rPr>
                <w:sz w:val="20"/>
                <w:szCs w:val="20"/>
              </w:rPr>
            </w:pPr>
            <w:r>
              <w:rPr>
                <w:rFonts w:hint="eastAsia"/>
                <w:sz w:val="20"/>
                <w:szCs w:val="20"/>
              </w:rPr>
              <w:t>其中：费用化研发支出</w:t>
            </w:r>
          </w:p>
        </w:tc>
        <w:tc>
          <w:tcPr>
            <w:tcW w:w="2604" w:type="dxa"/>
            <w:tcBorders>
              <w:top w:val="single" w:color="auto" w:sz="4" w:space="0"/>
              <w:left w:val="single" w:color="auto" w:sz="4" w:space="0"/>
              <w:bottom w:val="single" w:color="auto" w:sz="4" w:space="0"/>
              <w:right w:val="single" w:color="auto" w:sz="4" w:space="0"/>
            </w:tcBorders>
            <w:vAlign w:val="center"/>
          </w:tcPr>
          <w:p w14:paraId="1D60D76A">
            <w:pPr>
              <w:jc w:val="right"/>
              <w:rPr>
                <w:rFonts w:ascii="Calibri" w:hAnsi="Calibri"/>
                <w:sz w:val="20"/>
                <w:szCs w:val="20"/>
              </w:rPr>
            </w:pPr>
            <w:r>
              <w:rPr>
                <w:rFonts w:ascii="Calibri" w:hAnsi="Calibri"/>
                <w:sz w:val="20"/>
                <w:szCs w:val="20"/>
              </w:rPr>
              <w:t>167,122,024.63</w:t>
            </w:r>
          </w:p>
        </w:tc>
        <w:tc>
          <w:tcPr>
            <w:tcW w:w="2439" w:type="dxa"/>
            <w:tcBorders>
              <w:top w:val="single" w:color="auto" w:sz="4" w:space="0"/>
              <w:left w:val="single" w:color="auto" w:sz="4" w:space="0"/>
              <w:bottom w:val="single" w:color="auto" w:sz="4" w:space="0"/>
              <w:right w:val="single" w:color="auto" w:sz="4" w:space="0"/>
            </w:tcBorders>
            <w:vAlign w:val="center"/>
          </w:tcPr>
          <w:p w14:paraId="751B522E">
            <w:pPr>
              <w:jc w:val="right"/>
              <w:rPr>
                <w:rFonts w:ascii="Calibri" w:hAnsi="Calibri"/>
                <w:sz w:val="20"/>
                <w:szCs w:val="20"/>
              </w:rPr>
            </w:pPr>
            <w:r>
              <w:rPr>
                <w:rFonts w:ascii="Calibri" w:hAnsi="Calibri"/>
                <w:sz w:val="20"/>
                <w:szCs w:val="20"/>
              </w:rPr>
              <w:t>99,304,946.78</w:t>
            </w:r>
          </w:p>
        </w:tc>
      </w:tr>
      <w:tr w14:paraId="15C1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5" w:type="dxa"/>
            <w:tcBorders>
              <w:top w:val="single" w:color="auto" w:sz="4" w:space="0"/>
              <w:left w:val="single" w:color="auto" w:sz="4" w:space="0"/>
              <w:bottom w:val="single" w:color="auto" w:sz="4" w:space="0"/>
              <w:right w:val="single" w:color="auto" w:sz="4" w:space="0"/>
            </w:tcBorders>
            <w:vAlign w:val="center"/>
          </w:tcPr>
          <w:p w14:paraId="2FCB1B2D">
            <w:pPr>
              <w:ind w:firstLine="600" w:firstLineChars="300"/>
              <w:rPr>
                <w:rFonts w:ascii="Calibri" w:hAnsi="Calibri"/>
                <w:sz w:val="20"/>
                <w:szCs w:val="20"/>
              </w:rPr>
            </w:pPr>
            <w:r>
              <w:rPr>
                <w:rFonts w:hint="eastAsia" w:ascii="Calibri" w:hAnsi="Calibri"/>
                <w:sz w:val="20"/>
                <w:szCs w:val="20"/>
              </w:rPr>
              <w:t>资本化研发支出</w:t>
            </w:r>
          </w:p>
        </w:tc>
        <w:tc>
          <w:tcPr>
            <w:tcW w:w="2604" w:type="dxa"/>
            <w:tcBorders>
              <w:top w:val="single" w:color="auto" w:sz="4" w:space="0"/>
              <w:left w:val="single" w:color="auto" w:sz="4" w:space="0"/>
              <w:bottom w:val="single" w:color="auto" w:sz="4" w:space="0"/>
              <w:right w:val="single" w:color="auto" w:sz="4" w:space="0"/>
            </w:tcBorders>
            <w:vAlign w:val="center"/>
          </w:tcPr>
          <w:p w14:paraId="361B117D">
            <w:pPr>
              <w:jc w:val="right"/>
              <w:rPr>
                <w:rFonts w:ascii="Calibri" w:hAnsi="Calibri"/>
                <w:sz w:val="20"/>
                <w:szCs w:val="20"/>
              </w:rPr>
            </w:pPr>
            <w:r>
              <w:rPr>
                <w:rFonts w:ascii="Calibri" w:hAnsi="Calibri"/>
                <w:sz w:val="20"/>
                <w:szCs w:val="20"/>
              </w:rPr>
              <w:t>338,732,090.33</w:t>
            </w:r>
          </w:p>
        </w:tc>
        <w:tc>
          <w:tcPr>
            <w:tcW w:w="2439" w:type="dxa"/>
            <w:tcBorders>
              <w:top w:val="single" w:color="auto" w:sz="4" w:space="0"/>
              <w:left w:val="single" w:color="auto" w:sz="4" w:space="0"/>
              <w:bottom w:val="single" w:color="auto" w:sz="4" w:space="0"/>
              <w:right w:val="single" w:color="auto" w:sz="4" w:space="0"/>
            </w:tcBorders>
            <w:vAlign w:val="center"/>
          </w:tcPr>
          <w:p w14:paraId="1E6451AD">
            <w:pPr>
              <w:jc w:val="right"/>
              <w:rPr>
                <w:rFonts w:ascii="Calibri" w:hAnsi="Calibri"/>
                <w:sz w:val="20"/>
                <w:szCs w:val="20"/>
              </w:rPr>
            </w:pPr>
            <w:r>
              <w:rPr>
                <w:rFonts w:ascii="Calibri" w:hAnsi="Calibri"/>
                <w:sz w:val="20"/>
                <w:szCs w:val="20"/>
              </w:rPr>
              <w:t>351,157,296.91</w:t>
            </w:r>
          </w:p>
        </w:tc>
      </w:tr>
    </w:tbl>
    <w:p w14:paraId="4C234E77">
      <w:pPr>
        <w:pStyle w:val="48"/>
      </w:pPr>
    </w:p>
    <w:p w14:paraId="3449DDE2">
      <w:pPr>
        <w:pStyle w:val="48"/>
      </w:pPr>
    </w:p>
    <w:bookmarkEnd w:id="364"/>
    <w:p w14:paraId="73FD2479">
      <w:pPr>
        <w:pStyle w:val="4"/>
        <w:numPr>
          <w:ilvl w:val="0"/>
          <w:numId w:val="104"/>
        </w:numPr>
      </w:pPr>
      <w:bookmarkStart w:id="365" w:name="_Hlk153266294"/>
      <w:r>
        <w:rPr>
          <w:rFonts w:hint="eastAsia"/>
        </w:rPr>
        <w:t>符合资本化条件的研发项目开发支出</w:t>
      </w:r>
    </w:p>
    <w:sdt>
      <w:sdtPr>
        <w:alias w:val="是否适用：开发支出[双击切换]"/>
        <w:tag w:val="_GBC_173f2bb3b2db483e82638801b8b2955b"/>
        <w:id w:val="1232428233"/>
        <w:placeholder>
          <w:docPart w:val="GBC22222222222222222222222222222"/>
        </w:placeholder>
      </w:sdtPr>
      <w:sdtContent>
        <w:p w14:paraId="3EDB5435">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8D01366">
      <w:pPr>
        <w:jc w:val="right"/>
      </w:pPr>
      <w:r>
        <w:rPr>
          <w:rFonts w:hint="eastAsia"/>
        </w:rPr>
        <w:t>单位：</w:t>
      </w:r>
      <w:sdt>
        <w:sdtPr>
          <w:rPr>
            <w:rFonts w:hint="eastAsia"/>
          </w:rPr>
          <w:alias w:val="单位：财务附注：公司内部研究开发项目支出"/>
          <w:tag w:val="_GBC_2f26d1af60d640d8ae6df11f7c3276a6"/>
          <w:id w:val="-8207330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公司内部研究开发项目支出"/>
          <w:tag w:val="_GBC_80d0f4620eac45b4b19fbf32bd2ced2a"/>
          <w:id w:val="6760851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365"/>
    <w:tbl>
      <w:tblPr>
        <w:tblStyle w:val="57"/>
        <w:tblW w:w="10490"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7"/>
        <w:gridCol w:w="1506"/>
        <w:gridCol w:w="1536"/>
        <w:gridCol w:w="686"/>
        <w:gridCol w:w="1392"/>
        <w:gridCol w:w="1539"/>
        <w:gridCol w:w="1694"/>
      </w:tblGrid>
      <w:tr w14:paraId="7423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1020e27038849e9a3a6f9c2bdb6b53b"/>
            <w:id w:val="-578828112"/>
          </w:sdtPr>
          <w:sdtContent>
            <w:tc>
              <w:tcPr>
                <w:tcW w:w="2134" w:type="dxa"/>
                <w:vMerge w:val="restart"/>
                <w:tcBorders>
                  <w:top w:val="single" w:color="auto" w:sz="4" w:space="0"/>
                  <w:left w:val="single" w:color="auto" w:sz="4" w:space="0"/>
                  <w:right w:val="single" w:color="auto" w:sz="4" w:space="0"/>
                </w:tcBorders>
                <w:vAlign w:val="center"/>
              </w:tcPr>
              <w:p w14:paraId="21E9186B">
                <w:pPr>
                  <w:autoSpaceDE w:val="0"/>
                  <w:autoSpaceDN w:val="0"/>
                  <w:adjustRightInd w:val="0"/>
                  <w:jc w:val="center"/>
                  <w:rPr>
                    <w:rFonts w:ascii="Calibri" w:hAnsi="Calibri"/>
                    <w:sz w:val="20"/>
                    <w:szCs w:val="20"/>
                  </w:rPr>
                </w:pPr>
                <w:r>
                  <w:rPr>
                    <w:rFonts w:hint="eastAsia" w:ascii="Calibri" w:hAnsi="Calibri"/>
                    <w:sz w:val="20"/>
                    <w:szCs w:val="20"/>
                  </w:rPr>
                  <w:t>项目</w:t>
                </w:r>
              </w:p>
            </w:tc>
          </w:sdtContent>
        </w:sdt>
        <w:sdt>
          <w:sdtPr>
            <w:tag w:val="_PLD_44cbdcc9780c417b9cc4764bd9681218"/>
            <w:id w:val="1767658378"/>
          </w:sdtPr>
          <w:sdtContent>
            <w:tc>
              <w:tcPr>
                <w:tcW w:w="1505" w:type="dxa"/>
                <w:vMerge w:val="restart"/>
                <w:tcBorders>
                  <w:top w:val="single" w:color="auto" w:sz="4" w:space="0"/>
                  <w:left w:val="single" w:color="auto" w:sz="4" w:space="0"/>
                  <w:right w:val="single" w:color="auto" w:sz="4" w:space="0"/>
                </w:tcBorders>
                <w:vAlign w:val="center"/>
              </w:tcPr>
              <w:p w14:paraId="1DA18F2C">
                <w:pPr>
                  <w:autoSpaceDE w:val="0"/>
                  <w:autoSpaceDN w:val="0"/>
                  <w:adjustRightInd w:val="0"/>
                  <w:jc w:val="center"/>
                  <w:rPr>
                    <w:rFonts w:ascii="Calibri" w:hAnsi="Calibri"/>
                    <w:sz w:val="20"/>
                    <w:szCs w:val="20"/>
                  </w:rPr>
                </w:pPr>
                <w:r>
                  <w:rPr>
                    <w:rFonts w:hint="eastAsia" w:ascii="Calibri" w:hAnsi="Calibri"/>
                    <w:sz w:val="20"/>
                    <w:szCs w:val="20"/>
                  </w:rPr>
                  <w:t>期初</w:t>
                </w:r>
              </w:p>
              <w:p w14:paraId="7EEEEBB9">
                <w:pPr>
                  <w:autoSpaceDE w:val="0"/>
                  <w:autoSpaceDN w:val="0"/>
                  <w:adjustRightInd w:val="0"/>
                  <w:jc w:val="center"/>
                  <w:rPr>
                    <w:rFonts w:ascii="Calibri" w:hAnsi="Calibri"/>
                    <w:sz w:val="20"/>
                    <w:szCs w:val="20"/>
                  </w:rPr>
                </w:pPr>
                <w:r>
                  <w:rPr>
                    <w:rFonts w:hint="eastAsia" w:ascii="Calibri" w:hAnsi="Calibri"/>
                    <w:sz w:val="20"/>
                    <w:szCs w:val="20"/>
                  </w:rPr>
                  <w:t>余额</w:t>
                </w:r>
              </w:p>
            </w:tc>
          </w:sdtContent>
        </w:sdt>
        <w:sdt>
          <w:sdtPr>
            <w:tag w:val="_PLD_9c76623ecd084515a8d47bc110e4b8a0"/>
            <w:id w:val="717713374"/>
          </w:sdtPr>
          <w:sdtContent>
            <w:tc>
              <w:tcPr>
                <w:tcW w:w="2220" w:type="dxa"/>
                <w:gridSpan w:val="2"/>
                <w:tcBorders>
                  <w:top w:val="single" w:color="auto" w:sz="4" w:space="0"/>
                  <w:left w:val="single" w:color="auto" w:sz="4" w:space="0"/>
                  <w:right w:val="single" w:color="auto" w:sz="4" w:space="0"/>
                </w:tcBorders>
                <w:vAlign w:val="center"/>
              </w:tcPr>
              <w:p w14:paraId="515FBBA0">
                <w:pPr>
                  <w:autoSpaceDE w:val="0"/>
                  <w:autoSpaceDN w:val="0"/>
                  <w:adjustRightInd w:val="0"/>
                  <w:jc w:val="center"/>
                  <w:rPr>
                    <w:rFonts w:ascii="Calibri" w:hAnsi="Calibri"/>
                    <w:sz w:val="20"/>
                    <w:szCs w:val="20"/>
                  </w:rPr>
                </w:pPr>
                <w:r>
                  <w:rPr>
                    <w:rFonts w:hint="eastAsia" w:ascii="Calibri" w:hAnsi="Calibri"/>
                    <w:sz w:val="20"/>
                    <w:szCs w:val="20"/>
                  </w:rPr>
                  <w:t>本期增加金额</w:t>
                </w:r>
              </w:p>
            </w:tc>
          </w:sdtContent>
        </w:sdt>
        <w:sdt>
          <w:sdtPr>
            <w:tag w:val="_PLD_9fa2a4176eaf49129938010458eb1eaa"/>
            <w:id w:val="-439216679"/>
          </w:sdtPr>
          <w:sdtContent>
            <w:tc>
              <w:tcPr>
                <w:tcW w:w="2929" w:type="dxa"/>
                <w:gridSpan w:val="2"/>
                <w:tcBorders>
                  <w:top w:val="single" w:color="auto" w:sz="4" w:space="0"/>
                  <w:left w:val="single" w:color="auto" w:sz="4" w:space="0"/>
                  <w:bottom w:val="single" w:color="auto" w:sz="4" w:space="0"/>
                  <w:right w:val="single" w:color="auto" w:sz="4" w:space="0"/>
                </w:tcBorders>
                <w:vAlign w:val="center"/>
              </w:tcPr>
              <w:p w14:paraId="577991BB">
                <w:pPr>
                  <w:ind w:left="-65" w:right="5" w:hanging="48"/>
                  <w:jc w:val="center"/>
                  <w:rPr>
                    <w:rFonts w:ascii="Calibri" w:hAnsi="Calibri"/>
                    <w:sz w:val="20"/>
                    <w:szCs w:val="20"/>
                  </w:rPr>
                </w:pPr>
                <w:r>
                  <w:rPr>
                    <w:rFonts w:hint="eastAsia" w:ascii="Calibri" w:hAnsi="Calibri"/>
                    <w:sz w:val="20"/>
                    <w:szCs w:val="20"/>
                  </w:rPr>
                  <w:t>本期减少金额</w:t>
                </w:r>
              </w:p>
            </w:tc>
          </w:sdtContent>
        </w:sdt>
        <w:sdt>
          <w:sdtPr>
            <w:tag w:val="_PLD_c581e517ab214d7daa0b883d1e58bd9a"/>
            <w:id w:val="1666283666"/>
          </w:sdtPr>
          <w:sdtContent>
            <w:tc>
              <w:tcPr>
                <w:tcW w:w="1693" w:type="dxa"/>
                <w:vMerge w:val="restart"/>
                <w:tcBorders>
                  <w:top w:val="single" w:color="auto" w:sz="4" w:space="0"/>
                  <w:left w:val="single" w:color="auto" w:sz="4" w:space="0"/>
                  <w:right w:val="single" w:color="auto" w:sz="4" w:space="0"/>
                </w:tcBorders>
                <w:vAlign w:val="center"/>
              </w:tcPr>
              <w:p w14:paraId="7BCC55D9">
                <w:pPr>
                  <w:autoSpaceDE w:val="0"/>
                  <w:autoSpaceDN w:val="0"/>
                  <w:adjustRightInd w:val="0"/>
                  <w:jc w:val="center"/>
                  <w:rPr>
                    <w:rFonts w:ascii="Calibri" w:hAnsi="Calibri"/>
                    <w:sz w:val="20"/>
                    <w:szCs w:val="20"/>
                  </w:rPr>
                </w:pPr>
                <w:r>
                  <w:rPr>
                    <w:rFonts w:hint="eastAsia" w:ascii="Calibri" w:hAnsi="Calibri"/>
                    <w:sz w:val="20"/>
                    <w:szCs w:val="20"/>
                  </w:rPr>
                  <w:t>期末</w:t>
                </w:r>
              </w:p>
              <w:p w14:paraId="237BA3B6">
                <w:pPr>
                  <w:autoSpaceDE w:val="0"/>
                  <w:autoSpaceDN w:val="0"/>
                  <w:adjustRightInd w:val="0"/>
                  <w:jc w:val="center"/>
                  <w:rPr>
                    <w:rFonts w:ascii="Calibri" w:hAnsi="Calibri"/>
                    <w:sz w:val="20"/>
                    <w:szCs w:val="20"/>
                  </w:rPr>
                </w:pPr>
                <w:r>
                  <w:rPr>
                    <w:rFonts w:hint="eastAsia" w:ascii="Calibri" w:hAnsi="Calibri"/>
                    <w:sz w:val="20"/>
                    <w:szCs w:val="20"/>
                  </w:rPr>
                  <w:t>余额</w:t>
                </w:r>
              </w:p>
            </w:tc>
          </w:sdtContent>
        </w:sdt>
      </w:tr>
      <w:tr w14:paraId="20AF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vMerge w:val="continue"/>
            <w:tcBorders>
              <w:left w:val="single" w:color="auto" w:sz="4" w:space="0"/>
              <w:bottom w:val="single" w:color="auto" w:sz="4" w:space="0"/>
              <w:right w:val="single" w:color="auto" w:sz="4" w:space="0"/>
            </w:tcBorders>
            <w:vAlign w:val="center"/>
          </w:tcPr>
          <w:p w14:paraId="33B06E07">
            <w:pPr>
              <w:autoSpaceDE w:val="0"/>
              <w:autoSpaceDN w:val="0"/>
              <w:adjustRightInd w:val="0"/>
              <w:rPr>
                <w:rFonts w:ascii="Calibri" w:hAnsi="Calibri"/>
                <w:sz w:val="20"/>
                <w:szCs w:val="20"/>
              </w:rPr>
            </w:pPr>
          </w:p>
        </w:tc>
        <w:tc>
          <w:tcPr>
            <w:tcW w:w="1505" w:type="dxa"/>
            <w:vMerge w:val="continue"/>
            <w:tcBorders>
              <w:left w:val="single" w:color="auto" w:sz="4" w:space="0"/>
              <w:bottom w:val="single" w:color="auto" w:sz="4" w:space="0"/>
              <w:right w:val="single" w:color="auto" w:sz="4" w:space="0"/>
            </w:tcBorders>
            <w:vAlign w:val="center"/>
          </w:tcPr>
          <w:p w14:paraId="7CDD8D8B">
            <w:pPr>
              <w:autoSpaceDE w:val="0"/>
              <w:autoSpaceDN w:val="0"/>
              <w:adjustRightInd w:val="0"/>
              <w:jc w:val="center"/>
              <w:rPr>
                <w:rFonts w:ascii="Calibri" w:hAnsi="Calibri"/>
                <w:sz w:val="20"/>
                <w:szCs w:val="20"/>
              </w:rPr>
            </w:pPr>
          </w:p>
        </w:tc>
        <w:sdt>
          <w:sdtPr>
            <w:tag w:val="_PLD_7577db449e9848f9bca3c8719ffde6c6"/>
            <w:id w:val="-524489907"/>
          </w:sdtPr>
          <w:sdtContent>
            <w:tc>
              <w:tcPr>
                <w:tcW w:w="1535" w:type="dxa"/>
                <w:tcBorders>
                  <w:left w:val="single" w:color="auto" w:sz="4" w:space="0"/>
                  <w:bottom w:val="single" w:color="auto" w:sz="4" w:space="0"/>
                  <w:right w:val="single" w:color="auto" w:sz="4" w:space="0"/>
                </w:tcBorders>
                <w:vAlign w:val="center"/>
              </w:tcPr>
              <w:p w14:paraId="4EF2289E">
                <w:pPr>
                  <w:autoSpaceDE w:val="0"/>
                  <w:autoSpaceDN w:val="0"/>
                  <w:adjustRightInd w:val="0"/>
                  <w:jc w:val="center"/>
                  <w:rPr>
                    <w:rFonts w:ascii="Calibri" w:hAnsi="Calibri"/>
                    <w:sz w:val="20"/>
                    <w:szCs w:val="20"/>
                  </w:rPr>
                </w:pPr>
                <w:r>
                  <w:rPr>
                    <w:rFonts w:hint="eastAsia" w:ascii="Calibri" w:hAnsi="Calibri"/>
                    <w:sz w:val="20"/>
                    <w:szCs w:val="20"/>
                  </w:rPr>
                  <w:t>内部开发支出</w:t>
                </w:r>
              </w:p>
            </w:tc>
          </w:sdtContent>
        </w:sdt>
        <w:sdt>
          <w:sdtPr>
            <w:tag w:val="_PLD_a26a6ee3ba464c93ac279143ea6ecf66"/>
            <w:id w:val="1582486833"/>
          </w:sdtPr>
          <w:sdtContent>
            <w:tc>
              <w:tcPr>
                <w:tcW w:w="685" w:type="dxa"/>
                <w:tcBorders>
                  <w:left w:val="single" w:color="auto" w:sz="4" w:space="0"/>
                  <w:bottom w:val="single" w:color="auto" w:sz="4" w:space="0"/>
                  <w:right w:val="single" w:color="auto" w:sz="4" w:space="0"/>
                </w:tcBorders>
                <w:vAlign w:val="center"/>
              </w:tcPr>
              <w:p w14:paraId="0FA60C0E">
                <w:pPr>
                  <w:autoSpaceDE w:val="0"/>
                  <w:autoSpaceDN w:val="0"/>
                  <w:adjustRightInd w:val="0"/>
                  <w:jc w:val="center"/>
                  <w:rPr>
                    <w:rFonts w:ascii="Calibri" w:hAnsi="Calibri"/>
                    <w:sz w:val="20"/>
                    <w:szCs w:val="20"/>
                  </w:rPr>
                </w:pPr>
                <w:r>
                  <w:rPr>
                    <w:rFonts w:hint="eastAsia" w:ascii="Calibri" w:hAnsi="Calibri"/>
                    <w:sz w:val="20"/>
                    <w:szCs w:val="20"/>
                  </w:rPr>
                  <w:t>其他</w:t>
                </w:r>
              </w:p>
            </w:tc>
          </w:sdtContent>
        </w:sdt>
        <w:sdt>
          <w:sdtPr>
            <w:tag w:val="_PLD_089da2c79de74f0888df3ff6f12d5eaa"/>
            <w:id w:val="1111088939"/>
          </w:sdtPr>
          <w:sdtContent>
            <w:tc>
              <w:tcPr>
                <w:tcW w:w="1391" w:type="dxa"/>
                <w:tcBorders>
                  <w:top w:val="single" w:color="auto" w:sz="4" w:space="0"/>
                  <w:left w:val="single" w:color="auto" w:sz="4" w:space="0"/>
                  <w:bottom w:val="single" w:color="auto" w:sz="4" w:space="0"/>
                  <w:right w:val="single" w:color="auto" w:sz="4" w:space="0"/>
                </w:tcBorders>
                <w:vAlign w:val="center"/>
              </w:tcPr>
              <w:p w14:paraId="6CC49D52">
                <w:pPr>
                  <w:autoSpaceDE w:val="0"/>
                  <w:autoSpaceDN w:val="0"/>
                  <w:adjustRightInd w:val="0"/>
                  <w:jc w:val="center"/>
                  <w:rPr>
                    <w:rFonts w:ascii="Calibri" w:hAnsi="Calibri"/>
                    <w:sz w:val="20"/>
                    <w:szCs w:val="20"/>
                  </w:rPr>
                </w:pPr>
                <w:r>
                  <w:rPr>
                    <w:rFonts w:hint="eastAsia" w:ascii="Calibri" w:hAnsi="Calibri"/>
                    <w:sz w:val="20"/>
                    <w:szCs w:val="20"/>
                  </w:rPr>
                  <w:t>确认为无形资产</w:t>
                </w:r>
              </w:p>
            </w:tc>
          </w:sdtContent>
        </w:sdt>
        <w:sdt>
          <w:sdtPr>
            <w:tag w:val="_PLD_4aebaff9e1ff45ea8c8ebabb1454edeb"/>
            <w:id w:val="-728293595"/>
          </w:sdtPr>
          <w:sdtContent>
            <w:tc>
              <w:tcPr>
                <w:tcW w:w="1538" w:type="dxa"/>
                <w:tcBorders>
                  <w:top w:val="single" w:color="auto" w:sz="4" w:space="0"/>
                  <w:left w:val="single" w:color="auto" w:sz="4" w:space="0"/>
                  <w:bottom w:val="single" w:color="auto" w:sz="4" w:space="0"/>
                  <w:right w:val="single" w:color="auto" w:sz="4" w:space="0"/>
                </w:tcBorders>
                <w:vAlign w:val="center"/>
              </w:tcPr>
              <w:p w14:paraId="13DAFD37">
                <w:pPr>
                  <w:autoSpaceDE w:val="0"/>
                  <w:autoSpaceDN w:val="0"/>
                  <w:adjustRightInd w:val="0"/>
                  <w:jc w:val="center"/>
                  <w:rPr>
                    <w:rFonts w:ascii="Calibri" w:hAnsi="Calibri"/>
                    <w:sz w:val="20"/>
                    <w:szCs w:val="20"/>
                  </w:rPr>
                </w:pPr>
                <w:r>
                  <w:rPr>
                    <w:rFonts w:hint="eastAsia" w:ascii="Calibri" w:hAnsi="Calibri"/>
                    <w:sz w:val="20"/>
                    <w:szCs w:val="20"/>
                  </w:rPr>
                  <w:t>转入当期损益</w:t>
                </w:r>
              </w:p>
            </w:tc>
          </w:sdtContent>
        </w:sdt>
        <w:tc>
          <w:tcPr>
            <w:tcW w:w="1693" w:type="dxa"/>
            <w:vMerge w:val="continue"/>
            <w:tcBorders>
              <w:left w:val="single" w:color="auto" w:sz="4" w:space="0"/>
              <w:bottom w:val="single" w:color="auto" w:sz="4" w:space="0"/>
              <w:right w:val="single" w:color="auto" w:sz="4" w:space="0"/>
            </w:tcBorders>
            <w:vAlign w:val="center"/>
          </w:tcPr>
          <w:p w14:paraId="2841BA48">
            <w:pPr>
              <w:autoSpaceDE w:val="0"/>
              <w:autoSpaceDN w:val="0"/>
              <w:adjustRightInd w:val="0"/>
              <w:jc w:val="center"/>
              <w:rPr>
                <w:rFonts w:ascii="Calibri" w:hAnsi="Calibri"/>
                <w:color w:val="222222"/>
                <w:sz w:val="20"/>
                <w:szCs w:val="20"/>
              </w:rPr>
            </w:pPr>
          </w:p>
        </w:tc>
      </w:tr>
      <w:tr w14:paraId="4FB5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6A2BBB10">
            <w:pPr>
              <w:pStyle w:val="48"/>
              <w:rPr>
                <w:sz w:val="20"/>
                <w:szCs w:val="20"/>
              </w:rPr>
            </w:pPr>
            <w:r>
              <w:rPr>
                <w:rFonts w:hint="eastAsia" w:ascii="宋体" w:hAnsi="宋体"/>
                <w:sz w:val="18"/>
                <w:szCs w:val="18"/>
              </w:rPr>
              <w:t>胰岛素境外研发支出</w:t>
            </w:r>
          </w:p>
        </w:tc>
        <w:tc>
          <w:tcPr>
            <w:tcW w:w="1505" w:type="dxa"/>
            <w:tcBorders>
              <w:top w:val="single" w:color="auto" w:sz="4" w:space="0"/>
              <w:left w:val="single" w:color="auto" w:sz="4" w:space="0"/>
              <w:bottom w:val="single" w:color="auto" w:sz="4" w:space="0"/>
              <w:right w:val="single" w:color="auto" w:sz="4" w:space="0"/>
            </w:tcBorders>
            <w:vAlign w:val="center"/>
          </w:tcPr>
          <w:p w14:paraId="7E846412">
            <w:pPr>
              <w:jc w:val="right"/>
              <w:rPr>
                <w:rFonts w:ascii="Calibri" w:hAnsi="Calibri"/>
                <w:sz w:val="18"/>
                <w:szCs w:val="18"/>
              </w:rPr>
            </w:pPr>
            <w:r>
              <w:rPr>
                <w:rFonts w:ascii="Calibri" w:hAnsi="Calibri"/>
                <w:sz w:val="18"/>
                <w:szCs w:val="18"/>
              </w:rPr>
              <w:t>63,646,349.03</w:t>
            </w:r>
          </w:p>
        </w:tc>
        <w:tc>
          <w:tcPr>
            <w:tcW w:w="1535" w:type="dxa"/>
            <w:tcBorders>
              <w:top w:val="single" w:color="auto" w:sz="4" w:space="0"/>
              <w:left w:val="single" w:color="auto" w:sz="4" w:space="0"/>
              <w:bottom w:val="single" w:color="auto" w:sz="4" w:space="0"/>
              <w:right w:val="single" w:color="auto" w:sz="4" w:space="0"/>
            </w:tcBorders>
            <w:vAlign w:val="center"/>
          </w:tcPr>
          <w:p w14:paraId="233E9D8A">
            <w:pPr>
              <w:jc w:val="right"/>
              <w:rPr>
                <w:rFonts w:ascii="Calibri" w:hAnsi="Calibri"/>
                <w:sz w:val="18"/>
                <w:szCs w:val="18"/>
              </w:rPr>
            </w:pPr>
            <w:r>
              <w:rPr>
                <w:rFonts w:ascii="Calibri" w:hAnsi="Calibri"/>
                <w:sz w:val="18"/>
                <w:szCs w:val="18"/>
              </w:rPr>
              <w:t>72,984.86</w:t>
            </w:r>
          </w:p>
        </w:tc>
        <w:tc>
          <w:tcPr>
            <w:tcW w:w="685" w:type="dxa"/>
            <w:tcBorders>
              <w:top w:val="single" w:color="auto" w:sz="4" w:space="0"/>
              <w:left w:val="single" w:color="auto" w:sz="4" w:space="0"/>
              <w:bottom w:val="single" w:color="auto" w:sz="4" w:space="0"/>
              <w:right w:val="single" w:color="auto" w:sz="4" w:space="0"/>
            </w:tcBorders>
            <w:vAlign w:val="center"/>
          </w:tcPr>
          <w:p w14:paraId="6E4A1351">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68EF8BA1">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0A6F54D6">
            <w:pPr>
              <w:jc w:val="right"/>
              <w:rPr>
                <w:rFonts w:ascii="Calibri" w:hAnsi="Calibri"/>
                <w:sz w:val="18"/>
                <w:szCs w:val="18"/>
              </w:rPr>
            </w:pPr>
            <w:r>
              <w:rPr>
                <w:rFonts w:ascii="Calibri" w:hAnsi="Calibri"/>
                <w:sz w:val="18"/>
                <w:szCs w:val="18"/>
              </w:rPr>
              <w:t>63,719,333.89</w:t>
            </w:r>
          </w:p>
        </w:tc>
        <w:tc>
          <w:tcPr>
            <w:tcW w:w="1693" w:type="dxa"/>
            <w:tcBorders>
              <w:top w:val="single" w:color="auto" w:sz="4" w:space="0"/>
              <w:left w:val="single" w:color="auto" w:sz="4" w:space="0"/>
              <w:bottom w:val="single" w:color="auto" w:sz="4" w:space="0"/>
              <w:right w:val="single" w:color="auto" w:sz="4" w:space="0"/>
            </w:tcBorders>
            <w:vAlign w:val="center"/>
          </w:tcPr>
          <w:p w14:paraId="6BD9E055">
            <w:pPr>
              <w:jc w:val="right"/>
              <w:rPr>
                <w:rFonts w:ascii="Calibri" w:hAnsi="Calibri"/>
                <w:sz w:val="18"/>
                <w:szCs w:val="18"/>
              </w:rPr>
            </w:pPr>
          </w:p>
        </w:tc>
      </w:tr>
      <w:tr w14:paraId="3288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530B8472">
            <w:pPr>
              <w:pStyle w:val="48"/>
              <w:rPr>
                <w:sz w:val="20"/>
                <w:szCs w:val="20"/>
              </w:rPr>
            </w:pPr>
            <w:r>
              <w:rPr>
                <w:rFonts w:hint="eastAsia" w:ascii="宋体" w:hAnsi="宋体"/>
                <w:sz w:val="18"/>
                <w:szCs w:val="18"/>
              </w:rPr>
              <w:t>德谷胰岛素原料及注射液（DB06）</w:t>
            </w:r>
          </w:p>
        </w:tc>
        <w:tc>
          <w:tcPr>
            <w:tcW w:w="1505" w:type="dxa"/>
            <w:tcBorders>
              <w:top w:val="single" w:color="auto" w:sz="4" w:space="0"/>
              <w:left w:val="single" w:color="auto" w:sz="4" w:space="0"/>
              <w:bottom w:val="single" w:color="auto" w:sz="4" w:space="0"/>
              <w:right w:val="single" w:color="auto" w:sz="4" w:space="0"/>
            </w:tcBorders>
            <w:vAlign w:val="center"/>
          </w:tcPr>
          <w:p w14:paraId="60602269">
            <w:pPr>
              <w:jc w:val="right"/>
              <w:rPr>
                <w:rFonts w:ascii="Calibri" w:hAnsi="Calibri"/>
                <w:sz w:val="18"/>
                <w:szCs w:val="18"/>
              </w:rPr>
            </w:pPr>
            <w:r>
              <w:rPr>
                <w:rFonts w:ascii="Calibri" w:hAnsi="Calibri"/>
                <w:sz w:val="18"/>
                <w:szCs w:val="18"/>
              </w:rPr>
              <w:t>13,611,710.32</w:t>
            </w:r>
          </w:p>
        </w:tc>
        <w:tc>
          <w:tcPr>
            <w:tcW w:w="1535" w:type="dxa"/>
            <w:tcBorders>
              <w:top w:val="single" w:color="auto" w:sz="4" w:space="0"/>
              <w:left w:val="single" w:color="auto" w:sz="4" w:space="0"/>
              <w:bottom w:val="single" w:color="auto" w:sz="4" w:space="0"/>
              <w:right w:val="single" w:color="auto" w:sz="4" w:space="0"/>
            </w:tcBorders>
            <w:vAlign w:val="center"/>
          </w:tcPr>
          <w:p w14:paraId="4326A341">
            <w:pPr>
              <w:jc w:val="right"/>
              <w:rPr>
                <w:rFonts w:ascii="Calibri" w:hAnsi="Calibri"/>
                <w:sz w:val="18"/>
                <w:szCs w:val="18"/>
              </w:rPr>
            </w:pPr>
          </w:p>
        </w:tc>
        <w:tc>
          <w:tcPr>
            <w:tcW w:w="685" w:type="dxa"/>
            <w:tcBorders>
              <w:top w:val="single" w:color="auto" w:sz="4" w:space="0"/>
              <w:left w:val="single" w:color="auto" w:sz="4" w:space="0"/>
              <w:bottom w:val="single" w:color="auto" w:sz="4" w:space="0"/>
              <w:right w:val="single" w:color="auto" w:sz="4" w:space="0"/>
            </w:tcBorders>
            <w:vAlign w:val="center"/>
          </w:tcPr>
          <w:p w14:paraId="30D27961">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3DDB3B83">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11E7AE02">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17C7FE99">
            <w:pPr>
              <w:jc w:val="right"/>
              <w:rPr>
                <w:rFonts w:ascii="Calibri" w:hAnsi="Calibri"/>
                <w:sz w:val="18"/>
                <w:szCs w:val="18"/>
              </w:rPr>
            </w:pPr>
            <w:r>
              <w:rPr>
                <w:rFonts w:ascii="Calibri" w:hAnsi="Calibri"/>
                <w:sz w:val="18"/>
                <w:szCs w:val="18"/>
              </w:rPr>
              <w:t>13,611,710.32</w:t>
            </w:r>
          </w:p>
        </w:tc>
      </w:tr>
      <w:tr w14:paraId="07F0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4ACC5EF7">
            <w:pPr>
              <w:pStyle w:val="48"/>
              <w:rPr>
                <w:sz w:val="20"/>
                <w:szCs w:val="20"/>
              </w:rPr>
            </w:pPr>
            <w:r>
              <w:rPr>
                <w:rFonts w:hint="eastAsia" w:ascii="宋体" w:hAnsi="宋体"/>
                <w:sz w:val="18"/>
                <w:szCs w:val="18"/>
              </w:rPr>
              <w:t>门冬国际注册 （THDB0218）</w:t>
            </w:r>
          </w:p>
        </w:tc>
        <w:tc>
          <w:tcPr>
            <w:tcW w:w="1505" w:type="dxa"/>
            <w:tcBorders>
              <w:top w:val="single" w:color="auto" w:sz="4" w:space="0"/>
              <w:left w:val="single" w:color="auto" w:sz="4" w:space="0"/>
              <w:bottom w:val="single" w:color="auto" w:sz="4" w:space="0"/>
              <w:right w:val="single" w:color="auto" w:sz="4" w:space="0"/>
            </w:tcBorders>
            <w:vAlign w:val="center"/>
          </w:tcPr>
          <w:p w14:paraId="1F39BAA8">
            <w:pPr>
              <w:jc w:val="right"/>
              <w:rPr>
                <w:rFonts w:ascii="Calibri" w:hAnsi="Calibri"/>
                <w:sz w:val="18"/>
                <w:szCs w:val="18"/>
              </w:rPr>
            </w:pPr>
            <w:r>
              <w:rPr>
                <w:rFonts w:ascii="Calibri" w:hAnsi="Calibri"/>
                <w:sz w:val="18"/>
                <w:szCs w:val="18"/>
              </w:rPr>
              <w:t>10,428,794.11</w:t>
            </w:r>
          </w:p>
        </w:tc>
        <w:tc>
          <w:tcPr>
            <w:tcW w:w="1535" w:type="dxa"/>
            <w:tcBorders>
              <w:top w:val="single" w:color="auto" w:sz="4" w:space="0"/>
              <w:left w:val="single" w:color="auto" w:sz="4" w:space="0"/>
              <w:bottom w:val="single" w:color="auto" w:sz="4" w:space="0"/>
              <w:right w:val="single" w:color="auto" w:sz="4" w:space="0"/>
            </w:tcBorders>
            <w:vAlign w:val="center"/>
          </w:tcPr>
          <w:p w14:paraId="6886B2EF">
            <w:pPr>
              <w:jc w:val="right"/>
              <w:rPr>
                <w:rFonts w:ascii="Calibri" w:hAnsi="Calibri"/>
                <w:sz w:val="18"/>
                <w:szCs w:val="18"/>
              </w:rPr>
            </w:pPr>
            <w:r>
              <w:rPr>
                <w:rFonts w:ascii="Calibri" w:hAnsi="Calibri"/>
                <w:sz w:val="18"/>
                <w:szCs w:val="18"/>
              </w:rPr>
              <w:t>20,836,549.16</w:t>
            </w:r>
          </w:p>
        </w:tc>
        <w:tc>
          <w:tcPr>
            <w:tcW w:w="685" w:type="dxa"/>
            <w:tcBorders>
              <w:top w:val="single" w:color="auto" w:sz="4" w:space="0"/>
              <w:left w:val="single" w:color="auto" w:sz="4" w:space="0"/>
              <w:bottom w:val="single" w:color="auto" w:sz="4" w:space="0"/>
              <w:right w:val="single" w:color="auto" w:sz="4" w:space="0"/>
            </w:tcBorders>
            <w:vAlign w:val="center"/>
          </w:tcPr>
          <w:p w14:paraId="4F01DDF5">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16F89DE5">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699DFD42">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2565F218">
            <w:pPr>
              <w:jc w:val="right"/>
              <w:rPr>
                <w:rFonts w:ascii="Calibri" w:hAnsi="Calibri"/>
                <w:sz w:val="18"/>
                <w:szCs w:val="18"/>
              </w:rPr>
            </w:pPr>
            <w:r>
              <w:rPr>
                <w:rFonts w:ascii="Calibri" w:hAnsi="Calibri"/>
                <w:sz w:val="18"/>
                <w:szCs w:val="18"/>
              </w:rPr>
              <w:t>31,265,343.27</w:t>
            </w:r>
          </w:p>
        </w:tc>
      </w:tr>
      <w:tr w14:paraId="693E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30A845F7">
            <w:pPr>
              <w:pStyle w:val="48"/>
              <w:rPr>
                <w:sz w:val="20"/>
                <w:szCs w:val="20"/>
              </w:rPr>
            </w:pPr>
            <w:r>
              <w:rPr>
                <w:rFonts w:hint="eastAsia" w:ascii="宋体" w:hAnsi="宋体"/>
                <w:sz w:val="18"/>
                <w:szCs w:val="18"/>
              </w:rPr>
              <w:t>重组赖脯胰岛素原料药及注射液（DB04）</w:t>
            </w:r>
          </w:p>
        </w:tc>
        <w:tc>
          <w:tcPr>
            <w:tcW w:w="1505" w:type="dxa"/>
            <w:tcBorders>
              <w:top w:val="single" w:color="auto" w:sz="4" w:space="0"/>
              <w:left w:val="single" w:color="auto" w:sz="4" w:space="0"/>
              <w:bottom w:val="single" w:color="auto" w:sz="4" w:space="0"/>
              <w:right w:val="single" w:color="auto" w:sz="4" w:space="0"/>
            </w:tcBorders>
            <w:vAlign w:val="center"/>
          </w:tcPr>
          <w:p w14:paraId="680AA60C">
            <w:pPr>
              <w:jc w:val="right"/>
              <w:rPr>
                <w:rFonts w:ascii="Calibri" w:hAnsi="Calibri"/>
                <w:sz w:val="18"/>
                <w:szCs w:val="18"/>
              </w:rPr>
            </w:pPr>
            <w:r>
              <w:rPr>
                <w:rFonts w:ascii="Calibri" w:hAnsi="Calibri"/>
                <w:sz w:val="18"/>
                <w:szCs w:val="18"/>
              </w:rPr>
              <w:t>45,637,300.39</w:t>
            </w:r>
          </w:p>
        </w:tc>
        <w:tc>
          <w:tcPr>
            <w:tcW w:w="1535" w:type="dxa"/>
            <w:tcBorders>
              <w:top w:val="single" w:color="auto" w:sz="4" w:space="0"/>
              <w:left w:val="single" w:color="auto" w:sz="4" w:space="0"/>
              <w:bottom w:val="single" w:color="auto" w:sz="4" w:space="0"/>
              <w:right w:val="single" w:color="auto" w:sz="4" w:space="0"/>
            </w:tcBorders>
            <w:vAlign w:val="center"/>
          </w:tcPr>
          <w:p w14:paraId="5D486FF7">
            <w:pPr>
              <w:jc w:val="right"/>
              <w:rPr>
                <w:rFonts w:ascii="Calibri" w:hAnsi="Calibri"/>
                <w:sz w:val="18"/>
                <w:szCs w:val="18"/>
              </w:rPr>
            </w:pPr>
          </w:p>
        </w:tc>
        <w:tc>
          <w:tcPr>
            <w:tcW w:w="685" w:type="dxa"/>
            <w:tcBorders>
              <w:top w:val="single" w:color="auto" w:sz="4" w:space="0"/>
              <w:left w:val="single" w:color="auto" w:sz="4" w:space="0"/>
              <w:bottom w:val="single" w:color="auto" w:sz="4" w:space="0"/>
              <w:right w:val="single" w:color="auto" w:sz="4" w:space="0"/>
            </w:tcBorders>
            <w:vAlign w:val="center"/>
          </w:tcPr>
          <w:p w14:paraId="336318D5">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21175D48">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6EB87A5F">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403396C0">
            <w:pPr>
              <w:jc w:val="right"/>
              <w:rPr>
                <w:rFonts w:ascii="Calibri" w:hAnsi="Calibri"/>
                <w:sz w:val="18"/>
                <w:szCs w:val="18"/>
              </w:rPr>
            </w:pPr>
            <w:r>
              <w:rPr>
                <w:rFonts w:ascii="Calibri" w:hAnsi="Calibri"/>
                <w:sz w:val="18"/>
                <w:szCs w:val="18"/>
              </w:rPr>
              <w:t>45,637,300.39</w:t>
            </w:r>
          </w:p>
        </w:tc>
      </w:tr>
      <w:tr w14:paraId="19EF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1A3B8F69">
            <w:pPr>
              <w:pStyle w:val="48"/>
              <w:rPr>
                <w:sz w:val="20"/>
                <w:szCs w:val="20"/>
              </w:rPr>
            </w:pPr>
            <w:r>
              <w:rPr>
                <w:rFonts w:hint="eastAsia" w:ascii="宋体" w:hAnsi="宋体"/>
                <w:sz w:val="18"/>
                <w:szCs w:val="18"/>
              </w:rPr>
              <w:t>超速效型胰岛素类似物的研究与开发（BC Lispro）（THDB0206）</w:t>
            </w:r>
          </w:p>
        </w:tc>
        <w:tc>
          <w:tcPr>
            <w:tcW w:w="1505" w:type="dxa"/>
            <w:tcBorders>
              <w:top w:val="single" w:color="auto" w:sz="4" w:space="0"/>
              <w:left w:val="single" w:color="auto" w:sz="4" w:space="0"/>
              <w:bottom w:val="single" w:color="auto" w:sz="4" w:space="0"/>
              <w:right w:val="single" w:color="auto" w:sz="4" w:space="0"/>
            </w:tcBorders>
            <w:vAlign w:val="center"/>
          </w:tcPr>
          <w:p w14:paraId="205BA3DE">
            <w:pPr>
              <w:jc w:val="right"/>
              <w:rPr>
                <w:rFonts w:ascii="Calibri" w:hAnsi="Calibri"/>
                <w:sz w:val="18"/>
                <w:szCs w:val="18"/>
              </w:rPr>
            </w:pPr>
            <w:r>
              <w:rPr>
                <w:rFonts w:ascii="Calibri" w:hAnsi="Calibri"/>
                <w:sz w:val="18"/>
                <w:szCs w:val="18"/>
              </w:rPr>
              <w:t>351,591,695.75</w:t>
            </w:r>
          </w:p>
        </w:tc>
        <w:tc>
          <w:tcPr>
            <w:tcW w:w="1535" w:type="dxa"/>
            <w:tcBorders>
              <w:top w:val="single" w:color="auto" w:sz="4" w:space="0"/>
              <w:left w:val="single" w:color="auto" w:sz="4" w:space="0"/>
              <w:bottom w:val="single" w:color="auto" w:sz="4" w:space="0"/>
              <w:right w:val="single" w:color="auto" w:sz="4" w:space="0"/>
            </w:tcBorders>
            <w:vAlign w:val="center"/>
          </w:tcPr>
          <w:p w14:paraId="337F5698">
            <w:pPr>
              <w:jc w:val="right"/>
              <w:rPr>
                <w:rFonts w:ascii="Calibri" w:hAnsi="Calibri"/>
                <w:sz w:val="18"/>
                <w:szCs w:val="18"/>
              </w:rPr>
            </w:pPr>
            <w:r>
              <w:rPr>
                <w:rFonts w:ascii="Calibri" w:hAnsi="Calibri"/>
                <w:sz w:val="18"/>
                <w:szCs w:val="18"/>
              </w:rPr>
              <w:t>143,320,893.90</w:t>
            </w:r>
          </w:p>
        </w:tc>
        <w:tc>
          <w:tcPr>
            <w:tcW w:w="685" w:type="dxa"/>
            <w:tcBorders>
              <w:top w:val="single" w:color="auto" w:sz="4" w:space="0"/>
              <w:left w:val="single" w:color="auto" w:sz="4" w:space="0"/>
              <w:bottom w:val="single" w:color="auto" w:sz="4" w:space="0"/>
              <w:right w:val="single" w:color="auto" w:sz="4" w:space="0"/>
            </w:tcBorders>
            <w:vAlign w:val="center"/>
          </w:tcPr>
          <w:p w14:paraId="29A9EFD2">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3D09DC02">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024931A7">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7CB4FE61">
            <w:pPr>
              <w:jc w:val="right"/>
              <w:rPr>
                <w:rFonts w:ascii="Calibri" w:hAnsi="Calibri"/>
                <w:sz w:val="18"/>
                <w:szCs w:val="18"/>
              </w:rPr>
            </w:pPr>
            <w:r>
              <w:rPr>
                <w:rFonts w:ascii="Calibri" w:hAnsi="Calibri"/>
                <w:sz w:val="18"/>
                <w:szCs w:val="18"/>
              </w:rPr>
              <w:t>494,912,589.65</w:t>
            </w:r>
          </w:p>
        </w:tc>
      </w:tr>
      <w:tr w14:paraId="46A6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7BDB6FCE">
            <w:pPr>
              <w:pStyle w:val="48"/>
              <w:rPr>
                <w:sz w:val="20"/>
                <w:szCs w:val="20"/>
              </w:rPr>
            </w:pPr>
            <w:r>
              <w:rPr>
                <w:rFonts w:hint="eastAsia" w:ascii="宋体" w:hAnsi="宋体"/>
                <w:sz w:val="18"/>
                <w:szCs w:val="18"/>
              </w:rPr>
              <w:t>赖脯胰岛素注射液（25R）(DB042)</w:t>
            </w:r>
          </w:p>
        </w:tc>
        <w:tc>
          <w:tcPr>
            <w:tcW w:w="1505" w:type="dxa"/>
            <w:tcBorders>
              <w:top w:val="single" w:color="auto" w:sz="4" w:space="0"/>
              <w:left w:val="single" w:color="auto" w:sz="4" w:space="0"/>
              <w:bottom w:val="single" w:color="auto" w:sz="4" w:space="0"/>
              <w:right w:val="single" w:color="auto" w:sz="4" w:space="0"/>
            </w:tcBorders>
            <w:vAlign w:val="center"/>
          </w:tcPr>
          <w:p w14:paraId="218400A4">
            <w:pPr>
              <w:jc w:val="right"/>
              <w:rPr>
                <w:rFonts w:ascii="Calibri" w:hAnsi="Calibri"/>
                <w:sz w:val="18"/>
                <w:szCs w:val="18"/>
              </w:rPr>
            </w:pPr>
            <w:r>
              <w:rPr>
                <w:rFonts w:ascii="Calibri" w:hAnsi="Calibri"/>
                <w:sz w:val="18"/>
                <w:szCs w:val="18"/>
              </w:rPr>
              <w:t>113,656,635.27</w:t>
            </w:r>
          </w:p>
        </w:tc>
        <w:tc>
          <w:tcPr>
            <w:tcW w:w="1535" w:type="dxa"/>
            <w:tcBorders>
              <w:top w:val="single" w:color="auto" w:sz="4" w:space="0"/>
              <w:left w:val="single" w:color="auto" w:sz="4" w:space="0"/>
              <w:bottom w:val="single" w:color="auto" w:sz="4" w:space="0"/>
              <w:right w:val="single" w:color="auto" w:sz="4" w:space="0"/>
            </w:tcBorders>
            <w:vAlign w:val="center"/>
          </w:tcPr>
          <w:p w14:paraId="4C7B2000">
            <w:pPr>
              <w:jc w:val="right"/>
              <w:rPr>
                <w:rFonts w:ascii="Calibri" w:hAnsi="Calibri"/>
                <w:sz w:val="18"/>
                <w:szCs w:val="18"/>
              </w:rPr>
            </w:pPr>
            <w:r>
              <w:rPr>
                <w:rFonts w:ascii="Calibri" w:hAnsi="Calibri"/>
                <w:sz w:val="18"/>
                <w:szCs w:val="18"/>
              </w:rPr>
              <w:t>8,444,190.38</w:t>
            </w:r>
          </w:p>
        </w:tc>
        <w:tc>
          <w:tcPr>
            <w:tcW w:w="685" w:type="dxa"/>
            <w:tcBorders>
              <w:top w:val="single" w:color="auto" w:sz="4" w:space="0"/>
              <w:left w:val="single" w:color="auto" w:sz="4" w:space="0"/>
              <w:bottom w:val="single" w:color="auto" w:sz="4" w:space="0"/>
              <w:right w:val="single" w:color="auto" w:sz="4" w:space="0"/>
            </w:tcBorders>
            <w:vAlign w:val="center"/>
          </w:tcPr>
          <w:p w14:paraId="2EA28981">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29545C4E">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31986921">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7E64DB53">
            <w:pPr>
              <w:jc w:val="right"/>
              <w:rPr>
                <w:rFonts w:ascii="Calibri" w:hAnsi="Calibri"/>
                <w:sz w:val="18"/>
                <w:szCs w:val="18"/>
              </w:rPr>
            </w:pPr>
            <w:r>
              <w:rPr>
                <w:rFonts w:ascii="Calibri" w:hAnsi="Calibri"/>
                <w:sz w:val="18"/>
                <w:szCs w:val="18"/>
              </w:rPr>
              <w:t>122,100,825.65</w:t>
            </w:r>
          </w:p>
        </w:tc>
      </w:tr>
      <w:tr w14:paraId="5C60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tcPr>
          <w:p w14:paraId="392A0290">
            <w:pPr>
              <w:pStyle w:val="48"/>
              <w:rPr>
                <w:sz w:val="20"/>
                <w:szCs w:val="20"/>
              </w:rPr>
            </w:pPr>
            <w:r>
              <w:rPr>
                <w:rFonts w:hint="eastAsia" w:ascii="宋体" w:hAnsi="宋体"/>
                <w:sz w:val="18"/>
                <w:szCs w:val="18"/>
              </w:rPr>
              <w:t>SGLT1 /SGLT 2/DPP4三靶点抑制剂用于糖尿病治疗（THDBH100/101）</w:t>
            </w:r>
          </w:p>
        </w:tc>
        <w:tc>
          <w:tcPr>
            <w:tcW w:w="1505" w:type="dxa"/>
            <w:tcBorders>
              <w:top w:val="single" w:color="auto" w:sz="4" w:space="0"/>
              <w:left w:val="single" w:color="auto" w:sz="4" w:space="0"/>
              <w:bottom w:val="single" w:color="auto" w:sz="4" w:space="0"/>
              <w:right w:val="single" w:color="auto" w:sz="4" w:space="0"/>
            </w:tcBorders>
            <w:vAlign w:val="center"/>
          </w:tcPr>
          <w:p w14:paraId="6F606926">
            <w:pPr>
              <w:jc w:val="right"/>
              <w:rPr>
                <w:rFonts w:ascii="Calibri" w:hAnsi="Calibri"/>
                <w:sz w:val="18"/>
                <w:szCs w:val="18"/>
              </w:rPr>
            </w:pPr>
            <w:r>
              <w:rPr>
                <w:rFonts w:ascii="Calibri" w:hAnsi="Calibri"/>
                <w:sz w:val="18"/>
                <w:szCs w:val="18"/>
              </w:rPr>
              <w:t>26,659,063.73</w:t>
            </w:r>
          </w:p>
        </w:tc>
        <w:tc>
          <w:tcPr>
            <w:tcW w:w="1535" w:type="dxa"/>
            <w:tcBorders>
              <w:top w:val="single" w:color="auto" w:sz="4" w:space="0"/>
              <w:left w:val="single" w:color="auto" w:sz="4" w:space="0"/>
              <w:bottom w:val="single" w:color="auto" w:sz="4" w:space="0"/>
              <w:right w:val="single" w:color="auto" w:sz="4" w:space="0"/>
            </w:tcBorders>
            <w:vAlign w:val="center"/>
          </w:tcPr>
          <w:p w14:paraId="7B5EC831">
            <w:pPr>
              <w:jc w:val="right"/>
              <w:rPr>
                <w:rFonts w:ascii="Calibri" w:hAnsi="Calibri"/>
                <w:sz w:val="18"/>
                <w:szCs w:val="18"/>
              </w:rPr>
            </w:pPr>
            <w:r>
              <w:rPr>
                <w:rFonts w:ascii="Calibri" w:hAnsi="Calibri"/>
                <w:sz w:val="18"/>
                <w:szCs w:val="18"/>
              </w:rPr>
              <w:t>31,603.77</w:t>
            </w:r>
          </w:p>
        </w:tc>
        <w:tc>
          <w:tcPr>
            <w:tcW w:w="685" w:type="dxa"/>
            <w:tcBorders>
              <w:top w:val="single" w:color="auto" w:sz="4" w:space="0"/>
              <w:left w:val="single" w:color="auto" w:sz="4" w:space="0"/>
              <w:bottom w:val="single" w:color="auto" w:sz="4" w:space="0"/>
              <w:right w:val="single" w:color="auto" w:sz="4" w:space="0"/>
            </w:tcBorders>
            <w:vAlign w:val="center"/>
          </w:tcPr>
          <w:p w14:paraId="7BBC5D64">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47132010">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30493E59">
            <w:pPr>
              <w:jc w:val="right"/>
              <w:rPr>
                <w:rFonts w:ascii="Calibri" w:hAnsi="Calibri"/>
                <w:sz w:val="18"/>
                <w:szCs w:val="18"/>
              </w:rPr>
            </w:pPr>
            <w:r>
              <w:rPr>
                <w:rFonts w:ascii="Calibri" w:hAnsi="Calibri"/>
                <w:sz w:val="18"/>
                <w:szCs w:val="18"/>
              </w:rPr>
              <w:t>26,690,667.50</w:t>
            </w:r>
          </w:p>
        </w:tc>
        <w:tc>
          <w:tcPr>
            <w:tcW w:w="1693" w:type="dxa"/>
            <w:tcBorders>
              <w:top w:val="single" w:color="auto" w:sz="4" w:space="0"/>
              <w:left w:val="single" w:color="auto" w:sz="4" w:space="0"/>
              <w:bottom w:val="single" w:color="auto" w:sz="4" w:space="0"/>
              <w:right w:val="single" w:color="auto" w:sz="4" w:space="0"/>
            </w:tcBorders>
            <w:vAlign w:val="center"/>
          </w:tcPr>
          <w:p w14:paraId="2AA6EA02">
            <w:pPr>
              <w:jc w:val="right"/>
              <w:rPr>
                <w:rFonts w:ascii="Calibri" w:hAnsi="Calibri"/>
                <w:sz w:val="18"/>
                <w:szCs w:val="18"/>
              </w:rPr>
            </w:pPr>
          </w:p>
        </w:tc>
      </w:tr>
      <w:tr w14:paraId="3C3B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0F9756AA">
            <w:pPr>
              <w:pStyle w:val="48"/>
              <w:rPr>
                <w:sz w:val="20"/>
                <w:szCs w:val="20"/>
              </w:rPr>
            </w:pPr>
            <w:r>
              <w:rPr>
                <w:rFonts w:hint="eastAsia" w:ascii="宋体" w:hAnsi="宋体"/>
                <w:sz w:val="18"/>
                <w:szCs w:val="18"/>
              </w:rPr>
              <w:t>依托考昔片（THDBH161）</w:t>
            </w:r>
          </w:p>
        </w:tc>
        <w:tc>
          <w:tcPr>
            <w:tcW w:w="1505" w:type="dxa"/>
            <w:tcBorders>
              <w:top w:val="single" w:color="auto" w:sz="4" w:space="0"/>
              <w:left w:val="single" w:color="auto" w:sz="4" w:space="0"/>
              <w:bottom w:val="single" w:color="auto" w:sz="4" w:space="0"/>
              <w:right w:val="single" w:color="auto" w:sz="4" w:space="0"/>
            </w:tcBorders>
            <w:vAlign w:val="center"/>
          </w:tcPr>
          <w:p w14:paraId="5D1B172C">
            <w:pPr>
              <w:jc w:val="right"/>
              <w:rPr>
                <w:rFonts w:ascii="Calibri" w:hAnsi="Calibri"/>
                <w:sz w:val="18"/>
                <w:szCs w:val="18"/>
              </w:rPr>
            </w:pPr>
            <w:r>
              <w:rPr>
                <w:rFonts w:ascii="Calibri" w:hAnsi="Calibri"/>
                <w:sz w:val="18"/>
                <w:szCs w:val="18"/>
              </w:rPr>
              <w:t>15,570,325.86</w:t>
            </w:r>
          </w:p>
        </w:tc>
        <w:tc>
          <w:tcPr>
            <w:tcW w:w="1535" w:type="dxa"/>
            <w:tcBorders>
              <w:top w:val="single" w:color="auto" w:sz="4" w:space="0"/>
              <w:left w:val="single" w:color="auto" w:sz="4" w:space="0"/>
              <w:bottom w:val="single" w:color="auto" w:sz="4" w:space="0"/>
              <w:right w:val="single" w:color="auto" w:sz="4" w:space="0"/>
            </w:tcBorders>
            <w:vAlign w:val="center"/>
          </w:tcPr>
          <w:p w14:paraId="358FA186">
            <w:pPr>
              <w:jc w:val="right"/>
              <w:rPr>
                <w:rFonts w:ascii="Calibri" w:hAnsi="Calibri"/>
                <w:sz w:val="18"/>
                <w:szCs w:val="18"/>
              </w:rPr>
            </w:pPr>
            <w:r>
              <w:rPr>
                <w:rFonts w:ascii="Calibri" w:hAnsi="Calibri"/>
                <w:sz w:val="18"/>
                <w:szCs w:val="18"/>
              </w:rPr>
              <w:t>340,497.16</w:t>
            </w:r>
          </w:p>
        </w:tc>
        <w:tc>
          <w:tcPr>
            <w:tcW w:w="685" w:type="dxa"/>
            <w:tcBorders>
              <w:top w:val="single" w:color="auto" w:sz="4" w:space="0"/>
              <w:left w:val="single" w:color="auto" w:sz="4" w:space="0"/>
              <w:bottom w:val="single" w:color="auto" w:sz="4" w:space="0"/>
              <w:right w:val="single" w:color="auto" w:sz="4" w:space="0"/>
            </w:tcBorders>
            <w:vAlign w:val="center"/>
          </w:tcPr>
          <w:p w14:paraId="7551EEC1">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0B260E26">
            <w:pPr>
              <w:jc w:val="right"/>
              <w:rPr>
                <w:rFonts w:ascii="Calibri" w:hAnsi="Calibri"/>
                <w:sz w:val="18"/>
                <w:szCs w:val="18"/>
              </w:rPr>
            </w:pPr>
            <w:r>
              <w:rPr>
                <w:rFonts w:ascii="Calibri" w:hAnsi="Calibri"/>
                <w:sz w:val="18"/>
                <w:szCs w:val="18"/>
              </w:rPr>
              <w:t>15,910,823.02</w:t>
            </w:r>
          </w:p>
        </w:tc>
        <w:tc>
          <w:tcPr>
            <w:tcW w:w="1538" w:type="dxa"/>
            <w:tcBorders>
              <w:top w:val="single" w:color="auto" w:sz="4" w:space="0"/>
              <w:left w:val="single" w:color="auto" w:sz="4" w:space="0"/>
              <w:bottom w:val="single" w:color="auto" w:sz="4" w:space="0"/>
              <w:right w:val="single" w:color="auto" w:sz="4" w:space="0"/>
            </w:tcBorders>
            <w:vAlign w:val="center"/>
          </w:tcPr>
          <w:p w14:paraId="7585F7C8">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4DB46989">
            <w:pPr>
              <w:jc w:val="right"/>
              <w:rPr>
                <w:rFonts w:ascii="Calibri" w:hAnsi="Calibri"/>
                <w:sz w:val="18"/>
                <w:szCs w:val="18"/>
              </w:rPr>
            </w:pPr>
          </w:p>
        </w:tc>
      </w:tr>
      <w:tr w14:paraId="5FA2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1088549B">
            <w:pPr>
              <w:pStyle w:val="48"/>
              <w:rPr>
                <w:sz w:val="20"/>
                <w:szCs w:val="20"/>
              </w:rPr>
            </w:pPr>
            <w:r>
              <w:rPr>
                <w:rFonts w:hint="eastAsia" w:ascii="宋体" w:hAnsi="宋体"/>
                <w:sz w:val="18"/>
                <w:szCs w:val="18"/>
              </w:rPr>
              <w:t>甘精国际注册 （THDB0217）</w:t>
            </w:r>
          </w:p>
        </w:tc>
        <w:tc>
          <w:tcPr>
            <w:tcW w:w="1505" w:type="dxa"/>
            <w:tcBorders>
              <w:top w:val="single" w:color="auto" w:sz="4" w:space="0"/>
              <w:left w:val="single" w:color="auto" w:sz="4" w:space="0"/>
              <w:bottom w:val="single" w:color="auto" w:sz="4" w:space="0"/>
              <w:right w:val="single" w:color="auto" w:sz="4" w:space="0"/>
            </w:tcBorders>
            <w:vAlign w:val="center"/>
          </w:tcPr>
          <w:p w14:paraId="0ED286BF">
            <w:pPr>
              <w:jc w:val="right"/>
              <w:rPr>
                <w:rFonts w:ascii="Calibri" w:hAnsi="Calibri"/>
                <w:sz w:val="18"/>
                <w:szCs w:val="18"/>
              </w:rPr>
            </w:pPr>
            <w:r>
              <w:rPr>
                <w:rFonts w:ascii="Calibri" w:hAnsi="Calibri"/>
                <w:sz w:val="18"/>
                <w:szCs w:val="18"/>
              </w:rPr>
              <w:t>7,325,612.26</w:t>
            </w:r>
          </w:p>
        </w:tc>
        <w:tc>
          <w:tcPr>
            <w:tcW w:w="1535" w:type="dxa"/>
            <w:tcBorders>
              <w:top w:val="single" w:color="auto" w:sz="4" w:space="0"/>
              <w:left w:val="single" w:color="auto" w:sz="4" w:space="0"/>
              <w:bottom w:val="single" w:color="auto" w:sz="4" w:space="0"/>
              <w:right w:val="single" w:color="auto" w:sz="4" w:space="0"/>
            </w:tcBorders>
            <w:vAlign w:val="center"/>
          </w:tcPr>
          <w:p w14:paraId="404738E8">
            <w:pPr>
              <w:jc w:val="right"/>
              <w:rPr>
                <w:rFonts w:ascii="Calibri" w:hAnsi="Calibri"/>
                <w:sz w:val="18"/>
                <w:szCs w:val="18"/>
              </w:rPr>
            </w:pPr>
            <w:r>
              <w:rPr>
                <w:rFonts w:ascii="Calibri" w:hAnsi="Calibri"/>
                <w:sz w:val="18"/>
                <w:szCs w:val="18"/>
              </w:rPr>
              <w:t>6,002,103.41</w:t>
            </w:r>
          </w:p>
        </w:tc>
        <w:tc>
          <w:tcPr>
            <w:tcW w:w="685" w:type="dxa"/>
            <w:tcBorders>
              <w:top w:val="single" w:color="auto" w:sz="4" w:space="0"/>
              <w:left w:val="single" w:color="auto" w:sz="4" w:space="0"/>
              <w:bottom w:val="single" w:color="auto" w:sz="4" w:space="0"/>
              <w:right w:val="single" w:color="auto" w:sz="4" w:space="0"/>
            </w:tcBorders>
            <w:vAlign w:val="center"/>
          </w:tcPr>
          <w:p w14:paraId="66144A1C">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5D5AA34D">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55C08386">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527C8A74">
            <w:pPr>
              <w:jc w:val="right"/>
              <w:rPr>
                <w:rFonts w:ascii="Calibri" w:hAnsi="Calibri"/>
                <w:sz w:val="18"/>
                <w:szCs w:val="18"/>
              </w:rPr>
            </w:pPr>
            <w:r>
              <w:rPr>
                <w:rFonts w:ascii="Calibri" w:hAnsi="Calibri"/>
                <w:sz w:val="18"/>
                <w:szCs w:val="18"/>
              </w:rPr>
              <w:t>13,327,715.67</w:t>
            </w:r>
          </w:p>
        </w:tc>
      </w:tr>
      <w:tr w14:paraId="47C8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555A7A53">
            <w:pPr>
              <w:pStyle w:val="48"/>
              <w:rPr>
                <w:sz w:val="20"/>
                <w:szCs w:val="20"/>
              </w:rPr>
            </w:pPr>
            <w:r>
              <w:rPr>
                <w:rFonts w:hint="eastAsia" w:ascii="宋体" w:hAnsi="宋体"/>
                <w:sz w:val="18"/>
                <w:szCs w:val="18"/>
              </w:rPr>
              <w:t>痛风URAT1项目(THDBH130/THDBH130片)</w:t>
            </w:r>
          </w:p>
        </w:tc>
        <w:tc>
          <w:tcPr>
            <w:tcW w:w="1505" w:type="dxa"/>
            <w:tcBorders>
              <w:top w:val="single" w:color="auto" w:sz="4" w:space="0"/>
              <w:left w:val="single" w:color="auto" w:sz="4" w:space="0"/>
              <w:bottom w:val="single" w:color="auto" w:sz="4" w:space="0"/>
              <w:right w:val="single" w:color="auto" w:sz="4" w:space="0"/>
            </w:tcBorders>
            <w:vAlign w:val="center"/>
          </w:tcPr>
          <w:p w14:paraId="1A2566ED">
            <w:pPr>
              <w:jc w:val="right"/>
              <w:rPr>
                <w:rFonts w:ascii="Calibri" w:hAnsi="Calibri"/>
                <w:sz w:val="18"/>
                <w:szCs w:val="18"/>
              </w:rPr>
            </w:pPr>
            <w:r>
              <w:rPr>
                <w:rFonts w:ascii="Calibri" w:hAnsi="Calibri"/>
                <w:sz w:val="18"/>
                <w:szCs w:val="18"/>
              </w:rPr>
              <w:t>83,803,235.05</w:t>
            </w:r>
          </w:p>
        </w:tc>
        <w:tc>
          <w:tcPr>
            <w:tcW w:w="1535" w:type="dxa"/>
            <w:tcBorders>
              <w:top w:val="single" w:color="auto" w:sz="4" w:space="0"/>
              <w:left w:val="single" w:color="auto" w:sz="4" w:space="0"/>
              <w:bottom w:val="single" w:color="auto" w:sz="4" w:space="0"/>
              <w:right w:val="single" w:color="auto" w:sz="4" w:space="0"/>
            </w:tcBorders>
            <w:vAlign w:val="center"/>
          </w:tcPr>
          <w:p w14:paraId="5F626E98">
            <w:pPr>
              <w:jc w:val="right"/>
              <w:rPr>
                <w:rFonts w:ascii="Calibri" w:hAnsi="Calibri"/>
                <w:sz w:val="18"/>
                <w:szCs w:val="18"/>
              </w:rPr>
            </w:pPr>
            <w:r>
              <w:rPr>
                <w:rFonts w:ascii="Calibri" w:hAnsi="Calibri"/>
                <w:sz w:val="18"/>
                <w:szCs w:val="18"/>
              </w:rPr>
              <w:t>2,466,467.05</w:t>
            </w:r>
          </w:p>
        </w:tc>
        <w:tc>
          <w:tcPr>
            <w:tcW w:w="685" w:type="dxa"/>
            <w:tcBorders>
              <w:top w:val="single" w:color="auto" w:sz="4" w:space="0"/>
              <w:left w:val="single" w:color="auto" w:sz="4" w:space="0"/>
              <w:bottom w:val="single" w:color="auto" w:sz="4" w:space="0"/>
              <w:right w:val="single" w:color="auto" w:sz="4" w:space="0"/>
            </w:tcBorders>
            <w:vAlign w:val="center"/>
          </w:tcPr>
          <w:p w14:paraId="1C958AA8">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4E5308D8">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2D5CE5BA">
            <w:pPr>
              <w:jc w:val="right"/>
              <w:rPr>
                <w:rFonts w:ascii="Calibri" w:hAnsi="Calibri"/>
                <w:sz w:val="18"/>
                <w:szCs w:val="18"/>
              </w:rPr>
            </w:pPr>
            <w:r>
              <w:rPr>
                <w:rFonts w:ascii="Calibri" w:hAnsi="Calibri"/>
                <w:sz w:val="18"/>
                <w:szCs w:val="18"/>
              </w:rPr>
              <w:t>86,269,702.10</w:t>
            </w:r>
          </w:p>
        </w:tc>
        <w:tc>
          <w:tcPr>
            <w:tcW w:w="1693" w:type="dxa"/>
            <w:tcBorders>
              <w:top w:val="single" w:color="auto" w:sz="4" w:space="0"/>
              <w:left w:val="single" w:color="auto" w:sz="4" w:space="0"/>
              <w:bottom w:val="single" w:color="auto" w:sz="4" w:space="0"/>
              <w:right w:val="single" w:color="auto" w:sz="4" w:space="0"/>
            </w:tcBorders>
            <w:vAlign w:val="center"/>
          </w:tcPr>
          <w:p w14:paraId="58D5BE1D">
            <w:pPr>
              <w:jc w:val="right"/>
              <w:rPr>
                <w:rFonts w:ascii="Calibri" w:hAnsi="Calibri"/>
                <w:sz w:val="18"/>
                <w:szCs w:val="18"/>
              </w:rPr>
            </w:pPr>
          </w:p>
        </w:tc>
      </w:tr>
      <w:tr w14:paraId="7DA9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1EF1A757">
            <w:pPr>
              <w:pStyle w:val="48"/>
              <w:rPr>
                <w:sz w:val="20"/>
                <w:szCs w:val="20"/>
              </w:rPr>
            </w:pPr>
            <w:r>
              <w:rPr>
                <w:rFonts w:hint="eastAsia" w:ascii="宋体" w:hAnsi="宋体"/>
                <w:sz w:val="18"/>
                <w:szCs w:val="18"/>
              </w:rPr>
              <w:t>痛风XO/URAT1项目(THDBH150/THDBH151片)</w:t>
            </w:r>
          </w:p>
        </w:tc>
        <w:tc>
          <w:tcPr>
            <w:tcW w:w="1505" w:type="dxa"/>
            <w:tcBorders>
              <w:top w:val="single" w:color="auto" w:sz="4" w:space="0"/>
              <w:left w:val="single" w:color="auto" w:sz="4" w:space="0"/>
              <w:bottom w:val="single" w:color="auto" w:sz="4" w:space="0"/>
              <w:right w:val="single" w:color="auto" w:sz="4" w:space="0"/>
            </w:tcBorders>
            <w:vAlign w:val="center"/>
          </w:tcPr>
          <w:p w14:paraId="7895E400">
            <w:pPr>
              <w:jc w:val="right"/>
              <w:rPr>
                <w:rFonts w:ascii="Calibri" w:hAnsi="Calibri"/>
                <w:sz w:val="18"/>
                <w:szCs w:val="18"/>
              </w:rPr>
            </w:pPr>
            <w:r>
              <w:rPr>
                <w:rFonts w:ascii="Calibri" w:hAnsi="Calibri"/>
                <w:sz w:val="18"/>
                <w:szCs w:val="18"/>
              </w:rPr>
              <w:t>70,264,403.48</w:t>
            </w:r>
          </w:p>
        </w:tc>
        <w:tc>
          <w:tcPr>
            <w:tcW w:w="1535" w:type="dxa"/>
            <w:tcBorders>
              <w:top w:val="single" w:color="auto" w:sz="4" w:space="0"/>
              <w:left w:val="single" w:color="auto" w:sz="4" w:space="0"/>
              <w:bottom w:val="single" w:color="auto" w:sz="4" w:space="0"/>
              <w:right w:val="single" w:color="auto" w:sz="4" w:space="0"/>
            </w:tcBorders>
            <w:vAlign w:val="center"/>
          </w:tcPr>
          <w:p w14:paraId="24C1574F">
            <w:pPr>
              <w:jc w:val="right"/>
              <w:rPr>
                <w:rFonts w:ascii="Calibri" w:hAnsi="Calibri"/>
                <w:sz w:val="18"/>
                <w:szCs w:val="18"/>
              </w:rPr>
            </w:pPr>
            <w:r>
              <w:rPr>
                <w:rFonts w:ascii="Calibri" w:hAnsi="Calibri"/>
                <w:sz w:val="18"/>
                <w:szCs w:val="18"/>
              </w:rPr>
              <w:t>10,278,957.59</w:t>
            </w:r>
          </w:p>
        </w:tc>
        <w:tc>
          <w:tcPr>
            <w:tcW w:w="685" w:type="dxa"/>
            <w:tcBorders>
              <w:top w:val="single" w:color="auto" w:sz="4" w:space="0"/>
              <w:left w:val="single" w:color="auto" w:sz="4" w:space="0"/>
              <w:bottom w:val="single" w:color="auto" w:sz="4" w:space="0"/>
              <w:right w:val="single" w:color="auto" w:sz="4" w:space="0"/>
            </w:tcBorders>
            <w:vAlign w:val="center"/>
          </w:tcPr>
          <w:p w14:paraId="3711699C">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61EE5F82">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7541C20A">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4DDF7F72">
            <w:pPr>
              <w:jc w:val="right"/>
              <w:rPr>
                <w:rFonts w:ascii="Calibri" w:hAnsi="Calibri"/>
                <w:sz w:val="18"/>
                <w:szCs w:val="18"/>
              </w:rPr>
            </w:pPr>
            <w:r>
              <w:rPr>
                <w:rFonts w:ascii="Calibri" w:hAnsi="Calibri"/>
                <w:sz w:val="18"/>
                <w:szCs w:val="18"/>
              </w:rPr>
              <w:t>80,543,361.07</w:t>
            </w:r>
          </w:p>
        </w:tc>
      </w:tr>
      <w:tr w14:paraId="18CE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2C45B3E4">
            <w:pPr>
              <w:pStyle w:val="48"/>
              <w:rPr>
                <w:sz w:val="20"/>
                <w:szCs w:val="20"/>
              </w:rPr>
            </w:pPr>
            <w:r>
              <w:rPr>
                <w:rFonts w:hint="eastAsia" w:ascii="宋体" w:hAnsi="宋体"/>
                <w:sz w:val="18"/>
                <w:szCs w:val="18"/>
              </w:rPr>
              <w:t>GIP&amp;GLP-1用于糖尿病治疗(THDBH120/注射用THDBH120)</w:t>
            </w:r>
          </w:p>
        </w:tc>
        <w:tc>
          <w:tcPr>
            <w:tcW w:w="1505" w:type="dxa"/>
            <w:tcBorders>
              <w:top w:val="single" w:color="auto" w:sz="4" w:space="0"/>
              <w:left w:val="single" w:color="auto" w:sz="4" w:space="0"/>
              <w:bottom w:val="single" w:color="auto" w:sz="4" w:space="0"/>
              <w:right w:val="single" w:color="auto" w:sz="4" w:space="0"/>
            </w:tcBorders>
            <w:vAlign w:val="center"/>
          </w:tcPr>
          <w:p w14:paraId="439C9C88">
            <w:pPr>
              <w:jc w:val="right"/>
              <w:rPr>
                <w:rFonts w:ascii="Calibri" w:hAnsi="Calibri"/>
                <w:sz w:val="18"/>
                <w:szCs w:val="18"/>
              </w:rPr>
            </w:pPr>
            <w:r>
              <w:rPr>
                <w:rFonts w:ascii="Calibri" w:hAnsi="Calibri"/>
                <w:sz w:val="18"/>
                <w:szCs w:val="18"/>
              </w:rPr>
              <w:t>43,472,021.80</w:t>
            </w:r>
          </w:p>
        </w:tc>
        <w:tc>
          <w:tcPr>
            <w:tcW w:w="1535" w:type="dxa"/>
            <w:tcBorders>
              <w:top w:val="single" w:color="auto" w:sz="4" w:space="0"/>
              <w:left w:val="single" w:color="auto" w:sz="4" w:space="0"/>
              <w:bottom w:val="single" w:color="auto" w:sz="4" w:space="0"/>
              <w:right w:val="single" w:color="auto" w:sz="4" w:space="0"/>
            </w:tcBorders>
            <w:vAlign w:val="center"/>
          </w:tcPr>
          <w:p w14:paraId="228B9121">
            <w:pPr>
              <w:jc w:val="right"/>
              <w:rPr>
                <w:rFonts w:ascii="Calibri" w:hAnsi="Calibri"/>
                <w:sz w:val="18"/>
                <w:szCs w:val="18"/>
              </w:rPr>
            </w:pPr>
            <w:r>
              <w:rPr>
                <w:rFonts w:ascii="Calibri" w:hAnsi="Calibri"/>
                <w:sz w:val="18"/>
                <w:szCs w:val="18"/>
              </w:rPr>
              <w:t>9,200,035.07</w:t>
            </w:r>
          </w:p>
        </w:tc>
        <w:tc>
          <w:tcPr>
            <w:tcW w:w="685" w:type="dxa"/>
            <w:tcBorders>
              <w:top w:val="single" w:color="auto" w:sz="4" w:space="0"/>
              <w:left w:val="single" w:color="auto" w:sz="4" w:space="0"/>
              <w:bottom w:val="single" w:color="auto" w:sz="4" w:space="0"/>
              <w:right w:val="single" w:color="auto" w:sz="4" w:space="0"/>
            </w:tcBorders>
            <w:vAlign w:val="center"/>
          </w:tcPr>
          <w:p w14:paraId="77EB8020">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6D5F3B95">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5F6E391B">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0AA94D9F">
            <w:pPr>
              <w:jc w:val="right"/>
              <w:rPr>
                <w:rFonts w:ascii="Calibri" w:hAnsi="Calibri"/>
                <w:sz w:val="18"/>
                <w:szCs w:val="18"/>
              </w:rPr>
            </w:pPr>
            <w:r>
              <w:rPr>
                <w:rFonts w:ascii="Calibri" w:hAnsi="Calibri"/>
                <w:sz w:val="18"/>
                <w:szCs w:val="18"/>
              </w:rPr>
              <w:t>52,672,056.87</w:t>
            </w:r>
          </w:p>
        </w:tc>
      </w:tr>
      <w:tr w14:paraId="2E56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54A1F9AE">
            <w:pPr>
              <w:pStyle w:val="48"/>
              <w:rPr>
                <w:sz w:val="20"/>
                <w:szCs w:val="20"/>
              </w:rPr>
            </w:pPr>
            <w:r>
              <w:rPr>
                <w:rFonts w:hint="eastAsia" w:ascii="宋体" w:hAnsi="宋体"/>
                <w:sz w:val="18"/>
                <w:szCs w:val="18"/>
              </w:rPr>
              <w:t>小分子GLP-1激动剂用于糖尿病治疗(THDBH110/THDBH110胶囊)</w:t>
            </w:r>
          </w:p>
        </w:tc>
        <w:tc>
          <w:tcPr>
            <w:tcW w:w="1505" w:type="dxa"/>
            <w:tcBorders>
              <w:top w:val="single" w:color="auto" w:sz="4" w:space="0"/>
              <w:left w:val="single" w:color="auto" w:sz="4" w:space="0"/>
              <w:bottom w:val="single" w:color="auto" w:sz="4" w:space="0"/>
              <w:right w:val="single" w:color="auto" w:sz="4" w:space="0"/>
            </w:tcBorders>
            <w:vAlign w:val="center"/>
          </w:tcPr>
          <w:p w14:paraId="176732BC">
            <w:pPr>
              <w:jc w:val="right"/>
              <w:rPr>
                <w:rFonts w:ascii="Calibri" w:hAnsi="Calibri"/>
                <w:sz w:val="18"/>
                <w:szCs w:val="18"/>
              </w:rPr>
            </w:pPr>
            <w:r>
              <w:rPr>
                <w:rFonts w:ascii="Calibri" w:hAnsi="Calibri"/>
                <w:sz w:val="18"/>
                <w:szCs w:val="18"/>
              </w:rPr>
              <w:t>15,195,211.48</w:t>
            </w:r>
          </w:p>
        </w:tc>
        <w:tc>
          <w:tcPr>
            <w:tcW w:w="1535" w:type="dxa"/>
            <w:tcBorders>
              <w:top w:val="single" w:color="auto" w:sz="4" w:space="0"/>
              <w:left w:val="single" w:color="auto" w:sz="4" w:space="0"/>
              <w:bottom w:val="single" w:color="auto" w:sz="4" w:space="0"/>
              <w:right w:val="single" w:color="auto" w:sz="4" w:space="0"/>
            </w:tcBorders>
            <w:vAlign w:val="center"/>
          </w:tcPr>
          <w:p w14:paraId="0A68F7F9">
            <w:pPr>
              <w:jc w:val="right"/>
              <w:rPr>
                <w:rFonts w:ascii="Calibri" w:hAnsi="Calibri"/>
                <w:sz w:val="18"/>
                <w:szCs w:val="18"/>
              </w:rPr>
            </w:pPr>
            <w:r>
              <w:rPr>
                <w:rFonts w:ascii="Calibri" w:hAnsi="Calibri"/>
                <w:sz w:val="18"/>
                <w:szCs w:val="18"/>
              </w:rPr>
              <w:t>1,685,926.92</w:t>
            </w:r>
          </w:p>
        </w:tc>
        <w:tc>
          <w:tcPr>
            <w:tcW w:w="685" w:type="dxa"/>
            <w:tcBorders>
              <w:top w:val="single" w:color="auto" w:sz="4" w:space="0"/>
              <w:left w:val="single" w:color="auto" w:sz="4" w:space="0"/>
              <w:bottom w:val="single" w:color="auto" w:sz="4" w:space="0"/>
              <w:right w:val="single" w:color="auto" w:sz="4" w:space="0"/>
            </w:tcBorders>
            <w:vAlign w:val="center"/>
          </w:tcPr>
          <w:p w14:paraId="2F552478">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7C7FC30A">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7DD3CB20">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70A1D37A">
            <w:pPr>
              <w:jc w:val="right"/>
              <w:rPr>
                <w:rFonts w:ascii="Calibri" w:hAnsi="Calibri"/>
                <w:sz w:val="18"/>
                <w:szCs w:val="18"/>
              </w:rPr>
            </w:pPr>
            <w:r>
              <w:rPr>
                <w:rFonts w:ascii="Calibri" w:hAnsi="Calibri"/>
                <w:sz w:val="18"/>
                <w:szCs w:val="18"/>
              </w:rPr>
              <w:t>16,881,138.40</w:t>
            </w:r>
          </w:p>
        </w:tc>
      </w:tr>
      <w:tr w14:paraId="2D88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2D7B6A61">
            <w:pPr>
              <w:pStyle w:val="48"/>
              <w:rPr>
                <w:sz w:val="20"/>
                <w:szCs w:val="20"/>
              </w:rPr>
            </w:pPr>
            <w:r>
              <w:rPr>
                <w:rFonts w:hint="eastAsia" w:ascii="宋体" w:hAnsi="宋体"/>
                <w:sz w:val="18"/>
                <w:szCs w:val="18"/>
              </w:rPr>
              <w:t>司美格鲁肽注射液 （THDB0225 ）</w:t>
            </w:r>
          </w:p>
        </w:tc>
        <w:tc>
          <w:tcPr>
            <w:tcW w:w="1505" w:type="dxa"/>
            <w:tcBorders>
              <w:top w:val="single" w:color="auto" w:sz="4" w:space="0"/>
              <w:left w:val="single" w:color="auto" w:sz="4" w:space="0"/>
              <w:bottom w:val="single" w:color="auto" w:sz="4" w:space="0"/>
              <w:right w:val="single" w:color="auto" w:sz="4" w:space="0"/>
            </w:tcBorders>
            <w:vAlign w:val="center"/>
          </w:tcPr>
          <w:p w14:paraId="45451014">
            <w:pPr>
              <w:jc w:val="right"/>
              <w:rPr>
                <w:rFonts w:ascii="Calibri" w:hAnsi="Calibri"/>
                <w:sz w:val="18"/>
                <w:szCs w:val="18"/>
              </w:rPr>
            </w:pPr>
            <w:r>
              <w:rPr>
                <w:rFonts w:ascii="Calibri" w:hAnsi="Calibri"/>
                <w:sz w:val="18"/>
                <w:szCs w:val="18"/>
              </w:rPr>
              <w:t>55,876,707.46</w:t>
            </w:r>
          </w:p>
        </w:tc>
        <w:tc>
          <w:tcPr>
            <w:tcW w:w="1535" w:type="dxa"/>
            <w:tcBorders>
              <w:top w:val="single" w:color="auto" w:sz="4" w:space="0"/>
              <w:left w:val="single" w:color="auto" w:sz="4" w:space="0"/>
              <w:bottom w:val="single" w:color="auto" w:sz="4" w:space="0"/>
              <w:right w:val="single" w:color="auto" w:sz="4" w:space="0"/>
            </w:tcBorders>
            <w:vAlign w:val="center"/>
          </w:tcPr>
          <w:p w14:paraId="47D46CE0">
            <w:pPr>
              <w:jc w:val="right"/>
              <w:rPr>
                <w:rFonts w:ascii="Calibri" w:hAnsi="Calibri"/>
                <w:sz w:val="18"/>
                <w:szCs w:val="18"/>
              </w:rPr>
            </w:pPr>
            <w:r>
              <w:rPr>
                <w:rFonts w:ascii="Calibri" w:hAnsi="Calibri"/>
                <w:sz w:val="18"/>
                <w:szCs w:val="18"/>
              </w:rPr>
              <w:t>36,639,043.72</w:t>
            </w:r>
          </w:p>
        </w:tc>
        <w:tc>
          <w:tcPr>
            <w:tcW w:w="685" w:type="dxa"/>
            <w:tcBorders>
              <w:top w:val="single" w:color="auto" w:sz="4" w:space="0"/>
              <w:left w:val="single" w:color="auto" w:sz="4" w:space="0"/>
              <w:bottom w:val="single" w:color="auto" w:sz="4" w:space="0"/>
              <w:right w:val="single" w:color="auto" w:sz="4" w:space="0"/>
            </w:tcBorders>
            <w:vAlign w:val="center"/>
          </w:tcPr>
          <w:p w14:paraId="36C09634">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2818C993">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36F05CCF">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205D1F97">
            <w:pPr>
              <w:jc w:val="right"/>
              <w:rPr>
                <w:rFonts w:ascii="Calibri" w:hAnsi="Calibri"/>
                <w:sz w:val="18"/>
                <w:szCs w:val="18"/>
              </w:rPr>
            </w:pPr>
            <w:r>
              <w:rPr>
                <w:rFonts w:ascii="Calibri" w:hAnsi="Calibri"/>
                <w:sz w:val="18"/>
                <w:szCs w:val="18"/>
              </w:rPr>
              <w:t>92,515,751.18</w:t>
            </w:r>
          </w:p>
        </w:tc>
      </w:tr>
      <w:tr w14:paraId="60EB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08D60541">
            <w:pPr>
              <w:pStyle w:val="48"/>
              <w:rPr>
                <w:sz w:val="20"/>
                <w:szCs w:val="20"/>
              </w:rPr>
            </w:pPr>
            <w:r>
              <w:rPr>
                <w:rFonts w:hint="eastAsia" w:ascii="宋体" w:hAnsi="宋体"/>
                <w:sz w:val="18"/>
                <w:szCs w:val="18"/>
              </w:rPr>
              <w:t>利拉鲁肽原料药和利拉鲁肽注射液国际化注册 （THDB0226 ）</w:t>
            </w:r>
          </w:p>
        </w:tc>
        <w:tc>
          <w:tcPr>
            <w:tcW w:w="1505" w:type="dxa"/>
            <w:tcBorders>
              <w:top w:val="single" w:color="auto" w:sz="4" w:space="0"/>
              <w:left w:val="single" w:color="auto" w:sz="4" w:space="0"/>
              <w:bottom w:val="single" w:color="auto" w:sz="4" w:space="0"/>
              <w:right w:val="single" w:color="auto" w:sz="4" w:space="0"/>
            </w:tcBorders>
            <w:vAlign w:val="center"/>
          </w:tcPr>
          <w:p w14:paraId="615E7A60">
            <w:pPr>
              <w:jc w:val="right"/>
              <w:rPr>
                <w:rFonts w:ascii="Calibri" w:hAnsi="Calibri"/>
                <w:sz w:val="18"/>
                <w:szCs w:val="18"/>
              </w:rPr>
            </w:pPr>
            <w:r>
              <w:rPr>
                <w:rFonts w:ascii="Calibri" w:hAnsi="Calibri"/>
                <w:sz w:val="18"/>
                <w:szCs w:val="18"/>
              </w:rPr>
              <w:t>2,112,462.97</w:t>
            </w:r>
          </w:p>
        </w:tc>
        <w:tc>
          <w:tcPr>
            <w:tcW w:w="1535" w:type="dxa"/>
            <w:tcBorders>
              <w:top w:val="single" w:color="auto" w:sz="4" w:space="0"/>
              <w:left w:val="single" w:color="auto" w:sz="4" w:space="0"/>
              <w:bottom w:val="single" w:color="auto" w:sz="4" w:space="0"/>
              <w:right w:val="single" w:color="auto" w:sz="4" w:space="0"/>
            </w:tcBorders>
            <w:vAlign w:val="center"/>
          </w:tcPr>
          <w:p w14:paraId="00BDA3CF">
            <w:pPr>
              <w:jc w:val="right"/>
              <w:rPr>
                <w:rFonts w:ascii="Calibri" w:hAnsi="Calibri"/>
                <w:sz w:val="18"/>
                <w:szCs w:val="18"/>
              </w:rPr>
            </w:pPr>
            <w:r>
              <w:rPr>
                <w:rFonts w:ascii="Calibri" w:hAnsi="Calibri"/>
                <w:sz w:val="18"/>
                <w:szCs w:val="18"/>
              </w:rPr>
              <w:t>3,832,819.20</w:t>
            </w:r>
          </w:p>
        </w:tc>
        <w:tc>
          <w:tcPr>
            <w:tcW w:w="685" w:type="dxa"/>
            <w:tcBorders>
              <w:top w:val="single" w:color="auto" w:sz="4" w:space="0"/>
              <w:left w:val="single" w:color="auto" w:sz="4" w:space="0"/>
              <w:bottom w:val="single" w:color="auto" w:sz="4" w:space="0"/>
              <w:right w:val="single" w:color="auto" w:sz="4" w:space="0"/>
            </w:tcBorders>
            <w:vAlign w:val="center"/>
          </w:tcPr>
          <w:p w14:paraId="7939F997">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62E0DE60">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56E9131F">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12499720">
            <w:pPr>
              <w:jc w:val="right"/>
              <w:rPr>
                <w:rFonts w:ascii="Calibri" w:hAnsi="Calibri"/>
                <w:sz w:val="18"/>
                <w:szCs w:val="18"/>
              </w:rPr>
            </w:pPr>
            <w:r>
              <w:rPr>
                <w:rFonts w:ascii="Calibri" w:hAnsi="Calibri"/>
                <w:sz w:val="18"/>
                <w:szCs w:val="18"/>
              </w:rPr>
              <w:t>5,945,282.17</w:t>
            </w:r>
          </w:p>
        </w:tc>
      </w:tr>
      <w:tr w14:paraId="5427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7C061A45">
            <w:pPr>
              <w:pStyle w:val="48"/>
              <w:rPr>
                <w:sz w:val="20"/>
                <w:szCs w:val="20"/>
              </w:rPr>
            </w:pPr>
            <w:r>
              <w:rPr>
                <w:rFonts w:hint="eastAsia" w:ascii="宋体" w:hAnsi="宋体"/>
                <w:sz w:val="18"/>
                <w:szCs w:val="18"/>
              </w:rPr>
              <w:t>赖脯胰岛素国际注册 （THDB0227）</w:t>
            </w:r>
          </w:p>
        </w:tc>
        <w:tc>
          <w:tcPr>
            <w:tcW w:w="1505" w:type="dxa"/>
            <w:tcBorders>
              <w:top w:val="single" w:color="auto" w:sz="4" w:space="0"/>
              <w:left w:val="single" w:color="auto" w:sz="4" w:space="0"/>
              <w:bottom w:val="single" w:color="auto" w:sz="4" w:space="0"/>
              <w:right w:val="single" w:color="auto" w:sz="4" w:space="0"/>
            </w:tcBorders>
            <w:vAlign w:val="center"/>
          </w:tcPr>
          <w:p w14:paraId="42E1A62D">
            <w:pPr>
              <w:jc w:val="right"/>
              <w:rPr>
                <w:rFonts w:ascii="Calibri" w:hAnsi="Calibri"/>
                <w:sz w:val="18"/>
                <w:szCs w:val="18"/>
              </w:rPr>
            </w:pPr>
            <w:r>
              <w:rPr>
                <w:rFonts w:ascii="Calibri" w:hAnsi="Calibri"/>
                <w:sz w:val="18"/>
                <w:szCs w:val="18"/>
              </w:rPr>
              <w:t>1,748,396.06</w:t>
            </w:r>
          </w:p>
        </w:tc>
        <w:tc>
          <w:tcPr>
            <w:tcW w:w="1535" w:type="dxa"/>
            <w:tcBorders>
              <w:top w:val="single" w:color="auto" w:sz="4" w:space="0"/>
              <w:left w:val="single" w:color="auto" w:sz="4" w:space="0"/>
              <w:bottom w:val="single" w:color="auto" w:sz="4" w:space="0"/>
              <w:right w:val="single" w:color="auto" w:sz="4" w:space="0"/>
            </w:tcBorders>
            <w:vAlign w:val="center"/>
          </w:tcPr>
          <w:p w14:paraId="57740B5B">
            <w:pPr>
              <w:jc w:val="right"/>
              <w:rPr>
                <w:rFonts w:ascii="Calibri" w:hAnsi="Calibri"/>
                <w:sz w:val="18"/>
                <w:szCs w:val="18"/>
              </w:rPr>
            </w:pPr>
            <w:r>
              <w:rPr>
                <w:rFonts w:ascii="Calibri" w:hAnsi="Calibri"/>
                <w:sz w:val="18"/>
                <w:szCs w:val="18"/>
              </w:rPr>
              <w:t>3,786,814.19</w:t>
            </w:r>
          </w:p>
        </w:tc>
        <w:tc>
          <w:tcPr>
            <w:tcW w:w="685" w:type="dxa"/>
            <w:tcBorders>
              <w:top w:val="single" w:color="auto" w:sz="4" w:space="0"/>
              <w:left w:val="single" w:color="auto" w:sz="4" w:space="0"/>
              <w:bottom w:val="single" w:color="auto" w:sz="4" w:space="0"/>
              <w:right w:val="single" w:color="auto" w:sz="4" w:space="0"/>
            </w:tcBorders>
            <w:vAlign w:val="center"/>
          </w:tcPr>
          <w:p w14:paraId="7F0BFB40">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738F8528">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45F65F9C">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184D45E9">
            <w:pPr>
              <w:jc w:val="right"/>
              <w:rPr>
                <w:rFonts w:ascii="Calibri" w:hAnsi="Calibri"/>
                <w:sz w:val="18"/>
                <w:szCs w:val="18"/>
              </w:rPr>
            </w:pPr>
            <w:r>
              <w:rPr>
                <w:rFonts w:ascii="Calibri" w:hAnsi="Calibri"/>
                <w:sz w:val="18"/>
                <w:szCs w:val="18"/>
              </w:rPr>
              <w:t>5,535,210.25</w:t>
            </w:r>
          </w:p>
        </w:tc>
      </w:tr>
      <w:tr w14:paraId="4CA9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29CD0C39">
            <w:pPr>
              <w:pStyle w:val="48"/>
              <w:rPr>
                <w:sz w:val="20"/>
                <w:szCs w:val="20"/>
              </w:rPr>
            </w:pPr>
            <w:r>
              <w:rPr>
                <w:rFonts w:hint="eastAsia" w:ascii="宋体" w:hAnsi="宋体"/>
                <w:sz w:val="18"/>
                <w:szCs w:val="18"/>
              </w:rPr>
              <w:t>德谷胰岛素/利拉鲁肽复方注射剂 （THDB0213）</w:t>
            </w:r>
          </w:p>
        </w:tc>
        <w:tc>
          <w:tcPr>
            <w:tcW w:w="1505" w:type="dxa"/>
            <w:tcBorders>
              <w:top w:val="single" w:color="auto" w:sz="4" w:space="0"/>
              <w:left w:val="single" w:color="auto" w:sz="4" w:space="0"/>
              <w:bottom w:val="single" w:color="auto" w:sz="4" w:space="0"/>
              <w:right w:val="single" w:color="auto" w:sz="4" w:space="0"/>
            </w:tcBorders>
            <w:vAlign w:val="center"/>
          </w:tcPr>
          <w:p w14:paraId="25A6C655">
            <w:pPr>
              <w:jc w:val="right"/>
              <w:rPr>
                <w:rFonts w:ascii="Calibri" w:hAnsi="Calibri"/>
                <w:sz w:val="18"/>
                <w:szCs w:val="18"/>
              </w:rPr>
            </w:pPr>
            <w:r>
              <w:rPr>
                <w:rFonts w:ascii="Calibri" w:hAnsi="Calibri"/>
                <w:sz w:val="18"/>
                <w:szCs w:val="18"/>
              </w:rPr>
              <w:t>18,277,375.69</w:t>
            </w:r>
          </w:p>
        </w:tc>
        <w:tc>
          <w:tcPr>
            <w:tcW w:w="1535" w:type="dxa"/>
            <w:tcBorders>
              <w:top w:val="single" w:color="auto" w:sz="4" w:space="0"/>
              <w:left w:val="single" w:color="auto" w:sz="4" w:space="0"/>
              <w:bottom w:val="single" w:color="auto" w:sz="4" w:space="0"/>
              <w:right w:val="single" w:color="auto" w:sz="4" w:space="0"/>
            </w:tcBorders>
            <w:vAlign w:val="center"/>
          </w:tcPr>
          <w:p w14:paraId="332122B8">
            <w:pPr>
              <w:jc w:val="right"/>
              <w:rPr>
                <w:rFonts w:ascii="Calibri" w:hAnsi="Calibri"/>
                <w:sz w:val="18"/>
                <w:szCs w:val="18"/>
              </w:rPr>
            </w:pPr>
            <w:r>
              <w:rPr>
                <w:rFonts w:ascii="Calibri" w:hAnsi="Calibri"/>
                <w:sz w:val="18"/>
                <w:szCs w:val="18"/>
              </w:rPr>
              <w:t>52,124,487.32</w:t>
            </w:r>
          </w:p>
        </w:tc>
        <w:tc>
          <w:tcPr>
            <w:tcW w:w="685" w:type="dxa"/>
            <w:tcBorders>
              <w:top w:val="single" w:color="auto" w:sz="4" w:space="0"/>
              <w:left w:val="single" w:color="auto" w:sz="4" w:space="0"/>
              <w:bottom w:val="single" w:color="auto" w:sz="4" w:space="0"/>
              <w:right w:val="single" w:color="auto" w:sz="4" w:space="0"/>
            </w:tcBorders>
            <w:vAlign w:val="center"/>
          </w:tcPr>
          <w:p w14:paraId="59BE3005">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1D31ABE4">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6321136A">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1EA2A5AF">
            <w:pPr>
              <w:jc w:val="right"/>
              <w:rPr>
                <w:rFonts w:ascii="Calibri" w:hAnsi="Calibri"/>
                <w:sz w:val="18"/>
                <w:szCs w:val="18"/>
              </w:rPr>
            </w:pPr>
            <w:r>
              <w:rPr>
                <w:rFonts w:ascii="Calibri" w:hAnsi="Calibri"/>
                <w:sz w:val="18"/>
                <w:szCs w:val="18"/>
              </w:rPr>
              <w:t>70,401,863.01</w:t>
            </w:r>
          </w:p>
        </w:tc>
      </w:tr>
      <w:tr w14:paraId="24B7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5FD8A136">
            <w:pPr>
              <w:pStyle w:val="48"/>
              <w:rPr>
                <w:sz w:val="20"/>
                <w:szCs w:val="20"/>
              </w:rPr>
            </w:pPr>
            <w:r>
              <w:rPr>
                <w:rFonts w:hint="eastAsia" w:ascii="宋体" w:hAnsi="宋体"/>
                <w:sz w:val="18"/>
                <w:szCs w:val="18"/>
              </w:rPr>
              <w:t>多肽GIP&amp;GLP-1减重项目（THDBH120/THDBH121）</w:t>
            </w:r>
          </w:p>
        </w:tc>
        <w:tc>
          <w:tcPr>
            <w:tcW w:w="1505" w:type="dxa"/>
            <w:tcBorders>
              <w:top w:val="single" w:color="auto" w:sz="4" w:space="0"/>
              <w:left w:val="single" w:color="auto" w:sz="4" w:space="0"/>
              <w:bottom w:val="single" w:color="auto" w:sz="4" w:space="0"/>
              <w:right w:val="single" w:color="auto" w:sz="4" w:space="0"/>
            </w:tcBorders>
            <w:vAlign w:val="center"/>
          </w:tcPr>
          <w:p w14:paraId="05F57C6B">
            <w:pPr>
              <w:jc w:val="right"/>
              <w:rPr>
                <w:rFonts w:ascii="Calibri" w:hAnsi="Calibri"/>
                <w:sz w:val="18"/>
                <w:szCs w:val="18"/>
              </w:rPr>
            </w:pPr>
            <w:r>
              <w:rPr>
                <w:rFonts w:ascii="Calibri" w:hAnsi="Calibri"/>
                <w:sz w:val="18"/>
                <w:szCs w:val="18"/>
              </w:rPr>
              <w:t>8,839,284.45</w:t>
            </w:r>
          </w:p>
        </w:tc>
        <w:tc>
          <w:tcPr>
            <w:tcW w:w="1535" w:type="dxa"/>
            <w:tcBorders>
              <w:top w:val="single" w:color="auto" w:sz="4" w:space="0"/>
              <w:left w:val="single" w:color="auto" w:sz="4" w:space="0"/>
              <w:bottom w:val="single" w:color="auto" w:sz="4" w:space="0"/>
              <w:right w:val="single" w:color="auto" w:sz="4" w:space="0"/>
            </w:tcBorders>
            <w:vAlign w:val="center"/>
          </w:tcPr>
          <w:p w14:paraId="671D6311">
            <w:pPr>
              <w:jc w:val="right"/>
              <w:rPr>
                <w:rFonts w:ascii="Calibri" w:hAnsi="Calibri"/>
                <w:sz w:val="18"/>
                <w:szCs w:val="18"/>
              </w:rPr>
            </w:pPr>
            <w:r>
              <w:rPr>
                <w:rFonts w:ascii="Calibri" w:hAnsi="Calibri"/>
                <w:sz w:val="18"/>
                <w:szCs w:val="18"/>
              </w:rPr>
              <w:t>38,004,785.56</w:t>
            </w:r>
          </w:p>
        </w:tc>
        <w:tc>
          <w:tcPr>
            <w:tcW w:w="685" w:type="dxa"/>
            <w:tcBorders>
              <w:top w:val="single" w:color="auto" w:sz="4" w:space="0"/>
              <w:left w:val="single" w:color="auto" w:sz="4" w:space="0"/>
              <w:bottom w:val="single" w:color="auto" w:sz="4" w:space="0"/>
              <w:right w:val="single" w:color="auto" w:sz="4" w:space="0"/>
            </w:tcBorders>
            <w:vAlign w:val="center"/>
          </w:tcPr>
          <w:p w14:paraId="6CF55959">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56223E2F">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735FCD44">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27987993">
            <w:pPr>
              <w:jc w:val="right"/>
              <w:rPr>
                <w:rFonts w:ascii="Calibri" w:hAnsi="Calibri"/>
                <w:sz w:val="18"/>
                <w:szCs w:val="18"/>
              </w:rPr>
            </w:pPr>
            <w:r>
              <w:rPr>
                <w:rFonts w:ascii="Calibri" w:hAnsi="Calibri"/>
                <w:sz w:val="18"/>
                <w:szCs w:val="18"/>
              </w:rPr>
              <w:t>46,844,070.01</w:t>
            </w:r>
          </w:p>
        </w:tc>
      </w:tr>
      <w:tr w14:paraId="5FA1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6719B0CB">
            <w:pPr>
              <w:pStyle w:val="48"/>
              <w:rPr>
                <w:sz w:val="20"/>
                <w:szCs w:val="20"/>
              </w:rPr>
            </w:pPr>
            <w:r>
              <w:rPr>
                <w:rFonts w:hint="eastAsia" w:ascii="宋体" w:hAnsi="宋体"/>
                <w:sz w:val="18"/>
                <w:szCs w:val="18"/>
              </w:rPr>
              <w:t>门冬胰岛素30注射液新增规格项目（DB230)</w:t>
            </w:r>
          </w:p>
        </w:tc>
        <w:tc>
          <w:tcPr>
            <w:tcW w:w="1505" w:type="dxa"/>
            <w:tcBorders>
              <w:top w:val="single" w:color="auto" w:sz="4" w:space="0"/>
              <w:left w:val="single" w:color="auto" w:sz="4" w:space="0"/>
              <w:bottom w:val="single" w:color="auto" w:sz="4" w:space="0"/>
              <w:right w:val="single" w:color="auto" w:sz="4" w:space="0"/>
            </w:tcBorders>
            <w:vAlign w:val="center"/>
          </w:tcPr>
          <w:p w14:paraId="6D1E1716">
            <w:pPr>
              <w:jc w:val="right"/>
              <w:rPr>
                <w:rFonts w:ascii="Calibri" w:hAnsi="Calibri"/>
                <w:sz w:val="18"/>
                <w:szCs w:val="18"/>
              </w:rPr>
            </w:pPr>
          </w:p>
        </w:tc>
        <w:tc>
          <w:tcPr>
            <w:tcW w:w="1535" w:type="dxa"/>
            <w:tcBorders>
              <w:top w:val="single" w:color="auto" w:sz="4" w:space="0"/>
              <w:left w:val="single" w:color="auto" w:sz="4" w:space="0"/>
              <w:bottom w:val="single" w:color="auto" w:sz="4" w:space="0"/>
              <w:right w:val="single" w:color="auto" w:sz="4" w:space="0"/>
            </w:tcBorders>
            <w:vAlign w:val="center"/>
          </w:tcPr>
          <w:p w14:paraId="512937B8">
            <w:pPr>
              <w:jc w:val="right"/>
              <w:rPr>
                <w:rFonts w:ascii="Calibri" w:hAnsi="Calibri"/>
                <w:sz w:val="18"/>
                <w:szCs w:val="18"/>
              </w:rPr>
            </w:pPr>
            <w:r>
              <w:rPr>
                <w:rFonts w:ascii="Calibri" w:hAnsi="Calibri"/>
                <w:sz w:val="18"/>
                <w:szCs w:val="18"/>
              </w:rPr>
              <w:t>959,493.31</w:t>
            </w:r>
          </w:p>
        </w:tc>
        <w:tc>
          <w:tcPr>
            <w:tcW w:w="685" w:type="dxa"/>
            <w:tcBorders>
              <w:top w:val="single" w:color="auto" w:sz="4" w:space="0"/>
              <w:left w:val="single" w:color="auto" w:sz="4" w:space="0"/>
              <w:bottom w:val="single" w:color="auto" w:sz="4" w:space="0"/>
              <w:right w:val="single" w:color="auto" w:sz="4" w:space="0"/>
            </w:tcBorders>
            <w:vAlign w:val="center"/>
          </w:tcPr>
          <w:p w14:paraId="4F8CB7D9">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0FC65AD0">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1EB89A9C">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553D9DC1">
            <w:pPr>
              <w:jc w:val="right"/>
              <w:rPr>
                <w:rFonts w:ascii="Calibri" w:hAnsi="Calibri"/>
                <w:sz w:val="18"/>
                <w:szCs w:val="18"/>
              </w:rPr>
            </w:pPr>
            <w:r>
              <w:rPr>
                <w:rFonts w:ascii="Calibri" w:hAnsi="Calibri"/>
                <w:sz w:val="18"/>
                <w:szCs w:val="18"/>
              </w:rPr>
              <w:t>959,493.31</w:t>
            </w:r>
          </w:p>
        </w:tc>
      </w:tr>
      <w:tr w14:paraId="0BC2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5E04444F">
            <w:pPr>
              <w:pStyle w:val="48"/>
              <w:rPr>
                <w:sz w:val="20"/>
                <w:szCs w:val="20"/>
              </w:rPr>
            </w:pPr>
            <w:r>
              <w:rPr>
                <w:rFonts w:hint="eastAsia" w:ascii="宋体" w:hAnsi="宋体"/>
                <w:sz w:val="18"/>
                <w:szCs w:val="18"/>
              </w:rPr>
              <w:t>门冬胰岛素50注射液新增规格项目（DB231)</w:t>
            </w:r>
          </w:p>
        </w:tc>
        <w:tc>
          <w:tcPr>
            <w:tcW w:w="1505" w:type="dxa"/>
            <w:tcBorders>
              <w:top w:val="single" w:color="auto" w:sz="4" w:space="0"/>
              <w:left w:val="single" w:color="auto" w:sz="4" w:space="0"/>
              <w:bottom w:val="single" w:color="auto" w:sz="4" w:space="0"/>
              <w:right w:val="single" w:color="auto" w:sz="4" w:space="0"/>
            </w:tcBorders>
            <w:vAlign w:val="center"/>
          </w:tcPr>
          <w:p w14:paraId="67A6392E">
            <w:pPr>
              <w:jc w:val="right"/>
              <w:rPr>
                <w:rFonts w:ascii="Calibri" w:hAnsi="Calibri"/>
                <w:sz w:val="18"/>
                <w:szCs w:val="18"/>
              </w:rPr>
            </w:pPr>
          </w:p>
        </w:tc>
        <w:tc>
          <w:tcPr>
            <w:tcW w:w="1535" w:type="dxa"/>
            <w:tcBorders>
              <w:top w:val="single" w:color="auto" w:sz="4" w:space="0"/>
              <w:left w:val="single" w:color="auto" w:sz="4" w:space="0"/>
              <w:bottom w:val="single" w:color="auto" w:sz="4" w:space="0"/>
              <w:right w:val="single" w:color="auto" w:sz="4" w:space="0"/>
            </w:tcBorders>
            <w:vAlign w:val="center"/>
          </w:tcPr>
          <w:p w14:paraId="55AFE7DE">
            <w:pPr>
              <w:jc w:val="right"/>
              <w:rPr>
                <w:rFonts w:ascii="Calibri" w:hAnsi="Calibri"/>
                <w:sz w:val="18"/>
                <w:szCs w:val="18"/>
              </w:rPr>
            </w:pPr>
            <w:r>
              <w:rPr>
                <w:rFonts w:ascii="Calibri" w:hAnsi="Calibri"/>
                <w:sz w:val="18"/>
                <w:szCs w:val="18"/>
              </w:rPr>
              <w:t>704,437.76</w:t>
            </w:r>
          </w:p>
        </w:tc>
        <w:tc>
          <w:tcPr>
            <w:tcW w:w="685" w:type="dxa"/>
            <w:tcBorders>
              <w:top w:val="single" w:color="auto" w:sz="4" w:space="0"/>
              <w:left w:val="single" w:color="auto" w:sz="4" w:space="0"/>
              <w:bottom w:val="single" w:color="auto" w:sz="4" w:space="0"/>
              <w:right w:val="single" w:color="auto" w:sz="4" w:space="0"/>
            </w:tcBorders>
            <w:vAlign w:val="center"/>
          </w:tcPr>
          <w:p w14:paraId="7058D33B">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4FED4185">
            <w:pPr>
              <w:jc w:val="right"/>
              <w:rPr>
                <w:rFonts w:ascii="Calibri" w:hAnsi="Calibri"/>
                <w:sz w:val="18"/>
                <w:szCs w:val="18"/>
              </w:rPr>
            </w:pPr>
          </w:p>
        </w:tc>
        <w:tc>
          <w:tcPr>
            <w:tcW w:w="1538" w:type="dxa"/>
            <w:tcBorders>
              <w:top w:val="single" w:color="auto" w:sz="4" w:space="0"/>
              <w:left w:val="single" w:color="auto" w:sz="4" w:space="0"/>
              <w:bottom w:val="single" w:color="auto" w:sz="4" w:space="0"/>
              <w:right w:val="single" w:color="auto" w:sz="4" w:space="0"/>
            </w:tcBorders>
            <w:vAlign w:val="center"/>
          </w:tcPr>
          <w:p w14:paraId="5C720D45">
            <w:pPr>
              <w:jc w:val="right"/>
              <w:rPr>
                <w:rFonts w:ascii="Calibri" w:hAnsi="Calibri"/>
                <w:sz w:val="18"/>
                <w:szCs w:val="18"/>
              </w:rPr>
            </w:pPr>
          </w:p>
        </w:tc>
        <w:tc>
          <w:tcPr>
            <w:tcW w:w="1693" w:type="dxa"/>
            <w:tcBorders>
              <w:top w:val="single" w:color="auto" w:sz="4" w:space="0"/>
              <w:left w:val="single" w:color="auto" w:sz="4" w:space="0"/>
              <w:bottom w:val="single" w:color="auto" w:sz="4" w:space="0"/>
              <w:right w:val="single" w:color="auto" w:sz="4" w:space="0"/>
            </w:tcBorders>
            <w:vAlign w:val="center"/>
          </w:tcPr>
          <w:p w14:paraId="1272697B">
            <w:pPr>
              <w:jc w:val="right"/>
              <w:rPr>
                <w:rFonts w:ascii="Calibri" w:hAnsi="Calibri"/>
                <w:sz w:val="18"/>
                <w:szCs w:val="18"/>
              </w:rPr>
            </w:pPr>
            <w:r>
              <w:rPr>
                <w:rFonts w:ascii="Calibri" w:hAnsi="Calibri"/>
                <w:sz w:val="18"/>
                <w:szCs w:val="18"/>
              </w:rPr>
              <w:t>704,437.76</w:t>
            </w:r>
          </w:p>
        </w:tc>
      </w:tr>
      <w:tr w14:paraId="3342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4" w:type="dxa"/>
            <w:tcBorders>
              <w:top w:val="single" w:color="auto" w:sz="4" w:space="0"/>
              <w:left w:val="single" w:color="auto" w:sz="4" w:space="0"/>
              <w:bottom w:val="single" w:color="auto" w:sz="4" w:space="0"/>
              <w:right w:val="single" w:color="auto" w:sz="4" w:space="0"/>
            </w:tcBorders>
            <w:vAlign w:val="center"/>
          </w:tcPr>
          <w:p w14:paraId="395EE655">
            <w:pPr>
              <w:jc w:val="center"/>
              <w:rPr>
                <w:rFonts w:ascii="Calibri" w:hAnsi="Calibri"/>
                <w:sz w:val="18"/>
                <w:szCs w:val="18"/>
              </w:rPr>
            </w:pPr>
            <w:r>
              <w:rPr>
                <w:rFonts w:hint="eastAsia" w:ascii="Calibri" w:hAnsi="Calibri"/>
                <w:sz w:val="18"/>
                <w:szCs w:val="18"/>
              </w:rPr>
              <w:t>合计</w:t>
            </w:r>
          </w:p>
        </w:tc>
        <w:tc>
          <w:tcPr>
            <w:tcW w:w="1505" w:type="dxa"/>
            <w:tcBorders>
              <w:top w:val="single" w:color="auto" w:sz="4" w:space="0"/>
              <w:left w:val="single" w:color="auto" w:sz="4" w:space="0"/>
              <w:bottom w:val="single" w:color="auto" w:sz="4" w:space="0"/>
              <w:right w:val="single" w:color="auto" w:sz="4" w:space="0"/>
            </w:tcBorders>
            <w:vAlign w:val="center"/>
          </w:tcPr>
          <w:p w14:paraId="2FCCC5E0">
            <w:pPr>
              <w:jc w:val="right"/>
              <w:rPr>
                <w:rFonts w:ascii="Calibri" w:hAnsi="Calibri"/>
                <w:sz w:val="18"/>
                <w:szCs w:val="18"/>
              </w:rPr>
            </w:pPr>
            <w:r>
              <w:rPr>
                <w:rFonts w:ascii="Calibri" w:hAnsi="Calibri"/>
                <w:sz w:val="18"/>
                <w:szCs w:val="18"/>
              </w:rPr>
              <w:t>947,716,585.16</w:t>
            </w:r>
          </w:p>
        </w:tc>
        <w:tc>
          <w:tcPr>
            <w:tcW w:w="1535" w:type="dxa"/>
            <w:tcBorders>
              <w:top w:val="single" w:color="auto" w:sz="4" w:space="0"/>
              <w:left w:val="single" w:color="auto" w:sz="4" w:space="0"/>
              <w:bottom w:val="single" w:color="auto" w:sz="4" w:space="0"/>
              <w:right w:val="single" w:color="auto" w:sz="4" w:space="0"/>
            </w:tcBorders>
            <w:vAlign w:val="center"/>
          </w:tcPr>
          <w:p w14:paraId="7EED0049">
            <w:pPr>
              <w:jc w:val="right"/>
              <w:rPr>
                <w:rFonts w:ascii="Calibri" w:hAnsi="Calibri"/>
                <w:sz w:val="18"/>
                <w:szCs w:val="18"/>
              </w:rPr>
            </w:pPr>
            <w:r>
              <w:rPr>
                <w:rFonts w:ascii="Calibri" w:hAnsi="Calibri"/>
                <w:sz w:val="18"/>
                <w:szCs w:val="18"/>
              </w:rPr>
              <w:t>338,732,090.33</w:t>
            </w:r>
          </w:p>
        </w:tc>
        <w:tc>
          <w:tcPr>
            <w:tcW w:w="685" w:type="dxa"/>
            <w:tcBorders>
              <w:top w:val="single" w:color="auto" w:sz="4" w:space="0"/>
              <w:left w:val="single" w:color="auto" w:sz="4" w:space="0"/>
              <w:bottom w:val="single" w:color="auto" w:sz="4" w:space="0"/>
              <w:right w:val="single" w:color="auto" w:sz="4" w:space="0"/>
            </w:tcBorders>
            <w:vAlign w:val="center"/>
          </w:tcPr>
          <w:p w14:paraId="7FCCC972">
            <w:pPr>
              <w:jc w:val="right"/>
              <w:rPr>
                <w:rFonts w:ascii="Calibri" w:hAnsi="Calibri"/>
                <w:sz w:val="18"/>
                <w:szCs w:val="18"/>
              </w:rPr>
            </w:pPr>
          </w:p>
        </w:tc>
        <w:tc>
          <w:tcPr>
            <w:tcW w:w="1391" w:type="dxa"/>
            <w:tcBorders>
              <w:top w:val="single" w:color="auto" w:sz="4" w:space="0"/>
              <w:left w:val="single" w:color="auto" w:sz="4" w:space="0"/>
              <w:bottom w:val="single" w:color="auto" w:sz="4" w:space="0"/>
              <w:right w:val="single" w:color="auto" w:sz="4" w:space="0"/>
            </w:tcBorders>
            <w:vAlign w:val="center"/>
          </w:tcPr>
          <w:p w14:paraId="6DC58569">
            <w:pPr>
              <w:jc w:val="right"/>
              <w:rPr>
                <w:rFonts w:ascii="Calibri" w:hAnsi="Calibri"/>
                <w:sz w:val="18"/>
                <w:szCs w:val="18"/>
              </w:rPr>
            </w:pPr>
            <w:r>
              <w:rPr>
                <w:rFonts w:ascii="Calibri" w:hAnsi="Calibri"/>
                <w:sz w:val="18"/>
                <w:szCs w:val="18"/>
              </w:rPr>
              <w:t>15,910,823.02</w:t>
            </w:r>
          </w:p>
        </w:tc>
        <w:tc>
          <w:tcPr>
            <w:tcW w:w="1538" w:type="dxa"/>
            <w:tcBorders>
              <w:top w:val="single" w:color="auto" w:sz="4" w:space="0"/>
              <w:left w:val="single" w:color="auto" w:sz="4" w:space="0"/>
              <w:bottom w:val="single" w:color="auto" w:sz="4" w:space="0"/>
              <w:right w:val="single" w:color="auto" w:sz="4" w:space="0"/>
            </w:tcBorders>
            <w:vAlign w:val="center"/>
          </w:tcPr>
          <w:p w14:paraId="70A1197F">
            <w:pPr>
              <w:jc w:val="right"/>
              <w:rPr>
                <w:rFonts w:ascii="Calibri" w:hAnsi="Calibri"/>
                <w:sz w:val="18"/>
                <w:szCs w:val="18"/>
              </w:rPr>
            </w:pPr>
            <w:r>
              <w:rPr>
                <w:rFonts w:ascii="Calibri" w:hAnsi="Calibri"/>
                <w:sz w:val="18"/>
                <w:szCs w:val="18"/>
              </w:rPr>
              <w:t>176,679,703.49</w:t>
            </w:r>
          </w:p>
        </w:tc>
        <w:tc>
          <w:tcPr>
            <w:tcW w:w="1693" w:type="dxa"/>
            <w:tcBorders>
              <w:top w:val="single" w:color="auto" w:sz="4" w:space="0"/>
              <w:left w:val="single" w:color="auto" w:sz="4" w:space="0"/>
              <w:bottom w:val="single" w:color="auto" w:sz="4" w:space="0"/>
              <w:right w:val="single" w:color="auto" w:sz="4" w:space="0"/>
            </w:tcBorders>
            <w:vAlign w:val="center"/>
          </w:tcPr>
          <w:p w14:paraId="4569F1BE">
            <w:pPr>
              <w:jc w:val="right"/>
              <w:rPr>
                <w:rFonts w:ascii="Calibri" w:hAnsi="Calibri"/>
                <w:sz w:val="18"/>
                <w:szCs w:val="18"/>
              </w:rPr>
            </w:pPr>
            <w:r>
              <w:rPr>
                <w:rFonts w:ascii="Calibri" w:hAnsi="Calibri"/>
                <w:sz w:val="18"/>
                <w:szCs w:val="18"/>
              </w:rPr>
              <w:t>1,093,858,148.98</w:t>
            </w:r>
          </w:p>
        </w:tc>
      </w:tr>
    </w:tbl>
    <w:p w14:paraId="2B5D1AAB"/>
    <w:p w14:paraId="36862A92">
      <w:pPr>
        <w:pStyle w:val="48"/>
      </w:pPr>
      <w:r>
        <w:t>重要的资本化研发项目</w:t>
      </w:r>
    </w:p>
    <w:sdt>
      <w:sdtPr>
        <w:alias w:val="是否适用：重要的资本化研发项目[双击切换]"/>
        <w:tag w:val="_GBC_d1b90c9364924f2791f75c6b9a12139f"/>
        <w:id w:val="588283314"/>
        <w:placeholder>
          <w:docPart w:val="GBC22222222222222222222222222222"/>
        </w:placeholder>
      </w:sdtPr>
      <w:sdtContent>
        <w:p w14:paraId="10FEF02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D7E83EA">
      <w:pPr>
        <w:pStyle w:val="30"/>
        <w:ind w:left="420" w:firstLine="0" w:firstLineChars="0"/>
        <w:jc w:val="right"/>
        <w:rPr>
          <w:szCs w:val="21"/>
        </w:rPr>
      </w:pPr>
    </w:p>
    <w:tbl>
      <w:tblPr>
        <w:tblStyle w:val="57"/>
        <w:tblW w:w="10916"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4"/>
        <w:gridCol w:w="1508"/>
        <w:gridCol w:w="1508"/>
        <w:gridCol w:w="2134"/>
        <w:gridCol w:w="1559"/>
        <w:gridCol w:w="1843"/>
      </w:tblGrid>
      <w:tr w14:paraId="1DEE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9b0ec7969a54b6baabbc38dbddd2bba"/>
            <w:id w:val="-1332672440"/>
          </w:sdtPr>
          <w:sdtContent>
            <w:tc>
              <w:tcPr>
                <w:tcW w:w="2364" w:type="dxa"/>
                <w:vAlign w:val="center"/>
              </w:tcPr>
              <w:p w14:paraId="4E9C7C0F">
                <w:pPr>
                  <w:jc w:val="center"/>
                  <w:rPr>
                    <w:rFonts w:ascii="Calibri" w:hAnsi="Calibri"/>
                    <w:sz w:val="20"/>
                    <w:szCs w:val="20"/>
                  </w:rPr>
                </w:pPr>
                <w:r>
                  <w:rPr>
                    <w:rFonts w:hint="eastAsia" w:ascii="Calibri" w:hAnsi="Calibri"/>
                    <w:sz w:val="20"/>
                    <w:szCs w:val="20"/>
                  </w:rPr>
                  <w:t>项目</w:t>
                </w:r>
              </w:p>
            </w:tc>
          </w:sdtContent>
        </w:sdt>
        <w:sdt>
          <w:sdtPr>
            <w:tag w:val="_PLD_6ac2441730e94c9ead27812d52adbe88"/>
            <w:id w:val="-356580718"/>
          </w:sdtPr>
          <w:sdtContent>
            <w:tc>
              <w:tcPr>
                <w:tcW w:w="1508" w:type="dxa"/>
                <w:vAlign w:val="center"/>
              </w:tcPr>
              <w:p w14:paraId="73930C06">
                <w:pPr>
                  <w:jc w:val="center"/>
                  <w:rPr>
                    <w:rFonts w:ascii="Calibri" w:hAnsi="Calibri"/>
                    <w:sz w:val="20"/>
                    <w:szCs w:val="20"/>
                  </w:rPr>
                </w:pPr>
                <w:r>
                  <w:rPr>
                    <w:rFonts w:ascii="Calibri" w:hAnsi="Calibri"/>
                    <w:sz w:val="20"/>
                    <w:szCs w:val="20"/>
                  </w:rPr>
                  <w:t>研发进度</w:t>
                </w:r>
              </w:p>
            </w:tc>
          </w:sdtContent>
        </w:sdt>
        <w:sdt>
          <w:sdtPr>
            <w:tag w:val="_PLD_8e134b1998ca4618b5da3a9a91df2784"/>
            <w:id w:val="-735772036"/>
          </w:sdtPr>
          <w:sdtContent>
            <w:tc>
              <w:tcPr>
                <w:tcW w:w="1508" w:type="dxa"/>
                <w:vAlign w:val="center"/>
              </w:tcPr>
              <w:p w14:paraId="689FCA24">
                <w:pPr>
                  <w:jc w:val="center"/>
                  <w:rPr>
                    <w:rFonts w:ascii="Calibri" w:hAnsi="Calibri"/>
                    <w:sz w:val="20"/>
                    <w:szCs w:val="20"/>
                  </w:rPr>
                </w:pPr>
                <w:r>
                  <w:rPr>
                    <w:rFonts w:ascii="Calibri" w:hAnsi="Calibri"/>
                    <w:sz w:val="20"/>
                    <w:szCs w:val="20"/>
                  </w:rPr>
                  <w:t>预计完成时间</w:t>
                </w:r>
              </w:p>
            </w:tc>
          </w:sdtContent>
        </w:sdt>
        <w:sdt>
          <w:sdtPr>
            <w:tag w:val="_PLD_b154627a0906414e86b8d05d2dc3d8c7"/>
            <w:id w:val="-1614817674"/>
          </w:sdtPr>
          <w:sdtContent>
            <w:tc>
              <w:tcPr>
                <w:tcW w:w="2134" w:type="dxa"/>
                <w:vAlign w:val="center"/>
              </w:tcPr>
              <w:p w14:paraId="5E2C4A44">
                <w:pPr>
                  <w:jc w:val="center"/>
                  <w:rPr>
                    <w:rFonts w:ascii="Calibri" w:hAnsi="Calibri"/>
                    <w:sz w:val="20"/>
                    <w:szCs w:val="20"/>
                  </w:rPr>
                </w:pPr>
                <w:r>
                  <w:rPr>
                    <w:rFonts w:ascii="Calibri" w:hAnsi="Calibri"/>
                    <w:sz w:val="20"/>
                    <w:szCs w:val="20"/>
                  </w:rPr>
                  <w:t>预计经济利益产生方式</w:t>
                </w:r>
              </w:p>
            </w:tc>
          </w:sdtContent>
        </w:sdt>
        <w:sdt>
          <w:sdtPr>
            <w:tag w:val="_PLD_e6e745e713c242739f89fb0e622b862b"/>
            <w:id w:val="-991021569"/>
          </w:sdtPr>
          <w:sdtContent>
            <w:tc>
              <w:tcPr>
                <w:tcW w:w="1559" w:type="dxa"/>
                <w:vAlign w:val="center"/>
              </w:tcPr>
              <w:p w14:paraId="3B68B056">
                <w:pPr>
                  <w:jc w:val="center"/>
                  <w:rPr>
                    <w:rFonts w:ascii="Calibri" w:hAnsi="Calibri"/>
                    <w:sz w:val="20"/>
                    <w:szCs w:val="20"/>
                  </w:rPr>
                </w:pPr>
                <w:r>
                  <w:rPr>
                    <w:rFonts w:ascii="Calibri" w:hAnsi="Calibri"/>
                    <w:sz w:val="20"/>
                    <w:szCs w:val="20"/>
                  </w:rPr>
                  <w:t>开始资本化的时点</w:t>
                </w:r>
              </w:p>
            </w:tc>
          </w:sdtContent>
        </w:sdt>
        <w:sdt>
          <w:sdtPr>
            <w:tag w:val="_PLD_13f9330a17ab4e68ac2fb4465149d788"/>
            <w:id w:val="-788823106"/>
          </w:sdtPr>
          <w:sdtContent>
            <w:tc>
              <w:tcPr>
                <w:tcW w:w="1843" w:type="dxa"/>
                <w:vAlign w:val="center"/>
              </w:tcPr>
              <w:p w14:paraId="6DA18D09">
                <w:pPr>
                  <w:jc w:val="center"/>
                  <w:rPr>
                    <w:rFonts w:ascii="Calibri" w:hAnsi="Calibri"/>
                    <w:sz w:val="20"/>
                    <w:szCs w:val="20"/>
                  </w:rPr>
                </w:pPr>
                <w:r>
                  <w:rPr>
                    <w:rFonts w:ascii="Calibri" w:hAnsi="Calibri"/>
                    <w:sz w:val="20"/>
                    <w:szCs w:val="20"/>
                  </w:rPr>
                  <w:t>具体依据</w:t>
                </w:r>
              </w:p>
            </w:tc>
          </w:sdtContent>
        </w:sdt>
      </w:tr>
      <w:tr w14:paraId="07C3A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7DBE0BC8">
            <w:pPr>
              <w:rPr>
                <w:rFonts w:ascii="Calibri" w:hAnsi="Calibri"/>
                <w:sz w:val="20"/>
                <w:szCs w:val="20"/>
              </w:rPr>
            </w:pPr>
            <w:r>
              <w:rPr>
                <w:rFonts w:hint="eastAsia" w:ascii="宋体" w:hAnsi="宋体"/>
                <w:sz w:val="18"/>
                <w:szCs w:val="18"/>
              </w:rPr>
              <w:t>德谷胰岛素原料及注射液（DB06）</w:t>
            </w:r>
          </w:p>
        </w:tc>
        <w:tc>
          <w:tcPr>
            <w:tcW w:w="1508" w:type="dxa"/>
            <w:vAlign w:val="center"/>
          </w:tcPr>
          <w:p w14:paraId="5D186BBE">
            <w:pPr>
              <w:rPr>
                <w:rFonts w:ascii="Calibri" w:hAnsi="Calibri"/>
                <w:sz w:val="20"/>
                <w:szCs w:val="20"/>
              </w:rPr>
            </w:pPr>
            <w:r>
              <w:rPr>
                <w:rFonts w:hint="eastAsia" w:ascii="宋体" w:hAnsi="宋体"/>
                <w:sz w:val="18"/>
                <w:szCs w:val="18"/>
              </w:rPr>
              <w:t>预备临床试验</w:t>
            </w:r>
          </w:p>
        </w:tc>
        <w:tc>
          <w:tcPr>
            <w:tcW w:w="1508" w:type="dxa"/>
            <w:vAlign w:val="center"/>
          </w:tcPr>
          <w:p w14:paraId="5CB4D25C">
            <w:pPr>
              <w:rPr>
                <w:rFonts w:ascii="Calibri" w:hAnsi="Calibri"/>
                <w:sz w:val="20"/>
                <w:szCs w:val="20"/>
              </w:rPr>
            </w:pPr>
            <w:r>
              <w:rPr>
                <w:rFonts w:hint="eastAsia" w:ascii="宋体" w:hAnsi="宋体"/>
                <w:sz w:val="18"/>
                <w:szCs w:val="18"/>
              </w:rPr>
              <w:t>2028年9月</w:t>
            </w:r>
          </w:p>
        </w:tc>
        <w:tc>
          <w:tcPr>
            <w:tcW w:w="2134" w:type="dxa"/>
            <w:vAlign w:val="center"/>
          </w:tcPr>
          <w:p w14:paraId="2E187E15">
            <w:pPr>
              <w:rPr>
                <w:rFonts w:ascii="Calibri" w:hAnsi="Calibri"/>
                <w:sz w:val="20"/>
                <w:szCs w:val="20"/>
              </w:rPr>
            </w:pPr>
            <w:r>
              <w:rPr>
                <w:rFonts w:hint="eastAsia" w:ascii="宋体" w:hAnsi="宋体"/>
                <w:sz w:val="18"/>
                <w:szCs w:val="18"/>
              </w:rPr>
              <w:t>获取生产批件后，通过自行生产销售获利</w:t>
            </w:r>
          </w:p>
        </w:tc>
        <w:tc>
          <w:tcPr>
            <w:tcW w:w="1559" w:type="dxa"/>
            <w:vAlign w:val="center"/>
          </w:tcPr>
          <w:p w14:paraId="0793A905">
            <w:pPr>
              <w:rPr>
                <w:rFonts w:ascii="Calibri" w:hAnsi="Calibri"/>
                <w:sz w:val="20"/>
                <w:szCs w:val="20"/>
              </w:rPr>
            </w:pPr>
            <w:r>
              <w:rPr>
                <w:rFonts w:hint="eastAsia" w:ascii="宋体" w:hAnsi="宋体"/>
                <w:sz w:val="18"/>
                <w:szCs w:val="18"/>
              </w:rPr>
              <w:t>2022年9月</w:t>
            </w:r>
          </w:p>
        </w:tc>
        <w:tc>
          <w:tcPr>
            <w:tcW w:w="1843" w:type="dxa"/>
            <w:vAlign w:val="center"/>
          </w:tcPr>
          <w:p w14:paraId="1D280E94">
            <w:pPr>
              <w:rPr>
                <w:rFonts w:ascii="Calibri" w:hAnsi="Calibri"/>
                <w:sz w:val="20"/>
                <w:szCs w:val="20"/>
              </w:rPr>
            </w:pPr>
            <w:r>
              <w:rPr>
                <w:rFonts w:hint="eastAsia" w:ascii="宋体" w:hAnsi="宋体"/>
                <w:sz w:val="18"/>
                <w:szCs w:val="18"/>
              </w:rPr>
              <w:t>临床试验批复</w:t>
            </w:r>
          </w:p>
        </w:tc>
      </w:tr>
      <w:tr w14:paraId="23CD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143A98D9">
            <w:pPr>
              <w:rPr>
                <w:rFonts w:ascii="Calibri" w:hAnsi="Calibri"/>
                <w:sz w:val="20"/>
                <w:szCs w:val="20"/>
              </w:rPr>
            </w:pPr>
            <w:r>
              <w:rPr>
                <w:rFonts w:hint="eastAsia" w:ascii="宋体" w:hAnsi="宋体"/>
                <w:sz w:val="18"/>
                <w:szCs w:val="18"/>
              </w:rPr>
              <w:t>门冬国际注册 （THDB0218）</w:t>
            </w:r>
          </w:p>
        </w:tc>
        <w:tc>
          <w:tcPr>
            <w:tcW w:w="1508" w:type="dxa"/>
            <w:vAlign w:val="center"/>
          </w:tcPr>
          <w:p w14:paraId="5E2E917A">
            <w:pPr>
              <w:rPr>
                <w:rFonts w:ascii="Calibri" w:hAnsi="Calibri"/>
                <w:sz w:val="20"/>
                <w:szCs w:val="20"/>
              </w:rPr>
            </w:pPr>
            <w:r>
              <w:rPr>
                <w:rFonts w:hint="eastAsia" w:ascii="宋体" w:hAnsi="宋体"/>
                <w:sz w:val="18"/>
                <w:szCs w:val="18"/>
              </w:rPr>
              <w:t>官方申报审评阶段</w:t>
            </w:r>
          </w:p>
        </w:tc>
        <w:tc>
          <w:tcPr>
            <w:tcW w:w="1508" w:type="dxa"/>
            <w:vAlign w:val="center"/>
          </w:tcPr>
          <w:p w14:paraId="16EDBAFF">
            <w:pPr>
              <w:rPr>
                <w:rFonts w:ascii="Calibri" w:hAnsi="Calibri"/>
                <w:sz w:val="20"/>
                <w:szCs w:val="20"/>
              </w:rPr>
            </w:pPr>
            <w:r>
              <w:rPr>
                <w:rFonts w:hint="eastAsia" w:ascii="宋体" w:hAnsi="宋体"/>
                <w:sz w:val="18"/>
                <w:szCs w:val="18"/>
              </w:rPr>
              <w:t>2027年12月</w:t>
            </w:r>
          </w:p>
        </w:tc>
        <w:tc>
          <w:tcPr>
            <w:tcW w:w="2134" w:type="dxa"/>
            <w:vAlign w:val="center"/>
          </w:tcPr>
          <w:p w14:paraId="0B1327BB">
            <w:pPr>
              <w:rPr>
                <w:rFonts w:ascii="Calibri" w:hAnsi="Calibri"/>
                <w:sz w:val="20"/>
                <w:szCs w:val="20"/>
              </w:rPr>
            </w:pPr>
            <w:r>
              <w:rPr>
                <w:rFonts w:hint="eastAsia" w:ascii="宋体" w:hAnsi="宋体"/>
                <w:sz w:val="18"/>
                <w:szCs w:val="18"/>
              </w:rPr>
              <w:t>自行生产销售获利</w:t>
            </w:r>
          </w:p>
        </w:tc>
        <w:tc>
          <w:tcPr>
            <w:tcW w:w="1559" w:type="dxa"/>
            <w:vAlign w:val="center"/>
          </w:tcPr>
          <w:p w14:paraId="4389365B">
            <w:pPr>
              <w:rPr>
                <w:rFonts w:ascii="Calibri" w:hAnsi="Calibri"/>
                <w:sz w:val="20"/>
                <w:szCs w:val="20"/>
              </w:rPr>
            </w:pPr>
            <w:r>
              <w:rPr>
                <w:rFonts w:hint="eastAsia" w:ascii="宋体" w:hAnsi="宋体"/>
                <w:sz w:val="18"/>
                <w:szCs w:val="18"/>
              </w:rPr>
              <w:t>2022年9月</w:t>
            </w:r>
          </w:p>
        </w:tc>
        <w:tc>
          <w:tcPr>
            <w:tcW w:w="1843" w:type="dxa"/>
            <w:vAlign w:val="center"/>
          </w:tcPr>
          <w:p w14:paraId="60C18F51">
            <w:pPr>
              <w:rPr>
                <w:rFonts w:ascii="Calibri" w:hAnsi="Calibri"/>
                <w:sz w:val="20"/>
                <w:szCs w:val="20"/>
              </w:rPr>
            </w:pPr>
            <w:r>
              <w:rPr>
                <w:rFonts w:hint="eastAsia" w:ascii="宋体" w:hAnsi="宋体"/>
                <w:sz w:val="18"/>
                <w:szCs w:val="18"/>
              </w:rPr>
              <w:t>欧美官方受理信</w:t>
            </w:r>
          </w:p>
        </w:tc>
      </w:tr>
      <w:tr w14:paraId="2E9D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7320A1C9">
            <w:pPr>
              <w:rPr>
                <w:rFonts w:ascii="Calibri" w:hAnsi="Calibri"/>
                <w:sz w:val="20"/>
                <w:szCs w:val="20"/>
              </w:rPr>
            </w:pPr>
            <w:r>
              <w:rPr>
                <w:rFonts w:hint="eastAsia" w:ascii="宋体" w:hAnsi="宋体"/>
                <w:sz w:val="18"/>
                <w:szCs w:val="18"/>
              </w:rPr>
              <w:t>重组赖脯胰岛素原料药及注射液（DB04）</w:t>
            </w:r>
          </w:p>
        </w:tc>
        <w:tc>
          <w:tcPr>
            <w:tcW w:w="1508" w:type="dxa"/>
            <w:vAlign w:val="center"/>
          </w:tcPr>
          <w:p w14:paraId="6602D484">
            <w:pPr>
              <w:rPr>
                <w:rFonts w:ascii="Calibri" w:hAnsi="Calibri"/>
                <w:sz w:val="20"/>
                <w:szCs w:val="20"/>
              </w:rPr>
            </w:pPr>
            <w:r>
              <w:rPr>
                <w:rFonts w:hint="eastAsia" w:ascii="宋体" w:hAnsi="宋体"/>
                <w:sz w:val="18"/>
                <w:szCs w:val="18"/>
              </w:rPr>
              <w:t>Ⅲ期临床试验阶段</w:t>
            </w:r>
          </w:p>
        </w:tc>
        <w:tc>
          <w:tcPr>
            <w:tcW w:w="1508" w:type="dxa"/>
            <w:vAlign w:val="center"/>
          </w:tcPr>
          <w:p w14:paraId="52AAA542">
            <w:pPr>
              <w:rPr>
                <w:rFonts w:ascii="宋体" w:hAnsi="宋体"/>
                <w:sz w:val="18"/>
                <w:szCs w:val="18"/>
              </w:rPr>
            </w:pPr>
            <w:r>
              <w:rPr>
                <w:rFonts w:hint="eastAsia" w:ascii="宋体" w:hAnsi="宋体"/>
                <w:sz w:val="18"/>
                <w:szCs w:val="18"/>
              </w:rPr>
              <w:t>2027年12</w:t>
            </w:r>
          </w:p>
          <w:p w14:paraId="7CC3CFD5">
            <w:pPr>
              <w:rPr>
                <w:rFonts w:ascii="Calibri" w:hAnsi="Calibri"/>
                <w:sz w:val="20"/>
                <w:szCs w:val="20"/>
              </w:rPr>
            </w:pPr>
            <w:r>
              <w:rPr>
                <w:rFonts w:hint="eastAsia" w:ascii="宋体" w:hAnsi="宋体"/>
                <w:sz w:val="18"/>
                <w:szCs w:val="18"/>
              </w:rPr>
              <w:t>月</w:t>
            </w:r>
          </w:p>
        </w:tc>
        <w:tc>
          <w:tcPr>
            <w:tcW w:w="2134" w:type="dxa"/>
            <w:vAlign w:val="center"/>
          </w:tcPr>
          <w:p w14:paraId="61712AFB">
            <w:pPr>
              <w:rPr>
                <w:rFonts w:ascii="Calibri" w:hAnsi="Calibri"/>
                <w:sz w:val="20"/>
                <w:szCs w:val="20"/>
              </w:rPr>
            </w:pPr>
            <w:r>
              <w:rPr>
                <w:rFonts w:hint="eastAsia" w:ascii="宋体" w:hAnsi="宋体"/>
                <w:sz w:val="18"/>
                <w:szCs w:val="18"/>
              </w:rPr>
              <w:t>获取生产批件后，通过自行生产销售获利</w:t>
            </w:r>
          </w:p>
        </w:tc>
        <w:tc>
          <w:tcPr>
            <w:tcW w:w="1559" w:type="dxa"/>
            <w:vAlign w:val="center"/>
          </w:tcPr>
          <w:p w14:paraId="690D1516">
            <w:pPr>
              <w:rPr>
                <w:rFonts w:ascii="Calibri" w:hAnsi="Calibri"/>
                <w:sz w:val="20"/>
                <w:szCs w:val="20"/>
              </w:rPr>
            </w:pPr>
            <w:r>
              <w:rPr>
                <w:rFonts w:hint="eastAsia" w:ascii="宋体" w:hAnsi="宋体"/>
                <w:sz w:val="18"/>
                <w:szCs w:val="18"/>
              </w:rPr>
              <w:t>2018年10月</w:t>
            </w:r>
          </w:p>
        </w:tc>
        <w:tc>
          <w:tcPr>
            <w:tcW w:w="1843" w:type="dxa"/>
            <w:vAlign w:val="center"/>
          </w:tcPr>
          <w:p w14:paraId="2D21E6CF">
            <w:pPr>
              <w:rPr>
                <w:rFonts w:ascii="Calibri" w:hAnsi="Calibri"/>
                <w:sz w:val="20"/>
                <w:szCs w:val="20"/>
              </w:rPr>
            </w:pPr>
            <w:r>
              <w:rPr>
                <w:rFonts w:hint="eastAsia" w:ascii="宋体" w:hAnsi="宋体"/>
                <w:sz w:val="18"/>
                <w:szCs w:val="18"/>
              </w:rPr>
              <w:t>临床试验批复</w:t>
            </w:r>
          </w:p>
        </w:tc>
      </w:tr>
      <w:tr w14:paraId="1ECC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6729028B">
            <w:pPr>
              <w:rPr>
                <w:rFonts w:ascii="Calibri" w:hAnsi="Calibri"/>
                <w:sz w:val="20"/>
                <w:szCs w:val="20"/>
              </w:rPr>
            </w:pPr>
            <w:r>
              <w:rPr>
                <w:rFonts w:hint="eastAsia" w:ascii="宋体" w:hAnsi="宋体"/>
                <w:sz w:val="18"/>
                <w:szCs w:val="18"/>
              </w:rPr>
              <w:t>超速效型胰岛素类似物的研究与开发（BC Lispro）（THDB0206）</w:t>
            </w:r>
          </w:p>
        </w:tc>
        <w:tc>
          <w:tcPr>
            <w:tcW w:w="1508" w:type="dxa"/>
            <w:vAlign w:val="center"/>
          </w:tcPr>
          <w:p w14:paraId="2A153C10">
            <w:pPr>
              <w:rPr>
                <w:rFonts w:ascii="Calibri" w:hAnsi="Calibri"/>
                <w:sz w:val="20"/>
                <w:szCs w:val="20"/>
              </w:rPr>
            </w:pPr>
            <w:r>
              <w:rPr>
                <w:rFonts w:hint="eastAsia" w:ascii="宋体" w:hAnsi="宋体"/>
                <w:sz w:val="18"/>
                <w:szCs w:val="18"/>
              </w:rPr>
              <w:t>Ⅲ期临床试验阶段</w:t>
            </w:r>
          </w:p>
        </w:tc>
        <w:tc>
          <w:tcPr>
            <w:tcW w:w="1508" w:type="dxa"/>
            <w:vAlign w:val="center"/>
          </w:tcPr>
          <w:p w14:paraId="471CBE4A">
            <w:pPr>
              <w:rPr>
                <w:rFonts w:ascii="Calibri" w:hAnsi="Calibri"/>
                <w:sz w:val="20"/>
                <w:szCs w:val="20"/>
              </w:rPr>
            </w:pPr>
            <w:r>
              <w:rPr>
                <w:rFonts w:hint="eastAsia" w:ascii="宋体" w:hAnsi="宋体"/>
                <w:sz w:val="18"/>
                <w:szCs w:val="18"/>
              </w:rPr>
              <w:t>2028年6月</w:t>
            </w:r>
          </w:p>
        </w:tc>
        <w:tc>
          <w:tcPr>
            <w:tcW w:w="2134" w:type="dxa"/>
            <w:vAlign w:val="center"/>
          </w:tcPr>
          <w:p w14:paraId="40995F05">
            <w:pPr>
              <w:rPr>
                <w:rFonts w:ascii="Calibri" w:hAnsi="Calibri"/>
                <w:sz w:val="20"/>
                <w:szCs w:val="20"/>
              </w:rPr>
            </w:pPr>
            <w:r>
              <w:rPr>
                <w:rFonts w:hint="eastAsia" w:ascii="宋体" w:hAnsi="宋体"/>
                <w:sz w:val="18"/>
                <w:szCs w:val="18"/>
              </w:rPr>
              <w:t>获取生产批件后，通过自行生产销售获利</w:t>
            </w:r>
          </w:p>
        </w:tc>
        <w:tc>
          <w:tcPr>
            <w:tcW w:w="1559" w:type="dxa"/>
            <w:vAlign w:val="center"/>
          </w:tcPr>
          <w:p w14:paraId="53AF5289">
            <w:pPr>
              <w:rPr>
                <w:rFonts w:ascii="Calibri" w:hAnsi="Calibri"/>
                <w:sz w:val="20"/>
                <w:szCs w:val="20"/>
              </w:rPr>
            </w:pPr>
            <w:r>
              <w:rPr>
                <w:rFonts w:hint="eastAsia" w:ascii="宋体" w:hAnsi="宋体"/>
                <w:sz w:val="18"/>
                <w:szCs w:val="18"/>
              </w:rPr>
              <w:t>2020年11月</w:t>
            </w:r>
          </w:p>
        </w:tc>
        <w:tc>
          <w:tcPr>
            <w:tcW w:w="1843" w:type="dxa"/>
            <w:vAlign w:val="center"/>
          </w:tcPr>
          <w:p w14:paraId="1A9C423B">
            <w:pPr>
              <w:rPr>
                <w:rFonts w:ascii="Calibri" w:hAnsi="Calibri"/>
                <w:sz w:val="20"/>
                <w:szCs w:val="20"/>
              </w:rPr>
            </w:pPr>
            <w:r>
              <w:rPr>
                <w:rFonts w:hint="eastAsia" w:ascii="宋体" w:hAnsi="宋体"/>
                <w:sz w:val="18"/>
                <w:szCs w:val="18"/>
              </w:rPr>
              <w:t>临床试验批复</w:t>
            </w:r>
          </w:p>
        </w:tc>
      </w:tr>
      <w:tr w14:paraId="77A0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6FDE0A09">
            <w:pPr>
              <w:rPr>
                <w:rFonts w:ascii="Calibri" w:hAnsi="Calibri"/>
                <w:sz w:val="20"/>
                <w:szCs w:val="20"/>
              </w:rPr>
            </w:pPr>
            <w:r>
              <w:rPr>
                <w:rFonts w:hint="eastAsia" w:ascii="宋体" w:hAnsi="宋体"/>
                <w:sz w:val="18"/>
                <w:szCs w:val="18"/>
              </w:rPr>
              <w:t>赖脯胰岛素注射液（25R）(DB042)</w:t>
            </w:r>
          </w:p>
        </w:tc>
        <w:tc>
          <w:tcPr>
            <w:tcW w:w="1508" w:type="dxa"/>
            <w:vAlign w:val="center"/>
          </w:tcPr>
          <w:p w14:paraId="4237DE5D">
            <w:pPr>
              <w:rPr>
                <w:rFonts w:ascii="Calibri" w:hAnsi="Calibri"/>
                <w:sz w:val="20"/>
                <w:szCs w:val="20"/>
              </w:rPr>
            </w:pPr>
            <w:r>
              <w:rPr>
                <w:rFonts w:hint="eastAsia" w:ascii="宋体" w:hAnsi="宋体"/>
                <w:sz w:val="18"/>
                <w:szCs w:val="18"/>
              </w:rPr>
              <w:t>Ⅲ期临床试验阶段完成，准备申报NDA</w:t>
            </w:r>
          </w:p>
        </w:tc>
        <w:tc>
          <w:tcPr>
            <w:tcW w:w="1508" w:type="dxa"/>
            <w:vAlign w:val="center"/>
          </w:tcPr>
          <w:p w14:paraId="199639AA">
            <w:pPr>
              <w:rPr>
                <w:rFonts w:ascii="Calibri" w:hAnsi="Calibri"/>
                <w:sz w:val="20"/>
                <w:szCs w:val="20"/>
              </w:rPr>
            </w:pPr>
            <w:r>
              <w:rPr>
                <w:rFonts w:hint="eastAsia" w:ascii="宋体" w:hAnsi="宋体"/>
                <w:sz w:val="18"/>
                <w:szCs w:val="18"/>
              </w:rPr>
              <w:t>2027年12月</w:t>
            </w:r>
          </w:p>
        </w:tc>
        <w:tc>
          <w:tcPr>
            <w:tcW w:w="2134" w:type="dxa"/>
            <w:vAlign w:val="center"/>
          </w:tcPr>
          <w:p w14:paraId="74038EFD">
            <w:pPr>
              <w:rPr>
                <w:rFonts w:ascii="Calibri" w:hAnsi="Calibri"/>
                <w:sz w:val="20"/>
                <w:szCs w:val="20"/>
              </w:rPr>
            </w:pPr>
            <w:r>
              <w:rPr>
                <w:rFonts w:hint="eastAsia" w:ascii="宋体" w:hAnsi="宋体"/>
                <w:sz w:val="18"/>
                <w:szCs w:val="18"/>
              </w:rPr>
              <w:t>获取生产批件后，通过自行生产销售获利</w:t>
            </w:r>
          </w:p>
        </w:tc>
        <w:tc>
          <w:tcPr>
            <w:tcW w:w="1559" w:type="dxa"/>
            <w:vAlign w:val="center"/>
          </w:tcPr>
          <w:p w14:paraId="35521CDC">
            <w:pPr>
              <w:rPr>
                <w:rFonts w:ascii="Calibri" w:hAnsi="Calibri"/>
                <w:sz w:val="20"/>
                <w:szCs w:val="20"/>
              </w:rPr>
            </w:pPr>
            <w:r>
              <w:rPr>
                <w:rFonts w:hint="eastAsia" w:ascii="宋体" w:hAnsi="宋体"/>
                <w:sz w:val="18"/>
                <w:szCs w:val="18"/>
              </w:rPr>
              <w:t>2018年10月</w:t>
            </w:r>
          </w:p>
        </w:tc>
        <w:tc>
          <w:tcPr>
            <w:tcW w:w="1843" w:type="dxa"/>
            <w:vAlign w:val="center"/>
          </w:tcPr>
          <w:p w14:paraId="1E95B9AD">
            <w:pPr>
              <w:rPr>
                <w:rFonts w:ascii="Calibri" w:hAnsi="Calibri"/>
                <w:sz w:val="20"/>
                <w:szCs w:val="20"/>
              </w:rPr>
            </w:pPr>
            <w:r>
              <w:rPr>
                <w:rFonts w:hint="eastAsia" w:ascii="宋体" w:hAnsi="宋体"/>
                <w:sz w:val="18"/>
                <w:szCs w:val="18"/>
              </w:rPr>
              <w:t>临床试验批复</w:t>
            </w:r>
          </w:p>
        </w:tc>
      </w:tr>
      <w:tr w14:paraId="2F8F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335640EE">
            <w:pPr>
              <w:rPr>
                <w:rFonts w:ascii="Calibri" w:hAnsi="Calibri"/>
                <w:sz w:val="20"/>
                <w:szCs w:val="20"/>
              </w:rPr>
            </w:pPr>
            <w:r>
              <w:rPr>
                <w:rFonts w:hint="eastAsia" w:ascii="宋体" w:hAnsi="宋体"/>
                <w:sz w:val="18"/>
                <w:szCs w:val="18"/>
              </w:rPr>
              <w:t>甘精国际注册 （THDB0217）</w:t>
            </w:r>
          </w:p>
        </w:tc>
        <w:tc>
          <w:tcPr>
            <w:tcW w:w="1508" w:type="dxa"/>
            <w:vAlign w:val="center"/>
          </w:tcPr>
          <w:p w14:paraId="1B5E533F">
            <w:pPr>
              <w:rPr>
                <w:rFonts w:ascii="Calibri" w:hAnsi="Calibri"/>
                <w:sz w:val="20"/>
                <w:szCs w:val="20"/>
              </w:rPr>
            </w:pPr>
            <w:r>
              <w:rPr>
                <w:rFonts w:hint="eastAsia" w:ascii="宋体" w:hAnsi="宋体"/>
                <w:sz w:val="18"/>
                <w:szCs w:val="18"/>
              </w:rPr>
              <w:t>准备申报资料阶段</w:t>
            </w:r>
          </w:p>
        </w:tc>
        <w:tc>
          <w:tcPr>
            <w:tcW w:w="1508" w:type="dxa"/>
            <w:vAlign w:val="center"/>
          </w:tcPr>
          <w:p w14:paraId="740641FF">
            <w:pPr>
              <w:rPr>
                <w:rFonts w:ascii="Calibri" w:hAnsi="Calibri"/>
                <w:sz w:val="20"/>
                <w:szCs w:val="20"/>
              </w:rPr>
            </w:pPr>
            <w:r>
              <w:rPr>
                <w:rFonts w:hint="eastAsia" w:ascii="宋体" w:hAnsi="宋体"/>
                <w:sz w:val="18"/>
                <w:szCs w:val="18"/>
              </w:rPr>
              <w:t>2028年12月</w:t>
            </w:r>
          </w:p>
        </w:tc>
        <w:tc>
          <w:tcPr>
            <w:tcW w:w="2134" w:type="dxa"/>
            <w:vAlign w:val="center"/>
          </w:tcPr>
          <w:p w14:paraId="2ECEBC5D">
            <w:pPr>
              <w:rPr>
                <w:rFonts w:ascii="Calibri" w:hAnsi="Calibri"/>
                <w:sz w:val="20"/>
                <w:szCs w:val="20"/>
              </w:rPr>
            </w:pPr>
            <w:r>
              <w:rPr>
                <w:rFonts w:hint="eastAsia" w:ascii="宋体" w:hAnsi="宋体"/>
                <w:sz w:val="18"/>
                <w:szCs w:val="18"/>
              </w:rPr>
              <w:t>自行生产销售获利</w:t>
            </w:r>
          </w:p>
        </w:tc>
        <w:tc>
          <w:tcPr>
            <w:tcW w:w="1559" w:type="dxa"/>
            <w:vAlign w:val="center"/>
          </w:tcPr>
          <w:p w14:paraId="6FCA18A2">
            <w:pPr>
              <w:rPr>
                <w:rFonts w:ascii="Calibri" w:hAnsi="Calibri"/>
                <w:sz w:val="20"/>
                <w:szCs w:val="20"/>
              </w:rPr>
            </w:pPr>
            <w:r>
              <w:rPr>
                <w:rFonts w:hint="eastAsia" w:ascii="宋体" w:hAnsi="宋体"/>
                <w:sz w:val="18"/>
                <w:szCs w:val="18"/>
              </w:rPr>
              <w:t>2022年7月</w:t>
            </w:r>
          </w:p>
        </w:tc>
        <w:tc>
          <w:tcPr>
            <w:tcW w:w="1843" w:type="dxa"/>
            <w:vAlign w:val="center"/>
          </w:tcPr>
          <w:p w14:paraId="42680165">
            <w:pPr>
              <w:rPr>
                <w:rFonts w:ascii="Calibri" w:hAnsi="Calibri"/>
                <w:sz w:val="20"/>
                <w:szCs w:val="20"/>
              </w:rPr>
            </w:pPr>
            <w:r>
              <w:rPr>
                <w:rFonts w:hint="eastAsia" w:ascii="宋体" w:hAnsi="宋体"/>
                <w:sz w:val="18"/>
                <w:szCs w:val="18"/>
              </w:rPr>
              <w:t>欧美官方沟通邮件/会议</w:t>
            </w:r>
          </w:p>
        </w:tc>
      </w:tr>
      <w:tr w14:paraId="6651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7D9001A0">
            <w:pPr>
              <w:rPr>
                <w:rFonts w:ascii="Calibri" w:hAnsi="Calibri"/>
                <w:sz w:val="20"/>
                <w:szCs w:val="20"/>
              </w:rPr>
            </w:pPr>
            <w:r>
              <w:rPr>
                <w:rFonts w:hint="eastAsia" w:ascii="宋体" w:hAnsi="宋体"/>
                <w:sz w:val="18"/>
                <w:szCs w:val="18"/>
              </w:rPr>
              <w:t>痛风XO/URAT1项目(THDBH150/THDBH151片)</w:t>
            </w:r>
          </w:p>
        </w:tc>
        <w:tc>
          <w:tcPr>
            <w:tcW w:w="1508" w:type="dxa"/>
            <w:vAlign w:val="center"/>
          </w:tcPr>
          <w:p w14:paraId="53945414">
            <w:pPr>
              <w:rPr>
                <w:rFonts w:ascii="Calibri" w:hAnsi="Calibri"/>
                <w:sz w:val="20"/>
                <w:szCs w:val="20"/>
              </w:rPr>
            </w:pPr>
            <w:r>
              <w:rPr>
                <w:rFonts w:hint="eastAsia" w:ascii="宋体" w:hAnsi="宋体"/>
                <w:sz w:val="18"/>
                <w:szCs w:val="18"/>
              </w:rPr>
              <w:t>II期临床试验阶段</w:t>
            </w:r>
          </w:p>
        </w:tc>
        <w:tc>
          <w:tcPr>
            <w:tcW w:w="1508" w:type="dxa"/>
            <w:vAlign w:val="center"/>
          </w:tcPr>
          <w:p w14:paraId="5DA59B2F">
            <w:pPr>
              <w:rPr>
                <w:rFonts w:ascii="Calibri" w:hAnsi="Calibri"/>
                <w:sz w:val="20"/>
                <w:szCs w:val="20"/>
              </w:rPr>
            </w:pPr>
            <w:r>
              <w:rPr>
                <w:rFonts w:hint="eastAsia" w:ascii="宋体" w:hAnsi="宋体"/>
                <w:sz w:val="18"/>
                <w:szCs w:val="18"/>
              </w:rPr>
              <w:t>2030年12月</w:t>
            </w:r>
          </w:p>
        </w:tc>
        <w:tc>
          <w:tcPr>
            <w:tcW w:w="2134" w:type="dxa"/>
            <w:vAlign w:val="center"/>
          </w:tcPr>
          <w:p w14:paraId="402DFF4B">
            <w:pPr>
              <w:rPr>
                <w:rFonts w:ascii="Calibri" w:hAnsi="Calibri"/>
                <w:sz w:val="20"/>
                <w:szCs w:val="20"/>
              </w:rPr>
            </w:pPr>
            <w:r>
              <w:rPr>
                <w:rFonts w:hint="eastAsia" w:ascii="宋体" w:hAnsi="宋体"/>
                <w:sz w:val="18"/>
                <w:szCs w:val="18"/>
              </w:rPr>
              <w:t>获取生产批件后，通过自行生产销售获利</w:t>
            </w:r>
          </w:p>
        </w:tc>
        <w:tc>
          <w:tcPr>
            <w:tcW w:w="1559" w:type="dxa"/>
            <w:vAlign w:val="center"/>
          </w:tcPr>
          <w:p w14:paraId="09972BE8">
            <w:pPr>
              <w:rPr>
                <w:rFonts w:ascii="Calibri" w:hAnsi="Calibri"/>
                <w:sz w:val="20"/>
                <w:szCs w:val="20"/>
              </w:rPr>
            </w:pPr>
            <w:r>
              <w:rPr>
                <w:rFonts w:hint="eastAsia" w:ascii="宋体" w:hAnsi="宋体"/>
                <w:sz w:val="18"/>
                <w:szCs w:val="18"/>
              </w:rPr>
              <w:t>2022年12月</w:t>
            </w:r>
          </w:p>
        </w:tc>
        <w:tc>
          <w:tcPr>
            <w:tcW w:w="1843" w:type="dxa"/>
            <w:vAlign w:val="center"/>
          </w:tcPr>
          <w:p w14:paraId="77F0F171">
            <w:pPr>
              <w:rPr>
                <w:rFonts w:ascii="Calibri" w:hAnsi="Calibri"/>
                <w:sz w:val="20"/>
                <w:szCs w:val="20"/>
              </w:rPr>
            </w:pPr>
            <w:r>
              <w:rPr>
                <w:rFonts w:hint="eastAsia" w:ascii="宋体" w:hAnsi="宋体"/>
                <w:sz w:val="18"/>
                <w:szCs w:val="18"/>
              </w:rPr>
              <w:t>临床试验批复</w:t>
            </w:r>
          </w:p>
        </w:tc>
      </w:tr>
      <w:tr w14:paraId="40A0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22CD576D">
            <w:pPr>
              <w:rPr>
                <w:rFonts w:ascii="宋体" w:hAnsi="宋体"/>
                <w:sz w:val="18"/>
                <w:szCs w:val="18"/>
              </w:rPr>
            </w:pPr>
            <w:r>
              <w:rPr>
                <w:rFonts w:ascii="Calibri" w:hAnsi="Calibri"/>
                <w:sz w:val="18"/>
                <w:szCs w:val="18"/>
              </w:rPr>
              <w:t>GIP&amp;GLP-1用于糖尿病治疗(THDBH120/注射用THDBH120)</w:t>
            </w:r>
          </w:p>
        </w:tc>
        <w:tc>
          <w:tcPr>
            <w:tcW w:w="1508" w:type="dxa"/>
            <w:vAlign w:val="center"/>
          </w:tcPr>
          <w:p w14:paraId="0640B5E6">
            <w:pPr>
              <w:rPr>
                <w:rFonts w:ascii="宋体" w:hAnsi="宋体"/>
                <w:sz w:val="18"/>
                <w:szCs w:val="18"/>
              </w:rPr>
            </w:pPr>
            <w:r>
              <w:rPr>
                <w:rFonts w:ascii="Calibri" w:hAnsi="Calibri"/>
                <w:sz w:val="18"/>
                <w:szCs w:val="18"/>
              </w:rPr>
              <w:t>I期临床试验阶段</w:t>
            </w:r>
          </w:p>
        </w:tc>
        <w:tc>
          <w:tcPr>
            <w:tcW w:w="1508" w:type="dxa"/>
            <w:vAlign w:val="center"/>
          </w:tcPr>
          <w:p w14:paraId="27F4E7E2">
            <w:pPr>
              <w:rPr>
                <w:rFonts w:ascii="宋体" w:hAnsi="宋体"/>
                <w:sz w:val="18"/>
                <w:szCs w:val="18"/>
              </w:rPr>
            </w:pPr>
            <w:r>
              <w:rPr>
                <w:rFonts w:ascii="宋体" w:hAnsi="宋体"/>
                <w:sz w:val="18"/>
                <w:szCs w:val="18"/>
              </w:rPr>
              <w:t>2031年12月</w:t>
            </w:r>
          </w:p>
        </w:tc>
        <w:tc>
          <w:tcPr>
            <w:tcW w:w="2134" w:type="dxa"/>
            <w:vAlign w:val="center"/>
          </w:tcPr>
          <w:p w14:paraId="4C226380">
            <w:pPr>
              <w:rPr>
                <w:rFonts w:ascii="宋体" w:hAnsi="宋体"/>
                <w:sz w:val="18"/>
                <w:szCs w:val="18"/>
              </w:rPr>
            </w:pPr>
            <w:r>
              <w:rPr>
                <w:rFonts w:ascii="Calibri" w:hAnsi="Calibri"/>
                <w:sz w:val="18"/>
                <w:szCs w:val="18"/>
              </w:rPr>
              <w:t>获取生产批件后，通过自行生产销售获利</w:t>
            </w:r>
          </w:p>
        </w:tc>
        <w:tc>
          <w:tcPr>
            <w:tcW w:w="1559" w:type="dxa"/>
            <w:vAlign w:val="center"/>
          </w:tcPr>
          <w:p w14:paraId="6590F5E6">
            <w:pPr>
              <w:rPr>
                <w:rFonts w:ascii="宋体" w:hAnsi="宋体"/>
                <w:sz w:val="18"/>
                <w:szCs w:val="18"/>
              </w:rPr>
            </w:pPr>
            <w:r>
              <w:rPr>
                <w:rFonts w:ascii="宋体" w:hAnsi="宋体"/>
                <w:sz w:val="18"/>
                <w:szCs w:val="18"/>
              </w:rPr>
              <w:t>2023年12月</w:t>
            </w:r>
          </w:p>
        </w:tc>
        <w:tc>
          <w:tcPr>
            <w:tcW w:w="1843" w:type="dxa"/>
            <w:vAlign w:val="center"/>
          </w:tcPr>
          <w:p w14:paraId="56FCAE3E">
            <w:pPr>
              <w:rPr>
                <w:rFonts w:ascii="宋体" w:hAnsi="宋体"/>
                <w:sz w:val="18"/>
                <w:szCs w:val="18"/>
              </w:rPr>
            </w:pPr>
            <w:r>
              <w:rPr>
                <w:rFonts w:ascii="宋体" w:hAnsi="宋体"/>
                <w:sz w:val="18"/>
                <w:szCs w:val="18"/>
              </w:rPr>
              <w:t>临床试验批复</w:t>
            </w:r>
          </w:p>
        </w:tc>
      </w:tr>
      <w:tr w14:paraId="6F20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7AFB6D55">
            <w:pPr>
              <w:rPr>
                <w:rFonts w:ascii="Calibri" w:hAnsi="Calibri"/>
                <w:sz w:val="20"/>
                <w:szCs w:val="20"/>
              </w:rPr>
            </w:pPr>
            <w:r>
              <w:rPr>
                <w:rFonts w:hint="eastAsia" w:ascii="宋体" w:hAnsi="宋体"/>
                <w:sz w:val="18"/>
                <w:szCs w:val="18"/>
              </w:rPr>
              <w:t>小分子GLP-1激动剂用于糖尿病治疗(THDBH110/THDBH110胶囊)</w:t>
            </w:r>
          </w:p>
        </w:tc>
        <w:tc>
          <w:tcPr>
            <w:tcW w:w="1508" w:type="dxa"/>
            <w:vAlign w:val="center"/>
          </w:tcPr>
          <w:p w14:paraId="2375750E">
            <w:pPr>
              <w:rPr>
                <w:rFonts w:ascii="宋体" w:hAnsi="宋体"/>
                <w:sz w:val="18"/>
                <w:szCs w:val="18"/>
              </w:rPr>
            </w:pPr>
            <w:r>
              <w:rPr>
                <w:rFonts w:hint="eastAsia" w:ascii="宋体" w:hAnsi="宋体"/>
                <w:sz w:val="18"/>
                <w:szCs w:val="18"/>
              </w:rPr>
              <w:t>I期临床试验阶段</w:t>
            </w:r>
          </w:p>
        </w:tc>
        <w:tc>
          <w:tcPr>
            <w:tcW w:w="1508" w:type="dxa"/>
            <w:vAlign w:val="center"/>
          </w:tcPr>
          <w:p w14:paraId="05A0D489">
            <w:pPr>
              <w:rPr>
                <w:rFonts w:ascii="Calibri" w:hAnsi="Calibri"/>
                <w:sz w:val="20"/>
                <w:szCs w:val="20"/>
              </w:rPr>
            </w:pPr>
            <w:r>
              <w:rPr>
                <w:rFonts w:hint="eastAsia" w:ascii="宋体" w:hAnsi="宋体"/>
                <w:sz w:val="18"/>
                <w:szCs w:val="18"/>
              </w:rPr>
              <w:t>2030年12月</w:t>
            </w:r>
          </w:p>
        </w:tc>
        <w:tc>
          <w:tcPr>
            <w:tcW w:w="2134" w:type="dxa"/>
            <w:vAlign w:val="center"/>
          </w:tcPr>
          <w:p w14:paraId="336EC77D">
            <w:pPr>
              <w:rPr>
                <w:rFonts w:ascii="Calibri" w:hAnsi="Calibri"/>
                <w:sz w:val="20"/>
                <w:szCs w:val="20"/>
              </w:rPr>
            </w:pPr>
            <w:r>
              <w:rPr>
                <w:rFonts w:hint="eastAsia" w:ascii="宋体" w:hAnsi="宋体"/>
                <w:sz w:val="18"/>
                <w:szCs w:val="18"/>
              </w:rPr>
              <w:t>获取生产批件后，通过自行生产销售获利</w:t>
            </w:r>
          </w:p>
        </w:tc>
        <w:tc>
          <w:tcPr>
            <w:tcW w:w="1559" w:type="dxa"/>
            <w:vAlign w:val="center"/>
          </w:tcPr>
          <w:p w14:paraId="30D1C8EB">
            <w:pPr>
              <w:rPr>
                <w:rFonts w:ascii="Calibri" w:hAnsi="Calibri"/>
                <w:sz w:val="20"/>
                <w:szCs w:val="20"/>
              </w:rPr>
            </w:pPr>
            <w:r>
              <w:rPr>
                <w:rFonts w:hint="eastAsia" w:ascii="宋体" w:hAnsi="宋体"/>
                <w:sz w:val="18"/>
                <w:szCs w:val="18"/>
              </w:rPr>
              <w:t>2023年11月</w:t>
            </w:r>
          </w:p>
        </w:tc>
        <w:tc>
          <w:tcPr>
            <w:tcW w:w="1843" w:type="dxa"/>
            <w:vAlign w:val="center"/>
          </w:tcPr>
          <w:p w14:paraId="1F9756D4">
            <w:pPr>
              <w:rPr>
                <w:rFonts w:ascii="Calibri" w:hAnsi="Calibri"/>
                <w:sz w:val="20"/>
                <w:szCs w:val="20"/>
              </w:rPr>
            </w:pPr>
            <w:r>
              <w:rPr>
                <w:rFonts w:hint="eastAsia" w:ascii="宋体" w:hAnsi="宋体"/>
                <w:sz w:val="18"/>
                <w:szCs w:val="18"/>
              </w:rPr>
              <w:t>临床试验批复</w:t>
            </w:r>
          </w:p>
        </w:tc>
      </w:tr>
      <w:tr w14:paraId="12AF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71D121CB">
            <w:pPr>
              <w:rPr>
                <w:rFonts w:ascii="Calibri" w:hAnsi="Calibri"/>
                <w:sz w:val="20"/>
                <w:szCs w:val="20"/>
              </w:rPr>
            </w:pPr>
            <w:r>
              <w:rPr>
                <w:rFonts w:hint="eastAsia" w:ascii="宋体" w:hAnsi="宋体"/>
                <w:sz w:val="18"/>
                <w:szCs w:val="18"/>
              </w:rPr>
              <w:t>司美格鲁肽注射液 （THDB0225 ）</w:t>
            </w:r>
          </w:p>
        </w:tc>
        <w:tc>
          <w:tcPr>
            <w:tcW w:w="1508" w:type="dxa"/>
            <w:vAlign w:val="center"/>
          </w:tcPr>
          <w:p w14:paraId="4853D27B">
            <w:pPr>
              <w:rPr>
                <w:rFonts w:ascii="Calibri" w:hAnsi="Calibri"/>
                <w:sz w:val="20"/>
                <w:szCs w:val="20"/>
              </w:rPr>
            </w:pPr>
            <w:r>
              <w:rPr>
                <w:rFonts w:hint="eastAsia" w:ascii="宋体" w:hAnsi="宋体"/>
                <w:sz w:val="18"/>
                <w:szCs w:val="18"/>
              </w:rPr>
              <w:t>Ⅲ期临床试验阶段</w:t>
            </w:r>
          </w:p>
        </w:tc>
        <w:tc>
          <w:tcPr>
            <w:tcW w:w="1508" w:type="dxa"/>
            <w:vAlign w:val="center"/>
          </w:tcPr>
          <w:p w14:paraId="1CBF5F10">
            <w:pPr>
              <w:rPr>
                <w:rFonts w:ascii="Calibri" w:hAnsi="Calibri"/>
                <w:sz w:val="20"/>
                <w:szCs w:val="20"/>
              </w:rPr>
            </w:pPr>
            <w:r>
              <w:rPr>
                <w:rFonts w:hint="eastAsia" w:ascii="宋体" w:hAnsi="宋体"/>
                <w:sz w:val="18"/>
                <w:szCs w:val="18"/>
              </w:rPr>
              <w:t>2027年12月</w:t>
            </w:r>
          </w:p>
        </w:tc>
        <w:tc>
          <w:tcPr>
            <w:tcW w:w="2134" w:type="dxa"/>
            <w:vAlign w:val="center"/>
          </w:tcPr>
          <w:p w14:paraId="0BF2D738">
            <w:pPr>
              <w:rPr>
                <w:rFonts w:ascii="宋体" w:hAnsi="宋体"/>
                <w:sz w:val="18"/>
                <w:szCs w:val="18"/>
              </w:rPr>
            </w:pPr>
            <w:r>
              <w:rPr>
                <w:rFonts w:hint="eastAsia" w:ascii="宋体" w:hAnsi="宋体"/>
                <w:sz w:val="18"/>
                <w:szCs w:val="18"/>
              </w:rPr>
              <w:t>获取生产批件和商业化权益后，通过销售获利</w:t>
            </w:r>
          </w:p>
        </w:tc>
        <w:tc>
          <w:tcPr>
            <w:tcW w:w="1559" w:type="dxa"/>
            <w:vAlign w:val="center"/>
          </w:tcPr>
          <w:p w14:paraId="10F91E9A">
            <w:pPr>
              <w:rPr>
                <w:rFonts w:ascii="Calibri" w:hAnsi="Calibri"/>
                <w:sz w:val="20"/>
                <w:szCs w:val="20"/>
              </w:rPr>
            </w:pPr>
            <w:r>
              <w:rPr>
                <w:rFonts w:hint="eastAsia" w:ascii="宋体" w:hAnsi="宋体"/>
                <w:sz w:val="18"/>
                <w:szCs w:val="18"/>
              </w:rPr>
              <w:t>2024年5月</w:t>
            </w:r>
          </w:p>
        </w:tc>
        <w:tc>
          <w:tcPr>
            <w:tcW w:w="1843" w:type="dxa"/>
            <w:vAlign w:val="center"/>
          </w:tcPr>
          <w:p w14:paraId="120F8296">
            <w:pPr>
              <w:rPr>
                <w:rFonts w:ascii="Calibri" w:hAnsi="Calibri"/>
                <w:sz w:val="20"/>
                <w:szCs w:val="20"/>
              </w:rPr>
            </w:pPr>
            <w:r>
              <w:rPr>
                <w:rFonts w:hint="eastAsia" w:ascii="宋体" w:hAnsi="宋体"/>
                <w:sz w:val="18"/>
                <w:szCs w:val="18"/>
              </w:rPr>
              <w:t>签订商业化授权及MAH合作协议</w:t>
            </w:r>
          </w:p>
        </w:tc>
      </w:tr>
      <w:tr w14:paraId="0552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2E7FCB41">
            <w:pPr>
              <w:rPr>
                <w:rFonts w:ascii="Calibri" w:hAnsi="Calibri"/>
                <w:sz w:val="20"/>
                <w:szCs w:val="20"/>
              </w:rPr>
            </w:pPr>
            <w:r>
              <w:rPr>
                <w:rFonts w:hint="eastAsia" w:ascii="宋体" w:hAnsi="宋体"/>
                <w:sz w:val="18"/>
                <w:szCs w:val="18"/>
              </w:rPr>
              <w:t>德谷胰岛素/利拉鲁肽复方注射剂 （THDB0213）</w:t>
            </w:r>
          </w:p>
        </w:tc>
        <w:tc>
          <w:tcPr>
            <w:tcW w:w="1508" w:type="dxa"/>
            <w:vAlign w:val="center"/>
          </w:tcPr>
          <w:p w14:paraId="01E0F338">
            <w:pPr>
              <w:rPr>
                <w:rFonts w:ascii="Calibri" w:hAnsi="Calibri"/>
                <w:sz w:val="20"/>
                <w:szCs w:val="20"/>
              </w:rPr>
            </w:pPr>
            <w:r>
              <w:rPr>
                <w:rFonts w:hint="eastAsia" w:ascii="宋体" w:hAnsi="宋体"/>
                <w:sz w:val="18"/>
                <w:szCs w:val="18"/>
              </w:rPr>
              <w:t>Ⅲ期临床试验阶段</w:t>
            </w:r>
          </w:p>
        </w:tc>
        <w:tc>
          <w:tcPr>
            <w:tcW w:w="1508" w:type="dxa"/>
            <w:vAlign w:val="center"/>
          </w:tcPr>
          <w:p w14:paraId="4E01B3DF">
            <w:pPr>
              <w:rPr>
                <w:rFonts w:ascii="Calibri" w:hAnsi="Calibri"/>
                <w:sz w:val="20"/>
                <w:szCs w:val="20"/>
              </w:rPr>
            </w:pPr>
            <w:r>
              <w:rPr>
                <w:rFonts w:hint="eastAsia" w:ascii="宋体" w:hAnsi="宋体"/>
                <w:sz w:val="18"/>
                <w:szCs w:val="18"/>
              </w:rPr>
              <w:t>2028年9月</w:t>
            </w:r>
          </w:p>
        </w:tc>
        <w:tc>
          <w:tcPr>
            <w:tcW w:w="2134" w:type="dxa"/>
            <w:vAlign w:val="center"/>
          </w:tcPr>
          <w:p w14:paraId="0057E24B">
            <w:pPr>
              <w:rPr>
                <w:rFonts w:ascii="Calibri" w:hAnsi="Calibri"/>
                <w:sz w:val="20"/>
                <w:szCs w:val="20"/>
              </w:rPr>
            </w:pPr>
            <w:r>
              <w:rPr>
                <w:rFonts w:hint="eastAsia" w:ascii="宋体" w:hAnsi="宋体"/>
                <w:sz w:val="18"/>
                <w:szCs w:val="18"/>
              </w:rPr>
              <w:t>获取生产批件后，通过自行生产销售获利</w:t>
            </w:r>
          </w:p>
        </w:tc>
        <w:tc>
          <w:tcPr>
            <w:tcW w:w="1559" w:type="dxa"/>
            <w:vAlign w:val="center"/>
          </w:tcPr>
          <w:p w14:paraId="587C26F3">
            <w:pPr>
              <w:rPr>
                <w:rFonts w:ascii="Calibri" w:hAnsi="Calibri"/>
                <w:sz w:val="20"/>
                <w:szCs w:val="20"/>
              </w:rPr>
            </w:pPr>
            <w:r>
              <w:rPr>
                <w:rFonts w:hint="eastAsia" w:ascii="宋体" w:hAnsi="宋体"/>
                <w:sz w:val="18"/>
                <w:szCs w:val="18"/>
              </w:rPr>
              <w:t>2024年5月</w:t>
            </w:r>
          </w:p>
        </w:tc>
        <w:tc>
          <w:tcPr>
            <w:tcW w:w="1843" w:type="dxa"/>
            <w:vAlign w:val="center"/>
          </w:tcPr>
          <w:p w14:paraId="522F216D">
            <w:pPr>
              <w:rPr>
                <w:rFonts w:ascii="Calibri" w:hAnsi="Calibri"/>
                <w:sz w:val="20"/>
                <w:szCs w:val="20"/>
              </w:rPr>
            </w:pPr>
            <w:r>
              <w:rPr>
                <w:rFonts w:hint="eastAsia" w:ascii="宋体" w:hAnsi="宋体"/>
                <w:sz w:val="18"/>
                <w:szCs w:val="18"/>
              </w:rPr>
              <w:t>临床试验批复</w:t>
            </w:r>
          </w:p>
        </w:tc>
      </w:tr>
      <w:tr w14:paraId="6252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109156FF">
            <w:pPr>
              <w:rPr>
                <w:rFonts w:ascii="Calibri" w:hAnsi="Calibri"/>
                <w:sz w:val="20"/>
                <w:szCs w:val="20"/>
              </w:rPr>
            </w:pPr>
            <w:r>
              <w:rPr>
                <w:rFonts w:hint="eastAsia" w:ascii="宋体" w:hAnsi="宋体"/>
                <w:sz w:val="18"/>
                <w:szCs w:val="18"/>
              </w:rPr>
              <w:t>多肽GIP&amp;GLP-1减重项目（THDBH120/THDBH121）</w:t>
            </w:r>
          </w:p>
        </w:tc>
        <w:tc>
          <w:tcPr>
            <w:tcW w:w="1508" w:type="dxa"/>
            <w:vAlign w:val="center"/>
          </w:tcPr>
          <w:p w14:paraId="62416F49">
            <w:pPr>
              <w:rPr>
                <w:rFonts w:ascii="Calibri" w:hAnsi="Calibri"/>
                <w:sz w:val="20"/>
                <w:szCs w:val="20"/>
              </w:rPr>
            </w:pPr>
            <w:r>
              <w:rPr>
                <w:rFonts w:hint="eastAsia" w:ascii="宋体" w:hAnsi="宋体"/>
                <w:sz w:val="18"/>
                <w:szCs w:val="18"/>
              </w:rPr>
              <w:t>II期临床试验阶段</w:t>
            </w:r>
          </w:p>
        </w:tc>
        <w:tc>
          <w:tcPr>
            <w:tcW w:w="1508" w:type="dxa"/>
            <w:vAlign w:val="center"/>
          </w:tcPr>
          <w:p w14:paraId="274EF7B2">
            <w:pPr>
              <w:rPr>
                <w:rFonts w:ascii="Calibri" w:hAnsi="Calibri"/>
                <w:sz w:val="20"/>
                <w:szCs w:val="20"/>
              </w:rPr>
            </w:pPr>
            <w:r>
              <w:rPr>
                <w:rFonts w:hint="eastAsia" w:ascii="宋体" w:hAnsi="宋体"/>
                <w:sz w:val="18"/>
                <w:szCs w:val="18"/>
              </w:rPr>
              <w:t>2030年12月</w:t>
            </w:r>
          </w:p>
        </w:tc>
        <w:tc>
          <w:tcPr>
            <w:tcW w:w="2134" w:type="dxa"/>
            <w:vAlign w:val="center"/>
          </w:tcPr>
          <w:p w14:paraId="3CFB285D">
            <w:pPr>
              <w:rPr>
                <w:rFonts w:ascii="Calibri" w:hAnsi="Calibri"/>
                <w:sz w:val="20"/>
                <w:szCs w:val="20"/>
              </w:rPr>
            </w:pPr>
            <w:r>
              <w:rPr>
                <w:rFonts w:hint="eastAsia" w:ascii="宋体" w:hAnsi="宋体"/>
                <w:sz w:val="18"/>
                <w:szCs w:val="18"/>
              </w:rPr>
              <w:t>获取生产批件后，通过自行生产销售获利</w:t>
            </w:r>
          </w:p>
        </w:tc>
        <w:tc>
          <w:tcPr>
            <w:tcW w:w="1559" w:type="dxa"/>
            <w:vAlign w:val="center"/>
          </w:tcPr>
          <w:p w14:paraId="6520E89C">
            <w:pPr>
              <w:rPr>
                <w:rFonts w:ascii="Calibri" w:hAnsi="Calibri"/>
                <w:sz w:val="20"/>
                <w:szCs w:val="20"/>
              </w:rPr>
            </w:pPr>
            <w:r>
              <w:rPr>
                <w:rFonts w:hint="eastAsia" w:ascii="宋体" w:hAnsi="宋体"/>
                <w:sz w:val="18"/>
                <w:szCs w:val="18"/>
              </w:rPr>
              <w:t>2024年4月</w:t>
            </w:r>
          </w:p>
        </w:tc>
        <w:tc>
          <w:tcPr>
            <w:tcW w:w="1843" w:type="dxa"/>
            <w:vAlign w:val="center"/>
          </w:tcPr>
          <w:p w14:paraId="55C974FF">
            <w:pPr>
              <w:rPr>
                <w:rFonts w:ascii="Calibri" w:hAnsi="Calibri"/>
                <w:sz w:val="20"/>
                <w:szCs w:val="20"/>
              </w:rPr>
            </w:pPr>
            <w:r>
              <w:rPr>
                <w:rFonts w:hint="eastAsia" w:ascii="宋体" w:hAnsi="宋体"/>
                <w:sz w:val="18"/>
                <w:szCs w:val="18"/>
              </w:rPr>
              <w:t>临床试验批复</w:t>
            </w:r>
          </w:p>
        </w:tc>
      </w:tr>
    </w:tbl>
    <w:p w14:paraId="4AD0C124"/>
    <w:p w14:paraId="36E7FF1C">
      <w:pPr>
        <w:pStyle w:val="48"/>
      </w:pPr>
      <w:r>
        <w:t>开发支出减值准备</w:t>
      </w:r>
    </w:p>
    <w:sdt>
      <w:sdtPr>
        <w:alias w:val="是否适用：开发支出减值准备[双击切换]"/>
        <w:tag w:val="_GBC_54eb6a513e574cfa85e9b90a1588b10f"/>
        <w:id w:val="245386053"/>
        <w:placeholder>
          <w:docPart w:val="GBC22222222222222222222222222222"/>
        </w:placeholder>
      </w:sdtPr>
      <w:sdtContent>
        <w:p w14:paraId="28801AD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51933A2">
      <w:pPr>
        <w:pStyle w:val="30"/>
        <w:ind w:left="420" w:firstLine="0" w:firstLineChars="0"/>
        <w:jc w:val="right"/>
        <w:rPr>
          <w:szCs w:val="21"/>
        </w:rPr>
      </w:pPr>
      <w:r>
        <w:rPr>
          <w:rFonts w:hint="eastAsia"/>
          <w:szCs w:val="21"/>
        </w:rPr>
        <w:t>单位：</w:t>
      </w:r>
      <w:sdt>
        <w:sdtPr>
          <w:rPr>
            <w:rFonts w:hint="eastAsia"/>
            <w:szCs w:val="21"/>
          </w:rPr>
          <w:alias w:val="单位：开发支出减值准备"/>
          <w:tag w:val="_GBC_fefb3f6f2ec3427fb8fbb88d8e0a1f7f"/>
          <w:id w:val="-67627689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开发支出减值准备"/>
          <w:tag w:val="_GBC_2df498d3bd7e4865bc726e2c873e556a"/>
          <w:id w:val="14310090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r>
        <w:rPr>
          <w:szCs w:val="21"/>
        </w:rPr>
        <w:t xml:space="preserve"> </w:t>
      </w:r>
    </w:p>
    <w:tbl>
      <w:tblPr>
        <w:tblStyle w:val="57"/>
        <w:tblW w:w="9619"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529"/>
        <w:gridCol w:w="1529"/>
        <w:gridCol w:w="1531"/>
        <w:gridCol w:w="1418"/>
        <w:gridCol w:w="1538"/>
      </w:tblGrid>
      <w:tr w14:paraId="2D1F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f880659aff4f1aa609197e49ec1c44"/>
            <w:id w:val="1901551603"/>
          </w:sdtPr>
          <w:sdtContent>
            <w:tc>
              <w:tcPr>
                <w:tcW w:w="2074" w:type="dxa"/>
                <w:vAlign w:val="center"/>
              </w:tcPr>
              <w:p w14:paraId="7B897388">
                <w:pPr>
                  <w:widowControl w:val="0"/>
                  <w:jc w:val="center"/>
                  <w:rPr>
                    <w:rFonts w:ascii="Calibri" w:hAnsi="Calibri"/>
                    <w:sz w:val="20"/>
                    <w:szCs w:val="20"/>
                  </w:rPr>
                </w:pPr>
                <w:r>
                  <w:rPr>
                    <w:rFonts w:hint="eastAsia" w:ascii="Calibri" w:hAnsi="Calibri"/>
                    <w:sz w:val="20"/>
                    <w:szCs w:val="20"/>
                  </w:rPr>
                  <w:t>项目</w:t>
                </w:r>
              </w:p>
            </w:tc>
          </w:sdtContent>
        </w:sdt>
        <w:sdt>
          <w:sdtPr>
            <w:tag w:val="_PLD_fd12519acf844491993118d1d08e8d3c"/>
            <w:id w:val="1309751052"/>
          </w:sdtPr>
          <w:sdtContent>
            <w:tc>
              <w:tcPr>
                <w:tcW w:w="1529" w:type="dxa"/>
                <w:vAlign w:val="center"/>
              </w:tcPr>
              <w:p w14:paraId="59E77956">
                <w:pPr>
                  <w:widowControl w:val="0"/>
                  <w:jc w:val="center"/>
                  <w:rPr>
                    <w:rFonts w:ascii="Calibri" w:hAnsi="Calibri"/>
                    <w:sz w:val="20"/>
                    <w:szCs w:val="20"/>
                  </w:rPr>
                </w:pPr>
                <w:r>
                  <w:rPr>
                    <w:rFonts w:ascii="Calibri" w:hAnsi="Calibri"/>
                    <w:sz w:val="20"/>
                    <w:szCs w:val="20"/>
                  </w:rPr>
                  <w:t>期初余额</w:t>
                </w:r>
              </w:p>
            </w:tc>
          </w:sdtContent>
        </w:sdt>
        <w:sdt>
          <w:sdtPr>
            <w:tag w:val="_PLD_28f7bc6b81344fd5b76a9735dfb95983"/>
            <w:id w:val="706840784"/>
          </w:sdtPr>
          <w:sdtContent>
            <w:tc>
              <w:tcPr>
                <w:tcW w:w="1529" w:type="dxa"/>
                <w:vAlign w:val="center"/>
              </w:tcPr>
              <w:p w14:paraId="319BF889">
                <w:pPr>
                  <w:widowControl w:val="0"/>
                  <w:jc w:val="center"/>
                  <w:rPr>
                    <w:rFonts w:ascii="Calibri" w:hAnsi="Calibri"/>
                    <w:sz w:val="20"/>
                    <w:szCs w:val="20"/>
                  </w:rPr>
                </w:pPr>
                <w:r>
                  <w:rPr>
                    <w:rFonts w:ascii="Calibri" w:hAnsi="Calibri"/>
                    <w:sz w:val="20"/>
                    <w:szCs w:val="20"/>
                  </w:rPr>
                  <w:t>本期增加</w:t>
                </w:r>
              </w:p>
            </w:tc>
          </w:sdtContent>
        </w:sdt>
        <w:sdt>
          <w:sdtPr>
            <w:tag w:val="_PLD_5d526262a57d48e891f8d6e498f0960c"/>
            <w:id w:val="-533814903"/>
          </w:sdtPr>
          <w:sdtContent>
            <w:tc>
              <w:tcPr>
                <w:tcW w:w="1531" w:type="dxa"/>
                <w:vAlign w:val="center"/>
              </w:tcPr>
              <w:p w14:paraId="15D29090">
                <w:pPr>
                  <w:widowControl w:val="0"/>
                  <w:jc w:val="center"/>
                  <w:rPr>
                    <w:rFonts w:ascii="Calibri" w:hAnsi="Calibri"/>
                    <w:sz w:val="20"/>
                    <w:szCs w:val="20"/>
                  </w:rPr>
                </w:pPr>
                <w:r>
                  <w:rPr>
                    <w:rFonts w:hint="eastAsia" w:ascii="Calibri" w:hAnsi="Calibri"/>
                    <w:sz w:val="20"/>
                    <w:szCs w:val="20"/>
                  </w:rPr>
                  <w:t>本期减少</w:t>
                </w:r>
              </w:p>
            </w:tc>
          </w:sdtContent>
        </w:sdt>
        <w:sdt>
          <w:sdtPr>
            <w:tag w:val="_PLD_f3d02e2be3164ec88748e01321defe55"/>
            <w:id w:val="1532460461"/>
          </w:sdtPr>
          <w:sdtContent>
            <w:tc>
              <w:tcPr>
                <w:tcW w:w="1418" w:type="dxa"/>
                <w:vAlign w:val="center"/>
              </w:tcPr>
              <w:p w14:paraId="63854FAD">
                <w:pPr>
                  <w:widowControl w:val="0"/>
                  <w:jc w:val="center"/>
                  <w:rPr>
                    <w:rFonts w:ascii="Calibri" w:hAnsi="Calibri"/>
                    <w:sz w:val="20"/>
                    <w:szCs w:val="20"/>
                  </w:rPr>
                </w:pPr>
                <w:r>
                  <w:rPr>
                    <w:rFonts w:ascii="Calibri" w:hAnsi="Calibri"/>
                    <w:sz w:val="20"/>
                    <w:szCs w:val="20"/>
                  </w:rPr>
                  <w:t>期末余额</w:t>
                </w:r>
              </w:p>
            </w:tc>
          </w:sdtContent>
        </w:sdt>
        <w:sdt>
          <w:sdtPr>
            <w:tag w:val="_PLD_3040f6206b844518a2ab019066f90c7f"/>
            <w:id w:val="-1535493900"/>
          </w:sdtPr>
          <w:sdtContent>
            <w:tc>
              <w:tcPr>
                <w:tcW w:w="1538" w:type="dxa"/>
                <w:vAlign w:val="center"/>
              </w:tcPr>
              <w:p w14:paraId="34033A23">
                <w:pPr>
                  <w:widowControl w:val="0"/>
                  <w:jc w:val="center"/>
                  <w:rPr>
                    <w:rFonts w:ascii="Calibri" w:hAnsi="Calibri"/>
                    <w:sz w:val="20"/>
                    <w:szCs w:val="20"/>
                  </w:rPr>
                </w:pPr>
                <w:r>
                  <w:rPr>
                    <w:rFonts w:ascii="Calibri" w:hAnsi="Calibri"/>
                    <w:sz w:val="20"/>
                    <w:szCs w:val="20"/>
                  </w:rPr>
                  <w:t>减值测试情况</w:t>
                </w:r>
              </w:p>
            </w:tc>
          </w:sdtContent>
        </w:sdt>
      </w:tr>
      <w:tr w14:paraId="6EF9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17FB02D9">
            <w:pPr>
              <w:widowControl w:val="0"/>
              <w:jc w:val="both"/>
              <w:rPr>
                <w:rFonts w:ascii="Calibri" w:hAnsi="Calibri"/>
                <w:sz w:val="20"/>
                <w:szCs w:val="20"/>
              </w:rPr>
            </w:pPr>
            <w:r>
              <w:rPr>
                <w:rFonts w:hint="eastAsia" w:ascii="宋体" w:hAnsi="宋体"/>
                <w:sz w:val="18"/>
                <w:szCs w:val="18"/>
              </w:rPr>
              <w:t>SGLT1/SGLT2/DPP4三靶点抑制剂用于糖尿病治疗（THDBH100/101）</w:t>
            </w:r>
          </w:p>
        </w:tc>
        <w:tc>
          <w:tcPr>
            <w:tcW w:w="1529" w:type="dxa"/>
            <w:vAlign w:val="center"/>
          </w:tcPr>
          <w:p w14:paraId="0FD1DDD8">
            <w:pPr>
              <w:widowControl w:val="0"/>
              <w:jc w:val="right"/>
              <w:rPr>
                <w:rFonts w:ascii="Calibri" w:hAnsi="Calibri"/>
                <w:sz w:val="20"/>
                <w:szCs w:val="20"/>
              </w:rPr>
            </w:pPr>
          </w:p>
        </w:tc>
        <w:tc>
          <w:tcPr>
            <w:tcW w:w="1529" w:type="dxa"/>
            <w:vAlign w:val="center"/>
          </w:tcPr>
          <w:p w14:paraId="1391A346">
            <w:pPr>
              <w:widowControl w:val="0"/>
              <w:jc w:val="right"/>
              <w:rPr>
                <w:rFonts w:ascii="Calibri" w:hAnsi="Calibri"/>
                <w:sz w:val="20"/>
                <w:szCs w:val="20"/>
              </w:rPr>
            </w:pPr>
            <w:r>
              <w:rPr>
                <w:rFonts w:ascii="Calibri" w:hAnsi="Calibri"/>
                <w:sz w:val="20"/>
                <w:szCs w:val="20"/>
              </w:rPr>
              <w:t>26,690,667.50</w:t>
            </w:r>
          </w:p>
        </w:tc>
        <w:tc>
          <w:tcPr>
            <w:tcW w:w="1531" w:type="dxa"/>
            <w:vAlign w:val="center"/>
          </w:tcPr>
          <w:p w14:paraId="6CC8F61D">
            <w:pPr>
              <w:widowControl w:val="0"/>
              <w:jc w:val="right"/>
              <w:rPr>
                <w:rFonts w:ascii="Calibri" w:hAnsi="Calibri"/>
                <w:sz w:val="20"/>
                <w:szCs w:val="20"/>
              </w:rPr>
            </w:pPr>
            <w:r>
              <w:rPr>
                <w:rFonts w:ascii="Calibri" w:hAnsi="Calibri"/>
                <w:sz w:val="20"/>
                <w:szCs w:val="20"/>
              </w:rPr>
              <w:t>26,690,667.50</w:t>
            </w:r>
          </w:p>
        </w:tc>
        <w:tc>
          <w:tcPr>
            <w:tcW w:w="1418" w:type="dxa"/>
            <w:vAlign w:val="center"/>
          </w:tcPr>
          <w:p w14:paraId="0B478B05">
            <w:pPr>
              <w:widowControl w:val="0"/>
              <w:jc w:val="right"/>
              <w:rPr>
                <w:rFonts w:ascii="Calibri" w:hAnsi="Calibri"/>
                <w:sz w:val="20"/>
                <w:szCs w:val="20"/>
              </w:rPr>
            </w:pPr>
          </w:p>
        </w:tc>
        <w:tc>
          <w:tcPr>
            <w:tcW w:w="1538" w:type="dxa"/>
            <w:vAlign w:val="center"/>
          </w:tcPr>
          <w:p w14:paraId="7AB093F2">
            <w:pPr>
              <w:widowControl w:val="0"/>
              <w:rPr>
                <w:rFonts w:ascii="Calibri" w:hAnsi="Calibri"/>
                <w:sz w:val="20"/>
                <w:szCs w:val="20"/>
              </w:rPr>
            </w:pPr>
            <w:r>
              <w:rPr>
                <w:rFonts w:ascii="Calibri" w:hAnsi="Calibri"/>
                <w:sz w:val="20"/>
                <w:szCs w:val="20"/>
              </w:rPr>
              <w:t>全额计提减值准备</w:t>
            </w:r>
          </w:p>
        </w:tc>
      </w:tr>
      <w:tr w14:paraId="30A3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14:paraId="3BEBACBF">
            <w:pPr>
              <w:widowControl w:val="0"/>
              <w:jc w:val="both"/>
              <w:rPr>
                <w:rFonts w:ascii="Calibri" w:hAnsi="Calibri"/>
                <w:sz w:val="20"/>
                <w:szCs w:val="20"/>
              </w:rPr>
            </w:pPr>
            <w:r>
              <w:rPr>
                <w:rFonts w:hint="eastAsia" w:ascii="宋体" w:hAnsi="宋体"/>
                <w:sz w:val="18"/>
                <w:szCs w:val="18"/>
              </w:rPr>
              <w:t>胰岛素境外研发支出</w:t>
            </w:r>
          </w:p>
        </w:tc>
        <w:tc>
          <w:tcPr>
            <w:tcW w:w="1529" w:type="dxa"/>
            <w:vAlign w:val="center"/>
          </w:tcPr>
          <w:p w14:paraId="3ACB64A5">
            <w:pPr>
              <w:widowControl w:val="0"/>
              <w:spacing w:line="360" w:lineRule="auto"/>
              <w:jc w:val="right"/>
              <w:rPr>
                <w:rFonts w:ascii="Calibri" w:hAnsi="Calibri"/>
                <w:sz w:val="20"/>
                <w:szCs w:val="20"/>
              </w:rPr>
            </w:pPr>
          </w:p>
        </w:tc>
        <w:tc>
          <w:tcPr>
            <w:tcW w:w="1529" w:type="dxa"/>
            <w:vAlign w:val="center"/>
          </w:tcPr>
          <w:p w14:paraId="51EF6390">
            <w:pPr>
              <w:widowControl w:val="0"/>
              <w:jc w:val="right"/>
              <w:rPr>
                <w:rFonts w:ascii="Calibri" w:hAnsi="Calibri"/>
                <w:sz w:val="20"/>
                <w:szCs w:val="20"/>
              </w:rPr>
            </w:pPr>
            <w:r>
              <w:rPr>
                <w:rFonts w:ascii="Calibri" w:hAnsi="Calibri"/>
                <w:sz w:val="20"/>
                <w:szCs w:val="20"/>
              </w:rPr>
              <w:t>63,719,333.89</w:t>
            </w:r>
          </w:p>
        </w:tc>
        <w:tc>
          <w:tcPr>
            <w:tcW w:w="1531" w:type="dxa"/>
            <w:vAlign w:val="center"/>
          </w:tcPr>
          <w:p w14:paraId="60168474">
            <w:pPr>
              <w:widowControl w:val="0"/>
              <w:jc w:val="right"/>
              <w:rPr>
                <w:rFonts w:ascii="Calibri" w:hAnsi="Calibri"/>
                <w:sz w:val="20"/>
                <w:szCs w:val="20"/>
              </w:rPr>
            </w:pPr>
            <w:r>
              <w:rPr>
                <w:rFonts w:ascii="Calibri" w:hAnsi="Calibri"/>
                <w:sz w:val="20"/>
                <w:szCs w:val="20"/>
              </w:rPr>
              <w:t>63,719,333.89</w:t>
            </w:r>
          </w:p>
        </w:tc>
        <w:tc>
          <w:tcPr>
            <w:tcW w:w="1418" w:type="dxa"/>
            <w:vAlign w:val="center"/>
          </w:tcPr>
          <w:p w14:paraId="38D7AA10">
            <w:pPr>
              <w:widowControl w:val="0"/>
              <w:jc w:val="right"/>
              <w:rPr>
                <w:rFonts w:ascii="Calibri" w:hAnsi="Calibri"/>
                <w:sz w:val="20"/>
                <w:szCs w:val="20"/>
              </w:rPr>
            </w:pPr>
          </w:p>
        </w:tc>
        <w:tc>
          <w:tcPr>
            <w:tcW w:w="1538" w:type="dxa"/>
            <w:vAlign w:val="center"/>
          </w:tcPr>
          <w:p w14:paraId="20AB35E4">
            <w:pPr>
              <w:widowControl w:val="0"/>
              <w:rPr>
                <w:rFonts w:ascii="Calibri" w:hAnsi="Calibri"/>
                <w:sz w:val="20"/>
                <w:szCs w:val="20"/>
              </w:rPr>
            </w:pPr>
            <w:r>
              <w:rPr>
                <w:rFonts w:ascii="Calibri" w:hAnsi="Calibri"/>
                <w:sz w:val="20"/>
                <w:szCs w:val="20"/>
              </w:rPr>
              <w:t>全额计提减值准备</w:t>
            </w:r>
          </w:p>
        </w:tc>
      </w:tr>
      <w:tr w14:paraId="3F16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1B1A78A9">
            <w:pPr>
              <w:widowControl w:val="0"/>
              <w:jc w:val="both"/>
              <w:rPr>
                <w:rFonts w:ascii="Calibri" w:hAnsi="Calibri"/>
                <w:sz w:val="20"/>
                <w:szCs w:val="20"/>
              </w:rPr>
            </w:pPr>
            <w:r>
              <w:rPr>
                <w:rFonts w:hint="eastAsia" w:ascii="宋体" w:hAnsi="宋体"/>
                <w:sz w:val="18"/>
                <w:szCs w:val="18"/>
              </w:rPr>
              <w:t>痛风URAT1项目(THDBH130/THDBH130片)</w:t>
            </w:r>
          </w:p>
        </w:tc>
        <w:tc>
          <w:tcPr>
            <w:tcW w:w="1529" w:type="dxa"/>
            <w:vAlign w:val="center"/>
          </w:tcPr>
          <w:p w14:paraId="4B64CEDC">
            <w:pPr>
              <w:widowControl w:val="0"/>
              <w:jc w:val="right"/>
              <w:rPr>
                <w:rFonts w:ascii="Calibri" w:hAnsi="Calibri"/>
                <w:sz w:val="20"/>
                <w:szCs w:val="20"/>
              </w:rPr>
            </w:pPr>
          </w:p>
        </w:tc>
        <w:tc>
          <w:tcPr>
            <w:tcW w:w="1529" w:type="dxa"/>
            <w:vAlign w:val="center"/>
          </w:tcPr>
          <w:p w14:paraId="63F75884">
            <w:pPr>
              <w:widowControl w:val="0"/>
              <w:jc w:val="right"/>
              <w:rPr>
                <w:rFonts w:ascii="Calibri" w:hAnsi="Calibri"/>
                <w:sz w:val="20"/>
                <w:szCs w:val="20"/>
              </w:rPr>
            </w:pPr>
            <w:r>
              <w:rPr>
                <w:rFonts w:ascii="Calibri" w:hAnsi="Calibri"/>
                <w:sz w:val="20"/>
                <w:szCs w:val="20"/>
              </w:rPr>
              <w:t>86,269,702.10</w:t>
            </w:r>
          </w:p>
        </w:tc>
        <w:tc>
          <w:tcPr>
            <w:tcW w:w="1531" w:type="dxa"/>
            <w:vAlign w:val="center"/>
          </w:tcPr>
          <w:p w14:paraId="767E81CA">
            <w:pPr>
              <w:widowControl w:val="0"/>
              <w:jc w:val="right"/>
              <w:rPr>
                <w:rFonts w:ascii="Calibri" w:hAnsi="Calibri"/>
                <w:sz w:val="20"/>
                <w:szCs w:val="20"/>
              </w:rPr>
            </w:pPr>
            <w:r>
              <w:rPr>
                <w:rFonts w:ascii="Calibri" w:hAnsi="Calibri"/>
                <w:sz w:val="20"/>
                <w:szCs w:val="20"/>
              </w:rPr>
              <w:t>86,269,702.10</w:t>
            </w:r>
          </w:p>
        </w:tc>
        <w:tc>
          <w:tcPr>
            <w:tcW w:w="1418" w:type="dxa"/>
            <w:vAlign w:val="center"/>
          </w:tcPr>
          <w:p w14:paraId="77455833">
            <w:pPr>
              <w:widowControl w:val="0"/>
              <w:jc w:val="right"/>
              <w:rPr>
                <w:rFonts w:ascii="Calibri" w:hAnsi="Calibri"/>
                <w:sz w:val="20"/>
                <w:szCs w:val="20"/>
              </w:rPr>
            </w:pPr>
          </w:p>
        </w:tc>
        <w:tc>
          <w:tcPr>
            <w:tcW w:w="1538" w:type="dxa"/>
            <w:vAlign w:val="center"/>
          </w:tcPr>
          <w:p w14:paraId="62B37143">
            <w:pPr>
              <w:widowControl w:val="0"/>
              <w:rPr>
                <w:rFonts w:ascii="Calibri" w:hAnsi="Calibri"/>
                <w:sz w:val="20"/>
                <w:szCs w:val="20"/>
              </w:rPr>
            </w:pPr>
            <w:r>
              <w:rPr>
                <w:rFonts w:ascii="Calibri" w:hAnsi="Calibri"/>
                <w:sz w:val="20"/>
                <w:szCs w:val="20"/>
              </w:rPr>
              <w:t>全额计提减值准备</w:t>
            </w:r>
          </w:p>
        </w:tc>
      </w:tr>
      <w:tr w14:paraId="6903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14:paraId="40D29E1F">
            <w:pPr>
              <w:widowControl w:val="0"/>
              <w:jc w:val="center"/>
              <w:rPr>
                <w:rFonts w:ascii="Calibri" w:hAnsi="Calibri"/>
                <w:sz w:val="20"/>
                <w:szCs w:val="20"/>
              </w:rPr>
            </w:pPr>
            <w:r>
              <w:rPr>
                <w:rFonts w:hint="eastAsia" w:ascii="Calibri" w:hAnsi="Calibri"/>
                <w:sz w:val="20"/>
                <w:szCs w:val="20"/>
              </w:rPr>
              <w:t>合计</w:t>
            </w:r>
          </w:p>
        </w:tc>
        <w:tc>
          <w:tcPr>
            <w:tcW w:w="1529" w:type="dxa"/>
            <w:vAlign w:val="center"/>
          </w:tcPr>
          <w:p w14:paraId="6B15C897">
            <w:pPr>
              <w:widowControl w:val="0"/>
              <w:jc w:val="right"/>
              <w:rPr>
                <w:rFonts w:ascii="Calibri" w:hAnsi="Calibri"/>
                <w:sz w:val="20"/>
                <w:szCs w:val="20"/>
              </w:rPr>
            </w:pPr>
          </w:p>
        </w:tc>
        <w:tc>
          <w:tcPr>
            <w:tcW w:w="1529" w:type="dxa"/>
            <w:vAlign w:val="center"/>
          </w:tcPr>
          <w:p w14:paraId="239E6F55">
            <w:pPr>
              <w:widowControl w:val="0"/>
              <w:jc w:val="right"/>
              <w:rPr>
                <w:rFonts w:ascii="Calibri" w:hAnsi="Calibri"/>
                <w:sz w:val="20"/>
                <w:szCs w:val="20"/>
              </w:rPr>
            </w:pPr>
            <w:r>
              <w:rPr>
                <w:rFonts w:ascii="Calibri" w:hAnsi="Calibri"/>
                <w:sz w:val="20"/>
                <w:szCs w:val="20"/>
              </w:rPr>
              <w:t>176,679,703.49</w:t>
            </w:r>
          </w:p>
        </w:tc>
        <w:tc>
          <w:tcPr>
            <w:tcW w:w="1531" w:type="dxa"/>
            <w:vAlign w:val="center"/>
          </w:tcPr>
          <w:p w14:paraId="6FECFA1F">
            <w:pPr>
              <w:widowControl w:val="0"/>
              <w:jc w:val="right"/>
              <w:rPr>
                <w:rFonts w:ascii="Calibri" w:hAnsi="Calibri"/>
                <w:sz w:val="20"/>
                <w:szCs w:val="20"/>
              </w:rPr>
            </w:pPr>
            <w:r>
              <w:rPr>
                <w:rFonts w:ascii="Calibri" w:hAnsi="Calibri"/>
                <w:sz w:val="20"/>
                <w:szCs w:val="20"/>
              </w:rPr>
              <w:t>176,679,703.49</w:t>
            </w:r>
          </w:p>
        </w:tc>
        <w:tc>
          <w:tcPr>
            <w:tcW w:w="1418" w:type="dxa"/>
            <w:vAlign w:val="center"/>
          </w:tcPr>
          <w:p w14:paraId="4DF80E80">
            <w:pPr>
              <w:widowControl w:val="0"/>
              <w:jc w:val="right"/>
              <w:rPr>
                <w:rFonts w:ascii="Calibri" w:hAnsi="Calibri"/>
                <w:sz w:val="20"/>
                <w:szCs w:val="20"/>
              </w:rPr>
            </w:pPr>
          </w:p>
        </w:tc>
        <w:tc>
          <w:tcPr>
            <w:tcW w:w="1538" w:type="dxa"/>
            <w:vAlign w:val="center"/>
          </w:tcPr>
          <w:p w14:paraId="3586B5D8">
            <w:pPr>
              <w:widowControl w:val="0"/>
              <w:jc w:val="center"/>
              <w:rPr>
                <w:rFonts w:ascii="Calibri" w:hAnsi="Calibri"/>
                <w:sz w:val="20"/>
                <w:szCs w:val="20"/>
              </w:rPr>
            </w:pPr>
            <w:r>
              <w:rPr>
                <w:rFonts w:hint="eastAsia" w:ascii="Calibri" w:hAnsi="Calibri"/>
                <w:sz w:val="20"/>
                <w:szCs w:val="20"/>
              </w:rPr>
              <w:t>/</w:t>
            </w:r>
          </w:p>
        </w:tc>
      </w:tr>
    </w:tbl>
    <w:p w14:paraId="1DCD4133">
      <w:pPr>
        <w:pStyle w:val="48"/>
      </w:pPr>
    </w:p>
    <w:p w14:paraId="0563229E">
      <w:pPr>
        <w:pStyle w:val="48"/>
      </w:pPr>
    </w:p>
    <w:p w14:paraId="026997D8">
      <w:pPr>
        <w:pStyle w:val="4"/>
        <w:numPr>
          <w:ilvl w:val="0"/>
          <w:numId w:val="104"/>
        </w:numPr>
      </w:pPr>
      <w:r>
        <w:rPr>
          <w:rFonts w:hint="eastAsia"/>
        </w:rPr>
        <w:t>重要的外购在研项目</w:t>
      </w:r>
    </w:p>
    <w:sdt>
      <w:sdtPr>
        <w:alias w:val="是否适用：重要的外购在研项目[双击切换]"/>
        <w:tag w:val="_GBC_8385c2c52dfe44b6b2522468b8800584"/>
        <w:id w:val="1103532339"/>
        <w:placeholder>
          <w:docPart w:val="GBC22222222222222222222222222222"/>
        </w:placeholder>
      </w:sdtPr>
      <w:sdtContent>
        <w:p w14:paraId="5654F45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9789B21">
      <w:pPr>
        <w:pStyle w:val="48"/>
      </w:pPr>
    </w:p>
    <w:p w14:paraId="528C60DC">
      <w:pPr>
        <w:pStyle w:val="48"/>
      </w:pPr>
    </w:p>
    <w:p w14:paraId="3C19D175">
      <w:pPr>
        <w:pStyle w:val="3"/>
        <w:numPr>
          <w:ilvl w:val="0"/>
          <w:numId w:val="51"/>
        </w:numPr>
        <w:rPr>
          <w:rFonts w:ascii="宋体" w:hAnsi="宋体"/>
        </w:rPr>
      </w:pPr>
      <w:r>
        <w:rPr>
          <w:rFonts w:hint="eastAsia"/>
        </w:rPr>
        <w:t>合并范围的变更</w:t>
      </w:r>
    </w:p>
    <w:p w14:paraId="0776409D">
      <w:pPr>
        <w:pStyle w:val="4"/>
        <w:numPr>
          <w:ilvl w:val="0"/>
          <w:numId w:val="105"/>
        </w:numPr>
        <w:rPr>
          <w:rFonts w:ascii="宋体" w:hAnsi="宋体" w:cs="Arial"/>
          <w:szCs w:val="21"/>
        </w:rPr>
      </w:pPr>
      <w:r>
        <w:rPr>
          <w:rFonts w:hint="eastAsia" w:ascii="宋体" w:hAnsi="宋体" w:cs="Arial"/>
          <w:szCs w:val="21"/>
        </w:rPr>
        <w:t>非同一控制下企业合并</w:t>
      </w:r>
    </w:p>
    <w:sdt>
      <w:sdtPr>
        <w:alias w:val="是否适用：非同一控制下企业合并[双击切换]"/>
        <w:tag w:val="_GBC_f305adddf4654659bd28ceedc072aa05"/>
        <w:id w:val="556055347"/>
        <w:placeholder>
          <w:docPart w:val="GBC22222222222222222222222222222"/>
        </w:placeholder>
      </w:sdtPr>
      <w:sdtContent>
        <w:p w14:paraId="388ECC4C">
          <w:pPr>
            <w:pStyle w:val="48"/>
            <w:rPr>
              <w:rFonts w:cstheme="minorBidi"/>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84904F0">
      <w:pPr>
        <w:pStyle w:val="48"/>
        <w:rPr>
          <w:rFonts w:cstheme="minorBidi"/>
        </w:rPr>
      </w:pPr>
    </w:p>
    <w:p w14:paraId="3C928D48">
      <w:pPr>
        <w:pStyle w:val="48"/>
      </w:pPr>
    </w:p>
    <w:p w14:paraId="3006839C">
      <w:pPr>
        <w:pStyle w:val="4"/>
        <w:numPr>
          <w:ilvl w:val="0"/>
          <w:numId w:val="105"/>
        </w:numPr>
        <w:rPr>
          <w:rFonts w:ascii="宋体" w:hAnsi="宋体" w:cs="Arial"/>
          <w:szCs w:val="21"/>
        </w:rPr>
      </w:pPr>
      <w:r>
        <w:rPr>
          <w:rFonts w:hint="eastAsia" w:ascii="宋体" w:hAnsi="宋体" w:cs="Arial"/>
          <w:szCs w:val="21"/>
        </w:rPr>
        <w:t>同一控制下企业合并</w:t>
      </w:r>
    </w:p>
    <w:sdt>
      <w:sdtPr>
        <w:alias w:val="是否适用：同一控制下企业合并[双击切换]"/>
        <w:tag w:val="_GBC_698d1a451f094ec0bf9c3a278d26a0d3"/>
        <w:id w:val="-1190684923"/>
        <w:placeholder>
          <w:docPart w:val="GBC22222222222222222222222222222"/>
        </w:placeholder>
      </w:sdtPr>
      <w:sdtContent>
        <w:p w14:paraId="3E9F5316">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F858BC4">
      <w:pPr>
        <w:pStyle w:val="5"/>
        <w:numPr>
          <w:ilvl w:val="0"/>
          <w:numId w:val="106"/>
        </w:numPr>
      </w:pPr>
      <w:r>
        <w:rPr>
          <w:rFonts w:hint="eastAsia"/>
        </w:rPr>
        <w:t>本期发生的同一控制下企业合并</w:t>
      </w:r>
    </w:p>
    <w:sdt>
      <w:sdtPr>
        <w:alias w:val="是否适用：本期发生的同一控制下企业合并[双击切换]"/>
        <w:tag w:val="_GBC_50aeb159f0be4e099170131affd5d1bc"/>
        <w:id w:val="227969113"/>
        <w:placeholder>
          <w:docPart w:val="9B532E189A434BD190856809A8E34B44"/>
        </w:placeholder>
      </w:sdtPr>
      <w:sdtContent>
        <w:p w14:paraId="04C13447">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DBE3909">
      <w:pPr>
        <w:jc w:val="right"/>
        <w:rPr>
          <w:b/>
        </w:rPr>
      </w:pPr>
      <w:r>
        <w:rPr>
          <w:rFonts w:hint="eastAsia"/>
        </w:rPr>
        <w:t>单位：</w:t>
      </w:r>
      <w:sdt>
        <w:sdtPr>
          <w:rPr>
            <w:rFonts w:hint="eastAsia"/>
          </w:rPr>
          <w:alias w:val="单位：发生的同一控制下企业合并"/>
          <w:tag w:val="_GBC_6c807af61b7c4d1dad8dbcd9238f2985"/>
          <w:id w:val="551732743"/>
          <w:placeholder>
            <w:docPart w:val="9B532E189A434BD190856809A8E34B44"/>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发生的同一控制下企业合并"/>
          <w:tag w:val="_GBC_d0e9edec9a044027a7e3968e6e6224ea"/>
          <w:id w:val="1828405488"/>
          <w:placeholder>
            <w:docPart w:val="9B532E189A434BD190856809A8E34B44"/>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10774"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1701"/>
        <w:gridCol w:w="1134"/>
        <w:gridCol w:w="708"/>
        <w:gridCol w:w="1356"/>
        <w:gridCol w:w="1338"/>
        <w:gridCol w:w="1417"/>
        <w:gridCol w:w="1418"/>
      </w:tblGrid>
      <w:tr w14:paraId="7D14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sdt>
          <w:sdtPr>
            <w:tag w:val="_PLD_cf4cad5fd924471dbbecdf354d5ad2e3"/>
            <w:id w:val="-1806223566"/>
          </w:sdtPr>
          <w:sdtContent>
            <w:tc>
              <w:tcPr>
                <w:tcW w:w="851" w:type="dxa"/>
                <w:vAlign w:val="center"/>
              </w:tcPr>
              <w:p w14:paraId="7F03A83F">
                <w:pPr>
                  <w:jc w:val="center"/>
                  <w:rPr>
                    <w:rFonts w:ascii="Calibri" w:hAnsi="Calibri"/>
                    <w:sz w:val="20"/>
                    <w:szCs w:val="20"/>
                  </w:rPr>
                </w:pPr>
                <w:r>
                  <w:rPr>
                    <w:rFonts w:hint="eastAsia" w:ascii="Calibri" w:hAnsi="Calibri"/>
                    <w:sz w:val="20"/>
                    <w:szCs w:val="20"/>
                  </w:rPr>
                  <w:t>被合并方名称</w:t>
                </w:r>
              </w:p>
            </w:tc>
          </w:sdtContent>
        </w:sdt>
        <w:sdt>
          <w:sdtPr>
            <w:tag w:val="_PLD_ea6ca5b536474fc18ca1201904cdab3b"/>
            <w:id w:val="-1107414706"/>
          </w:sdtPr>
          <w:sdtContent>
            <w:tc>
              <w:tcPr>
                <w:tcW w:w="851" w:type="dxa"/>
                <w:vAlign w:val="center"/>
              </w:tcPr>
              <w:p w14:paraId="606416D6">
                <w:pPr>
                  <w:jc w:val="center"/>
                  <w:rPr>
                    <w:rFonts w:ascii="Calibri" w:hAnsi="Calibri"/>
                    <w:sz w:val="20"/>
                    <w:szCs w:val="20"/>
                  </w:rPr>
                </w:pPr>
                <w:r>
                  <w:rPr>
                    <w:rFonts w:hint="eastAsia" w:ascii="Calibri" w:hAnsi="Calibri"/>
                    <w:sz w:val="20"/>
                    <w:szCs w:val="20"/>
                  </w:rPr>
                  <w:t>企业合并中取得的权益比例</w:t>
                </w:r>
              </w:p>
            </w:tc>
          </w:sdtContent>
        </w:sdt>
        <w:sdt>
          <w:sdtPr>
            <w:tag w:val="_PLD_3f424227b77145b18d7b5c46cc9dfab8"/>
            <w:id w:val="-636411914"/>
          </w:sdtPr>
          <w:sdtContent>
            <w:tc>
              <w:tcPr>
                <w:tcW w:w="1701" w:type="dxa"/>
                <w:vAlign w:val="center"/>
              </w:tcPr>
              <w:p w14:paraId="3D9CF23E">
                <w:pPr>
                  <w:jc w:val="center"/>
                  <w:rPr>
                    <w:rFonts w:ascii="Calibri" w:hAnsi="Calibri"/>
                    <w:sz w:val="20"/>
                    <w:szCs w:val="20"/>
                  </w:rPr>
                </w:pPr>
                <w:r>
                  <w:rPr>
                    <w:rFonts w:hint="eastAsia" w:ascii="Calibri" w:hAnsi="Calibri"/>
                    <w:sz w:val="20"/>
                    <w:szCs w:val="20"/>
                  </w:rPr>
                  <w:t>构成同一控制下企业合并的依据</w:t>
                </w:r>
              </w:p>
            </w:tc>
          </w:sdtContent>
        </w:sdt>
        <w:sdt>
          <w:sdtPr>
            <w:tag w:val="_PLD_e8fd59ee75374533bfc1d1ff5c5dd604"/>
            <w:id w:val="1542552709"/>
          </w:sdtPr>
          <w:sdtContent>
            <w:tc>
              <w:tcPr>
                <w:tcW w:w="1134" w:type="dxa"/>
                <w:vAlign w:val="center"/>
              </w:tcPr>
              <w:p w14:paraId="4F25A6EB">
                <w:pPr>
                  <w:jc w:val="center"/>
                  <w:rPr>
                    <w:rFonts w:ascii="Calibri" w:hAnsi="Calibri"/>
                    <w:sz w:val="20"/>
                    <w:szCs w:val="20"/>
                  </w:rPr>
                </w:pPr>
                <w:r>
                  <w:rPr>
                    <w:rFonts w:hint="eastAsia" w:ascii="Calibri" w:hAnsi="Calibri"/>
                    <w:sz w:val="20"/>
                    <w:szCs w:val="20"/>
                  </w:rPr>
                  <w:t>合并日</w:t>
                </w:r>
              </w:p>
            </w:tc>
          </w:sdtContent>
        </w:sdt>
        <w:sdt>
          <w:sdtPr>
            <w:tag w:val="_PLD_0e812ed2b27d40c2bc820568242609ea"/>
            <w:id w:val="1740596417"/>
          </w:sdtPr>
          <w:sdtContent>
            <w:tc>
              <w:tcPr>
                <w:tcW w:w="708" w:type="dxa"/>
                <w:vAlign w:val="center"/>
              </w:tcPr>
              <w:p w14:paraId="08203781">
                <w:pPr>
                  <w:jc w:val="center"/>
                  <w:rPr>
                    <w:rFonts w:ascii="Calibri" w:hAnsi="Calibri"/>
                    <w:sz w:val="20"/>
                    <w:szCs w:val="20"/>
                  </w:rPr>
                </w:pPr>
                <w:r>
                  <w:rPr>
                    <w:rFonts w:hint="eastAsia" w:ascii="Calibri" w:hAnsi="Calibri"/>
                    <w:sz w:val="20"/>
                    <w:szCs w:val="20"/>
                  </w:rPr>
                  <w:t>合并日的确定依据</w:t>
                </w:r>
              </w:p>
            </w:tc>
          </w:sdtContent>
        </w:sdt>
        <w:sdt>
          <w:sdtPr>
            <w:tag w:val="_PLD_d625705be55e4fdd9e867728c1965db0"/>
            <w:id w:val="-1927867507"/>
          </w:sdtPr>
          <w:sdtContent>
            <w:tc>
              <w:tcPr>
                <w:tcW w:w="1356" w:type="dxa"/>
                <w:vAlign w:val="center"/>
              </w:tcPr>
              <w:p w14:paraId="455BC738">
                <w:pPr>
                  <w:jc w:val="center"/>
                  <w:rPr>
                    <w:rFonts w:ascii="Calibri" w:hAnsi="Calibri"/>
                    <w:sz w:val="20"/>
                    <w:szCs w:val="20"/>
                  </w:rPr>
                </w:pPr>
                <w:r>
                  <w:rPr>
                    <w:rFonts w:hint="eastAsia" w:ascii="Calibri" w:hAnsi="Calibri"/>
                    <w:sz w:val="20"/>
                    <w:szCs w:val="20"/>
                  </w:rPr>
                  <w:t>合并当期期初至合并日被合并方的收入</w:t>
                </w:r>
              </w:p>
            </w:tc>
          </w:sdtContent>
        </w:sdt>
        <w:sdt>
          <w:sdtPr>
            <w:tag w:val="_PLD_03b7d7d580ac4e22b699e2e17f8f3009"/>
            <w:id w:val="1717082844"/>
          </w:sdtPr>
          <w:sdtContent>
            <w:tc>
              <w:tcPr>
                <w:tcW w:w="1338" w:type="dxa"/>
                <w:vAlign w:val="center"/>
              </w:tcPr>
              <w:p w14:paraId="292C25CA">
                <w:pPr>
                  <w:jc w:val="center"/>
                  <w:rPr>
                    <w:rFonts w:ascii="Calibri" w:hAnsi="Calibri"/>
                    <w:sz w:val="20"/>
                    <w:szCs w:val="20"/>
                  </w:rPr>
                </w:pPr>
                <w:r>
                  <w:rPr>
                    <w:rFonts w:hint="eastAsia" w:ascii="Calibri" w:hAnsi="Calibri"/>
                    <w:sz w:val="20"/>
                    <w:szCs w:val="20"/>
                  </w:rPr>
                  <w:t>合并当期期初至合并日被合并方的净利润</w:t>
                </w:r>
              </w:p>
            </w:tc>
          </w:sdtContent>
        </w:sdt>
        <w:sdt>
          <w:sdtPr>
            <w:tag w:val="_PLD_a1bf6594ef214561a400037e9b2c868d"/>
            <w:id w:val="961078146"/>
          </w:sdtPr>
          <w:sdtContent>
            <w:tc>
              <w:tcPr>
                <w:tcW w:w="1417" w:type="dxa"/>
                <w:vAlign w:val="center"/>
              </w:tcPr>
              <w:p w14:paraId="1861A413">
                <w:pPr>
                  <w:jc w:val="center"/>
                  <w:rPr>
                    <w:rFonts w:ascii="Calibri" w:hAnsi="Calibri"/>
                    <w:sz w:val="20"/>
                    <w:szCs w:val="20"/>
                  </w:rPr>
                </w:pPr>
                <w:r>
                  <w:rPr>
                    <w:rFonts w:hint="eastAsia" w:ascii="Calibri" w:hAnsi="Calibri"/>
                    <w:sz w:val="20"/>
                    <w:szCs w:val="20"/>
                  </w:rPr>
                  <w:t>比较期间被合并方的收入</w:t>
                </w:r>
              </w:p>
            </w:tc>
          </w:sdtContent>
        </w:sdt>
        <w:sdt>
          <w:sdtPr>
            <w:tag w:val="_PLD_c3156d36b4534057acbc9a11456c7f76"/>
            <w:id w:val="1551266152"/>
          </w:sdtPr>
          <w:sdtContent>
            <w:tc>
              <w:tcPr>
                <w:tcW w:w="1418" w:type="dxa"/>
                <w:vAlign w:val="center"/>
              </w:tcPr>
              <w:p w14:paraId="466923F9">
                <w:pPr>
                  <w:jc w:val="center"/>
                  <w:rPr>
                    <w:rFonts w:ascii="Calibri" w:hAnsi="Calibri"/>
                    <w:sz w:val="20"/>
                    <w:szCs w:val="20"/>
                  </w:rPr>
                </w:pPr>
                <w:r>
                  <w:rPr>
                    <w:rFonts w:hint="eastAsia" w:ascii="Calibri" w:hAnsi="Calibri"/>
                    <w:sz w:val="20"/>
                    <w:szCs w:val="20"/>
                  </w:rPr>
                  <w:t>比较期间被合并方的净利润</w:t>
                </w:r>
              </w:p>
            </w:tc>
          </w:sdtContent>
        </w:sdt>
      </w:tr>
      <w:tr w14:paraId="6DB5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51" w:type="dxa"/>
            <w:vAlign w:val="center"/>
          </w:tcPr>
          <w:p w14:paraId="2C3120A5">
            <w:pPr>
              <w:pStyle w:val="48"/>
              <w:rPr>
                <w:sz w:val="20"/>
                <w:szCs w:val="20"/>
              </w:rPr>
            </w:pPr>
            <w:r>
              <w:rPr>
                <w:rFonts w:hint="eastAsia"/>
                <w:sz w:val="20"/>
                <w:szCs w:val="20"/>
              </w:rPr>
              <w:t>东宝进出口贸易（海南）有限公司</w:t>
            </w:r>
          </w:p>
        </w:tc>
        <w:tc>
          <w:tcPr>
            <w:tcW w:w="851" w:type="dxa"/>
            <w:vAlign w:val="center"/>
          </w:tcPr>
          <w:p w14:paraId="39A9B6D2">
            <w:pPr>
              <w:jc w:val="right"/>
              <w:rPr>
                <w:rFonts w:ascii="Calibri" w:hAnsi="Calibri"/>
                <w:sz w:val="20"/>
                <w:szCs w:val="20"/>
              </w:rPr>
            </w:pPr>
            <w:r>
              <w:rPr>
                <w:rFonts w:hint="eastAsia" w:ascii="Calibri" w:hAnsi="Calibri"/>
                <w:sz w:val="20"/>
                <w:szCs w:val="20"/>
              </w:rPr>
              <w:t>5</w:t>
            </w:r>
            <w:r>
              <w:rPr>
                <w:rFonts w:ascii="Calibri" w:hAnsi="Calibri"/>
                <w:sz w:val="20"/>
                <w:szCs w:val="20"/>
              </w:rPr>
              <w:t>5%</w:t>
            </w:r>
          </w:p>
        </w:tc>
        <w:tc>
          <w:tcPr>
            <w:tcW w:w="1701" w:type="dxa"/>
            <w:vAlign w:val="center"/>
          </w:tcPr>
          <w:p w14:paraId="32B0BC7E">
            <w:pPr>
              <w:pStyle w:val="48"/>
              <w:rPr>
                <w:sz w:val="20"/>
                <w:szCs w:val="20"/>
              </w:rPr>
            </w:pPr>
            <w:r>
              <w:rPr>
                <w:sz w:val="20"/>
                <w:szCs w:val="20"/>
              </w:rPr>
              <w:t>参与合并的企业在合并前后均受东宝实业集团股份有限公司控制且非暂时性的</w:t>
            </w:r>
          </w:p>
        </w:tc>
        <w:tc>
          <w:tcPr>
            <w:tcW w:w="1134" w:type="dxa"/>
            <w:vAlign w:val="center"/>
          </w:tcPr>
          <w:p w14:paraId="348C8FF3">
            <w:pPr>
              <w:pStyle w:val="48"/>
              <w:rPr>
                <w:sz w:val="20"/>
                <w:szCs w:val="20"/>
              </w:rPr>
            </w:pPr>
            <w:r>
              <w:rPr>
                <w:sz w:val="20"/>
                <w:szCs w:val="20"/>
              </w:rPr>
              <w:t>2025年7月7日</w:t>
            </w:r>
          </w:p>
        </w:tc>
        <w:tc>
          <w:tcPr>
            <w:tcW w:w="708" w:type="dxa"/>
            <w:vAlign w:val="center"/>
          </w:tcPr>
          <w:p w14:paraId="633DD872">
            <w:pPr>
              <w:pStyle w:val="48"/>
              <w:rPr>
                <w:sz w:val="20"/>
                <w:szCs w:val="20"/>
              </w:rPr>
            </w:pPr>
            <w:r>
              <w:rPr>
                <w:sz w:val="20"/>
                <w:szCs w:val="20"/>
              </w:rPr>
              <w:t>取得控制权</w:t>
            </w:r>
          </w:p>
        </w:tc>
        <w:tc>
          <w:tcPr>
            <w:tcW w:w="1356" w:type="dxa"/>
            <w:vAlign w:val="center"/>
          </w:tcPr>
          <w:p w14:paraId="17A82283">
            <w:pPr>
              <w:jc w:val="right"/>
              <w:rPr>
                <w:rFonts w:ascii="Calibri" w:hAnsi="Calibri"/>
                <w:sz w:val="20"/>
                <w:szCs w:val="20"/>
              </w:rPr>
            </w:pPr>
            <w:r>
              <w:rPr>
                <w:rFonts w:ascii="Calibri" w:hAnsi="Calibri"/>
                <w:sz w:val="20"/>
                <w:szCs w:val="20"/>
              </w:rPr>
              <w:t>6,767,486.79</w:t>
            </w:r>
          </w:p>
        </w:tc>
        <w:tc>
          <w:tcPr>
            <w:tcW w:w="1338" w:type="dxa"/>
            <w:vAlign w:val="center"/>
          </w:tcPr>
          <w:p w14:paraId="0032DCC8">
            <w:pPr>
              <w:jc w:val="right"/>
              <w:rPr>
                <w:rFonts w:ascii="Calibri" w:hAnsi="Calibri"/>
                <w:sz w:val="20"/>
                <w:szCs w:val="20"/>
              </w:rPr>
            </w:pPr>
            <w:r>
              <w:rPr>
                <w:rFonts w:ascii="Calibri" w:hAnsi="Calibri"/>
                <w:sz w:val="20"/>
                <w:szCs w:val="20"/>
              </w:rPr>
              <w:t>4,043,180.46</w:t>
            </w:r>
          </w:p>
        </w:tc>
        <w:tc>
          <w:tcPr>
            <w:tcW w:w="1417" w:type="dxa"/>
            <w:vAlign w:val="center"/>
          </w:tcPr>
          <w:p w14:paraId="29067FEA">
            <w:pPr>
              <w:jc w:val="right"/>
              <w:rPr>
                <w:rFonts w:ascii="Calibri" w:hAnsi="Calibri"/>
                <w:sz w:val="20"/>
                <w:szCs w:val="20"/>
              </w:rPr>
            </w:pPr>
            <w:r>
              <w:rPr>
                <w:rFonts w:ascii="Calibri" w:hAnsi="Calibri"/>
                <w:sz w:val="20"/>
                <w:szCs w:val="20"/>
              </w:rPr>
              <w:t>3,442,180.29</w:t>
            </w:r>
          </w:p>
        </w:tc>
        <w:tc>
          <w:tcPr>
            <w:tcW w:w="1418" w:type="dxa"/>
            <w:vAlign w:val="center"/>
          </w:tcPr>
          <w:p w14:paraId="1CD3ABD7">
            <w:pPr>
              <w:jc w:val="right"/>
              <w:rPr>
                <w:rFonts w:ascii="Calibri" w:hAnsi="Calibri"/>
                <w:sz w:val="20"/>
                <w:szCs w:val="20"/>
              </w:rPr>
            </w:pPr>
            <w:r>
              <w:rPr>
                <w:rFonts w:ascii="Calibri" w:hAnsi="Calibri"/>
                <w:sz w:val="20"/>
                <w:szCs w:val="20"/>
              </w:rPr>
              <w:t>1,396,973.10</w:t>
            </w:r>
          </w:p>
        </w:tc>
      </w:tr>
    </w:tbl>
    <w:p w14:paraId="35229604">
      <w:pPr>
        <w:rPr>
          <w:rFonts w:cs="Arial"/>
        </w:rPr>
      </w:pPr>
    </w:p>
    <w:p w14:paraId="291A6A8C"/>
    <w:p w14:paraId="6968A249">
      <w:pPr>
        <w:pStyle w:val="5"/>
        <w:numPr>
          <w:ilvl w:val="0"/>
          <w:numId w:val="106"/>
        </w:numPr>
      </w:pPr>
      <w:r>
        <w:rPr>
          <w:rFonts w:hint="eastAsia"/>
        </w:rPr>
        <w:t>合并成本</w:t>
      </w:r>
    </w:p>
    <w:sdt>
      <w:sdtPr>
        <w:alias w:val="是否适用：合并成本[双击切换]"/>
        <w:tag w:val="_GBC_5a2f1a0aa219473a9ea30bef3c2b1ffb"/>
        <w:id w:val="161829030"/>
        <w:placeholder>
          <w:docPart w:val="9B532E189A434BD190856809A8E34B44"/>
        </w:placeholder>
      </w:sdtPr>
      <w:sdtContent>
        <w:p w14:paraId="05EB3C3B">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921407">
      <w:pPr>
        <w:jc w:val="right"/>
      </w:pPr>
      <w:r>
        <w:rPr>
          <w:rFonts w:hint="eastAsia"/>
        </w:rPr>
        <w:t>单位：</w:t>
      </w:r>
      <w:sdt>
        <w:sdtPr>
          <w:rPr>
            <w:rFonts w:hint="eastAsia"/>
          </w:rPr>
          <w:alias w:val="单位：合并成本"/>
          <w:tag w:val="_GBC_357520090212412ea44dcf12e5071db1"/>
          <w:id w:val="1480113567"/>
          <w:placeholder>
            <w:docPart w:val="9B532E189A434BD190856809A8E34B44"/>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合并成本"/>
          <w:tag w:val="_GBC_bf160fe83cf848c7bc9823481e0c4b39"/>
          <w:id w:val="-399059717"/>
          <w:placeholder>
            <w:docPart w:val="9B532E189A434BD190856809A8E34B44"/>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6"/>
        <w:gridCol w:w="4602"/>
      </w:tblGrid>
      <w:tr w14:paraId="62DF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3861184c57a746659a54c9c232ed66d0"/>
            <w:id w:val="-64410393"/>
          </w:sdtPr>
          <w:sdtContent>
            <w:tc>
              <w:tcPr>
                <w:tcW w:w="4446" w:type="dxa"/>
                <w:vAlign w:val="center"/>
              </w:tcPr>
              <w:p w14:paraId="4E8BC1F1">
                <w:pPr>
                  <w:rPr>
                    <w:rFonts w:ascii="Calibri" w:hAnsi="Calibri" w:cs="Arial"/>
                    <w:sz w:val="20"/>
                    <w:szCs w:val="20"/>
                  </w:rPr>
                </w:pPr>
                <w:r>
                  <w:rPr>
                    <w:rFonts w:hint="eastAsia" w:ascii="Calibri" w:hAnsi="Calibri" w:cs="Arial"/>
                    <w:sz w:val="20"/>
                    <w:szCs w:val="20"/>
                    <w:lang w:val="en-GB"/>
                  </w:rPr>
                  <w:t>合并成本</w:t>
                </w:r>
              </w:p>
            </w:tc>
          </w:sdtContent>
        </w:sdt>
        <w:sdt>
          <w:sdtPr>
            <w:alias w:val="同一控制下企业合并成本明细-公司名称"/>
            <w:tag w:val="_GBC_d09ee04f3f7d4790be8d5ece4cb0b451"/>
            <w:id w:val="-364361091"/>
          </w:sdtPr>
          <w:sdtContent>
            <w:tc>
              <w:tcPr>
                <w:tcW w:w="4602" w:type="dxa"/>
                <w:vAlign w:val="center"/>
              </w:tcPr>
              <w:p w14:paraId="53502247">
                <w:pPr>
                  <w:pStyle w:val="48"/>
                  <w:jc w:val="center"/>
                  <w:rPr>
                    <w:sz w:val="20"/>
                    <w:szCs w:val="20"/>
                  </w:rPr>
                </w:pPr>
                <w:r>
                  <w:rPr>
                    <w:rFonts w:hint="eastAsia"/>
                    <w:sz w:val="20"/>
                    <w:szCs w:val="20"/>
                  </w:rPr>
                  <w:t>东宝进出口贸易（海南）有限公司</w:t>
                </w:r>
              </w:p>
            </w:tc>
          </w:sdtContent>
        </w:sdt>
      </w:tr>
      <w:tr w14:paraId="679C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6" w:type="dxa"/>
            <w:vAlign w:val="center"/>
          </w:tcPr>
          <w:p w14:paraId="2F8C83E1">
            <w:pPr>
              <w:rPr>
                <w:rFonts w:ascii="Calibri" w:hAnsi="Calibri" w:cs="Arial"/>
                <w:color w:val="000000"/>
                <w:sz w:val="20"/>
                <w:szCs w:val="20"/>
              </w:rPr>
            </w:pPr>
            <w:r>
              <w:rPr>
                <w:rFonts w:ascii="Calibri" w:hAnsi="Calibri" w:cs="Arial"/>
                <w:color w:val="000000"/>
                <w:sz w:val="20"/>
                <w:szCs w:val="20"/>
              </w:rPr>
              <w:t>--</w:t>
            </w:r>
            <w:r>
              <w:rPr>
                <w:rFonts w:hint="eastAsia" w:ascii="Calibri" w:hAnsi="Calibri" w:cs="Arial"/>
                <w:color w:val="000000"/>
                <w:sz w:val="20"/>
                <w:szCs w:val="20"/>
                <w:lang w:val="en-GB"/>
              </w:rPr>
              <w:t>现金</w:t>
            </w:r>
          </w:p>
        </w:tc>
        <w:tc>
          <w:tcPr>
            <w:tcW w:w="4602" w:type="dxa"/>
            <w:vAlign w:val="center"/>
          </w:tcPr>
          <w:p w14:paraId="668306EF">
            <w:pPr>
              <w:jc w:val="right"/>
              <w:rPr>
                <w:rFonts w:ascii="Calibri" w:hAnsi="Calibri"/>
                <w:sz w:val="20"/>
                <w:szCs w:val="20"/>
              </w:rPr>
            </w:pPr>
            <w:r>
              <w:rPr>
                <w:rFonts w:ascii="Calibri" w:hAnsi="Calibri"/>
                <w:sz w:val="20"/>
                <w:szCs w:val="20"/>
              </w:rPr>
              <w:t>3,591,500.00</w:t>
            </w:r>
          </w:p>
        </w:tc>
      </w:tr>
      <w:tr w14:paraId="69B3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6" w:type="dxa"/>
            <w:vAlign w:val="center"/>
          </w:tcPr>
          <w:p w14:paraId="191E1D73">
            <w:pPr>
              <w:rPr>
                <w:rFonts w:ascii="Calibri" w:hAnsi="Calibri" w:cs="Arial"/>
                <w:color w:val="000000"/>
                <w:sz w:val="20"/>
                <w:szCs w:val="20"/>
              </w:rPr>
            </w:pPr>
            <w:r>
              <w:rPr>
                <w:rFonts w:ascii="Calibri" w:hAnsi="Calibri" w:cs="Arial"/>
                <w:color w:val="000000"/>
                <w:sz w:val="20"/>
                <w:szCs w:val="20"/>
              </w:rPr>
              <w:t>--</w:t>
            </w:r>
            <w:r>
              <w:rPr>
                <w:rFonts w:hint="eastAsia" w:ascii="Calibri" w:hAnsi="Calibri" w:cs="Arial"/>
                <w:color w:val="000000"/>
                <w:sz w:val="20"/>
                <w:szCs w:val="20"/>
                <w:lang w:val="en-GB"/>
              </w:rPr>
              <w:t>非现金资产的账面价值</w:t>
            </w:r>
          </w:p>
        </w:tc>
        <w:tc>
          <w:tcPr>
            <w:tcW w:w="4602" w:type="dxa"/>
            <w:vAlign w:val="center"/>
          </w:tcPr>
          <w:p w14:paraId="30564A59">
            <w:pPr>
              <w:jc w:val="right"/>
              <w:rPr>
                <w:rFonts w:ascii="Calibri" w:hAnsi="Calibri"/>
                <w:sz w:val="20"/>
                <w:szCs w:val="20"/>
              </w:rPr>
            </w:pPr>
          </w:p>
        </w:tc>
      </w:tr>
      <w:tr w14:paraId="5F2B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6" w:type="dxa"/>
            <w:vAlign w:val="center"/>
          </w:tcPr>
          <w:p w14:paraId="55C4CD17">
            <w:pPr>
              <w:rPr>
                <w:rFonts w:ascii="Calibri" w:hAnsi="Calibri" w:cs="Arial"/>
                <w:color w:val="000000"/>
                <w:sz w:val="20"/>
                <w:szCs w:val="20"/>
              </w:rPr>
            </w:pPr>
            <w:r>
              <w:rPr>
                <w:rFonts w:ascii="Calibri" w:hAnsi="Calibri" w:cs="Arial"/>
                <w:color w:val="000000"/>
                <w:sz w:val="20"/>
                <w:szCs w:val="20"/>
              </w:rPr>
              <w:t>--</w:t>
            </w:r>
            <w:r>
              <w:rPr>
                <w:rFonts w:hint="eastAsia" w:ascii="Calibri" w:hAnsi="Calibri" w:cs="Arial"/>
                <w:color w:val="000000"/>
                <w:sz w:val="20"/>
                <w:szCs w:val="20"/>
                <w:lang w:val="en-GB"/>
              </w:rPr>
              <w:t>发行或承担的债务的账面价值</w:t>
            </w:r>
          </w:p>
        </w:tc>
        <w:tc>
          <w:tcPr>
            <w:tcW w:w="4602" w:type="dxa"/>
            <w:vAlign w:val="center"/>
          </w:tcPr>
          <w:p w14:paraId="3330A42B">
            <w:pPr>
              <w:jc w:val="right"/>
              <w:rPr>
                <w:rFonts w:ascii="Calibri" w:hAnsi="Calibri"/>
                <w:sz w:val="20"/>
                <w:szCs w:val="20"/>
              </w:rPr>
            </w:pPr>
          </w:p>
        </w:tc>
      </w:tr>
      <w:tr w14:paraId="1D6B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6" w:type="dxa"/>
            <w:vAlign w:val="center"/>
          </w:tcPr>
          <w:p w14:paraId="13114090">
            <w:pPr>
              <w:rPr>
                <w:rFonts w:ascii="Calibri" w:hAnsi="Calibri" w:cs="Arial"/>
                <w:color w:val="000000"/>
                <w:sz w:val="20"/>
                <w:szCs w:val="20"/>
              </w:rPr>
            </w:pPr>
            <w:r>
              <w:rPr>
                <w:rFonts w:ascii="Calibri" w:hAnsi="Calibri" w:cs="Arial"/>
                <w:color w:val="000000"/>
                <w:sz w:val="20"/>
                <w:szCs w:val="20"/>
              </w:rPr>
              <w:t>--</w:t>
            </w:r>
            <w:r>
              <w:rPr>
                <w:rFonts w:hint="eastAsia" w:ascii="Calibri" w:hAnsi="Calibri" w:cs="Arial"/>
                <w:color w:val="000000"/>
                <w:sz w:val="20"/>
                <w:szCs w:val="20"/>
                <w:lang w:val="en-GB"/>
              </w:rPr>
              <w:t>发行的权益性证券的面值</w:t>
            </w:r>
          </w:p>
        </w:tc>
        <w:tc>
          <w:tcPr>
            <w:tcW w:w="4602" w:type="dxa"/>
            <w:vAlign w:val="center"/>
          </w:tcPr>
          <w:p w14:paraId="6ECFC7A4">
            <w:pPr>
              <w:jc w:val="right"/>
              <w:rPr>
                <w:rFonts w:ascii="Calibri" w:hAnsi="Calibri"/>
                <w:sz w:val="20"/>
                <w:szCs w:val="20"/>
              </w:rPr>
            </w:pPr>
          </w:p>
        </w:tc>
      </w:tr>
      <w:tr w14:paraId="6E32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6" w:type="dxa"/>
            <w:vAlign w:val="center"/>
          </w:tcPr>
          <w:p w14:paraId="7EE2C483">
            <w:pPr>
              <w:rPr>
                <w:rFonts w:ascii="Calibri" w:hAnsi="Calibri" w:cs="Arial"/>
                <w:color w:val="000000"/>
                <w:sz w:val="20"/>
                <w:szCs w:val="20"/>
              </w:rPr>
            </w:pPr>
            <w:r>
              <w:rPr>
                <w:rFonts w:ascii="Calibri" w:hAnsi="Calibri" w:cs="Arial"/>
                <w:color w:val="000000"/>
                <w:sz w:val="20"/>
                <w:szCs w:val="20"/>
              </w:rPr>
              <w:t>--</w:t>
            </w:r>
            <w:r>
              <w:rPr>
                <w:rFonts w:hint="eastAsia" w:ascii="Calibri" w:hAnsi="Calibri" w:cs="Arial"/>
                <w:color w:val="000000"/>
                <w:sz w:val="20"/>
                <w:szCs w:val="20"/>
                <w:lang w:val="en-GB"/>
              </w:rPr>
              <w:t>或有对价</w:t>
            </w:r>
          </w:p>
        </w:tc>
        <w:tc>
          <w:tcPr>
            <w:tcW w:w="4602" w:type="dxa"/>
            <w:vAlign w:val="center"/>
          </w:tcPr>
          <w:p w14:paraId="6BA7D556">
            <w:pPr>
              <w:jc w:val="right"/>
              <w:rPr>
                <w:rFonts w:ascii="Calibri" w:hAnsi="Calibri"/>
                <w:sz w:val="20"/>
                <w:szCs w:val="20"/>
              </w:rPr>
            </w:pPr>
          </w:p>
        </w:tc>
      </w:tr>
    </w:tbl>
    <w:p w14:paraId="23D05950">
      <w:pPr>
        <w:rPr>
          <w:rFonts w:cs="Arial"/>
        </w:rPr>
      </w:pPr>
    </w:p>
    <w:p w14:paraId="7B61DCAF">
      <w:pPr>
        <w:rPr>
          <w:rFonts w:cs="Arial"/>
        </w:rPr>
      </w:pPr>
    </w:p>
    <w:p w14:paraId="69D890C8">
      <w:pPr>
        <w:pStyle w:val="5"/>
        <w:numPr>
          <w:ilvl w:val="0"/>
          <w:numId w:val="106"/>
        </w:numPr>
      </w:pPr>
      <w:r>
        <w:rPr>
          <w:rFonts w:hint="eastAsia"/>
        </w:rPr>
        <w:t>合并日被合并方资产、负债的账面价值</w:t>
      </w:r>
    </w:p>
    <w:sdt>
      <w:sdtPr>
        <w:alias w:val="是否适用：合并日被合并方资产、负债的账面价值[双击切换]"/>
        <w:tag w:val="_GBC_5dec2961a29c4f7dba84a8d8fd453dab"/>
        <w:id w:val="194116304"/>
        <w:placeholder>
          <w:docPart w:val="9B532E189A434BD190856809A8E34B44"/>
        </w:placeholder>
      </w:sdtPr>
      <w:sdtContent>
        <w:p w14:paraId="763505DC">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BDBFC08">
      <w:pPr>
        <w:jc w:val="right"/>
      </w:pPr>
      <w:r>
        <w:rPr>
          <w:rFonts w:hint="eastAsia"/>
        </w:rPr>
        <w:t>单位：</w:t>
      </w:r>
      <w:sdt>
        <w:sdtPr>
          <w:rPr>
            <w:rFonts w:hint="eastAsia"/>
          </w:rPr>
          <w:alias w:val="单位：财务附注：合并日被合并方资产、负债的账面价值"/>
          <w:tag w:val="_GBC_40ecb31d91524802888565cf5e740942"/>
          <w:id w:val="1520666272"/>
          <w:placeholder>
            <w:docPart w:val="9B532E189A434BD190856809A8E34B44"/>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合并日被合并方资产、负债的账面价值"/>
          <w:tag w:val="_GBC_10e87b9f74f84d0e9a09bd5eed205468"/>
          <w:id w:val="-82372553"/>
          <w:placeholder>
            <w:docPart w:val="9B532E189A434BD190856809A8E34B44"/>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3686"/>
        <w:gridCol w:w="3524"/>
      </w:tblGrid>
      <w:tr w14:paraId="2F17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vAlign w:val="center"/>
          </w:tcPr>
          <w:p w14:paraId="4E9B316E">
            <w:pPr>
              <w:rPr>
                <w:rFonts w:ascii="Calibri" w:hAnsi="Calibri" w:cs="Arial"/>
                <w:sz w:val="20"/>
                <w:szCs w:val="20"/>
              </w:rPr>
            </w:pPr>
          </w:p>
        </w:tc>
        <w:sdt>
          <w:sdtPr>
            <w:rPr>
              <w:rFonts w:hint="eastAsia" w:ascii="Calibri" w:hAnsi="Calibri" w:cs="Arial"/>
              <w:sz w:val="20"/>
              <w:szCs w:val="20"/>
              <w:lang w:val="en-GB"/>
            </w:rPr>
            <w:alias w:val="被合并方的资产、负债明细-公司名称"/>
            <w:tag w:val="_GBC_e9b1593733f643f9a2c837eefae98a8d"/>
            <w:id w:val="857241299"/>
          </w:sdtPr>
          <w:sdtEndPr>
            <w:rPr>
              <w:rFonts w:hint="eastAsia" w:ascii="Calibri" w:hAnsi="Calibri" w:cs="Arial"/>
              <w:sz w:val="20"/>
              <w:szCs w:val="20"/>
              <w:lang w:val="en-GB"/>
            </w:rPr>
          </w:sdtEndPr>
          <w:sdtContent>
            <w:tc>
              <w:tcPr>
                <w:tcW w:w="7210" w:type="dxa"/>
                <w:gridSpan w:val="2"/>
                <w:vAlign w:val="center"/>
              </w:tcPr>
              <w:p w14:paraId="3B9F7F2B">
                <w:pPr>
                  <w:jc w:val="center"/>
                  <w:rPr>
                    <w:rFonts w:ascii="Calibri" w:hAnsi="Calibri" w:cs="Arial"/>
                    <w:sz w:val="20"/>
                    <w:szCs w:val="20"/>
                    <w:lang w:val="en-GB"/>
                  </w:rPr>
                </w:pPr>
                <w:r>
                  <w:rPr>
                    <w:rFonts w:hint="eastAsia" w:ascii="Calibri" w:hAnsi="Calibri" w:cs="Arial"/>
                    <w:sz w:val="20"/>
                    <w:szCs w:val="20"/>
                    <w:lang w:val="en-GB"/>
                  </w:rPr>
                  <w:t>东宝进出口贸易（海南）有限公司</w:t>
                </w:r>
              </w:p>
            </w:tc>
          </w:sdtContent>
        </w:sdt>
      </w:tr>
      <w:tr w14:paraId="101F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vAlign w:val="center"/>
          </w:tcPr>
          <w:p w14:paraId="50329E86">
            <w:pPr>
              <w:rPr>
                <w:rFonts w:ascii="Calibri" w:hAnsi="Calibri" w:cs="Arial"/>
                <w:sz w:val="20"/>
                <w:szCs w:val="20"/>
              </w:rPr>
            </w:pPr>
          </w:p>
        </w:tc>
        <w:sdt>
          <w:sdtPr>
            <w:tag w:val="_PLD_bee6c3563d97418a99a2ebc03e19e7e6"/>
            <w:id w:val="-601489120"/>
          </w:sdtPr>
          <w:sdtContent>
            <w:tc>
              <w:tcPr>
                <w:tcW w:w="3686" w:type="dxa"/>
                <w:vAlign w:val="center"/>
              </w:tcPr>
              <w:p w14:paraId="0CDED19A">
                <w:pPr>
                  <w:jc w:val="center"/>
                  <w:rPr>
                    <w:rFonts w:ascii="Calibri" w:hAnsi="Calibri" w:cs="Arial"/>
                    <w:sz w:val="20"/>
                    <w:szCs w:val="20"/>
                  </w:rPr>
                </w:pPr>
                <w:r>
                  <w:rPr>
                    <w:rFonts w:hint="eastAsia" w:ascii="Calibri" w:hAnsi="Calibri" w:cs="Arial"/>
                    <w:sz w:val="20"/>
                    <w:szCs w:val="20"/>
                    <w:lang w:val="en-GB"/>
                  </w:rPr>
                  <w:t>合并日</w:t>
                </w:r>
              </w:p>
            </w:tc>
          </w:sdtContent>
        </w:sdt>
        <w:sdt>
          <w:sdtPr>
            <w:tag w:val="_PLD_d6af255a88be4e5e82a7e5c33e295842"/>
            <w:id w:val="2116247282"/>
          </w:sdtPr>
          <w:sdtContent>
            <w:tc>
              <w:tcPr>
                <w:tcW w:w="3524" w:type="dxa"/>
                <w:vAlign w:val="center"/>
              </w:tcPr>
              <w:p w14:paraId="3A5AFF3B">
                <w:pPr>
                  <w:jc w:val="center"/>
                  <w:rPr>
                    <w:rFonts w:ascii="Calibri" w:hAnsi="Calibri" w:cs="Arial"/>
                    <w:sz w:val="20"/>
                    <w:szCs w:val="20"/>
                    <w:lang w:val="en-GB"/>
                  </w:rPr>
                </w:pPr>
                <w:r>
                  <w:rPr>
                    <w:rFonts w:hint="eastAsia" w:ascii="Calibri" w:hAnsi="Calibri" w:cs="Arial"/>
                    <w:sz w:val="20"/>
                    <w:szCs w:val="20"/>
                    <w:lang w:val="en-GB"/>
                  </w:rPr>
                  <w:t>上期期末</w:t>
                </w:r>
              </w:p>
            </w:tc>
          </w:sdtContent>
        </w:sdt>
      </w:tr>
      <w:tr w14:paraId="233F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75CA442E">
            <w:pPr>
              <w:rPr>
                <w:rFonts w:ascii="Calibri" w:hAnsi="Calibri" w:cs="Arial"/>
                <w:color w:val="000000"/>
                <w:sz w:val="20"/>
                <w:szCs w:val="20"/>
              </w:rPr>
            </w:pPr>
            <w:r>
              <w:rPr>
                <w:rFonts w:hint="eastAsia" w:ascii="Calibri" w:hAnsi="Calibri" w:cs="Arial"/>
                <w:color w:val="000000"/>
                <w:sz w:val="20"/>
                <w:szCs w:val="20"/>
                <w:lang w:val="en-GB"/>
              </w:rPr>
              <w:t>资产:</w:t>
            </w:r>
          </w:p>
        </w:tc>
        <w:tc>
          <w:tcPr>
            <w:tcW w:w="3686" w:type="dxa"/>
            <w:vAlign w:val="center"/>
          </w:tcPr>
          <w:p w14:paraId="5648593E">
            <w:pPr>
              <w:jc w:val="right"/>
              <w:rPr>
                <w:rFonts w:ascii="Calibri" w:hAnsi="Calibri" w:cs="Arial"/>
                <w:sz w:val="20"/>
                <w:szCs w:val="20"/>
              </w:rPr>
            </w:pPr>
            <w:r>
              <w:rPr>
                <w:rFonts w:ascii="Calibri" w:hAnsi="Calibri"/>
                <w:sz w:val="20"/>
                <w:szCs w:val="20"/>
              </w:rPr>
              <w:t>8,272,367.69</w:t>
            </w:r>
          </w:p>
        </w:tc>
        <w:tc>
          <w:tcPr>
            <w:tcW w:w="3524" w:type="dxa"/>
            <w:vAlign w:val="center"/>
          </w:tcPr>
          <w:p w14:paraId="2B97FFF7">
            <w:pPr>
              <w:jc w:val="right"/>
              <w:rPr>
                <w:rFonts w:ascii="Calibri" w:hAnsi="Calibri" w:cs="Arial"/>
                <w:sz w:val="20"/>
                <w:szCs w:val="20"/>
              </w:rPr>
            </w:pPr>
            <w:r>
              <w:rPr>
                <w:rFonts w:ascii="Calibri" w:hAnsi="Calibri"/>
                <w:sz w:val="20"/>
                <w:szCs w:val="20"/>
              </w:rPr>
              <w:t>3,600,117.42</w:t>
            </w:r>
          </w:p>
        </w:tc>
      </w:tr>
      <w:tr w14:paraId="3D7E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3F105706">
            <w:pPr>
              <w:rPr>
                <w:rFonts w:ascii="Calibri" w:hAnsi="Calibri" w:cs="Arial"/>
                <w:sz w:val="20"/>
                <w:szCs w:val="20"/>
              </w:rPr>
            </w:pPr>
            <w:r>
              <w:rPr>
                <w:rFonts w:hint="eastAsia" w:ascii="Calibri" w:hAnsi="Calibri" w:cs="Arial"/>
                <w:sz w:val="20"/>
                <w:szCs w:val="20"/>
              </w:rPr>
              <w:t>货币资金</w:t>
            </w:r>
          </w:p>
        </w:tc>
        <w:tc>
          <w:tcPr>
            <w:tcW w:w="3686" w:type="dxa"/>
            <w:vAlign w:val="center"/>
          </w:tcPr>
          <w:p w14:paraId="6F77D65C">
            <w:pPr>
              <w:spacing w:line="276" w:lineRule="auto"/>
              <w:jc w:val="right"/>
              <w:rPr>
                <w:rFonts w:ascii="Calibri" w:hAnsi="Calibri" w:cs="Arial"/>
                <w:sz w:val="20"/>
                <w:szCs w:val="20"/>
              </w:rPr>
            </w:pPr>
            <w:r>
              <w:rPr>
                <w:rFonts w:ascii="Calibri" w:hAnsi="Calibri"/>
                <w:sz w:val="20"/>
                <w:szCs w:val="20"/>
              </w:rPr>
              <w:t>8,261,909.69</w:t>
            </w:r>
          </w:p>
        </w:tc>
        <w:tc>
          <w:tcPr>
            <w:tcW w:w="3524" w:type="dxa"/>
            <w:vAlign w:val="center"/>
          </w:tcPr>
          <w:p w14:paraId="7948D7D1">
            <w:pPr>
              <w:spacing w:line="276" w:lineRule="auto"/>
              <w:jc w:val="right"/>
              <w:rPr>
                <w:rFonts w:ascii="Calibri" w:hAnsi="Calibri" w:cs="Arial"/>
                <w:sz w:val="20"/>
                <w:szCs w:val="20"/>
              </w:rPr>
            </w:pPr>
            <w:r>
              <w:rPr>
                <w:rFonts w:ascii="Calibri" w:hAnsi="Calibri"/>
                <w:sz w:val="20"/>
                <w:szCs w:val="20"/>
              </w:rPr>
              <w:t>3,600,091.90</w:t>
            </w:r>
          </w:p>
        </w:tc>
      </w:tr>
      <w:tr w14:paraId="1669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838" w:type="dxa"/>
            <w:vAlign w:val="center"/>
          </w:tcPr>
          <w:p w14:paraId="785692CB">
            <w:pPr>
              <w:rPr>
                <w:rFonts w:ascii="Calibri" w:hAnsi="Calibri" w:cs="Arial"/>
                <w:sz w:val="20"/>
                <w:szCs w:val="20"/>
              </w:rPr>
            </w:pPr>
            <w:r>
              <w:rPr>
                <w:rFonts w:hint="eastAsia" w:ascii="Calibri" w:hAnsi="Calibri" w:cs="Arial"/>
                <w:sz w:val="20"/>
                <w:szCs w:val="20"/>
              </w:rPr>
              <w:t>应收款项</w:t>
            </w:r>
          </w:p>
        </w:tc>
        <w:tc>
          <w:tcPr>
            <w:tcW w:w="3686" w:type="dxa"/>
            <w:vAlign w:val="center"/>
          </w:tcPr>
          <w:p w14:paraId="4F9D370D">
            <w:pPr>
              <w:spacing w:line="276" w:lineRule="auto"/>
              <w:jc w:val="right"/>
              <w:rPr>
                <w:rFonts w:ascii="Calibri" w:hAnsi="Calibri" w:cs="Arial"/>
                <w:sz w:val="20"/>
                <w:szCs w:val="20"/>
              </w:rPr>
            </w:pPr>
            <w:r>
              <w:rPr>
                <w:rFonts w:ascii="Calibri" w:hAnsi="Calibri"/>
                <w:sz w:val="20"/>
                <w:szCs w:val="20"/>
              </w:rPr>
              <w:t>10,458.00</w:t>
            </w:r>
          </w:p>
        </w:tc>
        <w:tc>
          <w:tcPr>
            <w:tcW w:w="3524" w:type="dxa"/>
            <w:vAlign w:val="center"/>
          </w:tcPr>
          <w:p w14:paraId="5048CDBB">
            <w:pPr>
              <w:spacing w:line="276" w:lineRule="auto"/>
              <w:jc w:val="right"/>
              <w:rPr>
                <w:rFonts w:ascii="Calibri" w:hAnsi="Calibri" w:cs="Arial"/>
                <w:sz w:val="20"/>
                <w:szCs w:val="20"/>
              </w:rPr>
            </w:pPr>
            <w:r>
              <w:rPr>
                <w:rFonts w:ascii="Calibri" w:hAnsi="Calibri"/>
                <w:sz w:val="20"/>
                <w:szCs w:val="20"/>
              </w:rPr>
              <w:t>25.52</w:t>
            </w:r>
          </w:p>
        </w:tc>
      </w:tr>
      <w:tr w14:paraId="5B1C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838" w:type="dxa"/>
            <w:vAlign w:val="center"/>
          </w:tcPr>
          <w:p w14:paraId="4665DBD8">
            <w:pPr>
              <w:rPr>
                <w:rFonts w:ascii="Calibri" w:hAnsi="Calibri" w:cs="Arial"/>
                <w:sz w:val="20"/>
                <w:szCs w:val="20"/>
              </w:rPr>
            </w:pPr>
            <w:r>
              <w:rPr>
                <w:rFonts w:hint="eastAsia" w:ascii="Calibri" w:hAnsi="Calibri" w:cs="Arial"/>
                <w:sz w:val="20"/>
                <w:szCs w:val="20"/>
              </w:rPr>
              <w:t>存货</w:t>
            </w:r>
          </w:p>
        </w:tc>
        <w:tc>
          <w:tcPr>
            <w:tcW w:w="3686" w:type="dxa"/>
            <w:vAlign w:val="center"/>
          </w:tcPr>
          <w:p w14:paraId="54C63A31">
            <w:pPr>
              <w:spacing w:line="276" w:lineRule="auto"/>
              <w:jc w:val="right"/>
              <w:rPr>
                <w:rFonts w:ascii="Calibri" w:hAnsi="Calibri" w:cs="Arial"/>
                <w:sz w:val="20"/>
                <w:szCs w:val="20"/>
              </w:rPr>
            </w:pPr>
          </w:p>
        </w:tc>
        <w:tc>
          <w:tcPr>
            <w:tcW w:w="3524" w:type="dxa"/>
            <w:vAlign w:val="center"/>
          </w:tcPr>
          <w:p w14:paraId="03920B5D">
            <w:pPr>
              <w:spacing w:line="276" w:lineRule="auto"/>
              <w:jc w:val="right"/>
              <w:rPr>
                <w:rFonts w:ascii="Calibri" w:hAnsi="Calibri" w:cs="Arial"/>
                <w:sz w:val="20"/>
                <w:szCs w:val="20"/>
              </w:rPr>
            </w:pPr>
          </w:p>
        </w:tc>
      </w:tr>
      <w:tr w14:paraId="3FFB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090A0C79">
            <w:pPr>
              <w:rPr>
                <w:rFonts w:ascii="Calibri" w:hAnsi="Calibri" w:cs="Arial"/>
                <w:sz w:val="20"/>
                <w:szCs w:val="20"/>
              </w:rPr>
            </w:pPr>
            <w:r>
              <w:rPr>
                <w:rFonts w:hint="eastAsia" w:ascii="Calibri" w:hAnsi="Calibri" w:cs="Arial"/>
                <w:sz w:val="20"/>
                <w:szCs w:val="20"/>
              </w:rPr>
              <w:t>固定资产</w:t>
            </w:r>
          </w:p>
        </w:tc>
        <w:tc>
          <w:tcPr>
            <w:tcW w:w="3686" w:type="dxa"/>
            <w:vAlign w:val="center"/>
          </w:tcPr>
          <w:p w14:paraId="5F0CE119">
            <w:pPr>
              <w:spacing w:line="276" w:lineRule="auto"/>
              <w:jc w:val="right"/>
              <w:rPr>
                <w:rFonts w:ascii="Calibri" w:hAnsi="Calibri" w:cs="Arial"/>
                <w:sz w:val="20"/>
                <w:szCs w:val="20"/>
              </w:rPr>
            </w:pPr>
          </w:p>
        </w:tc>
        <w:tc>
          <w:tcPr>
            <w:tcW w:w="3524" w:type="dxa"/>
            <w:vAlign w:val="center"/>
          </w:tcPr>
          <w:p w14:paraId="2801B07C">
            <w:pPr>
              <w:spacing w:line="276" w:lineRule="auto"/>
              <w:jc w:val="right"/>
              <w:rPr>
                <w:rFonts w:ascii="Calibri" w:hAnsi="Calibri" w:cs="Arial"/>
                <w:sz w:val="20"/>
                <w:szCs w:val="20"/>
              </w:rPr>
            </w:pPr>
          </w:p>
        </w:tc>
      </w:tr>
      <w:tr w14:paraId="484D4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 w:hRule="atLeast"/>
          <w:jc w:val="center"/>
        </w:trPr>
        <w:tc>
          <w:tcPr>
            <w:tcW w:w="1838" w:type="dxa"/>
            <w:vAlign w:val="center"/>
          </w:tcPr>
          <w:p w14:paraId="777E1543">
            <w:pPr>
              <w:rPr>
                <w:rFonts w:ascii="Calibri" w:hAnsi="Calibri" w:cs="Arial"/>
                <w:sz w:val="20"/>
                <w:szCs w:val="20"/>
              </w:rPr>
            </w:pPr>
            <w:r>
              <w:rPr>
                <w:rFonts w:hint="eastAsia" w:ascii="Calibri" w:hAnsi="Calibri" w:cs="Arial"/>
                <w:sz w:val="20"/>
                <w:szCs w:val="20"/>
              </w:rPr>
              <w:t>无形资产</w:t>
            </w:r>
          </w:p>
        </w:tc>
        <w:tc>
          <w:tcPr>
            <w:tcW w:w="3686" w:type="dxa"/>
            <w:vAlign w:val="center"/>
          </w:tcPr>
          <w:p w14:paraId="6D24E280">
            <w:pPr>
              <w:spacing w:line="276" w:lineRule="auto"/>
              <w:jc w:val="right"/>
              <w:rPr>
                <w:rFonts w:ascii="Calibri" w:hAnsi="Calibri" w:cs="Arial"/>
                <w:sz w:val="20"/>
                <w:szCs w:val="20"/>
              </w:rPr>
            </w:pPr>
          </w:p>
        </w:tc>
        <w:tc>
          <w:tcPr>
            <w:tcW w:w="3524" w:type="dxa"/>
            <w:vAlign w:val="center"/>
          </w:tcPr>
          <w:p w14:paraId="357C2EA9">
            <w:pPr>
              <w:spacing w:line="276" w:lineRule="auto"/>
              <w:jc w:val="right"/>
              <w:rPr>
                <w:rFonts w:ascii="Calibri" w:hAnsi="Calibri" w:cs="Arial"/>
                <w:sz w:val="20"/>
                <w:szCs w:val="20"/>
              </w:rPr>
            </w:pPr>
          </w:p>
        </w:tc>
      </w:tr>
      <w:tr w14:paraId="7C6C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7FD8AE23">
            <w:pPr>
              <w:rPr>
                <w:rFonts w:ascii="Calibri" w:hAnsi="Calibri" w:cs="Arial"/>
                <w:color w:val="000000"/>
                <w:sz w:val="20"/>
                <w:szCs w:val="20"/>
              </w:rPr>
            </w:pPr>
            <w:r>
              <w:rPr>
                <w:rFonts w:hint="eastAsia" w:ascii="Calibri" w:hAnsi="Calibri" w:cs="Arial"/>
                <w:color w:val="000000"/>
                <w:sz w:val="20"/>
                <w:szCs w:val="20"/>
                <w:lang w:val="en-GB"/>
              </w:rPr>
              <w:t>负债:</w:t>
            </w:r>
          </w:p>
        </w:tc>
        <w:tc>
          <w:tcPr>
            <w:tcW w:w="3686" w:type="dxa"/>
            <w:vAlign w:val="center"/>
          </w:tcPr>
          <w:p w14:paraId="00FFBBB2">
            <w:pPr>
              <w:jc w:val="right"/>
              <w:rPr>
                <w:rFonts w:ascii="Calibri" w:hAnsi="Calibri" w:cs="Arial"/>
                <w:sz w:val="20"/>
                <w:szCs w:val="20"/>
              </w:rPr>
            </w:pPr>
            <w:r>
              <w:rPr>
                <w:rFonts w:ascii="Calibri" w:hAnsi="Calibri"/>
                <w:sz w:val="20"/>
                <w:szCs w:val="20"/>
              </w:rPr>
              <w:t>1,831,519.00</w:t>
            </w:r>
          </w:p>
        </w:tc>
        <w:tc>
          <w:tcPr>
            <w:tcW w:w="3524" w:type="dxa"/>
            <w:vAlign w:val="center"/>
          </w:tcPr>
          <w:p w14:paraId="6E065DE3">
            <w:pPr>
              <w:jc w:val="right"/>
              <w:rPr>
                <w:rFonts w:ascii="Calibri" w:hAnsi="Calibri" w:cs="Arial"/>
                <w:sz w:val="20"/>
                <w:szCs w:val="20"/>
              </w:rPr>
            </w:pPr>
            <w:r>
              <w:rPr>
                <w:rFonts w:ascii="Calibri" w:hAnsi="Calibri"/>
                <w:sz w:val="20"/>
                <w:szCs w:val="20"/>
              </w:rPr>
              <w:t>1,203,144.32</w:t>
            </w:r>
          </w:p>
        </w:tc>
      </w:tr>
      <w:tr w14:paraId="48A2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7AAE5CC0">
            <w:pPr>
              <w:rPr>
                <w:rFonts w:ascii="Calibri" w:hAnsi="Calibri" w:cs="Arial"/>
                <w:color w:val="000000"/>
                <w:sz w:val="20"/>
                <w:szCs w:val="20"/>
                <w:lang w:val="en-GB"/>
              </w:rPr>
            </w:pPr>
            <w:r>
              <w:rPr>
                <w:rFonts w:hint="eastAsia" w:ascii="Calibri" w:hAnsi="Calibri" w:cs="Arial"/>
                <w:color w:val="000000"/>
                <w:sz w:val="20"/>
                <w:szCs w:val="20"/>
                <w:lang w:val="en-GB"/>
              </w:rPr>
              <w:t>借款</w:t>
            </w:r>
          </w:p>
        </w:tc>
        <w:tc>
          <w:tcPr>
            <w:tcW w:w="3686" w:type="dxa"/>
            <w:vAlign w:val="center"/>
          </w:tcPr>
          <w:p w14:paraId="25DD43C3">
            <w:pPr>
              <w:spacing w:line="276" w:lineRule="auto"/>
              <w:jc w:val="right"/>
              <w:rPr>
                <w:rFonts w:ascii="Calibri" w:hAnsi="Calibri" w:cs="Arial"/>
                <w:sz w:val="20"/>
                <w:szCs w:val="20"/>
              </w:rPr>
            </w:pPr>
          </w:p>
        </w:tc>
        <w:tc>
          <w:tcPr>
            <w:tcW w:w="3524" w:type="dxa"/>
            <w:vAlign w:val="center"/>
          </w:tcPr>
          <w:p w14:paraId="5799FD3C">
            <w:pPr>
              <w:spacing w:line="276" w:lineRule="auto"/>
              <w:jc w:val="right"/>
              <w:rPr>
                <w:rFonts w:ascii="Calibri" w:hAnsi="Calibri" w:cs="Arial"/>
                <w:sz w:val="20"/>
                <w:szCs w:val="20"/>
              </w:rPr>
            </w:pPr>
          </w:p>
        </w:tc>
      </w:tr>
      <w:tr w14:paraId="28AB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1DA699C9">
            <w:pPr>
              <w:rPr>
                <w:rFonts w:ascii="Calibri" w:hAnsi="Calibri" w:cs="Arial"/>
                <w:color w:val="000000"/>
                <w:sz w:val="20"/>
                <w:szCs w:val="20"/>
                <w:lang w:val="en-GB"/>
              </w:rPr>
            </w:pPr>
            <w:r>
              <w:rPr>
                <w:rFonts w:hint="eastAsia" w:ascii="Calibri" w:hAnsi="Calibri" w:cs="Arial"/>
                <w:color w:val="000000"/>
                <w:sz w:val="20"/>
                <w:szCs w:val="20"/>
                <w:lang w:val="en-GB"/>
              </w:rPr>
              <w:t>应付款项</w:t>
            </w:r>
          </w:p>
        </w:tc>
        <w:tc>
          <w:tcPr>
            <w:tcW w:w="3686" w:type="dxa"/>
            <w:vAlign w:val="center"/>
          </w:tcPr>
          <w:p w14:paraId="58C000F9">
            <w:pPr>
              <w:spacing w:line="276" w:lineRule="auto"/>
              <w:jc w:val="right"/>
              <w:rPr>
                <w:rFonts w:ascii="Calibri" w:hAnsi="Calibri" w:cs="Arial"/>
                <w:sz w:val="20"/>
                <w:szCs w:val="20"/>
              </w:rPr>
            </w:pPr>
            <w:r>
              <w:rPr>
                <w:rFonts w:ascii="Calibri" w:hAnsi="Calibri"/>
                <w:sz w:val="20"/>
                <w:szCs w:val="20"/>
              </w:rPr>
              <w:t>1,831,519.00</w:t>
            </w:r>
          </w:p>
        </w:tc>
        <w:tc>
          <w:tcPr>
            <w:tcW w:w="3524" w:type="dxa"/>
            <w:vAlign w:val="center"/>
          </w:tcPr>
          <w:p w14:paraId="3CE361FF">
            <w:pPr>
              <w:spacing w:line="276" w:lineRule="auto"/>
              <w:jc w:val="right"/>
              <w:rPr>
                <w:rFonts w:ascii="Calibri" w:hAnsi="Calibri" w:cs="Arial"/>
                <w:sz w:val="20"/>
                <w:szCs w:val="20"/>
              </w:rPr>
            </w:pPr>
            <w:r>
              <w:rPr>
                <w:rFonts w:ascii="Calibri" w:hAnsi="Calibri"/>
                <w:sz w:val="20"/>
                <w:szCs w:val="20"/>
              </w:rPr>
              <w:t>1,203,144.32</w:t>
            </w:r>
          </w:p>
        </w:tc>
      </w:tr>
      <w:tr w14:paraId="5C46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435E0B22">
            <w:pPr>
              <w:ind w:left="3"/>
              <w:rPr>
                <w:rFonts w:ascii="Calibri" w:hAnsi="Calibri" w:cs="Arial"/>
                <w:color w:val="000000"/>
                <w:sz w:val="20"/>
                <w:szCs w:val="20"/>
              </w:rPr>
            </w:pPr>
            <w:r>
              <w:rPr>
                <w:rFonts w:hint="eastAsia" w:ascii="Calibri" w:hAnsi="Calibri" w:cs="Arial"/>
                <w:color w:val="000000"/>
                <w:sz w:val="20"/>
                <w:szCs w:val="20"/>
                <w:lang w:val="en-GB"/>
              </w:rPr>
              <w:t>净资产</w:t>
            </w:r>
          </w:p>
        </w:tc>
        <w:tc>
          <w:tcPr>
            <w:tcW w:w="3686" w:type="dxa"/>
            <w:vAlign w:val="center"/>
          </w:tcPr>
          <w:p w14:paraId="7C4F2007">
            <w:pPr>
              <w:jc w:val="right"/>
              <w:rPr>
                <w:rFonts w:ascii="Calibri" w:hAnsi="Calibri" w:cs="Arial"/>
                <w:sz w:val="20"/>
                <w:szCs w:val="20"/>
              </w:rPr>
            </w:pPr>
            <w:r>
              <w:rPr>
                <w:rFonts w:ascii="Calibri" w:hAnsi="Calibri"/>
                <w:sz w:val="20"/>
                <w:szCs w:val="20"/>
              </w:rPr>
              <w:t>6,440,848.69</w:t>
            </w:r>
          </w:p>
        </w:tc>
        <w:tc>
          <w:tcPr>
            <w:tcW w:w="3524" w:type="dxa"/>
            <w:vAlign w:val="center"/>
          </w:tcPr>
          <w:p w14:paraId="4F2EA8D1">
            <w:pPr>
              <w:jc w:val="right"/>
              <w:rPr>
                <w:rFonts w:ascii="Calibri" w:hAnsi="Calibri" w:cs="Arial"/>
                <w:sz w:val="20"/>
                <w:szCs w:val="20"/>
              </w:rPr>
            </w:pPr>
            <w:r>
              <w:rPr>
                <w:rFonts w:ascii="Calibri" w:hAnsi="Calibri"/>
                <w:sz w:val="20"/>
                <w:szCs w:val="20"/>
              </w:rPr>
              <w:t>2,396,973.10</w:t>
            </w:r>
          </w:p>
        </w:tc>
      </w:tr>
      <w:tr w14:paraId="382C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348660AB">
            <w:pPr>
              <w:ind w:left="3"/>
              <w:rPr>
                <w:rFonts w:ascii="Calibri" w:hAnsi="Calibri" w:cs="Arial"/>
                <w:color w:val="000000"/>
                <w:sz w:val="20"/>
                <w:szCs w:val="20"/>
              </w:rPr>
            </w:pPr>
            <w:r>
              <w:rPr>
                <w:rFonts w:hint="eastAsia" w:ascii="Calibri" w:hAnsi="Calibri" w:cs="Arial"/>
                <w:color w:val="000000"/>
                <w:sz w:val="20"/>
                <w:szCs w:val="20"/>
                <w:lang w:val="en-GB"/>
              </w:rPr>
              <w:t>减：少数股东权益</w:t>
            </w:r>
          </w:p>
        </w:tc>
        <w:tc>
          <w:tcPr>
            <w:tcW w:w="3686" w:type="dxa"/>
            <w:vAlign w:val="center"/>
          </w:tcPr>
          <w:p w14:paraId="14683FA0">
            <w:pPr>
              <w:jc w:val="right"/>
              <w:rPr>
                <w:rFonts w:ascii="Calibri" w:hAnsi="Calibri" w:cs="Arial"/>
                <w:sz w:val="20"/>
                <w:szCs w:val="20"/>
              </w:rPr>
            </w:pPr>
            <w:r>
              <w:rPr>
                <w:rFonts w:ascii="Calibri" w:hAnsi="Calibri"/>
                <w:sz w:val="20"/>
                <w:szCs w:val="20"/>
              </w:rPr>
              <w:t>2,898,381.91</w:t>
            </w:r>
          </w:p>
        </w:tc>
        <w:tc>
          <w:tcPr>
            <w:tcW w:w="3524" w:type="dxa"/>
            <w:vAlign w:val="center"/>
          </w:tcPr>
          <w:p w14:paraId="4B774F6C">
            <w:pPr>
              <w:jc w:val="right"/>
              <w:rPr>
                <w:rFonts w:ascii="Calibri" w:hAnsi="Calibri" w:cs="Arial"/>
                <w:sz w:val="20"/>
                <w:szCs w:val="20"/>
              </w:rPr>
            </w:pPr>
            <w:r>
              <w:rPr>
                <w:rFonts w:ascii="Calibri" w:hAnsi="Calibri"/>
                <w:sz w:val="20"/>
                <w:szCs w:val="20"/>
              </w:rPr>
              <w:t>1,078,637.89</w:t>
            </w:r>
          </w:p>
        </w:tc>
      </w:tr>
      <w:tr w14:paraId="6828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219D137C">
            <w:pPr>
              <w:ind w:left="3"/>
              <w:rPr>
                <w:rFonts w:ascii="Calibri" w:hAnsi="Calibri" w:cs="Arial"/>
                <w:color w:val="000000"/>
                <w:sz w:val="20"/>
                <w:szCs w:val="20"/>
              </w:rPr>
            </w:pPr>
            <w:r>
              <w:rPr>
                <w:rFonts w:hint="eastAsia" w:ascii="Calibri" w:hAnsi="Calibri" w:cs="Arial"/>
                <w:color w:val="000000"/>
                <w:sz w:val="20"/>
                <w:szCs w:val="20"/>
                <w:lang w:val="en-GB"/>
              </w:rPr>
              <w:t>取得的净资产</w:t>
            </w:r>
          </w:p>
        </w:tc>
        <w:tc>
          <w:tcPr>
            <w:tcW w:w="3686" w:type="dxa"/>
            <w:vAlign w:val="center"/>
          </w:tcPr>
          <w:p w14:paraId="51EE7175">
            <w:pPr>
              <w:jc w:val="right"/>
              <w:rPr>
                <w:rFonts w:ascii="Calibri" w:hAnsi="Calibri" w:cs="Arial"/>
                <w:sz w:val="20"/>
                <w:szCs w:val="20"/>
              </w:rPr>
            </w:pPr>
            <w:r>
              <w:rPr>
                <w:rFonts w:ascii="Calibri" w:hAnsi="Calibri"/>
                <w:sz w:val="20"/>
                <w:szCs w:val="20"/>
              </w:rPr>
              <w:t>3,542,466.78</w:t>
            </w:r>
          </w:p>
        </w:tc>
        <w:tc>
          <w:tcPr>
            <w:tcW w:w="3524" w:type="dxa"/>
            <w:vAlign w:val="center"/>
          </w:tcPr>
          <w:p w14:paraId="19CFFDB7">
            <w:pPr>
              <w:jc w:val="right"/>
              <w:rPr>
                <w:rFonts w:ascii="Calibri" w:hAnsi="Calibri" w:cs="Arial"/>
                <w:sz w:val="20"/>
                <w:szCs w:val="20"/>
              </w:rPr>
            </w:pPr>
            <w:r>
              <w:rPr>
                <w:rFonts w:ascii="Calibri" w:hAnsi="Calibri"/>
                <w:sz w:val="20"/>
                <w:szCs w:val="20"/>
              </w:rPr>
              <w:t>1,318,335.21</w:t>
            </w:r>
          </w:p>
        </w:tc>
      </w:tr>
    </w:tbl>
    <w:p w14:paraId="6C1C657A"/>
    <w:p w14:paraId="0D96E704">
      <w:pPr>
        <w:rPr>
          <w:rFonts w:cs="Arial"/>
        </w:rPr>
      </w:pPr>
    </w:p>
    <w:p w14:paraId="653F8D3A">
      <w:pPr>
        <w:pStyle w:val="4"/>
        <w:numPr>
          <w:ilvl w:val="0"/>
          <w:numId w:val="105"/>
        </w:numPr>
        <w:rPr>
          <w:rFonts w:ascii="宋体" w:hAnsi="宋体" w:cs="Arial"/>
          <w:szCs w:val="21"/>
        </w:rPr>
      </w:pPr>
      <w:r>
        <w:rPr>
          <w:rFonts w:hint="eastAsia" w:ascii="宋体" w:hAnsi="宋体" w:cs="Arial"/>
          <w:szCs w:val="21"/>
        </w:rPr>
        <w:t>反向购买</w:t>
      </w:r>
    </w:p>
    <w:sdt>
      <w:sdtPr>
        <w:alias w:val="是否适用：反向购买[双击切换]"/>
        <w:tag w:val="_GBC_717fa638fefe45c09c1f2627ba167ee4"/>
        <w:id w:val="-175194281"/>
        <w:placeholder>
          <w:docPart w:val="GBC22222222222222222222222222222"/>
        </w:placeholder>
      </w:sdtPr>
      <w:sdtContent>
        <w:p w14:paraId="6570E0EE">
          <w:pPr>
            <w:pStyle w:val="48"/>
            <w:rPr>
              <w:rFonts w:cs="Arial"/>
              <w:lang w:val="en-GB"/>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3DD8D2">
      <w:pPr>
        <w:rPr>
          <w:rFonts w:cs="Arial"/>
          <w:lang w:val="en-GB"/>
        </w:rPr>
      </w:pPr>
    </w:p>
    <w:p w14:paraId="62540086">
      <w:pPr>
        <w:rPr>
          <w:rFonts w:cs="Arial"/>
        </w:rPr>
      </w:pPr>
    </w:p>
    <w:p w14:paraId="39EBBBA6">
      <w:pPr>
        <w:rPr>
          <w:rFonts w:cs="Arial"/>
        </w:rPr>
        <w:sectPr>
          <w:pgSz w:w="11906" w:h="16838"/>
          <w:pgMar w:top="1440" w:right="1797" w:bottom="1525" w:left="1276" w:header="856" w:footer="992" w:gutter="0"/>
          <w:cols w:space="425" w:num="1"/>
          <w:docGrid w:linePitch="312" w:charSpace="0"/>
        </w:sectPr>
      </w:pPr>
    </w:p>
    <w:p w14:paraId="3171B7E5">
      <w:pPr>
        <w:pStyle w:val="4"/>
        <w:numPr>
          <w:ilvl w:val="0"/>
          <w:numId w:val="105"/>
        </w:numPr>
        <w:rPr>
          <w:rFonts w:ascii="宋体" w:hAnsi="宋体" w:cs="Arial"/>
          <w:szCs w:val="21"/>
        </w:rPr>
      </w:pPr>
      <w:r>
        <w:rPr>
          <w:rFonts w:hint="eastAsia" w:ascii="宋体" w:hAnsi="宋体" w:cs="Arial"/>
          <w:szCs w:val="21"/>
        </w:rPr>
        <w:t>处置子公司</w:t>
      </w:r>
    </w:p>
    <w:p w14:paraId="1A5FFCB4">
      <w:pPr>
        <w:pStyle w:val="48"/>
      </w:pPr>
      <w:r>
        <w:rPr>
          <w:rFonts w:hint="eastAsia"/>
        </w:rPr>
        <w:t>本期是否存在</w:t>
      </w:r>
      <w:r>
        <w:t>丧失</w:t>
      </w:r>
      <w:r>
        <w:rPr>
          <w:rFonts w:hint="eastAsia"/>
        </w:rPr>
        <w:t>子公司</w:t>
      </w:r>
      <w:r>
        <w:t>控制权</w:t>
      </w:r>
      <w:r>
        <w:rPr>
          <w:rFonts w:hint="eastAsia"/>
        </w:rPr>
        <w:t>的交易或事项</w:t>
      </w:r>
    </w:p>
    <w:sdt>
      <w:sdtPr>
        <w:rPr>
          <w:rFonts w:hint="eastAsia" w:cs="Arial"/>
        </w:rPr>
        <w:alias w:val="是否存在单次交易处置对子公司投资即丧失控制权的情形[双击切换]"/>
        <w:tag w:val="_GBC_34b271ee01844be4a0580269d95adcf3"/>
        <w:id w:val="-570736885"/>
        <w:placeholder>
          <w:docPart w:val="GBC22222222222222222222222222222"/>
        </w:placeholder>
      </w:sdtPr>
      <w:sdtEndPr>
        <w:rPr>
          <w:rFonts w:hint="eastAsia" w:cs="Arial"/>
        </w:rPr>
      </w:sdtEndPr>
      <w:sdtContent>
        <w:p w14:paraId="55D77DBE">
          <w:pPr>
            <w:rPr>
              <w:rFonts w:cs="Arial"/>
            </w:rPr>
          </w:pPr>
          <w:r>
            <w:rPr>
              <w:rFonts w:ascii="宋体" w:hAnsi="宋体" w:cs="Arial"/>
            </w:rPr>
            <w:fldChar w:fldCharType="begin"/>
          </w:r>
          <w:r>
            <w:rPr>
              <w:rFonts w:ascii="宋体" w:hAnsi="宋体" w:cs="Arial"/>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225C4CEA"/>
    <w:p w14:paraId="24291DB3">
      <w:pPr>
        <w:rPr>
          <w:rFonts w:cs="Arial"/>
          <w:color w:val="000000"/>
        </w:rPr>
      </w:pPr>
      <w:r>
        <w:rPr>
          <w:rFonts w:hint="eastAsia" w:cs="Arial"/>
          <w:color w:val="000000"/>
        </w:rPr>
        <w:t>其他说明：</w:t>
      </w:r>
    </w:p>
    <w:sdt>
      <w:sdtPr>
        <w:rPr>
          <w:rFonts w:cs="Arial"/>
          <w:color w:val="000000"/>
        </w:rPr>
        <w:alias w:val="是否适用：单次交易处置对子公司投资即丧失控制权的情形的说明[双击切换]"/>
        <w:tag w:val="_GBC_e9745370c40b4780b36f3f18da05201e"/>
        <w:id w:val="-914931037"/>
        <w:placeholder>
          <w:docPart w:val="GBC22222222222222222222222222222"/>
        </w:placeholder>
      </w:sdtPr>
      <w:sdtEndPr>
        <w:rPr>
          <w:rFonts w:cs="Arial"/>
          <w:color w:val="000000"/>
        </w:rPr>
      </w:sdtEndPr>
      <w:sdtContent>
        <w:p w14:paraId="580A8C26">
          <w:pPr>
            <w:rPr>
              <w:color w:val="000000"/>
            </w:rPr>
          </w:pPr>
          <w:r>
            <w:rPr>
              <w:rFonts w:ascii="宋体" w:hAnsi="宋体" w:cs="Arial"/>
              <w:color w:val="000000"/>
            </w:rPr>
            <w:fldChar w:fldCharType="begin"/>
          </w:r>
          <w:r>
            <w:rPr>
              <w:rFonts w:ascii="宋体" w:hAnsi="宋体" w:cs="Arial"/>
              <w:color w:val="000000"/>
            </w:rPr>
            <w:instrText xml:space="preserve">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color w:val="000000"/>
            </w:rPr>
            <w:instrText xml:space="preserve"> MACROBUTTON  SnrToggleCheckbox √不适用 </w:instrText>
          </w:r>
          <w:r>
            <w:rPr>
              <w:rFonts w:ascii="宋体" w:hAnsi="宋体" w:cs="Arial"/>
              <w:color w:val="000000"/>
            </w:rPr>
            <w:fldChar w:fldCharType="end"/>
          </w:r>
        </w:p>
      </w:sdtContent>
    </w:sdt>
    <w:p w14:paraId="15101B22">
      <w:pPr>
        <w:pStyle w:val="11"/>
        <w:rPr>
          <w:color w:val="000000"/>
        </w:rPr>
      </w:pPr>
    </w:p>
    <w:p w14:paraId="67CD6A50">
      <w:pPr>
        <w:rPr>
          <w:rFonts w:cs="Arial"/>
        </w:rPr>
      </w:pPr>
      <w:bookmarkStart w:id="366" w:name="_Hlk153549147"/>
      <w:r>
        <w:rPr>
          <w:rFonts w:hint="eastAsia" w:cs="Arial"/>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4b70a49fc9804e569104ce532e1e0bd8"/>
        <w:id w:val="-480318937"/>
        <w:placeholder>
          <w:docPart w:val="GBC22222222222222222222222222222"/>
        </w:placeholder>
      </w:sdtPr>
      <w:sdtEndPr>
        <w:rPr>
          <w:rFonts w:hint="eastAsia"/>
        </w:rPr>
      </w:sdtEndPr>
      <w:sdtContent>
        <w:p w14:paraId="6F3C6ED6">
          <w:pPr>
            <w:pStyle w:val="11"/>
          </w:pPr>
          <w:r>
            <w:rPr>
              <w:rFonts w:ascii="宋体" w:hAnsi="宋体"/>
              <w:color w:val="000000"/>
            </w:rPr>
            <w:fldChar w:fldCharType="begin"/>
          </w:r>
          <w:r>
            <w:rPr>
              <w:rFonts w:ascii="宋体" w:hAnsi="宋体"/>
              <w:color w:val="000000"/>
            </w:rPr>
            <w:instrText xml:space="preserve">MACROBUTTON  SnrToggleCheckbox □适用 </w:instrText>
          </w:r>
          <w:r>
            <w:rPr>
              <w:rFonts w:ascii="宋体" w:hAnsi="宋体"/>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p w14:paraId="5895DD3C"/>
    <w:bookmarkEnd w:id="366"/>
    <w:p w14:paraId="44E16A37">
      <w:pPr>
        <w:rPr>
          <w:rFonts w:cs="Arial"/>
          <w:color w:val="000000"/>
        </w:rPr>
      </w:pPr>
      <w:r>
        <w:rPr>
          <w:rFonts w:hint="eastAsia" w:cs="Arial"/>
          <w:color w:val="000000"/>
        </w:rPr>
        <w:t>其他说明：</w:t>
      </w:r>
    </w:p>
    <w:sdt>
      <w:sdtPr>
        <w:rPr>
          <w:rFonts w:cs="Arial"/>
          <w:color w:val="000000"/>
        </w:rPr>
        <w:alias w:val="是否适用：是否存在通过多次交易分步处置对子公司投资且在本期丧失控制权的情形的说明[双击切换]"/>
        <w:tag w:val="_GBC_c934ae55b23744bba8048538d6771d0e"/>
        <w:id w:val="-756365065"/>
        <w:placeholder>
          <w:docPart w:val="GBC22222222222222222222222222222"/>
        </w:placeholder>
      </w:sdtPr>
      <w:sdtEndPr>
        <w:rPr>
          <w:rFonts w:cs="Arial"/>
          <w:color w:val="000000"/>
        </w:rPr>
      </w:sdtEndPr>
      <w:sdtContent>
        <w:p w14:paraId="523C1254">
          <w:pPr>
            <w:rPr>
              <w:rFonts w:ascii="Calibri" w:hAnsi="Calibri" w:cs="Arial"/>
              <w:color w:val="000000"/>
            </w:rPr>
          </w:pPr>
          <w:r>
            <w:rPr>
              <w:rFonts w:ascii="宋体" w:hAnsi="宋体" w:cs="Arial"/>
              <w:color w:val="000000"/>
            </w:rPr>
            <w:fldChar w:fldCharType="begin"/>
          </w:r>
          <w:r>
            <w:rPr>
              <w:rFonts w:ascii="宋体" w:hAnsi="宋体" w:cs="Arial"/>
              <w:color w:val="000000"/>
            </w:rPr>
            <w:instrText xml:space="preserve"> 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color w:val="000000"/>
            </w:rPr>
            <w:instrText xml:space="preserve"> MACROBUTTON  SnrToggleCheckbox √不适用 </w:instrText>
          </w:r>
          <w:r>
            <w:rPr>
              <w:rFonts w:ascii="宋体" w:hAnsi="宋体" w:cs="Arial"/>
              <w:color w:val="000000"/>
            </w:rPr>
            <w:fldChar w:fldCharType="end"/>
          </w:r>
        </w:p>
      </w:sdtContent>
    </w:sdt>
    <w:p w14:paraId="65751D5B">
      <w:pPr>
        <w:rPr>
          <w:rFonts w:ascii="Calibri" w:hAnsi="Calibri" w:cs="Arial"/>
          <w:color w:val="000000"/>
        </w:rPr>
      </w:pPr>
    </w:p>
    <w:p w14:paraId="14003823">
      <w:pPr>
        <w:pStyle w:val="4"/>
        <w:numPr>
          <w:ilvl w:val="0"/>
          <w:numId w:val="105"/>
        </w:numPr>
        <w:rPr>
          <w:rFonts w:ascii="宋体" w:hAnsi="宋体" w:cs="Arial"/>
          <w:szCs w:val="21"/>
        </w:rPr>
      </w:pPr>
      <w:r>
        <w:rPr>
          <w:rFonts w:hint="eastAsia" w:ascii="宋体" w:hAnsi="宋体" w:cs="Arial"/>
          <w:szCs w:val="21"/>
        </w:rPr>
        <w:t>其他原因的合并范围变动</w:t>
      </w:r>
    </w:p>
    <w:p w14:paraId="6641E630">
      <w:pPr>
        <w:pStyle w:val="48"/>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87380934"/>
        <w:placeholder>
          <w:docPart w:val="GBC22222222222222222222222222222"/>
        </w:placeholder>
      </w:sdtPr>
      <w:sdtContent>
        <w:p w14:paraId="3855CE2E">
          <w:pPr>
            <w:pStyle w:val="48"/>
            <w:rPr>
              <w:rFonts w:cs="Arial" w:asciiTheme="minorHAnsi" w:hAnsiTheme="minorHAnsi" w:eastAsiaTheme="minorEastAsia"/>
              <w:color w:val="000000"/>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9326927">
      <w:pPr>
        <w:rPr>
          <w:rFonts w:cs="Arial" w:asciiTheme="minorHAnsi" w:hAnsiTheme="minorHAnsi" w:eastAsiaTheme="minorEastAsia"/>
          <w:color w:val="000000"/>
        </w:rPr>
      </w:pPr>
    </w:p>
    <w:p w14:paraId="6FD54B51">
      <w:pPr>
        <w:pStyle w:val="4"/>
        <w:numPr>
          <w:ilvl w:val="0"/>
          <w:numId w:val="105"/>
        </w:numPr>
        <w:rPr>
          <w:rFonts w:ascii="宋体" w:hAnsi="宋体" w:cs="Arial"/>
          <w:szCs w:val="21"/>
        </w:rPr>
      </w:pPr>
      <w:r>
        <w:rPr>
          <w:rFonts w:hint="eastAsia" w:ascii="宋体" w:hAnsi="宋体" w:cs="Arial"/>
          <w:szCs w:val="21"/>
        </w:rPr>
        <w:t>其他</w:t>
      </w:r>
    </w:p>
    <w:sdt>
      <w:sdtPr>
        <w:rPr>
          <w:rFonts w:hint="eastAsia" w:cs="Arial"/>
          <w:color w:val="000000"/>
        </w:rPr>
        <w:alias w:val="是否适用：合并范围的变更-其他说明[双击切换]"/>
        <w:tag w:val="_GBC_f93907dc64cd43f0a9e4c85b200aec0c"/>
        <w:id w:val="588506634"/>
        <w:placeholder>
          <w:docPart w:val="GBC22222222222222222222222222222"/>
        </w:placeholder>
      </w:sdtPr>
      <w:sdtEndPr>
        <w:rPr>
          <w:rFonts w:hint="eastAsia" w:cs="Arial"/>
          <w:color w:val="000000"/>
        </w:rPr>
      </w:sdtEndPr>
      <w:sdtContent>
        <w:p w14:paraId="311BE9A5">
          <w:pPr>
            <w:rPr>
              <w:rFonts w:cs="Arial" w:asciiTheme="minorHAnsi" w:hAnsiTheme="minorHAnsi" w:eastAsiaTheme="minorEastAsia"/>
              <w:color w:val="000000"/>
            </w:rPr>
          </w:pPr>
          <w:r>
            <w:rPr>
              <w:rFonts w:ascii="宋体" w:hAnsi="宋体" w:cs="Arial"/>
              <w:color w:val="000000"/>
            </w:rPr>
            <w:fldChar w:fldCharType="begin"/>
          </w:r>
          <w:r>
            <w:rPr>
              <w:rFonts w:ascii="宋体" w:hAnsi="宋体" w:cs="Arial"/>
              <w:color w:val="000000"/>
            </w:rPr>
            <w:instrText xml:space="preserve"> 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color w:val="000000"/>
            </w:rPr>
            <w:instrText xml:space="preserve"> MACROBUTTON  SnrToggleCheckbox √不适用 </w:instrText>
          </w:r>
          <w:r>
            <w:rPr>
              <w:rFonts w:ascii="宋体" w:hAnsi="宋体" w:cs="Arial"/>
              <w:color w:val="000000"/>
            </w:rPr>
            <w:fldChar w:fldCharType="end"/>
          </w:r>
        </w:p>
      </w:sdtContent>
    </w:sdt>
    <w:p w14:paraId="6AA63001">
      <w:pPr>
        <w:rPr>
          <w:rFonts w:cs="Arial"/>
          <w:color w:val="000000"/>
        </w:rPr>
      </w:pPr>
    </w:p>
    <w:p w14:paraId="3E3B8265">
      <w:pPr>
        <w:rPr>
          <w:rFonts w:cs="Arial"/>
          <w:color w:val="000000"/>
        </w:rPr>
        <w:sectPr>
          <w:pgSz w:w="11906" w:h="16838"/>
          <w:pgMar w:top="1525" w:right="1276" w:bottom="1440" w:left="1797" w:header="856" w:footer="992" w:gutter="0"/>
          <w:cols w:space="425" w:num="1"/>
          <w:docGrid w:linePitch="312" w:charSpace="0"/>
        </w:sectPr>
      </w:pPr>
    </w:p>
    <w:p w14:paraId="34945E28">
      <w:pPr>
        <w:pStyle w:val="3"/>
        <w:numPr>
          <w:ilvl w:val="0"/>
          <w:numId w:val="51"/>
        </w:numPr>
        <w:rPr>
          <w:rFonts w:ascii="宋体" w:hAnsi="宋体"/>
        </w:rPr>
      </w:pPr>
      <w:r>
        <w:rPr>
          <w:rFonts w:hint="eastAsia"/>
        </w:rPr>
        <w:t>在其他主体中的权益</w:t>
      </w:r>
    </w:p>
    <w:p w14:paraId="6473E002">
      <w:pPr>
        <w:pStyle w:val="4"/>
        <w:numPr>
          <w:ilvl w:val="2"/>
          <w:numId w:val="107"/>
        </w:numPr>
      </w:pPr>
      <w:r>
        <w:rPr>
          <w:rFonts w:hint="eastAsia"/>
        </w:rPr>
        <w:t>在子公司中的权益</w:t>
      </w:r>
    </w:p>
    <w:p w14:paraId="10050548">
      <w:pPr>
        <w:pStyle w:val="5"/>
        <w:numPr>
          <w:ilvl w:val="3"/>
          <w:numId w:val="108"/>
        </w:numPr>
        <w:ind w:left="426" w:hanging="426" w:hangingChars="202"/>
      </w:pPr>
      <w:r>
        <w:rPr>
          <w:rFonts w:hint="eastAsia"/>
        </w:rPr>
        <w:t>企业集团的构成</w:t>
      </w:r>
    </w:p>
    <w:sdt>
      <w:sdtPr>
        <w:alias w:val="是否适用：企业集团的构成[双击切换]"/>
        <w:tag w:val="_GBC_f4dcd24cd0a6465f817fe278addb6568"/>
        <w:id w:val="-2094921464"/>
        <w:placeholder>
          <w:docPart w:val="GBC22222222222222222222222222222"/>
        </w:placeholder>
      </w:sdtPr>
      <w:sdtContent>
        <w:p w14:paraId="73ACECCB">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D6EB58">
      <w:pPr>
        <w:jc w:val="right"/>
      </w:pPr>
      <w:r>
        <w:rPr>
          <w:rFonts w:hint="eastAsia"/>
        </w:rPr>
        <w:t>单位：</w:t>
      </w:r>
      <w:sdt>
        <w:sdtPr>
          <w:rPr>
            <w:rFonts w:hint="eastAsia"/>
          </w:rPr>
          <w:alias w:val="单位：企业集团的构成"/>
          <w:tag w:val="_GBC_69130484488a4b33b14f19ef0f1abce9"/>
          <w:id w:val="-126006547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 xml:space="preserve">  币种：</w:t>
      </w:r>
      <w:sdt>
        <w:sdtPr>
          <w:rPr>
            <w:rFonts w:hint="eastAsia"/>
          </w:rPr>
          <w:alias w:val="币种：企业集团的构成"/>
          <w:tag w:val="_GBC_3be075e5c9a5407c89e1aab348039bf5"/>
          <w:id w:val="12635679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10184" w:type="dxa"/>
        <w:tblInd w:w="-1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1134"/>
        <w:gridCol w:w="1418"/>
        <w:gridCol w:w="2693"/>
        <w:gridCol w:w="851"/>
        <w:gridCol w:w="581"/>
        <w:gridCol w:w="1239"/>
      </w:tblGrid>
      <w:tr w14:paraId="5604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sdt>
          <w:sdtPr>
            <w:tag w:val="_PLD_d102f36c2e2645ad9579603ca28588c8"/>
            <w:id w:val="-1978683063"/>
          </w:sdtPr>
          <w:sdtContent>
            <w:tc>
              <w:tcPr>
                <w:tcW w:w="1134" w:type="dxa"/>
                <w:vMerge w:val="restart"/>
                <w:vAlign w:val="center"/>
              </w:tcPr>
              <w:p w14:paraId="086C7510">
                <w:pPr>
                  <w:jc w:val="center"/>
                  <w:rPr>
                    <w:rFonts w:ascii="Calibri" w:hAnsi="Calibri" w:cs="Arial"/>
                    <w:sz w:val="20"/>
                    <w:szCs w:val="20"/>
                    <w:lang w:val="en-GB"/>
                  </w:rPr>
                </w:pPr>
                <w:r>
                  <w:rPr>
                    <w:rFonts w:hint="eastAsia" w:ascii="Calibri" w:hAnsi="Calibri" w:cs="Arial"/>
                    <w:sz w:val="20"/>
                    <w:szCs w:val="20"/>
                    <w:lang w:val="en-GB"/>
                  </w:rPr>
                  <w:t>子公司</w:t>
                </w:r>
              </w:p>
              <w:p w14:paraId="2F4A9D58">
                <w:pPr>
                  <w:jc w:val="center"/>
                  <w:rPr>
                    <w:rFonts w:ascii="Calibri" w:hAnsi="Calibri" w:cs="Arial"/>
                    <w:sz w:val="20"/>
                    <w:szCs w:val="20"/>
                  </w:rPr>
                </w:pPr>
                <w:r>
                  <w:rPr>
                    <w:rFonts w:hint="eastAsia" w:ascii="Calibri" w:hAnsi="Calibri" w:cs="Arial"/>
                    <w:sz w:val="20"/>
                    <w:szCs w:val="20"/>
                    <w:lang w:val="en-GB"/>
                  </w:rPr>
                  <w:t>名称</w:t>
                </w:r>
              </w:p>
            </w:tc>
          </w:sdtContent>
        </w:sdt>
        <w:sdt>
          <w:sdtPr>
            <w:tag w:val="_PLD_f2f68356b5494ce8941038ba206c0e79"/>
            <w:id w:val="-1532650120"/>
          </w:sdtPr>
          <w:sdtContent>
            <w:tc>
              <w:tcPr>
                <w:tcW w:w="1134" w:type="dxa"/>
                <w:vMerge w:val="restart"/>
                <w:vAlign w:val="center"/>
              </w:tcPr>
              <w:p w14:paraId="6DCD9BAC">
                <w:pPr>
                  <w:jc w:val="center"/>
                  <w:rPr>
                    <w:rFonts w:ascii="Calibri" w:hAnsi="Calibri" w:cs="Arial"/>
                    <w:sz w:val="20"/>
                    <w:szCs w:val="20"/>
                  </w:rPr>
                </w:pPr>
                <w:r>
                  <w:rPr>
                    <w:rFonts w:hint="eastAsia" w:ascii="Calibri" w:hAnsi="Calibri" w:cs="Arial"/>
                    <w:sz w:val="20"/>
                    <w:szCs w:val="20"/>
                    <w:lang w:val="en-GB"/>
                  </w:rPr>
                  <w:t>主要经营地</w:t>
                </w:r>
              </w:p>
            </w:tc>
          </w:sdtContent>
        </w:sdt>
        <w:tc>
          <w:tcPr>
            <w:tcW w:w="1134" w:type="dxa"/>
            <w:vMerge w:val="restart"/>
            <w:vAlign w:val="center"/>
          </w:tcPr>
          <w:sdt>
            <w:sdtPr>
              <w:tag w:val="_PLD_e8bcd6ecc6b44104942668e86b86bbbe"/>
              <w:id w:val="2008322043"/>
            </w:sdtPr>
            <w:sdtContent>
              <w:p w14:paraId="02956DBB">
                <w:pPr>
                  <w:jc w:val="center"/>
                  <w:rPr>
                    <w:rFonts w:ascii="Calibri" w:hAnsi="Calibri"/>
                    <w:sz w:val="20"/>
                    <w:szCs w:val="20"/>
                  </w:rPr>
                </w:pPr>
                <w:r>
                  <w:rPr>
                    <w:rFonts w:hint="eastAsia" w:ascii="Calibri" w:hAnsi="Calibri"/>
                    <w:sz w:val="20"/>
                    <w:szCs w:val="20"/>
                  </w:rPr>
                  <w:t>注册资本</w:t>
                </w:r>
              </w:p>
            </w:sdtContent>
          </w:sdt>
        </w:tc>
        <w:sdt>
          <w:sdtPr>
            <w:tag w:val="_PLD_e9cbfd017bcc45b9be4599d5ee950f92"/>
            <w:id w:val="-199787045"/>
          </w:sdtPr>
          <w:sdtContent>
            <w:tc>
              <w:tcPr>
                <w:tcW w:w="1418" w:type="dxa"/>
                <w:vMerge w:val="restart"/>
                <w:vAlign w:val="center"/>
              </w:tcPr>
              <w:p w14:paraId="78DAB7E8">
                <w:pPr>
                  <w:jc w:val="center"/>
                  <w:rPr>
                    <w:rFonts w:ascii="Calibri" w:hAnsi="Calibri" w:cs="Arial"/>
                    <w:sz w:val="20"/>
                    <w:szCs w:val="20"/>
                  </w:rPr>
                </w:pPr>
                <w:r>
                  <w:rPr>
                    <w:rFonts w:hint="eastAsia" w:ascii="Calibri" w:hAnsi="Calibri" w:cs="Arial"/>
                    <w:sz w:val="20"/>
                    <w:szCs w:val="20"/>
                    <w:lang w:val="en-GB"/>
                  </w:rPr>
                  <w:t>注册地</w:t>
                </w:r>
              </w:p>
            </w:tc>
          </w:sdtContent>
        </w:sdt>
        <w:sdt>
          <w:sdtPr>
            <w:tag w:val="_PLD_da5558f3e8f24c30b756f825b0ebca03"/>
            <w:id w:val="-1933659525"/>
          </w:sdtPr>
          <w:sdtContent>
            <w:tc>
              <w:tcPr>
                <w:tcW w:w="2693" w:type="dxa"/>
                <w:vMerge w:val="restart"/>
                <w:vAlign w:val="center"/>
              </w:tcPr>
              <w:p w14:paraId="258A65B6">
                <w:pPr>
                  <w:jc w:val="center"/>
                  <w:rPr>
                    <w:rFonts w:ascii="Calibri" w:hAnsi="Calibri" w:cs="Arial"/>
                    <w:sz w:val="20"/>
                    <w:szCs w:val="20"/>
                  </w:rPr>
                </w:pPr>
                <w:r>
                  <w:rPr>
                    <w:rFonts w:hint="eastAsia" w:ascii="Calibri" w:hAnsi="Calibri" w:cs="Arial"/>
                    <w:sz w:val="20"/>
                    <w:szCs w:val="20"/>
                    <w:lang w:val="en-GB"/>
                  </w:rPr>
                  <w:t>业务性质</w:t>
                </w:r>
              </w:p>
            </w:tc>
          </w:sdtContent>
        </w:sdt>
        <w:sdt>
          <w:sdtPr>
            <w:tag w:val="_PLD_817e427c8eff4fd1875d12860133e99e"/>
            <w:id w:val="2142145997"/>
          </w:sdtPr>
          <w:sdtContent>
            <w:tc>
              <w:tcPr>
                <w:tcW w:w="1432" w:type="dxa"/>
                <w:gridSpan w:val="2"/>
                <w:vAlign w:val="center"/>
              </w:tcPr>
              <w:p w14:paraId="401087BE">
                <w:pPr>
                  <w:jc w:val="center"/>
                  <w:rPr>
                    <w:rFonts w:ascii="Calibri" w:hAnsi="Calibri" w:cs="Arial"/>
                    <w:sz w:val="20"/>
                    <w:szCs w:val="20"/>
                  </w:rPr>
                </w:pPr>
                <w:r>
                  <w:rPr>
                    <w:rFonts w:hint="eastAsia" w:ascii="Calibri" w:hAnsi="Calibri" w:cs="Arial"/>
                    <w:sz w:val="20"/>
                    <w:szCs w:val="20"/>
                    <w:lang w:val="en-GB"/>
                  </w:rPr>
                  <w:t>持股比例</w:t>
                </w:r>
                <w:r>
                  <w:rPr>
                    <w:rFonts w:ascii="Calibri" w:hAnsi="Calibri" w:cs="Arial"/>
                    <w:sz w:val="20"/>
                    <w:szCs w:val="20"/>
                  </w:rPr>
                  <w:t>(%)</w:t>
                </w:r>
              </w:p>
            </w:tc>
          </w:sdtContent>
        </w:sdt>
        <w:sdt>
          <w:sdtPr>
            <w:tag w:val="_PLD_0bb5e453efe4450ba0d853b98eb2c2b0"/>
            <w:id w:val="1266112971"/>
          </w:sdtPr>
          <w:sdtContent>
            <w:tc>
              <w:tcPr>
                <w:tcW w:w="1239" w:type="dxa"/>
                <w:vMerge w:val="restart"/>
                <w:vAlign w:val="center"/>
              </w:tcPr>
              <w:p w14:paraId="76AC2FEC">
                <w:pPr>
                  <w:jc w:val="center"/>
                  <w:rPr>
                    <w:rFonts w:ascii="Calibri" w:hAnsi="Calibri" w:cs="Arial"/>
                    <w:sz w:val="20"/>
                    <w:szCs w:val="20"/>
                    <w:lang w:val="en-GB"/>
                  </w:rPr>
                </w:pPr>
                <w:r>
                  <w:rPr>
                    <w:rFonts w:hint="eastAsia" w:ascii="Calibri" w:hAnsi="Calibri" w:cs="Arial"/>
                    <w:sz w:val="20"/>
                    <w:szCs w:val="20"/>
                    <w:lang w:val="en-GB"/>
                  </w:rPr>
                  <w:t>取得</w:t>
                </w:r>
              </w:p>
              <w:p w14:paraId="5C572715">
                <w:pPr>
                  <w:jc w:val="center"/>
                  <w:rPr>
                    <w:rFonts w:ascii="Calibri" w:hAnsi="Calibri" w:cs="Arial"/>
                    <w:sz w:val="20"/>
                    <w:szCs w:val="20"/>
                    <w:lang w:val="en-GB"/>
                  </w:rPr>
                </w:pPr>
                <w:r>
                  <w:rPr>
                    <w:rFonts w:hint="eastAsia" w:ascii="Calibri" w:hAnsi="Calibri" w:cs="Arial"/>
                    <w:sz w:val="20"/>
                    <w:szCs w:val="20"/>
                    <w:lang w:val="en-GB"/>
                  </w:rPr>
                  <w:t>方式</w:t>
                </w:r>
              </w:p>
            </w:tc>
          </w:sdtContent>
        </w:sdt>
      </w:tr>
      <w:tr w14:paraId="322B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134" w:type="dxa"/>
            <w:vMerge w:val="continue"/>
            <w:vAlign w:val="center"/>
          </w:tcPr>
          <w:p w14:paraId="2B1518EB">
            <w:pPr>
              <w:rPr>
                <w:rFonts w:ascii="Calibri" w:hAnsi="Calibri" w:cs="Arial"/>
                <w:sz w:val="20"/>
                <w:szCs w:val="20"/>
              </w:rPr>
            </w:pPr>
          </w:p>
        </w:tc>
        <w:tc>
          <w:tcPr>
            <w:tcW w:w="1134" w:type="dxa"/>
            <w:vMerge w:val="continue"/>
            <w:vAlign w:val="center"/>
          </w:tcPr>
          <w:p w14:paraId="2049F002">
            <w:pPr>
              <w:rPr>
                <w:rFonts w:ascii="Calibri" w:hAnsi="Calibri" w:cs="Arial"/>
                <w:sz w:val="20"/>
                <w:szCs w:val="20"/>
              </w:rPr>
            </w:pPr>
          </w:p>
        </w:tc>
        <w:tc>
          <w:tcPr>
            <w:tcW w:w="1134" w:type="dxa"/>
            <w:vMerge w:val="continue"/>
            <w:vAlign w:val="center"/>
          </w:tcPr>
          <w:p w14:paraId="2B90C669">
            <w:pPr>
              <w:rPr>
                <w:rFonts w:ascii="Calibri" w:hAnsi="Calibri" w:cs="Arial"/>
                <w:sz w:val="20"/>
                <w:szCs w:val="20"/>
              </w:rPr>
            </w:pPr>
          </w:p>
        </w:tc>
        <w:tc>
          <w:tcPr>
            <w:tcW w:w="1418" w:type="dxa"/>
            <w:vMerge w:val="continue"/>
            <w:vAlign w:val="center"/>
          </w:tcPr>
          <w:p w14:paraId="14607A0F">
            <w:pPr>
              <w:rPr>
                <w:rFonts w:ascii="Calibri" w:hAnsi="Calibri" w:cs="Arial"/>
                <w:sz w:val="20"/>
                <w:szCs w:val="20"/>
              </w:rPr>
            </w:pPr>
          </w:p>
        </w:tc>
        <w:tc>
          <w:tcPr>
            <w:tcW w:w="2693" w:type="dxa"/>
            <w:vMerge w:val="continue"/>
            <w:vAlign w:val="center"/>
          </w:tcPr>
          <w:p w14:paraId="0E300311">
            <w:pPr>
              <w:rPr>
                <w:rFonts w:ascii="Calibri" w:hAnsi="Calibri" w:cs="Arial"/>
                <w:sz w:val="20"/>
                <w:szCs w:val="20"/>
              </w:rPr>
            </w:pPr>
          </w:p>
        </w:tc>
        <w:sdt>
          <w:sdtPr>
            <w:tag w:val="_PLD_3f641d83162f4ae3a8840b93258d7ced"/>
            <w:id w:val="544799849"/>
          </w:sdtPr>
          <w:sdtContent>
            <w:tc>
              <w:tcPr>
                <w:tcW w:w="851" w:type="dxa"/>
                <w:vAlign w:val="center"/>
              </w:tcPr>
              <w:p w14:paraId="174830F0">
                <w:pPr>
                  <w:jc w:val="center"/>
                  <w:rPr>
                    <w:rFonts w:ascii="Calibri" w:hAnsi="Calibri" w:cs="Arial"/>
                    <w:sz w:val="20"/>
                    <w:szCs w:val="20"/>
                  </w:rPr>
                </w:pPr>
                <w:r>
                  <w:rPr>
                    <w:rFonts w:hint="eastAsia" w:ascii="Calibri" w:hAnsi="Calibri" w:cs="Arial"/>
                    <w:sz w:val="20"/>
                    <w:szCs w:val="20"/>
                    <w:lang w:val="en-GB"/>
                  </w:rPr>
                  <w:t>直接</w:t>
                </w:r>
              </w:p>
            </w:tc>
          </w:sdtContent>
        </w:sdt>
        <w:sdt>
          <w:sdtPr>
            <w:tag w:val="_PLD_ebc96648c2794ae08bfb57e63f0a34c5"/>
            <w:id w:val="-1324970741"/>
          </w:sdtPr>
          <w:sdtContent>
            <w:tc>
              <w:tcPr>
                <w:tcW w:w="581" w:type="dxa"/>
                <w:vAlign w:val="center"/>
              </w:tcPr>
              <w:p w14:paraId="4797C566">
                <w:pPr>
                  <w:jc w:val="center"/>
                  <w:rPr>
                    <w:rFonts w:ascii="Calibri" w:hAnsi="Calibri" w:cs="Arial"/>
                    <w:sz w:val="20"/>
                    <w:szCs w:val="20"/>
                  </w:rPr>
                </w:pPr>
                <w:r>
                  <w:rPr>
                    <w:rFonts w:hint="eastAsia" w:ascii="Calibri" w:hAnsi="Calibri" w:cs="Arial"/>
                    <w:sz w:val="20"/>
                    <w:szCs w:val="20"/>
                    <w:lang w:val="en-GB"/>
                  </w:rPr>
                  <w:t>间接</w:t>
                </w:r>
              </w:p>
            </w:tc>
          </w:sdtContent>
        </w:sdt>
        <w:tc>
          <w:tcPr>
            <w:tcW w:w="1239" w:type="dxa"/>
            <w:vMerge w:val="continue"/>
            <w:vAlign w:val="center"/>
          </w:tcPr>
          <w:p w14:paraId="70DEE395">
            <w:pPr>
              <w:rPr>
                <w:rFonts w:ascii="Calibri" w:hAnsi="Calibri" w:cs="Arial"/>
                <w:sz w:val="20"/>
                <w:szCs w:val="20"/>
              </w:rPr>
            </w:pPr>
          </w:p>
        </w:tc>
      </w:tr>
      <w:tr w14:paraId="2E9E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075E8181">
            <w:pPr>
              <w:pStyle w:val="48"/>
              <w:rPr>
                <w:sz w:val="20"/>
                <w:szCs w:val="20"/>
              </w:rPr>
            </w:pPr>
            <w:r>
              <w:rPr>
                <w:sz w:val="20"/>
                <w:szCs w:val="20"/>
              </w:rPr>
              <w:t>通化东宝环保建材股份有限公司</w:t>
            </w:r>
          </w:p>
        </w:tc>
        <w:tc>
          <w:tcPr>
            <w:tcW w:w="1134" w:type="dxa"/>
            <w:vAlign w:val="center"/>
          </w:tcPr>
          <w:p w14:paraId="55B1DDDC">
            <w:pPr>
              <w:pStyle w:val="48"/>
              <w:rPr>
                <w:sz w:val="20"/>
                <w:szCs w:val="20"/>
              </w:rPr>
            </w:pPr>
            <w:r>
              <w:rPr>
                <w:sz w:val="20"/>
                <w:szCs w:val="20"/>
              </w:rPr>
              <w:t>通化县快大茂镇黎明村</w:t>
            </w:r>
          </w:p>
        </w:tc>
        <w:tc>
          <w:tcPr>
            <w:tcW w:w="1134" w:type="dxa"/>
            <w:vAlign w:val="center"/>
          </w:tcPr>
          <w:p w14:paraId="25E3D44B">
            <w:pPr>
              <w:jc w:val="right"/>
              <w:rPr>
                <w:rFonts w:ascii="Calibri" w:hAnsi="Calibri"/>
                <w:sz w:val="20"/>
                <w:szCs w:val="20"/>
              </w:rPr>
            </w:pPr>
            <w:r>
              <w:rPr>
                <w:rFonts w:ascii="Calibri" w:hAnsi="Calibri"/>
                <w:sz w:val="20"/>
                <w:szCs w:val="20"/>
              </w:rPr>
              <w:t>10,000.00</w:t>
            </w:r>
          </w:p>
        </w:tc>
        <w:tc>
          <w:tcPr>
            <w:tcW w:w="1418" w:type="dxa"/>
            <w:vAlign w:val="center"/>
          </w:tcPr>
          <w:p w14:paraId="7286D23B">
            <w:pPr>
              <w:pStyle w:val="48"/>
              <w:rPr>
                <w:sz w:val="20"/>
                <w:szCs w:val="20"/>
              </w:rPr>
            </w:pPr>
            <w:r>
              <w:rPr>
                <w:sz w:val="20"/>
                <w:szCs w:val="20"/>
              </w:rPr>
              <w:t>通化县快大茂镇黎明村</w:t>
            </w:r>
          </w:p>
        </w:tc>
        <w:tc>
          <w:tcPr>
            <w:tcW w:w="2693" w:type="dxa"/>
            <w:vAlign w:val="center"/>
          </w:tcPr>
          <w:p w14:paraId="2EC1504B">
            <w:pPr>
              <w:pStyle w:val="48"/>
              <w:rPr>
                <w:sz w:val="20"/>
                <w:szCs w:val="20"/>
              </w:rPr>
            </w:pPr>
            <w:r>
              <w:rPr>
                <w:sz w:val="20"/>
                <w:szCs w:val="20"/>
              </w:rPr>
              <w:t>塑料建材及制品生产制造、销售服务；其他建材及制品生产制造、销售服务等</w:t>
            </w:r>
          </w:p>
        </w:tc>
        <w:tc>
          <w:tcPr>
            <w:tcW w:w="851" w:type="dxa"/>
            <w:vAlign w:val="center"/>
          </w:tcPr>
          <w:p w14:paraId="18C02CDB">
            <w:pPr>
              <w:jc w:val="right"/>
              <w:rPr>
                <w:rFonts w:ascii="Calibri" w:hAnsi="Calibri"/>
                <w:sz w:val="20"/>
                <w:szCs w:val="20"/>
              </w:rPr>
            </w:pPr>
            <w:r>
              <w:rPr>
                <w:rFonts w:ascii="Calibri" w:hAnsi="Calibri"/>
                <w:sz w:val="20"/>
                <w:szCs w:val="20"/>
              </w:rPr>
              <w:t>95.09</w:t>
            </w:r>
          </w:p>
        </w:tc>
        <w:tc>
          <w:tcPr>
            <w:tcW w:w="581" w:type="dxa"/>
            <w:vAlign w:val="center"/>
          </w:tcPr>
          <w:p w14:paraId="3A18F517">
            <w:pPr>
              <w:jc w:val="right"/>
              <w:rPr>
                <w:rFonts w:ascii="Calibri" w:hAnsi="Calibri"/>
                <w:sz w:val="20"/>
                <w:szCs w:val="20"/>
              </w:rPr>
            </w:pPr>
          </w:p>
        </w:tc>
        <w:tc>
          <w:tcPr>
            <w:tcW w:w="1239" w:type="dxa"/>
            <w:vAlign w:val="center"/>
          </w:tcPr>
          <w:p w14:paraId="30A8D0F6">
            <w:pPr>
              <w:pStyle w:val="48"/>
              <w:rPr>
                <w:sz w:val="20"/>
                <w:szCs w:val="20"/>
              </w:rPr>
            </w:pPr>
            <w:r>
              <w:rPr>
                <w:sz w:val="20"/>
                <w:szCs w:val="20"/>
              </w:rPr>
              <w:t>设立或投资取得的子公司</w:t>
            </w:r>
          </w:p>
        </w:tc>
      </w:tr>
      <w:tr w14:paraId="489A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6D31742B">
            <w:pPr>
              <w:pStyle w:val="48"/>
              <w:rPr>
                <w:sz w:val="20"/>
                <w:szCs w:val="20"/>
              </w:rPr>
            </w:pPr>
            <w:r>
              <w:rPr>
                <w:sz w:val="20"/>
                <w:szCs w:val="20"/>
              </w:rPr>
              <w:t>长春东宝药业有限公司</w:t>
            </w:r>
          </w:p>
        </w:tc>
        <w:tc>
          <w:tcPr>
            <w:tcW w:w="1134" w:type="dxa"/>
            <w:vAlign w:val="center"/>
          </w:tcPr>
          <w:p w14:paraId="268F2725">
            <w:pPr>
              <w:pStyle w:val="48"/>
              <w:rPr>
                <w:sz w:val="20"/>
                <w:szCs w:val="20"/>
              </w:rPr>
            </w:pPr>
            <w:r>
              <w:rPr>
                <w:sz w:val="20"/>
                <w:szCs w:val="20"/>
              </w:rPr>
              <w:t>长春市高新开发区创新路66号</w:t>
            </w:r>
          </w:p>
        </w:tc>
        <w:tc>
          <w:tcPr>
            <w:tcW w:w="1134" w:type="dxa"/>
            <w:vAlign w:val="center"/>
          </w:tcPr>
          <w:p w14:paraId="604A0D44">
            <w:pPr>
              <w:jc w:val="right"/>
              <w:rPr>
                <w:rFonts w:ascii="Calibri" w:hAnsi="Calibri"/>
                <w:sz w:val="20"/>
                <w:szCs w:val="20"/>
              </w:rPr>
            </w:pPr>
            <w:r>
              <w:rPr>
                <w:rFonts w:ascii="Calibri" w:hAnsi="Calibri"/>
                <w:sz w:val="20"/>
                <w:szCs w:val="20"/>
              </w:rPr>
              <w:t>1,000.00</w:t>
            </w:r>
          </w:p>
        </w:tc>
        <w:tc>
          <w:tcPr>
            <w:tcW w:w="1418" w:type="dxa"/>
            <w:vAlign w:val="center"/>
          </w:tcPr>
          <w:p w14:paraId="7CA8A653">
            <w:pPr>
              <w:pStyle w:val="48"/>
              <w:rPr>
                <w:sz w:val="20"/>
                <w:szCs w:val="20"/>
              </w:rPr>
            </w:pPr>
            <w:r>
              <w:rPr>
                <w:sz w:val="20"/>
                <w:szCs w:val="20"/>
              </w:rPr>
              <w:t>长春市高新开发区创新路66号</w:t>
            </w:r>
          </w:p>
        </w:tc>
        <w:tc>
          <w:tcPr>
            <w:tcW w:w="2693" w:type="dxa"/>
            <w:vAlign w:val="center"/>
          </w:tcPr>
          <w:p w14:paraId="3A4FF588">
            <w:pPr>
              <w:pStyle w:val="48"/>
              <w:rPr>
                <w:sz w:val="20"/>
                <w:szCs w:val="20"/>
              </w:rPr>
            </w:pPr>
            <w:r>
              <w:rPr>
                <w:sz w:val="20"/>
                <w:szCs w:val="20"/>
              </w:rPr>
              <w:t>药品的研究、开发</w:t>
            </w:r>
          </w:p>
        </w:tc>
        <w:tc>
          <w:tcPr>
            <w:tcW w:w="851" w:type="dxa"/>
            <w:vAlign w:val="center"/>
          </w:tcPr>
          <w:p w14:paraId="24D1C7F9">
            <w:pPr>
              <w:jc w:val="right"/>
              <w:rPr>
                <w:rFonts w:ascii="Calibri" w:hAnsi="Calibri"/>
                <w:sz w:val="20"/>
                <w:szCs w:val="20"/>
              </w:rPr>
            </w:pPr>
            <w:r>
              <w:rPr>
                <w:rFonts w:ascii="Calibri" w:hAnsi="Calibri"/>
                <w:sz w:val="20"/>
                <w:szCs w:val="20"/>
              </w:rPr>
              <w:t>95.00</w:t>
            </w:r>
          </w:p>
        </w:tc>
        <w:tc>
          <w:tcPr>
            <w:tcW w:w="581" w:type="dxa"/>
            <w:vAlign w:val="center"/>
          </w:tcPr>
          <w:p w14:paraId="0FB13D8C">
            <w:pPr>
              <w:jc w:val="right"/>
              <w:rPr>
                <w:rFonts w:ascii="Calibri" w:hAnsi="Calibri"/>
                <w:sz w:val="20"/>
                <w:szCs w:val="20"/>
              </w:rPr>
            </w:pPr>
          </w:p>
        </w:tc>
        <w:tc>
          <w:tcPr>
            <w:tcW w:w="1239" w:type="dxa"/>
            <w:vAlign w:val="center"/>
          </w:tcPr>
          <w:p w14:paraId="02985EBC">
            <w:pPr>
              <w:pStyle w:val="48"/>
              <w:rPr>
                <w:sz w:val="20"/>
                <w:szCs w:val="20"/>
              </w:rPr>
            </w:pPr>
            <w:r>
              <w:rPr>
                <w:sz w:val="20"/>
                <w:szCs w:val="20"/>
              </w:rPr>
              <w:t>设立或投资取得的子公司</w:t>
            </w:r>
          </w:p>
        </w:tc>
      </w:tr>
      <w:tr w14:paraId="72CC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6B6D5A7E">
            <w:pPr>
              <w:pStyle w:val="48"/>
              <w:rPr>
                <w:sz w:val="20"/>
                <w:szCs w:val="20"/>
              </w:rPr>
            </w:pPr>
            <w:r>
              <w:rPr>
                <w:sz w:val="20"/>
                <w:szCs w:val="20"/>
              </w:rPr>
              <w:t>北京东宝生物技术有限公司</w:t>
            </w:r>
          </w:p>
        </w:tc>
        <w:tc>
          <w:tcPr>
            <w:tcW w:w="1134" w:type="dxa"/>
            <w:vAlign w:val="center"/>
          </w:tcPr>
          <w:p w14:paraId="43C60756">
            <w:pPr>
              <w:pStyle w:val="48"/>
              <w:rPr>
                <w:sz w:val="20"/>
                <w:szCs w:val="20"/>
              </w:rPr>
            </w:pPr>
            <w:r>
              <w:rPr>
                <w:sz w:val="20"/>
                <w:szCs w:val="20"/>
              </w:rPr>
              <w:t>北京经济技术开发区东环北路11号</w:t>
            </w:r>
          </w:p>
        </w:tc>
        <w:tc>
          <w:tcPr>
            <w:tcW w:w="1134" w:type="dxa"/>
            <w:vAlign w:val="center"/>
          </w:tcPr>
          <w:p w14:paraId="5CCC1315">
            <w:pPr>
              <w:jc w:val="right"/>
              <w:rPr>
                <w:rFonts w:ascii="Calibri" w:hAnsi="Calibri"/>
                <w:sz w:val="20"/>
                <w:szCs w:val="20"/>
              </w:rPr>
            </w:pPr>
            <w:r>
              <w:rPr>
                <w:rFonts w:ascii="Calibri" w:hAnsi="Calibri"/>
                <w:sz w:val="20"/>
                <w:szCs w:val="20"/>
              </w:rPr>
              <w:t>10,000.00</w:t>
            </w:r>
          </w:p>
        </w:tc>
        <w:tc>
          <w:tcPr>
            <w:tcW w:w="1418" w:type="dxa"/>
            <w:vAlign w:val="center"/>
          </w:tcPr>
          <w:p w14:paraId="06E61400">
            <w:pPr>
              <w:pStyle w:val="48"/>
              <w:rPr>
                <w:sz w:val="20"/>
                <w:szCs w:val="20"/>
              </w:rPr>
            </w:pPr>
            <w:r>
              <w:rPr>
                <w:sz w:val="20"/>
                <w:szCs w:val="20"/>
              </w:rPr>
              <w:t>北京经济技术开发区东环北路11号</w:t>
            </w:r>
          </w:p>
        </w:tc>
        <w:tc>
          <w:tcPr>
            <w:tcW w:w="2693" w:type="dxa"/>
            <w:vAlign w:val="center"/>
          </w:tcPr>
          <w:p w14:paraId="72619B60">
            <w:pPr>
              <w:pStyle w:val="48"/>
              <w:rPr>
                <w:sz w:val="20"/>
                <w:szCs w:val="20"/>
              </w:rPr>
            </w:pPr>
            <w:r>
              <w:rPr>
                <w:sz w:val="20"/>
                <w:szCs w:val="20"/>
              </w:rPr>
              <w:t>生物制品、天然药物的技术开发；出租自有车间</w:t>
            </w:r>
          </w:p>
        </w:tc>
        <w:tc>
          <w:tcPr>
            <w:tcW w:w="851" w:type="dxa"/>
            <w:vAlign w:val="center"/>
          </w:tcPr>
          <w:p w14:paraId="42A73662">
            <w:pPr>
              <w:jc w:val="right"/>
              <w:rPr>
                <w:rFonts w:ascii="Calibri" w:hAnsi="Calibri"/>
                <w:sz w:val="20"/>
                <w:szCs w:val="20"/>
              </w:rPr>
            </w:pPr>
            <w:r>
              <w:rPr>
                <w:rFonts w:ascii="Calibri" w:hAnsi="Calibri"/>
                <w:sz w:val="20"/>
                <w:szCs w:val="20"/>
              </w:rPr>
              <w:t>100.00</w:t>
            </w:r>
          </w:p>
        </w:tc>
        <w:tc>
          <w:tcPr>
            <w:tcW w:w="581" w:type="dxa"/>
            <w:vAlign w:val="center"/>
          </w:tcPr>
          <w:p w14:paraId="728B285A">
            <w:pPr>
              <w:jc w:val="right"/>
              <w:rPr>
                <w:rFonts w:ascii="Calibri" w:hAnsi="Calibri"/>
                <w:sz w:val="20"/>
                <w:szCs w:val="20"/>
              </w:rPr>
            </w:pPr>
          </w:p>
        </w:tc>
        <w:tc>
          <w:tcPr>
            <w:tcW w:w="1239" w:type="dxa"/>
            <w:vAlign w:val="center"/>
          </w:tcPr>
          <w:p w14:paraId="65454AE6">
            <w:pPr>
              <w:pStyle w:val="48"/>
              <w:rPr>
                <w:sz w:val="20"/>
                <w:szCs w:val="20"/>
              </w:rPr>
            </w:pPr>
            <w:r>
              <w:rPr>
                <w:sz w:val="20"/>
                <w:szCs w:val="20"/>
              </w:rPr>
              <w:t>设立或投资取得的子公司</w:t>
            </w:r>
          </w:p>
        </w:tc>
      </w:tr>
      <w:tr w14:paraId="264D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14C3334C">
            <w:pPr>
              <w:pStyle w:val="48"/>
              <w:rPr>
                <w:sz w:val="20"/>
                <w:szCs w:val="20"/>
              </w:rPr>
            </w:pPr>
            <w:r>
              <w:rPr>
                <w:sz w:val="20"/>
                <w:szCs w:val="20"/>
              </w:rPr>
              <w:t>通化东宝金弘基房地产开发有限公司通化县第一分公司</w:t>
            </w:r>
          </w:p>
        </w:tc>
        <w:tc>
          <w:tcPr>
            <w:tcW w:w="1134" w:type="dxa"/>
            <w:vAlign w:val="center"/>
          </w:tcPr>
          <w:p w14:paraId="2A437043">
            <w:pPr>
              <w:pStyle w:val="48"/>
              <w:rPr>
                <w:sz w:val="20"/>
                <w:szCs w:val="20"/>
              </w:rPr>
            </w:pPr>
            <w:r>
              <w:rPr>
                <w:sz w:val="20"/>
                <w:szCs w:val="20"/>
              </w:rPr>
              <w:t>通化县快大茂镇黎明村</w:t>
            </w:r>
          </w:p>
        </w:tc>
        <w:tc>
          <w:tcPr>
            <w:tcW w:w="1134" w:type="dxa"/>
            <w:vAlign w:val="center"/>
          </w:tcPr>
          <w:p w14:paraId="0DA42121">
            <w:pPr>
              <w:jc w:val="right"/>
              <w:rPr>
                <w:rFonts w:ascii="Calibri" w:hAnsi="Calibri"/>
                <w:sz w:val="20"/>
                <w:szCs w:val="20"/>
              </w:rPr>
            </w:pPr>
            <w:r>
              <w:rPr>
                <w:rFonts w:ascii="Calibri" w:hAnsi="Calibri"/>
                <w:sz w:val="20"/>
                <w:szCs w:val="20"/>
              </w:rPr>
              <w:t>—</w:t>
            </w:r>
          </w:p>
        </w:tc>
        <w:tc>
          <w:tcPr>
            <w:tcW w:w="1418" w:type="dxa"/>
            <w:vAlign w:val="center"/>
          </w:tcPr>
          <w:p w14:paraId="53208C92">
            <w:pPr>
              <w:pStyle w:val="48"/>
              <w:rPr>
                <w:sz w:val="20"/>
                <w:szCs w:val="20"/>
              </w:rPr>
            </w:pPr>
            <w:r>
              <w:rPr>
                <w:sz w:val="20"/>
                <w:szCs w:val="20"/>
              </w:rPr>
              <w:t>通化县快大茂镇黎明村</w:t>
            </w:r>
          </w:p>
        </w:tc>
        <w:tc>
          <w:tcPr>
            <w:tcW w:w="2693" w:type="dxa"/>
            <w:vAlign w:val="center"/>
          </w:tcPr>
          <w:p w14:paraId="4EE2B872">
            <w:pPr>
              <w:pStyle w:val="48"/>
              <w:rPr>
                <w:sz w:val="20"/>
                <w:szCs w:val="20"/>
              </w:rPr>
            </w:pPr>
            <w:r>
              <w:rPr>
                <w:sz w:val="20"/>
                <w:szCs w:val="20"/>
              </w:rPr>
              <w:t>房地产开发、出售、二手房交易</w:t>
            </w:r>
          </w:p>
        </w:tc>
        <w:tc>
          <w:tcPr>
            <w:tcW w:w="851" w:type="dxa"/>
            <w:vAlign w:val="center"/>
          </w:tcPr>
          <w:p w14:paraId="57100600">
            <w:pPr>
              <w:jc w:val="right"/>
              <w:rPr>
                <w:rFonts w:ascii="Calibri" w:hAnsi="Calibri"/>
                <w:sz w:val="20"/>
                <w:szCs w:val="20"/>
              </w:rPr>
            </w:pPr>
            <w:r>
              <w:rPr>
                <w:rFonts w:ascii="Calibri" w:hAnsi="Calibri"/>
                <w:sz w:val="20"/>
                <w:szCs w:val="20"/>
              </w:rPr>
              <w:t>97.59</w:t>
            </w:r>
          </w:p>
        </w:tc>
        <w:tc>
          <w:tcPr>
            <w:tcW w:w="581" w:type="dxa"/>
            <w:vAlign w:val="center"/>
          </w:tcPr>
          <w:p w14:paraId="74528257">
            <w:pPr>
              <w:jc w:val="right"/>
              <w:rPr>
                <w:rFonts w:ascii="Calibri" w:hAnsi="Calibri"/>
                <w:sz w:val="20"/>
                <w:szCs w:val="20"/>
              </w:rPr>
            </w:pPr>
          </w:p>
        </w:tc>
        <w:tc>
          <w:tcPr>
            <w:tcW w:w="1239" w:type="dxa"/>
            <w:vAlign w:val="center"/>
          </w:tcPr>
          <w:p w14:paraId="76CF169E">
            <w:pPr>
              <w:pStyle w:val="48"/>
              <w:rPr>
                <w:sz w:val="20"/>
                <w:szCs w:val="20"/>
              </w:rPr>
            </w:pPr>
            <w:r>
              <w:rPr>
                <w:sz w:val="20"/>
                <w:szCs w:val="20"/>
              </w:rPr>
              <w:t>单独主体</w:t>
            </w:r>
          </w:p>
        </w:tc>
      </w:tr>
      <w:tr w14:paraId="3802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002DF76D">
            <w:pPr>
              <w:pStyle w:val="48"/>
              <w:rPr>
                <w:sz w:val="20"/>
                <w:szCs w:val="20"/>
              </w:rPr>
            </w:pPr>
            <w:r>
              <w:rPr>
                <w:sz w:val="20"/>
                <w:szCs w:val="20"/>
              </w:rPr>
              <w:t>通化紫星生物制药有限公司</w:t>
            </w:r>
          </w:p>
        </w:tc>
        <w:tc>
          <w:tcPr>
            <w:tcW w:w="1134" w:type="dxa"/>
            <w:vAlign w:val="center"/>
          </w:tcPr>
          <w:p w14:paraId="61B20E4E">
            <w:pPr>
              <w:pStyle w:val="48"/>
              <w:rPr>
                <w:sz w:val="20"/>
                <w:szCs w:val="20"/>
              </w:rPr>
            </w:pPr>
            <w:r>
              <w:rPr>
                <w:sz w:val="20"/>
                <w:szCs w:val="20"/>
              </w:rPr>
              <w:t>通化市通化开发区东宝街3539号</w:t>
            </w:r>
          </w:p>
        </w:tc>
        <w:tc>
          <w:tcPr>
            <w:tcW w:w="1134" w:type="dxa"/>
            <w:vAlign w:val="center"/>
          </w:tcPr>
          <w:p w14:paraId="0DDF47D1">
            <w:pPr>
              <w:jc w:val="right"/>
              <w:rPr>
                <w:rFonts w:ascii="Calibri" w:hAnsi="Calibri"/>
                <w:sz w:val="20"/>
                <w:szCs w:val="20"/>
              </w:rPr>
            </w:pPr>
            <w:r>
              <w:rPr>
                <w:rFonts w:ascii="Calibri" w:hAnsi="Calibri"/>
                <w:sz w:val="20"/>
                <w:szCs w:val="20"/>
              </w:rPr>
              <w:t>10,000.00</w:t>
            </w:r>
          </w:p>
        </w:tc>
        <w:tc>
          <w:tcPr>
            <w:tcW w:w="1418" w:type="dxa"/>
            <w:vAlign w:val="center"/>
          </w:tcPr>
          <w:p w14:paraId="53278F35">
            <w:pPr>
              <w:pStyle w:val="48"/>
              <w:rPr>
                <w:sz w:val="20"/>
                <w:szCs w:val="20"/>
              </w:rPr>
            </w:pPr>
            <w:r>
              <w:rPr>
                <w:sz w:val="20"/>
                <w:szCs w:val="20"/>
              </w:rPr>
              <w:t>通化市通化开发区东宝街3539号</w:t>
            </w:r>
          </w:p>
        </w:tc>
        <w:tc>
          <w:tcPr>
            <w:tcW w:w="2693" w:type="dxa"/>
            <w:vAlign w:val="center"/>
          </w:tcPr>
          <w:p w14:paraId="27514A6D">
            <w:pPr>
              <w:pStyle w:val="48"/>
              <w:rPr>
                <w:sz w:val="20"/>
                <w:szCs w:val="20"/>
              </w:rPr>
            </w:pPr>
            <w:r>
              <w:rPr>
                <w:sz w:val="20"/>
                <w:szCs w:val="20"/>
              </w:rPr>
              <w:t>生物药品制造；生物药品研发、生产、销售</w:t>
            </w:r>
          </w:p>
        </w:tc>
        <w:tc>
          <w:tcPr>
            <w:tcW w:w="851" w:type="dxa"/>
            <w:vAlign w:val="center"/>
          </w:tcPr>
          <w:p w14:paraId="255B0823">
            <w:pPr>
              <w:jc w:val="right"/>
              <w:rPr>
                <w:rFonts w:ascii="Calibri" w:hAnsi="Calibri"/>
                <w:sz w:val="20"/>
                <w:szCs w:val="20"/>
              </w:rPr>
            </w:pPr>
            <w:r>
              <w:rPr>
                <w:rFonts w:ascii="Calibri" w:hAnsi="Calibri"/>
                <w:sz w:val="20"/>
                <w:szCs w:val="20"/>
              </w:rPr>
              <w:t>100.00</w:t>
            </w:r>
          </w:p>
        </w:tc>
        <w:tc>
          <w:tcPr>
            <w:tcW w:w="581" w:type="dxa"/>
            <w:vAlign w:val="center"/>
          </w:tcPr>
          <w:p w14:paraId="702EC311">
            <w:pPr>
              <w:jc w:val="right"/>
              <w:rPr>
                <w:rFonts w:ascii="Calibri" w:hAnsi="Calibri"/>
                <w:sz w:val="20"/>
                <w:szCs w:val="20"/>
              </w:rPr>
            </w:pPr>
          </w:p>
        </w:tc>
        <w:tc>
          <w:tcPr>
            <w:tcW w:w="1239" w:type="dxa"/>
            <w:vAlign w:val="center"/>
          </w:tcPr>
          <w:p w14:paraId="1B7A7182">
            <w:pPr>
              <w:pStyle w:val="48"/>
              <w:rPr>
                <w:sz w:val="20"/>
                <w:szCs w:val="20"/>
              </w:rPr>
            </w:pPr>
            <w:r>
              <w:rPr>
                <w:sz w:val="20"/>
                <w:szCs w:val="20"/>
              </w:rPr>
              <w:t>设立或投资取得的子公司</w:t>
            </w:r>
          </w:p>
        </w:tc>
      </w:tr>
      <w:tr w14:paraId="7868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3CBDBC89">
            <w:pPr>
              <w:pStyle w:val="48"/>
              <w:rPr>
                <w:sz w:val="20"/>
                <w:szCs w:val="20"/>
              </w:rPr>
            </w:pPr>
            <w:r>
              <w:rPr>
                <w:sz w:val="20"/>
                <w:szCs w:val="20"/>
              </w:rPr>
              <w:t>东宝紫星（杭州）生物医药有限公司</w:t>
            </w:r>
          </w:p>
        </w:tc>
        <w:tc>
          <w:tcPr>
            <w:tcW w:w="1134" w:type="dxa"/>
            <w:vAlign w:val="center"/>
          </w:tcPr>
          <w:p w14:paraId="62EAF839">
            <w:pPr>
              <w:pStyle w:val="48"/>
              <w:rPr>
                <w:sz w:val="20"/>
                <w:szCs w:val="20"/>
              </w:rPr>
            </w:pPr>
            <w:r>
              <w:rPr>
                <w:sz w:val="20"/>
                <w:szCs w:val="20"/>
              </w:rPr>
              <w:t>浙江省杭州市钱塘新区下沙街道</w:t>
            </w:r>
          </w:p>
        </w:tc>
        <w:tc>
          <w:tcPr>
            <w:tcW w:w="1134" w:type="dxa"/>
            <w:vAlign w:val="center"/>
          </w:tcPr>
          <w:p w14:paraId="538E7388">
            <w:pPr>
              <w:jc w:val="right"/>
              <w:rPr>
                <w:rFonts w:ascii="Calibri" w:hAnsi="Calibri"/>
                <w:sz w:val="20"/>
                <w:szCs w:val="20"/>
              </w:rPr>
            </w:pPr>
            <w:r>
              <w:rPr>
                <w:rFonts w:ascii="Calibri" w:hAnsi="Calibri"/>
                <w:sz w:val="20"/>
                <w:szCs w:val="20"/>
              </w:rPr>
              <w:t>10,000.00</w:t>
            </w:r>
          </w:p>
        </w:tc>
        <w:tc>
          <w:tcPr>
            <w:tcW w:w="1418" w:type="dxa"/>
            <w:vAlign w:val="center"/>
          </w:tcPr>
          <w:p w14:paraId="30B68FFF">
            <w:pPr>
              <w:pStyle w:val="48"/>
              <w:rPr>
                <w:sz w:val="20"/>
                <w:szCs w:val="20"/>
              </w:rPr>
            </w:pPr>
            <w:r>
              <w:rPr>
                <w:sz w:val="20"/>
                <w:szCs w:val="20"/>
              </w:rPr>
              <w:t>浙江省杭州市钱塘新区下沙街道</w:t>
            </w:r>
          </w:p>
        </w:tc>
        <w:tc>
          <w:tcPr>
            <w:tcW w:w="2693" w:type="dxa"/>
            <w:vAlign w:val="center"/>
          </w:tcPr>
          <w:p w14:paraId="1433B77F">
            <w:pPr>
              <w:pStyle w:val="48"/>
              <w:rPr>
                <w:sz w:val="20"/>
                <w:szCs w:val="20"/>
              </w:rPr>
            </w:pPr>
            <w:r>
              <w:rPr>
                <w:sz w:val="20"/>
                <w:szCs w:val="20"/>
              </w:rPr>
              <w:t>医学研究和试验发展、药品生产、零售与批发；技术服务、技术开发、技术咨询等</w:t>
            </w:r>
          </w:p>
        </w:tc>
        <w:tc>
          <w:tcPr>
            <w:tcW w:w="851" w:type="dxa"/>
            <w:vAlign w:val="center"/>
          </w:tcPr>
          <w:p w14:paraId="12D16FE1">
            <w:pPr>
              <w:jc w:val="right"/>
              <w:rPr>
                <w:rFonts w:ascii="Calibri" w:hAnsi="Calibri"/>
                <w:sz w:val="20"/>
                <w:szCs w:val="20"/>
              </w:rPr>
            </w:pPr>
            <w:r>
              <w:rPr>
                <w:rFonts w:ascii="Calibri" w:hAnsi="Calibri"/>
                <w:sz w:val="20"/>
                <w:szCs w:val="20"/>
              </w:rPr>
              <w:t>100.00</w:t>
            </w:r>
          </w:p>
        </w:tc>
        <w:tc>
          <w:tcPr>
            <w:tcW w:w="581" w:type="dxa"/>
            <w:vAlign w:val="center"/>
          </w:tcPr>
          <w:p w14:paraId="640A957A">
            <w:pPr>
              <w:jc w:val="right"/>
              <w:rPr>
                <w:rFonts w:ascii="Calibri" w:hAnsi="Calibri"/>
                <w:sz w:val="20"/>
                <w:szCs w:val="20"/>
              </w:rPr>
            </w:pPr>
          </w:p>
        </w:tc>
        <w:tc>
          <w:tcPr>
            <w:tcW w:w="1239" w:type="dxa"/>
            <w:vAlign w:val="center"/>
          </w:tcPr>
          <w:p w14:paraId="69E3DB94">
            <w:pPr>
              <w:pStyle w:val="48"/>
              <w:rPr>
                <w:sz w:val="20"/>
                <w:szCs w:val="20"/>
              </w:rPr>
            </w:pPr>
            <w:r>
              <w:rPr>
                <w:sz w:val="20"/>
                <w:szCs w:val="20"/>
              </w:rPr>
              <w:t>设立或投资取得的子公司</w:t>
            </w:r>
          </w:p>
        </w:tc>
      </w:tr>
      <w:tr w14:paraId="594F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660C752B">
            <w:pPr>
              <w:pStyle w:val="48"/>
              <w:rPr>
                <w:sz w:val="20"/>
                <w:szCs w:val="20"/>
              </w:rPr>
            </w:pPr>
            <w:r>
              <w:rPr>
                <w:sz w:val="20"/>
                <w:szCs w:val="20"/>
              </w:rPr>
              <w:t>上海隆棵药业有限公司</w:t>
            </w:r>
          </w:p>
        </w:tc>
        <w:tc>
          <w:tcPr>
            <w:tcW w:w="1134" w:type="dxa"/>
            <w:vAlign w:val="center"/>
          </w:tcPr>
          <w:p w14:paraId="2EF86A44">
            <w:pPr>
              <w:pStyle w:val="48"/>
              <w:rPr>
                <w:sz w:val="20"/>
                <w:szCs w:val="20"/>
              </w:rPr>
            </w:pPr>
            <w:r>
              <w:rPr>
                <w:sz w:val="20"/>
                <w:szCs w:val="20"/>
              </w:rPr>
              <w:t>中国（上海）自由贸易试验区中科路702号3幢13层A1305室</w:t>
            </w:r>
          </w:p>
        </w:tc>
        <w:tc>
          <w:tcPr>
            <w:tcW w:w="1134" w:type="dxa"/>
            <w:vAlign w:val="center"/>
          </w:tcPr>
          <w:p w14:paraId="0403709C">
            <w:pPr>
              <w:jc w:val="right"/>
              <w:rPr>
                <w:rFonts w:ascii="Calibri" w:hAnsi="Calibri"/>
                <w:sz w:val="20"/>
                <w:szCs w:val="20"/>
              </w:rPr>
            </w:pPr>
            <w:r>
              <w:rPr>
                <w:rFonts w:ascii="Calibri" w:hAnsi="Calibri"/>
                <w:sz w:val="20"/>
                <w:szCs w:val="20"/>
              </w:rPr>
              <w:t>4,872.71</w:t>
            </w:r>
          </w:p>
        </w:tc>
        <w:tc>
          <w:tcPr>
            <w:tcW w:w="1418" w:type="dxa"/>
            <w:vAlign w:val="center"/>
          </w:tcPr>
          <w:p w14:paraId="0FA65A5C">
            <w:pPr>
              <w:pStyle w:val="48"/>
              <w:rPr>
                <w:sz w:val="20"/>
                <w:szCs w:val="20"/>
              </w:rPr>
            </w:pPr>
            <w:r>
              <w:rPr>
                <w:sz w:val="20"/>
                <w:szCs w:val="20"/>
              </w:rPr>
              <w:t>中国（上海）自由贸易试验区中科路702号3幢13层A1305室</w:t>
            </w:r>
          </w:p>
        </w:tc>
        <w:tc>
          <w:tcPr>
            <w:tcW w:w="2693" w:type="dxa"/>
            <w:vAlign w:val="center"/>
          </w:tcPr>
          <w:p w14:paraId="0B85E192">
            <w:pPr>
              <w:pStyle w:val="48"/>
              <w:rPr>
                <w:sz w:val="20"/>
                <w:szCs w:val="20"/>
              </w:rPr>
            </w:pPr>
            <w:r>
              <w:rPr>
                <w:sz w:val="20"/>
                <w:szCs w:val="20"/>
              </w:rPr>
              <w:t>药品生产；药品批发；药品零售；药品进出口；药品委托生产。医学研究和试验发展</w:t>
            </w:r>
          </w:p>
        </w:tc>
        <w:tc>
          <w:tcPr>
            <w:tcW w:w="851" w:type="dxa"/>
            <w:vAlign w:val="center"/>
          </w:tcPr>
          <w:p w14:paraId="44502523">
            <w:pPr>
              <w:jc w:val="right"/>
              <w:rPr>
                <w:rFonts w:ascii="Calibri" w:hAnsi="Calibri"/>
                <w:sz w:val="20"/>
                <w:szCs w:val="20"/>
              </w:rPr>
            </w:pPr>
            <w:r>
              <w:rPr>
                <w:rFonts w:ascii="Calibri" w:hAnsi="Calibri"/>
                <w:sz w:val="20"/>
                <w:szCs w:val="20"/>
              </w:rPr>
              <w:t>55.00</w:t>
            </w:r>
          </w:p>
        </w:tc>
        <w:tc>
          <w:tcPr>
            <w:tcW w:w="581" w:type="dxa"/>
            <w:vAlign w:val="center"/>
          </w:tcPr>
          <w:p w14:paraId="43884B04">
            <w:pPr>
              <w:jc w:val="right"/>
              <w:rPr>
                <w:rFonts w:ascii="Calibri" w:hAnsi="Calibri"/>
                <w:sz w:val="20"/>
                <w:szCs w:val="20"/>
              </w:rPr>
            </w:pPr>
          </w:p>
        </w:tc>
        <w:tc>
          <w:tcPr>
            <w:tcW w:w="1239" w:type="dxa"/>
            <w:vAlign w:val="center"/>
          </w:tcPr>
          <w:p w14:paraId="7C1A54A9">
            <w:pPr>
              <w:pStyle w:val="48"/>
              <w:rPr>
                <w:sz w:val="20"/>
                <w:szCs w:val="20"/>
              </w:rPr>
            </w:pPr>
            <w:r>
              <w:rPr>
                <w:sz w:val="20"/>
                <w:szCs w:val="20"/>
              </w:rPr>
              <w:t>设立或投资取得的子公司</w:t>
            </w:r>
          </w:p>
        </w:tc>
      </w:tr>
      <w:tr w14:paraId="6AD7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01A062DA">
            <w:pPr>
              <w:pStyle w:val="48"/>
              <w:rPr>
                <w:sz w:val="20"/>
                <w:szCs w:val="20"/>
              </w:rPr>
            </w:pPr>
            <w:r>
              <w:rPr>
                <w:sz w:val="20"/>
                <w:szCs w:val="20"/>
              </w:rPr>
              <w:t>上海桔医网络科技有限公司</w:t>
            </w:r>
          </w:p>
        </w:tc>
        <w:tc>
          <w:tcPr>
            <w:tcW w:w="1134" w:type="dxa"/>
            <w:vAlign w:val="center"/>
          </w:tcPr>
          <w:p w14:paraId="14554A53">
            <w:pPr>
              <w:pStyle w:val="48"/>
              <w:rPr>
                <w:sz w:val="20"/>
                <w:szCs w:val="20"/>
              </w:rPr>
            </w:pPr>
            <w:r>
              <w:rPr>
                <w:sz w:val="20"/>
                <w:szCs w:val="20"/>
              </w:rPr>
              <w:t>上海市奉贤区头桥东路498弄47号</w:t>
            </w:r>
          </w:p>
        </w:tc>
        <w:tc>
          <w:tcPr>
            <w:tcW w:w="1134" w:type="dxa"/>
            <w:vAlign w:val="center"/>
          </w:tcPr>
          <w:p w14:paraId="4A9D764F">
            <w:pPr>
              <w:jc w:val="right"/>
              <w:rPr>
                <w:rFonts w:ascii="Calibri" w:hAnsi="Calibri"/>
                <w:sz w:val="20"/>
                <w:szCs w:val="20"/>
              </w:rPr>
            </w:pPr>
            <w:r>
              <w:rPr>
                <w:rFonts w:ascii="Calibri" w:hAnsi="Calibri"/>
                <w:sz w:val="20"/>
                <w:szCs w:val="20"/>
              </w:rPr>
              <w:t>3,400.00（注：2026年3月，注册资本由6,285.00变更为3,400.00）</w:t>
            </w:r>
          </w:p>
        </w:tc>
        <w:tc>
          <w:tcPr>
            <w:tcW w:w="1418" w:type="dxa"/>
            <w:vAlign w:val="center"/>
          </w:tcPr>
          <w:p w14:paraId="3A8A8812">
            <w:pPr>
              <w:pStyle w:val="48"/>
              <w:rPr>
                <w:sz w:val="20"/>
                <w:szCs w:val="20"/>
              </w:rPr>
            </w:pPr>
            <w:r>
              <w:rPr>
                <w:sz w:val="20"/>
                <w:szCs w:val="20"/>
              </w:rPr>
              <w:t>上海市奉贤区头桥东路498弄47号</w:t>
            </w:r>
          </w:p>
        </w:tc>
        <w:tc>
          <w:tcPr>
            <w:tcW w:w="2693" w:type="dxa"/>
            <w:vAlign w:val="center"/>
          </w:tcPr>
          <w:p w14:paraId="5E3F1A25">
            <w:pPr>
              <w:pStyle w:val="48"/>
              <w:rPr>
                <w:sz w:val="20"/>
                <w:szCs w:val="20"/>
              </w:rPr>
            </w:pPr>
            <w:r>
              <w:rPr>
                <w:rFonts w:hint="eastAsia"/>
                <w:sz w:val="20"/>
                <w:szCs w:val="20"/>
              </w:rPr>
              <w:t>第三类医疗器械经营；货物进出口；技术进出口；食品经营；互联网销售。第一类医疗器械销售；第二类医疗器械销售；健康咨询服务（不含诊疗服务）</w:t>
            </w:r>
          </w:p>
        </w:tc>
        <w:tc>
          <w:tcPr>
            <w:tcW w:w="851" w:type="dxa"/>
            <w:vAlign w:val="center"/>
          </w:tcPr>
          <w:p w14:paraId="638CFDE4">
            <w:pPr>
              <w:jc w:val="right"/>
              <w:rPr>
                <w:rFonts w:ascii="Calibri" w:hAnsi="Calibri"/>
                <w:sz w:val="20"/>
                <w:szCs w:val="20"/>
              </w:rPr>
            </w:pPr>
            <w:r>
              <w:rPr>
                <w:rFonts w:ascii="Calibri" w:hAnsi="Calibri"/>
                <w:sz w:val="20"/>
                <w:szCs w:val="20"/>
              </w:rPr>
              <w:t>100.00</w:t>
            </w:r>
          </w:p>
        </w:tc>
        <w:tc>
          <w:tcPr>
            <w:tcW w:w="581" w:type="dxa"/>
            <w:vAlign w:val="center"/>
          </w:tcPr>
          <w:p w14:paraId="5AEB4365">
            <w:pPr>
              <w:jc w:val="right"/>
              <w:rPr>
                <w:rFonts w:ascii="Calibri" w:hAnsi="Calibri"/>
                <w:sz w:val="20"/>
                <w:szCs w:val="20"/>
              </w:rPr>
            </w:pPr>
          </w:p>
        </w:tc>
        <w:tc>
          <w:tcPr>
            <w:tcW w:w="1239" w:type="dxa"/>
            <w:vAlign w:val="center"/>
          </w:tcPr>
          <w:p w14:paraId="2F45C127">
            <w:pPr>
              <w:pStyle w:val="48"/>
              <w:rPr>
                <w:sz w:val="20"/>
                <w:szCs w:val="20"/>
              </w:rPr>
            </w:pPr>
            <w:r>
              <w:rPr>
                <w:sz w:val="20"/>
                <w:szCs w:val="20"/>
              </w:rPr>
              <w:t>非同一控制下企业合并</w:t>
            </w:r>
          </w:p>
        </w:tc>
      </w:tr>
      <w:tr w14:paraId="4CF5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45B529B7">
            <w:pPr>
              <w:pStyle w:val="48"/>
              <w:rPr>
                <w:sz w:val="20"/>
                <w:szCs w:val="20"/>
              </w:rPr>
            </w:pPr>
            <w:r>
              <w:rPr>
                <w:sz w:val="20"/>
                <w:szCs w:val="20"/>
              </w:rPr>
              <w:t>东宝进出口贸易（海南）有限公司</w:t>
            </w:r>
          </w:p>
        </w:tc>
        <w:tc>
          <w:tcPr>
            <w:tcW w:w="1134" w:type="dxa"/>
            <w:vAlign w:val="center"/>
          </w:tcPr>
          <w:p w14:paraId="170DD5F2">
            <w:pPr>
              <w:pStyle w:val="48"/>
              <w:rPr>
                <w:sz w:val="20"/>
                <w:szCs w:val="20"/>
              </w:rPr>
            </w:pPr>
            <w:r>
              <w:rPr>
                <w:sz w:val="20"/>
                <w:szCs w:val="20"/>
              </w:rPr>
              <w:t>海南省三亚市崖州区崖州湾科技城雅布伦产业园3号楼五层516室</w:t>
            </w:r>
          </w:p>
        </w:tc>
        <w:tc>
          <w:tcPr>
            <w:tcW w:w="1134" w:type="dxa"/>
            <w:vAlign w:val="center"/>
          </w:tcPr>
          <w:p w14:paraId="63FB18BF">
            <w:pPr>
              <w:jc w:val="right"/>
              <w:rPr>
                <w:rFonts w:ascii="Calibri" w:hAnsi="Calibri"/>
                <w:sz w:val="20"/>
                <w:szCs w:val="20"/>
              </w:rPr>
            </w:pPr>
            <w:r>
              <w:rPr>
                <w:rFonts w:ascii="Calibri" w:hAnsi="Calibri"/>
                <w:sz w:val="20"/>
                <w:szCs w:val="20"/>
              </w:rPr>
              <w:t>100.00</w:t>
            </w:r>
          </w:p>
        </w:tc>
        <w:tc>
          <w:tcPr>
            <w:tcW w:w="1418" w:type="dxa"/>
            <w:vAlign w:val="center"/>
          </w:tcPr>
          <w:p w14:paraId="028B186A">
            <w:pPr>
              <w:pStyle w:val="48"/>
              <w:rPr>
                <w:sz w:val="20"/>
                <w:szCs w:val="20"/>
              </w:rPr>
            </w:pPr>
            <w:r>
              <w:rPr>
                <w:sz w:val="20"/>
                <w:szCs w:val="20"/>
              </w:rPr>
              <w:t>海南省三亚市崖州区崖州湾科技城雅布伦产业园3号楼五层516室</w:t>
            </w:r>
          </w:p>
        </w:tc>
        <w:tc>
          <w:tcPr>
            <w:tcW w:w="2693" w:type="dxa"/>
            <w:vAlign w:val="center"/>
          </w:tcPr>
          <w:p w14:paraId="0C87B096">
            <w:pPr>
              <w:pStyle w:val="48"/>
              <w:rPr>
                <w:sz w:val="20"/>
                <w:szCs w:val="20"/>
              </w:rPr>
            </w:pPr>
            <w:r>
              <w:rPr>
                <w:sz w:val="20"/>
                <w:szCs w:val="20"/>
              </w:rPr>
              <w:t>进出口代理等</w:t>
            </w:r>
          </w:p>
        </w:tc>
        <w:tc>
          <w:tcPr>
            <w:tcW w:w="851" w:type="dxa"/>
            <w:vAlign w:val="center"/>
          </w:tcPr>
          <w:p w14:paraId="292C9636">
            <w:pPr>
              <w:jc w:val="right"/>
              <w:rPr>
                <w:rFonts w:ascii="Calibri" w:hAnsi="Calibri"/>
                <w:sz w:val="20"/>
                <w:szCs w:val="20"/>
              </w:rPr>
            </w:pPr>
            <w:r>
              <w:rPr>
                <w:rFonts w:ascii="Calibri" w:hAnsi="Calibri"/>
                <w:sz w:val="20"/>
                <w:szCs w:val="20"/>
              </w:rPr>
              <w:t>55.00</w:t>
            </w:r>
          </w:p>
        </w:tc>
        <w:tc>
          <w:tcPr>
            <w:tcW w:w="581" w:type="dxa"/>
            <w:vAlign w:val="center"/>
          </w:tcPr>
          <w:p w14:paraId="3BA23804">
            <w:pPr>
              <w:jc w:val="right"/>
              <w:rPr>
                <w:rFonts w:ascii="Calibri" w:hAnsi="Calibri"/>
                <w:sz w:val="20"/>
                <w:szCs w:val="20"/>
              </w:rPr>
            </w:pPr>
          </w:p>
        </w:tc>
        <w:tc>
          <w:tcPr>
            <w:tcW w:w="1239" w:type="dxa"/>
            <w:vAlign w:val="center"/>
          </w:tcPr>
          <w:p w14:paraId="0E2DDCD4">
            <w:pPr>
              <w:pStyle w:val="48"/>
              <w:rPr>
                <w:sz w:val="20"/>
                <w:szCs w:val="20"/>
              </w:rPr>
            </w:pPr>
            <w:r>
              <w:rPr>
                <w:sz w:val="20"/>
                <w:szCs w:val="20"/>
              </w:rPr>
              <w:t>同一控制下企业合并</w:t>
            </w:r>
          </w:p>
        </w:tc>
      </w:tr>
    </w:tbl>
    <w:p w14:paraId="2A687C17"/>
    <w:p w14:paraId="5F347CE7">
      <w:pPr>
        <w:rPr>
          <w:rFonts w:cs="Arial"/>
        </w:rPr>
      </w:pPr>
      <w:r>
        <w:rPr>
          <w:rFonts w:hint="eastAsia" w:cs="Arial"/>
        </w:rPr>
        <w:t>在子公司的持股比例不同于表决权比例的说明：</w:t>
      </w:r>
    </w:p>
    <w:p w14:paraId="100BCF11">
      <w:pPr>
        <w:spacing w:line="360" w:lineRule="auto"/>
        <w:ind w:firstLine="420" w:firstLineChars="200"/>
        <w:jc w:val="both"/>
        <w:rPr>
          <w:rFonts w:cs="Arial"/>
        </w:rPr>
      </w:pPr>
      <w:sdt>
        <w:sdtPr>
          <w:rPr>
            <w:rFonts w:cs="Arial"/>
          </w:rPr>
          <w:alias w:val="在子公司的持股比例不同于表决权比例的说明"/>
          <w:tag w:val="_GBC_b7be591163dc47e4b00f98006e6fbb0b"/>
          <w:id w:val="1017886834"/>
          <w:placeholder>
            <w:docPart w:val="GBC22222222222222222222222222222"/>
          </w:placeholder>
        </w:sdtPr>
        <w:sdtEndPr>
          <w:rPr>
            <w:rFonts w:cs="Arial"/>
          </w:rPr>
        </w:sdtEndPr>
        <w:sdtContent>
          <w:r>
            <w:rPr>
              <w:rFonts w:hint="eastAsia" w:cs="Arial"/>
            </w:rPr>
            <w:t>子公司无持股比例不同于表决权比例的情况。</w:t>
          </w:r>
        </w:sdtContent>
      </w:sdt>
    </w:p>
    <w:p w14:paraId="6296BC65">
      <w:pPr>
        <w:rPr>
          <w:rFonts w:cs="Arial"/>
        </w:rPr>
      </w:pPr>
    </w:p>
    <w:p w14:paraId="7AACEDD0">
      <w:pPr>
        <w:rPr>
          <w:rFonts w:cs="Arial"/>
        </w:rPr>
      </w:pPr>
      <w:r>
        <w:rPr>
          <w:rFonts w:hint="eastAsia" w:cs="Arial"/>
        </w:rPr>
        <w:t>其他说明：</w:t>
      </w:r>
    </w:p>
    <w:sdt>
      <w:sdtPr>
        <w:rPr>
          <w:rFonts w:cs="Arial"/>
        </w:rPr>
        <w:alias w:val="企业集团的构成的其他需要说明的事项"/>
        <w:tag w:val="_GBC_7dc3099f920f4546b2a983c0eb4c2ce0"/>
        <w:id w:val="1318462925"/>
        <w:placeholder>
          <w:docPart w:val="GBC22222222222222222222222222222"/>
        </w:placeholder>
      </w:sdtPr>
      <w:sdtEndPr>
        <w:rPr>
          <w:rFonts w:cs="Arial"/>
        </w:rPr>
      </w:sdtEndPr>
      <w:sdtContent>
        <w:p w14:paraId="50D6DD84">
          <w:pPr>
            <w:spacing w:line="360" w:lineRule="auto"/>
            <w:ind w:firstLine="420" w:firstLineChars="200"/>
            <w:jc w:val="both"/>
            <w:rPr>
              <w:rFonts w:cs="Arial"/>
            </w:rPr>
          </w:pPr>
          <w:r>
            <w:rPr>
              <w:rFonts w:hint="eastAsia" w:cs="Arial"/>
            </w:rPr>
            <w:t>单独主体通化东宝金弘基房地产开发有限公司通化县第一分公司纳入合并范围的说明：</w:t>
          </w:r>
        </w:p>
        <w:p w14:paraId="243F2349">
          <w:pPr>
            <w:spacing w:line="360" w:lineRule="auto"/>
            <w:ind w:firstLine="420" w:firstLineChars="200"/>
            <w:jc w:val="both"/>
            <w:rPr>
              <w:rFonts w:cs="Arial"/>
            </w:rPr>
          </w:pPr>
          <w:r>
            <w:rPr>
              <w:rFonts w:hint="eastAsia" w:cs="Arial"/>
            </w:rPr>
            <w:t>2013年12月26日，本公司的原控股子公司-通化东宝永健制药有限公司和控股子公司-通化东宝环保建材股份有限公司与通化东宝金弘基房地产开发有限公司签订了投资合作协议，协议约定：通化东宝永健制药有限公司和通化东宝环保建材股份有限公司合计投资5,000万元，投资比例为51%：49%，设立通化东宝金弘基房地产开发有限公司通化县第一分公司（以下简称“金弘基一分公司”）。通化东宝金弘基房地产开发有限公司以资质作为出资并负责房地产项目的管理和运转。通化东宝永健制药有限公司和通化东宝环保建材股份有限公司按出资比例享受收益分配，通化东宝金弘基房地产开发有限公司享受一次性固定收入100万元，不再参与收益分配。</w:t>
          </w:r>
        </w:p>
        <w:p w14:paraId="5001BB15">
          <w:pPr>
            <w:spacing w:line="360" w:lineRule="auto"/>
            <w:ind w:firstLine="420" w:firstLineChars="200"/>
            <w:jc w:val="both"/>
            <w:rPr>
              <w:rFonts w:cs="Arial"/>
            </w:rPr>
          </w:pPr>
          <w:r>
            <w:rPr>
              <w:rFonts w:hint="eastAsia" w:cs="Arial"/>
            </w:rPr>
            <w:t>由于满足以下条件：①金弘基一分公司的资产是偿付其负债或其他权益的唯一来源，不能用于偿还金弘基一分公司以外的通化东宝金弘基房地产开发有限公司的其他负债；②除通化东宝永健制药有限公司和通化东宝环保建材股份有限公司外，其他方不享有与金弘基一分公司资产相关的权利，也不享有与金弘基一分公司资产剩余现金流量相关的权利。故本公司将金弘基一分公司视为与通化东宝金弘基房地产开发有限公司可分割的部分，纳入本公司合并财务报表范围。</w:t>
          </w:r>
        </w:p>
        <w:p w14:paraId="3F24E2C6">
          <w:pPr>
            <w:spacing w:line="360" w:lineRule="auto"/>
            <w:ind w:firstLine="420" w:firstLineChars="200"/>
            <w:jc w:val="both"/>
            <w:rPr>
              <w:rFonts w:cstheme="minorBidi"/>
            </w:rPr>
          </w:pPr>
          <w:r>
            <w:rPr>
              <w:rFonts w:hint="eastAsia" w:cs="Arial"/>
            </w:rPr>
            <w:t>2015年公司本级吸收合并了原控股子公司－通化东宝永健制药有限公司，通化东宝永健制药有限公司在金弘基一分公司中的权益和风险由公司本级承继。</w:t>
          </w:r>
        </w:p>
      </w:sdtContent>
    </w:sdt>
    <w:p w14:paraId="47F31D2F">
      <w:pPr>
        <w:rPr>
          <w:rFonts w:cs="Arial"/>
        </w:rPr>
      </w:pPr>
    </w:p>
    <w:p w14:paraId="6DFB5179">
      <w:pPr>
        <w:pStyle w:val="5"/>
        <w:numPr>
          <w:ilvl w:val="3"/>
          <w:numId w:val="108"/>
        </w:numPr>
        <w:ind w:left="426" w:hanging="426" w:hangingChars="202"/>
      </w:pPr>
      <w:r>
        <w:rPr>
          <w:rFonts w:hint="eastAsia"/>
        </w:rPr>
        <w:t>重要的非全资子公司</w:t>
      </w:r>
    </w:p>
    <w:sdt>
      <w:sdtPr>
        <w:alias w:val="是否适用：重要的非全资子公司[双击切换]"/>
        <w:tag w:val="_GBC_51a84bfe201248b8bd5edb53b6cd6283"/>
        <w:id w:val="-1251724429"/>
        <w:placeholder>
          <w:docPart w:val="GBC22222222222222222222222222222"/>
        </w:placeholder>
      </w:sdtPr>
      <w:sdtContent>
        <w:p w14:paraId="2D13E8B7">
          <w:pPr>
            <w:pStyle w:val="48"/>
            <w:rPr>
              <w:rFonts w:cs="Arial"/>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19E823F">
      <w:pPr>
        <w:rPr>
          <w:rFonts w:cs="Arial"/>
        </w:rPr>
      </w:pPr>
    </w:p>
    <w:p w14:paraId="562A5244">
      <w:pPr>
        <w:rPr>
          <w:rFonts w:cs="Arial"/>
        </w:rPr>
      </w:pPr>
    </w:p>
    <w:p w14:paraId="4C971E81">
      <w:pPr>
        <w:pStyle w:val="5"/>
        <w:numPr>
          <w:ilvl w:val="3"/>
          <w:numId w:val="108"/>
        </w:numPr>
        <w:ind w:left="426" w:hanging="426" w:hangingChars="202"/>
      </w:pPr>
      <w:r>
        <w:rPr>
          <w:rFonts w:hint="eastAsia"/>
        </w:rPr>
        <w:t>重要非全资子公司的主要财务信息</w:t>
      </w:r>
    </w:p>
    <w:sdt>
      <w:sdtPr>
        <w:alias w:val="是否适用：重要非全资子公司的主要财务信息[双击切换]"/>
        <w:tag w:val="_GBC_04ab753eff3c46fda94161ee757bd1fa"/>
        <w:id w:val="-551536032"/>
        <w:placeholder>
          <w:docPart w:val="GBC22222222222222222222222222222"/>
        </w:placeholder>
      </w:sdtPr>
      <w:sdtContent>
        <w:p w14:paraId="76D2D12D">
          <w:pPr>
            <w:pStyle w:val="48"/>
            <w:rPr>
              <w:rFonts w:cs="Arial"/>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1713584">
      <w:pPr>
        <w:rPr>
          <w:rFonts w:cs="Arial"/>
        </w:rPr>
      </w:pPr>
    </w:p>
    <w:p w14:paraId="6B6D1CEB">
      <w:pPr>
        <w:rPr>
          <w:rFonts w:cs="Arial"/>
        </w:rPr>
      </w:pPr>
    </w:p>
    <w:p w14:paraId="6FDA2B76">
      <w:pPr>
        <w:pStyle w:val="5"/>
        <w:numPr>
          <w:ilvl w:val="3"/>
          <w:numId w:val="108"/>
        </w:numPr>
        <w:ind w:left="426" w:hanging="426" w:hangingChars="202"/>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540750486"/>
        <w:placeholder>
          <w:docPart w:val="GBC22222222222222222222222222222"/>
        </w:placeholder>
      </w:sdtPr>
      <w:sdtContent>
        <w:p w14:paraId="74B967A1">
          <w:pPr>
            <w:pStyle w:val="48"/>
            <w:rPr>
              <w:rFonts w:cs="Arial"/>
              <w:b/>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EBF7BEB">
      <w:pPr>
        <w:rPr>
          <w:rFonts w:cs="Arial"/>
        </w:rPr>
      </w:pPr>
    </w:p>
    <w:p w14:paraId="36E6D79F">
      <w:pPr>
        <w:pStyle w:val="5"/>
        <w:numPr>
          <w:ilvl w:val="3"/>
          <w:numId w:val="108"/>
        </w:numPr>
        <w:ind w:left="426" w:hanging="426" w:hangingChars="202"/>
      </w:pPr>
      <w:r>
        <w:rPr>
          <w:rFonts w:hint="eastAsia"/>
        </w:rPr>
        <w:t>向纳入合并财务报表范围的结构化主体提供的财务支持或其他支持</w:t>
      </w:r>
    </w:p>
    <w:sdt>
      <w:sdtPr>
        <w:rPr>
          <w:rFonts w:hint="eastAsia" w:cs="Arial"/>
        </w:rPr>
        <w:alias w:val="是否适用：向纳入合并财务报表范围的结构化主体提供的财务支持或其他支持[双击切换]"/>
        <w:tag w:val="_GBC_395393741a9c49d1bd1b845f818ade1e"/>
        <w:id w:val="1724484610"/>
        <w:placeholder>
          <w:docPart w:val="GBC22222222222222222222222222222"/>
        </w:placeholder>
      </w:sdtPr>
      <w:sdtEndPr>
        <w:rPr>
          <w:rFonts w:hint="eastAsia" w:cs="Arial"/>
        </w:rPr>
      </w:sdtEndPr>
      <w:sdtContent>
        <w:p w14:paraId="6A4FA6BA">
          <w:pPr>
            <w:rPr>
              <w:rFonts w:cs="Arial"/>
            </w:rPr>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29D6B41B">
      <w:pPr>
        <w:rPr>
          <w:rFonts w:cs="Arial"/>
          <w:b/>
        </w:rPr>
      </w:pPr>
    </w:p>
    <w:p w14:paraId="1F4031FB">
      <w:pPr>
        <w:pStyle w:val="48"/>
      </w:pPr>
      <w:r>
        <w:rPr>
          <w:rFonts w:hint="eastAsia"/>
        </w:rPr>
        <w:t>其他说明：</w:t>
      </w:r>
    </w:p>
    <w:sdt>
      <w:sdtPr>
        <w:alias w:val="是否适用：在子公司中的权益其他说明[双击切换]"/>
        <w:tag w:val="_GBC_b26ad9d381c8467f9c05b435b2cb6493"/>
        <w:id w:val="1155725223"/>
        <w:placeholder>
          <w:docPart w:val="GBC22222222222222222222222222222"/>
        </w:placeholder>
      </w:sdtPr>
      <w:sdtContent>
        <w:p w14:paraId="2583EE65">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CA7FB88">
      <w:pPr>
        <w:pStyle w:val="48"/>
      </w:pPr>
    </w:p>
    <w:p w14:paraId="4F558C3C">
      <w:pPr>
        <w:pStyle w:val="4"/>
        <w:numPr>
          <w:ilvl w:val="2"/>
          <w:numId w:val="107"/>
        </w:numPr>
      </w:pPr>
      <w:r>
        <w:rPr>
          <w:rFonts w:hint="eastAsia"/>
        </w:rPr>
        <w:t>在子公司的所有者权益份额发生变化且仍控制子公司的交易</w:t>
      </w:r>
    </w:p>
    <w:sdt>
      <w:sdtPr>
        <w:alias w:val="是否适用：在子公司的所有者权益份额发生变化且仍控制子公司的交易[双击切换]"/>
        <w:tag w:val="_GBC_4c0599836d204e25b4d5d4f8434a2c4c"/>
        <w:id w:val="-666624498"/>
        <w:placeholder>
          <w:docPart w:val="GBC22222222222222222222222222222"/>
        </w:placeholder>
      </w:sdtPr>
      <w:sdtContent>
        <w:p w14:paraId="32C7CC98">
          <w:pPr>
            <w:pStyle w:val="48"/>
            <w:rPr>
              <w:rFonts w:cs="Arial"/>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841CF7">
      <w:pPr>
        <w:rPr>
          <w:rFonts w:cs="Arial"/>
        </w:rPr>
      </w:pPr>
    </w:p>
    <w:p w14:paraId="13D1D759">
      <w:pPr>
        <w:pStyle w:val="48"/>
      </w:pPr>
    </w:p>
    <w:p w14:paraId="1AC8BB77">
      <w:pPr>
        <w:pStyle w:val="4"/>
        <w:numPr>
          <w:ilvl w:val="2"/>
          <w:numId w:val="107"/>
        </w:numPr>
      </w:pPr>
      <w:r>
        <w:rPr>
          <w:rFonts w:hint="eastAsia"/>
        </w:rPr>
        <w:t>在合营企业或联营企业中的权益</w:t>
      </w:r>
    </w:p>
    <w:sdt>
      <w:sdtPr>
        <w:alias w:val="是否适用：在合营企业或联营企业中的权益[双击切换]"/>
        <w:tag w:val="_GBC_2bff91875b7a49f3929c4613048756c1"/>
        <w:id w:val="553738283"/>
        <w:placeholder>
          <w:docPart w:val="GBC22222222222222222222222222222"/>
        </w:placeholder>
      </w:sdtPr>
      <w:sdtContent>
        <w:p w14:paraId="69DBFF2D">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9E08730">
      <w:pPr>
        <w:pStyle w:val="5"/>
        <w:numPr>
          <w:ilvl w:val="3"/>
          <w:numId w:val="109"/>
        </w:numPr>
        <w:ind w:left="426" w:hanging="426" w:hangingChars="202"/>
      </w:pPr>
      <w:r>
        <w:rPr>
          <w:rFonts w:hint="eastAsia"/>
        </w:rPr>
        <w:t>重要的合营企业或联营企业</w:t>
      </w:r>
    </w:p>
    <w:sdt>
      <w:sdtPr>
        <w:rPr>
          <w:rFonts w:hint="eastAsia"/>
        </w:rPr>
        <w:alias w:val="是否适用：重要的合营企业或联营企业[双击切换]"/>
        <w:tag w:val="_GBC_99df64ed4bb84c2da5fb54cda5ae039b"/>
        <w:id w:val="-1141032983"/>
        <w:placeholder>
          <w:docPart w:val="GBC22222222222222222222222222222"/>
        </w:placeholder>
      </w:sdtPr>
      <w:sdtEndPr>
        <w:rPr>
          <w:rFonts w:hint="eastAsia"/>
        </w:rPr>
      </w:sdtEndPr>
      <w:sdtContent>
        <w:p w14:paraId="6C489DD5">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B148BEC">
      <w:pPr>
        <w:jc w:val="right"/>
      </w:pPr>
    </w:p>
    <w:tbl>
      <w:tblPr>
        <w:tblStyle w:val="57"/>
        <w:tblW w:w="9334"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1328"/>
        <w:gridCol w:w="1250"/>
        <w:gridCol w:w="2589"/>
        <w:gridCol w:w="709"/>
        <w:gridCol w:w="709"/>
        <w:gridCol w:w="1253"/>
      </w:tblGrid>
      <w:tr w14:paraId="3A31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sdt>
          <w:sdtPr>
            <w:tag w:val="_PLD_6004d65b7e3443dc82381484e3885a6b"/>
            <w:id w:val="197365711"/>
          </w:sdtPr>
          <w:sdtContent>
            <w:tc>
              <w:tcPr>
                <w:tcW w:w="1496" w:type="dxa"/>
                <w:vMerge w:val="restart"/>
                <w:vAlign w:val="center"/>
              </w:tcPr>
              <w:p w14:paraId="4C9B54A0">
                <w:pPr>
                  <w:jc w:val="center"/>
                  <w:rPr>
                    <w:rFonts w:ascii="Calibri" w:hAnsi="Calibri" w:cs="Arial"/>
                    <w:sz w:val="20"/>
                    <w:szCs w:val="20"/>
                  </w:rPr>
                </w:pPr>
                <w:r>
                  <w:rPr>
                    <w:rFonts w:hint="eastAsia" w:ascii="Calibri" w:hAnsi="Calibri" w:cs="Arial"/>
                    <w:sz w:val="20"/>
                    <w:szCs w:val="20"/>
                    <w:lang w:val="en-GB"/>
                  </w:rPr>
                  <w:t>合营企业或联营企业名称</w:t>
                </w:r>
              </w:p>
            </w:tc>
          </w:sdtContent>
        </w:sdt>
        <w:sdt>
          <w:sdtPr>
            <w:tag w:val="_PLD_2e148655e91e4b998bd7a7d0b10c96fd"/>
            <w:id w:val="1256092229"/>
          </w:sdtPr>
          <w:sdtContent>
            <w:tc>
              <w:tcPr>
                <w:tcW w:w="1328" w:type="dxa"/>
                <w:vMerge w:val="restart"/>
                <w:vAlign w:val="center"/>
              </w:tcPr>
              <w:p w14:paraId="17754B98">
                <w:pPr>
                  <w:jc w:val="center"/>
                  <w:rPr>
                    <w:rFonts w:ascii="Calibri" w:hAnsi="Calibri" w:cs="Arial"/>
                    <w:sz w:val="20"/>
                    <w:szCs w:val="20"/>
                  </w:rPr>
                </w:pPr>
                <w:r>
                  <w:rPr>
                    <w:rFonts w:hint="eastAsia" w:ascii="Calibri" w:hAnsi="Calibri" w:cs="Arial"/>
                    <w:sz w:val="20"/>
                    <w:szCs w:val="20"/>
                    <w:lang w:val="en-GB"/>
                  </w:rPr>
                  <w:t>主要经营地</w:t>
                </w:r>
              </w:p>
            </w:tc>
          </w:sdtContent>
        </w:sdt>
        <w:sdt>
          <w:sdtPr>
            <w:tag w:val="_PLD_32e2714eb7074350886ae0d40b5c34b1"/>
            <w:id w:val="690880144"/>
          </w:sdtPr>
          <w:sdtContent>
            <w:tc>
              <w:tcPr>
                <w:tcW w:w="1250" w:type="dxa"/>
                <w:vMerge w:val="restart"/>
                <w:vAlign w:val="center"/>
              </w:tcPr>
              <w:p w14:paraId="081A5D01">
                <w:pPr>
                  <w:jc w:val="center"/>
                  <w:rPr>
                    <w:rFonts w:ascii="Calibri" w:hAnsi="Calibri" w:cs="Arial"/>
                    <w:sz w:val="20"/>
                    <w:szCs w:val="20"/>
                  </w:rPr>
                </w:pPr>
                <w:r>
                  <w:rPr>
                    <w:rFonts w:hint="eastAsia" w:ascii="Calibri" w:hAnsi="Calibri" w:cs="Arial"/>
                    <w:sz w:val="20"/>
                    <w:szCs w:val="20"/>
                    <w:lang w:val="en-GB"/>
                  </w:rPr>
                  <w:t>注册地</w:t>
                </w:r>
              </w:p>
            </w:tc>
          </w:sdtContent>
        </w:sdt>
        <w:sdt>
          <w:sdtPr>
            <w:tag w:val="_PLD_d429c77b8bef473a98608606ebcd4d75"/>
            <w:id w:val="992223753"/>
          </w:sdtPr>
          <w:sdtContent>
            <w:tc>
              <w:tcPr>
                <w:tcW w:w="2589" w:type="dxa"/>
                <w:vMerge w:val="restart"/>
                <w:vAlign w:val="center"/>
              </w:tcPr>
              <w:p w14:paraId="549C739F">
                <w:pPr>
                  <w:jc w:val="center"/>
                  <w:rPr>
                    <w:rFonts w:ascii="Calibri" w:hAnsi="Calibri" w:cs="Arial"/>
                    <w:sz w:val="20"/>
                    <w:szCs w:val="20"/>
                  </w:rPr>
                </w:pPr>
                <w:r>
                  <w:rPr>
                    <w:rFonts w:hint="eastAsia" w:ascii="Calibri" w:hAnsi="Calibri" w:cs="Arial"/>
                    <w:sz w:val="20"/>
                    <w:szCs w:val="20"/>
                    <w:lang w:val="en-GB"/>
                  </w:rPr>
                  <w:t>业务性质</w:t>
                </w:r>
              </w:p>
            </w:tc>
          </w:sdtContent>
        </w:sdt>
        <w:sdt>
          <w:sdtPr>
            <w:tag w:val="_PLD_bc055f9d5073401a85de2316f2a2b7ce"/>
            <w:id w:val="-79288754"/>
          </w:sdtPr>
          <w:sdtContent>
            <w:tc>
              <w:tcPr>
                <w:tcW w:w="1418" w:type="dxa"/>
                <w:gridSpan w:val="2"/>
                <w:vAlign w:val="center"/>
              </w:tcPr>
              <w:p w14:paraId="4E1E297C">
                <w:pPr>
                  <w:jc w:val="center"/>
                  <w:rPr>
                    <w:rFonts w:ascii="Calibri" w:hAnsi="Calibri" w:cs="Arial"/>
                    <w:sz w:val="20"/>
                    <w:szCs w:val="20"/>
                  </w:rPr>
                </w:pPr>
                <w:r>
                  <w:rPr>
                    <w:rFonts w:hint="eastAsia" w:ascii="Calibri" w:hAnsi="Calibri" w:cs="Arial"/>
                    <w:sz w:val="20"/>
                    <w:szCs w:val="20"/>
                    <w:lang w:val="en-GB"/>
                  </w:rPr>
                  <w:t>持股比例</w:t>
                </w:r>
                <w:r>
                  <w:rPr>
                    <w:rFonts w:ascii="Calibri" w:hAnsi="Calibri" w:cs="Arial"/>
                    <w:sz w:val="20"/>
                    <w:szCs w:val="20"/>
                  </w:rPr>
                  <w:t>(%)</w:t>
                </w:r>
              </w:p>
            </w:tc>
          </w:sdtContent>
        </w:sdt>
        <w:sdt>
          <w:sdtPr>
            <w:tag w:val="_PLD_96c57a3220e8432f8deedb4873fcf29c"/>
            <w:id w:val="-1145498820"/>
          </w:sdtPr>
          <w:sdtContent>
            <w:tc>
              <w:tcPr>
                <w:tcW w:w="1253" w:type="dxa"/>
                <w:vMerge w:val="restart"/>
                <w:vAlign w:val="center"/>
              </w:tcPr>
              <w:p w14:paraId="0477192F">
                <w:pPr>
                  <w:jc w:val="center"/>
                  <w:rPr>
                    <w:rFonts w:ascii="Calibri" w:hAnsi="Calibri" w:cs="Arial"/>
                    <w:sz w:val="20"/>
                    <w:szCs w:val="20"/>
                  </w:rPr>
                </w:pPr>
                <w:r>
                  <w:rPr>
                    <w:rFonts w:hint="eastAsia" w:ascii="Calibri" w:hAnsi="Calibri" w:cs="Arial"/>
                    <w:sz w:val="20"/>
                    <w:szCs w:val="20"/>
                    <w:lang w:val="en-GB"/>
                  </w:rPr>
                  <w:t>对合营企业或联营企业投资的会计处理方法</w:t>
                </w:r>
              </w:p>
            </w:tc>
          </w:sdtContent>
        </w:sdt>
      </w:tr>
      <w:tr w14:paraId="59D4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496" w:type="dxa"/>
            <w:vMerge w:val="continue"/>
            <w:vAlign w:val="center"/>
          </w:tcPr>
          <w:p w14:paraId="15C34C34">
            <w:pPr>
              <w:rPr>
                <w:rFonts w:ascii="Calibri" w:hAnsi="Calibri" w:cs="Arial"/>
                <w:sz w:val="20"/>
                <w:szCs w:val="20"/>
              </w:rPr>
            </w:pPr>
          </w:p>
        </w:tc>
        <w:tc>
          <w:tcPr>
            <w:tcW w:w="1328" w:type="dxa"/>
            <w:vMerge w:val="continue"/>
            <w:vAlign w:val="center"/>
          </w:tcPr>
          <w:p w14:paraId="7CB37091">
            <w:pPr>
              <w:rPr>
                <w:rFonts w:ascii="Calibri" w:hAnsi="Calibri" w:cs="Arial"/>
                <w:sz w:val="20"/>
                <w:szCs w:val="20"/>
              </w:rPr>
            </w:pPr>
          </w:p>
        </w:tc>
        <w:tc>
          <w:tcPr>
            <w:tcW w:w="1250" w:type="dxa"/>
            <w:vMerge w:val="continue"/>
            <w:vAlign w:val="center"/>
          </w:tcPr>
          <w:p w14:paraId="1589F4D1">
            <w:pPr>
              <w:rPr>
                <w:rFonts w:ascii="Calibri" w:hAnsi="Calibri" w:cs="Arial"/>
                <w:sz w:val="20"/>
                <w:szCs w:val="20"/>
              </w:rPr>
            </w:pPr>
          </w:p>
        </w:tc>
        <w:tc>
          <w:tcPr>
            <w:tcW w:w="2589" w:type="dxa"/>
            <w:vMerge w:val="continue"/>
            <w:vAlign w:val="center"/>
          </w:tcPr>
          <w:p w14:paraId="027BA1A3">
            <w:pPr>
              <w:rPr>
                <w:rFonts w:ascii="Calibri" w:hAnsi="Calibri" w:cs="Arial"/>
                <w:sz w:val="20"/>
                <w:szCs w:val="20"/>
              </w:rPr>
            </w:pPr>
          </w:p>
        </w:tc>
        <w:sdt>
          <w:sdtPr>
            <w:tag w:val="_PLD_076e5c9e7ab64e6db098592664f75c64"/>
            <w:id w:val="685099426"/>
          </w:sdtPr>
          <w:sdtContent>
            <w:tc>
              <w:tcPr>
                <w:tcW w:w="709" w:type="dxa"/>
                <w:vAlign w:val="center"/>
              </w:tcPr>
              <w:p w14:paraId="09495CD8">
                <w:pPr>
                  <w:jc w:val="center"/>
                  <w:rPr>
                    <w:rFonts w:ascii="Calibri" w:hAnsi="Calibri" w:cs="Arial"/>
                    <w:sz w:val="20"/>
                    <w:szCs w:val="20"/>
                  </w:rPr>
                </w:pPr>
                <w:r>
                  <w:rPr>
                    <w:rFonts w:hint="eastAsia" w:ascii="Calibri" w:hAnsi="Calibri" w:cs="Arial"/>
                    <w:sz w:val="20"/>
                    <w:szCs w:val="20"/>
                    <w:lang w:val="en-GB"/>
                  </w:rPr>
                  <w:t>直接</w:t>
                </w:r>
              </w:p>
            </w:tc>
          </w:sdtContent>
        </w:sdt>
        <w:sdt>
          <w:sdtPr>
            <w:tag w:val="_PLD_49b77f1690ee4cc88f829d510135f0bf"/>
            <w:id w:val="-1372151025"/>
          </w:sdtPr>
          <w:sdtContent>
            <w:tc>
              <w:tcPr>
                <w:tcW w:w="709" w:type="dxa"/>
                <w:vAlign w:val="center"/>
              </w:tcPr>
              <w:p w14:paraId="3250DCEE">
                <w:pPr>
                  <w:jc w:val="center"/>
                  <w:rPr>
                    <w:rFonts w:ascii="Calibri" w:hAnsi="Calibri" w:cs="Arial"/>
                    <w:sz w:val="20"/>
                    <w:szCs w:val="20"/>
                  </w:rPr>
                </w:pPr>
                <w:r>
                  <w:rPr>
                    <w:rFonts w:hint="eastAsia" w:ascii="Calibri" w:hAnsi="Calibri" w:cs="Arial"/>
                    <w:sz w:val="20"/>
                    <w:szCs w:val="20"/>
                    <w:lang w:val="en-GB"/>
                  </w:rPr>
                  <w:t>间接</w:t>
                </w:r>
              </w:p>
            </w:tc>
          </w:sdtContent>
        </w:sdt>
        <w:tc>
          <w:tcPr>
            <w:tcW w:w="1253" w:type="dxa"/>
            <w:vMerge w:val="continue"/>
            <w:vAlign w:val="center"/>
          </w:tcPr>
          <w:p w14:paraId="7C40F141">
            <w:pPr>
              <w:rPr>
                <w:rFonts w:ascii="Calibri" w:hAnsi="Calibri" w:cs="Arial"/>
                <w:sz w:val="20"/>
                <w:szCs w:val="20"/>
              </w:rPr>
            </w:pPr>
          </w:p>
        </w:tc>
      </w:tr>
      <w:tr w14:paraId="4587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6" w:type="dxa"/>
            <w:vAlign w:val="center"/>
          </w:tcPr>
          <w:p w14:paraId="35CCABE3">
            <w:pPr>
              <w:pStyle w:val="48"/>
              <w:rPr>
                <w:sz w:val="20"/>
                <w:szCs w:val="20"/>
              </w:rPr>
            </w:pPr>
            <w:r>
              <w:rPr>
                <w:sz w:val="20"/>
                <w:szCs w:val="20"/>
              </w:rPr>
              <w:t>厦门特宝生物工程股份有限公司</w:t>
            </w:r>
          </w:p>
        </w:tc>
        <w:tc>
          <w:tcPr>
            <w:tcW w:w="1328" w:type="dxa"/>
            <w:vAlign w:val="center"/>
          </w:tcPr>
          <w:p w14:paraId="1B5CA8BB">
            <w:pPr>
              <w:pStyle w:val="48"/>
              <w:rPr>
                <w:sz w:val="20"/>
                <w:szCs w:val="20"/>
              </w:rPr>
            </w:pPr>
            <w:r>
              <w:rPr>
                <w:sz w:val="20"/>
                <w:szCs w:val="20"/>
              </w:rPr>
              <w:t>厦门市海沧新阳工业区翁角路330号</w:t>
            </w:r>
          </w:p>
        </w:tc>
        <w:tc>
          <w:tcPr>
            <w:tcW w:w="1250" w:type="dxa"/>
            <w:vAlign w:val="center"/>
          </w:tcPr>
          <w:p w14:paraId="3A4AA71A">
            <w:pPr>
              <w:pStyle w:val="48"/>
              <w:rPr>
                <w:sz w:val="20"/>
                <w:szCs w:val="20"/>
              </w:rPr>
            </w:pPr>
            <w:r>
              <w:rPr>
                <w:sz w:val="20"/>
                <w:szCs w:val="20"/>
              </w:rPr>
              <w:t>厦门市海沧新阳工业区翁角路330号</w:t>
            </w:r>
          </w:p>
        </w:tc>
        <w:tc>
          <w:tcPr>
            <w:tcW w:w="2589" w:type="dxa"/>
            <w:vAlign w:val="center"/>
          </w:tcPr>
          <w:p w14:paraId="36EED780">
            <w:pPr>
              <w:pStyle w:val="48"/>
              <w:rPr>
                <w:sz w:val="20"/>
                <w:szCs w:val="20"/>
              </w:rPr>
            </w:pPr>
            <w:r>
              <w:rPr>
                <w:sz w:val="20"/>
                <w:szCs w:val="20"/>
              </w:rPr>
              <w:t>药品生产；药品进出口；第二类医疗器械生产；第三类医疗器械生产；第三类医疗器械经营。</w:t>
            </w:r>
          </w:p>
        </w:tc>
        <w:tc>
          <w:tcPr>
            <w:tcW w:w="709" w:type="dxa"/>
            <w:vAlign w:val="center"/>
          </w:tcPr>
          <w:p w14:paraId="3F847B36">
            <w:pPr>
              <w:jc w:val="right"/>
              <w:rPr>
                <w:rFonts w:ascii="Calibri" w:hAnsi="Calibri"/>
                <w:sz w:val="20"/>
                <w:szCs w:val="20"/>
              </w:rPr>
            </w:pPr>
            <w:r>
              <w:rPr>
                <w:rFonts w:ascii="Calibri" w:hAnsi="Calibri"/>
                <w:sz w:val="20"/>
                <w:szCs w:val="20"/>
              </w:rPr>
              <w:t>10.29</w:t>
            </w:r>
          </w:p>
        </w:tc>
        <w:tc>
          <w:tcPr>
            <w:tcW w:w="709" w:type="dxa"/>
            <w:vAlign w:val="center"/>
          </w:tcPr>
          <w:p w14:paraId="3FBF3FAD">
            <w:pPr>
              <w:jc w:val="right"/>
              <w:rPr>
                <w:rFonts w:ascii="Calibri" w:hAnsi="Calibri"/>
                <w:sz w:val="20"/>
                <w:szCs w:val="20"/>
              </w:rPr>
            </w:pPr>
          </w:p>
        </w:tc>
        <w:tc>
          <w:tcPr>
            <w:tcW w:w="1253" w:type="dxa"/>
            <w:vAlign w:val="center"/>
          </w:tcPr>
          <w:p w14:paraId="1F49E03F">
            <w:pPr>
              <w:pStyle w:val="48"/>
              <w:rPr>
                <w:sz w:val="20"/>
                <w:szCs w:val="20"/>
              </w:rPr>
            </w:pPr>
            <w:r>
              <w:rPr>
                <w:sz w:val="20"/>
                <w:szCs w:val="20"/>
              </w:rPr>
              <w:t>权益法核算</w:t>
            </w:r>
          </w:p>
        </w:tc>
      </w:tr>
      <w:tr w14:paraId="2F16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6" w:type="dxa"/>
            <w:vAlign w:val="center"/>
          </w:tcPr>
          <w:p w14:paraId="35235FD8">
            <w:pPr>
              <w:pStyle w:val="48"/>
              <w:rPr>
                <w:sz w:val="20"/>
                <w:szCs w:val="20"/>
              </w:rPr>
            </w:pPr>
            <w:r>
              <w:rPr>
                <w:sz w:val="20"/>
                <w:szCs w:val="20"/>
              </w:rPr>
              <w:t>华广生技股份有限公司</w:t>
            </w:r>
          </w:p>
        </w:tc>
        <w:tc>
          <w:tcPr>
            <w:tcW w:w="1328" w:type="dxa"/>
            <w:vAlign w:val="center"/>
          </w:tcPr>
          <w:p w14:paraId="52A1AC09">
            <w:pPr>
              <w:pStyle w:val="48"/>
              <w:rPr>
                <w:sz w:val="20"/>
                <w:szCs w:val="20"/>
              </w:rPr>
            </w:pPr>
            <w:r>
              <w:rPr>
                <w:sz w:val="20"/>
                <w:szCs w:val="20"/>
              </w:rPr>
              <w:t>台中市南区大庆街二段100号</w:t>
            </w:r>
          </w:p>
        </w:tc>
        <w:tc>
          <w:tcPr>
            <w:tcW w:w="1250" w:type="dxa"/>
            <w:vAlign w:val="center"/>
          </w:tcPr>
          <w:p w14:paraId="166EAD5D">
            <w:pPr>
              <w:pStyle w:val="48"/>
              <w:rPr>
                <w:sz w:val="20"/>
                <w:szCs w:val="20"/>
              </w:rPr>
            </w:pPr>
            <w:r>
              <w:rPr>
                <w:sz w:val="20"/>
                <w:szCs w:val="20"/>
              </w:rPr>
              <w:t>台中市南区大庆街二段100号</w:t>
            </w:r>
          </w:p>
        </w:tc>
        <w:tc>
          <w:tcPr>
            <w:tcW w:w="2589" w:type="dxa"/>
            <w:vAlign w:val="center"/>
          </w:tcPr>
          <w:p w14:paraId="2289C373">
            <w:pPr>
              <w:pStyle w:val="48"/>
              <w:rPr>
                <w:sz w:val="20"/>
                <w:szCs w:val="20"/>
              </w:rPr>
            </w:pPr>
            <w:r>
              <w:rPr>
                <w:sz w:val="20"/>
                <w:szCs w:val="20"/>
              </w:rPr>
              <w:t>医疗器械批发；生物技术服务；精密仪器批发；医疗器材制造等。</w:t>
            </w:r>
          </w:p>
        </w:tc>
        <w:tc>
          <w:tcPr>
            <w:tcW w:w="709" w:type="dxa"/>
            <w:vAlign w:val="center"/>
          </w:tcPr>
          <w:p w14:paraId="2F94F672">
            <w:pPr>
              <w:jc w:val="right"/>
              <w:rPr>
                <w:rFonts w:ascii="Calibri" w:hAnsi="Calibri"/>
                <w:sz w:val="20"/>
                <w:szCs w:val="20"/>
              </w:rPr>
            </w:pPr>
            <w:r>
              <w:rPr>
                <w:rFonts w:ascii="Calibri" w:hAnsi="Calibri"/>
                <w:sz w:val="20"/>
                <w:szCs w:val="20"/>
              </w:rPr>
              <w:t>19.62</w:t>
            </w:r>
          </w:p>
        </w:tc>
        <w:tc>
          <w:tcPr>
            <w:tcW w:w="709" w:type="dxa"/>
            <w:vAlign w:val="center"/>
          </w:tcPr>
          <w:p w14:paraId="28969352">
            <w:pPr>
              <w:jc w:val="right"/>
              <w:rPr>
                <w:rFonts w:ascii="Calibri" w:hAnsi="Calibri"/>
                <w:sz w:val="20"/>
                <w:szCs w:val="20"/>
              </w:rPr>
            </w:pPr>
          </w:p>
        </w:tc>
        <w:tc>
          <w:tcPr>
            <w:tcW w:w="1253" w:type="dxa"/>
            <w:vAlign w:val="center"/>
          </w:tcPr>
          <w:p w14:paraId="0ACFA0C6">
            <w:pPr>
              <w:pStyle w:val="48"/>
              <w:rPr>
                <w:sz w:val="20"/>
                <w:szCs w:val="20"/>
              </w:rPr>
            </w:pPr>
            <w:r>
              <w:rPr>
                <w:sz w:val="20"/>
                <w:szCs w:val="20"/>
              </w:rPr>
              <w:t>权益法核算</w:t>
            </w:r>
          </w:p>
        </w:tc>
      </w:tr>
    </w:tbl>
    <w:p w14:paraId="224EE534"/>
    <w:p w14:paraId="0B3BCF7A">
      <w:pPr>
        <w:rPr>
          <w:rFonts w:cs="Arial"/>
        </w:rPr>
      </w:pPr>
      <w:r>
        <w:rPr>
          <w:rFonts w:hint="eastAsia" w:cs="Arial"/>
        </w:rPr>
        <w:t>持有</w:t>
      </w:r>
      <w:r>
        <w:rPr>
          <w:rFonts w:cs="Arial"/>
        </w:rPr>
        <w:t>20%以下表决权但具有重大影响，或者持有20%或以上表决权但不具有重大影响的依据：</w:t>
      </w:r>
    </w:p>
    <w:p w14:paraId="1D8FDAB5">
      <w:pPr>
        <w:spacing w:line="360" w:lineRule="auto"/>
        <w:ind w:firstLine="420" w:firstLineChars="200"/>
        <w:jc w:val="both"/>
        <w:rPr>
          <w:rFonts w:cs="Arial"/>
        </w:rPr>
      </w:pPr>
      <w:sdt>
        <w:sdtPr>
          <w:rPr>
            <w:rFonts w:cs="Arial"/>
          </w:rPr>
          <w:alias w:val="持有20%以下表决权但具有重大影响，或者持有20%或以上表决权但不具有重大影响的依据"/>
          <w:tag w:val="_GBC_08a71a8c491f4c758da0748f7570fb28"/>
          <w:id w:val="211081636"/>
          <w:placeholder>
            <w:docPart w:val="GBC22222222222222222222222222222"/>
          </w:placeholder>
        </w:sdtPr>
        <w:sdtEndPr>
          <w:rPr>
            <w:rFonts w:cs="Arial"/>
          </w:rPr>
        </w:sdtEndPr>
        <w:sdtContent>
          <w:r>
            <w:rPr>
              <w:rFonts w:hint="eastAsia" w:cs="Arial"/>
            </w:rPr>
            <w:t>由于在被投资单位的董事会或类似权力机构中派有代表，公司对以上联营企业虽持有20%以下表决权但仍具有重大影响。</w:t>
          </w:r>
        </w:sdtContent>
      </w:sdt>
    </w:p>
    <w:p w14:paraId="645BE727">
      <w:pPr>
        <w:rPr>
          <w:rFonts w:cstheme="minorBidi"/>
        </w:rPr>
      </w:pPr>
    </w:p>
    <w:p w14:paraId="0A65D1A9">
      <w:pPr>
        <w:pStyle w:val="5"/>
        <w:numPr>
          <w:ilvl w:val="3"/>
          <w:numId w:val="109"/>
        </w:numPr>
        <w:ind w:left="426" w:hanging="426" w:hangingChars="202"/>
      </w:pPr>
      <w:r>
        <w:rPr>
          <w:rFonts w:hint="eastAsia"/>
        </w:rPr>
        <w:t>重要合营企业的主要财务信息</w:t>
      </w:r>
    </w:p>
    <w:sdt>
      <w:sdtPr>
        <w:rPr>
          <w:rFonts w:hint="eastAsia"/>
        </w:rPr>
        <w:alias w:val="是否适用：重要合营企业的主要财务信息[双击切换]"/>
        <w:tag w:val="_GBC_8218a872fcd045d290940ccf3b3bdfa5"/>
        <w:id w:val="-1002815889"/>
        <w:placeholder>
          <w:docPart w:val="GBC22222222222222222222222222222"/>
        </w:placeholder>
      </w:sdtPr>
      <w:sdtEndPr>
        <w:rPr>
          <w:rFonts w:hint="eastAsia"/>
        </w:rPr>
      </w:sdtEndPr>
      <w:sdtContent>
        <w:p w14:paraId="55762BE5">
          <w:pPr>
            <w:pStyle w:val="48"/>
            <w:rPr>
              <w:rFonts w:cs="Aria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3EB0A1">
      <w:pPr>
        <w:rPr>
          <w:rFonts w:cs="Arial"/>
        </w:rPr>
      </w:pPr>
    </w:p>
    <w:p w14:paraId="160EB1AF">
      <w:pPr>
        <w:rPr>
          <w:rFonts w:cstheme="minorBidi"/>
        </w:rPr>
        <w:sectPr>
          <w:pgSz w:w="11906" w:h="16838"/>
          <w:pgMar w:top="1525" w:right="1276" w:bottom="1440" w:left="1797" w:header="856" w:footer="992" w:gutter="0"/>
          <w:cols w:space="425" w:num="1"/>
          <w:docGrid w:linePitch="312" w:charSpace="0"/>
        </w:sectPr>
      </w:pPr>
    </w:p>
    <w:p w14:paraId="5FF594BC">
      <w:pPr>
        <w:rPr>
          <w:rFonts w:cstheme="minorBidi"/>
        </w:rPr>
      </w:pPr>
    </w:p>
    <w:p w14:paraId="09273E2C">
      <w:pPr>
        <w:pStyle w:val="5"/>
        <w:numPr>
          <w:ilvl w:val="3"/>
          <w:numId w:val="109"/>
        </w:numPr>
        <w:ind w:left="426" w:hanging="426" w:hangingChars="202"/>
      </w:pPr>
      <w:r>
        <w:rPr>
          <w:rFonts w:hint="eastAsia"/>
        </w:rPr>
        <w:t>重要联营企业的主要财务信息</w:t>
      </w:r>
    </w:p>
    <w:sdt>
      <w:sdtPr>
        <w:rPr>
          <w:rFonts w:hint="eastAsia"/>
        </w:rPr>
        <w:alias w:val="是否适用：重要联营企业的主要财务信息[双击切换]"/>
        <w:tag w:val="_GBC_e570958be6b64b7d8be73c12ea5135f1"/>
        <w:id w:val="1704130679"/>
        <w:placeholder>
          <w:docPart w:val="GBC22222222222222222222222222222"/>
        </w:placeholder>
      </w:sdtPr>
      <w:sdtEndPr>
        <w:rPr>
          <w:rFonts w:hint="eastAsia"/>
        </w:rPr>
      </w:sdtEndPr>
      <w:sdtContent>
        <w:p w14:paraId="373CE045">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F8F80D1">
      <w:pPr>
        <w:jc w:val="right"/>
      </w:pPr>
      <w:r>
        <w:rPr>
          <w:rFonts w:hint="eastAsia"/>
        </w:rPr>
        <w:t>单位：</w:t>
      </w:r>
      <w:sdt>
        <w:sdtPr>
          <w:rPr>
            <w:rFonts w:hint="eastAsia"/>
          </w:rPr>
          <w:alias w:val="单位：财务附注：重要联营企业的主要财务信息"/>
          <w:tag w:val="_GBC_0306b30be35040cd86d2b964142011d4"/>
          <w:id w:val="16127745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966716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970"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6"/>
        <w:gridCol w:w="1755"/>
        <w:gridCol w:w="2031"/>
        <w:gridCol w:w="1756"/>
        <w:gridCol w:w="2032"/>
      </w:tblGrid>
      <w:tr w14:paraId="70EF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396" w:type="dxa"/>
            <w:vMerge w:val="restart"/>
            <w:vAlign w:val="center"/>
          </w:tcPr>
          <w:p w14:paraId="3887B31E">
            <w:pPr>
              <w:jc w:val="center"/>
              <w:rPr>
                <w:rFonts w:ascii="Calibri" w:hAnsi="Calibri" w:cs="Arial"/>
                <w:sz w:val="20"/>
                <w:szCs w:val="20"/>
              </w:rPr>
            </w:pPr>
          </w:p>
        </w:tc>
        <w:tc>
          <w:tcPr>
            <w:tcW w:w="3786" w:type="dxa"/>
            <w:gridSpan w:val="2"/>
            <w:vAlign w:val="center"/>
          </w:tcPr>
          <w:sdt>
            <w:sdtPr>
              <w:tag w:val="_PLD_3f5fa209abb242d7b7cbb1f0a249e5ed"/>
              <w:id w:val="-1744401292"/>
            </w:sdtPr>
            <w:sdtContent>
              <w:p w14:paraId="2DB1517F">
                <w:pPr>
                  <w:jc w:val="center"/>
                  <w:rPr>
                    <w:rFonts w:ascii="Calibri" w:hAnsi="Calibri" w:cs="Arial"/>
                    <w:sz w:val="20"/>
                    <w:szCs w:val="20"/>
                  </w:rPr>
                </w:pPr>
                <w:r>
                  <w:rPr>
                    <w:rFonts w:hint="eastAsia" w:ascii="Calibri" w:hAnsi="Calibri" w:cs="Arial"/>
                    <w:sz w:val="20"/>
                    <w:szCs w:val="20"/>
                    <w:lang w:val="en-GB"/>
                  </w:rPr>
                  <w:t>期末余额</w:t>
                </w:r>
                <w:r>
                  <w:rPr>
                    <w:rFonts w:ascii="Calibri" w:hAnsi="Calibri" w:cs="Arial"/>
                    <w:sz w:val="20"/>
                    <w:szCs w:val="20"/>
                  </w:rPr>
                  <w:t>/</w:t>
                </w:r>
                <w:r>
                  <w:rPr>
                    <w:rFonts w:hint="eastAsia" w:ascii="Calibri" w:hAnsi="Calibri" w:cs="Arial"/>
                    <w:sz w:val="20"/>
                    <w:szCs w:val="20"/>
                    <w:lang w:val="en-GB"/>
                  </w:rPr>
                  <w:t>本期发生额</w:t>
                </w:r>
              </w:p>
            </w:sdtContent>
          </w:sdt>
        </w:tc>
        <w:tc>
          <w:tcPr>
            <w:tcW w:w="3787" w:type="dxa"/>
            <w:gridSpan w:val="2"/>
            <w:vAlign w:val="center"/>
          </w:tcPr>
          <w:sdt>
            <w:sdtPr>
              <w:tag w:val="_PLD_84be18983356408eb53d1d34932bd41a"/>
              <w:id w:val="-1896799815"/>
            </w:sdtPr>
            <w:sdtContent>
              <w:p w14:paraId="21A28F0A">
                <w:pPr>
                  <w:jc w:val="center"/>
                  <w:rPr>
                    <w:rFonts w:ascii="Calibri" w:hAnsi="Calibri" w:cs="Arial"/>
                    <w:sz w:val="20"/>
                    <w:szCs w:val="20"/>
                    <w:lang w:val="en-GB"/>
                  </w:rPr>
                </w:pPr>
                <w:r>
                  <w:rPr>
                    <w:rFonts w:hint="eastAsia" w:ascii="Calibri" w:hAnsi="Calibri" w:cs="Arial"/>
                    <w:sz w:val="20"/>
                    <w:szCs w:val="20"/>
                    <w:lang w:val="en-GB"/>
                  </w:rPr>
                  <w:t>期初余额</w:t>
                </w:r>
                <w:r>
                  <w:rPr>
                    <w:rFonts w:ascii="Calibri" w:hAnsi="Calibri" w:cs="Arial"/>
                    <w:sz w:val="20"/>
                    <w:szCs w:val="20"/>
                  </w:rPr>
                  <w:t>/</w:t>
                </w:r>
                <w:r>
                  <w:rPr>
                    <w:rFonts w:hint="eastAsia" w:ascii="Calibri" w:hAnsi="Calibri" w:cs="Arial"/>
                    <w:sz w:val="20"/>
                    <w:szCs w:val="20"/>
                    <w:lang w:val="en-GB"/>
                  </w:rPr>
                  <w:t>上期发生额</w:t>
                </w:r>
              </w:p>
            </w:sdtContent>
          </w:sdt>
        </w:tc>
      </w:tr>
      <w:tr w14:paraId="1CE6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396" w:type="dxa"/>
            <w:vMerge w:val="continue"/>
            <w:vAlign w:val="center"/>
          </w:tcPr>
          <w:p w14:paraId="68FF1B52">
            <w:pPr>
              <w:rPr>
                <w:rFonts w:ascii="Calibri" w:hAnsi="Calibri" w:cs="Arial"/>
                <w:sz w:val="20"/>
                <w:szCs w:val="20"/>
              </w:rPr>
            </w:pPr>
          </w:p>
        </w:tc>
        <w:tc>
          <w:tcPr>
            <w:tcW w:w="1755" w:type="dxa"/>
            <w:vAlign w:val="center"/>
          </w:tcPr>
          <w:p w14:paraId="21B69D90">
            <w:pPr>
              <w:jc w:val="center"/>
              <w:rPr>
                <w:rFonts w:ascii="Calibri" w:hAnsi="Calibri"/>
                <w:sz w:val="20"/>
                <w:szCs w:val="20"/>
              </w:rPr>
            </w:pPr>
            <w:r>
              <w:rPr>
                <w:rFonts w:ascii="Calibri" w:hAnsi="Calibri"/>
                <w:sz w:val="20"/>
                <w:szCs w:val="20"/>
              </w:rPr>
              <w:t>厦门特宝生物工程股份有限公司</w:t>
            </w:r>
          </w:p>
        </w:tc>
        <w:tc>
          <w:tcPr>
            <w:tcW w:w="2031" w:type="dxa"/>
            <w:vAlign w:val="center"/>
          </w:tcPr>
          <w:p w14:paraId="7E544F2D">
            <w:pPr>
              <w:jc w:val="center"/>
              <w:rPr>
                <w:rFonts w:ascii="Calibri" w:hAnsi="Calibri"/>
                <w:sz w:val="20"/>
                <w:szCs w:val="20"/>
              </w:rPr>
            </w:pPr>
            <w:r>
              <w:rPr>
                <w:rFonts w:ascii="Calibri" w:hAnsi="Calibri"/>
                <w:sz w:val="20"/>
                <w:szCs w:val="20"/>
              </w:rPr>
              <w:t>华广生技股份有限公司</w:t>
            </w:r>
          </w:p>
        </w:tc>
        <w:tc>
          <w:tcPr>
            <w:tcW w:w="1756" w:type="dxa"/>
            <w:vAlign w:val="center"/>
          </w:tcPr>
          <w:p w14:paraId="648421FC">
            <w:pPr>
              <w:jc w:val="center"/>
              <w:rPr>
                <w:rFonts w:ascii="Calibri" w:hAnsi="Calibri"/>
                <w:sz w:val="20"/>
                <w:szCs w:val="20"/>
              </w:rPr>
            </w:pPr>
            <w:r>
              <w:rPr>
                <w:rFonts w:ascii="Calibri" w:hAnsi="Calibri"/>
                <w:sz w:val="20"/>
                <w:szCs w:val="20"/>
              </w:rPr>
              <w:t>厦门特宝生物工程股份有限公司</w:t>
            </w:r>
          </w:p>
        </w:tc>
        <w:tc>
          <w:tcPr>
            <w:tcW w:w="2031" w:type="dxa"/>
            <w:vAlign w:val="center"/>
          </w:tcPr>
          <w:p w14:paraId="639EC2E3">
            <w:pPr>
              <w:jc w:val="center"/>
              <w:rPr>
                <w:rFonts w:ascii="Calibri" w:hAnsi="Calibri"/>
                <w:sz w:val="20"/>
                <w:szCs w:val="20"/>
              </w:rPr>
            </w:pPr>
            <w:r>
              <w:rPr>
                <w:rFonts w:ascii="Calibri" w:hAnsi="Calibri"/>
                <w:sz w:val="20"/>
                <w:szCs w:val="20"/>
              </w:rPr>
              <w:t>华广生技股份有限公司</w:t>
            </w:r>
          </w:p>
        </w:tc>
      </w:tr>
      <w:tr w14:paraId="3D49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396" w:type="dxa"/>
            <w:vAlign w:val="center"/>
          </w:tcPr>
          <w:p w14:paraId="10808FE9">
            <w:pPr>
              <w:rPr>
                <w:rFonts w:ascii="Calibri" w:hAnsi="Calibri" w:cs="Arial"/>
                <w:color w:val="000000"/>
                <w:sz w:val="20"/>
                <w:szCs w:val="20"/>
              </w:rPr>
            </w:pPr>
            <w:r>
              <w:rPr>
                <w:rFonts w:hint="eastAsia" w:ascii="Calibri" w:hAnsi="Calibri" w:cs="Arial"/>
                <w:color w:val="000000"/>
                <w:sz w:val="20"/>
                <w:szCs w:val="20"/>
                <w:lang w:val="en-GB"/>
              </w:rPr>
              <w:t>流动资产</w:t>
            </w:r>
          </w:p>
        </w:tc>
        <w:tc>
          <w:tcPr>
            <w:tcW w:w="1755" w:type="dxa"/>
            <w:vAlign w:val="center"/>
          </w:tcPr>
          <w:p w14:paraId="5394F0EB">
            <w:pPr>
              <w:jc w:val="right"/>
              <w:rPr>
                <w:rFonts w:ascii="Calibri" w:hAnsi="Calibri"/>
                <w:sz w:val="20"/>
                <w:szCs w:val="20"/>
              </w:rPr>
            </w:pPr>
            <w:r>
              <w:rPr>
                <w:rFonts w:ascii="Calibri" w:hAnsi="Calibri"/>
                <w:sz w:val="20"/>
                <w:szCs w:val="20"/>
              </w:rPr>
              <w:t>2,730,375,042.65</w:t>
            </w:r>
          </w:p>
        </w:tc>
        <w:tc>
          <w:tcPr>
            <w:tcW w:w="2031" w:type="dxa"/>
            <w:vAlign w:val="center"/>
          </w:tcPr>
          <w:p w14:paraId="7ADFCA57">
            <w:pPr>
              <w:jc w:val="right"/>
              <w:rPr>
                <w:rFonts w:ascii="Calibri" w:hAnsi="Calibri"/>
                <w:sz w:val="20"/>
                <w:szCs w:val="20"/>
              </w:rPr>
            </w:pPr>
            <w:r>
              <w:rPr>
                <w:rFonts w:ascii="Calibri" w:hAnsi="Calibri"/>
                <w:sz w:val="20"/>
                <w:szCs w:val="20"/>
              </w:rPr>
              <w:t>348,284,979.60</w:t>
            </w:r>
          </w:p>
        </w:tc>
        <w:tc>
          <w:tcPr>
            <w:tcW w:w="1756" w:type="dxa"/>
            <w:vAlign w:val="center"/>
          </w:tcPr>
          <w:p w14:paraId="157037CE">
            <w:pPr>
              <w:jc w:val="right"/>
              <w:rPr>
                <w:rFonts w:ascii="Calibri" w:hAnsi="Calibri"/>
                <w:sz w:val="20"/>
                <w:szCs w:val="20"/>
              </w:rPr>
            </w:pPr>
            <w:r>
              <w:rPr>
                <w:rFonts w:ascii="Calibri" w:hAnsi="Calibri"/>
                <w:sz w:val="20"/>
                <w:szCs w:val="20"/>
              </w:rPr>
              <w:t>1,827,090,165.08</w:t>
            </w:r>
          </w:p>
        </w:tc>
        <w:tc>
          <w:tcPr>
            <w:tcW w:w="2031" w:type="dxa"/>
            <w:vAlign w:val="center"/>
          </w:tcPr>
          <w:p w14:paraId="5C261FA6">
            <w:pPr>
              <w:jc w:val="right"/>
              <w:rPr>
                <w:rFonts w:ascii="Calibri" w:hAnsi="Calibri"/>
                <w:sz w:val="20"/>
                <w:szCs w:val="20"/>
              </w:rPr>
            </w:pPr>
            <w:r>
              <w:rPr>
                <w:rFonts w:ascii="Calibri" w:hAnsi="Calibri"/>
                <w:sz w:val="20"/>
                <w:szCs w:val="20"/>
              </w:rPr>
              <w:t>395,468,734.20</w:t>
            </w:r>
          </w:p>
        </w:tc>
      </w:tr>
      <w:tr w14:paraId="5EA7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6" w:type="dxa"/>
            <w:vAlign w:val="center"/>
          </w:tcPr>
          <w:p w14:paraId="36AD0936">
            <w:pPr>
              <w:rPr>
                <w:rFonts w:ascii="Calibri" w:hAnsi="Calibri" w:cs="Arial"/>
                <w:color w:val="000000"/>
                <w:sz w:val="20"/>
                <w:szCs w:val="20"/>
              </w:rPr>
            </w:pPr>
            <w:r>
              <w:rPr>
                <w:rFonts w:hint="eastAsia" w:ascii="Calibri" w:hAnsi="Calibri" w:cs="Arial"/>
                <w:color w:val="000000"/>
                <w:sz w:val="20"/>
                <w:szCs w:val="20"/>
                <w:lang w:val="en-GB"/>
              </w:rPr>
              <w:t>非流动资产</w:t>
            </w:r>
          </w:p>
        </w:tc>
        <w:tc>
          <w:tcPr>
            <w:tcW w:w="1755" w:type="dxa"/>
            <w:vAlign w:val="center"/>
          </w:tcPr>
          <w:p w14:paraId="0863C3D6">
            <w:pPr>
              <w:jc w:val="right"/>
              <w:rPr>
                <w:rFonts w:ascii="Calibri" w:hAnsi="Calibri"/>
                <w:sz w:val="20"/>
                <w:szCs w:val="20"/>
              </w:rPr>
            </w:pPr>
            <w:r>
              <w:rPr>
                <w:rFonts w:ascii="Calibri" w:hAnsi="Calibri"/>
                <w:sz w:val="20"/>
                <w:szCs w:val="20"/>
              </w:rPr>
              <w:t>1,643,145,577.89</w:t>
            </w:r>
          </w:p>
        </w:tc>
        <w:tc>
          <w:tcPr>
            <w:tcW w:w="2031" w:type="dxa"/>
            <w:vAlign w:val="center"/>
          </w:tcPr>
          <w:p w14:paraId="1849A482">
            <w:pPr>
              <w:jc w:val="right"/>
              <w:rPr>
                <w:rFonts w:ascii="Calibri" w:hAnsi="Calibri"/>
                <w:sz w:val="20"/>
                <w:szCs w:val="20"/>
              </w:rPr>
            </w:pPr>
            <w:r>
              <w:rPr>
                <w:rFonts w:ascii="Calibri" w:hAnsi="Calibri"/>
                <w:sz w:val="20"/>
                <w:szCs w:val="20"/>
              </w:rPr>
              <w:t>924,366,660.40</w:t>
            </w:r>
          </w:p>
        </w:tc>
        <w:tc>
          <w:tcPr>
            <w:tcW w:w="1756" w:type="dxa"/>
            <w:vAlign w:val="center"/>
          </w:tcPr>
          <w:p w14:paraId="54EECD5E">
            <w:pPr>
              <w:jc w:val="right"/>
              <w:rPr>
                <w:rFonts w:ascii="Calibri" w:hAnsi="Calibri"/>
                <w:sz w:val="20"/>
                <w:szCs w:val="20"/>
              </w:rPr>
            </w:pPr>
            <w:r>
              <w:rPr>
                <w:rFonts w:ascii="Calibri" w:hAnsi="Calibri"/>
                <w:sz w:val="20"/>
                <w:szCs w:val="20"/>
              </w:rPr>
              <w:t>1,223,324,670.50</w:t>
            </w:r>
          </w:p>
        </w:tc>
        <w:tc>
          <w:tcPr>
            <w:tcW w:w="2031" w:type="dxa"/>
            <w:vAlign w:val="center"/>
          </w:tcPr>
          <w:p w14:paraId="2A787B50">
            <w:pPr>
              <w:jc w:val="right"/>
              <w:rPr>
                <w:rFonts w:ascii="Calibri" w:hAnsi="Calibri"/>
                <w:sz w:val="20"/>
                <w:szCs w:val="20"/>
              </w:rPr>
            </w:pPr>
            <w:r>
              <w:rPr>
                <w:rFonts w:ascii="Calibri" w:hAnsi="Calibri"/>
                <w:sz w:val="20"/>
                <w:szCs w:val="20"/>
              </w:rPr>
              <w:t>904,019,892.75</w:t>
            </w:r>
          </w:p>
        </w:tc>
      </w:tr>
      <w:tr w14:paraId="1B79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6" w:type="dxa"/>
            <w:vAlign w:val="center"/>
          </w:tcPr>
          <w:p w14:paraId="163625E1">
            <w:pPr>
              <w:rPr>
                <w:rFonts w:ascii="Calibri" w:hAnsi="Calibri" w:cs="Arial"/>
                <w:color w:val="000000"/>
                <w:sz w:val="20"/>
                <w:szCs w:val="20"/>
              </w:rPr>
            </w:pPr>
            <w:r>
              <w:rPr>
                <w:rFonts w:hint="eastAsia" w:ascii="Calibri" w:hAnsi="Calibri" w:cs="Arial"/>
                <w:color w:val="000000"/>
                <w:sz w:val="20"/>
                <w:szCs w:val="20"/>
                <w:lang w:val="en-GB"/>
              </w:rPr>
              <w:t>资产合计</w:t>
            </w:r>
          </w:p>
        </w:tc>
        <w:tc>
          <w:tcPr>
            <w:tcW w:w="1755" w:type="dxa"/>
            <w:vAlign w:val="center"/>
          </w:tcPr>
          <w:p w14:paraId="1FFE3DAE">
            <w:pPr>
              <w:jc w:val="right"/>
              <w:rPr>
                <w:rFonts w:ascii="Calibri" w:hAnsi="Calibri"/>
                <w:sz w:val="20"/>
                <w:szCs w:val="20"/>
              </w:rPr>
            </w:pPr>
            <w:r>
              <w:rPr>
                <w:rFonts w:ascii="Calibri" w:hAnsi="Calibri"/>
                <w:sz w:val="20"/>
                <w:szCs w:val="20"/>
              </w:rPr>
              <w:t>4,373,520,620.54</w:t>
            </w:r>
          </w:p>
        </w:tc>
        <w:tc>
          <w:tcPr>
            <w:tcW w:w="2031" w:type="dxa"/>
            <w:vAlign w:val="center"/>
          </w:tcPr>
          <w:p w14:paraId="37EAE29D">
            <w:pPr>
              <w:jc w:val="right"/>
              <w:rPr>
                <w:rFonts w:ascii="Calibri" w:hAnsi="Calibri"/>
                <w:sz w:val="20"/>
                <w:szCs w:val="20"/>
              </w:rPr>
            </w:pPr>
            <w:r>
              <w:rPr>
                <w:rFonts w:ascii="Calibri" w:hAnsi="Calibri"/>
                <w:sz w:val="20"/>
                <w:szCs w:val="20"/>
              </w:rPr>
              <w:t>1,272,651,640.00</w:t>
            </w:r>
          </w:p>
        </w:tc>
        <w:tc>
          <w:tcPr>
            <w:tcW w:w="1756" w:type="dxa"/>
            <w:vAlign w:val="center"/>
          </w:tcPr>
          <w:p w14:paraId="0F52A198">
            <w:pPr>
              <w:jc w:val="right"/>
              <w:rPr>
                <w:rFonts w:ascii="Calibri" w:hAnsi="Calibri"/>
                <w:sz w:val="20"/>
                <w:szCs w:val="20"/>
              </w:rPr>
            </w:pPr>
            <w:r>
              <w:rPr>
                <w:rFonts w:ascii="Calibri" w:hAnsi="Calibri"/>
                <w:sz w:val="20"/>
                <w:szCs w:val="20"/>
              </w:rPr>
              <w:t>3,050,414,835.58</w:t>
            </w:r>
          </w:p>
        </w:tc>
        <w:tc>
          <w:tcPr>
            <w:tcW w:w="2031" w:type="dxa"/>
            <w:vAlign w:val="center"/>
          </w:tcPr>
          <w:p w14:paraId="1123758E">
            <w:pPr>
              <w:jc w:val="right"/>
              <w:rPr>
                <w:rFonts w:ascii="Calibri" w:hAnsi="Calibri"/>
                <w:sz w:val="20"/>
                <w:szCs w:val="20"/>
              </w:rPr>
            </w:pPr>
            <w:r>
              <w:rPr>
                <w:rFonts w:ascii="Calibri" w:hAnsi="Calibri"/>
                <w:sz w:val="20"/>
                <w:szCs w:val="20"/>
              </w:rPr>
              <w:t>1,299,488,626.95</w:t>
            </w:r>
          </w:p>
        </w:tc>
      </w:tr>
      <w:tr w14:paraId="0736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970" w:type="dxa"/>
            <w:gridSpan w:val="5"/>
            <w:vAlign w:val="center"/>
          </w:tcPr>
          <w:p w14:paraId="73E0F032">
            <w:pPr>
              <w:jc w:val="right"/>
              <w:rPr>
                <w:rFonts w:ascii="Calibri" w:hAnsi="Calibri"/>
                <w:sz w:val="20"/>
                <w:szCs w:val="20"/>
              </w:rPr>
            </w:pPr>
          </w:p>
        </w:tc>
      </w:tr>
      <w:tr w14:paraId="77FB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6" w:type="dxa"/>
            <w:vAlign w:val="center"/>
          </w:tcPr>
          <w:p w14:paraId="63AE9148">
            <w:pPr>
              <w:rPr>
                <w:rFonts w:ascii="Calibri" w:hAnsi="Calibri" w:cs="Arial"/>
                <w:color w:val="000000"/>
                <w:sz w:val="20"/>
                <w:szCs w:val="20"/>
              </w:rPr>
            </w:pPr>
            <w:r>
              <w:rPr>
                <w:rFonts w:hint="eastAsia" w:ascii="Calibri" w:hAnsi="Calibri" w:cs="Arial"/>
                <w:color w:val="000000"/>
                <w:sz w:val="20"/>
                <w:szCs w:val="20"/>
                <w:lang w:val="en-GB"/>
              </w:rPr>
              <w:t>流动负债</w:t>
            </w:r>
          </w:p>
        </w:tc>
        <w:tc>
          <w:tcPr>
            <w:tcW w:w="1755" w:type="dxa"/>
            <w:vAlign w:val="center"/>
          </w:tcPr>
          <w:p w14:paraId="3FEDB41D">
            <w:pPr>
              <w:jc w:val="right"/>
              <w:rPr>
                <w:rFonts w:ascii="Calibri" w:hAnsi="Calibri"/>
                <w:sz w:val="20"/>
                <w:szCs w:val="20"/>
              </w:rPr>
            </w:pPr>
            <w:r>
              <w:rPr>
                <w:rFonts w:ascii="Calibri" w:hAnsi="Calibri"/>
                <w:sz w:val="20"/>
                <w:szCs w:val="20"/>
              </w:rPr>
              <w:t>707,113,916.83</w:t>
            </w:r>
          </w:p>
        </w:tc>
        <w:tc>
          <w:tcPr>
            <w:tcW w:w="2031" w:type="dxa"/>
            <w:vAlign w:val="center"/>
          </w:tcPr>
          <w:p w14:paraId="54403649">
            <w:pPr>
              <w:jc w:val="right"/>
              <w:rPr>
                <w:rFonts w:ascii="Calibri" w:hAnsi="Calibri"/>
                <w:sz w:val="20"/>
                <w:szCs w:val="20"/>
              </w:rPr>
            </w:pPr>
            <w:r>
              <w:rPr>
                <w:rFonts w:ascii="Calibri" w:hAnsi="Calibri"/>
                <w:sz w:val="20"/>
                <w:szCs w:val="20"/>
              </w:rPr>
              <w:t>463,670,514.80</w:t>
            </w:r>
          </w:p>
        </w:tc>
        <w:tc>
          <w:tcPr>
            <w:tcW w:w="1756" w:type="dxa"/>
            <w:vAlign w:val="center"/>
          </w:tcPr>
          <w:p w14:paraId="7FC477B3">
            <w:pPr>
              <w:jc w:val="right"/>
              <w:rPr>
                <w:rFonts w:ascii="Calibri" w:hAnsi="Calibri"/>
                <w:sz w:val="20"/>
                <w:szCs w:val="20"/>
              </w:rPr>
            </w:pPr>
            <w:r>
              <w:rPr>
                <w:rFonts w:ascii="Calibri" w:hAnsi="Calibri"/>
                <w:sz w:val="20"/>
                <w:szCs w:val="20"/>
              </w:rPr>
              <w:t>420,629,465.19</w:t>
            </w:r>
          </w:p>
        </w:tc>
        <w:tc>
          <w:tcPr>
            <w:tcW w:w="2031" w:type="dxa"/>
            <w:vAlign w:val="center"/>
          </w:tcPr>
          <w:p w14:paraId="5A69B3A4">
            <w:pPr>
              <w:jc w:val="right"/>
              <w:rPr>
                <w:rFonts w:ascii="Calibri" w:hAnsi="Calibri"/>
                <w:sz w:val="20"/>
                <w:szCs w:val="20"/>
              </w:rPr>
            </w:pPr>
            <w:r>
              <w:rPr>
                <w:rFonts w:ascii="Calibri" w:hAnsi="Calibri"/>
                <w:sz w:val="20"/>
                <w:szCs w:val="20"/>
              </w:rPr>
              <w:t>515,121,454.20</w:t>
            </w:r>
          </w:p>
        </w:tc>
      </w:tr>
      <w:tr w14:paraId="63CD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396" w:type="dxa"/>
            <w:vAlign w:val="center"/>
          </w:tcPr>
          <w:p w14:paraId="18C40B1C">
            <w:pPr>
              <w:rPr>
                <w:rFonts w:ascii="Calibri" w:hAnsi="Calibri" w:cs="Arial"/>
                <w:color w:val="000000"/>
                <w:sz w:val="20"/>
                <w:szCs w:val="20"/>
              </w:rPr>
            </w:pPr>
            <w:r>
              <w:rPr>
                <w:rFonts w:hint="eastAsia" w:ascii="Calibri" w:hAnsi="Calibri" w:cs="Arial"/>
                <w:color w:val="000000"/>
                <w:sz w:val="20"/>
                <w:szCs w:val="20"/>
                <w:lang w:val="en-GB"/>
              </w:rPr>
              <w:t>非流动负债</w:t>
            </w:r>
          </w:p>
        </w:tc>
        <w:tc>
          <w:tcPr>
            <w:tcW w:w="1755" w:type="dxa"/>
            <w:vAlign w:val="center"/>
          </w:tcPr>
          <w:p w14:paraId="3C69C3B6">
            <w:pPr>
              <w:jc w:val="right"/>
              <w:rPr>
                <w:rFonts w:ascii="Calibri" w:hAnsi="Calibri"/>
                <w:sz w:val="20"/>
                <w:szCs w:val="20"/>
              </w:rPr>
            </w:pPr>
            <w:r>
              <w:rPr>
                <w:rFonts w:ascii="Calibri" w:hAnsi="Calibri"/>
                <w:sz w:val="20"/>
                <w:szCs w:val="20"/>
              </w:rPr>
              <w:t>216,828,051.17</w:t>
            </w:r>
          </w:p>
        </w:tc>
        <w:tc>
          <w:tcPr>
            <w:tcW w:w="2031" w:type="dxa"/>
            <w:vAlign w:val="center"/>
          </w:tcPr>
          <w:p w14:paraId="178BC22C">
            <w:pPr>
              <w:jc w:val="right"/>
              <w:rPr>
                <w:rFonts w:ascii="Calibri" w:hAnsi="Calibri"/>
                <w:sz w:val="20"/>
                <w:szCs w:val="20"/>
              </w:rPr>
            </w:pPr>
            <w:r>
              <w:rPr>
                <w:rFonts w:ascii="Calibri" w:hAnsi="Calibri"/>
                <w:sz w:val="20"/>
                <w:szCs w:val="20"/>
              </w:rPr>
              <w:t>417,304,088.00</w:t>
            </w:r>
          </w:p>
        </w:tc>
        <w:tc>
          <w:tcPr>
            <w:tcW w:w="1756" w:type="dxa"/>
            <w:vAlign w:val="center"/>
          </w:tcPr>
          <w:p w14:paraId="226ADA80">
            <w:pPr>
              <w:jc w:val="right"/>
              <w:rPr>
                <w:rFonts w:ascii="Calibri" w:hAnsi="Calibri"/>
                <w:sz w:val="20"/>
                <w:szCs w:val="20"/>
              </w:rPr>
            </w:pPr>
            <w:r>
              <w:rPr>
                <w:rFonts w:ascii="Calibri" w:hAnsi="Calibri"/>
                <w:sz w:val="20"/>
                <w:szCs w:val="20"/>
              </w:rPr>
              <w:t>76,469,078.64</w:t>
            </w:r>
          </w:p>
        </w:tc>
        <w:tc>
          <w:tcPr>
            <w:tcW w:w="2031" w:type="dxa"/>
            <w:vAlign w:val="center"/>
          </w:tcPr>
          <w:p w14:paraId="19DEBA3D">
            <w:pPr>
              <w:jc w:val="right"/>
              <w:rPr>
                <w:rFonts w:ascii="Calibri" w:hAnsi="Calibri"/>
                <w:sz w:val="20"/>
                <w:szCs w:val="20"/>
              </w:rPr>
            </w:pPr>
            <w:r>
              <w:rPr>
                <w:rFonts w:ascii="Calibri" w:hAnsi="Calibri"/>
                <w:sz w:val="20"/>
                <w:szCs w:val="20"/>
              </w:rPr>
              <w:t>352,462,185.30</w:t>
            </w:r>
          </w:p>
        </w:tc>
      </w:tr>
      <w:tr w14:paraId="07A7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6" w:type="dxa"/>
            <w:vAlign w:val="center"/>
          </w:tcPr>
          <w:p w14:paraId="6DEB5056">
            <w:pPr>
              <w:rPr>
                <w:rFonts w:ascii="Calibri" w:hAnsi="Calibri" w:cs="Arial"/>
                <w:color w:val="000000"/>
                <w:sz w:val="20"/>
                <w:szCs w:val="20"/>
              </w:rPr>
            </w:pPr>
            <w:r>
              <w:rPr>
                <w:rFonts w:hint="eastAsia" w:ascii="Calibri" w:hAnsi="Calibri" w:cs="Arial"/>
                <w:color w:val="000000"/>
                <w:sz w:val="20"/>
                <w:szCs w:val="20"/>
                <w:lang w:val="en-GB"/>
              </w:rPr>
              <w:t>负债合计</w:t>
            </w:r>
          </w:p>
        </w:tc>
        <w:tc>
          <w:tcPr>
            <w:tcW w:w="1755" w:type="dxa"/>
            <w:vAlign w:val="center"/>
          </w:tcPr>
          <w:p w14:paraId="4D9373B9">
            <w:pPr>
              <w:jc w:val="right"/>
              <w:rPr>
                <w:rFonts w:ascii="Calibri" w:hAnsi="Calibri"/>
                <w:sz w:val="20"/>
                <w:szCs w:val="20"/>
              </w:rPr>
            </w:pPr>
            <w:r>
              <w:rPr>
                <w:rFonts w:ascii="Calibri" w:hAnsi="Calibri"/>
                <w:sz w:val="20"/>
                <w:szCs w:val="20"/>
              </w:rPr>
              <w:t>923,941,968.00</w:t>
            </w:r>
          </w:p>
        </w:tc>
        <w:tc>
          <w:tcPr>
            <w:tcW w:w="2031" w:type="dxa"/>
            <w:vAlign w:val="center"/>
          </w:tcPr>
          <w:p w14:paraId="34D3CD9F">
            <w:pPr>
              <w:jc w:val="right"/>
              <w:rPr>
                <w:rFonts w:ascii="Calibri" w:hAnsi="Calibri"/>
                <w:sz w:val="20"/>
                <w:szCs w:val="20"/>
              </w:rPr>
            </w:pPr>
            <w:r>
              <w:rPr>
                <w:rFonts w:ascii="Calibri" w:hAnsi="Calibri"/>
                <w:sz w:val="20"/>
                <w:szCs w:val="20"/>
              </w:rPr>
              <w:t>880,974,602.80</w:t>
            </w:r>
          </w:p>
        </w:tc>
        <w:tc>
          <w:tcPr>
            <w:tcW w:w="1756" w:type="dxa"/>
            <w:vAlign w:val="center"/>
          </w:tcPr>
          <w:p w14:paraId="241D2295">
            <w:pPr>
              <w:jc w:val="right"/>
              <w:rPr>
                <w:rFonts w:ascii="Calibri" w:hAnsi="Calibri"/>
                <w:sz w:val="20"/>
                <w:szCs w:val="20"/>
              </w:rPr>
            </w:pPr>
            <w:r>
              <w:rPr>
                <w:rFonts w:ascii="Calibri" w:hAnsi="Calibri"/>
                <w:sz w:val="20"/>
                <w:szCs w:val="20"/>
              </w:rPr>
              <w:t>497,098,543.83</w:t>
            </w:r>
          </w:p>
        </w:tc>
        <w:tc>
          <w:tcPr>
            <w:tcW w:w="2031" w:type="dxa"/>
            <w:vAlign w:val="center"/>
          </w:tcPr>
          <w:p w14:paraId="74DDC757">
            <w:pPr>
              <w:jc w:val="right"/>
              <w:rPr>
                <w:rFonts w:ascii="Calibri" w:hAnsi="Calibri"/>
                <w:sz w:val="20"/>
                <w:szCs w:val="20"/>
              </w:rPr>
            </w:pPr>
            <w:r>
              <w:rPr>
                <w:rFonts w:ascii="Calibri" w:hAnsi="Calibri"/>
                <w:sz w:val="20"/>
                <w:szCs w:val="20"/>
              </w:rPr>
              <w:t>867,583,639.50</w:t>
            </w:r>
          </w:p>
        </w:tc>
      </w:tr>
      <w:tr w14:paraId="3AD3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970" w:type="dxa"/>
            <w:gridSpan w:val="5"/>
            <w:vAlign w:val="center"/>
          </w:tcPr>
          <w:p w14:paraId="581F7416">
            <w:pPr>
              <w:jc w:val="right"/>
              <w:rPr>
                <w:rFonts w:ascii="Calibri" w:hAnsi="Calibri"/>
                <w:sz w:val="20"/>
                <w:szCs w:val="20"/>
              </w:rPr>
            </w:pPr>
          </w:p>
        </w:tc>
      </w:tr>
      <w:tr w14:paraId="761C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6" w:type="dxa"/>
            <w:vAlign w:val="center"/>
          </w:tcPr>
          <w:p w14:paraId="449D12FD">
            <w:pPr>
              <w:rPr>
                <w:rFonts w:ascii="Calibri" w:hAnsi="Calibri" w:cs="Arial"/>
                <w:color w:val="000000"/>
                <w:sz w:val="20"/>
                <w:szCs w:val="20"/>
              </w:rPr>
            </w:pPr>
            <w:r>
              <w:rPr>
                <w:rFonts w:hint="eastAsia" w:ascii="Calibri" w:hAnsi="Calibri" w:cs="Arial"/>
                <w:color w:val="000000"/>
                <w:sz w:val="20"/>
                <w:szCs w:val="20"/>
                <w:lang w:val="en-GB"/>
              </w:rPr>
              <w:t>少数股东权益</w:t>
            </w:r>
          </w:p>
        </w:tc>
        <w:tc>
          <w:tcPr>
            <w:tcW w:w="1755" w:type="dxa"/>
            <w:vAlign w:val="center"/>
          </w:tcPr>
          <w:p w14:paraId="16263977">
            <w:pPr>
              <w:jc w:val="right"/>
              <w:rPr>
                <w:rFonts w:ascii="Calibri" w:hAnsi="Calibri"/>
                <w:sz w:val="20"/>
                <w:szCs w:val="20"/>
              </w:rPr>
            </w:pPr>
          </w:p>
        </w:tc>
        <w:tc>
          <w:tcPr>
            <w:tcW w:w="2031" w:type="dxa"/>
            <w:vAlign w:val="center"/>
          </w:tcPr>
          <w:p w14:paraId="632E5A50">
            <w:pPr>
              <w:jc w:val="right"/>
              <w:rPr>
                <w:rFonts w:ascii="Calibri" w:hAnsi="Calibri"/>
                <w:sz w:val="20"/>
                <w:szCs w:val="20"/>
              </w:rPr>
            </w:pPr>
            <w:r>
              <w:rPr>
                <w:rFonts w:ascii="Calibri" w:hAnsi="Calibri"/>
                <w:sz w:val="20"/>
                <w:szCs w:val="20"/>
              </w:rPr>
              <w:t>2,473,934.40</w:t>
            </w:r>
          </w:p>
        </w:tc>
        <w:tc>
          <w:tcPr>
            <w:tcW w:w="1756" w:type="dxa"/>
            <w:vAlign w:val="center"/>
          </w:tcPr>
          <w:p w14:paraId="3C015187">
            <w:pPr>
              <w:jc w:val="right"/>
              <w:rPr>
                <w:rFonts w:ascii="Calibri" w:hAnsi="Calibri"/>
                <w:sz w:val="20"/>
                <w:szCs w:val="20"/>
              </w:rPr>
            </w:pPr>
          </w:p>
        </w:tc>
        <w:tc>
          <w:tcPr>
            <w:tcW w:w="2031" w:type="dxa"/>
            <w:vAlign w:val="center"/>
          </w:tcPr>
          <w:p w14:paraId="0277CF05">
            <w:pPr>
              <w:jc w:val="right"/>
              <w:rPr>
                <w:rFonts w:ascii="Calibri" w:hAnsi="Calibri"/>
                <w:sz w:val="20"/>
                <w:szCs w:val="20"/>
              </w:rPr>
            </w:pPr>
            <w:r>
              <w:rPr>
                <w:rFonts w:ascii="Calibri" w:hAnsi="Calibri"/>
                <w:sz w:val="20"/>
                <w:szCs w:val="20"/>
              </w:rPr>
              <w:t>2,052,981.70</w:t>
            </w:r>
          </w:p>
        </w:tc>
      </w:tr>
      <w:tr w14:paraId="7E3E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396" w:type="dxa"/>
            <w:vAlign w:val="center"/>
          </w:tcPr>
          <w:p w14:paraId="7C7745F4">
            <w:pPr>
              <w:rPr>
                <w:rFonts w:ascii="Calibri" w:hAnsi="Calibri" w:cs="Arial"/>
                <w:color w:val="000000"/>
                <w:sz w:val="20"/>
                <w:szCs w:val="20"/>
              </w:rPr>
            </w:pPr>
            <w:r>
              <w:rPr>
                <w:rFonts w:hint="eastAsia" w:ascii="Calibri" w:hAnsi="Calibri" w:cs="Arial"/>
                <w:color w:val="000000"/>
                <w:sz w:val="20"/>
                <w:szCs w:val="20"/>
                <w:lang w:val="en-GB"/>
              </w:rPr>
              <w:t>归属于母公司股东权益</w:t>
            </w:r>
          </w:p>
        </w:tc>
        <w:tc>
          <w:tcPr>
            <w:tcW w:w="1755" w:type="dxa"/>
            <w:vAlign w:val="center"/>
          </w:tcPr>
          <w:p w14:paraId="022FC6DF">
            <w:pPr>
              <w:jc w:val="right"/>
              <w:rPr>
                <w:rFonts w:ascii="Calibri" w:hAnsi="Calibri"/>
                <w:sz w:val="20"/>
                <w:szCs w:val="20"/>
              </w:rPr>
            </w:pPr>
            <w:r>
              <w:rPr>
                <w:rFonts w:ascii="Calibri" w:hAnsi="Calibri"/>
                <w:sz w:val="20"/>
                <w:szCs w:val="20"/>
              </w:rPr>
              <w:t>3,449,578,652.54</w:t>
            </w:r>
          </w:p>
        </w:tc>
        <w:tc>
          <w:tcPr>
            <w:tcW w:w="2031" w:type="dxa"/>
            <w:vAlign w:val="center"/>
          </w:tcPr>
          <w:p w14:paraId="2A17B12D">
            <w:pPr>
              <w:jc w:val="right"/>
              <w:rPr>
                <w:rFonts w:ascii="Calibri" w:hAnsi="Calibri"/>
                <w:sz w:val="20"/>
                <w:szCs w:val="20"/>
              </w:rPr>
            </w:pPr>
            <w:r>
              <w:rPr>
                <w:rFonts w:ascii="Calibri" w:hAnsi="Calibri"/>
                <w:sz w:val="20"/>
                <w:szCs w:val="20"/>
              </w:rPr>
              <w:t>389,203,102.80</w:t>
            </w:r>
          </w:p>
        </w:tc>
        <w:tc>
          <w:tcPr>
            <w:tcW w:w="1756" w:type="dxa"/>
            <w:vAlign w:val="center"/>
          </w:tcPr>
          <w:p w14:paraId="4684F87C">
            <w:pPr>
              <w:jc w:val="right"/>
              <w:rPr>
                <w:rFonts w:ascii="Calibri" w:hAnsi="Calibri"/>
                <w:sz w:val="20"/>
                <w:szCs w:val="20"/>
              </w:rPr>
            </w:pPr>
            <w:r>
              <w:rPr>
                <w:rFonts w:ascii="Calibri" w:hAnsi="Calibri"/>
                <w:sz w:val="20"/>
                <w:szCs w:val="20"/>
              </w:rPr>
              <w:t>2,553,316,291.75</w:t>
            </w:r>
          </w:p>
        </w:tc>
        <w:tc>
          <w:tcPr>
            <w:tcW w:w="2031" w:type="dxa"/>
            <w:vAlign w:val="center"/>
          </w:tcPr>
          <w:p w14:paraId="16DC4A00">
            <w:pPr>
              <w:jc w:val="right"/>
              <w:rPr>
                <w:rFonts w:ascii="Calibri" w:hAnsi="Calibri"/>
                <w:sz w:val="20"/>
                <w:szCs w:val="20"/>
              </w:rPr>
            </w:pPr>
            <w:r>
              <w:rPr>
                <w:rFonts w:ascii="Calibri" w:hAnsi="Calibri"/>
                <w:sz w:val="20"/>
                <w:szCs w:val="20"/>
              </w:rPr>
              <w:t>429,852,005.75</w:t>
            </w:r>
          </w:p>
        </w:tc>
      </w:tr>
      <w:tr w14:paraId="1460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970" w:type="dxa"/>
            <w:gridSpan w:val="5"/>
            <w:vAlign w:val="center"/>
          </w:tcPr>
          <w:p w14:paraId="406C2D37">
            <w:pPr>
              <w:jc w:val="right"/>
              <w:rPr>
                <w:rFonts w:ascii="Calibri" w:hAnsi="Calibri"/>
                <w:sz w:val="20"/>
                <w:szCs w:val="20"/>
              </w:rPr>
            </w:pPr>
          </w:p>
        </w:tc>
      </w:tr>
      <w:tr w14:paraId="2757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6" w:type="dxa"/>
            <w:vAlign w:val="center"/>
          </w:tcPr>
          <w:p w14:paraId="2A6B7371">
            <w:pPr>
              <w:rPr>
                <w:rFonts w:ascii="Calibri" w:hAnsi="Calibri" w:cs="Arial"/>
                <w:color w:val="000000"/>
                <w:sz w:val="20"/>
                <w:szCs w:val="20"/>
              </w:rPr>
            </w:pPr>
            <w:r>
              <w:rPr>
                <w:rFonts w:hint="eastAsia" w:ascii="Calibri" w:hAnsi="Calibri" w:cs="Arial"/>
                <w:color w:val="000000"/>
                <w:sz w:val="20"/>
                <w:szCs w:val="20"/>
                <w:lang w:val="en-GB"/>
              </w:rPr>
              <w:t>按持股比例计算的净资产份额</w:t>
            </w:r>
          </w:p>
        </w:tc>
        <w:tc>
          <w:tcPr>
            <w:tcW w:w="1755" w:type="dxa"/>
            <w:vAlign w:val="center"/>
          </w:tcPr>
          <w:p w14:paraId="7F219D0D">
            <w:pPr>
              <w:jc w:val="right"/>
              <w:rPr>
                <w:rFonts w:ascii="Calibri" w:hAnsi="Calibri"/>
                <w:sz w:val="20"/>
                <w:szCs w:val="20"/>
              </w:rPr>
            </w:pPr>
            <w:r>
              <w:rPr>
                <w:rFonts w:ascii="Calibri" w:hAnsi="Calibri"/>
                <w:sz w:val="20"/>
                <w:szCs w:val="20"/>
              </w:rPr>
              <w:t>355,044,601.92</w:t>
            </w:r>
          </w:p>
        </w:tc>
        <w:tc>
          <w:tcPr>
            <w:tcW w:w="2031" w:type="dxa"/>
            <w:vAlign w:val="center"/>
          </w:tcPr>
          <w:p w14:paraId="7F574E5A">
            <w:pPr>
              <w:jc w:val="right"/>
              <w:rPr>
                <w:rFonts w:ascii="Calibri" w:hAnsi="Calibri"/>
                <w:sz w:val="20"/>
                <w:szCs w:val="20"/>
              </w:rPr>
            </w:pPr>
            <w:r>
              <w:rPr>
                <w:rFonts w:ascii="Calibri" w:hAnsi="Calibri"/>
                <w:sz w:val="20"/>
                <w:szCs w:val="20"/>
              </w:rPr>
              <w:t>76,372,343.49</w:t>
            </w:r>
          </w:p>
        </w:tc>
        <w:tc>
          <w:tcPr>
            <w:tcW w:w="1756" w:type="dxa"/>
            <w:vAlign w:val="center"/>
          </w:tcPr>
          <w:p w14:paraId="5BCC80DE">
            <w:pPr>
              <w:jc w:val="right"/>
              <w:rPr>
                <w:rFonts w:ascii="Calibri" w:hAnsi="Calibri"/>
                <w:sz w:val="20"/>
                <w:szCs w:val="20"/>
              </w:rPr>
            </w:pPr>
            <w:r>
              <w:rPr>
                <w:rFonts w:ascii="Calibri" w:hAnsi="Calibri"/>
                <w:sz w:val="20"/>
                <w:szCs w:val="20"/>
              </w:rPr>
              <w:t>409,234,300.15</w:t>
            </w:r>
          </w:p>
        </w:tc>
        <w:tc>
          <w:tcPr>
            <w:tcW w:w="2031" w:type="dxa"/>
            <w:vAlign w:val="center"/>
          </w:tcPr>
          <w:p w14:paraId="37135B92">
            <w:pPr>
              <w:jc w:val="right"/>
              <w:rPr>
                <w:rFonts w:ascii="Calibri" w:hAnsi="Calibri"/>
                <w:sz w:val="20"/>
                <w:szCs w:val="20"/>
              </w:rPr>
            </w:pPr>
            <w:r>
              <w:rPr>
                <w:rFonts w:ascii="Calibri" w:hAnsi="Calibri"/>
                <w:sz w:val="20"/>
                <w:szCs w:val="20"/>
              </w:rPr>
              <w:t>84,507,306.44</w:t>
            </w:r>
          </w:p>
        </w:tc>
      </w:tr>
      <w:tr w14:paraId="64AB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6" w:type="dxa"/>
            <w:vAlign w:val="center"/>
          </w:tcPr>
          <w:p w14:paraId="45F4BDE2">
            <w:pPr>
              <w:rPr>
                <w:rFonts w:ascii="Calibri" w:hAnsi="Calibri" w:cs="Arial"/>
                <w:color w:val="000000"/>
                <w:sz w:val="20"/>
                <w:szCs w:val="20"/>
              </w:rPr>
            </w:pPr>
            <w:r>
              <w:rPr>
                <w:rFonts w:hint="eastAsia" w:ascii="Calibri" w:hAnsi="Calibri" w:cs="Arial"/>
                <w:color w:val="000000"/>
                <w:sz w:val="20"/>
                <w:szCs w:val="20"/>
                <w:lang w:val="en-GB"/>
              </w:rPr>
              <w:t>调整事项</w:t>
            </w:r>
          </w:p>
        </w:tc>
        <w:tc>
          <w:tcPr>
            <w:tcW w:w="1755" w:type="dxa"/>
            <w:vAlign w:val="center"/>
          </w:tcPr>
          <w:p w14:paraId="3948CF62">
            <w:pPr>
              <w:jc w:val="right"/>
              <w:rPr>
                <w:rFonts w:ascii="Calibri" w:hAnsi="Calibri"/>
                <w:sz w:val="20"/>
                <w:szCs w:val="20"/>
              </w:rPr>
            </w:pPr>
          </w:p>
        </w:tc>
        <w:tc>
          <w:tcPr>
            <w:tcW w:w="2031" w:type="dxa"/>
            <w:vAlign w:val="center"/>
          </w:tcPr>
          <w:p w14:paraId="4FDF8328">
            <w:pPr>
              <w:jc w:val="right"/>
              <w:rPr>
                <w:rFonts w:ascii="Calibri" w:hAnsi="Calibri"/>
                <w:sz w:val="20"/>
                <w:szCs w:val="20"/>
              </w:rPr>
            </w:pPr>
          </w:p>
        </w:tc>
        <w:tc>
          <w:tcPr>
            <w:tcW w:w="1756" w:type="dxa"/>
            <w:vAlign w:val="center"/>
          </w:tcPr>
          <w:p w14:paraId="53DDD75C">
            <w:pPr>
              <w:jc w:val="right"/>
              <w:rPr>
                <w:rFonts w:ascii="Calibri" w:hAnsi="Calibri"/>
                <w:sz w:val="20"/>
                <w:szCs w:val="20"/>
              </w:rPr>
            </w:pPr>
          </w:p>
        </w:tc>
        <w:tc>
          <w:tcPr>
            <w:tcW w:w="2031" w:type="dxa"/>
            <w:vAlign w:val="center"/>
          </w:tcPr>
          <w:p w14:paraId="3CB1C7DA">
            <w:pPr>
              <w:jc w:val="right"/>
              <w:rPr>
                <w:rFonts w:ascii="Calibri" w:hAnsi="Calibri"/>
                <w:sz w:val="20"/>
                <w:szCs w:val="20"/>
              </w:rPr>
            </w:pPr>
          </w:p>
        </w:tc>
      </w:tr>
      <w:tr w14:paraId="3AC5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6" w:type="dxa"/>
            <w:vAlign w:val="center"/>
          </w:tcPr>
          <w:p w14:paraId="5355EDC0">
            <w:pPr>
              <w:rPr>
                <w:rFonts w:ascii="Calibri" w:hAnsi="Calibri" w:cs="Arial"/>
                <w:color w:val="000000"/>
                <w:sz w:val="20"/>
                <w:szCs w:val="20"/>
              </w:rPr>
            </w:pPr>
            <w:r>
              <w:rPr>
                <w:rFonts w:ascii="Calibri" w:hAnsi="Calibri" w:cs="Arial"/>
                <w:color w:val="000000"/>
                <w:sz w:val="20"/>
                <w:szCs w:val="20"/>
              </w:rPr>
              <w:t>--</w:t>
            </w:r>
            <w:r>
              <w:rPr>
                <w:rFonts w:hint="eastAsia" w:ascii="Calibri" w:hAnsi="Calibri" w:cs="Arial"/>
                <w:color w:val="000000"/>
                <w:sz w:val="20"/>
                <w:szCs w:val="20"/>
                <w:lang w:val="en-GB"/>
              </w:rPr>
              <w:t>商誉</w:t>
            </w:r>
          </w:p>
        </w:tc>
        <w:tc>
          <w:tcPr>
            <w:tcW w:w="1755" w:type="dxa"/>
            <w:vAlign w:val="center"/>
          </w:tcPr>
          <w:p w14:paraId="25405EB4">
            <w:pPr>
              <w:jc w:val="right"/>
              <w:rPr>
                <w:rFonts w:ascii="Calibri" w:hAnsi="Calibri"/>
                <w:sz w:val="20"/>
                <w:szCs w:val="20"/>
              </w:rPr>
            </w:pPr>
          </w:p>
        </w:tc>
        <w:tc>
          <w:tcPr>
            <w:tcW w:w="2031" w:type="dxa"/>
            <w:vAlign w:val="center"/>
          </w:tcPr>
          <w:p w14:paraId="2A713AB8">
            <w:pPr>
              <w:jc w:val="right"/>
              <w:rPr>
                <w:rFonts w:ascii="Calibri" w:hAnsi="Calibri"/>
                <w:sz w:val="20"/>
                <w:szCs w:val="20"/>
              </w:rPr>
            </w:pPr>
          </w:p>
        </w:tc>
        <w:tc>
          <w:tcPr>
            <w:tcW w:w="1756" w:type="dxa"/>
            <w:vAlign w:val="center"/>
          </w:tcPr>
          <w:p w14:paraId="717DC762">
            <w:pPr>
              <w:jc w:val="right"/>
              <w:rPr>
                <w:rFonts w:ascii="Calibri" w:hAnsi="Calibri"/>
                <w:sz w:val="20"/>
                <w:szCs w:val="20"/>
              </w:rPr>
            </w:pPr>
          </w:p>
        </w:tc>
        <w:tc>
          <w:tcPr>
            <w:tcW w:w="2031" w:type="dxa"/>
            <w:vAlign w:val="center"/>
          </w:tcPr>
          <w:p w14:paraId="5D14783A">
            <w:pPr>
              <w:jc w:val="right"/>
              <w:rPr>
                <w:rFonts w:ascii="Calibri" w:hAnsi="Calibri"/>
                <w:sz w:val="20"/>
                <w:szCs w:val="20"/>
              </w:rPr>
            </w:pPr>
          </w:p>
        </w:tc>
      </w:tr>
      <w:tr w14:paraId="2227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396" w:type="dxa"/>
            <w:vAlign w:val="center"/>
          </w:tcPr>
          <w:p w14:paraId="0D4C84A9">
            <w:pPr>
              <w:rPr>
                <w:rFonts w:ascii="Calibri" w:hAnsi="Calibri" w:cs="Arial"/>
                <w:color w:val="000000"/>
                <w:sz w:val="20"/>
                <w:szCs w:val="20"/>
              </w:rPr>
            </w:pPr>
            <w:r>
              <w:rPr>
                <w:rFonts w:ascii="Calibri" w:hAnsi="Calibri" w:cs="Arial"/>
                <w:color w:val="000000"/>
                <w:sz w:val="20"/>
                <w:szCs w:val="20"/>
              </w:rPr>
              <w:t>--</w:t>
            </w:r>
            <w:r>
              <w:rPr>
                <w:rFonts w:hint="eastAsia" w:ascii="Calibri" w:hAnsi="Calibri" w:cs="Arial"/>
                <w:color w:val="000000"/>
                <w:sz w:val="20"/>
                <w:szCs w:val="20"/>
                <w:lang w:val="en-GB"/>
              </w:rPr>
              <w:t>内部交易未实现利润</w:t>
            </w:r>
          </w:p>
        </w:tc>
        <w:tc>
          <w:tcPr>
            <w:tcW w:w="1755" w:type="dxa"/>
            <w:vAlign w:val="center"/>
          </w:tcPr>
          <w:p w14:paraId="4E96985B">
            <w:pPr>
              <w:jc w:val="right"/>
              <w:rPr>
                <w:rFonts w:ascii="Calibri" w:hAnsi="Calibri"/>
                <w:sz w:val="20"/>
                <w:szCs w:val="20"/>
              </w:rPr>
            </w:pPr>
          </w:p>
        </w:tc>
        <w:tc>
          <w:tcPr>
            <w:tcW w:w="2031" w:type="dxa"/>
            <w:vAlign w:val="center"/>
          </w:tcPr>
          <w:p w14:paraId="73FD88EC">
            <w:pPr>
              <w:jc w:val="right"/>
              <w:rPr>
                <w:rFonts w:ascii="Calibri" w:hAnsi="Calibri"/>
                <w:sz w:val="20"/>
                <w:szCs w:val="20"/>
              </w:rPr>
            </w:pPr>
            <w:r>
              <w:rPr>
                <w:rFonts w:ascii="Calibri" w:hAnsi="Calibri"/>
                <w:sz w:val="20"/>
                <w:szCs w:val="20"/>
              </w:rPr>
              <w:t>-476,341.33</w:t>
            </w:r>
          </w:p>
        </w:tc>
        <w:tc>
          <w:tcPr>
            <w:tcW w:w="1756" w:type="dxa"/>
            <w:vAlign w:val="center"/>
          </w:tcPr>
          <w:p w14:paraId="20E8546A">
            <w:pPr>
              <w:jc w:val="right"/>
              <w:rPr>
                <w:rFonts w:ascii="Calibri" w:hAnsi="Calibri"/>
                <w:sz w:val="20"/>
                <w:szCs w:val="20"/>
              </w:rPr>
            </w:pPr>
          </w:p>
        </w:tc>
        <w:tc>
          <w:tcPr>
            <w:tcW w:w="2031" w:type="dxa"/>
            <w:vAlign w:val="center"/>
          </w:tcPr>
          <w:p w14:paraId="18C352B7">
            <w:pPr>
              <w:jc w:val="right"/>
              <w:rPr>
                <w:rFonts w:ascii="Calibri" w:hAnsi="Calibri"/>
                <w:sz w:val="20"/>
                <w:szCs w:val="20"/>
              </w:rPr>
            </w:pPr>
            <w:r>
              <w:rPr>
                <w:rFonts w:ascii="Calibri" w:hAnsi="Calibri"/>
                <w:sz w:val="20"/>
                <w:szCs w:val="20"/>
              </w:rPr>
              <w:t>283,545.62</w:t>
            </w:r>
          </w:p>
        </w:tc>
      </w:tr>
      <w:tr w14:paraId="3597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6" w:type="dxa"/>
            <w:vAlign w:val="center"/>
          </w:tcPr>
          <w:p w14:paraId="6DE27355">
            <w:pPr>
              <w:rPr>
                <w:rFonts w:ascii="Calibri" w:hAnsi="Calibri" w:cs="Arial"/>
                <w:color w:val="000000"/>
                <w:sz w:val="20"/>
                <w:szCs w:val="20"/>
              </w:rPr>
            </w:pPr>
            <w:r>
              <w:rPr>
                <w:rFonts w:ascii="Calibri" w:hAnsi="Calibri" w:cs="Arial"/>
                <w:color w:val="000000"/>
                <w:sz w:val="20"/>
                <w:szCs w:val="20"/>
              </w:rPr>
              <w:t>--</w:t>
            </w:r>
            <w:r>
              <w:rPr>
                <w:rFonts w:hint="eastAsia" w:ascii="Calibri" w:hAnsi="Calibri" w:cs="Arial"/>
                <w:color w:val="000000"/>
                <w:sz w:val="20"/>
                <w:szCs w:val="20"/>
                <w:lang w:val="en-GB"/>
              </w:rPr>
              <w:t>其他</w:t>
            </w:r>
          </w:p>
        </w:tc>
        <w:tc>
          <w:tcPr>
            <w:tcW w:w="1755" w:type="dxa"/>
            <w:vAlign w:val="center"/>
          </w:tcPr>
          <w:p w14:paraId="76F033F2">
            <w:pPr>
              <w:jc w:val="right"/>
              <w:rPr>
                <w:rFonts w:ascii="Calibri" w:hAnsi="Calibri"/>
                <w:sz w:val="20"/>
                <w:szCs w:val="20"/>
              </w:rPr>
            </w:pPr>
          </w:p>
        </w:tc>
        <w:tc>
          <w:tcPr>
            <w:tcW w:w="2031" w:type="dxa"/>
            <w:vAlign w:val="center"/>
          </w:tcPr>
          <w:p w14:paraId="47FF7784">
            <w:pPr>
              <w:jc w:val="right"/>
              <w:rPr>
                <w:rFonts w:ascii="Calibri" w:hAnsi="Calibri"/>
                <w:sz w:val="20"/>
                <w:szCs w:val="20"/>
              </w:rPr>
            </w:pPr>
          </w:p>
        </w:tc>
        <w:tc>
          <w:tcPr>
            <w:tcW w:w="1756" w:type="dxa"/>
            <w:vAlign w:val="center"/>
          </w:tcPr>
          <w:p w14:paraId="1FE07C17">
            <w:pPr>
              <w:jc w:val="right"/>
              <w:rPr>
                <w:rFonts w:ascii="Calibri" w:hAnsi="Calibri"/>
                <w:sz w:val="20"/>
                <w:szCs w:val="20"/>
              </w:rPr>
            </w:pPr>
          </w:p>
        </w:tc>
        <w:tc>
          <w:tcPr>
            <w:tcW w:w="2031" w:type="dxa"/>
            <w:vAlign w:val="center"/>
          </w:tcPr>
          <w:p w14:paraId="04A06D15">
            <w:pPr>
              <w:jc w:val="right"/>
              <w:rPr>
                <w:rFonts w:ascii="Calibri" w:hAnsi="Calibri"/>
                <w:sz w:val="20"/>
                <w:szCs w:val="20"/>
              </w:rPr>
            </w:pPr>
            <w:r>
              <w:rPr>
                <w:rFonts w:ascii="Calibri" w:hAnsi="Calibri"/>
                <w:sz w:val="20"/>
                <w:szCs w:val="20"/>
              </w:rPr>
              <w:t>-10,843,321.04</w:t>
            </w:r>
          </w:p>
        </w:tc>
      </w:tr>
      <w:tr w14:paraId="3ADE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96" w:type="dxa"/>
            <w:vAlign w:val="center"/>
          </w:tcPr>
          <w:p w14:paraId="4DFF253A">
            <w:pPr>
              <w:rPr>
                <w:rFonts w:ascii="Calibri" w:hAnsi="Calibri" w:cs="Arial"/>
                <w:color w:val="000000"/>
                <w:sz w:val="20"/>
                <w:szCs w:val="20"/>
              </w:rPr>
            </w:pPr>
            <w:r>
              <w:rPr>
                <w:rFonts w:hint="eastAsia" w:ascii="Calibri" w:hAnsi="Calibri" w:cs="Arial"/>
                <w:color w:val="000000"/>
                <w:sz w:val="20"/>
                <w:szCs w:val="20"/>
                <w:lang w:val="en-GB"/>
              </w:rPr>
              <w:t>对联营企业权益投资的账面价值</w:t>
            </w:r>
          </w:p>
        </w:tc>
        <w:tc>
          <w:tcPr>
            <w:tcW w:w="1755" w:type="dxa"/>
            <w:vAlign w:val="center"/>
          </w:tcPr>
          <w:p w14:paraId="58174D2D">
            <w:pPr>
              <w:jc w:val="right"/>
              <w:rPr>
                <w:rFonts w:ascii="Calibri" w:hAnsi="Calibri"/>
                <w:sz w:val="20"/>
                <w:szCs w:val="20"/>
              </w:rPr>
            </w:pPr>
            <w:r>
              <w:rPr>
                <w:rFonts w:ascii="Calibri" w:hAnsi="Calibri"/>
                <w:sz w:val="20"/>
                <w:szCs w:val="20"/>
              </w:rPr>
              <w:t>355,044,601.92</w:t>
            </w:r>
          </w:p>
        </w:tc>
        <w:tc>
          <w:tcPr>
            <w:tcW w:w="2031" w:type="dxa"/>
            <w:vAlign w:val="center"/>
          </w:tcPr>
          <w:p w14:paraId="045FF31F">
            <w:pPr>
              <w:jc w:val="right"/>
              <w:rPr>
                <w:rFonts w:ascii="Calibri" w:hAnsi="Calibri"/>
                <w:sz w:val="20"/>
                <w:szCs w:val="20"/>
              </w:rPr>
            </w:pPr>
            <w:r>
              <w:rPr>
                <w:rFonts w:ascii="Calibri" w:hAnsi="Calibri"/>
                <w:sz w:val="20"/>
                <w:szCs w:val="20"/>
              </w:rPr>
              <w:t>75,896,002.16</w:t>
            </w:r>
          </w:p>
        </w:tc>
        <w:tc>
          <w:tcPr>
            <w:tcW w:w="1756" w:type="dxa"/>
            <w:vAlign w:val="center"/>
          </w:tcPr>
          <w:p w14:paraId="3A8F8B3A">
            <w:pPr>
              <w:jc w:val="right"/>
              <w:rPr>
                <w:rFonts w:ascii="Calibri" w:hAnsi="Calibri"/>
                <w:sz w:val="20"/>
                <w:szCs w:val="20"/>
              </w:rPr>
            </w:pPr>
            <w:r>
              <w:rPr>
                <w:rFonts w:ascii="Calibri" w:hAnsi="Calibri"/>
                <w:sz w:val="20"/>
                <w:szCs w:val="20"/>
              </w:rPr>
              <w:t>409,234,300.15</w:t>
            </w:r>
          </w:p>
        </w:tc>
        <w:tc>
          <w:tcPr>
            <w:tcW w:w="2031" w:type="dxa"/>
            <w:vAlign w:val="center"/>
          </w:tcPr>
          <w:p w14:paraId="3980BFE2">
            <w:pPr>
              <w:jc w:val="right"/>
              <w:rPr>
                <w:rFonts w:ascii="Calibri" w:hAnsi="Calibri"/>
                <w:sz w:val="20"/>
                <w:szCs w:val="20"/>
              </w:rPr>
            </w:pPr>
            <w:r>
              <w:rPr>
                <w:rFonts w:ascii="Calibri" w:hAnsi="Calibri"/>
                <w:sz w:val="20"/>
                <w:szCs w:val="20"/>
              </w:rPr>
              <w:t>84,117,300.92</w:t>
            </w:r>
          </w:p>
        </w:tc>
      </w:tr>
      <w:tr w14:paraId="1718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2396" w:type="dxa"/>
            <w:vAlign w:val="center"/>
          </w:tcPr>
          <w:p w14:paraId="7A5F0BE3">
            <w:pPr>
              <w:rPr>
                <w:rFonts w:ascii="Calibri" w:hAnsi="Calibri" w:cs="Arial"/>
                <w:color w:val="000000"/>
                <w:sz w:val="20"/>
                <w:szCs w:val="20"/>
              </w:rPr>
            </w:pPr>
            <w:r>
              <w:rPr>
                <w:rFonts w:hint="eastAsia" w:ascii="Calibri" w:hAnsi="Calibri" w:cs="Arial"/>
                <w:color w:val="000000"/>
                <w:sz w:val="20"/>
                <w:szCs w:val="20"/>
                <w:lang w:val="en-GB"/>
              </w:rPr>
              <w:t>存在公开报价的联营企业权益投资的公允价值</w:t>
            </w:r>
          </w:p>
        </w:tc>
        <w:tc>
          <w:tcPr>
            <w:tcW w:w="1755" w:type="dxa"/>
            <w:vAlign w:val="center"/>
          </w:tcPr>
          <w:p w14:paraId="71B63903">
            <w:pPr>
              <w:jc w:val="right"/>
              <w:rPr>
                <w:rFonts w:ascii="Calibri" w:hAnsi="Calibri"/>
                <w:sz w:val="20"/>
                <w:szCs w:val="20"/>
              </w:rPr>
            </w:pPr>
            <w:r>
              <w:rPr>
                <w:rFonts w:ascii="Calibri" w:hAnsi="Calibri"/>
                <w:sz w:val="20"/>
                <w:szCs w:val="20"/>
              </w:rPr>
              <w:t>3,515,607,171.52</w:t>
            </w:r>
          </w:p>
        </w:tc>
        <w:tc>
          <w:tcPr>
            <w:tcW w:w="2031" w:type="dxa"/>
            <w:vAlign w:val="center"/>
          </w:tcPr>
          <w:p w14:paraId="75E0560D">
            <w:pPr>
              <w:jc w:val="right"/>
              <w:rPr>
                <w:rFonts w:ascii="Calibri" w:hAnsi="Calibri"/>
                <w:sz w:val="20"/>
                <w:szCs w:val="20"/>
              </w:rPr>
            </w:pPr>
            <w:r>
              <w:rPr>
                <w:rFonts w:ascii="Calibri" w:hAnsi="Calibri"/>
                <w:sz w:val="20"/>
                <w:szCs w:val="20"/>
              </w:rPr>
              <w:t>182,595,429.58</w:t>
            </w:r>
          </w:p>
        </w:tc>
        <w:tc>
          <w:tcPr>
            <w:tcW w:w="1756" w:type="dxa"/>
            <w:vAlign w:val="center"/>
          </w:tcPr>
          <w:p w14:paraId="2DFE6E02">
            <w:pPr>
              <w:jc w:val="right"/>
              <w:rPr>
                <w:rFonts w:ascii="Calibri" w:hAnsi="Calibri"/>
                <w:sz w:val="20"/>
                <w:szCs w:val="20"/>
              </w:rPr>
            </w:pPr>
            <w:r>
              <w:rPr>
                <w:rFonts w:ascii="Calibri" w:hAnsi="Calibri"/>
                <w:sz w:val="20"/>
                <w:szCs w:val="20"/>
              </w:rPr>
              <w:t>4,783,732,364.18</w:t>
            </w:r>
          </w:p>
        </w:tc>
        <w:tc>
          <w:tcPr>
            <w:tcW w:w="2031" w:type="dxa"/>
            <w:vAlign w:val="center"/>
          </w:tcPr>
          <w:p w14:paraId="5E3C44B9">
            <w:pPr>
              <w:jc w:val="right"/>
              <w:rPr>
                <w:rFonts w:ascii="Calibri" w:hAnsi="Calibri"/>
                <w:sz w:val="20"/>
                <w:szCs w:val="20"/>
              </w:rPr>
            </w:pPr>
            <w:r>
              <w:rPr>
                <w:rFonts w:ascii="Calibri" w:hAnsi="Calibri"/>
                <w:sz w:val="20"/>
                <w:szCs w:val="20"/>
              </w:rPr>
              <w:t>173,059,560.00</w:t>
            </w:r>
          </w:p>
        </w:tc>
      </w:tr>
      <w:tr w14:paraId="29483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970" w:type="dxa"/>
            <w:gridSpan w:val="5"/>
            <w:vAlign w:val="center"/>
          </w:tcPr>
          <w:p w14:paraId="50ADA2D8">
            <w:pPr>
              <w:jc w:val="right"/>
              <w:rPr>
                <w:rFonts w:ascii="Calibri" w:hAnsi="Calibri"/>
                <w:sz w:val="20"/>
                <w:szCs w:val="20"/>
              </w:rPr>
            </w:pPr>
          </w:p>
        </w:tc>
      </w:tr>
      <w:tr w14:paraId="31CF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6" w:type="dxa"/>
            <w:vAlign w:val="center"/>
          </w:tcPr>
          <w:p w14:paraId="07E10CE4">
            <w:pPr>
              <w:rPr>
                <w:rFonts w:ascii="Calibri" w:hAnsi="Calibri" w:cs="Arial"/>
                <w:color w:val="000000"/>
                <w:sz w:val="20"/>
                <w:szCs w:val="20"/>
              </w:rPr>
            </w:pPr>
            <w:r>
              <w:rPr>
                <w:rFonts w:hint="eastAsia" w:ascii="Calibri" w:hAnsi="Calibri" w:cs="Arial"/>
                <w:color w:val="000000"/>
                <w:sz w:val="20"/>
                <w:szCs w:val="20"/>
                <w:lang w:val="en-GB"/>
              </w:rPr>
              <w:t>营业收入</w:t>
            </w:r>
          </w:p>
        </w:tc>
        <w:tc>
          <w:tcPr>
            <w:tcW w:w="1755" w:type="dxa"/>
            <w:vAlign w:val="center"/>
          </w:tcPr>
          <w:p w14:paraId="397DDC17">
            <w:pPr>
              <w:jc w:val="right"/>
              <w:rPr>
                <w:rFonts w:ascii="Calibri" w:hAnsi="Calibri"/>
                <w:sz w:val="20"/>
                <w:szCs w:val="20"/>
              </w:rPr>
            </w:pPr>
            <w:r>
              <w:rPr>
                <w:rFonts w:ascii="Calibri" w:hAnsi="Calibri"/>
                <w:sz w:val="20"/>
                <w:szCs w:val="20"/>
              </w:rPr>
              <w:t>3,695,567,867.63</w:t>
            </w:r>
          </w:p>
        </w:tc>
        <w:tc>
          <w:tcPr>
            <w:tcW w:w="2031" w:type="dxa"/>
            <w:vAlign w:val="center"/>
          </w:tcPr>
          <w:p w14:paraId="3605BD30">
            <w:pPr>
              <w:jc w:val="right"/>
              <w:rPr>
                <w:rFonts w:ascii="Calibri" w:hAnsi="Calibri"/>
                <w:sz w:val="20"/>
                <w:szCs w:val="20"/>
              </w:rPr>
            </w:pPr>
            <w:r>
              <w:rPr>
                <w:rFonts w:ascii="Calibri" w:hAnsi="Calibri"/>
                <w:sz w:val="20"/>
                <w:szCs w:val="20"/>
              </w:rPr>
              <w:t>449,016,427.20</w:t>
            </w:r>
          </w:p>
        </w:tc>
        <w:tc>
          <w:tcPr>
            <w:tcW w:w="1756" w:type="dxa"/>
            <w:vAlign w:val="center"/>
          </w:tcPr>
          <w:p w14:paraId="7B0CFD12">
            <w:pPr>
              <w:jc w:val="right"/>
              <w:rPr>
                <w:rFonts w:ascii="Calibri" w:hAnsi="Calibri"/>
                <w:sz w:val="20"/>
                <w:szCs w:val="20"/>
              </w:rPr>
            </w:pPr>
            <w:r>
              <w:rPr>
                <w:rFonts w:ascii="Calibri" w:hAnsi="Calibri"/>
                <w:sz w:val="20"/>
                <w:szCs w:val="20"/>
              </w:rPr>
              <w:t>2,817,158,242.24</w:t>
            </w:r>
          </w:p>
        </w:tc>
        <w:tc>
          <w:tcPr>
            <w:tcW w:w="2031" w:type="dxa"/>
            <w:vAlign w:val="center"/>
          </w:tcPr>
          <w:p w14:paraId="707AF414">
            <w:pPr>
              <w:jc w:val="right"/>
              <w:rPr>
                <w:rFonts w:ascii="Calibri" w:hAnsi="Calibri"/>
                <w:sz w:val="20"/>
                <w:szCs w:val="20"/>
              </w:rPr>
            </w:pPr>
            <w:r>
              <w:rPr>
                <w:rFonts w:ascii="Calibri" w:hAnsi="Calibri"/>
                <w:sz w:val="20"/>
                <w:szCs w:val="20"/>
              </w:rPr>
              <w:t>444,578,661.45</w:t>
            </w:r>
          </w:p>
        </w:tc>
      </w:tr>
      <w:tr w14:paraId="1CF8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6" w:type="dxa"/>
            <w:vAlign w:val="center"/>
          </w:tcPr>
          <w:p w14:paraId="61259C84">
            <w:pPr>
              <w:rPr>
                <w:rFonts w:ascii="Calibri" w:hAnsi="Calibri" w:cs="Arial"/>
                <w:color w:val="000000"/>
                <w:sz w:val="20"/>
                <w:szCs w:val="20"/>
              </w:rPr>
            </w:pPr>
            <w:r>
              <w:rPr>
                <w:rFonts w:hint="eastAsia" w:ascii="Calibri" w:hAnsi="Calibri" w:cs="Arial"/>
                <w:color w:val="000000"/>
                <w:sz w:val="20"/>
                <w:szCs w:val="20"/>
                <w:lang w:val="en-GB"/>
              </w:rPr>
              <w:t>净利润</w:t>
            </w:r>
          </w:p>
        </w:tc>
        <w:tc>
          <w:tcPr>
            <w:tcW w:w="1755" w:type="dxa"/>
            <w:vAlign w:val="center"/>
          </w:tcPr>
          <w:p w14:paraId="59C1CB22">
            <w:pPr>
              <w:jc w:val="right"/>
              <w:rPr>
                <w:rFonts w:ascii="Calibri" w:hAnsi="Calibri"/>
                <w:sz w:val="20"/>
                <w:szCs w:val="20"/>
              </w:rPr>
            </w:pPr>
            <w:r>
              <w:rPr>
                <w:rFonts w:ascii="Calibri" w:hAnsi="Calibri"/>
                <w:sz w:val="20"/>
                <w:szCs w:val="20"/>
              </w:rPr>
              <w:t>1,031,236,252.58</w:t>
            </w:r>
          </w:p>
        </w:tc>
        <w:tc>
          <w:tcPr>
            <w:tcW w:w="2031" w:type="dxa"/>
            <w:vAlign w:val="center"/>
          </w:tcPr>
          <w:p w14:paraId="2091AB02">
            <w:pPr>
              <w:jc w:val="right"/>
              <w:rPr>
                <w:rFonts w:ascii="Calibri" w:hAnsi="Calibri"/>
                <w:sz w:val="20"/>
                <w:szCs w:val="20"/>
              </w:rPr>
            </w:pPr>
            <w:r>
              <w:rPr>
                <w:rFonts w:ascii="Calibri" w:hAnsi="Calibri"/>
                <w:sz w:val="20"/>
                <w:szCs w:val="20"/>
              </w:rPr>
              <w:t>-43,467,168.00</w:t>
            </w:r>
          </w:p>
        </w:tc>
        <w:tc>
          <w:tcPr>
            <w:tcW w:w="1756" w:type="dxa"/>
            <w:vAlign w:val="center"/>
          </w:tcPr>
          <w:p w14:paraId="489FD2F2">
            <w:pPr>
              <w:jc w:val="right"/>
              <w:rPr>
                <w:rFonts w:ascii="Calibri" w:hAnsi="Calibri"/>
                <w:sz w:val="20"/>
                <w:szCs w:val="20"/>
              </w:rPr>
            </w:pPr>
            <w:r>
              <w:rPr>
                <w:rFonts w:ascii="Calibri" w:hAnsi="Calibri"/>
                <w:sz w:val="20"/>
                <w:szCs w:val="20"/>
              </w:rPr>
              <w:t>827,602,233.89</w:t>
            </w:r>
          </w:p>
        </w:tc>
        <w:tc>
          <w:tcPr>
            <w:tcW w:w="2031" w:type="dxa"/>
            <w:vAlign w:val="center"/>
          </w:tcPr>
          <w:p w14:paraId="7293F1A6">
            <w:pPr>
              <w:jc w:val="right"/>
              <w:rPr>
                <w:rFonts w:ascii="Calibri" w:hAnsi="Calibri"/>
                <w:sz w:val="20"/>
                <w:szCs w:val="20"/>
              </w:rPr>
            </w:pPr>
            <w:r>
              <w:rPr>
                <w:rFonts w:ascii="Calibri" w:hAnsi="Calibri"/>
                <w:sz w:val="20"/>
                <w:szCs w:val="20"/>
              </w:rPr>
              <w:t>-28,620,672.85</w:t>
            </w:r>
          </w:p>
        </w:tc>
      </w:tr>
      <w:tr w14:paraId="5CB2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6" w:type="dxa"/>
            <w:vAlign w:val="center"/>
          </w:tcPr>
          <w:p w14:paraId="3376E4C1">
            <w:pPr>
              <w:rPr>
                <w:rFonts w:ascii="Calibri" w:hAnsi="Calibri" w:cs="Arial"/>
                <w:color w:val="000000"/>
                <w:sz w:val="20"/>
                <w:szCs w:val="20"/>
                <w:lang w:val="en-GB"/>
              </w:rPr>
            </w:pPr>
            <w:r>
              <w:rPr>
                <w:rFonts w:hint="eastAsia" w:ascii="Calibri" w:hAnsi="Calibri" w:cs="Arial"/>
                <w:color w:val="000000"/>
                <w:sz w:val="20"/>
                <w:szCs w:val="20"/>
                <w:lang w:val="en-GB"/>
              </w:rPr>
              <w:t>终止经营的净利润</w:t>
            </w:r>
          </w:p>
        </w:tc>
        <w:tc>
          <w:tcPr>
            <w:tcW w:w="1755" w:type="dxa"/>
            <w:vAlign w:val="center"/>
          </w:tcPr>
          <w:p w14:paraId="72180F5E">
            <w:pPr>
              <w:jc w:val="right"/>
              <w:rPr>
                <w:rFonts w:ascii="Calibri" w:hAnsi="Calibri"/>
                <w:sz w:val="20"/>
                <w:szCs w:val="20"/>
              </w:rPr>
            </w:pPr>
          </w:p>
        </w:tc>
        <w:tc>
          <w:tcPr>
            <w:tcW w:w="2031" w:type="dxa"/>
            <w:vAlign w:val="center"/>
          </w:tcPr>
          <w:p w14:paraId="5536ADCA">
            <w:pPr>
              <w:jc w:val="right"/>
              <w:rPr>
                <w:rFonts w:ascii="Calibri" w:hAnsi="Calibri"/>
                <w:sz w:val="20"/>
                <w:szCs w:val="20"/>
              </w:rPr>
            </w:pPr>
          </w:p>
        </w:tc>
        <w:tc>
          <w:tcPr>
            <w:tcW w:w="1756" w:type="dxa"/>
            <w:vAlign w:val="center"/>
          </w:tcPr>
          <w:p w14:paraId="4D29FA4D">
            <w:pPr>
              <w:jc w:val="right"/>
              <w:rPr>
                <w:rFonts w:ascii="Calibri" w:hAnsi="Calibri"/>
                <w:sz w:val="20"/>
                <w:szCs w:val="20"/>
              </w:rPr>
            </w:pPr>
          </w:p>
        </w:tc>
        <w:tc>
          <w:tcPr>
            <w:tcW w:w="2031" w:type="dxa"/>
            <w:vAlign w:val="center"/>
          </w:tcPr>
          <w:p w14:paraId="184B859C">
            <w:pPr>
              <w:jc w:val="right"/>
              <w:rPr>
                <w:rFonts w:ascii="Calibri" w:hAnsi="Calibri"/>
                <w:sz w:val="20"/>
                <w:szCs w:val="20"/>
              </w:rPr>
            </w:pPr>
          </w:p>
        </w:tc>
      </w:tr>
      <w:tr w14:paraId="1D2C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6" w:type="dxa"/>
            <w:vAlign w:val="center"/>
          </w:tcPr>
          <w:p w14:paraId="34DD70FF">
            <w:pPr>
              <w:rPr>
                <w:rFonts w:ascii="Calibri" w:hAnsi="Calibri" w:cs="Arial"/>
                <w:color w:val="000000"/>
                <w:sz w:val="20"/>
                <w:szCs w:val="20"/>
              </w:rPr>
            </w:pPr>
            <w:r>
              <w:rPr>
                <w:rFonts w:hint="eastAsia" w:ascii="Calibri" w:hAnsi="Calibri" w:cs="Arial"/>
                <w:color w:val="000000"/>
                <w:sz w:val="20"/>
                <w:szCs w:val="20"/>
                <w:lang w:val="en-GB"/>
              </w:rPr>
              <w:t>其他综合收益</w:t>
            </w:r>
          </w:p>
        </w:tc>
        <w:tc>
          <w:tcPr>
            <w:tcW w:w="1755" w:type="dxa"/>
            <w:vAlign w:val="center"/>
          </w:tcPr>
          <w:p w14:paraId="7DE36D2A">
            <w:pPr>
              <w:jc w:val="right"/>
              <w:rPr>
                <w:rFonts w:ascii="Calibri" w:hAnsi="Calibri"/>
                <w:sz w:val="20"/>
                <w:szCs w:val="20"/>
              </w:rPr>
            </w:pPr>
          </w:p>
        </w:tc>
        <w:tc>
          <w:tcPr>
            <w:tcW w:w="2031" w:type="dxa"/>
            <w:vAlign w:val="center"/>
          </w:tcPr>
          <w:p w14:paraId="2DC7ECBF">
            <w:pPr>
              <w:jc w:val="right"/>
              <w:rPr>
                <w:rFonts w:ascii="Calibri" w:hAnsi="Calibri"/>
                <w:sz w:val="20"/>
                <w:szCs w:val="20"/>
              </w:rPr>
            </w:pPr>
            <w:r>
              <w:rPr>
                <w:rFonts w:ascii="Calibri" w:hAnsi="Calibri"/>
                <w:sz w:val="20"/>
                <w:szCs w:val="20"/>
              </w:rPr>
              <w:t>8,348,054.00</w:t>
            </w:r>
          </w:p>
        </w:tc>
        <w:tc>
          <w:tcPr>
            <w:tcW w:w="1756" w:type="dxa"/>
            <w:vAlign w:val="center"/>
          </w:tcPr>
          <w:p w14:paraId="72380237">
            <w:pPr>
              <w:jc w:val="right"/>
              <w:rPr>
                <w:rFonts w:ascii="Calibri" w:hAnsi="Calibri"/>
                <w:sz w:val="20"/>
                <w:szCs w:val="20"/>
              </w:rPr>
            </w:pPr>
          </w:p>
        </w:tc>
        <w:tc>
          <w:tcPr>
            <w:tcW w:w="2031" w:type="dxa"/>
            <w:vAlign w:val="center"/>
          </w:tcPr>
          <w:p w14:paraId="21AE69C7">
            <w:pPr>
              <w:jc w:val="right"/>
              <w:rPr>
                <w:rFonts w:ascii="Calibri" w:hAnsi="Calibri"/>
                <w:sz w:val="20"/>
                <w:szCs w:val="20"/>
              </w:rPr>
            </w:pPr>
            <w:r>
              <w:rPr>
                <w:rFonts w:ascii="Calibri" w:hAnsi="Calibri"/>
                <w:sz w:val="20"/>
                <w:szCs w:val="20"/>
              </w:rPr>
              <w:t>8,278,252.90</w:t>
            </w:r>
          </w:p>
        </w:tc>
      </w:tr>
      <w:tr w14:paraId="31B5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6" w:type="dxa"/>
            <w:vAlign w:val="center"/>
          </w:tcPr>
          <w:p w14:paraId="6C2A6187">
            <w:pPr>
              <w:rPr>
                <w:rFonts w:ascii="Calibri" w:hAnsi="Calibri" w:cs="Arial"/>
                <w:color w:val="000000"/>
                <w:sz w:val="20"/>
                <w:szCs w:val="20"/>
              </w:rPr>
            </w:pPr>
            <w:r>
              <w:rPr>
                <w:rFonts w:hint="eastAsia" w:ascii="Calibri" w:hAnsi="Calibri" w:cs="Arial"/>
                <w:color w:val="000000"/>
                <w:sz w:val="20"/>
                <w:szCs w:val="20"/>
                <w:lang w:val="en-GB"/>
              </w:rPr>
              <w:t>综合收益总额</w:t>
            </w:r>
          </w:p>
        </w:tc>
        <w:tc>
          <w:tcPr>
            <w:tcW w:w="1755" w:type="dxa"/>
            <w:vAlign w:val="center"/>
          </w:tcPr>
          <w:p w14:paraId="62E39069">
            <w:pPr>
              <w:jc w:val="right"/>
              <w:rPr>
                <w:rFonts w:ascii="Calibri" w:hAnsi="Calibri"/>
                <w:sz w:val="20"/>
                <w:szCs w:val="20"/>
              </w:rPr>
            </w:pPr>
            <w:r>
              <w:rPr>
                <w:rFonts w:ascii="Calibri" w:hAnsi="Calibri"/>
                <w:sz w:val="20"/>
                <w:szCs w:val="20"/>
              </w:rPr>
              <w:t>1,031,236,252.58</w:t>
            </w:r>
          </w:p>
        </w:tc>
        <w:tc>
          <w:tcPr>
            <w:tcW w:w="2031" w:type="dxa"/>
            <w:vAlign w:val="center"/>
          </w:tcPr>
          <w:p w14:paraId="05E9E680">
            <w:pPr>
              <w:jc w:val="right"/>
              <w:rPr>
                <w:rFonts w:ascii="Calibri" w:hAnsi="Calibri"/>
                <w:sz w:val="20"/>
                <w:szCs w:val="20"/>
              </w:rPr>
            </w:pPr>
            <w:r>
              <w:rPr>
                <w:rFonts w:ascii="Calibri" w:hAnsi="Calibri"/>
                <w:sz w:val="20"/>
                <w:szCs w:val="20"/>
              </w:rPr>
              <w:t>-35,119,114.00</w:t>
            </w:r>
          </w:p>
        </w:tc>
        <w:tc>
          <w:tcPr>
            <w:tcW w:w="1756" w:type="dxa"/>
            <w:vAlign w:val="center"/>
          </w:tcPr>
          <w:p w14:paraId="25348993">
            <w:pPr>
              <w:jc w:val="right"/>
              <w:rPr>
                <w:rFonts w:ascii="Calibri" w:hAnsi="Calibri"/>
                <w:sz w:val="20"/>
                <w:szCs w:val="20"/>
              </w:rPr>
            </w:pPr>
            <w:r>
              <w:rPr>
                <w:rFonts w:ascii="Calibri" w:hAnsi="Calibri"/>
                <w:sz w:val="20"/>
                <w:szCs w:val="20"/>
              </w:rPr>
              <w:t>827,602,233.89</w:t>
            </w:r>
          </w:p>
        </w:tc>
        <w:tc>
          <w:tcPr>
            <w:tcW w:w="2031" w:type="dxa"/>
            <w:vAlign w:val="center"/>
          </w:tcPr>
          <w:p w14:paraId="5B365024">
            <w:pPr>
              <w:jc w:val="right"/>
              <w:rPr>
                <w:rFonts w:ascii="Calibri" w:hAnsi="Calibri"/>
                <w:sz w:val="20"/>
                <w:szCs w:val="20"/>
              </w:rPr>
            </w:pPr>
            <w:r>
              <w:rPr>
                <w:rFonts w:ascii="Calibri" w:hAnsi="Calibri"/>
                <w:sz w:val="20"/>
                <w:szCs w:val="20"/>
              </w:rPr>
              <w:t>-20,342,419.95</w:t>
            </w:r>
          </w:p>
        </w:tc>
      </w:tr>
      <w:tr w14:paraId="7113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970" w:type="dxa"/>
            <w:gridSpan w:val="5"/>
            <w:vAlign w:val="center"/>
          </w:tcPr>
          <w:p w14:paraId="76221EF2">
            <w:pPr>
              <w:jc w:val="right"/>
              <w:rPr>
                <w:rFonts w:ascii="Calibri" w:hAnsi="Calibri"/>
                <w:sz w:val="20"/>
                <w:szCs w:val="20"/>
              </w:rPr>
            </w:pPr>
          </w:p>
        </w:tc>
      </w:tr>
      <w:tr w14:paraId="2FF5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96" w:type="dxa"/>
            <w:vAlign w:val="center"/>
          </w:tcPr>
          <w:p w14:paraId="33EDC702">
            <w:pPr>
              <w:rPr>
                <w:rFonts w:ascii="Calibri" w:hAnsi="Calibri" w:cs="Arial"/>
                <w:color w:val="000000"/>
                <w:sz w:val="20"/>
                <w:szCs w:val="20"/>
              </w:rPr>
            </w:pPr>
            <w:r>
              <w:rPr>
                <w:rFonts w:hint="eastAsia" w:ascii="Calibri" w:hAnsi="Calibri" w:cs="Arial"/>
                <w:color w:val="000000"/>
                <w:sz w:val="20"/>
                <w:szCs w:val="20"/>
                <w:lang w:val="en-GB"/>
              </w:rPr>
              <w:t>本年度收到的来自联营企业的股利</w:t>
            </w:r>
          </w:p>
        </w:tc>
        <w:tc>
          <w:tcPr>
            <w:tcW w:w="1755" w:type="dxa"/>
            <w:vAlign w:val="center"/>
          </w:tcPr>
          <w:p w14:paraId="56D72848">
            <w:pPr>
              <w:jc w:val="right"/>
              <w:rPr>
                <w:rFonts w:ascii="Calibri" w:hAnsi="Calibri"/>
                <w:sz w:val="20"/>
                <w:szCs w:val="20"/>
              </w:rPr>
            </w:pPr>
            <w:r>
              <w:rPr>
                <w:rFonts w:ascii="Calibri" w:hAnsi="Calibri"/>
                <w:sz w:val="20"/>
                <w:szCs w:val="20"/>
              </w:rPr>
              <w:t>40,424,070.68</w:t>
            </w:r>
          </w:p>
        </w:tc>
        <w:tc>
          <w:tcPr>
            <w:tcW w:w="2031" w:type="dxa"/>
            <w:vAlign w:val="center"/>
          </w:tcPr>
          <w:p w14:paraId="2B6FB8C1">
            <w:pPr>
              <w:jc w:val="right"/>
              <w:rPr>
                <w:rFonts w:ascii="Calibri" w:hAnsi="Calibri"/>
                <w:sz w:val="20"/>
                <w:szCs w:val="20"/>
              </w:rPr>
            </w:pPr>
          </w:p>
        </w:tc>
        <w:tc>
          <w:tcPr>
            <w:tcW w:w="1756" w:type="dxa"/>
            <w:vAlign w:val="center"/>
          </w:tcPr>
          <w:p w14:paraId="4806E92E">
            <w:pPr>
              <w:jc w:val="right"/>
              <w:rPr>
                <w:rFonts w:ascii="Calibri" w:hAnsi="Calibri"/>
                <w:sz w:val="20"/>
                <w:szCs w:val="20"/>
              </w:rPr>
            </w:pPr>
            <w:r>
              <w:rPr>
                <w:rFonts w:ascii="Calibri" w:hAnsi="Calibri"/>
                <w:sz w:val="20"/>
                <w:szCs w:val="20"/>
              </w:rPr>
              <w:t>26,732,046.74</w:t>
            </w:r>
          </w:p>
        </w:tc>
        <w:tc>
          <w:tcPr>
            <w:tcW w:w="2031" w:type="dxa"/>
            <w:vAlign w:val="center"/>
          </w:tcPr>
          <w:p w14:paraId="04858DB8">
            <w:pPr>
              <w:jc w:val="right"/>
              <w:rPr>
                <w:rFonts w:ascii="Calibri" w:hAnsi="Calibri"/>
                <w:sz w:val="20"/>
                <w:szCs w:val="20"/>
              </w:rPr>
            </w:pPr>
            <w:r>
              <w:rPr>
                <w:rFonts w:ascii="Calibri" w:hAnsi="Calibri"/>
                <w:sz w:val="20"/>
                <w:szCs w:val="20"/>
              </w:rPr>
              <w:t>5,282,166.33</w:t>
            </w:r>
          </w:p>
        </w:tc>
      </w:tr>
    </w:tbl>
    <w:p w14:paraId="5BB27B82"/>
    <w:p w14:paraId="693EE280">
      <w:pPr>
        <w:rPr>
          <w:rFonts w:cs="Arial"/>
        </w:rPr>
      </w:pPr>
    </w:p>
    <w:p w14:paraId="0825C9EF">
      <w:pPr>
        <w:rPr>
          <w:rFonts w:cs="Arial"/>
        </w:rPr>
        <w:sectPr>
          <w:pgSz w:w="11906" w:h="16838"/>
          <w:pgMar w:top="1525" w:right="1276" w:bottom="1440" w:left="1797" w:header="856" w:footer="992" w:gutter="0"/>
          <w:cols w:space="425" w:num="1"/>
          <w:docGrid w:linePitch="312" w:charSpace="0"/>
        </w:sectPr>
      </w:pPr>
    </w:p>
    <w:p w14:paraId="5440DE2C">
      <w:pPr>
        <w:rPr>
          <w:rFonts w:cs="Arial"/>
        </w:rPr>
      </w:pPr>
    </w:p>
    <w:p w14:paraId="15C9E71D">
      <w:pPr>
        <w:pStyle w:val="5"/>
        <w:numPr>
          <w:ilvl w:val="3"/>
          <w:numId w:val="109"/>
        </w:numPr>
        <w:ind w:left="426" w:hanging="426" w:hangingChars="202"/>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2116472235"/>
        <w:placeholder>
          <w:docPart w:val="GBC22222222222222222222222222222"/>
        </w:placeholder>
      </w:sdtPr>
      <w:sdtEndPr>
        <w:rPr>
          <w:rFonts w:hint="eastAsia"/>
        </w:rPr>
      </w:sdtEndPr>
      <w:sdtContent>
        <w:p w14:paraId="20D5966C">
          <w:pPr>
            <w:pStyle w:val="48"/>
            <w:rPr>
              <w:rFonts w:cs="Aria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51219C2">
      <w:pPr>
        <w:rPr>
          <w:rFonts w:cs="Arial"/>
        </w:rPr>
      </w:pPr>
    </w:p>
    <w:p w14:paraId="6FEA3AAD">
      <w:pPr>
        <w:rPr>
          <w:rFonts w:cs="Arial"/>
        </w:rPr>
      </w:pPr>
    </w:p>
    <w:p w14:paraId="3DA25829">
      <w:pPr>
        <w:pStyle w:val="5"/>
        <w:numPr>
          <w:ilvl w:val="3"/>
          <w:numId w:val="109"/>
        </w:numPr>
        <w:ind w:left="426" w:hanging="426" w:hangingChars="202"/>
      </w:pPr>
      <w:r>
        <w:rPr>
          <w:rFonts w:hint="eastAsia"/>
        </w:rPr>
        <w:t>合营企业或联营企业向本公司转移资金的能力存在重大限制的说明</w:t>
      </w:r>
    </w:p>
    <w:sdt>
      <w:sdtPr>
        <w:rPr>
          <w:rFonts w:hint="eastAsia" w:cs="Arial"/>
        </w:rPr>
        <w:alias w:val="是否适用：合营企业或联营企业向本公司转移资金的能力存在重大限制的说明[双击切换]"/>
        <w:tag w:val="_GBC_6adf336cbf6141a59d29de2be4c5a55b"/>
        <w:id w:val="-1829280744"/>
        <w:placeholder>
          <w:docPart w:val="GBC22222222222222222222222222222"/>
        </w:placeholder>
      </w:sdtPr>
      <w:sdtEndPr>
        <w:rPr>
          <w:rFonts w:hint="eastAsia" w:cs="Arial"/>
        </w:rPr>
      </w:sdtEndPr>
      <w:sdtContent>
        <w:p w14:paraId="169273A1">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56588894">
      <w:pPr>
        <w:rPr>
          <w:rFonts w:cs="Arial"/>
        </w:rPr>
      </w:pPr>
    </w:p>
    <w:p w14:paraId="525B60AC">
      <w:pPr>
        <w:pStyle w:val="5"/>
        <w:numPr>
          <w:ilvl w:val="3"/>
          <w:numId w:val="109"/>
        </w:numPr>
        <w:ind w:left="426" w:hanging="426" w:hangingChars="202"/>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1069811553"/>
        <w:placeholder>
          <w:docPart w:val="GBC22222222222222222222222222222"/>
        </w:placeholder>
      </w:sdtPr>
      <w:sdtEndPr>
        <w:rPr>
          <w:rFonts w:hint="eastAsia"/>
        </w:rPr>
      </w:sdtEndPr>
      <w:sdtContent>
        <w:p w14:paraId="09EB1911">
          <w:pPr>
            <w:pStyle w:val="48"/>
            <w:rPr>
              <w:rFonts w:cs="Aria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E5B2142">
      <w:pPr>
        <w:rPr>
          <w:rFonts w:cs="Arial"/>
        </w:rPr>
      </w:pPr>
    </w:p>
    <w:p w14:paraId="1C205C23">
      <w:pPr>
        <w:rPr>
          <w:rFonts w:cs="Arial"/>
        </w:rPr>
      </w:pPr>
    </w:p>
    <w:p w14:paraId="2B414615">
      <w:pPr>
        <w:pStyle w:val="5"/>
        <w:numPr>
          <w:ilvl w:val="3"/>
          <w:numId w:val="109"/>
        </w:numPr>
        <w:ind w:left="426" w:hanging="426" w:hangingChars="202"/>
      </w:pPr>
      <w:r>
        <w:rPr>
          <w:rFonts w:hint="eastAsia"/>
        </w:rPr>
        <w:t>与合营企业投资相关的未确认承诺</w:t>
      </w:r>
    </w:p>
    <w:sdt>
      <w:sdtPr>
        <w:rPr>
          <w:rFonts w:hint="eastAsia" w:cs="Arial"/>
        </w:rPr>
        <w:alias w:val="是否适用：与合营企业投资相关的未确认承诺[双击切换]"/>
        <w:tag w:val="_GBC_31e45f9d52434cea9a9a27d328e562ec"/>
        <w:id w:val="-792595702"/>
        <w:placeholder>
          <w:docPart w:val="GBC22222222222222222222222222222"/>
        </w:placeholder>
      </w:sdtPr>
      <w:sdtEndPr>
        <w:rPr>
          <w:rFonts w:hint="eastAsia" w:cs="Arial"/>
        </w:rPr>
      </w:sdtEndPr>
      <w:sdtContent>
        <w:p w14:paraId="493CEB87">
          <w:pPr>
            <w:rPr>
              <w:rFonts w:cs="Arial"/>
            </w:rPr>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3529E38A">
      <w:pPr>
        <w:rPr>
          <w:rFonts w:cs="Arial"/>
        </w:rPr>
      </w:pPr>
    </w:p>
    <w:p w14:paraId="18DF8F10">
      <w:pPr>
        <w:pStyle w:val="5"/>
        <w:numPr>
          <w:ilvl w:val="3"/>
          <w:numId w:val="109"/>
        </w:numPr>
        <w:ind w:left="426" w:hanging="426" w:hangingChars="202"/>
      </w:pPr>
      <w:r>
        <w:rPr>
          <w:rFonts w:hint="eastAsia"/>
        </w:rPr>
        <w:t>与合营企业或联营企业投资相关的或有负债</w:t>
      </w:r>
    </w:p>
    <w:sdt>
      <w:sdtPr>
        <w:rPr>
          <w:rFonts w:hint="eastAsia" w:cs="Arial"/>
        </w:rPr>
        <w:alias w:val="是否适用：与合营企业或联营企业投资相关的或有负债[双击切换]"/>
        <w:tag w:val="_GBC_d3c6dfcab3ab42afb854d4ea2e7c9b9f"/>
        <w:id w:val="-1725906831"/>
        <w:placeholder>
          <w:docPart w:val="GBC22222222222222222222222222222"/>
        </w:placeholder>
      </w:sdtPr>
      <w:sdtEndPr>
        <w:rPr>
          <w:rFonts w:hint="eastAsia" w:cs="Arial"/>
        </w:rPr>
      </w:sdtEndPr>
      <w:sdtContent>
        <w:p w14:paraId="4B4BBA69">
          <w:pPr>
            <w:rPr>
              <w:rFonts w:cs="Arial"/>
            </w:rPr>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2B3170C5">
      <w:pPr>
        <w:rPr>
          <w:rFonts w:cs="Arial"/>
        </w:rPr>
      </w:pPr>
    </w:p>
    <w:p w14:paraId="7341717A">
      <w:pPr>
        <w:pStyle w:val="4"/>
        <w:numPr>
          <w:ilvl w:val="2"/>
          <w:numId w:val="107"/>
        </w:numPr>
      </w:pPr>
      <w:r>
        <w:rPr>
          <w:rFonts w:hint="eastAsia"/>
        </w:rPr>
        <w:t>重要的共同经营</w:t>
      </w:r>
    </w:p>
    <w:sdt>
      <w:sdtPr>
        <w:alias w:val="是否适用：重要的共同经营[双击切换]"/>
        <w:tag w:val="_GBC_8a0341a844454c89848e95b9c64a8efb"/>
        <w:id w:val="1918207026"/>
        <w:placeholder>
          <w:docPart w:val="GBC22222222222222222222222222222"/>
        </w:placeholder>
      </w:sdtPr>
      <w:sdtContent>
        <w:p w14:paraId="549ECC80">
          <w:pPr>
            <w:pStyle w:val="48"/>
            <w:rPr>
              <w:rFonts w:cs="Arial"/>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EB599AA">
      <w:pPr>
        <w:rPr>
          <w:rFonts w:cs="Arial"/>
        </w:rPr>
      </w:pPr>
    </w:p>
    <w:p w14:paraId="1A683672">
      <w:pPr>
        <w:rPr>
          <w:rFonts w:cs="Arial"/>
        </w:rPr>
      </w:pPr>
    </w:p>
    <w:p w14:paraId="7E287C59">
      <w:pPr>
        <w:pStyle w:val="4"/>
        <w:numPr>
          <w:ilvl w:val="2"/>
          <w:numId w:val="107"/>
        </w:numPr>
      </w:pPr>
      <w:r>
        <w:rPr>
          <w:rFonts w:hint="eastAsia"/>
        </w:rPr>
        <w:t>在未纳入合并财务报表范围的结构化主体中的权益</w:t>
      </w:r>
    </w:p>
    <w:p w14:paraId="31BCABC3">
      <w:pPr>
        <w:rPr>
          <w:rFonts w:cs="Arial"/>
        </w:rPr>
      </w:pPr>
      <w:r>
        <w:rPr>
          <w:rFonts w:hint="eastAsia" w:cs="Arial"/>
        </w:rPr>
        <w:t>未纳入合并财务报表范围的结构化主体的相关说明：</w:t>
      </w:r>
    </w:p>
    <w:sdt>
      <w:sdtPr>
        <w:rPr>
          <w:rFonts w:cs="Arial"/>
        </w:rPr>
        <w:alias w:val="是否适用：未纳入合并财务报表范围的结构化主体的相关说明[双击切换]"/>
        <w:tag w:val="_GBC_fec7f9a28e8b48edbad9948b50cb3cae"/>
        <w:id w:val="1212461685"/>
        <w:placeholder>
          <w:docPart w:val="GBC22222222222222222222222222222"/>
        </w:placeholder>
      </w:sdtPr>
      <w:sdtEndPr>
        <w:rPr>
          <w:rFonts w:cs="Arial"/>
        </w:rPr>
      </w:sdtEndPr>
      <w:sdtContent>
        <w:p w14:paraId="2C6E50EA">
          <w:pPr>
            <w:rPr>
              <w:rFonts w:cs="Arial"/>
            </w:rPr>
          </w:pPr>
          <w:r>
            <w:rPr>
              <w:rFonts w:ascii="宋体" w:hAnsi="宋体" w:cs="Arial"/>
            </w:rPr>
            <w:fldChar w:fldCharType="begin"/>
          </w:r>
          <w:r>
            <w:rPr>
              <w:rFonts w:ascii="宋体" w:hAnsi="宋体" w:cs="Arial"/>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2C771D79">
      <w:pPr>
        <w:rPr>
          <w:rFonts w:cs="Arial"/>
        </w:rPr>
      </w:pPr>
    </w:p>
    <w:p w14:paraId="74E7C1AE">
      <w:pPr>
        <w:pStyle w:val="4"/>
        <w:numPr>
          <w:ilvl w:val="2"/>
          <w:numId w:val="107"/>
        </w:numPr>
      </w:pPr>
      <w:r>
        <w:rPr>
          <w:rFonts w:hint="eastAsia"/>
        </w:rPr>
        <w:t>其他</w:t>
      </w:r>
    </w:p>
    <w:sdt>
      <w:sdtPr>
        <w:rPr>
          <w:rFonts w:hint="eastAsia"/>
        </w:rPr>
        <w:alias w:val="是否适用：在其他主体中的权益其他需要说明的事项[双击切换]"/>
        <w:tag w:val="_GBC_f97a284e61d54ed588c46ec336af6ef8"/>
        <w:id w:val="-1998264477"/>
        <w:placeholder>
          <w:docPart w:val="GBC22222222222222222222222222222"/>
        </w:placeholder>
      </w:sdtPr>
      <w:sdtEndPr>
        <w:rPr>
          <w:rFonts w:hint="eastAsia"/>
        </w:rPr>
      </w:sdtEndPr>
      <w:sdtContent>
        <w:p w14:paraId="45FEC57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2D5C233">
      <w:pPr>
        <w:pStyle w:val="48"/>
      </w:pPr>
    </w:p>
    <w:p w14:paraId="0221DCA1">
      <w:pPr>
        <w:pStyle w:val="3"/>
        <w:numPr>
          <w:ilvl w:val="0"/>
          <w:numId w:val="51"/>
        </w:numPr>
        <w:rPr>
          <w:rFonts w:ascii="宋体" w:hAnsi="宋体"/>
        </w:rPr>
      </w:pPr>
      <w:r>
        <w:rPr>
          <w:rFonts w:hint="eastAsia"/>
        </w:rPr>
        <w:t>政府补助</w:t>
      </w:r>
    </w:p>
    <w:p w14:paraId="08B20A4F">
      <w:pPr>
        <w:pStyle w:val="4"/>
        <w:numPr>
          <w:ilvl w:val="0"/>
          <w:numId w:val="110"/>
        </w:numPr>
        <w:ind w:left="0" w:firstLine="0"/>
      </w:pPr>
      <w:r>
        <w:t>报告期末按应收金额确认的政府补助</w:t>
      </w:r>
    </w:p>
    <w:sdt>
      <w:sdtPr>
        <w:alias w:val="是否适用：按应收金额确认的政府补助[双击切换]"/>
        <w:tag w:val="_GBC_e1e20d7c43844cb8b0392ce8a915912f"/>
        <w:id w:val="877825871"/>
        <w:placeholder>
          <w:docPart w:val="GBC22222222222222222222222222222"/>
        </w:placeholder>
      </w:sdtPr>
      <w:sdtContent>
        <w:p w14:paraId="1764787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C51D411">
      <w:pPr>
        <w:pStyle w:val="48"/>
      </w:pPr>
    </w:p>
    <w:p w14:paraId="058DB76B">
      <w:pPr>
        <w:pStyle w:val="48"/>
      </w:pPr>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1536878102"/>
        <w:placeholder>
          <w:docPart w:val="GBC22222222222222222222222222222"/>
        </w:placeholder>
      </w:sdtPr>
      <w:sdtContent>
        <w:p w14:paraId="05307C5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835C796">
      <w:pPr>
        <w:pStyle w:val="48"/>
      </w:pPr>
    </w:p>
    <w:p w14:paraId="1697614E">
      <w:pPr>
        <w:pStyle w:val="4"/>
        <w:numPr>
          <w:ilvl w:val="0"/>
          <w:numId w:val="110"/>
        </w:numPr>
        <w:ind w:left="0" w:firstLine="0"/>
      </w:pPr>
      <w:r>
        <w:t>涉及政府补助的负债项目</w:t>
      </w:r>
    </w:p>
    <w:sdt>
      <w:sdtPr>
        <w:alias w:val="是否适用：涉及政府补助的负债项目[双击切换]"/>
        <w:tag w:val="_GBC_ed9e8fabcc8e4318b2ec33d01e83aec4"/>
        <w:id w:val="1508639334"/>
        <w:placeholder>
          <w:docPart w:val="GBC22222222222222222222222222222"/>
        </w:placeholder>
      </w:sdtPr>
      <w:sdtContent>
        <w:p w14:paraId="4539BFD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5F83406">
      <w:pPr>
        <w:jc w:val="right"/>
      </w:pPr>
      <w:r>
        <w:rPr>
          <w:rFonts w:hint="eastAsia"/>
        </w:rPr>
        <w:t>单位：</w:t>
      </w:r>
      <w:sdt>
        <w:sdtPr>
          <w:rPr>
            <w:rFonts w:hint="eastAsia"/>
          </w:rPr>
          <w:alias w:val="单位：涉及政府补助的负债项目"/>
          <w:tag w:val="_GBC_7f1d795aca2d46699971ecb934072fbd"/>
          <w:id w:val="138622744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涉及政府补助的负债项目"/>
          <w:tag w:val="_GBC_ba4177cbae6044fa854e8e3dea407bcc"/>
          <w:id w:val="14014009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10491"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417"/>
        <w:gridCol w:w="1418"/>
        <w:gridCol w:w="850"/>
        <w:gridCol w:w="1418"/>
        <w:gridCol w:w="708"/>
        <w:gridCol w:w="1418"/>
        <w:gridCol w:w="1843"/>
      </w:tblGrid>
      <w:tr w14:paraId="5F1C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1e96a8ef830445cb15689886ccd8ab5"/>
            <w:id w:val="-696841437"/>
          </w:sdtPr>
          <w:sdtContent>
            <w:tc>
              <w:tcPr>
                <w:tcW w:w="1419" w:type="dxa"/>
                <w:vAlign w:val="center"/>
              </w:tcPr>
              <w:p w14:paraId="3E73C304">
                <w:pPr>
                  <w:jc w:val="center"/>
                  <w:rPr>
                    <w:rFonts w:ascii="Calibri" w:hAnsi="Calibri"/>
                    <w:sz w:val="20"/>
                    <w:szCs w:val="20"/>
                  </w:rPr>
                </w:pPr>
                <w:r>
                  <w:rPr>
                    <w:rFonts w:hint="eastAsia" w:ascii="Calibri" w:hAnsi="Calibri"/>
                    <w:sz w:val="20"/>
                    <w:szCs w:val="20"/>
                  </w:rPr>
                  <w:t>财务报表项目</w:t>
                </w:r>
              </w:p>
            </w:tc>
          </w:sdtContent>
        </w:sdt>
        <w:sdt>
          <w:sdtPr>
            <w:tag w:val="_PLD_13c2708d76d140e9a2c8b42ee30372fa"/>
            <w:id w:val="-1743479696"/>
          </w:sdtPr>
          <w:sdtContent>
            <w:tc>
              <w:tcPr>
                <w:tcW w:w="1417" w:type="dxa"/>
                <w:vAlign w:val="center"/>
              </w:tcPr>
              <w:p w14:paraId="02383184">
                <w:pPr>
                  <w:jc w:val="center"/>
                  <w:rPr>
                    <w:rFonts w:ascii="Calibri" w:hAnsi="Calibri"/>
                    <w:sz w:val="20"/>
                    <w:szCs w:val="20"/>
                  </w:rPr>
                </w:pPr>
                <w:r>
                  <w:rPr>
                    <w:rFonts w:hint="eastAsia" w:ascii="Calibri" w:hAnsi="Calibri"/>
                    <w:sz w:val="20"/>
                    <w:szCs w:val="20"/>
                  </w:rPr>
                  <w:t>期初余额</w:t>
                </w:r>
              </w:p>
            </w:tc>
          </w:sdtContent>
        </w:sdt>
        <w:sdt>
          <w:sdtPr>
            <w:tag w:val="_PLD_baee6e4484a048eca37a455836f6d23a"/>
            <w:id w:val="-983317304"/>
          </w:sdtPr>
          <w:sdtContent>
            <w:tc>
              <w:tcPr>
                <w:tcW w:w="1418" w:type="dxa"/>
                <w:vAlign w:val="center"/>
              </w:tcPr>
              <w:p w14:paraId="27292BDA">
                <w:pPr>
                  <w:jc w:val="center"/>
                  <w:rPr>
                    <w:rFonts w:ascii="Calibri" w:hAnsi="Calibri"/>
                    <w:sz w:val="20"/>
                    <w:szCs w:val="20"/>
                  </w:rPr>
                </w:pPr>
                <w:r>
                  <w:rPr>
                    <w:rFonts w:ascii="Calibri" w:hAnsi="Calibri"/>
                    <w:sz w:val="20"/>
                    <w:szCs w:val="20"/>
                  </w:rPr>
                  <w:t>本期新增补助金额</w:t>
                </w:r>
              </w:p>
            </w:tc>
          </w:sdtContent>
        </w:sdt>
        <w:sdt>
          <w:sdtPr>
            <w:tag w:val="_PLD_d4b5cb214b114ec4bb3ec943b3f45a12"/>
            <w:id w:val="-1584757266"/>
          </w:sdtPr>
          <w:sdtContent>
            <w:tc>
              <w:tcPr>
                <w:tcW w:w="850" w:type="dxa"/>
                <w:vAlign w:val="center"/>
              </w:tcPr>
              <w:p w14:paraId="623CB8F9">
                <w:pPr>
                  <w:jc w:val="center"/>
                  <w:rPr>
                    <w:rFonts w:ascii="Calibri" w:hAnsi="Calibri"/>
                    <w:sz w:val="20"/>
                    <w:szCs w:val="20"/>
                  </w:rPr>
                </w:pPr>
                <w:r>
                  <w:rPr>
                    <w:rFonts w:ascii="Calibri" w:hAnsi="Calibri"/>
                    <w:sz w:val="20"/>
                    <w:szCs w:val="20"/>
                  </w:rPr>
                  <w:t>本期计入营业外收入金额</w:t>
                </w:r>
              </w:p>
            </w:tc>
          </w:sdtContent>
        </w:sdt>
        <w:sdt>
          <w:sdtPr>
            <w:tag w:val="_PLD_fe390be730354706a1af1589fdc9ce78"/>
            <w:id w:val="1718318867"/>
          </w:sdtPr>
          <w:sdtContent>
            <w:tc>
              <w:tcPr>
                <w:tcW w:w="1418" w:type="dxa"/>
                <w:vAlign w:val="center"/>
              </w:tcPr>
              <w:p w14:paraId="4FEC553E">
                <w:pPr>
                  <w:jc w:val="center"/>
                  <w:rPr>
                    <w:rFonts w:ascii="Calibri" w:hAnsi="Calibri"/>
                    <w:sz w:val="20"/>
                    <w:szCs w:val="20"/>
                  </w:rPr>
                </w:pPr>
                <w:r>
                  <w:rPr>
                    <w:rFonts w:ascii="Calibri" w:hAnsi="Calibri"/>
                    <w:sz w:val="20"/>
                    <w:szCs w:val="20"/>
                  </w:rPr>
                  <w:t>本期转入其他收益</w:t>
                </w:r>
              </w:p>
            </w:tc>
          </w:sdtContent>
        </w:sdt>
        <w:sdt>
          <w:sdtPr>
            <w:tag w:val="_PLD_0574cd35fdf24bda85fc60dbc5d663ad"/>
            <w:id w:val="2135366562"/>
          </w:sdtPr>
          <w:sdtContent>
            <w:tc>
              <w:tcPr>
                <w:tcW w:w="708" w:type="dxa"/>
                <w:vAlign w:val="center"/>
              </w:tcPr>
              <w:p w14:paraId="20CAC3AB">
                <w:pPr>
                  <w:jc w:val="center"/>
                  <w:rPr>
                    <w:rFonts w:ascii="Calibri" w:hAnsi="Calibri"/>
                    <w:sz w:val="20"/>
                    <w:szCs w:val="20"/>
                  </w:rPr>
                </w:pPr>
                <w:r>
                  <w:rPr>
                    <w:rFonts w:hint="eastAsia" w:ascii="Calibri" w:hAnsi="Calibri"/>
                    <w:sz w:val="20"/>
                    <w:szCs w:val="20"/>
                  </w:rPr>
                  <w:t>本期其他变动</w:t>
                </w:r>
              </w:p>
            </w:tc>
          </w:sdtContent>
        </w:sdt>
        <w:sdt>
          <w:sdtPr>
            <w:tag w:val="_PLD_b4cd227caa134d8da03257df3775b63f"/>
            <w:id w:val="1736744430"/>
          </w:sdtPr>
          <w:sdtContent>
            <w:tc>
              <w:tcPr>
                <w:tcW w:w="1418" w:type="dxa"/>
                <w:vAlign w:val="center"/>
              </w:tcPr>
              <w:p w14:paraId="539A50E2">
                <w:pPr>
                  <w:jc w:val="center"/>
                  <w:rPr>
                    <w:rFonts w:ascii="Calibri" w:hAnsi="Calibri"/>
                    <w:sz w:val="20"/>
                    <w:szCs w:val="20"/>
                  </w:rPr>
                </w:pPr>
                <w:r>
                  <w:rPr>
                    <w:rFonts w:hint="eastAsia" w:ascii="Calibri" w:hAnsi="Calibri"/>
                    <w:sz w:val="20"/>
                    <w:szCs w:val="20"/>
                  </w:rPr>
                  <w:t>期末余额</w:t>
                </w:r>
              </w:p>
            </w:tc>
          </w:sdtContent>
        </w:sdt>
        <w:sdt>
          <w:sdtPr>
            <w:tag w:val="_PLD_9149efa168c746cfa58bdc4f4b4275bd"/>
            <w:id w:val="89437875"/>
          </w:sdtPr>
          <w:sdtContent>
            <w:tc>
              <w:tcPr>
                <w:tcW w:w="1843" w:type="dxa"/>
                <w:vAlign w:val="center"/>
              </w:tcPr>
              <w:p w14:paraId="7FE4DC04">
                <w:pPr>
                  <w:jc w:val="center"/>
                  <w:rPr>
                    <w:rFonts w:ascii="Calibri" w:hAnsi="Calibri"/>
                    <w:sz w:val="20"/>
                    <w:szCs w:val="20"/>
                  </w:rPr>
                </w:pPr>
                <w:r>
                  <w:rPr>
                    <w:rFonts w:hint="eastAsia" w:ascii="Calibri" w:hAnsi="Calibri"/>
                    <w:sz w:val="20"/>
                    <w:szCs w:val="20"/>
                  </w:rPr>
                  <w:t>与资产</w:t>
                </w:r>
                <w:r>
                  <w:rPr>
                    <w:rFonts w:ascii="Calibri" w:hAnsi="Calibri"/>
                    <w:sz w:val="20"/>
                    <w:szCs w:val="20"/>
                  </w:rPr>
                  <w:t>/收益相关</w:t>
                </w:r>
              </w:p>
            </w:tc>
          </w:sdtContent>
        </w:sdt>
      </w:tr>
      <w:tr w14:paraId="1DB5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Align w:val="center"/>
          </w:tcPr>
          <w:p w14:paraId="6291B3CD">
            <w:pPr>
              <w:spacing w:line="360" w:lineRule="auto"/>
              <w:jc w:val="both"/>
              <w:rPr>
                <w:rFonts w:ascii="Calibri" w:hAnsi="Calibri"/>
              </w:rPr>
            </w:pPr>
            <w:r>
              <w:rPr>
                <w:rFonts w:hint="eastAsia" w:ascii="宋体" w:hAnsi="宋体"/>
              </w:rPr>
              <w:t>递延收益</w:t>
            </w:r>
          </w:p>
        </w:tc>
        <w:tc>
          <w:tcPr>
            <w:tcW w:w="1417" w:type="dxa"/>
            <w:vAlign w:val="center"/>
          </w:tcPr>
          <w:p w14:paraId="334E9D9B">
            <w:pPr>
              <w:spacing w:line="360" w:lineRule="auto"/>
              <w:jc w:val="right"/>
              <w:rPr>
                <w:rFonts w:ascii="Calibri" w:hAnsi="Calibri"/>
                <w:sz w:val="20"/>
                <w:szCs w:val="20"/>
              </w:rPr>
            </w:pPr>
            <w:r>
              <w:rPr>
                <w:rFonts w:ascii="Calibri" w:hAnsi="Calibri"/>
                <w:sz w:val="20"/>
                <w:szCs w:val="20"/>
              </w:rPr>
              <w:t>27,655,981.71</w:t>
            </w:r>
          </w:p>
        </w:tc>
        <w:tc>
          <w:tcPr>
            <w:tcW w:w="1418" w:type="dxa"/>
            <w:vAlign w:val="center"/>
          </w:tcPr>
          <w:p w14:paraId="4EB5B0F5">
            <w:pPr>
              <w:spacing w:line="360" w:lineRule="auto"/>
              <w:jc w:val="right"/>
              <w:rPr>
                <w:rFonts w:ascii="Calibri" w:hAnsi="Calibri"/>
                <w:sz w:val="20"/>
                <w:szCs w:val="20"/>
              </w:rPr>
            </w:pPr>
            <w:r>
              <w:rPr>
                <w:rFonts w:ascii="Calibri" w:hAnsi="Calibri"/>
                <w:sz w:val="20"/>
                <w:szCs w:val="20"/>
              </w:rPr>
              <w:t>1,950,000.00</w:t>
            </w:r>
          </w:p>
        </w:tc>
        <w:tc>
          <w:tcPr>
            <w:tcW w:w="850" w:type="dxa"/>
            <w:vAlign w:val="center"/>
          </w:tcPr>
          <w:p w14:paraId="12D8EFDC">
            <w:pPr>
              <w:spacing w:line="360" w:lineRule="auto"/>
              <w:jc w:val="right"/>
              <w:rPr>
                <w:rFonts w:ascii="Calibri" w:hAnsi="Calibri"/>
                <w:sz w:val="20"/>
                <w:szCs w:val="20"/>
              </w:rPr>
            </w:pPr>
          </w:p>
        </w:tc>
        <w:tc>
          <w:tcPr>
            <w:tcW w:w="1418" w:type="dxa"/>
            <w:vAlign w:val="center"/>
          </w:tcPr>
          <w:p w14:paraId="79B6766F">
            <w:pPr>
              <w:spacing w:line="360" w:lineRule="auto"/>
              <w:jc w:val="right"/>
              <w:rPr>
                <w:rFonts w:ascii="Calibri" w:hAnsi="Calibri"/>
                <w:sz w:val="20"/>
                <w:szCs w:val="20"/>
              </w:rPr>
            </w:pPr>
            <w:r>
              <w:rPr>
                <w:rFonts w:ascii="Calibri" w:hAnsi="Calibri"/>
                <w:sz w:val="20"/>
                <w:szCs w:val="20"/>
              </w:rPr>
              <w:t>1,197,340.92</w:t>
            </w:r>
          </w:p>
        </w:tc>
        <w:tc>
          <w:tcPr>
            <w:tcW w:w="708" w:type="dxa"/>
            <w:vAlign w:val="center"/>
          </w:tcPr>
          <w:p w14:paraId="7EF770AD">
            <w:pPr>
              <w:spacing w:line="360" w:lineRule="auto"/>
              <w:jc w:val="right"/>
              <w:rPr>
                <w:rFonts w:ascii="Calibri" w:hAnsi="Calibri"/>
                <w:sz w:val="20"/>
                <w:szCs w:val="20"/>
              </w:rPr>
            </w:pPr>
          </w:p>
        </w:tc>
        <w:tc>
          <w:tcPr>
            <w:tcW w:w="1418" w:type="dxa"/>
            <w:vAlign w:val="center"/>
          </w:tcPr>
          <w:p w14:paraId="00AC9977">
            <w:pPr>
              <w:spacing w:line="360" w:lineRule="auto"/>
              <w:jc w:val="right"/>
              <w:rPr>
                <w:rFonts w:ascii="Calibri" w:hAnsi="Calibri"/>
                <w:sz w:val="20"/>
                <w:szCs w:val="20"/>
              </w:rPr>
            </w:pPr>
            <w:r>
              <w:rPr>
                <w:rFonts w:ascii="Calibri" w:hAnsi="Calibri"/>
                <w:sz w:val="20"/>
                <w:szCs w:val="20"/>
              </w:rPr>
              <w:t>28,408,640.79</w:t>
            </w:r>
          </w:p>
        </w:tc>
        <w:tc>
          <w:tcPr>
            <w:tcW w:w="1843" w:type="dxa"/>
            <w:vAlign w:val="center"/>
          </w:tcPr>
          <w:p w14:paraId="1C3BE719">
            <w:pPr>
              <w:spacing w:line="276" w:lineRule="auto"/>
              <w:jc w:val="both"/>
              <w:rPr>
                <w:rFonts w:ascii="Calibri" w:hAnsi="Calibri"/>
              </w:rPr>
            </w:pPr>
            <w:r>
              <w:rPr>
                <w:rFonts w:hint="eastAsia" w:ascii="宋体" w:hAnsi="宋体"/>
              </w:rPr>
              <w:t>与资产</w:t>
            </w:r>
            <w:r>
              <w:rPr>
                <w:rFonts w:hint="eastAsia" w:ascii="Calibri" w:hAnsi="Calibri"/>
              </w:rPr>
              <w:t>/</w:t>
            </w:r>
            <w:r>
              <w:rPr>
                <w:rFonts w:hint="eastAsia" w:ascii="宋体" w:hAnsi="宋体"/>
              </w:rPr>
              <w:t>收益相关</w:t>
            </w:r>
          </w:p>
        </w:tc>
      </w:tr>
      <w:tr w14:paraId="64CC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tcBorders>
              <w:top w:val="single" w:color="auto" w:sz="4" w:space="0"/>
              <w:left w:val="single" w:color="auto" w:sz="4" w:space="0"/>
              <w:bottom w:val="single" w:color="auto" w:sz="4" w:space="0"/>
              <w:right w:val="single" w:color="auto" w:sz="4" w:space="0"/>
            </w:tcBorders>
            <w:vAlign w:val="center"/>
          </w:tcPr>
          <w:p w14:paraId="78D605CF">
            <w:pPr>
              <w:spacing w:line="360" w:lineRule="auto"/>
              <w:jc w:val="center"/>
              <w:rPr>
                <w:rFonts w:ascii="Calibri" w:hAnsi="Calibri"/>
                <w:sz w:val="20"/>
                <w:szCs w:val="20"/>
              </w:rPr>
            </w:pPr>
            <w:r>
              <w:rPr>
                <w:rFonts w:ascii="Calibri" w:hAnsi="Calibri"/>
                <w:sz w:val="20"/>
                <w:szCs w:val="20"/>
              </w:rPr>
              <w:t>合计</w:t>
            </w:r>
          </w:p>
        </w:tc>
        <w:tc>
          <w:tcPr>
            <w:tcW w:w="1417" w:type="dxa"/>
            <w:tcBorders>
              <w:top w:val="single" w:color="auto" w:sz="4" w:space="0"/>
              <w:left w:val="single" w:color="auto" w:sz="4" w:space="0"/>
              <w:bottom w:val="single" w:color="auto" w:sz="4" w:space="0"/>
              <w:right w:val="single" w:color="auto" w:sz="4" w:space="0"/>
            </w:tcBorders>
            <w:vAlign w:val="center"/>
          </w:tcPr>
          <w:p w14:paraId="754AC6E5">
            <w:pPr>
              <w:spacing w:line="360" w:lineRule="auto"/>
              <w:jc w:val="right"/>
              <w:rPr>
                <w:rFonts w:ascii="Calibri" w:hAnsi="Calibri"/>
                <w:sz w:val="20"/>
                <w:szCs w:val="20"/>
              </w:rPr>
            </w:pPr>
            <w:r>
              <w:rPr>
                <w:rFonts w:ascii="Calibri" w:hAnsi="Calibri"/>
                <w:sz w:val="20"/>
                <w:szCs w:val="20"/>
              </w:rPr>
              <w:t>27,655,981.71</w:t>
            </w:r>
          </w:p>
        </w:tc>
        <w:tc>
          <w:tcPr>
            <w:tcW w:w="1418" w:type="dxa"/>
            <w:tcBorders>
              <w:top w:val="single" w:color="auto" w:sz="4" w:space="0"/>
              <w:left w:val="single" w:color="auto" w:sz="4" w:space="0"/>
              <w:bottom w:val="single" w:color="auto" w:sz="4" w:space="0"/>
              <w:right w:val="single" w:color="auto" w:sz="4" w:space="0"/>
            </w:tcBorders>
            <w:vAlign w:val="center"/>
          </w:tcPr>
          <w:p w14:paraId="1EC41523">
            <w:pPr>
              <w:spacing w:line="360" w:lineRule="auto"/>
              <w:jc w:val="right"/>
              <w:rPr>
                <w:rFonts w:ascii="Calibri" w:hAnsi="Calibri"/>
                <w:sz w:val="20"/>
                <w:szCs w:val="20"/>
              </w:rPr>
            </w:pPr>
            <w:r>
              <w:rPr>
                <w:rFonts w:ascii="Calibri" w:hAnsi="Calibri"/>
                <w:sz w:val="20"/>
                <w:szCs w:val="20"/>
              </w:rPr>
              <w:t>1,950,000.00</w:t>
            </w:r>
          </w:p>
        </w:tc>
        <w:tc>
          <w:tcPr>
            <w:tcW w:w="850" w:type="dxa"/>
            <w:tcBorders>
              <w:top w:val="single" w:color="auto" w:sz="4" w:space="0"/>
              <w:left w:val="single" w:color="auto" w:sz="4" w:space="0"/>
              <w:bottom w:val="single" w:color="auto" w:sz="4" w:space="0"/>
              <w:right w:val="single" w:color="auto" w:sz="4" w:space="0"/>
            </w:tcBorders>
            <w:vAlign w:val="center"/>
          </w:tcPr>
          <w:p w14:paraId="5B3BF809">
            <w:pPr>
              <w:spacing w:line="360" w:lineRule="auto"/>
              <w:jc w:val="right"/>
              <w:rPr>
                <w:rFonts w:ascii="Calibri" w:hAnsi="Calibri"/>
                <w:sz w:val="20"/>
                <w:szCs w:val="20"/>
              </w:rPr>
            </w:pPr>
          </w:p>
        </w:tc>
        <w:tc>
          <w:tcPr>
            <w:tcW w:w="1418" w:type="dxa"/>
            <w:tcBorders>
              <w:top w:val="single" w:color="auto" w:sz="4" w:space="0"/>
              <w:left w:val="single" w:color="auto" w:sz="4" w:space="0"/>
              <w:bottom w:val="single" w:color="auto" w:sz="4" w:space="0"/>
              <w:right w:val="single" w:color="auto" w:sz="4" w:space="0"/>
            </w:tcBorders>
            <w:vAlign w:val="center"/>
          </w:tcPr>
          <w:p w14:paraId="594268E2">
            <w:pPr>
              <w:spacing w:line="360" w:lineRule="auto"/>
              <w:jc w:val="right"/>
              <w:rPr>
                <w:rFonts w:ascii="Calibri" w:hAnsi="Calibri"/>
                <w:sz w:val="20"/>
                <w:szCs w:val="20"/>
              </w:rPr>
            </w:pPr>
            <w:r>
              <w:rPr>
                <w:rFonts w:ascii="Calibri" w:hAnsi="Calibri"/>
                <w:sz w:val="20"/>
                <w:szCs w:val="20"/>
              </w:rPr>
              <w:t>1,197,340.92</w:t>
            </w:r>
          </w:p>
        </w:tc>
        <w:tc>
          <w:tcPr>
            <w:tcW w:w="708" w:type="dxa"/>
            <w:tcBorders>
              <w:top w:val="single" w:color="auto" w:sz="4" w:space="0"/>
              <w:left w:val="single" w:color="auto" w:sz="4" w:space="0"/>
              <w:bottom w:val="single" w:color="auto" w:sz="4" w:space="0"/>
              <w:right w:val="single" w:color="auto" w:sz="4" w:space="0"/>
            </w:tcBorders>
            <w:vAlign w:val="center"/>
          </w:tcPr>
          <w:p w14:paraId="76F20CCA">
            <w:pPr>
              <w:spacing w:line="360" w:lineRule="auto"/>
              <w:jc w:val="right"/>
              <w:rPr>
                <w:rFonts w:ascii="Calibri" w:hAnsi="Calibri"/>
                <w:sz w:val="20"/>
                <w:szCs w:val="20"/>
              </w:rPr>
            </w:pPr>
          </w:p>
        </w:tc>
        <w:tc>
          <w:tcPr>
            <w:tcW w:w="1418" w:type="dxa"/>
            <w:tcBorders>
              <w:top w:val="single" w:color="auto" w:sz="4" w:space="0"/>
              <w:left w:val="single" w:color="auto" w:sz="4" w:space="0"/>
              <w:bottom w:val="single" w:color="auto" w:sz="4" w:space="0"/>
              <w:right w:val="single" w:color="auto" w:sz="4" w:space="0"/>
            </w:tcBorders>
            <w:vAlign w:val="center"/>
          </w:tcPr>
          <w:p w14:paraId="0BB7F72B">
            <w:pPr>
              <w:spacing w:line="360" w:lineRule="auto"/>
              <w:jc w:val="right"/>
              <w:rPr>
                <w:rFonts w:ascii="Calibri" w:hAnsi="Calibri"/>
                <w:sz w:val="20"/>
                <w:szCs w:val="20"/>
              </w:rPr>
            </w:pPr>
            <w:r>
              <w:rPr>
                <w:rFonts w:ascii="Calibri" w:hAnsi="Calibri"/>
                <w:sz w:val="20"/>
                <w:szCs w:val="20"/>
              </w:rPr>
              <w:t>28,408,640.79</w:t>
            </w:r>
          </w:p>
        </w:tc>
        <w:tc>
          <w:tcPr>
            <w:tcW w:w="1843" w:type="dxa"/>
            <w:tcBorders>
              <w:top w:val="single" w:color="auto" w:sz="4" w:space="0"/>
              <w:left w:val="single" w:color="auto" w:sz="4" w:space="0"/>
              <w:bottom w:val="single" w:color="auto" w:sz="4" w:space="0"/>
              <w:right w:val="single" w:color="auto" w:sz="4" w:space="0"/>
            </w:tcBorders>
            <w:vAlign w:val="center"/>
          </w:tcPr>
          <w:p w14:paraId="0D702CE9">
            <w:pPr>
              <w:pStyle w:val="48"/>
              <w:spacing w:line="360" w:lineRule="auto"/>
              <w:rPr>
                <w:sz w:val="20"/>
                <w:szCs w:val="20"/>
              </w:rPr>
            </w:pPr>
            <w:r>
              <w:rPr>
                <w:rFonts w:hint="eastAsia"/>
                <w:sz w:val="20"/>
                <w:szCs w:val="20"/>
              </w:rPr>
              <w:t>/</w:t>
            </w:r>
          </w:p>
        </w:tc>
      </w:tr>
    </w:tbl>
    <w:p w14:paraId="2C0C21C3">
      <w:pPr>
        <w:pStyle w:val="48"/>
      </w:pPr>
    </w:p>
    <w:p w14:paraId="6A550505">
      <w:pPr>
        <w:pStyle w:val="4"/>
        <w:numPr>
          <w:ilvl w:val="0"/>
          <w:numId w:val="110"/>
        </w:numPr>
        <w:ind w:left="0" w:firstLine="0"/>
      </w:pPr>
      <w:bookmarkStart w:id="367" w:name="_Hlk153267407"/>
      <w:r>
        <w:rPr>
          <w:rFonts w:hint="eastAsia" w:cs="宋体"/>
          <w:kern w:val="0"/>
          <w:szCs w:val="24"/>
        </w:rPr>
        <w:t>计入当期损益的政府补助</w:t>
      </w:r>
    </w:p>
    <w:sdt>
      <w:sdtPr>
        <w:rPr>
          <w:rStyle w:val="26"/>
          <w:rFonts w:ascii="宋体" w:hAnsi="宋体"/>
          <w:b w:val="0"/>
          <w:szCs w:val="21"/>
        </w:rPr>
        <w:alias w:val="是否适用：计入当期损益的政府补助[双击切换]"/>
        <w:tag w:val="_GBC_8ddf92f66bfa4f87b73074ebf5a7bd32"/>
        <w:id w:val="1121494548"/>
        <w:placeholder>
          <w:docPart w:val="GBC22222222222222222222222222222"/>
        </w:placeholder>
      </w:sdtPr>
      <w:sdtEndPr>
        <w:rPr>
          <w:rStyle w:val="26"/>
          <w:rFonts w:ascii="宋体" w:hAnsi="宋体"/>
          <w:b w:val="0"/>
          <w:szCs w:val="21"/>
        </w:rPr>
      </w:sdtEndPr>
      <w:sdtContent>
        <w:p w14:paraId="30D1A843">
          <w:pPr>
            <w:rPr>
              <w:rStyle w:val="26"/>
              <w:rFonts w:ascii="宋体" w:hAnsi="宋体"/>
              <w:b w:val="0"/>
              <w:szCs w:val="21"/>
            </w:rPr>
          </w:pPr>
          <w:r>
            <w:rPr>
              <w:rStyle w:val="26"/>
              <w:rFonts w:ascii="宋体" w:hAnsi="宋体" w:eastAsia="宋体"/>
              <w:b w:val="0"/>
              <w:szCs w:val="21"/>
            </w:rPr>
            <w:fldChar w:fldCharType="begin"/>
          </w:r>
          <w:r>
            <w:rPr>
              <w:rStyle w:val="26"/>
              <w:rFonts w:hint="eastAsia" w:ascii="宋体" w:hAnsi="宋体" w:eastAsia="宋体"/>
              <w:b w:val="0"/>
              <w:szCs w:val="21"/>
            </w:rPr>
            <w:instrText xml:space="preserve">MACROBUTTON  SnrToggleCheckbox √适用 </w:instrText>
          </w:r>
          <w:r>
            <w:rPr>
              <w:rStyle w:val="26"/>
              <w:rFonts w:ascii="宋体" w:hAnsi="宋体" w:eastAsia="宋体"/>
              <w:b w:val="0"/>
              <w:szCs w:val="21"/>
            </w:rPr>
            <w:fldChar w:fldCharType="end"/>
          </w:r>
          <w:r>
            <w:rPr>
              <w:rStyle w:val="26"/>
              <w:rFonts w:ascii="宋体" w:hAnsi="宋体" w:eastAsia="宋体"/>
              <w:b w:val="0"/>
              <w:szCs w:val="21"/>
            </w:rPr>
            <w:fldChar w:fldCharType="begin"/>
          </w:r>
          <w:r>
            <w:rPr>
              <w:rStyle w:val="26"/>
              <w:rFonts w:ascii="宋体" w:hAnsi="宋体" w:eastAsia="宋体"/>
              <w:b w:val="0"/>
              <w:szCs w:val="21"/>
            </w:rPr>
            <w:instrText xml:space="preserve"> MACROBUTTON  SnrToggleCheckbox □不适用 </w:instrText>
          </w:r>
          <w:r>
            <w:rPr>
              <w:rStyle w:val="26"/>
              <w:rFonts w:ascii="宋体" w:hAnsi="宋体" w:eastAsia="宋体"/>
              <w:b w:val="0"/>
              <w:szCs w:val="21"/>
            </w:rPr>
            <w:fldChar w:fldCharType="end"/>
          </w:r>
        </w:p>
      </w:sdtContent>
    </w:sdt>
    <w:p w14:paraId="385C31AA">
      <w:pPr>
        <w:jc w:val="right"/>
      </w:pPr>
      <w:r>
        <w:rPr>
          <w:rFonts w:hint="eastAsia"/>
        </w:rPr>
        <w:t xml:space="preserve"> 单位：</w:t>
      </w:r>
      <w:sdt>
        <w:sdtPr>
          <w:rPr>
            <w:rFonts w:hint="eastAsia"/>
          </w:rPr>
          <w:alias w:val="单位：财务附注：计入当期损益的政府补助"/>
          <w:tag w:val="_GBC_e18208ff61f24ff591a3dc1a23c8a26c"/>
          <w:id w:val="-15047330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计入当期损益的政府补助"/>
          <w:tag w:val="_GBC_46d58cfd963545aba949fdc131aee974"/>
          <w:id w:val="-21322407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2871"/>
        <w:gridCol w:w="3092"/>
        <w:gridCol w:w="3092"/>
      </w:tblGrid>
      <w:tr w14:paraId="1387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jc w:val="center"/>
        </w:trPr>
        <w:sdt>
          <w:sdtPr>
            <w:tag w:val="_PLD_5b4079791e994686811417a70944bd9d"/>
            <w:id w:val="817464367"/>
          </w:sdtPr>
          <w:sdtContent>
            <w:tc>
              <w:tcPr>
                <w:tcW w:w="2871" w:type="dxa"/>
                <w:tcBorders>
                  <w:top w:val="single" w:color="auto" w:sz="4" w:space="0"/>
                  <w:left w:val="single" w:color="auto" w:sz="4" w:space="0"/>
                  <w:bottom w:val="single" w:color="auto" w:sz="4" w:space="0"/>
                  <w:right w:val="single" w:color="auto" w:sz="4" w:space="0"/>
                </w:tcBorders>
                <w:vAlign w:val="center"/>
              </w:tcPr>
              <w:p w14:paraId="12152EEA">
                <w:pPr>
                  <w:jc w:val="center"/>
                  <w:rPr>
                    <w:rFonts w:ascii="Calibri" w:hAnsi="Calibri"/>
                    <w:sz w:val="20"/>
                    <w:szCs w:val="20"/>
                  </w:rPr>
                </w:pPr>
                <w:r>
                  <w:rPr>
                    <w:rFonts w:hint="eastAsia" w:ascii="Calibri" w:hAnsi="Calibri"/>
                    <w:sz w:val="20"/>
                    <w:szCs w:val="20"/>
                  </w:rPr>
                  <w:t>类型</w:t>
                </w:r>
              </w:p>
            </w:tc>
          </w:sdtContent>
        </w:sdt>
        <w:sdt>
          <w:sdtPr>
            <w:tag w:val="_PLD_ae1ceb2d189344a5ad7763348cb654c3"/>
            <w:id w:val="1521734590"/>
          </w:sdtPr>
          <w:sdtContent>
            <w:tc>
              <w:tcPr>
                <w:tcW w:w="3092" w:type="dxa"/>
                <w:tcBorders>
                  <w:top w:val="single" w:color="auto" w:sz="4" w:space="0"/>
                  <w:left w:val="single" w:color="auto" w:sz="4" w:space="0"/>
                  <w:bottom w:val="single" w:color="auto" w:sz="4" w:space="0"/>
                  <w:right w:val="single" w:color="auto" w:sz="4" w:space="0"/>
                </w:tcBorders>
                <w:vAlign w:val="center"/>
              </w:tcPr>
              <w:p w14:paraId="298F60DA">
                <w:pPr>
                  <w:jc w:val="center"/>
                  <w:rPr>
                    <w:rFonts w:ascii="Calibri" w:hAnsi="Calibri"/>
                    <w:sz w:val="20"/>
                    <w:szCs w:val="20"/>
                  </w:rPr>
                </w:pPr>
                <w:r>
                  <w:rPr>
                    <w:rFonts w:ascii="Calibri" w:hAnsi="Calibri"/>
                    <w:sz w:val="20"/>
                    <w:szCs w:val="20"/>
                  </w:rPr>
                  <w:t>本期发生额</w:t>
                </w:r>
              </w:p>
            </w:tc>
          </w:sdtContent>
        </w:sdt>
        <w:sdt>
          <w:sdtPr>
            <w:tag w:val="_PLD_e615d326bd42416e8f3721fad0ff2852"/>
            <w:id w:val="2060980196"/>
          </w:sdtPr>
          <w:sdtContent>
            <w:tc>
              <w:tcPr>
                <w:tcW w:w="3092" w:type="dxa"/>
                <w:tcBorders>
                  <w:top w:val="single" w:color="auto" w:sz="4" w:space="0"/>
                  <w:left w:val="single" w:color="auto" w:sz="4" w:space="0"/>
                  <w:bottom w:val="single" w:color="auto" w:sz="4" w:space="0"/>
                  <w:right w:val="single" w:color="auto" w:sz="4" w:space="0"/>
                </w:tcBorders>
                <w:vAlign w:val="center"/>
              </w:tcPr>
              <w:p w14:paraId="02AF0511">
                <w:pPr>
                  <w:jc w:val="center"/>
                  <w:rPr>
                    <w:rFonts w:ascii="Calibri" w:hAnsi="Calibri"/>
                    <w:sz w:val="20"/>
                    <w:szCs w:val="20"/>
                  </w:rPr>
                </w:pPr>
                <w:r>
                  <w:rPr>
                    <w:rFonts w:ascii="Calibri" w:hAnsi="Calibri"/>
                    <w:sz w:val="20"/>
                    <w:szCs w:val="20"/>
                  </w:rPr>
                  <w:t>上期发生额</w:t>
                </w:r>
              </w:p>
            </w:tc>
          </w:sdtContent>
        </w:sdt>
      </w:tr>
      <w:tr w14:paraId="28BF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alias w:val="计入当期损益的政府补助项目名称"/>
            <w:tag w:val="_GBC_30e0d7873e3b41d781ec9deee5fe8de4"/>
            <w:id w:val="-571653041"/>
            <w:comboBox>
              <w:listItem w:displayText="与资产相关" w:value="与资产相关"/>
              <w:listItem w:displayText="与收益相关" w:value="与收益相关"/>
              <w:listItem w:displayText="其他" w:value="其他"/>
            </w:comboBox>
          </w:sdtPr>
          <w:sdtContent>
            <w:tc>
              <w:tcPr>
                <w:tcW w:w="2871" w:type="dxa"/>
                <w:tcBorders>
                  <w:top w:val="single" w:color="auto" w:sz="4" w:space="0"/>
                  <w:left w:val="single" w:color="auto" w:sz="4" w:space="0"/>
                  <w:bottom w:val="single" w:color="auto" w:sz="4" w:space="0"/>
                  <w:right w:val="single" w:color="auto" w:sz="4" w:space="0"/>
                </w:tcBorders>
                <w:vAlign w:val="center"/>
              </w:tcPr>
              <w:p w14:paraId="6C0CC885">
                <w:pPr>
                  <w:pStyle w:val="48"/>
                  <w:rPr>
                    <w:sz w:val="20"/>
                    <w:szCs w:val="20"/>
                  </w:rPr>
                </w:pPr>
                <w:r>
                  <w:rPr>
                    <w:sz w:val="20"/>
                    <w:szCs w:val="20"/>
                  </w:rPr>
                  <w:t>与资产相关</w:t>
                </w:r>
              </w:p>
            </w:tc>
          </w:sdtContent>
        </w:sdt>
        <w:tc>
          <w:tcPr>
            <w:tcW w:w="3092" w:type="dxa"/>
            <w:tcBorders>
              <w:top w:val="single" w:color="auto" w:sz="4" w:space="0"/>
              <w:left w:val="single" w:color="auto" w:sz="4" w:space="0"/>
              <w:bottom w:val="single" w:color="auto" w:sz="4" w:space="0"/>
              <w:right w:val="single" w:color="auto" w:sz="4" w:space="0"/>
            </w:tcBorders>
            <w:vAlign w:val="center"/>
          </w:tcPr>
          <w:p w14:paraId="78A118ED">
            <w:pPr>
              <w:jc w:val="right"/>
              <w:rPr>
                <w:rFonts w:ascii="Calibri" w:hAnsi="Calibri"/>
                <w:sz w:val="20"/>
                <w:szCs w:val="20"/>
              </w:rPr>
            </w:pPr>
            <w:r>
              <w:rPr>
                <w:rFonts w:ascii="Calibri" w:hAnsi="Calibri"/>
                <w:sz w:val="20"/>
                <w:szCs w:val="20"/>
              </w:rPr>
              <w:t>1,197,340.92</w:t>
            </w:r>
          </w:p>
        </w:tc>
        <w:tc>
          <w:tcPr>
            <w:tcW w:w="3092" w:type="dxa"/>
            <w:tcBorders>
              <w:top w:val="single" w:color="auto" w:sz="4" w:space="0"/>
              <w:left w:val="single" w:color="auto" w:sz="4" w:space="0"/>
              <w:bottom w:val="single" w:color="auto" w:sz="4" w:space="0"/>
              <w:right w:val="single" w:color="auto" w:sz="4" w:space="0"/>
            </w:tcBorders>
            <w:vAlign w:val="center"/>
          </w:tcPr>
          <w:p w14:paraId="7BC848D5">
            <w:pPr>
              <w:jc w:val="right"/>
              <w:rPr>
                <w:rFonts w:ascii="Calibri" w:hAnsi="Calibri"/>
                <w:sz w:val="20"/>
                <w:szCs w:val="20"/>
              </w:rPr>
            </w:pPr>
            <w:r>
              <w:rPr>
                <w:rFonts w:ascii="Calibri" w:hAnsi="Calibri"/>
                <w:sz w:val="20"/>
                <w:szCs w:val="20"/>
              </w:rPr>
              <w:t>823,174.29</w:t>
            </w:r>
          </w:p>
        </w:tc>
      </w:tr>
      <w:tr w14:paraId="57FD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alias w:val="计入当期损益的政府补助项目名称"/>
            <w:tag w:val="_GBC_30e0d7873e3b41d781ec9deee5fe8de4"/>
            <w:id w:val="-272404257"/>
            <w:comboBox>
              <w:listItem w:displayText="与资产相关" w:value="与资产相关"/>
              <w:listItem w:displayText="与收益相关" w:value="与收益相关"/>
              <w:listItem w:displayText="其他" w:value="其他"/>
            </w:comboBox>
          </w:sdtPr>
          <w:sdtContent>
            <w:tc>
              <w:tcPr>
                <w:tcW w:w="2871" w:type="dxa"/>
                <w:tcBorders>
                  <w:top w:val="single" w:color="auto" w:sz="4" w:space="0"/>
                  <w:left w:val="single" w:color="auto" w:sz="4" w:space="0"/>
                  <w:bottom w:val="single" w:color="auto" w:sz="4" w:space="0"/>
                  <w:right w:val="single" w:color="auto" w:sz="4" w:space="0"/>
                </w:tcBorders>
                <w:vAlign w:val="center"/>
              </w:tcPr>
              <w:p w14:paraId="5CF9417C">
                <w:pPr>
                  <w:pStyle w:val="48"/>
                  <w:rPr>
                    <w:sz w:val="20"/>
                    <w:szCs w:val="20"/>
                  </w:rPr>
                </w:pPr>
                <w:r>
                  <w:rPr>
                    <w:sz w:val="20"/>
                    <w:szCs w:val="20"/>
                  </w:rPr>
                  <w:t>与收益相关</w:t>
                </w:r>
              </w:p>
            </w:tc>
          </w:sdtContent>
        </w:sdt>
        <w:tc>
          <w:tcPr>
            <w:tcW w:w="3092" w:type="dxa"/>
            <w:tcBorders>
              <w:top w:val="single" w:color="auto" w:sz="4" w:space="0"/>
              <w:left w:val="single" w:color="auto" w:sz="4" w:space="0"/>
              <w:bottom w:val="single" w:color="auto" w:sz="4" w:space="0"/>
              <w:right w:val="single" w:color="auto" w:sz="4" w:space="0"/>
            </w:tcBorders>
            <w:vAlign w:val="center"/>
          </w:tcPr>
          <w:p w14:paraId="570DA913">
            <w:pPr>
              <w:jc w:val="right"/>
              <w:rPr>
                <w:rFonts w:ascii="Calibri" w:hAnsi="Calibri"/>
                <w:sz w:val="20"/>
                <w:szCs w:val="20"/>
              </w:rPr>
            </w:pPr>
            <w:r>
              <w:rPr>
                <w:rFonts w:ascii="Calibri" w:hAnsi="Calibri"/>
                <w:sz w:val="20"/>
                <w:szCs w:val="20"/>
              </w:rPr>
              <w:t>9,049,337.78</w:t>
            </w:r>
          </w:p>
        </w:tc>
        <w:tc>
          <w:tcPr>
            <w:tcW w:w="3092" w:type="dxa"/>
            <w:tcBorders>
              <w:top w:val="single" w:color="auto" w:sz="4" w:space="0"/>
              <w:left w:val="single" w:color="auto" w:sz="4" w:space="0"/>
              <w:bottom w:val="single" w:color="auto" w:sz="4" w:space="0"/>
              <w:right w:val="single" w:color="auto" w:sz="4" w:space="0"/>
            </w:tcBorders>
            <w:vAlign w:val="center"/>
          </w:tcPr>
          <w:p w14:paraId="508DEFF5">
            <w:pPr>
              <w:jc w:val="right"/>
              <w:rPr>
                <w:rFonts w:ascii="Calibri" w:hAnsi="Calibri"/>
                <w:sz w:val="20"/>
                <w:szCs w:val="20"/>
              </w:rPr>
            </w:pPr>
            <w:r>
              <w:rPr>
                <w:rFonts w:ascii="Calibri" w:hAnsi="Calibri"/>
                <w:sz w:val="20"/>
                <w:szCs w:val="20"/>
              </w:rPr>
              <w:t>2,709,035.16</w:t>
            </w:r>
          </w:p>
        </w:tc>
      </w:tr>
      <w:tr w14:paraId="23D0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2871" w:type="dxa"/>
            <w:tcBorders>
              <w:top w:val="single" w:color="auto" w:sz="4" w:space="0"/>
              <w:left w:val="single" w:color="auto" w:sz="4" w:space="0"/>
              <w:bottom w:val="single" w:color="auto" w:sz="4" w:space="0"/>
              <w:right w:val="single" w:color="auto" w:sz="4" w:space="0"/>
            </w:tcBorders>
            <w:vAlign w:val="center"/>
          </w:tcPr>
          <w:p w14:paraId="4DA45878">
            <w:pPr>
              <w:jc w:val="center"/>
              <w:rPr>
                <w:rFonts w:ascii="Calibri" w:hAnsi="Calibri"/>
                <w:sz w:val="20"/>
                <w:szCs w:val="20"/>
              </w:rPr>
            </w:pPr>
            <w:r>
              <w:rPr>
                <w:rFonts w:hint="eastAsia" w:ascii="Calibri" w:hAnsi="Calibri"/>
                <w:sz w:val="20"/>
                <w:szCs w:val="20"/>
              </w:rPr>
              <w:t>合计</w:t>
            </w:r>
          </w:p>
        </w:tc>
        <w:tc>
          <w:tcPr>
            <w:tcW w:w="3092" w:type="dxa"/>
            <w:tcBorders>
              <w:top w:val="single" w:color="auto" w:sz="4" w:space="0"/>
              <w:left w:val="single" w:color="auto" w:sz="4" w:space="0"/>
              <w:bottom w:val="single" w:color="auto" w:sz="4" w:space="0"/>
              <w:right w:val="single" w:color="auto" w:sz="4" w:space="0"/>
            </w:tcBorders>
            <w:vAlign w:val="center"/>
          </w:tcPr>
          <w:p w14:paraId="15FDA732">
            <w:pPr>
              <w:jc w:val="right"/>
              <w:rPr>
                <w:rFonts w:ascii="Calibri" w:hAnsi="Calibri"/>
                <w:sz w:val="20"/>
                <w:szCs w:val="20"/>
              </w:rPr>
            </w:pPr>
            <w:r>
              <w:rPr>
                <w:rFonts w:ascii="Calibri" w:hAnsi="Calibri"/>
                <w:sz w:val="20"/>
                <w:szCs w:val="20"/>
              </w:rPr>
              <w:t>10,246,678.70</w:t>
            </w:r>
          </w:p>
        </w:tc>
        <w:tc>
          <w:tcPr>
            <w:tcW w:w="3092" w:type="dxa"/>
            <w:tcBorders>
              <w:top w:val="single" w:color="auto" w:sz="4" w:space="0"/>
              <w:left w:val="single" w:color="auto" w:sz="4" w:space="0"/>
              <w:bottom w:val="single" w:color="auto" w:sz="4" w:space="0"/>
              <w:right w:val="single" w:color="auto" w:sz="4" w:space="0"/>
            </w:tcBorders>
            <w:vAlign w:val="center"/>
          </w:tcPr>
          <w:p w14:paraId="7C9CEBBD">
            <w:pPr>
              <w:jc w:val="right"/>
              <w:rPr>
                <w:rFonts w:ascii="Calibri" w:hAnsi="Calibri"/>
                <w:sz w:val="20"/>
                <w:szCs w:val="20"/>
              </w:rPr>
            </w:pPr>
            <w:r>
              <w:rPr>
                <w:rFonts w:ascii="Calibri" w:hAnsi="Calibri"/>
                <w:sz w:val="20"/>
                <w:szCs w:val="20"/>
              </w:rPr>
              <w:t>3,532,209.45</w:t>
            </w:r>
          </w:p>
        </w:tc>
      </w:tr>
    </w:tbl>
    <w:p w14:paraId="3E714827">
      <w:pPr>
        <w:pStyle w:val="48"/>
      </w:pPr>
    </w:p>
    <w:bookmarkEnd w:id="367"/>
    <w:p w14:paraId="054BBD76">
      <w:pPr>
        <w:pStyle w:val="48"/>
      </w:pPr>
      <w:bookmarkStart w:id="368" w:name="_Hlk153267868"/>
    </w:p>
    <w:bookmarkEnd w:id="368"/>
    <w:p w14:paraId="119FFF01">
      <w:pPr>
        <w:pStyle w:val="3"/>
        <w:numPr>
          <w:ilvl w:val="0"/>
          <w:numId w:val="51"/>
        </w:numPr>
        <w:rPr>
          <w:rFonts w:ascii="宋体" w:hAnsi="宋体"/>
        </w:rPr>
      </w:pPr>
      <w:r>
        <w:rPr>
          <w:rFonts w:hint="eastAsia"/>
        </w:rPr>
        <w:t>与金融工具相关的风险</w:t>
      </w:r>
    </w:p>
    <w:p w14:paraId="7E9C7181">
      <w:pPr>
        <w:pStyle w:val="4"/>
        <w:numPr>
          <w:ilvl w:val="0"/>
          <w:numId w:val="111"/>
        </w:numPr>
      </w:pPr>
      <w:r>
        <w:rPr>
          <w:rFonts w:hint="eastAsia"/>
        </w:rPr>
        <w:t>金融工具的风险</w:t>
      </w:r>
    </w:p>
    <w:sdt>
      <w:sdtPr>
        <w:alias w:val="是否适用：与金融工具相关的风险[双击切换]"/>
        <w:tag w:val="_GBC_2be38aac6aaa4945a48be2cdc11eaaf6"/>
        <w:id w:val="-92712294"/>
        <w:placeholder>
          <w:docPart w:val="GBC22222222222222222222222222222"/>
        </w:placeholder>
      </w:sdtPr>
      <w:sdtContent>
        <w:p w14:paraId="1B1FE698">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与金融工具相关的风险"/>
        <w:tag w:val="_GBC_f6714dfdbb554edeb7e7fde71c65346d"/>
        <w:id w:val="1173215654"/>
        <w:placeholder>
          <w:docPart w:val="GBC22222222222222222222222222222"/>
        </w:placeholder>
      </w:sdtPr>
      <w:sdtEndPr>
        <w:rPr>
          <w:b/>
        </w:rPr>
      </w:sdtEndPr>
      <w:sdtContent>
        <w:p w14:paraId="56BFC137">
          <w:pPr>
            <w:spacing w:line="460" w:lineRule="atLeast"/>
            <w:ind w:firstLine="420" w:firstLineChars="200"/>
            <w:rPr>
              <w:kern w:val="2"/>
            </w:rPr>
          </w:pPr>
          <w:r>
            <w:rPr>
              <w:rFonts w:hint="eastAsia" w:ascii="宋体" w:hAnsi="宋体"/>
              <w:kern w:val="2"/>
            </w:rPr>
            <w:t>本公司在经营过程中面临各种金融风险：信用风险、市场风险和流动性风险。</w:t>
          </w:r>
        </w:p>
        <w:p w14:paraId="640B3030">
          <w:pPr>
            <w:widowControl w:val="0"/>
            <w:autoSpaceDE w:val="0"/>
            <w:autoSpaceDN w:val="0"/>
            <w:adjustRightInd w:val="0"/>
            <w:spacing w:line="460" w:lineRule="atLeast"/>
            <w:ind w:left="420" w:leftChars="200"/>
            <w:jc w:val="both"/>
            <w:rPr>
              <w:rFonts w:ascii="宋体" w:hAnsi="宋体"/>
              <w:kern w:val="2"/>
            </w:rPr>
          </w:pPr>
          <w:r>
            <w:rPr>
              <w:kern w:val="2"/>
            </w:rPr>
            <w:t>1</w:t>
          </w:r>
          <w:r>
            <w:rPr>
              <w:rFonts w:hint="eastAsia"/>
              <w:kern w:val="2"/>
            </w:rPr>
            <w:t>.</w:t>
          </w:r>
          <w:r>
            <w:rPr>
              <w:rFonts w:hint="eastAsia" w:ascii="宋体" w:hAnsi="宋体"/>
              <w:kern w:val="2"/>
            </w:rPr>
            <w:t>信用风险</w:t>
          </w:r>
        </w:p>
        <w:p w14:paraId="172466AB">
          <w:pPr>
            <w:widowControl w:val="0"/>
            <w:spacing w:line="460" w:lineRule="atLeast"/>
            <w:ind w:firstLine="420" w:firstLineChars="200"/>
            <w:jc w:val="both"/>
            <w:rPr>
              <w:kern w:val="2"/>
            </w:rPr>
          </w:pPr>
          <w:r>
            <w:rPr>
              <w:rFonts w:hint="eastAsia" w:ascii="宋体" w:hAnsi="宋体"/>
              <w:kern w:val="2"/>
            </w:rPr>
            <w:t>信用风险是指金融工具的一方不履行义务，造成另一方发生财务损失的风险。本公司主要面临赊销导致的客户信用风险。</w:t>
          </w:r>
        </w:p>
        <w:p w14:paraId="6731E4D4">
          <w:pPr>
            <w:widowControl w:val="0"/>
            <w:spacing w:line="460" w:lineRule="atLeast"/>
            <w:ind w:firstLine="420" w:firstLineChars="200"/>
            <w:jc w:val="both"/>
            <w:rPr>
              <w:kern w:val="2"/>
            </w:rPr>
          </w:pPr>
          <w:r>
            <w:rPr>
              <w:rFonts w:hint="eastAsia" w:ascii="宋体" w:hAnsi="宋体"/>
              <w:kern w:val="2"/>
            </w:rPr>
            <w:t>在签订新合同之前，本公司会对新客户的信用风险进行评估，包括外部信用评级和在某些情况下的银行资信证明（当此信息可获取时）。公司通过对已有客户信用评级的季度监控以及应收账款账龄分析的月度审核来确保公司的整体信用风险在可控的范围内。</w:t>
          </w:r>
        </w:p>
        <w:p w14:paraId="7F49AF92">
          <w:pPr>
            <w:widowControl w:val="0"/>
            <w:autoSpaceDE w:val="0"/>
            <w:autoSpaceDN w:val="0"/>
            <w:adjustRightInd w:val="0"/>
            <w:spacing w:line="460" w:lineRule="atLeast"/>
            <w:ind w:left="420" w:leftChars="200"/>
            <w:jc w:val="both"/>
            <w:rPr>
              <w:kern w:val="2"/>
            </w:rPr>
          </w:pPr>
          <w:r>
            <w:rPr>
              <w:rFonts w:hint="eastAsia"/>
              <w:kern w:val="2"/>
            </w:rPr>
            <w:t>2.</w:t>
          </w:r>
          <w:r>
            <w:rPr>
              <w:rFonts w:hint="eastAsia" w:ascii="宋体" w:hAnsi="宋体"/>
              <w:kern w:val="2"/>
            </w:rPr>
            <w:t>市场风险</w:t>
          </w:r>
        </w:p>
        <w:p w14:paraId="55E5A95D">
          <w:pPr>
            <w:widowControl w:val="0"/>
            <w:spacing w:line="460" w:lineRule="atLeast"/>
            <w:ind w:firstLine="420" w:firstLineChars="200"/>
            <w:jc w:val="both"/>
            <w:rPr>
              <w:kern w:val="2"/>
            </w:rPr>
          </w:pPr>
          <w:r>
            <w:rPr>
              <w:rFonts w:hint="eastAsia" w:ascii="宋体" w:hAnsi="宋体"/>
              <w:kern w:val="2"/>
            </w:rPr>
            <w:t>金融工具的市场风险，是指金融工具的公允价值或未来现金流量因市场价格变动而发生波动的风险，包括汇率风险、利率风险等。</w:t>
          </w:r>
        </w:p>
        <w:p w14:paraId="42D52467">
          <w:pPr>
            <w:widowControl w:val="0"/>
            <w:spacing w:line="460" w:lineRule="atLeast"/>
            <w:ind w:firstLine="420" w:firstLineChars="200"/>
            <w:jc w:val="both"/>
            <w:rPr>
              <w:kern w:val="2"/>
            </w:rPr>
          </w:pPr>
          <w:r>
            <w:rPr>
              <w:rFonts w:hint="eastAsia" w:ascii="宋体" w:hAnsi="宋体"/>
              <w:kern w:val="2"/>
            </w:rPr>
            <w:t>（</w:t>
          </w:r>
          <w:r>
            <w:rPr>
              <w:rFonts w:hint="eastAsia"/>
              <w:kern w:val="2"/>
            </w:rPr>
            <w:t>1</w:t>
          </w:r>
          <w:r>
            <w:rPr>
              <w:rFonts w:hint="eastAsia" w:ascii="宋体" w:hAnsi="宋体"/>
              <w:kern w:val="2"/>
            </w:rPr>
            <w:t xml:space="preserve">）利率风险 </w:t>
          </w:r>
        </w:p>
        <w:p w14:paraId="3FFDE8CD">
          <w:pPr>
            <w:spacing w:line="460" w:lineRule="atLeast"/>
            <w:ind w:firstLine="420" w:firstLineChars="200"/>
            <w:rPr>
              <w:kern w:val="2"/>
            </w:rPr>
          </w:pPr>
          <w:r>
            <w:rPr>
              <w:rFonts w:hint="eastAsia" w:ascii="宋体" w:hAnsi="宋体"/>
              <w:kern w:val="2"/>
            </w:rPr>
            <w:t>利率风险，是指金融工具的公允价值或未来现金流量因市场利率变动而发生波动的风险。本公司无长期借款，不存在与长期借款相关的利率风险。</w:t>
          </w:r>
          <w:r>
            <w:rPr>
              <w:rFonts w:hint="eastAsia"/>
              <w:kern w:val="2"/>
            </w:rPr>
            <w:t xml:space="preserve"> </w:t>
          </w:r>
        </w:p>
        <w:p w14:paraId="33E0B76A">
          <w:pPr>
            <w:widowControl w:val="0"/>
            <w:spacing w:line="460" w:lineRule="atLeast"/>
            <w:ind w:firstLine="420" w:firstLineChars="200"/>
            <w:jc w:val="both"/>
            <w:rPr>
              <w:kern w:val="2"/>
            </w:rPr>
          </w:pPr>
          <w:r>
            <w:rPr>
              <w:rFonts w:hint="eastAsia" w:ascii="宋体" w:hAnsi="宋体"/>
              <w:kern w:val="2"/>
            </w:rPr>
            <w:t>（</w:t>
          </w:r>
          <w:r>
            <w:rPr>
              <w:rFonts w:hint="eastAsia"/>
              <w:kern w:val="2"/>
            </w:rPr>
            <w:t>2</w:t>
          </w:r>
          <w:r>
            <w:rPr>
              <w:rFonts w:hint="eastAsia" w:ascii="宋体" w:hAnsi="宋体"/>
              <w:kern w:val="2"/>
            </w:rPr>
            <w:t>）汇率风险</w:t>
          </w:r>
        </w:p>
        <w:p w14:paraId="7E5E8705">
          <w:pPr>
            <w:spacing w:line="460" w:lineRule="atLeast"/>
            <w:ind w:firstLine="420" w:firstLineChars="200"/>
            <w:rPr>
              <w:kern w:val="2"/>
            </w:rPr>
          </w:pPr>
          <w:r>
            <w:rPr>
              <w:rFonts w:hint="eastAsia" w:ascii="宋体" w:hAnsi="宋体"/>
              <w:kern w:val="2"/>
            </w:rPr>
            <w:t>汇率风险，是指金融工具的公允价值或未来现金流量因外汇汇率变动而发生波动的风险。本公司尽可能将外币收入与外币支出相匹配以降低汇率风险。</w:t>
          </w:r>
        </w:p>
        <w:p w14:paraId="79B2BABD">
          <w:pPr>
            <w:widowControl w:val="0"/>
            <w:autoSpaceDE w:val="0"/>
            <w:autoSpaceDN w:val="0"/>
            <w:adjustRightInd w:val="0"/>
            <w:spacing w:line="460" w:lineRule="atLeast"/>
            <w:ind w:left="420" w:leftChars="200"/>
            <w:jc w:val="both"/>
            <w:rPr>
              <w:kern w:val="2"/>
            </w:rPr>
          </w:pPr>
          <w:r>
            <w:rPr>
              <w:rFonts w:hint="eastAsia"/>
              <w:kern w:val="2"/>
            </w:rPr>
            <w:t>3.</w:t>
          </w:r>
          <w:r>
            <w:rPr>
              <w:rFonts w:hint="eastAsia" w:ascii="宋体" w:hAnsi="宋体"/>
              <w:kern w:val="2"/>
            </w:rPr>
            <w:t xml:space="preserve">流动性风险 </w:t>
          </w:r>
        </w:p>
        <w:p w14:paraId="25FB2BB0">
          <w:pPr>
            <w:spacing w:line="460" w:lineRule="atLeast"/>
            <w:ind w:firstLine="420" w:firstLineChars="200"/>
            <w:rPr>
              <w:kern w:val="2"/>
            </w:rPr>
          </w:pPr>
          <w:r>
            <w:rPr>
              <w:rFonts w:hint="eastAsia" w:ascii="宋体" w:hAnsi="宋体"/>
              <w:kern w:val="2"/>
            </w:rPr>
            <w:t>流动性风险，是指企业在履行以交付现金或其他金融资产的方式结算的义务时发生资金短缺的风险。本公司的政策是确保拥有充足的现金以偿还到期债务。</w:t>
          </w:r>
        </w:p>
        <w:p w14:paraId="74A5E554">
          <w:pPr>
            <w:spacing w:line="460" w:lineRule="atLeast"/>
            <w:ind w:firstLine="420" w:firstLineChars="200"/>
            <w:rPr>
              <w:rFonts w:ascii="宋体" w:hAnsi="宋体"/>
              <w:kern w:val="2"/>
            </w:rPr>
          </w:pPr>
          <w:r>
            <w:rPr>
              <w:rFonts w:hint="eastAsia" w:ascii="宋体" w:hAnsi="宋体"/>
              <w:kern w:val="2"/>
            </w:rPr>
            <w:t>本公司各项金融负债以未折现的合同现金流量按到期日列示如下：</w:t>
          </w:r>
        </w:p>
        <w:p w14:paraId="3F0161F3">
          <w:pPr>
            <w:spacing w:line="460" w:lineRule="atLeast"/>
            <w:ind w:firstLine="420" w:firstLineChars="200"/>
            <w:jc w:val="right"/>
            <w:rPr>
              <w:kern w:val="2"/>
            </w:rPr>
          </w:pPr>
          <w:r>
            <w:rPr>
              <w:rFonts w:hint="eastAsia"/>
              <w:kern w:val="2"/>
            </w:rPr>
            <w:t>单位：</w:t>
          </w:r>
          <w:sdt>
            <w:sdtPr>
              <w:rPr>
                <w:rFonts w:hint="eastAsia"/>
                <w:kern w:val="2"/>
              </w:rPr>
              <w:alias w:val="单位：租赁负债"/>
              <w:tag w:val="_GBC_33e504b2a4a34d41946083d1a309022f"/>
              <w:id w:val="1107389016"/>
              <w:placeholder>
                <w:docPart w:val="9BA651D3D0154898B83214E6E6E13253"/>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kern w:val="2"/>
              </w:rPr>
            </w:sdtEndPr>
            <w:sdtContent>
              <w:r>
                <w:rPr>
                  <w:rFonts w:hint="eastAsia"/>
                  <w:kern w:val="2"/>
                </w:rPr>
                <w:t>元</w:t>
              </w:r>
            </w:sdtContent>
          </w:sdt>
          <w:r>
            <w:rPr>
              <w:rFonts w:hint="eastAsia"/>
              <w:kern w:val="2"/>
            </w:rPr>
            <w:t xml:space="preserve">  币种：</w:t>
          </w:r>
          <w:sdt>
            <w:sdtPr>
              <w:rPr>
                <w:rFonts w:hint="eastAsia"/>
                <w:kern w:val="2"/>
              </w:rPr>
              <w:alias w:val="币种：租赁负债"/>
              <w:tag w:val="_GBC_90ebb9825c5740c794669c2bf1475590"/>
              <w:id w:val="438727210"/>
              <w:placeholder>
                <w:docPart w:val="9BA651D3D0154898B83214E6E6E1325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kern w:val="2"/>
              </w:rPr>
            </w:sdtEndPr>
            <w:sdtContent>
              <w:r>
                <w:rPr>
                  <w:rFonts w:hint="eastAsia"/>
                  <w:kern w:val="2"/>
                </w:rPr>
                <w:t>人民币</w:t>
              </w:r>
            </w:sdtContent>
          </w:sdt>
        </w:p>
        <w:tbl>
          <w:tblPr>
            <w:tblStyle w:val="19"/>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33"/>
            <w:gridCol w:w="1462"/>
            <w:gridCol w:w="1422"/>
            <w:gridCol w:w="1371"/>
            <w:gridCol w:w="1496"/>
            <w:gridCol w:w="1558"/>
          </w:tblGrid>
          <w:tr w14:paraId="2A7FDAD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vMerge w:val="restart"/>
                <w:tcBorders>
                  <w:top w:val="single" w:color="auto" w:sz="12" w:space="0"/>
                  <w:left w:val="nil"/>
                  <w:bottom w:val="single" w:color="auto" w:sz="2" w:space="0"/>
                  <w:right w:val="single" w:color="auto" w:sz="2" w:space="0"/>
                </w:tcBorders>
                <w:vAlign w:val="center"/>
              </w:tcPr>
              <w:p w14:paraId="0E196A49">
                <w:pPr>
                  <w:widowControl w:val="0"/>
                  <w:jc w:val="center"/>
                  <w:rPr>
                    <w:kern w:val="2"/>
                    <w:sz w:val="18"/>
                    <w:szCs w:val="18"/>
                  </w:rPr>
                </w:pPr>
                <w:r>
                  <w:rPr>
                    <w:rFonts w:ascii="宋体" w:hAnsi="宋体"/>
                    <w:kern w:val="2"/>
                    <w:sz w:val="18"/>
                    <w:szCs w:val="18"/>
                  </w:rPr>
                  <w:t>项目</w:t>
                </w:r>
              </w:p>
            </w:tc>
            <w:tc>
              <w:tcPr>
                <w:tcW w:w="5613" w:type="dxa"/>
                <w:gridSpan w:val="4"/>
                <w:tcBorders>
                  <w:top w:val="single" w:color="auto" w:sz="12" w:space="0"/>
                  <w:left w:val="single" w:color="auto" w:sz="2" w:space="0"/>
                  <w:bottom w:val="single" w:color="auto" w:sz="2" w:space="0"/>
                  <w:right w:val="single" w:color="auto" w:sz="2" w:space="0"/>
                </w:tcBorders>
                <w:vAlign w:val="center"/>
              </w:tcPr>
              <w:p w14:paraId="24406E0F">
                <w:pPr>
                  <w:widowControl w:val="0"/>
                  <w:jc w:val="center"/>
                  <w:rPr>
                    <w:kern w:val="2"/>
                    <w:sz w:val="18"/>
                    <w:szCs w:val="18"/>
                  </w:rPr>
                </w:pPr>
                <w:r>
                  <w:rPr>
                    <w:rFonts w:hint="eastAsia" w:ascii="宋体" w:hAnsi="宋体"/>
                    <w:kern w:val="2"/>
                    <w:sz w:val="18"/>
                    <w:szCs w:val="18"/>
                  </w:rPr>
                  <w:t>期末余额</w:t>
                </w:r>
              </w:p>
            </w:tc>
            <w:tc>
              <w:tcPr>
                <w:tcW w:w="1521" w:type="dxa"/>
                <w:vMerge w:val="restart"/>
                <w:tcBorders>
                  <w:top w:val="single" w:color="auto" w:sz="12" w:space="0"/>
                  <w:left w:val="single" w:color="auto" w:sz="2" w:space="0"/>
                  <w:bottom w:val="single" w:color="auto" w:sz="2" w:space="0"/>
                  <w:right w:val="nil"/>
                </w:tcBorders>
                <w:vAlign w:val="center"/>
              </w:tcPr>
              <w:p w14:paraId="745AB40A">
                <w:pPr>
                  <w:widowControl w:val="0"/>
                  <w:jc w:val="center"/>
                  <w:rPr>
                    <w:kern w:val="2"/>
                    <w:sz w:val="18"/>
                    <w:szCs w:val="18"/>
                  </w:rPr>
                </w:pPr>
                <w:r>
                  <w:rPr>
                    <w:rFonts w:hint="eastAsia" w:ascii="宋体" w:hAnsi="宋体"/>
                    <w:kern w:val="2"/>
                    <w:sz w:val="18"/>
                    <w:szCs w:val="18"/>
                  </w:rPr>
                  <w:t>合计</w:t>
                </w:r>
              </w:p>
            </w:tc>
          </w:tr>
          <w:tr w14:paraId="33A6640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vMerge w:val="continue"/>
                <w:tcBorders>
                  <w:top w:val="single" w:color="auto" w:sz="12" w:space="0"/>
                  <w:left w:val="nil"/>
                  <w:bottom w:val="single" w:color="auto" w:sz="2" w:space="0"/>
                  <w:right w:val="single" w:color="auto" w:sz="2" w:space="0"/>
                </w:tcBorders>
                <w:vAlign w:val="center"/>
              </w:tcPr>
              <w:p w14:paraId="1B8B7D35">
                <w:pPr>
                  <w:rPr>
                    <w:kern w:val="2"/>
                    <w:sz w:val="18"/>
                    <w:szCs w:val="18"/>
                  </w:rPr>
                </w:pPr>
              </w:p>
            </w:tc>
            <w:tc>
              <w:tcPr>
                <w:tcW w:w="1427" w:type="dxa"/>
                <w:tcBorders>
                  <w:top w:val="single" w:color="auto" w:sz="2" w:space="0"/>
                  <w:left w:val="single" w:color="auto" w:sz="2" w:space="0"/>
                  <w:bottom w:val="single" w:color="auto" w:sz="2" w:space="0"/>
                  <w:right w:val="single" w:color="auto" w:sz="2" w:space="0"/>
                </w:tcBorders>
                <w:vAlign w:val="center"/>
              </w:tcPr>
              <w:p w14:paraId="2D2A340F">
                <w:pPr>
                  <w:widowControl w:val="0"/>
                  <w:jc w:val="center"/>
                  <w:rPr>
                    <w:kern w:val="2"/>
                    <w:sz w:val="18"/>
                    <w:szCs w:val="18"/>
                  </w:rPr>
                </w:pPr>
                <w:r>
                  <w:rPr>
                    <w:rFonts w:hint="eastAsia" w:ascii="宋体" w:hAnsi="宋体"/>
                    <w:kern w:val="2"/>
                    <w:sz w:val="18"/>
                    <w:szCs w:val="18"/>
                  </w:rPr>
                  <w:t>一年以内</w:t>
                </w:r>
              </w:p>
            </w:tc>
            <w:tc>
              <w:tcPr>
                <w:tcW w:w="1388" w:type="dxa"/>
                <w:tcBorders>
                  <w:top w:val="single" w:color="auto" w:sz="2" w:space="0"/>
                  <w:left w:val="single" w:color="auto" w:sz="2" w:space="0"/>
                  <w:bottom w:val="single" w:color="auto" w:sz="2" w:space="0"/>
                  <w:right w:val="single" w:color="auto" w:sz="2" w:space="0"/>
                </w:tcBorders>
                <w:vAlign w:val="center"/>
              </w:tcPr>
              <w:p w14:paraId="70543753">
                <w:pPr>
                  <w:widowControl w:val="0"/>
                  <w:jc w:val="center"/>
                  <w:rPr>
                    <w:kern w:val="2"/>
                    <w:sz w:val="18"/>
                    <w:szCs w:val="18"/>
                  </w:rPr>
                </w:pPr>
                <w:r>
                  <w:rPr>
                    <w:rFonts w:hint="eastAsia" w:ascii="宋体" w:hAnsi="宋体"/>
                    <w:kern w:val="2"/>
                    <w:sz w:val="18"/>
                    <w:szCs w:val="18"/>
                  </w:rPr>
                  <w:t>一至二年</w:t>
                </w:r>
              </w:p>
            </w:tc>
            <w:tc>
              <w:tcPr>
                <w:tcW w:w="1338" w:type="dxa"/>
                <w:tcBorders>
                  <w:top w:val="single" w:color="auto" w:sz="2" w:space="0"/>
                  <w:left w:val="single" w:color="auto" w:sz="2" w:space="0"/>
                  <w:bottom w:val="single" w:color="auto" w:sz="2" w:space="0"/>
                  <w:right w:val="single" w:color="auto" w:sz="2" w:space="0"/>
                </w:tcBorders>
                <w:vAlign w:val="center"/>
              </w:tcPr>
              <w:p w14:paraId="148FB5BE">
                <w:pPr>
                  <w:jc w:val="center"/>
                  <w:textAlignment w:val="top"/>
                  <w:rPr>
                    <w:kern w:val="2"/>
                    <w:sz w:val="18"/>
                    <w:szCs w:val="18"/>
                  </w:rPr>
                </w:pPr>
                <w:r>
                  <w:rPr>
                    <w:rFonts w:hint="eastAsia" w:ascii="宋体" w:hAnsi="宋体"/>
                    <w:kern w:val="2"/>
                    <w:sz w:val="18"/>
                    <w:szCs w:val="18"/>
                  </w:rPr>
                  <w:t>二至三年</w:t>
                </w:r>
              </w:p>
            </w:tc>
            <w:tc>
              <w:tcPr>
                <w:tcW w:w="1460" w:type="dxa"/>
                <w:tcBorders>
                  <w:top w:val="single" w:color="auto" w:sz="2" w:space="0"/>
                  <w:left w:val="single" w:color="auto" w:sz="2" w:space="0"/>
                  <w:bottom w:val="single" w:color="auto" w:sz="2" w:space="0"/>
                  <w:right w:val="single" w:color="auto" w:sz="2" w:space="0"/>
                </w:tcBorders>
                <w:vAlign w:val="center"/>
              </w:tcPr>
              <w:p w14:paraId="21209395">
                <w:pPr>
                  <w:widowControl w:val="0"/>
                  <w:jc w:val="center"/>
                  <w:rPr>
                    <w:kern w:val="2"/>
                    <w:sz w:val="18"/>
                    <w:szCs w:val="18"/>
                  </w:rPr>
                </w:pPr>
                <w:r>
                  <w:rPr>
                    <w:rFonts w:hint="eastAsia" w:ascii="宋体" w:hAnsi="宋体"/>
                    <w:kern w:val="2"/>
                    <w:sz w:val="18"/>
                    <w:szCs w:val="18"/>
                  </w:rPr>
                  <w:t>三年以上</w:t>
                </w:r>
              </w:p>
            </w:tc>
            <w:tc>
              <w:tcPr>
                <w:tcW w:w="1521" w:type="dxa"/>
                <w:vMerge w:val="continue"/>
                <w:tcBorders>
                  <w:top w:val="single" w:color="auto" w:sz="12" w:space="0"/>
                  <w:left w:val="single" w:color="auto" w:sz="2" w:space="0"/>
                  <w:bottom w:val="single" w:color="auto" w:sz="2" w:space="0"/>
                  <w:right w:val="nil"/>
                </w:tcBorders>
                <w:vAlign w:val="center"/>
              </w:tcPr>
              <w:p w14:paraId="59ED52F6">
                <w:pPr>
                  <w:rPr>
                    <w:kern w:val="2"/>
                    <w:sz w:val="18"/>
                    <w:szCs w:val="18"/>
                  </w:rPr>
                </w:pPr>
              </w:p>
            </w:tc>
          </w:tr>
          <w:tr w14:paraId="5F82F3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2" w:space="0"/>
                  <w:right w:val="single" w:color="auto" w:sz="2" w:space="0"/>
                </w:tcBorders>
                <w:vAlign w:val="center"/>
              </w:tcPr>
              <w:p w14:paraId="492DDC14">
                <w:pPr>
                  <w:widowControl w:val="0"/>
                  <w:jc w:val="both"/>
                  <w:rPr>
                    <w:kern w:val="2"/>
                    <w:sz w:val="18"/>
                    <w:szCs w:val="18"/>
                  </w:rPr>
                </w:pPr>
                <w:r>
                  <w:rPr>
                    <w:rFonts w:hint="eastAsia" w:ascii="宋体" w:hAnsi="宋体"/>
                    <w:kern w:val="2"/>
                    <w:sz w:val="18"/>
                    <w:szCs w:val="18"/>
                  </w:rPr>
                  <w:t>短期借款</w:t>
                </w:r>
              </w:p>
            </w:tc>
            <w:tc>
              <w:tcPr>
                <w:tcW w:w="1427" w:type="dxa"/>
                <w:tcBorders>
                  <w:top w:val="single" w:color="auto" w:sz="2" w:space="0"/>
                  <w:left w:val="single" w:color="auto" w:sz="2" w:space="0"/>
                  <w:bottom w:val="single" w:color="auto" w:sz="2" w:space="0"/>
                  <w:right w:val="single" w:color="auto" w:sz="2" w:space="0"/>
                </w:tcBorders>
                <w:vAlign w:val="center"/>
              </w:tcPr>
              <w:p w14:paraId="2DD45F1F">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33,024,236.11</w:t>
                </w:r>
              </w:p>
            </w:tc>
            <w:tc>
              <w:tcPr>
                <w:tcW w:w="1388" w:type="dxa"/>
                <w:tcBorders>
                  <w:top w:val="single" w:color="auto" w:sz="2" w:space="0"/>
                  <w:left w:val="single" w:color="auto" w:sz="2" w:space="0"/>
                  <w:bottom w:val="single" w:color="auto" w:sz="2" w:space="0"/>
                  <w:right w:val="single" w:color="auto" w:sz="2" w:space="0"/>
                </w:tcBorders>
                <w:vAlign w:val="center"/>
              </w:tcPr>
              <w:p w14:paraId="3209E307">
                <w:pPr>
                  <w:widowControl w:val="0"/>
                  <w:spacing w:line="273" w:lineRule="auto"/>
                  <w:jc w:val="right"/>
                  <w:rPr>
                    <w:rFonts w:asciiTheme="minorHAnsi" w:hAnsiTheme="minorHAnsi" w:cstheme="minorHAnsi"/>
                    <w:kern w:val="2"/>
                    <w:sz w:val="18"/>
                    <w:szCs w:val="18"/>
                  </w:rPr>
                </w:pPr>
              </w:p>
            </w:tc>
            <w:tc>
              <w:tcPr>
                <w:tcW w:w="1338" w:type="dxa"/>
                <w:tcBorders>
                  <w:top w:val="single" w:color="auto" w:sz="2" w:space="0"/>
                  <w:left w:val="single" w:color="auto" w:sz="2" w:space="0"/>
                  <w:bottom w:val="single" w:color="auto" w:sz="2" w:space="0"/>
                  <w:right w:val="single" w:color="auto" w:sz="2" w:space="0"/>
                </w:tcBorders>
                <w:vAlign w:val="center"/>
              </w:tcPr>
              <w:p w14:paraId="2753F918">
                <w:pPr>
                  <w:widowControl w:val="0"/>
                  <w:spacing w:line="273" w:lineRule="auto"/>
                  <w:jc w:val="right"/>
                  <w:rPr>
                    <w:rFonts w:asciiTheme="minorHAnsi" w:hAnsiTheme="minorHAnsi" w:cstheme="minorHAnsi"/>
                    <w:kern w:val="2"/>
                    <w:sz w:val="18"/>
                    <w:szCs w:val="18"/>
                  </w:rPr>
                </w:pPr>
              </w:p>
            </w:tc>
            <w:tc>
              <w:tcPr>
                <w:tcW w:w="1460" w:type="dxa"/>
                <w:tcBorders>
                  <w:top w:val="single" w:color="auto" w:sz="2" w:space="0"/>
                  <w:left w:val="single" w:color="auto" w:sz="2" w:space="0"/>
                  <w:bottom w:val="single" w:color="auto" w:sz="2" w:space="0"/>
                  <w:right w:val="single" w:color="auto" w:sz="2" w:space="0"/>
                </w:tcBorders>
                <w:vAlign w:val="center"/>
              </w:tcPr>
              <w:p w14:paraId="0C63F0E8">
                <w:pPr>
                  <w:widowControl w:val="0"/>
                  <w:spacing w:line="273" w:lineRule="auto"/>
                  <w:jc w:val="right"/>
                  <w:rPr>
                    <w:rFonts w:asciiTheme="minorHAnsi" w:hAnsiTheme="minorHAnsi" w:cstheme="minorHAnsi"/>
                    <w:kern w:val="2"/>
                    <w:sz w:val="18"/>
                    <w:szCs w:val="18"/>
                  </w:rPr>
                </w:pPr>
              </w:p>
            </w:tc>
            <w:tc>
              <w:tcPr>
                <w:tcW w:w="1521" w:type="dxa"/>
                <w:tcBorders>
                  <w:top w:val="single" w:color="auto" w:sz="2" w:space="0"/>
                  <w:left w:val="single" w:color="auto" w:sz="2" w:space="0"/>
                  <w:bottom w:val="single" w:color="auto" w:sz="2" w:space="0"/>
                  <w:right w:val="nil"/>
                </w:tcBorders>
                <w:vAlign w:val="center"/>
              </w:tcPr>
              <w:p w14:paraId="5CFA8705">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33,024,236.11</w:t>
                </w:r>
              </w:p>
            </w:tc>
          </w:tr>
          <w:tr w14:paraId="59AE71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2" w:space="0"/>
                  <w:right w:val="single" w:color="auto" w:sz="2" w:space="0"/>
                </w:tcBorders>
                <w:vAlign w:val="center"/>
              </w:tcPr>
              <w:p w14:paraId="3E2114DA">
                <w:pPr>
                  <w:widowControl w:val="0"/>
                  <w:jc w:val="both"/>
                  <w:rPr>
                    <w:kern w:val="2"/>
                    <w:sz w:val="18"/>
                    <w:szCs w:val="18"/>
                  </w:rPr>
                </w:pPr>
                <w:r>
                  <w:rPr>
                    <w:rFonts w:hint="eastAsia" w:ascii="宋体" w:hAnsi="宋体"/>
                    <w:kern w:val="2"/>
                    <w:sz w:val="18"/>
                    <w:szCs w:val="18"/>
                  </w:rPr>
                  <w:t>应付票据</w:t>
                </w:r>
              </w:p>
            </w:tc>
            <w:tc>
              <w:tcPr>
                <w:tcW w:w="1427" w:type="dxa"/>
                <w:tcBorders>
                  <w:top w:val="single" w:color="auto" w:sz="2" w:space="0"/>
                  <w:left w:val="single" w:color="auto" w:sz="2" w:space="0"/>
                  <w:bottom w:val="single" w:color="auto" w:sz="2" w:space="0"/>
                  <w:right w:val="single" w:color="auto" w:sz="2" w:space="0"/>
                </w:tcBorders>
                <w:vAlign w:val="center"/>
              </w:tcPr>
              <w:p w14:paraId="7AAFD1EF">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8,657,093.67</w:t>
                </w:r>
              </w:p>
            </w:tc>
            <w:tc>
              <w:tcPr>
                <w:tcW w:w="1388" w:type="dxa"/>
                <w:tcBorders>
                  <w:top w:val="single" w:color="auto" w:sz="2" w:space="0"/>
                  <w:left w:val="single" w:color="auto" w:sz="2" w:space="0"/>
                  <w:bottom w:val="single" w:color="auto" w:sz="2" w:space="0"/>
                  <w:right w:val="single" w:color="auto" w:sz="2" w:space="0"/>
                </w:tcBorders>
                <w:vAlign w:val="center"/>
              </w:tcPr>
              <w:p w14:paraId="7FED3FC1">
                <w:pPr>
                  <w:widowControl w:val="0"/>
                  <w:spacing w:line="273" w:lineRule="auto"/>
                  <w:jc w:val="right"/>
                  <w:rPr>
                    <w:rFonts w:asciiTheme="minorHAnsi" w:hAnsiTheme="minorHAnsi" w:cstheme="minorHAnsi"/>
                    <w:kern w:val="2"/>
                    <w:sz w:val="18"/>
                    <w:szCs w:val="18"/>
                  </w:rPr>
                </w:pPr>
              </w:p>
            </w:tc>
            <w:tc>
              <w:tcPr>
                <w:tcW w:w="1338" w:type="dxa"/>
                <w:tcBorders>
                  <w:top w:val="single" w:color="auto" w:sz="2" w:space="0"/>
                  <w:left w:val="single" w:color="auto" w:sz="2" w:space="0"/>
                  <w:bottom w:val="single" w:color="auto" w:sz="2" w:space="0"/>
                  <w:right w:val="single" w:color="auto" w:sz="2" w:space="0"/>
                </w:tcBorders>
                <w:vAlign w:val="center"/>
              </w:tcPr>
              <w:p w14:paraId="2A75AB65">
                <w:pPr>
                  <w:widowControl w:val="0"/>
                  <w:spacing w:line="273" w:lineRule="auto"/>
                  <w:jc w:val="right"/>
                  <w:rPr>
                    <w:rFonts w:asciiTheme="minorHAnsi" w:hAnsiTheme="minorHAnsi" w:cstheme="minorHAnsi"/>
                    <w:kern w:val="2"/>
                    <w:sz w:val="18"/>
                    <w:szCs w:val="18"/>
                  </w:rPr>
                </w:pPr>
              </w:p>
            </w:tc>
            <w:tc>
              <w:tcPr>
                <w:tcW w:w="1460" w:type="dxa"/>
                <w:tcBorders>
                  <w:top w:val="single" w:color="auto" w:sz="2" w:space="0"/>
                  <w:left w:val="single" w:color="auto" w:sz="2" w:space="0"/>
                  <w:bottom w:val="single" w:color="auto" w:sz="2" w:space="0"/>
                  <w:right w:val="single" w:color="auto" w:sz="2" w:space="0"/>
                </w:tcBorders>
                <w:vAlign w:val="center"/>
              </w:tcPr>
              <w:p w14:paraId="51078099">
                <w:pPr>
                  <w:widowControl w:val="0"/>
                  <w:spacing w:line="273" w:lineRule="auto"/>
                  <w:jc w:val="right"/>
                  <w:rPr>
                    <w:rFonts w:asciiTheme="minorHAnsi" w:hAnsiTheme="minorHAnsi" w:cstheme="minorHAnsi"/>
                    <w:kern w:val="2"/>
                    <w:sz w:val="18"/>
                    <w:szCs w:val="18"/>
                  </w:rPr>
                </w:pPr>
              </w:p>
            </w:tc>
            <w:tc>
              <w:tcPr>
                <w:tcW w:w="1521" w:type="dxa"/>
                <w:tcBorders>
                  <w:top w:val="single" w:color="auto" w:sz="2" w:space="0"/>
                  <w:left w:val="single" w:color="auto" w:sz="2" w:space="0"/>
                  <w:bottom w:val="single" w:color="auto" w:sz="2" w:space="0"/>
                  <w:right w:val="nil"/>
                </w:tcBorders>
                <w:vAlign w:val="center"/>
              </w:tcPr>
              <w:p w14:paraId="028329E7">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8,657,093.67</w:t>
                </w:r>
              </w:p>
            </w:tc>
          </w:tr>
          <w:tr w14:paraId="40B215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2" w:space="0"/>
                  <w:right w:val="single" w:color="auto" w:sz="2" w:space="0"/>
                </w:tcBorders>
                <w:vAlign w:val="center"/>
              </w:tcPr>
              <w:p w14:paraId="19D79035">
                <w:pPr>
                  <w:widowControl w:val="0"/>
                  <w:jc w:val="both"/>
                  <w:rPr>
                    <w:kern w:val="2"/>
                    <w:sz w:val="18"/>
                    <w:szCs w:val="18"/>
                  </w:rPr>
                </w:pPr>
                <w:r>
                  <w:rPr>
                    <w:rFonts w:hint="eastAsia" w:ascii="宋体" w:hAnsi="宋体"/>
                    <w:kern w:val="2"/>
                    <w:sz w:val="18"/>
                    <w:szCs w:val="18"/>
                  </w:rPr>
                  <w:t>应付账款</w:t>
                </w:r>
              </w:p>
            </w:tc>
            <w:tc>
              <w:tcPr>
                <w:tcW w:w="1427" w:type="dxa"/>
                <w:tcBorders>
                  <w:top w:val="single" w:color="auto" w:sz="2" w:space="0"/>
                  <w:left w:val="single" w:color="auto" w:sz="2" w:space="0"/>
                  <w:bottom w:val="single" w:color="auto" w:sz="2" w:space="0"/>
                  <w:right w:val="single" w:color="auto" w:sz="2" w:space="0"/>
                </w:tcBorders>
                <w:vAlign w:val="center"/>
              </w:tcPr>
              <w:p w14:paraId="465EEECD">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57,601,400.44</w:t>
                </w:r>
              </w:p>
            </w:tc>
            <w:tc>
              <w:tcPr>
                <w:tcW w:w="1388" w:type="dxa"/>
                <w:tcBorders>
                  <w:top w:val="single" w:color="auto" w:sz="2" w:space="0"/>
                  <w:left w:val="single" w:color="auto" w:sz="2" w:space="0"/>
                  <w:bottom w:val="single" w:color="auto" w:sz="2" w:space="0"/>
                  <w:right w:val="single" w:color="auto" w:sz="2" w:space="0"/>
                </w:tcBorders>
                <w:vAlign w:val="center"/>
              </w:tcPr>
              <w:p w14:paraId="1349AAA3">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18,273,259.13</w:t>
                </w:r>
              </w:p>
            </w:tc>
            <w:tc>
              <w:tcPr>
                <w:tcW w:w="1338" w:type="dxa"/>
                <w:tcBorders>
                  <w:top w:val="single" w:color="auto" w:sz="2" w:space="0"/>
                  <w:left w:val="single" w:color="auto" w:sz="2" w:space="0"/>
                  <w:bottom w:val="single" w:color="auto" w:sz="2" w:space="0"/>
                  <w:right w:val="single" w:color="auto" w:sz="2" w:space="0"/>
                </w:tcBorders>
                <w:vAlign w:val="center"/>
              </w:tcPr>
              <w:p w14:paraId="12C36DE5">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5,299,143.05</w:t>
                </w:r>
              </w:p>
            </w:tc>
            <w:tc>
              <w:tcPr>
                <w:tcW w:w="1460" w:type="dxa"/>
                <w:tcBorders>
                  <w:top w:val="single" w:color="auto" w:sz="2" w:space="0"/>
                  <w:left w:val="single" w:color="auto" w:sz="2" w:space="0"/>
                  <w:bottom w:val="single" w:color="auto" w:sz="2" w:space="0"/>
                  <w:right w:val="single" w:color="auto" w:sz="2" w:space="0"/>
                </w:tcBorders>
                <w:vAlign w:val="center"/>
              </w:tcPr>
              <w:p w14:paraId="19CD33FC">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1,272,026.01</w:t>
                </w:r>
              </w:p>
            </w:tc>
            <w:tc>
              <w:tcPr>
                <w:tcW w:w="1521" w:type="dxa"/>
                <w:tcBorders>
                  <w:top w:val="single" w:color="auto" w:sz="2" w:space="0"/>
                  <w:left w:val="single" w:color="auto" w:sz="2" w:space="0"/>
                  <w:bottom w:val="single" w:color="auto" w:sz="2" w:space="0"/>
                  <w:right w:val="nil"/>
                </w:tcBorders>
                <w:vAlign w:val="center"/>
              </w:tcPr>
              <w:p w14:paraId="72C046D2">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82,445,828.63</w:t>
                </w:r>
              </w:p>
            </w:tc>
          </w:tr>
          <w:tr w14:paraId="44F925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2" w:space="0"/>
                  <w:right w:val="single" w:color="auto" w:sz="2" w:space="0"/>
                </w:tcBorders>
                <w:vAlign w:val="center"/>
              </w:tcPr>
              <w:p w14:paraId="22CA4ADB">
                <w:pPr>
                  <w:widowControl w:val="0"/>
                  <w:jc w:val="both"/>
                  <w:rPr>
                    <w:kern w:val="2"/>
                    <w:sz w:val="18"/>
                    <w:szCs w:val="18"/>
                  </w:rPr>
                </w:pPr>
                <w:r>
                  <w:rPr>
                    <w:rFonts w:hint="eastAsia" w:ascii="宋体" w:hAnsi="宋体"/>
                    <w:kern w:val="2"/>
                    <w:sz w:val="18"/>
                    <w:szCs w:val="18"/>
                  </w:rPr>
                  <w:t>其他应付款</w:t>
                </w:r>
              </w:p>
            </w:tc>
            <w:tc>
              <w:tcPr>
                <w:tcW w:w="1427" w:type="dxa"/>
                <w:tcBorders>
                  <w:top w:val="single" w:color="auto" w:sz="2" w:space="0"/>
                  <w:left w:val="single" w:color="auto" w:sz="2" w:space="0"/>
                  <w:bottom w:val="single" w:color="auto" w:sz="2" w:space="0"/>
                  <w:right w:val="single" w:color="auto" w:sz="2" w:space="0"/>
                </w:tcBorders>
                <w:vAlign w:val="center"/>
              </w:tcPr>
              <w:p w14:paraId="0DA28CBB">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76,978,371.98</w:t>
                </w:r>
              </w:p>
            </w:tc>
            <w:tc>
              <w:tcPr>
                <w:tcW w:w="1388" w:type="dxa"/>
                <w:tcBorders>
                  <w:top w:val="single" w:color="auto" w:sz="2" w:space="0"/>
                  <w:left w:val="single" w:color="auto" w:sz="2" w:space="0"/>
                  <w:bottom w:val="single" w:color="auto" w:sz="2" w:space="0"/>
                  <w:right w:val="single" w:color="auto" w:sz="2" w:space="0"/>
                </w:tcBorders>
                <w:vAlign w:val="center"/>
              </w:tcPr>
              <w:p w14:paraId="68EA81A4">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453,044.35</w:t>
                </w:r>
              </w:p>
            </w:tc>
            <w:tc>
              <w:tcPr>
                <w:tcW w:w="1338" w:type="dxa"/>
                <w:tcBorders>
                  <w:top w:val="single" w:color="auto" w:sz="2" w:space="0"/>
                  <w:left w:val="single" w:color="auto" w:sz="2" w:space="0"/>
                  <w:bottom w:val="single" w:color="auto" w:sz="2" w:space="0"/>
                  <w:right w:val="single" w:color="auto" w:sz="2" w:space="0"/>
                </w:tcBorders>
                <w:vAlign w:val="center"/>
              </w:tcPr>
              <w:p w14:paraId="5C610FB9">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312,500.00</w:t>
                </w:r>
              </w:p>
            </w:tc>
            <w:tc>
              <w:tcPr>
                <w:tcW w:w="1460" w:type="dxa"/>
                <w:tcBorders>
                  <w:top w:val="single" w:color="auto" w:sz="2" w:space="0"/>
                  <w:left w:val="single" w:color="auto" w:sz="2" w:space="0"/>
                  <w:bottom w:val="single" w:color="auto" w:sz="2" w:space="0"/>
                  <w:right w:val="single" w:color="auto" w:sz="2" w:space="0"/>
                </w:tcBorders>
                <w:vAlign w:val="center"/>
              </w:tcPr>
              <w:p w14:paraId="269AA975">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5,381,991.59</w:t>
                </w:r>
              </w:p>
            </w:tc>
            <w:tc>
              <w:tcPr>
                <w:tcW w:w="1521" w:type="dxa"/>
                <w:tcBorders>
                  <w:top w:val="single" w:color="auto" w:sz="2" w:space="0"/>
                  <w:left w:val="single" w:color="auto" w:sz="2" w:space="0"/>
                  <w:bottom w:val="single" w:color="auto" w:sz="2" w:space="0"/>
                  <w:right w:val="nil"/>
                </w:tcBorders>
                <w:vAlign w:val="center"/>
              </w:tcPr>
              <w:p w14:paraId="01F73AB0">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83,125,907.92</w:t>
                </w:r>
              </w:p>
            </w:tc>
          </w:tr>
          <w:tr w14:paraId="2F1913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2" w:space="0"/>
                  <w:right w:val="single" w:color="auto" w:sz="2" w:space="0"/>
                </w:tcBorders>
                <w:vAlign w:val="center"/>
              </w:tcPr>
              <w:p w14:paraId="7E646C07">
                <w:pPr>
                  <w:widowControl w:val="0"/>
                  <w:jc w:val="both"/>
                  <w:rPr>
                    <w:kern w:val="2"/>
                    <w:sz w:val="18"/>
                    <w:szCs w:val="18"/>
                  </w:rPr>
                </w:pPr>
                <w:r>
                  <w:rPr>
                    <w:rFonts w:hint="eastAsia" w:ascii="宋体" w:hAnsi="宋体"/>
                    <w:kern w:val="2"/>
                    <w:sz w:val="18"/>
                    <w:szCs w:val="18"/>
                  </w:rPr>
                  <w:t>一年内到期的非流动负债</w:t>
                </w:r>
              </w:p>
            </w:tc>
            <w:tc>
              <w:tcPr>
                <w:tcW w:w="1427" w:type="dxa"/>
                <w:tcBorders>
                  <w:top w:val="single" w:color="auto" w:sz="2" w:space="0"/>
                  <w:left w:val="single" w:color="auto" w:sz="2" w:space="0"/>
                  <w:bottom w:val="single" w:color="auto" w:sz="2" w:space="0"/>
                  <w:right w:val="single" w:color="auto" w:sz="2" w:space="0"/>
                </w:tcBorders>
                <w:vAlign w:val="center"/>
              </w:tcPr>
              <w:p w14:paraId="0C55E0E0">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275,341,852.90</w:t>
                </w:r>
              </w:p>
            </w:tc>
            <w:tc>
              <w:tcPr>
                <w:tcW w:w="1388" w:type="dxa"/>
                <w:tcBorders>
                  <w:top w:val="single" w:color="auto" w:sz="2" w:space="0"/>
                  <w:left w:val="single" w:color="auto" w:sz="2" w:space="0"/>
                  <w:bottom w:val="single" w:color="auto" w:sz="2" w:space="0"/>
                  <w:right w:val="single" w:color="auto" w:sz="2" w:space="0"/>
                </w:tcBorders>
                <w:vAlign w:val="center"/>
              </w:tcPr>
              <w:p w14:paraId="3FA92205">
                <w:pPr>
                  <w:widowControl w:val="0"/>
                  <w:spacing w:line="273" w:lineRule="auto"/>
                  <w:jc w:val="right"/>
                  <w:rPr>
                    <w:rFonts w:asciiTheme="minorHAnsi" w:hAnsiTheme="minorHAnsi" w:cstheme="minorHAnsi"/>
                    <w:kern w:val="2"/>
                    <w:sz w:val="18"/>
                    <w:szCs w:val="18"/>
                  </w:rPr>
                </w:pPr>
              </w:p>
            </w:tc>
            <w:tc>
              <w:tcPr>
                <w:tcW w:w="1338" w:type="dxa"/>
                <w:tcBorders>
                  <w:top w:val="single" w:color="auto" w:sz="2" w:space="0"/>
                  <w:left w:val="single" w:color="auto" w:sz="2" w:space="0"/>
                  <w:bottom w:val="single" w:color="auto" w:sz="2" w:space="0"/>
                  <w:right w:val="single" w:color="auto" w:sz="2" w:space="0"/>
                </w:tcBorders>
                <w:vAlign w:val="center"/>
              </w:tcPr>
              <w:p w14:paraId="49A40FB1">
                <w:pPr>
                  <w:widowControl w:val="0"/>
                  <w:spacing w:line="273" w:lineRule="auto"/>
                  <w:jc w:val="right"/>
                  <w:rPr>
                    <w:rFonts w:asciiTheme="minorHAnsi" w:hAnsiTheme="minorHAnsi" w:cstheme="minorHAnsi"/>
                    <w:kern w:val="2"/>
                    <w:sz w:val="18"/>
                    <w:szCs w:val="18"/>
                  </w:rPr>
                </w:pPr>
              </w:p>
            </w:tc>
            <w:tc>
              <w:tcPr>
                <w:tcW w:w="1460" w:type="dxa"/>
                <w:tcBorders>
                  <w:top w:val="single" w:color="auto" w:sz="2" w:space="0"/>
                  <w:left w:val="single" w:color="auto" w:sz="2" w:space="0"/>
                  <w:bottom w:val="single" w:color="auto" w:sz="2" w:space="0"/>
                  <w:right w:val="single" w:color="auto" w:sz="2" w:space="0"/>
                </w:tcBorders>
                <w:vAlign w:val="center"/>
              </w:tcPr>
              <w:p w14:paraId="142B7514">
                <w:pPr>
                  <w:widowControl w:val="0"/>
                  <w:spacing w:line="273" w:lineRule="auto"/>
                  <w:jc w:val="right"/>
                  <w:rPr>
                    <w:rFonts w:asciiTheme="minorHAnsi" w:hAnsiTheme="minorHAnsi" w:cstheme="minorHAnsi"/>
                    <w:kern w:val="2"/>
                    <w:sz w:val="18"/>
                    <w:szCs w:val="18"/>
                  </w:rPr>
                </w:pPr>
              </w:p>
            </w:tc>
            <w:tc>
              <w:tcPr>
                <w:tcW w:w="1521" w:type="dxa"/>
                <w:tcBorders>
                  <w:top w:val="single" w:color="auto" w:sz="2" w:space="0"/>
                  <w:left w:val="single" w:color="auto" w:sz="2" w:space="0"/>
                  <w:bottom w:val="single" w:color="auto" w:sz="2" w:space="0"/>
                  <w:right w:val="nil"/>
                </w:tcBorders>
                <w:vAlign w:val="center"/>
              </w:tcPr>
              <w:p w14:paraId="35C79D08">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275,341,852.90</w:t>
                </w:r>
              </w:p>
            </w:tc>
          </w:tr>
          <w:tr w14:paraId="5D617E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2" w:space="0"/>
                  <w:right w:val="single" w:color="auto" w:sz="2" w:space="0"/>
                </w:tcBorders>
                <w:vAlign w:val="center"/>
              </w:tcPr>
              <w:p w14:paraId="09901063">
                <w:pPr>
                  <w:widowControl w:val="0"/>
                  <w:jc w:val="both"/>
                  <w:rPr>
                    <w:kern w:val="2"/>
                    <w:sz w:val="18"/>
                    <w:szCs w:val="18"/>
                  </w:rPr>
                </w:pPr>
                <w:r>
                  <w:rPr>
                    <w:rFonts w:hint="eastAsia" w:ascii="宋体" w:hAnsi="宋体"/>
                    <w:kern w:val="2"/>
                    <w:sz w:val="18"/>
                    <w:szCs w:val="18"/>
                  </w:rPr>
                  <w:t>长期借款</w:t>
                </w:r>
              </w:p>
            </w:tc>
            <w:tc>
              <w:tcPr>
                <w:tcW w:w="1427" w:type="dxa"/>
                <w:tcBorders>
                  <w:top w:val="single" w:color="auto" w:sz="2" w:space="0"/>
                  <w:left w:val="single" w:color="auto" w:sz="2" w:space="0"/>
                  <w:bottom w:val="single" w:color="auto" w:sz="2" w:space="0"/>
                  <w:right w:val="single" w:color="auto" w:sz="2" w:space="0"/>
                </w:tcBorders>
                <w:vAlign w:val="center"/>
              </w:tcPr>
              <w:p w14:paraId="3D4BCFDB">
                <w:pPr>
                  <w:widowControl w:val="0"/>
                  <w:spacing w:line="273" w:lineRule="auto"/>
                  <w:jc w:val="right"/>
                  <w:rPr>
                    <w:rFonts w:asciiTheme="minorHAnsi" w:hAnsiTheme="minorHAnsi" w:cstheme="minorHAnsi"/>
                    <w:kern w:val="2"/>
                    <w:sz w:val="18"/>
                    <w:szCs w:val="18"/>
                  </w:rPr>
                </w:pPr>
              </w:p>
            </w:tc>
            <w:tc>
              <w:tcPr>
                <w:tcW w:w="1388" w:type="dxa"/>
                <w:tcBorders>
                  <w:top w:val="single" w:color="auto" w:sz="2" w:space="0"/>
                  <w:left w:val="single" w:color="auto" w:sz="2" w:space="0"/>
                  <w:bottom w:val="single" w:color="auto" w:sz="2" w:space="0"/>
                  <w:right w:val="single" w:color="auto" w:sz="2" w:space="0"/>
                </w:tcBorders>
                <w:vAlign w:val="center"/>
              </w:tcPr>
              <w:p w14:paraId="2908DA61">
                <w:pPr>
                  <w:widowControl w:val="0"/>
                  <w:spacing w:line="273" w:lineRule="auto"/>
                  <w:jc w:val="right"/>
                  <w:rPr>
                    <w:rFonts w:asciiTheme="minorHAnsi" w:hAnsiTheme="minorHAnsi" w:cstheme="minorHAnsi"/>
                    <w:kern w:val="2"/>
                    <w:sz w:val="18"/>
                    <w:szCs w:val="18"/>
                  </w:rPr>
                </w:pPr>
                <w:r>
                  <w:rPr>
                    <w:rFonts w:asciiTheme="minorHAnsi" w:hAnsiTheme="minorHAnsi" w:cstheme="minorHAnsi"/>
                    <w:color w:val="000000"/>
                    <w:sz w:val="18"/>
                    <w:szCs w:val="18"/>
                  </w:rPr>
                  <w:t>192,190,000.00</w:t>
                </w:r>
              </w:p>
            </w:tc>
            <w:tc>
              <w:tcPr>
                <w:tcW w:w="1338" w:type="dxa"/>
                <w:tcBorders>
                  <w:top w:val="single" w:color="auto" w:sz="2" w:space="0"/>
                  <w:left w:val="single" w:color="auto" w:sz="2" w:space="0"/>
                  <w:bottom w:val="single" w:color="auto" w:sz="2" w:space="0"/>
                  <w:right w:val="single" w:color="auto" w:sz="2" w:space="0"/>
                </w:tcBorders>
                <w:vAlign w:val="center"/>
              </w:tcPr>
              <w:p w14:paraId="1D47B7EC">
                <w:pPr>
                  <w:widowControl w:val="0"/>
                  <w:spacing w:line="273" w:lineRule="auto"/>
                  <w:jc w:val="right"/>
                  <w:rPr>
                    <w:rFonts w:asciiTheme="minorHAnsi" w:hAnsiTheme="minorHAnsi" w:cstheme="minorHAnsi"/>
                    <w:kern w:val="2"/>
                    <w:sz w:val="18"/>
                    <w:szCs w:val="18"/>
                  </w:rPr>
                </w:pPr>
              </w:p>
            </w:tc>
            <w:tc>
              <w:tcPr>
                <w:tcW w:w="1460" w:type="dxa"/>
                <w:tcBorders>
                  <w:top w:val="single" w:color="auto" w:sz="2" w:space="0"/>
                  <w:left w:val="single" w:color="auto" w:sz="2" w:space="0"/>
                  <w:bottom w:val="single" w:color="auto" w:sz="2" w:space="0"/>
                  <w:right w:val="single" w:color="auto" w:sz="2" w:space="0"/>
                </w:tcBorders>
                <w:vAlign w:val="center"/>
              </w:tcPr>
              <w:p w14:paraId="62312C94">
                <w:pPr>
                  <w:widowControl w:val="0"/>
                  <w:spacing w:line="273" w:lineRule="auto"/>
                  <w:jc w:val="right"/>
                  <w:rPr>
                    <w:rFonts w:asciiTheme="minorHAnsi" w:hAnsiTheme="minorHAnsi" w:cstheme="minorHAnsi"/>
                    <w:kern w:val="2"/>
                    <w:sz w:val="18"/>
                    <w:szCs w:val="18"/>
                  </w:rPr>
                </w:pPr>
              </w:p>
            </w:tc>
            <w:tc>
              <w:tcPr>
                <w:tcW w:w="1521" w:type="dxa"/>
                <w:tcBorders>
                  <w:top w:val="single" w:color="auto" w:sz="2" w:space="0"/>
                  <w:left w:val="single" w:color="auto" w:sz="2" w:space="0"/>
                  <w:bottom w:val="single" w:color="auto" w:sz="2" w:space="0"/>
                  <w:right w:val="nil"/>
                </w:tcBorders>
                <w:vAlign w:val="center"/>
              </w:tcPr>
              <w:p w14:paraId="76E1254F">
                <w:pPr>
                  <w:widowControl w:val="0"/>
                  <w:spacing w:line="273" w:lineRule="auto"/>
                  <w:jc w:val="right"/>
                  <w:rPr>
                    <w:rFonts w:asciiTheme="minorHAnsi" w:hAnsiTheme="minorHAnsi" w:cstheme="minorHAnsi"/>
                    <w:kern w:val="2"/>
                    <w:sz w:val="18"/>
                    <w:szCs w:val="18"/>
                  </w:rPr>
                </w:pPr>
                <w:r>
                  <w:rPr>
                    <w:rFonts w:asciiTheme="minorHAnsi" w:hAnsiTheme="minorHAnsi" w:cstheme="minorHAnsi"/>
                    <w:color w:val="000000"/>
                    <w:sz w:val="18"/>
                    <w:szCs w:val="18"/>
                  </w:rPr>
                  <w:t>192,190,000.00</w:t>
                </w:r>
              </w:p>
            </w:tc>
          </w:tr>
          <w:tr w14:paraId="214CE5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2" w:space="0"/>
                  <w:right w:val="single" w:color="auto" w:sz="2" w:space="0"/>
                </w:tcBorders>
                <w:vAlign w:val="center"/>
              </w:tcPr>
              <w:p w14:paraId="31B5D46E">
                <w:pPr>
                  <w:widowControl w:val="0"/>
                  <w:jc w:val="both"/>
                  <w:rPr>
                    <w:kern w:val="2"/>
                    <w:sz w:val="18"/>
                    <w:szCs w:val="18"/>
                  </w:rPr>
                </w:pPr>
                <w:r>
                  <w:rPr>
                    <w:rFonts w:hint="eastAsia" w:ascii="宋体" w:hAnsi="宋体"/>
                    <w:kern w:val="2"/>
                    <w:sz w:val="18"/>
                    <w:szCs w:val="18"/>
                  </w:rPr>
                  <w:t>租赁负债</w:t>
                </w:r>
              </w:p>
            </w:tc>
            <w:tc>
              <w:tcPr>
                <w:tcW w:w="1427" w:type="dxa"/>
                <w:tcBorders>
                  <w:top w:val="single" w:color="auto" w:sz="2" w:space="0"/>
                  <w:left w:val="single" w:color="auto" w:sz="2" w:space="0"/>
                  <w:bottom w:val="single" w:color="auto" w:sz="2" w:space="0"/>
                  <w:right w:val="single" w:color="auto" w:sz="2" w:space="0"/>
                </w:tcBorders>
                <w:vAlign w:val="center"/>
              </w:tcPr>
              <w:p w14:paraId="4CAB2D99">
                <w:pPr>
                  <w:widowControl w:val="0"/>
                  <w:spacing w:line="273" w:lineRule="auto"/>
                  <w:jc w:val="right"/>
                  <w:rPr>
                    <w:rFonts w:asciiTheme="minorHAnsi" w:hAnsiTheme="minorHAnsi" w:cstheme="minorHAnsi"/>
                    <w:kern w:val="2"/>
                    <w:sz w:val="18"/>
                    <w:szCs w:val="18"/>
                  </w:rPr>
                </w:pPr>
              </w:p>
            </w:tc>
            <w:tc>
              <w:tcPr>
                <w:tcW w:w="1388" w:type="dxa"/>
                <w:tcBorders>
                  <w:top w:val="single" w:color="auto" w:sz="2" w:space="0"/>
                  <w:left w:val="single" w:color="auto" w:sz="2" w:space="0"/>
                  <w:bottom w:val="single" w:color="auto" w:sz="2" w:space="0"/>
                  <w:right w:val="single" w:color="auto" w:sz="2" w:space="0"/>
                </w:tcBorders>
                <w:vAlign w:val="center"/>
              </w:tcPr>
              <w:p w14:paraId="36561A16">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9,409,467.74</w:t>
                </w:r>
              </w:p>
            </w:tc>
            <w:tc>
              <w:tcPr>
                <w:tcW w:w="1338" w:type="dxa"/>
                <w:tcBorders>
                  <w:top w:val="single" w:color="auto" w:sz="2" w:space="0"/>
                  <w:left w:val="single" w:color="auto" w:sz="2" w:space="0"/>
                  <w:bottom w:val="single" w:color="auto" w:sz="2" w:space="0"/>
                  <w:right w:val="single" w:color="auto" w:sz="2" w:space="0"/>
                </w:tcBorders>
                <w:vAlign w:val="center"/>
              </w:tcPr>
              <w:p w14:paraId="6C9A3B80">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8,207,860.00</w:t>
                </w:r>
              </w:p>
            </w:tc>
            <w:tc>
              <w:tcPr>
                <w:tcW w:w="1460" w:type="dxa"/>
                <w:tcBorders>
                  <w:top w:val="single" w:color="auto" w:sz="2" w:space="0"/>
                  <w:left w:val="single" w:color="auto" w:sz="2" w:space="0"/>
                  <w:bottom w:val="single" w:color="auto" w:sz="2" w:space="0"/>
                  <w:right w:val="single" w:color="auto" w:sz="2" w:space="0"/>
                </w:tcBorders>
                <w:vAlign w:val="center"/>
              </w:tcPr>
              <w:p w14:paraId="7E7A5635">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9,113,834.04</w:t>
                </w:r>
              </w:p>
            </w:tc>
            <w:tc>
              <w:tcPr>
                <w:tcW w:w="1521" w:type="dxa"/>
                <w:tcBorders>
                  <w:top w:val="single" w:color="auto" w:sz="2" w:space="0"/>
                  <w:left w:val="single" w:color="auto" w:sz="2" w:space="0"/>
                  <w:bottom w:val="single" w:color="auto" w:sz="2" w:space="0"/>
                  <w:right w:val="nil"/>
                </w:tcBorders>
                <w:vAlign w:val="center"/>
              </w:tcPr>
              <w:p w14:paraId="1F73CC1B">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26,731,161.78</w:t>
                </w:r>
              </w:p>
            </w:tc>
          </w:tr>
          <w:tr w14:paraId="1E53FA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12" w:space="0"/>
                  <w:right w:val="single" w:color="auto" w:sz="2" w:space="0"/>
                </w:tcBorders>
                <w:vAlign w:val="center"/>
              </w:tcPr>
              <w:p w14:paraId="32862EA6">
                <w:pPr>
                  <w:widowControl w:val="0"/>
                  <w:jc w:val="center"/>
                  <w:rPr>
                    <w:kern w:val="2"/>
                    <w:sz w:val="18"/>
                    <w:szCs w:val="18"/>
                  </w:rPr>
                </w:pPr>
                <w:r>
                  <w:rPr>
                    <w:rFonts w:hint="eastAsia" w:ascii="宋体" w:hAnsi="宋体"/>
                    <w:kern w:val="2"/>
                    <w:sz w:val="18"/>
                    <w:szCs w:val="18"/>
                  </w:rPr>
                  <w:t>合计</w:t>
                </w:r>
              </w:p>
            </w:tc>
            <w:tc>
              <w:tcPr>
                <w:tcW w:w="1427" w:type="dxa"/>
                <w:tcBorders>
                  <w:top w:val="single" w:color="auto" w:sz="2" w:space="0"/>
                  <w:left w:val="single" w:color="auto" w:sz="2" w:space="0"/>
                  <w:bottom w:val="single" w:color="auto" w:sz="12" w:space="0"/>
                  <w:right w:val="single" w:color="auto" w:sz="2" w:space="0"/>
                </w:tcBorders>
                <w:vAlign w:val="center"/>
              </w:tcPr>
              <w:p w14:paraId="35549A17">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451,602,955.10</w:t>
                </w:r>
              </w:p>
            </w:tc>
            <w:tc>
              <w:tcPr>
                <w:tcW w:w="1388" w:type="dxa"/>
                <w:tcBorders>
                  <w:top w:val="single" w:color="auto" w:sz="2" w:space="0"/>
                  <w:left w:val="single" w:color="auto" w:sz="2" w:space="0"/>
                  <w:bottom w:val="single" w:color="auto" w:sz="12" w:space="0"/>
                  <w:right w:val="single" w:color="auto" w:sz="2" w:space="0"/>
                </w:tcBorders>
                <w:vAlign w:val="center"/>
              </w:tcPr>
              <w:p w14:paraId="701E6E11">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220,325,771.22</w:t>
                </w:r>
              </w:p>
            </w:tc>
            <w:tc>
              <w:tcPr>
                <w:tcW w:w="1338" w:type="dxa"/>
                <w:tcBorders>
                  <w:top w:val="single" w:color="auto" w:sz="2" w:space="0"/>
                  <w:left w:val="single" w:color="auto" w:sz="2" w:space="0"/>
                  <w:bottom w:val="single" w:color="auto" w:sz="12" w:space="0"/>
                  <w:right w:val="single" w:color="auto" w:sz="2" w:space="0"/>
                </w:tcBorders>
                <w:vAlign w:val="center"/>
              </w:tcPr>
              <w:p w14:paraId="5EB65F93">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13,819,503.05</w:t>
                </w:r>
              </w:p>
            </w:tc>
            <w:tc>
              <w:tcPr>
                <w:tcW w:w="1460" w:type="dxa"/>
                <w:tcBorders>
                  <w:top w:val="single" w:color="auto" w:sz="2" w:space="0"/>
                  <w:left w:val="single" w:color="auto" w:sz="2" w:space="0"/>
                  <w:bottom w:val="single" w:color="auto" w:sz="12" w:space="0"/>
                  <w:right w:val="single" w:color="auto" w:sz="2" w:space="0"/>
                </w:tcBorders>
                <w:vAlign w:val="center"/>
              </w:tcPr>
              <w:p w14:paraId="2FAB6422">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15,767,851.64</w:t>
                </w:r>
              </w:p>
            </w:tc>
            <w:tc>
              <w:tcPr>
                <w:tcW w:w="1521" w:type="dxa"/>
                <w:tcBorders>
                  <w:top w:val="single" w:color="auto" w:sz="2" w:space="0"/>
                  <w:left w:val="single" w:color="auto" w:sz="2" w:space="0"/>
                  <w:bottom w:val="single" w:color="auto" w:sz="12" w:space="0"/>
                  <w:right w:val="nil"/>
                </w:tcBorders>
                <w:vAlign w:val="center"/>
              </w:tcPr>
              <w:p w14:paraId="70A4206D">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701,516,081.01</w:t>
                </w:r>
              </w:p>
            </w:tc>
          </w:tr>
        </w:tbl>
        <w:p w14:paraId="13436213">
          <w:pPr>
            <w:spacing w:line="460" w:lineRule="atLeast"/>
            <w:ind w:firstLine="420" w:firstLineChars="200"/>
            <w:rPr>
              <w:kern w:val="2"/>
            </w:rPr>
          </w:pPr>
          <w:r>
            <w:rPr>
              <w:kern w:val="2"/>
            </w:rPr>
            <w:t xml:space="preserve"> </w:t>
          </w:r>
        </w:p>
        <w:tbl>
          <w:tblPr>
            <w:tblStyle w:val="19"/>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33"/>
            <w:gridCol w:w="1462"/>
            <w:gridCol w:w="1422"/>
            <w:gridCol w:w="1482"/>
            <w:gridCol w:w="1384"/>
            <w:gridCol w:w="1558"/>
          </w:tblGrid>
          <w:tr w14:paraId="1228CF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vMerge w:val="restart"/>
                <w:tcBorders>
                  <w:top w:val="single" w:color="auto" w:sz="12" w:space="0"/>
                  <w:left w:val="nil"/>
                  <w:bottom w:val="single" w:color="auto" w:sz="2" w:space="0"/>
                  <w:right w:val="single" w:color="auto" w:sz="2" w:space="0"/>
                </w:tcBorders>
                <w:vAlign w:val="center"/>
              </w:tcPr>
              <w:p w14:paraId="515B753F">
                <w:pPr>
                  <w:widowControl w:val="0"/>
                  <w:jc w:val="center"/>
                  <w:rPr>
                    <w:kern w:val="2"/>
                    <w:sz w:val="18"/>
                    <w:szCs w:val="18"/>
                  </w:rPr>
                </w:pPr>
                <w:r>
                  <w:rPr>
                    <w:rFonts w:ascii="宋体" w:hAnsi="宋体"/>
                    <w:kern w:val="2"/>
                    <w:sz w:val="18"/>
                    <w:szCs w:val="18"/>
                  </w:rPr>
                  <w:t>项目</w:t>
                </w:r>
              </w:p>
            </w:tc>
            <w:tc>
              <w:tcPr>
                <w:tcW w:w="5613" w:type="dxa"/>
                <w:gridSpan w:val="4"/>
                <w:tcBorders>
                  <w:top w:val="single" w:color="auto" w:sz="12" w:space="0"/>
                  <w:left w:val="single" w:color="auto" w:sz="2" w:space="0"/>
                  <w:bottom w:val="single" w:color="auto" w:sz="2" w:space="0"/>
                  <w:right w:val="single" w:color="auto" w:sz="2" w:space="0"/>
                </w:tcBorders>
                <w:vAlign w:val="center"/>
              </w:tcPr>
              <w:p w14:paraId="23AEB4A0">
                <w:pPr>
                  <w:widowControl w:val="0"/>
                  <w:jc w:val="center"/>
                  <w:rPr>
                    <w:kern w:val="2"/>
                    <w:sz w:val="18"/>
                    <w:szCs w:val="18"/>
                  </w:rPr>
                </w:pPr>
                <w:r>
                  <w:rPr>
                    <w:rFonts w:hint="eastAsia" w:ascii="宋体" w:hAnsi="宋体"/>
                    <w:kern w:val="2"/>
                    <w:sz w:val="18"/>
                    <w:szCs w:val="18"/>
                  </w:rPr>
                  <w:t>期初余额</w:t>
                </w:r>
              </w:p>
            </w:tc>
            <w:tc>
              <w:tcPr>
                <w:tcW w:w="1521" w:type="dxa"/>
                <w:vMerge w:val="restart"/>
                <w:tcBorders>
                  <w:top w:val="single" w:color="auto" w:sz="12" w:space="0"/>
                  <w:left w:val="single" w:color="auto" w:sz="2" w:space="0"/>
                  <w:bottom w:val="single" w:color="auto" w:sz="2" w:space="0"/>
                  <w:right w:val="nil"/>
                </w:tcBorders>
                <w:vAlign w:val="center"/>
              </w:tcPr>
              <w:p w14:paraId="67456D63">
                <w:pPr>
                  <w:widowControl w:val="0"/>
                  <w:jc w:val="center"/>
                  <w:rPr>
                    <w:kern w:val="2"/>
                    <w:sz w:val="18"/>
                    <w:szCs w:val="18"/>
                  </w:rPr>
                </w:pPr>
                <w:r>
                  <w:rPr>
                    <w:rFonts w:hint="eastAsia" w:ascii="宋体" w:hAnsi="宋体"/>
                    <w:kern w:val="2"/>
                    <w:sz w:val="18"/>
                    <w:szCs w:val="18"/>
                  </w:rPr>
                  <w:t>合计</w:t>
                </w:r>
              </w:p>
            </w:tc>
          </w:tr>
          <w:tr w14:paraId="1A03DF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vMerge w:val="continue"/>
                <w:tcBorders>
                  <w:top w:val="single" w:color="auto" w:sz="12" w:space="0"/>
                  <w:left w:val="nil"/>
                  <w:bottom w:val="single" w:color="auto" w:sz="2" w:space="0"/>
                  <w:right w:val="single" w:color="auto" w:sz="2" w:space="0"/>
                </w:tcBorders>
                <w:vAlign w:val="center"/>
              </w:tcPr>
              <w:p w14:paraId="7A054059">
                <w:pPr>
                  <w:rPr>
                    <w:kern w:val="2"/>
                    <w:sz w:val="18"/>
                    <w:szCs w:val="18"/>
                  </w:rPr>
                </w:pPr>
              </w:p>
            </w:tc>
            <w:tc>
              <w:tcPr>
                <w:tcW w:w="1427" w:type="dxa"/>
                <w:tcBorders>
                  <w:top w:val="single" w:color="auto" w:sz="2" w:space="0"/>
                  <w:left w:val="single" w:color="auto" w:sz="2" w:space="0"/>
                  <w:bottom w:val="single" w:color="auto" w:sz="2" w:space="0"/>
                  <w:right w:val="single" w:color="auto" w:sz="2" w:space="0"/>
                </w:tcBorders>
                <w:vAlign w:val="center"/>
              </w:tcPr>
              <w:p w14:paraId="650786EA">
                <w:pPr>
                  <w:widowControl w:val="0"/>
                  <w:jc w:val="center"/>
                  <w:rPr>
                    <w:kern w:val="2"/>
                    <w:sz w:val="18"/>
                    <w:szCs w:val="18"/>
                  </w:rPr>
                </w:pPr>
                <w:r>
                  <w:rPr>
                    <w:rFonts w:hint="eastAsia" w:ascii="宋体" w:hAnsi="宋体"/>
                    <w:kern w:val="2"/>
                    <w:sz w:val="18"/>
                    <w:szCs w:val="18"/>
                  </w:rPr>
                  <w:t>一年以内</w:t>
                </w:r>
              </w:p>
            </w:tc>
            <w:tc>
              <w:tcPr>
                <w:tcW w:w="1388" w:type="dxa"/>
                <w:tcBorders>
                  <w:top w:val="single" w:color="auto" w:sz="2" w:space="0"/>
                  <w:left w:val="single" w:color="auto" w:sz="2" w:space="0"/>
                  <w:bottom w:val="single" w:color="auto" w:sz="2" w:space="0"/>
                  <w:right w:val="single" w:color="auto" w:sz="2" w:space="0"/>
                </w:tcBorders>
                <w:vAlign w:val="center"/>
              </w:tcPr>
              <w:p w14:paraId="06624633">
                <w:pPr>
                  <w:widowControl w:val="0"/>
                  <w:jc w:val="center"/>
                  <w:rPr>
                    <w:kern w:val="2"/>
                    <w:sz w:val="18"/>
                    <w:szCs w:val="18"/>
                  </w:rPr>
                </w:pPr>
                <w:r>
                  <w:rPr>
                    <w:rFonts w:hint="eastAsia" w:ascii="宋体" w:hAnsi="宋体"/>
                    <w:kern w:val="2"/>
                    <w:sz w:val="18"/>
                    <w:szCs w:val="18"/>
                  </w:rPr>
                  <w:t>一至二年</w:t>
                </w:r>
              </w:p>
            </w:tc>
            <w:tc>
              <w:tcPr>
                <w:tcW w:w="1447" w:type="dxa"/>
                <w:tcBorders>
                  <w:top w:val="single" w:color="auto" w:sz="2" w:space="0"/>
                  <w:left w:val="single" w:color="auto" w:sz="2" w:space="0"/>
                  <w:bottom w:val="single" w:color="auto" w:sz="2" w:space="0"/>
                  <w:right w:val="single" w:color="auto" w:sz="2" w:space="0"/>
                </w:tcBorders>
                <w:vAlign w:val="center"/>
              </w:tcPr>
              <w:p w14:paraId="78438D0F">
                <w:pPr>
                  <w:jc w:val="center"/>
                  <w:textAlignment w:val="top"/>
                  <w:rPr>
                    <w:kern w:val="2"/>
                    <w:sz w:val="18"/>
                    <w:szCs w:val="18"/>
                  </w:rPr>
                </w:pPr>
                <w:r>
                  <w:rPr>
                    <w:rFonts w:hint="eastAsia" w:ascii="宋体" w:hAnsi="宋体"/>
                    <w:kern w:val="2"/>
                    <w:sz w:val="18"/>
                    <w:szCs w:val="18"/>
                  </w:rPr>
                  <w:t>二至三年</w:t>
                </w:r>
              </w:p>
            </w:tc>
            <w:tc>
              <w:tcPr>
                <w:tcW w:w="1351" w:type="dxa"/>
                <w:tcBorders>
                  <w:top w:val="single" w:color="auto" w:sz="2" w:space="0"/>
                  <w:left w:val="single" w:color="auto" w:sz="2" w:space="0"/>
                  <w:bottom w:val="single" w:color="auto" w:sz="2" w:space="0"/>
                  <w:right w:val="single" w:color="auto" w:sz="2" w:space="0"/>
                </w:tcBorders>
                <w:vAlign w:val="center"/>
              </w:tcPr>
              <w:p w14:paraId="46395A02">
                <w:pPr>
                  <w:widowControl w:val="0"/>
                  <w:jc w:val="center"/>
                  <w:rPr>
                    <w:kern w:val="2"/>
                    <w:sz w:val="18"/>
                    <w:szCs w:val="18"/>
                  </w:rPr>
                </w:pPr>
                <w:r>
                  <w:rPr>
                    <w:rFonts w:hint="eastAsia" w:ascii="宋体" w:hAnsi="宋体"/>
                    <w:kern w:val="2"/>
                    <w:sz w:val="18"/>
                    <w:szCs w:val="18"/>
                  </w:rPr>
                  <w:t>三年以上</w:t>
                </w:r>
              </w:p>
            </w:tc>
            <w:tc>
              <w:tcPr>
                <w:tcW w:w="1521" w:type="dxa"/>
                <w:vMerge w:val="continue"/>
                <w:tcBorders>
                  <w:top w:val="single" w:color="auto" w:sz="12" w:space="0"/>
                  <w:left w:val="single" w:color="auto" w:sz="2" w:space="0"/>
                  <w:bottom w:val="single" w:color="auto" w:sz="2" w:space="0"/>
                  <w:right w:val="nil"/>
                </w:tcBorders>
                <w:vAlign w:val="center"/>
              </w:tcPr>
              <w:p w14:paraId="2CA8BDEE">
                <w:pPr>
                  <w:rPr>
                    <w:kern w:val="2"/>
                    <w:sz w:val="18"/>
                    <w:szCs w:val="18"/>
                  </w:rPr>
                </w:pPr>
              </w:p>
            </w:tc>
          </w:tr>
          <w:tr w14:paraId="24A276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2" w:space="0"/>
                  <w:right w:val="single" w:color="auto" w:sz="2" w:space="0"/>
                </w:tcBorders>
                <w:vAlign w:val="center"/>
              </w:tcPr>
              <w:p w14:paraId="49DCE3E0">
                <w:pPr>
                  <w:widowControl w:val="0"/>
                  <w:jc w:val="both"/>
                  <w:rPr>
                    <w:kern w:val="2"/>
                    <w:sz w:val="18"/>
                    <w:szCs w:val="18"/>
                  </w:rPr>
                </w:pPr>
                <w:r>
                  <w:rPr>
                    <w:rFonts w:hint="eastAsia" w:ascii="宋体" w:hAnsi="宋体"/>
                    <w:kern w:val="2"/>
                    <w:sz w:val="18"/>
                    <w:szCs w:val="18"/>
                  </w:rPr>
                  <w:t>短期借款</w:t>
                </w:r>
              </w:p>
            </w:tc>
            <w:tc>
              <w:tcPr>
                <w:tcW w:w="1427" w:type="dxa"/>
                <w:tcBorders>
                  <w:top w:val="single" w:color="auto" w:sz="2" w:space="0"/>
                  <w:left w:val="single" w:color="auto" w:sz="2" w:space="0"/>
                  <w:bottom w:val="single" w:color="auto" w:sz="2" w:space="0"/>
                  <w:right w:val="single" w:color="auto" w:sz="2" w:space="0"/>
                </w:tcBorders>
                <w:vAlign w:val="center"/>
              </w:tcPr>
              <w:p w14:paraId="15FDF9C2">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416,758,991.22</w:t>
                </w:r>
              </w:p>
            </w:tc>
            <w:tc>
              <w:tcPr>
                <w:tcW w:w="1388" w:type="dxa"/>
                <w:tcBorders>
                  <w:top w:val="single" w:color="auto" w:sz="2" w:space="0"/>
                  <w:left w:val="single" w:color="auto" w:sz="2" w:space="0"/>
                  <w:bottom w:val="single" w:color="auto" w:sz="2" w:space="0"/>
                  <w:right w:val="single" w:color="auto" w:sz="2" w:space="0"/>
                </w:tcBorders>
                <w:vAlign w:val="center"/>
              </w:tcPr>
              <w:p w14:paraId="49E0C4F7">
                <w:pPr>
                  <w:widowControl w:val="0"/>
                  <w:spacing w:line="273" w:lineRule="auto"/>
                  <w:jc w:val="right"/>
                  <w:rPr>
                    <w:rFonts w:asciiTheme="minorHAnsi" w:hAnsiTheme="minorHAnsi" w:cstheme="minorHAnsi"/>
                    <w:kern w:val="2"/>
                    <w:sz w:val="18"/>
                    <w:szCs w:val="18"/>
                  </w:rPr>
                </w:pPr>
              </w:p>
            </w:tc>
            <w:tc>
              <w:tcPr>
                <w:tcW w:w="1447" w:type="dxa"/>
                <w:tcBorders>
                  <w:top w:val="single" w:color="auto" w:sz="2" w:space="0"/>
                  <w:left w:val="single" w:color="auto" w:sz="2" w:space="0"/>
                  <w:bottom w:val="single" w:color="auto" w:sz="2" w:space="0"/>
                  <w:right w:val="single" w:color="auto" w:sz="2" w:space="0"/>
                </w:tcBorders>
                <w:vAlign w:val="center"/>
              </w:tcPr>
              <w:p w14:paraId="5899D348">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 xml:space="preserve"> </w:t>
                </w:r>
              </w:p>
            </w:tc>
            <w:tc>
              <w:tcPr>
                <w:tcW w:w="1351" w:type="dxa"/>
                <w:tcBorders>
                  <w:top w:val="single" w:color="auto" w:sz="2" w:space="0"/>
                  <w:left w:val="single" w:color="auto" w:sz="2" w:space="0"/>
                  <w:bottom w:val="single" w:color="auto" w:sz="2" w:space="0"/>
                  <w:right w:val="single" w:color="auto" w:sz="2" w:space="0"/>
                </w:tcBorders>
                <w:vAlign w:val="center"/>
              </w:tcPr>
              <w:p w14:paraId="00A96419">
                <w:pPr>
                  <w:widowControl w:val="0"/>
                  <w:spacing w:line="273" w:lineRule="auto"/>
                  <w:jc w:val="right"/>
                  <w:rPr>
                    <w:rFonts w:asciiTheme="minorHAnsi" w:hAnsiTheme="minorHAnsi" w:cstheme="minorHAnsi"/>
                    <w:kern w:val="2"/>
                    <w:sz w:val="18"/>
                    <w:szCs w:val="18"/>
                  </w:rPr>
                </w:pPr>
              </w:p>
            </w:tc>
            <w:tc>
              <w:tcPr>
                <w:tcW w:w="1521" w:type="dxa"/>
                <w:tcBorders>
                  <w:top w:val="single" w:color="auto" w:sz="2" w:space="0"/>
                  <w:left w:val="single" w:color="auto" w:sz="2" w:space="0"/>
                  <w:bottom w:val="single" w:color="auto" w:sz="2" w:space="0"/>
                  <w:right w:val="nil"/>
                </w:tcBorders>
                <w:vAlign w:val="center"/>
              </w:tcPr>
              <w:p w14:paraId="700089A7">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416,758,991.22</w:t>
                </w:r>
              </w:p>
            </w:tc>
          </w:tr>
          <w:tr w14:paraId="2DC5BC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2" w:space="0"/>
                  <w:right w:val="single" w:color="auto" w:sz="2" w:space="0"/>
                </w:tcBorders>
                <w:vAlign w:val="center"/>
              </w:tcPr>
              <w:p w14:paraId="2B200A7A">
                <w:pPr>
                  <w:widowControl w:val="0"/>
                  <w:jc w:val="both"/>
                  <w:rPr>
                    <w:kern w:val="2"/>
                    <w:sz w:val="18"/>
                    <w:szCs w:val="18"/>
                  </w:rPr>
                </w:pPr>
                <w:r>
                  <w:rPr>
                    <w:rFonts w:hint="eastAsia" w:ascii="宋体" w:hAnsi="宋体"/>
                    <w:kern w:val="2"/>
                    <w:sz w:val="18"/>
                    <w:szCs w:val="18"/>
                  </w:rPr>
                  <w:t>应付票据</w:t>
                </w:r>
              </w:p>
            </w:tc>
            <w:tc>
              <w:tcPr>
                <w:tcW w:w="1427" w:type="dxa"/>
                <w:tcBorders>
                  <w:top w:val="single" w:color="auto" w:sz="2" w:space="0"/>
                  <w:left w:val="single" w:color="auto" w:sz="2" w:space="0"/>
                  <w:bottom w:val="single" w:color="auto" w:sz="2" w:space="0"/>
                  <w:right w:val="single" w:color="auto" w:sz="2" w:space="0"/>
                </w:tcBorders>
                <w:vAlign w:val="center"/>
              </w:tcPr>
              <w:p w14:paraId="1EA0BD1B">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10,000.00</w:t>
                </w:r>
              </w:p>
            </w:tc>
            <w:tc>
              <w:tcPr>
                <w:tcW w:w="1388" w:type="dxa"/>
                <w:tcBorders>
                  <w:top w:val="single" w:color="auto" w:sz="2" w:space="0"/>
                  <w:left w:val="single" w:color="auto" w:sz="2" w:space="0"/>
                  <w:bottom w:val="single" w:color="auto" w:sz="2" w:space="0"/>
                  <w:right w:val="single" w:color="auto" w:sz="2" w:space="0"/>
                </w:tcBorders>
                <w:vAlign w:val="center"/>
              </w:tcPr>
              <w:p w14:paraId="7FB53E01">
                <w:pPr>
                  <w:widowControl w:val="0"/>
                  <w:spacing w:line="273" w:lineRule="auto"/>
                  <w:jc w:val="right"/>
                  <w:rPr>
                    <w:rFonts w:asciiTheme="minorHAnsi" w:hAnsiTheme="minorHAnsi" w:cstheme="minorHAnsi"/>
                    <w:kern w:val="2"/>
                    <w:sz w:val="18"/>
                    <w:szCs w:val="18"/>
                  </w:rPr>
                </w:pPr>
              </w:p>
            </w:tc>
            <w:tc>
              <w:tcPr>
                <w:tcW w:w="1447" w:type="dxa"/>
                <w:tcBorders>
                  <w:top w:val="single" w:color="auto" w:sz="2" w:space="0"/>
                  <w:left w:val="single" w:color="auto" w:sz="2" w:space="0"/>
                  <w:bottom w:val="single" w:color="auto" w:sz="2" w:space="0"/>
                  <w:right w:val="single" w:color="auto" w:sz="2" w:space="0"/>
                </w:tcBorders>
                <w:vAlign w:val="center"/>
              </w:tcPr>
              <w:p w14:paraId="7D3FF6AE">
                <w:pPr>
                  <w:widowControl w:val="0"/>
                  <w:spacing w:line="273" w:lineRule="auto"/>
                  <w:jc w:val="right"/>
                  <w:rPr>
                    <w:rFonts w:asciiTheme="minorHAnsi" w:hAnsiTheme="minorHAnsi" w:cstheme="minorHAnsi"/>
                    <w:kern w:val="2"/>
                    <w:sz w:val="18"/>
                    <w:szCs w:val="18"/>
                  </w:rPr>
                </w:pPr>
              </w:p>
            </w:tc>
            <w:tc>
              <w:tcPr>
                <w:tcW w:w="1351" w:type="dxa"/>
                <w:tcBorders>
                  <w:top w:val="single" w:color="auto" w:sz="2" w:space="0"/>
                  <w:left w:val="single" w:color="auto" w:sz="2" w:space="0"/>
                  <w:bottom w:val="single" w:color="auto" w:sz="2" w:space="0"/>
                  <w:right w:val="single" w:color="auto" w:sz="2" w:space="0"/>
                </w:tcBorders>
                <w:vAlign w:val="center"/>
              </w:tcPr>
              <w:p w14:paraId="1F1F4C68">
                <w:pPr>
                  <w:widowControl w:val="0"/>
                  <w:spacing w:line="273" w:lineRule="auto"/>
                  <w:jc w:val="right"/>
                  <w:rPr>
                    <w:rFonts w:asciiTheme="minorHAnsi" w:hAnsiTheme="minorHAnsi" w:cstheme="minorHAnsi"/>
                    <w:kern w:val="2"/>
                    <w:sz w:val="18"/>
                    <w:szCs w:val="18"/>
                  </w:rPr>
                </w:pPr>
              </w:p>
            </w:tc>
            <w:tc>
              <w:tcPr>
                <w:tcW w:w="1521" w:type="dxa"/>
                <w:tcBorders>
                  <w:top w:val="single" w:color="auto" w:sz="2" w:space="0"/>
                  <w:left w:val="single" w:color="auto" w:sz="2" w:space="0"/>
                  <w:bottom w:val="single" w:color="auto" w:sz="2" w:space="0"/>
                  <w:right w:val="nil"/>
                </w:tcBorders>
                <w:vAlign w:val="center"/>
              </w:tcPr>
              <w:p w14:paraId="4DA3ABDB">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10,000.00</w:t>
                </w:r>
              </w:p>
            </w:tc>
          </w:tr>
          <w:tr w14:paraId="696A39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2" w:space="0"/>
                  <w:right w:val="single" w:color="auto" w:sz="2" w:space="0"/>
                </w:tcBorders>
                <w:vAlign w:val="center"/>
              </w:tcPr>
              <w:p w14:paraId="5B4F845E">
                <w:pPr>
                  <w:widowControl w:val="0"/>
                  <w:jc w:val="both"/>
                  <w:rPr>
                    <w:kern w:val="2"/>
                    <w:sz w:val="18"/>
                    <w:szCs w:val="18"/>
                  </w:rPr>
                </w:pPr>
                <w:r>
                  <w:rPr>
                    <w:rFonts w:hint="eastAsia" w:ascii="宋体" w:hAnsi="宋体"/>
                    <w:kern w:val="2"/>
                    <w:sz w:val="18"/>
                    <w:szCs w:val="18"/>
                  </w:rPr>
                  <w:t>应付账款</w:t>
                </w:r>
              </w:p>
            </w:tc>
            <w:tc>
              <w:tcPr>
                <w:tcW w:w="1427" w:type="dxa"/>
                <w:tcBorders>
                  <w:top w:val="single" w:color="auto" w:sz="2" w:space="0"/>
                  <w:left w:val="single" w:color="auto" w:sz="2" w:space="0"/>
                  <w:bottom w:val="single" w:color="auto" w:sz="2" w:space="0"/>
                  <w:right w:val="single" w:color="auto" w:sz="2" w:space="0"/>
                </w:tcBorders>
                <w:vAlign w:val="center"/>
              </w:tcPr>
              <w:p w14:paraId="4E19D363">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84,678,696.70</w:t>
                </w:r>
              </w:p>
            </w:tc>
            <w:tc>
              <w:tcPr>
                <w:tcW w:w="1388" w:type="dxa"/>
                <w:tcBorders>
                  <w:top w:val="single" w:color="auto" w:sz="2" w:space="0"/>
                  <w:left w:val="single" w:color="auto" w:sz="2" w:space="0"/>
                  <w:bottom w:val="single" w:color="auto" w:sz="2" w:space="0"/>
                  <w:right w:val="single" w:color="auto" w:sz="2" w:space="0"/>
                </w:tcBorders>
                <w:vAlign w:val="center"/>
              </w:tcPr>
              <w:p w14:paraId="45671604">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10,617,034.09</w:t>
                </w:r>
              </w:p>
            </w:tc>
            <w:tc>
              <w:tcPr>
                <w:tcW w:w="1447" w:type="dxa"/>
                <w:tcBorders>
                  <w:top w:val="single" w:color="auto" w:sz="2" w:space="0"/>
                  <w:left w:val="single" w:color="auto" w:sz="2" w:space="0"/>
                  <w:bottom w:val="single" w:color="auto" w:sz="2" w:space="0"/>
                  <w:right w:val="single" w:color="auto" w:sz="2" w:space="0"/>
                </w:tcBorders>
                <w:vAlign w:val="center"/>
              </w:tcPr>
              <w:p w14:paraId="73D61B79">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351,265.60</w:t>
                </w:r>
              </w:p>
            </w:tc>
            <w:tc>
              <w:tcPr>
                <w:tcW w:w="1351" w:type="dxa"/>
                <w:tcBorders>
                  <w:top w:val="single" w:color="auto" w:sz="2" w:space="0"/>
                  <w:left w:val="single" w:color="auto" w:sz="2" w:space="0"/>
                  <w:bottom w:val="single" w:color="auto" w:sz="2" w:space="0"/>
                  <w:right w:val="single" w:color="auto" w:sz="2" w:space="0"/>
                </w:tcBorders>
                <w:vAlign w:val="center"/>
              </w:tcPr>
              <w:p w14:paraId="5F96F52E">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1,052,381.75</w:t>
                </w:r>
              </w:p>
            </w:tc>
            <w:tc>
              <w:tcPr>
                <w:tcW w:w="1521" w:type="dxa"/>
                <w:tcBorders>
                  <w:top w:val="single" w:color="auto" w:sz="2" w:space="0"/>
                  <w:left w:val="single" w:color="auto" w:sz="2" w:space="0"/>
                  <w:bottom w:val="single" w:color="auto" w:sz="2" w:space="0"/>
                  <w:right w:val="nil"/>
                </w:tcBorders>
                <w:vAlign w:val="center"/>
              </w:tcPr>
              <w:p w14:paraId="2EA9A5B4">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96,699,378.14</w:t>
                </w:r>
              </w:p>
            </w:tc>
          </w:tr>
          <w:tr w14:paraId="52F390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2" w:space="0"/>
                  <w:right w:val="single" w:color="auto" w:sz="2" w:space="0"/>
                </w:tcBorders>
                <w:vAlign w:val="center"/>
              </w:tcPr>
              <w:p w14:paraId="203CD759">
                <w:pPr>
                  <w:widowControl w:val="0"/>
                  <w:jc w:val="both"/>
                  <w:rPr>
                    <w:kern w:val="2"/>
                    <w:sz w:val="18"/>
                    <w:szCs w:val="18"/>
                  </w:rPr>
                </w:pPr>
                <w:r>
                  <w:rPr>
                    <w:rFonts w:hint="eastAsia" w:ascii="宋体" w:hAnsi="宋体"/>
                    <w:kern w:val="2"/>
                    <w:sz w:val="18"/>
                    <w:szCs w:val="18"/>
                  </w:rPr>
                  <w:t>其他应付款</w:t>
                </w:r>
              </w:p>
            </w:tc>
            <w:tc>
              <w:tcPr>
                <w:tcW w:w="1427" w:type="dxa"/>
                <w:tcBorders>
                  <w:top w:val="single" w:color="auto" w:sz="2" w:space="0"/>
                  <w:left w:val="single" w:color="auto" w:sz="2" w:space="0"/>
                  <w:bottom w:val="single" w:color="auto" w:sz="2" w:space="0"/>
                  <w:right w:val="single" w:color="auto" w:sz="2" w:space="0"/>
                </w:tcBorders>
                <w:vAlign w:val="center"/>
              </w:tcPr>
              <w:p w14:paraId="67B6A2FC">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66,330,991.25</w:t>
                </w:r>
              </w:p>
            </w:tc>
            <w:tc>
              <w:tcPr>
                <w:tcW w:w="1388" w:type="dxa"/>
                <w:tcBorders>
                  <w:top w:val="single" w:color="auto" w:sz="2" w:space="0"/>
                  <w:left w:val="single" w:color="auto" w:sz="2" w:space="0"/>
                  <w:bottom w:val="single" w:color="auto" w:sz="2" w:space="0"/>
                  <w:right w:val="single" w:color="auto" w:sz="2" w:space="0"/>
                </w:tcBorders>
                <w:vAlign w:val="center"/>
              </w:tcPr>
              <w:p w14:paraId="513EC6F6">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748,796.42</w:t>
                </w:r>
              </w:p>
            </w:tc>
            <w:tc>
              <w:tcPr>
                <w:tcW w:w="1447" w:type="dxa"/>
                <w:tcBorders>
                  <w:top w:val="single" w:color="auto" w:sz="2" w:space="0"/>
                  <w:left w:val="single" w:color="auto" w:sz="2" w:space="0"/>
                  <w:bottom w:val="single" w:color="auto" w:sz="2" w:space="0"/>
                  <w:right w:val="single" w:color="auto" w:sz="2" w:space="0"/>
                </w:tcBorders>
                <w:vAlign w:val="center"/>
              </w:tcPr>
              <w:p w14:paraId="06DAF97A">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842,500.00</w:t>
                </w:r>
              </w:p>
            </w:tc>
            <w:tc>
              <w:tcPr>
                <w:tcW w:w="1351" w:type="dxa"/>
                <w:tcBorders>
                  <w:top w:val="single" w:color="auto" w:sz="2" w:space="0"/>
                  <w:left w:val="single" w:color="auto" w:sz="2" w:space="0"/>
                  <w:bottom w:val="single" w:color="auto" w:sz="2" w:space="0"/>
                  <w:right w:val="single" w:color="auto" w:sz="2" w:space="0"/>
                </w:tcBorders>
                <w:vAlign w:val="center"/>
              </w:tcPr>
              <w:p w14:paraId="49AC9E44">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5,838,901.50</w:t>
                </w:r>
              </w:p>
            </w:tc>
            <w:tc>
              <w:tcPr>
                <w:tcW w:w="1521" w:type="dxa"/>
                <w:tcBorders>
                  <w:top w:val="single" w:color="auto" w:sz="2" w:space="0"/>
                  <w:left w:val="single" w:color="auto" w:sz="2" w:space="0"/>
                  <w:bottom w:val="single" w:color="auto" w:sz="2" w:space="0"/>
                  <w:right w:val="nil"/>
                </w:tcBorders>
                <w:vAlign w:val="center"/>
              </w:tcPr>
              <w:p w14:paraId="2454F02F">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73,761,189.17</w:t>
                </w:r>
              </w:p>
            </w:tc>
          </w:tr>
          <w:tr w14:paraId="73D6E6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2" w:space="0"/>
                  <w:right w:val="single" w:color="auto" w:sz="2" w:space="0"/>
                </w:tcBorders>
                <w:vAlign w:val="center"/>
              </w:tcPr>
              <w:p w14:paraId="43CCE0B1">
                <w:pPr>
                  <w:widowControl w:val="0"/>
                  <w:jc w:val="both"/>
                  <w:rPr>
                    <w:kern w:val="2"/>
                    <w:sz w:val="18"/>
                    <w:szCs w:val="18"/>
                  </w:rPr>
                </w:pPr>
                <w:r>
                  <w:rPr>
                    <w:rFonts w:hint="eastAsia" w:ascii="宋体" w:hAnsi="宋体"/>
                    <w:kern w:val="2"/>
                    <w:sz w:val="18"/>
                    <w:szCs w:val="18"/>
                  </w:rPr>
                  <w:t>一年内到期的非流动负债</w:t>
                </w:r>
              </w:p>
            </w:tc>
            <w:tc>
              <w:tcPr>
                <w:tcW w:w="1427" w:type="dxa"/>
                <w:tcBorders>
                  <w:top w:val="single" w:color="auto" w:sz="2" w:space="0"/>
                  <w:left w:val="single" w:color="auto" w:sz="2" w:space="0"/>
                  <w:bottom w:val="single" w:color="auto" w:sz="2" w:space="0"/>
                  <w:right w:val="single" w:color="auto" w:sz="2" w:space="0"/>
                </w:tcBorders>
                <w:vAlign w:val="center"/>
              </w:tcPr>
              <w:p w14:paraId="2784D3B1">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4,396,642.54</w:t>
                </w:r>
              </w:p>
            </w:tc>
            <w:tc>
              <w:tcPr>
                <w:tcW w:w="1388" w:type="dxa"/>
                <w:tcBorders>
                  <w:top w:val="single" w:color="auto" w:sz="2" w:space="0"/>
                  <w:left w:val="single" w:color="auto" w:sz="2" w:space="0"/>
                  <w:bottom w:val="single" w:color="auto" w:sz="2" w:space="0"/>
                  <w:right w:val="single" w:color="auto" w:sz="2" w:space="0"/>
                </w:tcBorders>
                <w:vAlign w:val="center"/>
              </w:tcPr>
              <w:p w14:paraId="017ED185">
                <w:pPr>
                  <w:widowControl w:val="0"/>
                  <w:spacing w:line="273" w:lineRule="auto"/>
                  <w:jc w:val="right"/>
                  <w:rPr>
                    <w:rFonts w:asciiTheme="minorHAnsi" w:hAnsiTheme="minorHAnsi" w:cstheme="minorHAnsi"/>
                    <w:kern w:val="2"/>
                    <w:sz w:val="18"/>
                    <w:szCs w:val="18"/>
                  </w:rPr>
                </w:pPr>
              </w:p>
            </w:tc>
            <w:tc>
              <w:tcPr>
                <w:tcW w:w="1447" w:type="dxa"/>
                <w:tcBorders>
                  <w:top w:val="single" w:color="auto" w:sz="2" w:space="0"/>
                  <w:left w:val="single" w:color="auto" w:sz="2" w:space="0"/>
                  <w:bottom w:val="single" w:color="auto" w:sz="2" w:space="0"/>
                  <w:right w:val="single" w:color="auto" w:sz="2" w:space="0"/>
                </w:tcBorders>
                <w:vAlign w:val="center"/>
              </w:tcPr>
              <w:p w14:paraId="6250E4AA">
                <w:pPr>
                  <w:widowControl w:val="0"/>
                  <w:spacing w:line="273" w:lineRule="auto"/>
                  <w:jc w:val="right"/>
                  <w:rPr>
                    <w:rFonts w:asciiTheme="minorHAnsi" w:hAnsiTheme="minorHAnsi" w:cstheme="minorHAnsi"/>
                    <w:kern w:val="2"/>
                    <w:sz w:val="18"/>
                    <w:szCs w:val="18"/>
                  </w:rPr>
                </w:pPr>
              </w:p>
            </w:tc>
            <w:tc>
              <w:tcPr>
                <w:tcW w:w="1351" w:type="dxa"/>
                <w:tcBorders>
                  <w:top w:val="single" w:color="auto" w:sz="2" w:space="0"/>
                  <w:left w:val="single" w:color="auto" w:sz="2" w:space="0"/>
                  <w:bottom w:val="single" w:color="auto" w:sz="2" w:space="0"/>
                  <w:right w:val="single" w:color="auto" w:sz="2" w:space="0"/>
                </w:tcBorders>
                <w:vAlign w:val="center"/>
              </w:tcPr>
              <w:p w14:paraId="4F1BD4C5">
                <w:pPr>
                  <w:widowControl w:val="0"/>
                  <w:spacing w:line="273" w:lineRule="auto"/>
                  <w:jc w:val="right"/>
                  <w:rPr>
                    <w:rFonts w:asciiTheme="minorHAnsi" w:hAnsiTheme="minorHAnsi" w:cstheme="minorHAnsi"/>
                    <w:kern w:val="2"/>
                    <w:sz w:val="18"/>
                    <w:szCs w:val="18"/>
                  </w:rPr>
                </w:pPr>
              </w:p>
            </w:tc>
            <w:tc>
              <w:tcPr>
                <w:tcW w:w="1521" w:type="dxa"/>
                <w:tcBorders>
                  <w:top w:val="single" w:color="auto" w:sz="2" w:space="0"/>
                  <w:left w:val="single" w:color="auto" w:sz="2" w:space="0"/>
                  <w:bottom w:val="single" w:color="auto" w:sz="2" w:space="0"/>
                  <w:right w:val="nil"/>
                </w:tcBorders>
                <w:vAlign w:val="center"/>
              </w:tcPr>
              <w:p w14:paraId="090F7D11">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4,396,642.54</w:t>
                </w:r>
              </w:p>
            </w:tc>
          </w:tr>
          <w:tr w14:paraId="263535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2" w:space="0"/>
                  <w:right w:val="single" w:color="auto" w:sz="2" w:space="0"/>
                </w:tcBorders>
                <w:vAlign w:val="center"/>
              </w:tcPr>
              <w:p w14:paraId="1DA06121">
                <w:pPr>
                  <w:widowControl w:val="0"/>
                  <w:jc w:val="both"/>
                  <w:rPr>
                    <w:kern w:val="2"/>
                    <w:sz w:val="18"/>
                    <w:szCs w:val="18"/>
                  </w:rPr>
                </w:pPr>
                <w:r>
                  <w:rPr>
                    <w:rFonts w:hint="eastAsia" w:ascii="宋体" w:hAnsi="宋体"/>
                    <w:kern w:val="2"/>
                    <w:sz w:val="18"/>
                    <w:szCs w:val="18"/>
                  </w:rPr>
                  <w:t>长期借款</w:t>
                </w:r>
              </w:p>
            </w:tc>
            <w:tc>
              <w:tcPr>
                <w:tcW w:w="1427" w:type="dxa"/>
                <w:tcBorders>
                  <w:top w:val="single" w:color="auto" w:sz="2" w:space="0"/>
                  <w:left w:val="single" w:color="auto" w:sz="2" w:space="0"/>
                  <w:bottom w:val="single" w:color="auto" w:sz="2" w:space="0"/>
                  <w:right w:val="single" w:color="auto" w:sz="2" w:space="0"/>
                </w:tcBorders>
                <w:vAlign w:val="center"/>
              </w:tcPr>
              <w:p w14:paraId="205FC701">
                <w:pPr>
                  <w:widowControl w:val="0"/>
                  <w:spacing w:line="273" w:lineRule="auto"/>
                  <w:jc w:val="right"/>
                  <w:rPr>
                    <w:rFonts w:asciiTheme="minorHAnsi" w:hAnsiTheme="minorHAnsi" w:cstheme="minorHAnsi"/>
                    <w:kern w:val="2"/>
                    <w:sz w:val="18"/>
                    <w:szCs w:val="18"/>
                  </w:rPr>
                </w:pPr>
              </w:p>
            </w:tc>
            <w:tc>
              <w:tcPr>
                <w:tcW w:w="1388" w:type="dxa"/>
                <w:tcBorders>
                  <w:top w:val="single" w:color="auto" w:sz="2" w:space="0"/>
                  <w:left w:val="single" w:color="auto" w:sz="2" w:space="0"/>
                  <w:bottom w:val="single" w:color="auto" w:sz="2" w:space="0"/>
                  <w:right w:val="single" w:color="auto" w:sz="2" w:space="0"/>
                </w:tcBorders>
                <w:vAlign w:val="center"/>
              </w:tcPr>
              <w:p w14:paraId="69766627">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97,500,000.00</w:t>
                </w:r>
              </w:p>
            </w:tc>
            <w:tc>
              <w:tcPr>
                <w:tcW w:w="1447" w:type="dxa"/>
                <w:tcBorders>
                  <w:top w:val="single" w:color="auto" w:sz="2" w:space="0"/>
                  <w:left w:val="single" w:color="auto" w:sz="2" w:space="0"/>
                  <w:bottom w:val="single" w:color="auto" w:sz="2" w:space="0"/>
                  <w:right w:val="single" w:color="auto" w:sz="2" w:space="0"/>
                </w:tcBorders>
                <w:vAlign w:val="center"/>
              </w:tcPr>
              <w:p w14:paraId="058B3E66">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155,990,000.00</w:t>
                </w:r>
              </w:p>
            </w:tc>
            <w:tc>
              <w:tcPr>
                <w:tcW w:w="1351" w:type="dxa"/>
                <w:tcBorders>
                  <w:top w:val="single" w:color="auto" w:sz="2" w:space="0"/>
                  <w:left w:val="single" w:color="auto" w:sz="2" w:space="0"/>
                  <w:bottom w:val="single" w:color="auto" w:sz="2" w:space="0"/>
                  <w:right w:val="single" w:color="auto" w:sz="2" w:space="0"/>
                </w:tcBorders>
                <w:vAlign w:val="center"/>
              </w:tcPr>
              <w:p w14:paraId="4323E41C">
                <w:pPr>
                  <w:widowControl w:val="0"/>
                  <w:spacing w:line="273" w:lineRule="auto"/>
                  <w:jc w:val="right"/>
                  <w:rPr>
                    <w:rFonts w:asciiTheme="minorHAnsi" w:hAnsiTheme="minorHAnsi" w:cstheme="minorHAnsi"/>
                    <w:kern w:val="2"/>
                    <w:sz w:val="18"/>
                    <w:szCs w:val="18"/>
                  </w:rPr>
                </w:pPr>
              </w:p>
            </w:tc>
            <w:tc>
              <w:tcPr>
                <w:tcW w:w="1521" w:type="dxa"/>
                <w:tcBorders>
                  <w:top w:val="single" w:color="auto" w:sz="2" w:space="0"/>
                  <w:left w:val="single" w:color="auto" w:sz="2" w:space="0"/>
                  <w:bottom w:val="single" w:color="auto" w:sz="2" w:space="0"/>
                  <w:right w:val="nil"/>
                </w:tcBorders>
                <w:vAlign w:val="center"/>
              </w:tcPr>
              <w:p w14:paraId="224B75DC">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253,490,000.00</w:t>
                </w:r>
              </w:p>
            </w:tc>
          </w:tr>
          <w:tr w14:paraId="015D31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2" w:space="0"/>
                  <w:right w:val="single" w:color="auto" w:sz="2" w:space="0"/>
                </w:tcBorders>
                <w:vAlign w:val="center"/>
              </w:tcPr>
              <w:p w14:paraId="40756390">
                <w:pPr>
                  <w:widowControl w:val="0"/>
                  <w:jc w:val="both"/>
                  <w:rPr>
                    <w:kern w:val="2"/>
                    <w:sz w:val="18"/>
                    <w:szCs w:val="18"/>
                  </w:rPr>
                </w:pPr>
                <w:r>
                  <w:rPr>
                    <w:rFonts w:hint="eastAsia" w:ascii="宋体" w:hAnsi="宋体"/>
                    <w:kern w:val="2"/>
                    <w:sz w:val="18"/>
                    <w:szCs w:val="18"/>
                  </w:rPr>
                  <w:t>租赁负债</w:t>
                </w:r>
              </w:p>
            </w:tc>
            <w:tc>
              <w:tcPr>
                <w:tcW w:w="1427" w:type="dxa"/>
                <w:tcBorders>
                  <w:top w:val="single" w:color="auto" w:sz="2" w:space="0"/>
                  <w:left w:val="single" w:color="auto" w:sz="2" w:space="0"/>
                  <w:bottom w:val="single" w:color="auto" w:sz="2" w:space="0"/>
                  <w:right w:val="single" w:color="auto" w:sz="2" w:space="0"/>
                </w:tcBorders>
                <w:vAlign w:val="center"/>
              </w:tcPr>
              <w:p w14:paraId="7DD5DA19">
                <w:pPr>
                  <w:widowControl w:val="0"/>
                  <w:spacing w:line="273" w:lineRule="auto"/>
                  <w:jc w:val="right"/>
                  <w:rPr>
                    <w:rFonts w:asciiTheme="minorHAnsi" w:hAnsiTheme="minorHAnsi" w:cstheme="minorHAnsi"/>
                    <w:kern w:val="2"/>
                    <w:sz w:val="18"/>
                    <w:szCs w:val="18"/>
                  </w:rPr>
                </w:pPr>
              </w:p>
            </w:tc>
            <w:tc>
              <w:tcPr>
                <w:tcW w:w="1388" w:type="dxa"/>
                <w:tcBorders>
                  <w:top w:val="single" w:color="auto" w:sz="2" w:space="0"/>
                  <w:left w:val="single" w:color="auto" w:sz="2" w:space="0"/>
                  <w:bottom w:val="single" w:color="auto" w:sz="2" w:space="0"/>
                  <w:right w:val="single" w:color="auto" w:sz="2" w:space="0"/>
                </w:tcBorders>
                <w:vAlign w:val="center"/>
              </w:tcPr>
              <w:p w14:paraId="4E536D3D">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5,007,448.27</w:t>
                </w:r>
              </w:p>
            </w:tc>
            <w:tc>
              <w:tcPr>
                <w:tcW w:w="1447" w:type="dxa"/>
                <w:tcBorders>
                  <w:top w:val="single" w:color="auto" w:sz="2" w:space="0"/>
                  <w:left w:val="single" w:color="auto" w:sz="2" w:space="0"/>
                  <w:bottom w:val="single" w:color="auto" w:sz="2" w:space="0"/>
                  <w:right w:val="single" w:color="auto" w:sz="2" w:space="0"/>
                </w:tcBorders>
                <w:vAlign w:val="center"/>
              </w:tcPr>
              <w:p w14:paraId="29F69DCB">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4,907,628.00</w:t>
                </w:r>
              </w:p>
            </w:tc>
            <w:tc>
              <w:tcPr>
                <w:tcW w:w="1351" w:type="dxa"/>
                <w:tcBorders>
                  <w:top w:val="single" w:color="auto" w:sz="2" w:space="0"/>
                  <w:left w:val="single" w:color="auto" w:sz="2" w:space="0"/>
                  <w:bottom w:val="single" w:color="auto" w:sz="2" w:space="0"/>
                  <w:right w:val="single" w:color="auto" w:sz="2" w:space="0"/>
                </w:tcBorders>
                <w:vAlign w:val="center"/>
              </w:tcPr>
              <w:p w14:paraId="4D79D257">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11,451,132.00</w:t>
                </w:r>
              </w:p>
            </w:tc>
            <w:tc>
              <w:tcPr>
                <w:tcW w:w="1521" w:type="dxa"/>
                <w:tcBorders>
                  <w:top w:val="single" w:color="auto" w:sz="2" w:space="0"/>
                  <w:left w:val="single" w:color="auto" w:sz="2" w:space="0"/>
                  <w:bottom w:val="single" w:color="auto" w:sz="2" w:space="0"/>
                  <w:right w:val="nil"/>
                </w:tcBorders>
                <w:vAlign w:val="center"/>
              </w:tcPr>
              <w:p w14:paraId="27D556A9">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21,366,208.27</w:t>
                </w:r>
              </w:p>
            </w:tc>
          </w:tr>
          <w:tr w14:paraId="1924B6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92" w:type="dxa"/>
                <w:tcBorders>
                  <w:top w:val="single" w:color="auto" w:sz="2" w:space="0"/>
                  <w:left w:val="nil"/>
                  <w:bottom w:val="single" w:color="auto" w:sz="12" w:space="0"/>
                  <w:right w:val="single" w:color="auto" w:sz="2" w:space="0"/>
                </w:tcBorders>
                <w:vAlign w:val="center"/>
              </w:tcPr>
              <w:p w14:paraId="5520E29A">
                <w:pPr>
                  <w:widowControl w:val="0"/>
                  <w:jc w:val="center"/>
                  <w:rPr>
                    <w:kern w:val="2"/>
                    <w:sz w:val="18"/>
                    <w:szCs w:val="18"/>
                  </w:rPr>
                </w:pPr>
                <w:r>
                  <w:rPr>
                    <w:rFonts w:hint="eastAsia" w:ascii="宋体" w:hAnsi="宋体"/>
                    <w:kern w:val="2"/>
                    <w:sz w:val="18"/>
                    <w:szCs w:val="18"/>
                  </w:rPr>
                  <w:t>合计</w:t>
                </w:r>
              </w:p>
            </w:tc>
            <w:tc>
              <w:tcPr>
                <w:tcW w:w="1427" w:type="dxa"/>
                <w:tcBorders>
                  <w:top w:val="single" w:color="auto" w:sz="2" w:space="0"/>
                  <w:left w:val="single" w:color="auto" w:sz="2" w:space="0"/>
                  <w:bottom w:val="single" w:color="auto" w:sz="12" w:space="0"/>
                  <w:right w:val="single" w:color="auto" w:sz="2" w:space="0"/>
                </w:tcBorders>
                <w:vAlign w:val="center"/>
              </w:tcPr>
              <w:p w14:paraId="34D232CB">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572,175,321.71</w:t>
                </w:r>
              </w:p>
            </w:tc>
            <w:tc>
              <w:tcPr>
                <w:tcW w:w="1388" w:type="dxa"/>
                <w:tcBorders>
                  <w:top w:val="single" w:color="auto" w:sz="2" w:space="0"/>
                  <w:left w:val="single" w:color="auto" w:sz="2" w:space="0"/>
                  <w:bottom w:val="single" w:color="auto" w:sz="12" w:space="0"/>
                  <w:right w:val="single" w:color="auto" w:sz="2" w:space="0"/>
                </w:tcBorders>
                <w:vAlign w:val="center"/>
              </w:tcPr>
              <w:p w14:paraId="432B2B2F">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113,873,278.78</w:t>
                </w:r>
              </w:p>
            </w:tc>
            <w:tc>
              <w:tcPr>
                <w:tcW w:w="1447" w:type="dxa"/>
                <w:tcBorders>
                  <w:top w:val="single" w:color="auto" w:sz="2" w:space="0"/>
                  <w:left w:val="single" w:color="auto" w:sz="2" w:space="0"/>
                  <w:bottom w:val="single" w:color="auto" w:sz="12" w:space="0"/>
                  <w:right w:val="single" w:color="auto" w:sz="2" w:space="0"/>
                </w:tcBorders>
                <w:vAlign w:val="center"/>
              </w:tcPr>
              <w:p w14:paraId="360DFD17">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162,091,393.60</w:t>
                </w:r>
              </w:p>
            </w:tc>
            <w:tc>
              <w:tcPr>
                <w:tcW w:w="1351" w:type="dxa"/>
                <w:tcBorders>
                  <w:top w:val="single" w:color="auto" w:sz="2" w:space="0"/>
                  <w:left w:val="single" w:color="auto" w:sz="2" w:space="0"/>
                  <w:bottom w:val="single" w:color="auto" w:sz="12" w:space="0"/>
                  <w:right w:val="single" w:color="auto" w:sz="2" w:space="0"/>
                </w:tcBorders>
                <w:vAlign w:val="center"/>
              </w:tcPr>
              <w:p w14:paraId="3804613A">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18,342,415.25</w:t>
                </w:r>
              </w:p>
            </w:tc>
            <w:tc>
              <w:tcPr>
                <w:tcW w:w="1521" w:type="dxa"/>
                <w:tcBorders>
                  <w:top w:val="single" w:color="auto" w:sz="2" w:space="0"/>
                  <w:left w:val="single" w:color="auto" w:sz="2" w:space="0"/>
                  <w:bottom w:val="single" w:color="auto" w:sz="12" w:space="0"/>
                  <w:right w:val="nil"/>
                </w:tcBorders>
                <w:vAlign w:val="center"/>
              </w:tcPr>
              <w:p w14:paraId="5DE3DA46">
                <w:pPr>
                  <w:widowControl w:val="0"/>
                  <w:spacing w:line="273" w:lineRule="auto"/>
                  <w:jc w:val="right"/>
                  <w:rPr>
                    <w:rFonts w:asciiTheme="minorHAnsi" w:hAnsiTheme="minorHAnsi" w:cstheme="minorHAnsi"/>
                    <w:kern w:val="2"/>
                    <w:sz w:val="18"/>
                    <w:szCs w:val="18"/>
                  </w:rPr>
                </w:pPr>
                <w:r>
                  <w:rPr>
                    <w:rFonts w:asciiTheme="minorHAnsi" w:hAnsiTheme="minorHAnsi" w:cstheme="minorHAnsi"/>
                    <w:kern w:val="2"/>
                    <w:sz w:val="18"/>
                    <w:szCs w:val="18"/>
                  </w:rPr>
                  <w:t>866,482,409.34</w:t>
                </w:r>
              </w:p>
            </w:tc>
          </w:tr>
        </w:tbl>
        <w:p w14:paraId="7448CD42">
          <w:pPr>
            <w:rPr>
              <w:b/>
            </w:rPr>
          </w:pPr>
        </w:p>
      </w:sdtContent>
    </w:sdt>
    <w:p w14:paraId="57A406A5">
      <w:pPr>
        <w:pStyle w:val="48"/>
      </w:pPr>
    </w:p>
    <w:p w14:paraId="42FEC12E">
      <w:pPr>
        <w:pStyle w:val="4"/>
        <w:numPr>
          <w:ilvl w:val="0"/>
          <w:numId w:val="111"/>
        </w:numPr>
      </w:pPr>
      <w:r>
        <w:rPr>
          <w:rFonts w:hint="eastAsia"/>
        </w:rPr>
        <w:t>套期</w:t>
      </w:r>
    </w:p>
    <w:p w14:paraId="08049B8A">
      <w:pPr>
        <w:pStyle w:val="5"/>
        <w:numPr>
          <w:ilvl w:val="0"/>
          <w:numId w:val="112"/>
        </w:numPr>
        <w:ind w:left="0" w:firstLine="0"/>
      </w:pPr>
      <w:r>
        <w:rPr>
          <w:rFonts w:hint="eastAsia"/>
        </w:rPr>
        <w:t>公司开展套期业务进行风险管理</w:t>
      </w:r>
    </w:p>
    <w:sdt>
      <w:sdtPr>
        <w:alias w:val="是否适用：公司开展套期业务进行风险管理情况[双击切换]"/>
        <w:tag w:val="_GBC_71d11701ff3e412981460bc27e88a1b5"/>
        <w:id w:val="839576786"/>
        <w:placeholder>
          <w:docPart w:val="GBC22222222222222222222222222222"/>
        </w:placeholder>
      </w:sdtPr>
      <w:sdtContent>
        <w:p w14:paraId="31397B5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164C2A5">
      <w:pPr>
        <w:pStyle w:val="48"/>
      </w:pPr>
    </w:p>
    <w:p w14:paraId="40C397C5">
      <w:pPr>
        <w:pStyle w:val="48"/>
      </w:pPr>
      <w:r>
        <w:rPr>
          <w:rFonts w:hint="eastAsia"/>
        </w:rPr>
        <w:t>其他说明：</w:t>
      </w:r>
    </w:p>
    <w:sdt>
      <w:sdtPr>
        <w:alias w:val="是否适用：公司开展套期业务进行风险管理的其他说明[双击切换]"/>
        <w:tag w:val="_GBC_bc39ee99cbfc4e469ac321509f461420"/>
        <w:id w:val="-119917454"/>
        <w:placeholder>
          <w:docPart w:val="GBC22222222222222222222222222222"/>
        </w:placeholder>
      </w:sdtPr>
      <w:sdtContent>
        <w:p w14:paraId="199EE11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A3223B1">
      <w:pPr>
        <w:rPr>
          <w:color w:val="808080"/>
        </w:rPr>
      </w:pPr>
    </w:p>
    <w:p w14:paraId="765EBFC4">
      <w:pPr>
        <w:pStyle w:val="5"/>
        <w:numPr>
          <w:ilvl w:val="0"/>
          <w:numId w:val="112"/>
        </w:numPr>
        <w:ind w:left="0" w:firstLine="0"/>
      </w:pPr>
      <w:r>
        <w:rPr>
          <w:rFonts w:hint="eastAsia"/>
        </w:rPr>
        <w:t>公司开展符合条件套期业务并应用套期会计</w:t>
      </w:r>
    </w:p>
    <w:sdt>
      <w:sdtPr>
        <w:alias w:val="是否适用：公司开展符合条件套期业务并应用套期会计情况[双击切换]"/>
        <w:tag w:val="_GBC_346f997d46464bdda5750bdd43495d02"/>
        <w:id w:val="-26879387"/>
        <w:placeholder>
          <w:docPart w:val="GBC22222222222222222222222222222"/>
        </w:placeholder>
      </w:sdtPr>
      <w:sdtContent>
        <w:p w14:paraId="6846E3D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E65668">
      <w:pPr>
        <w:pStyle w:val="48"/>
        <w:rPr>
          <w:color w:val="808080"/>
        </w:rPr>
      </w:pPr>
    </w:p>
    <w:p w14:paraId="050EF9AC">
      <w:pPr>
        <w:pStyle w:val="48"/>
      </w:pPr>
      <w:r>
        <w:rPr>
          <w:rFonts w:hint="eastAsia"/>
        </w:rPr>
        <w:t>其他说明：</w:t>
      </w:r>
    </w:p>
    <w:sdt>
      <w:sdtPr>
        <w:alias w:val="是否适用：公司开展符合条件套期业务并应用套期会计情况的其他说明[双击切换]"/>
        <w:tag w:val="_GBC_7f3675a931be4fe0b3ba0ed19f75108a"/>
        <w:id w:val="1128898821"/>
        <w:placeholder>
          <w:docPart w:val="GBC22222222222222222222222222222"/>
        </w:placeholder>
      </w:sdtPr>
      <w:sdtContent>
        <w:p w14:paraId="6BE0D4D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9B9B2AB">
      <w:pPr>
        <w:rPr>
          <w:color w:val="808080"/>
        </w:rPr>
      </w:pPr>
    </w:p>
    <w:p w14:paraId="1247C5CF">
      <w:pPr>
        <w:pStyle w:val="5"/>
        <w:numPr>
          <w:ilvl w:val="0"/>
          <w:numId w:val="112"/>
        </w:numPr>
        <w:ind w:left="0" w:firstLine="0"/>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294714741"/>
        <w:placeholder>
          <w:docPart w:val="GBC22222222222222222222222222222"/>
        </w:placeholder>
      </w:sdtPr>
      <w:sdtContent>
        <w:p w14:paraId="760E8FE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283F83A">
      <w:pPr>
        <w:pStyle w:val="48"/>
      </w:pPr>
    </w:p>
    <w:p w14:paraId="3CFB4396">
      <w:pPr>
        <w:pStyle w:val="48"/>
      </w:pPr>
      <w:r>
        <w:rPr>
          <w:rFonts w:hint="eastAsia"/>
        </w:rPr>
        <w:t>其他说明：</w:t>
      </w:r>
    </w:p>
    <w:sdt>
      <w:sdtPr>
        <w:alias w:val="是否适用：公司开展套期业务进行风险管理、预期能实现风险管理目标但未应用套期会计的其他说明[双击切换]"/>
        <w:tag w:val="_GBC_7e60464ee1bf40b8b1d2fa0c0e7df1e4"/>
        <w:id w:val="-925880826"/>
        <w:placeholder>
          <w:docPart w:val="GBC22222222222222222222222222222"/>
        </w:placeholder>
      </w:sdtPr>
      <w:sdtContent>
        <w:p w14:paraId="5852FA5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006439">
      <w:pPr>
        <w:rPr>
          <w:color w:val="808080"/>
        </w:rPr>
      </w:pPr>
    </w:p>
    <w:p w14:paraId="5992C598">
      <w:pPr>
        <w:pStyle w:val="4"/>
        <w:numPr>
          <w:ilvl w:val="0"/>
          <w:numId w:val="111"/>
        </w:numPr>
      </w:pPr>
      <w:r>
        <w:rPr>
          <w:rFonts w:hint="eastAsia"/>
        </w:rPr>
        <w:t>金融资产转移</w:t>
      </w:r>
    </w:p>
    <w:p w14:paraId="780A76D4">
      <w:pPr>
        <w:pStyle w:val="5"/>
        <w:numPr>
          <w:ilvl w:val="0"/>
          <w:numId w:val="113"/>
        </w:numPr>
        <w:rPr>
          <w:rFonts w:ascii="宋体" w:hAnsi="宋体" w:eastAsia="宋体" w:cs="宋体"/>
          <w:kern w:val="0"/>
          <w:szCs w:val="24"/>
        </w:rPr>
      </w:pPr>
      <w:bookmarkStart w:id="369" w:name="_Hlk153550670"/>
      <w:r>
        <w:rPr>
          <w:rFonts w:hint="eastAsia" w:ascii="宋体" w:hAnsi="宋体" w:eastAsia="宋体" w:cs="宋体"/>
          <w:kern w:val="0"/>
          <w:szCs w:val="24"/>
        </w:rPr>
        <w:t>转移方式分类</w:t>
      </w:r>
    </w:p>
    <w:sdt>
      <w:sdtPr>
        <w:alias w:val="是否适用：转移方式分类[双击切换]"/>
        <w:tag w:val="_GBC_ff6f967e629c4a6b934da2a3f33a107d"/>
        <w:id w:val="-1257515429"/>
        <w:placeholder>
          <w:docPart w:val="GBC22222222222222222222222222222"/>
        </w:placeholder>
      </w:sdtPr>
      <w:sdtContent>
        <w:p w14:paraId="66EC130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176BB04">
      <w:pPr>
        <w:jc w:val="right"/>
      </w:pPr>
      <w:r>
        <w:rPr>
          <w:rFonts w:hint="eastAsia"/>
        </w:rPr>
        <w:t>单位：</w:t>
      </w:r>
      <w:sdt>
        <w:sdtPr>
          <w:rPr>
            <w:rFonts w:hint="eastAsia"/>
          </w:rPr>
          <w:alias w:val="单位：转移方式分类"/>
          <w:tag w:val="_GBC_d7f95dcb2d6f4b869c97511f1a37f267"/>
          <w:id w:val="-106656940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转移方式分类"/>
          <w:tag w:val="_GBC_1bb0abcd190b4c65b19aad92b022743d"/>
          <w:id w:val="6220433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t xml:space="preserve"> </w:t>
      </w:r>
    </w:p>
    <w:bookmarkEnd w:id="369"/>
    <w:tbl>
      <w:tblPr>
        <w:tblStyle w:val="2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18"/>
        <w:gridCol w:w="1559"/>
        <w:gridCol w:w="1559"/>
        <w:gridCol w:w="1424"/>
        <w:gridCol w:w="1808"/>
      </w:tblGrid>
      <w:tr w14:paraId="7F07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sdt>
          <w:sdtPr>
            <w:tag w:val="_PLD_ff3003becb624d2880dcbd2bb96855c6"/>
            <w:id w:val="538240333"/>
          </w:sdtPr>
          <w:sdtContent>
            <w:tc>
              <w:tcPr>
                <w:tcW w:w="1271" w:type="dxa"/>
                <w:vMerge w:val="restart"/>
                <w:vAlign w:val="center"/>
              </w:tcPr>
              <w:p w14:paraId="6C52E73E">
                <w:pPr>
                  <w:widowControl w:val="0"/>
                  <w:jc w:val="center"/>
                </w:pPr>
                <w:r>
                  <w:rPr>
                    <w:rFonts w:hint="eastAsia"/>
                  </w:rPr>
                  <w:t>转移方式</w:t>
                </w:r>
              </w:p>
            </w:tc>
          </w:sdtContent>
        </w:sdt>
        <w:sdt>
          <w:sdtPr>
            <w:tag w:val="_PLD_938495e626604829a230c63b86a0377b"/>
            <w:id w:val="897254650"/>
          </w:sdtPr>
          <w:sdtContent>
            <w:tc>
              <w:tcPr>
                <w:tcW w:w="1418" w:type="dxa"/>
                <w:vMerge w:val="restart"/>
                <w:vAlign w:val="center"/>
              </w:tcPr>
              <w:p w14:paraId="3EEA9732">
                <w:pPr>
                  <w:widowControl w:val="0"/>
                  <w:jc w:val="center"/>
                </w:pPr>
                <w:r>
                  <w:rPr>
                    <w:rFonts w:hint="eastAsia"/>
                  </w:rPr>
                  <w:t>已转移金融资产性质</w:t>
                </w:r>
              </w:p>
            </w:tc>
          </w:sdtContent>
        </w:sdt>
        <w:sdt>
          <w:sdtPr>
            <w:tag w:val="_PLD_68431c7b6df74a3ca59b2bb7fad11533"/>
            <w:id w:val="837814568"/>
          </w:sdtPr>
          <w:sdtContent>
            <w:tc>
              <w:tcPr>
                <w:tcW w:w="1559" w:type="dxa"/>
                <w:vMerge w:val="restart"/>
                <w:vAlign w:val="center"/>
              </w:tcPr>
              <w:p w14:paraId="4069FF46">
                <w:pPr>
                  <w:widowControl w:val="0"/>
                  <w:jc w:val="center"/>
                </w:pPr>
                <w:r>
                  <w:rPr>
                    <w:rFonts w:hint="eastAsia"/>
                  </w:rPr>
                  <w:t>已转移金融资产金额</w:t>
                </w:r>
              </w:p>
            </w:tc>
          </w:sdtContent>
        </w:sdt>
        <w:sdt>
          <w:sdtPr>
            <w:tag w:val="_PLD_df7668e937d3453eae83b78f24ccfbd1"/>
            <w:id w:val="-2015373484"/>
          </w:sdtPr>
          <w:sdtContent>
            <w:tc>
              <w:tcPr>
                <w:tcW w:w="2983" w:type="dxa"/>
                <w:gridSpan w:val="2"/>
                <w:vAlign w:val="center"/>
              </w:tcPr>
              <w:p w14:paraId="413B8F68">
                <w:pPr>
                  <w:widowControl w:val="0"/>
                  <w:jc w:val="center"/>
                </w:pPr>
                <w:r>
                  <w:rPr>
                    <w:rFonts w:hint="eastAsia"/>
                  </w:rPr>
                  <w:t>终止确认情况</w:t>
                </w:r>
              </w:p>
            </w:tc>
          </w:sdtContent>
        </w:sdt>
        <w:sdt>
          <w:sdtPr>
            <w:tag w:val="_PLD_f9ebb1aaafd14c11b5dd2ad217a187b3"/>
            <w:id w:val="252795954"/>
          </w:sdtPr>
          <w:sdtContent>
            <w:tc>
              <w:tcPr>
                <w:tcW w:w="1808" w:type="dxa"/>
                <w:vMerge w:val="restart"/>
                <w:vAlign w:val="center"/>
              </w:tcPr>
              <w:p w14:paraId="400E1DDF">
                <w:pPr>
                  <w:widowControl w:val="0"/>
                  <w:jc w:val="center"/>
                </w:pPr>
                <w:r>
                  <w:rPr>
                    <w:rFonts w:hint="eastAsia"/>
                  </w:rPr>
                  <w:t>终止确认情况的判断依据</w:t>
                </w:r>
              </w:p>
            </w:tc>
          </w:sdtContent>
        </w:sdt>
      </w:tr>
      <w:tr w14:paraId="226D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271" w:type="dxa"/>
            <w:vMerge w:val="continue"/>
            <w:vAlign w:val="center"/>
          </w:tcPr>
          <w:p w14:paraId="5AF5A768">
            <w:pPr>
              <w:widowControl w:val="0"/>
              <w:jc w:val="center"/>
            </w:pPr>
          </w:p>
        </w:tc>
        <w:tc>
          <w:tcPr>
            <w:tcW w:w="1418" w:type="dxa"/>
            <w:vMerge w:val="continue"/>
            <w:vAlign w:val="center"/>
          </w:tcPr>
          <w:p w14:paraId="55C0778C">
            <w:pPr>
              <w:widowControl w:val="0"/>
              <w:jc w:val="center"/>
            </w:pPr>
          </w:p>
        </w:tc>
        <w:tc>
          <w:tcPr>
            <w:tcW w:w="1559" w:type="dxa"/>
            <w:vMerge w:val="continue"/>
            <w:vAlign w:val="center"/>
          </w:tcPr>
          <w:p w14:paraId="55ED2B86">
            <w:pPr>
              <w:widowControl w:val="0"/>
              <w:jc w:val="center"/>
            </w:pPr>
          </w:p>
        </w:tc>
        <w:tc>
          <w:tcPr>
            <w:tcW w:w="1559" w:type="dxa"/>
            <w:vAlign w:val="center"/>
          </w:tcPr>
          <w:p w14:paraId="1DC899C8">
            <w:pPr>
              <w:widowControl w:val="0"/>
              <w:jc w:val="center"/>
            </w:pPr>
            <w:r>
              <w:t>终止确认</w:t>
            </w:r>
          </w:p>
        </w:tc>
        <w:tc>
          <w:tcPr>
            <w:tcW w:w="1424" w:type="dxa"/>
            <w:vAlign w:val="center"/>
          </w:tcPr>
          <w:p w14:paraId="62335C41">
            <w:pPr>
              <w:widowControl w:val="0"/>
              <w:jc w:val="center"/>
            </w:pPr>
            <w:r>
              <w:t>未终止确认</w:t>
            </w:r>
          </w:p>
        </w:tc>
        <w:tc>
          <w:tcPr>
            <w:tcW w:w="1808" w:type="dxa"/>
            <w:vMerge w:val="continue"/>
            <w:vAlign w:val="center"/>
          </w:tcPr>
          <w:p w14:paraId="73371B56">
            <w:pPr>
              <w:widowControl w:val="0"/>
              <w:jc w:val="center"/>
            </w:pPr>
          </w:p>
        </w:tc>
      </w:tr>
      <w:tr w14:paraId="74C0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2359057F">
            <w:pPr>
              <w:pStyle w:val="48"/>
            </w:pPr>
            <w:r>
              <w:t>背书</w:t>
            </w:r>
          </w:p>
        </w:tc>
        <w:tc>
          <w:tcPr>
            <w:tcW w:w="1418" w:type="dxa"/>
            <w:vAlign w:val="center"/>
          </w:tcPr>
          <w:p w14:paraId="74730A2B">
            <w:pPr>
              <w:pStyle w:val="48"/>
            </w:pPr>
            <w:r>
              <w:t>应收票据</w:t>
            </w:r>
          </w:p>
        </w:tc>
        <w:tc>
          <w:tcPr>
            <w:tcW w:w="1559" w:type="dxa"/>
            <w:vAlign w:val="center"/>
          </w:tcPr>
          <w:p w14:paraId="62E1EC02">
            <w:pPr>
              <w:widowControl w:val="0"/>
              <w:jc w:val="right"/>
              <w:rPr>
                <w:rFonts w:asciiTheme="minorHAnsi" w:hAnsiTheme="minorHAnsi" w:cstheme="minorHAnsi"/>
              </w:rPr>
            </w:pPr>
            <w:r>
              <w:rPr>
                <w:rFonts w:asciiTheme="minorHAnsi" w:hAnsiTheme="minorHAnsi" w:cstheme="minorHAnsi"/>
              </w:rPr>
              <w:t>39,358,556.52</w:t>
            </w:r>
          </w:p>
        </w:tc>
        <w:tc>
          <w:tcPr>
            <w:tcW w:w="1559" w:type="dxa"/>
            <w:vAlign w:val="center"/>
          </w:tcPr>
          <w:p w14:paraId="02C96809">
            <w:pPr>
              <w:pStyle w:val="48"/>
              <w:jc w:val="right"/>
            </w:pPr>
            <w:r>
              <w:t>29,513,385.34</w:t>
            </w:r>
          </w:p>
        </w:tc>
        <w:tc>
          <w:tcPr>
            <w:tcW w:w="1424" w:type="dxa"/>
            <w:vAlign w:val="center"/>
          </w:tcPr>
          <w:p w14:paraId="263D3B40">
            <w:pPr>
              <w:pStyle w:val="48"/>
              <w:jc w:val="right"/>
            </w:pPr>
            <w:r>
              <w:t>9,845,171.18</w:t>
            </w:r>
          </w:p>
        </w:tc>
        <w:tc>
          <w:tcPr>
            <w:tcW w:w="1808" w:type="dxa"/>
            <w:vAlign w:val="center"/>
          </w:tcPr>
          <w:p w14:paraId="2CA7A732">
            <w:pPr>
              <w:pStyle w:val="48"/>
            </w:pPr>
            <w:r>
              <w:rPr>
                <w:rFonts w:hint="eastAsia"/>
              </w:rPr>
              <w:t>承兑银行信用等级较高</w:t>
            </w:r>
          </w:p>
        </w:tc>
      </w:tr>
      <w:tr w14:paraId="6720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79C18776">
            <w:pPr>
              <w:pStyle w:val="48"/>
            </w:pPr>
            <w:r>
              <w:t>贴现</w:t>
            </w:r>
          </w:p>
        </w:tc>
        <w:tc>
          <w:tcPr>
            <w:tcW w:w="1418" w:type="dxa"/>
            <w:vAlign w:val="center"/>
          </w:tcPr>
          <w:p w14:paraId="174DB8DA">
            <w:pPr>
              <w:pStyle w:val="48"/>
            </w:pPr>
            <w:r>
              <w:t>应收票据</w:t>
            </w:r>
          </w:p>
        </w:tc>
        <w:tc>
          <w:tcPr>
            <w:tcW w:w="1559" w:type="dxa"/>
            <w:vAlign w:val="center"/>
          </w:tcPr>
          <w:p w14:paraId="40DE42BE">
            <w:pPr>
              <w:widowControl w:val="0"/>
              <w:jc w:val="right"/>
              <w:rPr>
                <w:rFonts w:asciiTheme="minorHAnsi" w:hAnsiTheme="minorHAnsi" w:cstheme="minorHAnsi"/>
              </w:rPr>
            </w:pPr>
            <w:r>
              <w:rPr>
                <w:rFonts w:asciiTheme="minorHAnsi" w:hAnsiTheme="minorHAnsi" w:cstheme="minorHAnsi"/>
              </w:rPr>
              <w:t>28,148,844.02</w:t>
            </w:r>
          </w:p>
        </w:tc>
        <w:tc>
          <w:tcPr>
            <w:tcW w:w="1559" w:type="dxa"/>
            <w:vAlign w:val="center"/>
          </w:tcPr>
          <w:p w14:paraId="64CC0F62">
            <w:pPr>
              <w:pStyle w:val="48"/>
              <w:jc w:val="right"/>
            </w:pPr>
            <w:r>
              <w:t>28,148,844.02</w:t>
            </w:r>
          </w:p>
        </w:tc>
        <w:tc>
          <w:tcPr>
            <w:tcW w:w="1424" w:type="dxa"/>
            <w:vAlign w:val="center"/>
          </w:tcPr>
          <w:p w14:paraId="12B7E9F9">
            <w:pPr>
              <w:pStyle w:val="48"/>
              <w:jc w:val="right"/>
            </w:pPr>
          </w:p>
        </w:tc>
        <w:tc>
          <w:tcPr>
            <w:tcW w:w="1808" w:type="dxa"/>
            <w:vAlign w:val="center"/>
          </w:tcPr>
          <w:p w14:paraId="67341009">
            <w:pPr>
              <w:pStyle w:val="48"/>
            </w:pPr>
            <w:r>
              <w:rPr>
                <w:rFonts w:hint="eastAsia"/>
              </w:rPr>
              <w:t>承兑银行信用等级较高</w:t>
            </w:r>
          </w:p>
        </w:tc>
      </w:tr>
      <w:tr w14:paraId="2A61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678D6FD9">
            <w:pPr>
              <w:widowControl w:val="0"/>
              <w:spacing w:line="360" w:lineRule="auto"/>
              <w:jc w:val="center"/>
            </w:pPr>
            <w:r>
              <w:rPr>
                <w:rFonts w:hint="eastAsia"/>
              </w:rPr>
              <w:t>合计</w:t>
            </w:r>
          </w:p>
        </w:tc>
        <w:tc>
          <w:tcPr>
            <w:tcW w:w="1418" w:type="dxa"/>
            <w:vAlign w:val="center"/>
          </w:tcPr>
          <w:p w14:paraId="3E2A4F97">
            <w:pPr>
              <w:widowControl w:val="0"/>
              <w:spacing w:line="360" w:lineRule="auto"/>
              <w:jc w:val="center"/>
            </w:pPr>
            <w:r>
              <w:rPr>
                <w:rFonts w:hint="eastAsia"/>
              </w:rPr>
              <w:t>/</w:t>
            </w:r>
          </w:p>
        </w:tc>
        <w:tc>
          <w:tcPr>
            <w:tcW w:w="1559" w:type="dxa"/>
            <w:vAlign w:val="center"/>
          </w:tcPr>
          <w:p w14:paraId="542DBFB3">
            <w:pPr>
              <w:widowControl w:val="0"/>
              <w:spacing w:line="360" w:lineRule="auto"/>
              <w:jc w:val="right"/>
              <w:rPr>
                <w:rFonts w:asciiTheme="minorHAnsi" w:hAnsiTheme="minorHAnsi" w:cstheme="minorHAnsi"/>
              </w:rPr>
            </w:pPr>
            <w:r>
              <w:rPr>
                <w:rFonts w:asciiTheme="minorHAnsi" w:hAnsiTheme="minorHAnsi" w:cstheme="minorHAnsi"/>
              </w:rPr>
              <w:t>67,507,400.54</w:t>
            </w:r>
          </w:p>
        </w:tc>
        <w:tc>
          <w:tcPr>
            <w:tcW w:w="1559" w:type="dxa"/>
            <w:vAlign w:val="center"/>
          </w:tcPr>
          <w:p w14:paraId="36400C3E">
            <w:pPr>
              <w:widowControl w:val="0"/>
              <w:spacing w:line="360" w:lineRule="auto"/>
              <w:jc w:val="right"/>
              <w:rPr>
                <w:rFonts w:asciiTheme="minorHAnsi" w:hAnsiTheme="minorHAnsi" w:cstheme="minorHAnsi"/>
              </w:rPr>
            </w:pPr>
            <w:r>
              <w:rPr>
                <w:rFonts w:asciiTheme="minorHAnsi" w:hAnsiTheme="minorHAnsi" w:cstheme="minorHAnsi"/>
              </w:rPr>
              <w:t>57,662,229.36</w:t>
            </w:r>
          </w:p>
        </w:tc>
        <w:tc>
          <w:tcPr>
            <w:tcW w:w="1424" w:type="dxa"/>
            <w:vAlign w:val="center"/>
          </w:tcPr>
          <w:p w14:paraId="78B1DB56">
            <w:pPr>
              <w:widowControl w:val="0"/>
              <w:spacing w:line="360" w:lineRule="auto"/>
              <w:jc w:val="right"/>
              <w:rPr>
                <w:rFonts w:asciiTheme="minorHAnsi" w:hAnsiTheme="minorHAnsi" w:cstheme="minorHAnsi"/>
              </w:rPr>
            </w:pPr>
            <w:r>
              <w:rPr>
                <w:rFonts w:asciiTheme="minorHAnsi" w:hAnsiTheme="minorHAnsi" w:cstheme="minorHAnsi"/>
              </w:rPr>
              <w:t>9,845,171.18</w:t>
            </w:r>
          </w:p>
        </w:tc>
        <w:tc>
          <w:tcPr>
            <w:tcW w:w="1808" w:type="dxa"/>
            <w:vAlign w:val="center"/>
          </w:tcPr>
          <w:p w14:paraId="5B44E20C">
            <w:pPr>
              <w:widowControl w:val="0"/>
              <w:spacing w:line="360" w:lineRule="auto"/>
              <w:jc w:val="center"/>
            </w:pPr>
            <w:r>
              <w:rPr>
                <w:rFonts w:hint="eastAsia"/>
              </w:rPr>
              <w:t>/</w:t>
            </w:r>
          </w:p>
        </w:tc>
      </w:tr>
    </w:tbl>
    <w:p w14:paraId="644659AC"/>
    <w:p w14:paraId="7FB8CE32">
      <w:pPr>
        <w:pStyle w:val="5"/>
        <w:numPr>
          <w:ilvl w:val="0"/>
          <w:numId w:val="113"/>
        </w:numPr>
        <w:rPr>
          <w:rFonts w:ascii="宋体" w:hAnsi="宋体" w:eastAsia="宋体" w:cs="宋体"/>
          <w:kern w:val="0"/>
          <w:szCs w:val="24"/>
        </w:rPr>
      </w:pPr>
      <w:r>
        <w:rPr>
          <w:rFonts w:hint="eastAsia" w:ascii="宋体" w:hAnsi="宋体" w:eastAsia="宋体" w:cs="宋体"/>
          <w:kern w:val="0"/>
          <w:szCs w:val="24"/>
        </w:rPr>
        <w:t>因转移而终止确认的金融资产</w:t>
      </w:r>
    </w:p>
    <w:sdt>
      <w:sdtPr>
        <w:rPr>
          <w:rFonts w:hint="eastAsia"/>
        </w:rPr>
        <w:alias w:val="是否适用：因转移而终止确认的金融资产[双击切换]"/>
        <w:tag w:val="_GBC_9fb1347e32aa4376959cf58d1383255a"/>
        <w:id w:val="195050960"/>
        <w:placeholder>
          <w:docPart w:val="GBC22222222222222222222222222222"/>
        </w:placeholder>
      </w:sdtPr>
      <w:sdtEndPr>
        <w:rPr>
          <w:rFonts w:hint="eastAsia"/>
        </w:rPr>
      </w:sdtEndPr>
      <w:sdtContent>
        <w:p w14:paraId="3BCF1CCA">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E3BA39">
      <w:pPr>
        <w:jc w:val="right"/>
      </w:pPr>
      <w:r>
        <w:rPr>
          <w:rFonts w:hint="eastAsia"/>
        </w:rPr>
        <w:t>单位：</w:t>
      </w:r>
      <w:sdt>
        <w:sdtPr>
          <w:rPr>
            <w:rFonts w:hint="eastAsia"/>
          </w:rPr>
          <w:alias w:val="单位：因转移而终止确认的金融资产"/>
          <w:tag w:val="_GBC_8059d230524548a6b7bed8973dd8532f"/>
          <w:id w:val="-169962524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因转移而终止确认的金融资产"/>
          <w:tag w:val="_GBC_0713d79d8ee247e6b4353877127c1e7a"/>
          <w:id w:val="-2104945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20"/>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2"/>
        <w:gridCol w:w="2262"/>
        <w:gridCol w:w="2262"/>
        <w:gridCol w:w="2263"/>
      </w:tblGrid>
      <w:tr w14:paraId="7779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c28f0927edc43b082ba0c7b87104144"/>
            <w:id w:val="-340704797"/>
          </w:sdtPr>
          <w:sdtContent>
            <w:tc>
              <w:tcPr>
                <w:tcW w:w="2262" w:type="dxa"/>
                <w:vAlign w:val="center"/>
              </w:tcPr>
              <w:p w14:paraId="5A4BD085">
                <w:pPr>
                  <w:widowControl w:val="0"/>
                  <w:jc w:val="center"/>
                </w:pPr>
                <w:r>
                  <w:rPr>
                    <w:rFonts w:hint="eastAsia"/>
                  </w:rPr>
                  <w:t>项目</w:t>
                </w:r>
              </w:p>
            </w:tc>
          </w:sdtContent>
        </w:sdt>
        <w:sdt>
          <w:sdtPr>
            <w:tag w:val="_PLD_fcb00cafb60a48d382999f52fe23b2c1"/>
            <w:id w:val="54526289"/>
          </w:sdtPr>
          <w:sdtContent>
            <w:tc>
              <w:tcPr>
                <w:tcW w:w="2262" w:type="dxa"/>
                <w:vAlign w:val="center"/>
              </w:tcPr>
              <w:p w14:paraId="05AC4998">
                <w:pPr>
                  <w:widowControl w:val="0"/>
                  <w:jc w:val="center"/>
                </w:pPr>
                <w:r>
                  <w:rPr>
                    <w:rFonts w:hint="eastAsia"/>
                  </w:rPr>
                  <w:t>金融资产转移的方式</w:t>
                </w:r>
              </w:p>
            </w:tc>
          </w:sdtContent>
        </w:sdt>
        <w:sdt>
          <w:sdtPr>
            <w:tag w:val="_PLD_ca7b3a7c9470473997aafc49e87c8823"/>
            <w:id w:val="-1157382333"/>
          </w:sdtPr>
          <w:sdtContent>
            <w:tc>
              <w:tcPr>
                <w:tcW w:w="2262" w:type="dxa"/>
                <w:vAlign w:val="center"/>
              </w:tcPr>
              <w:p w14:paraId="7BFD6291">
                <w:pPr>
                  <w:widowControl w:val="0"/>
                  <w:jc w:val="center"/>
                </w:pPr>
                <w:r>
                  <w:rPr>
                    <w:rFonts w:hint="eastAsia"/>
                  </w:rPr>
                  <w:t>终止确认的金融资产金额</w:t>
                </w:r>
              </w:p>
            </w:tc>
          </w:sdtContent>
        </w:sdt>
        <w:sdt>
          <w:sdtPr>
            <w:tag w:val="_PLD_6fb64ca600c043958cc8af5bba680fbf"/>
            <w:id w:val="-513532270"/>
          </w:sdtPr>
          <w:sdtContent>
            <w:tc>
              <w:tcPr>
                <w:tcW w:w="2263" w:type="dxa"/>
                <w:vAlign w:val="center"/>
              </w:tcPr>
              <w:p w14:paraId="41CC8738">
                <w:pPr>
                  <w:widowControl w:val="0"/>
                  <w:jc w:val="center"/>
                </w:pPr>
                <w:r>
                  <w:rPr>
                    <w:rFonts w:hint="eastAsia"/>
                  </w:rPr>
                  <w:t>与终止确认相关的利得或损失</w:t>
                </w:r>
              </w:p>
            </w:tc>
          </w:sdtContent>
        </w:sdt>
      </w:tr>
      <w:tr w14:paraId="7040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2" w:type="dxa"/>
            <w:vAlign w:val="center"/>
          </w:tcPr>
          <w:p w14:paraId="7F52C124">
            <w:pPr>
              <w:pStyle w:val="48"/>
            </w:pPr>
            <w:r>
              <w:t>应收票据</w:t>
            </w:r>
          </w:p>
        </w:tc>
        <w:tc>
          <w:tcPr>
            <w:tcW w:w="2262" w:type="dxa"/>
            <w:vAlign w:val="center"/>
          </w:tcPr>
          <w:p w14:paraId="1A9C04C1">
            <w:pPr>
              <w:pStyle w:val="48"/>
            </w:pPr>
            <w:r>
              <w:t>背书</w:t>
            </w:r>
          </w:p>
        </w:tc>
        <w:tc>
          <w:tcPr>
            <w:tcW w:w="2262" w:type="dxa"/>
            <w:vAlign w:val="center"/>
          </w:tcPr>
          <w:p w14:paraId="0808E453">
            <w:pPr>
              <w:widowControl w:val="0"/>
              <w:jc w:val="right"/>
            </w:pPr>
            <w:r>
              <w:t>29,513,385.34</w:t>
            </w:r>
          </w:p>
        </w:tc>
        <w:tc>
          <w:tcPr>
            <w:tcW w:w="2263" w:type="dxa"/>
            <w:vAlign w:val="center"/>
          </w:tcPr>
          <w:p w14:paraId="44FCAA55">
            <w:pPr>
              <w:widowControl w:val="0"/>
              <w:jc w:val="right"/>
            </w:pPr>
          </w:p>
        </w:tc>
      </w:tr>
      <w:tr w14:paraId="5F3D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2" w:type="dxa"/>
            <w:vAlign w:val="center"/>
          </w:tcPr>
          <w:p w14:paraId="5AE0AE6F">
            <w:pPr>
              <w:pStyle w:val="48"/>
            </w:pPr>
            <w:r>
              <w:t>应收票据</w:t>
            </w:r>
          </w:p>
        </w:tc>
        <w:tc>
          <w:tcPr>
            <w:tcW w:w="2262" w:type="dxa"/>
            <w:vAlign w:val="center"/>
          </w:tcPr>
          <w:p w14:paraId="49446FC8">
            <w:pPr>
              <w:pStyle w:val="48"/>
            </w:pPr>
            <w:r>
              <w:t>贴现</w:t>
            </w:r>
          </w:p>
        </w:tc>
        <w:tc>
          <w:tcPr>
            <w:tcW w:w="2262" w:type="dxa"/>
            <w:vAlign w:val="center"/>
          </w:tcPr>
          <w:p w14:paraId="21746DA6">
            <w:pPr>
              <w:widowControl w:val="0"/>
              <w:jc w:val="right"/>
            </w:pPr>
            <w:r>
              <w:t>28,148,844.02</w:t>
            </w:r>
          </w:p>
        </w:tc>
        <w:tc>
          <w:tcPr>
            <w:tcW w:w="2263" w:type="dxa"/>
            <w:vAlign w:val="center"/>
          </w:tcPr>
          <w:p w14:paraId="1AE91CE6">
            <w:pPr>
              <w:widowControl w:val="0"/>
              <w:jc w:val="right"/>
            </w:pPr>
            <w:r>
              <w:t>-942,500.69</w:t>
            </w:r>
          </w:p>
        </w:tc>
      </w:tr>
      <w:tr w14:paraId="517E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2" w:type="dxa"/>
            <w:vAlign w:val="center"/>
          </w:tcPr>
          <w:p w14:paraId="6840B640">
            <w:pPr>
              <w:widowControl w:val="0"/>
              <w:jc w:val="center"/>
            </w:pPr>
            <w:r>
              <w:rPr>
                <w:rFonts w:hint="eastAsia"/>
              </w:rPr>
              <w:t>合计</w:t>
            </w:r>
          </w:p>
        </w:tc>
        <w:tc>
          <w:tcPr>
            <w:tcW w:w="2262" w:type="dxa"/>
            <w:vAlign w:val="center"/>
          </w:tcPr>
          <w:p w14:paraId="03B01372">
            <w:pPr>
              <w:widowControl w:val="0"/>
              <w:jc w:val="center"/>
            </w:pPr>
            <w:r>
              <w:rPr>
                <w:rFonts w:hint="eastAsia"/>
              </w:rPr>
              <w:t>/</w:t>
            </w:r>
          </w:p>
        </w:tc>
        <w:tc>
          <w:tcPr>
            <w:tcW w:w="2262" w:type="dxa"/>
            <w:vAlign w:val="center"/>
          </w:tcPr>
          <w:p w14:paraId="11066DE3">
            <w:pPr>
              <w:widowControl w:val="0"/>
              <w:jc w:val="right"/>
            </w:pPr>
            <w:r>
              <w:t>57,662,229.36</w:t>
            </w:r>
          </w:p>
        </w:tc>
        <w:tc>
          <w:tcPr>
            <w:tcW w:w="2263" w:type="dxa"/>
            <w:vAlign w:val="center"/>
          </w:tcPr>
          <w:p w14:paraId="4EC8C491">
            <w:pPr>
              <w:widowControl w:val="0"/>
              <w:jc w:val="right"/>
            </w:pPr>
            <w:r>
              <w:t>-942,500.69</w:t>
            </w:r>
          </w:p>
        </w:tc>
      </w:tr>
    </w:tbl>
    <w:p w14:paraId="33C4E82B"/>
    <w:p w14:paraId="2EF3A0D5">
      <w:pPr>
        <w:pStyle w:val="5"/>
        <w:numPr>
          <w:ilvl w:val="0"/>
          <w:numId w:val="113"/>
        </w:numPr>
        <w:rPr>
          <w:rFonts w:ascii="宋体" w:hAnsi="宋体" w:eastAsia="宋体" w:cs="宋体"/>
          <w:kern w:val="0"/>
          <w:szCs w:val="24"/>
        </w:rPr>
      </w:pPr>
      <w:r>
        <w:rPr>
          <w:rFonts w:hint="eastAsia" w:ascii="宋体" w:hAnsi="宋体" w:eastAsia="宋体" w:cs="宋体"/>
          <w:kern w:val="0"/>
          <w:szCs w:val="24"/>
        </w:rPr>
        <w:t>继续涉入的转移金融资产</w:t>
      </w:r>
    </w:p>
    <w:sdt>
      <w:sdtPr>
        <w:alias w:val="是否适用：继续涉入的转移金融资产[双击切换]"/>
        <w:tag w:val="_GBC_b604f7fddde64fe6935f4995b9a88a21"/>
        <w:id w:val="-708725852"/>
        <w:placeholder>
          <w:docPart w:val="GBC22222222222222222222222222222"/>
        </w:placeholder>
      </w:sdtPr>
      <w:sdtContent>
        <w:p w14:paraId="1E3E3F4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68FC5A6">
      <w:pPr>
        <w:pStyle w:val="48"/>
        <w:rPr>
          <w:color w:val="808080"/>
        </w:rPr>
      </w:pPr>
    </w:p>
    <w:p w14:paraId="53AB0D45">
      <w:pPr>
        <w:pStyle w:val="48"/>
      </w:pPr>
      <w:r>
        <w:rPr>
          <w:rFonts w:hint="eastAsia"/>
        </w:rPr>
        <w:t>其他说明：</w:t>
      </w:r>
    </w:p>
    <w:sdt>
      <w:sdtPr>
        <w:alias w:val="是否适用：金融资产转移其他说明[双击切换]"/>
        <w:tag w:val="_GBC_205480d73c8a413b9678dd4798b26763"/>
        <w:id w:val="509492428"/>
        <w:placeholder>
          <w:docPart w:val="GBC22222222222222222222222222222"/>
        </w:placeholder>
      </w:sdtPr>
      <w:sdtContent>
        <w:p w14:paraId="36FA2D5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AF40582">
      <w:pPr>
        <w:rPr>
          <w:color w:val="808080"/>
        </w:rPr>
      </w:pPr>
    </w:p>
    <w:p w14:paraId="7C74EE04">
      <w:pPr>
        <w:pStyle w:val="3"/>
        <w:numPr>
          <w:ilvl w:val="0"/>
          <w:numId w:val="51"/>
        </w:numPr>
        <w:rPr>
          <w:rFonts w:ascii="宋体" w:hAnsi="宋体"/>
        </w:rPr>
      </w:pPr>
      <w:r>
        <w:rPr>
          <w:rFonts w:hint="eastAsia"/>
        </w:rPr>
        <w:t>公允价值的披露</w:t>
      </w:r>
    </w:p>
    <w:p w14:paraId="0C2F0639">
      <w:pPr>
        <w:pStyle w:val="4"/>
        <w:numPr>
          <w:ilvl w:val="0"/>
          <w:numId w:val="114"/>
        </w:numPr>
      </w:pPr>
      <w:bookmarkStart w:id="370" w:name="_Hlk10539195"/>
      <w:bookmarkStart w:id="371" w:name="_Hlk24030209"/>
      <w:r>
        <w:rPr>
          <w:rFonts w:hint="eastAsia"/>
        </w:rPr>
        <w:t>以公允价值计量的资产和负债的期末公允价值</w:t>
      </w:r>
    </w:p>
    <w:sdt>
      <w:sdtPr>
        <w:alias w:val="是否适用：以公允价值计量的资产和负债的期末公允价值[双击切换]"/>
        <w:tag w:val="_GBC_6fbb4bafbfc548fdbb4a25b91f07bd6a"/>
        <w:id w:val="1251167409"/>
        <w:placeholder>
          <w:docPart w:val="GBC22222222222222222222222222222"/>
        </w:placeholder>
      </w:sdtPr>
      <w:sdtContent>
        <w:p w14:paraId="19F5B74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63978F3">
      <w:pPr>
        <w:jc w:val="right"/>
      </w:pPr>
      <w:r>
        <w:rPr>
          <w:rFonts w:hint="eastAsia"/>
        </w:rPr>
        <w:t>单位：</w:t>
      </w:r>
      <w:sdt>
        <w:sdtPr>
          <w:rPr>
            <w:rFonts w:hint="eastAsia"/>
          </w:rPr>
          <w:alias w:val="单位：财务附注：以公允价值计量的资产和负债的期末公允价值"/>
          <w:tag w:val="_GBC_2c45ed0b719e4292b6389023b9ce1031"/>
          <w:id w:val="21203297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18925300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3"/>
        <w:gridCol w:w="1708"/>
        <w:gridCol w:w="1668"/>
        <w:gridCol w:w="1735"/>
        <w:gridCol w:w="1514"/>
      </w:tblGrid>
      <w:tr w14:paraId="6E9B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sdt>
          <w:sdtPr>
            <w:tag w:val="_PLD_163e93b7c897498dae37bc5c38a11afe"/>
            <w:id w:val="351698376"/>
          </w:sdtPr>
          <w:sdtContent>
            <w:tc>
              <w:tcPr>
                <w:tcW w:w="2423" w:type="dxa"/>
                <w:vMerge w:val="restart"/>
                <w:tcBorders>
                  <w:top w:val="single" w:color="auto" w:sz="4" w:space="0"/>
                  <w:left w:val="single" w:color="auto" w:sz="4" w:space="0"/>
                  <w:right w:val="single" w:color="auto" w:sz="4" w:space="0"/>
                </w:tcBorders>
                <w:vAlign w:val="center"/>
              </w:tcPr>
              <w:p w14:paraId="569FC3BA">
                <w:pPr>
                  <w:jc w:val="center"/>
                  <w:outlineLvl w:val="2"/>
                  <w:rPr>
                    <w:rFonts w:ascii="Calibri" w:hAnsi="Calibri" w:cs="Cambria"/>
                    <w:sz w:val="20"/>
                    <w:szCs w:val="20"/>
                  </w:rPr>
                </w:pPr>
                <w:r>
                  <w:rPr>
                    <w:rFonts w:hint="eastAsia" w:ascii="Calibri" w:hAnsi="Calibri" w:cs="Cambria"/>
                    <w:sz w:val="20"/>
                    <w:szCs w:val="20"/>
                  </w:rPr>
                  <w:t>项目</w:t>
                </w:r>
              </w:p>
            </w:tc>
          </w:sdtContent>
        </w:sdt>
        <w:sdt>
          <w:sdtPr>
            <w:tag w:val="_PLD_b8bd62f651414617bea8612c55db30ce"/>
            <w:id w:val="-844160581"/>
          </w:sdtPr>
          <w:sdtContent>
            <w:tc>
              <w:tcPr>
                <w:tcW w:w="6625" w:type="dxa"/>
                <w:gridSpan w:val="4"/>
                <w:tcBorders>
                  <w:top w:val="single" w:color="auto" w:sz="4" w:space="0"/>
                  <w:left w:val="single" w:color="auto" w:sz="4" w:space="0"/>
                  <w:bottom w:val="single" w:color="auto" w:sz="4" w:space="0"/>
                  <w:right w:val="single" w:color="auto" w:sz="4" w:space="0"/>
                </w:tcBorders>
                <w:vAlign w:val="center"/>
              </w:tcPr>
              <w:p w14:paraId="2881F5EE">
                <w:pPr>
                  <w:jc w:val="center"/>
                  <w:outlineLvl w:val="2"/>
                  <w:rPr>
                    <w:rFonts w:ascii="Calibri" w:hAnsi="Calibri" w:cs="Cambria"/>
                    <w:sz w:val="20"/>
                    <w:szCs w:val="20"/>
                  </w:rPr>
                </w:pPr>
                <w:r>
                  <w:rPr>
                    <w:rFonts w:hint="eastAsia" w:ascii="Calibri" w:hAnsi="Calibri" w:cs="Cambria"/>
                    <w:sz w:val="20"/>
                    <w:szCs w:val="20"/>
                  </w:rPr>
                  <w:t>期末公允价值</w:t>
                </w:r>
              </w:p>
            </w:tc>
          </w:sdtContent>
        </w:sdt>
      </w:tr>
      <w:tr w14:paraId="2A5B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2423" w:type="dxa"/>
            <w:vMerge w:val="continue"/>
            <w:tcBorders>
              <w:left w:val="single" w:color="auto" w:sz="4" w:space="0"/>
              <w:bottom w:val="single" w:color="auto" w:sz="4" w:space="0"/>
              <w:right w:val="single" w:color="auto" w:sz="4" w:space="0"/>
            </w:tcBorders>
            <w:vAlign w:val="center"/>
          </w:tcPr>
          <w:p w14:paraId="70068129">
            <w:pPr>
              <w:jc w:val="center"/>
              <w:outlineLvl w:val="2"/>
              <w:rPr>
                <w:rFonts w:ascii="Calibri" w:hAnsi="Calibri" w:cs="Cambria"/>
                <w:sz w:val="20"/>
                <w:szCs w:val="20"/>
              </w:rPr>
            </w:pPr>
          </w:p>
        </w:tc>
        <w:sdt>
          <w:sdtPr>
            <w:tag w:val="_PLD_8b204b4b1832494b8312fec08990548b"/>
            <w:id w:val="1467541572"/>
          </w:sdtPr>
          <w:sdtContent>
            <w:tc>
              <w:tcPr>
                <w:tcW w:w="1708" w:type="dxa"/>
                <w:tcBorders>
                  <w:top w:val="single" w:color="auto" w:sz="4" w:space="0"/>
                  <w:left w:val="single" w:color="auto" w:sz="4" w:space="0"/>
                  <w:bottom w:val="single" w:color="auto" w:sz="4" w:space="0"/>
                  <w:right w:val="single" w:color="auto" w:sz="4" w:space="0"/>
                </w:tcBorders>
                <w:vAlign w:val="center"/>
              </w:tcPr>
              <w:p w14:paraId="2BBEB5E5">
                <w:pPr>
                  <w:jc w:val="center"/>
                  <w:outlineLvl w:val="2"/>
                  <w:rPr>
                    <w:rFonts w:ascii="Calibri" w:hAnsi="Calibri" w:cs="Cambria"/>
                    <w:sz w:val="20"/>
                    <w:szCs w:val="20"/>
                  </w:rPr>
                </w:pPr>
                <w:r>
                  <w:rPr>
                    <w:rFonts w:hint="eastAsia" w:ascii="Calibri" w:hAnsi="Calibri" w:cs="Cambria"/>
                    <w:sz w:val="20"/>
                    <w:szCs w:val="20"/>
                  </w:rPr>
                  <w:t>第一层次公允价值计量</w:t>
                </w:r>
              </w:p>
            </w:tc>
          </w:sdtContent>
        </w:sdt>
        <w:sdt>
          <w:sdtPr>
            <w:tag w:val="_PLD_de23a118a4e8435d9b0e1e2e2e494f30"/>
            <w:id w:val="-232388994"/>
          </w:sdtPr>
          <w:sdtContent>
            <w:tc>
              <w:tcPr>
                <w:tcW w:w="1668" w:type="dxa"/>
                <w:tcBorders>
                  <w:top w:val="single" w:color="auto" w:sz="4" w:space="0"/>
                  <w:left w:val="single" w:color="auto" w:sz="4" w:space="0"/>
                  <w:bottom w:val="single" w:color="auto" w:sz="4" w:space="0"/>
                  <w:right w:val="single" w:color="auto" w:sz="4" w:space="0"/>
                </w:tcBorders>
                <w:vAlign w:val="center"/>
              </w:tcPr>
              <w:p w14:paraId="47D21AE2">
                <w:pPr>
                  <w:jc w:val="center"/>
                  <w:outlineLvl w:val="2"/>
                  <w:rPr>
                    <w:rFonts w:ascii="Calibri" w:hAnsi="Calibri" w:cs="Cambria"/>
                    <w:sz w:val="20"/>
                    <w:szCs w:val="20"/>
                  </w:rPr>
                </w:pPr>
                <w:r>
                  <w:rPr>
                    <w:rFonts w:hint="eastAsia" w:ascii="Calibri" w:hAnsi="Calibri" w:cs="Cambria"/>
                    <w:sz w:val="20"/>
                    <w:szCs w:val="20"/>
                  </w:rPr>
                  <w:t>第二层次公允价值计量</w:t>
                </w:r>
              </w:p>
            </w:tc>
          </w:sdtContent>
        </w:sdt>
        <w:sdt>
          <w:sdtPr>
            <w:tag w:val="_PLD_4cb787262d4b4096b0d321ac48721dd2"/>
            <w:id w:val="1301804921"/>
          </w:sdtPr>
          <w:sdtContent>
            <w:tc>
              <w:tcPr>
                <w:tcW w:w="1735" w:type="dxa"/>
                <w:tcBorders>
                  <w:top w:val="single" w:color="auto" w:sz="4" w:space="0"/>
                  <w:left w:val="single" w:color="auto" w:sz="4" w:space="0"/>
                  <w:bottom w:val="single" w:color="auto" w:sz="4" w:space="0"/>
                  <w:right w:val="single" w:color="auto" w:sz="4" w:space="0"/>
                </w:tcBorders>
                <w:vAlign w:val="center"/>
              </w:tcPr>
              <w:p w14:paraId="05E01526">
                <w:pPr>
                  <w:jc w:val="center"/>
                  <w:outlineLvl w:val="2"/>
                  <w:rPr>
                    <w:rFonts w:ascii="Calibri" w:hAnsi="Calibri" w:cs="Cambria"/>
                    <w:sz w:val="20"/>
                    <w:szCs w:val="20"/>
                  </w:rPr>
                </w:pPr>
                <w:r>
                  <w:rPr>
                    <w:rFonts w:hint="eastAsia" w:ascii="Calibri" w:hAnsi="Calibri" w:cs="Cambria"/>
                    <w:sz w:val="20"/>
                    <w:szCs w:val="20"/>
                  </w:rPr>
                  <w:t>第三层次公允价值计量</w:t>
                </w:r>
              </w:p>
            </w:tc>
          </w:sdtContent>
        </w:sdt>
        <w:sdt>
          <w:sdtPr>
            <w:tag w:val="_PLD_fb89c54d0c8e4fe2990587a96b78b5ca"/>
            <w:id w:val="1032232208"/>
          </w:sdtPr>
          <w:sdtContent>
            <w:tc>
              <w:tcPr>
                <w:tcW w:w="1514" w:type="dxa"/>
                <w:tcBorders>
                  <w:top w:val="single" w:color="auto" w:sz="4" w:space="0"/>
                  <w:left w:val="single" w:color="auto" w:sz="4" w:space="0"/>
                  <w:bottom w:val="single" w:color="auto" w:sz="4" w:space="0"/>
                  <w:right w:val="single" w:color="auto" w:sz="4" w:space="0"/>
                </w:tcBorders>
                <w:vAlign w:val="center"/>
              </w:tcPr>
              <w:p w14:paraId="7E0A586E">
                <w:pPr>
                  <w:jc w:val="center"/>
                  <w:outlineLvl w:val="2"/>
                  <w:rPr>
                    <w:rFonts w:ascii="Calibri" w:hAnsi="Calibri" w:cs="Cambria"/>
                    <w:sz w:val="20"/>
                    <w:szCs w:val="20"/>
                  </w:rPr>
                </w:pPr>
                <w:r>
                  <w:rPr>
                    <w:rFonts w:hint="eastAsia" w:ascii="Calibri" w:hAnsi="Calibri" w:cs="Cambria"/>
                    <w:sz w:val="20"/>
                    <w:szCs w:val="20"/>
                  </w:rPr>
                  <w:t>合计</w:t>
                </w:r>
              </w:p>
            </w:tc>
          </w:sdtContent>
        </w:sdt>
      </w:tr>
      <w:tr w14:paraId="4258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23" w:type="dxa"/>
            <w:tcBorders>
              <w:top w:val="single" w:color="auto" w:sz="4" w:space="0"/>
              <w:left w:val="single" w:color="auto" w:sz="4" w:space="0"/>
              <w:bottom w:val="single" w:color="auto" w:sz="4" w:space="0"/>
              <w:right w:val="single" w:color="auto" w:sz="4" w:space="0"/>
            </w:tcBorders>
            <w:vAlign w:val="center"/>
          </w:tcPr>
          <w:p w14:paraId="5A456790">
            <w:pPr>
              <w:outlineLvl w:val="2"/>
              <w:rPr>
                <w:rFonts w:ascii="Calibri" w:hAnsi="Calibri" w:cs="Cambria"/>
                <w:b/>
                <w:sz w:val="20"/>
                <w:szCs w:val="20"/>
              </w:rPr>
            </w:pPr>
            <w:r>
              <w:rPr>
                <w:rFonts w:hint="eastAsia" w:ascii="Calibri" w:hAnsi="Calibri" w:cs="Cambria"/>
                <w:b/>
                <w:sz w:val="20"/>
                <w:szCs w:val="20"/>
              </w:rPr>
              <w:t>一、持续的公允价值计量</w:t>
            </w:r>
          </w:p>
        </w:tc>
        <w:tc>
          <w:tcPr>
            <w:tcW w:w="1708" w:type="dxa"/>
            <w:tcBorders>
              <w:top w:val="single" w:color="auto" w:sz="4" w:space="0"/>
              <w:left w:val="single" w:color="auto" w:sz="4" w:space="0"/>
              <w:bottom w:val="single" w:color="auto" w:sz="4" w:space="0"/>
              <w:right w:val="single" w:color="auto" w:sz="4" w:space="0"/>
            </w:tcBorders>
            <w:vAlign w:val="center"/>
          </w:tcPr>
          <w:p w14:paraId="445BD046">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64CFE820">
            <w:pPr>
              <w:jc w:val="right"/>
              <w:outlineLvl w:val="2"/>
              <w:rPr>
                <w:rFonts w:ascii="Calibri" w:hAnsi="Calibri" w:cs="Cambria"/>
                <w:sz w:val="20"/>
                <w:szCs w:val="20"/>
              </w:rPr>
            </w:pPr>
            <w:r>
              <w:rPr>
                <w:rFonts w:ascii="Calibri" w:hAnsi="Calibri"/>
                <w:sz w:val="20"/>
                <w:szCs w:val="20"/>
              </w:rPr>
              <w:t>121,285,555.26</w:t>
            </w:r>
          </w:p>
        </w:tc>
        <w:tc>
          <w:tcPr>
            <w:tcW w:w="1735" w:type="dxa"/>
            <w:tcBorders>
              <w:top w:val="single" w:color="auto" w:sz="4" w:space="0"/>
              <w:left w:val="single" w:color="auto" w:sz="4" w:space="0"/>
              <w:bottom w:val="single" w:color="auto" w:sz="4" w:space="0"/>
              <w:right w:val="single" w:color="auto" w:sz="4" w:space="0"/>
            </w:tcBorders>
            <w:vAlign w:val="center"/>
          </w:tcPr>
          <w:p w14:paraId="78DA72BC">
            <w:pPr>
              <w:jc w:val="right"/>
              <w:outlineLvl w:val="2"/>
              <w:rPr>
                <w:rFonts w:ascii="Calibri" w:hAnsi="Calibri" w:cs="Cambria"/>
                <w:sz w:val="20"/>
                <w:szCs w:val="20"/>
              </w:rPr>
            </w:pPr>
            <w:r>
              <w:rPr>
                <w:rFonts w:ascii="Calibri" w:hAnsi="Calibri"/>
                <w:sz w:val="20"/>
                <w:szCs w:val="20"/>
              </w:rPr>
              <w:t>68,693,369.96</w:t>
            </w:r>
          </w:p>
        </w:tc>
        <w:tc>
          <w:tcPr>
            <w:tcW w:w="1514" w:type="dxa"/>
            <w:tcBorders>
              <w:top w:val="single" w:color="auto" w:sz="4" w:space="0"/>
              <w:left w:val="single" w:color="auto" w:sz="4" w:space="0"/>
              <w:bottom w:val="single" w:color="auto" w:sz="4" w:space="0"/>
              <w:right w:val="single" w:color="auto" w:sz="4" w:space="0"/>
            </w:tcBorders>
            <w:vAlign w:val="center"/>
          </w:tcPr>
          <w:p w14:paraId="23286ACB">
            <w:pPr>
              <w:jc w:val="right"/>
              <w:outlineLvl w:val="2"/>
              <w:rPr>
                <w:rFonts w:ascii="Calibri" w:hAnsi="Calibri" w:cs="Cambria"/>
                <w:sz w:val="20"/>
                <w:szCs w:val="20"/>
              </w:rPr>
            </w:pPr>
            <w:r>
              <w:rPr>
                <w:rFonts w:ascii="Calibri" w:hAnsi="Calibri"/>
                <w:sz w:val="20"/>
                <w:szCs w:val="20"/>
              </w:rPr>
              <w:t>189,978,925.22</w:t>
            </w:r>
          </w:p>
        </w:tc>
      </w:tr>
      <w:tr w14:paraId="5A61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44220CE5">
            <w:pPr>
              <w:outlineLvl w:val="2"/>
              <w:rPr>
                <w:rFonts w:ascii="Calibri" w:hAnsi="Calibri"/>
                <w:sz w:val="20"/>
                <w:szCs w:val="20"/>
              </w:rPr>
            </w:pPr>
            <w:r>
              <w:rPr>
                <w:rFonts w:hint="eastAsia" w:ascii="Calibri" w:hAnsi="Calibri"/>
                <w:sz w:val="20"/>
                <w:szCs w:val="20"/>
              </w:rPr>
              <w:t>（一）交易性金融资产</w:t>
            </w:r>
          </w:p>
        </w:tc>
        <w:tc>
          <w:tcPr>
            <w:tcW w:w="1708" w:type="dxa"/>
            <w:tcBorders>
              <w:top w:val="single" w:color="auto" w:sz="4" w:space="0"/>
              <w:left w:val="single" w:color="auto" w:sz="4" w:space="0"/>
              <w:bottom w:val="single" w:color="auto" w:sz="4" w:space="0"/>
              <w:right w:val="single" w:color="auto" w:sz="4" w:space="0"/>
            </w:tcBorders>
            <w:vAlign w:val="center"/>
          </w:tcPr>
          <w:p w14:paraId="0835582D">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73D475B7">
            <w:pPr>
              <w:jc w:val="right"/>
              <w:outlineLvl w:val="2"/>
              <w:rPr>
                <w:rFonts w:ascii="Calibri" w:hAnsi="Calibri" w:cs="Cambria"/>
                <w:sz w:val="20"/>
                <w:szCs w:val="20"/>
              </w:rPr>
            </w:pPr>
            <w:r>
              <w:rPr>
                <w:rFonts w:ascii="Calibri" w:hAnsi="Calibri"/>
                <w:sz w:val="20"/>
                <w:szCs w:val="20"/>
              </w:rPr>
              <w:t>63,218,438.36</w:t>
            </w:r>
          </w:p>
        </w:tc>
        <w:tc>
          <w:tcPr>
            <w:tcW w:w="1735" w:type="dxa"/>
            <w:tcBorders>
              <w:top w:val="single" w:color="auto" w:sz="4" w:space="0"/>
              <w:left w:val="single" w:color="auto" w:sz="4" w:space="0"/>
              <w:bottom w:val="single" w:color="auto" w:sz="4" w:space="0"/>
              <w:right w:val="single" w:color="auto" w:sz="4" w:space="0"/>
            </w:tcBorders>
            <w:vAlign w:val="center"/>
          </w:tcPr>
          <w:p w14:paraId="046A6FA6">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1F0EAE4B">
            <w:pPr>
              <w:jc w:val="right"/>
              <w:outlineLvl w:val="2"/>
              <w:rPr>
                <w:rFonts w:ascii="Calibri" w:hAnsi="Calibri" w:cs="Cambria"/>
                <w:sz w:val="20"/>
                <w:szCs w:val="20"/>
              </w:rPr>
            </w:pPr>
            <w:r>
              <w:rPr>
                <w:rFonts w:ascii="Calibri" w:hAnsi="Calibri"/>
                <w:sz w:val="20"/>
                <w:szCs w:val="20"/>
              </w:rPr>
              <w:t>63,218,438.36</w:t>
            </w:r>
          </w:p>
        </w:tc>
      </w:tr>
      <w:tr w14:paraId="5C9C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6F23F357">
            <w:pPr>
              <w:outlineLvl w:val="2"/>
              <w:rPr>
                <w:rFonts w:ascii="Calibri" w:hAnsi="Calibri"/>
                <w:sz w:val="20"/>
                <w:szCs w:val="20"/>
              </w:rPr>
            </w:pPr>
            <w:r>
              <w:rPr>
                <w:rFonts w:ascii="Calibri" w:hAnsi="Calibri"/>
                <w:sz w:val="20"/>
                <w:szCs w:val="20"/>
              </w:rPr>
              <w:t>1.以公允价值计量且变动计入当期损益的金融资产</w:t>
            </w:r>
          </w:p>
        </w:tc>
        <w:tc>
          <w:tcPr>
            <w:tcW w:w="1708" w:type="dxa"/>
            <w:tcBorders>
              <w:top w:val="single" w:color="auto" w:sz="4" w:space="0"/>
              <w:left w:val="single" w:color="auto" w:sz="4" w:space="0"/>
              <w:bottom w:val="single" w:color="auto" w:sz="4" w:space="0"/>
              <w:right w:val="single" w:color="auto" w:sz="4" w:space="0"/>
            </w:tcBorders>
            <w:vAlign w:val="center"/>
          </w:tcPr>
          <w:p w14:paraId="22294575">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69429650">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349AC30E">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1ED6E1E0">
            <w:pPr>
              <w:jc w:val="right"/>
              <w:outlineLvl w:val="2"/>
              <w:rPr>
                <w:rFonts w:ascii="Calibri" w:hAnsi="Calibri" w:cs="Cambria"/>
                <w:sz w:val="20"/>
                <w:szCs w:val="20"/>
              </w:rPr>
            </w:pPr>
          </w:p>
        </w:tc>
      </w:tr>
      <w:tr w14:paraId="69E1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17AD832A">
            <w:pPr>
              <w:outlineLvl w:val="2"/>
              <w:rPr>
                <w:rFonts w:ascii="Calibri" w:hAnsi="Calibri" w:cs="Cambria"/>
                <w:sz w:val="20"/>
                <w:szCs w:val="20"/>
              </w:rPr>
            </w:pPr>
            <w:r>
              <w:rPr>
                <w:rFonts w:hint="eastAsia" w:ascii="Calibri" w:hAnsi="Calibri" w:cs="Cambria"/>
                <w:sz w:val="20"/>
                <w:szCs w:val="20"/>
              </w:rPr>
              <w:t>（</w:t>
            </w:r>
            <w:r>
              <w:rPr>
                <w:rFonts w:ascii="Calibri" w:hAnsi="Calibri" w:cs="Cambria"/>
                <w:sz w:val="20"/>
                <w:szCs w:val="20"/>
              </w:rPr>
              <w:t>1</w:t>
            </w:r>
            <w:r>
              <w:rPr>
                <w:rFonts w:hint="eastAsia" w:ascii="Calibri" w:hAnsi="Calibri" w:cs="Cambria"/>
                <w:sz w:val="20"/>
                <w:szCs w:val="20"/>
              </w:rPr>
              <w:t>）债务工具投资</w:t>
            </w:r>
          </w:p>
        </w:tc>
        <w:tc>
          <w:tcPr>
            <w:tcW w:w="1708" w:type="dxa"/>
            <w:tcBorders>
              <w:top w:val="single" w:color="auto" w:sz="4" w:space="0"/>
              <w:left w:val="single" w:color="auto" w:sz="4" w:space="0"/>
              <w:bottom w:val="single" w:color="auto" w:sz="4" w:space="0"/>
              <w:right w:val="single" w:color="auto" w:sz="4" w:space="0"/>
            </w:tcBorders>
            <w:vAlign w:val="center"/>
          </w:tcPr>
          <w:p w14:paraId="29C88C91">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0FB99064">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6E2DF4A5">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7F0AFA2B">
            <w:pPr>
              <w:jc w:val="right"/>
              <w:outlineLvl w:val="2"/>
              <w:rPr>
                <w:rFonts w:ascii="Calibri" w:hAnsi="Calibri" w:cs="Cambria"/>
                <w:sz w:val="20"/>
                <w:szCs w:val="20"/>
              </w:rPr>
            </w:pPr>
          </w:p>
        </w:tc>
      </w:tr>
      <w:tr w14:paraId="360E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43C3C875">
            <w:pPr>
              <w:outlineLvl w:val="2"/>
              <w:rPr>
                <w:rFonts w:ascii="Calibri" w:hAnsi="Calibri" w:cs="Cambria"/>
                <w:sz w:val="20"/>
                <w:szCs w:val="20"/>
              </w:rPr>
            </w:pPr>
            <w:r>
              <w:rPr>
                <w:rFonts w:hint="eastAsia" w:ascii="Calibri" w:hAnsi="Calibri" w:cs="Cambria"/>
                <w:sz w:val="20"/>
                <w:szCs w:val="20"/>
              </w:rPr>
              <w:t>（</w:t>
            </w:r>
            <w:r>
              <w:rPr>
                <w:rFonts w:ascii="Calibri" w:hAnsi="Calibri" w:cs="Cambria"/>
                <w:sz w:val="20"/>
                <w:szCs w:val="20"/>
              </w:rPr>
              <w:t>2</w:t>
            </w:r>
            <w:r>
              <w:rPr>
                <w:rFonts w:hint="eastAsia" w:ascii="Calibri" w:hAnsi="Calibri" w:cs="Cambria"/>
                <w:sz w:val="20"/>
                <w:szCs w:val="20"/>
              </w:rPr>
              <w:t>）权益工具投资</w:t>
            </w:r>
          </w:p>
        </w:tc>
        <w:tc>
          <w:tcPr>
            <w:tcW w:w="1708" w:type="dxa"/>
            <w:tcBorders>
              <w:top w:val="single" w:color="auto" w:sz="4" w:space="0"/>
              <w:left w:val="single" w:color="auto" w:sz="4" w:space="0"/>
              <w:bottom w:val="single" w:color="auto" w:sz="4" w:space="0"/>
              <w:right w:val="single" w:color="auto" w:sz="4" w:space="0"/>
            </w:tcBorders>
            <w:vAlign w:val="center"/>
          </w:tcPr>
          <w:p w14:paraId="29708ACA">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6DDEA901">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62D5528C">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098D9A5E">
            <w:pPr>
              <w:jc w:val="right"/>
              <w:outlineLvl w:val="2"/>
              <w:rPr>
                <w:rFonts w:ascii="Calibri" w:hAnsi="Calibri" w:cs="Cambria"/>
                <w:sz w:val="20"/>
                <w:szCs w:val="20"/>
              </w:rPr>
            </w:pPr>
          </w:p>
        </w:tc>
      </w:tr>
      <w:tr w14:paraId="282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4E61ED35">
            <w:pPr>
              <w:outlineLvl w:val="2"/>
              <w:rPr>
                <w:rFonts w:ascii="Calibri" w:hAnsi="Calibri" w:cs="Cambria"/>
                <w:sz w:val="20"/>
                <w:szCs w:val="20"/>
              </w:rPr>
            </w:pPr>
            <w:r>
              <w:rPr>
                <w:rFonts w:hint="eastAsia" w:ascii="Calibri" w:hAnsi="Calibri" w:cs="Cambria"/>
                <w:sz w:val="20"/>
                <w:szCs w:val="20"/>
              </w:rPr>
              <w:t>（</w:t>
            </w:r>
            <w:r>
              <w:rPr>
                <w:rFonts w:ascii="Calibri" w:hAnsi="Calibri" w:cs="Cambria"/>
                <w:sz w:val="20"/>
                <w:szCs w:val="20"/>
              </w:rPr>
              <w:t>3</w:t>
            </w:r>
            <w:r>
              <w:rPr>
                <w:rFonts w:hint="eastAsia" w:ascii="Calibri" w:hAnsi="Calibri" w:cs="Cambria"/>
                <w:sz w:val="20"/>
                <w:szCs w:val="20"/>
              </w:rPr>
              <w:t>）衍生金融资产</w:t>
            </w:r>
          </w:p>
        </w:tc>
        <w:tc>
          <w:tcPr>
            <w:tcW w:w="1708" w:type="dxa"/>
            <w:tcBorders>
              <w:top w:val="single" w:color="auto" w:sz="4" w:space="0"/>
              <w:left w:val="single" w:color="auto" w:sz="4" w:space="0"/>
              <w:bottom w:val="single" w:color="auto" w:sz="4" w:space="0"/>
              <w:right w:val="single" w:color="auto" w:sz="4" w:space="0"/>
            </w:tcBorders>
            <w:vAlign w:val="center"/>
          </w:tcPr>
          <w:p w14:paraId="1B1E961D">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2075953C">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274651A8">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05B3C8DE">
            <w:pPr>
              <w:jc w:val="right"/>
              <w:outlineLvl w:val="2"/>
              <w:rPr>
                <w:rFonts w:ascii="Calibri" w:hAnsi="Calibri" w:cs="Cambria"/>
                <w:sz w:val="20"/>
                <w:szCs w:val="20"/>
              </w:rPr>
            </w:pPr>
          </w:p>
        </w:tc>
      </w:tr>
      <w:tr w14:paraId="13A8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2423" w:type="dxa"/>
            <w:tcBorders>
              <w:top w:val="single" w:color="auto" w:sz="4" w:space="0"/>
              <w:left w:val="single" w:color="auto" w:sz="4" w:space="0"/>
              <w:bottom w:val="single" w:color="auto" w:sz="4" w:space="0"/>
              <w:right w:val="single" w:color="auto" w:sz="4" w:space="0"/>
            </w:tcBorders>
            <w:vAlign w:val="center"/>
          </w:tcPr>
          <w:p w14:paraId="4F0889EA">
            <w:pPr>
              <w:outlineLvl w:val="2"/>
              <w:rPr>
                <w:rFonts w:ascii="Calibri" w:hAnsi="Calibri" w:cs="Cambria"/>
                <w:sz w:val="20"/>
                <w:szCs w:val="20"/>
              </w:rPr>
            </w:pPr>
            <w:r>
              <w:rPr>
                <w:rFonts w:ascii="Calibri" w:hAnsi="Calibri" w:cs="Cambria"/>
                <w:sz w:val="20"/>
                <w:szCs w:val="20"/>
              </w:rPr>
              <w:t xml:space="preserve">2. </w:t>
            </w:r>
            <w:r>
              <w:rPr>
                <w:rFonts w:hint="eastAsia" w:ascii="Calibri" w:hAnsi="Calibri" w:cs="Cambria"/>
                <w:sz w:val="20"/>
                <w:szCs w:val="20"/>
              </w:rPr>
              <w:t>指定以公允价值计量且其变动计入当期损益的金融资产</w:t>
            </w:r>
          </w:p>
        </w:tc>
        <w:tc>
          <w:tcPr>
            <w:tcW w:w="1708" w:type="dxa"/>
            <w:tcBorders>
              <w:top w:val="single" w:color="auto" w:sz="4" w:space="0"/>
              <w:left w:val="single" w:color="auto" w:sz="4" w:space="0"/>
              <w:bottom w:val="single" w:color="auto" w:sz="4" w:space="0"/>
              <w:right w:val="single" w:color="auto" w:sz="4" w:space="0"/>
            </w:tcBorders>
            <w:vAlign w:val="center"/>
          </w:tcPr>
          <w:p w14:paraId="189C8B22">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6AA75452">
            <w:pPr>
              <w:jc w:val="right"/>
              <w:outlineLvl w:val="2"/>
              <w:rPr>
                <w:rFonts w:ascii="Calibri" w:hAnsi="Calibri" w:cs="Cambria"/>
                <w:sz w:val="20"/>
                <w:szCs w:val="20"/>
              </w:rPr>
            </w:pPr>
            <w:r>
              <w:rPr>
                <w:rFonts w:ascii="Calibri" w:hAnsi="Calibri" w:cs="Cambria"/>
                <w:sz w:val="20"/>
                <w:szCs w:val="20"/>
              </w:rPr>
              <w:t>63,218,438.36</w:t>
            </w:r>
          </w:p>
        </w:tc>
        <w:tc>
          <w:tcPr>
            <w:tcW w:w="1735" w:type="dxa"/>
            <w:tcBorders>
              <w:top w:val="single" w:color="auto" w:sz="4" w:space="0"/>
              <w:left w:val="single" w:color="auto" w:sz="4" w:space="0"/>
              <w:bottom w:val="single" w:color="auto" w:sz="4" w:space="0"/>
              <w:right w:val="single" w:color="auto" w:sz="4" w:space="0"/>
            </w:tcBorders>
            <w:vAlign w:val="center"/>
          </w:tcPr>
          <w:p w14:paraId="5647A232">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50DAFE6B">
            <w:pPr>
              <w:jc w:val="right"/>
              <w:outlineLvl w:val="2"/>
              <w:rPr>
                <w:rFonts w:ascii="Calibri" w:hAnsi="Calibri" w:cs="Cambria"/>
                <w:sz w:val="20"/>
                <w:szCs w:val="20"/>
              </w:rPr>
            </w:pPr>
            <w:r>
              <w:rPr>
                <w:rFonts w:ascii="Calibri" w:hAnsi="Calibri" w:cs="Cambria"/>
                <w:sz w:val="20"/>
                <w:szCs w:val="20"/>
              </w:rPr>
              <w:t>63,218,438.36</w:t>
            </w:r>
          </w:p>
        </w:tc>
      </w:tr>
      <w:tr w14:paraId="36B7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563133C1">
            <w:pPr>
              <w:outlineLvl w:val="2"/>
              <w:rPr>
                <w:rFonts w:ascii="Calibri" w:hAnsi="Calibri" w:cs="Cambria"/>
                <w:sz w:val="20"/>
                <w:szCs w:val="20"/>
              </w:rPr>
            </w:pPr>
            <w:r>
              <w:rPr>
                <w:rFonts w:hint="eastAsia" w:ascii="Calibri" w:hAnsi="Calibri" w:cs="Cambria"/>
                <w:sz w:val="20"/>
                <w:szCs w:val="20"/>
              </w:rPr>
              <w:t>（</w:t>
            </w:r>
            <w:r>
              <w:rPr>
                <w:rFonts w:ascii="Calibri" w:hAnsi="Calibri" w:cs="Cambria"/>
                <w:sz w:val="20"/>
                <w:szCs w:val="20"/>
              </w:rPr>
              <w:t>1</w:t>
            </w:r>
            <w:r>
              <w:rPr>
                <w:rFonts w:hint="eastAsia" w:ascii="Calibri" w:hAnsi="Calibri" w:cs="Cambria"/>
                <w:sz w:val="20"/>
                <w:szCs w:val="20"/>
              </w:rPr>
              <w:t>）债务工具投资</w:t>
            </w:r>
          </w:p>
        </w:tc>
        <w:tc>
          <w:tcPr>
            <w:tcW w:w="1708" w:type="dxa"/>
            <w:tcBorders>
              <w:top w:val="single" w:color="auto" w:sz="4" w:space="0"/>
              <w:left w:val="single" w:color="auto" w:sz="4" w:space="0"/>
              <w:bottom w:val="single" w:color="auto" w:sz="4" w:space="0"/>
              <w:right w:val="single" w:color="auto" w:sz="4" w:space="0"/>
            </w:tcBorders>
            <w:vAlign w:val="center"/>
          </w:tcPr>
          <w:p w14:paraId="2A94D79D">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16B0AC3D">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4ABF076B">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7D0CAEE1">
            <w:pPr>
              <w:jc w:val="right"/>
              <w:outlineLvl w:val="2"/>
              <w:rPr>
                <w:rFonts w:ascii="Calibri" w:hAnsi="Calibri" w:cs="Cambria"/>
                <w:sz w:val="20"/>
                <w:szCs w:val="20"/>
              </w:rPr>
            </w:pPr>
          </w:p>
        </w:tc>
      </w:tr>
      <w:tr w14:paraId="066F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0731640A">
            <w:pPr>
              <w:outlineLvl w:val="2"/>
              <w:rPr>
                <w:rFonts w:ascii="Calibri" w:hAnsi="Calibri" w:cs="Cambria"/>
                <w:sz w:val="20"/>
                <w:szCs w:val="20"/>
              </w:rPr>
            </w:pPr>
            <w:r>
              <w:rPr>
                <w:rFonts w:hint="eastAsia" w:ascii="Calibri" w:hAnsi="Calibri" w:cs="Cambria"/>
                <w:sz w:val="20"/>
                <w:szCs w:val="20"/>
              </w:rPr>
              <w:t>（</w:t>
            </w:r>
            <w:r>
              <w:rPr>
                <w:rFonts w:ascii="Calibri" w:hAnsi="Calibri" w:cs="Cambria"/>
                <w:sz w:val="20"/>
                <w:szCs w:val="20"/>
              </w:rPr>
              <w:t>2</w:t>
            </w:r>
            <w:r>
              <w:rPr>
                <w:rFonts w:hint="eastAsia" w:ascii="Calibri" w:hAnsi="Calibri" w:cs="Cambria"/>
                <w:sz w:val="20"/>
                <w:szCs w:val="20"/>
              </w:rPr>
              <w:t>）权益工具投资</w:t>
            </w:r>
          </w:p>
        </w:tc>
        <w:tc>
          <w:tcPr>
            <w:tcW w:w="1708" w:type="dxa"/>
            <w:tcBorders>
              <w:top w:val="single" w:color="auto" w:sz="4" w:space="0"/>
              <w:left w:val="single" w:color="auto" w:sz="4" w:space="0"/>
              <w:bottom w:val="single" w:color="auto" w:sz="4" w:space="0"/>
              <w:right w:val="single" w:color="auto" w:sz="4" w:space="0"/>
            </w:tcBorders>
            <w:vAlign w:val="center"/>
          </w:tcPr>
          <w:p w14:paraId="4DF3DDC9">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1653C077">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5875174A">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70F07035">
            <w:pPr>
              <w:jc w:val="right"/>
              <w:outlineLvl w:val="2"/>
              <w:rPr>
                <w:rFonts w:ascii="Calibri" w:hAnsi="Calibri" w:cs="Cambria"/>
                <w:sz w:val="20"/>
                <w:szCs w:val="20"/>
              </w:rPr>
            </w:pPr>
          </w:p>
        </w:tc>
      </w:tr>
      <w:tr w14:paraId="6A9E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08DE650E">
            <w:pPr>
              <w:outlineLvl w:val="2"/>
              <w:rPr>
                <w:rFonts w:ascii="Calibri" w:hAnsi="Calibri" w:cs="Cambria"/>
                <w:sz w:val="20"/>
                <w:szCs w:val="20"/>
              </w:rPr>
            </w:pPr>
            <w:r>
              <w:rPr>
                <w:rFonts w:hint="eastAsia" w:ascii="Calibri" w:hAnsi="Calibri" w:cs="Cambria"/>
                <w:sz w:val="20"/>
                <w:szCs w:val="20"/>
              </w:rPr>
              <w:t>（3）衍生金融资产</w:t>
            </w:r>
          </w:p>
        </w:tc>
        <w:tc>
          <w:tcPr>
            <w:tcW w:w="1708" w:type="dxa"/>
            <w:tcBorders>
              <w:top w:val="single" w:color="auto" w:sz="4" w:space="0"/>
              <w:left w:val="single" w:color="auto" w:sz="4" w:space="0"/>
              <w:bottom w:val="single" w:color="auto" w:sz="4" w:space="0"/>
              <w:right w:val="single" w:color="auto" w:sz="4" w:space="0"/>
            </w:tcBorders>
            <w:vAlign w:val="center"/>
          </w:tcPr>
          <w:p w14:paraId="20E04978">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244A3E10">
            <w:pPr>
              <w:jc w:val="right"/>
              <w:outlineLvl w:val="2"/>
              <w:rPr>
                <w:rFonts w:ascii="Calibri" w:hAnsi="Calibri" w:cs="Cambria"/>
                <w:sz w:val="20"/>
                <w:szCs w:val="20"/>
              </w:rPr>
            </w:pPr>
            <w:r>
              <w:rPr>
                <w:rFonts w:ascii="Calibri" w:hAnsi="Calibri" w:cs="Cambria"/>
                <w:sz w:val="20"/>
                <w:szCs w:val="20"/>
              </w:rPr>
              <w:t>63,218,438.36</w:t>
            </w:r>
          </w:p>
        </w:tc>
        <w:tc>
          <w:tcPr>
            <w:tcW w:w="1735" w:type="dxa"/>
            <w:tcBorders>
              <w:top w:val="single" w:color="auto" w:sz="4" w:space="0"/>
              <w:left w:val="single" w:color="auto" w:sz="4" w:space="0"/>
              <w:bottom w:val="single" w:color="auto" w:sz="4" w:space="0"/>
              <w:right w:val="single" w:color="auto" w:sz="4" w:space="0"/>
            </w:tcBorders>
            <w:vAlign w:val="center"/>
          </w:tcPr>
          <w:p w14:paraId="208E3B63">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6FEB00EC">
            <w:pPr>
              <w:jc w:val="right"/>
              <w:outlineLvl w:val="2"/>
              <w:rPr>
                <w:rFonts w:ascii="Calibri" w:hAnsi="Calibri" w:cs="Cambria"/>
                <w:sz w:val="20"/>
                <w:szCs w:val="20"/>
              </w:rPr>
            </w:pPr>
            <w:r>
              <w:rPr>
                <w:rFonts w:ascii="Calibri" w:hAnsi="Calibri" w:cs="Cambria"/>
                <w:sz w:val="20"/>
                <w:szCs w:val="20"/>
              </w:rPr>
              <w:t>63,218,438.36</w:t>
            </w:r>
          </w:p>
        </w:tc>
      </w:tr>
      <w:tr w14:paraId="1934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0B01987A">
            <w:pPr>
              <w:outlineLvl w:val="2"/>
              <w:rPr>
                <w:rFonts w:ascii="Calibri" w:hAnsi="Calibri"/>
                <w:sz w:val="20"/>
                <w:szCs w:val="20"/>
              </w:rPr>
            </w:pPr>
            <w:r>
              <w:rPr>
                <w:rFonts w:hint="eastAsia" w:ascii="Calibri" w:hAnsi="Calibri"/>
                <w:sz w:val="20"/>
                <w:szCs w:val="20"/>
              </w:rPr>
              <w:t>（二）其他债权投资</w:t>
            </w:r>
          </w:p>
        </w:tc>
        <w:tc>
          <w:tcPr>
            <w:tcW w:w="1708" w:type="dxa"/>
            <w:tcBorders>
              <w:top w:val="single" w:color="auto" w:sz="4" w:space="0"/>
              <w:left w:val="single" w:color="auto" w:sz="4" w:space="0"/>
              <w:bottom w:val="single" w:color="auto" w:sz="4" w:space="0"/>
              <w:right w:val="single" w:color="auto" w:sz="4" w:space="0"/>
            </w:tcBorders>
            <w:vAlign w:val="center"/>
          </w:tcPr>
          <w:p w14:paraId="099A1362">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5A5B2F80">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754702E2">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47362B78">
            <w:pPr>
              <w:jc w:val="right"/>
              <w:outlineLvl w:val="2"/>
              <w:rPr>
                <w:rFonts w:ascii="Calibri" w:hAnsi="Calibri" w:cs="Cambria"/>
                <w:sz w:val="20"/>
                <w:szCs w:val="20"/>
              </w:rPr>
            </w:pPr>
          </w:p>
        </w:tc>
      </w:tr>
      <w:tr w14:paraId="6CCE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2D3E42C1">
            <w:pPr>
              <w:outlineLvl w:val="2"/>
              <w:rPr>
                <w:rFonts w:ascii="Calibri" w:hAnsi="Calibri"/>
                <w:sz w:val="20"/>
                <w:szCs w:val="20"/>
              </w:rPr>
            </w:pPr>
            <w:r>
              <w:rPr>
                <w:rFonts w:hint="eastAsia" w:ascii="Calibri" w:hAnsi="Calibri"/>
                <w:sz w:val="20"/>
                <w:szCs w:val="20"/>
              </w:rPr>
              <w:t>（三）其他权益工具投资</w:t>
            </w:r>
          </w:p>
        </w:tc>
        <w:tc>
          <w:tcPr>
            <w:tcW w:w="1708" w:type="dxa"/>
            <w:tcBorders>
              <w:top w:val="single" w:color="auto" w:sz="4" w:space="0"/>
              <w:left w:val="single" w:color="auto" w:sz="4" w:space="0"/>
              <w:bottom w:val="single" w:color="auto" w:sz="4" w:space="0"/>
              <w:right w:val="single" w:color="auto" w:sz="4" w:space="0"/>
            </w:tcBorders>
            <w:vAlign w:val="center"/>
          </w:tcPr>
          <w:p w14:paraId="01FB0B01">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67BCDDA6">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5F434C89">
            <w:pPr>
              <w:jc w:val="right"/>
              <w:outlineLvl w:val="2"/>
              <w:rPr>
                <w:rFonts w:ascii="Calibri" w:hAnsi="Calibri" w:cs="Cambria"/>
                <w:sz w:val="20"/>
                <w:szCs w:val="20"/>
              </w:rPr>
            </w:pPr>
            <w:r>
              <w:rPr>
                <w:rFonts w:ascii="Calibri" w:hAnsi="Calibri"/>
                <w:sz w:val="20"/>
                <w:szCs w:val="20"/>
              </w:rPr>
              <w:t>68,693,369.96</w:t>
            </w:r>
          </w:p>
        </w:tc>
        <w:tc>
          <w:tcPr>
            <w:tcW w:w="1514" w:type="dxa"/>
            <w:tcBorders>
              <w:top w:val="single" w:color="auto" w:sz="4" w:space="0"/>
              <w:left w:val="single" w:color="auto" w:sz="4" w:space="0"/>
              <w:bottom w:val="single" w:color="auto" w:sz="4" w:space="0"/>
              <w:right w:val="single" w:color="auto" w:sz="4" w:space="0"/>
            </w:tcBorders>
            <w:vAlign w:val="center"/>
          </w:tcPr>
          <w:p w14:paraId="183A42C0">
            <w:pPr>
              <w:jc w:val="right"/>
              <w:outlineLvl w:val="2"/>
              <w:rPr>
                <w:rFonts w:ascii="Calibri" w:hAnsi="Calibri" w:cs="Cambria"/>
                <w:sz w:val="20"/>
                <w:szCs w:val="20"/>
              </w:rPr>
            </w:pPr>
            <w:r>
              <w:rPr>
                <w:rFonts w:ascii="Calibri" w:hAnsi="Calibri"/>
                <w:sz w:val="20"/>
                <w:szCs w:val="20"/>
              </w:rPr>
              <w:t>68,693,369.96</w:t>
            </w:r>
          </w:p>
        </w:tc>
      </w:tr>
      <w:tr w14:paraId="6C425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54C630CF">
            <w:pPr>
              <w:outlineLvl w:val="2"/>
              <w:rPr>
                <w:rFonts w:ascii="Calibri" w:hAnsi="Calibri" w:cs="Cambria"/>
                <w:sz w:val="20"/>
                <w:szCs w:val="20"/>
              </w:rPr>
            </w:pPr>
            <w:r>
              <w:rPr>
                <w:rFonts w:hint="eastAsia" w:ascii="Calibri" w:hAnsi="Calibri" w:cs="Cambria"/>
                <w:sz w:val="20"/>
                <w:szCs w:val="20"/>
              </w:rPr>
              <w:t>（四）投资性房地产</w:t>
            </w:r>
          </w:p>
        </w:tc>
        <w:tc>
          <w:tcPr>
            <w:tcW w:w="1708" w:type="dxa"/>
            <w:tcBorders>
              <w:top w:val="single" w:color="auto" w:sz="4" w:space="0"/>
              <w:left w:val="single" w:color="auto" w:sz="4" w:space="0"/>
              <w:bottom w:val="single" w:color="auto" w:sz="4" w:space="0"/>
              <w:right w:val="single" w:color="auto" w:sz="4" w:space="0"/>
            </w:tcBorders>
            <w:vAlign w:val="center"/>
          </w:tcPr>
          <w:p w14:paraId="373E89BB">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49BB1C01">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638EB872">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44DFE6C4">
            <w:pPr>
              <w:jc w:val="right"/>
              <w:outlineLvl w:val="2"/>
              <w:rPr>
                <w:rFonts w:ascii="Calibri" w:hAnsi="Calibri" w:cs="Cambria"/>
                <w:sz w:val="20"/>
                <w:szCs w:val="20"/>
              </w:rPr>
            </w:pPr>
          </w:p>
        </w:tc>
      </w:tr>
      <w:tr w14:paraId="2670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15C06789">
            <w:pPr>
              <w:outlineLvl w:val="2"/>
              <w:rPr>
                <w:rFonts w:ascii="Calibri" w:hAnsi="Calibri" w:cs="Cambria"/>
                <w:sz w:val="20"/>
                <w:szCs w:val="20"/>
              </w:rPr>
            </w:pPr>
            <w:r>
              <w:rPr>
                <w:rFonts w:ascii="Calibri" w:hAnsi="Calibri" w:cs="Cambria"/>
                <w:sz w:val="20"/>
                <w:szCs w:val="20"/>
              </w:rPr>
              <w:t>1.</w:t>
            </w:r>
            <w:r>
              <w:rPr>
                <w:rFonts w:hint="eastAsia" w:ascii="Calibri" w:hAnsi="Calibri" w:cs="Cambria"/>
                <w:sz w:val="20"/>
                <w:szCs w:val="20"/>
              </w:rPr>
              <w:t>出租用的土地使用权</w:t>
            </w:r>
          </w:p>
        </w:tc>
        <w:tc>
          <w:tcPr>
            <w:tcW w:w="1708" w:type="dxa"/>
            <w:tcBorders>
              <w:top w:val="single" w:color="auto" w:sz="4" w:space="0"/>
              <w:left w:val="single" w:color="auto" w:sz="4" w:space="0"/>
              <w:bottom w:val="single" w:color="auto" w:sz="4" w:space="0"/>
              <w:right w:val="single" w:color="auto" w:sz="4" w:space="0"/>
            </w:tcBorders>
            <w:vAlign w:val="center"/>
          </w:tcPr>
          <w:p w14:paraId="5F4A145E">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435B02BD">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18A527E9">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37AF24FF">
            <w:pPr>
              <w:jc w:val="right"/>
              <w:outlineLvl w:val="2"/>
              <w:rPr>
                <w:rFonts w:ascii="Calibri" w:hAnsi="Calibri" w:cs="Cambria"/>
                <w:sz w:val="20"/>
                <w:szCs w:val="20"/>
              </w:rPr>
            </w:pPr>
          </w:p>
        </w:tc>
      </w:tr>
      <w:tr w14:paraId="1506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42A55EC2">
            <w:pPr>
              <w:outlineLvl w:val="2"/>
              <w:rPr>
                <w:rFonts w:ascii="Calibri" w:hAnsi="Calibri" w:cs="Cambria"/>
                <w:sz w:val="20"/>
                <w:szCs w:val="20"/>
              </w:rPr>
            </w:pPr>
            <w:r>
              <w:rPr>
                <w:rFonts w:ascii="Calibri" w:hAnsi="Calibri" w:cs="Cambria"/>
                <w:sz w:val="20"/>
                <w:szCs w:val="20"/>
              </w:rPr>
              <w:t>2.</w:t>
            </w:r>
            <w:r>
              <w:rPr>
                <w:rFonts w:hint="eastAsia" w:ascii="Calibri" w:hAnsi="Calibri" w:cs="Cambria"/>
                <w:sz w:val="20"/>
                <w:szCs w:val="20"/>
              </w:rPr>
              <w:t>出租的建筑物</w:t>
            </w:r>
          </w:p>
        </w:tc>
        <w:tc>
          <w:tcPr>
            <w:tcW w:w="1708" w:type="dxa"/>
            <w:tcBorders>
              <w:top w:val="single" w:color="auto" w:sz="4" w:space="0"/>
              <w:left w:val="single" w:color="auto" w:sz="4" w:space="0"/>
              <w:bottom w:val="single" w:color="auto" w:sz="4" w:space="0"/>
              <w:right w:val="single" w:color="auto" w:sz="4" w:space="0"/>
            </w:tcBorders>
            <w:vAlign w:val="center"/>
          </w:tcPr>
          <w:p w14:paraId="0E036ACB">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4EA862AE">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325F6103">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046DF495">
            <w:pPr>
              <w:jc w:val="right"/>
              <w:outlineLvl w:val="2"/>
              <w:rPr>
                <w:rFonts w:ascii="Calibri" w:hAnsi="Calibri" w:cs="Cambria"/>
                <w:sz w:val="20"/>
                <w:szCs w:val="20"/>
              </w:rPr>
            </w:pPr>
          </w:p>
        </w:tc>
      </w:tr>
      <w:tr w14:paraId="1CDE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423" w:type="dxa"/>
            <w:tcBorders>
              <w:top w:val="single" w:color="auto" w:sz="4" w:space="0"/>
              <w:left w:val="single" w:color="auto" w:sz="4" w:space="0"/>
              <w:bottom w:val="single" w:color="auto" w:sz="4" w:space="0"/>
              <w:right w:val="single" w:color="auto" w:sz="4" w:space="0"/>
            </w:tcBorders>
            <w:vAlign w:val="center"/>
          </w:tcPr>
          <w:p w14:paraId="0A4F187D">
            <w:pPr>
              <w:outlineLvl w:val="2"/>
              <w:rPr>
                <w:rFonts w:ascii="Calibri" w:hAnsi="Calibri" w:cs="Cambria"/>
                <w:sz w:val="20"/>
                <w:szCs w:val="20"/>
              </w:rPr>
            </w:pPr>
            <w:r>
              <w:rPr>
                <w:rFonts w:ascii="Calibri" w:hAnsi="Calibri" w:cs="Cambria"/>
                <w:sz w:val="20"/>
                <w:szCs w:val="20"/>
              </w:rPr>
              <w:t>3.</w:t>
            </w:r>
            <w:r>
              <w:rPr>
                <w:rFonts w:hint="eastAsia" w:ascii="Calibri" w:hAnsi="Calibri" w:cs="Cambria"/>
                <w:sz w:val="20"/>
                <w:szCs w:val="20"/>
              </w:rPr>
              <w:t>持有并准备增值后转让的土地使用权</w:t>
            </w:r>
          </w:p>
        </w:tc>
        <w:tc>
          <w:tcPr>
            <w:tcW w:w="1708" w:type="dxa"/>
            <w:tcBorders>
              <w:top w:val="single" w:color="auto" w:sz="4" w:space="0"/>
              <w:left w:val="single" w:color="auto" w:sz="4" w:space="0"/>
              <w:bottom w:val="single" w:color="auto" w:sz="4" w:space="0"/>
              <w:right w:val="single" w:color="auto" w:sz="4" w:space="0"/>
            </w:tcBorders>
            <w:vAlign w:val="center"/>
          </w:tcPr>
          <w:p w14:paraId="5DD77964">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14C8D354">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1C24ABEB">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7A23532B">
            <w:pPr>
              <w:jc w:val="right"/>
              <w:outlineLvl w:val="2"/>
              <w:rPr>
                <w:rFonts w:ascii="Calibri" w:hAnsi="Calibri" w:cs="Cambria"/>
                <w:sz w:val="20"/>
                <w:szCs w:val="20"/>
              </w:rPr>
            </w:pPr>
          </w:p>
        </w:tc>
      </w:tr>
      <w:tr w14:paraId="4A48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4301499A">
            <w:pPr>
              <w:outlineLvl w:val="2"/>
              <w:rPr>
                <w:rFonts w:ascii="Calibri" w:hAnsi="Calibri" w:cs="Cambria"/>
                <w:sz w:val="20"/>
                <w:szCs w:val="20"/>
              </w:rPr>
            </w:pPr>
            <w:r>
              <w:rPr>
                <w:rFonts w:hint="eastAsia" w:ascii="Calibri" w:hAnsi="Calibri" w:cs="Cambria"/>
                <w:sz w:val="20"/>
                <w:szCs w:val="20"/>
              </w:rPr>
              <w:t>（五）生物资产</w:t>
            </w:r>
          </w:p>
        </w:tc>
        <w:tc>
          <w:tcPr>
            <w:tcW w:w="1708" w:type="dxa"/>
            <w:tcBorders>
              <w:top w:val="single" w:color="auto" w:sz="4" w:space="0"/>
              <w:left w:val="single" w:color="auto" w:sz="4" w:space="0"/>
              <w:bottom w:val="single" w:color="auto" w:sz="4" w:space="0"/>
              <w:right w:val="single" w:color="auto" w:sz="4" w:space="0"/>
            </w:tcBorders>
            <w:vAlign w:val="center"/>
          </w:tcPr>
          <w:p w14:paraId="3BF2171B">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1918C19F">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38370DA5">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5941E139">
            <w:pPr>
              <w:jc w:val="right"/>
              <w:outlineLvl w:val="2"/>
              <w:rPr>
                <w:rFonts w:ascii="Calibri" w:hAnsi="Calibri" w:cs="Cambria"/>
                <w:sz w:val="20"/>
                <w:szCs w:val="20"/>
              </w:rPr>
            </w:pPr>
          </w:p>
        </w:tc>
      </w:tr>
      <w:tr w14:paraId="33F3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06F620DE">
            <w:pPr>
              <w:outlineLvl w:val="2"/>
              <w:rPr>
                <w:rFonts w:ascii="Calibri" w:hAnsi="Calibri" w:cs="Cambria"/>
                <w:sz w:val="20"/>
                <w:szCs w:val="20"/>
              </w:rPr>
            </w:pPr>
            <w:r>
              <w:rPr>
                <w:rFonts w:ascii="Calibri" w:hAnsi="Calibri" w:cs="Cambria"/>
                <w:sz w:val="20"/>
                <w:szCs w:val="20"/>
              </w:rPr>
              <w:t>1.</w:t>
            </w:r>
            <w:r>
              <w:rPr>
                <w:rFonts w:hint="eastAsia" w:ascii="Calibri" w:hAnsi="Calibri" w:cs="Cambria"/>
                <w:sz w:val="20"/>
                <w:szCs w:val="20"/>
              </w:rPr>
              <w:t>消耗性生物资产</w:t>
            </w:r>
          </w:p>
        </w:tc>
        <w:tc>
          <w:tcPr>
            <w:tcW w:w="1708" w:type="dxa"/>
            <w:tcBorders>
              <w:top w:val="single" w:color="auto" w:sz="4" w:space="0"/>
              <w:left w:val="single" w:color="auto" w:sz="4" w:space="0"/>
              <w:bottom w:val="single" w:color="auto" w:sz="4" w:space="0"/>
              <w:right w:val="single" w:color="auto" w:sz="4" w:space="0"/>
            </w:tcBorders>
            <w:vAlign w:val="center"/>
          </w:tcPr>
          <w:p w14:paraId="6C7CDA46">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7F3335BD">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3982711A">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713FE373">
            <w:pPr>
              <w:jc w:val="right"/>
              <w:outlineLvl w:val="2"/>
              <w:rPr>
                <w:rFonts w:ascii="Calibri" w:hAnsi="Calibri" w:cs="Cambria"/>
                <w:sz w:val="20"/>
                <w:szCs w:val="20"/>
              </w:rPr>
            </w:pPr>
          </w:p>
        </w:tc>
      </w:tr>
      <w:tr w14:paraId="61BF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5F3FEBBC">
            <w:pPr>
              <w:outlineLvl w:val="2"/>
              <w:rPr>
                <w:rFonts w:ascii="Calibri" w:hAnsi="Calibri" w:cs="Cambria"/>
                <w:sz w:val="20"/>
                <w:szCs w:val="20"/>
              </w:rPr>
            </w:pPr>
            <w:r>
              <w:rPr>
                <w:rFonts w:ascii="Calibri" w:hAnsi="Calibri" w:cs="Cambria"/>
                <w:sz w:val="20"/>
                <w:szCs w:val="20"/>
              </w:rPr>
              <w:t>2.</w:t>
            </w:r>
            <w:r>
              <w:rPr>
                <w:rFonts w:hint="eastAsia" w:ascii="Calibri" w:hAnsi="Calibri" w:cs="Cambria"/>
                <w:sz w:val="20"/>
                <w:szCs w:val="20"/>
              </w:rPr>
              <w:t>生产性生物资产</w:t>
            </w:r>
          </w:p>
        </w:tc>
        <w:tc>
          <w:tcPr>
            <w:tcW w:w="1708" w:type="dxa"/>
            <w:tcBorders>
              <w:top w:val="single" w:color="auto" w:sz="4" w:space="0"/>
              <w:left w:val="single" w:color="auto" w:sz="4" w:space="0"/>
              <w:bottom w:val="single" w:color="auto" w:sz="4" w:space="0"/>
              <w:right w:val="single" w:color="auto" w:sz="4" w:space="0"/>
            </w:tcBorders>
            <w:vAlign w:val="center"/>
          </w:tcPr>
          <w:p w14:paraId="777C1DBC">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5FA11994">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2D1341FB">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1FBF87C4">
            <w:pPr>
              <w:jc w:val="right"/>
              <w:outlineLvl w:val="2"/>
              <w:rPr>
                <w:rFonts w:ascii="Calibri" w:hAnsi="Calibri" w:cs="Cambria"/>
                <w:sz w:val="20"/>
                <w:szCs w:val="20"/>
              </w:rPr>
            </w:pPr>
          </w:p>
        </w:tc>
      </w:tr>
      <w:tr w14:paraId="2CE5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2F632009">
            <w:pPr>
              <w:outlineLvl w:val="2"/>
              <w:rPr>
                <w:rFonts w:ascii="Calibri" w:hAnsi="Calibri" w:cs="Cambria"/>
                <w:sz w:val="20"/>
                <w:szCs w:val="20"/>
              </w:rPr>
            </w:pPr>
            <w:r>
              <w:rPr>
                <w:rFonts w:hint="eastAsia" w:ascii="Calibri" w:hAnsi="Calibri" w:cs="Cambria"/>
                <w:sz w:val="20"/>
                <w:szCs w:val="20"/>
              </w:rPr>
              <w:t>（六）应收款项融资</w:t>
            </w:r>
          </w:p>
        </w:tc>
        <w:tc>
          <w:tcPr>
            <w:tcW w:w="1708" w:type="dxa"/>
            <w:tcBorders>
              <w:top w:val="single" w:color="auto" w:sz="4" w:space="0"/>
              <w:left w:val="single" w:color="auto" w:sz="4" w:space="0"/>
              <w:bottom w:val="single" w:color="auto" w:sz="4" w:space="0"/>
              <w:right w:val="single" w:color="auto" w:sz="4" w:space="0"/>
            </w:tcBorders>
            <w:vAlign w:val="center"/>
          </w:tcPr>
          <w:p w14:paraId="787ABFF3">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149514EB">
            <w:pPr>
              <w:jc w:val="right"/>
              <w:outlineLvl w:val="2"/>
              <w:rPr>
                <w:rFonts w:ascii="Calibri" w:hAnsi="Calibri" w:cs="Cambria"/>
                <w:sz w:val="20"/>
                <w:szCs w:val="20"/>
              </w:rPr>
            </w:pPr>
            <w:r>
              <w:rPr>
                <w:rFonts w:ascii="Calibri" w:hAnsi="Calibri" w:cs="Cambria"/>
                <w:sz w:val="20"/>
                <w:szCs w:val="20"/>
              </w:rPr>
              <w:t>58,067,116.90</w:t>
            </w:r>
          </w:p>
        </w:tc>
        <w:tc>
          <w:tcPr>
            <w:tcW w:w="1735" w:type="dxa"/>
            <w:tcBorders>
              <w:top w:val="single" w:color="auto" w:sz="4" w:space="0"/>
              <w:left w:val="single" w:color="auto" w:sz="4" w:space="0"/>
              <w:bottom w:val="single" w:color="auto" w:sz="4" w:space="0"/>
              <w:right w:val="single" w:color="auto" w:sz="4" w:space="0"/>
            </w:tcBorders>
            <w:vAlign w:val="center"/>
          </w:tcPr>
          <w:p w14:paraId="47A84467">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1DBDDEB3">
            <w:pPr>
              <w:jc w:val="right"/>
              <w:outlineLvl w:val="2"/>
              <w:rPr>
                <w:rFonts w:ascii="Calibri" w:hAnsi="Calibri" w:cs="Cambria"/>
                <w:sz w:val="20"/>
                <w:szCs w:val="20"/>
              </w:rPr>
            </w:pPr>
            <w:r>
              <w:rPr>
                <w:rFonts w:ascii="Calibri" w:hAnsi="Calibri" w:cs="Cambria"/>
                <w:sz w:val="20"/>
                <w:szCs w:val="20"/>
              </w:rPr>
              <w:t>58,067,116.90</w:t>
            </w:r>
          </w:p>
        </w:tc>
      </w:tr>
      <w:tr w14:paraId="66B3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423" w:type="dxa"/>
            <w:tcBorders>
              <w:top w:val="single" w:color="auto" w:sz="4" w:space="0"/>
              <w:left w:val="single" w:color="auto" w:sz="4" w:space="0"/>
              <w:bottom w:val="single" w:color="auto" w:sz="4" w:space="0"/>
              <w:right w:val="single" w:color="auto" w:sz="4" w:space="0"/>
            </w:tcBorders>
            <w:vAlign w:val="center"/>
          </w:tcPr>
          <w:p w14:paraId="45136C81">
            <w:pPr>
              <w:outlineLvl w:val="2"/>
              <w:rPr>
                <w:rFonts w:ascii="Calibri" w:hAnsi="Calibri" w:cs="Cambria"/>
                <w:b/>
                <w:sz w:val="20"/>
                <w:szCs w:val="20"/>
              </w:rPr>
            </w:pPr>
            <w:r>
              <w:rPr>
                <w:rFonts w:hint="eastAsia" w:ascii="Calibri" w:hAnsi="Calibri" w:cs="Cambria"/>
                <w:b/>
                <w:sz w:val="20"/>
                <w:szCs w:val="20"/>
              </w:rPr>
              <w:t>持续以公允价值计量的资产总额</w:t>
            </w:r>
          </w:p>
        </w:tc>
        <w:tc>
          <w:tcPr>
            <w:tcW w:w="1708" w:type="dxa"/>
            <w:tcBorders>
              <w:top w:val="single" w:color="auto" w:sz="4" w:space="0"/>
              <w:left w:val="single" w:color="auto" w:sz="4" w:space="0"/>
              <w:bottom w:val="single" w:color="auto" w:sz="4" w:space="0"/>
              <w:right w:val="single" w:color="auto" w:sz="4" w:space="0"/>
            </w:tcBorders>
            <w:vAlign w:val="center"/>
          </w:tcPr>
          <w:p w14:paraId="67B4E654">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5834FEED">
            <w:pPr>
              <w:jc w:val="right"/>
              <w:outlineLvl w:val="2"/>
              <w:rPr>
                <w:rFonts w:ascii="Calibri" w:hAnsi="Calibri" w:cs="Cambria"/>
                <w:sz w:val="20"/>
                <w:szCs w:val="20"/>
              </w:rPr>
            </w:pPr>
            <w:r>
              <w:rPr>
                <w:rFonts w:ascii="Calibri" w:hAnsi="Calibri"/>
                <w:sz w:val="20"/>
                <w:szCs w:val="20"/>
              </w:rPr>
              <w:t>121,285,555.26</w:t>
            </w:r>
          </w:p>
        </w:tc>
        <w:tc>
          <w:tcPr>
            <w:tcW w:w="1735" w:type="dxa"/>
            <w:tcBorders>
              <w:top w:val="single" w:color="auto" w:sz="4" w:space="0"/>
              <w:left w:val="single" w:color="auto" w:sz="4" w:space="0"/>
              <w:bottom w:val="single" w:color="auto" w:sz="4" w:space="0"/>
              <w:right w:val="single" w:color="auto" w:sz="4" w:space="0"/>
            </w:tcBorders>
            <w:vAlign w:val="center"/>
          </w:tcPr>
          <w:p w14:paraId="33C2091F">
            <w:pPr>
              <w:jc w:val="right"/>
              <w:outlineLvl w:val="2"/>
              <w:rPr>
                <w:rFonts w:ascii="Calibri" w:hAnsi="Calibri" w:cs="Cambria"/>
                <w:sz w:val="20"/>
                <w:szCs w:val="20"/>
              </w:rPr>
            </w:pPr>
            <w:r>
              <w:rPr>
                <w:rFonts w:ascii="Calibri" w:hAnsi="Calibri"/>
                <w:sz w:val="20"/>
                <w:szCs w:val="20"/>
              </w:rPr>
              <w:t>68,693,369.96</w:t>
            </w:r>
          </w:p>
        </w:tc>
        <w:tc>
          <w:tcPr>
            <w:tcW w:w="1514" w:type="dxa"/>
            <w:tcBorders>
              <w:top w:val="single" w:color="auto" w:sz="4" w:space="0"/>
              <w:left w:val="single" w:color="auto" w:sz="4" w:space="0"/>
              <w:bottom w:val="single" w:color="auto" w:sz="4" w:space="0"/>
              <w:right w:val="single" w:color="auto" w:sz="4" w:space="0"/>
            </w:tcBorders>
            <w:vAlign w:val="center"/>
          </w:tcPr>
          <w:p w14:paraId="34B9ED65">
            <w:pPr>
              <w:jc w:val="right"/>
              <w:outlineLvl w:val="2"/>
              <w:rPr>
                <w:rFonts w:ascii="Calibri" w:hAnsi="Calibri" w:cs="Cambria"/>
                <w:sz w:val="20"/>
                <w:szCs w:val="20"/>
              </w:rPr>
            </w:pPr>
            <w:r>
              <w:rPr>
                <w:rFonts w:ascii="Calibri" w:hAnsi="Calibri"/>
                <w:sz w:val="20"/>
                <w:szCs w:val="20"/>
              </w:rPr>
              <w:t>189,978,925.22</w:t>
            </w:r>
          </w:p>
        </w:tc>
      </w:tr>
      <w:tr w14:paraId="580E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423" w:type="dxa"/>
            <w:tcBorders>
              <w:top w:val="single" w:color="auto" w:sz="4" w:space="0"/>
              <w:left w:val="single" w:color="auto" w:sz="4" w:space="0"/>
              <w:bottom w:val="single" w:color="auto" w:sz="4" w:space="0"/>
              <w:right w:val="single" w:color="auto" w:sz="4" w:space="0"/>
            </w:tcBorders>
            <w:vAlign w:val="center"/>
          </w:tcPr>
          <w:p w14:paraId="2191D7EE">
            <w:pPr>
              <w:outlineLvl w:val="2"/>
              <w:rPr>
                <w:rFonts w:ascii="Calibri" w:hAnsi="Calibri" w:cs="Cambria"/>
                <w:sz w:val="20"/>
                <w:szCs w:val="20"/>
              </w:rPr>
            </w:pPr>
            <w:r>
              <w:rPr>
                <w:rFonts w:hint="eastAsia" w:ascii="Calibri" w:hAnsi="Calibri" w:cs="Cambria"/>
                <w:sz w:val="20"/>
                <w:szCs w:val="20"/>
              </w:rPr>
              <w:t>（七）交易性金融负债</w:t>
            </w:r>
          </w:p>
        </w:tc>
        <w:tc>
          <w:tcPr>
            <w:tcW w:w="1708" w:type="dxa"/>
            <w:tcBorders>
              <w:top w:val="single" w:color="auto" w:sz="4" w:space="0"/>
              <w:left w:val="single" w:color="auto" w:sz="4" w:space="0"/>
              <w:bottom w:val="single" w:color="auto" w:sz="4" w:space="0"/>
              <w:right w:val="single" w:color="auto" w:sz="4" w:space="0"/>
            </w:tcBorders>
            <w:vAlign w:val="center"/>
          </w:tcPr>
          <w:p w14:paraId="2BD35C70">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01F64604">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3E4973A5">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02216072">
            <w:pPr>
              <w:jc w:val="right"/>
              <w:outlineLvl w:val="2"/>
              <w:rPr>
                <w:rFonts w:ascii="Calibri" w:hAnsi="Calibri" w:cs="Cambria"/>
                <w:sz w:val="20"/>
                <w:szCs w:val="20"/>
              </w:rPr>
            </w:pPr>
          </w:p>
        </w:tc>
      </w:tr>
      <w:tr w14:paraId="0BD4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423" w:type="dxa"/>
            <w:tcBorders>
              <w:top w:val="single" w:color="auto" w:sz="4" w:space="0"/>
              <w:left w:val="single" w:color="auto" w:sz="4" w:space="0"/>
              <w:bottom w:val="single" w:color="auto" w:sz="4" w:space="0"/>
              <w:right w:val="single" w:color="auto" w:sz="4" w:space="0"/>
            </w:tcBorders>
            <w:vAlign w:val="center"/>
          </w:tcPr>
          <w:p w14:paraId="6C653F03">
            <w:pPr>
              <w:outlineLvl w:val="2"/>
              <w:rPr>
                <w:rFonts w:ascii="Calibri" w:hAnsi="Calibri" w:cs="Cambria"/>
                <w:sz w:val="20"/>
                <w:szCs w:val="20"/>
              </w:rPr>
            </w:pPr>
            <w:r>
              <w:rPr>
                <w:rFonts w:ascii="Calibri" w:hAnsi="Calibri" w:cs="Cambria"/>
                <w:sz w:val="20"/>
                <w:szCs w:val="20"/>
              </w:rPr>
              <w:t>1.以公允价值计量且变动计入当期损益的金融负债</w:t>
            </w:r>
          </w:p>
        </w:tc>
        <w:tc>
          <w:tcPr>
            <w:tcW w:w="1708" w:type="dxa"/>
            <w:tcBorders>
              <w:top w:val="single" w:color="auto" w:sz="4" w:space="0"/>
              <w:left w:val="single" w:color="auto" w:sz="4" w:space="0"/>
              <w:bottom w:val="single" w:color="auto" w:sz="4" w:space="0"/>
              <w:right w:val="single" w:color="auto" w:sz="4" w:space="0"/>
            </w:tcBorders>
            <w:vAlign w:val="center"/>
          </w:tcPr>
          <w:p w14:paraId="60D23E4D">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59438BE1">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07C3B5ED">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0F1AE73A">
            <w:pPr>
              <w:jc w:val="right"/>
              <w:outlineLvl w:val="2"/>
              <w:rPr>
                <w:rFonts w:ascii="Calibri" w:hAnsi="Calibri" w:cs="Cambria"/>
                <w:sz w:val="20"/>
                <w:szCs w:val="20"/>
              </w:rPr>
            </w:pPr>
          </w:p>
        </w:tc>
      </w:tr>
      <w:tr w14:paraId="2C5A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6F13D966">
            <w:pPr>
              <w:outlineLvl w:val="2"/>
              <w:rPr>
                <w:rFonts w:ascii="Calibri" w:hAnsi="Calibri" w:cs="Cambria"/>
                <w:sz w:val="20"/>
                <w:szCs w:val="20"/>
              </w:rPr>
            </w:pPr>
            <w:r>
              <w:rPr>
                <w:rFonts w:hint="eastAsia" w:ascii="Calibri" w:hAnsi="Calibri" w:cs="Cambria"/>
                <w:sz w:val="20"/>
                <w:szCs w:val="20"/>
              </w:rPr>
              <w:t>其中：发行的交易性债券</w:t>
            </w:r>
          </w:p>
        </w:tc>
        <w:tc>
          <w:tcPr>
            <w:tcW w:w="1708" w:type="dxa"/>
            <w:tcBorders>
              <w:top w:val="single" w:color="auto" w:sz="4" w:space="0"/>
              <w:left w:val="single" w:color="auto" w:sz="4" w:space="0"/>
              <w:bottom w:val="single" w:color="auto" w:sz="4" w:space="0"/>
              <w:right w:val="single" w:color="auto" w:sz="4" w:space="0"/>
            </w:tcBorders>
            <w:vAlign w:val="center"/>
          </w:tcPr>
          <w:p w14:paraId="728CFA9D">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581AF3FD">
            <w:pPr>
              <w:jc w:val="right"/>
              <w:rPr>
                <w:rFonts w:ascii="Calibri" w:hAnsi="Calibri"/>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455EA9AA">
            <w:pPr>
              <w:jc w:val="right"/>
              <w:rPr>
                <w:rFonts w:ascii="Calibri" w:hAnsi="Calibri"/>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3ED90CEE">
            <w:pPr>
              <w:jc w:val="right"/>
              <w:rPr>
                <w:rFonts w:ascii="Calibri" w:hAnsi="Calibri"/>
                <w:sz w:val="20"/>
                <w:szCs w:val="20"/>
              </w:rPr>
            </w:pPr>
          </w:p>
        </w:tc>
      </w:tr>
      <w:tr w14:paraId="517A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423" w:type="dxa"/>
            <w:tcBorders>
              <w:top w:val="single" w:color="auto" w:sz="4" w:space="0"/>
              <w:left w:val="single" w:color="auto" w:sz="4" w:space="0"/>
              <w:bottom w:val="single" w:color="auto" w:sz="4" w:space="0"/>
              <w:right w:val="single" w:color="auto" w:sz="4" w:space="0"/>
            </w:tcBorders>
            <w:vAlign w:val="center"/>
          </w:tcPr>
          <w:p w14:paraId="15E5179F">
            <w:pPr>
              <w:tabs>
                <w:tab w:val="left" w:pos="432"/>
                <w:tab w:val="center" w:pos="5630"/>
                <w:tab w:val="center" w:pos="7430"/>
              </w:tabs>
              <w:ind w:firstLine="600" w:firstLineChars="300"/>
              <w:rPr>
                <w:rFonts w:ascii="Calibri" w:hAnsi="Calibri" w:cs="Cambria"/>
                <w:sz w:val="20"/>
                <w:szCs w:val="20"/>
              </w:rPr>
            </w:pPr>
            <w:r>
              <w:rPr>
                <w:rFonts w:hint="eastAsia" w:ascii="Calibri" w:hAnsi="Calibri" w:cs="Cambria"/>
                <w:sz w:val="20"/>
                <w:szCs w:val="20"/>
              </w:rPr>
              <w:t>衍生金融负债</w:t>
            </w:r>
          </w:p>
        </w:tc>
        <w:tc>
          <w:tcPr>
            <w:tcW w:w="1708" w:type="dxa"/>
            <w:tcBorders>
              <w:top w:val="single" w:color="auto" w:sz="4" w:space="0"/>
              <w:left w:val="single" w:color="auto" w:sz="4" w:space="0"/>
              <w:bottom w:val="single" w:color="auto" w:sz="4" w:space="0"/>
              <w:right w:val="single" w:color="auto" w:sz="4" w:space="0"/>
            </w:tcBorders>
            <w:vAlign w:val="center"/>
          </w:tcPr>
          <w:p w14:paraId="2B13C6E1">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1536AD06">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7117610B">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6460ADE9">
            <w:pPr>
              <w:jc w:val="right"/>
              <w:outlineLvl w:val="2"/>
              <w:rPr>
                <w:rFonts w:ascii="Calibri" w:hAnsi="Calibri" w:cs="Cambria"/>
                <w:sz w:val="20"/>
                <w:szCs w:val="20"/>
              </w:rPr>
            </w:pPr>
          </w:p>
        </w:tc>
      </w:tr>
      <w:tr w14:paraId="3969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423" w:type="dxa"/>
            <w:tcBorders>
              <w:top w:val="single" w:color="auto" w:sz="4" w:space="0"/>
              <w:left w:val="single" w:color="auto" w:sz="4" w:space="0"/>
              <w:bottom w:val="single" w:color="auto" w:sz="4" w:space="0"/>
              <w:right w:val="single" w:color="auto" w:sz="4" w:space="0"/>
            </w:tcBorders>
            <w:vAlign w:val="center"/>
          </w:tcPr>
          <w:p w14:paraId="5AACC8F6">
            <w:pPr>
              <w:tabs>
                <w:tab w:val="left" w:pos="432"/>
                <w:tab w:val="center" w:pos="5630"/>
                <w:tab w:val="center" w:pos="7430"/>
              </w:tabs>
              <w:ind w:firstLine="600" w:firstLineChars="300"/>
              <w:rPr>
                <w:rFonts w:ascii="Calibri" w:hAnsi="Calibri" w:cs="Cambria"/>
                <w:sz w:val="20"/>
                <w:szCs w:val="20"/>
              </w:rPr>
            </w:pPr>
            <w:r>
              <w:rPr>
                <w:rFonts w:hint="eastAsia" w:ascii="Calibri" w:hAnsi="Calibri" w:cs="Cambria"/>
                <w:sz w:val="20"/>
                <w:szCs w:val="20"/>
              </w:rPr>
              <w:t>其他</w:t>
            </w:r>
          </w:p>
        </w:tc>
        <w:tc>
          <w:tcPr>
            <w:tcW w:w="1708" w:type="dxa"/>
            <w:tcBorders>
              <w:top w:val="single" w:color="auto" w:sz="4" w:space="0"/>
              <w:left w:val="single" w:color="auto" w:sz="4" w:space="0"/>
              <w:bottom w:val="single" w:color="auto" w:sz="4" w:space="0"/>
              <w:right w:val="single" w:color="auto" w:sz="4" w:space="0"/>
            </w:tcBorders>
            <w:vAlign w:val="center"/>
          </w:tcPr>
          <w:p w14:paraId="46E96CEF">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28FCF944">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069327A2">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5CE74CA8">
            <w:pPr>
              <w:jc w:val="right"/>
              <w:outlineLvl w:val="2"/>
              <w:rPr>
                <w:rFonts w:ascii="Calibri" w:hAnsi="Calibri" w:cs="Cambria"/>
                <w:sz w:val="20"/>
                <w:szCs w:val="20"/>
              </w:rPr>
            </w:pPr>
          </w:p>
        </w:tc>
      </w:tr>
      <w:tr w14:paraId="77A2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423" w:type="dxa"/>
            <w:tcBorders>
              <w:top w:val="single" w:color="auto" w:sz="4" w:space="0"/>
              <w:left w:val="single" w:color="auto" w:sz="4" w:space="0"/>
              <w:bottom w:val="single" w:color="auto" w:sz="4" w:space="0"/>
              <w:right w:val="single" w:color="auto" w:sz="4" w:space="0"/>
            </w:tcBorders>
            <w:vAlign w:val="center"/>
          </w:tcPr>
          <w:p w14:paraId="246E4A71">
            <w:pPr>
              <w:outlineLvl w:val="2"/>
              <w:rPr>
                <w:rFonts w:ascii="Calibri" w:hAnsi="Calibri" w:cs="Cambria"/>
                <w:sz w:val="20"/>
                <w:szCs w:val="20"/>
              </w:rPr>
            </w:pPr>
            <w:r>
              <w:rPr>
                <w:rFonts w:hint="eastAsia" w:ascii="Calibri" w:hAnsi="Calibri" w:cs="Cambria"/>
                <w:sz w:val="20"/>
                <w:szCs w:val="20"/>
              </w:rPr>
              <w:t>2.指定为以公允价值计量且变动计入当期损益的金融负债</w:t>
            </w:r>
          </w:p>
        </w:tc>
        <w:tc>
          <w:tcPr>
            <w:tcW w:w="1708" w:type="dxa"/>
            <w:tcBorders>
              <w:top w:val="single" w:color="auto" w:sz="4" w:space="0"/>
              <w:left w:val="single" w:color="auto" w:sz="4" w:space="0"/>
              <w:bottom w:val="single" w:color="auto" w:sz="4" w:space="0"/>
              <w:right w:val="single" w:color="auto" w:sz="4" w:space="0"/>
            </w:tcBorders>
            <w:vAlign w:val="center"/>
          </w:tcPr>
          <w:p w14:paraId="71404499">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574762BF">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6683EECB">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162BAA95">
            <w:pPr>
              <w:jc w:val="right"/>
              <w:outlineLvl w:val="2"/>
              <w:rPr>
                <w:rFonts w:ascii="Calibri" w:hAnsi="Calibri" w:cs="Cambria"/>
                <w:sz w:val="20"/>
                <w:szCs w:val="20"/>
              </w:rPr>
            </w:pPr>
          </w:p>
        </w:tc>
      </w:tr>
      <w:tr w14:paraId="467A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423" w:type="dxa"/>
            <w:tcBorders>
              <w:top w:val="single" w:color="auto" w:sz="4" w:space="0"/>
              <w:left w:val="single" w:color="auto" w:sz="4" w:space="0"/>
              <w:bottom w:val="single" w:color="auto" w:sz="4" w:space="0"/>
              <w:right w:val="single" w:color="auto" w:sz="4" w:space="0"/>
            </w:tcBorders>
            <w:vAlign w:val="center"/>
          </w:tcPr>
          <w:p w14:paraId="5184AD7B">
            <w:pPr>
              <w:outlineLvl w:val="2"/>
              <w:rPr>
                <w:rFonts w:ascii="Calibri" w:hAnsi="Calibri" w:cs="Cambria"/>
                <w:b/>
                <w:sz w:val="20"/>
                <w:szCs w:val="20"/>
              </w:rPr>
            </w:pPr>
            <w:r>
              <w:rPr>
                <w:rFonts w:hint="eastAsia" w:ascii="Calibri" w:hAnsi="Calibri" w:cs="Cambria"/>
                <w:b/>
                <w:sz w:val="20"/>
                <w:szCs w:val="20"/>
              </w:rPr>
              <w:t>持续以公允价值计量的负债总额</w:t>
            </w:r>
          </w:p>
        </w:tc>
        <w:tc>
          <w:tcPr>
            <w:tcW w:w="1708" w:type="dxa"/>
            <w:tcBorders>
              <w:top w:val="single" w:color="auto" w:sz="4" w:space="0"/>
              <w:left w:val="single" w:color="auto" w:sz="4" w:space="0"/>
              <w:bottom w:val="single" w:color="auto" w:sz="4" w:space="0"/>
              <w:right w:val="single" w:color="auto" w:sz="4" w:space="0"/>
            </w:tcBorders>
            <w:vAlign w:val="center"/>
          </w:tcPr>
          <w:p w14:paraId="24959FE2">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666BFD4B">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0F6BEFFC">
            <w:pPr>
              <w:tabs>
                <w:tab w:val="center" w:pos="824"/>
                <w:tab w:val="right" w:pos="1649"/>
              </w:tabs>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2DCD1E60">
            <w:pPr>
              <w:jc w:val="right"/>
              <w:outlineLvl w:val="2"/>
              <w:rPr>
                <w:rFonts w:ascii="Calibri" w:hAnsi="Calibri" w:cs="Cambria"/>
                <w:sz w:val="20"/>
                <w:szCs w:val="20"/>
              </w:rPr>
            </w:pPr>
          </w:p>
        </w:tc>
      </w:tr>
      <w:tr w14:paraId="506D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59C1BC8E">
            <w:pPr>
              <w:outlineLvl w:val="2"/>
              <w:rPr>
                <w:rFonts w:ascii="Calibri" w:hAnsi="Calibri" w:cs="Cambria"/>
                <w:b/>
                <w:sz w:val="20"/>
                <w:szCs w:val="20"/>
              </w:rPr>
            </w:pPr>
            <w:r>
              <w:rPr>
                <w:rFonts w:hint="eastAsia" w:ascii="Calibri" w:hAnsi="Calibri" w:cs="Cambria"/>
                <w:b/>
                <w:sz w:val="20"/>
                <w:szCs w:val="20"/>
              </w:rPr>
              <w:t>二、非持续的公允价值计量</w:t>
            </w:r>
          </w:p>
        </w:tc>
        <w:tc>
          <w:tcPr>
            <w:tcW w:w="1708" w:type="dxa"/>
            <w:tcBorders>
              <w:top w:val="single" w:color="auto" w:sz="4" w:space="0"/>
              <w:left w:val="single" w:color="auto" w:sz="4" w:space="0"/>
              <w:bottom w:val="single" w:color="auto" w:sz="4" w:space="0"/>
              <w:right w:val="single" w:color="auto" w:sz="4" w:space="0"/>
            </w:tcBorders>
            <w:vAlign w:val="center"/>
          </w:tcPr>
          <w:p w14:paraId="74E89919">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6A192F2C">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4A9DE5BD">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161AA993">
            <w:pPr>
              <w:jc w:val="right"/>
              <w:outlineLvl w:val="2"/>
              <w:rPr>
                <w:rFonts w:ascii="Calibri" w:hAnsi="Calibri" w:cs="Cambria"/>
                <w:sz w:val="20"/>
                <w:szCs w:val="20"/>
              </w:rPr>
            </w:pPr>
          </w:p>
        </w:tc>
      </w:tr>
      <w:tr w14:paraId="270B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423" w:type="dxa"/>
            <w:tcBorders>
              <w:top w:val="single" w:color="auto" w:sz="4" w:space="0"/>
              <w:left w:val="single" w:color="auto" w:sz="4" w:space="0"/>
              <w:bottom w:val="single" w:color="auto" w:sz="4" w:space="0"/>
              <w:right w:val="single" w:color="auto" w:sz="4" w:space="0"/>
            </w:tcBorders>
            <w:vAlign w:val="center"/>
          </w:tcPr>
          <w:p w14:paraId="5AD1C912">
            <w:pPr>
              <w:outlineLvl w:val="2"/>
              <w:rPr>
                <w:rFonts w:ascii="Calibri" w:hAnsi="Calibri" w:cs="Cambria"/>
                <w:sz w:val="20"/>
                <w:szCs w:val="20"/>
              </w:rPr>
            </w:pPr>
            <w:r>
              <w:rPr>
                <w:rFonts w:hint="eastAsia" w:ascii="Calibri" w:hAnsi="Calibri" w:cs="Cambria"/>
                <w:sz w:val="20"/>
                <w:szCs w:val="20"/>
              </w:rPr>
              <w:t>（一）持有待售资产</w:t>
            </w:r>
          </w:p>
        </w:tc>
        <w:tc>
          <w:tcPr>
            <w:tcW w:w="1708" w:type="dxa"/>
            <w:tcBorders>
              <w:top w:val="single" w:color="auto" w:sz="4" w:space="0"/>
              <w:left w:val="single" w:color="auto" w:sz="4" w:space="0"/>
              <w:bottom w:val="single" w:color="auto" w:sz="4" w:space="0"/>
              <w:right w:val="single" w:color="auto" w:sz="4" w:space="0"/>
            </w:tcBorders>
            <w:vAlign w:val="center"/>
          </w:tcPr>
          <w:p w14:paraId="37377C63">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7C141929">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1821B95D">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1F42104B">
            <w:pPr>
              <w:jc w:val="right"/>
              <w:outlineLvl w:val="2"/>
              <w:rPr>
                <w:rFonts w:ascii="Calibri" w:hAnsi="Calibri" w:cs="Cambria"/>
                <w:sz w:val="20"/>
                <w:szCs w:val="20"/>
              </w:rPr>
            </w:pPr>
          </w:p>
        </w:tc>
      </w:tr>
      <w:tr w14:paraId="2E00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423" w:type="dxa"/>
            <w:tcBorders>
              <w:top w:val="single" w:color="auto" w:sz="4" w:space="0"/>
              <w:left w:val="single" w:color="auto" w:sz="4" w:space="0"/>
              <w:bottom w:val="single" w:color="auto" w:sz="4" w:space="0"/>
              <w:right w:val="single" w:color="auto" w:sz="4" w:space="0"/>
            </w:tcBorders>
            <w:vAlign w:val="center"/>
          </w:tcPr>
          <w:p w14:paraId="72F5B686">
            <w:pPr>
              <w:outlineLvl w:val="2"/>
              <w:rPr>
                <w:rFonts w:ascii="Calibri" w:hAnsi="Calibri" w:cs="Cambria"/>
                <w:b/>
                <w:sz w:val="20"/>
                <w:szCs w:val="20"/>
              </w:rPr>
            </w:pPr>
            <w:r>
              <w:rPr>
                <w:rFonts w:hint="eastAsia" w:ascii="Calibri" w:hAnsi="Calibri" w:cs="Cambria"/>
                <w:b/>
                <w:sz w:val="20"/>
                <w:szCs w:val="20"/>
              </w:rPr>
              <w:t>非持续以公允价值计量的资产总额</w:t>
            </w:r>
          </w:p>
        </w:tc>
        <w:tc>
          <w:tcPr>
            <w:tcW w:w="1708" w:type="dxa"/>
            <w:tcBorders>
              <w:top w:val="single" w:color="auto" w:sz="4" w:space="0"/>
              <w:left w:val="single" w:color="auto" w:sz="4" w:space="0"/>
              <w:bottom w:val="single" w:color="auto" w:sz="4" w:space="0"/>
              <w:right w:val="single" w:color="auto" w:sz="4" w:space="0"/>
            </w:tcBorders>
            <w:vAlign w:val="center"/>
          </w:tcPr>
          <w:p w14:paraId="4BC67477">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0F522AB1">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4AB1EE32">
            <w:pPr>
              <w:jc w:val="right"/>
              <w:outlineLvl w:val="2"/>
              <w:rPr>
                <w:rFonts w:ascii="Calibri" w:hAnsi="Calibri" w:cs="Cambria"/>
                <w:sz w:val="20"/>
                <w:szCs w:val="20"/>
              </w:rPr>
            </w:pPr>
          </w:p>
          <w:p w14:paraId="59084BDA">
            <w:pPr>
              <w:jc w:val="center"/>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133F8E43">
            <w:pPr>
              <w:jc w:val="right"/>
              <w:outlineLvl w:val="2"/>
              <w:rPr>
                <w:rFonts w:ascii="Calibri" w:hAnsi="Calibri" w:cs="Cambria"/>
                <w:sz w:val="20"/>
                <w:szCs w:val="20"/>
              </w:rPr>
            </w:pPr>
          </w:p>
        </w:tc>
      </w:tr>
      <w:tr w14:paraId="3156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23" w:type="dxa"/>
            <w:tcBorders>
              <w:top w:val="single" w:color="auto" w:sz="4" w:space="0"/>
              <w:left w:val="single" w:color="auto" w:sz="4" w:space="0"/>
              <w:bottom w:val="single" w:color="auto" w:sz="4" w:space="0"/>
              <w:right w:val="single" w:color="auto" w:sz="4" w:space="0"/>
            </w:tcBorders>
            <w:vAlign w:val="center"/>
          </w:tcPr>
          <w:p w14:paraId="4658DC75">
            <w:pPr>
              <w:outlineLvl w:val="2"/>
              <w:rPr>
                <w:rFonts w:ascii="Calibri" w:hAnsi="Calibri" w:cs="Cambria"/>
                <w:b/>
                <w:sz w:val="20"/>
                <w:szCs w:val="20"/>
              </w:rPr>
            </w:pPr>
            <w:r>
              <w:rPr>
                <w:rFonts w:hint="eastAsia" w:ascii="Calibri" w:hAnsi="Calibri" w:cs="Cambria"/>
                <w:b/>
                <w:sz w:val="20"/>
                <w:szCs w:val="20"/>
              </w:rPr>
              <w:t>非持续以公允价值计量的负债总额</w:t>
            </w:r>
          </w:p>
        </w:tc>
        <w:tc>
          <w:tcPr>
            <w:tcW w:w="1708" w:type="dxa"/>
            <w:tcBorders>
              <w:top w:val="single" w:color="auto" w:sz="4" w:space="0"/>
              <w:left w:val="single" w:color="auto" w:sz="4" w:space="0"/>
              <w:bottom w:val="single" w:color="auto" w:sz="4" w:space="0"/>
              <w:right w:val="single" w:color="auto" w:sz="4" w:space="0"/>
            </w:tcBorders>
            <w:vAlign w:val="center"/>
          </w:tcPr>
          <w:p w14:paraId="074B9326">
            <w:pPr>
              <w:jc w:val="right"/>
              <w:outlineLvl w:val="2"/>
              <w:rPr>
                <w:rFonts w:ascii="Calibri" w:hAnsi="Calibri" w:cs="Cambria"/>
                <w:sz w:val="20"/>
                <w:szCs w:val="20"/>
              </w:rPr>
            </w:pPr>
          </w:p>
        </w:tc>
        <w:tc>
          <w:tcPr>
            <w:tcW w:w="1668" w:type="dxa"/>
            <w:tcBorders>
              <w:top w:val="single" w:color="auto" w:sz="4" w:space="0"/>
              <w:left w:val="single" w:color="auto" w:sz="4" w:space="0"/>
              <w:bottom w:val="single" w:color="auto" w:sz="4" w:space="0"/>
              <w:right w:val="single" w:color="auto" w:sz="4" w:space="0"/>
            </w:tcBorders>
            <w:vAlign w:val="center"/>
          </w:tcPr>
          <w:p w14:paraId="25F52755">
            <w:pPr>
              <w:jc w:val="right"/>
              <w:outlineLvl w:val="2"/>
              <w:rPr>
                <w:rFonts w:ascii="Calibri" w:hAnsi="Calibri" w:cs="Cambria"/>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14:paraId="3D634D4A">
            <w:pPr>
              <w:jc w:val="right"/>
              <w:outlineLvl w:val="2"/>
              <w:rPr>
                <w:rFonts w:ascii="Calibri" w:hAnsi="Calibri" w:cs="Cambria"/>
                <w:sz w:val="20"/>
                <w:szCs w:val="20"/>
              </w:rPr>
            </w:pPr>
          </w:p>
        </w:tc>
        <w:tc>
          <w:tcPr>
            <w:tcW w:w="1514" w:type="dxa"/>
            <w:tcBorders>
              <w:top w:val="single" w:color="auto" w:sz="4" w:space="0"/>
              <w:left w:val="single" w:color="auto" w:sz="4" w:space="0"/>
              <w:bottom w:val="single" w:color="auto" w:sz="4" w:space="0"/>
              <w:right w:val="single" w:color="auto" w:sz="4" w:space="0"/>
            </w:tcBorders>
            <w:vAlign w:val="center"/>
          </w:tcPr>
          <w:p w14:paraId="78ED17E1">
            <w:pPr>
              <w:jc w:val="right"/>
              <w:outlineLvl w:val="2"/>
              <w:rPr>
                <w:rFonts w:ascii="Calibri" w:hAnsi="Calibri" w:cs="Cambria"/>
                <w:sz w:val="20"/>
                <w:szCs w:val="20"/>
              </w:rPr>
            </w:pPr>
          </w:p>
        </w:tc>
      </w:tr>
    </w:tbl>
    <w:p w14:paraId="3EF1A08E">
      <w:pPr>
        <w:pStyle w:val="48"/>
      </w:pPr>
    </w:p>
    <w:bookmarkEnd w:id="370"/>
    <w:bookmarkEnd w:id="371"/>
    <w:p w14:paraId="67665F7D">
      <w:pPr>
        <w:pStyle w:val="4"/>
        <w:numPr>
          <w:ilvl w:val="0"/>
          <w:numId w:val="114"/>
        </w:numPr>
      </w:pPr>
      <w:r>
        <w:rPr>
          <w:rFonts w:hint="eastAsia"/>
        </w:rPr>
        <w:t>持续和非持续第一层次公允价值计量项目市价的确定依据</w:t>
      </w:r>
    </w:p>
    <w:sdt>
      <w:sdtPr>
        <w:rPr>
          <w:rFonts w:hint="eastAsia" w:cs="Arial"/>
        </w:rPr>
        <w:alias w:val="是否适用：持续和非持续第一层次公允价值计量项目市价的确定依据[双击切换]"/>
        <w:tag w:val="_GBC_fc42dd94906341819da0f825b0c88571"/>
        <w:id w:val="-675808312"/>
        <w:placeholder>
          <w:docPart w:val="GBC22222222222222222222222222222"/>
        </w:placeholder>
      </w:sdtPr>
      <w:sdtEndPr>
        <w:rPr>
          <w:rFonts w:hint="eastAsia" w:cs="Arial"/>
        </w:rPr>
      </w:sdtEndPr>
      <w:sdtContent>
        <w:p w14:paraId="13DCDD6A">
          <w:pPr>
            <w:rPr>
              <w:rFonts w:cs="Arial"/>
            </w:rPr>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3A770D53">
      <w:pPr>
        <w:tabs>
          <w:tab w:val="left" w:pos="1134"/>
        </w:tabs>
        <w:rPr>
          <w:rFonts w:cs="Cambria"/>
          <w:b/>
        </w:rPr>
      </w:pPr>
    </w:p>
    <w:p w14:paraId="4BD98F62">
      <w:pPr>
        <w:pStyle w:val="4"/>
        <w:numPr>
          <w:ilvl w:val="0"/>
          <w:numId w:val="114"/>
        </w:numPr>
      </w:pPr>
      <w:r>
        <w:rPr>
          <w:rFonts w:hint="eastAsia"/>
        </w:rPr>
        <w:t>持续和非持续第二层次公允价值计量项目，采用的估值技术和重要参数的定性及定量信息</w:t>
      </w:r>
    </w:p>
    <w:sdt>
      <w:sdtPr>
        <w:rPr>
          <w:rFonts w:hint="eastAsia" w:cs="Cambria"/>
        </w:rPr>
        <w:alias w:val="是否适用：持续和非持续第二层次公允价值计量项目，采用的估值技术和重要参数的定性及定量信息[双击切换]"/>
        <w:tag w:val="_GBC_524db4de656b4bccac2fc473643fe7a6"/>
        <w:id w:val="500631279"/>
        <w:placeholder>
          <w:docPart w:val="GBC22222222222222222222222222222"/>
        </w:placeholder>
      </w:sdtPr>
      <w:sdtEndPr>
        <w:rPr>
          <w:rFonts w:hint="eastAsia" w:cs="Cambria"/>
        </w:rPr>
      </w:sdtEndPr>
      <w:sdtContent>
        <w:p w14:paraId="2DABA98D">
          <w:pPr>
            <w:tabs>
              <w:tab w:val="left" w:pos="1134"/>
            </w:tabs>
            <w:rPr>
              <w:rFonts w:cs="Cambria"/>
            </w:rPr>
          </w:pPr>
          <w:r>
            <w:rPr>
              <w:rFonts w:ascii="宋体" w:hAnsi="宋体" w:cs="Cambria"/>
            </w:rPr>
            <w:fldChar w:fldCharType="begin"/>
          </w:r>
          <w:r>
            <w:rPr>
              <w:rFonts w:ascii="宋体" w:hAnsi="宋体" w:cs="Cambria"/>
            </w:rPr>
            <w:instrText xml:space="preserve"> </w:instrText>
          </w:r>
          <w:r>
            <w:rPr>
              <w:rFonts w:hint="eastAsia" w:ascii="宋体" w:hAnsi="宋体" w:cs="Cambria"/>
            </w:rPr>
            <w:instrText xml:space="preserve">MACROBUTTON  SnrToggleCheckbox √适用 </w:instrText>
          </w:r>
          <w:r>
            <w:rPr>
              <w:rFonts w:ascii="宋体" w:hAnsi="宋体" w:cs="Cambria"/>
            </w:rPr>
            <w:instrText xml:space="preserve">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sdt>
      <w:sdtPr>
        <w:rPr>
          <w:rFonts w:cs="Cambria"/>
        </w:rPr>
        <w:alias w:val="持续和非持续第二层次公允价值计量项目，采用的估值技术和重要参数的定性及定量信息"/>
        <w:tag w:val="_GBC_406ac04d46a9411bb4890572e539e6ca"/>
        <w:id w:val="1306135074"/>
        <w:placeholder>
          <w:docPart w:val="GBC22222222222222222222222222222"/>
        </w:placeholder>
      </w:sdtPr>
      <w:sdtEndPr>
        <w:rPr>
          <w:rFonts w:cs="Cambria"/>
        </w:rPr>
      </w:sdtEndPr>
      <w:sdtContent>
        <w:p w14:paraId="3D385926">
          <w:pPr>
            <w:tabs>
              <w:tab w:val="left" w:pos="1134"/>
            </w:tabs>
            <w:spacing w:line="360" w:lineRule="auto"/>
            <w:ind w:firstLine="420" w:firstLineChars="200"/>
            <w:jc w:val="both"/>
            <w:rPr>
              <w:rFonts w:cs="Cambria"/>
            </w:rPr>
          </w:pPr>
          <w:r>
            <w:rPr>
              <w:rFonts w:hint="eastAsia" w:cs="Cambria"/>
            </w:rPr>
            <w:t>1.第二层次公允价值计量中交易性金融资产(银行结构性理财产品)的公允价值，采用存款本金加最可能的结构性利息计量；</w:t>
          </w:r>
        </w:p>
        <w:p w14:paraId="15992163">
          <w:pPr>
            <w:tabs>
              <w:tab w:val="left" w:pos="1134"/>
            </w:tabs>
            <w:spacing w:line="360" w:lineRule="auto"/>
            <w:ind w:firstLine="420" w:firstLineChars="200"/>
            <w:jc w:val="both"/>
            <w:rPr>
              <w:rFonts w:cs="Cambria"/>
            </w:rPr>
          </w:pPr>
          <w:r>
            <w:rPr>
              <w:rFonts w:hint="eastAsia" w:cs="Cambria"/>
            </w:rPr>
            <w:t>2.第二层次公允价值计量中应收款项融资（承兑银行信用级别较高的银行承兑汇票）的公允价值，以票面金额计量。</w:t>
          </w:r>
        </w:p>
      </w:sdtContent>
    </w:sdt>
    <w:p w14:paraId="08682257">
      <w:pPr>
        <w:pStyle w:val="48"/>
      </w:pPr>
    </w:p>
    <w:p w14:paraId="5E152973">
      <w:pPr>
        <w:pStyle w:val="4"/>
        <w:numPr>
          <w:ilvl w:val="0"/>
          <w:numId w:val="114"/>
        </w:numPr>
      </w:pPr>
      <w:r>
        <w:rPr>
          <w:rFonts w:hint="eastAsia"/>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2fc8e5a18cee4309a229e736040a7cfd"/>
        <w:id w:val="220182215"/>
        <w:placeholder>
          <w:docPart w:val="GBC22222222222222222222222222222"/>
        </w:placeholder>
      </w:sdtPr>
      <w:sdtEndPr>
        <w:rPr>
          <w:rFonts w:hint="eastAsia"/>
        </w:rPr>
      </w:sdtEndPr>
      <w:sdtContent>
        <w:p w14:paraId="2E92082C">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持续和非持续第三层次公允价值计量项目，采用的估值技术和重要参数的定性及定量信息"/>
        <w:tag w:val="_GBC_db2fdcfb26ce4ca9ac1e8da23b16aaaa"/>
        <w:id w:val="1511488577"/>
        <w:placeholder>
          <w:docPart w:val="GBC22222222222222222222222222222"/>
        </w:placeholder>
      </w:sdtPr>
      <w:sdtEndPr>
        <w:rPr>
          <w:rFonts w:hint="eastAsia"/>
        </w:rPr>
      </w:sdtEndPr>
      <w:sdtContent>
        <w:p w14:paraId="12581CD4">
          <w:pPr>
            <w:pStyle w:val="48"/>
            <w:spacing w:line="360" w:lineRule="auto"/>
            <w:ind w:firstLine="420" w:firstLineChars="200"/>
          </w:pPr>
          <w:r>
            <w:rPr>
              <w:rFonts w:hint="eastAsia"/>
            </w:rPr>
            <w:t>第三层次公允价值计量中其他权益工具投资的公允价值，公允价值变动以被投资单位净利润乘以持股比例等参数为基础确定。</w:t>
          </w:r>
        </w:p>
      </w:sdtContent>
    </w:sdt>
    <w:p w14:paraId="3487DBC3">
      <w:pPr>
        <w:tabs>
          <w:tab w:val="left" w:pos="1134"/>
        </w:tabs>
        <w:rPr>
          <w:rFonts w:cs="Cambria"/>
          <w:b/>
        </w:rPr>
      </w:pPr>
    </w:p>
    <w:p w14:paraId="20154459">
      <w:pPr>
        <w:pStyle w:val="4"/>
        <w:numPr>
          <w:ilvl w:val="0"/>
          <w:numId w:val="114"/>
        </w:numPr>
      </w:pPr>
      <w:r>
        <w:rPr>
          <w:rFonts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71e79e015e97438a812cfd612b604172"/>
        <w:id w:val="724487016"/>
        <w:placeholder>
          <w:docPart w:val="GBC22222222222222222222222222222"/>
        </w:placeholder>
      </w:sdtPr>
      <w:sdtEndPr>
        <w:rPr>
          <w:rFonts w:hint="eastAsia"/>
        </w:rPr>
      </w:sdtEndPr>
      <w:sdtContent>
        <w:p w14:paraId="7D42EC7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3A5297B">
      <w:pPr>
        <w:tabs>
          <w:tab w:val="left" w:pos="1134"/>
        </w:tabs>
        <w:rPr>
          <w:rFonts w:cs="Cambria"/>
          <w:b/>
        </w:rPr>
      </w:pPr>
    </w:p>
    <w:p w14:paraId="67C02A2E">
      <w:pPr>
        <w:pStyle w:val="4"/>
        <w:numPr>
          <w:ilvl w:val="0"/>
          <w:numId w:val="114"/>
        </w:numPr>
      </w:pPr>
      <w:r>
        <w:rPr>
          <w:rFonts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ebf98ea60f047d9917b79bbe8e1b6a3"/>
        <w:id w:val="-584996465"/>
        <w:placeholder>
          <w:docPart w:val="GBC22222222222222222222222222222"/>
        </w:placeholder>
      </w:sdtPr>
      <w:sdtEndPr>
        <w:rPr>
          <w:rFonts w:hint="eastAsia"/>
        </w:rPr>
      </w:sdtEndPr>
      <w:sdtContent>
        <w:p w14:paraId="07880C9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6869FF7">
      <w:pPr>
        <w:tabs>
          <w:tab w:val="left" w:pos="1134"/>
        </w:tabs>
        <w:rPr>
          <w:rFonts w:cs="Cambria"/>
          <w:b/>
        </w:rPr>
      </w:pPr>
    </w:p>
    <w:p w14:paraId="475CC2EB">
      <w:pPr>
        <w:pStyle w:val="4"/>
        <w:numPr>
          <w:ilvl w:val="0"/>
          <w:numId w:val="114"/>
        </w:numPr>
      </w:pPr>
      <w:r>
        <w:rPr>
          <w:rFonts w:hint="eastAsia"/>
        </w:rPr>
        <w:t>本期内发生的估值技术变更及变更原因</w:t>
      </w:r>
    </w:p>
    <w:sdt>
      <w:sdtPr>
        <w:rPr>
          <w:rFonts w:hint="eastAsia"/>
        </w:rPr>
        <w:alias w:val="是否适用：本期内发生的估值技术变更及变更原因[双击切换]"/>
        <w:tag w:val="_GBC_c8355b64faff425ebd05215313c85419"/>
        <w:id w:val="-192457646"/>
        <w:placeholder>
          <w:docPart w:val="GBC22222222222222222222222222222"/>
        </w:placeholder>
      </w:sdtPr>
      <w:sdtEndPr>
        <w:rPr>
          <w:rFonts w:hint="eastAsia"/>
        </w:rPr>
      </w:sdtEndPr>
      <w:sdtContent>
        <w:p w14:paraId="1B988BD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41AE4FE">
      <w:pPr>
        <w:rPr>
          <w:rFonts w:cstheme="minorBidi"/>
        </w:rPr>
      </w:pPr>
    </w:p>
    <w:p w14:paraId="351EA26B">
      <w:pPr>
        <w:pStyle w:val="4"/>
        <w:numPr>
          <w:ilvl w:val="0"/>
          <w:numId w:val="114"/>
        </w:numPr>
      </w:pPr>
      <w:r>
        <w:rPr>
          <w:rFonts w:hint="eastAsia"/>
        </w:rPr>
        <w:t>不以公允价值计量的金融资产和金融负债的公允价值情况</w:t>
      </w:r>
    </w:p>
    <w:sdt>
      <w:sdtPr>
        <w:rPr>
          <w:rFonts w:hint="eastAsia" w:cstheme="minorBidi"/>
        </w:rPr>
        <w:alias w:val="是否适用：不以公允价值计量的金融资产和金融负债的公允价值情况[双击切换]"/>
        <w:tag w:val="_GBC_734377ec924449c3ae79732fec24b52d"/>
        <w:id w:val="1496151494"/>
        <w:placeholder>
          <w:docPart w:val="GBC22222222222222222222222222222"/>
        </w:placeholder>
      </w:sdtPr>
      <w:sdtEndPr>
        <w:rPr>
          <w:rFonts w:hint="eastAsia" w:cstheme="minorBidi"/>
        </w:rPr>
      </w:sdtEndPr>
      <w:sdtContent>
        <w:p w14:paraId="1315042C">
          <w:pPr>
            <w:rPr>
              <w:rFonts w:cstheme="minorBidi"/>
            </w:rPr>
          </w:pPr>
          <w:r>
            <w:rPr>
              <w:rFonts w:ascii="宋体" w:hAnsi="宋体" w:cstheme="minorBidi"/>
            </w:rPr>
            <w:fldChar w:fldCharType="begin"/>
          </w:r>
          <w:r>
            <w:rPr>
              <w:rFonts w:ascii="宋体" w:hAnsi="宋体" w:cstheme="minorBidi"/>
            </w:rPr>
            <w:instrText xml:space="preserve"> MACROBUTTON  SnrToggleCheckbox □适用  </w:instrText>
          </w:r>
          <w:r>
            <w:rPr>
              <w:rFonts w:ascii="宋体" w:hAnsi="宋体" w:cstheme="minorBidi"/>
            </w:rPr>
            <w:fldChar w:fldCharType="end"/>
          </w:r>
          <w:r>
            <w:rPr>
              <w:rFonts w:ascii="宋体" w:hAnsi="宋体" w:cstheme="minorBidi"/>
            </w:rPr>
            <w:fldChar w:fldCharType="begin"/>
          </w:r>
          <w:r>
            <w:rPr>
              <w:rFonts w:ascii="宋体" w:hAnsi="宋体" w:cstheme="minorBidi"/>
            </w:rPr>
            <w:instrText xml:space="preserve"> MACROBUTTON  SnrToggleCheckbox √不适用 </w:instrText>
          </w:r>
          <w:r>
            <w:rPr>
              <w:rFonts w:ascii="宋体" w:hAnsi="宋体" w:cstheme="minorBidi"/>
            </w:rPr>
            <w:fldChar w:fldCharType="end"/>
          </w:r>
        </w:p>
      </w:sdtContent>
    </w:sdt>
    <w:p w14:paraId="678FA01D">
      <w:pPr>
        <w:rPr>
          <w:rFonts w:cstheme="minorBidi"/>
        </w:rPr>
      </w:pPr>
    </w:p>
    <w:p w14:paraId="7F9D1B36">
      <w:pPr>
        <w:pStyle w:val="4"/>
        <w:numPr>
          <w:ilvl w:val="0"/>
          <w:numId w:val="114"/>
        </w:numPr>
      </w:pPr>
      <w:r>
        <w:rPr>
          <w:rFonts w:hint="eastAsia"/>
        </w:rPr>
        <w:t>其他</w:t>
      </w:r>
    </w:p>
    <w:sdt>
      <w:sdtPr>
        <w:rPr>
          <w:rFonts w:hint="eastAsia"/>
        </w:rPr>
        <w:alias w:val="是否适用：公允价值其他需要披露的事项[双击切换]"/>
        <w:tag w:val="_GBC_face0919374341aba02b14f2247ac908"/>
        <w:id w:val="745311215"/>
        <w:placeholder>
          <w:docPart w:val="GBC22222222222222222222222222222"/>
        </w:placeholder>
      </w:sdtPr>
      <w:sdtEndPr>
        <w:rPr>
          <w:rFonts w:hint="eastAsia"/>
        </w:rPr>
      </w:sdtEndPr>
      <w:sdtContent>
        <w:p w14:paraId="7AAE8D6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55DD8B5">
      <w:pPr>
        <w:pStyle w:val="48"/>
      </w:pPr>
    </w:p>
    <w:p w14:paraId="7751D45A">
      <w:pPr>
        <w:pStyle w:val="3"/>
        <w:numPr>
          <w:ilvl w:val="0"/>
          <w:numId w:val="51"/>
        </w:numPr>
        <w:rPr>
          <w:rFonts w:ascii="宋体" w:hAnsi="宋体"/>
        </w:rPr>
      </w:pPr>
      <w:r>
        <w:rPr>
          <w:rFonts w:hint="eastAsia"/>
        </w:rPr>
        <w:t>关联方及关联交易</w:t>
      </w:r>
    </w:p>
    <w:p w14:paraId="4506A343">
      <w:pPr>
        <w:pStyle w:val="4"/>
        <w:numPr>
          <w:ilvl w:val="0"/>
          <w:numId w:val="115"/>
        </w:numPr>
      </w:pPr>
      <w:r>
        <w:rPr>
          <w:rFonts w:hint="eastAsia"/>
        </w:rPr>
        <w:t>本企业的母公司情况</w:t>
      </w:r>
    </w:p>
    <w:sdt>
      <w:sdtPr>
        <w:rPr>
          <w:rFonts w:hint="eastAsia"/>
        </w:rPr>
        <w:alias w:val="是否适用：本企业的母公司情况[双击切换]"/>
        <w:tag w:val="_GBC_fe5dd4a2c9ad405db72189e05b735e0c"/>
        <w:id w:val="2022962356"/>
        <w:placeholder>
          <w:docPart w:val="GBC22222222222222222222222222222"/>
        </w:placeholder>
      </w:sdtPr>
      <w:sdtEndPr>
        <w:rPr>
          <w:rFonts w:hint="eastAsia"/>
        </w:rPr>
      </w:sdtEndPr>
      <w:sdtContent>
        <w:p w14:paraId="4F7EB9A7">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B9CD858">
      <w:pPr>
        <w:jc w:val="right"/>
      </w:pPr>
      <w:r>
        <w:rPr>
          <w:rFonts w:hint="eastAsia"/>
        </w:rPr>
        <w:t>单位：</w:t>
      </w:r>
      <w:sdt>
        <w:sdtPr>
          <w:rPr>
            <w:rFonts w:hint="eastAsia"/>
          </w:rPr>
          <w:alias w:val="单位：财务附注：本企业的母公司情况"/>
          <w:tag w:val="_GBC_4bdd8b08e4ce41af93512866e6012a92"/>
          <w:id w:val="697834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3374233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32"/>
        <w:gridCol w:w="1462"/>
        <w:gridCol w:w="1462"/>
        <w:gridCol w:w="1681"/>
        <w:gridCol w:w="1815"/>
      </w:tblGrid>
      <w:tr w14:paraId="6F87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sdt>
          <w:sdtPr>
            <w:tag w:val="_PLD_78501cc34b694302b18c1ea75399510e"/>
            <w:id w:val="1981115177"/>
          </w:sdtPr>
          <w:sdtContent>
            <w:tc>
              <w:tcPr>
                <w:tcW w:w="1384" w:type="dxa"/>
                <w:tcBorders>
                  <w:top w:val="single" w:color="auto" w:sz="4" w:space="0"/>
                  <w:left w:val="single" w:color="auto" w:sz="4" w:space="0"/>
                  <w:bottom w:val="single" w:color="auto" w:sz="4" w:space="0"/>
                  <w:right w:val="single" w:color="auto" w:sz="4" w:space="0"/>
                </w:tcBorders>
                <w:vAlign w:val="center"/>
              </w:tcPr>
              <w:p w14:paraId="168DF251">
                <w:pPr>
                  <w:jc w:val="center"/>
                  <w:rPr>
                    <w:rFonts w:ascii="Calibri" w:hAnsi="Calibri" w:cs="Cambria"/>
                    <w:sz w:val="20"/>
                    <w:szCs w:val="20"/>
                  </w:rPr>
                </w:pPr>
                <w:r>
                  <w:rPr>
                    <w:rFonts w:hint="eastAsia" w:ascii="Calibri" w:hAnsi="Calibri" w:cs="Cambria"/>
                    <w:sz w:val="20"/>
                    <w:szCs w:val="20"/>
                  </w:rPr>
                  <w:t>母公司名称</w:t>
                </w:r>
              </w:p>
            </w:tc>
          </w:sdtContent>
        </w:sdt>
        <w:sdt>
          <w:sdtPr>
            <w:tag w:val="_PLD_9cf29fdb6dc54a2ca1191c007bb19ceb"/>
            <w:id w:val="1830244873"/>
          </w:sdtPr>
          <w:sdtContent>
            <w:tc>
              <w:tcPr>
                <w:tcW w:w="1232" w:type="dxa"/>
                <w:tcBorders>
                  <w:top w:val="single" w:color="auto" w:sz="4" w:space="0"/>
                  <w:left w:val="single" w:color="auto" w:sz="4" w:space="0"/>
                  <w:bottom w:val="single" w:color="auto" w:sz="4" w:space="0"/>
                  <w:right w:val="single" w:color="auto" w:sz="4" w:space="0"/>
                </w:tcBorders>
                <w:vAlign w:val="center"/>
              </w:tcPr>
              <w:p w14:paraId="70CE5214">
                <w:pPr>
                  <w:jc w:val="center"/>
                  <w:rPr>
                    <w:rFonts w:ascii="Calibri" w:hAnsi="Calibri" w:cs="Cambria"/>
                    <w:sz w:val="20"/>
                    <w:szCs w:val="20"/>
                  </w:rPr>
                </w:pPr>
                <w:r>
                  <w:rPr>
                    <w:rFonts w:hint="eastAsia" w:ascii="Calibri" w:hAnsi="Calibri" w:cs="Cambria"/>
                    <w:sz w:val="20"/>
                    <w:szCs w:val="20"/>
                  </w:rPr>
                  <w:t>注册地</w:t>
                </w:r>
              </w:p>
            </w:tc>
          </w:sdtContent>
        </w:sdt>
        <w:sdt>
          <w:sdtPr>
            <w:tag w:val="_PLD_738e924675434f8ea1a19e9f01f12c6a"/>
            <w:id w:val="2117871529"/>
          </w:sdtPr>
          <w:sdtContent>
            <w:tc>
              <w:tcPr>
                <w:tcW w:w="1462" w:type="dxa"/>
                <w:tcBorders>
                  <w:top w:val="single" w:color="auto" w:sz="4" w:space="0"/>
                  <w:left w:val="single" w:color="auto" w:sz="4" w:space="0"/>
                  <w:bottom w:val="single" w:color="auto" w:sz="4" w:space="0"/>
                  <w:right w:val="single" w:color="auto" w:sz="4" w:space="0"/>
                </w:tcBorders>
                <w:vAlign w:val="center"/>
              </w:tcPr>
              <w:p w14:paraId="6BD3883E">
                <w:pPr>
                  <w:jc w:val="center"/>
                  <w:rPr>
                    <w:rFonts w:ascii="Calibri" w:hAnsi="Calibri" w:cs="Cambria"/>
                    <w:sz w:val="20"/>
                    <w:szCs w:val="20"/>
                  </w:rPr>
                </w:pPr>
                <w:r>
                  <w:rPr>
                    <w:rFonts w:hint="eastAsia" w:ascii="Calibri" w:hAnsi="Calibri" w:cs="Cambria"/>
                    <w:sz w:val="20"/>
                    <w:szCs w:val="20"/>
                  </w:rPr>
                  <w:t>业务性质</w:t>
                </w:r>
              </w:p>
            </w:tc>
          </w:sdtContent>
        </w:sdt>
        <w:sdt>
          <w:sdtPr>
            <w:tag w:val="_PLD_8f8ae05947724183906b020ada85e914"/>
            <w:id w:val="-656063373"/>
          </w:sdtPr>
          <w:sdtContent>
            <w:tc>
              <w:tcPr>
                <w:tcW w:w="1462" w:type="dxa"/>
                <w:tcBorders>
                  <w:top w:val="single" w:color="auto" w:sz="4" w:space="0"/>
                  <w:left w:val="single" w:color="auto" w:sz="4" w:space="0"/>
                  <w:bottom w:val="single" w:color="auto" w:sz="4" w:space="0"/>
                  <w:right w:val="single" w:color="auto" w:sz="4" w:space="0"/>
                </w:tcBorders>
                <w:vAlign w:val="center"/>
              </w:tcPr>
              <w:p w14:paraId="5924997D">
                <w:pPr>
                  <w:jc w:val="center"/>
                  <w:rPr>
                    <w:rFonts w:ascii="Calibri" w:hAnsi="Calibri" w:cs="Cambria"/>
                    <w:sz w:val="20"/>
                    <w:szCs w:val="20"/>
                  </w:rPr>
                </w:pPr>
                <w:r>
                  <w:rPr>
                    <w:rFonts w:hint="eastAsia" w:ascii="Calibri" w:hAnsi="Calibri" w:cs="Cambria"/>
                    <w:sz w:val="20"/>
                    <w:szCs w:val="20"/>
                  </w:rPr>
                  <w:t>注册资本</w:t>
                </w:r>
              </w:p>
            </w:tc>
          </w:sdtContent>
        </w:sdt>
        <w:sdt>
          <w:sdtPr>
            <w:tag w:val="_PLD_41f7f469dbcc4ee39514954cb008b0a4"/>
            <w:id w:val="1143924094"/>
          </w:sdtPr>
          <w:sdtContent>
            <w:tc>
              <w:tcPr>
                <w:tcW w:w="1681" w:type="dxa"/>
                <w:tcBorders>
                  <w:top w:val="single" w:color="auto" w:sz="4" w:space="0"/>
                  <w:left w:val="single" w:color="auto" w:sz="4" w:space="0"/>
                  <w:bottom w:val="single" w:color="auto" w:sz="4" w:space="0"/>
                  <w:right w:val="single" w:color="auto" w:sz="4" w:space="0"/>
                </w:tcBorders>
                <w:vAlign w:val="center"/>
              </w:tcPr>
              <w:p w14:paraId="2C5AA230">
                <w:pPr>
                  <w:jc w:val="center"/>
                  <w:rPr>
                    <w:rFonts w:ascii="Calibri" w:hAnsi="Calibri" w:cs="Cambria"/>
                    <w:sz w:val="20"/>
                    <w:szCs w:val="20"/>
                  </w:rPr>
                </w:pPr>
                <w:r>
                  <w:rPr>
                    <w:rFonts w:hint="eastAsia" w:ascii="Calibri" w:hAnsi="Calibri" w:cs="Cambria"/>
                    <w:sz w:val="20"/>
                    <w:szCs w:val="20"/>
                  </w:rPr>
                  <w:t>母公司对本企业的持股比例</w:t>
                </w:r>
                <w:r>
                  <w:rPr>
                    <w:rFonts w:ascii="Calibri" w:hAnsi="Calibri" w:cs="Cambria"/>
                    <w:sz w:val="20"/>
                    <w:szCs w:val="20"/>
                  </w:rPr>
                  <w:t>(%)</w:t>
                </w:r>
              </w:p>
            </w:tc>
          </w:sdtContent>
        </w:sdt>
        <w:sdt>
          <w:sdtPr>
            <w:tag w:val="_PLD_dab7bc4321ca44eb9d8565239cbf42f7"/>
            <w:id w:val="-2004338588"/>
          </w:sdtPr>
          <w:sdtContent>
            <w:tc>
              <w:tcPr>
                <w:tcW w:w="1815" w:type="dxa"/>
                <w:tcBorders>
                  <w:top w:val="single" w:color="auto" w:sz="4" w:space="0"/>
                  <w:left w:val="single" w:color="auto" w:sz="4" w:space="0"/>
                  <w:bottom w:val="single" w:color="auto" w:sz="4" w:space="0"/>
                  <w:right w:val="single" w:color="auto" w:sz="4" w:space="0"/>
                </w:tcBorders>
                <w:vAlign w:val="center"/>
              </w:tcPr>
              <w:p w14:paraId="44669FFA">
                <w:pPr>
                  <w:jc w:val="center"/>
                  <w:rPr>
                    <w:rFonts w:ascii="Calibri" w:hAnsi="Calibri" w:cs="Cambria"/>
                    <w:sz w:val="20"/>
                    <w:szCs w:val="20"/>
                  </w:rPr>
                </w:pPr>
                <w:r>
                  <w:rPr>
                    <w:rFonts w:hint="eastAsia" w:ascii="Calibri" w:hAnsi="Calibri" w:cs="Cambria"/>
                    <w:sz w:val="20"/>
                    <w:szCs w:val="20"/>
                  </w:rPr>
                  <w:t>母公司对本企业的表决权比例</w:t>
                </w:r>
                <w:r>
                  <w:rPr>
                    <w:rFonts w:ascii="Calibri" w:hAnsi="Calibri" w:cs="Cambria"/>
                    <w:sz w:val="20"/>
                    <w:szCs w:val="20"/>
                  </w:rPr>
                  <w:t>(%)</w:t>
                </w:r>
              </w:p>
            </w:tc>
          </w:sdtContent>
        </w:sdt>
      </w:tr>
      <w:tr w14:paraId="5280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84" w:type="dxa"/>
            <w:tcBorders>
              <w:top w:val="single" w:color="auto" w:sz="4" w:space="0"/>
              <w:left w:val="single" w:color="auto" w:sz="4" w:space="0"/>
              <w:bottom w:val="single" w:color="auto" w:sz="4" w:space="0"/>
              <w:right w:val="single" w:color="auto" w:sz="4" w:space="0"/>
            </w:tcBorders>
            <w:vAlign w:val="center"/>
          </w:tcPr>
          <w:p w14:paraId="59147C19">
            <w:pPr>
              <w:rPr>
                <w:rFonts w:ascii="Calibri" w:hAnsi="Calibri" w:cs="Cambria"/>
                <w:sz w:val="20"/>
                <w:szCs w:val="20"/>
              </w:rPr>
            </w:pPr>
            <w:r>
              <w:rPr>
                <w:rFonts w:ascii="Calibri" w:hAnsi="Calibri"/>
                <w:sz w:val="20"/>
                <w:szCs w:val="20"/>
              </w:rPr>
              <w:t>东宝实业集团股份有限公司</w:t>
            </w:r>
          </w:p>
        </w:tc>
        <w:tc>
          <w:tcPr>
            <w:tcW w:w="1232" w:type="dxa"/>
            <w:tcBorders>
              <w:top w:val="single" w:color="auto" w:sz="4" w:space="0"/>
              <w:left w:val="single" w:color="auto" w:sz="4" w:space="0"/>
              <w:bottom w:val="single" w:color="auto" w:sz="4" w:space="0"/>
              <w:right w:val="single" w:color="auto" w:sz="4" w:space="0"/>
            </w:tcBorders>
            <w:vAlign w:val="center"/>
          </w:tcPr>
          <w:p w14:paraId="1224CA37">
            <w:pPr>
              <w:rPr>
                <w:rFonts w:ascii="Calibri" w:hAnsi="Calibri" w:cs="Cambria"/>
                <w:sz w:val="20"/>
                <w:szCs w:val="20"/>
              </w:rPr>
            </w:pPr>
            <w:r>
              <w:rPr>
                <w:rFonts w:ascii="Calibri" w:hAnsi="Calibri"/>
                <w:sz w:val="20"/>
                <w:szCs w:val="20"/>
              </w:rPr>
              <w:t>通化县东宝新村</w:t>
            </w:r>
          </w:p>
        </w:tc>
        <w:tc>
          <w:tcPr>
            <w:tcW w:w="1462" w:type="dxa"/>
            <w:tcBorders>
              <w:top w:val="single" w:color="auto" w:sz="4" w:space="0"/>
              <w:left w:val="single" w:color="auto" w:sz="4" w:space="0"/>
              <w:bottom w:val="single" w:color="auto" w:sz="4" w:space="0"/>
              <w:right w:val="single" w:color="auto" w:sz="4" w:space="0"/>
            </w:tcBorders>
            <w:vAlign w:val="center"/>
          </w:tcPr>
          <w:p w14:paraId="5E64A042">
            <w:pPr>
              <w:rPr>
                <w:rFonts w:ascii="Calibri" w:hAnsi="Calibri" w:cs="Cambria"/>
                <w:sz w:val="20"/>
                <w:szCs w:val="20"/>
              </w:rPr>
            </w:pPr>
            <w:r>
              <w:rPr>
                <w:rFonts w:ascii="Calibri" w:hAnsi="Calibri"/>
                <w:sz w:val="20"/>
                <w:szCs w:val="20"/>
              </w:rPr>
              <w:t>建筑材料、机械设备购销；进口（国家限定一、二类商品除外）生产所需原辅材料等</w:t>
            </w:r>
          </w:p>
        </w:tc>
        <w:tc>
          <w:tcPr>
            <w:tcW w:w="1462" w:type="dxa"/>
            <w:tcBorders>
              <w:top w:val="single" w:color="auto" w:sz="4" w:space="0"/>
              <w:left w:val="single" w:color="auto" w:sz="4" w:space="0"/>
              <w:bottom w:val="single" w:color="auto" w:sz="4" w:space="0"/>
              <w:right w:val="single" w:color="auto" w:sz="4" w:space="0"/>
            </w:tcBorders>
            <w:vAlign w:val="center"/>
          </w:tcPr>
          <w:p w14:paraId="428267BB">
            <w:pPr>
              <w:jc w:val="right"/>
              <w:rPr>
                <w:rFonts w:ascii="Calibri" w:hAnsi="Calibri" w:cs="Cambria"/>
                <w:sz w:val="20"/>
                <w:szCs w:val="20"/>
              </w:rPr>
            </w:pPr>
            <w:r>
              <w:rPr>
                <w:rFonts w:ascii="Calibri" w:hAnsi="Calibri"/>
                <w:sz w:val="20"/>
                <w:szCs w:val="20"/>
              </w:rPr>
              <w:t>25,900.00</w:t>
            </w:r>
          </w:p>
        </w:tc>
        <w:tc>
          <w:tcPr>
            <w:tcW w:w="1681" w:type="dxa"/>
            <w:tcBorders>
              <w:top w:val="single" w:color="auto" w:sz="4" w:space="0"/>
              <w:left w:val="single" w:color="auto" w:sz="4" w:space="0"/>
              <w:bottom w:val="single" w:color="auto" w:sz="4" w:space="0"/>
              <w:right w:val="single" w:color="auto" w:sz="4" w:space="0"/>
            </w:tcBorders>
            <w:vAlign w:val="center"/>
          </w:tcPr>
          <w:p w14:paraId="1BAE1E6D">
            <w:pPr>
              <w:jc w:val="right"/>
              <w:rPr>
                <w:rFonts w:ascii="Calibri" w:hAnsi="Calibri" w:cs="Cambria"/>
                <w:sz w:val="20"/>
                <w:szCs w:val="20"/>
              </w:rPr>
            </w:pPr>
            <w:r>
              <w:rPr>
                <w:rFonts w:ascii="Calibri" w:hAnsi="Calibri"/>
                <w:sz w:val="20"/>
                <w:szCs w:val="20"/>
              </w:rPr>
              <w:t>31.63</w:t>
            </w:r>
          </w:p>
        </w:tc>
        <w:tc>
          <w:tcPr>
            <w:tcW w:w="1815" w:type="dxa"/>
            <w:tcBorders>
              <w:top w:val="single" w:color="auto" w:sz="4" w:space="0"/>
              <w:left w:val="single" w:color="auto" w:sz="4" w:space="0"/>
              <w:bottom w:val="single" w:color="auto" w:sz="4" w:space="0"/>
              <w:right w:val="single" w:color="auto" w:sz="4" w:space="0"/>
            </w:tcBorders>
            <w:vAlign w:val="center"/>
          </w:tcPr>
          <w:p w14:paraId="0D2B4639">
            <w:pPr>
              <w:jc w:val="right"/>
              <w:rPr>
                <w:rFonts w:ascii="Calibri" w:hAnsi="Calibri" w:cs="Cambria"/>
                <w:sz w:val="20"/>
                <w:szCs w:val="20"/>
              </w:rPr>
            </w:pPr>
            <w:r>
              <w:rPr>
                <w:rFonts w:ascii="Calibri" w:hAnsi="Calibri"/>
                <w:sz w:val="20"/>
                <w:szCs w:val="20"/>
              </w:rPr>
              <w:t>31.63</w:t>
            </w:r>
          </w:p>
        </w:tc>
      </w:tr>
    </w:tbl>
    <w:p w14:paraId="72854337"/>
    <w:p w14:paraId="7792BE7A">
      <w:pPr>
        <w:tabs>
          <w:tab w:val="left" w:pos="1134"/>
        </w:tabs>
        <w:rPr>
          <w:rFonts w:cs="Cambria"/>
        </w:rPr>
      </w:pPr>
    </w:p>
    <w:p w14:paraId="50F260CB">
      <w:pPr>
        <w:pStyle w:val="48"/>
      </w:pPr>
      <w:r>
        <w:rPr>
          <w:rFonts w:hint="eastAsia"/>
        </w:rPr>
        <w:t>本企业最终控制方是</w:t>
      </w:r>
      <w:sdt>
        <w:sdtPr>
          <w:rPr>
            <w:rFonts w:hint="eastAsia"/>
          </w:rPr>
          <w:alias w:val="本企业最终控制方"/>
          <w:tag w:val="_GBC_951a676520994ab7a3822c5f58c20b7d"/>
          <w:id w:val="-585298355"/>
          <w:placeholder>
            <w:docPart w:val="GBC22222222222222222222222222222"/>
          </w:placeholder>
        </w:sdtPr>
        <w:sdtEndPr>
          <w:rPr>
            <w:rFonts w:hint="eastAsia"/>
          </w:rPr>
        </w:sdtEndPr>
        <w:sdtContent>
          <w:r>
            <w:rPr>
              <w:rFonts w:hint="eastAsia"/>
            </w:rPr>
            <w:t>李一奎</w:t>
          </w:r>
        </w:sdtContent>
      </w:sdt>
    </w:p>
    <w:p w14:paraId="77E9BC36">
      <w:pPr>
        <w:pStyle w:val="48"/>
      </w:pPr>
    </w:p>
    <w:p w14:paraId="59E595AA">
      <w:pPr>
        <w:pStyle w:val="4"/>
        <w:numPr>
          <w:ilvl w:val="0"/>
          <w:numId w:val="115"/>
        </w:numPr>
      </w:pPr>
      <w:r>
        <w:rPr>
          <w:rFonts w:hint="eastAsia"/>
        </w:rPr>
        <w:t>本企业的子公司情况</w:t>
      </w:r>
    </w:p>
    <w:sdt>
      <w:sdtPr>
        <w:tag w:val="_PLD_00c8de6cd52c482b84acaf1117812c2c"/>
        <w:id w:val="-971288862"/>
      </w:sdtPr>
      <w:sdtContent>
        <w:p w14:paraId="2D87191C">
          <w:pPr>
            <w:pStyle w:val="48"/>
          </w:pPr>
          <w:r>
            <w:rPr>
              <w:rFonts w:hint="eastAsia"/>
            </w:rPr>
            <w:t>本企业子公司的情况详见附注</w:t>
          </w:r>
        </w:p>
      </w:sdtContent>
    </w:sdt>
    <w:sdt>
      <w:sdtPr>
        <w:rPr>
          <w:rFonts w:hint="eastAsia"/>
        </w:rPr>
        <w:alias w:val="是否适用：本公司的子公司情况详见附注[双击切换]"/>
        <w:tag w:val="_GBC_b3fd954877e04ee589f6c4ce95e1384a"/>
        <w:id w:val="2004242041"/>
        <w:placeholder>
          <w:docPart w:val="GBC22222222222222222222222222222"/>
        </w:placeholder>
      </w:sdtPr>
      <w:sdtEndPr>
        <w:rPr>
          <w:rFonts w:hint="eastAsia"/>
        </w:rPr>
      </w:sdtEndPr>
      <w:sdtContent>
        <w:p w14:paraId="642F6200">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本公司的子公司情况详见附注"/>
        <w:tag w:val="_GBC_bb3e2669c3cc45d0a6637b1809087708"/>
        <w:id w:val="-1146048333"/>
        <w:placeholder>
          <w:docPart w:val="GBC22222222222222222222222222222"/>
        </w:placeholder>
      </w:sdtPr>
      <w:sdtEndPr>
        <w:rPr>
          <w:rFonts w:hint="eastAsia"/>
        </w:rPr>
      </w:sdtEndPr>
      <w:sdtContent>
        <w:p w14:paraId="1747DEAC">
          <w:pPr>
            <w:pStyle w:val="48"/>
          </w:pPr>
          <w:r>
            <w:rPr>
              <w:rFonts w:hint="eastAsia"/>
            </w:rPr>
            <w:t>详见附注“十、在其他主体中的权益”。</w:t>
          </w:r>
        </w:p>
      </w:sdtContent>
    </w:sdt>
    <w:p w14:paraId="1DAA8A71">
      <w:pPr>
        <w:tabs>
          <w:tab w:val="left" w:pos="1134"/>
        </w:tabs>
        <w:rPr>
          <w:rFonts w:cs="Cambria"/>
        </w:rPr>
      </w:pPr>
    </w:p>
    <w:p w14:paraId="0B5FF8A1">
      <w:pPr>
        <w:pStyle w:val="4"/>
        <w:numPr>
          <w:ilvl w:val="0"/>
          <w:numId w:val="115"/>
        </w:numPr>
      </w:pPr>
      <w:r>
        <w:rPr>
          <w:rFonts w:hint="eastAsia"/>
        </w:rPr>
        <w:t>本企业合营和联营企业情况</w:t>
      </w:r>
    </w:p>
    <w:sdt>
      <w:sdtPr>
        <w:tag w:val="_PLD_9a4ffa8cb6674ac4a0ddd525351b6abd"/>
        <w:id w:val="537096338"/>
      </w:sdtPr>
      <w:sdtContent>
        <w:p w14:paraId="01B3575B">
          <w:pPr>
            <w:pStyle w:val="48"/>
          </w:pPr>
          <w:r>
            <w:rPr>
              <w:rFonts w:hint="eastAsia"/>
            </w:rPr>
            <w:t>本企业重要的合营或联营企业详见附注</w:t>
          </w:r>
        </w:p>
      </w:sdtContent>
    </w:sdt>
    <w:sdt>
      <w:sdtPr>
        <w:alias w:val="是否适用：本企业重要的合营或联营企业详见附注[双击切换]"/>
        <w:tag w:val="_GBC_a44d5ddc347344bcaadf8652bc7a927c"/>
        <w:id w:val="-216053691"/>
        <w:placeholder>
          <w:docPart w:val="GBC22222222222222222222222222222"/>
        </w:placeholder>
      </w:sdtPr>
      <w:sdtContent>
        <w:p w14:paraId="399BCFD3">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本企业重要的合营或联营企业详见附注"/>
        <w:tag w:val="_GBC_3c58c586b3d3412d9989e9dff0b9f4cf"/>
        <w:id w:val="-1069494945"/>
        <w:placeholder>
          <w:docPart w:val="GBC22222222222222222222222222222"/>
        </w:placeholder>
      </w:sdtPr>
      <w:sdtEndPr>
        <w:rPr>
          <w:rFonts w:hint="eastAsia"/>
        </w:rPr>
      </w:sdtEndPr>
      <w:sdtContent>
        <w:p w14:paraId="11938DC0">
          <w:pPr>
            <w:pStyle w:val="48"/>
          </w:pPr>
        </w:p>
        <w:tbl>
          <w:tblPr>
            <w:tblStyle w:val="1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756"/>
            <w:gridCol w:w="1084"/>
            <w:gridCol w:w="949"/>
            <w:gridCol w:w="1430"/>
            <w:gridCol w:w="1677"/>
            <w:gridCol w:w="751"/>
            <w:gridCol w:w="951"/>
          </w:tblGrid>
          <w:tr w14:paraId="7083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Align w:val="center"/>
              </w:tcPr>
              <w:p w14:paraId="1AFDD022">
                <w:pPr>
                  <w:widowControl w:val="0"/>
                  <w:autoSpaceDE w:val="0"/>
                  <w:autoSpaceDN w:val="0"/>
                  <w:adjustRightInd w:val="0"/>
                  <w:jc w:val="center"/>
                  <w:rPr>
                    <w:rFonts w:ascii="宋体" w:hAnsi="宋体"/>
                    <w:kern w:val="2"/>
                    <w:sz w:val="18"/>
                    <w:szCs w:val="18"/>
                  </w:rPr>
                </w:pPr>
                <w:r>
                  <w:rPr>
                    <w:rFonts w:ascii="宋体" w:hAnsi="宋体"/>
                    <w:kern w:val="2"/>
                    <w:sz w:val="18"/>
                    <w:szCs w:val="18"/>
                  </w:rPr>
                  <w:t>联（合）营公司名称</w:t>
                </w:r>
              </w:p>
            </w:tc>
            <w:tc>
              <w:tcPr>
                <w:tcW w:w="388" w:type="pct"/>
                <w:vAlign w:val="center"/>
              </w:tcPr>
              <w:p w14:paraId="6E39B03F">
                <w:pPr>
                  <w:widowControl w:val="0"/>
                  <w:autoSpaceDE w:val="0"/>
                  <w:autoSpaceDN w:val="0"/>
                  <w:adjustRightInd w:val="0"/>
                  <w:jc w:val="center"/>
                  <w:rPr>
                    <w:rFonts w:ascii="宋体" w:hAnsi="宋体"/>
                    <w:kern w:val="2"/>
                    <w:sz w:val="18"/>
                    <w:szCs w:val="18"/>
                  </w:rPr>
                </w:pPr>
                <w:r>
                  <w:rPr>
                    <w:rFonts w:ascii="宋体" w:hAnsi="宋体"/>
                    <w:kern w:val="2"/>
                    <w:sz w:val="18"/>
                    <w:szCs w:val="18"/>
                  </w:rPr>
                  <w:t>企业类型</w:t>
                </w:r>
              </w:p>
            </w:tc>
            <w:tc>
              <w:tcPr>
                <w:tcW w:w="602" w:type="pct"/>
                <w:vAlign w:val="center"/>
              </w:tcPr>
              <w:p w14:paraId="62005269">
                <w:pPr>
                  <w:widowControl w:val="0"/>
                  <w:autoSpaceDE w:val="0"/>
                  <w:autoSpaceDN w:val="0"/>
                  <w:adjustRightInd w:val="0"/>
                  <w:jc w:val="center"/>
                  <w:rPr>
                    <w:rFonts w:ascii="宋体" w:hAnsi="宋体"/>
                    <w:kern w:val="2"/>
                    <w:sz w:val="18"/>
                    <w:szCs w:val="18"/>
                  </w:rPr>
                </w:pPr>
                <w:r>
                  <w:rPr>
                    <w:rFonts w:ascii="宋体" w:hAnsi="宋体"/>
                    <w:kern w:val="2"/>
                    <w:sz w:val="18"/>
                    <w:szCs w:val="18"/>
                  </w:rPr>
                  <w:t>注册地址</w:t>
                </w:r>
              </w:p>
            </w:tc>
            <w:tc>
              <w:tcPr>
                <w:tcW w:w="527" w:type="pct"/>
                <w:vAlign w:val="center"/>
              </w:tcPr>
              <w:p w14:paraId="10CE8ACD">
                <w:pPr>
                  <w:widowControl w:val="0"/>
                  <w:autoSpaceDE w:val="0"/>
                  <w:autoSpaceDN w:val="0"/>
                  <w:adjustRightInd w:val="0"/>
                  <w:jc w:val="center"/>
                  <w:rPr>
                    <w:rFonts w:ascii="宋体" w:hAnsi="宋体"/>
                    <w:kern w:val="2"/>
                    <w:sz w:val="18"/>
                    <w:szCs w:val="18"/>
                  </w:rPr>
                </w:pPr>
                <w:r>
                  <w:rPr>
                    <w:rFonts w:ascii="宋体" w:hAnsi="宋体"/>
                    <w:kern w:val="2"/>
                    <w:sz w:val="18"/>
                    <w:szCs w:val="18"/>
                  </w:rPr>
                  <w:t>法定代表人</w:t>
                </w:r>
              </w:p>
            </w:tc>
            <w:tc>
              <w:tcPr>
                <w:tcW w:w="792" w:type="pct"/>
                <w:vAlign w:val="center"/>
              </w:tcPr>
              <w:p w14:paraId="65A6F5A0">
                <w:pPr>
                  <w:widowControl w:val="0"/>
                  <w:autoSpaceDE w:val="0"/>
                  <w:autoSpaceDN w:val="0"/>
                  <w:adjustRightInd w:val="0"/>
                  <w:jc w:val="center"/>
                  <w:rPr>
                    <w:rFonts w:ascii="宋体" w:hAnsi="宋体"/>
                    <w:kern w:val="2"/>
                    <w:sz w:val="18"/>
                    <w:szCs w:val="18"/>
                  </w:rPr>
                </w:pPr>
                <w:r>
                  <w:rPr>
                    <w:rFonts w:ascii="宋体" w:hAnsi="宋体"/>
                    <w:kern w:val="2"/>
                    <w:sz w:val="18"/>
                    <w:szCs w:val="18"/>
                  </w:rPr>
                  <w:t>业务性质</w:t>
                </w:r>
              </w:p>
            </w:tc>
            <w:tc>
              <w:tcPr>
                <w:tcW w:w="928" w:type="pct"/>
                <w:vAlign w:val="center"/>
              </w:tcPr>
              <w:p w14:paraId="6B859E5B">
                <w:pPr>
                  <w:widowControl w:val="0"/>
                  <w:autoSpaceDE w:val="0"/>
                  <w:autoSpaceDN w:val="0"/>
                  <w:adjustRightInd w:val="0"/>
                  <w:jc w:val="center"/>
                  <w:rPr>
                    <w:rFonts w:ascii="宋体" w:hAnsi="宋体"/>
                    <w:kern w:val="2"/>
                    <w:sz w:val="18"/>
                    <w:szCs w:val="18"/>
                  </w:rPr>
                </w:pPr>
                <w:r>
                  <w:rPr>
                    <w:rFonts w:ascii="宋体" w:hAnsi="宋体"/>
                    <w:kern w:val="2"/>
                    <w:sz w:val="18"/>
                    <w:szCs w:val="18"/>
                  </w:rPr>
                  <w:t>注册资本</w:t>
                </w:r>
              </w:p>
            </w:tc>
            <w:tc>
              <w:tcPr>
                <w:tcW w:w="418" w:type="pct"/>
                <w:vAlign w:val="center"/>
              </w:tcPr>
              <w:p w14:paraId="49022884">
                <w:pPr>
                  <w:widowControl w:val="0"/>
                  <w:autoSpaceDE w:val="0"/>
                  <w:autoSpaceDN w:val="0"/>
                  <w:adjustRightInd w:val="0"/>
                  <w:jc w:val="center"/>
                  <w:rPr>
                    <w:rFonts w:ascii="宋体" w:hAnsi="宋体"/>
                    <w:kern w:val="2"/>
                    <w:sz w:val="18"/>
                    <w:szCs w:val="18"/>
                  </w:rPr>
                </w:pPr>
                <w:r>
                  <w:rPr>
                    <w:rFonts w:ascii="宋体" w:hAnsi="宋体"/>
                    <w:kern w:val="2"/>
                    <w:sz w:val="18"/>
                    <w:szCs w:val="18"/>
                  </w:rPr>
                  <w:t>本公司持股比例</w:t>
                </w:r>
                <w:r>
                  <w:rPr>
                    <w:rFonts w:hint="eastAsia" w:ascii="宋体" w:hAnsi="宋体"/>
                    <w:kern w:val="2"/>
                    <w:sz w:val="18"/>
                    <w:szCs w:val="18"/>
                  </w:rPr>
                  <w:t>（%）</w:t>
                </w:r>
              </w:p>
            </w:tc>
            <w:tc>
              <w:tcPr>
                <w:tcW w:w="528" w:type="pct"/>
                <w:vAlign w:val="center"/>
              </w:tcPr>
              <w:p w14:paraId="43476D52">
                <w:pPr>
                  <w:widowControl w:val="0"/>
                  <w:autoSpaceDE w:val="0"/>
                  <w:autoSpaceDN w:val="0"/>
                  <w:adjustRightInd w:val="0"/>
                  <w:jc w:val="center"/>
                  <w:rPr>
                    <w:rFonts w:ascii="宋体" w:hAnsi="宋体"/>
                    <w:kern w:val="2"/>
                    <w:sz w:val="18"/>
                    <w:szCs w:val="18"/>
                  </w:rPr>
                </w:pPr>
                <w:r>
                  <w:rPr>
                    <w:rFonts w:ascii="宋体" w:hAnsi="宋体"/>
                    <w:kern w:val="2"/>
                    <w:sz w:val="18"/>
                    <w:szCs w:val="18"/>
                  </w:rPr>
                  <w:t>本公司在被投资单位表决权比例</w:t>
                </w:r>
                <w:r>
                  <w:rPr>
                    <w:rFonts w:hint="eastAsia" w:ascii="宋体" w:hAnsi="宋体"/>
                    <w:kern w:val="2"/>
                    <w:sz w:val="18"/>
                    <w:szCs w:val="18"/>
                  </w:rPr>
                  <w:t>（%）</w:t>
                </w:r>
              </w:p>
            </w:tc>
          </w:tr>
          <w:tr w14:paraId="3416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Align w:val="center"/>
              </w:tcPr>
              <w:p w14:paraId="044F2B92">
                <w:pPr>
                  <w:widowControl w:val="0"/>
                  <w:autoSpaceDE w:val="0"/>
                  <w:autoSpaceDN w:val="0"/>
                  <w:adjustRightInd w:val="0"/>
                  <w:rPr>
                    <w:rFonts w:ascii="宋体" w:hAnsi="宋体"/>
                    <w:kern w:val="2"/>
                    <w:sz w:val="18"/>
                    <w:szCs w:val="18"/>
                  </w:rPr>
                </w:pPr>
                <w:r>
                  <w:rPr>
                    <w:rFonts w:hint="eastAsia" w:ascii="宋体" w:hAnsi="宋体"/>
                    <w:kern w:val="2"/>
                    <w:sz w:val="18"/>
                    <w:szCs w:val="18"/>
                  </w:rPr>
                  <w:t>厦门特宝生物工程股份有限公司</w:t>
                </w:r>
              </w:p>
            </w:tc>
            <w:tc>
              <w:tcPr>
                <w:tcW w:w="388" w:type="pct"/>
                <w:vAlign w:val="center"/>
              </w:tcPr>
              <w:p w14:paraId="5B9887F5">
                <w:pPr>
                  <w:widowControl w:val="0"/>
                  <w:autoSpaceDE w:val="0"/>
                  <w:autoSpaceDN w:val="0"/>
                  <w:adjustRightInd w:val="0"/>
                  <w:jc w:val="center"/>
                  <w:rPr>
                    <w:rFonts w:ascii="宋体" w:hAnsi="宋体"/>
                    <w:kern w:val="2"/>
                    <w:sz w:val="18"/>
                    <w:szCs w:val="18"/>
                  </w:rPr>
                </w:pPr>
                <w:r>
                  <w:rPr>
                    <w:rFonts w:hint="eastAsia" w:ascii="宋体" w:hAnsi="宋体"/>
                    <w:kern w:val="2"/>
                    <w:sz w:val="18"/>
                    <w:szCs w:val="18"/>
                  </w:rPr>
                  <w:t>股份有限公司</w:t>
                </w:r>
              </w:p>
            </w:tc>
            <w:tc>
              <w:tcPr>
                <w:tcW w:w="602" w:type="pct"/>
                <w:vAlign w:val="center"/>
              </w:tcPr>
              <w:p w14:paraId="226C4FFC">
                <w:pPr>
                  <w:widowControl w:val="0"/>
                  <w:autoSpaceDE w:val="0"/>
                  <w:autoSpaceDN w:val="0"/>
                  <w:adjustRightInd w:val="0"/>
                  <w:jc w:val="center"/>
                  <w:rPr>
                    <w:rFonts w:ascii="宋体" w:hAnsi="宋体"/>
                    <w:kern w:val="2"/>
                    <w:sz w:val="18"/>
                    <w:szCs w:val="18"/>
                  </w:rPr>
                </w:pPr>
                <w:r>
                  <w:rPr>
                    <w:rFonts w:hint="eastAsia" w:ascii="宋体" w:hAnsi="宋体"/>
                    <w:kern w:val="2"/>
                    <w:sz w:val="18"/>
                    <w:szCs w:val="18"/>
                  </w:rPr>
                  <w:t>厦门市海沧新阳工业区翁角路330号</w:t>
                </w:r>
              </w:p>
            </w:tc>
            <w:tc>
              <w:tcPr>
                <w:tcW w:w="527" w:type="pct"/>
                <w:vAlign w:val="center"/>
              </w:tcPr>
              <w:p w14:paraId="21CB33E0">
                <w:pPr>
                  <w:widowControl w:val="0"/>
                  <w:autoSpaceDE w:val="0"/>
                  <w:autoSpaceDN w:val="0"/>
                  <w:adjustRightInd w:val="0"/>
                  <w:ind w:right="42" w:rightChars="20"/>
                  <w:jc w:val="center"/>
                  <w:rPr>
                    <w:rFonts w:ascii="宋体" w:hAnsi="宋体"/>
                    <w:kern w:val="2"/>
                    <w:sz w:val="18"/>
                    <w:szCs w:val="18"/>
                  </w:rPr>
                </w:pPr>
                <w:r>
                  <w:rPr>
                    <w:rFonts w:hint="eastAsia" w:ascii="宋体" w:hAnsi="宋体"/>
                    <w:kern w:val="2"/>
                    <w:sz w:val="18"/>
                    <w:szCs w:val="18"/>
                  </w:rPr>
                  <w:t>孙黎</w:t>
                </w:r>
              </w:p>
            </w:tc>
            <w:tc>
              <w:tcPr>
                <w:tcW w:w="792" w:type="pct"/>
                <w:vAlign w:val="center"/>
              </w:tcPr>
              <w:p w14:paraId="712352E3">
                <w:pPr>
                  <w:widowControl w:val="0"/>
                  <w:autoSpaceDE w:val="0"/>
                  <w:autoSpaceDN w:val="0"/>
                  <w:adjustRightInd w:val="0"/>
                  <w:ind w:right="42" w:rightChars="20"/>
                  <w:jc w:val="center"/>
                  <w:rPr>
                    <w:rFonts w:ascii="宋体" w:hAnsi="宋体"/>
                    <w:kern w:val="2"/>
                    <w:sz w:val="18"/>
                    <w:szCs w:val="18"/>
                  </w:rPr>
                </w:pPr>
                <w:r>
                  <w:rPr>
                    <w:rFonts w:hint="eastAsia" w:ascii="宋体" w:hAnsi="宋体"/>
                    <w:kern w:val="2"/>
                    <w:sz w:val="18"/>
                    <w:szCs w:val="18"/>
                  </w:rPr>
                  <w:t>药品生产；药品进出口；第二类医疗器械生产；第三类医疗器械生产；第三类医疗器械经营</w:t>
                </w:r>
              </w:p>
            </w:tc>
            <w:tc>
              <w:tcPr>
                <w:tcW w:w="928" w:type="pct"/>
                <w:vAlign w:val="center"/>
              </w:tcPr>
              <w:p w14:paraId="40230972">
                <w:pPr>
                  <w:widowControl w:val="0"/>
                  <w:ind w:right="42" w:rightChars="20"/>
                  <w:jc w:val="right"/>
                  <w:rPr>
                    <w:rFonts w:asciiTheme="minorHAnsi" w:hAnsiTheme="minorHAnsi" w:cstheme="minorHAnsi"/>
                    <w:kern w:val="2"/>
                    <w:sz w:val="18"/>
                    <w:szCs w:val="18"/>
                  </w:rPr>
                </w:pPr>
                <w:r>
                  <w:rPr>
                    <w:rFonts w:asciiTheme="minorHAnsi" w:hAnsiTheme="minorHAnsi" w:cstheme="minorHAnsi"/>
                    <w:kern w:val="2"/>
                    <w:sz w:val="18"/>
                    <w:szCs w:val="18"/>
                  </w:rPr>
                  <w:t>40,818.948万元</w:t>
                </w:r>
              </w:p>
            </w:tc>
            <w:tc>
              <w:tcPr>
                <w:tcW w:w="418" w:type="pct"/>
                <w:vAlign w:val="center"/>
              </w:tcPr>
              <w:p w14:paraId="4D691A8C">
                <w:pPr>
                  <w:widowControl w:val="0"/>
                  <w:ind w:right="42" w:rightChars="20"/>
                  <w:jc w:val="center"/>
                  <w:rPr>
                    <w:rFonts w:asciiTheme="minorHAnsi" w:hAnsiTheme="minorHAnsi" w:cstheme="minorHAnsi"/>
                    <w:kern w:val="2"/>
                    <w:sz w:val="18"/>
                    <w:szCs w:val="18"/>
                  </w:rPr>
                </w:pPr>
                <w:r>
                  <w:rPr>
                    <w:rFonts w:asciiTheme="minorHAnsi" w:hAnsiTheme="minorHAnsi" w:cstheme="minorHAnsi"/>
                    <w:kern w:val="2"/>
                    <w:sz w:val="18"/>
                    <w:szCs w:val="18"/>
                  </w:rPr>
                  <w:t>10.29</w:t>
                </w:r>
              </w:p>
            </w:tc>
            <w:tc>
              <w:tcPr>
                <w:tcW w:w="528" w:type="pct"/>
                <w:vAlign w:val="center"/>
              </w:tcPr>
              <w:p w14:paraId="11C166A7">
                <w:pPr>
                  <w:widowControl w:val="0"/>
                  <w:ind w:right="42" w:rightChars="20"/>
                  <w:jc w:val="center"/>
                  <w:rPr>
                    <w:rFonts w:asciiTheme="minorHAnsi" w:hAnsiTheme="minorHAnsi" w:cstheme="minorHAnsi"/>
                    <w:kern w:val="2"/>
                    <w:sz w:val="18"/>
                    <w:szCs w:val="18"/>
                  </w:rPr>
                </w:pPr>
                <w:r>
                  <w:rPr>
                    <w:rFonts w:asciiTheme="minorHAnsi" w:hAnsiTheme="minorHAnsi" w:cstheme="minorHAnsi"/>
                    <w:kern w:val="2"/>
                    <w:sz w:val="18"/>
                    <w:szCs w:val="18"/>
                  </w:rPr>
                  <w:t>10.29</w:t>
                </w:r>
              </w:p>
            </w:tc>
          </w:tr>
          <w:tr w14:paraId="7098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Align w:val="center"/>
              </w:tcPr>
              <w:p w14:paraId="1B438937">
                <w:pPr>
                  <w:widowControl w:val="0"/>
                  <w:autoSpaceDE w:val="0"/>
                  <w:autoSpaceDN w:val="0"/>
                  <w:adjustRightInd w:val="0"/>
                  <w:rPr>
                    <w:rFonts w:ascii="宋体" w:hAnsi="宋体"/>
                    <w:kern w:val="2"/>
                    <w:sz w:val="18"/>
                    <w:szCs w:val="18"/>
                  </w:rPr>
                </w:pPr>
                <w:r>
                  <w:rPr>
                    <w:rFonts w:hint="eastAsia" w:ascii="宋体" w:hAnsi="宋体"/>
                    <w:kern w:val="2"/>
                    <w:sz w:val="18"/>
                    <w:szCs w:val="18"/>
                  </w:rPr>
                  <w:t>华广生技股份有限公司</w:t>
                </w:r>
              </w:p>
            </w:tc>
            <w:tc>
              <w:tcPr>
                <w:tcW w:w="388" w:type="pct"/>
                <w:vAlign w:val="center"/>
              </w:tcPr>
              <w:p w14:paraId="1DD600DE">
                <w:pPr>
                  <w:widowControl w:val="0"/>
                  <w:autoSpaceDE w:val="0"/>
                  <w:autoSpaceDN w:val="0"/>
                  <w:adjustRightInd w:val="0"/>
                  <w:jc w:val="center"/>
                  <w:rPr>
                    <w:rFonts w:ascii="宋体" w:hAnsi="宋体"/>
                    <w:kern w:val="2"/>
                    <w:sz w:val="18"/>
                    <w:szCs w:val="18"/>
                  </w:rPr>
                </w:pPr>
                <w:r>
                  <w:rPr>
                    <w:rFonts w:hint="eastAsia" w:ascii="宋体" w:hAnsi="宋体"/>
                    <w:kern w:val="2"/>
                    <w:sz w:val="18"/>
                    <w:szCs w:val="18"/>
                  </w:rPr>
                  <w:t>股份有限公司</w:t>
                </w:r>
              </w:p>
            </w:tc>
            <w:tc>
              <w:tcPr>
                <w:tcW w:w="602" w:type="pct"/>
                <w:vAlign w:val="center"/>
              </w:tcPr>
              <w:p w14:paraId="67D3E2FE">
                <w:pPr>
                  <w:widowControl w:val="0"/>
                  <w:autoSpaceDE w:val="0"/>
                  <w:autoSpaceDN w:val="0"/>
                  <w:adjustRightInd w:val="0"/>
                  <w:jc w:val="center"/>
                  <w:rPr>
                    <w:rFonts w:ascii="宋体" w:hAnsi="宋体"/>
                    <w:kern w:val="2"/>
                    <w:sz w:val="18"/>
                    <w:szCs w:val="18"/>
                  </w:rPr>
                </w:pPr>
                <w:r>
                  <w:rPr>
                    <w:rFonts w:hint="eastAsia" w:ascii="宋体" w:hAnsi="宋体"/>
                    <w:kern w:val="2"/>
                    <w:sz w:val="18"/>
                    <w:szCs w:val="18"/>
                  </w:rPr>
                  <w:t>台中市南区大庆街二段100号</w:t>
                </w:r>
              </w:p>
            </w:tc>
            <w:tc>
              <w:tcPr>
                <w:tcW w:w="527" w:type="pct"/>
                <w:vAlign w:val="center"/>
              </w:tcPr>
              <w:p w14:paraId="3BE37392">
                <w:pPr>
                  <w:widowControl w:val="0"/>
                  <w:autoSpaceDE w:val="0"/>
                  <w:autoSpaceDN w:val="0"/>
                  <w:adjustRightInd w:val="0"/>
                  <w:ind w:right="42" w:rightChars="20"/>
                  <w:jc w:val="center"/>
                  <w:rPr>
                    <w:rFonts w:ascii="宋体" w:hAnsi="宋体"/>
                    <w:kern w:val="2"/>
                    <w:sz w:val="18"/>
                    <w:szCs w:val="18"/>
                  </w:rPr>
                </w:pPr>
                <w:r>
                  <w:rPr>
                    <w:rFonts w:hint="eastAsia" w:ascii="宋体" w:hAnsi="宋体"/>
                    <w:kern w:val="2"/>
                    <w:sz w:val="18"/>
                    <w:szCs w:val="18"/>
                  </w:rPr>
                  <w:t>黄椿木</w:t>
                </w:r>
              </w:p>
            </w:tc>
            <w:tc>
              <w:tcPr>
                <w:tcW w:w="792" w:type="pct"/>
                <w:vAlign w:val="center"/>
              </w:tcPr>
              <w:p w14:paraId="38563284">
                <w:pPr>
                  <w:widowControl w:val="0"/>
                  <w:autoSpaceDE w:val="0"/>
                  <w:autoSpaceDN w:val="0"/>
                  <w:adjustRightInd w:val="0"/>
                  <w:ind w:right="42" w:rightChars="20"/>
                  <w:jc w:val="center"/>
                  <w:rPr>
                    <w:rFonts w:ascii="宋体" w:hAnsi="宋体"/>
                    <w:kern w:val="2"/>
                    <w:sz w:val="18"/>
                    <w:szCs w:val="18"/>
                  </w:rPr>
                </w:pPr>
                <w:r>
                  <w:rPr>
                    <w:rFonts w:hint="eastAsia" w:ascii="宋体" w:hAnsi="宋体"/>
                    <w:kern w:val="2"/>
                    <w:sz w:val="18"/>
                    <w:szCs w:val="18"/>
                  </w:rPr>
                  <w:t>医疗器械批发；生物技术服务；精密仪器批发；医疗器材制造等</w:t>
                </w:r>
              </w:p>
            </w:tc>
            <w:tc>
              <w:tcPr>
                <w:tcW w:w="928" w:type="pct"/>
                <w:vAlign w:val="center"/>
              </w:tcPr>
              <w:p w14:paraId="7A30E10A">
                <w:pPr>
                  <w:widowControl w:val="0"/>
                  <w:ind w:right="42" w:rightChars="20"/>
                  <w:jc w:val="center"/>
                  <w:rPr>
                    <w:rFonts w:asciiTheme="minorHAnsi" w:hAnsiTheme="minorHAnsi" w:cstheme="minorHAnsi"/>
                    <w:kern w:val="2"/>
                    <w:sz w:val="18"/>
                    <w:szCs w:val="18"/>
                  </w:rPr>
                </w:pPr>
                <w:r>
                  <w:rPr>
                    <w:rFonts w:asciiTheme="minorHAnsi" w:hAnsiTheme="minorHAnsi" w:cstheme="minorHAnsi"/>
                    <w:kern w:val="2"/>
                    <w:sz w:val="18"/>
                    <w:szCs w:val="18"/>
                  </w:rPr>
                  <w:t>10亿（新台币）</w:t>
                </w:r>
              </w:p>
            </w:tc>
            <w:tc>
              <w:tcPr>
                <w:tcW w:w="418" w:type="pct"/>
                <w:vAlign w:val="center"/>
              </w:tcPr>
              <w:p w14:paraId="6048B972">
                <w:pPr>
                  <w:widowControl w:val="0"/>
                  <w:ind w:right="42" w:rightChars="20"/>
                  <w:jc w:val="center"/>
                  <w:rPr>
                    <w:rFonts w:asciiTheme="minorHAnsi" w:hAnsiTheme="minorHAnsi" w:cstheme="minorHAnsi"/>
                    <w:kern w:val="2"/>
                    <w:sz w:val="18"/>
                    <w:szCs w:val="18"/>
                  </w:rPr>
                </w:pPr>
                <w:r>
                  <w:rPr>
                    <w:rFonts w:asciiTheme="minorHAnsi" w:hAnsiTheme="minorHAnsi" w:cstheme="minorHAnsi"/>
                    <w:kern w:val="2"/>
                    <w:sz w:val="18"/>
                    <w:szCs w:val="18"/>
                  </w:rPr>
                  <w:t>19.62</w:t>
                </w:r>
              </w:p>
            </w:tc>
            <w:tc>
              <w:tcPr>
                <w:tcW w:w="528" w:type="pct"/>
                <w:vAlign w:val="center"/>
              </w:tcPr>
              <w:p w14:paraId="2D28BB06">
                <w:pPr>
                  <w:widowControl w:val="0"/>
                  <w:ind w:right="42" w:rightChars="20"/>
                  <w:jc w:val="center"/>
                  <w:rPr>
                    <w:rFonts w:asciiTheme="minorHAnsi" w:hAnsiTheme="minorHAnsi" w:cstheme="minorHAnsi"/>
                    <w:kern w:val="2"/>
                    <w:sz w:val="18"/>
                    <w:szCs w:val="18"/>
                  </w:rPr>
                </w:pPr>
                <w:r>
                  <w:rPr>
                    <w:rFonts w:asciiTheme="minorHAnsi" w:hAnsiTheme="minorHAnsi" w:cstheme="minorHAnsi"/>
                    <w:kern w:val="2"/>
                    <w:sz w:val="18"/>
                    <w:szCs w:val="18"/>
                  </w:rPr>
                  <w:t>19.62</w:t>
                </w:r>
              </w:p>
            </w:tc>
          </w:tr>
          <w:tr w14:paraId="19E1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Align w:val="center"/>
              </w:tcPr>
              <w:p w14:paraId="2018F26C">
                <w:pPr>
                  <w:widowControl w:val="0"/>
                  <w:autoSpaceDE w:val="0"/>
                  <w:autoSpaceDN w:val="0"/>
                  <w:adjustRightInd w:val="0"/>
                  <w:rPr>
                    <w:rFonts w:ascii="宋体" w:hAnsi="宋体"/>
                    <w:kern w:val="2"/>
                    <w:sz w:val="18"/>
                    <w:szCs w:val="18"/>
                  </w:rPr>
                </w:pPr>
                <w:r>
                  <w:rPr>
                    <w:rFonts w:hint="eastAsia" w:ascii="宋体" w:hAnsi="宋体"/>
                    <w:kern w:val="2"/>
                    <w:sz w:val="18"/>
                    <w:szCs w:val="18"/>
                  </w:rPr>
                  <w:t>君合盟生物制药（杭州）股份有限公司</w:t>
                </w:r>
              </w:p>
            </w:tc>
            <w:tc>
              <w:tcPr>
                <w:tcW w:w="388" w:type="pct"/>
                <w:vAlign w:val="center"/>
              </w:tcPr>
              <w:p w14:paraId="595BF949">
                <w:pPr>
                  <w:widowControl w:val="0"/>
                  <w:autoSpaceDE w:val="0"/>
                  <w:autoSpaceDN w:val="0"/>
                  <w:adjustRightInd w:val="0"/>
                  <w:jc w:val="center"/>
                  <w:rPr>
                    <w:rFonts w:ascii="宋体" w:hAnsi="宋体"/>
                    <w:kern w:val="2"/>
                    <w:sz w:val="18"/>
                    <w:szCs w:val="18"/>
                  </w:rPr>
                </w:pPr>
                <w:r>
                  <w:rPr>
                    <w:rFonts w:hint="eastAsia" w:ascii="宋体" w:hAnsi="宋体"/>
                    <w:kern w:val="2"/>
                    <w:sz w:val="18"/>
                    <w:szCs w:val="18"/>
                  </w:rPr>
                  <w:t>股份有限公司（注：2026年1月变更为股份有限公司）</w:t>
                </w:r>
              </w:p>
            </w:tc>
            <w:tc>
              <w:tcPr>
                <w:tcW w:w="602" w:type="pct"/>
                <w:vAlign w:val="center"/>
              </w:tcPr>
              <w:p w14:paraId="22ED5723">
                <w:pPr>
                  <w:widowControl w:val="0"/>
                  <w:autoSpaceDE w:val="0"/>
                  <w:autoSpaceDN w:val="0"/>
                  <w:adjustRightInd w:val="0"/>
                  <w:jc w:val="center"/>
                  <w:rPr>
                    <w:rFonts w:ascii="宋体" w:hAnsi="宋体"/>
                    <w:kern w:val="2"/>
                    <w:sz w:val="18"/>
                    <w:szCs w:val="18"/>
                  </w:rPr>
                </w:pPr>
                <w:r>
                  <w:rPr>
                    <w:rFonts w:hint="eastAsia" w:ascii="宋体" w:hAnsi="宋体"/>
                    <w:kern w:val="2"/>
                    <w:sz w:val="18"/>
                    <w:szCs w:val="18"/>
                  </w:rPr>
                  <w:t>浙江省杭州市钱塘区和享科技中心9幢501、502、503、504室</w:t>
                </w:r>
              </w:p>
            </w:tc>
            <w:tc>
              <w:tcPr>
                <w:tcW w:w="527" w:type="pct"/>
                <w:vAlign w:val="center"/>
              </w:tcPr>
              <w:p w14:paraId="6E796179">
                <w:pPr>
                  <w:widowControl w:val="0"/>
                  <w:autoSpaceDE w:val="0"/>
                  <w:autoSpaceDN w:val="0"/>
                  <w:adjustRightInd w:val="0"/>
                  <w:ind w:right="42" w:rightChars="20"/>
                  <w:jc w:val="center"/>
                  <w:rPr>
                    <w:rFonts w:ascii="宋体" w:hAnsi="宋体"/>
                    <w:kern w:val="2"/>
                    <w:sz w:val="18"/>
                    <w:szCs w:val="18"/>
                  </w:rPr>
                </w:pPr>
                <w:r>
                  <w:rPr>
                    <w:rFonts w:hint="eastAsia" w:ascii="宋体" w:hAnsi="宋体"/>
                    <w:kern w:val="2"/>
                    <w:sz w:val="18"/>
                    <w:szCs w:val="18"/>
                  </w:rPr>
                  <w:t>XU KUI</w:t>
                </w:r>
              </w:p>
            </w:tc>
            <w:tc>
              <w:tcPr>
                <w:tcW w:w="792" w:type="pct"/>
                <w:vAlign w:val="center"/>
              </w:tcPr>
              <w:p w14:paraId="79744ED1">
                <w:pPr>
                  <w:widowControl w:val="0"/>
                  <w:autoSpaceDE w:val="0"/>
                  <w:autoSpaceDN w:val="0"/>
                  <w:adjustRightInd w:val="0"/>
                  <w:ind w:right="42" w:rightChars="20"/>
                  <w:jc w:val="center"/>
                  <w:rPr>
                    <w:rFonts w:ascii="宋体" w:hAnsi="宋体"/>
                    <w:kern w:val="2"/>
                    <w:sz w:val="18"/>
                    <w:szCs w:val="18"/>
                  </w:rPr>
                </w:pPr>
                <w:r>
                  <w:rPr>
                    <w:rFonts w:hint="eastAsia" w:ascii="宋体" w:hAnsi="宋体"/>
                    <w:kern w:val="2"/>
                    <w:sz w:val="18"/>
                    <w:szCs w:val="18"/>
                  </w:rPr>
                  <w:t>药品生产；药品委托生产；药品批发；药品零售等</w:t>
                </w:r>
              </w:p>
            </w:tc>
            <w:tc>
              <w:tcPr>
                <w:tcW w:w="928" w:type="pct"/>
                <w:vAlign w:val="center"/>
              </w:tcPr>
              <w:p w14:paraId="24FF7013">
                <w:pPr>
                  <w:widowControl w:val="0"/>
                  <w:ind w:right="42" w:rightChars="20"/>
                  <w:jc w:val="right"/>
                  <w:rPr>
                    <w:rFonts w:asciiTheme="minorHAnsi" w:hAnsiTheme="minorHAnsi" w:cstheme="minorHAnsi"/>
                    <w:kern w:val="2"/>
                    <w:sz w:val="18"/>
                    <w:szCs w:val="18"/>
                  </w:rPr>
                </w:pPr>
                <w:r>
                  <w:rPr>
                    <w:rFonts w:asciiTheme="minorHAnsi" w:hAnsiTheme="minorHAnsi" w:cstheme="minorHAnsi"/>
                    <w:kern w:val="2"/>
                    <w:sz w:val="18"/>
                    <w:szCs w:val="18"/>
                  </w:rPr>
                  <w:t>13,386.2443万元</w:t>
                </w:r>
              </w:p>
            </w:tc>
            <w:tc>
              <w:tcPr>
                <w:tcW w:w="418" w:type="pct"/>
                <w:vAlign w:val="center"/>
              </w:tcPr>
              <w:p w14:paraId="3BA82EB4">
                <w:pPr>
                  <w:widowControl w:val="0"/>
                  <w:ind w:right="42" w:rightChars="20"/>
                  <w:jc w:val="center"/>
                  <w:rPr>
                    <w:rFonts w:asciiTheme="minorHAnsi" w:hAnsiTheme="minorHAnsi" w:cstheme="minorHAnsi"/>
                    <w:kern w:val="2"/>
                    <w:sz w:val="18"/>
                    <w:szCs w:val="18"/>
                  </w:rPr>
                </w:pPr>
                <w:r>
                  <w:rPr>
                    <w:rFonts w:asciiTheme="minorHAnsi" w:hAnsiTheme="minorHAnsi" w:cstheme="minorHAnsi"/>
                    <w:kern w:val="2"/>
                    <w:sz w:val="18"/>
                    <w:szCs w:val="18"/>
                  </w:rPr>
                  <w:t>7.10</w:t>
                </w:r>
              </w:p>
            </w:tc>
            <w:tc>
              <w:tcPr>
                <w:tcW w:w="528" w:type="pct"/>
                <w:vAlign w:val="center"/>
              </w:tcPr>
              <w:p w14:paraId="3A294F88">
                <w:pPr>
                  <w:widowControl w:val="0"/>
                  <w:ind w:right="42" w:rightChars="20"/>
                  <w:jc w:val="center"/>
                  <w:rPr>
                    <w:rFonts w:asciiTheme="minorHAnsi" w:hAnsiTheme="minorHAnsi" w:cstheme="minorHAnsi"/>
                    <w:kern w:val="2"/>
                    <w:sz w:val="18"/>
                    <w:szCs w:val="18"/>
                  </w:rPr>
                </w:pPr>
                <w:r>
                  <w:rPr>
                    <w:rFonts w:asciiTheme="minorHAnsi" w:hAnsiTheme="minorHAnsi" w:cstheme="minorHAnsi"/>
                    <w:kern w:val="2"/>
                    <w:sz w:val="18"/>
                    <w:szCs w:val="18"/>
                  </w:rPr>
                  <w:t>7.10</w:t>
                </w:r>
              </w:p>
            </w:tc>
          </w:tr>
        </w:tbl>
        <w:p w14:paraId="2603BFC1">
          <w:pPr>
            <w:pStyle w:val="48"/>
          </w:pPr>
        </w:p>
      </w:sdtContent>
    </w:sdt>
    <w:p w14:paraId="71AEEC9E">
      <w:pPr>
        <w:pStyle w:val="48"/>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749922005"/>
        <w:placeholder>
          <w:docPart w:val="GBC22222222222222222222222222222"/>
        </w:placeholder>
      </w:sdtPr>
      <w:sdtContent>
        <w:p w14:paraId="78314E8E">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8D4E867">
      <w:pPr>
        <w:pStyle w:val="48"/>
        <w:rPr>
          <w:rFonts w:cs="Cambria"/>
        </w:rPr>
      </w:pPr>
    </w:p>
    <w:p w14:paraId="68E6C68C">
      <w:pPr>
        <w:tabs>
          <w:tab w:val="left" w:pos="1134"/>
        </w:tabs>
        <w:rPr>
          <w:rFonts w:cs="Cambria"/>
        </w:rPr>
      </w:pPr>
      <w:r>
        <w:rPr>
          <w:rFonts w:hint="eastAsia" w:cs="Cambria"/>
        </w:rPr>
        <w:t>其他说明：</w:t>
      </w:r>
    </w:p>
    <w:sdt>
      <w:sdtPr>
        <w:rPr>
          <w:rFonts w:cs="Cambria"/>
        </w:rPr>
        <w:alias w:val="是否适用：存在关联方交易或余额的合营和联营企业情况说明[双击切换]"/>
        <w:tag w:val="_GBC_491f62bb76ba49c482a64272865cc4a1"/>
        <w:id w:val="-2101082308"/>
        <w:placeholder>
          <w:docPart w:val="GBC22222222222222222222222222222"/>
        </w:placeholder>
      </w:sdtPr>
      <w:sdtEndPr>
        <w:rPr>
          <w:rFonts w:cs="Cambria"/>
        </w:rPr>
      </w:sdtEndPr>
      <w:sdtContent>
        <w:p w14:paraId="4D76E399">
          <w:pPr>
            <w:tabs>
              <w:tab w:val="left" w:pos="1134"/>
            </w:tabs>
            <w:rPr>
              <w:rFonts w:cs="Cambria"/>
            </w:rPr>
          </w:pPr>
          <w:r>
            <w:rPr>
              <w:rFonts w:ascii="宋体" w:hAnsi="宋体" w:cs="Cambria"/>
            </w:rPr>
            <w:fldChar w:fldCharType="begin"/>
          </w:r>
          <w:r>
            <w:rPr>
              <w:rFonts w:ascii="宋体" w:hAnsi="宋体" w:cs="Cambr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14:paraId="5670CC31">
      <w:pPr>
        <w:tabs>
          <w:tab w:val="left" w:pos="1134"/>
        </w:tabs>
        <w:rPr>
          <w:rFonts w:cs="Cambria"/>
        </w:rPr>
      </w:pPr>
    </w:p>
    <w:p w14:paraId="6F64A411">
      <w:pPr>
        <w:pStyle w:val="4"/>
        <w:numPr>
          <w:ilvl w:val="0"/>
          <w:numId w:val="115"/>
        </w:numPr>
      </w:pPr>
      <w:r>
        <w:rPr>
          <w:rFonts w:hint="eastAsia"/>
        </w:rPr>
        <w:t>其他关联方情况</w:t>
      </w:r>
    </w:p>
    <w:sdt>
      <w:sdtPr>
        <w:alias w:val="是否适用：其他关联方情况[双击切换]"/>
        <w:tag w:val="_GBC_42246b4c04fc4462b5fb05a5db67f4d0"/>
        <w:id w:val="1123656942"/>
        <w:placeholder>
          <w:docPart w:val="GBC22222222222222222222222222222"/>
        </w:placeholder>
      </w:sdtPr>
      <w:sdtContent>
        <w:p w14:paraId="2CAADE7B">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4800"/>
      </w:tblGrid>
      <w:tr w14:paraId="5245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sdt>
          <w:sdtPr>
            <w:tag w:val="_PLD_36db3e8c12e04d279b0c2956ad69d8a6"/>
            <w:id w:val="-72047243"/>
          </w:sdtPr>
          <w:sdtContent>
            <w:tc>
              <w:tcPr>
                <w:tcW w:w="4248" w:type="dxa"/>
                <w:tcBorders>
                  <w:top w:val="single" w:color="auto" w:sz="4" w:space="0"/>
                  <w:left w:val="single" w:color="auto" w:sz="4" w:space="0"/>
                  <w:bottom w:val="single" w:color="auto" w:sz="4" w:space="0"/>
                  <w:right w:val="single" w:color="auto" w:sz="4" w:space="0"/>
                </w:tcBorders>
                <w:vAlign w:val="center"/>
              </w:tcPr>
              <w:p w14:paraId="59657892">
                <w:pPr>
                  <w:jc w:val="center"/>
                  <w:rPr>
                    <w:rFonts w:ascii="Calibri" w:hAnsi="Calibri" w:cs="Cambria"/>
                    <w:sz w:val="20"/>
                    <w:szCs w:val="20"/>
                  </w:rPr>
                </w:pPr>
                <w:r>
                  <w:rPr>
                    <w:rFonts w:hint="eastAsia" w:ascii="Calibri" w:hAnsi="Calibri" w:cs="Cambria"/>
                    <w:sz w:val="20"/>
                    <w:szCs w:val="20"/>
                  </w:rPr>
                  <w:t>其他关联方名称</w:t>
                </w:r>
              </w:p>
            </w:tc>
          </w:sdtContent>
        </w:sdt>
        <w:sdt>
          <w:sdtPr>
            <w:tag w:val="_PLD_b851a2cc9280416290b9ebf815c49236"/>
            <w:id w:val="-451631571"/>
          </w:sdtPr>
          <w:sdtContent>
            <w:tc>
              <w:tcPr>
                <w:tcW w:w="4800" w:type="dxa"/>
                <w:tcBorders>
                  <w:top w:val="single" w:color="auto" w:sz="4" w:space="0"/>
                  <w:left w:val="single" w:color="auto" w:sz="4" w:space="0"/>
                  <w:bottom w:val="single" w:color="auto" w:sz="4" w:space="0"/>
                  <w:right w:val="single" w:color="auto" w:sz="4" w:space="0"/>
                </w:tcBorders>
                <w:vAlign w:val="center"/>
              </w:tcPr>
              <w:p w14:paraId="1E14D12C">
                <w:pPr>
                  <w:jc w:val="center"/>
                  <w:rPr>
                    <w:rFonts w:ascii="Calibri" w:hAnsi="Calibri" w:cs="Cambria"/>
                    <w:sz w:val="20"/>
                    <w:szCs w:val="20"/>
                  </w:rPr>
                </w:pPr>
                <w:r>
                  <w:rPr>
                    <w:rFonts w:hint="eastAsia" w:ascii="Calibri" w:hAnsi="Calibri" w:cs="Cambria"/>
                    <w:sz w:val="20"/>
                    <w:szCs w:val="20"/>
                  </w:rPr>
                  <w:t>其他关联方与本企业关系</w:t>
                </w:r>
              </w:p>
            </w:tc>
          </w:sdtContent>
        </w:sdt>
      </w:tr>
      <w:tr w14:paraId="47A4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70BC6C50">
            <w:pPr>
              <w:rPr>
                <w:rFonts w:ascii="Calibri" w:hAnsi="Calibri" w:cs="Cambria"/>
                <w:sz w:val="20"/>
                <w:szCs w:val="20"/>
              </w:rPr>
            </w:pPr>
            <w:r>
              <w:rPr>
                <w:rFonts w:ascii="Calibri" w:hAnsi="Calibri"/>
                <w:sz w:val="20"/>
                <w:szCs w:val="20"/>
              </w:rPr>
              <w:t>通化东宝金弘基房地产开发有限公司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0ED0700D">
            <w:pPr>
              <w:rPr>
                <w:rFonts w:ascii="Calibri" w:hAnsi="Calibri" w:cs="Cambria"/>
                <w:sz w:val="20"/>
                <w:szCs w:val="20"/>
              </w:rPr>
            </w:pPr>
            <w:r>
              <w:rPr>
                <w:rFonts w:ascii="Calibri" w:hAnsi="Calibri"/>
                <w:sz w:val="20"/>
                <w:szCs w:val="20"/>
              </w:rPr>
              <w:t>同受大股东控制的公司</w:t>
            </w:r>
          </w:p>
        </w:tc>
      </w:tr>
      <w:tr w14:paraId="46E2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2B76886C">
            <w:pPr>
              <w:rPr>
                <w:rFonts w:ascii="Calibri" w:hAnsi="Calibri" w:cs="Cambria"/>
                <w:sz w:val="20"/>
                <w:szCs w:val="20"/>
              </w:rPr>
            </w:pPr>
            <w:r>
              <w:rPr>
                <w:rFonts w:ascii="Calibri" w:hAnsi="Calibri"/>
                <w:sz w:val="20"/>
                <w:szCs w:val="20"/>
              </w:rPr>
              <w:t>通化诚宝投资有限公司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61E97DF5">
            <w:pPr>
              <w:rPr>
                <w:rFonts w:ascii="Calibri" w:hAnsi="Calibri" w:cs="Cambria"/>
                <w:sz w:val="20"/>
                <w:szCs w:val="20"/>
              </w:rPr>
            </w:pPr>
            <w:r>
              <w:rPr>
                <w:rFonts w:ascii="Calibri" w:hAnsi="Calibri"/>
                <w:sz w:val="20"/>
                <w:szCs w:val="20"/>
              </w:rPr>
              <w:t>同受大股东控制的公司</w:t>
            </w:r>
          </w:p>
        </w:tc>
      </w:tr>
      <w:tr w14:paraId="28DD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3D893193">
            <w:pPr>
              <w:rPr>
                <w:rFonts w:ascii="Calibri" w:hAnsi="Calibri" w:cs="Cambria"/>
                <w:sz w:val="20"/>
                <w:szCs w:val="20"/>
              </w:rPr>
            </w:pPr>
            <w:r>
              <w:rPr>
                <w:rFonts w:ascii="Calibri" w:hAnsi="Calibri"/>
                <w:sz w:val="20"/>
                <w:szCs w:val="20"/>
              </w:rPr>
              <w:t>通化东宝建筑工程有限公司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279146BF">
            <w:pPr>
              <w:rPr>
                <w:rFonts w:ascii="Calibri" w:hAnsi="Calibri" w:cs="Cambria"/>
                <w:sz w:val="20"/>
                <w:szCs w:val="20"/>
              </w:rPr>
            </w:pPr>
            <w:r>
              <w:rPr>
                <w:rFonts w:ascii="Calibri" w:hAnsi="Calibri"/>
                <w:sz w:val="20"/>
                <w:szCs w:val="20"/>
              </w:rPr>
              <w:t>同受大股东控制的公司</w:t>
            </w:r>
          </w:p>
        </w:tc>
      </w:tr>
      <w:tr w14:paraId="29F4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5C734AD9">
            <w:pPr>
              <w:rPr>
                <w:rFonts w:ascii="Calibri" w:hAnsi="Calibri" w:cs="Cambria"/>
                <w:sz w:val="20"/>
                <w:szCs w:val="20"/>
              </w:rPr>
            </w:pPr>
            <w:r>
              <w:rPr>
                <w:rFonts w:ascii="Calibri" w:hAnsi="Calibri"/>
                <w:sz w:val="20"/>
                <w:szCs w:val="20"/>
              </w:rPr>
              <w:t>通化东宝五药有限公司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48CA339C">
            <w:pPr>
              <w:rPr>
                <w:rFonts w:ascii="Calibri" w:hAnsi="Calibri" w:cs="Cambria"/>
                <w:sz w:val="20"/>
                <w:szCs w:val="20"/>
              </w:rPr>
            </w:pPr>
            <w:r>
              <w:rPr>
                <w:rFonts w:ascii="Calibri" w:hAnsi="Calibri"/>
                <w:sz w:val="20"/>
                <w:szCs w:val="20"/>
              </w:rPr>
              <w:t>同受大股东控制的公司</w:t>
            </w:r>
          </w:p>
        </w:tc>
      </w:tr>
      <w:tr w14:paraId="60CA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4561155D">
            <w:pPr>
              <w:rPr>
                <w:rFonts w:ascii="Calibri" w:hAnsi="Calibri" w:cs="Cambria"/>
                <w:sz w:val="20"/>
                <w:szCs w:val="20"/>
              </w:rPr>
            </w:pPr>
            <w:r>
              <w:rPr>
                <w:rFonts w:ascii="Calibri" w:hAnsi="Calibri"/>
                <w:sz w:val="20"/>
                <w:szCs w:val="20"/>
              </w:rPr>
              <w:t>吉林海德环保工程有限公司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5C759196">
            <w:pPr>
              <w:rPr>
                <w:rFonts w:ascii="Calibri" w:hAnsi="Calibri" w:cs="Cambria"/>
                <w:sz w:val="20"/>
                <w:szCs w:val="20"/>
              </w:rPr>
            </w:pPr>
            <w:r>
              <w:rPr>
                <w:rFonts w:ascii="Calibri" w:hAnsi="Calibri"/>
                <w:sz w:val="20"/>
                <w:szCs w:val="20"/>
              </w:rPr>
              <w:t>同受大股东控制的公司</w:t>
            </w:r>
          </w:p>
        </w:tc>
      </w:tr>
      <w:tr w14:paraId="309A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21DE8EAF">
            <w:pPr>
              <w:rPr>
                <w:rFonts w:ascii="Calibri" w:hAnsi="Calibri" w:cs="Cambria"/>
                <w:sz w:val="20"/>
                <w:szCs w:val="20"/>
              </w:rPr>
            </w:pPr>
            <w:r>
              <w:rPr>
                <w:rFonts w:ascii="Calibri" w:hAnsi="Calibri"/>
                <w:sz w:val="20"/>
                <w:szCs w:val="20"/>
              </w:rPr>
              <w:t>上海优偲特管理咨询合伙企业（有限合伙）</w:t>
            </w:r>
          </w:p>
        </w:tc>
        <w:tc>
          <w:tcPr>
            <w:tcW w:w="4800" w:type="dxa"/>
            <w:tcBorders>
              <w:top w:val="single" w:color="auto" w:sz="4" w:space="0"/>
              <w:left w:val="single" w:color="auto" w:sz="4" w:space="0"/>
              <w:bottom w:val="single" w:color="auto" w:sz="4" w:space="0"/>
              <w:right w:val="single" w:color="auto" w:sz="4" w:space="0"/>
            </w:tcBorders>
            <w:vAlign w:val="center"/>
          </w:tcPr>
          <w:p w14:paraId="0874F54F">
            <w:pPr>
              <w:rPr>
                <w:rFonts w:ascii="Calibri" w:hAnsi="Calibri" w:cs="Cambria"/>
                <w:sz w:val="20"/>
                <w:szCs w:val="20"/>
              </w:rPr>
            </w:pPr>
            <w:r>
              <w:rPr>
                <w:rFonts w:ascii="Calibri" w:hAnsi="Calibri"/>
                <w:sz w:val="20"/>
                <w:szCs w:val="20"/>
              </w:rPr>
              <w:t>同受大股东控制的公司</w:t>
            </w:r>
          </w:p>
        </w:tc>
      </w:tr>
      <w:tr w14:paraId="558E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65C8CDE5">
            <w:pPr>
              <w:rPr>
                <w:rFonts w:ascii="Calibri" w:hAnsi="Calibri" w:cs="Cambria"/>
                <w:sz w:val="20"/>
                <w:szCs w:val="20"/>
              </w:rPr>
            </w:pPr>
            <w:r>
              <w:rPr>
                <w:rFonts w:ascii="Calibri" w:hAnsi="Calibri"/>
                <w:sz w:val="20"/>
                <w:szCs w:val="20"/>
              </w:rPr>
              <w:t>通化创新彩印有限公司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43FE0FCB">
            <w:pPr>
              <w:rPr>
                <w:rFonts w:ascii="Calibri" w:hAnsi="Calibri" w:cs="Cambria"/>
                <w:sz w:val="20"/>
                <w:szCs w:val="20"/>
              </w:rPr>
            </w:pPr>
            <w:r>
              <w:rPr>
                <w:rFonts w:ascii="Calibri" w:hAnsi="Calibri"/>
                <w:sz w:val="20"/>
                <w:szCs w:val="20"/>
              </w:rPr>
              <w:t>同受大股东控制的公司</w:t>
            </w:r>
          </w:p>
        </w:tc>
      </w:tr>
      <w:tr w14:paraId="2B27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21D027D3">
            <w:pPr>
              <w:rPr>
                <w:rFonts w:ascii="Calibri" w:hAnsi="Calibri" w:cs="Cambria"/>
                <w:sz w:val="20"/>
                <w:szCs w:val="20"/>
              </w:rPr>
            </w:pPr>
            <w:r>
              <w:rPr>
                <w:rFonts w:ascii="Calibri" w:hAnsi="Calibri"/>
                <w:sz w:val="20"/>
                <w:szCs w:val="20"/>
              </w:rPr>
              <w:t>通化东宝集团进出口有限公司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4D56154B">
            <w:pPr>
              <w:rPr>
                <w:rFonts w:ascii="Calibri" w:hAnsi="Calibri" w:cs="Cambria"/>
                <w:sz w:val="20"/>
                <w:szCs w:val="20"/>
              </w:rPr>
            </w:pPr>
            <w:r>
              <w:rPr>
                <w:rFonts w:ascii="Calibri" w:hAnsi="Calibri"/>
                <w:sz w:val="20"/>
                <w:szCs w:val="20"/>
              </w:rPr>
              <w:t>同受大股东控制的公司</w:t>
            </w:r>
          </w:p>
        </w:tc>
      </w:tr>
      <w:tr w14:paraId="3C8A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79819C48">
            <w:pPr>
              <w:rPr>
                <w:rFonts w:ascii="Calibri" w:hAnsi="Calibri" w:cs="Cambria"/>
                <w:sz w:val="20"/>
                <w:szCs w:val="20"/>
              </w:rPr>
            </w:pPr>
            <w:r>
              <w:rPr>
                <w:rFonts w:ascii="Calibri" w:hAnsi="Calibri"/>
                <w:sz w:val="20"/>
                <w:szCs w:val="20"/>
              </w:rPr>
              <w:t>吉林恒德环保有限公司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21524E05">
            <w:pPr>
              <w:rPr>
                <w:rFonts w:ascii="Calibri" w:hAnsi="Calibri" w:cs="Cambria"/>
                <w:sz w:val="20"/>
                <w:szCs w:val="20"/>
              </w:rPr>
            </w:pPr>
            <w:r>
              <w:rPr>
                <w:rFonts w:ascii="Calibri" w:hAnsi="Calibri"/>
                <w:sz w:val="20"/>
                <w:szCs w:val="20"/>
              </w:rPr>
              <w:t>同受大股东控制的公司</w:t>
            </w:r>
          </w:p>
        </w:tc>
      </w:tr>
      <w:tr w14:paraId="6AE8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07C8D4E0">
            <w:pPr>
              <w:rPr>
                <w:rFonts w:ascii="Calibri" w:hAnsi="Calibri" w:cs="Cambria"/>
                <w:sz w:val="20"/>
                <w:szCs w:val="20"/>
              </w:rPr>
            </w:pPr>
            <w:r>
              <w:rPr>
                <w:rFonts w:ascii="Calibri" w:hAnsi="Calibri"/>
                <w:sz w:val="20"/>
                <w:szCs w:val="20"/>
              </w:rPr>
              <w:t>上海彤宝投资咨询有限公司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4D04A290">
            <w:pPr>
              <w:rPr>
                <w:rFonts w:ascii="Calibri" w:hAnsi="Calibri" w:cs="Cambria"/>
                <w:sz w:val="20"/>
                <w:szCs w:val="20"/>
              </w:rPr>
            </w:pPr>
            <w:r>
              <w:rPr>
                <w:rFonts w:ascii="Calibri" w:hAnsi="Calibri"/>
                <w:sz w:val="20"/>
                <w:szCs w:val="20"/>
              </w:rPr>
              <w:t>同受大股东控制的公司</w:t>
            </w:r>
          </w:p>
        </w:tc>
      </w:tr>
      <w:tr w14:paraId="53DA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6FFF3FA9">
            <w:pPr>
              <w:rPr>
                <w:rFonts w:ascii="Calibri" w:hAnsi="Calibri" w:cs="Cambria"/>
                <w:sz w:val="20"/>
                <w:szCs w:val="20"/>
              </w:rPr>
            </w:pPr>
            <w:r>
              <w:rPr>
                <w:rFonts w:ascii="Calibri" w:hAnsi="Calibri"/>
                <w:sz w:val="20"/>
                <w:szCs w:val="20"/>
              </w:rPr>
              <w:t>通化丽景建国饭店有限公司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4C0F47C6">
            <w:pPr>
              <w:rPr>
                <w:rFonts w:ascii="Calibri" w:hAnsi="Calibri" w:cs="Cambria"/>
                <w:sz w:val="20"/>
                <w:szCs w:val="20"/>
              </w:rPr>
            </w:pPr>
            <w:r>
              <w:rPr>
                <w:rFonts w:ascii="Calibri" w:hAnsi="Calibri"/>
                <w:sz w:val="20"/>
                <w:szCs w:val="20"/>
              </w:rPr>
              <w:t>同受大股东控制的公司</w:t>
            </w:r>
          </w:p>
        </w:tc>
      </w:tr>
      <w:tr w14:paraId="5211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087E4261">
            <w:pPr>
              <w:rPr>
                <w:rFonts w:ascii="Calibri" w:hAnsi="Calibri" w:cs="Cambria"/>
                <w:sz w:val="20"/>
                <w:szCs w:val="20"/>
              </w:rPr>
            </w:pPr>
            <w:r>
              <w:rPr>
                <w:rFonts w:ascii="Calibri" w:hAnsi="Calibri"/>
                <w:sz w:val="20"/>
                <w:szCs w:val="20"/>
              </w:rPr>
              <w:t>上海善雍营销管理有限公司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10095679">
            <w:pPr>
              <w:rPr>
                <w:rFonts w:ascii="Calibri" w:hAnsi="Calibri" w:cs="Cambria"/>
                <w:sz w:val="20"/>
                <w:szCs w:val="20"/>
              </w:rPr>
            </w:pPr>
            <w:r>
              <w:rPr>
                <w:rFonts w:ascii="Calibri" w:hAnsi="Calibri"/>
                <w:sz w:val="20"/>
                <w:szCs w:val="20"/>
              </w:rPr>
              <w:t>同受大股东控制的公司</w:t>
            </w:r>
          </w:p>
        </w:tc>
      </w:tr>
      <w:tr w14:paraId="32D9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749F2AAD">
            <w:pPr>
              <w:rPr>
                <w:rFonts w:ascii="Calibri" w:hAnsi="Calibri" w:cs="Cambria"/>
                <w:sz w:val="20"/>
                <w:szCs w:val="20"/>
              </w:rPr>
            </w:pPr>
            <w:r>
              <w:rPr>
                <w:rFonts w:ascii="Calibri" w:hAnsi="Calibri"/>
                <w:sz w:val="20"/>
                <w:szCs w:val="20"/>
              </w:rPr>
              <w:t>通化本草生物科技有限公司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0F26A94E">
            <w:pPr>
              <w:rPr>
                <w:rFonts w:ascii="Calibri" w:hAnsi="Calibri" w:cs="Cambria"/>
                <w:sz w:val="20"/>
                <w:szCs w:val="20"/>
              </w:rPr>
            </w:pPr>
            <w:r>
              <w:rPr>
                <w:rFonts w:ascii="Calibri" w:hAnsi="Calibri"/>
                <w:sz w:val="20"/>
                <w:szCs w:val="20"/>
              </w:rPr>
              <w:t>同受大股东控制的公司</w:t>
            </w:r>
          </w:p>
        </w:tc>
      </w:tr>
      <w:tr w14:paraId="00FD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1F248365">
            <w:pPr>
              <w:rPr>
                <w:rFonts w:ascii="Calibri" w:hAnsi="Calibri" w:cs="Cambria"/>
                <w:sz w:val="20"/>
                <w:szCs w:val="20"/>
              </w:rPr>
            </w:pPr>
            <w:r>
              <w:rPr>
                <w:rFonts w:ascii="Calibri" w:hAnsi="Calibri"/>
                <w:sz w:val="20"/>
                <w:szCs w:val="20"/>
              </w:rPr>
              <w:t>通化丽景能源热力有限公司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41573BB1">
            <w:pPr>
              <w:rPr>
                <w:rFonts w:ascii="Calibri" w:hAnsi="Calibri" w:cs="Cambria"/>
                <w:sz w:val="20"/>
                <w:szCs w:val="20"/>
              </w:rPr>
            </w:pPr>
            <w:r>
              <w:rPr>
                <w:rFonts w:ascii="Calibri" w:hAnsi="Calibri"/>
                <w:sz w:val="20"/>
                <w:szCs w:val="20"/>
              </w:rPr>
              <w:t>同受大股东控制的公司</w:t>
            </w:r>
          </w:p>
        </w:tc>
      </w:tr>
      <w:tr w14:paraId="4889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19C252FB">
            <w:pPr>
              <w:rPr>
                <w:rFonts w:ascii="Calibri" w:hAnsi="Calibri" w:cs="Cambria"/>
                <w:sz w:val="20"/>
                <w:szCs w:val="20"/>
              </w:rPr>
            </w:pPr>
            <w:r>
              <w:rPr>
                <w:rFonts w:ascii="Calibri" w:hAnsi="Calibri"/>
                <w:sz w:val="20"/>
                <w:szCs w:val="20"/>
              </w:rPr>
              <w:t>通化东宝医药经营有限公司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26211BFF">
            <w:pPr>
              <w:rPr>
                <w:rFonts w:ascii="Calibri" w:hAnsi="Calibri" w:cs="Cambria"/>
                <w:sz w:val="20"/>
                <w:szCs w:val="20"/>
              </w:rPr>
            </w:pPr>
            <w:r>
              <w:rPr>
                <w:rFonts w:ascii="Calibri" w:hAnsi="Calibri"/>
                <w:sz w:val="20"/>
                <w:szCs w:val="20"/>
              </w:rPr>
              <w:t>同受大股东控制的公司</w:t>
            </w:r>
          </w:p>
        </w:tc>
      </w:tr>
      <w:tr w14:paraId="41E7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0BE69CC5">
            <w:pPr>
              <w:rPr>
                <w:rFonts w:ascii="Calibri" w:hAnsi="Calibri" w:cs="Cambria"/>
                <w:sz w:val="20"/>
                <w:szCs w:val="20"/>
              </w:rPr>
            </w:pPr>
            <w:r>
              <w:rPr>
                <w:rFonts w:ascii="Calibri" w:hAnsi="Calibri"/>
                <w:sz w:val="20"/>
                <w:szCs w:val="20"/>
              </w:rPr>
              <w:t>通化东宝生物科技有限公司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0AB669D5">
            <w:pPr>
              <w:rPr>
                <w:rFonts w:ascii="Calibri" w:hAnsi="Calibri" w:cs="Cambria"/>
                <w:sz w:val="20"/>
                <w:szCs w:val="20"/>
              </w:rPr>
            </w:pPr>
            <w:r>
              <w:rPr>
                <w:rFonts w:ascii="Calibri" w:hAnsi="Calibri"/>
                <w:sz w:val="20"/>
                <w:szCs w:val="20"/>
              </w:rPr>
              <w:t>同受大股东控制的公司</w:t>
            </w:r>
          </w:p>
        </w:tc>
      </w:tr>
      <w:tr w14:paraId="21DA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3E8B52A6">
            <w:pPr>
              <w:rPr>
                <w:rFonts w:ascii="Calibri" w:hAnsi="Calibri" w:cs="Cambria"/>
                <w:sz w:val="20"/>
                <w:szCs w:val="20"/>
              </w:rPr>
            </w:pPr>
            <w:r>
              <w:rPr>
                <w:rFonts w:ascii="Calibri" w:hAnsi="Calibri"/>
                <w:sz w:val="20"/>
                <w:szCs w:val="20"/>
              </w:rPr>
              <w:t>通化东宝丽景花园物业管理有限公司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428DF009">
            <w:pPr>
              <w:rPr>
                <w:rFonts w:ascii="Calibri" w:hAnsi="Calibri" w:cs="Cambria"/>
                <w:sz w:val="20"/>
                <w:szCs w:val="20"/>
              </w:rPr>
            </w:pPr>
            <w:r>
              <w:rPr>
                <w:rFonts w:ascii="Calibri" w:hAnsi="Calibri"/>
                <w:sz w:val="20"/>
                <w:szCs w:val="20"/>
              </w:rPr>
              <w:t>同受大股东控制的公司</w:t>
            </w:r>
          </w:p>
        </w:tc>
      </w:tr>
      <w:tr w14:paraId="50D1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3B5183AC">
            <w:pPr>
              <w:rPr>
                <w:rFonts w:ascii="Calibri" w:hAnsi="Calibri" w:cs="Cambria"/>
                <w:sz w:val="20"/>
                <w:szCs w:val="20"/>
              </w:rPr>
            </w:pPr>
            <w:r>
              <w:rPr>
                <w:rFonts w:ascii="Calibri" w:hAnsi="Calibri"/>
                <w:sz w:val="20"/>
                <w:szCs w:val="20"/>
              </w:rPr>
              <w:t>通化东宝金弘基物业管理有限公司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681674CA">
            <w:pPr>
              <w:rPr>
                <w:rFonts w:ascii="Calibri" w:hAnsi="Calibri" w:cs="Cambria"/>
                <w:sz w:val="20"/>
                <w:szCs w:val="20"/>
              </w:rPr>
            </w:pPr>
            <w:r>
              <w:rPr>
                <w:rFonts w:ascii="Calibri" w:hAnsi="Calibri"/>
                <w:sz w:val="20"/>
                <w:szCs w:val="20"/>
              </w:rPr>
              <w:t>同受大股东控制的公司</w:t>
            </w:r>
          </w:p>
        </w:tc>
      </w:tr>
      <w:tr w14:paraId="60EF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665DC00F">
            <w:pPr>
              <w:rPr>
                <w:rFonts w:ascii="Calibri" w:hAnsi="Calibri" w:cs="Cambria"/>
                <w:sz w:val="20"/>
                <w:szCs w:val="20"/>
              </w:rPr>
            </w:pPr>
            <w:r>
              <w:rPr>
                <w:rFonts w:ascii="Calibri" w:hAnsi="Calibri"/>
                <w:sz w:val="20"/>
                <w:szCs w:val="20"/>
              </w:rPr>
              <w:t>通化丽景书香园物业管理有限公司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200CA6F4">
            <w:pPr>
              <w:rPr>
                <w:rFonts w:ascii="Calibri" w:hAnsi="Calibri" w:cs="Cambria"/>
                <w:sz w:val="20"/>
                <w:szCs w:val="20"/>
              </w:rPr>
            </w:pPr>
            <w:r>
              <w:rPr>
                <w:rFonts w:ascii="Calibri" w:hAnsi="Calibri"/>
                <w:sz w:val="20"/>
                <w:szCs w:val="20"/>
              </w:rPr>
              <w:t>同受大股东控制的公司</w:t>
            </w:r>
          </w:p>
        </w:tc>
      </w:tr>
      <w:tr w14:paraId="096C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3A4E82F8">
            <w:pPr>
              <w:rPr>
                <w:rFonts w:ascii="Calibri" w:hAnsi="Calibri" w:cs="Cambria"/>
                <w:sz w:val="20"/>
                <w:szCs w:val="20"/>
              </w:rPr>
            </w:pPr>
            <w:r>
              <w:rPr>
                <w:rFonts w:ascii="Calibri" w:hAnsi="Calibri"/>
                <w:sz w:val="20"/>
                <w:szCs w:val="20"/>
              </w:rPr>
              <w:t>东宝国际商务(海南)有限公司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1632D58B">
            <w:pPr>
              <w:rPr>
                <w:rFonts w:ascii="Calibri" w:hAnsi="Calibri" w:cs="Cambria"/>
                <w:sz w:val="20"/>
                <w:szCs w:val="20"/>
              </w:rPr>
            </w:pPr>
            <w:r>
              <w:rPr>
                <w:rFonts w:ascii="Calibri" w:hAnsi="Calibri"/>
                <w:sz w:val="20"/>
                <w:szCs w:val="20"/>
              </w:rPr>
              <w:t>同受大股东控制的公司</w:t>
            </w:r>
          </w:p>
        </w:tc>
      </w:tr>
      <w:tr w14:paraId="21295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156C3F35">
            <w:pPr>
              <w:rPr>
                <w:rFonts w:ascii="Calibri" w:hAnsi="Calibri" w:cs="Cambria"/>
                <w:sz w:val="20"/>
                <w:szCs w:val="20"/>
              </w:rPr>
            </w:pPr>
            <w:r>
              <w:rPr>
                <w:rFonts w:ascii="Calibri" w:hAnsi="Calibri"/>
                <w:sz w:val="20"/>
                <w:szCs w:val="20"/>
              </w:rPr>
              <w:t>通化鸿宝药业有限公司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0D36E777">
            <w:pPr>
              <w:rPr>
                <w:rFonts w:ascii="Calibri" w:hAnsi="Calibri" w:cs="Cambria"/>
                <w:sz w:val="20"/>
                <w:szCs w:val="20"/>
              </w:rPr>
            </w:pPr>
            <w:r>
              <w:rPr>
                <w:rFonts w:ascii="Calibri" w:hAnsi="Calibri"/>
                <w:sz w:val="20"/>
                <w:szCs w:val="20"/>
              </w:rPr>
              <w:t>实质控制人近亲属控制的公司</w:t>
            </w:r>
          </w:p>
        </w:tc>
      </w:tr>
      <w:tr w14:paraId="240D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7A273591">
            <w:pPr>
              <w:rPr>
                <w:rFonts w:ascii="Calibri" w:hAnsi="Calibri" w:cs="Cambria"/>
                <w:sz w:val="20"/>
                <w:szCs w:val="20"/>
              </w:rPr>
            </w:pPr>
            <w:r>
              <w:rPr>
                <w:rFonts w:ascii="Calibri" w:hAnsi="Calibri"/>
                <w:sz w:val="20"/>
                <w:szCs w:val="20"/>
              </w:rPr>
              <w:t>通化安睿特生物制药股份有限公司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46E52018">
            <w:pPr>
              <w:rPr>
                <w:rFonts w:ascii="Calibri" w:hAnsi="Calibri" w:cs="Cambria"/>
                <w:sz w:val="20"/>
                <w:szCs w:val="20"/>
              </w:rPr>
            </w:pPr>
            <w:r>
              <w:rPr>
                <w:rFonts w:ascii="Calibri" w:hAnsi="Calibri"/>
                <w:sz w:val="20"/>
                <w:szCs w:val="20"/>
              </w:rPr>
              <w:t>大股东的联营企业</w:t>
            </w:r>
          </w:p>
        </w:tc>
      </w:tr>
      <w:tr w14:paraId="2C03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7CF1D5EF">
            <w:pPr>
              <w:rPr>
                <w:rFonts w:ascii="Calibri" w:hAnsi="Calibri" w:cs="Cambria"/>
                <w:sz w:val="20"/>
                <w:szCs w:val="20"/>
              </w:rPr>
            </w:pPr>
            <w:r>
              <w:rPr>
                <w:rFonts w:ascii="Calibri" w:hAnsi="Calibri"/>
                <w:sz w:val="20"/>
                <w:szCs w:val="20"/>
              </w:rPr>
              <w:t>通化恒之企业管理咨询有限公司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68FCDA7E">
            <w:pPr>
              <w:rPr>
                <w:rFonts w:ascii="Calibri" w:hAnsi="Calibri" w:cs="Cambria"/>
                <w:sz w:val="20"/>
                <w:szCs w:val="20"/>
              </w:rPr>
            </w:pPr>
            <w:r>
              <w:rPr>
                <w:rFonts w:ascii="Calibri" w:hAnsi="Calibri"/>
                <w:sz w:val="20"/>
                <w:szCs w:val="20"/>
              </w:rPr>
              <w:t>本公司董事长控股的公司</w:t>
            </w:r>
          </w:p>
        </w:tc>
      </w:tr>
      <w:tr w14:paraId="571A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17871FF5">
            <w:pPr>
              <w:rPr>
                <w:rFonts w:ascii="Calibri" w:hAnsi="Calibri"/>
                <w:sz w:val="20"/>
                <w:szCs w:val="20"/>
              </w:rPr>
            </w:pPr>
            <w:r>
              <w:rPr>
                <w:rFonts w:ascii="Calibri" w:hAnsi="Calibri"/>
                <w:sz w:val="20"/>
                <w:szCs w:val="20"/>
              </w:rPr>
              <w:t>通化慧通投资中心（有限合伙）</w:t>
            </w:r>
          </w:p>
        </w:tc>
        <w:tc>
          <w:tcPr>
            <w:tcW w:w="4800" w:type="dxa"/>
            <w:tcBorders>
              <w:top w:val="single" w:color="auto" w:sz="4" w:space="0"/>
              <w:left w:val="single" w:color="auto" w:sz="4" w:space="0"/>
              <w:bottom w:val="single" w:color="auto" w:sz="4" w:space="0"/>
              <w:right w:val="single" w:color="auto" w:sz="4" w:space="0"/>
            </w:tcBorders>
            <w:vAlign w:val="center"/>
          </w:tcPr>
          <w:p w14:paraId="14A91DDB">
            <w:pPr>
              <w:rPr>
                <w:rFonts w:ascii="Calibri" w:hAnsi="Calibri" w:cs="Cambria"/>
                <w:sz w:val="20"/>
                <w:szCs w:val="20"/>
              </w:rPr>
            </w:pPr>
            <w:r>
              <w:rPr>
                <w:rFonts w:ascii="Calibri" w:hAnsi="Calibri"/>
                <w:sz w:val="20"/>
                <w:szCs w:val="20"/>
              </w:rPr>
              <w:t>本公司董事长控股的公司</w:t>
            </w:r>
          </w:p>
        </w:tc>
      </w:tr>
      <w:tr w14:paraId="6628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568BBB27">
            <w:pPr>
              <w:rPr>
                <w:rFonts w:ascii="Calibri" w:hAnsi="Calibri"/>
                <w:sz w:val="20"/>
                <w:szCs w:val="20"/>
              </w:rPr>
            </w:pPr>
            <w:r>
              <w:rPr>
                <w:rFonts w:ascii="Calibri" w:hAnsi="Calibri"/>
                <w:sz w:val="20"/>
                <w:szCs w:val="20"/>
              </w:rPr>
              <w:t>浙江辉棵生物医药有限公司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149B6A68">
            <w:pPr>
              <w:rPr>
                <w:rFonts w:ascii="Calibri" w:hAnsi="Calibri" w:cs="Cambria"/>
                <w:sz w:val="20"/>
                <w:szCs w:val="20"/>
              </w:rPr>
            </w:pPr>
            <w:r>
              <w:rPr>
                <w:rFonts w:ascii="Calibri" w:hAnsi="Calibri"/>
                <w:sz w:val="20"/>
                <w:szCs w:val="20"/>
              </w:rPr>
              <w:t>本公司董事长控股的公司</w:t>
            </w:r>
          </w:p>
        </w:tc>
      </w:tr>
      <w:tr w14:paraId="7A9A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6DD8B65C">
            <w:pPr>
              <w:rPr>
                <w:rFonts w:ascii="Calibri" w:hAnsi="Calibri"/>
                <w:sz w:val="20"/>
                <w:szCs w:val="20"/>
              </w:rPr>
            </w:pPr>
            <w:r>
              <w:rPr>
                <w:rFonts w:ascii="Calibri" w:hAnsi="Calibri"/>
                <w:sz w:val="20"/>
                <w:szCs w:val="20"/>
              </w:rPr>
              <w:t>上海辉棵生物医药有限公司</w:t>
            </w:r>
          </w:p>
        </w:tc>
        <w:tc>
          <w:tcPr>
            <w:tcW w:w="4800" w:type="dxa"/>
            <w:tcBorders>
              <w:top w:val="single" w:color="auto" w:sz="4" w:space="0"/>
              <w:left w:val="single" w:color="auto" w:sz="4" w:space="0"/>
              <w:bottom w:val="single" w:color="auto" w:sz="4" w:space="0"/>
              <w:right w:val="single" w:color="auto" w:sz="4" w:space="0"/>
            </w:tcBorders>
            <w:vAlign w:val="center"/>
          </w:tcPr>
          <w:p w14:paraId="42638970">
            <w:pPr>
              <w:rPr>
                <w:rFonts w:ascii="Calibri" w:hAnsi="Calibri" w:cs="Cambria"/>
                <w:sz w:val="20"/>
                <w:szCs w:val="20"/>
              </w:rPr>
            </w:pPr>
            <w:r>
              <w:rPr>
                <w:rFonts w:ascii="Calibri" w:hAnsi="Calibri"/>
                <w:sz w:val="20"/>
                <w:szCs w:val="20"/>
              </w:rPr>
              <w:t>本公司董事长控股的公司</w:t>
            </w:r>
          </w:p>
        </w:tc>
      </w:tr>
      <w:tr w14:paraId="698C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248" w:type="dxa"/>
            <w:tcBorders>
              <w:top w:val="single" w:color="auto" w:sz="4" w:space="0"/>
              <w:left w:val="single" w:color="auto" w:sz="4" w:space="0"/>
              <w:bottom w:val="single" w:color="auto" w:sz="4" w:space="0"/>
              <w:right w:val="single" w:color="auto" w:sz="4" w:space="0"/>
            </w:tcBorders>
            <w:vAlign w:val="center"/>
          </w:tcPr>
          <w:p w14:paraId="0B589196">
            <w:pPr>
              <w:rPr>
                <w:rFonts w:ascii="Calibri" w:hAnsi="Calibri"/>
                <w:sz w:val="20"/>
                <w:szCs w:val="20"/>
              </w:rPr>
            </w:pPr>
            <w:r>
              <w:rPr>
                <w:rFonts w:ascii="Calibri" w:hAnsi="Calibri"/>
                <w:sz w:val="20"/>
                <w:szCs w:val="20"/>
              </w:rPr>
              <w:t>通化盛通企业管理中心(有限合伙)</w:t>
            </w:r>
          </w:p>
        </w:tc>
        <w:tc>
          <w:tcPr>
            <w:tcW w:w="4800" w:type="dxa"/>
            <w:tcBorders>
              <w:top w:val="single" w:color="auto" w:sz="4" w:space="0"/>
              <w:left w:val="single" w:color="auto" w:sz="4" w:space="0"/>
              <w:bottom w:val="single" w:color="auto" w:sz="4" w:space="0"/>
              <w:right w:val="single" w:color="auto" w:sz="4" w:space="0"/>
            </w:tcBorders>
            <w:vAlign w:val="center"/>
          </w:tcPr>
          <w:p w14:paraId="660F57BB">
            <w:pPr>
              <w:rPr>
                <w:rFonts w:ascii="Calibri" w:hAnsi="Calibri" w:cs="Cambria"/>
                <w:sz w:val="20"/>
                <w:szCs w:val="20"/>
              </w:rPr>
            </w:pPr>
            <w:r>
              <w:rPr>
                <w:rFonts w:ascii="Calibri" w:hAnsi="Calibri"/>
                <w:sz w:val="20"/>
                <w:szCs w:val="20"/>
              </w:rPr>
              <w:t>本公司董事长控股的公司</w:t>
            </w:r>
          </w:p>
        </w:tc>
      </w:tr>
    </w:tbl>
    <w:p w14:paraId="3FDD9FCE"/>
    <w:p w14:paraId="5B5AEBE9">
      <w:pPr>
        <w:tabs>
          <w:tab w:val="left" w:pos="1134"/>
        </w:tabs>
        <w:rPr>
          <w:rFonts w:cs="Cambria"/>
        </w:rPr>
      </w:pPr>
    </w:p>
    <w:p w14:paraId="63AD0E33">
      <w:pPr>
        <w:tabs>
          <w:tab w:val="left" w:pos="1134"/>
        </w:tabs>
        <w:rPr>
          <w:rFonts w:cs="Cambria"/>
          <w:b/>
        </w:rPr>
      </w:pPr>
    </w:p>
    <w:p w14:paraId="222BD317">
      <w:pPr>
        <w:pStyle w:val="4"/>
        <w:numPr>
          <w:ilvl w:val="0"/>
          <w:numId w:val="115"/>
        </w:numPr>
      </w:pPr>
      <w:r>
        <w:rPr>
          <w:rFonts w:hint="eastAsia"/>
        </w:rPr>
        <w:t>关联交易情况</w:t>
      </w:r>
    </w:p>
    <w:p w14:paraId="1F947DEA">
      <w:pPr>
        <w:pStyle w:val="5"/>
        <w:numPr>
          <w:ilvl w:val="3"/>
          <w:numId w:val="116"/>
        </w:numPr>
        <w:ind w:left="424" w:hanging="424" w:hangingChars="201"/>
      </w:pPr>
      <w:r>
        <w:rPr>
          <w:rFonts w:hint="eastAsia"/>
        </w:rPr>
        <w:t>购销商品、提供和接受劳务的关联交易</w:t>
      </w:r>
    </w:p>
    <w:p w14:paraId="261E2C9F">
      <w:pPr>
        <w:pStyle w:val="48"/>
      </w:pPr>
      <w:r>
        <w:rPr>
          <w:rFonts w:hint="eastAsia"/>
        </w:rPr>
        <w:t>采购商品/接受劳务情况表</w:t>
      </w:r>
    </w:p>
    <w:sdt>
      <w:sdtPr>
        <w:alias w:val="是否适用：采购商品或接受劳务情况表[双击切换]"/>
        <w:tag w:val="_GBC_c080653feddc4cf2a468adfbb755dff3"/>
        <w:id w:val="1240218625"/>
        <w:placeholder>
          <w:docPart w:val="GBC22222222222222222222222222222"/>
        </w:placeholder>
      </w:sdtPr>
      <w:sdtContent>
        <w:p w14:paraId="77E4A84E">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95C4D3E">
      <w:pPr>
        <w:jc w:val="right"/>
        <w:rPr>
          <w:rFonts w:cs="Cambria"/>
          <w:b/>
          <w:bCs/>
        </w:rPr>
      </w:pPr>
      <w:r>
        <w:rPr>
          <w:rFonts w:hint="eastAsia" w:cs="Cambria"/>
        </w:rPr>
        <w:t>单位：</w:t>
      </w:r>
      <w:sdt>
        <w:sdtPr>
          <w:rPr>
            <w:rFonts w:hint="eastAsia" w:cs="Cambria"/>
          </w:rPr>
          <w:alias w:val="单位：采购商品接受劳务情况表"/>
          <w:tag w:val="_GBC_60c7e55aaf24447a8a860810d4064a69"/>
          <w:id w:val="14238332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rPr>
        </w:sdtEndPr>
        <w:sdtContent>
          <w:r>
            <w:rPr>
              <w:rFonts w:hint="eastAsia" w:cs="Cambria"/>
            </w:rPr>
            <w:t>元</w:t>
          </w:r>
        </w:sdtContent>
      </w:sdt>
      <w:r>
        <w:rPr>
          <w:rFonts w:hint="eastAsia" w:cs="Cambria"/>
        </w:rPr>
        <w:t xml:space="preserve">  币种：</w:t>
      </w:r>
      <w:sdt>
        <w:sdtPr>
          <w:rPr>
            <w:rFonts w:hint="eastAsia" w:cs="Cambria"/>
          </w:rPr>
          <w:alias w:val="币种：采购商品接受劳务情况表"/>
          <w:tag w:val="_GBC_18feeecfa5c34459a62da7de5d6b5a90"/>
          <w:id w:val="6261256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rPr>
        </w:sdtEndPr>
        <w:sdtContent>
          <w:r>
            <w:rPr>
              <w:rFonts w:hint="eastAsia" w:cs="Cambria"/>
            </w:rPr>
            <w:t>人民币</w:t>
          </w:r>
        </w:sdtContent>
      </w:sdt>
    </w:p>
    <w:tbl>
      <w:tblPr>
        <w:tblStyle w:val="57"/>
        <w:tblW w:w="9476" w:type="dxa"/>
        <w:tblInd w:w="-43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56"/>
        <w:gridCol w:w="1447"/>
        <w:gridCol w:w="1529"/>
        <w:gridCol w:w="1590"/>
        <w:gridCol w:w="1275"/>
        <w:gridCol w:w="1679"/>
      </w:tblGrid>
      <w:tr w14:paraId="191210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5" w:hRule="atLeast"/>
        </w:trPr>
        <w:sdt>
          <w:sdtPr>
            <w:tag w:val="_PLD_ed4fd195f176464f83eb8db1dbcbc443"/>
            <w:id w:val="1414972550"/>
          </w:sdtPr>
          <w:sdtContent>
            <w:tc>
              <w:tcPr>
                <w:tcW w:w="1956" w:type="dxa"/>
                <w:tcBorders>
                  <w:top w:val="single" w:color="auto" w:sz="4" w:space="0"/>
                  <w:left w:val="single" w:color="auto" w:sz="4" w:space="0"/>
                  <w:bottom w:val="single" w:color="auto" w:sz="4" w:space="0"/>
                  <w:right w:val="single" w:color="auto" w:sz="4" w:space="0"/>
                </w:tcBorders>
                <w:vAlign w:val="center"/>
              </w:tcPr>
              <w:p w14:paraId="45984053">
                <w:pPr>
                  <w:jc w:val="center"/>
                  <w:rPr>
                    <w:rFonts w:ascii="Calibri" w:hAnsi="Calibri" w:cs="Cambria"/>
                    <w:sz w:val="20"/>
                    <w:szCs w:val="20"/>
                  </w:rPr>
                </w:pPr>
                <w:r>
                  <w:rPr>
                    <w:rFonts w:hint="eastAsia" w:ascii="Calibri" w:hAnsi="Calibri" w:cs="Cambria"/>
                    <w:sz w:val="20"/>
                    <w:szCs w:val="20"/>
                  </w:rPr>
                  <w:t>关联方</w:t>
                </w:r>
              </w:p>
            </w:tc>
          </w:sdtContent>
        </w:sdt>
        <w:sdt>
          <w:sdtPr>
            <w:tag w:val="_PLD_013e7578c973447da6bccdb1a3924d96"/>
            <w:id w:val="-1146971114"/>
          </w:sdtPr>
          <w:sdtContent>
            <w:tc>
              <w:tcPr>
                <w:tcW w:w="1447" w:type="dxa"/>
                <w:tcBorders>
                  <w:top w:val="single" w:color="auto" w:sz="4" w:space="0"/>
                  <w:left w:val="single" w:color="auto" w:sz="4" w:space="0"/>
                  <w:bottom w:val="single" w:color="auto" w:sz="4" w:space="0"/>
                  <w:right w:val="single" w:color="auto" w:sz="4" w:space="0"/>
                </w:tcBorders>
                <w:vAlign w:val="center"/>
              </w:tcPr>
              <w:p w14:paraId="2C640D4E">
                <w:pPr>
                  <w:jc w:val="center"/>
                  <w:rPr>
                    <w:rFonts w:ascii="Calibri" w:hAnsi="Calibri" w:cs="Cambria"/>
                    <w:sz w:val="20"/>
                    <w:szCs w:val="20"/>
                  </w:rPr>
                </w:pPr>
                <w:r>
                  <w:rPr>
                    <w:rFonts w:hint="eastAsia" w:ascii="Calibri" w:hAnsi="Calibri" w:cs="Cambria"/>
                    <w:sz w:val="20"/>
                    <w:szCs w:val="20"/>
                  </w:rPr>
                  <w:t>关联交易内容</w:t>
                </w:r>
              </w:p>
            </w:tc>
          </w:sdtContent>
        </w:sdt>
        <w:sdt>
          <w:sdtPr>
            <w:tag w:val="_PLD_6b54e09a146a4c34bba286909831c05b"/>
            <w:id w:val="1581026690"/>
          </w:sdtPr>
          <w:sdtContent>
            <w:tc>
              <w:tcPr>
                <w:tcW w:w="1529" w:type="dxa"/>
                <w:tcBorders>
                  <w:top w:val="single" w:color="auto" w:sz="4" w:space="0"/>
                  <w:left w:val="single" w:color="auto" w:sz="4" w:space="0"/>
                  <w:right w:val="single" w:color="auto" w:sz="4" w:space="0"/>
                </w:tcBorders>
                <w:vAlign w:val="center"/>
              </w:tcPr>
              <w:p w14:paraId="1E259AA9">
                <w:pPr>
                  <w:jc w:val="center"/>
                  <w:rPr>
                    <w:rFonts w:ascii="Calibri" w:hAnsi="Calibri" w:cs="Cambria"/>
                    <w:sz w:val="20"/>
                    <w:szCs w:val="20"/>
                  </w:rPr>
                </w:pPr>
                <w:r>
                  <w:rPr>
                    <w:rFonts w:hint="eastAsia" w:ascii="Calibri" w:hAnsi="Calibri" w:cs="Cambria"/>
                    <w:sz w:val="20"/>
                    <w:szCs w:val="20"/>
                  </w:rPr>
                  <w:t>本期发生额</w:t>
                </w:r>
              </w:p>
            </w:tc>
          </w:sdtContent>
        </w:sdt>
        <w:sdt>
          <w:sdtPr>
            <w:tag w:val="_PLD_1309066cefbd4c94a1a0060831f53cca"/>
            <w:id w:val="271973869"/>
          </w:sdtPr>
          <w:sdtContent>
            <w:tc>
              <w:tcPr>
                <w:tcW w:w="1590" w:type="dxa"/>
                <w:tcBorders>
                  <w:top w:val="single" w:color="auto" w:sz="4" w:space="0"/>
                  <w:left w:val="single" w:color="auto" w:sz="4" w:space="0"/>
                  <w:right w:val="single" w:color="auto" w:sz="4" w:space="0"/>
                </w:tcBorders>
                <w:vAlign w:val="center"/>
              </w:tcPr>
              <w:p w14:paraId="43AA0F6E">
                <w:pPr>
                  <w:jc w:val="center"/>
                  <w:rPr>
                    <w:rFonts w:ascii="Calibri" w:hAnsi="Calibri"/>
                    <w:sz w:val="20"/>
                    <w:szCs w:val="20"/>
                  </w:rPr>
                </w:pPr>
                <w:r>
                  <w:rPr>
                    <w:rFonts w:hint="eastAsia" w:ascii="Calibri" w:hAnsi="Calibri"/>
                    <w:sz w:val="20"/>
                    <w:szCs w:val="20"/>
                  </w:rPr>
                  <w:t>获批的交易额度（如适用）</w:t>
                </w:r>
              </w:p>
            </w:tc>
          </w:sdtContent>
        </w:sdt>
        <w:sdt>
          <w:sdtPr>
            <w:tag w:val="_PLD_a7f960b39a0c45d1b50eca9b6cfe12b8"/>
            <w:id w:val="-460659508"/>
          </w:sdtPr>
          <w:sdtEndPr>
            <w:rPr>
              <w:rFonts w:hint="eastAsia" w:ascii="Calibri" w:hAnsi="Calibri"/>
              <w:sz w:val="20"/>
              <w:szCs w:val="20"/>
            </w:rPr>
          </w:sdtEndPr>
          <w:sdtContent>
            <w:tc>
              <w:tcPr>
                <w:tcW w:w="1275" w:type="dxa"/>
                <w:tcBorders>
                  <w:top w:val="single" w:color="auto" w:sz="4" w:space="0"/>
                  <w:left w:val="single" w:color="auto" w:sz="4" w:space="0"/>
                  <w:right w:val="single" w:color="auto" w:sz="4" w:space="0"/>
                </w:tcBorders>
                <w:vAlign w:val="center"/>
              </w:tcPr>
              <w:p w14:paraId="67F4A933">
                <w:pPr>
                  <w:jc w:val="center"/>
                  <w:rPr>
                    <w:rFonts w:ascii="Calibri" w:hAnsi="Calibri"/>
                    <w:sz w:val="20"/>
                    <w:szCs w:val="20"/>
                  </w:rPr>
                </w:pPr>
                <w:r>
                  <w:rPr>
                    <w:rFonts w:ascii="Calibri" w:hAnsi="Calibri"/>
                    <w:sz w:val="20"/>
                    <w:szCs w:val="20"/>
                  </w:rPr>
                  <w:t>是否超过交易额度</w:t>
                </w:r>
                <w:r>
                  <w:rPr>
                    <w:rFonts w:hint="eastAsia" w:ascii="Calibri" w:hAnsi="Calibri"/>
                    <w:sz w:val="20"/>
                    <w:szCs w:val="20"/>
                  </w:rPr>
                  <w:t>（如适用）</w:t>
                </w:r>
              </w:p>
            </w:tc>
          </w:sdtContent>
        </w:sdt>
        <w:sdt>
          <w:sdtPr>
            <w:tag w:val="_PLD_9f856a67de3d45acbef7ccb12b35985d"/>
            <w:id w:val="-549078881"/>
          </w:sdtPr>
          <w:sdtContent>
            <w:tc>
              <w:tcPr>
                <w:tcW w:w="1679" w:type="dxa"/>
                <w:tcBorders>
                  <w:top w:val="single" w:color="auto" w:sz="4" w:space="0"/>
                  <w:left w:val="single" w:color="auto" w:sz="4" w:space="0"/>
                  <w:right w:val="single" w:color="auto" w:sz="4" w:space="0"/>
                </w:tcBorders>
                <w:vAlign w:val="center"/>
              </w:tcPr>
              <w:p w14:paraId="1198BA80">
                <w:pPr>
                  <w:jc w:val="center"/>
                  <w:rPr>
                    <w:rFonts w:ascii="Calibri" w:hAnsi="Calibri" w:cs="Cambria"/>
                    <w:sz w:val="20"/>
                    <w:szCs w:val="20"/>
                  </w:rPr>
                </w:pPr>
                <w:r>
                  <w:rPr>
                    <w:rFonts w:hint="eastAsia" w:ascii="Calibri" w:hAnsi="Calibri" w:cs="Cambria"/>
                    <w:sz w:val="20"/>
                    <w:szCs w:val="20"/>
                  </w:rPr>
                  <w:t>上期发生额</w:t>
                </w:r>
              </w:p>
            </w:tc>
          </w:sdtContent>
        </w:sdt>
      </w:tr>
      <w:tr w14:paraId="7D8898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56" w:type="dxa"/>
            <w:tcBorders>
              <w:top w:val="single" w:color="auto" w:sz="4" w:space="0"/>
              <w:left w:val="single" w:color="auto" w:sz="4" w:space="0"/>
              <w:bottom w:val="single" w:color="auto" w:sz="4" w:space="0"/>
              <w:right w:val="single" w:color="auto" w:sz="4" w:space="0"/>
            </w:tcBorders>
            <w:vAlign w:val="center"/>
          </w:tcPr>
          <w:p w14:paraId="0FA70203">
            <w:pPr>
              <w:pStyle w:val="48"/>
              <w:rPr>
                <w:sz w:val="20"/>
                <w:szCs w:val="20"/>
              </w:rPr>
            </w:pPr>
            <w:r>
              <w:rPr>
                <w:sz w:val="20"/>
                <w:szCs w:val="20"/>
              </w:rPr>
              <w:t>吉林恒德环保有限公司</w:t>
            </w:r>
          </w:p>
        </w:tc>
        <w:tc>
          <w:tcPr>
            <w:tcW w:w="1447" w:type="dxa"/>
            <w:tcBorders>
              <w:top w:val="single" w:color="auto" w:sz="4" w:space="0"/>
              <w:left w:val="single" w:color="auto" w:sz="4" w:space="0"/>
              <w:bottom w:val="single" w:color="auto" w:sz="4" w:space="0"/>
              <w:right w:val="single" w:color="auto" w:sz="4" w:space="0"/>
            </w:tcBorders>
            <w:vAlign w:val="center"/>
          </w:tcPr>
          <w:p w14:paraId="0AA8159D">
            <w:pPr>
              <w:pStyle w:val="48"/>
              <w:rPr>
                <w:sz w:val="20"/>
                <w:szCs w:val="20"/>
              </w:rPr>
            </w:pPr>
            <w:r>
              <w:rPr>
                <w:sz w:val="20"/>
                <w:szCs w:val="20"/>
              </w:rPr>
              <w:t>接受环保处理劳务</w:t>
            </w:r>
          </w:p>
        </w:tc>
        <w:tc>
          <w:tcPr>
            <w:tcW w:w="1529" w:type="dxa"/>
            <w:tcBorders>
              <w:top w:val="single" w:color="auto" w:sz="4" w:space="0"/>
              <w:left w:val="single" w:color="auto" w:sz="4" w:space="0"/>
              <w:bottom w:val="single" w:color="auto" w:sz="4" w:space="0"/>
              <w:right w:val="single" w:color="auto" w:sz="4" w:space="0"/>
            </w:tcBorders>
            <w:vAlign w:val="center"/>
          </w:tcPr>
          <w:p w14:paraId="30082210">
            <w:pPr>
              <w:jc w:val="right"/>
              <w:rPr>
                <w:rFonts w:ascii="Calibri" w:hAnsi="Calibri"/>
                <w:sz w:val="20"/>
                <w:szCs w:val="20"/>
              </w:rPr>
            </w:pPr>
            <w:r>
              <w:rPr>
                <w:rFonts w:ascii="Calibri" w:hAnsi="Calibri"/>
                <w:sz w:val="20"/>
                <w:szCs w:val="20"/>
              </w:rPr>
              <w:t>19,292,846.00</w:t>
            </w:r>
          </w:p>
        </w:tc>
        <w:tc>
          <w:tcPr>
            <w:tcW w:w="1590" w:type="dxa"/>
            <w:tcBorders>
              <w:top w:val="single" w:color="auto" w:sz="4" w:space="0"/>
              <w:left w:val="single" w:color="auto" w:sz="4" w:space="0"/>
              <w:bottom w:val="single" w:color="auto" w:sz="4" w:space="0"/>
              <w:right w:val="single" w:color="auto" w:sz="4" w:space="0"/>
            </w:tcBorders>
            <w:vAlign w:val="center"/>
          </w:tcPr>
          <w:p w14:paraId="16F0CE60">
            <w:pPr>
              <w:jc w:val="right"/>
              <w:rPr>
                <w:rFonts w:ascii="Calibri" w:hAnsi="Calibri"/>
                <w:sz w:val="20"/>
                <w:szCs w:val="20"/>
              </w:rPr>
            </w:pPr>
            <w:r>
              <w:rPr>
                <w:rFonts w:ascii="Calibri" w:hAnsi="Calibri"/>
                <w:sz w:val="20"/>
                <w:szCs w:val="20"/>
              </w:rPr>
              <w:t>20,000,000.00</w:t>
            </w:r>
          </w:p>
        </w:tc>
        <w:sdt>
          <w:sdtPr>
            <w:alias w:val="采购商品接受劳务情况明细-是否超过交易额度"/>
            <w:tag w:val="_GBC_4132b5a989a941b3ae6315479bc27b4a"/>
            <w:id w:val="295417636"/>
            <w:comboBox>
              <w:listItem w:displayText="是" w:value="是"/>
              <w:listItem w:displayText="否" w:value="否"/>
            </w:comboBox>
          </w:sdtPr>
          <w:sdtContent>
            <w:tc>
              <w:tcPr>
                <w:tcW w:w="1275" w:type="dxa"/>
                <w:tcBorders>
                  <w:top w:val="single" w:color="auto" w:sz="4" w:space="0"/>
                  <w:left w:val="single" w:color="auto" w:sz="4" w:space="0"/>
                  <w:bottom w:val="single" w:color="auto" w:sz="4" w:space="0"/>
                  <w:right w:val="single" w:color="auto" w:sz="4" w:space="0"/>
                </w:tcBorders>
                <w:vAlign w:val="center"/>
              </w:tcPr>
              <w:p w14:paraId="05C8AC79">
                <w:pPr>
                  <w:pStyle w:val="48"/>
                  <w:jc w:val="center"/>
                  <w:rPr>
                    <w:sz w:val="20"/>
                    <w:szCs w:val="20"/>
                  </w:rPr>
                </w:pPr>
                <w:r>
                  <w:rPr>
                    <w:sz w:val="20"/>
                    <w:szCs w:val="20"/>
                  </w:rPr>
                  <w:t>否</w:t>
                </w:r>
              </w:p>
            </w:tc>
          </w:sdtContent>
        </w:sdt>
        <w:tc>
          <w:tcPr>
            <w:tcW w:w="1679" w:type="dxa"/>
            <w:tcBorders>
              <w:top w:val="single" w:color="auto" w:sz="4" w:space="0"/>
              <w:left w:val="single" w:color="auto" w:sz="4" w:space="0"/>
              <w:bottom w:val="single" w:color="auto" w:sz="4" w:space="0"/>
              <w:right w:val="single" w:color="auto" w:sz="4" w:space="0"/>
            </w:tcBorders>
            <w:vAlign w:val="center"/>
          </w:tcPr>
          <w:p w14:paraId="26ABB821">
            <w:pPr>
              <w:jc w:val="right"/>
              <w:rPr>
                <w:rFonts w:ascii="Calibri" w:hAnsi="Calibri"/>
                <w:sz w:val="20"/>
                <w:szCs w:val="20"/>
              </w:rPr>
            </w:pPr>
            <w:r>
              <w:rPr>
                <w:rFonts w:ascii="Calibri" w:hAnsi="Calibri"/>
                <w:sz w:val="20"/>
                <w:szCs w:val="20"/>
              </w:rPr>
              <w:t>14,493,284.50</w:t>
            </w:r>
          </w:p>
        </w:tc>
      </w:tr>
      <w:tr w14:paraId="623D0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56" w:type="dxa"/>
            <w:tcBorders>
              <w:top w:val="single" w:color="auto" w:sz="4" w:space="0"/>
              <w:left w:val="single" w:color="auto" w:sz="4" w:space="0"/>
              <w:bottom w:val="single" w:color="auto" w:sz="4" w:space="0"/>
              <w:right w:val="single" w:color="auto" w:sz="4" w:space="0"/>
            </w:tcBorders>
            <w:vAlign w:val="center"/>
          </w:tcPr>
          <w:p w14:paraId="193DC643">
            <w:pPr>
              <w:pStyle w:val="48"/>
              <w:rPr>
                <w:sz w:val="20"/>
                <w:szCs w:val="20"/>
              </w:rPr>
            </w:pPr>
            <w:r>
              <w:rPr>
                <w:sz w:val="20"/>
                <w:szCs w:val="20"/>
              </w:rPr>
              <w:t>华广生技股份有限公司</w:t>
            </w:r>
          </w:p>
        </w:tc>
        <w:tc>
          <w:tcPr>
            <w:tcW w:w="1447" w:type="dxa"/>
            <w:tcBorders>
              <w:top w:val="single" w:color="auto" w:sz="4" w:space="0"/>
              <w:left w:val="single" w:color="auto" w:sz="4" w:space="0"/>
              <w:bottom w:val="single" w:color="auto" w:sz="4" w:space="0"/>
              <w:right w:val="single" w:color="auto" w:sz="4" w:space="0"/>
            </w:tcBorders>
            <w:vAlign w:val="center"/>
          </w:tcPr>
          <w:p w14:paraId="68A2AAC0">
            <w:pPr>
              <w:pStyle w:val="48"/>
              <w:rPr>
                <w:sz w:val="20"/>
                <w:szCs w:val="20"/>
              </w:rPr>
            </w:pPr>
            <w:r>
              <w:rPr>
                <w:sz w:val="20"/>
                <w:szCs w:val="20"/>
              </w:rPr>
              <w:t>采购商品\接受服务</w:t>
            </w:r>
          </w:p>
        </w:tc>
        <w:tc>
          <w:tcPr>
            <w:tcW w:w="1529" w:type="dxa"/>
            <w:tcBorders>
              <w:top w:val="single" w:color="auto" w:sz="4" w:space="0"/>
              <w:left w:val="single" w:color="auto" w:sz="4" w:space="0"/>
              <w:bottom w:val="single" w:color="auto" w:sz="4" w:space="0"/>
              <w:right w:val="single" w:color="auto" w:sz="4" w:space="0"/>
            </w:tcBorders>
            <w:vAlign w:val="center"/>
          </w:tcPr>
          <w:p w14:paraId="7C9BC5AC">
            <w:pPr>
              <w:jc w:val="right"/>
              <w:rPr>
                <w:rFonts w:ascii="Calibri" w:hAnsi="Calibri"/>
                <w:sz w:val="20"/>
                <w:szCs w:val="20"/>
              </w:rPr>
            </w:pPr>
            <w:r>
              <w:rPr>
                <w:rFonts w:ascii="Calibri" w:hAnsi="Calibri"/>
                <w:sz w:val="20"/>
                <w:szCs w:val="20"/>
              </w:rPr>
              <w:t>7,524,108.12</w:t>
            </w:r>
          </w:p>
        </w:tc>
        <w:tc>
          <w:tcPr>
            <w:tcW w:w="1590" w:type="dxa"/>
            <w:tcBorders>
              <w:top w:val="single" w:color="auto" w:sz="4" w:space="0"/>
              <w:left w:val="single" w:color="auto" w:sz="4" w:space="0"/>
              <w:bottom w:val="single" w:color="auto" w:sz="4" w:space="0"/>
              <w:right w:val="single" w:color="auto" w:sz="4" w:space="0"/>
            </w:tcBorders>
            <w:vAlign w:val="center"/>
          </w:tcPr>
          <w:p w14:paraId="3F42A336">
            <w:pPr>
              <w:jc w:val="right"/>
              <w:rPr>
                <w:rFonts w:ascii="Calibri" w:hAnsi="Calibri"/>
                <w:sz w:val="20"/>
                <w:szCs w:val="20"/>
              </w:rPr>
            </w:pPr>
            <w:r>
              <w:rPr>
                <w:rFonts w:ascii="Calibri" w:hAnsi="Calibri"/>
                <w:sz w:val="20"/>
                <w:szCs w:val="20"/>
              </w:rPr>
              <w:t>20,000,000.00</w:t>
            </w:r>
          </w:p>
        </w:tc>
        <w:tc>
          <w:tcPr>
            <w:tcW w:w="1275" w:type="dxa"/>
            <w:tcBorders>
              <w:top w:val="single" w:color="auto" w:sz="4" w:space="0"/>
              <w:left w:val="single" w:color="auto" w:sz="4" w:space="0"/>
              <w:bottom w:val="single" w:color="auto" w:sz="4" w:space="0"/>
              <w:right w:val="single" w:color="auto" w:sz="4" w:space="0"/>
            </w:tcBorders>
            <w:vAlign w:val="center"/>
          </w:tcPr>
          <w:p w14:paraId="32AFFE8E">
            <w:pPr>
              <w:pStyle w:val="48"/>
              <w:jc w:val="center"/>
              <w:rPr>
                <w:sz w:val="20"/>
                <w:szCs w:val="20"/>
              </w:rPr>
            </w:pPr>
            <w:r>
              <w:rPr>
                <w:rFonts w:hint="eastAsia"/>
                <w:sz w:val="20"/>
                <w:szCs w:val="20"/>
              </w:rPr>
              <w:t>否</w:t>
            </w:r>
          </w:p>
        </w:tc>
        <w:tc>
          <w:tcPr>
            <w:tcW w:w="1679" w:type="dxa"/>
            <w:tcBorders>
              <w:top w:val="single" w:color="auto" w:sz="4" w:space="0"/>
              <w:left w:val="single" w:color="auto" w:sz="4" w:space="0"/>
              <w:bottom w:val="single" w:color="auto" w:sz="4" w:space="0"/>
              <w:right w:val="single" w:color="auto" w:sz="4" w:space="0"/>
            </w:tcBorders>
            <w:vAlign w:val="center"/>
          </w:tcPr>
          <w:p w14:paraId="3F147A2C">
            <w:pPr>
              <w:jc w:val="right"/>
              <w:rPr>
                <w:rFonts w:ascii="Calibri" w:hAnsi="Calibri"/>
                <w:sz w:val="20"/>
                <w:szCs w:val="20"/>
              </w:rPr>
            </w:pPr>
            <w:r>
              <w:rPr>
                <w:rFonts w:ascii="Calibri" w:hAnsi="Calibri"/>
                <w:sz w:val="20"/>
                <w:szCs w:val="20"/>
              </w:rPr>
              <w:t>13,167,660.96</w:t>
            </w:r>
          </w:p>
        </w:tc>
      </w:tr>
      <w:tr w14:paraId="48C414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56" w:type="dxa"/>
            <w:tcBorders>
              <w:top w:val="single" w:color="auto" w:sz="4" w:space="0"/>
              <w:left w:val="single" w:color="auto" w:sz="4" w:space="0"/>
              <w:bottom w:val="single" w:color="auto" w:sz="4" w:space="0"/>
              <w:right w:val="single" w:color="auto" w:sz="4" w:space="0"/>
            </w:tcBorders>
            <w:vAlign w:val="center"/>
          </w:tcPr>
          <w:p w14:paraId="588EB44E">
            <w:pPr>
              <w:pStyle w:val="48"/>
              <w:rPr>
                <w:sz w:val="20"/>
                <w:szCs w:val="20"/>
              </w:rPr>
            </w:pPr>
            <w:r>
              <w:rPr>
                <w:sz w:val="20"/>
                <w:szCs w:val="20"/>
              </w:rPr>
              <w:t>通化东宝集团进出口有限公司</w:t>
            </w:r>
          </w:p>
        </w:tc>
        <w:tc>
          <w:tcPr>
            <w:tcW w:w="1447" w:type="dxa"/>
            <w:tcBorders>
              <w:top w:val="single" w:color="auto" w:sz="4" w:space="0"/>
              <w:left w:val="single" w:color="auto" w:sz="4" w:space="0"/>
              <w:bottom w:val="single" w:color="auto" w:sz="4" w:space="0"/>
              <w:right w:val="single" w:color="auto" w:sz="4" w:space="0"/>
            </w:tcBorders>
            <w:vAlign w:val="center"/>
          </w:tcPr>
          <w:p w14:paraId="388E8DC3">
            <w:pPr>
              <w:pStyle w:val="48"/>
              <w:rPr>
                <w:sz w:val="20"/>
                <w:szCs w:val="20"/>
              </w:rPr>
            </w:pPr>
            <w:r>
              <w:rPr>
                <w:sz w:val="20"/>
                <w:szCs w:val="20"/>
              </w:rPr>
              <w:t>进（出）口代理费</w:t>
            </w:r>
          </w:p>
        </w:tc>
        <w:tc>
          <w:tcPr>
            <w:tcW w:w="1529" w:type="dxa"/>
            <w:tcBorders>
              <w:top w:val="single" w:color="auto" w:sz="4" w:space="0"/>
              <w:left w:val="single" w:color="auto" w:sz="4" w:space="0"/>
              <w:bottom w:val="single" w:color="auto" w:sz="4" w:space="0"/>
              <w:right w:val="single" w:color="auto" w:sz="4" w:space="0"/>
            </w:tcBorders>
            <w:vAlign w:val="center"/>
          </w:tcPr>
          <w:p w14:paraId="3FE51284">
            <w:pPr>
              <w:jc w:val="right"/>
              <w:rPr>
                <w:rFonts w:ascii="Calibri" w:hAnsi="Calibri"/>
                <w:sz w:val="20"/>
                <w:szCs w:val="20"/>
              </w:rPr>
            </w:pPr>
            <w:r>
              <w:rPr>
                <w:rFonts w:ascii="Calibri" w:hAnsi="Calibri"/>
                <w:sz w:val="20"/>
                <w:szCs w:val="20"/>
              </w:rPr>
              <w:t>13,041,399.45</w:t>
            </w:r>
          </w:p>
        </w:tc>
        <w:tc>
          <w:tcPr>
            <w:tcW w:w="1590" w:type="dxa"/>
            <w:tcBorders>
              <w:top w:val="single" w:color="auto" w:sz="4" w:space="0"/>
              <w:left w:val="single" w:color="auto" w:sz="4" w:space="0"/>
              <w:bottom w:val="single" w:color="auto" w:sz="4" w:space="0"/>
              <w:right w:val="single" w:color="auto" w:sz="4" w:space="0"/>
            </w:tcBorders>
            <w:vAlign w:val="center"/>
          </w:tcPr>
          <w:p w14:paraId="390231D3">
            <w:pPr>
              <w:jc w:val="right"/>
              <w:rPr>
                <w:rFonts w:ascii="Calibri" w:hAnsi="Calibri"/>
                <w:sz w:val="20"/>
                <w:szCs w:val="20"/>
              </w:rPr>
            </w:pPr>
            <w:r>
              <w:rPr>
                <w:rFonts w:ascii="Calibri" w:hAnsi="Calibri"/>
                <w:sz w:val="20"/>
                <w:szCs w:val="20"/>
              </w:rPr>
              <w:t>16,000,000.00</w:t>
            </w:r>
          </w:p>
        </w:tc>
        <w:tc>
          <w:tcPr>
            <w:tcW w:w="1275" w:type="dxa"/>
            <w:tcBorders>
              <w:top w:val="single" w:color="auto" w:sz="4" w:space="0"/>
              <w:left w:val="single" w:color="auto" w:sz="4" w:space="0"/>
              <w:bottom w:val="single" w:color="auto" w:sz="4" w:space="0"/>
              <w:right w:val="single" w:color="auto" w:sz="4" w:space="0"/>
            </w:tcBorders>
            <w:vAlign w:val="center"/>
          </w:tcPr>
          <w:p w14:paraId="068C0CD4">
            <w:pPr>
              <w:pStyle w:val="48"/>
              <w:jc w:val="center"/>
              <w:rPr>
                <w:sz w:val="20"/>
                <w:szCs w:val="20"/>
              </w:rPr>
            </w:pPr>
            <w:r>
              <w:rPr>
                <w:rFonts w:hint="eastAsia"/>
                <w:sz w:val="20"/>
                <w:szCs w:val="20"/>
              </w:rPr>
              <w:t>否</w:t>
            </w:r>
          </w:p>
        </w:tc>
        <w:tc>
          <w:tcPr>
            <w:tcW w:w="1679" w:type="dxa"/>
            <w:tcBorders>
              <w:top w:val="single" w:color="auto" w:sz="4" w:space="0"/>
              <w:left w:val="single" w:color="auto" w:sz="4" w:space="0"/>
              <w:bottom w:val="single" w:color="auto" w:sz="4" w:space="0"/>
              <w:right w:val="single" w:color="auto" w:sz="4" w:space="0"/>
            </w:tcBorders>
            <w:vAlign w:val="center"/>
          </w:tcPr>
          <w:p w14:paraId="62DE7CD6">
            <w:pPr>
              <w:jc w:val="right"/>
              <w:rPr>
                <w:rFonts w:ascii="Calibri" w:hAnsi="Calibri"/>
                <w:sz w:val="20"/>
                <w:szCs w:val="20"/>
              </w:rPr>
            </w:pPr>
            <w:r>
              <w:rPr>
                <w:rFonts w:ascii="Calibri" w:hAnsi="Calibri"/>
                <w:sz w:val="20"/>
                <w:szCs w:val="20"/>
              </w:rPr>
              <w:t>10,580,429.52</w:t>
            </w:r>
          </w:p>
        </w:tc>
      </w:tr>
      <w:tr w14:paraId="192B71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56" w:type="dxa"/>
            <w:tcBorders>
              <w:top w:val="single" w:color="auto" w:sz="4" w:space="0"/>
              <w:left w:val="single" w:color="auto" w:sz="4" w:space="0"/>
              <w:bottom w:val="single" w:color="auto" w:sz="4" w:space="0"/>
              <w:right w:val="single" w:color="auto" w:sz="4" w:space="0"/>
            </w:tcBorders>
            <w:vAlign w:val="center"/>
          </w:tcPr>
          <w:p w14:paraId="1D1FE8FD">
            <w:pPr>
              <w:pStyle w:val="48"/>
              <w:rPr>
                <w:sz w:val="20"/>
                <w:szCs w:val="20"/>
              </w:rPr>
            </w:pPr>
            <w:r>
              <w:rPr>
                <w:sz w:val="20"/>
                <w:szCs w:val="20"/>
              </w:rPr>
              <w:t>东宝实业集团股份有限公司</w:t>
            </w:r>
          </w:p>
        </w:tc>
        <w:tc>
          <w:tcPr>
            <w:tcW w:w="1447" w:type="dxa"/>
            <w:tcBorders>
              <w:top w:val="single" w:color="auto" w:sz="4" w:space="0"/>
              <w:left w:val="single" w:color="auto" w:sz="4" w:space="0"/>
              <w:bottom w:val="single" w:color="auto" w:sz="4" w:space="0"/>
              <w:right w:val="single" w:color="auto" w:sz="4" w:space="0"/>
            </w:tcBorders>
            <w:vAlign w:val="center"/>
          </w:tcPr>
          <w:p w14:paraId="34E4968F">
            <w:pPr>
              <w:pStyle w:val="48"/>
              <w:rPr>
                <w:sz w:val="20"/>
                <w:szCs w:val="20"/>
              </w:rPr>
            </w:pPr>
            <w:r>
              <w:rPr>
                <w:sz w:val="20"/>
                <w:szCs w:val="20"/>
              </w:rPr>
              <w:t>接受水资源供应</w:t>
            </w:r>
          </w:p>
        </w:tc>
        <w:tc>
          <w:tcPr>
            <w:tcW w:w="1529" w:type="dxa"/>
            <w:tcBorders>
              <w:top w:val="single" w:color="auto" w:sz="4" w:space="0"/>
              <w:left w:val="single" w:color="auto" w:sz="4" w:space="0"/>
              <w:bottom w:val="single" w:color="auto" w:sz="4" w:space="0"/>
              <w:right w:val="single" w:color="auto" w:sz="4" w:space="0"/>
            </w:tcBorders>
            <w:vAlign w:val="center"/>
          </w:tcPr>
          <w:p w14:paraId="66739F5D">
            <w:pPr>
              <w:jc w:val="right"/>
              <w:rPr>
                <w:rFonts w:ascii="Calibri" w:hAnsi="Calibri"/>
                <w:sz w:val="20"/>
                <w:szCs w:val="20"/>
              </w:rPr>
            </w:pPr>
            <w:r>
              <w:rPr>
                <w:rFonts w:ascii="Calibri" w:hAnsi="Calibri"/>
                <w:sz w:val="20"/>
                <w:szCs w:val="20"/>
              </w:rPr>
              <w:t>935,757.64</w:t>
            </w:r>
          </w:p>
        </w:tc>
        <w:tc>
          <w:tcPr>
            <w:tcW w:w="1590" w:type="dxa"/>
            <w:tcBorders>
              <w:top w:val="single" w:color="auto" w:sz="4" w:space="0"/>
              <w:left w:val="single" w:color="auto" w:sz="4" w:space="0"/>
              <w:bottom w:val="single" w:color="auto" w:sz="4" w:space="0"/>
              <w:right w:val="single" w:color="auto" w:sz="4" w:space="0"/>
            </w:tcBorders>
            <w:vAlign w:val="center"/>
          </w:tcPr>
          <w:p w14:paraId="08481BC2">
            <w:pPr>
              <w:jc w:val="right"/>
              <w:rPr>
                <w:rFonts w:ascii="Calibri" w:hAnsi="Calibri"/>
                <w:sz w:val="20"/>
                <w:szCs w:val="20"/>
              </w:rPr>
            </w:pPr>
            <w:r>
              <w:rPr>
                <w:rFonts w:ascii="Calibri" w:hAnsi="Calibri"/>
                <w:sz w:val="20"/>
                <w:szCs w:val="20"/>
              </w:rPr>
              <w:t>1,000,000.00</w:t>
            </w:r>
          </w:p>
        </w:tc>
        <w:tc>
          <w:tcPr>
            <w:tcW w:w="1275" w:type="dxa"/>
            <w:tcBorders>
              <w:top w:val="single" w:color="auto" w:sz="4" w:space="0"/>
              <w:left w:val="single" w:color="auto" w:sz="4" w:space="0"/>
              <w:bottom w:val="single" w:color="auto" w:sz="4" w:space="0"/>
              <w:right w:val="single" w:color="auto" w:sz="4" w:space="0"/>
            </w:tcBorders>
            <w:vAlign w:val="center"/>
          </w:tcPr>
          <w:p w14:paraId="770DBF00">
            <w:pPr>
              <w:pStyle w:val="48"/>
              <w:jc w:val="center"/>
              <w:rPr>
                <w:sz w:val="20"/>
                <w:szCs w:val="20"/>
              </w:rPr>
            </w:pPr>
            <w:r>
              <w:rPr>
                <w:rFonts w:hint="eastAsia"/>
                <w:sz w:val="20"/>
                <w:szCs w:val="20"/>
              </w:rPr>
              <w:t>否</w:t>
            </w:r>
          </w:p>
        </w:tc>
        <w:tc>
          <w:tcPr>
            <w:tcW w:w="1679" w:type="dxa"/>
            <w:tcBorders>
              <w:top w:val="single" w:color="auto" w:sz="4" w:space="0"/>
              <w:left w:val="single" w:color="auto" w:sz="4" w:space="0"/>
              <w:bottom w:val="single" w:color="auto" w:sz="4" w:space="0"/>
              <w:right w:val="single" w:color="auto" w:sz="4" w:space="0"/>
            </w:tcBorders>
            <w:vAlign w:val="center"/>
          </w:tcPr>
          <w:p w14:paraId="7ED6A12E">
            <w:pPr>
              <w:jc w:val="right"/>
              <w:rPr>
                <w:rFonts w:ascii="Calibri" w:hAnsi="Calibri"/>
                <w:sz w:val="20"/>
                <w:szCs w:val="20"/>
              </w:rPr>
            </w:pPr>
            <w:r>
              <w:rPr>
                <w:rFonts w:ascii="Calibri" w:hAnsi="Calibri"/>
                <w:sz w:val="20"/>
                <w:szCs w:val="20"/>
              </w:rPr>
              <w:t>879,622.97</w:t>
            </w:r>
          </w:p>
        </w:tc>
      </w:tr>
      <w:tr w14:paraId="07CCEE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56" w:type="dxa"/>
            <w:tcBorders>
              <w:top w:val="single" w:color="auto" w:sz="4" w:space="0"/>
              <w:left w:val="single" w:color="auto" w:sz="4" w:space="0"/>
              <w:bottom w:val="single" w:color="auto" w:sz="4" w:space="0"/>
              <w:right w:val="single" w:color="auto" w:sz="4" w:space="0"/>
            </w:tcBorders>
            <w:vAlign w:val="center"/>
          </w:tcPr>
          <w:p w14:paraId="56968349">
            <w:pPr>
              <w:pStyle w:val="48"/>
              <w:rPr>
                <w:sz w:val="20"/>
                <w:szCs w:val="20"/>
              </w:rPr>
            </w:pPr>
            <w:r>
              <w:rPr>
                <w:sz w:val="20"/>
                <w:szCs w:val="20"/>
              </w:rPr>
              <w:t>东宝实业集团股份有限公司</w:t>
            </w:r>
          </w:p>
        </w:tc>
        <w:tc>
          <w:tcPr>
            <w:tcW w:w="1447" w:type="dxa"/>
            <w:tcBorders>
              <w:top w:val="single" w:color="auto" w:sz="4" w:space="0"/>
              <w:left w:val="single" w:color="auto" w:sz="4" w:space="0"/>
              <w:bottom w:val="single" w:color="auto" w:sz="4" w:space="0"/>
              <w:right w:val="single" w:color="auto" w:sz="4" w:space="0"/>
            </w:tcBorders>
            <w:vAlign w:val="center"/>
          </w:tcPr>
          <w:p w14:paraId="565E6ECD">
            <w:pPr>
              <w:pStyle w:val="48"/>
              <w:rPr>
                <w:sz w:val="20"/>
                <w:szCs w:val="20"/>
              </w:rPr>
            </w:pPr>
            <w:r>
              <w:rPr>
                <w:sz w:val="20"/>
                <w:szCs w:val="20"/>
              </w:rPr>
              <w:t>支付借款利息</w:t>
            </w:r>
          </w:p>
        </w:tc>
        <w:tc>
          <w:tcPr>
            <w:tcW w:w="1529" w:type="dxa"/>
            <w:tcBorders>
              <w:top w:val="single" w:color="auto" w:sz="4" w:space="0"/>
              <w:left w:val="single" w:color="auto" w:sz="4" w:space="0"/>
              <w:bottom w:val="single" w:color="auto" w:sz="4" w:space="0"/>
              <w:right w:val="single" w:color="auto" w:sz="4" w:space="0"/>
            </w:tcBorders>
            <w:vAlign w:val="center"/>
          </w:tcPr>
          <w:p w14:paraId="3C44D5E9">
            <w:pPr>
              <w:jc w:val="right"/>
              <w:rPr>
                <w:rFonts w:ascii="Calibri" w:hAnsi="Calibri"/>
                <w:sz w:val="20"/>
                <w:szCs w:val="20"/>
              </w:rPr>
            </w:pPr>
            <w:r>
              <w:rPr>
                <w:rFonts w:ascii="Calibri" w:hAnsi="Calibri"/>
                <w:sz w:val="20"/>
                <w:szCs w:val="20"/>
              </w:rPr>
              <w:t>470,712.33</w:t>
            </w:r>
          </w:p>
        </w:tc>
        <w:tc>
          <w:tcPr>
            <w:tcW w:w="1590" w:type="dxa"/>
            <w:tcBorders>
              <w:top w:val="single" w:color="auto" w:sz="4" w:space="0"/>
              <w:left w:val="single" w:color="auto" w:sz="4" w:space="0"/>
              <w:bottom w:val="single" w:color="auto" w:sz="4" w:space="0"/>
              <w:right w:val="single" w:color="auto" w:sz="4" w:space="0"/>
            </w:tcBorders>
            <w:vAlign w:val="center"/>
          </w:tcPr>
          <w:p w14:paraId="58386E7F">
            <w:pPr>
              <w:jc w:val="right"/>
              <w:rPr>
                <w:rFonts w:ascii="Calibri" w:hAnsi="Calibri"/>
                <w:sz w:val="20"/>
                <w:szCs w:val="20"/>
              </w:rPr>
            </w:pPr>
          </w:p>
        </w:tc>
        <w:tc>
          <w:tcPr>
            <w:tcW w:w="1275" w:type="dxa"/>
            <w:tcBorders>
              <w:top w:val="single" w:color="auto" w:sz="4" w:space="0"/>
              <w:left w:val="single" w:color="auto" w:sz="4" w:space="0"/>
              <w:bottom w:val="single" w:color="auto" w:sz="4" w:space="0"/>
              <w:right w:val="single" w:color="auto" w:sz="4" w:space="0"/>
            </w:tcBorders>
            <w:vAlign w:val="center"/>
          </w:tcPr>
          <w:p w14:paraId="30684D0C">
            <w:pPr>
              <w:pStyle w:val="48"/>
              <w:jc w:val="center"/>
              <w:rPr>
                <w:sz w:val="20"/>
                <w:szCs w:val="20"/>
              </w:rPr>
            </w:pPr>
          </w:p>
        </w:tc>
        <w:tc>
          <w:tcPr>
            <w:tcW w:w="1679" w:type="dxa"/>
            <w:tcBorders>
              <w:top w:val="single" w:color="auto" w:sz="4" w:space="0"/>
              <w:left w:val="single" w:color="auto" w:sz="4" w:space="0"/>
              <w:bottom w:val="single" w:color="auto" w:sz="4" w:space="0"/>
              <w:right w:val="single" w:color="auto" w:sz="4" w:space="0"/>
            </w:tcBorders>
            <w:vAlign w:val="center"/>
          </w:tcPr>
          <w:p w14:paraId="6F9384D8">
            <w:pPr>
              <w:jc w:val="right"/>
              <w:rPr>
                <w:rFonts w:ascii="Calibri" w:hAnsi="Calibri"/>
                <w:sz w:val="20"/>
                <w:szCs w:val="20"/>
              </w:rPr>
            </w:pPr>
          </w:p>
        </w:tc>
      </w:tr>
      <w:tr w14:paraId="1A2828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56" w:type="dxa"/>
            <w:tcBorders>
              <w:top w:val="single" w:color="auto" w:sz="4" w:space="0"/>
              <w:left w:val="single" w:color="auto" w:sz="4" w:space="0"/>
              <w:bottom w:val="single" w:color="auto" w:sz="4" w:space="0"/>
              <w:right w:val="single" w:color="auto" w:sz="4" w:space="0"/>
            </w:tcBorders>
            <w:vAlign w:val="center"/>
          </w:tcPr>
          <w:p w14:paraId="067DB8C2">
            <w:pPr>
              <w:pStyle w:val="48"/>
              <w:rPr>
                <w:sz w:val="20"/>
                <w:szCs w:val="20"/>
              </w:rPr>
            </w:pPr>
            <w:r>
              <w:rPr>
                <w:sz w:val="20"/>
                <w:szCs w:val="20"/>
              </w:rPr>
              <w:t>东宝国际商务（海南）有限公司</w:t>
            </w:r>
          </w:p>
        </w:tc>
        <w:tc>
          <w:tcPr>
            <w:tcW w:w="1447" w:type="dxa"/>
            <w:tcBorders>
              <w:top w:val="single" w:color="auto" w:sz="4" w:space="0"/>
              <w:left w:val="single" w:color="auto" w:sz="4" w:space="0"/>
              <w:bottom w:val="single" w:color="auto" w:sz="4" w:space="0"/>
              <w:right w:val="single" w:color="auto" w:sz="4" w:space="0"/>
            </w:tcBorders>
            <w:vAlign w:val="center"/>
          </w:tcPr>
          <w:p w14:paraId="023BF98F">
            <w:pPr>
              <w:pStyle w:val="48"/>
              <w:rPr>
                <w:sz w:val="20"/>
                <w:szCs w:val="20"/>
              </w:rPr>
            </w:pPr>
            <w:r>
              <w:rPr>
                <w:sz w:val="20"/>
                <w:szCs w:val="20"/>
              </w:rPr>
              <w:t>接受出口代理服务</w:t>
            </w:r>
          </w:p>
        </w:tc>
        <w:tc>
          <w:tcPr>
            <w:tcW w:w="1529" w:type="dxa"/>
            <w:tcBorders>
              <w:top w:val="single" w:color="auto" w:sz="4" w:space="0"/>
              <w:left w:val="single" w:color="auto" w:sz="4" w:space="0"/>
              <w:bottom w:val="single" w:color="auto" w:sz="4" w:space="0"/>
              <w:right w:val="single" w:color="auto" w:sz="4" w:space="0"/>
            </w:tcBorders>
            <w:vAlign w:val="center"/>
          </w:tcPr>
          <w:p w14:paraId="352869DF">
            <w:pPr>
              <w:jc w:val="right"/>
              <w:rPr>
                <w:rFonts w:ascii="Calibri" w:hAnsi="Calibri"/>
                <w:sz w:val="20"/>
                <w:szCs w:val="20"/>
              </w:rPr>
            </w:pPr>
            <w:r>
              <w:rPr>
                <w:rFonts w:ascii="Calibri" w:hAnsi="Calibri"/>
                <w:sz w:val="20"/>
                <w:szCs w:val="20"/>
              </w:rPr>
              <w:t>1,801,149.01</w:t>
            </w:r>
          </w:p>
        </w:tc>
        <w:tc>
          <w:tcPr>
            <w:tcW w:w="1590" w:type="dxa"/>
            <w:tcBorders>
              <w:top w:val="single" w:color="auto" w:sz="4" w:space="0"/>
              <w:left w:val="single" w:color="auto" w:sz="4" w:space="0"/>
              <w:bottom w:val="single" w:color="auto" w:sz="4" w:space="0"/>
              <w:right w:val="single" w:color="auto" w:sz="4" w:space="0"/>
            </w:tcBorders>
            <w:vAlign w:val="center"/>
          </w:tcPr>
          <w:p w14:paraId="2ABA9700">
            <w:pPr>
              <w:jc w:val="right"/>
              <w:rPr>
                <w:rFonts w:ascii="Calibri" w:hAnsi="Calibri"/>
                <w:sz w:val="20"/>
                <w:szCs w:val="20"/>
              </w:rPr>
            </w:pPr>
          </w:p>
        </w:tc>
        <w:tc>
          <w:tcPr>
            <w:tcW w:w="1275" w:type="dxa"/>
            <w:tcBorders>
              <w:top w:val="single" w:color="auto" w:sz="4" w:space="0"/>
              <w:left w:val="single" w:color="auto" w:sz="4" w:space="0"/>
              <w:bottom w:val="single" w:color="auto" w:sz="4" w:space="0"/>
              <w:right w:val="single" w:color="auto" w:sz="4" w:space="0"/>
            </w:tcBorders>
            <w:vAlign w:val="center"/>
          </w:tcPr>
          <w:p w14:paraId="5A34D79E">
            <w:pPr>
              <w:pStyle w:val="48"/>
              <w:jc w:val="center"/>
              <w:rPr>
                <w:sz w:val="20"/>
                <w:szCs w:val="20"/>
              </w:rPr>
            </w:pPr>
          </w:p>
        </w:tc>
        <w:tc>
          <w:tcPr>
            <w:tcW w:w="1679" w:type="dxa"/>
            <w:tcBorders>
              <w:top w:val="single" w:color="auto" w:sz="4" w:space="0"/>
              <w:left w:val="single" w:color="auto" w:sz="4" w:space="0"/>
              <w:bottom w:val="single" w:color="auto" w:sz="4" w:space="0"/>
              <w:right w:val="single" w:color="auto" w:sz="4" w:space="0"/>
            </w:tcBorders>
            <w:vAlign w:val="center"/>
          </w:tcPr>
          <w:p w14:paraId="7A8A9C30">
            <w:pPr>
              <w:jc w:val="right"/>
              <w:rPr>
                <w:rFonts w:ascii="Calibri" w:hAnsi="Calibri"/>
                <w:sz w:val="20"/>
                <w:szCs w:val="20"/>
              </w:rPr>
            </w:pPr>
          </w:p>
        </w:tc>
      </w:tr>
      <w:tr w14:paraId="46F7AC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56" w:type="dxa"/>
            <w:tcBorders>
              <w:top w:val="single" w:color="auto" w:sz="4" w:space="0"/>
              <w:left w:val="single" w:color="auto" w:sz="4" w:space="0"/>
              <w:bottom w:val="single" w:color="auto" w:sz="4" w:space="0"/>
              <w:right w:val="single" w:color="auto" w:sz="4" w:space="0"/>
            </w:tcBorders>
            <w:vAlign w:val="center"/>
          </w:tcPr>
          <w:p w14:paraId="488BF20A">
            <w:pPr>
              <w:pStyle w:val="48"/>
              <w:rPr>
                <w:sz w:val="20"/>
                <w:szCs w:val="20"/>
              </w:rPr>
            </w:pPr>
            <w:r>
              <w:rPr>
                <w:sz w:val="20"/>
                <w:szCs w:val="20"/>
              </w:rPr>
              <w:t>通化东宝丽景花园物业管理有限公司</w:t>
            </w:r>
          </w:p>
        </w:tc>
        <w:tc>
          <w:tcPr>
            <w:tcW w:w="1447" w:type="dxa"/>
            <w:tcBorders>
              <w:top w:val="single" w:color="auto" w:sz="4" w:space="0"/>
              <w:left w:val="single" w:color="auto" w:sz="4" w:space="0"/>
              <w:bottom w:val="single" w:color="auto" w:sz="4" w:space="0"/>
              <w:right w:val="single" w:color="auto" w:sz="4" w:space="0"/>
            </w:tcBorders>
            <w:vAlign w:val="center"/>
          </w:tcPr>
          <w:p w14:paraId="30C924E0">
            <w:pPr>
              <w:pStyle w:val="48"/>
              <w:rPr>
                <w:sz w:val="20"/>
                <w:szCs w:val="20"/>
              </w:rPr>
            </w:pPr>
            <w:r>
              <w:rPr>
                <w:sz w:val="20"/>
                <w:szCs w:val="20"/>
              </w:rPr>
              <w:t>接受物业服务</w:t>
            </w:r>
          </w:p>
        </w:tc>
        <w:tc>
          <w:tcPr>
            <w:tcW w:w="1529" w:type="dxa"/>
            <w:tcBorders>
              <w:top w:val="single" w:color="auto" w:sz="4" w:space="0"/>
              <w:left w:val="single" w:color="auto" w:sz="4" w:space="0"/>
              <w:bottom w:val="single" w:color="auto" w:sz="4" w:space="0"/>
              <w:right w:val="single" w:color="auto" w:sz="4" w:space="0"/>
            </w:tcBorders>
            <w:vAlign w:val="center"/>
          </w:tcPr>
          <w:p w14:paraId="13ADFAB9">
            <w:pPr>
              <w:jc w:val="right"/>
              <w:rPr>
                <w:rFonts w:ascii="Calibri" w:hAnsi="Calibri"/>
                <w:sz w:val="20"/>
                <w:szCs w:val="20"/>
              </w:rPr>
            </w:pPr>
            <w:r>
              <w:rPr>
                <w:rFonts w:ascii="Calibri" w:hAnsi="Calibri"/>
                <w:sz w:val="20"/>
                <w:szCs w:val="20"/>
              </w:rPr>
              <w:t>988,536.48</w:t>
            </w:r>
          </w:p>
        </w:tc>
        <w:tc>
          <w:tcPr>
            <w:tcW w:w="1590" w:type="dxa"/>
            <w:vMerge w:val="restart"/>
            <w:tcBorders>
              <w:top w:val="single" w:color="auto" w:sz="4" w:space="0"/>
              <w:left w:val="single" w:color="auto" w:sz="4" w:space="0"/>
              <w:right w:val="single" w:color="auto" w:sz="4" w:space="0"/>
            </w:tcBorders>
            <w:vAlign w:val="center"/>
          </w:tcPr>
          <w:p w14:paraId="1AE026FA">
            <w:pPr>
              <w:jc w:val="right"/>
              <w:rPr>
                <w:rFonts w:ascii="Calibri" w:hAnsi="Calibri"/>
                <w:sz w:val="20"/>
                <w:szCs w:val="20"/>
              </w:rPr>
            </w:pPr>
            <w:r>
              <w:rPr>
                <w:rFonts w:ascii="Calibri" w:hAnsi="Calibri"/>
                <w:sz w:val="20"/>
                <w:szCs w:val="20"/>
              </w:rPr>
              <w:t>1,500,000.00</w:t>
            </w:r>
          </w:p>
        </w:tc>
        <w:tc>
          <w:tcPr>
            <w:tcW w:w="1275" w:type="dxa"/>
            <w:vMerge w:val="restart"/>
            <w:tcBorders>
              <w:top w:val="single" w:color="auto" w:sz="4" w:space="0"/>
              <w:left w:val="single" w:color="auto" w:sz="4" w:space="0"/>
              <w:right w:val="single" w:color="auto" w:sz="4" w:space="0"/>
            </w:tcBorders>
            <w:vAlign w:val="center"/>
          </w:tcPr>
          <w:p w14:paraId="01962D4A">
            <w:pPr>
              <w:pStyle w:val="48"/>
              <w:jc w:val="center"/>
              <w:rPr>
                <w:sz w:val="20"/>
                <w:szCs w:val="20"/>
              </w:rPr>
            </w:pPr>
            <w:r>
              <w:rPr>
                <w:rFonts w:hint="eastAsia"/>
                <w:sz w:val="20"/>
                <w:szCs w:val="20"/>
              </w:rPr>
              <w:t>否</w:t>
            </w:r>
          </w:p>
        </w:tc>
        <w:tc>
          <w:tcPr>
            <w:tcW w:w="1679" w:type="dxa"/>
            <w:tcBorders>
              <w:top w:val="single" w:color="auto" w:sz="4" w:space="0"/>
              <w:left w:val="single" w:color="auto" w:sz="4" w:space="0"/>
              <w:bottom w:val="single" w:color="auto" w:sz="4" w:space="0"/>
              <w:right w:val="single" w:color="auto" w:sz="4" w:space="0"/>
            </w:tcBorders>
            <w:vAlign w:val="center"/>
          </w:tcPr>
          <w:p w14:paraId="7C04D7CD">
            <w:pPr>
              <w:jc w:val="right"/>
              <w:rPr>
                <w:rFonts w:ascii="Calibri" w:hAnsi="Calibri"/>
                <w:sz w:val="20"/>
                <w:szCs w:val="20"/>
              </w:rPr>
            </w:pPr>
            <w:r>
              <w:rPr>
                <w:rFonts w:ascii="Calibri" w:hAnsi="Calibri"/>
                <w:sz w:val="20"/>
                <w:szCs w:val="20"/>
              </w:rPr>
              <w:t>629,578.08</w:t>
            </w:r>
          </w:p>
        </w:tc>
      </w:tr>
      <w:tr w14:paraId="2C1835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56" w:type="dxa"/>
            <w:tcBorders>
              <w:top w:val="single" w:color="auto" w:sz="4" w:space="0"/>
              <w:left w:val="single" w:color="auto" w:sz="4" w:space="0"/>
              <w:bottom w:val="single" w:color="auto" w:sz="4" w:space="0"/>
              <w:right w:val="single" w:color="auto" w:sz="4" w:space="0"/>
            </w:tcBorders>
            <w:vAlign w:val="center"/>
          </w:tcPr>
          <w:p w14:paraId="42D96AC9">
            <w:pPr>
              <w:pStyle w:val="48"/>
              <w:rPr>
                <w:sz w:val="20"/>
                <w:szCs w:val="20"/>
              </w:rPr>
            </w:pPr>
            <w:r>
              <w:rPr>
                <w:sz w:val="20"/>
                <w:szCs w:val="20"/>
              </w:rPr>
              <w:t>通化丽景建国饭店有限公司</w:t>
            </w:r>
          </w:p>
        </w:tc>
        <w:tc>
          <w:tcPr>
            <w:tcW w:w="1447" w:type="dxa"/>
            <w:tcBorders>
              <w:top w:val="single" w:color="auto" w:sz="4" w:space="0"/>
              <w:left w:val="single" w:color="auto" w:sz="4" w:space="0"/>
              <w:bottom w:val="single" w:color="auto" w:sz="4" w:space="0"/>
              <w:right w:val="single" w:color="auto" w:sz="4" w:space="0"/>
            </w:tcBorders>
            <w:vAlign w:val="center"/>
          </w:tcPr>
          <w:p w14:paraId="59C91DE2">
            <w:pPr>
              <w:pStyle w:val="48"/>
              <w:rPr>
                <w:sz w:val="20"/>
                <w:szCs w:val="20"/>
              </w:rPr>
            </w:pPr>
            <w:r>
              <w:rPr>
                <w:sz w:val="20"/>
                <w:szCs w:val="20"/>
              </w:rPr>
              <w:t>接受酒店服务</w:t>
            </w:r>
          </w:p>
        </w:tc>
        <w:tc>
          <w:tcPr>
            <w:tcW w:w="1529" w:type="dxa"/>
            <w:tcBorders>
              <w:top w:val="single" w:color="auto" w:sz="4" w:space="0"/>
              <w:left w:val="single" w:color="auto" w:sz="4" w:space="0"/>
              <w:bottom w:val="single" w:color="auto" w:sz="4" w:space="0"/>
              <w:right w:val="single" w:color="auto" w:sz="4" w:space="0"/>
            </w:tcBorders>
            <w:vAlign w:val="center"/>
          </w:tcPr>
          <w:p w14:paraId="0C50E0D4">
            <w:pPr>
              <w:jc w:val="right"/>
              <w:rPr>
                <w:rFonts w:ascii="Calibri" w:hAnsi="Calibri"/>
                <w:sz w:val="20"/>
                <w:szCs w:val="20"/>
              </w:rPr>
            </w:pPr>
            <w:r>
              <w:rPr>
                <w:rFonts w:ascii="Calibri" w:hAnsi="Calibri"/>
                <w:sz w:val="20"/>
                <w:szCs w:val="20"/>
              </w:rPr>
              <w:t>462,478.50</w:t>
            </w:r>
          </w:p>
        </w:tc>
        <w:tc>
          <w:tcPr>
            <w:tcW w:w="1590" w:type="dxa"/>
            <w:vMerge w:val="continue"/>
            <w:tcBorders>
              <w:left w:val="single" w:color="auto" w:sz="4" w:space="0"/>
              <w:right w:val="single" w:color="auto" w:sz="4" w:space="0"/>
            </w:tcBorders>
            <w:vAlign w:val="center"/>
          </w:tcPr>
          <w:p w14:paraId="6F5FC8EF">
            <w:pPr>
              <w:jc w:val="right"/>
              <w:rPr>
                <w:rFonts w:ascii="Calibri" w:hAnsi="Calibri"/>
                <w:sz w:val="20"/>
                <w:szCs w:val="20"/>
              </w:rPr>
            </w:pPr>
          </w:p>
        </w:tc>
        <w:tc>
          <w:tcPr>
            <w:tcW w:w="1275" w:type="dxa"/>
            <w:vMerge w:val="continue"/>
            <w:tcBorders>
              <w:left w:val="single" w:color="auto" w:sz="4" w:space="0"/>
              <w:right w:val="single" w:color="auto" w:sz="4" w:space="0"/>
            </w:tcBorders>
            <w:vAlign w:val="center"/>
          </w:tcPr>
          <w:p w14:paraId="257A12A9">
            <w:pPr>
              <w:pStyle w:val="48"/>
              <w:jc w:val="center"/>
              <w:rPr>
                <w:sz w:val="20"/>
                <w:szCs w:val="20"/>
              </w:rPr>
            </w:pPr>
          </w:p>
        </w:tc>
        <w:tc>
          <w:tcPr>
            <w:tcW w:w="1679" w:type="dxa"/>
            <w:tcBorders>
              <w:top w:val="single" w:color="auto" w:sz="4" w:space="0"/>
              <w:left w:val="single" w:color="auto" w:sz="4" w:space="0"/>
              <w:bottom w:val="single" w:color="auto" w:sz="4" w:space="0"/>
              <w:right w:val="single" w:color="auto" w:sz="4" w:space="0"/>
            </w:tcBorders>
            <w:vAlign w:val="center"/>
          </w:tcPr>
          <w:p w14:paraId="72EC7307">
            <w:pPr>
              <w:jc w:val="right"/>
              <w:rPr>
                <w:rFonts w:ascii="Calibri" w:hAnsi="Calibri"/>
                <w:sz w:val="20"/>
                <w:szCs w:val="20"/>
              </w:rPr>
            </w:pPr>
            <w:r>
              <w:rPr>
                <w:rFonts w:ascii="Calibri" w:hAnsi="Calibri"/>
                <w:sz w:val="20"/>
                <w:szCs w:val="20"/>
              </w:rPr>
              <w:t>106,628.00</w:t>
            </w:r>
          </w:p>
        </w:tc>
      </w:tr>
      <w:tr w14:paraId="615F0C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56" w:type="dxa"/>
            <w:tcBorders>
              <w:top w:val="single" w:color="auto" w:sz="4" w:space="0"/>
              <w:left w:val="single" w:color="auto" w:sz="4" w:space="0"/>
              <w:bottom w:val="single" w:color="auto" w:sz="4" w:space="0"/>
              <w:right w:val="single" w:color="auto" w:sz="4" w:space="0"/>
            </w:tcBorders>
            <w:vAlign w:val="center"/>
          </w:tcPr>
          <w:p w14:paraId="34770B40">
            <w:pPr>
              <w:pStyle w:val="48"/>
              <w:rPr>
                <w:sz w:val="20"/>
                <w:szCs w:val="20"/>
              </w:rPr>
            </w:pPr>
            <w:r>
              <w:rPr>
                <w:sz w:val="20"/>
                <w:szCs w:val="20"/>
              </w:rPr>
              <w:t>通化东宝金弘基物业管理有限公司</w:t>
            </w:r>
          </w:p>
        </w:tc>
        <w:tc>
          <w:tcPr>
            <w:tcW w:w="1447" w:type="dxa"/>
            <w:tcBorders>
              <w:top w:val="single" w:color="auto" w:sz="4" w:space="0"/>
              <w:left w:val="single" w:color="auto" w:sz="4" w:space="0"/>
              <w:bottom w:val="single" w:color="auto" w:sz="4" w:space="0"/>
              <w:right w:val="single" w:color="auto" w:sz="4" w:space="0"/>
            </w:tcBorders>
            <w:vAlign w:val="center"/>
          </w:tcPr>
          <w:p w14:paraId="3E1A4621">
            <w:pPr>
              <w:pStyle w:val="48"/>
              <w:rPr>
                <w:sz w:val="20"/>
                <w:szCs w:val="20"/>
              </w:rPr>
            </w:pPr>
            <w:r>
              <w:rPr>
                <w:sz w:val="20"/>
                <w:szCs w:val="20"/>
              </w:rPr>
              <w:t>接受物业服务</w:t>
            </w:r>
          </w:p>
        </w:tc>
        <w:tc>
          <w:tcPr>
            <w:tcW w:w="1529" w:type="dxa"/>
            <w:tcBorders>
              <w:top w:val="single" w:color="auto" w:sz="4" w:space="0"/>
              <w:left w:val="single" w:color="auto" w:sz="4" w:space="0"/>
              <w:bottom w:val="single" w:color="auto" w:sz="4" w:space="0"/>
              <w:right w:val="single" w:color="auto" w:sz="4" w:space="0"/>
            </w:tcBorders>
            <w:vAlign w:val="center"/>
          </w:tcPr>
          <w:p w14:paraId="420BCA85">
            <w:pPr>
              <w:jc w:val="right"/>
              <w:rPr>
                <w:rFonts w:ascii="Calibri" w:hAnsi="Calibri"/>
                <w:sz w:val="20"/>
                <w:szCs w:val="20"/>
              </w:rPr>
            </w:pPr>
            <w:r>
              <w:rPr>
                <w:rFonts w:ascii="Calibri" w:hAnsi="Calibri"/>
                <w:sz w:val="20"/>
                <w:szCs w:val="20"/>
              </w:rPr>
              <w:t>7,696.32</w:t>
            </w:r>
          </w:p>
        </w:tc>
        <w:tc>
          <w:tcPr>
            <w:tcW w:w="1590" w:type="dxa"/>
            <w:vMerge w:val="continue"/>
            <w:tcBorders>
              <w:left w:val="single" w:color="auto" w:sz="4" w:space="0"/>
              <w:bottom w:val="single" w:color="auto" w:sz="4" w:space="0"/>
              <w:right w:val="single" w:color="auto" w:sz="4" w:space="0"/>
            </w:tcBorders>
            <w:vAlign w:val="center"/>
          </w:tcPr>
          <w:p w14:paraId="37F1BE52">
            <w:pPr>
              <w:jc w:val="right"/>
              <w:rPr>
                <w:rFonts w:ascii="Calibri" w:hAnsi="Calibri"/>
                <w:sz w:val="20"/>
                <w:szCs w:val="20"/>
              </w:rPr>
            </w:pPr>
          </w:p>
        </w:tc>
        <w:tc>
          <w:tcPr>
            <w:tcW w:w="1275" w:type="dxa"/>
            <w:vMerge w:val="continue"/>
            <w:tcBorders>
              <w:left w:val="single" w:color="auto" w:sz="4" w:space="0"/>
              <w:bottom w:val="single" w:color="auto" w:sz="4" w:space="0"/>
              <w:right w:val="single" w:color="auto" w:sz="4" w:space="0"/>
            </w:tcBorders>
            <w:vAlign w:val="center"/>
          </w:tcPr>
          <w:p w14:paraId="7B7F8EC5">
            <w:pPr>
              <w:pStyle w:val="48"/>
              <w:jc w:val="center"/>
              <w:rPr>
                <w:sz w:val="20"/>
                <w:szCs w:val="20"/>
              </w:rPr>
            </w:pPr>
          </w:p>
        </w:tc>
        <w:tc>
          <w:tcPr>
            <w:tcW w:w="1679" w:type="dxa"/>
            <w:tcBorders>
              <w:top w:val="single" w:color="auto" w:sz="4" w:space="0"/>
              <w:left w:val="single" w:color="auto" w:sz="4" w:space="0"/>
              <w:bottom w:val="single" w:color="auto" w:sz="4" w:space="0"/>
              <w:right w:val="single" w:color="auto" w:sz="4" w:space="0"/>
            </w:tcBorders>
            <w:vAlign w:val="center"/>
          </w:tcPr>
          <w:p w14:paraId="2C34B893">
            <w:pPr>
              <w:jc w:val="right"/>
              <w:rPr>
                <w:rFonts w:ascii="Calibri" w:hAnsi="Calibri"/>
                <w:sz w:val="20"/>
                <w:szCs w:val="20"/>
              </w:rPr>
            </w:pPr>
          </w:p>
        </w:tc>
      </w:tr>
      <w:tr w14:paraId="7938B9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56" w:type="dxa"/>
            <w:tcBorders>
              <w:top w:val="single" w:color="auto" w:sz="4" w:space="0"/>
              <w:left w:val="single" w:color="auto" w:sz="4" w:space="0"/>
              <w:bottom w:val="single" w:color="auto" w:sz="4" w:space="0"/>
              <w:right w:val="single" w:color="auto" w:sz="4" w:space="0"/>
            </w:tcBorders>
            <w:vAlign w:val="center"/>
          </w:tcPr>
          <w:p w14:paraId="423F3638">
            <w:pPr>
              <w:pStyle w:val="48"/>
              <w:rPr>
                <w:sz w:val="20"/>
                <w:szCs w:val="20"/>
              </w:rPr>
            </w:pPr>
            <w:r>
              <w:rPr>
                <w:sz w:val="20"/>
                <w:szCs w:val="20"/>
              </w:rPr>
              <w:t>通化丽景能源热力有限公司</w:t>
            </w:r>
          </w:p>
        </w:tc>
        <w:tc>
          <w:tcPr>
            <w:tcW w:w="1447" w:type="dxa"/>
            <w:tcBorders>
              <w:top w:val="single" w:color="auto" w:sz="4" w:space="0"/>
              <w:left w:val="single" w:color="auto" w:sz="4" w:space="0"/>
              <w:bottom w:val="single" w:color="auto" w:sz="4" w:space="0"/>
              <w:right w:val="single" w:color="auto" w:sz="4" w:space="0"/>
            </w:tcBorders>
            <w:vAlign w:val="center"/>
          </w:tcPr>
          <w:p w14:paraId="066B49E2">
            <w:pPr>
              <w:pStyle w:val="48"/>
              <w:rPr>
                <w:sz w:val="20"/>
                <w:szCs w:val="20"/>
              </w:rPr>
            </w:pPr>
            <w:r>
              <w:rPr>
                <w:sz w:val="20"/>
                <w:szCs w:val="20"/>
              </w:rPr>
              <w:t>接受劳务/取暖费</w:t>
            </w:r>
          </w:p>
        </w:tc>
        <w:tc>
          <w:tcPr>
            <w:tcW w:w="1529" w:type="dxa"/>
            <w:tcBorders>
              <w:top w:val="single" w:color="auto" w:sz="4" w:space="0"/>
              <w:left w:val="single" w:color="auto" w:sz="4" w:space="0"/>
              <w:bottom w:val="single" w:color="auto" w:sz="4" w:space="0"/>
              <w:right w:val="single" w:color="auto" w:sz="4" w:space="0"/>
            </w:tcBorders>
            <w:vAlign w:val="center"/>
          </w:tcPr>
          <w:p w14:paraId="04E09A7E">
            <w:pPr>
              <w:jc w:val="right"/>
              <w:rPr>
                <w:rFonts w:ascii="Calibri" w:hAnsi="Calibri"/>
                <w:sz w:val="20"/>
                <w:szCs w:val="20"/>
              </w:rPr>
            </w:pPr>
            <w:r>
              <w:rPr>
                <w:rFonts w:ascii="Calibri" w:hAnsi="Calibri"/>
                <w:sz w:val="20"/>
                <w:szCs w:val="20"/>
              </w:rPr>
              <w:t>742,086.37</w:t>
            </w:r>
          </w:p>
        </w:tc>
        <w:tc>
          <w:tcPr>
            <w:tcW w:w="1590" w:type="dxa"/>
            <w:tcBorders>
              <w:top w:val="single" w:color="auto" w:sz="4" w:space="0"/>
              <w:left w:val="single" w:color="auto" w:sz="4" w:space="0"/>
              <w:bottom w:val="single" w:color="auto" w:sz="4" w:space="0"/>
              <w:right w:val="single" w:color="auto" w:sz="4" w:space="0"/>
            </w:tcBorders>
            <w:vAlign w:val="center"/>
          </w:tcPr>
          <w:p w14:paraId="5E88D9DA">
            <w:pPr>
              <w:jc w:val="right"/>
              <w:rPr>
                <w:rFonts w:ascii="Calibri" w:hAnsi="Calibri"/>
                <w:sz w:val="20"/>
                <w:szCs w:val="20"/>
              </w:rPr>
            </w:pPr>
            <w:r>
              <w:rPr>
                <w:rFonts w:ascii="Calibri" w:hAnsi="Calibri"/>
                <w:sz w:val="20"/>
                <w:szCs w:val="20"/>
              </w:rPr>
              <w:t>800,000.00</w:t>
            </w:r>
          </w:p>
        </w:tc>
        <w:tc>
          <w:tcPr>
            <w:tcW w:w="1275" w:type="dxa"/>
            <w:tcBorders>
              <w:top w:val="single" w:color="auto" w:sz="4" w:space="0"/>
              <w:left w:val="single" w:color="auto" w:sz="4" w:space="0"/>
              <w:bottom w:val="single" w:color="auto" w:sz="4" w:space="0"/>
              <w:right w:val="single" w:color="auto" w:sz="4" w:space="0"/>
            </w:tcBorders>
            <w:vAlign w:val="center"/>
          </w:tcPr>
          <w:p w14:paraId="61EC2880">
            <w:pPr>
              <w:pStyle w:val="48"/>
              <w:jc w:val="center"/>
              <w:rPr>
                <w:sz w:val="20"/>
                <w:szCs w:val="20"/>
              </w:rPr>
            </w:pPr>
            <w:r>
              <w:rPr>
                <w:rFonts w:hint="eastAsia"/>
                <w:sz w:val="20"/>
                <w:szCs w:val="20"/>
              </w:rPr>
              <w:t>否</w:t>
            </w:r>
          </w:p>
        </w:tc>
        <w:tc>
          <w:tcPr>
            <w:tcW w:w="1679" w:type="dxa"/>
            <w:tcBorders>
              <w:top w:val="single" w:color="auto" w:sz="4" w:space="0"/>
              <w:left w:val="single" w:color="auto" w:sz="4" w:space="0"/>
              <w:bottom w:val="single" w:color="auto" w:sz="4" w:space="0"/>
              <w:right w:val="single" w:color="auto" w:sz="4" w:space="0"/>
            </w:tcBorders>
            <w:vAlign w:val="center"/>
          </w:tcPr>
          <w:p w14:paraId="25B337DB">
            <w:pPr>
              <w:jc w:val="right"/>
              <w:rPr>
                <w:rFonts w:ascii="Calibri" w:hAnsi="Calibri"/>
                <w:sz w:val="20"/>
                <w:szCs w:val="20"/>
              </w:rPr>
            </w:pPr>
            <w:r>
              <w:rPr>
                <w:rFonts w:ascii="Calibri" w:hAnsi="Calibri"/>
                <w:sz w:val="20"/>
                <w:szCs w:val="20"/>
              </w:rPr>
              <w:t>694,043.44</w:t>
            </w:r>
          </w:p>
        </w:tc>
      </w:tr>
      <w:tr w14:paraId="140B35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12" w:hRule="atLeast"/>
        </w:trPr>
        <w:tc>
          <w:tcPr>
            <w:tcW w:w="1956" w:type="dxa"/>
            <w:vMerge w:val="restart"/>
            <w:tcBorders>
              <w:top w:val="single" w:color="auto" w:sz="4" w:space="0"/>
              <w:left w:val="single" w:color="auto" w:sz="4" w:space="0"/>
              <w:right w:val="single" w:color="auto" w:sz="4" w:space="0"/>
            </w:tcBorders>
            <w:vAlign w:val="center"/>
          </w:tcPr>
          <w:p w14:paraId="7418E7AD">
            <w:pPr>
              <w:pStyle w:val="48"/>
              <w:rPr>
                <w:sz w:val="20"/>
                <w:szCs w:val="20"/>
              </w:rPr>
            </w:pPr>
            <w:r>
              <w:rPr>
                <w:sz w:val="20"/>
                <w:szCs w:val="20"/>
              </w:rPr>
              <w:t>通化鸿宝药业有限公司</w:t>
            </w:r>
          </w:p>
        </w:tc>
        <w:tc>
          <w:tcPr>
            <w:tcW w:w="1447" w:type="dxa"/>
            <w:tcBorders>
              <w:top w:val="single" w:color="auto" w:sz="4" w:space="0"/>
              <w:left w:val="single" w:color="auto" w:sz="4" w:space="0"/>
              <w:bottom w:val="single" w:color="auto" w:sz="4" w:space="0"/>
              <w:right w:val="single" w:color="auto" w:sz="4" w:space="0"/>
            </w:tcBorders>
            <w:vAlign w:val="center"/>
          </w:tcPr>
          <w:p w14:paraId="5E40746F">
            <w:pPr>
              <w:pStyle w:val="48"/>
              <w:rPr>
                <w:sz w:val="20"/>
                <w:szCs w:val="20"/>
              </w:rPr>
            </w:pPr>
            <w:r>
              <w:rPr>
                <w:sz w:val="20"/>
                <w:szCs w:val="20"/>
              </w:rPr>
              <w:t>委托加工服务</w:t>
            </w:r>
          </w:p>
        </w:tc>
        <w:tc>
          <w:tcPr>
            <w:tcW w:w="1529" w:type="dxa"/>
            <w:tcBorders>
              <w:top w:val="single" w:color="auto" w:sz="4" w:space="0"/>
              <w:left w:val="single" w:color="auto" w:sz="4" w:space="0"/>
              <w:bottom w:val="single" w:color="auto" w:sz="4" w:space="0"/>
              <w:right w:val="single" w:color="auto" w:sz="4" w:space="0"/>
            </w:tcBorders>
            <w:vAlign w:val="center"/>
          </w:tcPr>
          <w:p w14:paraId="49267597">
            <w:pPr>
              <w:jc w:val="right"/>
              <w:rPr>
                <w:rFonts w:ascii="Calibri" w:hAnsi="Calibri"/>
                <w:sz w:val="20"/>
                <w:szCs w:val="20"/>
              </w:rPr>
            </w:pPr>
            <w:r>
              <w:rPr>
                <w:rFonts w:ascii="Calibri" w:hAnsi="Calibri"/>
                <w:sz w:val="20"/>
                <w:szCs w:val="20"/>
              </w:rPr>
              <w:t>56,340.00</w:t>
            </w:r>
          </w:p>
        </w:tc>
        <w:tc>
          <w:tcPr>
            <w:tcW w:w="1590" w:type="dxa"/>
            <w:vMerge w:val="restart"/>
            <w:tcBorders>
              <w:top w:val="single" w:color="auto" w:sz="4" w:space="0"/>
              <w:left w:val="single" w:color="auto" w:sz="4" w:space="0"/>
              <w:right w:val="single" w:color="auto" w:sz="4" w:space="0"/>
            </w:tcBorders>
            <w:vAlign w:val="center"/>
          </w:tcPr>
          <w:p w14:paraId="7E75D2AC">
            <w:pPr>
              <w:jc w:val="right"/>
              <w:rPr>
                <w:rFonts w:ascii="Calibri" w:hAnsi="Calibri"/>
                <w:sz w:val="20"/>
                <w:szCs w:val="20"/>
              </w:rPr>
            </w:pPr>
            <w:r>
              <w:rPr>
                <w:rFonts w:ascii="Calibri" w:hAnsi="Calibri"/>
                <w:sz w:val="20"/>
                <w:szCs w:val="20"/>
              </w:rPr>
              <w:t>150,000.00</w:t>
            </w:r>
          </w:p>
        </w:tc>
        <w:tc>
          <w:tcPr>
            <w:tcW w:w="1275" w:type="dxa"/>
            <w:vMerge w:val="restart"/>
            <w:tcBorders>
              <w:top w:val="single" w:color="auto" w:sz="4" w:space="0"/>
              <w:left w:val="single" w:color="auto" w:sz="4" w:space="0"/>
              <w:right w:val="single" w:color="auto" w:sz="4" w:space="0"/>
            </w:tcBorders>
            <w:vAlign w:val="center"/>
          </w:tcPr>
          <w:p w14:paraId="6B035D3C">
            <w:pPr>
              <w:pStyle w:val="48"/>
              <w:jc w:val="center"/>
              <w:rPr>
                <w:sz w:val="20"/>
                <w:szCs w:val="20"/>
              </w:rPr>
            </w:pPr>
            <w:r>
              <w:rPr>
                <w:rFonts w:hint="eastAsia"/>
                <w:sz w:val="20"/>
                <w:szCs w:val="20"/>
              </w:rPr>
              <w:t>否</w:t>
            </w:r>
          </w:p>
        </w:tc>
        <w:tc>
          <w:tcPr>
            <w:tcW w:w="1679" w:type="dxa"/>
            <w:vMerge w:val="restart"/>
            <w:tcBorders>
              <w:top w:val="single" w:color="auto" w:sz="4" w:space="0"/>
              <w:left w:val="single" w:color="auto" w:sz="4" w:space="0"/>
              <w:right w:val="single" w:color="auto" w:sz="4" w:space="0"/>
            </w:tcBorders>
            <w:vAlign w:val="center"/>
          </w:tcPr>
          <w:p w14:paraId="2A2E4762">
            <w:pPr>
              <w:jc w:val="right"/>
              <w:rPr>
                <w:rFonts w:ascii="Calibri" w:hAnsi="Calibri"/>
                <w:sz w:val="20"/>
                <w:szCs w:val="20"/>
              </w:rPr>
            </w:pPr>
          </w:p>
        </w:tc>
      </w:tr>
      <w:tr w14:paraId="0E8E1C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56" w:type="dxa"/>
            <w:vMerge w:val="continue"/>
            <w:tcBorders>
              <w:left w:val="single" w:color="auto" w:sz="4" w:space="0"/>
              <w:bottom w:val="single" w:color="auto" w:sz="4" w:space="0"/>
              <w:right w:val="single" w:color="auto" w:sz="4" w:space="0"/>
            </w:tcBorders>
            <w:vAlign w:val="center"/>
          </w:tcPr>
          <w:p w14:paraId="4FF2DBB0">
            <w:pPr>
              <w:pStyle w:val="48"/>
              <w:rPr>
                <w:sz w:val="20"/>
                <w:szCs w:val="20"/>
              </w:rPr>
            </w:pPr>
          </w:p>
        </w:tc>
        <w:tc>
          <w:tcPr>
            <w:tcW w:w="1447" w:type="dxa"/>
            <w:tcBorders>
              <w:top w:val="single" w:color="auto" w:sz="4" w:space="0"/>
              <w:left w:val="single" w:color="auto" w:sz="4" w:space="0"/>
              <w:bottom w:val="single" w:color="auto" w:sz="4" w:space="0"/>
              <w:right w:val="single" w:color="auto" w:sz="4" w:space="0"/>
            </w:tcBorders>
            <w:vAlign w:val="center"/>
          </w:tcPr>
          <w:p w14:paraId="035F484E">
            <w:pPr>
              <w:pStyle w:val="48"/>
              <w:rPr>
                <w:sz w:val="20"/>
                <w:szCs w:val="20"/>
              </w:rPr>
            </w:pPr>
            <w:r>
              <w:rPr>
                <w:rFonts w:hint="eastAsia"/>
                <w:sz w:val="20"/>
                <w:szCs w:val="20"/>
              </w:rPr>
              <w:t>采购商品\接受服务</w:t>
            </w:r>
          </w:p>
        </w:tc>
        <w:tc>
          <w:tcPr>
            <w:tcW w:w="1529" w:type="dxa"/>
            <w:tcBorders>
              <w:top w:val="single" w:color="auto" w:sz="4" w:space="0"/>
              <w:left w:val="single" w:color="auto" w:sz="4" w:space="0"/>
              <w:bottom w:val="single" w:color="auto" w:sz="4" w:space="0"/>
              <w:right w:val="single" w:color="auto" w:sz="4" w:space="0"/>
            </w:tcBorders>
            <w:vAlign w:val="center"/>
          </w:tcPr>
          <w:p w14:paraId="29E246FD">
            <w:pPr>
              <w:jc w:val="right"/>
              <w:rPr>
                <w:rFonts w:ascii="Calibri" w:hAnsi="Calibri"/>
                <w:sz w:val="20"/>
                <w:szCs w:val="20"/>
              </w:rPr>
            </w:pPr>
            <w:r>
              <w:rPr>
                <w:rFonts w:ascii="Calibri" w:hAnsi="Calibri"/>
                <w:sz w:val="20"/>
                <w:szCs w:val="20"/>
              </w:rPr>
              <w:t>9,240.00</w:t>
            </w:r>
          </w:p>
        </w:tc>
        <w:tc>
          <w:tcPr>
            <w:tcW w:w="1590" w:type="dxa"/>
            <w:vMerge w:val="continue"/>
            <w:tcBorders>
              <w:left w:val="single" w:color="auto" w:sz="4" w:space="0"/>
              <w:bottom w:val="single" w:color="auto" w:sz="4" w:space="0"/>
              <w:right w:val="single" w:color="auto" w:sz="4" w:space="0"/>
            </w:tcBorders>
            <w:vAlign w:val="center"/>
          </w:tcPr>
          <w:p w14:paraId="41106C5F">
            <w:pPr>
              <w:jc w:val="right"/>
              <w:rPr>
                <w:rFonts w:ascii="Calibri" w:hAnsi="Calibri"/>
                <w:sz w:val="20"/>
                <w:szCs w:val="20"/>
              </w:rPr>
            </w:pPr>
          </w:p>
        </w:tc>
        <w:tc>
          <w:tcPr>
            <w:tcW w:w="1275" w:type="dxa"/>
            <w:vMerge w:val="continue"/>
            <w:tcBorders>
              <w:left w:val="single" w:color="auto" w:sz="4" w:space="0"/>
              <w:bottom w:val="single" w:color="auto" w:sz="4" w:space="0"/>
              <w:right w:val="single" w:color="auto" w:sz="4" w:space="0"/>
            </w:tcBorders>
            <w:vAlign w:val="center"/>
          </w:tcPr>
          <w:p w14:paraId="769A4389">
            <w:pPr>
              <w:pStyle w:val="48"/>
              <w:jc w:val="center"/>
              <w:rPr>
                <w:sz w:val="20"/>
                <w:szCs w:val="20"/>
              </w:rPr>
            </w:pPr>
          </w:p>
        </w:tc>
        <w:tc>
          <w:tcPr>
            <w:tcW w:w="1679" w:type="dxa"/>
            <w:vMerge w:val="continue"/>
            <w:tcBorders>
              <w:left w:val="single" w:color="auto" w:sz="4" w:space="0"/>
              <w:bottom w:val="single" w:color="auto" w:sz="4" w:space="0"/>
              <w:right w:val="single" w:color="auto" w:sz="4" w:space="0"/>
            </w:tcBorders>
            <w:vAlign w:val="center"/>
          </w:tcPr>
          <w:p w14:paraId="06A661FE">
            <w:pPr>
              <w:jc w:val="right"/>
              <w:rPr>
                <w:rFonts w:ascii="Calibri" w:hAnsi="Calibri"/>
                <w:sz w:val="20"/>
                <w:szCs w:val="20"/>
              </w:rPr>
            </w:pPr>
          </w:p>
        </w:tc>
      </w:tr>
      <w:tr w14:paraId="42C804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56" w:type="dxa"/>
            <w:tcBorders>
              <w:top w:val="single" w:color="auto" w:sz="4" w:space="0"/>
              <w:left w:val="single" w:color="auto" w:sz="4" w:space="0"/>
              <w:bottom w:val="single" w:color="auto" w:sz="4" w:space="0"/>
              <w:right w:val="single" w:color="auto" w:sz="4" w:space="0"/>
            </w:tcBorders>
            <w:vAlign w:val="center"/>
          </w:tcPr>
          <w:p w14:paraId="06F2E369">
            <w:pPr>
              <w:pStyle w:val="48"/>
              <w:jc w:val="center"/>
              <w:rPr>
                <w:sz w:val="20"/>
                <w:szCs w:val="20"/>
              </w:rPr>
            </w:pPr>
            <w:r>
              <w:rPr>
                <w:sz w:val="20"/>
                <w:szCs w:val="20"/>
              </w:rPr>
              <w:t>合计</w:t>
            </w:r>
          </w:p>
        </w:tc>
        <w:tc>
          <w:tcPr>
            <w:tcW w:w="1447" w:type="dxa"/>
            <w:tcBorders>
              <w:top w:val="single" w:color="auto" w:sz="4" w:space="0"/>
              <w:left w:val="single" w:color="auto" w:sz="4" w:space="0"/>
              <w:bottom w:val="single" w:color="auto" w:sz="4" w:space="0"/>
              <w:right w:val="single" w:color="auto" w:sz="4" w:space="0"/>
            </w:tcBorders>
            <w:vAlign w:val="center"/>
          </w:tcPr>
          <w:p w14:paraId="326D9F32">
            <w:pPr>
              <w:pStyle w:val="48"/>
              <w:rPr>
                <w:sz w:val="20"/>
                <w:szCs w:val="20"/>
              </w:rPr>
            </w:pPr>
          </w:p>
        </w:tc>
        <w:tc>
          <w:tcPr>
            <w:tcW w:w="1529" w:type="dxa"/>
            <w:tcBorders>
              <w:top w:val="single" w:color="auto" w:sz="4" w:space="0"/>
              <w:left w:val="single" w:color="auto" w:sz="4" w:space="0"/>
              <w:bottom w:val="single" w:color="auto" w:sz="4" w:space="0"/>
              <w:right w:val="single" w:color="auto" w:sz="4" w:space="0"/>
            </w:tcBorders>
            <w:vAlign w:val="center"/>
          </w:tcPr>
          <w:p w14:paraId="6AC50714">
            <w:pPr>
              <w:jc w:val="right"/>
              <w:rPr>
                <w:rFonts w:ascii="Calibri" w:hAnsi="Calibri"/>
                <w:sz w:val="20"/>
                <w:szCs w:val="20"/>
              </w:rPr>
            </w:pPr>
            <w:r>
              <w:rPr>
                <w:rFonts w:ascii="Calibri" w:hAnsi="Calibri"/>
                <w:sz w:val="20"/>
                <w:szCs w:val="20"/>
              </w:rPr>
              <w:t>45,332,350.22</w:t>
            </w:r>
          </w:p>
        </w:tc>
        <w:tc>
          <w:tcPr>
            <w:tcW w:w="1590" w:type="dxa"/>
            <w:tcBorders>
              <w:top w:val="single" w:color="auto" w:sz="4" w:space="0"/>
              <w:left w:val="single" w:color="auto" w:sz="4" w:space="0"/>
              <w:bottom w:val="single" w:color="auto" w:sz="4" w:space="0"/>
              <w:right w:val="single" w:color="auto" w:sz="4" w:space="0"/>
            </w:tcBorders>
            <w:vAlign w:val="center"/>
          </w:tcPr>
          <w:p w14:paraId="77F3BE11">
            <w:pPr>
              <w:jc w:val="right"/>
              <w:rPr>
                <w:rFonts w:ascii="Calibri" w:hAnsi="Calibri"/>
                <w:sz w:val="20"/>
                <w:szCs w:val="20"/>
              </w:rPr>
            </w:pPr>
            <w:r>
              <w:rPr>
                <w:rFonts w:ascii="Calibri" w:hAnsi="Calibri"/>
                <w:sz w:val="20"/>
                <w:szCs w:val="20"/>
              </w:rPr>
              <w:t>59,450,000.00</w:t>
            </w:r>
          </w:p>
        </w:tc>
        <w:tc>
          <w:tcPr>
            <w:tcW w:w="1275" w:type="dxa"/>
            <w:tcBorders>
              <w:top w:val="single" w:color="auto" w:sz="4" w:space="0"/>
              <w:left w:val="single" w:color="auto" w:sz="4" w:space="0"/>
              <w:bottom w:val="single" w:color="auto" w:sz="4" w:space="0"/>
              <w:right w:val="single" w:color="auto" w:sz="4" w:space="0"/>
            </w:tcBorders>
            <w:vAlign w:val="center"/>
          </w:tcPr>
          <w:p w14:paraId="370E2C97">
            <w:pPr>
              <w:pStyle w:val="48"/>
              <w:jc w:val="center"/>
              <w:rPr>
                <w:sz w:val="20"/>
                <w:szCs w:val="20"/>
              </w:rPr>
            </w:pPr>
          </w:p>
        </w:tc>
        <w:tc>
          <w:tcPr>
            <w:tcW w:w="1679" w:type="dxa"/>
            <w:tcBorders>
              <w:top w:val="single" w:color="auto" w:sz="4" w:space="0"/>
              <w:left w:val="single" w:color="auto" w:sz="4" w:space="0"/>
              <w:bottom w:val="single" w:color="auto" w:sz="4" w:space="0"/>
              <w:right w:val="single" w:color="auto" w:sz="4" w:space="0"/>
            </w:tcBorders>
            <w:vAlign w:val="center"/>
          </w:tcPr>
          <w:p w14:paraId="74E7CB6F">
            <w:pPr>
              <w:jc w:val="right"/>
              <w:rPr>
                <w:rFonts w:ascii="Calibri" w:hAnsi="Calibri"/>
                <w:sz w:val="20"/>
                <w:szCs w:val="20"/>
              </w:rPr>
            </w:pPr>
            <w:r>
              <w:rPr>
                <w:rFonts w:ascii="Calibri" w:hAnsi="Calibri"/>
                <w:sz w:val="20"/>
                <w:szCs w:val="20"/>
              </w:rPr>
              <w:t>40,551,247.47</w:t>
            </w:r>
          </w:p>
        </w:tc>
      </w:tr>
    </w:tbl>
    <w:p w14:paraId="1A26AC33">
      <w:pPr>
        <w:spacing w:line="360" w:lineRule="auto"/>
        <w:ind w:firstLine="420" w:firstLineChars="200"/>
        <w:jc w:val="both"/>
      </w:pPr>
      <w:r>
        <w:rPr>
          <w:rFonts w:hint="eastAsia"/>
        </w:rPr>
        <w:t>注:上述支付给东宝实业集团股份有限公司的借款利息470,712.33元，为控股子公司上海隆棵药业有限公司向其资金拆借支付的利息费用。</w:t>
      </w:r>
    </w:p>
    <w:p w14:paraId="3928A989">
      <w:pPr>
        <w:ind w:right="-775" w:rightChars="-369"/>
      </w:pPr>
      <w:r>
        <w:rPr>
          <w:rFonts w:hint="eastAsia"/>
        </w:rPr>
        <w:t>出售商品/提供劳务情况表</w:t>
      </w:r>
    </w:p>
    <w:sdt>
      <w:sdtPr>
        <w:alias w:val="是否适用：出售商品或提供劳务情况表[双击切换]"/>
        <w:tag w:val="_GBC_38804595ac014174a1f7bfa274a356d2"/>
        <w:id w:val="-21013997"/>
        <w:placeholder>
          <w:docPart w:val="GBC22222222222222222222222222222"/>
        </w:placeholder>
      </w:sdtPr>
      <w:sdtContent>
        <w:p w14:paraId="4D5B6819">
          <w:pPr>
            <w:ind w:right="-775" w:rightChars="-369"/>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07A33C8">
      <w:pPr>
        <w:tabs>
          <w:tab w:val="left" w:pos="3870"/>
        </w:tabs>
        <w:jc w:val="right"/>
        <w:rPr>
          <w:rFonts w:cs="Cambria"/>
        </w:rPr>
      </w:pPr>
      <w:r>
        <w:t>单位</w:t>
      </w:r>
      <w:r>
        <w:rPr>
          <w:rFonts w:hint="eastAsia"/>
        </w:rPr>
        <w:t>：</w:t>
      </w:r>
      <w:sdt>
        <w:sdtPr>
          <w:alias w:val="单位：出售商品提供劳务情况表"/>
          <w:tag w:val="_GBC_74429e932533428390da29c9e567c1c8"/>
          <w:id w:val="-2633839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币种：</w:t>
      </w:r>
      <w:sdt>
        <w:sdtPr>
          <w:alias w:val="币种：出售商品提供劳务情况表"/>
          <w:tag w:val="_GBC_4fc61a58f8e34c3c8024ea0b63c2bd2f"/>
          <w:id w:val="21125468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57"/>
        <w:tblW w:w="9326" w:type="dxa"/>
        <w:tblInd w:w="-28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79"/>
        <w:gridCol w:w="2191"/>
        <w:gridCol w:w="2227"/>
        <w:gridCol w:w="2229"/>
      </w:tblGrid>
      <w:tr w14:paraId="436D56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3" w:hRule="atLeast"/>
        </w:trPr>
        <w:sdt>
          <w:sdtPr>
            <w:tag w:val="_PLD_8f46d61b556c4e7e9874d48274581d06"/>
            <w:id w:val="98068850"/>
          </w:sdtPr>
          <w:sdtContent>
            <w:tc>
              <w:tcPr>
                <w:tcW w:w="2679" w:type="dxa"/>
                <w:tcBorders>
                  <w:top w:val="single" w:color="auto" w:sz="4" w:space="0"/>
                  <w:left w:val="single" w:color="auto" w:sz="4" w:space="0"/>
                  <w:bottom w:val="single" w:color="auto" w:sz="4" w:space="0"/>
                  <w:right w:val="single" w:color="auto" w:sz="4" w:space="0"/>
                </w:tcBorders>
                <w:vAlign w:val="center"/>
              </w:tcPr>
              <w:p w14:paraId="74B3A40A">
                <w:pPr>
                  <w:jc w:val="center"/>
                  <w:rPr>
                    <w:rFonts w:ascii="Calibri" w:hAnsi="Calibri" w:cs="Cambria"/>
                    <w:sz w:val="20"/>
                    <w:szCs w:val="20"/>
                  </w:rPr>
                </w:pPr>
                <w:r>
                  <w:rPr>
                    <w:rFonts w:hint="eastAsia" w:ascii="Calibri" w:hAnsi="Calibri" w:cs="Cambria"/>
                    <w:sz w:val="20"/>
                    <w:szCs w:val="20"/>
                  </w:rPr>
                  <w:t>关联方</w:t>
                </w:r>
              </w:p>
            </w:tc>
          </w:sdtContent>
        </w:sdt>
        <w:sdt>
          <w:sdtPr>
            <w:tag w:val="_PLD_86c6996d2c00443589b89411b2b4bde3"/>
            <w:id w:val="-1935273973"/>
          </w:sdtPr>
          <w:sdtContent>
            <w:tc>
              <w:tcPr>
                <w:tcW w:w="2191" w:type="dxa"/>
                <w:tcBorders>
                  <w:top w:val="single" w:color="auto" w:sz="4" w:space="0"/>
                  <w:left w:val="single" w:color="auto" w:sz="4" w:space="0"/>
                  <w:bottom w:val="single" w:color="auto" w:sz="4" w:space="0"/>
                  <w:right w:val="single" w:color="auto" w:sz="4" w:space="0"/>
                </w:tcBorders>
                <w:vAlign w:val="center"/>
              </w:tcPr>
              <w:p w14:paraId="462F23F5">
                <w:pPr>
                  <w:jc w:val="center"/>
                  <w:rPr>
                    <w:rFonts w:ascii="Calibri" w:hAnsi="Calibri" w:cs="Cambria"/>
                    <w:sz w:val="20"/>
                    <w:szCs w:val="20"/>
                  </w:rPr>
                </w:pPr>
                <w:r>
                  <w:rPr>
                    <w:rFonts w:hint="eastAsia" w:ascii="Calibri" w:hAnsi="Calibri" w:cs="Cambria"/>
                    <w:sz w:val="20"/>
                    <w:szCs w:val="20"/>
                  </w:rPr>
                  <w:t>关联交易内容</w:t>
                </w:r>
              </w:p>
            </w:tc>
          </w:sdtContent>
        </w:sdt>
        <w:sdt>
          <w:sdtPr>
            <w:tag w:val="_PLD_52688fb5000a4ccb8c43276d58764eb4"/>
            <w:id w:val="-954781142"/>
          </w:sdtPr>
          <w:sdtContent>
            <w:tc>
              <w:tcPr>
                <w:tcW w:w="2227" w:type="dxa"/>
                <w:tcBorders>
                  <w:top w:val="single" w:color="auto" w:sz="4" w:space="0"/>
                  <w:left w:val="single" w:color="auto" w:sz="4" w:space="0"/>
                  <w:right w:val="single" w:color="auto" w:sz="4" w:space="0"/>
                </w:tcBorders>
                <w:vAlign w:val="center"/>
              </w:tcPr>
              <w:p w14:paraId="4940EFA5">
                <w:pPr>
                  <w:jc w:val="center"/>
                  <w:rPr>
                    <w:rFonts w:ascii="Calibri" w:hAnsi="Calibri" w:cs="Cambria"/>
                    <w:sz w:val="20"/>
                    <w:szCs w:val="20"/>
                  </w:rPr>
                </w:pPr>
                <w:r>
                  <w:rPr>
                    <w:rFonts w:hint="eastAsia" w:ascii="Calibri" w:hAnsi="Calibri" w:cs="Cambria"/>
                    <w:sz w:val="20"/>
                    <w:szCs w:val="20"/>
                  </w:rPr>
                  <w:t>本期发生额</w:t>
                </w:r>
              </w:p>
            </w:tc>
          </w:sdtContent>
        </w:sdt>
        <w:sdt>
          <w:sdtPr>
            <w:tag w:val="_PLD_e0158fcec29a443ca9e08a44a2489407"/>
            <w:id w:val="-920169031"/>
          </w:sdtPr>
          <w:sdtContent>
            <w:tc>
              <w:tcPr>
                <w:tcW w:w="2229" w:type="dxa"/>
                <w:tcBorders>
                  <w:top w:val="single" w:color="auto" w:sz="4" w:space="0"/>
                  <w:left w:val="single" w:color="auto" w:sz="4" w:space="0"/>
                  <w:right w:val="single" w:color="auto" w:sz="4" w:space="0"/>
                </w:tcBorders>
                <w:vAlign w:val="center"/>
              </w:tcPr>
              <w:p w14:paraId="50C8C456">
                <w:pPr>
                  <w:jc w:val="center"/>
                  <w:rPr>
                    <w:rFonts w:ascii="Calibri" w:hAnsi="Calibri" w:cs="Cambria"/>
                    <w:sz w:val="20"/>
                    <w:szCs w:val="20"/>
                  </w:rPr>
                </w:pPr>
                <w:r>
                  <w:rPr>
                    <w:rFonts w:hint="eastAsia" w:ascii="Calibri" w:hAnsi="Calibri" w:cs="Cambria"/>
                    <w:sz w:val="20"/>
                    <w:szCs w:val="20"/>
                  </w:rPr>
                  <w:t>上期发生额</w:t>
                </w:r>
              </w:p>
            </w:tc>
          </w:sdtContent>
        </w:sdt>
      </w:tr>
      <w:tr w14:paraId="72F3F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679" w:type="dxa"/>
            <w:tcBorders>
              <w:top w:val="single" w:color="auto" w:sz="4" w:space="0"/>
              <w:left w:val="single" w:color="auto" w:sz="4" w:space="0"/>
              <w:bottom w:val="single" w:color="auto" w:sz="4" w:space="0"/>
              <w:right w:val="single" w:color="auto" w:sz="4" w:space="0"/>
            </w:tcBorders>
            <w:vAlign w:val="center"/>
          </w:tcPr>
          <w:p w14:paraId="19F328CA">
            <w:pPr>
              <w:pStyle w:val="48"/>
              <w:rPr>
                <w:sz w:val="20"/>
                <w:szCs w:val="20"/>
              </w:rPr>
            </w:pPr>
            <w:r>
              <w:rPr>
                <w:sz w:val="20"/>
                <w:szCs w:val="20"/>
              </w:rPr>
              <w:t>吉林恒德环保有限公司</w:t>
            </w:r>
          </w:p>
        </w:tc>
        <w:tc>
          <w:tcPr>
            <w:tcW w:w="2191" w:type="dxa"/>
            <w:tcBorders>
              <w:top w:val="single" w:color="auto" w:sz="4" w:space="0"/>
              <w:left w:val="single" w:color="auto" w:sz="4" w:space="0"/>
              <w:bottom w:val="single" w:color="auto" w:sz="4" w:space="0"/>
              <w:right w:val="single" w:color="auto" w:sz="4" w:space="0"/>
            </w:tcBorders>
            <w:vAlign w:val="center"/>
          </w:tcPr>
          <w:p w14:paraId="22F1014D">
            <w:pPr>
              <w:pStyle w:val="48"/>
              <w:rPr>
                <w:sz w:val="20"/>
                <w:szCs w:val="20"/>
              </w:rPr>
            </w:pPr>
            <w:r>
              <w:rPr>
                <w:sz w:val="20"/>
                <w:szCs w:val="20"/>
              </w:rPr>
              <w:t>销售蒸汽</w:t>
            </w:r>
          </w:p>
        </w:tc>
        <w:tc>
          <w:tcPr>
            <w:tcW w:w="2227" w:type="dxa"/>
            <w:tcBorders>
              <w:top w:val="single" w:color="auto" w:sz="4" w:space="0"/>
              <w:left w:val="single" w:color="auto" w:sz="4" w:space="0"/>
              <w:bottom w:val="single" w:color="auto" w:sz="4" w:space="0"/>
              <w:right w:val="single" w:color="auto" w:sz="4" w:space="0"/>
            </w:tcBorders>
            <w:vAlign w:val="center"/>
          </w:tcPr>
          <w:p w14:paraId="76A91728">
            <w:pPr>
              <w:jc w:val="right"/>
              <w:rPr>
                <w:rFonts w:ascii="Calibri" w:hAnsi="Calibri"/>
                <w:sz w:val="20"/>
                <w:szCs w:val="20"/>
              </w:rPr>
            </w:pPr>
            <w:r>
              <w:rPr>
                <w:rFonts w:ascii="Calibri" w:hAnsi="Calibri"/>
                <w:sz w:val="20"/>
                <w:szCs w:val="20"/>
              </w:rPr>
              <w:t>3,819,019.16</w:t>
            </w:r>
          </w:p>
        </w:tc>
        <w:tc>
          <w:tcPr>
            <w:tcW w:w="2229" w:type="dxa"/>
            <w:tcBorders>
              <w:top w:val="single" w:color="auto" w:sz="4" w:space="0"/>
              <w:left w:val="single" w:color="auto" w:sz="4" w:space="0"/>
              <w:bottom w:val="single" w:color="auto" w:sz="4" w:space="0"/>
              <w:right w:val="single" w:color="auto" w:sz="4" w:space="0"/>
            </w:tcBorders>
            <w:vAlign w:val="center"/>
          </w:tcPr>
          <w:p w14:paraId="24800ABD">
            <w:pPr>
              <w:jc w:val="right"/>
              <w:rPr>
                <w:rFonts w:ascii="Calibri" w:hAnsi="Calibri"/>
                <w:sz w:val="20"/>
                <w:szCs w:val="20"/>
              </w:rPr>
            </w:pPr>
            <w:r>
              <w:rPr>
                <w:rFonts w:ascii="Calibri" w:hAnsi="Calibri"/>
                <w:sz w:val="20"/>
                <w:szCs w:val="20"/>
              </w:rPr>
              <w:t>1,910,167.23</w:t>
            </w:r>
          </w:p>
        </w:tc>
      </w:tr>
      <w:tr w14:paraId="0EFEB4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679" w:type="dxa"/>
            <w:tcBorders>
              <w:top w:val="single" w:color="auto" w:sz="4" w:space="0"/>
              <w:left w:val="single" w:color="auto" w:sz="4" w:space="0"/>
              <w:bottom w:val="single" w:color="auto" w:sz="4" w:space="0"/>
              <w:right w:val="single" w:color="auto" w:sz="4" w:space="0"/>
            </w:tcBorders>
            <w:vAlign w:val="center"/>
          </w:tcPr>
          <w:p w14:paraId="17FF66DF">
            <w:pPr>
              <w:pStyle w:val="48"/>
              <w:rPr>
                <w:sz w:val="20"/>
                <w:szCs w:val="20"/>
              </w:rPr>
            </w:pPr>
            <w:r>
              <w:rPr>
                <w:sz w:val="20"/>
                <w:szCs w:val="20"/>
              </w:rPr>
              <w:t>吉林恒德环保有限公司</w:t>
            </w:r>
          </w:p>
        </w:tc>
        <w:tc>
          <w:tcPr>
            <w:tcW w:w="2191" w:type="dxa"/>
            <w:tcBorders>
              <w:top w:val="single" w:color="auto" w:sz="4" w:space="0"/>
              <w:left w:val="single" w:color="auto" w:sz="4" w:space="0"/>
              <w:bottom w:val="single" w:color="auto" w:sz="4" w:space="0"/>
              <w:right w:val="single" w:color="auto" w:sz="4" w:space="0"/>
            </w:tcBorders>
            <w:vAlign w:val="center"/>
          </w:tcPr>
          <w:p w14:paraId="1BCC443E">
            <w:pPr>
              <w:pStyle w:val="48"/>
              <w:rPr>
                <w:sz w:val="20"/>
                <w:szCs w:val="20"/>
              </w:rPr>
            </w:pPr>
            <w:r>
              <w:rPr>
                <w:sz w:val="20"/>
                <w:szCs w:val="20"/>
              </w:rPr>
              <w:t>销售电力</w:t>
            </w:r>
          </w:p>
        </w:tc>
        <w:tc>
          <w:tcPr>
            <w:tcW w:w="2227" w:type="dxa"/>
            <w:tcBorders>
              <w:top w:val="single" w:color="auto" w:sz="4" w:space="0"/>
              <w:left w:val="single" w:color="auto" w:sz="4" w:space="0"/>
              <w:bottom w:val="single" w:color="auto" w:sz="4" w:space="0"/>
              <w:right w:val="single" w:color="auto" w:sz="4" w:space="0"/>
            </w:tcBorders>
            <w:vAlign w:val="center"/>
          </w:tcPr>
          <w:p w14:paraId="60489DD7">
            <w:pPr>
              <w:jc w:val="right"/>
              <w:rPr>
                <w:rFonts w:ascii="Calibri" w:hAnsi="Calibri"/>
                <w:sz w:val="20"/>
                <w:szCs w:val="20"/>
              </w:rPr>
            </w:pPr>
            <w:r>
              <w:rPr>
                <w:rFonts w:ascii="Calibri" w:hAnsi="Calibri"/>
                <w:sz w:val="20"/>
                <w:szCs w:val="20"/>
              </w:rPr>
              <w:t>2,592,537.38</w:t>
            </w:r>
          </w:p>
        </w:tc>
        <w:tc>
          <w:tcPr>
            <w:tcW w:w="2229" w:type="dxa"/>
            <w:tcBorders>
              <w:top w:val="single" w:color="auto" w:sz="4" w:space="0"/>
              <w:left w:val="single" w:color="auto" w:sz="4" w:space="0"/>
              <w:bottom w:val="single" w:color="auto" w:sz="4" w:space="0"/>
              <w:right w:val="single" w:color="auto" w:sz="4" w:space="0"/>
            </w:tcBorders>
            <w:vAlign w:val="center"/>
          </w:tcPr>
          <w:p w14:paraId="6C3D32B5">
            <w:pPr>
              <w:jc w:val="right"/>
              <w:rPr>
                <w:rFonts w:ascii="Calibri" w:hAnsi="Calibri"/>
                <w:sz w:val="20"/>
                <w:szCs w:val="20"/>
              </w:rPr>
            </w:pPr>
          </w:p>
        </w:tc>
      </w:tr>
      <w:tr w14:paraId="0615AC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679" w:type="dxa"/>
            <w:tcBorders>
              <w:top w:val="single" w:color="auto" w:sz="4" w:space="0"/>
              <w:left w:val="single" w:color="auto" w:sz="4" w:space="0"/>
              <w:bottom w:val="single" w:color="auto" w:sz="4" w:space="0"/>
              <w:right w:val="single" w:color="auto" w:sz="4" w:space="0"/>
            </w:tcBorders>
            <w:vAlign w:val="center"/>
          </w:tcPr>
          <w:p w14:paraId="5CBB3CC2">
            <w:pPr>
              <w:pStyle w:val="48"/>
              <w:rPr>
                <w:sz w:val="20"/>
                <w:szCs w:val="20"/>
              </w:rPr>
            </w:pPr>
            <w:r>
              <w:rPr>
                <w:sz w:val="20"/>
                <w:szCs w:val="20"/>
              </w:rPr>
              <w:t>君合盟生物制药（通化）有限公司</w:t>
            </w:r>
          </w:p>
        </w:tc>
        <w:tc>
          <w:tcPr>
            <w:tcW w:w="2191" w:type="dxa"/>
            <w:tcBorders>
              <w:top w:val="single" w:color="auto" w:sz="4" w:space="0"/>
              <w:left w:val="single" w:color="auto" w:sz="4" w:space="0"/>
              <w:bottom w:val="single" w:color="auto" w:sz="4" w:space="0"/>
              <w:right w:val="single" w:color="auto" w:sz="4" w:space="0"/>
            </w:tcBorders>
            <w:vAlign w:val="center"/>
          </w:tcPr>
          <w:p w14:paraId="4D6105FD">
            <w:pPr>
              <w:pStyle w:val="48"/>
              <w:rPr>
                <w:sz w:val="20"/>
                <w:szCs w:val="20"/>
              </w:rPr>
            </w:pPr>
            <w:r>
              <w:rPr>
                <w:sz w:val="20"/>
                <w:szCs w:val="20"/>
              </w:rPr>
              <w:t>销售蒸汽/电力</w:t>
            </w:r>
          </w:p>
        </w:tc>
        <w:tc>
          <w:tcPr>
            <w:tcW w:w="2227" w:type="dxa"/>
            <w:tcBorders>
              <w:top w:val="single" w:color="auto" w:sz="4" w:space="0"/>
              <w:left w:val="single" w:color="auto" w:sz="4" w:space="0"/>
              <w:bottom w:val="single" w:color="auto" w:sz="4" w:space="0"/>
              <w:right w:val="single" w:color="auto" w:sz="4" w:space="0"/>
            </w:tcBorders>
            <w:vAlign w:val="center"/>
          </w:tcPr>
          <w:p w14:paraId="6ED87519">
            <w:pPr>
              <w:jc w:val="right"/>
              <w:rPr>
                <w:rFonts w:ascii="Calibri" w:hAnsi="Calibri"/>
                <w:sz w:val="20"/>
                <w:szCs w:val="20"/>
              </w:rPr>
            </w:pPr>
            <w:r>
              <w:rPr>
                <w:rFonts w:ascii="Calibri" w:hAnsi="Calibri"/>
                <w:sz w:val="20"/>
                <w:szCs w:val="20"/>
              </w:rPr>
              <w:t>2,356,669.49</w:t>
            </w:r>
          </w:p>
        </w:tc>
        <w:tc>
          <w:tcPr>
            <w:tcW w:w="2229" w:type="dxa"/>
            <w:tcBorders>
              <w:top w:val="single" w:color="auto" w:sz="4" w:space="0"/>
              <w:left w:val="single" w:color="auto" w:sz="4" w:space="0"/>
              <w:bottom w:val="single" w:color="auto" w:sz="4" w:space="0"/>
              <w:right w:val="single" w:color="auto" w:sz="4" w:space="0"/>
            </w:tcBorders>
            <w:vAlign w:val="center"/>
          </w:tcPr>
          <w:p w14:paraId="7F05A67B">
            <w:pPr>
              <w:jc w:val="right"/>
              <w:rPr>
                <w:rFonts w:ascii="Calibri" w:hAnsi="Calibri"/>
                <w:sz w:val="20"/>
                <w:szCs w:val="20"/>
              </w:rPr>
            </w:pPr>
            <w:r>
              <w:rPr>
                <w:rFonts w:ascii="Calibri" w:hAnsi="Calibri"/>
                <w:sz w:val="20"/>
                <w:szCs w:val="20"/>
              </w:rPr>
              <w:t>154,005.00</w:t>
            </w:r>
          </w:p>
        </w:tc>
      </w:tr>
      <w:tr w14:paraId="347535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679" w:type="dxa"/>
            <w:tcBorders>
              <w:top w:val="single" w:color="auto" w:sz="4" w:space="0"/>
              <w:left w:val="single" w:color="auto" w:sz="4" w:space="0"/>
              <w:bottom w:val="single" w:color="auto" w:sz="4" w:space="0"/>
              <w:right w:val="single" w:color="auto" w:sz="4" w:space="0"/>
            </w:tcBorders>
            <w:vAlign w:val="center"/>
          </w:tcPr>
          <w:p w14:paraId="7F17EA5D">
            <w:pPr>
              <w:pStyle w:val="48"/>
              <w:rPr>
                <w:sz w:val="20"/>
                <w:szCs w:val="20"/>
              </w:rPr>
            </w:pPr>
            <w:r>
              <w:rPr>
                <w:sz w:val="20"/>
                <w:szCs w:val="20"/>
              </w:rPr>
              <w:t>通化东宝五药有限公司</w:t>
            </w:r>
          </w:p>
        </w:tc>
        <w:tc>
          <w:tcPr>
            <w:tcW w:w="2191" w:type="dxa"/>
            <w:tcBorders>
              <w:top w:val="single" w:color="auto" w:sz="4" w:space="0"/>
              <w:left w:val="single" w:color="auto" w:sz="4" w:space="0"/>
              <w:bottom w:val="single" w:color="auto" w:sz="4" w:space="0"/>
              <w:right w:val="single" w:color="auto" w:sz="4" w:space="0"/>
            </w:tcBorders>
            <w:vAlign w:val="center"/>
          </w:tcPr>
          <w:p w14:paraId="2D044853">
            <w:pPr>
              <w:pStyle w:val="48"/>
              <w:rPr>
                <w:sz w:val="20"/>
                <w:szCs w:val="20"/>
              </w:rPr>
            </w:pPr>
            <w:r>
              <w:rPr>
                <w:sz w:val="20"/>
                <w:szCs w:val="20"/>
              </w:rPr>
              <w:t>提供加工服务</w:t>
            </w:r>
          </w:p>
        </w:tc>
        <w:tc>
          <w:tcPr>
            <w:tcW w:w="2227" w:type="dxa"/>
            <w:tcBorders>
              <w:top w:val="single" w:color="auto" w:sz="4" w:space="0"/>
              <w:left w:val="single" w:color="auto" w:sz="4" w:space="0"/>
              <w:bottom w:val="single" w:color="auto" w:sz="4" w:space="0"/>
              <w:right w:val="single" w:color="auto" w:sz="4" w:space="0"/>
            </w:tcBorders>
            <w:vAlign w:val="center"/>
          </w:tcPr>
          <w:p w14:paraId="29AD96FE">
            <w:pPr>
              <w:jc w:val="right"/>
              <w:rPr>
                <w:rFonts w:ascii="Calibri" w:hAnsi="Calibri"/>
                <w:sz w:val="20"/>
                <w:szCs w:val="20"/>
              </w:rPr>
            </w:pPr>
            <w:r>
              <w:rPr>
                <w:rFonts w:ascii="Calibri" w:hAnsi="Calibri"/>
                <w:sz w:val="20"/>
                <w:szCs w:val="20"/>
              </w:rPr>
              <w:t>2,034,417.00</w:t>
            </w:r>
          </w:p>
        </w:tc>
        <w:tc>
          <w:tcPr>
            <w:tcW w:w="2229" w:type="dxa"/>
            <w:tcBorders>
              <w:top w:val="single" w:color="auto" w:sz="4" w:space="0"/>
              <w:left w:val="single" w:color="auto" w:sz="4" w:space="0"/>
              <w:bottom w:val="single" w:color="auto" w:sz="4" w:space="0"/>
              <w:right w:val="single" w:color="auto" w:sz="4" w:space="0"/>
            </w:tcBorders>
            <w:vAlign w:val="center"/>
          </w:tcPr>
          <w:p w14:paraId="6012648F">
            <w:pPr>
              <w:jc w:val="right"/>
              <w:rPr>
                <w:rFonts w:ascii="Calibri" w:hAnsi="Calibri"/>
                <w:sz w:val="20"/>
                <w:szCs w:val="20"/>
              </w:rPr>
            </w:pPr>
            <w:r>
              <w:rPr>
                <w:rFonts w:ascii="Calibri" w:hAnsi="Calibri"/>
                <w:sz w:val="20"/>
                <w:szCs w:val="20"/>
              </w:rPr>
              <w:t>469,380.53</w:t>
            </w:r>
          </w:p>
        </w:tc>
      </w:tr>
      <w:tr w14:paraId="6BD3F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679" w:type="dxa"/>
            <w:tcBorders>
              <w:top w:val="single" w:color="auto" w:sz="4" w:space="0"/>
              <w:left w:val="single" w:color="auto" w:sz="4" w:space="0"/>
              <w:bottom w:val="single" w:color="auto" w:sz="4" w:space="0"/>
              <w:right w:val="single" w:color="auto" w:sz="4" w:space="0"/>
            </w:tcBorders>
            <w:vAlign w:val="center"/>
          </w:tcPr>
          <w:p w14:paraId="0933B218">
            <w:pPr>
              <w:pStyle w:val="48"/>
              <w:rPr>
                <w:sz w:val="20"/>
                <w:szCs w:val="20"/>
              </w:rPr>
            </w:pPr>
            <w:r>
              <w:rPr>
                <w:sz w:val="20"/>
                <w:szCs w:val="20"/>
              </w:rPr>
              <w:t>通化东宝医药经营有限公司</w:t>
            </w:r>
          </w:p>
        </w:tc>
        <w:tc>
          <w:tcPr>
            <w:tcW w:w="2191" w:type="dxa"/>
            <w:tcBorders>
              <w:top w:val="single" w:color="auto" w:sz="4" w:space="0"/>
              <w:left w:val="single" w:color="auto" w:sz="4" w:space="0"/>
              <w:bottom w:val="single" w:color="auto" w:sz="4" w:space="0"/>
              <w:right w:val="single" w:color="auto" w:sz="4" w:space="0"/>
            </w:tcBorders>
            <w:vAlign w:val="center"/>
          </w:tcPr>
          <w:p w14:paraId="06310086">
            <w:pPr>
              <w:pStyle w:val="48"/>
              <w:rPr>
                <w:sz w:val="20"/>
                <w:szCs w:val="20"/>
              </w:rPr>
            </w:pPr>
            <w:r>
              <w:rPr>
                <w:sz w:val="20"/>
                <w:szCs w:val="20"/>
              </w:rPr>
              <w:t>销售药品</w:t>
            </w:r>
          </w:p>
        </w:tc>
        <w:tc>
          <w:tcPr>
            <w:tcW w:w="2227" w:type="dxa"/>
            <w:tcBorders>
              <w:top w:val="single" w:color="auto" w:sz="4" w:space="0"/>
              <w:left w:val="single" w:color="auto" w:sz="4" w:space="0"/>
              <w:bottom w:val="single" w:color="auto" w:sz="4" w:space="0"/>
              <w:right w:val="single" w:color="auto" w:sz="4" w:space="0"/>
            </w:tcBorders>
            <w:vAlign w:val="center"/>
          </w:tcPr>
          <w:p w14:paraId="7E518B03">
            <w:pPr>
              <w:jc w:val="right"/>
              <w:rPr>
                <w:rFonts w:ascii="Calibri" w:hAnsi="Calibri"/>
                <w:sz w:val="20"/>
                <w:szCs w:val="20"/>
              </w:rPr>
            </w:pPr>
            <w:r>
              <w:rPr>
                <w:rFonts w:ascii="Calibri" w:hAnsi="Calibri"/>
                <w:sz w:val="20"/>
                <w:szCs w:val="20"/>
              </w:rPr>
              <w:t>1,143,660.00</w:t>
            </w:r>
          </w:p>
        </w:tc>
        <w:tc>
          <w:tcPr>
            <w:tcW w:w="2229" w:type="dxa"/>
            <w:tcBorders>
              <w:top w:val="single" w:color="auto" w:sz="4" w:space="0"/>
              <w:left w:val="single" w:color="auto" w:sz="4" w:space="0"/>
              <w:bottom w:val="single" w:color="auto" w:sz="4" w:space="0"/>
              <w:right w:val="single" w:color="auto" w:sz="4" w:space="0"/>
            </w:tcBorders>
            <w:vAlign w:val="center"/>
          </w:tcPr>
          <w:p w14:paraId="68BD2F55">
            <w:pPr>
              <w:jc w:val="right"/>
              <w:rPr>
                <w:rFonts w:ascii="Calibri" w:hAnsi="Calibri"/>
                <w:sz w:val="20"/>
                <w:szCs w:val="20"/>
              </w:rPr>
            </w:pPr>
          </w:p>
        </w:tc>
      </w:tr>
      <w:tr w14:paraId="53CAF1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679" w:type="dxa"/>
            <w:tcBorders>
              <w:top w:val="single" w:color="auto" w:sz="4" w:space="0"/>
              <w:left w:val="single" w:color="auto" w:sz="4" w:space="0"/>
              <w:bottom w:val="single" w:color="auto" w:sz="4" w:space="0"/>
              <w:right w:val="single" w:color="auto" w:sz="4" w:space="0"/>
            </w:tcBorders>
            <w:vAlign w:val="center"/>
          </w:tcPr>
          <w:p w14:paraId="26B6D01C">
            <w:pPr>
              <w:pStyle w:val="48"/>
              <w:rPr>
                <w:sz w:val="20"/>
                <w:szCs w:val="20"/>
              </w:rPr>
            </w:pPr>
            <w:r>
              <w:rPr>
                <w:sz w:val="20"/>
                <w:szCs w:val="20"/>
              </w:rPr>
              <w:t>通化鸿宝药业有限公司</w:t>
            </w:r>
          </w:p>
        </w:tc>
        <w:tc>
          <w:tcPr>
            <w:tcW w:w="2191" w:type="dxa"/>
            <w:tcBorders>
              <w:top w:val="single" w:color="auto" w:sz="4" w:space="0"/>
              <w:left w:val="single" w:color="auto" w:sz="4" w:space="0"/>
              <w:bottom w:val="single" w:color="auto" w:sz="4" w:space="0"/>
              <w:right w:val="single" w:color="auto" w:sz="4" w:space="0"/>
            </w:tcBorders>
            <w:vAlign w:val="center"/>
          </w:tcPr>
          <w:p w14:paraId="4FAE3D1A">
            <w:pPr>
              <w:pStyle w:val="48"/>
              <w:rPr>
                <w:sz w:val="20"/>
                <w:szCs w:val="20"/>
              </w:rPr>
            </w:pPr>
            <w:r>
              <w:rPr>
                <w:sz w:val="20"/>
                <w:szCs w:val="20"/>
              </w:rPr>
              <w:t>提供加工服务</w:t>
            </w:r>
          </w:p>
        </w:tc>
        <w:tc>
          <w:tcPr>
            <w:tcW w:w="2227" w:type="dxa"/>
            <w:tcBorders>
              <w:top w:val="single" w:color="auto" w:sz="4" w:space="0"/>
              <w:left w:val="single" w:color="auto" w:sz="4" w:space="0"/>
              <w:bottom w:val="single" w:color="auto" w:sz="4" w:space="0"/>
              <w:right w:val="single" w:color="auto" w:sz="4" w:space="0"/>
            </w:tcBorders>
            <w:vAlign w:val="center"/>
          </w:tcPr>
          <w:p w14:paraId="346C9047">
            <w:pPr>
              <w:jc w:val="right"/>
              <w:rPr>
                <w:rFonts w:ascii="Calibri" w:hAnsi="Calibri"/>
                <w:sz w:val="20"/>
                <w:szCs w:val="20"/>
              </w:rPr>
            </w:pPr>
            <w:r>
              <w:rPr>
                <w:rFonts w:ascii="Calibri" w:hAnsi="Calibri"/>
                <w:sz w:val="20"/>
                <w:szCs w:val="20"/>
              </w:rPr>
              <w:t>846,370.00</w:t>
            </w:r>
          </w:p>
        </w:tc>
        <w:tc>
          <w:tcPr>
            <w:tcW w:w="2229" w:type="dxa"/>
            <w:tcBorders>
              <w:top w:val="single" w:color="auto" w:sz="4" w:space="0"/>
              <w:left w:val="single" w:color="auto" w:sz="4" w:space="0"/>
              <w:bottom w:val="single" w:color="auto" w:sz="4" w:space="0"/>
              <w:right w:val="single" w:color="auto" w:sz="4" w:space="0"/>
            </w:tcBorders>
            <w:vAlign w:val="center"/>
          </w:tcPr>
          <w:p w14:paraId="3827C630">
            <w:pPr>
              <w:jc w:val="right"/>
              <w:rPr>
                <w:rFonts w:ascii="Calibri" w:hAnsi="Calibri"/>
                <w:sz w:val="20"/>
                <w:szCs w:val="20"/>
              </w:rPr>
            </w:pPr>
            <w:r>
              <w:rPr>
                <w:rFonts w:ascii="Calibri" w:hAnsi="Calibri"/>
                <w:sz w:val="20"/>
                <w:szCs w:val="20"/>
              </w:rPr>
              <w:t>705,403.95</w:t>
            </w:r>
          </w:p>
        </w:tc>
      </w:tr>
      <w:tr w14:paraId="62A20F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679" w:type="dxa"/>
            <w:tcBorders>
              <w:top w:val="single" w:color="auto" w:sz="4" w:space="0"/>
              <w:left w:val="single" w:color="auto" w:sz="4" w:space="0"/>
              <w:bottom w:val="single" w:color="auto" w:sz="4" w:space="0"/>
              <w:right w:val="single" w:color="auto" w:sz="4" w:space="0"/>
            </w:tcBorders>
            <w:vAlign w:val="center"/>
          </w:tcPr>
          <w:p w14:paraId="70B2C021">
            <w:pPr>
              <w:pStyle w:val="48"/>
              <w:rPr>
                <w:sz w:val="20"/>
                <w:szCs w:val="20"/>
              </w:rPr>
            </w:pPr>
            <w:r>
              <w:rPr>
                <w:sz w:val="20"/>
                <w:szCs w:val="20"/>
              </w:rPr>
              <w:t>通化丽景能源热力有限公司</w:t>
            </w:r>
          </w:p>
        </w:tc>
        <w:tc>
          <w:tcPr>
            <w:tcW w:w="2191" w:type="dxa"/>
            <w:tcBorders>
              <w:top w:val="single" w:color="auto" w:sz="4" w:space="0"/>
              <w:left w:val="single" w:color="auto" w:sz="4" w:space="0"/>
              <w:bottom w:val="single" w:color="auto" w:sz="4" w:space="0"/>
              <w:right w:val="single" w:color="auto" w:sz="4" w:space="0"/>
            </w:tcBorders>
            <w:vAlign w:val="center"/>
          </w:tcPr>
          <w:p w14:paraId="1F175934">
            <w:pPr>
              <w:pStyle w:val="48"/>
              <w:rPr>
                <w:sz w:val="20"/>
                <w:szCs w:val="20"/>
              </w:rPr>
            </w:pPr>
            <w:r>
              <w:rPr>
                <w:sz w:val="20"/>
                <w:szCs w:val="20"/>
              </w:rPr>
              <w:t>出售原煤</w:t>
            </w:r>
          </w:p>
        </w:tc>
        <w:tc>
          <w:tcPr>
            <w:tcW w:w="2227" w:type="dxa"/>
            <w:tcBorders>
              <w:top w:val="single" w:color="auto" w:sz="4" w:space="0"/>
              <w:left w:val="single" w:color="auto" w:sz="4" w:space="0"/>
              <w:bottom w:val="single" w:color="auto" w:sz="4" w:space="0"/>
              <w:right w:val="single" w:color="auto" w:sz="4" w:space="0"/>
            </w:tcBorders>
            <w:vAlign w:val="center"/>
          </w:tcPr>
          <w:p w14:paraId="6E20B5EA">
            <w:pPr>
              <w:jc w:val="right"/>
              <w:rPr>
                <w:rFonts w:ascii="Calibri" w:hAnsi="Calibri"/>
                <w:sz w:val="20"/>
                <w:szCs w:val="20"/>
              </w:rPr>
            </w:pPr>
            <w:r>
              <w:rPr>
                <w:rFonts w:ascii="Calibri" w:hAnsi="Calibri"/>
                <w:sz w:val="20"/>
                <w:szCs w:val="20"/>
              </w:rPr>
              <w:t>638,776.14</w:t>
            </w:r>
          </w:p>
        </w:tc>
        <w:tc>
          <w:tcPr>
            <w:tcW w:w="2229" w:type="dxa"/>
            <w:tcBorders>
              <w:top w:val="single" w:color="auto" w:sz="4" w:space="0"/>
              <w:left w:val="single" w:color="auto" w:sz="4" w:space="0"/>
              <w:bottom w:val="single" w:color="auto" w:sz="4" w:space="0"/>
              <w:right w:val="single" w:color="auto" w:sz="4" w:space="0"/>
            </w:tcBorders>
            <w:vAlign w:val="center"/>
          </w:tcPr>
          <w:p w14:paraId="7B90959E">
            <w:pPr>
              <w:jc w:val="right"/>
              <w:rPr>
                <w:rFonts w:ascii="Calibri" w:hAnsi="Calibri"/>
                <w:sz w:val="20"/>
                <w:szCs w:val="20"/>
              </w:rPr>
            </w:pPr>
            <w:r>
              <w:rPr>
                <w:rFonts w:ascii="Calibri" w:hAnsi="Calibri"/>
                <w:sz w:val="20"/>
                <w:szCs w:val="20"/>
              </w:rPr>
              <w:t>1,017,553.10</w:t>
            </w:r>
          </w:p>
        </w:tc>
      </w:tr>
      <w:tr w14:paraId="0A930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679" w:type="dxa"/>
            <w:tcBorders>
              <w:top w:val="single" w:color="auto" w:sz="4" w:space="0"/>
              <w:left w:val="single" w:color="auto" w:sz="4" w:space="0"/>
              <w:bottom w:val="single" w:color="auto" w:sz="4" w:space="0"/>
              <w:right w:val="single" w:color="auto" w:sz="4" w:space="0"/>
            </w:tcBorders>
            <w:vAlign w:val="center"/>
          </w:tcPr>
          <w:p w14:paraId="6A488D6C">
            <w:pPr>
              <w:pStyle w:val="48"/>
              <w:rPr>
                <w:sz w:val="20"/>
                <w:szCs w:val="20"/>
              </w:rPr>
            </w:pPr>
            <w:r>
              <w:rPr>
                <w:sz w:val="20"/>
                <w:szCs w:val="20"/>
              </w:rPr>
              <w:t>通化东宝集团进出口有限公司</w:t>
            </w:r>
          </w:p>
        </w:tc>
        <w:tc>
          <w:tcPr>
            <w:tcW w:w="2191" w:type="dxa"/>
            <w:tcBorders>
              <w:top w:val="single" w:color="auto" w:sz="4" w:space="0"/>
              <w:left w:val="single" w:color="auto" w:sz="4" w:space="0"/>
              <w:bottom w:val="single" w:color="auto" w:sz="4" w:space="0"/>
              <w:right w:val="single" w:color="auto" w:sz="4" w:space="0"/>
            </w:tcBorders>
            <w:vAlign w:val="center"/>
          </w:tcPr>
          <w:p w14:paraId="25D7729C">
            <w:pPr>
              <w:pStyle w:val="48"/>
              <w:rPr>
                <w:sz w:val="20"/>
                <w:szCs w:val="20"/>
              </w:rPr>
            </w:pPr>
            <w:r>
              <w:rPr>
                <w:sz w:val="20"/>
                <w:szCs w:val="20"/>
              </w:rPr>
              <w:t>销售药品</w:t>
            </w:r>
          </w:p>
        </w:tc>
        <w:tc>
          <w:tcPr>
            <w:tcW w:w="2227" w:type="dxa"/>
            <w:tcBorders>
              <w:top w:val="single" w:color="auto" w:sz="4" w:space="0"/>
              <w:left w:val="single" w:color="auto" w:sz="4" w:space="0"/>
              <w:bottom w:val="single" w:color="auto" w:sz="4" w:space="0"/>
              <w:right w:val="single" w:color="auto" w:sz="4" w:space="0"/>
            </w:tcBorders>
            <w:vAlign w:val="center"/>
          </w:tcPr>
          <w:p w14:paraId="4E4809BA">
            <w:pPr>
              <w:jc w:val="right"/>
              <w:rPr>
                <w:rFonts w:ascii="Calibri" w:hAnsi="Calibri"/>
                <w:sz w:val="20"/>
                <w:szCs w:val="20"/>
              </w:rPr>
            </w:pPr>
            <w:r>
              <w:rPr>
                <w:rFonts w:ascii="Calibri" w:hAnsi="Calibri"/>
                <w:sz w:val="20"/>
                <w:szCs w:val="20"/>
              </w:rPr>
              <w:t>43,200.00</w:t>
            </w:r>
          </w:p>
        </w:tc>
        <w:tc>
          <w:tcPr>
            <w:tcW w:w="2229" w:type="dxa"/>
            <w:tcBorders>
              <w:top w:val="single" w:color="auto" w:sz="4" w:space="0"/>
              <w:left w:val="single" w:color="auto" w:sz="4" w:space="0"/>
              <w:bottom w:val="single" w:color="auto" w:sz="4" w:space="0"/>
              <w:right w:val="single" w:color="auto" w:sz="4" w:space="0"/>
            </w:tcBorders>
            <w:vAlign w:val="center"/>
          </w:tcPr>
          <w:p w14:paraId="0E535D26">
            <w:pPr>
              <w:jc w:val="right"/>
              <w:rPr>
                <w:rFonts w:ascii="Calibri" w:hAnsi="Calibri"/>
                <w:sz w:val="20"/>
                <w:szCs w:val="20"/>
              </w:rPr>
            </w:pPr>
          </w:p>
        </w:tc>
      </w:tr>
      <w:tr w14:paraId="68F691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679" w:type="dxa"/>
            <w:tcBorders>
              <w:top w:val="single" w:color="auto" w:sz="4" w:space="0"/>
              <w:left w:val="single" w:color="auto" w:sz="4" w:space="0"/>
              <w:bottom w:val="single" w:color="auto" w:sz="4" w:space="0"/>
              <w:right w:val="single" w:color="auto" w:sz="4" w:space="0"/>
            </w:tcBorders>
            <w:vAlign w:val="center"/>
          </w:tcPr>
          <w:p w14:paraId="24ABA75D">
            <w:pPr>
              <w:pStyle w:val="48"/>
              <w:rPr>
                <w:sz w:val="20"/>
                <w:szCs w:val="20"/>
              </w:rPr>
            </w:pPr>
            <w:r>
              <w:rPr>
                <w:sz w:val="20"/>
                <w:szCs w:val="20"/>
              </w:rPr>
              <w:t>君合盟生物制药（杭州）</w:t>
            </w:r>
            <w:r>
              <w:rPr>
                <w:rFonts w:hint="eastAsia"/>
                <w:sz w:val="20"/>
                <w:szCs w:val="20"/>
              </w:rPr>
              <w:t>股份</w:t>
            </w:r>
            <w:r>
              <w:rPr>
                <w:sz w:val="20"/>
                <w:szCs w:val="20"/>
              </w:rPr>
              <w:t>有限公司</w:t>
            </w:r>
          </w:p>
        </w:tc>
        <w:tc>
          <w:tcPr>
            <w:tcW w:w="2191" w:type="dxa"/>
            <w:tcBorders>
              <w:top w:val="single" w:color="auto" w:sz="4" w:space="0"/>
              <w:left w:val="single" w:color="auto" w:sz="4" w:space="0"/>
              <w:bottom w:val="single" w:color="auto" w:sz="4" w:space="0"/>
              <w:right w:val="single" w:color="auto" w:sz="4" w:space="0"/>
            </w:tcBorders>
            <w:vAlign w:val="center"/>
          </w:tcPr>
          <w:p w14:paraId="7AE33648">
            <w:pPr>
              <w:pStyle w:val="48"/>
              <w:rPr>
                <w:sz w:val="20"/>
                <w:szCs w:val="20"/>
              </w:rPr>
            </w:pPr>
            <w:r>
              <w:rPr>
                <w:sz w:val="20"/>
                <w:szCs w:val="20"/>
              </w:rPr>
              <w:t>出售原材料</w:t>
            </w:r>
          </w:p>
        </w:tc>
        <w:tc>
          <w:tcPr>
            <w:tcW w:w="2227" w:type="dxa"/>
            <w:tcBorders>
              <w:top w:val="single" w:color="auto" w:sz="4" w:space="0"/>
              <w:left w:val="single" w:color="auto" w:sz="4" w:space="0"/>
              <w:bottom w:val="single" w:color="auto" w:sz="4" w:space="0"/>
              <w:right w:val="single" w:color="auto" w:sz="4" w:space="0"/>
            </w:tcBorders>
            <w:vAlign w:val="center"/>
          </w:tcPr>
          <w:p w14:paraId="6CC80DD3">
            <w:pPr>
              <w:jc w:val="right"/>
              <w:rPr>
                <w:rFonts w:ascii="Calibri" w:hAnsi="Calibri"/>
                <w:sz w:val="20"/>
                <w:szCs w:val="20"/>
              </w:rPr>
            </w:pPr>
          </w:p>
        </w:tc>
        <w:tc>
          <w:tcPr>
            <w:tcW w:w="2229" w:type="dxa"/>
            <w:tcBorders>
              <w:top w:val="single" w:color="auto" w:sz="4" w:space="0"/>
              <w:left w:val="single" w:color="auto" w:sz="4" w:space="0"/>
              <w:bottom w:val="single" w:color="auto" w:sz="4" w:space="0"/>
              <w:right w:val="single" w:color="auto" w:sz="4" w:space="0"/>
            </w:tcBorders>
            <w:vAlign w:val="center"/>
          </w:tcPr>
          <w:p w14:paraId="5E81B82A">
            <w:pPr>
              <w:jc w:val="right"/>
              <w:rPr>
                <w:rFonts w:ascii="Calibri" w:hAnsi="Calibri"/>
                <w:sz w:val="20"/>
                <w:szCs w:val="20"/>
              </w:rPr>
            </w:pPr>
            <w:r>
              <w:rPr>
                <w:rFonts w:ascii="Calibri" w:hAnsi="Calibri"/>
                <w:sz w:val="20"/>
                <w:szCs w:val="20"/>
              </w:rPr>
              <w:t>207,469.82</w:t>
            </w:r>
          </w:p>
        </w:tc>
      </w:tr>
      <w:tr w14:paraId="43FA2C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679" w:type="dxa"/>
            <w:tcBorders>
              <w:top w:val="single" w:color="auto" w:sz="4" w:space="0"/>
              <w:left w:val="single" w:color="auto" w:sz="4" w:space="0"/>
              <w:bottom w:val="single" w:color="auto" w:sz="4" w:space="0"/>
              <w:right w:val="single" w:color="auto" w:sz="4" w:space="0"/>
            </w:tcBorders>
            <w:vAlign w:val="center"/>
          </w:tcPr>
          <w:p w14:paraId="225458F7">
            <w:pPr>
              <w:pStyle w:val="48"/>
              <w:rPr>
                <w:sz w:val="20"/>
                <w:szCs w:val="20"/>
              </w:rPr>
            </w:pPr>
            <w:r>
              <w:rPr>
                <w:sz w:val="20"/>
                <w:szCs w:val="20"/>
              </w:rPr>
              <w:t>通化鸿宝药业有限公司</w:t>
            </w:r>
          </w:p>
        </w:tc>
        <w:tc>
          <w:tcPr>
            <w:tcW w:w="2191" w:type="dxa"/>
            <w:tcBorders>
              <w:top w:val="single" w:color="auto" w:sz="4" w:space="0"/>
              <w:left w:val="single" w:color="auto" w:sz="4" w:space="0"/>
              <w:bottom w:val="single" w:color="auto" w:sz="4" w:space="0"/>
              <w:right w:val="single" w:color="auto" w:sz="4" w:space="0"/>
            </w:tcBorders>
            <w:vAlign w:val="center"/>
          </w:tcPr>
          <w:p w14:paraId="7CB1104A">
            <w:pPr>
              <w:pStyle w:val="48"/>
              <w:rPr>
                <w:sz w:val="20"/>
                <w:szCs w:val="20"/>
              </w:rPr>
            </w:pPr>
            <w:r>
              <w:rPr>
                <w:sz w:val="20"/>
                <w:szCs w:val="20"/>
              </w:rPr>
              <w:t>出售原材料</w:t>
            </w:r>
          </w:p>
        </w:tc>
        <w:tc>
          <w:tcPr>
            <w:tcW w:w="2227" w:type="dxa"/>
            <w:tcBorders>
              <w:top w:val="single" w:color="auto" w:sz="4" w:space="0"/>
              <w:left w:val="single" w:color="auto" w:sz="4" w:space="0"/>
              <w:bottom w:val="single" w:color="auto" w:sz="4" w:space="0"/>
              <w:right w:val="single" w:color="auto" w:sz="4" w:space="0"/>
            </w:tcBorders>
            <w:vAlign w:val="center"/>
          </w:tcPr>
          <w:p w14:paraId="207D0538">
            <w:pPr>
              <w:jc w:val="right"/>
              <w:rPr>
                <w:rFonts w:ascii="Calibri" w:hAnsi="Calibri"/>
                <w:sz w:val="20"/>
                <w:szCs w:val="20"/>
              </w:rPr>
            </w:pPr>
          </w:p>
        </w:tc>
        <w:tc>
          <w:tcPr>
            <w:tcW w:w="2229" w:type="dxa"/>
            <w:tcBorders>
              <w:top w:val="single" w:color="auto" w:sz="4" w:space="0"/>
              <w:left w:val="single" w:color="auto" w:sz="4" w:space="0"/>
              <w:bottom w:val="single" w:color="auto" w:sz="4" w:space="0"/>
              <w:right w:val="single" w:color="auto" w:sz="4" w:space="0"/>
            </w:tcBorders>
            <w:vAlign w:val="center"/>
          </w:tcPr>
          <w:p w14:paraId="22BE95B0">
            <w:pPr>
              <w:jc w:val="right"/>
              <w:rPr>
                <w:rFonts w:ascii="Calibri" w:hAnsi="Calibri"/>
                <w:sz w:val="20"/>
                <w:szCs w:val="20"/>
              </w:rPr>
            </w:pPr>
            <w:r>
              <w:rPr>
                <w:rFonts w:ascii="Calibri" w:hAnsi="Calibri"/>
                <w:sz w:val="20"/>
                <w:szCs w:val="20"/>
              </w:rPr>
              <w:t>77,471.46</w:t>
            </w:r>
          </w:p>
        </w:tc>
      </w:tr>
      <w:tr w14:paraId="072D5D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679" w:type="dxa"/>
            <w:tcBorders>
              <w:top w:val="single" w:color="auto" w:sz="4" w:space="0"/>
              <w:left w:val="single" w:color="auto" w:sz="4" w:space="0"/>
              <w:bottom w:val="single" w:color="auto" w:sz="4" w:space="0"/>
              <w:right w:val="single" w:color="auto" w:sz="4" w:space="0"/>
            </w:tcBorders>
            <w:vAlign w:val="center"/>
          </w:tcPr>
          <w:p w14:paraId="3C4609C9">
            <w:pPr>
              <w:pStyle w:val="48"/>
              <w:jc w:val="center"/>
              <w:rPr>
                <w:sz w:val="20"/>
                <w:szCs w:val="20"/>
              </w:rPr>
            </w:pPr>
            <w:r>
              <w:rPr>
                <w:sz w:val="20"/>
                <w:szCs w:val="20"/>
              </w:rPr>
              <w:t>合计</w:t>
            </w:r>
          </w:p>
        </w:tc>
        <w:tc>
          <w:tcPr>
            <w:tcW w:w="2191" w:type="dxa"/>
            <w:tcBorders>
              <w:top w:val="single" w:color="auto" w:sz="4" w:space="0"/>
              <w:left w:val="single" w:color="auto" w:sz="4" w:space="0"/>
              <w:bottom w:val="single" w:color="auto" w:sz="4" w:space="0"/>
              <w:right w:val="single" w:color="auto" w:sz="4" w:space="0"/>
            </w:tcBorders>
            <w:vAlign w:val="center"/>
          </w:tcPr>
          <w:p w14:paraId="0CDA09F9">
            <w:pPr>
              <w:pStyle w:val="48"/>
              <w:rPr>
                <w:sz w:val="20"/>
                <w:szCs w:val="20"/>
              </w:rPr>
            </w:pPr>
          </w:p>
        </w:tc>
        <w:tc>
          <w:tcPr>
            <w:tcW w:w="2227" w:type="dxa"/>
            <w:tcBorders>
              <w:top w:val="single" w:color="auto" w:sz="4" w:space="0"/>
              <w:left w:val="single" w:color="auto" w:sz="4" w:space="0"/>
              <w:bottom w:val="single" w:color="auto" w:sz="4" w:space="0"/>
              <w:right w:val="single" w:color="auto" w:sz="4" w:space="0"/>
            </w:tcBorders>
            <w:vAlign w:val="center"/>
          </w:tcPr>
          <w:p w14:paraId="241CFBC2">
            <w:pPr>
              <w:jc w:val="right"/>
              <w:rPr>
                <w:rFonts w:ascii="Calibri" w:hAnsi="Calibri"/>
                <w:sz w:val="20"/>
                <w:szCs w:val="20"/>
              </w:rPr>
            </w:pPr>
            <w:r>
              <w:rPr>
                <w:rFonts w:ascii="Calibri" w:hAnsi="Calibri"/>
                <w:sz w:val="20"/>
                <w:szCs w:val="20"/>
              </w:rPr>
              <w:t>13,474,649.17</w:t>
            </w:r>
          </w:p>
        </w:tc>
        <w:tc>
          <w:tcPr>
            <w:tcW w:w="2229" w:type="dxa"/>
            <w:tcBorders>
              <w:top w:val="single" w:color="auto" w:sz="4" w:space="0"/>
              <w:left w:val="single" w:color="auto" w:sz="4" w:space="0"/>
              <w:bottom w:val="single" w:color="auto" w:sz="4" w:space="0"/>
              <w:right w:val="single" w:color="auto" w:sz="4" w:space="0"/>
            </w:tcBorders>
            <w:vAlign w:val="center"/>
          </w:tcPr>
          <w:p w14:paraId="118624F1">
            <w:pPr>
              <w:jc w:val="right"/>
              <w:rPr>
                <w:rFonts w:ascii="Calibri" w:hAnsi="Calibri"/>
                <w:sz w:val="20"/>
                <w:szCs w:val="20"/>
              </w:rPr>
            </w:pPr>
            <w:r>
              <w:rPr>
                <w:rFonts w:ascii="Calibri" w:hAnsi="Calibri"/>
                <w:sz w:val="20"/>
                <w:szCs w:val="20"/>
              </w:rPr>
              <w:t>4,541,451.09</w:t>
            </w:r>
          </w:p>
        </w:tc>
      </w:tr>
    </w:tbl>
    <w:p w14:paraId="3B0FE164"/>
    <w:p w14:paraId="43E28B23">
      <w:pPr>
        <w:rPr>
          <w:rFonts w:cs="Cambria"/>
        </w:rPr>
      </w:pPr>
      <w:r>
        <w:rPr>
          <w:rFonts w:hint="eastAsia" w:cs="Cambria"/>
        </w:rPr>
        <w:t>购销商品、提供和接受劳务的关联交易说明</w:t>
      </w:r>
    </w:p>
    <w:sdt>
      <w:sdtPr>
        <w:rPr>
          <w:rFonts w:cs="Cambria"/>
        </w:rPr>
        <w:alias w:val="是否适用：购销商品、提供和接受劳务的关联交易说明[双击切换]"/>
        <w:tag w:val="_GBC_bfac708300bd4f9886d4b6bc97c99022"/>
        <w:id w:val="1542246772"/>
        <w:placeholder>
          <w:docPart w:val="GBC22222222222222222222222222222"/>
        </w:placeholder>
      </w:sdtPr>
      <w:sdtEndPr>
        <w:rPr>
          <w:rFonts w:cs="Cambria"/>
        </w:rPr>
      </w:sdtEndPr>
      <w:sdtContent>
        <w:p w14:paraId="517AC21F">
          <w:pPr>
            <w:rPr>
              <w:rFonts w:cs="Cambria"/>
            </w:rPr>
          </w:pPr>
          <w:r>
            <w:rPr>
              <w:rFonts w:ascii="宋体" w:hAnsi="宋体" w:cs="Cambria"/>
            </w:rPr>
            <w:fldChar w:fldCharType="begin"/>
          </w:r>
          <w:r>
            <w:rPr>
              <w:rFonts w:ascii="宋体" w:hAnsi="宋体" w:cs="Cambr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14:paraId="19C3F8F7">
      <w:pPr>
        <w:rPr>
          <w:rFonts w:cs="Cambria"/>
        </w:rPr>
      </w:pPr>
    </w:p>
    <w:p w14:paraId="03C9B4C1">
      <w:pPr>
        <w:pStyle w:val="5"/>
        <w:numPr>
          <w:ilvl w:val="3"/>
          <w:numId w:val="116"/>
        </w:numPr>
        <w:ind w:left="424" w:hanging="424" w:hangingChars="201"/>
      </w:pPr>
      <w:r>
        <w:rPr>
          <w:rFonts w:hint="eastAsia"/>
        </w:rPr>
        <w:t>关联受托管理/承包及委托管理/出包情况</w:t>
      </w:r>
    </w:p>
    <w:p w14:paraId="14D5CA3F">
      <w:pPr>
        <w:pStyle w:val="48"/>
      </w:pPr>
      <w:r>
        <w:rPr>
          <w:rFonts w:hint="eastAsia"/>
        </w:rPr>
        <w:t>本公司受托管理/承包情况表：</w:t>
      </w:r>
    </w:p>
    <w:sdt>
      <w:sdtPr>
        <w:rPr>
          <w:rFonts w:cs="Cambria"/>
        </w:rPr>
        <w:alias w:val="是否适用：本公司受托管理或承包情况表[双击切换]"/>
        <w:tag w:val="_GBC_30440fae2d7246f59be82c31d907217a"/>
        <w:id w:val="-1370066920"/>
        <w:placeholder>
          <w:docPart w:val="GBC22222222222222222222222222222"/>
        </w:placeholder>
      </w:sdtPr>
      <w:sdtEndPr>
        <w:rPr>
          <w:rFonts w:cs="Cambria"/>
        </w:rPr>
      </w:sdtEndPr>
      <w:sdtContent>
        <w:p w14:paraId="11FCCF7C">
          <w:pPr>
            <w:rPr>
              <w:rFonts w:cs="Cambria"/>
            </w:rPr>
          </w:pPr>
          <w:r>
            <w:rPr>
              <w:rFonts w:ascii="宋体" w:hAnsi="宋体" w:cs="Cambria"/>
            </w:rPr>
            <w:fldChar w:fldCharType="begin"/>
          </w:r>
          <w:r>
            <w:rPr>
              <w:rFonts w:ascii="宋体" w:hAnsi="宋体" w:cs="Cambr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14:paraId="64829517">
      <w:pPr>
        <w:rPr>
          <w:rFonts w:cs="Cambria"/>
        </w:rPr>
      </w:pPr>
    </w:p>
    <w:p w14:paraId="1E7725DB">
      <w:pPr>
        <w:rPr>
          <w:rFonts w:cs="Cambria"/>
        </w:rPr>
      </w:pPr>
      <w:r>
        <w:rPr>
          <w:rFonts w:hint="eastAsia" w:cs="Cambria"/>
        </w:rPr>
        <w:t>关联托管/承包情况说明</w:t>
      </w:r>
    </w:p>
    <w:sdt>
      <w:sdtPr>
        <w:rPr>
          <w:rFonts w:cs="Cambria"/>
        </w:rPr>
        <w:alias w:val="是否适用：关联托管或承包情况说明[双击切换]"/>
        <w:tag w:val="_GBC_60aca51a92e545e9bbad9ba5228083c8"/>
        <w:id w:val="120809562"/>
        <w:placeholder>
          <w:docPart w:val="GBC22222222222222222222222222222"/>
        </w:placeholder>
      </w:sdtPr>
      <w:sdtEndPr>
        <w:rPr>
          <w:rFonts w:cs="Cambria"/>
        </w:rPr>
      </w:sdtEndPr>
      <w:sdtContent>
        <w:p w14:paraId="2A8177E2">
          <w:pPr>
            <w:rPr>
              <w:rFonts w:cs="Cambria"/>
            </w:rPr>
          </w:pPr>
          <w:r>
            <w:rPr>
              <w:rFonts w:ascii="宋体" w:hAnsi="宋体" w:cs="Cambria"/>
            </w:rPr>
            <w:fldChar w:fldCharType="begin"/>
          </w:r>
          <w:r>
            <w:rPr>
              <w:rFonts w:ascii="宋体" w:hAnsi="宋体" w:cs="Cambr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14:paraId="381377FA">
      <w:pPr>
        <w:rPr>
          <w:rFonts w:cs="Cambria"/>
        </w:rPr>
      </w:pPr>
    </w:p>
    <w:p w14:paraId="5915F716">
      <w:pPr>
        <w:rPr>
          <w:rFonts w:cs="Cambria"/>
          <w:bCs/>
        </w:rPr>
      </w:pPr>
      <w:r>
        <w:rPr>
          <w:rFonts w:hint="eastAsia"/>
        </w:rPr>
        <w:t>本公司</w:t>
      </w:r>
      <w:r>
        <w:rPr>
          <w:rFonts w:hint="eastAsia" w:cs="Cambria"/>
          <w:bCs/>
        </w:rPr>
        <w:t>委托管理/出包情况表</w:t>
      </w:r>
    </w:p>
    <w:sdt>
      <w:sdtPr>
        <w:rPr>
          <w:rFonts w:cs="Cambria"/>
          <w:bCs/>
        </w:rPr>
        <w:alias w:val="是否适用：本公司委托管理或出包情况表[双击切换]"/>
        <w:tag w:val="_GBC_4655dfffa9a7464b8715035e819d5968"/>
        <w:id w:val="-1894347323"/>
        <w:placeholder>
          <w:docPart w:val="GBC22222222222222222222222222222"/>
        </w:placeholder>
      </w:sdtPr>
      <w:sdtEndPr>
        <w:rPr>
          <w:rFonts w:cs="Cambria"/>
          <w:bCs/>
        </w:rPr>
      </w:sdtEndPr>
      <w:sdtContent>
        <w:p w14:paraId="19248C60">
          <w:pPr>
            <w:rPr>
              <w:rFonts w:cs="Cambria"/>
              <w:bCs/>
            </w:rPr>
          </w:pPr>
          <w:r>
            <w:rPr>
              <w:rFonts w:ascii="宋体" w:hAnsi="宋体" w:cs="Cambria"/>
              <w:bCs/>
            </w:rPr>
            <w:fldChar w:fldCharType="begin"/>
          </w:r>
          <w:r>
            <w:rPr>
              <w:rFonts w:ascii="宋体" w:hAnsi="宋体" w:cs="Cambria"/>
              <w:bCs/>
            </w:rPr>
            <w:instrText xml:space="preserve">MACROBUTTON  SnrToggleCheckbox □适用 </w:instrText>
          </w:r>
          <w:r>
            <w:rPr>
              <w:rFonts w:ascii="宋体" w:hAnsi="宋体" w:cs="Cambria"/>
              <w:bCs/>
            </w:rPr>
            <w:fldChar w:fldCharType="end"/>
          </w:r>
          <w:r>
            <w:rPr>
              <w:rFonts w:ascii="宋体" w:hAnsi="宋体" w:cs="Cambria"/>
              <w:bCs/>
            </w:rPr>
            <w:fldChar w:fldCharType="begin"/>
          </w:r>
          <w:r>
            <w:rPr>
              <w:rFonts w:ascii="宋体" w:hAnsi="宋体" w:cs="Cambria"/>
              <w:bCs/>
            </w:rPr>
            <w:instrText xml:space="preserve"> MACROBUTTON  SnrToggleCheckbox √不适用 </w:instrText>
          </w:r>
          <w:r>
            <w:rPr>
              <w:rFonts w:ascii="宋体" w:hAnsi="宋体" w:cs="Cambria"/>
              <w:bCs/>
            </w:rPr>
            <w:fldChar w:fldCharType="end"/>
          </w:r>
        </w:p>
      </w:sdtContent>
    </w:sdt>
    <w:p w14:paraId="42E7A083">
      <w:pPr>
        <w:rPr>
          <w:rFonts w:cs="Cambria"/>
          <w:bCs/>
        </w:rPr>
      </w:pPr>
    </w:p>
    <w:p w14:paraId="2BB9882F">
      <w:pPr>
        <w:rPr>
          <w:rFonts w:cs="Cambria"/>
          <w:bCs/>
        </w:rPr>
      </w:pPr>
      <w:r>
        <w:rPr>
          <w:rFonts w:hint="eastAsia" w:cs="Cambria"/>
          <w:bCs/>
        </w:rPr>
        <w:t>关联管理/出包情况说明</w:t>
      </w:r>
    </w:p>
    <w:sdt>
      <w:sdtPr>
        <w:rPr>
          <w:rFonts w:cs="Cambria"/>
          <w:bCs/>
        </w:rPr>
        <w:alias w:val="是否适用：关联管理或出包情况说明[双击切换]"/>
        <w:tag w:val="_GBC_a21df8e7013c4b70bab4125cabda8c46"/>
        <w:id w:val="1720789926"/>
        <w:placeholder>
          <w:docPart w:val="GBC22222222222222222222222222222"/>
        </w:placeholder>
      </w:sdtPr>
      <w:sdtEndPr>
        <w:rPr>
          <w:rFonts w:cs="Cambria"/>
          <w:bCs/>
        </w:rPr>
      </w:sdtEndPr>
      <w:sdtContent>
        <w:p w14:paraId="0F5D59D9">
          <w:pPr>
            <w:rPr>
              <w:rFonts w:cs="Cambria"/>
              <w:bCs/>
            </w:rPr>
          </w:pPr>
          <w:r>
            <w:rPr>
              <w:rFonts w:ascii="宋体" w:hAnsi="宋体" w:cs="Cambria"/>
              <w:bCs/>
            </w:rPr>
            <w:fldChar w:fldCharType="begin"/>
          </w:r>
          <w:r>
            <w:rPr>
              <w:rFonts w:ascii="宋体" w:hAnsi="宋体" w:cs="Cambria"/>
              <w:bCs/>
            </w:rPr>
            <w:instrText xml:space="preserve">MACROBUTTON  SnrToggleCheckbox □适用 </w:instrText>
          </w:r>
          <w:r>
            <w:rPr>
              <w:rFonts w:ascii="宋体" w:hAnsi="宋体" w:cs="Cambria"/>
              <w:bCs/>
            </w:rPr>
            <w:fldChar w:fldCharType="end"/>
          </w:r>
          <w:r>
            <w:rPr>
              <w:rFonts w:ascii="宋体" w:hAnsi="宋体" w:cs="Cambria"/>
              <w:bCs/>
            </w:rPr>
            <w:fldChar w:fldCharType="begin"/>
          </w:r>
          <w:r>
            <w:rPr>
              <w:rFonts w:ascii="宋体" w:hAnsi="宋体" w:cs="Cambria"/>
              <w:bCs/>
            </w:rPr>
            <w:instrText xml:space="preserve"> MACROBUTTON  SnrToggleCheckbox √不适用 </w:instrText>
          </w:r>
          <w:r>
            <w:rPr>
              <w:rFonts w:ascii="宋体" w:hAnsi="宋体" w:cs="Cambria"/>
              <w:bCs/>
            </w:rPr>
            <w:fldChar w:fldCharType="end"/>
          </w:r>
        </w:p>
      </w:sdtContent>
    </w:sdt>
    <w:p w14:paraId="4D483277">
      <w:pPr>
        <w:rPr>
          <w:rFonts w:cs="Cambria"/>
        </w:rPr>
      </w:pPr>
    </w:p>
    <w:p w14:paraId="35648BCF">
      <w:pPr>
        <w:pStyle w:val="5"/>
        <w:numPr>
          <w:ilvl w:val="3"/>
          <w:numId w:val="116"/>
        </w:numPr>
        <w:ind w:left="424" w:hanging="424" w:hangingChars="201"/>
      </w:pPr>
      <w:bookmarkStart w:id="372" w:name="_Hlk213680039"/>
      <w:r>
        <w:rPr>
          <w:rFonts w:hint="eastAsia"/>
        </w:rPr>
        <w:t>关联租赁情况</w:t>
      </w:r>
    </w:p>
    <w:p w14:paraId="133CCDA8">
      <w:pPr>
        <w:pStyle w:val="48"/>
      </w:pPr>
      <w:r>
        <w:rPr>
          <w:rFonts w:hint="eastAsia"/>
        </w:rPr>
        <w:t>本公司作为出租方：</w:t>
      </w:r>
    </w:p>
    <w:sdt>
      <w:sdtPr>
        <w:alias w:val="是否适用：本公司作为出租方的租赁情况表[双击切换]"/>
        <w:tag w:val="_GBC_b67e8ccf7ec147d698f9f192968e98bf"/>
        <w:id w:val="-598414921"/>
        <w:placeholder>
          <w:docPart w:val="GBC22222222222222222222222222222"/>
        </w:placeholder>
      </w:sdtPr>
      <w:sdtContent>
        <w:p w14:paraId="69D73D6A">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7E6F351">
      <w:pPr>
        <w:jc w:val="right"/>
      </w:pPr>
      <w:r>
        <w:rPr>
          <w:rFonts w:hint="eastAsia"/>
        </w:rPr>
        <w:t>单位：</w:t>
      </w:r>
      <w:sdt>
        <w:sdtPr>
          <w:rPr>
            <w:rFonts w:hint="eastAsia"/>
          </w:rPr>
          <w:alias w:val="单位：关联租赁情况"/>
          <w:tag w:val="_GBC_d95d648c603a49478a4e0e7a1274bc6b"/>
          <w:id w:val="19324741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关联租赁情况"/>
          <w:tag w:val="_GBC_4316ddfce7034d00b4f5fe941a884b0c"/>
          <w:id w:val="6919584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478"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2017"/>
        <w:gridCol w:w="2504"/>
        <w:gridCol w:w="2720"/>
      </w:tblGrid>
      <w:tr w14:paraId="7ABB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sdt>
          <w:sdtPr>
            <w:tag w:val="_PLD_cc1d9e6700c8464abef135c18dae1347"/>
            <w:id w:val="-610046618"/>
          </w:sdtPr>
          <w:sdtContent>
            <w:tc>
              <w:tcPr>
                <w:tcW w:w="2237" w:type="dxa"/>
                <w:tcBorders>
                  <w:top w:val="single" w:color="auto" w:sz="4" w:space="0"/>
                  <w:left w:val="single" w:color="auto" w:sz="4" w:space="0"/>
                  <w:right w:val="single" w:color="auto" w:sz="4" w:space="0"/>
                </w:tcBorders>
                <w:vAlign w:val="center"/>
              </w:tcPr>
              <w:p w14:paraId="05FE45D6">
                <w:pPr>
                  <w:jc w:val="center"/>
                  <w:rPr>
                    <w:rFonts w:ascii="Calibri" w:hAnsi="Calibri"/>
                    <w:sz w:val="20"/>
                    <w:szCs w:val="20"/>
                  </w:rPr>
                </w:pPr>
                <w:r>
                  <w:rPr>
                    <w:rFonts w:hint="eastAsia" w:ascii="Calibri" w:hAnsi="Calibri"/>
                    <w:sz w:val="20"/>
                    <w:szCs w:val="20"/>
                  </w:rPr>
                  <w:t>承租方名称</w:t>
                </w:r>
              </w:p>
            </w:tc>
          </w:sdtContent>
        </w:sdt>
        <w:sdt>
          <w:sdtPr>
            <w:tag w:val="_PLD_7c70ec7c258c47ab93562d23df95ba25"/>
            <w:id w:val="806292179"/>
          </w:sdtPr>
          <w:sdtContent>
            <w:tc>
              <w:tcPr>
                <w:tcW w:w="2017" w:type="dxa"/>
                <w:tcBorders>
                  <w:top w:val="single" w:color="auto" w:sz="4" w:space="0"/>
                  <w:left w:val="single" w:color="auto" w:sz="4" w:space="0"/>
                  <w:right w:val="single" w:color="auto" w:sz="4" w:space="0"/>
                </w:tcBorders>
                <w:vAlign w:val="center"/>
              </w:tcPr>
              <w:p w14:paraId="6FF24E47">
                <w:pPr>
                  <w:jc w:val="center"/>
                  <w:rPr>
                    <w:rFonts w:ascii="Calibri" w:hAnsi="Calibri"/>
                    <w:sz w:val="20"/>
                    <w:szCs w:val="20"/>
                  </w:rPr>
                </w:pPr>
                <w:r>
                  <w:rPr>
                    <w:rFonts w:hint="eastAsia" w:ascii="Calibri" w:hAnsi="Calibri"/>
                    <w:sz w:val="20"/>
                    <w:szCs w:val="20"/>
                  </w:rPr>
                  <w:t>租赁资产种类</w:t>
                </w:r>
              </w:p>
            </w:tc>
          </w:sdtContent>
        </w:sdt>
        <w:sdt>
          <w:sdtPr>
            <w:tag w:val="_PLD_b73b5bf2ad5b438bac8401815956bbdb"/>
            <w:id w:val="-1862812268"/>
          </w:sdtPr>
          <w:sdtContent>
            <w:tc>
              <w:tcPr>
                <w:tcW w:w="2504" w:type="dxa"/>
                <w:tcBorders>
                  <w:top w:val="single" w:color="auto" w:sz="4" w:space="0"/>
                  <w:left w:val="single" w:color="auto" w:sz="4" w:space="0"/>
                  <w:right w:val="single" w:color="auto" w:sz="4" w:space="0"/>
                </w:tcBorders>
                <w:vAlign w:val="center"/>
              </w:tcPr>
              <w:p w14:paraId="6FDC74D0">
                <w:pPr>
                  <w:jc w:val="center"/>
                  <w:rPr>
                    <w:rFonts w:ascii="Calibri" w:hAnsi="Calibri"/>
                    <w:sz w:val="20"/>
                    <w:szCs w:val="20"/>
                  </w:rPr>
                </w:pPr>
                <w:r>
                  <w:rPr>
                    <w:rFonts w:hint="eastAsia" w:ascii="Calibri" w:hAnsi="Calibri"/>
                    <w:sz w:val="20"/>
                    <w:szCs w:val="20"/>
                  </w:rPr>
                  <w:t>本期确认的租赁收入</w:t>
                </w:r>
              </w:p>
            </w:tc>
          </w:sdtContent>
        </w:sdt>
        <w:sdt>
          <w:sdtPr>
            <w:tag w:val="_PLD_08d45094bbb64f479287ecd678beea52"/>
            <w:id w:val="1161273136"/>
          </w:sdtPr>
          <w:sdtContent>
            <w:tc>
              <w:tcPr>
                <w:tcW w:w="2720" w:type="dxa"/>
                <w:tcBorders>
                  <w:top w:val="single" w:color="auto" w:sz="4" w:space="0"/>
                  <w:left w:val="single" w:color="auto" w:sz="4" w:space="0"/>
                  <w:right w:val="single" w:color="auto" w:sz="4" w:space="0"/>
                </w:tcBorders>
                <w:vAlign w:val="center"/>
              </w:tcPr>
              <w:p w14:paraId="7E7B1381">
                <w:pPr>
                  <w:jc w:val="center"/>
                  <w:rPr>
                    <w:rFonts w:ascii="Calibri" w:hAnsi="Calibri"/>
                    <w:sz w:val="20"/>
                    <w:szCs w:val="20"/>
                  </w:rPr>
                </w:pPr>
                <w:r>
                  <w:rPr>
                    <w:rFonts w:hint="eastAsia" w:ascii="Calibri" w:hAnsi="Calibri"/>
                    <w:sz w:val="20"/>
                    <w:szCs w:val="20"/>
                  </w:rPr>
                  <w:t>上期确认的租赁收入</w:t>
                </w:r>
              </w:p>
            </w:tc>
          </w:sdtContent>
        </w:sdt>
      </w:tr>
      <w:tr w14:paraId="0EEA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tcBorders>
              <w:top w:val="single" w:color="auto" w:sz="4" w:space="0"/>
              <w:left w:val="single" w:color="auto" w:sz="4" w:space="0"/>
              <w:bottom w:val="single" w:color="auto" w:sz="4" w:space="0"/>
              <w:right w:val="single" w:color="auto" w:sz="4" w:space="0"/>
            </w:tcBorders>
            <w:vAlign w:val="center"/>
          </w:tcPr>
          <w:p w14:paraId="6F0F6F46">
            <w:pPr>
              <w:pStyle w:val="48"/>
              <w:rPr>
                <w:sz w:val="20"/>
                <w:szCs w:val="20"/>
              </w:rPr>
            </w:pPr>
            <w:r>
              <w:rPr>
                <w:sz w:val="20"/>
                <w:szCs w:val="20"/>
              </w:rPr>
              <w:t>吉林恒德环保有限公司</w:t>
            </w:r>
          </w:p>
        </w:tc>
        <w:tc>
          <w:tcPr>
            <w:tcW w:w="2017" w:type="dxa"/>
            <w:tcBorders>
              <w:top w:val="single" w:color="auto" w:sz="4" w:space="0"/>
              <w:left w:val="single" w:color="auto" w:sz="4" w:space="0"/>
              <w:bottom w:val="single" w:color="auto" w:sz="4" w:space="0"/>
              <w:right w:val="single" w:color="auto" w:sz="4" w:space="0"/>
            </w:tcBorders>
            <w:vAlign w:val="center"/>
          </w:tcPr>
          <w:p w14:paraId="07574302">
            <w:pPr>
              <w:pStyle w:val="48"/>
              <w:rPr>
                <w:sz w:val="20"/>
                <w:szCs w:val="20"/>
              </w:rPr>
            </w:pPr>
            <w:r>
              <w:rPr>
                <w:sz w:val="20"/>
                <w:szCs w:val="20"/>
              </w:rPr>
              <w:t>污水处理设备</w:t>
            </w:r>
          </w:p>
        </w:tc>
        <w:tc>
          <w:tcPr>
            <w:tcW w:w="2504" w:type="dxa"/>
            <w:tcBorders>
              <w:top w:val="single" w:color="auto" w:sz="4" w:space="0"/>
              <w:left w:val="single" w:color="auto" w:sz="4" w:space="0"/>
              <w:bottom w:val="single" w:color="auto" w:sz="4" w:space="0"/>
              <w:right w:val="single" w:color="auto" w:sz="4" w:space="0"/>
            </w:tcBorders>
            <w:vAlign w:val="center"/>
          </w:tcPr>
          <w:p w14:paraId="3CFCB38E">
            <w:pPr>
              <w:spacing w:line="360" w:lineRule="auto"/>
              <w:jc w:val="right"/>
              <w:rPr>
                <w:rFonts w:ascii="Calibri" w:hAnsi="Calibri"/>
                <w:sz w:val="20"/>
                <w:szCs w:val="20"/>
              </w:rPr>
            </w:pPr>
            <w:r>
              <w:rPr>
                <w:rFonts w:ascii="Calibri" w:hAnsi="Calibri"/>
                <w:sz w:val="20"/>
                <w:szCs w:val="20"/>
              </w:rPr>
              <w:t>2,389,380.52</w:t>
            </w:r>
          </w:p>
        </w:tc>
        <w:tc>
          <w:tcPr>
            <w:tcW w:w="2720" w:type="dxa"/>
            <w:tcBorders>
              <w:top w:val="single" w:color="auto" w:sz="4" w:space="0"/>
              <w:left w:val="single" w:color="auto" w:sz="4" w:space="0"/>
              <w:bottom w:val="single" w:color="auto" w:sz="4" w:space="0"/>
              <w:right w:val="single" w:color="auto" w:sz="4" w:space="0"/>
            </w:tcBorders>
            <w:vAlign w:val="center"/>
          </w:tcPr>
          <w:p w14:paraId="0CBCB1D8">
            <w:pPr>
              <w:jc w:val="right"/>
              <w:rPr>
                <w:rFonts w:ascii="Calibri" w:hAnsi="Calibri"/>
                <w:sz w:val="20"/>
                <w:szCs w:val="20"/>
              </w:rPr>
            </w:pPr>
            <w:r>
              <w:rPr>
                <w:rFonts w:ascii="Calibri" w:hAnsi="Calibri"/>
                <w:sz w:val="20"/>
                <w:szCs w:val="20"/>
              </w:rPr>
              <w:t>1,769,911.52</w:t>
            </w:r>
          </w:p>
        </w:tc>
      </w:tr>
      <w:tr w14:paraId="085B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tcBorders>
              <w:top w:val="single" w:color="auto" w:sz="4" w:space="0"/>
              <w:left w:val="single" w:color="auto" w:sz="4" w:space="0"/>
              <w:bottom w:val="single" w:color="auto" w:sz="4" w:space="0"/>
              <w:right w:val="single" w:color="auto" w:sz="4" w:space="0"/>
            </w:tcBorders>
            <w:vAlign w:val="center"/>
          </w:tcPr>
          <w:p w14:paraId="5C9ABF5E">
            <w:pPr>
              <w:pStyle w:val="48"/>
              <w:rPr>
                <w:sz w:val="20"/>
                <w:szCs w:val="20"/>
              </w:rPr>
            </w:pPr>
            <w:r>
              <w:rPr>
                <w:sz w:val="20"/>
                <w:szCs w:val="20"/>
              </w:rPr>
              <w:t>君合盟生物制药（通化）有限公司</w:t>
            </w:r>
          </w:p>
        </w:tc>
        <w:tc>
          <w:tcPr>
            <w:tcW w:w="2017" w:type="dxa"/>
            <w:tcBorders>
              <w:top w:val="single" w:color="auto" w:sz="4" w:space="0"/>
              <w:left w:val="single" w:color="auto" w:sz="4" w:space="0"/>
              <w:bottom w:val="single" w:color="auto" w:sz="4" w:space="0"/>
              <w:right w:val="single" w:color="auto" w:sz="4" w:space="0"/>
            </w:tcBorders>
            <w:vAlign w:val="center"/>
          </w:tcPr>
          <w:p w14:paraId="00E4FEF3">
            <w:pPr>
              <w:pStyle w:val="48"/>
              <w:rPr>
                <w:sz w:val="20"/>
                <w:szCs w:val="20"/>
              </w:rPr>
            </w:pPr>
            <w:r>
              <w:rPr>
                <w:sz w:val="20"/>
                <w:szCs w:val="20"/>
              </w:rPr>
              <w:t>中试车间设备</w:t>
            </w:r>
          </w:p>
        </w:tc>
        <w:tc>
          <w:tcPr>
            <w:tcW w:w="2504" w:type="dxa"/>
            <w:tcBorders>
              <w:top w:val="single" w:color="auto" w:sz="4" w:space="0"/>
              <w:left w:val="single" w:color="auto" w:sz="4" w:space="0"/>
              <w:bottom w:val="single" w:color="auto" w:sz="4" w:space="0"/>
              <w:right w:val="single" w:color="auto" w:sz="4" w:space="0"/>
            </w:tcBorders>
            <w:vAlign w:val="center"/>
          </w:tcPr>
          <w:p w14:paraId="679AA546">
            <w:pPr>
              <w:jc w:val="right"/>
              <w:rPr>
                <w:rFonts w:ascii="Calibri" w:hAnsi="Calibri"/>
                <w:sz w:val="20"/>
                <w:szCs w:val="20"/>
              </w:rPr>
            </w:pPr>
            <w:r>
              <w:rPr>
                <w:rFonts w:ascii="Calibri" w:hAnsi="Calibri"/>
                <w:sz w:val="20"/>
                <w:szCs w:val="20"/>
              </w:rPr>
              <w:t>1,743,111.45</w:t>
            </w:r>
          </w:p>
        </w:tc>
        <w:tc>
          <w:tcPr>
            <w:tcW w:w="2720" w:type="dxa"/>
            <w:tcBorders>
              <w:top w:val="single" w:color="auto" w:sz="4" w:space="0"/>
              <w:left w:val="single" w:color="auto" w:sz="4" w:space="0"/>
              <w:bottom w:val="single" w:color="auto" w:sz="4" w:space="0"/>
              <w:right w:val="single" w:color="auto" w:sz="4" w:space="0"/>
            </w:tcBorders>
            <w:vAlign w:val="center"/>
          </w:tcPr>
          <w:p w14:paraId="7CDD9441">
            <w:pPr>
              <w:jc w:val="right"/>
              <w:rPr>
                <w:rFonts w:ascii="Calibri" w:hAnsi="Calibri"/>
                <w:sz w:val="20"/>
                <w:szCs w:val="20"/>
              </w:rPr>
            </w:pPr>
            <w:r>
              <w:rPr>
                <w:rFonts w:ascii="Calibri" w:hAnsi="Calibri"/>
                <w:sz w:val="20"/>
                <w:szCs w:val="20"/>
              </w:rPr>
              <w:t>1,414,751.45</w:t>
            </w:r>
          </w:p>
        </w:tc>
      </w:tr>
      <w:tr w14:paraId="60F3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tcBorders>
              <w:top w:val="single" w:color="auto" w:sz="4" w:space="0"/>
              <w:left w:val="single" w:color="auto" w:sz="4" w:space="0"/>
              <w:bottom w:val="single" w:color="auto" w:sz="4" w:space="0"/>
              <w:right w:val="single" w:color="auto" w:sz="4" w:space="0"/>
            </w:tcBorders>
            <w:vAlign w:val="center"/>
          </w:tcPr>
          <w:p w14:paraId="12D5D071">
            <w:pPr>
              <w:pStyle w:val="48"/>
              <w:rPr>
                <w:sz w:val="20"/>
                <w:szCs w:val="20"/>
              </w:rPr>
            </w:pPr>
            <w:r>
              <w:rPr>
                <w:rFonts w:hint="eastAsia"/>
                <w:sz w:val="20"/>
                <w:szCs w:val="20"/>
              </w:rPr>
              <w:t>东宝实业集团股份有限公司</w:t>
            </w:r>
          </w:p>
        </w:tc>
        <w:tc>
          <w:tcPr>
            <w:tcW w:w="2017" w:type="dxa"/>
            <w:tcBorders>
              <w:top w:val="single" w:color="auto" w:sz="4" w:space="0"/>
              <w:left w:val="single" w:color="auto" w:sz="4" w:space="0"/>
              <w:bottom w:val="single" w:color="auto" w:sz="4" w:space="0"/>
              <w:right w:val="single" w:color="auto" w:sz="4" w:space="0"/>
            </w:tcBorders>
            <w:vAlign w:val="center"/>
          </w:tcPr>
          <w:p w14:paraId="73A106E5">
            <w:pPr>
              <w:pStyle w:val="48"/>
              <w:rPr>
                <w:sz w:val="20"/>
                <w:szCs w:val="20"/>
              </w:rPr>
            </w:pPr>
            <w:r>
              <w:rPr>
                <w:sz w:val="20"/>
                <w:szCs w:val="20"/>
              </w:rPr>
              <w:t>场地租赁</w:t>
            </w:r>
          </w:p>
        </w:tc>
        <w:tc>
          <w:tcPr>
            <w:tcW w:w="2504" w:type="dxa"/>
            <w:tcBorders>
              <w:top w:val="single" w:color="auto" w:sz="4" w:space="0"/>
              <w:left w:val="single" w:color="auto" w:sz="4" w:space="0"/>
              <w:bottom w:val="single" w:color="auto" w:sz="4" w:space="0"/>
              <w:right w:val="single" w:color="auto" w:sz="4" w:space="0"/>
            </w:tcBorders>
            <w:vAlign w:val="center"/>
          </w:tcPr>
          <w:p w14:paraId="0131DBC4">
            <w:pPr>
              <w:jc w:val="right"/>
              <w:rPr>
                <w:rFonts w:ascii="Calibri" w:hAnsi="Calibri"/>
                <w:sz w:val="20"/>
                <w:szCs w:val="20"/>
              </w:rPr>
            </w:pPr>
            <w:r>
              <w:rPr>
                <w:rFonts w:ascii="Calibri" w:hAnsi="Calibri"/>
                <w:sz w:val="20"/>
                <w:szCs w:val="20"/>
              </w:rPr>
              <w:t>47,619.05</w:t>
            </w:r>
          </w:p>
        </w:tc>
        <w:tc>
          <w:tcPr>
            <w:tcW w:w="2720" w:type="dxa"/>
            <w:tcBorders>
              <w:top w:val="single" w:color="auto" w:sz="4" w:space="0"/>
              <w:left w:val="single" w:color="auto" w:sz="4" w:space="0"/>
              <w:bottom w:val="single" w:color="auto" w:sz="4" w:space="0"/>
              <w:right w:val="single" w:color="auto" w:sz="4" w:space="0"/>
            </w:tcBorders>
            <w:vAlign w:val="center"/>
          </w:tcPr>
          <w:p w14:paraId="746BD946">
            <w:pPr>
              <w:jc w:val="right"/>
              <w:rPr>
                <w:rFonts w:ascii="Calibri" w:hAnsi="Calibri"/>
                <w:sz w:val="20"/>
                <w:szCs w:val="20"/>
              </w:rPr>
            </w:pPr>
          </w:p>
        </w:tc>
      </w:tr>
      <w:tr w14:paraId="198F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tcBorders>
              <w:top w:val="single" w:color="auto" w:sz="4" w:space="0"/>
              <w:left w:val="single" w:color="auto" w:sz="4" w:space="0"/>
              <w:bottom w:val="single" w:color="auto" w:sz="4" w:space="0"/>
              <w:right w:val="single" w:color="auto" w:sz="4" w:space="0"/>
            </w:tcBorders>
            <w:vAlign w:val="center"/>
          </w:tcPr>
          <w:p w14:paraId="38F46EB6">
            <w:pPr>
              <w:pStyle w:val="48"/>
              <w:jc w:val="center"/>
              <w:rPr>
                <w:sz w:val="20"/>
                <w:szCs w:val="20"/>
              </w:rPr>
            </w:pPr>
            <w:r>
              <w:rPr>
                <w:sz w:val="20"/>
                <w:szCs w:val="20"/>
              </w:rPr>
              <w:t>合计</w:t>
            </w:r>
          </w:p>
        </w:tc>
        <w:tc>
          <w:tcPr>
            <w:tcW w:w="2017" w:type="dxa"/>
            <w:tcBorders>
              <w:top w:val="single" w:color="auto" w:sz="4" w:space="0"/>
              <w:left w:val="single" w:color="auto" w:sz="4" w:space="0"/>
              <w:bottom w:val="single" w:color="auto" w:sz="4" w:space="0"/>
              <w:right w:val="single" w:color="auto" w:sz="4" w:space="0"/>
            </w:tcBorders>
            <w:vAlign w:val="center"/>
          </w:tcPr>
          <w:p w14:paraId="5B4BBFCC">
            <w:pPr>
              <w:pStyle w:val="48"/>
              <w:rPr>
                <w:sz w:val="20"/>
                <w:szCs w:val="20"/>
              </w:rPr>
            </w:pPr>
          </w:p>
        </w:tc>
        <w:tc>
          <w:tcPr>
            <w:tcW w:w="2504" w:type="dxa"/>
            <w:tcBorders>
              <w:top w:val="single" w:color="auto" w:sz="4" w:space="0"/>
              <w:left w:val="single" w:color="auto" w:sz="4" w:space="0"/>
              <w:bottom w:val="single" w:color="auto" w:sz="4" w:space="0"/>
              <w:right w:val="single" w:color="auto" w:sz="4" w:space="0"/>
            </w:tcBorders>
            <w:vAlign w:val="center"/>
          </w:tcPr>
          <w:p w14:paraId="61F917B6">
            <w:pPr>
              <w:jc w:val="right"/>
              <w:rPr>
                <w:rFonts w:ascii="Calibri" w:hAnsi="Calibri"/>
                <w:sz w:val="20"/>
                <w:szCs w:val="20"/>
              </w:rPr>
            </w:pPr>
            <w:r>
              <w:rPr>
                <w:rFonts w:ascii="Calibri" w:hAnsi="Calibri"/>
                <w:sz w:val="20"/>
                <w:szCs w:val="20"/>
              </w:rPr>
              <w:t>4,180,111.02</w:t>
            </w:r>
          </w:p>
        </w:tc>
        <w:tc>
          <w:tcPr>
            <w:tcW w:w="2720" w:type="dxa"/>
            <w:tcBorders>
              <w:top w:val="single" w:color="auto" w:sz="4" w:space="0"/>
              <w:left w:val="single" w:color="auto" w:sz="4" w:space="0"/>
              <w:bottom w:val="single" w:color="auto" w:sz="4" w:space="0"/>
              <w:right w:val="single" w:color="auto" w:sz="4" w:space="0"/>
            </w:tcBorders>
            <w:vAlign w:val="center"/>
          </w:tcPr>
          <w:p w14:paraId="132808D7">
            <w:pPr>
              <w:jc w:val="right"/>
              <w:rPr>
                <w:rFonts w:ascii="Calibri" w:hAnsi="Calibri"/>
                <w:sz w:val="20"/>
                <w:szCs w:val="20"/>
              </w:rPr>
            </w:pPr>
            <w:r>
              <w:rPr>
                <w:rFonts w:ascii="Calibri" w:hAnsi="Calibri"/>
                <w:sz w:val="20"/>
                <w:szCs w:val="20"/>
              </w:rPr>
              <w:t>3,184,662.97</w:t>
            </w:r>
          </w:p>
        </w:tc>
      </w:tr>
    </w:tbl>
    <w:p w14:paraId="2B45D142"/>
    <w:p w14:paraId="78C87472">
      <w:pPr>
        <w:sectPr>
          <w:pgSz w:w="11906" w:h="16838"/>
          <w:pgMar w:top="1525" w:right="1276" w:bottom="1440" w:left="1797" w:header="856" w:footer="992" w:gutter="0"/>
          <w:cols w:space="425" w:num="1"/>
          <w:docGrid w:linePitch="312" w:charSpace="0"/>
        </w:sectPr>
      </w:pPr>
    </w:p>
    <w:p w14:paraId="1B799851">
      <w:pPr>
        <w:pStyle w:val="48"/>
      </w:pPr>
    </w:p>
    <w:p w14:paraId="660FEA9C">
      <w:pPr>
        <w:pStyle w:val="48"/>
      </w:pPr>
      <w:r>
        <w:rPr>
          <w:rFonts w:hint="eastAsia"/>
        </w:rPr>
        <w:t>本公司作为承租方：</w:t>
      </w:r>
    </w:p>
    <w:sdt>
      <w:sdtPr>
        <w:alias w:val="是否适用：本公司作为承租方的租赁情况表[双击切换]"/>
        <w:tag w:val="_GBC_f8542afd84e2430aad299d7024543330"/>
        <w:id w:val="-1401832473"/>
        <w:placeholder>
          <w:docPart w:val="GBC22222222222222222222222222222"/>
        </w:placeholder>
      </w:sdtPr>
      <w:sdtContent>
        <w:p w14:paraId="3AC0B1DD">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33A6818">
      <w:pPr>
        <w:jc w:val="right"/>
      </w:pPr>
      <w:r>
        <w:rPr>
          <w:rFonts w:hint="eastAsia"/>
        </w:rPr>
        <w:t>单位：</w:t>
      </w:r>
      <w:sdt>
        <w:sdtPr>
          <w:rPr>
            <w:rFonts w:hint="eastAsia"/>
          </w:rPr>
          <w:alias w:val="单位：公司承租情况表"/>
          <w:tag w:val="_GBC_8ac97dab93ef410a9d23b3aefc024986"/>
          <w:id w:val="-103426681"/>
          <w:placeholder>
            <w:docPart w:val="21C86FEE27E24B619C9B1C160F3AB3A7"/>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公司承租情况表"/>
          <w:tag w:val="_GBC_634ba3e46c2f477ca3c544a6d05a7b33"/>
          <w:id w:val="-143211092"/>
          <w:placeholder>
            <w:docPart w:val="21C86FEE27E24B619C9B1C160F3AB3A7"/>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13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306"/>
        <w:gridCol w:w="1358"/>
        <w:gridCol w:w="1105"/>
        <w:gridCol w:w="1222"/>
        <w:gridCol w:w="988"/>
        <w:gridCol w:w="1109"/>
        <w:gridCol w:w="1105"/>
        <w:gridCol w:w="1105"/>
        <w:gridCol w:w="1105"/>
        <w:gridCol w:w="1105"/>
        <w:gridCol w:w="1106"/>
      </w:tblGrid>
      <w:tr w14:paraId="2AA6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15e805317bd4bada351c82c66d90cf7"/>
            <w:id w:val="-1214184798"/>
          </w:sdtPr>
          <w:sdtContent>
            <w:tc>
              <w:tcPr>
                <w:tcW w:w="1383" w:type="dxa"/>
                <w:vMerge w:val="restart"/>
                <w:vAlign w:val="center"/>
              </w:tcPr>
              <w:p w14:paraId="337C4D13">
                <w:pPr>
                  <w:pStyle w:val="48"/>
                  <w:rPr>
                    <w:sz w:val="20"/>
                    <w:szCs w:val="20"/>
                  </w:rPr>
                </w:pPr>
                <w:r>
                  <w:rPr>
                    <w:sz w:val="20"/>
                    <w:szCs w:val="20"/>
                  </w:rPr>
                  <w:t>出租方名称</w:t>
                </w:r>
              </w:p>
            </w:tc>
          </w:sdtContent>
        </w:sdt>
        <w:sdt>
          <w:sdtPr>
            <w:tag w:val="_PLD_bd9f10ecf73c4e64bfcdb0c76ca7de07"/>
            <w:id w:val="1006712560"/>
          </w:sdtPr>
          <w:sdtContent>
            <w:tc>
              <w:tcPr>
                <w:tcW w:w="1306" w:type="dxa"/>
                <w:vMerge w:val="restart"/>
                <w:vAlign w:val="center"/>
              </w:tcPr>
              <w:p w14:paraId="394B0003">
                <w:pPr>
                  <w:pStyle w:val="48"/>
                  <w:jc w:val="center"/>
                  <w:rPr>
                    <w:sz w:val="20"/>
                    <w:szCs w:val="20"/>
                  </w:rPr>
                </w:pPr>
                <w:r>
                  <w:rPr>
                    <w:sz w:val="20"/>
                    <w:szCs w:val="20"/>
                  </w:rPr>
                  <w:t>租赁资产种类</w:t>
                </w:r>
              </w:p>
            </w:tc>
          </w:sdtContent>
        </w:sdt>
        <w:sdt>
          <w:sdtPr>
            <w:tag w:val="_PLD_f408ee738e134164b8505074f206f65c"/>
            <w:id w:val="-650983506"/>
          </w:sdtPr>
          <w:sdtContent>
            <w:tc>
              <w:tcPr>
                <w:tcW w:w="5782" w:type="dxa"/>
                <w:gridSpan w:val="5"/>
                <w:vAlign w:val="center"/>
              </w:tcPr>
              <w:p w14:paraId="33F67177">
                <w:pPr>
                  <w:jc w:val="center"/>
                  <w:rPr>
                    <w:rFonts w:ascii="Calibri" w:hAnsi="Calibri"/>
                    <w:color w:val="000000"/>
                    <w:sz w:val="20"/>
                    <w:szCs w:val="20"/>
                  </w:rPr>
                </w:pPr>
                <w:r>
                  <w:rPr>
                    <w:rFonts w:hint="eastAsia" w:ascii="Calibri" w:hAnsi="Calibri"/>
                    <w:color w:val="000000"/>
                    <w:sz w:val="20"/>
                    <w:szCs w:val="20"/>
                  </w:rPr>
                  <w:t>本期发生额</w:t>
                </w:r>
              </w:p>
            </w:tc>
          </w:sdtContent>
        </w:sdt>
        <w:sdt>
          <w:sdtPr>
            <w:tag w:val="_PLD_9dba17eeee8845939295111413880968"/>
            <w:id w:val="-841854959"/>
          </w:sdtPr>
          <w:sdtContent>
            <w:tc>
              <w:tcPr>
                <w:tcW w:w="5526" w:type="dxa"/>
                <w:gridSpan w:val="5"/>
                <w:vAlign w:val="center"/>
              </w:tcPr>
              <w:p w14:paraId="4BD08DED">
                <w:pPr>
                  <w:jc w:val="center"/>
                  <w:rPr>
                    <w:rFonts w:ascii="Calibri" w:hAnsi="Calibri"/>
                    <w:color w:val="000000"/>
                    <w:sz w:val="20"/>
                    <w:szCs w:val="20"/>
                  </w:rPr>
                </w:pPr>
                <w:r>
                  <w:rPr>
                    <w:rFonts w:hint="eastAsia" w:ascii="Calibri" w:hAnsi="Calibri"/>
                    <w:color w:val="000000"/>
                    <w:sz w:val="20"/>
                    <w:szCs w:val="20"/>
                  </w:rPr>
                  <w:t>上期发生额</w:t>
                </w:r>
              </w:p>
            </w:tc>
          </w:sdtContent>
        </w:sdt>
      </w:tr>
      <w:tr w14:paraId="28B9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vMerge w:val="continue"/>
            <w:tcBorders>
              <w:bottom w:val="single" w:color="auto" w:sz="4" w:space="0"/>
            </w:tcBorders>
            <w:vAlign w:val="center"/>
          </w:tcPr>
          <w:p w14:paraId="3283BF95">
            <w:pPr>
              <w:rPr>
                <w:rFonts w:ascii="Calibri" w:hAnsi="Calibri"/>
                <w:color w:val="000000"/>
                <w:sz w:val="20"/>
                <w:szCs w:val="20"/>
              </w:rPr>
            </w:pPr>
          </w:p>
        </w:tc>
        <w:tc>
          <w:tcPr>
            <w:tcW w:w="1306" w:type="dxa"/>
            <w:vMerge w:val="continue"/>
            <w:tcBorders>
              <w:bottom w:val="single" w:color="auto" w:sz="4" w:space="0"/>
            </w:tcBorders>
            <w:vAlign w:val="center"/>
          </w:tcPr>
          <w:p w14:paraId="7760B799">
            <w:pPr>
              <w:rPr>
                <w:rFonts w:ascii="Calibri" w:hAnsi="Calibri"/>
                <w:color w:val="000000"/>
                <w:sz w:val="20"/>
                <w:szCs w:val="20"/>
              </w:rPr>
            </w:pPr>
          </w:p>
        </w:tc>
        <w:sdt>
          <w:sdtPr>
            <w:tag w:val="_PLD_0fa0f989cc68462fa2458d990a803964"/>
            <w:id w:val="64771713"/>
          </w:sdtPr>
          <w:sdtContent>
            <w:tc>
              <w:tcPr>
                <w:tcW w:w="1358" w:type="dxa"/>
                <w:tcBorders>
                  <w:top w:val="single" w:color="auto" w:sz="4" w:space="0"/>
                  <w:bottom w:val="single" w:color="auto" w:sz="4" w:space="0"/>
                  <w:right w:val="single" w:color="auto" w:sz="4" w:space="0"/>
                </w:tcBorders>
                <w:vAlign w:val="center"/>
              </w:tcPr>
              <w:p w14:paraId="082CBE3F">
                <w:pPr>
                  <w:jc w:val="center"/>
                  <w:rPr>
                    <w:rFonts w:ascii="Calibri" w:hAnsi="Calibri"/>
                    <w:sz w:val="20"/>
                    <w:szCs w:val="20"/>
                  </w:rPr>
                </w:pPr>
                <w:r>
                  <w:rPr>
                    <w:rFonts w:hint="eastAsia" w:ascii="Calibri" w:hAnsi="Calibri"/>
                    <w:sz w:val="20"/>
                    <w:szCs w:val="20"/>
                  </w:rPr>
                  <w:t>简化处理的短期租赁和低价值资产租赁的租金费用（如适用）</w:t>
                </w:r>
              </w:p>
            </w:tc>
          </w:sdtContent>
        </w:sdt>
        <w:sdt>
          <w:sdtPr>
            <w:tag w:val="_PLD_12277567f86442fdb3c0215a79942121"/>
            <w:id w:val="-356585593"/>
          </w:sdtPr>
          <w:sdtContent>
            <w:tc>
              <w:tcPr>
                <w:tcW w:w="1105" w:type="dxa"/>
                <w:tcBorders>
                  <w:top w:val="single" w:color="auto" w:sz="4" w:space="0"/>
                  <w:left w:val="single" w:color="auto" w:sz="4" w:space="0"/>
                  <w:bottom w:val="single" w:color="auto" w:sz="4" w:space="0"/>
                  <w:right w:val="single" w:color="auto" w:sz="4" w:space="0"/>
                </w:tcBorders>
                <w:vAlign w:val="center"/>
              </w:tcPr>
              <w:p w14:paraId="412DAE3E">
                <w:pPr>
                  <w:jc w:val="center"/>
                  <w:rPr>
                    <w:rFonts w:ascii="Calibri" w:hAnsi="Calibri"/>
                    <w:sz w:val="20"/>
                    <w:szCs w:val="20"/>
                  </w:rPr>
                </w:pPr>
                <w:r>
                  <w:rPr>
                    <w:rFonts w:ascii="Calibri" w:hAnsi="Calibri"/>
                    <w:sz w:val="20"/>
                    <w:szCs w:val="20"/>
                  </w:rPr>
                  <w:t>未纳入租赁负债计量的可变租赁付款额（如适用）</w:t>
                </w:r>
              </w:p>
            </w:tc>
          </w:sdtContent>
        </w:sdt>
        <w:sdt>
          <w:sdtPr>
            <w:tag w:val="_PLD_6ecf2808500f4118b24212b0c184cd43"/>
            <w:id w:val="-1918398856"/>
          </w:sdtPr>
          <w:sdtContent>
            <w:tc>
              <w:tcPr>
                <w:tcW w:w="1222" w:type="dxa"/>
                <w:tcBorders>
                  <w:top w:val="single" w:color="auto" w:sz="4" w:space="0"/>
                  <w:left w:val="single" w:color="auto" w:sz="4" w:space="0"/>
                  <w:bottom w:val="single" w:color="auto" w:sz="4" w:space="0"/>
                  <w:right w:val="single" w:color="auto" w:sz="4" w:space="0"/>
                </w:tcBorders>
                <w:vAlign w:val="center"/>
              </w:tcPr>
              <w:p w14:paraId="6E1FD57E">
                <w:pPr>
                  <w:jc w:val="center"/>
                  <w:rPr>
                    <w:rFonts w:ascii="Calibri" w:hAnsi="Calibri"/>
                    <w:sz w:val="20"/>
                    <w:szCs w:val="20"/>
                  </w:rPr>
                </w:pPr>
                <w:r>
                  <w:rPr>
                    <w:rFonts w:ascii="Calibri" w:hAnsi="Calibri"/>
                    <w:sz w:val="20"/>
                    <w:szCs w:val="20"/>
                  </w:rPr>
                  <w:t>支付的租金</w:t>
                </w:r>
              </w:p>
            </w:tc>
          </w:sdtContent>
        </w:sdt>
        <w:sdt>
          <w:sdtPr>
            <w:tag w:val="_PLD_8f5f24e35d1a4b4781e1cedec00486dc"/>
            <w:id w:val="-407222698"/>
          </w:sdtPr>
          <w:sdtContent>
            <w:tc>
              <w:tcPr>
                <w:tcW w:w="988" w:type="dxa"/>
                <w:tcBorders>
                  <w:top w:val="single" w:color="auto" w:sz="4" w:space="0"/>
                  <w:left w:val="single" w:color="auto" w:sz="4" w:space="0"/>
                  <w:bottom w:val="single" w:color="auto" w:sz="4" w:space="0"/>
                  <w:right w:val="single" w:color="auto" w:sz="4" w:space="0"/>
                </w:tcBorders>
                <w:vAlign w:val="center"/>
              </w:tcPr>
              <w:p w14:paraId="53E7406B">
                <w:pPr>
                  <w:jc w:val="center"/>
                  <w:rPr>
                    <w:rFonts w:ascii="Calibri" w:hAnsi="Calibri"/>
                    <w:sz w:val="20"/>
                    <w:szCs w:val="20"/>
                  </w:rPr>
                </w:pPr>
                <w:r>
                  <w:rPr>
                    <w:rFonts w:ascii="Calibri" w:hAnsi="Calibri"/>
                    <w:sz w:val="20"/>
                    <w:szCs w:val="20"/>
                  </w:rPr>
                  <w:t>承担的租赁负债利息支出</w:t>
                </w:r>
              </w:p>
            </w:tc>
          </w:sdtContent>
        </w:sdt>
        <w:sdt>
          <w:sdtPr>
            <w:tag w:val="_PLD_208f45b083af4f47af96bfb3605dce6a"/>
            <w:id w:val="-1586693283"/>
          </w:sdtPr>
          <w:sdtContent>
            <w:tc>
              <w:tcPr>
                <w:tcW w:w="1109" w:type="dxa"/>
                <w:tcBorders>
                  <w:top w:val="single" w:color="auto" w:sz="4" w:space="0"/>
                  <w:left w:val="single" w:color="auto" w:sz="4" w:space="0"/>
                  <w:bottom w:val="single" w:color="auto" w:sz="4" w:space="0"/>
                  <w:right w:val="single" w:color="auto" w:sz="4" w:space="0"/>
                </w:tcBorders>
                <w:vAlign w:val="center"/>
              </w:tcPr>
              <w:p w14:paraId="661C53FB">
                <w:pPr>
                  <w:jc w:val="center"/>
                  <w:rPr>
                    <w:rFonts w:ascii="Calibri" w:hAnsi="Calibri"/>
                    <w:sz w:val="20"/>
                    <w:szCs w:val="20"/>
                  </w:rPr>
                </w:pPr>
                <w:r>
                  <w:rPr>
                    <w:rFonts w:ascii="Calibri" w:hAnsi="Calibri"/>
                    <w:sz w:val="20"/>
                    <w:szCs w:val="20"/>
                  </w:rPr>
                  <w:t>增加的使用权资产</w:t>
                </w:r>
              </w:p>
            </w:tc>
          </w:sdtContent>
        </w:sdt>
        <w:sdt>
          <w:sdtPr>
            <w:tag w:val="_PLD_a249541347524d91983da4da056e20c8"/>
            <w:id w:val="-1998802864"/>
          </w:sdtPr>
          <w:sdtContent>
            <w:tc>
              <w:tcPr>
                <w:tcW w:w="1105" w:type="dxa"/>
                <w:tcBorders>
                  <w:top w:val="single" w:color="auto" w:sz="4" w:space="0"/>
                  <w:left w:val="single" w:color="auto" w:sz="4" w:space="0"/>
                  <w:bottom w:val="single" w:color="auto" w:sz="4" w:space="0"/>
                  <w:right w:val="single" w:color="auto" w:sz="4" w:space="0"/>
                </w:tcBorders>
                <w:vAlign w:val="center"/>
              </w:tcPr>
              <w:p w14:paraId="338AEFD9">
                <w:pPr>
                  <w:jc w:val="center"/>
                  <w:rPr>
                    <w:rFonts w:ascii="Calibri" w:hAnsi="Calibri"/>
                    <w:sz w:val="20"/>
                    <w:szCs w:val="20"/>
                  </w:rPr>
                </w:pPr>
                <w:r>
                  <w:rPr>
                    <w:rFonts w:ascii="Calibri" w:hAnsi="Calibri"/>
                    <w:sz w:val="20"/>
                    <w:szCs w:val="20"/>
                  </w:rPr>
                  <w:t>简化处理的短期租赁和低价值资产租赁的租金费用（如适用）</w:t>
                </w:r>
              </w:p>
            </w:tc>
          </w:sdtContent>
        </w:sdt>
        <w:sdt>
          <w:sdtPr>
            <w:tag w:val="_PLD_87c237a165f34de8accfd2e0b5b95b4b"/>
            <w:id w:val="1346671487"/>
          </w:sdtPr>
          <w:sdtContent>
            <w:tc>
              <w:tcPr>
                <w:tcW w:w="1105" w:type="dxa"/>
                <w:tcBorders>
                  <w:top w:val="single" w:color="auto" w:sz="4" w:space="0"/>
                  <w:left w:val="single" w:color="auto" w:sz="4" w:space="0"/>
                  <w:bottom w:val="single" w:color="auto" w:sz="4" w:space="0"/>
                  <w:right w:val="single" w:color="auto" w:sz="4" w:space="0"/>
                </w:tcBorders>
                <w:vAlign w:val="center"/>
              </w:tcPr>
              <w:p w14:paraId="7974620A">
                <w:pPr>
                  <w:jc w:val="center"/>
                  <w:rPr>
                    <w:rFonts w:ascii="Calibri" w:hAnsi="Calibri"/>
                    <w:sz w:val="20"/>
                    <w:szCs w:val="20"/>
                  </w:rPr>
                </w:pPr>
                <w:r>
                  <w:rPr>
                    <w:rFonts w:ascii="Calibri" w:hAnsi="Calibri"/>
                    <w:sz w:val="20"/>
                    <w:szCs w:val="20"/>
                  </w:rPr>
                  <w:t>未纳入租赁负债计量的可变租赁付款额（如适用）</w:t>
                </w:r>
              </w:p>
            </w:tc>
          </w:sdtContent>
        </w:sdt>
        <w:sdt>
          <w:sdtPr>
            <w:tag w:val="_PLD_7dc12f6da2bb4dcf9f12c3b31aeff759"/>
            <w:id w:val="-658536966"/>
          </w:sdtPr>
          <w:sdtContent>
            <w:tc>
              <w:tcPr>
                <w:tcW w:w="1105" w:type="dxa"/>
                <w:tcBorders>
                  <w:top w:val="single" w:color="auto" w:sz="4" w:space="0"/>
                  <w:left w:val="single" w:color="auto" w:sz="4" w:space="0"/>
                  <w:bottom w:val="single" w:color="auto" w:sz="4" w:space="0"/>
                  <w:right w:val="single" w:color="auto" w:sz="4" w:space="0"/>
                </w:tcBorders>
                <w:vAlign w:val="center"/>
              </w:tcPr>
              <w:p w14:paraId="01C8BF58">
                <w:pPr>
                  <w:jc w:val="center"/>
                  <w:rPr>
                    <w:rFonts w:ascii="Calibri" w:hAnsi="Calibri"/>
                    <w:sz w:val="20"/>
                    <w:szCs w:val="20"/>
                  </w:rPr>
                </w:pPr>
                <w:r>
                  <w:rPr>
                    <w:rFonts w:ascii="Calibri" w:hAnsi="Calibri"/>
                    <w:sz w:val="20"/>
                    <w:szCs w:val="20"/>
                  </w:rPr>
                  <w:t>支付的租金</w:t>
                </w:r>
              </w:p>
            </w:tc>
          </w:sdtContent>
        </w:sdt>
        <w:sdt>
          <w:sdtPr>
            <w:tag w:val="_PLD_8d4886f35d6b41ad8f113d34119bd354"/>
            <w:id w:val="582959308"/>
          </w:sdtPr>
          <w:sdtContent>
            <w:tc>
              <w:tcPr>
                <w:tcW w:w="1105" w:type="dxa"/>
                <w:tcBorders>
                  <w:top w:val="single" w:color="auto" w:sz="4" w:space="0"/>
                  <w:left w:val="single" w:color="auto" w:sz="4" w:space="0"/>
                  <w:bottom w:val="single" w:color="auto" w:sz="4" w:space="0"/>
                  <w:right w:val="single" w:color="auto" w:sz="4" w:space="0"/>
                </w:tcBorders>
                <w:vAlign w:val="center"/>
              </w:tcPr>
              <w:p w14:paraId="1ACB7E55">
                <w:pPr>
                  <w:jc w:val="center"/>
                  <w:rPr>
                    <w:rFonts w:ascii="Calibri" w:hAnsi="Calibri"/>
                    <w:sz w:val="20"/>
                    <w:szCs w:val="20"/>
                  </w:rPr>
                </w:pPr>
                <w:r>
                  <w:rPr>
                    <w:rFonts w:ascii="Calibri" w:hAnsi="Calibri"/>
                    <w:sz w:val="20"/>
                    <w:szCs w:val="20"/>
                  </w:rPr>
                  <w:t>承担的租赁负债利息支出</w:t>
                </w:r>
              </w:p>
            </w:tc>
          </w:sdtContent>
        </w:sdt>
        <w:sdt>
          <w:sdtPr>
            <w:tag w:val="_PLD_1563e907f2b4444f8e37a7e6647460e8"/>
            <w:id w:val="774361850"/>
          </w:sdtPr>
          <w:sdtContent>
            <w:tc>
              <w:tcPr>
                <w:tcW w:w="1106" w:type="dxa"/>
                <w:tcBorders>
                  <w:top w:val="single" w:color="auto" w:sz="4" w:space="0"/>
                  <w:left w:val="single" w:color="auto" w:sz="4" w:space="0"/>
                  <w:bottom w:val="single" w:color="auto" w:sz="4" w:space="0"/>
                  <w:right w:val="single" w:color="auto" w:sz="4" w:space="0"/>
                </w:tcBorders>
                <w:vAlign w:val="center"/>
              </w:tcPr>
              <w:p w14:paraId="1AB8879E">
                <w:pPr>
                  <w:jc w:val="center"/>
                  <w:rPr>
                    <w:rFonts w:ascii="Calibri" w:hAnsi="Calibri"/>
                    <w:sz w:val="20"/>
                    <w:szCs w:val="20"/>
                  </w:rPr>
                </w:pPr>
                <w:r>
                  <w:rPr>
                    <w:rFonts w:ascii="Calibri" w:hAnsi="Calibri"/>
                    <w:sz w:val="20"/>
                    <w:szCs w:val="20"/>
                  </w:rPr>
                  <w:t>增加的使用权资产</w:t>
                </w:r>
              </w:p>
            </w:tc>
          </w:sdtContent>
        </w:sdt>
      </w:tr>
      <w:tr w14:paraId="010E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Borders>
              <w:top w:val="single" w:color="auto" w:sz="4" w:space="0"/>
              <w:left w:val="single" w:color="auto" w:sz="4" w:space="0"/>
              <w:bottom w:val="single" w:color="auto" w:sz="4" w:space="0"/>
              <w:right w:val="single" w:color="auto" w:sz="4" w:space="0"/>
            </w:tcBorders>
            <w:vAlign w:val="center"/>
          </w:tcPr>
          <w:p w14:paraId="55C75663">
            <w:pPr>
              <w:pStyle w:val="48"/>
              <w:rPr>
                <w:sz w:val="20"/>
                <w:szCs w:val="20"/>
              </w:rPr>
            </w:pPr>
            <w:r>
              <w:rPr>
                <w:rFonts w:hint="eastAsia"/>
                <w:sz w:val="20"/>
                <w:szCs w:val="20"/>
              </w:rPr>
              <w:t>东宝实业集团股份有限公司</w:t>
            </w:r>
          </w:p>
        </w:tc>
        <w:tc>
          <w:tcPr>
            <w:tcW w:w="1306" w:type="dxa"/>
            <w:tcBorders>
              <w:top w:val="single" w:color="auto" w:sz="4" w:space="0"/>
              <w:left w:val="single" w:color="auto" w:sz="4" w:space="0"/>
              <w:bottom w:val="single" w:color="auto" w:sz="4" w:space="0"/>
              <w:right w:val="single" w:color="auto" w:sz="4" w:space="0"/>
            </w:tcBorders>
            <w:vAlign w:val="center"/>
          </w:tcPr>
          <w:p w14:paraId="2A7589FA">
            <w:pPr>
              <w:pStyle w:val="48"/>
              <w:rPr>
                <w:sz w:val="20"/>
                <w:szCs w:val="20"/>
              </w:rPr>
            </w:pPr>
            <w:r>
              <w:rPr>
                <w:rFonts w:hint="eastAsia"/>
                <w:sz w:val="20"/>
                <w:szCs w:val="20"/>
              </w:rPr>
              <w:t>房屋</w:t>
            </w:r>
          </w:p>
        </w:tc>
        <w:tc>
          <w:tcPr>
            <w:tcW w:w="1358" w:type="dxa"/>
            <w:tcBorders>
              <w:top w:val="single" w:color="auto" w:sz="4" w:space="0"/>
              <w:left w:val="single" w:color="auto" w:sz="4" w:space="0"/>
              <w:bottom w:val="single" w:color="auto" w:sz="4" w:space="0"/>
              <w:right w:val="single" w:color="auto" w:sz="4" w:space="0"/>
            </w:tcBorders>
            <w:vAlign w:val="center"/>
          </w:tcPr>
          <w:p w14:paraId="0A0C4FCE">
            <w:pPr>
              <w:jc w:val="right"/>
              <w:rPr>
                <w:rFonts w:ascii="Calibri" w:hAnsi="Calibri"/>
                <w:sz w:val="20"/>
                <w:szCs w:val="20"/>
              </w:rPr>
            </w:pPr>
            <w:r>
              <w:rPr>
                <w:rFonts w:ascii="Calibri" w:hAnsi="Calibri"/>
                <w:sz w:val="20"/>
                <w:szCs w:val="20"/>
              </w:rPr>
              <w:t>95,238.10</w:t>
            </w:r>
          </w:p>
        </w:tc>
        <w:tc>
          <w:tcPr>
            <w:tcW w:w="1105" w:type="dxa"/>
            <w:tcBorders>
              <w:top w:val="single" w:color="auto" w:sz="4" w:space="0"/>
              <w:left w:val="single" w:color="auto" w:sz="4" w:space="0"/>
              <w:bottom w:val="single" w:color="auto" w:sz="4" w:space="0"/>
              <w:right w:val="single" w:color="auto" w:sz="4" w:space="0"/>
            </w:tcBorders>
            <w:vAlign w:val="center"/>
          </w:tcPr>
          <w:p w14:paraId="19D854A6">
            <w:pPr>
              <w:jc w:val="right"/>
              <w:rPr>
                <w:rFonts w:ascii="Calibri" w:hAnsi="Calibri"/>
                <w:sz w:val="20"/>
                <w:szCs w:val="20"/>
              </w:rPr>
            </w:pPr>
          </w:p>
        </w:tc>
        <w:tc>
          <w:tcPr>
            <w:tcW w:w="1222" w:type="dxa"/>
            <w:tcBorders>
              <w:top w:val="single" w:color="auto" w:sz="4" w:space="0"/>
              <w:left w:val="single" w:color="auto" w:sz="4" w:space="0"/>
              <w:bottom w:val="single" w:color="auto" w:sz="4" w:space="0"/>
              <w:right w:val="single" w:color="auto" w:sz="4" w:space="0"/>
            </w:tcBorders>
            <w:vAlign w:val="center"/>
          </w:tcPr>
          <w:p w14:paraId="170E046C">
            <w:pPr>
              <w:jc w:val="right"/>
              <w:rPr>
                <w:rFonts w:ascii="Calibri" w:hAnsi="Calibri"/>
                <w:sz w:val="20"/>
                <w:szCs w:val="20"/>
              </w:rPr>
            </w:pPr>
            <w:r>
              <w:rPr>
                <w:rFonts w:ascii="Calibri" w:hAnsi="Calibri"/>
                <w:sz w:val="20"/>
                <w:szCs w:val="20"/>
              </w:rPr>
              <w:t>95,238.10</w:t>
            </w:r>
          </w:p>
        </w:tc>
        <w:tc>
          <w:tcPr>
            <w:tcW w:w="988" w:type="dxa"/>
            <w:tcBorders>
              <w:top w:val="single" w:color="auto" w:sz="4" w:space="0"/>
              <w:left w:val="single" w:color="auto" w:sz="4" w:space="0"/>
              <w:bottom w:val="single" w:color="auto" w:sz="4" w:space="0"/>
              <w:right w:val="single" w:color="auto" w:sz="4" w:space="0"/>
            </w:tcBorders>
            <w:vAlign w:val="center"/>
          </w:tcPr>
          <w:p w14:paraId="56939428">
            <w:pPr>
              <w:jc w:val="right"/>
              <w:rPr>
                <w:rFonts w:ascii="Calibri" w:hAnsi="Calibri"/>
                <w:sz w:val="20"/>
                <w:szCs w:val="20"/>
              </w:rPr>
            </w:pPr>
          </w:p>
        </w:tc>
        <w:tc>
          <w:tcPr>
            <w:tcW w:w="1109" w:type="dxa"/>
            <w:tcBorders>
              <w:top w:val="single" w:color="auto" w:sz="4" w:space="0"/>
              <w:left w:val="single" w:color="auto" w:sz="4" w:space="0"/>
              <w:bottom w:val="single" w:color="auto" w:sz="4" w:space="0"/>
              <w:right w:val="single" w:color="auto" w:sz="4" w:space="0"/>
            </w:tcBorders>
            <w:vAlign w:val="center"/>
          </w:tcPr>
          <w:p w14:paraId="743FBD2C">
            <w:pPr>
              <w:jc w:val="right"/>
              <w:rPr>
                <w:rFonts w:ascii="Calibri" w:hAnsi="Calibri"/>
                <w:sz w:val="20"/>
                <w:szCs w:val="20"/>
              </w:rPr>
            </w:pPr>
          </w:p>
        </w:tc>
        <w:tc>
          <w:tcPr>
            <w:tcW w:w="1105" w:type="dxa"/>
            <w:tcBorders>
              <w:top w:val="single" w:color="auto" w:sz="4" w:space="0"/>
              <w:left w:val="single" w:color="auto" w:sz="4" w:space="0"/>
              <w:bottom w:val="single" w:color="auto" w:sz="4" w:space="0"/>
              <w:right w:val="single" w:color="auto" w:sz="4" w:space="0"/>
            </w:tcBorders>
            <w:vAlign w:val="center"/>
          </w:tcPr>
          <w:p w14:paraId="48BD0190">
            <w:pPr>
              <w:jc w:val="right"/>
              <w:rPr>
                <w:rFonts w:ascii="Calibri" w:hAnsi="Calibri"/>
                <w:sz w:val="20"/>
                <w:szCs w:val="20"/>
              </w:rPr>
            </w:pPr>
          </w:p>
        </w:tc>
        <w:tc>
          <w:tcPr>
            <w:tcW w:w="1105" w:type="dxa"/>
            <w:tcBorders>
              <w:top w:val="single" w:color="auto" w:sz="4" w:space="0"/>
              <w:left w:val="single" w:color="auto" w:sz="4" w:space="0"/>
              <w:bottom w:val="single" w:color="auto" w:sz="4" w:space="0"/>
              <w:right w:val="single" w:color="auto" w:sz="4" w:space="0"/>
            </w:tcBorders>
            <w:vAlign w:val="center"/>
          </w:tcPr>
          <w:p w14:paraId="19101F9A">
            <w:pPr>
              <w:jc w:val="right"/>
              <w:rPr>
                <w:rFonts w:ascii="Calibri" w:hAnsi="Calibri"/>
                <w:sz w:val="20"/>
                <w:szCs w:val="20"/>
              </w:rPr>
            </w:pPr>
          </w:p>
        </w:tc>
        <w:tc>
          <w:tcPr>
            <w:tcW w:w="1105" w:type="dxa"/>
            <w:tcBorders>
              <w:top w:val="single" w:color="auto" w:sz="4" w:space="0"/>
              <w:left w:val="single" w:color="auto" w:sz="4" w:space="0"/>
              <w:bottom w:val="single" w:color="auto" w:sz="4" w:space="0"/>
              <w:right w:val="single" w:color="auto" w:sz="4" w:space="0"/>
            </w:tcBorders>
            <w:vAlign w:val="center"/>
          </w:tcPr>
          <w:p w14:paraId="322F084E">
            <w:pPr>
              <w:jc w:val="right"/>
              <w:rPr>
                <w:rFonts w:ascii="Calibri" w:hAnsi="Calibri"/>
                <w:sz w:val="20"/>
                <w:szCs w:val="20"/>
              </w:rPr>
            </w:pPr>
          </w:p>
        </w:tc>
        <w:tc>
          <w:tcPr>
            <w:tcW w:w="1105" w:type="dxa"/>
            <w:tcBorders>
              <w:top w:val="single" w:color="auto" w:sz="4" w:space="0"/>
              <w:left w:val="single" w:color="auto" w:sz="4" w:space="0"/>
              <w:bottom w:val="single" w:color="auto" w:sz="4" w:space="0"/>
              <w:right w:val="single" w:color="auto" w:sz="4" w:space="0"/>
            </w:tcBorders>
            <w:vAlign w:val="center"/>
          </w:tcPr>
          <w:p w14:paraId="28E9B7D8">
            <w:pPr>
              <w:jc w:val="right"/>
              <w:rPr>
                <w:rFonts w:ascii="Calibri" w:hAnsi="Calibri"/>
                <w:sz w:val="20"/>
                <w:szCs w:val="20"/>
              </w:rPr>
            </w:pPr>
          </w:p>
        </w:tc>
        <w:tc>
          <w:tcPr>
            <w:tcW w:w="1106" w:type="dxa"/>
            <w:tcBorders>
              <w:top w:val="single" w:color="auto" w:sz="4" w:space="0"/>
              <w:left w:val="single" w:color="auto" w:sz="4" w:space="0"/>
              <w:bottom w:val="single" w:color="auto" w:sz="4" w:space="0"/>
              <w:right w:val="single" w:color="auto" w:sz="4" w:space="0"/>
            </w:tcBorders>
            <w:vAlign w:val="center"/>
          </w:tcPr>
          <w:p w14:paraId="44AE461C">
            <w:pPr>
              <w:jc w:val="right"/>
              <w:rPr>
                <w:rFonts w:ascii="Calibri" w:hAnsi="Calibri"/>
                <w:sz w:val="20"/>
                <w:szCs w:val="20"/>
              </w:rPr>
            </w:pPr>
          </w:p>
        </w:tc>
      </w:tr>
    </w:tbl>
    <w:p w14:paraId="52B2824B"/>
    <w:p w14:paraId="38B38DC7">
      <w:pPr>
        <w:pStyle w:val="48"/>
      </w:pPr>
    </w:p>
    <w:p w14:paraId="0B1A1BCF">
      <w:pPr>
        <w:pStyle w:val="48"/>
      </w:pPr>
      <w:r>
        <w:rPr>
          <w:rFonts w:hint="eastAsia"/>
        </w:rPr>
        <w:t>关联租赁情况说明</w:t>
      </w:r>
    </w:p>
    <w:sdt>
      <w:sdtPr>
        <w:alias w:val="是否适用：关联租赁情况说明[双击切换]"/>
        <w:tag w:val="_GBC_f11304240a9e46d8b340976a035205d3"/>
        <w:id w:val="472949736"/>
        <w:placeholder>
          <w:docPart w:val="GBC22222222222222222222222222222"/>
        </w:placeholder>
      </w:sdtPr>
      <w:sdtContent>
        <w:p w14:paraId="76951322">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E56D323">
      <w:pPr>
        <w:pStyle w:val="48"/>
      </w:pPr>
    </w:p>
    <w:bookmarkEnd w:id="372"/>
    <w:p w14:paraId="7C541C9D">
      <w:pPr>
        <w:sectPr>
          <w:pgSz w:w="16838" w:h="11906" w:orient="landscape"/>
          <w:pgMar w:top="1797" w:right="1525" w:bottom="1276" w:left="1440" w:header="856" w:footer="992" w:gutter="0"/>
          <w:cols w:space="425" w:num="1"/>
          <w:docGrid w:linePitch="312" w:charSpace="0"/>
        </w:sectPr>
      </w:pPr>
    </w:p>
    <w:p w14:paraId="00E01ED2">
      <w:pPr>
        <w:pStyle w:val="48"/>
      </w:pPr>
    </w:p>
    <w:p w14:paraId="1BB5BF18">
      <w:pPr>
        <w:pStyle w:val="5"/>
        <w:numPr>
          <w:ilvl w:val="3"/>
          <w:numId w:val="116"/>
        </w:numPr>
        <w:ind w:left="424" w:hanging="424" w:hangingChars="201"/>
      </w:pPr>
      <w:r>
        <w:rPr>
          <w:rFonts w:hint="eastAsia"/>
        </w:rPr>
        <w:t>关联担保情况</w:t>
      </w:r>
    </w:p>
    <w:p w14:paraId="486845D1">
      <w:pPr>
        <w:pStyle w:val="48"/>
      </w:pPr>
      <w:r>
        <w:rPr>
          <w:rFonts w:hint="eastAsia"/>
        </w:rPr>
        <w:t>本公司作为担保方</w:t>
      </w:r>
    </w:p>
    <w:sdt>
      <w:sdtPr>
        <w:alias w:val="是否适用：本公司作为担保方的担保情况表[双击切换]"/>
        <w:tag w:val="_GBC_4ba390d56c0645788c7893af84ca2773"/>
        <w:id w:val="1722397864"/>
        <w:placeholder>
          <w:docPart w:val="GBC22222222222222222222222222222"/>
        </w:placeholder>
      </w:sdtPr>
      <w:sdtContent>
        <w:p w14:paraId="102B9520">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846ECD">
      <w:pPr>
        <w:pStyle w:val="48"/>
      </w:pPr>
    </w:p>
    <w:p w14:paraId="37243F39">
      <w:pPr>
        <w:rPr>
          <w:rFonts w:ascii="Cambria" w:hAnsi="Cambria" w:cs="Cambria"/>
        </w:rPr>
      </w:pPr>
      <w:r>
        <w:rPr>
          <w:rFonts w:hint="eastAsia" w:ascii="Cambria" w:hAnsi="Cambria" w:cs="Cambria"/>
        </w:rPr>
        <w:t>本公司作为被担保方</w:t>
      </w:r>
    </w:p>
    <w:sdt>
      <w:sdtPr>
        <w:rPr>
          <w:rFonts w:ascii="Cambria" w:hAnsi="Cambria" w:cs="Cambria"/>
        </w:rPr>
        <w:alias w:val="是否适用：本公司作为被担保方的担保情况表[双击切换]"/>
        <w:tag w:val="_GBC_24ee28d66e214f089c669dca4a51a3a4"/>
        <w:id w:val="-1289809312"/>
        <w:placeholder>
          <w:docPart w:val="GBC22222222222222222222222222222"/>
        </w:placeholder>
      </w:sdtPr>
      <w:sdtEndPr>
        <w:rPr>
          <w:rFonts w:ascii="Cambria" w:hAnsi="Cambria" w:cs="Cambria"/>
        </w:rPr>
      </w:sdtEndPr>
      <w:sdtContent>
        <w:p w14:paraId="27E6F1AB">
          <w:pPr>
            <w:rPr>
              <w:rFonts w:ascii="Cambria" w:hAnsi="Cambria" w:cs="Cambria"/>
            </w:rPr>
          </w:pPr>
          <w:r>
            <w:rPr>
              <w:rFonts w:ascii="宋体" w:hAnsi="宋体" w:cs="Cambria"/>
            </w:rPr>
            <w:fldChar w:fldCharType="begin"/>
          </w:r>
          <w:r>
            <w:rPr>
              <w:rFonts w:ascii="宋体" w:hAnsi="宋体" w:cs="Cambr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14:paraId="6CA83318"/>
    <w:p w14:paraId="51BE5FD9">
      <w:pPr>
        <w:rPr>
          <w:rFonts w:ascii="Cambria" w:hAnsi="Cambria" w:cs="Cambria"/>
        </w:rPr>
      </w:pPr>
      <w:r>
        <w:rPr>
          <w:rFonts w:hint="eastAsia" w:ascii="Cambria" w:hAnsi="Cambria" w:cs="Cambria"/>
        </w:rPr>
        <w:t>关联担保情况说明</w:t>
      </w:r>
    </w:p>
    <w:sdt>
      <w:sdtPr>
        <w:rPr>
          <w:rFonts w:ascii="Cambria" w:hAnsi="Cambria" w:cs="Cambria"/>
        </w:rPr>
        <w:alias w:val="是否适用：关联担保情况说明[双击切换]"/>
        <w:tag w:val="_GBC_455c21d6a2674726afee6a2386be7898"/>
        <w:id w:val="-2052912325"/>
        <w:placeholder>
          <w:docPart w:val="GBC22222222222222222222222222222"/>
        </w:placeholder>
      </w:sdtPr>
      <w:sdtEndPr>
        <w:rPr>
          <w:rFonts w:ascii="Cambria" w:hAnsi="Cambria" w:cs="Cambria"/>
        </w:rPr>
      </w:sdtEndPr>
      <w:sdtContent>
        <w:p w14:paraId="1671B94B">
          <w:pPr>
            <w:rPr>
              <w:rFonts w:ascii="Cambria" w:hAnsi="Cambria" w:cs="Cambria"/>
            </w:rPr>
          </w:pPr>
          <w:r>
            <w:rPr>
              <w:rFonts w:ascii="宋体" w:hAnsi="宋体" w:cs="Cambria"/>
            </w:rPr>
            <w:fldChar w:fldCharType="begin"/>
          </w:r>
          <w:r>
            <w:rPr>
              <w:rFonts w:ascii="宋体" w:hAnsi="宋体" w:cs="Cambr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14:paraId="6F7AB9D4">
      <w:pPr>
        <w:rPr>
          <w:rFonts w:ascii="Cambria" w:hAnsi="Cambria" w:cs="Cambria"/>
          <w:sz w:val="20"/>
        </w:rPr>
      </w:pPr>
    </w:p>
    <w:p w14:paraId="0591BE53">
      <w:pPr>
        <w:pStyle w:val="5"/>
        <w:numPr>
          <w:ilvl w:val="3"/>
          <w:numId w:val="116"/>
        </w:numPr>
        <w:ind w:left="424" w:hanging="424" w:hangingChars="201"/>
      </w:pPr>
      <w:r>
        <w:rPr>
          <w:rFonts w:hint="eastAsia"/>
        </w:rPr>
        <w:t>关联方资金拆借</w:t>
      </w:r>
    </w:p>
    <w:sdt>
      <w:sdtPr>
        <w:alias w:val="是否适用：关联方资金拆借[双击切换]"/>
        <w:tag w:val="_GBC_9b5630a86e1e452494249106e2600b15"/>
        <w:id w:val="811995893"/>
        <w:placeholder>
          <w:docPart w:val="GBC22222222222222222222222222222"/>
        </w:placeholder>
      </w:sdtPr>
      <w:sdtContent>
        <w:p w14:paraId="5537A29B">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591EB6C">
      <w:pPr>
        <w:jc w:val="right"/>
        <w:rPr>
          <w:rFonts w:ascii="Cambria" w:hAnsi="Cambria" w:cs="Cambria"/>
        </w:rPr>
      </w:pPr>
      <w:r>
        <w:rPr>
          <w:rFonts w:hint="eastAsia" w:ascii="Cambria" w:hAnsi="Cambria" w:cs="Cambria"/>
        </w:rPr>
        <w:t>单位：</w:t>
      </w:r>
      <w:sdt>
        <w:sdtPr>
          <w:rPr>
            <w:rFonts w:hint="eastAsia" w:ascii="Cambria" w:hAnsi="Cambria" w:cs="Cambria"/>
          </w:rPr>
          <w:alias w:val="单位：关联方资金拆借"/>
          <w:tag w:val="_GBC_638fcfec5a6e4e3da37731c50c9e14c8"/>
          <w:id w:val="-16597682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元</w:t>
          </w:r>
        </w:sdtContent>
      </w:sdt>
      <w:r>
        <w:rPr>
          <w:rFonts w:hint="eastAsia" w:ascii="Cambria" w:hAnsi="Cambria" w:cs="Cambria"/>
        </w:rPr>
        <w:t xml:space="preserve">  币种：</w:t>
      </w:r>
      <w:sdt>
        <w:sdtPr>
          <w:rPr>
            <w:rFonts w:hint="eastAsia" w:ascii="Cambria" w:hAnsi="Cambria" w:cs="Cambria"/>
          </w:rPr>
          <w:alias w:val="币种：关联方资金拆借"/>
          <w:tag w:val="_GBC_9ffab5562b4d42a7ad87881f0bdc32c6"/>
          <w:id w:val="-11993191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5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809"/>
        <w:gridCol w:w="1809"/>
        <w:gridCol w:w="1809"/>
        <w:gridCol w:w="1813"/>
      </w:tblGrid>
      <w:tr w14:paraId="59DF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a0b1157f84a43a686cdfdb96fc9f605"/>
            <w:id w:val="-1864279442"/>
          </w:sdtPr>
          <w:sdtContent>
            <w:tc>
              <w:tcPr>
                <w:tcW w:w="1809" w:type="dxa"/>
                <w:tcBorders>
                  <w:top w:val="single" w:color="auto" w:sz="4" w:space="0"/>
                  <w:left w:val="single" w:color="auto" w:sz="4" w:space="0"/>
                  <w:bottom w:val="single" w:color="auto" w:sz="4" w:space="0"/>
                  <w:right w:val="single" w:color="auto" w:sz="4" w:space="0"/>
                </w:tcBorders>
                <w:vAlign w:val="center"/>
              </w:tcPr>
              <w:p w14:paraId="3AEC39E8">
                <w:pPr>
                  <w:jc w:val="center"/>
                  <w:rPr>
                    <w:rFonts w:ascii="Calibri" w:hAnsi="Calibri" w:cs="Cambria"/>
                    <w:sz w:val="20"/>
                    <w:szCs w:val="20"/>
                  </w:rPr>
                </w:pPr>
                <w:r>
                  <w:rPr>
                    <w:rFonts w:hint="eastAsia" w:ascii="Calibri" w:hAnsi="Calibri" w:cs="Cambria"/>
                    <w:sz w:val="20"/>
                    <w:szCs w:val="20"/>
                  </w:rPr>
                  <w:t>关联方</w:t>
                </w:r>
              </w:p>
            </w:tc>
          </w:sdtContent>
        </w:sdt>
        <w:sdt>
          <w:sdtPr>
            <w:tag w:val="_PLD_d89f0030cf1644d88e79247fb06b91f6"/>
            <w:id w:val="-2128456203"/>
          </w:sdtPr>
          <w:sdtContent>
            <w:tc>
              <w:tcPr>
                <w:tcW w:w="1809" w:type="dxa"/>
                <w:tcBorders>
                  <w:top w:val="single" w:color="auto" w:sz="4" w:space="0"/>
                  <w:left w:val="single" w:color="auto" w:sz="4" w:space="0"/>
                  <w:bottom w:val="single" w:color="auto" w:sz="4" w:space="0"/>
                  <w:right w:val="single" w:color="auto" w:sz="4" w:space="0"/>
                </w:tcBorders>
                <w:vAlign w:val="center"/>
              </w:tcPr>
              <w:p w14:paraId="7B38E56F">
                <w:pPr>
                  <w:jc w:val="center"/>
                  <w:rPr>
                    <w:rFonts w:ascii="Calibri" w:hAnsi="Calibri" w:cs="Cambria"/>
                    <w:sz w:val="20"/>
                    <w:szCs w:val="20"/>
                  </w:rPr>
                </w:pPr>
                <w:r>
                  <w:rPr>
                    <w:rFonts w:hint="eastAsia" w:ascii="Calibri" w:hAnsi="Calibri" w:cs="Cambria"/>
                    <w:sz w:val="20"/>
                    <w:szCs w:val="20"/>
                  </w:rPr>
                  <w:t>拆借金额</w:t>
                </w:r>
              </w:p>
            </w:tc>
          </w:sdtContent>
        </w:sdt>
        <w:sdt>
          <w:sdtPr>
            <w:tag w:val="_PLD_1a3f019482694e2a9a19e9e491c88664"/>
            <w:id w:val="-543449375"/>
          </w:sdtPr>
          <w:sdtContent>
            <w:tc>
              <w:tcPr>
                <w:tcW w:w="1809" w:type="dxa"/>
                <w:tcBorders>
                  <w:top w:val="single" w:color="auto" w:sz="4" w:space="0"/>
                  <w:left w:val="single" w:color="auto" w:sz="4" w:space="0"/>
                  <w:bottom w:val="single" w:color="auto" w:sz="4" w:space="0"/>
                  <w:right w:val="single" w:color="auto" w:sz="4" w:space="0"/>
                </w:tcBorders>
                <w:vAlign w:val="center"/>
              </w:tcPr>
              <w:p w14:paraId="35CB13E6">
                <w:pPr>
                  <w:jc w:val="center"/>
                  <w:rPr>
                    <w:rFonts w:ascii="Calibri" w:hAnsi="Calibri" w:cs="Cambria"/>
                    <w:sz w:val="20"/>
                    <w:szCs w:val="20"/>
                  </w:rPr>
                </w:pPr>
                <w:r>
                  <w:rPr>
                    <w:rFonts w:hint="eastAsia" w:ascii="Calibri" w:hAnsi="Calibri" w:cs="Cambria"/>
                    <w:sz w:val="20"/>
                    <w:szCs w:val="20"/>
                  </w:rPr>
                  <w:t>起始日</w:t>
                </w:r>
              </w:p>
            </w:tc>
          </w:sdtContent>
        </w:sdt>
        <w:sdt>
          <w:sdtPr>
            <w:tag w:val="_PLD_18f4f70188ee44fa8cca86fccfa00f81"/>
            <w:id w:val="-2044669991"/>
          </w:sdtPr>
          <w:sdtContent>
            <w:tc>
              <w:tcPr>
                <w:tcW w:w="1809" w:type="dxa"/>
                <w:tcBorders>
                  <w:top w:val="single" w:color="auto" w:sz="4" w:space="0"/>
                  <w:left w:val="single" w:color="auto" w:sz="4" w:space="0"/>
                  <w:bottom w:val="single" w:color="auto" w:sz="4" w:space="0"/>
                  <w:right w:val="single" w:color="auto" w:sz="4" w:space="0"/>
                </w:tcBorders>
                <w:vAlign w:val="center"/>
              </w:tcPr>
              <w:p w14:paraId="01BB731D">
                <w:pPr>
                  <w:jc w:val="center"/>
                  <w:rPr>
                    <w:rFonts w:ascii="Calibri" w:hAnsi="Calibri" w:cs="Cambria"/>
                    <w:sz w:val="20"/>
                    <w:szCs w:val="20"/>
                  </w:rPr>
                </w:pPr>
                <w:r>
                  <w:rPr>
                    <w:rFonts w:hint="eastAsia" w:ascii="Calibri" w:hAnsi="Calibri" w:cs="Cambria"/>
                    <w:sz w:val="20"/>
                    <w:szCs w:val="20"/>
                  </w:rPr>
                  <w:t>到期日</w:t>
                </w:r>
              </w:p>
            </w:tc>
          </w:sdtContent>
        </w:sdt>
        <w:sdt>
          <w:sdtPr>
            <w:tag w:val="_PLD_7cdd1d0389de4d0ab081d9f3c4c26d70"/>
            <w:id w:val="368035647"/>
          </w:sdtPr>
          <w:sdtContent>
            <w:tc>
              <w:tcPr>
                <w:tcW w:w="1813" w:type="dxa"/>
                <w:tcBorders>
                  <w:top w:val="single" w:color="auto" w:sz="4" w:space="0"/>
                  <w:left w:val="single" w:color="auto" w:sz="4" w:space="0"/>
                  <w:bottom w:val="single" w:color="auto" w:sz="4" w:space="0"/>
                  <w:right w:val="single" w:color="auto" w:sz="4" w:space="0"/>
                </w:tcBorders>
                <w:vAlign w:val="center"/>
              </w:tcPr>
              <w:p w14:paraId="145D8D05">
                <w:pPr>
                  <w:jc w:val="center"/>
                  <w:rPr>
                    <w:rFonts w:ascii="Calibri" w:hAnsi="Calibri" w:cs="Cambria"/>
                    <w:sz w:val="20"/>
                    <w:szCs w:val="20"/>
                  </w:rPr>
                </w:pPr>
                <w:r>
                  <w:rPr>
                    <w:rFonts w:hint="eastAsia" w:ascii="Calibri" w:hAnsi="Calibri" w:cs="Cambria"/>
                    <w:sz w:val="20"/>
                    <w:szCs w:val="20"/>
                  </w:rPr>
                  <w:t>说明</w:t>
                </w:r>
              </w:p>
            </w:tc>
          </w:sdtContent>
        </w:sdt>
      </w:tr>
      <w:tr w14:paraId="72A5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bb3c9aea6344d1392ee30f16141055a"/>
            <w:id w:val="488606438"/>
          </w:sdtPr>
          <w:sdtContent>
            <w:tc>
              <w:tcPr>
                <w:tcW w:w="9049" w:type="dxa"/>
                <w:gridSpan w:val="5"/>
                <w:tcBorders>
                  <w:top w:val="single" w:color="auto" w:sz="4" w:space="0"/>
                  <w:left w:val="single" w:color="auto" w:sz="4" w:space="0"/>
                  <w:bottom w:val="single" w:color="auto" w:sz="4" w:space="0"/>
                  <w:right w:val="single" w:color="auto" w:sz="4" w:space="0"/>
                </w:tcBorders>
                <w:vAlign w:val="center"/>
              </w:tcPr>
              <w:p w14:paraId="6A323DC3">
                <w:pPr>
                  <w:rPr>
                    <w:rFonts w:ascii="Calibri" w:hAnsi="Calibri" w:cs="Cambria"/>
                    <w:sz w:val="20"/>
                    <w:szCs w:val="20"/>
                  </w:rPr>
                </w:pPr>
                <w:r>
                  <w:rPr>
                    <w:rFonts w:hint="eastAsia" w:ascii="Calibri" w:hAnsi="Calibri" w:cs="Cambria"/>
                    <w:sz w:val="20"/>
                    <w:szCs w:val="20"/>
                  </w:rPr>
                  <w:t>拆入</w:t>
                </w:r>
              </w:p>
            </w:tc>
          </w:sdtContent>
        </w:sdt>
      </w:tr>
      <w:tr w14:paraId="7713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vAlign w:val="center"/>
          </w:tcPr>
          <w:p w14:paraId="257E1475">
            <w:pPr>
              <w:jc w:val="both"/>
              <w:rPr>
                <w:rFonts w:ascii="Calibri" w:hAnsi="Calibri" w:cs="Cambria"/>
                <w:sz w:val="20"/>
                <w:szCs w:val="20"/>
              </w:rPr>
            </w:pPr>
            <w:r>
              <w:rPr>
                <w:rFonts w:ascii="Calibri" w:hAnsi="Calibri"/>
                <w:sz w:val="20"/>
                <w:szCs w:val="20"/>
              </w:rPr>
              <w:t>东宝实业集团股份有限公司</w:t>
            </w:r>
          </w:p>
        </w:tc>
        <w:tc>
          <w:tcPr>
            <w:tcW w:w="1809" w:type="dxa"/>
            <w:tcBorders>
              <w:top w:val="single" w:color="auto" w:sz="4" w:space="0"/>
              <w:left w:val="single" w:color="auto" w:sz="4" w:space="0"/>
              <w:bottom w:val="single" w:color="auto" w:sz="4" w:space="0"/>
              <w:right w:val="single" w:color="auto" w:sz="4" w:space="0"/>
            </w:tcBorders>
            <w:vAlign w:val="center"/>
          </w:tcPr>
          <w:p w14:paraId="57761E4A">
            <w:pPr>
              <w:jc w:val="right"/>
              <w:rPr>
                <w:rFonts w:ascii="Calibri" w:hAnsi="Calibri" w:cs="Cambria"/>
                <w:sz w:val="20"/>
                <w:szCs w:val="20"/>
              </w:rPr>
            </w:pPr>
            <w:r>
              <w:rPr>
                <w:rFonts w:ascii="Calibri" w:hAnsi="Calibri"/>
                <w:sz w:val="20"/>
                <w:szCs w:val="20"/>
              </w:rPr>
              <w:t>30,000,000.00</w:t>
            </w:r>
          </w:p>
        </w:tc>
        <w:tc>
          <w:tcPr>
            <w:tcW w:w="1809" w:type="dxa"/>
            <w:tcBorders>
              <w:top w:val="single" w:color="auto" w:sz="4" w:space="0"/>
              <w:left w:val="single" w:color="auto" w:sz="4" w:space="0"/>
              <w:bottom w:val="single" w:color="auto" w:sz="4" w:space="0"/>
              <w:right w:val="single" w:color="auto" w:sz="4" w:space="0"/>
            </w:tcBorders>
            <w:vAlign w:val="center"/>
          </w:tcPr>
          <w:p w14:paraId="728473A9">
            <w:pPr>
              <w:jc w:val="right"/>
              <w:rPr>
                <w:rFonts w:ascii="Calibri" w:hAnsi="Calibri" w:cs="Cambria"/>
                <w:sz w:val="20"/>
                <w:szCs w:val="20"/>
              </w:rPr>
            </w:pPr>
            <w:r>
              <w:rPr>
                <w:rFonts w:ascii="Calibri" w:hAnsi="Calibri"/>
                <w:sz w:val="20"/>
                <w:szCs w:val="20"/>
              </w:rPr>
              <w:t>2025/7/3</w:t>
            </w:r>
          </w:p>
        </w:tc>
        <w:tc>
          <w:tcPr>
            <w:tcW w:w="1809" w:type="dxa"/>
            <w:tcBorders>
              <w:top w:val="single" w:color="auto" w:sz="4" w:space="0"/>
              <w:left w:val="single" w:color="auto" w:sz="4" w:space="0"/>
              <w:bottom w:val="single" w:color="auto" w:sz="4" w:space="0"/>
              <w:right w:val="single" w:color="auto" w:sz="4" w:space="0"/>
            </w:tcBorders>
            <w:vAlign w:val="center"/>
          </w:tcPr>
          <w:p w14:paraId="31848E8F">
            <w:pPr>
              <w:jc w:val="right"/>
              <w:rPr>
                <w:rFonts w:ascii="Calibri" w:hAnsi="Calibri" w:cs="Cambria"/>
                <w:sz w:val="20"/>
                <w:szCs w:val="20"/>
              </w:rPr>
            </w:pPr>
            <w:r>
              <w:rPr>
                <w:rFonts w:ascii="Calibri" w:hAnsi="Calibri"/>
                <w:sz w:val="20"/>
                <w:szCs w:val="20"/>
              </w:rPr>
              <w:t>2025/12/15</w:t>
            </w:r>
          </w:p>
        </w:tc>
        <w:tc>
          <w:tcPr>
            <w:tcW w:w="1813" w:type="dxa"/>
            <w:tcBorders>
              <w:top w:val="single" w:color="auto" w:sz="4" w:space="0"/>
              <w:left w:val="single" w:color="auto" w:sz="4" w:space="0"/>
              <w:bottom w:val="single" w:color="auto" w:sz="4" w:space="0"/>
              <w:right w:val="single" w:color="auto" w:sz="4" w:space="0"/>
            </w:tcBorders>
            <w:vAlign w:val="center"/>
          </w:tcPr>
          <w:p w14:paraId="71BB200C">
            <w:pPr>
              <w:jc w:val="center"/>
              <w:rPr>
                <w:rFonts w:ascii="Calibri" w:hAnsi="Calibri" w:cs="Cambria"/>
                <w:sz w:val="20"/>
                <w:szCs w:val="20"/>
              </w:rPr>
            </w:pPr>
            <w:r>
              <w:rPr>
                <w:rFonts w:hint="eastAsia" w:ascii="Calibri" w:hAnsi="Calibri" w:cs="Cambria"/>
                <w:sz w:val="20"/>
                <w:szCs w:val="20"/>
              </w:rPr>
              <w:t>已归还</w:t>
            </w:r>
          </w:p>
        </w:tc>
      </w:tr>
    </w:tbl>
    <w:p w14:paraId="48E7DAB7">
      <w:pPr>
        <w:spacing w:line="360" w:lineRule="auto"/>
        <w:ind w:firstLine="420" w:firstLineChars="200"/>
        <w:jc w:val="both"/>
      </w:pPr>
      <w:r>
        <w:rPr>
          <w:rFonts w:hint="eastAsia"/>
        </w:rPr>
        <w:t>注:2025年，公司控股子公司</w:t>
      </w:r>
      <w:r>
        <w:t>上海隆棵药业有限公司</w:t>
      </w:r>
      <w:r>
        <w:rPr>
          <w:rFonts w:hint="eastAsia"/>
        </w:rPr>
        <w:t>向东宝实业集团股份有限公司资金拆借，相关款项已于2025年归还，2025年共确认利息费用470,712.33元。</w:t>
      </w:r>
    </w:p>
    <w:p w14:paraId="5977FA93"/>
    <w:p w14:paraId="22A219EC">
      <w:pPr>
        <w:pStyle w:val="5"/>
        <w:numPr>
          <w:ilvl w:val="3"/>
          <w:numId w:val="116"/>
        </w:numPr>
        <w:ind w:left="424" w:hanging="424" w:hangingChars="201"/>
      </w:pPr>
      <w:r>
        <w:rPr>
          <w:rFonts w:hint="eastAsia"/>
        </w:rPr>
        <w:t>关联方资产转让、债务重组情况</w:t>
      </w:r>
    </w:p>
    <w:sdt>
      <w:sdtPr>
        <w:alias w:val="是否适用：关联方资产转让、债务重组情况[双击切换]"/>
        <w:tag w:val="_GBC_6f8fce72ce784c23aba8af28c51de336"/>
        <w:id w:val="-1958556027"/>
        <w:placeholder>
          <w:docPart w:val="GBC22222222222222222222222222222"/>
        </w:placeholder>
      </w:sdtPr>
      <w:sdtContent>
        <w:p w14:paraId="17D777CE">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9FF47D7">
      <w:pPr>
        <w:pStyle w:val="48"/>
      </w:pPr>
    </w:p>
    <w:p w14:paraId="0FE4ACD4">
      <w:pPr>
        <w:pStyle w:val="5"/>
        <w:numPr>
          <w:ilvl w:val="3"/>
          <w:numId w:val="116"/>
        </w:numPr>
        <w:ind w:left="424" w:hanging="424" w:hangingChars="201"/>
      </w:pPr>
      <w:r>
        <w:rPr>
          <w:rFonts w:hint="eastAsia"/>
        </w:rPr>
        <w:t>关键管理人员报酬</w:t>
      </w:r>
    </w:p>
    <w:sdt>
      <w:sdtPr>
        <w:alias w:val="是否适用：关键管理人员报酬[双击切换]"/>
        <w:tag w:val="_GBC_4768ccd806f845f4b6f5f0ec038ec747"/>
        <w:id w:val="826012061"/>
        <w:placeholder>
          <w:docPart w:val="GBC22222222222222222222222222222"/>
        </w:placeholder>
      </w:sdtPr>
      <w:sdtContent>
        <w:p w14:paraId="42BA5FAE">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C6258E5">
      <w:pPr>
        <w:jc w:val="right"/>
        <w:rPr>
          <w:rFonts w:ascii="Cambria" w:hAnsi="Cambria" w:cs="Cambria"/>
        </w:rPr>
      </w:pPr>
      <w:r>
        <w:rPr>
          <w:rFonts w:hint="eastAsia" w:ascii="Cambria" w:hAnsi="Cambria" w:cs="Cambria"/>
        </w:rPr>
        <w:t>单位：</w:t>
      </w:r>
      <w:sdt>
        <w:sdtPr>
          <w:rPr>
            <w:rFonts w:hint="eastAsia" w:ascii="Cambria" w:hAnsi="Cambria" w:cs="Cambria"/>
          </w:rPr>
          <w:alias w:val="单位：财务附注：关键管理人员报酬"/>
          <w:tag w:val="_GBC_3dcac03c36954e5ab3dab539e6a2f735"/>
          <w:id w:val="21231914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万元</w:t>
          </w:r>
        </w:sdtContent>
      </w:sdt>
      <w:r>
        <w:rPr>
          <w:rFonts w:hint="eastAsia" w:ascii="Cambria" w:hAnsi="Cambria" w:cs="Cambria"/>
        </w:rPr>
        <w:t xml:space="preserve">  币种：</w:t>
      </w:r>
      <w:sdt>
        <w:sdtPr>
          <w:rPr>
            <w:rFonts w:hint="eastAsia" w:ascii="Cambria" w:hAnsi="Cambria" w:cs="Cambria"/>
          </w:rPr>
          <w:alias w:val="币种：财务附注：关键管理人员报酬"/>
          <w:tag w:val="_GBC_9bf846a4da0046829fd7baa3fd1fe348"/>
          <w:id w:val="6931968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57"/>
        <w:tblW w:w="10184"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272"/>
        <w:gridCol w:w="2398"/>
        <w:gridCol w:w="2246"/>
      </w:tblGrid>
      <w:tr w14:paraId="6EB8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d38745be5c64397b1dab92289838da1"/>
            <w:id w:val="270662896"/>
          </w:sdtPr>
          <w:sdtContent>
            <w:tc>
              <w:tcPr>
                <w:tcW w:w="2268" w:type="dxa"/>
                <w:tcBorders>
                  <w:top w:val="single" w:color="auto" w:sz="4" w:space="0"/>
                  <w:left w:val="single" w:color="auto" w:sz="4" w:space="0"/>
                  <w:bottom w:val="single" w:color="auto" w:sz="4" w:space="0"/>
                  <w:right w:val="single" w:color="auto" w:sz="4" w:space="0"/>
                </w:tcBorders>
                <w:vAlign w:val="center"/>
              </w:tcPr>
              <w:p w14:paraId="551F2F4A">
                <w:pPr>
                  <w:jc w:val="center"/>
                  <w:rPr>
                    <w:rFonts w:ascii="Calibri" w:hAnsi="Calibri" w:cs="Cambria"/>
                    <w:sz w:val="20"/>
                    <w:szCs w:val="20"/>
                  </w:rPr>
                </w:pPr>
                <w:r>
                  <w:rPr>
                    <w:rFonts w:hint="eastAsia" w:ascii="Calibri" w:hAnsi="Calibri" w:cs="Cambria"/>
                    <w:sz w:val="20"/>
                    <w:szCs w:val="20"/>
                  </w:rPr>
                  <w:t>项目</w:t>
                </w:r>
              </w:p>
            </w:tc>
          </w:sdtContent>
        </w:sdt>
        <w:tc>
          <w:tcPr>
            <w:tcW w:w="3272" w:type="dxa"/>
            <w:tcBorders>
              <w:top w:val="single" w:color="auto" w:sz="4" w:space="0"/>
              <w:left w:val="single" w:color="auto" w:sz="4" w:space="0"/>
              <w:bottom w:val="single" w:color="auto" w:sz="4" w:space="0"/>
              <w:right w:val="single" w:color="auto" w:sz="4" w:space="0"/>
            </w:tcBorders>
            <w:vAlign w:val="center"/>
          </w:tcPr>
          <w:p w14:paraId="63D391DE">
            <w:pPr>
              <w:jc w:val="center"/>
              <w:rPr>
                <w:rFonts w:ascii="Calibri" w:hAnsi="Calibri" w:cs="Cambria"/>
                <w:sz w:val="20"/>
                <w:szCs w:val="20"/>
              </w:rPr>
            </w:pPr>
            <w:r>
              <w:rPr>
                <w:rFonts w:hint="eastAsia" w:ascii="Calibri" w:hAnsi="Calibri" w:cs="Cambria"/>
                <w:sz w:val="20"/>
                <w:szCs w:val="20"/>
              </w:rPr>
              <w:t>职务</w:t>
            </w:r>
          </w:p>
        </w:tc>
        <w:sdt>
          <w:sdtPr>
            <w:tag w:val="_PLD_31133ff59dcf4a7b93a7991d1f435b05"/>
            <w:id w:val="-160780100"/>
          </w:sdtPr>
          <w:sdtContent>
            <w:tc>
              <w:tcPr>
                <w:tcW w:w="2398" w:type="dxa"/>
                <w:tcBorders>
                  <w:top w:val="single" w:color="auto" w:sz="4" w:space="0"/>
                  <w:left w:val="single" w:color="auto" w:sz="4" w:space="0"/>
                  <w:bottom w:val="single" w:color="auto" w:sz="4" w:space="0"/>
                  <w:right w:val="single" w:color="auto" w:sz="4" w:space="0"/>
                </w:tcBorders>
                <w:vAlign w:val="center"/>
              </w:tcPr>
              <w:p w14:paraId="6211A67A">
                <w:pPr>
                  <w:jc w:val="center"/>
                  <w:rPr>
                    <w:rFonts w:ascii="Calibri" w:hAnsi="Calibri" w:cs="Cambria"/>
                    <w:sz w:val="20"/>
                    <w:szCs w:val="20"/>
                  </w:rPr>
                </w:pPr>
                <w:r>
                  <w:rPr>
                    <w:rFonts w:hint="eastAsia" w:ascii="Calibri" w:hAnsi="Calibri" w:cs="Cambria"/>
                    <w:sz w:val="20"/>
                    <w:szCs w:val="20"/>
                  </w:rPr>
                  <w:t>本期发生额</w:t>
                </w:r>
              </w:p>
            </w:tc>
          </w:sdtContent>
        </w:sdt>
        <w:sdt>
          <w:sdtPr>
            <w:tag w:val="_PLD_e08658a238f7419ca0d4ce3386ff565e"/>
            <w:id w:val="-1955553694"/>
          </w:sdtPr>
          <w:sdtContent>
            <w:tc>
              <w:tcPr>
                <w:tcW w:w="2246" w:type="dxa"/>
                <w:tcBorders>
                  <w:top w:val="single" w:color="auto" w:sz="4" w:space="0"/>
                  <w:left w:val="single" w:color="auto" w:sz="4" w:space="0"/>
                  <w:bottom w:val="single" w:color="auto" w:sz="4" w:space="0"/>
                  <w:right w:val="single" w:color="auto" w:sz="4" w:space="0"/>
                </w:tcBorders>
                <w:vAlign w:val="center"/>
              </w:tcPr>
              <w:p w14:paraId="46BA6FEE">
                <w:pPr>
                  <w:jc w:val="center"/>
                  <w:rPr>
                    <w:rFonts w:ascii="Calibri" w:hAnsi="Calibri" w:cs="Cambria"/>
                    <w:sz w:val="20"/>
                    <w:szCs w:val="20"/>
                  </w:rPr>
                </w:pPr>
                <w:r>
                  <w:rPr>
                    <w:rFonts w:hint="eastAsia" w:ascii="Calibri" w:hAnsi="Calibri" w:cs="Cambria"/>
                    <w:sz w:val="20"/>
                    <w:szCs w:val="20"/>
                  </w:rPr>
                  <w:t>上期发生额</w:t>
                </w:r>
              </w:p>
            </w:tc>
          </w:sdtContent>
        </w:sdt>
      </w:tr>
      <w:tr w14:paraId="42FE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14:paraId="4605A049">
            <w:pPr>
              <w:rPr>
                <w:rFonts w:ascii="Calibri" w:hAnsi="Calibri" w:cs="Cambria"/>
                <w:sz w:val="20"/>
                <w:szCs w:val="20"/>
              </w:rPr>
            </w:pPr>
            <w:r>
              <w:rPr>
                <w:rFonts w:ascii="Calibri" w:hAnsi="Calibri"/>
                <w:sz w:val="20"/>
                <w:szCs w:val="20"/>
              </w:rPr>
              <w:t>李佳鸿</w:t>
            </w:r>
          </w:p>
        </w:tc>
        <w:tc>
          <w:tcPr>
            <w:tcW w:w="3272" w:type="dxa"/>
            <w:tcBorders>
              <w:top w:val="single" w:color="auto" w:sz="4" w:space="0"/>
              <w:left w:val="single" w:color="auto" w:sz="4" w:space="0"/>
              <w:bottom w:val="single" w:color="auto" w:sz="4" w:space="0"/>
              <w:right w:val="single" w:color="auto" w:sz="4" w:space="0"/>
            </w:tcBorders>
            <w:vAlign w:val="center"/>
          </w:tcPr>
          <w:p w14:paraId="4F17A4B4">
            <w:pPr>
              <w:rPr>
                <w:rFonts w:ascii="Calibri" w:hAnsi="Calibri" w:cs="Cambria"/>
                <w:sz w:val="20"/>
                <w:szCs w:val="20"/>
              </w:rPr>
            </w:pPr>
            <w:r>
              <w:rPr>
                <w:rFonts w:ascii="Calibri" w:hAnsi="Calibri"/>
                <w:sz w:val="20"/>
                <w:szCs w:val="20"/>
              </w:rPr>
              <w:t>董事长、总裁</w:t>
            </w:r>
          </w:p>
        </w:tc>
        <w:tc>
          <w:tcPr>
            <w:tcW w:w="2398" w:type="dxa"/>
            <w:tcBorders>
              <w:top w:val="single" w:color="auto" w:sz="4" w:space="0"/>
              <w:left w:val="single" w:color="auto" w:sz="4" w:space="0"/>
              <w:bottom w:val="single" w:color="auto" w:sz="4" w:space="0"/>
              <w:right w:val="single" w:color="auto" w:sz="4" w:space="0"/>
            </w:tcBorders>
            <w:vAlign w:val="center"/>
          </w:tcPr>
          <w:p w14:paraId="2E42BD4F">
            <w:pPr>
              <w:jc w:val="right"/>
              <w:rPr>
                <w:rFonts w:ascii="Calibri" w:hAnsi="Calibri" w:cs="Cambria"/>
                <w:sz w:val="20"/>
                <w:szCs w:val="20"/>
              </w:rPr>
            </w:pPr>
            <w:r>
              <w:rPr>
                <w:rFonts w:ascii="Calibri" w:hAnsi="Calibri"/>
                <w:sz w:val="20"/>
                <w:szCs w:val="20"/>
              </w:rPr>
              <w:t>331.56</w:t>
            </w:r>
          </w:p>
        </w:tc>
        <w:tc>
          <w:tcPr>
            <w:tcW w:w="2246" w:type="dxa"/>
            <w:tcBorders>
              <w:top w:val="single" w:color="auto" w:sz="4" w:space="0"/>
              <w:left w:val="single" w:color="auto" w:sz="4" w:space="0"/>
              <w:bottom w:val="single" w:color="auto" w:sz="4" w:space="0"/>
              <w:right w:val="single" w:color="auto" w:sz="4" w:space="0"/>
            </w:tcBorders>
            <w:vAlign w:val="center"/>
          </w:tcPr>
          <w:p w14:paraId="4FC74B28">
            <w:pPr>
              <w:jc w:val="right"/>
              <w:rPr>
                <w:rFonts w:ascii="Calibri" w:hAnsi="Calibri" w:cs="Cambria"/>
                <w:sz w:val="20"/>
                <w:szCs w:val="20"/>
              </w:rPr>
            </w:pPr>
            <w:r>
              <w:rPr>
                <w:rFonts w:ascii="Calibri" w:hAnsi="Calibri"/>
                <w:sz w:val="20"/>
                <w:szCs w:val="20"/>
              </w:rPr>
              <w:t>94.48</w:t>
            </w:r>
          </w:p>
        </w:tc>
      </w:tr>
      <w:tr w14:paraId="710B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14:paraId="5FD2FFAA">
            <w:pPr>
              <w:rPr>
                <w:rFonts w:ascii="Calibri" w:hAnsi="Calibri" w:cs="Cambria"/>
                <w:sz w:val="20"/>
                <w:szCs w:val="20"/>
              </w:rPr>
            </w:pPr>
            <w:r>
              <w:rPr>
                <w:rFonts w:ascii="Calibri" w:hAnsi="Calibri"/>
                <w:sz w:val="20"/>
                <w:szCs w:val="20"/>
              </w:rPr>
              <w:t>冷春生</w:t>
            </w:r>
          </w:p>
        </w:tc>
        <w:tc>
          <w:tcPr>
            <w:tcW w:w="3272" w:type="dxa"/>
            <w:tcBorders>
              <w:top w:val="single" w:color="auto" w:sz="4" w:space="0"/>
              <w:left w:val="single" w:color="auto" w:sz="4" w:space="0"/>
              <w:bottom w:val="single" w:color="auto" w:sz="4" w:space="0"/>
              <w:right w:val="single" w:color="auto" w:sz="4" w:space="0"/>
            </w:tcBorders>
            <w:vAlign w:val="center"/>
          </w:tcPr>
          <w:p w14:paraId="7004B3EB">
            <w:pPr>
              <w:rPr>
                <w:rFonts w:ascii="Calibri" w:hAnsi="Calibri" w:cs="Cambria"/>
                <w:sz w:val="20"/>
                <w:szCs w:val="20"/>
              </w:rPr>
            </w:pPr>
            <w:r>
              <w:rPr>
                <w:rFonts w:ascii="Calibri" w:hAnsi="Calibri"/>
                <w:sz w:val="20"/>
                <w:szCs w:val="20"/>
              </w:rPr>
              <w:t>副董事长</w:t>
            </w:r>
          </w:p>
        </w:tc>
        <w:tc>
          <w:tcPr>
            <w:tcW w:w="2398" w:type="dxa"/>
            <w:tcBorders>
              <w:top w:val="single" w:color="auto" w:sz="4" w:space="0"/>
              <w:left w:val="single" w:color="auto" w:sz="4" w:space="0"/>
              <w:bottom w:val="single" w:color="auto" w:sz="4" w:space="0"/>
              <w:right w:val="single" w:color="auto" w:sz="4" w:space="0"/>
            </w:tcBorders>
            <w:vAlign w:val="center"/>
          </w:tcPr>
          <w:p w14:paraId="1EC08A85">
            <w:pPr>
              <w:jc w:val="right"/>
              <w:rPr>
                <w:rFonts w:ascii="Calibri" w:hAnsi="Calibri" w:cs="Cambria"/>
                <w:sz w:val="20"/>
                <w:szCs w:val="20"/>
              </w:rPr>
            </w:pPr>
            <w:r>
              <w:rPr>
                <w:rFonts w:ascii="Calibri" w:hAnsi="Calibri"/>
                <w:sz w:val="20"/>
                <w:szCs w:val="20"/>
              </w:rPr>
              <w:t>300.33</w:t>
            </w:r>
          </w:p>
        </w:tc>
        <w:tc>
          <w:tcPr>
            <w:tcW w:w="2246" w:type="dxa"/>
            <w:tcBorders>
              <w:top w:val="single" w:color="auto" w:sz="4" w:space="0"/>
              <w:left w:val="single" w:color="auto" w:sz="4" w:space="0"/>
              <w:bottom w:val="single" w:color="auto" w:sz="4" w:space="0"/>
              <w:right w:val="single" w:color="auto" w:sz="4" w:space="0"/>
            </w:tcBorders>
            <w:vAlign w:val="center"/>
          </w:tcPr>
          <w:p w14:paraId="55E2F706">
            <w:pPr>
              <w:jc w:val="right"/>
              <w:rPr>
                <w:rFonts w:ascii="Calibri" w:hAnsi="Calibri" w:cs="Cambria"/>
                <w:sz w:val="20"/>
                <w:szCs w:val="20"/>
              </w:rPr>
            </w:pPr>
            <w:r>
              <w:rPr>
                <w:rFonts w:ascii="Calibri" w:hAnsi="Calibri"/>
                <w:sz w:val="20"/>
                <w:szCs w:val="20"/>
              </w:rPr>
              <w:t>369.68</w:t>
            </w:r>
          </w:p>
        </w:tc>
      </w:tr>
      <w:tr w14:paraId="712A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14:paraId="5C738704">
            <w:pPr>
              <w:rPr>
                <w:rFonts w:ascii="Calibri" w:hAnsi="Calibri" w:cs="Cambria"/>
                <w:sz w:val="20"/>
                <w:szCs w:val="20"/>
              </w:rPr>
            </w:pPr>
            <w:r>
              <w:rPr>
                <w:rFonts w:ascii="Calibri" w:hAnsi="Calibri"/>
                <w:sz w:val="20"/>
                <w:szCs w:val="20"/>
              </w:rPr>
              <w:t>张国栋</w:t>
            </w:r>
          </w:p>
        </w:tc>
        <w:tc>
          <w:tcPr>
            <w:tcW w:w="3272" w:type="dxa"/>
            <w:tcBorders>
              <w:top w:val="single" w:color="auto" w:sz="4" w:space="0"/>
              <w:left w:val="single" w:color="auto" w:sz="4" w:space="0"/>
              <w:bottom w:val="single" w:color="auto" w:sz="4" w:space="0"/>
              <w:right w:val="single" w:color="auto" w:sz="4" w:space="0"/>
            </w:tcBorders>
            <w:vAlign w:val="center"/>
          </w:tcPr>
          <w:p w14:paraId="45C62396">
            <w:pPr>
              <w:rPr>
                <w:rFonts w:ascii="Calibri" w:hAnsi="Calibri" w:cs="Cambria"/>
                <w:sz w:val="20"/>
                <w:szCs w:val="20"/>
              </w:rPr>
            </w:pPr>
            <w:r>
              <w:rPr>
                <w:rFonts w:ascii="Calibri" w:hAnsi="Calibri"/>
                <w:sz w:val="20"/>
                <w:szCs w:val="20"/>
              </w:rPr>
              <w:t>职工代表董事、副总裁</w:t>
            </w:r>
          </w:p>
        </w:tc>
        <w:tc>
          <w:tcPr>
            <w:tcW w:w="2398" w:type="dxa"/>
            <w:tcBorders>
              <w:top w:val="single" w:color="auto" w:sz="4" w:space="0"/>
              <w:left w:val="single" w:color="auto" w:sz="4" w:space="0"/>
              <w:bottom w:val="single" w:color="auto" w:sz="4" w:space="0"/>
              <w:right w:val="single" w:color="auto" w:sz="4" w:space="0"/>
            </w:tcBorders>
            <w:vAlign w:val="center"/>
          </w:tcPr>
          <w:p w14:paraId="27B6B8D7">
            <w:pPr>
              <w:jc w:val="right"/>
              <w:rPr>
                <w:rFonts w:ascii="Calibri" w:hAnsi="Calibri" w:cs="Cambria"/>
                <w:sz w:val="20"/>
                <w:szCs w:val="20"/>
              </w:rPr>
            </w:pPr>
            <w:r>
              <w:rPr>
                <w:rFonts w:ascii="Calibri" w:hAnsi="Calibri"/>
                <w:sz w:val="20"/>
                <w:szCs w:val="20"/>
              </w:rPr>
              <w:t>214.32</w:t>
            </w:r>
          </w:p>
        </w:tc>
        <w:tc>
          <w:tcPr>
            <w:tcW w:w="2246" w:type="dxa"/>
            <w:tcBorders>
              <w:top w:val="single" w:color="auto" w:sz="4" w:space="0"/>
              <w:left w:val="single" w:color="auto" w:sz="4" w:space="0"/>
              <w:bottom w:val="single" w:color="auto" w:sz="4" w:space="0"/>
              <w:right w:val="single" w:color="auto" w:sz="4" w:space="0"/>
            </w:tcBorders>
            <w:vAlign w:val="center"/>
          </w:tcPr>
          <w:p w14:paraId="31D83A29">
            <w:pPr>
              <w:jc w:val="right"/>
              <w:rPr>
                <w:rFonts w:ascii="Calibri" w:hAnsi="Calibri" w:cs="Cambria"/>
                <w:sz w:val="20"/>
                <w:szCs w:val="20"/>
              </w:rPr>
            </w:pPr>
            <w:r>
              <w:rPr>
                <w:rFonts w:ascii="Calibri" w:hAnsi="Calibri"/>
                <w:sz w:val="20"/>
                <w:szCs w:val="20"/>
              </w:rPr>
              <w:t>113.57</w:t>
            </w:r>
          </w:p>
        </w:tc>
      </w:tr>
      <w:tr w14:paraId="70AB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14:paraId="67B60DA1">
            <w:pPr>
              <w:rPr>
                <w:rFonts w:ascii="Calibri" w:hAnsi="Calibri" w:cs="Cambria"/>
                <w:sz w:val="20"/>
                <w:szCs w:val="20"/>
              </w:rPr>
            </w:pPr>
            <w:r>
              <w:rPr>
                <w:rFonts w:ascii="Calibri" w:hAnsi="Calibri"/>
                <w:sz w:val="20"/>
                <w:szCs w:val="20"/>
              </w:rPr>
              <w:t>张文海</w:t>
            </w:r>
          </w:p>
        </w:tc>
        <w:tc>
          <w:tcPr>
            <w:tcW w:w="3272" w:type="dxa"/>
            <w:tcBorders>
              <w:top w:val="single" w:color="auto" w:sz="4" w:space="0"/>
              <w:left w:val="single" w:color="auto" w:sz="4" w:space="0"/>
              <w:bottom w:val="single" w:color="auto" w:sz="4" w:space="0"/>
              <w:right w:val="single" w:color="auto" w:sz="4" w:space="0"/>
            </w:tcBorders>
            <w:vAlign w:val="center"/>
          </w:tcPr>
          <w:p w14:paraId="7B870330">
            <w:pPr>
              <w:rPr>
                <w:rFonts w:ascii="Calibri" w:hAnsi="Calibri" w:cs="Cambria"/>
                <w:sz w:val="20"/>
                <w:szCs w:val="20"/>
              </w:rPr>
            </w:pPr>
            <w:r>
              <w:rPr>
                <w:rFonts w:ascii="Calibri" w:hAnsi="Calibri"/>
                <w:sz w:val="20"/>
                <w:szCs w:val="20"/>
              </w:rPr>
              <w:t>董事、副总裁</w:t>
            </w:r>
          </w:p>
        </w:tc>
        <w:tc>
          <w:tcPr>
            <w:tcW w:w="2398" w:type="dxa"/>
            <w:tcBorders>
              <w:top w:val="single" w:color="auto" w:sz="4" w:space="0"/>
              <w:left w:val="single" w:color="auto" w:sz="4" w:space="0"/>
              <w:bottom w:val="single" w:color="auto" w:sz="4" w:space="0"/>
              <w:right w:val="single" w:color="auto" w:sz="4" w:space="0"/>
            </w:tcBorders>
            <w:vAlign w:val="center"/>
          </w:tcPr>
          <w:p w14:paraId="68093B6B">
            <w:pPr>
              <w:jc w:val="right"/>
              <w:rPr>
                <w:rFonts w:ascii="Calibri" w:hAnsi="Calibri" w:cs="Cambria"/>
                <w:sz w:val="20"/>
                <w:szCs w:val="20"/>
              </w:rPr>
            </w:pPr>
            <w:r>
              <w:rPr>
                <w:rFonts w:ascii="Calibri" w:hAnsi="Calibri"/>
                <w:sz w:val="20"/>
                <w:szCs w:val="20"/>
              </w:rPr>
              <w:t>184.32</w:t>
            </w:r>
          </w:p>
        </w:tc>
        <w:tc>
          <w:tcPr>
            <w:tcW w:w="2246" w:type="dxa"/>
            <w:tcBorders>
              <w:top w:val="single" w:color="auto" w:sz="4" w:space="0"/>
              <w:left w:val="single" w:color="auto" w:sz="4" w:space="0"/>
              <w:bottom w:val="single" w:color="auto" w:sz="4" w:space="0"/>
              <w:right w:val="single" w:color="auto" w:sz="4" w:space="0"/>
            </w:tcBorders>
            <w:vAlign w:val="center"/>
          </w:tcPr>
          <w:p w14:paraId="6D98EBDE">
            <w:pPr>
              <w:jc w:val="right"/>
              <w:rPr>
                <w:rFonts w:ascii="Calibri" w:hAnsi="Calibri" w:cs="Cambria"/>
                <w:sz w:val="20"/>
                <w:szCs w:val="20"/>
              </w:rPr>
            </w:pPr>
            <w:r>
              <w:rPr>
                <w:rFonts w:ascii="Calibri" w:hAnsi="Calibri"/>
                <w:sz w:val="20"/>
                <w:szCs w:val="20"/>
              </w:rPr>
              <w:t>113.57</w:t>
            </w:r>
          </w:p>
        </w:tc>
      </w:tr>
      <w:tr w14:paraId="354B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14:paraId="4CF2C460">
            <w:pPr>
              <w:rPr>
                <w:rFonts w:ascii="Calibri" w:hAnsi="Calibri" w:cs="Cambria"/>
                <w:sz w:val="20"/>
                <w:szCs w:val="20"/>
              </w:rPr>
            </w:pPr>
            <w:r>
              <w:rPr>
                <w:rFonts w:ascii="Calibri" w:hAnsi="Calibri"/>
                <w:sz w:val="20"/>
                <w:szCs w:val="20"/>
              </w:rPr>
              <w:t>毕焱</w:t>
            </w:r>
          </w:p>
        </w:tc>
        <w:tc>
          <w:tcPr>
            <w:tcW w:w="3272" w:type="dxa"/>
            <w:tcBorders>
              <w:top w:val="single" w:color="auto" w:sz="4" w:space="0"/>
              <w:left w:val="single" w:color="auto" w:sz="4" w:space="0"/>
              <w:bottom w:val="single" w:color="auto" w:sz="4" w:space="0"/>
              <w:right w:val="single" w:color="auto" w:sz="4" w:space="0"/>
            </w:tcBorders>
            <w:vAlign w:val="center"/>
          </w:tcPr>
          <w:p w14:paraId="48176D37">
            <w:pPr>
              <w:rPr>
                <w:rFonts w:ascii="Calibri" w:hAnsi="Calibri" w:cs="Cambria"/>
                <w:sz w:val="20"/>
                <w:szCs w:val="20"/>
              </w:rPr>
            </w:pPr>
            <w:r>
              <w:rPr>
                <w:rFonts w:ascii="Calibri" w:hAnsi="Calibri"/>
                <w:sz w:val="20"/>
                <w:szCs w:val="20"/>
              </w:rPr>
              <w:t>独立董事</w:t>
            </w:r>
          </w:p>
        </w:tc>
        <w:tc>
          <w:tcPr>
            <w:tcW w:w="2398" w:type="dxa"/>
            <w:tcBorders>
              <w:top w:val="single" w:color="auto" w:sz="4" w:space="0"/>
              <w:left w:val="single" w:color="auto" w:sz="4" w:space="0"/>
              <w:bottom w:val="single" w:color="auto" w:sz="4" w:space="0"/>
              <w:right w:val="single" w:color="auto" w:sz="4" w:space="0"/>
            </w:tcBorders>
            <w:vAlign w:val="center"/>
          </w:tcPr>
          <w:p w14:paraId="0915A323">
            <w:pPr>
              <w:jc w:val="right"/>
              <w:rPr>
                <w:rFonts w:ascii="Calibri" w:hAnsi="Calibri" w:cs="Cambria"/>
                <w:sz w:val="20"/>
                <w:szCs w:val="20"/>
              </w:rPr>
            </w:pPr>
            <w:r>
              <w:rPr>
                <w:rFonts w:ascii="Calibri" w:hAnsi="Calibri"/>
                <w:sz w:val="20"/>
                <w:szCs w:val="20"/>
              </w:rPr>
              <w:t>10.00</w:t>
            </w:r>
          </w:p>
        </w:tc>
        <w:tc>
          <w:tcPr>
            <w:tcW w:w="2246" w:type="dxa"/>
            <w:tcBorders>
              <w:top w:val="single" w:color="auto" w:sz="4" w:space="0"/>
              <w:left w:val="single" w:color="auto" w:sz="4" w:space="0"/>
              <w:bottom w:val="single" w:color="auto" w:sz="4" w:space="0"/>
              <w:right w:val="single" w:color="auto" w:sz="4" w:space="0"/>
            </w:tcBorders>
            <w:vAlign w:val="center"/>
          </w:tcPr>
          <w:p w14:paraId="02BF25C5">
            <w:pPr>
              <w:jc w:val="right"/>
              <w:rPr>
                <w:rFonts w:ascii="Calibri" w:hAnsi="Calibri" w:cs="Cambria"/>
                <w:sz w:val="20"/>
                <w:szCs w:val="20"/>
              </w:rPr>
            </w:pPr>
            <w:r>
              <w:rPr>
                <w:rFonts w:ascii="Calibri" w:hAnsi="Calibri"/>
                <w:sz w:val="20"/>
                <w:szCs w:val="20"/>
              </w:rPr>
              <w:t>10.00</w:t>
            </w:r>
          </w:p>
        </w:tc>
      </w:tr>
      <w:tr w14:paraId="5974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14:paraId="5D793C86">
            <w:pPr>
              <w:rPr>
                <w:rFonts w:ascii="Calibri" w:hAnsi="Calibri" w:cs="Cambria"/>
                <w:sz w:val="20"/>
                <w:szCs w:val="20"/>
              </w:rPr>
            </w:pPr>
            <w:r>
              <w:rPr>
                <w:rFonts w:ascii="Calibri" w:hAnsi="Calibri"/>
                <w:sz w:val="20"/>
                <w:szCs w:val="20"/>
              </w:rPr>
              <w:t>徐岱</w:t>
            </w:r>
          </w:p>
        </w:tc>
        <w:tc>
          <w:tcPr>
            <w:tcW w:w="3272" w:type="dxa"/>
            <w:tcBorders>
              <w:top w:val="single" w:color="auto" w:sz="4" w:space="0"/>
              <w:left w:val="single" w:color="auto" w:sz="4" w:space="0"/>
              <w:bottom w:val="single" w:color="auto" w:sz="4" w:space="0"/>
              <w:right w:val="single" w:color="auto" w:sz="4" w:space="0"/>
            </w:tcBorders>
            <w:vAlign w:val="center"/>
          </w:tcPr>
          <w:p w14:paraId="4F14655B">
            <w:pPr>
              <w:rPr>
                <w:rFonts w:ascii="Calibri" w:hAnsi="Calibri" w:cs="Cambria"/>
                <w:sz w:val="20"/>
                <w:szCs w:val="20"/>
              </w:rPr>
            </w:pPr>
            <w:r>
              <w:rPr>
                <w:rFonts w:ascii="Calibri" w:hAnsi="Calibri"/>
                <w:sz w:val="20"/>
                <w:szCs w:val="20"/>
              </w:rPr>
              <w:t>独立董事</w:t>
            </w:r>
          </w:p>
        </w:tc>
        <w:tc>
          <w:tcPr>
            <w:tcW w:w="2398" w:type="dxa"/>
            <w:tcBorders>
              <w:top w:val="single" w:color="auto" w:sz="4" w:space="0"/>
              <w:left w:val="single" w:color="auto" w:sz="4" w:space="0"/>
              <w:bottom w:val="single" w:color="auto" w:sz="4" w:space="0"/>
              <w:right w:val="single" w:color="auto" w:sz="4" w:space="0"/>
            </w:tcBorders>
            <w:vAlign w:val="center"/>
          </w:tcPr>
          <w:p w14:paraId="5E6343BB">
            <w:pPr>
              <w:jc w:val="right"/>
              <w:rPr>
                <w:rFonts w:ascii="Calibri" w:hAnsi="Calibri" w:cs="Cambria"/>
                <w:sz w:val="20"/>
                <w:szCs w:val="20"/>
              </w:rPr>
            </w:pPr>
            <w:r>
              <w:rPr>
                <w:rFonts w:ascii="Calibri" w:hAnsi="Calibri"/>
                <w:sz w:val="20"/>
                <w:szCs w:val="20"/>
              </w:rPr>
              <w:t>10.00</w:t>
            </w:r>
          </w:p>
        </w:tc>
        <w:tc>
          <w:tcPr>
            <w:tcW w:w="2246" w:type="dxa"/>
            <w:tcBorders>
              <w:top w:val="single" w:color="auto" w:sz="4" w:space="0"/>
              <w:left w:val="single" w:color="auto" w:sz="4" w:space="0"/>
              <w:bottom w:val="single" w:color="auto" w:sz="4" w:space="0"/>
              <w:right w:val="single" w:color="auto" w:sz="4" w:space="0"/>
            </w:tcBorders>
            <w:vAlign w:val="center"/>
          </w:tcPr>
          <w:p w14:paraId="293D46E6">
            <w:pPr>
              <w:jc w:val="right"/>
              <w:rPr>
                <w:rFonts w:ascii="Calibri" w:hAnsi="Calibri" w:cs="Cambria"/>
                <w:sz w:val="20"/>
                <w:szCs w:val="20"/>
              </w:rPr>
            </w:pPr>
            <w:r>
              <w:rPr>
                <w:rFonts w:ascii="Calibri" w:hAnsi="Calibri"/>
                <w:sz w:val="20"/>
                <w:szCs w:val="20"/>
              </w:rPr>
              <w:t>10.00</w:t>
            </w:r>
          </w:p>
        </w:tc>
      </w:tr>
      <w:tr w14:paraId="4C85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14:paraId="75A3101D">
            <w:pPr>
              <w:rPr>
                <w:rFonts w:ascii="Calibri" w:hAnsi="Calibri" w:cs="Cambria"/>
                <w:sz w:val="20"/>
                <w:szCs w:val="20"/>
              </w:rPr>
            </w:pPr>
            <w:r>
              <w:rPr>
                <w:rFonts w:ascii="Calibri" w:hAnsi="Calibri"/>
                <w:sz w:val="20"/>
                <w:szCs w:val="20"/>
              </w:rPr>
              <w:t>徐力</w:t>
            </w:r>
          </w:p>
        </w:tc>
        <w:tc>
          <w:tcPr>
            <w:tcW w:w="3272" w:type="dxa"/>
            <w:tcBorders>
              <w:top w:val="single" w:color="auto" w:sz="4" w:space="0"/>
              <w:left w:val="single" w:color="auto" w:sz="4" w:space="0"/>
              <w:bottom w:val="single" w:color="auto" w:sz="4" w:space="0"/>
              <w:right w:val="single" w:color="auto" w:sz="4" w:space="0"/>
            </w:tcBorders>
            <w:vAlign w:val="center"/>
          </w:tcPr>
          <w:p w14:paraId="256E5588">
            <w:pPr>
              <w:rPr>
                <w:rFonts w:ascii="Calibri" w:hAnsi="Calibri" w:cs="Cambria"/>
                <w:sz w:val="20"/>
                <w:szCs w:val="20"/>
              </w:rPr>
            </w:pPr>
            <w:r>
              <w:rPr>
                <w:rFonts w:ascii="Calibri" w:hAnsi="Calibri"/>
                <w:sz w:val="20"/>
                <w:szCs w:val="20"/>
              </w:rPr>
              <w:t>独立董事</w:t>
            </w:r>
          </w:p>
        </w:tc>
        <w:tc>
          <w:tcPr>
            <w:tcW w:w="2398" w:type="dxa"/>
            <w:tcBorders>
              <w:top w:val="single" w:color="auto" w:sz="4" w:space="0"/>
              <w:left w:val="single" w:color="auto" w:sz="4" w:space="0"/>
              <w:bottom w:val="single" w:color="auto" w:sz="4" w:space="0"/>
              <w:right w:val="single" w:color="auto" w:sz="4" w:space="0"/>
            </w:tcBorders>
            <w:vAlign w:val="center"/>
          </w:tcPr>
          <w:p w14:paraId="0895A7CE">
            <w:pPr>
              <w:jc w:val="right"/>
              <w:rPr>
                <w:rFonts w:ascii="Calibri" w:hAnsi="Calibri" w:cs="Cambria"/>
                <w:sz w:val="20"/>
                <w:szCs w:val="20"/>
              </w:rPr>
            </w:pPr>
            <w:r>
              <w:rPr>
                <w:rFonts w:ascii="Calibri" w:hAnsi="Calibri"/>
                <w:sz w:val="20"/>
                <w:szCs w:val="20"/>
              </w:rPr>
              <w:t>10.00</w:t>
            </w:r>
          </w:p>
        </w:tc>
        <w:tc>
          <w:tcPr>
            <w:tcW w:w="2246" w:type="dxa"/>
            <w:tcBorders>
              <w:top w:val="single" w:color="auto" w:sz="4" w:space="0"/>
              <w:left w:val="single" w:color="auto" w:sz="4" w:space="0"/>
              <w:bottom w:val="single" w:color="auto" w:sz="4" w:space="0"/>
              <w:right w:val="single" w:color="auto" w:sz="4" w:space="0"/>
            </w:tcBorders>
            <w:vAlign w:val="center"/>
          </w:tcPr>
          <w:p w14:paraId="3121CBAC">
            <w:pPr>
              <w:jc w:val="right"/>
              <w:rPr>
                <w:rFonts w:ascii="Calibri" w:hAnsi="Calibri" w:cs="Cambria"/>
                <w:sz w:val="20"/>
                <w:szCs w:val="20"/>
              </w:rPr>
            </w:pPr>
            <w:r>
              <w:rPr>
                <w:rFonts w:ascii="Calibri" w:hAnsi="Calibri"/>
                <w:sz w:val="20"/>
                <w:szCs w:val="20"/>
              </w:rPr>
              <w:t>10.00</w:t>
            </w:r>
          </w:p>
        </w:tc>
      </w:tr>
      <w:tr w14:paraId="2843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14:paraId="5C7D2520">
            <w:pPr>
              <w:rPr>
                <w:rFonts w:ascii="Calibri" w:hAnsi="Calibri" w:cs="Cambria"/>
                <w:sz w:val="20"/>
                <w:szCs w:val="20"/>
              </w:rPr>
            </w:pPr>
            <w:r>
              <w:rPr>
                <w:rFonts w:ascii="Calibri" w:hAnsi="Calibri"/>
                <w:sz w:val="20"/>
                <w:szCs w:val="20"/>
              </w:rPr>
              <w:t>迟军玉</w:t>
            </w:r>
          </w:p>
        </w:tc>
        <w:tc>
          <w:tcPr>
            <w:tcW w:w="3272" w:type="dxa"/>
            <w:tcBorders>
              <w:top w:val="single" w:color="auto" w:sz="4" w:space="0"/>
              <w:left w:val="single" w:color="auto" w:sz="4" w:space="0"/>
              <w:bottom w:val="single" w:color="auto" w:sz="4" w:space="0"/>
              <w:right w:val="single" w:color="auto" w:sz="4" w:space="0"/>
            </w:tcBorders>
            <w:vAlign w:val="center"/>
          </w:tcPr>
          <w:p w14:paraId="0A819EB9">
            <w:pPr>
              <w:rPr>
                <w:rFonts w:ascii="Calibri" w:hAnsi="Calibri" w:cs="Cambria"/>
                <w:sz w:val="20"/>
                <w:szCs w:val="20"/>
              </w:rPr>
            </w:pPr>
            <w:r>
              <w:rPr>
                <w:rFonts w:ascii="Calibri" w:hAnsi="Calibri"/>
                <w:sz w:val="20"/>
                <w:szCs w:val="20"/>
              </w:rPr>
              <w:t>总会计师</w:t>
            </w:r>
          </w:p>
        </w:tc>
        <w:tc>
          <w:tcPr>
            <w:tcW w:w="2398" w:type="dxa"/>
            <w:tcBorders>
              <w:top w:val="single" w:color="auto" w:sz="4" w:space="0"/>
              <w:left w:val="single" w:color="auto" w:sz="4" w:space="0"/>
              <w:bottom w:val="single" w:color="auto" w:sz="4" w:space="0"/>
              <w:right w:val="single" w:color="auto" w:sz="4" w:space="0"/>
            </w:tcBorders>
            <w:vAlign w:val="center"/>
          </w:tcPr>
          <w:p w14:paraId="53D8B964">
            <w:pPr>
              <w:jc w:val="right"/>
              <w:rPr>
                <w:rFonts w:ascii="Calibri" w:hAnsi="Calibri" w:cs="Cambria"/>
                <w:sz w:val="20"/>
                <w:szCs w:val="20"/>
              </w:rPr>
            </w:pPr>
            <w:r>
              <w:rPr>
                <w:rFonts w:ascii="Calibri" w:hAnsi="Calibri"/>
                <w:sz w:val="20"/>
                <w:szCs w:val="20"/>
              </w:rPr>
              <w:t>116.24</w:t>
            </w:r>
          </w:p>
        </w:tc>
        <w:tc>
          <w:tcPr>
            <w:tcW w:w="2246" w:type="dxa"/>
            <w:tcBorders>
              <w:top w:val="single" w:color="auto" w:sz="4" w:space="0"/>
              <w:left w:val="single" w:color="auto" w:sz="4" w:space="0"/>
              <w:bottom w:val="single" w:color="auto" w:sz="4" w:space="0"/>
              <w:right w:val="single" w:color="auto" w:sz="4" w:space="0"/>
            </w:tcBorders>
            <w:vAlign w:val="center"/>
          </w:tcPr>
          <w:p w14:paraId="5849519F">
            <w:pPr>
              <w:jc w:val="right"/>
              <w:rPr>
                <w:rFonts w:ascii="Calibri" w:hAnsi="Calibri" w:cs="Cambria"/>
                <w:sz w:val="20"/>
                <w:szCs w:val="20"/>
              </w:rPr>
            </w:pPr>
            <w:r>
              <w:rPr>
                <w:rFonts w:ascii="Calibri" w:hAnsi="Calibri"/>
                <w:sz w:val="20"/>
                <w:szCs w:val="20"/>
              </w:rPr>
              <w:t>82.24</w:t>
            </w:r>
          </w:p>
        </w:tc>
      </w:tr>
      <w:tr w14:paraId="0F7F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14:paraId="5F26ED91">
            <w:pPr>
              <w:rPr>
                <w:rFonts w:ascii="Calibri" w:hAnsi="Calibri"/>
                <w:sz w:val="20"/>
                <w:szCs w:val="20"/>
              </w:rPr>
            </w:pPr>
            <w:r>
              <w:rPr>
                <w:rFonts w:ascii="Calibri" w:hAnsi="Calibri"/>
                <w:sz w:val="20"/>
                <w:szCs w:val="20"/>
              </w:rPr>
              <w:t>王君业</w:t>
            </w:r>
          </w:p>
        </w:tc>
        <w:tc>
          <w:tcPr>
            <w:tcW w:w="3272" w:type="dxa"/>
            <w:tcBorders>
              <w:top w:val="single" w:color="auto" w:sz="4" w:space="0"/>
              <w:left w:val="single" w:color="auto" w:sz="4" w:space="0"/>
              <w:bottom w:val="single" w:color="auto" w:sz="4" w:space="0"/>
              <w:right w:val="single" w:color="auto" w:sz="4" w:space="0"/>
            </w:tcBorders>
            <w:vAlign w:val="center"/>
          </w:tcPr>
          <w:p w14:paraId="6435ADA7">
            <w:pPr>
              <w:rPr>
                <w:rFonts w:ascii="Calibri" w:hAnsi="Calibri"/>
                <w:sz w:val="20"/>
                <w:szCs w:val="20"/>
              </w:rPr>
            </w:pPr>
            <w:r>
              <w:rPr>
                <w:rFonts w:ascii="Calibri" w:hAnsi="Calibri"/>
                <w:sz w:val="20"/>
                <w:szCs w:val="20"/>
              </w:rPr>
              <w:t>监事会主席</w:t>
            </w:r>
            <w:r>
              <w:rPr>
                <w:rFonts w:hint="eastAsia" w:ascii="Calibri" w:hAnsi="Calibri"/>
                <w:sz w:val="20"/>
                <w:szCs w:val="20"/>
              </w:rPr>
              <w:t>（已离任）</w:t>
            </w:r>
          </w:p>
        </w:tc>
        <w:tc>
          <w:tcPr>
            <w:tcW w:w="2398" w:type="dxa"/>
            <w:tcBorders>
              <w:top w:val="single" w:color="auto" w:sz="4" w:space="0"/>
              <w:left w:val="single" w:color="auto" w:sz="4" w:space="0"/>
              <w:bottom w:val="single" w:color="auto" w:sz="4" w:space="0"/>
              <w:right w:val="single" w:color="auto" w:sz="4" w:space="0"/>
            </w:tcBorders>
            <w:vAlign w:val="center"/>
          </w:tcPr>
          <w:p w14:paraId="2B2940AB">
            <w:pPr>
              <w:jc w:val="right"/>
              <w:rPr>
                <w:rFonts w:ascii="Calibri" w:hAnsi="Calibri"/>
                <w:sz w:val="20"/>
                <w:szCs w:val="20"/>
              </w:rPr>
            </w:pPr>
          </w:p>
        </w:tc>
        <w:tc>
          <w:tcPr>
            <w:tcW w:w="2246" w:type="dxa"/>
            <w:tcBorders>
              <w:top w:val="single" w:color="auto" w:sz="4" w:space="0"/>
              <w:left w:val="single" w:color="auto" w:sz="4" w:space="0"/>
              <w:bottom w:val="single" w:color="auto" w:sz="4" w:space="0"/>
              <w:right w:val="single" w:color="auto" w:sz="4" w:space="0"/>
            </w:tcBorders>
            <w:vAlign w:val="center"/>
          </w:tcPr>
          <w:p w14:paraId="3AE85B84">
            <w:pPr>
              <w:jc w:val="right"/>
              <w:rPr>
                <w:rFonts w:ascii="Calibri" w:hAnsi="Calibri"/>
                <w:sz w:val="20"/>
                <w:szCs w:val="20"/>
              </w:rPr>
            </w:pPr>
            <w:r>
              <w:rPr>
                <w:rFonts w:ascii="Calibri" w:hAnsi="Calibri"/>
                <w:sz w:val="20"/>
                <w:szCs w:val="20"/>
              </w:rPr>
              <w:t>17.32</w:t>
            </w:r>
          </w:p>
        </w:tc>
      </w:tr>
      <w:tr w14:paraId="255D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14:paraId="385B5C8B">
            <w:pPr>
              <w:rPr>
                <w:rFonts w:ascii="Calibri" w:hAnsi="Calibri"/>
                <w:sz w:val="20"/>
                <w:szCs w:val="20"/>
              </w:rPr>
            </w:pPr>
            <w:r>
              <w:rPr>
                <w:rFonts w:ascii="Calibri" w:hAnsi="Calibri"/>
                <w:sz w:val="20"/>
                <w:szCs w:val="20"/>
              </w:rPr>
              <w:t>曹福波</w:t>
            </w:r>
          </w:p>
        </w:tc>
        <w:tc>
          <w:tcPr>
            <w:tcW w:w="3272" w:type="dxa"/>
            <w:tcBorders>
              <w:top w:val="single" w:color="auto" w:sz="4" w:space="0"/>
              <w:left w:val="single" w:color="auto" w:sz="4" w:space="0"/>
              <w:bottom w:val="single" w:color="auto" w:sz="4" w:space="0"/>
              <w:right w:val="single" w:color="auto" w:sz="4" w:space="0"/>
            </w:tcBorders>
            <w:vAlign w:val="center"/>
          </w:tcPr>
          <w:p w14:paraId="19CEB251">
            <w:pPr>
              <w:rPr>
                <w:rFonts w:ascii="Calibri" w:hAnsi="Calibri"/>
                <w:sz w:val="20"/>
                <w:szCs w:val="20"/>
              </w:rPr>
            </w:pPr>
            <w:r>
              <w:rPr>
                <w:rFonts w:ascii="Calibri" w:hAnsi="Calibri"/>
                <w:sz w:val="20"/>
                <w:szCs w:val="20"/>
              </w:rPr>
              <w:t>监事</w:t>
            </w:r>
            <w:r>
              <w:rPr>
                <w:rFonts w:hint="eastAsia" w:ascii="Calibri" w:hAnsi="Calibri"/>
                <w:sz w:val="20"/>
                <w:szCs w:val="20"/>
              </w:rPr>
              <w:t>（已离任）</w:t>
            </w:r>
          </w:p>
        </w:tc>
        <w:tc>
          <w:tcPr>
            <w:tcW w:w="2398" w:type="dxa"/>
            <w:tcBorders>
              <w:top w:val="single" w:color="auto" w:sz="4" w:space="0"/>
              <w:left w:val="single" w:color="auto" w:sz="4" w:space="0"/>
              <w:bottom w:val="single" w:color="auto" w:sz="4" w:space="0"/>
              <w:right w:val="single" w:color="auto" w:sz="4" w:space="0"/>
            </w:tcBorders>
            <w:vAlign w:val="center"/>
          </w:tcPr>
          <w:p w14:paraId="52DE5AA5">
            <w:pPr>
              <w:jc w:val="right"/>
              <w:rPr>
                <w:rFonts w:ascii="Calibri" w:hAnsi="Calibri"/>
                <w:sz w:val="20"/>
                <w:szCs w:val="20"/>
              </w:rPr>
            </w:pPr>
          </w:p>
        </w:tc>
        <w:tc>
          <w:tcPr>
            <w:tcW w:w="2246" w:type="dxa"/>
            <w:tcBorders>
              <w:top w:val="single" w:color="auto" w:sz="4" w:space="0"/>
              <w:left w:val="single" w:color="auto" w:sz="4" w:space="0"/>
              <w:bottom w:val="single" w:color="auto" w:sz="4" w:space="0"/>
              <w:right w:val="single" w:color="auto" w:sz="4" w:space="0"/>
            </w:tcBorders>
            <w:vAlign w:val="center"/>
          </w:tcPr>
          <w:p w14:paraId="4F695647">
            <w:pPr>
              <w:jc w:val="right"/>
              <w:rPr>
                <w:rFonts w:ascii="Calibri" w:hAnsi="Calibri"/>
                <w:sz w:val="20"/>
                <w:szCs w:val="20"/>
              </w:rPr>
            </w:pPr>
            <w:r>
              <w:rPr>
                <w:rFonts w:ascii="Calibri" w:hAnsi="Calibri"/>
                <w:sz w:val="20"/>
                <w:szCs w:val="20"/>
              </w:rPr>
              <w:t>17.32</w:t>
            </w:r>
          </w:p>
        </w:tc>
      </w:tr>
      <w:tr w14:paraId="67FC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14:paraId="7E58B88F">
            <w:pPr>
              <w:rPr>
                <w:rFonts w:ascii="Calibri" w:hAnsi="Calibri"/>
                <w:sz w:val="20"/>
                <w:szCs w:val="20"/>
              </w:rPr>
            </w:pPr>
            <w:r>
              <w:rPr>
                <w:rFonts w:ascii="Calibri" w:hAnsi="Calibri"/>
                <w:sz w:val="20"/>
                <w:szCs w:val="20"/>
              </w:rPr>
              <w:t>何清霞</w:t>
            </w:r>
          </w:p>
        </w:tc>
        <w:tc>
          <w:tcPr>
            <w:tcW w:w="3272" w:type="dxa"/>
            <w:tcBorders>
              <w:top w:val="single" w:color="auto" w:sz="4" w:space="0"/>
              <w:left w:val="single" w:color="auto" w:sz="4" w:space="0"/>
              <w:bottom w:val="single" w:color="auto" w:sz="4" w:space="0"/>
              <w:right w:val="single" w:color="auto" w:sz="4" w:space="0"/>
            </w:tcBorders>
            <w:vAlign w:val="center"/>
          </w:tcPr>
          <w:p w14:paraId="1F4DB9EC">
            <w:pPr>
              <w:rPr>
                <w:rFonts w:ascii="Calibri" w:hAnsi="Calibri"/>
                <w:sz w:val="20"/>
                <w:szCs w:val="20"/>
              </w:rPr>
            </w:pPr>
            <w:r>
              <w:rPr>
                <w:rFonts w:ascii="Calibri" w:hAnsi="Calibri"/>
                <w:sz w:val="20"/>
                <w:szCs w:val="20"/>
              </w:rPr>
              <w:t>职工监事</w:t>
            </w:r>
            <w:r>
              <w:rPr>
                <w:rFonts w:hint="eastAsia" w:ascii="Calibri" w:hAnsi="Calibri"/>
                <w:sz w:val="20"/>
                <w:szCs w:val="20"/>
              </w:rPr>
              <w:t>（已离任）</w:t>
            </w:r>
          </w:p>
        </w:tc>
        <w:tc>
          <w:tcPr>
            <w:tcW w:w="2398" w:type="dxa"/>
            <w:tcBorders>
              <w:top w:val="single" w:color="auto" w:sz="4" w:space="0"/>
              <w:left w:val="single" w:color="auto" w:sz="4" w:space="0"/>
              <w:bottom w:val="single" w:color="auto" w:sz="4" w:space="0"/>
              <w:right w:val="single" w:color="auto" w:sz="4" w:space="0"/>
            </w:tcBorders>
            <w:vAlign w:val="center"/>
          </w:tcPr>
          <w:p w14:paraId="1C754239">
            <w:pPr>
              <w:jc w:val="right"/>
              <w:rPr>
                <w:rFonts w:ascii="Calibri" w:hAnsi="Calibri"/>
                <w:sz w:val="20"/>
                <w:szCs w:val="20"/>
              </w:rPr>
            </w:pPr>
          </w:p>
        </w:tc>
        <w:tc>
          <w:tcPr>
            <w:tcW w:w="2246" w:type="dxa"/>
            <w:tcBorders>
              <w:top w:val="single" w:color="auto" w:sz="4" w:space="0"/>
              <w:left w:val="single" w:color="auto" w:sz="4" w:space="0"/>
              <w:bottom w:val="single" w:color="auto" w:sz="4" w:space="0"/>
              <w:right w:val="single" w:color="auto" w:sz="4" w:space="0"/>
            </w:tcBorders>
            <w:vAlign w:val="center"/>
          </w:tcPr>
          <w:p w14:paraId="0629F731">
            <w:pPr>
              <w:jc w:val="right"/>
              <w:rPr>
                <w:rFonts w:ascii="Calibri" w:hAnsi="Calibri"/>
                <w:sz w:val="20"/>
                <w:szCs w:val="20"/>
              </w:rPr>
            </w:pPr>
            <w:r>
              <w:rPr>
                <w:rFonts w:ascii="Calibri" w:hAnsi="Calibri"/>
                <w:sz w:val="20"/>
                <w:szCs w:val="20"/>
              </w:rPr>
              <w:t>37.22</w:t>
            </w:r>
          </w:p>
        </w:tc>
      </w:tr>
      <w:tr w14:paraId="18A3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14:paraId="18EF6890">
            <w:pPr>
              <w:rPr>
                <w:rFonts w:ascii="Calibri" w:hAnsi="Calibri" w:cs="Cambria"/>
                <w:sz w:val="20"/>
                <w:szCs w:val="20"/>
              </w:rPr>
            </w:pPr>
            <w:r>
              <w:rPr>
                <w:rFonts w:ascii="Calibri" w:hAnsi="Calibri"/>
                <w:sz w:val="20"/>
                <w:szCs w:val="20"/>
              </w:rPr>
              <w:t>苏璠</w:t>
            </w:r>
          </w:p>
        </w:tc>
        <w:tc>
          <w:tcPr>
            <w:tcW w:w="3272" w:type="dxa"/>
            <w:tcBorders>
              <w:top w:val="single" w:color="auto" w:sz="4" w:space="0"/>
              <w:left w:val="single" w:color="auto" w:sz="4" w:space="0"/>
              <w:bottom w:val="single" w:color="auto" w:sz="4" w:space="0"/>
              <w:right w:val="single" w:color="auto" w:sz="4" w:space="0"/>
            </w:tcBorders>
            <w:vAlign w:val="center"/>
          </w:tcPr>
          <w:p w14:paraId="463002A0">
            <w:pPr>
              <w:rPr>
                <w:rFonts w:ascii="Calibri" w:hAnsi="Calibri" w:cs="Cambria"/>
                <w:sz w:val="20"/>
                <w:szCs w:val="20"/>
              </w:rPr>
            </w:pPr>
            <w:r>
              <w:rPr>
                <w:rFonts w:ascii="Calibri" w:hAnsi="Calibri"/>
                <w:sz w:val="20"/>
                <w:szCs w:val="20"/>
              </w:rPr>
              <w:t>副总经理、董事会秘书</w:t>
            </w:r>
            <w:r>
              <w:rPr>
                <w:rFonts w:hint="eastAsia" w:ascii="Calibri" w:hAnsi="Calibri"/>
                <w:sz w:val="20"/>
                <w:szCs w:val="20"/>
              </w:rPr>
              <w:t>（已离任）</w:t>
            </w:r>
          </w:p>
        </w:tc>
        <w:tc>
          <w:tcPr>
            <w:tcW w:w="2398" w:type="dxa"/>
            <w:tcBorders>
              <w:top w:val="single" w:color="auto" w:sz="4" w:space="0"/>
              <w:left w:val="single" w:color="auto" w:sz="4" w:space="0"/>
              <w:bottom w:val="single" w:color="auto" w:sz="4" w:space="0"/>
              <w:right w:val="single" w:color="auto" w:sz="4" w:space="0"/>
            </w:tcBorders>
            <w:vAlign w:val="center"/>
          </w:tcPr>
          <w:p w14:paraId="0E537212">
            <w:pPr>
              <w:jc w:val="right"/>
              <w:rPr>
                <w:rFonts w:ascii="Calibri" w:hAnsi="Calibri" w:cs="Cambria"/>
                <w:sz w:val="20"/>
                <w:szCs w:val="20"/>
              </w:rPr>
            </w:pPr>
            <w:r>
              <w:rPr>
                <w:rFonts w:ascii="Calibri" w:hAnsi="Calibri"/>
                <w:sz w:val="20"/>
                <w:szCs w:val="20"/>
              </w:rPr>
              <w:t>113.34</w:t>
            </w:r>
          </w:p>
        </w:tc>
        <w:tc>
          <w:tcPr>
            <w:tcW w:w="2246" w:type="dxa"/>
            <w:tcBorders>
              <w:top w:val="single" w:color="auto" w:sz="4" w:space="0"/>
              <w:left w:val="single" w:color="auto" w:sz="4" w:space="0"/>
              <w:bottom w:val="single" w:color="auto" w:sz="4" w:space="0"/>
              <w:right w:val="single" w:color="auto" w:sz="4" w:space="0"/>
            </w:tcBorders>
            <w:vAlign w:val="center"/>
          </w:tcPr>
          <w:p w14:paraId="34B97CA0">
            <w:pPr>
              <w:jc w:val="right"/>
              <w:rPr>
                <w:rFonts w:ascii="Calibri" w:hAnsi="Calibri" w:cs="Cambria"/>
                <w:sz w:val="20"/>
                <w:szCs w:val="20"/>
              </w:rPr>
            </w:pPr>
            <w:r>
              <w:rPr>
                <w:rFonts w:ascii="Calibri" w:hAnsi="Calibri"/>
                <w:sz w:val="20"/>
                <w:szCs w:val="20"/>
              </w:rPr>
              <w:t>96.25</w:t>
            </w:r>
          </w:p>
        </w:tc>
      </w:tr>
      <w:tr w14:paraId="34F1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14:paraId="154E3B3D">
            <w:pPr>
              <w:rPr>
                <w:rFonts w:ascii="Calibri" w:hAnsi="Calibri" w:cs="Cambria"/>
                <w:sz w:val="20"/>
                <w:szCs w:val="20"/>
              </w:rPr>
            </w:pPr>
            <w:r>
              <w:rPr>
                <w:rFonts w:ascii="Calibri" w:hAnsi="Calibri"/>
                <w:sz w:val="20"/>
                <w:szCs w:val="20"/>
              </w:rPr>
              <w:t>陈红</w:t>
            </w:r>
          </w:p>
        </w:tc>
        <w:tc>
          <w:tcPr>
            <w:tcW w:w="3272" w:type="dxa"/>
            <w:tcBorders>
              <w:top w:val="single" w:color="auto" w:sz="4" w:space="0"/>
              <w:left w:val="single" w:color="auto" w:sz="4" w:space="0"/>
              <w:bottom w:val="single" w:color="auto" w:sz="4" w:space="0"/>
              <w:right w:val="single" w:color="auto" w:sz="4" w:space="0"/>
            </w:tcBorders>
            <w:vAlign w:val="center"/>
          </w:tcPr>
          <w:p w14:paraId="7D4184BD">
            <w:pPr>
              <w:rPr>
                <w:rFonts w:ascii="Calibri" w:hAnsi="Calibri" w:cs="Cambria"/>
                <w:sz w:val="20"/>
                <w:szCs w:val="20"/>
              </w:rPr>
            </w:pPr>
            <w:r>
              <w:rPr>
                <w:rFonts w:ascii="Calibri" w:hAnsi="Calibri"/>
                <w:sz w:val="20"/>
                <w:szCs w:val="20"/>
              </w:rPr>
              <w:t>副总经理</w:t>
            </w:r>
            <w:r>
              <w:rPr>
                <w:rFonts w:hint="eastAsia" w:ascii="Calibri" w:hAnsi="Calibri"/>
                <w:sz w:val="20"/>
                <w:szCs w:val="20"/>
              </w:rPr>
              <w:t>（已离任）</w:t>
            </w:r>
          </w:p>
        </w:tc>
        <w:tc>
          <w:tcPr>
            <w:tcW w:w="2398" w:type="dxa"/>
            <w:tcBorders>
              <w:top w:val="single" w:color="auto" w:sz="4" w:space="0"/>
              <w:left w:val="single" w:color="auto" w:sz="4" w:space="0"/>
              <w:bottom w:val="single" w:color="auto" w:sz="4" w:space="0"/>
              <w:right w:val="single" w:color="auto" w:sz="4" w:space="0"/>
            </w:tcBorders>
            <w:vAlign w:val="center"/>
          </w:tcPr>
          <w:p w14:paraId="6333E87C">
            <w:pPr>
              <w:jc w:val="right"/>
              <w:rPr>
                <w:rFonts w:ascii="Calibri" w:hAnsi="Calibri" w:cs="Cambria"/>
                <w:sz w:val="20"/>
                <w:szCs w:val="20"/>
              </w:rPr>
            </w:pPr>
            <w:r>
              <w:rPr>
                <w:rFonts w:ascii="Calibri" w:hAnsi="Calibri"/>
                <w:sz w:val="20"/>
                <w:szCs w:val="20"/>
              </w:rPr>
              <w:t>52.22</w:t>
            </w:r>
          </w:p>
        </w:tc>
        <w:tc>
          <w:tcPr>
            <w:tcW w:w="2246" w:type="dxa"/>
            <w:tcBorders>
              <w:top w:val="single" w:color="auto" w:sz="4" w:space="0"/>
              <w:left w:val="single" w:color="auto" w:sz="4" w:space="0"/>
              <w:bottom w:val="single" w:color="auto" w:sz="4" w:space="0"/>
              <w:right w:val="single" w:color="auto" w:sz="4" w:space="0"/>
            </w:tcBorders>
            <w:vAlign w:val="center"/>
          </w:tcPr>
          <w:p w14:paraId="67E4D71C">
            <w:pPr>
              <w:jc w:val="right"/>
              <w:rPr>
                <w:rFonts w:ascii="Calibri" w:hAnsi="Calibri" w:cs="Cambria"/>
                <w:sz w:val="20"/>
                <w:szCs w:val="20"/>
              </w:rPr>
            </w:pPr>
            <w:r>
              <w:rPr>
                <w:rFonts w:ascii="Calibri" w:hAnsi="Calibri"/>
                <w:sz w:val="20"/>
                <w:szCs w:val="20"/>
              </w:rPr>
              <w:t>49.72</w:t>
            </w:r>
          </w:p>
        </w:tc>
      </w:tr>
      <w:tr w14:paraId="0C06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14:paraId="2B607786">
            <w:pPr>
              <w:rPr>
                <w:rFonts w:ascii="Calibri" w:hAnsi="Calibri" w:cs="Cambria"/>
                <w:sz w:val="20"/>
                <w:szCs w:val="20"/>
              </w:rPr>
            </w:pPr>
            <w:r>
              <w:rPr>
                <w:rFonts w:ascii="Calibri" w:hAnsi="Calibri"/>
                <w:sz w:val="20"/>
                <w:szCs w:val="20"/>
              </w:rPr>
              <w:t>DuZhiqiang（杜治强）</w:t>
            </w:r>
          </w:p>
        </w:tc>
        <w:tc>
          <w:tcPr>
            <w:tcW w:w="3272" w:type="dxa"/>
            <w:tcBorders>
              <w:top w:val="single" w:color="auto" w:sz="4" w:space="0"/>
              <w:left w:val="single" w:color="auto" w:sz="4" w:space="0"/>
              <w:bottom w:val="single" w:color="auto" w:sz="4" w:space="0"/>
              <w:right w:val="single" w:color="auto" w:sz="4" w:space="0"/>
            </w:tcBorders>
            <w:vAlign w:val="center"/>
          </w:tcPr>
          <w:p w14:paraId="2771011B">
            <w:pPr>
              <w:rPr>
                <w:rFonts w:ascii="Calibri" w:hAnsi="Calibri" w:cs="Cambria"/>
                <w:sz w:val="20"/>
                <w:szCs w:val="20"/>
              </w:rPr>
            </w:pPr>
            <w:r>
              <w:rPr>
                <w:rFonts w:ascii="Calibri" w:hAnsi="Calibri"/>
                <w:sz w:val="20"/>
                <w:szCs w:val="20"/>
              </w:rPr>
              <w:t>副总经理</w:t>
            </w:r>
            <w:r>
              <w:rPr>
                <w:rFonts w:hint="eastAsia" w:ascii="Calibri" w:hAnsi="Calibri"/>
                <w:sz w:val="20"/>
                <w:szCs w:val="20"/>
              </w:rPr>
              <w:t>（已离任）</w:t>
            </w:r>
          </w:p>
        </w:tc>
        <w:tc>
          <w:tcPr>
            <w:tcW w:w="2398" w:type="dxa"/>
            <w:tcBorders>
              <w:top w:val="single" w:color="auto" w:sz="4" w:space="0"/>
              <w:left w:val="single" w:color="auto" w:sz="4" w:space="0"/>
              <w:bottom w:val="single" w:color="auto" w:sz="4" w:space="0"/>
              <w:right w:val="single" w:color="auto" w:sz="4" w:space="0"/>
            </w:tcBorders>
            <w:vAlign w:val="center"/>
          </w:tcPr>
          <w:p w14:paraId="478CAE1B">
            <w:pPr>
              <w:jc w:val="right"/>
              <w:rPr>
                <w:rFonts w:ascii="Calibri" w:hAnsi="Calibri" w:cs="Cambria"/>
                <w:sz w:val="20"/>
                <w:szCs w:val="20"/>
              </w:rPr>
            </w:pPr>
            <w:r>
              <w:rPr>
                <w:rFonts w:ascii="Calibri" w:hAnsi="Calibri"/>
                <w:sz w:val="20"/>
                <w:szCs w:val="20"/>
              </w:rPr>
              <w:t>77.93</w:t>
            </w:r>
          </w:p>
        </w:tc>
        <w:tc>
          <w:tcPr>
            <w:tcW w:w="2246" w:type="dxa"/>
            <w:tcBorders>
              <w:top w:val="single" w:color="auto" w:sz="4" w:space="0"/>
              <w:left w:val="single" w:color="auto" w:sz="4" w:space="0"/>
              <w:bottom w:val="single" w:color="auto" w:sz="4" w:space="0"/>
              <w:right w:val="single" w:color="auto" w:sz="4" w:space="0"/>
            </w:tcBorders>
            <w:vAlign w:val="center"/>
          </w:tcPr>
          <w:p w14:paraId="50C26FBB">
            <w:pPr>
              <w:jc w:val="right"/>
              <w:rPr>
                <w:rFonts w:ascii="Calibri" w:hAnsi="Calibri" w:cs="Cambria"/>
                <w:sz w:val="20"/>
                <w:szCs w:val="20"/>
              </w:rPr>
            </w:pPr>
            <w:r>
              <w:rPr>
                <w:rFonts w:ascii="Calibri" w:hAnsi="Calibri"/>
                <w:sz w:val="20"/>
                <w:szCs w:val="20"/>
              </w:rPr>
              <w:t>141.74</w:t>
            </w:r>
          </w:p>
        </w:tc>
      </w:tr>
      <w:tr w14:paraId="3A47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0" w:type="dxa"/>
            <w:gridSpan w:val="2"/>
            <w:tcBorders>
              <w:top w:val="single" w:color="auto" w:sz="4" w:space="0"/>
              <w:left w:val="single" w:color="auto" w:sz="4" w:space="0"/>
              <w:bottom w:val="single" w:color="auto" w:sz="4" w:space="0"/>
              <w:right w:val="single" w:color="auto" w:sz="4" w:space="0"/>
            </w:tcBorders>
            <w:vAlign w:val="center"/>
          </w:tcPr>
          <w:p w14:paraId="54A8CB8F">
            <w:pPr>
              <w:jc w:val="center"/>
              <w:rPr>
                <w:rFonts w:ascii="Calibri" w:hAnsi="Calibri" w:cs="Cambria"/>
                <w:sz w:val="20"/>
                <w:szCs w:val="20"/>
              </w:rPr>
            </w:pPr>
            <w:r>
              <w:rPr>
                <w:rFonts w:hint="eastAsia" w:ascii="Calibri" w:hAnsi="Calibri" w:cs="Cambria"/>
                <w:sz w:val="20"/>
                <w:szCs w:val="20"/>
              </w:rPr>
              <w:t>关键管理人员报酬</w:t>
            </w:r>
          </w:p>
        </w:tc>
        <w:tc>
          <w:tcPr>
            <w:tcW w:w="2398" w:type="dxa"/>
            <w:tcBorders>
              <w:top w:val="single" w:color="auto" w:sz="4" w:space="0"/>
              <w:left w:val="single" w:color="auto" w:sz="4" w:space="0"/>
              <w:bottom w:val="single" w:color="auto" w:sz="4" w:space="0"/>
              <w:right w:val="single" w:color="auto" w:sz="4" w:space="0"/>
            </w:tcBorders>
            <w:vAlign w:val="center"/>
          </w:tcPr>
          <w:p w14:paraId="455CD0D6">
            <w:pPr>
              <w:jc w:val="right"/>
              <w:rPr>
                <w:rFonts w:ascii="Calibri" w:hAnsi="Calibri" w:cs="Cambria"/>
                <w:sz w:val="20"/>
                <w:szCs w:val="20"/>
              </w:rPr>
            </w:pPr>
            <w:r>
              <w:rPr>
                <w:rFonts w:ascii="Calibri" w:hAnsi="Calibri"/>
                <w:sz w:val="20"/>
                <w:szCs w:val="20"/>
              </w:rPr>
              <w:t>1,420.26</w:t>
            </w:r>
          </w:p>
        </w:tc>
        <w:tc>
          <w:tcPr>
            <w:tcW w:w="2246" w:type="dxa"/>
            <w:tcBorders>
              <w:top w:val="single" w:color="auto" w:sz="4" w:space="0"/>
              <w:left w:val="single" w:color="auto" w:sz="4" w:space="0"/>
              <w:bottom w:val="single" w:color="auto" w:sz="4" w:space="0"/>
              <w:right w:val="single" w:color="auto" w:sz="4" w:space="0"/>
            </w:tcBorders>
            <w:vAlign w:val="center"/>
          </w:tcPr>
          <w:p w14:paraId="19388ADA">
            <w:pPr>
              <w:jc w:val="right"/>
              <w:rPr>
                <w:rFonts w:ascii="Calibri" w:hAnsi="Calibri" w:cs="Cambria"/>
                <w:sz w:val="20"/>
                <w:szCs w:val="20"/>
              </w:rPr>
            </w:pPr>
            <w:r>
              <w:rPr>
                <w:rFonts w:ascii="Calibri" w:hAnsi="Calibri"/>
                <w:sz w:val="20"/>
                <w:szCs w:val="20"/>
              </w:rPr>
              <w:t>1,163.11</w:t>
            </w:r>
          </w:p>
        </w:tc>
      </w:tr>
    </w:tbl>
    <w:p w14:paraId="5DE4CB0C"/>
    <w:p w14:paraId="3A25C70B">
      <w:pPr>
        <w:pStyle w:val="5"/>
        <w:numPr>
          <w:ilvl w:val="3"/>
          <w:numId w:val="116"/>
        </w:numPr>
        <w:ind w:left="424" w:hanging="424" w:hangingChars="201"/>
      </w:pPr>
      <w:r>
        <w:rPr>
          <w:rFonts w:hint="eastAsia"/>
        </w:rPr>
        <w:t>其他关联交易</w:t>
      </w:r>
    </w:p>
    <w:sdt>
      <w:sdtPr>
        <w:rPr>
          <w:rFonts w:hint="eastAsia"/>
        </w:rPr>
        <w:alias w:val="是否适用：其他关联交易[双击切换]"/>
        <w:tag w:val="_GBC_a1203a07d7684e08bdc2f1959f1cb9ae"/>
        <w:id w:val="1663969338"/>
        <w:placeholder>
          <w:docPart w:val="GBC22222222222222222222222222222"/>
        </w:placeholder>
      </w:sdtPr>
      <w:sdtEndPr>
        <w:rPr>
          <w:rFonts w:hint="eastAsia"/>
        </w:rPr>
      </w:sdtEndPr>
      <w:sdtContent>
        <w:p w14:paraId="5294256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F53B597">
      <w:pPr>
        <w:pStyle w:val="48"/>
      </w:pPr>
    </w:p>
    <w:p w14:paraId="4D2413E2">
      <w:pPr>
        <w:pStyle w:val="4"/>
        <w:numPr>
          <w:ilvl w:val="0"/>
          <w:numId w:val="115"/>
        </w:numPr>
      </w:pPr>
      <w:r>
        <w:rPr>
          <w:rFonts w:hint="eastAsia"/>
        </w:rPr>
        <w:t>应收、应付关联方等未结算项目情况</w:t>
      </w:r>
    </w:p>
    <w:p w14:paraId="35183B78">
      <w:pPr>
        <w:pStyle w:val="5"/>
        <w:numPr>
          <w:ilvl w:val="3"/>
          <w:numId w:val="117"/>
        </w:numPr>
        <w:ind w:left="426" w:hanging="426" w:hangingChars="202"/>
        <w:rPr>
          <w:rFonts w:ascii="宋体" w:hAnsi="宋体" w:cs="Arial"/>
          <w:szCs w:val="21"/>
        </w:rPr>
      </w:pPr>
      <w:r>
        <w:rPr>
          <w:rFonts w:hint="eastAsia"/>
        </w:rPr>
        <w:t>应收项目</w:t>
      </w:r>
    </w:p>
    <w:sdt>
      <w:sdtPr>
        <w:rPr>
          <w:rFonts w:hint="eastAsia"/>
        </w:rPr>
        <w:alias w:val="是否适用：应收项目[双击切换]"/>
        <w:tag w:val="_GBC_4ae94d538d2e44ae839d59a1751a6d01"/>
        <w:id w:val="-1810783190"/>
        <w:placeholder>
          <w:docPart w:val="GBC22222222222222222222222222222"/>
        </w:placeholder>
      </w:sdtPr>
      <w:sdtEndPr>
        <w:rPr>
          <w:rFonts w:hint="eastAsia"/>
        </w:rPr>
      </w:sdtEndPr>
      <w:sdtContent>
        <w:p w14:paraId="373826F9">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39788D2">
      <w:pPr>
        <w:jc w:val="right"/>
      </w:pPr>
      <w:r>
        <w:rPr>
          <w:rFonts w:hint="eastAsia"/>
        </w:rPr>
        <w:t>单位：</w:t>
      </w:r>
      <w:sdt>
        <w:sdtPr>
          <w:rPr>
            <w:rFonts w:hint="eastAsia"/>
          </w:rPr>
          <w:alias w:val="单位：上市公司应收关联方款项"/>
          <w:tag w:val="_GBC_83968b233566404db428b085bcb695b8"/>
          <w:id w:val="13492194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上市公司应收关联方款项"/>
          <w:tag w:val="_GBC_546206ef37784e9ca5284158e64b95dc"/>
          <w:id w:val="-10610103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10330"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262"/>
        <w:gridCol w:w="1517"/>
        <w:gridCol w:w="1517"/>
        <w:gridCol w:w="1634"/>
        <w:gridCol w:w="1982"/>
      </w:tblGrid>
      <w:tr w14:paraId="70E1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sdt>
          <w:sdtPr>
            <w:tag w:val="_PLD_c0c6dc2d23f94f929199b42c584f57ca"/>
            <w:id w:val="-2032029645"/>
          </w:sdtPr>
          <w:sdtContent>
            <w:tc>
              <w:tcPr>
                <w:tcW w:w="1418" w:type="dxa"/>
                <w:vMerge w:val="restart"/>
                <w:tcBorders>
                  <w:top w:val="single" w:color="auto" w:sz="4" w:space="0"/>
                  <w:left w:val="single" w:color="auto" w:sz="4" w:space="0"/>
                  <w:right w:val="single" w:color="auto" w:sz="4" w:space="0"/>
                </w:tcBorders>
                <w:vAlign w:val="center"/>
              </w:tcPr>
              <w:p w14:paraId="067FBA35">
                <w:pPr>
                  <w:jc w:val="center"/>
                  <w:rPr>
                    <w:rFonts w:ascii="Calibri" w:hAnsi="Calibri"/>
                    <w:sz w:val="20"/>
                    <w:szCs w:val="20"/>
                  </w:rPr>
                </w:pPr>
                <w:r>
                  <w:rPr>
                    <w:rFonts w:hint="eastAsia" w:ascii="Calibri" w:hAnsi="Calibri"/>
                    <w:sz w:val="20"/>
                    <w:szCs w:val="20"/>
                  </w:rPr>
                  <w:t>项目名称</w:t>
                </w:r>
              </w:p>
            </w:tc>
          </w:sdtContent>
        </w:sdt>
        <w:sdt>
          <w:sdtPr>
            <w:tag w:val="_PLD_56aedf077d5c4d3b814d04d193f71af7"/>
            <w:id w:val="-96712969"/>
          </w:sdtPr>
          <w:sdtContent>
            <w:tc>
              <w:tcPr>
                <w:tcW w:w="2262" w:type="dxa"/>
                <w:vMerge w:val="restart"/>
                <w:tcBorders>
                  <w:top w:val="single" w:color="auto" w:sz="4" w:space="0"/>
                  <w:left w:val="single" w:color="auto" w:sz="4" w:space="0"/>
                  <w:right w:val="single" w:color="auto" w:sz="4" w:space="0"/>
                </w:tcBorders>
                <w:vAlign w:val="center"/>
              </w:tcPr>
              <w:p w14:paraId="27775D14">
                <w:pPr>
                  <w:jc w:val="center"/>
                  <w:rPr>
                    <w:rFonts w:ascii="Calibri" w:hAnsi="Calibri"/>
                    <w:sz w:val="20"/>
                    <w:szCs w:val="20"/>
                  </w:rPr>
                </w:pPr>
                <w:r>
                  <w:rPr>
                    <w:rFonts w:hint="eastAsia" w:ascii="Calibri" w:hAnsi="Calibri"/>
                    <w:sz w:val="20"/>
                    <w:szCs w:val="20"/>
                  </w:rPr>
                  <w:t>关联方</w:t>
                </w:r>
              </w:p>
            </w:tc>
          </w:sdtContent>
        </w:sdt>
        <w:sdt>
          <w:sdtPr>
            <w:tag w:val="_PLD_e8867e7b52fb42f4b447e445a20beebc"/>
            <w:id w:val="-1258210956"/>
          </w:sdtPr>
          <w:sdtContent>
            <w:tc>
              <w:tcPr>
                <w:tcW w:w="3034" w:type="dxa"/>
                <w:gridSpan w:val="2"/>
                <w:tcBorders>
                  <w:top w:val="single" w:color="auto" w:sz="4" w:space="0"/>
                  <w:left w:val="single" w:color="auto" w:sz="4" w:space="0"/>
                  <w:bottom w:val="single" w:color="auto" w:sz="4" w:space="0"/>
                  <w:right w:val="single" w:color="auto" w:sz="4" w:space="0"/>
                </w:tcBorders>
                <w:vAlign w:val="center"/>
              </w:tcPr>
              <w:p w14:paraId="774B5528">
                <w:pPr>
                  <w:jc w:val="center"/>
                  <w:rPr>
                    <w:rFonts w:ascii="Calibri" w:hAnsi="Calibri"/>
                    <w:sz w:val="20"/>
                    <w:szCs w:val="20"/>
                  </w:rPr>
                </w:pPr>
                <w:r>
                  <w:rPr>
                    <w:rFonts w:hint="eastAsia" w:ascii="Calibri" w:hAnsi="Calibri"/>
                    <w:sz w:val="20"/>
                    <w:szCs w:val="20"/>
                  </w:rPr>
                  <w:t>期末余额</w:t>
                </w:r>
              </w:p>
            </w:tc>
          </w:sdtContent>
        </w:sdt>
        <w:sdt>
          <w:sdtPr>
            <w:tag w:val="_PLD_6a4888e558004037a5faac678bea523c"/>
            <w:id w:val="1881673903"/>
          </w:sdtPr>
          <w:sdtContent>
            <w:tc>
              <w:tcPr>
                <w:tcW w:w="3616" w:type="dxa"/>
                <w:gridSpan w:val="2"/>
                <w:tcBorders>
                  <w:top w:val="single" w:color="auto" w:sz="4" w:space="0"/>
                  <w:left w:val="single" w:color="auto" w:sz="4" w:space="0"/>
                  <w:bottom w:val="single" w:color="auto" w:sz="4" w:space="0"/>
                  <w:right w:val="single" w:color="auto" w:sz="4" w:space="0"/>
                </w:tcBorders>
                <w:vAlign w:val="center"/>
              </w:tcPr>
              <w:p w14:paraId="62B7A6CD">
                <w:pPr>
                  <w:jc w:val="center"/>
                  <w:rPr>
                    <w:rFonts w:ascii="Calibri" w:hAnsi="Calibri"/>
                    <w:sz w:val="20"/>
                    <w:szCs w:val="20"/>
                  </w:rPr>
                </w:pPr>
                <w:r>
                  <w:rPr>
                    <w:rFonts w:hint="eastAsia" w:ascii="Calibri" w:hAnsi="Calibri"/>
                    <w:sz w:val="20"/>
                    <w:szCs w:val="20"/>
                  </w:rPr>
                  <w:t>期初余额</w:t>
                </w:r>
              </w:p>
            </w:tc>
          </w:sdtContent>
        </w:sdt>
      </w:tr>
      <w:tr w14:paraId="07B4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418" w:type="dxa"/>
            <w:vMerge w:val="continue"/>
            <w:tcBorders>
              <w:left w:val="single" w:color="auto" w:sz="4" w:space="0"/>
              <w:bottom w:val="single" w:color="auto" w:sz="4" w:space="0"/>
              <w:right w:val="single" w:color="auto" w:sz="4" w:space="0"/>
            </w:tcBorders>
            <w:vAlign w:val="center"/>
          </w:tcPr>
          <w:p w14:paraId="59C32104">
            <w:pPr>
              <w:jc w:val="center"/>
              <w:rPr>
                <w:rFonts w:ascii="Calibri" w:hAnsi="Calibri"/>
                <w:sz w:val="20"/>
                <w:szCs w:val="20"/>
              </w:rPr>
            </w:pPr>
          </w:p>
        </w:tc>
        <w:tc>
          <w:tcPr>
            <w:tcW w:w="2262" w:type="dxa"/>
            <w:vMerge w:val="continue"/>
            <w:tcBorders>
              <w:left w:val="single" w:color="auto" w:sz="4" w:space="0"/>
              <w:bottom w:val="single" w:color="auto" w:sz="4" w:space="0"/>
              <w:right w:val="single" w:color="auto" w:sz="4" w:space="0"/>
            </w:tcBorders>
            <w:vAlign w:val="center"/>
          </w:tcPr>
          <w:p w14:paraId="17DD34B4">
            <w:pPr>
              <w:jc w:val="center"/>
              <w:rPr>
                <w:rFonts w:ascii="Calibri" w:hAnsi="Calibri"/>
                <w:sz w:val="20"/>
                <w:szCs w:val="20"/>
              </w:rPr>
            </w:pPr>
          </w:p>
        </w:tc>
        <w:sdt>
          <w:sdtPr>
            <w:tag w:val="_PLD_0545f54235344f978e1e8356e1b05042"/>
            <w:id w:val="1581706911"/>
          </w:sdtPr>
          <w:sdtContent>
            <w:tc>
              <w:tcPr>
                <w:tcW w:w="1517" w:type="dxa"/>
                <w:tcBorders>
                  <w:top w:val="single" w:color="auto" w:sz="4" w:space="0"/>
                  <w:left w:val="single" w:color="auto" w:sz="4" w:space="0"/>
                  <w:bottom w:val="single" w:color="auto" w:sz="4" w:space="0"/>
                  <w:right w:val="single" w:color="auto" w:sz="4" w:space="0"/>
                </w:tcBorders>
                <w:vAlign w:val="center"/>
              </w:tcPr>
              <w:p w14:paraId="4C406AF9">
                <w:pPr>
                  <w:jc w:val="center"/>
                  <w:rPr>
                    <w:rFonts w:ascii="Calibri" w:hAnsi="Calibri"/>
                    <w:sz w:val="20"/>
                    <w:szCs w:val="20"/>
                  </w:rPr>
                </w:pPr>
                <w:r>
                  <w:rPr>
                    <w:rFonts w:hint="eastAsia" w:ascii="Calibri" w:hAnsi="Calibri"/>
                    <w:sz w:val="20"/>
                    <w:szCs w:val="20"/>
                  </w:rPr>
                  <w:t>账面余额</w:t>
                </w:r>
              </w:p>
            </w:tc>
          </w:sdtContent>
        </w:sdt>
        <w:sdt>
          <w:sdtPr>
            <w:tag w:val="_PLD_9e6982f3b5cd46e9b3be23eda364cd7a"/>
            <w:id w:val="-1148744711"/>
          </w:sdtPr>
          <w:sdtContent>
            <w:tc>
              <w:tcPr>
                <w:tcW w:w="1517" w:type="dxa"/>
                <w:tcBorders>
                  <w:top w:val="single" w:color="auto" w:sz="4" w:space="0"/>
                  <w:left w:val="single" w:color="auto" w:sz="4" w:space="0"/>
                  <w:bottom w:val="single" w:color="auto" w:sz="4" w:space="0"/>
                  <w:right w:val="single" w:color="auto" w:sz="4" w:space="0"/>
                </w:tcBorders>
                <w:vAlign w:val="center"/>
              </w:tcPr>
              <w:p w14:paraId="4E0AD04E">
                <w:pPr>
                  <w:jc w:val="center"/>
                  <w:rPr>
                    <w:rFonts w:ascii="Calibri" w:hAnsi="Calibri"/>
                    <w:sz w:val="20"/>
                    <w:szCs w:val="20"/>
                  </w:rPr>
                </w:pPr>
                <w:r>
                  <w:rPr>
                    <w:rFonts w:hint="eastAsia" w:ascii="Calibri" w:hAnsi="Calibri"/>
                    <w:sz w:val="20"/>
                    <w:szCs w:val="20"/>
                  </w:rPr>
                  <w:t>坏账准备</w:t>
                </w:r>
              </w:p>
            </w:tc>
          </w:sdtContent>
        </w:sdt>
        <w:sdt>
          <w:sdtPr>
            <w:tag w:val="_PLD_5c8e0a4ac99e4539bea932f77317d8de"/>
            <w:id w:val="673763296"/>
          </w:sdtPr>
          <w:sdtContent>
            <w:tc>
              <w:tcPr>
                <w:tcW w:w="1634" w:type="dxa"/>
                <w:tcBorders>
                  <w:top w:val="single" w:color="auto" w:sz="4" w:space="0"/>
                  <w:left w:val="single" w:color="auto" w:sz="4" w:space="0"/>
                  <w:bottom w:val="single" w:color="auto" w:sz="4" w:space="0"/>
                  <w:right w:val="single" w:color="auto" w:sz="4" w:space="0"/>
                </w:tcBorders>
                <w:vAlign w:val="center"/>
              </w:tcPr>
              <w:p w14:paraId="2AD12EE8">
                <w:pPr>
                  <w:jc w:val="center"/>
                  <w:rPr>
                    <w:rFonts w:ascii="Calibri" w:hAnsi="Calibri"/>
                    <w:sz w:val="20"/>
                    <w:szCs w:val="20"/>
                  </w:rPr>
                </w:pPr>
                <w:r>
                  <w:rPr>
                    <w:rFonts w:hint="eastAsia" w:ascii="Calibri" w:hAnsi="Calibri"/>
                    <w:sz w:val="20"/>
                    <w:szCs w:val="20"/>
                  </w:rPr>
                  <w:t>账面余额</w:t>
                </w:r>
              </w:p>
            </w:tc>
          </w:sdtContent>
        </w:sdt>
        <w:sdt>
          <w:sdtPr>
            <w:tag w:val="_PLD_c5afa9908d794831a4bc715802a1061d"/>
            <w:id w:val="531299930"/>
          </w:sdtPr>
          <w:sdtContent>
            <w:tc>
              <w:tcPr>
                <w:tcW w:w="1982" w:type="dxa"/>
                <w:tcBorders>
                  <w:top w:val="single" w:color="auto" w:sz="4" w:space="0"/>
                  <w:left w:val="single" w:color="auto" w:sz="4" w:space="0"/>
                  <w:bottom w:val="single" w:color="auto" w:sz="4" w:space="0"/>
                  <w:right w:val="single" w:color="auto" w:sz="4" w:space="0"/>
                </w:tcBorders>
                <w:vAlign w:val="center"/>
              </w:tcPr>
              <w:p w14:paraId="0825733C">
                <w:pPr>
                  <w:jc w:val="center"/>
                  <w:rPr>
                    <w:rFonts w:ascii="Calibri" w:hAnsi="Calibri"/>
                    <w:sz w:val="20"/>
                    <w:szCs w:val="20"/>
                  </w:rPr>
                </w:pPr>
                <w:r>
                  <w:rPr>
                    <w:rFonts w:hint="eastAsia" w:ascii="Calibri" w:hAnsi="Calibri"/>
                    <w:sz w:val="20"/>
                    <w:szCs w:val="20"/>
                  </w:rPr>
                  <w:t>坏账准备</w:t>
                </w:r>
              </w:p>
            </w:tc>
          </w:sdtContent>
        </w:sdt>
      </w:tr>
      <w:tr w14:paraId="26A4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418" w:type="dxa"/>
            <w:tcBorders>
              <w:top w:val="single" w:color="auto" w:sz="4" w:space="0"/>
              <w:left w:val="single" w:color="auto" w:sz="4" w:space="0"/>
              <w:bottom w:val="single" w:color="auto" w:sz="4" w:space="0"/>
              <w:right w:val="single" w:color="auto" w:sz="4" w:space="0"/>
            </w:tcBorders>
            <w:vAlign w:val="center"/>
          </w:tcPr>
          <w:p w14:paraId="5CD106BB">
            <w:pPr>
              <w:autoSpaceDE w:val="0"/>
              <w:autoSpaceDN w:val="0"/>
              <w:adjustRightInd w:val="0"/>
              <w:rPr>
                <w:rFonts w:ascii="Calibri" w:hAnsi="Calibri"/>
                <w:sz w:val="20"/>
                <w:szCs w:val="20"/>
              </w:rPr>
            </w:pPr>
            <w:r>
              <w:rPr>
                <w:rFonts w:ascii="Calibri" w:hAnsi="Calibri"/>
                <w:sz w:val="20"/>
                <w:szCs w:val="20"/>
              </w:rPr>
              <w:t>应收款项融资</w:t>
            </w:r>
          </w:p>
        </w:tc>
        <w:tc>
          <w:tcPr>
            <w:tcW w:w="2262" w:type="dxa"/>
            <w:tcBorders>
              <w:top w:val="single" w:color="auto" w:sz="4" w:space="0"/>
              <w:left w:val="single" w:color="auto" w:sz="4" w:space="0"/>
              <w:bottom w:val="single" w:color="auto" w:sz="4" w:space="0"/>
              <w:right w:val="single" w:color="auto" w:sz="4" w:space="0"/>
            </w:tcBorders>
            <w:vAlign w:val="center"/>
          </w:tcPr>
          <w:p w14:paraId="5D922793">
            <w:pPr>
              <w:autoSpaceDE w:val="0"/>
              <w:autoSpaceDN w:val="0"/>
              <w:adjustRightInd w:val="0"/>
              <w:rPr>
                <w:rFonts w:ascii="Calibri" w:hAnsi="Calibri"/>
                <w:sz w:val="20"/>
                <w:szCs w:val="20"/>
              </w:rPr>
            </w:pPr>
            <w:r>
              <w:rPr>
                <w:rFonts w:ascii="Calibri" w:hAnsi="Calibri"/>
                <w:sz w:val="20"/>
                <w:szCs w:val="20"/>
              </w:rPr>
              <w:t>通化东宝五药有限公司</w:t>
            </w:r>
          </w:p>
        </w:tc>
        <w:tc>
          <w:tcPr>
            <w:tcW w:w="1517" w:type="dxa"/>
            <w:tcBorders>
              <w:top w:val="single" w:color="auto" w:sz="4" w:space="0"/>
              <w:left w:val="single" w:color="auto" w:sz="4" w:space="0"/>
              <w:bottom w:val="single" w:color="auto" w:sz="4" w:space="0"/>
              <w:right w:val="single" w:color="auto" w:sz="4" w:space="0"/>
            </w:tcBorders>
            <w:vAlign w:val="center"/>
          </w:tcPr>
          <w:p w14:paraId="5D1F9DEC">
            <w:pPr>
              <w:autoSpaceDE w:val="0"/>
              <w:autoSpaceDN w:val="0"/>
              <w:adjustRightInd w:val="0"/>
              <w:jc w:val="right"/>
              <w:rPr>
                <w:rFonts w:ascii="Calibri" w:hAnsi="Calibri"/>
                <w:sz w:val="20"/>
                <w:szCs w:val="20"/>
              </w:rPr>
            </w:pPr>
            <w:r>
              <w:rPr>
                <w:rFonts w:ascii="Calibri" w:hAnsi="Calibri"/>
                <w:sz w:val="20"/>
                <w:szCs w:val="20"/>
              </w:rPr>
              <w:t>1,000,000.00</w:t>
            </w:r>
          </w:p>
        </w:tc>
        <w:tc>
          <w:tcPr>
            <w:tcW w:w="1517" w:type="dxa"/>
            <w:tcBorders>
              <w:top w:val="single" w:color="auto" w:sz="4" w:space="0"/>
              <w:left w:val="single" w:color="auto" w:sz="4" w:space="0"/>
              <w:bottom w:val="single" w:color="auto" w:sz="4" w:space="0"/>
              <w:right w:val="single" w:color="auto" w:sz="4" w:space="0"/>
            </w:tcBorders>
            <w:vAlign w:val="center"/>
          </w:tcPr>
          <w:p w14:paraId="4475E610">
            <w:pPr>
              <w:autoSpaceDE w:val="0"/>
              <w:autoSpaceDN w:val="0"/>
              <w:adjustRightInd w:val="0"/>
              <w:jc w:val="right"/>
              <w:rPr>
                <w:rFonts w:ascii="Calibri" w:hAnsi="Calibri"/>
                <w:sz w:val="20"/>
                <w:szCs w:val="20"/>
              </w:rPr>
            </w:pPr>
          </w:p>
        </w:tc>
        <w:tc>
          <w:tcPr>
            <w:tcW w:w="1634" w:type="dxa"/>
            <w:tcBorders>
              <w:top w:val="single" w:color="auto" w:sz="4" w:space="0"/>
              <w:left w:val="single" w:color="auto" w:sz="4" w:space="0"/>
              <w:bottom w:val="single" w:color="auto" w:sz="4" w:space="0"/>
              <w:right w:val="single" w:color="auto" w:sz="4" w:space="0"/>
            </w:tcBorders>
            <w:vAlign w:val="center"/>
          </w:tcPr>
          <w:p w14:paraId="35915E51">
            <w:pPr>
              <w:autoSpaceDE w:val="0"/>
              <w:autoSpaceDN w:val="0"/>
              <w:adjustRightInd w:val="0"/>
              <w:jc w:val="right"/>
              <w:rPr>
                <w:rFonts w:ascii="Calibri" w:hAnsi="Calibri"/>
                <w:sz w:val="20"/>
                <w:szCs w:val="20"/>
              </w:rPr>
            </w:pPr>
            <w:r>
              <w:rPr>
                <w:rFonts w:ascii="Calibri" w:hAnsi="Calibri"/>
                <w:sz w:val="20"/>
                <w:szCs w:val="20"/>
              </w:rPr>
              <w:t>524,483.20</w:t>
            </w:r>
          </w:p>
        </w:tc>
        <w:tc>
          <w:tcPr>
            <w:tcW w:w="1982" w:type="dxa"/>
            <w:tcBorders>
              <w:top w:val="single" w:color="auto" w:sz="4" w:space="0"/>
              <w:left w:val="single" w:color="auto" w:sz="4" w:space="0"/>
              <w:bottom w:val="single" w:color="auto" w:sz="4" w:space="0"/>
              <w:right w:val="single" w:color="auto" w:sz="4" w:space="0"/>
            </w:tcBorders>
            <w:vAlign w:val="center"/>
          </w:tcPr>
          <w:p w14:paraId="323B04EE">
            <w:pPr>
              <w:autoSpaceDE w:val="0"/>
              <w:autoSpaceDN w:val="0"/>
              <w:adjustRightInd w:val="0"/>
              <w:jc w:val="right"/>
              <w:rPr>
                <w:rFonts w:ascii="Calibri" w:hAnsi="Calibri"/>
                <w:sz w:val="20"/>
                <w:szCs w:val="20"/>
              </w:rPr>
            </w:pPr>
          </w:p>
        </w:tc>
      </w:tr>
      <w:tr w14:paraId="7EB4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418" w:type="dxa"/>
            <w:tcBorders>
              <w:top w:val="single" w:color="auto" w:sz="4" w:space="0"/>
              <w:left w:val="single" w:color="auto" w:sz="4" w:space="0"/>
              <w:bottom w:val="single" w:color="auto" w:sz="4" w:space="0"/>
              <w:right w:val="single" w:color="auto" w:sz="4" w:space="0"/>
            </w:tcBorders>
            <w:vAlign w:val="center"/>
          </w:tcPr>
          <w:p w14:paraId="2D6ABD16">
            <w:pPr>
              <w:autoSpaceDE w:val="0"/>
              <w:autoSpaceDN w:val="0"/>
              <w:adjustRightInd w:val="0"/>
              <w:rPr>
                <w:rFonts w:ascii="Calibri" w:hAnsi="Calibri"/>
                <w:sz w:val="20"/>
                <w:szCs w:val="20"/>
              </w:rPr>
            </w:pPr>
            <w:r>
              <w:rPr>
                <w:rFonts w:ascii="Calibri" w:hAnsi="Calibri"/>
                <w:sz w:val="20"/>
                <w:szCs w:val="20"/>
              </w:rPr>
              <w:t>应收款项融资</w:t>
            </w:r>
          </w:p>
        </w:tc>
        <w:tc>
          <w:tcPr>
            <w:tcW w:w="2262" w:type="dxa"/>
            <w:tcBorders>
              <w:top w:val="single" w:color="auto" w:sz="4" w:space="0"/>
              <w:left w:val="single" w:color="auto" w:sz="4" w:space="0"/>
              <w:bottom w:val="single" w:color="auto" w:sz="4" w:space="0"/>
              <w:right w:val="single" w:color="auto" w:sz="4" w:space="0"/>
            </w:tcBorders>
            <w:vAlign w:val="center"/>
          </w:tcPr>
          <w:p w14:paraId="77DCE933">
            <w:pPr>
              <w:autoSpaceDE w:val="0"/>
              <w:autoSpaceDN w:val="0"/>
              <w:adjustRightInd w:val="0"/>
              <w:rPr>
                <w:rFonts w:ascii="Calibri" w:hAnsi="Calibri"/>
                <w:sz w:val="20"/>
                <w:szCs w:val="20"/>
              </w:rPr>
            </w:pPr>
            <w:r>
              <w:rPr>
                <w:rFonts w:ascii="Calibri" w:hAnsi="Calibri"/>
                <w:sz w:val="20"/>
                <w:szCs w:val="20"/>
              </w:rPr>
              <w:t>通化鸿宝药业有限公司</w:t>
            </w:r>
          </w:p>
        </w:tc>
        <w:tc>
          <w:tcPr>
            <w:tcW w:w="1517" w:type="dxa"/>
            <w:tcBorders>
              <w:top w:val="single" w:color="auto" w:sz="4" w:space="0"/>
              <w:left w:val="single" w:color="auto" w:sz="4" w:space="0"/>
              <w:bottom w:val="single" w:color="auto" w:sz="4" w:space="0"/>
              <w:right w:val="single" w:color="auto" w:sz="4" w:space="0"/>
            </w:tcBorders>
            <w:vAlign w:val="center"/>
          </w:tcPr>
          <w:p w14:paraId="52154B93">
            <w:pPr>
              <w:autoSpaceDE w:val="0"/>
              <w:autoSpaceDN w:val="0"/>
              <w:adjustRightInd w:val="0"/>
              <w:jc w:val="right"/>
              <w:rPr>
                <w:rFonts w:ascii="Calibri" w:hAnsi="Calibri"/>
                <w:sz w:val="20"/>
                <w:szCs w:val="20"/>
              </w:rPr>
            </w:pPr>
            <w:r>
              <w:rPr>
                <w:rFonts w:ascii="Calibri" w:hAnsi="Calibri"/>
                <w:sz w:val="20"/>
                <w:szCs w:val="20"/>
              </w:rPr>
              <w:t>827,017.44</w:t>
            </w:r>
          </w:p>
        </w:tc>
        <w:tc>
          <w:tcPr>
            <w:tcW w:w="1517" w:type="dxa"/>
            <w:tcBorders>
              <w:top w:val="single" w:color="auto" w:sz="4" w:space="0"/>
              <w:left w:val="single" w:color="auto" w:sz="4" w:space="0"/>
              <w:bottom w:val="single" w:color="auto" w:sz="4" w:space="0"/>
              <w:right w:val="single" w:color="auto" w:sz="4" w:space="0"/>
            </w:tcBorders>
            <w:vAlign w:val="center"/>
          </w:tcPr>
          <w:p w14:paraId="6FCE883A">
            <w:pPr>
              <w:autoSpaceDE w:val="0"/>
              <w:autoSpaceDN w:val="0"/>
              <w:adjustRightInd w:val="0"/>
              <w:jc w:val="right"/>
              <w:rPr>
                <w:rFonts w:ascii="Calibri" w:hAnsi="Calibri"/>
                <w:sz w:val="20"/>
                <w:szCs w:val="20"/>
              </w:rPr>
            </w:pPr>
          </w:p>
        </w:tc>
        <w:tc>
          <w:tcPr>
            <w:tcW w:w="1634" w:type="dxa"/>
            <w:tcBorders>
              <w:top w:val="single" w:color="auto" w:sz="4" w:space="0"/>
              <w:left w:val="single" w:color="auto" w:sz="4" w:space="0"/>
              <w:bottom w:val="single" w:color="auto" w:sz="4" w:space="0"/>
              <w:right w:val="single" w:color="auto" w:sz="4" w:space="0"/>
            </w:tcBorders>
            <w:vAlign w:val="center"/>
          </w:tcPr>
          <w:p w14:paraId="0B366CF9">
            <w:pPr>
              <w:autoSpaceDE w:val="0"/>
              <w:autoSpaceDN w:val="0"/>
              <w:adjustRightInd w:val="0"/>
              <w:jc w:val="right"/>
              <w:rPr>
                <w:rFonts w:ascii="Calibri" w:hAnsi="Calibri"/>
                <w:sz w:val="20"/>
                <w:szCs w:val="20"/>
              </w:rPr>
            </w:pPr>
          </w:p>
        </w:tc>
        <w:tc>
          <w:tcPr>
            <w:tcW w:w="1982" w:type="dxa"/>
            <w:tcBorders>
              <w:top w:val="single" w:color="auto" w:sz="4" w:space="0"/>
              <w:left w:val="single" w:color="auto" w:sz="4" w:space="0"/>
              <w:bottom w:val="single" w:color="auto" w:sz="4" w:space="0"/>
              <w:right w:val="single" w:color="auto" w:sz="4" w:space="0"/>
            </w:tcBorders>
            <w:vAlign w:val="center"/>
          </w:tcPr>
          <w:p w14:paraId="23C81C95">
            <w:pPr>
              <w:autoSpaceDE w:val="0"/>
              <w:autoSpaceDN w:val="0"/>
              <w:adjustRightInd w:val="0"/>
              <w:jc w:val="right"/>
              <w:rPr>
                <w:rFonts w:ascii="Calibri" w:hAnsi="Calibri"/>
                <w:sz w:val="20"/>
                <w:szCs w:val="20"/>
              </w:rPr>
            </w:pPr>
          </w:p>
        </w:tc>
      </w:tr>
      <w:tr w14:paraId="31F0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418" w:type="dxa"/>
            <w:tcBorders>
              <w:top w:val="single" w:color="auto" w:sz="4" w:space="0"/>
              <w:left w:val="single" w:color="auto" w:sz="4" w:space="0"/>
              <w:bottom w:val="single" w:color="auto" w:sz="4" w:space="0"/>
              <w:right w:val="single" w:color="auto" w:sz="4" w:space="0"/>
            </w:tcBorders>
            <w:vAlign w:val="center"/>
          </w:tcPr>
          <w:p w14:paraId="2D23BF29">
            <w:pPr>
              <w:autoSpaceDE w:val="0"/>
              <w:autoSpaceDN w:val="0"/>
              <w:adjustRightInd w:val="0"/>
              <w:rPr>
                <w:rFonts w:ascii="Calibri" w:hAnsi="Calibri"/>
                <w:sz w:val="20"/>
                <w:szCs w:val="20"/>
              </w:rPr>
            </w:pPr>
            <w:r>
              <w:rPr>
                <w:rFonts w:ascii="Calibri" w:hAnsi="Calibri"/>
                <w:sz w:val="20"/>
                <w:szCs w:val="20"/>
              </w:rPr>
              <w:t>应收账款</w:t>
            </w:r>
          </w:p>
        </w:tc>
        <w:tc>
          <w:tcPr>
            <w:tcW w:w="2262" w:type="dxa"/>
            <w:tcBorders>
              <w:top w:val="single" w:color="auto" w:sz="4" w:space="0"/>
              <w:left w:val="single" w:color="auto" w:sz="4" w:space="0"/>
              <w:bottom w:val="single" w:color="auto" w:sz="4" w:space="0"/>
              <w:right w:val="single" w:color="auto" w:sz="4" w:space="0"/>
            </w:tcBorders>
            <w:vAlign w:val="center"/>
          </w:tcPr>
          <w:p w14:paraId="3B0179C9">
            <w:pPr>
              <w:autoSpaceDE w:val="0"/>
              <w:autoSpaceDN w:val="0"/>
              <w:adjustRightInd w:val="0"/>
              <w:rPr>
                <w:rFonts w:ascii="Calibri" w:hAnsi="Calibri"/>
                <w:sz w:val="20"/>
                <w:szCs w:val="20"/>
              </w:rPr>
            </w:pPr>
            <w:r>
              <w:rPr>
                <w:rFonts w:ascii="Calibri" w:hAnsi="Calibri"/>
                <w:sz w:val="20"/>
                <w:szCs w:val="20"/>
              </w:rPr>
              <w:t>通化东宝医药经营有限公司</w:t>
            </w:r>
          </w:p>
        </w:tc>
        <w:tc>
          <w:tcPr>
            <w:tcW w:w="1517" w:type="dxa"/>
            <w:tcBorders>
              <w:top w:val="single" w:color="auto" w:sz="4" w:space="0"/>
              <w:left w:val="single" w:color="auto" w:sz="4" w:space="0"/>
              <w:bottom w:val="single" w:color="auto" w:sz="4" w:space="0"/>
              <w:right w:val="single" w:color="auto" w:sz="4" w:space="0"/>
            </w:tcBorders>
            <w:vAlign w:val="center"/>
          </w:tcPr>
          <w:p w14:paraId="3272F1AE">
            <w:pPr>
              <w:autoSpaceDE w:val="0"/>
              <w:autoSpaceDN w:val="0"/>
              <w:adjustRightInd w:val="0"/>
              <w:jc w:val="right"/>
              <w:rPr>
                <w:rFonts w:ascii="Calibri" w:hAnsi="Calibri"/>
                <w:sz w:val="20"/>
                <w:szCs w:val="20"/>
              </w:rPr>
            </w:pPr>
            <w:r>
              <w:rPr>
                <w:rFonts w:ascii="Calibri" w:hAnsi="Calibri"/>
                <w:sz w:val="20"/>
                <w:szCs w:val="20"/>
              </w:rPr>
              <w:t>677,280.00</w:t>
            </w:r>
          </w:p>
        </w:tc>
        <w:tc>
          <w:tcPr>
            <w:tcW w:w="1517" w:type="dxa"/>
            <w:tcBorders>
              <w:top w:val="single" w:color="auto" w:sz="4" w:space="0"/>
              <w:left w:val="single" w:color="auto" w:sz="4" w:space="0"/>
              <w:bottom w:val="single" w:color="auto" w:sz="4" w:space="0"/>
              <w:right w:val="single" w:color="auto" w:sz="4" w:space="0"/>
            </w:tcBorders>
            <w:vAlign w:val="center"/>
          </w:tcPr>
          <w:p w14:paraId="690449E4">
            <w:pPr>
              <w:autoSpaceDE w:val="0"/>
              <w:autoSpaceDN w:val="0"/>
              <w:adjustRightInd w:val="0"/>
              <w:jc w:val="right"/>
              <w:rPr>
                <w:rFonts w:ascii="Calibri" w:hAnsi="Calibri"/>
                <w:sz w:val="20"/>
                <w:szCs w:val="20"/>
              </w:rPr>
            </w:pPr>
            <w:r>
              <w:rPr>
                <w:rFonts w:ascii="Calibri" w:hAnsi="Calibri"/>
                <w:sz w:val="20"/>
                <w:szCs w:val="20"/>
              </w:rPr>
              <w:t>33,864.00</w:t>
            </w:r>
          </w:p>
        </w:tc>
        <w:tc>
          <w:tcPr>
            <w:tcW w:w="1634" w:type="dxa"/>
            <w:tcBorders>
              <w:top w:val="single" w:color="auto" w:sz="4" w:space="0"/>
              <w:left w:val="single" w:color="auto" w:sz="4" w:space="0"/>
              <w:bottom w:val="single" w:color="auto" w:sz="4" w:space="0"/>
              <w:right w:val="single" w:color="auto" w:sz="4" w:space="0"/>
            </w:tcBorders>
            <w:vAlign w:val="center"/>
          </w:tcPr>
          <w:p w14:paraId="1B926E36">
            <w:pPr>
              <w:autoSpaceDE w:val="0"/>
              <w:autoSpaceDN w:val="0"/>
              <w:adjustRightInd w:val="0"/>
              <w:jc w:val="right"/>
              <w:rPr>
                <w:rFonts w:ascii="Calibri" w:hAnsi="Calibri"/>
                <w:sz w:val="20"/>
                <w:szCs w:val="20"/>
              </w:rPr>
            </w:pPr>
            <w:r>
              <w:rPr>
                <w:rFonts w:ascii="Calibri" w:hAnsi="Calibri"/>
                <w:sz w:val="20"/>
                <w:szCs w:val="20"/>
              </w:rPr>
              <w:t>583,300.00</w:t>
            </w:r>
          </w:p>
        </w:tc>
        <w:tc>
          <w:tcPr>
            <w:tcW w:w="1982" w:type="dxa"/>
            <w:tcBorders>
              <w:top w:val="single" w:color="auto" w:sz="4" w:space="0"/>
              <w:left w:val="single" w:color="auto" w:sz="4" w:space="0"/>
              <w:bottom w:val="single" w:color="auto" w:sz="4" w:space="0"/>
              <w:right w:val="single" w:color="auto" w:sz="4" w:space="0"/>
            </w:tcBorders>
            <w:vAlign w:val="center"/>
          </w:tcPr>
          <w:p w14:paraId="11ADA639">
            <w:pPr>
              <w:autoSpaceDE w:val="0"/>
              <w:autoSpaceDN w:val="0"/>
              <w:adjustRightInd w:val="0"/>
              <w:jc w:val="right"/>
              <w:rPr>
                <w:rFonts w:ascii="Calibri" w:hAnsi="Calibri"/>
                <w:sz w:val="20"/>
                <w:szCs w:val="20"/>
              </w:rPr>
            </w:pPr>
            <w:r>
              <w:rPr>
                <w:rFonts w:ascii="Calibri" w:hAnsi="Calibri"/>
                <w:sz w:val="20"/>
                <w:szCs w:val="20"/>
              </w:rPr>
              <w:t>40,831.00</w:t>
            </w:r>
          </w:p>
        </w:tc>
      </w:tr>
      <w:tr w14:paraId="6809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680" w:type="dxa"/>
            <w:gridSpan w:val="2"/>
            <w:tcBorders>
              <w:top w:val="single" w:color="auto" w:sz="4" w:space="0"/>
              <w:left w:val="single" w:color="auto" w:sz="4" w:space="0"/>
              <w:bottom w:val="single" w:color="auto" w:sz="4" w:space="0"/>
              <w:right w:val="single" w:color="auto" w:sz="4" w:space="0"/>
            </w:tcBorders>
            <w:vAlign w:val="center"/>
          </w:tcPr>
          <w:p w14:paraId="5C97DC84">
            <w:pPr>
              <w:autoSpaceDE w:val="0"/>
              <w:autoSpaceDN w:val="0"/>
              <w:adjustRightInd w:val="0"/>
              <w:jc w:val="center"/>
              <w:rPr>
                <w:rFonts w:ascii="Calibri" w:hAnsi="Calibri"/>
                <w:sz w:val="20"/>
                <w:szCs w:val="20"/>
              </w:rPr>
            </w:pPr>
            <w:r>
              <w:rPr>
                <w:rFonts w:ascii="Calibri" w:hAnsi="Calibri"/>
                <w:sz w:val="20"/>
                <w:szCs w:val="20"/>
              </w:rPr>
              <w:t>小计</w:t>
            </w:r>
          </w:p>
        </w:tc>
        <w:tc>
          <w:tcPr>
            <w:tcW w:w="1517" w:type="dxa"/>
            <w:tcBorders>
              <w:top w:val="single" w:color="auto" w:sz="4" w:space="0"/>
              <w:left w:val="single" w:color="auto" w:sz="4" w:space="0"/>
              <w:bottom w:val="single" w:color="auto" w:sz="4" w:space="0"/>
              <w:right w:val="single" w:color="auto" w:sz="4" w:space="0"/>
            </w:tcBorders>
            <w:vAlign w:val="center"/>
          </w:tcPr>
          <w:p w14:paraId="083AD74D">
            <w:pPr>
              <w:autoSpaceDE w:val="0"/>
              <w:autoSpaceDN w:val="0"/>
              <w:adjustRightInd w:val="0"/>
              <w:jc w:val="right"/>
              <w:rPr>
                <w:rFonts w:ascii="Calibri" w:hAnsi="Calibri"/>
                <w:sz w:val="20"/>
                <w:szCs w:val="20"/>
              </w:rPr>
            </w:pPr>
            <w:r>
              <w:rPr>
                <w:rFonts w:ascii="Calibri" w:hAnsi="Calibri"/>
                <w:sz w:val="20"/>
                <w:szCs w:val="20"/>
              </w:rPr>
              <w:t>2,504,297.44</w:t>
            </w:r>
          </w:p>
        </w:tc>
        <w:tc>
          <w:tcPr>
            <w:tcW w:w="1517" w:type="dxa"/>
            <w:tcBorders>
              <w:top w:val="single" w:color="auto" w:sz="4" w:space="0"/>
              <w:left w:val="single" w:color="auto" w:sz="4" w:space="0"/>
              <w:bottom w:val="single" w:color="auto" w:sz="4" w:space="0"/>
              <w:right w:val="single" w:color="auto" w:sz="4" w:space="0"/>
            </w:tcBorders>
            <w:vAlign w:val="center"/>
          </w:tcPr>
          <w:p w14:paraId="03CA2EB0">
            <w:pPr>
              <w:autoSpaceDE w:val="0"/>
              <w:autoSpaceDN w:val="0"/>
              <w:adjustRightInd w:val="0"/>
              <w:jc w:val="right"/>
              <w:rPr>
                <w:rFonts w:ascii="Calibri" w:hAnsi="Calibri"/>
                <w:sz w:val="20"/>
                <w:szCs w:val="20"/>
              </w:rPr>
            </w:pPr>
            <w:r>
              <w:rPr>
                <w:rFonts w:ascii="Calibri" w:hAnsi="Calibri"/>
                <w:sz w:val="20"/>
                <w:szCs w:val="20"/>
              </w:rPr>
              <w:t>33,864.00</w:t>
            </w:r>
          </w:p>
        </w:tc>
        <w:tc>
          <w:tcPr>
            <w:tcW w:w="1634" w:type="dxa"/>
            <w:tcBorders>
              <w:top w:val="single" w:color="auto" w:sz="4" w:space="0"/>
              <w:left w:val="single" w:color="auto" w:sz="4" w:space="0"/>
              <w:bottom w:val="single" w:color="auto" w:sz="4" w:space="0"/>
              <w:right w:val="single" w:color="auto" w:sz="4" w:space="0"/>
            </w:tcBorders>
            <w:vAlign w:val="center"/>
          </w:tcPr>
          <w:p w14:paraId="75CD8A36">
            <w:pPr>
              <w:autoSpaceDE w:val="0"/>
              <w:autoSpaceDN w:val="0"/>
              <w:adjustRightInd w:val="0"/>
              <w:jc w:val="right"/>
              <w:rPr>
                <w:rFonts w:ascii="Calibri" w:hAnsi="Calibri"/>
                <w:sz w:val="20"/>
                <w:szCs w:val="20"/>
              </w:rPr>
            </w:pPr>
            <w:r>
              <w:rPr>
                <w:rFonts w:ascii="Calibri" w:hAnsi="Calibri"/>
                <w:sz w:val="20"/>
                <w:szCs w:val="20"/>
              </w:rPr>
              <w:t>1,107,783.20</w:t>
            </w:r>
          </w:p>
        </w:tc>
        <w:tc>
          <w:tcPr>
            <w:tcW w:w="1982" w:type="dxa"/>
            <w:tcBorders>
              <w:top w:val="single" w:color="auto" w:sz="4" w:space="0"/>
              <w:left w:val="single" w:color="auto" w:sz="4" w:space="0"/>
              <w:bottom w:val="single" w:color="auto" w:sz="4" w:space="0"/>
              <w:right w:val="single" w:color="auto" w:sz="4" w:space="0"/>
            </w:tcBorders>
            <w:vAlign w:val="center"/>
          </w:tcPr>
          <w:p w14:paraId="2AC4C02E">
            <w:pPr>
              <w:autoSpaceDE w:val="0"/>
              <w:autoSpaceDN w:val="0"/>
              <w:adjustRightInd w:val="0"/>
              <w:jc w:val="right"/>
              <w:rPr>
                <w:rFonts w:ascii="Calibri" w:hAnsi="Calibri"/>
                <w:sz w:val="20"/>
                <w:szCs w:val="20"/>
              </w:rPr>
            </w:pPr>
            <w:r>
              <w:rPr>
                <w:rFonts w:ascii="Calibri" w:hAnsi="Calibri"/>
                <w:sz w:val="20"/>
                <w:szCs w:val="20"/>
              </w:rPr>
              <w:t>40,831.00</w:t>
            </w:r>
          </w:p>
        </w:tc>
      </w:tr>
      <w:tr w14:paraId="182E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418" w:type="dxa"/>
            <w:tcBorders>
              <w:top w:val="single" w:color="auto" w:sz="4" w:space="0"/>
              <w:left w:val="single" w:color="auto" w:sz="4" w:space="0"/>
              <w:bottom w:val="single" w:color="auto" w:sz="4" w:space="0"/>
              <w:right w:val="single" w:color="auto" w:sz="4" w:space="0"/>
            </w:tcBorders>
            <w:vAlign w:val="center"/>
          </w:tcPr>
          <w:p w14:paraId="23F78E20">
            <w:pPr>
              <w:autoSpaceDE w:val="0"/>
              <w:autoSpaceDN w:val="0"/>
              <w:adjustRightInd w:val="0"/>
              <w:rPr>
                <w:rFonts w:ascii="Calibri" w:hAnsi="Calibri"/>
                <w:sz w:val="20"/>
                <w:szCs w:val="20"/>
              </w:rPr>
            </w:pPr>
            <w:r>
              <w:rPr>
                <w:rFonts w:ascii="Calibri" w:hAnsi="Calibri"/>
                <w:sz w:val="20"/>
                <w:szCs w:val="20"/>
              </w:rPr>
              <w:t>其他应收款</w:t>
            </w:r>
          </w:p>
        </w:tc>
        <w:tc>
          <w:tcPr>
            <w:tcW w:w="2262" w:type="dxa"/>
            <w:tcBorders>
              <w:top w:val="single" w:color="auto" w:sz="4" w:space="0"/>
              <w:left w:val="single" w:color="auto" w:sz="4" w:space="0"/>
              <w:bottom w:val="single" w:color="auto" w:sz="4" w:space="0"/>
              <w:right w:val="single" w:color="auto" w:sz="4" w:space="0"/>
            </w:tcBorders>
            <w:vAlign w:val="center"/>
          </w:tcPr>
          <w:p w14:paraId="70BF1847">
            <w:pPr>
              <w:autoSpaceDE w:val="0"/>
              <w:autoSpaceDN w:val="0"/>
              <w:adjustRightInd w:val="0"/>
              <w:jc w:val="both"/>
              <w:rPr>
                <w:rFonts w:ascii="Calibri" w:hAnsi="Calibri"/>
                <w:sz w:val="20"/>
                <w:szCs w:val="20"/>
              </w:rPr>
            </w:pPr>
            <w:r>
              <w:rPr>
                <w:rFonts w:ascii="Calibri" w:hAnsi="Calibri"/>
                <w:sz w:val="20"/>
                <w:szCs w:val="20"/>
              </w:rPr>
              <w:t>通化本草生物科技有限公司</w:t>
            </w:r>
          </w:p>
        </w:tc>
        <w:tc>
          <w:tcPr>
            <w:tcW w:w="1517" w:type="dxa"/>
            <w:tcBorders>
              <w:top w:val="single" w:color="auto" w:sz="4" w:space="0"/>
              <w:left w:val="single" w:color="auto" w:sz="4" w:space="0"/>
              <w:bottom w:val="single" w:color="auto" w:sz="4" w:space="0"/>
              <w:right w:val="single" w:color="auto" w:sz="4" w:space="0"/>
            </w:tcBorders>
            <w:vAlign w:val="center"/>
          </w:tcPr>
          <w:p w14:paraId="071CD8DB">
            <w:pPr>
              <w:autoSpaceDE w:val="0"/>
              <w:autoSpaceDN w:val="0"/>
              <w:adjustRightInd w:val="0"/>
              <w:jc w:val="right"/>
              <w:rPr>
                <w:rFonts w:ascii="Calibri" w:hAnsi="Calibri"/>
                <w:sz w:val="20"/>
                <w:szCs w:val="20"/>
              </w:rPr>
            </w:pPr>
          </w:p>
        </w:tc>
        <w:tc>
          <w:tcPr>
            <w:tcW w:w="1517" w:type="dxa"/>
            <w:tcBorders>
              <w:top w:val="single" w:color="auto" w:sz="4" w:space="0"/>
              <w:left w:val="single" w:color="auto" w:sz="4" w:space="0"/>
              <w:bottom w:val="single" w:color="auto" w:sz="4" w:space="0"/>
              <w:right w:val="single" w:color="auto" w:sz="4" w:space="0"/>
            </w:tcBorders>
            <w:vAlign w:val="center"/>
          </w:tcPr>
          <w:p w14:paraId="302D1533">
            <w:pPr>
              <w:autoSpaceDE w:val="0"/>
              <w:autoSpaceDN w:val="0"/>
              <w:adjustRightInd w:val="0"/>
              <w:jc w:val="right"/>
              <w:rPr>
                <w:rFonts w:ascii="Calibri" w:hAnsi="Calibri"/>
                <w:sz w:val="20"/>
                <w:szCs w:val="20"/>
              </w:rPr>
            </w:pPr>
          </w:p>
        </w:tc>
        <w:tc>
          <w:tcPr>
            <w:tcW w:w="1634" w:type="dxa"/>
            <w:tcBorders>
              <w:top w:val="single" w:color="auto" w:sz="4" w:space="0"/>
              <w:left w:val="single" w:color="auto" w:sz="4" w:space="0"/>
              <w:bottom w:val="single" w:color="auto" w:sz="4" w:space="0"/>
              <w:right w:val="single" w:color="auto" w:sz="4" w:space="0"/>
            </w:tcBorders>
            <w:vAlign w:val="center"/>
          </w:tcPr>
          <w:p w14:paraId="2D3B3DBC">
            <w:pPr>
              <w:autoSpaceDE w:val="0"/>
              <w:autoSpaceDN w:val="0"/>
              <w:adjustRightInd w:val="0"/>
              <w:jc w:val="right"/>
              <w:rPr>
                <w:rFonts w:ascii="Calibri" w:hAnsi="Calibri"/>
                <w:sz w:val="20"/>
                <w:szCs w:val="20"/>
              </w:rPr>
            </w:pPr>
            <w:r>
              <w:rPr>
                <w:rFonts w:ascii="Calibri" w:hAnsi="Calibri"/>
                <w:sz w:val="20"/>
                <w:szCs w:val="20"/>
              </w:rPr>
              <w:t>20,179.93</w:t>
            </w:r>
          </w:p>
        </w:tc>
        <w:tc>
          <w:tcPr>
            <w:tcW w:w="1982" w:type="dxa"/>
            <w:tcBorders>
              <w:top w:val="single" w:color="auto" w:sz="4" w:space="0"/>
              <w:left w:val="single" w:color="auto" w:sz="4" w:space="0"/>
              <w:bottom w:val="single" w:color="auto" w:sz="4" w:space="0"/>
              <w:right w:val="single" w:color="auto" w:sz="4" w:space="0"/>
            </w:tcBorders>
            <w:vAlign w:val="center"/>
          </w:tcPr>
          <w:p w14:paraId="1BBC27FA">
            <w:pPr>
              <w:autoSpaceDE w:val="0"/>
              <w:autoSpaceDN w:val="0"/>
              <w:adjustRightInd w:val="0"/>
              <w:jc w:val="right"/>
              <w:rPr>
                <w:rFonts w:ascii="Calibri" w:hAnsi="Calibri"/>
                <w:sz w:val="20"/>
                <w:szCs w:val="20"/>
              </w:rPr>
            </w:pPr>
            <w:r>
              <w:rPr>
                <w:rFonts w:ascii="Calibri" w:hAnsi="Calibri"/>
                <w:sz w:val="20"/>
                <w:szCs w:val="20"/>
              </w:rPr>
              <w:t>1,009.00</w:t>
            </w:r>
          </w:p>
        </w:tc>
      </w:tr>
      <w:tr w14:paraId="3802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418" w:type="dxa"/>
            <w:tcBorders>
              <w:top w:val="single" w:color="auto" w:sz="4" w:space="0"/>
              <w:left w:val="single" w:color="auto" w:sz="4" w:space="0"/>
              <w:bottom w:val="single" w:color="auto" w:sz="4" w:space="0"/>
              <w:right w:val="single" w:color="auto" w:sz="4" w:space="0"/>
            </w:tcBorders>
            <w:vAlign w:val="center"/>
          </w:tcPr>
          <w:p w14:paraId="11271F4A">
            <w:pPr>
              <w:autoSpaceDE w:val="0"/>
              <w:autoSpaceDN w:val="0"/>
              <w:adjustRightInd w:val="0"/>
              <w:rPr>
                <w:rFonts w:ascii="Calibri" w:hAnsi="Calibri"/>
                <w:sz w:val="20"/>
                <w:szCs w:val="20"/>
              </w:rPr>
            </w:pPr>
            <w:r>
              <w:rPr>
                <w:rFonts w:ascii="Calibri" w:hAnsi="Calibri"/>
                <w:sz w:val="20"/>
                <w:szCs w:val="20"/>
              </w:rPr>
              <w:t>其他应收款</w:t>
            </w:r>
          </w:p>
        </w:tc>
        <w:tc>
          <w:tcPr>
            <w:tcW w:w="2262" w:type="dxa"/>
            <w:tcBorders>
              <w:top w:val="single" w:color="auto" w:sz="4" w:space="0"/>
              <w:left w:val="single" w:color="auto" w:sz="4" w:space="0"/>
              <w:bottom w:val="single" w:color="auto" w:sz="4" w:space="0"/>
              <w:right w:val="single" w:color="auto" w:sz="4" w:space="0"/>
            </w:tcBorders>
            <w:vAlign w:val="center"/>
          </w:tcPr>
          <w:p w14:paraId="3867C035">
            <w:pPr>
              <w:autoSpaceDE w:val="0"/>
              <w:autoSpaceDN w:val="0"/>
              <w:adjustRightInd w:val="0"/>
              <w:jc w:val="both"/>
              <w:rPr>
                <w:rFonts w:ascii="Calibri" w:hAnsi="Calibri"/>
                <w:sz w:val="20"/>
                <w:szCs w:val="20"/>
              </w:rPr>
            </w:pPr>
            <w:r>
              <w:rPr>
                <w:rFonts w:ascii="Calibri" w:hAnsi="Calibri"/>
                <w:sz w:val="20"/>
                <w:szCs w:val="20"/>
              </w:rPr>
              <w:t>通化丽景能源热力有限公司</w:t>
            </w:r>
          </w:p>
        </w:tc>
        <w:tc>
          <w:tcPr>
            <w:tcW w:w="1517" w:type="dxa"/>
            <w:tcBorders>
              <w:top w:val="single" w:color="auto" w:sz="4" w:space="0"/>
              <w:left w:val="single" w:color="auto" w:sz="4" w:space="0"/>
              <w:bottom w:val="single" w:color="auto" w:sz="4" w:space="0"/>
              <w:right w:val="single" w:color="auto" w:sz="4" w:space="0"/>
            </w:tcBorders>
            <w:vAlign w:val="center"/>
          </w:tcPr>
          <w:p w14:paraId="3F7D4EF1">
            <w:pPr>
              <w:autoSpaceDE w:val="0"/>
              <w:autoSpaceDN w:val="0"/>
              <w:adjustRightInd w:val="0"/>
              <w:jc w:val="right"/>
              <w:rPr>
                <w:rFonts w:ascii="Calibri" w:hAnsi="Calibri"/>
                <w:sz w:val="20"/>
                <w:szCs w:val="20"/>
              </w:rPr>
            </w:pPr>
          </w:p>
        </w:tc>
        <w:tc>
          <w:tcPr>
            <w:tcW w:w="1517" w:type="dxa"/>
            <w:tcBorders>
              <w:top w:val="single" w:color="auto" w:sz="4" w:space="0"/>
              <w:left w:val="single" w:color="auto" w:sz="4" w:space="0"/>
              <w:bottom w:val="single" w:color="auto" w:sz="4" w:space="0"/>
              <w:right w:val="single" w:color="auto" w:sz="4" w:space="0"/>
            </w:tcBorders>
            <w:vAlign w:val="center"/>
          </w:tcPr>
          <w:p w14:paraId="5BFD23D6">
            <w:pPr>
              <w:autoSpaceDE w:val="0"/>
              <w:autoSpaceDN w:val="0"/>
              <w:adjustRightInd w:val="0"/>
              <w:jc w:val="right"/>
              <w:rPr>
                <w:rFonts w:ascii="Calibri" w:hAnsi="Calibri"/>
                <w:sz w:val="20"/>
                <w:szCs w:val="20"/>
              </w:rPr>
            </w:pPr>
          </w:p>
        </w:tc>
        <w:tc>
          <w:tcPr>
            <w:tcW w:w="1634" w:type="dxa"/>
            <w:tcBorders>
              <w:top w:val="single" w:color="auto" w:sz="4" w:space="0"/>
              <w:left w:val="single" w:color="auto" w:sz="4" w:space="0"/>
              <w:bottom w:val="single" w:color="auto" w:sz="4" w:space="0"/>
              <w:right w:val="single" w:color="auto" w:sz="4" w:space="0"/>
            </w:tcBorders>
            <w:vAlign w:val="center"/>
          </w:tcPr>
          <w:p w14:paraId="0F8B9638">
            <w:pPr>
              <w:autoSpaceDE w:val="0"/>
              <w:autoSpaceDN w:val="0"/>
              <w:adjustRightInd w:val="0"/>
              <w:jc w:val="right"/>
              <w:rPr>
                <w:rFonts w:ascii="Calibri" w:hAnsi="Calibri"/>
                <w:sz w:val="20"/>
                <w:szCs w:val="20"/>
              </w:rPr>
            </w:pPr>
            <w:r>
              <w:rPr>
                <w:rFonts w:ascii="Calibri" w:hAnsi="Calibri"/>
                <w:sz w:val="20"/>
                <w:szCs w:val="20"/>
              </w:rPr>
              <w:t>393,327.65</w:t>
            </w:r>
          </w:p>
        </w:tc>
        <w:tc>
          <w:tcPr>
            <w:tcW w:w="1982" w:type="dxa"/>
            <w:tcBorders>
              <w:top w:val="single" w:color="auto" w:sz="4" w:space="0"/>
              <w:left w:val="single" w:color="auto" w:sz="4" w:space="0"/>
              <w:bottom w:val="single" w:color="auto" w:sz="4" w:space="0"/>
              <w:right w:val="single" w:color="auto" w:sz="4" w:space="0"/>
            </w:tcBorders>
            <w:vAlign w:val="center"/>
          </w:tcPr>
          <w:p w14:paraId="372CC217">
            <w:pPr>
              <w:autoSpaceDE w:val="0"/>
              <w:autoSpaceDN w:val="0"/>
              <w:adjustRightInd w:val="0"/>
              <w:jc w:val="right"/>
              <w:rPr>
                <w:rFonts w:ascii="Calibri" w:hAnsi="Calibri"/>
                <w:sz w:val="20"/>
                <w:szCs w:val="20"/>
              </w:rPr>
            </w:pPr>
            <w:r>
              <w:rPr>
                <w:rFonts w:ascii="Calibri" w:hAnsi="Calibri"/>
                <w:sz w:val="20"/>
                <w:szCs w:val="20"/>
              </w:rPr>
              <w:t>19,666.38</w:t>
            </w:r>
          </w:p>
        </w:tc>
      </w:tr>
      <w:tr w14:paraId="050B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418" w:type="dxa"/>
            <w:tcBorders>
              <w:top w:val="single" w:color="auto" w:sz="4" w:space="0"/>
              <w:left w:val="single" w:color="auto" w:sz="4" w:space="0"/>
              <w:bottom w:val="single" w:color="auto" w:sz="4" w:space="0"/>
              <w:right w:val="single" w:color="auto" w:sz="4" w:space="0"/>
            </w:tcBorders>
            <w:vAlign w:val="center"/>
          </w:tcPr>
          <w:p w14:paraId="3E88AA35">
            <w:pPr>
              <w:autoSpaceDE w:val="0"/>
              <w:autoSpaceDN w:val="0"/>
              <w:adjustRightInd w:val="0"/>
              <w:rPr>
                <w:rFonts w:ascii="Calibri" w:hAnsi="Calibri"/>
                <w:sz w:val="20"/>
                <w:szCs w:val="20"/>
              </w:rPr>
            </w:pPr>
            <w:r>
              <w:rPr>
                <w:rFonts w:ascii="Calibri" w:hAnsi="Calibri"/>
                <w:sz w:val="20"/>
                <w:szCs w:val="20"/>
              </w:rPr>
              <w:t>其他应收款</w:t>
            </w:r>
          </w:p>
        </w:tc>
        <w:tc>
          <w:tcPr>
            <w:tcW w:w="2262" w:type="dxa"/>
            <w:tcBorders>
              <w:top w:val="single" w:color="auto" w:sz="4" w:space="0"/>
              <w:left w:val="single" w:color="auto" w:sz="4" w:space="0"/>
              <w:bottom w:val="single" w:color="auto" w:sz="4" w:space="0"/>
              <w:right w:val="single" w:color="auto" w:sz="4" w:space="0"/>
            </w:tcBorders>
            <w:vAlign w:val="center"/>
          </w:tcPr>
          <w:p w14:paraId="2D809C0F">
            <w:pPr>
              <w:autoSpaceDE w:val="0"/>
              <w:autoSpaceDN w:val="0"/>
              <w:adjustRightInd w:val="0"/>
              <w:jc w:val="both"/>
              <w:rPr>
                <w:rFonts w:ascii="Calibri" w:hAnsi="Calibri"/>
                <w:sz w:val="20"/>
                <w:szCs w:val="20"/>
              </w:rPr>
            </w:pPr>
            <w:r>
              <w:rPr>
                <w:rFonts w:hint="eastAsia" w:ascii="Calibri" w:hAnsi="Calibri"/>
                <w:sz w:val="20"/>
                <w:szCs w:val="20"/>
              </w:rPr>
              <w:t>君合盟生物制药（杭州）股份有限公司</w:t>
            </w:r>
          </w:p>
        </w:tc>
        <w:tc>
          <w:tcPr>
            <w:tcW w:w="1517" w:type="dxa"/>
            <w:tcBorders>
              <w:top w:val="single" w:color="auto" w:sz="4" w:space="0"/>
              <w:left w:val="single" w:color="auto" w:sz="4" w:space="0"/>
              <w:bottom w:val="single" w:color="auto" w:sz="4" w:space="0"/>
              <w:right w:val="single" w:color="auto" w:sz="4" w:space="0"/>
            </w:tcBorders>
            <w:vAlign w:val="center"/>
          </w:tcPr>
          <w:p w14:paraId="24B7A552">
            <w:pPr>
              <w:autoSpaceDE w:val="0"/>
              <w:autoSpaceDN w:val="0"/>
              <w:adjustRightInd w:val="0"/>
              <w:jc w:val="right"/>
              <w:rPr>
                <w:rFonts w:ascii="Calibri" w:hAnsi="Calibri"/>
                <w:sz w:val="20"/>
                <w:szCs w:val="20"/>
              </w:rPr>
            </w:pPr>
          </w:p>
        </w:tc>
        <w:tc>
          <w:tcPr>
            <w:tcW w:w="1517" w:type="dxa"/>
            <w:tcBorders>
              <w:top w:val="single" w:color="auto" w:sz="4" w:space="0"/>
              <w:left w:val="single" w:color="auto" w:sz="4" w:space="0"/>
              <w:bottom w:val="single" w:color="auto" w:sz="4" w:space="0"/>
              <w:right w:val="single" w:color="auto" w:sz="4" w:space="0"/>
            </w:tcBorders>
            <w:vAlign w:val="center"/>
          </w:tcPr>
          <w:p w14:paraId="63A47CCD">
            <w:pPr>
              <w:autoSpaceDE w:val="0"/>
              <w:autoSpaceDN w:val="0"/>
              <w:adjustRightInd w:val="0"/>
              <w:jc w:val="right"/>
              <w:rPr>
                <w:rFonts w:ascii="Calibri" w:hAnsi="Calibri"/>
                <w:sz w:val="20"/>
                <w:szCs w:val="20"/>
              </w:rPr>
            </w:pPr>
          </w:p>
        </w:tc>
        <w:tc>
          <w:tcPr>
            <w:tcW w:w="1634" w:type="dxa"/>
            <w:tcBorders>
              <w:top w:val="single" w:color="auto" w:sz="4" w:space="0"/>
              <w:left w:val="single" w:color="auto" w:sz="4" w:space="0"/>
              <w:bottom w:val="single" w:color="auto" w:sz="4" w:space="0"/>
              <w:right w:val="single" w:color="auto" w:sz="4" w:space="0"/>
            </w:tcBorders>
            <w:vAlign w:val="center"/>
          </w:tcPr>
          <w:p w14:paraId="3D316F73">
            <w:pPr>
              <w:autoSpaceDE w:val="0"/>
              <w:autoSpaceDN w:val="0"/>
              <w:adjustRightInd w:val="0"/>
              <w:jc w:val="right"/>
              <w:rPr>
                <w:rFonts w:ascii="Calibri" w:hAnsi="Calibri"/>
                <w:sz w:val="20"/>
                <w:szCs w:val="20"/>
              </w:rPr>
            </w:pPr>
            <w:r>
              <w:rPr>
                <w:rFonts w:ascii="Calibri" w:hAnsi="Calibri"/>
                <w:sz w:val="20"/>
                <w:szCs w:val="20"/>
              </w:rPr>
              <w:t>495,048.12</w:t>
            </w:r>
          </w:p>
        </w:tc>
        <w:tc>
          <w:tcPr>
            <w:tcW w:w="1982" w:type="dxa"/>
            <w:tcBorders>
              <w:top w:val="single" w:color="auto" w:sz="4" w:space="0"/>
              <w:left w:val="single" w:color="auto" w:sz="4" w:space="0"/>
              <w:bottom w:val="single" w:color="auto" w:sz="4" w:space="0"/>
              <w:right w:val="single" w:color="auto" w:sz="4" w:space="0"/>
            </w:tcBorders>
            <w:vAlign w:val="center"/>
          </w:tcPr>
          <w:p w14:paraId="7754691C">
            <w:pPr>
              <w:autoSpaceDE w:val="0"/>
              <w:autoSpaceDN w:val="0"/>
              <w:adjustRightInd w:val="0"/>
              <w:jc w:val="right"/>
              <w:rPr>
                <w:rFonts w:ascii="Calibri" w:hAnsi="Calibri"/>
                <w:sz w:val="20"/>
                <w:szCs w:val="20"/>
              </w:rPr>
            </w:pPr>
            <w:r>
              <w:rPr>
                <w:rFonts w:ascii="Calibri" w:hAnsi="Calibri"/>
                <w:sz w:val="20"/>
                <w:szCs w:val="20"/>
              </w:rPr>
              <w:t>24,752.41</w:t>
            </w:r>
          </w:p>
        </w:tc>
      </w:tr>
      <w:tr w14:paraId="334A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418" w:type="dxa"/>
            <w:tcBorders>
              <w:top w:val="single" w:color="auto" w:sz="4" w:space="0"/>
              <w:left w:val="single" w:color="auto" w:sz="4" w:space="0"/>
              <w:bottom w:val="single" w:color="auto" w:sz="4" w:space="0"/>
              <w:right w:val="single" w:color="auto" w:sz="4" w:space="0"/>
            </w:tcBorders>
            <w:vAlign w:val="center"/>
          </w:tcPr>
          <w:p w14:paraId="0DF4423F">
            <w:pPr>
              <w:autoSpaceDE w:val="0"/>
              <w:autoSpaceDN w:val="0"/>
              <w:adjustRightInd w:val="0"/>
              <w:rPr>
                <w:rFonts w:ascii="Calibri" w:hAnsi="Calibri"/>
                <w:sz w:val="20"/>
                <w:szCs w:val="20"/>
              </w:rPr>
            </w:pPr>
            <w:r>
              <w:rPr>
                <w:rFonts w:ascii="Calibri" w:hAnsi="Calibri"/>
                <w:sz w:val="20"/>
                <w:szCs w:val="20"/>
              </w:rPr>
              <w:t>其他应收款</w:t>
            </w:r>
          </w:p>
        </w:tc>
        <w:tc>
          <w:tcPr>
            <w:tcW w:w="2262" w:type="dxa"/>
            <w:tcBorders>
              <w:top w:val="single" w:color="auto" w:sz="4" w:space="0"/>
              <w:left w:val="single" w:color="auto" w:sz="4" w:space="0"/>
              <w:bottom w:val="single" w:color="auto" w:sz="4" w:space="0"/>
              <w:right w:val="single" w:color="auto" w:sz="4" w:space="0"/>
            </w:tcBorders>
            <w:vAlign w:val="center"/>
          </w:tcPr>
          <w:p w14:paraId="549CB938">
            <w:pPr>
              <w:autoSpaceDE w:val="0"/>
              <w:autoSpaceDN w:val="0"/>
              <w:adjustRightInd w:val="0"/>
              <w:jc w:val="both"/>
              <w:rPr>
                <w:rFonts w:ascii="Calibri" w:hAnsi="Calibri"/>
                <w:sz w:val="20"/>
                <w:szCs w:val="20"/>
              </w:rPr>
            </w:pPr>
            <w:r>
              <w:rPr>
                <w:rFonts w:ascii="Calibri" w:hAnsi="Calibri"/>
                <w:sz w:val="20"/>
                <w:szCs w:val="20"/>
              </w:rPr>
              <w:t>通化创新彩印有限公司</w:t>
            </w:r>
          </w:p>
        </w:tc>
        <w:tc>
          <w:tcPr>
            <w:tcW w:w="1517" w:type="dxa"/>
            <w:tcBorders>
              <w:top w:val="single" w:color="auto" w:sz="4" w:space="0"/>
              <w:left w:val="single" w:color="auto" w:sz="4" w:space="0"/>
              <w:bottom w:val="single" w:color="auto" w:sz="4" w:space="0"/>
              <w:right w:val="single" w:color="auto" w:sz="4" w:space="0"/>
            </w:tcBorders>
            <w:vAlign w:val="center"/>
          </w:tcPr>
          <w:p w14:paraId="4339BA49">
            <w:pPr>
              <w:autoSpaceDE w:val="0"/>
              <w:autoSpaceDN w:val="0"/>
              <w:adjustRightInd w:val="0"/>
              <w:jc w:val="right"/>
              <w:rPr>
                <w:rFonts w:ascii="Calibri" w:hAnsi="Calibri"/>
                <w:sz w:val="20"/>
                <w:szCs w:val="20"/>
              </w:rPr>
            </w:pPr>
          </w:p>
        </w:tc>
        <w:tc>
          <w:tcPr>
            <w:tcW w:w="1517" w:type="dxa"/>
            <w:tcBorders>
              <w:top w:val="single" w:color="auto" w:sz="4" w:space="0"/>
              <w:left w:val="single" w:color="auto" w:sz="4" w:space="0"/>
              <w:bottom w:val="single" w:color="auto" w:sz="4" w:space="0"/>
              <w:right w:val="single" w:color="auto" w:sz="4" w:space="0"/>
            </w:tcBorders>
            <w:vAlign w:val="center"/>
          </w:tcPr>
          <w:p w14:paraId="73556257">
            <w:pPr>
              <w:autoSpaceDE w:val="0"/>
              <w:autoSpaceDN w:val="0"/>
              <w:adjustRightInd w:val="0"/>
              <w:jc w:val="right"/>
              <w:rPr>
                <w:rFonts w:ascii="Calibri" w:hAnsi="Calibri"/>
                <w:sz w:val="20"/>
                <w:szCs w:val="20"/>
              </w:rPr>
            </w:pPr>
          </w:p>
        </w:tc>
        <w:tc>
          <w:tcPr>
            <w:tcW w:w="1634" w:type="dxa"/>
            <w:tcBorders>
              <w:top w:val="single" w:color="auto" w:sz="4" w:space="0"/>
              <w:left w:val="single" w:color="auto" w:sz="4" w:space="0"/>
              <w:bottom w:val="single" w:color="auto" w:sz="4" w:space="0"/>
              <w:right w:val="single" w:color="auto" w:sz="4" w:space="0"/>
            </w:tcBorders>
            <w:vAlign w:val="center"/>
          </w:tcPr>
          <w:p w14:paraId="1A8217F6">
            <w:pPr>
              <w:autoSpaceDE w:val="0"/>
              <w:autoSpaceDN w:val="0"/>
              <w:adjustRightInd w:val="0"/>
              <w:jc w:val="right"/>
              <w:rPr>
                <w:rFonts w:ascii="Calibri" w:hAnsi="Calibri"/>
                <w:sz w:val="20"/>
                <w:szCs w:val="20"/>
              </w:rPr>
            </w:pPr>
            <w:r>
              <w:rPr>
                <w:rFonts w:ascii="Calibri" w:hAnsi="Calibri"/>
                <w:sz w:val="20"/>
                <w:szCs w:val="20"/>
              </w:rPr>
              <w:t>2,506.41</w:t>
            </w:r>
          </w:p>
        </w:tc>
        <w:tc>
          <w:tcPr>
            <w:tcW w:w="1982" w:type="dxa"/>
            <w:tcBorders>
              <w:top w:val="single" w:color="auto" w:sz="4" w:space="0"/>
              <w:left w:val="single" w:color="auto" w:sz="4" w:space="0"/>
              <w:bottom w:val="single" w:color="auto" w:sz="4" w:space="0"/>
              <w:right w:val="single" w:color="auto" w:sz="4" w:space="0"/>
            </w:tcBorders>
            <w:vAlign w:val="center"/>
          </w:tcPr>
          <w:p w14:paraId="50641EB1">
            <w:pPr>
              <w:autoSpaceDE w:val="0"/>
              <w:autoSpaceDN w:val="0"/>
              <w:adjustRightInd w:val="0"/>
              <w:jc w:val="right"/>
              <w:rPr>
                <w:rFonts w:ascii="Calibri" w:hAnsi="Calibri"/>
                <w:sz w:val="20"/>
                <w:szCs w:val="20"/>
              </w:rPr>
            </w:pPr>
            <w:r>
              <w:rPr>
                <w:rFonts w:ascii="Calibri" w:hAnsi="Calibri"/>
                <w:sz w:val="20"/>
                <w:szCs w:val="20"/>
              </w:rPr>
              <w:t>154.70</w:t>
            </w:r>
          </w:p>
        </w:tc>
      </w:tr>
      <w:tr w14:paraId="21900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680" w:type="dxa"/>
            <w:gridSpan w:val="2"/>
            <w:tcBorders>
              <w:top w:val="single" w:color="auto" w:sz="4" w:space="0"/>
              <w:left w:val="single" w:color="auto" w:sz="4" w:space="0"/>
              <w:bottom w:val="single" w:color="auto" w:sz="4" w:space="0"/>
              <w:right w:val="single" w:color="auto" w:sz="4" w:space="0"/>
            </w:tcBorders>
            <w:vAlign w:val="center"/>
          </w:tcPr>
          <w:p w14:paraId="41624030">
            <w:pPr>
              <w:autoSpaceDE w:val="0"/>
              <w:autoSpaceDN w:val="0"/>
              <w:adjustRightInd w:val="0"/>
              <w:jc w:val="center"/>
              <w:rPr>
                <w:rFonts w:ascii="Calibri" w:hAnsi="Calibri"/>
                <w:sz w:val="20"/>
                <w:szCs w:val="20"/>
              </w:rPr>
            </w:pPr>
            <w:r>
              <w:rPr>
                <w:rFonts w:ascii="Calibri" w:hAnsi="Calibri"/>
                <w:sz w:val="20"/>
                <w:szCs w:val="20"/>
              </w:rPr>
              <w:t>小计</w:t>
            </w:r>
          </w:p>
        </w:tc>
        <w:tc>
          <w:tcPr>
            <w:tcW w:w="1517" w:type="dxa"/>
            <w:tcBorders>
              <w:top w:val="single" w:color="auto" w:sz="4" w:space="0"/>
              <w:left w:val="single" w:color="auto" w:sz="4" w:space="0"/>
              <w:bottom w:val="single" w:color="auto" w:sz="4" w:space="0"/>
              <w:right w:val="single" w:color="auto" w:sz="4" w:space="0"/>
            </w:tcBorders>
            <w:vAlign w:val="center"/>
          </w:tcPr>
          <w:p w14:paraId="2F4F9D6A">
            <w:pPr>
              <w:autoSpaceDE w:val="0"/>
              <w:autoSpaceDN w:val="0"/>
              <w:adjustRightInd w:val="0"/>
              <w:jc w:val="right"/>
              <w:rPr>
                <w:rFonts w:ascii="Calibri" w:hAnsi="Calibri"/>
                <w:sz w:val="20"/>
                <w:szCs w:val="20"/>
              </w:rPr>
            </w:pPr>
          </w:p>
        </w:tc>
        <w:tc>
          <w:tcPr>
            <w:tcW w:w="1517" w:type="dxa"/>
            <w:tcBorders>
              <w:top w:val="single" w:color="auto" w:sz="4" w:space="0"/>
              <w:left w:val="single" w:color="auto" w:sz="4" w:space="0"/>
              <w:bottom w:val="single" w:color="auto" w:sz="4" w:space="0"/>
              <w:right w:val="single" w:color="auto" w:sz="4" w:space="0"/>
            </w:tcBorders>
            <w:vAlign w:val="center"/>
          </w:tcPr>
          <w:p w14:paraId="2ED14396">
            <w:pPr>
              <w:autoSpaceDE w:val="0"/>
              <w:autoSpaceDN w:val="0"/>
              <w:adjustRightInd w:val="0"/>
              <w:jc w:val="right"/>
              <w:rPr>
                <w:rFonts w:ascii="Calibri" w:hAnsi="Calibri"/>
                <w:sz w:val="20"/>
                <w:szCs w:val="20"/>
              </w:rPr>
            </w:pPr>
          </w:p>
        </w:tc>
        <w:tc>
          <w:tcPr>
            <w:tcW w:w="1634" w:type="dxa"/>
            <w:tcBorders>
              <w:top w:val="single" w:color="auto" w:sz="4" w:space="0"/>
              <w:left w:val="single" w:color="auto" w:sz="4" w:space="0"/>
              <w:bottom w:val="single" w:color="auto" w:sz="4" w:space="0"/>
              <w:right w:val="single" w:color="auto" w:sz="4" w:space="0"/>
            </w:tcBorders>
            <w:vAlign w:val="center"/>
          </w:tcPr>
          <w:p w14:paraId="0E9EC32D">
            <w:pPr>
              <w:autoSpaceDE w:val="0"/>
              <w:autoSpaceDN w:val="0"/>
              <w:adjustRightInd w:val="0"/>
              <w:jc w:val="right"/>
              <w:rPr>
                <w:rFonts w:ascii="Calibri" w:hAnsi="Calibri"/>
                <w:sz w:val="20"/>
                <w:szCs w:val="20"/>
              </w:rPr>
            </w:pPr>
            <w:r>
              <w:rPr>
                <w:rFonts w:ascii="Calibri" w:hAnsi="Calibri"/>
                <w:sz w:val="20"/>
                <w:szCs w:val="20"/>
              </w:rPr>
              <w:t>911,062.11</w:t>
            </w:r>
          </w:p>
        </w:tc>
        <w:tc>
          <w:tcPr>
            <w:tcW w:w="1982" w:type="dxa"/>
            <w:tcBorders>
              <w:top w:val="single" w:color="auto" w:sz="4" w:space="0"/>
              <w:left w:val="single" w:color="auto" w:sz="4" w:space="0"/>
              <w:bottom w:val="single" w:color="auto" w:sz="4" w:space="0"/>
              <w:right w:val="single" w:color="auto" w:sz="4" w:space="0"/>
            </w:tcBorders>
            <w:vAlign w:val="center"/>
          </w:tcPr>
          <w:p w14:paraId="5C0012F5">
            <w:pPr>
              <w:autoSpaceDE w:val="0"/>
              <w:autoSpaceDN w:val="0"/>
              <w:adjustRightInd w:val="0"/>
              <w:jc w:val="right"/>
              <w:rPr>
                <w:rFonts w:ascii="Calibri" w:hAnsi="Calibri"/>
                <w:sz w:val="20"/>
                <w:szCs w:val="20"/>
              </w:rPr>
            </w:pPr>
            <w:r>
              <w:rPr>
                <w:rFonts w:ascii="Calibri" w:hAnsi="Calibri"/>
                <w:sz w:val="20"/>
                <w:szCs w:val="20"/>
              </w:rPr>
              <w:t>45,582.49</w:t>
            </w:r>
          </w:p>
        </w:tc>
      </w:tr>
      <w:tr w14:paraId="393C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680" w:type="dxa"/>
            <w:gridSpan w:val="2"/>
            <w:tcBorders>
              <w:top w:val="single" w:color="auto" w:sz="4" w:space="0"/>
              <w:left w:val="single" w:color="auto" w:sz="4" w:space="0"/>
              <w:bottom w:val="single" w:color="auto" w:sz="4" w:space="0"/>
              <w:right w:val="single" w:color="auto" w:sz="4" w:space="0"/>
            </w:tcBorders>
            <w:vAlign w:val="center"/>
          </w:tcPr>
          <w:p w14:paraId="20262B12">
            <w:pPr>
              <w:autoSpaceDE w:val="0"/>
              <w:autoSpaceDN w:val="0"/>
              <w:adjustRightInd w:val="0"/>
              <w:jc w:val="center"/>
              <w:rPr>
                <w:rFonts w:ascii="Calibri" w:hAnsi="Calibri"/>
                <w:sz w:val="20"/>
                <w:szCs w:val="20"/>
              </w:rPr>
            </w:pPr>
            <w:r>
              <w:rPr>
                <w:rFonts w:ascii="Calibri" w:hAnsi="Calibri"/>
                <w:sz w:val="20"/>
                <w:szCs w:val="20"/>
              </w:rPr>
              <w:t>合计</w:t>
            </w:r>
          </w:p>
        </w:tc>
        <w:tc>
          <w:tcPr>
            <w:tcW w:w="1517" w:type="dxa"/>
            <w:tcBorders>
              <w:top w:val="single" w:color="auto" w:sz="4" w:space="0"/>
              <w:left w:val="single" w:color="auto" w:sz="4" w:space="0"/>
              <w:bottom w:val="single" w:color="auto" w:sz="4" w:space="0"/>
              <w:right w:val="single" w:color="auto" w:sz="4" w:space="0"/>
            </w:tcBorders>
            <w:vAlign w:val="center"/>
          </w:tcPr>
          <w:p w14:paraId="667650D3">
            <w:pPr>
              <w:autoSpaceDE w:val="0"/>
              <w:autoSpaceDN w:val="0"/>
              <w:adjustRightInd w:val="0"/>
              <w:jc w:val="right"/>
              <w:rPr>
                <w:rFonts w:ascii="Calibri" w:hAnsi="Calibri"/>
                <w:sz w:val="20"/>
                <w:szCs w:val="20"/>
              </w:rPr>
            </w:pPr>
            <w:r>
              <w:rPr>
                <w:rFonts w:ascii="Calibri" w:hAnsi="Calibri"/>
                <w:sz w:val="20"/>
                <w:szCs w:val="20"/>
              </w:rPr>
              <w:t>2,504,297.44</w:t>
            </w:r>
          </w:p>
        </w:tc>
        <w:tc>
          <w:tcPr>
            <w:tcW w:w="1517" w:type="dxa"/>
            <w:tcBorders>
              <w:top w:val="single" w:color="auto" w:sz="4" w:space="0"/>
              <w:left w:val="single" w:color="auto" w:sz="4" w:space="0"/>
              <w:bottom w:val="single" w:color="auto" w:sz="4" w:space="0"/>
              <w:right w:val="single" w:color="auto" w:sz="4" w:space="0"/>
            </w:tcBorders>
            <w:vAlign w:val="center"/>
          </w:tcPr>
          <w:p w14:paraId="09A6882F">
            <w:pPr>
              <w:autoSpaceDE w:val="0"/>
              <w:autoSpaceDN w:val="0"/>
              <w:adjustRightInd w:val="0"/>
              <w:jc w:val="right"/>
              <w:rPr>
                <w:rFonts w:ascii="Calibri" w:hAnsi="Calibri"/>
                <w:sz w:val="20"/>
                <w:szCs w:val="20"/>
              </w:rPr>
            </w:pPr>
            <w:r>
              <w:rPr>
                <w:rFonts w:ascii="Calibri" w:hAnsi="Calibri"/>
                <w:sz w:val="20"/>
                <w:szCs w:val="20"/>
              </w:rPr>
              <w:t>33,864.00</w:t>
            </w:r>
          </w:p>
        </w:tc>
        <w:tc>
          <w:tcPr>
            <w:tcW w:w="1634" w:type="dxa"/>
            <w:tcBorders>
              <w:top w:val="single" w:color="auto" w:sz="4" w:space="0"/>
              <w:left w:val="single" w:color="auto" w:sz="4" w:space="0"/>
              <w:bottom w:val="single" w:color="auto" w:sz="4" w:space="0"/>
              <w:right w:val="single" w:color="auto" w:sz="4" w:space="0"/>
            </w:tcBorders>
            <w:vAlign w:val="center"/>
          </w:tcPr>
          <w:p w14:paraId="6DB5C2DB">
            <w:pPr>
              <w:autoSpaceDE w:val="0"/>
              <w:autoSpaceDN w:val="0"/>
              <w:adjustRightInd w:val="0"/>
              <w:jc w:val="right"/>
              <w:rPr>
                <w:rFonts w:ascii="Calibri" w:hAnsi="Calibri"/>
                <w:sz w:val="20"/>
                <w:szCs w:val="20"/>
              </w:rPr>
            </w:pPr>
            <w:r>
              <w:rPr>
                <w:rFonts w:ascii="Calibri" w:hAnsi="Calibri"/>
                <w:sz w:val="20"/>
                <w:szCs w:val="20"/>
              </w:rPr>
              <w:t>2,018,845.31</w:t>
            </w:r>
          </w:p>
        </w:tc>
        <w:tc>
          <w:tcPr>
            <w:tcW w:w="1982" w:type="dxa"/>
            <w:tcBorders>
              <w:top w:val="single" w:color="auto" w:sz="4" w:space="0"/>
              <w:left w:val="single" w:color="auto" w:sz="4" w:space="0"/>
              <w:bottom w:val="single" w:color="auto" w:sz="4" w:space="0"/>
              <w:right w:val="single" w:color="auto" w:sz="4" w:space="0"/>
            </w:tcBorders>
            <w:vAlign w:val="center"/>
          </w:tcPr>
          <w:p w14:paraId="533A744F">
            <w:pPr>
              <w:autoSpaceDE w:val="0"/>
              <w:autoSpaceDN w:val="0"/>
              <w:adjustRightInd w:val="0"/>
              <w:jc w:val="right"/>
              <w:rPr>
                <w:rFonts w:ascii="Calibri" w:hAnsi="Calibri"/>
                <w:sz w:val="20"/>
                <w:szCs w:val="20"/>
              </w:rPr>
            </w:pPr>
            <w:r>
              <w:rPr>
                <w:rFonts w:ascii="Calibri" w:hAnsi="Calibri"/>
                <w:sz w:val="20"/>
                <w:szCs w:val="20"/>
              </w:rPr>
              <w:t>86,413.49</w:t>
            </w:r>
          </w:p>
        </w:tc>
      </w:tr>
    </w:tbl>
    <w:p w14:paraId="6DA62823"/>
    <w:p w14:paraId="53517D57">
      <w:pPr>
        <w:pStyle w:val="5"/>
        <w:numPr>
          <w:ilvl w:val="3"/>
          <w:numId w:val="117"/>
        </w:numPr>
        <w:ind w:left="426" w:hanging="426" w:hangingChars="202"/>
        <w:rPr>
          <w:rFonts w:ascii="宋体" w:hAnsi="宋体" w:cs="Arial"/>
          <w:szCs w:val="21"/>
        </w:rPr>
      </w:pPr>
      <w:r>
        <w:rPr>
          <w:rFonts w:hint="eastAsia"/>
        </w:rPr>
        <w:t>应付项目</w:t>
      </w:r>
    </w:p>
    <w:sdt>
      <w:sdtPr>
        <w:rPr>
          <w:rFonts w:hint="eastAsia"/>
        </w:rPr>
        <w:alias w:val="是否适用：应付项目[双击切换]"/>
        <w:tag w:val="_GBC_41bc31a1fefb4e25918c1ece7c27be62"/>
        <w:id w:val="-615365614"/>
        <w:placeholder>
          <w:docPart w:val="GBC22222222222222222222222222222"/>
        </w:placeholder>
      </w:sdtPr>
      <w:sdtEndPr>
        <w:rPr>
          <w:rFonts w:hint="eastAsia"/>
        </w:rPr>
      </w:sdtEndPr>
      <w:sdtContent>
        <w:p w14:paraId="026DD5BF">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84D3CA2">
      <w:pPr>
        <w:jc w:val="right"/>
      </w:pPr>
      <w:r>
        <w:rPr>
          <w:rFonts w:hint="eastAsia"/>
        </w:rPr>
        <w:t>单位：</w:t>
      </w:r>
      <w:sdt>
        <w:sdtPr>
          <w:rPr>
            <w:rFonts w:hint="eastAsia"/>
          </w:rPr>
          <w:alias w:val="单位：上市公司应付关联方款项"/>
          <w:tag w:val="_GBC_dda5edeadff34e4f829b49a813d869a1"/>
          <w:id w:val="-10173936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上市公司应付关联方款项"/>
          <w:tag w:val="_GBC_5830ef25ff41407f8d8b3fde33e4bdf1"/>
          <w:id w:val="17961733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3240"/>
        <w:gridCol w:w="2570"/>
        <w:gridCol w:w="2445"/>
      </w:tblGrid>
      <w:tr w14:paraId="01AD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sdt>
          <w:sdtPr>
            <w:tag w:val="_PLD_e606617d378f48ec942565c9488249ee"/>
            <w:id w:val="-1093091594"/>
          </w:sdtPr>
          <w:sdtContent>
            <w:tc>
              <w:tcPr>
                <w:tcW w:w="1273" w:type="dxa"/>
                <w:tcBorders>
                  <w:top w:val="single" w:color="auto" w:sz="4" w:space="0"/>
                  <w:left w:val="single" w:color="auto" w:sz="4" w:space="0"/>
                  <w:right w:val="single" w:color="auto" w:sz="4" w:space="0"/>
                </w:tcBorders>
                <w:vAlign w:val="center"/>
              </w:tcPr>
              <w:p w14:paraId="23A15395">
                <w:pPr>
                  <w:jc w:val="center"/>
                  <w:rPr>
                    <w:rFonts w:ascii="Calibri" w:hAnsi="Calibri"/>
                    <w:sz w:val="20"/>
                    <w:szCs w:val="20"/>
                  </w:rPr>
                </w:pPr>
                <w:r>
                  <w:rPr>
                    <w:rFonts w:hint="eastAsia" w:ascii="Calibri" w:hAnsi="Calibri"/>
                    <w:sz w:val="20"/>
                    <w:szCs w:val="20"/>
                  </w:rPr>
                  <w:t>项目名称</w:t>
                </w:r>
              </w:p>
            </w:tc>
          </w:sdtContent>
        </w:sdt>
        <w:sdt>
          <w:sdtPr>
            <w:tag w:val="_PLD_8c0f65fb9987497db9d8cb750665f14a"/>
            <w:id w:val="1180159415"/>
          </w:sdtPr>
          <w:sdtContent>
            <w:tc>
              <w:tcPr>
                <w:tcW w:w="3240" w:type="dxa"/>
                <w:tcBorders>
                  <w:top w:val="single" w:color="auto" w:sz="4" w:space="0"/>
                  <w:left w:val="single" w:color="auto" w:sz="4" w:space="0"/>
                  <w:right w:val="single" w:color="auto" w:sz="4" w:space="0"/>
                </w:tcBorders>
                <w:vAlign w:val="center"/>
              </w:tcPr>
              <w:p w14:paraId="26F6D74C">
                <w:pPr>
                  <w:jc w:val="center"/>
                  <w:rPr>
                    <w:rFonts w:ascii="Calibri" w:hAnsi="Calibri"/>
                    <w:sz w:val="20"/>
                    <w:szCs w:val="20"/>
                  </w:rPr>
                </w:pPr>
                <w:r>
                  <w:rPr>
                    <w:rFonts w:hint="eastAsia" w:ascii="Calibri" w:hAnsi="Calibri"/>
                    <w:sz w:val="20"/>
                    <w:szCs w:val="20"/>
                  </w:rPr>
                  <w:t>关联方</w:t>
                </w:r>
              </w:p>
            </w:tc>
          </w:sdtContent>
        </w:sdt>
        <w:sdt>
          <w:sdtPr>
            <w:tag w:val="_PLD_6abb3a201708442494b9fede0eddf518"/>
            <w:id w:val="1445664508"/>
          </w:sdtPr>
          <w:sdtContent>
            <w:tc>
              <w:tcPr>
                <w:tcW w:w="2570" w:type="dxa"/>
                <w:tcBorders>
                  <w:top w:val="single" w:color="auto" w:sz="4" w:space="0"/>
                  <w:left w:val="single" w:color="auto" w:sz="4" w:space="0"/>
                  <w:bottom w:val="single" w:color="auto" w:sz="4" w:space="0"/>
                  <w:right w:val="single" w:color="auto" w:sz="4" w:space="0"/>
                </w:tcBorders>
                <w:vAlign w:val="center"/>
              </w:tcPr>
              <w:p w14:paraId="71401A55">
                <w:pPr>
                  <w:jc w:val="center"/>
                  <w:rPr>
                    <w:rFonts w:ascii="Calibri" w:hAnsi="Calibri"/>
                    <w:sz w:val="20"/>
                    <w:szCs w:val="20"/>
                  </w:rPr>
                </w:pPr>
                <w:r>
                  <w:rPr>
                    <w:rFonts w:hint="eastAsia" w:ascii="Calibri" w:hAnsi="Calibri"/>
                    <w:sz w:val="20"/>
                    <w:szCs w:val="20"/>
                  </w:rPr>
                  <w:t>期末账面余额</w:t>
                </w:r>
              </w:p>
            </w:tc>
          </w:sdtContent>
        </w:sdt>
        <w:sdt>
          <w:sdtPr>
            <w:tag w:val="_PLD_55efe2bab54445818fecaf16ed9366f9"/>
            <w:id w:val="41179750"/>
          </w:sdtPr>
          <w:sdtContent>
            <w:tc>
              <w:tcPr>
                <w:tcW w:w="2445" w:type="dxa"/>
                <w:tcBorders>
                  <w:top w:val="single" w:color="auto" w:sz="4" w:space="0"/>
                  <w:left w:val="single" w:color="auto" w:sz="4" w:space="0"/>
                  <w:bottom w:val="single" w:color="auto" w:sz="4" w:space="0"/>
                  <w:right w:val="single" w:color="auto" w:sz="4" w:space="0"/>
                </w:tcBorders>
                <w:vAlign w:val="center"/>
              </w:tcPr>
              <w:p w14:paraId="4B9037CB">
                <w:pPr>
                  <w:jc w:val="center"/>
                  <w:rPr>
                    <w:rFonts w:ascii="Calibri" w:hAnsi="Calibri"/>
                    <w:sz w:val="20"/>
                    <w:szCs w:val="20"/>
                  </w:rPr>
                </w:pPr>
                <w:r>
                  <w:rPr>
                    <w:rFonts w:hint="eastAsia" w:ascii="Calibri" w:hAnsi="Calibri"/>
                    <w:sz w:val="20"/>
                    <w:szCs w:val="20"/>
                  </w:rPr>
                  <w:t>期初账面余额</w:t>
                </w:r>
              </w:p>
            </w:tc>
          </w:sdtContent>
        </w:sdt>
      </w:tr>
      <w:tr w14:paraId="0FE8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273" w:type="dxa"/>
            <w:tcBorders>
              <w:top w:val="single" w:color="auto" w:sz="4" w:space="0"/>
              <w:left w:val="single" w:color="auto" w:sz="4" w:space="0"/>
              <w:bottom w:val="single" w:color="auto" w:sz="4" w:space="0"/>
              <w:right w:val="single" w:color="auto" w:sz="4" w:space="0"/>
            </w:tcBorders>
            <w:vAlign w:val="center"/>
          </w:tcPr>
          <w:p w14:paraId="7909746B">
            <w:pPr>
              <w:autoSpaceDE w:val="0"/>
              <w:autoSpaceDN w:val="0"/>
              <w:adjustRightInd w:val="0"/>
              <w:rPr>
                <w:rFonts w:ascii="Calibri" w:hAnsi="Calibri"/>
                <w:sz w:val="20"/>
                <w:szCs w:val="20"/>
              </w:rPr>
            </w:pPr>
            <w:r>
              <w:rPr>
                <w:rFonts w:ascii="Calibri" w:hAnsi="Calibri"/>
                <w:sz w:val="20"/>
                <w:szCs w:val="20"/>
              </w:rPr>
              <w:t>应付账款</w:t>
            </w:r>
          </w:p>
        </w:tc>
        <w:tc>
          <w:tcPr>
            <w:tcW w:w="3240" w:type="dxa"/>
            <w:tcBorders>
              <w:top w:val="single" w:color="auto" w:sz="4" w:space="0"/>
              <w:left w:val="single" w:color="auto" w:sz="4" w:space="0"/>
              <w:bottom w:val="single" w:color="auto" w:sz="4" w:space="0"/>
              <w:right w:val="single" w:color="auto" w:sz="4" w:space="0"/>
            </w:tcBorders>
            <w:vAlign w:val="center"/>
          </w:tcPr>
          <w:p w14:paraId="53EA593B">
            <w:pPr>
              <w:autoSpaceDE w:val="0"/>
              <w:autoSpaceDN w:val="0"/>
              <w:adjustRightInd w:val="0"/>
              <w:rPr>
                <w:rFonts w:ascii="Calibri" w:hAnsi="Calibri"/>
                <w:sz w:val="20"/>
                <w:szCs w:val="20"/>
              </w:rPr>
            </w:pPr>
            <w:r>
              <w:rPr>
                <w:rFonts w:ascii="Calibri" w:hAnsi="Calibri"/>
                <w:sz w:val="20"/>
                <w:szCs w:val="20"/>
              </w:rPr>
              <w:t>华广生技股份有限公司(合并)</w:t>
            </w:r>
          </w:p>
        </w:tc>
        <w:tc>
          <w:tcPr>
            <w:tcW w:w="2570" w:type="dxa"/>
            <w:tcBorders>
              <w:top w:val="single" w:color="auto" w:sz="4" w:space="0"/>
              <w:left w:val="single" w:color="auto" w:sz="4" w:space="0"/>
              <w:bottom w:val="single" w:color="auto" w:sz="4" w:space="0"/>
              <w:right w:val="single" w:color="auto" w:sz="4" w:space="0"/>
            </w:tcBorders>
            <w:vAlign w:val="center"/>
          </w:tcPr>
          <w:p w14:paraId="123E5E53">
            <w:pPr>
              <w:autoSpaceDE w:val="0"/>
              <w:autoSpaceDN w:val="0"/>
              <w:adjustRightInd w:val="0"/>
              <w:jc w:val="right"/>
              <w:rPr>
                <w:rFonts w:ascii="Calibri" w:hAnsi="Calibri"/>
                <w:sz w:val="20"/>
                <w:szCs w:val="20"/>
              </w:rPr>
            </w:pPr>
            <w:r>
              <w:rPr>
                <w:rFonts w:ascii="Calibri" w:hAnsi="Calibri"/>
                <w:sz w:val="20"/>
                <w:szCs w:val="20"/>
              </w:rPr>
              <w:t>1,105,870.62</w:t>
            </w:r>
          </w:p>
        </w:tc>
        <w:tc>
          <w:tcPr>
            <w:tcW w:w="2445" w:type="dxa"/>
            <w:tcBorders>
              <w:top w:val="single" w:color="auto" w:sz="4" w:space="0"/>
              <w:left w:val="single" w:color="auto" w:sz="4" w:space="0"/>
              <w:bottom w:val="single" w:color="auto" w:sz="4" w:space="0"/>
              <w:right w:val="single" w:color="auto" w:sz="4" w:space="0"/>
            </w:tcBorders>
            <w:vAlign w:val="center"/>
          </w:tcPr>
          <w:p w14:paraId="66908309">
            <w:pPr>
              <w:autoSpaceDE w:val="0"/>
              <w:autoSpaceDN w:val="0"/>
              <w:adjustRightInd w:val="0"/>
              <w:jc w:val="right"/>
              <w:rPr>
                <w:rFonts w:ascii="Calibri" w:hAnsi="Calibri"/>
                <w:sz w:val="20"/>
                <w:szCs w:val="20"/>
              </w:rPr>
            </w:pPr>
            <w:r>
              <w:rPr>
                <w:rFonts w:ascii="Calibri" w:hAnsi="Calibri"/>
                <w:sz w:val="20"/>
                <w:szCs w:val="20"/>
              </w:rPr>
              <w:t>849,249.56</w:t>
            </w:r>
          </w:p>
        </w:tc>
      </w:tr>
      <w:tr w14:paraId="7493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273" w:type="dxa"/>
            <w:tcBorders>
              <w:top w:val="single" w:color="auto" w:sz="4" w:space="0"/>
              <w:left w:val="single" w:color="auto" w:sz="4" w:space="0"/>
              <w:bottom w:val="single" w:color="auto" w:sz="4" w:space="0"/>
              <w:right w:val="single" w:color="auto" w:sz="4" w:space="0"/>
            </w:tcBorders>
            <w:vAlign w:val="center"/>
          </w:tcPr>
          <w:p w14:paraId="3D71C78A">
            <w:pPr>
              <w:autoSpaceDE w:val="0"/>
              <w:autoSpaceDN w:val="0"/>
              <w:adjustRightInd w:val="0"/>
              <w:rPr>
                <w:rFonts w:ascii="Calibri" w:hAnsi="Calibri"/>
                <w:sz w:val="20"/>
                <w:szCs w:val="20"/>
              </w:rPr>
            </w:pPr>
            <w:r>
              <w:rPr>
                <w:rFonts w:ascii="Calibri" w:hAnsi="Calibri"/>
                <w:sz w:val="20"/>
                <w:szCs w:val="20"/>
              </w:rPr>
              <w:t>应付账款</w:t>
            </w:r>
          </w:p>
        </w:tc>
        <w:tc>
          <w:tcPr>
            <w:tcW w:w="3240" w:type="dxa"/>
            <w:tcBorders>
              <w:top w:val="single" w:color="auto" w:sz="4" w:space="0"/>
              <w:left w:val="single" w:color="auto" w:sz="4" w:space="0"/>
              <w:bottom w:val="single" w:color="auto" w:sz="4" w:space="0"/>
              <w:right w:val="single" w:color="auto" w:sz="4" w:space="0"/>
            </w:tcBorders>
            <w:vAlign w:val="center"/>
          </w:tcPr>
          <w:p w14:paraId="29C2DB70">
            <w:pPr>
              <w:autoSpaceDE w:val="0"/>
              <w:autoSpaceDN w:val="0"/>
              <w:adjustRightInd w:val="0"/>
              <w:rPr>
                <w:rFonts w:ascii="Calibri" w:hAnsi="Calibri"/>
                <w:sz w:val="20"/>
                <w:szCs w:val="20"/>
              </w:rPr>
            </w:pPr>
            <w:r>
              <w:rPr>
                <w:rFonts w:ascii="Calibri" w:hAnsi="Calibri"/>
                <w:sz w:val="20"/>
                <w:szCs w:val="20"/>
              </w:rPr>
              <w:t>通化东宝集团进出口有限公司</w:t>
            </w:r>
          </w:p>
        </w:tc>
        <w:tc>
          <w:tcPr>
            <w:tcW w:w="2570" w:type="dxa"/>
            <w:tcBorders>
              <w:top w:val="single" w:color="auto" w:sz="4" w:space="0"/>
              <w:left w:val="single" w:color="auto" w:sz="4" w:space="0"/>
              <w:bottom w:val="single" w:color="auto" w:sz="4" w:space="0"/>
              <w:right w:val="single" w:color="auto" w:sz="4" w:space="0"/>
            </w:tcBorders>
            <w:vAlign w:val="center"/>
          </w:tcPr>
          <w:p w14:paraId="4494669B">
            <w:pPr>
              <w:autoSpaceDE w:val="0"/>
              <w:autoSpaceDN w:val="0"/>
              <w:adjustRightInd w:val="0"/>
              <w:jc w:val="right"/>
              <w:rPr>
                <w:rFonts w:ascii="Calibri" w:hAnsi="Calibri"/>
                <w:sz w:val="20"/>
                <w:szCs w:val="20"/>
              </w:rPr>
            </w:pPr>
            <w:r>
              <w:rPr>
                <w:rFonts w:ascii="Calibri" w:hAnsi="Calibri"/>
                <w:sz w:val="20"/>
                <w:szCs w:val="20"/>
              </w:rPr>
              <w:t>68,581.77</w:t>
            </w:r>
          </w:p>
        </w:tc>
        <w:tc>
          <w:tcPr>
            <w:tcW w:w="2445" w:type="dxa"/>
            <w:tcBorders>
              <w:top w:val="single" w:color="auto" w:sz="4" w:space="0"/>
              <w:left w:val="single" w:color="auto" w:sz="4" w:space="0"/>
              <w:bottom w:val="single" w:color="auto" w:sz="4" w:space="0"/>
              <w:right w:val="single" w:color="auto" w:sz="4" w:space="0"/>
            </w:tcBorders>
            <w:vAlign w:val="center"/>
          </w:tcPr>
          <w:p w14:paraId="1C422697">
            <w:pPr>
              <w:autoSpaceDE w:val="0"/>
              <w:autoSpaceDN w:val="0"/>
              <w:adjustRightInd w:val="0"/>
              <w:jc w:val="right"/>
              <w:rPr>
                <w:rFonts w:ascii="Calibri" w:hAnsi="Calibri"/>
                <w:sz w:val="20"/>
                <w:szCs w:val="20"/>
              </w:rPr>
            </w:pPr>
            <w:r>
              <w:rPr>
                <w:rFonts w:ascii="Calibri" w:hAnsi="Calibri"/>
                <w:sz w:val="20"/>
                <w:szCs w:val="20"/>
              </w:rPr>
              <w:t>4,697,578.73</w:t>
            </w:r>
          </w:p>
        </w:tc>
      </w:tr>
      <w:tr w14:paraId="2C78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513" w:type="dxa"/>
            <w:gridSpan w:val="2"/>
            <w:tcBorders>
              <w:top w:val="single" w:color="auto" w:sz="4" w:space="0"/>
              <w:left w:val="single" w:color="auto" w:sz="4" w:space="0"/>
              <w:bottom w:val="single" w:color="auto" w:sz="4" w:space="0"/>
              <w:right w:val="single" w:color="auto" w:sz="4" w:space="0"/>
            </w:tcBorders>
            <w:vAlign w:val="center"/>
          </w:tcPr>
          <w:p w14:paraId="755C82F2">
            <w:pPr>
              <w:autoSpaceDE w:val="0"/>
              <w:autoSpaceDN w:val="0"/>
              <w:adjustRightInd w:val="0"/>
              <w:jc w:val="center"/>
              <w:rPr>
                <w:rFonts w:ascii="Calibri" w:hAnsi="Calibri"/>
                <w:sz w:val="20"/>
                <w:szCs w:val="20"/>
              </w:rPr>
            </w:pPr>
            <w:r>
              <w:rPr>
                <w:rFonts w:ascii="Calibri" w:hAnsi="Calibri"/>
                <w:sz w:val="20"/>
                <w:szCs w:val="20"/>
              </w:rPr>
              <w:t>小计</w:t>
            </w:r>
          </w:p>
        </w:tc>
        <w:tc>
          <w:tcPr>
            <w:tcW w:w="2570" w:type="dxa"/>
            <w:tcBorders>
              <w:top w:val="single" w:color="auto" w:sz="4" w:space="0"/>
              <w:left w:val="single" w:color="auto" w:sz="4" w:space="0"/>
              <w:bottom w:val="single" w:color="auto" w:sz="4" w:space="0"/>
              <w:right w:val="single" w:color="auto" w:sz="4" w:space="0"/>
            </w:tcBorders>
            <w:vAlign w:val="center"/>
          </w:tcPr>
          <w:p w14:paraId="656E5FE4">
            <w:pPr>
              <w:autoSpaceDE w:val="0"/>
              <w:autoSpaceDN w:val="0"/>
              <w:adjustRightInd w:val="0"/>
              <w:jc w:val="right"/>
              <w:rPr>
                <w:rFonts w:ascii="Calibri" w:hAnsi="Calibri"/>
                <w:sz w:val="20"/>
                <w:szCs w:val="20"/>
              </w:rPr>
            </w:pPr>
            <w:r>
              <w:rPr>
                <w:rFonts w:ascii="Calibri" w:hAnsi="Calibri"/>
                <w:sz w:val="20"/>
                <w:szCs w:val="20"/>
              </w:rPr>
              <w:t>1,174,452.39</w:t>
            </w:r>
          </w:p>
        </w:tc>
        <w:tc>
          <w:tcPr>
            <w:tcW w:w="2445" w:type="dxa"/>
            <w:tcBorders>
              <w:top w:val="single" w:color="auto" w:sz="4" w:space="0"/>
              <w:left w:val="single" w:color="auto" w:sz="4" w:space="0"/>
              <w:bottom w:val="single" w:color="auto" w:sz="4" w:space="0"/>
              <w:right w:val="single" w:color="auto" w:sz="4" w:space="0"/>
            </w:tcBorders>
            <w:vAlign w:val="center"/>
          </w:tcPr>
          <w:p w14:paraId="26DD037A">
            <w:pPr>
              <w:autoSpaceDE w:val="0"/>
              <w:autoSpaceDN w:val="0"/>
              <w:adjustRightInd w:val="0"/>
              <w:jc w:val="right"/>
              <w:rPr>
                <w:rFonts w:ascii="Calibri" w:hAnsi="Calibri"/>
                <w:sz w:val="20"/>
                <w:szCs w:val="20"/>
              </w:rPr>
            </w:pPr>
            <w:r>
              <w:rPr>
                <w:rFonts w:ascii="Calibri" w:hAnsi="Calibri"/>
                <w:sz w:val="20"/>
                <w:szCs w:val="20"/>
              </w:rPr>
              <w:t>5,546,828.29</w:t>
            </w:r>
          </w:p>
        </w:tc>
      </w:tr>
      <w:tr w14:paraId="22A7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273" w:type="dxa"/>
            <w:tcBorders>
              <w:top w:val="single" w:color="auto" w:sz="4" w:space="0"/>
              <w:left w:val="single" w:color="auto" w:sz="4" w:space="0"/>
              <w:bottom w:val="single" w:color="auto" w:sz="4" w:space="0"/>
              <w:right w:val="single" w:color="auto" w:sz="4" w:space="0"/>
            </w:tcBorders>
            <w:vAlign w:val="center"/>
          </w:tcPr>
          <w:p w14:paraId="19457F6A">
            <w:pPr>
              <w:autoSpaceDE w:val="0"/>
              <w:autoSpaceDN w:val="0"/>
              <w:adjustRightInd w:val="0"/>
              <w:rPr>
                <w:rFonts w:ascii="Calibri" w:hAnsi="Calibri"/>
                <w:sz w:val="20"/>
                <w:szCs w:val="20"/>
              </w:rPr>
            </w:pPr>
            <w:r>
              <w:rPr>
                <w:rFonts w:ascii="Calibri" w:hAnsi="Calibri"/>
                <w:sz w:val="20"/>
                <w:szCs w:val="20"/>
              </w:rPr>
              <w:t>其他应付款</w:t>
            </w:r>
          </w:p>
        </w:tc>
        <w:tc>
          <w:tcPr>
            <w:tcW w:w="3240" w:type="dxa"/>
            <w:tcBorders>
              <w:top w:val="single" w:color="auto" w:sz="4" w:space="0"/>
              <w:left w:val="single" w:color="auto" w:sz="4" w:space="0"/>
              <w:bottom w:val="single" w:color="auto" w:sz="4" w:space="0"/>
              <w:right w:val="single" w:color="auto" w:sz="4" w:space="0"/>
            </w:tcBorders>
            <w:vAlign w:val="center"/>
          </w:tcPr>
          <w:p w14:paraId="223DD9C4">
            <w:pPr>
              <w:autoSpaceDE w:val="0"/>
              <w:autoSpaceDN w:val="0"/>
              <w:adjustRightInd w:val="0"/>
              <w:rPr>
                <w:rFonts w:ascii="Calibri" w:hAnsi="Calibri"/>
                <w:sz w:val="20"/>
                <w:szCs w:val="20"/>
              </w:rPr>
            </w:pPr>
            <w:r>
              <w:rPr>
                <w:rFonts w:ascii="Calibri" w:hAnsi="Calibri"/>
                <w:sz w:val="20"/>
                <w:szCs w:val="20"/>
              </w:rPr>
              <w:t>东宝实业集团股份有限公司</w:t>
            </w:r>
          </w:p>
        </w:tc>
        <w:tc>
          <w:tcPr>
            <w:tcW w:w="2570" w:type="dxa"/>
            <w:tcBorders>
              <w:top w:val="single" w:color="auto" w:sz="4" w:space="0"/>
              <w:left w:val="single" w:color="auto" w:sz="4" w:space="0"/>
              <w:bottom w:val="single" w:color="auto" w:sz="4" w:space="0"/>
              <w:right w:val="single" w:color="auto" w:sz="4" w:space="0"/>
            </w:tcBorders>
            <w:vAlign w:val="center"/>
          </w:tcPr>
          <w:p w14:paraId="68948283">
            <w:pPr>
              <w:autoSpaceDE w:val="0"/>
              <w:autoSpaceDN w:val="0"/>
              <w:adjustRightInd w:val="0"/>
              <w:jc w:val="right"/>
              <w:rPr>
                <w:rFonts w:ascii="Calibri" w:hAnsi="Calibri"/>
                <w:sz w:val="20"/>
                <w:szCs w:val="20"/>
              </w:rPr>
            </w:pPr>
          </w:p>
        </w:tc>
        <w:tc>
          <w:tcPr>
            <w:tcW w:w="2445" w:type="dxa"/>
            <w:tcBorders>
              <w:top w:val="single" w:color="auto" w:sz="4" w:space="0"/>
              <w:left w:val="single" w:color="auto" w:sz="4" w:space="0"/>
              <w:bottom w:val="single" w:color="auto" w:sz="4" w:space="0"/>
              <w:right w:val="single" w:color="auto" w:sz="4" w:space="0"/>
            </w:tcBorders>
            <w:vAlign w:val="center"/>
          </w:tcPr>
          <w:p w14:paraId="585DB02B">
            <w:pPr>
              <w:autoSpaceDE w:val="0"/>
              <w:autoSpaceDN w:val="0"/>
              <w:adjustRightInd w:val="0"/>
              <w:jc w:val="right"/>
              <w:rPr>
                <w:rFonts w:ascii="Calibri" w:hAnsi="Calibri"/>
                <w:sz w:val="20"/>
                <w:szCs w:val="20"/>
              </w:rPr>
            </w:pPr>
            <w:r>
              <w:rPr>
                <w:rFonts w:ascii="Calibri" w:hAnsi="Calibri"/>
                <w:sz w:val="20"/>
                <w:szCs w:val="20"/>
              </w:rPr>
              <w:t>74,271.76</w:t>
            </w:r>
          </w:p>
        </w:tc>
      </w:tr>
      <w:tr w14:paraId="537A0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273" w:type="dxa"/>
            <w:tcBorders>
              <w:top w:val="single" w:color="auto" w:sz="4" w:space="0"/>
              <w:left w:val="single" w:color="auto" w:sz="4" w:space="0"/>
              <w:bottom w:val="single" w:color="auto" w:sz="4" w:space="0"/>
              <w:right w:val="single" w:color="auto" w:sz="4" w:space="0"/>
            </w:tcBorders>
            <w:vAlign w:val="center"/>
          </w:tcPr>
          <w:p w14:paraId="0FD2B9A8">
            <w:pPr>
              <w:autoSpaceDE w:val="0"/>
              <w:autoSpaceDN w:val="0"/>
              <w:adjustRightInd w:val="0"/>
              <w:rPr>
                <w:rFonts w:ascii="Calibri" w:hAnsi="Calibri"/>
                <w:sz w:val="20"/>
                <w:szCs w:val="20"/>
              </w:rPr>
            </w:pPr>
            <w:r>
              <w:rPr>
                <w:rFonts w:ascii="Calibri" w:hAnsi="Calibri"/>
                <w:sz w:val="20"/>
                <w:szCs w:val="20"/>
              </w:rPr>
              <w:t>其他应付款</w:t>
            </w:r>
          </w:p>
        </w:tc>
        <w:tc>
          <w:tcPr>
            <w:tcW w:w="3240" w:type="dxa"/>
            <w:tcBorders>
              <w:top w:val="single" w:color="auto" w:sz="4" w:space="0"/>
              <w:left w:val="single" w:color="auto" w:sz="4" w:space="0"/>
              <w:bottom w:val="single" w:color="auto" w:sz="4" w:space="0"/>
              <w:right w:val="single" w:color="auto" w:sz="4" w:space="0"/>
            </w:tcBorders>
            <w:vAlign w:val="center"/>
          </w:tcPr>
          <w:p w14:paraId="2BC44466">
            <w:pPr>
              <w:autoSpaceDE w:val="0"/>
              <w:autoSpaceDN w:val="0"/>
              <w:adjustRightInd w:val="0"/>
              <w:rPr>
                <w:rFonts w:ascii="Calibri" w:hAnsi="Calibri"/>
                <w:sz w:val="20"/>
                <w:szCs w:val="20"/>
              </w:rPr>
            </w:pPr>
            <w:r>
              <w:rPr>
                <w:rFonts w:ascii="Calibri" w:hAnsi="Calibri"/>
                <w:sz w:val="20"/>
                <w:szCs w:val="20"/>
              </w:rPr>
              <w:t>吉林恒德环保有限公司</w:t>
            </w:r>
          </w:p>
        </w:tc>
        <w:tc>
          <w:tcPr>
            <w:tcW w:w="2570" w:type="dxa"/>
            <w:tcBorders>
              <w:top w:val="single" w:color="auto" w:sz="4" w:space="0"/>
              <w:left w:val="single" w:color="auto" w:sz="4" w:space="0"/>
              <w:bottom w:val="single" w:color="auto" w:sz="4" w:space="0"/>
              <w:right w:val="single" w:color="auto" w:sz="4" w:space="0"/>
            </w:tcBorders>
            <w:vAlign w:val="center"/>
          </w:tcPr>
          <w:p w14:paraId="35BC770F">
            <w:pPr>
              <w:autoSpaceDE w:val="0"/>
              <w:autoSpaceDN w:val="0"/>
              <w:adjustRightInd w:val="0"/>
              <w:jc w:val="right"/>
              <w:rPr>
                <w:rFonts w:ascii="Calibri" w:hAnsi="Calibri"/>
                <w:sz w:val="20"/>
                <w:szCs w:val="20"/>
              </w:rPr>
            </w:pPr>
          </w:p>
        </w:tc>
        <w:tc>
          <w:tcPr>
            <w:tcW w:w="2445" w:type="dxa"/>
            <w:tcBorders>
              <w:top w:val="single" w:color="auto" w:sz="4" w:space="0"/>
              <w:left w:val="single" w:color="auto" w:sz="4" w:space="0"/>
              <w:bottom w:val="single" w:color="auto" w:sz="4" w:space="0"/>
              <w:right w:val="single" w:color="auto" w:sz="4" w:space="0"/>
            </w:tcBorders>
            <w:vAlign w:val="center"/>
          </w:tcPr>
          <w:p w14:paraId="2D84D0F7">
            <w:pPr>
              <w:autoSpaceDE w:val="0"/>
              <w:autoSpaceDN w:val="0"/>
              <w:adjustRightInd w:val="0"/>
              <w:jc w:val="right"/>
              <w:rPr>
                <w:rFonts w:ascii="Calibri" w:hAnsi="Calibri"/>
                <w:sz w:val="20"/>
                <w:szCs w:val="20"/>
              </w:rPr>
            </w:pPr>
            <w:r>
              <w:rPr>
                <w:rFonts w:ascii="Calibri" w:hAnsi="Calibri"/>
                <w:sz w:val="20"/>
                <w:szCs w:val="20"/>
              </w:rPr>
              <w:t>258,941.31</w:t>
            </w:r>
          </w:p>
        </w:tc>
      </w:tr>
      <w:tr w14:paraId="05B5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513" w:type="dxa"/>
            <w:gridSpan w:val="2"/>
            <w:tcBorders>
              <w:top w:val="single" w:color="auto" w:sz="4" w:space="0"/>
              <w:left w:val="single" w:color="auto" w:sz="4" w:space="0"/>
              <w:bottom w:val="single" w:color="auto" w:sz="4" w:space="0"/>
              <w:right w:val="single" w:color="auto" w:sz="4" w:space="0"/>
            </w:tcBorders>
            <w:vAlign w:val="center"/>
          </w:tcPr>
          <w:p w14:paraId="0E0318DD">
            <w:pPr>
              <w:autoSpaceDE w:val="0"/>
              <w:autoSpaceDN w:val="0"/>
              <w:adjustRightInd w:val="0"/>
              <w:jc w:val="center"/>
              <w:rPr>
                <w:rFonts w:ascii="Calibri" w:hAnsi="Calibri"/>
                <w:sz w:val="20"/>
                <w:szCs w:val="20"/>
              </w:rPr>
            </w:pPr>
            <w:r>
              <w:rPr>
                <w:rFonts w:ascii="Calibri" w:hAnsi="Calibri"/>
                <w:sz w:val="20"/>
                <w:szCs w:val="20"/>
              </w:rPr>
              <w:t>小计</w:t>
            </w:r>
          </w:p>
        </w:tc>
        <w:tc>
          <w:tcPr>
            <w:tcW w:w="2570" w:type="dxa"/>
            <w:tcBorders>
              <w:top w:val="single" w:color="auto" w:sz="4" w:space="0"/>
              <w:left w:val="single" w:color="auto" w:sz="4" w:space="0"/>
              <w:bottom w:val="single" w:color="auto" w:sz="4" w:space="0"/>
              <w:right w:val="single" w:color="auto" w:sz="4" w:space="0"/>
            </w:tcBorders>
            <w:vAlign w:val="center"/>
          </w:tcPr>
          <w:p w14:paraId="6B119656">
            <w:pPr>
              <w:autoSpaceDE w:val="0"/>
              <w:autoSpaceDN w:val="0"/>
              <w:adjustRightInd w:val="0"/>
              <w:jc w:val="right"/>
              <w:rPr>
                <w:rFonts w:ascii="Calibri" w:hAnsi="Calibri"/>
                <w:sz w:val="20"/>
                <w:szCs w:val="20"/>
              </w:rPr>
            </w:pPr>
          </w:p>
        </w:tc>
        <w:tc>
          <w:tcPr>
            <w:tcW w:w="2445" w:type="dxa"/>
            <w:tcBorders>
              <w:top w:val="single" w:color="auto" w:sz="4" w:space="0"/>
              <w:left w:val="single" w:color="auto" w:sz="4" w:space="0"/>
              <w:bottom w:val="single" w:color="auto" w:sz="4" w:space="0"/>
              <w:right w:val="single" w:color="auto" w:sz="4" w:space="0"/>
            </w:tcBorders>
            <w:vAlign w:val="center"/>
          </w:tcPr>
          <w:p w14:paraId="2F1EBCD8">
            <w:pPr>
              <w:autoSpaceDE w:val="0"/>
              <w:autoSpaceDN w:val="0"/>
              <w:adjustRightInd w:val="0"/>
              <w:jc w:val="right"/>
              <w:rPr>
                <w:rFonts w:ascii="Calibri" w:hAnsi="Calibri"/>
                <w:sz w:val="20"/>
                <w:szCs w:val="20"/>
              </w:rPr>
            </w:pPr>
            <w:r>
              <w:rPr>
                <w:rFonts w:ascii="Calibri" w:hAnsi="Calibri"/>
                <w:sz w:val="20"/>
                <w:szCs w:val="20"/>
              </w:rPr>
              <w:t>333,213.07</w:t>
            </w:r>
          </w:p>
        </w:tc>
      </w:tr>
      <w:tr w14:paraId="3F2B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513" w:type="dxa"/>
            <w:gridSpan w:val="2"/>
            <w:tcBorders>
              <w:top w:val="single" w:color="auto" w:sz="4" w:space="0"/>
              <w:left w:val="single" w:color="auto" w:sz="4" w:space="0"/>
              <w:bottom w:val="single" w:color="auto" w:sz="4" w:space="0"/>
              <w:right w:val="single" w:color="auto" w:sz="4" w:space="0"/>
            </w:tcBorders>
            <w:vAlign w:val="center"/>
          </w:tcPr>
          <w:p w14:paraId="47C8FA7F">
            <w:pPr>
              <w:autoSpaceDE w:val="0"/>
              <w:autoSpaceDN w:val="0"/>
              <w:adjustRightInd w:val="0"/>
              <w:jc w:val="center"/>
              <w:rPr>
                <w:rFonts w:ascii="Calibri" w:hAnsi="Calibri"/>
                <w:sz w:val="20"/>
                <w:szCs w:val="20"/>
              </w:rPr>
            </w:pPr>
            <w:r>
              <w:rPr>
                <w:rFonts w:ascii="Calibri" w:hAnsi="Calibri"/>
                <w:sz w:val="20"/>
                <w:szCs w:val="20"/>
              </w:rPr>
              <w:t>合计</w:t>
            </w:r>
          </w:p>
        </w:tc>
        <w:tc>
          <w:tcPr>
            <w:tcW w:w="2570" w:type="dxa"/>
            <w:tcBorders>
              <w:top w:val="single" w:color="auto" w:sz="4" w:space="0"/>
              <w:left w:val="single" w:color="auto" w:sz="4" w:space="0"/>
              <w:bottom w:val="single" w:color="auto" w:sz="4" w:space="0"/>
              <w:right w:val="single" w:color="auto" w:sz="4" w:space="0"/>
            </w:tcBorders>
            <w:vAlign w:val="center"/>
          </w:tcPr>
          <w:p w14:paraId="0F6C6EAE">
            <w:pPr>
              <w:autoSpaceDE w:val="0"/>
              <w:autoSpaceDN w:val="0"/>
              <w:adjustRightInd w:val="0"/>
              <w:jc w:val="right"/>
              <w:rPr>
                <w:rFonts w:ascii="Calibri" w:hAnsi="Calibri"/>
                <w:sz w:val="20"/>
                <w:szCs w:val="20"/>
              </w:rPr>
            </w:pPr>
            <w:r>
              <w:rPr>
                <w:rFonts w:ascii="Calibri" w:hAnsi="Calibri"/>
                <w:sz w:val="20"/>
                <w:szCs w:val="20"/>
              </w:rPr>
              <w:t>1,174,452.39</w:t>
            </w:r>
          </w:p>
        </w:tc>
        <w:tc>
          <w:tcPr>
            <w:tcW w:w="2445" w:type="dxa"/>
            <w:tcBorders>
              <w:top w:val="single" w:color="auto" w:sz="4" w:space="0"/>
              <w:left w:val="single" w:color="auto" w:sz="4" w:space="0"/>
              <w:bottom w:val="single" w:color="auto" w:sz="4" w:space="0"/>
              <w:right w:val="single" w:color="auto" w:sz="4" w:space="0"/>
            </w:tcBorders>
            <w:vAlign w:val="center"/>
          </w:tcPr>
          <w:p w14:paraId="192126FC">
            <w:pPr>
              <w:autoSpaceDE w:val="0"/>
              <w:autoSpaceDN w:val="0"/>
              <w:adjustRightInd w:val="0"/>
              <w:jc w:val="right"/>
              <w:rPr>
                <w:rFonts w:ascii="Calibri" w:hAnsi="Calibri"/>
                <w:sz w:val="20"/>
                <w:szCs w:val="20"/>
              </w:rPr>
            </w:pPr>
            <w:r>
              <w:rPr>
                <w:rFonts w:ascii="Calibri" w:hAnsi="Calibri"/>
                <w:sz w:val="20"/>
                <w:szCs w:val="20"/>
              </w:rPr>
              <w:t>5,880,041.36</w:t>
            </w:r>
          </w:p>
        </w:tc>
      </w:tr>
    </w:tbl>
    <w:p w14:paraId="4D108378"/>
    <w:p w14:paraId="4C376959">
      <w:pPr>
        <w:pStyle w:val="5"/>
        <w:numPr>
          <w:ilvl w:val="3"/>
          <w:numId w:val="117"/>
        </w:numPr>
        <w:ind w:left="426" w:hanging="426" w:hangingChars="202"/>
        <w:rPr>
          <w:rFonts w:ascii="宋体" w:hAnsi="宋体" w:cs="Arial"/>
          <w:szCs w:val="21"/>
        </w:rPr>
      </w:pPr>
      <w:r>
        <w:rPr>
          <w:rFonts w:hint="eastAsia"/>
        </w:rPr>
        <w:t>其他项目</w:t>
      </w:r>
    </w:p>
    <w:sdt>
      <w:sdtPr>
        <w:alias w:val="是否适用：关联方其他未结算项目情况[双击切换]"/>
        <w:tag w:val="_GBC_61142f5ee3c54a58901e03781b59f5db"/>
        <w:id w:val="-1055157371"/>
        <w:placeholder>
          <w:docPart w:val="GBC22222222222222222222222222222"/>
        </w:placeholder>
      </w:sdtPr>
      <w:sdtContent>
        <w:p w14:paraId="03FFBD1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F007DFE">
      <w:pPr>
        <w:pStyle w:val="48"/>
        <w:rPr>
          <w:rFonts w:ascii="仿宋_GB2312" w:eastAsia="仿宋_GB2312"/>
        </w:rPr>
      </w:pPr>
    </w:p>
    <w:p w14:paraId="69539E89">
      <w:pPr>
        <w:pStyle w:val="4"/>
        <w:numPr>
          <w:ilvl w:val="0"/>
          <w:numId w:val="115"/>
        </w:numPr>
      </w:pPr>
      <w:r>
        <w:rPr>
          <w:rFonts w:hint="eastAsia"/>
        </w:rPr>
        <w:t>关联方承诺</w:t>
      </w:r>
    </w:p>
    <w:sdt>
      <w:sdtPr>
        <w:rPr>
          <w:rFonts w:hint="eastAsia"/>
        </w:rPr>
        <w:alias w:val="是否适用：关联方承诺[双击切换]"/>
        <w:tag w:val="_GBC_cf52a7b0760b4670b5fc5ea8d7363a6c"/>
        <w:id w:val="359093116"/>
        <w:placeholder>
          <w:docPart w:val="GBC22222222222222222222222222222"/>
        </w:placeholder>
      </w:sdtPr>
      <w:sdtEndPr>
        <w:rPr>
          <w:rFonts w:hint="eastAsia"/>
        </w:rPr>
      </w:sdtEndPr>
      <w:sdtContent>
        <w:p w14:paraId="48C9CE3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7E52A3F">
      <w:pPr>
        <w:tabs>
          <w:tab w:val="left" w:pos="1134"/>
        </w:tabs>
        <w:rPr>
          <w:rFonts w:ascii="Cambria" w:hAnsi="Cambria" w:cs="Cambria" w:eastAsiaTheme="minorEastAsia"/>
          <w:sz w:val="20"/>
        </w:rPr>
      </w:pPr>
    </w:p>
    <w:p w14:paraId="5871B1E4">
      <w:pPr>
        <w:pStyle w:val="4"/>
        <w:numPr>
          <w:ilvl w:val="0"/>
          <w:numId w:val="115"/>
        </w:numPr>
      </w:pPr>
      <w:r>
        <w:rPr>
          <w:rFonts w:hint="eastAsia"/>
        </w:rPr>
        <w:t>其他</w:t>
      </w:r>
    </w:p>
    <w:sdt>
      <w:sdtPr>
        <w:rPr>
          <w:rFonts w:hint="eastAsia"/>
        </w:rPr>
        <w:alias w:val="是否适用：关联方及关联情况的其他说明[双击切换]"/>
        <w:tag w:val="_GBC_0fbd096440c645128adaffccb05f4e2f"/>
        <w:id w:val="-798529041"/>
        <w:placeholder>
          <w:docPart w:val="GBC22222222222222222222222222222"/>
        </w:placeholder>
      </w:sdtPr>
      <w:sdtEndPr>
        <w:rPr>
          <w:rFonts w:hint="eastAsia"/>
        </w:rPr>
      </w:sdtEndPr>
      <w:sdtContent>
        <w:p w14:paraId="5FAB35B9">
          <w:pPr>
            <w:tabs>
              <w:tab w:val="left" w:pos="1134"/>
            </w:tabs>
            <w:rPr>
              <w:rFonts w:cs="Cambria" w:asciiTheme="minorEastAsia" w:hAnsiTheme="minorEastAsia" w:eastAsiaTheme="minorEastAsia"/>
              <w:bCs/>
              <w:sz w:val="20"/>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2F92408">
      <w:pPr>
        <w:tabs>
          <w:tab w:val="left" w:pos="1134"/>
        </w:tabs>
        <w:rPr>
          <w:rFonts w:cs="Cambria"/>
        </w:rPr>
      </w:pPr>
    </w:p>
    <w:p w14:paraId="5E54DD33">
      <w:pPr>
        <w:pStyle w:val="3"/>
        <w:numPr>
          <w:ilvl w:val="0"/>
          <w:numId w:val="51"/>
        </w:numPr>
        <w:rPr>
          <w:rFonts w:ascii="宋体" w:hAnsi="宋体"/>
        </w:rPr>
      </w:pPr>
      <w:r>
        <w:rPr>
          <w:rFonts w:hint="eastAsia"/>
        </w:rPr>
        <w:t>股份支付</w:t>
      </w:r>
    </w:p>
    <w:p w14:paraId="72E30870">
      <w:pPr>
        <w:pStyle w:val="4"/>
        <w:numPr>
          <w:ilvl w:val="0"/>
          <w:numId w:val="118"/>
        </w:numPr>
        <w:ind w:left="450" w:hanging="450"/>
        <w:rPr>
          <w:color w:val="000000" w:themeColor="text1"/>
          <w14:textFill>
            <w14:solidFill>
              <w14:schemeClr w14:val="tx1"/>
            </w14:solidFill>
          </w14:textFill>
        </w:rPr>
      </w:pPr>
      <w:bookmarkStart w:id="373" w:name="_Hlk182486041"/>
      <w:bookmarkStart w:id="374" w:name="_Hlk40787153"/>
      <w:bookmarkStart w:id="375" w:name="_Hlk151135509"/>
      <w:r>
        <w:rPr>
          <w:rFonts w:hint="eastAsia"/>
          <w:color w:val="000000" w:themeColor="text1"/>
          <w14:textFill>
            <w14:solidFill>
              <w14:schemeClr w14:val="tx1"/>
            </w14:solidFill>
          </w14:textFill>
        </w:rPr>
        <w:t>各项权益工具</w:t>
      </w:r>
    </w:p>
    <w:p w14:paraId="7CFC71F6">
      <w:pPr>
        <w:pStyle w:val="30"/>
        <w:numPr>
          <w:ilvl w:val="0"/>
          <w:numId w:val="119"/>
        </w:numPr>
        <w:ind w:firstLineChars="0"/>
        <w:rPr>
          <w:b/>
          <w:bCs/>
        </w:rPr>
      </w:pPr>
      <w:r>
        <w:rPr>
          <w:rFonts w:hint="eastAsia"/>
          <w:b/>
          <w:bCs/>
        </w:rPr>
        <w:t>明细情况</w:t>
      </w:r>
    </w:p>
    <w:sdt>
      <w:sdtPr>
        <w:rPr>
          <w:color w:val="000000" w:themeColor="text1"/>
          <w14:textFill>
            <w14:solidFill>
              <w14:schemeClr w14:val="tx1"/>
            </w14:solidFill>
          </w14:textFill>
        </w:rPr>
        <w:alias w:val="是否适用：各项权益工具[双击切换]"/>
        <w:tag w:val="_GBC_591f7158994b46b7adfcd7566ff3a5b8"/>
        <w:id w:val="-1096095569"/>
        <w:lock w:val="contentLocked"/>
        <w:placeholder>
          <w:docPart w:val="GBC22222222222222222222222222222"/>
        </w:placeholder>
      </w:sdtPr>
      <w:sdtEndPr>
        <w:rPr>
          <w:color w:val="000000" w:themeColor="text1"/>
          <w14:textFill>
            <w14:solidFill>
              <w14:schemeClr w14:val="tx1"/>
            </w14:solidFill>
          </w14:textFill>
        </w:rPr>
      </w:sdtEndPr>
      <w:sdtContent>
        <w:p w14:paraId="4004736F">
          <w:pPr>
            <w:rPr>
              <w:color w:val="000000" w:themeColor="text1"/>
              <w14:textFill>
                <w14:solidFill>
                  <w14:schemeClr w14:val="tx1"/>
                </w14:solidFill>
              </w14:textFill>
            </w:rPr>
          </w:pPr>
          <w:bookmarkStart w:id="376" w:name="_Hlk168492989"/>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76"/>
    <w:p w14:paraId="1354C85A">
      <w:pPr>
        <w:jc w:val="right"/>
        <w:rPr>
          <w:color w:val="000000" w:themeColor="text1"/>
          <w14:textFill>
            <w14:solidFill>
              <w14:schemeClr w14:val="tx1"/>
            </w14:solidFill>
          </w14:textFill>
        </w:rPr>
      </w:pPr>
      <w:bookmarkStart w:id="377" w:name="_Hlk168478628"/>
      <w:r>
        <w:rPr>
          <w:rFonts w:hint="eastAsia"/>
          <w:color w:val="000000" w:themeColor="text1"/>
          <w14:textFill>
            <w14:solidFill>
              <w14:schemeClr w14:val="tx1"/>
            </w14:solidFill>
          </w14:textFill>
        </w:rPr>
        <w:t>数量单位：</w:t>
      </w:r>
      <w:sdt>
        <w:sdtPr>
          <w:rPr>
            <w:rFonts w:hint="eastAsia"/>
            <w:color w:val="000000" w:themeColor="text1"/>
            <w14:textFill>
              <w14:solidFill>
                <w14:schemeClr w14:val="tx1"/>
              </w14:solidFill>
            </w14:textFill>
          </w:rPr>
          <w:alias w:val="单位：各项权益工具"/>
          <w:tag w:val="_GBC_f9118237b13b46fa959144ad6b662be7"/>
          <w:id w:val="-37518348"/>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股</w:t>
          </w:r>
        </w:sdtContent>
      </w:sdt>
      <w:r>
        <w:rPr>
          <w:rFonts w:hint="eastAsia"/>
          <w:color w:val="000000" w:themeColor="text1"/>
          <w14:textFill>
            <w14:solidFill>
              <w14:schemeClr w14:val="tx1"/>
            </w14:solidFill>
          </w14:textFill>
        </w:rPr>
        <w:t xml:space="preserve">  金额单位：</w:t>
      </w:r>
      <w:sdt>
        <w:sdtPr>
          <w:rPr>
            <w:rFonts w:hint="eastAsia"/>
            <w:color w:val="000000" w:themeColor="text1"/>
            <w14:textFill>
              <w14:solidFill>
                <w14:schemeClr w14:val="tx1"/>
              </w14:solidFill>
            </w14:textFill>
          </w:rPr>
          <w:alias w:val="单位2：各项权益工具"/>
          <w:tag w:val="_GBC_fa84b873287342688a4021d513324ea8"/>
          <w:id w:val="201596182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各项权益工具"/>
          <w:tag w:val="_GBC_d0f31367b35b40b4ba63e0ed88e46383"/>
          <w:id w:val="-16964486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r>
        <w:rPr>
          <w:color w:val="000000" w:themeColor="text1"/>
          <w14:textFill>
            <w14:solidFill>
              <w14:schemeClr w14:val="tx1"/>
            </w14:solidFill>
          </w14:textFill>
        </w:rPr>
        <w:t xml:space="preserve"> </w:t>
      </w:r>
    </w:p>
    <w:tbl>
      <w:tblPr>
        <w:tblStyle w:val="2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276"/>
        <w:gridCol w:w="1559"/>
        <w:gridCol w:w="851"/>
        <w:gridCol w:w="709"/>
        <w:gridCol w:w="850"/>
        <w:gridCol w:w="709"/>
        <w:gridCol w:w="709"/>
        <w:gridCol w:w="680"/>
      </w:tblGrid>
      <w:tr w14:paraId="4CDC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690cf5dfd31740caa39726bd6df8a195"/>
            <w:id w:val="1892991719"/>
          </w:sdtPr>
          <w:sdtContent>
            <w:tc>
              <w:tcPr>
                <w:tcW w:w="1696" w:type="dxa"/>
                <w:vMerge w:val="restart"/>
                <w:vAlign w:val="center"/>
              </w:tcPr>
              <w:p w14:paraId="3D9D4959">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授予对象类别</w:t>
                </w:r>
              </w:p>
            </w:tc>
          </w:sdtContent>
        </w:sdt>
        <w:sdt>
          <w:sdtPr>
            <w:tag w:val="_PLD_47636284d34941ff8254e3d10dfc5f15"/>
            <w:id w:val="2097438695"/>
          </w:sdtPr>
          <w:sdtContent>
            <w:tc>
              <w:tcPr>
                <w:tcW w:w="2835" w:type="dxa"/>
                <w:gridSpan w:val="2"/>
                <w:vAlign w:val="center"/>
              </w:tcPr>
              <w:p w14:paraId="52306BBA">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本期授予</w:t>
                </w:r>
              </w:p>
            </w:tc>
          </w:sdtContent>
        </w:sdt>
        <w:sdt>
          <w:sdtPr>
            <w:tag w:val="_PLD_e9cf9113d398485a9015619d11b52468"/>
            <w:id w:val="1946340367"/>
          </w:sdtPr>
          <w:sdtContent>
            <w:tc>
              <w:tcPr>
                <w:tcW w:w="1560" w:type="dxa"/>
                <w:gridSpan w:val="2"/>
                <w:vAlign w:val="center"/>
              </w:tcPr>
              <w:p w14:paraId="15E6D253">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本期行权</w:t>
                </w:r>
              </w:p>
            </w:tc>
          </w:sdtContent>
        </w:sdt>
        <w:sdt>
          <w:sdtPr>
            <w:tag w:val="_PLD_d4140e827d5c4aa88dc07b8324b32d54"/>
            <w:id w:val="-1087610991"/>
          </w:sdtPr>
          <w:sdtContent>
            <w:tc>
              <w:tcPr>
                <w:tcW w:w="1559" w:type="dxa"/>
                <w:gridSpan w:val="2"/>
                <w:vAlign w:val="center"/>
              </w:tcPr>
              <w:p w14:paraId="4E28107F">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本期解锁</w:t>
                </w:r>
              </w:p>
            </w:tc>
          </w:sdtContent>
        </w:sdt>
        <w:sdt>
          <w:sdtPr>
            <w:tag w:val="_PLD_0f5c44353169409c992507082b20a9bf"/>
            <w:id w:val="-1718507373"/>
          </w:sdtPr>
          <w:sdtContent>
            <w:tc>
              <w:tcPr>
                <w:tcW w:w="1389" w:type="dxa"/>
                <w:gridSpan w:val="2"/>
                <w:vAlign w:val="center"/>
              </w:tcPr>
              <w:p w14:paraId="6C8A72B1">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本期失效</w:t>
                </w:r>
              </w:p>
            </w:tc>
          </w:sdtContent>
        </w:sdt>
      </w:tr>
      <w:tr w14:paraId="7AAE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696" w:type="dxa"/>
            <w:vMerge w:val="continue"/>
            <w:vAlign w:val="center"/>
          </w:tcPr>
          <w:p w14:paraId="2B701AE9">
            <w:pPr>
              <w:widowControl w:val="0"/>
              <w:jc w:val="center"/>
              <w:rPr>
                <w:color w:val="000000" w:themeColor="text1"/>
                <w14:textFill>
                  <w14:solidFill>
                    <w14:schemeClr w14:val="tx1"/>
                  </w14:solidFill>
                </w14:textFill>
              </w:rPr>
            </w:pPr>
          </w:p>
        </w:tc>
        <w:sdt>
          <w:sdtPr>
            <w:tag w:val="_PLD_08ea8ae5029246858239315872be9751"/>
            <w:id w:val="-2078970812"/>
          </w:sdtPr>
          <w:sdtContent>
            <w:tc>
              <w:tcPr>
                <w:tcW w:w="1276" w:type="dxa"/>
                <w:vAlign w:val="center"/>
              </w:tcPr>
              <w:p w14:paraId="322DD94E">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tc>
          </w:sdtContent>
        </w:sdt>
        <w:sdt>
          <w:sdtPr>
            <w:tag w:val="_PLD_50a6b9f3a585453d8d1f0e8e97f8f69a"/>
            <w:id w:val="-761143050"/>
          </w:sdtPr>
          <w:sdtContent>
            <w:tc>
              <w:tcPr>
                <w:tcW w:w="1559" w:type="dxa"/>
                <w:vAlign w:val="center"/>
              </w:tcPr>
              <w:p w14:paraId="0B3F3D8E">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p>
            </w:tc>
          </w:sdtContent>
        </w:sdt>
        <w:sdt>
          <w:sdtPr>
            <w:tag w:val="_PLD_f276c0b44af641ad847ba8f6a3f3c137"/>
            <w:id w:val="-1573273838"/>
          </w:sdtPr>
          <w:sdtContent>
            <w:tc>
              <w:tcPr>
                <w:tcW w:w="851" w:type="dxa"/>
                <w:vAlign w:val="center"/>
              </w:tcPr>
              <w:p w14:paraId="1BFD8B80">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tc>
          </w:sdtContent>
        </w:sdt>
        <w:sdt>
          <w:sdtPr>
            <w:tag w:val="_PLD_4f5e328f5f124eadbca10c5aae8346a0"/>
            <w:id w:val="1852296027"/>
          </w:sdtPr>
          <w:sdtContent>
            <w:tc>
              <w:tcPr>
                <w:tcW w:w="709" w:type="dxa"/>
                <w:vAlign w:val="center"/>
              </w:tcPr>
              <w:p w14:paraId="23FE3899">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p>
            </w:tc>
          </w:sdtContent>
        </w:sdt>
        <w:sdt>
          <w:sdtPr>
            <w:tag w:val="_PLD_f0e2d02c3ba14b0f9921153a835b1418"/>
            <w:id w:val="-653834162"/>
          </w:sdtPr>
          <w:sdtContent>
            <w:tc>
              <w:tcPr>
                <w:tcW w:w="850" w:type="dxa"/>
                <w:vAlign w:val="center"/>
              </w:tcPr>
              <w:p w14:paraId="62D7E6C3">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tc>
          </w:sdtContent>
        </w:sdt>
        <w:sdt>
          <w:sdtPr>
            <w:tag w:val="_PLD_2988b48211264d67a60e42098266f5c8"/>
            <w:id w:val="826713192"/>
          </w:sdtPr>
          <w:sdtContent>
            <w:tc>
              <w:tcPr>
                <w:tcW w:w="709" w:type="dxa"/>
                <w:vAlign w:val="center"/>
              </w:tcPr>
              <w:p w14:paraId="3EE6D220">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p>
            </w:tc>
          </w:sdtContent>
        </w:sdt>
        <w:sdt>
          <w:sdtPr>
            <w:tag w:val="_PLD_23aded98d13140e1907fbf2255bab032"/>
            <w:id w:val="-1923478042"/>
          </w:sdtPr>
          <w:sdtContent>
            <w:tc>
              <w:tcPr>
                <w:tcW w:w="709" w:type="dxa"/>
                <w:vAlign w:val="center"/>
              </w:tcPr>
              <w:p w14:paraId="2B6D920B">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tc>
          </w:sdtContent>
        </w:sdt>
        <w:sdt>
          <w:sdtPr>
            <w:tag w:val="_PLD_ef8da1e1b02d4677809aa9360a11844b"/>
            <w:id w:val="2112240810"/>
          </w:sdtPr>
          <w:sdtContent>
            <w:tc>
              <w:tcPr>
                <w:tcW w:w="680" w:type="dxa"/>
                <w:vAlign w:val="center"/>
              </w:tcPr>
              <w:p w14:paraId="0417650E">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p>
            </w:tc>
          </w:sdtContent>
        </w:sdt>
      </w:tr>
      <w:tr w14:paraId="24E2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14:paraId="5DBAFFCB">
            <w:pPr>
              <w:widowControl w:val="0"/>
              <w:jc w:val="both"/>
              <w:rPr>
                <w:rFonts w:asciiTheme="minorEastAsia" w:hAnsiTheme="minorEastAsia" w:eastAsiaTheme="minorEastAsia"/>
              </w:rPr>
            </w:pPr>
            <w:r>
              <w:t>员工持股计划（董监高及核心技术人员）</w:t>
            </w:r>
          </w:p>
        </w:tc>
        <w:tc>
          <w:tcPr>
            <w:tcW w:w="1276" w:type="dxa"/>
            <w:vAlign w:val="center"/>
          </w:tcPr>
          <w:p w14:paraId="4A59BE4E">
            <w:pPr>
              <w:widowControl w:val="0"/>
              <w:jc w:val="right"/>
              <w:rPr>
                <w:rFonts w:asciiTheme="minorEastAsia" w:hAnsiTheme="minorEastAsia" w:eastAsiaTheme="minorEastAsia"/>
              </w:rPr>
            </w:pPr>
            <w:r>
              <w:t>9,290,000</w:t>
            </w:r>
          </w:p>
        </w:tc>
        <w:tc>
          <w:tcPr>
            <w:tcW w:w="1559" w:type="dxa"/>
            <w:vAlign w:val="center"/>
          </w:tcPr>
          <w:p w14:paraId="0FE2D31D">
            <w:pPr>
              <w:widowControl w:val="0"/>
              <w:jc w:val="right"/>
              <w:rPr>
                <w:rFonts w:asciiTheme="minorEastAsia" w:hAnsiTheme="minorEastAsia" w:eastAsiaTheme="minorEastAsia"/>
              </w:rPr>
            </w:pPr>
            <w:r>
              <w:t>39,854,100.00</w:t>
            </w:r>
          </w:p>
        </w:tc>
        <w:tc>
          <w:tcPr>
            <w:tcW w:w="851" w:type="dxa"/>
            <w:vAlign w:val="center"/>
          </w:tcPr>
          <w:p w14:paraId="72740EFD">
            <w:pPr>
              <w:widowControl w:val="0"/>
              <w:jc w:val="right"/>
              <w:rPr>
                <w:rFonts w:asciiTheme="minorEastAsia" w:hAnsiTheme="minorEastAsia" w:eastAsiaTheme="minorEastAsia"/>
              </w:rPr>
            </w:pPr>
          </w:p>
        </w:tc>
        <w:tc>
          <w:tcPr>
            <w:tcW w:w="709" w:type="dxa"/>
            <w:vAlign w:val="center"/>
          </w:tcPr>
          <w:p w14:paraId="15EE6057">
            <w:pPr>
              <w:widowControl w:val="0"/>
              <w:jc w:val="right"/>
              <w:rPr>
                <w:rFonts w:asciiTheme="minorEastAsia" w:hAnsiTheme="minorEastAsia" w:eastAsiaTheme="minorEastAsia"/>
              </w:rPr>
            </w:pPr>
          </w:p>
        </w:tc>
        <w:tc>
          <w:tcPr>
            <w:tcW w:w="850" w:type="dxa"/>
            <w:vAlign w:val="center"/>
          </w:tcPr>
          <w:p w14:paraId="1B467026">
            <w:pPr>
              <w:widowControl w:val="0"/>
              <w:jc w:val="right"/>
              <w:rPr>
                <w:rFonts w:asciiTheme="minorEastAsia" w:hAnsiTheme="minorEastAsia" w:eastAsiaTheme="minorEastAsia"/>
              </w:rPr>
            </w:pPr>
          </w:p>
        </w:tc>
        <w:tc>
          <w:tcPr>
            <w:tcW w:w="709" w:type="dxa"/>
            <w:vAlign w:val="center"/>
          </w:tcPr>
          <w:p w14:paraId="04E47A74">
            <w:pPr>
              <w:widowControl w:val="0"/>
              <w:jc w:val="right"/>
              <w:rPr>
                <w:rFonts w:asciiTheme="minorEastAsia" w:hAnsiTheme="minorEastAsia" w:eastAsiaTheme="minorEastAsia"/>
              </w:rPr>
            </w:pPr>
          </w:p>
        </w:tc>
        <w:tc>
          <w:tcPr>
            <w:tcW w:w="709" w:type="dxa"/>
            <w:vAlign w:val="center"/>
          </w:tcPr>
          <w:p w14:paraId="2A6005CC">
            <w:pPr>
              <w:widowControl w:val="0"/>
              <w:jc w:val="right"/>
              <w:rPr>
                <w:rFonts w:asciiTheme="minorEastAsia" w:hAnsiTheme="minorEastAsia" w:eastAsiaTheme="minorEastAsia"/>
              </w:rPr>
            </w:pPr>
          </w:p>
        </w:tc>
        <w:tc>
          <w:tcPr>
            <w:tcW w:w="680" w:type="dxa"/>
            <w:vAlign w:val="center"/>
          </w:tcPr>
          <w:p w14:paraId="1EBADE8D">
            <w:pPr>
              <w:widowControl w:val="0"/>
              <w:jc w:val="right"/>
              <w:rPr>
                <w:rFonts w:asciiTheme="minorEastAsia" w:hAnsiTheme="minorEastAsia" w:eastAsiaTheme="minorEastAsia"/>
              </w:rPr>
            </w:pPr>
          </w:p>
        </w:tc>
      </w:tr>
      <w:tr w14:paraId="08C4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14:paraId="55D179B3">
            <w:pPr>
              <w:widowControl w:val="0"/>
              <w:jc w:val="both"/>
              <w:rPr>
                <w:rFonts w:asciiTheme="minorEastAsia" w:hAnsiTheme="minorEastAsia" w:eastAsiaTheme="minorEastAsia"/>
              </w:rPr>
            </w:pPr>
            <w:r>
              <w:t>员工持股计划（研发生产系统核心骨干）</w:t>
            </w:r>
          </w:p>
        </w:tc>
        <w:tc>
          <w:tcPr>
            <w:tcW w:w="1276" w:type="dxa"/>
            <w:vAlign w:val="center"/>
          </w:tcPr>
          <w:p w14:paraId="1E6DF227">
            <w:pPr>
              <w:widowControl w:val="0"/>
              <w:jc w:val="right"/>
              <w:rPr>
                <w:rFonts w:asciiTheme="minorEastAsia" w:hAnsiTheme="minorEastAsia" w:eastAsiaTheme="minorEastAsia"/>
              </w:rPr>
            </w:pPr>
            <w:r>
              <w:t>6,370,000</w:t>
            </w:r>
          </w:p>
        </w:tc>
        <w:tc>
          <w:tcPr>
            <w:tcW w:w="1559" w:type="dxa"/>
            <w:vAlign w:val="center"/>
          </w:tcPr>
          <w:p w14:paraId="4F20DC48">
            <w:pPr>
              <w:widowControl w:val="0"/>
              <w:jc w:val="right"/>
              <w:rPr>
                <w:rFonts w:asciiTheme="minorEastAsia" w:hAnsiTheme="minorEastAsia" w:eastAsiaTheme="minorEastAsia"/>
              </w:rPr>
            </w:pPr>
            <w:r>
              <w:t>27,964,300.00</w:t>
            </w:r>
          </w:p>
        </w:tc>
        <w:tc>
          <w:tcPr>
            <w:tcW w:w="851" w:type="dxa"/>
            <w:vAlign w:val="center"/>
          </w:tcPr>
          <w:p w14:paraId="00AF3257">
            <w:pPr>
              <w:widowControl w:val="0"/>
              <w:jc w:val="right"/>
              <w:rPr>
                <w:rFonts w:asciiTheme="minorEastAsia" w:hAnsiTheme="minorEastAsia" w:eastAsiaTheme="minorEastAsia"/>
              </w:rPr>
            </w:pPr>
          </w:p>
        </w:tc>
        <w:tc>
          <w:tcPr>
            <w:tcW w:w="709" w:type="dxa"/>
            <w:vAlign w:val="center"/>
          </w:tcPr>
          <w:p w14:paraId="6B54DAB6">
            <w:pPr>
              <w:widowControl w:val="0"/>
              <w:jc w:val="right"/>
              <w:rPr>
                <w:rFonts w:asciiTheme="minorEastAsia" w:hAnsiTheme="minorEastAsia" w:eastAsiaTheme="minorEastAsia"/>
              </w:rPr>
            </w:pPr>
          </w:p>
        </w:tc>
        <w:tc>
          <w:tcPr>
            <w:tcW w:w="850" w:type="dxa"/>
            <w:vAlign w:val="center"/>
          </w:tcPr>
          <w:p w14:paraId="0DE78F35">
            <w:pPr>
              <w:widowControl w:val="0"/>
              <w:jc w:val="right"/>
              <w:rPr>
                <w:rFonts w:asciiTheme="minorEastAsia" w:hAnsiTheme="minorEastAsia" w:eastAsiaTheme="minorEastAsia"/>
              </w:rPr>
            </w:pPr>
          </w:p>
        </w:tc>
        <w:tc>
          <w:tcPr>
            <w:tcW w:w="709" w:type="dxa"/>
            <w:vAlign w:val="center"/>
          </w:tcPr>
          <w:p w14:paraId="13ADFE62">
            <w:pPr>
              <w:widowControl w:val="0"/>
              <w:jc w:val="right"/>
              <w:rPr>
                <w:rFonts w:asciiTheme="minorEastAsia" w:hAnsiTheme="minorEastAsia" w:eastAsiaTheme="minorEastAsia"/>
              </w:rPr>
            </w:pPr>
          </w:p>
        </w:tc>
        <w:tc>
          <w:tcPr>
            <w:tcW w:w="709" w:type="dxa"/>
            <w:vAlign w:val="center"/>
          </w:tcPr>
          <w:p w14:paraId="169722EA">
            <w:pPr>
              <w:widowControl w:val="0"/>
              <w:jc w:val="right"/>
              <w:rPr>
                <w:rFonts w:asciiTheme="minorEastAsia" w:hAnsiTheme="minorEastAsia" w:eastAsiaTheme="minorEastAsia"/>
              </w:rPr>
            </w:pPr>
          </w:p>
        </w:tc>
        <w:tc>
          <w:tcPr>
            <w:tcW w:w="680" w:type="dxa"/>
            <w:vAlign w:val="center"/>
          </w:tcPr>
          <w:p w14:paraId="40701455">
            <w:pPr>
              <w:widowControl w:val="0"/>
              <w:jc w:val="right"/>
              <w:rPr>
                <w:rFonts w:asciiTheme="minorEastAsia" w:hAnsiTheme="minorEastAsia" w:eastAsiaTheme="minorEastAsia"/>
              </w:rPr>
            </w:pPr>
          </w:p>
        </w:tc>
      </w:tr>
      <w:tr w14:paraId="15F1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14:paraId="501AAD9F">
            <w:pPr>
              <w:widowControl w:val="0"/>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合计</w:t>
            </w:r>
          </w:p>
        </w:tc>
        <w:tc>
          <w:tcPr>
            <w:tcW w:w="1276" w:type="dxa"/>
            <w:vAlign w:val="center"/>
          </w:tcPr>
          <w:p w14:paraId="6EB55107">
            <w:pPr>
              <w:widowControl w:val="0"/>
              <w:jc w:val="right"/>
              <w:rPr>
                <w:rFonts w:asciiTheme="minorEastAsia" w:hAnsiTheme="minorEastAsia" w:eastAsiaTheme="minorEastAsia"/>
              </w:rPr>
            </w:pPr>
            <w:r>
              <w:t>15,660,000</w:t>
            </w:r>
          </w:p>
        </w:tc>
        <w:tc>
          <w:tcPr>
            <w:tcW w:w="1559" w:type="dxa"/>
            <w:vAlign w:val="center"/>
          </w:tcPr>
          <w:p w14:paraId="15B10EA7">
            <w:pPr>
              <w:widowControl w:val="0"/>
              <w:jc w:val="right"/>
              <w:rPr>
                <w:rFonts w:asciiTheme="minorEastAsia" w:hAnsiTheme="minorEastAsia" w:eastAsiaTheme="minorEastAsia"/>
              </w:rPr>
            </w:pPr>
            <w:r>
              <w:t>67,818,400.00</w:t>
            </w:r>
          </w:p>
        </w:tc>
        <w:tc>
          <w:tcPr>
            <w:tcW w:w="851" w:type="dxa"/>
            <w:vAlign w:val="center"/>
          </w:tcPr>
          <w:p w14:paraId="5691EF38">
            <w:pPr>
              <w:widowControl w:val="0"/>
              <w:jc w:val="right"/>
              <w:rPr>
                <w:rFonts w:asciiTheme="minorEastAsia" w:hAnsiTheme="minorEastAsia" w:eastAsiaTheme="minorEastAsia"/>
              </w:rPr>
            </w:pPr>
          </w:p>
        </w:tc>
        <w:tc>
          <w:tcPr>
            <w:tcW w:w="709" w:type="dxa"/>
            <w:vAlign w:val="center"/>
          </w:tcPr>
          <w:p w14:paraId="381CF084">
            <w:pPr>
              <w:widowControl w:val="0"/>
              <w:jc w:val="right"/>
              <w:rPr>
                <w:rFonts w:asciiTheme="minorEastAsia" w:hAnsiTheme="minorEastAsia" w:eastAsiaTheme="minorEastAsia"/>
              </w:rPr>
            </w:pPr>
          </w:p>
        </w:tc>
        <w:tc>
          <w:tcPr>
            <w:tcW w:w="850" w:type="dxa"/>
            <w:vAlign w:val="center"/>
          </w:tcPr>
          <w:p w14:paraId="044186BA">
            <w:pPr>
              <w:widowControl w:val="0"/>
              <w:jc w:val="right"/>
              <w:rPr>
                <w:rFonts w:asciiTheme="minorEastAsia" w:hAnsiTheme="minorEastAsia" w:eastAsiaTheme="minorEastAsia"/>
              </w:rPr>
            </w:pPr>
          </w:p>
        </w:tc>
        <w:tc>
          <w:tcPr>
            <w:tcW w:w="709" w:type="dxa"/>
            <w:vAlign w:val="center"/>
          </w:tcPr>
          <w:p w14:paraId="29DD35F4">
            <w:pPr>
              <w:widowControl w:val="0"/>
              <w:jc w:val="right"/>
              <w:rPr>
                <w:rFonts w:asciiTheme="minorEastAsia" w:hAnsiTheme="minorEastAsia" w:eastAsiaTheme="minorEastAsia"/>
              </w:rPr>
            </w:pPr>
          </w:p>
        </w:tc>
        <w:tc>
          <w:tcPr>
            <w:tcW w:w="709" w:type="dxa"/>
            <w:vAlign w:val="center"/>
          </w:tcPr>
          <w:p w14:paraId="7905C2BD">
            <w:pPr>
              <w:widowControl w:val="0"/>
              <w:jc w:val="right"/>
              <w:rPr>
                <w:rFonts w:asciiTheme="minorEastAsia" w:hAnsiTheme="minorEastAsia" w:eastAsiaTheme="minorEastAsia"/>
              </w:rPr>
            </w:pPr>
          </w:p>
        </w:tc>
        <w:tc>
          <w:tcPr>
            <w:tcW w:w="680" w:type="dxa"/>
            <w:vAlign w:val="center"/>
          </w:tcPr>
          <w:p w14:paraId="00706F53">
            <w:pPr>
              <w:widowControl w:val="0"/>
              <w:jc w:val="right"/>
              <w:rPr>
                <w:rFonts w:asciiTheme="minorEastAsia" w:hAnsiTheme="minorEastAsia" w:eastAsiaTheme="minorEastAsia"/>
              </w:rPr>
            </w:pPr>
          </w:p>
        </w:tc>
      </w:tr>
    </w:tbl>
    <w:p w14:paraId="2BFFDBDA"/>
    <w:p w14:paraId="580F5D91">
      <w:pPr>
        <w:pStyle w:val="30"/>
        <w:numPr>
          <w:ilvl w:val="0"/>
          <w:numId w:val="119"/>
        </w:numPr>
        <w:ind w:firstLineChars="0"/>
        <w:rPr>
          <w:b/>
          <w:bCs/>
        </w:rPr>
      </w:pPr>
      <w:r>
        <w:rPr>
          <w:rFonts w:hint="eastAsia"/>
          <w:b/>
          <w:bCs/>
        </w:rPr>
        <w:t>期末发行在外的股票期权或其他权益工具</w:t>
      </w:r>
    </w:p>
    <w:sdt>
      <w:sdtPr>
        <w:rPr>
          <w:color w:val="000000" w:themeColor="text1"/>
          <w14:textFill>
            <w14:solidFill>
              <w14:schemeClr w14:val="tx1"/>
            </w14:solidFill>
          </w14:textFill>
        </w:rPr>
        <w:alias w:val="是否适用：期末发行在外的股票期权或其他权益工具[双击切换]"/>
        <w:tag w:val="_GBC_8f850d6c945b493292d68c3127f1182d"/>
        <w:id w:val="1668517032"/>
        <w:lock w:val="contentLocked"/>
        <w:placeholder>
          <w:docPart w:val="GBC22222222222222222222222222222"/>
        </w:placeholder>
      </w:sdtPr>
      <w:sdtEndPr>
        <w:rPr>
          <w:color w:val="000000" w:themeColor="text1"/>
          <w14:textFill>
            <w14:solidFill>
              <w14:schemeClr w14:val="tx1"/>
            </w14:solidFill>
          </w14:textFill>
        </w:rPr>
      </w:sdtEndPr>
      <w:sdtContent>
        <w:p w14:paraId="023492C1">
          <w:pPr>
            <w:rPr>
              <w:color w:val="000000" w:themeColor="text1"/>
              <w14:textFill>
                <w14:solidFill>
                  <w14:schemeClr w14:val="tx1"/>
                </w14:solidFill>
              </w14:textFill>
            </w:rPr>
          </w:pPr>
          <w:bookmarkStart w:id="378" w:name="_Hlk168493896"/>
          <w:bookmarkStart w:id="379" w:name="_Hlk168493917"/>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77"/>
    <w:bookmarkEnd w:id="378"/>
    <w:bookmarkEnd w:id="379"/>
    <w:p w14:paraId="3BC5A965">
      <w:pPr>
        <w:rPr>
          <w:color w:val="000000" w:themeColor="text1"/>
          <w14:textFill>
            <w14:solidFill>
              <w14:schemeClr w14:val="tx1"/>
            </w14:solidFill>
          </w14:textFill>
        </w:rPr>
      </w:pPr>
    </w:p>
    <w:tbl>
      <w:tblPr>
        <w:tblStyle w:val="20"/>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810"/>
        <w:gridCol w:w="1810"/>
        <w:gridCol w:w="1810"/>
        <w:gridCol w:w="1810"/>
      </w:tblGrid>
      <w:tr w14:paraId="7BFB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8fd5b6831ea472e98926c6d39e972c6"/>
            <w:id w:val="-1631778809"/>
          </w:sdtPr>
          <w:sdtContent>
            <w:tc>
              <w:tcPr>
                <w:tcW w:w="1809" w:type="dxa"/>
                <w:vMerge w:val="restart"/>
                <w:vAlign w:val="center"/>
              </w:tcPr>
              <w:p w14:paraId="16CD1E44">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授予对象类别</w:t>
                </w:r>
              </w:p>
            </w:tc>
          </w:sdtContent>
        </w:sdt>
        <w:sdt>
          <w:sdtPr>
            <w:tag w:val="_PLD_fcede67ffdbd4d3e923cb7d61f2372d1"/>
            <w:id w:val="1032762762"/>
          </w:sdtPr>
          <w:sdtContent>
            <w:tc>
              <w:tcPr>
                <w:tcW w:w="3620" w:type="dxa"/>
                <w:gridSpan w:val="2"/>
                <w:vAlign w:val="center"/>
              </w:tcPr>
              <w:p w14:paraId="4A1B6251">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期末发行在外的股票期权</w:t>
                </w:r>
              </w:p>
            </w:tc>
          </w:sdtContent>
        </w:sdt>
        <w:sdt>
          <w:sdtPr>
            <w:tag w:val="_PLD_25f7320c473949bf961ec285778af328"/>
            <w:id w:val="-870145111"/>
          </w:sdtPr>
          <w:sdtContent>
            <w:tc>
              <w:tcPr>
                <w:tcW w:w="3620" w:type="dxa"/>
                <w:gridSpan w:val="2"/>
                <w:vAlign w:val="center"/>
              </w:tcPr>
              <w:p w14:paraId="153EA643">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期末发行在外的其他权益工具</w:t>
                </w:r>
              </w:p>
            </w:tc>
          </w:sdtContent>
        </w:sdt>
      </w:tr>
      <w:tr w14:paraId="6A49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14:paraId="4B103EDC">
            <w:pPr>
              <w:widowControl w:val="0"/>
              <w:jc w:val="both"/>
              <w:rPr>
                <w:color w:val="000000" w:themeColor="text1"/>
                <w14:textFill>
                  <w14:solidFill>
                    <w14:schemeClr w14:val="tx1"/>
                  </w14:solidFill>
                </w14:textFill>
              </w:rPr>
            </w:pPr>
          </w:p>
        </w:tc>
        <w:sdt>
          <w:sdtPr>
            <w:tag w:val="_PLD_35b8232087b648c09fe34ed612d59d3d"/>
            <w:id w:val="-621067778"/>
          </w:sdtPr>
          <w:sdtContent>
            <w:tc>
              <w:tcPr>
                <w:tcW w:w="1810" w:type="dxa"/>
                <w:vAlign w:val="center"/>
              </w:tcPr>
              <w:p w14:paraId="7B71F26E">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行权价格的范围</w:t>
                </w:r>
              </w:p>
            </w:tc>
          </w:sdtContent>
        </w:sdt>
        <w:sdt>
          <w:sdtPr>
            <w:tag w:val="_PLD_e10581b09aa64ab3b8d7c66a46ac090e"/>
            <w:id w:val="321778619"/>
          </w:sdtPr>
          <w:sdtContent>
            <w:tc>
              <w:tcPr>
                <w:tcW w:w="1810" w:type="dxa"/>
                <w:vAlign w:val="center"/>
              </w:tcPr>
              <w:p w14:paraId="2021C365">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合同剩余期限</w:t>
                </w:r>
              </w:p>
            </w:tc>
          </w:sdtContent>
        </w:sdt>
        <w:sdt>
          <w:sdtPr>
            <w:tag w:val="_PLD_0c953f9d4c3c45a28239172e7650bf83"/>
            <w:id w:val="-1370228562"/>
          </w:sdtPr>
          <w:sdtContent>
            <w:tc>
              <w:tcPr>
                <w:tcW w:w="1810" w:type="dxa"/>
                <w:vAlign w:val="center"/>
              </w:tcPr>
              <w:p w14:paraId="0BCA8A58">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行权价格的范围</w:t>
                </w:r>
              </w:p>
            </w:tc>
          </w:sdtContent>
        </w:sdt>
        <w:sdt>
          <w:sdtPr>
            <w:tag w:val="_PLD_61cb35eeba6b461b8df415a2e671593a"/>
            <w:id w:val="-1396348900"/>
          </w:sdtPr>
          <w:sdtContent>
            <w:tc>
              <w:tcPr>
                <w:tcW w:w="1810" w:type="dxa"/>
                <w:vAlign w:val="center"/>
              </w:tcPr>
              <w:p w14:paraId="15EBAFBF">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合同剩余期限</w:t>
                </w:r>
              </w:p>
            </w:tc>
          </w:sdtContent>
        </w:sdt>
      </w:tr>
      <w:tr w14:paraId="0FCA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0A480941">
            <w:pPr>
              <w:pStyle w:val="48"/>
            </w:pPr>
            <w:r>
              <w:t>员工持股计划（董监高及核心技术人员）</w:t>
            </w:r>
          </w:p>
        </w:tc>
        <w:tc>
          <w:tcPr>
            <w:tcW w:w="1810" w:type="dxa"/>
            <w:vAlign w:val="center"/>
          </w:tcPr>
          <w:p w14:paraId="4800BA27">
            <w:pPr>
              <w:pStyle w:val="48"/>
            </w:pPr>
          </w:p>
        </w:tc>
        <w:tc>
          <w:tcPr>
            <w:tcW w:w="1810" w:type="dxa"/>
            <w:vAlign w:val="center"/>
          </w:tcPr>
          <w:p w14:paraId="0AC12184">
            <w:pPr>
              <w:pStyle w:val="48"/>
            </w:pPr>
          </w:p>
        </w:tc>
        <w:tc>
          <w:tcPr>
            <w:tcW w:w="1810" w:type="dxa"/>
            <w:vAlign w:val="center"/>
          </w:tcPr>
          <w:p w14:paraId="6F4AD273">
            <w:pPr>
              <w:pStyle w:val="48"/>
              <w:jc w:val="right"/>
            </w:pPr>
            <w:r>
              <w:t>4.29元/股</w:t>
            </w:r>
          </w:p>
        </w:tc>
        <w:tc>
          <w:tcPr>
            <w:tcW w:w="1810" w:type="dxa"/>
            <w:vAlign w:val="center"/>
          </w:tcPr>
          <w:p w14:paraId="2AB77AE3">
            <w:pPr>
              <w:pStyle w:val="48"/>
              <w:jc w:val="right"/>
            </w:pPr>
            <w:r>
              <w:t>46个月</w:t>
            </w:r>
          </w:p>
        </w:tc>
      </w:tr>
      <w:tr w14:paraId="5F7B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00801A86">
            <w:pPr>
              <w:pStyle w:val="48"/>
            </w:pPr>
            <w:r>
              <w:t>员工持股计划（研发生产系统核心骨干）</w:t>
            </w:r>
          </w:p>
        </w:tc>
        <w:tc>
          <w:tcPr>
            <w:tcW w:w="1810" w:type="dxa"/>
            <w:vAlign w:val="center"/>
          </w:tcPr>
          <w:p w14:paraId="36CDE4BC">
            <w:pPr>
              <w:pStyle w:val="48"/>
            </w:pPr>
          </w:p>
        </w:tc>
        <w:tc>
          <w:tcPr>
            <w:tcW w:w="1810" w:type="dxa"/>
            <w:vAlign w:val="center"/>
          </w:tcPr>
          <w:p w14:paraId="79D9945B">
            <w:pPr>
              <w:pStyle w:val="48"/>
            </w:pPr>
          </w:p>
        </w:tc>
        <w:tc>
          <w:tcPr>
            <w:tcW w:w="1810" w:type="dxa"/>
            <w:vAlign w:val="center"/>
          </w:tcPr>
          <w:p w14:paraId="1ABF182C">
            <w:pPr>
              <w:pStyle w:val="48"/>
              <w:jc w:val="right"/>
            </w:pPr>
            <w:r>
              <w:t>4.39元/股</w:t>
            </w:r>
          </w:p>
        </w:tc>
        <w:tc>
          <w:tcPr>
            <w:tcW w:w="1810" w:type="dxa"/>
            <w:vAlign w:val="center"/>
          </w:tcPr>
          <w:p w14:paraId="6A90108D">
            <w:pPr>
              <w:pStyle w:val="48"/>
              <w:jc w:val="right"/>
            </w:pPr>
            <w:r>
              <w:t>60个月</w:t>
            </w:r>
          </w:p>
        </w:tc>
      </w:tr>
    </w:tbl>
    <w:p w14:paraId="641B68D3"/>
    <w:p w14:paraId="084E38C0">
      <w:pPr>
        <w:pStyle w:val="48"/>
      </w:pPr>
    </w:p>
    <w:bookmarkEnd w:id="373"/>
    <w:bookmarkEnd w:id="374"/>
    <w:p w14:paraId="240B50AB">
      <w:pPr>
        <w:pStyle w:val="4"/>
        <w:numPr>
          <w:ilvl w:val="0"/>
          <w:numId w:val="118"/>
        </w:numPr>
        <w:ind w:left="450" w:hanging="450"/>
        <w:rPr>
          <w:color w:val="000000" w:themeColor="text1"/>
          <w14:textFill>
            <w14:solidFill>
              <w14:schemeClr w14:val="tx1"/>
            </w14:solidFill>
          </w14:textFill>
        </w:rPr>
      </w:pPr>
      <w:bookmarkStart w:id="380" w:name="_Hlk40787299"/>
      <w:r>
        <w:rPr>
          <w:rFonts w:hint="eastAsia"/>
          <w:color w:val="000000" w:themeColor="text1"/>
          <w14:textFill>
            <w14:solidFill>
              <w14:schemeClr w14:val="tx1"/>
            </w14:solidFill>
          </w14:textFill>
        </w:rPr>
        <w:t>以权益结算的股份支付情况</w:t>
      </w:r>
    </w:p>
    <w:sdt>
      <w:sdtPr>
        <w:alias w:val="是否适用：以权益结算的股份支付情况[双击切换]"/>
        <w:tag w:val="_GBC_8723814961d6478ca2db4f04f2667fcd"/>
        <w:id w:val="450359027"/>
        <w:placeholder>
          <w:docPart w:val="GBC22222222222222222222222222222"/>
        </w:placeholder>
      </w:sdtPr>
      <w:sdtContent>
        <w:p w14:paraId="5823E1E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2168966">
      <w:pPr>
        <w:wordWrap w:val="0"/>
        <w:jc w:val="right"/>
      </w:pPr>
      <w:r>
        <w:rPr>
          <w:rFonts w:hint="eastAsia"/>
        </w:rPr>
        <w:t>单位：</w:t>
      </w:r>
      <w:sdt>
        <w:sdtPr>
          <w:rPr>
            <w:rFonts w:hint="eastAsia"/>
          </w:rPr>
          <w:alias w:val="单位：以权益结算的股份支付情况"/>
          <w:tag w:val="_GBC_5aea0fdc69f14c4bbde218236ae1cc97"/>
          <w:id w:val="14627583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以权益结算的股份支付情况"/>
          <w:tag w:val="_GBC_28dd71343c064b1198c5e79c02ae3633"/>
          <w:id w:val="5825003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424"/>
      </w:tblGrid>
      <w:tr w14:paraId="106B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Borders>
              <w:top w:val="single" w:color="auto" w:sz="4" w:space="0"/>
              <w:left w:val="single" w:color="auto" w:sz="4" w:space="0"/>
              <w:bottom w:val="single" w:color="auto" w:sz="4" w:space="0"/>
              <w:right w:val="single" w:color="auto" w:sz="4" w:space="0"/>
            </w:tcBorders>
            <w:vAlign w:val="center"/>
          </w:tcPr>
          <w:sdt>
            <w:sdtPr>
              <w:rPr>
                <w:rFonts w:hint="eastAsia" w:ascii="Calibri" w:hAnsi="Calibri"/>
                <w:sz w:val="20"/>
                <w:szCs w:val="20"/>
              </w:rPr>
              <w:tag w:val="_PLD_6666ccd1e9ce4e0c95efc74e515ddc98"/>
              <w:id w:val="1877429239"/>
            </w:sdtPr>
            <w:sdtEndPr>
              <w:rPr>
                <w:rFonts w:hint="eastAsia" w:ascii="Calibri" w:hAnsi="Calibri"/>
                <w:sz w:val="20"/>
                <w:szCs w:val="20"/>
              </w:rPr>
            </w:sdtEndPr>
            <w:sdtContent>
              <w:p w14:paraId="25630C81">
                <w:pPr>
                  <w:pStyle w:val="48"/>
                  <w:rPr>
                    <w:sz w:val="20"/>
                    <w:szCs w:val="20"/>
                  </w:rPr>
                </w:pPr>
                <w:r>
                  <w:rPr>
                    <w:sz w:val="20"/>
                    <w:szCs w:val="20"/>
                  </w:rPr>
                  <w:t>以权益结算的股份支付对象</w:t>
                </w:r>
              </w:p>
            </w:sdtContent>
          </w:sdt>
        </w:tc>
        <w:sdt>
          <w:sdtPr>
            <w:alias w:val="以权益结算的股份支付对象"/>
            <w:tag w:val="_GBC_11e962ff39ec4b1383ece06b99360366"/>
            <w:id w:val="-1738165994"/>
          </w:sdtPr>
          <w:sdtContent>
            <w:tc>
              <w:tcPr>
                <w:tcW w:w="4424" w:type="dxa"/>
                <w:tcBorders>
                  <w:top w:val="single" w:color="auto" w:sz="4" w:space="0"/>
                  <w:left w:val="single" w:color="auto" w:sz="4" w:space="0"/>
                  <w:bottom w:val="single" w:color="auto" w:sz="4" w:space="0"/>
                  <w:right w:val="single" w:color="auto" w:sz="4" w:space="0"/>
                </w:tcBorders>
                <w:vAlign w:val="center"/>
              </w:tcPr>
              <w:p w14:paraId="2DA6466B">
                <w:pPr>
                  <w:pStyle w:val="48"/>
                  <w:jc w:val="right"/>
                  <w:rPr>
                    <w:sz w:val="20"/>
                    <w:szCs w:val="20"/>
                  </w:rPr>
                </w:pPr>
                <w:r>
                  <w:rPr>
                    <w:rFonts w:hint="eastAsia"/>
                    <w:sz w:val="20"/>
                    <w:szCs w:val="20"/>
                  </w:rPr>
                  <w:t>董监高及核心技术人员、研发生产系统核心骨干</w:t>
                </w:r>
              </w:p>
            </w:tc>
          </w:sdtContent>
        </w:sdt>
      </w:tr>
      <w:tr w14:paraId="4AA0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Borders>
              <w:top w:val="single" w:color="auto" w:sz="4" w:space="0"/>
              <w:left w:val="single" w:color="auto" w:sz="4" w:space="0"/>
              <w:bottom w:val="single" w:color="auto" w:sz="4" w:space="0"/>
              <w:right w:val="single" w:color="auto" w:sz="4" w:space="0"/>
            </w:tcBorders>
            <w:vAlign w:val="center"/>
          </w:tcPr>
          <w:p w14:paraId="31EE14E6">
            <w:pPr>
              <w:pStyle w:val="48"/>
              <w:rPr>
                <w:sz w:val="20"/>
                <w:szCs w:val="20"/>
              </w:rPr>
            </w:pPr>
            <w:r>
              <w:rPr>
                <w:rFonts w:hint="eastAsia"/>
                <w:sz w:val="20"/>
                <w:szCs w:val="20"/>
              </w:rPr>
              <w:t>授予日权益工具公允价值的确定方法</w:t>
            </w:r>
          </w:p>
        </w:tc>
        <w:tc>
          <w:tcPr>
            <w:tcW w:w="4424" w:type="dxa"/>
            <w:tcBorders>
              <w:top w:val="single" w:color="auto" w:sz="4" w:space="0"/>
              <w:left w:val="single" w:color="auto" w:sz="4" w:space="0"/>
              <w:bottom w:val="single" w:color="auto" w:sz="4" w:space="0"/>
              <w:right w:val="single" w:color="auto" w:sz="4" w:space="0"/>
            </w:tcBorders>
            <w:vAlign w:val="center"/>
          </w:tcPr>
          <w:p w14:paraId="5F8B74FE">
            <w:pPr>
              <w:pStyle w:val="48"/>
              <w:jc w:val="right"/>
              <w:rPr>
                <w:sz w:val="20"/>
                <w:szCs w:val="20"/>
              </w:rPr>
            </w:pPr>
            <w:r>
              <w:rPr>
                <w:sz w:val="20"/>
                <w:szCs w:val="20"/>
              </w:rPr>
              <w:t>以授予日收盘价为基础确认</w:t>
            </w:r>
          </w:p>
        </w:tc>
      </w:tr>
      <w:tr w14:paraId="5E30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Borders>
              <w:top w:val="single" w:color="auto" w:sz="4" w:space="0"/>
              <w:left w:val="single" w:color="auto" w:sz="4" w:space="0"/>
              <w:bottom w:val="single" w:color="auto" w:sz="4" w:space="0"/>
              <w:right w:val="single" w:color="auto" w:sz="4" w:space="0"/>
            </w:tcBorders>
            <w:vAlign w:val="center"/>
          </w:tcPr>
          <w:p w14:paraId="3D716A55">
            <w:pPr>
              <w:pStyle w:val="48"/>
              <w:rPr>
                <w:sz w:val="20"/>
                <w:szCs w:val="20"/>
              </w:rPr>
            </w:pPr>
            <w:r>
              <w:rPr>
                <w:rFonts w:hint="eastAsia"/>
                <w:sz w:val="20"/>
                <w:szCs w:val="20"/>
              </w:rPr>
              <w:t>授予日权益工具公允价值的重要参数</w:t>
            </w:r>
          </w:p>
        </w:tc>
        <w:tc>
          <w:tcPr>
            <w:tcW w:w="4424" w:type="dxa"/>
            <w:tcBorders>
              <w:top w:val="single" w:color="auto" w:sz="4" w:space="0"/>
              <w:left w:val="single" w:color="auto" w:sz="4" w:space="0"/>
              <w:bottom w:val="single" w:color="auto" w:sz="4" w:space="0"/>
              <w:right w:val="single" w:color="auto" w:sz="4" w:space="0"/>
            </w:tcBorders>
            <w:vAlign w:val="center"/>
          </w:tcPr>
          <w:p w14:paraId="4E0662FA">
            <w:pPr>
              <w:pStyle w:val="48"/>
              <w:jc w:val="right"/>
              <w:rPr>
                <w:sz w:val="20"/>
                <w:szCs w:val="20"/>
              </w:rPr>
            </w:pPr>
            <w:r>
              <w:rPr>
                <w:sz w:val="20"/>
                <w:szCs w:val="20"/>
              </w:rPr>
              <w:t>股票授予日收盘价、行权价格等</w:t>
            </w:r>
          </w:p>
        </w:tc>
      </w:tr>
      <w:tr w14:paraId="309E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Borders>
              <w:top w:val="single" w:color="auto" w:sz="4" w:space="0"/>
              <w:left w:val="single" w:color="auto" w:sz="4" w:space="0"/>
              <w:bottom w:val="single" w:color="auto" w:sz="4" w:space="0"/>
              <w:right w:val="single" w:color="auto" w:sz="4" w:space="0"/>
            </w:tcBorders>
            <w:vAlign w:val="center"/>
          </w:tcPr>
          <w:p w14:paraId="4A921D4D">
            <w:pPr>
              <w:pStyle w:val="48"/>
              <w:rPr>
                <w:sz w:val="20"/>
                <w:szCs w:val="20"/>
              </w:rPr>
            </w:pPr>
            <w:r>
              <w:rPr>
                <w:rFonts w:hint="eastAsia"/>
                <w:sz w:val="20"/>
                <w:szCs w:val="20"/>
              </w:rPr>
              <w:t>可行权权益工具数量的确定依据</w:t>
            </w:r>
          </w:p>
        </w:tc>
        <w:tc>
          <w:tcPr>
            <w:tcW w:w="4424" w:type="dxa"/>
            <w:tcBorders>
              <w:top w:val="single" w:color="auto" w:sz="4" w:space="0"/>
              <w:left w:val="single" w:color="auto" w:sz="4" w:space="0"/>
              <w:bottom w:val="single" w:color="auto" w:sz="4" w:space="0"/>
              <w:right w:val="single" w:color="auto" w:sz="4" w:space="0"/>
            </w:tcBorders>
            <w:vAlign w:val="center"/>
          </w:tcPr>
          <w:p w14:paraId="19047DD2">
            <w:pPr>
              <w:pStyle w:val="48"/>
              <w:jc w:val="right"/>
              <w:rPr>
                <w:sz w:val="20"/>
                <w:szCs w:val="20"/>
              </w:rPr>
            </w:pPr>
            <w:r>
              <w:rPr>
                <w:sz w:val="20"/>
                <w:szCs w:val="20"/>
              </w:rPr>
              <w:t>考虑离职率及业绩达标情况的最佳估计数</w:t>
            </w:r>
          </w:p>
        </w:tc>
      </w:tr>
      <w:tr w14:paraId="60D6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Borders>
              <w:top w:val="single" w:color="auto" w:sz="4" w:space="0"/>
              <w:left w:val="single" w:color="auto" w:sz="4" w:space="0"/>
              <w:bottom w:val="single" w:color="auto" w:sz="4" w:space="0"/>
              <w:right w:val="single" w:color="auto" w:sz="4" w:space="0"/>
            </w:tcBorders>
            <w:vAlign w:val="center"/>
          </w:tcPr>
          <w:p w14:paraId="22AF08A4">
            <w:pPr>
              <w:pStyle w:val="48"/>
              <w:rPr>
                <w:sz w:val="20"/>
                <w:szCs w:val="20"/>
              </w:rPr>
            </w:pPr>
            <w:r>
              <w:rPr>
                <w:rFonts w:hint="eastAsia"/>
                <w:sz w:val="20"/>
                <w:szCs w:val="20"/>
              </w:rPr>
              <w:t>本期估计与上期估计有重大差异的原因</w:t>
            </w:r>
          </w:p>
        </w:tc>
        <w:tc>
          <w:tcPr>
            <w:tcW w:w="4424" w:type="dxa"/>
            <w:tcBorders>
              <w:top w:val="single" w:color="auto" w:sz="4" w:space="0"/>
              <w:left w:val="single" w:color="auto" w:sz="4" w:space="0"/>
              <w:bottom w:val="single" w:color="auto" w:sz="4" w:space="0"/>
              <w:right w:val="single" w:color="auto" w:sz="4" w:space="0"/>
            </w:tcBorders>
            <w:vAlign w:val="center"/>
          </w:tcPr>
          <w:p w14:paraId="2C33BEBA">
            <w:pPr>
              <w:pStyle w:val="48"/>
              <w:jc w:val="right"/>
              <w:rPr>
                <w:sz w:val="20"/>
                <w:szCs w:val="20"/>
              </w:rPr>
            </w:pPr>
            <w:r>
              <w:rPr>
                <w:sz w:val="20"/>
                <w:szCs w:val="20"/>
              </w:rPr>
              <w:t>无</w:t>
            </w:r>
          </w:p>
        </w:tc>
      </w:tr>
      <w:tr w14:paraId="3232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Borders>
              <w:top w:val="single" w:color="auto" w:sz="4" w:space="0"/>
              <w:left w:val="single" w:color="auto" w:sz="4" w:space="0"/>
              <w:bottom w:val="single" w:color="auto" w:sz="4" w:space="0"/>
              <w:right w:val="single" w:color="auto" w:sz="4" w:space="0"/>
            </w:tcBorders>
            <w:vAlign w:val="center"/>
          </w:tcPr>
          <w:p w14:paraId="78555D9F">
            <w:pPr>
              <w:pStyle w:val="48"/>
              <w:rPr>
                <w:sz w:val="20"/>
                <w:szCs w:val="20"/>
              </w:rPr>
            </w:pPr>
            <w:r>
              <w:rPr>
                <w:rFonts w:hint="eastAsia"/>
                <w:sz w:val="20"/>
                <w:szCs w:val="20"/>
              </w:rPr>
              <w:t>以权益结算的股份支付计入资本公积的累计金额</w:t>
            </w:r>
          </w:p>
        </w:tc>
        <w:tc>
          <w:tcPr>
            <w:tcW w:w="4424" w:type="dxa"/>
            <w:tcBorders>
              <w:top w:val="single" w:color="auto" w:sz="4" w:space="0"/>
              <w:left w:val="single" w:color="auto" w:sz="4" w:space="0"/>
              <w:bottom w:val="single" w:color="auto" w:sz="4" w:space="0"/>
              <w:right w:val="single" w:color="auto" w:sz="4" w:space="0"/>
            </w:tcBorders>
            <w:vAlign w:val="center"/>
          </w:tcPr>
          <w:p w14:paraId="7868463A">
            <w:pPr>
              <w:jc w:val="right"/>
              <w:rPr>
                <w:rFonts w:ascii="Calibri" w:hAnsi="Calibri"/>
                <w:sz w:val="20"/>
                <w:szCs w:val="20"/>
              </w:rPr>
            </w:pPr>
            <w:r>
              <w:rPr>
                <w:rFonts w:ascii="Calibri" w:hAnsi="Calibri"/>
                <w:sz w:val="20"/>
                <w:szCs w:val="20"/>
              </w:rPr>
              <w:t>5,574,000.00</w:t>
            </w:r>
          </w:p>
        </w:tc>
      </w:tr>
    </w:tbl>
    <w:p w14:paraId="2D5283B2">
      <w:pPr>
        <w:rPr>
          <w:rFonts w:cstheme="minorBidi"/>
        </w:rPr>
      </w:pPr>
    </w:p>
    <w:bookmarkEnd w:id="375"/>
    <w:bookmarkEnd w:id="380"/>
    <w:p w14:paraId="5E7529F2">
      <w:pPr>
        <w:pStyle w:val="48"/>
      </w:pPr>
    </w:p>
    <w:p w14:paraId="4EE31735">
      <w:pPr>
        <w:pStyle w:val="4"/>
        <w:numPr>
          <w:ilvl w:val="0"/>
          <w:numId w:val="118"/>
        </w:numPr>
        <w:ind w:left="450" w:hanging="450"/>
        <w:rPr>
          <w:color w:val="000000" w:themeColor="text1"/>
          <w14:textFill>
            <w14:solidFill>
              <w14:schemeClr w14:val="tx1"/>
            </w14:solidFill>
          </w14:textFill>
        </w:rPr>
      </w:pPr>
      <w:r>
        <w:rPr>
          <w:rFonts w:hint="eastAsia"/>
          <w:color w:val="000000" w:themeColor="text1"/>
          <w14:textFill>
            <w14:solidFill>
              <w14:schemeClr w14:val="tx1"/>
            </w14:solidFill>
          </w14:textFill>
        </w:rPr>
        <w:t>以现金结算的股份支付情况</w:t>
      </w:r>
    </w:p>
    <w:sdt>
      <w:sdtPr>
        <w:alias w:val="是否适用：以现金结算的股份支付情况[双击切换]"/>
        <w:tag w:val="_GBC_aa134f611909486bb3a2d6258058f88d"/>
        <w:id w:val="-879088904"/>
        <w:placeholder>
          <w:docPart w:val="GBC22222222222222222222222222222"/>
        </w:placeholder>
      </w:sdtPr>
      <w:sdtContent>
        <w:p w14:paraId="4FC94CE3">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9703DEE">
      <w:pPr>
        <w:pStyle w:val="48"/>
      </w:pPr>
    </w:p>
    <w:p w14:paraId="22DB7DD5">
      <w:pPr>
        <w:pStyle w:val="4"/>
        <w:numPr>
          <w:ilvl w:val="0"/>
          <w:numId w:val="118"/>
        </w:numPr>
        <w:ind w:left="450" w:hanging="450"/>
        <w:rPr>
          <w:color w:val="000000" w:themeColor="text1"/>
          <w14:textFill>
            <w14:solidFill>
              <w14:schemeClr w14:val="tx1"/>
            </w14:solidFill>
          </w14:textFill>
        </w:rPr>
      </w:pPr>
      <w:bookmarkStart w:id="381" w:name="_Hlk182486377"/>
      <w:r>
        <w:rPr>
          <w:rFonts w:hint="eastAsia"/>
          <w:color w:val="000000" w:themeColor="text1"/>
          <w14:textFill>
            <w14:solidFill>
              <w14:schemeClr w14:val="tx1"/>
            </w14:solidFill>
          </w14:textFill>
        </w:rPr>
        <w:t>本期股份支付费用</w:t>
      </w:r>
    </w:p>
    <w:sdt>
      <w:sdtPr>
        <w:rPr>
          <w:color w:val="000000" w:themeColor="text1"/>
          <w14:textFill>
            <w14:solidFill>
              <w14:schemeClr w14:val="tx1"/>
            </w14:solidFill>
          </w14:textFill>
        </w:rPr>
        <w:alias w:val="是否适用：股份支付费用[双击切换]"/>
        <w:tag w:val="_GBC_1ce28477cfda4be8ba3dd9f6b49b5010"/>
        <w:id w:val="115803926"/>
        <w:lock w:val="contentLocked"/>
        <w:placeholder>
          <w:docPart w:val="GBC22222222222222222222222222222"/>
        </w:placeholder>
      </w:sdtPr>
      <w:sdtEndPr>
        <w:rPr>
          <w:color w:val="000000" w:themeColor="text1"/>
          <w14:textFill>
            <w14:solidFill>
              <w14:schemeClr w14:val="tx1"/>
            </w14:solidFill>
          </w14:textFill>
        </w:rPr>
      </w:sdtEndPr>
      <w:sdtContent>
        <w:p w14:paraId="3990CDA5">
          <w:pPr>
            <w:rPr>
              <w:color w:val="000000" w:themeColor="text1"/>
              <w14:textFill>
                <w14:solidFill>
                  <w14:schemeClr w14:val="tx1"/>
                </w14:solidFill>
              </w14:textFill>
            </w:rPr>
          </w:pPr>
          <w:bookmarkStart w:id="382" w:name="_Hlk168494235"/>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82"/>
    <w:p w14:paraId="62D9ACB8">
      <w:pPr>
        <w:jc w:val="right"/>
        <w:rPr>
          <w:color w:val="000000" w:themeColor="text1"/>
          <w14:textFill>
            <w14:solidFill>
              <w14:schemeClr w14:val="tx1"/>
            </w14:solidFill>
          </w14:textFill>
        </w:rPr>
      </w:pPr>
      <w:bookmarkStart w:id="383" w:name="_Hlk168494618"/>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股份支付费用"/>
          <w:tag w:val="_GBC_fa8b4c68205a49bca9ddabb13842faf1"/>
          <w:id w:val="73111287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股份支付费用"/>
          <w:tag w:val="_GBC_6e8897592033420a8edb8433bc9271f5"/>
          <w:id w:val="19205942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20"/>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3016"/>
        <w:gridCol w:w="3017"/>
      </w:tblGrid>
      <w:tr w14:paraId="5C01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cbd34a362f4beeb751f57c604d7d40"/>
            <w:id w:val="-2098705748"/>
          </w:sdtPr>
          <w:sdtContent>
            <w:tc>
              <w:tcPr>
                <w:tcW w:w="3016" w:type="dxa"/>
                <w:vAlign w:val="center"/>
              </w:tcPr>
              <w:p w14:paraId="53BE825E">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授予对象类别</w:t>
                </w:r>
              </w:p>
            </w:tc>
          </w:sdtContent>
        </w:sdt>
        <w:sdt>
          <w:sdtPr>
            <w:tag w:val="_PLD_f92a7621244d46c8a1e16f0f41ea1378"/>
            <w:id w:val="2250145"/>
          </w:sdtPr>
          <w:sdtContent>
            <w:tc>
              <w:tcPr>
                <w:tcW w:w="3016" w:type="dxa"/>
                <w:vAlign w:val="center"/>
              </w:tcPr>
              <w:p w14:paraId="15CD2F5F">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以权益结算的股份支付费用</w:t>
                </w:r>
              </w:p>
            </w:tc>
          </w:sdtContent>
        </w:sdt>
        <w:sdt>
          <w:sdtPr>
            <w:tag w:val="_PLD_ff1e5fc970694cab997211d684671242"/>
            <w:id w:val="1772509917"/>
          </w:sdtPr>
          <w:sdtContent>
            <w:tc>
              <w:tcPr>
                <w:tcW w:w="3017" w:type="dxa"/>
                <w:vAlign w:val="center"/>
              </w:tcPr>
              <w:p w14:paraId="5FDAE3CC">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以现金结算的股份支付费用</w:t>
                </w:r>
              </w:p>
            </w:tc>
          </w:sdtContent>
        </w:sdt>
      </w:tr>
      <w:tr w14:paraId="58A5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78EADC55">
            <w:pPr>
              <w:widowControl w:val="0"/>
              <w:jc w:val="both"/>
              <w:rPr>
                <w:rFonts w:asciiTheme="minorEastAsia" w:hAnsiTheme="minorEastAsia" w:eastAsiaTheme="minorEastAsia"/>
              </w:rPr>
            </w:pPr>
            <w:r>
              <w:rPr>
                <w:rFonts w:hint="eastAsia" w:asciiTheme="minorEastAsia" w:hAnsiTheme="minorEastAsia" w:eastAsiaTheme="minorEastAsia"/>
              </w:rPr>
              <w:t>员工持股计划</w:t>
            </w:r>
          </w:p>
        </w:tc>
        <w:tc>
          <w:tcPr>
            <w:tcW w:w="3016" w:type="dxa"/>
            <w:vAlign w:val="center"/>
          </w:tcPr>
          <w:p w14:paraId="54E29CB2">
            <w:pPr>
              <w:widowControl w:val="0"/>
              <w:jc w:val="right"/>
              <w:rPr>
                <w:rFonts w:asciiTheme="minorEastAsia" w:hAnsiTheme="minorEastAsia" w:eastAsiaTheme="minorEastAsia"/>
              </w:rPr>
            </w:pPr>
            <w:r>
              <w:t>5,574,000.00</w:t>
            </w:r>
          </w:p>
        </w:tc>
        <w:tc>
          <w:tcPr>
            <w:tcW w:w="3017" w:type="dxa"/>
            <w:vAlign w:val="center"/>
          </w:tcPr>
          <w:p w14:paraId="77E16B16">
            <w:pPr>
              <w:widowControl w:val="0"/>
              <w:jc w:val="right"/>
              <w:rPr>
                <w:rFonts w:asciiTheme="minorEastAsia" w:hAnsiTheme="minorEastAsia" w:eastAsiaTheme="minorEastAsia"/>
              </w:rPr>
            </w:pPr>
          </w:p>
        </w:tc>
      </w:tr>
      <w:tr w14:paraId="520A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vAlign w:val="center"/>
          </w:tcPr>
          <w:p w14:paraId="497A262C">
            <w:pPr>
              <w:widowControl w:val="0"/>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合计</w:t>
            </w:r>
          </w:p>
        </w:tc>
        <w:tc>
          <w:tcPr>
            <w:tcW w:w="3016" w:type="dxa"/>
            <w:vAlign w:val="center"/>
          </w:tcPr>
          <w:p w14:paraId="1290BA17">
            <w:pPr>
              <w:widowControl w:val="0"/>
              <w:jc w:val="right"/>
              <w:rPr>
                <w:rFonts w:asciiTheme="minorEastAsia" w:hAnsiTheme="minorEastAsia" w:eastAsiaTheme="minorEastAsia"/>
              </w:rPr>
            </w:pPr>
            <w:r>
              <w:t>5,574,000.00</w:t>
            </w:r>
          </w:p>
        </w:tc>
        <w:tc>
          <w:tcPr>
            <w:tcW w:w="3017" w:type="dxa"/>
            <w:vAlign w:val="center"/>
          </w:tcPr>
          <w:p w14:paraId="7EAA6710">
            <w:pPr>
              <w:widowControl w:val="0"/>
              <w:jc w:val="right"/>
              <w:rPr>
                <w:rFonts w:asciiTheme="minorEastAsia" w:hAnsiTheme="minorEastAsia" w:eastAsiaTheme="minorEastAsia"/>
              </w:rPr>
            </w:pPr>
          </w:p>
        </w:tc>
      </w:tr>
    </w:tbl>
    <w:p w14:paraId="15A14277">
      <w:pPr>
        <w:rPr>
          <w:color w:val="000000" w:themeColor="text1"/>
          <w14:textFill>
            <w14:solidFill>
              <w14:schemeClr w14:val="tx1"/>
            </w14:solidFill>
          </w14:textFill>
        </w:rPr>
      </w:pPr>
    </w:p>
    <w:bookmarkEnd w:id="383"/>
    <w:p w14:paraId="43CDDEE5">
      <w:pPr>
        <w:rPr>
          <w:color w:val="000000" w:themeColor="text1"/>
          <w14:textFill>
            <w14:solidFill>
              <w14:schemeClr w14:val="tx1"/>
            </w14:solidFill>
          </w14:textFill>
        </w:rPr>
      </w:pPr>
      <w:bookmarkStart w:id="384" w:name="_Hlk168494436"/>
    </w:p>
    <w:bookmarkEnd w:id="381"/>
    <w:bookmarkEnd w:id="384"/>
    <w:p w14:paraId="464E59CE">
      <w:pPr>
        <w:pStyle w:val="4"/>
        <w:numPr>
          <w:ilvl w:val="0"/>
          <w:numId w:val="118"/>
        </w:numPr>
        <w:ind w:left="450" w:hanging="450"/>
        <w:rPr>
          <w:color w:val="000000" w:themeColor="text1"/>
          <w14:textFill>
            <w14:solidFill>
              <w14:schemeClr w14:val="tx1"/>
            </w14:solidFill>
          </w14:textFill>
        </w:rPr>
      </w:pPr>
      <w:r>
        <w:rPr>
          <w:rFonts w:hint="eastAsia"/>
          <w:color w:val="000000" w:themeColor="text1"/>
          <w14:textFill>
            <w14:solidFill>
              <w14:schemeClr w14:val="tx1"/>
            </w14:solidFill>
          </w14:textFill>
        </w:rPr>
        <w:t>股份支付的修改、终止情况</w:t>
      </w:r>
    </w:p>
    <w:sdt>
      <w:sdtPr>
        <w:rPr>
          <w:rFonts w:hint="eastAsia"/>
        </w:rPr>
        <w:alias w:val="是否适用：股份支付的修改、终止情况[双击切换]"/>
        <w:tag w:val="_GBC_6da986e9834d42b9bb7548673f325962"/>
        <w:id w:val="-1388801306"/>
        <w:placeholder>
          <w:docPart w:val="GBC22222222222222222222222222222"/>
        </w:placeholder>
      </w:sdtPr>
      <w:sdtEndPr>
        <w:rPr>
          <w:rFonts w:hint="eastAsia"/>
        </w:rPr>
      </w:sdtEndPr>
      <w:sdtContent>
        <w:p w14:paraId="2C22B9AB">
          <w:pPr>
            <w:pStyle w:val="48"/>
            <w:rPr>
              <w:rFonts w:asciiTheme="minorHAnsi" w:hAnsiTheme="minorHAnsi" w:eastAsiaTheme="minorEastAsia" w:cstheme="minorBidi"/>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D3DCCE9">
      <w:pPr>
        <w:ind w:firstLine="210" w:firstLineChars="100"/>
      </w:pPr>
    </w:p>
    <w:p w14:paraId="0C475814">
      <w:pPr>
        <w:pStyle w:val="4"/>
        <w:numPr>
          <w:ilvl w:val="0"/>
          <w:numId w:val="118"/>
        </w:numPr>
        <w:ind w:left="450" w:hanging="450"/>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sdt>
      <w:sdtPr>
        <w:rPr>
          <w:rFonts w:hint="eastAsia"/>
        </w:rPr>
        <w:alias w:val="是否适用：股份支付的其他情况说明[双击切换]"/>
        <w:tag w:val="_GBC_d03d26e0d4844b798c3d4b87d2578ece"/>
        <w:id w:val="-2017530391"/>
        <w:placeholder>
          <w:docPart w:val="GBC22222222222222222222222222222"/>
        </w:placeholder>
      </w:sdtPr>
      <w:sdtEndPr>
        <w:rPr>
          <w:rFonts w:hint="eastAsia"/>
        </w:rPr>
      </w:sdtEndPr>
      <w:sdtContent>
        <w:p w14:paraId="6EC0A03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E1A3C56">
      <w:pPr>
        <w:pStyle w:val="48"/>
      </w:pPr>
    </w:p>
    <w:p w14:paraId="4399E8E7">
      <w:pPr>
        <w:pStyle w:val="3"/>
        <w:numPr>
          <w:ilvl w:val="0"/>
          <w:numId w:val="51"/>
        </w:numPr>
        <w:rPr>
          <w:rFonts w:ascii="宋体" w:hAnsi="宋体"/>
        </w:rPr>
      </w:pPr>
      <w:r>
        <w:rPr>
          <w:rFonts w:hint="eastAsia"/>
        </w:rPr>
        <w:t>承诺及或有事项</w:t>
      </w:r>
    </w:p>
    <w:p w14:paraId="02EB49F9">
      <w:pPr>
        <w:pStyle w:val="4"/>
        <w:numPr>
          <w:ilvl w:val="0"/>
          <w:numId w:val="120"/>
        </w:numPr>
        <w:rPr>
          <w:rFonts w:ascii="宋体" w:hAnsi="宋体"/>
        </w:rPr>
      </w:pPr>
      <w:r>
        <w:rPr>
          <w:rFonts w:hint="eastAsia" w:ascii="宋体" w:hAnsi="宋体"/>
        </w:rPr>
        <w:t>重要承诺事项</w:t>
      </w:r>
    </w:p>
    <w:sdt>
      <w:sdtPr>
        <w:alias w:val="是否适用：重要承诺事项[双击切换]"/>
        <w:tag w:val="_GBC_568be9a6805040a8b9fbd5c5d07b45dd"/>
        <w:id w:val="-904057732"/>
        <w:lock w:val="contentLocked"/>
        <w:placeholder>
          <w:docPart w:val="GBC22222222222222222222222222222"/>
        </w:placeholder>
      </w:sdtPr>
      <w:sdtContent>
        <w:p w14:paraId="4D44D5B2">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339E393">
      <w:pPr>
        <w:pStyle w:val="48"/>
      </w:pPr>
      <w:r>
        <w:rPr>
          <w:rFonts w:hint="eastAsia"/>
        </w:rPr>
        <w:t>资产负债表日存在的对外重要承诺、性质、金额</w:t>
      </w:r>
    </w:p>
    <w:p w14:paraId="5A3F58C1">
      <w:pPr>
        <w:spacing w:line="360" w:lineRule="auto"/>
        <w:ind w:firstLine="420" w:firstLineChars="200"/>
        <w:jc w:val="both"/>
        <w:rPr>
          <w:rFonts w:cs="Cambria"/>
          <w:bCs/>
        </w:rPr>
      </w:pPr>
      <w:sdt>
        <w:sdtPr>
          <w:rPr>
            <w:rFonts w:cs="Cambria"/>
            <w:bCs/>
          </w:rPr>
          <w:alias w:val="资产负债表日存在的重要承诺"/>
          <w:tag w:val="_GBC_d8961aa2bd524a56bb4914de9e5d2dc3"/>
          <w:id w:val="-501121775"/>
          <w:placeholder>
            <w:docPart w:val="GBC22222222222222222222222222222"/>
          </w:placeholder>
        </w:sdtPr>
        <w:sdtEndPr>
          <w:rPr>
            <w:rFonts w:cs="Cambria"/>
            <w:bCs/>
          </w:rPr>
        </w:sdtEndPr>
        <w:sdtContent>
          <w:r>
            <w:rPr>
              <w:rFonts w:hint="eastAsia" w:cs="Cambria"/>
              <w:bCs/>
            </w:rPr>
            <w:t>截至资产负债表日，本公司无影响对本财务报表阅读和理解的重大承诺事项。</w:t>
          </w:r>
        </w:sdtContent>
      </w:sdt>
    </w:p>
    <w:p w14:paraId="13143AC5">
      <w:pPr>
        <w:pStyle w:val="48"/>
      </w:pPr>
    </w:p>
    <w:p w14:paraId="5C1F7FEC">
      <w:pPr>
        <w:pStyle w:val="4"/>
        <w:numPr>
          <w:ilvl w:val="0"/>
          <w:numId w:val="120"/>
        </w:numPr>
        <w:rPr>
          <w:rFonts w:ascii="宋体" w:hAnsi="宋体"/>
        </w:rPr>
      </w:pPr>
      <w:r>
        <w:rPr>
          <w:rFonts w:hint="eastAsia" w:ascii="宋体" w:hAnsi="宋体"/>
        </w:rPr>
        <w:t>或有事项</w:t>
      </w:r>
    </w:p>
    <w:p w14:paraId="711C8328">
      <w:pPr>
        <w:pStyle w:val="5"/>
        <w:numPr>
          <w:ilvl w:val="3"/>
          <w:numId w:val="121"/>
        </w:numPr>
        <w:ind w:left="426" w:hanging="426" w:hangingChars="202"/>
      </w:pPr>
      <w:r>
        <w:rPr>
          <w:rFonts w:hint="eastAsia"/>
        </w:rPr>
        <w:t>资产负债表日存在的重要或有事项</w:t>
      </w:r>
    </w:p>
    <w:sdt>
      <w:sdtPr>
        <w:rPr>
          <w:rFonts w:hint="eastAsia"/>
        </w:rPr>
        <w:alias w:val="是否适用：资产负债表日存在的重要或有事项[双击切换]"/>
        <w:tag w:val="_GBC_d987504ad98e408986b4fc6f62089ffe"/>
        <w:id w:val="1287696516"/>
        <w:placeholder>
          <w:docPart w:val="GBC22222222222222222222222222222"/>
        </w:placeholder>
      </w:sdtPr>
      <w:sdtEndPr>
        <w:rPr>
          <w:rFonts w:hint="eastAsia"/>
        </w:rPr>
      </w:sdtEndPr>
      <w:sdtContent>
        <w:p w14:paraId="18A13217">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资产负债表日存在的重要或有事项"/>
        <w:tag w:val="_GBC_44fe1af4de6e4875a4861efb466efdca"/>
        <w:id w:val="382525792"/>
        <w:placeholder>
          <w:docPart w:val="GBC22222222222222222222222222222"/>
        </w:placeholder>
      </w:sdtPr>
      <w:sdtContent>
        <w:p w14:paraId="561A9540">
          <w:pPr>
            <w:pStyle w:val="48"/>
            <w:spacing w:line="360" w:lineRule="auto"/>
            <w:ind w:firstLine="420" w:firstLineChars="200"/>
          </w:pPr>
          <w:r>
            <w:rPr>
              <w:rFonts w:hint="eastAsia"/>
            </w:rPr>
            <w:t>截至资产负债表日，本公司无影响对本财务报表阅读和理解的重大或有事项。</w:t>
          </w:r>
        </w:p>
      </w:sdtContent>
    </w:sdt>
    <w:p w14:paraId="10177A10">
      <w:pPr>
        <w:pStyle w:val="48"/>
      </w:pPr>
    </w:p>
    <w:p w14:paraId="0F1BF312">
      <w:pPr>
        <w:pStyle w:val="5"/>
        <w:numPr>
          <w:ilvl w:val="3"/>
          <w:numId w:val="121"/>
        </w:numPr>
        <w:ind w:left="426" w:hanging="426" w:hangingChars="202"/>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969345220"/>
        <w:placeholder>
          <w:docPart w:val="GBC22222222222222222222222222222"/>
        </w:placeholder>
      </w:sdtPr>
      <w:sdtEndPr>
        <w:rPr>
          <w:rFonts w:hint="eastAsia"/>
        </w:rPr>
      </w:sdtEndPr>
      <w:sdtContent>
        <w:p w14:paraId="5EC4E84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2AF7875">
      <w:pPr>
        <w:rPr>
          <w:rFonts w:asciiTheme="minorHAnsi" w:hAnsiTheme="minorHAnsi" w:cstheme="minorBidi"/>
        </w:rPr>
      </w:pPr>
    </w:p>
    <w:p w14:paraId="3C57DF5C">
      <w:pPr>
        <w:pStyle w:val="4"/>
        <w:numPr>
          <w:ilvl w:val="0"/>
          <w:numId w:val="120"/>
        </w:numPr>
        <w:rPr>
          <w:rFonts w:ascii="宋体" w:hAnsi="宋体"/>
        </w:rPr>
      </w:pPr>
      <w:r>
        <w:rPr>
          <w:rFonts w:hint="eastAsia" w:ascii="宋体" w:hAnsi="宋体"/>
        </w:rPr>
        <w:t>其他</w:t>
      </w:r>
    </w:p>
    <w:sdt>
      <w:sdtPr>
        <w:rPr>
          <w:rFonts w:hint="eastAsia"/>
        </w:rPr>
        <w:alias w:val="是否适用：承诺及或有事项的其他情况说明[双击切换]"/>
        <w:tag w:val="_GBC_cf5b3c02da904b4ea27843983d9a6248"/>
        <w:id w:val="-219296358"/>
        <w:placeholder>
          <w:docPart w:val="GBC22222222222222222222222222222"/>
        </w:placeholder>
      </w:sdtPr>
      <w:sdtEndPr>
        <w:rPr>
          <w:rFonts w:hint="eastAsia"/>
        </w:rPr>
      </w:sdtEndPr>
      <w:sdtContent>
        <w:p w14:paraId="5541CC0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489CCDE">
      <w:pPr>
        <w:pStyle w:val="48"/>
      </w:pPr>
    </w:p>
    <w:p w14:paraId="24B8C20D">
      <w:pPr>
        <w:pStyle w:val="3"/>
        <w:numPr>
          <w:ilvl w:val="0"/>
          <w:numId w:val="51"/>
        </w:numPr>
        <w:rPr>
          <w:rFonts w:ascii="宋体" w:hAnsi="宋体"/>
        </w:rPr>
      </w:pPr>
      <w:r>
        <w:rPr>
          <w:rFonts w:hint="eastAsia"/>
        </w:rPr>
        <w:t>资产负债表日后事项</w:t>
      </w:r>
    </w:p>
    <w:p w14:paraId="4E104ACA">
      <w:pPr>
        <w:pStyle w:val="4"/>
        <w:numPr>
          <w:ilvl w:val="0"/>
          <w:numId w:val="122"/>
        </w:numPr>
      </w:pPr>
      <w:r>
        <w:rPr>
          <w:rFonts w:hint="eastAsia"/>
        </w:rPr>
        <w:t>重要的非调整事项</w:t>
      </w:r>
    </w:p>
    <w:sdt>
      <w:sdtPr>
        <w:alias w:val="是否适用：重要的非调整事项[双击切换]"/>
        <w:tag w:val="_GBC_5d94a9ce52454687be716014c1894fef"/>
        <w:id w:val="-1049063413"/>
        <w:placeholder>
          <w:docPart w:val="GBC22222222222222222222222222222"/>
        </w:placeholder>
      </w:sdtPr>
      <w:sdtContent>
        <w:p w14:paraId="46DE91DA">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EE0FFCB">
      <w:pPr>
        <w:pStyle w:val="48"/>
      </w:pPr>
    </w:p>
    <w:p w14:paraId="6C6C7F1B">
      <w:pPr>
        <w:pStyle w:val="4"/>
        <w:numPr>
          <w:ilvl w:val="0"/>
          <w:numId w:val="122"/>
        </w:numPr>
      </w:pPr>
      <w:r>
        <w:rPr>
          <w:rFonts w:hint="eastAsia"/>
        </w:rPr>
        <w:t>利润分配情况</w:t>
      </w:r>
    </w:p>
    <w:sdt>
      <w:sdtPr>
        <w:alias w:val="是否适用：利润分配情况[双击切换]"/>
        <w:tag w:val="_GBC_9a91fb54a6c146e5b9ee1ecff3141237"/>
        <w:id w:val="1140766938"/>
        <w:placeholder>
          <w:docPart w:val="GBC22222222222222222222222222222"/>
        </w:placeholder>
      </w:sdtPr>
      <w:sdtContent>
        <w:p w14:paraId="433C651A">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B14C15F">
      <w:pPr>
        <w:jc w:val="right"/>
      </w:pPr>
      <w:r>
        <w:rPr>
          <w:rFonts w:hint="eastAsia"/>
        </w:rPr>
        <w:t>单位：</w:t>
      </w:r>
      <w:sdt>
        <w:sdtPr>
          <w:rPr>
            <w:rFonts w:hint="eastAsia"/>
          </w:rPr>
          <w:alias w:val="单位：财务附注：资产负债表日后利润分配情况说明"/>
          <w:tag w:val="_GBC_6424df7632ca4cf5ab9e9760e3119d62"/>
          <w:id w:val="-2148915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资产负债表日后利润分配情况说明"/>
          <w:tag w:val="_GBC_e75fd1607c614d249844c767ceffa84e"/>
          <w:id w:val="3098285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2"/>
        <w:gridCol w:w="5326"/>
      </w:tblGrid>
      <w:tr w14:paraId="50D3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2" w:type="dxa"/>
            <w:tcBorders>
              <w:top w:val="single" w:color="auto" w:sz="4" w:space="0"/>
              <w:left w:val="single" w:color="auto" w:sz="4" w:space="0"/>
              <w:bottom w:val="single" w:color="auto" w:sz="4" w:space="0"/>
              <w:right w:val="single" w:color="auto" w:sz="4" w:space="0"/>
            </w:tcBorders>
            <w:vAlign w:val="center"/>
          </w:tcPr>
          <w:p w14:paraId="63D56E9E">
            <w:pPr>
              <w:pStyle w:val="48"/>
              <w:rPr>
                <w:sz w:val="20"/>
                <w:szCs w:val="20"/>
              </w:rPr>
            </w:pPr>
            <w:r>
              <w:rPr>
                <w:rFonts w:hint="eastAsia"/>
                <w:sz w:val="20"/>
                <w:szCs w:val="20"/>
              </w:rPr>
              <w:t>拟分配的利润或股利</w:t>
            </w:r>
          </w:p>
        </w:tc>
        <w:tc>
          <w:tcPr>
            <w:tcW w:w="5326" w:type="dxa"/>
            <w:tcBorders>
              <w:top w:val="single" w:color="auto" w:sz="4" w:space="0"/>
              <w:left w:val="single" w:color="auto" w:sz="4" w:space="0"/>
              <w:bottom w:val="single" w:color="auto" w:sz="4" w:space="0"/>
              <w:right w:val="single" w:color="auto" w:sz="4" w:space="0"/>
            </w:tcBorders>
            <w:vAlign w:val="center"/>
          </w:tcPr>
          <w:p w14:paraId="58B27180">
            <w:pPr>
              <w:jc w:val="right"/>
              <w:rPr>
                <w:rFonts w:ascii="Calibri" w:hAnsi="Calibri"/>
                <w:sz w:val="20"/>
                <w:szCs w:val="20"/>
              </w:rPr>
            </w:pPr>
            <w:r>
              <w:rPr>
                <w:rFonts w:ascii="Calibri" w:hAnsi="Calibri"/>
                <w:sz w:val="20"/>
                <w:szCs w:val="20"/>
              </w:rPr>
              <w:t>586,837,503.60</w:t>
            </w:r>
          </w:p>
        </w:tc>
      </w:tr>
      <w:tr w14:paraId="5AFB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2" w:type="dxa"/>
            <w:tcBorders>
              <w:top w:val="single" w:color="auto" w:sz="4" w:space="0"/>
              <w:left w:val="single" w:color="auto" w:sz="4" w:space="0"/>
              <w:bottom w:val="single" w:color="auto" w:sz="4" w:space="0"/>
              <w:right w:val="single" w:color="auto" w:sz="4" w:space="0"/>
            </w:tcBorders>
            <w:vAlign w:val="center"/>
          </w:tcPr>
          <w:p w14:paraId="162CCE8A">
            <w:pPr>
              <w:pStyle w:val="48"/>
              <w:rPr>
                <w:sz w:val="20"/>
                <w:szCs w:val="20"/>
              </w:rPr>
            </w:pPr>
            <w:r>
              <w:rPr>
                <w:rFonts w:hint="eastAsia"/>
                <w:sz w:val="20"/>
                <w:szCs w:val="20"/>
              </w:rPr>
              <w:t>经审议批准宣告发放的利润或股利</w:t>
            </w:r>
          </w:p>
        </w:tc>
        <w:tc>
          <w:tcPr>
            <w:tcW w:w="5326" w:type="dxa"/>
            <w:tcBorders>
              <w:top w:val="single" w:color="auto" w:sz="4" w:space="0"/>
              <w:left w:val="single" w:color="auto" w:sz="4" w:space="0"/>
              <w:bottom w:val="single" w:color="auto" w:sz="4" w:space="0"/>
              <w:right w:val="single" w:color="auto" w:sz="4" w:space="0"/>
            </w:tcBorders>
            <w:vAlign w:val="center"/>
          </w:tcPr>
          <w:p w14:paraId="263EF6C1">
            <w:pPr>
              <w:jc w:val="right"/>
              <w:rPr>
                <w:rFonts w:ascii="Calibri" w:hAnsi="Calibri"/>
                <w:sz w:val="20"/>
                <w:szCs w:val="20"/>
              </w:rPr>
            </w:pPr>
            <w:r>
              <w:rPr>
                <w:rFonts w:ascii="Calibri" w:hAnsi="Calibri"/>
                <w:sz w:val="20"/>
                <w:szCs w:val="20"/>
              </w:rPr>
              <w:t>586,837,503.60</w:t>
            </w:r>
          </w:p>
        </w:tc>
      </w:tr>
    </w:tbl>
    <w:p w14:paraId="10B9E9F0">
      <w:pPr>
        <w:pStyle w:val="48"/>
        <w:spacing w:line="360" w:lineRule="auto"/>
        <w:ind w:firstLine="420" w:firstLineChars="200"/>
      </w:pPr>
      <w:r>
        <w:rPr>
          <w:rFonts w:hint="eastAsia"/>
        </w:rPr>
        <w:t>截至本报告出具日，公司总股本1,958,542,829股，扣除回购专用证券账户股份</w:t>
      </w:r>
      <w:r>
        <w:t>2,417,817</w:t>
      </w:r>
      <w:r>
        <w:rPr>
          <w:rFonts w:hint="eastAsia"/>
        </w:rPr>
        <w:t>股后股本数为</w:t>
      </w:r>
      <w:r>
        <w:t>1,956,125,012</w:t>
      </w:r>
      <w:r>
        <w:rPr>
          <w:rFonts w:hint="eastAsia"/>
        </w:rPr>
        <w:t>股，以此为基数向全体股东每10股派发现金红利</w:t>
      </w:r>
      <w:r>
        <w:t>3.0</w:t>
      </w:r>
      <w:r>
        <w:rPr>
          <w:rFonts w:hint="eastAsia"/>
        </w:rPr>
        <w:t>0元（含税）。本年度不送股，也不进行资本公积金转增股本。此预案尚需提交2025年年度股东会审议。</w:t>
      </w:r>
    </w:p>
    <w:p w14:paraId="3F3D66E7">
      <w:pPr>
        <w:pStyle w:val="4"/>
        <w:numPr>
          <w:ilvl w:val="0"/>
          <w:numId w:val="122"/>
        </w:numPr>
      </w:pPr>
      <w:r>
        <w:rPr>
          <w:rFonts w:hint="eastAsia"/>
        </w:rPr>
        <w:t>销售退回</w:t>
      </w:r>
    </w:p>
    <w:sdt>
      <w:sdtPr>
        <w:alias w:val="是否适用：销售退回[双击切换]"/>
        <w:tag w:val="_GBC_7fb2ecaa1ffb494486f4a8b2e94240d2"/>
        <w:id w:val="-1781323642"/>
        <w:placeholder>
          <w:docPart w:val="GBC22222222222222222222222222222"/>
        </w:placeholder>
      </w:sdtPr>
      <w:sdtContent>
        <w:p w14:paraId="73FDD155">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441F17D">
      <w:pPr>
        <w:pStyle w:val="48"/>
      </w:pPr>
    </w:p>
    <w:p w14:paraId="5B72321B">
      <w:pPr>
        <w:pStyle w:val="4"/>
        <w:numPr>
          <w:ilvl w:val="0"/>
          <w:numId w:val="122"/>
        </w:numPr>
      </w:pPr>
      <w:r>
        <w:rPr>
          <w:rFonts w:hint="eastAsia"/>
        </w:rPr>
        <w:t>其他资产负债表日后事项说明</w:t>
      </w:r>
    </w:p>
    <w:sdt>
      <w:sdtPr>
        <w:rPr>
          <w:rFonts w:hint="eastAsia"/>
        </w:rPr>
        <w:alias w:val="是否适用：其他资产负债表日后事项说明[双击切换]"/>
        <w:tag w:val="_GBC_4fc0f824aaea4ed096cae3b9f97ff314"/>
        <w:id w:val="-1822031096"/>
        <w:placeholder>
          <w:docPart w:val="GBC22222222222222222222222222222"/>
        </w:placeholder>
      </w:sdtPr>
      <w:sdtEndPr>
        <w:rPr>
          <w:rFonts w:hint="eastAsia"/>
        </w:rPr>
      </w:sdtEndPr>
      <w:sdtContent>
        <w:p w14:paraId="0B603B7E">
          <w:pPr>
            <w:pStyle w:val="48"/>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资产负债表日后事项的说明"/>
        <w:tag w:val="_GBC_b4faff3f61de47eebe30bc0094d05a2f"/>
        <w:id w:val="-2113194545"/>
        <w:placeholder>
          <w:docPart w:val="GBC22222222222222222222222222222"/>
        </w:placeholder>
      </w:sdtPr>
      <w:sdtContent>
        <w:p w14:paraId="56B47ECF">
          <w:pPr>
            <w:pStyle w:val="48"/>
            <w:spacing w:line="360" w:lineRule="auto"/>
            <w:ind w:firstLine="420" w:firstLineChars="200"/>
          </w:pPr>
          <w:r>
            <w:t>1.</w:t>
          </w:r>
          <w:r>
            <w:rPr>
              <w:rFonts w:hint="eastAsia"/>
            </w:rPr>
            <w:t>截至本财务报表签发日，母公司-东宝实业集团股份有限公司共计质押股份586,439,472股，占其所持有本公司股份总额的94.66%，占本公司股份总额的29.94%。</w:t>
          </w:r>
        </w:p>
        <w:p w14:paraId="3F441846">
          <w:pPr>
            <w:pStyle w:val="48"/>
            <w:spacing w:line="360" w:lineRule="auto"/>
            <w:ind w:firstLine="420" w:firstLineChars="200"/>
          </w:pPr>
          <w:r>
            <w:rPr>
              <w:rFonts w:hint="eastAsia"/>
            </w:rPr>
            <w:t>2</w:t>
          </w:r>
          <w:r>
            <w:t>.</w:t>
          </w:r>
          <w:r>
            <w:rPr>
              <w:rFonts w:hint="eastAsia"/>
            </w:rPr>
            <w:t>截至本财务报表签发日，除上述事项外，本公司无其他影响对本财务报表阅读和理解的资产负债表日后非调整事项。</w:t>
          </w:r>
        </w:p>
      </w:sdtContent>
    </w:sdt>
    <w:p w14:paraId="54BF230E">
      <w:pPr>
        <w:pStyle w:val="48"/>
      </w:pPr>
    </w:p>
    <w:p w14:paraId="1FEEA065">
      <w:pPr>
        <w:pStyle w:val="3"/>
        <w:numPr>
          <w:ilvl w:val="0"/>
          <w:numId w:val="51"/>
        </w:numPr>
        <w:rPr>
          <w:rFonts w:ascii="宋体" w:hAnsi="宋体"/>
        </w:rPr>
      </w:pPr>
      <w:r>
        <w:rPr>
          <w:rFonts w:hint="eastAsia"/>
        </w:rPr>
        <w:t>其他重要事项</w:t>
      </w:r>
    </w:p>
    <w:p w14:paraId="015BF510">
      <w:pPr>
        <w:pStyle w:val="4"/>
        <w:numPr>
          <w:ilvl w:val="0"/>
          <w:numId w:val="123"/>
        </w:numPr>
      </w:pPr>
      <w:r>
        <w:rPr>
          <w:rFonts w:hint="eastAsia"/>
        </w:rPr>
        <w:t>前期会计差错更正</w:t>
      </w:r>
    </w:p>
    <w:p w14:paraId="33149F49">
      <w:pPr>
        <w:pStyle w:val="48"/>
        <w:spacing w:line="360" w:lineRule="auto"/>
        <w:ind w:firstLine="420" w:firstLineChars="200"/>
      </w:pPr>
      <w:r>
        <w:rPr>
          <w:rFonts w:hint="eastAsia"/>
        </w:rPr>
        <w:t>详见“重要事项”的“公司对会计政策、会计估计变更或重大会计差错更正原因和影响的分析说明”</w:t>
      </w:r>
    </w:p>
    <w:p w14:paraId="5023232F">
      <w:pPr>
        <w:pStyle w:val="48"/>
      </w:pPr>
    </w:p>
    <w:p w14:paraId="3086829E">
      <w:pPr>
        <w:pStyle w:val="4"/>
        <w:numPr>
          <w:ilvl w:val="0"/>
          <w:numId w:val="123"/>
        </w:numPr>
      </w:pPr>
      <w:r>
        <w:rPr>
          <w:rFonts w:hint="eastAsia"/>
        </w:rPr>
        <w:t>重要债务重组</w:t>
      </w:r>
    </w:p>
    <w:sdt>
      <w:sdtPr>
        <w:alias w:val="是否适用：重要债务重组[双击切换]"/>
        <w:tag w:val="_GBC_6b3631222f074ee0b23297cdcd94685f"/>
        <w:id w:val="-1530396501"/>
        <w:placeholder>
          <w:docPart w:val="GBC22222222222222222222222222222"/>
        </w:placeholder>
      </w:sdtPr>
      <w:sdtContent>
        <w:p w14:paraId="5DE365E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3415AB">
      <w:pPr>
        <w:spacing w:line="360" w:lineRule="exact"/>
        <w:ind w:right="5"/>
      </w:pPr>
    </w:p>
    <w:p w14:paraId="5A4192C9">
      <w:pPr>
        <w:pStyle w:val="48"/>
      </w:pPr>
    </w:p>
    <w:p w14:paraId="206C3409">
      <w:pPr>
        <w:pStyle w:val="4"/>
        <w:numPr>
          <w:ilvl w:val="0"/>
          <w:numId w:val="123"/>
        </w:numPr>
      </w:pPr>
      <w:r>
        <w:rPr>
          <w:rFonts w:hint="eastAsia"/>
        </w:rPr>
        <w:t>资产置换</w:t>
      </w:r>
    </w:p>
    <w:p w14:paraId="7F347DF0">
      <w:pPr>
        <w:pStyle w:val="5"/>
        <w:numPr>
          <w:ilvl w:val="3"/>
          <w:numId w:val="124"/>
        </w:numPr>
        <w:ind w:left="426" w:hanging="426" w:hangingChars="202"/>
      </w:pPr>
      <w:r>
        <w:rPr>
          <w:rFonts w:hint="eastAsia"/>
        </w:rPr>
        <w:t>非货币性资产交换</w:t>
      </w:r>
    </w:p>
    <w:sdt>
      <w:sdtPr>
        <w:rPr>
          <w:rFonts w:hint="eastAsia"/>
        </w:rPr>
        <w:alias w:val="是否适用：非货币性资产交换[双击切换]"/>
        <w:tag w:val="_GBC_480975ada702478dae8a1468d6e0c3cd"/>
        <w:id w:val="2015797476"/>
        <w:placeholder>
          <w:docPart w:val="GBC22222222222222222222222222222"/>
        </w:placeholder>
      </w:sdtPr>
      <w:sdtEndPr>
        <w:rPr>
          <w:rFonts w:hint="eastAsia"/>
        </w:rPr>
      </w:sdtEndPr>
      <w:sdtContent>
        <w:p w14:paraId="30AC6DEA">
          <w:pPr>
            <w:spacing w:line="360" w:lineRule="exact"/>
            <w:ind w:right="5"/>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D4CCF3">
      <w:pPr>
        <w:pStyle w:val="48"/>
      </w:pPr>
    </w:p>
    <w:p w14:paraId="386EBF9F">
      <w:pPr>
        <w:pStyle w:val="5"/>
        <w:numPr>
          <w:ilvl w:val="3"/>
          <w:numId w:val="124"/>
        </w:numPr>
        <w:ind w:left="426" w:hanging="426" w:hangingChars="202"/>
      </w:pPr>
      <w:r>
        <w:rPr>
          <w:rFonts w:hint="eastAsia"/>
        </w:rPr>
        <w:t>其他资产置换</w:t>
      </w:r>
    </w:p>
    <w:sdt>
      <w:sdtPr>
        <w:rPr>
          <w:rFonts w:hint="eastAsia"/>
        </w:rPr>
        <w:alias w:val="是否适用：其他资产置换[双击切换]"/>
        <w:tag w:val="_GBC_d4d75cf02549483681739e6eb10910ff"/>
        <w:id w:val="99308812"/>
        <w:placeholder>
          <w:docPart w:val="GBC22222222222222222222222222222"/>
        </w:placeholder>
      </w:sdtPr>
      <w:sdtEndPr>
        <w:rPr>
          <w:rFonts w:hint="eastAsia"/>
        </w:rPr>
      </w:sdtEndPr>
      <w:sdtContent>
        <w:p w14:paraId="074D490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3FC9093">
      <w:pPr>
        <w:pStyle w:val="48"/>
      </w:pPr>
    </w:p>
    <w:p w14:paraId="1FC5A80B">
      <w:pPr>
        <w:pStyle w:val="4"/>
        <w:numPr>
          <w:ilvl w:val="0"/>
          <w:numId w:val="123"/>
        </w:numPr>
      </w:pPr>
      <w:r>
        <w:rPr>
          <w:rFonts w:hint="eastAsia"/>
        </w:rPr>
        <w:t>年金计划</w:t>
      </w:r>
    </w:p>
    <w:sdt>
      <w:sdtPr>
        <w:alias w:val="是否适用：年金计划[双击切换]"/>
        <w:tag w:val="_GBC_7abcd6901bc848d8b58391e0ddd63034"/>
        <w:id w:val="1552344056"/>
        <w:placeholder>
          <w:docPart w:val="GBC22222222222222222222222222222"/>
        </w:placeholder>
      </w:sdtPr>
      <w:sdtContent>
        <w:p w14:paraId="0B500EED">
          <w:pPr>
            <w:pStyle w:val="48"/>
            <w:rPr>
              <w:rFonts w:asciiTheme="minorHAnsi" w:hAnsiTheme="minorHAnsi" w:eastAsiaTheme="minorEastAsia" w:cstheme="minorBidi"/>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6A25165">
      <w:pPr>
        <w:pStyle w:val="48"/>
      </w:pPr>
    </w:p>
    <w:p w14:paraId="7CCB12F1">
      <w:pPr>
        <w:pStyle w:val="4"/>
        <w:numPr>
          <w:ilvl w:val="0"/>
          <w:numId w:val="123"/>
        </w:numPr>
      </w:pPr>
      <w:r>
        <w:rPr>
          <w:rFonts w:hint="eastAsia"/>
        </w:rPr>
        <w:t>终止经营</w:t>
      </w:r>
    </w:p>
    <w:p w14:paraId="30A0DBFF">
      <w:pPr>
        <w:pStyle w:val="48"/>
      </w:pPr>
      <w:sdt>
        <w:sdtPr>
          <w:alias w:val="是否适用：终止经营[双击切换]"/>
          <w:tag w:val="_GBC_667e81a5639a48488e957a55e45c7763"/>
          <w:id w:val="-491713867"/>
          <w:placeholder>
            <w:docPart w:val="GBC22222222222222222222222222222"/>
          </w:placeholder>
        </w:sdtPr>
        <w:sdtContent>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55BDE447">
      <w:pPr>
        <w:jc w:val="right"/>
      </w:pPr>
      <w:r>
        <w:rPr>
          <w:rFonts w:hint="eastAsia"/>
        </w:rPr>
        <w:t>单位：</w:t>
      </w:r>
      <w:sdt>
        <w:sdtPr>
          <w:rPr>
            <w:rFonts w:hint="eastAsia"/>
          </w:rPr>
          <w:alias w:val="单位：财务附注：终止经营"/>
          <w:tag w:val="_GBC_75d2496607d04acfbaa95e7e08ea67e3"/>
          <w:id w:val="1539624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终止经营"/>
          <w:tag w:val="_GBC_1ce5f8f3071b4775bca35fc534d7ba0a"/>
          <w:id w:val="15446345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57"/>
        <w:gridCol w:w="1214"/>
        <w:gridCol w:w="1201"/>
        <w:gridCol w:w="1201"/>
        <w:gridCol w:w="1199"/>
        <w:gridCol w:w="1201"/>
        <w:gridCol w:w="1773"/>
      </w:tblGrid>
      <w:tr w14:paraId="628C78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 w:hRule="atLeast"/>
        </w:trPr>
        <w:sdt>
          <w:sdtPr>
            <w:tag w:val="_PLD_06e1eb30d6194a80af6d23211590ab99"/>
            <w:id w:val="-1524547654"/>
          </w:sdtPr>
          <w:sdtContent>
            <w:tc>
              <w:tcPr>
                <w:tcW w:w="1257" w:type="dxa"/>
                <w:tcBorders>
                  <w:top w:val="single" w:color="auto" w:sz="4" w:space="0"/>
                  <w:left w:val="single" w:color="auto" w:sz="4" w:space="0"/>
                  <w:bottom w:val="single" w:color="auto" w:sz="4" w:space="0"/>
                  <w:right w:val="single" w:color="auto" w:sz="4" w:space="0"/>
                </w:tcBorders>
                <w:vAlign w:val="center"/>
              </w:tcPr>
              <w:p w14:paraId="779F9FFA">
                <w:pPr>
                  <w:jc w:val="center"/>
                  <w:rPr>
                    <w:rFonts w:ascii="Calibri" w:hAnsi="Calibri"/>
                    <w:sz w:val="20"/>
                    <w:szCs w:val="20"/>
                  </w:rPr>
                </w:pPr>
                <w:r>
                  <w:rPr>
                    <w:rFonts w:hint="eastAsia" w:ascii="Calibri" w:hAnsi="Calibri"/>
                    <w:sz w:val="20"/>
                    <w:szCs w:val="20"/>
                  </w:rPr>
                  <w:t>项目</w:t>
                </w:r>
              </w:p>
            </w:tc>
          </w:sdtContent>
        </w:sdt>
        <w:sdt>
          <w:sdtPr>
            <w:tag w:val="_PLD_906f532611a246c189f8190b05a62491"/>
            <w:id w:val="641387631"/>
          </w:sdtPr>
          <w:sdtContent>
            <w:tc>
              <w:tcPr>
                <w:tcW w:w="1214" w:type="dxa"/>
                <w:tcBorders>
                  <w:top w:val="single" w:color="auto" w:sz="4" w:space="0"/>
                  <w:left w:val="single" w:color="auto" w:sz="4" w:space="0"/>
                  <w:bottom w:val="single" w:color="auto" w:sz="4" w:space="0"/>
                  <w:right w:val="single" w:color="auto" w:sz="4" w:space="0"/>
                </w:tcBorders>
                <w:vAlign w:val="center"/>
              </w:tcPr>
              <w:p w14:paraId="62FB97CD">
                <w:pPr>
                  <w:jc w:val="center"/>
                  <w:rPr>
                    <w:rFonts w:ascii="Calibri" w:hAnsi="Calibri"/>
                    <w:sz w:val="20"/>
                    <w:szCs w:val="20"/>
                  </w:rPr>
                </w:pPr>
                <w:r>
                  <w:rPr>
                    <w:rFonts w:hint="eastAsia" w:ascii="Calibri" w:hAnsi="Calibri"/>
                    <w:sz w:val="20"/>
                    <w:szCs w:val="20"/>
                  </w:rPr>
                  <w:t>收入</w:t>
                </w:r>
              </w:p>
            </w:tc>
          </w:sdtContent>
        </w:sdt>
        <w:sdt>
          <w:sdtPr>
            <w:tag w:val="_PLD_93252501db35443885d43248084956dc"/>
            <w:id w:val="527759242"/>
          </w:sdtPr>
          <w:sdtContent>
            <w:tc>
              <w:tcPr>
                <w:tcW w:w="1201" w:type="dxa"/>
                <w:tcBorders>
                  <w:top w:val="single" w:color="auto" w:sz="4" w:space="0"/>
                  <w:left w:val="single" w:color="auto" w:sz="4" w:space="0"/>
                  <w:bottom w:val="single" w:color="auto" w:sz="4" w:space="0"/>
                  <w:right w:val="single" w:color="auto" w:sz="4" w:space="0"/>
                </w:tcBorders>
                <w:vAlign w:val="center"/>
              </w:tcPr>
              <w:p w14:paraId="3E4BE3D1">
                <w:pPr>
                  <w:jc w:val="center"/>
                  <w:rPr>
                    <w:rFonts w:ascii="Calibri" w:hAnsi="Calibri"/>
                    <w:sz w:val="20"/>
                    <w:szCs w:val="20"/>
                  </w:rPr>
                </w:pPr>
                <w:r>
                  <w:rPr>
                    <w:rFonts w:hint="eastAsia" w:ascii="Calibri" w:hAnsi="Calibri"/>
                    <w:sz w:val="20"/>
                    <w:szCs w:val="20"/>
                  </w:rPr>
                  <w:t>费用</w:t>
                </w:r>
              </w:p>
            </w:tc>
          </w:sdtContent>
        </w:sdt>
        <w:sdt>
          <w:sdtPr>
            <w:tag w:val="_PLD_d335aca805404c199f7b4ffe2f7d2cfe"/>
            <w:id w:val="-906453877"/>
          </w:sdtPr>
          <w:sdtContent>
            <w:tc>
              <w:tcPr>
                <w:tcW w:w="1201" w:type="dxa"/>
                <w:tcBorders>
                  <w:top w:val="single" w:color="auto" w:sz="4" w:space="0"/>
                  <w:left w:val="single" w:color="auto" w:sz="4" w:space="0"/>
                  <w:bottom w:val="single" w:color="auto" w:sz="4" w:space="0"/>
                  <w:right w:val="single" w:color="auto" w:sz="4" w:space="0"/>
                </w:tcBorders>
                <w:vAlign w:val="center"/>
              </w:tcPr>
              <w:p w14:paraId="3FAE5E17">
                <w:pPr>
                  <w:jc w:val="center"/>
                  <w:rPr>
                    <w:rFonts w:ascii="Calibri" w:hAnsi="Calibri"/>
                    <w:sz w:val="20"/>
                    <w:szCs w:val="20"/>
                  </w:rPr>
                </w:pPr>
                <w:r>
                  <w:rPr>
                    <w:rFonts w:hint="eastAsia" w:ascii="Calibri" w:hAnsi="Calibri"/>
                    <w:sz w:val="20"/>
                    <w:szCs w:val="20"/>
                  </w:rPr>
                  <w:t>利润总额</w:t>
                </w:r>
              </w:p>
            </w:tc>
          </w:sdtContent>
        </w:sdt>
        <w:sdt>
          <w:sdtPr>
            <w:tag w:val="_PLD_a83f25bfbdd948daa8d2aa0e0f268572"/>
            <w:id w:val="-686207250"/>
          </w:sdtPr>
          <w:sdtContent>
            <w:tc>
              <w:tcPr>
                <w:tcW w:w="1199" w:type="dxa"/>
                <w:tcBorders>
                  <w:top w:val="single" w:color="auto" w:sz="4" w:space="0"/>
                  <w:left w:val="single" w:color="auto" w:sz="4" w:space="0"/>
                  <w:bottom w:val="single" w:color="auto" w:sz="4" w:space="0"/>
                  <w:right w:val="single" w:color="auto" w:sz="4" w:space="0"/>
                </w:tcBorders>
                <w:vAlign w:val="center"/>
              </w:tcPr>
              <w:p w14:paraId="48719F5A">
                <w:pPr>
                  <w:jc w:val="center"/>
                  <w:rPr>
                    <w:rFonts w:ascii="Calibri" w:hAnsi="Calibri"/>
                    <w:sz w:val="20"/>
                    <w:szCs w:val="20"/>
                  </w:rPr>
                </w:pPr>
                <w:r>
                  <w:rPr>
                    <w:rFonts w:hint="eastAsia" w:ascii="Calibri" w:hAnsi="Calibri"/>
                    <w:sz w:val="20"/>
                    <w:szCs w:val="20"/>
                  </w:rPr>
                  <w:t>所得税费用</w:t>
                </w:r>
              </w:p>
            </w:tc>
          </w:sdtContent>
        </w:sdt>
        <w:sdt>
          <w:sdtPr>
            <w:tag w:val="_PLD_ba1243a4df934798b5f8ec36f6db7f82"/>
            <w:id w:val="1476341855"/>
          </w:sdtPr>
          <w:sdtContent>
            <w:tc>
              <w:tcPr>
                <w:tcW w:w="1201" w:type="dxa"/>
                <w:tcBorders>
                  <w:top w:val="single" w:color="auto" w:sz="4" w:space="0"/>
                  <w:left w:val="single" w:color="auto" w:sz="4" w:space="0"/>
                  <w:bottom w:val="single" w:color="auto" w:sz="4" w:space="0"/>
                  <w:right w:val="single" w:color="auto" w:sz="4" w:space="0"/>
                </w:tcBorders>
                <w:vAlign w:val="center"/>
              </w:tcPr>
              <w:p w14:paraId="66B46CD5">
                <w:pPr>
                  <w:jc w:val="center"/>
                  <w:rPr>
                    <w:rFonts w:ascii="Calibri" w:hAnsi="Calibri"/>
                    <w:sz w:val="20"/>
                    <w:szCs w:val="20"/>
                  </w:rPr>
                </w:pPr>
                <w:r>
                  <w:rPr>
                    <w:rFonts w:hint="eastAsia" w:ascii="Calibri" w:hAnsi="Calibri"/>
                    <w:sz w:val="20"/>
                    <w:szCs w:val="20"/>
                  </w:rPr>
                  <w:t>净利润</w:t>
                </w:r>
              </w:p>
            </w:tc>
          </w:sdtContent>
        </w:sdt>
        <w:sdt>
          <w:sdtPr>
            <w:tag w:val="_PLD_85b795ac28c244e590b7c783afe5f810"/>
            <w:id w:val="-104576805"/>
          </w:sdtPr>
          <w:sdtContent>
            <w:tc>
              <w:tcPr>
                <w:tcW w:w="1773" w:type="dxa"/>
                <w:tcBorders>
                  <w:top w:val="single" w:color="auto" w:sz="4" w:space="0"/>
                  <w:left w:val="single" w:color="auto" w:sz="4" w:space="0"/>
                  <w:bottom w:val="single" w:color="auto" w:sz="4" w:space="0"/>
                  <w:right w:val="single" w:color="auto" w:sz="4" w:space="0"/>
                </w:tcBorders>
                <w:vAlign w:val="center"/>
              </w:tcPr>
              <w:p w14:paraId="5048B72B">
                <w:pPr>
                  <w:jc w:val="center"/>
                  <w:rPr>
                    <w:rFonts w:ascii="Calibri" w:hAnsi="Calibri"/>
                    <w:sz w:val="20"/>
                    <w:szCs w:val="20"/>
                  </w:rPr>
                </w:pPr>
                <w:r>
                  <w:rPr>
                    <w:rFonts w:hint="eastAsia" w:ascii="Calibri" w:hAnsi="Calibri"/>
                    <w:sz w:val="20"/>
                    <w:szCs w:val="20"/>
                  </w:rPr>
                  <w:t>归属于母公司所有者的终止经营利润</w:t>
                </w:r>
              </w:p>
            </w:tc>
          </w:sdtContent>
        </w:sdt>
      </w:tr>
      <w:tr w14:paraId="20CE3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1257" w:type="dxa"/>
            <w:tcBorders>
              <w:top w:val="single" w:color="auto" w:sz="4" w:space="0"/>
              <w:left w:val="single" w:color="auto" w:sz="4" w:space="0"/>
              <w:bottom w:val="single" w:color="auto" w:sz="4" w:space="0"/>
              <w:right w:val="single" w:color="auto" w:sz="4" w:space="0"/>
            </w:tcBorders>
            <w:vAlign w:val="center"/>
          </w:tcPr>
          <w:p w14:paraId="41C11BE2">
            <w:pPr>
              <w:jc w:val="both"/>
              <w:rPr>
                <w:rFonts w:ascii="宋体" w:hAnsi="宋体"/>
                <w:sz w:val="18"/>
                <w:szCs w:val="18"/>
              </w:rPr>
            </w:pPr>
            <w:r>
              <w:rPr>
                <w:rFonts w:hint="eastAsia" w:ascii="宋体" w:hAnsi="宋体"/>
                <w:sz w:val="18"/>
                <w:szCs w:val="18"/>
              </w:rPr>
              <w:t>子公司-通化东宝环保建材股份有限公司建材业务</w:t>
            </w:r>
          </w:p>
        </w:tc>
        <w:tc>
          <w:tcPr>
            <w:tcW w:w="1214" w:type="dxa"/>
            <w:tcBorders>
              <w:top w:val="single" w:color="auto" w:sz="4" w:space="0"/>
              <w:left w:val="single" w:color="auto" w:sz="4" w:space="0"/>
              <w:bottom w:val="single" w:color="auto" w:sz="4" w:space="0"/>
              <w:right w:val="single" w:color="auto" w:sz="4" w:space="0"/>
            </w:tcBorders>
            <w:vAlign w:val="center"/>
          </w:tcPr>
          <w:p w14:paraId="4370E9A6">
            <w:pPr>
              <w:jc w:val="right"/>
              <w:rPr>
                <w:rFonts w:ascii="Calibri" w:hAnsi="Calibri"/>
                <w:sz w:val="20"/>
                <w:szCs w:val="20"/>
              </w:rPr>
            </w:pPr>
          </w:p>
        </w:tc>
        <w:tc>
          <w:tcPr>
            <w:tcW w:w="1201" w:type="dxa"/>
            <w:tcBorders>
              <w:top w:val="single" w:color="auto" w:sz="4" w:space="0"/>
              <w:left w:val="single" w:color="auto" w:sz="4" w:space="0"/>
              <w:bottom w:val="single" w:color="auto" w:sz="4" w:space="0"/>
              <w:right w:val="single" w:color="auto" w:sz="4" w:space="0"/>
            </w:tcBorders>
            <w:vAlign w:val="center"/>
          </w:tcPr>
          <w:p w14:paraId="7CFF86B0">
            <w:pPr>
              <w:jc w:val="right"/>
              <w:rPr>
                <w:rFonts w:ascii="Calibri" w:hAnsi="Calibri"/>
                <w:sz w:val="20"/>
                <w:szCs w:val="20"/>
              </w:rPr>
            </w:pPr>
            <w:r>
              <w:rPr>
                <w:rFonts w:ascii="Calibri" w:hAnsi="Calibri"/>
                <w:sz w:val="20"/>
                <w:szCs w:val="20"/>
              </w:rPr>
              <w:t>159,415.39</w:t>
            </w:r>
          </w:p>
        </w:tc>
        <w:tc>
          <w:tcPr>
            <w:tcW w:w="1201" w:type="dxa"/>
            <w:tcBorders>
              <w:top w:val="single" w:color="auto" w:sz="4" w:space="0"/>
              <w:left w:val="single" w:color="auto" w:sz="4" w:space="0"/>
              <w:bottom w:val="single" w:color="auto" w:sz="4" w:space="0"/>
              <w:right w:val="single" w:color="auto" w:sz="4" w:space="0"/>
            </w:tcBorders>
            <w:vAlign w:val="center"/>
          </w:tcPr>
          <w:p w14:paraId="5F1461B0">
            <w:pPr>
              <w:jc w:val="right"/>
              <w:rPr>
                <w:rFonts w:ascii="Calibri" w:hAnsi="Calibri"/>
                <w:sz w:val="20"/>
                <w:szCs w:val="20"/>
              </w:rPr>
            </w:pPr>
            <w:r>
              <w:rPr>
                <w:rFonts w:ascii="Calibri" w:hAnsi="Calibri"/>
                <w:sz w:val="20"/>
                <w:szCs w:val="20"/>
              </w:rPr>
              <w:t>56,228.39</w:t>
            </w:r>
          </w:p>
        </w:tc>
        <w:tc>
          <w:tcPr>
            <w:tcW w:w="1199" w:type="dxa"/>
            <w:tcBorders>
              <w:top w:val="single" w:color="auto" w:sz="4" w:space="0"/>
              <w:left w:val="single" w:color="auto" w:sz="4" w:space="0"/>
              <w:bottom w:val="single" w:color="auto" w:sz="4" w:space="0"/>
              <w:right w:val="single" w:color="auto" w:sz="4" w:space="0"/>
            </w:tcBorders>
            <w:vAlign w:val="center"/>
          </w:tcPr>
          <w:p w14:paraId="3559B133">
            <w:pPr>
              <w:jc w:val="right"/>
              <w:rPr>
                <w:rFonts w:ascii="Calibri" w:hAnsi="Calibri"/>
                <w:sz w:val="20"/>
                <w:szCs w:val="20"/>
              </w:rPr>
            </w:pPr>
          </w:p>
        </w:tc>
        <w:tc>
          <w:tcPr>
            <w:tcW w:w="1201" w:type="dxa"/>
            <w:tcBorders>
              <w:top w:val="single" w:color="auto" w:sz="4" w:space="0"/>
              <w:left w:val="single" w:color="auto" w:sz="4" w:space="0"/>
              <w:bottom w:val="single" w:color="auto" w:sz="4" w:space="0"/>
              <w:right w:val="single" w:color="auto" w:sz="4" w:space="0"/>
            </w:tcBorders>
            <w:vAlign w:val="center"/>
          </w:tcPr>
          <w:p w14:paraId="5D6247E6">
            <w:pPr>
              <w:jc w:val="right"/>
              <w:rPr>
                <w:rFonts w:ascii="Calibri" w:hAnsi="Calibri"/>
                <w:sz w:val="20"/>
                <w:szCs w:val="20"/>
              </w:rPr>
            </w:pPr>
            <w:r>
              <w:rPr>
                <w:rFonts w:ascii="Calibri" w:hAnsi="Calibri"/>
                <w:sz w:val="20"/>
                <w:szCs w:val="20"/>
              </w:rPr>
              <w:t>56,228.39</w:t>
            </w:r>
          </w:p>
        </w:tc>
        <w:tc>
          <w:tcPr>
            <w:tcW w:w="1773" w:type="dxa"/>
            <w:tcBorders>
              <w:top w:val="single" w:color="auto" w:sz="4" w:space="0"/>
              <w:left w:val="single" w:color="auto" w:sz="4" w:space="0"/>
              <w:bottom w:val="single" w:color="auto" w:sz="4" w:space="0"/>
              <w:right w:val="single" w:color="auto" w:sz="4" w:space="0"/>
            </w:tcBorders>
            <w:vAlign w:val="center"/>
          </w:tcPr>
          <w:p w14:paraId="01CA8D45">
            <w:pPr>
              <w:jc w:val="right"/>
              <w:rPr>
                <w:rFonts w:ascii="Calibri" w:hAnsi="Calibri"/>
                <w:sz w:val="20"/>
                <w:szCs w:val="20"/>
              </w:rPr>
            </w:pPr>
            <w:r>
              <w:rPr>
                <w:rFonts w:ascii="Calibri" w:hAnsi="Calibri"/>
                <w:sz w:val="20"/>
                <w:szCs w:val="20"/>
              </w:rPr>
              <w:t>53,466.45</w:t>
            </w:r>
          </w:p>
        </w:tc>
      </w:tr>
    </w:tbl>
    <w:p w14:paraId="139157F1">
      <w:pPr>
        <w:spacing w:before="60" w:after="60"/>
      </w:pPr>
      <w:r>
        <w:rPr>
          <w:rFonts w:hint="eastAsia"/>
        </w:rPr>
        <w:t>其他说明：</w:t>
      </w:r>
    </w:p>
    <w:sdt>
      <w:sdtPr>
        <w:alias w:val="终止经营的其他说明"/>
        <w:tag w:val="_GBC_720d56d9cf4b407db9e6a38b3b1a3483"/>
        <w:id w:val="1402790899"/>
        <w:placeholder>
          <w:docPart w:val="GBC22222222222222222222222222222"/>
        </w:placeholder>
      </w:sdtPr>
      <w:sdtContent>
        <w:p w14:paraId="6654E3C8">
          <w:pPr>
            <w:spacing w:line="360" w:lineRule="auto"/>
            <w:ind w:firstLine="420" w:firstLineChars="200"/>
            <w:jc w:val="both"/>
            <w:rPr>
              <w:rFonts w:cstheme="minorBidi"/>
              <w:kern w:val="2"/>
            </w:rPr>
          </w:pPr>
          <w:r>
            <w:rPr>
              <w:rFonts w:hint="eastAsia"/>
            </w:rPr>
            <w:t>除子公司建材业务终止经营外，截至资产负债表日，本公司无其他影响对本财务报表阅读和理解的其他重要事项。</w:t>
          </w:r>
        </w:p>
      </w:sdtContent>
    </w:sdt>
    <w:p w14:paraId="66DA9FDD">
      <w:pPr>
        <w:pStyle w:val="48"/>
      </w:pPr>
    </w:p>
    <w:p w14:paraId="30649ADD">
      <w:pPr>
        <w:pStyle w:val="4"/>
        <w:numPr>
          <w:ilvl w:val="0"/>
          <w:numId w:val="123"/>
        </w:numPr>
      </w:pPr>
      <w:r>
        <w:rPr>
          <w:rFonts w:hint="eastAsia"/>
        </w:rPr>
        <w:t>分部信息</w:t>
      </w:r>
    </w:p>
    <w:p w14:paraId="2E7CF51E">
      <w:pPr>
        <w:pStyle w:val="5"/>
        <w:numPr>
          <w:ilvl w:val="3"/>
          <w:numId w:val="125"/>
        </w:numPr>
        <w:ind w:left="426" w:hanging="426" w:hangingChars="202"/>
      </w:pPr>
      <w:r>
        <w:rPr>
          <w:rFonts w:hint="eastAsia"/>
        </w:rPr>
        <w:t>报告分部的确定依据与会计政策</w:t>
      </w:r>
    </w:p>
    <w:sdt>
      <w:sdtPr>
        <w:rPr>
          <w:rFonts w:hint="eastAsia"/>
        </w:rPr>
        <w:alias w:val="是否适用：报告分部的确定依据与会计政策[双击切换]"/>
        <w:tag w:val="_GBC_b3cac5485321452cadb6e7ec2be5d907"/>
        <w:id w:val="1147315497"/>
        <w:placeholder>
          <w:docPart w:val="GBC22222222222222222222222222222"/>
        </w:placeholder>
      </w:sdtPr>
      <w:sdtEndPr>
        <w:rPr>
          <w:rFonts w:hint="eastAsia"/>
        </w:rPr>
      </w:sdtEndPr>
      <w:sdtContent>
        <w:p w14:paraId="02FEBBA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CCBD24C">
      <w:pPr>
        <w:pStyle w:val="48"/>
      </w:pPr>
    </w:p>
    <w:p w14:paraId="6E0726A6">
      <w:pPr>
        <w:pStyle w:val="5"/>
        <w:numPr>
          <w:ilvl w:val="3"/>
          <w:numId w:val="125"/>
        </w:numPr>
        <w:ind w:left="426" w:hanging="426" w:hangingChars="202"/>
      </w:pPr>
      <w:r>
        <w:rPr>
          <w:rFonts w:hint="eastAsia"/>
        </w:rPr>
        <w:t>报告分部的财务信息</w:t>
      </w:r>
    </w:p>
    <w:sdt>
      <w:sdtPr>
        <w:rPr>
          <w:rFonts w:hint="eastAsia" w:ascii="宋体" w:hAnsi="宋体"/>
          <w:szCs w:val="21"/>
        </w:rPr>
        <w:alias w:val="是否适用：报告分部的财务信息[双击切换]"/>
        <w:tag w:val="_GBC_560c7b592f324714b8c87339e43684af"/>
        <w:id w:val="1640000522"/>
        <w:placeholder>
          <w:docPart w:val="GBC22222222222222222222222222222"/>
        </w:placeholder>
      </w:sdtPr>
      <w:sdtEndPr>
        <w:rPr>
          <w:rFonts w:hint="eastAsia" w:ascii="宋体" w:hAnsi="宋体"/>
          <w:szCs w:val="21"/>
        </w:rPr>
      </w:sdtEndPr>
      <w:sdtContent>
        <w:p w14:paraId="0C36BD63">
          <w:pPr>
            <w:pStyle w:val="30"/>
            <w:ind w:firstLine="0" w:firstLineChars="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68C1E2B3">
      <w:pPr>
        <w:pStyle w:val="30"/>
        <w:ind w:firstLine="0" w:firstLineChars="0"/>
        <w:jc w:val="left"/>
      </w:pPr>
    </w:p>
    <w:p w14:paraId="03A9FB89">
      <w:pPr>
        <w:pStyle w:val="5"/>
        <w:numPr>
          <w:ilvl w:val="3"/>
          <w:numId w:val="125"/>
        </w:numPr>
        <w:ind w:left="426" w:hanging="426" w:hangingChars="202"/>
      </w:pPr>
      <w:r>
        <w:rPr>
          <w:rFonts w:hint="eastAsia"/>
        </w:rPr>
        <w:t>公司无报告分部的，或者不能披露各报告分部的资产总额和负债总额的，应说明原因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bcab2070d3744848a3b9d7010db71172"/>
        <w:id w:val="1363325479"/>
        <w:placeholder>
          <w:docPart w:val="GBC22222222222222222222222222222"/>
        </w:placeholder>
      </w:sdtPr>
      <w:sdtEndPr>
        <w:rPr>
          <w:rFonts w:hint="eastAsia"/>
        </w:rPr>
      </w:sdtEndPr>
      <w:sdtContent>
        <w:p w14:paraId="5DBC6FD8">
          <w:pPr>
            <w:jc w:val="both"/>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354262">
      <w:pPr>
        <w:pStyle w:val="48"/>
      </w:pPr>
    </w:p>
    <w:p w14:paraId="0D5F7894">
      <w:pPr>
        <w:pStyle w:val="5"/>
        <w:numPr>
          <w:ilvl w:val="3"/>
          <w:numId w:val="125"/>
        </w:numPr>
        <w:ind w:left="426" w:hanging="426" w:hangingChars="202"/>
      </w:pPr>
      <w:r>
        <w:rPr>
          <w:rFonts w:hint="eastAsia"/>
        </w:rPr>
        <w:t>其他说明</w:t>
      </w:r>
    </w:p>
    <w:sdt>
      <w:sdtPr>
        <w:rPr>
          <w:rFonts w:hint="eastAsia"/>
        </w:rPr>
        <w:alias w:val="是否适用：分部信息的其他说明[双击切换]"/>
        <w:tag w:val="_GBC_a7173613038248df8d31b8ffe91e1e27"/>
        <w:id w:val="-1076974743"/>
        <w:placeholder>
          <w:docPart w:val="GBC22222222222222222222222222222"/>
        </w:placeholder>
      </w:sdtPr>
      <w:sdtEndPr>
        <w:rPr>
          <w:rFonts w:hint="eastAsia"/>
        </w:rPr>
      </w:sdtEndPr>
      <w:sdtContent>
        <w:p w14:paraId="4942B4D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F06DB58">
      <w:pPr>
        <w:pStyle w:val="48"/>
      </w:pPr>
    </w:p>
    <w:p w14:paraId="67CA6BC4">
      <w:pPr>
        <w:pStyle w:val="4"/>
        <w:numPr>
          <w:ilvl w:val="0"/>
          <w:numId w:val="123"/>
        </w:numPr>
      </w:pPr>
      <w:r>
        <w:rPr>
          <w:rFonts w:hint="eastAsia"/>
        </w:rPr>
        <w:t>其他对投资者决策有影响的重要交易和事项</w:t>
      </w:r>
    </w:p>
    <w:sdt>
      <w:sdtPr>
        <w:rPr>
          <w:rFonts w:hint="eastAsia"/>
        </w:rPr>
        <w:alias w:val="是否适用：其他对投资者决策有影响的重要交易和事项[双击切换]"/>
        <w:tag w:val="_GBC_fb50fde0c1774b5b8ae2688488649ea7"/>
        <w:id w:val="-294604346"/>
        <w:placeholder>
          <w:docPart w:val="GBC22222222222222222222222222222"/>
        </w:placeholder>
      </w:sdtPr>
      <w:sdtEndPr>
        <w:rPr>
          <w:rFonts w:hint="eastAsia"/>
        </w:rPr>
      </w:sdtEndPr>
      <w:sdtContent>
        <w:p w14:paraId="32CF8EBA">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120F485">
      <w:pPr>
        <w:pStyle w:val="48"/>
      </w:pPr>
    </w:p>
    <w:p w14:paraId="6F05734D">
      <w:pPr>
        <w:pStyle w:val="4"/>
        <w:numPr>
          <w:ilvl w:val="0"/>
          <w:numId w:val="123"/>
        </w:numPr>
      </w:pPr>
      <w:r>
        <w:rPr>
          <w:rFonts w:hint="eastAsia"/>
        </w:rPr>
        <w:t>其他</w:t>
      </w:r>
    </w:p>
    <w:sdt>
      <w:sdtPr>
        <w:rPr>
          <w:rFonts w:hint="eastAsia"/>
        </w:rPr>
        <w:alias w:val="是否适用：其他重要事项的说明[双击切换]"/>
        <w:tag w:val="_GBC_fb43f52ac5bc49a4b33e34d6b1758f09"/>
        <w:id w:val="-1300303438"/>
        <w:placeholder>
          <w:docPart w:val="GBC22222222222222222222222222222"/>
        </w:placeholder>
      </w:sdtPr>
      <w:sdtEndPr>
        <w:rPr>
          <w:rFonts w:hint="eastAsia"/>
        </w:rPr>
      </w:sdtEndPr>
      <w:sdtContent>
        <w:p w14:paraId="1E2DB20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FFADF11">
      <w:pPr>
        <w:pStyle w:val="48"/>
      </w:pPr>
    </w:p>
    <w:p w14:paraId="70C21668">
      <w:pPr>
        <w:pStyle w:val="3"/>
        <w:numPr>
          <w:ilvl w:val="0"/>
          <w:numId w:val="51"/>
        </w:numPr>
        <w:rPr>
          <w:rFonts w:ascii="宋体" w:hAnsi="宋体"/>
        </w:rPr>
      </w:pPr>
      <w:r>
        <w:rPr>
          <w:rFonts w:hint="eastAsia"/>
        </w:rPr>
        <w:t>母公司财务报表主要项目注释</w:t>
      </w:r>
    </w:p>
    <w:p w14:paraId="30D9538B">
      <w:pPr>
        <w:pStyle w:val="4"/>
        <w:numPr>
          <w:ilvl w:val="0"/>
          <w:numId w:val="126"/>
        </w:numPr>
      </w:pPr>
      <w:r>
        <w:rPr>
          <w:rFonts w:hint="eastAsia" w:ascii="宋体" w:hAnsi="宋体"/>
          <w:szCs w:val="21"/>
        </w:rPr>
        <w:t>应收账款</w:t>
      </w:r>
    </w:p>
    <w:p w14:paraId="1CAC5DD0">
      <w:pPr>
        <w:pStyle w:val="5"/>
        <w:numPr>
          <w:ilvl w:val="3"/>
          <w:numId w:val="127"/>
        </w:numPr>
        <w:ind w:left="426" w:hanging="426" w:hangingChars="202"/>
      </w:pPr>
      <w:bookmarkStart w:id="385" w:name="_Hlk533796665"/>
      <w:r>
        <w:rPr>
          <w:rFonts w:hint="eastAsia"/>
        </w:rPr>
        <w:t>按账龄披露</w:t>
      </w:r>
    </w:p>
    <w:sdt>
      <w:sdtPr>
        <w:alias w:val="是否适用：母公司应收账款按账龄披露[双击切换]"/>
        <w:tag w:val="_GBC_dafcd7d733014c4a8aaa9a9a4b6c92f1"/>
        <w:id w:val="-603495218"/>
        <w:placeholder>
          <w:docPart w:val="GBC22222222222222222222222222222"/>
        </w:placeholder>
      </w:sdtPr>
      <w:sdtContent>
        <w:p w14:paraId="5712E08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86B0D72">
      <w:pPr>
        <w:jc w:val="right"/>
      </w:pPr>
      <w:r>
        <w:rPr>
          <w:rFonts w:hint="eastAsia"/>
        </w:rPr>
        <w:t>单位：</w:t>
      </w:r>
      <w:sdt>
        <w:sdtPr>
          <w:rPr>
            <w:rFonts w:hint="eastAsia"/>
          </w:rPr>
          <w:alias w:val="单位：母公司应收账款按账龄披露"/>
          <w:tag w:val="_GBC_6f3238355b1f4a02b89a4d1aa10b0026"/>
          <w:id w:val="-20782745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应收账款按账龄披露"/>
          <w:tag w:val="_GBC_c255ef872ced4f4ba9701062491ddd60"/>
          <w:id w:val="-8829455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3051"/>
        <w:gridCol w:w="3051"/>
      </w:tblGrid>
      <w:tr w14:paraId="4154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91f1d8bffa9649c89e109fe838d32207"/>
            <w:id w:val="817314635"/>
          </w:sdtPr>
          <w:sdtContent>
            <w:tc>
              <w:tcPr>
                <w:tcW w:w="2946" w:type="dxa"/>
                <w:tcBorders>
                  <w:top w:val="single" w:color="auto" w:sz="4" w:space="0"/>
                  <w:left w:val="single" w:color="auto" w:sz="4" w:space="0"/>
                  <w:bottom w:val="single" w:color="auto" w:sz="4" w:space="0"/>
                  <w:right w:val="single" w:color="auto" w:sz="4" w:space="0"/>
                </w:tcBorders>
                <w:vAlign w:val="center"/>
              </w:tcPr>
              <w:p w14:paraId="52FA9BD0">
                <w:pPr>
                  <w:jc w:val="center"/>
                  <w:rPr>
                    <w:rFonts w:ascii="Calibri" w:hAnsi="Calibri"/>
                    <w:sz w:val="20"/>
                    <w:szCs w:val="20"/>
                  </w:rPr>
                </w:pPr>
                <w:r>
                  <w:rPr>
                    <w:rFonts w:hint="eastAsia" w:ascii="Calibri" w:hAnsi="Calibri"/>
                    <w:sz w:val="20"/>
                    <w:szCs w:val="20"/>
                  </w:rPr>
                  <w:t>账龄</w:t>
                </w:r>
              </w:p>
            </w:tc>
          </w:sdtContent>
        </w:sdt>
        <w:sdt>
          <w:sdtPr>
            <w:tag w:val="_PLD_6b7aa27e99b34e1eb61af3bd12c578d2"/>
            <w:id w:val="70397246"/>
          </w:sdtPr>
          <w:sdtContent>
            <w:tc>
              <w:tcPr>
                <w:tcW w:w="3051" w:type="dxa"/>
                <w:tcBorders>
                  <w:top w:val="single" w:color="auto" w:sz="4" w:space="0"/>
                  <w:left w:val="single" w:color="auto" w:sz="4" w:space="0"/>
                  <w:bottom w:val="single" w:color="auto" w:sz="4" w:space="0"/>
                  <w:right w:val="single" w:color="auto" w:sz="4" w:space="0"/>
                </w:tcBorders>
                <w:vAlign w:val="center"/>
              </w:tcPr>
              <w:p w14:paraId="084D19CE">
                <w:pPr>
                  <w:jc w:val="center"/>
                  <w:rPr>
                    <w:rFonts w:ascii="Calibri" w:hAnsi="Calibri"/>
                    <w:sz w:val="20"/>
                    <w:szCs w:val="20"/>
                  </w:rPr>
                </w:pPr>
                <w:r>
                  <w:rPr>
                    <w:rFonts w:hint="eastAsia" w:ascii="Calibri" w:hAnsi="Calibri"/>
                    <w:sz w:val="20"/>
                    <w:szCs w:val="20"/>
                  </w:rPr>
                  <w:t>期末账面余额</w:t>
                </w:r>
              </w:p>
            </w:tc>
          </w:sdtContent>
        </w:sdt>
        <w:sdt>
          <w:sdtPr>
            <w:tag w:val="_PLD_0e2d3c046f184578857e4606189d40ef"/>
            <w:id w:val="-481392517"/>
          </w:sdtPr>
          <w:sdtContent>
            <w:tc>
              <w:tcPr>
                <w:tcW w:w="3051" w:type="dxa"/>
                <w:tcBorders>
                  <w:top w:val="single" w:color="auto" w:sz="4" w:space="0"/>
                  <w:left w:val="single" w:color="auto" w:sz="4" w:space="0"/>
                  <w:bottom w:val="single" w:color="auto" w:sz="4" w:space="0"/>
                  <w:right w:val="single" w:color="auto" w:sz="4" w:space="0"/>
                </w:tcBorders>
                <w:vAlign w:val="center"/>
              </w:tcPr>
              <w:p w14:paraId="353AE773">
                <w:pPr>
                  <w:jc w:val="center"/>
                  <w:rPr>
                    <w:rFonts w:ascii="Calibri" w:hAnsi="Calibri"/>
                    <w:sz w:val="20"/>
                    <w:szCs w:val="20"/>
                  </w:rPr>
                </w:pPr>
                <w:r>
                  <w:rPr>
                    <w:rFonts w:hint="eastAsia" w:ascii="Calibri" w:hAnsi="Calibri"/>
                    <w:sz w:val="20"/>
                    <w:szCs w:val="20"/>
                  </w:rPr>
                  <w:t>期初账面余额</w:t>
                </w:r>
              </w:p>
            </w:tc>
          </w:sdtContent>
        </w:sdt>
      </w:tr>
      <w:tr w14:paraId="6C22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64EC1D18">
            <w:pPr>
              <w:pStyle w:val="48"/>
              <w:rPr>
                <w:sz w:val="20"/>
                <w:szCs w:val="20"/>
              </w:rPr>
            </w:pPr>
            <w:r>
              <w:rPr>
                <w:rFonts w:hint="eastAsia"/>
                <w:sz w:val="20"/>
                <w:szCs w:val="20"/>
              </w:rPr>
              <w:t>1年以内（含1年）</w:t>
            </w:r>
          </w:p>
        </w:tc>
        <w:tc>
          <w:tcPr>
            <w:tcW w:w="3051" w:type="dxa"/>
            <w:tcBorders>
              <w:top w:val="single" w:color="auto" w:sz="4" w:space="0"/>
              <w:left w:val="single" w:color="auto" w:sz="4" w:space="0"/>
              <w:bottom w:val="single" w:color="auto" w:sz="4" w:space="0"/>
              <w:right w:val="single" w:color="auto" w:sz="4" w:space="0"/>
            </w:tcBorders>
            <w:vAlign w:val="center"/>
          </w:tcPr>
          <w:p w14:paraId="70ABDDC8">
            <w:pPr>
              <w:jc w:val="right"/>
              <w:rPr>
                <w:rFonts w:ascii="Calibri" w:hAnsi="Calibri"/>
                <w:sz w:val="20"/>
                <w:szCs w:val="20"/>
              </w:rPr>
            </w:pPr>
            <w:r>
              <w:rPr>
                <w:rFonts w:ascii="Calibri" w:hAnsi="Calibri"/>
                <w:sz w:val="20"/>
                <w:szCs w:val="20"/>
              </w:rPr>
              <w:t>426,553,920.85</w:t>
            </w:r>
          </w:p>
        </w:tc>
        <w:tc>
          <w:tcPr>
            <w:tcW w:w="3051" w:type="dxa"/>
            <w:tcBorders>
              <w:top w:val="single" w:color="auto" w:sz="4" w:space="0"/>
              <w:left w:val="single" w:color="auto" w:sz="4" w:space="0"/>
              <w:bottom w:val="single" w:color="auto" w:sz="4" w:space="0"/>
              <w:right w:val="single" w:color="auto" w:sz="4" w:space="0"/>
            </w:tcBorders>
            <w:vAlign w:val="center"/>
          </w:tcPr>
          <w:p w14:paraId="503D94C9">
            <w:pPr>
              <w:jc w:val="right"/>
              <w:rPr>
                <w:rFonts w:ascii="Calibri" w:hAnsi="Calibri"/>
                <w:sz w:val="20"/>
                <w:szCs w:val="20"/>
              </w:rPr>
            </w:pPr>
            <w:r>
              <w:rPr>
                <w:rFonts w:ascii="Calibri" w:hAnsi="Calibri"/>
                <w:sz w:val="20"/>
                <w:szCs w:val="20"/>
              </w:rPr>
              <w:t>475,729,307.26</w:t>
            </w:r>
          </w:p>
        </w:tc>
      </w:tr>
      <w:tr w14:paraId="5E6C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6964CC3D">
            <w:pPr>
              <w:pStyle w:val="48"/>
              <w:rPr>
                <w:sz w:val="20"/>
                <w:szCs w:val="20"/>
              </w:rPr>
            </w:pPr>
            <w:r>
              <w:rPr>
                <w:rFonts w:hint="eastAsia"/>
                <w:sz w:val="20"/>
                <w:szCs w:val="20"/>
              </w:rPr>
              <w:t>1年以内</w:t>
            </w:r>
          </w:p>
        </w:tc>
        <w:tc>
          <w:tcPr>
            <w:tcW w:w="3051" w:type="dxa"/>
            <w:tcBorders>
              <w:top w:val="single" w:color="auto" w:sz="4" w:space="0"/>
              <w:left w:val="single" w:color="auto" w:sz="4" w:space="0"/>
              <w:bottom w:val="single" w:color="auto" w:sz="4" w:space="0"/>
              <w:right w:val="single" w:color="auto" w:sz="4" w:space="0"/>
            </w:tcBorders>
            <w:vAlign w:val="center"/>
          </w:tcPr>
          <w:p w14:paraId="636ACE7F">
            <w:pPr>
              <w:jc w:val="right"/>
              <w:rPr>
                <w:rFonts w:ascii="Calibri" w:hAnsi="Calibri"/>
                <w:sz w:val="20"/>
                <w:szCs w:val="20"/>
              </w:rPr>
            </w:pPr>
            <w:r>
              <w:rPr>
                <w:rFonts w:ascii="Calibri" w:hAnsi="Calibri"/>
                <w:sz w:val="20"/>
                <w:szCs w:val="20"/>
              </w:rPr>
              <w:t>426,553,920.85</w:t>
            </w:r>
          </w:p>
        </w:tc>
        <w:tc>
          <w:tcPr>
            <w:tcW w:w="3051" w:type="dxa"/>
            <w:tcBorders>
              <w:top w:val="single" w:color="auto" w:sz="4" w:space="0"/>
              <w:left w:val="single" w:color="auto" w:sz="4" w:space="0"/>
              <w:bottom w:val="single" w:color="auto" w:sz="4" w:space="0"/>
              <w:right w:val="single" w:color="auto" w:sz="4" w:space="0"/>
            </w:tcBorders>
            <w:vAlign w:val="center"/>
          </w:tcPr>
          <w:p w14:paraId="5138DBC5">
            <w:pPr>
              <w:jc w:val="right"/>
              <w:rPr>
                <w:rFonts w:ascii="Calibri" w:hAnsi="Calibri"/>
                <w:sz w:val="20"/>
                <w:szCs w:val="20"/>
              </w:rPr>
            </w:pPr>
            <w:r>
              <w:rPr>
                <w:rFonts w:ascii="Calibri" w:hAnsi="Calibri"/>
                <w:sz w:val="20"/>
                <w:szCs w:val="20"/>
              </w:rPr>
              <w:t>475,729,307.26</w:t>
            </w:r>
          </w:p>
        </w:tc>
      </w:tr>
      <w:tr w14:paraId="1A98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697BC3D0">
            <w:pPr>
              <w:pStyle w:val="48"/>
              <w:rPr>
                <w:sz w:val="20"/>
                <w:szCs w:val="20"/>
              </w:rPr>
            </w:pPr>
            <w:r>
              <w:rPr>
                <w:rFonts w:hint="eastAsia"/>
                <w:sz w:val="20"/>
                <w:szCs w:val="20"/>
              </w:rPr>
              <w:t>1至2年</w:t>
            </w:r>
          </w:p>
        </w:tc>
        <w:tc>
          <w:tcPr>
            <w:tcW w:w="3051" w:type="dxa"/>
            <w:tcBorders>
              <w:top w:val="single" w:color="auto" w:sz="4" w:space="0"/>
              <w:left w:val="single" w:color="auto" w:sz="4" w:space="0"/>
              <w:bottom w:val="single" w:color="auto" w:sz="4" w:space="0"/>
              <w:right w:val="single" w:color="auto" w:sz="4" w:space="0"/>
            </w:tcBorders>
            <w:vAlign w:val="center"/>
          </w:tcPr>
          <w:p w14:paraId="38865422">
            <w:pPr>
              <w:jc w:val="right"/>
              <w:rPr>
                <w:rFonts w:ascii="Calibri" w:hAnsi="Calibri"/>
                <w:sz w:val="20"/>
                <w:szCs w:val="20"/>
              </w:rPr>
            </w:pPr>
            <w:r>
              <w:rPr>
                <w:rFonts w:ascii="Calibri" w:hAnsi="Calibri"/>
                <w:sz w:val="20"/>
                <w:szCs w:val="20"/>
              </w:rPr>
              <w:t>921,470.12</w:t>
            </w:r>
          </w:p>
        </w:tc>
        <w:tc>
          <w:tcPr>
            <w:tcW w:w="3051" w:type="dxa"/>
            <w:tcBorders>
              <w:top w:val="single" w:color="auto" w:sz="4" w:space="0"/>
              <w:left w:val="single" w:color="auto" w:sz="4" w:space="0"/>
              <w:bottom w:val="single" w:color="auto" w:sz="4" w:space="0"/>
              <w:right w:val="single" w:color="auto" w:sz="4" w:space="0"/>
            </w:tcBorders>
            <w:vAlign w:val="center"/>
          </w:tcPr>
          <w:p w14:paraId="4FF2023A">
            <w:pPr>
              <w:jc w:val="right"/>
              <w:rPr>
                <w:rFonts w:ascii="Calibri" w:hAnsi="Calibri"/>
                <w:sz w:val="20"/>
                <w:szCs w:val="20"/>
              </w:rPr>
            </w:pPr>
            <w:r>
              <w:rPr>
                <w:rFonts w:ascii="Calibri" w:hAnsi="Calibri"/>
                <w:sz w:val="20"/>
                <w:szCs w:val="20"/>
              </w:rPr>
              <w:t>31,039,342.95</w:t>
            </w:r>
          </w:p>
        </w:tc>
      </w:tr>
      <w:tr w14:paraId="0982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250B4355">
            <w:pPr>
              <w:pStyle w:val="48"/>
              <w:rPr>
                <w:sz w:val="20"/>
                <w:szCs w:val="20"/>
              </w:rPr>
            </w:pPr>
            <w:r>
              <w:rPr>
                <w:rFonts w:hint="eastAsia"/>
                <w:sz w:val="20"/>
                <w:szCs w:val="20"/>
              </w:rPr>
              <w:t>2至3年</w:t>
            </w:r>
          </w:p>
        </w:tc>
        <w:tc>
          <w:tcPr>
            <w:tcW w:w="3051" w:type="dxa"/>
            <w:tcBorders>
              <w:top w:val="single" w:color="auto" w:sz="4" w:space="0"/>
              <w:left w:val="single" w:color="auto" w:sz="4" w:space="0"/>
              <w:bottom w:val="single" w:color="auto" w:sz="4" w:space="0"/>
              <w:right w:val="single" w:color="auto" w:sz="4" w:space="0"/>
            </w:tcBorders>
            <w:vAlign w:val="center"/>
          </w:tcPr>
          <w:p w14:paraId="219F6940">
            <w:pPr>
              <w:jc w:val="right"/>
              <w:rPr>
                <w:rFonts w:ascii="Calibri" w:hAnsi="Calibri"/>
                <w:sz w:val="20"/>
                <w:szCs w:val="20"/>
              </w:rPr>
            </w:pPr>
            <w:r>
              <w:rPr>
                <w:rFonts w:ascii="Calibri" w:hAnsi="Calibri"/>
                <w:sz w:val="20"/>
                <w:szCs w:val="20"/>
              </w:rPr>
              <w:t>125,591.32</w:t>
            </w:r>
          </w:p>
        </w:tc>
        <w:tc>
          <w:tcPr>
            <w:tcW w:w="3051" w:type="dxa"/>
            <w:tcBorders>
              <w:top w:val="single" w:color="auto" w:sz="4" w:space="0"/>
              <w:left w:val="single" w:color="auto" w:sz="4" w:space="0"/>
              <w:bottom w:val="single" w:color="auto" w:sz="4" w:space="0"/>
              <w:right w:val="single" w:color="auto" w:sz="4" w:space="0"/>
            </w:tcBorders>
            <w:vAlign w:val="center"/>
          </w:tcPr>
          <w:p w14:paraId="36696E65">
            <w:pPr>
              <w:jc w:val="right"/>
              <w:rPr>
                <w:rFonts w:ascii="Calibri" w:hAnsi="Calibri"/>
                <w:sz w:val="20"/>
                <w:szCs w:val="20"/>
              </w:rPr>
            </w:pPr>
            <w:r>
              <w:rPr>
                <w:rFonts w:ascii="Calibri" w:hAnsi="Calibri"/>
                <w:sz w:val="20"/>
                <w:szCs w:val="20"/>
              </w:rPr>
              <w:t>1,328,308.49</w:t>
            </w:r>
          </w:p>
        </w:tc>
      </w:tr>
      <w:tr w14:paraId="7AC2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294164CC">
            <w:pPr>
              <w:pStyle w:val="48"/>
              <w:rPr>
                <w:sz w:val="20"/>
                <w:szCs w:val="20"/>
              </w:rPr>
            </w:pPr>
            <w:r>
              <w:rPr>
                <w:rFonts w:hint="eastAsia"/>
                <w:sz w:val="20"/>
                <w:szCs w:val="20"/>
              </w:rPr>
              <w:t>3至4年</w:t>
            </w:r>
          </w:p>
        </w:tc>
        <w:tc>
          <w:tcPr>
            <w:tcW w:w="3051" w:type="dxa"/>
            <w:tcBorders>
              <w:top w:val="single" w:color="auto" w:sz="4" w:space="0"/>
              <w:left w:val="single" w:color="auto" w:sz="4" w:space="0"/>
              <w:bottom w:val="single" w:color="auto" w:sz="4" w:space="0"/>
              <w:right w:val="single" w:color="auto" w:sz="4" w:space="0"/>
            </w:tcBorders>
            <w:vAlign w:val="center"/>
          </w:tcPr>
          <w:p w14:paraId="0ABA8131">
            <w:pPr>
              <w:jc w:val="right"/>
              <w:rPr>
                <w:rFonts w:ascii="Calibri" w:hAnsi="Calibri"/>
                <w:sz w:val="20"/>
                <w:szCs w:val="20"/>
              </w:rPr>
            </w:pPr>
            <w:r>
              <w:rPr>
                <w:rFonts w:ascii="Calibri" w:hAnsi="Calibri"/>
                <w:sz w:val="20"/>
                <w:szCs w:val="20"/>
              </w:rPr>
              <w:t>140,771.06</w:t>
            </w:r>
          </w:p>
        </w:tc>
        <w:tc>
          <w:tcPr>
            <w:tcW w:w="3051" w:type="dxa"/>
            <w:tcBorders>
              <w:top w:val="single" w:color="auto" w:sz="4" w:space="0"/>
              <w:left w:val="single" w:color="auto" w:sz="4" w:space="0"/>
              <w:bottom w:val="single" w:color="auto" w:sz="4" w:space="0"/>
              <w:right w:val="single" w:color="auto" w:sz="4" w:space="0"/>
            </w:tcBorders>
            <w:vAlign w:val="center"/>
          </w:tcPr>
          <w:p w14:paraId="2E000C51">
            <w:pPr>
              <w:jc w:val="right"/>
              <w:rPr>
                <w:rFonts w:ascii="Calibri" w:hAnsi="Calibri"/>
                <w:sz w:val="20"/>
                <w:szCs w:val="20"/>
              </w:rPr>
            </w:pPr>
            <w:r>
              <w:rPr>
                <w:rFonts w:ascii="Calibri" w:hAnsi="Calibri"/>
                <w:sz w:val="20"/>
                <w:szCs w:val="20"/>
              </w:rPr>
              <w:t>73,190.68</w:t>
            </w:r>
          </w:p>
        </w:tc>
      </w:tr>
      <w:tr w14:paraId="7958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7F9E4155">
            <w:pPr>
              <w:pStyle w:val="48"/>
              <w:rPr>
                <w:sz w:val="20"/>
                <w:szCs w:val="20"/>
              </w:rPr>
            </w:pPr>
            <w:r>
              <w:rPr>
                <w:rFonts w:hint="eastAsia"/>
                <w:sz w:val="20"/>
                <w:szCs w:val="20"/>
              </w:rPr>
              <w:t>4至5年</w:t>
            </w:r>
          </w:p>
        </w:tc>
        <w:tc>
          <w:tcPr>
            <w:tcW w:w="3051" w:type="dxa"/>
            <w:tcBorders>
              <w:top w:val="single" w:color="auto" w:sz="4" w:space="0"/>
              <w:left w:val="single" w:color="auto" w:sz="4" w:space="0"/>
              <w:bottom w:val="single" w:color="auto" w:sz="4" w:space="0"/>
              <w:right w:val="single" w:color="auto" w:sz="4" w:space="0"/>
            </w:tcBorders>
            <w:vAlign w:val="center"/>
          </w:tcPr>
          <w:p w14:paraId="6F9B777F">
            <w:pPr>
              <w:jc w:val="right"/>
              <w:rPr>
                <w:rFonts w:ascii="Calibri" w:hAnsi="Calibri"/>
                <w:sz w:val="20"/>
                <w:szCs w:val="20"/>
              </w:rPr>
            </w:pPr>
          </w:p>
        </w:tc>
        <w:tc>
          <w:tcPr>
            <w:tcW w:w="3051" w:type="dxa"/>
            <w:tcBorders>
              <w:top w:val="single" w:color="auto" w:sz="4" w:space="0"/>
              <w:left w:val="single" w:color="auto" w:sz="4" w:space="0"/>
              <w:bottom w:val="single" w:color="auto" w:sz="4" w:space="0"/>
              <w:right w:val="single" w:color="auto" w:sz="4" w:space="0"/>
            </w:tcBorders>
            <w:vAlign w:val="center"/>
          </w:tcPr>
          <w:p w14:paraId="74512AB4">
            <w:pPr>
              <w:jc w:val="right"/>
              <w:rPr>
                <w:rFonts w:ascii="Calibri" w:hAnsi="Calibri"/>
                <w:sz w:val="20"/>
                <w:szCs w:val="20"/>
              </w:rPr>
            </w:pPr>
            <w:r>
              <w:rPr>
                <w:rFonts w:ascii="Calibri" w:hAnsi="Calibri"/>
                <w:sz w:val="20"/>
                <w:szCs w:val="20"/>
              </w:rPr>
              <w:t>154,848.60</w:t>
            </w:r>
          </w:p>
        </w:tc>
      </w:tr>
      <w:tr w14:paraId="71BA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09BDE180">
            <w:pPr>
              <w:pStyle w:val="48"/>
              <w:rPr>
                <w:sz w:val="20"/>
                <w:szCs w:val="20"/>
              </w:rPr>
            </w:pPr>
            <w:r>
              <w:rPr>
                <w:rFonts w:hint="eastAsia"/>
                <w:sz w:val="20"/>
                <w:szCs w:val="20"/>
              </w:rPr>
              <w:t>5年以上</w:t>
            </w:r>
          </w:p>
        </w:tc>
        <w:tc>
          <w:tcPr>
            <w:tcW w:w="3051" w:type="dxa"/>
            <w:tcBorders>
              <w:top w:val="single" w:color="auto" w:sz="4" w:space="0"/>
              <w:left w:val="single" w:color="auto" w:sz="4" w:space="0"/>
              <w:bottom w:val="single" w:color="auto" w:sz="4" w:space="0"/>
              <w:right w:val="single" w:color="auto" w:sz="4" w:space="0"/>
            </w:tcBorders>
            <w:vAlign w:val="center"/>
          </w:tcPr>
          <w:p w14:paraId="40DA0B0B">
            <w:pPr>
              <w:jc w:val="right"/>
              <w:rPr>
                <w:rFonts w:ascii="Calibri" w:hAnsi="Calibri"/>
                <w:sz w:val="20"/>
                <w:szCs w:val="20"/>
              </w:rPr>
            </w:pPr>
            <w:r>
              <w:rPr>
                <w:rFonts w:ascii="Calibri" w:hAnsi="Calibri"/>
                <w:sz w:val="20"/>
                <w:szCs w:val="20"/>
              </w:rPr>
              <w:t>76,520,892.87</w:t>
            </w:r>
          </w:p>
        </w:tc>
        <w:tc>
          <w:tcPr>
            <w:tcW w:w="3051" w:type="dxa"/>
            <w:tcBorders>
              <w:top w:val="single" w:color="auto" w:sz="4" w:space="0"/>
              <w:left w:val="single" w:color="auto" w:sz="4" w:space="0"/>
              <w:bottom w:val="single" w:color="auto" w:sz="4" w:space="0"/>
              <w:right w:val="single" w:color="auto" w:sz="4" w:space="0"/>
            </w:tcBorders>
            <w:vAlign w:val="center"/>
          </w:tcPr>
          <w:p w14:paraId="001168AB">
            <w:pPr>
              <w:jc w:val="right"/>
              <w:rPr>
                <w:rFonts w:ascii="Calibri" w:hAnsi="Calibri"/>
                <w:sz w:val="20"/>
                <w:szCs w:val="20"/>
              </w:rPr>
            </w:pPr>
            <w:r>
              <w:rPr>
                <w:rFonts w:ascii="Calibri" w:hAnsi="Calibri"/>
                <w:sz w:val="20"/>
                <w:szCs w:val="20"/>
              </w:rPr>
              <w:t>89,025,955.50</w:t>
            </w:r>
          </w:p>
        </w:tc>
      </w:tr>
      <w:tr w14:paraId="0126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46" w:type="dxa"/>
            <w:tcBorders>
              <w:top w:val="single" w:color="auto" w:sz="4" w:space="0"/>
              <w:left w:val="single" w:color="auto" w:sz="4" w:space="0"/>
              <w:bottom w:val="single" w:color="auto" w:sz="4" w:space="0"/>
              <w:right w:val="single" w:color="auto" w:sz="4" w:space="0"/>
            </w:tcBorders>
            <w:vAlign w:val="center"/>
          </w:tcPr>
          <w:p w14:paraId="377A668A">
            <w:pPr>
              <w:jc w:val="center"/>
              <w:rPr>
                <w:rFonts w:ascii="Calibri" w:hAnsi="Calibri"/>
                <w:sz w:val="20"/>
                <w:szCs w:val="20"/>
              </w:rPr>
            </w:pPr>
            <w:r>
              <w:rPr>
                <w:rFonts w:hint="eastAsia" w:ascii="Calibri" w:hAnsi="Calibri"/>
                <w:sz w:val="20"/>
                <w:szCs w:val="20"/>
              </w:rPr>
              <w:t>合计</w:t>
            </w:r>
          </w:p>
        </w:tc>
        <w:tc>
          <w:tcPr>
            <w:tcW w:w="3051" w:type="dxa"/>
            <w:tcBorders>
              <w:top w:val="single" w:color="auto" w:sz="4" w:space="0"/>
              <w:left w:val="single" w:color="auto" w:sz="4" w:space="0"/>
              <w:bottom w:val="single" w:color="auto" w:sz="4" w:space="0"/>
              <w:right w:val="single" w:color="auto" w:sz="4" w:space="0"/>
            </w:tcBorders>
            <w:vAlign w:val="center"/>
          </w:tcPr>
          <w:p w14:paraId="1B05DFF0">
            <w:pPr>
              <w:jc w:val="right"/>
              <w:rPr>
                <w:rFonts w:ascii="Calibri" w:hAnsi="Calibri"/>
                <w:sz w:val="20"/>
                <w:szCs w:val="20"/>
              </w:rPr>
            </w:pPr>
            <w:r>
              <w:rPr>
                <w:rFonts w:ascii="Calibri" w:hAnsi="Calibri"/>
                <w:sz w:val="20"/>
                <w:szCs w:val="20"/>
              </w:rPr>
              <w:t>504,262,646.22</w:t>
            </w:r>
          </w:p>
        </w:tc>
        <w:tc>
          <w:tcPr>
            <w:tcW w:w="3051" w:type="dxa"/>
            <w:tcBorders>
              <w:top w:val="single" w:color="auto" w:sz="4" w:space="0"/>
              <w:left w:val="single" w:color="auto" w:sz="4" w:space="0"/>
              <w:bottom w:val="single" w:color="auto" w:sz="4" w:space="0"/>
              <w:right w:val="single" w:color="auto" w:sz="4" w:space="0"/>
            </w:tcBorders>
            <w:vAlign w:val="center"/>
          </w:tcPr>
          <w:p w14:paraId="38DF9439">
            <w:pPr>
              <w:jc w:val="right"/>
              <w:rPr>
                <w:rFonts w:ascii="Calibri" w:hAnsi="Calibri"/>
                <w:sz w:val="20"/>
                <w:szCs w:val="20"/>
              </w:rPr>
            </w:pPr>
            <w:r>
              <w:rPr>
                <w:rFonts w:ascii="Calibri" w:hAnsi="Calibri"/>
                <w:sz w:val="20"/>
                <w:szCs w:val="20"/>
              </w:rPr>
              <w:t>597,350,953.48</w:t>
            </w:r>
          </w:p>
        </w:tc>
      </w:tr>
    </w:tbl>
    <w:p w14:paraId="0BB48B1F">
      <w:pPr>
        <w:pStyle w:val="48"/>
      </w:pPr>
    </w:p>
    <w:p w14:paraId="137C7DA2">
      <w:pPr>
        <w:pStyle w:val="48"/>
      </w:pPr>
    </w:p>
    <w:bookmarkEnd w:id="385"/>
    <w:p w14:paraId="1A96DD16">
      <w:pPr>
        <w:pStyle w:val="5"/>
        <w:numPr>
          <w:ilvl w:val="3"/>
          <w:numId w:val="127"/>
        </w:numPr>
        <w:ind w:left="426" w:hanging="426" w:hangingChars="202"/>
      </w:pPr>
      <w:bookmarkStart w:id="386" w:name="_Hlk533796703"/>
      <w:r>
        <w:rPr>
          <w:rFonts w:hint="eastAsia"/>
        </w:rPr>
        <w:t>按坏账计提方法分类披露</w:t>
      </w:r>
    </w:p>
    <w:sdt>
      <w:sdtPr>
        <w:alias w:val="是否适用：母公司应收账款按坏账计提方法分类披露[双击切换]"/>
        <w:tag w:val="_GBC_7881b37ba62844928bb3a0f84fa1312c"/>
        <w:id w:val="827485470"/>
        <w:placeholder>
          <w:docPart w:val="GBC22222222222222222222222222222"/>
        </w:placeholder>
      </w:sdtPr>
      <w:sdtContent>
        <w:p w14:paraId="5E9E2FC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672E3CC">
      <w:pPr>
        <w:pStyle w:val="30"/>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6571856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按坏账计提方法分类披露"/>
          <w:tag w:val="_GBC_b8d2fec8e15e43c8b9a141c04cb5fea0"/>
          <w:id w:val="16712915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386"/>
    <w:tbl>
      <w:tblPr>
        <w:tblStyle w:val="57"/>
        <w:tblW w:w="11341" w:type="dxa"/>
        <w:tblInd w:w="-1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277"/>
        <w:gridCol w:w="709"/>
        <w:gridCol w:w="1134"/>
        <w:gridCol w:w="708"/>
        <w:gridCol w:w="1276"/>
        <w:gridCol w:w="1276"/>
        <w:gridCol w:w="709"/>
        <w:gridCol w:w="1275"/>
        <w:gridCol w:w="709"/>
        <w:gridCol w:w="1276"/>
      </w:tblGrid>
      <w:tr w14:paraId="42DC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tag w:val="_PLD_0b6f94bf734a49f28ff9eb2211eccc4e"/>
            <w:id w:val="-2108257882"/>
          </w:sdtPr>
          <w:sdtContent>
            <w:tc>
              <w:tcPr>
                <w:tcW w:w="992" w:type="dxa"/>
                <w:vMerge w:val="restart"/>
                <w:tcBorders>
                  <w:top w:val="single" w:color="auto" w:sz="4" w:space="0"/>
                  <w:left w:val="single" w:color="auto" w:sz="4" w:space="0"/>
                  <w:right w:val="single" w:color="auto" w:sz="4" w:space="0"/>
                </w:tcBorders>
                <w:vAlign w:val="center"/>
              </w:tcPr>
              <w:p w14:paraId="34510958">
                <w:pPr>
                  <w:jc w:val="center"/>
                  <w:rPr>
                    <w:rFonts w:ascii="Calibri" w:hAnsi="Calibri"/>
                    <w:sz w:val="20"/>
                    <w:szCs w:val="20"/>
                  </w:rPr>
                </w:pPr>
                <w:r>
                  <w:rPr>
                    <w:rFonts w:hint="eastAsia" w:ascii="Calibri" w:hAnsi="Calibri"/>
                    <w:sz w:val="20"/>
                    <w:szCs w:val="20"/>
                  </w:rPr>
                  <w:t>类别</w:t>
                </w:r>
              </w:p>
            </w:tc>
          </w:sdtContent>
        </w:sdt>
        <w:sdt>
          <w:sdtPr>
            <w:tag w:val="_PLD_cadda055920649559b4578dc73b6f05e"/>
            <w:id w:val="206533108"/>
          </w:sdtPr>
          <w:sdtContent>
            <w:tc>
              <w:tcPr>
                <w:tcW w:w="5104" w:type="dxa"/>
                <w:gridSpan w:val="5"/>
                <w:tcBorders>
                  <w:top w:val="single" w:color="auto" w:sz="4" w:space="0"/>
                  <w:left w:val="single" w:color="auto" w:sz="4" w:space="0"/>
                  <w:right w:val="single" w:color="auto" w:sz="4" w:space="0"/>
                </w:tcBorders>
                <w:vAlign w:val="center"/>
              </w:tcPr>
              <w:p w14:paraId="207424AC">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期末余额</w:t>
                </w:r>
              </w:p>
            </w:tc>
          </w:sdtContent>
        </w:sdt>
        <w:sdt>
          <w:sdtPr>
            <w:tag w:val="_PLD_28a8aaa48276458aa987282704951cc5"/>
            <w:id w:val="112487892"/>
          </w:sdtPr>
          <w:sdtContent>
            <w:tc>
              <w:tcPr>
                <w:tcW w:w="5245" w:type="dxa"/>
                <w:gridSpan w:val="5"/>
                <w:tcBorders>
                  <w:top w:val="single" w:color="auto" w:sz="4" w:space="0"/>
                  <w:left w:val="single" w:color="auto" w:sz="4" w:space="0"/>
                  <w:right w:val="single" w:color="auto" w:sz="4" w:space="0"/>
                </w:tcBorders>
                <w:vAlign w:val="center"/>
              </w:tcPr>
              <w:p w14:paraId="2D18B94B">
                <w:pPr>
                  <w:autoSpaceDE w:val="0"/>
                  <w:autoSpaceDN w:val="0"/>
                  <w:adjustRightInd w:val="0"/>
                  <w:snapToGrid w:val="0"/>
                  <w:spacing w:line="240" w:lineRule="atLeast"/>
                  <w:jc w:val="center"/>
                  <w:rPr>
                    <w:rFonts w:ascii="Calibri" w:hAnsi="Calibri"/>
                    <w:sz w:val="20"/>
                    <w:szCs w:val="20"/>
                  </w:rPr>
                </w:pPr>
                <w:r>
                  <w:rPr>
                    <w:rFonts w:hint="eastAsia" w:ascii="Calibri" w:hAnsi="Calibri"/>
                    <w:sz w:val="20"/>
                    <w:szCs w:val="20"/>
                  </w:rPr>
                  <w:t>期初余额</w:t>
                </w:r>
              </w:p>
            </w:tc>
          </w:sdtContent>
        </w:sdt>
      </w:tr>
      <w:tr w14:paraId="67D5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992" w:type="dxa"/>
            <w:vMerge w:val="continue"/>
            <w:tcBorders>
              <w:left w:val="single" w:color="auto" w:sz="4" w:space="0"/>
              <w:right w:val="single" w:color="auto" w:sz="4" w:space="0"/>
            </w:tcBorders>
            <w:vAlign w:val="center"/>
          </w:tcPr>
          <w:p w14:paraId="3AFF0C89">
            <w:pPr>
              <w:pStyle w:val="48"/>
              <w:rPr>
                <w:sz w:val="20"/>
                <w:szCs w:val="20"/>
              </w:rPr>
            </w:pPr>
          </w:p>
        </w:tc>
        <w:sdt>
          <w:sdtPr>
            <w:tag w:val="_PLD_b6e4cad360f948d68bd5af2c3f52e83a"/>
            <w:id w:val="-1227061380"/>
          </w:sdtPr>
          <w:sdtContent>
            <w:tc>
              <w:tcPr>
                <w:tcW w:w="1986" w:type="dxa"/>
                <w:gridSpan w:val="2"/>
                <w:tcBorders>
                  <w:top w:val="single" w:color="auto" w:sz="4" w:space="0"/>
                  <w:left w:val="single" w:color="auto" w:sz="4" w:space="0"/>
                  <w:bottom w:val="single" w:color="auto" w:sz="4" w:space="0"/>
                  <w:right w:val="single" w:color="auto" w:sz="4" w:space="0"/>
                </w:tcBorders>
                <w:vAlign w:val="center"/>
              </w:tcPr>
              <w:p w14:paraId="7AB15111">
                <w:pPr>
                  <w:jc w:val="center"/>
                  <w:rPr>
                    <w:rFonts w:ascii="Calibri" w:hAnsi="Calibri"/>
                    <w:sz w:val="20"/>
                    <w:szCs w:val="20"/>
                  </w:rPr>
                </w:pPr>
                <w:r>
                  <w:rPr>
                    <w:rFonts w:hint="eastAsia" w:ascii="Calibri" w:hAnsi="Calibri"/>
                    <w:sz w:val="20"/>
                    <w:szCs w:val="20"/>
                  </w:rPr>
                  <w:t>账面余额</w:t>
                </w:r>
              </w:p>
            </w:tc>
          </w:sdtContent>
        </w:sdt>
        <w:sdt>
          <w:sdtPr>
            <w:tag w:val="_PLD_1812a70770914fa4b8145f493ad4c468"/>
            <w:id w:val="-188529972"/>
          </w:sdtPr>
          <w:sdtContent>
            <w:tc>
              <w:tcPr>
                <w:tcW w:w="1842" w:type="dxa"/>
                <w:gridSpan w:val="2"/>
                <w:tcBorders>
                  <w:top w:val="single" w:color="auto" w:sz="4" w:space="0"/>
                  <w:left w:val="single" w:color="auto" w:sz="4" w:space="0"/>
                  <w:bottom w:val="single" w:color="auto" w:sz="4" w:space="0"/>
                  <w:right w:val="single" w:color="auto" w:sz="4" w:space="0"/>
                </w:tcBorders>
                <w:vAlign w:val="center"/>
              </w:tcPr>
              <w:p w14:paraId="77FC6789">
                <w:pPr>
                  <w:jc w:val="center"/>
                  <w:rPr>
                    <w:rFonts w:ascii="Calibri" w:hAnsi="Calibri"/>
                    <w:sz w:val="20"/>
                    <w:szCs w:val="20"/>
                  </w:rPr>
                </w:pPr>
                <w:r>
                  <w:rPr>
                    <w:rFonts w:hint="eastAsia" w:ascii="Calibri" w:hAnsi="Calibri"/>
                    <w:sz w:val="20"/>
                    <w:szCs w:val="20"/>
                  </w:rPr>
                  <w:t>坏账准备</w:t>
                </w:r>
              </w:p>
            </w:tc>
          </w:sdtContent>
        </w:sdt>
        <w:sdt>
          <w:sdtPr>
            <w:tag w:val="_PLD_970be2ae3a84456bb0feb4eb360d2b2f"/>
            <w:id w:val="-266089768"/>
          </w:sdtPr>
          <w:sdtContent>
            <w:tc>
              <w:tcPr>
                <w:tcW w:w="1276" w:type="dxa"/>
                <w:vMerge w:val="restart"/>
                <w:tcBorders>
                  <w:top w:val="single" w:color="auto" w:sz="4" w:space="0"/>
                  <w:left w:val="single" w:color="auto" w:sz="4" w:space="0"/>
                  <w:right w:val="single" w:color="auto" w:sz="4" w:space="0"/>
                </w:tcBorders>
                <w:vAlign w:val="center"/>
              </w:tcPr>
              <w:p w14:paraId="7DA51932">
                <w:pPr>
                  <w:jc w:val="center"/>
                  <w:rPr>
                    <w:rFonts w:ascii="Calibri" w:hAnsi="Calibri"/>
                    <w:sz w:val="20"/>
                    <w:szCs w:val="20"/>
                  </w:rPr>
                </w:pPr>
                <w:r>
                  <w:rPr>
                    <w:rFonts w:hint="eastAsia" w:ascii="Calibri" w:hAnsi="Calibri"/>
                    <w:sz w:val="20"/>
                    <w:szCs w:val="20"/>
                  </w:rPr>
                  <w:t>账面</w:t>
                </w:r>
              </w:p>
              <w:p w14:paraId="45AC68E2">
                <w:pPr>
                  <w:jc w:val="center"/>
                  <w:rPr>
                    <w:rFonts w:ascii="Calibri" w:hAnsi="Calibri"/>
                    <w:sz w:val="20"/>
                    <w:szCs w:val="20"/>
                  </w:rPr>
                </w:pPr>
                <w:r>
                  <w:rPr>
                    <w:rFonts w:hint="eastAsia" w:ascii="Calibri" w:hAnsi="Calibri"/>
                    <w:sz w:val="20"/>
                    <w:szCs w:val="20"/>
                  </w:rPr>
                  <w:t>价值</w:t>
                </w:r>
              </w:p>
            </w:tc>
          </w:sdtContent>
        </w:sdt>
        <w:sdt>
          <w:sdtPr>
            <w:tag w:val="_PLD_be04f05fbfa341e1a7546ee304164c92"/>
            <w:id w:val="477577035"/>
          </w:sdtPr>
          <w:sdtContent>
            <w:tc>
              <w:tcPr>
                <w:tcW w:w="1985" w:type="dxa"/>
                <w:gridSpan w:val="2"/>
                <w:tcBorders>
                  <w:top w:val="single" w:color="auto" w:sz="4" w:space="0"/>
                  <w:left w:val="single" w:color="auto" w:sz="4" w:space="0"/>
                  <w:right w:val="single" w:color="auto" w:sz="4" w:space="0"/>
                </w:tcBorders>
                <w:vAlign w:val="center"/>
              </w:tcPr>
              <w:p w14:paraId="49663AC2">
                <w:pPr>
                  <w:jc w:val="center"/>
                  <w:rPr>
                    <w:rFonts w:ascii="Calibri" w:hAnsi="Calibri"/>
                    <w:sz w:val="20"/>
                    <w:szCs w:val="20"/>
                  </w:rPr>
                </w:pPr>
                <w:r>
                  <w:rPr>
                    <w:rFonts w:hint="eastAsia" w:ascii="Calibri" w:hAnsi="Calibri"/>
                    <w:sz w:val="20"/>
                    <w:szCs w:val="20"/>
                  </w:rPr>
                  <w:t>账面余额</w:t>
                </w:r>
              </w:p>
            </w:tc>
          </w:sdtContent>
        </w:sdt>
        <w:sdt>
          <w:sdtPr>
            <w:tag w:val="_PLD_708baf88b6ab4f6ca208582ef2033d3e"/>
            <w:id w:val="2083797707"/>
          </w:sdtPr>
          <w:sdtContent>
            <w:tc>
              <w:tcPr>
                <w:tcW w:w="1984" w:type="dxa"/>
                <w:gridSpan w:val="2"/>
                <w:tcBorders>
                  <w:top w:val="single" w:color="auto" w:sz="4" w:space="0"/>
                  <w:left w:val="single" w:color="auto" w:sz="4" w:space="0"/>
                  <w:right w:val="single" w:color="auto" w:sz="4" w:space="0"/>
                </w:tcBorders>
                <w:vAlign w:val="center"/>
              </w:tcPr>
              <w:p w14:paraId="3C34B1CA">
                <w:pPr>
                  <w:jc w:val="center"/>
                  <w:rPr>
                    <w:rFonts w:ascii="Calibri" w:hAnsi="Calibri"/>
                    <w:sz w:val="20"/>
                    <w:szCs w:val="20"/>
                  </w:rPr>
                </w:pPr>
                <w:r>
                  <w:rPr>
                    <w:rFonts w:hint="eastAsia" w:ascii="Calibri" w:hAnsi="Calibri"/>
                    <w:sz w:val="20"/>
                    <w:szCs w:val="20"/>
                  </w:rPr>
                  <w:t>坏账准备</w:t>
                </w:r>
              </w:p>
            </w:tc>
          </w:sdtContent>
        </w:sdt>
        <w:sdt>
          <w:sdtPr>
            <w:tag w:val="_PLD_7c2453d3d43547428eaaafae8df8b7d0"/>
            <w:id w:val="-605433490"/>
          </w:sdtPr>
          <w:sdtContent>
            <w:tc>
              <w:tcPr>
                <w:tcW w:w="1276" w:type="dxa"/>
                <w:vMerge w:val="restart"/>
                <w:tcBorders>
                  <w:top w:val="single" w:color="auto" w:sz="4" w:space="0"/>
                  <w:left w:val="single" w:color="auto" w:sz="4" w:space="0"/>
                  <w:right w:val="single" w:color="auto" w:sz="4" w:space="0"/>
                </w:tcBorders>
                <w:vAlign w:val="center"/>
              </w:tcPr>
              <w:p w14:paraId="6F735EF5">
                <w:pPr>
                  <w:jc w:val="center"/>
                  <w:rPr>
                    <w:rFonts w:ascii="Calibri" w:hAnsi="Calibri"/>
                    <w:sz w:val="20"/>
                    <w:szCs w:val="20"/>
                  </w:rPr>
                </w:pPr>
                <w:r>
                  <w:rPr>
                    <w:rFonts w:hint="eastAsia" w:ascii="Calibri" w:hAnsi="Calibri"/>
                    <w:sz w:val="20"/>
                    <w:szCs w:val="20"/>
                  </w:rPr>
                  <w:t>账面</w:t>
                </w:r>
              </w:p>
              <w:p w14:paraId="4083719C">
                <w:pPr>
                  <w:jc w:val="center"/>
                  <w:rPr>
                    <w:rFonts w:ascii="Calibri" w:hAnsi="Calibri"/>
                    <w:sz w:val="20"/>
                    <w:szCs w:val="20"/>
                  </w:rPr>
                </w:pPr>
                <w:r>
                  <w:rPr>
                    <w:rFonts w:hint="eastAsia" w:ascii="Calibri" w:hAnsi="Calibri"/>
                    <w:sz w:val="20"/>
                    <w:szCs w:val="20"/>
                  </w:rPr>
                  <w:t>价值</w:t>
                </w:r>
              </w:p>
            </w:tc>
          </w:sdtContent>
        </w:sdt>
      </w:tr>
      <w:tr w14:paraId="2F0D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992" w:type="dxa"/>
            <w:vMerge w:val="continue"/>
            <w:tcBorders>
              <w:left w:val="single" w:color="auto" w:sz="4" w:space="0"/>
              <w:bottom w:val="single" w:color="auto" w:sz="4" w:space="0"/>
              <w:right w:val="single" w:color="auto" w:sz="4" w:space="0"/>
            </w:tcBorders>
            <w:vAlign w:val="center"/>
          </w:tcPr>
          <w:p w14:paraId="78B9E7C1">
            <w:pPr>
              <w:pStyle w:val="48"/>
              <w:rPr>
                <w:sz w:val="20"/>
                <w:szCs w:val="20"/>
              </w:rPr>
            </w:pPr>
          </w:p>
        </w:tc>
        <w:sdt>
          <w:sdtPr>
            <w:tag w:val="_PLD_c5c981ae53b144af90139d228c5285af"/>
            <w:id w:val="-1045744900"/>
          </w:sdtPr>
          <w:sdtContent>
            <w:tc>
              <w:tcPr>
                <w:tcW w:w="1277" w:type="dxa"/>
                <w:tcBorders>
                  <w:left w:val="single" w:color="auto" w:sz="4" w:space="0"/>
                  <w:bottom w:val="single" w:color="auto" w:sz="4" w:space="0"/>
                  <w:right w:val="single" w:color="auto" w:sz="4" w:space="0"/>
                </w:tcBorders>
                <w:vAlign w:val="center"/>
              </w:tcPr>
              <w:p w14:paraId="521B638C">
                <w:pPr>
                  <w:jc w:val="center"/>
                  <w:rPr>
                    <w:rFonts w:ascii="Calibri" w:hAnsi="Calibri"/>
                    <w:sz w:val="20"/>
                    <w:szCs w:val="20"/>
                  </w:rPr>
                </w:pPr>
                <w:r>
                  <w:rPr>
                    <w:rFonts w:hint="eastAsia" w:ascii="Calibri" w:hAnsi="Calibri"/>
                    <w:sz w:val="20"/>
                    <w:szCs w:val="20"/>
                  </w:rPr>
                  <w:t>金额</w:t>
                </w:r>
              </w:p>
            </w:tc>
          </w:sdtContent>
        </w:sdt>
        <w:sdt>
          <w:sdtPr>
            <w:tag w:val="_PLD_c62cdb22fba648808acfebda9f29289b"/>
            <w:id w:val="1090118334"/>
          </w:sdtPr>
          <w:sdtContent>
            <w:tc>
              <w:tcPr>
                <w:tcW w:w="709" w:type="dxa"/>
                <w:tcBorders>
                  <w:left w:val="single" w:color="auto" w:sz="4" w:space="0"/>
                  <w:bottom w:val="single" w:color="auto" w:sz="4" w:space="0"/>
                  <w:right w:val="single" w:color="auto" w:sz="4" w:space="0"/>
                </w:tcBorders>
                <w:vAlign w:val="center"/>
              </w:tcPr>
              <w:p w14:paraId="2D9D681A">
                <w:pPr>
                  <w:jc w:val="center"/>
                  <w:rPr>
                    <w:rFonts w:ascii="Calibri" w:hAnsi="Calibri"/>
                    <w:sz w:val="20"/>
                    <w:szCs w:val="20"/>
                  </w:rPr>
                </w:pPr>
                <w:r>
                  <w:rPr>
                    <w:rFonts w:hint="eastAsia" w:ascii="Calibri" w:hAnsi="Calibri"/>
                    <w:sz w:val="20"/>
                    <w:szCs w:val="20"/>
                  </w:rPr>
                  <w:t>比例</w:t>
                </w:r>
                <w:r>
                  <w:rPr>
                    <w:rFonts w:ascii="Calibri" w:hAnsi="Calibri"/>
                    <w:sz w:val="20"/>
                    <w:szCs w:val="20"/>
                  </w:rPr>
                  <w:t>(%)</w:t>
                </w:r>
              </w:p>
            </w:tc>
          </w:sdtContent>
        </w:sdt>
        <w:sdt>
          <w:sdtPr>
            <w:tag w:val="_PLD_d259a31756a946a6a441328cc78413fc"/>
            <w:id w:val="-12765640"/>
          </w:sdtPr>
          <w:sdtContent>
            <w:tc>
              <w:tcPr>
                <w:tcW w:w="1134" w:type="dxa"/>
                <w:tcBorders>
                  <w:left w:val="single" w:color="auto" w:sz="4" w:space="0"/>
                  <w:bottom w:val="single" w:color="auto" w:sz="4" w:space="0"/>
                  <w:right w:val="single" w:color="auto" w:sz="4" w:space="0"/>
                </w:tcBorders>
                <w:vAlign w:val="center"/>
              </w:tcPr>
              <w:p w14:paraId="377166D6">
                <w:pPr>
                  <w:jc w:val="center"/>
                  <w:rPr>
                    <w:rFonts w:ascii="Calibri" w:hAnsi="Calibri"/>
                    <w:sz w:val="20"/>
                    <w:szCs w:val="20"/>
                  </w:rPr>
                </w:pPr>
                <w:r>
                  <w:rPr>
                    <w:rFonts w:hint="eastAsia" w:ascii="Calibri" w:hAnsi="Calibri"/>
                    <w:sz w:val="20"/>
                    <w:szCs w:val="20"/>
                  </w:rPr>
                  <w:t>金额</w:t>
                </w:r>
              </w:p>
            </w:tc>
          </w:sdtContent>
        </w:sdt>
        <w:sdt>
          <w:sdtPr>
            <w:tag w:val="_PLD_f74078100e7348efb6fa93b2ac934809"/>
            <w:id w:val="1237048397"/>
          </w:sdtPr>
          <w:sdtContent>
            <w:tc>
              <w:tcPr>
                <w:tcW w:w="708" w:type="dxa"/>
                <w:tcBorders>
                  <w:left w:val="single" w:color="auto" w:sz="4" w:space="0"/>
                  <w:bottom w:val="single" w:color="auto" w:sz="4" w:space="0"/>
                  <w:right w:val="single" w:color="auto" w:sz="4" w:space="0"/>
                </w:tcBorders>
                <w:vAlign w:val="center"/>
              </w:tcPr>
              <w:p w14:paraId="1279B4FE">
                <w:pPr>
                  <w:jc w:val="center"/>
                  <w:rPr>
                    <w:rFonts w:ascii="Calibri" w:hAnsi="Calibri"/>
                    <w:sz w:val="20"/>
                    <w:szCs w:val="20"/>
                  </w:rPr>
                </w:pPr>
                <w:r>
                  <w:rPr>
                    <w:rFonts w:hint="eastAsia" w:ascii="Calibri" w:hAnsi="Calibri"/>
                    <w:sz w:val="20"/>
                    <w:szCs w:val="20"/>
                  </w:rPr>
                  <w:t>计提比例</w:t>
                </w:r>
                <w:r>
                  <w:rPr>
                    <w:rFonts w:ascii="Calibri" w:hAnsi="Calibri"/>
                    <w:sz w:val="20"/>
                    <w:szCs w:val="20"/>
                  </w:rPr>
                  <w:t>(%)</w:t>
                </w:r>
              </w:p>
            </w:tc>
          </w:sdtContent>
        </w:sdt>
        <w:tc>
          <w:tcPr>
            <w:tcW w:w="1276" w:type="dxa"/>
            <w:vMerge w:val="continue"/>
            <w:tcBorders>
              <w:left w:val="single" w:color="auto" w:sz="4" w:space="0"/>
              <w:bottom w:val="single" w:color="auto" w:sz="4" w:space="0"/>
              <w:right w:val="single" w:color="auto" w:sz="4" w:space="0"/>
            </w:tcBorders>
            <w:vAlign w:val="center"/>
          </w:tcPr>
          <w:p w14:paraId="1D813F0E">
            <w:pPr>
              <w:jc w:val="center"/>
              <w:rPr>
                <w:rFonts w:ascii="Calibri" w:hAnsi="Calibri"/>
                <w:sz w:val="20"/>
                <w:szCs w:val="20"/>
              </w:rPr>
            </w:pPr>
          </w:p>
        </w:tc>
        <w:sdt>
          <w:sdtPr>
            <w:tag w:val="_PLD_4b188b463cd04b5f935c04bb97091ad7"/>
            <w:id w:val="-462268224"/>
          </w:sdtPr>
          <w:sdtContent>
            <w:tc>
              <w:tcPr>
                <w:tcW w:w="1276" w:type="dxa"/>
                <w:tcBorders>
                  <w:left w:val="single" w:color="auto" w:sz="4" w:space="0"/>
                  <w:bottom w:val="single" w:color="auto" w:sz="4" w:space="0"/>
                  <w:right w:val="single" w:color="auto" w:sz="4" w:space="0"/>
                </w:tcBorders>
                <w:vAlign w:val="center"/>
              </w:tcPr>
              <w:p w14:paraId="50F84D3F">
                <w:pPr>
                  <w:jc w:val="center"/>
                  <w:rPr>
                    <w:rFonts w:ascii="Calibri" w:hAnsi="Calibri"/>
                    <w:sz w:val="20"/>
                    <w:szCs w:val="20"/>
                  </w:rPr>
                </w:pPr>
                <w:r>
                  <w:rPr>
                    <w:rFonts w:hint="eastAsia" w:ascii="Calibri" w:hAnsi="Calibri"/>
                    <w:sz w:val="20"/>
                    <w:szCs w:val="20"/>
                  </w:rPr>
                  <w:t>金额</w:t>
                </w:r>
              </w:p>
            </w:tc>
          </w:sdtContent>
        </w:sdt>
        <w:sdt>
          <w:sdtPr>
            <w:tag w:val="_PLD_0eb49b8077f24050b883fe1c83156c6a"/>
            <w:id w:val="641081988"/>
          </w:sdtPr>
          <w:sdtContent>
            <w:tc>
              <w:tcPr>
                <w:tcW w:w="709" w:type="dxa"/>
                <w:tcBorders>
                  <w:left w:val="single" w:color="auto" w:sz="4" w:space="0"/>
                  <w:bottom w:val="single" w:color="auto" w:sz="4" w:space="0"/>
                  <w:right w:val="single" w:color="auto" w:sz="4" w:space="0"/>
                </w:tcBorders>
                <w:vAlign w:val="center"/>
              </w:tcPr>
              <w:p w14:paraId="7BCDFC73">
                <w:pPr>
                  <w:jc w:val="center"/>
                  <w:rPr>
                    <w:rFonts w:ascii="Calibri" w:hAnsi="Calibri"/>
                    <w:sz w:val="20"/>
                    <w:szCs w:val="20"/>
                  </w:rPr>
                </w:pPr>
                <w:r>
                  <w:rPr>
                    <w:rFonts w:hint="eastAsia" w:ascii="Calibri" w:hAnsi="Calibri"/>
                    <w:sz w:val="20"/>
                    <w:szCs w:val="20"/>
                  </w:rPr>
                  <w:t>比例</w:t>
                </w:r>
                <w:r>
                  <w:rPr>
                    <w:rFonts w:ascii="Calibri" w:hAnsi="Calibri"/>
                    <w:sz w:val="20"/>
                    <w:szCs w:val="20"/>
                  </w:rPr>
                  <w:t>(%)</w:t>
                </w:r>
              </w:p>
            </w:tc>
          </w:sdtContent>
        </w:sdt>
        <w:sdt>
          <w:sdtPr>
            <w:tag w:val="_PLD_97b959dafb2649fe9097ba91d4d77a2f"/>
            <w:id w:val="2048950829"/>
          </w:sdtPr>
          <w:sdtContent>
            <w:tc>
              <w:tcPr>
                <w:tcW w:w="1275" w:type="dxa"/>
                <w:tcBorders>
                  <w:left w:val="single" w:color="auto" w:sz="4" w:space="0"/>
                  <w:bottom w:val="single" w:color="auto" w:sz="4" w:space="0"/>
                  <w:right w:val="single" w:color="auto" w:sz="4" w:space="0"/>
                </w:tcBorders>
                <w:vAlign w:val="center"/>
              </w:tcPr>
              <w:p w14:paraId="37719B6A">
                <w:pPr>
                  <w:jc w:val="center"/>
                  <w:rPr>
                    <w:rFonts w:ascii="Calibri" w:hAnsi="Calibri"/>
                    <w:sz w:val="20"/>
                    <w:szCs w:val="20"/>
                  </w:rPr>
                </w:pPr>
                <w:r>
                  <w:rPr>
                    <w:rFonts w:hint="eastAsia" w:ascii="Calibri" w:hAnsi="Calibri"/>
                    <w:sz w:val="20"/>
                    <w:szCs w:val="20"/>
                  </w:rPr>
                  <w:t>金额</w:t>
                </w:r>
              </w:p>
            </w:tc>
          </w:sdtContent>
        </w:sdt>
        <w:sdt>
          <w:sdtPr>
            <w:tag w:val="_PLD_99dda048c2a04725a5d8bfac8b356378"/>
            <w:id w:val="1425917885"/>
          </w:sdtPr>
          <w:sdtContent>
            <w:tc>
              <w:tcPr>
                <w:tcW w:w="709" w:type="dxa"/>
                <w:tcBorders>
                  <w:left w:val="single" w:color="auto" w:sz="4" w:space="0"/>
                  <w:bottom w:val="single" w:color="auto" w:sz="4" w:space="0"/>
                  <w:right w:val="single" w:color="auto" w:sz="4" w:space="0"/>
                </w:tcBorders>
                <w:vAlign w:val="center"/>
              </w:tcPr>
              <w:p w14:paraId="25BD1D3B">
                <w:pPr>
                  <w:jc w:val="center"/>
                  <w:rPr>
                    <w:rFonts w:ascii="Calibri" w:hAnsi="Calibri"/>
                    <w:sz w:val="20"/>
                    <w:szCs w:val="20"/>
                  </w:rPr>
                </w:pPr>
                <w:r>
                  <w:rPr>
                    <w:rFonts w:hint="eastAsia" w:ascii="Calibri" w:hAnsi="Calibri"/>
                    <w:sz w:val="20"/>
                    <w:szCs w:val="20"/>
                  </w:rPr>
                  <w:t>计提比例</w:t>
                </w:r>
                <w:r>
                  <w:rPr>
                    <w:rFonts w:ascii="Calibri" w:hAnsi="Calibri"/>
                    <w:sz w:val="20"/>
                    <w:szCs w:val="20"/>
                  </w:rPr>
                  <w:t>(%)</w:t>
                </w:r>
              </w:p>
            </w:tc>
          </w:sdtContent>
        </w:sdt>
        <w:tc>
          <w:tcPr>
            <w:tcW w:w="1276" w:type="dxa"/>
            <w:vMerge w:val="continue"/>
            <w:tcBorders>
              <w:left w:val="single" w:color="auto" w:sz="4" w:space="0"/>
              <w:bottom w:val="single" w:color="auto" w:sz="4" w:space="0"/>
              <w:right w:val="single" w:color="auto" w:sz="4" w:space="0"/>
            </w:tcBorders>
            <w:vAlign w:val="center"/>
          </w:tcPr>
          <w:p w14:paraId="04C29286">
            <w:pPr>
              <w:jc w:val="center"/>
              <w:rPr>
                <w:rFonts w:ascii="Calibri" w:hAnsi="Calibri"/>
                <w:sz w:val="20"/>
                <w:szCs w:val="20"/>
              </w:rPr>
            </w:pPr>
          </w:p>
        </w:tc>
      </w:tr>
      <w:tr w14:paraId="3E9C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92" w:type="dxa"/>
            <w:tcBorders>
              <w:top w:val="single" w:color="auto" w:sz="4" w:space="0"/>
              <w:left w:val="single" w:color="auto" w:sz="4" w:space="0"/>
              <w:bottom w:val="single" w:color="auto" w:sz="4" w:space="0"/>
              <w:right w:val="single" w:color="auto" w:sz="4" w:space="0"/>
            </w:tcBorders>
            <w:vAlign w:val="center"/>
          </w:tcPr>
          <w:p w14:paraId="600FF160">
            <w:pPr>
              <w:pStyle w:val="48"/>
              <w:rPr>
                <w:sz w:val="15"/>
                <w:szCs w:val="15"/>
              </w:rPr>
            </w:pPr>
            <w:r>
              <w:rPr>
                <w:rFonts w:hint="eastAsia"/>
                <w:sz w:val="15"/>
                <w:szCs w:val="15"/>
              </w:rPr>
              <w:t>按单项计提坏账准备</w:t>
            </w:r>
          </w:p>
        </w:tc>
        <w:tc>
          <w:tcPr>
            <w:tcW w:w="1277" w:type="dxa"/>
            <w:tcBorders>
              <w:top w:val="single" w:color="auto" w:sz="4" w:space="0"/>
              <w:left w:val="single" w:color="auto" w:sz="4" w:space="0"/>
              <w:bottom w:val="single" w:color="auto" w:sz="4" w:space="0"/>
              <w:right w:val="single" w:color="auto" w:sz="4" w:space="0"/>
            </w:tcBorders>
            <w:vAlign w:val="center"/>
          </w:tcPr>
          <w:p w14:paraId="0AC34973">
            <w:pPr>
              <w:spacing w:line="276" w:lineRule="auto"/>
              <w:jc w:val="right"/>
              <w:rPr>
                <w:rFonts w:ascii="Calibri" w:hAnsi="Calibri"/>
                <w:sz w:val="15"/>
                <w:szCs w:val="15"/>
              </w:rPr>
            </w:pPr>
            <w:r>
              <w:rPr>
                <w:rFonts w:ascii="Calibri" w:hAnsi="Calibri"/>
                <w:sz w:val="15"/>
                <w:szCs w:val="15"/>
              </w:rPr>
              <w:t>6,949,967.00</w:t>
            </w:r>
          </w:p>
        </w:tc>
        <w:tc>
          <w:tcPr>
            <w:tcW w:w="709" w:type="dxa"/>
            <w:tcBorders>
              <w:top w:val="single" w:color="auto" w:sz="4" w:space="0"/>
              <w:left w:val="single" w:color="auto" w:sz="4" w:space="0"/>
              <w:bottom w:val="single" w:color="auto" w:sz="4" w:space="0"/>
              <w:right w:val="single" w:color="auto" w:sz="4" w:space="0"/>
            </w:tcBorders>
            <w:vAlign w:val="center"/>
          </w:tcPr>
          <w:p w14:paraId="4210A39C">
            <w:pPr>
              <w:spacing w:line="276" w:lineRule="auto"/>
              <w:jc w:val="right"/>
              <w:rPr>
                <w:rFonts w:ascii="Calibri" w:hAnsi="Calibri"/>
                <w:sz w:val="15"/>
                <w:szCs w:val="15"/>
              </w:rPr>
            </w:pPr>
            <w:r>
              <w:rPr>
                <w:rFonts w:ascii="Calibri" w:hAnsi="Calibri"/>
                <w:sz w:val="15"/>
                <w:szCs w:val="15"/>
              </w:rPr>
              <w:t>1.38</w:t>
            </w:r>
          </w:p>
        </w:tc>
        <w:tc>
          <w:tcPr>
            <w:tcW w:w="1134" w:type="dxa"/>
            <w:tcBorders>
              <w:top w:val="single" w:color="auto" w:sz="4" w:space="0"/>
              <w:left w:val="single" w:color="auto" w:sz="4" w:space="0"/>
              <w:bottom w:val="single" w:color="auto" w:sz="4" w:space="0"/>
              <w:right w:val="single" w:color="auto" w:sz="4" w:space="0"/>
            </w:tcBorders>
            <w:vAlign w:val="center"/>
          </w:tcPr>
          <w:p w14:paraId="5CE79801">
            <w:pPr>
              <w:spacing w:line="276" w:lineRule="auto"/>
              <w:jc w:val="right"/>
              <w:rPr>
                <w:rFonts w:ascii="Calibri" w:hAnsi="Calibri"/>
                <w:sz w:val="15"/>
                <w:szCs w:val="15"/>
              </w:rPr>
            </w:pPr>
            <w:r>
              <w:rPr>
                <w:rFonts w:ascii="Calibri" w:hAnsi="Calibri"/>
                <w:sz w:val="15"/>
                <w:szCs w:val="15"/>
              </w:rPr>
              <w:t>6,949,967.00</w:t>
            </w:r>
          </w:p>
        </w:tc>
        <w:tc>
          <w:tcPr>
            <w:tcW w:w="708" w:type="dxa"/>
            <w:tcBorders>
              <w:top w:val="single" w:color="auto" w:sz="4" w:space="0"/>
              <w:left w:val="single" w:color="auto" w:sz="4" w:space="0"/>
              <w:bottom w:val="single" w:color="auto" w:sz="4" w:space="0"/>
              <w:right w:val="single" w:color="auto" w:sz="4" w:space="0"/>
            </w:tcBorders>
            <w:vAlign w:val="center"/>
          </w:tcPr>
          <w:p w14:paraId="2EF865FC">
            <w:pPr>
              <w:spacing w:line="276" w:lineRule="auto"/>
              <w:jc w:val="right"/>
              <w:rPr>
                <w:rFonts w:ascii="Calibri" w:hAnsi="Calibri"/>
                <w:sz w:val="15"/>
                <w:szCs w:val="15"/>
              </w:rPr>
            </w:pPr>
            <w:r>
              <w:rPr>
                <w:rFonts w:ascii="Calibri" w:hAnsi="Calibri"/>
                <w:sz w:val="15"/>
                <w:szCs w:val="15"/>
              </w:rPr>
              <w:t>100.00</w:t>
            </w:r>
          </w:p>
        </w:tc>
        <w:tc>
          <w:tcPr>
            <w:tcW w:w="1276" w:type="dxa"/>
            <w:tcBorders>
              <w:top w:val="single" w:color="auto" w:sz="4" w:space="0"/>
              <w:left w:val="single" w:color="auto" w:sz="4" w:space="0"/>
              <w:bottom w:val="single" w:color="auto" w:sz="4" w:space="0"/>
              <w:right w:val="single" w:color="auto" w:sz="4" w:space="0"/>
            </w:tcBorders>
            <w:vAlign w:val="center"/>
          </w:tcPr>
          <w:p w14:paraId="36CF4D64">
            <w:pPr>
              <w:spacing w:line="276" w:lineRule="auto"/>
              <w:jc w:val="right"/>
              <w:rPr>
                <w:rFonts w:ascii="Calibri" w:hAnsi="Calibri"/>
                <w:sz w:val="15"/>
                <w:szCs w:val="15"/>
              </w:rPr>
            </w:pPr>
          </w:p>
        </w:tc>
        <w:tc>
          <w:tcPr>
            <w:tcW w:w="1276" w:type="dxa"/>
            <w:tcBorders>
              <w:top w:val="single" w:color="auto" w:sz="4" w:space="0"/>
              <w:left w:val="single" w:color="auto" w:sz="4" w:space="0"/>
              <w:bottom w:val="single" w:color="auto" w:sz="4" w:space="0"/>
              <w:right w:val="single" w:color="auto" w:sz="4" w:space="0"/>
            </w:tcBorders>
            <w:vAlign w:val="center"/>
          </w:tcPr>
          <w:p w14:paraId="5DA494E1">
            <w:pPr>
              <w:spacing w:line="276" w:lineRule="auto"/>
              <w:jc w:val="right"/>
              <w:rPr>
                <w:rFonts w:ascii="Calibri" w:hAnsi="Calibri"/>
                <w:sz w:val="15"/>
                <w:szCs w:val="15"/>
              </w:rPr>
            </w:pPr>
            <w:r>
              <w:rPr>
                <w:rFonts w:ascii="Calibri" w:hAnsi="Calibri"/>
                <w:sz w:val="15"/>
                <w:szCs w:val="15"/>
              </w:rPr>
              <w:t>6,949,967.00</w:t>
            </w:r>
          </w:p>
        </w:tc>
        <w:tc>
          <w:tcPr>
            <w:tcW w:w="709" w:type="dxa"/>
            <w:tcBorders>
              <w:top w:val="single" w:color="auto" w:sz="4" w:space="0"/>
              <w:left w:val="single" w:color="auto" w:sz="4" w:space="0"/>
              <w:bottom w:val="single" w:color="auto" w:sz="4" w:space="0"/>
              <w:right w:val="single" w:color="auto" w:sz="4" w:space="0"/>
            </w:tcBorders>
            <w:vAlign w:val="center"/>
          </w:tcPr>
          <w:p w14:paraId="51F4CF92">
            <w:pPr>
              <w:spacing w:line="276" w:lineRule="auto"/>
              <w:jc w:val="right"/>
              <w:rPr>
                <w:rFonts w:ascii="Calibri" w:hAnsi="Calibri"/>
                <w:sz w:val="15"/>
                <w:szCs w:val="15"/>
              </w:rPr>
            </w:pPr>
            <w:r>
              <w:rPr>
                <w:rFonts w:ascii="Calibri" w:hAnsi="Calibri"/>
                <w:sz w:val="15"/>
                <w:szCs w:val="15"/>
              </w:rPr>
              <w:t>1.16</w:t>
            </w:r>
          </w:p>
        </w:tc>
        <w:tc>
          <w:tcPr>
            <w:tcW w:w="1275" w:type="dxa"/>
            <w:tcBorders>
              <w:top w:val="single" w:color="auto" w:sz="4" w:space="0"/>
              <w:left w:val="single" w:color="auto" w:sz="4" w:space="0"/>
              <w:bottom w:val="single" w:color="auto" w:sz="4" w:space="0"/>
              <w:right w:val="single" w:color="auto" w:sz="4" w:space="0"/>
            </w:tcBorders>
            <w:vAlign w:val="center"/>
          </w:tcPr>
          <w:p w14:paraId="4EDBE7F7">
            <w:pPr>
              <w:spacing w:line="276" w:lineRule="auto"/>
              <w:jc w:val="right"/>
              <w:rPr>
                <w:rFonts w:ascii="Calibri" w:hAnsi="Calibri"/>
                <w:sz w:val="15"/>
                <w:szCs w:val="15"/>
              </w:rPr>
            </w:pPr>
            <w:r>
              <w:rPr>
                <w:rFonts w:ascii="Calibri" w:hAnsi="Calibri"/>
                <w:sz w:val="15"/>
                <w:szCs w:val="15"/>
              </w:rPr>
              <w:t>6,949,967.00</w:t>
            </w:r>
          </w:p>
        </w:tc>
        <w:tc>
          <w:tcPr>
            <w:tcW w:w="709" w:type="dxa"/>
            <w:tcBorders>
              <w:top w:val="single" w:color="auto" w:sz="4" w:space="0"/>
              <w:left w:val="single" w:color="auto" w:sz="4" w:space="0"/>
              <w:bottom w:val="single" w:color="auto" w:sz="4" w:space="0"/>
              <w:right w:val="single" w:color="auto" w:sz="4" w:space="0"/>
            </w:tcBorders>
            <w:vAlign w:val="center"/>
          </w:tcPr>
          <w:p w14:paraId="63938CCA">
            <w:pPr>
              <w:spacing w:line="276" w:lineRule="auto"/>
              <w:jc w:val="right"/>
              <w:rPr>
                <w:rFonts w:ascii="Calibri" w:hAnsi="Calibri"/>
                <w:sz w:val="15"/>
                <w:szCs w:val="15"/>
              </w:rPr>
            </w:pPr>
            <w:r>
              <w:rPr>
                <w:rFonts w:ascii="Calibri" w:hAnsi="Calibri"/>
                <w:sz w:val="15"/>
                <w:szCs w:val="15"/>
              </w:rPr>
              <w:t>100.00</w:t>
            </w:r>
          </w:p>
        </w:tc>
        <w:tc>
          <w:tcPr>
            <w:tcW w:w="1276" w:type="dxa"/>
            <w:tcBorders>
              <w:top w:val="single" w:color="auto" w:sz="4" w:space="0"/>
              <w:left w:val="single" w:color="auto" w:sz="4" w:space="0"/>
              <w:bottom w:val="single" w:color="auto" w:sz="4" w:space="0"/>
              <w:right w:val="single" w:color="auto" w:sz="4" w:space="0"/>
            </w:tcBorders>
            <w:vAlign w:val="center"/>
          </w:tcPr>
          <w:p w14:paraId="3B900D8F">
            <w:pPr>
              <w:spacing w:line="276" w:lineRule="auto"/>
              <w:jc w:val="right"/>
              <w:rPr>
                <w:rFonts w:ascii="Calibri" w:hAnsi="Calibri"/>
                <w:sz w:val="18"/>
                <w:szCs w:val="18"/>
              </w:rPr>
            </w:pPr>
          </w:p>
        </w:tc>
      </w:tr>
      <w:tr w14:paraId="64E9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Calibri" w:hAnsi="Calibri"/>
              <w:sz w:val="15"/>
              <w:szCs w:val="15"/>
            </w:rPr>
            <w:tag w:val="_PLD_b482c2c63c82442b8be7b0cffa7694c4"/>
            <w:id w:val="190036302"/>
          </w:sdtPr>
          <w:sdtEndPr>
            <w:rPr>
              <w:rFonts w:ascii="Calibri" w:hAnsi="Calibri"/>
              <w:sz w:val="15"/>
              <w:szCs w:val="15"/>
            </w:rPr>
          </w:sdtEndPr>
          <w:sdtContent>
            <w:tc>
              <w:tcPr>
                <w:tcW w:w="11341" w:type="dxa"/>
                <w:gridSpan w:val="11"/>
                <w:tcBorders>
                  <w:top w:val="single" w:color="auto" w:sz="4" w:space="0"/>
                  <w:left w:val="single" w:color="auto" w:sz="4" w:space="0"/>
                  <w:bottom w:val="single" w:color="auto" w:sz="4" w:space="0"/>
                  <w:right w:val="single" w:color="auto" w:sz="4" w:space="0"/>
                </w:tcBorders>
                <w:vAlign w:val="center"/>
              </w:tcPr>
              <w:p w14:paraId="36620DF4">
                <w:pPr>
                  <w:pStyle w:val="48"/>
                  <w:spacing w:line="276" w:lineRule="auto"/>
                  <w:rPr>
                    <w:sz w:val="15"/>
                    <w:szCs w:val="15"/>
                  </w:rPr>
                </w:pPr>
                <w:r>
                  <w:rPr>
                    <w:rFonts w:hint="eastAsia"/>
                    <w:sz w:val="15"/>
                    <w:szCs w:val="15"/>
                  </w:rPr>
                  <w:t>其中：</w:t>
                </w:r>
              </w:p>
            </w:tc>
          </w:sdtContent>
        </w:sdt>
      </w:tr>
      <w:tr w14:paraId="1758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Calibri" w:hAnsi="Calibri"/>
              <w:sz w:val="15"/>
              <w:szCs w:val="15"/>
            </w:rPr>
            <w:alias w:val="按单项计提坏账准备的应收账款明细-类别"/>
            <w:tag w:val="_GBC_8bce54839ffd46eb912136d37cd80cc4"/>
            <w:id w:val="953445088"/>
          </w:sdtPr>
          <w:sdtEndPr>
            <w:rPr>
              <w:rFonts w:ascii="Calibri" w:hAnsi="Calibri"/>
              <w:sz w:val="15"/>
              <w:szCs w:val="15"/>
            </w:rPr>
          </w:sdtEndPr>
          <w:sdtContent>
            <w:tc>
              <w:tcPr>
                <w:tcW w:w="992" w:type="dxa"/>
                <w:tcBorders>
                  <w:top w:val="single" w:color="auto" w:sz="4" w:space="0"/>
                  <w:left w:val="single" w:color="auto" w:sz="4" w:space="0"/>
                  <w:bottom w:val="single" w:color="auto" w:sz="4" w:space="0"/>
                  <w:right w:val="single" w:color="auto" w:sz="4" w:space="0"/>
                </w:tcBorders>
                <w:vAlign w:val="center"/>
              </w:tcPr>
              <w:p w14:paraId="29D530B6">
                <w:pPr>
                  <w:rPr>
                    <w:rFonts w:ascii="Calibri" w:hAnsi="Calibri"/>
                    <w:color w:val="808080"/>
                    <w:sz w:val="15"/>
                    <w:szCs w:val="15"/>
                  </w:rPr>
                </w:pPr>
                <w:r>
                  <w:rPr>
                    <w:rFonts w:hint="eastAsia" w:ascii="Calibri" w:hAnsi="Calibri"/>
                    <w:sz w:val="15"/>
                    <w:szCs w:val="15"/>
                  </w:rPr>
                  <w:t>单项金额不重大但单独计提坏账准备</w:t>
                </w:r>
              </w:p>
            </w:tc>
          </w:sdtContent>
        </w:sdt>
        <w:tc>
          <w:tcPr>
            <w:tcW w:w="1277" w:type="dxa"/>
            <w:tcBorders>
              <w:top w:val="single" w:color="auto" w:sz="4" w:space="0"/>
              <w:left w:val="single" w:color="auto" w:sz="4" w:space="0"/>
              <w:bottom w:val="single" w:color="auto" w:sz="4" w:space="0"/>
              <w:right w:val="single" w:color="auto" w:sz="4" w:space="0"/>
            </w:tcBorders>
            <w:vAlign w:val="center"/>
          </w:tcPr>
          <w:p w14:paraId="4C484B64">
            <w:pPr>
              <w:spacing w:line="276" w:lineRule="auto"/>
              <w:jc w:val="right"/>
              <w:rPr>
                <w:rFonts w:ascii="Calibri" w:hAnsi="Calibri"/>
                <w:sz w:val="15"/>
                <w:szCs w:val="15"/>
              </w:rPr>
            </w:pPr>
            <w:r>
              <w:rPr>
                <w:rFonts w:ascii="Calibri" w:hAnsi="Calibri"/>
                <w:sz w:val="15"/>
                <w:szCs w:val="15"/>
              </w:rPr>
              <w:t>6,949,967.00</w:t>
            </w:r>
          </w:p>
        </w:tc>
        <w:tc>
          <w:tcPr>
            <w:tcW w:w="709" w:type="dxa"/>
            <w:tcBorders>
              <w:top w:val="single" w:color="auto" w:sz="4" w:space="0"/>
              <w:left w:val="single" w:color="auto" w:sz="4" w:space="0"/>
              <w:bottom w:val="single" w:color="auto" w:sz="4" w:space="0"/>
              <w:right w:val="single" w:color="auto" w:sz="4" w:space="0"/>
            </w:tcBorders>
            <w:vAlign w:val="center"/>
          </w:tcPr>
          <w:p w14:paraId="11D76A66">
            <w:pPr>
              <w:spacing w:line="276" w:lineRule="auto"/>
              <w:jc w:val="right"/>
              <w:rPr>
                <w:rFonts w:ascii="Calibri" w:hAnsi="Calibri"/>
                <w:sz w:val="15"/>
                <w:szCs w:val="15"/>
              </w:rPr>
            </w:pPr>
            <w:r>
              <w:rPr>
                <w:rFonts w:ascii="Calibri" w:hAnsi="Calibri"/>
                <w:sz w:val="15"/>
                <w:szCs w:val="15"/>
              </w:rPr>
              <w:t>1.38</w:t>
            </w:r>
          </w:p>
        </w:tc>
        <w:tc>
          <w:tcPr>
            <w:tcW w:w="1134" w:type="dxa"/>
            <w:tcBorders>
              <w:top w:val="single" w:color="auto" w:sz="4" w:space="0"/>
              <w:left w:val="single" w:color="auto" w:sz="4" w:space="0"/>
              <w:bottom w:val="single" w:color="auto" w:sz="4" w:space="0"/>
              <w:right w:val="single" w:color="auto" w:sz="4" w:space="0"/>
            </w:tcBorders>
            <w:vAlign w:val="center"/>
          </w:tcPr>
          <w:p w14:paraId="16F827C3">
            <w:pPr>
              <w:spacing w:line="276" w:lineRule="auto"/>
              <w:jc w:val="right"/>
              <w:rPr>
                <w:rFonts w:ascii="Calibri" w:hAnsi="Calibri"/>
                <w:sz w:val="15"/>
                <w:szCs w:val="15"/>
              </w:rPr>
            </w:pPr>
            <w:r>
              <w:rPr>
                <w:rFonts w:ascii="Calibri" w:hAnsi="Calibri"/>
                <w:sz w:val="15"/>
                <w:szCs w:val="15"/>
              </w:rPr>
              <w:t>6,949,967.00</w:t>
            </w:r>
          </w:p>
        </w:tc>
        <w:tc>
          <w:tcPr>
            <w:tcW w:w="708" w:type="dxa"/>
            <w:tcBorders>
              <w:top w:val="single" w:color="auto" w:sz="4" w:space="0"/>
              <w:left w:val="single" w:color="auto" w:sz="4" w:space="0"/>
              <w:bottom w:val="single" w:color="auto" w:sz="4" w:space="0"/>
              <w:right w:val="single" w:color="auto" w:sz="4" w:space="0"/>
            </w:tcBorders>
            <w:vAlign w:val="center"/>
          </w:tcPr>
          <w:p w14:paraId="6F43FCB0">
            <w:pPr>
              <w:spacing w:line="276" w:lineRule="auto"/>
              <w:jc w:val="right"/>
              <w:rPr>
                <w:rFonts w:ascii="Calibri" w:hAnsi="Calibri"/>
                <w:sz w:val="15"/>
                <w:szCs w:val="15"/>
              </w:rPr>
            </w:pPr>
            <w:r>
              <w:rPr>
                <w:rFonts w:ascii="Calibri" w:hAnsi="Calibri"/>
                <w:sz w:val="15"/>
                <w:szCs w:val="15"/>
              </w:rPr>
              <w:t>100.00</w:t>
            </w:r>
          </w:p>
        </w:tc>
        <w:tc>
          <w:tcPr>
            <w:tcW w:w="1276" w:type="dxa"/>
            <w:tcBorders>
              <w:top w:val="single" w:color="auto" w:sz="4" w:space="0"/>
              <w:left w:val="single" w:color="auto" w:sz="4" w:space="0"/>
              <w:bottom w:val="single" w:color="auto" w:sz="4" w:space="0"/>
              <w:right w:val="single" w:color="auto" w:sz="4" w:space="0"/>
            </w:tcBorders>
            <w:vAlign w:val="center"/>
          </w:tcPr>
          <w:p w14:paraId="1EE44E85">
            <w:pPr>
              <w:spacing w:line="276" w:lineRule="auto"/>
              <w:jc w:val="right"/>
              <w:rPr>
                <w:rFonts w:ascii="Calibri" w:hAnsi="Calibri"/>
                <w:sz w:val="15"/>
                <w:szCs w:val="15"/>
              </w:rPr>
            </w:pPr>
          </w:p>
        </w:tc>
        <w:tc>
          <w:tcPr>
            <w:tcW w:w="1276" w:type="dxa"/>
            <w:tcBorders>
              <w:top w:val="single" w:color="auto" w:sz="4" w:space="0"/>
              <w:left w:val="single" w:color="auto" w:sz="4" w:space="0"/>
              <w:bottom w:val="single" w:color="auto" w:sz="4" w:space="0"/>
              <w:right w:val="single" w:color="auto" w:sz="4" w:space="0"/>
            </w:tcBorders>
            <w:vAlign w:val="center"/>
          </w:tcPr>
          <w:p w14:paraId="787C8EC7">
            <w:pPr>
              <w:spacing w:line="276" w:lineRule="auto"/>
              <w:jc w:val="right"/>
              <w:rPr>
                <w:rFonts w:ascii="Calibri" w:hAnsi="Calibri"/>
                <w:sz w:val="15"/>
                <w:szCs w:val="15"/>
              </w:rPr>
            </w:pPr>
            <w:r>
              <w:rPr>
                <w:rFonts w:ascii="Calibri" w:hAnsi="Calibri"/>
                <w:sz w:val="15"/>
                <w:szCs w:val="15"/>
              </w:rPr>
              <w:t>6,949,967.00</w:t>
            </w:r>
          </w:p>
        </w:tc>
        <w:tc>
          <w:tcPr>
            <w:tcW w:w="709" w:type="dxa"/>
            <w:tcBorders>
              <w:top w:val="single" w:color="auto" w:sz="4" w:space="0"/>
              <w:left w:val="single" w:color="auto" w:sz="4" w:space="0"/>
              <w:bottom w:val="single" w:color="auto" w:sz="4" w:space="0"/>
              <w:right w:val="single" w:color="auto" w:sz="4" w:space="0"/>
            </w:tcBorders>
            <w:vAlign w:val="center"/>
          </w:tcPr>
          <w:p w14:paraId="1181F5E2">
            <w:pPr>
              <w:spacing w:line="276" w:lineRule="auto"/>
              <w:jc w:val="right"/>
              <w:rPr>
                <w:rFonts w:ascii="Calibri" w:hAnsi="Calibri"/>
                <w:sz w:val="15"/>
                <w:szCs w:val="15"/>
              </w:rPr>
            </w:pPr>
            <w:r>
              <w:rPr>
                <w:rFonts w:ascii="Calibri" w:hAnsi="Calibri"/>
                <w:sz w:val="15"/>
                <w:szCs w:val="15"/>
              </w:rPr>
              <w:t>1.16</w:t>
            </w:r>
          </w:p>
        </w:tc>
        <w:tc>
          <w:tcPr>
            <w:tcW w:w="1275" w:type="dxa"/>
            <w:tcBorders>
              <w:top w:val="single" w:color="auto" w:sz="4" w:space="0"/>
              <w:left w:val="single" w:color="auto" w:sz="4" w:space="0"/>
              <w:bottom w:val="single" w:color="auto" w:sz="4" w:space="0"/>
              <w:right w:val="single" w:color="auto" w:sz="4" w:space="0"/>
            </w:tcBorders>
            <w:vAlign w:val="center"/>
          </w:tcPr>
          <w:p w14:paraId="625D1A70">
            <w:pPr>
              <w:spacing w:line="276" w:lineRule="auto"/>
              <w:jc w:val="right"/>
              <w:rPr>
                <w:rFonts w:ascii="Calibri" w:hAnsi="Calibri"/>
                <w:sz w:val="15"/>
                <w:szCs w:val="15"/>
              </w:rPr>
            </w:pPr>
            <w:r>
              <w:rPr>
                <w:rFonts w:ascii="Calibri" w:hAnsi="Calibri"/>
                <w:sz w:val="15"/>
                <w:szCs w:val="15"/>
              </w:rPr>
              <w:t>6,949,967.00</w:t>
            </w:r>
          </w:p>
        </w:tc>
        <w:tc>
          <w:tcPr>
            <w:tcW w:w="709" w:type="dxa"/>
            <w:tcBorders>
              <w:top w:val="single" w:color="auto" w:sz="4" w:space="0"/>
              <w:left w:val="single" w:color="auto" w:sz="4" w:space="0"/>
              <w:bottom w:val="single" w:color="auto" w:sz="4" w:space="0"/>
              <w:right w:val="single" w:color="auto" w:sz="4" w:space="0"/>
            </w:tcBorders>
            <w:vAlign w:val="center"/>
          </w:tcPr>
          <w:p w14:paraId="0976F163">
            <w:pPr>
              <w:spacing w:line="276" w:lineRule="auto"/>
              <w:jc w:val="right"/>
              <w:rPr>
                <w:rFonts w:ascii="Calibri" w:hAnsi="Calibri"/>
                <w:sz w:val="15"/>
                <w:szCs w:val="15"/>
              </w:rPr>
            </w:pPr>
            <w:r>
              <w:rPr>
                <w:rFonts w:ascii="Calibri" w:hAnsi="Calibri"/>
                <w:sz w:val="15"/>
                <w:szCs w:val="15"/>
              </w:rPr>
              <w:t>100.00</w:t>
            </w:r>
          </w:p>
        </w:tc>
        <w:tc>
          <w:tcPr>
            <w:tcW w:w="1276" w:type="dxa"/>
            <w:tcBorders>
              <w:top w:val="single" w:color="auto" w:sz="4" w:space="0"/>
              <w:left w:val="single" w:color="auto" w:sz="4" w:space="0"/>
              <w:bottom w:val="single" w:color="auto" w:sz="4" w:space="0"/>
              <w:right w:val="single" w:color="auto" w:sz="4" w:space="0"/>
            </w:tcBorders>
            <w:vAlign w:val="center"/>
          </w:tcPr>
          <w:p w14:paraId="4C448316">
            <w:pPr>
              <w:spacing w:line="276" w:lineRule="auto"/>
              <w:jc w:val="right"/>
              <w:rPr>
                <w:rFonts w:ascii="Calibri" w:hAnsi="Calibri"/>
                <w:sz w:val="15"/>
                <w:szCs w:val="15"/>
              </w:rPr>
            </w:pPr>
          </w:p>
        </w:tc>
      </w:tr>
      <w:tr w14:paraId="354F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92" w:type="dxa"/>
            <w:tcBorders>
              <w:top w:val="single" w:color="auto" w:sz="4" w:space="0"/>
              <w:left w:val="single" w:color="auto" w:sz="4" w:space="0"/>
              <w:bottom w:val="single" w:color="auto" w:sz="4" w:space="0"/>
              <w:right w:val="single" w:color="auto" w:sz="4" w:space="0"/>
            </w:tcBorders>
            <w:vAlign w:val="center"/>
          </w:tcPr>
          <w:p w14:paraId="366A37CD">
            <w:pPr>
              <w:pStyle w:val="48"/>
              <w:rPr>
                <w:sz w:val="15"/>
                <w:szCs w:val="15"/>
              </w:rPr>
            </w:pPr>
            <w:r>
              <w:rPr>
                <w:rFonts w:hint="eastAsia"/>
                <w:sz w:val="15"/>
                <w:szCs w:val="15"/>
              </w:rPr>
              <w:t>按组合计提坏账准备</w:t>
            </w:r>
          </w:p>
        </w:tc>
        <w:tc>
          <w:tcPr>
            <w:tcW w:w="1277" w:type="dxa"/>
            <w:tcBorders>
              <w:top w:val="single" w:color="auto" w:sz="4" w:space="0"/>
              <w:left w:val="single" w:color="auto" w:sz="4" w:space="0"/>
              <w:bottom w:val="single" w:color="auto" w:sz="4" w:space="0"/>
              <w:right w:val="single" w:color="auto" w:sz="4" w:space="0"/>
            </w:tcBorders>
            <w:vAlign w:val="center"/>
          </w:tcPr>
          <w:p w14:paraId="7E0FB77B">
            <w:pPr>
              <w:spacing w:line="276" w:lineRule="auto"/>
              <w:jc w:val="right"/>
              <w:rPr>
                <w:rFonts w:ascii="Calibri" w:hAnsi="Calibri"/>
                <w:sz w:val="15"/>
                <w:szCs w:val="15"/>
              </w:rPr>
            </w:pPr>
            <w:r>
              <w:rPr>
                <w:rFonts w:ascii="Calibri" w:hAnsi="Calibri"/>
                <w:sz w:val="15"/>
                <w:szCs w:val="15"/>
              </w:rPr>
              <w:t>497,312,679.22</w:t>
            </w:r>
          </w:p>
        </w:tc>
        <w:tc>
          <w:tcPr>
            <w:tcW w:w="709" w:type="dxa"/>
            <w:tcBorders>
              <w:top w:val="single" w:color="auto" w:sz="4" w:space="0"/>
              <w:left w:val="single" w:color="auto" w:sz="4" w:space="0"/>
              <w:bottom w:val="single" w:color="auto" w:sz="4" w:space="0"/>
              <w:right w:val="single" w:color="auto" w:sz="4" w:space="0"/>
            </w:tcBorders>
            <w:vAlign w:val="center"/>
          </w:tcPr>
          <w:p w14:paraId="3414CC72">
            <w:pPr>
              <w:spacing w:line="276" w:lineRule="auto"/>
              <w:jc w:val="right"/>
              <w:rPr>
                <w:rFonts w:ascii="Calibri" w:hAnsi="Calibri"/>
                <w:sz w:val="15"/>
                <w:szCs w:val="15"/>
              </w:rPr>
            </w:pPr>
            <w:r>
              <w:rPr>
                <w:rFonts w:ascii="Calibri" w:hAnsi="Calibri"/>
                <w:sz w:val="15"/>
                <w:szCs w:val="15"/>
              </w:rPr>
              <w:t>98.62</w:t>
            </w:r>
          </w:p>
        </w:tc>
        <w:tc>
          <w:tcPr>
            <w:tcW w:w="1134" w:type="dxa"/>
            <w:tcBorders>
              <w:top w:val="single" w:color="auto" w:sz="4" w:space="0"/>
              <w:left w:val="single" w:color="auto" w:sz="4" w:space="0"/>
              <w:bottom w:val="single" w:color="auto" w:sz="4" w:space="0"/>
              <w:right w:val="single" w:color="auto" w:sz="4" w:space="0"/>
            </w:tcBorders>
            <w:vAlign w:val="center"/>
          </w:tcPr>
          <w:p w14:paraId="3800941A">
            <w:pPr>
              <w:spacing w:line="276" w:lineRule="auto"/>
              <w:jc w:val="right"/>
              <w:rPr>
                <w:rFonts w:ascii="Calibri" w:hAnsi="Calibri"/>
                <w:sz w:val="15"/>
                <w:szCs w:val="15"/>
              </w:rPr>
            </w:pPr>
            <w:r>
              <w:rPr>
                <w:rFonts w:ascii="Calibri" w:hAnsi="Calibri"/>
                <w:sz w:val="15"/>
                <w:szCs w:val="15"/>
              </w:rPr>
              <w:t>89,929,462.49</w:t>
            </w:r>
          </w:p>
        </w:tc>
        <w:tc>
          <w:tcPr>
            <w:tcW w:w="708" w:type="dxa"/>
            <w:tcBorders>
              <w:top w:val="single" w:color="auto" w:sz="4" w:space="0"/>
              <w:left w:val="single" w:color="auto" w:sz="4" w:space="0"/>
              <w:bottom w:val="single" w:color="auto" w:sz="4" w:space="0"/>
              <w:right w:val="single" w:color="auto" w:sz="4" w:space="0"/>
            </w:tcBorders>
            <w:vAlign w:val="center"/>
          </w:tcPr>
          <w:p w14:paraId="12209B38">
            <w:pPr>
              <w:spacing w:line="276" w:lineRule="auto"/>
              <w:jc w:val="right"/>
              <w:rPr>
                <w:rFonts w:ascii="Calibri" w:hAnsi="Calibri"/>
                <w:sz w:val="15"/>
                <w:szCs w:val="15"/>
              </w:rPr>
            </w:pPr>
            <w:r>
              <w:rPr>
                <w:rFonts w:ascii="Calibri" w:hAnsi="Calibri"/>
                <w:sz w:val="15"/>
                <w:szCs w:val="15"/>
              </w:rPr>
              <w:t>18.08</w:t>
            </w:r>
          </w:p>
        </w:tc>
        <w:tc>
          <w:tcPr>
            <w:tcW w:w="1276" w:type="dxa"/>
            <w:tcBorders>
              <w:top w:val="single" w:color="auto" w:sz="4" w:space="0"/>
              <w:left w:val="single" w:color="auto" w:sz="4" w:space="0"/>
              <w:bottom w:val="single" w:color="auto" w:sz="4" w:space="0"/>
              <w:right w:val="single" w:color="auto" w:sz="4" w:space="0"/>
            </w:tcBorders>
            <w:vAlign w:val="center"/>
          </w:tcPr>
          <w:p w14:paraId="0F9D998A">
            <w:pPr>
              <w:spacing w:line="276" w:lineRule="auto"/>
              <w:jc w:val="right"/>
              <w:rPr>
                <w:rFonts w:ascii="Calibri" w:hAnsi="Calibri"/>
                <w:sz w:val="15"/>
                <w:szCs w:val="15"/>
              </w:rPr>
            </w:pPr>
            <w:r>
              <w:rPr>
                <w:rFonts w:ascii="Calibri" w:hAnsi="Calibri"/>
                <w:sz w:val="15"/>
                <w:szCs w:val="15"/>
              </w:rPr>
              <w:t>407,383,216.73</w:t>
            </w:r>
          </w:p>
        </w:tc>
        <w:tc>
          <w:tcPr>
            <w:tcW w:w="1276" w:type="dxa"/>
            <w:tcBorders>
              <w:top w:val="single" w:color="auto" w:sz="4" w:space="0"/>
              <w:left w:val="single" w:color="auto" w:sz="4" w:space="0"/>
              <w:bottom w:val="single" w:color="auto" w:sz="4" w:space="0"/>
              <w:right w:val="single" w:color="auto" w:sz="4" w:space="0"/>
            </w:tcBorders>
            <w:vAlign w:val="center"/>
          </w:tcPr>
          <w:p w14:paraId="5AAFC928">
            <w:pPr>
              <w:spacing w:line="276" w:lineRule="auto"/>
              <w:jc w:val="right"/>
              <w:rPr>
                <w:rFonts w:ascii="Calibri" w:hAnsi="Calibri"/>
                <w:sz w:val="15"/>
                <w:szCs w:val="15"/>
              </w:rPr>
            </w:pPr>
            <w:r>
              <w:rPr>
                <w:rFonts w:ascii="Calibri" w:hAnsi="Calibri"/>
                <w:sz w:val="15"/>
                <w:szCs w:val="15"/>
              </w:rPr>
              <w:t>590,400,986.48</w:t>
            </w:r>
          </w:p>
        </w:tc>
        <w:tc>
          <w:tcPr>
            <w:tcW w:w="709" w:type="dxa"/>
            <w:tcBorders>
              <w:top w:val="single" w:color="auto" w:sz="4" w:space="0"/>
              <w:left w:val="single" w:color="auto" w:sz="4" w:space="0"/>
              <w:bottom w:val="single" w:color="auto" w:sz="4" w:space="0"/>
              <w:right w:val="single" w:color="auto" w:sz="4" w:space="0"/>
            </w:tcBorders>
            <w:vAlign w:val="center"/>
          </w:tcPr>
          <w:p w14:paraId="3BD793F5">
            <w:pPr>
              <w:spacing w:line="276" w:lineRule="auto"/>
              <w:jc w:val="right"/>
              <w:rPr>
                <w:rFonts w:ascii="Calibri" w:hAnsi="Calibri"/>
                <w:sz w:val="15"/>
                <w:szCs w:val="15"/>
              </w:rPr>
            </w:pPr>
            <w:r>
              <w:rPr>
                <w:rFonts w:ascii="Calibri" w:hAnsi="Calibri"/>
                <w:sz w:val="15"/>
                <w:szCs w:val="15"/>
              </w:rPr>
              <w:t>98.84</w:t>
            </w:r>
          </w:p>
        </w:tc>
        <w:tc>
          <w:tcPr>
            <w:tcW w:w="1275" w:type="dxa"/>
            <w:tcBorders>
              <w:top w:val="single" w:color="auto" w:sz="4" w:space="0"/>
              <w:left w:val="single" w:color="auto" w:sz="4" w:space="0"/>
              <w:bottom w:val="single" w:color="auto" w:sz="4" w:space="0"/>
              <w:right w:val="single" w:color="auto" w:sz="4" w:space="0"/>
            </w:tcBorders>
            <w:vAlign w:val="center"/>
          </w:tcPr>
          <w:p w14:paraId="241E723B">
            <w:pPr>
              <w:spacing w:line="276" w:lineRule="auto"/>
              <w:jc w:val="right"/>
              <w:rPr>
                <w:rFonts w:ascii="Calibri" w:hAnsi="Calibri"/>
                <w:sz w:val="15"/>
                <w:szCs w:val="15"/>
              </w:rPr>
            </w:pPr>
            <w:r>
              <w:rPr>
                <w:rFonts w:ascii="Calibri" w:hAnsi="Calibri"/>
                <w:sz w:val="15"/>
                <w:szCs w:val="15"/>
              </w:rPr>
              <w:t>108,202,565.27</w:t>
            </w:r>
          </w:p>
        </w:tc>
        <w:tc>
          <w:tcPr>
            <w:tcW w:w="709" w:type="dxa"/>
            <w:tcBorders>
              <w:top w:val="single" w:color="auto" w:sz="4" w:space="0"/>
              <w:left w:val="single" w:color="auto" w:sz="4" w:space="0"/>
              <w:bottom w:val="single" w:color="auto" w:sz="4" w:space="0"/>
              <w:right w:val="single" w:color="auto" w:sz="4" w:space="0"/>
            </w:tcBorders>
            <w:vAlign w:val="center"/>
          </w:tcPr>
          <w:p w14:paraId="0428B4EA">
            <w:pPr>
              <w:spacing w:line="276" w:lineRule="auto"/>
              <w:jc w:val="right"/>
              <w:rPr>
                <w:rFonts w:ascii="Calibri" w:hAnsi="Calibri"/>
                <w:sz w:val="15"/>
                <w:szCs w:val="15"/>
              </w:rPr>
            </w:pPr>
            <w:r>
              <w:rPr>
                <w:rFonts w:ascii="Calibri" w:hAnsi="Calibri"/>
                <w:sz w:val="15"/>
                <w:szCs w:val="15"/>
              </w:rPr>
              <w:t>18.33</w:t>
            </w:r>
          </w:p>
        </w:tc>
        <w:tc>
          <w:tcPr>
            <w:tcW w:w="1276" w:type="dxa"/>
            <w:tcBorders>
              <w:top w:val="single" w:color="auto" w:sz="4" w:space="0"/>
              <w:left w:val="single" w:color="auto" w:sz="4" w:space="0"/>
              <w:bottom w:val="single" w:color="auto" w:sz="4" w:space="0"/>
              <w:right w:val="single" w:color="auto" w:sz="4" w:space="0"/>
            </w:tcBorders>
            <w:vAlign w:val="center"/>
          </w:tcPr>
          <w:p w14:paraId="36C02870">
            <w:pPr>
              <w:spacing w:line="276" w:lineRule="auto"/>
              <w:jc w:val="right"/>
              <w:rPr>
                <w:rFonts w:ascii="Calibri" w:hAnsi="Calibri"/>
                <w:sz w:val="15"/>
                <w:szCs w:val="15"/>
              </w:rPr>
            </w:pPr>
            <w:r>
              <w:rPr>
                <w:rFonts w:ascii="Calibri" w:hAnsi="Calibri"/>
                <w:sz w:val="15"/>
                <w:szCs w:val="15"/>
              </w:rPr>
              <w:t>482,198,421.21</w:t>
            </w:r>
          </w:p>
        </w:tc>
      </w:tr>
      <w:tr w14:paraId="1CBF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Calibri" w:hAnsi="Calibri"/>
              <w:sz w:val="15"/>
              <w:szCs w:val="15"/>
            </w:rPr>
            <w:tag w:val="_PLD_3e90aa50b20c494dafda2d9726e46570"/>
            <w:id w:val="2048725475"/>
          </w:sdtPr>
          <w:sdtEndPr>
            <w:rPr>
              <w:rFonts w:ascii="Calibri" w:hAnsi="Calibri"/>
              <w:sz w:val="15"/>
              <w:szCs w:val="15"/>
            </w:rPr>
          </w:sdtEndPr>
          <w:sdtContent>
            <w:tc>
              <w:tcPr>
                <w:tcW w:w="11341" w:type="dxa"/>
                <w:gridSpan w:val="11"/>
                <w:tcBorders>
                  <w:top w:val="single" w:color="auto" w:sz="4" w:space="0"/>
                  <w:left w:val="single" w:color="auto" w:sz="4" w:space="0"/>
                  <w:bottom w:val="single" w:color="auto" w:sz="4" w:space="0"/>
                  <w:right w:val="single" w:color="auto" w:sz="4" w:space="0"/>
                </w:tcBorders>
                <w:vAlign w:val="center"/>
              </w:tcPr>
              <w:p w14:paraId="358007CA">
                <w:pPr>
                  <w:pStyle w:val="48"/>
                  <w:spacing w:line="276" w:lineRule="auto"/>
                  <w:rPr>
                    <w:sz w:val="15"/>
                    <w:szCs w:val="15"/>
                  </w:rPr>
                </w:pPr>
                <w:r>
                  <w:rPr>
                    <w:rFonts w:hint="eastAsia"/>
                    <w:sz w:val="15"/>
                    <w:szCs w:val="15"/>
                  </w:rPr>
                  <w:t>其中：</w:t>
                </w:r>
              </w:p>
            </w:tc>
          </w:sdtContent>
        </w:sdt>
      </w:tr>
      <w:tr w14:paraId="5824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Calibri" w:hAnsi="Calibri"/>
              <w:sz w:val="15"/>
              <w:szCs w:val="15"/>
            </w:rPr>
            <w:alias w:val="按组合计提坏账准备的应收账款明细-组合名称"/>
            <w:tag w:val="_GBC_bb95ca191c6548418732405aecc5c303"/>
            <w:id w:val="-2144108110"/>
          </w:sdtPr>
          <w:sdtEndPr>
            <w:rPr>
              <w:rFonts w:ascii="Calibri" w:hAnsi="Calibri"/>
              <w:sz w:val="15"/>
              <w:szCs w:val="15"/>
            </w:rPr>
          </w:sdtEndPr>
          <w:sdtContent>
            <w:tc>
              <w:tcPr>
                <w:tcW w:w="992" w:type="dxa"/>
                <w:tcBorders>
                  <w:top w:val="single" w:color="auto" w:sz="4" w:space="0"/>
                  <w:left w:val="single" w:color="auto" w:sz="4" w:space="0"/>
                  <w:bottom w:val="single" w:color="auto" w:sz="4" w:space="0"/>
                  <w:right w:val="single" w:color="auto" w:sz="4" w:space="0"/>
                </w:tcBorders>
                <w:vAlign w:val="center"/>
              </w:tcPr>
              <w:p w14:paraId="2C5D776D">
                <w:pPr>
                  <w:rPr>
                    <w:rFonts w:ascii="Calibri" w:hAnsi="Calibri"/>
                    <w:color w:val="808080"/>
                    <w:sz w:val="15"/>
                    <w:szCs w:val="15"/>
                  </w:rPr>
                </w:pPr>
                <w:r>
                  <w:rPr>
                    <w:rFonts w:hint="eastAsia" w:ascii="Calibri" w:hAnsi="Calibri"/>
                    <w:sz w:val="15"/>
                    <w:szCs w:val="15"/>
                  </w:rPr>
                  <w:t>按信用风险特征组合计提坏账准备</w:t>
                </w:r>
              </w:p>
            </w:tc>
          </w:sdtContent>
        </w:sdt>
        <w:tc>
          <w:tcPr>
            <w:tcW w:w="1277" w:type="dxa"/>
            <w:tcBorders>
              <w:top w:val="single" w:color="auto" w:sz="4" w:space="0"/>
              <w:left w:val="single" w:color="auto" w:sz="4" w:space="0"/>
              <w:bottom w:val="single" w:color="auto" w:sz="4" w:space="0"/>
              <w:right w:val="single" w:color="auto" w:sz="4" w:space="0"/>
            </w:tcBorders>
            <w:vAlign w:val="center"/>
          </w:tcPr>
          <w:p w14:paraId="48C4B2B6">
            <w:pPr>
              <w:spacing w:line="276" w:lineRule="auto"/>
              <w:jc w:val="right"/>
              <w:rPr>
                <w:rFonts w:ascii="Calibri" w:hAnsi="Calibri"/>
                <w:sz w:val="15"/>
                <w:szCs w:val="15"/>
              </w:rPr>
            </w:pPr>
            <w:r>
              <w:rPr>
                <w:rFonts w:ascii="Calibri" w:hAnsi="Calibri"/>
                <w:sz w:val="15"/>
                <w:szCs w:val="15"/>
              </w:rPr>
              <w:t>475,875,402.22</w:t>
            </w:r>
          </w:p>
        </w:tc>
        <w:tc>
          <w:tcPr>
            <w:tcW w:w="709" w:type="dxa"/>
            <w:tcBorders>
              <w:top w:val="single" w:color="auto" w:sz="4" w:space="0"/>
              <w:left w:val="single" w:color="auto" w:sz="4" w:space="0"/>
              <w:bottom w:val="single" w:color="auto" w:sz="4" w:space="0"/>
              <w:right w:val="single" w:color="auto" w:sz="4" w:space="0"/>
            </w:tcBorders>
            <w:vAlign w:val="center"/>
          </w:tcPr>
          <w:p w14:paraId="0DCE398C">
            <w:pPr>
              <w:spacing w:line="276" w:lineRule="auto"/>
              <w:jc w:val="right"/>
              <w:rPr>
                <w:rFonts w:ascii="Calibri" w:hAnsi="Calibri"/>
                <w:sz w:val="15"/>
                <w:szCs w:val="15"/>
              </w:rPr>
            </w:pPr>
            <w:r>
              <w:rPr>
                <w:rFonts w:ascii="Calibri" w:hAnsi="Calibri"/>
                <w:sz w:val="15"/>
                <w:szCs w:val="15"/>
              </w:rPr>
              <w:t>94.37</w:t>
            </w:r>
          </w:p>
        </w:tc>
        <w:tc>
          <w:tcPr>
            <w:tcW w:w="1134" w:type="dxa"/>
            <w:tcBorders>
              <w:top w:val="single" w:color="auto" w:sz="4" w:space="0"/>
              <w:left w:val="single" w:color="auto" w:sz="4" w:space="0"/>
              <w:bottom w:val="single" w:color="auto" w:sz="4" w:space="0"/>
              <w:right w:val="single" w:color="auto" w:sz="4" w:space="0"/>
            </w:tcBorders>
            <w:vAlign w:val="center"/>
          </w:tcPr>
          <w:p w14:paraId="61963B78">
            <w:pPr>
              <w:spacing w:line="276" w:lineRule="auto"/>
              <w:jc w:val="right"/>
              <w:rPr>
                <w:rFonts w:ascii="Calibri" w:hAnsi="Calibri"/>
                <w:sz w:val="15"/>
                <w:szCs w:val="15"/>
              </w:rPr>
            </w:pPr>
            <w:r>
              <w:rPr>
                <w:rFonts w:ascii="Calibri" w:hAnsi="Calibri"/>
                <w:sz w:val="15"/>
                <w:szCs w:val="15"/>
              </w:rPr>
              <w:t>89,929,462.49</w:t>
            </w:r>
          </w:p>
        </w:tc>
        <w:tc>
          <w:tcPr>
            <w:tcW w:w="708" w:type="dxa"/>
            <w:tcBorders>
              <w:top w:val="single" w:color="auto" w:sz="4" w:space="0"/>
              <w:left w:val="single" w:color="auto" w:sz="4" w:space="0"/>
              <w:bottom w:val="single" w:color="auto" w:sz="4" w:space="0"/>
              <w:right w:val="single" w:color="auto" w:sz="4" w:space="0"/>
            </w:tcBorders>
            <w:vAlign w:val="center"/>
          </w:tcPr>
          <w:p w14:paraId="46BED76F">
            <w:pPr>
              <w:spacing w:line="276" w:lineRule="auto"/>
              <w:jc w:val="right"/>
              <w:rPr>
                <w:rFonts w:ascii="Calibri" w:hAnsi="Calibri"/>
                <w:sz w:val="15"/>
                <w:szCs w:val="15"/>
              </w:rPr>
            </w:pPr>
            <w:r>
              <w:rPr>
                <w:rFonts w:ascii="Calibri" w:hAnsi="Calibri"/>
                <w:sz w:val="15"/>
                <w:szCs w:val="15"/>
              </w:rPr>
              <w:t>18.90</w:t>
            </w:r>
          </w:p>
        </w:tc>
        <w:tc>
          <w:tcPr>
            <w:tcW w:w="1276" w:type="dxa"/>
            <w:tcBorders>
              <w:top w:val="single" w:color="auto" w:sz="4" w:space="0"/>
              <w:left w:val="single" w:color="auto" w:sz="4" w:space="0"/>
              <w:bottom w:val="single" w:color="auto" w:sz="4" w:space="0"/>
              <w:right w:val="single" w:color="auto" w:sz="4" w:space="0"/>
            </w:tcBorders>
            <w:vAlign w:val="center"/>
          </w:tcPr>
          <w:p w14:paraId="0F8D5162">
            <w:pPr>
              <w:spacing w:line="276" w:lineRule="auto"/>
              <w:jc w:val="right"/>
              <w:rPr>
                <w:rFonts w:ascii="Calibri" w:hAnsi="Calibri"/>
                <w:sz w:val="15"/>
                <w:szCs w:val="15"/>
              </w:rPr>
            </w:pPr>
            <w:r>
              <w:rPr>
                <w:rFonts w:ascii="Calibri" w:hAnsi="Calibri"/>
                <w:sz w:val="15"/>
                <w:szCs w:val="15"/>
              </w:rPr>
              <w:t>385,945,939.73</w:t>
            </w:r>
          </w:p>
        </w:tc>
        <w:tc>
          <w:tcPr>
            <w:tcW w:w="1276" w:type="dxa"/>
            <w:tcBorders>
              <w:top w:val="single" w:color="auto" w:sz="4" w:space="0"/>
              <w:left w:val="single" w:color="auto" w:sz="4" w:space="0"/>
              <w:bottom w:val="single" w:color="auto" w:sz="4" w:space="0"/>
              <w:right w:val="single" w:color="auto" w:sz="4" w:space="0"/>
            </w:tcBorders>
            <w:vAlign w:val="center"/>
          </w:tcPr>
          <w:p w14:paraId="74619B6C">
            <w:pPr>
              <w:spacing w:line="276" w:lineRule="auto"/>
              <w:jc w:val="right"/>
              <w:rPr>
                <w:rFonts w:ascii="Calibri" w:hAnsi="Calibri"/>
                <w:sz w:val="15"/>
                <w:szCs w:val="15"/>
              </w:rPr>
            </w:pPr>
            <w:r>
              <w:rPr>
                <w:rFonts w:ascii="Calibri" w:hAnsi="Calibri"/>
                <w:sz w:val="15"/>
                <w:szCs w:val="15"/>
              </w:rPr>
              <w:t>590,400,986.48</w:t>
            </w:r>
          </w:p>
        </w:tc>
        <w:tc>
          <w:tcPr>
            <w:tcW w:w="709" w:type="dxa"/>
            <w:tcBorders>
              <w:top w:val="single" w:color="auto" w:sz="4" w:space="0"/>
              <w:left w:val="single" w:color="auto" w:sz="4" w:space="0"/>
              <w:bottom w:val="single" w:color="auto" w:sz="4" w:space="0"/>
              <w:right w:val="single" w:color="auto" w:sz="4" w:space="0"/>
            </w:tcBorders>
            <w:vAlign w:val="center"/>
          </w:tcPr>
          <w:p w14:paraId="42377B0C">
            <w:pPr>
              <w:spacing w:line="276" w:lineRule="auto"/>
              <w:jc w:val="right"/>
              <w:rPr>
                <w:rFonts w:ascii="Calibri" w:hAnsi="Calibri"/>
                <w:sz w:val="15"/>
                <w:szCs w:val="15"/>
              </w:rPr>
            </w:pPr>
            <w:r>
              <w:rPr>
                <w:rFonts w:ascii="Calibri" w:hAnsi="Calibri"/>
                <w:sz w:val="15"/>
                <w:szCs w:val="15"/>
              </w:rPr>
              <w:t>98.84</w:t>
            </w:r>
          </w:p>
        </w:tc>
        <w:tc>
          <w:tcPr>
            <w:tcW w:w="1275" w:type="dxa"/>
            <w:tcBorders>
              <w:top w:val="single" w:color="auto" w:sz="4" w:space="0"/>
              <w:left w:val="single" w:color="auto" w:sz="4" w:space="0"/>
              <w:bottom w:val="single" w:color="auto" w:sz="4" w:space="0"/>
              <w:right w:val="single" w:color="auto" w:sz="4" w:space="0"/>
            </w:tcBorders>
            <w:vAlign w:val="center"/>
          </w:tcPr>
          <w:p w14:paraId="134A9832">
            <w:pPr>
              <w:spacing w:line="276" w:lineRule="auto"/>
              <w:jc w:val="right"/>
              <w:rPr>
                <w:rFonts w:ascii="Calibri" w:hAnsi="Calibri"/>
                <w:sz w:val="15"/>
                <w:szCs w:val="15"/>
              </w:rPr>
            </w:pPr>
            <w:r>
              <w:rPr>
                <w:rFonts w:ascii="Calibri" w:hAnsi="Calibri"/>
                <w:sz w:val="15"/>
                <w:szCs w:val="15"/>
              </w:rPr>
              <w:t>108,202,565.27</w:t>
            </w:r>
          </w:p>
        </w:tc>
        <w:tc>
          <w:tcPr>
            <w:tcW w:w="709" w:type="dxa"/>
            <w:tcBorders>
              <w:top w:val="single" w:color="auto" w:sz="4" w:space="0"/>
              <w:left w:val="single" w:color="auto" w:sz="4" w:space="0"/>
              <w:bottom w:val="single" w:color="auto" w:sz="4" w:space="0"/>
              <w:right w:val="single" w:color="auto" w:sz="4" w:space="0"/>
            </w:tcBorders>
            <w:vAlign w:val="center"/>
          </w:tcPr>
          <w:p w14:paraId="312F8CB8">
            <w:pPr>
              <w:spacing w:line="276" w:lineRule="auto"/>
              <w:jc w:val="right"/>
              <w:rPr>
                <w:rFonts w:ascii="Calibri" w:hAnsi="Calibri"/>
                <w:sz w:val="15"/>
                <w:szCs w:val="15"/>
              </w:rPr>
            </w:pPr>
            <w:r>
              <w:rPr>
                <w:rFonts w:ascii="Calibri" w:hAnsi="Calibri"/>
                <w:sz w:val="15"/>
                <w:szCs w:val="15"/>
              </w:rPr>
              <w:t>18.33</w:t>
            </w:r>
          </w:p>
        </w:tc>
        <w:tc>
          <w:tcPr>
            <w:tcW w:w="1276" w:type="dxa"/>
            <w:tcBorders>
              <w:top w:val="single" w:color="auto" w:sz="4" w:space="0"/>
              <w:left w:val="single" w:color="auto" w:sz="4" w:space="0"/>
              <w:bottom w:val="single" w:color="auto" w:sz="4" w:space="0"/>
              <w:right w:val="single" w:color="auto" w:sz="4" w:space="0"/>
            </w:tcBorders>
            <w:vAlign w:val="center"/>
          </w:tcPr>
          <w:p w14:paraId="52FD558B">
            <w:pPr>
              <w:spacing w:line="276" w:lineRule="auto"/>
              <w:jc w:val="right"/>
              <w:rPr>
                <w:rFonts w:ascii="Calibri" w:hAnsi="Calibri"/>
                <w:sz w:val="15"/>
                <w:szCs w:val="15"/>
              </w:rPr>
            </w:pPr>
            <w:r>
              <w:rPr>
                <w:rFonts w:ascii="Calibri" w:hAnsi="Calibri"/>
                <w:sz w:val="15"/>
                <w:szCs w:val="15"/>
              </w:rPr>
              <w:t>482,198,421.21</w:t>
            </w:r>
          </w:p>
        </w:tc>
      </w:tr>
      <w:tr w14:paraId="0E49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Calibri" w:hAnsi="Calibri"/>
              <w:sz w:val="15"/>
              <w:szCs w:val="15"/>
            </w:rPr>
            <w:alias w:val="按组合计提坏账准备的应收账款明细-组合名称"/>
            <w:tag w:val="_GBC_bb95ca191c6548418732405aecc5c303"/>
            <w:id w:val="-536116521"/>
          </w:sdtPr>
          <w:sdtEndPr>
            <w:rPr>
              <w:rFonts w:ascii="Calibri" w:hAnsi="Calibri"/>
              <w:sz w:val="15"/>
              <w:szCs w:val="15"/>
            </w:rPr>
          </w:sdtEndPr>
          <w:sdtContent>
            <w:tc>
              <w:tcPr>
                <w:tcW w:w="992" w:type="dxa"/>
                <w:tcBorders>
                  <w:top w:val="single" w:color="auto" w:sz="4" w:space="0"/>
                  <w:left w:val="single" w:color="auto" w:sz="4" w:space="0"/>
                  <w:bottom w:val="single" w:color="auto" w:sz="4" w:space="0"/>
                  <w:right w:val="single" w:color="auto" w:sz="4" w:space="0"/>
                </w:tcBorders>
                <w:vAlign w:val="center"/>
              </w:tcPr>
              <w:p w14:paraId="2BF15F67">
                <w:pPr>
                  <w:rPr>
                    <w:rFonts w:ascii="Calibri" w:hAnsi="Calibri"/>
                    <w:color w:val="808080"/>
                    <w:sz w:val="15"/>
                    <w:szCs w:val="15"/>
                  </w:rPr>
                </w:pPr>
                <w:r>
                  <w:rPr>
                    <w:rFonts w:hint="eastAsia" w:ascii="Calibri" w:hAnsi="Calibri"/>
                    <w:sz w:val="15"/>
                    <w:szCs w:val="15"/>
                  </w:rPr>
                  <w:t>集团关联方组合</w:t>
                </w:r>
              </w:p>
            </w:tc>
          </w:sdtContent>
        </w:sdt>
        <w:tc>
          <w:tcPr>
            <w:tcW w:w="1277" w:type="dxa"/>
            <w:tcBorders>
              <w:top w:val="single" w:color="auto" w:sz="4" w:space="0"/>
              <w:left w:val="single" w:color="auto" w:sz="4" w:space="0"/>
              <w:bottom w:val="single" w:color="auto" w:sz="4" w:space="0"/>
              <w:right w:val="single" w:color="auto" w:sz="4" w:space="0"/>
            </w:tcBorders>
            <w:vAlign w:val="center"/>
          </w:tcPr>
          <w:p w14:paraId="20D3962A">
            <w:pPr>
              <w:spacing w:line="276" w:lineRule="auto"/>
              <w:jc w:val="right"/>
              <w:rPr>
                <w:rFonts w:ascii="Calibri" w:hAnsi="Calibri"/>
                <w:sz w:val="15"/>
                <w:szCs w:val="15"/>
              </w:rPr>
            </w:pPr>
            <w:r>
              <w:rPr>
                <w:rFonts w:ascii="Calibri" w:hAnsi="Calibri"/>
                <w:sz w:val="15"/>
                <w:szCs w:val="15"/>
              </w:rPr>
              <w:t>21,437,277.00</w:t>
            </w:r>
          </w:p>
        </w:tc>
        <w:tc>
          <w:tcPr>
            <w:tcW w:w="709" w:type="dxa"/>
            <w:tcBorders>
              <w:top w:val="single" w:color="auto" w:sz="4" w:space="0"/>
              <w:left w:val="single" w:color="auto" w:sz="4" w:space="0"/>
              <w:bottom w:val="single" w:color="auto" w:sz="4" w:space="0"/>
              <w:right w:val="single" w:color="auto" w:sz="4" w:space="0"/>
            </w:tcBorders>
            <w:vAlign w:val="center"/>
          </w:tcPr>
          <w:p w14:paraId="061B6147">
            <w:pPr>
              <w:spacing w:line="276" w:lineRule="auto"/>
              <w:jc w:val="right"/>
              <w:rPr>
                <w:rFonts w:ascii="Calibri" w:hAnsi="Calibri"/>
                <w:sz w:val="15"/>
                <w:szCs w:val="15"/>
              </w:rPr>
            </w:pPr>
            <w:r>
              <w:rPr>
                <w:rFonts w:ascii="Calibri" w:hAnsi="Calibri"/>
                <w:sz w:val="15"/>
                <w:szCs w:val="15"/>
              </w:rPr>
              <w:t>4.25</w:t>
            </w:r>
          </w:p>
        </w:tc>
        <w:tc>
          <w:tcPr>
            <w:tcW w:w="1134" w:type="dxa"/>
            <w:tcBorders>
              <w:top w:val="single" w:color="auto" w:sz="4" w:space="0"/>
              <w:left w:val="single" w:color="auto" w:sz="4" w:space="0"/>
              <w:bottom w:val="single" w:color="auto" w:sz="4" w:space="0"/>
              <w:right w:val="single" w:color="auto" w:sz="4" w:space="0"/>
            </w:tcBorders>
            <w:vAlign w:val="center"/>
          </w:tcPr>
          <w:p w14:paraId="3EFC9EB3">
            <w:pPr>
              <w:spacing w:line="276" w:lineRule="auto"/>
              <w:jc w:val="right"/>
              <w:rPr>
                <w:rFonts w:ascii="Calibri" w:hAnsi="Calibri"/>
                <w:sz w:val="15"/>
                <w:szCs w:val="15"/>
              </w:rPr>
            </w:pPr>
          </w:p>
        </w:tc>
        <w:tc>
          <w:tcPr>
            <w:tcW w:w="708" w:type="dxa"/>
            <w:tcBorders>
              <w:top w:val="single" w:color="auto" w:sz="4" w:space="0"/>
              <w:left w:val="single" w:color="auto" w:sz="4" w:space="0"/>
              <w:bottom w:val="single" w:color="auto" w:sz="4" w:space="0"/>
              <w:right w:val="single" w:color="auto" w:sz="4" w:space="0"/>
            </w:tcBorders>
            <w:vAlign w:val="center"/>
          </w:tcPr>
          <w:p w14:paraId="1C4A0EBC">
            <w:pPr>
              <w:spacing w:line="276" w:lineRule="auto"/>
              <w:jc w:val="right"/>
              <w:rPr>
                <w:rFonts w:ascii="Calibri" w:hAnsi="Calibri"/>
                <w:sz w:val="15"/>
                <w:szCs w:val="15"/>
              </w:rPr>
            </w:pPr>
          </w:p>
        </w:tc>
        <w:tc>
          <w:tcPr>
            <w:tcW w:w="1276" w:type="dxa"/>
            <w:tcBorders>
              <w:top w:val="single" w:color="auto" w:sz="4" w:space="0"/>
              <w:left w:val="single" w:color="auto" w:sz="4" w:space="0"/>
              <w:bottom w:val="single" w:color="auto" w:sz="4" w:space="0"/>
              <w:right w:val="single" w:color="auto" w:sz="4" w:space="0"/>
            </w:tcBorders>
            <w:vAlign w:val="center"/>
          </w:tcPr>
          <w:p w14:paraId="72DBD552">
            <w:pPr>
              <w:spacing w:line="276" w:lineRule="auto"/>
              <w:jc w:val="right"/>
              <w:rPr>
                <w:rFonts w:ascii="Calibri" w:hAnsi="Calibri"/>
                <w:sz w:val="15"/>
                <w:szCs w:val="15"/>
              </w:rPr>
            </w:pPr>
            <w:r>
              <w:rPr>
                <w:rFonts w:ascii="Calibri" w:hAnsi="Calibri"/>
                <w:sz w:val="15"/>
                <w:szCs w:val="15"/>
              </w:rPr>
              <w:t>21,437,277.00</w:t>
            </w:r>
          </w:p>
        </w:tc>
        <w:tc>
          <w:tcPr>
            <w:tcW w:w="1276" w:type="dxa"/>
            <w:tcBorders>
              <w:top w:val="single" w:color="auto" w:sz="4" w:space="0"/>
              <w:left w:val="single" w:color="auto" w:sz="4" w:space="0"/>
              <w:bottom w:val="single" w:color="auto" w:sz="4" w:space="0"/>
              <w:right w:val="single" w:color="auto" w:sz="4" w:space="0"/>
            </w:tcBorders>
            <w:vAlign w:val="center"/>
          </w:tcPr>
          <w:p w14:paraId="39B0F930">
            <w:pPr>
              <w:spacing w:line="276" w:lineRule="auto"/>
              <w:jc w:val="right"/>
              <w:rPr>
                <w:rFonts w:ascii="Calibri" w:hAnsi="Calibri"/>
                <w:sz w:val="15"/>
                <w:szCs w:val="15"/>
              </w:rPr>
            </w:pPr>
          </w:p>
        </w:tc>
        <w:tc>
          <w:tcPr>
            <w:tcW w:w="709" w:type="dxa"/>
            <w:tcBorders>
              <w:top w:val="single" w:color="auto" w:sz="4" w:space="0"/>
              <w:left w:val="single" w:color="auto" w:sz="4" w:space="0"/>
              <w:bottom w:val="single" w:color="auto" w:sz="4" w:space="0"/>
              <w:right w:val="single" w:color="auto" w:sz="4" w:space="0"/>
            </w:tcBorders>
            <w:vAlign w:val="center"/>
          </w:tcPr>
          <w:p w14:paraId="46454177">
            <w:pPr>
              <w:spacing w:line="276" w:lineRule="auto"/>
              <w:jc w:val="right"/>
              <w:rPr>
                <w:rFonts w:ascii="Calibri" w:hAnsi="Calibri"/>
                <w:sz w:val="15"/>
                <w:szCs w:val="15"/>
              </w:rPr>
            </w:pPr>
          </w:p>
        </w:tc>
        <w:tc>
          <w:tcPr>
            <w:tcW w:w="1275" w:type="dxa"/>
            <w:tcBorders>
              <w:top w:val="single" w:color="auto" w:sz="4" w:space="0"/>
              <w:left w:val="single" w:color="auto" w:sz="4" w:space="0"/>
              <w:bottom w:val="single" w:color="auto" w:sz="4" w:space="0"/>
              <w:right w:val="single" w:color="auto" w:sz="4" w:space="0"/>
            </w:tcBorders>
            <w:vAlign w:val="center"/>
          </w:tcPr>
          <w:p w14:paraId="0C01C14D">
            <w:pPr>
              <w:spacing w:line="276" w:lineRule="auto"/>
              <w:jc w:val="right"/>
              <w:rPr>
                <w:rFonts w:ascii="Calibri" w:hAnsi="Calibri"/>
                <w:sz w:val="15"/>
                <w:szCs w:val="15"/>
              </w:rPr>
            </w:pPr>
          </w:p>
        </w:tc>
        <w:tc>
          <w:tcPr>
            <w:tcW w:w="709" w:type="dxa"/>
            <w:tcBorders>
              <w:top w:val="single" w:color="auto" w:sz="4" w:space="0"/>
              <w:left w:val="single" w:color="auto" w:sz="4" w:space="0"/>
              <w:bottom w:val="single" w:color="auto" w:sz="4" w:space="0"/>
              <w:right w:val="single" w:color="auto" w:sz="4" w:space="0"/>
            </w:tcBorders>
            <w:vAlign w:val="center"/>
          </w:tcPr>
          <w:p w14:paraId="6726D4C8">
            <w:pPr>
              <w:spacing w:line="276" w:lineRule="auto"/>
              <w:jc w:val="right"/>
              <w:rPr>
                <w:rFonts w:ascii="Calibri" w:hAnsi="Calibri"/>
                <w:sz w:val="15"/>
                <w:szCs w:val="15"/>
              </w:rPr>
            </w:pPr>
          </w:p>
        </w:tc>
        <w:tc>
          <w:tcPr>
            <w:tcW w:w="1276" w:type="dxa"/>
            <w:tcBorders>
              <w:top w:val="single" w:color="auto" w:sz="4" w:space="0"/>
              <w:left w:val="single" w:color="auto" w:sz="4" w:space="0"/>
              <w:bottom w:val="single" w:color="auto" w:sz="4" w:space="0"/>
              <w:right w:val="single" w:color="auto" w:sz="4" w:space="0"/>
            </w:tcBorders>
            <w:vAlign w:val="center"/>
          </w:tcPr>
          <w:p w14:paraId="6DBD7BFE">
            <w:pPr>
              <w:spacing w:line="276" w:lineRule="auto"/>
              <w:jc w:val="right"/>
              <w:rPr>
                <w:rFonts w:ascii="Calibri" w:hAnsi="Calibri"/>
                <w:sz w:val="15"/>
                <w:szCs w:val="15"/>
              </w:rPr>
            </w:pPr>
          </w:p>
        </w:tc>
      </w:tr>
      <w:tr w14:paraId="02C2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92" w:type="dxa"/>
            <w:tcBorders>
              <w:top w:val="single" w:color="auto" w:sz="4" w:space="0"/>
              <w:left w:val="single" w:color="auto" w:sz="4" w:space="0"/>
              <w:bottom w:val="single" w:color="auto" w:sz="4" w:space="0"/>
              <w:right w:val="single" w:color="auto" w:sz="4" w:space="0"/>
            </w:tcBorders>
            <w:vAlign w:val="center"/>
          </w:tcPr>
          <w:p w14:paraId="39266EB2">
            <w:pPr>
              <w:autoSpaceDE w:val="0"/>
              <w:autoSpaceDN w:val="0"/>
              <w:adjustRightInd w:val="0"/>
              <w:jc w:val="center"/>
              <w:rPr>
                <w:rFonts w:ascii="Calibri" w:hAnsi="Calibri"/>
                <w:sz w:val="15"/>
                <w:szCs w:val="15"/>
              </w:rPr>
            </w:pPr>
            <w:r>
              <w:rPr>
                <w:rFonts w:hint="eastAsia" w:ascii="Calibri" w:hAnsi="Calibri"/>
                <w:sz w:val="15"/>
                <w:szCs w:val="15"/>
              </w:rPr>
              <w:t>合计</w:t>
            </w:r>
          </w:p>
        </w:tc>
        <w:tc>
          <w:tcPr>
            <w:tcW w:w="1277" w:type="dxa"/>
            <w:tcBorders>
              <w:top w:val="single" w:color="auto" w:sz="4" w:space="0"/>
              <w:left w:val="single" w:color="auto" w:sz="4" w:space="0"/>
              <w:bottom w:val="single" w:color="auto" w:sz="4" w:space="0"/>
              <w:right w:val="single" w:color="auto" w:sz="4" w:space="0"/>
            </w:tcBorders>
            <w:vAlign w:val="center"/>
          </w:tcPr>
          <w:p w14:paraId="1FA2D181">
            <w:pPr>
              <w:spacing w:line="276" w:lineRule="auto"/>
              <w:jc w:val="right"/>
              <w:rPr>
                <w:rFonts w:ascii="Calibri" w:hAnsi="Calibri"/>
                <w:sz w:val="15"/>
                <w:szCs w:val="15"/>
              </w:rPr>
            </w:pPr>
            <w:r>
              <w:rPr>
                <w:rFonts w:ascii="Calibri" w:hAnsi="Calibri"/>
                <w:sz w:val="15"/>
                <w:szCs w:val="15"/>
              </w:rPr>
              <w:t>504,262,646.22</w:t>
            </w:r>
          </w:p>
        </w:tc>
        <w:tc>
          <w:tcPr>
            <w:tcW w:w="709" w:type="dxa"/>
            <w:tcBorders>
              <w:top w:val="single" w:color="auto" w:sz="4" w:space="0"/>
              <w:left w:val="single" w:color="auto" w:sz="4" w:space="0"/>
              <w:bottom w:val="single" w:color="auto" w:sz="4" w:space="0"/>
              <w:right w:val="single" w:color="auto" w:sz="4" w:space="0"/>
            </w:tcBorders>
            <w:vAlign w:val="center"/>
          </w:tcPr>
          <w:p w14:paraId="45407E96">
            <w:pPr>
              <w:spacing w:line="276" w:lineRule="auto"/>
              <w:jc w:val="right"/>
              <w:rPr>
                <w:rFonts w:ascii="Calibri" w:hAnsi="Calibri"/>
                <w:sz w:val="15"/>
                <w:szCs w:val="15"/>
              </w:rPr>
            </w:pPr>
            <w:r>
              <w:rPr>
                <w:rFonts w:ascii="Calibri" w:hAnsi="Calibri"/>
                <w:sz w:val="15"/>
                <w:szCs w:val="15"/>
              </w:rPr>
              <w:t>100.00</w:t>
            </w:r>
          </w:p>
        </w:tc>
        <w:tc>
          <w:tcPr>
            <w:tcW w:w="1134" w:type="dxa"/>
            <w:tcBorders>
              <w:top w:val="single" w:color="auto" w:sz="4" w:space="0"/>
              <w:left w:val="single" w:color="auto" w:sz="4" w:space="0"/>
              <w:bottom w:val="single" w:color="auto" w:sz="4" w:space="0"/>
              <w:right w:val="single" w:color="auto" w:sz="4" w:space="0"/>
            </w:tcBorders>
            <w:vAlign w:val="center"/>
          </w:tcPr>
          <w:p w14:paraId="1146B0F9">
            <w:pPr>
              <w:spacing w:line="276" w:lineRule="auto"/>
              <w:jc w:val="right"/>
              <w:rPr>
                <w:rFonts w:ascii="Calibri" w:hAnsi="Calibri"/>
                <w:sz w:val="15"/>
                <w:szCs w:val="15"/>
              </w:rPr>
            </w:pPr>
            <w:r>
              <w:rPr>
                <w:rFonts w:ascii="Calibri" w:hAnsi="Calibri"/>
                <w:sz w:val="15"/>
                <w:szCs w:val="15"/>
              </w:rPr>
              <w:t>96,879,429.49</w:t>
            </w:r>
          </w:p>
        </w:tc>
        <w:tc>
          <w:tcPr>
            <w:tcW w:w="708" w:type="dxa"/>
            <w:tcBorders>
              <w:top w:val="single" w:color="auto" w:sz="4" w:space="0"/>
              <w:left w:val="single" w:color="auto" w:sz="4" w:space="0"/>
              <w:bottom w:val="single" w:color="auto" w:sz="4" w:space="0"/>
              <w:right w:val="single" w:color="auto" w:sz="4" w:space="0"/>
            </w:tcBorders>
            <w:vAlign w:val="center"/>
          </w:tcPr>
          <w:p w14:paraId="0AC63B3C">
            <w:pPr>
              <w:spacing w:line="276" w:lineRule="auto"/>
              <w:jc w:val="right"/>
              <w:rPr>
                <w:rFonts w:ascii="Calibri" w:hAnsi="Calibri"/>
                <w:sz w:val="15"/>
                <w:szCs w:val="15"/>
              </w:rPr>
            </w:pPr>
            <w:r>
              <w:rPr>
                <w:rFonts w:ascii="Calibri" w:hAnsi="Calibri"/>
                <w:sz w:val="15"/>
                <w:szCs w:val="15"/>
              </w:rPr>
              <w:t>19.21</w:t>
            </w:r>
          </w:p>
        </w:tc>
        <w:tc>
          <w:tcPr>
            <w:tcW w:w="1276" w:type="dxa"/>
            <w:tcBorders>
              <w:top w:val="single" w:color="auto" w:sz="4" w:space="0"/>
              <w:left w:val="single" w:color="auto" w:sz="4" w:space="0"/>
              <w:bottom w:val="single" w:color="auto" w:sz="4" w:space="0"/>
              <w:right w:val="single" w:color="auto" w:sz="4" w:space="0"/>
            </w:tcBorders>
            <w:vAlign w:val="center"/>
          </w:tcPr>
          <w:p w14:paraId="4919BC03">
            <w:pPr>
              <w:spacing w:line="276" w:lineRule="auto"/>
              <w:jc w:val="right"/>
              <w:rPr>
                <w:rFonts w:ascii="Calibri" w:hAnsi="Calibri"/>
                <w:sz w:val="15"/>
                <w:szCs w:val="15"/>
              </w:rPr>
            </w:pPr>
            <w:r>
              <w:rPr>
                <w:rFonts w:ascii="Calibri" w:hAnsi="Calibri"/>
                <w:sz w:val="15"/>
                <w:szCs w:val="15"/>
              </w:rPr>
              <w:t>407,383,216.73</w:t>
            </w:r>
          </w:p>
        </w:tc>
        <w:tc>
          <w:tcPr>
            <w:tcW w:w="1276" w:type="dxa"/>
            <w:tcBorders>
              <w:top w:val="single" w:color="auto" w:sz="4" w:space="0"/>
              <w:left w:val="single" w:color="auto" w:sz="4" w:space="0"/>
              <w:bottom w:val="single" w:color="auto" w:sz="4" w:space="0"/>
              <w:right w:val="single" w:color="auto" w:sz="4" w:space="0"/>
            </w:tcBorders>
          </w:tcPr>
          <w:p w14:paraId="2FB57DAD">
            <w:pPr>
              <w:spacing w:line="276" w:lineRule="auto"/>
              <w:jc w:val="right"/>
              <w:rPr>
                <w:rFonts w:ascii="Calibri" w:hAnsi="Calibri"/>
                <w:sz w:val="15"/>
                <w:szCs w:val="15"/>
              </w:rPr>
            </w:pPr>
            <w:r>
              <w:rPr>
                <w:rFonts w:ascii="Calibri" w:hAnsi="Calibri"/>
                <w:sz w:val="15"/>
                <w:szCs w:val="15"/>
              </w:rPr>
              <w:t>597,350,953.48</w:t>
            </w:r>
          </w:p>
        </w:tc>
        <w:tc>
          <w:tcPr>
            <w:tcW w:w="709" w:type="dxa"/>
            <w:tcBorders>
              <w:top w:val="single" w:color="auto" w:sz="4" w:space="0"/>
              <w:left w:val="single" w:color="auto" w:sz="4" w:space="0"/>
              <w:bottom w:val="single" w:color="auto" w:sz="4" w:space="0"/>
              <w:right w:val="single" w:color="auto" w:sz="4" w:space="0"/>
            </w:tcBorders>
          </w:tcPr>
          <w:p w14:paraId="68DC834E">
            <w:pPr>
              <w:spacing w:line="276" w:lineRule="auto"/>
              <w:jc w:val="center"/>
              <w:rPr>
                <w:rFonts w:ascii="Calibri" w:hAnsi="Calibri"/>
                <w:sz w:val="15"/>
                <w:szCs w:val="15"/>
              </w:rPr>
            </w:pPr>
            <w:r>
              <w:rPr>
                <w:rFonts w:ascii="Calibri" w:hAnsi="Calibri"/>
                <w:sz w:val="15"/>
                <w:szCs w:val="15"/>
              </w:rPr>
              <w:t>100.00</w:t>
            </w:r>
          </w:p>
        </w:tc>
        <w:tc>
          <w:tcPr>
            <w:tcW w:w="1275" w:type="dxa"/>
            <w:tcBorders>
              <w:top w:val="single" w:color="auto" w:sz="4" w:space="0"/>
              <w:left w:val="single" w:color="auto" w:sz="4" w:space="0"/>
              <w:bottom w:val="single" w:color="auto" w:sz="4" w:space="0"/>
              <w:right w:val="single" w:color="auto" w:sz="4" w:space="0"/>
            </w:tcBorders>
          </w:tcPr>
          <w:p w14:paraId="0D8320F6">
            <w:pPr>
              <w:spacing w:line="276" w:lineRule="auto"/>
              <w:jc w:val="right"/>
              <w:rPr>
                <w:rFonts w:ascii="Calibri" w:hAnsi="Calibri"/>
                <w:sz w:val="15"/>
                <w:szCs w:val="15"/>
              </w:rPr>
            </w:pPr>
            <w:r>
              <w:rPr>
                <w:rFonts w:ascii="Calibri" w:hAnsi="Calibri"/>
                <w:sz w:val="15"/>
                <w:szCs w:val="15"/>
              </w:rPr>
              <w:t>115,152,532.27</w:t>
            </w:r>
          </w:p>
        </w:tc>
        <w:tc>
          <w:tcPr>
            <w:tcW w:w="709" w:type="dxa"/>
            <w:tcBorders>
              <w:top w:val="single" w:color="auto" w:sz="4" w:space="0"/>
              <w:left w:val="single" w:color="auto" w:sz="4" w:space="0"/>
              <w:bottom w:val="single" w:color="auto" w:sz="4" w:space="0"/>
              <w:right w:val="single" w:color="auto" w:sz="4" w:space="0"/>
            </w:tcBorders>
          </w:tcPr>
          <w:p w14:paraId="7A73D8A9">
            <w:pPr>
              <w:spacing w:line="276" w:lineRule="auto"/>
              <w:jc w:val="center"/>
              <w:rPr>
                <w:rFonts w:ascii="Calibri" w:hAnsi="Calibri"/>
                <w:sz w:val="15"/>
                <w:szCs w:val="15"/>
              </w:rPr>
            </w:pPr>
            <w:r>
              <w:rPr>
                <w:rFonts w:ascii="Calibri" w:hAnsi="Calibri"/>
                <w:sz w:val="15"/>
                <w:szCs w:val="15"/>
              </w:rPr>
              <w:t>19.28</w:t>
            </w:r>
          </w:p>
        </w:tc>
        <w:tc>
          <w:tcPr>
            <w:tcW w:w="1276" w:type="dxa"/>
            <w:tcBorders>
              <w:top w:val="single" w:color="auto" w:sz="4" w:space="0"/>
              <w:left w:val="single" w:color="auto" w:sz="4" w:space="0"/>
              <w:bottom w:val="single" w:color="auto" w:sz="4" w:space="0"/>
              <w:right w:val="single" w:color="auto" w:sz="4" w:space="0"/>
            </w:tcBorders>
          </w:tcPr>
          <w:p w14:paraId="7BA65C5D">
            <w:pPr>
              <w:spacing w:line="276" w:lineRule="auto"/>
              <w:jc w:val="right"/>
              <w:rPr>
                <w:rFonts w:ascii="Calibri" w:hAnsi="Calibri"/>
                <w:sz w:val="15"/>
                <w:szCs w:val="15"/>
              </w:rPr>
            </w:pPr>
            <w:r>
              <w:rPr>
                <w:rFonts w:ascii="Calibri" w:hAnsi="Calibri"/>
                <w:sz w:val="15"/>
                <w:szCs w:val="15"/>
              </w:rPr>
              <w:t>482,198,421.21</w:t>
            </w:r>
          </w:p>
        </w:tc>
      </w:tr>
    </w:tbl>
    <w:p w14:paraId="10B66E1E"/>
    <w:p w14:paraId="309B51F5">
      <w:pPr>
        <w:pStyle w:val="48"/>
      </w:pPr>
      <w:r>
        <w:rPr>
          <w:rFonts w:hint="eastAsia"/>
        </w:rPr>
        <w:t>按单项计提坏账准备：</w:t>
      </w:r>
    </w:p>
    <w:sdt>
      <w:sdtPr>
        <w:alias w:val="是否适用：母公司应收账款按单项计提坏账准备[双击切换]"/>
        <w:tag w:val="_GBC_1cd34dae0bf14ebba3d99534844e7d95"/>
        <w:id w:val="-1679958135"/>
        <w:placeholder>
          <w:docPart w:val="GBC22222222222222222222222222222"/>
        </w:placeholder>
      </w:sdtPr>
      <w:sdtContent>
        <w:p w14:paraId="17D2B9E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33EA017">
      <w:pPr>
        <w:autoSpaceDE w:val="0"/>
        <w:autoSpaceDN w:val="0"/>
        <w:adjustRightInd w:val="0"/>
        <w:ind w:left="5880" w:right="105"/>
        <w:jc w:val="right"/>
      </w:pPr>
      <w:bookmarkStart w:id="387" w:name="_Hlk533796752"/>
      <w:r>
        <w:rPr>
          <w:rFonts w:hint="eastAsia"/>
        </w:rPr>
        <w:t>单位：</w:t>
      </w:r>
      <w:sdt>
        <w:sdtPr>
          <w:rPr>
            <w:rFonts w:hint="eastAsia"/>
          </w:rPr>
          <w:alias w:val="单位：母公司应收账款按单项计提坏账准备"/>
          <w:tag w:val="_GBC_92bc20ad98a2451daf91a5a49b199fd6"/>
          <w:id w:val="-4346723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应收账款按单项计提坏账准备"/>
          <w:tag w:val="_GBC_0a6db35d2d144335a2ac2dfe3b629ff1"/>
          <w:id w:val="-7444958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33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8"/>
        <w:gridCol w:w="1699"/>
        <w:gridCol w:w="1701"/>
        <w:gridCol w:w="1699"/>
        <w:gridCol w:w="1851"/>
      </w:tblGrid>
      <w:tr w14:paraId="5051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f06f48741cf4f8683629bc86fe4253a"/>
            <w:id w:val="-1238635615"/>
          </w:sdtPr>
          <w:sdtContent>
            <w:tc>
              <w:tcPr>
                <w:tcW w:w="2388" w:type="dxa"/>
                <w:vMerge w:val="restart"/>
                <w:vAlign w:val="center"/>
              </w:tcPr>
              <w:p w14:paraId="1EF808A8">
                <w:pPr>
                  <w:jc w:val="center"/>
                  <w:rPr>
                    <w:rFonts w:ascii="Calibri" w:hAnsi="Calibri"/>
                    <w:sz w:val="20"/>
                    <w:szCs w:val="20"/>
                  </w:rPr>
                </w:pPr>
                <w:r>
                  <w:rPr>
                    <w:rFonts w:hint="eastAsia" w:ascii="Calibri" w:hAnsi="Calibri"/>
                    <w:sz w:val="20"/>
                    <w:szCs w:val="20"/>
                  </w:rPr>
                  <w:t>名称</w:t>
                </w:r>
              </w:p>
            </w:tc>
          </w:sdtContent>
        </w:sdt>
        <w:sdt>
          <w:sdtPr>
            <w:tag w:val="_PLD_e8eabae632cb4a738dba30bece28c3a8"/>
            <w:id w:val="-68505660"/>
          </w:sdtPr>
          <w:sdtContent>
            <w:tc>
              <w:tcPr>
                <w:tcW w:w="6950" w:type="dxa"/>
                <w:gridSpan w:val="4"/>
                <w:vAlign w:val="center"/>
              </w:tcPr>
              <w:p w14:paraId="2BDB2C2F">
                <w:pPr>
                  <w:jc w:val="center"/>
                  <w:rPr>
                    <w:rFonts w:ascii="Calibri" w:hAnsi="Calibri"/>
                    <w:sz w:val="20"/>
                    <w:szCs w:val="20"/>
                  </w:rPr>
                </w:pPr>
                <w:r>
                  <w:rPr>
                    <w:rFonts w:hint="eastAsia" w:ascii="Calibri" w:hAnsi="Calibri"/>
                    <w:sz w:val="20"/>
                    <w:szCs w:val="20"/>
                  </w:rPr>
                  <w:t>期末余额</w:t>
                </w:r>
              </w:p>
            </w:tc>
          </w:sdtContent>
        </w:sdt>
      </w:tr>
      <w:tr w14:paraId="149E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vMerge w:val="continue"/>
            <w:vAlign w:val="center"/>
          </w:tcPr>
          <w:p w14:paraId="08188847">
            <w:pPr>
              <w:jc w:val="center"/>
              <w:rPr>
                <w:rFonts w:ascii="Calibri" w:hAnsi="Calibri"/>
                <w:sz w:val="20"/>
                <w:szCs w:val="20"/>
              </w:rPr>
            </w:pPr>
          </w:p>
        </w:tc>
        <w:sdt>
          <w:sdtPr>
            <w:tag w:val="_PLD_0ea49c9284ac4750b9c5ffe19ec4732c"/>
            <w:id w:val="1505090869"/>
          </w:sdtPr>
          <w:sdtContent>
            <w:tc>
              <w:tcPr>
                <w:tcW w:w="1699" w:type="dxa"/>
                <w:vAlign w:val="center"/>
              </w:tcPr>
              <w:p w14:paraId="385740E7">
                <w:pPr>
                  <w:jc w:val="center"/>
                  <w:rPr>
                    <w:rFonts w:ascii="Calibri" w:hAnsi="Calibri"/>
                    <w:sz w:val="20"/>
                    <w:szCs w:val="20"/>
                  </w:rPr>
                </w:pPr>
                <w:r>
                  <w:rPr>
                    <w:rFonts w:hint="eastAsia" w:ascii="Calibri" w:hAnsi="Calibri"/>
                    <w:sz w:val="20"/>
                    <w:szCs w:val="20"/>
                  </w:rPr>
                  <w:t>账面余额</w:t>
                </w:r>
              </w:p>
            </w:tc>
          </w:sdtContent>
        </w:sdt>
        <w:sdt>
          <w:sdtPr>
            <w:tag w:val="_PLD_4e5b035254d34ab286177f908a392849"/>
            <w:id w:val="-1574959078"/>
          </w:sdtPr>
          <w:sdtContent>
            <w:tc>
              <w:tcPr>
                <w:tcW w:w="1701" w:type="dxa"/>
                <w:vAlign w:val="center"/>
              </w:tcPr>
              <w:p w14:paraId="3111B3BC">
                <w:pPr>
                  <w:jc w:val="center"/>
                  <w:rPr>
                    <w:rFonts w:ascii="Calibri" w:hAnsi="Calibri"/>
                    <w:sz w:val="20"/>
                    <w:szCs w:val="20"/>
                  </w:rPr>
                </w:pPr>
                <w:r>
                  <w:rPr>
                    <w:rFonts w:hint="eastAsia" w:ascii="Calibri" w:hAnsi="Calibri"/>
                    <w:sz w:val="20"/>
                    <w:szCs w:val="20"/>
                  </w:rPr>
                  <w:t>坏账准备</w:t>
                </w:r>
              </w:p>
            </w:tc>
          </w:sdtContent>
        </w:sdt>
        <w:sdt>
          <w:sdtPr>
            <w:tag w:val="_PLD_9316156bac3c45f593fc5f35e8e28833"/>
            <w:id w:val="589441978"/>
          </w:sdtPr>
          <w:sdtContent>
            <w:tc>
              <w:tcPr>
                <w:tcW w:w="1699" w:type="dxa"/>
                <w:vAlign w:val="center"/>
              </w:tcPr>
              <w:p w14:paraId="272B660A">
                <w:pPr>
                  <w:jc w:val="center"/>
                  <w:rPr>
                    <w:rFonts w:ascii="Calibri" w:hAnsi="Calibri"/>
                    <w:sz w:val="20"/>
                    <w:szCs w:val="20"/>
                  </w:rPr>
                </w:pPr>
                <w:r>
                  <w:rPr>
                    <w:rFonts w:ascii="Calibri" w:hAnsi="Calibri"/>
                    <w:sz w:val="20"/>
                    <w:szCs w:val="20"/>
                  </w:rPr>
                  <w:t>计提比例</w:t>
                </w:r>
                <w:r>
                  <w:rPr>
                    <w:rFonts w:hint="eastAsia" w:ascii="Calibri" w:hAnsi="Calibri"/>
                    <w:sz w:val="20"/>
                    <w:szCs w:val="20"/>
                  </w:rPr>
                  <w:t>（%）</w:t>
                </w:r>
              </w:p>
            </w:tc>
          </w:sdtContent>
        </w:sdt>
        <w:sdt>
          <w:sdtPr>
            <w:tag w:val="_PLD_20dce80930bd4c9eb9bd96af960a880b"/>
            <w:id w:val="-713192955"/>
          </w:sdtPr>
          <w:sdtContent>
            <w:tc>
              <w:tcPr>
                <w:tcW w:w="1851" w:type="dxa"/>
                <w:vAlign w:val="center"/>
              </w:tcPr>
              <w:p w14:paraId="6DCEE640">
                <w:pPr>
                  <w:jc w:val="center"/>
                  <w:rPr>
                    <w:rFonts w:ascii="Calibri" w:hAnsi="Calibri"/>
                    <w:sz w:val="20"/>
                    <w:szCs w:val="20"/>
                  </w:rPr>
                </w:pPr>
                <w:r>
                  <w:rPr>
                    <w:rFonts w:hint="eastAsia" w:ascii="Calibri" w:hAnsi="Calibri"/>
                    <w:sz w:val="20"/>
                    <w:szCs w:val="20"/>
                  </w:rPr>
                  <w:t>计提理由</w:t>
                </w:r>
              </w:p>
            </w:tc>
          </w:sdtContent>
        </w:sdt>
      </w:tr>
      <w:tr w14:paraId="7FE8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vAlign w:val="center"/>
          </w:tcPr>
          <w:p w14:paraId="51E89274">
            <w:pPr>
              <w:adjustRightInd w:val="0"/>
              <w:snapToGrid w:val="0"/>
              <w:jc w:val="both"/>
              <w:rPr>
                <w:rFonts w:ascii="宋体" w:hAnsi="宋体" w:cs="Arial Narrow"/>
                <w:sz w:val="18"/>
                <w:szCs w:val="18"/>
              </w:rPr>
            </w:pPr>
            <w:r>
              <w:rPr>
                <w:rFonts w:ascii="宋体" w:hAnsi="宋体"/>
                <w:sz w:val="18"/>
                <w:szCs w:val="18"/>
              </w:rPr>
              <w:t>圣光集团医药物流有限公司</w:t>
            </w:r>
          </w:p>
        </w:tc>
        <w:tc>
          <w:tcPr>
            <w:tcW w:w="1699" w:type="dxa"/>
            <w:vAlign w:val="center"/>
          </w:tcPr>
          <w:p w14:paraId="3E54D5FE">
            <w:pPr>
              <w:jc w:val="right"/>
              <w:rPr>
                <w:rFonts w:ascii="Calibri" w:hAnsi="Calibri"/>
                <w:sz w:val="20"/>
                <w:szCs w:val="20"/>
              </w:rPr>
            </w:pPr>
            <w:r>
              <w:rPr>
                <w:rFonts w:ascii="Calibri" w:hAnsi="Calibri"/>
                <w:sz w:val="20"/>
                <w:szCs w:val="20"/>
              </w:rPr>
              <w:t>6,949,967.00</w:t>
            </w:r>
          </w:p>
        </w:tc>
        <w:tc>
          <w:tcPr>
            <w:tcW w:w="1701" w:type="dxa"/>
            <w:vAlign w:val="center"/>
          </w:tcPr>
          <w:p w14:paraId="4FB706C1">
            <w:pPr>
              <w:jc w:val="right"/>
              <w:rPr>
                <w:rFonts w:ascii="Calibri" w:hAnsi="Calibri"/>
                <w:sz w:val="20"/>
                <w:szCs w:val="20"/>
              </w:rPr>
            </w:pPr>
            <w:r>
              <w:rPr>
                <w:rFonts w:ascii="Calibri" w:hAnsi="Calibri"/>
                <w:sz w:val="20"/>
                <w:szCs w:val="20"/>
              </w:rPr>
              <w:t>6,949,967.00</w:t>
            </w:r>
          </w:p>
        </w:tc>
        <w:tc>
          <w:tcPr>
            <w:tcW w:w="1699" w:type="dxa"/>
            <w:vAlign w:val="center"/>
          </w:tcPr>
          <w:p w14:paraId="29531FF8">
            <w:pPr>
              <w:jc w:val="right"/>
              <w:rPr>
                <w:rFonts w:ascii="Calibri" w:hAnsi="Calibri"/>
                <w:sz w:val="20"/>
                <w:szCs w:val="20"/>
              </w:rPr>
            </w:pPr>
            <w:r>
              <w:rPr>
                <w:rFonts w:ascii="Calibri" w:hAnsi="Calibri"/>
                <w:sz w:val="20"/>
                <w:szCs w:val="20"/>
              </w:rPr>
              <w:t>100.00</w:t>
            </w:r>
          </w:p>
        </w:tc>
        <w:tc>
          <w:tcPr>
            <w:tcW w:w="1851" w:type="dxa"/>
            <w:vAlign w:val="center"/>
          </w:tcPr>
          <w:p w14:paraId="71D74176">
            <w:pPr>
              <w:rPr>
                <w:rFonts w:ascii="Calibri" w:hAnsi="Calibri"/>
                <w:sz w:val="20"/>
                <w:szCs w:val="20"/>
                <w:highlight w:val="yellow"/>
              </w:rPr>
            </w:pPr>
            <w:r>
              <w:rPr>
                <w:rFonts w:ascii="Calibri" w:hAnsi="Calibri"/>
                <w:sz w:val="20"/>
                <w:szCs w:val="20"/>
              </w:rPr>
              <w:t>债务单位破产重整</w:t>
            </w:r>
          </w:p>
        </w:tc>
      </w:tr>
      <w:tr w14:paraId="1747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vAlign w:val="center"/>
          </w:tcPr>
          <w:p w14:paraId="1FD306D4">
            <w:pPr>
              <w:jc w:val="center"/>
              <w:rPr>
                <w:rFonts w:ascii="Calibri" w:hAnsi="Calibri"/>
                <w:sz w:val="20"/>
                <w:szCs w:val="20"/>
              </w:rPr>
            </w:pPr>
            <w:r>
              <w:rPr>
                <w:rFonts w:hint="eastAsia" w:ascii="Calibri" w:hAnsi="Calibri"/>
                <w:sz w:val="20"/>
                <w:szCs w:val="20"/>
              </w:rPr>
              <w:t>合计</w:t>
            </w:r>
          </w:p>
        </w:tc>
        <w:tc>
          <w:tcPr>
            <w:tcW w:w="1699" w:type="dxa"/>
            <w:vAlign w:val="center"/>
          </w:tcPr>
          <w:p w14:paraId="3BF3131F">
            <w:pPr>
              <w:jc w:val="right"/>
              <w:rPr>
                <w:rFonts w:ascii="Calibri" w:hAnsi="Calibri"/>
                <w:sz w:val="20"/>
                <w:szCs w:val="20"/>
              </w:rPr>
            </w:pPr>
            <w:r>
              <w:rPr>
                <w:rFonts w:ascii="Calibri" w:hAnsi="Calibri"/>
                <w:sz w:val="20"/>
                <w:szCs w:val="20"/>
              </w:rPr>
              <w:t>6,949,967.00</w:t>
            </w:r>
          </w:p>
        </w:tc>
        <w:tc>
          <w:tcPr>
            <w:tcW w:w="1701" w:type="dxa"/>
            <w:vAlign w:val="center"/>
          </w:tcPr>
          <w:p w14:paraId="349E2B1D">
            <w:pPr>
              <w:jc w:val="right"/>
              <w:rPr>
                <w:rFonts w:ascii="Calibri" w:hAnsi="Calibri"/>
                <w:sz w:val="20"/>
                <w:szCs w:val="20"/>
              </w:rPr>
            </w:pPr>
            <w:r>
              <w:rPr>
                <w:rFonts w:ascii="Calibri" w:hAnsi="Calibri"/>
                <w:sz w:val="20"/>
                <w:szCs w:val="20"/>
              </w:rPr>
              <w:t>6,949,967.00</w:t>
            </w:r>
          </w:p>
        </w:tc>
        <w:tc>
          <w:tcPr>
            <w:tcW w:w="1699" w:type="dxa"/>
            <w:vAlign w:val="center"/>
          </w:tcPr>
          <w:p w14:paraId="75B47A2D">
            <w:pPr>
              <w:jc w:val="right"/>
              <w:rPr>
                <w:rFonts w:ascii="Calibri" w:hAnsi="Calibri"/>
                <w:sz w:val="20"/>
                <w:szCs w:val="20"/>
              </w:rPr>
            </w:pPr>
            <w:r>
              <w:rPr>
                <w:rFonts w:ascii="Calibri" w:hAnsi="Calibri"/>
                <w:sz w:val="20"/>
                <w:szCs w:val="20"/>
              </w:rPr>
              <w:t>100.00</w:t>
            </w:r>
          </w:p>
        </w:tc>
        <w:tc>
          <w:tcPr>
            <w:tcW w:w="1851" w:type="dxa"/>
            <w:vAlign w:val="center"/>
          </w:tcPr>
          <w:p w14:paraId="4B7E677F">
            <w:pPr>
              <w:jc w:val="center"/>
              <w:rPr>
                <w:rFonts w:ascii="Calibri" w:hAnsi="Calibri"/>
                <w:sz w:val="20"/>
                <w:szCs w:val="20"/>
              </w:rPr>
            </w:pPr>
          </w:p>
        </w:tc>
      </w:tr>
    </w:tbl>
    <w:p w14:paraId="76848894">
      <w:pPr>
        <w:pStyle w:val="48"/>
      </w:pPr>
      <w:r>
        <w:rPr>
          <w:rFonts w:hint="eastAsia"/>
        </w:rPr>
        <w:t>按单项计提坏账准备的说明：</w:t>
      </w:r>
    </w:p>
    <w:sdt>
      <w:sdtPr>
        <w:alias w:val="是否适用：母公司应收账款按单项计提坏账准备的说明[双击切换]"/>
        <w:tag w:val="_GBC_30d6fcd4135245dd83d85379087b4e62"/>
        <w:id w:val="975113164"/>
        <w:placeholder>
          <w:docPart w:val="GBC22222222222222222222222222222"/>
        </w:placeholder>
      </w:sdtPr>
      <w:sdtContent>
        <w:p w14:paraId="12331C5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2A8128B">
      <w:pPr>
        <w:pStyle w:val="48"/>
      </w:pPr>
    </w:p>
    <w:bookmarkEnd w:id="387"/>
    <w:sdt>
      <w:sdtPr>
        <w:tag w:val="_PLD_23aec57fe4b34ac2aa7d42cb52467101"/>
        <w:id w:val="1578089979"/>
      </w:sdtPr>
      <w:sdtContent>
        <w:p w14:paraId="71129DA7">
          <w:pPr>
            <w:pStyle w:val="48"/>
          </w:pPr>
          <w:r>
            <w:rPr>
              <w:rFonts w:hint="eastAsia"/>
            </w:rPr>
            <w:t>按组合计提坏账准备：</w:t>
          </w:r>
        </w:p>
      </w:sdtContent>
    </w:sdt>
    <w:sdt>
      <w:sdtPr>
        <w:alias w:val="是否适用：母公司应收账款按组合计提坏账准备[双击切换]"/>
        <w:tag w:val="_GBC_70ac43d24876403083fb1d281c12cd7e"/>
        <w:id w:val="-1136101049"/>
        <w:lock w:val="contentLocked"/>
        <w:placeholder>
          <w:docPart w:val="GBC22222222222222222222222222222"/>
        </w:placeholder>
      </w:sdtPr>
      <w:sdtContent>
        <w:p w14:paraId="50BEB3A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32A0608">
      <w:pPr>
        <w:pStyle w:val="48"/>
      </w:pPr>
      <w:bookmarkStart w:id="388" w:name="_Hlk533796778"/>
      <w:r>
        <w:rPr>
          <w:rFonts w:hint="eastAsia"/>
        </w:rPr>
        <w:t>组合计提项目：</w:t>
      </w:r>
      <w:sdt>
        <w:sdtPr>
          <w:rPr>
            <w:rFonts w:hint="eastAsia"/>
          </w:rPr>
          <w:alias w:val="按组合计提坏账准备的应收账款明细-组合名称"/>
          <w:tag w:val="_GBC_f2cd2e7d8a6f493ebfd1838be7b87223"/>
          <w:id w:val="-39440293"/>
          <w:placeholder>
            <w:docPart w:val="GBC22222222222222222222222222222"/>
          </w:placeholder>
          <w:comboBox>
            <w:listItem w:displayText="按信用风险特征组合计提坏账准备" w:value="按信用风险特征组合计提坏账准备"/>
            <w:listItem w:displayText="集团关联方组合" w:value="集团关联方组合"/>
          </w:comboBox>
        </w:sdtPr>
        <w:sdtEndPr>
          <w:rPr>
            <w:rFonts w:hint="eastAsia"/>
          </w:rPr>
        </w:sdtEndPr>
        <w:sdtContent>
          <w:r>
            <w:rPr>
              <w:rFonts w:hint="eastAsia"/>
            </w:rPr>
            <w:t>按信用风险特征组合计提坏账准备</w:t>
          </w:r>
        </w:sdtContent>
      </w:sdt>
    </w:p>
    <w:p w14:paraId="442ED14A">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2da079c1515b4a8f95770937142fdccb"/>
          <w:id w:val="19259912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应收账款按组合计提坏账准备"/>
          <w:tag w:val="_GBC_f64b56aa027540f0b7ab78abc6fef514"/>
          <w:id w:val="-17115679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2309"/>
        <w:gridCol w:w="2350"/>
        <w:gridCol w:w="2294"/>
      </w:tblGrid>
      <w:tr w14:paraId="39AD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85d7e84e47740668b70cce04f42de5b"/>
            <w:id w:val="-2118135736"/>
          </w:sdtPr>
          <w:sdtContent>
            <w:tc>
              <w:tcPr>
                <w:tcW w:w="2095" w:type="dxa"/>
                <w:vMerge w:val="restart"/>
                <w:vAlign w:val="center"/>
              </w:tcPr>
              <w:p w14:paraId="49EF0A68">
                <w:pPr>
                  <w:jc w:val="center"/>
                  <w:rPr>
                    <w:rFonts w:ascii="Calibri" w:hAnsi="Calibri"/>
                    <w:sz w:val="20"/>
                    <w:szCs w:val="20"/>
                  </w:rPr>
                </w:pPr>
                <w:r>
                  <w:rPr>
                    <w:rFonts w:hint="eastAsia" w:ascii="Calibri" w:hAnsi="Calibri"/>
                    <w:sz w:val="20"/>
                    <w:szCs w:val="20"/>
                  </w:rPr>
                  <w:t>名称</w:t>
                </w:r>
              </w:p>
            </w:tc>
          </w:sdtContent>
        </w:sdt>
        <w:sdt>
          <w:sdtPr>
            <w:tag w:val="_PLD_80bd7906b1fa41658076794e93d74585"/>
            <w:id w:val="-707805189"/>
          </w:sdtPr>
          <w:sdtContent>
            <w:tc>
              <w:tcPr>
                <w:tcW w:w="6953" w:type="dxa"/>
                <w:gridSpan w:val="3"/>
                <w:vAlign w:val="center"/>
              </w:tcPr>
              <w:p w14:paraId="7CC318E2">
                <w:pPr>
                  <w:jc w:val="center"/>
                  <w:rPr>
                    <w:rFonts w:ascii="Calibri" w:hAnsi="Calibri"/>
                    <w:sz w:val="20"/>
                    <w:szCs w:val="20"/>
                  </w:rPr>
                </w:pPr>
                <w:r>
                  <w:rPr>
                    <w:rFonts w:hint="eastAsia" w:ascii="Calibri" w:hAnsi="Calibri"/>
                    <w:sz w:val="20"/>
                    <w:szCs w:val="20"/>
                  </w:rPr>
                  <w:t>期末余额</w:t>
                </w:r>
              </w:p>
            </w:tc>
          </w:sdtContent>
        </w:sdt>
      </w:tr>
      <w:tr w14:paraId="41B6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Merge w:val="continue"/>
            <w:vAlign w:val="center"/>
          </w:tcPr>
          <w:p w14:paraId="63220B76">
            <w:pPr>
              <w:jc w:val="center"/>
              <w:rPr>
                <w:rFonts w:ascii="Calibri" w:hAnsi="Calibri"/>
                <w:sz w:val="20"/>
                <w:szCs w:val="20"/>
              </w:rPr>
            </w:pPr>
          </w:p>
        </w:tc>
        <w:sdt>
          <w:sdtPr>
            <w:tag w:val="_PLD_696cb3bb4809472f88c41396728262f5"/>
            <w:id w:val="1891382069"/>
          </w:sdtPr>
          <w:sdtContent>
            <w:tc>
              <w:tcPr>
                <w:tcW w:w="2309" w:type="dxa"/>
                <w:vAlign w:val="center"/>
              </w:tcPr>
              <w:p w14:paraId="7CAF9B2D">
                <w:pPr>
                  <w:jc w:val="center"/>
                  <w:rPr>
                    <w:rFonts w:ascii="Calibri" w:hAnsi="Calibri"/>
                    <w:sz w:val="20"/>
                    <w:szCs w:val="20"/>
                  </w:rPr>
                </w:pPr>
                <w:r>
                  <w:rPr>
                    <w:rFonts w:hint="eastAsia" w:ascii="Calibri" w:hAnsi="Calibri"/>
                    <w:sz w:val="20"/>
                    <w:szCs w:val="20"/>
                  </w:rPr>
                  <w:t>账面余额</w:t>
                </w:r>
              </w:p>
            </w:tc>
          </w:sdtContent>
        </w:sdt>
        <w:sdt>
          <w:sdtPr>
            <w:tag w:val="_PLD_70e2c6a60e9b4f08bbbb1a23cd403ade"/>
            <w:id w:val="-609351104"/>
          </w:sdtPr>
          <w:sdtContent>
            <w:tc>
              <w:tcPr>
                <w:tcW w:w="2350" w:type="dxa"/>
                <w:vAlign w:val="center"/>
              </w:tcPr>
              <w:p w14:paraId="58DBEDF3">
                <w:pPr>
                  <w:jc w:val="center"/>
                  <w:rPr>
                    <w:rFonts w:ascii="Calibri" w:hAnsi="Calibri"/>
                    <w:sz w:val="20"/>
                    <w:szCs w:val="20"/>
                  </w:rPr>
                </w:pPr>
                <w:r>
                  <w:rPr>
                    <w:rFonts w:hint="eastAsia" w:ascii="Calibri" w:hAnsi="Calibri"/>
                    <w:sz w:val="20"/>
                    <w:szCs w:val="20"/>
                  </w:rPr>
                  <w:t>坏账准备</w:t>
                </w:r>
              </w:p>
            </w:tc>
          </w:sdtContent>
        </w:sdt>
        <w:sdt>
          <w:sdtPr>
            <w:tag w:val="_PLD_1fd76d95bed54fc5b0c669cf7b1d5e18"/>
            <w:id w:val="2032523655"/>
          </w:sdtPr>
          <w:sdtContent>
            <w:tc>
              <w:tcPr>
                <w:tcW w:w="2294" w:type="dxa"/>
                <w:vAlign w:val="center"/>
              </w:tcPr>
              <w:p w14:paraId="223F7ED8">
                <w:pPr>
                  <w:jc w:val="center"/>
                  <w:rPr>
                    <w:rFonts w:ascii="Calibri" w:hAnsi="Calibri"/>
                    <w:sz w:val="20"/>
                    <w:szCs w:val="20"/>
                  </w:rPr>
                </w:pPr>
                <w:r>
                  <w:rPr>
                    <w:rFonts w:ascii="Calibri" w:hAnsi="Calibri"/>
                    <w:sz w:val="20"/>
                    <w:szCs w:val="20"/>
                  </w:rPr>
                  <w:t>计提比例</w:t>
                </w:r>
                <w:r>
                  <w:rPr>
                    <w:rFonts w:hint="eastAsia" w:ascii="Calibri" w:hAnsi="Calibri"/>
                    <w:sz w:val="20"/>
                    <w:szCs w:val="20"/>
                  </w:rPr>
                  <w:t>（%）</w:t>
                </w:r>
              </w:p>
            </w:tc>
          </w:sdtContent>
        </w:sdt>
      </w:tr>
      <w:tr w14:paraId="3AA3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1692B1CA">
            <w:pPr>
              <w:pStyle w:val="48"/>
              <w:rPr>
                <w:sz w:val="20"/>
                <w:szCs w:val="20"/>
              </w:rPr>
            </w:pPr>
            <w:r>
              <w:rPr>
                <w:sz w:val="20"/>
                <w:szCs w:val="20"/>
              </w:rPr>
              <w:t>1年以内</w:t>
            </w:r>
          </w:p>
        </w:tc>
        <w:tc>
          <w:tcPr>
            <w:tcW w:w="2309" w:type="dxa"/>
            <w:vAlign w:val="center"/>
          </w:tcPr>
          <w:p w14:paraId="0DFA9B6A">
            <w:pPr>
              <w:jc w:val="right"/>
              <w:rPr>
                <w:rFonts w:ascii="Calibri" w:hAnsi="Calibri"/>
                <w:sz w:val="20"/>
                <w:szCs w:val="20"/>
              </w:rPr>
            </w:pPr>
            <w:r>
              <w:rPr>
                <w:rFonts w:ascii="Calibri" w:hAnsi="Calibri"/>
                <w:sz w:val="20"/>
                <w:szCs w:val="20"/>
              </w:rPr>
              <w:t>405,116,643.85</w:t>
            </w:r>
          </w:p>
        </w:tc>
        <w:tc>
          <w:tcPr>
            <w:tcW w:w="2350" w:type="dxa"/>
            <w:vAlign w:val="center"/>
          </w:tcPr>
          <w:p w14:paraId="557E5F79">
            <w:pPr>
              <w:jc w:val="right"/>
              <w:rPr>
                <w:rFonts w:ascii="Calibri" w:hAnsi="Calibri"/>
                <w:sz w:val="20"/>
                <w:szCs w:val="20"/>
              </w:rPr>
            </w:pPr>
            <w:r>
              <w:rPr>
                <w:rFonts w:ascii="Calibri" w:hAnsi="Calibri"/>
                <w:sz w:val="20"/>
                <w:szCs w:val="20"/>
              </w:rPr>
              <w:t>20,255,832.19</w:t>
            </w:r>
          </w:p>
        </w:tc>
        <w:tc>
          <w:tcPr>
            <w:tcW w:w="2294" w:type="dxa"/>
            <w:vAlign w:val="center"/>
          </w:tcPr>
          <w:p w14:paraId="69B12C34">
            <w:pPr>
              <w:jc w:val="right"/>
              <w:rPr>
                <w:rFonts w:ascii="Calibri" w:hAnsi="Calibri"/>
                <w:sz w:val="20"/>
                <w:szCs w:val="20"/>
              </w:rPr>
            </w:pPr>
            <w:r>
              <w:rPr>
                <w:rFonts w:ascii="Calibri" w:hAnsi="Calibri"/>
                <w:sz w:val="20"/>
                <w:szCs w:val="20"/>
              </w:rPr>
              <w:t>5.00</w:t>
            </w:r>
          </w:p>
        </w:tc>
      </w:tr>
      <w:tr w14:paraId="5A49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44576E6D">
            <w:pPr>
              <w:pStyle w:val="48"/>
              <w:rPr>
                <w:sz w:val="20"/>
                <w:szCs w:val="20"/>
              </w:rPr>
            </w:pPr>
            <w:r>
              <w:rPr>
                <w:sz w:val="20"/>
                <w:szCs w:val="20"/>
              </w:rPr>
              <w:t>1至2年</w:t>
            </w:r>
          </w:p>
        </w:tc>
        <w:tc>
          <w:tcPr>
            <w:tcW w:w="2309" w:type="dxa"/>
            <w:vAlign w:val="center"/>
          </w:tcPr>
          <w:p w14:paraId="04C37EB8">
            <w:pPr>
              <w:jc w:val="right"/>
              <w:rPr>
                <w:rFonts w:ascii="Calibri" w:hAnsi="Calibri"/>
                <w:sz w:val="20"/>
                <w:szCs w:val="20"/>
              </w:rPr>
            </w:pPr>
            <w:r>
              <w:rPr>
                <w:rFonts w:ascii="Calibri" w:hAnsi="Calibri"/>
                <w:sz w:val="20"/>
                <w:szCs w:val="20"/>
              </w:rPr>
              <w:t>921,470.12</w:t>
            </w:r>
          </w:p>
        </w:tc>
        <w:tc>
          <w:tcPr>
            <w:tcW w:w="2350" w:type="dxa"/>
            <w:vAlign w:val="center"/>
          </w:tcPr>
          <w:p w14:paraId="1A90CAE4">
            <w:pPr>
              <w:jc w:val="right"/>
              <w:rPr>
                <w:rFonts w:ascii="Calibri" w:hAnsi="Calibri"/>
                <w:sz w:val="20"/>
                <w:szCs w:val="20"/>
              </w:rPr>
            </w:pPr>
            <w:r>
              <w:rPr>
                <w:rFonts w:ascii="Calibri" w:hAnsi="Calibri"/>
                <w:sz w:val="20"/>
                <w:szCs w:val="20"/>
              </w:rPr>
              <w:t>64,502.91</w:t>
            </w:r>
          </w:p>
        </w:tc>
        <w:tc>
          <w:tcPr>
            <w:tcW w:w="2294" w:type="dxa"/>
            <w:vAlign w:val="center"/>
          </w:tcPr>
          <w:p w14:paraId="4DC30F05">
            <w:pPr>
              <w:jc w:val="right"/>
              <w:rPr>
                <w:rFonts w:ascii="Calibri" w:hAnsi="Calibri"/>
                <w:sz w:val="20"/>
                <w:szCs w:val="20"/>
              </w:rPr>
            </w:pPr>
            <w:r>
              <w:rPr>
                <w:rFonts w:ascii="Calibri" w:hAnsi="Calibri"/>
                <w:sz w:val="20"/>
                <w:szCs w:val="20"/>
              </w:rPr>
              <w:t>7.00</w:t>
            </w:r>
          </w:p>
        </w:tc>
      </w:tr>
      <w:tr w14:paraId="2CF3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69C51389">
            <w:pPr>
              <w:pStyle w:val="48"/>
              <w:rPr>
                <w:sz w:val="20"/>
                <w:szCs w:val="20"/>
              </w:rPr>
            </w:pPr>
            <w:r>
              <w:rPr>
                <w:sz w:val="20"/>
                <w:szCs w:val="20"/>
              </w:rPr>
              <w:t>2至3年</w:t>
            </w:r>
          </w:p>
        </w:tc>
        <w:tc>
          <w:tcPr>
            <w:tcW w:w="2309" w:type="dxa"/>
            <w:vAlign w:val="center"/>
          </w:tcPr>
          <w:p w14:paraId="549752BD">
            <w:pPr>
              <w:jc w:val="right"/>
              <w:rPr>
                <w:rFonts w:ascii="Calibri" w:hAnsi="Calibri"/>
                <w:sz w:val="20"/>
                <w:szCs w:val="20"/>
              </w:rPr>
            </w:pPr>
            <w:r>
              <w:rPr>
                <w:rFonts w:ascii="Calibri" w:hAnsi="Calibri"/>
                <w:sz w:val="20"/>
                <w:szCs w:val="20"/>
              </w:rPr>
              <w:t>125,591.32</w:t>
            </w:r>
          </w:p>
        </w:tc>
        <w:tc>
          <w:tcPr>
            <w:tcW w:w="2350" w:type="dxa"/>
            <w:vAlign w:val="center"/>
          </w:tcPr>
          <w:p w14:paraId="39904239">
            <w:pPr>
              <w:jc w:val="right"/>
              <w:rPr>
                <w:rFonts w:ascii="Calibri" w:hAnsi="Calibri"/>
                <w:sz w:val="20"/>
                <w:szCs w:val="20"/>
              </w:rPr>
            </w:pPr>
            <w:r>
              <w:rPr>
                <w:rFonts w:ascii="Calibri" w:hAnsi="Calibri"/>
                <w:sz w:val="20"/>
                <w:szCs w:val="20"/>
              </w:rPr>
              <w:t>10,047.31</w:t>
            </w:r>
          </w:p>
        </w:tc>
        <w:tc>
          <w:tcPr>
            <w:tcW w:w="2294" w:type="dxa"/>
            <w:vAlign w:val="center"/>
          </w:tcPr>
          <w:p w14:paraId="1CD76286">
            <w:pPr>
              <w:jc w:val="right"/>
              <w:rPr>
                <w:rFonts w:ascii="Calibri" w:hAnsi="Calibri"/>
                <w:sz w:val="20"/>
                <w:szCs w:val="20"/>
              </w:rPr>
            </w:pPr>
            <w:r>
              <w:rPr>
                <w:rFonts w:ascii="Calibri" w:hAnsi="Calibri"/>
                <w:sz w:val="20"/>
                <w:szCs w:val="20"/>
              </w:rPr>
              <w:t>8.00</w:t>
            </w:r>
          </w:p>
        </w:tc>
      </w:tr>
      <w:tr w14:paraId="0469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37EF0A42">
            <w:pPr>
              <w:pStyle w:val="48"/>
              <w:rPr>
                <w:sz w:val="20"/>
                <w:szCs w:val="20"/>
              </w:rPr>
            </w:pPr>
            <w:r>
              <w:rPr>
                <w:sz w:val="20"/>
                <w:szCs w:val="20"/>
              </w:rPr>
              <w:t>3至4年</w:t>
            </w:r>
          </w:p>
        </w:tc>
        <w:tc>
          <w:tcPr>
            <w:tcW w:w="2309" w:type="dxa"/>
            <w:vAlign w:val="center"/>
          </w:tcPr>
          <w:p w14:paraId="61327DFA">
            <w:pPr>
              <w:jc w:val="right"/>
              <w:rPr>
                <w:rFonts w:ascii="Calibri" w:hAnsi="Calibri"/>
                <w:sz w:val="20"/>
                <w:szCs w:val="20"/>
              </w:rPr>
            </w:pPr>
            <w:r>
              <w:rPr>
                <w:rFonts w:ascii="Calibri" w:hAnsi="Calibri"/>
                <w:sz w:val="20"/>
                <w:szCs w:val="20"/>
              </w:rPr>
              <w:t>140,771.06</w:t>
            </w:r>
          </w:p>
        </w:tc>
        <w:tc>
          <w:tcPr>
            <w:tcW w:w="2350" w:type="dxa"/>
            <w:vAlign w:val="center"/>
          </w:tcPr>
          <w:p w14:paraId="4182C6E6">
            <w:pPr>
              <w:jc w:val="right"/>
              <w:rPr>
                <w:rFonts w:ascii="Calibri" w:hAnsi="Calibri"/>
                <w:sz w:val="20"/>
                <w:szCs w:val="20"/>
              </w:rPr>
            </w:pPr>
            <w:r>
              <w:rPr>
                <w:rFonts w:ascii="Calibri" w:hAnsi="Calibri"/>
                <w:sz w:val="20"/>
                <w:szCs w:val="20"/>
              </w:rPr>
              <w:t>28,154.21</w:t>
            </w:r>
          </w:p>
        </w:tc>
        <w:tc>
          <w:tcPr>
            <w:tcW w:w="2294" w:type="dxa"/>
            <w:vAlign w:val="center"/>
          </w:tcPr>
          <w:p w14:paraId="29FD7AE9">
            <w:pPr>
              <w:jc w:val="right"/>
              <w:rPr>
                <w:rFonts w:ascii="Calibri" w:hAnsi="Calibri"/>
                <w:sz w:val="20"/>
                <w:szCs w:val="20"/>
              </w:rPr>
            </w:pPr>
            <w:r>
              <w:rPr>
                <w:rFonts w:ascii="Calibri" w:hAnsi="Calibri"/>
                <w:sz w:val="20"/>
                <w:szCs w:val="20"/>
              </w:rPr>
              <w:t>20.00</w:t>
            </w:r>
          </w:p>
        </w:tc>
      </w:tr>
      <w:tr w14:paraId="1CE6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122E4445">
            <w:pPr>
              <w:pStyle w:val="48"/>
              <w:rPr>
                <w:sz w:val="20"/>
                <w:szCs w:val="20"/>
              </w:rPr>
            </w:pPr>
            <w:r>
              <w:rPr>
                <w:sz w:val="20"/>
                <w:szCs w:val="20"/>
              </w:rPr>
              <w:t>4至5年</w:t>
            </w:r>
          </w:p>
        </w:tc>
        <w:tc>
          <w:tcPr>
            <w:tcW w:w="2309" w:type="dxa"/>
            <w:vAlign w:val="center"/>
          </w:tcPr>
          <w:p w14:paraId="7E1D43BF">
            <w:pPr>
              <w:jc w:val="right"/>
              <w:rPr>
                <w:rFonts w:ascii="Calibri" w:hAnsi="Calibri"/>
                <w:sz w:val="20"/>
                <w:szCs w:val="20"/>
              </w:rPr>
            </w:pPr>
          </w:p>
        </w:tc>
        <w:tc>
          <w:tcPr>
            <w:tcW w:w="2350" w:type="dxa"/>
            <w:vAlign w:val="center"/>
          </w:tcPr>
          <w:p w14:paraId="3FFAA258">
            <w:pPr>
              <w:jc w:val="right"/>
              <w:rPr>
                <w:rFonts w:ascii="Calibri" w:hAnsi="Calibri"/>
                <w:sz w:val="20"/>
                <w:szCs w:val="20"/>
              </w:rPr>
            </w:pPr>
          </w:p>
        </w:tc>
        <w:tc>
          <w:tcPr>
            <w:tcW w:w="2294" w:type="dxa"/>
            <w:vAlign w:val="center"/>
          </w:tcPr>
          <w:p w14:paraId="75A3E79B">
            <w:pPr>
              <w:jc w:val="right"/>
              <w:rPr>
                <w:rFonts w:ascii="Calibri" w:hAnsi="Calibri"/>
                <w:sz w:val="20"/>
                <w:szCs w:val="20"/>
              </w:rPr>
            </w:pPr>
          </w:p>
        </w:tc>
      </w:tr>
      <w:tr w14:paraId="39AE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5325625F">
            <w:pPr>
              <w:pStyle w:val="48"/>
              <w:rPr>
                <w:sz w:val="20"/>
                <w:szCs w:val="20"/>
              </w:rPr>
            </w:pPr>
            <w:r>
              <w:rPr>
                <w:sz w:val="20"/>
                <w:szCs w:val="20"/>
              </w:rPr>
              <w:t>5年以上</w:t>
            </w:r>
          </w:p>
        </w:tc>
        <w:tc>
          <w:tcPr>
            <w:tcW w:w="2309" w:type="dxa"/>
            <w:vAlign w:val="center"/>
          </w:tcPr>
          <w:p w14:paraId="0140D00F">
            <w:pPr>
              <w:jc w:val="right"/>
              <w:rPr>
                <w:rFonts w:ascii="Calibri" w:hAnsi="Calibri"/>
                <w:sz w:val="20"/>
                <w:szCs w:val="20"/>
              </w:rPr>
            </w:pPr>
            <w:r>
              <w:rPr>
                <w:rFonts w:ascii="Calibri" w:hAnsi="Calibri"/>
                <w:sz w:val="20"/>
                <w:szCs w:val="20"/>
              </w:rPr>
              <w:t>69,570,925.87</w:t>
            </w:r>
          </w:p>
        </w:tc>
        <w:tc>
          <w:tcPr>
            <w:tcW w:w="2350" w:type="dxa"/>
            <w:vAlign w:val="center"/>
          </w:tcPr>
          <w:p w14:paraId="7677AF6F">
            <w:pPr>
              <w:jc w:val="right"/>
              <w:rPr>
                <w:rFonts w:ascii="Calibri" w:hAnsi="Calibri"/>
                <w:sz w:val="20"/>
                <w:szCs w:val="20"/>
              </w:rPr>
            </w:pPr>
            <w:r>
              <w:rPr>
                <w:rFonts w:ascii="Calibri" w:hAnsi="Calibri"/>
                <w:sz w:val="20"/>
                <w:szCs w:val="20"/>
              </w:rPr>
              <w:t>69,570,925.87</w:t>
            </w:r>
          </w:p>
        </w:tc>
        <w:tc>
          <w:tcPr>
            <w:tcW w:w="2294" w:type="dxa"/>
            <w:vAlign w:val="center"/>
          </w:tcPr>
          <w:p w14:paraId="4F40C1BD">
            <w:pPr>
              <w:jc w:val="right"/>
              <w:rPr>
                <w:rFonts w:ascii="Calibri" w:hAnsi="Calibri"/>
                <w:sz w:val="20"/>
                <w:szCs w:val="20"/>
              </w:rPr>
            </w:pPr>
            <w:r>
              <w:rPr>
                <w:rFonts w:ascii="Calibri" w:hAnsi="Calibri"/>
                <w:sz w:val="20"/>
                <w:szCs w:val="20"/>
              </w:rPr>
              <w:t>100.00</w:t>
            </w:r>
          </w:p>
        </w:tc>
      </w:tr>
      <w:tr w14:paraId="0173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vAlign w:val="center"/>
          </w:tcPr>
          <w:p w14:paraId="668888B1">
            <w:pPr>
              <w:jc w:val="center"/>
              <w:rPr>
                <w:rFonts w:ascii="Calibri" w:hAnsi="Calibri"/>
                <w:sz w:val="20"/>
                <w:szCs w:val="20"/>
              </w:rPr>
            </w:pPr>
            <w:r>
              <w:rPr>
                <w:rFonts w:hint="eastAsia" w:ascii="Calibri" w:hAnsi="Calibri"/>
                <w:sz w:val="20"/>
                <w:szCs w:val="20"/>
              </w:rPr>
              <w:t>合计</w:t>
            </w:r>
          </w:p>
        </w:tc>
        <w:tc>
          <w:tcPr>
            <w:tcW w:w="2309" w:type="dxa"/>
            <w:vAlign w:val="center"/>
          </w:tcPr>
          <w:p w14:paraId="193B1ECA">
            <w:pPr>
              <w:jc w:val="right"/>
              <w:rPr>
                <w:rFonts w:ascii="Calibri" w:hAnsi="Calibri"/>
                <w:sz w:val="20"/>
                <w:szCs w:val="20"/>
              </w:rPr>
            </w:pPr>
            <w:r>
              <w:rPr>
                <w:rFonts w:ascii="Calibri" w:hAnsi="Calibri"/>
                <w:sz w:val="20"/>
                <w:szCs w:val="20"/>
              </w:rPr>
              <w:t>475,875,402.22</w:t>
            </w:r>
          </w:p>
        </w:tc>
        <w:tc>
          <w:tcPr>
            <w:tcW w:w="2350" w:type="dxa"/>
            <w:vAlign w:val="center"/>
          </w:tcPr>
          <w:p w14:paraId="041ABA42">
            <w:pPr>
              <w:jc w:val="right"/>
              <w:rPr>
                <w:rFonts w:ascii="Calibri" w:hAnsi="Calibri"/>
                <w:sz w:val="20"/>
                <w:szCs w:val="20"/>
              </w:rPr>
            </w:pPr>
            <w:r>
              <w:rPr>
                <w:rFonts w:ascii="Calibri" w:hAnsi="Calibri"/>
                <w:sz w:val="20"/>
                <w:szCs w:val="20"/>
              </w:rPr>
              <w:t>89,929,462.49</w:t>
            </w:r>
          </w:p>
        </w:tc>
        <w:tc>
          <w:tcPr>
            <w:tcW w:w="2294" w:type="dxa"/>
            <w:vAlign w:val="center"/>
          </w:tcPr>
          <w:p w14:paraId="46BAE363">
            <w:pPr>
              <w:jc w:val="right"/>
              <w:rPr>
                <w:rFonts w:ascii="Calibri" w:hAnsi="Calibri"/>
                <w:sz w:val="20"/>
                <w:szCs w:val="20"/>
              </w:rPr>
            </w:pPr>
            <w:r>
              <w:rPr>
                <w:rFonts w:ascii="Calibri" w:hAnsi="Calibri"/>
                <w:sz w:val="20"/>
                <w:szCs w:val="20"/>
              </w:rPr>
              <w:t>18.90</w:t>
            </w:r>
          </w:p>
        </w:tc>
      </w:tr>
    </w:tbl>
    <w:p w14:paraId="27B7D848"/>
    <w:p w14:paraId="46EEBBDA">
      <w:pPr>
        <w:pStyle w:val="48"/>
      </w:pPr>
      <w:r>
        <w:rPr>
          <w:rFonts w:hint="eastAsia"/>
        </w:rPr>
        <w:t>按组合计提坏账准备的说明：</w:t>
      </w:r>
    </w:p>
    <w:sdt>
      <w:sdtPr>
        <w:alias w:val="是否适用：母公司应收账款按组合计提坏账的确认标准及说明[双击切换]"/>
        <w:tag w:val="_GBC_63044b38e77844689beec86348cdea93"/>
        <w:id w:val="-1173185083"/>
        <w:placeholder>
          <w:docPart w:val="GBC22222222222222222222222222222"/>
        </w:placeholder>
      </w:sdtPr>
      <w:sdtContent>
        <w:p w14:paraId="1F8BEC6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FB046DB">
      <w:pPr>
        <w:pStyle w:val="48"/>
      </w:pPr>
    </w:p>
    <w:bookmarkEnd w:id="388"/>
    <w:p w14:paraId="19F6FE51">
      <w:pPr>
        <w:pStyle w:val="48"/>
      </w:pPr>
      <w:bookmarkStart w:id="389" w:name="_Hlk534616017"/>
      <w:r>
        <w:rPr>
          <w:rFonts w:hint="eastAsia"/>
        </w:rPr>
        <w:t>按预期信用损失一般模型计提坏账准备</w:t>
      </w:r>
    </w:p>
    <w:sdt>
      <w:sdtPr>
        <w:alias w:val="是否适用：母公司应收账款按一般预计信用损失模型计提坏账[双击切换]"/>
        <w:tag w:val="_GBC_681a6428f5004327ac9c72b5eb632f13"/>
        <w:id w:val="-1553613259"/>
        <w:placeholder>
          <w:docPart w:val="GBC22222222222222222222222222222"/>
        </w:placeholder>
      </w:sdtPr>
      <w:sdtContent>
        <w:p w14:paraId="0DEC5B4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6CE0DB2">
      <w:pPr>
        <w:pStyle w:val="48"/>
      </w:pPr>
    </w:p>
    <w:p w14:paraId="175AC6DF">
      <w:pPr>
        <w:pStyle w:val="48"/>
      </w:pPr>
    </w:p>
    <w:p w14:paraId="359E6C5E">
      <w:pPr>
        <w:pStyle w:val="38"/>
      </w:pPr>
      <w:r>
        <w:rPr>
          <w:rFonts w:hint="eastAsia"/>
        </w:rPr>
        <w:t>对本期发生损失准备变动的应收账款账面余额显著变动的情况说明：</w:t>
      </w:r>
    </w:p>
    <w:sdt>
      <w:sdtPr>
        <w:alias w:val="是否适用：母公司对本期发生损失准备变动的账面余额显著变动的情况说明[双击切换]"/>
        <w:tag w:val="_GBC_2624b4d5ae5d4288ad7c6f9bcbcff810"/>
        <w:id w:val="1542625141"/>
        <w:placeholder>
          <w:docPart w:val="GBC22222222222222222222222222222"/>
        </w:placeholder>
      </w:sdtPr>
      <w:sdtContent>
        <w:p w14:paraId="5F8107FA">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B4828C7">
      <w:pPr>
        <w:pStyle w:val="48"/>
      </w:pPr>
    </w:p>
    <w:bookmarkEnd w:id="389"/>
    <w:p w14:paraId="30646FEE">
      <w:pPr>
        <w:pStyle w:val="5"/>
        <w:numPr>
          <w:ilvl w:val="3"/>
          <w:numId w:val="127"/>
        </w:numPr>
        <w:ind w:left="426" w:hanging="426" w:hangingChars="202"/>
      </w:pPr>
      <w:bookmarkStart w:id="390" w:name="_Hlk534890665"/>
      <w:r>
        <w:rPr>
          <w:rFonts w:hint="eastAsia"/>
        </w:rPr>
        <w:t>坏账准备的情况</w:t>
      </w:r>
    </w:p>
    <w:sdt>
      <w:sdtPr>
        <w:alias w:val="是否适用：母公司应收账款坏账准备情况[双击切换]"/>
        <w:tag w:val="_GBC_c4b273c4d86b423ea0abe5794b3a9a07"/>
        <w:id w:val="-29806930"/>
        <w:placeholder>
          <w:docPart w:val="GBC22222222222222222222222222222"/>
        </w:placeholder>
      </w:sdtPr>
      <w:sdtContent>
        <w:p w14:paraId="2205F01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F9CA1C1">
      <w:pPr>
        <w:pStyle w:val="30"/>
        <w:snapToGrid w:val="0"/>
        <w:spacing w:line="240" w:lineRule="atLeast"/>
        <w:ind w:left="425" w:firstLine="0" w:firstLineChars="0"/>
        <w:jc w:val="right"/>
        <w:rPr>
          <w:szCs w:val="21"/>
        </w:rPr>
      </w:pPr>
      <w:r>
        <w:rPr>
          <w:rFonts w:hint="eastAsia"/>
          <w:szCs w:val="21"/>
        </w:rPr>
        <w:t>单位：</w:t>
      </w:r>
      <w:sdt>
        <w:sdtPr>
          <w:rPr>
            <w:rFonts w:hint="eastAsia"/>
            <w:szCs w:val="21"/>
          </w:rPr>
          <w:alias w:val="单位：母公司应收账款坏账准备情况"/>
          <w:tag w:val="_GBC_297876b5a195460cabc3796e317c400c"/>
          <w:id w:val="2927990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账款坏账准备情况"/>
          <w:tag w:val="_GBC_e88786d88c2b4853820fef447c6f542a"/>
          <w:id w:val="14976131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390"/>
    <w:tbl>
      <w:tblPr>
        <w:tblStyle w:val="57"/>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482"/>
        <w:gridCol w:w="1632"/>
        <w:gridCol w:w="963"/>
        <w:gridCol w:w="1588"/>
        <w:gridCol w:w="904"/>
        <w:gridCol w:w="1081"/>
        <w:gridCol w:w="1406"/>
      </w:tblGrid>
      <w:tr w14:paraId="620F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tag w:val="_PLD_98300d230c0347eb87a2635ad51c1d00"/>
            <w:id w:val="2009093321"/>
          </w:sdtPr>
          <w:sdtContent>
            <w:tc>
              <w:tcPr>
                <w:tcW w:w="1482" w:type="dxa"/>
                <w:vMerge w:val="restart"/>
                <w:shd w:val="clear" w:color="auto" w:fill="FFFFFF"/>
                <w:vAlign w:val="center"/>
              </w:tcPr>
              <w:p w14:paraId="5F26DB3C">
                <w:pPr>
                  <w:jc w:val="center"/>
                  <w:rPr>
                    <w:rFonts w:ascii="Calibri" w:hAnsi="Calibri"/>
                    <w:sz w:val="20"/>
                    <w:szCs w:val="20"/>
                  </w:rPr>
                </w:pPr>
                <w:bookmarkStart w:id="391" w:name="_Hlk153789356"/>
                <w:r>
                  <w:rPr>
                    <w:rFonts w:ascii="Calibri" w:hAnsi="Calibri"/>
                    <w:sz w:val="20"/>
                    <w:szCs w:val="20"/>
                  </w:rPr>
                  <w:t>类别</w:t>
                </w:r>
              </w:p>
            </w:tc>
          </w:sdtContent>
        </w:sdt>
        <w:sdt>
          <w:sdtPr>
            <w:tag w:val="_PLD_7769f2b383ef45cea01b90026bb353c2"/>
            <w:id w:val="-65956534"/>
          </w:sdtPr>
          <w:sdtContent>
            <w:tc>
              <w:tcPr>
                <w:tcW w:w="1632" w:type="dxa"/>
                <w:vMerge w:val="restart"/>
                <w:shd w:val="clear" w:color="auto" w:fill="FFFFFF"/>
                <w:vAlign w:val="center"/>
              </w:tcPr>
              <w:p w14:paraId="4124F4DE">
                <w:pPr>
                  <w:jc w:val="center"/>
                  <w:rPr>
                    <w:rFonts w:ascii="Calibri" w:hAnsi="Calibri"/>
                    <w:sz w:val="20"/>
                    <w:szCs w:val="20"/>
                  </w:rPr>
                </w:pPr>
                <w:r>
                  <w:rPr>
                    <w:rFonts w:ascii="Calibri" w:hAnsi="Calibri"/>
                    <w:sz w:val="20"/>
                    <w:szCs w:val="20"/>
                  </w:rPr>
                  <w:t>期初余额</w:t>
                </w:r>
              </w:p>
            </w:tc>
          </w:sdtContent>
        </w:sdt>
        <w:sdt>
          <w:sdtPr>
            <w:tag w:val="_PLD_cd024d723ca84c77aded9d7b7313563b"/>
            <w:id w:val="-1788968010"/>
          </w:sdtPr>
          <w:sdtContent>
            <w:tc>
              <w:tcPr>
                <w:tcW w:w="4536" w:type="dxa"/>
                <w:gridSpan w:val="4"/>
                <w:shd w:val="clear" w:color="auto" w:fill="FFFFFF"/>
                <w:vAlign w:val="center"/>
              </w:tcPr>
              <w:p w14:paraId="2E227C27">
                <w:pPr>
                  <w:jc w:val="center"/>
                  <w:rPr>
                    <w:rFonts w:ascii="Calibri" w:hAnsi="Calibri"/>
                    <w:sz w:val="20"/>
                    <w:szCs w:val="20"/>
                  </w:rPr>
                </w:pPr>
                <w:r>
                  <w:rPr>
                    <w:rFonts w:hint="eastAsia" w:ascii="Calibri" w:hAnsi="Calibri"/>
                    <w:sz w:val="20"/>
                    <w:szCs w:val="20"/>
                  </w:rPr>
                  <w:t>本期变动</w:t>
                </w:r>
                <w:r>
                  <w:rPr>
                    <w:rFonts w:ascii="Calibri" w:hAnsi="Calibri"/>
                    <w:sz w:val="20"/>
                    <w:szCs w:val="20"/>
                  </w:rPr>
                  <w:t>金额</w:t>
                </w:r>
              </w:p>
            </w:tc>
          </w:sdtContent>
        </w:sdt>
        <w:sdt>
          <w:sdtPr>
            <w:tag w:val="_PLD_1225558b3fd34599bc2c3f9eb23fba1e"/>
            <w:id w:val="792486750"/>
          </w:sdtPr>
          <w:sdtContent>
            <w:tc>
              <w:tcPr>
                <w:tcW w:w="1406" w:type="dxa"/>
                <w:vMerge w:val="restart"/>
                <w:shd w:val="clear" w:color="auto" w:fill="FFFFFF"/>
                <w:vAlign w:val="center"/>
              </w:tcPr>
              <w:p w14:paraId="6185BB96">
                <w:pPr>
                  <w:jc w:val="center"/>
                  <w:rPr>
                    <w:rFonts w:ascii="Calibri" w:hAnsi="Calibri"/>
                    <w:sz w:val="20"/>
                    <w:szCs w:val="20"/>
                  </w:rPr>
                </w:pPr>
                <w:r>
                  <w:rPr>
                    <w:rFonts w:ascii="Calibri" w:hAnsi="Calibri"/>
                    <w:sz w:val="20"/>
                    <w:szCs w:val="20"/>
                  </w:rPr>
                  <w:t>期末余额</w:t>
                </w:r>
              </w:p>
            </w:tc>
          </w:sdtContent>
        </w:sdt>
      </w:tr>
      <w:tr w14:paraId="289A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482" w:type="dxa"/>
            <w:vMerge w:val="continue"/>
            <w:shd w:val="clear" w:color="auto" w:fill="FFFFFF"/>
            <w:vAlign w:val="center"/>
          </w:tcPr>
          <w:p w14:paraId="57A156AD">
            <w:pPr>
              <w:jc w:val="center"/>
              <w:rPr>
                <w:rFonts w:ascii="Calibri" w:hAnsi="Calibri"/>
                <w:sz w:val="20"/>
                <w:szCs w:val="20"/>
              </w:rPr>
            </w:pPr>
          </w:p>
        </w:tc>
        <w:tc>
          <w:tcPr>
            <w:tcW w:w="1632" w:type="dxa"/>
            <w:vMerge w:val="continue"/>
            <w:shd w:val="clear" w:color="auto" w:fill="FFFFFF"/>
            <w:vAlign w:val="center"/>
          </w:tcPr>
          <w:p w14:paraId="6468A7C7">
            <w:pPr>
              <w:jc w:val="center"/>
              <w:rPr>
                <w:rFonts w:ascii="Calibri" w:hAnsi="Calibri"/>
                <w:sz w:val="20"/>
                <w:szCs w:val="20"/>
              </w:rPr>
            </w:pPr>
          </w:p>
        </w:tc>
        <w:sdt>
          <w:sdtPr>
            <w:tag w:val="_PLD_3e1ba6e4785f430c89e70b3081ee1f0a"/>
            <w:id w:val="1518578499"/>
          </w:sdtPr>
          <w:sdtContent>
            <w:tc>
              <w:tcPr>
                <w:tcW w:w="963" w:type="dxa"/>
                <w:shd w:val="clear" w:color="auto" w:fill="FFFFFF"/>
                <w:vAlign w:val="center"/>
              </w:tcPr>
              <w:p w14:paraId="57E4FFA8">
                <w:pPr>
                  <w:jc w:val="center"/>
                  <w:rPr>
                    <w:rFonts w:ascii="Calibri" w:hAnsi="Calibri"/>
                    <w:sz w:val="20"/>
                    <w:szCs w:val="20"/>
                  </w:rPr>
                </w:pPr>
                <w:r>
                  <w:rPr>
                    <w:rFonts w:ascii="Calibri" w:hAnsi="Calibri"/>
                    <w:sz w:val="20"/>
                    <w:szCs w:val="20"/>
                  </w:rPr>
                  <w:t>计提</w:t>
                </w:r>
              </w:p>
            </w:tc>
          </w:sdtContent>
        </w:sdt>
        <w:sdt>
          <w:sdtPr>
            <w:tag w:val="_PLD_e1238ab8ec634edb975aa51e169f4488"/>
            <w:id w:val="-1784260771"/>
          </w:sdtPr>
          <w:sdtContent>
            <w:tc>
              <w:tcPr>
                <w:tcW w:w="1588" w:type="dxa"/>
                <w:shd w:val="clear" w:color="auto" w:fill="FFFFFF"/>
                <w:vAlign w:val="center"/>
              </w:tcPr>
              <w:p w14:paraId="07E2A7B2">
                <w:pPr>
                  <w:jc w:val="center"/>
                  <w:rPr>
                    <w:rFonts w:ascii="Calibri" w:hAnsi="Calibri"/>
                    <w:sz w:val="20"/>
                    <w:szCs w:val="20"/>
                  </w:rPr>
                </w:pPr>
                <w:r>
                  <w:rPr>
                    <w:rFonts w:hint="eastAsia" w:ascii="Calibri" w:hAnsi="Calibri"/>
                    <w:sz w:val="20"/>
                    <w:szCs w:val="20"/>
                  </w:rPr>
                  <w:t>收回或转回</w:t>
                </w:r>
              </w:p>
            </w:tc>
          </w:sdtContent>
        </w:sdt>
        <w:tc>
          <w:tcPr>
            <w:tcW w:w="904" w:type="dxa"/>
            <w:shd w:val="clear" w:color="auto" w:fill="FFFFFF"/>
            <w:vAlign w:val="center"/>
          </w:tcPr>
          <w:sdt>
            <w:sdtPr>
              <w:tag w:val="_PLD_4909ee6a3062412caf5e93a150ca2e23"/>
              <w:id w:val="-639963329"/>
            </w:sdtPr>
            <w:sdtContent>
              <w:p w14:paraId="6B51F24F">
                <w:pPr>
                  <w:jc w:val="center"/>
                  <w:rPr>
                    <w:rFonts w:ascii="Calibri" w:hAnsi="Calibri"/>
                    <w:sz w:val="20"/>
                    <w:szCs w:val="20"/>
                  </w:rPr>
                </w:pPr>
                <w:r>
                  <w:rPr>
                    <w:rFonts w:hint="eastAsia" w:ascii="Calibri" w:hAnsi="Calibri"/>
                    <w:sz w:val="20"/>
                    <w:szCs w:val="20"/>
                  </w:rPr>
                  <w:t>转销或核销</w:t>
                </w:r>
              </w:p>
            </w:sdtContent>
          </w:sdt>
        </w:tc>
        <w:tc>
          <w:tcPr>
            <w:tcW w:w="1081" w:type="dxa"/>
            <w:shd w:val="clear" w:color="auto" w:fill="FFFFFF"/>
            <w:vAlign w:val="center"/>
          </w:tcPr>
          <w:sdt>
            <w:sdtPr>
              <w:tag w:val="_PLD_b95e9591908443ef8eef29a18814ebfa"/>
              <w:id w:val="-1072348281"/>
            </w:sdtPr>
            <w:sdtContent>
              <w:p w14:paraId="4A7B3813">
                <w:pPr>
                  <w:jc w:val="center"/>
                  <w:rPr>
                    <w:rFonts w:ascii="Calibri" w:hAnsi="Calibri"/>
                    <w:sz w:val="20"/>
                    <w:szCs w:val="20"/>
                  </w:rPr>
                </w:pPr>
                <w:r>
                  <w:rPr>
                    <w:rFonts w:hint="eastAsia" w:ascii="Calibri" w:hAnsi="Calibri"/>
                    <w:sz w:val="20"/>
                    <w:szCs w:val="20"/>
                  </w:rPr>
                  <w:t>其他变动</w:t>
                </w:r>
              </w:p>
            </w:sdtContent>
          </w:sdt>
        </w:tc>
        <w:tc>
          <w:tcPr>
            <w:tcW w:w="1406" w:type="dxa"/>
            <w:vMerge w:val="continue"/>
            <w:shd w:val="clear" w:color="auto" w:fill="FFFFFF"/>
            <w:vAlign w:val="center"/>
          </w:tcPr>
          <w:p w14:paraId="6D774030">
            <w:pPr>
              <w:jc w:val="right"/>
              <w:rPr>
                <w:rFonts w:ascii="Calibri" w:hAnsi="Calibri"/>
                <w:sz w:val="20"/>
                <w:szCs w:val="20"/>
              </w:rPr>
            </w:pPr>
          </w:p>
        </w:tc>
      </w:tr>
      <w:tr w14:paraId="55EE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482" w:type="dxa"/>
            <w:vAlign w:val="center"/>
          </w:tcPr>
          <w:p w14:paraId="027E844E">
            <w:pPr>
              <w:rPr>
                <w:rFonts w:ascii="Calibri" w:hAnsi="Calibri"/>
                <w:sz w:val="20"/>
                <w:szCs w:val="20"/>
              </w:rPr>
            </w:pPr>
            <w:r>
              <w:rPr>
                <w:rFonts w:ascii="Calibri" w:hAnsi="Calibri"/>
                <w:sz w:val="20"/>
                <w:szCs w:val="20"/>
              </w:rPr>
              <w:t>单项评估计提</w:t>
            </w:r>
          </w:p>
        </w:tc>
        <w:tc>
          <w:tcPr>
            <w:tcW w:w="1632" w:type="dxa"/>
            <w:vAlign w:val="center"/>
          </w:tcPr>
          <w:p w14:paraId="3B26036A">
            <w:pPr>
              <w:jc w:val="right"/>
              <w:rPr>
                <w:rFonts w:ascii="Calibri" w:hAnsi="Calibri"/>
                <w:sz w:val="20"/>
                <w:szCs w:val="20"/>
              </w:rPr>
            </w:pPr>
            <w:r>
              <w:rPr>
                <w:rFonts w:ascii="Calibri" w:hAnsi="Calibri"/>
                <w:sz w:val="20"/>
                <w:szCs w:val="20"/>
              </w:rPr>
              <w:t>6,949,967.00</w:t>
            </w:r>
          </w:p>
        </w:tc>
        <w:tc>
          <w:tcPr>
            <w:tcW w:w="963" w:type="dxa"/>
            <w:vAlign w:val="center"/>
          </w:tcPr>
          <w:p w14:paraId="02CD457A">
            <w:pPr>
              <w:jc w:val="right"/>
              <w:rPr>
                <w:rFonts w:ascii="Calibri" w:hAnsi="Calibri"/>
                <w:sz w:val="20"/>
                <w:szCs w:val="20"/>
              </w:rPr>
            </w:pPr>
          </w:p>
        </w:tc>
        <w:tc>
          <w:tcPr>
            <w:tcW w:w="1588" w:type="dxa"/>
            <w:vAlign w:val="center"/>
          </w:tcPr>
          <w:p w14:paraId="4CE79272">
            <w:pPr>
              <w:jc w:val="right"/>
              <w:rPr>
                <w:rFonts w:ascii="Calibri" w:hAnsi="Calibri"/>
                <w:sz w:val="20"/>
                <w:szCs w:val="20"/>
              </w:rPr>
            </w:pPr>
          </w:p>
        </w:tc>
        <w:tc>
          <w:tcPr>
            <w:tcW w:w="904" w:type="dxa"/>
            <w:vAlign w:val="center"/>
          </w:tcPr>
          <w:p w14:paraId="494FB2BB">
            <w:pPr>
              <w:jc w:val="right"/>
              <w:rPr>
                <w:rFonts w:ascii="Calibri" w:hAnsi="Calibri"/>
                <w:sz w:val="20"/>
                <w:szCs w:val="20"/>
              </w:rPr>
            </w:pPr>
          </w:p>
        </w:tc>
        <w:tc>
          <w:tcPr>
            <w:tcW w:w="1081" w:type="dxa"/>
            <w:vAlign w:val="center"/>
          </w:tcPr>
          <w:p w14:paraId="70B4FD72">
            <w:pPr>
              <w:jc w:val="right"/>
              <w:rPr>
                <w:rFonts w:ascii="Calibri" w:hAnsi="Calibri"/>
                <w:sz w:val="20"/>
                <w:szCs w:val="20"/>
              </w:rPr>
            </w:pPr>
          </w:p>
        </w:tc>
        <w:tc>
          <w:tcPr>
            <w:tcW w:w="1406" w:type="dxa"/>
            <w:vAlign w:val="center"/>
          </w:tcPr>
          <w:p w14:paraId="076514DC">
            <w:pPr>
              <w:jc w:val="right"/>
              <w:rPr>
                <w:rFonts w:ascii="Calibri" w:hAnsi="Calibri"/>
                <w:sz w:val="20"/>
                <w:szCs w:val="20"/>
              </w:rPr>
            </w:pPr>
            <w:r>
              <w:rPr>
                <w:rFonts w:ascii="Calibri" w:hAnsi="Calibri"/>
                <w:sz w:val="20"/>
                <w:szCs w:val="20"/>
              </w:rPr>
              <w:t>6,949,967.00</w:t>
            </w:r>
          </w:p>
        </w:tc>
      </w:tr>
      <w:tr w14:paraId="5469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482" w:type="dxa"/>
            <w:vAlign w:val="center"/>
          </w:tcPr>
          <w:p w14:paraId="1A3B793D">
            <w:pPr>
              <w:rPr>
                <w:rFonts w:ascii="Calibri" w:hAnsi="Calibri"/>
                <w:sz w:val="20"/>
                <w:szCs w:val="20"/>
              </w:rPr>
            </w:pPr>
            <w:r>
              <w:rPr>
                <w:rFonts w:ascii="Calibri" w:hAnsi="Calibri"/>
                <w:sz w:val="20"/>
                <w:szCs w:val="20"/>
              </w:rPr>
              <w:t>信用风险组合</w:t>
            </w:r>
          </w:p>
        </w:tc>
        <w:tc>
          <w:tcPr>
            <w:tcW w:w="1632" w:type="dxa"/>
            <w:vAlign w:val="center"/>
          </w:tcPr>
          <w:p w14:paraId="2F7F8968">
            <w:pPr>
              <w:jc w:val="right"/>
              <w:rPr>
                <w:rFonts w:ascii="Calibri" w:hAnsi="Calibri"/>
                <w:sz w:val="20"/>
                <w:szCs w:val="20"/>
              </w:rPr>
            </w:pPr>
            <w:r>
              <w:rPr>
                <w:rFonts w:ascii="Calibri" w:hAnsi="Calibri"/>
                <w:sz w:val="20"/>
                <w:szCs w:val="20"/>
              </w:rPr>
              <w:t>108,202,565.27</w:t>
            </w:r>
          </w:p>
        </w:tc>
        <w:tc>
          <w:tcPr>
            <w:tcW w:w="963" w:type="dxa"/>
            <w:vAlign w:val="center"/>
          </w:tcPr>
          <w:p w14:paraId="5F05EDCD">
            <w:pPr>
              <w:jc w:val="right"/>
              <w:rPr>
                <w:rFonts w:ascii="Calibri" w:hAnsi="Calibri"/>
                <w:sz w:val="20"/>
                <w:szCs w:val="20"/>
              </w:rPr>
            </w:pPr>
          </w:p>
        </w:tc>
        <w:tc>
          <w:tcPr>
            <w:tcW w:w="1588" w:type="dxa"/>
            <w:vAlign w:val="center"/>
          </w:tcPr>
          <w:p w14:paraId="1963E03A">
            <w:pPr>
              <w:jc w:val="right"/>
              <w:rPr>
                <w:rFonts w:ascii="Calibri" w:hAnsi="Calibri"/>
                <w:sz w:val="20"/>
                <w:szCs w:val="20"/>
              </w:rPr>
            </w:pPr>
            <w:r>
              <w:rPr>
                <w:rFonts w:ascii="Calibri" w:hAnsi="Calibri"/>
                <w:sz w:val="20"/>
                <w:szCs w:val="20"/>
              </w:rPr>
              <w:t>18,273,102.78</w:t>
            </w:r>
          </w:p>
        </w:tc>
        <w:tc>
          <w:tcPr>
            <w:tcW w:w="904" w:type="dxa"/>
            <w:vAlign w:val="center"/>
          </w:tcPr>
          <w:p w14:paraId="7602FDDE">
            <w:pPr>
              <w:jc w:val="right"/>
              <w:rPr>
                <w:rFonts w:ascii="Calibri" w:hAnsi="Calibri"/>
                <w:sz w:val="20"/>
                <w:szCs w:val="20"/>
              </w:rPr>
            </w:pPr>
          </w:p>
        </w:tc>
        <w:tc>
          <w:tcPr>
            <w:tcW w:w="1081" w:type="dxa"/>
            <w:vAlign w:val="center"/>
          </w:tcPr>
          <w:p w14:paraId="749DF857">
            <w:pPr>
              <w:jc w:val="right"/>
              <w:rPr>
                <w:rFonts w:ascii="Calibri" w:hAnsi="Calibri"/>
                <w:sz w:val="20"/>
                <w:szCs w:val="20"/>
              </w:rPr>
            </w:pPr>
          </w:p>
        </w:tc>
        <w:tc>
          <w:tcPr>
            <w:tcW w:w="1406" w:type="dxa"/>
            <w:vAlign w:val="center"/>
          </w:tcPr>
          <w:p w14:paraId="5E097F04">
            <w:pPr>
              <w:jc w:val="right"/>
              <w:rPr>
                <w:rFonts w:ascii="Calibri" w:hAnsi="Calibri"/>
                <w:sz w:val="20"/>
                <w:szCs w:val="20"/>
              </w:rPr>
            </w:pPr>
            <w:r>
              <w:rPr>
                <w:rFonts w:ascii="Calibri" w:hAnsi="Calibri"/>
                <w:sz w:val="20"/>
                <w:szCs w:val="20"/>
              </w:rPr>
              <w:t>89,929,462.49</w:t>
            </w:r>
          </w:p>
        </w:tc>
      </w:tr>
      <w:tr w14:paraId="60A0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482" w:type="dxa"/>
            <w:vAlign w:val="center"/>
          </w:tcPr>
          <w:p w14:paraId="1B839C7B">
            <w:pPr>
              <w:jc w:val="center"/>
              <w:rPr>
                <w:rFonts w:ascii="Calibri" w:hAnsi="Calibri"/>
                <w:sz w:val="20"/>
                <w:szCs w:val="20"/>
              </w:rPr>
            </w:pPr>
            <w:r>
              <w:rPr>
                <w:rFonts w:hint="eastAsia" w:ascii="Calibri" w:hAnsi="Calibri"/>
                <w:sz w:val="20"/>
                <w:szCs w:val="20"/>
              </w:rPr>
              <w:t>合计</w:t>
            </w:r>
          </w:p>
        </w:tc>
        <w:tc>
          <w:tcPr>
            <w:tcW w:w="1632" w:type="dxa"/>
            <w:vAlign w:val="center"/>
          </w:tcPr>
          <w:p w14:paraId="54265F23">
            <w:pPr>
              <w:jc w:val="right"/>
              <w:rPr>
                <w:rFonts w:ascii="Calibri" w:hAnsi="Calibri"/>
                <w:sz w:val="20"/>
                <w:szCs w:val="20"/>
              </w:rPr>
            </w:pPr>
            <w:r>
              <w:rPr>
                <w:rFonts w:ascii="Calibri" w:hAnsi="Calibri"/>
                <w:sz w:val="20"/>
                <w:szCs w:val="20"/>
              </w:rPr>
              <w:t>115,152,532.27</w:t>
            </w:r>
          </w:p>
        </w:tc>
        <w:tc>
          <w:tcPr>
            <w:tcW w:w="963" w:type="dxa"/>
            <w:vAlign w:val="center"/>
          </w:tcPr>
          <w:p w14:paraId="358E0611">
            <w:pPr>
              <w:jc w:val="right"/>
              <w:rPr>
                <w:rFonts w:ascii="Calibri" w:hAnsi="Calibri"/>
                <w:sz w:val="20"/>
                <w:szCs w:val="20"/>
              </w:rPr>
            </w:pPr>
          </w:p>
        </w:tc>
        <w:tc>
          <w:tcPr>
            <w:tcW w:w="1588" w:type="dxa"/>
            <w:vAlign w:val="center"/>
          </w:tcPr>
          <w:p w14:paraId="280408D1">
            <w:pPr>
              <w:jc w:val="right"/>
              <w:rPr>
                <w:rFonts w:ascii="Calibri" w:hAnsi="Calibri"/>
                <w:sz w:val="20"/>
                <w:szCs w:val="20"/>
              </w:rPr>
            </w:pPr>
            <w:r>
              <w:rPr>
                <w:rFonts w:ascii="Calibri" w:hAnsi="Calibri"/>
                <w:sz w:val="20"/>
                <w:szCs w:val="20"/>
              </w:rPr>
              <w:t>18,273,102.78</w:t>
            </w:r>
          </w:p>
        </w:tc>
        <w:tc>
          <w:tcPr>
            <w:tcW w:w="904" w:type="dxa"/>
            <w:vAlign w:val="center"/>
          </w:tcPr>
          <w:p w14:paraId="0A6957EA">
            <w:pPr>
              <w:jc w:val="right"/>
              <w:rPr>
                <w:rFonts w:ascii="Calibri" w:hAnsi="Calibri"/>
                <w:sz w:val="20"/>
                <w:szCs w:val="20"/>
              </w:rPr>
            </w:pPr>
          </w:p>
        </w:tc>
        <w:tc>
          <w:tcPr>
            <w:tcW w:w="1081" w:type="dxa"/>
            <w:vAlign w:val="center"/>
          </w:tcPr>
          <w:p w14:paraId="1346447C">
            <w:pPr>
              <w:jc w:val="right"/>
              <w:rPr>
                <w:rFonts w:ascii="Calibri" w:hAnsi="Calibri"/>
                <w:sz w:val="20"/>
                <w:szCs w:val="20"/>
              </w:rPr>
            </w:pPr>
          </w:p>
        </w:tc>
        <w:tc>
          <w:tcPr>
            <w:tcW w:w="1406" w:type="dxa"/>
            <w:vAlign w:val="center"/>
          </w:tcPr>
          <w:p w14:paraId="660112B8">
            <w:pPr>
              <w:jc w:val="right"/>
              <w:rPr>
                <w:rFonts w:ascii="Calibri" w:hAnsi="Calibri"/>
                <w:sz w:val="20"/>
                <w:szCs w:val="20"/>
              </w:rPr>
            </w:pPr>
            <w:r>
              <w:rPr>
                <w:rFonts w:ascii="Calibri" w:hAnsi="Calibri"/>
                <w:sz w:val="20"/>
                <w:szCs w:val="20"/>
              </w:rPr>
              <w:t>96,879,429.49</w:t>
            </w:r>
          </w:p>
        </w:tc>
      </w:tr>
    </w:tbl>
    <w:p w14:paraId="33FD8E62"/>
    <w:p w14:paraId="3B767B26">
      <w:pPr>
        <w:pStyle w:val="48"/>
      </w:pPr>
      <w:r>
        <w:rPr>
          <w:rFonts w:hint="eastAsia"/>
        </w:rPr>
        <w:t>其中本期坏账准备收回或转回金额重要的：</w:t>
      </w:r>
    </w:p>
    <w:sdt>
      <w:sdtPr>
        <w:alias w:val="是否适用：母公司其中本期坏账准备收回或转回金额重要的[双击切换]"/>
        <w:tag w:val="_GBC_5f9ff028d97f4757bc779516f257bedd"/>
        <w:id w:val="2112003173"/>
        <w:placeholder>
          <w:docPart w:val="GBC22222222222222222222222222222"/>
        </w:placeholder>
      </w:sdtPr>
      <w:sdtContent>
        <w:p w14:paraId="7B51C8B6">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A3A3D63">
      <w:pPr>
        <w:pStyle w:val="48"/>
      </w:pPr>
    </w:p>
    <w:p w14:paraId="65E0D45E">
      <w:pPr>
        <w:ind w:right="-1594" w:rightChars="-759"/>
      </w:pPr>
    </w:p>
    <w:bookmarkEnd w:id="391"/>
    <w:p w14:paraId="2D4092CB">
      <w:pPr>
        <w:pStyle w:val="5"/>
        <w:numPr>
          <w:ilvl w:val="3"/>
          <w:numId w:val="127"/>
        </w:numPr>
        <w:ind w:left="426" w:hanging="426" w:hangingChars="202"/>
      </w:pPr>
      <w:r>
        <w:rPr>
          <w:rFonts w:hint="eastAsia"/>
        </w:rPr>
        <w:t>本期实际核销的应收账款情况</w:t>
      </w:r>
    </w:p>
    <w:sdt>
      <w:sdtPr>
        <w:alias w:val="是否适用：母公司本期实际核销的应收账款情况[双击切换]"/>
        <w:tag w:val="_GBC_a30d476ac6184bc98f9b334fa55067ac"/>
        <w:id w:val="-1980916963"/>
        <w:placeholder>
          <w:docPart w:val="GBC22222222222222222222222222222"/>
        </w:placeholder>
      </w:sdtPr>
      <w:sdtContent>
        <w:p w14:paraId="4BF1B6B2">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7A706ED">
      <w:pPr>
        <w:jc w:val="right"/>
      </w:pPr>
      <w:r>
        <w:rPr>
          <w:rFonts w:hint="eastAsia"/>
        </w:rPr>
        <w:t>单位：</w:t>
      </w:r>
      <w:sdt>
        <w:sdtPr>
          <w:rPr>
            <w:rFonts w:hint="eastAsia"/>
          </w:rPr>
          <w:alias w:val="单位：母公司财务附注：本报告期实际核销的应收款项情况"/>
          <w:tag w:val="_GBC_a5c3b5e8c8bf477abc83c1766768abf2"/>
          <w:id w:val="-1147655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财务附注：本报告期实际核销的应收款项情况"/>
          <w:tag w:val="_GBC_c46c6c481aca4428892d83e0d45ec77c"/>
          <w:id w:val="15001543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2"/>
        <w:gridCol w:w="4776"/>
      </w:tblGrid>
      <w:tr w14:paraId="1C1A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c7267345db44379846ba86d759302da"/>
            <w:id w:val="554358961"/>
          </w:sdtPr>
          <w:sdtContent>
            <w:tc>
              <w:tcPr>
                <w:tcW w:w="4272" w:type="dxa"/>
                <w:vAlign w:val="center"/>
              </w:tcPr>
              <w:p w14:paraId="279BD308">
                <w:pPr>
                  <w:jc w:val="center"/>
                  <w:rPr>
                    <w:rFonts w:ascii="Calibri" w:hAnsi="Calibri"/>
                    <w:sz w:val="20"/>
                    <w:szCs w:val="20"/>
                  </w:rPr>
                </w:pPr>
                <w:r>
                  <w:rPr>
                    <w:rFonts w:hint="eastAsia" w:ascii="Calibri" w:hAnsi="Calibri"/>
                    <w:sz w:val="20"/>
                    <w:szCs w:val="20"/>
                  </w:rPr>
                  <w:t>项目</w:t>
                </w:r>
              </w:p>
            </w:tc>
          </w:sdtContent>
        </w:sdt>
        <w:sdt>
          <w:sdtPr>
            <w:tag w:val="_PLD_99874d480e864cddaf845b554cb24ccb"/>
            <w:id w:val="1821382598"/>
          </w:sdtPr>
          <w:sdtContent>
            <w:tc>
              <w:tcPr>
                <w:tcW w:w="4776" w:type="dxa"/>
                <w:vAlign w:val="center"/>
              </w:tcPr>
              <w:p w14:paraId="02A05123">
                <w:pPr>
                  <w:jc w:val="center"/>
                  <w:rPr>
                    <w:rFonts w:ascii="Calibri" w:hAnsi="Calibri"/>
                    <w:sz w:val="20"/>
                    <w:szCs w:val="20"/>
                  </w:rPr>
                </w:pPr>
                <w:r>
                  <w:rPr>
                    <w:rFonts w:hint="eastAsia" w:ascii="Calibri" w:hAnsi="Calibri"/>
                    <w:sz w:val="20"/>
                    <w:szCs w:val="20"/>
                  </w:rPr>
                  <w:t>核销金额</w:t>
                </w:r>
              </w:p>
            </w:tc>
          </w:sdtContent>
        </w:sdt>
      </w:tr>
      <w:tr w14:paraId="2A69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2" w:type="dxa"/>
            <w:vAlign w:val="center"/>
          </w:tcPr>
          <w:p w14:paraId="50C94071">
            <w:pPr>
              <w:pStyle w:val="48"/>
              <w:rPr>
                <w:sz w:val="20"/>
                <w:szCs w:val="20"/>
              </w:rPr>
            </w:pPr>
            <w:r>
              <w:rPr>
                <w:rFonts w:hint="eastAsia"/>
                <w:sz w:val="20"/>
                <w:szCs w:val="20"/>
              </w:rPr>
              <w:t>实际核销的应收账款</w:t>
            </w:r>
          </w:p>
        </w:tc>
        <w:tc>
          <w:tcPr>
            <w:tcW w:w="4776" w:type="dxa"/>
            <w:vAlign w:val="center"/>
          </w:tcPr>
          <w:p w14:paraId="696E78D3">
            <w:pPr>
              <w:jc w:val="right"/>
              <w:rPr>
                <w:rFonts w:ascii="Calibri" w:hAnsi="Calibri"/>
                <w:sz w:val="20"/>
                <w:szCs w:val="20"/>
              </w:rPr>
            </w:pPr>
            <w:r>
              <w:rPr>
                <w:rFonts w:ascii="Calibri" w:hAnsi="Calibri"/>
                <w:sz w:val="20"/>
                <w:szCs w:val="20"/>
              </w:rPr>
              <w:t>13,679,577.81</w:t>
            </w:r>
          </w:p>
        </w:tc>
      </w:tr>
    </w:tbl>
    <w:p w14:paraId="27D415FA">
      <w:pPr>
        <w:pStyle w:val="48"/>
      </w:pPr>
    </w:p>
    <w:p w14:paraId="57B82E0E">
      <w:pPr>
        <w:pStyle w:val="48"/>
      </w:pPr>
      <w:r>
        <w:rPr>
          <w:rFonts w:hint="eastAsia"/>
        </w:rPr>
        <w:t>其中重要的应收账款核销情况</w:t>
      </w:r>
    </w:p>
    <w:sdt>
      <w:sdtPr>
        <w:alias w:val="是否适用：母公司其中重要的应收账款核销情况[双击切换]"/>
        <w:tag w:val="_GBC_7110dba4b9b14a6ea7177cba57fd2d03"/>
        <w:id w:val="1223869248"/>
        <w:placeholder>
          <w:docPart w:val="GBC22222222222222222222222222222"/>
        </w:placeholder>
      </w:sdtPr>
      <w:sdtContent>
        <w:p w14:paraId="45BFC50D">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DB8BBEB">
      <w:pPr>
        <w:pStyle w:val="48"/>
      </w:pPr>
    </w:p>
    <w:p w14:paraId="41F94F81">
      <w:pPr>
        <w:snapToGrid w:val="0"/>
        <w:spacing w:line="240" w:lineRule="atLeast"/>
      </w:pPr>
      <w:r>
        <w:rPr>
          <w:rFonts w:hint="eastAsia"/>
        </w:rPr>
        <w:t>应收账款核销说明：</w:t>
      </w:r>
    </w:p>
    <w:sdt>
      <w:sdtPr>
        <w:rPr>
          <w:rFonts w:hint="eastAsia"/>
        </w:rPr>
        <w:alias w:val="是否适用：母公司应收账款核销说明[双击切换]"/>
        <w:tag w:val="_GBC_2ba809c9e31c411795d7353d4b11a774"/>
        <w:id w:val="-1329206915"/>
        <w:placeholder>
          <w:docPart w:val="GBC22222222222222222222222222222"/>
        </w:placeholder>
      </w:sdtPr>
      <w:sdtEndPr>
        <w:rPr>
          <w:rFonts w:hint="eastAsia"/>
        </w:rPr>
      </w:sdtEndPr>
      <w:sdtContent>
        <w:p w14:paraId="31941AD5">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5E5947B">
      <w:pPr>
        <w:pStyle w:val="48"/>
      </w:pPr>
    </w:p>
    <w:p w14:paraId="5827C217">
      <w:pPr>
        <w:pStyle w:val="5"/>
        <w:numPr>
          <w:ilvl w:val="3"/>
          <w:numId w:val="127"/>
        </w:numPr>
        <w:ind w:left="426" w:hanging="426" w:hangingChars="202"/>
      </w:pPr>
      <w:bookmarkStart w:id="392" w:name="_Hlk90023019"/>
      <w:bookmarkStart w:id="393" w:name="_Hlk153789714"/>
      <w:r>
        <w:rPr>
          <w:rFonts w:hint="eastAsia"/>
        </w:rPr>
        <w:t>按欠款方归集的期末余额前五名的应收账款和合同资产情况</w:t>
      </w:r>
    </w:p>
    <w:sdt>
      <w:sdtPr>
        <w:rPr>
          <w:rFonts w:hint="eastAsia"/>
        </w:rPr>
        <w:alias w:val="是否适用：按欠款方归集的期末余额前五名的应收账款情况[双击切换]"/>
        <w:tag w:val="_GBC_7fffc10e897f45d19e0dc3f8ffc2224f"/>
        <w:id w:val="-2096699956"/>
        <w:placeholder>
          <w:docPart w:val="GBC22222222222222222222222222222"/>
        </w:placeholder>
      </w:sdtPr>
      <w:sdtEndPr>
        <w:rPr>
          <w:rFonts w:hint="eastAsia"/>
        </w:rPr>
      </w:sdtEndPr>
      <w:sdtContent>
        <w:p w14:paraId="44689A45">
          <w:pPr>
            <w:snapToGrid w:val="0"/>
            <w:spacing w:line="240" w:lineRule="atLeast"/>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7A33B89">
      <w:pPr>
        <w:snapToGrid w:val="0"/>
        <w:spacing w:line="240" w:lineRule="atLeast"/>
        <w:jc w:val="right"/>
      </w:pPr>
      <w:r>
        <w:rPr>
          <w:rFonts w:hint="eastAsia"/>
        </w:rPr>
        <w:t>单位：</w:t>
      </w:r>
      <w:sdt>
        <w:sdtPr>
          <w:alias w:val="单位：财务附注：应收账款前五名欠款情况"/>
          <w:tag w:val="_GBC_e41caaf031c645a09f9ff82e1bde3008"/>
          <w:id w:val="83549464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应收账款前五名欠款情况"/>
          <w:tag w:val="_GBC_03b6faf9055245869ad37558d10f0525"/>
          <w:id w:val="-924707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473"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1607"/>
        <w:gridCol w:w="1407"/>
        <w:gridCol w:w="1507"/>
        <w:gridCol w:w="1507"/>
        <w:gridCol w:w="1507"/>
      </w:tblGrid>
      <w:tr w14:paraId="7E71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68ef52d85e9b4f23a72393cc4b01b204"/>
            <w:id w:val="-503060349"/>
          </w:sdtPr>
          <w:sdtContent>
            <w:tc>
              <w:tcPr>
                <w:tcW w:w="1938" w:type="dxa"/>
                <w:vAlign w:val="center"/>
              </w:tcPr>
              <w:p w14:paraId="00935591">
                <w:pPr>
                  <w:ind w:right="105"/>
                  <w:jc w:val="center"/>
                  <w:rPr>
                    <w:rFonts w:ascii="Calibri" w:hAnsi="Calibri"/>
                    <w:sz w:val="20"/>
                    <w:szCs w:val="20"/>
                  </w:rPr>
                </w:pPr>
                <w:r>
                  <w:rPr>
                    <w:rFonts w:hint="eastAsia" w:ascii="Calibri" w:hAnsi="Calibri"/>
                    <w:sz w:val="20"/>
                    <w:szCs w:val="20"/>
                  </w:rPr>
                  <w:t>单位名称</w:t>
                </w:r>
              </w:p>
            </w:tc>
          </w:sdtContent>
        </w:sdt>
        <w:sdt>
          <w:sdtPr>
            <w:tag w:val="_PLD_a62fd4b0ddfb407795d57ea0471df65a"/>
            <w:id w:val="1316764782"/>
          </w:sdtPr>
          <w:sdtContent>
            <w:tc>
              <w:tcPr>
                <w:tcW w:w="1607" w:type="dxa"/>
                <w:vAlign w:val="center"/>
              </w:tcPr>
              <w:p w14:paraId="00B49233">
                <w:pPr>
                  <w:ind w:right="73"/>
                  <w:jc w:val="center"/>
                  <w:rPr>
                    <w:rFonts w:ascii="Calibri" w:hAnsi="Calibri"/>
                    <w:sz w:val="20"/>
                    <w:szCs w:val="20"/>
                  </w:rPr>
                </w:pPr>
                <w:r>
                  <w:rPr>
                    <w:rFonts w:hint="eastAsia" w:ascii="Calibri" w:hAnsi="Calibri"/>
                    <w:sz w:val="20"/>
                    <w:szCs w:val="20"/>
                  </w:rPr>
                  <w:t>应收账款期末余额</w:t>
                </w:r>
              </w:p>
            </w:tc>
          </w:sdtContent>
        </w:sdt>
        <w:sdt>
          <w:sdtPr>
            <w:tag w:val="_PLD_7e753de74ef54c5da4e5c10a41366274"/>
            <w:id w:val="-1986303645"/>
          </w:sdtPr>
          <w:sdtContent>
            <w:tc>
              <w:tcPr>
                <w:tcW w:w="1407" w:type="dxa"/>
                <w:vAlign w:val="center"/>
              </w:tcPr>
              <w:p w14:paraId="454E3436">
                <w:pPr>
                  <w:jc w:val="center"/>
                  <w:rPr>
                    <w:rFonts w:ascii="Calibri" w:hAnsi="Calibri"/>
                    <w:sz w:val="20"/>
                    <w:szCs w:val="20"/>
                  </w:rPr>
                </w:pPr>
                <w:r>
                  <w:rPr>
                    <w:rFonts w:hint="eastAsia" w:ascii="Calibri" w:hAnsi="Calibri"/>
                    <w:sz w:val="20"/>
                    <w:szCs w:val="20"/>
                  </w:rPr>
                  <w:t>合同资产期末余额</w:t>
                </w:r>
              </w:p>
            </w:tc>
          </w:sdtContent>
        </w:sdt>
        <w:sdt>
          <w:sdtPr>
            <w:tag w:val="_PLD_1589be2aa7134b3f9de4e223e83a7a61"/>
            <w:id w:val="1351606953"/>
          </w:sdtPr>
          <w:sdtContent>
            <w:tc>
              <w:tcPr>
                <w:tcW w:w="1507" w:type="dxa"/>
                <w:vAlign w:val="center"/>
              </w:tcPr>
              <w:p w14:paraId="22C30129">
                <w:pPr>
                  <w:jc w:val="center"/>
                  <w:rPr>
                    <w:rFonts w:ascii="Calibri" w:hAnsi="Calibri"/>
                    <w:sz w:val="20"/>
                    <w:szCs w:val="20"/>
                  </w:rPr>
                </w:pPr>
                <w:r>
                  <w:rPr>
                    <w:rFonts w:hint="eastAsia" w:ascii="Calibri" w:hAnsi="Calibri"/>
                    <w:sz w:val="20"/>
                    <w:szCs w:val="20"/>
                  </w:rPr>
                  <w:t>应收账款和合同资产期末余额</w:t>
                </w:r>
              </w:p>
            </w:tc>
          </w:sdtContent>
        </w:sdt>
        <w:sdt>
          <w:sdtPr>
            <w:tag w:val="_PLD_e84ecb8c9e5146e8b4ede4a709c5ef5f"/>
            <w:id w:val="-969900211"/>
          </w:sdtPr>
          <w:sdtContent>
            <w:tc>
              <w:tcPr>
                <w:tcW w:w="1507" w:type="dxa"/>
                <w:vAlign w:val="center"/>
              </w:tcPr>
              <w:p w14:paraId="32B3FDEF">
                <w:pPr>
                  <w:jc w:val="center"/>
                  <w:rPr>
                    <w:rFonts w:ascii="Calibri" w:hAnsi="Calibri"/>
                    <w:sz w:val="20"/>
                    <w:szCs w:val="20"/>
                  </w:rPr>
                </w:pPr>
                <w:r>
                  <w:rPr>
                    <w:rFonts w:hint="eastAsia" w:ascii="Calibri" w:hAnsi="Calibri"/>
                    <w:sz w:val="20"/>
                    <w:szCs w:val="20"/>
                  </w:rPr>
                  <w:t>占应收账款和合同资产期末余额合计数的比例（%）</w:t>
                </w:r>
              </w:p>
            </w:tc>
          </w:sdtContent>
        </w:sdt>
        <w:sdt>
          <w:sdtPr>
            <w:tag w:val="_PLD_da58e99405a342aa95b8ffb814c33752"/>
            <w:id w:val="179866274"/>
          </w:sdtPr>
          <w:sdtContent>
            <w:tc>
              <w:tcPr>
                <w:tcW w:w="1507" w:type="dxa"/>
                <w:vAlign w:val="center"/>
              </w:tcPr>
              <w:p w14:paraId="3705606D">
                <w:pPr>
                  <w:jc w:val="center"/>
                  <w:rPr>
                    <w:rFonts w:ascii="Calibri" w:hAnsi="Calibri"/>
                    <w:sz w:val="20"/>
                    <w:szCs w:val="20"/>
                  </w:rPr>
                </w:pPr>
                <w:r>
                  <w:rPr>
                    <w:rFonts w:hint="eastAsia" w:ascii="Calibri" w:hAnsi="Calibri"/>
                    <w:sz w:val="20"/>
                    <w:szCs w:val="20"/>
                  </w:rPr>
                  <w:t>坏账准备期末余额</w:t>
                </w:r>
              </w:p>
            </w:tc>
          </w:sdtContent>
        </w:sdt>
      </w:tr>
      <w:tr w14:paraId="5397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38" w:type="dxa"/>
            <w:vAlign w:val="center"/>
          </w:tcPr>
          <w:p w14:paraId="6106C47E">
            <w:pPr>
              <w:ind w:right="105"/>
              <w:jc w:val="both"/>
              <w:rPr>
                <w:rFonts w:ascii="Calibri" w:hAnsi="Calibri"/>
                <w:sz w:val="20"/>
                <w:szCs w:val="20"/>
              </w:rPr>
            </w:pPr>
            <w:r>
              <w:rPr>
                <w:rFonts w:ascii="Calibri" w:hAnsi="Calibri"/>
                <w:sz w:val="20"/>
                <w:szCs w:val="20"/>
              </w:rPr>
              <w:t>国药控股股份有限公司</w:t>
            </w:r>
          </w:p>
        </w:tc>
        <w:tc>
          <w:tcPr>
            <w:tcW w:w="1607" w:type="dxa"/>
            <w:vAlign w:val="center"/>
          </w:tcPr>
          <w:p w14:paraId="4B6FE019">
            <w:pPr>
              <w:ind w:right="73"/>
              <w:jc w:val="right"/>
              <w:rPr>
                <w:rFonts w:ascii="Calibri" w:hAnsi="Calibri"/>
                <w:sz w:val="20"/>
                <w:szCs w:val="20"/>
              </w:rPr>
            </w:pPr>
            <w:r>
              <w:rPr>
                <w:rFonts w:ascii="Calibri" w:hAnsi="Calibri"/>
                <w:sz w:val="20"/>
                <w:szCs w:val="20"/>
              </w:rPr>
              <w:t>142,050,344.96</w:t>
            </w:r>
          </w:p>
        </w:tc>
        <w:tc>
          <w:tcPr>
            <w:tcW w:w="1407" w:type="dxa"/>
            <w:vAlign w:val="center"/>
          </w:tcPr>
          <w:p w14:paraId="4720BA00">
            <w:pPr>
              <w:jc w:val="right"/>
              <w:rPr>
                <w:rFonts w:ascii="Calibri" w:hAnsi="Calibri"/>
                <w:sz w:val="20"/>
                <w:szCs w:val="20"/>
              </w:rPr>
            </w:pPr>
          </w:p>
        </w:tc>
        <w:tc>
          <w:tcPr>
            <w:tcW w:w="1507" w:type="dxa"/>
            <w:vAlign w:val="center"/>
          </w:tcPr>
          <w:p w14:paraId="2A0F72E2">
            <w:pPr>
              <w:jc w:val="right"/>
              <w:rPr>
                <w:rFonts w:ascii="Calibri" w:hAnsi="Calibri"/>
                <w:sz w:val="20"/>
                <w:szCs w:val="20"/>
              </w:rPr>
            </w:pPr>
            <w:r>
              <w:rPr>
                <w:rFonts w:ascii="Calibri" w:hAnsi="Calibri"/>
                <w:sz w:val="20"/>
                <w:szCs w:val="20"/>
              </w:rPr>
              <w:t>142,050,344.96</w:t>
            </w:r>
          </w:p>
        </w:tc>
        <w:tc>
          <w:tcPr>
            <w:tcW w:w="1507" w:type="dxa"/>
            <w:vAlign w:val="center"/>
          </w:tcPr>
          <w:p w14:paraId="42988751">
            <w:pPr>
              <w:jc w:val="right"/>
              <w:rPr>
                <w:rFonts w:ascii="Calibri" w:hAnsi="Calibri"/>
                <w:sz w:val="20"/>
                <w:szCs w:val="20"/>
              </w:rPr>
            </w:pPr>
            <w:r>
              <w:rPr>
                <w:rFonts w:ascii="Calibri" w:hAnsi="Calibri"/>
                <w:sz w:val="20"/>
                <w:szCs w:val="20"/>
              </w:rPr>
              <w:t>28.17</w:t>
            </w:r>
          </w:p>
        </w:tc>
        <w:tc>
          <w:tcPr>
            <w:tcW w:w="1507" w:type="dxa"/>
            <w:vAlign w:val="center"/>
          </w:tcPr>
          <w:p w14:paraId="71C01E46">
            <w:pPr>
              <w:jc w:val="right"/>
              <w:rPr>
                <w:rFonts w:ascii="Calibri" w:hAnsi="Calibri"/>
                <w:sz w:val="20"/>
                <w:szCs w:val="20"/>
              </w:rPr>
            </w:pPr>
            <w:r>
              <w:rPr>
                <w:rFonts w:ascii="Calibri" w:hAnsi="Calibri"/>
                <w:sz w:val="20"/>
                <w:szCs w:val="20"/>
              </w:rPr>
              <w:t>7,118,254.08</w:t>
            </w:r>
          </w:p>
        </w:tc>
      </w:tr>
      <w:tr w14:paraId="125E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38" w:type="dxa"/>
            <w:vAlign w:val="center"/>
          </w:tcPr>
          <w:p w14:paraId="318C10BA">
            <w:pPr>
              <w:ind w:right="105"/>
              <w:jc w:val="both"/>
              <w:rPr>
                <w:rFonts w:ascii="Calibri" w:hAnsi="Calibri"/>
                <w:sz w:val="20"/>
                <w:szCs w:val="20"/>
              </w:rPr>
            </w:pPr>
            <w:r>
              <w:rPr>
                <w:rFonts w:ascii="Calibri" w:hAnsi="Calibri"/>
                <w:sz w:val="20"/>
                <w:szCs w:val="20"/>
              </w:rPr>
              <w:t>华润医药商业集团有限公司</w:t>
            </w:r>
          </w:p>
        </w:tc>
        <w:tc>
          <w:tcPr>
            <w:tcW w:w="1607" w:type="dxa"/>
            <w:vAlign w:val="center"/>
          </w:tcPr>
          <w:p w14:paraId="13E3C2B7">
            <w:pPr>
              <w:ind w:right="73"/>
              <w:jc w:val="right"/>
              <w:rPr>
                <w:rFonts w:ascii="Calibri" w:hAnsi="Calibri"/>
                <w:sz w:val="20"/>
                <w:szCs w:val="20"/>
              </w:rPr>
            </w:pPr>
            <w:r>
              <w:rPr>
                <w:rFonts w:ascii="Calibri" w:hAnsi="Calibri"/>
                <w:sz w:val="20"/>
                <w:szCs w:val="20"/>
              </w:rPr>
              <w:t>49,147,450.47</w:t>
            </w:r>
          </w:p>
        </w:tc>
        <w:tc>
          <w:tcPr>
            <w:tcW w:w="1407" w:type="dxa"/>
            <w:vAlign w:val="center"/>
          </w:tcPr>
          <w:p w14:paraId="0122F9CA">
            <w:pPr>
              <w:jc w:val="right"/>
              <w:rPr>
                <w:rFonts w:ascii="Calibri" w:hAnsi="Calibri"/>
                <w:sz w:val="20"/>
                <w:szCs w:val="20"/>
              </w:rPr>
            </w:pPr>
          </w:p>
        </w:tc>
        <w:tc>
          <w:tcPr>
            <w:tcW w:w="1507" w:type="dxa"/>
            <w:vAlign w:val="center"/>
          </w:tcPr>
          <w:p w14:paraId="1840CABA">
            <w:pPr>
              <w:jc w:val="right"/>
              <w:rPr>
                <w:rFonts w:ascii="Calibri" w:hAnsi="Calibri"/>
                <w:sz w:val="20"/>
                <w:szCs w:val="20"/>
              </w:rPr>
            </w:pPr>
            <w:r>
              <w:rPr>
                <w:rFonts w:ascii="Calibri" w:hAnsi="Calibri"/>
                <w:sz w:val="20"/>
                <w:szCs w:val="20"/>
              </w:rPr>
              <w:t>49,147,450.47</w:t>
            </w:r>
          </w:p>
        </w:tc>
        <w:tc>
          <w:tcPr>
            <w:tcW w:w="1507" w:type="dxa"/>
            <w:vAlign w:val="center"/>
          </w:tcPr>
          <w:p w14:paraId="260F5014">
            <w:pPr>
              <w:jc w:val="right"/>
              <w:rPr>
                <w:rFonts w:ascii="Calibri" w:hAnsi="Calibri"/>
                <w:sz w:val="20"/>
                <w:szCs w:val="20"/>
              </w:rPr>
            </w:pPr>
            <w:r>
              <w:rPr>
                <w:rFonts w:ascii="Calibri" w:hAnsi="Calibri"/>
                <w:sz w:val="20"/>
                <w:szCs w:val="20"/>
              </w:rPr>
              <w:t>9.75</w:t>
            </w:r>
          </w:p>
        </w:tc>
        <w:tc>
          <w:tcPr>
            <w:tcW w:w="1507" w:type="dxa"/>
            <w:vAlign w:val="center"/>
          </w:tcPr>
          <w:p w14:paraId="10D2E241">
            <w:pPr>
              <w:jc w:val="right"/>
              <w:rPr>
                <w:rFonts w:ascii="Calibri" w:hAnsi="Calibri"/>
                <w:sz w:val="20"/>
                <w:szCs w:val="20"/>
              </w:rPr>
            </w:pPr>
            <w:r>
              <w:rPr>
                <w:rFonts w:ascii="Calibri" w:hAnsi="Calibri"/>
                <w:sz w:val="20"/>
                <w:szCs w:val="20"/>
              </w:rPr>
              <w:t>2,550,032.86</w:t>
            </w:r>
          </w:p>
        </w:tc>
      </w:tr>
      <w:tr w14:paraId="02EE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38" w:type="dxa"/>
            <w:vAlign w:val="center"/>
          </w:tcPr>
          <w:p w14:paraId="40B8C6F4">
            <w:pPr>
              <w:ind w:right="105"/>
              <w:jc w:val="both"/>
              <w:rPr>
                <w:rFonts w:ascii="Calibri" w:hAnsi="Calibri"/>
                <w:sz w:val="20"/>
                <w:szCs w:val="20"/>
              </w:rPr>
            </w:pPr>
            <w:r>
              <w:rPr>
                <w:rFonts w:ascii="Calibri" w:hAnsi="Calibri"/>
                <w:sz w:val="20"/>
                <w:szCs w:val="20"/>
              </w:rPr>
              <w:t>九州通医药集团股份有限公司</w:t>
            </w:r>
          </w:p>
        </w:tc>
        <w:tc>
          <w:tcPr>
            <w:tcW w:w="1607" w:type="dxa"/>
            <w:vAlign w:val="center"/>
          </w:tcPr>
          <w:p w14:paraId="4880A8C3">
            <w:pPr>
              <w:ind w:right="73"/>
              <w:jc w:val="right"/>
              <w:rPr>
                <w:rFonts w:ascii="Calibri" w:hAnsi="Calibri"/>
                <w:sz w:val="20"/>
                <w:szCs w:val="20"/>
              </w:rPr>
            </w:pPr>
            <w:r>
              <w:rPr>
                <w:rFonts w:ascii="Calibri" w:hAnsi="Calibri"/>
                <w:sz w:val="20"/>
                <w:szCs w:val="20"/>
              </w:rPr>
              <w:t>21,522,398.03</w:t>
            </w:r>
          </w:p>
        </w:tc>
        <w:tc>
          <w:tcPr>
            <w:tcW w:w="1407" w:type="dxa"/>
            <w:vAlign w:val="center"/>
          </w:tcPr>
          <w:p w14:paraId="79C7D64A">
            <w:pPr>
              <w:jc w:val="right"/>
              <w:rPr>
                <w:rFonts w:ascii="Calibri" w:hAnsi="Calibri"/>
                <w:sz w:val="20"/>
                <w:szCs w:val="20"/>
              </w:rPr>
            </w:pPr>
          </w:p>
        </w:tc>
        <w:tc>
          <w:tcPr>
            <w:tcW w:w="1507" w:type="dxa"/>
            <w:vAlign w:val="center"/>
          </w:tcPr>
          <w:p w14:paraId="48F13F16">
            <w:pPr>
              <w:jc w:val="right"/>
              <w:rPr>
                <w:rFonts w:ascii="Calibri" w:hAnsi="Calibri"/>
                <w:sz w:val="20"/>
                <w:szCs w:val="20"/>
              </w:rPr>
            </w:pPr>
            <w:r>
              <w:rPr>
                <w:rFonts w:ascii="Calibri" w:hAnsi="Calibri"/>
                <w:sz w:val="20"/>
                <w:szCs w:val="20"/>
              </w:rPr>
              <w:t>21,522,398.03</w:t>
            </w:r>
          </w:p>
        </w:tc>
        <w:tc>
          <w:tcPr>
            <w:tcW w:w="1507" w:type="dxa"/>
            <w:vAlign w:val="center"/>
          </w:tcPr>
          <w:p w14:paraId="6A577526">
            <w:pPr>
              <w:jc w:val="right"/>
              <w:rPr>
                <w:rFonts w:ascii="Calibri" w:hAnsi="Calibri"/>
                <w:sz w:val="20"/>
                <w:szCs w:val="20"/>
              </w:rPr>
            </w:pPr>
            <w:r>
              <w:rPr>
                <w:rFonts w:ascii="Calibri" w:hAnsi="Calibri"/>
                <w:sz w:val="20"/>
                <w:szCs w:val="20"/>
              </w:rPr>
              <w:t>4.27</w:t>
            </w:r>
          </w:p>
        </w:tc>
        <w:tc>
          <w:tcPr>
            <w:tcW w:w="1507" w:type="dxa"/>
            <w:vAlign w:val="center"/>
          </w:tcPr>
          <w:p w14:paraId="7F96B4E9">
            <w:pPr>
              <w:jc w:val="right"/>
              <w:rPr>
                <w:rFonts w:ascii="Calibri" w:hAnsi="Calibri"/>
                <w:sz w:val="20"/>
                <w:szCs w:val="20"/>
              </w:rPr>
            </w:pPr>
            <w:r>
              <w:rPr>
                <w:rFonts w:ascii="Calibri" w:hAnsi="Calibri"/>
                <w:sz w:val="20"/>
                <w:szCs w:val="20"/>
              </w:rPr>
              <w:t>1,077,521.42</w:t>
            </w:r>
          </w:p>
        </w:tc>
      </w:tr>
      <w:tr w14:paraId="52C5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38" w:type="dxa"/>
            <w:vAlign w:val="center"/>
          </w:tcPr>
          <w:p w14:paraId="1E8F0378">
            <w:pPr>
              <w:ind w:right="105"/>
              <w:jc w:val="both"/>
              <w:rPr>
                <w:rFonts w:ascii="Calibri" w:hAnsi="Calibri"/>
                <w:sz w:val="20"/>
                <w:szCs w:val="20"/>
              </w:rPr>
            </w:pPr>
            <w:r>
              <w:rPr>
                <w:rFonts w:ascii="Calibri" w:hAnsi="Calibri"/>
                <w:sz w:val="20"/>
                <w:szCs w:val="20"/>
              </w:rPr>
              <w:t>上药控股有限公司</w:t>
            </w:r>
          </w:p>
        </w:tc>
        <w:tc>
          <w:tcPr>
            <w:tcW w:w="1607" w:type="dxa"/>
            <w:vAlign w:val="center"/>
          </w:tcPr>
          <w:p w14:paraId="62F7225B">
            <w:pPr>
              <w:ind w:right="73"/>
              <w:jc w:val="right"/>
              <w:rPr>
                <w:rFonts w:ascii="Calibri" w:hAnsi="Calibri"/>
                <w:sz w:val="20"/>
                <w:szCs w:val="20"/>
              </w:rPr>
            </w:pPr>
            <w:r>
              <w:rPr>
                <w:rFonts w:ascii="Calibri" w:hAnsi="Calibri"/>
                <w:sz w:val="20"/>
                <w:szCs w:val="20"/>
              </w:rPr>
              <w:t>20,941,768.99</w:t>
            </w:r>
          </w:p>
        </w:tc>
        <w:tc>
          <w:tcPr>
            <w:tcW w:w="1407" w:type="dxa"/>
            <w:vAlign w:val="center"/>
          </w:tcPr>
          <w:p w14:paraId="2E8F3DBA">
            <w:pPr>
              <w:jc w:val="right"/>
              <w:rPr>
                <w:rFonts w:ascii="Calibri" w:hAnsi="Calibri"/>
                <w:sz w:val="20"/>
                <w:szCs w:val="20"/>
              </w:rPr>
            </w:pPr>
          </w:p>
        </w:tc>
        <w:tc>
          <w:tcPr>
            <w:tcW w:w="1507" w:type="dxa"/>
            <w:vAlign w:val="center"/>
          </w:tcPr>
          <w:p w14:paraId="723F5043">
            <w:pPr>
              <w:jc w:val="right"/>
              <w:rPr>
                <w:rFonts w:ascii="Calibri" w:hAnsi="Calibri"/>
                <w:sz w:val="20"/>
                <w:szCs w:val="20"/>
              </w:rPr>
            </w:pPr>
            <w:r>
              <w:rPr>
                <w:rFonts w:ascii="Calibri" w:hAnsi="Calibri"/>
                <w:sz w:val="20"/>
                <w:szCs w:val="20"/>
              </w:rPr>
              <w:t>20,941,768.99</w:t>
            </w:r>
          </w:p>
        </w:tc>
        <w:tc>
          <w:tcPr>
            <w:tcW w:w="1507" w:type="dxa"/>
            <w:vAlign w:val="center"/>
          </w:tcPr>
          <w:p w14:paraId="0C546C34">
            <w:pPr>
              <w:jc w:val="right"/>
              <w:rPr>
                <w:rFonts w:ascii="Calibri" w:hAnsi="Calibri"/>
                <w:sz w:val="20"/>
                <w:szCs w:val="20"/>
              </w:rPr>
            </w:pPr>
            <w:r>
              <w:rPr>
                <w:rFonts w:ascii="Calibri" w:hAnsi="Calibri"/>
                <w:sz w:val="20"/>
                <w:szCs w:val="20"/>
              </w:rPr>
              <w:t>4.15</w:t>
            </w:r>
          </w:p>
        </w:tc>
        <w:tc>
          <w:tcPr>
            <w:tcW w:w="1507" w:type="dxa"/>
            <w:vAlign w:val="center"/>
          </w:tcPr>
          <w:p w14:paraId="54960CBA">
            <w:pPr>
              <w:jc w:val="right"/>
              <w:rPr>
                <w:rFonts w:ascii="Calibri" w:hAnsi="Calibri"/>
                <w:sz w:val="20"/>
                <w:szCs w:val="20"/>
              </w:rPr>
            </w:pPr>
            <w:r>
              <w:rPr>
                <w:rFonts w:ascii="Calibri" w:hAnsi="Calibri"/>
                <w:sz w:val="20"/>
                <w:szCs w:val="20"/>
              </w:rPr>
              <w:t>1,047,088.45</w:t>
            </w:r>
          </w:p>
        </w:tc>
      </w:tr>
      <w:tr w14:paraId="2F8C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38" w:type="dxa"/>
            <w:vAlign w:val="center"/>
          </w:tcPr>
          <w:p w14:paraId="23355251">
            <w:pPr>
              <w:ind w:right="105"/>
              <w:jc w:val="both"/>
              <w:rPr>
                <w:rFonts w:ascii="Calibri" w:hAnsi="Calibri"/>
                <w:sz w:val="20"/>
                <w:szCs w:val="20"/>
              </w:rPr>
            </w:pPr>
            <w:r>
              <w:rPr>
                <w:rFonts w:ascii="Calibri" w:hAnsi="Calibri"/>
                <w:sz w:val="20"/>
                <w:szCs w:val="20"/>
              </w:rPr>
              <w:t>东宝进出口贸易（海南）有限公司</w:t>
            </w:r>
          </w:p>
        </w:tc>
        <w:tc>
          <w:tcPr>
            <w:tcW w:w="1607" w:type="dxa"/>
            <w:vAlign w:val="center"/>
          </w:tcPr>
          <w:p w14:paraId="4851E47C">
            <w:pPr>
              <w:ind w:right="73"/>
              <w:jc w:val="right"/>
              <w:rPr>
                <w:rFonts w:ascii="Calibri" w:hAnsi="Calibri"/>
                <w:sz w:val="20"/>
                <w:szCs w:val="20"/>
              </w:rPr>
            </w:pPr>
            <w:r>
              <w:rPr>
                <w:rFonts w:ascii="Calibri" w:hAnsi="Calibri"/>
                <w:sz w:val="20"/>
                <w:szCs w:val="20"/>
              </w:rPr>
              <w:t>20,685,897.00</w:t>
            </w:r>
          </w:p>
        </w:tc>
        <w:tc>
          <w:tcPr>
            <w:tcW w:w="1407" w:type="dxa"/>
            <w:vAlign w:val="center"/>
          </w:tcPr>
          <w:p w14:paraId="14B9B7C4">
            <w:pPr>
              <w:jc w:val="right"/>
              <w:rPr>
                <w:rFonts w:ascii="Calibri" w:hAnsi="Calibri"/>
                <w:sz w:val="20"/>
                <w:szCs w:val="20"/>
              </w:rPr>
            </w:pPr>
          </w:p>
        </w:tc>
        <w:tc>
          <w:tcPr>
            <w:tcW w:w="1507" w:type="dxa"/>
            <w:vAlign w:val="center"/>
          </w:tcPr>
          <w:p w14:paraId="7439548B">
            <w:pPr>
              <w:jc w:val="right"/>
              <w:rPr>
                <w:rFonts w:ascii="Calibri" w:hAnsi="Calibri"/>
                <w:sz w:val="20"/>
                <w:szCs w:val="20"/>
              </w:rPr>
            </w:pPr>
            <w:r>
              <w:rPr>
                <w:rFonts w:ascii="Calibri" w:hAnsi="Calibri"/>
                <w:sz w:val="20"/>
                <w:szCs w:val="20"/>
              </w:rPr>
              <w:t>20,685,897.00</w:t>
            </w:r>
          </w:p>
        </w:tc>
        <w:tc>
          <w:tcPr>
            <w:tcW w:w="1507" w:type="dxa"/>
            <w:vAlign w:val="center"/>
          </w:tcPr>
          <w:p w14:paraId="05E2DF02">
            <w:pPr>
              <w:jc w:val="right"/>
              <w:rPr>
                <w:rFonts w:ascii="Calibri" w:hAnsi="Calibri"/>
                <w:sz w:val="20"/>
                <w:szCs w:val="20"/>
              </w:rPr>
            </w:pPr>
            <w:r>
              <w:rPr>
                <w:rFonts w:ascii="Calibri" w:hAnsi="Calibri"/>
                <w:sz w:val="20"/>
                <w:szCs w:val="20"/>
              </w:rPr>
              <w:t>4.10</w:t>
            </w:r>
          </w:p>
        </w:tc>
        <w:tc>
          <w:tcPr>
            <w:tcW w:w="1507" w:type="dxa"/>
            <w:vAlign w:val="center"/>
          </w:tcPr>
          <w:p w14:paraId="284727A9">
            <w:pPr>
              <w:jc w:val="right"/>
              <w:rPr>
                <w:rFonts w:ascii="Calibri" w:hAnsi="Calibri"/>
                <w:sz w:val="20"/>
                <w:szCs w:val="20"/>
              </w:rPr>
            </w:pPr>
          </w:p>
        </w:tc>
      </w:tr>
      <w:tr w14:paraId="2C14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38" w:type="dxa"/>
            <w:vAlign w:val="center"/>
          </w:tcPr>
          <w:p w14:paraId="2F4573CB">
            <w:pPr>
              <w:ind w:right="105"/>
              <w:jc w:val="center"/>
              <w:rPr>
                <w:rFonts w:ascii="Calibri" w:hAnsi="Calibri"/>
                <w:sz w:val="20"/>
                <w:szCs w:val="20"/>
              </w:rPr>
            </w:pPr>
            <w:r>
              <w:rPr>
                <w:rFonts w:hint="eastAsia" w:ascii="Calibri" w:hAnsi="Calibri"/>
                <w:sz w:val="20"/>
                <w:szCs w:val="20"/>
              </w:rPr>
              <w:t>合计</w:t>
            </w:r>
          </w:p>
        </w:tc>
        <w:tc>
          <w:tcPr>
            <w:tcW w:w="1607" w:type="dxa"/>
            <w:vAlign w:val="center"/>
          </w:tcPr>
          <w:p w14:paraId="010F6551">
            <w:pPr>
              <w:ind w:right="73"/>
              <w:jc w:val="right"/>
              <w:rPr>
                <w:rFonts w:ascii="Calibri" w:hAnsi="Calibri"/>
                <w:sz w:val="20"/>
                <w:szCs w:val="20"/>
              </w:rPr>
            </w:pPr>
            <w:r>
              <w:rPr>
                <w:rFonts w:ascii="Calibri" w:hAnsi="Calibri"/>
                <w:sz w:val="20"/>
                <w:szCs w:val="20"/>
              </w:rPr>
              <w:t>254,347,859.45</w:t>
            </w:r>
          </w:p>
        </w:tc>
        <w:tc>
          <w:tcPr>
            <w:tcW w:w="1407" w:type="dxa"/>
            <w:vAlign w:val="center"/>
          </w:tcPr>
          <w:p w14:paraId="41032DB8">
            <w:pPr>
              <w:jc w:val="right"/>
              <w:rPr>
                <w:rFonts w:ascii="Calibri" w:hAnsi="Calibri"/>
                <w:sz w:val="20"/>
                <w:szCs w:val="20"/>
              </w:rPr>
            </w:pPr>
          </w:p>
        </w:tc>
        <w:tc>
          <w:tcPr>
            <w:tcW w:w="1507" w:type="dxa"/>
            <w:vAlign w:val="center"/>
          </w:tcPr>
          <w:p w14:paraId="21039D0F">
            <w:pPr>
              <w:jc w:val="right"/>
              <w:rPr>
                <w:rFonts w:ascii="Calibri" w:hAnsi="Calibri"/>
                <w:sz w:val="20"/>
                <w:szCs w:val="20"/>
              </w:rPr>
            </w:pPr>
            <w:r>
              <w:rPr>
                <w:rFonts w:ascii="Calibri" w:hAnsi="Calibri"/>
                <w:sz w:val="20"/>
                <w:szCs w:val="20"/>
              </w:rPr>
              <w:t>254,347,859.45</w:t>
            </w:r>
          </w:p>
        </w:tc>
        <w:tc>
          <w:tcPr>
            <w:tcW w:w="1507" w:type="dxa"/>
            <w:vAlign w:val="center"/>
          </w:tcPr>
          <w:p w14:paraId="7A52F752">
            <w:pPr>
              <w:jc w:val="right"/>
              <w:rPr>
                <w:rFonts w:ascii="Calibri" w:hAnsi="Calibri"/>
                <w:sz w:val="20"/>
                <w:szCs w:val="20"/>
              </w:rPr>
            </w:pPr>
            <w:r>
              <w:rPr>
                <w:rFonts w:ascii="Calibri" w:hAnsi="Calibri"/>
                <w:sz w:val="20"/>
                <w:szCs w:val="20"/>
              </w:rPr>
              <w:t>50.44</w:t>
            </w:r>
          </w:p>
        </w:tc>
        <w:tc>
          <w:tcPr>
            <w:tcW w:w="1507" w:type="dxa"/>
            <w:vAlign w:val="center"/>
          </w:tcPr>
          <w:p w14:paraId="269ACEC7">
            <w:pPr>
              <w:jc w:val="right"/>
              <w:rPr>
                <w:rFonts w:ascii="Calibri" w:hAnsi="Calibri"/>
                <w:sz w:val="20"/>
                <w:szCs w:val="20"/>
              </w:rPr>
            </w:pPr>
            <w:r>
              <w:rPr>
                <w:rFonts w:ascii="Calibri" w:hAnsi="Calibri"/>
                <w:sz w:val="20"/>
                <w:szCs w:val="20"/>
              </w:rPr>
              <w:t>11,792,896.81</w:t>
            </w:r>
          </w:p>
        </w:tc>
      </w:tr>
      <w:bookmarkEnd w:id="392"/>
      <w:bookmarkEnd w:id="393"/>
    </w:tbl>
    <w:p w14:paraId="33177469">
      <w:pPr>
        <w:pStyle w:val="48"/>
      </w:pPr>
      <w:r>
        <w:rPr>
          <w:rFonts w:hint="eastAsia"/>
        </w:rPr>
        <w:t>其他</w:t>
      </w:r>
      <w:r>
        <w:t>说明：</w:t>
      </w:r>
    </w:p>
    <w:sdt>
      <w:sdtPr>
        <w:alias w:val="是否适用：母公司应收账款其他说明[双击切换]"/>
        <w:tag w:val="_GBC_4765684a53b9474f898fa6c2bd313427"/>
        <w:id w:val="-215285971"/>
        <w:placeholder>
          <w:docPart w:val="GBC22222222222222222222222222222"/>
        </w:placeholder>
      </w:sdtPr>
      <w:sdtContent>
        <w:p w14:paraId="1E5EFF44">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FF20955">
      <w:pPr>
        <w:snapToGrid w:val="0"/>
        <w:spacing w:line="240" w:lineRule="atLeast"/>
      </w:pPr>
    </w:p>
    <w:p w14:paraId="60BFEC53">
      <w:pPr>
        <w:pStyle w:val="4"/>
        <w:numPr>
          <w:ilvl w:val="0"/>
          <w:numId w:val="126"/>
        </w:numPr>
      </w:pPr>
      <w:r>
        <w:rPr>
          <w:rFonts w:hint="eastAsia" w:ascii="宋体" w:hAnsi="宋体"/>
          <w:szCs w:val="21"/>
        </w:rPr>
        <w:t>其他应收款</w:t>
      </w:r>
    </w:p>
    <w:p w14:paraId="04A33A88">
      <w:pPr>
        <w:pStyle w:val="5"/>
      </w:pPr>
      <w:bookmarkStart w:id="394" w:name="_Hlk153789873"/>
      <w:bookmarkStart w:id="395" w:name="_Hlk533796954"/>
      <w:r>
        <w:rPr>
          <w:rFonts w:hint="eastAsia"/>
        </w:rPr>
        <w:t>项目列示</w:t>
      </w:r>
    </w:p>
    <w:sdt>
      <w:sdtPr>
        <w:alias w:val="是否适用：母公司其他应收款分类列示[双击切换]"/>
        <w:tag w:val="_GBC_eca97260629e4985b01404cfe0f9630b"/>
        <w:id w:val="473653394"/>
        <w:placeholder>
          <w:docPart w:val="GBC22222222222222222222222222222"/>
        </w:placeholder>
      </w:sdtPr>
      <w:sdtContent>
        <w:p w14:paraId="1ADFB9E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46594A9">
      <w:pPr>
        <w:jc w:val="right"/>
      </w:pPr>
      <w:r>
        <w:rPr>
          <w:rFonts w:hint="eastAsia"/>
        </w:rPr>
        <w:t>单位：</w:t>
      </w:r>
      <w:sdt>
        <w:sdtPr>
          <w:rPr>
            <w:rFonts w:hint="eastAsia"/>
          </w:rPr>
          <w:alias w:val="单位：母公司其他应收款分类列示"/>
          <w:tag w:val="_GBC_3e648241a63447daac5dd00971efb146"/>
          <w:id w:val="3279539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其他应收款分类列示"/>
          <w:tag w:val="_GBC_c7b8206dd7dd44fcb02f4cced206c1b8"/>
          <w:id w:val="-6404258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196"/>
        <w:gridCol w:w="2938"/>
        <w:gridCol w:w="2924"/>
      </w:tblGrid>
      <w:tr w14:paraId="21961CAC">
        <w:tblPrEx>
          <w:tblCellMar>
            <w:top w:w="0" w:type="dxa"/>
            <w:left w:w="113" w:type="dxa"/>
            <w:bottom w:w="0" w:type="dxa"/>
            <w:right w:w="113" w:type="dxa"/>
          </w:tblCellMar>
        </w:tblPrEx>
        <w:trPr>
          <w:cantSplit/>
        </w:trPr>
        <w:sdt>
          <w:sdtPr>
            <w:tag w:val="_PLD_3fbe550dc0704e7ebed42463d474129d"/>
            <w:id w:val="570463676"/>
          </w:sdtPr>
          <w:sdtContent>
            <w:tc>
              <w:tcPr>
                <w:tcW w:w="3196" w:type="dxa"/>
                <w:vAlign w:val="center"/>
              </w:tcPr>
              <w:p w14:paraId="5C896B98">
                <w:pPr>
                  <w:jc w:val="center"/>
                  <w:rPr>
                    <w:rFonts w:ascii="Calibri" w:hAnsi="Calibri"/>
                    <w:sz w:val="20"/>
                    <w:szCs w:val="20"/>
                  </w:rPr>
                </w:pPr>
                <w:r>
                  <w:rPr>
                    <w:rFonts w:hint="eastAsia" w:ascii="Calibri" w:hAnsi="Calibri"/>
                    <w:sz w:val="20"/>
                    <w:szCs w:val="20"/>
                  </w:rPr>
                  <w:t>项目</w:t>
                </w:r>
              </w:p>
            </w:tc>
          </w:sdtContent>
        </w:sdt>
        <w:sdt>
          <w:sdtPr>
            <w:tag w:val="_PLD_5161bba6c7a3460784316b0695f47487"/>
            <w:id w:val="-1165242179"/>
          </w:sdtPr>
          <w:sdtContent>
            <w:tc>
              <w:tcPr>
                <w:tcW w:w="2938" w:type="dxa"/>
                <w:vAlign w:val="center"/>
              </w:tcPr>
              <w:p w14:paraId="532695D9">
                <w:pPr>
                  <w:jc w:val="center"/>
                  <w:rPr>
                    <w:rFonts w:ascii="Calibri" w:hAnsi="Calibri"/>
                    <w:sz w:val="20"/>
                    <w:szCs w:val="20"/>
                  </w:rPr>
                </w:pPr>
                <w:r>
                  <w:rPr>
                    <w:rFonts w:hint="eastAsia" w:ascii="Calibri" w:hAnsi="Calibri"/>
                    <w:sz w:val="20"/>
                    <w:szCs w:val="20"/>
                  </w:rPr>
                  <w:t>期末余额</w:t>
                </w:r>
              </w:p>
            </w:tc>
          </w:sdtContent>
        </w:sdt>
        <w:sdt>
          <w:sdtPr>
            <w:tag w:val="_PLD_54007dfc9bc24ec0b86bc4694efe4938"/>
            <w:id w:val="1544173891"/>
          </w:sdtPr>
          <w:sdtContent>
            <w:tc>
              <w:tcPr>
                <w:tcW w:w="2924" w:type="dxa"/>
                <w:vAlign w:val="center"/>
              </w:tcPr>
              <w:p w14:paraId="07C84CEE">
                <w:pPr>
                  <w:jc w:val="center"/>
                  <w:rPr>
                    <w:rFonts w:ascii="Calibri" w:hAnsi="Calibri"/>
                    <w:sz w:val="20"/>
                    <w:szCs w:val="20"/>
                  </w:rPr>
                </w:pPr>
                <w:r>
                  <w:rPr>
                    <w:rFonts w:hint="eastAsia" w:ascii="Calibri" w:hAnsi="Calibri"/>
                    <w:sz w:val="20"/>
                    <w:szCs w:val="20"/>
                  </w:rPr>
                  <w:t>期初余额</w:t>
                </w:r>
              </w:p>
            </w:tc>
          </w:sdtContent>
        </w:sdt>
      </w:tr>
      <w:tr w14:paraId="5832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196" w:type="dxa"/>
            <w:vAlign w:val="center"/>
          </w:tcPr>
          <w:p w14:paraId="0B5B56B3">
            <w:pPr>
              <w:ind w:right="5"/>
              <w:rPr>
                <w:rFonts w:ascii="Calibri" w:hAnsi="Calibri"/>
                <w:sz w:val="20"/>
                <w:szCs w:val="20"/>
              </w:rPr>
            </w:pPr>
            <w:r>
              <w:rPr>
                <w:rFonts w:hint="eastAsia" w:ascii="Calibri" w:hAnsi="Calibri"/>
                <w:sz w:val="20"/>
                <w:szCs w:val="20"/>
              </w:rPr>
              <w:t>应收利息</w:t>
            </w:r>
          </w:p>
        </w:tc>
        <w:tc>
          <w:tcPr>
            <w:tcW w:w="2938" w:type="dxa"/>
            <w:vAlign w:val="center"/>
          </w:tcPr>
          <w:p w14:paraId="598CB50C">
            <w:pPr>
              <w:ind w:right="5"/>
              <w:jc w:val="right"/>
              <w:rPr>
                <w:rFonts w:ascii="Calibri" w:hAnsi="Calibri"/>
                <w:sz w:val="20"/>
                <w:szCs w:val="20"/>
              </w:rPr>
            </w:pPr>
          </w:p>
        </w:tc>
        <w:tc>
          <w:tcPr>
            <w:tcW w:w="2924" w:type="dxa"/>
            <w:vAlign w:val="center"/>
          </w:tcPr>
          <w:p w14:paraId="716B34C0">
            <w:pPr>
              <w:ind w:right="5"/>
              <w:jc w:val="right"/>
              <w:rPr>
                <w:rFonts w:ascii="Calibri" w:hAnsi="Calibri"/>
                <w:sz w:val="20"/>
                <w:szCs w:val="20"/>
              </w:rPr>
            </w:pPr>
          </w:p>
        </w:tc>
      </w:tr>
      <w:tr w14:paraId="0235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196" w:type="dxa"/>
            <w:vAlign w:val="center"/>
          </w:tcPr>
          <w:p w14:paraId="06D4662C">
            <w:pPr>
              <w:ind w:right="5"/>
              <w:rPr>
                <w:rFonts w:ascii="Calibri" w:hAnsi="Calibri"/>
                <w:sz w:val="20"/>
                <w:szCs w:val="20"/>
              </w:rPr>
            </w:pPr>
            <w:r>
              <w:rPr>
                <w:rFonts w:hint="eastAsia" w:ascii="Calibri" w:hAnsi="Calibri"/>
                <w:sz w:val="20"/>
                <w:szCs w:val="20"/>
              </w:rPr>
              <w:t>应收股利</w:t>
            </w:r>
          </w:p>
        </w:tc>
        <w:tc>
          <w:tcPr>
            <w:tcW w:w="2938" w:type="dxa"/>
            <w:vAlign w:val="center"/>
          </w:tcPr>
          <w:p w14:paraId="0F2CAE0B">
            <w:pPr>
              <w:ind w:right="5"/>
              <w:jc w:val="right"/>
              <w:rPr>
                <w:rFonts w:ascii="Calibri" w:hAnsi="Calibri"/>
                <w:sz w:val="20"/>
                <w:szCs w:val="20"/>
              </w:rPr>
            </w:pPr>
            <w:r>
              <w:rPr>
                <w:rFonts w:ascii="Calibri" w:hAnsi="Calibri"/>
                <w:sz w:val="20"/>
                <w:szCs w:val="20"/>
              </w:rPr>
              <w:t>48,130,858.20</w:t>
            </w:r>
          </w:p>
        </w:tc>
        <w:tc>
          <w:tcPr>
            <w:tcW w:w="2924" w:type="dxa"/>
            <w:vAlign w:val="center"/>
          </w:tcPr>
          <w:p w14:paraId="4430C9C4">
            <w:pPr>
              <w:ind w:right="5"/>
              <w:jc w:val="right"/>
              <w:rPr>
                <w:rFonts w:ascii="Calibri" w:hAnsi="Calibri"/>
                <w:sz w:val="20"/>
                <w:szCs w:val="20"/>
              </w:rPr>
            </w:pPr>
            <w:r>
              <w:rPr>
                <w:rFonts w:ascii="Calibri" w:hAnsi="Calibri"/>
                <w:sz w:val="20"/>
                <w:szCs w:val="20"/>
              </w:rPr>
              <w:t>48,130,858.20</w:t>
            </w:r>
          </w:p>
        </w:tc>
      </w:tr>
      <w:tr w14:paraId="414D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196" w:type="dxa"/>
            <w:vAlign w:val="center"/>
          </w:tcPr>
          <w:p w14:paraId="033F2419">
            <w:pPr>
              <w:ind w:right="5"/>
              <w:rPr>
                <w:rFonts w:ascii="Calibri" w:hAnsi="Calibri"/>
                <w:sz w:val="20"/>
                <w:szCs w:val="20"/>
              </w:rPr>
            </w:pPr>
            <w:r>
              <w:rPr>
                <w:rFonts w:hint="eastAsia" w:ascii="Calibri" w:hAnsi="Calibri"/>
                <w:sz w:val="20"/>
                <w:szCs w:val="20"/>
              </w:rPr>
              <w:t>其他应收款</w:t>
            </w:r>
          </w:p>
        </w:tc>
        <w:tc>
          <w:tcPr>
            <w:tcW w:w="2938" w:type="dxa"/>
            <w:vAlign w:val="center"/>
          </w:tcPr>
          <w:p w14:paraId="78459736">
            <w:pPr>
              <w:ind w:right="5"/>
              <w:jc w:val="right"/>
              <w:rPr>
                <w:rFonts w:ascii="Calibri" w:hAnsi="Calibri"/>
                <w:sz w:val="20"/>
                <w:szCs w:val="20"/>
              </w:rPr>
            </w:pPr>
            <w:r>
              <w:rPr>
                <w:rFonts w:ascii="Calibri" w:hAnsi="Calibri"/>
                <w:sz w:val="20"/>
                <w:szCs w:val="20"/>
              </w:rPr>
              <w:t>141,339,620.29</w:t>
            </w:r>
          </w:p>
        </w:tc>
        <w:tc>
          <w:tcPr>
            <w:tcW w:w="2924" w:type="dxa"/>
            <w:vAlign w:val="center"/>
          </w:tcPr>
          <w:p w14:paraId="264DE1B0">
            <w:pPr>
              <w:ind w:right="5"/>
              <w:jc w:val="right"/>
              <w:rPr>
                <w:rFonts w:ascii="Calibri" w:hAnsi="Calibri"/>
                <w:sz w:val="20"/>
                <w:szCs w:val="20"/>
              </w:rPr>
            </w:pPr>
            <w:r>
              <w:rPr>
                <w:rFonts w:ascii="Calibri" w:hAnsi="Calibri"/>
                <w:sz w:val="20"/>
                <w:szCs w:val="20"/>
              </w:rPr>
              <w:t>364,483,927.22</w:t>
            </w:r>
          </w:p>
        </w:tc>
      </w:tr>
      <w:tr w14:paraId="7D3C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196" w:type="dxa"/>
            <w:vAlign w:val="center"/>
          </w:tcPr>
          <w:p w14:paraId="389F9633">
            <w:pPr>
              <w:autoSpaceDE w:val="0"/>
              <w:autoSpaceDN w:val="0"/>
              <w:adjustRightInd w:val="0"/>
              <w:rPr>
                <w:rFonts w:ascii="Calibri" w:hAnsi="Calibri"/>
                <w:sz w:val="20"/>
                <w:szCs w:val="20"/>
              </w:rPr>
            </w:pPr>
            <w:r>
              <w:rPr>
                <w:rFonts w:hint="eastAsia" w:ascii="Calibri" w:hAnsi="Calibri"/>
                <w:sz w:val="20"/>
                <w:szCs w:val="20"/>
              </w:rPr>
              <w:t>合计</w:t>
            </w:r>
          </w:p>
        </w:tc>
        <w:tc>
          <w:tcPr>
            <w:tcW w:w="2938" w:type="dxa"/>
            <w:vAlign w:val="center"/>
          </w:tcPr>
          <w:p w14:paraId="3ED76533">
            <w:pPr>
              <w:jc w:val="right"/>
              <w:rPr>
                <w:rFonts w:ascii="Calibri" w:hAnsi="Calibri"/>
                <w:sz w:val="20"/>
                <w:szCs w:val="20"/>
              </w:rPr>
            </w:pPr>
            <w:r>
              <w:rPr>
                <w:rFonts w:ascii="Calibri" w:hAnsi="Calibri"/>
                <w:sz w:val="20"/>
                <w:szCs w:val="20"/>
              </w:rPr>
              <w:t>189,470,478.49</w:t>
            </w:r>
          </w:p>
        </w:tc>
        <w:tc>
          <w:tcPr>
            <w:tcW w:w="2924" w:type="dxa"/>
            <w:vAlign w:val="center"/>
          </w:tcPr>
          <w:p w14:paraId="32B8DECB">
            <w:pPr>
              <w:jc w:val="right"/>
              <w:rPr>
                <w:rFonts w:ascii="Calibri" w:hAnsi="Calibri"/>
                <w:sz w:val="20"/>
                <w:szCs w:val="20"/>
              </w:rPr>
            </w:pPr>
            <w:r>
              <w:rPr>
                <w:rFonts w:ascii="Calibri" w:hAnsi="Calibri"/>
                <w:sz w:val="20"/>
                <w:szCs w:val="20"/>
              </w:rPr>
              <w:t>412,614,785.42</w:t>
            </w:r>
          </w:p>
        </w:tc>
      </w:tr>
    </w:tbl>
    <w:p w14:paraId="3D9A93DF">
      <w:pPr>
        <w:pStyle w:val="48"/>
      </w:pPr>
    </w:p>
    <w:bookmarkEnd w:id="394"/>
    <w:bookmarkEnd w:id="395"/>
    <w:p w14:paraId="227435B0">
      <w:pPr>
        <w:pStyle w:val="48"/>
      </w:pPr>
      <w:bookmarkStart w:id="396" w:name="_Hlk533797002"/>
      <w:r>
        <w:rPr>
          <w:rFonts w:hint="eastAsia"/>
        </w:rPr>
        <w:t>其他说明：</w:t>
      </w:r>
    </w:p>
    <w:sdt>
      <w:sdtPr>
        <w:alias w:val="是否适用：母公司其他应收款分类列示其他说明[双击切换]"/>
        <w:tag w:val="_GBC_17d0b67d20cb486dbc08e07c11e1224a"/>
        <w:id w:val="208925960"/>
        <w:placeholder>
          <w:docPart w:val="GBC22222222222222222222222222222"/>
        </w:placeholder>
      </w:sdtPr>
      <w:sdtContent>
        <w:p w14:paraId="3F4CA43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96"/>
    <w:p w14:paraId="0B03C487">
      <w:pPr>
        <w:pStyle w:val="48"/>
      </w:pPr>
    </w:p>
    <w:p w14:paraId="05C177A7">
      <w:pPr>
        <w:pStyle w:val="5"/>
        <w:ind w:left="360" w:hanging="360"/>
      </w:pPr>
      <w:r>
        <w:rPr>
          <w:rFonts w:hint="eastAsia"/>
        </w:rPr>
        <w:t>应收利息</w:t>
      </w:r>
    </w:p>
    <w:p w14:paraId="4CDA0C6F">
      <w:pPr>
        <w:pStyle w:val="6"/>
        <w:numPr>
          <w:ilvl w:val="0"/>
          <w:numId w:val="128"/>
        </w:numPr>
        <w:ind w:leftChars="0"/>
      </w:pPr>
      <w:bookmarkStart w:id="397" w:name="_Hlk533797042"/>
      <w:r>
        <w:rPr>
          <w:rFonts w:hint="eastAsia"/>
        </w:rPr>
        <w:t>应收利息分类</w:t>
      </w:r>
    </w:p>
    <w:sdt>
      <w:sdtPr>
        <w:alias w:val="是否适用：母公司应收利息分类[双击切换]"/>
        <w:tag w:val="_GBC_5e0cba78d09b4764ada25ce89de1c4fd"/>
        <w:id w:val="-436606229"/>
        <w:placeholder>
          <w:docPart w:val="GBC22222222222222222222222222222"/>
        </w:placeholder>
      </w:sdtPr>
      <w:sdtContent>
        <w:p w14:paraId="2AE9C05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C14A5F3">
      <w:pPr>
        <w:pStyle w:val="48"/>
      </w:pPr>
    </w:p>
    <w:bookmarkEnd w:id="397"/>
    <w:p w14:paraId="62A0850E">
      <w:pPr>
        <w:pStyle w:val="6"/>
        <w:numPr>
          <w:ilvl w:val="0"/>
          <w:numId w:val="128"/>
        </w:numPr>
        <w:ind w:leftChars="0"/>
      </w:pPr>
      <w:bookmarkStart w:id="398" w:name="_Hlk533797114"/>
      <w:r>
        <w:rPr>
          <w:rFonts w:hint="eastAsia"/>
        </w:rPr>
        <w:t>重要逾期利息</w:t>
      </w:r>
    </w:p>
    <w:sdt>
      <w:sdtPr>
        <w:alias w:val="是否适用：母公司重要逾期利息[双击切换]"/>
        <w:tag w:val="_GBC_2d954f5af6a64a34941652eeb166dce8"/>
        <w:id w:val="-748428798"/>
        <w:placeholder>
          <w:docPart w:val="GBC22222222222222222222222222222"/>
        </w:placeholder>
      </w:sdtPr>
      <w:sdtContent>
        <w:p w14:paraId="2F1A1A83">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D33E57F">
      <w:pPr>
        <w:pStyle w:val="48"/>
      </w:pPr>
    </w:p>
    <w:p w14:paraId="003F8308">
      <w:pPr>
        <w:pStyle w:val="6"/>
        <w:numPr>
          <w:ilvl w:val="0"/>
          <w:numId w:val="128"/>
        </w:numPr>
        <w:ind w:leftChars="0"/>
      </w:pPr>
      <w:bookmarkStart w:id="399" w:name="_Hlk154149455"/>
      <w:bookmarkStart w:id="400" w:name="_Hlk153789950"/>
      <w:r>
        <w:rPr>
          <w:rFonts w:hint="eastAsia"/>
        </w:rPr>
        <w:t>按坏账计提方法分类披露</w:t>
      </w:r>
    </w:p>
    <w:sdt>
      <w:sdtPr>
        <w:alias w:val="是否适用：按坏账计提方法分类披露[双击切换]"/>
        <w:tag w:val="_GBC_fe4d472a766545fe91e93448a26e5403"/>
        <w:id w:val="1125964089"/>
        <w:placeholder>
          <w:docPart w:val="GBC22222222222222222222222222222"/>
        </w:placeholder>
      </w:sdtPr>
      <w:sdtContent>
        <w:p w14:paraId="46BCFA8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D683AAD">
      <w:pPr>
        <w:pStyle w:val="48"/>
      </w:pPr>
    </w:p>
    <w:p w14:paraId="77CCB0D8">
      <w:pPr>
        <w:pStyle w:val="48"/>
      </w:pPr>
      <w:r>
        <w:rPr>
          <w:rFonts w:hint="eastAsia"/>
        </w:rPr>
        <w:t>按单项计提坏账准备：</w:t>
      </w:r>
    </w:p>
    <w:sdt>
      <w:sdtPr>
        <w:alias w:val="是否适用：母公司按单项计提坏账准备的详细情况[双击切换]"/>
        <w:tag w:val="_GBC_d06b9654dbc04fa7af49f1a5ad28f657"/>
        <w:id w:val="-1908148189"/>
        <w:placeholder>
          <w:docPart w:val="GBC22222222222222222222222222222"/>
        </w:placeholder>
      </w:sdtPr>
      <w:sdtContent>
        <w:p w14:paraId="02BC4F0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4BF3452">
      <w:pPr>
        <w:pStyle w:val="48"/>
      </w:pPr>
    </w:p>
    <w:p w14:paraId="5AFBB340">
      <w:pPr>
        <w:pStyle w:val="48"/>
      </w:pPr>
      <w:r>
        <w:rPr>
          <w:rFonts w:hint="eastAsia"/>
        </w:rPr>
        <w:t>按单项计提坏账准备的说明：</w:t>
      </w:r>
    </w:p>
    <w:sdt>
      <w:sdtPr>
        <w:alias w:val="是否适用：母公司按单项计提坏账准备的说明[双击切换]"/>
        <w:tag w:val="_GBC_7a6fa6b7c7de4c12942ac6477ec9ffb8"/>
        <w:id w:val="1255710578"/>
        <w:placeholder>
          <w:docPart w:val="GBC22222222222222222222222222222"/>
        </w:placeholder>
      </w:sdtPr>
      <w:sdtContent>
        <w:p w14:paraId="2BBAF84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4795DE8">
      <w:pPr>
        <w:pStyle w:val="48"/>
      </w:pPr>
    </w:p>
    <w:p w14:paraId="1F93CD09">
      <w:pPr>
        <w:rPr>
          <w:rFonts w:ascii="Calibri" w:hAnsi="Calibri"/>
          <w:bCs/>
          <w:szCs w:val="22"/>
        </w:rPr>
      </w:pPr>
      <w:r>
        <w:rPr>
          <w:rFonts w:hint="eastAsia" w:ascii="Calibri" w:hAnsi="Calibri"/>
          <w:bCs/>
          <w:szCs w:val="22"/>
        </w:rPr>
        <w:t>按组合计提坏账准备：</w:t>
      </w:r>
    </w:p>
    <w:sdt>
      <w:sdtPr>
        <w:rPr>
          <w:rFonts w:ascii="Calibri" w:hAnsi="Calibri"/>
          <w:bCs/>
          <w:szCs w:val="22"/>
        </w:rPr>
        <w:alias w:val="是否适用：母公司按组合计提坏账准备的详细情况[双击切换]"/>
        <w:tag w:val="_GBC_ce999ec0925c4191a03a5c3b162652e0"/>
        <w:id w:val="1565450880"/>
        <w:placeholder>
          <w:docPart w:val="GBC22222222222222222222222222222"/>
        </w:placeholder>
      </w:sdtPr>
      <w:sdtEndPr>
        <w:rPr>
          <w:rFonts w:ascii="Calibri" w:hAnsi="Calibri"/>
          <w:bCs/>
          <w:szCs w:val="22"/>
        </w:rPr>
      </w:sdtEndPr>
      <w:sdtContent>
        <w:p w14:paraId="626452FF">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406F1C8C">
      <w:pPr>
        <w:pStyle w:val="48"/>
      </w:pPr>
    </w:p>
    <w:p w14:paraId="47D48D4E">
      <w:pPr>
        <w:rPr>
          <w:rFonts w:ascii="Calibri" w:hAnsi="Calibri"/>
          <w:b/>
          <w:bCs/>
          <w:szCs w:val="22"/>
        </w:rPr>
      </w:pPr>
    </w:p>
    <w:bookmarkEnd w:id="398"/>
    <w:bookmarkEnd w:id="399"/>
    <w:bookmarkEnd w:id="400"/>
    <w:p w14:paraId="0B1A537D">
      <w:pPr>
        <w:pStyle w:val="6"/>
        <w:numPr>
          <w:ilvl w:val="0"/>
          <w:numId w:val="128"/>
        </w:numPr>
        <w:ind w:leftChars="0"/>
      </w:pPr>
      <w:bookmarkStart w:id="401" w:name="_Hlk533868784"/>
      <w:r>
        <w:rPr>
          <w:rFonts w:hint="eastAsia"/>
        </w:rPr>
        <w:t>按预期信用损失一般模型计提坏账准备</w:t>
      </w:r>
    </w:p>
    <w:sdt>
      <w:sdtPr>
        <w:alias w:val="是否适用：母公司应收利息坏账准备调节表[双击切换]"/>
        <w:tag w:val="_GBC_f31c9323c5434941917fd7e42ea1fd1b"/>
        <w:id w:val="930083202"/>
        <w:placeholder>
          <w:docPart w:val="GBC22222222222222222222222222222"/>
        </w:placeholder>
      </w:sdtPr>
      <w:sdtContent>
        <w:p w14:paraId="7F50D01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FE0F1CC">
      <w:pPr>
        <w:pStyle w:val="48"/>
      </w:pPr>
    </w:p>
    <w:p w14:paraId="4E6F0687">
      <w:pPr>
        <w:rPr>
          <w:bCs/>
          <w:szCs w:val="22"/>
        </w:rPr>
      </w:pPr>
    </w:p>
    <w:p w14:paraId="2747940B">
      <w:pPr>
        <w:pStyle w:val="38"/>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1017302485"/>
        <w:placeholder>
          <w:docPart w:val="GBC22222222222222222222222222222"/>
        </w:placeholder>
      </w:sdtPr>
      <w:sdtContent>
        <w:p w14:paraId="207E36B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946DB7D">
      <w:pPr>
        <w:pStyle w:val="48"/>
      </w:pPr>
    </w:p>
    <w:bookmarkEnd w:id="401"/>
    <w:p w14:paraId="15A548EB">
      <w:pPr>
        <w:pStyle w:val="6"/>
        <w:numPr>
          <w:ilvl w:val="0"/>
          <w:numId w:val="128"/>
        </w:numPr>
        <w:ind w:leftChars="0"/>
      </w:pPr>
      <w:bookmarkStart w:id="402" w:name="_Hlk533797211"/>
      <w:bookmarkEnd w:id="402"/>
      <w:bookmarkStart w:id="403" w:name="_Hlk154149866"/>
      <w:bookmarkStart w:id="404" w:name="_Hlk153790581"/>
      <w:r>
        <w:rPr>
          <w:rFonts w:hint="eastAsia"/>
        </w:rPr>
        <w:t>坏账准备的情况</w:t>
      </w:r>
    </w:p>
    <w:sdt>
      <w:sdtPr>
        <w:alias w:val="是否适用：母公司坏账准备情况[双击切换]"/>
        <w:tag w:val="_GBC_44a257b47fa748eca2cab9dd0877e841"/>
        <w:id w:val="-530496483"/>
        <w:placeholder>
          <w:docPart w:val="GBC22222222222222222222222222222"/>
        </w:placeholder>
      </w:sdtPr>
      <w:sdtContent>
        <w:p w14:paraId="4EAB2407">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9474ABA">
      <w:pPr>
        <w:pStyle w:val="48"/>
      </w:pPr>
    </w:p>
    <w:p w14:paraId="3AB18D90">
      <w:pPr>
        <w:pStyle w:val="48"/>
      </w:pPr>
      <w:r>
        <w:rPr>
          <w:rFonts w:hint="eastAsia"/>
        </w:rPr>
        <w:t>其中本期坏账准备收回或转回金额重要的：</w:t>
      </w:r>
    </w:p>
    <w:sdt>
      <w:sdtPr>
        <w:alias w:val="是否适用：本期坏账准备收回或转回金额重要的[双击切换]"/>
        <w:tag w:val="_GBC_dda1c249e9da4520abee515b8b42f5f4"/>
        <w:id w:val="1223176824"/>
        <w:placeholder>
          <w:docPart w:val="GBC22222222222222222222222222222"/>
        </w:placeholder>
      </w:sdtPr>
      <w:sdtContent>
        <w:p w14:paraId="656B928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E324A00">
      <w:pPr>
        <w:pStyle w:val="48"/>
      </w:pPr>
    </w:p>
    <w:p w14:paraId="17D903FC">
      <w:pPr>
        <w:ind w:right="-1594" w:rightChars="-759"/>
      </w:pPr>
    </w:p>
    <w:p w14:paraId="69DCA98B">
      <w:pPr>
        <w:pStyle w:val="6"/>
        <w:numPr>
          <w:ilvl w:val="0"/>
          <w:numId w:val="128"/>
        </w:numPr>
        <w:ind w:leftChars="0"/>
      </w:pPr>
      <w:r>
        <w:rPr>
          <w:rFonts w:hint="eastAsia"/>
        </w:rPr>
        <w:t>本期实际核销的应收利息情况</w:t>
      </w:r>
    </w:p>
    <w:sdt>
      <w:sdtPr>
        <w:alias w:val="是否适用：实际核销的情况[双击切换]"/>
        <w:tag w:val="_GBC_078b310c81244c1d880a4059768019f1"/>
        <w:id w:val="-1490549681"/>
        <w:placeholder>
          <w:docPart w:val="GBC22222222222222222222222222222"/>
        </w:placeholder>
      </w:sdtPr>
      <w:sdtContent>
        <w:p w14:paraId="52330F3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F855717">
      <w:pPr>
        <w:pStyle w:val="48"/>
      </w:pPr>
    </w:p>
    <w:p w14:paraId="330B651F">
      <w:pPr>
        <w:pStyle w:val="48"/>
      </w:pPr>
      <w:r>
        <w:rPr>
          <w:rFonts w:hint="eastAsia"/>
        </w:rPr>
        <w:t>其中重要的应收利息核销情况</w:t>
      </w:r>
    </w:p>
    <w:sdt>
      <w:sdtPr>
        <w:rPr>
          <w:rFonts w:hint="eastAsia"/>
        </w:rPr>
        <w:alias w:val="是否适用：母公司重要的核销情况[双击切换]"/>
        <w:tag w:val="_GBC_d68df6b80a1a45bcb388baf56df1b958"/>
        <w:id w:val="-1497186673"/>
        <w:placeholder>
          <w:docPart w:val="GBC22222222222222222222222222222"/>
        </w:placeholder>
      </w:sdtPr>
      <w:sdtEndPr>
        <w:rPr>
          <w:rFonts w:hint="eastAsia"/>
        </w:rPr>
      </w:sdtEndPr>
      <w:sdtContent>
        <w:p w14:paraId="53C82EF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B6D75D">
      <w:pPr>
        <w:pStyle w:val="48"/>
      </w:pPr>
    </w:p>
    <w:p w14:paraId="07E44C6A">
      <w:pPr>
        <w:snapToGrid w:val="0"/>
        <w:spacing w:line="240" w:lineRule="atLeast"/>
      </w:pPr>
      <w:r>
        <w:rPr>
          <w:rFonts w:hint="eastAsia"/>
        </w:rPr>
        <w:t>核销说明：</w:t>
      </w:r>
    </w:p>
    <w:sdt>
      <w:sdtPr>
        <w:alias w:val="是否适用：母公司核销说明[双击切换]"/>
        <w:tag w:val="_GBC_dd0453ff96014cb191f4b96cd3787f15"/>
        <w:id w:val="869350309"/>
        <w:placeholder>
          <w:docPart w:val="GBC22222222222222222222222222222"/>
        </w:placeholder>
      </w:sdtPr>
      <w:sdtContent>
        <w:p w14:paraId="25B59930">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8CBF7A0">
      <w:pPr>
        <w:pStyle w:val="48"/>
      </w:pPr>
    </w:p>
    <w:bookmarkEnd w:id="403"/>
    <w:p w14:paraId="4D9E70E4">
      <w:pPr>
        <w:pStyle w:val="48"/>
      </w:pPr>
      <w:r>
        <w:rPr>
          <w:rFonts w:hint="eastAsia"/>
        </w:rPr>
        <w:t>其他说明：</w:t>
      </w:r>
    </w:p>
    <w:sdt>
      <w:sdtPr>
        <w:rPr>
          <w:rFonts w:hint="eastAsia"/>
        </w:rPr>
        <w:alias w:val="是否适用：应收利息的说明[双击切换]"/>
        <w:tag w:val="_GBC_9a3e6e5b075544d3b90be42ae9d883ef"/>
        <w:id w:val="50206479"/>
        <w:placeholder>
          <w:docPart w:val="GBC22222222222222222222222222222"/>
        </w:placeholder>
      </w:sdtPr>
      <w:sdtEndPr>
        <w:rPr>
          <w:rFonts w:hint="eastAsia"/>
        </w:rPr>
      </w:sdtEndPr>
      <w:sdtContent>
        <w:p w14:paraId="4E06D07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A356C0">
      <w:pPr>
        <w:pStyle w:val="48"/>
      </w:pPr>
    </w:p>
    <w:bookmarkEnd w:id="404"/>
    <w:p w14:paraId="06382E59">
      <w:pPr>
        <w:pStyle w:val="5"/>
        <w:ind w:left="360" w:hanging="360"/>
      </w:pPr>
      <w:r>
        <w:rPr>
          <w:rFonts w:hint="eastAsia"/>
        </w:rPr>
        <w:t>应收股利</w:t>
      </w:r>
    </w:p>
    <w:p w14:paraId="41168924">
      <w:pPr>
        <w:pStyle w:val="6"/>
        <w:numPr>
          <w:ilvl w:val="0"/>
          <w:numId w:val="129"/>
        </w:numPr>
        <w:ind w:leftChars="0"/>
      </w:pPr>
      <w:bookmarkStart w:id="405" w:name="_Hlk533797257"/>
      <w:r>
        <w:rPr>
          <w:rFonts w:hint="eastAsia"/>
        </w:rPr>
        <w:t>应收股利</w:t>
      </w:r>
    </w:p>
    <w:sdt>
      <w:sdtPr>
        <w:alias w:val="是否适用：母公司应收股利[双击切换]"/>
        <w:tag w:val="_GBC_a52dcf5153694fbe9527781c61a5006e"/>
        <w:id w:val="1135521026"/>
        <w:placeholder>
          <w:docPart w:val="GBC22222222222222222222222222222"/>
        </w:placeholder>
      </w:sdtPr>
      <w:sdtContent>
        <w:p w14:paraId="648F3801">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1C50E44">
      <w:pPr>
        <w:jc w:val="right"/>
      </w:pPr>
      <w:r>
        <w:rPr>
          <w:rFonts w:hint="eastAsia"/>
        </w:rPr>
        <w:t>单位：</w:t>
      </w:r>
      <w:sdt>
        <w:sdtPr>
          <w:rPr>
            <w:rFonts w:hint="eastAsia"/>
          </w:rPr>
          <w:alias w:val="单位：母公司应收股利"/>
          <w:tag w:val="_GBC_6ca836a3bcad480a9c85951f0ab366a6"/>
          <w:id w:val="-19171626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应收股利"/>
          <w:tag w:val="_GBC_f127bcdbe1e14dfb9de9ff2ea28f8849"/>
          <w:id w:val="4638576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3"/>
        <w:gridCol w:w="2810"/>
        <w:gridCol w:w="2825"/>
      </w:tblGrid>
      <w:tr w14:paraId="2627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f33eddb4e264906aec2f02b43b353c9"/>
            <w:id w:val="-1617521388"/>
          </w:sdtPr>
          <w:sdtContent>
            <w:tc>
              <w:tcPr>
                <w:tcW w:w="3413" w:type="dxa"/>
                <w:vAlign w:val="center"/>
              </w:tcPr>
              <w:p w14:paraId="630592DF">
                <w:pPr>
                  <w:jc w:val="center"/>
                  <w:rPr>
                    <w:rFonts w:ascii="Calibri" w:hAnsi="Calibri"/>
                    <w:sz w:val="20"/>
                    <w:szCs w:val="20"/>
                  </w:rPr>
                </w:pPr>
                <w:r>
                  <w:rPr>
                    <w:rFonts w:hint="eastAsia" w:ascii="Calibri" w:hAnsi="Calibri"/>
                    <w:sz w:val="20"/>
                    <w:szCs w:val="20"/>
                  </w:rPr>
                  <w:t>项目(或被投资单位)</w:t>
                </w:r>
              </w:p>
            </w:tc>
          </w:sdtContent>
        </w:sdt>
        <w:sdt>
          <w:sdtPr>
            <w:tag w:val="_PLD_d5c6465a5d04498caa02c0445ea9f2a6"/>
            <w:id w:val="-1990161417"/>
          </w:sdtPr>
          <w:sdtContent>
            <w:tc>
              <w:tcPr>
                <w:tcW w:w="2810" w:type="dxa"/>
                <w:vAlign w:val="center"/>
              </w:tcPr>
              <w:p w14:paraId="742AC2E4">
                <w:pPr>
                  <w:jc w:val="center"/>
                  <w:rPr>
                    <w:rFonts w:ascii="Calibri" w:hAnsi="Calibri"/>
                    <w:sz w:val="20"/>
                    <w:szCs w:val="20"/>
                  </w:rPr>
                </w:pPr>
                <w:r>
                  <w:rPr>
                    <w:rFonts w:hint="eastAsia" w:ascii="Calibri" w:hAnsi="Calibri"/>
                    <w:sz w:val="20"/>
                    <w:szCs w:val="20"/>
                  </w:rPr>
                  <w:t>期末余额</w:t>
                </w:r>
              </w:p>
            </w:tc>
          </w:sdtContent>
        </w:sdt>
        <w:sdt>
          <w:sdtPr>
            <w:tag w:val="_PLD_c14a5a3826574e7ebd8083db63a7a818"/>
            <w:id w:val="-640725596"/>
          </w:sdtPr>
          <w:sdtContent>
            <w:tc>
              <w:tcPr>
                <w:tcW w:w="2825" w:type="dxa"/>
                <w:vAlign w:val="center"/>
              </w:tcPr>
              <w:p w14:paraId="5D8129E1">
                <w:pPr>
                  <w:jc w:val="center"/>
                  <w:rPr>
                    <w:rFonts w:ascii="Calibri" w:hAnsi="Calibri"/>
                    <w:sz w:val="20"/>
                    <w:szCs w:val="20"/>
                  </w:rPr>
                </w:pPr>
                <w:r>
                  <w:rPr>
                    <w:rFonts w:hint="eastAsia" w:ascii="Calibri" w:hAnsi="Calibri"/>
                    <w:sz w:val="20"/>
                    <w:szCs w:val="20"/>
                  </w:rPr>
                  <w:t>期初余额</w:t>
                </w:r>
              </w:p>
            </w:tc>
          </w:sdtContent>
        </w:sdt>
      </w:tr>
      <w:tr w14:paraId="2431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3" w:type="dxa"/>
            <w:vAlign w:val="center"/>
          </w:tcPr>
          <w:p w14:paraId="074A23C2">
            <w:pPr>
              <w:pStyle w:val="48"/>
              <w:rPr>
                <w:sz w:val="20"/>
                <w:szCs w:val="20"/>
              </w:rPr>
            </w:pPr>
            <w:r>
              <w:rPr>
                <w:rFonts w:hint="eastAsia"/>
                <w:sz w:val="20"/>
                <w:szCs w:val="20"/>
              </w:rPr>
              <w:t>通化东宝金弘基房地产开发有限公司通化县第一分公司</w:t>
            </w:r>
          </w:p>
        </w:tc>
        <w:tc>
          <w:tcPr>
            <w:tcW w:w="2810" w:type="dxa"/>
            <w:vAlign w:val="center"/>
          </w:tcPr>
          <w:p w14:paraId="52810C33">
            <w:pPr>
              <w:jc w:val="right"/>
              <w:rPr>
                <w:rFonts w:ascii="Calibri" w:hAnsi="Calibri"/>
                <w:sz w:val="20"/>
                <w:szCs w:val="20"/>
              </w:rPr>
            </w:pPr>
            <w:r>
              <w:rPr>
                <w:rFonts w:ascii="Calibri" w:hAnsi="Calibri"/>
                <w:sz w:val="20"/>
                <w:szCs w:val="20"/>
              </w:rPr>
              <w:t>48,130,858.20</w:t>
            </w:r>
          </w:p>
        </w:tc>
        <w:tc>
          <w:tcPr>
            <w:tcW w:w="2825" w:type="dxa"/>
            <w:vAlign w:val="center"/>
          </w:tcPr>
          <w:p w14:paraId="0C49E901">
            <w:pPr>
              <w:jc w:val="right"/>
              <w:rPr>
                <w:rFonts w:ascii="Calibri" w:hAnsi="Calibri"/>
                <w:sz w:val="20"/>
                <w:szCs w:val="20"/>
              </w:rPr>
            </w:pPr>
            <w:r>
              <w:rPr>
                <w:rFonts w:ascii="Calibri" w:hAnsi="Calibri"/>
                <w:sz w:val="20"/>
                <w:szCs w:val="20"/>
              </w:rPr>
              <w:t>48,130,858.20</w:t>
            </w:r>
          </w:p>
        </w:tc>
      </w:tr>
      <w:tr w14:paraId="0E3A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3" w:type="dxa"/>
            <w:vAlign w:val="center"/>
          </w:tcPr>
          <w:p w14:paraId="67D3883D">
            <w:pPr>
              <w:jc w:val="center"/>
              <w:rPr>
                <w:rFonts w:ascii="Calibri" w:hAnsi="Calibri"/>
                <w:sz w:val="20"/>
                <w:szCs w:val="20"/>
              </w:rPr>
            </w:pPr>
            <w:r>
              <w:rPr>
                <w:rFonts w:hint="eastAsia" w:ascii="Calibri" w:hAnsi="Calibri"/>
                <w:sz w:val="20"/>
                <w:szCs w:val="20"/>
              </w:rPr>
              <w:t>合计</w:t>
            </w:r>
          </w:p>
        </w:tc>
        <w:tc>
          <w:tcPr>
            <w:tcW w:w="2810" w:type="dxa"/>
            <w:vAlign w:val="center"/>
          </w:tcPr>
          <w:p w14:paraId="7587465D">
            <w:pPr>
              <w:jc w:val="right"/>
              <w:rPr>
                <w:rFonts w:ascii="Calibri" w:hAnsi="Calibri"/>
                <w:sz w:val="20"/>
                <w:szCs w:val="20"/>
              </w:rPr>
            </w:pPr>
            <w:r>
              <w:rPr>
                <w:rFonts w:ascii="Calibri" w:hAnsi="Calibri"/>
                <w:sz w:val="20"/>
                <w:szCs w:val="20"/>
              </w:rPr>
              <w:t>48,130,858.20</w:t>
            </w:r>
          </w:p>
        </w:tc>
        <w:tc>
          <w:tcPr>
            <w:tcW w:w="2825" w:type="dxa"/>
            <w:vAlign w:val="center"/>
          </w:tcPr>
          <w:p w14:paraId="2E7E8DD7">
            <w:pPr>
              <w:jc w:val="right"/>
              <w:rPr>
                <w:rFonts w:ascii="Calibri" w:hAnsi="Calibri"/>
                <w:sz w:val="20"/>
                <w:szCs w:val="20"/>
              </w:rPr>
            </w:pPr>
            <w:r>
              <w:rPr>
                <w:rFonts w:ascii="Calibri" w:hAnsi="Calibri"/>
                <w:sz w:val="20"/>
                <w:szCs w:val="20"/>
              </w:rPr>
              <w:t>48,130,858.20</w:t>
            </w:r>
          </w:p>
        </w:tc>
      </w:tr>
    </w:tbl>
    <w:p w14:paraId="5C91583F">
      <w:pPr>
        <w:pStyle w:val="48"/>
      </w:pPr>
    </w:p>
    <w:bookmarkEnd w:id="405"/>
    <w:p w14:paraId="035319B3">
      <w:pPr>
        <w:pStyle w:val="6"/>
        <w:numPr>
          <w:ilvl w:val="0"/>
          <w:numId w:val="129"/>
        </w:numPr>
        <w:ind w:leftChars="0"/>
      </w:pPr>
      <w:bookmarkStart w:id="406" w:name="_Hlk533797316"/>
      <w:r>
        <w:rPr>
          <w:rFonts w:hint="eastAsia"/>
        </w:rPr>
        <w:t>重要的账龄超过1年的应收股利</w:t>
      </w:r>
    </w:p>
    <w:sdt>
      <w:sdtPr>
        <w:alias w:val="是否适用：母公司重要的账龄超过1年的应收股利[双击切换]"/>
        <w:tag w:val="_GBC_70eb463d08894908bb104ae0b258e76e"/>
        <w:id w:val="-473069233"/>
        <w:placeholder>
          <w:docPart w:val="GBC22222222222222222222222222222"/>
        </w:placeholder>
      </w:sdtPr>
      <w:sdtContent>
        <w:p w14:paraId="38D17DF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2859AD">
      <w:pPr>
        <w:pStyle w:val="48"/>
      </w:pPr>
    </w:p>
    <w:p w14:paraId="7DD1792E">
      <w:pPr>
        <w:pStyle w:val="6"/>
        <w:numPr>
          <w:ilvl w:val="0"/>
          <w:numId w:val="129"/>
        </w:numPr>
        <w:ind w:leftChars="0"/>
      </w:pPr>
      <w:bookmarkStart w:id="407" w:name="_Hlk153790907"/>
      <w:bookmarkStart w:id="408" w:name="_Hlk154150045"/>
      <w:r>
        <w:rPr>
          <w:rFonts w:hint="eastAsia"/>
        </w:rPr>
        <w:t>按坏账计提方法分类披露</w:t>
      </w:r>
    </w:p>
    <w:sdt>
      <w:sdtPr>
        <w:alias w:val="是否适用：母公司按坏账计提方法分类披露[双击切换]"/>
        <w:tag w:val="_GBC_3e6131bf64764260959e58957d1a923e"/>
        <w:id w:val="-1450157492"/>
        <w:placeholder>
          <w:docPart w:val="GBC22222222222222222222222222222"/>
        </w:placeholder>
      </w:sdtPr>
      <w:sdtContent>
        <w:p w14:paraId="1149C5B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2E35F79">
      <w:pPr>
        <w:pStyle w:val="48"/>
      </w:pPr>
    </w:p>
    <w:p w14:paraId="63332D30">
      <w:pPr>
        <w:pStyle w:val="48"/>
      </w:pPr>
      <w:r>
        <w:rPr>
          <w:rFonts w:hint="eastAsia"/>
        </w:rPr>
        <w:t>按单项计提坏账准备：</w:t>
      </w:r>
    </w:p>
    <w:sdt>
      <w:sdtPr>
        <w:alias w:val="是否适用：母公司按单项计提坏账准备的详细情况[双击切换]"/>
        <w:tag w:val="_GBC_0bffd65beafa48e6aca929c5c2140787"/>
        <w:id w:val="1475333586"/>
        <w:placeholder>
          <w:docPart w:val="GBC22222222222222222222222222222"/>
        </w:placeholder>
      </w:sdtPr>
      <w:sdtContent>
        <w:p w14:paraId="46ABB7E4">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BDD8BD7">
      <w:pPr>
        <w:pStyle w:val="48"/>
      </w:pPr>
    </w:p>
    <w:p w14:paraId="33599D69">
      <w:pPr>
        <w:pStyle w:val="48"/>
      </w:pPr>
      <w:r>
        <w:rPr>
          <w:rFonts w:hint="eastAsia"/>
        </w:rPr>
        <w:t>按单项计提坏账准备的说明：</w:t>
      </w:r>
    </w:p>
    <w:sdt>
      <w:sdtPr>
        <w:alias w:val="是否适用：母公司按单项计提坏账准备的说明[双击切换]"/>
        <w:tag w:val="_GBC_3ff3367dda784192860c78e5be49cae0"/>
        <w:id w:val="1998228969"/>
        <w:placeholder>
          <w:docPart w:val="GBC22222222222222222222222222222"/>
        </w:placeholder>
      </w:sdtPr>
      <w:sdtContent>
        <w:p w14:paraId="0124C4B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794BF18">
      <w:pPr>
        <w:pStyle w:val="48"/>
      </w:pPr>
    </w:p>
    <w:p w14:paraId="17098B3D">
      <w:pPr>
        <w:rPr>
          <w:rFonts w:ascii="Calibri" w:hAnsi="Calibri"/>
          <w:bCs/>
          <w:szCs w:val="22"/>
        </w:rPr>
      </w:pPr>
      <w:r>
        <w:rPr>
          <w:rFonts w:hint="eastAsia" w:ascii="Calibri" w:hAnsi="Calibri"/>
          <w:bCs/>
          <w:szCs w:val="22"/>
        </w:rPr>
        <w:t>按组合计提坏账准备：</w:t>
      </w:r>
    </w:p>
    <w:sdt>
      <w:sdtPr>
        <w:rPr>
          <w:rFonts w:ascii="Calibri" w:hAnsi="Calibri"/>
          <w:bCs/>
          <w:szCs w:val="22"/>
        </w:rPr>
        <w:alias w:val="是否适用：母公司按组合计提坏账准备的详细情况[双击切换]"/>
        <w:tag w:val="_GBC_5b769fae73d0491bae227d3968699870"/>
        <w:id w:val="731506110"/>
        <w:placeholder>
          <w:docPart w:val="GBC22222222222222222222222222222"/>
        </w:placeholder>
      </w:sdtPr>
      <w:sdtEndPr>
        <w:rPr>
          <w:rFonts w:ascii="Calibri" w:hAnsi="Calibri"/>
          <w:bCs/>
          <w:szCs w:val="22"/>
        </w:rPr>
      </w:sdtEndPr>
      <w:sdtContent>
        <w:p w14:paraId="3A563B64">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5AF8866D">
      <w:pPr>
        <w:pStyle w:val="48"/>
      </w:pPr>
    </w:p>
    <w:p w14:paraId="3D8E4740">
      <w:pPr>
        <w:rPr>
          <w:rFonts w:ascii="Calibri" w:hAnsi="Calibri"/>
          <w:b/>
          <w:bCs/>
          <w:szCs w:val="22"/>
        </w:rPr>
      </w:pPr>
    </w:p>
    <w:bookmarkEnd w:id="406"/>
    <w:bookmarkEnd w:id="407"/>
    <w:bookmarkEnd w:id="408"/>
    <w:p w14:paraId="03E66B09">
      <w:pPr>
        <w:pStyle w:val="6"/>
        <w:numPr>
          <w:ilvl w:val="0"/>
          <w:numId w:val="129"/>
        </w:numPr>
        <w:ind w:leftChars="0"/>
      </w:pPr>
      <w:bookmarkStart w:id="409" w:name="_Hlk533868874"/>
      <w:r>
        <w:rPr>
          <w:rFonts w:hint="eastAsia"/>
        </w:rPr>
        <w:t>按预期信用损失一般模型计提坏账准备</w:t>
      </w:r>
    </w:p>
    <w:sdt>
      <w:sdtPr>
        <w:alias w:val="是否适用：母公司应收股利坏账准备调节表[双击切换]"/>
        <w:tag w:val="_GBC_5cbd8c1c52fa42d19db26aadad6a74b8"/>
        <w:id w:val="-529418792"/>
        <w:placeholder>
          <w:docPart w:val="GBC22222222222222222222222222222"/>
        </w:placeholder>
      </w:sdtPr>
      <w:sdtContent>
        <w:p w14:paraId="5031BF3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32BB632">
      <w:pPr>
        <w:pStyle w:val="48"/>
      </w:pPr>
    </w:p>
    <w:p w14:paraId="2AA55590">
      <w:pPr>
        <w:autoSpaceDE w:val="0"/>
        <w:autoSpaceDN w:val="0"/>
        <w:adjustRightInd w:val="0"/>
        <w:ind w:right="105" w:rightChars="50"/>
      </w:pPr>
    </w:p>
    <w:p w14:paraId="73A08B85">
      <w:pPr>
        <w:pStyle w:val="38"/>
      </w:pPr>
      <w:r>
        <w:rPr>
          <w:rFonts w:hint="eastAsia"/>
        </w:rPr>
        <w:t>对本期发生损失准备变动的应收股利账面余额显著变动的情况说明：</w:t>
      </w:r>
    </w:p>
    <w:sdt>
      <w:sdtPr>
        <w:rPr>
          <w:rFonts w:hint="eastAsia"/>
        </w:rPr>
        <w:alias w:val="是否适用：母公司应收股利本期发生损失准备变动且账面余额显著变动的情况说明[双击切换]"/>
        <w:tag w:val="_GBC_97e9fe7a49b947f79ce9d174eeaf0f5f"/>
        <w:id w:val="30466100"/>
        <w:placeholder>
          <w:docPart w:val="GBC22222222222222222222222222222"/>
        </w:placeholder>
      </w:sdtPr>
      <w:sdtEndPr>
        <w:rPr>
          <w:rFonts w:hint="eastAsia"/>
        </w:rPr>
      </w:sdtEndPr>
      <w:sdtContent>
        <w:p w14:paraId="3388A229">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2641CD">
      <w:pPr>
        <w:pStyle w:val="48"/>
      </w:pPr>
    </w:p>
    <w:bookmarkEnd w:id="409"/>
    <w:p w14:paraId="30089C85">
      <w:pPr>
        <w:pStyle w:val="6"/>
        <w:numPr>
          <w:ilvl w:val="0"/>
          <w:numId w:val="129"/>
        </w:numPr>
        <w:ind w:leftChars="0"/>
      </w:pPr>
      <w:bookmarkStart w:id="410" w:name="_Hlk153792018"/>
      <w:bookmarkStart w:id="411" w:name="_Hlk154150256"/>
      <w:r>
        <w:rPr>
          <w:rFonts w:hint="eastAsia"/>
        </w:rPr>
        <w:t>坏账准备的情况</w:t>
      </w:r>
    </w:p>
    <w:sdt>
      <w:sdtPr>
        <w:alias w:val="是否适用：母公司坏账准备情况[双击切换]"/>
        <w:tag w:val="_GBC_821565a30d3745e0bc44de118b7dee6f"/>
        <w:id w:val="-1175637978"/>
        <w:placeholder>
          <w:docPart w:val="GBC22222222222222222222222222222"/>
        </w:placeholder>
      </w:sdtPr>
      <w:sdtContent>
        <w:p w14:paraId="310DFC96">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511FFF5">
      <w:pPr>
        <w:pStyle w:val="48"/>
      </w:pPr>
    </w:p>
    <w:p w14:paraId="0B3F879D">
      <w:pPr>
        <w:pStyle w:val="48"/>
      </w:pPr>
      <w:r>
        <w:rPr>
          <w:rFonts w:hint="eastAsia"/>
        </w:rPr>
        <w:t>其中本期坏账准备收回或转回金额重要的：</w:t>
      </w:r>
    </w:p>
    <w:sdt>
      <w:sdtPr>
        <w:alias w:val="是否适用：母公司本期坏账准备收回或转回金额重要的[双击切换]"/>
        <w:tag w:val="_GBC_0d1ed1559d1344db8b219f59e8d21024"/>
        <w:id w:val="-678581660"/>
        <w:placeholder>
          <w:docPart w:val="GBC22222222222222222222222222222"/>
        </w:placeholder>
      </w:sdtPr>
      <w:sdtContent>
        <w:p w14:paraId="41A203A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93C0BE8">
      <w:pPr>
        <w:pStyle w:val="48"/>
      </w:pPr>
    </w:p>
    <w:p w14:paraId="292D1AE9">
      <w:pPr>
        <w:ind w:right="-1594" w:rightChars="-759"/>
      </w:pPr>
    </w:p>
    <w:p w14:paraId="64606E3A">
      <w:pPr>
        <w:pStyle w:val="6"/>
        <w:numPr>
          <w:ilvl w:val="0"/>
          <w:numId w:val="129"/>
        </w:numPr>
        <w:ind w:leftChars="0"/>
      </w:pPr>
      <w:bookmarkStart w:id="412" w:name="_Hlk155883151"/>
      <w:r>
        <w:rPr>
          <w:rFonts w:hint="eastAsia"/>
        </w:rPr>
        <w:t>本期实际核销的应收股利情况</w:t>
      </w:r>
    </w:p>
    <w:sdt>
      <w:sdtPr>
        <w:alias w:val="是否适用：母公司实际核销的情况[双击切换]"/>
        <w:tag w:val="_GBC_1b5ee2d7fd5a4b549b2a2bd673f1698a"/>
        <w:id w:val="1902018490"/>
        <w:placeholder>
          <w:docPart w:val="GBC22222222222222222222222222222"/>
        </w:placeholder>
      </w:sdtPr>
      <w:sdtContent>
        <w:p w14:paraId="754544F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449B3E">
      <w:pPr>
        <w:pStyle w:val="48"/>
      </w:pPr>
    </w:p>
    <w:bookmarkEnd w:id="412"/>
    <w:p w14:paraId="3ABC8427">
      <w:pPr>
        <w:pStyle w:val="48"/>
      </w:pPr>
      <w:r>
        <w:rPr>
          <w:rFonts w:hint="eastAsia"/>
        </w:rPr>
        <w:t>其中重要的应收股利核销情况</w:t>
      </w:r>
    </w:p>
    <w:sdt>
      <w:sdtPr>
        <w:rPr>
          <w:rFonts w:hint="eastAsia"/>
        </w:rPr>
        <w:alias w:val="是否适用：母公司重要的核销情况[双击切换]"/>
        <w:tag w:val="_GBC_2151c3ad65384379897352f370874db1"/>
        <w:id w:val="1291716958"/>
        <w:placeholder>
          <w:docPart w:val="GBC22222222222222222222222222222"/>
        </w:placeholder>
      </w:sdtPr>
      <w:sdtEndPr>
        <w:rPr>
          <w:rFonts w:hint="eastAsia"/>
        </w:rPr>
      </w:sdtEndPr>
      <w:sdtContent>
        <w:p w14:paraId="015CBE4E">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B0B553B">
      <w:pPr>
        <w:pStyle w:val="48"/>
      </w:pPr>
    </w:p>
    <w:p w14:paraId="2320D7BF">
      <w:pPr>
        <w:snapToGrid w:val="0"/>
        <w:spacing w:line="240" w:lineRule="atLeast"/>
      </w:pPr>
      <w:r>
        <w:rPr>
          <w:rFonts w:hint="eastAsia"/>
        </w:rPr>
        <w:t>核销说明：</w:t>
      </w:r>
    </w:p>
    <w:sdt>
      <w:sdtPr>
        <w:alias w:val="是否适用：母公司核销说明[双击切换]"/>
        <w:tag w:val="_GBC_f8d1d851a8a641b3b3733ca0037885d1"/>
        <w:id w:val="-1887942542"/>
        <w:placeholder>
          <w:docPart w:val="GBC22222222222222222222222222222"/>
        </w:placeholder>
      </w:sdtPr>
      <w:sdtContent>
        <w:p w14:paraId="7C7F96A6">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DF48C99">
      <w:pPr>
        <w:pStyle w:val="48"/>
      </w:pPr>
    </w:p>
    <w:bookmarkEnd w:id="410"/>
    <w:bookmarkEnd w:id="411"/>
    <w:p w14:paraId="6E794868">
      <w:pPr>
        <w:pStyle w:val="48"/>
      </w:pPr>
      <w:bookmarkStart w:id="413" w:name="_Hlk533797406"/>
      <w:r>
        <w:rPr>
          <w:rFonts w:hint="eastAsia"/>
        </w:rPr>
        <w:t>其他说明：</w:t>
      </w:r>
    </w:p>
    <w:sdt>
      <w:sdtPr>
        <w:alias w:val="是否适用：母公司应收股利其他说明[双击切换]"/>
        <w:tag w:val="_GBC_75450c3c0332439986937f5dec59f65c"/>
        <w:id w:val="1447420129"/>
        <w:placeholder>
          <w:docPart w:val="GBC22222222222222222222222222222"/>
        </w:placeholder>
      </w:sdtPr>
      <w:sdtContent>
        <w:p w14:paraId="2855F4DA">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413"/>
    <w:p w14:paraId="2A2BC2BF">
      <w:pPr>
        <w:pStyle w:val="48"/>
      </w:pPr>
    </w:p>
    <w:p w14:paraId="1C7EB666">
      <w:pPr>
        <w:pStyle w:val="5"/>
        <w:ind w:left="360" w:hanging="360"/>
      </w:pPr>
      <w:r>
        <w:rPr>
          <w:rFonts w:hint="eastAsia"/>
        </w:rPr>
        <w:t>其他应收款</w:t>
      </w:r>
    </w:p>
    <w:p w14:paraId="409BB1B4">
      <w:pPr>
        <w:pStyle w:val="6"/>
        <w:numPr>
          <w:ilvl w:val="0"/>
          <w:numId w:val="130"/>
        </w:numPr>
        <w:ind w:leftChars="0"/>
      </w:pPr>
      <w:bookmarkStart w:id="414" w:name="_Hlk153797719"/>
      <w:bookmarkStart w:id="415" w:name="_Hlk533797447"/>
      <w:r>
        <w:rPr>
          <w:rFonts w:hint="eastAsia"/>
        </w:rPr>
        <w:t>按账龄披露</w:t>
      </w:r>
    </w:p>
    <w:sdt>
      <w:sdtPr>
        <w:alias w:val="是否适用：母公司其他应收款按账龄披露[双击切换]"/>
        <w:tag w:val="_GBC_5c11b96990fa439da812b87b47ed4c80"/>
        <w:id w:val="829722574"/>
        <w:placeholder>
          <w:docPart w:val="GBC22222222222222222222222222222"/>
        </w:placeholder>
      </w:sdtPr>
      <w:sdtContent>
        <w:p w14:paraId="0EC260C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11DC2A">
      <w:pPr>
        <w:jc w:val="right"/>
      </w:pPr>
      <w:r>
        <w:rPr>
          <w:rFonts w:hint="eastAsia"/>
        </w:rPr>
        <w:t>单位：</w:t>
      </w:r>
      <w:sdt>
        <w:sdtPr>
          <w:rPr>
            <w:rFonts w:hint="eastAsia"/>
          </w:rPr>
          <w:alias w:val="单位：母公司其他应收款按账龄披露"/>
          <w:tag w:val="_GBC_41616ef98f834aa2b100f687773d3969"/>
          <w:id w:val="8452811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其他应收款按账龄披露"/>
          <w:tag w:val="_GBC_5e3917487f6647c3bad62a8fb87ea91e"/>
          <w:id w:val="14162785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3072"/>
        <w:gridCol w:w="2993"/>
        <w:gridCol w:w="2993"/>
      </w:tblGrid>
      <w:tr w14:paraId="2E6D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6b4d3ce2efb49849027845f309f652a"/>
            <w:id w:val="-855122639"/>
          </w:sdtPr>
          <w:sdtContent>
            <w:tc>
              <w:tcPr>
                <w:tcW w:w="3072" w:type="dxa"/>
                <w:tcBorders>
                  <w:top w:val="single" w:color="auto" w:sz="4" w:space="0"/>
                  <w:left w:val="single" w:color="auto" w:sz="4" w:space="0"/>
                  <w:bottom w:val="single" w:color="auto" w:sz="4" w:space="0"/>
                  <w:right w:val="single" w:color="auto" w:sz="4" w:space="0"/>
                </w:tcBorders>
                <w:vAlign w:val="center"/>
              </w:tcPr>
              <w:p w14:paraId="6B07552C">
                <w:pPr>
                  <w:jc w:val="center"/>
                  <w:rPr>
                    <w:rFonts w:ascii="Calibri" w:hAnsi="Calibri"/>
                    <w:sz w:val="20"/>
                    <w:szCs w:val="20"/>
                  </w:rPr>
                </w:pPr>
                <w:r>
                  <w:rPr>
                    <w:rFonts w:hint="eastAsia" w:ascii="Calibri" w:hAnsi="Calibri"/>
                    <w:sz w:val="20"/>
                    <w:szCs w:val="20"/>
                  </w:rPr>
                  <w:t>账龄</w:t>
                </w:r>
              </w:p>
            </w:tc>
          </w:sdtContent>
        </w:sdt>
        <w:sdt>
          <w:sdtPr>
            <w:tag w:val="_PLD_2a2524c4aa88497fa0bf73f43366d799"/>
            <w:id w:val="301664441"/>
          </w:sdtPr>
          <w:sdtContent>
            <w:tc>
              <w:tcPr>
                <w:tcW w:w="2993" w:type="dxa"/>
                <w:tcBorders>
                  <w:top w:val="single" w:color="auto" w:sz="4" w:space="0"/>
                  <w:left w:val="single" w:color="auto" w:sz="4" w:space="0"/>
                  <w:bottom w:val="single" w:color="auto" w:sz="4" w:space="0"/>
                  <w:right w:val="single" w:color="auto" w:sz="4" w:space="0"/>
                </w:tcBorders>
                <w:vAlign w:val="center"/>
              </w:tcPr>
              <w:p w14:paraId="354AF9E4">
                <w:pPr>
                  <w:jc w:val="center"/>
                  <w:rPr>
                    <w:rFonts w:ascii="Calibri" w:hAnsi="Calibri"/>
                    <w:sz w:val="20"/>
                    <w:szCs w:val="20"/>
                  </w:rPr>
                </w:pPr>
                <w:r>
                  <w:rPr>
                    <w:rFonts w:hint="eastAsia" w:ascii="Calibri" w:hAnsi="Calibri"/>
                    <w:sz w:val="20"/>
                    <w:szCs w:val="20"/>
                  </w:rPr>
                  <w:t>期末账面余额</w:t>
                </w:r>
              </w:p>
            </w:tc>
          </w:sdtContent>
        </w:sdt>
        <w:tc>
          <w:tcPr>
            <w:tcW w:w="2993" w:type="dxa"/>
            <w:tcBorders>
              <w:top w:val="single" w:color="auto" w:sz="4" w:space="0"/>
              <w:left w:val="single" w:color="auto" w:sz="4" w:space="0"/>
              <w:bottom w:val="single" w:color="auto" w:sz="4" w:space="0"/>
              <w:right w:val="single" w:color="auto" w:sz="4" w:space="0"/>
            </w:tcBorders>
            <w:vAlign w:val="center"/>
          </w:tcPr>
          <w:sdt>
            <w:sdtPr>
              <w:tag w:val="_PLD_63769de747ae44d5b345aed18107390b"/>
              <w:id w:val="1421299069"/>
            </w:sdtPr>
            <w:sdtContent>
              <w:p w14:paraId="5FDFC329">
                <w:pPr>
                  <w:jc w:val="center"/>
                  <w:rPr>
                    <w:rFonts w:ascii="Calibri" w:hAnsi="Calibri"/>
                    <w:sz w:val="20"/>
                    <w:szCs w:val="20"/>
                  </w:rPr>
                </w:pPr>
                <w:r>
                  <w:rPr>
                    <w:rFonts w:hint="eastAsia" w:ascii="Calibri" w:hAnsi="Calibri"/>
                    <w:sz w:val="20"/>
                    <w:szCs w:val="20"/>
                  </w:rPr>
                  <w:t>期初账面余额</w:t>
                </w:r>
              </w:p>
            </w:sdtContent>
          </w:sdt>
        </w:tc>
      </w:tr>
      <w:tr w14:paraId="06C3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6879BA22">
            <w:pPr>
              <w:pStyle w:val="48"/>
              <w:rPr>
                <w:sz w:val="20"/>
                <w:szCs w:val="20"/>
              </w:rPr>
            </w:pPr>
            <w:r>
              <w:rPr>
                <w:rFonts w:hint="eastAsia"/>
                <w:sz w:val="20"/>
                <w:szCs w:val="20"/>
              </w:rPr>
              <w:t>1年以内（含1年）</w:t>
            </w:r>
          </w:p>
        </w:tc>
        <w:tc>
          <w:tcPr>
            <w:tcW w:w="2993" w:type="dxa"/>
            <w:tcBorders>
              <w:top w:val="single" w:color="auto" w:sz="4" w:space="0"/>
              <w:left w:val="single" w:color="auto" w:sz="4" w:space="0"/>
              <w:bottom w:val="single" w:color="auto" w:sz="4" w:space="0"/>
              <w:right w:val="single" w:color="auto" w:sz="4" w:space="0"/>
            </w:tcBorders>
            <w:vAlign w:val="center"/>
          </w:tcPr>
          <w:p w14:paraId="089AE26C">
            <w:pPr>
              <w:jc w:val="right"/>
              <w:rPr>
                <w:rFonts w:ascii="Calibri" w:hAnsi="Calibri"/>
                <w:sz w:val="20"/>
                <w:szCs w:val="20"/>
              </w:rPr>
            </w:pPr>
            <w:r>
              <w:rPr>
                <w:rFonts w:ascii="Calibri" w:hAnsi="Calibri"/>
                <w:sz w:val="20"/>
                <w:szCs w:val="20"/>
              </w:rPr>
              <w:t>83,121,724.49</w:t>
            </w:r>
          </w:p>
        </w:tc>
        <w:tc>
          <w:tcPr>
            <w:tcW w:w="2993" w:type="dxa"/>
            <w:tcBorders>
              <w:top w:val="single" w:color="auto" w:sz="4" w:space="0"/>
              <w:left w:val="single" w:color="auto" w:sz="4" w:space="0"/>
              <w:bottom w:val="single" w:color="auto" w:sz="4" w:space="0"/>
              <w:right w:val="single" w:color="auto" w:sz="4" w:space="0"/>
            </w:tcBorders>
            <w:vAlign w:val="center"/>
          </w:tcPr>
          <w:p w14:paraId="28AA8AD3">
            <w:pPr>
              <w:jc w:val="right"/>
              <w:rPr>
                <w:rFonts w:ascii="Calibri" w:hAnsi="Calibri"/>
                <w:sz w:val="20"/>
                <w:szCs w:val="20"/>
              </w:rPr>
            </w:pPr>
            <w:r>
              <w:rPr>
                <w:rFonts w:ascii="Calibri" w:hAnsi="Calibri"/>
                <w:sz w:val="20"/>
                <w:szCs w:val="20"/>
              </w:rPr>
              <w:t>132,822,048.97</w:t>
            </w:r>
          </w:p>
        </w:tc>
      </w:tr>
      <w:tr w14:paraId="77CE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618B9482">
            <w:pPr>
              <w:pStyle w:val="48"/>
              <w:rPr>
                <w:sz w:val="20"/>
                <w:szCs w:val="20"/>
              </w:rPr>
            </w:pPr>
            <w:r>
              <w:rPr>
                <w:rFonts w:hint="eastAsia"/>
                <w:sz w:val="20"/>
                <w:szCs w:val="20"/>
              </w:rPr>
              <w:t>1年以内</w:t>
            </w:r>
          </w:p>
        </w:tc>
        <w:tc>
          <w:tcPr>
            <w:tcW w:w="2993" w:type="dxa"/>
            <w:tcBorders>
              <w:top w:val="single" w:color="auto" w:sz="4" w:space="0"/>
              <w:left w:val="single" w:color="auto" w:sz="4" w:space="0"/>
              <w:bottom w:val="single" w:color="auto" w:sz="4" w:space="0"/>
              <w:right w:val="single" w:color="auto" w:sz="4" w:space="0"/>
            </w:tcBorders>
            <w:vAlign w:val="center"/>
          </w:tcPr>
          <w:p w14:paraId="5D4D6DFE">
            <w:pPr>
              <w:jc w:val="right"/>
              <w:rPr>
                <w:rFonts w:ascii="Calibri" w:hAnsi="Calibri"/>
                <w:sz w:val="20"/>
                <w:szCs w:val="20"/>
              </w:rPr>
            </w:pPr>
            <w:r>
              <w:rPr>
                <w:rFonts w:ascii="Calibri" w:hAnsi="Calibri"/>
                <w:sz w:val="20"/>
                <w:szCs w:val="20"/>
              </w:rPr>
              <w:t>83,121,724.49</w:t>
            </w:r>
          </w:p>
        </w:tc>
        <w:tc>
          <w:tcPr>
            <w:tcW w:w="2993" w:type="dxa"/>
            <w:tcBorders>
              <w:top w:val="single" w:color="auto" w:sz="4" w:space="0"/>
              <w:left w:val="single" w:color="auto" w:sz="4" w:space="0"/>
              <w:bottom w:val="single" w:color="auto" w:sz="4" w:space="0"/>
              <w:right w:val="single" w:color="auto" w:sz="4" w:space="0"/>
            </w:tcBorders>
            <w:vAlign w:val="center"/>
          </w:tcPr>
          <w:p w14:paraId="78837984">
            <w:pPr>
              <w:jc w:val="right"/>
              <w:rPr>
                <w:rFonts w:ascii="Calibri" w:hAnsi="Calibri"/>
                <w:sz w:val="20"/>
                <w:szCs w:val="20"/>
              </w:rPr>
            </w:pPr>
            <w:r>
              <w:rPr>
                <w:rFonts w:ascii="Calibri" w:hAnsi="Calibri"/>
                <w:sz w:val="20"/>
                <w:szCs w:val="20"/>
              </w:rPr>
              <w:t>132,822,048.97</w:t>
            </w:r>
          </w:p>
        </w:tc>
      </w:tr>
      <w:tr w14:paraId="2F1C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57FBE1DE">
            <w:pPr>
              <w:pStyle w:val="48"/>
              <w:rPr>
                <w:sz w:val="20"/>
                <w:szCs w:val="20"/>
              </w:rPr>
            </w:pPr>
            <w:r>
              <w:rPr>
                <w:rFonts w:hint="eastAsia"/>
                <w:sz w:val="20"/>
                <w:szCs w:val="20"/>
              </w:rPr>
              <w:t>1至2年</w:t>
            </w:r>
          </w:p>
        </w:tc>
        <w:tc>
          <w:tcPr>
            <w:tcW w:w="2993" w:type="dxa"/>
            <w:tcBorders>
              <w:top w:val="single" w:color="auto" w:sz="4" w:space="0"/>
              <w:left w:val="single" w:color="auto" w:sz="4" w:space="0"/>
              <w:bottom w:val="single" w:color="auto" w:sz="4" w:space="0"/>
              <w:right w:val="single" w:color="auto" w:sz="4" w:space="0"/>
            </w:tcBorders>
            <w:vAlign w:val="center"/>
          </w:tcPr>
          <w:p w14:paraId="01DB5FB2">
            <w:pPr>
              <w:jc w:val="right"/>
              <w:rPr>
                <w:rFonts w:ascii="Calibri" w:hAnsi="Calibri"/>
                <w:sz w:val="20"/>
                <w:szCs w:val="20"/>
              </w:rPr>
            </w:pPr>
            <w:r>
              <w:rPr>
                <w:rFonts w:ascii="Calibri" w:hAnsi="Calibri"/>
                <w:sz w:val="20"/>
                <w:szCs w:val="20"/>
              </w:rPr>
              <w:t>611,851.72</w:t>
            </w:r>
          </w:p>
        </w:tc>
        <w:tc>
          <w:tcPr>
            <w:tcW w:w="2993" w:type="dxa"/>
            <w:tcBorders>
              <w:top w:val="single" w:color="auto" w:sz="4" w:space="0"/>
              <w:left w:val="single" w:color="auto" w:sz="4" w:space="0"/>
              <w:bottom w:val="single" w:color="auto" w:sz="4" w:space="0"/>
              <w:right w:val="single" w:color="auto" w:sz="4" w:space="0"/>
            </w:tcBorders>
            <w:vAlign w:val="center"/>
          </w:tcPr>
          <w:p w14:paraId="1B2C93AE">
            <w:pPr>
              <w:jc w:val="right"/>
              <w:rPr>
                <w:rFonts w:ascii="Calibri" w:hAnsi="Calibri"/>
                <w:sz w:val="20"/>
                <w:szCs w:val="20"/>
              </w:rPr>
            </w:pPr>
            <w:r>
              <w:rPr>
                <w:rFonts w:ascii="Calibri" w:hAnsi="Calibri"/>
                <w:sz w:val="20"/>
                <w:szCs w:val="20"/>
              </w:rPr>
              <w:t>124,136,766.86</w:t>
            </w:r>
          </w:p>
        </w:tc>
      </w:tr>
      <w:tr w14:paraId="7574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3C6247B7">
            <w:pPr>
              <w:pStyle w:val="48"/>
              <w:rPr>
                <w:sz w:val="20"/>
                <w:szCs w:val="20"/>
              </w:rPr>
            </w:pPr>
            <w:r>
              <w:rPr>
                <w:rFonts w:hint="eastAsia"/>
                <w:sz w:val="20"/>
                <w:szCs w:val="20"/>
              </w:rPr>
              <w:t>2至3年</w:t>
            </w:r>
          </w:p>
        </w:tc>
        <w:tc>
          <w:tcPr>
            <w:tcW w:w="2993" w:type="dxa"/>
            <w:tcBorders>
              <w:top w:val="single" w:color="auto" w:sz="4" w:space="0"/>
              <w:left w:val="single" w:color="auto" w:sz="4" w:space="0"/>
              <w:bottom w:val="single" w:color="auto" w:sz="4" w:space="0"/>
              <w:right w:val="single" w:color="auto" w:sz="4" w:space="0"/>
            </w:tcBorders>
            <w:vAlign w:val="center"/>
          </w:tcPr>
          <w:p w14:paraId="04C7813E">
            <w:pPr>
              <w:jc w:val="right"/>
              <w:rPr>
                <w:rFonts w:ascii="Calibri" w:hAnsi="Calibri"/>
                <w:sz w:val="20"/>
                <w:szCs w:val="20"/>
              </w:rPr>
            </w:pPr>
            <w:r>
              <w:rPr>
                <w:rFonts w:ascii="Calibri" w:hAnsi="Calibri"/>
                <w:sz w:val="20"/>
                <w:szCs w:val="20"/>
              </w:rPr>
              <w:t>461,100.67</w:t>
            </w:r>
          </w:p>
        </w:tc>
        <w:tc>
          <w:tcPr>
            <w:tcW w:w="2993" w:type="dxa"/>
            <w:tcBorders>
              <w:top w:val="single" w:color="auto" w:sz="4" w:space="0"/>
              <w:left w:val="single" w:color="auto" w:sz="4" w:space="0"/>
              <w:bottom w:val="single" w:color="auto" w:sz="4" w:space="0"/>
              <w:right w:val="single" w:color="auto" w:sz="4" w:space="0"/>
            </w:tcBorders>
            <w:vAlign w:val="center"/>
          </w:tcPr>
          <w:p w14:paraId="3D519D4C">
            <w:pPr>
              <w:jc w:val="right"/>
              <w:rPr>
                <w:rFonts w:ascii="Calibri" w:hAnsi="Calibri"/>
                <w:sz w:val="20"/>
                <w:szCs w:val="20"/>
              </w:rPr>
            </w:pPr>
            <w:r>
              <w:rPr>
                <w:rFonts w:ascii="Calibri" w:hAnsi="Calibri"/>
                <w:sz w:val="20"/>
                <w:szCs w:val="20"/>
              </w:rPr>
              <w:t>51,809,102.66</w:t>
            </w:r>
          </w:p>
        </w:tc>
      </w:tr>
      <w:tr w14:paraId="7010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35A5AFC8">
            <w:pPr>
              <w:pStyle w:val="48"/>
              <w:rPr>
                <w:sz w:val="20"/>
                <w:szCs w:val="20"/>
              </w:rPr>
            </w:pPr>
            <w:r>
              <w:rPr>
                <w:rFonts w:hint="eastAsia"/>
                <w:sz w:val="20"/>
                <w:szCs w:val="20"/>
              </w:rPr>
              <w:t>3至4年</w:t>
            </w:r>
          </w:p>
        </w:tc>
        <w:tc>
          <w:tcPr>
            <w:tcW w:w="2993" w:type="dxa"/>
            <w:tcBorders>
              <w:top w:val="single" w:color="auto" w:sz="4" w:space="0"/>
              <w:left w:val="single" w:color="auto" w:sz="4" w:space="0"/>
              <w:bottom w:val="single" w:color="auto" w:sz="4" w:space="0"/>
              <w:right w:val="single" w:color="auto" w:sz="4" w:space="0"/>
            </w:tcBorders>
            <w:vAlign w:val="center"/>
          </w:tcPr>
          <w:p w14:paraId="4D19D4F5">
            <w:pPr>
              <w:jc w:val="right"/>
              <w:rPr>
                <w:rFonts w:ascii="Calibri" w:hAnsi="Calibri"/>
                <w:sz w:val="20"/>
                <w:szCs w:val="20"/>
              </w:rPr>
            </w:pPr>
            <w:r>
              <w:rPr>
                <w:rFonts w:ascii="Calibri" w:hAnsi="Calibri"/>
                <w:sz w:val="20"/>
                <w:szCs w:val="20"/>
              </w:rPr>
              <w:t>1,151,486.91</w:t>
            </w:r>
          </w:p>
        </w:tc>
        <w:tc>
          <w:tcPr>
            <w:tcW w:w="2993" w:type="dxa"/>
            <w:tcBorders>
              <w:top w:val="single" w:color="auto" w:sz="4" w:space="0"/>
              <w:left w:val="single" w:color="auto" w:sz="4" w:space="0"/>
              <w:bottom w:val="single" w:color="auto" w:sz="4" w:space="0"/>
              <w:right w:val="single" w:color="auto" w:sz="4" w:space="0"/>
            </w:tcBorders>
            <w:vAlign w:val="center"/>
          </w:tcPr>
          <w:p w14:paraId="12FAFCD9">
            <w:pPr>
              <w:jc w:val="right"/>
              <w:rPr>
                <w:rFonts w:ascii="Calibri" w:hAnsi="Calibri"/>
                <w:sz w:val="20"/>
                <w:szCs w:val="20"/>
              </w:rPr>
            </w:pPr>
            <w:r>
              <w:rPr>
                <w:rFonts w:ascii="Calibri" w:hAnsi="Calibri"/>
                <w:sz w:val="20"/>
                <w:szCs w:val="20"/>
              </w:rPr>
              <w:t>409,714.89</w:t>
            </w:r>
          </w:p>
        </w:tc>
      </w:tr>
      <w:tr w14:paraId="287E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36FB3AD4">
            <w:pPr>
              <w:pStyle w:val="48"/>
              <w:rPr>
                <w:sz w:val="20"/>
                <w:szCs w:val="20"/>
              </w:rPr>
            </w:pPr>
            <w:r>
              <w:rPr>
                <w:rFonts w:hint="eastAsia"/>
                <w:sz w:val="20"/>
                <w:szCs w:val="20"/>
              </w:rPr>
              <w:t>4至5年</w:t>
            </w:r>
          </w:p>
        </w:tc>
        <w:tc>
          <w:tcPr>
            <w:tcW w:w="2993" w:type="dxa"/>
            <w:tcBorders>
              <w:top w:val="single" w:color="auto" w:sz="4" w:space="0"/>
              <w:left w:val="single" w:color="auto" w:sz="4" w:space="0"/>
              <w:bottom w:val="single" w:color="auto" w:sz="4" w:space="0"/>
              <w:right w:val="single" w:color="auto" w:sz="4" w:space="0"/>
            </w:tcBorders>
            <w:vAlign w:val="center"/>
          </w:tcPr>
          <w:p w14:paraId="26ECCC54">
            <w:pPr>
              <w:jc w:val="right"/>
              <w:rPr>
                <w:rFonts w:ascii="Calibri" w:hAnsi="Calibri"/>
                <w:sz w:val="20"/>
                <w:szCs w:val="20"/>
              </w:rPr>
            </w:pPr>
            <w:r>
              <w:rPr>
                <w:rFonts w:ascii="Calibri" w:hAnsi="Calibri"/>
                <w:sz w:val="20"/>
                <w:szCs w:val="20"/>
              </w:rPr>
              <w:t>409,714.89</w:t>
            </w:r>
          </w:p>
        </w:tc>
        <w:tc>
          <w:tcPr>
            <w:tcW w:w="2993" w:type="dxa"/>
            <w:tcBorders>
              <w:top w:val="single" w:color="auto" w:sz="4" w:space="0"/>
              <w:left w:val="single" w:color="auto" w:sz="4" w:space="0"/>
              <w:bottom w:val="single" w:color="auto" w:sz="4" w:space="0"/>
              <w:right w:val="single" w:color="auto" w:sz="4" w:space="0"/>
            </w:tcBorders>
            <w:vAlign w:val="center"/>
          </w:tcPr>
          <w:p w14:paraId="437B12FA">
            <w:pPr>
              <w:jc w:val="right"/>
              <w:rPr>
                <w:rFonts w:ascii="Calibri" w:hAnsi="Calibri"/>
                <w:sz w:val="20"/>
                <w:szCs w:val="20"/>
              </w:rPr>
            </w:pPr>
            <w:r>
              <w:rPr>
                <w:rFonts w:ascii="Calibri" w:hAnsi="Calibri"/>
                <w:sz w:val="20"/>
                <w:szCs w:val="20"/>
              </w:rPr>
              <w:t>4,378,052.29</w:t>
            </w:r>
          </w:p>
        </w:tc>
      </w:tr>
      <w:tr w14:paraId="0A06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435E6A3B">
            <w:pPr>
              <w:pStyle w:val="48"/>
              <w:rPr>
                <w:sz w:val="20"/>
                <w:szCs w:val="20"/>
              </w:rPr>
            </w:pPr>
            <w:r>
              <w:rPr>
                <w:rFonts w:hint="eastAsia"/>
                <w:sz w:val="20"/>
                <w:szCs w:val="20"/>
              </w:rPr>
              <w:t>5年以上</w:t>
            </w:r>
          </w:p>
        </w:tc>
        <w:tc>
          <w:tcPr>
            <w:tcW w:w="2993" w:type="dxa"/>
            <w:tcBorders>
              <w:top w:val="single" w:color="auto" w:sz="4" w:space="0"/>
              <w:left w:val="single" w:color="auto" w:sz="4" w:space="0"/>
              <w:bottom w:val="single" w:color="auto" w:sz="4" w:space="0"/>
              <w:right w:val="single" w:color="auto" w:sz="4" w:space="0"/>
            </w:tcBorders>
            <w:vAlign w:val="center"/>
          </w:tcPr>
          <w:p w14:paraId="09EEF825">
            <w:pPr>
              <w:jc w:val="right"/>
              <w:rPr>
                <w:rFonts w:ascii="Calibri" w:hAnsi="Calibri"/>
                <w:sz w:val="20"/>
                <w:szCs w:val="20"/>
              </w:rPr>
            </w:pPr>
            <w:r>
              <w:rPr>
                <w:rFonts w:ascii="Calibri" w:hAnsi="Calibri"/>
                <w:sz w:val="20"/>
                <w:szCs w:val="20"/>
              </w:rPr>
              <w:t>56,384,418.25</w:t>
            </w:r>
          </w:p>
        </w:tc>
        <w:tc>
          <w:tcPr>
            <w:tcW w:w="2993" w:type="dxa"/>
            <w:tcBorders>
              <w:top w:val="single" w:color="auto" w:sz="4" w:space="0"/>
              <w:left w:val="single" w:color="auto" w:sz="4" w:space="0"/>
              <w:bottom w:val="single" w:color="auto" w:sz="4" w:space="0"/>
              <w:right w:val="single" w:color="auto" w:sz="4" w:space="0"/>
            </w:tcBorders>
            <w:vAlign w:val="center"/>
          </w:tcPr>
          <w:p w14:paraId="40D6F70B">
            <w:pPr>
              <w:jc w:val="right"/>
              <w:rPr>
                <w:rFonts w:ascii="Calibri" w:hAnsi="Calibri"/>
                <w:sz w:val="20"/>
                <w:szCs w:val="20"/>
              </w:rPr>
            </w:pPr>
            <w:r>
              <w:rPr>
                <w:rFonts w:ascii="Calibri" w:hAnsi="Calibri"/>
                <w:sz w:val="20"/>
                <w:szCs w:val="20"/>
              </w:rPr>
              <w:t>52,011,365.96</w:t>
            </w:r>
          </w:p>
        </w:tc>
      </w:tr>
      <w:tr w14:paraId="56B6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3072" w:type="dxa"/>
            <w:tcBorders>
              <w:top w:val="single" w:color="auto" w:sz="4" w:space="0"/>
              <w:left w:val="single" w:color="auto" w:sz="4" w:space="0"/>
              <w:bottom w:val="single" w:color="auto" w:sz="4" w:space="0"/>
              <w:right w:val="single" w:color="auto" w:sz="4" w:space="0"/>
            </w:tcBorders>
            <w:vAlign w:val="center"/>
          </w:tcPr>
          <w:p w14:paraId="095BAD0E">
            <w:pPr>
              <w:jc w:val="center"/>
              <w:rPr>
                <w:rFonts w:ascii="Calibri" w:hAnsi="Calibri"/>
                <w:sz w:val="20"/>
                <w:szCs w:val="20"/>
              </w:rPr>
            </w:pPr>
            <w:r>
              <w:rPr>
                <w:rFonts w:hint="eastAsia" w:ascii="Calibri" w:hAnsi="Calibri"/>
                <w:sz w:val="20"/>
                <w:szCs w:val="20"/>
              </w:rPr>
              <w:t>合计</w:t>
            </w:r>
          </w:p>
        </w:tc>
        <w:tc>
          <w:tcPr>
            <w:tcW w:w="2993" w:type="dxa"/>
            <w:tcBorders>
              <w:top w:val="single" w:color="auto" w:sz="4" w:space="0"/>
              <w:left w:val="single" w:color="auto" w:sz="4" w:space="0"/>
              <w:bottom w:val="single" w:color="auto" w:sz="4" w:space="0"/>
              <w:right w:val="single" w:color="auto" w:sz="4" w:space="0"/>
            </w:tcBorders>
            <w:vAlign w:val="center"/>
          </w:tcPr>
          <w:p w14:paraId="6F8862B1">
            <w:pPr>
              <w:jc w:val="right"/>
              <w:rPr>
                <w:rFonts w:ascii="Calibri" w:hAnsi="Calibri"/>
                <w:sz w:val="20"/>
                <w:szCs w:val="20"/>
              </w:rPr>
            </w:pPr>
            <w:r>
              <w:rPr>
                <w:rFonts w:ascii="Calibri" w:hAnsi="Calibri"/>
                <w:sz w:val="20"/>
                <w:szCs w:val="20"/>
              </w:rPr>
              <w:t>142,140,296.93</w:t>
            </w:r>
          </w:p>
        </w:tc>
        <w:tc>
          <w:tcPr>
            <w:tcW w:w="2993" w:type="dxa"/>
            <w:tcBorders>
              <w:top w:val="single" w:color="auto" w:sz="4" w:space="0"/>
              <w:left w:val="single" w:color="auto" w:sz="4" w:space="0"/>
              <w:bottom w:val="single" w:color="auto" w:sz="4" w:space="0"/>
              <w:right w:val="single" w:color="auto" w:sz="4" w:space="0"/>
            </w:tcBorders>
            <w:vAlign w:val="center"/>
          </w:tcPr>
          <w:p w14:paraId="5F358653">
            <w:pPr>
              <w:jc w:val="right"/>
              <w:rPr>
                <w:rFonts w:ascii="Calibri" w:hAnsi="Calibri"/>
                <w:sz w:val="20"/>
                <w:szCs w:val="20"/>
              </w:rPr>
            </w:pPr>
            <w:r>
              <w:rPr>
                <w:rFonts w:ascii="Calibri" w:hAnsi="Calibri"/>
                <w:sz w:val="20"/>
                <w:szCs w:val="20"/>
              </w:rPr>
              <w:t>365,567,051.63</w:t>
            </w:r>
          </w:p>
        </w:tc>
      </w:tr>
    </w:tbl>
    <w:p w14:paraId="392EA357">
      <w:pPr>
        <w:pStyle w:val="48"/>
      </w:pPr>
    </w:p>
    <w:p w14:paraId="24509A83">
      <w:pPr>
        <w:pStyle w:val="48"/>
      </w:pPr>
    </w:p>
    <w:bookmarkEnd w:id="414"/>
    <w:p w14:paraId="4FF808F6">
      <w:pPr>
        <w:pStyle w:val="6"/>
        <w:numPr>
          <w:ilvl w:val="0"/>
          <w:numId w:val="130"/>
        </w:numPr>
        <w:ind w:leftChars="0"/>
      </w:pPr>
      <w:r>
        <w:rPr>
          <w:rFonts w:hint="eastAsia"/>
        </w:rPr>
        <w:t>按款项性质分类情况</w:t>
      </w:r>
    </w:p>
    <w:p w14:paraId="24A463DB">
      <w:pPr>
        <w:pStyle w:val="48"/>
      </w:pPr>
      <w:sdt>
        <w:sdtPr>
          <w:alias w:val="是否适用：母公司其他应收款按款项性质分类情况[双击切换]"/>
          <w:tag w:val="_GBC_a5e5418d19394a1c8f8093184d9b360a"/>
          <w:id w:val="222653560"/>
          <w:placeholder>
            <w:docPart w:val="GBC22222222222222222222222222222"/>
          </w:placeholder>
        </w:sdtPr>
        <w:sdtContent>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14:paraId="7AB2A88C">
      <w:pPr>
        <w:jc w:val="right"/>
      </w:pPr>
      <w:r>
        <w:rPr>
          <w:rFonts w:hint="eastAsia"/>
        </w:rPr>
        <w:t>单位：</w:t>
      </w:r>
      <w:sdt>
        <w:sdtPr>
          <w:rPr>
            <w:rFonts w:hint="eastAsia"/>
          </w:rPr>
          <w:alias w:val="单位：财务附注：母公司其他应收款按款项性质分类情况"/>
          <w:tag w:val="_GBC_451485fc33dc4b2c9be5a44730242ca7"/>
          <w:id w:val="-17491136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7056928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415"/>
    <w:tbl>
      <w:tblPr>
        <w:tblStyle w:val="20"/>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6"/>
        <w:gridCol w:w="2980"/>
        <w:gridCol w:w="2991"/>
      </w:tblGrid>
      <w:tr w14:paraId="0D75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a2a2127303b4deebb2bcaea193eb6d9"/>
            <w:id w:val="1052974858"/>
          </w:sdtPr>
          <w:sdtContent>
            <w:tc>
              <w:tcPr>
                <w:tcW w:w="3076" w:type="dxa"/>
                <w:vAlign w:val="center"/>
              </w:tcPr>
              <w:p w14:paraId="6868ACE7">
                <w:pPr>
                  <w:widowControl w:val="0"/>
                  <w:jc w:val="center"/>
                </w:pPr>
                <w:bookmarkStart w:id="416" w:name="_Hlk533870927"/>
                <w:r>
                  <w:rPr>
                    <w:rFonts w:hint="eastAsia"/>
                  </w:rPr>
                  <w:t>款项性质</w:t>
                </w:r>
              </w:p>
            </w:tc>
          </w:sdtContent>
        </w:sdt>
        <w:sdt>
          <w:sdtPr>
            <w:tag w:val="_PLD_aa55d719329144e5a0eafd36222d0851"/>
            <w:id w:val="-32424117"/>
          </w:sdtPr>
          <w:sdtContent>
            <w:tc>
              <w:tcPr>
                <w:tcW w:w="2980" w:type="dxa"/>
                <w:vAlign w:val="center"/>
              </w:tcPr>
              <w:p w14:paraId="6208F0CF">
                <w:pPr>
                  <w:widowControl w:val="0"/>
                  <w:jc w:val="center"/>
                </w:pPr>
                <w:r>
                  <w:rPr>
                    <w:rFonts w:hint="eastAsia"/>
                  </w:rPr>
                  <w:t>期末账面余额</w:t>
                </w:r>
              </w:p>
            </w:tc>
          </w:sdtContent>
        </w:sdt>
        <w:sdt>
          <w:sdtPr>
            <w:tag w:val="_PLD_146282129b6a4b52a6963dad9647679a"/>
            <w:id w:val="1781368425"/>
          </w:sdtPr>
          <w:sdtContent>
            <w:tc>
              <w:tcPr>
                <w:tcW w:w="2991" w:type="dxa"/>
                <w:vAlign w:val="center"/>
              </w:tcPr>
              <w:p w14:paraId="5CA2BCC4">
                <w:pPr>
                  <w:widowControl w:val="0"/>
                  <w:jc w:val="center"/>
                </w:pPr>
                <w:r>
                  <w:rPr>
                    <w:rFonts w:hint="eastAsia"/>
                  </w:rPr>
                  <w:t>期初账面余额</w:t>
                </w:r>
              </w:p>
            </w:tc>
          </w:sdtContent>
        </w:sdt>
      </w:tr>
      <w:tr w14:paraId="3072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6" w:type="dxa"/>
            <w:vAlign w:val="center"/>
          </w:tcPr>
          <w:p w14:paraId="64F848E4">
            <w:pPr>
              <w:widowControl w:val="0"/>
              <w:jc w:val="both"/>
              <w:rPr>
                <w:highlight w:val="yellow"/>
              </w:rPr>
            </w:pPr>
            <w:r>
              <w:t>备用金</w:t>
            </w:r>
          </w:p>
        </w:tc>
        <w:tc>
          <w:tcPr>
            <w:tcW w:w="2980" w:type="dxa"/>
            <w:vAlign w:val="center"/>
          </w:tcPr>
          <w:p w14:paraId="61100448">
            <w:pPr>
              <w:widowControl w:val="0"/>
              <w:jc w:val="right"/>
            </w:pPr>
            <w:r>
              <w:t>614,493.05</w:t>
            </w:r>
          </w:p>
        </w:tc>
        <w:tc>
          <w:tcPr>
            <w:tcW w:w="2991" w:type="dxa"/>
            <w:vAlign w:val="center"/>
          </w:tcPr>
          <w:p w14:paraId="30A292DB">
            <w:pPr>
              <w:widowControl w:val="0"/>
              <w:jc w:val="right"/>
            </w:pPr>
            <w:r>
              <w:t>723,998.26</w:t>
            </w:r>
          </w:p>
        </w:tc>
      </w:tr>
      <w:tr w14:paraId="5D4F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6" w:type="dxa"/>
            <w:vAlign w:val="center"/>
          </w:tcPr>
          <w:p w14:paraId="16BD574C">
            <w:pPr>
              <w:widowControl w:val="0"/>
              <w:jc w:val="both"/>
              <w:rPr>
                <w:highlight w:val="yellow"/>
              </w:rPr>
            </w:pPr>
            <w:r>
              <w:t>关联单位往来款</w:t>
            </w:r>
          </w:p>
        </w:tc>
        <w:tc>
          <w:tcPr>
            <w:tcW w:w="2980" w:type="dxa"/>
            <w:vAlign w:val="center"/>
          </w:tcPr>
          <w:p w14:paraId="2498F64C">
            <w:pPr>
              <w:widowControl w:val="0"/>
              <w:jc w:val="right"/>
            </w:pPr>
            <w:r>
              <w:t>138,167,915.27</w:t>
            </w:r>
          </w:p>
        </w:tc>
        <w:tc>
          <w:tcPr>
            <w:tcW w:w="2991" w:type="dxa"/>
            <w:vAlign w:val="center"/>
          </w:tcPr>
          <w:p w14:paraId="5C023B0F">
            <w:pPr>
              <w:widowControl w:val="0"/>
              <w:jc w:val="right"/>
            </w:pPr>
            <w:r>
              <w:t>363,212,312.69</w:t>
            </w:r>
          </w:p>
        </w:tc>
      </w:tr>
      <w:tr w14:paraId="6DFE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6" w:type="dxa"/>
            <w:vAlign w:val="center"/>
          </w:tcPr>
          <w:p w14:paraId="261310A2">
            <w:pPr>
              <w:widowControl w:val="0"/>
              <w:jc w:val="both"/>
              <w:rPr>
                <w:highlight w:val="yellow"/>
              </w:rPr>
            </w:pPr>
            <w:r>
              <w:t>外部单位往来款</w:t>
            </w:r>
          </w:p>
        </w:tc>
        <w:tc>
          <w:tcPr>
            <w:tcW w:w="2980" w:type="dxa"/>
            <w:vAlign w:val="center"/>
          </w:tcPr>
          <w:p w14:paraId="4DE2BDAA">
            <w:pPr>
              <w:widowControl w:val="0"/>
              <w:jc w:val="right"/>
            </w:pPr>
            <w:r>
              <w:t>3,228,440.05</w:t>
            </w:r>
          </w:p>
        </w:tc>
        <w:tc>
          <w:tcPr>
            <w:tcW w:w="2991" w:type="dxa"/>
            <w:vAlign w:val="center"/>
          </w:tcPr>
          <w:p w14:paraId="65D000C0">
            <w:pPr>
              <w:widowControl w:val="0"/>
              <w:jc w:val="right"/>
            </w:pPr>
            <w:r>
              <w:t>1,630,740.68</w:t>
            </w:r>
          </w:p>
        </w:tc>
      </w:tr>
      <w:tr w14:paraId="7263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6" w:type="dxa"/>
            <w:vAlign w:val="center"/>
          </w:tcPr>
          <w:p w14:paraId="63229744">
            <w:pPr>
              <w:widowControl w:val="0"/>
              <w:jc w:val="both"/>
              <w:rPr>
                <w:highlight w:val="yellow"/>
              </w:rPr>
            </w:pPr>
            <w:r>
              <w:t>暂付款</w:t>
            </w:r>
          </w:p>
        </w:tc>
        <w:tc>
          <w:tcPr>
            <w:tcW w:w="2980" w:type="dxa"/>
            <w:vAlign w:val="center"/>
          </w:tcPr>
          <w:p w14:paraId="182E8964">
            <w:pPr>
              <w:widowControl w:val="0"/>
              <w:jc w:val="right"/>
            </w:pPr>
            <w:r>
              <w:t>129,448.56</w:t>
            </w:r>
          </w:p>
        </w:tc>
        <w:tc>
          <w:tcPr>
            <w:tcW w:w="2991" w:type="dxa"/>
            <w:vAlign w:val="center"/>
          </w:tcPr>
          <w:p w14:paraId="05C04E56">
            <w:pPr>
              <w:widowControl w:val="0"/>
              <w:jc w:val="right"/>
            </w:pPr>
          </w:p>
        </w:tc>
      </w:tr>
      <w:tr w14:paraId="5F17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6" w:type="dxa"/>
            <w:vAlign w:val="center"/>
          </w:tcPr>
          <w:p w14:paraId="6ED2886B">
            <w:pPr>
              <w:widowControl w:val="0"/>
              <w:jc w:val="center"/>
            </w:pPr>
            <w:r>
              <w:t>合计</w:t>
            </w:r>
          </w:p>
        </w:tc>
        <w:tc>
          <w:tcPr>
            <w:tcW w:w="2980" w:type="dxa"/>
            <w:vAlign w:val="center"/>
          </w:tcPr>
          <w:p w14:paraId="3CA5AE2B">
            <w:pPr>
              <w:widowControl w:val="0"/>
              <w:jc w:val="right"/>
            </w:pPr>
            <w:r>
              <w:t>142,140,296.93</w:t>
            </w:r>
          </w:p>
        </w:tc>
        <w:tc>
          <w:tcPr>
            <w:tcW w:w="2991" w:type="dxa"/>
            <w:vAlign w:val="center"/>
          </w:tcPr>
          <w:p w14:paraId="0C95F8E6">
            <w:pPr>
              <w:widowControl w:val="0"/>
              <w:jc w:val="right"/>
            </w:pPr>
            <w:r>
              <w:t>365,567,051.63</w:t>
            </w:r>
          </w:p>
        </w:tc>
      </w:tr>
    </w:tbl>
    <w:p w14:paraId="1EA1CC25"/>
    <w:p w14:paraId="4C32156E">
      <w:pPr>
        <w:pStyle w:val="6"/>
        <w:numPr>
          <w:ilvl w:val="0"/>
          <w:numId w:val="130"/>
        </w:numPr>
        <w:ind w:leftChars="0"/>
      </w:pPr>
      <w:r>
        <w:rPr>
          <w:rFonts w:hint="eastAsia"/>
        </w:rPr>
        <w:t>坏账准备计提情况</w:t>
      </w:r>
    </w:p>
    <w:sdt>
      <w:sdtPr>
        <w:alias w:val="是否适用：母公司其他应收款坏账准备调节表[双击切换]"/>
        <w:tag w:val="_GBC_34d55fda2adc4508bb77a03583cd3d2d"/>
        <w:id w:val="810671863"/>
        <w:placeholder>
          <w:docPart w:val="GBC22222222222222222222222222222"/>
        </w:placeholder>
      </w:sdtPr>
      <w:sdtContent>
        <w:p w14:paraId="111CC678">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D9158F">
      <w:pPr>
        <w:autoSpaceDE w:val="0"/>
        <w:autoSpaceDN w:val="0"/>
        <w:adjustRightInd w:val="0"/>
        <w:ind w:right="105" w:rightChars="50"/>
        <w:jc w:val="right"/>
      </w:pPr>
      <w:r>
        <w:rPr>
          <w:rFonts w:hint="eastAsia"/>
        </w:rPr>
        <w:t>单位：</w:t>
      </w:r>
      <w:sdt>
        <w:sdtPr>
          <w:rPr>
            <w:rFonts w:hint="eastAsia"/>
          </w:rPr>
          <w:alias w:val="单位：母公司其他应收款坏账准备调节表"/>
          <w:tag w:val="_GBC_b494dbb0c2794f39b9fb29a12fc478f8"/>
          <w:id w:val="930544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其他应收款坏账准备调节表"/>
          <w:tag w:val="_GBC_a5fe64b13e1448e3b1446e3cf0428cfc"/>
          <w:id w:val="15496426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560"/>
        <w:gridCol w:w="1985"/>
        <w:gridCol w:w="1985"/>
        <w:gridCol w:w="1706"/>
      </w:tblGrid>
      <w:tr w14:paraId="0919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1b2d66f9e3e44f9a3867e2f9fa483ea"/>
            <w:id w:val="-580068337"/>
          </w:sdtPr>
          <w:sdtContent>
            <w:tc>
              <w:tcPr>
                <w:tcW w:w="1811" w:type="dxa"/>
                <w:vMerge w:val="restart"/>
                <w:vAlign w:val="center"/>
              </w:tcPr>
              <w:p w14:paraId="78732564">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tag w:val="_PLD_34b0b4bcbee6472f945ee1ca26e45970"/>
            <w:id w:val="-1532180612"/>
          </w:sdtPr>
          <w:sdtContent>
            <w:tc>
              <w:tcPr>
                <w:tcW w:w="1560" w:type="dxa"/>
                <w:vAlign w:val="center"/>
              </w:tcPr>
              <w:p w14:paraId="4B4766CC">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tag w:val="_PLD_aa89fd65169d424f824fd7e383c25916"/>
            <w:id w:val="1001545995"/>
          </w:sdtPr>
          <w:sdtContent>
            <w:tc>
              <w:tcPr>
                <w:tcW w:w="1985" w:type="dxa"/>
                <w:vAlign w:val="center"/>
              </w:tcPr>
              <w:p w14:paraId="2042AC35">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tag w:val="_PLD_12639a93161546c79f54a930c0ece668"/>
            <w:id w:val="756637634"/>
          </w:sdtPr>
          <w:sdtContent>
            <w:tc>
              <w:tcPr>
                <w:tcW w:w="1985" w:type="dxa"/>
                <w:vAlign w:val="center"/>
              </w:tcPr>
              <w:p w14:paraId="173A7D66">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tag w:val="_PLD_5a93d463a9c749a7a3988972a030308e"/>
            <w:id w:val="-178669728"/>
          </w:sdtPr>
          <w:sdtContent>
            <w:tc>
              <w:tcPr>
                <w:tcW w:w="1706" w:type="dxa"/>
                <w:vMerge w:val="restart"/>
                <w:vAlign w:val="center"/>
              </w:tcPr>
              <w:p w14:paraId="613B07F3">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14:paraId="5925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Merge w:val="continue"/>
            <w:vAlign w:val="center"/>
          </w:tcPr>
          <w:p w14:paraId="6394E36B">
            <w:pPr>
              <w:jc w:val="center"/>
              <w:rPr>
                <w:rFonts w:ascii="Calibri" w:hAnsi="Calibri"/>
                <w:color w:val="008000"/>
                <w:sz w:val="20"/>
                <w:szCs w:val="20"/>
              </w:rPr>
            </w:pPr>
          </w:p>
        </w:tc>
        <w:sdt>
          <w:sdtPr>
            <w:tag w:val="_PLD_6c31319b241149a587899b0690e3641d"/>
            <w:id w:val="1313836190"/>
          </w:sdtPr>
          <w:sdtContent>
            <w:tc>
              <w:tcPr>
                <w:tcW w:w="1560" w:type="dxa"/>
                <w:vAlign w:val="center"/>
              </w:tcPr>
              <w:p w14:paraId="7E3B9F8B">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tag w:val="_PLD_4c23d250a4214769af939ed6c6506e15"/>
            <w:id w:val="-724141248"/>
          </w:sdtPr>
          <w:sdtContent>
            <w:tc>
              <w:tcPr>
                <w:tcW w:w="1985" w:type="dxa"/>
                <w:vAlign w:val="center"/>
              </w:tcPr>
              <w:p w14:paraId="18340218">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tag w:val="_PLD_96f4d1ff5d1541a5bcedcc9d7d297735"/>
            <w:id w:val="-1754111225"/>
          </w:sdtPr>
          <w:sdtContent>
            <w:tc>
              <w:tcPr>
                <w:tcW w:w="1985" w:type="dxa"/>
                <w:vAlign w:val="center"/>
              </w:tcPr>
              <w:p w14:paraId="0060E4F7">
                <w:pPr>
                  <w:pStyle w:val="42"/>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1706" w:type="dxa"/>
            <w:vMerge w:val="continue"/>
            <w:vAlign w:val="center"/>
          </w:tcPr>
          <w:p w14:paraId="68829396">
            <w:pPr>
              <w:jc w:val="center"/>
              <w:rPr>
                <w:rFonts w:ascii="Calibri" w:hAnsi="Calibri"/>
                <w:color w:val="008000"/>
                <w:sz w:val="20"/>
                <w:szCs w:val="20"/>
              </w:rPr>
            </w:pPr>
          </w:p>
        </w:tc>
      </w:tr>
      <w:tr w14:paraId="32D0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52BAF2D0">
            <w:pPr>
              <w:pStyle w:val="42"/>
              <w:spacing w:after="0" w:line="240" w:lineRule="auto"/>
              <w:jc w:val="both"/>
              <w:rPr>
                <w:rFonts w:ascii="宋体" w:hAnsi="宋体" w:eastAsia="宋体" w:cs="宋体"/>
                <w:sz w:val="21"/>
                <w:szCs w:val="21"/>
                <w:lang w:eastAsia="zh-CN"/>
              </w:rPr>
            </w:pPr>
            <w:r>
              <w:rPr>
                <w:rFonts w:ascii="宋体" w:hAnsi="宋体" w:eastAsia="宋体" w:cs="宋体"/>
                <w:sz w:val="21"/>
                <w:szCs w:val="21"/>
                <w:lang w:eastAsia="zh-CN"/>
              </w:rPr>
              <w:t>2025年</w:t>
            </w:r>
            <w:r>
              <w:rPr>
                <w:rFonts w:hint="eastAsia" w:ascii="宋体" w:hAnsi="宋体" w:eastAsia="宋体" w:cs="宋体"/>
                <w:sz w:val="21"/>
                <w:szCs w:val="21"/>
                <w:lang w:eastAsia="zh-CN"/>
              </w:rPr>
              <w:t>1月1日余额</w:t>
            </w:r>
          </w:p>
        </w:tc>
        <w:tc>
          <w:tcPr>
            <w:tcW w:w="1560" w:type="dxa"/>
            <w:vAlign w:val="center"/>
          </w:tcPr>
          <w:p w14:paraId="3EF46F12">
            <w:pPr>
              <w:jc w:val="right"/>
              <w:rPr>
                <w:rFonts w:ascii="Calibri" w:hAnsi="Calibri"/>
                <w:sz w:val="20"/>
                <w:szCs w:val="20"/>
              </w:rPr>
            </w:pPr>
            <w:r>
              <w:rPr>
                <w:rFonts w:ascii="Calibri" w:hAnsi="Calibri"/>
                <w:sz w:val="20"/>
                <w:szCs w:val="20"/>
              </w:rPr>
              <w:t>63,593.50</w:t>
            </w:r>
          </w:p>
        </w:tc>
        <w:tc>
          <w:tcPr>
            <w:tcW w:w="1985" w:type="dxa"/>
            <w:vAlign w:val="center"/>
          </w:tcPr>
          <w:p w14:paraId="3F6B1E11">
            <w:pPr>
              <w:jc w:val="right"/>
              <w:rPr>
                <w:rFonts w:ascii="Calibri" w:hAnsi="Calibri"/>
                <w:sz w:val="20"/>
                <w:szCs w:val="20"/>
              </w:rPr>
            </w:pPr>
            <w:r>
              <w:rPr>
                <w:rFonts w:ascii="Calibri" w:hAnsi="Calibri"/>
                <w:sz w:val="20"/>
                <w:szCs w:val="20"/>
              </w:rPr>
              <w:t>567,217.81</w:t>
            </w:r>
          </w:p>
        </w:tc>
        <w:tc>
          <w:tcPr>
            <w:tcW w:w="1985" w:type="dxa"/>
            <w:vAlign w:val="center"/>
          </w:tcPr>
          <w:p w14:paraId="00E2B62F">
            <w:pPr>
              <w:jc w:val="right"/>
              <w:rPr>
                <w:rFonts w:ascii="Calibri" w:hAnsi="Calibri"/>
                <w:sz w:val="20"/>
                <w:szCs w:val="20"/>
              </w:rPr>
            </w:pPr>
            <w:r>
              <w:rPr>
                <w:rFonts w:ascii="Calibri" w:hAnsi="Calibri"/>
                <w:sz w:val="20"/>
                <w:szCs w:val="20"/>
              </w:rPr>
              <w:t>452,313.10</w:t>
            </w:r>
          </w:p>
        </w:tc>
        <w:tc>
          <w:tcPr>
            <w:tcW w:w="1706" w:type="dxa"/>
            <w:vAlign w:val="center"/>
          </w:tcPr>
          <w:p w14:paraId="71DA0FA3">
            <w:pPr>
              <w:jc w:val="right"/>
              <w:rPr>
                <w:rFonts w:ascii="Calibri" w:hAnsi="Calibri"/>
                <w:sz w:val="20"/>
                <w:szCs w:val="20"/>
              </w:rPr>
            </w:pPr>
            <w:r>
              <w:rPr>
                <w:rFonts w:ascii="Calibri" w:hAnsi="Calibri"/>
                <w:sz w:val="20"/>
                <w:szCs w:val="20"/>
              </w:rPr>
              <w:t>1,083,124.41</w:t>
            </w:r>
          </w:p>
        </w:tc>
      </w:tr>
      <w:tr w14:paraId="6E73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324DD2EE">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2025年1月1日余额在本期</w:t>
            </w:r>
          </w:p>
        </w:tc>
        <w:tc>
          <w:tcPr>
            <w:tcW w:w="1560" w:type="dxa"/>
            <w:vAlign w:val="center"/>
          </w:tcPr>
          <w:p w14:paraId="75D44D96">
            <w:pPr>
              <w:jc w:val="right"/>
              <w:rPr>
                <w:rFonts w:ascii="Calibri" w:hAnsi="Calibri"/>
                <w:sz w:val="20"/>
                <w:szCs w:val="20"/>
              </w:rPr>
            </w:pPr>
          </w:p>
        </w:tc>
        <w:tc>
          <w:tcPr>
            <w:tcW w:w="1985" w:type="dxa"/>
            <w:vAlign w:val="center"/>
          </w:tcPr>
          <w:p w14:paraId="454F1349">
            <w:pPr>
              <w:jc w:val="right"/>
              <w:rPr>
                <w:rFonts w:ascii="Calibri" w:hAnsi="Calibri"/>
                <w:sz w:val="20"/>
                <w:szCs w:val="20"/>
              </w:rPr>
            </w:pPr>
          </w:p>
        </w:tc>
        <w:tc>
          <w:tcPr>
            <w:tcW w:w="1985" w:type="dxa"/>
            <w:vAlign w:val="center"/>
          </w:tcPr>
          <w:p w14:paraId="4C934DDC">
            <w:pPr>
              <w:jc w:val="right"/>
              <w:rPr>
                <w:rFonts w:ascii="Calibri" w:hAnsi="Calibri"/>
                <w:sz w:val="20"/>
                <w:szCs w:val="20"/>
              </w:rPr>
            </w:pPr>
          </w:p>
        </w:tc>
        <w:tc>
          <w:tcPr>
            <w:tcW w:w="1706" w:type="dxa"/>
            <w:vAlign w:val="center"/>
          </w:tcPr>
          <w:p w14:paraId="545E0730">
            <w:pPr>
              <w:jc w:val="right"/>
              <w:rPr>
                <w:rFonts w:ascii="Calibri" w:hAnsi="Calibri"/>
                <w:sz w:val="20"/>
                <w:szCs w:val="20"/>
              </w:rPr>
            </w:pPr>
          </w:p>
        </w:tc>
      </w:tr>
      <w:tr w14:paraId="5ABD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5BE673DF">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--转入第二阶段</w:t>
            </w:r>
          </w:p>
        </w:tc>
        <w:tc>
          <w:tcPr>
            <w:tcW w:w="1560" w:type="dxa"/>
            <w:vAlign w:val="center"/>
          </w:tcPr>
          <w:p w14:paraId="0F815243">
            <w:pPr>
              <w:jc w:val="right"/>
              <w:rPr>
                <w:rFonts w:ascii="Calibri" w:hAnsi="Calibri"/>
                <w:sz w:val="20"/>
                <w:szCs w:val="20"/>
              </w:rPr>
            </w:pPr>
            <w:r>
              <w:rPr>
                <w:rFonts w:ascii="Calibri" w:hAnsi="Calibri"/>
                <w:sz w:val="20"/>
                <w:szCs w:val="20"/>
              </w:rPr>
              <w:t>-2,189.92</w:t>
            </w:r>
          </w:p>
        </w:tc>
        <w:tc>
          <w:tcPr>
            <w:tcW w:w="1985" w:type="dxa"/>
            <w:vAlign w:val="center"/>
          </w:tcPr>
          <w:p w14:paraId="7A7A80B3">
            <w:pPr>
              <w:jc w:val="right"/>
              <w:rPr>
                <w:rFonts w:ascii="Calibri" w:hAnsi="Calibri"/>
                <w:sz w:val="20"/>
                <w:szCs w:val="20"/>
              </w:rPr>
            </w:pPr>
            <w:r>
              <w:rPr>
                <w:rFonts w:ascii="Calibri" w:hAnsi="Calibri"/>
                <w:sz w:val="20"/>
                <w:szCs w:val="20"/>
              </w:rPr>
              <w:t>2,189.92</w:t>
            </w:r>
          </w:p>
        </w:tc>
        <w:tc>
          <w:tcPr>
            <w:tcW w:w="1985" w:type="dxa"/>
            <w:vAlign w:val="center"/>
          </w:tcPr>
          <w:p w14:paraId="44BD2DFB">
            <w:pPr>
              <w:jc w:val="right"/>
              <w:rPr>
                <w:rFonts w:ascii="Calibri" w:hAnsi="Calibri"/>
                <w:sz w:val="20"/>
                <w:szCs w:val="20"/>
              </w:rPr>
            </w:pPr>
          </w:p>
        </w:tc>
        <w:tc>
          <w:tcPr>
            <w:tcW w:w="1706" w:type="dxa"/>
            <w:vAlign w:val="center"/>
          </w:tcPr>
          <w:p w14:paraId="591F893E">
            <w:pPr>
              <w:jc w:val="right"/>
              <w:rPr>
                <w:rFonts w:ascii="Calibri" w:hAnsi="Calibri"/>
                <w:sz w:val="20"/>
                <w:szCs w:val="20"/>
              </w:rPr>
            </w:pPr>
          </w:p>
        </w:tc>
      </w:tr>
      <w:tr w14:paraId="0C05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2790AF1D">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--转入第三阶段</w:t>
            </w:r>
          </w:p>
        </w:tc>
        <w:tc>
          <w:tcPr>
            <w:tcW w:w="1560" w:type="dxa"/>
            <w:vAlign w:val="center"/>
          </w:tcPr>
          <w:p w14:paraId="161C8FD2">
            <w:pPr>
              <w:jc w:val="right"/>
              <w:rPr>
                <w:rFonts w:ascii="Calibri" w:hAnsi="Calibri"/>
                <w:sz w:val="20"/>
                <w:szCs w:val="20"/>
              </w:rPr>
            </w:pPr>
          </w:p>
        </w:tc>
        <w:tc>
          <w:tcPr>
            <w:tcW w:w="1985" w:type="dxa"/>
            <w:vAlign w:val="center"/>
          </w:tcPr>
          <w:p w14:paraId="14140F4A">
            <w:pPr>
              <w:jc w:val="right"/>
              <w:rPr>
                <w:rFonts w:ascii="Calibri" w:hAnsi="Calibri"/>
                <w:sz w:val="20"/>
                <w:szCs w:val="20"/>
              </w:rPr>
            </w:pPr>
          </w:p>
        </w:tc>
        <w:tc>
          <w:tcPr>
            <w:tcW w:w="1985" w:type="dxa"/>
            <w:vAlign w:val="center"/>
          </w:tcPr>
          <w:p w14:paraId="7B6F9C14">
            <w:pPr>
              <w:jc w:val="right"/>
              <w:rPr>
                <w:rFonts w:ascii="Calibri" w:hAnsi="Calibri"/>
                <w:sz w:val="20"/>
                <w:szCs w:val="20"/>
              </w:rPr>
            </w:pPr>
          </w:p>
        </w:tc>
        <w:tc>
          <w:tcPr>
            <w:tcW w:w="1706" w:type="dxa"/>
            <w:vAlign w:val="center"/>
          </w:tcPr>
          <w:p w14:paraId="00AFDBD3">
            <w:pPr>
              <w:jc w:val="right"/>
              <w:rPr>
                <w:rFonts w:ascii="Calibri" w:hAnsi="Calibri"/>
                <w:sz w:val="20"/>
                <w:szCs w:val="20"/>
              </w:rPr>
            </w:pPr>
          </w:p>
        </w:tc>
      </w:tr>
      <w:tr w14:paraId="605F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030BC1FB">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--转回第二阶段</w:t>
            </w:r>
          </w:p>
        </w:tc>
        <w:tc>
          <w:tcPr>
            <w:tcW w:w="1560" w:type="dxa"/>
            <w:vAlign w:val="center"/>
          </w:tcPr>
          <w:p w14:paraId="0681298C">
            <w:pPr>
              <w:jc w:val="right"/>
              <w:rPr>
                <w:rFonts w:ascii="Calibri" w:hAnsi="Calibri"/>
                <w:sz w:val="20"/>
                <w:szCs w:val="20"/>
              </w:rPr>
            </w:pPr>
          </w:p>
        </w:tc>
        <w:tc>
          <w:tcPr>
            <w:tcW w:w="1985" w:type="dxa"/>
            <w:vAlign w:val="center"/>
          </w:tcPr>
          <w:p w14:paraId="38799181">
            <w:pPr>
              <w:jc w:val="right"/>
              <w:rPr>
                <w:rFonts w:ascii="Calibri" w:hAnsi="Calibri"/>
                <w:sz w:val="20"/>
                <w:szCs w:val="20"/>
              </w:rPr>
            </w:pPr>
          </w:p>
        </w:tc>
        <w:tc>
          <w:tcPr>
            <w:tcW w:w="1985" w:type="dxa"/>
            <w:vAlign w:val="center"/>
          </w:tcPr>
          <w:p w14:paraId="39F5B922">
            <w:pPr>
              <w:jc w:val="right"/>
              <w:rPr>
                <w:rFonts w:ascii="Calibri" w:hAnsi="Calibri"/>
                <w:sz w:val="20"/>
                <w:szCs w:val="20"/>
              </w:rPr>
            </w:pPr>
          </w:p>
        </w:tc>
        <w:tc>
          <w:tcPr>
            <w:tcW w:w="1706" w:type="dxa"/>
            <w:vAlign w:val="center"/>
          </w:tcPr>
          <w:p w14:paraId="56449F08">
            <w:pPr>
              <w:jc w:val="right"/>
              <w:rPr>
                <w:rFonts w:ascii="Calibri" w:hAnsi="Calibri"/>
                <w:sz w:val="20"/>
                <w:szCs w:val="20"/>
              </w:rPr>
            </w:pPr>
          </w:p>
        </w:tc>
      </w:tr>
      <w:tr w14:paraId="0CD3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5268E5D0">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--转回第一阶段</w:t>
            </w:r>
          </w:p>
        </w:tc>
        <w:tc>
          <w:tcPr>
            <w:tcW w:w="1560" w:type="dxa"/>
            <w:vAlign w:val="center"/>
          </w:tcPr>
          <w:p w14:paraId="3E0EAB28">
            <w:pPr>
              <w:jc w:val="right"/>
              <w:rPr>
                <w:rFonts w:ascii="Calibri" w:hAnsi="Calibri"/>
                <w:sz w:val="20"/>
                <w:szCs w:val="20"/>
              </w:rPr>
            </w:pPr>
          </w:p>
        </w:tc>
        <w:tc>
          <w:tcPr>
            <w:tcW w:w="1985" w:type="dxa"/>
            <w:vAlign w:val="center"/>
          </w:tcPr>
          <w:p w14:paraId="22E26AB5">
            <w:pPr>
              <w:jc w:val="right"/>
              <w:rPr>
                <w:rFonts w:ascii="Calibri" w:hAnsi="Calibri"/>
                <w:sz w:val="20"/>
                <w:szCs w:val="20"/>
              </w:rPr>
            </w:pPr>
          </w:p>
        </w:tc>
        <w:tc>
          <w:tcPr>
            <w:tcW w:w="1985" w:type="dxa"/>
            <w:vAlign w:val="center"/>
          </w:tcPr>
          <w:p w14:paraId="4AD47E8C">
            <w:pPr>
              <w:jc w:val="right"/>
              <w:rPr>
                <w:rFonts w:ascii="Calibri" w:hAnsi="Calibri"/>
                <w:sz w:val="20"/>
                <w:szCs w:val="20"/>
              </w:rPr>
            </w:pPr>
          </w:p>
        </w:tc>
        <w:tc>
          <w:tcPr>
            <w:tcW w:w="1706" w:type="dxa"/>
            <w:vAlign w:val="center"/>
          </w:tcPr>
          <w:p w14:paraId="3A36B746">
            <w:pPr>
              <w:jc w:val="right"/>
              <w:rPr>
                <w:rFonts w:ascii="Calibri" w:hAnsi="Calibri"/>
                <w:sz w:val="20"/>
                <w:szCs w:val="20"/>
              </w:rPr>
            </w:pPr>
          </w:p>
        </w:tc>
      </w:tr>
      <w:tr w14:paraId="2C13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2AF9A51C">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本期计提</w:t>
            </w:r>
          </w:p>
        </w:tc>
        <w:tc>
          <w:tcPr>
            <w:tcW w:w="1560" w:type="dxa"/>
            <w:vAlign w:val="center"/>
          </w:tcPr>
          <w:p w14:paraId="0886951C">
            <w:pPr>
              <w:jc w:val="right"/>
              <w:rPr>
                <w:rFonts w:ascii="Calibri" w:hAnsi="Calibri"/>
                <w:sz w:val="20"/>
                <w:szCs w:val="20"/>
              </w:rPr>
            </w:pPr>
            <w:r>
              <w:rPr>
                <w:rFonts w:ascii="Calibri" w:hAnsi="Calibri"/>
                <w:sz w:val="20"/>
                <w:szCs w:val="20"/>
              </w:rPr>
              <w:t>59,975.66</w:t>
            </w:r>
          </w:p>
        </w:tc>
        <w:tc>
          <w:tcPr>
            <w:tcW w:w="1985" w:type="dxa"/>
            <w:vAlign w:val="center"/>
          </w:tcPr>
          <w:p w14:paraId="64FCC5B4">
            <w:pPr>
              <w:jc w:val="right"/>
              <w:rPr>
                <w:rFonts w:ascii="Calibri" w:hAnsi="Calibri"/>
                <w:sz w:val="20"/>
                <w:szCs w:val="20"/>
              </w:rPr>
            </w:pPr>
            <w:r>
              <w:rPr>
                <w:rFonts w:ascii="Calibri" w:hAnsi="Calibri"/>
                <w:sz w:val="20"/>
                <w:szCs w:val="20"/>
              </w:rPr>
              <w:t>109,889.67</w:t>
            </w:r>
          </w:p>
        </w:tc>
        <w:tc>
          <w:tcPr>
            <w:tcW w:w="1985" w:type="dxa"/>
            <w:vAlign w:val="center"/>
          </w:tcPr>
          <w:p w14:paraId="6B4DD898">
            <w:pPr>
              <w:jc w:val="right"/>
              <w:rPr>
                <w:rFonts w:ascii="Calibri" w:hAnsi="Calibri"/>
                <w:sz w:val="20"/>
                <w:szCs w:val="20"/>
              </w:rPr>
            </w:pPr>
            <w:r>
              <w:rPr>
                <w:rFonts w:ascii="Calibri" w:hAnsi="Calibri"/>
                <w:sz w:val="20"/>
                <w:szCs w:val="20"/>
              </w:rPr>
              <w:t>200,000.00</w:t>
            </w:r>
          </w:p>
        </w:tc>
        <w:tc>
          <w:tcPr>
            <w:tcW w:w="1706" w:type="dxa"/>
            <w:vAlign w:val="center"/>
          </w:tcPr>
          <w:p w14:paraId="71730F56">
            <w:pPr>
              <w:jc w:val="right"/>
              <w:rPr>
                <w:rFonts w:ascii="Calibri" w:hAnsi="Calibri"/>
                <w:sz w:val="20"/>
                <w:szCs w:val="20"/>
              </w:rPr>
            </w:pPr>
            <w:r>
              <w:rPr>
                <w:rFonts w:ascii="Calibri" w:hAnsi="Calibri"/>
                <w:sz w:val="20"/>
                <w:szCs w:val="20"/>
              </w:rPr>
              <w:t>369,865.33</w:t>
            </w:r>
          </w:p>
        </w:tc>
      </w:tr>
      <w:tr w14:paraId="7EAC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4E09B6C3">
            <w:pPr>
              <w:pStyle w:val="42"/>
              <w:spacing w:after="0" w:line="24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本期转回</w:t>
            </w:r>
          </w:p>
        </w:tc>
        <w:tc>
          <w:tcPr>
            <w:tcW w:w="1560" w:type="dxa"/>
            <w:vAlign w:val="center"/>
          </w:tcPr>
          <w:p w14:paraId="4682D505">
            <w:pPr>
              <w:jc w:val="right"/>
              <w:rPr>
                <w:rFonts w:ascii="Calibri" w:hAnsi="Calibri"/>
                <w:sz w:val="20"/>
                <w:szCs w:val="20"/>
              </w:rPr>
            </w:pPr>
          </w:p>
        </w:tc>
        <w:tc>
          <w:tcPr>
            <w:tcW w:w="1985" w:type="dxa"/>
            <w:vAlign w:val="center"/>
          </w:tcPr>
          <w:p w14:paraId="7E8B3828">
            <w:pPr>
              <w:jc w:val="right"/>
              <w:rPr>
                <w:rFonts w:ascii="Calibri" w:hAnsi="Calibri"/>
                <w:sz w:val="20"/>
                <w:szCs w:val="20"/>
              </w:rPr>
            </w:pPr>
          </w:p>
        </w:tc>
        <w:tc>
          <w:tcPr>
            <w:tcW w:w="1985" w:type="dxa"/>
            <w:vAlign w:val="center"/>
          </w:tcPr>
          <w:p w14:paraId="2382DC2C">
            <w:pPr>
              <w:jc w:val="right"/>
              <w:rPr>
                <w:rFonts w:ascii="Calibri" w:hAnsi="Calibri"/>
                <w:sz w:val="20"/>
                <w:szCs w:val="20"/>
              </w:rPr>
            </w:pPr>
          </w:p>
        </w:tc>
        <w:tc>
          <w:tcPr>
            <w:tcW w:w="1706" w:type="dxa"/>
            <w:vAlign w:val="center"/>
          </w:tcPr>
          <w:p w14:paraId="4CF67A55">
            <w:pPr>
              <w:jc w:val="right"/>
              <w:rPr>
                <w:rFonts w:ascii="Calibri" w:hAnsi="Calibri"/>
                <w:sz w:val="20"/>
                <w:szCs w:val="20"/>
              </w:rPr>
            </w:pPr>
          </w:p>
        </w:tc>
      </w:tr>
      <w:tr w14:paraId="53E2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102BF68A">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本期转销</w:t>
            </w:r>
          </w:p>
        </w:tc>
        <w:tc>
          <w:tcPr>
            <w:tcW w:w="1560" w:type="dxa"/>
            <w:vAlign w:val="center"/>
          </w:tcPr>
          <w:p w14:paraId="2E380DE1">
            <w:pPr>
              <w:jc w:val="right"/>
              <w:rPr>
                <w:rFonts w:ascii="Calibri" w:hAnsi="Calibri"/>
                <w:sz w:val="20"/>
                <w:szCs w:val="20"/>
              </w:rPr>
            </w:pPr>
          </w:p>
        </w:tc>
        <w:tc>
          <w:tcPr>
            <w:tcW w:w="1985" w:type="dxa"/>
            <w:vAlign w:val="center"/>
          </w:tcPr>
          <w:p w14:paraId="4E5332B6">
            <w:pPr>
              <w:jc w:val="right"/>
              <w:rPr>
                <w:rFonts w:ascii="Calibri" w:hAnsi="Calibri"/>
                <w:sz w:val="20"/>
                <w:szCs w:val="20"/>
              </w:rPr>
            </w:pPr>
          </w:p>
        </w:tc>
        <w:tc>
          <w:tcPr>
            <w:tcW w:w="1985" w:type="dxa"/>
            <w:vAlign w:val="center"/>
          </w:tcPr>
          <w:p w14:paraId="568EE448">
            <w:pPr>
              <w:jc w:val="right"/>
              <w:rPr>
                <w:rFonts w:ascii="Calibri" w:hAnsi="Calibri"/>
                <w:sz w:val="20"/>
                <w:szCs w:val="20"/>
              </w:rPr>
            </w:pPr>
          </w:p>
        </w:tc>
        <w:tc>
          <w:tcPr>
            <w:tcW w:w="1706" w:type="dxa"/>
            <w:vAlign w:val="center"/>
          </w:tcPr>
          <w:p w14:paraId="3095BE73">
            <w:pPr>
              <w:jc w:val="right"/>
              <w:rPr>
                <w:rFonts w:ascii="Calibri" w:hAnsi="Calibri"/>
                <w:sz w:val="20"/>
                <w:szCs w:val="20"/>
              </w:rPr>
            </w:pPr>
          </w:p>
        </w:tc>
      </w:tr>
      <w:tr w14:paraId="656D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3967F7A2">
            <w:pPr>
              <w:pStyle w:val="42"/>
              <w:spacing w:after="0" w:line="24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本期核销</w:t>
            </w:r>
          </w:p>
        </w:tc>
        <w:tc>
          <w:tcPr>
            <w:tcW w:w="1560" w:type="dxa"/>
            <w:vAlign w:val="center"/>
          </w:tcPr>
          <w:p w14:paraId="5E4B1B4D">
            <w:pPr>
              <w:jc w:val="right"/>
              <w:rPr>
                <w:rFonts w:ascii="Calibri" w:hAnsi="Calibri"/>
                <w:sz w:val="20"/>
                <w:szCs w:val="20"/>
              </w:rPr>
            </w:pPr>
          </w:p>
        </w:tc>
        <w:tc>
          <w:tcPr>
            <w:tcW w:w="1985" w:type="dxa"/>
            <w:vAlign w:val="center"/>
          </w:tcPr>
          <w:p w14:paraId="7B4046BB">
            <w:pPr>
              <w:jc w:val="right"/>
              <w:rPr>
                <w:rFonts w:ascii="Calibri" w:hAnsi="Calibri"/>
                <w:sz w:val="20"/>
                <w:szCs w:val="20"/>
              </w:rPr>
            </w:pPr>
          </w:p>
        </w:tc>
        <w:tc>
          <w:tcPr>
            <w:tcW w:w="1985" w:type="dxa"/>
            <w:vAlign w:val="center"/>
          </w:tcPr>
          <w:p w14:paraId="1577E7A9">
            <w:pPr>
              <w:jc w:val="right"/>
              <w:rPr>
                <w:rFonts w:ascii="Calibri" w:hAnsi="Calibri"/>
                <w:sz w:val="20"/>
                <w:szCs w:val="20"/>
              </w:rPr>
            </w:pPr>
            <w:r>
              <w:rPr>
                <w:rFonts w:ascii="Calibri" w:hAnsi="Calibri"/>
                <w:sz w:val="20"/>
                <w:szCs w:val="20"/>
              </w:rPr>
              <w:t>652,313.10</w:t>
            </w:r>
          </w:p>
        </w:tc>
        <w:tc>
          <w:tcPr>
            <w:tcW w:w="1706" w:type="dxa"/>
            <w:vAlign w:val="center"/>
          </w:tcPr>
          <w:p w14:paraId="016E595B">
            <w:pPr>
              <w:jc w:val="right"/>
              <w:rPr>
                <w:rFonts w:ascii="Calibri" w:hAnsi="Calibri"/>
                <w:sz w:val="20"/>
                <w:szCs w:val="20"/>
              </w:rPr>
            </w:pPr>
            <w:r>
              <w:rPr>
                <w:rFonts w:ascii="Calibri" w:hAnsi="Calibri"/>
                <w:sz w:val="20"/>
                <w:szCs w:val="20"/>
              </w:rPr>
              <w:t>652,313.10</w:t>
            </w:r>
          </w:p>
        </w:tc>
      </w:tr>
      <w:tr w14:paraId="0D46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57B9FAD5">
            <w:pPr>
              <w:pStyle w:val="42"/>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其他变动</w:t>
            </w:r>
          </w:p>
        </w:tc>
        <w:tc>
          <w:tcPr>
            <w:tcW w:w="1560" w:type="dxa"/>
            <w:vAlign w:val="center"/>
          </w:tcPr>
          <w:p w14:paraId="3F55FB40">
            <w:pPr>
              <w:jc w:val="right"/>
              <w:rPr>
                <w:rFonts w:ascii="Calibri" w:hAnsi="Calibri"/>
                <w:sz w:val="20"/>
                <w:szCs w:val="20"/>
              </w:rPr>
            </w:pPr>
          </w:p>
        </w:tc>
        <w:tc>
          <w:tcPr>
            <w:tcW w:w="1985" w:type="dxa"/>
            <w:vAlign w:val="center"/>
          </w:tcPr>
          <w:p w14:paraId="4BDECE37">
            <w:pPr>
              <w:jc w:val="right"/>
              <w:rPr>
                <w:rFonts w:ascii="Calibri" w:hAnsi="Calibri"/>
                <w:sz w:val="20"/>
                <w:szCs w:val="20"/>
              </w:rPr>
            </w:pPr>
          </w:p>
        </w:tc>
        <w:tc>
          <w:tcPr>
            <w:tcW w:w="1985" w:type="dxa"/>
            <w:vAlign w:val="center"/>
          </w:tcPr>
          <w:p w14:paraId="39FB7710">
            <w:pPr>
              <w:jc w:val="right"/>
              <w:rPr>
                <w:rFonts w:ascii="Calibri" w:hAnsi="Calibri"/>
                <w:sz w:val="20"/>
                <w:szCs w:val="20"/>
              </w:rPr>
            </w:pPr>
          </w:p>
        </w:tc>
        <w:tc>
          <w:tcPr>
            <w:tcW w:w="1706" w:type="dxa"/>
            <w:vAlign w:val="center"/>
          </w:tcPr>
          <w:p w14:paraId="5E9C6E30">
            <w:pPr>
              <w:jc w:val="right"/>
              <w:rPr>
                <w:rFonts w:ascii="Calibri" w:hAnsi="Calibri"/>
                <w:sz w:val="20"/>
                <w:szCs w:val="20"/>
              </w:rPr>
            </w:pPr>
          </w:p>
        </w:tc>
      </w:tr>
      <w:tr w14:paraId="2134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2F82E6CE">
            <w:pPr>
              <w:pStyle w:val="42"/>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2025年12月31日</w:t>
            </w:r>
            <w:r>
              <w:rPr>
                <w:rFonts w:hint="eastAsia" w:ascii="宋体" w:hAnsi="宋体" w:eastAsia="宋体" w:cs="宋体"/>
                <w:sz w:val="21"/>
                <w:szCs w:val="21"/>
                <w:lang w:eastAsia="zh-CN"/>
              </w:rPr>
              <w:t>余额</w:t>
            </w:r>
          </w:p>
        </w:tc>
        <w:tc>
          <w:tcPr>
            <w:tcW w:w="1560" w:type="dxa"/>
            <w:vAlign w:val="center"/>
          </w:tcPr>
          <w:p w14:paraId="60C85D1A">
            <w:pPr>
              <w:jc w:val="right"/>
              <w:rPr>
                <w:rFonts w:ascii="Calibri" w:hAnsi="Calibri"/>
                <w:sz w:val="20"/>
                <w:szCs w:val="20"/>
              </w:rPr>
            </w:pPr>
            <w:r>
              <w:rPr>
                <w:rFonts w:ascii="Calibri" w:hAnsi="Calibri"/>
                <w:sz w:val="20"/>
                <w:szCs w:val="20"/>
              </w:rPr>
              <w:t>121,379.24</w:t>
            </w:r>
          </w:p>
        </w:tc>
        <w:tc>
          <w:tcPr>
            <w:tcW w:w="1985" w:type="dxa"/>
            <w:vAlign w:val="center"/>
          </w:tcPr>
          <w:p w14:paraId="0376F937">
            <w:pPr>
              <w:jc w:val="right"/>
              <w:rPr>
                <w:rFonts w:ascii="Calibri" w:hAnsi="Calibri"/>
                <w:sz w:val="20"/>
                <w:szCs w:val="20"/>
              </w:rPr>
            </w:pPr>
            <w:r>
              <w:rPr>
                <w:rFonts w:ascii="Calibri" w:hAnsi="Calibri"/>
                <w:sz w:val="20"/>
                <w:szCs w:val="20"/>
              </w:rPr>
              <w:t>679,297.40</w:t>
            </w:r>
          </w:p>
        </w:tc>
        <w:tc>
          <w:tcPr>
            <w:tcW w:w="1985" w:type="dxa"/>
            <w:vAlign w:val="center"/>
          </w:tcPr>
          <w:p w14:paraId="4565F4FA">
            <w:pPr>
              <w:jc w:val="right"/>
              <w:rPr>
                <w:rFonts w:ascii="Calibri" w:hAnsi="Calibri"/>
                <w:sz w:val="20"/>
                <w:szCs w:val="20"/>
              </w:rPr>
            </w:pPr>
          </w:p>
        </w:tc>
        <w:tc>
          <w:tcPr>
            <w:tcW w:w="1706" w:type="dxa"/>
            <w:vAlign w:val="center"/>
          </w:tcPr>
          <w:p w14:paraId="1157707A">
            <w:pPr>
              <w:jc w:val="right"/>
              <w:rPr>
                <w:rFonts w:ascii="Calibri" w:hAnsi="Calibri"/>
                <w:sz w:val="20"/>
                <w:szCs w:val="20"/>
              </w:rPr>
            </w:pPr>
            <w:r>
              <w:rPr>
                <w:rFonts w:ascii="Calibri" w:hAnsi="Calibri"/>
                <w:sz w:val="20"/>
                <w:szCs w:val="20"/>
              </w:rPr>
              <w:t>800,676.64</w:t>
            </w:r>
          </w:p>
        </w:tc>
      </w:tr>
    </w:tbl>
    <w:p w14:paraId="310D40F2">
      <w:pPr>
        <w:pStyle w:val="48"/>
      </w:pPr>
    </w:p>
    <w:p w14:paraId="1A1E40B4">
      <w:pPr>
        <w:rPr>
          <w:bCs/>
          <w:szCs w:val="22"/>
        </w:rPr>
      </w:pPr>
    </w:p>
    <w:p w14:paraId="64908322">
      <w:pPr>
        <w:pStyle w:val="38"/>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50507107"/>
        <w:placeholder>
          <w:docPart w:val="GBC22222222222222222222222222222"/>
        </w:placeholder>
      </w:sdtPr>
      <w:sdtContent>
        <w:p w14:paraId="71E2F2A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B2E8F90">
      <w:pPr>
        <w:pStyle w:val="48"/>
      </w:pPr>
    </w:p>
    <w:bookmarkEnd w:id="416"/>
    <w:p w14:paraId="37B7006C">
      <w:pPr>
        <w:pStyle w:val="48"/>
      </w:pPr>
      <w:bookmarkStart w:id="417" w:name="_Hlk534806894"/>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407155690"/>
        <w:placeholder>
          <w:docPart w:val="GBC22222222222222222222222222222"/>
        </w:placeholder>
      </w:sdtPr>
      <w:sdtContent>
        <w:p w14:paraId="3A5400E5">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2A69770">
      <w:pPr>
        <w:pStyle w:val="48"/>
      </w:pPr>
    </w:p>
    <w:bookmarkEnd w:id="417"/>
    <w:p w14:paraId="21BFF9C6">
      <w:pPr>
        <w:pStyle w:val="6"/>
        <w:numPr>
          <w:ilvl w:val="0"/>
          <w:numId w:val="130"/>
        </w:numPr>
        <w:ind w:leftChars="0"/>
      </w:pPr>
      <w:bookmarkStart w:id="418" w:name="_Hlk533797618"/>
      <w:bookmarkStart w:id="419" w:name="_Hlk153797908"/>
      <w:r>
        <w:rPr>
          <w:rFonts w:hint="eastAsia"/>
        </w:rPr>
        <w:t>坏账准备的情况</w:t>
      </w:r>
    </w:p>
    <w:sdt>
      <w:sdtPr>
        <w:alias w:val="是否适用：母公司其他应收款坏账准备情况[双击切换]"/>
        <w:tag w:val="_GBC_fe964b2b8e824335995eaad4df852022"/>
        <w:id w:val="-1829279888"/>
        <w:placeholder>
          <w:docPart w:val="GBC22222222222222222222222222222"/>
        </w:placeholder>
      </w:sdtPr>
      <w:sdtContent>
        <w:p w14:paraId="34DA328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0C8E46E">
      <w:pPr>
        <w:pStyle w:val="30"/>
        <w:snapToGrid w:val="0"/>
        <w:spacing w:line="240" w:lineRule="atLeast"/>
        <w:ind w:left="425" w:firstLine="0" w:firstLineChars="0"/>
        <w:jc w:val="right"/>
        <w:rPr>
          <w:szCs w:val="21"/>
        </w:rPr>
      </w:pPr>
      <w:r>
        <w:rPr>
          <w:rFonts w:hint="eastAsia"/>
          <w:szCs w:val="21"/>
        </w:rPr>
        <w:t>单位：</w:t>
      </w:r>
      <w:sdt>
        <w:sdtPr>
          <w:rPr>
            <w:rFonts w:hint="eastAsia"/>
            <w:szCs w:val="21"/>
          </w:rPr>
          <w:alias w:val="单位：母公司其他应收款坏账准备情况"/>
          <w:tag w:val="_GBC_80ca06374aba4f0bbde29d70a0ac7a15"/>
          <w:id w:val="-18858598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情况"/>
          <w:tag w:val="_GBC_e2ca206ffc72482a9cbe8c86c5688b1f"/>
          <w:id w:val="-20887549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57"/>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440"/>
        <w:gridCol w:w="1390"/>
        <w:gridCol w:w="1142"/>
        <w:gridCol w:w="1215"/>
        <w:gridCol w:w="1295"/>
        <w:gridCol w:w="1289"/>
        <w:gridCol w:w="1286"/>
      </w:tblGrid>
      <w:tr w14:paraId="6BB4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599b4552113b431d9950cc345fc3c771"/>
            <w:id w:val="-1420178411"/>
          </w:sdtPr>
          <w:sdtContent>
            <w:tc>
              <w:tcPr>
                <w:tcW w:w="1440" w:type="dxa"/>
                <w:vMerge w:val="restart"/>
                <w:shd w:val="clear" w:color="auto" w:fill="FFFFFF"/>
                <w:vAlign w:val="center"/>
              </w:tcPr>
              <w:p w14:paraId="3C555211">
                <w:pPr>
                  <w:widowControl w:val="0"/>
                  <w:jc w:val="center"/>
                  <w:rPr>
                    <w:rFonts w:ascii="Calibri" w:hAnsi="Calibri"/>
                    <w:sz w:val="20"/>
                    <w:szCs w:val="20"/>
                  </w:rPr>
                </w:pPr>
                <w:r>
                  <w:rPr>
                    <w:rFonts w:ascii="Calibri" w:hAnsi="Calibri"/>
                    <w:sz w:val="20"/>
                    <w:szCs w:val="20"/>
                  </w:rPr>
                  <w:t>类别</w:t>
                </w:r>
              </w:p>
            </w:tc>
          </w:sdtContent>
        </w:sdt>
        <w:sdt>
          <w:sdtPr>
            <w:tag w:val="_PLD_b04fb91e27324be18dbb1170501ea7c2"/>
            <w:id w:val="-1137634185"/>
          </w:sdtPr>
          <w:sdtContent>
            <w:tc>
              <w:tcPr>
                <w:tcW w:w="1390" w:type="dxa"/>
                <w:vMerge w:val="restart"/>
                <w:shd w:val="clear" w:color="auto" w:fill="FFFFFF"/>
                <w:vAlign w:val="center"/>
              </w:tcPr>
              <w:p w14:paraId="47058A35">
                <w:pPr>
                  <w:widowControl w:val="0"/>
                  <w:jc w:val="center"/>
                  <w:rPr>
                    <w:rFonts w:ascii="Calibri" w:hAnsi="Calibri"/>
                    <w:sz w:val="20"/>
                    <w:szCs w:val="20"/>
                  </w:rPr>
                </w:pPr>
                <w:r>
                  <w:rPr>
                    <w:rFonts w:ascii="Calibri" w:hAnsi="Calibri"/>
                    <w:sz w:val="20"/>
                    <w:szCs w:val="20"/>
                  </w:rPr>
                  <w:t>期初余额</w:t>
                </w:r>
              </w:p>
            </w:tc>
          </w:sdtContent>
        </w:sdt>
        <w:sdt>
          <w:sdtPr>
            <w:tag w:val="_PLD_3162774660ba4bd791229ed0557bee42"/>
            <w:id w:val="1522128067"/>
          </w:sdtPr>
          <w:sdtContent>
            <w:tc>
              <w:tcPr>
                <w:tcW w:w="4941" w:type="dxa"/>
                <w:gridSpan w:val="4"/>
                <w:shd w:val="clear" w:color="auto" w:fill="FFFFFF"/>
                <w:vAlign w:val="center"/>
              </w:tcPr>
              <w:p w14:paraId="3207FB32">
                <w:pPr>
                  <w:widowControl w:val="0"/>
                  <w:jc w:val="center"/>
                  <w:rPr>
                    <w:rFonts w:ascii="Calibri" w:hAnsi="Calibri"/>
                    <w:sz w:val="20"/>
                    <w:szCs w:val="20"/>
                  </w:rPr>
                </w:pPr>
                <w:r>
                  <w:rPr>
                    <w:rFonts w:hint="eastAsia" w:ascii="Calibri" w:hAnsi="Calibri"/>
                    <w:sz w:val="20"/>
                    <w:szCs w:val="20"/>
                  </w:rPr>
                  <w:t>本期变动</w:t>
                </w:r>
                <w:r>
                  <w:rPr>
                    <w:rFonts w:ascii="Calibri" w:hAnsi="Calibri"/>
                    <w:sz w:val="20"/>
                    <w:szCs w:val="20"/>
                  </w:rPr>
                  <w:t>金额</w:t>
                </w:r>
              </w:p>
            </w:tc>
          </w:sdtContent>
        </w:sdt>
        <w:sdt>
          <w:sdtPr>
            <w:tag w:val="_PLD_d14d39f809c34e24be6fc317d43acf45"/>
            <w:id w:val="-1781948358"/>
          </w:sdtPr>
          <w:sdtContent>
            <w:tc>
              <w:tcPr>
                <w:tcW w:w="1286" w:type="dxa"/>
                <w:vMerge w:val="restart"/>
                <w:shd w:val="clear" w:color="auto" w:fill="FFFFFF"/>
                <w:vAlign w:val="center"/>
              </w:tcPr>
              <w:p w14:paraId="17A60A6B">
                <w:pPr>
                  <w:widowControl w:val="0"/>
                  <w:jc w:val="center"/>
                  <w:rPr>
                    <w:rFonts w:ascii="Calibri" w:hAnsi="Calibri"/>
                    <w:sz w:val="20"/>
                    <w:szCs w:val="20"/>
                  </w:rPr>
                </w:pPr>
                <w:r>
                  <w:rPr>
                    <w:rFonts w:ascii="Calibri" w:hAnsi="Calibri"/>
                    <w:sz w:val="20"/>
                    <w:szCs w:val="20"/>
                  </w:rPr>
                  <w:t>期末余额</w:t>
                </w:r>
              </w:p>
            </w:tc>
          </w:sdtContent>
        </w:sdt>
      </w:tr>
      <w:tr w14:paraId="2A26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440" w:type="dxa"/>
            <w:vMerge w:val="continue"/>
            <w:shd w:val="clear" w:color="auto" w:fill="FFFFFF"/>
            <w:vAlign w:val="center"/>
          </w:tcPr>
          <w:p w14:paraId="3D137224">
            <w:pPr>
              <w:widowControl w:val="0"/>
              <w:jc w:val="center"/>
              <w:rPr>
                <w:rFonts w:ascii="Calibri" w:hAnsi="Calibri"/>
                <w:sz w:val="20"/>
                <w:szCs w:val="20"/>
              </w:rPr>
            </w:pPr>
          </w:p>
        </w:tc>
        <w:tc>
          <w:tcPr>
            <w:tcW w:w="1390" w:type="dxa"/>
            <w:vMerge w:val="continue"/>
            <w:shd w:val="clear" w:color="auto" w:fill="FFFFFF"/>
            <w:vAlign w:val="center"/>
          </w:tcPr>
          <w:p w14:paraId="4AF77866">
            <w:pPr>
              <w:widowControl w:val="0"/>
              <w:jc w:val="center"/>
              <w:rPr>
                <w:rFonts w:ascii="Calibri" w:hAnsi="Calibri"/>
                <w:sz w:val="20"/>
                <w:szCs w:val="20"/>
              </w:rPr>
            </w:pPr>
          </w:p>
        </w:tc>
        <w:sdt>
          <w:sdtPr>
            <w:tag w:val="_PLD_f408f7d036804cc28ba43a0439189aa1"/>
            <w:id w:val="733739717"/>
          </w:sdtPr>
          <w:sdtContent>
            <w:tc>
              <w:tcPr>
                <w:tcW w:w="1142" w:type="dxa"/>
                <w:shd w:val="clear" w:color="auto" w:fill="FFFFFF"/>
                <w:vAlign w:val="center"/>
              </w:tcPr>
              <w:p w14:paraId="7EA8FBC8">
                <w:pPr>
                  <w:widowControl w:val="0"/>
                  <w:jc w:val="center"/>
                  <w:rPr>
                    <w:rFonts w:ascii="Calibri" w:hAnsi="Calibri"/>
                    <w:sz w:val="20"/>
                    <w:szCs w:val="20"/>
                  </w:rPr>
                </w:pPr>
                <w:r>
                  <w:rPr>
                    <w:rFonts w:ascii="Calibri" w:hAnsi="Calibri"/>
                    <w:sz w:val="20"/>
                    <w:szCs w:val="20"/>
                  </w:rPr>
                  <w:t>计提</w:t>
                </w:r>
              </w:p>
            </w:tc>
          </w:sdtContent>
        </w:sdt>
        <w:sdt>
          <w:sdtPr>
            <w:tag w:val="_PLD_694fce967684431e964389b1fbfd7773"/>
            <w:id w:val="-1140954294"/>
          </w:sdtPr>
          <w:sdtContent>
            <w:tc>
              <w:tcPr>
                <w:tcW w:w="1215" w:type="dxa"/>
                <w:shd w:val="clear" w:color="auto" w:fill="FFFFFF"/>
                <w:vAlign w:val="center"/>
              </w:tcPr>
              <w:p w14:paraId="574703D5">
                <w:pPr>
                  <w:widowControl w:val="0"/>
                  <w:jc w:val="center"/>
                  <w:rPr>
                    <w:rFonts w:ascii="Calibri" w:hAnsi="Calibri"/>
                    <w:sz w:val="20"/>
                    <w:szCs w:val="20"/>
                  </w:rPr>
                </w:pPr>
                <w:r>
                  <w:rPr>
                    <w:rFonts w:hint="eastAsia" w:ascii="Calibri" w:hAnsi="Calibri"/>
                    <w:sz w:val="20"/>
                    <w:szCs w:val="20"/>
                  </w:rPr>
                  <w:t>收回或转回</w:t>
                </w:r>
              </w:p>
            </w:tc>
          </w:sdtContent>
        </w:sdt>
        <w:sdt>
          <w:sdtPr>
            <w:tag w:val="_PLD_59153f559aba461288ad06bff0782b2d"/>
            <w:id w:val="1202744381"/>
          </w:sdtPr>
          <w:sdtContent>
            <w:tc>
              <w:tcPr>
                <w:tcW w:w="1295" w:type="dxa"/>
                <w:shd w:val="clear" w:color="auto" w:fill="FFFFFF"/>
                <w:vAlign w:val="center"/>
              </w:tcPr>
              <w:p w14:paraId="57EFB80C">
                <w:pPr>
                  <w:widowControl w:val="0"/>
                  <w:jc w:val="center"/>
                  <w:rPr>
                    <w:rFonts w:ascii="Calibri" w:hAnsi="Calibri"/>
                    <w:sz w:val="20"/>
                    <w:szCs w:val="20"/>
                  </w:rPr>
                </w:pPr>
                <w:r>
                  <w:rPr>
                    <w:rFonts w:hint="eastAsia" w:ascii="Calibri" w:hAnsi="Calibri"/>
                    <w:sz w:val="20"/>
                    <w:szCs w:val="20"/>
                  </w:rPr>
                  <w:t>转销或核销</w:t>
                </w:r>
              </w:p>
            </w:tc>
          </w:sdtContent>
        </w:sdt>
        <w:tc>
          <w:tcPr>
            <w:tcW w:w="1289" w:type="dxa"/>
            <w:shd w:val="clear" w:color="auto" w:fill="FFFFFF"/>
            <w:vAlign w:val="center"/>
          </w:tcPr>
          <w:sdt>
            <w:sdtPr>
              <w:tag w:val="_PLD_51a0476d1e2f444f8723da1988f813f5"/>
              <w:id w:val="-1315168290"/>
            </w:sdtPr>
            <w:sdtContent>
              <w:p w14:paraId="51DD9457">
                <w:pPr>
                  <w:widowControl w:val="0"/>
                  <w:jc w:val="center"/>
                  <w:rPr>
                    <w:rFonts w:ascii="Calibri" w:hAnsi="Calibri"/>
                    <w:sz w:val="20"/>
                    <w:szCs w:val="20"/>
                  </w:rPr>
                </w:pPr>
                <w:r>
                  <w:rPr>
                    <w:rFonts w:hint="eastAsia" w:ascii="Calibri" w:hAnsi="Calibri"/>
                    <w:sz w:val="20"/>
                    <w:szCs w:val="20"/>
                  </w:rPr>
                  <w:t>其他变动</w:t>
                </w:r>
              </w:p>
            </w:sdtContent>
          </w:sdt>
        </w:tc>
        <w:tc>
          <w:tcPr>
            <w:tcW w:w="1286" w:type="dxa"/>
            <w:vMerge w:val="continue"/>
            <w:shd w:val="clear" w:color="auto" w:fill="FFFFFF"/>
            <w:vAlign w:val="center"/>
          </w:tcPr>
          <w:p w14:paraId="0D84FAAC">
            <w:pPr>
              <w:widowControl w:val="0"/>
              <w:jc w:val="right"/>
              <w:rPr>
                <w:rFonts w:ascii="Calibri" w:hAnsi="Calibri"/>
                <w:sz w:val="20"/>
                <w:szCs w:val="20"/>
              </w:rPr>
            </w:pPr>
          </w:p>
        </w:tc>
      </w:tr>
      <w:tr w14:paraId="5FA4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440" w:type="dxa"/>
            <w:vAlign w:val="center"/>
          </w:tcPr>
          <w:p w14:paraId="1AAD5660">
            <w:pPr>
              <w:spacing w:line="276" w:lineRule="auto"/>
              <w:rPr>
                <w:rFonts w:ascii="宋体" w:hAnsi="宋体"/>
                <w:sz w:val="18"/>
                <w:szCs w:val="18"/>
              </w:rPr>
            </w:pPr>
            <w:r>
              <w:rPr>
                <w:rFonts w:hint="eastAsia" w:ascii="宋体" w:hAnsi="宋体"/>
                <w:sz w:val="18"/>
                <w:szCs w:val="18"/>
              </w:rPr>
              <w:t>信用风险组合</w:t>
            </w:r>
          </w:p>
        </w:tc>
        <w:tc>
          <w:tcPr>
            <w:tcW w:w="1390" w:type="dxa"/>
            <w:vAlign w:val="center"/>
          </w:tcPr>
          <w:p w14:paraId="37B74C29">
            <w:pPr>
              <w:widowControl w:val="0"/>
              <w:spacing w:line="276" w:lineRule="auto"/>
              <w:jc w:val="right"/>
              <w:rPr>
                <w:rFonts w:ascii="Calibri" w:hAnsi="Calibri"/>
                <w:sz w:val="20"/>
                <w:szCs w:val="20"/>
              </w:rPr>
            </w:pPr>
            <w:r>
              <w:rPr>
                <w:rFonts w:ascii="Calibri" w:hAnsi="Calibri"/>
                <w:sz w:val="20"/>
                <w:szCs w:val="20"/>
              </w:rPr>
              <w:t>1,083,124.41</w:t>
            </w:r>
          </w:p>
        </w:tc>
        <w:tc>
          <w:tcPr>
            <w:tcW w:w="1142" w:type="dxa"/>
            <w:vAlign w:val="center"/>
          </w:tcPr>
          <w:p w14:paraId="130BAF22">
            <w:pPr>
              <w:widowControl w:val="0"/>
              <w:spacing w:line="276" w:lineRule="auto"/>
              <w:jc w:val="right"/>
              <w:rPr>
                <w:rFonts w:ascii="Calibri" w:hAnsi="Calibri"/>
                <w:sz w:val="20"/>
                <w:szCs w:val="20"/>
              </w:rPr>
            </w:pPr>
            <w:r>
              <w:rPr>
                <w:rFonts w:ascii="Calibri" w:hAnsi="Calibri"/>
                <w:sz w:val="20"/>
                <w:szCs w:val="20"/>
              </w:rPr>
              <w:t>369,865.33</w:t>
            </w:r>
          </w:p>
        </w:tc>
        <w:tc>
          <w:tcPr>
            <w:tcW w:w="1215" w:type="dxa"/>
            <w:vAlign w:val="center"/>
          </w:tcPr>
          <w:p w14:paraId="5764B091">
            <w:pPr>
              <w:widowControl w:val="0"/>
              <w:spacing w:line="276" w:lineRule="auto"/>
              <w:jc w:val="right"/>
              <w:rPr>
                <w:rFonts w:ascii="Calibri" w:hAnsi="Calibri"/>
                <w:sz w:val="20"/>
                <w:szCs w:val="20"/>
              </w:rPr>
            </w:pPr>
          </w:p>
        </w:tc>
        <w:tc>
          <w:tcPr>
            <w:tcW w:w="1295" w:type="dxa"/>
            <w:vAlign w:val="center"/>
          </w:tcPr>
          <w:p w14:paraId="5B59DEE4">
            <w:pPr>
              <w:widowControl w:val="0"/>
              <w:spacing w:line="276" w:lineRule="auto"/>
              <w:jc w:val="right"/>
              <w:rPr>
                <w:rFonts w:ascii="Calibri" w:hAnsi="Calibri"/>
                <w:sz w:val="20"/>
                <w:szCs w:val="20"/>
              </w:rPr>
            </w:pPr>
            <w:r>
              <w:rPr>
                <w:rFonts w:ascii="Calibri" w:hAnsi="Calibri"/>
                <w:sz w:val="20"/>
                <w:szCs w:val="20"/>
              </w:rPr>
              <w:t>652,313.10</w:t>
            </w:r>
          </w:p>
        </w:tc>
        <w:tc>
          <w:tcPr>
            <w:tcW w:w="1289" w:type="dxa"/>
            <w:vAlign w:val="center"/>
          </w:tcPr>
          <w:p w14:paraId="09568AFC">
            <w:pPr>
              <w:widowControl w:val="0"/>
              <w:spacing w:line="276" w:lineRule="auto"/>
              <w:jc w:val="right"/>
              <w:rPr>
                <w:rFonts w:ascii="Calibri" w:hAnsi="Calibri"/>
                <w:sz w:val="20"/>
                <w:szCs w:val="20"/>
              </w:rPr>
            </w:pPr>
          </w:p>
        </w:tc>
        <w:tc>
          <w:tcPr>
            <w:tcW w:w="1286" w:type="dxa"/>
            <w:vAlign w:val="center"/>
          </w:tcPr>
          <w:p w14:paraId="1192E7C8">
            <w:pPr>
              <w:widowControl w:val="0"/>
              <w:spacing w:line="276" w:lineRule="auto"/>
              <w:jc w:val="right"/>
              <w:rPr>
                <w:rFonts w:ascii="Calibri" w:hAnsi="Calibri"/>
                <w:sz w:val="20"/>
                <w:szCs w:val="20"/>
              </w:rPr>
            </w:pPr>
            <w:r>
              <w:rPr>
                <w:rFonts w:ascii="Calibri" w:hAnsi="Calibri"/>
                <w:sz w:val="20"/>
                <w:szCs w:val="20"/>
              </w:rPr>
              <w:t>800,676.64</w:t>
            </w:r>
          </w:p>
        </w:tc>
      </w:tr>
      <w:tr w14:paraId="36CE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440" w:type="dxa"/>
            <w:vAlign w:val="center"/>
          </w:tcPr>
          <w:p w14:paraId="7423BBE3">
            <w:pPr>
              <w:widowControl w:val="0"/>
              <w:spacing w:line="276" w:lineRule="auto"/>
              <w:jc w:val="center"/>
              <w:rPr>
                <w:rFonts w:ascii="Calibri" w:hAnsi="Calibri"/>
                <w:sz w:val="20"/>
                <w:szCs w:val="20"/>
              </w:rPr>
            </w:pPr>
            <w:r>
              <w:rPr>
                <w:rFonts w:hint="eastAsia" w:ascii="Calibri" w:hAnsi="Calibri"/>
                <w:sz w:val="20"/>
                <w:szCs w:val="20"/>
              </w:rPr>
              <w:t>合计</w:t>
            </w:r>
          </w:p>
        </w:tc>
        <w:tc>
          <w:tcPr>
            <w:tcW w:w="1390" w:type="dxa"/>
            <w:vAlign w:val="center"/>
          </w:tcPr>
          <w:p w14:paraId="2F3E6924">
            <w:pPr>
              <w:widowControl w:val="0"/>
              <w:spacing w:line="276" w:lineRule="auto"/>
              <w:jc w:val="right"/>
              <w:rPr>
                <w:rFonts w:ascii="Calibri" w:hAnsi="Calibri"/>
                <w:sz w:val="20"/>
                <w:szCs w:val="20"/>
              </w:rPr>
            </w:pPr>
            <w:r>
              <w:rPr>
                <w:rFonts w:ascii="Calibri" w:hAnsi="Calibri"/>
                <w:sz w:val="20"/>
                <w:szCs w:val="20"/>
              </w:rPr>
              <w:t>1,083,124.41</w:t>
            </w:r>
          </w:p>
        </w:tc>
        <w:tc>
          <w:tcPr>
            <w:tcW w:w="1142" w:type="dxa"/>
            <w:vAlign w:val="center"/>
          </w:tcPr>
          <w:p w14:paraId="753CEC68">
            <w:pPr>
              <w:widowControl w:val="0"/>
              <w:spacing w:line="276" w:lineRule="auto"/>
              <w:jc w:val="right"/>
              <w:rPr>
                <w:rFonts w:ascii="Calibri" w:hAnsi="Calibri"/>
                <w:sz w:val="20"/>
                <w:szCs w:val="20"/>
              </w:rPr>
            </w:pPr>
            <w:r>
              <w:rPr>
                <w:rFonts w:ascii="Calibri" w:hAnsi="Calibri"/>
                <w:sz w:val="20"/>
                <w:szCs w:val="20"/>
              </w:rPr>
              <w:t>369,865.33</w:t>
            </w:r>
          </w:p>
        </w:tc>
        <w:tc>
          <w:tcPr>
            <w:tcW w:w="1215" w:type="dxa"/>
            <w:vAlign w:val="center"/>
          </w:tcPr>
          <w:p w14:paraId="051573FD">
            <w:pPr>
              <w:widowControl w:val="0"/>
              <w:spacing w:line="276" w:lineRule="auto"/>
              <w:jc w:val="right"/>
              <w:rPr>
                <w:rFonts w:ascii="Calibri" w:hAnsi="Calibri"/>
                <w:sz w:val="20"/>
                <w:szCs w:val="20"/>
              </w:rPr>
            </w:pPr>
          </w:p>
        </w:tc>
        <w:tc>
          <w:tcPr>
            <w:tcW w:w="1295" w:type="dxa"/>
            <w:vAlign w:val="center"/>
          </w:tcPr>
          <w:p w14:paraId="02320BEE">
            <w:pPr>
              <w:widowControl w:val="0"/>
              <w:spacing w:line="276" w:lineRule="auto"/>
              <w:jc w:val="right"/>
              <w:rPr>
                <w:rFonts w:ascii="Calibri" w:hAnsi="Calibri"/>
                <w:sz w:val="20"/>
                <w:szCs w:val="20"/>
              </w:rPr>
            </w:pPr>
            <w:r>
              <w:rPr>
                <w:rFonts w:ascii="Calibri" w:hAnsi="Calibri"/>
                <w:sz w:val="20"/>
                <w:szCs w:val="20"/>
              </w:rPr>
              <w:t>652,313.10</w:t>
            </w:r>
          </w:p>
        </w:tc>
        <w:tc>
          <w:tcPr>
            <w:tcW w:w="1289" w:type="dxa"/>
            <w:vAlign w:val="center"/>
          </w:tcPr>
          <w:p w14:paraId="0EFAEBB6">
            <w:pPr>
              <w:widowControl w:val="0"/>
              <w:spacing w:line="276" w:lineRule="auto"/>
              <w:jc w:val="right"/>
              <w:rPr>
                <w:rFonts w:ascii="Calibri" w:hAnsi="Calibri"/>
                <w:sz w:val="20"/>
                <w:szCs w:val="20"/>
              </w:rPr>
            </w:pPr>
          </w:p>
        </w:tc>
        <w:tc>
          <w:tcPr>
            <w:tcW w:w="1286" w:type="dxa"/>
            <w:vAlign w:val="center"/>
          </w:tcPr>
          <w:p w14:paraId="2A53E1DE">
            <w:pPr>
              <w:widowControl w:val="0"/>
              <w:spacing w:line="276" w:lineRule="auto"/>
              <w:jc w:val="right"/>
              <w:rPr>
                <w:rFonts w:ascii="Calibri" w:hAnsi="Calibri"/>
                <w:sz w:val="20"/>
                <w:szCs w:val="20"/>
              </w:rPr>
            </w:pPr>
            <w:r>
              <w:rPr>
                <w:rFonts w:ascii="Calibri" w:hAnsi="Calibri"/>
                <w:sz w:val="20"/>
                <w:szCs w:val="20"/>
              </w:rPr>
              <w:t>800,676.64</w:t>
            </w:r>
          </w:p>
        </w:tc>
      </w:tr>
    </w:tbl>
    <w:p w14:paraId="16439CFA">
      <w:pPr>
        <w:pStyle w:val="48"/>
      </w:pPr>
    </w:p>
    <w:p w14:paraId="422618B6">
      <w:pPr>
        <w:pStyle w:val="48"/>
      </w:pPr>
      <w:r>
        <w:rPr>
          <w:rFonts w:hint="eastAsia"/>
        </w:rPr>
        <w:t>其中本期坏账准备转回或收回金额重要的：</w:t>
      </w:r>
    </w:p>
    <w:sdt>
      <w:sdtPr>
        <w:alias w:val="是否适用：母公司其他应收款坏账准备转回或收回金额重要的[双击切换]"/>
        <w:tag w:val="_GBC_f8ce6c07169e42188641fc1bc1ab86d4"/>
        <w:id w:val="-417251512"/>
        <w:placeholder>
          <w:docPart w:val="GBC22222222222222222222222222222"/>
        </w:placeholder>
      </w:sdtPr>
      <w:sdtContent>
        <w:p w14:paraId="65FE6252">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418"/>
    <w:p w14:paraId="20FC4CDE">
      <w:pPr>
        <w:ind w:right="-1594" w:rightChars="-759"/>
      </w:pPr>
    </w:p>
    <w:p w14:paraId="08992972">
      <w:pPr>
        <w:ind w:right="-1594" w:rightChars="-759"/>
      </w:pPr>
    </w:p>
    <w:bookmarkEnd w:id="419"/>
    <w:p w14:paraId="3FB91087">
      <w:pPr>
        <w:pStyle w:val="6"/>
        <w:numPr>
          <w:ilvl w:val="0"/>
          <w:numId w:val="130"/>
        </w:numPr>
        <w:ind w:leftChars="0"/>
      </w:pPr>
      <w:r>
        <w:rPr>
          <w:rFonts w:hint="eastAsia"/>
        </w:rPr>
        <w:t>本期实际核销的其他应收款情况</w:t>
      </w:r>
    </w:p>
    <w:sdt>
      <w:sdtPr>
        <w:alias w:val="是否适用：母公司本期实际核销的其他应收款情况[双击切换]"/>
        <w:tag w:val="_GBC_1513ed448adb4dda8e855e090428591f"/>
        <w:id w:val="366802296"/>
        <w:placeholder>
          <w:docPart w:val="GBC22222222222222222222222222222"/>
        </w:placeholder>
      </w:sdtPr>
      <w:sdtContent>
        <w:p w14:paraId="201EFCDB">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B267754">
      <w:pPr>
        <w:jc w:val="right"/>
      </w:pPr>
      <w:r>
        <w:rPr>
          <w:rFonts w:hint="eastAsia"/>
        </w:rPr>
        <w:t>单位：</w:t>
      </w:r>
      <w:sdt>
        <w:sdtPr>
          <w:rPr>
            <w:rFonts w:hint="eastAsia"/>
          </w:rPr>
          <w:alias w:val="单位：母公司财务附注：本报告期实际核销的其他应收款项情况"/>
          <w:tag w:val="_GBC_3d8e5ecc26a9400b96b75cceaa3f6c62"/>
          <w:id w:val="19774940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财务附注：本报告期实际核销的其他应收款项情况"/>
          <w:tag w:val="_GBC_46282372a95c444484464ed92e63107c"/>
          <w:id w:val="16336648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1" w:type="dxa"/>
          <w:bottom w:w="0" w:type="dxa"/>
          <w:right w:w="31" w:type="dxa"/>
        </w:tblCellMar>
      </w:tblPr>
      <w:tblGrid>
        <w:gridCol w:w="4429"/>
        <w:gridCol w:w="4465"/>
      </w:tblGrid>
      <w:tr w14:paraId="20AF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2da1a75d27154fdf9aaa546f0880b2e0"/>
            <w:id w:val="155346988"/>
          </w:sdtPr>
          <w:sdtContent>
            <w:tc>
              <w:tcPr>
                <w:tcW w:w="4429" w:type="dxa"/>
                <w:vAlign w:val="center"/>
              </w:tcPr>
              <w:p w14:paraId="6E761133">
                <w:pPr>
                  <w:ind w:right="73"/>
                  <w:jc w:val="center"/>
                  <w:rPr>
                    <w:rFonts w:ascii="Calibri" w:hAnsi="Calibri"/>
                    <w:sz w:val="20"/>
                    <w:szCs w:val="20"/>
                  </w:rPr>
                </w:pPr>
                <w:r>
                  <w:rPr>
                    <w:rFonts w:hint="eastAsia" w:ascii="Calibri" w:hAnsi="Calibri"/>
                    <w:sz w:val="20"/>
                    <w:szCs w:val="20"/>
                  </w:rPr>
                  <w:t>项目</w:t>
                </w:r>
              </w:p>
            </w:tc>
          </w:sdtContent>
        </w:sdt>
        <w:sdt>
          <w:sdtPr>
            <w:tag w:val="_PLD_171d3bd6afe748869c9f4ecd891202d7"/>
            <w:id w:val="-1337759916"/>
          </w:sdtPr>
          <w:sdtContent>
            <w:tc>
              <w:tcPr>
                <w:tcW w:w="4465" w:type="dxa"/>
                <w:vAlign w:val="center"/>
              </w:tcPr>
              <w:p w14:paraId="32818E30">
                <w:pPr>
                  <w:ind w:right="73"/>
                  <w:jc w:val="center"/>
                  <w:rPr>
                    <w:rFonts w:ascii="Calibri" w:hAnsi="Calibri"/>
                    <w:sz w:val="20"/>
                    <w:szCs w:val="20"/>
                  </w:rPr>
                </w:pPr>
                <w:r>
                  <w:rPr>
                    <w:rFonts w:hint="eastAsia" w:ascii="Calibri" w:hAnsi="Calibri"/>
                    <w:sz w:val="20"/>
                    <w:szCs w:val="20"/>
                  </w:rPr>
                  <w:t>核销金额</w:t>
                </w:r>
              </w:p>
            </w:tc>
          </w:sdtContent>
        </w:sdt>
      </w:tr>
      <w:tr w14:paraId="32E0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429" w:type="dxa"/>
            <w:vAlign w:val="center"/>
          </w:tcPr>
          <w:p w14:paraId="23A371FF">
            <w:pPr>
              <w:ind w:right="73"/>
              <w:rPr>
                <w:rFonts w:ascii="Calibri" w:hAnsi="Calibri"/>
                <w:sz w:val="20"/>
                <w:szCs w:val="20"/>
              </w:rPr>
            </w:pPr>
            <w:r>
              <w:rPr>
                <w:rFonts w:hint="eastAsia" w:ascii="Calibri" w:hAnsi="Calibri"/>
                <w:sz w:val="20"/>
                <w:szCs w:val="20"/>
              </w:rPr>
              <w:t>实际核销的其他应收款</w:t>
            </w:r>
          </w:p>
        </w:tc>
        <w:tc>
          <w:tcPr>
            <w:tcW w:w="4465" w:type="dxa"/>
            <w:vAlign w:val="center"/>
          </w:tcPr>
          <w:p w14:paraId="4C7DB389">
            <w:pPr>
              <w:ind w:right="73"/>
              <w:jc w:val="right"/>
              <w:rPr>
                <w:rFonts w:ascii="Calibri" w:hAnsi="Calibri"/>
                <w:sz w:val="20"/>
                <w:szCs w:val="20"/>
              </w:rPr>
            </w:pPr>
            <w:r>
              <w:rPr>
                <w:rFonts w:ascii="Calibri" w:hAnsi="Calibri"/>
                <w:sz w:val="20"/>
                <w:szCs w:val="20"/>
              </w:rPr>
              <w:t>652,313.10</w:t>
            </w:r>
          </w:p>
        </w:tc>
      </w:tr>
    </w:tbl>
    <w:p w14:paraId="3D326A73">
      <w:pPr>
        <w:pStyle w:val="48"/>
      </w:pPr>
    </w:p>
    <w:p w14:paraId="6CCB0AD4">
      <w:pPr>
        <w:pStyle w:val="48"/>
      </w:pPr>
      <w:r>
        <w:rPr>
          <w:rFonts w:hint="eastAsia"/>
        </w:rPr>
        <w:t>其中重要的其他应收款核销情况：</w:t>
      </w:r>
    </w:p>
    <w:sdt>
      <w:sdtPr>
        <w:alias w:val="是否适用：母公司其中重要的其他应收款核销情况[双击切换]"/>
        <w:tag w:val="_GBC_9c869030965c44c2962f562c051ed47e"/>
        <w:id w:val="1326716615"/>
        <w:placeholder>
          <w:docPart w:val="GBC22222222222222222222222222222"/>
        </w:placeholder>
      </w:sdtPr>
      <w:sdtContent>
        <w:p w14:paraId="58BC2F69">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3902ECA">
      <w:pPr>
        <w:pStyle w:val="48"/>
      </w:pPr>
    </w:p>
    <w:p w14:paraId="7E1E33EC">
      <w:pPr>
        <w:snapToGrid w:val="0"/>
        <w:spacing w:line="240" w:lineRule="atLeast"/>
      </w:pPr>
      <w:r>
        <w:rPr>
          <w:rFonts w:hint="eastAsia"/>
        </w:rPr>
        <w:t>其他应收款核销说明：</w:t>
      </w:r>
    </w:p>
    <w:sdt>
      <w:sdtPr>
        <w:rPr>
          <w:rFonts w:hint="eastAsia"/>
        </w:rPr>
        <w:alias w:val="是否适用：母公司其他应收款核销说明[双击切换]"/>
        <w:tag w:val="_GBC_a3327d4637ec4274aa83caff4b6e71fd"/>
        <w:id w:val="100458175"/>
        <w:placeholder>
          <w:docPart w:val="GBC22222222222222222222222222222"/>
        </w:placeholder>
      </w:sdtPr>
      <w:sdtEndPr>
        <w:rPr>
          <w:rFonts w:hint="eastAsia"/>
        </w:rPr>
      </w:sdtEndPr>
      <w:sdtContent>
        <w:p w14:paraId="3D3AC058">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3394028">
      <w:pPr>
        <w:pStyle w:val="48"/>
      </w:pPr>
    </w:p>
    <w:p w14:paraId="1DF2F400">
      <w:pPr>
        <w:pStyle w:val="6"/>
        <w:numPr>
          <w:ilvl w:val="0"/>
          <w:numId w:val="130"/>
        </w:numPr>
        <w:ind w:leftChars="0"/>
      </w:pPr>
      <w:bookmarkStart w:id="420" w:name="_Hlk153798048"/>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858935032"/>
        <w:placeholder>
          <w:docPart w:val="GBC22222222222222222222222222222"/>
        </w:placeholder>
      </w:sdtPr>
      <w:sdtContent>
        <w:p w14:paraId="56937FA6">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BDC47BA">
      <w:pPr>
        <w:jc w:val="right"/>
      </w:pPr>
      <w:r>
        <w:rPr>
          <w:rFonts w:hint="eastAsia"/>
        </w:rPr>
        <w:t>单位：</w:t>
      </w:r>
      <w:sdt>
        <w:sdtPr>
          <w:rPr>
            <w:rFonts w:hint="eastAsia"/>
          </w:rPr>
          <w:alias w:val="单位：母公司财务附注：其他应收账款前五名欠款情况"/>
          <w:tag w:val="_GBC_a5049697dafb47839070e9dec68636fd"/>
          <w:id w:val="-8100899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7660023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420"/>
    <w:tbl>
      <w:tblPr>
        <w:tblStyle w:val="57"/>
        <w:tblW w:w="9477"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1691"/>
        <w:gridCol w:w="1352"/>
        <w:gridCol w:w="1379"/>
        <w:gridCol w:w="1353"/>
        <w:gridCol w:w="1706"/>
      </w:tblGrid>
      <w:tr w14:paraId="201D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97ae589741524eeaa277e2e3a81b13c6"/>
            <w:id w:val="-718128727"/>
          </w:sdtPr>
          <w:sdtContent>
            <w:tc>
              <w:tcPr>
                <w:tcW w:w="1996" w:type="dxa"/>
                <w:vAlign w:val="center"/>
              </w:tcPr>
              <w:p w14:paraId="11EF2E9B">
                <w:pPr>
                  <w:ind w:right="105"/>
                  <w:jc w:val="center"/>
                  <w:rPr>
                    <w:rFonts w:ascii="Calibri" w:hAnsi="Calibri"/>
                    <w:sz w:val="20"/>
                    <w:szCs w:val="20"/>
                  </w:rPr>
                </w:pPr>
                <w:bookmarkStart w:id="421" w:name="_Hlk153798113"/>
                <w:r>
                  <w:rPr>
                    <w:rFonts w:hint="eastAsia" w:ascii="Calibri" w:hAnsi="Calibri"/>
                    <w:sz w:val="20"/>
                    <w:szCs w:val="20"/>
                  </w:rPr>
                  <w:t>单位名称</w:t>
                </w:r>
              </w:p>
            </w:tc>
          </w:sdtContent>
        </w:sdt>
        <w:sdt>
          <w:sdtPr>
            <w:tag w:val="_PLD_c22b4ec5955348c988f93a834a184c51"/>
            <w:id w:val="1479813073"/>
          </w:sdtPr>
          <w:sdtContent>
            <w:tc>
              <w:tcPr>
                <w:tcW w:w="1691" w:type="dxa"/>
                <w:vAlign w:val="center"/>
              </w:tcPr>
              <w:p w14:paraId="63A604E2">
                <w:pPr>
                  <w:ind w:right="73"/>
                  <w:jc w:val="center"/>
                  <w:rPr>
                    <w:rFonts w:ascii="Calibri" w:hAnsi="Calibri"/>
                    <w:sz w:val="20"/>
                    <w:szCs w:val="20"/>
                  </w:rPr>
                </w:pPr>
                <w:r>
                  <w:rPr>
                    <w:rFonts w:hint="eastAsia" w:ascii="Calibri" w:hAnsi="Calibri"/>
                    <w:sz w:val="20"/>
                    <w:szCs w:val="20"/>
                  </w:rPr>
                  <w:t>期末余额</w:t>
                </w:r>
              </w:p>
            </w:tc>
          </w:sdtContent>
        </w:sdt>
        <w:sdt>
          <w:sdtPr>
            <w:tag w:val="_PLD_a49ad92f72864a62b0f46c5d7fa4a110"/>
            <w:id w:val="-748345684"/>
          </w:sdtPr>
          <w:sdtContent>
            <w:tc>
              <w:tcPr>
                <w:tcW w:w="1352" w:type="dxa"/>
                <w:vAlign w:val="center"/>
              </w:tcPr>
              <w:p w14:paraId="767438E2">
                <w:pPr>
                  <w:jc w:val="center"/>
                  <w:rPr>
                    <w:rFonts w:ascii="Calibri" w:hAnsi="Calibri"/>
                    <w:sz w:val="20"/>
                    <w:szCs w:val="20"/>
                  </w:rPr>
                </w:pPr>
                <w:r>
                  <w:rPr>
                    <w:rFonts w:hint="eastAsia" w:ascii="Calibri" w:hAnsi="Calibri"/>
                    <w:sz w:val="20"/>
                    <w:szCs w:val="20"/>
                  </w:rPr>
                  <w:t>占其他应收款期末余额合计数的比例(</w:t>
                </w:r>
                <w:r>
                  <w:rPr>
                    <w:rFonts w:ascii="Calibri" w:hAnsi="Calibri"/>
                    <w:sz w:val="20"/>
                    <w:szCs w:val="20"/>
                  </w:rPr>
                  <w:t>%)</w:t>
                </w:r>
              </w:p>
            </w:tc>
          </w:sdtContent>
        </w:sdt>
        <w:sdt>
          <w:sdtPr>
            <w:tag w:val="_PLD_c8433b11194a41288fcd24feb3e7d527"/>
            <w:id w:val="-330294684"/>
          </w:sdtPr>
          <w:sdtContent>
            <w:tc>
              <w:tcPr>
                <w:tcW w:w="1379" w:type="dxa"/>
                <w:vAlign w:val="center"/>
              </w:tcPr>
              <w:p w14:paraId="3F4A33CD">
                <w:pPr>
                  <w:ind w:right="73"/>
                  <w:jc w:val="center"/>
                  <w:rPr>
                    <w:rFonts w:ascii="Calibri" w:hAnsi="Calibri"/>
                    <w:sz w:val="20"/>
                    <w:szCs w:val="20"/>
                  </w:rPr>
                </w:pPr>
                <w:r>
                  <w:rPr>
                    <w:rFonts w:hint="eastAsia" w:ascii="Calibri" w:hAnsi="Calibri"/>
                    <w:sz w:val="20"/>
                    <w:szCs w:val="20"/>
                  </w:rPr>
                  <w:t>款项的性质</w:t>
                </w:r>
              </w:p>
            </w:tc>
          </w:sdtContent>
        </w:sdt>
        <w:sdt>
          <w:sdtPr>
            <w:tag w:val="_PLD_003c0f3b03b34c10880da6ddba3d0f8c"/>
            <w:id w:val="-1190520791"/>
          </w:sdtPr>
          <w:sdtContent>
            <w:tc>
              <w:tcPr>
                <w:tcW w:w="1353" w:type="dxa"/>
                <w:vAlign w:val="center"/>
              </w:tcPr>
              <w:p w14:paraId="7594B43C">
                <w:pPr>
                  <w:ind w:right="73"/>
                  <w:jc w:val="center"/>
                  <w:rPr>
                    <w:rFonts w:ascii="Calibri" w:hAnsi="Calibri"/>
                    <w:sz w:val="20"/>
                    <w:szCs w:val="20"/>
                  </w:rPr>
                </w:pPr>
                <w:r>
                  <w:rPr>
                    <w:rFonts w:hint="eastAsia" w:ascii="Calibri" w:hAnsi="Calibri"/>
                    <w:sz w:val="20"/>
                    <w:szCs w:val="20"/>
                  </w:rPr>
                  <w:t>账龄</w:t>
                </w:r>
              </w:p>
            </w:tc>
          </w:sdtContent>
        </w:sdt>
        <w:sdt>
          <w:sdtPr>
            <w:tag w:val="_PLD_de96d0c3523e4231935073b8b7dd47be"/>
            <w:id w:val="853305600"/>
          </w:sdtPr>
          <w:sdtContent>
            <w:tc>
              <w:tcPr>
                <w:tcW w:w="1706" w:type="dxa"/>
                <w:vAlign w:val="center"/>
              </w:tcPr>
              <w:p w14:paraId="1AF2F5B1">
                <w:pPr>
                  <w:jc w:val="center"/>
                  <w:rPr>
                    <w:rFonts w:ascii="Calibri" w:hAnsi="Calibri"/>
                    <w:sz w:val="20"/>
                    <w:szCs w:val="20"/>
                  </w:rPr>
                </w:pPr>
                <w:r>
                  <w:rPr>
                    <w:rFonts w:hint="eastAsia" w:ascii="Calibri" w:hAnsi="Calibri"/>
                    <w:sz w:val="20"/>
                    <w:szCs w:val="20"/>
                  </w:rPr>
                  <w:t>坏账准备</w:t>
                </w:r>
              </w:p>
              <w:p w14:paraId="5BA5B1B2">
                <w:pPr>
                  <w:jc w:val="center"/>
                  <w:rPr>
                    <w:rFonts w:ascii="Calibri" w:hAnsi="Calibri"/>
                    <w:sz w:val="20"/>
                    <w:szCs w:val="20"/>
                  </w:rPr>
                </w:pPr>
                <w:r>
                  <w:rPr>
                    <w:rFonts w:hint="eastAsia" w:ascii="Calibri" w:hAnsi="Calibri"/>
                    <w:sz w:val="20"/>
                    <w:szCs w:val="20"/>
                  </w:rPr>
                  <w:t>期末余额</w:t>
                </w:r>
              </w:p>
            </w:tc>
          </w:sdtContent>
        </w:sdt>
      </w:tr>
      <w:tr w14:paraId="4884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96" w:type="dxa"/>
            <w:vAlign w:val="center"/>
          </w:tcPr>
          <w:p w14:paraId="43F3C205">
            <w:pPr>
              <w:ind w:right="105"/>
              <w:jc w:val="both"/>
              <w:rPr>
                <w:rFonts w:ascii="Calibri" w:hAnsi="Calibri"/>
                <w:sz w:val="20"/>
                <w:szCs w:val="20"/>
              </w:rPr>
            </w:pPr>
            <w:r>
              <w:rPr>
                <w:rFonts w:ascii="Calibri" w:hAnsi="Calibri"/>
                <w:sz w:val="20"/>
                <w:szCs w:val="20"/>
              </w:rPr>
              <w:t>上海隆棵药业有限公司</w:t>
            </w:r>
          </w:p>
        </w:tc>
        <w:tc>
          <w:tcPr>
            <w:tcW w:w="1691" w:type="dxa"/>
            <w:vAlign w:val="center"/>
          </w:tcPr>
          <w:p w14:paraId="78C8532A">
            <w:pPr>
              <w:ind w:right="73"/>
              <w:jc w:val="right"/>
              <w:rPr>
                <w:rFonts w:ascii="Calibri" w:hAnsi="Calibri"/>
                <w:sz w:val="20"/>
                <w:szCs w:val="20"/>
              </w:rPr>
            </w:pPr>
            <w:r>
              <w:rPr>
                <w:rFonts w:ascii="Calibri" w:hAnsi="Calibri"/>
                <w:sz w:val="20"/>
                <w:szCs w:val="20"/>
              </w:rPr>
              <w:t>80,082,191.78</w:t>
            </w:r>
          </w:p>
        </w:tc>
        <w:tc>
          <w:tcPr>
            <w:tcW w:w="1352" w:type="dxa"/>
            <w:vAlign w:val="center"/>
          </w:tcPr>
          <w:p w14:paraId="107830BA">
            <w:pPr>
              <w:jc w:val="right"/>
              <w:rPr>
                <w:rFonts w:ascii="Calibri" w:hAnsi="Calibri"/>
                <w:sz w:val="20"/>
                <w:szCs w:val="20"/>
              </w:rPr>
            </w:pPr>
            <w:r>
              <w:rPr>
                <w:rFonts w:ascii="Calibri" w:hAnsi="Calibri"/>
                <w:sz w:val="20"/>
                <w:szCs w:val="20"/>
              </w:rPr>
              <w:t>56.34</w:t>
            </w:r>
          </w:p>
        </w:tc>
        <w:tc>
          <w:tcPr>
            <w:tcW w:w="1379" w:type="dxa"/>
            <w:vAlign w:val="center"/>
          </w:tcPr>
          <w:p w14:paraId="540310F9">
            <w:pPr>
              <w:ind w:right="73"/>
              <w:jc w:val="center"/>
              <w:rPr>
                <w:rFonts w:ascii="Calibri" w:hAnsi="Calibri"/>
                <w:sz w:val="20"/>
                <w:szCs w:val="20"/>
              </w:rPr>
            </w:pPr>
            <w:r>
              <w:rPr>
                <w:rFonts w:ascii="Calibri" w:hAnsi="Calibri"/>
                <w:sz w:val="20"/>
                <w:szCs w:val="20"/>
              </w:rPr>
              <w:t>往来款</w:t>
            </w:r>
          </w:p>
        </w:tc>
        <w:tc>
          <w:tcPr>
            <w:tcW w:w="1353" w:type="dxa"/>
            <w:vAlign w:val="center"/>
          </w:tcPr>
          <w:p w14:paraId="024095CE">
            <w:pPr>
              <w:ind w:right="73"/>
              <w:jc w:val="center"/>
              <w:rPr>
                <w:rFonts w:ascii="Calibri" w:hAnsi="Calibri"/>
                <w:sz w:val="20"/>
                <w:szCs w:val="20"/>
              </w:rPr>
            </w:pPr>
            <w:r>
              <w:rPr>
                <w:rFonts w:ascii="Calibri" w:hAnsi="Calibri"/>
                <w:sz w:val="20"/>
                <w:szCs w:val="20"/>
              </w:rPr>
              <w:t>1年以内</w:t>
            </w:r>
          </w:p>
        </w:tc>
        <w:tc>
          <w:tcPr>
            <w:tcW w:w="1706" w:type="dxa"/>
            <w:vAlign w:val="center"/>
          </w:tcPr>
          <w:p w14:paraId="6D60B2CF">
            <w:pPr>
              <w:jc w:val="right"/>
              <w:rPr>
                <w:rFonts w:ascii="Calibri" w:hAnsi="Calibri"/>
                <w:sz w:val="20"/>
                <w:szCs w:val="20"/>
              </w:rPr>
            </w:pPr>
          </w:p>
        </w:tc>
      </w:tr>
      <w:tr w14:paraId="3D49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96" w:type="dxa"/>
            <w:vAlign w:val="center"/>
          </w:tcPr>
          <w:p w14:paraId="2182D0A2">
            <w:pPr>
              <w:ind w:right="105"/>
              <w:jc w:val="both"/>
              <w:rPr>
                <w:rFonts w:ascii="Calibri" w:hAnsi="Calibri"/>
                <w:sz w:val="20"/>
                <w:szCs w:val="20"/>
              </w:rPr>
            </w:pPr>
            <w:r>
              <w:rPr>
                <w:rFonts w:ascii="Calibri" w:hAnsi="Calibri"/>
                <w:sz w:val="20"/>
                <w:szCs w:val="20"/>
              </w:rPr>
              <w:t>长春东宝药业有限公司</w:t>
            </w:r>
          </w:p>
        </w:tc>
        <w:tc>
          <w:tcPr>
            <w:tcW w:w="1691" w:type="dxa"/>
            <w:vAlign w:val="center"/>
          </w:tcPr>
          <w:p w14:paraId="30F8E8B1">
            <w:pPr>
              <w:ind w:right="73"/>
              <w:jc w:val="right"/>
              <w:rPr>
                <w:rFonts w:ascii="Calibri" w:hAnsi="Calibri"/>
                <w:sz w:val="20"/>
                <w:szCs w:val="20"/>
              </w:rPr>
            </w:pPr>
            <w:r>
              <w:rPr>
                <w:rFonts w:ascii="Calibri" w:hAnsi="Calibri"/>
                <w:sz w:val="20"/>
                <w:szCs w:val="20"/>
              </w:rPr>
              <w:t>45,198,408.15</w:t>
            </w:r>
          </w:p>
        </w:tc>
        <w:tc>
          <w:tcPr>
            <w:tcW w:w="1352" w:type="dxa"/>
            <w:vAlign w:val="center"/>
          </w:tcPr>
          <w:p w14:paraId="3EF3AC13">
            <w:pPr>
              <w:jc w:val="right"/>
              <w:rPr>
                <w:rFonts w:ascii="Calibri" w:hAnsi="Calibri"/>
                <w:sz w:val="20"/>
                <w:szCs w:val="20"/>
              </w:rPr>
            </w:pPr>
            <w:r>
              <w:rPr>
                <w:rFonts w:ascii="Calibri" w:hAnsi="Calibri"/>
                <w:sz w:val="20"/>
                <w:szCs w:val="20"/>
              </w:rPr>
              <w:t>31.80</w:t>
            </w:r>
          </w:p>
        </w:tc>
        <w:tc>
          <w:tcPr>
            <w:tcW w:w="1379" w:type="dxa"/>
            <w:vAlign w:val="center"/>
          </w:tcPr>
          <w:p w14:paraId="14CDA109">
            <w:pPr>
              <w:ind w:right="73"/>
              <w:jc w:val="center"/>
              <w:rPr>
                <w:rFonts w:ascii="Calibri" w:hAnsi="Calibri"/>
                <w:sz w:val="20"/>
                <w:szCs w:val="20"/>
              </w:rPr>
            </w:pPr>
            <w:r>
              <w:rPr>
                <w:rFonts w:ascii="Calibri" w:hAnsi="Calibri"/>
                <w:sz w:val="20"/>
                <w:szCs w:val="20"/>
              </w:rPr>
              <w:t>往来款</w:t>
            </w:r>
          </w:p>
        </w:tc>
        <w:tc>
          <w:tcPr>
            <w:tcW w:w="1353" w:type="dxa"/>
            <w:vAlign w:val="center"/>
          </w:tcPr>
          <w:p w14:paraId="66B1CE4A">
            <w:pPr>
              <w:ind w:right="73"/>
              <w:jc w:val="center"/>
              <w:rPr>
                <w:rFonts w:ascii="Calibri" w:hAnsi="Calibri"/>
                <w:sz w:val="20"/>
                <w:szCs w:val="20"/>
              </w:rPr>
            </w:pPr>
            <w:r>
              <w:rPr>
                <w:rFonts w:ascii="Calibri" w:hAnsi="Calibri"/>
                <w:sz w:val="20"/>
                <w:szCs w:val="20"/>
              </w:rPr>
              <w:t>1至5年</w:t>
            </w:r>
          </w:p>
          <w:p w14:paraId="44B205CF">
            <w:pPr>
              <w:ind w:right="73"/>
              <w:jc w:val="center"/>
              <w:rPr>
                <w:rFonts w:ascii="Calibri" w:hAnsi="Calibri"/>
                <w:sz w:val="20"/>
                <w:szCs w:val="20"/>
              </w:rPr>
            </w:pPr>
            <w:r>
              <w:rPr>
                <w:rFonts w:ascii="Calibri" w:hAnsi="Calibri"/>
                <w:sz w:val="20"/>
                <w:szCs w:val="20"/>
              </w:rPr>
              <w:t>5年以上</w:t>
            </w:r>
          </w:p>
        </w:tc>
        <w:tc>
          <w:tcPr>
            <w:tcW w:w="1706" w:type="dxa"/>
            <w:vAlign w:val="center"/>
          </w:tcPr>
          <w:p w14:paraId="48E73BB7">
            <w:pPr>
              <w:jc w:val="right"/>
              <w:rPr>
                <w:rFonts w:ascii="Calibri" w:hAnsi="Calibri"/>
                <w:sz w:val="20"/>
                <w:szCs w:val="20"/>
              </w:rPr>
            </w:pPr>
          </w:p>
        </w:tc>
      </w:tr>
      <w:tr w14:paraId="4AE3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96" w:type="dxa"/>
            <w:vAlign w:val="center"/>
          </w:tcPr>
          <w:p w14:paraId="13A467F6">
            <w:pPr>
              <w:ind w:right="105"/>
              <w:jc w:val="both"/>
              <w:rPr>
                <w:rFonts w:ascii="Calibri" w:hAnsi="Calibri"/>
                <w:sz w:val="20"/>
                <w:szCs w:val="20"/>
              </w:rPr>
            </w:pPr>
            <w:r>
              <w:rPr>
                <w:rFonts w:ascii="Calibri" w:hAnsi="Calibri"/>
                <w:sz w:val="20"/>
                <w:szCs w:val="20"/>
              </w:rPr>
              <w:t>通化东宝环保建材股份有限公司</w:t>
            </w:r>
          </w:p>
        </w:tc>
        <w:tc>
          <w:tcPr>
            <w:tcW w:w="1691" w:type="dxa"/>
            <w:vAlign w:val="center"/>
          </w:tcPr>
          <w:p w14:paraId="468D74D3">
            <w:pPr>
              <w:ind w:right="73"/>
              <w:jc w:val="right"/>
              <w:rPr>
                <w:rFonts w:ascii="Calibri" w:hAnsi="Calibri"/>
                <w:sz w:val="20"/>
                <w:szCs w:val="20"/>
              </w:rPr>
            </w:pPr>
            <w:r>
              <w:rPr>
                <w:rFonts w:ascii="Calibri" w:hAnsi="Calibri"/>
                <w:sz w:val="20"/>
                <w:szCs w:val="20"/>
              </w:rPr>
              <w:t>12,887,315.34</w:t>
            </w:r>
          </w:p>
        </w:tc>
        <w:tc>
          <w:tcPr>
            <w:tcW w:w="1352" w:type="dxa"/>
            <w:vAlign w:val="center"/>
          </w:tcPr>
          <w:p w14:paraId="60881DC5">
            <w:pPr>
              <w:jc w:val="right"/>
              <w:rPr>
                <w:rFonts w:ascii="Calibri" w:hAnsi="Calibri"/>
                <w:sz w:val="20"/>
                <w:szCs w:val="20"/>
              </w:rPr>
            </w:pPr>
            <w:r>
              <w:rPr>
                <w:rFonts w:ascii="Calibri" w:hAnsi="Calibri"/>
                <w:sz w:val="20"/>
                <w:szCs w:val="20"/>
              </w:rPr>
              <w:t>9.07</w:t>
            </w:r>
          </w:p>
        </w:tc>
        <w:tc>
          <w:tcPr>
            <w:tcW w:w="1379" w:type="dxa"/>
            <w:vAlign w:val="center"/>
          </w:tcPr>
          <w:p w14:paraId="56481694">
            <w:pPr>
              <w:ind w:right="73"/>
              <w:jc w:val="center"/>
              <w:rPr>
                <w:rFonts w:ascii="Calibri" w:hAnsi="Calibri"/>
                <w:sz w:val="20"/>
                <w:szCs w:val="20"/>
              </w:rPr>
            </w:pPr>
            <w:r>
              <w:rPr>
                <w:rFonts w:ascii="Calibri" w:hAnsi="Calibri"/>
                <w:sz w:val="20"/>
                <w:szCs w:val="20"/>
              </w:rPr>
              <w:t>往来款</w:t>
            </w:r>
          </w:p>
        </w:tc>
        <w:tc>
          <w:tcPr>
            <w:tcW w:w="1353" w:type="dxa"/>
            <w:vAlign w:val="center"/>
          </w:tcPr>
          <w:p w14:paraId="066CDFD8">
            <w:pPr>
              <w:ind w:right="73"/>
              <w:jc w:val="center"/>
              <w:rPr>
                <w:rFonts w:ascii="Calibri" w:hAnsi="Calibri"/>
                <w:sz w:val="20"/>
                <w:szCs w:val="20"/>
              </w:rPr>
            </w:pPr>
            <w:r>
              <w:rPr>
                <w:rFonts w:ascii="Calibri" w:hAnsi="Calibri"/>
                <w:sz w:val="20"/>
                <w:szCs w:val="20"/>
              </w:rPr>
              <w:t>2年以下</w:t>
            </w:r>
          </w:p>
        </w:tc>
        <w:tc>
          <w:tcPr>
            <w:tcW w:w="1706" w:type="dxa"/>
            <w:vAlign w:val="center"/>
          </w:tcPr>
          <w:p w14:paraId="13E22BC8">
            <w:pPr>
              <w:jc w:val="right"/>
              <w:rPr>
                <w:rFonts w:ascii="Calibri" w:hAnsi="Calibri"/>
                <w:sz w:val="20"/>
                <w:szCs w:val="20"/>
              </w:rPr>
            </w:pPr>
          </w:p>
        </w:tc>
      </w:tr>
      <w:tr w14:paraId="08B9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96" w:type="dxa"/>
            <w:vAlign w:val="center"/>
          </w:tcPr>
          <w:p w14:paraId="253EB350">
            <w:pPr>
              <w:ind w:right="105"/>
              <w:jc w:val="both"/>
              <w:rPr>
                <w:rFonts w:ascii="Calibri" w:hAnsi="Calibri"/>
                <w:sz w:val="20"/>
                <w:szCs w:val="20"/>
              </w:rPr>
            </w:pPr>
            <w:r>
              <w:rPr>
                <w:rFonts w:ascii="Calibri" w:hAnsi="Calibri"/>
                <w:sz w:val="20"/>
                <w:szCs w:val="20"/>
              </w:rPr>
              <w:t>上海康德莱企业发展集团股份有限公司</w:t>
            </w:r>
          </w:p>
        </w:tc>
        <w:tc>
          <w:tcPr>
            <w:tcW w:w="1691" w:type="dxa"/>
            <w:vAlign w:val="center"/>
          </w:tcPr>
          <w:p w14:paraId="46BAB567">
            <w:pPr>
              <w:ind w:right="73"/>
              <w:jc w:val="right"/>
              <w:rPr>
                <w:rFonts w:ascii="Calibri" w:hAnsi="Calibri"/>
                <w:sz w:val="20"/>
                <w:szCs w:val="20"/>
              </w:rPr>
            </w:pPr>
            <w:r>
              <w:rPr>
                <w:rFonts w:ascii="Calibri" w:hAnsi="Calibri"/>
                <w:sz w:val="20"/>
                <w:szCs w:val="20"/>
              </w:rPr>
              <w:t>1,000,000.00</w:t>
            </w:r>
          </w:p>
        </w:tc>
        <w:tc>
          <w:tcPr>
            <w:tcW w:w="1352" w:type="dxa"/>
            <w:vAlign w:val="center"/>
          </w:tcPr>
          <w:p w14:paraId="0ED97AAD">
            <w:pPr>
              <w:jc w:val="right"/>
              <w:rPr>
                <w:rFonts w:ascii="Calibri" w:hAnsi="Calibri"/>
                <w:sz w:val="20"/>
                <w:szCs w:val="20"/>
              </w:rPr>
            </w:pPr>
            <w:r>
              <w:rPr>
                <w:rFonts w:ascii="Calibri" w:hAnsi="Calibri"/>
                <w:sz w:val="20"/>
                <w:szCs w:val="20"/>
              </w:rPr>
              <w:t>0.70</w:t>
            </w:r>
          </w:p>
        </w:tc>
        <w:tc>
          <w:tcPr>
            <w:tcW w:w="1379" w:type="dxa"/>
            <w:vAlign w:val="center"/>
          </w:tcPr>
          <w:p w14:paraId="53B4BEB6">
            <w:pPr>
              <w:ind w:right="73"/>
              <w:jc w:val="center"/>
              <w:rPr>
                <w:rFonts w:ascii="Calibri" w:hAnsi="Calibri"/>
                <w:sz w:val="20"/>
                <w:szCs w:val="20"/>
              </w:rPr>
            </w:pPr>
            <w:r>
              <w:rPr>
                <w:rFonts w:ascii="Calibri" w:hAnsi="Calibri"/>
                <w:sz w:val="20"/>
                <w:szCs w:val="20"/>
              </w:rPr>
              <w:t>采购保证金</w:t>
            </w:r>
          </w:p>
        </w:tc>
        <w:tc>
          <w:tcPr>
            <w:tcW w:w="1353" w:type="dxa"/>
            <w:vAlign w:val="center"/>
          </w:tcPr>
          <w:p w14:paraId="7FCB6920">
            <w:pPr>
              <w:ind w:right="73"/>
              <w:jc w:val="center"/>
              <w:rPr>
                <w:rFonts w:ascii="Calibri" w:hAnsi="Calibri"/>
                <w:sz w:val="20"/>
                <w:szCs w:val="20"/>
              </w:rPr>
            </w:pPr>
            <w:r>
              <w:rPr>
                <w:rFonts w:ascii="Calibri" w:hAnsi="Calibri"/>
                <w:sz w:val="20"/>
                <w:szCs w:val="20"/>
              </w:rPr>
              <w:t>1年以内</w:t>
            </w:r>
          </w:p>
        </w:tc>
        <w:tc>
          <w:tcPr>
            <w:tcW w:w="1706" w:type="dxa"/>
            <w:vAlign w:val="center"/>
          </w:tcPr>
          <w:p w14:paraId="70C995F7">
            <w:pPr>
              <w:jc w:val="right"/>
              <w:rPr>
                <w:rFonts w:ascii="Calibri" w:hAnsi="Calibri"/>
                <w:sz w:val="20"/>
                <w:szCs w:val="20"/>
              </w:rPr>
            </w:pPr>
            <w:r>
              <w:rPr>
                <w:rFonts w:ascii="Calibri" w:hAnsi="Calibri"/>
                <w:sz w:val="20"/>
                <w:szCs w:val="20"/>
              </w:rPr>
              <w:t>50,000.00</w:t>
            </w:r>
          </w:p>
        </w:tc>
      </w:tr>
      <w:tr w14:paraId="3D18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96" w:type="dxa"/>
            <w:vAlign w:val="center"/>
          </w:tcPr>
          <w:p w14:paraId="5EB877F3">
            <w:pPr>
              <w:ind w:right="105"/>
              <w:jc w:val="both"/>
              <w:rPr>
                <w:rFonts w:ascii="Calibri" w:hAnsi="Calibri"/>
                <w:sz w:val="20"/>
                <w:szCs w:val="20"/>
              </w:rPr>
            </w:pPr>
            <w:r>
              <w:rPr>
                <w:rFonts w:ascii="Calibri" w:hAnsi="Calibri"/>
                <w:sz w:val="20"/>
                <w:szCs w:val="20"/>
              </w:rPr>
              <w:t>北京中海广场商业发展有限公司</w:t>
            </w:r>
          </w:p>
        </w:tc>
        <w:tc>
          <w:tcPr>
            <w:tcW w:w="1691" w:type="dxa"/>
            <w:vAlign w:val="center"/>
          </w:tcPr>
          <w:p w14:paraId="7F97A740">
            <w:pPr>
              <w:ind w:right="73"/>
              <w:jc w:val="right"/>
              <w:rPr>
                <w:rFonts w:ascii="Calibri" w:hAnsi="Calibri"/>
                <w:sz w:val="20"/>
                <w:szCs w:val="20"/>
              </w:rPr>
            </w:pPr>
            <w:r>
              <w:rPr>
                <w:rFonts w:ascii="Calibri" w:hAnsi="Calibri"/>
                <w:sz w:val="20"/>
                <w:szCs w:val="20"/>
              </w:rPr>
              <w:t>820,938.24</w:t>
            </w:r>
          </w:p>
        </w:tc>
        <w:tc>
          <w:tcPr>
            <w:tcW w:w="1352" w:type="dxa"/>
            <w:vAlign w:val="center"/>
          </w:tcPr>
          <w:p w14:paraId="244E6B2F">
            <w:pPr>
              <w:jc w:val="right"/>
              <w:rPr>
                <w:rFonts w:ascii="Calibri" w:hAnsi="Calibri"/>
                <w:sz w:val="20"/>
                <w:szCs w:val="20"/>
              </w:rPr>
            </w:pPr>
            <w:r>
              <w:rPr>
                <w:rFonts w:ascii="Calibri" w:hAnsi="Calibri"/>
                <w:sz w:val="20"/>
                <w:szCs w:val="20"/>
              </w:rPr>
              <w:t>0.58</w:t>
            </w:r>
          </w:p>
        </w:tc>
        <w:tc>
          <w:tcPr>
            <w:tcW w:w="1379" w:type="dxa"/>
            <w:vAlign w:val="center"/>
          </w:tcPr>
          <w:p w14:paraId="7E7324CD">
            <w:pPr>
              <w:ind w:right="73"/>
              <w:jc w:val="center"/>
              <w:rPr>
                <w:rFonts w:ascii="Calibri" w:hAnsi="Calibri"/>
                <w:sz w:val="20"/>
                <w:szCs w:val="20"/>
              </w:rPr>
            </w:pPr>
            <w:r>
              <w:rPr>
                <w:rFonts w:ascii="Calibri" w:hAnsi="Calibri"/>
                <w:sz w:val="20"/>
                <w:szCs w:val="20"/>
              </w:rPr>
              <w:t>租赁保证金</w:t>
            </w:r>
          </w:p>
        </w:tc>
        <w:tc>
          <w:tcPr>
            <w:tcW w:w="1353" w:type="dxa"/>
            <w:vAlign w:val="center"/>
          </w:tcPr>
          <w:p w14:paraId="04DBE73B">
            <w:pPr>
              <w:ind w:right="73"/>
              <w:jc w:val="center"/>
              <w:rPr>
                <w:rFonts w:ascii="Calibri" w:hAnsi="Calibri"/>
                <w:sz w:val="20"/>
                <w:szCs w:val="20"/>
              </w:rPr>
            </w:pPr>
            <w:r>
              <w:rPr>
                <w:rFonts w:ascii="Calibri" w:hAnsi="Calibri"/>
                <w:sz w:val="20"/>
                <w:szCs w:val="20"/>
              </w:rPr>
              <w:t>1年以内</w:t>
            </w:r>
          </w:p>
        </w:tc>
        <w:tc>
          <w:tcPr>
            <w:tcW w:w="1706" w:type="dxa"/>
            <w:vAlign w:val="center"/>
          </w:tcPr>
          <w:p w14:paraId="05654B99">
            <w:pPr>
              <w:jc w:val="right"/>
              <w:rPr>
                <w:rFonts w:ascii="Calibri" w:hAnsi="Calibri"/>
                <w:sz w:val="20"/>
                <w:szCs w:val="20"/>
              </w:rPr>
            </w:pPr>
            <w:r>
              <w:rPr>
                <w:rFonts w:ascii="Calibri" w:hAnsi="Calibri"/>
                <w:sz w:val="20"/>
                <w:szCs w:val="20"/>
              </w:rPr>
              <w:t>41,046.91</w:t>
            </w:r>
          </w:p>
        </w:tc>
      </w:tr>
      <w:tr w14:paraId="443B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96" w:type="dxa"/>
            <w:vAlign w:val="center"/>
          </w:tcPr>
          <w:p w14:paraId="632BEF42">
            <w:pPr>
              <w:ind w:right="105"/>
              <w:jc w:val="center"/>
              <w:rPr>
                <w:rFonts w:ascii="Calibri" w:hAnsi="Calibri"/>
                <w:sz w:val="20"/>
                <w:szCs w:val="20"/>
              </w:rPr>
            </w:pPr>
            <w:r>
              <w:rPr>
                <w:rFonts w:hint="eastAsia" w:ascii="Calibri" w:hAnsi="Calibri"/>
                <w:sz w:val="20"/>
                <w:szCs w:val="20"/>
              </w:rPr>
              <w:t>合计</w:t>
            </w:r>
          </w:p>
        </w:tc>
        <w:tc>
          <w:tcPr>
            <w:tcW w:w="1691" w:type="dxa"/>
            <w:vAlign w:val="center"/>
          </w:tcPr>
          <w:p w14:paraId="0E539D1C">
            <w:pPr>
              <w:ind w:right="73"/>
              <w:jc w:val="right"/>
              <w:rPr>
                <w:rFonts w:ascii="Calibri" w:hAnsi="Calibri"/>
                <w:sz w:val="20"/>
                <w:szCs w:val="20"/>
              </w:rPr>
            </w:pPr>
            <w:r>
              <w:rPr>
                <w:rFonts w:ascii="Calibri" w:hAnsi="Calibri"/>
                <w:sz w:val="20"/>
                <w:szCs w:val="20"/>
              </w:rPr>
              <w:t>139,988,853.51</w:t>
            </w:r>
          </w:p>
        </w:tc>
        <w:tc>
          <w:tcPr>
            <w:tcW w:w="1352" w:type="dxa"/>
            <w:vAlign w:val="center"/>
          </w:tcPr>
          <w:p w14:paraId="1079AC16">
            <w:pPr>
              <w:jc w:val="right"/>
              <w:rPr>
                <w:rFonts w:ascii="Calibri" w:hAnsi="Calibri"/>
                <w:sz w:val="20"/>
                <w:szCs w:val="20"/>
              </w:rPr>
            </w:pPr>
            <w:r>
              <w:rPr>
                <w:rFonts w:ascii="Calibri" w:hAnsi="Calibri"/>
                <w:sz w:val="20"/>
                <w:szCs w:val="20"/>
              </w:rPr>
              <w:t>98.49</w:t>
            </w:r>
          </w:p>
        </w:tc>
        <w:tc>
          <w:tcPr>
            <w:tcW w:w="1379" w:type="dxa"/>
            <w:vAlign w:val="center"/>
          </w:tcPr>
          <w:p w14:paraId="481F6EC4">
            <w:pPr>
              <w:ind w:right="73"/>
              <w:jc w:val="center"/>
              <w:rPr>
                <w:rFonts w:ascii="Calibri" w:hAnsi="Calibri"/>
                <w:sz w:val="20"/>
                <w:szCs w:val="20"/>
              </w:rPr>
            </w:pPr>
            <w:r>
              <w:rPr>
                <w:rFonts w:ascii="Calibri" w:hAnsi="Calibri"/>
                <w:sz w:val="20"/>
                <w:szCs w:val="20"/>
              </w:rPr>
              <w:t>/</w:t>
            </w:r>
          </w:p>
        </w:tc>
        <w:tc>
          <w:tcPr>
            <w:tcW w:w="1353" w:type="dxa"/>
            <w:vAlign w:val="center"/>
          </w:tcPr>
          <w:p w14:paraId="6DD8953C">
            <w:pPr>
              <w:ind w:right="73"/>
              <w:jc w:val="center"/>
              <w:rPr>
                <w:rFonts w:ascii="Calibri" w:hAnsi="Calibri"/>
                <w:sz w:val="20"/>
                <w:szCs w:val="20"/>
              </w:rPr>
            </w:pPr>
            <w:r>
              <w:rPr>
                <w:rFonts w:ascii="Calibri" w:hAnsi="Calibri"/>
                <w:sz w:val="20"/>
                <w:szCs w:val="20"/>
              </w:rPr>
              <w:t>/</w:t>
            </w:r>
          </w:p>
        </w:tc>
        <w:tc>
          <w:tcPr>
            <w:tcW w:w="1706" w:type="dxa"/>
            <w:vAlign w:val="center"/>
          </w:tcPr>
          <w:p w14:paraId="0039010E">
            <w:pPr>
              <w:jc w:val="right"/>
              <w:rPr>
                <w:rFonts w:ascii="Calibri" w:hAnsi="Calibri"/>
                <w:sz w:val="20"/>
                <w:szCs w:val="20"/>
              </w:rPr>
            </w:pPr>
            <w:r>
              <w:rPr>
                <w:rFonts w:ascii="Calibri" w:hAnsi="Calibri"/>
                <w:sz w:val="20"/>
                <w:szCs w:val="20"/>
              </w:rPr>
              <w:t>91,046.91</w:t>
            </w:r>
          </w:p>
        </w:tc>
      </w:tr>
    </w:tbl>
    <w:p w14:paraId="37104990"/>
    <w:p w14:paraId="2B9525D8">
      <w:pPr>
        <w:pStyle w:val="6"/>
        <w:numPr>
          <w:ilvl w:val="0"/>
          <w:numId w:val="130"/>
        </w:numPr>
        <w:ind w:leftChars="0"/>
      </w:pPr>
      <w:r>
        <w:rPr>
          <w:rFonts w:hint="eastAsia"/>
        </w:rPr>
        <w:t>因资金集中管理而列报于其他应收款</w:t>
      </w:r>
    </w:p>
    <w:sdt>
      <w:sdtPr>
        <w:alias w:val="是否适用：母公司因资金集中管理而列报于其他应收款[双击切换]"/>
        <w:tag w:val="_GBC_618dc514c72c4f30836fe51ef5fc4589"/>
        <w:id w:val="-1491019960"/>
        <w:placeholder>
          <w:docPart w:val="GBC22222222222222222222222222222"/>
        </w:placeholder>
      </w:sdtPr>
      <w:sdtContent>
        <w:p w14:paraId="2E186A1E">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7FC4D1D">
      <w:pPr>
        <w:snapToGrid w:val="0"/>
        <w:spacing w:line="240" w:lineRule="atLeast"/>
      </w:pPr>
    </w:p>
    <w:bookmarkEnd w:id="421"/>
    <w:p w14:paraId="1B2DFE3B">
      <w:pPr>
        <w:pStyle w:val="48"/>
      </w:pPr>
      <w:r>
        <w:rPr>
          <w:rFonts w:hint="eastAsia"/>
        </w:rPr>
        <w:t>其他</w:t>
      </w:r>
      <w:r>
        <w:t>说明：</w:t>
      </w:r>
    </w:p>
    <w:sdt>
      <w:sdtPr>
        <w:rPr>
          <w:rFonts w:hint="eastAsia"/>
        </w:rPr>
        <w:alias w:val="是否适用：母公司其他应收款的其他说明[双击切换]"/>
        <w:tag w:val="_GBC_479bc9ed241548c695a3905f38eb23fd"/>
        <w:id w:val="-628560339"/>
        <w:placeholder>
          <w:docPart w:val="GBC22222222222222222222222222222"/>
        </w:placeholder>
      </w:sdtPr>
      <w:sdtEndPr>
        <w:rPr>
          <w:rFonts w:hint="eastAsia"/>
        </w:rPr>
      </w:sdtEndPr>
      <w:sdtContent>
        <w:p w14:paraId="2D46C71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F3E981F">
      <w:pPr>
        <w:pStyle w:val="48"/>
      </w:pPr>
    </w:p>
    <w:p w14:paraId="34ADC218">
      <w:pPr>
        <w:pStyle w:val="4"/>
        <w:numPr>
          <w:ilvl w:val="0"/>
          <w:numId w:val="126"/>
        </w:numPr>
      </w:pPr>
      <w:r>
        <w:rPr>
          <w:rFonts w:hint="eastAsia" w:ascii="宋体" w:hAnsi="宋体"/>
          <w:szCs w:val="21"/>
        </w:rPr>
        <w:t>长期股权投资</w:t>
      </w:r>
    </w:p>
    <w:sdt>
      <w:sdtPr>
        <w:alias w:val="是否适用：母公司长期股权投资[双击切换]"/>
        <w:tag w:val="_GBC_57a2f87498c64eab83308bdf3afc6268"/>
        <w:id w:val="481897735"/>
        <w:lock w:val="contentLocked"/>
        <w:placeholder>
          <w:docPart w:val="GBC22222222222222222222222222222"/>
        </w:placeholder>
      </w:sdtPr>
      <w:sdtContent>
        <w:p w14:paraId="00FC7BE3">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C358A4B">
      <w:pPr>
        <w:jc w:val="right"/>
      </w:pPr>
      <w:r>
        <w:rPr>
          <w:rFonts w:hint="eastAsia"/>
        </w:rPr>
        <w:t>单位：</w:t>
      </w:r>
      <w:sdt>
        <w:sdtPr>
          <w:rPr>
            <w:rFonts w:hint="eastAsia"/>
          </w:rPr>
          <w:alias w:val="单位：母公司财务附注：长期股权投资"/>
          <w:tag w:val="_GBC_9d11e81055cb4017a0055a75ae95ae64"/>
          <w:id w:val="-10549209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财务附注：长期股权投资"/>
          <w:tag w:val="_GBC_fbeeb4a7e8254b6dbbd1030f26dad505"/>
          <w:id w:val="322488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10207"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1701"/>
        <w:gridCol w:w="709"/>
        <w:gridCol w:w="1559"/>
        <w:gridCol w:w="1570"/>
        <w:gridCol w:w="698"/>
        <w:gridCol w:w="1701"/>
      </w:tblGrid>
      <w:tr w14:paraId="44E5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747ffd7336145fcb6d5e622fab54966"/>
            <w:id w:val="-2022386545"/>
          </w:sdtPr>
          <w:sdtContent>
            <w:tc>
              <w:tcPr>
                <w:tcW w:w="2269" w:type="dxa"/>
                <w:vMerge w:val="restart"/>
                <w:vAlign w:val="center"/>
              </w:tcPr>
              <w:p w14:paraId="0D4CBEA5">
                <w:pPr>
                  <w:jc w:val="center"/>
                  <w:rPr>
                    <w:rFonts w:ascii="Calibri" w:hAnsi="Calibri"/>
                    <w:sz w:val="20"/>
                    <w:szCs w:val="20"/>
                  </w:rPr>
                </w:pPr>
                <w:r>
                  <w:rPr>
                    <w:rFonts w:hint="eastAsia" w:ascii="Calibri" w:hAnsi="Calibri"/>
                    <w:sz w:val="20"/>
                    <w:szCs w:val="20"/>
                  </w:rPr>
                  <w:t>项目</w:t>
                </w:r>
              </w:p>
            </w:tc>
          </w:sdtContent>
        </w:sdt>
        <w:sdt>
          <w:sdtPr>
            <w:tag w:val="_PLD_0b9f6f6d89c44029bf1de3ed5f6a4aa0"/>
            <w:id w:val="-696305542"/>
          </w:sdtPr>
          <w:sdtContent>
            <w:tc>
              <w:tcPr>
                <w:tcW w:w="3969" w:type="dxa"/>
                <w:gridSpan w:val="3"/>
                <w:vAlign w:val="center"/>
              </w:tcPr>
              <w:p w14:paraId="3F81FCC0">
                <w:pPr>
                  <w:jc w:val="center"/>
                  <w:rPr>
                    <w:rFonts w:ascii="Calibri" w:hAnsi="Calibri"/>
                    <w:sz w:val="20"/>
                    <w:szCs w:val="20"/>
                  </w:rPr>
                </w:pPr>
                <w:r>
                  <w:rPr>
                    <w:rFonts w:hint="eastAsia" w:ascii="Calibri" w:hAnsi="Calibri"/>
                    <w:sz w:val="20"/>
                    <w:szCs w:val="20"/>
                  </w:rPr>
                  <w:t>期末余额</w:t>
                </w:r>
              </w:p>
            </w:tc>
          </w:sdtContent>
        </w:sdt>
        <w:sdt>
          <w:sdtPr>
            <w:tag w:val="_PLD_d1ebeae29ff34029a10a8e0c447a171b"/>
            <w:id w:val="62614166"/>
          </w:sdtPr>
          <w:sdtContent>
            <w:tc>
              <w:tcPr>
                <w:tcW w:w="3969" w:type="dxa"/>
                <w:gridSpan w:val="3"/>
                <w:vAlign w:val="center"/>
              </w:tcPr>
              <w:p w14:paraId="17AE60CC">
                <w:pPr>
                  <w:jc w:val="center"/>
                  <w:rPr>
                    <w:rFonts w:ascii="Calibri" w:hAnsi="Calibri"/>
                    <w:sz w:val="20"/>
                    <w:szCs w:val="20"/>
                  </w:rPr>
                </w:pPr>
                <w:r>
                  <w:rPr>
                    <w:rFonts w:hint="eastAsia" w:ascii="Calibri" w:hAnsi="Calibri"/>
                    <w:sz w:val="20"/>
                    <w:szCs w:val="20"/>
                  </w:rPr>
                  <w:t>期初余额</w:t>
                </w:r>
              </w:p>
            </w:tc>
          </w:sdtContent>
        </w:sdt>
      </w:tr>
      <w:tr w14:paraId="037B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Merge w:val="continue"/>
            <w:vAlign w:val="center"/>
          </w:tcPr>
          <w:p w14:paraId="1F2CECB3">
            <w:pPr>
              <w:jc w:val="center"/>
              <w:rPr>
                <w:rFonts w:ascii="Calibri" w:hAnsi="Calibri"/>
                <w:sz w:val="20"/>
                <w:szCs w:val="20"/>
              </w:rPr>
            </w:pPr>
          </w:p>
        </w:tc>
        <w:sdt>
          <w:sdtPr>
            <w:tag w:val="_PLD_dd00c7deeb1e4ede9c3e40d64760a230"/>
            <w:id w:val="1715311480"/>
          </w:sdtPr>
          <w:sdtContent>
            <w:tc>
              <w:tcPr>
                <w:tcW w:w="1701" w:type="dxa"/>
                <w:vAlign w:val="center"/>
              </w:tcPr>
              <w:p w14:paraId="14A2E005">
                <w:pPr>
                  <w:jc w:val="center"/>
                  <w:rPr>
                    <w:rFonts w:ascii="Calibri" w:hAnsi="Calibri"/>
                    <w:sz w:val="20"/>
                    <w:szCs w:val="20"/>
                  </w:rPr>
                </w:pPr>
                <w:r>
                  <w:rPr>
                    <w:rFonts w:hint="eastAsia" w:ascii="Calibri" w:hAnsi="Calibri"/>
                    <w:sz w:val="20"/>
                    <w:szCs w:val="20"/>
                  </w:rPr>
                  <w:t>账面余额</w:t>
                </w:r>
              </w:p>
            </w:tc>
          </w:sdtContent>
        </w:sdt>
        <w:sdt>
          <w:sdtPr>
            <w:tag w:val="_PLD_dc4e6ed6511949b7a546924cafae2546"/>
            <w:id w:val="-1361514308"/>
          </w:sdtPr>
          <w:sdtContent>
            <w:tc>
              <w:tcPr>
                <w:tcW w:w="709" w:type="dxa"/>
                <w:vAlign w:val="center"/>
              </w:tcPr>
              <w:p w14:paraId="709456D2">
                <w:pPr>
                  <w:jc w:val="center"/>
                  <w:rPr>
                    <w:rFonts w:ascii="Calibri" w:hAnsi="Calibri"/>
                    <w:sz w:val="20"/>
                    <w:szCs w:val="20"/>
                  </w:rPr>
                </w:pPr>
                <w:r>
                  <w:rPr>
                    <w:rFonts w:hint="eastAsia" w:ascii="Calibri" w:hAnsi="Calibri"/>
                    <w:sz w:val="20"/>
                    <w:szCs w:val="20"/>
                  </w:rPr>
                  <w:t>减值准备</w:t>
                </w:r>
              </w:p>
            </w:tc>
          </w:sdtContent>
        </w:sdt>
        <w:sdt>
          <w:sdtPr>
            <w:tag w:val="_PLD_1d7bbdc4e6144c95a3fcb7369904bea6"/>
            <w:id w:val="-960261511"/>
          </w:sdtPr>
          <w:sdtContent>
            <w:tc>
              <w:tcPr>
                <w:tcW w:w="1559" w:type="dxa"/>
                <w:vAlign w:val="center"/>
              </w:tcPr>
              <w:p w14:paraId="72BB060C">
                <w:pPr>
                  <w:jc w:val="center"/>
                  <w:rPr>
                    <w:rFonts w:ascii="Calibri" w:hAnsi="Calibri"/>
                    <w:sz w:val="20"/>
                    <w:szCs w:val="20"/>
                  </w:rPr>
                </w:pPr>
                <w:r>
                  <w:rPr>
                    <w:rFonts w:hint="eastAsia" w:ascii="Calibri" w:hAnsi="Calibri"/>
                    <w:sz w:val="20"/>
                    <w:szCs w:val="20"/>
                  </w:rPr>
                  <w:t>账面价值</w:t>
                </w:r>
              </w:p>
            </w:tc>
          </w:sdtContent>
        </w:sdt>
        <w:sdt>
          <w:sdtPr>
            <w:tag w:val="_PLD_bd8a9c944702423e9ff20ddba1c4b3aa"/>
            <w:id w:val="2031300641"/>
          </w:sdtPr>
          <w:sdtContent>
            <w:tc>
              <w:tcPr>
                <w:tcW w:w="1570" w:type="dxa"/>
                <w:vAlign w:val="center"/>
              </w:tcPr>
              <w:p w14:paraId="78F7204C">
                <w:pPr>
                  <w:jc w:val="center"/>
                  <w:rPr>
                    <w:rFonts w:ascii="Calibri" w:hAnsi="Calibri"/>
                    <w:sz w:val="20"/>
                    <w:szCs w:val="20"/>
                  </w:rPr>
                </w:pPr>
                <w:r>
                  <w:rPr>
                    <w:rFonts w:hint="eastAsia" w:ascii="Calibri" w:hAnsi="Calibri"/>
                    <w:sz w:val="20"/>
                    <w:szCs w:val="20"/>
                  </w:rPr>
                  <w:t>账面余额</w:t>
                </w:r>
              </w:p>
            </w:tc>
          </w:sdtContent>
        </w:sdt>
        <w:sdt>
          <w:sdtPr>
            <w:tag w:val="_PLD_708c7153bc9a48c792e109da0ba5f2f8"/>
            <w:id w:val="-1147357429"/>
          </w:sdtPr>
          <w:sdtContent>
            <w:tc>
              <w:tcPr>
                <w:tcW w:w="698" w:type="dxa"/>
                <w:vAlign w:val="center"/>
              </w:tcPr>
              <w:p w14:paraId="3904FB7B">
                <w:pPr>
                  <w:jc w:val="center"/>
                  <w:rPr>
                    <w:rFonts w:ascii="Calibri" w:hAnsi="Calibri"/>
                    <w:sz w:val="20"/>
                    <w:szCs w:val="20"/>
                  </w:rPr>
                </w:pPr>
                <w:r>
                  <w:rPr>
                    <w:rFonts w:hint="eastAsia" w:ascii="Calibri" w:hAnsi="Calibri"/>
                    <w:sz w:val="20"/>
                    <w:szCs w:val="20"/>
                  </w:rPr>
                  <w:t>减值准备</w:t>
                </w:r>
              </w:p>
            </w:tc>
          </w:sdtContent>
        </w:sdt>
        <w:sdt>
          <w:sdtPr>
            <w:tag w:val="_PLD_1516e7000a9747a28074e3f321fa96a7"/>
            <w:id w:val="-2007661939"/>
          </w:sdtPr>
          <w:sdtContent>
            <w:tc>
              <w:tcPr>
                <w:tcW w:w="1701" w:type="dxa"/>
                <w:vAlign w:val="center"/>
              </w:tcPr>
              <w:p w14:paraId="27098618">
                <w:pPr>
                  <w:jc w:val="center"/>
                  <w:rPr>
                    <w:rFonts w:ascii="Calibri" w:hAnsi="Calibri"/>
                    <w:sz w:val="20"/>
                    <w:szCs w:val="20"/>
                  </w:rPr>
                </w:pPr>
                <w:r>
                  <w:rPr>
                    <w:rFonts w:hint="eastAsia" w:ascii="Calibri" w:hAnsi="Calibri"/>
                    <w:sz w:val="20"/>
                    <w:szCs w:val="20"/>
                  </w:rPr>
                  <w:t>账面价值</w:t>
                </w:r>
              </w:p>
            </w:tc>
          </w:sdtContent>
        </w:sdt>
      </w:tr>
      <w:tr w14:paraId="7BE9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Align w:val="center"/>
          </w:tcPr>
          <w:p w14:paraId="6D3AD9AB">
            <w:pPr>
              <w:pStyle w:val="48"/>
              <w:rPr>
                <w:sz w:val="20"/>
                <w:szCs w:val="20"/>
              </w:rPr>
            </w:pPr>
            <w:r>
              <w:rPr>
                <w:rFonts w:hint="eastAsia"/>
                <w:sz w:val="20"/>
                <w:szCs w:val="20"/>
              </w:rPr>
              <w:t>对子公司投资</w:t>
            </w:r>
          </w:p>
        </w:tc>
        <w:tc>
          <w:tcPr>
            <w:tcW w:w="1701" w:type="dxa"/>
            <w:vAlign w:val="center"/>
          </w:tcPr>
          <w:p w14:paraId="5581644A">
            <w:pPr>
              <w:jc w:val="right"/>
              <w:rPr>
                <w:rFonts w:ascii="Calibri" w:hAnsi="Calibri"/>
                <w:sz w:val="20"/>
                <w:szCs w:val="20"/>
              </w:rPr>
            </w:pPr>
            <w:r>
              <w:rPr>
                <w:rFonts w:ascii="Calibri" w:hAnsi="Calibri"/>
                <w:sz w:val="20"/>
                <w:szCs w:val="20"/>
              </w:rPr>
              <w:t>373,487,728.96</w:t>
            </w:r>
          </w:p>
        </w:tc>
        <w:tc>
          <w:tcPr>
            <w:tcW w:w="709" w:type="dxa"/>
            <w:vAlign w:val="center"/>
          </w:tcPr>
          <w:p w14:paraId="0F9AE9DF">
            <w:pPr>
              <w:jc w:val="right"/>
              <w:rPr>
                <w:rFonts w:ascii="Calibri" w:hAnsi="Calibri"/>
                <w:sz w:val="20"/>
                <w:szCs w:val="20"/>
              </w:rPr>
            </w:pPr>
          </w:p>
        </w:tc>
        <w:tc>
          <w:tcPr>
            <w:tcW w:w="1559" w:type="dxa"/>
            <w:vAlign w:val="center"/>
          </w:tcPr>
          <w:p w14:paraId="2BFC192C">
            <w:pPr>
              <w:jc w:val="right"/>
              <w:rPr>
                <w:rFonts w:ascii="Calibri" w:hAnsi="Calibri"/>
                <w:sz w:val="20"/>
                <w:szCs w:val="20"/>
              </w:rPr>
            </w:pPr>
            <w:r>
              <w:rPr>
                <w:rFonts w:ascii="Calibri" w:hAnsi="Calibri"/>
                <w:sz w:val="20"/>
                <w:szCs w:val="20"/>
              </w:rPr>
              <w:t>373,487,728.96</w:t>
            </w:r>
          </w:p>
        </w:tc>
        <w:tc>
          <w:tcPr>
            <w:tcW w:w="1570" w:type="dxa"/>
            <w:vAlign w:val="center"/>
          </w:tcPr>
          <w:p w14:paraId="1801E247">
            <w:pPr>
              <w:jc w:val="right"/>
              <w:rPr>
                <w:rFonts w:ascii="Calibri" w:hAnsi="Calibri"/>
                <w:sz w:val="20"/>
                <w:szCs w:val="20"/>
              </w:rPr>
            </w:pPr>
            <w:r>
              <w:rPr>
                <w:rFonts w:ascii="Calibri" w:hAnsi="Calibri"/>
                <w:sz w:val="20"/>
                <w:szCs w:val="20"/>
              </w:rPr>
              <w:t>369,945,262.18</w:t>
            </w:r>
          </w:p>
        </w:tc>
        <w:tc>
          <w:tcPr>
            <w:tcW w:w="698" w:type="dxa"/>
            <w:vAlign w:val="center"/>
          </w:tcPr>
          <w:p w14:paraId="092F57B4">
            <w:pPr>
              <w:jc w:val="right"/>
              <w:rPr>
                <w:rFonts w:ascii="Calibri" w:hAnsi="Calibri"/>
                <w:sz w:val="20"/>
                <w:szCs w:val="20"/>
              </w:rPr>
            </w:pPr>
          </w:p>
        </w:tc>
        <w:tc>
          <w:tcPr>
            <w:tcW w:w="1701" w:type="dxa"/>
            <w:vAlign w:val="center"/>
          </w:tcPr>
          <w:p w14:paraId="0EF9F709">
            <w:pPr>
              <w:jc w:val="right"/>
              <w:rPr>
                <w:rFonts w:ascii="Calibri" w:hAnsi="Calibri"/>
                <w:sz w:val="20"/>
                <w:szCs w:val="20"/>
              </w:rPr>
            </w:pPr>
            <w:r>
              <w:rPr>
                <w:rFonts w:ascii="Calibri" w:hAnsi="Calibri"/>
                <w:sz w:val="20"/>
                <w:szCs w:val="20"/>
              </w:rPr>
              <w:t>369,945,262.18</w:t>
            </w:r>
          </w:p>
        </w:tc>
      </w:tr>
      <w:tr w14:paraId="4AE3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Align w:val="center"/>
          </w:tcPr>
          <w:p w14:paraId="4BD5AD12">
            <w:pPr>
              <w:pStyle w:val="48"/>
              <w:rPr>
                <w:sz w:val="20"/>
                <w:szCs w:val="20"/>
              </w:rPr>
            </w:pPr>
            <w:r>
              <w:rPr>
                <w:rFonts w:hint="eastAsia"/>
                <w:sz w:val="20"/>
                <w:szCs w:val="20"/>
              </w:rPr>
              <w:t>对联营、合营企业投资</w:t>
            </w:r>
          </w:p>
        </w:tc>
        <w:tc>
          <w:tcPr>
            <w:tcW w:w="1701" w:type="dxa"/>
            <w:vAlign w:val="center"/>
          </w:tcPr>
          <w:p w14:paraId="21C52D65">
            <w:pPr>
              <w:jc w:val="right"/>
              <w:rPr>
                <w:rFonts w:ascii="Calibri" w:hAnsi="Calibri"/>
                <w:sz w:val="20"/>
                <w:szCs w:val="20"/>
              </w:rPr>
            </w:pPr>
            <w:r>
              <w:rPr>
                <w:rFonts w:ascii="Calibri" w:hAnsi="Calibri"/>
                <w:sz w:val="20"/>
                <w:szCs w:val="20"/>
              </w:rPr>
              <w:t>500,104,601.53</w:t>
            </w:r>
          </w:p>
        </w:tc>
        <w:tc>
          <w:tcPr>
            <w:tcW w:w="709" w:type="dxa"/>
            <w:vAlign w:val="center"/>
          </w:tcPr>
          <w:p w14:paraId="55BCC134">
            <w:pPr>
              <w:jc w:val="right"/>
              <w:rPr>
                <w:rFonts w:ascii="Calibri" w:hAnsi="Calibri"/>
                <w:sz w:val="20"/>
                <w:szCs w:val="20"/>
              </w:rPr>
            </w:pPr>
          </w:p>
        </w:tc>
        <w:tc>
          <w:tcPr>
            <w:tcW w:w="1559" w:type="dxa"/>
            <w:vAlign w:val="center"/>
          </w:tcPr>
          <w:p w14:paraId="44D9F98A">
            <w:pPr>
              <w:jc w:val="right"/>
              <w:rPr>
                <w:rFonts w:ascii="Calibri" w:hAnsi="Calibri"/>
                <w:sz w:val="20"/>
                <w:szCs w:val="20"/>
              </w:rPr>
            </w:pPr>
            <w:r>
              <w:rPr>
                <w:rFonts w:ascii="Calibri" w:hAnsi="Calibri"/>
                <w:sz w:val="20"/>
                <w:szCs w:val="20"/>
              </w:rPr>
              <w:t>500,104,601.53</w:t>
            </w:r>
          </w:p>
        </w:tc>
        <w:tc>
          <w:tcPr>
            <w:tcW w:w="1570" w:type="dxa"/>
            <w:vAlign w:val="center"/>
          </w:tcPr>
          <w:p w14:paraId="4CD7FDC0">
            <w:pPr>
              <w:jc w:val="right"/>
              <w:rPr>
                <w:rFonts w:ascii="Calibri" w:hAnsi="Calibri"/>
                <w:sz w:val="20"/>
                <w:szCs w:val="20"/>
              </w:rPr>
            </w:pPr>
            <w:r>
              <w:rPr>
                <w:rFonts w:ascii="Calibri" w:hAnsi="Calibri"/>
                <w:sz w:val="20"/>
                <w:szCs w:val="20"/>
              </w:rPr>
              <w:t>591,545,639.62</w:t>
            </w:r>
          </w:p>
        </w:tc>
        <w:tc>
          <w:tcPr>
            <w:tcW w:w="698" w:type="dxa"/>
            <w:vAlign w:val="center"/>
          </w:tcPr>
          <w:p w14:paraId="28E5ED50">
            <w:pPr>
              <w:jc w:val="right"/>
              <w:rPr>
                <w:rFonts w:ascii="Calibri" w:hAnsi="Calibri"/>
                <w:sz w:val="20"/>
                <w:szCs w:val="20"/>
              </w:rPr>
            </w:pPr>
          </w:p>
        </w:tc>
        <w:tc>
          <w:tcPr>
            <w:tcW w:w="1701" w:type="dxa"/>
            <w:vAlign w:val="center"/>
          </w:tcPr>
          <w:p w14:paraId="70030A8B">
            <w:pPr>
              <w:jc w:val="right"/>
              <w:rPr>
                <w:rFonts w:ascii="Calibri" w:hAnsi="Calibri"/>
                <w:sz w:val="20"/>
                <w:szCs w:val="20"/>
              </w:rPr>
            </w:pPr>
            <w:r>
              <w:rPr>
                <w:rFonts w:ascii="Calibri" w:hAnsi="Calibri"/>
                <w:sz w:val="20"/>
                <w:szCs w:val="20"/>
              </w:rPr>
              <w:t>591,545,639.62</w:t>
            </w:r>
          </w:p>
        </w:tc>
      </w:tr>
      <w:tr w14:paraId="53AB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Align w:val="center"/>
          </w:tcPr>
          <w:p w14:paraId="7C3C41D9">
            <w:pPr>
              <w:jc w:val="center"/>
              <w:rPr>
                <w:rFonts w:ascii="Calibri" w:hAnsi="Calibri"/>
                <w:sz w:val="20"/>
                <w:szCs w:val="20"/>
              </w:rPr>
            </w:pPr>
            <w:r>
              <w:rPr>
                <w:rFonts w:hint="eastAsia" w:ascii="Calibri" w:hAnsi="Calibri"/>
                <w:sz w:val="20"/>
                <w:szCs w:val="20"/>
              </w:rPr>
              <w:t>合计</w:t>
            </w:r>
          </w:p>
        </w:tc>
        <w:tc>
          <w:tcPr>
            <w:tcW w:w="1701" w:type="dxa"/>
            <w:vAlign w:val="center"/>
          </w:tcPr>
          <w:p w14:paraId="7835E930">
            <w:pPr>
              <w:jc w:val="right"/>
              <w:rPr>
                <w:rFonts w:ascii="Calibri" w:hAnsi="Calibri"/>
                <w:sz w:val="20"/>
                <w:szCs w:val="20"/>
              </w:rPr>
            </w:pPr>
            <w:r>
              <w:rPr>
                <w:rFonts w:ascii="Calibri" w:hAnsi="Calibri"/>
                <w:sz w:val="20"/>
                <w:szCs w:val="20"/>
              </w:rPr>
              <w:t>873,592,330.49</w:t>
            </w:r>
          </w:p>
        </w:tc>
        <w:tc>
          <w:tcPr>
            <w:tcW w:w="709" w:type="dxa"/>
            <w:vAlign w:val="center"/>
          </w:tcPr>
          <w:p w14:paraId="42FFD20A">
            <w:pPr>
              <w:jc w:val="right"/>
              <w:rPr>
                <w:rFonts w:ascii="Calibri" w:hAnsi="Calibri"/>
                <w:sz w:val="20"/>
                <w:szCs w:val="20"/>
              </w:rPr>
            </w:pPr>
          </w:p>
        </w:tc>
        <w:tc>
          <w:tcPr>
            <w:tcW w:w="1559" w:type="dxa"/>
            <w:vAlign w:val="center"/>
          </w:tcPr>
          <w:p w14:paraId="5074FED2">
            <w:pPr>
              <w:jc w:val="right"/>
              <w:rPr>
                <w:rFonts w:ascii="Calibri" w:hAnsi="Calibri"/>
                <w:sz w:val="20"/>
                <w:szCs w:val="20"/>
              </w:rPr>
            </w:pPr>
            <w:r>
              <w:rPr>
                <w:rFonts w:ascii="Calibri" w:hAnsi="Calibri"/>
                <w:sz w:val="20"/>
                <w:szCs w:val="20"/>
              </w:rPr>
              <w:t>873,592,330.49</w:t>
            </w:r>
          </w:p>
        </w:tc>
        <w:tc>
          <w:tcPr>
            <w:tcW w:w="1570" w:type="dxa"/>
            <w:vAlign w:val="center"/>
          </w:tcPr>
          <w:p w14:paraId="3B309114">
            <w:pPr>
              <w:jc w:val="right"/>
              <w:rPr>
                <w:rFonts w:ascii="Calibri" w:hAnsi="Calibri"/>
                <w:sz w:val="20"/>
                <w:szCs w:val="20"/>
              </w:rPr>
            </w:pPr>
            <w:r>
              <w:rPr>
                <w:rFonts w:ascii="Calibri" w:hAnsi="Calibri"/>
                <w:sz w:val="20"/>
                <w:szCs w:val="20"/>
              </w:rPr>
              <w:t>961,490,901.80</w:t>
            </w:r>
          </w:p>
        </w:tc>
        <w:tc>
          <w:tcPr>
            <w:tcW w:w="698" w:type="dxa"/>
            <w:vAlign w:val="center"/>
          </w:tcPr>
          <w:p w14:paraId="2F480935">
            <w:pPr>
              <w:jc w:val="right"/>
              <w:rPr>
                <w:rFonts w:ascii="Calibri" w:hAnsi="Calibri"/>
                <w:sz w:val="20"/>
                <w:szCs w:val="20"/>
              </w:rPr>
            </w:pPr>
          </w:p>
        </w:tc>
        <w:tc>
          <w:tcPr>
            <w:tcW w:w="1701" w:type="dxa"/>
            <w:vAlign w:val="center"/>
          </w:tcPr>
          <w:p w14:paraId="229B03AA">
            <w:pPr>
              <w:jc w:val="right"/>
              <w:rPr>
                <w:rFonts w:ascii="Calibri" w:hAnsi="Calibri"/>
                <w:sz w:val="20"/>
                <w:szCs w:val="20"/>
              </w:rPr>
            </w:pPr>
            <w:r>
              <w:rPr>
                <w:rFonts w:ascii="Calibri" w:hAnsi="Calibri"/>
                <w:sz w:val="20"/>
                <w:szCs w:val="20"/>
              </w:rPr>
              <w:t>961,490,901.80</w:t>
            </w:r>
          </w:p>
        </w:tc>
      </w:tr>
    </w:tbl>
    <w:p w14:paraId="67B3FEEC">
      <w:pPr>
        <w:pStyle w:val="48"/>
      </w:pPr>
    </w:p>
    <w:p w14:paraId="7D023DC7">
      <w:pPr>
        <w:pStyle w:val="5"/>
        <w:numPr>
          <w:ilvl w:val="0"/>
          <w:numId w:val="131"/>
        </w:numPr>
      </w:pPr>
      <w:bookmarkStart w:id="422" w:name="_Hlk183097113"/>
      <w:r>
        <w:rPr>
          <w:rFonts w:hint="eastAsia"/>
        </w:rPr>
        <w:t>对子公司投资</w:t>
      </w:r>
    </w:p>
    <w:sdt>
      <w:sdtPr>
        <w:alias w:val="是否适用：母公司对子公司投资[双击切换]"/>
        <w:tag w:val="_GBC_db6ca6099b0a42bca0cbba7ead69557f"/>
        <w:id w:val="-1052151039"/>
        <w:placeholder>
          <w:docPart w:val="GBC22222222222222222222222222222"/>
        </w:placeholder>
      </w:sdtPr>
      <w:sdtContent>
        <w:p w14:paraId="4CE9263D">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A57A5B5">
      <w:pPr>
        <w:jc w:val="right"/>
      </w:pPr>
      <w:r>
        <w:rPr>
          <w:rFonts w:hint="eastAsia"/>
        </w:rPr>
        <w:t>单位：</w:t>
      </w:r>
      <w:sdt>
        <w:sdtPr>
          <w:rPr>
            <w:rFonts w:hint="eastAsia"/>
          </w:rPr>
          <w:alias w:val="单位：母公司财务附注：对子公司投资"/>
          <w:tag w:val="_GBC_744810ff600d4176af7d45c0bf0b7978"/>
          <w:id w:val="12857773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财务附注：对子公司投资"/>
          <w:tag w:val="_GBC_d2f8249dd813484db8850cd3e6e60609"/>
          <w:id w:val="-14681938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422"/>
    <w:tbl>
      <w:tblPr>
        <w:tblStyle w:val="57"/>
        <w:tblW w:w="10349"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559"/>
        <w:gridCol w:w="821"/>
        <w:gridCol w:w="1306"/>
        <w:gridCol w:w="675"/>
        <w:gridCol w:w="964"/>
        <w:gridCol w:w="1007"/>
        <w:gridCol w:w="1606"/>
        <w:gridCol w:w="709"/>
      </w:tblGrid>
      <w:tr w14:paraId="4464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sdt>
          <w:sdtPr>
            <w:tag w:val="_PLD_d6bd1b977853473e95bd45b9709f33ad"/>
            <w:id w:val="211614034"/>
          </w:sdtPr>
          <w:sdtContent>
            <w:tc>
              <w:tcPr>
                <w:tcW w:w="1702" w:type="dxa"/>
                <w:vMerge w:val="restart"/>
                <w:tcBorders>
                  <w:top w:val="single" w:color="auto" w:sz="4" w:space="0"/>
                  <w:left w:val="single" w:color="auto" w:sz="4" w:space="0"/>
                  <w:right w:val="single" w:color="auto" w:sz="4" w:space="0"/>
                </w:tcBorders>
                <w:vAlign w:val="center"/>
              </w:tcPr>
              <w:p w14:paraId="1A055611">
                <w:pPr>
                  <w:jc w:val="center"/>
                  <w:rPr>
                    <w:rFonts w:ascii="Calibri" w:hAnsi="Calibri"/>
                    <w:sz w:val="20"/>
                    <w:szCs w:val="20"/>
                  </w:rPr>
                </w:pPr>
                <w:r>
                  <w:rPr>
                    <w:rFonts w:hint="eastAsia" w:ascii="Calibri" w:hAnsi="Calibri"/>
                    <w:sz w:val="20"/>
                    <w:szCs w:val="20"/>
                  </w:rPr>
                  <w:t>被投资单位</w:t>
                </w:r>
              </w:p>
            </w:tc>
          </w:sdtContent>
        </w:sdt>
        <w:sdt>
          <w:sdtPr>
            <w:tag w:val="_PLD_dfca273db8c94621ae808db0b8393c3e"/>
            <w:id w:val="884601692"/>
          </w:sdtPr>
          <w:sdtContent>
            <w:tc>
              <w:tcPr>
                <w:tcW w:w="1559" w:type="dxa"/>
                <w:vMerge w:val="restart"/>
                <w:tcBorders>
                  <w:top w:val="single" w:color="auto" w:sz="4" w:space="0"/>
                  <w:left w:val="single" w:color="auto" w:sz="4" w:space="0"/>
                  <w:right w:val="single" w:color="auto" w:sz="4" w:space="0"/>
                </w:tcBorders>
                <w:vAlign w:val="center"/>
              </w:tcPr>
              <w:p w14:paraId="2EED4561">
                <w:pPr>
                  <w:jc w:val="center"/>
                  <w:rPr>
                    <w:rFonts w:ascii="Calibri" w:hAnsi="Calibri"/>
                    <w:sz w:val="20"/>
                    <w:szCs w:val="20"/>
                  </w:rPr>
                </w:pPr>
                <w:r>
                  <w:rPr>
                    <w:rFonts w:hint="eastAsia" w:ascii="Calibri" w:hAnsi="Calibri"/>
                    <w:sz w:val="20"/>
                    <w:szCs w:val="20"/>
                  </w:rPr>
                  <w:t>期初余额（账面价值）</w:t>
                </w:r>
              </w:p>
            </w:tc>
          </w:sdtContent>
        </w:sdt>
        <w:sdt>
          <w:sdtPr>
            <w:tag w:val="_PLD_207fa0db16cd408da51641aebf065076"/>
            <w:id w:val="-1956713640"/>
          </w:sdtPr>
          <w:sdtContent>
            <w:tc>
              <w:tcPr>
                <w:tcW w:w="821" w:type="dxa"/>
                <w:vMerge w:val="restart"/>
                <w:tcBorders>
                  <w:top w:val="single" w:color="auto" w:sz="4" w:space="0"/>
                  <w:left w:val="single" w:color="auto" w:sz="4" w:space="0"/>
                  <w:right w:val="single" w:color="auto" w:sz="4" w:space="0"/>
                </w:tcBorders>
                <w:vAlign w:val="center"/>
              </w:tcPr>
              <w:p w14:paraId="1244A78E">
                <w:pPr>
                  <w:jc w:val="center"/>
                  <w:rPr>
                    <w:rFonts w:ascii="Calibri" w:hAnsi="Calibri"/>
                    <w:sz w:val="20"/>
                    <w:szCs w:val="20"/>
                  </w:rPr>
                </w:pPr>
                <w:r>
                  <w:rPr>
                    <w:rFonts w:hint="eastAsia" w:ascii="Calibri" w:hAnsi="Calibri"/>
                    <w:sz w:val="20"/>
                    <w:szCs w:val="20"/>
                  </w:rPr>
                  <w:t>减值准备期初余额</w:t>
                </w:r>
              </w:p>
            </w:tc>
          </w:sdtContent>
        </w:sdt>
        <w:sdt>
          <w:sdtPr>
            <w:tag w:val="_PLD_102d3532a197425b9668f17eda325ed9"/>
            <w:id w:val="34782626"/>
          </w:sdtPr>
          <w:sdtContent>
            <w:tc>
              <w:tcPr>
                <w:tcW w:w="3952" w:type="dxa"/>
                <w:gridSpan w:val="4"/>
                <w:tcBorders>
                  <w:top w:val="single" w:color="auto" w:sz="4" w:space="0"/>
                  <w:left w:val="single" w:color="auto" w:sz="4" w:space="0"/>
                  <w:bottom w:val="single" w:color="auto" w:sz="4" w:space="0"/>
                  <w:right w:val="single" w:color="auto" w:sz="4" w:space="0"/>
                </w:tcBorders>
                <w:vAlign w:val="center"/>
              </w:tcPr>
              <w:p w14:paraId="43F4C90A">
                <w:pPr>
                  <w:jc w:val="center"/>
                  <w:rPr>
                    <w:rFonts w:ascii="Calibri" w:hAnsi="Calibri"/>
                    <w:sz w:val="20"/>
                    <w:szCs w:val="20"/>
                  </w:rPr>
                </w:pPr>
                <w:r>
                  <w:rPr>
                    <w:rFonts w:hint="eastAsia" w:ascii="Calibri" w:hAnsi="Calibri"/>
                    <w:sz w:val="20"/>
                    <w:szCs w:val="20"/>
                  </w:rPr>
                  <w:t>本期增减变动</w:t>
                </w:r>
              </w:p>
            </w:tc>
          </w:sdtContent>
        </w:sdt>
        <w:sdt>
          <w:sdtPr>
            <w:tag w:val="_PLD_2554c67582634570800484fc9e2a0422"/>
            <w:id w:val="1357305650"/>
          </w:sdtPr>
          <w:sdtContent>
            <w:tc>
              <w:tcPr>
                <w:tcW w:w="1606" w:type="dxa"/>
                <w:vMerge w:val="restart"/>
                <w:tcBorders>
                  <w:top w:val="single" w:color="auto" w:sz="4" w:space="0"/>
                  <w:left w:val="single" w:color="auto" w:sz="4" w:space="0"/>
                  <w:right w:val="single" w:color="auto" w:sz="4" w:space="0"/>
                </w:tcBorders>
                <w:vAlign w:val="center"/>
              </w:tcPr>
              <w:p w14:paraId="304662AC">
                <w:pPr>
                  <w:jc w:val="center"/>
                  <w:rPr>
                    <w:rFonts w:ascii="Calibri" w:hAnsi="Calibri"/>
                    <w:sz w:val="20"/>
                    <w:szCs w:val="20"/>
                  </w:rPr>
                </w:pPr>
                <w:r>
                  <w:rPr>
                    <w:rFonts w:hint="eastAsia" w:ascii="Calibri" w:hAnsi="Calibri"/>
                    <w:sz w:val="20"/>
                    <w:szCs w:val="20"/>
                  </w:rPr>
                  <w:t>期末余额（账面价值）</w:t>
                </w:r>
              </w:p>
            </w:tc>
          </w:sdtContent>
        </w:sdt>
        <w:sdt>
          <w:sdtPr>
            <w:tag w:val="_PLD_506ae787a0d747fd8b850b3b13cc1e28"/>
            <w:id w:val="356014341"/>
          </w:sdtPr>
          <w:sdtContent>
            <w:tc>
              <w:tcPr>
                <w:tcW w:w="709" w:type="dxa"/>
                <w:vMerge w:val="restart"/>
                <w:tcBorders>
                  <w:top w:val="single" w:color="auto" w:sz="4" w:space="0"/>
                  <w:left w:val="single" w:color="auto" w:sz="4" w:space="0"/>
                  <w:right w:val="single" w:color="auto" w:sz="4" w:space="0"/>
                </w:tcBorders>
                <w:vAlign w:val="center"/>
              </w:tcPr>
              <w:p w14:paraId="628EC85F">
                <w:pPr>
                  <w:jc w:val="center"/>
                  <w:rPr>
                    <w:rFonts w:ascii="Calibri" w:hAnsi="Calibri"/>
                    <w:sz w:val="20"/>
                    <w:szCs w:val="20"/>
                  </w:rPr>
                </w:pPr>
                <w:r>
                  <w:rPr>
                    <w:rFonts w:hint="eastAsia" w:ascii="Calibri" w:hAnsi="Calibri"/>
                    <w:sz w:val="20"/>
                    <w:szCs w:val="20"/>
                  </w:rPr>
                  <w:t>减值准备期末余额</w:t>
                </w:r>
              </w:p>
            </w:tc>
          </w:sdtContent>
        </w:sdt>
      </w:tr>
      <w:tr w14:paraId="73DC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702" w:type="dxa"/>
            <w:vMerge w:val="continue"/>
            <w:tcBorders>
              <w:left w:val="single" w:color="auto" w:sz="4" w:space="0"/>
              <w:bottom w:val="single" w:color="auto" w:sz="4" w:space="0"/>
              <w:right w:val="single" w:color="auto" w:sz="4" w:space="0"/>
            </w:tcBorders>
            <w:vAlign w:val="center"/>
          </w:tcPr>
          <w:p w14:paraId="2B08D301">
            <w:pPr>
              <w:jc w:val="center"/>
              <w:rPr>
                <w:rFonts w:ascii="Calibri" w:hAnsi="Calibri"/>
                <w:sz w:val="20"/>
                <w:szCs w:val="20"/>
              </w:rPr>
            </w:pPr>
          </w:p>
        </w:tc>
        <w:tc>
          <w:tcPr>
            <w:tcW w:w="1559" w:type="dxa"/>
            <w:vMerge w:val="continue"/>
            <w:tcBorders>
              <w:left w:val="single" w:color="auto" w:sz="4" w:space="0"/>
              <w:bottom w:val="single" w:color="auto" w:sz="4" w:space="0"/>
              <w:right w:val="single" w:color="auto" w:sz="4" w:space="0"/>
            </w:tcBorders>
            <w:vAlign w:val="center"/>
          </w:tcPr>
          <w:p w14:paraId="64411D1A">
            <w:pPr>
              <w:jc w:val="center"/>
              <w:rPr>
                <w:rFonts w:ascii="Calibri" w:hAnsi="Calibri"/>
                <w:sz w:val="20"/>
                <w:szCs w:val="20"/>
              </w:rPr>
            </w:pPr>
          </w:p>
        </w:tc>
        <w:tc>
          <w:tcPr>
            <w:tcW w:w="821" w:type="dxa"/>
            <w:vMerge w:val="continue"/>
            <w:tcBorders>
              <w:left w:val="single" w:color="auto" w:sz="4" w:space="0"/>
              <w:bottom w:val="single" w:color="auto" w:sz="4" w:space="0"/>
              <w:right w:val="single" w:color="auto" w:sz="4" w:space="0"/>
            </w:tcBorders>
            <w:vAlign w:val="center"/>
          </w:tcPr>
          <w:p w14:paraId="3781690A">
            <w:pPr>
              <w:jc w:val="center"/>
              <w:rPr>
                <w:rFonts w:ascii="Calibri" w:hAnsi="Calibri"/>
                <w:sz w:val="20"/>
                <w:szCs w:val="20"/>
              </w:rPr>
            </w:pPr>
          </w:p>
        </w:tc>
        <w:sdt>
          <w:sdtPr>
            <w:tag w:val="_PLD_82e1276ea16049878dd86dc7f97ce1b8"/>
            <w:id w:val="2075234958"/>
          </w:sdtPr>
          <w:sdtContent>
            <w:tc>
              <w:tcPr>
                <w:tcW w:w="1306" w:type="dxa"/>
                <w:tcBorders>
                  <w:top w:val="single" w:color="auto" w:sz="4" w:space="0"/>
                  <w:left w:val="single" w:color="auto" w:sz="4" w:space="0"/>
                  <w:bottom w:val="single" w:color="auto" w:sz="4" w:space="0"/>
                  <w:right w:val="single" w:color="auto" w:sz="4" w:space="0"/>
                </w:tcBorders>
                <w:vAlign w:val="center"/>
              </w:tcPr>
              <w:p w14:paraId="2AE78675">
                <w:pPr>
                  <w:jc w:val="center"/>
                  <w:rPr>
                    <w:rFonts w:ascii="Calibri" w:hAnsi="Calibri"/>
                    <w:sz w:val="20"/>
                    <w:szCs w:val="20"/>
                  </w:rPr>
                </w:pPr>
                <w:r>
                  <w:rPr>
                    <w:rFonts w:hint="eastAsia" w:ascii="Calibri" w:hAnsi="Calibri"/>
                    <w:sz w:val="20"/>
                    <w:szCs w:val="20"/>
                  </w:rPr>
                  <w:t>追加投资</w:t>
                </w:r>
              </w:p>
            </w:tc>
          </w:sdtContent>
        </w:sdt>
        <w:sdt>
          <w:sdtPr>
            <w:tag w:val="_PLD_38bb9dba87bb42bfaf6b04b85c4cc3d4"/>
            <w:id w:val="-1093938723"/>
          </w:sdtPr>
          <w:sdtContent>
            <w:tc>
              <w:tcPr>
                <w:tcW w:w="675" w:type="dxa"/>
                <w:tcBorders>
                  <w:left w:val="single" w:color="auto" w:sz="4" w:space="0"/>
                  <w:bottom w:val="single" w:color="auto" w:sz="4" w:space="0"/>
                  <w:right w:val="single" w:color="auto" w:sz="4" w:space="0"/>
                </w:tcBorders>
                <w:vAlign w:val="center"/>
              </w:tcPr>
              <w:p w14:paraId="5D372B82">
                <w:pPr>
                  <w:jc w:val="center"/>
                  <w:rPr>
                    <w:rFonts w:ascii="Calibri" w:hAnsi="Calibri"/>
                    <w:sz w:val="20"/>
                    <w:szCs w:val="20"/>
                  </w:rPr>
                </w:pPr>
                <w:r>
                  <w:rPr>
                    <w:rFonts w:hint="eastAsia" w:ascii="Calibri" w:hAnsi="Calibri"/>
                    <w:sz w:val="20"/>
                    <w:szCs w:val="20"/>
                  </w:rPr>
                  <w:t>减少投资</w:t>
                </w:r>
              </w:p>
            </w:tc>
          </w:sdtContent>
        </w:sdt>
        <w:sdt>
          <w:sdtPr>
            <w:tag w:val="_PLD_c8ba4c1973d24083b160e5d4377dba54"/>
            <w:id w:val="1720866042"/>
          </w:sdtPr>
          <w:sdtContent>
            <w:tc>
              <w:tcPr>
                <w:tcW w:w="964" w:type="dxa"/>
                <w:tcBorders>
                  <w:left w:val="single" w:color="auto" w:sz="4" w:space="0"/>
                  <w:bottom w:val="single" w:color="auto" w:sz="4" w:space="0"/>
                  <w:right w:val="single" w:color="auto" w:sz="4" w:space="0"/>
                </w:tcBorders>
                <w:vAlign w:val="center"/>
              </w:tcPr>
              <w:p w14:paraId="19C5DA21">
                <w:pPr>
                  <w:jc w:val="center"/>
                  <w:rPr>
                    <w:rFonts w:ascii="Calibri" w:hAnsi="Calibri"/>
                    <w:sz w:val="20"/>
                    <w:szCs w:val="20"/>
                  </w:rPr>
                </w:pPr>
                <w:r>
                  <w:rPr>
                    <w:rFonts w:hint="eastAsia" w:ascii="Calibri" w:hAnsi="Calibri"/>
                    <w:sz w:val="20"/>
                    <w:szCs w:val="20"/>
                  </w:rPr>
                  <w:t>计提减值准备</w:t>
                </w:r>
              </w:p>
            </w:tc>
          </w:sdtContent>
        </w:sdt>
        <w:sdt>
          <w:sdtPr>
            <w:tag w:val="_PLD_1fc11db026f7483585537cdf471d9062"/>
            <w:id w:val="1512025429"/>
          </w:sdtPr>
          <w:sdtContent>
            <w:tc>
              <w:tcPr>
                <w:tcW w:w="1007" w:type="dxa"/>
                <w:tcBorders>
                  <w:left w:val="single" w:color="auto" w:sz="4" w:space="0"/>
                  <w:bottom w:val="single" w:color="auto" w:sz="4" w:space="0"/>
                  <w:right w:val="single" w:color="auto" w:sz="4" w:space="0"/>
                </w:tcBorders>
                <w:vAlign w:val="center"/>
              </w:tcPr>
              <w:p w14:paraId="33427DE9">
                <w:pPr>
                  <w:jc w:val="center"/>
                  <w:rPr>
                    <w:rFonts w:ascii="Calibri" w:hAnsi="Calibri"/>
                    <w:sz w:val="20"/>
                    <w:szCs w:val="20"/>
                  </w:rPr>
                </w:pPr>
                <w:r>
                  <w:rPr>
                    <w:rFonts w:hint="eastAsia" w:ascii="Calibri" w:hAnsi="Calibri"/>
                    <w:sz w:val="20"/>
                    <w:szCs w:val="20"/>
                  </w:rPr>
                  <w:t>其他</w:t>
                </w:r>
              </w:p>
            </w:tc>
          </w:sdtContent>
        </w:sdt>
        <w:tc>
          <w:tcPr>
            <w:tcW w:w="1606" w:type="dxa"/>
            <w:vMerge w:val="continue"/>
            <w:tcBorders>
              <w:left w:val="single" w:color="auto" w:sz="4" w:space="0"/>
              <w:bottom w:val="single" w:color="auto" w:sz="4" w:space="0"/>
              <w:right w:val="single" w:color="auto" w:sz="4" w:space="0"/>
            </w:tcBorders>
            <w:vAlign w:val="center"/>
          </w:tcPr>
          <w:p w14:paraId="13F62249">
            <w:pPr>
              <w:jc w:val="center"/>
              <w:rPr>
                <w:rFonts w:ascii="Calibri" w:hAnsi="Calibri"/>
                <w:sz w:val="20"/>
                <w:szCs w:val="20"/>
              </w:rPr>
            </w:pPr>
          </w:p>
        </w:tc>
        <w:tc>
          <w:tcPr>
            <w:tcW w:w="709" w:type="dxa"/>
            <w:vMerge w:val="continue"/>
            <w:tcBorders>
              <w:left w:val="single" w:color="auto" w:sz="4" w:space="0"/>
              <w:bottom w:val="single" w:color="auto" w:sz="4" w:space="0"/>
              <w:right w:val="single" w:color="auto" w:sz="4" w:space="0"/>
            </w:tcBorders>
            <w:vAlign w:val="center"/>
          </w:tcPr>
          <w:p w14:paraId="10404EEB">
            <w:pPr>
              <w:jc w:val="center"/>
              <w:rPr>
                <w:rFonts w:ascii="Calibri" w:hAnsi="Calibri"/>
                <w:sz w:val="20"/>
                <w:szCs w:val="20"/>
              </w:rPr>
            </w:pPr>
          </w:p>
        </w:tc>
      </w:tr>
      <w:tr w14:paraId="16A2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Borders>
              <w:top w:val="single" w:color="auto" w:sz="4" w:space="0"/>
              <w:left w:val="single" w:color="auto" w:sz="4" w:space="0"/>
              <w:bottom w:val="single" w:color="auto" w:sz="4" w:space="0"/>
              <w:right w:val="single" w:color="auto" w:sz="4" w:space="0"/>
            </w:tcBorders>
            <w:vAlign w:val="center"/>
          </w:tcPr>
          <w:p w14:paraId="0B4E04FE">
            <w:pPr>
              <w:pStyle w:val="48"/>
              <w:rPr>
                <w:sz w:val="20"/>
                <w:szCs w:val="20"/>
              </w:rPr>
            </w:pPr>
            <w:r>
              <w:rPr>
                <w:sz w:val="20"/>
                <w:szCs w:val="20"/>
              </w:rPr>
              <w:t>通化东宝环保建材股份有限公司</w:t>
            </w:r>
          </w:p>
        </w:tc>
        <w:tc>
          <w:tcPr>
            <w:tcW w:w="1559" w:type="dxa"/>
            <w:tcBorders>
              <w:top w:val="single" w:color="auto" w:sz="4" w:space="0"/>
              <w:left w:val="single" w:color="auto" w:sz="4" w:space="0"/>
              <w:bottom w:val="single" w:color="auto" w:sz="4" w:space="0"/>
              <w:right w:val="single" w:color="auto" w:sz="4" w:space="0"/>
            </w:tcBorders>
            <w:vAlign w:val="center"/>
          </w:tcPr>
          <w:p w14:paraId="5563BFAB">
            <w:pPr>
              <w:jc w:val="right"/>
              <w:rPr>
                <w:rFonts w:ascii="Calibri" w:hAnsi="Calibri"/>
                <w:sz w:val="20"/>
                <w:szCs w:val="20"/>
              </w:rPr>
            </w:pPr>
            <w:r>
              <w:rPr>
                <w:rFonts w:ascii="Calibri" w:hAnsi="Calibri"/>
                <w:sz w:val="20"/>
                <w:szCs w:val="20"/>
              </w:rPr>
              <w:t>95,088,000.00</w:t>
            </w:r>
          </w:p>
        </w:tc>
        <w:tc>
          <w:tcPr>
            <w:tcW w:w="821" w:type="dxa"/>
            <w:tcBorders>
              <w:top w:val="single" w:color="auto" w:sz="4" w:space="0"/>
              <w:left w:val="single" w:color="auto" w:sz="4" w:space="0"/>
              <w:bottom w:val="single" w:color="auto" w:sz="4" w:space="0"/>
              <w:right w:val="single" w:color="auto" w:sz="4" w:space="0"/>
            </w:tcBorders>
            <w:vAlign w:val="center"/>
          </w:tcPr>
          <w:p w14:paraId="6FCBEEC2">
            <w:pPr>
              <w:jc w:val="right"/>
              <w:rPr>
                <w:rFonts w:ascii="Calibri" w:hAnsi="Calibri"/>
                <w:sz w:val="20"/>
                <w:szCs w:val="20"/>
              </w:rPr>
            </w:pPr>
          </w:p>
        </w:tc>
        <w:tc>
          <w:tcPr>
            <w:tcW w:w="1306" w:type="dxa"/>
            <w:tcBorders>
              <w:top w:val="single" w:color="auto" w:sz="4" w:space="0"/>
              <w:left w:val="single" w:color="auto" w:sz="4" w:space="0"/>
              <w:bottom w:val="single" w:color="auto" w:sz="4" w:space="0"/>
              <w:right w:val="single" w:color="auto" w:sz="4" w:space="0"/>
            </w:tcBorders>
            <w:vAlign w:val="center"/>
          </w:tcPr>
          <w:p w14:paraId="43FBED39">
            <w:pPr>
              <w:jc w:val="right"/>
              <w:rPr>
                <w:rFonts w:ascii="Calibri" w:hAnsi="Calibri"/>
                <w:sz w:val="20"/>
                <w:szCs w:val="20"/>
              </w:rPr>
            </w:pPr>
          </w:p>
        </w:tc>
        <w:tc>
          <w:tcPr>
            <w:tcW w:w="675" w:type="dxa"/>
            <w:tcBorders>
              <w:top w:val="single" w:color="auto" w:sz="4" w:space="0"/>
              <w:left w:val="single" w:color="auto" w:sz="4" w:space="0"/>
              <w:bottom w:val="single" w:color="auto" w:sz="4" w:space="0"/>
              <w:right w:val="single" w:color="auto" w:sz="4" w:space="0"/>
            </w:tcBorders>
            <w:vAlign w:val="center"/>
          </w:tcPr>
          <w:p w14:paraId="5E38B5DA">
            <w:pPr>
              <w:jc w:val="right"/>
              <w:rPr>
                <w:rFonts w:ascii="Calibri" w:hAnsi="Calibri"/>
                <w:sz w:val="20"/>
                <w:szCs w:val="20"/>
              </w:rPr>
            </w:pPr>
          </w:p>
        </w:tc>
        <w:tc>
          <w:tcPr>
            <w:tcW w:w="964" w:type="dxa"/>
            <w:tcBorders>
              <w:top w:val="single" w:color="auto" w:sz="4" w:space="0"/>
              <w:left w:val="single" w:color="auto" w:sz="4" w:space="0"/>
              <w:bottom w:val="single" w:color="auto" w:sz="4" w:space="0"/>
              <w:right w:val="single" w:color="auto" w:sz="4" w:space="0"/>
            </w:tcBorders>
            <w:vAlign w:val="center"/>
          </w:tcPr>
          <w:p w14:paraId="0184D251">
            <w:pPr>
              <w:jc w:val="right"/>
              <w:rPr>
                <w:rFonts w:ascii="Calibri" w:hAnsi="Calibri"/>
                <w:sz w:val="20"/>
                <w:szCs w:val="20"/>
              </w:rPr>
            </w:pPr>
          </w:p>
        </w:tc>
        <w:tc>
          <w:tcPr>
            <w:tcW w:w="1007" w:type="dxa"/>
            <w:tcBorders>
              <w:top w:val="single" w:color="auto" w:sz="4" w:space="0"/>
              <w:left w:val="single" w:color="auto" w:sz="4" w:space="0"/>
              <w:bottom w:val="single" w:color="auto" w:sz="4" w:space="0"/>
              <w:right w:val="single" w:color="auto" w:sz="4" w:space="0"/>
            </w:tcBorders>
            <w:vAlign w:val="center"/>
          </w:tcPr>
          <w:p w14:paraId="49BCE723">
            <w:pPr>
              <w:jc w:val="right"/>
              <w:rPr>
                <w:rFonts w:ascii="Calibri" w:hAnsi="Calibri"/>
                <w:sz w:val="20"/>
                <w:szCs w:val="20"/>
              </w:rPr>
            </w:pPr>
          </w:p>
        </w:tc>
        <w:tc>
          <w:tcPr>
            <w:tcW w:w="1606" w:type="dxa"/>
            <w:tcBorders>
              <w:top w:val="single" w:color="auto" w:sz="4" w:space="0"/>
              <w:left w:val="single" w:color="auto" w:sz="4" w:space="0"/>
              <w:bottom w:val="single" w:color="auto" w:sz="4" w:space="0"/>
              <w:right w:val="single" w:color="auto" w:sz="4" w:space="0"/>
            </w:tcBorders>
            <w:vAlign w:val="center"/>
          </w:tcPr>
          <w:p w14:paraId="23A2DD9A">
            <w:pPr>
              <w:jc w:val="right"/>
              <w:rPr>
                <w:rFonts w:ascii="Calibri" w:hAnsi="Calibri"/>
                <w:sz w:val="20"/>
                <w:szCs w:val="20"/>
              </w:rPr>
            </w:pPr>
            <w:r>
              <w:rPr>
                <w:rFonts w:ascii="Calibri" w:hAnsi="Calibri"/>
                <w:sz w:val="20"/>
                <w:szCs w:val="20"/>
              </w:rPr>
              <w:t>95,088,000.00</w:t>
            </w:r>
          </w:p>
        </w:tc>
        <w:tc>
          <w:tcPr>
            <w:tcW w:w="709" w:type="dxa"/>
            <w:tcBorders>
              <w:top w:val="single" w:color="auto" w:sz="4" w:space="0"/>
              <w:left w:val="single" w:color="auto" w:sz="4" w:space="0"/>
              <w:bottom w:val="single" w:color="auto" w:sz="4" w:space="0"/>
              <w:right w:val="single" w:color="auto" w:sz="4" w:space="0"/>
            </w:tcBorders>
            <w:vAlign w:val="center"/>
          </w:tcPr>
          <w:p w14:paraId="14BD558D">
            <w:pPr>
              <w:jc w:val="right"/>
              <w:rPr>
                <w:rFonts w:ascii="Calibri" w:hAnsi="Calibri"/>
                <w:sz w:val="20"/>
                <w:szCs w:val="20"/>
              </w:rPr>
            </w:pPr>
          </w:p>
        </w:tc>
      </w:tr>
      <w:tr w14:paraId="73BF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Borders>
              <w:top w:val="single" w:color="auto" w:sz="4" w:space="0"/>
              <w:left w:val="single" w:color="auto" w:sz="4" w:space="0"/>
              <w:bottom w:val="single" w:color="auto" w:sz="4" w:space="0"/>
              <w:right w:val="single" w:color="auto" w:sz="4" w:space="0"/>
            </w:tcBorders>
            <w:vAlign w:val="center"/>
          </w:tcPr>
          <w:p w14:paraId="1B1FE5B4">
            <w:pPr>
              <w:pStyle w:val="48"/>
              <w:rPr>
                <w:sz w:val="20"/>
                <w:szCs w:val="20"/>
              </w:rPr>
            </w:pPr>
            <w:r>
              <w:rPr>
                <w:sz w:val="20"/>
                <w:szCs w:val="20"/>
              </w:rPr>
              <w:t>长春东宝药业有限公司</w:t>
            </w:r>
          </w:p>
        </w:tc>
        <w:tc>
          <w:tcPr>
            <w:tcW w:w="1559" w:type="dxa"/>
            <w:tcBorders>
              <w:top w:val="single" w:color="auto" w:sz="4" w:space="0"/>
              <w:left w:val="single" w:color="auto" w:sz="4" w:space="0"/>
              <w:bottom w:val="single" w:color="auto" w:sz="4" w:space="0"/>
              <w:right w:val="single" w:color="auto" w:sz="4" w:space="0"/>
            </w:tcBorders>
            <w:vAlign w:val="center"/>
          </w:tcPr>
          <w:p w14:paraId="3891AC14">
            <w:pPr>
              <w:jc w:val="right"/>
              <w:rPr>
                <w:rFonts w:ascii="Calibri" w:hAnsi="Calibri"/>
                <w:sz w:val="20"/>
                <w:szCs w:val="20"/>
              </w:rPr>
            </w:pPr>
            <w:r>
              <w:rPr>
                <w:rFonts w:ascii="Calibri" w:hAnsi="Calibri"/>
                <w:sz w:val="20"/>
                <w:szCs w:val="20"/>
              </w:rPr>
              <w:t>9,500,000.00</w:t>
            </w:r>
          </w:p>
        </w:tc>
        <w:tc>
          <w:tcPr>
            <w:tcW w:w="821" w:type="dxa"/>
            <w:tcBorders>
              <w:top w:val="single" w:color="auto" w:sz="4" w:space="0"/>
              <w:left w:val="single" w:color="auto" w:sz="4" w:space="0"/>
              <w:bottom w:val="single" w:color="auto" w:sz="4" w:space="0"/>
              <w:right w:val="single" w:color="auto" w:sz="4" w:space="0"/>
            </w:tcBorders>
            <w:vAlign w:val="center"/>
          </w:tcPr>
          <w:p w14:paraId="5AA4E006">
            <w:pPr>
              <w:jc w:val="right"/>
              <w:rPr>
                <w:rFonts w:ascii="Calibri" w:hAnsi="Calibri"/>
                <w:sz w:val="20"/>
                <w:szCs w:val="20"/>
              </w:rPr>
            </w:pPr>
          </w:p>
        </w:tc>
        <w:tc>
          <w:tcPr>
            <w:tcW w:w="1306" w:type="dxa"/>
            <w:tcBorders>
              <w:top w:val="single" w:color="auto" w:sz="4" w:space="0"/>
              <w:left w:val="single" w:color="auto" w:sz="4" w:space="0"/>
              <w:bottom w:val="single" w:color="auto" w:sz="4" w:space="0"/>
              <w:right w:val="single" w:color="auto" w:sz="4" w:space="0"/>
            </w:tcBorders>
            <w:vAlign w:val="center"/>
          </w:tcPr>
          <w:p w14:paraId="4FDF3F59">
            <w:pPr>
              <w:jc w:val="right"/>
              <w:rPr>
                <w:rFonts w:ascii="Calibri" w:hAnsi="Calibri"/>
                <w:sz w:val="20"/>
                <w:szCs w:val="20"/>
              </w:rPr>
            </w:pPr>
          </w:p>
        </w:tc>
        <w:tc>
          <w:tcPr>
            <w:tcW w:w="675" w:type="dxa"/>
            <w:tcBorders>
              <w:top w:val="single" w:color="auto" w:sz="4" w:space="0"/>
              <w:left w:val="single" w:color="auto" w:sz="4" w:space="0"/>
              <w:bottom w:val="single" w:color="auto" w:sz="4" w:space="0"/>
              <w:right w:val="single" w:color="auto" w:sz="4" w:space="0"/>
            </w:tcBorders>
            <w:vAlign w:val="center"/>
          </w:tcPr>
          <w:p w14:paraId="379CECFC">
            <w:pPr>
              <w:jc w:val="right"/>
              <w:rPr>
                <w:rFonts w:ascii="Calibri" w:hAnsi="Calibri"/>
                <w:sz w:val="20"/>
                <w:szCs w:val="20"/>
              </w:rPr>
            </w:pPr>
          </w:p>
        </w:tc>
        <w:tc>
          <w:tcPr>
            <w:tcW w:w="964" w:type="dxa"/>
            <w:tcBorders>
              <w:top w:val="single" w:color="auto" w:sz="4" w:space="0"/>
              <w:left w:val="single" w:color="auto" w:sz="4" w:space="0"/>
              <w:bottom w:val="single" w:color="auto" w:sz="4" w:space="0"/>
              <w:right w:val="single" w:color="auto" w:sz="4" w:space="0"/>
            </w:tcBorders>
            <w:vAlign w:val="center"/>
          </w:tcPr>
          <w:p w14:paraId="0CA73DE5">
            <w:pPr>
              <w:jc w:val="right"/>
              <w:rPr>
                <w:rFonts w:ascii="Calibri" w:hAnsi="Calibri"/>
                <w:sz w:val="20"/>
                <w:szCs w:val="20"/>
              </w:rPr>
            </w:pPr>
          </w:p>
        </w:tc>
        <w:tc>
          <w:tcPr>
            <w:tcW w:w="1007" w:type="dxa"/>
            <w:tcBorders>
              <w:top w:val="single" w:color="auto" w:sz="4" w:space="0"/>
              <w:left w:val="single" w:color="auto" w:sz="4" w:space="0"/>
              <w:bottom w:val="single" w:color="auto" w:sz="4" w:space="0"/>
              <w:right w:val="single" w:color="auto" w:sz="4" w:space="0"/>
            </w:tcBorders>
            <w:vAlign w:val="center"/>
          </w:tcPr>
          <w:p w14:paraId="40D78316">
            <w:pPr>
              <w:jc w:val="right"/>
              <w:rPr>
                <w:rFonts w:ascii="Calibri" w:hAnsi="Calibri"/>
                <w:sz w:val="20"/>
                <w:szCs w:val="20"/>
              </w:rPr>
            </w:pPr>
          </w:p>
        </w:tc>
        <w:tc>
          <w:tcPr>
            <w:tcW w:w="1606" w:type="dxa"/>
            <w:tcBorders>
              <w:top w:val="single" w:color="auto" w:sz="4" w:space="0"/>
              <w:left w:val="single" w:color="auto" w:sz="4" w:space="0"/>
              <w:bottom w:val="single" w:color="auto" w:sz="4" w:space="0"/>
              <w:right w:val="single" w:color="auto" w:sz="4" w:space="0"/>
            </w:tcBorders>
            <w:vAlign w:val="center"/>
          </w:tcPr>
          <w:p w14:paraId="49DCF934">
            <w:pPr>
              <w:jc w:val="right"/>
              <w:rPr>
                <w:rFonts w:ascii="Calibri" w:hAnsi="Calibri"/>
                <w:sz w:val="20"/>
                <w:szCs w:val="20"/>
              </w:rPr>
            </w:pPr>
            <w:r>
              <w:rPr>
                <w:rFonts w:ascii="Calibri" w:hAnsi="Calibri"/>
                <w:sz w:val="20"/>
                <w:szCs w:val="20"/>
              </w:rPr>
              <w:t>9,500,000.00</w:t>
            </w:r>
          </w:p>
        </w:tc>
        <w:tc>
          <w:tcPr>
            <w:tcW w:w="709" w:type="dxa"/>
            <w:tcBorders>
              <w:top w:val="single" w:color="auto" w:sz="4" w:space="0"/>
              <w:left w:val="single" w:color="auto" w:sz="4" w:space="0"/>
              <w:bottom w:val="single" w:color="auto" w:sz="4" w:space="0"/>
              <w:right w:val="single" w:color="auto" w:sz="4" w:space="0"/>
            </w:tcBorders>
            <w:vAlign w:val="center"/>
          </w:tcPr>
          <w:p w14:paraId="52E08231">
            <w:pPr>
              <w:jc w:val="right"/>
              <w:rPr>
                <w:rFonts w:ascii="Calibri" w:hAnsi="Calibri"/>
                <w:sz w:val="20"/>
                <w:szCs w:val="20"/>
              </w:rPr>
            </w:pPr>
          </w:p>
        </w:tc>
      </w:tr>
      <w:tr w14:paraId="313E9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Borders>
              <w:top w:val="single" w:color="auto" w:sz="4" w:space="0"/>
              <w:left w:val="single" w:color="auto" w:sz="4" w:space="0"/>
              <w:bottom w:val="single" w:color="auto" w:sz="4" w:space="0"/>
              <w:right w:val="single" w:color="auto" w:sz="4" w:space="0"/>
            </w:tcBorders>
            <w:vAlign w:val="center"/>
          </w:tcPr>
          <w:p w14:paraId="22AB769C">
            <w:pPr>
              <w:pStyle w:val="48"/>
              <w:rPr>
                <w:sz w:val="20"/>
                <w:szCs w:val="20"/>
              </w:rPr>
            </w:pPr>
            <w:r>
              <w:rPr>
                <w:sz w:val="20"/>
                <w:szCs w:val="20"/>
              </w:rPr>
              <w:t>北京东宝生物技术有限公司</w:t>
            </w:r>
          </w:p>
        </w:tc>
        <w:tc>
          <w:tcPr>
            <w:tcW w:w="1559" w:type="dxa"/>
            <w:tcBorders>
              <w:top w:val="single" w:color="auto" w:sz="4" w:space="0"/>
              <w:left w:val="single" w:color="auto" w:sz="4" w:space="0"/>
              <w:bottom w:val="single" w:color="auto" w:sz="4" w:space="0"/>
              <w:right w:val="single" w:color="auto" w:sz="4" w:space="0"/>
            </w:tcBorders>
            <w:vAlign w:val="center"/>
          </w:tcPr>
          <w:p w14:paraId="0DB468FE">
            <w:pPr>
              <w:jc w:val="right"/>
              <w:rPr>
                <w:rFonts w:ascii="Calibri" w:hAnsi="Calibri"/>
                <w:sz w:val="20"/>
                <w:szCs w:val="20"/>
              </w:rPr>
            </w:pPr>
            <w:r>
              <w:rPr>
                <w:rFonts w:ascii="Calibri" w:hAnsi="Calibri"/>
                <w:sz w:val="20"/>
                <w:szCs w:val="20"/>
              </w:rPr>
              <w:t>100,366,451.68</w:t>
            </w:r>
          </w:p>
        </w:tc>
        <w:tc>
          <w:tcPr>
            <w:tcW w:w="821" w:type="dxa"/>
            <w:tcBorders>
              <w:top w:val="single" w:color="auto" w:sz="4" w:space="0"/>
              <w:left w:val="single" w:color="auto" w:sz="4" w:space="0"/>
              <w:bottom w:val="single" w:color="auto" w:sz="4" w:space="0"/>
              <w:right w:val="single" w:color="auto" w:sz="4" w:space="0"/>
            </w:tcBorders>
            <w:vAlign w:val="center"/>
          </w:tcPr>
          <w:p w14:paraId="3B959A07">
            <w:pPr>
              <w:jc w:val="right"/>
              <w:rPr>
                <w:rFonts w:ascii="Calibri" w:hAnsi="Calibri"/>
                <w:sz w:val="20"/>
                <w:szCs w:val="20"/>
              </w:rPr>
            </w:pPr>
          </w:p>
        </w:tc>
        <w:tc>
          <w:tcPr>
            <w:tcW w:w="1306" w:type="dxa"/>
            <w:tcBorders>
              <w:top w:val="single" w:color="auto" w:sz="4" w:space="0"/>
              <w:left w:val="single" w:color="auto" w:sz="4" w:space="0"/>
              <w:bottom w:val="single" w:color="auto" w:sz="4" w:space="0"/>
              <w:right w:val="single" w:color="auto" w:sz="4" w:space="0"/>
            </w:tcBorders>
            <w:vAlign w:val="center"/>
          </w:tcPr>
          <w:p w14:paraId="4FA86372">
            <w:pPr>
              <w:jc w:val="right"/>
              <w:rPr>
                <w:rFonts w:ascii="Calibri" w:hAnsi="Calibri"/>
                <w:sz w:val="20"/>
                <w:szCs w:val="20"/>
              </w:rPr>
            </w:pPr>
          </w:p>
        </w:tc>
        <w:tc>
          <w:tcPr>
            <w:tcW w:w="675" w:type="dxa"/>
            <w:tcBorders>
              <w:top w:val="single" w:color="auto" w:sz="4" w:space="0"/>
              <w:left w:val="single" w:color="auto" w:sz="4" w:space="0"/>
              <w:bottom w:val="single" w:color="auto" w:sz="4" w:space="0"/>
              <w:right w:val="single" w:color="auto" w:sz="4" w:space="0"/>
            </w:tcBorders>
            <w:vAlign w:val="center"/>
          </w:tcPr>
          <w:p w14:paraId="17C5FB91">
            <w:pPr>
              <w:jc w:val="right"/>
              <w:rPr>
                <w:rFonts w:ascii="Calibri" w:hAnsi="Calibri"/>
                <w:sz w:val="20"/>
                <w:szCs w:val="20"/>
              </w:rPr>
            </w:pPr>
          </w:p>
        </w:tc>
        <w:tc>
          <w:tcPr>
            <w:tcW w:w="964" w:type="dxa"/>
            <w:tcBorders>
              <w:top w:val="single" w:color="auto" w:sz="4" w:space="0"/>
              <w:left w:val="single" w:color="auto" w:sz="4" w:space="0"/>
              <w:bottom w:val="single" w:color="auto" w:sz="4" w:space="0"/>
              <w:right w:val="single" w:color="auto" w:sz="4" w:space="0"/>
            </w:tcBorders>
            <w:vAlign w:val="center"/>
          </w:tcPr>
          <w:p w14:paraId="3A3E79C9">
            <w:pPr>
              <w:jc w:val="right"/>
              <w:rPr>
                <w:rFonts w:ascii="Calibri" w:hAnsi="Calibri"/>
                <w:sz w:val="20"/>
                <w:szCs w:val="20"/>
              </w:rPr>
            </w:pPr>
          </w:p>
        </w:tc>
        <w:tc>
          <w:tcPr>
            <w:tcW w:w="1007" w:type="dxa"/>
            <w:tcBorders>
              <w:top w:val="single" w:color="auto" w:sz="4" w:space="0"/>
              <w:left w:val="single" w:color="auto" w:sz="4" w:space="0"/>
              <w:bottom w:val="single" w:color="auto" w:sz="4" w:space="0"/>
              <w:right w:val="single" w:color="auto" w:sz="4" w:space="0"/>
            </w:tcBorders>
            <w:vAlign w:val="center"/>
          </w:tcPr>
          <w:p w14:paraId="090E611F">
            <w:pPr>
              <w:jc w:val="right"/>
              <w:rPr>
                <w:rFonts w:ascii="Calibri" w:hAnsi="Calibri"/>
                <w:sz w:val="20"/>
                <w:szCs w:val="20"/>
              </w:rPr>
            </w:pPr>
          </w:p>
        </w:tc>
        <w:tc>
          <w:tcPr>
            <w:tcW w:w="1606" w:type="dxa"/>
            <w:tcBorders>
              <w:top w:val="single" w:color="auto" w:sz="4" w:space="0"/>
              <w:left w:val="single" w:color="auto" w:sz="4" w:space="0"/>
              <w:bottom w:val="single" w:color="auto" w:sz="4" w:space="0"/>
              <w:right w:val="single" w:color="auto" w:sz="4" w:space="0"/>
            </w:tcBorders>
            <w:vAlign w:val="center"/>
          </w:tcPr>
          <w:p w14:paraId="38326F47">
            <w:pPr>
              <w:jc w:val="right"/>
              <w:rPr>
                <w:rFonts w:ascii="Calibri" w:hAnsi="Calibri"/>
                <w:sz w:val="20"/>
                <w:szCs w:val="20"/>
              </w:rPr>
            </w:pPr>
            <w:r>
              <w:rPr>
                <w:rFonts w:ascii="Calibri" w:hAnsi="Calibri"/>
                <w:sz w:val="20"/>
                <w:szCs w:val="20"/>
              </w:rPr>
              <w:t>100,366,451.68</w:t>
            </w:r>
          </w:p>
        </w:tc>
        <w:tc>
          <w:tcPr>
            <w:tcW w:w="709" w:type="dxa"/>
            <w:tcBorders>
              <w:top w:val="single" w:color="auto" w:sz="4" w:space="0"/>
              <w:left w:val="single" w:color="auto" w:sz="4" w:space="0"/>
              <w:bottom w:val="single" w:color="auto" w:sz="4" w:space="0"/>
              <w:right w:val="single" w:color="auto" w:sz="4" w:space="0"/>
            </w:tcBorders>
            <w:vAlign w:val="center"/>
          </w:tcPr>
          <w:p w14:paraId="771FD7A1">
            <w:pPr>
              <w:jc w:val="right"/>
              <w:rPr>
                <w:rFonts w:ascii="Calibri" w:hAnsi="Calibri"/>
                <w:sz w:val="20"/>
                <w:szCs w:val="20"/>
              </w:rPr>
            </w:pPr>
          </w:p>
        </w:tc>
      </w:tr>
      <w:tr w14:paraId="0B13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Borders>
              <w:top w:val="single" w:color="auto" w:sz="4" w:space="0"/>
              <w:left w:val="single" w:color="auto" w:sz="4" w:space="0"/>
              <w:bottom w:val="single" w:color="auto" w:sz="4" w:space="0"/>
              <w:right w:val="single" w:color="auto" w:sz="4" w:space="0"/>
            </w:tcBorders>
            <w:vAlign w:val="center"/>
          </w:tcPr>
          <w:p w14:paraId="55235C31">
            <w:pPr>
              <w:pStyle w:val="48"/>
              <w:rPr>
                <w:sz w:val="20"/>
                <w:szCs w:val="20"/>
              </w:rPr>
            </w:pPr>
            <w:r>
              <w:rPr>
                <w:sz w:val="20"/>
                <w:szCs w:val="20"/>
              </w:rPr>
              <w:t>通化东宝金弘基房地产开发有限公司通化县第一分公司</w:t>
            </w:r>
          </w:p>
        </w:tc>
        <w:tc>
          <w:tcPr>
            <w:tcW w:w="1559" w:type="dxa"/>
            <w:tcBorders>
              <w:top w:val="single" w:color="auto" w:sz="4" w:space="0"/>
              <w:left w:val="single" w:color="auto" w:sz="4" w:space="0"/>
              <w:bottom w:val="single" w:color="auto" w:sz="4" w:space="0"/>
              <w:right w:val="single" w:color="auto" w:sz="4" w:space="0"/>
            </w:tcBorders>
            <w:vAlign w:val="center"/>
          </w:tcPr>
          <w:p w14:paraId="222966A1">
            <w:pPr>
              <w:jc w:val="right"/>
              <w:rPr>
                <w:rFonts w:ascii="Calibri" w:hAnsi="Calibri"/>
                <w:sz w:val="20"/>
                <w:szCs w:val="20"/>
              </w:rPr>
            </w:pPr>
            <w:r>
              <w:rPr>
                <w:rFonts w:ascii="Calibri" w:hAnsi="Calibri"/>
                <w:sz w:val="20"/>
                <w:szCs w:val="20"/>
              </w:rPr>
              <w:t>25,500,000.00</w:t>
            </w:r>
          </w:p>
        </w:tc>
        <w:tc>
          <w:tcPr>
            <w:tcW w:w="821" w:type="dxa"/>
            <w:tcBorders>
              <w:top w:val="single" w:color="auto" w:sz="4" w:space="0"/>
              <w:left w:val="single" w:color="auto" w:sz="4" w:space="0"/>
              <w:bottom w:val="single" w:color="auto" w:sz="4" w:space="0"/>
              <w:right w:val="single" w:color="auto" w:sz="4" w:space="0"/>
            </w:tcBorders>
            <w:vAlign w:val="center"/>
          </w:tcPr>
          <w:p w14:paraId="3F456426">
            <w:pPr>
              <w:jc w:val="right"/>
              <w:rPr>
                <w:rFonts w:ascii="Calibri" w:hAnsi="Calibri"/>
                <w:sz w:val="20"/>
                <w:szCs w:val="20"/>
              </w:rPr>
            </w:pPr>
          </w:p>
        </w:tc>
        <w:tc>
          <w:tcPr>
            <w:tcW w:w="1306" w:type="dxa"/>
            <w:tcBorders>
              <w:top w:val="single" w:color="auto" w:sz="4" w:space="0"/>
              <w:left w:val="single" w:color="auto" w:sz="4" w:space="0"/>
              <w:bottom w:val="single" w:color="auto" w:sz="4" w:space="0"/>
              <w:right w:val="single" w:color="auto" w:sz="4" w:space="0"/>
            </w:tcBorders>
            <w:vAlign w:val="center"/>
          </w:tcPr>
          <w:p w14:paraId="77A0FEDC">
            <w:pPr>
              <w:jc w:val="right"/>
              <w:rPr>
                <w:rFonts w:ascii="Calibri" w:hAnsi="Calibri"/>
                <w:sz w:val="20"/>
                <w:szCs w:val="20"/>
              </w:rPr>
            </w:pPr>
          </w:p>
        </w:tc>
        <w:tc>
          <w:tcPr>
            <w:tcW w:w="675" w:type="dxa"/>
            <w:tcBorders>
              <w:top w:val="single" w:color="auto" w:sz="4" w:space="0"/>
              <w:left w:val="single" w:color="auto" w:sz="4" w:space="0"/>
              <w:bottom w:val="single" w:color="auto" w:sz="4" w:space="0"/>
              <w:right w:val="single" w:color="auto" w:sz="4" w:space="0"/>
            </w:tcBorders>
            <w:vAlign w:val="center"/>
          </w:tcPr>
          <w:p w14:paraId="7C7051F7">
            <w:pPr>
              <w:jc w:val="right"/>
              <w:rPr>
                <w:rFonts w:ascii="Calibri" w:hAnsi="Calibri"/>
                <w:sz w:val="20"/>
                <w:szCs w:val="20"/>
              </w:rPr>
            </w:pPr>
          </w:p>
        </w:tc>
        <w:tc>
          <w:tcPr>
            <w:tcW w:w="964" w:type="dxa"/>
            <w:tcBorders>
              <w:top w:val="single" w:color="auto" w:sz="4" w:space="0"/>
              <w:left w:val="single" w:color="auto" w:sz="4" w:space="0"/>
              <w:bottom w:val="single" w:color="auto" w:sz="4" w:space="0"/>
              <w:right w:val="single" w:color="auto" w:sz="4" w:space="0"/>
            </w:tcBorders>
            <w:vAlign w:val="center"/>
          </w:tcPr>
          <w:p w14:paraId="36182B4B">
            <w:pPr>
              <w:jc w:val="right"/>
              <w:rPr>
                <w:rFonts w:ascii="Calibri" w:hAnsi="Calibri"/>
                <w:sz w:val="20"/>
                <w:szCs w:val="20"/>
              </w:rPr>
            </w:pPr>
          </w:p>
        </w:tc>
        <w:tc>
          <w:tcPr>
            <w:tcW w:w="1007" w:type="dxa"/>
            <w:tcBorders>
              <w:top w:val="single" w:color="auto" w:sz="4" w:space="0"/>
              <w:left w:val="single" w:color="auto" w:sz="4" w:space="0"/>
              <w:bottom w:val="single" w:color="auto" w:sz="4" w:space="0"/>
              <w:right w:val="single" w:color="auto" w:sz="4" w:space="0"/>
            </w:tcBorders>
            <w:vAlign w:val="center"/>
          </w:tcPr>
          <w:p w14:paraId="2498EF53">
            <w:pPr>
              <w:jc w:val="right"/>
              <w:rPr>
                <w:rFonts w:ascii="Calibri" w:hAnsi="Calibri"/>
                <w:sz w:val="20"/>
                <w:szCs w:val="20"/>
              </w:rPr>
            </w:pPr>
          </w:p>
        </w:tc>
        <w:tc>
          <w:tcPr>
            <w:tcW w:w="1606" w:type="dxa"/>
            <w:tcBorders>
              <w:top w:val="single" w:color="auto" w:sz="4" w:space="0"/>
              <w:left w:val="single" w:color="auto" w:sz="4" w:space="0"/>
              <w:bottom w:val="single" w:color="auto" w:sz="4" w:space="0"/>
              <w:right w:val="single" w:color="auto" w:sz="4" w:space="0"/>
            </w:tcBorders>
            <w:vAlign w:val="center"/>
          </w:tcPr>
          <w:p w14:paraId="6BE5D4A3">
            <w:pPr>
              <w:jc w:val="right"/>
              <w:rPr>
                <w:rFonts w:ascii="Calibri" w:hAnsi="Calibri"/>
                <w:sz w:val="20"/>
                <w:szCs w:val="20"/>
              </w:rPr>
            </w:pPr>
            <w:r>
              <w:rPr>
                <w:rFonts w:ascii="Calibri" w:hAnsi="Calibri"/>
                <w:sz w:val="20"/>
                <w:szCs w:val="20"/>
              </w:rPr>
              <w:t>25,500,000.00</w:t>
            </w:r>
          </w:p>
        </w:tc>
        <w:tc>
          <w:tcPr>
            <w:tcW w:w="709" w:type="dxa"/>
            <w:tcBorders>
              <w:top w:val="single" w:color="auto" w:sz="4" w:space="0"/>
              <w:left w:val="single" w:color="auto" w:sz="4" w:space="0"/>
              <w:bottom w:val="single" w:color="auto" w:sz="4" w:space="0"/>
              <w:right w:val="single" w:color="auto" w:sz="4" w:space="0"/>
            </w:tcBorders>
            <w:vAlign w:val="center"/>
          </w:tcPr>
          <w:p w14:paraId="075A461B">
            <w:pPr>
              <w:jc w:val="right"/>
              <w:rPr>
                <w:rFonts w:ascii="Calibri" w:hAnsi="Calibri"/>
                <w:sz w:val="20"/>
                <w:szCs w:val="20"/>
              </w:rPr>
            </w:pPr>
          </w:p>
        </w:tc>
      </w:tr>
      <w:tr w14:paraId="277F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Borders>
              <w:top w:val="single" w:color="auto" w:sz="4" w:space="0"/>
              <w:left w:val="single" w:color="auto" w:sz="4" w:space="0"/>
              <w:bottom w:val="single" w:color="auto" w:sz="4" w:space="0"/>
              <w:right w:val="single" w:color="auto" w:sz="4" w:space="0"/>
            </w:tcBorders>
            <w:vAlign w:val="center"/>
          </w:tcPr>
          <w:p w14:paraId="7148D8FC">
            <w:pPr>
              <w:pStyle w:val="48"/>
              <w:rPr>
                <w:sz w:val="20"/>
                <w:szCs w:val="20"/>
              </w:rPr>
            </w:pPr>
            <w:r>
              <w:rPr>
                <w:sz w:val="20"/>
                <w:szCs w:val="20"/>
              </w:rPr>
              <w:t>通化紫星生物制药有限公司</w:t>
            </w:r>
          </w:p>
        </w:tc>
        <w:tc>
          <w:tcPr>
            <w:tcW w:w="1559" w:type="dxa"/>
            <w:tcBorders>
              <w:top w:val="single" w:color="auto" w:sz="4" w:space="0"/>
              <w:left w:val="single" w:color="auto" w:sz="4" w:space="0"/>
              <w:bottom w:val="single" w:color="auto" w:sz="4" w:space="0"/>
              <w:right w:val="single" w:color="auto" w:sz="4" w:space="0"/>
            </w:tcBorders>
            <w:vAlign w:val="center"/>
          </w:tcPr>
          <w:p w14:paraId="2F826484">
            <w:pPr>
              <w:jc w:val="right"/>
              <w:rPr>
                <w:rFonts w:ascii="Calibri" w:hAnsi="Calibri"/>
                <w:sz w:val="20"/>
                <w:szCs w:val="20"/>
              </w:rPr>
            </w:pPr>
            <w:r>
              <w:rPr>
                <w:rFonts w:ascii="Calibri" w:hAnsi="Calibri"/>
                <w:sz w:val="20"/>
                <w:szCs w:val="20"/>
              </w:rPr>
              <w:t>10,000,000.00</w:t>
            </w:r>
          </w:p>
        </w:tc>
        <w:tc>
          <w:tcPr>
            <w:tcW w:w="821" w:type="dxa"/>
            <w:tcBorders>
              <w:top w:val="single" w:color="auto" w:sz="4" w:space="0"/>
              <w:left w:val="single" w:color="auto" w:sz="4" w:space="0"/>
              <w:bottom w:val="single" w:color="auto" w:sz="4" w:space="0"/>
              <w:right w:val="single" w:color="auto" w:sz="4" w:space="0"/>
            </w:tcBorders>
            <w:vAlign w:val="center"/>
          </w:tcPr>
          <w:p w14:paraId="7DBD6DDF">
            <w:pPr>
              <w:jc w:val="right"/>
              <w:rPr>
                <w:rFonts w:ascii="Calibri" w:hAnsi="Calibri"/>
                <w:sz w:val="20"/>
                <w:szCs w:val="20"/>
              </w:rPr>
            </w:pPr>
          </w:p>
        </w:tc>
        <w:tc>
          <w:tcPr>
            <w:tcW w:w="1306" w:type="dxa"/>
            <w:tcBorders>
              <w:top w:val="single" w:color="auto" w:sz="4" w:space="0"/>
              <w:left w:val="single" w:color="auto" w:sz="4" w:space="0"/>
              <w:bottom w:val="single" w:color="auto" w:sz="4" w:space="0"/>
              <w:right w:val="single" w:color="auto" w:sz="4" w:space="0"/>
            </w:tcBorders>
            <w:vAlign w:val="center"/>
          </w:tcPr>
          <w:p w14:paraId="1502842F">
            <w:pPr>
              <w:jc w:val="right"/>
              <w:rPr>
                <w:rFonts w:ascii="Calibri" w:hAnsi="Calibri"/>
                <w:sz w:val="20"/>
                <w:szCs w:val="20"/>
              </w:rPr>
            </w:pPr>
          </w:p>
        </w:tc>
        <w:tc>
          <w:tcPr>
            <w:tcW w:w="675" w:type="dxa"/>
            <w:tcBorders>
              <w:top w:val="single" w:color="auto" w:sz="4" w:space="0"/>
              <w:left w:val="single" w:color="auto" w:sz="4" w:space="0"/>
              <w:bottom w:val="single" w:color="auto" w:sz="4" w:space="0"/>
              <w:right w:val="single" w:color="auto" w:sz="4" w:space="0"/>
            </w:tcBorders>
            <w:vAlign w:val="center"/>
          </w:tcPr>
          <w:p w14:paraId="5ECD22A1">
            <w:pPr>
              <w:jc w:val="right"/>
              <w:rPr>
                <w:rFonts w:ascii="Calibri" w:hAnsi="Calibri"/>
                <w:sz w:val="20"/>
                <w:szCs w:val="20"/>
              </w:rPr>
            </w:pPr>
          </w:p>
        </w:tc>
        <w:tc>
          <w:tcPr>
            <w:tcW w:w="964" w:type="dxa"/>
            <w:tcBorders>
              <w:top w:val="single" w:color="auto" w:sz="4" w:space="0"/>
              <w:left w:val="single" w:color="auto" w:sz="4" w:space="0"/>
              <w:bottom w:val="single" w:color="auto" w:sz="4" w:space="0"/>
              <w:right w:val="single" w:color="auto" w:sz="4" w:space="0"/>
            </w:tcBorders>
            <w:vAlign w:val="center"/>
          </w:tcPr>
          <w:p w14:paraId="5D9B5392">
            <w:pPr>
              <w:jc w:val="right"/>
              <w:rPr>
                <w:rFonts w:ascii="Calibri" w:hAnsi="Calibri"/>
                <w:sz w:val="20"/>
                <w:szCs w:val="20"/>
              </w:rPr>
            </w:pPr>
          </w:p>
        </w:tc>
        <w:tc>
          <w:tcPr>
            <w:tcW w:w="1007" w:type="dxa"/>
            <w:tcBorders>
              <w:top w:val="single" w:color="auto" w:sz="4" w:space="0"/>
              <w:left w:val="single" w:color="auto" w:sz="4" w:space="0"/>
              <w:bottom w:val="single" w:color="auto" w:sz="4" w:space="0"/>
              <w:right w:val="single" w:color="auto" w:sz="4" w:space="0"/>
            </w:tcBorders>
            <w:vAlign w:val="center"/>
          </w:tcPr>
          <w:p w14:paraId="06DBC00A">
            <w:pPr>
              <w:jc w:val="right"/>
              <w:rPr>
                <w:rFonts w:ascii="Calibri" w:hAnsi="Calibri"/>
                <w:sz w:val="20"/>
                <w:szCs w:val="20"/>
              </w:rPr>
            </w:pPr>
          </w:p>
        </w:tc>
        <w:tc>
          <w:tcPr>
            <w:tcW w:w="1606" w:type="dxa"/>
            <w:tcBorders>
              <w:top w:val="single" w:color="auto" w:sz="4" w:space="0"/>
              <w:left w:val="single" w:color="auto" w:sz="4" w:space="0"/>
              <w:bottom w:val="single" w:color="auto" w:sz="4" w:space="0"/>
              <w:right w:val="single" w:color="auto" w:sz="4" w:space="0"/>
            </w:tcBorders>
            <w:vAlign w:val="center"/>
          </w:tcPr>
          <w:p w14:paraId="71B5F096">
            <w:pPr>
              <w:jc w:val="right"/>
              <w:rPr>
                <w:rFonts w:ascii="Calibri" w:hAnsi="Calibri"/>
                <w:sz w:val="20"/>
                <w:szCs w:val="20"/>
              </w:rPr>
            </w:pPr>
            <w:r>
              <w:rPr>
                <w:rFonts w:ascii="Calibri" w:hAnsi="Calibri"/>
                <w:sz w:val="20"/>
                <w:szCs w:val="20"/>
              </w:rPr>
              <w:t>10,000,000.00</w:t>
            </w:r>
          </w:p>
        </w:tc>
        <w:tc>
          <w:tcPr>
            <w:tcW w:w="709" w:type="dxa"/>
            <w:tcBorders>
              <w:top w:val="single" w:color="auto" w:sz="4" w:space="0"/>
              <w:left w:val="single" w:color="auto" w:sz="4" w:space="0"/>
              <w:bottom w:val="single" w:color="auto" w:sz="4" w:space="0"/>
              <w:right w:val="single" w:color="auto" w:sz="4" w:space="0"/>
            </w:tcBorders>
            <w:vAlign w:val="center"/>
          </w:tcPr>
          <w:p w14:paraId="23F3ECA3">
            <w:pPr>
              <w:jc w:val="right"/>
              <w:rPr>
                <w:rFonts w:ascii="Calibri" w:hAnsi="Calibri"/>
                <w:sz w:val="20"/>
                <w:szCs w:val="20"/>
              </w:rPr>
            </w:pPr>
          </w:p>
        </w:tc>
      </w:tr>
      <w:tr w14:paraId="1F8E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Borders>
              <w:top w:val="single" w:color="auto" w:sz="4" w:space="0"/>
              <w:left w:val="single" w:color="auto" w:sz="4" w:space="0"/>
              <w:bottom w:val="single" w:color="auto" w:sz="4" w:space="0"/>
              <w:right w:val="single" w:color="auto" w:sz="4" w:space="0"/>
            </w:tcBorders>
            <w:vAlign w:val="center"/>
          </w:tcPr>
          <w:p w14:paraId="7FFADC83">
            <w:pPr>
              <w:pStyle w:val="48"/>
              <w:rPr>
                <w:sz w:val="20"/>
                <w:szCs w:val="20"/>
              </w:rPr>
            </w:pPr>
            <w:r>
              <w:rPr>
                <w:sz w:val="20"/>
                <w:szCs w:val="20"/>
              </w:rPr>
              <w:t>东宝紫星（杭州)生物医药有限公司</w:t>
            </w:r>
          </w:p>
        </w:tc>
        <w:tc>
          <w:tcPr>
            <w:tcW w:w="1559" w:type="dxa"/>
            <w:tcBorders>
              <w:top w:val="single" w:color="auto" w:sz="4" w:space="0"/>
              <w:left w:val="single" w:color="auto" w:sz="4" w:space="0"/>
              <w:bottom w:val="single" w:color="auto" w:sz="4" w:space="0"/>
              <w:right w:val="single" w:color="auto" w:sz="4" w:space="0"/>
            </w:tcBorders>
            <w:vAlign w:val="center"/>
          </w:tcPr>
          <w:p w14:paraId="73BB6624">
            <w:pPr>
              <w:jc w:val="right"/>
              <w:rPr>
                <w:rFonts w:ascii="Calibri" w:hAnsi="Calibri"/>
                <w:sz w:val="20"/>
                <w:szCs w:val="20"/>
              </w:rPr>
            </w:pPr>
            <w:r>
              <w:rPr>
                <w:rFonts w:ascii="Calibri" w:hAnsi="Calibri"/>
                <w:sz w:val="20"/>
                <w:szCs w:val="20"/>
              </w:rPr>
              <w:t>100,000,000.00</w:t>
            </w:r>
          </w:p>
        </w:tc>
        <w:tc>
          <w:tcPr>
            <w:tcW w:w="821" w:type="dxa"/>
            <w:tcBorders>
              <w:top w:val="single" w:color="auto" w:sz="4" w:space="0"/>
              <w:left w:val="single" w:color="auto" w:sz="4" w:space="0"/>
              <w:bottom w:val="single" w:color="auto" w:sz="4" w:space="0"/>
              <w:right w:val="single" w:color="auto" w:sz="4" w:space="0"/>
            </w:tcBorders>
            <w:vAlign w:val="center"/>
          </w:tcPr>
          <w:p w14:paraId="586C3E15">
            <w:pPr>
              <w:jc w:val="right"/>
              <w:rPr>
                <w:rFonts w:ascii="Calibri" w:hAnsi="Calibri"/>
                <w:sz w:val="20"/>
                <w:szCs w:val="20"/>
              </w:rPr>
            </w:pPr>
          </w:p>
        </w:tc>
        <w:tc>
          <w:tcPr>
            <w:tcW w:w="1306" w:type="dxa"/>
            <w:tcBorders>
              <w:top w:val="single" w:color="auto" w:sz="4" w:space="0"/>
              <w:left w:val="single" w:color="auto" w:sz="4" w:space="0"/>
              <w:bottom w:val="single" w:color="auto" w:sz="4" w:space="0"/>
              <w:right w:val="single" w:color="auto" w:sz="4" w:space="0"/>
            </w:tcBorders>
            <w:vAlign w:val="center"/>
          </w:tcPr>
          <w:p w14:paraId="4DC78D44">
            <w:pPr>
              <w:jc w:val="right"/>
              <w:rPr>
                <w:rFonts w:ascii="Calibri" w:hAnsi="Calibri"/>
                <w:sz w:val="20"/>
                <w:szCs w:val="20"/>
              </w:rPr>
            </w:pPr>
          </w:p>
        </w:tc>
        <w:tc>
          <w:tcPr>
            <w:tcW w:w="675" w:type="dxa"/>
            <w:tcBorders>
              <w:top w:val="single" w:color="auto" w:sz="4" w:space="0"/>
              <w:left w:val="single" w:color="auto" w:sz="4" w:space="0"/>
              <w:bottom w:val="single" w:color="auto" w:sz="4" w:space="0"/>
              <w:right w:val="single" w:color="auto" w:sz="4" w:space="0"/>
            </w:tcBorders>
            <w:vAlign w:val="center"/>
          </w:tcPr>
          <w:p w14:paraId="78BDA511">
            <w:pPr>
              <w:jc w:val="right"/>
              <w:rPr>
                <w:rFonts w:ascii="Calibri" w:hAnsi="Calibri"/>
                <w:sz w:val="20"/>
                <w:szCs w:val="20"/>
              </w:rPr>
            </w:pPr>
          </w:p>
        </w:tc>
        <w:tc>
          <w:tcPr>
            <w:tcW w:w="964" w:type="dxa"/>
            <w:tcBorders>
              <w:top w:val="single" w:color="auto" w:sz="4" w:space="0"/>
              <w:left w:val="single" w:color="auto" w:sz="4" w:space="0"/>
              <w:bottom w:val="single" w:color="auto" w:sz="4" w:space="0"/>
              <w:right w:val="single" w:color="auto" w:sz="4" w:space="0"/>
            </w:tcBorders>
            <w:vAlign w:val="center"/>
          </w:tcPr>
          <w:p w14:paraId="25D9C016">
            <w:pPr>
              <w:jc w:val="right"/>
              <w:rPr>
                <w:rFonts w:ascii="Calibri" w:hAnsi="Calibri"/>
                <w:sz w:val="20"/>
                <w:szCs w:val="20"/>
              </w:rPr>
            </w:pPr>
          </w:p>
        </w:tc>
        <w:tc>
          <w:tcPr>
            <w:tcW w:w="1007" w:type="dxa"/>
            <w:tcBorders>
              <w:top w:val="single" w:color="auto" w:sz="4" w:space="0"/>
              <w:left w:val="single" w:color="auto" w:sz="4" w:space="0"/>
              <w:bottom w:val="single" w:color="auto" w:sz="4" w:space="0"/>
              <w:right w:val="single" w:color="auto" w:sz="4" w:space="0"/>
            </w:tcBorders>
            <w:vAlign w:val="center"/>
          </w:tcPr>
          <w:p w14:paraId="6B25055C">
            <w:pPr>
              <w:jc w:val="right"/>
              <w:rPr>
                <w:rFonts w:ascii="Calibri" w:hAnsi="Calibri"/>
                <w:sz w:val="20"/>
                <w:szCs w:val="20"/>
              </w:rPr>
            </w:pPr>
          </w:p>
        </w:tc>
        <w:tc>
          <w:tcPr>
            <w:tcW w:w="1606" w:type="dxa"/>
            <w:tcBorders>
              <w:top w:val="single" w:color="auto" w:sz="4" w:space="0"/>
              <w:left w:val="single" w:color="auto" w:sz="4" w:space="0"/>
              <w:bottom w:val="single" w:color="auto" w:sz="4" w:space="0"/>
              <w:right w:val="single" w:color="auto" w:sz="4" w:space="0"/>
            </w:tcBorders>
            <w:vAlign w:val="center"/>
          </w:tcPr>
          <w:p w14:paraId="2300BAFE">
            <w:pPr>
              <w:jc w:val="right"/>
              <w:rPr>
                <w:rFonts w:ascii="Calibri" w:hAnsi="Calibri"/>
                <w:sz w:val="20"/>
                <w:szCs w:val="20"/>
              </w:rPr>
            </w:pPr>
            <w:r>
              <w:rPr>
                <w:rFonts w:ascii="Calibri" w:hAnsi="Calibri"/>
                <w:sz w:val="20"/>
                <w:szCs w:val="20"/>
              </w:rPr>
              <w:t>100,000,000.00</w:t>
            </w:r>
          </w:p>
        </w:tc>
        <w:tc>
          <w:tcPr>
            <w:tcW w:w="709" w:type="dxa"/>
            <w:tcBorders>
              <w:top w:val="single" w:color="auto" w:sz="4" w:space="0"/>
              <w:left w:val="single" w:color="auto" w:sz="4" w:space="0"/>
              <w:bottom w:val="single" w:color="auto" w:sz="4" w:space="0"/>
              <w:right w:val="single" w:color="auto" w:sz="4" w:space="0"/>
            </w:tcBorders>
            <w:vAlign w:val="center"/>
          </w:tcPr>
          <w:p w14:paraId="59EDB031">
            <w:pPr>
              <w:jc w:val="right"/>
              <w:rPr>
                <w:rFonts w:ascii="Calibri" w:hAnsi="Calibri"/>
                <w:sz w:val="20"/>
                <w:szCs w:val="20"/>
              </w:rPr>
            </w:pPr>
          </w:p>
        </w:tc>
      </w:tr>
      <w:tr w14:paraId="50E6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Borders>
              <w:top w:val="single" w:color="auto" w:sz="4" w:space="0"/>
              <w:left w:val="single" w:color="auto" w:sz="4" w:space="0"/>
              <w:bottom w:val="single" w:color="auto" w:sz="4" w:space="0"/>
              <w:right w:val="single" w:color="auto" w:sz="4" w:space="0"/>
            </w:tcBorders>
            <w:vAlign w:val="center"/>
          </w:tcPr>
          <w:p w14:paraId="0725D51C">
            <w:pPr>
              <w:pStyle w:val="48"/>
              <w:rPr>
                <w:sz w:val="20"/>
                <w:szCs w:val="20"/>
              </w:rPr>
            </w:pPr>
            <w:r>
              <w:rPr>
                <w:sz w:val="20"/>
                <w:szCs w:val="20"/>
              </w:rPr>
              <w:t>上海桔医网络科技有限公司</w:t>
            </w:r>
          </w:p>
        </w:tc>
        <w:tc>
          <w:tcPr>
            <w:tcW w:w="1559" w:type="dxa"/>
            <w:tcBorders>
              <w:top w:val="single" w:color="auto" w:sz="4" w:space="0"/>
              <w:left w:val="single" w:color="auto" w:sz="4" w:space="0"/>
              <w:bottom w:val="single" w:color="auto" w:sz="4" w:space="0"/>
              <w:right w:val="single" w:color="auto" w:sz="4" w:space="0"/>
            </w:tcBorders>
            <w:vAlign w:val="center"/>
          </w:tcPr>
          <w:p w14:paraId="0BDB6738">
            <w:pPr>
              <w:jc w:val="right"/>
              <w:rPr>
                <w:rFonts w:ascii="Calibri" w:hAnsi="Calibri"/>
                <w:sz w:val="20"/>
                <w:szCs w:val="20"/>
              </w:rPr>
            </w:pPr>
            <w:r>
              <w:rPr>
                <w:rFonts w:ascii="Calibri" w:hAnsi="Calibri"/>
                <w:sz w:val="20"/>
                <w:szCs w:val="20"/>
              </w:rPr>
              <w:t>2,690,810.50</w:t>
            </w:r>
          </w:p>
        </w:tc>
        <w:tc>
          <w:tcPr>
            <w:tcW w:w="821" w:type="dxa"/>
            <w:tcBorders>
              <w:top w:val="single" w:color="auto" w:sz="4" w:space="0"/>
              <w:left w:val="single" w:color="auto" w:sz="4" w:space="0"/>
              <w:bottom w:val="single" w:color="auto" w:sz="4" w:space="0"/>
              <w:right w:val="single" w:color="auto" w:sz="4" w:space="0"/>
            </w:tcBorders>
            <w:vAlign w:val="center"/>
          </w:tcPr>
          <w:p w14:paraId="4236958C">
            <w:pPr>
              <w:jc w:val="right"/>
              <w:rPr>
                <w:rFonts w:ascii="Calibri" w:hAnsi="Calibri"/>
                <w:sz w:val="20"/>
                <w:szCs w:val="20"/>
              </w:rPr>
            </w:pPr>
          </w:p>
        </w:tc>
        <w:tc>
          <w:tcPr>
            <w:tcW w:w="1306" w:type="dxa"/>
            <w:tcBorders>
              <w:top w:val="single" w:color="auto" w:sz="4" w:space="0"/>
              <w:left w:val="single" w:color="auto" w:sz="4" w:space="0"/>
              <w:bottom w:val="single" w:color="auto" w:sz="4" w:space="0"/>
              <w:right w:val="single" w:color="auto" w:sz="4" w:space="0"/>
            </w:tcBorders>
            <w:vAlign w:val="center"/>
          </w:tcPr>
          <w:p w14:paraId="5B08D040">
            <w:pPr>
              <w:jc w:val="right"/>
              <w:rPr>
                <w:rFonts w:ascii="Calibri" w:hAnsi="Calibri"/>
                <w:sz w:val="20"/>
                <w:szCs w:val="20"/>
              </w:rPr>
            </w:pPr>
          </w:p>
        </w:tc>
        <w:tc>
          <w:tcPr>
            <w:tcW w:w="675" w:type="dxa"/>
            <w:tcBorders>
              <w:top w:val="single" w:color="auto" w:sz="4" w:space="0"/>
              <w:left w:val="single" w:color="auto" w:sz="4" w:space="0"/>
              <w:bottom w:val="single" w:color="auto" w:sz="4" w:space="0"/>
              <w:right w:val="single" w:color="auto" w:sz="4" w:space="0"/>
            </w:tcBorders>
            <w:vAlign w:val="center"/>
          </w:tcPr>
          <w:p w14:paraId="248F1DC4">
            <w:pPr>
              <w:jc w:val="right"/>
              <w:rPr>
                <w:rFonts w:ascii="Calibri" w:hAnsi="Calibri"/>
                <w:sz w:val="20"/>
                <w:szCs w:val="20"/>
              </w:rPr>
            </w:pPr>
          </w:p>
        </w:tc>
        <w:tc>
          <w:tcPr>
            <w:tcW w:w="964" w:type="dxa"/>
            <w:tcBorders>
              <w:top w:val="single" w:color="auto" w:sz="4" w:space="0"/>
              <w:left w:val="single" w:color="auto" w:sz="4" w:space="0"/>
              <w:bottom w:val="single" w:color="auto" w:sz="4" w:space="0"/>
              <w:right w:val="single" w:color="auto" w:sz="4" w:space="0"/>
            </w:tcBorders>
            <w:vAlign w:val="center"/>
          </w:tcPr>
          <w:p w14:paraId="18E48AFB">
            <w:pPr>
              <w:jc w:val="right"/>
              <w:rPr>
                <w:rFonts w:ascii="Calibri" w:hAnsi="Calibri"/>
                <w:sz w:val="20"/>
                <w:szCs w:val="20"/>
              </w:rPr>
            </w:pPr>
          </w:p>
        </w:tc>
        <w:tc>
          <w:tcPr>
            <w:tcW w:w="1007" w:type="dxa"/>
            <w:tcBorders>
              <w:top w:val="single" w:color="auto" w:sz="4" w:space="0"/>
              <w:left w:val="single" w:color="auto" w:sz="4" w:space="0"/>
              <w:bottom w:val="single" w:color="auto" w:sz="4" w:space="0"/>
              <w:right w:val="single" w:color="auto" w:sz="4" w:space="0"/>
            </w:tcBorders>
            <w:vAlign w:val="center"/>
          </w:tcPr>
          <w:p w14:paraId="73231C52">
            <w:pPr>
              <w:jc w:val="right"/>
              <w:rPr>
                <w:rFonts w:ascii="Calibri" w:hAnsi="Calibri"/>
                <w:sz w:val="20"/>
                <w:szCs w:val="20"/>
              </w:rPr>
            </w:pPr>
          </w:p>
        </w:tc>
        <w:tc>
          <w:tcPr>
            <w:tcW w:w="1606" w:type="dxa"/>
            <w:tcBorders>
              <w:top w:val="single" w:color="auto" w:sz="4" w:space="0"/>
              <w:left w:val="single" w:color="auto" w:sz="4" w:space="0"/>
              <w:bottom w:val="single" w:color="auto" w:sz="4" w:space="0"/>
              <w:right w:val="single" w:color="auto" w:sz="4" w:space="0"/>
            </w:tcBorders>
            <w:vAlign w:val="center"/>
          </w:tcPr>
          <w:p w14:paraId="7DF0680B">
            <w:pPr>
              <w:jc w:val="right"/>
              <w:rPr>
                <w:rFonts w:ascii="Calibri" w:hAnsi="Calibri"/>
                <w:sz w:val="20"/>
                <w:szCs w:val="20"/>
              </w:rPr>
            </w:pPr>
            <w:r>
              <w:rPr>
                <w:rFonts w:ascii="Calibri" w:hAnsi="Calibri"/>
                <w:sz w:val="20"/>
                <w:szCs w:val="20"/>
              </w:rPr>
              <w:t>2,690,810.50</w:t>
            </w:r>
          </w:p>
        </w:tc>
        <w:tc>
          <w:tcPr>
            <w:tcW w:w="709" w:type="dxa"/>
            <w:tcBorders>
              <w:top w:val="single" w:color="auto" w:sz="4" w:space="0"/>
              <w:left w:val="single" w:color="auto" w:sz="4" w:space="0"/>
              <w:bottom w:val="single" w:color="auto" w:sz="4" w:space="0"/>
              <w:right w:val="single" w:color="auto" w:sz="4" w:space="0"/>
            </w:tcBorders>
            <w:vAlign w:val="center"/>
          </w:tcPr>
          <w:p w14:paraId="07B1D9A7">
            <w:pPr>
              <w:jc w:val="right"/>
              <w:rPr>
                <w:rFonts w:ascii="Calibri" w:hAnsi="Calibri"/>
                <w:sz w:val="20"/>
                <w:szCs w:val="20"/>
              </w:rPr>
            </w:pPr>
          </w:p>
        </w:tc>
      </w:tr>
      <w:tr w14:paraId="7D9D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Borders>
              <w:top w:val="single" w:color="auto" w:sz="4" w:space="0"/>
              <w:left w:val="single" w:color="auto" w:sz="4" w:space="0"/>
              <w:bottom w:val="single" w:color="auto" w:sz="4" w:space="0"/>
              <w:right w:val="single" w:color="auto" w:sz="4" w:space="0"/>
            </w:tcBorders>
            <w:vAlign w:val="center"/>
          </w:tcPr>
          <w:p w14:paraId="00FC14FE">
            <w:pPr>
              <w:pStyle w:val="48"/>
              <w:rPr>
                <w:sz w:val="20"/>
                <w:szCs w:val="20"/>
              </w:rPr>
            </w:pPr>
            <w:r>
              <w:rPr>
                <w:sz w:val="20"/>
                <w:szCs w:val="20"/>
              </w:rPr>
              <w:t>上海隆棵药业有限公司</w:t>
            </w:r>
          </w:p>
        </w:tc>
        <w:tc>
          <w:tcPr>
            <w:tcW w:w="1559" w:type="dxa"/>
            <w:tcBorders>
              <w:top w:val="single" w:color="auto" w:sz="4" w:space="0"/>
              <w:left w:val="single" w:color="auto" w:sz="4" w:space="0"/>
              <w:bottom w:val="single" w:color="auto" w:sz="4" w:space="0"/>
              <w:right w:val="single" w:color="auto" w:sz="4" w:space="0"/>
            </w:tcBorders>
            <w:vAlign w:val="center"/>
          </w:tcPr>
          <w:p w14:paraId="4AD3C0FB">
            <w:pPr>
              <w:jc w:val="right"/>
              <w:rPr>
                <w:rFonts w:ascii="Calibri" w:hAnsi="Calibri"/>
                <w:sz w:val="20"/>
                <w:szCs w:val="20"/>
              </w:rPr>
            </w:pPr>
            <w:r>
              <w:rPr>
                <w:rFonts w:ascii="Calibri" w:hAnsi="Calibri"/>
                <w:sz w:val="20"/>
                <w:szCs w:val="20"/>
              </w:rPr>
              <w:t>26,800,000.00</w:t>
            </w:r>
          </w:p>
        </w:tc>
        <w:tc>
          <w:tcPr>
            <w:tcW w:w="821" w:type="dxa"/>
            <w:tcBorders>
              <w:top w:val="single" w:color="auto" w:sz="4" w:space="0"/>
              <w:left w:val="single" w:color="auto" w:sz="4" w:space="0"/>
              <w:bottom w:val="single" w:color="auto" w:sz="4" w:space="0"/>
              <w:right w:val="single" w:color="auto" w:sz="4" w:space="0"/>
            </w:tcBorders>
            <w:vAlign w:val="center"/>
          </w:tcPr>
          <w:p w14:paraId="1C67CAB1">
            <w:pPr>
              <w:jc w:val="right"/>
              <w:rPr>
                <w:rFonts w:ascii="Calibri" w:hAnsi="Calibri"/>
                <w:sz w:val="20"/>
                <w:szCs w:val="20"/>
              </w:rPr>
            </w:pPr>
          </w:p>
        </w:tc>
        <w:tc>
          <w:tcPr>
            <w:tcW w:w="1306" w:type="dxa"/>
            <w:tcBorders>
              <w:top w:val="single" w:color="auto" w:sz="4" w:space="0"/>
              <w:left w:val="single" w:color="auto" w:sz="4" w:space="0"/>
              <w:bottom w:val="single" w:color="auto" w:sz="4" w:space="0"/>
              <w:right w:val="single" w:color="auto" w:sz="4" w:space="0"/>
            </w:tcBorders>
            <w:vAlign w:val="center"/>
          </w:tcPr>
          <w:p w14:paraId="0219183F">
            <w:pPr>
              <w:jc w:val="right"/>
              <w:rPr>
                <w:rFonts w:ascii="Calibri" w:hAnsi="Calibri"/>
                <w:sz w:val="20"/>
                <w:szCs w:val="20"/>
              </w:rPr>
            </w:pPr>
          </w:p>
        </w:tc>
        <w:tc>
          <w:tcPr>
            <w:tcW w:w="675" w:type="dxa"/>
            <w:tcBorders>
              <w:top w:val="single" w:color="auto" w:sz="4" w:space="0"/>
              <w:left w:val="single" w:color="auto" w:sz="4" w:space="0"/>
              <w:bottom w:val="single" w:color="auto" w:sz="4" w:space="0"/>
              <w:right w:val="single" w:color="auto" w:sz="4" w:space="0"/>
            </w:tcBorders>
            <w:vAlign w:val="center"/>
          </w:tcPr>
          <w:p w14:paraId="0F39092E">
            <w:pPr>
              <w:jc w:val="right"/>
              <w:rPr>
                <w:rFonts w:ascii="Calibri" w:hAnsi="Calibri"/>
                <w:sz w:val="20"/>
                <w:szCs w:val="20"/>
              </w:rPr>
            </w:pPr>
          </w:p>
        </w:tc>
        <w:tc>
          <w:tcPr>
            <w:tcW w:w="964" w:type="dxa"/>
            <w:tcBorders>
              <w:top w:val="single" w:color="auto" w:sz="4" w:space="0"/>
              <w:left w:val="single" w:color="auto" w:sz="4" w:space="0"/>
              <w:bottom w:val="single" w:color="auto" w:sz="4" w:space="0"/>
              <w:right w:val="single" w:color="auto" w:sz="4" w:space="0"/>
            </w:tcBorders>
            <w:vAlign w:val="center"/>
          </w:tcPr>
          <w:p w14:paraId="36DA6E34">
            <w:pPr>
              <w:jc w:val="right"/>
              <w:rPr>
                <w:rFonts w:ascii="Calibri" w:hAnsi="Calibri"/>
                <w:sz w:val="20"/>
                <w:szCs w:val="20"/>
              </w:rPr>
            </w:pPr>
          </w:p>
        </w:tc>
        <w:tc>
          <w:tcPr>
            <w:tcW w:w="1007" w:type="dxa"/>
            <w:tcBorders>
              <w:top w:val="single" w:color="auto" w:sz="4" w:space="0"/>
              <w:left w:val="single" w:color="auto" w:sz="4" w:space="0"/>
              <w:bottom w:val="single" w:color="auto" w:sz="4" w:space="0"/>
              <w:right w:val="single" w:color="auto" w:sz="4" w:space="0"/>
            </w:tcBorders>
            <w:vAlign w:val="center"/>
          </w:tcPr>
          <w:p w14:paraId="4F7E3891">
            <w:pPr>
              <w:jc w:val="right"/>
              <w:rPr>
                <w:rFonts w:ascii="Calibri" w:hAnsi="Calibri"/>
                <w:sz w:val="20"/>
                <w:szCs w:val="20"/>
              </w:rPr>
            </w:pPr>
          </w:p>
        </w:tc>
        <w:tc>
          <w:tcPr>
            <w:tcW w:w="1606" w:type="dxa"/>
            <w:tcBorders>
              <w:top w:val="single" w:color="auto" w:sz="4" w:space="0"/>
              <w:left w:val="single" w:color="auto" w:sz="4" w:space="0"/>
              <w:bottom w:val="single" w:color="auto" w:sz="4" w:space="0"/>
              <w:right w:val="single" w:color="auto" w:sz="4" w:space="0"/>
            </w:tcBorders>
            <w:vAlign w:val="center"/>
          </w:tcPr>
          <w:p w14:paraId="79FD0899">
            <w:pPr>
              <w:jc w:val="right"/>
              <w:rPr>
                <w:rFonts w:ascii="Calibri" w:hAnsi="Calibri"/>
                <w:sz w:val="20"/>
                <w:szCs w:val="20"/>
              </w:rPr>
            </w:pPr>
            <w:r>
              <w:rPr>
                <w:rFonts w:ascii="Calibri" w:hAnsi="Calibri"/>
                <w:sz w:val="20"/>
                <w:szCs w:val="20"/>
              </w:rPr>
              <w:t>26,800,000.00</w:t>
            </w:r>
          </w:p>
        </w:tc>
        <w:tc>
          <w:tcPr>
            <w:tcW w:w="709" w:type="dxa"/>
            <w:tcBorders>
              <w:top w:val="single" w:color="auto" w:sz="4" w:space="0"/>
              <w:left w:val="single" w:color="auto" w:sz="4" w:space="0"/>
              <w:bottom w:val="single" w:color="auto" w:sz="4" w:space="0"/>
              <w:right w:val="single" w:color="auto" w:sz="4" w:space="0"/>
            </w:tcBorders>
            <w:vAlign w:val="center"/>
          </w:tcPr>
          <w:p w14:paraId="17E588DF">
            <w:pPr>
              <w:jc w:val="right"/>
              <w:rPr>
                <w:rFonts w:ascii="Calibri" w:hAnsi="Calibri"/>
                <w:sz w:val="20"/>
                <w:szCs w:val="20"/>
              </w:rPr>
            </w:pPr>
          </w:p>
        </w:tc>
      </w:tr>
      <w:tr w14:paraId="2040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Borders>
              <w:top w:val="single" w:color="auto" w:sz="4" w:space="0"/>
              <w:left w:val="single" w:color="auto" w:sz="4" w:space="0"/>
              <w:bottom w:val="single" w:color="auto" w:sz="4" w:space="0"/>
              <w:right w:val="single" w:color="auto" w:sz="4" w:space="0"/>
            </w:tcBorders>
            <w:vAlign w:val="center"/>
          </w:tcPr>
          <w:p w14:paraId="1A736E27">
            <w:pPr>
              <w:pStyle w:val="48"/>
              <w:rPr>
                <w:sz w:val="20"/>
                <w:szCs w:val="20"/>
              </w:rPr>
            </w:pPr>
            <w:r>
              <w:rPr>
                <w:sz w:val="20"/>
                <w:szCs w:val="20"/>
              </w:rPr>
              <w:t>东宝进出口贸易（海南）有限公司</w:t>
            </w:r>
          </w:p>
        </w:tc>
        <w:tc>
          <w:tcPr>
            <w:tcW w:w="1559" w:type="dxa"/>
            <w:tcBorders>
              <w:top w:val="single" w:color="auto" w:sz="4" w:space="0"/>
              <w:left w:val="single" w:color="auto" w:sz="4" w:space="0"/>
              <w:bottom w:val="single" w:color="auto" w:sz="4" w:space="0"/>
              <w:right w:val="single" w:color="auto" w:sz="4" w:space="0"/>
            </w:tcBorders>
            <w:vAlign w:val="center"/>
          </w:tcPr>
          <w:p w14:paraId="5CF7F393">
            <w:pPr>
              <w:jc w:val="right"/>
              <w:rPr>
                <w:rFonts w:ascii="Calibri" w:hAnsi="Calibri"/>
                <w:sz w:val="20"/>
                <w:szCs w:val="20"/>
              </w:rPr>
            </w:pPr>
          </w:p>
        </w:tc>
        <w:tc>
          <w:tcPr>
            <w:tcW w:w="821" w:type="dxa"/>
            <w:tcBorders>
              <w:top w:val="single" w:color="auto" w:sz="4" w:space="0"/>
              <w:left w:val="single" w:color="auto" w:sz="4" w:space="0"/>
              <w:bottom w:val="single" w:color="auto" w:sz="4" w:space="0"/>
              <w:right w:val="single" w:color="auto" w:sz="4" w:space="0"/>
            </w:tcBorders>
            <w:vAlign w:val="center"/>
          </w:tcPr>
          <w:p w14:paraId="58EC0564">
            <w:pPr>
              <w:jc w:val="right"/>
              <w:rPr>
                <w:rFonts w:ascii="Calibri" w:hAnsi="Calibri"/>
                <w:sz w:val="20"/>
                <w:szCs w:val="20"/>
              </w:rPr>
            </w:pPr>
          </w:p>
        </w:tc>
        <w:tc>
          <w:tcPr>
            <w:tcW w:w="1306" w:type="dxa"/>
            <w:tcBorders>
              <w:top w:val="single" w:color="auto" w:sz="4" w:space="0"/>
              <w:left w:val="single" w:color="auto" w:sz="4" w:space="0"/>
              <w:bottom w:val="single" w:color="auto" w:sz="4" w:space="0"/>
              <w:right w:val="single" w:color="auto" w:sz="4" w:space="0"/>
            </w:tcBorders>
            <w:vAlign w:val="center"/>
          </w:tcPr>
          <w:p w14:paraId="56178E1A">
            <w:pPr>
              <w:jc w:val="right"/>
              <w:rPr>
                <w:rFonts w:ascii="Calibri" w:hAnsi="Calibri"/>
                <w:sz w:val="20"/>
                <w:szCs w:val="20"/>
              </w:rPr>
            </w:pPr>
            <w:r>
              <w:rPr>
                <w:rFonts w:ascii="Calibri" w:hAnsi="Calibri"/>
                <w:sz w:val="20"/>
                <w:szCs w:val="20"/>
              </w:rPr>
              <w:t>3,542,466.78</w:t>
            </w:r>
          </w:p>
        </w:tc>
        <w:tc>
          <w:tcPr>
            <w:tcW w:w="675" w:type="dxa"/>
            <w:tcBorders>
              <w:top w:val="single" w:color="auto" w:sz="4" w:space="0"/>
              <w:left w:val="single" w:color="auto" w:sz="4" w:space="0"/>
              <w:bottom w:val="single" w:color="auto" w:sz="4" w:space="0"/>
              <w:right w:val="single" w:color="auto" w:sz="4" w:space="0"/>
            </w:tcBorders>
            <w:vAlign w:val="center"/>
          </w:tcPr>
          <w:p w14:paraId="23D7539B">
            <w:pPr>
              <w:jc w:val="right"/>
              <w:rPr>
                <w:rFonts w:ascii="Calibri" w:hAnsi="Calibri"/>
                <w:sz w:val="20"/>
                <w:szCs w:val="20"/>
              </w:rPr>
            </w:pPr>
          </w:p>
        </w:tc>
        <w:tc>
          <w:tcPr>
            <w:tcW w:w="964" w:type="dxa"/>
            <w:tcBorders>
              <w:top w:val="single" w:color="auto" w:sz="4" w:space="0"/>
              <w:left w:val="single" w:color="auto" w:sz="4" w:space="0"/>
              <w:bottom w:val="single" w:color="auto" w:sz="4" w:space="0"/>
              <w:right w:val="single" w:color="auto" w:sz="4" w:space="0"/>
            </w:tcBorders>
            <w:vAlign w:val="center"/>
          </w:tcPr>
          <w:p w14:paraId="3C0C2C33">
            <w:pPr>
              <w:jc w:val="right"/>
              <w:rPr>
                <w:rFonts w:ascii="Calibri" w:hAnsi="Calibri"/>
                <w:sz w:val="20"/>
                <w:szCs w:val="20"/>
              </w:rPr>
            </w:pPr>
          </w:p>
        </w:tc>
        <w:tc>
          <w:tcPr>
            <w:tcW w:w="1007" w:type="dxa"/>
            <w:tcBorders>
              <w:top w:val="single" w:color="auto" w:sz="4" w:space="0"/>
              <w:left w:val="single" w:color="auto" w:sz="4" w:space="0"/>
              <w:bottom w:val="single" w:color="auto" w:sz="4" w:space="0"/>
              <w:right w:val="single" w:color="auto" w:sz="4" w:space="0"/>
            </w:tcBorders>
            <w:vAlign w:val="center"/>
          </w:tcPr>
          <w:p w14:paraId="4E969BEC">
            <w:pPr>
              <w:jc w:val="right"/>
              <w:rPr>
                <w:rFonts w:ascii="Calibri" w:hAnsi="Calibri"/>
                <w:sz w:val="20"/>
                <w:szCs w:val="20"/>
              </w:rPr>
            </w:pPr>
          </w:p>
        </w:tc>
        <w:tc>
          <w:tcPr>
            <w:tcW w:w="1606" w:type="dxa"/>
            <w:tcBorders>
              <w:top w:val="single" w:color="auto" w:sz="4" w:space="0"/>
              <w:left w:val="single" w:color="auto" w:sz="4" w:space="0"/>
              <w:bottom w:val="single" w:color="auto" w:sz="4" w:space="0"/>
              <w:right w:val="single" w:color="auto" w:sz="4" w:space="0"/>
            </w:tcBorders>
            <w:vAlign w:val="center"/>
          </w:tcPr>
          <w:p w14:paraId="64E47ED0">
            <w:pPr>
              <w:jc w:val="right"/>
              <w:rPr>
                <w:rFonts w:ascii="Calibri" w:hAnsi="Calibri"/>
                <w:sz w:val="20"/>
                <w:szCs w:val="20"/>
              </w:rPr>
            </w:pPr>
            <w:r>
              <w:rPr>
                <w:rFonts w:ascii="Calibri" w:hAnsi="Calibri"/>
                <w:sz w:val="20"/>
                <w:szCs w:val="20"/>
              </w:rPr>
              <w:t>3,542,466.78</w:t>
            </w:r>
          </w:p>
        </w:tc>
        <w:tc>
          <w:tcPr>
            <w:tcW w:w="709" w:type="dxa"/>
            <w:tcBorders>
              <w:top w:val="single" w:color="auto" w:sz="4" w:space="0"/>
              <w:left w:val="single" w:color="auto" w:sz="4" w:space="0"/>
              <w:bottom w:val="single" w:color="auto" w:sz="4" w:space="0"/>
              <w:right w:val="single" w:color="auto" w:sz="4" w:space="0"/>
            </w:tcBorders>
            <w:vAlign w:val="center"/>
          </w:tcPr>
          <w:p w14:paraId="423B22C3">
            <w:pPr>
              <w:jc w:val="right"/>
              <w:rPr>
                <w:rFonts w:ascii="Calibri" w:hAnsi="Calibri"/>
                <w:sz w:val="20"/>
                <w:szCs w:val="20"/>
              </w:rPr>
            </w:pPr>
          </w:p>
        </w:tc>
      </w:tr>
      <w:tr w14:paraId="51E0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Borders>
              <w:top w:val="single" w:color="auto" w:sz="4" w:space="0"/>
              <w:left w:val="single" w:color="auto" w:sz="4" w:space="0"/>
              <w:bottom w:val="single" w:color="auto" w:sz="4" w:space="0"/>
              <w:right w:val="single" w:color="auto" w:sz="4" w:space="0"/>
            </w:tcBorders>
            <w:vAlign w:val="center"/>
          </w:tcPr>
          <w:p w14:paraId="480F9FCA">
            <w:pPr>
              <w:jc w:val="center"/>
              <w:rPr>
                <w:rFonts w:ascii="Calibri" w:hAnsi="Calibri"/>
                <w:sz w:val="20"/>
                <w:szCs w:val="20"/>
              </w:rPr>
            </w:pPr>
            <w:r>
              <w:rPr>
                <w:rFonts w:hint="eastAsia" w:ascii="Calibri" w:hAnsi="Calibri"/>
                <w:sz w:val="20"/>
                <w:szCs w:val="20"/>
              </w:rPr>
              <w:t>合计</w:t>
            </w:r>
          </w:p>
        </w:tc>
        <w:tc>
          <w:tcPr>
            <w:tcW w:w="1559" w:type="dxa"/>
            <w:tcBorders>
              <w:top w:val="single" w:color="auto" w:sz="4" w:space="0"/>
              <w:left w:val="single" w:color="auto" w:sz="4" w:space="0"/>
              <w:bottom w:val="single" w:color="auto" w:sz="4" w:space="0"/>
              <w:right w:val="single" w:color="auto" w:sz="4" w:space="0"/>
            </w:tcBorders>
            <w:vAlign w:val="center"/>
          </w:tcPr>
          <w:p w14:paraId="6307659D">
            <w:pPr>
              <w:jc w:val="right"/>
              <w:rPr>
                <w:rFonts w:ascii="Calibri" w:hAnsi="Calibri"/>
                <w:sz w:val="20"/>
                <w:szCs w:val="20"/>
              </w:rPr>
            </w:pPr>
            <w:r>
              <w:rPr>
                <w:rFonts w:ascii="Calibri" w:hAnsi="Calibri"/>
                <w:sz w:val="20"/>
                <w:szCs w:val="20"/>
              </w:rPr>
              <w:t>369,945,262.18</w:t>
            </w:r>
          </w:p>
        </w:tc>
        <w:tc>
          <w:tcPr>
            <w:tcW w:w="821" w:type="dxa"/>
            <w:tcBorders>
              <w:top w:val="single" w:color="auto" w:sz="4" w:space="0"/>
              <w:left w:val="single" w:color="auto" w:sz="4" w:space="0"/>
              <w:bottom w:val="single" w:color="auto" w:sz="4" w:space="0"/>
              <w:right w:val="single" w:color="auto" w:sz="4" w:space="0"/>
            </w:tcBorders>
            <w:vAlign w:val="center"/>
          </w:tcPr>
          <w:p w14:paraId="1ED9D2DC">
            <w:pPr>
              <w:jc w:val="right"/>
              <w:rPr>
                <w:rFonts w:ascii="Calibri" w:hAnsi="Calibri"/>
                <w:sz w:val="20"/>
                <w:szCs w:val="20"/>
              </w:rPr>
            </w:pPr>
          </w:p>
        </w:tc>
        <w:tc>
          <w:tcPr>
            <w:tcW w:w="1306" w:type="dxa"/>
            <w:tcBorders>
              <w:top w:val="single" w:color="auto" w:sz="4" w:space="0"/>
              <w:left w:val="single" w:color="auto" w:sz="4" w:space="0"/>
              <w:bottom w:val="single" w:color="auto" w:sz="4" w:space="0"/>
              <w:right w:val="single" w:color="auto" w:sz="4" w:space="0"/>
            </w:tcBorders>
            <w:vAlign w:val="center"/>
          </w:tcPr>
          <w:p w14:paraId="2F1ABFCD">
            <w:pPr>
              <w:jc w:val="right"/>
              <w:rPr>
                <w:rFonts w:ascii="Calibri" w:hAnsi="Calibri"/>
                <w:sz w:val="20"/>
                <w:szCs w:val="20"/>
              </w:rPr>
            </w:pPr>
            <w:r>
              <w:rPr>
                <w:rFonts w:ascii="Calibri" w:hAnsi="Calibri"/>
                <w:sz w:val="20"/>
                <w:szCs w:val="20"/>
              </w:rPr>
              <w:t>3,542,466.78</w:t>
            </w:r>
          </w:p>
        </w:tc>
        <w:tc>
          <w:tcPr>
            <w:tcW w:w="675" w:type="dxa"/>
            <w:tcBorders>
              <w:top w:val="single" w:color="auto" w:sz="4" w:space="0"/>
              <w:left w:val="single" w:color="auto" w:sz="4" w:space="0"/>
              <w:bottom w:val="single" w:color="auto" w:sz="4" w:space="0"/>
              <w:right w:val="single" w:color="auto" w:sz="4" w:space="0"/>
            </w:tcBorders>
            <w:vAlign w:val="center"/>
          </w:tcPr>
          <w:p w14:paraId="4E0C31E8">
            <w:pPr>
              <w:jc w:val="right"/>
              <w:rPr>
                <w:rFonts w:ascii="Calibri" w:hAnsi="Calibri"/>
                <w:sz w:val="20"/>
                <w:szCs w:val="20"/>
              </w:rPr>
            </w:pPr>
          </w:p>
        </w:tc>
        <w:tc>
          <w:tcPr>
            <w:tcW w:w="964" w:type="dxa"/>
            <w:tcBorders>
              <w:top w:val="single" w:color="auto" w:sz="4" w:space="0"/>
              <w:left w:val="single" w:color="auto" w:sz="4" w:space="0"/>
              <w:bottom w:val="single" w:color="auto" w:sz="4" w:space="0"/>
              <w:right w:val="single" w:color="auto" w:sz="4" w:space="0"/>
            </w:tcBorders>
            <w:vAlign w:val="center"/>
          </w:tcPr>
          <w:p w14:paraId="597F942C">
            <w:pPr>
              <w:jc w:val="right"/>
              <w:rPr>
                <w:rFonts w:ascii="Calibri" w:hAnsi="Calibri"/>
                <w:sz w:val="20"/>
                <w:szCs w:val="20"/>
              </w:rPr>
            </w:pPr>
          </w:p>
        </w:tc>
        <w:tc>
          <w:tcPr>
            <w:tcW w:w="1007" w:type="dxa"/>
            <w:tcBorders>
              <w:top w:val="single" w:color="auto" w:sz="4" w:space="0"/>
              <w:left w:val="single" w:color="auto" w:sz="4" w:space="0"/>
              <w:bottom w:val="single" w:color="auto" w:sz="4" w:space="0"/>
              <w:right w:val="single" w:color="auto" w:sz="4" w:space="0"/>
            </w:tcBorders>
            <w:vAlign w:val="center"/>
          </w:tcPr>
          <w:p w14:paraId="0E9305BB">
            <w:pPr>
              <w:jc w:val="right"/>
              <w:rPr>
                <w:rFonts w:ascii="Calibri" w:hAnsi="Calibri"/>
                <w:sz w:val="20"/>
                <w:szCs w:val="20"/>
              </w:rPr>
            </w:pPr>
          </w:p>
        </w:tc>
        <w:tc>
          <w:tcPr>
            <w:tcW w:w="1606" w:type="dxa"/>
            <w:tcBorders>
              <w:top w:val="single" w:color="auto" w:sz="4" w:space="0"/>
              <w:left w:val="single" w:color="auto" w:sz="4" w:space="0"/>
              <w:bottom w:val="single" w:color="auto" w:sz="4" w:space="0"/>
              <w:right w:val="single" w:color="auto" w:sz="4" w:space="0"/>
            </w:tcBorders>
            <w:vAlign w:val="center"/>
          </w:tcPr>
          <w:p w14:paraId="3AD844F5">
            <w:pPr>
              <w:jc w:val="right"/>
              <w:rPr>
                <w:rFonts w:ascii="Calibri" w:hAnsi="Calibri"/>
                <w:sz w:val="20"/>
                <w:szCs w:val="20"/>
              </w:rPr>
            </w:pPr>
            <w:r>
              <w:rPr>
                <w:rFonts w:ascii="Calibri" w:hAnsi="Calibri"/>
                <w:sz w:val="20"/>
                <w:szCs w:val="20"/>
              </w:rPr>
              <w:t>373,487,728.96</w:t>
            </w:r>
          </w:p>
        </w:tc>
        <w:tc>
          <w:tcPr>
            <w:tcW w:w="709" w:type="dxa"/>
            <w:tcBorders>
              <w:top w:val="single" w:color="auto" w:sz="4" w:space="0"/>
              <w:left w:val="single" w:color="auto" w:sz="4" w:space="0"/>
              <w:bottom w:val="single" w:color="auto" w:sz="4" w:space="0"/>
              <w:right w:val="single" w:color="auto" w:sz="4" w:space="0"/>
            </w:tcBorders>
            <w:vAlign w:val="center"/>
          </w:tcPr>
          <w:p w14:paraId="6262EB0B">
            <w:pPr>
              <w:jc w:val="right"/>
              <w:rPr>
                <w:rFonts w:ascii="Calibri" w:hAnsi="Calibri"/>
                <w:sz w:val="20"/>
                <w:szCs w:val="20"/>
              </w:rPr>
            </w:pPr>
          </w:p>
        </w:tc>
      </w:tr>
    </w:tbl>
    <w:p w14:paraId="604126F5"/>
    <w:p w14:paraId="40716D58">
      <w:pPr>
        <w:pStyle w:val="48"/>
        <w:sectPr>
          <w:pgSz w:w="11906" w:h="16838"/>
          <w:pgMar w:top="1525" w:right="1276" w:bottom="1440" w:left="1797" w:header="856" w:footer="992" w:gutter="0"/>
          <w:cols w:space="425" w:num="1"/>
          <w:docGrid w:linePitch="312" w:charSpace="0"/>
        </w:sectPr>
      </w:pPr>
    </w:p>
    <w:p w14:paraId="35A80449">
      <w:pPr>
        <w:pStyle w:val="48"/>
      </w:pPr>
    </w:p>
    <w:p w14:paraId="7FA7CB6A">
      <w:pPr>
        <w:pStyle w:val="5"/>
        <w:numPr>
          <w:ilvl w:val="0"/>
          <w:numId w:val="131"/>
        </w:numPr>
      </w:pPr>
      <w:r>
        <w:rPr>
          <w:rFonts w:hint="eastAsia"/>
        </w:rPr>
        <w:t>对联营、合营企业投资</w:t>
      </w:r>
    </w:p>
    <w:sdt>
      <w:sdtPr>
        <w:alias w:val="是否适用：母公司对联营、合营企业投资[双击切换]"/>
        <w:tag w:val="_GBC_2e4760cb979247e69579530b3868e897"/>
        <w:id w:val="-1015528619"/>
        <w:placeholder>
          <w:docPart w:val="GBC22222222222222222222222222222"/>
        </w:placeholder>
      </w:sdtPr>
      <w:sdtContent>
        <w:p w14:paraId="1AC4DEC1">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E99EDE4">
      <w:pPr>
        <w:jc w:val="right"/>
      </w:pPr>
      <w:r>
        <w:rPr>
          <w:rFonts w:hint="eastAsia"/>
        </w:rPr>
        <w:t>单位：</w:t>
      </w:r>
      <w:sdt>
        <w:sdtPr>
          <w:rPr>
            <w:rFonts w:hint="eastAsia"/>
          </w:rPr>
          <w:alias w:val="单位：母公司财务附注：对联营、合营企业投资"/>
          <w:tag w:val="_GBC_ccad125c53784121bdbf82967e585280"/>
          <w:id w:val="14761800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财务附注：对联营、合营企业投资"/>
          <w:tag w:val="_GBC_f572fc517d504bef8d5942b395a68d39"/>
          <w:id w:val="17497652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15852"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559"/>
        <w:gridCol w:w="425"/>
        <w:gridCol w:w="1418"/>
        <w:gridCol w:w="1559"/>
        <w:gridCol w:w="1559"/>
        <w:gridCol w:w="1701"/>
        <w:gridCol w:w="1701"/>
        <w:gridCol w:w="426"/>
        <w:gridCol w:w="1417"/>
        <w:gridCol w:w="1559"/>
        <w:gridCol w:w="684"/>
      </w:tblGrid>
      <w:tr w14:paraId="0E76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sdt>
          <w:sdtPr>
            <w:tag w:val="_PLD_cddf860d624b41069bef0850b92b7db2"/>
            <w:id w:val="-587456274"/>
          </w:sdtPr>
          <w:sdtContent>
            <w:tc>
              <w:tcPr>
                <w:tcW w:w="1844" w:type="dxa"/>
                <w:vMerge w:val="restart"/>
                <w:tcBorders>
                  <w:top w:val="single" w:color="auto" w:sz="4" w:space="0"/>
                  <w:left w:val="single" w:color="auto" w:sz="4" w:space="0"/>
                  <w:right w:val="single" w:color="auto" w:sz="4" w:space="0"/>
                </w:tcBorders>
                <w:vAlign w:val="center"/>
              </w:tcPr>
              <w:p w14:paraId="2B897BF8">
                <w:pPr>
                  <w:jc w:val="center"/>
                  <w:rPr>
                    <w:rFonts w:ascii="Calibri" w:hAnsi="Calibri"/>
                    <w:sz w:val="20"/>
                    <w:szCs w:val="20"/>
                  </w:rPr>
                </w:pPr>
                <w:r>
                  <w:rPr>
                    <w:rFonts w:hint="eastAsia" w:ascii="Calibri" w:hAnsi="Calibri"/>
                    <w:sz w:val="20"/>
                    <w:szCs w:val="20"/>
                  </w:rPr>
                  <w:t>投资</w:t>
                </w:r>
              </w:p>
              <w:p w14:paraId="06AD7C94">
                <w:pPr>
                  <w:jc w:val="center"/>
                  <w:rPr>
                    <w:rFonts w:ascii="Calibri" w:hAnsi="Calibri"/>
                    <w:sz w:val="20"/>
                    <w:szCs w:val="20"/>
                  </w:rPr>
                </w:pPr>
                <w:r>
                  <w:rPr>
                    <w:rFonts w:hint="eastAsia" w:ascii="Calibri" w:hAnsi="Calibri"/>
                    <w:sz w:val="20"/>
                    <w:szCs w:val="20"/>
                  </w:rPr>
                  <w:t>单位</w:t>
                </w:r>
              </w:p>
            </w:tc>
          </w:sdtContent>
        </w:sdt>
        <w:sdt>
          <w:sdtPr>
            <w:tag w:val="_PLD_1e9893e3e3854470a87271f1c7db6cdb"/>
            <w:id w:val="-1950382809"/>
          </w:sdtPr>
          <w:sdtContent>
            <w:tc>
              <w:tcPr>
                <w:tcW w:w="1559" w:type="dxa"/>
                <w:vMerge w:val="restart"/>
                <w:tcBorders>
                  <w:top w:val="single" w:color="auto" w:sz="4" w:space="0"/>
                  <w:left w:val="single" w:color="auto" w:sz="4" w:space="0"/>
                  <w:right w:val="single" w:color="auto" w:sz="4" w:space="0"/>
                </w:tcBorders>
                <w:vAlign w:val="center"/>
              </w:tcPr>
              <w:p w14:paraId="3574895A">
                <w:pPr>
                  <w:jc w:val="center"/>
                  <w:rPr>
                    <w:rFonts w:ascii="Calibri" w:hAnsi="Calibri"/>
                    <w:sz w:val="20"/>
                    <w:szCs w:val="20"/>
                  </w:rPr>
                </w:pPr>
                <w:r>
                  <w:rPr>
                    <w:rFonts w:hint="eastAsia" w:ascii="Calibri" w:hAnsi="Calibri"/>
                    <w:sz w:val="20"/>
                    <w:szCs w:val="20"/>
                  </w:rPr>
                  <w:t>期初</w:t>
                </w:r>
              </w:p>
              <w:p w14:paraId="5A56BF63">
                <w:pPr>
                  <w:jc w:val="center"/>
                  <w:rPr>
                    <w:rFonts w:ascii="Calibri" w:hAnsi="Calibri"/>
                    <w:sz w:val="20"/>
                    <w:szCs w:val="20"/>
                  </w:rPr>
                </w:pPr>
                <w:r>
                  <w:rPr>
                    <w:rFonts w:hint="eastAsia" w:ascii="Calibri" w:hAnsi="Calibri"/>
                    <w:sz w:val="20"/>
                    <w:szCs w:val="20"/>
                  </w:rPr>
                  <w:t>余额（账面价值）</w:t>
                </w:r>
              </w:p>
            </w:tc>
          </w:sdtContent>
        </w:sdt>
        <w:sdt>
          <w:sdtPr>
            <w:tag w:val="_PLD_51e202fa7d4541e8b1073ad1aab00e23"/>
            <w:id w:val="-1723819848"/>
          </w:sdtPr>
          <w:sdtContent>
            <w:tc>
              <w:tcPr>
                <w:tcW w:w="10206" w:type="dxa"/>
                <w:gridSpan w:val="8"/>
                <w:tcBorders>
                  <w:top w:val="single" w:color="auto" w:sz="4" w:space="0"/>
                  <w:left w:val="single" w:color="auto" w:sz="4" w:space="0"/>
                  <w:bottom w:val="single" w:color="auto" w:sz="4" w:space="0"/>
                  <w:right w:val="single" w:color="auto" w:sz="4" w:space="0"/>
                </w:tcBorders>
                <w:vAlign w:val="center"/>
              </w:tcPr>
              <w:p w14:paraId="7BA41C1E">
                <w:pPr>
                  <w:jc w:val="center"/>
                  <w:rPr>
                    <w:rFonts w:ascii="Calibri" w:hAnsi="Calibri"/>
                    <w:sz w:val="20"/>
                    <w:szCs w:val="20"/>
                  </w:rPr>
                </w:pPr>
                <w:r>
                  <w:rPr>
                    <w:rFonts w:hint="eastAsia" w:ascii="Calibri" w:hAnsi="Calibri"/>
                    <w:sz w:val="20"/>
                    <w:szCs w:val="20"/>
                  </w:rPr>
                  <w:t>本期增减变动</w:t>
                </w:r>
              </w:p>
            </w:tc>
          </w:sdtContent>
        </w:sdt>
        <w:sdt>
          <w:sdtPr>
            <w:tag w:val="_PLD_fb68ab3bfe254cb4ac4728b9c324a1ea"/>
            <w:id w:val="872575334"/>
          </w:sdtPr>
          <w:sdtContent>
            <w:tc>
              <w:tcPr>
                <w:tcW w:w="1559" w:type="dxa"/>
                <w:vMerge w:val="restart"/>
                <w:tcBorders>
                  <w:top w:val="single" w:color="auto" w:sz="4" w:space="0"/>
                  <w:left w:val="single" w:color="auto" w:sz="4" w:space="0"/>
                  <w:right w:val="single" w:color="auto" w:sz="4" w:space="0"/>
                </w:tcBorders>
                <w:vAlign w:val="center"/>
              </w:tcPr>
              <w:p w14:paraId="0B7D6699">
                <w:pPr>
                  <w:jc w:val="center"/>
                  <w:rPr>
                    <w:rFonts w:ascii="Calibri" w:hAnsi="Calibri"/>
                    <w:sz w:val="20"/>
                    <w:szCs w:val="20"/>
                  </w:rPr>
                </w:pPr>
                <w:r>
                  <w:rPr>
                    <w:rFonts w:hint="eastAsia" w:ascii="Calibri" w:hAnsi="Calibri"/>
                    <w:sz w:val="20"/>
                    <w:szCs w:val="20"/>
                  </w:rPr>
                  <w:t>期末</w:t>
                </w:r>
              </w:p>
              <w:p w14:paraId="4B63CEF3">
                <w:pPr>
                  <w:jc w:val="center"/>
                  <w:rPr>
                    <w:rFonts w:ascii="Calibri" w:hAnsi="Calibri"/>
                    <w:sz w:val="20"/>
                    <w:szCs w:val="20"/>
                  </w:rPr>
                </w:pPr>
                <w:r>
                  <w:rPr>
                    <w:rFonts w:hint="eastAsia" w:ascii="Calibri" w:hAnsi="Calibri"/>
                    <w:sz w:val="20"/>
                    <w:szCs w:val="20"/>
                  </w:rPr>
                  <w:t>余额（账面价值）</w:t>
                </w:r>
              </w:p>
            </w:tc>
          </w:sdtContent>
        </w:sdt>
        <w:sdt>
          <w:sdtPr>
            <w:tag w:val="_PLD_79ea6426597c4707b961bbd96c8cf19f"/>
            <w:id w:val="-1596400899"/>
          </w:sdtPr>
          <w:sdtContent>
            <w:tc>
              <w:tcPr>
                <w:tcW w:w="684" w:type="dxa"/>
                <w:vMerge w:val="restart"/>
                <w:tcBorders>
                  <w:top w:val="single" w:color="auto" w:sz="4" w:space="0"/>
                  <w:left w:val="single" w:color="auto" w:sz="4" w:space="0"/>
                  <w:right w:val="single" w:color="auto" w:sz="4" w:space="0"/>
                </w:tcBorders>
                <w:vAlign w:val="center"/>
              </w:tcPr>
              <w:p w14:paraId="01EC9B06">
                <w:pPr>
                  <w:jc w:val="center"/>
                  <w:rPr>
                    <w:rFonts w:ascii="Calibri" w:hAnsi="Calibri"/>
                    <w:sz w:val="20"/>
                    <w:szCs w:val="20"/>
                  </w:rPr>
                </w:pPr>
                <w:r>
                  <w:rPr>
                    <w:rFonts w:hint="eastAsia" w:ascii="Calibri" w:hAnsi="Calibri"/>
                    <w:sz w:val="20"/>
                    <w:szCs w:val="20"/>
                  </w:rPr>
                  <w:t>减值准备期末余额</w:t>
                </w:r>
              </w:p>
            </w:tc>
          </w:sdtContent>
        </w:sdt>
      </w:tr>
      <w:tr w14:paraId="083F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1844" w:type="dxa"/>
            <w:vMerge w:val="continue"/>
            <w:tcBorders>
              <w:left w:val="single" w:color="auto" w:sz="4" w:space="0"/>
              <w:bottom w:val="single" w:color="auto" w:sz="4" w:space="0"/>
              <w:right w:val="single" w:color="auto" w:sz="4" w:space="0"/>
            </w:tcBorders>
            <w:vAlign w:val="center"/>
          </w:tcPr>
          <w:p w14:paraId="7EC4DF9A">
            <w:pPr>
              <w:jc w:val="center"/>
              <w:rPr>
                <w:rFonts w:ascii="Calibri" w:hAnsi="Calibri"/>
                <w:sz w:val="20"/>
                <w:szCs w:val="20"/>
              </w:rPr>
            </w:pPr>
          </w:p>
        </w:tc>
        <w:tc>
          <w:tcPr>
            <w:tcW w:w="1559" w:type="dxa"/>
            <w:vMerge w:val="continue"/>
            <w:tcBorders>
              <w:left w:val="single" w:color="auto" w:sz="4" w:space="0"/>
              <w:bottom w:val="single" w:color="auto" w:sz="4" w:space="0"/>
              <w:right w:val="single" w:color="auto" w:sz="4" w:space="0"/>
            </w:tcBorders>
            <w:vAlign w:val="center"/>
          </w:tcPr>
          <w:p w14:paraId="411BC5E6">
            <w:pPr>
              <w:jc w:val="center"/>
              <w:rPr>
                <w:rFonts w:ascii="Calibri" w:hAnsi="Calibri"/>
                <w:sz w:val="20"/>
                <w:szCs w:val="20"/>
              </w:rPr>
            </w:pPr>
          </w:p>
        </w:tc>
        <w:sdt>
          <w:sdtPr>
            <w:tag w:val="_PLD_759fe0f59b6046308988b932a5f90e06"/>
            <w:id w:val="2100595534"/>
          </w:sdtPr>
          <w:sdtContent>
            <w:tc>
              <w:tcPr>
                <w:tcW w:w="425" w:type="dxa"/>
                <w:tcBorders>
                  <w:top w:val="single" w:color="auto" w:sz="4" w:space="0"/>
                  <w:left w:val="single" w:color="auto" w:sz="4" w:space="0"/>
                  <w:bottom w:val="single" w:color="auto" w:sz="4" w:space="0"/>
                  <w:right w:val="single" w:color="auto" w:sz="4" w:space="0"/>
                </w:tcBorders>
                <w:vAlign w:val="center"/>
              </w:tcPr>
              <w:p w14:paraId="4BCA19B7">
                <w:pPr>
                  <w:jc w:val="center"/>
                  <w:rPr>
                    <w:rFonts w:ascii="Calibri" w:hAnsi="Calibri"/>
                    <w:sz w:val="20"/>
                    <w:szCs w:val="20"/>
                  </w:rPr>
                </w:pPr>
                <w:r>
                  <w:rPr>
                    <w:rFonts w:hint="eastAsia" w:ascii="Calibri" w:hAnsi="Calibri"/>
                    <w:sz w:val="20"/>
                    <w:szCs w:val="20"/>
                  </w:rPr>
                  <w:t>追加投资</w:t>
                </w:r>
              </w:p>
            </w:tc>
          </w:sdtContent>
        </w:sdt>
        <w:sdt>
          <w:sdtPr>
            <w:tag w:val="_PLD_6f033bedb79a4bd7bc36dc52845a5ea0"/>
            <w:id w:val="-1693912434"/>
          </w:sdtPr>
          <w:sdtContent>
            <w:tc>
              <w:tcPr>
                <w:tcW w:w="1418" w:type="dxa"/>
                <w:tcBorders>
                  <w:top w:val="single" w:color="auto" w:sz="4" w:space="0"/>
                  <w:left w:val="single" w:color="auto" w:sz="4" w:space="0"/>
                  <w:bottom w:val="single" w:color="auto" w:sz="4" w:space="0"/>
                  <w:right w:val="single" w:color="auto" w:sz="4" w:space="0"/>
                </w:tcBorders>
                <w:vAlign w:val="center"/>
              </w:tcPr>
              <w:p w14:paraId="4956BB52">
                <w:pPr>
                  <w:jc w:val="center"/>
                  <w:rPr>
                    <w:rFonts w:ascii="Calibri" w:hAnsi="Calibri"/>
                    <w:sz w:val="20"/>
                    <w:szCs w:val="20"/>
                  </w:rPr>
                </w:pPr>
                <w:r>
                  <w:rPr>
                    <w:rFonts w:hint="eastAsia" w:ascii="Calibri" w:hAnsi="Calibri"/>
                    <w:sz w:val="20"/>
                    <w:szCs w:val="20"/>
                  </w:rPr>
                  <w:t>减少投资</w:t>
                </w:r>
              </w:p>
            </w:tc>
          </w:sdtContent>
        </w:sdt>
        <w:sdt>
          <w:sdtPr>
            <w:tag w:val="_PLD_67e4baac3d05451d940d328c18f19014"/>
            <w:id w:val="-1792268507"/>
          </w:sdtPr>
          <w:sdtContent>
            <w:tc>
              <w:tcPr>
                <w:tcW w:w="1559" w:type="dxa"/>
                <w:tcBorders>
                  <w:top w:val="single" w:color="auto" w:sz="4" w:space="0"/>
                  <w:left w:val="single" w:color="auto" w:sz="4" w:space="0"/>
                  <w:bottom w:val="single" w:color="auto" w:sz="4" w:space="0"/>
                  <w:right w:val="single" w:color="auto" w:sz="4" w:space="0"/>
                </w:tcBorders>
                <w:vAlign w:val="center"/>
              </w:tcPr>
              <w:p w14:paraId="5BAA1C81">
                <w:pPr>
                  <w:jc w:val="center"/>
                  <w:rPr>
                    <w:rFonts w:ascii="Calibri" w:hAnsi="Calibri"/>
                    <w:sz w:val="20"/>
                    <w:szCs w:val="20"/>
                  </w:rPr>
                </w:pPr>
                <w:r>
                  <w:rPr>
                    <w:rFonts w:hint="eastAsia" w:ascii="Calibri" w:hAnsi="Calibri"/>
                    <w:sz w:val="20"/>
                    <w:szCs w:val="20"/>
                  </w:rPr>
                  <w:t>权益法下确认的投资损益</w:t>
                </w:r>
              </w:p>
            </w:tc>
          </w:sdtContent>
        </w:sdt>
        <w:sdt>
          <w:sdtPr>
            <w:tag w:val="_PLD_700419003e5b4596b973710043374374"/>
            <w:id w:val="294033046"/>
          </w:sdtPr>
          <w:sdtContent>
            <w:tc>
              <w:tcPr>
                <w:tcW w:w="1559" w:type="dxa"/>
                <w:tcBorders>
                  <w:top w:val="single" w:color="auto" w:sz="4" w:space="0"/>
                  <w:left w:val="single" w:color="auto" w:sz="4" w:space="0"/>
                  <w:bottom w:val="single" w:color="auto" w:sz="4" w:space="0"/>
                  <w:right w:val="single" w:color="auto" w:sz="4" w:space="0"/>
                </w:tcBorders>
                <w:vAlign w:val="center"/>
              </w:tcPr>
              <w:p w14:paraId="03FC73DF">
                <w:pPr>
                  <w:jc w:val="center"/>
                  <w:rPr>
                    <w:rFonts w:ascii="Calibri" w:hAnsi="Calibri"/>
                    <w:sz w:val="20"/>
                    <w:szCs w:val="20"/>
                  </w:rPr>
                </w:pPr>
                <w:r>
                  <w:rPr>
                    <w:rFonts w:hint="eastAsia" w:ascii="Calibri" w:hAnsi="Calibri"/>
                    <w:sz w:val="20"/>
                    <w:szCs w:val="20"/>
                  </w:rPr>
                  <w:t>其他综合收益调整</w:t>
                </w:r>
              </w:p>
            </w:tc>
          </w:sdtContent>
        </w:sdt>
        <w:sdt>
          <w:sdtPr>
            <w:tag w:val="_PLD_9318c7f257d249e0a0b9bf70263601d5"/>
            <w:id w:val="1484577733"/>
          </w:sdtPr>
          <w:sdtContent>
            <w:tc>
              <w:tcPr>
                <w:tcW w:w="1701" w:type="dxa"/>
                <w:tcBorders>
                  <w:top w:val="single" w:color="auto" w:sz="4" w:space="0"/>
                  <w:left w:val="single" w:color="auto" w:sz="4" w:space="0"/>
                  <w:bottom w:val="single" w:color="auto" w:sz="4" w:space="0"/>
                  <w:right w:val="single" w:color="auto" w:sz="4" w:space="0"/>
                </w:tcBorders>
                <w:vAlign w:val="center"/>
              </w:tcPr>
              <w:p w14:paraId="603FDDB0">
                <w:pPr>
                  <w:jc w:val="center"/>
                  <w:rPr>
                    <w:rFonts w:ascii="Calibri" w:hAnsi="Calibri"/>
                    <w:sz w:val="20"/>
                    <w:szCs w:val="20"/>
                  </w:rPr>
                </w:pPr>
                <w:r>
                  <w:rPr>
                    <w:rFonts w:hint="eastAsia" w:ascii="Calibri" w:hAnsi="Calibri"/>
                    <w:sz w:val="20"/>
                    <w:szCs w:val="20"/>
                  </w:rPr>
                  <w:t>其他权益变动</w:t>
                </w:r>
              </w:p>
            </w:tc>
          </w:sdtContent>
        </w:sdt>
        <w:sdt>
          <w:sdtPr>
            <w:tag w:val="_PLD_efb3a8c8f6b64ad1a5fbb4cf67eb4c96"/>
            <w:id w:val="2085568727"/>
          </w:sdtPr>
          <w:sdtContent>
            <w:tc>
              <w:tcPr>
                <w:tcW w:w="1701" w:type="dxa"/>
                <w:tcBorders>
                  <w:top w:val="single" w:color="auto" w:sz="4" w:space="0"/>
                  <w:left w:val="single" w:color="auto" w:sz="4" w:space="0"/>
                  <w:bottom w:val="single" w:color="auto" w:sz="4" w:space="0"/>
                  <w:right w:val="single" w:color="auto" w:sz="4" w:space="0"/>
                </w:tcBorders>
                <w:vAlign w:val="center"/>
              </w:tcPr>
              <w:p w14:paraId="7CA389C0">
                <w:pPr>
                  <w:jc w:val="center"/>
                  <w:rPr>
                    <w:rFonts w:ascii="Calibri" w:hAnsi="Calibri"/>
                    <w:sz w:val="20"/>
                    <w:szCs w:val="20"/>
                  </w:rPr>
                </w:pPr>
                <w:r>
                  <w:rPr>
                    <w:rFonts w:hint="eastAsia" w:ascii="Calibri" w:hAnsi="Calibri"/>
                    <w:sz w:val="20"/>
                    <w:szCs w:val="20"/>
                  </w:rPr>
                  <w:t>宣告发放现金股利或利润</w:t>
                </w:r>
              </w:p>
            </w:tc>
          </w:sdtContent>
        </w:sdt>
        <w:sdt>
          <w:sdtPr>
            <w:tag w:val="_PLD_2cc45ca82119420bb4d261a3eb788ba0"/>
            <w:id w:val="-904444741"/>
          </w:sdtPr>
          <w:sdtContent>
            <w:tc>
              <w:tcPr>
                <w:tcW w:w="426" w:type="dxa"/>
                <w:tcBorders>
                  <w:top w:val="single" w:color="auto" w:sz="4" w:space="0"/>
                  <w:left w:val="single" w:color="auto" w:sz="4" w:space="0"/>
                  <w:bottom w:val="single" w:color="auto" w:sz="4" w:space="0"/>
                  <w:right w:val="single" w:color="auto" w:sz="4" w:space="0"/>
                </w:tcBorders>
                <w:vAlign w:val="center"/>
              </w:tcPr>
              <w:p w14:paraId="6BE16355">
                <w:pPr>
                  <w:jc w:val="center"/>
                  <w:rPr>
                    <w:rFonts w:ascii="Calibri" w:hAnsi="Calibri"/>
                    <w:sz w:val="20"/>
                    <w:szCs w:val="20"/>
                  </w:rPr>
                </w:pPr>
                <w:r>
                  <w:rPr>
                    <w:rFonts w:hint="eastAsia" w:ascii="Calibri" w:hAnsi="Calibri"/>
                    <w:sz w:val="20"/>
                    <w:szCs w:val="20"/>
                  </w:rPr>
                  <w:t>计提减值准备</w:t>
                </w:r>
              </w:p>
            </w:tc>
          </w:sdtContent>
        </w:sdt>
        <w:sdt>
          <w:sdtPr>
            <w:tag w:val="_PLD_85d3aa0f514447b38d92097f7a30e385"/>
            <w:id w:val="182319874"/>
          </w:sdtPr>
          <w:sdtContent>
            <w:tc>
              <w:tcPr>
                <w:tcW w:w="1417" w:type="dxa"/>
                <w:tcBorders>
                  <w:top w:val="single" w:color="auto" w:sz="4" w:space="0"/>
                  <w:left w:val="single" w:color="auto" w:sz="4" w:space="0"/>
                  <w:bottom w:val="single" w:color="auto" w:sz="4" w:space="0"/>
                  <w:right w:val="single" w:color="auto" w:sz="4" w:space="0"/>
                </w:tcBorders>
                <w:vAlign w:val="center"/>
              </w:tcPr>
              <w:p w14:paraId="03EB470C">
                <w:pPr>
                  <w:jc w:val="center"/>
                  <w:rPr>
                    <w:rFonts w:ascii="Calibri" w:hAnsi="Calibri"/>
                    <w:sz w:val="20"/>
                    <w:szCs w:val="20"/>
                  </w:rPr>
                </w:pPr>
                <w:r>
                  <w:rPr>
                    <w:rFonts w:hint="eastAsia" w:ascii="Calibri" w:hAnsi="Calibri"/>
                    <w:sz w:val="20"/>
                    <w:szCs w:val="20"/>
                  </w:rPr>
                  <w:t>其他</w:t>
                </w:r>
              </w:p>
            </w:tc>
          </w:sdtContent>
        </w:sdt>
        <w:tc>
          <w:tcPr>
            <w:tcW w:w="1559" w:type="dxa"/>
            <w:vMerge w:val="continue"/>
            <w:tcBorders>
              <w:left w:val="single" w:color="auto" w:sz="4" w:space="0"/>
              <w:bottom w:val="single" w:color="auto" w:sz="4" w:space="0"/>
              <w:right w:val="single" w:color="auto" w:sz="4" w:space="0"/>
            </w:tcBorders>
            <w:vAlign w:val="center"/>
          </w:tcPr>
          <w:p w14:paraId="3ECD1262">
            <w:pPr>
              <w:jc w:val="center"/>
              <w:rPr>
                <w:rFonts w:ascii="Calibri" w:hAnsi="Calibri"/>
                <w:sz w:val="20"/>
                <w:szCs w:val="20"/>
              </w:rPr>
            </w:pPr>
          </w:p>
        </w:tc>
        <w:tc>
          <w:tcPr>
            <w:tcW w:w="684" w:type="dxa"/>
            <w:vMerge w:val="continue"/>
            <w:tcBorders>
              <w:left w:val="single" w:color="auto" w:sz="4" w:space="0"/>
              <w:bottom w:val="single" w:color="auto" w:sz="4" w:space="0"/>
              <w:right w:val="single" w:color="auto" w:sz="4" w:space="0"/>
            </w:tcBorders>
            <w:vAlign w:val="center"/>
          </w:tcPr>
          <w:p w14:paraId="2B45AAC7">
            <w:pPr>
              <w:jc w:val="center"/>
              <w:rPr>
                <w:rFonts w:ascii="Calibri" w:hAnsi="Calibri"/>
                <w:sz w:val="20"/>
                <w:szCs w:val="20"/>
              </w:rPr>
            </w:pPr>
          </w:p>
        </w:tc>
      </w:tr>
      <w:tr w14:paraId="22A4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sdt>
          <w:sdtPr>
            <w:tag w:val="_PLD_473021cffa734643a0c35649ee4b5043"/>
            <w:id w:val="-261304049"/>
          </w:sdtPr>
          <w:sdtContent>
            <w:tc>
              <w:tcPr>
                <w:tcW w:w="15852" w:type="dxa"/>
                <w:gridSpan w:val="12"/>
                <w:tcBorders>
                  <w:top w:val="single" w:color="auto" w:sz="4" w:space="0"/>
                  <w:left w:val="single" w:color="auto" w:sz="4" w:space="0"/>
                  <w:bottom w:val="single" w:color="auto" w:sz="4" w:space="0"/>
                  <w:right w:val="single" w:color="auto" w:sz="4" w:space="0"/>
                </w:tcBorders>
                <w:vAlign w:val="center"/>
              </w:tcPr>
              <w:p w14:paraId="6CA143AA">
                <w:pPr>
                  <w:rPr>
                    <w:rFonts w:ascii="Calibri" w:hAnsi="Calibri"/>
                    <w:sz w:val="20"/>
                    <w:szCs w:val="20"/>
                  </w:rPr>
                </w:pPr>
                <w:r>
                  <w:rPr>
                    <w:rFonts w:hint="eastAsia" w:ascii="Calibri" w:hAnsi="Calibri"/>
                    <w:sz w:val="20"/>
                    <w:szCs w:val="20"/>
                  </w:rPr>
                  <w:t>二、联营企业</w:t>
                </w:r>
              </w:p>
            </w:tc>
          </w:sdtContent>
        </w:sdt>
      </w:tr>
      <w:tr w14:paraId="78E0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844" w:type="dxa"/>
            <w:tcBorders>
              <w:top w:val="single" w:color="auto" w:sz="4" w:space="0"/>
              <w:left w:val="single" w:color="auto" w:sz="4" w:space="0"/>
              <w:bottom w:val="single" w:color="auto" w:sz="4" w:space="0"/>
              <w:right w:val="single" w:color="auto" w:sz="4" w:space="0"/>
            </w:tcBorders>
            <w:vAlign w:val="center"/>
          </w:tcPr>
          <w:p w14:paraId="587BEA7A">
            <w:pPr>
              <w:jc w:val="both"/>
              <w:rPr>
                <w:rFonts w:ascii="Calibri" w:hAnsi="Calibri"/>
                <w:sz w:val="20"/>
                <w:szCs w:val="20"/>
              </w:rPr>
            </w:pPr>
            <w:r>
              <w:rPr>
                <w:rFonts w:ascii="Calibri" w:hAnsi="Calibri"/>
                <w:sz w:val="20"/>
                <w:szCs w:val="20"/>
              </w:rPr>
              <w:t>厦门特宝生物工程股份有限公司</w:t>
            </w:r>
          </w:p>
        </w:tc>
        <w:tc>
          <w:tcPr>
            <w:tcW w:w="1559" w:type="dxa"/>
            <w:tcBorders>
              <w:top w:val="single" w:color="auto" w:sz="4" w:space="0"/>
              <w:left w:val="single" w:color="auto" w:sz="4" w:space="0"/>
              <w:bottom w:val="single" w:color="auto" w:sz="4" w:space="0"/>
              <w:right w:val="single" w:color="auto" w:sz="4" w:space="0"/>
            </w:tcBorders>
            <w:vAlign w:val="center"/>
          </w:tcPr>
          <w:p w14:paraId="21B1A7D9">
            <w:pPr>
              <w:jc w:val="right"/>
              <w:rPr>
                <w:rFonts w:ascii="Calibri" w:hAnsi="Calibri"/>
                <w:sz w:val="20"/>
                <w:szCs w:val="20"/>
              </w:rPr>
            </w:pPr>
            <w:r>
              <w:rPr>
                <w:rFonts w:ascii="Calibri" w:hAnsi="Calibri"/>
                <w:sz w:val="20"/>
                <w:szCs w:val="20"/>
              </w:rPr>
              <w:t>409,234,300.15</w:t>
            </w:r>
          </w:p>
        </w:tc>
        <w:tc>
          <w:tcPr>
            <w:tcW w:w="425" w:type="dxa"/>
            <w:tcBorders>
              <w:top w:val="single" w:color="auto" w:sz="4" w:space="0"/>
              <w:left w:val="single" w:color="auto" w:sz="4" w:space="0"/>
              <w:bottom w:val="single" w:color="auto" w:sz="4" w:space="0"/>
              <w:right w:val="single" w:color="auto" w:sz="4" w:space="0"/>
            </w:tcBorders>
            <w:vAlign w:val="center"/>
          </w:tcPr>
          <w:p w14:paraId="43DEEF6B">
            <w:pPr>
              <w:jc w:val="right"/>
              <w:rPr>
                <w:rFonts w:ascii="Calibri" w:hAnsi="Calibri"/>
                <w:sz w:val="20"/>
                <w:szCs w:val="20"/>
              </w:rPr>
            </w:pPr>
          </w:p>
        </w:tc>
        <w:tc>
          <w:tcPr>
            <w:tcW w:w="1418" w:type="dxa"/>
            <w:tcBorders>
              <w:top w:val="single" w:color="auto" w:sz="4" w:space="0"/>
              <w:left w:val="single" w:color="auto" w:sz="4" w:space="0"/>
              <w:bottom w:val="single" w:color="auto" w:sz="4" w:space="0"/>
              <w:right w:val="single" w:color="auto" w:sz="4" w:space="0"/>
            </w:tcBorders>
            <w:vAlign w:val="center"/>
          </w:tcPr>
          <w:p w14:paraId="34453A2B">
            <w:pPr>
              <w:jc w:val="right"/>
              <w:rPr>
                <w:rFonts w:ascii="Calibri" w:hAnsi="Calibri"/>
                <w:sz w:val="20"/>
                <w:szCs w:val="20"/>
              </w:rPr>
            </w:pPr>
            <w:r>
              <w:rPr>
                <w:rFonts w:ascii="Calibri" w:hAnsi="Calibri"/>
                <w:sz w:val="20"/>
                <w:szCs w:val="20"/>
              </w:rPr>
              <w:t>29,658,616.61</w:t>
            </w:r>
          </w:p>
        </w:tc>
        <w:tc>
          <w:tcPr>
            <w:tcW w:w="1559" w:type="dxa"/>
            <w:tcBorders>
              <w:top w:val="single" w:color="auto" w:sz="4" w:space="0"/>
              <w:left w:val="single" w:color="auto" w:sz="4" w:space="0"/>
              <w:bottom w:val="single" w:color="auto" w:sz="4" w:space="0"/>
              <w:right w:val="single" w:color="auto" w:sz="4" w:space="0"/>
            </w:tcBorders>
            <w:vAlign w:val="center"/>
          </w:tcPr>
          <w:p w14:paraId="472FDC64">
            <w:pPr>
              <w:jc w:val="right"/>
              <w:rPr>
                <w:rFonts w:ascii="Calibri" w:hAnsi="Calibri"/>
                <w:sz w:val="20"/>
                <w:szCs w:val="20"/>
              </w:rPr>
            </w:pPr>
            <w:r>
              <w:rPr>
                <w:rFonts w:ascii="Calibri" w:hAnsi="Calibri"/>
                <w:sz w:val="20"/>
                <w:szCs w:val="20"/>
              </w:rPr>
              <w:t>130,756,823.68</w:t>
            </w:r>
          </w:p>
        </w:tc>
        <w:tc>
          <w:tcPr>
            <w:tcW w:w="1559" w:type="dxa"/>
            <w:tcBorders>
              <w:top w:val="single" w:color="auto" w:sz="4" w:space="0"/>
              <w:left w:val="single" w:color="auto" w:sz="4" w:space="0"/>
              <w:bottom w:val="single" w:color="auto" w:sz="4" w:space="0"/>
              <w:right w:val="single" w:color="auto" w:sz="4" w:space="0"/>
            </w:tcBorders>
            <w:vAlign w:val="center"/>
          </w:tcPr>
          <w:p w14:paraId="25762532">
            <w:pPr>
              <w:jc w:val="right"/>
              <w:rPr>
                <w:rFonts w:ascii="Calibri" w:hAnsi="Calibri"/>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14:paraId="381BA9ED">
            <w:pPr>
              <w:jc w:val="right"/>
              <w:rPr>
                <w:rFonts w:ascii="Calibri" w:hAnsi="Calibri"/>
                <w:sz w:val="20"/>
                <w:szCs w:val="20"/>
              </w:rPr>
            </w:pPr>
            <w:r>
              <w:rPr>
                <w:rFonts w:ascii="Calibri" w:hAnsi="Calibri"/>
                <w:sz w:val="20"/>
                <w:szCs w:val="20"/>
              </w:rPr>
              <w:t>12,534,599.90</w:t>
            </w:r>
          </w:p>
        </w:tc>
        <w:tc>
          <w:tcPr>
            <w:tcW w:w="1701" w:type="dxa"/>
            <w:tcBorders>
              <w:top w:val="single" w:color="auto" w:sz="4" w:space="0"/>
              <w:left w:val="single" w:color="auto" w:sz="4" w:space="0"/>
              <w:bottom w:val="single" w:color="auto" w:sz="4" w:space="0"/>
              <w:right w:val="single" w:color="auto" w:sz="4" w:space="0"/>
            </w:tcBorders>
            <w:vAlign w:val="center"/>
          </w:tcPr>
          <w:p w14:paraId="34F8F405">
            <w:pPr>
              <w:jc w:val="right"/>
              <w:rPr>
                <w:rFonts w:ascii="Calibri" w:hAnsi="Calibri"/>
                <w:sz w:val="20"/>
                <w:szCs w:val="20"/>
              </w:rPr>
            </w:pPr>
            <w:r>
              <w:rPr>
                <w:rFonts w:ascii="Calibri" w:hAnsi="Calibri"/>
                <w:sz w:val="20"/>
                <w:szCs w:val="20"/>
              </w:rPr>
              <w:t>-40,424,070.68</w:t>
            </w:r>
          </w:p>
        </w:tc>
        <w:tc>
          <w:tcPr>
            <w:tcW w:w="426" w:type="dxa"/>
            <w:tcBorders>
              <w:top w:val="single" w:color="auto" w:sz="4" w:space="0"/>
              <w:left w:val="single" w:color="auto" w:sz="4" w:space="0"/>
              <w:bottom w:val="single" w:color="auto" w:sz="4" w:space="0"/>
              <w:right w:val="single" w:color="auto" w:sz="4" w:space="0"/>
            </w:tcBorders>
            <w:vAlign w:val="center"/>
          </w:tcPr>
          <w:p w14:paraId="64DC0A47">
            <w:pPr>
              <w:jc w:val="right"/>
              <w:rPr>
                <w:rFonts w:ascii="Calibri" w:hAnsi="Calibri"/>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344E71CF">
            <w:pPr>
              <w:jc w:val="right"/>
              <w:rPr>
                <w:rFonts w:asciiTheme="minorHAnsi" w:hAnsiTheme="minorHAnsi" w:cstheme="minorHAnsi"/>
                <w:sz w:val="18"/>
                <w:szCs w:val="18"/>
              </w:rPr>
            </w:pPr>
            <w:r>
              <w:rPr>
                <w:rFonts w:asciiTheme="minorHAnsi" w:hAnsiTheme="minorHAnsi" w:cstheme="minorHAnsi"/>
                <w:sz w:val="18"/>
                <w:szCs w:val="18"/>
              </w:rPr>
              <w:t>-127,398,434.52</w:t>
            </w:r>
          </w:p>
        </w:tc>
        <w:tc>
          <w:tcPr>
            <w:tcW w:w="1559" w:type="dxa"/>
            <w:tcBorders>
              <w:top w:val="single" w:color="auto" w:sz="4" w:space="0"/>
              <w:left w:val="single" w:color="auto" w:sz="4" w:space="0"/>
              <w:bottom w:val="single" w:color="auto" w:sz="4" w:space="0"/>
              <w:right w:val="single" w:color="auto" w:sz="4" w:space="0"/>
            </w:tcBorders>
            <w:vAlign w:val="center"/>
          </w:tcPr>
          <w:p w14:paraId="6DB632FD">
            <w:pPr>
              <w:jc w:val="right"/>
              <w:rPr>
                <w:rFonts w:ascii="Calibri" w:hAnsi="Calibri"/>
                <w:sz w:val="20"/>
                <w:szCs w:val="20"/>
              </w:rPr>
            </w:pPr>
            <w:r>
              <w:rPr>
                <w:rFonts w:ascii="Calibri" w:hAnsi="Calibri"/>
                <w:sz w:val="20"/>
                <w:szCs w:val="20"/>
              </w:rPr>
              <w:t>355,044,601.92</w:t>
            </w:r>
          </w:p>
        </w:tc>
        <w:tc>
          <w:tcPr>
            <w:tcW w:w="684" w:type="dxa"/>
            <w:tcBorders>
              <w:top w:val="single" w:color="auto" w:sz="4" w:space="0"/>
              <w:left w:val="single" w:color="auto" w:sz="4" w:space="0"/>
              <w:bottom w:val="single" w:color="auto" w:sz="4" w:space="0"/>
              <w:right w:val="single" w:color="auto" w:sz="4" w:space="0"/>
            </w:tcBorders>
            <w:vAlign w:val="center"/>
          </w:tcPr>
          <w:p w14:paraId="05939340">
            <w:pPr>
              <w:jc w:val="right"/>
              <w:rPr>
                <w:rFonts w:ascii="Calibri" w:hAnsi="Calibri"/>
                <w:sz w:val="20"/>
                <w:szCs w:val="20"/>
              </w:rPr>
            </w:pPr>
          </w:p>
        </w:tc>
      </w:tr>
      <w:tr w14:paraId="043B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844" w:type="dxa"/>
            <w:tcBorders>
              <w:top w:val="single" w:color="auto" w:sz="4" w:space="0"/>
              <w:left w:val="single" w:color="auto" w:sz="4" w:space="0"/>
              <w:bottom w:val="single" w:color="auto" w:sz="4" w:space="0"/>
              <w:right w:val="single" w:color="auto" w:sz="4" w:space="0"/>
            </w:tcBorders>
            <w:vAlign w:val="center"/>
          </w:tcPr>
          <w:p w14:paraId="33726092">
            <w:pPr>
              <w:jc w:val="both"/>
              <w:rPr>
                <w:rFonts w:ascii="Calibri" w:hAnsi="Calibri"/>
                <w:sz w:val="20"/>
                <w:szCs w:val="20"/>
              </w:rPr>
            </w:pPr>
            <w:r>
              <w:rPr>
                <w:rFonts w:ascii="Calibri" w:hAnsi="Calibri"/>
                <w:sz w:val="20"/>
                <w:szCs w:val="20"/>
              </w:rPr>
              <w:t>华广生技股份有限公司</w:t>
            </w:r>
          </w:p>
        </w:tc>
        <w:tc>
          <w:tcPr>
            <w:tcW w:w="1559" w:type="dxa"/>
            <w:tcBorders>
              <w:top w:val="single" w:color="auto" w:sz="4" w:space="0"/>
              <w:left w:val="single" w:color="auto" w:sz="4" w:space="0"/>
              <w:bottom w:val="single" w:color="auto" w:sz="4" w:space="0"/>
              <w:right w:val="single" w:color="auto" w:sz="4" w:space="0"/>
            </w:tcBorders>
            <w:vAlign w:val="center"/>
          </w:tcPr>
          <w:p w14:paraId="6165E327">
            <w:pPr>
              <w:jc w:val="right"/>
              <w:rPr>
                <w:rFonts w:ascii="Calibri" w:hAnsi="Calibri"/>
                <w:sz w:val="20"/>
                <w:szCs w:val="20"/>
              </w:rPr>
            </w:pPr>
            <w:r>
              <w:rPr>
                <w:rFonts w:ascii="Calibri" w:hAnsi="Calibri"/>
                <w:sz w:val="20"/>
                <w:szCs w:val="20"/>
              </w:rPr>
              <w:t>84,117,300.92</w:t>
            </w:r>
          </w:p>
        </w:tc>
        <w:tc>
          <w:tcPr>
            <w:tcW w:w="425" w:type="dxa"/>
            <w:tcBorders>
              <w:top w:val="single" w:color="auto" w:sz="4" w:space="0"/>
              <w:left w:val="single" w:color="auto" w:sz="4" w:space="0"/>
              <w:bottom w:val="single" w:color="auto" w:sz="4" w:space="0"/>
              <w:right w:val="single" w:color="auto" w:sz="4" w:space="0"/>
            </w:tcBorders>
            <w:vAlign w:val="center"/>
          </w:tcPr>
          <w:p w14:paraId="0F5548D6">
            <w:pPr>
              <w:jc w:val="right"/>
              <w:rPr>
                <w:rFonts w:ascii="Calibri" w:hAnsi="Calibri"/>
                <w:sz w:val="20"/>
                <w:szCs w:val="20"/>
              </w:rPr>
            </w:pPr>
          </w:p>
        </w:tc>
        <w:tc>
          <w:tcPr>
            <w:tcW w:w="1418" w:type="dxa"/>
            <w:tcBorders>
              <w:top w:val="single" w:color="auto" w:sz="4" w:space="0"/>
              <w:left w:val="single" w:color="auto" w:sz="4" w:space="0"/>
              <w:bottom w:val="single" w:color="auto" w:sz="4" w:space="0"/>
              <w:right w:val="single" w:color="auto" w:sz="4" w:space="0"/>
            </w:tcBorders>
            <w:vAlign w:val="center"/>
          </w:tcPr>
          <w:p w14:paraId="1A3868E9">
            <w:pPr>
              <w:jc w:val="right"/>
              <w:rPr>
                <w:rFonts w:ascii="Calibri" w:hAnsi="Calibri"/>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7DA4D321">
            <w:pPr>
              <w:jc w:val="right"/>
              <w:rPr>
                <w:rFonts w:ascii="Calibri" w:hAnsi="Calibri"/>
                <w:sz w:val="20"/>
                <w:szCs w:val="20"/>
              </w:rPr>
            </w:pPr>
            <w:r>
              <w:rPr>
                <w:rFonts w:ascii="Calibri" w:hAnsi="Calibri"/>
                <w:sz w:val="20"/>
                <w:szCs w:val="20"/>
              </w:rPr>
              <w:t>-10,810,077.12</w:t>
            </w:r>
          </w:p>
        </w:tc>
        <w:tc>
          <w:tcPr>
            <w:tcW w:w="1559" w:type="dxa"/>
            <w:tcBorders>
              <w:top w:val="single" w:color="auto" w:sz="4" w:space="0"/>
              <w:left w:val="single" w:color="auto" w:sz="4" w:space="0"/>
              <w:bottom w:val="single" w:color="auto" w:sz="4" w:space="0"/>
              <w:right w:val="single" w:color="auto" w:sz="4" w:space="0"/>
            </w:tcBorders>
            <w:vAlign w:val="center"/>
          </w:tcPr>
          <w:p w14:paraId="67E2DDB8">
            <w:pPr>
              <w:jc w:val="right"/>
              <w:rPr>
                <w:rFonts w:ascii="Calibri" w:hAnsi="Calibri"/>
                <w:sz w:val="20"/>
                <w:szCs w:val="20"/>
              </w:rPr>
            </w:pPr>
            <w:r>
              <w:rPr>
                <w:rFonts w:ascii="Calibri" w:hAnsi="Calibri"/>
                <w:sz w:val="20"/>
                <w:szCs w:val="20"/>
              </w:rPr>
              <w:t>1,641,196.38</w:t>
            </w:r>
          </w:p>
        </w:tc>
        <w:tc>
          <w:tcPr>
            <w:tcW w:w="1701" w:type="dxa"/>
            <w:tcBorders>
              <w:top w:val="single" w:color="auto" w:sz="4" w:space="0"/>
              <w:left w:val="single" w:color="auto" w:sz="4" w:space="0"/>
              <w:bottom w:val="single" w:color="auto" w:sz="4" w:space="0"/>
              <w:right w:val="single" w:color="auto" w:sz="4" w:space="0"/>
            </w:tcBorders>
            <w:vAlign w:val="center"/>
          </w:tcPr>
          <w:p w14:paraId="428A2311">
            <w:pPr>
              <w:jc w:val="right"/>
              <w:rPr>
                <w:rFonts w:ascii="Calibri" w:hAnsi="Calibri"/>
                <w:sz w:val="20"/>
                <w:szCs w:val="20"/>
              </w:rPr>
            </w:pPr>
            <w:r>
              <w:rPr>
                <w:rFonts w:ascii="Calibri" w:hAnsi="Calibri"/>
                <w:sz w:val="20"/>
                <w:szCs w:val="20"/>
              </w:rPr>
              <w:t>947,581.98</w:t>
            </w:r>
          </w:p>
        </w:tc>
        <w:tc>
          <w:tcPr>
            <w:tcW w:w="1701" w:type="dxa"/>
            <w:tcBorders>
              <w:top w:val="single" w:color="auto" w:sz="4" w:space="0"/>
              <w:left w:val="single" w:color="auto" w:sz="4" w:space="0"/>
              <w:bottom w:val="single" w:color="auto" w:sz="4" w:space="0"/>
              <w:right w:val="single" w:color="auto" w:sz="4" w:space="0"/>
            </w:tcBorders>
            <w:vAlign w:val="center"/>
          </w:tcPr>
          <w:p w14:paraId="4DB10AC1">
            <w:pPr>
              <w:jc w:val="right"/>
              <w:rPr>
                <w:rFonts w:ascii="Calibri" w:hAnsi="Calibri"/>
                <w:sz w:val="20"/>
                <w:szCs w:val="20"/>
              </w:rPr>
            </w:pPr>
          </w:p>
        </w:tc>
        <w:tc>
          <w:tcPr>
            <w:tcW w:w="426" w:type="dxa"/>
            <w:tcBorders>
              <w:top w:val="single" w:color="auto" w:sz="4" w:space="0"/>
              <w:left w:val="single" w:color="auto" w:sz="4" w:space="0"/>
              <w:bottom w:val="single" w:color="auto" w:sz="4" w:space="0"/>
              <w:right w:val="single" w:color="auto" w:sz="4" w:space="0"/>
            </w:tcBorders>
            <w:vAlign w:val="center"/>
          </w:tcPr>
          <w:p w14:paraId="7D599849">
            <w:pPr>
              <w:jc w:val="right"/>
              <w:rPr>
                <w:rFonts w:ascii="Calibri" w:hAnsi="Calibri"/>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1B657F34">
            <w:pPr>
              <w:jc w:val="right"/>
              <w:rPr>
                <w:rFonts w:asciiTheme="minorHAnsi" w:hAnsiTheme="minorHAnsi" w:cstheme="minorHAnsi"/>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20656750">
            <w:pPr>
              <w:jc w:val="right"/>
              <w:rPr>
                <w:rFonts w:ascii="Calibri" w:hAnsi="Calibri"/>
                <w:sz w:val="20"/>
                <w:szCs w:val="20"/>
              </w:rPr>
            </w:pPr>
            <w:r>
              <w:rPr>
                <w:rFonts w:ascii="Calibri" w:hAnsi="Calibri"/>
                <w:sz w:val="20"/>
                <w:szCs w:val="20"/>
              </w:rPr>
              <w:t>75,896,002.16</w:t>
            </w:r>
          </w:p>
        </w:tc>
        <w:tc>
          <w:tcPr>
            <w:tcW w:w="684" w:type="dxa"/>
            <w:tcBorders>
              <w:top w:val="single" w:color="auto" w:sz="4" w:space="0"/>
              <w:left w:val="single" w:color="auto" w:sz="4" w:space="0"/>
              <w:bottom w:val="single" w:color="auto" w:sz="4" w:space="0"/>
              <w:right w:val="single" w:color="auto" w:sz="4" w:space="0"/>
            </w:tcBorders>
            <w:vAlign w:val="center"/>
          </w:tcPr>
          <w:p w14:paraId="39916F12">
            <w:pPr>
              <w:jc w:val="right"/>
              <w:rPr>
                <w:rFonts w:ascii="Calibri" w:hAnsi="Calibri"/>
                <w:sz w:val="20"/>
                <w:szCs w:val="20"/>
              </w:rPr>
            </w:pPr>
          </w:p>
        </w:tc>
      </w:tr>
      <w:tr w14:paraId="65DC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844" w:type="dxa"/>
            <w:tcBorders>
              <w:top w:val="single" w:color="auto" w:sz="4" w:space="0"/>
              <w:left w:val="single" w:color="auto" w:sz="4" w:space="0"/>
              <w:bottom w:val="single" w:color="auto" w:sz="4" w:space="0"/>
              <w:right w:val="single" w:color="auto" w:sz="4" w:space="0"/>
            </w:tcBorders>
            <w:vAlign w:val="center"/>
          </w:tcPr>
          <w:p w14:paraId="737BC8BB">
            <w:pPr>
              <w:jc w:val="both"/>
              <w:rPr>
                <w:rFonts w:ascii="Calibri" w:hAnsi="Calibri"/>
                <w:sz w:val="20"/>
                <w:szCs w:val="20"/>
              </w:rPr>
            </w:pPr>
            <w:r>
              <w:rPr>
                <w:rFonts w:ascii="Calibri" w:hAnsi="Calibri"/>
                <w:sz w:val="20"/>
                <w:szCs w:val="20"/>
              </w:rPr>
              <w:t>君合盟生物制药（杭州）</w:t>
            </w:r>
            <w:r>
              <w:rPr>
                <w:rFonts w:hint="eastAsia" w:ascii="Calibri" w:hAnsi="Calibri"/>
                <w:sz w:val="20"/>
                <w:szCs w:val="20"/>
              </w:rPr>
              <w:t>股份</w:t>
            </w:r>
            <w:r>
              <w:rPr>
                <w:rFonts w:ascii="Calibri" w:hAnsi="Calibri"/>
                <w:sz w:val="20"/>
                <w:szCs w:val="20"/>
              </w:rPr>
              <w:t>有限公司</w:t>
            </w:r>
          </w:p>
        </w:tc>
        <w:tc>
          <w:tcPr>
            <w:tcW w:w="1559" w:type="dxa"/>
            <w:tcBorders>
              <w:top w:val="single" w:color="auto" w:sz="4" w:space="0"/>
              <w:left w:val="single" w:color="auto" w:sz="4" w:space="0"/>
              <w:bottom w:val="single" w:color="auto" w:sz="4" w:space="0"/>
              <w:right w:val="single" w:color="auto" w:sz="4" w:space="0"/>
            </w:tcBorders>
            <w:vAlign w:val="center"/>
          </w:tcPr>
          <w:p w14:paraId="00339994">
            <w:pPr>
              <w:jc w:val="right"/>
              <w:rPr>
                <w:rFonts w:ascii="Calibri" w:hAnsi="Calibri"/>
                <w:sz w:val="20"/>
                <w:szCs w:val="20"/>
              </w:rPr>
            </w:pPr>
            <w:r>
              <w:rPr>
                <w:rFonts w:ascii="Calibri" w:hAnsi="Calibri"/>
                <w:sz w:val="20"/>
                <w:szCs w:val="20"/>
              </w:rPr>
              <w:t>98,194,038.55</w:t>
            </w:r>
          </w:p>
        </w:tc>
        <w:tc>
          <w:tcPr>
            <w:tcW w:w="425" w:type="dxa"/>
            <w:tcBorders>
              <w:top w:val="single" w:color="auto" w:sz="4" w:space="0"/>
              <w:left w:val="single" w:color="auto" w:sz="4" w:space="0"/>
              <w:bottom w:val="single" w:color="auto" w:sz="4" w:space="0"/>
              <w:right w:val="single" w:color="auto" w:sz="4" w:space="0"/>
            </w:tcBorders>
            <w:vAlign w:val="center"/>
          </w:tcPr>
          <w:p w14:paraId="2F0AEDAB">
            <w:pPr>
              <w:jc w:val="right"/>
              <w:rPr>
                <w:rFonts w:ascii="Calibri" w:hAnsi="Calibri"/>
                <w:sz w:val="20"/>
                <w:szCs w:val="20"/>
              </w:rPr>
            </w:pPr>
          </w:p>
        </w:tc>
        <w:tc>
          <w:tcPr>
            <w:tcW w:w="1418" w:type="dxa"/>
            <w:tcBorders>
              <w:top w:val="single" w:color="auto" w:sz="4" w:space="0"/>
              <w:left w:val="single" w:color="auto" w:sz="4" w:space="0"/>
              <w:bottom w:val="single" w:color="auto" w:sz="4" w:space="0"/>
              <w:right w:val="single" w:color="auto" w:sz="4" w:space="0"/>
            </w:tcBorders>
            <w:vAlign w:val="center"/>
          </w:tcPr>
          <w:p w14:paraId="6203583B">
            <w:pPr>
              <w:jc w:val="right"/>
              <w:rPr>
                <w:rFonts w:ascii="Calibri" w:hAnsi="Calibri"/>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1B120C7">
            <w:pPr>
              <w:jc w:val="right"/>
              <w:rPr>
                <w:rFonts w:ascii="Calibri" w:hAnsi="Calibri"/>
                <w:sz w:val="20"/>
                <w:szCs w:val="20"/>
              </w:rPr>
            </w:pPr>
            <w:r>
              <w:rPr>
                <w:rFonts w:ascii="Calibri" w:hAnsi="Calibri"/>
                <w:sz w:val="20"/>
                <w:szCs w:val="20"/>
              </w:rPr>
              <w:t>-40,588,514.92</w:t>
            </w:r>
          </w:p>
        </w:tc>
        <w:tc>
          <w:tcPr>
            <w:tcW w:w="1559" w:type="dxa"/>
            <w:tcBorders>
              <w:top w:val="single" w:color="auto" w:sz="4" w:space="0"/>
              <w:left w:val="single" w:color="auto" w:sz="4" w:space="0"/>
              <w:bottom w:val="single" w:color="auto" w:sz="4" w:space="0"/>
              <w:right w:val="single" w:color="auto" w:sz="4" w:space="0"/>
            </w:tcBorders>
            <w:vAlign w:val="center"/>
          </w:tcPr>
          <w:p w14:paraId="6085E904">
            <w:pPr>
              <w:jc w:val="right"/>
              <w:rPr>
                <w:rFonts w:ascii="Calibri" w:hAnsi="Calibri"/>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14:paraId="24AA242A">
            <w:pPr>
              <w:jc w:val="right"/>
              <w:rPr>
                <w:rFonts w:ascii="Calibri" w:hAnsi="Calibri"/>
                <w:sz w:val="20"/>
                <w:szCs w:val="20"/>
              </w:rPr>
            </w:pPr>
            <w:r>
              <w:rPr>
                <w:rFonts w:ascii="Calibri" w:hAnsi="Calibri"/>
                <w:sz w:val="20"/>
                <w:szCs w:val="20"/>
              </w:rPr>
              <w:t>11,558,473.82</w:t>
            </w:r>
          </w:p>
        </w:tc>
        <w:tc>
          <w:tcPr>
            <w:tcW w:w="1701" w:type="dxa"/>
            <w:tcBorders>
              <w:top w:val="single" w:color="auto" w:sz="4" w:space="0"/>
              <w:left w:val="single" w:color="auto" w:sz="4" w:space="0"/>
              <w:bottom w:val="single" w:color="auto" w:sz="4" w:space="0"/>
              <w:right w:val="single" w:color="auto" w:sz="4" w:space="0"/>
            </w:tcBorders>
            <w:vAlign w:val="center"/>
          </w:tcPr>
          <w:p w14:paraId="4F2FB5EC">
            <w:pPr>
              <w:jc w:val="right"/>
              <w:rPr>
                <w:rFonts w:ascii="Calibri" w:hAnsi="Calibri"/>
                <w:sz w:val="20"/>
                <w:szCs w:val="20"/>
              </w:rPr>
            </w:pPr>
          </w:p>
        </w:tc>
        <w:tc>
          <w:tcPr>
            <w:tcW w:w="426" w:type="dxa"/>
            <w:tcBorders>
              <w:top w:val="single" w:color="auto" w:sz="4" w:space="0"/>
              <w:left w:val="single" w:color="auto" w:sz="4" w:space="0"/>
              <w:bottom w:val="single" w:color="auto" w:sz="4" w:space="0"/>
              <w:right w:val="single" w:color="auto" w:sz="4" w:space="0"/>
            </w:tcBorders>
            <w:vAlign w:val="center"/>
          </w:tcPr>
          <w:p w14:paraId="0ABA7F9F">
            <w:pPr>
              <w:jc w:val="right"/>
              <w:rPr>
                <w:rFonts w:ascii="Calibri" w:hAnsi="Calibri"/>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2FAD8E5C">
            <w:pPr>
              <w:jc w:val="right"/>
              <w:rPr>
                <w:rFonts w:asciiTheme="minorHAnsi" w:hAnsiTheme="minorHAnsi" w:cstheme="minorHAnsi"/>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4213B9C4">
            <w:pPr>
              <w:jc w:val="right"/>
              <w:rPr>
                <w:rFonts w:ascii="Calibri" w:hAnsi="Calibri"/>
                <w:sz w:val="20"/>
                <w:szCs w:val="20"/>
              </w:rPr>
            </w:pPr>
            <w:r>
              <w:rPr>
                <w:rFonts w:ascii="Calibri" w:hAnsi="Calibri"/>
                <w:sz w:val="20"/>
                <w:szCs w:val="20"/>
              </w:rPr>
              <w:t>69,163,997.45</w:t>
            </w:r>
          </w:p>
        </w:tc>
        <w:tc>
          <w:tcPr>
            <w:tcW w:w="684" w:type="dxa"/>
            <w:tcBorders>
              <w:top w:val="single" w:color="auto" w:sz="4" w:space="0"/>
              <w:left w:val="single" w:color="auto" w:sz="4" w:space="0"/>
              <w:bottom w:val="single" w:color="auto" w:sz="4" w:space="0"/>
              <w:right w:val="single" w:color="auto" w:sz="4" w:space="0"/>
            </w:tcBorders>
            <w:vAlign w:val="center"/>
          </w:tcPr>
          <w:p w14:paraId="4F700270">
            <w:pPr>
              <w:jc w:val="right"/>
              <w:rPr>
                <w:rFonts w:ascii="Calibri" w:hAnsi="Calibri"/>
                <w:sz w:val="20"/>
                <w:szCs w:val="20"/>
              </w:rPr>
            </w:pPr>
          </w:p>
        </w:tc>
      </w:tr>
      <w:tr w14:paraId="54DE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844" w:type="dxa"/>
            <w:tcBorders>
              <w:top w:val="single" w:color="auto" w:sz="4" w:space="0"/>
              <w:left w:val="single" w:color="auto" w:sz="4" w:space="0"/>
              <w:bottom w:val="single" w:color="auto" w:sz="4" w:space="0"/>
              <w:right w:val="single" w:color="auto" w:sz="4" w:space="0"/>
            </w:tcBorders>
            <w:vAlign w:val="center"/>
          </w:tcPr>
          <w:p w14:paraId="72979CF3">
            <w:pPr>
              <w:spacing w:line="360" w:lineRule="auto"/>
              <w:jc w:val="center"/>
              <w:rPr>
                <w:rFonts w:ascii="Calibri" w:hAnsi="Calibri"/>
                <w:sz w:val="20"/>
                <w:szCs w:val="20"/>
              </w:rPr>
            </w:pPr>
            <w:r>
              <w:rPr>
                <w:rFonts w:hint="eastAsia" w:ascii="Calibri" w:hAnsi="Calibri"/>
                <w:sz w:val="20"/>
                <w:szCs w:val="20"/>
              </w:rPr>
              <w:t>合计</w:t>
            </w:r>
          </w:p>
        </w:tc>
        <w:tc>
          <w:tcPr>
            <w:tcW w:w="1559" w:type="dxa"/>
            <w:tcBorders>
              <w:top w:val="single" w:color="auto" w:sz="4" w:space="0"/>
              <w:left w:val="single" w:color="auto" w:sz="4" w:space="0"/>
              <w:bottom w:val="single" w:color="auto" w:sz="4" w:space="0"/>
              <w:right w:val="single" w:color="auto" w:sz="4" w:space="0"/>
            </w:tcBorders>
            <w:vAlign w:val="center"/>
          </w:tcPr>
          <w:p w14:paraId="6B424114">
            <w:pPr>
              <w:spacing w:line="360" w:lineRule="auto"/>
              <w:jc w:val="right"/>
              <w:rPr>
                <w:rFonts w:ascii="Calibri" w:hAnsi="Calibri"/>
                <w:sz w:val="20"/>
                <w:szCs w:val="20"/>
              </w:rPr>
            </w:pPr>
            <w:r>
              <w:rPr>
                <w:rFonts w:ascii="Calibri" w:hAnsi="Calibri"/>
                <w:sz w:val="20"/>
                <w:szCs w:val="20"/>
              </w:rPr>
              <w:t>591,545,639.62</w:t>
            </w:r>
          </w:p>
        </w:tc>
        <w:tc>
          <w:tcPr>
            <w:tcW w:w="425" w:type="dxa"/>
            <w:tcBorders>
              <w:top w:val="single" w:color="auto" w:sz="4" w:space="0"/>
              <w:left w:val="single" w:color="auto" w:sz="4" w:space="0"/>
              <w:bottom w:val="single" w:color="auto" w:sz="4" w:space="0"/>
              <w:right w:val="single" w:color="auto" w:sz="4" w:space="0"/>
            </w:tcBorders>
            <w:vAlign w:val="center"/>
          </w:tcPr>
          <w:p w14:paraId="47D51FA2">
            <w:pPr>
              <w:spacing w:line="360" w:lineRule="auto"/>
              <w:jc w:val="right"/>
              <w:rPr>
                <w:rFonts w:ascii="Calibri" w:hAnsi="Calibri"/>
                <w:sz w:val="20"/>
                <w:szCs w:val="20"/>
              </w:rPr>
            </w:pPr>
          </w:p>
        </w:tc>
        <w:tc>
          <w:tcPr>
            <w:tcW w:w="1418" w:type="dxa"/>
            <w:tcBorders>
              <w:top w:val="single" w:color="auto" w:sz="4" w:space="0"/>
              <w:left w:val="single" w:color="auto" w:sz="4" w:space="0"/>
              <w:bottom w:val="single" w:color="auto" w:sz="4" w:space="0"/>
              <w:right w:val="single" w:color="auto" w:sz="4" w:space="0"/>
            </w:tcBorders>
            <w:vAlign w:val="center"/>
          </w:tcPr>
          <w:p w14:paraId="15DC9AF5">
            <w:pPr>
              <w:spacing w:line="360" w:lineRule="auto"/>
              <w:jc w:val="right"/>
              <w:rPr>
                <w:rFonts w:ascii="Calibri" w:hAnsi="Calibri"/>
                <w:sz w:val="20"/>
                <w:szCs w:val="20"/>
              </w:rPr>
            </w:pPr>
            <w:r>
              <w:rPr>
                <w:rFonts w:ascii="Calibri" w:hAnsi="Calibri"/>
                <w:sz w:val="20"/>
                <w:szCs w:val="20"/>
              </w:rPr>
              <w:t>29,658,616.61</w:t>
            </w:r>
          </w:p>
        </w:tc>
        <w:tc>
          <w:tcPr>
            <w:tcW w:w="1559" w:type="dxa"/>
            <w:tcBorders>
              <w:top w:val="single" w:color="auto" w:sz="4" w:space="0"/>
              <w:left w:val="single" w:color="auto" w:sz="4" w:space="0"/>
              <w:bottom w:val="single" w:color="auto" w:sz="4" w:space="0"/>
              <w:right w:val="single" w:color="auto" w:sz="4" w:space="0"/>
            </w:tcBorders>
            <w:vAlign w:val="center"/>
          </w:tcPr>
          <w:p w14:paraId="45DD2DB6">
            <w:pPr>
              <w:spacing w:line="360" w:lineRule="auto"/>
              <w:jc w:val="right"/>
              <w:rPr>
                <w:rFonts w:ascii="Calibri" w:hAnsi="Calibri"/>
                <w:sz w:val="20"/>
                <w:szCs w:val="20"/>
              </w:rPr>
            </w:pPr>
            <w:r>
              <w:rPr>
                <w:rFonts w:ascii="Calibri" w:hAnsi="Calibri"/>
                <w:sz w:val="20"/>
                <w:szCs w:val="20"/>
              </w:rPr>
              <w:t>79,358,231.64</w:t>
            </w:r>
          </w:p>
        </w:tc>
        <w:tc>
          <w:tcPr>
            <w:tcW w:w="1559" w:type="dxa"/>
            <w:tcBorders>
              <w:top w:val="single" w:color="auto" w:sz="4" w:space="0"/>
              <w:left w:val="single" w:color="auto" w:sz="4" w:space="0"/>
              <w:bottom w:val="single" w:color="auto" w:sz="4" w:space="0"/>
              <w:right w:val="single" w:color="auto" w:sz="4" w:space="0"/>
            </w:tcBorders>
            <w:vAlign w:val="center"/>
          </w:tcPr>
          <w:p w14:paraId="2915726C">
            <w:pPr>
              <w:spacing w:line="360" w:lineRule="auto"/>
              <w:jc w:val="right"/>
              <w:rPr>
                <w:rFonts w:ascii="Calibri" w:hAnsi="Calibri"/>
                <w:sz w:val="20"/>
                <w:szCs w:val="20"/>
              </w:rPr>
            </w:pPr>
            <w:r>
              <w:rPr>
                <w:rFonts w:ascii="Calibri" w:hAnsi="Calibri"/>
                <w:sz w:val="20"/>
                <w:szCs w:val="20"/>
              </w:rPr>
              <w:t>1,641,196.38</w:t>
            </w:r>
          </w:p>
        </w:tc>
        <w:tc>
          <w:tcPr>
            <w:tcW w:w="1701" w:type="dxa"/>
            <w:tcBorders>
              <w:top w:val="single" w:color="auto" w:sz="4" w:space="0"/>
              <w:left w:val="single" w:color="auto" w:sz="4" w:space="0"/>
              <w:bottom w:val="single" w:color="auto" w:sz="4" w:space="0"/>
              <w:right w:val="single" w:color="auto" w:sz="4" w:space="0"/>
            </w:tcBorders>
            <w:vAlign w:val="center"/>
          </w:tcPr>
          <w:p w14:paraId="2DB455E3">
            <w:pPr>
              <w:spacing w:line="360" w:lineRule="auto"/>
              <w:jc w:val="right"/>
              <w:rPr>
                <w:rFonts w:ascii="Calibri" w:hAnsi="Calibri"/>
                <w:sz w:val="20"/>
                <w:szCs w:val="20"/>
              </w:rPr>
            </w:pPr>
            <w:r>
              <w:rPr>
                <w:rFonts w:ascii="Calibri" w:hAnsi="Calibri"/>
                <w:sz w:val="20"/>
                <w:szCs w:val="20"/>
              </w:rPr>
              <w:t>25,040,655.70</w:t>
            </w:r>
          </w:p>
        </w:tc>
        <w:tc>
          <w:tcPr>
            <w:tcW w:w="1701" w:type="dxa"/>
            <w:tcBorders>
              <w:top w:val="single" w:color="auto" w:sz="4" w:space="0"/>
              <w:left w:val="single" w:color="auto" w:sz="4" w:space="0"/>
              <w:bottom w:val="single" w:color="auto" w:sz="4" w:space="0"/>
              <w:right w:val="single" w:color="auto" w:sz="4" w:space="0"/>
            </w:tcBorders>
            <w:vAlign w:val="center"/>
          </w:tcPr>
          <w:p w14:paraId="2422F1F7">
            <w:pPr>
              <w:spacing w:line="360" w:lineRule="auto"/>
              <w:jc w:val="right"/>
              <w:rPr>
                <w:rFonts w:ascii="Calibri" w:hAnsi="Calibri"/>
                <w:sz w:val="20"/>
                <w:szCs w:val="20"/>
              </w:rPr>
            </w:pPr>
            <w:r>
              <w:rPr>
                <w:rFonts w:ascii="Calibri" w:hAnsi="Calibri"/>
                <w:sz w:val="20"/>
                <w:szCs w:val="20"/>
              </w:rPr>
              <w:t>-40,424,070.68</w:t>
            </w:r>
          </w:p>
        </w:tc>
        <w:tc>
          <w:tcPr>
            <w:tcW w:w="426" w:type="dxa"/>
            <w:tcBorders>
              <w:top w:val="single" w:color="auto" w:sz="4" w:space="0"/>
              <w:left w:val="single" w:color="auto" w:sz="4" w:space="0"/>
              <w:bottom w:val="single" w:color="auto" w:sz="4" w:space="0"/>
              <w:right w:val="single" w:color="auto" w:sz="4" w:space="0"/>
            </w:tcBorders>
            <w:vAlign w:val="center"/>
          </w:tcPr>
          <w:p w14:paraId="138E1B0D">
            <w:pPr>
              <w:spacing w:line="360" w:lineRule="auto"/>
              <w:jc w:val="right"/>
              <w:rPr>
                <w:rFonts w:ascii="Calibri" w:hAnsi="Calibri"/>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116E5D3A">
            <w:pPr>
              <w:spacing w:line="360" w:lineRule="auto"/>
              <w:jc w:val="right"/>
              <w:rPr>
                <w:rFonts w:asciiTheme="minorHAnsi" w:hAnsiTheme="minorHAnsi" w:cstheme="minorHAnsi"/>
                <w:sz w:val="18"/>
                <w:szCs w:val="18"/>
              </w:rPr>
            </w:pPr>
            <w:r>
              <w:rPr>
                <w:rFonts w:asciiTheme="minorHAnsi" w:hAnsiTheme="minorHAnsi" w:cstheme="minorHAnsi"/>
                <w:sz w:val="18"/>
                <w:szCs w:val="18"/>
              </w:rPr>
              <w:t>-127,398,434.52</w:t>
            </w:r>
          </w:p>
        </w:tc>
        <w:tc>
          <w:tcPr>
            <w:tcW w:w="1559" w:type="dxa"/>
            <w:tcBorders>
              <w:top w:val="single" w:color="auto" w:sz="4" w:space="0"/>
              <w:left w:val="single" w:color="auto" w:sz="4" w:space="0"/>
              <w:bottom w:val="single" w:color="auto" w:sz="4" w:space="0"/>
              <w:right w:val="single" w:color="auto" w:sz="4" w:space="0"/>
            </w:tcBorders>
            <w:vAlign w:val="center"/>
          </w:tcPr>
          <w:p w14:paraId="254ED81C">
            <w:pPr>
              <w:spacing w:line="360" w:lineRule="auto"/>
              <w:jc w:val="right"/>
              <w:rPr>
                <w:rFonts w:ascii="Calibri" w:hAnsi="Calibri"/>
                <w:sz w:val="20"/>
                <w:szCs w:val="20"/>
              </w:rPr>
            </w:pPr>
            <w:r>
              <w:rPr>
                <w:rFonts w:ascii="Calibri" w:hAnsi="Calibri"/>
                <w:sz w:val="20"/>
                <w:szCs w:val="20"/>
              </w:rPr>
              <w:t>500,104,601.53</w:t>
            </w:r>
          </w:p>
        </w:tc>
        <w:tc>
          <w:tcPr>
            <w:tcW w:w="684" w:type="dxa"/>
            <w:tcBorders>
              <w:top w:val="single" w:color="auto" w:sz="4" w:space="0"/>
              <w:left w:val="single" w:color="auto" w:sz="4" w:space="0"/>
              <w:bottom w:val="single" w:color="auto" w:sz="4" w:space="0"/>
              <w:right w:val="single" w:color="auto" w:sz="4" w:space="0"/>
            </w:tcBorders>
            <w:vAlign w:val="center"/>
          </w:tcPr>
          <w:p w14:paraId="4944993E">
            <w:pPr>
              <w:spacing w:line="360" w:lineRule="auto"/>
              <w:jc w:val="right"/>
              <w:rPr>
                <w:rFonts w:ascii="Calibri" w:hAnsi="Calibri"/>
                <w:sz w:val="20"/>
                <w:szCs w:val="20"/>
              </w:rPr>
            </w:pPr>
          </w:p>
        </w:tc>
      </w:tr>
    </w:tbl>
    <w:p w14:paraId="686AC256"/>
    <w:p w14:paraId="4EC18BE5">
      <w:pPr>
        <w:pStyle w:val="48"/>
      </w:pPr>
    </w:p>
    <w:p w14:paraId="5DF59407">
      <w:pPr>
        <w:pStyle w:val="5"/>
        <w:numPr>
          <w:ilvl w:val="0"/>
          <w:numId w:val="74"/>
        </w:numPr>
      </w:pPr>
      <w:bookmarkStart w:id="423" w:name="_Hlk155165896"/>
      <w:r>
        <w:rPr>
          <w:rFonts w:hint="eastAsia"/>
        </w:rPr>
        <w:t>长期股权投资的减值测试情况</w:t>
      </w:r>
    </w:p>
    <w:sdt>
      <w:sdtPr>
        <w:alias w:val="是否适用：减值测试情况[双击切换]"/>
        <w:tag w:val="_GBC_99f575f7d43c4e27846e49ee35c9e10f"/>
        <w:id w:val="-2135936652"/>
        <w:placeholder>
          <w:docPart w:val="GBC22222222222222222222222222222"/>
        </w:placeholder>
      </w:sdtPr>
      <w:sdtContent>
        <w:p w14:paraId="36B8A48B">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423"/>
    <w:p w14:paraId="444A706C">
      <w:pPr>
        <w:pStyle w:val="48"/>
      </w:pPr>
    </w:p>
    <w:p w14:paraId="1FBFB33A">
      <w:pPr>
        <w:pStyle w:val="48"/>
        <w:sectPr>
          <w:pgSz w:w="16838" w:h="11906" w:orient="landscape"/>
          <w:pgMar w:top="1797" w:right="1525" w:bottom="1276" w:left="1440" w:header="856" w:footer="992" w:gutter="0"/>
          <w:cols w:space="425" w:num="1"/>
          <w:docGrid w:linePitch="312" w:charSpace="0"/>
        </w:sectPr>
      </w:pPr>
    </w:p>
    <w:p w14:paraId="4DBE4B98">
      <w:pPr>
        <w:pStyle w:val="48"/>
      </w:pPr>
    </w:p>
    <w:p w14:paraId="523B770E">
      <w:pPr>
        <w:pStyle w:val="4"/>
        <w:numPr>
          <w:ilvl w:val="0"/>
          <w:numId w:val="126"/>
        </w:numPr>
      </w:pPr>
      <w:r>
        <w:rPr>
          <w:rFonts w:hint="eastAsia" w:ascii="宋体" w:hAnsi="宋体"/>
          <w:szCs w:val="21"/>
        </w:rPr>
        <w:t>营业收入和营业成本</w:t>
      </w:r>
    </w:p>
    <w:p w14:paraId="3AC74438">
      <w:pPr>
        <w:pStyle w:val="5"/>
        <w:numPr>
          <w:ilvl w:val="0"/>
          <w:numId w:val="132"/>
        </w:numPr>
      </w:pPr>
      <w:r>
        <w:rPr>
          <w:rFonts w:hint="eastAsia"/>
        </w:rPr>
        <w:t>营业收入和营业成本情况</w:t>
      </w:r>
    </w:p>
    <w:sdt>
      <w:sdtPr>
        <w:rPr>
          <w:rFonts w:hint="eastAsia" w:ascii="宋体" w:hAnsi="宋体"/>
          <w:bCs/>
          <w:szCs w:val="21"/>
        </w:rPr>
        <w:alias w:val="是否适用：母公司营业收入和营业成本[双击切换]"/>
        <w:tag w:val="_GBC_3cf10265cb614c79a538bd06daf8da74"/>
        <w:id w:val="-1316954045"/>
        <w:placeholder>
          <w:docPart w:val="GBC22222222222222222222222222222"/>
        </w:placeholder>
      </w:sdtPr>
      <w:sdtEndPr>
        <w:rPr>
          <w:rFonts w:hint="eastAsia" w:ascii="宋体" w:hAnsi="宋体"/>
          <w:bCs/>
          <w:szCs w:val="21"/>
        </w:rPr>
      </w:sdtEndPr>
      <w:sdtContent>
        <w:p w14:paraId="12124035">
          <w:pPr>
            <w:pStyle w:val="30"/>
            <w:ind w:firstLine="0" w:firstLineChars="0"/>
            <w:jc w:val="left"/>
            <w:rPr>
              <w:rFonts w:ascii="宋体" w:hAnsi="宋体"/>
              <w:bCs/>
              <w:szCs w:val="21"/>
            </w:rPr>
          </w:pPr>
          <w:r>
            <w:rPr>
              <w:rFonts w:ascii="宋体" w:hAnsi="宋体"/>
              <w:bCs/>
              <w:szCs w:val="21"/>
            </w:rPr>
            <w:fldChar w:fldCharType="begin"/>
          </w:r>
          <w:r>
            <w:rPr>
              <w:rFonts w:ascii="宋体" w:hAnsi="宋体"/>
              <w:bCs/>
              <w:szCs w:val="21"/>
            </w:rPr>
            <w:instrText xml:space="preserve"> </w:instrText>
          </w:r>
          <w:r>
            <w:rPr>
              <w:rFonts w:hint="eastAsia" w:ascii="宋体" w:hAnsi="宋体"/>
              <w:bCs/>
              <w:szCs w:val="21"/>
            </w:rPr>
            <w:instrText xml:space="preserve">MACROBUTTON  SnrToggleCheckbox √适用 </w:instrText>
          </w:r>
          <w:r>
            <w:rPr>
              <w:rFonts w:ascii="宋体" w:hAnsi="宋体"/>
              <w:bCs/>
              <w:szCs w:val="21"/>
            </w:rPr>
            <w:instrText xml:space="preserve">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688E4CB2">
      <w:pPr>
        <w:pStyle w:val="30"/>
        <w:ind w:firstLine="0" w:firstLineChars="0"/>
        <w:jc w:val="right"/>
        <w:rPr>
          <w:rFonts w:ascii="宋体" w:hAnsi="宋体"/>
          <w:kern w:val="0"/>
          <w:szCs w:val="21"/>
        </w:rPr>
      </w:pPr>
      <w:r>
        <w:rPr>
          <w:rFonts w:hint="eastAsia" w:ascii="宋体" w:hAnsi="宋体"/>
          <w:bCs/>
          <w:szCs w:val="21"/>
        </w:rPr>
        <w:t>单位：</w:t>
      </w:r>
      <w:sdt>
        <w:sdtPr>
          <w:rPr>
            <w:rFonts w:hint="eastAsia" w:ascii="宋体" w:hAnsi="宋体"/>
            <w:bCs/>
            <w:szCs w:val="21"/>
          </w:rPr>
          <w:alias w:val="单位：母公司财务附注：营业收入"/>
          <w:tag w:val="_GBC_5e6e6011a00b4111b618be40fba11dc1"/>
          <w:id w:val="-10214747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bCs/>
            <w:szCs w:val="21"/>
          </w:rPr>
        </w:sdtEndPr>
        <w:sdtContent>
          <w:r>
            <w:rPr>
              <w:rFonts w:hint="eastAsia" w:ascii="宋体" w:hAnsi="宋体"/>
              <w:bCs/>
              <w:szCs w:val="21"/>
            </w:rPr>
            <w:t>元</w:t>
          </w:r>
        </w:sdtContent>
      </w:sdt>
      <w:r>
        <w:rPr>
          <w:rFonts w:hint="eastAsia" w:ascii="宋体" w:hAnsi="宋体"/>
          <w:bCs/>
          <w:szCs w:val="21"/>
        </w:rPr>
        <w:t xml:space="preserve">  币种：</w:t>
      </w:r>
      <w:sdt>
        <w:sdtPr>
          <w:rPr>
            <w:rFonts w:hint="eastAsia" w:ascii="宋体" w:hAnsi="宋体"/>
            <w:bCs/>
            <w:szCs w:val="21"/>
          </w:rPr>
          <w:alias w:val="币种：母公司财务附注：营业收入"/>
          <w:tag w:val="_GBC_5940d445dfb6426f97376a89f3df08e7"/>
          <w:id w:val="14799579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bCs/>
            <w:szCs w:val="21"/>
          </w:rPr>
        </w:sdtEndPr>
        <w:sdtContent>
          <w:r>
            <w:rPr>
              <w:rFonts w:hint="eastAsia" w:ascii="宋体" w:hAnsi="宋体"/>
              <w:bCs/>
              <w:szCs w:val="21"/>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984"/>
        <w:gridCol w:w="1843"/>
        <w:gridCol w:w="1701"/>
        <w:gridCol w:w="1540"/>
      </w:tblGrid>
      <w:tr w14:paraId="7C80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d52d676cf8435a8f7a530f92cd7617"/>
            <w:id w:val="-1059243565"/>
          </w:sdtPr>
          <w:sdtContent>
            <w:tc>
              <w:tcPr>
                <w:tcW w:w="1980" w:type="dxa"/>
                <w:vMerge w:val="restart"/>
                <w:tcBorders>
                  <w:top w:val="single" w:color="auto" w:sz="4" w:space="0"/>
                  <w:left w:val="single" w:color="auto" w:sz="4" w:space="0"/>
                  <w:right w:val="single" w:color="auto" w:sz="4" w:space="0"/>
                </w:tcBorders>
                <w:vAlign w:val="center"/>
              </w:tcPr>
              <w:p w14:paraId="793BB447">
                <w:pPr>
                  <w:jc w:val="center"/>
                  <w:rPr>
                    <w:rFonts w:ascii="Calibri" w:hAnsi="Calibri"/>
                    <w:sz w:val="20"/>
                    <w:szCs w:val="20"/>
                  </w:rPr>
                </w:pPr>
                <w:r>
                  <w:rPr>
                    <w:rFonts w:hint="eastAsia" w:ascii="Calibri" w:hAnsi="Calibri"/>
                    <w:sz w:val="20"/>
                    <w:szCs w:val="20"/>
                  </w:rPr>
                  <w:t>项目</w:t>
                </w:r>
              </w:p>
            </w:tc>
          </w:sdtContent>
        </w:sdt>
        <w:sdt>
          <w:sdtPr>
            <w:tag w:val="_PLD_32b5faadfe0b45d19044be5526af3c2d"/>
            <w:id w:val="-1302766780"/>
          </w:sdtPr>
          <w:sdtContent>
            <w:tc>
              <w:tcPr>
                <w:tcW w:w="3827" w:type="dxa"/>
                <w:gridSpan w:val="2"/>
                <w:tcBorders>
                  <w:top w:val="single" w:color="auto" w:sz="4" w:space="0"/>
                  <w:left w:val="single" w:color="auto" w:sz="4" w:space="0"/>
                  <w:bottom w:val="single" w:color="auto" w:sz="4" w:space="0"/>
                  <w:right w:val="single" w:color="auto" w:sz="4" w:space="0"/>
                </w:tcBorders>
                <w:vAlign w:val="center"/>
              </w:tcPr>
              <w:p w14:paraId="28542C26">
                <w:pPr>
                  <w:jc w:val="center"/>
                  <w:rPr>
                    <w:rFonts w:ascii="Calibri" w:hAnsi="Calibri"/>
                    <w:sz w:val="20"/>
                    <w:szCs w:val="20"/>
                  </w:rPr>
                </w:pPr>
                <w:r>
                  <w:rPr>
                    <w:rFonts w:hint="eastAsia" w:ascii="Calibri" w:hAnsi="Calibri"/>
                    <w:sz w:val="20"/>
                    <w:szCs w:val="20"/>
                  </w:rPr>
                  <w:t>本期发生额</w:t>
                </w:r>
              </w:p>
            </w:tc>
          </w:sdtContent>
        </w:sdt>
        <w:sdt>
          <w:sdtPr>
            <w:tag w:val="_PLD_5e3b95dc7e564cbabd77bf88c8a43781"/>
            <w:id w:val="-1819638802"/>
          </w:sdtPr>
          <w:sdtContent>
            <w:tc>
              <w:tcPr>
                <w:tcW w:w="3241" w:type="dxa"/>
                <w:gridSpan w:val="2"/>
                <w:tcBorders>
                  <w:top w:val="single" w:color="auto" w:sz="4" w:space="0"/>
                  <w:left w:val="single" w:color="auto" w:sz="4" w:space="0"/>
                  <w:bottom w:val="single" w:color="auto" w:sz="4" w:space="0"/>
                  <w:right w:val="single" w:color="auto" w:sz="4" w:space="0"/>
                </w:tcBorders>
                <w:vAlign w:val="center"/>
              </w:tcPr>
              <w:p w14:paraId="515E5AD3">
                <w:pPr>
                  <w:jc w:val="center"/>
                  <w:rPr>
                    <w:rFonts w:ascii="Calibri" w:hAnsi="Calibri"/>
                    <w:sz w:val="20"/>
                    <w:szCs w:val="20"/>
                  </w:rPr>
                </w:pPr>
                <w:r>
                  <w:rPr>
                    <w:rFonts w:hint="eastAsia" w:ascii="Calibri" w:hAnsi="Calibri"/>
                    <w:sz w:val="20"/>
                    <w:szCs w:val="20"/>
                  </w:rPr>
                  <w:t>上期发生额</w:t>
                </w:r>
              </w:p>
            </w:tc>
          </w:sdtContent>
        </w:sdt>
      </w:tr>
      <w:tr w14:paraId="7CFE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tcBorders>
              <w:left w:val="single" w:color="auto" w:sz="4" w:space="0"/>
              <w:bottom w:val="single" w:color="auto" w:sz="4" w:space="0"/>
              <w:right w:val="single" w:color="auto" w:sz="4" w:space="0"/>
            </w:tcBorders>
            <w:vAlign w:val="center"/>
          </w:tcPr>
          <w:p w14:paraId="0F0B75E6">
            <w:pPr>
              <w:jc w:val="center"/>
              <w:rPr>
                <w:rFonts w:ascii="Calibri" w:hAnsi="Calibri"/>
                <w:sz w:val="20"/>
                <w:szCs w:val="20"/>
              </w:rPr>
            </w:pPr>
          </w:p>
        </w:tc>
        <w:sdt>
          <w:sdtPr>
            <w:tag w:val="_PLD_35d68e9def174e9fb111f9c26dc6e586"/>
            <w:id w:val="-1871673158"/>
          </w:sdtPr>
          <w:sdtContent>
            <w:tc>
              <w:tcPr>
                <w:tcW w:w="1984" w:type="dxa"/>
                <w:tcBorders>
                  <w:top w:val="single" w:color="auto" w:sz="4" w:space="0"/>
                  <w:left w:val="single" w:color="auto" w:sz="4" w:space="0"/>
                  <w:bottom w:val="single" w:color="auto" w:sz="4" w:space="0"/>
                  <w:right w:val="single" w:color="auto" w:sz="4" w:space="0"/>
                </w:tcBorders>
                <w:vAlign w:val="center"/>
              </w:tcPr>
              <w:p w14:paraId="465A182D">
                <w:pPr>
                  <w:jc w:val="center"/>
                  <w:rPr>
                    <w:rFonts w:ascii="Calibri" w:hAnsi="Calibri"/>
                    <w:sz w:val="20"/>
                    <w:szCs w:val="20"/>
                  </w:rPr>
                </w:pPr>
                <w:r>
                  <w:rPr>
                    <w:rFonts w:hint="eastAsia" w:ascii="Calibri" w:hAnsi="Calibri"/>
                    <w:sz w:val="20"/>
                    <w:szCs w:val="20"/>
                  </w:rPr>
                  <w:t>收入</w:t>
                </w:r>
              </w:p>
            </w:tc>
          </w:sdtContent>
        </w:sdt>
        <w:sdt>
          <w:sdtPr>
            <w:tag w:val="_PLD_bca4c40811a6455bb6f684093a6c0c7d"/>
            <w:id w:val="-1394426907"/>
          </w:sdtPr>
          <w:sdtContent>
            <w:tc>
              <w:tcPr>
                <w:tcW w:w="1843" w:type="dxa"/>
                <w:tcBorders>
                  <w:top w:val="single" w:color="auto" w:sz="4" w:space="0"/>
                  <w:left w:val="single" w:color="auto" w:sz="4" w:space="0"/>
                  <w:bottom w:val="single" w:color="auto" w:sz="4" w:space="0"/>
                  <w:right w:val="single" w:color="auto" w:sz="4" w:space="0"/>
                </w:tcBorders>
                <w:vAlign w:val="center"/>
              </w:tcPr>
              <w:p w14:paraId="47A35722">
                <w:pPr>
                  <w:jc w:val="center"/>
                  <w:rPr>
                    <w:rFonts w:ascii="Calibri" w:hAnsi="Calibri"/>
                    <w:sz w:val="20"/>
                    <w:szCs w:val="20"/>
                  </w:rPr>
                </w:pPr>
                <w:r>
                  <w:rPr>
                    <w:rFonts w:hint="eastAsia" w:ascii="Calibri" w:hAnsi="Calibri"/>
                    <w:sz w:val="20"/>
                    <w:szCs w:val="20"/>
                  </w:rPr>
                  <w:t>成本</w:t>
                </w:r>
              </w:p>
            </w:tc>
          </w:sdtContent>
        </w:sdt>
        <w:sdt>
          <w:sdtPr>
            <w:tag w:val="_PLD_913bf231029842ff9aedaf2297b238c1"/>
            <w:id w:val="-1582818733"/>
          </w:sdtPr>
          <w:sdtContent>
            <w:tc>
              <w:tcPr>
                <w:tcW w:w="1701" w:type="dxa"/>
                <w:tcBorders>
                  <w:top w:val="single" w:color="auto" w:sz="4" w:space="0"/>
                  <w:left w:val="single" w:color="auto" w:sz="4" w:space="0"/>
                  <w:bottom w:val="single" w:color="auto" w:sz="4" w:space="0"/>
                  <w:right w:val="single" w:color="auto" w:sz="4" w:space="0"/>
                </w:tcBorders>
                <w:vAlign w:val="center"/>
              </w:tcPr>
              <w:p w14:paraId="3BFCA5D1">
                <w:pPr>
                  <w:jc w:val="center"/>
                  <w:rPr>
                    <w:rFonts w:ascii="Calibri" w:hAnsi="Calibri"/>
                    <w:sz w:val="20"/>
                    <w:szCs w:val="20"/>
                  </w:rPr>
                </w:pPr>
                <w:r>
                  <w:rPr>
                    <w:rFonts w:hint="eastAsia" w:ascii="Calibri" w:hAnsi="Calibri"/>
                    <w:sz w:val="20"/>
                    <w:szCs w:val="20"/>
                  </w:rPr>
                  <w:t>收入</w:t>
                </w:r>
              </w:p>
            </w:tc>
          </w:sdtContent>
        </w:sdt>
        <w:sdt>
          <w:sdtPr>
            <w:tag w:val="_PLD_f626f406150145439510a3b7f1a71e39"/>
            <w:id w:val="1104237361"/>
          </w:sdtPr>
          <w:sdtContent>
            <w:tc>
              <w:tcPr>
                <w:tcW w:w="1540" w:type="dxa"/>
                <w:tcBorders>
                  <w:top w:val="single" w:color="auto" w:sz="4" w:space="0"/>
                  <w:left w:val="single" w:color="auto" w:sz="4" w:space="0"/>
                  <w:bottom w:val="single" w:color="auto" w:sz="4" w:space="0"/>
                  <w:right w:val="single" w:color="auto" w:sz="4" w:space="0"/>
                </w:tcBorders>
                <w:vAlign w:val="center"/>
              </w:tcPr>
              <w:p w14:paraId="39EAA8C3">
                <w:pPr>
                  <w:jc w:val="center"/>
                  <w:rPr>
                    <w:rFonts w:ascii="Calibri" w:hAnsi="Calibri"/>
                    <w:sz w:val="20"/>
                    <w:szCs w:val="20"/>
                  </w:rPr>
                </w:pPr>
                <w:r>
                  <w:rPr>
                    <w:rFonts w:hint="eastAsia" w:ascii="Calibri" w:hAnsi="Calibri"/>
                    <w:sz w:val="20"/>
                    <w:szCs w:val="20"/>
                  </w:rPr>
                  <w:t>成本</w:t>
                </w:r>
              </w:p>
            </w:tc>
          </w:sdtContent>
        </w:sdt>
      </w:tr>
      <w:tr w14:paraId="6920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14:paraId="136811AB">
            <w:pPr>
              <w:pStyle w:val="48"/>
              <w:spacing w:line="276" w:lineRule="auto"/>
              <w:rPr>
                <w:sz w:val="20"/>
                <w:szCs w:val="20"/>
              </w:rPr>
            </w:pPr>
            <w:r>
              <w:rPr>
                <w:rFonts w:hint="eastAsia"/>
                <w:sz w:val="20"/>
                <w:szCs w:val="20"/>
              </w:rPr>
              <w:t>主营业务</w:t>
            </w:r>
          </w:p>
        </w:tc>
        <w:tc>
          <w:tcPr>
            <w:tcW w:w="1984" w:type="dxa"/>
            <w:tcBorders>
              <w:top w:val="single" w:color="auto" w:sz="4" w:space="0"/>
              <w:left w:val="single" w:color="auto" w:sz="4" w:space="0"/>
              <w:bottom w:val="single" w:color="auto" w:sz="4" w:space="0"/>
              <w:right w:val="single" w:color="auto" w:sz="4" w:space="0"/>
            </w:tcBorders>
            <w:vAlign w:val="center"/>
          </w:tcPr>
          <w:p w14:paraId="7318640E">
            <w:pPr>
              <w:spacing w:line="276" w:lineRule="auto"/>
              <w:jc w:val="right"/>
              <w:rPr>
                <w:rFonts w:ascii="Calibri" w:hAnsi="Calibri"/>
                <w:sz w:val="20"/>
                <w:szCs w:val="20"/>
              </w:rPr>
            </w:pPr>
            <w:r>
              <w:rPr>
                <w:rFonts w:ascii="Calibri" w:hAnsi="Calibri"/>
                <w:sz w:val="20"/>
                <w:szCs w:val="20"/>
              </w:rPr>
              <w:t>2,882,415,889.58</w:t>
            </w:r>
          </w:p>
        </w:tc>
        <w:tc>
          <w:tcPr>
            <w:tcW w:w="1843" w:type="dxa"/>
            <w:tcBorders>
              <w:top w:val="single" w:color="auto" w:sz="4" w:space="0"/>
              <w:left w:val="single" w:color="auto" w:sz="4" w:space="0"/>
              <w:bottom w:val="single" w:color="auto" w:sz="4" w:space="0"/>
              <w:right w:val="single" w:color="auto" w:sz="4" w:space="0"/>
            </w:tcBorders>
            <w:vAlign w:val="center"/>
          </w:tcPr>
          <w:p w14:paraId="2AF90564">
            <w:pPr>
              <w:spacing w:line="276" w:lineRule="auto"/>
              <w:jc w:val="right"/>
              <w:rPr>
                <w:rFonts w:ascii="Calibri" w:hAnsi="Calibri"/>
                <w:sz w:val="20"/>
                <w:szCs w:val="20"/>
              </w:rPr>
            </w:pPr>
            <w:r>
              <w:rPr>
                <w:rFonts w:ascii="Calibri" w:hAnsi="Calibri"/>
                <w:sz w:val="20"/>
                <w:szCs w:val="20"/>
              </w:rPr>
              <w:t>848,391,256.82</w:t>
            </w:r>
          </w:p>
        </w:tc>
        <w:tc>
          <w:tcPr>
            <w:tcW w:w="1701" w:type="dxa"/>
            <w:tcBorders>
              <w:top w:val="single" w:color="auto" w:sz="4" w:space="0"/>
              <w:left w:val="single" w:color="auto" w:sz="4" w:space="0"/>
              <w:bottom w:val="single" w:color="auto" w:sz="4" w:space="0"/>
              <w:right w:val="single" w:color="auto" w:sz="4" w:space="0"/>
            </w:tcBorders>
            <w:vAlign w:val="center"/>
          </w:tcPr>
          <w:p w14:paraId="03FEE8A7">
            <w:pPr>
              <w:spacing w:line="276" w:lineRule="auto"/>
              <w:jc w:val="right"/>
              <w:rPr>
                <w:rFonts w:ascii="Calibri" w:hAnsi="Calibri"/>
                <w:sz w:val="20"/>
                <w:szCs w:val="20"/>
              </w:rPr>
            </w:pPr>
            <w:r>
              <w:rPr>
                <w:rFonts w:ascii="Calibri" w:hAnsi="Calibri"/>
                <w:sz w:val="20"/>
                <w:szCs w:val="20"/>
              </w:rPr>
              <w:t>1,973,011,349.13</w:t>
            </w:r>
          </w:p>
        </w:tc>
        <w:tc>
          <w:tcPr>
            <w:tcW w:w="1540" w:type="dxa"/>
            <w:tcBorders>
              <w:top w:val="single" w:color="auto" w:sz="4" w:space="0"/>
              <w:left w:val="single" w:color="auto" w:sz="4" w:space="0"/>
              <w:bottom w:val="single" w:color="auto" w:sz="4" w:space="0"/>
              <w:right w:val="single" w:color="auto" w:sz="4" w:space="0"/>
            </w:tcBorders>
            <w:vAlign w:val="center"/>
          </w:tcPr>
          <w:p w14:paraId="0A65B8CE">
            <w:pPr>
              <w:spacing w:line="276" w:lineRule="auto"/>
              <w:jc w:val="right"/>
              <w:rPr>
                <w:rFonts w:ascii="Calibri" w:hAnsi="Calibri"/>
                <w:sz w:val="20"/>
                <w:szCs w:val="20"/>
              </w:rPr>
            </w:pPr>
            <w:r>
              <w:rPr>
                <w:rFonts w:ascii="Calibri" w:hAnsi="Calibri"/>
                <w:sz w:val="20"/>
                <w:szCs w:val="20"/>
              </w:rPr>
              <w:t>508,821,521.39</w:t>
            </w:r>
          </w:p>
        </w:tc>
      </w:tr>
      <w:tr w14:paraId="621E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14:paraId="0E609417">
            <w:pPr>
              <w:pStyle w:val="48"/>
              <w:spacing w:line="276" w:lineRule="auto"/>
              <w:rPr>
                <w:sz w:val="20"/>
                <w:szCs w:val="20"/>
              </w:rPr>
            </w:pPr>
            <w:r>
              <w:rPr>
                <w:rFonts w:hint="eastAsia"/>
                <w:sz w:val="20"/>
                <w:szCs w:val="20"/>
              </w:rPr>
              <w:t>其他业务</w:t>
            </w:r>
          </w:p>
        </w:tc>
        <w:tc>
          <w:tcPr>
            <w:tcW w:w="1984" w:type="dxa"/>
            <w:tcBorders>
              <w:top w:val="single" w:color="auto" w:sz="4" w:space="0"/>
              <w:left w:val="single" w:color="auto" w:sz="4" w:space="0"/>
              <w:bottom w:val="single" w:color="auto" w:sz="4" w:space="0"/>
              <w:right w:val="single" w:color="auto" w:sz="4" w:space="0"/>
            </w:tcBorders>
            <w:vAlign w:val="center"/>
          </w:tcPr>
          <w:p w14:paraId="71AA3FA5">
            <w:pPr>
              <w:spacing w:line="276" w:lineRule="auto"/>
              <w:jc w:val="right"/>
              <w:rPr>
                <w:rFonts w:ascii="Calibri" w:hAnsi="Calibri"/>
                <w:sz w:val="20"/>
                <w:szCs w:val="20"/>
              </w:rPr>
            </w:pPr>
            <w:r>
              <w:rPr>
                <w:rFonts w:ascii="Calibri" w:hAnsi="Calibri"/>
                <w:sz w:val="20"/>
                <w:szCs w:val="20"/>
              </w:rPr>
              <w:t>20,374,837.56</w:t>
            </w:r>
          </w:p>
        </w:tc>
        <w:tc>
          <w:tcPr>
            <w:tcW w:w="1843" w:type="dxa"/>
            <w:tcBorders>
              <w:top w:val="single" w:color="auto" w:sz="4" w:space="0"/>
              <w:left w:val="single" w:color="auto" w:sz="4" w:space="0"/>
              <w:bottom w:val="single" w:color="auto" w:sz="4" w:space="0"/>
              <w:right w:val="single" w:color="auto" w:sz="4" w:space="0"/>
            </w:tcBorders>
            <w:vAlign w:val="center"/>
          </w:tcPr>
          <w:p w14:paraId="14818D0F">
            <w:pPr>
              <w:spacing w:line="276" w:lineRule="auto"/>
              <w:jc w:val="right"/>
              <w:rPr>
                <w:rFonts w:ascii="Calibri" w:hAnsi="Calibri"/>
                <w:sz w:val="20"/>
                <w:szCs w:val="20"/>
              </w:rPr>
            </w:pPr>
            <w:r>
              <w:rPr>
                <w:rFonts w:ascii="Calibri" w:hAnsi="Calibri"/>
                <w:sz w:val="20"/>
                <w:szCs w:val="20"/>
              </w:rPr>
              <w:t>21,236,975.88</w:t>
            </w:r>
          </w:p>
        </w:tc>
        <w:tc>
          <w:tcPr>
            <w:tcW w:w="1701" w:type="dxa"/>
            <w:tcBorders>
              <w:top w:val="single" w:color="auto" w:sz="4" w:space="0"/>
              <w:left w:val="single" w:color="auto" w:sz="4" w:space="0"/>
              <w:bottom w:val="single" w:color="auto" w:sz="4" w:space="0"/>
              <w:right w:val="single" w:color="auto" w:sz="4" w:space="0"/>
            </w:tcBorders>
            <w:vAlign w:val="center"/>
          </w:tcPr>
          <w:p w14:paraId="24D531BF">
            <w:pPr>
              <w:spacing w:line="276" w:lineRule="auto"/>
              <w:jc w:val="right"/>
              <w:rPr>
                <w:rFonts w:ascii="Calibri" w:hAnsi="Calibri"/>
                <w:sz w:val="20"/>
                <w:szCs w:val="20"/>
              </w:rPr>
            </w:pPr>
            <w:r>
              <w:rPr>
                <w:rFonts w:ascii="Calibri" w:hAnsi="Calibri"/>
                <w:sz w:val="20"/>
                <w:szCs w:val="20"/>
              </w:rPr>
              <w:t>52,729,878.49</w:t>
            </w:r>
          </w:p>
        </w:tc>
        <w:tc>
          <w:tcPr>
            <w:tcW w:w="1540" w:type="dxa"/>
            <w:tcBorders>
              <w:top w:val="single" w:color="auto" w:sz="4" w:space="0"/>
              <w:left w:val="single" w:color="auto" w:sz="4" w:space="0"/>
              <w:bottom w:val="single" w:color="auto" w:sz="4" w:space="0"/>
              <w:right w:val="single" w:color="auto" w:sz="4" w:space="0"/>
            </w:tcBorders>
            <w:vAlign w:val="center"/>
          </w:tcPr>
          <w:p w14:paraId="0C5C1204">
            <w:pPr>
              <w:spacing w:line="276" w:lineRule="auto"/>
              <w:jc w:val="right"/>
              <w:rPr>
                <w:rFonts w:ascii="Calibri" w:hAnsi="Calibri"/>
                <w:sz w:val="20"/>
                <w:szCs w:val="20"/>
              </w:rPr>
            </w:pPr>
            <w:r>
              <w:rPr>
                <w:rFonts w:ascii="Calibri" w:hAnsi="Calibri"/>
                <w:sz w:val="20"/>
                <w:szCs w:val="20"/>
              </w:rPr>
              <w:t>52,078,516.31</w:t>
            </w:r>
          </w:p>
        </w:tc>
      </w:tr>
      <w:tr w14:paraId="78ED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14:paraId="146C5102">
            <w:pPr>
              <w:spacing w:line="276" w:lineRule="auto"/>
              <w:jc w:val="center"/>
              <w:rPr>
                <w:rFonts w:ascii="Calibri" w:hAnsi="Calibri"/>
                <w:sz w:val="20"/>
                <w:szCs w:val="20"/>
              </w:rPr>
            </w:pPr>
            <w:r>
              <w:rPr>
                <w:rFonts w:hint="eastAsia" w:ascii="Calibri" w:hAnsi="Calibri"/>
                <w:sz w:val="20"/>
                <w:szCs w:val="20"/>
              </w:rPr>
              <w:t>合计</w:t>
            </w:r>
          </w:p>
        </w:tc>
        <w:tc>
          <w:tcPr>
            <w:tcW w:w="1984" w:type="dxa"/>
            <w:tcBorders>
              <w:top w:val="single" w:color="auto" w:sz="4" w:space="0"/>
              <w:left w:val="single" w:color="auto" w:sz="4" w:space="0"/>
              <w:bottom w:val="single" w:color="auto" w:sz="4" w:space="0"/>
              <w:right w:val="single" w:color="auto" w:sz="4" w:space="0"/>
            </w:tcBorders>
            <w:vAlign w:val="center"/>
          </w:tcPr>
          <w:p w14:paraId="04A0EB00">
            <w:pPr>
              <w:spacing w:line="276" w:lineRule="auto"/>
              <w:jc w:val="right"/>
              <w:rPr>
                <w:rFonts w:ascii="Calibri" w:hAnsi="Calibri"/>
                <w:sz w:val="20"/>
                <w:szCs w:val="20"/>
              </w:rPr>
            </w:pPr>
            <w:r>
              <w:rPr>
                <w:rFonts w:ascii="Calibri" w:hAnsi="Calibri"/>
                <w:sz w:val="20"/>
                <w:szCs w:val="20"/>
              </w:rPr>
              <w:t>2,902,790,727.14</w:t>
            </w:r>
          </w:p>
        </w:tc>
        <w:tc>
          <w:tcPr>
            <w:tcW w:w="1843" w:type="dxa"/>
            <w:tcBorders>
              <w:top w:val="single" w:color="auto" w:sz="4" w:space="0"/>
              <w:left w:val="single" w:color="auto" w:sz="4" w:space="0"/>
              <w:bottom w:val="single" w:color="auto" w:sz="4" w:space="0"/>
              <w:right w:val="single" w:color="auto" w:sz="4" w:space="0"/>
            </w:tcBorders>
            <w:vAlign w:val="center"/>
          </w:tcPr>
          <w:p w14:paraId="08C4242C">
            <w:pPr>
              <w:spacing w:line="276" w:lineRule="auto"/>
              <w:jc w:val="right"/>
              <w:rPr>
                <w:rFonts w:ascii="Calibri" w:hAnsi="Calibri"/>
                <w:sz w:val="20"/>
                <w:szCs w:val="20"/>
              </w:rPr>
            </w:pPr>
            <w:r>
              <w:rPr>
                <w:rFonts w:ascii="Calibri" w:hAnsi="Calibri"/>
                <w:sz w:val="20"/>
                <w:szCs w:val="20"/>
              </w:rPr>
              <w:t>869,628,232.70</w:t>
            </w:r>
          </w:p>
        </w:tc>
        <w:tc>
          <w:tcPr>
            <w:tcW w:w="1701" w:type="dxa"/>
            <w:tcBorders>
              <w:top w:val="single" w:color="auto" w:sz="4" w:space="0"/>
              <w:left w:val="single" w:color="auto" w:sz="4" w:space="0"/>
              <w:bottom w:val="single" w:color="auto" w:sz="4" w:space="0"/>
              <w:right w:val="single" w:color="auto" w:sz="4" w:space="0"/>
            </w:tcBorders>
            <w:vAlign w:val="center"/>
          </w:tcPr>
          <w:p w14:paraId="23AC0DB0">
            <w:pPr>
              <w:spacing w:line="276" w:lineRule="auto"/>
              <w:jc w:val="right"/>
              <w:rPr>
                <w:rFonts w:ascii="Calibri" w:hAnsi="Calibri"/>
                <w:sz w:val="20"/>
                <w:szCs w:val="20"/>
              </w:rPr>
            </w:pPr>
            <w:r>
              <w:rPr>
                <w:rFonts w:ascii="Calibri" w:hAnsi="Calibri"/>
                <w:sz w:val="20"/>
                <w:szCs w:val="20"/>
              </w:rPr>
              <w:t>2,025,741,227.62</w:t>
            </w:r>
          </w:p>
        </w:tc>
        <w:tc>
          <w:tcPr>
            <w:tcW w:w="1540" w:type="dxa"/>
            <w:tcBorders>
              <w:top w:val="single" w:color="auto" w:sz="4" w:space="0"/>
              <w:left w:val="single" w:color="auto" w:sz="4" w:space="0"/>
              <w:bottom w:val="single" w:color="auto" w:sz="4" w:space="0"/>
              <w:right w:val="single" w:color="auto" w:sz="4" w:space="0"/>
            </w:tcBorders>
            <w:vAlign w:val="center"/>
          </w:tcPr>
          <w:p w14:paraId="757226A4">
            <w:pPr>
              <w:spacing w:line="276" w:lineRule="auto"/>
              <w:jc w:val="right"/>
              <w:rPr>
                <w:rFonts w:ascii="Calibri" w:hAnsi="Calibri"/>
                <w:sz w:val="20"/>
                <w:szCs w:val="20"/>
              </w:rPr>
            </w:pPr>
            <w:r>
              <w:rPr>
                <w:rFonts w:ascii="Calibri" w:hAnsi="Calibri"/>
                <w:sz w:val="20"/>
                <w:szCs w:val="20"/>
              </w:rPr>
              <w:t>560,900,037.70</w:t>
            </w:r>
          </w:p>
        </w:tc>
      </w:tr>
    </w:tbl>
    <w:p w14:paraId="7F34FEDB">
      <w:pPr>
        <w:pStyle w:val="48"/>
      </w:pPr>
    </w:p>
    <w:sdt>
      <w:sdtPr>
        <w:rPr>
          <w:rFonts w:hint="eastAsia" w:ascii="宋体" w:hAnsi="宋体" w:eastAsia="宋体" w:cs="宋体"/>
          <w:b w:val="0"/>
          <w:bCs w:val="0"/>
          <w:kern w:val="0"/>
          <w:szCs w:val="24"/>
        </w:rPr>
        <w:alias w:val="模块:母公司营业收入、营业成本的分解信息"/>
        <w:tag w:val="_SEC_37411609543c494ea4ff0d898d351419"/>
        <w:id w:val="1952662771"/>
        <w:placeholder>
          <w:docPart w:val="GBC22222222222222222222222222222"/>
        </w:placeholder>
      </w:sdtPr>
      <w:sdtEndPr>
        <w:rPr>
          <w:rFonts w:hint="default" w:ascii="Times New Roman" w:hAnsi="Times New Roman" w:eastAsia="宋体" w:cs="Times New Roman"/>
          <w:b w:val="0"/>
          <w:bCs w:val="0"/>
          <w:color w:val="000000" w:themeColor="text1"/>
          <w:kern w:val="0"/>
          <w:szCs w:val="20"/>
          <w14:textFill>
            <w14:solidFill>
              <w14:schemeClr w14:val="tx1"/>
            </w14:solidFill>
          </w14:textFill>
        </w:rPr>
      </w:sdtEndPr>
      <w:sdtContent>
        <w:p w14:paraId="39F4AE30">
          <w:pPr>
            <w:pStyle w:val="5"/>
            <w:numPr>
              <w:ilvl w:val="0"/>
              <w:numId w:val="132"/>
            </w:numPr>
          </w:pPr>
          <w:bookmarkStart w:id="424" w:name="_Hlk153798384"/>
          <w:bookmarkStart w:id="425" w:name="_Hlk533798810"/>
          <w:r>
            <w:rPr>
              <w:rFonts w:hint="eastAsia"/>
            </w:rPr>
            <w:t xml:space="preserve">营业收入、营业成本的分解信息 </w:t>
          </w:r>
        </w:p>
        <w:sdt>
          <w:sdtPr>
            <w:rPr>
              <w:rFonts w:ascii="宋体" w:hAnsi="宋体"/>
              <w:szCs w:val="21"/>
            </w:rPr>
            <w:alias w:val="是否适用：母公司营业收入、营业成本的分解信息 [双击切换]"/>
            <w:tag w:val="_GBC_ebb0bd28b90c4b2b9a1a99758f2ade01"/>
            <w:id w:val="-739628972"/>
            <w:placeholder>
              <w:docPart w:val="GBC22222222222222222222222222222"/>
            </w:placeholder>
          </w:sdtPr>
          <w:sdtEndPr>
            <w:rPr>
              <w:rFonts w:ascii="宋体" w:hAnsi="宋体"/>
              <w:szCs w:val="21"/>
            </w:rPr>
          </w:sdtEndPr>
          <w:sdtContent>
            <w:p w14:paraId="3E145E64">
              <w:pPr>
                <w:pStyle w:val="30"/>
                <w:ind w:firstLine="0" w:firstLineChars="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6A6BDC8F">
          <w:pPr>
            <w:pStyle w:val="30"/>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母公司营业收入、营业成本的分解信息 "/>
              <w:tag w:val="_GBC_3db418a3b87d48a88125df45d69873a5"/>
              <w:id w:val="18569966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母公司营业收入、营业成本的分解信息 "/>
              <w:tag w:val="_GBC_4b099cda1a9e49e6b317322bdc1e1e9a"/>
              <w:id w:val="-10778279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9"/>
            <w:gridCol w:w="1655"/>
            <w:gridCol w:w="1642"/>
            <w:gridCol w:w="1722"/>
            <w:gridCol w:w="1720"/>
          </w:tblGrid>
          <w:tr w14:paraId="0BEA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744d45860a74eb7b15a1f53d0ba8f57"/>
                <w:id w:val="328639791"/>
              </w:sdtPr>
              <w:sdtContent>
                <w:tc>
                  <w:tcPr>
                    <w:tcW w:w="2309" w:type="dxa"/>
                    <w:vMerge w:val="restart"/>
                    <w:tcBorders>
                      <w:top w:val="single" w:color="auto" w:sz="4" w:space="0"/>
                      <w:left w:val="single" w:color="auto" w:sz="4" w:space="0"/>
                      <w:right w:val="single" w:color="auto" w:sz="4" w:space="0"/>
                    </w:tcBorders>
                    <w:vAlign w:val="center"/>
                  </w:tcPr>
                  <w:p w14:paraId="1239A7AB">
                    <w:pPr>
                      <w:jc w:val="center"/>
                      <w:rPr>
                        <w:rFonts w:ascii="Calibri" w:hAnsi="Calibri"/>
                        <w:sz w:val="20"/>
                        <w:szCs w:val="20"/>
                      </w:rPr>
                    </w:pPr>
                    <w:r>
                      <w:rPr>
                        <w:rFonts w:hint="eastAsia" w:ascii="Calibri" w:hAnsi="Calibri"/>
                        <w:sz w:val="20"/>
                        <w:szCs w:val="20"/>
                      </w:rPr>
                      <w:t>合同分类</w:t>
                    </w:r>
                  </w:p>
                </w:tc>
              </w:sdtContent>
            </w:sdt>
            <w:sdt>
              <w:sdtPr>
                <w:rPr>
                  <w:rFonts w:hint="eastAsia" w:ascii="Calibri" w:hAnsi="Calibri"/>
                  <w:sz w:val="20"/>
                  <w:szCs w:val="20"/>
                </w:rPr>
                <w:alias w:val="合同产生的收入分部名称"/>
                <w:tag w:val="_GBC_a2bac9a8fecd4cf49241a1c49cc72296"/>
                <w:id w:val="1313606512"/>
              </w:sdtPr>
              <w:sdtEndPr>
                <w:rPr>
                  <w:rFonts w:hint="eastAsia" w:ascii="Calibri" w:hAnsi="Calibri"/>
                  <w:sz w:val="20"/>
                  <w:szCs w:val="20"/>
                </w:rPr>
              </w:sdtEndPr>
              <w:sdtContent>
                <w:tc>
                  <w:tcPr>
                    <w:tcW w:w="3297" w:type="dxa"/>
                    <w:gridSpan w:val="2"/>
                    <w:tcBorders>
                      <w:top w:val="single" w:color="auto" w:sz="4" w:space="0"/>
                      <w:left w:val="single" w:color="auto" w:sz="4" w:space="0"/>
                      <w:bottom w:val="single" w:color="auto" w:sz="4" w:space="0"/>
                      <w:right w:val="single" w:color="auto" w:sz="4" w:space="0"/>
                    </w:tcBorders>
                    <w:vAlign w:val="center"/>
                  </w:tcPr>
                  <w:p w14:paraId="687792B9">
                    <w:pPr>
                      <w:jc w:val="center"/>
                      <w:rPr>
                        <w:rFonts w:ascii="Calibri" w:hAnsi="Calibri"/>
                        <w:sz w:val="20"/>
                        <w:szCs w:val="20"/>
                      </w:rPr>
                    </w:pPr>
                    <w:r>
                      <w:rPr>
                        <w:rFonts w:ascii="Calibri" w:hAnsi="Calibri"/>
                        <w:sz w:val="20"/>
                        <w:szCs w:val="20"/>
                      </w:rPr>
                      <w:t>2025</w:t>
                    </w:r>
                    <w:r>
                      <w:rPr>
                        <w:rFonts w:hint="eastAsia" w:ascii="Calibri" w:hAnsi="Calibri"/>
                        <w:sz w:val="20"/>
                        <w:szCs w:val="20"/>
                      </w:rPr>
                      <w:t>年度</w:t>
                    </w:r>
                  </w:p>
                </w:tc>
              </w:sdtContent>
            </w:sdt>
            <w:sdt>
              <w:sdtPr>
                <w:tag w:val="_PLD_3ace98fa65b74494a468291f479f75b5"/>
                <w:id w:val="148260709"/>
              </w:sdtPr>
              <w:sdtContent>
                <w:tc>
                  <w:tcPr>
                    <w:tcW w:w="3442" w:type="dxa"/>
                    <w:gridSpan w:val="2"/>
                    <w:tcBorders>
                      <w:top w:val="single" w:color="auto" w:sz="4" w:space="0"/>
                      <w:left w:val="single" w:color="auto" w:sz="4" w:space="0"/>
                      <w:bottom w:val="single" w:color="auto" w:sz="4" w:space="0"/>
                      <w:right w:val="single" w:color="auto" w:sz="4" w:space="0"/>
                    </w:tcBorders>
                    <w:vAlign w:val="center"/>
                  </w:tcPr>
                  <w:p w14:paraId="26AAE20D">
                    <w:pPr>
                      <w:jc w:val="center"/>
                      <w:rPr>
                        <w:rFonts w:ascii="Calibri" w:hAnsi="Calibri"/>
                        <w:sz w:val="20"/>
                        <w:szCs w:val="20"/>
                      </w:rPr>
                    </w:pPr>
                    <w:r>
                      <w:rPr>
                        <w:rFonts w:hint="eastAsia" w:ascii="Calibri" w:hAnsi="Calibri"/>
                        <w:sz w:val="20"/>
                        <w:szCs w:val="20"/>
                      </w:rPr>
                      <w:t>合计</w:t>
                    </w:r>
                  </w:p>
                </w:tc>
              </w:sdtContent>
            </w:sdt>
          </w:tr>
          <w:tr w14:paraId="50D5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vMerge w:val="continue"/>
                <w:tcBorders>
                  <w:left w:val="single" w:color="auto" w:sz="4" w:space="0"/>
                  <w:bottom w:val="single" w:color="auto" w:sz="4" w:space="0"/>
                  <w:right w:val="single" w:color="auto" w:sz="4" w:space="0"/>
                </w:tcBorders>
                <w:vAlign w:val="center"/>
              </w:tcPr>
              <w:p w14:paraId="52743925">
                <w:pPr>
                  <w:jc w:val="center"/>
                  <w:rPr>
                    <w:rFonts w:ascii="Calibri" w:hAnsi="Calibri"/>
                    <w:sz w:val="20"/>
                    <w:szCs w:val="20"/>
                  </w:rPr>
                </w:pPr>
              </w:p>
            </w:tc>
            <w:sdt>
              <w:sdtPr>
                <w:tag w:val="_PLD_431b8e37047f4754bb571817ab80f6eb"/>
                <w:id w:val="794489613"/>
              </w:sdtPr>
              <w:sdtContent>
                <w:tc>
                  <w:tcPr>
                    <w:tcW w:w="1655" w:type="dxa"/>
                    <w:tcBorders>
                      <w:top w:val="single" w:color="auto" w:sz="4" w:space="0"/>
                      <w:left w:val="single" w:color="auto" w:sz="4" w:space="0"/>
                      <w:bottom w:val="single" w:color="auto" w:sz="4" w:space="0"/>
                      <w:right w:val="single" w:color="auto" w:sz="4" w:space="0"/>
                    </w:tcBorders>
                    <w:vAlign w:val="center"/>
                  </w:tcPr>
                  <w:p w14:paraId="70B318BD">
                    <w:pPr>
                      <w:jc w:val="center"/>
                      <w:rPr>
                        <w:rFonts w:ascii="Calibri" w:hAnsi="Calibri"/>
                        <w:sz w:val="20"/>
                        <w:szCs w:val="20"/>
                      </w:rPr>
                    </w:pPr>
                    <w:r>
                      <w:rPr>
                        <w:rFonts w:hint="eastAsia" w:ascii="Calibri" w:hAnsi="Calibri"/>
                        <w:sz w:val="20"/>
                        <w:szCs w:val="20"/>
                      </w:rPr>
                      <w:t>营业收入</w:t>
                    </w:r>
                  </w:p>
                </w:tc>
              </w:sdtContent>
            </w:sdt>
            <w:sdt>
              <w:sdtPr>
                <w:tag w:val="_PLD_e7ca6e14063e4ee3972ae1ba1ce23b7f"/>
                <w:id w:val="-1312320802"/>
              </w:sdtPr>
              <w:sdtContent>
                <w:tc>
                  <w:tcPr>
                    <w:tcW w:w="1642" w:type="dxa"/>
                    <w:tcBorders>
                      <w:top w:val="single" w:color="auto" w:sz="4" w:space="0"/>
                      <w:left w:val="single" w:color="auto" w:sz="4" w:space="0"/>
                      <w:bottom w:val="single" w:color="auto" w:sz="4" w:space="0"/>
                      <w:right w:val="single" w:color="auto" w:sz="4" w:space="0"/>
                    </w:tcBorders>
                    <w:vAlign w:val="center"/>
                  </w:tcPr>
                  <w:p w14:paraId="1CC3CC05">
                    <w:pPr>
                      <w:jc w:val="center"/>
                      <w:rPr>
                        <w:rFonts w:ascii="Calibri" w:hAnsi="Calibri"/>
                        <w:sz w:val="20"/>
                        <w:szCs w:val="20"/>
                      </w:rPr>
                    </w:pPr>
                    <w:r>
                      <w:rPr>
                        <w:rFonts w:hint="eastAsia" w:ascii="Calibri" w:hAnsi="Calibri"/>
                        <w:sz w:val="20"/>
                        <w:szCs w:val="20"/>
                      </w:rPr>
                      <w:t>营业成本</w:t>
                    </w:r>
                  </w:p>
                </w:tc>
              </w:sdtContent>
            </w:sdt>
            <w:sdt>
              <w:sdtPr>
                <w:tag w:val="_PLD_a673f735c227445596d721043ded24e6"/>
                <w:id w:val="-1420247387"/>
              </w:sdtPr>
              <w:sdtContent>
                <w:tc>
                  <w:tcPr>
                    <w:tcW w:w="1722" w:type="dxa"/>
                    <w:tcBorders>
                      <w:top w:val="single" w:color="auto" w:sz="4" w:space="0"/>
                      <w:left w:val="single" w:color="auto" w:sz="4" w:space="0"/>
                      <w:bottom w:val="single" w:color="auto" w:sz="4" w:space="0"/>
                      <w:right w:val="single" w:color="auto" w:sz="4" w:space="0"/>
                    </w:tcBorders>
                    <w:vAlign w:val="center"/>
                  </w:tcPr>
                  <w:p w14:paraId="257E7819">
                    <w:pPr>
                      <w:jc w:val="center"/>
                      <w:rPr>
                        <w:rFonts w:ascii="Calibri" w:hAnsi="Calibri"/>
                        <w:sz w:val="20"/>
                        <w:szCs w:val="20"/>
                      </w:rPr>
                    </w:pPr>
                    <w:r>
                      <w:rPr>
                        <w:rFonts w:hint="eastAsia" w:ascii="Calibri" w:hAnsi="Calibri"/>
                        <w:sz w:val="20"/>
                        <w:szCs w:val="20"/>
                      </w:rPr>
                      <w:t>营业收入</w:t>
                    </w:r>
                  </w:p>
                </w:tc>
              </w:sdtContent>
            </w:sdt>
            <w:sdt>
              <w:sdtPr>
                <w:tag w:val="_PLD_dcb83a108df94ca4a331174deb896cdd"/>
                <w:id w:val="509795729"/>
              </w:sdtPr>
              <w:sdtContent>
                <w:tc>
                  <w:tcPr>
                    <w:tcW w:w="1720" w:type="dxa"/>
                    <w:tcBorders>
                      <w:top w:val="single" w:color="auto" w:sz="4" w:space="0"/>
                      <w:left w:val="single" w:color="auto" w:sz="4" w:space="0"/>
                      <w:bottom w:val="single" w:color="auto" w:sz="4" w:space="0"/>
                      <w:right w:val="single" w:color="auto" w:sz="4" w:space="0"/>
                    </w:tcBorders>
                    <w:vAlign w:val="center"/>
                  </w:tcPr>
                  <w:p w14:paraId="4E993E86">
                    <w:pPr>
                      <w:jc w:val="center"/>
                      <w:rPr>
                        <w:rFonts w:ascii="Calibri" w:hAnsi="Calibri"/>
                        <w:sz w:val="20"/>
                        <w:szCs w:val="20"/>
                      </w:rPr>
                    </w:pPr>
                    <w:r>
                      <w:rPr>
                        <w:rFonts w:hint="eastAsia" w:ascii="Calibri" w:hAnsi="Calibri"/>
                        <w:sz w:val="20"/>
                        <w:szCs w:val="20"/>
                      </w:rPr>
                      <w:t>营业成本</w:t>
                    </w:r>
                  </w:p>
                </w:tc>
              </w:sdtContent>
            </w:sdt>
          </w:tr>
          <w:tr w14:paraId="583C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Borders>
                  <w:top w:val="single" w:color="auto" w:sz="4" w:space="0"/>
                  <w:left w:val="single" w:color="auto" w:sz="4" w:space="0"/>
                  <w:bottom w:val="single" w:color="auto" w:sz="4" w:space="0"/>
                  <w:right w:val="single" w:color="auto" w:sz="4" w:space="0"/>
                </w:tcBorders>
                <w:vAlign w:val="center"/>
              </w:tcPr>
              <w:p w14:paraId="59E95F99">
                <w:pPr>
                  <w:pStyle w:val="48"/>
                  <w:rPr>
                    <w:sz w:val="20"/>
                    <w:szCs w:val="20"/>
                  </w:rPr>
                </w:pPr>
                <w:r>
                  <w:rPr>
                    <w:rFonts w:hint="eastAsia"/>
                    <w:sz w:val="20"/>
                    <w:szCs w:val="20"/>
                  </w:rPr>
                  <w:t>商品类型</w:t>
                </w:r>
              </w:p>
            </w:tc>
            <w:tc>
              <w:tcPr>
                <w:tcW w:w="1655" w:type="dxa"/>
                <w:tcBorders>
                  <w:top w:val="single" w:color="auto" w:sz="4" w:space="0"/>
                  <w:left w:val="single" w:color="auto" w:sz="4" w:space="0"/>
                  <w:bottom w:val="single" w:color="auto" w:sz="4" w:space="0"/>
                  <w:right w:val="single" w:color="auto" w:sz="4" w:space="0"/>
                </w:tcBorders>
                <w:vAlign w:val="center"/>
              </w:tcPr>
              <w:p w14:paraId="4A7E7050">
                <w:pPr>
                  <w:jc w:val="right"/>
                  <w:rPr>
                    <w:rFonts w:ascii="Calibri" w:hAnsi="Calibri"/>
                    <w:sz w:val="20"/>
                    <w:szCs w:val="20"/>
                  </w:rPr>
                </w:pPr>
                <w:r>
                  <w:rPr>
                    <w:rFonts w:hint="eastAsia" w:ascii="Calibri" w:hAnsi="Calibri"/>
                    <w:sz w:val="20"/>
                    <w:szCs w:val="20"/>
                  </w:rPr>
                  <w:t>　</w:t>
                </w:r>
              </w:p>
            </w:tc>
            <w:tc>
              <w:tcPr>
                <w:tcW w:w="1642" w:type="dxa"/>
                <w:tcBorders>
                  <w:top w:val="single" w:color="auto" w:sz="4" w:space="0"/>
                  <w:left w:val="single" w:color="auto" w:sz="4" w:space="0"/>
                  <w:bottom w:val="single" w:color="auto" w:sz="4" w:space="0"/>
                  <w:right w:val="single" w:color="auto" w:sz="4" w:space="0"/>
                </w:tcBorders>
                <w:vAlign w:val="center"/>
              </w:tcPr>
              <w:p w14:paraId="7F2DBB45">
                <w:pPr>
                  <w:jc w:val="right"/>
                  <w:rPr>
                    <w:rFonts w:ascii="Calibri" w:hAnsi="Calibri"/>
                    <w:sz w:val="20"/>
                    <w:szCs w:val="20"/>
                  </w:rPr>
                </w:pPr>
                <w:r>
                  <w:rPr>
                    <w:rFonts w:hint="eastAsia" w:ascii="Calibri" w:hAnsi="Calibri"/>
                    <w:sz w:val="20"/>
                    <w:szCs w:val="20"/>
                  </w:rPr>
                  <w:t>　</w:t>
                </w:r>
              </w:p>
            </w:tc>
            <w:tc>
              <w:tcPr>
                <w:tcW w:w="1722" w:type="dxa"/>
                <w:tcBorders>
                  <w:top w:val="single" w:color="auto" w:sz="4" w:space="0"/>
                  <w:left w:val="single" w:color="auto" w:sz="4" w:space="0"/>
                  <w:bottom w:val="single" w:color="auto" w:sz="4" w:space="0"/>
                  <w:right w:val="single" w:color="auto" w:sz="4" w:space="0"/>
                </w:tcBorders>
                <w:vAlign w:val="center"/>
              </w:tcPr>
              <w:p w14:paraId="518E9D3E">
                <w:pPr>
                  <w:jc w:val="right"/>
                  <w:rPr>
                    <w:rFonts w:ascii="Calibri" w:hAnsi="Calibri"/>
                    <w:sz w:val="20"/>
                    <w:szCs w:val="20"/>
                  </w:rPr>
                </w:pPr>
                <w:r>
                  <w:rPr>
                    <w:rFonts w:hint="eastAsia" w:ascii="Calibri" w:hAnsi="Calibri"/>
                    <w:sz w:val="20"/>
                    <w:szCs w:val="20"/>
                  </w:rPr>
                  <w:t>　</w:t>
                </w:r>
              </w:p>
            </w:tc>
            <w:tc>
              <w:tcPr>
                <w:tcW w:w="1720" w:type="dxa"/>
                <w:tcBorders>
                  <w:top w:val="single" w:color="auto" w:sz="4" w:space="0"/>
                  <w:left w:val="single" w:color="auto" w:sz="4" w:space="0"/>
                  <w:bottom w:val="single" w:color="auto" w:sz="4" w:space="0"/>
                  <w:right w:val="single" w:color="auto" w:sz="4" w:space="0"/>
                </w:tcBorders>
                <w:vAlign w:val="center"/>
              </w:tcPr>
              <w:p w14:paraId="730AADC2">
                <w:pPr>
                  <w:jc w:val="right"/>
                  <w:rPr>
                    <w:rFonts w:ascii="Calibri" w:hAnsi="Calibri"/>
                    <w:sz w:val="20"/>
                    <w:szCs w:val="20"/>
                  </w:rPr>
                </w:pPr>
                <w:r>
                  <w:rPr>
                    <w:rFonts w:hint="eastAsia" w:ascii="Calibri" w:hAnsi="Calibri"/>
                    <w:sz w:val="20"/>
                    <w:szCs w:val="20"/>
                  </w:rPr>
                  <w:t>　</w:t>
                </w:r>
              </w:p>
            </w:tc>
          </w:tr>
          <w:tr w14:paraId="0655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Borders>
                  <w:top w:val="single" w:color="auto" w:sz="4" w:space="0"/>
                  <w:left w:val="single" w:color="auto" w:sz="4" w:space="0"/>
                  <w:bottom w:val="single" w:color="auto" w:sz="4" w:space="0"/>
                  <w:right w:val="single" w:color="auto" w:sz="4" w:space="0"/>
                </w:tcBorders>
                <w:vAlign w:val="center"/>
              </w:tcPr>
              <w:p w14:paraId="196F9AB4">
                <w:pPr>
                  <w:ind w:firstLine="400" w:firstLineChars="200"/>
                  <w:rPr>
                    <w:rFonts w:ascii="Calibri" w:hAnsi="Calibri"/>
                    <w:sz w:val="20"/>
                    <w:szCs w:val="20"/>
                  </w:rPr>
                </w:pPr>
                <w:r>
                  <w:rPr>
                    <w:rFonts w:hint="eastAsia" w:ascii="Calibri" w:hAnsi="Calibri"/>
                    <w:sz w:val="20"/>
                    <w:szCs w:val="20"/>
                  </w:rPr>
                  <w:t>生物制品（原料药及制剂产品）</w:t>
                </w:r>
              </w:p>
            </w:tc>
            <w:tc>
              <w:tcPr>
                <w:tcW w:w="1655" w:type="dxa"/>
                <w:tcBorders>
                  <w:top w:val="single" w:color="auto" w:sz="4" w:space="0"/>
                  <w:left w:val="single" w:color="auto" w:sz="4" w:space="0"/>
                  <w:bottom w:val="single" w:color="auto" w:sz="4" w:space="0"/>
                  <w:right w:val="single" w:color="auto" w:sz="4" w:space="0"/>
                </w:tcBorders>
                <w:vAlign w:val="center"/>
              </w:tcPr>
              <w:p w14:paraId="4A6D523F">
                <w:pPr>
                  <w:jc w:val="right"/>
                  <w:rPr>
                    <w:rFonts w:ascii="Calibri" w:hAnsi="Calibri"/>
                    <w:sz w:val="20"/>
                    <w:szCs w:val="20"/>
                  </w:rPr>
                </w:pPr>
                <w:r>
                  <w:rPr>
                    <w:rFonts w:ascii="Calibri" w:hAnsi="Calibri"/>
                    <w:sz w:val="20"/>
                    <w:szCs w:val="20"/>
                  </w:rPr>
                  <w:t>2,652,151,195.21</w:t>
                </w:r>
              </w:p>
            </w:tc>
            <w:tc>
              <w:tcPr>
                <w:tcW w:w="1642" w:type="dxa"/>
                <w:tcBorders>
                  <w:top w:val="single" w:color="auto" w:sz="4" w:space="0"/>
                  <w:left w:val="single" w:color="auto" w:sz="4" w:space="0"/>
                  <w:bottom w:val="single" w:color="auto" w:sz="4" w:space="0"/>
                  <w:right w:val="single" w:color="auto" w:sz="4" w:space="0"/>
                </w:tcBorders>
                <w:vAlign w:val="center"/>
              </w:tcPr>
              <w:p w14:paraId="51671569">
                <w:pPr>
                  <w:jc w:val="right"/>
                  <w:rPr>
                    <w:rFonts w:ascii="Calibri" w:hAnsi="Calibri"/>
                    <w:sz w:val="20"/>
                    <w:szCs w:val="20"/>
                  </w:rPr>
                </w:pPr>
                <w:r>
                  <w:rPr>
                    <w:rFonts w:ascii="Calibri" w:hAnsi="Calibri"/>
                    <w:sz w:val="20"/>
                    <w:szCs w:val="20"/>
                  </w:rPr>
                  <w:t>724,499,111.66</w:t>
                </w:r>
              </w:p>
            </w:tc>
            <w:tc>
              <w:tcPr>
                <w:tcW w:w="1722" w:type="dxa"/>
                <w:tcBorders>
                  <w:top w:val="single" w:color="auto" w:sz="4" w:space="0"/>
                  <w:left w:val="single" w:color="auto" w:sz="4" w:space="0"/>
                  <w:bottom w:val="single" w:color="auto" w:sz="4" w:space="0"/>
                  <w:right w:val="single" w:color="auto" w:sz="4" w:space="0"/>
                </w:tcBorders>
                <w:vAlign w:val="center"/>
              </w:tcPr>
              <w:p w14:paraId="3A072694">
                <w:pPr>
                  <w:jc w:val="right"/>
                  <w:rPr>
                    <w:rFonts w:ascii="Calibri" w:hAnsi="Calibri"/>
                    <w:sz w:val="20"/>
                    <w:szCs w:val="20"/>
                  </w:rPr>
                </w:pPr>
                <w:r>
                  <w:rPr>
                    <w:rFonts w:ascii="Calibri" w:hAnsi="Calibri"/>
                    <w:sz w:val="20"/>
                    <w:szCs w:val="20"/>
                  </w:rPr>
                  <w:t>2,652,151,195.21</w:t>
                </w:r>
              </w:p>
            </w:tc>
            <w:tc>
              <w:tcPr>
                <w:tcW w:w="1720" w:type="dxa"/>
                <w:tcBorders>
                  <w:top w:val="single" w:color="auto" w:sz="4" w:space="0"/>
                  <w:left w:val="single" w:color="auto" w:sz="4" w:space="0"/>
                  <w:bottom w:val="single" w:color="auto" w:sz="4" w:space="0"/>
                  <w:right w:val="single" w:color="auto" w:sz="4" w:space="0"/>
                </w:tcBorders>
                <w:vAlign w:val="center"/>
              </w:tcPr>
              <w:p w14:paraId="33FB1CB6">
                <w:pPr>
                  <w:jc w:val="right"/>
                  <w:rPr>
                    <w:rFonts w:ascii="Calibri" w:hAnsi="Calibri"/>
                    <w:sz w:val="20"/>
                    <w:szCs w:val="20"/>
                  </w:rPr>
                </w:pPr>
                <w:r>
                  <w:rPr>
                    <w:rFonts w:ascii="Calibri" w:hAnsi="Calibri"/>
                    <w:sz w:val="20"/>
                    <w:szCs w:val="20"/>
                  </w:rPr>
                  <w:t>724,499,111.66</w:t>
                </w:r>
              </w:p>
            </w:tc>
          </w:tr>
          <w:tr w14:paraId="79C5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Borders>
                  <w:top w:val="single" w:color="auto" w:sz="4" w:space="0"/>
                  <w:left w:val="single" w:color="auto" w:sz="4" w:space="0"/>
                  <w:bottom w:val="single" w:color="auto" w:sz="4" w:space="0"/>
                  <w:right w:val="single" w:color="auto" w:sz="4" w:space="0"/>
                </w:tcBorders>
                <w:vAlign w:val="center"/>
              </w:tcPr>
              <w:p w14:paraId="4FE29745">
                <w:pPr>
                  <w:ind w:firstLine="400" w:firstLineChars="200"/>
                  <w:rPr>
                    <w:rFonts w:ascii="Calibri" w:hAnsi="Calibri"/>
                    <w:sz w:val="20"/>
                    <w:szCs w:val="20"/>
                  </w:rPr>
                </w:pPr>
                <w:r>
                  <w:rPr>
                    <w:rFonts w:hint="eastAsia" w:ascii="Calibri" w:hAnsi="Calibri"/>
                    <w:sz w:val="20"/>
                    <w:szCs w:val="20"/>
                  </w:rPr>
                  <w:t>注射用笔、血糖试纸等医疗器械</w:t>
                </w:r>
              </w:p>
            </w:tc>
            <w:tc>
              <w:tcPr>
                <w:tcW w:w="1655" w:type="dxa"/>
                <w:tcBorders>
                  <w:top w:val="single" w:color="auto" w:sz="4" w:space="0"/>
                  <w:left w:val="single" w:color="auto" w:sz="4" w:space="0"/>
                  <w:bottom w:val="single" w:color="auto" w:sz="4" w:space="0"/>
                  <w:right w:val="single" w:color="auto" w:sz="4" w:space="0"/>
                </w:tcBorders>
                <w:vAlign w:val="center"/>
              </w:tcPr>
              <w:p w14:paraId="31D251E8">
                <w:pPr>
                  <w:jc w:val="right"/>
                  <w:rPr>
                    <w:rFonts w:ascii="Calibri" w:hAnsi="Calibri"/>
                    <w:sz w:val="20"/>
                    <w:szCs w:val="20"/>
                  </w:rPr>
                </w:pPr>
                <w:r>
                  <w:rPr>
                    <w:rFonts w:ascii="Calibri" w:hAnsi="Calibri"/>
                    <w:sz w:val="20"/>
                    <w:szCs w:val="20"/>
                  </w:rPr>
                  <w:t>159,314,440.90</w:t>
                </w:r>
              </w:p>
            </w:tc>
            <w:tc>
              <w:tcPr>
                <w:tcW w:w="1642" w:type="dxa"/>
                <w:tcBorders>
                  <w:top w:val="single" w:color="auto" w:sz="4" w:space="0"/>
                  <w:left w:val="single" w:color="auto" w:sz="4" w:space="0"/>
                  <w:bottom w:val="single" w:color="auto" w:sz="4" w:space="0"/>
                  <w:right w:val="single" w:color="auto" w:sz="4" w:space="0"/>
                </w:tcBorders>
                <w:vAlign w:val="center"/>
              </w:tcPr>
              <w:p w14:paraId="35AD03A4">
                <w:pPr>
                  <w:jc w:val="right"/>
                  <w:rPr>
                    <w:rFonts w:ascii="Calibri" w:hAnsi="Calibri"/>
                    <w:sz w:val="20"/>
                    <w:szCs w:val="20"/>
                  </w:rPr>
                </w:pPr>
                <w:r>
                  <w:rPr>
                    <w:rFonts w:ascii="Calibri" w:hAnsi="Calibri"/>
                    <w:sz w:val="20"/>
                    <w:szCs w:val="20"/>
                  </w:rPr>
                  <w:t>77,989,009.12</w:t>
                </w:r>
              </w:p>
            </w:tc>
            <w:tc>
              <w:tcPr>
                <w:tcW w:w="1722" w:type="dxa"/>
                <w:tcBorders>
                  <w:top w:val="single" w:color="auto" w:sz="4" w:space="0"/>
                  <w:left w:val="single" w:color="auto" w:sz="4" w:space="0"/>
                  <w:bottom w:val="single" w:color="auto" w:sz="4" w:space="0"/>
                  <w:right w:val="single" w:color="auto" w:sz="4" w:space="0"/>
                </w:tcBorders>
                <w:vAlign w:val="center"/>
              </w:tcPr>
              <w:p w14:paraId="7C8AFED9">
                <w:pPr>
                  <w:jc w:val="right"/>
                  <w:rPr>
                    <w:rFonts w:ascii="Calibri" w:hAnsi="Calibri"/>
                    <w:sz w:val="20"/>
                    <w:szCs w:val="20"/>
                  </w:rPr>
                </w:pPr>
                <w:r>
                  <w:rPr>
                    <w:rFonts w:ascii="Calibri" w:hAnsi="Calibri"/>
                    <w:sz w:val="20"/>
                    <w:szCs w:val="20"/>
                  </w:rPr>
                  <w:t>159,314,440.90</w:t>
                </w:r>
              </w:p>
            </w:tc>
            <w:tc>
              <w:tcPr>
                <w:tcW w:w="1720" w:type="dxa"/>
                <w:tcBorders>
                  <w:top w:val="single" w:color="auto" w:sz="4" w:space="0"/>
                  <w:left w:val="single" w:color="auto" w:sz="4" w:space="0"/>
                  <w:bottom w:val="single" w:color="auto" w:sz="4" w:space="0"/>
                  <w:right w:val="single" w:color="auto" w:sz="4" w:space="0"/>
                </w:tcBorders>
                <w:vAlign w:val="center"/>
              </w:tcPr>
              <w:p w14:paraId="0A85AFC5">
                <w:pPr>
                  <w:jc w:val="right"/>
                  <w:rPr>
                    <w:rFonts w:ascii="Calibri" w:hAnsi="Calibri"/>
                    <w:sz w:val="20"/>
                    <w:szCs w:val="20"/>
                  </w:rPr>
                </w:pPr>
                <w:r>
                  <w:rPr>
                    <w:rFonts w:ascii="Calibri" w:hAnsi="Calibri"/>
                    <w:sz w:val="20"/>
                    <w:szCs w:val="20"/>
                  </w:rPr>
                  <w:t>77,989,009.12</w:t>
                </w:r>
              </w:p>
            </w:tc>
          </w:tr>
          <w:tr w14:paraId="67B7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Borders>
                  <w:top w:val="single" w:color="auto" w:sz="4" w:space="0"/>
                  <w:left w:val="single" w:color="auto" w:sz="4" w:space="0"/>
                  <w:bottom w:val="single" w:color="auto" w:sz="4" w:space="0"/>
                  <w:right w:val="single" w:color="auto" w:sz="4" w:space="0"/>
                </w:tcBorders>
                <w:vAlign w:val="center"/>
              </w:tcPr>
              <w:p w14:paraId="38F1D9F9">
                <w:pPr>
                  <w:ind w:firstLine="400" w:firstLineChars="200"/>
                  <w:rPr>
                    <w:rFonts w:ascii="Calibri" w:hAnsi="Calibri"/>
                    <w:sz w:val="20"/>
                    <w:szCs w:val="20"/>
                  </w:rPr>
                </w:pPr>
                <w:r>
                  <w:rPr>
                    <w:rFonts w:hint="eastAsia" w:ascii="Calibri" w:hAnsi="Calibri"/>
                    <w:sz w:val="20"/>
                    <w:szCs w:val="20"/>
                  </w:rPr>
                  <w:t>中成药和化药</w:t>
                </w:r>
              </w:p>
            </w:tc>
            <w:tc>
              <w:tcPr>
                <w:tcW w:w="1655" w:type="dxa"/>
                <w:tcBorders>
                  <w:top w:val="single" w:color="auto" w:sz="4" w:space="0"/>
                  <w:left w:val="single" w:color="auto" w:sz="4" w:space="0"/>
                  <w:bottom w:val="single" w:color="auto" w:sz="4" w:space="0"/>
                  <w:right w:val="single" w:color="auto" w:sz="4" w:space="0"/>
                </w:tcBorders>
                <w:vAlign w:val="center"/>
              </w:tcPr>
              <w:p w14:paraId="4D314C11">
                <w:pPr>
                  <w:jc w:val="right"/>
                  <w:rPr>
                    <w:rFonts w:ascii="Calibri" w:hAnsi="Calibri"/>
                    <w:sz w:val="20"/>
                    <w:szCs w:val="20"/>
                  </w:rPr>
                </w:pPr>
                <w:r>
                  <w:rPr>
                    <w:rFonts w:ascii="Calibri" w:hAnsi="Calibri"/>
                    <w:sz w:val="20"/>
                    <w:szCs w:val="20"/>
                  </w:rPr>
                  <w:t>70,950,253.47</w:t>
                </w:r>
              </w:p>
            </w:tc>
            <w:tc>
              <w:tcPr>
                <w:tcW w:w="1642" w:type="dxa"/>
                <w:tcBorders>
                  <w:top w:val="single" w:color="auto" w:sz="4" w:space="0"/>
                  <w:left w:val="single" w:color="auto" w:sz="4" w:space="0"/>
                  <w:bottom w:val="single" w:color="auto" w:sz="4" w:space="0"/>
                  <w:right w:val="single" w:color="auto" w:sz="4" w:space="0"/>
                </w:tcBorders>
                <w:vAlign w:val="center"/>
              </w:tcPr>
              <w:p w14:paraId="2A06C1C6">
                <w:pPr>
                  <w:jc w:val="right"/>
                  <w:rPr>
                    <w:rFonts w:ascii="Calibri" w:hAnsi="Calibri"/>
                    <w:sz w:val="20"/>
                    <w:szCs w:val="20"/>
                  </w:rPr>
                </w:pPr>
                <w:r>
                  <w:rPr>
                    <w:rFonts w:ascii="Calibri" w:hAnsi="Calibri"/>
                    <w:sz w:val="20"/>
                    <w:szCs w:val="20"/>
                  </w:rPr>
                  <w:t>45,903,136.04</w:t>
                </w:r>
              </w:p>
            </w:tc>
            <w:tc>
              <w:tcPr>
                <w:tcW w:w="1722" w:type="dxa"/>
                <w:tcBorders>
                  <w:top w:val="single" w:color="auto" w:sz="4" w:space="0"/>
                  <w:left w:val="single" w:color="auto" w:sz="4" w:space="0"/>
                  <w:bottom w:val="single" w:color="auto" w:sz="4" w:space="0"/>
                  <w:right w:val="single" w:color="auto" w:sz="4" w:space="0"/>
                </w:tcBorders>
                <w:vAlign w:val="center"/>
              </w:tcPr>
              <w:p w14:paraId="12C62B25">
                <w:pPr>
                  <w:jc w:val="right"/>
                  <w:rPr>
                    <w:rFonts w:ascii="Calibri" w:hAnsi="Calibri"/>
                    <w:sz w:val="20"/>
                    <w:szCs w:val="20"/>
                  </w:rPr>
                </w:pPr>
                <w:r>
                  <w:rPr>
                    <w:rFonts w:ascii="Calibri" w:hAnsi="Calibri"/>
                    <w:sz w:val="20"/>
                    <w:szCs w:val="20"/>
                  </w:rPr>
                  <w:t>70,950,253.47</w:t>
                </w:r>
              </w:p>
            </w:tc>
            <w:tc>
              <w:tcPr>
                <w:tcW w:w="1720" w:type="dxa"/>
                <w:tcBorders>
                  <w:top w:val="single" w:color="auto" w:sz="4" w:space="0"/>
                  <w:left w:val="single" w:color="auto" w:sz="4" w:space="0"/>
                  <w:bottom w:val="single" w:color="auto" w:sz="4" w:space="0"/>
                  <w:right w:val="single" w:color="auto" w:sz="4" w:space="0"/>
                </w:tcBorders>
                <w:vAlign w:val="center"/>
              </w:tcPr>
              <w:p w14:paraId="06530EB0">
                <w:pPr>
                  <w:jc w:val="right"/>
                  <w:rPr>
                    <w:rFonts w:ascii="Calibri" w:hAnsi="Calibri"/>
                    <w:sz w:val="20"/>
                    <w:szCs w:val="20"/>
                  </w:rPr>
                </w:pPr>
                <w:r>
                  <w:rPr>
                    <w:rFonts w:ascii="Calibri" w:hAnsi="Calibri"/>
                    <w:sz w:val="20"/>
                    <w:szCs w:val="20"/>
                  </w:rPr>
                  <w:t>45,903,136.04</w:t>
                </w:r>
              </w:p>
            </w:tc>
          </w:tr>
          <w:tr w14:paraId="36FA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Borders>
                  <w:top w:val="single" w:color="auto" w:sz="4" w:space="0"/>
                  <w:left w:val="single" w:color="auto" w:sz="4" w:space="0"/>
                  <w:bottom w:val="single" w:color="auto" w:sz="4" w:space="0"/>
                  <w:right w:val="single" w:color="auto" w:sz="4" w:space="0"/>
                </w:tcBorders>
                <w:vAlign w:val="center"/>
              </w:tcPr>
              <w:p w14:paraId="2CB6704D">
                <w:pPr>
                  <w:jc w:val="center"/>
                  <w:rPr>
                    <w:rFonts w:ascii="Calibri" w:hAnsi="Calibri"/>
                    <w:sz w:val="20"/>
                    <w:szCs w:val="20"/>
                  </w:rPr>
                </w:pPr>
                <w:r>
                  <w:rPr>
                    <w:rFonts w:hint="eastAsia" w:ascii="Calibri" w:hAnsi="Calibri"/>
                    <w:sz w:val="20"/>
                    <w:szCs w:val="20"/>
                  </w:rPr>
                  <w:t>合计</w:t>
                </w:r>
              </w:p>
            </w:tc>
            <w:tc>
              <w:tcPr>
                <w:tcW w:w="1655" w:type="dxa"/>
                <w:tcBorders>
                  <w:top w:val="single" w:color="auto" w:sz="4" w:space="0"/>
                  <w:left w:val="single" w:color="auto" w:sz="4" w:space="0"/>
                  <w:bottom w:val="single" w:color="auto" w:sz="4" w:space="0"/>
                  <w:right w:val="single" w:color="auto" w:sz="4" w:space="0"/>
                </w:tcBorders>
                <w:vAlign w:val="center"/>
              </w:tcPr>
              <w:p w14:paraId="0D71AD3F">
                <w:pPr>
                  <w:jc w:val="right"/>
                  <w:rPr>
                    <w:rFonts w:ascii="Calibri" w:hAnsi="Calibri"/>
                    <w:sz w:val="20"/>
                    <w:szCs w:val="20"/>
                  </w:rPr>
                </w:pPr>
                <w:r>
                  <w:rPr>
                    <w:rFonts w:ascii="Calibri" w:hAnsi="Calibri"/>
                    <w:sz w:val="20"/>
                    <w:szCs w:val="20"/>
                  </w:rPr>
                  <w:t>2,882,415,889.58</w:t>
                </w:r>
              </w:p>
            </w:tc>
            <w:tc>
              <w:tcPr>
                <w:tcW w:w="1642" w:type="dxa"/>
                <w:tcBorders>
                  <w:top w:val="single" w:color="auto" w:sz="4" w:space="0"/>
                  <w:left w:val="single" w:color="auto" w:sz="4" w:space="0"/>
                  <w:bottom w:val="single" w:color="auto" w:sz="4" w:space="0"/>
                  <w:right w:val="single" w:color="auto" w:sz="4" w:space="0"/>
                </w:tcBorders>
                <w:vAlign w:val="center"/>
              </w:tcPr>
              <w:p w14:paraId="7A59F84C">
                <w:pPr>
                  <w:jc w:val="right"/>
                  <w:rPr>
                    <w:rFonts w:ascii="Calibri" w:hAnsi="Calibri"/>
                    <w:sz w:val="20"/>
                    <w:szCs w:val="20"/>
                  </w:rPr>
                </w:pPr>
                <w:r>
                  <w:rPr>
                    <w:rFonts w:ascii="Calibri" w:hAnsi="Calibri"/>
                    <w:sz w:val="20"/>
                    <w:szCs w:val="20"/>
                  </w:rPr>
                  <w:t>848,391,256.82</w:t>
                </w:r>
              </w:p>
            </w:tc>
            <w:tc>
              <w:tcPr>
                <w:tcW w:w="1722" w:type="dxa"/>
                <w:tcBorders>
                  <w:top w:val="single" w:color="auto" w:sz="4" w:space="0"/>
                  <w:left w:val="single" w:color="auto" w:sz="4" w:space="0"/>
                  <w:bottom w:val="single" w:color="auto" w:sz="4" w:space="0"/>
                  <w:right w:val="single" w:color="auto" w:sz="4" w:space="0"/>
                </w:tcBorders>
                <w:vAlign w:val="center"/>
              </w:tcPr>
              <w:p w14:paraId="7E5C11C2">
                <w:pPr>
                  <w:jc w:val="right"/>
                  <w:rPr>
                    <w:rFonts w:ascii="Calibri" w:hAnsi="Calibri"/>
                    <w:sz w:val="20"/>
                    <w:szCs w:val="20"/>
                  </w:rPr>
                </w:pPr>
                <w:r>
                  <w:rPr>
                    <w:rFonts w:ascii="Calibri" w:hAnsi="Calibri"/>
                    <w:sz w:val="20"/>
                    <w:szCs w:val="20"/>
                  </w:rPr>
                  <w:t>2,882,415,889.58</w:t>
                </w:r>
              </w:p>
            </w:tc>
            <w:tc>
              <w:tcPr>
                <w:tcW w:w="1720" w:type="dxa"/>
                <w:tcBorders>
                  <w:top w:val="single" w:color="auto" w:sz="4" w:space="0"/>
                  <w:left w:val="single" w:color="auto" w:sz="4" w:space="0"/>
                  <w:bottom w:val="single" w:color="auto" w:sz="4" w:space="0"/>
                  <w:right w:val="single" w:color="auto" w:sz="4" w:space="0"/>
                </w:tcBorders>
                <w:vAlign w:val="center"/>
              </w:tcPr>
              <w:p w14:paraId="589BE804">
                <w:pPr>
                  <w:jc w:val="right"/>
                  <w:rPr>
                    <w:rFonts w:ascii="Calibri" w:hAnsi="Calibri"/>
                    <w:sz w:val="20"/>
                    <w:szCs w:val="20"/>
                  </w:rPr>
                </w:pPr>
                <w:r>
                  <w:rPr>
                    <w:rFonts w:ascii="Calibri" w:hAnsi="Calibri"/>
                    <w:sz w:val="20"/>
                    <w:szCs w:val="20"/>
                  </w:rPr>
                  <w:t>848,391,256.82</w:t>
                </w:r>
              </w:p>
            </w:tc>
          </w:tr>
        </w:tbl>
        <w:p w14:paraId="4C91F8C2"/>
        <w:p w14:paraId="72B9D6DB">
          <w:pPr>
            <w:pStyle w:val="48"/>
          </w:pPr>
          <w:r>
            <w:rPr>
              <w:rFonts w:hint="eastAsia"/>
            </w:rPr>
            <w:t>其他说明：</w:t>
          </w:r>
        </w:p>
        <w:sdt>
          <w:sdtPr>
            <w:alias w:val="是否适用：母公司营业收入、营业成本的分解信息说明 [双击切换]"/>
            <w:tag w:val="_GBC_579e9b003cbd4b94a5da57be65a206f7"/>
            <w:id w:val="-1313781669"/>
            <w:placeholder>
              <w:docPart w:val="GBC22222222222222222222222222222"/>
            </w:placeholder>
          </w:sdtPr>
          <w:sdtContent>
            <w:p w14:paraId="2C357DF9">
              <w:pPr>
                <w:pStyle w:val="48"/>
                <w:rPr>
                  <w:color w:val="000000" w:themeColor="text1"/>
                  <w14:textFill>
                    <w14:solidFill>
                      <w14:schemeClr w14:val="tx1"/>
                    </w14:solidFill>
                  </w14:textFil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CA5D75C">
          <w:pPr>
            <w:rPr>
              <w:color w:val="000000" w:themeColor="text1"/>
              <w14:textFill>
                <w14:solidFill>
                  <w14:schemeClr w14:val="tx1"/>
                </w14:solidFill>
              </w14:textFill>
            </w:rPr>
          </w:pPr>
        </w:p>
      </w:sdtContent>
    </w:sdt>
    <w:bookmarkEnd w:id="424"/>
    <w:p w14:paraId="076BD83C">
      <w:pPr>
        <w:pStyle w:val="5"/>
        <w:numPr>
          <w:ilvl w:val="0"/>
          <w:numId w:val="132"/>
        </w:numPr>
      </w:pPr>
      <w:bookmarkStart w:id="426" w:name="_Hlk155961563"/>
      <w:r>
        <w:rPr>
          <w:rFonts w:hint="eastAsia"/>
        </w:rPr>
        <w:t>履约义务的说明</w:t>
      </w:r>
    </w:p>
    <w:sdt>
      <w:sdtPr>
        <w:alias w:val="是否适用：履约义务的说明[双击切换]"/>
        <w:tag w:val="_GBC_0b818a1fe50c41248e0bae7b16db682e"/>
        <w:id w:val="1692494487"/>
        <w:placeholder>
          <w:docPart w:val="GBC22222222222222222222222222222"/>
        </w:placeholder>
      </w:sdtPr>
      <w:sdtContent>
        <w:p w14:paraId="1AE562BF">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C238557">
      <w:pPr>
        <w:pStyle w:val="48"/>
      </w:pPr>
    </w:p>
    <w:bookmarkEnd w:id="425"/>
    <w:bookmarkEnd w:id="426"/>
    <w:p w14:paraId="64E4B2D8">
      <w:pPr>
        <w:pStyle w:val="5"/>
        <w:numPr>
          <w:ilvl w:val="0"/>
          <w:numId w:val="132"/>
        </w:numPr>
      </w:pPr>
      <w:bookmarkStart w:id="427" w:name="_Hlk533798958"/>
      <w:r>
        <w:rPr>
          <w:rFonts w:hint="eastAsia"/>
        </w:rPr>
        <w:t>分摊至剩余履约义务的说明</w:t>
      </w:r>
    </w:p>
    <w:sdt>
      <w:sdtPr>
        <w:alias w:val="是否适用：母公司分摊至剩余履约义务的说明[双击切换]"/>
        <w:tag w:val="_GBC_7f0a9adae5ea4624a849a396f1ce90b1"/>
        <w:id w:val="266199543"/>
        <w:placeholder>
          <w:docPart w:val="GBC22222222222222222222222222222"/>
        </w:placeholder>
      </w:sdtPr>
      <w:sdtContent>
        <w:p w14:paraId="6F7BAA1C">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C50A70">
      <w:pPr>
        <w:pStyle w:val="48"/>
      </w:pPr>
    </w:p>
    <w:p w14:paraId="72318318">
      <w:pPr>
        <w:rPr>
          <w:rFonts w:ascii="Arial" w:hAnsi="Arial"/>
        </w:rPr>
      </w:pPr>
    </w:p>
    <w:bookmarkEnd w:id="427"/>
    <w:p w14:paraId="5EC8606D">
      <w:pPr>
        <w:pStyle w:val="5"/>
        <w:numPr>
          <w:ilvl w:val="0"/>
          <w:numId w:val="132"/>
        </w:numPr>
      </w:pPr>
      <w:bookmarkStart w:id="428" w:name="_Hlk153798573"/>
      <w:r>
        <w:rPr>
          <w:rFonts w:hint="eastAsia"/>
        </w:rPr>
        <w:t>重大合同变更或重大交易价格调整</w:t>
      </w:r>
    </w:p>
    <w:sdt>
      <w:sdtPr>
        <w:alias w:val="是否适用：母公司重大合同变更或重大交易价格调整[双击切换]"/>
        <w:tag w:val="_GBC_df0026b6a6ff4f0a99c85462586d2446"/>
        <w:id w:val="1284467065"/>
        <w:placeholder>
          <w:docPart w:val="GBC22222222222222222222222222222"/>
        </w:placeholder>
      </w:sdtPr>
      <w:sdtContent>
        <w:p w14:paraId="29E16E70">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428"/>
    <w:p w14:paraId="0282989A">
      <w:pPr>
        <w:pStyle w:val="48"/>
      </w:pPr>
      <w:bookmarkStart w:id="429" w:name="_Hlk533798751"/>
    </w:p>
    <w:p w14:paraId="5EBD2810">
      <w:pPr>
        <w:pStyle w:val="48"/>
      </w:pPr>
    </w:p>
    <w:bookmarkEnd w:id="429"/>
    <w:p w14:paraId="75ABFABA">
      <w:pPr>
        <w:pStyle w:val="4"/>
        <w:numPr>
          <w:ilvl w:val="0"/>
          <w:numId w:val="126"/>
        </w:numPr>
      </w:pPr>
      <w:bookmarkStart w:id="430" w:name="OLE_LINK6"/>
      <w:bookmarkStart w:id="431" w:name="_Hlk10548739"/>
      <w:bookmarkStart w:id="432" w:name="_Hlk24031063"/>
      <w:r>
        <w:rPr>
          <w:rFonts w:hint="eastAsia" w:ascii="宋体" w:hAnsi="宋体"/>
          <w:szCs w:val="21"/>
        </w:rPr>
        <w:t>投资收益</w:t>
      </w:r>
      <w:bookmarkEnd w:id="430"/>
    </w:p>
    <w:sdt>
      <w:sdtPr>
        <w:alias w:val="是否适用：母公司投资收益[双击切换]"/>
        <w:tag w:val="_GBC_c2bb46ec06e343088b38ac6340f45fb2"/>
        <w:id w:val="-2060157126"/>
        <w:placeholder>
          <w:docPart w:val="GBC22222222222222222222222222222"/>
        </w:placeholder>
      </w:sdtPr>
      <w:sdtContent>
        <w:p w14:paraId="65779BD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783B2C6">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10736240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19731773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3"/>
        <w:gridCol w:w="2521"/>
        <w:gridCol w:w="2703"/>
      </w:tblGrid>
      <w:tr w14:paraId="191F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07ed5c985ab48c59a18c2d57dd68c9c"/>
            <w:id w:val="-1682499681"/>
          </w:sdtPr>
          <w:sdtContent>
            <w:tc>
              <w:tcPr>
                <w:tcW w:w="3823" w:type="dxa"/>
                <w:vAlign w:val="center"/>
              </w:tcPr>
              <w:p w14:paraId="47B25D5F">
                <w:pPr>
                  <w:ind w:left="420" w:hanging="420"/>
                  <w:jc w:val="center"/>
                  <w:rPr>
                    <w:rFonts w:ascii="Calibri" w:hAnsi="Calibri"/>
                    <w:sz w:val="20"/>
                    <w:szCs w:val="20"/>
                  </w:rPr>
                </w:pPr>
                <w:bookmarkStart w:id="433" w:name="_Hlk24031106"/>
                <w:r>
                  <w:rPr>
                    <w:rFonts w:hint="eastAsia" w:ascii="Calibri" w:hAnsi="Calibri"/>
                    <w:sz w:val="20"/>
                    <w:szCs w:val="20"/>
                  </w:rPr>
                  <w:t>项目</w:t>
                </w:r>
              </w:p>
            </w:tc>
          </w:sdtContent>
        </w:sdt>
        <w:sdt>
          <w:sdtPr>
            <w:tag w:val="_PLD_47187d04b5814de2ac4d8e7ab7f3dcf5"/>
            <w:id w:val="2010015781"/>
          </w:sdtPr>
          <w:sdtContent>
            <w:tc>
              <w:tcPr>
                <w:tcW w:w="2521" w:type="dxa"/>
                <w:vAlign w:val="center"/>
              </w:tcPr>
              <w:p w14:paraId="3BCC283B">
                <w:pPr>
                  <w:jc w:val="center"/>
                  <w:rPr>
                    <w:rFonts w:ascii="Calibri" w:hAnsi="Calibri"/>
                    <w:sz w:val="20"/>
                    <w:szCs w:val="20"/>
                  </w:rPr>
                </w:pPr>
                <w:r>
                  <w:rPr>
                    <w:rFonts w:hint="eastAsia" w:ascii="Calibri" w:hAnsi="Calibri"/>
                    <w:sz w:val="20"/>
                    <w:szCs w:val="20"/>
                  </w:rPr>
                  <w:t>本期发生额</w:t>
                </w:r>
              </w:p>
            </w:tc>
          </w:sdtContent>
        </w:sdt>
        <w:sdt>
          <w:sdtPr>
            <w:tag w:val="_PLD_9b38c11702ff453c93beb78507ab4be2"/>
            <w:id w:val="-1321114367"/>
          </w:sdtPr>
          <w:sdtContent>
            <w:tc>
              <w:tcPr>
                <w:tcW w:w="2703" w:type="dxa"/>
                <w:vAlign w:val="center"/>
              </w:tcPr>
              <w:p w14:paraId="2D0912E6">
                <w:pPr>
                  <w:jc w:val="center"/>
                  <w:rPr>
                    <w:rFonts w:ascii="Calibri" w:hAnsi="Calibri"/>
                    <w:sz w:val="20"/>
                    <w:szCs w:val="20"/>
                  </w:rPr>
                </w:pPr>
                <w:r>
                  <w:rPr>
                    <w:rFonts w:hint="eastAsia" w:ascii="Calibri" w:hAnsi="Calibri"/>
                    <w:sz w:val="20"/>
                    <w:szCs w:val="20"/>
                  </w:rPr>
                  <w:t>上期发生额</w:t>
                </w:r>
              </w:p>
            </w:tc>
          </w:sdtContent>
        </w:sdt>
      </w:tr>
      <w:tr w14:paraId="540B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146D8C38">
            <w:pPr>
              <w:pStyle w:val="48"/>
              <w:rPr>
                <w:sz w:val="20"/>
                <w:szCs w:val="20"/>
              </w:rPr>
            </w:pPr>
            <w:r>
              <w:rPr>
                <w:sz w:val="20"/>
                <w:szCs w:val="20"/>
              </w:rPr>
              <w:t>成本法核算的长期股权投资收益</w:t>
            </w:r>
          </w:p>
        </w:tc>
        <w:tc>
          <w:tcPr>
            <w:tcW w:w="2521" w:type="dxa"/>
            <w:vAlign w:val="center"/>
          </w:tcPr>
          <w:p w14:paraId="00337006">
            <w:pPr>
              <w:jc w:val="right"/>
              <w:rPr>
                <w:rFonts w:ascii="Calibri" w:hAnsi="Calibri"/>
                <w:sz w:val="20"/>
                <w:szCs w:val="20"/>
              </w:rPr>
            </w:pPr>
          </w:p>
        </w:tc>
        <w:tc>
          <w:tcPr>
            <w:tcW w:w="2703" w:type="dxa"/>
            <w:vAlign w:val="center"/>
          </w:tcPr>
          <w:p w14:paraId="6EA54A86">
            <w:pPr>
              <w:jc w:val="right"/>
              <w:rPr>
                <w:rFonts w:ascii="Calibri" w:hAnsi="Calibri"/>
                <w:sz w:val="20"/>
                <w:szCs w:val="20"/>
              </w:rPr>
            </w:pPr>
          </w:p>
        </w:tc>
      </w:tr>
      <w:tr w14:paraId="5FFB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273475B3">
            <w:pPr>
              <w:pStyle w:val="48"/>
              <w:rPr>
                <w:sz w:val="20"/>
                <w:szCs w:val="20"/>
              </w:rPr>
            </w:pPr>
            <w:r>
              <w:rPr>
                <w:rFonts w:hint="eastAsia"/>
                <w:sz w:val="20"/>
                <w:szCs w:val="20"/>
              </w:rPr>
              <w:t>权益法核算的长期股权投资收益</w:t>
            </w:r>
          </w:p>
        </w:tc>
        <w:tc>
          <w:tcPr>
            <w:tcW w:w="2521" w:type="dxa"/>
            <w:vAlign w:val="center"/>
          </w:tcPr>
          <w:p w14:paraId="5897AC94">
            <w:pPr>
              <w:jc w:val="right"/>
              <w:rPr>
                <w:rFonts w:ascii="Calibri" w:hAnsi="Calibri"/>
                <w:sz w:val="20"/>
                <w:szCs w:val="20"/>
              </w:rPr>
            </w:pPr>
            <w:r>
              <w:rPr>
                <w:rFonts w:ascii="Calibri" w:hAnsi="Calibri"/>
                <w:sz w:val="20"/>
                <w:szCs w:val="20"/>
              </w:rPr>
              <w:t>79,358,231.64</w:t>
            </w:r>
          </w:p>
        </w:tc>
        <w:tc>
          <w:tcPr>
            <w:tcW w:w="2703" w:type="dxa"/>
            <w:vAlign w:val="center"/>
          </w:tcPr>
          <w:p w14:paraId="2E44CD67">
            <w:pPr>
              <w:jc w:val="right"/>
              <w:rPr>
                <w:rFonts w:ascii="Calibri" w:hAnsi="Calibri"/>
                <w:sz w:val="20"/>
                <w:szCs w:val="20"/>
              </w:rPr>
            </w:pPr>
            <w:r>
              <w:rPr>
                <w:rFonts w:ascii="Calibri" w:hAnsi="Calibri"/>
                <w:sz w:val="20"/>
                <w:szCs w:val="20"/>
              </w:rPr>
              <w:t>122,210,072.71</w:t>
            </w:r>
          </w:p>
        </w:tc>
      </w:tr>
      <w:tr w14:paraId="3E5F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33831917">
            <w:pPr>
              <w:pStyle w:val="48"/>
              <w:rPr>
                <w:sz w:val="20"/>
                <w:szCs w:val="20"/>
              </w:rPr>
            </w:pPr>
            <w:r>
              <w:rPr>
                <w:rFonts w:hint="eastAsia"/>
                <w:sz w:val="20"/>
                <w:szCs w:val="20"/>
              </w:rPr>
              <w:t>处置长期股权投资产生的投资收益</w:t>
            </w:r>
          </w:p>
        </w:tc>
        <w:tc>
          <w:tcPr>
            <w:tcW w:w="2521" w:type="dxa"/>
            <w:vAlign w:val="center"/>
          </w:tcPr>
          <w:p w14:paraId="7EA0F9A7">
            <w:pPr>
              <w:jc w:val="right"/>
              <w:rPr>
                <w:rFonts w:ascii="Calibri" w:hAnsi="Calibri"/>
                <w:sz w:val="20"/>
                <w:szCs w:val="20"/>
              </w:rPr>
            </w:pPr>
            <w:r>
              <w:rPr>
                <w:rFonts w:ascii="Calibri" w:hAnsi="Calibri"/>
                <w:sz w:val="20"/>
                <w:szCs w:val="20"/>
              </w:rPr>
              <w:t>1,099,181,917.70</w:t>
            </w:r>
          </w:p>
        </w:tc>
        <w:tc>
          <w:tcPr>
            <w:tcW w:w="2703" w:type="dxa"/>
            <w:vAlign w:val="center"/>
          </w:tcPr>
          <w:p w14:paraId="4038EC10">
            <w:pPr>
              <w:jc w:val="right"/>
              <w:rPr>
                <w:rFonts w:ascii="Calibri" w:hAnsi="Calibri"/>
                <w:sz w:val="20"/>
                <w:szCs w:val="20"/>
              </w:rPr>
            </w:pPr>
          </w:p>
        </w:tc>
      </w:tr>
      <w:tr w14:paraId="4504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17E054ED">
            <w:pPr>
              <w:pStyle w:val="48"/>
              <w:rPr>
                <w:sz w:val="20"/>
                <w:szCs w:val="20"/>
              </w:rPr>
            </w:pPr>
            <w:r>
              <w:rPr>
                <w:rFonts w:hint="eastAsia"/>
                <w:sz w:val="20"/>
                <w:szCs w:val="20"/>
              </w:rPr>
              <w:t>交易性金融资产在持有期间的投资收益</w:t>
            </w:r>
          </w:p>
        </w:tc>
        <w:tc>
          <w:tcPr>
            <w:tcW w:w="2521" w:type="dxa"/>
            <w:vAlign w:val="center"/>
          </w:tcPr>
          <w:p w14:paraId="3A930280">
            <w:pPr>
              <w:jc w:val="right"/>
              <w:rPr>
                <w:rFonts w:ascii="Calibri" w:hAnsi="Calibri"/>
                <w:sz w:val="20"/>
                <w:szCs w:val="20"/>
              </w:rPr>
            </w:pPr>
          </w:p>
        </w:tc>
        <w:tc>
          <w:tcPr>
            <w:tcW w:w="2703" w:type="dxa"/>
            <w:vAlign w:val="center"/>
          </w:tcPr>
          <w:p w14:paraId="13983DE5">
            <w:pPr>
              <w:jc w:val="right"/>
              <w:rPr>
                <w:rFonts w:ascii="Calibri" w:hAnsi="Calibri"/>
                <w:sz w:val="20"/>
                <w:szCs w:val="20"/>
              </w:rPr>
            </w:pPr>
          </w:p>
        </w:tc>
      </w:tr>
      <w:tr w14:paraId="5CDE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51B37A76">
            <w:pPr>
              <w:pStyle w:val="48"/>
              <w:rPr>
                <w:sz w:val="20"/>
                <w:szCs w:val="20"/>
              </w:rPr>
            </w:pPr>
            <w:r>
              <w:rPr>
                <w:rFonts w:hint="eastAsia"/>
                <w:sz w:val="20"/>
                <w:szCs w:val="20"/>
              </w:rPr>
              <w:t>其他权益工具投资在持有期间取得的股利收入</w:t>
            </w:r>
          </w:p>
        </w:tc>
        <w:tc>
          <w:tcPr>
            <w:tcW w:w="2521" w:type="dxa"/>
            <w:vAlign w:val="center"/>
          </w:tcPr>
          <w:p w14:paraId="2759304C">
            <w:pPr>
              <w:jc w:val="right"/>
              <w:rPr>
                <w:rFonts w:ascii="Calibri" w:hAnsi="Calibri"/>
                <w:sz w:val="20"/>
                <w:szCs w:val="20"/>
              </w:rPr>
            </w:pPr>
          </w:p>
        </w:tc>
        <w:tc>
          <w:tcPr>
            <w:tcW w:w="2703" w:type="dxa"/>
            <w:vAlign w:val="center"/>
          </w:tcPr>
          <w:p w14:paraId="04203895">
            <w:pPr>
              <w:jc w:val="right"/>
              <w:rPr>
                <w:rFonts w:ascii="Calibri" w:hAnsi="Calibri"/>
                <w:sz w:val="20"/>
                <w:szCs w:val="20"/>
              </w:rPr>
            </w:pPr>
          </w:p>
        </w:tc>
      </w:tr>
      <w:tr w14:paraId="18BE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41EAC301">
            <w:pPr>
              <w:pStyle w:val="48"/>
              <w:rPr>
                <w:sz w:val="20"/>
                <w:szCs w:val="20"/>
              </w:rPr>
            </w:pPr>
            <w:r>
              <w:rPr>
                <w:rFonts w:hint="eastAsia"/>
                <w:sz w:val="20"/>
                <w:szCs w:val="20"/>
              </w:rPr>
              <w:t>债权投资在持有期间取得的利息收入</w:t>
            </w:r>
          </w:p>
        </w:tc>
        <w:tc>
          <w:tcPr>
            <w:tcW w:w="2521" w:type="dxa"/>
            <w:vAlign w:val="center"/>
          </w:tcPr>
          <w:p w14:paraId="2DDD284F">
            <w:pPr>
              <w:jc w:val="right"/>
              <w:rPr>
                <w:rFonts w:ascii="Calibri" w:hAnsi="Calibri"/>
                <w:sz w:val="20"/>
                <w:szCs w:val="20"/>
              </w:rPr>
            </w:pPr>
          </w:p>
        </w:tc>
        <w:tc>
          <w:tcPr>
            <w:tcW w:w="2703" w:type="dxa"/>
            <w:vAlign w:val="center"/>
          </w:tcPr>
          <w:p w14:paraId="075B3761">
            <w:pPr>
              <w:jc w:val="right"/>
              <w:rPr>
                <w:rFonts w:ascii="Calibri" w:hAnsi="Calibri"/>
                <w:sz w:val="20"/>
                <w:szCs w:val="20"/>
              </w:rPr>
            </w:pPr>
          </w:p>
        </w:tc>
      </w:tr>
      <w:tr w14:paraId="63DB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7CF1D4FC">
            <w:pPr>
              <w:pStyle w:val="48"/>
              <w:rPr>
                <w:sz w:val="20"/>
                <w:szCs w:val="20"/>
              </w:rPr>
            </w:pPr>
            <w:r>
              <w:rPr>
                <w:rFonts w:hint="eastAsia"/>
                <w:sz w:val="20"/>
                <w:szCs w:val="20"/>
              </w:rPr>
              <w:t>其他债权投资在持有期间取得的利息收入</w:t>
            </w:r>
          </w:p>
        </w:tc>
        <w:tc>
          <w:tcPr>
            <w:tcW w:w="2521" w:type="dxa"/>
            <w:vAlign w:val="center"/>
          </w:tcPr>
          <w:p w14:paraId="3CA76D50">
            <w:pPr>
              <w:jc w:val="right"/>
              <w:rPr>
                <w:rFonts w:ascii="Calibri" w:hAnsi="Calibri"/>
                <w:sz w:val="20"/>
                <w:szCs w:val="20"/>
              </w:rPr>
            </w:pPr>
          </w:p>
        </w:tc>
        <w:tc>
          <w:tcPr>
            <w:tcW w:w="2703" w:type="dxa"/>
            <w:vAlign w:val="center"/>
          </w:tcPr>
          <w:p w14:paraId="7EC944DC">
            <w:pPr>
              <w:jc w:val="right"/>
              <w:rPr>
                <w:rFonts w:ascii="Calibri" w:hAnsi="Calibri"/>
                <w:sz w:val="20"/>
                <w:szCs w:val="20"/>
              </w:rPr>
            </w:pPr>
          </w:p>
        </w:tc>
      </w:tr>
      <w:tr w14:paraId="187B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500ED3E9">
            <w:pPr>
              <w:pStyle w:val="48"/>
              <w:rPr>
                <w:sz w:val="20"/>
                <w:szCs w:val="20"/>
              </w:rPr>
            </w:pPr>
            <w:r>
              <w:rPr>
                <w:rFonts w:hint="eastAsia"/>
                <w:sz w:val="20"/>
                <w:szCs w:val="20"/>
              </w:rPr>
              <w:t>处置交易性金融资产取得的投资收益</w:t>
            </w:r>
          </w:p>
        </w:tc>
        <w:tc>
          <w:tcPr>
            <w:tcW w:w="2521" w:type="dxa"/>
            <w:vAlign w:val="center"/>
          </w:tcPr>
          <w:p w14:paraId="3EE750D1">
            <w:pPr>
              <w:jc w:val="right"/>
              <w:rPr>
                <w:rFonts w:ascii="Calibri" w:hAnsi="Calibri"/>
                <w:sz w:val="20"/>
                <w:szCs w:val="20"/>
              </w:rPr>
            </w:pPr>
            <w:r>
              <w:rPr>
                <w:rFonts w:ascii="Calibri" w:hAnsi="Calibri"/>
                <w:sz w:val="20"/>
                <w:szCs w:val="20"/>
              </w:rPr>
              <w:t>557,249.93</w:t>
            </w:r>
          </w:p>
        </w:tc>
        <w:tc>
          <w:tcPr>
            <w:tcW w:w="2703" w:type="dxa"/>
            <w:vAlign w:val="center"/>
          </w:tcPr>
          <w:p w14:paraId="07075985">
            <w:pPr>
              <w:jc w:val="right"/>
              <w:rPr>
                <w:rFonts w:ascii="Calibri" w:hAnsi="Calibri"/>
                <w:sz w:val="20"/>
                <w:szCs w:val="20"/>
              </w:rPr>
            </w:pPr>
            <w:r>
              <w:rPr>
                <w:rFonts w:ascii="Calibri" w:hAnsi="Calibri"/>
                <w:sz w:val="20"/>
                <w:szCs w:val="20"/>
              </w:rPr>
              <w:t>334,065.65</w:t>
            </w:r>
          </w:p>
        </w:tc>
      </w:tr>
      <w:tr w14:paraId="407A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752F838A">
            <w:pPr>
              <w:pStyle w:val="48"/>
              <w:rPr>
                <w:sz w:val="20"/>
                <w:szCs w:val="20"/>
              </w:rPr>
            </w:pPr>
            <w:r>
              <w:rPr>
                <w:rFonts w:hint="eastAsia"/>
                <w:sz w:val="20"/>
                <w:szCs w:val="20"/>
              </w:rPr>
              <w:t>处置其他权益工具投资取得的投资收益</w:t>
            </w:r>
          </w:p>
        </w:tc>
        <w:tc>
          <w:tcPr>
            <w:tcW w:w="2521" w:type="dxa"/>
            <w:vAlign w:val="center"/>
          </w:tcPr>
          <w:p w14:paraId="4D06BF23">
            <w:pPr>
              <w:jc w:val="right"/>
              <w:rPr>
                <w:rFonts w:ascii="Calibri" w:hAnsi="Calibri"/>
                <w:sz w:val="20"/>
                <w:szCs w:val="20"/>
              </w:rPr>
            </w:pPr>
          </w:p>
        </w:tc>
        <w:tc>
          <w:tcPr>
            <w:tcW w:w="2703" w:type="dxa"/>
            <w:vAlign w:val="center"/>
          </w:tcPr>
          <w:p w14:paraId="246EBB06">
            <w:pPr>
              <w:jc w:val="right"/>
              <w:rPr>
                <w:rFonts w:ascii="Calibri" w:hAnsi="Calibri"/>
                <w:sz w:val="20"/>
                <w:szCs w:val="20"/>
              </w:rPr>
            </w:pPr>
          </w:p>
        </w:tc>
      </w:tr>
      <w:tr w14:paraId="5F73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26C7D4B5">
            <w:pPr>
              <w:pStyle w:val="48"/>
              <w:rPr>
                <w:sz w:val="20"/>
                <w:szCs w:val="20"/>
              </w:rPr>
            </w:pPr>
            <w:r>
              <w:rPr>
                <w:rFonts w:hint="eastAsia"/>
                <w:sz w:val="20"/>
                <w:szCs w:val="20"/>
              </w:rPr>
              <w:t>处置债权投资取得的投资收益</w:t>
            </w:r>
          </w:p>
        </w:tc>
        <w:tc>
          <w:tcPr>
            <w:tcW w:w="2521" w:type="dxa"/>
            <w:vAlign w:val="center"/>
          </w:tcPr>
          <w:p w14:paraId="1E468490">
            <w:pPr>
              <w:jc w:val="right"/>
              <w:rPr>
                <w:rFonts w:ascii="Calibri" w:hAnsi="Calibri"/>
                <w:sz w:val="20"/>
                <w:szCs w:val="20"/>
              </w:rPr>
            </w:pPr>
          </w:p>
        </w:tc>
        <w:tc>
          <w:tcPr>
            <w:tcW w:w="2703" w:type="dxa"/>
            <w:vAlign w:val="center"/>
          </w:tcPr>
          <w:p w14:paraId="5B232D33">
            <w:pPr>
              <w:jc w:val="right"/>
              <w:rPr>
                <w:rFonts w:ascii="Calibri" w:hAnsi="Calibri"/>
                <w:sz w:val="20"/>
                <w:szCs w:val="20"/>
              </w:rPr>
            </w:pPr>
          </w:p>
        </w:tc>
      </w:tr>
      <w:tr w14:paraId="1FBE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01C98FF0">
            <w:pPr>
              <w:pStyle w:val="48"/>
              <w:rPr>
                <w:sz w:val="20"/>
                <w:szCs w:val="20"/>
              </w:rPr>
            </w:pPr>
            <w:r>
              <w:rPr>
                <w:rFonts w:hint="eastAsia"/>
                <w:sz w:val="20"/>
                <w:szCs w:val="20"/>
              </w:rPr>
              <w:t>处置其他债权投资取得的投资收益</w:t>
            </w:r>
          </w:p>
        </w:tc>
        <w:tc>
          <w:tcPr>
            <w:tcW w:w="2521" w:type="dxa"/>
            <w:vAlign w:val="center"/>
          </w:tcPr>
          <w:p w14:paraId="458E2FEA">
            <w:pPr>
              <w:jc w:val="right"/>
              <w:rPr>
                <w:rFonts w:ascii="Calibri" w:hAnsi="Calibri"/>
                <w:sz w:val="20"/>
                <w:szCs w:val="20"/>
              </w:rPr>
            </w:pPr>
          </w:p>
        </w:tc>
        <w:tc>
          <w:tcPr>
            <w:tcW w:w="2703" w:type="dxa"/>
            <w:vAlign w:val="center"/>
          </w:tcPr>
          <w:p w14:paraId="173BFC17">
            <w:pPr>
              <w:jc w:val="right"/>
              <w:rPr>
                <w:rFonts w:ascii="Calibri" w:hAnsi="Calibri"/>
                <w:sz w:val="20"/>
                <w:szCs w:val="20"/>
              </w:rPr>
            </w:pPr>
          </w:p>
        </w:tc>
      </w:tr>
      <w:tr w14:paraId="0E4B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6AADFB41">
            <w:pPr>
              <w:pStyle w:val="48"/>
              <w:rPr>
                <w:sz w:val="20"/>
                <w:szCs w:val="20"/>
              </w:rPr>
            </w:pPr>
            <w:r>
              <w:rPr>
                <w:rFonts w:hint="eastAsia"/>
                <w:sz w:val="20"/>
                <w:szCs w:val="20"/>
              </w:rPr>
              <w:t>债务重组收益</w:t>
            </w:r>
          </w:p>
        </w:tc>
        <w:tc>
          <w:tcPr>
            <w:tcW w:w="2521" w:type="dxa"/>
            <w:vAlign w:val="center"/>
          </w:tcPr>
          <w:p w14:paraId="29FE5757">
            <w:pPr>
              <w:jc w:val="right"/>
              <w:rPr>
                <w:rFonts w:ascii="Calibri" w:hAnsi="Calibri"/>
                <w:sz w:val="20"/>
                <w:szCs w:val="20"/>
              </w:rPr>
            </w:pPr>
          </w:p>
        </w:tc>
        <w:tc>
          <w:tcPr>
            <w:tcW w:w="2703" w:type="dxa"/>
            <w:vAlign w:val="center"/>
          </w:tcPr>
          <w:p w14:paraId="43855B89">
            <w:pPr>
              <w:jc w:val="right"/>
              <w:rPr>
                <w:rFonts w:ascii="Calibri" w:hAnsi="Calibri"/>
                <w:sz w:val="20"/>
                <w:szCs w:val="20"/>
              </w:rPr>
            </w:pPr>
          </w:p>
        </w:tc>
      </w:tr>
      <w:tr w14:paraId="4BE1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0D9B7095">
            <w:pPr>
              <w:jc w:val="center"/>
              <w:rPr>
                <w:rFonts w:ascii="Calibri" w:hAnsi="Calibri"/>
                <w:sz w:val="20"/>
                <w:szCs w:val="20"/>
              </w:rPr>
            </w:pPr>
            <w:r>
              <w:rPr>
                <w:rFonts w:hint="eastAsia" w:ascii="Calibri" w:hAnsi="Calibri"/>
                <w:sz w:val="20"/>
                <w:szCs w:val="20"/>
              </w:rPr>
              <w:t>合计</w:t>
            </w:r>
          </w:p>
        </w:tc>
        <w:tc>
          <w:tcPr>
            <w:tcW w:w="2521" w:type="dxa"/>
            <w:vAlign w:val="center"/>
          </w:tcPr>
          <w:p w14:paraId="7EDC81D2">
            <w:pPr>
              <w:jc w:val="right"/>
              <w:rPr>
                <w:rFonts w:ascii="Calibri" w:hAnsi="Calibri"/>
                <w:sz w:val="20"/>
                <w:szCs w:val="20"/>
              </w:rPr>
            </w:pPr>
            <w:r>
              <w:rPr>
                <w:rFonts w:ascii="Calibri" w:hAnsi="Calibri"/>
                <w:sz w:val="20"/>
                <w:szCs w:val="20"/>
              </w:rPr>
              <w:t>1,179,097,399.27</w:t>
            </w:r>
          </w:p>
        </w:tc>
        <w:tc>
          <w:tcPr>
            <w:tcW w:w="2703" w:type="dxa"/>
            <w:vAlign w:val="center"/>
          </w:tcPr>
          <w:p w14:paraId="75230594">
            <w:pPr>
              <w:jc w:val="right"/>
              <w:rPr>
                <w:rFonts w:ascii="Calibri" w:hAnsi="Calibri"/>
                <w:sz w:val="20"/>
                <w:szCs w:val="20"/>
              </w:rPr>
            </w:pPr>
            <w:r>
              <w:rPr>
                <w:rFonts w:ascii="Calibri" w:hAnsi="Calibri"/>
                <w:sz w:val="20"/>
                <w:szCs w:val="20"/>
              </w:rPr>
              <w:t>122,544,138.36</w:t>
            </w:r>
          </w:p>
        </w:tc>
      </w:tr>
      <w:bookmarkEnd w:id="431"/>
      <w:bookmarkEnd w:id="433"/>
    </w:tbl>
    <w:p w14:paraId="1D3ED70C">
      <w:pPr>
        <w:pStyle w:val="48"/>
      </w:pPr>
    </w:p>
    <w:p w14:paraId="114FDECF">
      <w:pPr>
        <w:pStyle w:val="48"/>
      </w:pPr>
    </w:p>
    <w:bookmarkEnd w:id="432"/>
    <w:p w14:paraId="5B6971E3">
      <w:pPr>
        <w:pStyle w:val="4"/>
        <w:numPr>
          <w:ilvl w:val="0"/>
          <w:numId w:val="126"/>
        </w:numPr>
      </w:pPr>
      <w:r>
        <w:rPr>
          <w:rFonts w:hint="eastAsia" w:ascii="宋体" w:hAnsi="宋体"/>
          <w:szCs w:val="21"/>
        </w:rPr>
        <w:t>其他</w:t>
      </w:r>
    </w:p>
    <w:sdt>
      <w:sdtPr>
        <w:rPr>
          <w:rFonts w:hint="eastAsia"/>
        </w:rPr>
        <w:alias w:val="是否适用：母公司会计报表附注的其他说明事项[双击切换]"/>
        <w:tag w:val="_GBC_da1bbbf487cd4e98b945920735517f12"/>
        <w:id w:val="263422195"/>
        <w:placeholder>
          <w:docPart w:val="GBC22222222222222222222222222222"/>
        </w:placeholder>
      </w:sdtPr>
      <w:sdtEndPr>
        <w:rPr>
          <w:rFonts w:hint="eastAsia"/>
        </w:rPr>
      </w:sdtEndPr>
      <w:sdtContent>
        <w:p w14:paraId="216ED83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8C23E8C">
      <w:pPr>
        <w:ind w:right="-1594" w:rightChars="-759"/>
      </w:pPr>
    </w:p>
    <w:p w14:paraId="774E5641">
      <w:pPr>
        <w:pStyle w:val="3"/>
        <w:numPr>
          <w:ilvl w:val="0"/>
          <w:numId w:val="51"/>
        </w:numPr>
        <w:rPr>
          <w:rFonts w:ascii="宋体" w:hAnsi="宋体"/>
        </w:rPr>
      </w:pPr>
      <w:r>
        <w:rPr>
          <w:rFonts w:hint="eastAsia"/>
        </w:rPr>
        <w:t>补充资料</w:t>
      </w:r>
    </w:p>
    <w:p w14:paraId="6D417CF6">
      <w:pPr>
        <w:pStyle w:val="4"/>
        <w:numPr>
          <w:ilvl w:val="0"/>
          <w:numId w:val="133"/>
        </w:numPr>
        <w:rPr>
          <w:rFonts w:ascii="宋体" w:hAnsi="宋体"/>
          <w:szCs w:val="21"/>
        </w:rPr>
      </w:pPr>
      <w:bookmarkStart w:id="434" w:name="_Hlk535584690"/>
      <w:bookmarkStart w:id="435" w:name="_Hlk152579827"/>
      <w:r>
        <w:rPr>
          <w:rFonts w:hint="eastAsia" w:ascii="宋体" w:hAnsi="宋体"/>
          <w:szCs w:val="21"/>
        </w:rPr>
        <w:t>当期非经常性损益明细表</w:t>
      </w:r>
    </w:p>
    <w:sdt>
      <w:sdtPr>
        <w:alias w:val="是否适用：当期非经常性损益明细表[双击切换]"/>
        <w:tag w:val="_GBC_b3c7aec730db408a9d46da725d5662b4"/>
        <w:id w:val="-1767383632"/>
        <w:placeholder>
          <w:docPart w:val="GBC22222222222222222222222222222"/>
        </w:placeholder>
      </w:sdtPr>
      <w:sdtContent>
        <w:p w14:paraId="6CAD84E4">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6633D6C">
      <w:pPr>
        <w:jc w:val="right"/>
      </w:pPr>
      <w:r>
        <w:rPr>
          <w:rFonts w:hint="eastAsia"/>
        </w:rPr>
        <w:t>单位：</w:t>
      </w:r>
      <w:sdt>
        <w:sdtPr>
          <w:rPr>
            <w:rFonts w:hint="eastAsia"/>
          </w:rPr>
          <w:alias w:val="单位：扣除非经常性损益项目和金额"/>
          <w:tag w:val="_GBC_63d386bc1f1d45a9803caa6346ef271f"/>
          <w:id w:val="204838747"/>
          <w:placeholder>
            <w:docPart w:val="GBC22222222222222222222222222222"/>
          </w:placeholder>
          <w:dataBinding w:prefixMappings="xmlns:clcid-ci-ar='clcid-ci-ar'" w:xpath="/*/clcid-ci-ar:DanWeiKouChuFeiJingChangXingSunYiXiangMuHeJin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default"/>
              <w:lang w:val="en-US"/>
            </w:rPr>
            <w:t>元</w:t>
          </w:r>
        </w:sdtContent>
      </w:sdt>
      <w:r>
        <w:rPr>
          <w:rFonts w:hint="eastAsia"/>
        </w:rPr>
        <w:t xml:space="preserve">  币种：</w:t>
      </w:r>
      <w:sdt>
        <w:sdtPr>
          <w:rPr>
            <w:rFonts w:hint="eastAsia"/>
          </w:rPr>
          <w:alias w:val="币种：扣除非经常性损益项目和金额"/>
          <w:tag w:val="_GBC_fb530451edb743d2bcc0dacb892d672d"/>
          <w:id w:val="-697615898"/>
          <w:placeholder>
            <w:docPart w:val="GBC22222222222222222222222222222"/>
          </w:placeholder>
          <w:dataBinding w:prefixMappings="xmlns:clcid-ci-ar='clcid-ci-ar'" w:xpath="/*/clcid-ci-ar:BiZhongKouChuFeiJingChangXingSunYiXiangMuHeJinE[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default"/>
              <w:lang w:val="en-US"/>
            </w:rPr>
            <w:t>人民币</w:t>
          </w:r>
        </w:sdtContent>
      </w:sdt>
    </w:p>
    <w:tbl>
      <w:tblPr>
        <w:tblStyle w:val="20"/>
        <w:tblW w:w="90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7"/>
        <w:gridCol w:w="2188"/>
        <w:gridCol w:w="2376"/>
      </w:tblGrid>
      <w:tr w14:paraId="2F9F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2882777d10a4346880b6d11ab006214"/>
            <w:id w:val="2141459929"/>
          </w:sdtPr>
          <w:sdtContent>
            <w:tc>
              <w:tcPr>
                <w:tcW w:w="4477" w:type="dxa"/>
                <w:vAlign w:val="center"/>
              </w:tcPr>
              <w:p w14:paraId="2D857758">
                <w:pPr>
                  <w:pStyle w:val="30"/>
                  <w:ind w:firstLine="0" w:firstLineChars="0"/>
                  <w:jc w:val="center"/>
                  <w:rPr>
                    <w:rFonts w:ascii="宋体" w:hAnsi="宋体"/>
                    <w:szCs w:val="21"/>
                  </w:rPr>
                </w:pPr>
                <w:r>
                  <w:rPr>
                    <w:rFonts w:hint="eastAsia" w:ascii="宋体" w:hAnsi="宋体"/>
                    <w:szCs w:val="21"/>
                  </w:rPr>
                  <w:t>项目</w:t>
                </w:r>
              </w:p>
            </w:tc>
          </w:sdtContent>
        </w:sdt>
        <w:sdt>
          <w:sdtPr>
            <w:tag w:val="_PLD_1f5c769dc7ea434a90d739329712e1ed"/>
            <w:id w:val="-2116587065"/>
          </w:sdtPr>
          <w:sdtContent>
            <w:tc>
              <w:tcPr>
                <w:tcW w:w="2188" w:type="dxa"/>
                <w:vAlign w:val="center"/>
              </w:tcPr>
              <w:p w14:paraId="2E4123F2">
                <w:pPr>
                  <w:pStyle w:val="30"/>
                  <w:ind w:firstLine="0" w:firstLineChars="0"/>
                  <w:jc w:val="center"/>
                  <w:rPr>
                    <w:rFonts w:ascii="宋体" w:hAnsi="宋体"/>
                    <w:szCs w:val="21"/>
                  </w:rPr>
                </w:pPr>
                <w:r>
                  <w:rPr>
                    <w:rFonts w:hint="eastAsia" w:ascii="宋体" w:hAnsi="宋体"/>
                    <w:szCs w:val="21"/>
                  </w:rPr>
                  <w:t>金额</w:t>
                </w:r>
              </w:p>
            </w:tc>
          </w:sdtContent>
        </w:sdt>
        <w:sdt>
          <w:sdtPr>
            <w:tag w:val="_PLD_e78492b22a7c4b8aa4989eb26eb4c98c"/>
            <w:id w:val="1280379326"/>
          </w:sdtPr>
          <w:sdtContent>
            <w:tc>
              <w:tcPr>
                <w:tcW w:w="2376" w:type="dxa"/>
                <w:vAlign w:val="center"/>
              </w:tcPr>
              <w:p w14:paraId="6B8B7F6B">
                <w:pPr>
                  <w:pStyle w:val="30"/>
                  <w:ind w:firstLine="0" w:firstLineChars="0"/>
                  <w:jc w:val="center"/>
                  <w:rPr>
                    <w:rFonts w:ascii="宋体" w:hAnsi="宋体"/>
                    <w:szCs w:val="21"/>
                  </w:rPr>
                </w:pPr>
                <w:r>
                  <w:rPr>
                    <w:rFonts w:hint="eastAsia" w:ascii="宋体" w:hAnsi="宋体"/>
                    <w:szCs w:val="21"/>
                  </w:rPr>
                  <w:t>说明</w:t>
                </w:r>
              </w:p>
            </w:tc>
          </w:sdtContent>
        </w:sdt>
      </w:tr>
      <w:tr w14:paraId="0589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50A1BA6E">
            <w:pPr>
              <w:pStyle w:val="30"/>
              <w:ind w:firstLine="0" w:firstLineChars="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2188" w:type="dxa"/>
            <w:vAlign w:val="center"/>
          </w:tcPr>
          <w:p w14:paraId="638912C5">
            <w:pPr>
              <w:widowControl w:val="0"/>
              <w:jc w:val="right"/>
            </w:pPr>
            <w:r>
              <w:t>1,096,066,753.16</w:t>
            </w:r>
          </w:p>
        </w:tc>
        <w:tc>
          <w:tcPr>
            <w:tcW w:w="2376" w:type="dxa"/>
            <w:vAlign w:val="center"/>
          </w:tcPr>
          <w:p w14:paraId="5560D82E">
            <w:pPr>
              <w:pStyle w:val="48"/>
            </w:pPr>
            <w:r>
              <w:rPr>
                <w:rFonts w:hint="eastAsia"/>
              </w:rPr>
              <w:t>　</w:t>
            </w:r>
          </w:p>
        </w:tc>
      </w:tr>
      <w:tr w14:paraId="02F7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4C7A4A7B">
            <w:pPr>
              <w:pStyle w:val="30"/>
              <w:ind w:firstLine="0" w:firstLineChars="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2188" w:type="dxa"/>
            <w:vAlign w:val="center"/>
          </w:tcPr>
          <w:p w14:paraId="22A9EA77">
            <w:pPr>
              <w:widowControl w:val="0"/>
              <w:jc w:val="right"/>
            </w:pPr>
            <w:r>
              <w:t>12,737,199.37</w:t>
            </w:r>
          </w:p>
        </w:tc>
        <w:tc>
          <w:tcPr>
            <w:tcW w:w="2376" w:type="dxa"/>
            <w:vAlign w:val="center"/>
          </w:tcPr>
          <w:p w14:paraId="0C930FC9">
            <w:pPr>
              <w:pStyle w:val="48"/>
            </w:pPr>
            <w:r>
              <w:rPr>
                <w:rFonts w:hint="eastAsia"/>
              </w:rPr>
              <w:t>　</w:t>
            </w:r>
          </w:p>
        </w:tc>
      </w:tr>
      <w:tr w14:paraId="50EC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09B2D179">
            <w:pPr>
              <w:pStyle w:val="30"/>
              <w:ind w:firstLine="0" w:firstLineChars="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2188" w:type="dxa"/>
            <w:vAlign w:val="center"/>
          </w:tcPr>
          <w:p w14:paraId="3F670DF4">
            <w:pPr>
              <w:widowControl w:val="0"/>
              <w:jc w:val="right"/>
            </w:pPr>
            <w:r>
              <w:t>1,270,368.79</w:t>
            </w:r>
          </w:p>
        </w:tc>
        <w:tc>
          <w:tcPr>
            <w:tcW w:w="2376" w:type="dxa"/>
            <w:vAlign w:val="center"/>
          </w:tcPr>
          <w:p w14:paraId="4F06F8AC">
            <w:pPr>
              <w:pStyle w:val="48"/>
            </w:pPr>
            <w:r>
              <w:rPr>
                <w:rFonts w:hint="eastAsia"/>
              </w:rPr>
              <w:t>　</w:t>
            </w:r>
          </w:p>
        </w:tc>
      </w:tr>
      <w:tr w14:paraId="2F4B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1C69E8F9">
            <w:pPr>
              <w:pStyle w:val="30"/>
              <w:ind w:firstLine="0" w:firstLineChars="0"/>
              <w:jc w:val="left"/>
              <w:rPr>
                <w:szCs w:val="21"/>
              </w:rPr>
            </w:pPr>
            <w:r>
              <w:rPr>
                <w:szCs w:val="21"/>
              </w:rPr>
              <w:t>计入当期损益的对非金融企业收取的资金占用费</w:t>
            </w:r>
          </w:p>
        </w:tc>
        <w:tc>
          <w:tcPr>
            <w:tcW w:w="2188" w:type="dxa"/>
            <w:vAlign w:val="center"/>
          </w:tcPr>
          <w:p w14:paraId="5D499B36">
            <w:pPr>
              <w:widowControl w:val="0"/>
              <w:jc w:val="right"/>
            </w:pPr>
            <w:r>
              <w:rPr>
                <w:rFonts w:hint="eastAsia"/>
              </w:rPr>
              <w:t>　</w:t>
            </w:r>
          </w:p>
        </w:tc>
        <w:tc>
          <w:tcPr>
            <w:tcW w:w="2376" w:type="dxa"/>
            <w:vAlign w:val="center"/>
          </w:tcPr>
          <w:p w14:paraId="6195B3C7">
            <w:pPr>
              <w:pStyle w:val="48"/>
            </w:pPr>
            <w:r>
              <w:rPr>
                <w:rFonts w:hint="eastAsia"/>
              </w:rPr>
              <w:t>　</w:t>
            </w:r>
          </w:p>
        </w:tc>
      </w:tr>
      <w:tr w14:paraId="371B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41D26398">
            <w:pPr>
              <w:pStyle w:val="30"/>
              <w:ind w:firstLine="0" w:firstLineChars="0"/>
              <w:jc w:val="left"/>
              <w:rPr>
                <w:szCs w:val="21"/>
              </w:rPr>
            </w:pPr>
            <w:r>
              <w:rPr>
                <w:szCs w:val="21"/>
              </w:rPr>
              <w:t>委托他人投资或管理资产的损益</w:t>
            </w:r>
          </w:p>
        </w:tc>
        <w:tc>
          <w:tcPr>
            <w:tcW w:w="2188" w:type="dxa"/>
            <w:vAlign w:val="center"/>
          </w:tcPr>
          <w:p w14:paraId="3C59ADE7">
            <w:pPr>
              <w:widowControl w:val="0"/>
              <w:jc w:val="right"/>
            </w:pPr>
            <w:r>
              <w:rPr>
                <w:rFonts w:hint="eastAsia"/>
              </w:rPr>
              <w:t>　</w:t>
            </w:r>
          </w:p>
        </w:tc>
        <w:tc>
          <w:tcPr>
            <w:tcW w:w="2376" w:type="dxa"/>
            <w:vAlign w:val="center"/>
          </w:tcPr>
          <w:p w14:paraId="6E2AF302">
            <w:pPr>
              <w:pStyle w:val="48"/>
            </w:pPr>
            <w:r>
              <w:rPr>
                <w:rFonts w:hint="eastAsia"/>
              </w:rPr>
              <w:t>　</w:t>
            </w:r>
          </w:p>
        </w:tc>
      </w:tr>
      <w:tr w14:paraId="79D9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178C4554">
            <w:pPr>
              <w:pStyle w:val="30"/>
              <w:ind w:firstLine="0" w:firstLineChars="0"/>
              <w:jc w:val="left"/>
              <w:rPr>
                <w:szCs w:val="21"/>
              </w:rPr>
            </w:pPr>
            <w:r>
              <w:rPr>
                <w:szCs w:val="21"/>
              </w:rPr>
              <w:t>对外委托贷款取得的损益</w:t>
            </w:r>
          </w:p>
        </w:tc>
        <w:tc>
          <w:tcPr>
            <w:tcW w:w="2188" w:type="dxa"/>
            <w:vAlign w:val="center"/>
          </w:tcPr>
          <w:p w14:paraId="17354ED3">
            <w:pPr>
              <w:widowControl w:val="0"/>
              <w:jc w:val="right"/>
            </w:pPr>
            <w:r>
              <w:rPr>
                <w:rFonts w:hint="eastAsia"/>
              </w:rPr>
              <w:t>　</w:t>
            </w:r>
          </w:p>
        </w:tc>
        <w:tc>
          <w:tcPr>
            <w:tcW w:w="2376" w:type="dxa"/>
            <w:vAlign w:val="center"/>
          </w:tcPr>
          <w:p w14:paraId="51DEF89D">
            <w:pPr>
              <w:pStyle w:val="48"/>
            </w:pPr>
            <w:r>
              <w:rPr>
                <w:rFonts w:hint="eastAsia"/>
              </w:rPr>
              <w:t>　</w:t>
            </w:r>
          </w:p>
        </w:tc>
      </w:tr>
      <w:tr w14:paraId="09A5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071D0056">
            <w:pPr>
              <w:pStyle w:val="30"/>
              <w:ind w:firstLine="0" w:firstLineChars="0"/>
              <w:jc w:val="left"/>
              <w:rPr>
                <w:szCs w:val="21"/>
              </w:rPr>
            </w:pPr>
            <w:r>
              <w:rPr>
                <w:szCs w:val="21"/>
              </w:rPr>
              <w:t>因不可抗力因</w:t>
            </w:r>
            <w:r>
              <w:rPr>
                <w:rFonts w:hint="eastAsia"/>
                <w:szCs w:val="21"/>
              </w:rPr>
              <w:t>素，如遭受自然灾害而产生的各项资产损失</w:t>
            </w:r>
          </w:p>
        </w:tc>
        <w:tc>
          <w:tcPr>
            <w:tcW w:w="2188" w:type="dxa"/>
            <w:vAlign w:val="center"/>
          </w:tcPr>
          <w:p w14:paraId="0C57FAD0">
            <w:pPr>
              <w:widowControl w:val="0"/>
              <w:jc w:val="right"/>
            </w:pPr>
            <w:r>
              <w:rPr>
                <w:rFonts w:hint="eastAsia"/>
              </w:rPr>
              <w:t>　</w:t>
            </w:r>
          </w:p>
        </w:tc>
        <w:tc>
          <w:tcPr>
            <w:tcW w:w="2376" w:type="dxa"/>
            <w:vAlign w:val="center"/>
          </w:tcPr>
          <w:p w14:paraId="48719EAA">
            <w:pPr>
              <w:pStyle w:val="48"/>
            </w:pPr>
            <w:r>
              <w:rPr>
                <w:rFonts w:hint="eastAsia"/>
              </w:rPr>
              <w:t>　</w:t>
            </w:r>
          </w:p>
        </w:tc>
      </w:tr>
      <w:tr w14:paraId="1D36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33013C4D">
            <w:pPr>
              <w:pStyle w:val="30"/>
              <w:ind w:firstLine="0" w:firstLineChars="0"/>
              <w:jc w:val="left"/>
            </w:pPr>
            <w:r>
              <w:rPr>
                <w:rFonts w:hint="eastAsia"/>
              </w:rPr>
              <w:t>单独进行减值测试的应收款项减值准备转回</w:t>
            </w:r>
          </w:p>
        </w:tc>
        <w:tc>
          <w:tcPr>
            <w:tcW w:w="2188" w:type="dxa"/>
            <w:vAlign w:val="center"/>
          </w:tcPr>
          <w:p w14:paraId="2A7003CE">
            <w:pPr>
              <w:widowControl w:val="0"/>
              <w:jc w:val="right"/>
            </w:pPr>
            <w:r>
              <w:t>151,567.65</w:t>
            </w:r>
          </w:p>
        </w:tc>
        <w:tc>
          <w:tcPr>
            <w:tcW w:w="2376" w:type="dxa"/>
            <w:vAlign w:val="center"/>
          </w:tcPr>
          <w:p w14:paraId="665D9E0B">
            <w:pPr>
              <w:pStyle w:val="48"/>
            </w:pPr>
            <w:r>
              <w:rPr>
                <w:rFonts w:hint="eastAsia"/>
              </w:rPr>
              <w:t>　</w:t>
            </w:r>
          </w:p>
        </w:tc>
      </w:tr>
      <w:tr w14:paraId="05D4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09417420">
            <w:pPr>
              <w:pStyle w:val="30"/>
              <w:ind w:firstLine="0" w:firstLineChars="0"/>
              <w:jc w:val="left"/>
              <w:rPr>
                <w:szCs w:val="21"/>
              </w:rPr>
            </w:pPr>
            <w:r>
              <w:rPr>
                <w:szCs w:val="21"/>
              </w:rPr>
              <w:t>企业取得子公司、联营企业及合营企业的投资成本小于取得投资时应享有被投资单位可辨认净资产公允价值产生的收益</w:t>
            </w:r>
          </w:p>
        </w:tc>
        <w:tc>
          <w:tcPr>
            <w:tcW w:w="2188" w:type="dxa"/>
            <w:vAlign w:val="center"/>
          </w:tcPr>
          <w:p w14:paraId="6A6E6F1A">
            <w:pPr>
              <w:widowControl w:val="0"/>
              <w:jc w:val="right"/>
            </w:pPr>
            <w:r>
              <w:rPr>
                <w:rFonts w:hint="eastAsia"/>
              </w:rPr>
              <w:t>　</w:t>
            </w:r>
          </w:p>
        </w:tc>
        <w:tc>
          <w:tcPr>
            <w:tcW w:w="2376" w:type="dxa"/>
            <w:vAlign w:val="center"/>
          </w:tcPr>
          <w:p w14:paraId="754496D7">
            <w:pPr>
              <w:pStyle w:val="48"/>
            </w:pPr>
            <w:r>
              <w:rPr>
                <w:rFonts w:hint="eastAsia"/>
              </w:rPr>
              <w:t>　</w:t>
            </w:r>
          </w:p>
        </w:tc>
      </w:tr>
      <w:tr w14:paraId="0281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19C9E22B">
            <w:pPr>
              <w:pStyle w:val="30"/>
              <w:ind w:firstLine="0" w:firstLineChars="0"/>
              <w:jc w:val="left"/>
              <w:rPr>
                <w:szCs w:val="21"/>
              </w:rPr>
            </w:pPr>
            <w:r>
              <w:rPr>
                <w:szCs w:val="21"/>
              </w:rPr>
              <w:t>同一控制下企业合并产生的子公司期初至合并日的当期净损益</w:t>
            </w:r>
          </w:p>
        </w:tc>
        <w:tc>
          <w:tcPr>
            <w:tcW w:w="2188" w:type="dxa"/>
            <w:vAlign w:val="center"/>
          </w:tcPr>
          <w:p w14:paraId="4AC99D10">
            <w:pPr>
              <w:widowControl w:val="0"/>
              <w:jc w:val="right"/>
            </w:pPr>
            <w:r>
              <w:t>4,043,180.46</w:t>
            </w:r>
          </w:p>
        </w:tc>
        <w:tc>
          <w:tcPr>
            <w:tcW w:w="2376" w:type="dxa"/>
            <w:vAlign w:val="center"/>
          </w:tcPr>
          <w:p w14:paraId="0C167C1A">
            <w:pPr>
              <w:pStyle w:val="48"/>
            </w:pPr>
            <w:r>
              <w:rPr>
                <w:rFonts w:hint="eastAsia"/>
              </w:rPr>
              <w:t>　</w:t>
            </w:r>
          </w:p>
        </w:tc>
      </w:tr>
      <w:tr w14:paraId="78C8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52257D96">
            <w:pPr>
              <w:pStyle w:val="30"/>
              <w:ind w:firstLine="0" w:firstLineChars="0"/>
              <w:jc w:val="left"/>
              <w:rPr>
                <w:szCs w:val="21"/>
              </w:rPr>
            </w:pPr>
            <w:r>
              <w:rPr>
                <w:szCs w:val="21"/>
              </w:rPr>
              <w:t>非货币性资产交换损益</w:t>
            </w:r>
          </w:p>
        </w:tc>
        <w:tc>
          <w:tcPr>
            <w:tcW w:w="2188" w:type="dxa"/>
            <w:vAlign w:val="center"/>
          </w:tcPr>
          <w:p w14:paraId="02343ADF">
            <w:pPr>
              <w:widowControl w:val="0"/>
              <w:jc w:val="right"/>
            </w:pPr>
            <w:r>
              <w:rPr>
                <w:rFonts w:hint="eastAsia"/>
              </w:rPr>
              <w:t>　</w:t>
            </w:r>
          </w:p>
        </w:tc>
        <w:tc>
          <w:tcPr>
            <w:tcW w:w="2376" w:type="dxa"/>
            <w:vAlign w:val="center"/>
          </w:tcPr>
          <w:p w14:paraId="433728A7">
            <w:pPr>
              <w:pStyle w:val="48"/>
            </w:pPr>
            <w:r>
              <w:rPr>
                <w:rFonts w:hint="eastAsia"/>
              </w:rPr>
              <w:t>　</w:t>
            </w:r>
          </w:p>
        </w:tc>
      </w:tr>
      <w:tr w14:paraId="2366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7D2424A1">
            <w:pPr>
              <w:pStyle w:val="30"/>
              <w:ind w:firstLine="0" w:firstLineChars="0"/>
              <w:jc w:val="left"/>
              <w:rPr>
                <w:szCs w:val="21"/>
              </w:rPr>
            </w:pPr>
            <w:r>
              <w:rPr>
                <w:szCs w:val="21"/>
              </w:rPr>
              <w:t>债务重组损益</w:t>
            </w:r>
          </w:p>
        </w:tc>
        <w:tc>
          <w:tcPr>
            <w:tcW w:w="2188" w:type="dxa"/>
            <w:vAlign w:val="center"/>
          </w:tcPr>
          <w:p w14:paraId="4C840F08">
            <w:pPr>
              <w:widowControl w:val="0"/>
              <w:jc w:val="right"/>
            </w:pPr>
            <w:r>
              <w:rPr>
                <w:rFonts w:hint="eastAsia"/>
              </w:rPr>
              <w:t>　</w:t>
            </w:r>
          </w:p>
        </w:tc>
        <w:tc>
          <w:tcPr>
            <w:tcW w:w="2376" w:type="dxa"/>
            <w:vAlign w:val="center"/>
          </w:tcPr>
          <w:p w14:paraId="30920772">
            <w:pPr>
              <w:pStyle w:val="48"/>
            </w:pPr>
            <w:r>
              <w:rPr>
                <w:rFonts w:hint="eastAsia"/>
              </w:rPr>
              <w:t>　</w:t>
            </w:r>
          </w:p>
        </w:tc>
      </w:tr>
      <w:tr w14:paraId="2C69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6C0D946C">
            <w:pPr>
              <w:pStyle w:val="30"/>
              <w:ind w:firstLine="0" w:firstLineChars="0"/>
              <w:jc w:val="left"/>
              <w:rPr>
                <w:szCs w:val="21"/>
              </w:rPr>
            </w:pPr>
            <w:r>
              <w:rPr>
                <w:szCs w:val="21"/>
              </w:rPr>
              <w:t>企业</w:t>
            </w:r>
            <w:r>
              <w:rPr>
                <w:rFonts w:hint="eastAsia"/>
                <w:szCs w:val="21"/>
              </w:rPr>
              <w:t>因相关经营活动不再持续而发生的一次性费用，如安置职工的支出等</w:t>
            </w:r>
          </w:p>
        </w:tc>
        <w:tc>
          <w:tcPr>
            <w:tcW w:w="2188" w:type="dxa"/>
            <w:vAlign w:val="center"/>
          </w:tcPr>
          <w:p w14:paraId="399F622D">
            <w:pPr>
              <w:widowControl w:val="0"/>
              <w:jc w:val="right"/>
            </w:pPr>
            <w:r>
              <w:rPr>
                <w:rFonts w:hint="eastAsia"/>
              </w:rPr>
              <w:t>　</w:t>
            </w:r>
          </w:p>
        </w:tc>
        <w:tc>
          <w:tcPr>
            <w:tcW w:w="2376" w:type="dxa"/>
            <w:vAlign w:val="center"/>
          </w:tcPr>
          <w:p w14:paraId="0EA6A307">
            <w:pPr>
              <w:pStyle w:val="48"/>
            </w:pPr>
            <w:r>
              <w:rPr>
                <w:rFonts w:hint="eastAsia"/>
              </w:rPr>
              <w:t>　</w:t>
            </w:r>
          </w:p>
        </w:tc>
      </w:tr>
      <w:tr w14:paraId="3455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53FDB2C5">
            <w:pPr>
              <w:pStyle w:val="30"/>
              <w:ind w:firstLine="0" w:firstLineChars="0"/>
              <w:jc w:val="left"/>
              <w:rPr>
                <w:szCs w:val="21"/>
              </w:rPr>
            </w:pPr>
            <w:r>
              <w:rPr>
                <w:szCs w:val="21"/>
              </w:rPr>
              <w:t>因税收、会计等法律、法规</w:t>
            </w:r>
            <w:r>
              <w:rPr>
                <w:rFonts w:hint="eastAsia"/>
                <w:szCs w:val="21"/>
              </w:rPr>
              <w:t>的调整对当期损益产生的一次性影响</w:t>
            </w:r>
          </w:p>
        </w:tc>
        <w:tc>
          <w:tcPr>
            <w:tcW w:w="2188" w:type="dxa"/>
            <w:vAlign w:val="center"/>
          </w:tcPr>
          <w:p w14:paraId="0FE3BC57">
            <w:pPr>
              <w:widowControl w:val="0"/>
              <w:jc w:val="right"/>
            </w:pPr>
            <w:r>
              <w:rPr>
                <w:rFonts w:hint="eastAsia"/>
              </w:rPr>
              <w:t>　</w:t>
            </w:r>
          </w:p>
        </w:tc>
        <w:tc>
          <w:tcPr>
            <w:tcW w:w="2376" w:type="dxa"/>
            <w:vAlign w:val="center"/>
          </w:tcPr>
          <w:p w14:paraId="2563DEAB">
            <w:pPr>
              <w:pStyle w:val="48"/>
            </w:pPr>
            <w:r>
              <w:rPr>
                <w:rFonts w:hint="eastAsia"/>
              </w:rPr>
              <w:t>　</w:t>
            </w:r>
          </w:p>
        </w:tc>
      </w:tr>
      <w:tr w14:paraId="2507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4020C0CA">
            <w:pPr>
              <w:pStyle w:val="30"/>
              <w:ind w:firstLine="0" w:firstLineChars="0"/>
              <w:jc w:val="left"/>
            </w:pPr>
            <w:r>
              <w:t>因取消、修改股权激励计划一次性确认的股份支付费用</w:t>
            </w:r>
          </w:p>
        </w:tc>
        <w:tc>
          <w:tcPr>
            <w:tcW w:w="2188" w:type="dxa"/>
            <w:vAlign w:val="center"/>
          </w:tcPr>
          <w:p w14:paraId="05971AFD">
            <w:pPr>
              <w:widowControl w:val="0"/>
              <w:jc w:val="right"/>
            </w:pPr>
            <w:r>
              <w:rPr>
                <w:rFonts w:hint="eastAsia"/>
              </w:rPr>
              <w:t>　</w:t>
            </w:r>
          </w:p>
        </w:tc>
        <w:tc>
          <w:tcPr>
            <w:tcW w:w="2376" w:type="dxa"/>
            <w:vAlign w:val="center"/>
          </w:tcPr>
          <w:p w14:paraId="46E4F095">
            <w:pPr>
              <w:pStyle w:val="48"/>
            </w:pPr>
          </w:p>
        </w:tc>
      </w:tr>
      <w:tr w14:paraId="05C3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7277FA1D">
            <w:pPr>
              <w:pStyle w:val="30"/>
              <w:ind w:firstLine="0" w:firstLineChars="0"/>
              <w:jc w:val="left"/>
            </w:pPr>
            <w:r>
              <w:t>对于现金结算的股份支付，在可行权日之后，应付职工薪酬的公允价值变动产生的损益</w:t>
            </w:r>
          </w:p>
        </w:tc>
        <w:tc>
          <w:tcPr>
            <w:tcW w:w="2188" w:type="dxa"/>
            <w:vAlign w:val="center"/>
          </w:tcPr>
          <w:p w14:paraId="252089F1">
            <w:pPr>
              <w:widowControl w:val="0"/>
              <w:jc w:val="right"/>
            </w:pPr>
            <w:r>
              <w:rPr>
                <w:rFonts w:hint="eastAsia"/>
              </w:rPr>
              <w:t>　</w:t>
            </w:r>
          </w:p>
        </w:tc>
        <w:tc>
          <w:tcPr>
            <w:tcW w:w="2376" w:type="dxa"/>
            <w:vAlign w:val="center"/>
          </w:tcPr>
          <w:p w14:paraId="3DED5AD4">
            <w:pPr>
              <w:pStyle w:val="48"/>
            </w:pPr>
          </w:p>
        </w:tc>
      </w:tr>
      <w:tr w14:paraId="757C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41FBF6DB">
            <w:pPr>
              <w:pStyle w:val="30"/>
              <w:ind w:firstLine="0" w:firstLineChars="0"/>
              <w:jc w:val="left"/>
              <w:rPr>
                <w:szCs w:val="21"/>
              </w:rPr>
            </w:pPr>
            <w:r>
              <w:rPr>
                <w:szCs w:val="21"/>
              </w:rPr>
              <w:t>采用公允价值模式进行后续计量的投资性房地产公允价值变动产生的损益</w:t>
            </w:r>
          </w:p>
        </w:tc>
        <w:tc>
          <w:tcPr>
            <w:tcW w:w="2188" w:type="dxa"/>
            <w:vAlign w:val="center"/>
          </w:tcPr>
          <w:p w14:paraId="216374D9">
            <w:pPr>
              <w:widowControl w:val="0"/>
              <w:jc w:val="right"/>
            </w:pPr>
            <w:r>
              <w:rPr>
                <w:rFonts w:hint="eastAsia"/>
              </w:rPr>
              <w:t>　</w:t>
            </w:r>
          </w:p>
        </w:tc>
        <w:tc>
          <w:tcPr>
            <w:tcW w:w="2376" w:type="dxa"/>
            <w:vAlign w:val="center"/>
          </w:tcPr>
          <w:p w14:paraId="355BCE7F">
            <w:pPr>
              <w:pStyle w:val="48"/>
            </w:pPr>
            <w:r>
              <w:rPr>
                <w:rFonts w:hint="eastAsia"/>
              </w:rPr>
              <w:t>　</w:t>
            </w:r>
          </w:p>
        </w:tc>
      </w:tr>
      <w:tr w14:paraId="6405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09CBB94F">
            <w:pPr>
              <w:pStyle w:val="30"/>
              <w:ind w:firstLine="0" w:firstLineChars="0"/>
              <w:jc w:val="left"/>
              <w:rPr>
                <w:szCs w:val="21"/>
              </w:rPr>
            </w:pPr>
            <w:r>
              <w:rPr>
                <w:rFonts w:hint="eastAsia"/>
                <w:szCs w:val="21"/>
              </w:rPr>
              <w:t>交易价格显失公允的交易产生的收益</w:t>
            </w:r>
          </w:p>
        </w:tc>
        <w:tc>
          <w:tcPr>
            <w:tcW w:w="2188" w:type="dxa"/>
            <w:vAlign w:val="center"/>
          </w:tcPr>
          <w:p w14:paraId="640BD431">
            <w:pPr>
              <w:widowControl w:val="0"/>
              <w:jc w:val="right"/>
            </w:pPr>
            <w:r>
              <w:rPr>
                <w:rFonts w:hint="eastAsia"/>
              </w:rPr>
              <w:t>　</w:t>
            </w:r>
          </w:p>
        </w:tc>
        <w:tc>
          <w:tcPr>
            <w:tcW w:w="2376" w:type="dxa"/>
            <w:vAlign w:val="center"/>
          </w:tcPr>
          <w:p w14:paraId="35C28FC3">
            <w:pPr>
              <w:pStyle w:val="48"/>
            </w:pPr>
            <w:r>
              <w:rPr>
                <w:rFonts w:hint="eastAsia"/>
              </w:rPr>
              <w:t>　</w:t>
            </w:r>
          </w:p>
        </w:tc>
      </w:tr>
      <w:tr w14:paraId="5104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63AFFF6B">
            <w:pPr>
              <w:pStyle w:val="30"/>
              <w:ind w:firstLine="0" w:firstLineChars="0"/>
              <w:jc w:val="left"/>
              <w:rPr>
                <w:szCs w:val="21"/>
              </w:rPr>
            </w:pPr>
            <w:r>
              <w:rPr>
                <w:szCs w:val="21"/>
              </w:rPr>
              <w:t>与公司正常经营业务无关的或有事项产生的损益</w:t>
            </w:r>
          </w:p>
        </w:tc>
        <w:tc>
          <w:tcPr>
            <w:tcW w:w="2188" w:type="dxa"/>
            <w:vAlign w:val="center"/>
          </w:tcPr>
          <w:p w14:paraId="28673656">
            <w:pPr>
              <w:widowControl w:val="0"/>
              <w:jc w:val="right"/>
            </w:pPr>
            <w:r>
              <w:rPr>
                <w:rFonts w:hint="eastAsia"/>
              </w:rPr>
              <w:t>　</w:t>
            </w:r>
          </w:p>
        </w:tc>
        <w:tc>
          <w:tcPr>
            <w:tcW w:w="2376" w:type="dxa"/>
            <w:vAlign w:val="center"/>
          </w:tcPr>
          <w:p w14:paraId="1DF14377">
            <w:pPr>
              <w:pStyle w:val="48"/>
            </w:pPr>
            <w:r>
              <w:rPr>
                <w:rFonts w:hint="eastAsia"/>
              </w:rPr>
              <w:t>　</w:t>
            </w:r>
          </w:p>
        </w:tc>
      </w:tr>
      <w:tr w14:paraId="3EB6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46638B2D">
            <w:pPr>
              <w:pStyle w:val="30"/>
              <w:ind w:firstLine="0" w:firstLineChars="0"/>
              <w:jc w:val="left"/>
              <w:rPr>
                <w:szCs w:val="21"/>
              </w:rPr>
            </w:pPr>
            <w:r>
              <w:rPr>
                <w:szCs w:val="21"/>
              </w:rPr>
              <w:t>受托经营取得的托管费收入</w:t>
            </w:r>
          </w:p>
        </w:tc>
        <w:tc>
          <w:tcPr>
            <w:tcW w:w="2188" w:type="dxa"/>
            <w:vAlign w:val="center"/>
          </w:tcPr>
          <w:p w14:paraId="12F676E1">
            <w:pPr>
              <w:widowControl w:val="0"/>
              <w:jc w:val="right"/>
            </w:pPr>
            <w:r>
              <w:rPr>
                <w:rFonts w:hint="eastAsia"/>
              </w:rPr>
              <w:t>　</w:t>
            </w:r>
          </w:p>
        </w:tc>
        <w:tc>
          <w:tcPr>
            <w:tcW w:w="2376" w:type="dxa"/>
            <w:vAlign w:val="center"/>
          </w:tcPr>
          <w:p w14:paraId="21CFC9DF">
            <w:pPr>
              <w:pStyle w:val="48"/>
            </w:pPr>
            <w:r>
              <w:rPr>
                <w:rFonts w:hint="eastAsia"/>
              </w:rPr>
              <w:t>　</w:t>
            </w:r>
          </w:p>
        </w:tc>
      </w:tr>
      <w:tr w14:paraId="4FFA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41CD2725">
            <w:pPr>
              <w:pStyle w:val="30"/>
              <w:ind w:firstLine="0" w:firstLineChars="0"/>
              <w:jc w:val="left"/>
              <w:rPr>
                <w:szCs w:val="21"/>
              </w:rPr>
            </w:pPr>
            <w:r>
              <w:rPr>
                <w:szCs w:val="21"/>
              </w:rPr>
              <w:t>除上述各项之外的其他营业外收入和支出</w:t>
            </w:r>
          </w:p>
        </w:tc>
        <w:tc>
          <w:tcPr>
            <w:tcW w:w="2188" w:type="dxa"/>
            <w:vAlign w:val="center"/>
          </w:tcPr>
          <w:p w14:paraId="3D29B8EA">
            <w:pPr>
              <w:widowControl w:val="0"/>
              <w:jc w:val="right"/>
            </w:pPr>
            <w:r>
              <w:t>-97,279,024.05</w:t>
            </w:r>
          </w:p>
        </w:tc>
        <w:tc>
          <w:tcPr>
            <w:tcW w:w="2376" w:type="dxa"/>
            <w:vAlign w:val="center"/>
          </w:tcPr>
          <w:p w14:paraId="4E8CA0A3">
            <w:pPr>
              <w:pStyle w:val="48"/>
            </w:pPr>
            <w:r>
              <w:rPr>
                <w:rFonts w:hint="eastAsia"/>
              </w:rPr>
              <w:t>　</w:t>
            </w:r>
          </w:p>
        </w:tc>
      </w:tr>
      <w:tr w14:paraId="2FE4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21FA01EA">
            <w:pPr>
              <w:pStyle w:val="30"/>
              <w:ind w:firstLine="0" w:firstLineChars="0"/>
              <w:jc w:val="left"/>
              <w:rPr>
                <w:szCs w:val="21"/>
              </w:rPr>
            </w:pPr>
            <w:r>
              <w:rPr>
                <w:szCs w:val="21"/>
              </w:rPr>
              <w:t>其他符合非经常性损益定义的损益项目</w:t>
            </w:r>
          </w:p>
        </w:tc>
        <w:tc>
          <w:tcPr>
            <w:tcW w:w="2188" w:type="dxa"/>
            <w:vAlign w:val="center"/>
          </w:tcPr>
          <w:p w14:paraId="2162EAC4">
            <w:pPr>
              <w:widowControl w:val="0"/>
              <w:jc w:val="right"/>
            </w:pPr>
            <w:r>
              <w:t>-26,847,992.60</w:t>
            </w:r>
          </w:p>
        </w:tc>
        <w:tc>
          <w:tcPr>
            <w:tcW w:w="2376" w:type="dxa"/>
            <w:vAlign w:val="center"/>
          </w:tcPr>
          <w:p w14:paraId="55F69518">
            <w:pPr>
              <w:pStyle w:val="48"/>
            </w:pPr>
            <w:r>
              <w:rPr>
                <w:rFonts w:hint="eastAsia"/>
              </w:rPr>
              <w:t>　</w:t>
            </w:r>
          </w:p>
        </w:tc>
      </w:tr>
      <w:tr w14:paraId="5B8A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423A5AE4">
            <w:pPr>
              <w:pStyle w:val="30"/>
              <w:ind w:firstLine="0" w:firstLineChars="0"/>
              <w:jc w:val="left"/>
              <w:rPr>
                <w:szCs w:val="21"/>
              </w:rPr>
            </w:pPr>
            <w:r>
              <w:rPr>
                <w:rFonts w:hint="eastAsia"/>
              </w:rPr>
              <w:t>减：</w:t>
            </w:r>
            <w:r>
              <w:rPr>
                <w:szCs w:val="21"/>
              </w:rPr>
              <w:t>所得税影响额</w:t>
            </w:r>
          </w:p>
        </w:tc>
        <w:tc>
          <w:tcPr>
            <w:tcW w:w="2188" w:type="dxa"/>
            <w:vAlign w:val="center"/>
          </w:tcPr>
          <w:p w14:paraId="26899007">
            <w:pPr>
              <w:widowControl w:val="0"/>
              <w:jc w:val="right"/>
            </w:pPr>
            <w:r>
              <w:t>145,922,739.47</w:t>
            </w:r>
          </w:p>
        </w:tc>
        <w:tc>
          <w:tcPr>
            <w:tcW w:w="2376" w:type="dxa"/>
            <w:vAlign w:val="center"/>
          </w:tcPr>
          <w:p w14:paraId="66D97821">
            <w:pPr>
              <w:pStyle w:val="48"/>
            </w:pPr>
            <w:r>
              <w:rPr>
                <w:rFonts w:hint="eastAsia"/>
              </w:rPr>
              <w:t>　</w:t>
            </w:r>
          </w:p>
        </w:tc>
      </w:tr>
      <w:tr w14:paraId="0826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05980EED">
            <w:pPr>
              <w:pStyle w:val="30"/>
              <w:jc w:val="left"/>
              <w:rPr>
                <w:szCs w:val="21"/>
              </w:rPr>
            </w:pPr>
            <w:r>
              <w:rPr>
                <w:szCs w:val="21"/>
              </w:rPr>
              <w:t>少数股东权益影响额</w:t>
            </w:r>
            <w:r>
              <w:rPr>
                <w:rFonts w:hint="eastAsia"/>
                <w:szCs w:val="21"/>
              </w:rPr>
              <w:t>（税后）</w:t>
            </w:r>
          </w:p>
        </w:tc>
        <w:tc>
          <w:tcPr>
            <w:tcW w:w="2188" w:type="dxa"/>
            <w:vAlign w:val="center"/>
          </w:tcPr>
          <w:p w14:paraId="1105903D">
            <w:pPr>
              <w:widowControl w:val="0"/>
              <w:jc w:val="right"/>
            </w:pPr>
            <w:r>
              <w:t>124,750.45</w:t>
            </w:r>
          </w:p>
        </w:tc>
        <w:tc>
          <w:tcPr>
            <w:tcW w:w="2376" w:type="dxa"/>
            <w:vAlign w:val="center"/>
          </w:tcPr>
          <w:p w14:paraId="492A452E">
            <w:pPr>
              <w:pStyle w:val="48"/>
            </w:pPr>
            <w:r>
              <w:rPr>
                <w:rFonts w:hint="eastAsia"/>
              </w:rPr>
              <w:t>　</w:t>
            </w:r>
          </w:p>
        </w:tc>
      </w:tr>
      <w:tr w14:paraId="5EF6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7" w:type="dxa"/>
            <w:vAlign w:val="center"/>
          </w:tcPr>
          <w:p w14:paraId="4D0434B7">
            <w:pPr>
              <w:pStyle w:val="30"/>
              <w:ind w:firstLine="0" w:firstLineChars="0"/>
              <w:jc w:val="center"/>
              <w:rPr>
                <w:szCs w:val="21"/>
              </w:rPr>
            </w:pPr>
            <w:r>
              <w:rPr>
                <w:szCs w:val="21"/>
              </w:rPr>
              <w:t>合计</w:t>
            </w:r>
          </w:p>
        </w:tc>
        <w:tc>
          <w:tcPr>
            <w:tcW w:w="2188" w:type="dxa"/>
            <w:vAlign w:val="center"/>
          </w:tcPr>
          <w:p w14:paraId="28653239">
            <w:pPr>
              <w:widowControl w:val="0"/>
              <w:jc w:val="right"/>
            </w:pPr>
            <w:r>
              <w:t>844,094,562.86</w:t>
            </w:r>
          </w:p>
        </w:tc>
        <w:tc>
          <w:tcPr>
            <w:tcW w:w="2376" w:type="dxa"/>
            <w:vAlign w:val="center"/>
          </w:tcPr>
          <w:p w14:paraId="47025189">
            <w:pPr>
              <w:pStyle w:val="48"/>
            </w:pPr>
            <w:r>
              <w:rPr>
                <w:rFonts w:hint="eastAsia"/>
              </w:rPr>
              <w:t>　</w:t>
            </w:r>
          </w:p>
        </w:tc>
      </w:tr>
    </w:tbl>
    <w:p w14:paraId="15C62D94">
      <w:pPr>
        <w:pStyle w:val="48"/>
      </w:pPr>
    </w:p>
    <w:bookmarkEnd w:id="434"/>
    <w:bookmarkEnd w:id="435"/>
    <w:p w14:paraId="695084F7">
      <w:pPr>
        <w:pStyle w:val="48"/>
      </w:pPr>
      <w:bookmarkStart w:id="436" w:name="_Hlk154752626"/>
      <w:r>
        <w:rPr>
          <w:rFonts w:hint="eastAsia"/>
        </w:rPr>
        <w:t>对公司将《公开发行证券的公司信息披露解释性公告第</w:t>
      </w:r>
      <w:r>
        <w:t>1号——非经常性损益》未列举的项目认定为非经常性损益项目且金额重大的，以及将《公开发行证券的公司信息披露解释性公告第1号——非经常性损益》中列举的非经常性损益项目界定为经常性损益的项目，应说明原因。</w:t>
      </w:r>
    </w:p>
    <w:sdt>
      <w:sdtPr>
        <w:alias w:val="是否适用：将非经常性损益项目界定为经常性损益项目[双击切换]"/>
        <w:tag w:val="_GBC_a967cba183d54f83a4f652d6d31302c3"/>
        <w:id w:val="8106982"/>
        <w:placeholder>
          <w:docPart w:val="GBC22222222222222222222222222222"/>
        </w:placeholder>
      </w:sdtPr>
      <w:sdtContent>
        <w:p w14:paraId="673774B1">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78B1240">
      <w:pPr>
        <w:jc w:val="right"/>
      </w:pPr>
      <w:r>
        <w:rPr>
          <w:rFonts w:hint="eastAsia"/>
        </w:rPr>
        <w:t>单位：</w:t>
      </w:r>
      <w:sdt>
        <w:sdtPr>
          <w:rPr>
            <w:rFonts w:hint="eastAsia"/>
          </w:rPr>
          <w:alias w:val="单位：财务附注：将非经常性损益项目界定为经常性损益项目"/>
          <w:tag w:val="_GBC_5153d701b3b44f33a9490091a7e804e6"/>
          <w:id w:val="-4773065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将非经常性损益项目界定为经常性损益项目"/>
          <w:tag w:val="_GBC_77ec9746b783471b84796c1c772576bd"/>
          <w:id w:val="-14692816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57"/>
        <w:tblW w:w="9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1"/>
        <w:gridCol w:w="2333"/>
        <w:gridCol w:w="2674"/>
      </w:tblGrid>
      <w:tr w14:paraId="544C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f5fa8913743480fb3da21eb9369422c"/>
            <w:id w:val="1676913663"/>
          </w:sdtPr>
          <w:sdtContent>
            <w:tc>
              <w:tcPr>
                <w:tcW w:w="4041" w:type="dxa"/>
                <w:vAlign w:val="center"/>
              </w:tcPr>
              <w:p w14:paraId="7E6D31BB">
                <w:pPr>
                  <w:spacing w:line="276" w:lineRule="auto"/>
                  <w:jc w:val="center"/>
                  <w:rPr>
                    <w:rFonts w:ascii="Calibri" w:hAnsi="Calibri"/>
                    <w:sz w:val="20"/>
                    <w:szCs w:val="20"/>
                  </w:rPr>
                </w:pPr>
                <w:r>
                  <w:rPr>
                    <w:rFonts w:hint="eastAsia" w:ascii="Calibri" w:hAnsi="Calibri"/>
                    <w:sz w:val="20"/>
                    <w:szCs w:val="20"/>
                  </w:rPr>
                  <w:t>项目</w:t>
                </w:r>
              </w:p>
            </w:tc>
          </w:sdtContent>
        </w:sdt>
        <w:sdt>
          <w:sdtPr>
            <w:tag w:val="_PLD_8211e03e10a14ec08118aac4c962a2b3"/>
            <w:id w:val="-1039116235"/>
          </w:sdtPr>
          <w:sdtContent>
            <w:tc>
              <w:tcPr>
                <w:tcW w:w="2333" w:type="dxa"/>
                <w:vAlign w:val="center"/>
              </w:tcPr>
              <w:p w14:paraId="21D87E85">
                <w:pPr>
                  <w:spacing w:line="276" w:lineRule="auto"/>
                  <w:jc w:val="center"/>
                  <w:rPr>
                    <w:rFonts w:ascii="Calibri" w:hAnsi="Calibri"/>
                    <w:sz w:val="20"/>
                    <w:szCs w:val="20"/>
                  </w:rPr>
                </w:pPr>
                <w:r>
                  <w:rPr>
                    <w:rFonts w:hint="eastAsia" w:ascii="Calibri" w:hAnsi="Calibri"/>
                    <w:sz w:val="20"/>
                    <w:szCs w:val="20"/>
                  </w:rPr>
                  <w:t>涉及金额</w:t>
                </w:r>
              </w:p>
            </w:tc>
          </w:sdtContent>
        </w:sdt>
        <w:sdt>
          <w:sdtPr>
            <w:tag w:val="_PLD_6ebd996c152542fe88a42f57bb8a8546"/>
            <w:id w:val="1057755866"/>
          </w:sdtPr>
          <w:sdtContent>
            <w:tc>
              <w:tcPr>
                <w:tcW w:w="2674" w:type="dxa"/>
                <w:vAlign w:val="center"/>
              </w:tcPr>
              <w:p w14:paraId="110DF17B">
                <w:pPr>
                  <w:spacing w:line="276" w:lineRule="auto"/>
                  <w:jc w:val="center"/>
                  <w:rPr>
                    <w:rFonts w:ascii="Calibri" w:hAnsi="Calibri"/>
                    <w:sz w:val="20"/>
                    <w:szCs w:val="20"/>
                  </w:rPr>
                </w:pPr>
                <w:r>
                  <w:rPr>
                    <w:rFonts w:hint="eastAsia" w:ascii="Calibri" w:hAnsi="Calibri"/>
                    <w:sz w:val="20"/>
                    <w:szCs w:val="20"/>
                  </w:rPr>
                  <w:t>原因</w:t>
                </w:r>
              </w:p>
            </w:tc>
          </w:sdtContent>
        </w:sdt>
      </w:tr>
      <w:tr w14:paraId="5D94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1" w:type="dxa"/>
            <w:vAlign w:val="center"/>
          </w:tcPr>
          <w:p w14:paraId="1DD72812">
            <w:pPr>
              <w:pStyle w:val="48"/>
              <w:spacing w:line="276" w:lineRule="auto"/>
              <w:rPr>
                <w:sz w:val="20"/>
                <w:szCs w:val="20"/>
              </w:rPr>
            </w:pPr>
            <w:r>
              <w:rPr>
                <w:sz w:val="20"/>
                <w:szCs w:val="20"/>
              </w:rPr>
              <w:t>权益法核算的投资收益中属于非经常性损益的部分</w:t>
            </w:r>
          </w:p>
        </w:tc>
        <w:tc>
          <w:tcPr>
            <w:tcW w:w="2333" w:type="dxa"/>
            <w:vAlign w:val="center"/>
          </w:tcPr>
          <w:p w14:paraId="215A866A">
            <w:pPr>
              <w:spacing w:line="276" w:lineRule="auto"/>
              <w:jc w:val="right"/>
              <w:rPr>
                <w:rFonts w:ascii="Calibri" w:hAnsi="Calibri"/>
                <w:sz w:val="20"/>
                <w:szCs w:val="20"/>
              </w:rPr>
            </w:pPr>
            <w:r>
              <w:rPr>
                <w:rFonts w:ascii="Calibri" w:hAnsi="Calibri"/>
                <w:sz w:val="20"/>
                <w:szCs w:val="20"/>
              </w:rPr>
              <w:t>-26,847,992.60</w:t>
            </w:r>
          </w:p>
        </w:tc>
        <w:tc>
          <w:tcPr>
            <w:tcW w:w="2674" w:type="dxa"/>
            <w:vAlign w:val="center"/>
          </w:tcPr>
          <w:p w14:paraId="4C6FF63C">
            <w:pPr>
              <w:pStyle w:val="48"/>
              <w:spacing w:line="276" w:lineRule="auto"/>
              <w:rPr>
                <w:sz w:val="20"/>
                <w:szCs w:val="20"/>
              </w:rPr>
            </w:pPr>
            <w:r>
              <w:rPr>
                <w:sz w:val="20"/>
                <w:szCs w:val="20"/>
              </w:rPr>
              <w:t>基于交易和事项的经济性质判断并遵循重要性原则。</w:t>
            </w:r>
          </w:p>
        </w:tc>
      </w:tr>
      <w:tr w14:paraId="2E7D2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1" w:type="dxa"/>
            <w:vAlign w:val="center"/>
          </w:tcPr>
          <w:p w14:paraId="1DFDF2D9">
            <w:pPr>
              <w:pStyle w:val="48"/>
              <w:spacing w:line="276" w:lineRule="auto"/>
              <w:jc w:val="center"/>
              <w:rPr>
                <w:sz w:val="20"/>
                <w:szCs w:val="20"/>
              </w:rPr>
            </w:pPr>
            <w:r>
              <w:rPr>
                <w:rFonts w:hint="eastAsia"/>
                <w:sz w:val="20"/>
                <w:szCs w:val="20"/>
              </w:rPr>
              <w:t>合计</w:t>
            </w:r>
          </w:p>
        </w:tc>
        <w:tc>
          <w:tcPr>
            <w:tcW w:w="2333" w:type="dxa"/>
            <w:vAlign w:val="center"/>
          </w:tcPr>
          <w:p w14:paraId="16B3FBD3">
            <w:pPr>
              <w:spacing w:line="276" w:lineRule="auto"/>
              <w:jc w:val="right"/>
              <w:rPr>
                <w:rFonts w:ascii="Calibri" w:hAnsi="Calibri"/>
                <w:sz w:val="20"/>
                <w:szCs w:val="20"/>
              </w:rPr>
            </w:pPr>
            <w:r>
              <w:rPr>
                <w:rFonts w:ascii="Calibri" w:hAnsi="Calibri"/>
                <w:sz w:val="20"/>
                <w:szCs w:val="20"/>
              </w:rPr>
              <w:t>-26,847,992.60</w:t>
            </w:r>
          </w:p>
        </w:tc>
        <w:tc>
          <w:tcPr>
            <w:tcW w:w="2674" w:type="dxa"/>
            <w:vAlign w:val="center"/>
          </w:tcPr>
          <w:p w14:paraId="3D13281D">
            <w:pPr>
              <w:pStyle w:val="48"/>
              <w:spacing w:line="276" w:lineRule="auto"/>
              <w:rPr>
                <w:sz w:val="20"/>
                <w:szCs w:val="20"/>
              </w:rPr>
            </w:pPr>
          </w:p>
        </w:tc>
      </w:tr>
    </w:tbl>
    <w:p w14:paraId="04AFFF58"/>
    <w:p w14:paraId="1C0FB315">
      <w:pPr>
        <w:spacing w:line="360" w:lineRule="exact"/>
      </w:pPr>
      <w:r>
        <w:rPr>
          <w:rFonts w:hint="eastAsia"/>
        </w:rPr>
        <w:t>其他说明：</w:t>
      </w:r>
    </w:p>
    <w:sdt>
      <w:sdtPr>
        <w:alias w:val="是否适用：非经常性损益的其他说明[双击切换]"/>
        <w:tag w:val="_GBC_02aa469151f448ef8b478dba20a7d811"/>
        <w:id w:val="832336239"/>
        <w:placeholder>
          <w:docPart w:val="GBC22222222222222222222222222222"/>
        </w:placeholder>
      </w:sdtPr>
      <w:sdtContent>
        <w:p w14:paraId="3C063C5D">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CD52E89">
      <w:pPr>
        <w:pStyle w:val="48"/>
      </w:pPr>
    </w:p>
    <w:bookmarkEnd w:id="436"/>
    <w:p w14:paraId="58871D97">
      <w:pPr>
        <w:pStyle w:val="4"/>
        <w:numPr>
          <w:ilvl w:val="0"/>
          <w:numId w:val="133"/>
        </w:numPr>
        <w:rPr>
          <w:rFonts w:ascii="宋体" w:hAnsi="宋体"/>
          <w:szCs w:val="21"/>
        </w:rPr>
      </w:pPr>
      <w:r>
        <w:rPr>
          <w:rFonts w:hint="eastAsia" w:ascii="宋体" w:hAnsi="宋体"/>
          <w:szCs w:val="21"/>
        </w:rPr>
        <w:t>净资产收益率及每股收益</w:t>
      </w:r>
    </w:p>
    <w:sdt>
      <w:sdtPr>
        <w:alias w:val="是否适用：净资产收益率及每股收益[双击切换]"/>
        <w:tag w:val="_GBC_c0f530bdf9ee48239f470eda08b303d7"/>
        <w:id w:val="661358982"/>
        <w:placeholder>
          <w:docPart w:val="GBC22222222222222222222222222222"/>
        </w:placeholder>
      </w:sdtPr>
      <w:sdtContent>
        <w:p w14:paraId="1BFCF033">
          <w:pPr>
            <w:pStyle w:val="48"/>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57"/>
        <w:tblW w:w="904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13"/>
        <w:gridCol w:w="1840"/>
        <w:gridCol w:w="2146"/>
        <w:gridCol w:w="2148"/>
      </w:tblGrid>
      <w:tr w14:paraId="6EBD6E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sdt>
          <w:sdtPr>
            <w:tag w:val="_PLD_85d9a7abc9cd45768b2b5f99afa4a4ef"/>
            <w:id w:val="828095798"/>
          </w:sdtPr>
          <w:sdtContent>
            <w:tc>
              <w:tcPr>
                <w:tcW w:w="2913" w:type="dxa"/>
                <w:vMerge w:val="restart"/>
                <w:tcBorders>
                  <w:top w:val="single" w:color="auto" w:sz="4" w:space="0"/>
                  <w:left w:val="single" w:color="auto" w:sz="4" w:space="0"/>
                  <w:bottom w:val="single" w:color="auto" w:sz="4" w:space="0"/>
                  <w:right w:val="single" w:color="auto" w:sz="4" w:space="0"/>
                </w:tcBorders>
                <w:vAlign w:val="center"/>
              </w:tcPr>
              <w:p w14:paraId="1DE6AFC8">
                <w:pPr>
                  <w:jc w:val="center"/>
                  <w:rPr>
                    <w:rFonts w:ascii="Calibri" w:hAnsi="Calibri"/>
                    <w:sz w:val="20"/>
                    <w:szCs w:val="20"/>
                  </w:rPr>
                </w:pPr>
                <w:r>
                  <w:rPr>
                    <w:rFonts w:ascii="Calibri" w:hAnsi="Calibri"/>
                    <w:sz w:val="20"/>
                    <w:szCs w:val="20"/>
                  </w:rPr>
                  <w:t>报告期利润</w:t>
                </w:r>
              </w:p>
            </w:tc>
          </w:sdtContent>
        </w:sdt>
        <w:sdt>
          <w:sdtPr>
            <w:tag w:val="_PLD_7f5ad103cbb04f7d904001b07266bf41"/>
            <w:id w:val="654489006"/>
          </w:sdtPr>
          <w:sdtContent>
            <w:tc>
              <w:tcPr>
                <w:tcW w:w="1840" w:type="dxa"/>
                <w:vMerge w:val="restart"/>
                <w:tcBorders>
                  <w:top w:val="single" w:color="auto" w:sz="4" w:space="0"/>
                  <w:left w:val="single" w:color="auto" w:sz="4" w:space="0"/>
                  <w:right w:val="single" w:color="auto" w:sz="4" w:space="0"/>
                </w:tcBorders>
                <w:vAlign w:val="center"/>
              </w:tcPr>
              <w:p w14:paraId="134EA111">
                <w:pPr>
                  <w:jc w:val="center"/>
                  <w:rPr>
                    <w:rFonts w:ascii="Calibri" w:hAnsi="Calibri"/>
                    <w:sz w:val="20"/>
                    <w:szCs w:val="20"/>
                  </w:rPr>
                </w:pPr>
                <w:r>
                  <w:rPr>
                    <w:rFonts w:ascii="Calibri" w:hAnsi="Calibri"/>
                    <w:sz w:val="20"/>
                    <w:szCs w:val="20"/>
                  </w:rPr>
                  <w:t>加权平均净资产收益率（%）</w:t>
                </w:r>
              </w:p>
            </w:tc>
          </w:sdtContent>
        </w:sdt>
        <w:sdt>
          <w:sdtPr>
            <w:tag w:val="_PLD_adaa515ff68f455d8bcd75e516da3040"/>
            <w:id w:val="1214470100"/>
          </w:sdtPr>
          <w:sdtContent>
            <w:tc>
              <w:tcPr>
                <w:tcW w:w="4294" w:type="dxa"/>
                <w:gridSpan w:val="2"/>
                <w:tcBorders>
                  <w:top w:val="single" w:color="auto" w:sz="4" w:space="0"/>
                  <w:left w:val="single" w:color="auto" w:sz="4" w:space="0"/>
                  <w:bottom w:val="single" w:color="auto" w:sz="4" w:space="0"/>
                  <w:right w:val="single" w:color="auto" w:sz="4" w:space="0"/>
                </w:tcBorders>
                <w:vAlign w:val="center"/>
              </w:tcPr>
              <w:p w14:paraId="2F0D5F0E">
                <w:pPr>
                  <w:jc w:val="center"/>
                  <w:rPr>
                    <w:rFonts w:ascii="Calibri" w:hAnsi="Calibri"/>
                    <w:sz w:val="20"/>
                    <w:szCs w:val="20"/>
                  </w:rPr>
                </w:pPr>
                <w:r>
                  <w:rPr>
                    <w:rFonts w:ascii="Calibri" w:hAnsi="Calibri"/>
                    <w:sz w:val="20"/>
                    <w:szCs w:val="20"/>
                  </w:rPr>
                  <w:t>每股收益</w:t>
                </w:r>
              </w:p>
            </w:tc>
          </w:sdtContent>
        </w:sdt>
      </w:tr>
      <w:tr w14:paraId="540BEC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3" w:type="dxa"/>
            <w:vMerge w:val="continue"/>
            <w:tcBorders>
              <w:top w:val="single" w:color="auto" w:sz="4" w:space="0"/>
              <w:left w:val="single" w:color="auto" w:sz="4" w:space="0"/>
              <w:bottom w:val="single" w:color="auto" w:sz="4" w:space="0"/>
              <w:right w:val="single" w:color="auto" w:sz="4" w:space="0"/>
            </w:tcBorders>
            <w:vAlign w:val="center"/>
          </w:tcPr>
          <w:p w14:paraId="6D53D622">
            <w:pPr>
              <w:jc w:val="center"/>
              <w:rPr>
                <w:rFonts w:ascii="Calibri" w:hAnsi="Calibri"/>
                <w:sz w:val="20"/>
                <w:szCs w:val="20"/>
              </w:rPr>
            </w:pPr>
          </w:p>
        </w:tc>
        <w:tc>
          <w:tcPr>
            <w:tcW w:w="1840" w:type="dxa"/>
            <w:vMerge w:val="continue"/>
            <w:tcBorders>
              <w:left w:val="single" w:color="auto" w:sz="4" w:space="0"/>
              <w:bottom w:val="single" w:color="auto" w:sz="4" w:space="0"/>
              <w:right w:val="single" w:color="auto" w:sz="4" w:space="0"/>
            </w:tcBorders>
            <w:vAlign w:val="center"/>
          </w:tcPr>
          <w:p w14:paraId="758726BD">
            <w:pPr>
              <w:jc w:val="center"/>
              <w:rPr>
                <w:rFonts w:ascii="Calibri" w:hAnsi="Calibri"/>
                <w:sz w:val="20"/>
                <w:szCs w:val="20"/>
              </w:rPr>
            </w:pPr>
          </w:p>
        </w:tc>
        <w:sdt>
          <w:sdtPr>
            <w:tag w:val="_PLD_503a9e353572491fb64751c75881b5ac"/>
            <w:id w:val="-1245408686"/>
          </w:sdtPr>
          <w:sdtContent>
            <w:tc>
              <w:tcPr>
                <w:tcW w:w="2146" w:type="dxa"/>
                <w:tcBorders>
                  <w:top w:val="single" w:color="auto" w:sz="4" w:space="0"/>
                  <w:left w:val="single" w:color="auto" w:sz="4" w:space="0"/>
                  <w:bottom w:val="single" w:color="auto" w:sz="4" w:space="0"/>
                  <w:right w:val="single" w:color="auto" w:sz="4" w:space="0"/>
                </w:tcBorders>
                <w:vAlign w:val="center"/>
              </w:tcPr>
              <w:p w14:paraId="633B5E76">
                <w:pPr>
                  <w:jc w:val="center"/>
                  <w:rPr>
                    <w:rFonts w:ascii="Calibri" w:hAnsi="Calibri"/>
                    <w:sz w:val="20"/>
                    <w:szCs w:val="20"/>
                  </w:rPr>
                </w:pPr>
                <w:r>
                  <w:rPr>
                    <w:rFonts w:ascii="Calibri" w:hAnsi="Calibri"/>
                    <w:sz w:val="20"/>
                    <w:szCs w:val="20"/>
                  </w:rPr>
                  <w:t>基本每股收益</w:t>
                </w:r>
              </w:p>
            </w:tc>
          </w:sdtContent>
        </w:sdt>
        <w:sdt>
          <w:sdtPr>
            <w:tag w:val="_PLD_b57959d0e3714f2590eb4529892e5c18"/>
            <w:id w:val="-1330598436"/>
          </w:sdtPr>
          <w:sdtContent>
            <w:tc>
              <w:tcPr>
                <w:tcW w:w="2148" w:type="dxa"/>
                <w:tcBorders>
                  <w:top w:val="single" w:color="auto" w:sz="4" w:space="0"/>
                  <w:left w:val="single" w:color="auto" w:sz="4" w:space="0"/>
                  <w:bottom w:val="single" w:color="auto" w:sz="4" w:space="0"/>
                  <w:right w:val="single" w:color="auto" w:sz="4" w:space="0"/>
                </w:tcBorders>
                <w:vAlign w:val="center"/>
              </w:tcPr>
              <w:p w14:paraId="4007443C">
                <w:pPr>
                  <w:jc w:val="center"/>
                  <w:rPr>
                    <w:rFonts w:ascii="Calibri" w:hAnsi="Calibri"/>
                    <w:sz w:val="20"/>
                    <w:szCs w:val="20"/>
                  </w:rPr>
                </w:pPr>
                <w:r>
                  <w:rPr>
                    <w:rFonts w:ascii="Calibri" w:hAnsi="Calibri"/>
                    <w:sz w:val="20"/>
                    <w:szCs w:val="20"/>
                  </w:rPr>
                  <w:t>稀释每股收益</w:t>
                </w:r>
              </w:p>
            </w:tc>
          </w:sdtContent>
        </w:sdt>
      </w:tr>
      <w:tr w14:paraId="3D5088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3" w:type="dxa"/>
            <w:tcBorders>
              <w:top w:val="single" w:color="auto" w:sz="4" w:space="0"/>
              <w:left w:val="single" w:color="auto" w:sz="4" w:space="0"/>
              <w:bottom w:val="single" w:color="auto" w:sz="4" w:space="0"/>
              <w:right w:val="single" w:color="auto" w:sz="4" w:space="0"/>
            </w:tcBorders>
            <w:vAlign w:val="center"/>
          </w:tcPr>
          <w:p w14:paraId="5EBD8898">
            <w:pPr>
              <w:pStyle w:val="48"/>
              <w:rPr>
                <w:sz w:val="20"/>
                <w:szCs w:val="20"/>
              </w:rPr>
            </w:pPr>
            <w:r>
              <w:rPr>
                <w:sz w:val="20"/>
                <w:szCs w:val="20"/>
              </w:rPr>
              <w:t>归属于公司普通股股东的净利润</w:t>
            </w:r>
          </w:p>
        </w:tc>
        <w:tc>
          <w:tcPr>
            <w:tcW w:w="1840" w:type="dxa"/>
            <w:tcBorders>
              <w:top w:val="single" w:color="auto" w:sz="4" w:space="0"/>
              <w:left w:val="single" w:color="auto" w:sz="4" w:space="0"/>
              <w:bottom w:val="single" w:color="auto" w:sz="4" w:space="0"/>
              <w:right w:val="single" w:color="auto" w:sz="4" w:space="0"/>
            </w:tcBorders>
            <w:vAlign w:val="center"/>
          </w:tcPr>
          <w:p w14:paraId="2AF8CC09">
            <w:pPr>
              <w:jc w:val="right"/>
              <w:rPr>
                <w:rFonts w:ascii="Calibri" w:hAnsi="Calibri"/>
                <w:sz w:val="20"/>
                <w:szCs w:val="20"/>
              </w:rPr>
            </w:pPr>
            <w:r>
              <w:rPr>
                <w:rFonts w:ascii="Calibri" w:hAnsi="Calibri"/>
                <w:sz w:val="20"/>
                <w:szCs w:val="20"/>
              </w:rPr>
              <w:t>18.36</w:t>
            </w:r>
          </w:p>
        </w:tc>
        <w:tc>
          <w:tcPr>
            <w:tcW w:w="2146" w:type="dxa"/>
            <w:tcBorders>
              <w:top w:val="single" w:color="auto" w:sz="4" w:space="0"/>
              <w:left w:val="single" w:color="auto" w:sz="4" w:space="0"/>
              <w:bottom w:val="single" w:color="auto" w:sz="4" w:space="0"/>
              <w:right w:val="single" w:color="auto" w:sz="4" w:space="0"/>
            </w:tcBorders>
            <w:vAlign w:val="center"/>
          </w:tcPr>
          <w:p w14:paraId="1CEB65E3">
            <w:pPr>
              <w:jc w:val="right"/>
              <w:rPr>
                <w:rFonts w:ascii="Calibri" w:hAnsi="Calibri"/>
                <w:sz w:val="20"/>
                <w:szCs w:val="20"/>
              </w:rPr>
            </w:pPr>
            <w:r>
              <w:rPr>
                <w:rFonts w:ascii="Calibri" w:hAnsi="Calibri"/>
                <w:sz w:val="20"/>
                <w:szCs w:val="20"/>
              </w:rPr>
              <w:t>0.62</w:t>
            </w:r>
          </w:p>
        </w:tc>
        <w:tc>
          <w:tcPr>
            <w:tcW w:w="2148" w:type="dxa"/>
            <w:tcBorders>
              <w:top w:val="single" w:color="auto" w:sz="4" w:space="0"/>
              <w:left w:val="single" w:color="auto" w:sz="4" w:space="0"/>
              <w:bottom w:val="single" w:color="auto" w:sz="4" w:space="0"/>
              <w:right w:val="single" w:color="auto" w:sz="4" w:space="0"/>
            </w:tcBorders>
            <w:vAlign w:val="center"/>
          </w:tcPr>
          <w:p w14:paraId="5976030C">
            <w:pPr>
              <w:jc w:val="right"/>
              <w:rPr>
                <w:rFonts w:ascii="Calibri" w:hAnsi="Calibri"/>
                <w:sz w:val="20"/>
                <w:szCs w:val="20"/>
              </w:rPr>
            </w:pPr>
            <w:r>
              <w:rPr>
                <w:rFonts w:ascii="Calibri" w:hAnsi="Calibri"/>
                <w:sz w:val="20"/>
                <w:szCs w:val="20"/>
              </w:rPr>
              <w:t>0.62</w:t>
            </w:r>
          </w:p>
        </w:tc>
      </w:tr>
      <w:tr w14:paraId="29FA53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3" w:type="dxa"/>
            <w:tcBorders>
              <w:top w:val="single" w:color="auto" w:sz="4" w:space="0"/>
              <w:left w:val="single" w:color="auto" w:sz="4" w:space="0"/>
              <w:bottom w:val="single" w:color="auto" w:sz="4" w:space="0"/>
              <w:right w:val="single" w:color="auto" w:sz="4" w:space="0"/>
            </w:tcBorders>
            <w:vAlign w:val="center"/>
          </w:tcPr>
          <w:p w14:paraId="6E3D3A78">
            <w:pPr>
              <w:pStyle w:val="48"/>
              <w:rPr>
                <w:sz w:val="20"/>
                <w:szCs w:val="20"/>
              </w:rPr>
            </w:pPr>
            <w:r>
              <w:rPr>
                <w:sz w:val="20"/>
                <w:szCs w:val="20"/>
              </w:rPr>
              <w:t>扣除非经常性损益后归属于公司普通股股东的净利润</w:t>
            </w:r>
          </w:p>
        </w:tc>
        <w:tc>
          <w:tcPr>
            <w:tcW w:w="1840" w:type="dxa"/>
            <w:tcBorders>
              <w:top w:val="single" w:color="auto" w:sz="4" w:space="0"/>
              <w:left w:val="single" w:color="auto" w:sz="4" w:space="0"/>
              <w:bottom w:val="single" w:color="auto" w:sz="4" w:space="0"/>
              <w:right w:val="single" w:color="auto" w:sz="4" w:space="0"/>
            </w:tcBorders>
            <w:vAlign w:val="center"/>
          </w:tcPr>
          <w:p w14:paraId="63985DF8">
            <w:pPr>
              <w:jc w:val="right"/>
              <w:rPr>
                <w:rFonts w:ascii="Calibri" w:hAnsi="Calibri"/>
                <w:sz w:val="20"/>
                <w:szCs w:val="20"/>
              </w:rPr>
            </w:pPr>
            <w:r>
              <w:rPr>
                <w:rFonts w:ascii="Calibri" w:hAnsi="Calibri"/>
                <w:sz w:val="20"/>
                <w:szCs w:val="20"/>
              </w:rPr>
              <w:t>6.03</w:t>
            </w:r>
          </w:p>
        </w:tc>
        <w:tc>
          <w:tcPr>
            <w:tcW w:w="2146" w:type="dxa"/>
            <w:tcBorders>
              <w:top w:val="single" w:color="auto" w:sz="4" w:space="0"/>
              <w:left w:val="single" w:color="auto" w:sz="4" w:space="0"/>
              <w:bottom w:val="single" w:color="auto" w:sz="4" w:space="0"/>
              <w:right w:val="single" w:color="auto" w:sz="4" w:space="0"/>
            </w:tcBorders>
            <w:vAlign w:val="center"/>
          </w:tcPr>
          <w:p w14:paraId="6A9E7693">
            <w:pPr>
              <w:jc w:val="right"/>
              <w:rPr>
                <w:rFonts w:ascii="Calibri" w:hAnsi="Calibri"/>
                <w:sz w:val="20"/>
                <w:szCs w:val="20"/>
              </w:rPr>
            </w:pPr>
            <w:r>
              <w:rPr>
                <w:rFonts w:ascii="Calibri" w:hAnsi="Calibri"/>
                <w:sz w:val="20"/>
                <w:szCs w:val="20"/>
              </w:rPr>
              <w:t>0.19</w:t>
            </w:r>
          </w:p>
        </w:tc>
        <w:tc>
          <w:tcPr>
            <w:tcW w:w="2148" w:type="dxa"/>
            <w:tcBorders>
              <w:top w:val="single" w:color="auto" w:sz="4" w:space="0"/>
              <w:left w:val="single" w:color="auto" w:sz="4" w:space="0"/>
              <w:bottom w:val="single" w:color="auto" w:sz="4" w:space="0"/>
              <w:right w:val="single" w:color="auto" w:sz="4" w:space="0"/>
            </w:tcBorders>
            <w:vAlign w:val="center"/>
          </w:tcPr>
          <w:p w14:paraId="02148D17">
            <w:pPr>
              <w:jc w:val="right"/>
              <w:rPr>
                <w:rFonts w:ascii="Calibri" w:hAnsi="Calibri"/>
                <w:sz w:val="20"/>
                <w:szCs w:val="20"/>
              </w:rPr>
            </w:pPr>
            <w:r>
              <w:rPr>
                <w:rFonts w:ascii="Calibri" w:hAnsi="Calibri"/>
                <w:sz w:val="20"/>
                <w:szCs w:val="20"/>
              </w:rPr>
              <w:t>0.19</w:t>
            </w:r>
          </w:p>
        </w:tc>
      </w:tr>
    </w:tbl>
    <w:p w14:paraId="30EED8E5">
      <w:pPr>
        <w:pStyle w:val="48"/>
      </w:pPr>
    </w:p>
    <w:p w14:paraId="787CF193">
      <w:pPr>
        <w:pStyle w:val="4"/>
        <w:numPr>
          <w:ilvl w:val="0"/>
          <w:numId w:val="133"/>
        </w:numPr>
        <w:rPr>
          <w:rFonts w:ascii="宋体" w:hAnsi="宋体"/>
          <w:szCs w:val="21"/>
        </w:rPr>
      </w:pPr>
      <w:r>
        <w:rPr>
          <w:rFonts w:hint="eastAsia" w:ascii="宋体" w:hAnsi="宋体"/>
          <w:szCs w:val="21"/>
        </w:rPr>
        <w:t>境内外会计准则下会计数据差异</w:t>
      </w:r>
    </w:p>
    <w:sdt>
      <w:sdtPr>
        <w:alias w:val="是否适用：境内外会计准则下会计数据差异[双击切换]"/>
        <w:tag w:val="_GBC_256af937a96e4869ba07cb19341957bb"/>
        <w:id w:val="664049435"/>
        <w:placeholder>
          <w:docPart w:val="GBC22222222222222222222222222222"/>
        </w:placeholder>
      </w:sdtPr>
      <w:sdtContent>
        <w:p w14:paraId="2AEEF53D">
          <w:pPr>
            <w:pStyle w:val="48"/>
            <w:rPr>
              <w:rFonts w:cstheme="minorBidi"/>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241D545">
      <w:pPr>
        <w:rPr>
          <w:rFonts w:cstheme="minorBidi"/>
          <w:kern w:val="2"/>
        </w:rPr>
      </w:pPr>
    </w:p>
    <w:p w14:paraId="04C98A9E">
      <w:pPr>
        <w:pStyle w:val="48"/>
        <w:sectPr>
          <w:pgSz w:w="11906" w:h="16838"/>
          <w:pgMar w:top="1525" w:right="1276" w:bottom="1440" w:left="1797" w:header="856" w:footer="992" w:gutter="0"/>
          <w:cols w:space="425" w:num="1"/>
          <w:docGrid w:linePitch="312" w:charSpace="0"/>
        </w:sectPr>
      </w:pPr>
    </w:p>
    <w:p w14:paraId="08730C79">
      <w:pPr>
        <w:pStyle w:val="48"/>
      </w:pPr>
    </w:p>
    <w:p w14:paraId="3FE8B937">
      <w:pPr>
        <w:pStyle w:val="4"/>
        <w:numPr>
          <w:ilvl w:val="0"/>
          <w:numId w:val="133"/>
        </w:numPr>
        <w:rPr>
          <w:rFonts w:ascii="宋体" w:hAnsi="宋体"/>
          <w:szCs w:val="21"/>
        </w:rPr>
      </w:pPr>
      <w:r>
        <w:rPr>
          <w:rFonts w:hint="eastAsia" w:ascii="宋体" w:hAnsi="宋体"/>
          <w:szCs w:val="21"/>
        </w:rPr>
        <w:t>其他</w:t>
      </w:r>
    </w:p>
    <w:sdt>
      <w:sdtPr>
        <w:rPr>
          <w:rFonts w:hint="eastAsia"/>
        </w:rPr>
        <w:alias w:val="是否适用：补充资料其他说明事项[双击切换]"/>
        <w:tag w:val="_GBC_96c49cb17ab64891ac1d396be649be3c"/>
        <w:id w:val="1741371723"/>
        <w:placeholder>
          <w:docPart w:val="GBC22222222222222222222222222222"/>
        </w:placeholder>
      </w:sdtPr>
      <w:sdtEndPr>
        <w:rPr>
          <w:rFonts w:hint="eastAsia"/>
        </w:rPr>
      </w:sdtEndPr>
      <w:sdtContent>
        <w:p w14:paraId="35EF59E9">
          <w:pPr>
            <w:pStyle w:val="48"/>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535CF2B">
      <w:pPr>
        <w:pStyle w:val="48"/>
      </w:pPr>
    </w:p>
    <w:p w14:paraId="16429070">
      <w:pPr>
        <w:spacing w:line="360" w:lineRule="exact"/>
        <w:ind w:right="5"/>
        <w:rPr>
          <w:b/>
          <w:bCs/>
          <w:sz w:val="24"/>
        </w:rPr>
      </w:pPr>
      <w:bookmarkStart w:id="437" w:name="_Hlk89951888"/>
      <w:bookmarkStart w:id="438" w:name="_Hlk90043452"/>
    </w:p>
    <w:p w14:paraId="6645DB92">
      <w:pPr>
        <w:wordWrap w:val="0"/>
        <w:spacing w:line="360" w:lineRule="exact"/>
        <w:jc w:val="right"/>
        <w:rPr>
          <w:u w:val="single"/>
        </w:rPr>
      </w:pPr>
      <w:r>
        <w:t>董事长：</w:t>
      </w:r>
      <w:sdt>
        <w:sdtPr>
          <w:alias w:val="报告发布人"/>
          <w:tag w:val="_GBC_728ad6dff57942a69e22fcccc1f10a3c"/>
          <w:id w:val="-1037811582"/>
          <w:placeholder>
            <w:docPart w:val="GBC22222222222222222222222222222"/>
          </w:placeholder>
        </w:sdtPr>
        <w:sdtContent>
          <w:r>
            <w:rPr>
              <w:rFonts w:hint="eastAsia"/>
            </w:rPr>
            <w:t>李佳鸿</w:t>
          </w:r>
        </w:sdtContent>
      </w:sdt>
      <w:r>
        <w:rPr>
          <w:rFonts w:hint="eastAsia"/>
        </w:rPr>
        <w:t xml:space="preserve"> </w:t>
      </w:r>
    </w:p>
    <w:p w14:paraId="11479241">
      <w:pPr>
        <w:spacing w:line="360" w:lineRule="exact"/>
        <w:jc w:val="right"/>
      </w:pPr>
      <w:r>
        <w:t>董事会批准报送日期：</w:t>
      </w:r>
      <w:sdt>
        <w:sdtPr>
          <w:alias w:val="报告董事会批准报送日期"/>
          <w:tag w:val="_GBC_7b8c4a7926dc47299591537f5943936d"/>
          <w:id w:val="315236734"/>
          <w:placeholder>
            <w:docPart w:val="GBC22222222222222222222222222222"/>
          </w:placeholder>
          <w:date w:fullDate="2026-04-17T00:00:00Z">
            <w:dateFormat w:val="yyyy'年'M'月'd'日'"/>
            <w:lid w:val="zh-CN"/>
            <w:storeMappedDataAs w:val="datetime"/>
            <w:calendar w:val="gregorian"/>
          </w:date>
        </w:sdtPr>
        <w:sdtContent>
          <w:r>
            <w:rPr>
              <w:rFonts w:hint="eastAsia"/>
            </w:rPr>
            <w:t>2026年4月17日</w:t>
          </w:r>
        </w:sdtContent>
      </w:sdt>
      <w:r>
        <w:rPr>
          <w:rFonts w:hint="eastAsia"/>
        </w:rPr>
        <w:t xml:space="preserve"> </w:t>
      </w:r>
    </w:p>
    <w:bookmarkEnd w:id="437"/>
    <w:bookmarkEnd w:id="438"/>
    <w:p w14:paraId="3E088070">
      <w:pPr>
        <w:spacing w:line="360" w:lineRule="exact"/>
        <w:ind w:right="5"/>
      </w:pPr>
    </w:p>
    <w:p w14:paraId="7DCE6A41">
      <w:pPr>
        <w:spacing w:line="360" w:lineRule="exact"/>
        <w:ind w:right="5"/>
        <w:rPr>
          <w:b/>
          <w:sz w:val="24"/>
        </w:rPr>
      </w:pPr>
      <w:r>
        <w:rPr>
          <w:b/>
          <w:sz w:val="24"/>
        </w:rPr>
        <w:t>修订信息</w:t>
      </w:r>
    </w:p>
    <w:sdt>
      <w:sdtPr>
        <w:alias w:val="是否适用：修订信息表[双击切换]"/>
        <w:tag w:val="_GBC_888e757d42a24d3a87b71f50b0589b0a"/>
        <w:id w:val="1051504883"/>
        <w:placeholder>
          <w:docPart w:val="GBC22222222222222222222222222222"/>
        </w:placeholder>
      </w:sdtPr>
      <w:sdtContent>
        <w:p w14:paraId="293964CA">
          <w:pPr>
            <w:pStyle w:val="48"/>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ectPr>
      <w:pgSz w:w="11906" w:h="16838"/>
      <w:pgMar w:top="1525" w:right="1276" w:bottom="1440" w:left="1797" w:header="856"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EFF" w:usb1="C0007843" w:usb2="00000009" w:usb3="00000000" w:csb0="400001FF" w:csb1="FFFF0000"/>
  </w:font>
  <w:font w:name="Noto Sans CJK JP Regular">
    <w:altName w:val="宋体"/>
    <w:panose1 w:val="00000000000000000000"/>
    <w:charset w:val="86"/>
    <w:family w:val="swiss"/>
    <w:pitch w:val="default"/>
    <w:sig w:usb0="00000000" w:usb1="00000000" w:usb2="00000016" w:usb3="00000000" w:csb0="602E0107" w:csb1="00000000"/>
  </w:font>
  <w:font w:name="Arial Unicode MS">
    <w:altName w:val="宋体"/>
    <w:panose1 w:val="020B0604020202020204"/>
    <w:charset w:val="86"/>
    <w:family w:val="swiss"/>
    <w:pitch w:val="default"/>
    <w:sig w:usb0="00000000" w:usb1="00000000" w:usb2="0000003F" w:usb3="00000000" w:csb0="003F01FF" w:csb1="00000000"/>
  </w:font>
  <w:font w:name="Helvetica-Narrow">
    <w:altName w:val="Arial Narrow"/>
    <w:panose1 w:val="00000000000000000000"/>
    <w:charset w:val="00"/>
    <w:family w:val="swiss"/>
    <w:pitch w:val="default"/>
    <w:sig w:usb0="00000000" w:usb1="00000000" w:usb2="00000000" w:usb3="00000000" w:csb0="00000001" w:csb1="00000000"/>
  </w:font>
  <w:font w:name="FZLTSK--GBK1-0">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CF3C50" w:usb2="00000016" w:usb3="00000000" w:csb0="0004001F" w:csb1="00000000"/>
  </w:font>
  <w:font w:name="宋体-方正超大字符集">
    <w:altName w:val="宋体"/>
    <w:panose1 w:val="00000000000000000000"/>
    <w:charset w:val="86"/>
    <w:family w:val="script"/>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2A292">
    <w:pPr>
      <w:pStyle w:val="14"/>
      <w:jc w:val="center"/>
    </w:pP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232</w:t>
    </w:r>
    <w:r>
      <w:rPr>
        <w:b/>
        <w:bCs/>
        <w:sz w:val="24"/>
        <w:szCs w:val="24"/>
      </w:rPr>
      <w:fldChar w:fldCharType="end"/>
    </w:r>
  </w:p>
  <w:p w14:paraId="44B410E9">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5E56B">
    <w:pPr>
      <w:pStyle w:val="15"/>
      <w:tabs>
        <w:tab w:val="left" w:pos="8364"/>
        <w:tab w:val="left" w:pos="8505"/>
        <w:tab w:val="clear" w:pos="8306"/>
      </w:tabs>
      <w:ind w:right="21" w:rightChars="10"/>
      <w:jc w:val="right"/>
      <w:rPr>
        <w:b/>
      </w:rPr>
    </w:pPr>
    <w:r>
      <w:drawing>
        <wp:inline distT="0" distB="0" distL="0" distR="0">
          <wp:extent cx="341630" cy="219710"/>
          <wp:effectExtent l="0" t="0" r="127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41630" cy="219710"/>
                  </a:xfrm>
                  <a:prstGeom prst="rect">
                    <a:avLst/>
                  </a:prstGeom>
                  <a:noFill/>
                </pic:spPr>
              </pic:pic>
            </a:graphicData>
          </a:graphic>
        </wp:inline>
      </w:drawing>
    </w:r>
    <w:sdt>
      <w:sdtPr>
        <w:rPr>
          <w:rFonts w:hint="eastAsia"/>
        </w:rPr>
        <w:alias w:val="公司法定中文名称"/>
        <w:tag w:val="_GBC_e3e0c995ecc548d39789fc25ee290bfb"/>
        <w:id w:val="1836415349"/>
        <w:dataBinding w:prefixMappings="xmlns:clcid-cgi='clcid-cgi'" w:xpath="/*/clcid-cgi:GongSiFaDingZhongWenMingCheng[not(@periodRef)]" w:storeItemID="{89EBAB94-44A0-46A2-B712-30D997D04A6D}"/>
        <w:text/>
      </w:sdtPr>
      <w:sdtEndPr>
        <w:rPr>
          <w:rFonts w:hint="eastAsia"/>
        </w:rPr>
      </w:sdtEndPr>
      <w:sdtContent>
        <w:r>
          <w:rPr>
            <w:rFonts w:hint="eastAsia"/>
          </w:rPr>
          <w:t>通化东宝药业股份有限公司</w:t>
        </w:r>
      </w:sdtContent>
    </w:sdt>
    <w:r>
      <w:rPr>
        <w:rFonts w:hint="eastAsia"/>
      </w:rPr>
      <w:t>2025年年度报告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81BA2"/>
    <w:multiLevelType w:val="multilevel"/>
    <w:tmpl w:val="00281BA2"/>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E04FA8"/>
    <w:multiLevelType w:val="multilevel"/>
    <w:tmpl w:val="00E04FA8"/>
    <w:lvl w:ilvl="0" w:tentative="0">
      <w:start w:val="1"/>
      <w:numFmt w:val="chineseCountingThousand"/>
      <w:suff w:val="nothing"/>
      <w:lvlText w:val="%1、"/>
      <w:lvlJc w:val="left"/>
      <w:pPr>
        <w:ind w:left="450" w:hanging="45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1350AEB"/>
    <w:multiLevelType w:val="multilevel"/>
    <w:tmpl w:val="01350AEB"/>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
    <w:nsid w:val="01525F71"/>
    <w:multiLevelType w:val="multilevel"/>
    <w:tmpl w:val="01525F71"/>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1845E5E"/>
    <w:multiLevelType w:val="multilevel"/>
    <w:tmpl w:val="01845E5E"/>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2AC2E54"/>
    <w:multiLevelType w:val="multilevel"/>
    <w:tmpl w:val="02AC2E54"/>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
    <w:nsid w:val="040A20D4"/>
    <w:multiLevelType w:val="multilevel"/>
    <w:tmpl w:val="040A20D4"/>
    <w:lvl w:ilvl="0" w:tentative="0">
      <w:start w:val="1"/>
      <w:numFmt w:val="decimal"/>
      <w:lvlText w:val="%1."/>
      <w:lvlJc w:val="left"/>
      <w:pPr>
        <w:ind w:left="425" w:hanging="425"/>
      </w:pPr>
      <w:rPr>
        <w:rFonts w:hint="eastAsia"/>
      </w:rPr>
    </w:lvl>
    <w:lvl w:ilvl="1" w:tentative="0">
      <w:start w:val="1"/>
      <w:numFmt w:val="chineseCountingThousand"/>
      <w:suff w:val="space"/>
      <w:lvlText w:val="(%2)"/>
      <w:lvlJc w:val="left"/>
      <w:pPr>
        <w:ind w:left="425" w:hanging="425"/>
      </w:pPr>
      <w:rPr>
        <w:rFonts w:hint="eastAsia" w:ascii="宋体" w:hAnsi="宋体" w:eastAsia="宋体"/>
      </w:rPr>
    </w:lvl>
    <w:lvl w:ilvl="2" w:tentative="0">
      <w:start w:val="1"/>
      <w:numFmt w:val="decimal"/>
      <w:lvlText w:val="%1.%2.%3."/>
      <w:lvlJc w:val="left"/>
      <w:pPr>
        <w:ind w:left="425" w:hanging="425"/>
      </w:pPr>
      <w:rPr>
        <w:rFonts w:hint="eastAsia"/>
      </w:rPr>
    </w:lvl>
    <w:lvl w:ilvl="3" w:tentative="0">
      <w:start w:val="1"/>
      <w:numFmt w:val="decimal"/>
      <w:lvlText w:val="%1.%2.%3.%4."/>
      <w:lvlJc w:val="left"/>
      <w:pPr>
        <w:ind w:left="425" w:hanging="425"/>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7">
    <w:nsid w:val="073B0DF0"/>
    <w:multiLevelType w:val="multilevel"/>
    <w:tmpl w:val="073B0DF0"/>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78B1150"/>
    <w:multiLevelType w:val="multilevel"/>
    <w:tmpl w:val="078B1150"/>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07A74CD6"/>
    <w:multiLevelType w:val="multilevel"/>
    <w:tmpl w:val="07A74CD6"/>
    <w:lvl w:ilvl="0" w:tentative="0">
      <w:start w:val="1"/>
      <w:numFmt w:val="chineseCountingThousand"/>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09BB0547"/>
    <w:multiLevelType w:val="multilevel"/>
    <w:tmpl w:val="09BB0547"/>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0AAF1C19"/>
    <w:multiLevelType w:val="multilevel"/>
    <w:tmpl w:val="0AAF1C19"/>
    <w:lvl w:ilvl="0" w:tentative="0">
      <w:start w:val="1"/>
      <w:numFmt w:val="chineseCountingThousand"/>
      <w:suff w:val="nothing"/>
      <w:lvlText w:val="%1、"/>
      <w:lvlJc w:val="left"/>
      <w:pPr>
        <w:ind w:left="420" w:hanging="420"/>
      </w:pPr>
      <w:rPr>
        <w:rFonts w:hint="eastAsia"/>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B5027E4"/>
    <w:multiLevelType w:val="multilevel"/>
    <w:tmpl w:val="0B5027E4"/>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BC35E79"/>
    <w:multiLevelType w:val="multilevel"/>
    <w:tmpl w:val="0BC35E79"/>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0C8B6E36"/>
    <w:multiLevelType w:val="multilevel"/>
    <w:tmpl w:val="0C8B6E36"/>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0DFF20AC"/>
    <w:multiLevelType w:val="multilevel"/>
    <w:tmpl w:val="0DFF20AC"/>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
    <w:nsid w:val="0E0B6335"/>
    <w:multiLevelType w:val="multilevel"/>
    <w:tmpl w:val="0E0B6335"/>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0E5F0032"/>
    <w:multiLevelType w:val="multilevel"/>
    <w:tmpl w:val="0E5F0032"/>
    <w:lvl w:ilvl="0" w:tentative="0">
      <w:start w:val="1"/>
      <w:numFmt w:val="decimal"/>
      <w:suff w:val="space"/>
      <w:lvlText w:val="(%1)."/>
      <w:lvlJc w:val="left"/>
      <w:pPr>
        <w:ind w:left="360" w:hanging="36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F0B59D2"/>
    <w:multiLevelType w:val="multilevel"/>
    <w:tmpl w:val="0F0B59D2"/>
    <w:lvl w:ilvl="0" w:tentative="0">
      <w:start w:val="1"/>
      <w:numFmt w:val="chineseCountingThousand"/>
      <w:lvlText w:val="(%1)"/>
      <w:lvlJc w:val="left"/>
      <w:pPr>
        <w:ind w:left="0" w:firstLine="0"/>
      </w:pPr>
      <w:rPr>
        <w:rFonts w:hint="default"/>
      </w:rPr>
    </w:lvl>
    <w:lvl w:ilvl="1" w:tentative="0">
      <w:start w:val="1"/>
      <w:numFmt w:val="chineseCountingThousand"/>
      <w:suff w:val="space"/>
      <w:lvlText w:val="(%2)"/>
      <w:lvlJc w:val="left"/>
      <w:pPr>
        <w:ind w:left="0" w:firstLine="0"/>
      </w:pPr>
      <w:rPr>
        <w:rFonts w:hint="eastAsia" w:ascii="宋体" w:hAnsi="宋体" w:eastAsia="宋体"/>
      </w:rPr>
    </w:lvl>
    <w:lvl w:ilvl="2" w:tentative="0">
      <w:start w:val="1"/>
      <w:numFmt w:val="chineseCountingThousand"/>
      <w:suff w:val="nothing"/>
      <w:lvlText w:val="(%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9">
    <w:nsid w:val="10444203"/>
    <w:multiLevelType w:val="multilevel"/>
    <w:tmpl w:val="1044420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131427F1"/>
    <w:multiLevelType w:val="multilevel"/>
    <w:tmpl w:val="131427F1"/>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1">
    <w:nsid w:val="13485E06"/>
    <w:multiLevelType w:val="multilevel"/>
    <w:tmpl w:val="13485E06"/>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13640BEE"/>
    <w:multiLevelType w:val="multilevel"/>
    <w:tmpl w:val="13640BEE"/>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4DB5685"/>
    <w:multiLevelType w:val="multilevel"/>
    <w:tmpl w:val="14DB5685"/>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4">
    <w:nsid w:val="150229FD"/>
    <w:multiLevelType w:val="multilevel"/>
    <w:tmpl w:val="150229FD"/>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5">
    <w:nsid w:val="16173435"/>
    <w:multiLevelType w:val="multilevel"/>
    <w:tmpl w:val="16173435"/>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6BF56D7"/>
    <w:multiLevelType w:val="multilevel"/>
    <w:tmpl w:val="16BF56D7"/>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7">
    <w:nsid w:val="1A195AE6"/>
    <w:multiLevelType w:val="multilevel"/>
    <w:tmpl w:val="1A195AE6"/>
    <w:lvl w:ilvl="0" w:tentative="0">
      <w:start w:val="1"/>
      <w:numFmt w:val="decimal"/>
      <w:suff w:val="nothing"/>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8">
    <w:nsid w:val="1A2F27F7"/>
    <w:multiLevelType w:val="multilevel"/>
    <w:tmpl w:val="1A2F27F7"/>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1AE1535C"/>
    <w:multiLevelType w:val="multilevel"/>
    <w:tmpl w:val="1AE1535C"/>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1BBA5864"/>
    <w:multiLevelType w:val="multilevel"/>
    <w:tmpl w:val="1BBA5864"/>
    <w:lvl w:ilvl="0" w:tentative="0">
      <w:start w:val="1"/>
      <w:numFmt w:val="decimal"/>
      <w:lvlText w:val="%1、"/>
      <w:lvlJc w:val="left"/>
      <w:pPr>
        <w:ind w:left="425" w:hanging="425"/>
      </w:pPr>
      <w:rPr>
        <w:rFonts w:hint="eastAsia" w:eastAsia="宋体" w:asciiTheme="majorEastAsia" w:hAnsiTheme="majorEastAsia"/>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1BDA2002"/>
    <w:multiLevelType w:val="multilevel"/>
    <w:tmpl w:val="1BDA2002"/>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2">
    <w:nsid w:val="1C8B47B7"/>
    <w:multiLevelType w:val="multilevel"/>
    <w:tmpl w:val="1C8B47B7"/>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3">
    <w:nsid w:val="1CA476F8"/>
    <w:multiLevelType w:val="multilevel"/>
    <w:tmpl w:val="1CA476F8"/>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4">
    <w:nsid w:val="1D184AF3"/>
    <w:multiLevelType w:val="multilevel"/>
    <w:tmpl w:val="1D184AF3"/>
    <w:lvl w:ilvl="0" w:tentative="0">
      <w:start w:val="1"/>
      <w:numFmt w:val="japaneseCounting"/>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
    <w:nsid w:val="1D8B1C47"/>
    <w:multiLevelType w:val="multilevel"/>
    <w:tmpl w:val="1D8B1C47"/>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1E0F4F1A"/>
    <w:multiLevelType w:val="multilevel"/>
    <w:tmpl w:val="1E0F4F1A"/>
    <w:lvl w:ilvl="0" w:tentative="0">
      <w:start w:val="1"/>
      <w:numFmt w:val="chineseCountingThousand"/>
      <w:lvlText w:val="%1、"/>
      <w:lvlJc w:val="left"/>
      <w:pPr>
        <w:ind w:left="0" w:firstLine="0"/>
      </w:pPr>
      <w:rPr>
        <w:rFonts w:hint="default"/>
        <w:b/>
        <w:i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1E7D59FA"/>
    <w:multiLevelType w:val="multilevel"/>
    <w:tmpl w:val="1E7D59FA"/>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38">
    <w:nsid w:val="1E9B5267"/>
    <w:multiLevelType w:val="multilevel"/>
    <w:tmpl w:val="1E9B5267"/>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1EB66AAF"/>
    <w:multiLevelType w:val="multilevel"/>
    <w:tmpl w:val="1EB66AAF"/>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1EC46A5D"/>
    <w:multiLevelType w:val="multilevel"/>
    <w:tmpl w:val="1EC46A5D"/>
    <w:lvl w:ilvl="0" w:tentative="0">
      <w:start w:val="1"/>
      <w:numFmt w:val="chineseCountingThousand"/>
      <w:suff w:val="nothing"/>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208957F4"/>
    <w:multiLevelType w:val="multilevel"/>
    <w:tmpl w:val="208957F4"/>
    <w:lvl w:ilvl="0" w:tentative="0">
      <w:start w:val="1"/>
      <w:numFmt w:val="decimal"/>
      <w:lvlText w:val="(%1)."/>
      <w:lvlJc w:val="left"/>
      <w:pPr>
        <w:ind w:left="0" w:firstLine="0"/>
      </w:pPr>
      <w:rPr>
        <w:rFonts w:hint="default" w:ascii="宋体" w:hAnsi="宋体" w:eastAsia="宋体"/>
        <w:color w:val="auto"/>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2">
    <w:nsid w:val="21E054DF"/>
    <w:multiLevelType w:val="multilevel"/>
    <w:tmpl w:val="21E054DF"/>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3">
    <w:nsid w:val="226950B6"/>
    <w:multiLevelType w:val="multilevel"/>
    <w:tmpl w:val="226950B6"/>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4">
    <w:nsid w:val="233F58C6"/>
    <w:multiLevelType w:val="multilevel"/>
    <w:tmpl w:val="233F58C6"/>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5">
    <w:nsid w:val="256B4536"/>
    <w:multiLevelType w:val="multilevel"/>
    <w:tmpl w:val="256B4536"/>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suff w:val="space"/>
      <w:lvlText w:val="(%4)."/>
      <w:lvlJc w:val="left"/>
      <w:pPr>
        <w:ind w:left="0" w:firstLine="0"/>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6">
    <w:nsid w:val="265838AC"/>
    <w:multiLevelType w:val="multilevel"/>
    <w:tmpl w:val="265838AC"/>
    <w:lvl w:ilvl="0" w:tentative="0">
      <w:start w:val="1"/>
      <w:numFmt w:val="decimal"/>
      <w:lvlText w:val="%1、"/>
      <w:lvlJc w:val="left"/>
      <w:pPr>
        <w:ind w:left="420" w:hanging="42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268159B1"/>
    <w:multiLevelType w:val="multilevel"/>
    <w:tmpl w:val="268159B1"/>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
      <w:lvlJc w:val="left"/>
      <w:pPr>
        <w:ind w:left="0" w:firstLine="0"/>
      </w:pPr>
      <w:rPr>
        <w:rFonts w:hint="eastAsia" w:ascii="宋体" w:hAnsi="宋体" w:eastAsia="宋体"/>
        <w:b/>
        <w:color w:val="auto"/>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8">
    <w:nsid w:val="26C7628B"/>
    <w:multiLevelType w:val="multilevel"/>
    <w:tmpl w:val="26C7628B"/>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9">
    <w:nsid w:val="270A7379"/>
    <w:multiLevelType w:val="multilevel"/>
    <w:tmpl w:val="270A7379"/>
    <w:lvl w:ilvl="0" w:tentative="0">
      <w:start w:val="1"/>
      <w:numFmt w:val="chineseCountingThousand"/>
      <w:lvlText w:val="(%1)"/>
      <w:lvlJc w:val="right"/>
      <w:pPr>
        <w:ind w:left="1260" w:hanging="420"/>
      </w:pPr>
      <w:rPr>
        <w:rFonts w:hint="eastAsia"/>
      </w:rPr>
    </w:lvl>
    <w:lvl w:ilvl="1" w:tentative="0">
      <w:start w:val="1"/>
      <w:numFmt w:val="lowerLetter"/>
      <w:lvlText w:val="%2)"/>
      <w:lvlJc w:val="left"/>
      <w:pPr>
        <w:ind w:left="840" w:hanging="420"/>
      </w:pPr>
    </w:lvl>
    <w:lvl w:ilvl="2" w:tentative="0">
      <w:start w:val="1"/>
      <w:numFmt w:val="chineseCountingThousand"/>
      <w:lvlText w:val="(%3)"/>
      <w:lvlJc w:val="right"/>
      <w:pPr>
        <w:ind w:left="420" w:hanging="420"/>
      </w:pPr>
      <w:rPr>
        <w:rFonts w:hint="eastAsia"/>
      </w:rPr>
    </w:lvl>
    <w:lvl w:ilvl="3" w:tentative="0">
      <w:start w:val="1"/>
      <w:numFmt w:val="chineseCountingThousand"/>
      <w:suff w:val="nothing"/>
      <w:lvlText w:val="(%4)"/>
      <w:lvlJc w:val="left"/>
      <w:pPr>
        <w:ind w:left="0" w:firstLine="0"/>
      </w:pPr>
      <w:rPr>
        <w:rFonts w:hint="eastAsia" w:ascii="宋体" w:hAnsi="宋体" w:eastAsia="宋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27A9429A"/>
    <w:multiLevelType w:val="multilevel"/>
    <w:tmpl w:val="27A9429A"/>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27BC1546"/>
    <w:multiLevelType w:val="multilevel"/>
    <w:tmpl w:val="27BC1546"/>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2">
    <w:nsid w:val="28243635"/>
    <w:multiLevelType w:val="multilevel"/>
    <w:tmpl w:val="28243635"/>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3">
    <w:nsid w:val="290142CA"/>
    <w:multiLevelType w:val="multilevel"/>
    <w:tmpl w:val="290142CA"/>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29817FDD"/>
    <w:multiLevelType w:val="multilevel"/>
    <w:tmpl w:val="29817FDD"/>
    <w:lvl w:ilvl="0" w:tentative="0">
      <w:start w:val="1"/>
      <w:numFmt w:val="decimal"/>
      <w:suff w:val="space"/>
      <w:lvlText w:val="(%1)."/>
      <w:lvlJc w:val="left"/>
      <w:pPr>
        <w:ind w:left="0" w:firstLine="0"/>
      </w:pPr>
      <w:rPr>
        <w:rFonts w:hint="eastAsia" w:eastAsia="宋体" w:asciiTheme="minorEastAsia" w:hAnsiTheme="minor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2AA407FE"/>
    <w:multiLevelType w:val="multilevel"/>
    <w:tmpl w:val="2AA407FE"/>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56">
    <w:nsid w:val="2AE67B12"/>
    <w:multiLevelType w:val="multilevel"/>
    <w:tmpl w:val="2AE67B12"/>
    <w:lvl w:ilvl="0" w:tentative="0">
      <w:start w:val="1"/>
      <w:numFmt w:val="chineseCountingThousand"/>
      <w:lvlText w:val="第%1节"/>
      <w:lvlJc w:val="left"/>
      <w:pPr>
        <w:ind w:left="0" w:firstLine="0"/>
      </w:pPr>
      <w:rPr>
        <w:rFonts w:hint="eastAsia"/>
        <w:color w:val="auto"/>
        <w:sz w:val="28"/>
        <w:szCs w:val="28"/>
        <w:u w:val="none"/>
        <w:lang w:val="en-US"/>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7">
    <w:nsid w:val="2D024EE2"/>
    <w:multiLevelType w:val="multilevel"/>
    <w:tmpl w:val="2D024EE2"/>
    <w:lvl w:ilvl="0" w:tentative="0">
      <w:start w:val="1"/>
      <w:numFmt w:val="decimalEnclosedCircle"/>
      <w:lvlText w:val="%1"/>
      <w:lvlJc w:val="left"/>
      <w:pPr>
        <w:ind w:left="780" w:hanging="360"/>
      </w:pPr>
      <w:rPr>
        <w:rFonts w:hint="default" w:ascii="宋体" w:hAnsi="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8">
    <w:nsid w:val="2DD469BF"/>
    <w:multiLevelType w:val="multilevel"/>
    <w:tmpl w:val="2DD469BF"/>
    <w:lvl w:ilvl="0" w:tentative="0">
      <w:start w:val="1"/>
      <w:numFmt w:val="decimal"/>
      <w:lvlText w:val="%1、"/>
      <w:lvlJc w:val="left"/>
      <w:pPr>
        <w:ind w:left="420" w:hanging="420"/>
      </w:pPr>
      <w:rPr>
        <w:rFonts w:hint="eastAsia" w:eastAsia="宋体" w:asciiTheme="majorEastAsia" w:hAnsiTheme="majorEastAsia"/>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2F5B7E7D"/>
    <w:multiLevelType w:val="multilevel"/>
    <w:tmpl w:val="2F5B7E7D"/>
    <w:lvl w:ilvl="0" w:tentative="0">
      <w:start w:val="1"/>
      <w:numFmt w:val="decimal"/>
      <w:lvlText w:val="%1、 "/>
      <w:lvlJc w:val="left"/>
      <w:pPr>
        <w:ind w:left="440" w:hanging="440"/>
      </w:pPr>
      <w:rPr>
        <w:rFonts w:hint="eastAsia" w:ascii="宋体" w:hAnsi="宋体" w:eastAsia="宋体"/>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0">
    <w:nsid w:val="316F354D"/>
    <w:multiLevelType w:val="multilevel"/>
    <w:tmpl w:val="316F354D"/>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1">
    <w:nsid w:val="31CF1D35"/>
    <w:multiLevelType w:val="multilevel"/>
    <w:tmpl w:val="31CF1D35"/>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352C0D49"/>
    <w:multiLevelType w:val="multilevel"/>
    <w:tmpl w:val="352C0D49"/>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36633EC1"/>
    <w:multiLevelType w:val="multilevel"/>
    <w:tmpl w:val="36633EC1"/>
    <w:lvl w:ilvl="0" w:tentative="0">
      <w:start w:val="1"/>
      <w:numFmt w:val="decimal"/>
      <w:suff w:val="space"/>
      <w:lvlText w:val="(%1)."/>
      <w:lvlJc w:val="left"/>
      <w:pPr>
        <w:ind w:left="0" w:firstLine="0"/>
      </w:pPr>
      <w:rPr>
        <w:rFonts w:hint="eastAsia" w:eastAsia="宋体" w:asciiTheme="minorEastAsia" w:hAnsiTheme="minor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3763145F"/>
    <w:multiLevelType w:val="multilevel"/>
    <w:tmpl w:val="3763145F"/>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38501CF7"/>
    <w:multiLevelType w:val="multilevel"/>
    <w:tmpl w:val="38501CF7"/>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66">
    <w:nsid w:val="38BE106F"/>
    <w:multiLevelType w:val="multilevel"/>
    <w:tmpl w:val="38BE106F"/>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7">
    <w:nsid w:val="39437294"/>
    <w:multiLevelType w:val="multilevel"/>
    <w:tmpl w:val="39437294"/>
    <w:lvl w:ilvl="0" w:tentative="0">
      <w:start w:val="1"/>
      <w:numFmt w:val="chineseCountingThousand"/>
      <w:suff w:val="nothing"/>
      <w:lvlText w:val="%1、"/>
      <w:lvlJc w:val="left"/>
      <w:pPr>
        <w:ind w:left="420" w:hanging="420"/>
      </w:pPr>
      <w:rPr>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8">
    <w:nsid w:val="39FA771B"/>
    <w:multiLevelType w:val="multilevel"/>
    <w:tmpl w:val="39FA771B"/>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3B1973F4"/>
    <w:multiLevelType w:val="multilevel"/>
    <w:tmpl w:val="3B1973F4"/>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3BBA0F71"/>
    <w:multiLevelType w:val="multilevel"/>
    <w:tmpl w:val="3BBA0F71"/>
    <w:lvl w:ilvl="0" w:tentative="0">
      <w:start w:val="1"/>
      <w:numFmt w:val="decimal"/>
      <w:suff w:val="space"/>
      <w:lvlText w:val="(%1)."/>
      <w:lvlJc w:val="left"/>
      <w:pPr>
        <w:ind w:left="360" w:hanging="36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3C1F29AF"/>
    <w:multiLevelType w:val="multilevel"/>
    <w:tmpl w:val="3C1F29AF"/>
    <w:lvl w:ilvl="0" w:tentative="0">
      <w:start w:val="1"/>
      <w:numFmt w:val="decimal"/>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2">
    <w:nsid w:val="3CA71B9B"/>
    <w:multiLevelType w:val="multilevel"/>
    <w:tmpl w:val="3CA71B9B"/>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3">
    <w:nsid w:val="3E5035CB"/>
    <w:multiLevelType w:val="multilevel"/>
    <w:tmpl w:val="3E5035CB"/>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3E883A04"/>
    <w:multiLevelType w:val="multilevel"/>
    <w:tmpl w:val="3E883A04"/>
    <w:lvl w:ilvl="0" w:tentative="0">
      <w:start w:val="1"/>
      <w:numFmt w:val="decimal"/>
      <w:lvlText w:val="%1、"/>
      <w:lvlJc w:val="left"/>
      <w:pPr>
        <w:ind w:left="425" w:hanging="425"/>
      </w:pPr>
      <w:rPr>
        <w:rFonts w:hint="eastAsia" w:ascii="宋体" w:hAnsi="宋体" w:eastAsia="宋体"/>
        <w:color w:val="auto"/>
        <w:sz w:val="21"/>
        <w:szCs w:val="21"/>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5">
    <w:nsid w:val="44443042"/>
    <w:multiLevelType w:val="multilevel"/>
    <w:tmpl w:val="4444304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6">
    <w:nsid w:val="481A3ED7"/>
    <w:multiLevelType w:val="multilevel"/>
    <w:tmpl w:val="481A3ED7"/>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4AEE4004"/>
    <w:multiLevelType w:val="multilevel"/>
    <w:tmpl w:val="4AEE4004"/>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4B3F6821"/>
    <w:multiLevelType w:val="multilevel"/>
    <w:tmpl w:val="4B3F682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9">
    <w:nsid w:val="4D514FC6"/>
    <w:multiLevelType w:val="multilevel"/>
    <w:tmpl w:val="4D514FC6"/>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4E08494E"/>
    <w:multiLevelType w:val="multilevel"/>
    <w:tmpl w:val="4E08494E"/>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1">
    <w:nsid w:val="4F694528"/>
    <w:multiLevelType w:val="multilevel"/>
    <w:tmpl w:val="4F694528"/>
    <w:lvl w:ilvl="0" w:tentative="0">
      <w:start w:val="1"/>
      <w:numFmt w:val="decimal"/>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2">
    <w:nsid w:val="51F32969"/>
    <w:multiLevelType w:val="multilevel"/>
    <w:tmpl w:val="51F32969"/>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3">
    <w:nsid w:val="521E0B0B"/>
    <w:multiLevelType w:val="multilevel"/>
    <w:tmpl w:val="521E0B0B"/>
    <w:lvl w:ilvl="0" w:tentative="0">
      <w:start w:val="1"/>
      <w:numFmt w:val="chineseCountingThousand"/>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530B217E"/>
    <w:multiLevelType w:val="multilevel"/>
    <w:tmpl w:val="530B217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5">
    <w:nsid w:val="54A87D9F"/>
    <w:multiLevelType w:val="multilevel"/>
    <w:tmpl w:val="54A87D9F"/>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57924DDA"/>
    <w:multiLevelType w:val="multilevel"/>
    <w:tmpl w:val="57924DDA"/>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suff w:val="nothing"/>
      <w:lvlText w:val="(%4). "/>
      <w:lvlJc w:val="left"/>
      <w:pPr>
        <w:ind w:left="0" w:firstLine="0"/>
      </w:pPr>
      <w:rPr>
        <w:rFonts w:hint="default"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7">
    <w:nsid w:val="57E668EB"/>
    <w:multiLevelType w:val="multilevel"/>
    <w:tmpl w:val="57E668EB"/>
    <w:lvl w:ilvl="0" w:tentative="0">
      <w:start w:val="1"/>
      <w:numFmt w:val="japaneseCounting"/>
      <w:lvlText w:val="(%1)"/>
      <w:lvlJc w:val="left"/>
      <w:pPr>
        <w:ind w:left="465" w:hanging="4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8">
    <w:nsid w:val="59171E3D"/>
    <w:multiLevelType w:val="multilevel"/>
    <w:tmpl w:val="59171E3D"/>
    <w:lvl w:ilvl="0" w:tentative="0">
      <w:start w:val="1"/>
      <w:numFmt w:val="decimal"/>
      <w:lvlText w:val="%1."/>
      <w:lvlJc w:val="left"/>
      <w:pPr>
        <w:ind w:left="425" w:hanging="425"/>
      </w:pPr>
    </w:lvl>
    <w:lvl w:ilvl="1" w:tentative="0">
      <w:start w:val="1"/>
      <w:numFmt w:val="chineseCountingThousand"/>
      <w:lvlText w:val="(%2)"/>
      <w:lvlJc w:val="left"/>
      <w:pPr>
        <w:ind w:left="567" w:hanging="567"/>
      </w:pPr>
      <w:rPr>
        <w:rFonts w:ascii="宋体" w:hAnsi="宋体" w:eastAsia="宋体"/>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9">
    <w:nsid w:val="5938001C"/>
    <w:multiLevelType w:val="multilevel"/>
    <w:tmpl w:val="5938001C"/>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59C47CF0"/>
    <w:multiLevelType w:val="multilevel"/>
    <w:tmpl w:val="59C47CF0"/>
    <w:lvl w:ilvl="0" w:tentative="0">
      <w:start w:val="1"/>
      <w:numFmt w:val="decimal"/>
      <w:lvlText w:val="%1、"/>
      <w:lvlJc w:val="left"/>
      <w:pPr>
        <w:ind w:left="425" w:hanging="425"/>
      </w:pPr>
      <w:rPr>
        <w:rFonts w:hint="eastAsia" w:eastAsia="宋体" w:asciiTheme="majorEastAsia" w:hAnsiTheme="major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1">
    <w:nsid w:val="5ABE6978"/>
    <w:multiLevelType w:val="multilevel"/>
    <w:tmpl w:val="5ABE6978"/>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5AFD69BD"/>
    <w:multiLevelType w:val="multilevel"/>
    <w:tmpl w:val="5AFD69BD"/>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5C724DAA"/>
    <w:multiLevelType w:val="multilevel"/>
    <w:tmpl w:val="5C724DAA"/>
    <w:lvl w:ilvl="0" w:tentative="0">
      <w:start w:val="1"/>
      <w:numFmt w:val="chineseCountingThousand"/>
      <w:lvlText w:val="(%1)"/>
      <w:lvlJc w:val="left"/>
      <w:pPr>
        <w:ind w:left="420" w:hanging="420"/>
      </w:pPr>
    </w:lvl>
    <w:lvl w:ilvl="1" w:tentative="0">
      <w:start w:val="1"/>
      <w:numFmt w:val="decimal"/>
      <w:lvlText w:val="(%2). "/>
      <w:lvlJc w:val="left"/>
      <w:pPr>
        <w:ind w:left="840" w:hanging="420"/>
      </w:pPr>
      <w:rPr>
        <w:rFonts w:hint="eastAsia"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5CD34369"/>
    <w:multiLevelType w:val="multilevel"/>
    <w:tmpl w:val="5CD34369"/>
    <w:lvl w:ilvl="0" w:tentative="0">
      <w:start w:val="1"/>
      <w:numFmt w:val="decimal"/>
      <w:lvlText w:val="%1、"/>
      <w:lvlJc w:val="left"/>
      <w:pPr>
        <w:ind w:left="420" w:hanging="420"/>
      </w:pPr>
      <w:rPr>
        <w:rFonts w:ascii="宋体" w:hAnsi="宋体" w:eastAsia="宋体"/>
        <w:b/>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5E0A7098"/>
    <w:multiLevelType w:val="multilevel"/>
    <w:tmpl w:val="5E0A7098"/>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6">
    <w:nsid w:val="6005769F"/>
    <w:multiLevelType w:val="multilevel"/>
    <w:tmpl w:val="6005769F"/>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7">
    <w:nsid w:val="601E1CD9"/>
    <w:multiLevelType w:val="multilevel"/>
    <w:tmpl w:val="601E1CD9"/>
    <w:lvl w:ilvl="0" w:tentative="0">
      <w:start w:val="1"/>
      <w:numFmt w:val="decimal"/>
      <w:lvlText w:val="(%1). "/>
      <w:lvlJc w:val="left"/>
      <w:pPr>
        <w:ind w:left="425" w:hanging="425"/>
      </w:pPr>
      <w:rPr>
        <w:rFonts w:hint="eastAsia"/>
        <w:color w:val="auto"/>
        <w:u w:val="none"/>
      </w:rPr>
    </w:lvl>
    <w:lvl w:ilvl="1" w:tentative="0">
      <w:start w:val="1"/>
      <w:numFmt w:val="chineseCountingThousand"/>
      <w:suff w:val="space"/>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8">
    <w:nsid w:val="604A3A7A"/>
    <w:multiLevelType w:val="multilevel"/>
    <w:tmpl w:val="604A3A7A"/>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9">
    <w:nsid w:val="63C96E3C"/>
    <w:multiLevelType w:val="multilevel"/>
    <w:tmpl w:val="63C96E3C"/>
    <w:lvl w:ilvl="0" w:tentative="0">
      <w:start w:val="1"/>
      <w:numFmt w:val="decimal"/>
      <w:suff w:val="nothing"/>
      <w:lvlText w:val="(%1)."/>
      <w:lvlJc w:val="left"/>
      <w:pPr>
        <w:ind w:left="0" w:firstLine="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0">
    <w:nsid w:val="63ED5234"/>
    <w:multiLevelType w:val="multilevel"/>
    <w:tmpl w:val="63ED5234"/>
    <w:lvl w:ilvl="0" w:tentative="0">
      <w:start w:val="1"/>
      <w:numFmt w:val="decimal"/>
      <w:suff w:val="nothing"/>
      <w:lvlText w:val="(%1)."/>
      <w:lvlJc w:val="left"/>
      <w:pPr>
        <w:ind w:left="420" w:hanging="420"/>
      </w:pPr>
      <w:rPr>
        <w:rFonts w:hint="eastAsia" w:eastAsia="宋体"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1">
    <w:nsid w:val="653B4EE8"/>
    <w:multiLevelType w:val="multilevel"/>
    <w:tmpl w:val="653B4EE8"/>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2">
    <w:nsid w:val="66D42F37"/>
    <w:multiLevelType w:val="multilevel"/>
    <w:tmpl w:val="66D42F37"/>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3">
    <w:nsid w:val="67422BCA"/>
    <w:multiLevelType w:val="multilevel"/>
    <w:tmpl w:val="67422BCA"/>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4">
    <w:nsid w:val="674C0D55"/>
    <w:multiLevelType w:val="multilevel"/>
    <w:tmpl w:val="674C0D55"/>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5">
    <w:nsid w:val="67796261"/>
    <w:multiLevelType w:val="multilevel"/>
    <w:tmpl w:val="6779626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6">
    <w:nsid w:val="68317323"/>
    <w:multiLevelType w:val="multilevel"/>
    <w:tmpl w:val="68317323"/>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7">
    <w:nsid w:val="683D2FE4"/>
    <w:multiLevelType w:val="multilevel"/>
    <w:tmpl w:val="683D2FE4"/>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8">
    <w:nsid w:val="68555D3E"/>
    <w:multiLevelType w:val="multilevel"/>
    <w:tmpl w:val="68555D3E"/>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09">
    <w:nsid w:val="686C31A3"/>
    <w:multiLevelType w:val="multilevel"/>
    <w:tmpl w:val="686C31A3"/>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0">
    <w:nsid w:val="687B7B1F"/>
    <w:multiLevelType w:val="multilevel"/>
    <w:tmpl w:val="687B7B1F"/>
    <w:lvl w:ilvl="0" w:tentative="0">
      <w:start w:val="1"/>
      <w:numFmt w:val="decimal"/>
      <w:suff w:val="nothing"/>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1">
    <w:nsid w:val="699370F3"/>
    <w:multiLevelType w:val="multilevel"/>
    <w:tmpl w:val="699370F3"/>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2">
    <w:nsid w:val="6A39571A"/>
    <w:multiLevelType w:val="multilevel"/>
    <w:tmpl w:val="6A39571A"/>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3">
    <w:nsid w:val="6A8249B0"/>
    <w:multiLevelType w:val="multilevel"/>
    <w:tmpl w:val="6A8249B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4">
    <w:nsid w:val="6ADB170F"/>
    <w:multiLevelType w:val="multilevel"/>
    <w:tmpl w:val="6ADB170F"/>
    <w:lvl w:ilvl="0" w:tentative="0">
      <w:start w:val="1"/>
      <w:numFmt w:val="chineseCountingThousand"/>
      <w:suff w:val="nothing"/>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5">
    <w:nsid w:val="6B254174"/>
    <w:multiLevelType w:val="multilevel"/>
    <w:tmpl w:val="6B254174"/>
    <w:lvl w:ilvl="0" w:tentative="0">
      <w:start w:val="1"/>
      <w:numFmt w:val="decimal"/>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6">
    <w:nsid w:val="6C0C580A"/>
    <w:multiLevelType w:val="multilevel"/>
    <w:tmpl w:val="6C0C580A"/>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7">
    <w:nsid w:val="6C2F16E8"/>
    <w:multiLevelType w:val="multilevel"/>
    <w:tmpl w:val="6C2F16E8"/>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8">
    <w:nsid w:val="6DAA7339"/>
    <w:multiLevelType w:val="multilevel"/>
    <w:tmpl w:val="6DAA7339"/>
    <w:lvl w:ilvl="0" w:tentative="0">
      <w:start w:val="1"/>
      <w:numFmt w:val="decimal"/>
      <w:lvlText w:val="%1."/>
      <w:lvlJc w:val="left"/>
      <w:pPr>
        <w:ind w:left="425" w:hanging="425"/>
      </w:pPr>
      <w:rPr>
        <w:rFonts w:hint="eastAsia"/>
      </w:rPr>
    </w:lvl>
    <w:lvl w:ilvl="1" w:tentative="0">
      <w:start w:val="1"/>
      <w:numFmt w:val="chineseCountingThousand"/>
      <w:suff w:val="space"/>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9">
    <w:nsid w:val="6F9E5AC7"/>
    <w:multiLevelType w:val="multilevel"/>
    <w:tmpl w:val="6F9E5AC7"/>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0">
    <w:nsid w:val="702872B5"/>
    <w:multiLevelType w:val="multilevel"/>
    <w:tmpl w:val="702872B5"/>
    <w:lvl w:ilvl="0" w:tentative="0">
      <w:start w:val="1"/>
      <w:numFmt w:val="decimal"/>
      <w:suff w:val="space"/>
      <w:lvlText w:val="(%1)."/>
      <w:lvlJc w:val="left"/>
      <w:pPr>
        <w:ind w:left="435" w:hanging="43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1">
    <w:nsid w:val="71CA2CEB"/>
    <w:multiLevelType w:val="multilevel"/>
    <w:tmpl w:val="71CA2CEB"/>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2">
    <w:nsid w:val="722C4EA5"/>
    <w:multiLevelType w:val="multilevel"/>
    <w:tmpl w:val="722C4EA5"/>
    <w:lvl w:ilvl="0" w:tentative="0">
      <w:start w:val="1"/>
      <w:numFmt w:val="decimal"/>
      <w:suff w:val="space"/>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3">
    <w:nsid w:val="72DE0EA0"/>
    <w:multiLevelType w:val="multilevel"/>
    <w:tmpl w:val="72DE0EA0"/>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4">
    <w:nsid w:val="74890959"/>
    <w:multiLevelType w:val="multilevel"/>
    <w:tmpl w:val="74890959"/>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5">
    <w:nsid w:val="755A4ECD"/>
    <w:multiLevelType w:val="multilevel"/>
    <w:tmpl w:val="755A4ECD"/>
    <w:lvl w:ilvl="0" w:tentative="0">
      <w:start w:val="1"/>
      <w:numFmt w:val="chineseCountingThousand"/>
      <w:suff w:val="nothing"/>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6">
    <w:nsid w:val="75BF60EA"/>
    <w:multiLevelType w:val="multilevel"/>
    <w:tmpl w:val="75BF60EA"/>
    <w:lvl w:ilvl="0" w:tentative="0">
      <w:start w:val="1"/>
      <w:numFmt w:val="decimal"/>
      <w:suff w:val="nothing"/>
      <w:lvlText w:val="(%1)."/>
      <w:lvlJc w:val="left"/>
      <w:pPr>
        <w:ind w:left="0" w:firstLine="0"/>
      </w:pPr>
      <w:rPr>
        <w:rFonts w:hint="eastAsia" w:eastAsia="宋体" w:asciiTheme="majorEastAsia" w:hAnsi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27">
    <w:nsid w:val="77F53444"/>
    <w:multiLevelType w:val="multilevel"/>
    <w:tmpl w:val="77F53444"/>
    <w:lvl w:ilvl="0" w:tentative="0">
      <w:start w:val="1"/>
      <w:numFmt w:val="decimal"/>
      <w:suff w:val="nothing"/>
      <w:lvlText w:val="(%1). "/>
      <w:lvlJc w:val="left"/>
      <w:pPr>
        <w:ind w:left="420" w:hanging="420"/>
      </w:pPr>
      <w:rPr>
        <w:rFonts w:hint="eastAsia" w:ascii="宋体" w:hAnsi="宋体" w:eastAsia="宋体"/>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8">
    <w:nsid w:val="79157624"/>
    <w:multiLevelType w:val="multilevel"/>
    <w:tmpl w:val="79157624"/>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9">
    <w:nsid w:val="7A671D25"/>
    <w:multiLevelType w:val="multilevel"/>
    <w:tmpl w:val="7A671D25"/>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hint="eastAsia" w:ascii="宋体" w:hAnsi="宋体"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30">
    <w:nsid w:val="7B400C10"/>
    <w:multiLevelType w:val="multilevel"/>
    <w:tmpl w:val="7B400C10"/>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1">
    <w:nsid w:val="7C297143"/>
    <w:multiLevelType w:val="multilevel"/>
    <w:tmpl w:val="7C297143"/>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32">
    <w:nsid w:val="7FDB49A3"/>
    <w:multiLevelType w:val="multilevel"/>
    <w:tmpl w:val="7FDB49A3"/>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6"/>
  </w:num>
  <w:num w:numId="2">
    <w:abstractNumId w:val="56"/>
  </w:num>
  <w:num w:numId="3">
    <w:abstractNumId w:val="83"/>
  </w:num>
  <w:num w:numId="4">
    <w:abstractNumId w:val="97"/>
  </w:num>
  <w:num w:numId="5">
    <w:abstractNumId w:val="18"/>
  </w:num>
  <w:num w:numId="6">
    <w:abstractNumId w:val="93"/>
  </w:num>
  <w:num w:numId="7">
    <w:abstractNumId w:val="11"/>
  </w:num>
  <w:num w:numId="8">
    <w:abstractNumId w:val="28"/>
  </w:num>
  <w:num w:numId="9">
    <w:abstractNumId w:val="46"/>
  </w:num>
  <w:num w:numId="10">
    <w:abstractNumId w:val="41"/>
  </w:num>
  <w:num w:numId="11">
    <w:abstractNumId w:val="100"/>
  </w:num>
  <w:num w:numId="12">
    <w:abstractNumId w:val="30"/>
  </w:num>
  <w:num w:numId="13">
    <w:abstractNumId w:val="128"/>
  </w:num>
  <w:num w:numId="14">
    <w:abstractNumId w:val="23"/>
  </w:num>
  <w:num w:numId="15">
    <w:abstractNumId w:val="57"/>
  </w:num>
  <w:num w:numId="16">
    <w:abstractNumId w:val="107"/>
  </w:num>
  <w:num w:numId="17">
    <w:abstractNumId w:val="13"/>
  </w:num>
  <w:num w:numId="18">
    <w:abstractNumId w:val="115"/>
  </w:num>
  <w:num w:numId="19">
    <w:abstractNumId w:val="49"/>
  </w:num>
  <w:num w:numId="20">
    <w:abstractNumId w:val="125"/>
  </w:num>
  <w:num w:numId="21">
    <w:abstractNumId w:val="24"/>
  </w:num>
  <w:num w:numId="22">
    <w:abstractNumId w:val="34"/>
  </w:num>
  <w:num w:numId="23">
    <w:abstractNumId w:val="77"/>
  </w:num>
  <w:num w:numId="24">
    <w:abstractNumId w:val="61"/>
  </w:num>
  <w:num w:numId="25">
    <w:abstractNumId w:val="88"/>
  </w:num>
  <w:num w:numId="26">
    <w:abstractNumId w:val="87"/>
  </w:num>
  <w:num w:numId="27">
    <w:abstractNumId w:val="25"/>
  </w:num>
  <w:num w:numId="28">
    <w:abstractNumId w:val="71"/>
  </w:num>
  <w:num w:numId="29">
    <w:abstractNumId w:val="67"/>
  </w:num>
  <w:num w:numId="30">
    <w:abstractNumId w:val="118"/>
  </w:num>
  <w:num w:numId="31">
    <w:abstractNumId w:val="114"/>
  </w:num>
  <w:num w:numId="32">
    <w:abstractNumId w:val="40"/>
  </w:num>
  <w:num w:numId="33">
    <w:abstractNumId w:val="60"/>
  </w:num>
  <w:num w:numId="34">
    <w:abstractNumId w:val="7"/>
  </w:num>
  <w:num w:numId="35">
    <w:abstractNumId w:val="91"/>
  </w:num>
  <w:num w:numId="36">
    <w:abstractNumId w:val="124"/>
  </w:num>
  <w:num w:numId="37">
    <w:abstractNumId w:val="35"/>
  </w:num>
  <w:num w:numId="38">
    <w:abstractNumId w:val="58"/>
  </w:num>
  <w:num w:numId="39">
    <w:abstractNumId w:val="90"/>
  </w:num>
  <w:num w:numId="40">
    <w:abstractNumId w:val="63"/>
  </w:num>
  <w:num w:numId="41">
    <w:abstractNumId w:val="54"/>
  </w:num>
  <w:num w:numId="42">
    <w:abstractNumId w:val="1"/>
  </w:num>
  <w:num w:numId="43">
    <w:abstractNumId w:val="51"/>
  </w:num>
  <w:num w:numId="44">
    <w:abstractNumId w:val="2"/>
  </w:num>
  <w:num w:numId="45">
    <w:abstractNumId w:val="9"/>
  </w:num>
  <w:num w:numId="46">
    <w:abstractNumId w:val="6"/>
  </w:num>
  <w:num w:numId="47">
    <w:abstractNumId w:val="89"/>
  </w:num>
  <w:num w:numId="48">
    <w:abstractNumId w:val="76"/>
  </w:num>
  <w:num w:numId="49">
    <w:abstractNumId w:val="15"/>
  </w:num>
  <w:num w:numId="50">
    <w:abstractNumId w:val="3"/>
  </w:num>
  <w:num w:numId="51">
    <w:abstractNumId w:val="33"/>
  </w:num>
  <w:num w:numId="52">
    <w:abstractNumId w:val="12"/>
  </w:num>
  <w:num w:numId="53">
    <w:abstractNumId w:val="109"/>
  </w:num>
  <w:num w:numId="54">
    <w:abstractNumId w:val="27"/>
  </w:num>
  <w:num w:numId="55">
    <w:abstractNumId w:val="19"/>
  </w:num>
  <w:num w:numId="56">
    <w:abstractNumId w:val="104"/>
  </w:num>
  <w:num w:numId="57">
    <w:abstractNumId w:val="31"/>
  </w:num>
  <w:num w:numId="58">
    <w:abstractNumId w:val="5"/>
  </w:num>
  <w:num w:numId="59">
    <w:abstractNumId w:val="45"/>
  </w:num>
  <w:num w:numId="60">
    <w:abstractNumId w:val="102"/>
  </w:num>
  <w:num w:numId="61">
    <w:abstractNumId w:val="94"/>
  </w:num>
  <w:num w:numId="62">
    <w:abstractNumId w:val="86"/>
  </w:num>
  <w:num w:numId="63">
    <w:abstractNumId w:val="121"/>
  </w:num>
  <w:num w:numId="64">
    <w:abstractNumId w:val="112"/>
  </w:num>
  <w:num w:numId="65">
    <w:abstractNumId w:val="42"/>
  </w:num>
  <w:num w:numId="66">
    <w:abstractNumId w:val="48"/>
  </w:num>
  <w:num w:numId="67">
    <w:abstractNumId w:val="37"/>
  </w:num>
  <w:num w:numId="68">
    <w:abstractNumId w:val="4"/>
  </w:num>
  <w:num w:numId="69">
    <w:abstractNumId w:val="92"/>
  </w:num>
  <w:num w:numId="70">
    <w:abstractNumId w:val="52"/>
  </w:num>
  <w:num w:numId="71">
    <w:abstractNumId w:val="72"/>
  </w:num>
  <w:num w:numId="72">
    <w:abstractNumId w:val="32"/>
  </w:num>
  <w:num w:numId="73">
    <w:abstractNumId w:val="116"/>
  </w:num>
  <w:num w:numId="74">
    <w:abstractNumId w:val="16"/>
  </w:num>
  <w:num w:numId="75">
    <w:abstractNumId w:val="105"/>
  </w:num>
  <w:num w:numId="76">
    <w:abstractNumId w:val="82"/>
  </w:num>
  <w:num w:numId="77">
    <w:abstractNumId w:val="126"/>
  </w:num>
  <w:num w:numId="78">
    <w:abstractNumId w:val="55"/>
  </w:num>
  <w:num w:numId="79">
    <w:abstractNumId w:val="64"/>
  </w:num>
  <w:num w:numId="80">
    <w:abstractNumId w:val="78"/>
  </w:num>
  <w:num w:numId="81">
    <w:abstractNumId w:val="22"/>
  </w:num>
  <w:num w:numId="82">
    <w:abstractNumId w:val="122"/>
  </w:num>
  <w:num w:numId="83">
    <w:abstractNumId w:val="113"/>
  </w:num>
  <w:num w:numId="84">
    <w:abstractNumId w:val="75"/>
  </w:num>
  <w:num w:numId="85">
    <w:abstractNumId w:val="0"/>
  </w:num>
  <w:num w:numId="86">
    <w:abstractNumId w:val="123"/>
  </w:num>
  <w:num w:numId="87">
    <w:abstractNumId w:val="106"/>
  </w:num>
  <w:num w:numId="88">
    <w:abstractNumId w:val="119"/>
  </w:num>
  <w:num w:numId="89">
    <w:abstractNumId w:val="127"/>
  </w:num>
  <w:num w:numId="90">
    <w:abstractNumId w:val="44"/>
  </w:num>
  <w:num w:numId="91">
    <w:abstractNumId w:val="130"/>
  </w:num>
  <w:num w:numId="92">
    <w:abstractNumId w:val="8"/>
  </w:num>
  <w:num w:numId="93">
    <w:abstractNumId w:val="47"/>
  </w:num>
  <w:num w:numId="94">
    <w:abstractNumId w:val="53"/>
  </w:num>
  <w:num w:numId="95">
    <w:abstractNumId w:val="65"/>
  </w:num>
  <w:num w:numId="96">
    <w:abstractNumId w:val="38"/>
  </w:num>
  <w:num w:numId="97">
    <w:abstractNumId w:val="98"/>
  </w:num>
  <w:num w:numId="98">
    <w:abstractNumId w:val="85"/>
  </w:num>
  <w:num w:numId="99">
    <w:abstractNumId w:val="29"/>
  </w:num>
  <w:num w:numId="100">
    <w:abstractNumId w:val="99"/>
  </w:num>
  <w:num w:numId="101">
    <w:abstractNumId w:val="39"/>
  </w:num>
  <w:num w:numId="102">
    <w:abstractNumId w:val="110"/>
  </w:num>
  <w:num w:numId="103">
    <w:abstractNumId w:val="120"/>
  </w:num>
  <w:num w:numId="104">
    <w:abstractNumId w:val="59"/>
  </w:num>
  <w:num w:numId="105">
    <w:abstractNumId w:val="79"/>
  </w:num>
  <w:num w:numId="106">
    <w:abstractNumId w:val="68"/>
  </w:num>
  <w:num w:numId="107">
    <w:abstractNumId w:val="26"/>
  </w:num>
  <w:num w:numId="108">
    <w:abstractNumId w:val="129"/>
  </w:num>
  <w:num w:numId="109">
    <w:abstractNumId w:val="43"/>
  </w:num>
  <w:num w:numId="110">
    <w:abstractNumId w:val="73"/>
  </w:num>
  <w:num w:numId="111">
    <w:abstractNumId w:val="81"/>
  </w:num>
  <w:num w:numId="112">
    <w:abstractNumId w:val="17"/>
  </w:num>
  <w:num w:numId="113">
    <w:abstractNumId w:val="70"/>
  </w:num>
  <w:num w:numId="114">
    <w:abstractNumId w:val="84"/>
  </w:num>
  <w:num w:numId="115">
    <w:abstractNumId w:val="10"/>
  </w:num>
  <w:num w:numId="116">
    <w:abstractNumId w:val="20"/>
  </w:num>
  <w:num w:numId="117">
    <w:abstractNumId w:val="95"/>
  </w:num>
  <w:num w:numId="118">
    <w:abstractNumId w:val="21"/>
  </w:num>
  <w:num w:numId="119">
    <w:abstractNumId w:val="101"/>
  </w:num>
  <w:num w:numId="120">
    <w:abstractNumId w:val="117"/>
  </w:num>
  <w:num w:numId="121">
    <w:abstractNumId w:val="103"/>
  </w:num>
  <w:num w:numId="122">
    <w:abstractNumId w:val="96"/>
  </w:num>
  <w:num w:numId="123">
    <w:abstractNumId w:val="14"/>
  </w:num>
  <w:num w:numId="124">
    <w:abstractNumId w:val="66"/>
  </w:num>
  <w:num w:numId="125">
    <w:abstractNumId w:val="131"/>
  </w:num>
  <w:num w:numId="126">
    <w:abstractNumId w:val="74"/>
  </w:num>
  <w:num w:numId="127">
    <w:abstractNumId w:val="80"/>
  </w:num>
  <w:num w:numId="128">
    <w:abstractNumId w:val="108"/>
  </w:num>
  <w:num w:numId="129">
    <w:abstractNumId w:val="50"/>
  </w:num>
  <w:num w:numId="130">
    <w:abstractNumId w:val="62"/>
  </w:num>
  <w:num w:numId="131">
    <w:abstractNumId w:val="111"/>
  </w:num>
  <w:num w:numId="132">
    <w:abstractNumId w:val="132"/>
  </w:num>
  <w:num w:numId="133">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cwNGJiNTcxMTRhZDY5YzkwOGVlNDhjZGY4MzY1YWIifQ=="/>
    <w:docVar w:name="Disclosure_Version" w:val="true"/>
    <w:docVar w:name="MergeCount" w:val="1"/>
  </w:docVars>
  <w:rsids>
    <w:rsidRoot w:val="005C332E"/>
    <w:rsid w:val="00003C78"/>
    <w:rsid w:val="00007595"/>
    <w:rsid w:val="00010D52"/>
    <w:rsid w:val="0001294A"/>
    <w:rsid w:val="00014D15"/>
    <w:rsid w:val="00016423"/>
    <w:rsid w:val="00021046"/>
    <w:rsid w:val="000217CC"/>
    <w:rsid w:val="00022DEB"/>
    <w:rsid w:val="0002329D"/>
    <w:rsid w:val="000332B9"/>
    <w:rsid w:val="0003353B"/>
    <w:rsid w:val="00040D53"/>
    <w:rsid w:val="000415AE"/>
    <w:rsid w:val="000420FB"/>
    <w:rsid w:val="000422A9"/>
    <w:rsid w:val="000450C4"/>
    <w:rsid w:val="00046337"/>
    <w:rsid w:val="00046355"/>
    <w:rsid w:val="00050A44"/>
    <w:rsid w:val="00053478"/>
    <w:rsid w:val="00053AFD"/>
    <w:rsid w:val="000546E4"/>
    <w:rsid w:val="00057E32"/>
    <w:rsid w:val="00061CFE"/>
    <w:rsid w:val="00062BD6"/>
    <w:rsid w:val="0006629F"/>
    <w:rsid w:val="0007093A"/>
    <w:rsid w:val="0008064F"/>
    <w:rsid w:val="00082376"/>
    <w:rsid w:val="00082BED"/>
    <w:rsid w:val="00085F62"/>
    <w:rsid w:val="00086942"/>
    <w:rsid w:val="00090EA8"/>
    <w:rsid w:val="00091030"/>
    <w:rsid w:val="00091322"/>
    <w:rsid w:val="00091D55"/>
    <w:rsid w:val="00092A2E"/>
    <w:rsid w:val="000958C3"/>
    <w:rsid w:val="0009686D"/>
    <w:rsid w:val="000A0FAA"/>
    <w:rsid w:val="000A49E0"/>
    <w:rsid w:val="000B511C"/>
    <w:rsid w:val="000B7561"/>
    <w:rsid w:val="000B7CD2"/>
    <w:rsid w:val="000C0265"/>
    <w:rsid w:val="000C2343"/>
    <w:rsid w:val="000D2755"/>
    <w:rsid w:val="000D4AC9"/>
    <w:rsid w:val="000E3479"/>
    <w:rsid w:val="000E402C"/>
    <w:rsid w:val="000E48B2"/>
    <w:rsid w:val="0010168C"/>
    <w:rsid w:val="0010378C"/>
    <w:rsid w:val="00110D41"/>
    <w:rsid w:val="0011123B"/>
    <w:rsid w:val="00111C57"/>
    <w:rsid w:val="001149E3"/>
    <w:rsid w:val="00124899"/>
    <w:rsid w:val="00130398"/>
    <w:rsid w:val="001345EC"/>
    <w:rsid w:val="00136DEA"/>
    <w:rsid w:val="00142CBA"/>
    <w:rsid w:val="001477D3"/>
    <w:rsid w:val="00151837"/>
    <w:rsid w:val="001520D9"/>
    <w:rsid w:val="00153C94"/>
    <w:rsid w:val="001563D7"/>
    <w:rsid w:val="00180C14"/>
    <w:rsid w:val="001824B0"/>
    <w:rsid w:val="00185041"/>
    <w:rsid w:val="00190A0F"/>
    <w:rsid w:val="00196C50"/>
    <w:rsid w:val="001A2311"/>
    <w:rsid w:val="001A7A2C"/>
    <w:rsid w:val="001B0AF5"/>
    <w:rsid w:val="001B4200"/>
    <w:rsid w:val="001C0304"/>
    <w:rsid w:val="001C2E58"/>
    <w:rsid w:val="001C3176"/>
    <w:rsid w:val="001C5459"/>
    <w:rsid w:val="001C7E46"/>
    <w:rsid w:val="001D3506"/>
    <w:rsid w:val="001D3938"/>
    <w:rsid w:val="001D4E25"/>
    <w:rsid w:val="001E3104"/>
    <w:rsid w:val="001E42C1"/>
    <w:rsid w:val="001E4338"/>
    <w:rsid w:val="001E76EA"/>
    <w:rsid w:val="001F3464"/>
    <w:rsid w:val="001F4844"/>
    <w:rsid w:val="001F4959"/>
    <w:rsid w:val="001F6550"/>
    <w:rsid w:val="002026C3"/>
    <w:rsid w:val="00202B19"/>
    <w:rsid w:val="00204320"/>
    <w:rsid w:val="002061C5"/>
    <w:rsid w:val="00210030"/>
    <w:rsid w:val="002106B7"/>
    <w:rsid w:val="002112C1"/>
    <w:rsid w:val="00215C1A"/>
    <w:rsid w:val="0021632F"/>
    <w:rsid w:val="0022660B"/>
    <w:rsid w:val="00237AFE"/>
    <w:rsid w:val="00237DD9"/>
    <w:rsid w:val="00241344"/>
    <w:rsid w:val="002422BF"/>
    <w:rsid w:val="00244097"/>
    <w:rsid w:val="00245C0C"/>
    <w:rsid w:val="00246F87"/>
    <w:rsid w:val="002509BE"/>
    <w:rsid w:val="00255DD2"/>
    <w:rsid w:val="00262F36"/>
    <w:rsid w:val="00277283"/>
    <w:rsid w:val="00281945"/>
    <w:rsid w:val="002849E2"/>
    <w:rsid w:val="00284FCB"/>
    <w:rsid w:val="00285966"/>
    <w:rsid w:val="002878C5"/>
    <w:rsid w:val="002908B1"/>
    <w:rsid w:val="002951B7"/>
    <w:rsid w:val="002968E6"/>
    <w:rsid w:val="002A08F2"/>
    <w:rsid w:val="002A18FA"/>
    <w:rsid w:val="002B423C"/>
    <w:rsid w:val="002B7278"/>
    <w:rsid w:val="002C1A17"/>
    <w:rsid w:val="002C4CAA"/>
    <w:rsid w:val="002C7863"/>
    <w:rsid w:val="002D0963"/>
    <w:rsid w:val="002D6B86"/>
    <w:rsid w:val="002D70FB"/>
    <w:rsid w:val="002E40D6"/>
    <w:rsid w:val="002F0F71"/>
    <w:rsid w:val="002F6BFE"/>
    <w:rsid w:val="00301165"/>
    <w:rsid w:val="00301364"/>
    <w:rsid w:val="0030709E"/>
    <w:rsid w:val="0030728B"/>
    <w:rsid w:val="003103B7"/>
    <w:rsid w:val="003114AE"/>
    <w:rsid w:val="00312299"/>
    <w:rsid w:val="00314877"/>
    <w:rsid w:val="00320B54"/>
    <w:rsid w:val="00321826"/>
    <w:rsid w:val="0033094C"/>
    <w:rsid w:val="00334B41"/>
    <w:rsid w:val="00336D04"/>
    <w:rsid w:val="00341782"/>
    <w:rsid w:val="00345AD6"/>
    <w:rsid w:val="00347E75"/>
    <w:rsid w:val="00353389"/>
    <w:rsid w:val="0035476D"/>
    <w:rsid w:val="00361678"/>
    <w:rsid w:val="00362638"/>
    <w:rsid w:val="00366F07"/>
    <w:rsid w:val="0037006F"/>
    <w:rsid w:val="003705CE"/>
    <w:rsid w:val="00380D17"/>
    <w:rsid w:val="00384823"/>
    <w:rsid w:val="003926CE"/>
    <w:rsid w:val="00394ED8"/>
    <w:rsid w:val="003A02DD"/>
    <w:rsid w:val="003A0C68"/>
    <w:rsid w:val="003A1A8F"/>
    <w:rsid w:val="003A2197"/>
    <w:rsid w:val="003A2917"/>
    <w:rsid w:val="003A4C58"/>
    <w:rsid w:val="003A5018"/>
    <w:rsid w:val="003B4208"/>
    <w:rsid w:val="003C5035"/>
    <w:rsid w:val="003D0B3B"/>
    <w:rsid w:val="003D0D6F"/>
    <w:rsid w:val="003D4B61"/>
    <w:rsid w:val="003D6EC6"/>
    <w:rsid w:val="003E3B47"/>
    <w:rsid w:val="003E54DA"/>
    <w:rsid w:val="003F0310"/>
    <w:rsid w:val="003F3781"/>
    <w:rsid w:val="004010DF"/>
    <w:rsid w:val="004014B5"/>
    <w:rsid w:val="00403440"/>
    <w:rsid w:val="0042151A"/>
    <w:rsid w:val="00421E73"/>
    <w:rsid w:val="00421F30"/>
    <w:rsid w:val="00423C24"/>
    <w:rsid w:val="004270C1"/>
    <w:rsid w:val="00432AFB"/>
    <w:rsid w:val="00437602"/>
    <w:rsid w:val="004428A8"/>
    <w:rsid w:val="00443AAA"/>
    <w:rsid w:val="00450451"/>
    <w:rsid w:val="0045128E"/>
    <w:rsid w:val="004644B7"/>
    <w:rsid w:val="00467E78"/>
    <w:rsid w:val="004816FA"/>
    <w:rsid w:val="0048560A"/>
    <w:rsid w:val="00485F34"/>
    <w:rsid w:val="004912AA"/>
    <w:rsid w:val="004913A7"/>
    <w:rsid w:val="004919BD"/>
    <w:rsid w:val="00493097"/>
    <w:rsid w:val="004A1AD4"/>
    <w:rsid w:val="004A556E"/>
    <w:rsid w:val="004B37D2"/>
    <w:rsid w:val="004C00BB"/>
    <w:rsid w:val="004C1307"/>
    <w:rsid w:val="004D2604"/>
    <w:rsid w:val="004D4FC9"/>
    <w:rsid w:val="004D638C"/>
    <w:rsid w:val="004E0E08"/>
    <w:rsid w:val="004E1403"/>
    <w:rsid w:val="004E4019"/>
    <w:rsid w:val="004E49E8"/>
    <w:rsid w:val="004E60E0"/>
    <w:rsid w:val="004E7E4D"/>
    <w:rsid w:val="004F3023"/>
    <w:rsid w:val="00502715"/>
    <w:rsid w:val="00506508"/>
    <w:rsid w:val="0051188B"/>
    <w:rsid w:val="00511930"/>
    <w:rsid w:val="00513F86"/>
    <w:rsid w:val="00525442"/>
    <w:rsid w:val="0052575D"/>
    <w:rsid w:val="00525AD8"/>
    <w:rsid w:val="005276F7"/>
    <w:rsid w:val="00527FB1"/>
    <w:rsid w:val="0053600C"/>
    <w:rsid w:val="00540FD2"/>
    <w:rsid w:val="00542A29"/>
    <w:rsid w:val="00543118"/>
    <w:rsid w:val="00557C94"/>
    <w:rsid w:val="00567520"/>
    <w:rsid w:val="00591164"/>
    <w:rsid w:val="00591CA9"/>
    <w:rsid w:val="005A16E7"/>
    <w:rsid w:val="005A3CE3"/>
    <w:rsid w:val="005A50E7"/>
    <w:rsid w:val="005A6C0F"/>
    <w:rsid w:val="005B62EB"/>
    <w:rsid w:val="005B76B2"/>
    <w:rsid w:val="005C184B"/>
    <w:rsid w:val="005C246A"/>
    <w:rsid w:val="005C332E"/>
    <w:rsid w:val="005C584E"/>
    <w:rsid w:val="005C711A"/>
    <w:rsid w:val="005D03FD"/>
    <w:rsid w:val="005D39EA"/>
    <w:rsid w:val="005F41F4"/>
    <w:rsid w:val="005F5474"/>
    <w:rsid w:val="005F5520"/>
    <w:rsid w:val="005F5874"/>
    <w:rsid w:val="005F7C97"/>
    <w:rsid w:val="006029F2"/>
    <w:rsid w:val="006034D2"/>
    <w:rsid w:val="00605198"/>
    <w:rsid w:val="0060621C"/>
    <w:rsid w:val="00612367"/>
    <w:rsid w:val="00613406"/>
    <w:rsid w:val="006141DA"/>
    <w:rsid w:val="006155FE"/>
    <w:rsid w:val="006170A4"/>
    <w:rsid w:val="00617B8B"/>
    <w:rsid w:val="00622A0F"/>
    <w:rsid w:val="0062319F"/>
    <w:rsid w:val="00626C74"/>
    <w:rsid w:val="00626FD7"/>
    <w:rsid w:val="0063349E"/>
    <w:rsid w:val="00637406"/>
    <w:rsid w:val="006416CB"/>
    <w:rsid w:val="006472C7"/>
    <w:rsid w:val="00655A70"/>
    <w:rsid w:val="00656FC7"/>
    <w:rsid w:val="00660BD6"/>
    <w:rsid w:val="00663CED"/>
    <w:rsid w:val="00664465"/>
    <w:rsid w:val="00673AB8"/>
    <w:rsid w:val="00675A98"/>
    <w:rsid w:val="00675CAE"/>
    <w:rsid w:val="00676EE4"/>
    <w:rsid w:val="00681C07"/>
    <w:rsid w:val="0068279C"/>
    <w:rsid w:val="00685620"/>
    <w:rsid w:val="006C4182"/>
    <w:rsid w:val="006C6238"/>
    <w:rsid w:val="006C762B"/>
    <w:rsid w:val="006C7C0D"/>
    <w:rsid w:val="006D26F9"/>
    <w:rsid w:val="006D2EB1"/>
    <w:rsid w:val="006E5B4C"/>
    <w:rsid w:val="006E7D6D"/>
    <w:rsid w:val="006F19F3"/>
    <w:rsid w:val="006F4763"/>
    <w:rsid w:val="00704D11"/>
    <w:rsid w:val="00705FFE"/>
    <w:rsid w:val="00710DAD"/>
    <w:rsid w:val="00712584"/>
    <w:rsid w:val="00714135"/>
    <w:rsid w:val="00730C4C"/>
    <w:rsid w:val="00735477"/>
    <w:rsid w:val="00740D71"/>
    <w:rsid w:val="00745518"/>
    <w:rsid w:val="00746A68"/>
    <w:rsid w:val="007528D9"/>
    <w:rsid w:val="00753192"/>
    <w:rsid w:val="0075627D"/>
    <w:rsid w:val="0076580B"/>
    <w:rsid w:val="00766946"/>
    <w:rsid w:val="0077020B"/>
    <w:rsid w:val="0078643C"/>
    <w:rsid w:val="00793233"/>
    <w:rsid w:val="00796BC6"/>
    <w:rsid w:val="007976DB"/>
    <w:rsid w:val="007A12F6"/>
    <w:rsid w:val="007A4104"/>
    <w:rsid w:val="007A676F"/>
    <w:rsid w:val="007A68CE"/>
    <w:rsid w:val="007A76F6"/>
    <w:rsid w:val="007B0919"/>
    <w:rsid w:val="007B0C81"/>
    <w:rsid w:val="007B1786"/>
    <w:rsid w:val="007B598F"/>
    <w:rsid w:val="007B5B85"/>
    <w:rsid w:val="007D1E53"/>
    <w:rsid w:val="007D4147"/>
    <w:rsid w:val="007D6AF9"/>
    <w:rsid w:val="007E1C2D"/>
    <w:rsid w:val="007E5A89"/>
    <w:rsid w:val="007F0707"/>
    <w:rsid w:val="007F1DD3"/>
    <w:rsid w:val="00810489"/>
    <w:rsid w:val="00812A02"/>
    <w:rsid w:val="0081360B"/>
    <w:rsid w:val="00815B1B"/>
    <w:rsid w:val="00822793"/>
    <w:rsid w:val="008229EE"/>
    <w:rsid w:val="00823A47"/>
    <w:rsid w:val="00823DC7"/>
    <w:rsid w:val="00825138"/>
    <w:rsid w:val="0084101A"/>
    <w:rsid w:val="008411F0"/>
    <w:rsid w:val="00846D57"/>
    <w:rsid w:val="00860233"/>
    <w:rsid w:val="008610AE"/>
    <w:rsid w:val="00862BD8"/>
    <w:rsid w:val="00866090"/>
    <w:rsid w:val="0087668E"/>
    <w:rsid w:val="008834D0"/>
    <w:rsid w:val="00884964"/>
    <w:rsid w:val="008852CC"/>
    <w:rsid w:val="00895D90"/>
    <w:rsid w:val="00896838"/>
    <w:rsid w:val="008A049F"/>
    <w:rsid w:val="008A16D9"/>
    <w:rsid w:val="008A1D89"/>
    <w:rsid w:val="008A7662"/>
    <w:rsid w:val="008B055F"/>
    <w:rsid w:val="008B0C60"/>
    <w:rsid w:val="008B2308"/>
    <w:rsid w:val="008B3E9D"/>
    <w:rsid w:val="008C0007"/>
    <w:rsid w:val="008C03F1"/>
    <w:rsid w:val="008C4BC7"/>
    <w:rsid w:val="008D0862"/>
    <w:rsid w:val="008E647E"/>
    <w:rsid w:val="008E6CC4"/>
    <w:rsid w:val="008E6DF6"/>
    <w:rsid w:val="008E7134"/>
    <w:rsid w:val="008F02EC"/>
    <w:rsid w:val="008F1D08"/>
    <w:rsid w:val="008F2EAF"/>
    <w:rsid w:val="008F35D7"/>
    <w:rsid w:val="008F37A7"/>
    <w:rsid w:val="00900657"/>
    <w:rsid w:val="00905601"/>
    <w:rsid w:val="009141C1"/>
    <w:rsid w:val="00917421"/>
    <w:rsid w:val="00921BA2"/>
    <w:rsid w:val="00927E42"/>
    <w:rsid w:val="00935754"/>
    <w:rsid w:val="00936733"/>
    <w:rsid w:val="0094609F"/>
    <w:rsid w:val="00947711"/>
    <w:rsid w:val="00950E03"/>
    <w:rsid w:val="00953BE8"/>
    <w:rsid w:val="00966751"/>
    <w:rsid w:val="0097053B"/>
    <w:rsid w:val="00981F2F"/>
    <w:rsid w:val="009837AB"/>
    <w:rsid w:val="00987552"/>
    <w:rsid w:val="00990358"/>
    <w:rsid w:val="009972DA"/>
    <w:rsid w:val="009A2D6B"/>
    <w:rsid w:val="009A5EFB"/>
    <w:rsid w:val="009B45CB"/>
    <w:rsid w:val="009B77D4"/>
    <w:rsid w:val="009C0197"/>
    <w:rsid w:val="009C045A"/>
    <w:rsid w:val="009C31BF"/>
    <w:rsid w:val="009D6F34"/>
    <w:rsid w:val="009E1DD1"/>
    <w:rsid w:val="009E3FD4"/>
    <w:rsid w:val="009E6792"/>
    <w:rsid w:val="009F2B84"/>
    <w:rsid w:val="009F41D1"/>
    <w:rsid w:val="00A006DF"/>
    <w:rsid w:val="00A06022"/>
    <w:rsid w:val="00A069F8"/>
    <w:rsid w:val="00A07B6F"/>
    <w:rsid w:val="00A125C3"/>
    <w:rsid w:val="00A15FC0"/>
    <w:rsid w:val="00A16062"/>
    <w:rsid w:val="00A16907"/>
    <w:rsid w:val="00A23AE9"/>
    <w:rsid w:val="00A34FEF"/>
    <w:rsid w:val="00A35221"/>
    <w:rsid w:val="00A40821"/>
    <w:rsid w:val="00A44D67"/>
    <w:rsid w:val="00A479DF"/>
    <w:rsid w:val="00A515D4"/>
    <w:rsid w:val="00A52C60"/>
    <w:rsid w:val="00A60482"/>
    <w:rsid w:val="00A60B62"/>
    <w:rsid w:val="00A64094"/>
    <w:rsid w:val="00A6410A"/>
    <w:rsid w:val="00A65608"/>
    <w:rsid w:val="00A665EA"/>
    <w:rsid w:val="00A7274B"/>
    <w:rsid w:val="00A772E1"/>
    <w:rsid w:val="00A806BD"/>
    <w:rsid w:val="00A82161"/>
    <w:rsid w:val="00A84633"/>
    <w:rsid w:val="00A85DF3"/>
    <w:rsid w:val="00A90D07"/>
    <w:rsid w:val="00A91219"/>
    <w:rsid w:val="00A9329B"/>
    <w:rsid w:val="00A955F2"/>
    <w:rsid w:val="00A95A56"/>
    <w:rsid w:val="00AA2604"/>
    <w:rsid w:val="00AA27DA"/>
    <w:rsid w:val="00AA3833"/>
    <w:rsid w:val="00AA758C"/>
    <w:rsid w:val="00AB1886"/>
    <w:rsid w:val="00AB3240"/>
    <w:rsid w:val="00AB51A6"/>
    <w:rsid w:val="00AC0B86"/>
    <w:rsid w:val="00AC78A6"/>
    <w:rsid w:val="00AD1272"/>
    <w:rsid w:val="00AF3ADA"/>
    <w:rsid w:val="00AF4E8D"/>
    <w:rsid w:val="00AF67B0"/>
    <w:rsid w:val="00B24B94"/>
    <w:rsid w:val="00B24E60"/>
    <w:rsid w:val="00B25806"/>
    <w:rsid w:val="00B300A2"/>
    <w:rsid w:val="00B33400"/>
    <w:rsid w:val="00B342E7"/>
    <w:rsid w:val="00B43CAF"/>
    <w:rsid w:val="00B56B9C"/>
    <w:rsid w:val="00B579F1"/>
    <w:rsid w:val="00B60243"/>
    <w:rsid w:val="00B6042E"/>
    <w:rsid w:val="00B61569"/>
    <w:rsid w:val="00B64423"/>
    <w:rsid w:val="00B7036E"/>
    <w:rsid w:val="00B71222"/>
    <w:rsid w:val="00B72DF8"/>
    <w:rsid w:val="00B7450D"/>
    <w:rsid w:val="00B760C7"/>
    <w:rsid w:val="00B77032"/>
    <w:rsid w:val="00B85930"/>
    <w:rsid w:val="00B85C8E"/>
    <w:rsid w:val="00BA383A"/>
    <w:rsid w:val="00BA5A0D"/>
    <w:rsid w:val="00BB2AFC"/>
    <w:rsid w:val="00BB3576"/>
    <w:rsid w:val="00BB742B"/>
    <w:rsid w:val="00BC3335"/>
    <w:rsid w:val="00BD5FFD"/>
    <w:rsid w:val="00BD60F0"/>
    <w:rsid w:val="00BE1B0D"/>
    <w:rsid w:val="00BE1F84"/>
    <w:rsid w:val="00BE671C"/>
    <w:rsid w:val="00BE75DE"/>
    <w:rsid w:val="00BF12A6"/>
    <w:rsid w:val="00BF27C4"/>
    <w:rsid w:val="00BF3700"/>
    <w:rsid w:val="00BF53DC"/>
    <w:rsid w:val="00BF6220"/>
    <w:rsid w:val="00BF7721"/>
    <w:rsid w:val="00C01B55"/>
    <w:rsid w:val="00C205C0"/>
    <w:rsid w:val="00C21EAF"/>
    <w:rsid w:val="00C32AA2"/>
    <w:rsid w:val="00C40830"/>
    <w:rsid w:val="00C4409F"/>
    <w:rsid w:val="00C45A2D"/>
    <w:rsid w:val="00C468D4"/>
    <w:rsid w:val="00C51E58"/>
    <w:rsid w:val="00C545C3"/>
    <w:rsid w:val="00C6195B"/>
    <w:rsid w:val="00C64FEE"/>
    <w:rsid w:val="00C71267"/>
    <w:rsid w:val="00C74668"/>
    <w:rsid w:val="00C8135A"/>
    <w:rsid w:val="00C910AF"/>
    <w:rsid w:val="00C92B58"/>
    <w:rsid w:val="00C9528F"/>
    <w:rsid w:val="00CB378C"/>
    <w:rsid w:val="00CB5B9D"/>
    <w:rsid w:val="00CC1520"/>
    <w:rsid w:val="00CC1656"/>
    <w:rsid w:val="00CC45F1"/>
    <w:rsid w:val="00CD52DE"/>
    <w:rsid w:val="00CF266B"/>
    <w:rsid w:val="00CF3939"/>
    <w:rsid w:val="00CF4EB3"/>
    <w:rsid w:val="00D1161E"/>
    <w:rsid w:val="00D16B0A"/>
    <w:rsid w:val="00D20090"/>
    <w:rsid w:val="00D315CE"/>
    <w:rsid w:val="00D47AE0"/>
    <w:rsid w:val="00D5188B"/>
    <w:rsid w:val="00D5677F"/>
    <w:rsid w:val="00D62F31"/>
    <w:rsid w:val="00D72628"/>
    <w:rsid w:val="00D75F6B"/>
    <w:rsid w:val="00D76D94"/>
    <w:rsid w:val="00D76E68"/>
    <w:rsid w:val="00D8222B"/>
    <w:rsid w:val="00D908FB"/>
    <w:rsid w:val="00D93853"/>
    <w:rsid w:val="00DA60ED"/>
    <w:rsid w:val="00DB0488"/>
    <w:rsid w:val="00DC2F1F"/>
    <w:rsid w:val="00DC6440"/>
    <w:rsid w:val="00DC6F85"/>
    <w:rsid w:val="00DD2C96"/>
    <w:rsid w:val="00DD48E5"/>
    <w:rsid w:val="00DE21E4"/>
    <w:rsid w:val="00DE635A"/>
    <w:rsid w:val="00DF0ED6"/>
    <w:rsid w:val="00E00C3E"/>
    <w:rsid w:val="00E0752D"/>
    <w:rsid w:val="00E07E65"/>
    <w:rsid w:val="00E20470"/>
    <w:rsid w:val="00E20A7D"/>
    <w:rsid w:val="00E30AEF"/>
    <w:rsid w:val="00E32A53"/>
    <w:rsid w:val="00E32A8D"/>
    <w:rsid w:val="00E3366B"/>
    <w:rsid w:val="00E34BEE"/>
    <w:rsid w:val="00E363C7"/>
    <w:rsid w:val="00E401BC"/>
    <w:rsid w:val="00E4392C"/>
    <w:rsid w:val="00E54684"/>
    <w:rsid w:val="00E62012"/>
    <w:rsid w:val="00E67C5E"/>
    <w:rsid w:val="00E713DF"/>
    <w:rsid w:val="00E74074"/>
    <w:rsid w:val="00E85129"/>
    <w:rsid w:val="00E90B54"/>
    <w:rsid w:val="00E915D3"/>
    <w:rsid w:val="00E94218"/>
    <w:rsid w:val="00E952C5"/>
    <w:rsid w:val="00EA0D14"/>
    <w:rsid w:val="00EA35A8"/>
    <w:rsid w:val="00EA4489"/>
    <w:rsid w:val="00EB01FF"/>
    <w:rsid w:val="00EB2683"/>
    <w:rsid w:val="00EB5091"/>
    <w:rsid w:val="00EC19E1"/>
    <w:rsid w:val="00EC1D82"/>
    <w:rsid w:val="00EE3A19"/>
    <w:rsid w:val="00EE610F"/>
    <w:rsid w:val="00F01CD8"/>
    <w:rsid w:val="00F058E0"/>
    <w:rsid w:val="00F06AE2"/>
    <w:rsid w:val="00F11BFB"/>
    <w:rsid w:val="00F1690D"/>
    <w:rsid w:val="00F24F4A"/>
    <w:rsid w:val="00F25DED"/>
    <w:rsid w:val="00F27583"/>
    <w:rsid w:val="00F310AB"/>
    <w:rsid w:val="00F3784C"/>
    <w:rsid w:val="00F42F76"/>
    <w:rsid w:val="00F4467A"/>
    <w:rsid w:val="00F45607"/>
    <w:rsid w:val="00F5037C"/>
    <w:rsid w:val="00F5604D"/>
    <w:rsid w:val="00F61693"/>
    <w:rsid w:val="00F63E8F"/>
    <w:rsid w:val="00F65349"/>
    <w:rsid w:val="00F72953"/>
    <w:rsid w:val="00F73CF1"/>
    <w:rsid w:val="00F742D7"/>
    <w:rsid w:val="00F90B05"/>
    <w:rsid w:val="00F90F83"/>
    <w:rsid w:val="00F96062"/>
    <w:rsid w:val="00F973EA"/>
    <w:rsid w:val="00FB0F02"/>
    <w:rsid w:val="00FB1046"/>
    <w:rsid w:val="00FB12FD"/>
    <w:rsid w:val="00FB5A6B"/>
    <w:rsid w:val="00FC3226"/>
    <w:rsid w:val="00FC6980"/>
    <w:rsid w:val="00FC6AE4"/>
    <w:rsid w:val="00FD2BEA"/>
    <w:rsid w:val="00FD3084"/>
    <w:rsid w:val="00FD688C"/>
    <w:rsid w:val="00FE11F0"/>
    <w:rsid w:val="00FE217E"/>
    <w:rsid w:val="00FE21A2"/>
    <w:rsid w:val="00FE32D9"/>
    <w:rsid w:val="00FF08A5"/>
    <w:rsid w:val="00FF1EB9"/>
    <w:rsid w:val="0F1E75E3"/>
    <w:rsid w:val="40D95904"/>
    <w:rsid w:val="6FD52E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uiPriority="99" w:name="Date"/>
    <w:lsdException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1"/>
      <w:szCs w:val="21"/>
      <w:lang w:val="en-US" w:eastAsia="zh-CN" w:bidi="ar-SA"/>
    </w:rPr>
  </w:style>
  <w:style w:type="paragraph" w:styleId="2">
    <w:name w:val="heading 1"/>
    <w:basedOn w:val="1"/>
    <w:next w:val="1"/>
    <w:link w:val="23"/>
    <w:qFormat/>
    <w:uiPriority w:val="99"/>
    <w:pPr>
      <w:keepNext/>
      <w:keepLines/>
      <w:widowControl w:val="0"/>
      <w:spacing w:before="60" w:after="60" w:line="360" w:lineRule="auto"/>
      <w:jc w:val="center"/>
      <w:outlineLvl w:val="0"/>
    </w:pPr>
    <w:rPr>
      <w:rFonts w:ascii="Calibri" w:hAnsi="Calibri" w:eastAsia="黑体"/>
      <w:b/>
      <w:bCs/>
      <w:kern w:val="44"/>
      <w:sz w:val="28"/>
      <w:szCs w:val="44"/>
    </w:rPr>
  </w:style>
  <w:style w:type="paragraph" w:styleId="3">
    <w:name w:val="heading 2"/>
    <w:basedOn w:val="1"/>
    <w:next w:val="1"/>
    <w:link w:val="24"/>
    <w:qFormat/>
    <w:uiPriority w:val="0"/>
    <w:pPr>
      <w:keepNext/>
      <w:keepLines/>
      <w:widowControl w:val="0"/>
      <w:spacing w:before="60" w:line="360" w:lineRule="auto"/>
      <w:jc w:val="both"/>
      <w:outlineLvl w:val="1"/>
    </w:pPr>
    <w:rPr>
      <w:rFonts w:ascii="Arial" w:hAnsi="Arial"/>
      <w:b/>
      <w:bCs/>
      <w:kern w:val="2"/>
    </w:rPr>
  </w:style>
  <w:style w:type="paragraph" w:styleId="4">
    <w:name w:val="heading 3"/>
    <w:basedOn w:val="1"/>
    <w:next w:val="1"/>
    <w:link w:val="25"/>
    <w:qFormat/>
    <w:uiPriority w:val="9"/>
    <w:pPr>
      <w:keepNext/>
      <w:keepLines/>
      <w:widowControl w:val="0"/>
      <w:spacing w:before="60" w:line="360" w:lineRule="auto"/>
      <w:jc w:val="both"/>
      <w:outlineLvl w:val="2"/>
    </w:pPr>
    <w:rPr>
      <w:rFonts w:ascii="Calibri" w:hAnsi="Calibri"/>
      <w:b/>
      <w:bCs/>
      <w:kern w:val="2"/>
      <w:szCs w:val="32"/>
    </w:rPr>
  </w:style>
  <w:style w:type="paragraph" w:styleId="5">
    <w:name w:val="heading 4"/>
    <w:basedOn w:val="1"/>
    <w:next w:val="1"/>
    <w:link w:val="26"/>
    <w:qFormat/>
    <w:uiPriority w:val="9"/>
    <w:pPr>
      <w:keepNext/>
      <w:keepLines/>
      <w:widowControl w:val="0"/>
      <w:spacing w:before="60" w:line="360" w:lineRule="auto"/>
      <w:jc w:val="both"/>
      <w:outlineLvl w:val="3"/>
    </w:pPr>
    <w:rPr>
      <w:rFonts w:asciiTheme="minorEastAsia" w:hAnsiTheme="minorEastAsia" w:eastAsiaTheme="minorEastAsia"/>
      <w:b/>
      <w:bCs/>
      <w:kern w:val="2"/>
      <w:szCs w:val="28"/>
    </w:rPr>
  </w:style>
  <w:style w:type="paragraph" w:styleId="6">
    <w:name w:val="heading 5"/>
    <w:basedOn w:val="1"/>
    <w:next w:val="1"/>
    <w:link w:val="27"/>
    <w:qFormat/>
    <w:uiPriority w:val="9"/>
    <w:pPr>
      <w:keepNext/>
      <w:keepLines/>
      <w:widowControl w:val="0"/>
      <w:spacing w:before="60" w:line="360" w:lineRule="auto"/>
      <w:ind w:left="50" w:leftChars="50"/>
      <w:jc w:val="both"/>
      <w:outlineLvl w:val="4"/>
    </w:pPr>
    <w:rPr>
      <w:rFonts w:ascii="Calibri" w:hAnsi="Calibri"/>
      <w:b/>
      <w:bCs/>
      <w:kern w:val="2"/>
      <w:szCs w:val="28"/>
    </w:rPr>
  </w:style>
  <w:style w:type="paragraph" w:styleId="7">
    <w:name w:val="heading 6"/>
    <w:basedOn w:val="1"/>
    <w:next w:val="1"/>
    <w:link w:val="39"/>
    <w:unhideWhenUsed/>
    <w:qFormat/>
    <w:uiPriority w:val="9"/>
    <w:pPr>
      <w:keepNext/>
      <w:keepLines/>
      <w:spacing w:before="60" w:after="60"/>
      <w:outlineLvl w:val="5"/>
    </w:pPr>
    <w:rPr>
      <w:rFonts w:asciiTheme="majorHAnsi" w:hAnsiTheme="majorHAnsi" w:cstheme="majorBidi"/>
      <w:b/>
      <w:bCs/>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8">
    <w:name w:val="Note Heading"/>
    <w:basedOn w:val="1"/>
    <w:next w:val="1"/>
    <w:link w:val="35"/>
    <w:qFormat/>
    <w:uiPriority w:val="99"/>
    <w:pPr>
      <w:widowControl w:val="0"/>
      <w:jc w:val="center"/>
    </w:pPr>
    <w:rPr>
      <w:kern w:val="2"/>
    </w:rPr>
  </w:style>
  <w:style w:type="paragraph" w:styleId="9">
    <w:name w:val="Normal Indent"/>
    <w:basedOn w:val="1"/>
    <w:qFormat/>
    <w:uiPriority w:val="0"/>
    <w:pPr>
      <w:widowControl w:val="0"/>
      <w:ind w:firstLine="420" w:firstLineChars="200"/>
      <w:jc w:val="both"/>
    </w:pPr>
    <w:rPr>
      <w:kern w:val="2"/>
    </w:rPr>
  </w:style>
  <w:style w:type="paragraph" w:styleId="10">
    <w:name w:val="annotation text"/>
    <w:basedOn w:val="1"/>
    <w:link w:val="28"/>
    <w:qFormat/>
    <w:uiPriority w:val="0"/>
    <w:pPr>
      <w:widowControl w:val="0"/>
    </w:pPr>
    <w:rPr>
      <w:kern w:val="2"/>
    </w:rPr>
  </w:style>
  <w:style w:type="paragraph" w:styleId="11">
    <w:name w:val="Salutation"/>
    <w:basedOn w:val="1"/>
    <w:next w:val="1"/>
    <w:link w:val="29"/>
    <w:qFormat/>
    <w:uiPriority w:val="99"/>
    <w:pPr>
      <w:widowControl w:val="0"/>
      <w:jc w:val="both"/>
    </w:pPr>
    <w:rPr>
      <w:kern w:val="2"/>
    </w:rPr>
  </w:style>
  <w:style w:type="paragraph" w:styleId="12">
    <w:name w:val="Plain Text"/>
    <w:basedOn w:val="1"/>
    <w:link w:val="34"/>
    <w:qFormat/>
    <w:uiPriority w:val="99"/>
    <w:pPr>
      <w:widowControl w:val="0"/>
      <w:jc w:val="both"/>
    </w:pPr>
    <w:rPr>
      <w:rFonts w:hAnsi="Courier New"/>
      <w:kern w:val="2"/>
    </w:rPr>
  </w:style>
  <w:style w:type="paragraph" w:styleId="13">
    <w:name w:val="Balloon Text"/>
    <w:basedOn w:val="1"/>
    <w:link w:val="159"/>
    <w:semiHidden/>
    <w:unhideWhenUsed/>
    <w:qFormat/>
    <w:uiPriority w:val="99"/>
    <w:rPr>
      <w:sz w:val="18"/>
      <w:szCs w:val="18"/>
    </w:rPr>
  </w:style>
  <w:style w:type="paragraph" w:styleId="14">
    <w:name w:val="footer"/>
    <w:basedOn w:val="1"/>
    <w:link w:val="33"/>
    <w:unhideWhenUsed/>
    <w:qFormat/>
    <w:uiPriority w:val="99"/>
    <w:pPr>
      <w:widowControl w:val="0"/>
      <w:tabs>
        <w:tab w:val="center" w:pos="4153"/>
        <w:tab w:val="right" w:pos="8306"/>
      </w:tabs>
      <w:snapToGrid w:val="0"/>
    </w:pPr>
    <w:rPr>
      <w:rFonts w:ascii="Calibri" w:hAnsi="Calibri"/>
      <w:kern w:val="2"/>
      <w:sz w:val="18"/>
      <w:szCs w:val="18"/>
    </w:rPr>
  </w:style>
  <w:style w:type="paragraph" w:styleId="15">
    <w:name w:val="header"/>
    <w:basedOn w:val="1"/>
    <w:link w:val="32"/>
    <w:unhideWhenUsed/>
    <w:qFormat/>
    <w:uiPriority w:val="99"/>
    <w:pPr>
      <w:widowControl w:val="0"/>
      <w:pBdr>
        <w:bottom w:val="single" w:color="auto" w:sz="6" w:space="1"/>
      </w:pBdr>
      <w:tabs>
        <w:tab w:val="center" w:pos="4153"/>
        <w:tab w:val="right" w:pos="8306"/>
      </w:tabs>
      <w:snapToGrid w:val="0"/>
      <w:jc w:val="center"/>
    </w:pPr>
    <w:rPr>
      <w:rFonts w:ascii="Calibri" w:hAnsi="Calibri"/>
      <w:kern w:val="2"/>
      <w:sz w:val="18"/>
      <w:szCs w:val="18"/>
    </w:rPr>
  </w:style>
  <w:style w:type="paragraph" w:styleId="16">
    <w:name w:val="toc 1"/>
    <w:basedOn w:val="1"/>
    <w:next w:val="1"/>
    <w:link w:val="116"/>
    <w:autoRedefine/>
    <w:qFormat/>
    <w:uiPriority w:val="39"/>
    <w:pPr>
      <w:widowControl w:val="0"/>
      <w:tabs>
        <w:tab w:val="left" w:pos="1260"/>
        <w:tab w:val="right" w:leader="dot" w:pos="8823"/>
      </w:tabs>
      <w:spacing w:line="360" w:lineRule="auto"/>
      <w:jc w:val="both"/>
    </w:pPr>
    <w:rPr>
      <w:kern w:val="2"/>
    </w:rPr>
  </w:style>
  <w:style w:type="paragraph" w:styleId="17">
    <w:name w:val="Normal (Web)"/>
    <w:basedOn w:val="1"/>
    <w:qFormat/>
    <w:uiPriority w:val="99"/>
    <w:pPr>
      <w:spacing w:before="100" w:beforeAutospacing="1" w:after="100" w:afterAutospacing="1"/>
    </w:pPr>
    <w:rPr>
      <w:sz w:val="24"/>
    </w:rPr>
  </w:style>
  <w:style w:type="paragraph" w:styleId="18">
    <w:name w:val="annotation subject"/>
    <w:basedOn w:val="10"/>
    <w:next w:val="10"/>
    <w:link w:val="31"/>
    <w:unhideWhenUsed/>
    <w:qFormat/>
    <w:uiPriority w:val="99"/>
    <w:rPr>
      <w:rFonts w:ascii="Calibri" w:hAnsi="Calibri"/>
      <w:b/>
      <w:bCs/>
      <w:szCs w:val="22"/>
    </w:rPr>
  </w:style>
  <w:style w:type="table" w:styleId="20">
    <w:name w:val="Table Grid"/>
    <w:basedOn w:val="1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annotation reference"/>
    <w:basedOn w:val="21"/>
    <w:semiHidden/>
    <w:unhideWhenUsed/>
    <w:qFormat/>
    <w:uiPriority w:val="99"/>
    <w:rPr>
      <w:sz w:val="21"/>
      <w:szCs w:val="21"/>
    </w:rPr>
  </w:style>
  <w:style w:type="character" w:customStyle="1" w:styleId="23">
    <w:name w:val="标题 1 字符"/>
    <w:basedOn w:val="21"/>
    <w:link w:val="2"/>
    <w:qFormat/>
    <w:uiPriority w:val="99"/>
    <w:rPr>
      <w:rFonts w:eastAsia="黑体"/>
      <w:b/>
      <w:bCs/>
      <w:kern w:val="44"/>
      <w:sz w:val="28"/>
      <w:szCs w:val="44"/>
    </w:rPr>
  </w:style>
  <w:style w:type="character" w:customStyle="1" w:styleId="24">
    <w:name w:val="标题 2 字符"/>
    <w:basedOn w:val="21"/>
    <w:link w:val="3"/>
    <w:qFormat/>
    <w:uiPriority w:val="0"/>
    <w:rPr>
      <w:rFonts w:ascii="Arial" w:hAnsi="Arial"/>
      <w:b/>
      <w:bCs/>
      <w:kern w:val="2"/>
      <w:sz w:val="21"/>
      <w:szCs w:val="21"/>
    </w:rPr>
  </w:style>
  <w:style w:type="character" w:customStyle="1" w:styleId="25">
    <w:name w:val="标题 3 字符"/>
    <w:basedOn w:val="21"/>
    <w:link w:val="4"/>
    <w:qFormat/>
    <w:uiPriority w:val="9"/>
    <w:rPr>
      <w:b/>
      <w:bCs/>
      <w:kern w:val="2"/>
      <w:sz w:val="21"/>
      <w:szCs w:val="32"/>
    </w:rPr>
  </w:style>
  <w:style w:type="character" w:customStyle="1" w:styleId="26">
    <w:name w:val="标题 4 字符"/>
    <w:basedOn w:val="21"/>
    <w:link w:val="5"/>
    <w:qFormat/>
    <w:uiPriority w:val="9"/>
    <w:rPr>
      <w:rFonts w:asciiTheme="minorEastAsia" w:hAnsiTheme="minorEastAsia" w:eastAsiaTheme="minorEastAsia"/>
      <w:b/>
      <w:bCs/>
      <w:kern w:val="2"/>
      <w:sz w:val="21"/>
      <w:szCs w:val="28"/>
    </w:rPr>
  </w:style>
  <w:style w:type="character" w:customStyle="1" w:styleId="27">
    <w:name w:val="标题 5 字符"/>
    <w:basedOn w:val="21"/>
    <w:link w:val="6"/>
    <w:qFormat/>
    <w:uiPriority w:val="9"/>
    <w:rPr>
      <w:b/>
      <w:bCs/>
      <w:kern w:val="2"/>
      <w:sz w:val="21"/>
      <w:szCs w:val="28"/>
    </w:rPr>
  </w:style>
  <w:style w:type="character" w:customStyle="1" w:styleId="28">
    <w:name w:val="批注文字 字符"/>
    <w:basedOn w:val="21"/>
    <w:link w:val="10"/>
    <w:qFormat/>
    <w:uiPriority w:val="0"/>
    <w:rPr>
      <w:rFonts w:ascii="Times New Roman" w:hAnsi="Times New Roman" w:eastAsia="宋体" w:cs="Times New Roman"/>
      <w:szCs w:val="21"/>
    </w:rPr>
  </w:style>
  <w:style w:type="character" w:customStyle="1" w:styleId="29">
    <w:name w:val="称呼 字符"/>
    <w:basedOn w:val="21"/>
    <w:link w:val="11"/>
    <w:qFormat/>
    <w:uiPriority w:val="99"/>
    <w:rPr>
      <w:rFonts w:ascii="Times New Roman" w:hAnsi="Times New Roman" w:eastAsia="宋体" w:cs="Times New Roman"/>
      <w:szCs w:val="21"/>
    </w:rPr>
  </w:style>
  <w:style w:type="paragraph" w:styleId="30">
    <w:name w:val="List Paragraph"/>
    <w:basedOn w:val="1"/>
    <w:qFormat/>
    <w:uiPriority w:val="34"/>
    <w:pPr>
      <w:widowControl w:val="0"/>
      <w:ind w:firstLine="420" w:firstLineChars="200"/>
      <w:jc w:val="both"/>
    </w:pPr>
    <w:rPr>
      <w:rFonts w:ascii="Calibri" w:hAnsi="Calibri"/>
      <w:kern w:val="2"/>
      <w:szCs w:val="22"/>
    </w:rPr>
  </w:style>
  <w:style w:type="character" w:customStyle="1" w:styleId="31">
    <w:name w:val="批注主题 字符"/>
    <w:basedOn w:val="28"/>
    <w:link w:val="18"/>
    <w:qFormat/>
    <w:uiPriority w:val="99"/>
    <w:rPr>
      <w:rFonts w:ascii="Calibri" w:hAnsi="Calibri" w:eastAsia="宋体" w:cs="Times New Roman"/>
      <w:b/>
      <w:bCs/>
      <w:szCs w:val="21"/>
    </w:rPr>
  </w:style>
  <w:style w:type="character" w:customStyle="1" w:styleId="32">
    <w:name w:val="页眉 字符"/>
    <w:basedOn w:val="21"/>
    <w:link w:val="15"/>
    <w:qFormat/>
    <w:uiPriority w:val="99"/>
    <w:rPr>
      <w:rFonts w:ascii="Calibri" w:hAnsi="Calibri" w:eastAsia="宋体" w:cs="Times New Roman"/>
      <w:sz w:val="18"/>
      <w:szCs w:val="18"/>
    </w:rPr>
  </w:style>
  <w:style w:type="character" w:customStyle="1" w:styleId="33">
    <w:name w:val="页脚 字符"/>
    <w:basedOn w:val="21"/>
    <w:link w:val="14"/>
    <w:qFormat/>
    <w:uiPriority w:val="99"/>
    <w:rPr>
      <w:rFonts w:ascii="Calibri" w:hAnsi="Calibri" w:eastAsia="宋体" w:cs="Times New Roman"/>
      <w:sz w:val="18"/>
      <w:szCs w:val="18"/>
    </w:rPr>
  </w:style>
  <w:style w:type="character" w:customStyle="1" w:styleId="34">
    <w:name w:val="纯文本 字符"/>
    <w:basedOn w:val="21"/>
    <w:link w:val="12"/>
    <w:qFormat/>
    <w:uiPriority w:val="99"/>
    <w:rPr>
      <w:rFonts w:ascii="宋体" w:hAnsi="Courier New" w:eastAsia="宋体" w:cs="Times New Roman"/>
      <w:szCs w:val="20"/>
    </w:rPr>
  </w:style>
  <w:style w:type="character" w:customStyle="1" w:styleId="35">
    <w:name w:val="注释标题 字符"/>
    <w:basedOn w:val="21"/>
    <w:link w:val="8"/>
    <w:qFormat/>
    <w:uiPriority w:val="99"/>
    <w:rPr>
      <w:rFonts w:ascii="Times New Roman" w:hAnsi="Times New Roman" w:eastAsia="宋体" w:cs="Times New Roman"/>
      <w:szCs w:val="21"/>
    </w:rPr>
  </w:style>
  <w:style w:type="character" w:customStyle="1" w:styleId="36">
    <w:name w:val="正文的样式 Char"/>
    <w:basedOn w:val="21"/>
    <w:link w:val="37"/>
    <w:qFormat/>
    <w:uiPriority w:val="0"/>
    <w:rPr>
      <w:kern w:val="2"/>
      <w:sz w:val="21"/>
      <w:szCs w:val="24"/>
    </w:rPr>
  </w:style>
  <w:style w:type="paragraph" w:customStyle="1" w:styleId="37">
    <w:name w:val="正文的样式"/>
    <w:basedOn w:val="1"/>
    <w:link w:val="36"/>
    <w:qFormat/>
    <w:uiPriority w:val="0"/>
    <w:pPr>
      <w:widowControl w:val="0"/>
      <w:spacing w:before="100" w:after="100"/>
      <w:jc w:val="both"/>
    </w:pPr>
    <w:rPr>
      <w:rFonts w:ascii="Calibri" w:hAnsi="Calibri"/>
      <w:kern w:val="2"/>
    </w:rPr>
  </w:style>
  <w:style w:type="paragraph" w:styleId="38">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39">
    <w:name w:val="标题 6 字符"/>
    <w:basedOn w:val="21"/>
    <w:link w:val="7"/>
    <w:qFormat/>
    <w:uiPriority w:val="9"/>
    <w:rPr>
      <w:rFonts w:asciiTheme="majorHAnsi" w:hAnsiTheme="majorHAnsi" w:cstheme="majorBidi"/>
      <w:b/>
      <w:bCs/>
      <w:sz w:val="21"/>
      <w:szCs w:val="24"/>
    </w:rPr>
  </w:style>
  <w:style w:type="paragraph" w:customStyle="1" w:styleId="40">
    <w:name w:val="4"/>
    <w:basedOn w:val="1"/>
    <w:next w:val="30"/>
    <w:qFormat/>
    <w:uiPriority w:val="34"/>
    <w:pPr>
      <w:widowControl w:val="0"/>
      <w:ind w:firstLine="420" w:firstLineChars="200"/>
      <w:jc w:val="both"/>
    </w:pPr>
    <w:rPr>
      <w:rFonts w:ascii="Calibri" w:hAnsi="Calibri"/>
      <w:kern w:val="2"/>
      <w:szCs w:val="22"/>
    </w:rPr>
  </w:style>
  <w:style w:type="paragraph" w:customStyle="1" w:styleId="41">
    <w:name w:val="1"/>
    <w:basedOn w:val="1"/>
    <w:next w:val="30"/>
    <w:link w:val="99"/>
    <w:qFormat/>
    <w:uiPriority w:val="34"/>
    <w:pPr>
      <w:widowControl w:val="0"/>
      <w:ind w:firstLine="420" w:firstLineChars="200"/>
      <w:jc w:val="both"/>
    </w:pPr>
    <w:rPr>
      <w:rFonts w:ascii="Calibri" w:hAnsi="Calibri"/>
      <w:kern w:val="2"/>
      <w:szCs w:val="22"/>
    </w:rPr>
  </w:style>
  <w:style w:type="paragraph" w:customStyle="1" w:styleId="42">
    <w:name w:val="Table Paragraph"/>
    <w:basedOn w:val="1"/>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table" w:customStyle="1" w:styleId="43">
    <w:name w:val="g2"/>
    <w:autoRedefine/>
    <w:semiHidden/>
    <w:unhideWhenUsed/>
    <w:qFormat/>
    <w:uiPriority w:val="99"/>
    <w:tblPr>
      <w:tblCellMar>
        <w:top w:w="0" w:type="dxa"/>
        <w:left w:w="108" w:type="dxa"/>
        <w:bottom w:w="0" w:type="dxa"/>
        <w:right w:w="108" w:type="dxa"/>
      </w:tblCellMar>
    </w:tblPr>
  </w:style>
  <w:style w:type="paragraph" w:customStyle="1" w:styleId="44">
    <w:name w:val="正文2"/>
    <w:link w:val="121"/>
    <w:qFormat/>
    <w:uiPriority w:val="0"/>
    <w:pPr>
      <w:jc w:val="both"/>
    </w:pPr>
    <w:rPr>
      <w:rFonts w:ascii="Times New Roman" w:hAnsi="Times New Roman" w:eastAsia="宋体" w:cs="Times New Roman"/>
      <w:kern w:val="2"/>
      <w:sz w:val="21"/>
      <w:szCs w:val="21"/>
      <w:lang w:val="en-US" w:eastAsia="zh-CN" w:bidi="ar-SA"/>
    </w:rPr>
  </w:style>
  <w:style w:type="paragraph" w:customStyle="1" w:styleId="45">
    <w:name w:val="_Style 49"/>
    <w:autoRedefine/>
    <w:qFormat/>
    <w:uiPriority w:val="0"/>
    <w:pPr>
      <w:widowControl w:val="0"/>
    </w:pPr>
    <w:rPr>
      <w:rFonts w:ascii="宋体" w:hAnsi="宋体" w:eastAsia="宋体" w:cs="Times New Roman"/>
      <w:sz w:val="21"/>
      <w:szCs w:val="21"/>
      <w:lang w:val="en-US" w:eastAsia="zh-CN" w:bidi="ar-SA"/>
    </w:rPr>
  </w:style>
  <w:style w:type="table" w:customStyle="1" w:styleId="46">
    <w:name w:val="g1"/>
    <w:semiHidden/>
    <w:unhideWhenUsed/>
    <w:qFormat/>
    <w:uiPriority w:val="99"/>
    <w:rPr>
      <w:rFonts w:ascii="Calibri" w:hAnsi="Calibri"/>
    </w:rPr>
    <w:tblPr>
      <w:tblCellMar>
        <w:top w:w="0" w:type="dxa"/>
        <w:left w:w="108" w:type="dxa"/>
        <w:bottom w:w="0" w:type="dxa"/>
        <w:right w:w="108" w:type="dxa"/>
      </w:tblCellMar>
    </w:tblPr>
  </w:style>
  <w:style w:type="table" w:customStyle="1" w:styleId="47">
    <w:name w:val="g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48">
    <w:name w:val="112"/>
    <w:qFormat/>
    <w:uiPriority w:val="0"/>
    <w:pPr>
      <w:widowControl w:val="0"/>
      <w:jc w:val="both"/>
    </w:pPr>
    <w:rPr>
      <w:rFonts w:ascii="Calibri" w:hAnsi="Calibri" w:eastAsia="宋体" w:cs="Times New Roman"/>
      <w:kern w:val="2"/>
      <w:sz w:val="21"/>
      <w:szCs w:val="21"/>
      <w:lang w:val="en-US" w:eastAsia="zh-CN" w:bidi="ar-SA"/>
    </w:rPr>
  </w:style>
  <w:style w:type="paragraph" w:customStyle="1" w:styleId="49">
    <w:name w:val="111"/>
    <w:basedOn w:val="48"/>
    <w:qFormat/>
    <w:uiPriority w:val="99"/>
    <w:pPr>
      <w:keepNext/>
      <w:keepLines/>
      <w:spacing w:before="60" w:after="60" w:line="360" w:lineRule="auto"/>
      <w:jc w:val="center"/>
      <w:outlineLvl w:val="0"/>
    </w:pPr>
    <w:rPr>
      <w:rFonts w:eastAsia="黑体"/>
      <w:b/>
      <w:bCs/>
      <w:kern w:val="44"/>
      <w:sz w:val="28"/>
      <w:szCs w:val="44"/>
    </w:rPr>
  </w:style>
  <w:style w:type="paragraph" w:customStyle="1" w:styleId="50">
    <w:name w:val="110"/>
    <w:basedOn w:val="48"/>
    <w:qFormat/>
    <w:uiPriority w:val="0"/>
    <w:pPr>
      <w:keepNext/>
      <w:keepLines/>
      <w:spacing w:before="60" w:line="360" w:lineRule="auto"/>
      <w:outlineLvl w:val="1"/>
    </w:pPr>
    <w:rPr>
      <w:rFonts w:ascii="Arial" w:hAnsi="Arial"/>
      <w:b/>
      <w:bCs/>
    </w:rPr>
  </w:style>
  <w:style w:type="paragraph" w:customStyle="1" w:styleId="51">
    <w:name w:val="109"/>
    <w:basedOn w:val="48"/>
    <w:qFormat/>
    <w:uiPriority w:val="9"/>
    <w:pPr>
      <w:keepNext/>
      <w:keepLines/>
      <w:spacing w:before="60" w:line="360" w:lineRule="auto"/>
      <w:outlineLvl w:val="2"/>
    </w:pPr>
    <w:rPr>
      <w:b/>
      <w:bCs/>
      <w:szCs w:val="32"/>
    </w:rPr>
  </w:style>
  <w:style w:type="paragraph" w:customStyle="1" w:styleId="52">
    <w:name w:val="108"/>
    <w:basedOn w:val="48"/>
    <w:qFormat/>
    <w:uiPriority w:val="9"/>
    <w:pPr>
      <w:keepNext/>
      <w:keepLines/>
      <w:spacing w:before="60" w:line="360" w:lineRule="auto"/>
      <w:outlineLvl w:val="3"/>
    </w:pPr>
    <w:rPr>
      <w:rFonts w:asciiTheme="minorEastAsia" w:hAnsiTheme="minorEastAsia" w:eastAsiaTheme="minorEastAsia"/>
      <w:b/>
      <w:bCs/>
      <w:szCs w:val="28"/>
    </w:rPr>
  </w:style>
  <w:style w:type="paragraph" w:customStyle="1" w:styleId="53">
    <w:name w:val="107"/>
    <w:basedOn w:val="48"/>
    <w:qFormat/>
    <w:uiPriority w:val="9"/>
    <w:pPr>
      <w:keepNext/>
      <w:keepLines/>
      <w:spacing w:before="60" w:line="360" w:lineRule="auto"/>
      <w:ind w:left="50" w:leftChars="50"/>
      <w:outlineLvl w:val="4"/>
    </w:pPr>
    <w:rPr>
      <w:b/>
      <w:bCs/>
      <w:szCs w:val="28"/>
    </w:rPr>
  </w:style>
  <w:style w:type="paragraph" w:customStyle="1" w:styleId="54">
    <w:name w:val="106"/>
    <w:basedOn w:val="48"/>
    <w:unhideWhenUsed/>
    <w:qFormat/>
    <w:uiPriority w:val="9"/>
    <w:pPr>
      <w:keepNext/>
      <w:keepLines/>
      <w:widowControl/>
      <w:spacing w:before="60" w:after="60"/>
      <w:jc w:val="left"/>
      <w:outlineLvl w:val="5"/>
    </w:pPr>
    <w:rPr>
      <w:rFonts w:asciiTheme="majorHAnsi" w:hAnsiTheme="majorHAnsi" w:cstheme="majorBidi"/>
      <w:b/>
      <w:bCs/>
      <w:kern w:val="0"/>
      <w:szCs w:val="20"/>
    </w:rPr>
  </w:style>
  <w:style w:type="paragraph" w:customStyle="1" w:styleId="55">
    <w:name w:val="105"/>
    <w:basedOn w:val="48"/>
    <w:unhideWhenUsed/>
    <w:qFormat/>
    <w:uiPriority w:val="9"/>
    <w:pPr>
      <w:keepNext/>
      <w:keepLines/>
      <w:widowControl/>
      <w:spacing w:before="240" w:after="64" w:line="320" w:lineRule="auto"/>
      <w:jc w:val="left"/>
      <w:outlineLvl w:val="6"/>
    </w:pPr>
    <w:rPr>
      <w:rFonts w:ascii="Times New Roman" w:hAnsi="Times New Roman"/>
      <w:b/>
      <w:bCs/>
      <w:kern w:val="0"/>
      <w:sz w:val="24"/>
      <w:szCs w:val="20"/>
    </w:rPr>
  </w:style>
  <w:style w:type="character" w:customStyle="1" w:styleId="56">
    <w:name w:val="104"/>
    <w:semiHidden/>
    <w:unhideWhenUsed/>
    <w:qFormat/>
    <w:uiPriority w:val="1"/>
  </w:style>
  <w:style w:type="table" w:customStyle="1" w:styleId="57">
    <w:name w:val="103"/>
    <w:semiHidden/>
    <w:unhideWhenUsed/>
    <w:qFormat/>
    <w:uiPriority w:val="99"/>
    <w:rPr>
      <w:rFonts w:ascii="Calibri" w:hAnsi="Calibri"/>
    </w:rPr>
    <w:tblPr>
      <w:tblCellMar>
        <w:top w:w="0" w:type="dxa"/>
        <w:left w:w="108" w:type="dxa"/>
        <w:bottom w:w="0" w:type="dxa"/>
        <w:right w:w="108" w:type="dxa"/>
      </w:tblCellMar>
    </w:tblPr>
  </w:style>
  <w:style w:type="paragraph" w:customStyle="1" w:styleId="58">
    <w:name w:val="102"/>
    <w:basedOn w:val="48"/>
    <w:autoRedefine/>
    <w:unhideWhenUsed/>
    <w:qFormat/>
    <w:uiPriority w:val="39"/>
    <w:pPr>
      <w:ind w:left="2520" w:leftChars="1200"/>
    </w:pPr>
    <w:rPr>
      <w:rFonts w:asciiTheme="minorHAnsi" w:hAnsiTheme="minorHAnsi" w:eastAsiaTheme="minorEastAsia" w:cstheme="minorBidi"/>
      <w:szCs w:val="22"/>
    </w:rPr>
  </w:style>
  <w:style w:type="paragraph" w:customStyle="1" w:styleId="59">
    <w:name w:val="101"/>
    <w:basedOn w:val="48"/>
    <w:qFormat/>
    <w:uiPriority w:val="99"/>
    <w:pPr>
      <w:jc w:val="center"/>
    </w:pPr>
    <w:rPr>
      <w:rFonts w:ascii="Times New Roman" w:hAnsi="Times New Roman"/>
    </w:rPr>
  </w:style>
  <w:style w:type="paragraph" w:customStyle="1" w:styleId="60">
    <w:name w:val="100"/>
    <w:basedOn w:val="48"/>
    <w:qFormat/>
    <w:uiPriority w:val="0"/>
    <w:pPr>
      <w:ind w:firstLine="420" w:firstLineChars="200"/>
    </w:pPr>
    <w:rPr>
      <w:rFonts w:ascii="Times New Roman" w:hAnsi="Times New Roman"/>
    </w:rPr>
  </w:style>
  <w:style w:type="paragraph" w:customStyle="1" w:styleId="61">
    <w:name w:val="99"/>
    <w:basedOn w:val="48"/>
    <w:semiHidden/>
    <w:unhideWhenUsed/>
    <w:qFormat/>
    <w:uiPriority w:val="99"/>
    <w:rPr>
      <w:sz w:val="18"/>
      <w:szCs w:val="18"/>
    </w:rPr>
  </w:style>
  <w:style w:type="paragraph" w:customStyle="1" w:styleId="62">
    <w:name w:val="98"/>
    <w:basedOn w:val="48"/>
    <w:semiHidden/>
    <w:qFormat/>
    <w:uiPriority w:val="0"/>
    <w:pPr>
      <w:spacing w:before="120"/>
    </w:pPr>
    <w:rPr>
      <w:rFonts w:ascii="Arial" w:hAnsi="Arial"/>
      <w:b/>
      <w:bCs/>
    </w:rPr>
  </w:style>
  <w:style w:type="paragraph" w:customStyle="1" w:styleId="63">
    <w:name w:val="97"/>
    <w:basedOn w:val="48"/>
    <w:qFormat/>
    <w:uiPriority w:val="0"/>
    <w:pPr>
      <w:jc w:val="left"/>
    </w:pPr>
    <w:rPr>
      <w:rFonts w:ascii="Times New Roman" w:hAnsi="Times New Roman"/>
    </w:rPr>
  </w:style>
  <w:style w:type="paragraph" w:customStyle="1" w:styleId="64">
    <w:name w:val="96"/>
    <w:basedOn w:val="48"/>
    <w:qFormat/>
    <w:uiPriority w:val="99"/>
    <w:rPr>
      <w:rFonts w:ascii="Times New Roman" w:hAnsi="Times New Roman"/>
    </w:rPr>
  </w:style>
  <w:style w:type="paragraph" w:customStyle="1" w:styleId="65">
    <w:name w:val="95"/>
    <w:basedOn w:val="48"/>
    <w:qFormat/>
    <w:uiPriority w:val="0"/>
    <w:pPr>
      <w:tabs>
        <w:tab w:val="left" w:pos="1200"/>
      </w:tabs>
    </w:pPr>
    <w:rPr>
      <w:rFonts w:ascii="Times New Roman" w:hAnsi="Times New Roman"/>
    </w:rPr>
  </w:style>
  <w:style w:type="paragraph" w:customStyle="1" w:styleId="66">
    <w:name w:val="94"/>
    <w:basedOn w:val="48"/>
    <w:qFormat/>
    <w:uiPriority w:val="99"/>
    <w:pPr>
      <w:spacing w:after="120"/>
    </w:pPr>
    <w:rPr>
      <w:rFonts w:ascii="Times New Roman" w:hAnsi="Times New Roman"/>
    </w:rPr>
  </w:style>
  <w:style w:type="paragraph" w:customStyle="1" w:styleId="67">
    <w:name w:val="93"/>
    <w:basedOn w:val="48"/>
    <w:autoRedefine/>
    <w:unhideWhenUsed/>
    <w:qFormat/>
    <w:uiPriority w:val="39"/>
    <w:pPr>
      <w:ind w:left="1680" w:leftChars="800"/>
    </w:pPr>
    <w:rPr>
      <w:rFonts w:asciiTheme="minorHAnsi" w:hAnsiTheme="minorHAnsi" w:eastAsiaTheme="minorEastAsia" w:cstheme="minorBidi"/>
      <w:szCs w:val="22"/>
    </w:rPr>
  </w:style>
  <w:style w:type="paragraph" w:customStyle="1" w:styleId="68">
    <w:name w:val="92"/>
    <w:basedOn w:val="48"/>
    <w:autoRedefine/>
    <w:unhideWhenUsed/>
    <w:qFormat/>
    <w:uiPriority w:val="39"/>
    <w:pPr>
      <w:widowControl/>
      <w:spacing w:after="100" w:line="276" w:lineRule="auto"/>
      <w:ind w:left="440"/>
      <w:jc w:val="left"/>
    </w:pPr>
    <w:rPr>
      <w:kern w:val="0"/>
      <w:sz w:val="22"/>
      <w:szCs w:val="22"/>
    </w:rPr>
  </w:style>
  <w:style w:type="paragraph" w:customStyle="1" w:styleId="69">
    <w:name w:val="91"/>
    <w:basedOn w:val="48"/>
    <w:qFormat/>
    <w:uiPriority w:val="0"/>
    <w:rPr>
      <w:rFonts w:ascii="Times New Roman" w:hAnsi="Courier New"/>
      <w:szCs w:val="20"/>
    </w:rPr>
  </w:style>
  <w:style w:type="paragraph" w:customStyle="1" w:styleId="70">
    <w:name w:val="90"/>
    <w:basedOn w:val="48"/>
    <w:autoRedefine/>
    <w:unhideWhenUsed/>
    <w:qFormat/>
    <w:uiPriority w:val="39"/>
    <w:pPr>
      <w:ind w:left="2940" w:leftChars="1400"/>
    </w:pPr>
    <w:rPr>
      <w:rFonts w:asciiTheme="minorHAnsi" w:hAnsiTheme="minorHAnsi" w:eastAsiaTheme="minorEastAsia" w:cstheme="minorBidi"/>
      <w:szCs w:val="22"/>
    </w:rPr>
  </w:style>
  <w:style w:type="paragraph" w:customStyle="1" w:styleId="71">
    <w:name w:val="89"/>
    <w:basedOn w:val="48"/>
    <w:qFormat/>
    <w:uiPriority w:val="99"/>
    <w:pPr>
      <w:ind w:left="100" w:leftChars="2500"/>
    </w:pPr>
    <w:rPr>
      <w:rFonts w:ascii="Times New Roman" w:hAnsi="Times New Roman"/>
    </w:rPr>
  </w:style>
  <w:style w:type="paragraph" w:customStyle="1" w:styleId="72">
    <w:name w:val="88"/>
    <w:basedOn w:val="48"/>
    <w:semiHidden/>
    <w:unhideWhenUsed/>
    <w:qFormat/>
    <w:uiPriority w:val="99"/>
    <w:pPr>
      <w:snapToGrid w:val="0"/>
    </w:pPr>
  </w:style>
  <w:style w:type="paragraph" w:customStyle="1" w:styleId="73">
    <w:name w:val="87"/>
    <w:basedOn w:val="48"/>
    <w:unhideWhenUsed/>
    <w:qFormat/>
    <w:uiPriority w:val="99"/>
    <w:rPr>
      <w:sz w:val="18"/>
      <w:szCs w:val="18"/>
    </w:rPr>
  </w:style>
  <w:style w:type="paragraph" w:customStyle="1" w:styleId="74">
    <w:name w:val="86"/>
    <w:basedOn w:val="48"/>
    <w:unhideWhenUsed/>
    <w:qFormat/>
    <w:uiPriority w:val="99"/>
    <w:pPr>
      <w:tabs>
        <w:tab w:val="center" w:pos="4153"/>
        <w:tab w:val="right" w:pos="8306"/>
      </w:tabs>
      <w:snapToGrid w:val="0"/>
      <w:jc w:val="left"/>
    </w:pPr>
    <w:rPr>
      <w:sz w:val="18"/>
      <w:szCs w:val="18"/>
    </w:rPr>
  </w:style>
  <w:style w:type="paragraph" w:customStyle="1" w:styleId="75">
    <w:name w:val="85"/>
    <w:basedOn w:val="48"/>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76">
    <w:name w:val="84"/>
    <w:basedOn w:val="48"/>
    <w:autoRedefine/>
    <w:qFormat/>
    <w:uiPriority w:val="39"/>
    <w:pPr>
      <w:tabs>
        <w:tab w:val="left" w:pos="1260"/>
        <w:tab w:val="right" w:leader="dot" w:pos="8823"/>
      </w:tabs>
      <w:spacing w:line="360" w:lineRule="auto"/>
    </w:pPr>
    <w:rPr>
      <w:rFonts w:ascii="Times New Roman" w:hAnsi="Times New Roman"/>
    </w:rPr>
  </w:style>
  <w:style w:type="paragraph" w:customStyle="1" w:styleId="77">
    <w:name w:val="83"/>
    <w:basedOn w:val="48"/>
    <w:autoRedefine/>
    <w:unhideWhenUsed/>
    <w:qFormat/>
    <w:uiPriority w:val="39"/>
    <w:pPr>
      <w:ind w:left="1260" w:leftChars="600"/>
    </w:pPr>
    <w:rPr>
      <w:rFonts w:asciiTheme="minorHAnsi" w:hAnsiTheme="minorHAnsi" w:eastAsiaTheme="minorEastAsia" w:cstheme="minorBidi"/>
      <w:szCs w:val="22"/>
    </w:rPr>
  </w:style>
  <w:style w:type="paragraph" w:customStyle="1" w:styleId="78">
    <w:name w:val="82"/>
    <w:basedOn w:val="48"/>
    <w:semiHidden/>
    <w:unhideWhenUsed/>
    <w:qFormat/>
    <w:uiPriority w:val="99"/>
    <w:pPr>
      <w:snapToGrid w:val="0"/>
    </w:pPr>
    <w:rPr>
      <w:sz w:val="18"/>
      <w:szCs w:val="18"/>
    </w:rPr>
  </w:style>
  <w:style w:type="paragraph" w:customStyle="1" w:styleId="79">
    <w:name w:val="81"/>
    <w:basedOn w:val="48"/>
    <w:autoRedefine/>
    <w:unhideWhenUsed/>
    <w:qFormat/>
    <w:uiPriority w:val="39"/>
    <w:pPr>
      <w:ind w:left="2100" w:leftChars="1000"/>
    </w:pPr>
    <w:rPr>
      <w:rFonts w:asciiTheme="minorHAnsi" w:hAnsiTheme="minorHAnsi" w:eastAsiaTheme="minorEastAsia" w:cstheme="minorBidi"/>
      <w:szCs w:val="22"/>
    </w:rPr>
  </w:style>
  <w:style w:type="paragraph" w:customStyle="1" w:styleId="80">
    <w:name w:val="80"/>
    <w:basedOn w:val="48"/>
    <w:autoRedefine/>
    <w:qFormat/>
    <w:uiPriority w:val="39"/>
    <w:pPr>
      <w:ind w:left="420" w:leftChars="200"/>
    </w:pPr>
    <w:rPr>
      <w:rFonts w:ascii="Times New Roman" w:hAnsi="Times New Roman"/>
    </w:rPr>
  </w:style>
  <w:style w:type="paragraph" w:customStyle="1" w:styleId="81">
    <w:name w:val="79"/>
    <w:basedOn w:val="48"/>
    <w:autoRedefine/>
    <w:unhideWhenUsed/>
    <w:qFormat/>
    <w:uiPriority w:val="39"/>
    <w:pPr>
      <w:ind w:left="3360" w:leftChars="1600"/>
    </w:pPr>
    <w:rPr>
      <w:rFonts w:asciiTheme="minorHAnsi" w:hAnsiTheme="minorHAnsi" w:eastAsiaTheme="minorEastAsia" w:cstheme="minorBidi"/>
      <w:szCs w:val="22"/>
    </w:rPr>
  </w:style>
  <w:style w:type="paragraph" w:customStyle="1" w:styleId="82">
    <w:name w:val="78"/>
    <w:basedOn w:val="48"/>
    <w:qFormat/>
    <w:uiPriority w:val="99"/>
    <w:pPr>
      <w:widowControl/>
      <w:spacing w:before="100" w:beforeAutospacing="1" w:after="100" w:afterAutospacing="1"/>
      <w:jc w:val="left"/>
    </w:pPr>
    <w:rPr>
      <w:rFonts w:ascii="Times New Roman" w:hAnsi="Times New Roman"/>
      <w:kern w:val="0"/>
      <w:sz w:val="24"/>
      <w:szCs w:val="20"/>
    </w:rPr>
  </w:style>
  <w:style w:type="paragraph" w:customStyle="1" w:styleId="83">
    <w:name w:val="77"/>
    <w:basedOn w:val="48"/>
    <w:autoRedefine/>
    <w:semiHidden/>
    <w:qFormat/>
    <w:uiPriority w:val="0"/>
    <w:pPr>
      <w:widowControl/>
      <w:ind w:firstLine="420" w:firstLineChars="200"/>
      <w:jc w:val="left"/>
    </w:pPr>
    <w:rPr>
      <w:rFonts w:ascii="Times New Roman" w:hAnsi="Times New Roman"/>
      <w:color w:val="000000"/>
      <w:kern w:val="0"/>
    </w:rPr>
  </w:style>
  <w:style w:type="paragraph" w:customStyle="1" w:styleId="84">
    <w:name w:val="76"/>
    <w:basedOn w:val="48"/>
    <w:qFormat/>
    <w:uiPriority w:val="10"/>
    <w:pPr>
      <w:spacing w:before="240" w:after="60"/>
      <w:jc w:val="center"/>
      <w:outlineLvl w:val="0"/>
    </w:pPr>
    <w:rPr>
      <w:rFonts w:asciiTheme="majorHAnsi" w:hAnsiTheme="majorHAnsi" w:cstheme="majorBidi"/>
      <w:b/>
      <w:bCs/>
      <w:sz w:val="32"/>
      <w:szCs w:val="32"/>
    </w:rPr>
  </w:style>
  <w:style w:type="paragraph" w:customStyle="1" w:styleId="85">
    <w:name w:val="75"/>
    <w:basedOn w:val="63"/>
    <w:unhideWhenUsed/>
    <w:qFormat/>
    <w:uiPriority w:val="99"/>
    <w:rPr>
      <w:rFonts w:ascii="Calibri" w:hAnsi="Calibri"/>
      <w:b/>
      <w:bCs/>
      <w:szCs w:val="22"/>
    </w:rPr>
  </w:style>
  <w:style w:type="table" w:customStyle="1" w:styleId="86">
    <w:name w:val="74"/>
    <w:basedOn w:val="5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7">
    <w:name w:val="73"/>
    <w:basedOn w:val="56"/>
    <w:semiHidden/>
    <w:unhideWhenUsed/>
    <w:qFormat/>
    <w:uiPriority w:val="99"/>
    <w:rPr>
      <w:vertAlign w:val="superscript"/>
    </w:rPr>
  </w:style>
  <w:style w:type="character" w:customStyle="1" w:styleId="88">
    <w:name w:val="72"/>
    <w:basedOn w:val="56"/>
    <w:qFormat/>
    <w:uiPriority w:val="99"/>
    <w:rPr>
      <w:rFonts w:cs="Times New Roman"/>
      <w:color w:val="0000FF"/>
      <w:u w:val="single"/>
    </w:rPr>
  </w:style>
  <w:style w:type="character" w:customStyle="1" w:styleId="89">
    <w:name w:val="71"/>
    <w:basedOn w:val="56"/>
    <w:qFormat/>
    <w:uiPriority w:val="99"/>
    <w:rPr>
      <w:rFonts w:eastAsia="宋体" w:cs="Times New Roman"/>
      <w:kern w:val="2"/>
      <w:sz w:val="21"/>
      <w:szCs w:val="21"/>
      <w:lang w:val="en-US" w:eastAsia="zh-CN" w:bidi="ar-SA"/>
    </w:rPr>
  </w:style>
  <w:style w:type="character" w:customStyle="1" w:styleId="90">
    <w:name w:val="70"/>
    <w:semiHidden/>
    <w:unhideWhenUsed/>
    <w:qFormat/>
    <w:uiPriority w:val="99"/>
    <w:rPr>
      <w:vertAlign w:val="superscript"/>
    </w:rPr>
  </w:style>
  <w:style w:type="character" w:customStyle="1" w:styleId="91">
    <w:name w:val="69"/>
    <w:basedOn w:val="56"/>
    <w:qFormat/>
    <w:uiPriority w:val="99"/>
    <w:rPr>
      <w:rFonts w:eastAsia="黑体"/>
      <w:b/>
      <w:bCs/>
      <w:kern w:val="44"/>
      <w:sz w:val="28"/>
      <w:szCs w:val="44"/>
    </w:rPr>
  </w:style>
  <w:style w:type="character" w:customStyle="1" w:styleId="92">
    <w:name w:val="68"/>
    <w:basedOn w:val="56"/>
    <w:qFormat/>
    <w:uiPriority w:val="0"/>
    <w:rPr>
      <w:rFonts w:ascii="Arial" w:hAnsi="Arial"/>
      <w:b/>
      <w:bCs/>
      <w:kern w:val="2"/>
      <w:sz w:val="21"/>
      <w:szCs w:val="21"/>
    </w:rPr>
  </w:style>
  <w:style w:type="character" w:customStyle="1" w:styleId="93">
    <w:name w:val="67"/>
    <w:basedOn w:val="56"/>
    <w:qFormat/>
    <w:uiPriority w:val="9"/>
    <w:rPr>
      <w:b/>
      <w:bCs/>
      <w:kern w:val="2"/>
      <w:sz w:val="21"/>
      <w:szCs w:val="32"/>
    </w:rPr>
  </w:style>
  <w:style w:type="character" w:customStyle="1" w:styleId="94">
    <w:name w:val="66"/>
    <w:basedOn w:val="56"/>
    <w:qFormat/>
    <w:uiPriority w:val="9"/>
    <w:rPr>
      <w:rFonts w:asciiTheme="minorEastAsia" w:hAnsiTheme="minorEastAsia" w:eastAsiaTheme="minorEastAsia"/>
      <w:b/>
      <w:bCs/>
      <w:kern w:val="2"/>
      <w:sz w:val="21"/>
      <w:szCs w:val="28"/>
    </w:rPr>
  </w:style>
  <w:style w:type="character" w:customStyle="1" w:styleId="95">
    <w:name w:val="65"/>
    <w:basedOn w:val="56"/>
    <w:qFormat/>
    <w:uiPriority w:val="9"/>
    <w:rPr>
      <w:b/>
      <w:bCs/>
      <w:kern w:val="2"/>
      <w:sz w:val="21"/>
      <w:szCs w:val="28"/>
    </w:rPr>
  </w:style>
  <w:style w:type="paragraph" w:customStyle="1" w:styleId="96">
    <w:name w:val="64"/>
    <w:basedOn w:val="49"/>
    <w:qFormat/>
    <w:uiPriority w:val="39"/>
    <w:pPr>
      <w:widowControl/>
      <w:spacing w:before="480" w:after="0" w:line="276" w:lineRule="auto"/>
      <w:outlineLvl w:val="9"/>
    </w:pPr>
    <w:rPr>
      <w:rFonts w:ascii="Cambria" w:hAnsi="Cambria" w:eastAsia="宋体"/>
      <w:color w:val="365F91"/>
      <w:kern w:val="0"/>
      <w:szCs w:val="28"/>
    </w:rPr>
  </w:style>
  <w:style w:type="character" w:customStyle="1" w:styleId="97">
    <w:name w:val="63"/>
    <w:basedOn w:val="56"/>
    <w:qFormat/>
    <w:uiPriority w:val="0"/>
    <w:rPr>
      <w:rFonts w:ascii="Times New Roman" w:hAnsi="Times New Roman" w:eastAsia="宋体" w:cs="Times New Roman"/>
      <w:szCs w:val="21"/>
    </w:rPr>
  </w:style>
  <w:style w:type="character" w:customStyle="1" w:styleId="98">
    <w:name w:val="62"/>
    <w:basedOn w:val="56"/>
    <w:qFormat/>
    <w:uiPriority w:val="99"/>
    <w:rPr>
      <w:rFonts w:ascii="Calibri" w:hAnsi="Calibri" w:eastAsia="宋体" w:cs="Times New Roman"/>
      <w:sz w:val="18"/>
      <w:szCs w:val="18"/>
    </w:rPr>
  </w:style>
  <w:style w:type="character" w:customStyle="1" w:styleId="99">
    <w:name w:val="61"/>
    <w:basedOn w:val="56"/>
    <w:link w:val="41"/>
    <w:qFormat/>
    <w:uiPriority w:val="99"/>
    <w:rPr>
      <w:rFonts w:ascii="Times New Roman" w:hAnsi="Times New Roman" w:eastAsia="宋体" w:cs="Times New Roman"/>
      <w:szCs w:val="21"/>
    </w:rPr>
  </w:style>
  <w:style w:type="character" w:customStyle="1" w:styleId="100">
    <w:name w:val="60"/>
    <w:basedOn w:val="56"/>
    <w:qFormat/>
    <w:uiPriority w:val="99"/>
    <w:rPr>
      <w:rFonts w:eastAsia="宋体" w:cs="Times New Roman"/>
      <w:color w:val="FF0000"/>
      <w:kern w:val="2"/>
      <w:sz w:val="24"/>
      <w:szCs w:val="24"/>
      <w:lang w:val="en-US" w:eastAsia="zh-CN" w:bidi="ar-SA"/>
    </w:rPr>
  </w:style>
  <w:style w:type="paragraph" w:customStyle="1" w:styleId="101">
    <w:name w:val="59"/>
    <w:basedOn w:val="48"/>
    <w:qFormat/>
    <w:uiPriority w:val="99"/>
    <w:pPr>
      <w:widowControl/>
      <w:spacing w:before="100" w:after="100"/>
      <w:jc w:val="right"/>
    </w:pPr>
    <w:rPr>
      <w:rFonts w:ascii="Arial Unicode MS" w:hAnsi="Times New Roman" w:eastAsia="Arial Unicode MS"/>
      <w:kern w:val="0"/>
      <w:sz w:val="18"/>
      <w:szCs w:val="18"/>
    </w:rPr>
  </w:style>
  <w:style w:type="paragraph" w:customStyle="1" w:styleId="102">
    <w:name w:val="58"/>
    <w:basedOn w:val="48"/>
    <w:qFormat/>
    <w:uiPriority w:val="34"/>
    <w:pPr>
      <w:ind w:firstLine="420" w:firstLineChars="200"/>
    </w:pPr>
    <w:rPr>
      <w:szCs w:val="22"/>
    </w:rPr>
  </w:style>
  <w:style w:type="character" w:customStyle="1" w:styleId="103">
    <w:name w:val="57"/>
    <w:basedOn w:val="97"/>
    <w:qFormat/>
    <w:uiPriority w:val="99"/>
    <w:rPr>
      <w:rFonts w:ascii="Calibri" w:hAnsi="Calibri" w:eastAsia="宋体" w:cs="Times New Roman"/>
      <w:b/>
      <w:bCs/>
      <w:szCs w:val="21"/>
    </w:rPr>
  </w:style>
  <w:style w:type="character" w:customStyle="1" w:styleId="104">
    <w:name w:val="56"/>
    <w:basedOn w:val="56"/>
    <w:qFormat/>
    <w:uiPriority w:val="99"/>
    <w:rPr>
      <w:rFonts w:ascii="Calibri" w:hAnsi="Calibri" w:eastAsia="宋体" w:cs="Times New Roman"/>
      <w:sz w:val="18"/>
      <w:szCs w:val="18"/>
    </w:rPr>
  </w:style>
  <w:style w:type="character" w:customStyle="1" w:styleId="105">
    <w:name w:val="55"/>
    <w:basedOn w:val="56"/>
    <w:qFormat/>
    <w:uiPriority w:val="99"/>
    <w:rPr>
      <w:rFonts w:ascii="Calibri" w:hAnsi="Calibri" w:eastAsia="宋体" w:cs="Times New Roman"/>
      <w:sz w:val="18"/>
      <w:szCs w:val="18"/>
    </w:rPr>
  </w:style>
  <w:style w:type="character" w:customStyle="1" w:styleId="106">
    <w:name w:val="54"/>
    <w:basedOn w:val="56"/>
    <w:qFormat/>
    <w:uiPriority w:val="0"/>
    <w:rPr>
      <w:rFonts w:ascii="宋体" w:hAnsi="Courier New" w:eastAsia="宋体" w:cs="Times New Roman"/>
      <w:szCs w:val="20"/>
    </w:rPr>
  </w:style>
  <w:style w:type="character" w:customStyle="1" w:styleId="107">
    <w:name w:val="53"/>
    <w:basedOn w:val="56"/>
    <w:qFormat/>
    <w:uiPriority w:val="0"/>
    <w:rPr>
      <w:rFonts w:eastAsia="宋体" w:cs="Times New Roman"/>
      <w:kern w:val="2"/>
      <w:sz w:val="24"/>
      <w:szCs w:val="24"/>
      <w:lang w:val="en-US" w:eastAsia="zh-CN" w:bidi="ar-SA"/>
    </w:rPr>
  </w:style>
  <w:style w:type="character" w:customStyle="1" w:styleId="108">
    <w:name w:val="52"/>
    <w:basedOn w:val="56"/>
    <w:qFormat/>
    <w:uiPriority w:val="99"/>
    <w:rPr>
      <w:rFonts w:ascii="Times New Roman" w:hAnsi="Times New Roman" w:eastAsia="宋体" w:cs="Times New Roman"/>
      <w:szCs w:val="21"/>
    </w:rPr>
  </w:style>
  <w:style w:type="paragraph" w:customStyle="1" w:styleId="109">
    <w:name w:val="51"/>
    <w:basedOn w:val="48"/>
    <w:qFormat/>
    <w:uiPriority w:val="99"/>
    <w:pPr>
      <w:widowControl/>
      <w:tabs>
        <w:tab w:val="left" w:pos="709"/>
      </w:tabs>
      <w:overflowPunct w:val="0"/>
      <w:autoSpaceDE w:val="0"/>
      <w:autoSpaceDN w:val="0"/>
      <w:adjustRightInd w:val="0"/>
      <w:textAlignment w:val="baseline"/>
    </w:pPr>
    <w:rPr>
      <w:rFonts w:ascii="Helvetica-Narrow" w:hAnsi="Helvetica-Narrow"/>
      <w:kern w:val="0"/>
      <w:szCs w:val="20"/>
      <w:lang w:val="en-AU"/>
    </w:rPr>
  </w:style>
  <w:style w:type="character" w:customStyle="1" w:styleId="110">
    <w:name w:val="50"/>
    <w:basedOn w:val="56"/>
    <w:qFormat/>
    <w:uiPriority w:val="99"/>
    <w:rPr>
      <w:rFonts w:ascii="Times New Roman" w:hAnsi="Times New Roman" w:eastAsia="宋体" w:cs="Times New Roman"/>
      <w:szCs w:val="21"/>
    </w:rPr>
  </w:style>
  <w:style w:type="character" w:customStyle="1" w:styleId="111">
    <w:name w:val="49"/>
    <w:basedOn w:val="56"/>
    <w:qFormat/>
    <w:uiPriority w:val="99"/>
    <w:rPr>
      <w:rFonts w:ascii="Times New Roman" w:hAnsi="Times New Roman" w:eastAsia="宋体" w:cs="Times New Roman"/>
      <w:szCs w:val="21"/>
    </w:rPr>
  </w:style>
  <w:style w:type="paragraph" w:customStyle="1" w:styleId="112">
    <w:name w:val="48"/>
    <w:basedOn w:val="48"/>
    <w:qFormat/>
    <w:uiPriority w:val="0"/>
    <w:pPr>
      <w:keepNext/>
      <w:keepLines/>
      <w:spacing w:before="60" w:after="60"/>
      <w:ind w:hanging="420" w:hangingChars="200"/>
      <w:outlineLvl w:val="4"/>
    </w:pPr>
    <w:rPr>
      <w:rFonts w:ascii="Times New Roman" w:hAnsi="Times New Roman"/>
      <w:b/>
      <w:bCs/>
    </w:rPr>
  </w:style>
  <w:style w:type="paragraph" w:customStyle="1" w:styleId="113">
    <w:name w:val="47"/>
    <w:hidden/>
    <w:semiHidden/>
    <w:qFormat/>
    <w:uiPriority w:val="99"/>
    <w:rPr>
      <w:rFonts w:ascii="Times New Roman" w:hAnsi="Times New Roman" w:eastAsia="宋体" w:cs="Times New Roman"/>
      <w:kern w:val="2"/>
      <w:sz w:val="21"/>
      <w:szCs w:val="22"/>
      <w:lang w:val="en-US" w:eastAsia="zh-CN" w:bidi="ar-SA"/>
    </w:rPr>
  </w:style>
  <w:style w:type="character" w:customStyle="1" w:styleId="114">
    <w:name w:val="46"/>
    <w:basedOn w:val="56"/>
    <w:qFormat/>
    <w:uiPriority w:val="0"/>
    <w:rPr>
      <w:kern w:val="2"/>
      <w:sz w:val="21"/>
      <w:szCs w:val="24"/>
    </w:rPr>
  </w:style>
  <w:style w:type="paragraph" w:customStyle="1" w:styleId="115">
    <w:name w:val="45"/>
    <w:basedOn w:val="48"/>
    <w:qFormat/>
    <w:uiPriority w:val="0"/>
    <w:pPr>
      <w:spacing w:before="100" w:after="100"/>
    </w:pPr>
    <w:rPr>
      <w:szCs w:val="20"/>
    </w:rPr>
  </w:style>
  <w:style w:type="character" w:customStyle="1" w:styleId="116">
    <w:name w:val="目录 1 字符"/>
    <w:basedOn w:val="56"/>
    <w:link w:val="16"/>
    <w:qFormat/>
    <w:uiPriority w:val="39"/>
    <w:rPr>
      <w:rFonts w:ascii="宋体"/>
      <w:kern w:val="2"/>
      <w:sz w:val="18"/>
      <w:szCs w:val="18"/>
    </w:rPr>
  </w:style>
  <w:style w:type="character" w:customStyle="1" w:styleId="117">
    <w:name w:val="44"/>
    <w:basedOn w:val="56"/>
    <w:qFormat/>
    <w:uiPriority w:val="99"/>
    <w:rPr>
      <w:color w:val="auto"/>
    </w:rPr>
  </w:style>
  <w:style w:type="character" w:customStyle="1" w:styleId="118">
    <w:name w:val="43"/>
    <w:basedOn w:val="56"/>
    <w:qFormat/>
    <w:uiPriority w:val="10"/>
    <w:rPr>
      <w:rFonts w:asciiTheme="majorHAnsi" w:hAnsiTheme="majorHAnsi" w:cstheme="majorBidi"/>
      <w:b/>
      <w:bCs/>
      <w:kern w:val="2"/>
      <w:sz w:val="32"/>
      <w:szCs w:val="32"/>
    </w:rPr>
  </w:style>
  <w:style w:type="paragraph" w:customStyle="1" w:styleId="119">
    <w:name w:val="42"/>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20">
    <w:name w:val="41"/>
    <w:basedOn w:val="56"/>
    <w:qFormat/>
    <w:uiPriority w:val="9"/>
    <w:rPr>
      <w:rFonts w:asciiTheme="majorHAnsi" w:hAnsiTheme="majorHAnsi" w:cstheme="majorBidi"/>
      <w:b/>
      <w:bCs/>
      <w:sz w:val="21"/>
      <w:szCs w:val="24"/>
    </w:rPr>
  </w:style>
  <w:style w:type="character" w:customStyle="1" w:styleId="121">
    <w:name w:val="40"/>
    <w:basedOn w:val="56"/>
    <w:link w:val="44"/>
    <w:semiHidden/>
    <w:qFormat/>
    <w:uiPriority w:val="99"/>
    <w:rPr>
      <w:rFonts w:ascii="宋体" w:hAnsi="宋体" w:cs="宋体"/>
      <w:sz w:val="21"/>
      <w:szCs w:val="24"/>
    </w:rPr>
  </w:style>
  <w:style w:type="character" w:customStyle="1" w:styleId="122">
    <w:name w:val="39"/>
    <w:basedOn w:val="97"/>
    <w:semiHidden/>
    <w:qFormat/>
    <w:uiPriority w:val="99"/>
    <w:rPr>
      <w:rFonts w:ascii="Times New Roman" w:hAnsi="Times New Roman" w:eastAsia="宋体" w:cs="Times New Roman"/>
      <w:b/>
      <w:bCs/>
      <w:szCs w:val="21"/>
    </w:rPr>
  </w:style>
  <w:style w:type="character" w:customStyle="1" w:styleId="123">
    <w:name w:val="38"/>
    <w:basedOn w:val="56"/>
    <w:qFormat/>
    <w:uiPriority w:val="0"/>
  </w:style>
  <w:style w:type="paragraph" w:customStyle="1" w:styleId="124">
    <w:name w:val="37"/>
    <w:basedOn w:val="48"/>
    <w:qFormat/>
    <w:uiPriority w:val="0"/>
    <w:pPr>
      <w:keepNext/>
      <w:keepLines/>
      <w:spacing w:before="100" w:beforeAutospacing="1" w:after="100" w:afterAutospacing="1" w:line="415" w:lineRule="auto"/>
    </w:pPr>
    <w:rPr>
      <w:rFonts w:ascii="Times New Roman" w:hAnsi="Times New Roman"/>
      <w:b/>
      <w:szCs w:val="20"/>
    </w:rPr>
  </w:style>
  <w:style w:type="character" w:customStyle="1" w:styleId="125">
    <w:name w:val="36"/>
    <w:basedOn w:val="56"/>
    <w:qFormat/>
    <w:uiPriority w:val="0"/>
    <w:rPr>
      <w:rFonts w:ascii="Times New Roman" w:hAnsi="Times New Roman"/>
      <w:b/>
      <w:kern w:val="2"/>
      <w:sz w:val="21"/>
      <w:szCs w:val="24"/>
    </w:rPr>
  </w:style>
  <w:style w:type="character" w:customStyle="1" w:styleId="126">
    <w:name w:val="35"/>
    <w:basedOn w:val="56"/>
    <w:qFormat/>
    <w:uiPriority w:val="9"/>
    <w:rPr>
      <w:rFonts w:ascii="宋体" w:hAnsi="宋体" w:cs="宋体"/>
      <w:b/>
      <w:bCs/>
      <w:sz w:val="24"/>
      <w:szCs w:val="24"/>
    </w:rPr>
  </w:style>
  <w:style w:type="character" w:customStyle="1" w:styleId="127">
    <w:name w:val="34"/>
    <w:basedOn w:val="97"/>
    <w:semiHidden/>
    <w:qFormat/>
    <w:uiPriority w:val="99"/>
    <w:rPr>
      <w:rFonts w:ascii="Times New Roman" w:hAnsi="Times New Roman" w:eastAsia="宋体" w:cs="Times New Roman"/>
      <w:b/>
      <w:bCs/>
      <w:szCs w:val="21"/>
    </w:rPr>
  </w:style>
  <w:style w:type="character" w:customStyle="1" w:styleId="128">
    <w:name w:val="33"/>
    <w:qFormat/>
    <w:uiPriority w:val="9"/>
    <w:rPr>
      <w:rFonts w:ascii="Cambria" w:hAnsi="Cambria"/>
      <w:b/>
      <w:bCs/>
      <w:kern w:val="2"/>
      <w:sz w:val="21"/>
      <w:szCs w:val="28"/>
    </w:rPr>
  </w:style>
  <w:style w:type="paragraph" w:customStyle="1" w:styleId="129">
    <w:name w:val="32"/>
    <w:basedOn w:val="48"/>
    <w:qFormat/>
    <w:uiPriority w:val="34"/>
    <w:pPr>
      <w:ind w:firstLine="420" w:firstLineChars="200"/>
    </w:pPr>
    <w:rPr>
      <w:szCs w:val="22"/>
    </w:rPr>
  </w:style>
  <w:style w:type="table" w:customStyle="1" w:styleId="130">
    <w:name w:val="31"/>
    <w:basedOn w:val="57"/>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31">
    <w:name w:val="30"/>
    <w:basedOn w:val="48"/>
    <w:qFormat/>
    <w:uiPriority w:val="34"/>
    <w:pPr>
      <w:ind w:firstLine="420" w:firstLineChars="200"/>
    </w:pPr>
    <w:rPr>
      <w:szCs w:val="22"/>
    </w:rPr>
  </w:style>
  <w:style w:type="character" w:customStyle="1" w:styleId="132">
    <w:name w:val="29"/>
    <w:qFormat/>
    <w:uiPriority w:val="9"/>
    <w:rPr>
      <w:b/>
      <w:bCs/>
      <w:kern w:val="2"/>
      <w:sz w:val="21"/>
      <w:szCs w:val="32"/>
    </w:rPr>
  </w:style>
  <w:style w:type="paragraph" w:customStyle="1" w:styleId="133">
    <w:name w:val="28"/>
    <w:basedOn w:val="48"/>
    <w:qFormat/>
    <w:uiPriority w:val="34"/>
    <w:pPr>
      <w:ind w:firstLine="420" w:firstLineChars="200"/>
    </w:pPr>
    <w:rPr>
      <w:szCs w:val="22"/>
    </w:rPr>
  </w:style>
  <w:style w:type="paragraph" w:customStyle="1" w:styleId="134">
    <w:name w:val="27"/>
    <w:basedOn w:val="48"/>
    <w:qFormat/>
    <w:uiPriority w:val="34"/>
    <w:pPr>
      <w:ind w:firstLine="420" w:firstLineChars="200"/>
    </w:pPr>
    <w:rPr>
      <w:szCs w:val="22"/>
    </w:rPr>
  </w:style>
  <w:style w:type="paragraph" w:customStyle="1" w:styleId="135">
    <w:name w:val="26"/>
    <w:basedOn w:val="48"/>
    <w:qFormat/>
    <w:uiPriority w:val="1"/>
    <w:pPr>
      <w:autoSpaceDE w:val="0"/>
      <w:autoSpaceDN w:val="0"/>
      <w:spacing w:after="160" w:line="259" w:lineRule="auto"/>
      <w:jc w:val="left"/>
    </w:pPr>
    <w:rPr>
      <w:rFonts w:ascii="Noto Sans CJK JP Regular" w:hAnsi="Noto Sans CJK JP Regular" w:eastAsia="Noto Sans CJK JP Regular" w:cs="Noto Sans CJK JP Regular"/>
      <w:kern w:val="0"/>
      <w:sz w:val="22"/>
      <w:szCs w:val="22"/>
      <w:lang w:eastAsia="en-US"/>
    </w:rPr>
  </w:style>
  <w:style w:type="character" w:customStyle="1" w:styleId="136">
    <w:name w:val="25"/>
    <w:qFormat/>
    <w:uiPriority w:val="0"/>
    <w:rPr>
      <w:rFonts w:ascii="Times New Roman" w:hAnsi="Times New Roman"/>
      <w:kern w:val="2"/>
      <w:sz w:val="21"/>
      <w:szCs w:val="21"/>
    </w:rPr>
  </w:style>
  <w:style w:type="character" w:customStyle="1" w:styleId="137">
    <w:name w:val="24"/>
    <w:qFormat/>
    <w:uiPriority w:val="9"/>
    <w:rPr>
      <w:b/>
      <w:bCs/>
      <w:kern w:val="2"/>
      <w:sz w:val="21"/>
      <w:szCs w:val="32"/>
    </w:rPr>
  </w:style>
  <w:style w:type="character" w:customStyle="1" w:styleId="138">
    <w:name w:val="23"/>
    <w:qFormat/>
    <w:uiPriority w:val="0"/>
    <w:rPr>
      <w:rFonts w:ascii="Arial" w:hAnsi="Arial"/>
      <w:b/>
      <w:bCs/>
      <w:kern w:val="2"/>
      <w:sz w:val="21"/>
      <w:szCs w:val="21"/>
    </w:rPr>
  </w:style>
  <w:style w:type="character" w:customStyle="1" w:styleId="139">
    <w:name w:val="22"/>
    <w:qFormat/>
    <w:uiPriority w:val="9"/>
    <w:rPr>
      <w:b/>
      <w:bCs/>
      <w:kern w:val="2"/>
      <w:sz w:val="21"/>
      <w:szCs w:val="28"/>
    </w:rPr>
  </w:style>
  <w:style w:type="paragraph" w:customStyle="1" w:styleId="140">
    <w:name w:val="21"/>
    <w:basedOn w:val="48"/>
    <w:qFormat/>
    <w:uiPriority w:val="34"/>
    <w:pPr>
      <w:ind w:firstLine="420" w:firstLineChars="200"/>
    </w:pPr>
    <w:rPr>
      <w:szCs w:val="22"/>
    </w:rPr>
  </w:style>
  <w:style w:type="character" w:customStyle="1" w:styleId="141">
    <w:name w:val="20"/>
    <w:qFormat/>
    <w:uiPriority w:val="99"/>
    <w:rPr>
      <w:rFonts w:ascii="Times New Roman" w:hAnsi="Times New Roman"/>
      <w:kern w:val="2"/>
      <w:sz w:val="21"/>
      <w:szCs w:val="21"/>
    </w:rPr>
  </w:style>
  <w:style w:type="character" w:customStyle="1" w:styleId="142">
    <w:name w:val="19"/>
    <w:qFormat/>
    <w:uiPriority w:val="0"/>
    <w:rPr>
      <w:rFonts w:hint="default" w:ascii="FZLTSK--GBK1-0" w:hAnsi="FZLTSK--GBK1-0"/>
      <w:color w:val="000000"/>
      <w:sz w:val="20"/>
      <w:szCs w:val="20"/>
    </w:rPr>
  </w:style>
  <w:style w:type="paragraph" w:customStyle="1" w:styleId="143">
    <w:name w:val="18"/>
    <w:basedOn w:val="48"/>
    <w:qFormat/>
    <w:uiPriority w:val="34"/>
    <w:pPr>
      <w:ind w:firstLine="420" w:firstLineChars="200"/>
    </w:pPr>
    <w:rPr>
      <w:szCs w:val="22"/>
    </w:rPr>
  </w:style>
  <w:style w:type="character" w:customStyle="1" w:styleId="144">
    <w:name w:val="17"/>
    <w:qFormat/>
    <w:uiPriority w:val="99"/>
    <w:rPr>
      <w:rFonts w:ascii="Times New Roman" w:hAnsi="Times New Roman"/>
      <w:kern w:val="2"/>
      <w:sz w:val="21"/>
      <w:szCs w:val="21"/>
    </w:rPr>
  </w:style>
  <w:style w:type="character" w:customStyle="1" w:styleId="145">
    <w:name w:val="16"/>
    <w:qFormat/>
    <w:uiPriority w:val="9"/>
    <w:rPr>
      <w:b/>
      <w:bCs/>
      <w:kern w:val="2"/>
      <w:sz w:val="21"/>
      <w:szCs w:val="28"/>
    </w:rPr>
  </w:style>
  <w:style w:type="character" w:customStyle="1" w:styleId="146">
    <w:name w:val="15"/>
    <w:semiHidden/>
    <w:qFormat/>
    <w:locked/>
    <w:uiPriority w:val="99"/>
    <w:rPr>
      <w:rFonts w:ascii="Times New Roman" w:hAnsi="Times New Roman"/>
      <w:kern w:val="2"/>
      <w:sz w:val="21"/>
      <w:szCs w:val="21"/>
    </w:rPr>
  </w:style>
  <w:style w:type="character" w:customStyle="1" w:styleId="147">
    <w:name w:val="14"/>
    <w:qFormat/>
    <w:uiPriority w:val="0"/>
    <w:rPr>
      <w:rFonts w:ascii="Arial" w:hAnsi="Arial"/>
      <w:b/>
      <w:bCs/>
      <w:kern w:val="2"/>
      <w:sz w:val="21"/>
      <w:szCs w:val="21"/>
    </w:rPr>
  </w:style>
  <w:style w:type="character" w:customStyle="1" w:styleId="148">
    <w:name w:val="13"/>
    <w:qFormat/>
    <w:uiPriority w:val="99"/>
    <w:rPr>
      <w:rFonts w:ascii="Times New Roman" w:hAnsi="Times New Roman"/>
      <w:kern w:val="2"/>
      <w:sz w:val="21"/>
      <w:szCs w:val="21"/>
    </w:rPr>
  </w:style>
  <w:style w:type="character" w:customStyle="1" w:styleId="149">
    <w:name w:val="12"/>
    <w:qFormat/>
    <w:uiPriority w:val="9"/>
    <w:rPr>
      <w:b/>
      <w:bCs/>
      <w:kern w:val="2"/>
      <w:sz w:val="21"/>
      <w:szCs w:val="28"/>
    </w:rPr>
  </w:style>
  <w:style w:type="paragraph" w:customStyle="1" w:styleId="150">
    <w:name w:val="11"/>
    <w:basedOn w:val="48"/>
    <w:qFormat/>
    <w:uiPriority w:val="34"/>
    <w:pPr>
      <w:ind w:firstLine="420" w:firstLineChars="200"/>
    </w:pPr>
    <w:rPr>
      <w:szCs w:val="22"/>
    </w:rPr>
  </w:style>
  <w:style w:type="character" w:customStyle="1" w:styleId="151">
    <w:name w:val="10"/>
    <w:qFormat/>
    <w:uiPriority w:val="9"/>
    <w:rPr>
      <w:b/>
      <w:bCs/>
      <w:kern w:val="2"/>
      <w:sz w:val="21"/>
      <w:szCs w:val="32"/>
    </w:rPr>
  </w:style>
  <w:style w:type="character" w:customStyle="1" w:styleId="152">
    <w:name w:val="9"/>
    <w:qFormat/>
    <w:uiPriority w:val="9"/>
    <w:rPr>
      <w:b/>
      <w:bCs/>
      <w:kern w:val="2"/>
      <w:sz w:val="21"/>
      <w:szCs w:val="32"/>
    </w:rPr>
  </w:style>
  <w:style w:type="character" w:customStyle="1" w:styleId="153">
    <w:name w:val="8"/>
    <w:qFormat/>
    <w:uiPriority w:val="0"/>
    <w:rPr>
      <w:rFonts w:ascii="Times New Roman" w:hAnsi="Times New Roman"/>
      <w:kern w:val="2"/>
      <w:sz w:val="21"/>
      <w:szCs w:val="21"/>
    </w:rPr>
  </w:style>
  <w:style w:type="character" w:customStyle="1" w:styleId="154">
    <w:name w:val="7"/>
    <w:qFormat/>
    <w:uiPriority w:val="9"/>
    <w:rPr>
      <w:rFonts w:ascii="Cambria" w:hAnsi="Cambria"/>
      <w:b/>
      <w:bCs/>
      <w:kern w:val="2"/>
      <w:sz w:val="21"/>
      <w:szCs w:val="28"/>
    </w:rPr>
  </w:style>
  <w:style w:type="character" w:customStyle="1" w:styleId="155">
    <w:name w:val="6"/>
    <w:basedOn w:val="56"/>
    <w:semiHidden/>
    <w:qFormat/>
    <w:uiPriority w:val="99"/>
    <w:rPr>
      <w:kern w:val="2"/>
      <w:sz w:val="18"/>
      <w:szCs w:val="18"/>
    </w:rPr>
  </w:style>
  <w:style w:type="paragraph" w:customStyle="1" w:styleId="156">
    <w:name w:val="5"/>
    <w:basedOn w:val="48"/>
    <w:autoRedefine/>
    <w:qFormat/>
    <w:uiPriority w:val="99"/>
    <w:pPr>
      <w:ind w:firstLine="420" w:firstLineChars="200"/>
    </w:pPr>
    <w:rPr>
      <w:szCs w:val="22"/>
    </w:rPr>
  </w:style>
  <w:style w:type="paragraph" w:customStyle="1" w:styleId="157">
    <w:name w:val="3"/>
    <w:basedOn w:val="48"/>
    <w:autoRedefine/>
    <w:qFormat/>
    <w:uiPriority w:val="34"/>
    <w:pPr>
      <w:spacing w:line="360" w:lineRule="auto"/>
      <w:ind w:firstLine="420" w:firstLineChars="200"/>
      <w:jc w:val="left"/>
    </w:pPr>
    <w:rPr>
      <w:rFonts w:ascii="宋体" w:hAnsi="宋体"/>
      <w:kern w:val="0"/>
      <w:szCs w:val="22"/>
    </w:rPr>
  </w:style>
  <w:style w:type="paragraph" w:customStyle="1" w:styleId="158">
    <w:name w:val="2"/>
    <w:autoRedefine/>
    <w:qFormat/>
    <w:uiPriority w:val="0"/>
    <w:pPr>
      <w:widowControl w:val="0"/>
    </w:pPr>
    <w:rPr>
      <w:rFonts w:ascii="宋体" w:hAnsi="宋体" w:eastAsia="宋体" w:cs="Times New Roman"/>
      <w:sz w:val="21"/>
      <w:szCs w:val="21"/>
      <w:lang w:val="en-US" w:eastAsia="zh-CN" w:bidi="ar-SA"/>
    </w:rPr>
  </w:style>
  <w:style w:type="character" w:customStyle="1" w:styleId="159">
    <w:name w:val="批注框文本 字符"/>
    <w:basedOn w:val="21"/>
    <w:link w:val="13"/>
    <w:semiHidden/>
    <w:qFormat/>
    <w:uiPriority w:val="99"/>
    <w:rPr>
      <w:sz w:val="18"/>
      <w:szCs w:val="18"/>
    </w:rPr>
  </w:style>
  <w:style w:type="table" w:customStyle="1" w:styleId="160">
    <w:name w:val="g11"/>
    <w:autoRedefine/>
    <w:semiHidden/>
    <w:unhideWhenUsed/>
    <w:qFormat/>
    <w:uiPriority w:val="99"/>
    <w:tblPr>
      <w:tblCellMar>
        <w:top w:w="0" w:type="dxa"/>
        <w:left w:w="108" w:type="dxa"/>
        <w:bottom w:w="0" w:type="dxa"/>
        <w:right w:w="108" w:type="dxa"/>
      </w:tblCellMar>
    </w:tblPr>
  </w:style>
  <w:style w:type="character" w:styleId="161">
    <w:name w:val="Placeholder Text"/>
    <w:basedOn w:val="21"/>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glossaryDocument" Target="glossary/document.xml"/><Relationship Id="rId15" Type="http://schemas.openxmlformats.org/officeDocument/2006/relationships/fontTable" Target="fontTable.xml"/><Relationship Id="rId14" Type="http://schemas.openxmlformats.org/officeDocument/2006/relationships/customXml" Target="../customXml/item5.xml"/><Relationship Id="rId13" Type="http://schemas.openxmlformats.org/officeDocument/2006/relationships/customXml" Target="../customXml/item4.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db\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22222222222222222222222222222"/>
        <w:style w:val=""/>
        <w:category>
          <w:name w:val="常规"/>
          <w:gallery w:val="placeholder"/>
        </w:category>
        <w:types>
          <w:type w:val="bbPlcHdr"/>
        </w:types>
        <w:behaviors>
          <w:behavior w:val="content"/>
        </w:behaviors>
        <w:description w:val=""/>
        <w:guid w:val="{1F823479-1B2C-4501-A4CD-13FF47B8C52B}"/>
      </w:docPartPr>
      <w:docPartBody>
        <w:p w14:paraId="0CF5D6F2">
          <w:r>
            <w:rPr>
              <w:rStyle w:val="4"/>
              <w:rFonts w:hint="eastAsia"/>
              <w:color w:val="333399"/>
              <w:u w:val="single"/>
            </w:rPr>
            <w:t>　　　</w:t>
          </w:r>
        </w:p>
      </w:docPartBody>
    </w:docPart>
    <w:docPart>
      <w:docPartPr>
        <w:name w:val="BEAC835B411041E1AE463A98650D8EDB"/>
        <w:style w:val=""/>
        <w:category>
          <w:name w:val="常规"/>
          <w:gallery w:val="placeholder"/>
        </w:category>
        <w:types>
          <w:type w:val="bbPlcHdr"/>
        </w:types>
        <w:behaviors>
          <w:behavior w:val="content"/>
        </w:behaviors>
        <w:description w:val=""/>
        <w:guid w:val="{0C38911A-7D75-497D-AA54-DBDFF67B07CB}"/>
      </w:docPartPr>
      <w:docPartBody>
        <w:p w14:paraId="2B3EB0F4">
          <w:pPr>
            <w:pStyle w:val="17"/>
          </w:pPr>
          <w:r>
            <w:rPr>
              <w:rStyle w:val="4"/>
              <w:rFonts w:hint="eastAsia"/>
              <w:color w:val="333399"/>
              <w:u w:val="single"/>
            </w:rPr>
            <w:t>　　　</w:t>
          </w:r>
        </w:p>
      </w:docPartBody>
    </w:docPart>
    <w:docPart>
      <w:docPartPr>
        <w:name w:val="F0392FCB41C545D5BFC8D9D1BD562E85"/>
        <w:style w:val=""/>
        <w:category>
          <w:name w:val="常规"/>
          <w:gallery w:val="placeholder"/>
        </w:category>
        <w:types>
          <w:type w:val="bbPlcHdr"/>
        </w:types>
        <w:behaviors>
          <w:behavior w:val="content"/>
        </w:behaviors>
        <w:description w:val=""/>
        <w:guid w:val="{450D6083-B229-4E72-BA18-1FC595D518F2}"/>
      </w:docPartPr>
      <w:docPartBody>
        <w:p w14:paraId="6190E602">
          <w:pPr>
            <w:pStyle w:val="19"/>
          </w:pPr>
          <w:r>
            <w:rPr>
              <w:rStyle w:val="4"/>
              <w:rFonts w:hint="eastAsia"/>
              <w:color w:val="333399"/>
              <w:u w:val="single"/>
            </w:rPr>
            <w:t>　　　</w:t>
          </w:r>
        </w:p>
      </w:docPartBody>
    </w:docPart>
    <w:docPart>
      <w:docPartPr>
        <w:name w:val="4E2B4110E7EA437EB02AB075E7949D67"/>
        <w:style w:val=""/>
        <w:category>
          <w:name w:val="常规"/>
          <w:gallery w:val="placeholder"/>
        </w:category>
        <w:types>
          <w:type w:val="bbPlcHdr"/>
        </w:types>
        <w:behaviors>
          <w:behavior w:val="content"/>
        </w:behaviors>
        <w:description w:val=""/>
        <w:guid w:val="{25E99906-CE1D-429B-AD81-57F083459070}"/>
      </w:docPartPr>
      <w:docPartBody>
        <w:p w14:paraId="77135D30">
          <w:pPr>
            <w:pStyle w:val="28"/>
          </w:pPr>
          <w:r>
            <w:rPr>
              <w:rStyle w:val="4"/>
              <w:rFonts w:hint="eastAsia"/>
              <w:color w:val="333399"/>
              <w:u w:val="single"/>
            </w:rPr>
            <w:t>　　　</w:t>
          </w:r>
        </w:p>
      </w:docPartBody>
    </w:docPart>
    <w:docPart>
      <w:docPartPr>
        <w:name w:val="E6A683922E344762A064767855F6790C"/>
        <w:style w:val=""/>
        <w:category>
          <w:name w:val="常规"/>
          <w:gallery w:val="placeholder"/>
        </w:category>
        <w:types>
          <w:type w:val="bbPlcHdr"/>
        </w:types>
        <w:behaviors>
          <w:behavior w:val="content"/>
        </w:behaviors>
        <w:description w:val=""/>
        <w:guid w:val="{2AF2980C-947F-4D6D-A9F2-C5634E1A92C7}"/>
      </w:docPartPr>
      <w:docPartBody>
        <w:p w14:paraId="1808BDCF">
          <w:pPr>
            <w:pStyle w:val="30"/>
          </w:pPr>
          <w:r>
            <w:rPr>
              <w:rStyle w:val="4"/>
              <w:rFonts w:hint="eastAsia"/>
              <w:color w:val="333399"/>
              <w:u w:val="single"/>
            </w:rPr>
            <w:t>　　　</w:t>
          </w:r>
        </w:p>
      </w:docPartBody>
    </w:docPart>
    <w:docPart>
      <w:docPartPr>
        <w:name w:val="3451338222364C809A8C51EA8CBDFE3D"/>
        <w:style w:val=""/>
        <w:category>
          <w:name w:val="常规"/>
          <w:gallery w:val="placeholder"/>
        </w:category>
        <w:types>
          <w:type w:val="bbPlcHdr"/>
        </w:types>
        <w:behaviors>
          <w:behavior w:val="content"/>
        </w:behaviors>
        <w:description w:val=""/>
        <w:guid w:val="{51561783-173B-4D2F-BC37-9288970EA9D2}"/>
      </w:docPartPr>
      <w:docPartBody>
        <w:p w14:paraId="106F25A3">
          <w:pPr>
            <w:pStyle w:val="32"/>
          </w:pPr>
          <w:r>
            <w:rPr>
              <w:rStyle w:val="4"/>
              <w:rFonts w:hint="eastAsia"/>
              <w:color w:val="333399"/>
              <w:u w:val="single"/>
            </w:rPr>
            <w:t>　　　</w:t>
          </w:r>
        </w:p>
      </w:docPartBody>
    </w:docPart>
    <w:docPart>
      <w:docPartPr>
        <w:name w:val="A83D93690664434CBA370E0988E838E8"/>
        <w:style w:val=""/>
        <w:category>
          <w:name w:val="常规"/>
          <w:gallery w:val="placeholder"/>
        </w:category>
        <w:types>
          <w:type w:val="bbPlcHdr"/>
        </w:types>
        <w:behaviors>
          <w:behavior w:val="content"/>
        </w:behaviors>
        <w:description w:val=""/>
        <w:guid w:val="{890740A4-2364-4E54-B6C7-59376543057C}"/>
      </w:docPartPr>
      <w:docPartBody>
        <w:p w14:paraId="2D9D54A8">
          <w:pPr>
            <w:pStyle w:val="35"/>
          </w:pPr>
          <w:r>
            <w:rPr>
              <w:rStyle w:val="4"/>
              <w:rFonts w:hint="eastAsia"/>
              <w:color w:val="333399"/>
              <w:u w:val="single"/>
            </w:rPr>
            <w:t>　　　</w:t>
          </w:r>
        </w:p>
      </w:docPartBody>
    </w:docPart>
    <w:docPart>
      <w:docPartPr>
        <w:name w:val="9B532E189A434BD190856809A8E34B44"/>
        <w:style w:val=""/>
        <w:category>
          <w:name w:val="常规"/>
          <w:gallery w:val="placeholder"/>
        </w:category>
        <w:types>
          <w:type w:val="bbPlcHdr"/>
        </w:types>
        <w:behaviors>
          <w:behavior w:val="content"/>
        </w:behaviors>
        <w:description w:val=""/>
        <w:guid w:val="{EA35E81F-8EE0-4061-8ECE-BDCEA3E47AB7}"/>
      </w:docPartPr>
      <w:docPartBody>
        <w:p w14:paraId="2926D04F">
          <w:pPr>
            <w:pStyle w:val="36"/>
          </w:pPr>
          <w:r>
            <w:rPr>
              <w:rStyle w:val="4"/>
              <w:rFonts w:hint="eastAsia"/>
              <w:color w:val="333399"/>
              <w:u w:val="single"/>
            </w:rPr>
            <w:t>　　　</w:t>
          </w:r>
        </w:p>
      </w:docPartBody>
    </w:docPart>
    <w:docPart>
      <w:docPartPr>
        <w:name w:val="12AABB149B3F4AC1A4C9BC28D9C6A4F7"/>
        <w:style w:val=""/>
        <w:category>
          <w:name w:val="常规"/>
          <w:gallery w:val="placeholder"/>
        </w:category>
        <w:types>
          <w:type w:val="bbPlcHdr"/>
        </w:types>
        <w:behaviors>
          <w:behavior w:val="content"/>
        </w:behaviors>
        <w:description w:val=""/>
        <w:guid w:val="{8AF34957-8995-4232-8C62-FE3B2001529E}"/>
      </w:docPartPr>
      <w:docPartBody>
        <w:p w14:paraId="5911627C">
          <w:pPr>
            <w:pStyle w:val="37"/>
          </w:pPr>
          <w:r>
            <w:rPr>
              <w:rStyle w:val="4"/>
              <w:rFonts w:hint="eastAsia"/>
              <w:color w:val="333399"/>
              <w:u w:val="single"/>
            </w:rPr>
            <w:t>　　　</w:t>
          </w:r>
        </w:p>
      </w:docPartBody>
    </w:docPart>
    <w:docPart>
      <w:docPartPr>
        <w:name w:val="ACDDA2F82D21492284FAD258D5AE5EB5"/>
        <w:style w:val=""/>
        <w:category>
          <w:name w:val="常规"/>
          <w:gallery w:val="placeholder"/>
        </w:category>
        <w:types>
          <w:type w:val="bbPlcHdr"/>
        </w:types>
        <w:behaviors>
          <w:behavior w:val="content"/>
        </w:behaviors>
        <w:description w:val=""/>
        <w:guid w:val="{81B85C54-9CF0-43FF-B9B6-34B96CF46FA6}"/>
      </w:docPartPr>
      <w:docPartBody>
        <w:p w14:paraId="4D7906F6">
          <w:pPr>
            <w:pStyle w:val="39"/>
          </w:pPr>
          <w:r>
            <w:rPr>
              <w:rStyle w:val="4"/>
              <w:rFonts w:hint="eastAsia"/>
              <w:color w:val="333399"/>
              <w:u w:val="single"/>
            </w:rPr>
            <w:t>　　　</w:t>
          </w:r>
        </w:p>
      </w:docPartBody>
    </w:docPart>
    <w:docPart>
      <w:docPartPr>
        <w:name w:val="21C86FEE27E24B619C9B1C160F3AB3A7"/>
        <w:style w:val=""/>
        <w:category>
          <w:name w:val="常规"/>
          <w:gallery w:val="placeholder"/>
        </w:category>
        <w:types>
          <w:type w:val="bbPlcHdr"/>
        </w:types>
        <w:behaviors>
          <w:behavior w:val="content"/>
        </w:behaviors>
        <w:description w:val=""/>
        <w:guid w:val="{899078A3-BFFD-4188-B9C6-983BBA89CC30}"/>
      </w:docPartPr>
      <w:docPartBody>
        <w:p w14:paraId="6E8E02A3">
          <w:pPr>
            <w:pStyle w:val="43"/>
          </w:pPr>
          <w:r>
            <w:rPr>
              <w:rStyle w:val="4"/>
              <w:rFonts w:hint="eastAsia"/>
              <w:color w:val="333399"/>
              <w:u w:val="single"/>
            </w:rPr>
            <w:t>　　　</w:t>
          </w:r>
        </w:p>
      </w:docPartBody>
    </w:docPart>
    <w:docPart>
      <w:docPartPr>
        <w:name w:val="833E759572894D82A0688A7C0B09E651"/>
        <w:style w:val=""/>
        <w:category>
          <w:name w:val="常规"/>
          <w:gallery w:val="placeholder"/>
        </w:category>
        <w:types>
          <w:type w:val="bbPlcHdr"/>
        </w:types>
        <w:behaviors>
          <w:behavior w:val="content"/>
        </w:behaviors>
        <w:description w:val=""/>
        <w:guid w:val="{61B37080-9ABB-4A25-A88C-22C1A95C1E51}"/>
      </w:docPartPr>
      <w:docPartBody>
        <w:p w14:paraId="02E04225">
          <w:pPr>
            <w:pStyle w:val="51"/>
          </w:pPr>
          <w:r>
            <w:rPr>
              <w:rStyle w:val="4"/>
              <w:rFonts w:hint="eastAsia"/>
            </w:rPr>
            <w:t>　</w:t>
          </w:r>
        </w:p>
      </w:docPartBody>
    </w:docPart>
    <w:docPart>
      <w:docPartPr>
        <w:name w:val="1394E3615A374432B550E41C69B84DC5"/>
        <w:style w:val=""/>
        <w:category>
          <w:name w:val="常规"/>
          <w:gallery w:val="placeholder"/>
        </w:category>
        <w:types>
          <w:type w:val="bbPlcHdr"/>
        </w:types>
        <w:behaviors>
          <w:behavior w:val="content"/>
        </w:behaviors>
        <w:description w:val=""/>
        <w:guid w:val="{8F063B91-BFD6-4F1F-A06D-6ACA4403D2D0}"/>
      </w:docPartPr>
      <w:docPartBody>
        <w:p w14:paraId="7DF3B857">
          <w:pPr>
            <w:pStyle w:val="52"/>
          </w:pPr>
          <w:r>
            <w:rPr>
              <w:rStyle w:val="4"/>
              <w:rFonts w:hint="eastAsia"/>
              <w:color w:val="333399"/>
              <w:u w:val="single"/>
            </w:rPr>
            <w:t>　　　</w:t>
          </w:r>
        </w:p>
      </w:docPartBody>
    </w:docPart>
    <w:docPart>
      <w:docPartPr>
        <w:name w:val="B1B2B6072F4F41DC953E80EE8930E184"/>
        <w:style w:val=""/>
        <w:category>
          <w:name w:val="常规"/>
          <w:gallery w:val="placeholder"/>
        </w:category>
        <w:types>
          <w:type w:val="bbPlcHdr"/>
        </w:types>
        <w:behaviors>
          <w:behavior w:val="content"/>
        </w:behaviors>
        <w:description w:val=""/>
        <w:guid w:val="{82481795-DB88-43F1-8757-9500BA678E43}"/>
      </w:docPartPr>
      <w:docPartBody>
        <w:p w14:paraId="7DC0F7C4">
          <w:pPr>
            <w:pStyle w:val="53"/>
          </w:pPr>
          <w:r>
            <w:rPr>
              <w:rStyle w:val="4"/>
              <w:rFonts w:hint="eastAsia"/>
              <w:color w:val="333399"/>
              <w:u w:val="single"/>
            </w:rPr>
            <w:t>　　　</w:t>
          </w:r>
        </w:p>
      </w:docPartBody>
    </w:docPart>
    <w:docPart>
      <w:docPartPr>
        <w:name w:val="0FCC44E07BFD409DB84BBC264D5F32A2"/>
        <w:style w:val=""/>
        <w:category>
          <w:name w:val="常规"/>
          <w:gallery w:val="placeholder"/>
        </w:category>
        <w:types>
          <w:type w:val="bbPlcHdr"/>
        </w:types>
        <w:behaviors>
          <w:behavior w:val="content"/>
        </w:behaviors>
        <w:description w:val=""/>
        <w:guid w:val="{E290220E-DDB8-437A-93F0-ACDCF3DB751F}"/>
      </w:docPartPr>
      <w:docPartBody>
        <w:p w14:paraId="71FCD1D4">
          <w:pPr>
            <w:pStyle w:val="54"/>
          </w:pPr>
          <w:r>
            <w:rPr>
              <w:rStyle w:val="4"/>
              <w:rFonts w:hint="eastAsia"/>
              <w:color w:val="333399"/>
              <w:u w:val="single"/>
            </w:rPr>
            <w:t>　　　</w:t>
          </w:r>
        </w:p>
      </w:docPartBody>
    </w:docPart>
    <w:docPart>
      <w:docPartPr>
        <w:name w:val="F156AB95B5B94D4CBAA3A2E39DEDD469"/>
        <w:style w:val=""/>
        <w:category>
          <w:name w:val="常规"/>
          <w:gallery w:val="placeholder"/>
        </w:category>
        <w:types>
          <w:type w:val="bbPlcHdr"/>
        </w:types>
        <w:behaviors>
          <w:behavior w:val="content"/>
        </w:behaviors>
        <w:description w:val=""/>
        <w:guid w:val="{50F4101E-3443-4CCA-BFE8-6DB4A2855208}"/>
      </w:docPartPr>
      <w:docPartBody>
        <w:p w14:paraId="794DA9BE">
          <w:pPr>
            <w:pStyle w:val="55"/>
          </w:pPr>
          <w:r>
            <w:rPr>
              <w:rStyle w:val="4"/>
              <w:rFonts w:hint="eastAsia"/>
              <w:color w:val="333399"/>
              <w:u w:val="single"/>
            </w:rPr>
            <w:t>　　　</w:t>
          </w:r>
        </w:p>
      </w:docPartBody>
    </w:docPart>
    <w:docPart>
      <w:docPartPr>
        <w:name w:val="2011CBC88645498E8CD861FD6C5112DB"/>
        <w:style w:val=""/>
        <w:category>
          <w:name w:val="常规"/>
          <w:gallery w:val="placeholder"/>
        </w:category>
        <w:types>
          <w:type w:val="bbPlcHdr"/>
        </w:types>
        <w:behaviors>
          <w:behavior w:val="content"/>
        </w:behaviors>
        <w:description w:val=""/>
        <w:guid w:val="{2E45D00D-5ABA-426F-BB67-35925474B7FB}"/>
      </w:docPartPr>
      <w:docPartBody>
        <w:p w14:paraId="0B14786E">
          <w:pPr>
            <w:pStyle w:val="56"/>
          </w:pPr>
          <w:r>
            <w:rPr>
              <w:rStyle w:val="4"/>
              <w:rFonts w:hint="eastAsia"/>
              <w:color w:val="333399"/>
              <w:u w:val="single"/>
            </w:rPr>
            <w:t>　　　</w:t>
          </w:r>
        </w:p>
      </w:docPartBody>
    </w:docPart>
    <w:docPart>
      <w:docPartPr>
        <w:name w:val="EAFE967D2ADB49FF8F198741C27FEA8B"/>
        <w:style w:val=""/>
        <w:category>
          <w:name w:val="常规"/>
          <w:gallery w:val="placeholder"/>
        </w:category>
        <w:types>
          <w:type w:val="bbPlcHdr"/>
        </w:types>
        <w:behaviors>
          <w:behavior w:val="content"/>
        </w:behaviors>
        <w:description w:val=""/>
        <w:guid w:val="{5FE6BC90-D480-4341-A4CA-F1C3FC035AA3}"/>
      </w:docPartPr>
      <w:docPartBody>
        <w:p w14:paraId="52EBB08E">
          <w:pPr>
            <w:pStyle w:val="57"/>
          </w:pPr>
          <w:r>
            <w:rPr>
              <w:rStyle w:val="4"/>
              <w:rFonts w:hint="eastAsia"/>
              <w:color w:val="333399"/>
              <w:u w:val="single"/>
            </w:rPr>
            <w:t>　　　</w:t>
          </w:r>
        </w:p>
      </w:docPartBody>
    </w:docPart>
    <w:docPart>
      <w:docPartPr>
        <w:name w:val="B4A09DD92E974260A4432B90FF01F34B"/>
        <w:style w:val=""/>
        <w:category>
          <w:name w:val="常规"/>
          <w:gallery w:val="placeholder"/>
        </w:category>
        <w:types>
          <w:type w:val="bbPlcHdr"/>
        </w:types>
        <w:behaviors>
          <w:behavior w:val="content"/>
        </w:behaviors>
        <w:description w:val=""/>
        <w:guid w:val="{B6435F7A-5B0E-49F4-926A-7960904A3F85}"/>
      </w:docPartPr>
      <w:docPartBody>
        <w:p w14:paraId="2E90D38C">
          <w:pPr>
            <w:pStyle w:val="58"/>
          </w:pPr>
          <w:r>
            <w:rPr>
              <w:rStyle w:val="4"/>
              <w:rFonts w:hint="eastAsia"/>
              <w:color w:val="333399"/>
              <w:u w:val="single"/>
            </w:rPr>
            <w:t>　　　</w:t>
          </w:r>
        </w:p>
      </w:docPartBody>
    </w:docPart>
    <w:docPart>
      <w:docPartPr>
        <w:name w:val="2B6583D4F181483CB9E35AB5440E2843"/>
        <w:style w:val=""/>
        <w:category>
          <w:name w:val="常规"/>
          <w:gallery w:val="placeholder"/>
        </w:category>
        <w:types>
          <w:type w:val="bbPlcHdr"/>
        </w:types>
        <w:behaviors>
          <w:behavior w:val="content"/>
        </w:behaviors>
        <w:description w:val=""/>
        <w:guid w:val="{4B222B65-63B6-4D31-866A-27F633BEE44D}"/>
      </w:docPartPr>
      <w:docPartBody>
        <w:p w14:paraId="0801626E">
          <w:pPr>
            <w:pStyle w:val="60"/>
          </w:pPr>
          <w:r>
            <w:rPr>
              <w:rStyle w:val="4"/>
              <w:rFonts w:hint="eastAsia"/>
              <w:color w:val="333399"/>
              <w:u w:val="single"/>
            </w:rPr>
            <w:t>　　　</w:t>
          </w:r>
        </w:p>
      </w:docPartBody>
    </w:docPart>
    <w:docPart>
      <w:docPartPr>
        <w:name w:val="9BA651D3D0154898B83214E6E6E13253"/>
        <w:style w:val=""/>
        <w:category>
          <w:name w:val="常规"/>
          <w:gallery w:val="placeholder"/>
        </w:category>
        <w:types>
          <w:type w:val="bbPlcHdr"/>
        </w:types>
        <w:behaviors>
          <w:behavior w:val="content"/>
        </w:behaviors>
        <w:description w:val=""/>
        <w:guid w:val="{2A2A5D6F-5BA7-473E-8D01-29D2402D09D7}"/>
      </w:docPartPr>
      <w:docPartBody>
        <w:p w14:paraId="72B4B8A8">
          <w:pPr>
            <w:pStyle w:val="62"/>
          </w:pPr>
          <w:r>
            <w:rPr>
              <w:rStyle w:val="4"/>
              <w:rFonts w:hint="eastAsia"/>
              <w:color w:val="333399"/>
              <w:u w:val="single"/>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B9F"/>
    <w:rsid w:val="000250F8"/>
    <w:rsid w:val="000601EB"/>
    <w:rsid w:val="000840D8"/>
    <w:rsid w:val="0009760A"/>
    <w:rsid w:val="00117935"/>
    <w:rsid w:val="0014437F"/>
    <w:rsid w:val="001B5768"/>
    <w:rsid w:val="001C4E9C"/>
    <w:rsid w:val="001D71DF"/>
    <w:rsid w:val="00223F52"/>
    <w:rsid w:val="0022403A"/>
    <w:rsid w:val="00257B9F"/>
    <w:rsid w:val="0027387F"/>
    <w:rsid w:val="002B1F7A"/>
    <w:rsid w:val="002D35AA"/>
    <w:rsid w:val="002D3739"/>
    <w:rsid w:val="002E39DF"/>
    <w:rsid w:val="003271C3"/>
    <w:rsid w:val="003A00DD"/>
    <w:rsid w:val="003C4FB4"/>
    <w:rsid w:val="0045791C"/>
    <w:rsid w:val="00480AFD"/>
    <w:rsid w:val="004F071A"/>
    <w:rsid w:val="00506055"/>
    <w:rsid w:val="0059573C"/>
    <w:rsid w:val="005B40C5"/>
    <w:rsid w:val="00612CC7"/>
    <w:rsid w:val="006A0A66"/>
    <w:rsid w:val="006B2781"/>
    <w:rsid w:val="006C2015"/>
    <w:rsid w:val="006F4049"/>
    <w:rsid w:val="00735197"/>
    <w:rsid w:val="00762C36"/>
    <w:rsid w:val="00776B00"/>
    <w:rsid w:val="00777FA3"/>
    <w:rsid w:val="007840EC"/>
    <w:rsid w:val="0082683E"/>
    <w:rsid w:val="00835A5E"/>
    <w:rsid w:val="00843177"/>
    <w:rsid w:val="00857BA8"/>
    <w:rsid w:val="008A06D5"/>
    <w:rsid w:val="008D5342"/>
    <w:rsid w:val="008E6150"/>
    <w:rsid w:val="008F1495"/>
    <w:rsid w:val="0092529F"/>
    <w:rsid w:val="009C53E8"/>
    <w:rsid w:val="009E1187"/>
    <w:rsid w:val="009E1AD3"/>
    <w:rsid w:val="009E51AE"/>
    <w:rsid w:val="00A0740B"/>
    <w:rsid w:val="00A1465B"/>
    <w:rsid w:val="00A437B7"/>
    <w:rsid w:val="00B5089F"/>
    <w:rsid w:val="00B71702"/>
    <w:rsid w:val="00BC2759"/>
    <w:rsid w:val="00C13FDF"/>
    <w:rsid w:val="00C345BF"/>
    <w:rsid w:val="00CC29D6"/>
    <w:rsid w:val="00D23060"/>
    <w:rsid w:val="00D85B01"/>
    <w:rsid w:val="00DB592F"/>
    <w:rsid w:val="00DB79DF"/>
    <w:rsid w:val="00E5264E"/>
    <w:rsid w:val="00ED781D"/>
    <w:rsid w:val="00F03914"/>
    <w:rsid w:val="00F03DB5"/>
    <w:rsid w:val="00F26551"/>
    <w:rsid w:val="00FB3AC6"/>
    <w:rsid w:val="00FE2CFF"/>
    <w:rsid w:val="00FF6E9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semiHidden="0"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qFormat/>
    <w:uiPriority w:val="99"/>
    <w:rPr>
      <w:color w:val="808080"/>
    </w:rPr>
  </w:style>
  <w:style w:type="paragraph" w:customStyle="1" w:styleId="5">
    <w:name w:val="841D473E56924E978E65265A7C19532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638C20CB570E40C7BFE43C297E6B0E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4F29D5ABA65A41A980ED0405778BB2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06B3C83E24A842339DC7A68F6A3F41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2764B9678B114CA0B155A2C7644AAE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2652CFB8D0664ECE8FE681ECF6D149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1A2166647BB24DFE88B0819BE35BEE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B9E79725D7A24C6C9287886D35D8C7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05686E36BCA14327BD32117F955D93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8E79D5C1FC224E40848E0303EE8C22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551B43E137FE47058C633691F1853C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9924C241CA654361A9F2691C763A4A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BEAC835B411041E1AE463A98650D8E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8355C4C812A24E4F8CA281BC2A3EC0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F0392FCB41C545D5BFC8D9D1BD562E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1B1757ED6CB44E108DB2516F6FAC99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01FB2CE26CA04A408BCFA1F079DCFA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E27360D523D94FE8B16155BC422D09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89469EFD5A14479B8FAC864856649E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D87EF813428B4045A8F18588F40A571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0B1A328F3F5149C5AC60B430736015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075122636079423D951352482B3ED6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75AACC16E511448CA1361BE935873A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4E2B4110E7EA437EB02AB075E7949D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18E5C62B1C9C49C98C72A240A62682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E6A683922E344762A064767855F679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
    <w:name w:val="B154BEBD9B724A6A8544781BB4EFAD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3451338222364C809A8C51EA8CBDFE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B92992233DCF47C8B5526FE89BEB48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41A1B48576A34E199DF70A03FDB805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A83D93690664434CBA370E0988E838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9B532E189A434BD190856809A8E34B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12AABB149B3F4AC1A4C9BC28D9C6A4F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D8DD208A4A824601B85202B4DB7EBD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ACDDA2F82D21492284FAD258D5AE5E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94842FF096424BB9A100390B1503F7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77A355EED6334C308AC77543DE91B0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D5DEC7CAE44F4AA5A797715C40E9D9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21C86FEE27E24B619C9B1C160F3AB3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DA244B1A58564CAD968A7CE62EF554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
    <w:name w:val="5B5BAE2A89B749FE9D0FAC2C524829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
    <w:name w:val="9196C2688AE44612A11335B643F3B4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
    <w:name w:val="848ADEFE310A4283B21411C77AFD07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
    <w:name w:val="1BFFC6A919884457B04697BDD0486D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
    <w:name w:val="ABDC89FCABB0451FAC76ED422C8B28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
    <w:name w:val="723B49E1C3F644C18B1D42298C41F0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
    <w:name w:val="833E759572894D82A0688A7C0B09E6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
    <w:name w:val="1394E3615A374432B550E41C69B84D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
    <w:name w:val="B1B2B6072F4F41DC953E80EE8930E1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
    <w:name w:val="0FCC44E07BFD409DB84BBC264D5F32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
    <w:name w:val="F156AB95B5B94D4CBAA3A2E39DEDD4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
    <w:name w:val="2011CBC88645498E8CD861FD6C5112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
    <w:name w:val="EAFE967D2ADB49FF8F198741C27FEA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
    <w:name w:val="B4A09DD92E974260A4432B90FF01F34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
    <w:name w:val="460B614A47344991AA19E681B6D90C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
    <w:name w:val="2B6583D4F181483CB9E35AB5440E28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C93ED1A6738C4163B16CFE78471653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
    <w:name w:val="9BA651D3D0154898B83214E6E6E13253"/>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]]></t:sse>
</t:template>
</file>

<file path=customXml/item3.xml><?xml version="1.0" encoding="utf-8"?>
<m:mapping xmlns:m="http://mapping.word.org/2012/mapping">
  <m:sm4><![CDATA[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]]></m:sm4>
</m:mapping>
</file>

<file path=customXml/item4.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通化东宝药业股份有限公司</clcid-cgi:GongSiFaDingZhongWenMingCheng>
  <clcid-mr:GongSiFuZeRenXingMing xmlns:clcid-mr="clcid-mr">李佳鸿</clcid-mr:GongSiFuZeRenXingMing>
  <clcid-mr:ZhuGuanKuaiJiGongZuoFuZeRenXingMing xmlns:clcid-mr="clcid-mr">迟军玉</clcid-mr:ZhuGuanKuaiJiGongZuoFuZeRenXingMing>
  <clcid-mr:KuaiJiJiGouFuZeRenXingMing xmlns:clcid-mr="clcid-mr">樊鸿宇</clcid-mr:KuaiJiJiGouFuZeRenXingMing>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ond:GongSiFaDingZhongWenMingCheng/>
  <clcid-pte:YinQuXiaoXiuGaiGuQuanJiLiJiHuaYiCiXingQueRenDeGuFenZhiFuFeiYong/>
  <clcid-pte:DuiYuXianJinJieSuanDeGuFenZhiFuZaiKeXingQuanRiZhiHouYingFuZhiGongXinChouDeGongYunJiaZhiBianDongChanShengDeSunYi/>
  <bond:DanWeiFeiJingYingXingWangLaiZhanKuanHeZiJinChaiJie>亿元</bond:DanWeiFeiJingYingXingWangLaiZhanKuanHeZiJinChaiJie>
  <bond:BiZhongFeiJingYingXingWangLaiZhanKuanHeZiJinChaiJie>人民币</bond:BiZhongFeiJingYingXingWangLaiZhanKuanHeZiJinChaiJie>
  <bond:DanWeiMuGongSiYouXiZhaiWu>亿元</bond:DanWeiMuGongSiYouXiZhaiWu>
  <bond:DanWeiYouXiZhaiWu>亿元</bond:DanWeiYouXiZhaiWu>
  <bond:DanWeiFaXingRenJingWaiShiChangFaXingZhaiQuan>亿元</bond:DanWeiFaXingRenJingWaiShiChangFaXingZhaiQuan>
  <bond:JingWaiZhaiQuan/>
  <bond:BiZhongFaXingRenJingWaiShiChangFaXingZhaiQuan>人民币</bond:BiZhongFaXingRenJingWaiShiChangFaXingZhaiQuan>
  <bond:DanWeiMuGongSiZhaiWuJieGouQingKuang>亿元</bond:DanWeiMuGongSiZhaiWuJieGouQingKuang>
  <bond:DanWeiZhaiWuJieGouQingKuang>亿元</bond:DanWeiZhaiWuJieGouQingKuang>
</b:binding>
</file>

<file path=customXml/item5.xml><?xml version="1.0" encoding="utf-8"?>
<sc:sections xmlns:sc="http://mapping.word.org/2014/section/customize"/>
</file>

<file path=customXml/itemProps1.xml><?xml version="1.0" encoding="utf-8"?>
<ds:datastoreItem xmlns:ds="http://schemas.openxmlformats.org/officeDocument/2006/customXml" ds:itemID="{C08A5BCC-3709-45F5-9E7C-76DBD1875131}">
  <ds:schemaRefs/>
</ds:datastoreItem>
</file>

<file path=customXml/itemProps2.xml><?xml version="1.0" encoding="utf-8"?>
<ds:datastoreItem xmlns:ds="http://schemas.openxmlformats.org/officeDocument/2006/customXml" ds:itemID="{4AC452FD-5309-44C3-94E3-9EA7478441AD}">
  <ds:schemaRefs/>
</ds:datastoreItem>
</file>

<file path=customXml/itemProps3.xml><?xml version="1.0" encoding="utf-8"?>
<ds:datastoreItem xmlns:ds="http://schemas.openxmlformats.org/officeDocument/2006/customXml" ds:itemID="{A2FAA3B2-2C2B-42F3-948B-D1CD4C79F2C0}">
  <ds:schemaRefs/>
</ds:datastoreItem>
</file>

<file path=customXml/itemProps4.xml><?xml version="1.0" encoding="utf-8"?>
<ds:datastoreItem xmlns:ds="http://schemas.openxmlformats.org/officeDocument/2006/customXml" ds:itemID="{89EBAB94-44A0-46A2-B712-30D997D04A6D}">
  <ds:schemaRefs/>
</ds:datastoreItem>
</file>

<file path=customXml/itemProps5.xml><?xml version="1.0" encoding="utf-8"?>
<ds:datastoreItem xmlns:ds="http://schemas.openxmlformats.org/officeDocument/2006/customXml" ds:itemID="{1F37729E-89F6-4D70-BC0B-8EF77515B409}">
  <ds:schemaRefs/>
</ds:datastoreItem>
</file>

<file path=docProps/app.xml><?xml version="1.0" encoding="utf-8"?>
<Properties xmlns="http://schemas.openxmlformats.org/officeDocument/2006/extended-properties" xmlns:vt="http://schemas.openxmlformats.org/officeDocument/2006/docPropsVTypes">
  <Template>SSEReport</Template>
  <Pages>232</Pages>
  <Words>123698</Words>
  <Characters>170084</Characters>
  <Lines>18425</Lines>
  <Paragraphs>15937</Paragraphs>
  <TotalTime>431</TotalTime>
  <ScaleCrop>false</ScaleCrop>
  <LinksUpToDate>false</LinksUpToDate>
  <CharactersWithSpaces>173094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2026-04-16T06:12:00Z</dcterms:created>
  <dc:creator>thdb</dc:creator>
  <cp:lastModifiedBy>李易伦</cp:lastModifiedBy>
  <cp:lastPrinted>2026-04-17T07:05:00Z</cp:lastPrinted>
  <dcterms:modified xsi:type="dcterms:W3CDTF">2026-04-21T00:42:49Z</dcterms:modified>
  <dc:title>通化东宝药业股份有限公司2025年年度报告</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eyJoZGlkIjoiNDhhN2ViZmJkMDFjNmM0OWVmZDI5NzU2ZTczMGYxZWIiLCJ1c2VySWQiOiIyOTkyNTE3ODYifQ==</vt:lpwstr>
  </property>
  <property fmtid="{D5CDD505-2E9C-101B-9397-08002B2CF9AE}" pid="3" name="KSOProductBuildVer">
    <vt:lpwstr>2052-12.1.0.17133</vt:lpwstr>
  </property>
  <property fmtid="{D5CDD505-2E9C-101B-9397-08002B2CF9AE}" pid="4" name="ICV">
    <vt:lpwstr>0D321C4D1F5B445F84FC368B24330AD0_13</vt:lpwstr>
  </property>
</Properties>
</file>